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80D" w:rsidRPr="00D11A64" w:rsidRDefault="00A7580D" w:rsidP="00A7580D">
      <w:pPr>
        <w:pStyle w:val="corte4fondo"/>
        <w:spacing w:line="276" w:lineRule="auto"/>
        <w:ind w:left="3544" w:right="51" w:firstLine="0"/>
        <w:rPr>
          <w:rFonts w:cs="Arial"/>
          <w:b/>
          <w:sz w:val="24"/>
          <w:szCs w:val="24"/>
        </w:rPr>
      </w:pPr>
      <w:r w:rsidRPr="00D11A64">
        <w:rPr>
          <w:rFonts w:cs="Arial"/>
          <w:b/>
          <w:sz w:val="24"/>
          <w:szCs w:val="24"/>
        </w:rPr>
        <w:t>QUINTA SALA UNITARIA DE PRIMERA INSTANCIA DEL TRIBUNAL DE JUSTICIA ADMINISTRATIVA DEL ESTADO DE OAXACA.</w:t>
      </w:r>
    </w:p>
    <w:p w:rsidR="00A7580D" w:rsidRPr="00D11A64" w:rsidRDefault="00A7580D" w:rsidP="00A7580D">
      <w:pPr>
        <w:pStyle w:val="corte4fondo"/>
        <w:spacing w:line="276" w:lineRule="auto"/>
        <w:ind w:left="3544" w:right="-521" w:firstLine="0"/>
        <w:rPr>
          <w:rFonts w:cs="Arial"/>
          <w:b/>
          <w:sz w:val="24"/>
          <w:szCs w:val="24"/>
        </w:rPr>
      </w:pPr>
    </w:p>
    <w:p w:rsidR="00A7580D" w:rsidRPr="00D11A64" w:rsidRDefault="00A7580D" w:rsidP="00A7580D">
      <w:pPr>
        <w:pStyle w:val="corte4fondo"/>
        <w:spacing w:line="276" w:lineRule="auto"/>
        <w:ind w:left="3544" w:right="-521" w:firstLine="0"/>
        <w:rPr>
          <w:rFonts w:cs="Arial"/>
          <w:sz w:val="24"/>
          <w:szCs w:val="24"/>
        </w:rPr>
      </w:pPr>
      <w:r w:rsidRPr="00D11A64">
        <w:rPr>
          <w:rFonts w:cs="Arial"/>
          <w:b/>
          <w:sz w:val="24"/>
          <w:szCs w:val="24"/>
        </w:rPr>
        <w:t>JUICIO DE NULIDAD</w:t>
      </w:r>
      <w:r w:rsidRPr="00D11A64">
        <w:rPr>
          <w:rFonts w:cs="Arial"/>
          <w:sz w:val="24"/>
          <w:szCs w:val="24"/>
        </w:rPr>
        <w:t xml:space="preserve">: </w:t>
      </w:r>
      <w:r w:rsidRPr="00D11A64">
        <w:rPr>
          <w:rFonts w:cs="Arial"/>
          <w:b/>
          <w:bCs/>
          <w:sz w:val="24"/>
          <w:szCs w:val="24"/>
        </w:rPr>
        <w:t>059/2019</w:t>
      </w:r>
      <w:r w:rsidRPr="00D11A64">
        <w:rPr>
          <w:rFonts w:cs="Arial"/>
          <w:sz w:val="24"/>
          <w:szCs w:val="24"/>
        </w:rPr>
        <w:t xml:space="preserve">. </w:t>
      </w:r>
    </w:p>
    <w:p w:rsidR="00A7580D" w:rsidRPr="00D11A64" w:rsidRDefault="00A7580D" w:rsidP="00A7580D">
      <w:pPr>
        <w:pStyle w:val="corte4fondo"/>
        <w:spacing w:line="276" w:lineRule="auto"/>
        <w:ind w:left="3544" w:right="-521" w:firstLine="0"/>
        <w:rPr>
          <w:rFonts w:cs="Arial"/>
          <w:sz w:val="24"/>
          <w:szCs w:val="24"/>
        </w:rPr>
      </w:pPr>
    </w:p>
    <w:p w:rsidR="00A7580D" w:rsidRPr="00D11A64" w:rsidRDefault="00A7580D" w:rsidP="00A7580D">
      <w:pPr>
        <w:pStyle w:val="corte4fondo"/>
        <w:spacing w:line="276" w:lineRule="auto"/>
        <w:ind w:left="3544" w:right="51" w:firstLine="0"/>
        <w:rPr>
          <w:rFonts w:cs="Arial"/>
          <w:sz w:val="24"/>
          <w:szCs w:val="24"/>
        </w:rPr>
      </w:pPr>
      <w:r w:rsidRPr="00D11A64">
        <w:rPr>
          <w:rFonts w:cs="Arial"/>
          <w:b/>
          <w:sz w:val="24"/>
          <w:szCs w:val="24"/>
        </w:rPr>
        <w:t xml:space="preserve">ACTOR: </w:t>
      </w:r>
      <w:r>
        <w:rPr>
          <w:rFonts w:cs="Arial"/>
          <w:b/>
          <w:sz w:val="24"/>
          <w:szCs w:val="24"/>
        </w:rPr>
        <w:t>**********</w:t>
      </w:r>
    </w:p>
    <w:p w:rsidR="00A7580D" w:rsidRPr="00D11A64" w:rsidRDefault="00A7580D" w:rsidP="00A7580D">
      <w:pPr>
        <w:pStyle w:val="corte4fondo"/>
        <w:spacing w:line="276" w:lineRule="auto"/>
        <w:ind w:left="3544" w:right="-521" w:firstLine="0"/>
        <w:rPr>
          <w:rFonts w:cs="Arial"/>
          <w:b/>
          <w:i/>
          <w:sz w:val="24"/>
          <w:szCs w:val="24"/>
        </w:rPr>
      </w:pPr>
      <w:r w:rsidRPr="00D11A64">
        <w:rPr>
          <w:rFonts w:cs="Arial"/>
          <w:b/>
          <w:i/>
          <w:sz w:val="24"/>
          <w:szCs w:val="24"/>
        </w:rPr>
        <w:t xml:space="preserve"> </w:t>
      </w:r>
    </w:p>
    <w:p w:rsidR="00A7580D" w:rsidRPr="00D11A64" w:rsidRDefault="00A7580D" w:rsidP="00A7580D">
      <w:pPr>
        <w:pStyle w:val="corte4fondo"/>
        <w:spacing w:line="276" w:lineRule="auto"/>
        <w:ind w:left="3544" w:right="51" w:firstLine="0"/>
        <w:rPr>
          <w:rFonts w:cs="Arial"/>
          <w:b/>
          <w:sz w:val="24"/>
          <w:szCs w:val="24"/>
        </w:rPr>
      </w:pPr>
      <w:r w:rsidRPr="00D11A64">
        <w:rPr>
          <w:rFonts w:cs="Arial"/>
          <w:b/>
          <w:sz w:val="24"/>
          <w:szCs w:val="24"/>
        </w:rPr>
        <w:t>AUTORIDAD DEMANDADA: TESORERA MUNICIPAL DE LA VILLA DE ETLA, OAXACA.</w:t>
      </w:r>
    </w:p>
    <w:p w:rsidR="00A7580D" w:rsidRPr="00D11A64" w:rsidRDefault="00A7580D" w:rsidP="00A7580D">
      <w:pPr>
        <w:pStyle w:val="Textoindependiente21"/>
        <w:spacing w:line="360" w:lineRule="auto"/>
        <w:ind w:firstLine="0"/>
        <w:rPr>
          <w:rFonts w:ascii="Arial" w:hAnsi="Arial" w:cs="Arial"/>
          <w:b/>
          <w:szCs w:val="24"/>
        </w:rPr>
      </w:pPr>
    </w:p>
    <w:p w:rsidR="00A7580D" w:rsidRPr="00D11A64" w:rsidRDefault="00A7580D" w:rsidP="00A7580D">
      <w:pPr>
        <w:pStyle w:val="Textoindependiente21"/>
        <w:spacing w:line="360" w:lineRule="auto"/>
        <w:ind w:firstLine="0"/>
        <w:rPr>
          <w:rFonts w:ascii="Arial" w:hAnsi="Arial" w:cs="Arial"/>
          <w:szCs w:val="24"/>
        </w:rPr>
      </w:pPr>
      <w:r w:rsidRPr="00D11A64">
        <w:rPr>
          <w:rFonts w:ascii="Arial" w:hAnsi="Arial" w:cs="Arial"/>
          <w:b/>
          <w:szCs w:val="24"/>
        </w:rPr>
        <w:t xml:space="preserve">OAXACA DE JUÁREZ, OAXACA, DISTRITO DEL CENTRO A, </w:t>
      </w:r>
      <w:r>
        <w:rPr>
          <w:rFonts w:ascii="Arial" w:hAnsi="Arial" w:cs="Arial"/>
          <w:b/>
          <w:szCs w:val="24"/>
        </w:rPr>
        <w:t>QUINC</w:t>
      </w:r>
      <w:r w:rsidRPr="00D11A64">
        <w:rPr>
          <w:rFonts w:ascii="Arial" w:hAnsi="Arial" w:cs="Arial"/>
          <w:b/>
          <w:szCs w:val="24"/>
        </w:rPr>
        <w:t xml:space="preserve">E DE </w:t>
      </w:r>
      <w:r>
        <w:rPr>
          <w:rFonts w:ascii="Arial" w:hAnsi="Arial" w:cs="Arial"/>
          <w:b/>
          <w:szCs w:val="24"/>
        </w:rPr>
        <w:t>DICIEMBRE</w:t>
      </w:r>
      <w:r w:rsidRPr="00D11A64">
        <w:rPr>
          <w:rFonts w:ascii="Arial" w:hAnsi="Arial" w:cs="Arial"/>
          <w:b/>
          <w:szCs w:val="24"/>
        </w:rPr>
        <w:t xml:space="preserve"> DE DOS MIL VEINTE.  </w:t>
      </w:r>
      <w:r w:rsidRPr="00D11A64">
        <w:rPr>
          <w:rFonts w:ascii="Arial" w:hAnsi="Arial" w:cs="Arial"/>
          <w:szCs w:val="24"/>
        </w:rPr>
        <w:t xml:space="preserve">- - - - - - - - - - - - - - - - - - - - - - - - - - - - - - - - - </w:t>
      </w:r>
    </w:p>
    <w:p w:rsidR="00A7580D" w:rsidRPr="00D11A64" w:rsidRDefault="00A7580D" w:rsidP="00A7580D">
      <w:pPr>
        <w:pStyle w:val="Textoindependiente21"/>
        <w:spacing w:line="360" w:lineRule="auto"/>
        <w:ind w:firstLine="0"/>
        <w:rPr>
          <w:rFonts w:ascii="Arial" w:hAnsi="Arial" w:cs="Arial"/>
          <w:szCs w:val="24"/>
        </w:rPr>
      </w:pPr>
    </w:p>
    <w:p w:rsidR="00A7580D" w:rsidRPr="00D11A64" w:rsidRDefault="00A7580D" w:rsidP="00A7580D">
      <w:pPr>
        <w:pStyle w:val="corte4fondo"/>
        <w:ind w:right="51" w:firstLine="708"/>
        <w:rPr>
          <w:rFonts w:cs="Arial"/>
          <w:sz w:val="24"/>
          <w:szCs w:val="24"/>
        </w:rPr>
      </w:pPr>
      <w:r w:rsidRPr="00D11A64">
        <w:rPr>
          <w:rFonts w:cs="Arial"/>
          <w:sz w:val="24"/>
          <w:szCs w:val="24"/>
        </w:rPr>
        <w:t xml:space="preserve">V I S T O S para resolver los autos del juicio de nulidad de número 059/2019, promovido por </w:t>
      </w:r>
      <w:r>
        <w:rPr>
          <w:rFonts w:cs="Arial"/>
          <w:b/>
          <w:sz w:val="24"/>
          <w:szCs w:val="24"/>
        </w:rPr>
        <w:t>**********</w:t>
      </w:r>
      <w:r w:rsidRPr="00D11A64">
        <w:rPr>
          <w:rFonts w:cs="Arial"/>
          <w:sz w:val="24"/>
          <w:szCs w:val="24"/>
        </w:rPr>
        <w:t xml:space="preserve">en representación de la persona moral </w:t>
      </w:r>
      <w:r>
        <w:rPr>
          <w:rFonts w:cs="Arial"/>
          <w:b/>
          <w:sz w:val="24"/>
          <w:szCs w:val="24"/>
        </w:rPr>
        <w:t>**********</w:t>
      </w:r>
      <w:r w:rsidRPr="00D11A64">
        <w:rPr>
          <w:rFonts w:cs="Arial"/>
          <w:sz w:val="24"/>
          <w:szCs w:val="24"/>
        </w:rPr>
        <w:t xml:space="preserve">, en contra de la resolución </w:t>
      </w:r>
      <w:r>
        <w:rPr>
          <w:rFonts w:cs="Arial"/>
          <w:b/>
          <w:sz w:val="24"/>
          <w:szCs w:val="24"/>
        </w:rPr>
        <w:t>**********</w:t>
      </w:r>
      <w:r w:rsidRPr="00D11A64">
        <w:rPr>
          <w:rFonts w:cs="Arial"/>
          <w:sz w:val="24"/>
          <w:szCs w:val="24"/>
        </w:rPr>
        <w:t xml:space="preserve">, dictada en el Expediente Administrativo </w:t>
      </w:r>
      <w:r>
        <w:rPr>
          <w:rFonts w:cs="Arial"/>
          <w:b/>
          <w:sz w:val="24"/>
          <w:szCs w:val="24"/>
        </w:rPr>
        <w:t>**********</w:t>
      </w:r>
      <w:r w:rsidRPr="00D11A64">
        <w:rPr>
          <w:rFonts w:cs="Arial"/>
          <w:sz w:val="24"/>
          <w:szCs w:val="24"/>
        </w:rPr>
        <w:t xml:space="preserve">, por la </w:t>
      </w:r>
      <w:r w:rsidRPr="00D11A64">
        <w:rPr>
          <w:rFonts w:cs="Arial"/>
          <w:b/>
          <w:bCs/>
          <w:sz w:val="24"/>
          <w:szCs w:val="24"/>
        </w:rPr>
        <w:t>TESORERA MUNICIPAL DE LA VILLA DE ETLA, OAXACA</w:t>
      </w:r>
      <w:r w:rsidRPr="00D11A64">
        <w:rPr>
          <w:rFonts w:cs="Arial"/>
          <w:sz w:val="24"/>
          <w:szCs w:val="24"/>
        </w:rPr>
        <w:t>,</w:t>
      </w:r>
      <w:r w:rsidRPr="00D11A64">
        <w:rPr>
          <w:rFonts w:cs="Arial"/>
          <w:b/>
          <w:sz w:val="24"/>
          <w:szCs w:val="24"/>
        </w:rPr>
        <w:t xml:space="preserve"> y;</w:t>
      </w:r>
      <w:r w:rsidRPr="00D11A64">
        <w:rPr>
          <w:rFonts w:cs="Arial"/>
          <w:sz w:val="24"/>
          <w:szCs w:val="24"/>
        </w:rPr>
        <w:t xml:space="preserve"> - - - - - - - - - - - - - </w:t>
      </w:r>
    </w:p>
    <w:p w:rsidR="00A7580D" w:rsidRPr="00D11A64" w:rsidRDefault="00A7580D" w:rsidP="00A7580D">
      <w:pPr>
        <w:pStyle w:val="corte4fondo"/>
        <w:ind w:right="51" w:firstLine="0"/>
        <w:rPr>
          <w:rFonts w:cs="Arial"/>
          <w:sz w:val="24"/>
          <w:szCs w:val="24"/>
        </w:rPr>
      </w:pPr>
    </w:p>
    <w:p w:rsidR="00A7580D" w:rsidRPr="00D11A64" w:rsidRDefault="00A7580D" w:rsidP="00A7580D">
      <w:pPr>
        <w:spacing w:line="360" w:lineRule="auto"/>
        <w:rPr>
          <w:rFonts w:ascii="Arial" w:hAnsi="Arial" w:cs="Arial"/>
          <w:b/>
          <w:spacing w:val="-3"/>
          <w:sz w:val="24"/>
          <w:szCs w:val="24"/>
          <w:lang w:val="es-ES_tradnl"/>
        </w:rPr>
      </w:pPr>
      <w:r w:rsidRPr="00D11A64">
        <w:rPr>
          <w:rFonts w:ascii="Arial" w:hAnsi="Arial" w:cs="Arial"/>
          <w:sz w:val="24"/>
          <w:szCs w:val="24"/>
        </w:rPr>
        <w:t xml:space="preserve">                                         </w:t>
      </w:r>
      <w:r w:rsidRPr="00D11A64">
        <w:rPr>
          <w:rFonts w:ascii="Arial" w:hAnsi="Arial" w:cs="Arial"/>
          <w:b/>
          <w:sz w:val="24"/>
          <w:szCs w:val="24"/>
        </w:rPr>
        <w:t>R E</w:t>
      </w:r>
      <w:r w:rsidRPr="00D11A64">
        <w:rPr>
          <w:rFonts w:ascii="Arial" w:hAnsi="Arial" w:cs="Arial"/>
          <w:b/>
          <w:spacing w:val="-3"/>
          <w:sz w:val="24"/>
          <w:szCs w:val="24"/>
          <w:lang w:val="es-ES_tradnl"/>
        </w:rPr>
        <w:t xml:space="preserve"> S U L T A N D O:</w:t>
      </w:r>
    </w:p>
    <w:p w:rsidR="00A7580D" w:rsidRPr="00D11A64" w:rsidRDefault="00A7580D" w:rsidP="00A7580D">
      <w:pPr>
        <w:spacing w:line="360" w:lineRule="auto"/>
        <w:rPr>
          <w:rFonts w:ascii="Arial" w:hAnsi="Arial" w:cs="Arial"/>
          <w:sz w:val="24"/>
          <w:szCs w:val="24"/>
        </w:rPr>
      </w:pPr>
    </w:p>
    <w:p w:rsidR="00A7580D" w:rsidRPr="00D11A64" w:rsidRDefault="00A7580D" w:rsidP="00A7580D">
      <w:pPr>
        <w:spacing w:line="360" w:lineRule="auto"/>
        <w:jc w:val="both"/>
        <w:rPr>
          <w:rFonts w:ascii="Arial" w:hAnsi="Arial" w:cs="Arial"/>
          <w:sz w:val="24"/>
          <w:szCs w:val="24"/>
        </w:rPr>
      </w:pPr>
      <w:r w:rsidRPr="00D11A64">
        <w:rPr>
          <w:rFonts w:ascii="Arial" w:hAnsi="Arial" w:cs="Arial"/>
          <w:b/>
          <w:spacing w:val="-3"/>
          <w:sz w:val="24"/>
          <w:szCs w:val="24"/>
          <w:lang w:val="es-ES_tradnl"/>
        </w:rPr>
        <w:tab/>
        <w:t>PRIMERO.-</w:t>
      </w:r>
      <w:r w:rsidRPr="00D11A64">
        <w:rPr>
          <w:rFonts w:ascii="Arial" w:hAnsi="Arial" w:cs="Arial"/>
          <w:sz w:val="24"/>
          <w:szCs w:val="24"/>
        </w:rPr>
        <w:t xml:space="preserve">. </w:t>
      </w:r>
      <w:r>
        <w:rPr>
          <w:rFonts w:cs="Arial"/>
          <w:b/>
          <w:sz w:val="24"/>
          <w:szCs w:val="24"/>
        </w:rPr>
        <w:t>**********</w:t>
      </w:r>
      <w:r w:rsidRPr="00D11A64">
        <w:rPr>
          <w:rFonts w:ascii="Arial" w:hAnsi="Arial" w:cs="Arial"/>
          <w:sz w:val="24"/>
          <w:szCs w:val="24"/>
        </w:rPr>
        <w:t xml:space="preserve">, en representación de la persona moral </w:t>
      </w:r>
      <w:r>
        <w:rPr>
          <w:rFonts w:cs="Arial"/>
          <w:b/>
          <w:sz w:val="24"/>
          <w:szCs w:val="24"/>
        </w:rPr>
        <w:t>**********</w:t>
      </w:r>
      <w:r>
        <w:rPr>
          <w:rFonts w:cs="Arial"/>
          <w:b/>
          <w:sz w:val="24"/>
          <w:szCs w:val="24"/>
        </w:rPr>
        <w:t xml:space="preserve"> </w:t>
      </w:r>
      <w:r w:rsidRPr="00D11A64">
        <w:rPr>
          <w:rFonts w:ascii="Arial" w:hAnsi="Arial" w:cs="Arial"/>
          <w:sz w:val="24"/>
          <w:szCs w:val="24"/>
        </w:rPr>
        <w:t>mediante escrito presentado el diecinueve de junio de dos mil diecinueve</w:t>
      </w:r>
      <w:r>
        <w:rPr>
          <w:rFonts w:ascii="Arial" w:hAnsi="Arial" w:cs="Arial"/>
          <w:sz w:val="24"/>
          <w:szCs w:val="24"/>
        </w:rPr>
        <w:t xml:space="preserve"> ante</w:t>
      </w:r>
      <w:r w:rsidRPr="00D11A64">
        <w:rPr>
          <w:rFonts w:ascii="Arial" w:hAnsi="Arial" w:cs="Arial"/>
          <w:sz w:val="24"/>
          <w:szCs w:val="24"/>
        </w:rPr>
        <w:t xml:space="preserve"> Oficialía de Partes Común de este Tribunal de Justicia Administrativa del Estado de Oaxaca, promovió </w:t>
      </w:r>
      <w:r w:rsidRPr="00D11A64">
        <w:rPr>
          <w:rFonts w:ascii="Arial" w:hAnsi="Arial" w:cs="Arial"/>
          <w:b/>
          <w:bCs/>
          <w:sz w:val="24"/>
          <w:szCs w:val="24"/>
        </w:rPr>
        <w:t>juicio de nulidad</w:t>
      </w:r>
      <w:r w:rsidRPr="00D11A64">
        <w:rPr>
          <w:rFonts w:ascii="Arial" w:hAnsi="Arial" w:cs="Arial"/>
          <w:sz w:val="24"/>
          <w:szCs w:val="24"/>
        </w:rPr>
        <w:t xml:space="preserve"> en contra de la resolución de </w:t>
      </w:r>
      <w:r>
        <w:rPr>
          <w:rFonts w:cs="Arial"/>
          <w:b/>
          <w:sz w:val="24"/>
          <w:szCs w:val="24"/>
        </w:rPr>
        <w:t>**********</w:t>
      </w:r>
      <w:r w:rsidRPr="00D11A64">
        <w:rPr>
          <w:rFonts w:ascii="Arial" w:hAnsi="Arial" w:cs="Arial"/>
          <w:sz w:val="24"/>
          <w:szCs w:val="24"/>
        </w:rPr>
        <w:t xml:space="preserve">, dictada en el Expediente Administrativo </w:t>
      </w:r>
      <w:r>
        <w:rPr>
          <w:rFonts w:cs="Arial"/>
          <w:b/>
          <w:sz w:val="24"/>
          <w:szCs w:val="24"/>
        </w:rPr>
        <w:t>**********</w:t>
      </w:r>
      <w:r w:rsidRPr="00D11A64">
        <w:rPr>
          <w:rFonts w:ascii="Arial" w:hAnsi="Arial" w:cs="Arial"/>
          <w:sz w:val="24"/>
          <w:szCs w:val="24"/>
        </w:rPr>
        <w:t xml:space="preserve">, por la </w:t>
      </w:r>
      <w:r w:rsidRPr="00D11A64">
        <w:rPr>
          <w:rFonts w:ascii="Arial" w:hAnsi="Arial" w:cs="Arial"/>
          <w:b/>
          <w:bCs/>
          <w:sz w:val="24"/>
          <w:szCs w:val="24"/>
        </w:rPr>
        <w:t>TESORERA MUNICIPAL DE LA VILLA DE ETLA, OAXACA.</w:t>
      </w:r>
      <w:r>
        <w:rPr>
          <w:rFonts w:ascii="Arial" w:hAnsi="Arial" w:cs="Arial"/>
          <w:b/>
          <w:bCs/>
          <w:sz w:val="24"/>
          <w:szCs w:val="24"/>
        </w:rPr>
        <w:t xml:space="preserve"> </w:t>
      </w:r>
    </w:p>
    <w:p w:rsidR="00A7580D" w:rsidRPr="00D11A64" w:rsidRDefault="00A7580D" w:rsidP="00A7580D">
      <w:pPr>
        <w:spacing w:line="360" w:lineRule="auto"/>
        <w:jc w:val="both"/>
        <w:rPr>
          <w:rFonts w:ascii="Arial" w:hAnsi="Arial" w:cs="Arial"/>
          <w:sz w:val="24"/>
          <w:szCs w:val="24"/>
        </w:rPr>
      </w:pPr>
      <w:r w:rsidRPr="00D11A64">
        <w:rPr>
          <w:rFonts w:ascii="Arial" w:hAnsi="Arial" w:cs="Arial"/>
          <w:sz w:val="24"/>
          <w:szCs w:val="24"/>
        </w:rPr>
        <w:t xml:space="preserve">    </w:t>
      </w:r>
    </w:p>
    <w:p w:rsidR="00A7580D" w:rsidRDefault="00A7580D" w:rsidP="00A7580D">
      <w:pPr>
        <w:spacing w:line="360" w:lineRule="auto"/>
        <w:jc w:val="both"/>
        <w:rPr>
          <w:rFonts w:ascii="Arial" w:hAnsi="Arial" w:cs="Arial"/>
          <w:sz w:val="24"/>
          <w:szCs w:val="24"/>
        </w:rPr>
      </w:pPr>
      <w:r w:rsidRPr="00D11A64">
        <w:rPr>
          <w:rFonts w:ascii="Arial" w:hAnsi="Arial" w:cs="Arial"/>
          <w:sz w:val="24"/>
          <w:szCs w:val="24"/>
        </w:rPr>
        <w:t xml:space="preserve">          </w:t>
      </w:r>
      <w:r w:rsidR="00786377">
        <w:rPr>
          <w:rFonts w:ascii="Arial" w:hAnsi="Arial" w:cs="Arial"/>
          <w:b/>
          <w:sz w:val="24"/>
          <w:szCs w:val="24"/>
        </w:rPr>
        <w:t>SEGUNDO.-</w:t>
      </w:r>
      <w:bookmarkStart w:id="0" w:name="_GoBack"/>
      <w:bookmarkEnd w:id="0"/>
      <w:r w:rsidRPr="00D11A64">
        <w:rPr>
          <w:rFonts w:ascii="Arial" w:hAnsi="Arial" w:cs="Arial"/>
          <w:sz w:val="24"/>
          <w:szCs w:val="24"/>
        </w:rPr>
        <w:t xml:space="preserve"> </w:t>
      </w:r>
      <w:r>
        <w:rPr>
          <w:rFonts w:ascii="Arial" w:hAnsi="Arial" w:cs="Arial"/>
          <w:sz w:val="24"/>
          <w:szCs w:val="24"/>
        </w:rPr>
        <w:t>Por auto de veintiuno de junio de dos mil diecinueve, se requirió al actor para que acreditara la representación legal mediante copia certificada del instrumento notarial, exhibiera las pruebas ofrecidas, así como los traslado de ley correspondientes.</w:t>
      </w:r>
    </w:p>
    <w:p w:rsidR="00A7580D" w:rsidRDefault="00A7580D" w:rsidP="00A7580D">
      <w:pPr>
        <w:spacing w:line="360" w:lineRule="auto"/>
        <w:jc w:val="both"/>
        <w:rPr>
          <w:rFonts w:ascii="Arial" w:hAnsi="Arial" w:cs="Arial"/>
          <w:sz w:val="24"/>
          <w:szCs w:val="24"/>
        </w:rPr>
      </w:pPr>
    </w:p>
    <w:p w:rsidR="00A7580D" w:rsidRPr="00D11A64" w:rsidRDefault="00A7580D" w:rsidP="00A7580D">
      <w:pPr>
        <w:spacing w:line="360" w:lineRule="auto"/>
        <w:jc w:val="both"/>
        <w:rPr>
          <w:rFonts w:ascii="Arial" w:hAnsi="Arial" w:cs="Arial"/>
          <w:sz w:val="24"/>
          <w:szCs w:val="24"/>
        </w:rPr>
      </w:pPr>
      <w:r>
        <w:rPr>
          <w:rFonts w:ascii="Arial" w:hAnsi="Arial" w:cs="Arial"/>
          <w:sz w:val="24"/>
          <w:szCs w:val="24"/>
        </w:rPr>
        <w:tab/>
      </w:r>
      <w:r>
        <w:rPr>
          <w:rFonts w:ascii="Arial" w:hAnsi="Arial" w:cs="Arial"/>
          <w:b/>
          <w:bCs/>
          <w:sz w:val="24"/>
          <w:szCs w:val="24"/>
        </w:rPr>
        <w:t xml:space="preserve">TERCERO.- </w:t>
      </w:r>
      <w:r>
        <w:rPr>
          <w:rFonts w:ascii="Arial" w:hAnsi="Arial" w:cs="Arial"/>
          <w:sz w:val="24"/>
          <w:szCs w:val="24"/>
        </w:rPr>
        <w:t xml:space="preserve">Mediante proveído de veintidós de agosto de dos mil diecinueve, se tuvo al actor cumpliendo con el requerimiento formulado en proveído de veintiuno de junio de dos mil diecinueve, </w:t>
      </w:r>
      <w:r w:rsidRPr="00D11A64">
        <w:rPr>
          <w:rFonts w:ascii="Arial" w:hAnsi="Arial" w:cs="Arial"/>
          <w:b/>
          <w:bCs/>
          <w:sz w:val="24"/>
          <w:szCs w:val="24"/>
        </w:rPr>
        <w:t>admiti</w:t>
      </w:r>
      <w:r>
        <w:rPr>
          <w:rFonts w:ascii="Arial" w:hAnsi="Arial" w:cs="Arial"/>
          <w:b/>
          <w:bCs/>
          <w:sz w:val="24"/>
          <w:szCs w:val="24"/>
        </w:rPr>
        <w:t xml:space="preserve">éndose </w:t>
      </w:r>
      <w:r w:rsidRPr="0030585C">
        <w:rPr>
          <w:rFonts w:ascii="Arial" w:hAnsi="Arial" w:cs="Arial"/>
          <w:sz w:val="24"/>
          <w:szCs w:val="24"/>
        </w:rPr>
        <w:t>a trámite</w:t>
      </w:r>
      <w:r w:rsidRPr="00D11A64">
        <w:rPr>
          <w:rFonts w:ascii="Arial" w:hAnsi="Arial" w:cs="Arial"/>
          <w:sz w:val="24"/>
          <w:szCs w:val="24"/>
        </w:rPr>
        <w:t xml:space="preserve"> la demanda interpuesta, ordenándose notificar, correr traslado, emplazar y apercibir a la autoridad demandada </w:t>
      </w:r>
      <w:r>
        <w:rPr>
          <w:rFonts w:ascii="Arial" w:hAnsi="Arial" w:cs="Arial"/>
          <w:b/>
          <w:bCs/>
          <w:sz w:val="24"/>
          <w:szCs w:val="24"/>
        </w:rPr>
        <w:t>TESORERA MUNICIPAL DE LA VILLA DE ETLA, OAXACA</w:t>
      </w:r>
      <w:r w:rsidRPr="00D11A64">
        <w:rPr>
          <w:rFonts w:ascii="Arial" w:hAnsi="Arial" w:cs="Arial"/>
          <w:sz w:val="24"/>
          <w:szCs w:val="24"/>
        </w:rPr>
        <w:t xml:space="preserve">, para que produjera su contestación en los términos de ley. </w:t>
      </w:r>
    </w:p>
    <w:p w:rsidR="00A7580D" w:rsidRPr="00D11A64" w:rsidRDefault="00A7580D" w:rsidP="00A7580D">
      <w:pPr>
        <w:spacing w:line="360" w:lineRule="auto"/>
        <w:jc w:val="both"/>
        <w:rPr>
          <w:rFonts w:ascii="Arial" w:hAnsi="Arial" w:cs="Arial"/>
          <w:sz w:val="24"/>
          <w:szCs w:val="24"/>
        </w:rPr>
      </w:pPr>
    </w:p>
    <w:p w:rsidR="00A7580D" w:rsidRPr="00D11A64" w:rsidRDefault="00A7580D" w:rsidP="00A7580D">
      <w:pPr>
        <w:spacing w:line="360" w:lineRule="auto"/>
        <w:jc w:val="both"/>
        <w:rPr>
          <w:rFonts w:ascii="Arial" w:hAnsi="Arial" w:cs="Arial"/>
          <w:bCs/>
          <w:sz w:val="24"/>
          <w:szCs w:val="24"/>
        </w:rPr>
      </w:pPr>
      <w:r w:rsidRPr="00D11A64">
        <w:rPr>
          <w:rFonts w:ascii="Arial" w:hAnsi="Arial" w:cs="Arial"/>
          <w:sz w:val="24"/>
          <w:szCs w:val="24"/>
        </w:rPr>
        <w:t xml:space="preserve">       </w:t>
      </w:r>
      <w:r>
        <w:rPr>
          <w:rFonts w:ascii="Arial" w:hAnsi="Arial" w:cs="Arial"/>
          <w:b/>
          <w:bCs/>
          <w:sz w:val="24"/>
          <w:szCs w:val="24"/>
        </w:rPr>
        <w:t>CUARTO</w:t>
      </w:r>
      <w:r w:rsidRPr="00D11A64">
        <w:rPr>
          <w:rFonts w:ascii="Arial" w:hAnsi="Arial" w:cs="Arial"/>
          <w:b/>
          <w:bCs/>
          <w:sz w:val="24"/>
          <w:szCs w:val="24"/>
        </w:rPr>
        <w:t>.-</w:t>
      </w:r>
      <w:r w:rsidRPr="00D11A64">
        <w:rPr>
          <w:rFonts w:ascii="Arial" w:hAnsi="Arial" w:cs="Arial"/>
          <w:b/>
          <w:sz w:val="24"/>
          <w:szCs w:val="24"/>
        </w:rPr>
        <w:t xml:space="preserve"> </w:t>
      </w:r>
      <w:r w:rsidRPr="00D11A64">
        <w:rPr>
          <w:rFonts w:ascii="Arial" w:hAnsi="Arial" w:cs="Arial"/>
          <w:bCs/>
          <w:sz w:val="24"/>
          <w:szCs w:val="24"/>
        </w:rPr>
        <w:t xml:space="preserve">Por auto de </w:t>
      </w:r>
      <w:r>
        <w:rPr>
          <w:rFonts w:ascii="Arial" w:hAnsi="Arial" w:cs="Arial"/>
          <w:bCs/>
          <w:sz w:val="24"/>
          <w:szCs w:val="24"/>
        </w:rPr>
        <w:t>doce de noviembre</w:t>
      </w:r>
      <w:r w:rsidRPr="00D11A64">
        <w:rPr>
          <w:rFonts w:ascii="Arial" w:hAnsi="Arial" w:cs="Arial"/>
          <w:bCs/>
          <w:sz w:val="24"/>
          <w:szCs w:val="24"/>
        </w:rPr>
        <w:t xml:space="preserve"> de dos mil diecinueve, se tuvo </w:t>
      </w:r>
      <w:r>
        <w:rPr>
          <w:rFonts w:ascii="Arial" w:hAnsi="Arial" w:cs="Arial"/>
          <w:bCs/>
          <w:sz w:val="24"/>
          <w:szCs w:val="24"/>
        </w:rPr>
        <w:t xml:space="preserve">a </w:t>
      </w:r>
      <w:r w:rsidRPr="00D11A64">
        <w:rPr>
          <w:rFonts w:ascii="Arial" w:hAnsi="Arial" w:cs="Arial"/>
          <w:bCs/>
          <w:sz w:val="24"/>
          <w:szCs w:val="24"/>
        </w:rPr>
        <w:t xml:space="preserve">la </w:t>
      </w:r>
      <w:r>
        <w:rPr>
          <w:rFonts w:ascii="Arial" w:hAnsi="Arial" w:cs="Arial"/>
          <w:b/>
          <w:sz w:val="24"/>
          <w:szCs w:val="24"/>
        </w:rPr>
        <w:t xml:space="preserve">TESORERA MUNICIPAL DE LA VILLA DE ETLA, OAXACA </w:t>
      </w:r>
      <w:r w:rsidRPr="00D11A64">
        <w:rPr>
          <w:rFonts w:ascii="Arial" w:hAnsi="Arial" w:cs="Arial"/>
          <w:bCs/>
          <w:sz w:val="24"/>
          <w:szCs w:val="24"/>
        </w:rPr>
        <w:t>por acreditada la personalidad con la que compar</w:t>
      </w:r>
      <w:r>
        <w:rPr>
          <w:rFonts w:ascii="Arial" w:hAnsi="Arial" w:cs="Arial"/>
          <w:bCs/>
          <w:sz w:val="24"/>
          <w:szCs w:val="24"/>
        </w:rPr>
        <w:t xml:space="preserve">eció a juicio, </w:t>
      </w:r>
      <w:r w:rsidRPr="00D11A64">
        <w:rPr>
          <w:rFonts w:ascii="Arial" w:hAnsi="Arial" w:cs="Arial"/>
          <w:bCs/>
          <w:sz w:val="24"/>
          <w:szCs w:val="24"/>
        </w:rPr>
        <w:t xml:space="preserve">dando contestación a la demanda </w:t>
      </w:r>
      <w:r w:rsidRPr="00D11A64">
        <w:rPr>
          <w:rFonts w:ascii="Arial" w:hAnsi="Arial" w:cs="Arial"/>
          <w:bCs/>
          <w:sz w:val="24"/>
          <w:szCs w:val="24"/>
        </w:rPr>
        <w:lastRenderedPageBreak/>
        <w:t xml:space="preserve">dentro del plazo legal concedido, corriéndosele traslado al actor, para </w:t>
      </w:r>
      <w:r>
        <w:rPr>
          <w:rFonts w:ascii="Arial" w:hAnsi="Arial" w:cs="Arial"/>
          <w:bCs/>
          <w:sz w:val="24"/>
          <w:szCs w:val="24"/>
        </w:rPr>
        <w:t>los efectos legales correspondientes</w:t>
      </w:r>
      <w:r w:rsidRPr="00D11A64">
        <w:rPr>
          <w:rFonts w:ascii="Arial" w:hAnsi="Arial" w:cs="Arial"/>
          <w:bCs/>
          <w:sz w:val="24"/>
          <w:szCs w:val="24"/>
        </w:rPr>
        <w:t>.</w:t>
      </w:r>
      <w:r>
        <w:rPr>
          <w:rFonts w:ascii="Arial" w:hAnsi="Arial" w:cs="Arial"/>
          <w:bCs/>
          <w:sz w:val="24"/>
          <w:szCs w:val="24"/>
        </w:rPr>
        <w:t xml:space="preserve"> En consecuencia, se señalaron las </w:t>
      </w:r>
      <w:r>
        <w:rPr>
          <w:rFonts w:ascii="Arial" w:hAnsi="Arial" w:cs="Arial"/>
          <w:b/>
          <w:sz w:val="24"/>
          <w:szCs w:val="24"/>
        </w:rPr>
        <w:t xml:space="preserve">DOCE HORAS </w:t>
      </w:r>
      <w:r>
        <w:rPr>
          <w:rFonts w:ascii="Arial" w:hAnsi="Arial" w:cs="Arial"/>
          <w:bCs/>
          <w:sz w:val="24"/>
          <w:szCs w:val="24"/>
        </w:rPr>
        <w:t xml:space="preserve">del </w:t>
      </w:r>
      <w:r>
        <w:rPr>
          <w:rFonts w:ascii="Arial" w:hAnsi="Arial" w:cs="Arial"/>
          <w:b/>
          <w:sz w:val="24"/>
          <w:szCs w:val="24"/>
        </w:rPr>
        <w:t>ONCE DE DICIEMBRE DE DOS MIL DIECINUEVE</w:t>
      </w:r>
      <w:r>
        <w:rPr>
          <w:rFonts w:ascii="Arial" w:hAnsi="Arial" w:cs="Arial"/>
          <w:bCs/>
          <w:sz w:val="24"/>
          <w:szCs w:val="24"/>
        </w:rPr>
        <w:t xml:space="preserve"> para la celebración de la Audiencia Final.</w:t>
      </w:r>
    </w:p>
    <w:p w:rsidR="00A7580D" w:rsidRDefault="00A7580D" w:rsidP="00A7580D">
      <w:pPr>
        <w:spacing w:line="360" w:lineRule="auto"/>
        <w:ind w:firstLine="426"/>
        <w:jc w:val="both"/>
        <w:rPr>
          <w:rFonts w:ascii="Arial" w:hAnsi="Arial" w:cs="Arial"/>
          <w:b/>
          <w:sz w:val="24"/>
          <w:szCs w:val="24"/>
        </w:rPr>
      </w:pPr>
    </w:p>
    <w:p w:rsidR="00A7580D" w:rsidRPr="00D11A64" w:rsidRDefault="00A7580D" w:rsidP="00A7580D">
      <w:pPr>
        <w:spacing w:line="360" w:lineRule="auto"/>
        <w:ind w:firstLine="426"/>
        <w:jc w:val="both"/>
        <w:rPr>
          <w:rFonts w:ascii="Arial" w:hAnsi="Arial" w:cs="Arial"/>
          <w:sz w:val="24"/>
          <w:szCs w:val="24"/>
        </w:rPr>
      </w:pPr>
      <w:r>
        <w:rPr>
          <w:rFonts w:ascii="Arial" w:hAnsi="Arial" w:cs="Arial"/>
          <w:b/>
          <w:sz w:val="24"/>
          <w:szCs w:val="24"/>
        </w:rPr>
        <w:t>QUINTO.-</w:t>
      </w:r>
      <w:r w:rsidRPr="00D11A64">
        <w:rPr>
          <w:rFonts w:ascii="Arial" w:hAnsi="Arial" w:cs="Arial"/>
          <w:b/>
          <w:sz w:val="24"/>
          <w:szCs w:val="24"/>
        </w:rPr>
        <w:t xml:space="preserve"> </w:t>
      </w:r>
      <w:r w:rsidRPr="00D11A64">
        <w:rPr>
          <w:rFonts w:ascii="Arial" w:hAnsi="Arial" w:cs="Arial"/>
          <w:sz w:val="24"/>
          <w:szCs w:val="24"/>
        </w:rPr>
        <w:t xml:space="preserve">Siendo las </w:t>
      </w:r>
      <w:r w:rsidRPr="00D11A64">
        <w:rPr>
          <w:rFonts w:ascii="Arial" w:hAnsi="Arial" w:cs="Arial"/>
          <w:b/>
          <w:bCs/>
          <w:sz w:val="24"/>
          <w:szCs w:val="24"/>
        </w:rPr>
        <w:t>DOCE HORAS</w:t>
      </w:r>
      <w:r w:rsidRPr="00D11A64">
        <w:rPr>
          <w:rFonts w:ascii="Arial" w:hAnsi="Arial" w:cs="Arial"/>
          <w:sz w:val="24"/>
          <w:szCs w:val="24"/>
        </w:rPr>
        <w:t xml:space="preserve"> del </w:t>
      </w:r>
      <w:r>
        <w:rPr>
          <w:rFonts w:ascii="Arial" w:hAnsi="Arial" w:cs="Arial"/>
          <w:b/>
          <w:bCs/>
          <w:sz w:val="24"/>
          <w:szCs w:val="24"/>
        </w:rPr>
        <w:t>ONCE</w:t>
      </w:r>
      <w:r w:rsidRPr="00D11A64">
        <w:rPr>
          <w:rFonts w:ascii="Arial" w:hAnsi="Arial" w:cs="Arial"/>
          <w:b/>
          <w:bCs/>
          <w:sz w:val="24"/>
          <w:szCs w:val="24"/>
        </w:rPr>
        <w:t xml:space="preserve"> DE DICIEMBRE DE DOS MIL DIECINUEVE</w:t>
      </w:r>
      <w:r w:rsidRPr="00D11A64">
        <w:rPr>
          <w:rFonts w:ascii="Arial" w:hAnsi="Arial" w:cs="Arial"/>
          <w:sz w:val="24"/>
          <w:szCs w:val="24"/>
        </w:rPr>
        <w:t>, se llevó a cabo la Audiencia de Ley, en la que no se presentaron las partes, ni persona alguna que legalmente las representara, asentando la Secretaria de Acuerdos de esta Sala Unitaria que, a su vez ninguna de las partes presentó alegatos, por lo que se citó a las partes a oír sentencia dentro del término de ley</w:t>
      </w:r>
      <w:r>
        <w:rPr>
          <w:rFonts w:ascii="Arial" w:hAnsi="Arial" w:cs="Arial"/>
          <w:sz w:val="24"/>
          <w:szCs w:val="24"/>
        </w:rPr>
        <w:t>, misma que ahora se pronuncia, y;</w:t>
      </w:r>
      <w:r w:rsidRPr="00D11A64">
        <w:rPr>
          <w:rFonts w:ascii="Arial" w:hAnsi="Arial" w:cs="Arial"/>
          <w:sz w:val="24"/>
          <w:szCs w:val="24"/>
        </w:rPr>
        <w:t xml:space="preserve"> </w:t>
      </w:r>
    </w:p>
    <w:p w:rsidR="00A7580D" w:rsidRPr="00D11A64" w:rsidRDefault="00A7580D" w:rsidP="00A7580D">
      <w:pPr>
        <w:pStyle w:val="corte4fondo"/>
        <w:ind w:right="51" w:firstLine="0"/>
        <w:rPr>
          <w:rFonts w:cs="Arial"/>
          <w:bCs/>
          <w:sz w:val="24"/>
          <w:szCs w:val="24"/>
        </w:rPr>
      </w:pPr>
    </w:p>
    <w:p w:rsidR="00A7580D" w:rsidRPr="00D11A64" w:rsidRDefault="00A7580D" w:rsidP="00A7580D">
      <w:pPr>
        <w:spacing w:line="360" w:lineRule="auto"/>
        <w:jc w:val="both"/>
        <w:rPr>
          <w:rFonts w:ascii="Arial" w:hAnsi="Arial" w:cs="Arial"/>
          <w:b/>
          <w:spacing w:val="-3"/>
          <w:sz w:val="24"/>
          <w:szCs w:val="24"/>
          <w:lang w:val="es-ES_tradnl"/>
        </w:rPr>
      </w:pPr>
      <w:r w:rsidRPr="00D11A64">
        <w:rPr>
          <w:rFonts w:ascii="Arial" w:hAnsi="Arial" w:cs="Arial"/>
          <w:b/>
          <w:spacing w:val="-3"/>
          <w:sz w:val="24"/>
          <w:szCs w:val="24"/>
          <w:lang w:val="es-ES_tradnl"/>
        </w:rPr>
        <w:t xml:space="preserve"> </w:t>
      </w:r>
      <w:r w:rsidRPr="00D11A64">
        <w:rPr>
          <w:rFonts w:ascii="Arial" w:hAnsi="Arial" w:cs="Arial"/>
          <w:b/>
          <w:spacing w:val="-3"/>
          <w:sz w:val="24"/>
          <w:szCs w:val="24"/>
          <w:lang w:val="es-ES_tradnl"/>
        </w:rPr>
        <w:tab/>
      </w:r>
      <w:r w:rsidRPr="00D11A64">
        <w:rPr>
          <w:rFonts w:ascii="Arial" w:hAnsi="Arial" w:cs="Arial"/>
          <w:b/>
          <w:spacing w:val="-3"/>
          <w:sz w:val="24"/>
          <w:szCs w:val="24"/>
          <w:lang w:val="es-ES_tradnl"/>
        </w:rPr>
        <w:tab/>
      </w:r>
      <w:r w:rsidRPr="00D11A64">
        <w:rPr>
          <w:rFonts w:ascii="Arial" w:hAnsi="Arial" w:cs="Arial"/>
          <w:b/>
          <w:spacing w:val="-3"/>
          <w:sz w:val="24"/>
          <w:szCs w:val="24"/>
          <w:lang w:val="es-ES_tradnl"/>
        </w:rPr>
        <w:tab/>
      </w:r>
      <w:r w:rsidRPr="00D11A64">
        <w:rPr>
          <w:rFonts w:ascii="Arial" w:hAnsi="Arial" w:cs="Arial"/>
          <w:b/>
          <w:spacing w:val="-3"/>
          <w:sz w:val="24"/>
          <w:szCs w:val="24"/>
          <w:lang w:val="es-ES_tradnl"/>
        </w:rPr>
        <w:tab/>
        <w:t>C O N S I D E R A N D O:</w:t>
      </w:r>
    </w:p>
    <w:p w:rsidR="00A7580D" w:rsidRPr="00D11A64" w:rsidRDefault="00A7580D" w:rsidP="00A7580D">
      <w:pPr>
        <w:tabs>
          <w:tab w:val="left" w:pos="2103"/>
        </w:tabs>
        <w:spacing w:line="360" w:lineRule="auto"/>
        <w:rPr>
          <w:rFonts w:ascii="Arial" w:hAnsi="Arial" w:cs="Arial"/>
          <w:b/>
          <w:spacing w:val="-3"/>
          <w:sz w:val="24"/>
          <w:szCs w:val="24"/>
          <w:lang w:val="es-ES_tradnl"/>
        </w:rPr>
      </w:pPr>
    </w:p>
    <w:p w:rsidR="00A7580D" w:rsidRPr="000B6BF7" w:rsidRDefault="00A7580D" w:rsidP="00A7580D">
      <w:pPr>
        <w:spacing w:line="360" w:lineRule="auto"/>
        <w:ind w:hanging="426"/>
        <w:jc w:val="both"/>
        <w:rPr>
          <w:rFonts w:ascii="Arial" w:hAnsi="Arial" w:cs="Arial"/>
          <w:sz w:val="24"/>
          <w:szCs w:val="24"/>
        </w:rPr>
      </w:pPr>
      <w:r w:rsidRPr="00D11A64">
        <w:rPr>
          <w:rFonts w:ascii="Arial" w:hAnsi="Arial" w:cs="Arial"/>
          <w:b/>
          <w:sz w:val="24"/>
          <w:szCs w:val="24"/>
          <w:lang w:val="es-ES_tradnl"/>
        </w:rPr>
        <w:tab/>
        <w:t xml:space="preserve">          </w:t>
      </w:r>
      <w:r w:rsidRPr="00D11A64">
        <w:rPr>
          <w:rFonts w:ascii="Arial" w:hAnsi="Arial" w:cs="Arial"/>
          <w:b/>
          <w:sz w:val="24"/>
          <w:szCs w:val="24"/>
        </w:rPr>
        <w:t xml:space="preserve">PRIMERO.- </w:t>
      </w:r>
      <w:r w:rsidRPr="000B6BF7">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Pr>
          <w:rFonts w:ascii="Arial" w:hAnsi="Arial" w:cs="Arial"/>
          <w:sz w:val="24"/>
          <w:szCs w:val="24"/>
        </w:rPr>
        <w:t>municipal</w:t>
      </w:r>
      <w:r w:rsidRPr="000B6BF7">
        <w:rPr>
          <w:rFonts w:ascii="Arial" w:hAnsi="Arial" w:cs="Arial"/>
          <w:sz w:val="24"/>
          <w:szCs w:val="24"/>
        </w:rPr>
        <w:t xml:space="preserve">, con fundamento en el artículo 114 QUATER, párrafo primero, inciso B, de la Constitución Política del Estado Libre y Soberano de Oaxaca; así como en términos de los artículos </w:t>
      </w:r>
      <w:r>
        <w:rPr>
          <w:rFonts w:ascii="Arial" w:hAnsi="Arial" w:cs="Arial"/>
          <w:sz w:val="24"/>
          <w:szCs w:val="24"/>
        </w:rPr>
        <w:t xml:space="preserve">132 fracción II, 133 fracción I, </w:t>
      </w:r>
      <w:r w:rsidRPr="000B6BF7">
        <w:rPr>
          <w:rFonts w:ascii="Arial" w:hAnsi="Arial" w:cs="Arial"/>
          <w:sz w:val="24"/>
          <w:szCs w:val="24"/>
        </w:rPr>
        <w:t xml:space="preserve">146 y 147 de la Ley de Procedimiento y Justicia Administrativa para el Estado de Oaxaca. </w:t>
      </w:r>
    </w:p>
    <w:p w:rsidR="00A7580D" w:rsidRPr="00D11A64" w:rsidRDefault="00A7580D" w:rsidP="00A7580D">
      <w:pPr>
        <w:spacing w:line="360" w:lineRule="auto"/>
        <w:jc w:val="both"/>
        <w:rPr>
          <w:rFonts w:ascii="Arial" w:hAnsi="Arial" w:cs="Arial"/>
          <w:sz w:val="24"/>
          <w:szCs w:val="24"/>
        </w:rPr>
      </w:pPr>
    </w:p>
    <w:p w:rsidR="00A7580D" w:rsidRPr="00D11A64" w:rsidRDefault="00A7580D" w:rsidP="00A7580D">
      <w:pPr>
        <w:pStyle w:val="corte4fondo"/>
        <w:ind w:right="51" w:firstLine="0"/>
        <w:rPr>
          <w:rFonts w:cs="Arial"/>
          <w:sz w:val="24"/>
          <w:szCs w:val="24"/>
        </w:rPr>
      </w:pPr>
      <w:r w:rsidRPr="00D11A64">
        <w:rPr>
          <w:rFonts w:cs="Arial"/>
          <w:b/>
          <w:snapToGrid w:val="0"/>
          <w:sz w:val="24"/>
          <w:szCs w:val="24"/>
        </w:rPr>
        <w:t xml:space="preserve">           SEGUNDO.- </w:t>
      </w:r>
      <w:r w:rsidRPr="00D11A64">
        <w:rPr>
          <w:rFonts w:cs="Arial"/>
          <w:sz w:val="24"/>
          <w:szCs w:val="24"/>
        </w:rPr>
        <w:t>La personalidad de las partes quedó acreditada en autos, en términos de</w:t>
      </w:r>
      <w:r>
        <w:rPr>
          <w:rFonts w:cs="Arial"/>
          <w:sz w:val="24"/>
          <w:szCs w:val="24"/>
        </w:rPr>
        <w:t xml:space="preserve"> </w:t>
      </w:r>
      <w:r w:rsidRPr="00D11A64">
        <w:rPr>
          <w:rFonts w:cs="Arial"/>
          <w:sz w:val="24"/>
          <w:szCs w:val="24"/>
        </w:rPr>
        <w:t>l</w:t>
      </w:r>
      <w:r>
        <w:rPr>
          <w:rFonts w:cs="Arial"/>
          <w:sz w:val="24"/>
          <w:szCs w:val="24"/>
        </w:rPr>
        <w:t>os</w:t>
      </w:r>
      <w:r w:rsidRPr="00D11A64">
        <w:rPr>
          <w:rFonts w:cs="Arial"/>
          <w:sz w:val="24"/>
          <w:szCs w:val="24"/>
        </w:rPr>
        <w:t xml:space="preserve"> artículo</w:t>
      </w:r>
      <w:r>
        <w:rPr>
          <w:rFonts w:cs="Arial"/>
          <w:sz w:val="24"/>
          <w:szCs w:val="24"/>
        </w:rPr>
        <w:t xml:space="preserve">s 148, párrafo segundo, </w:t>
      </w:r>
      <w:r w:rsidRPr="00D11A64">
        <w:rPr>
          <w:rFonts w:cs="Arial"/>
          <w:snapToGrid w:val="0"/>
          <w:sz w:val="24"/>
          <w:szCs w:val="24"/>
        </w:rPr>
        <w:t>150</w:t>
      </w:r>
      <w:r>
        <w:rPr>
          <w:rFonts w:cs="Arial"/>
          <w:snapToGrid w:val="0"/>
          <w:sz w:val="24"/>
          <w:szCs w:val="24"/>
        </w:rPr>
        <w:t xml:space="preserve"> y 151 </w:t>
      </w:r>
      <w:r w:rsidRPr="00D11A64">
        <w:rPr>
          <w:rFonts w:cs="Arial"/>
          <w:snapToGrid w:val="0"/>
          <w:sz w:val="24"/>
          <w:szCs w:val="24"/>
        </w:rPr>
        <w:t xml:space="preserve">de la Ley de Procedimiento y Justicia Administrativa para el Estado de Oaxaca, </w:t>
      </w:r>
      <w:r w:rsidRPr="00D11A64">
        <w:rPr>
          <w:rFonts w:cs="Arial"/>
          <w:sz w:val="24"/>
          <w:szCs w:val="24"/>
        </w:rPr>
        <w:t xml:space="preserve">ya que </w:t>
      </w:r>
      <w:r>
        <w:rPr>
          <w:rFonts w:cs="Arial"/>
          <w:sz w:val="24"/>
          <w:szCs w:val="24"/>
        </w:rPr>
        <w:t xml:space="preserve">la representación legal de la persona moral </w:t>
      </w:r>
      <w:r>
        <w:rPr>
          <w:rFonts w:cs="Arial"/>
          <w:b/>
          <w:sz w:val="24"/>
          <w:szCs w:val="24"/>
        </w:rPr>
        <w:t>**********</w:t>
      </w:r>
      <w:r>
        <w:rPr>
          <w:rFonts w:cs="Arial"/>
          <w:b/>
          <w:sz w:val="24"/>
          <w:szCs w:val="24"/>
        </w:rPr>
        <w:t xml:space="preserve"> </w:t>
      </w:r>
      <w:r>
        <w:rPr>
          <w:rFonts w:cs="Arial"/>
          <w:sz w:val="24"/>
          <w:szCs w:val="24"/>
        </w:rPr>
        <w:t xml:space="preserve">quedó acreditada mediante copia certificada del Instrumento Notarial </w:t>
      </w:r>
      <w:r>
        <w:rPr>
          <w:rFonts w:cs="Arial"/>
          <w:b/>
          <w:sz w:val="24"/>
          <w:szCs w:val="24"/>
        </w:rPr>
        <w:t>**********</w:t>
      </w:r>
      <w:r>
        <w:rPr>
          <w:rFonts w:cs="Arial"/>
          <w:sz w:val="24"/>
          <w:szCs w:val="24"/>
        </w:rPr>
        <w:t xml:space="preserve">, volumen </w:t>
      </w:r>
      <w:r>
        <w:rPr>
          <w:rFonts w:cs="Arial"/>
          <w:b/>
          <w:sz w:val="24"/>
          <w:szCs w:val="24"/>
        </w:rPr>
        <w:t>**********</w:t>
      </w:r>
      <w:r>
        <w:rPr>
          <w:rFonts w:cs="Arial"/>
          <w:sz w:val="24"/>
          <w:szCs w:val="24"/>
        </w:rPr>
        <w:t xml:space="preserve">, de </w:t>
      </w:r>
      <w:r>
        <w:rPr>
          <w:rFonts w:cs="Arial"/>
          <w:b/>
          <w:sz w:val="24"/>
          <w:szCs w:val="24"/>
        </w:rPr>
        <w:t>**********</w:t>
      </w:r>
      <w:r>
        <w:rPr>
          <w:rFonts w:cs="Arial"/>
          <w:sz w:val="24"/>
          <w:szCs w:val="24"/>
        </w:rPr>
        <w:t>, levantado ante la fe del Licenciado Guillermo Vera Gallegos, Notario Público número treinta y uno del Estado de Oaxaca</w:t>
      </w:r>
      <w:r w:rsidRPr="00D11A64">
        <w:rPr>
          <w:rFonts w:cs="Arial"/>
          <w:sz w:val="24"/>
          <w:szCs w:val="24"/>
        </w:rPr>
        <w:t>, y la</w:t>
      </w:r>
      <w:r>
        <w:rPr>
          <w:rFonts w:cs="Arial"/>
          <w:sz w:val="24"/>
          <w:szCs w:val="24"/>
        </w:rPr>
        <w:t xml:space="preserve"> de la</w:t>
      </w:r>
      <w:r w:rsidRPr="00D11A64">
        <w:rPr>
          <w:rFonts w:cs="Arial"/>
          <w:sz w:val="24"/>
          <w:szCs w:val="24"/>
        </w:rPr>
        <w:t xml:space="preserve"> Autoridad demandada </w:t>
      </w:r>
      <w:r>
        <w:rPr>
          <w:rFonts w:cs="Arial"/>
          <w:sz w:val="24"/>
          <w:szCs w:val="24"/>
        </w:rPr>
        <w:t>a través de la copia</w:t>
      </w:r>
      <w:r w:rsidRPr="00D11A64">
        <w:rPr>
          <w:rFonts w:cs="Arial"/>
          <w:sz w:val="24"/>
          <w:szCs w:val="24"/>
        </w:rPr>
        <w:t xml:space="preserve"> certificada de</w:t>
      </w:r>
      <w:r>
        <w:rPr>
          <w:rFonts w:cs="Arial"/>
          <w:sz w:val="24"/>
          <w:szCs w:val="24"/>
        </w:rPr>
        <w:t>l nombramiento exhibido;</w:t>
      </w:r>
      <w:r w:rsidRPr="00D11A64">
        <w:rPr>
          <w:rFonts w:cs="Arial"/>
          <w:sz w:val="24"/>
          <w:szCs w:val="24"/>
        </w:rPr>
        <w:t xml:space="preserve"> documentales que adquieren valor probatorio pleno en términos del artículo 203 fracción I, de la Ley que rige a este Tribunal, quedando con ello acreditada la personalidad de las partes dentro del presente juicio. </w:t>
      </w:r>
    </w:p>
    <w:p w:rsidR="00A7580D" w:rsidRPr="00D11A64" w:rsidRDefault="00A7580D" w:rsidP="00A7580D">
      <w:pPr>
        <w:spacing w:line="360" w:lineRule="auto"/>
        <w:ind w:right="51" w:firstLine="709"/>
        <w:jc w:val="both"/>
        <w:rPr>
          <w:rFonts w:ascii="Arial" w:hAnsi="Arial" w:cs="Arial"/>
          <w:snapToGrid w:val="0"/>
          <w:sz w:val="24"/>
          <w:szCs w:val="24"/>
        </w:rPr>
      </w:pPr>
    </w:p>
    <w:p w:rsidR="00A7580D" w:rsidRPr="00D11A64" w:rsidRDefault="00A7580D" w:rsidP="00A7580D">
      <w:pPr>
        <w:spacing w:line="360" w:lineRule="auto"/>
        <w:ind w:right="51" w:firstLine="567"/>
        <w:jc w:val="both"/>
        <w:rPr>
          <w:rFonts w:ascii="Arial" w:hAnsi="Arial" w:cs="Arial"/>
          <w:sz w:val="24"/>
          <w:szCs w:val="24"/>
          <w:lang w:val="es-ES_tradnl"/>
        </w:rPr>
      </w:pPr>
      <w:r w:rsidRPr="00D11A64">
        <w:rPr>
          <w:rFonts w:ascii="Arial" w:hAnsi="Arial" w:cs="Arial"/>
          <w:b/>
          <w:sz w:val="24"/>
          <w:szCs w:val="24"/>
          <w:lang w:val="es-ES_tradnl"/>
        </w:rPr>
        <w:t>TERCERO</w:t>
      </w:r>
      <w:r w:rsidRPr="00D11A64">
        <w:rPr>
          <w:rFonts w:ascii="Arial" w:hAnsi="Arial" w:cs="Arial"/>
          <w:sz w:val="24"/>
          <w:szCs w:val="24"/>
          <w:lang w:val="es-ES_tradnl"/>
        </w:rPr>
        <w:t xml:space="preserve">.- </w:t>
      </w:r>
      <w:r w:rsidRPr="00D11A64">
        <w:rPr>
          <w:rFonts w:ascii="Arial" w:hAnsi="Arial" w:cs="Arial"/>
          <w:sz w:val="24"/>
          <w:szCs w:val="24"/>
        </w:rPr>
        <w:t xml:space="preserve">Por ser las causales de improcedencia y sobreseimiento de interés público y de estudio previo y obligado, esta Quinta Sala Unitaria se encuentra obligada a analizar si se actualiza alguna de las causales de improcedencia o sobreseimiento contenidas en la Ley de Procedimiento y Justicia Administrativa para el Estado de Oaxaca, para lo cual, del estudio de autos se </w:t>
      </w:r>
      <w:r w:rsidRPr="00D11A64">
        <w:rPr>
          <w:rFonts w:ascii="Arial" w:hAnsi="Arial" w:cs="Arial"/>
          <w:sz w:val="24"/>
          <w:szCs w:val="24"/>
        </w:rPr>
        <w:lastRenderedPageBreak/>
        <w:t xml:space="preserve">advierte que no se actualizan ninguna de las causales previstas en los numerales 161 y 162 de la Ley de Procedimiento y Justicia Administrativa para el Estado de Oaxaca, por lo tanto </w:t>
      </w:r>
      <w:r w:rsidRPr="00D11A64">
        <w:rPr>
          <w:rFonts w:ascii="Arial" w:hAnsi="Arial" w:cs="Arial"/>
          <w:b/>
          <w:sz w:val="24"/>
          <w:szCs w:val="24"/>
        </w:rPr>
        <w:t>NO SE SOBRESEE</w:t>
      </w:r>
      <w:r w:rsidRPr="00D11A64">
        <w:rPr>
          <w:rFonts w:ascii="Arial" w:hAnsi="Arial" w:cs="Arial"/>
          <w:sz w:val="24"/>
          <w:szCs w:val="24"/>
        </w:rPr>
        <w:t xml:space="preserve"> el presente juicio</w:t>
      </w:r>
      <w:r w:rsidRPr="00D11A64">
        <w:rPr>
          <w:rFonts w:ascii="Arial" w:hAnsi="Arial" w:cs="Arial"/>
          <w:bCs/>
          <w:sz w:val="24"/>
          <w:szCs w:val="24"/>
        </w:rPr>
        <w:t>.</w:t>
      </w:r>
    </w:p>
    <w:p w:rsidR="00A7580D" w:rsidRPr="00D11A64" w:rsidRDefault="00A7580D" w:rsidP="00A7580D">
      <w:pPr>
        <w:spacing w:line="360" w:lineRule="auto"/>
        <w:jc w:val="both"/>
        <w:rPr>
          <w:rFonts w:ascii="Arial" w:hAnsi="Arial" w:cs="Arial"/>
          <w:sz w:val="24"/>
          <w:szCs w:val="24"/>
        </w:rPr>
      </w:pPr>
      <w:r w:rsidRPr="00D11A64">
        <w:rPr>
          <w:rFonts w:ascii="Arial" w:hAnsi="Arial" w:cs="Arial"/>
          <w:sz w:val="24"/>
          <w:szCs w:val="24"/>
        </w:rPr>
        <w:t xml:space="preserve">        </w:t>
      </w:r>
    </w:p>
    <w:p w:rsidR="00A7580D" w:rsidRPr="00D11A64" w:rsidRDefault="00A7580D" w:rsidP="00A7580D">
      <w:pPr>
        <w:spacing w:line="360" w:lineRule="auto"/>
        <w:ind w:firstLine="708"/>
        <w:jc w:val="both"/>
        <w:rPr>
          <w:rFonts w:ascii="Arial" w:hAnsi="Arial" w:cs="Arial"/>
          <w:sz w:val="24"/>
          <w:szCs w:val="24"/>
        </w:rPr>
      </w:pPr>
      <w:r w:rsidRPr="00D11A64">
        <w:rPr>
          <w:rFonts w:ascii="Arial" w:hAnsi="Arial" w:cs="Arial"/>
          <w:b/>
          <w:sz w:val="24"/>
          <w:szCs w:val="24"/>
        </w:rPr>
        <w:t>CUARTO</w:t>
      </w:r>
      <w:r w:rsidRPr="00D11A64">
        <w:rPr>
          <w:rFonts w:ascii="Arial" w:hAnsi="Arial" w:cs="Arial"/>
          <w:sz w:val="24"/>
          <w:szCs w:val="24"/>
        </w:rPr>
        <w:t xml:space="preserve">.- </w:t>
      </w:r>
      <w:r w:rsidRPr="00D11A64">
        <w:rPr>
          <w:rFonts w:ascii="Arial" w:hAnsi="Arial" w:cs="Arial"/>
          <w:b/>
          <w:bCs/>
          <w:sz w:val="24"/>
          <w:szCs w:val="24"/>
        </w:rPr>
        <w:t xml:space="preserve">Estudio de los Conceptos de Impugnación y pruebas ofrecidas por la parte actora. </w:t>
      </w:r>
      <w:r w:rsidRPr="00D11A64">
        <w:rPr>
          <w:rFonts w:ascii="Arial" w:hAnsi="Arial" w:cs="Arial"/>
          <w:bCs/>
          <w:sz w:val="24"/>
          <w:szCs w:val="24"/>
        </w:rPr>
        <w:t>Los conceptos de impugnación hechos valer por el accionante, se encuentran expuestos en su escrito inicial de demanda, por lo que no existe necesidad de transcribirlos, al no transgredírsele derecho alguno, como tampoco se vulnera disposición expresa que imponga tal obligación</w:t>
      </w:r>
      <w:r w:rsidRPr="00D11A64">
        <w:rPr>
          <w:rFonts w:ascii="Arial" w:hAnsi="Arial" w:cs="Arial"/>
          <w:sz w:val="24"/>
          <w:szCs w:val="24"/>
        </w:rPr>
        <w:t xml:space="preserve">; no obstante, ello, serán valorados en el cuerpo de esta sentencia.  </w:t>
      </w:r>
    </w:p>
    <w:p w:rsidR="00A7580D" w:rsidRPr="00D11A64" w:rsidRDefault="00A7580D" w:rsidP="00A7580D">
      <w:pPr>
        <w:spacing w:line="360" w:lineRule="auto"/>
        <w:jc w:val="both"/>
        <w:rPr>
          <w:rFonts w:ascii="Arial" w:hAnsi="Arial" w:cs="Arial"/>
          <w:sz w:val="24"/>
          <w:szCs w:val="24"/>
        </w:rPr>
      </w:pPr>
    </w:p>
    <w:p w:rsidR="00A7580D" w:rsidRPr="00D11A64" w:rsidRDefault="00A7580D" w:rsidP="00A7580D">
      <w:pPr>
        <w:pStyle w:val="Textonotapie"/>
        <w:widowControl w:val="0"/>
        <w:spacing w:line="360" w:lineRule="auto"/>
        <w:ind w:firstLine="708"/>
        <w:jc w:val="both"/>
        <w:rPr>
          <w:rFonts w:ascii="Arial" w:hAnsi="Arial" w:cs="Arial"/>
          <w:sz w:val="24"/>
          <w:szCs w:val="24"/>
          <w:lang w:eastAsia="es-MX"/>
        </w:rPr>
      </w:pPr>
      <w:r w:rsidRPr="00D11A64">
        <w:rPr>
          <w:rFonts w:ascii="Arial" w:hAnsi="Arial" w:cs="Arial"/>
          <w:sz w:val="24"/>
          <w:szCs w:val="24"/>
          <w:lang w:val="es-MX" w:eastAsia="es-MX"/>
        </w:rPr>
        <w:t>Al respecto resulta aplicable</w:t>
      </w:r>
      <w:r w:rsidRPr="00D11A64">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D11A64">
        <w:rPr>
          <w:rFonts w:ascii="Arial" w:hAnsi="Arial" w:cs="Arial"/>
          <w:i/>
          <w:sz w:val="24"/>
          <w:szCs w:val="24"/>
          <w:lang w:eastAsia="es-MX"/>
        </w:rPr>
        <w:t>Semanario Judicial de la Federación y su Gaceta</w:t>
      </w:r>
      <w:r w:rsidRPr="00D11A64">
        <w:rPr>
          <w:rFonts w:ascii="Arial" w:hAnsi="Arial" w:cs="Arial"/>
          <w:sz w:val="24"/>
          <w:szCs w:val="24"/>
          <w:lang w:eastAsia="es-MX"/>
        </w:rPr>
        <w:t>, Tomo XXXI, mayo de 2010, página 830, de rubro:</w:t>
      </w:r>
    </w:p>
    <w:p w:rsidR="00A7580D" w:rsidRPr="00D11A64" w:rsidRDefault="00A7580D" w:rsidP="00A7580D">
      <w:pPr>
        <w:pStyle w:val="Textonotapie"/>
        <w:widowControl w:val="0"/>
        <w:spacing w:line="276" w:lineRule="auto"/>
        <w:ind w:firstLine="708"/>
        <w:jc w:val="both"/>
        <w:rPr>
          <w:rFonts w:ascii="Arial" w:hAnsi="Arial" w:cs="Arial"/>
          <w:sz w:val="24"/>
          <w:szCs w:val="24"/>
          <w:lang w:eastAsia="es-MX"/>
        </w:rPr>
      </w:pPr>
    </w:p>
    <w:p w:rsidR="00A7580D" w:rsidRPr="00D11A64" w:rsidRDefault="00A7580D" w:rsidP="00A7580D">
      <w:pPr>
        <w:pStyle w:val="Textonotapie"/>
        <w:widowControl w:val="0"/>
        <w:spacing w:line="360" w:lineRule="auto"/>
        <w:ind w:left="1701" w:right="1469"/>
        <w:jc w:val="both"/>
        <w:rPr>
          <w:rFonts w:ascii="Arial" w:hAnsi="Arial" w:cs="Arial"/>
          <w:sz w:val="24"/>
          <w:szCs w:val="24"/>
          <w:lang w:eastAsia="es-MX"/>
        </w:rPr>
      </w:pPr>
    </w:p>
    <w:p w:rsidR="00A7580D" w:rsidRPr="00D11A64" w:rsidRDefault="00A7580D" w:rsidP="00A7580D">
      <w:pPr>
        <w:pStyle w:val="Textonotapie"/>
        <w:widowControl w:val="0"/>
        <w:spacing w:line="360" w:lineRule="auto"/>
        <w:ind w:left="1701" w:right="1469"/>
        <w:jc w:val="both"/>
        <w:rPr>
          <w:rFonts w:ascii="Arial" w:hAnsi="Arial" w:cs="Arial"/>
          <w:b/>
          <w:sz w:val="24"/>
          <w:szCs w:val="24"/>
          <w:lang w:eastAsia="es-MX"/>
        </w:rPr>
      </w:pPr>
      <w:r w:rsidRPr="00D11A64">
        <w:rPr>
          <w:rFonts w:ascii="Arial" w:hAnsi="Arial" w:cs="Arial"/>
          <w:sz w:val="24"/>
          <w:szCs w:val="24"/>
          <w:lang w:eastAsia="es-MX"/>
        </w:rPr>
        <w:t xml:space="preserve"> </w:t>
      </w:r>
      <w:r w:rsidRPr="00D11A64">
        <w:rPr>
          <w:rFonts w:ascii="Arial" w:hAnsi="Arial" w:cs="Arial"/>
          <w:b/>
          <w:sz w:val="24"/>
          <w:szCs w:val="24"/>
          <w:lang w:eastAsia="es-MX"/>
        </w:rPr>
        <w:t>CONCEPTOS DE VIOLACIÓN O AGRAVIOS. PARA CUMPLIR CON LOS PRINCIPIOS DE CONGRUENCIA Y EXHAUSTIVIDAD EN LAS SENTENCIAS DE AMPARO ES INNECESARIA SU TRANSCRIPCIÓN.</w:t>
      </w:r>
    </w:p>
    <w:p w:rsidR="00A7580D" w:rsidRPr="00D11A64" w:rsidRDefault="00A7580D" w:rsidP="00A7580D">
      <w:pPr>
        <w:pStyle w:val="Textonotapie"/>
        <w:widowControl w:val="0"/>
        <w:spacing w:line="360" w:lineRule="auto"/>
        <w:ind w:right="1469"/>
        <w:jc w:val="both"/>
        <w:rPr>
          <w:rFonts w:ascii="Arial" w:hAnsi="Arial" w:cs="Arial"/>
          <w:b/>
          <w:sz w:val="24"/>
          <w:szCs w:val="24"/>
          <w:lang w:eastAsia="es-MX"/>
        </w:rPr>
      </w:pPr>
    </w:p>
    <w:p w:rsidR="00A7580D" w:rsidRPr="009C1FCB" w:rsidRDefault="00A7580D" w:rsidP="00A7580D">
      <w:pPr>
        <w:pStyle w:val="Sangradetextonormal2"/>
        <w:spacing w:line="360" w:lineRule="auto"/>
        <w:ind w:right="51" w:firstLine="0"/>
        <w:jc w:val="both"/>
        <w:rPr>
          <w:rFonts w:ascii="Arial" w:hAnsi="Arial" w:cs="Arial"/>
          <w:sz w:val="24"/>
          <w:szCs w:val="24"/>
        </w:rPr>
      </w:pPr>
      <w:r w:rsidRPr="00D11A64">
        <w:rPr>
          <w:rFonts w:ascii="Arial" w:hAnsi="Arial" w:cs="Arial"/>
          <w:sz w:val="24"/>
          <w:szCs w:val="24"/>
        </w:rPr>
        <w:t xml:space="preserve">         Ahora bien, </w:t>
      </w:r>
      <w:r>
        <w:rPr>
          <w:rFonts w:ascii="Arial" w:hAnsi="Arial" w:cs="Arial"/>
          <w:sz w:val="24"/>
          <w:szCs w:val="24"/>
        </w:rPr>
        <w:t>la parte actora</w:t>
      </w:r>
      <w:r w:rsidRPr="00D11A64">
        <w:rPr>
          <w:rFonts w:ascii="Arial" w:hAnsi="Arial" w:cs="Arial"/>
          <w:sz w:val="24"/>
          <w:szCs w:val="24"/>
        </w:rPr>
        <w:t xml:space="preserve"> </w:t>
      </w:r>
      <w:r>
        <w:rPr>
          <w:rFonts w:cs="Arial"/>
          <w:b/>
          <w:sz w:val="24"/>
          <w:szCs w:val="24"/>
        </w:rPr>
        <w:t>**********</w:t>
      </w:r>
      <w:r w:rsidRPr="00D11A64">
        <w:rPr>
          <w:rFonts w:ascii="Arial" w:hAnsi="Arial" w:cs="Arial"/>
          <w:b/>
          <w:sz w:val="24"/>
          <w:szCs w:val="24"/>
        </w:rPr>
        <w:t>,</w:t>
      </w:r>
      <w:r w:rsidRPr="00D11A64">
        <w:rPr>
          <w:rFonts w:ascii="Arial" w:hAnsi="Arial" w:cs="Arial"/>
          <w:sz w:val="24"/>
          <w:szCs w:val="24"/>
        </w:rPr>
        <w:t xml:space="preserve"> </w:t>
      </w:r>
      <w:r>
        <w:rPr>
          <w:rFonts w:ascii="Arial" w:hAnsi="Arial" w:cs="Arial"/>
          <w:sz w:val="24"/>
          <w:szCs w:val="24"/>
        </w:rPr>
        <w:t xml:space="preserve">a través de su Representante Legal, </w:t>
      </w:r>
      <w:r w:rsidRPr="00D11A64">
        <w:rPr>
          <w:rFonts w:ascii="Arial" w:hAnsi="Arial" w:cs="Arial"/>
          <w:sz w:val="24"/>
          <w:szCs w:val="24"/>
        </w:rPr>
        <w:t>demandó la nulidad de la</w:t>
      </w:r>
      <w:r>
        <w:rPr>
          <w:rFonts w:ascii="Arial" w:hAnsi="Arial" w:cs="Arial"/>
          <w:sz w:val="24"/>
          <w:szCs w:val="24"/>
        </w:rPr>
        <w:t xml:space="preserve"> </w:t>
      </w:r>
      <w:r w:rsidRPr="00D11A64">
        <w:rPr>
          <w:rFonts w:ascii="Arial" w:hAnsi="Arial" w:cs="Arial"/>
          <w:sz w:val="24"/>
          <w:szCs w:val="24"/>
        </w:rPr>
        <w:t xml:space="preserve">resolución de </w:t>
      </w:r>
      <w:r>
        <w:rPr>
          <w:rFonts w:cs="Arial"/>
          <w:b/>
          <w:sz w:val="24"/>
          <w:szCs w:val="24"/>
        </w:rPr>
        <w:t>**********</w:t>
      </w:r>
      <w:r w:rsidRPr="00D11A64">
        <w:rPr>
          <w:rFonts w:ascii="Arial" w:hAnsi="Arial" w:cs="Arial"/>
          <w:sz w:val="24"/>
          <w:szCs w:val="24"/>
        </w:rPr>
        <w:t xml:space="preserve">, dictada en el Expediente Administrativo </w:t>
      </w:r>
      <w:r>
        <w:rPr>
          <w:rFonts w:cs="Arial"/>
          <w:b/>
          <w:sz w:val="24"/>
          <w:szCs w:val="24"/>
        </w:rPr>
        <w:t>**********</w:t>
      </w:r>
      <w:r w:rsidRPr="00D11A64">
        <w:rPr>
          <w:rFonts w:ascii="Arial" w:hAnsi="Arial" w:cs="Arial"/>
          <w:sz w:val="24"/>
          <w:szCs w:val="24"/>
        </w:rPr>
        <w:t xml:space="preserve">, por la </w:t>
      </w:r>
      <w:r w:rsidRPr="00D11A64">
        <w:rPr>
          <w:rFonts w:ascii="Arial" w:hAnsi="Arial" w:cs="Arial"/>
          <w:b/>
          <w:bCs/>
          <w:sz w:val="24"/>
          <w:szCs w:val="24"/>
        </w:rPr>
        <w:t>TESORERA MUNICIPAL DE LA VILLA DE ETLA, OAXACA</w:t>
      </w:r>
      <w:r>
        <w:rPr>
          <w:rFonts w:ascii="Arial" w:hAnsi="Arial" w:cs="Arial"/>
          <w:sz w:val="24"/>
          <w:szCs w:val="24"/>
        </w:rPr>
        <w:t>.</w:t>
      </w:r>
    </w:p>
    <w:p w:rsidR="00A7580D" w:rsidRPr="00D11A64" w:rsidRDefault="00A7580D" w:rsidP="00A7580D">
      <w:pPr>
        <w:pStyle w:val="Sangradetextonormal2"/>
        <w:spacing w:line="360" w:lineRule="auto"/>
        <w:ind w:right="51" w:firstLine="0"/>
        <w:jc w:val="both"/>
        <w:rPr>
          <w:rFonts w:ascii="Arial" w:hAnsi="Arial" w:cs="Arial"/>
          <w:b/>
          <w:bCs/>
          <w:sz w:val="24"/>
          <w:szCs w:val="24"/>
        </w:rPr>
      </w:pPr>
    </w:p>
    <w:p w:rsidR="00A7580D" w:rsidRPr="00D11A64" w:rsidRDefault="00A7580D" w:rsidP="00A7580D">
      <w:pPr>
        <w:pStyle w:val="Sangradetextonormal2"/>
        <w:tabs>
          <w:tab w:val="left" w:pos="2041"/>
        </w:tabs>
        <w:spacing w:line="360" w:lineRule="auto"/>
        <w:ind w:right="51" w:firstLine="0"/>
        <w:jc w:val="both"/>
        <w:rPr>
          <w:rFonts w:ascii="Arial" w:hAnsi="Arial" w:cs="Arial"/>
          <w:bCs/>
          <w:sz w:val="24"/>
          <w:szCs w:val="24"/>
        </w:rPr>
      </w:pPr>
      <w:r w:rsidRPr="00D11A64">
        <w:rPr>
          <w:rFonts w:ascii="Arial" w:hAnsi="Arial" w:cs="Arial"/>
          <w:bCs/>
          <w:sz w:val="24"/>
          <w:szCs w:val="24"/>
        </w:rPr>
        <w:t xml:space="preserve">           E</w:t>
      </w:r>
      <w:r w:rsidRPr="00D11A64">
        <w:rPr>
          <w:rFonts w:ascii="Arial" w:hAnsi="Arial" w:cs="Arial"/>
          <w:sz w:val="24"/>
          <w:szCs w:val="24"/>
        </w:rPr>
        <w:t>st</w:t>
      </w:r>
      <w:r>
        <w:rPr>
          <w:rFonts w:ascii="Arial" w:hAnsi="Arial" w:cs="Arial"/>
          <w:sz w:val="24"/>
          <w:szCs w:val="24"/>
        </w:rPr>
        <w:t>a</w:t>
      </w:r>
      <w:r w:rsidRPr="00D11A64">
        <w:rPr>
          <w:rFonts w:ascii="Arial" w:hAnsi="Arial" w:cs="Arial"/>
          <w:sz w:val="24"/>
          <w:szCs w:val="24"/>
        </w:rPr>
        <w:t xml:space="preserve"> Juzgador</w:t>
      </w:r>
      <w:r>
        <w:rPr>
          <w:rFonts w:ascii="Arial" w:hAnsi="Arial" w:cs="Arial"/>
          <w:sz w:val="24"/>
          <w:szCs w:val="24"/>
        </w:rPr>
        <w:t>a</w:t>
      </w:r>
      <w:r w:rsidRPr="00D11A64">
        <w:rPr>
          <w:rFonts w:ascii="Arial" w:hAnsi="Arial" w:cs="Arial"/>
          <w:sz w:val="24"/>
          <w:szCs w:val="24"/>
        </w:rPr>
        <w:t>, por cuestión de método y técnica jurídica, procede a pronunciarse  respecto a la legalidad de la resolución sujeta a debate, por lo que</w:t>
      </w:r>
      <w:r w:rsidRPr="00D11A64">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rsidR="00A7580D" w:rsidRPr="00D11A64" w:rsidRDefault="00A7580D" w:rsidP="00A7580D">
      <w:pPr>
        <w:spacing w:before="240" w:line="360" w:lineRule="auto"/>
        <w:ind w:left="1134" w:right="902"/>
        <w:jc w:val="both"/>
        <w:rPr>
          <w:rFonts w:ascii="Arial" w:hAnsi="Arial" w:cs="Arial"/>
          <w:b/>
          <w:sz w:val="24"/>
          <w:szCs w:val="24"/>
        </w:rPr>
      </w:pPr>
      <w:r w:rsidRPr="00D11A64">
        <w:rPr>
          <w:rFonts w:ascii="Arial" w:hAnsi="Arial" w:cs="Arial"/>
          <w:b/>
          <w:sz w:val="24"/>
          <w:szCs w:val="24"/>
        </w:rPr>
        <w:t xml:space="preserve">COMPETENCIA DE LAS AUTORIDADES ADMINISTRATIVAS. AL SER UN PRESUPUESTO PROCESAL CUYO ESTUDIO ES DE ORDEN PÚBLICO LAS </w:t>
      </w:r>
      <w:r w:rsidRPr="00D11A64">
        <w:rPr>
          <w:rFonts w:ascii="Arial" w:hAnsi="Arial" w:cs="Arial"/>
          <w:b/>
          <w:sz w:val="24"/>
          <w:szCs w:val="24"/>
        </w:rPr>
        <w:lastRenderedPageBreak/>
        <w:t>SALAS DEL TRIBUNAL FEDERAL DE JUSTICIA FISCAL Y ADMINISTRATIVA DEBEN ANALIZARLA DE OFICIO, SIN DISTINGUIR SI SE TRATA DE LA INDEBIDA, INSUFICIENTE O DE LA FALTA DE FUNDAMENTACIÓN DE AQUÉLLA [TESIS HISTÓRICA].</w:t>
      </w:r>
    </w:p>
    <w:p w:rsidR="00A7580D" w:rsidRPr="00D11A64" w:rsidRDefault="00A7580D" w:rsidP="00A7580D">
      <w:pPr>
        <w:pStyle w:val="Sangradetextonormal2"/>
        <w:spacing w:line="360" w:lineRule="auto"/>
        <w:ind w:right="51" w:firstLine="0"/>
        <w:jc w:val="both"/>
        <w:rPr>
          <w:rFonts w:ascii="Arial" w:hAnsi="Arial" w:cs="Arial"/>
          <w:sz w:val="24"/>
          <w:szCs w:val="24"/>
          <w:lang w:val="es-ES"/>
        </w:rPr>
      </w:pPr>
    </w:p>
    <w:p w:rsidR="00A7580D" w:rsidRPr="00D11A64" w:rsidRDefault="00A7580D" w:rsidP="00A7580D">
      <w:pPr>
        <w:pStyle w:val="Sangradetextonormal2"/>
        <w:spacing w:line="360" w:lineRule="auto"/>
        <w:ind w:right="51" w:firstLine="0"/>
        <w:jc w:val="both"/>
        <w:rPr>
          <w:rFonts w:ascii="Arial" w:hAnsi="Arial" w:cs="Arial"/>
          <w:sz w:val="24"/>
          <w:szCs w:val="24"/>
          <w:lang w:val="es-ES"/>
        </w:rPr>
      </w:pPr>
    </w:p>
    <w:p w:rsidR="00A7580D" w:rsidRPr="00D11A64" w:rsidRDefault="00A7580D" w:rsidP="00A7580D">
      <w:pPr>
        <w:spacing w:line="360" w:lineRule="auto"/>
        <w:jc w:val="both"/>
        <w:rPr>
          <w:rFonts w:ascii="Arial" w:hAnsi="Arial" w:cs="Arial"/>
          <w:sz w:val="24"/>
          <w:szCs w:val="24"/>
        </w:rPr>
      </w:pPr>
      <w:r w:rsidRPr="00D11A64">
        <w:rPr>
          <w:rFonts w:ascii="Arial" w:hAnsi="Arial" w:cs="Arial"/>
          <w:sz w:val="24"/>
          <w:szCs w:val="24"/>
        </w:rPr>
        <w:t xml:space="preserve">       La </w:t>
      </w:r>
      <w:r>
        <w:rPr>
          <w:rFonts w:ascii="Arial" w:hAnsi="Arial" w:cs="Arial"/>
          <w:b/>
          <w:bCs/>
          <w:sz w:val="24"/>
          <w:szCs w:val="24"/>
        </w:rPr>
        <w:t>TESORERA MUNICIPAL DE LA VILLA DE ETLA, OAXACA,</w:t>
      </w:r>
      <w:r w:rsidRPr="00D11A64">
        <w:rPr>
          <w:rFonts w:ascii="Arial" w:hAnsi="Arial" w:cs="Arial"/>
          <w:sz w:val="24"/>
          <w:szCs w:val="24"/>
        </w:rPr>
        <w:t xml:space="preserve"> estableció su competencia en el primer párrafo de la </w:t>
      </w:r>
      <w:r>
        <w:rPr>
          <w:rFonts w:ascii="Arial" w:hAnsi="Arial" w:cs="Arial"/>
          <w:sz w:val="24"/>
          <w:szCs w:val="24"/>
        </w:rPr>
        <w:t xml:space="preserve">resolución dictada en el expediente administrativo </w:t>
      </w:r>
      <w:r>
        <w:rPr>
          <w:rFonts w:cs="Arial"/>
          <w:b/>
          <w:sz w:val="24"/>
          <w:szCs w:val="24"/>
        </w:rPr>
        <w:t>**********</w:t>
      </w:r>
      <w:r>
        <w:rPr>
          <w:rFonts w:ascii="Arial" w:hAnsi="Arial" w:cs="Arial"/>
          <w:sz w:val="24"/>
          <w:szCs w:val="24"/>
        </w:rPr>
        <w:t xml:space="preserve">, de </w:t>
      </w:r>
      <w:r>
        <w:rPr>
          <w:rFonts w:cs="Arial"/>
          <w:b/>
          <w:sz w:val="24"/>
          <w:szCs w:val="24"/>
        </w:rPr>
        <w:t>**********</w:t>
      </w:r>
      <w:r w:rsidRPr="00D11A64">
        <w:rPr>
          <w:rFonts w:ascii="Arial" w:hAnsi="Arial" w:cs="Arial"/>
          <w:sz w:val="24"/>
          <w:szCs w:val="24"/>
        </w:rPr>
        <w:t xml:space="preserve">, que a la letra dice: </w:t>
      </w:r>
      <w:r w:rsidRPr="00D11A64">
        <w:rPr>
          <w:rFonts w:ascii="Arial" w:hAnsi="Arial" w:cs="Arial"/>
          <w:i/>
          <w:iCs/>
          <w:sz w:val="24"/>
          <w:szCs w:val="24"/>
        </w:rPr>
        <w:t>“</w:t>
      </w:r>
      <w:r>
        <w:rPr>
          <w:rFonts w:ascii="Arial" w:hAnsi="Arial" w:cs="Arial"/>
          <w:i/>
          <w:iCs/>
          <w:sz w:val="24"/>
          <w:szCs w:val="24"/>
        </w:rPr>
        <w:t xml:space="preserve">Con fundamento en los artículos (…) 1, 2, fracción VIII, 3 párrafo primero, 5 fracción II y V, 6 fracción III,  (…) del Código Fiscal Municipal del Estado de Oaxaca (…) 93, 95 fracción II y V inciso a), XIII, XIV, XVI, XXI (…) de la Ley Orgánica Municipal del Estado de Oaxaca, 3 fracción III … 17 fracción VII, 19 fracción VII y XIX de la Ley de Ingresos del Municipio de Villa de Etla, para el Ejercicio Fiscal 2019…”; </w:t>
      </w:r>
      <w:r>
        <w:rPr>
          <w:rFonts w:ascii="Arial" w:hAnsi="Arial" w:cs="Arial"/>
          <w:sz w:val="24"/>
          <w:szCs w:val="24"/>
        </w:rPr>
        <w:t>advirtiéndose de los artículos y normatividades</w:t>
      </w:r>
      <w:r w:rsidRPr="00D11A64">
        <w:rPr>
          <w:rFonts w:ascii="Arial" w:hAnsi="Arial" w:cs="Arial"/>
          <w:sz w:val="24"/>
          <w:szCs w:val="24"/>
        </w:rPr>
        <w:t xml:space="preserve"> anteriormente citados se desprende que</w:t>
      </w:r>
      <w:r>
        <w:rPr>
          <w:rFonts w:ascii="Arial" w:hAnsi="Arial" w:cs="Arial"/>
          <w:sz w:val="24"/>
          <w:szCs w:val="24"/>
        </w:rPr>
        <w:t xml:space="preserve"> </w:t>
      </w:r>
      <w:r w:rsidRPr="00D11A64">
        <w:rPr>
          <w:rFonts w:ascii="Arial" w:hAnsi="Arial" w:cs="Arial"/>
          <w:sz w:val="24"/>
          <w:szCs w:val="24"/>
        </w:rPr>
        <w:t>la enjuiciada fundamentó correctamente su competencia para la emisión del acto combatido, siendo incorrecta la apreciación de la parte actora en donde manifiesta que la autoridad demandada no sustentó su competencia para la emisión del acto impugnado.</w:t>
      </w:r>
    </w:p>
    <w:p w:rsidR="00A7580D" w:rsidRPr="00D11A64" w:rsidRDefault="00A7580D" w:rsidP="00A7580D">
      <w:pPr>
        <w:spacing w:line="360" w:lineRule="auto"/>
        <w:ind w:right="-516"/>
        <w:jc w:val="both"/>
        <w:rPr>
          <w:rFonts w:ascii="Arial" w:hAnsi="Arial" w:cs="Arial"/>
          <w:sz w:val="24"/>
          <w:szCs w:val="24"/>
        </w:rPr>
      </w:pPr>
    </w:p>
    <w:p w:rsidR="00A7580D" w:rsidRPr="00D11A64" w:rsidRDefault="00A7580D" w:rsidP="00A7580D">
      <w:pPr>
        <w:spacing w:line="360" w:lineRule="auto"/>
        <w:ind w:right="-516" w:firstLine="709"/>
        <w:jc w:val="both"/>
        <w:rPr>
          <w:rFonts w:ascii="Arial" w:hAnsi="Arial" w:cs="Arial"/>
          <w:sz w:val="24"/>
          <w:szCs w:val="24"/>
          <w:lang w:eastAsia="es-ES"/>
        </w:rPr>
      </w:pPr>
      <w:r w:rsidRPr="00D11A64">
        <w:rPr>
          <w:rFonts w:ascii="Arial" w:hAnsi="Arial" w:cs="Arial"/>
          <w:sz w:val="24"/>
          <w:szCs w:val="24"/>
          <w:lang w:eastAsia="es-ES"/>
        </w:rPr>
        <w:t xml:space="preserve">Ahora bien, esta Sala después de haber analizado la </w:t>
      </w:r>
      <w:r w:rsidRPr="00D11A64">
        <w:rPr>
          <w:rFonts w:ascii="Arial" w:hAnsi="Arial" w:cs="Arial"/>
          <w:sz w:val="24"/>
          <w:szCs w:val="24"/>
        </w:rPr>
        <w:t xml:space="preserve">resolución de </w:t>
      </w:r>
      <w:r>
        <w:rPr>
          <w:rFonts w:cs="Arial"/>
          <w:b/>
          <w:sz w:val="24"/>
          <w:szCs w:val="24"/>
        </w:rPr>
        <w:t>**********</w:t>
      </w:r>
      <w:r w:rsidRPr="00D11A64">
        <w:rPr>
          <w:rFonts w:ascii="Arial" w:hAnsi="Arial" w:cs="Arial"/>
          <w:sz w:val="24"/>
          <w:szCs w:val="24"/>
        </w:rPr>
        <w:t xml:space="preserve"> dictada en el Expediente Administrativo </w:t>
      </w:r>
      <w:r>
        <w:rPr>
          <w:rFonts w:cs="Arial"/>
          <w:b/>
          <w:sz w:val="24"/>
          <w:szCs w:val="24"/>
        </w:rPr>
        <w:t>**********</w:t>
      </w:r>
      <w:r w:rsidRPr="00D11A64">
        <w:rPr>
          <w:rFonts w:ascii="Arial" w:hAnsi="Arial" w:cs="Arial"/>
          <w:sz w:val="24"/>
          <w:szCs w:val="24"/>
        </w:rPr>
        <w:t xml:space="preserve">, por la </w:t>
      </w:r>
      <w:r w:rsidRPr="00D11A64">
        <w:rPr>
          <w:rFonts w:ascii="Arial" w:hAnsi="Arial" w:cs="Arial"/>
          <w:b/>
          <w:bCs/>
          <w:sz w:val="24"/>
          <w:szCs w:val="24"/>
        </w:rPr>
        <w:t>TESORERA MUNICIPAL DE LA VILLA DE ETLA, OAXACA</w:t>
      </w:r>
      <w:r w:rsidRPr="00D11A64">
        <w:rPr>
          <w:rFonts w:ascii="Arial" w:hAnsi="Arial" w:cs="Arial"/>
          <w:sz w:val="24"/>
          <w:szCs w:val="24"/>
          <w:lang w:eastAsia="es-ES"/>
        </w:rPr>
        <w:t xml:space="preserve"> y tomando en consideración los conceptos de impugnación hechos valer por el actor se advierte, que la enjuiciada señaló lo siguiente:</w:t>
      </w:r>
    </w:p>
    <w:p w:rsidR="00A7580D" w:rsidRPr="00D11A64" w:rsidRDefault="00A7580D" w:rsidP="00A7580D">
      <w:pPr>
        <w:spacing w:line="360" w:lineRule="auto"/>
        <w:ind w:left="-709" w:right="-516" w:firstLine="709"/>
        <w:jc w:val="both"/>
        <w:rPr>
          <w:rFonts w:ascii="Arial" w:hAnsi="Arial" w:cs="Arial"/>
          <w:sz w:val="24"/>
          <w:szCs w:val="24"/>
          <w:lang w:eastAsia="es-ES"/>
        </w:rPr>
      </w:pPr>
    </w:p>
    <w:p w:rsidR="00A7580D" w:rsidRPr="000B6B73" w:rsidRDefault="00A7580D" w:rsidP="00A7580D">
      <w:pPr>
        <w:spacing w:line="360" w:lineRule="auto"/>
        <w:ind w:right="51" w:firstLine="708"/>
        <w:jc w:val="both"/>
        <w:rPr>
          <w:rFonts w:ascii="Arial" w:hAnsi="Arial" w:cs="Arial"/>
          <w:iCs/>
          <w:sz w:val="24"/>
          <w:szCs w:val="24"/>
          <w:lang w:val="es-ES_tradnl" w:eastAsia="es-ES"/>
        </w:rPr>
      </w:pPr>
      <w:r w:rsidRPr="00D11A64">
        <w:rPr>
          <w:rFonts w:ascii="Arial" w:hAnsi="Arial" w:cs="Arial"/>
          <w:i/>
          <w:sz w:val="24"/>
          <w:szCs w:val="24"/>
          <w:lang w:eastAsia="es-ES"/>
        </w:rPr>
        <w:t>“</w:t>
      </w:r>
      <w:r>
        <w:rPr>
          <w:rFonts w:ascii="Arial" w:hAnsi="Arial" w:cs="Arial"/>
          <w:i/>
          <w:sz w:val="24"/>
          <w:szCs w:val="24"/>
          <w:lang w:eastAsia="es-ES"/>
        </w:rPr>
        <w:t>… y considerando que ha transcurrido el plazo de los tres primeros meses para regularizar el funcionamiento de los establecimientos comerciales, mismo que concede el artículo 107 de la Ley de Ingresos del Municipio de Villa de Etla, Distrito de Etla, Oaxaca para el Ejercicio Fiscal 2019, y habiendo realizado una búsqueda exhaustiva en el Padrón Fiscal Municipal, del establecimiento comercial denominado “</w:t>
      </w:r>
      <w:r>
        <w:rPr>
          <w:rFonts w:cs="Arial"/>
          <w:b/>
          <w:sz w:val="24"/>
          <w:szCs w:val="24"/>
        </w:rPr>
        <w:t>**********</w:t>
      </w:r>
      <w:r>
        <w:rPr>
          <w:rFonts w:ascii="Arial" w:hAnsi="Arial" w:cs="Arial"/>
          <w:i/>
          <w:sz w:val="24"/>
          <w:szCs w:val="24"/>
          <w:lang w:eastAsia="es-ES"/>
        </w:rPr>
        <w:t xml:space="preserve">” con giros comerciales de “ABARROTES MAYORISTAS Y/O DISTRIBUIDORES” que se ubica en la Calle </w:t>
      </w:r>
      <w:r>
        <w:rPr>
          <w:rFonts w:cs="Arial"/>
          <w:b/>
          <w:sz w:val="24"/>
          <w:szCs w:val="24"/>
        </w:rPr>
        <w:t>**********</w:t>
      </w:r>
      <w:r>
        <w:rPr>
          <w:rFonts w:ascii="Arial" w:hAnsi="Arial" w:cs="Arial"/>
          <w:i/>
          <w:sz w:val="24"/>
          <w:szCs w:val="24"/>
          <w:lang w:eastAsia="es-ES"/>
        </w:rPr>
        <w:t xml:space="preserve"> perteneciente al Municipio de Villa de Etla, Distrito de Etla, Oaxaca, sin que exista documento alguno que acredite haber cumplido en tiempo y forma con sus obligaciones fiscales, con fundamento en el artículo 11 y 58 del Código Fiscal Municipal del Estado de Oaxaca, 107 de la Ley de Ingresos del Municipio de Villa de Etla, Distrito de Etla, Oaxaca para el Ejercicio Fiscal 2019, y a fin de continuar con el debido y correcto funcionamiento de su establecimiento comercial se ordena el REQUERIMIENTO DE OBLIGACIONES OMITIDAS correspondientes al Ejercicio Fiscal 2091, relativas </w:t>
      </w:r>
      <w:r>
        <w:rPr>
          <w:rFonts w:ascii="Arial" w:hAnsi="Arial" w:cs="Arial"/>
          <w:i/>
          <w:sz w:val="24"/>
          <w:szCs w:val="24"/>
          <w:lang w:eastAsia="es-ES"/>
        </w:rPr>
        <w:lastRenderedPageBreak/>
        <w:t>a los derechos siguientes</w:t>
      </w:r>
      <w:r w:rsidRPr="00D11A64">
        <w:rPr>
          <w:rFonts w:ascii="Arial" w:hAnsi="Arial" w:cs="Arial"/>
          <w:i/>
          <w:sz w:val="24"/>
          <w:szCs w:val="24"/>
          <w:lang w:val="es-ES_tradnl" w:eastAsia="es-ES"/>
        </w:rPr>
        <w:t>:</w:t>
      </w:r>
      <w:r>
        <w:rPr>
          <w:rFonts w:ascii="Arial" w:hAnsi="Arial" w:cs="Arial"/>
          <w:i/>
          <w:sz w:val="24"/>
          <w:szCs w:val="24"/>
          <w:lang w:val="es-ES_tradnl" w:eastAsia="es-ES"/>
        </w:rPr>
        <w:t xml:space="preserve"> (integración y/o actualización al Padrón Fiscal Municipal 2019, dictamen de protección civil, aseo público, anuncios y publicidad, y agua potable,) los cuales tienen sustento legal en los artículos 92 fracción VI, inciso C, 96 fracción XVIII, 106 fracción II, 123 fracción I, inciso A, 127 fracción II, inciso B, de la Ley de Ingresos del Municipio de Villa de Etla, Etla, Oaxaca, para el Ejercicio Fiscal 2019, contenidas en la orden de pago con número de folio 15, al propietario y/o encargado del establecimiento comercial “</w:t>
      </w:r>
      <w:r>
        <w:rPr>
          <w:rFonts w:cs="Arial"/>
          <w:b/>
          <w:sz w:val="24"/>
          <w:szCs w:val="24"/>
        </w:rPr>
        <w:t>**********</w:t>
      </w:r>
      <w:r>
        <w:rPr>
          <w:rFonts w:ascii="Arial" w:hAnsi="Arial" w:cs="Arial"/>
          <w:i/>
          <w:sz w:val="24"/>
          <w:szCs w:val="24"/>
          <w:lang w:val="es-ES_tradnl" w:eastAsia="es-ES"/>
        </w:rPr>
        <w:t>” y se ordena notificar personalmente en el domicilio del establecimiento descrito, por conducto de los notificadores adscritos a esta Dependencia, lo cual causará honorarios por seis veces EL VALOR DE LA UNIDAD DE MEDIDA Y ACTUALIZACIÓN (UMA), consistente en el pago de la cantidad de $506.94 (QUINIENTOS SEIS PESOS 94/100 M.N.), en términos del artículo 89 del Código Fiscal Municipal del Estado de Oaxaca…”</w:t>
      </w:r>
    </w:p>
    <w:p w:rsidR="00A7580D" w:rsidRPr="00D11A64" w:rsidRDefault="00A7580D" w:rsidP="00A7580D">
      <w:pPr>
        <w:spacing w:line="360" w:lineRule="auto"/>
        <w:ind w:left="-709" w:right="-516" w:firstLine="709"/>
        <w:jc w:val="both"/>
        <w:rPr>
          <w:rFonts w:ascii="Arial" w:hAnsi="Arial" w:cs="Arial"/>
          <w:sz w:val="24"/>
          <w:szCs w:val="24"/>
          <w:lang w:eastAsia="es-ES"/>
        </w:rPr>
      </w:pPr>
    </w:p>
    <w:p w:rsidR="00A7580D" w:rsidRPr="00D11A64" w:rsidRDefault="00A7580D" w:rsidP="00A7580D">
      <w:pPr>
        <w:widowControl w:val="0"/>
        <w:spacing w:line="360" w:lineRule="auto"/>
        <w:ind w:firstLine="708"/>
        <w:jc w:val="both"/>
        <w:rPr>
          <w:rFonts w:ascii="Arial" w:hAnsi="Arial" w:cs="Arial"/>
          <w:sz w:val="24"/>
          <w:szCs w:val="24"/>
          <w:lang w:eastAsia="es-ES"/>
        </w:rPr>
      </w:pPr>
      <w:r w:rsidRPr="00D11A64">
        <w:rPr>
          <w:rFonts w:ascii="Arial" w:hAnsi="Arial" w:cs="Arial"/>
          <w:sz w:val="24"/>
          <w:szCs w:val="24"/>
          <w:lang w:eastAsia="es-ES"/>
        </w:rPr>
        <w:t xml:space="preserve">Y que para determinar lo anterior, la enjuiciada señaló que </w:t>
      </w:r>
      <w:r>
        <w:rPr>
          <w:rFonts w:ascii="Arial" w:hAnsi="Arial" w:cs="Arial"/>
          <w:sz w:val="24"/>
          <w:szCs w:val="24"/>
          <w:lang w:eastAsia="es-ES"/>
        </w:rPr>
        <w:t>el requerimiento realizado al aquí actor</w:t>
      </w:r>
      <w:r w:rsidRPr="00D11A64">
        <w:rPr>
          <w:rFonts w:ascii="Arial" w:hAnsi="Arial" w:cs="Arial"/>
          <w:sz w:val="24"/>
          <w:szCs w:val="24"/>
          <w:lang w:eastAsia="es-ES"/>
        </w:rPr>
        <w:t xml:space="preserve"> derivó de la revisión minuciosa </w:t>
      </w:r>
      <w:r>
        <w:rPr>
          <w:rFonts w:ascii="Arial" w:hAnsi="Arial" w:cs="Arial"/>
          <w:sz w:val="24"/>
          <w:szCs w:val="24"/>
          <w:lang w:eastAsia="es-ES"/>
        </w:rPr>
        <w:t>del</w:t>
      </w:r>
      <w:r w:rsidRPr="00D11A64">
        <w:rPr>
          <w:rFonts w:ascii="Arial" w:hAnsi="Arial" w:cs="Arial"/>
          <w:sz w:val="24"/>
          <w:szCs w:val="24"/>
          <w:lang w:eastAsia="es-ES"/>
        </w:rPr>
        <w:t xml:space="preserve"> </w:t>
      </w:r>
      <w:r>
        <w:rPr>
          <w:rFonts w:ascii="Arial" w:hAnsi="Arial" w:cs="Arial"/>
          <w:sz w:val="24"/>
          <w:szCs w:val="24"/>
          <w:lang w:eastAsia="es-ES"/>
        </w:rPr>
        <w:t>Padrón Fiscal Municipal, del establecimiento comercial denominado “</w:t>
      </w:r>
      <w:r>
        <w:rPr>
          <w:rFonts w:cs="Arial"/>
          <w:b/>
          <w:sz w:val="24"/>
          <w:szCs w:val="24"/>
        </w:rPr>
        <w:t>**********</w:t>
      </w:r>
      <w:r>
        <w:rPr>
          <w:rFonts w:ascii="Arial" w:hAnsi="Arial" w:cs="Arial"/>
          <w:sz w:val="24"/>
          <w:szCs w:val="24"/>
          <w:lang w:eastAsia="es-ES"/>
        </w:rPr>
        <w:t>”</w:t>
      </w:r>
      <w:r w:rsidRPr="00D11A64">
        <w:rPr>
          <w:rFonts w:ascii="Arial" w:hAnsi="Arial" w:cs="Arial"/>
          <w:sz w:val="24"/>
          <w:szCs w:val="24"/>
          <w:lang w:eastAsia="es-ES"/>
        </w:rPr>
        <w:t xml:space="preserve">, advirtiéndose que </w:t>
      </w:r>
      <w:r>
        <w:rPr>
          <w:rFonts w:ascii="Arial" w:hAnsi="Arial" w:cs="Arial"/>
          <w:sz w:val="24"/>
          <w:szCs w:val="24"/>
          <w:lang w:eastAsia="es-ES"/>
        </w:rPr>
        <w:t xml:space="preserve">ha transcurrido el plazo de los tres primeros meses para regularizar el funcionamiento de los establecimientos comerciales, el cual concede el artículo 107 de la Ley de Ingresos del Municipio de Villa de Etla, para el ejercicio fiscal dos mil diecinueve, sin que hubiera la parte actora </w:t>
      </w:r>
      <w:r w:rsidRPr="00D11A64">
        <w:rPr>
          <w:rFonts w:ascii="Arial" w:hAnsi="Arial" w:cs="Arial"/>
          <w:sz w:val="24"/>
          <w:szCs w:val="24"/>
          <w:lang w:eastAsia="es-ES"/>
        </w:rPr>
        <w:t xml:space="preserve">dado cumplimiento con las obligaciones fiscales, </w:t>
      </w:r>
      <w:r>
        <w:rPr>
          <w:rFonts w:ascii="Arial" w:hAnsi="Arial" w:cs="Arial"/>
          <w:sz w:val="24"/>
          <w:szCs w:val="24"/>
          <w:lang w:eastAsia="es-ES"/>
        </w:rPr>
        <w:t xml:space="preserve">contenidas en la orden de pago con número de folio 15 (quince), numeral que </w:t>
      </w:r>
      <w:r w:rsidRPr="00D11A64">
        <w:rPr>
          <w:rFonts w:ascii="Arial" w:hAnsi="Arial" w:cs="Arial"/>
          <w:sz w:val="24"/>
          <w:szCs w:val="24"/>
          <w:lang w:eastAsia="es-ES"/>
        </w:rPr>
        <w:t>establece la obligación y temporalidad de pago del Impuesto de referencia</w:t>
      </w:r>
      <w:r>
        <w:rPr>
          <w:rFonts w:ascii="Arial" w:hAnsi="Arial" w:cs="Arial"/>
          <w:sz w:val="24"/>
          <w:szCs w:val="24"/>
          <w:lang w:eastAsia="es-ES"/>
        </w:rPr>
        <w:t xml:space="preserve"> </w:t>
      </w:r>
      <w:r w:rsidRPr="00D11A64">
        <w:rPr>
          <w:rFonts w:ascii="Arial" w:hAnsi="Arial" w:cs="Arial"/>
          <w:sz w:val="24"/>
          <w:szCs w:val="24"/>
          <w:lang w:eastAsia="es-ES"/>
        </w:rPr>
        <w:t>a cargo de los contribuyentes que se coloquen en el supuesto jurídico</w:t>
      </w:r>
      <w:r>
        <w:rPr>
          <w:rFonts w:ascii="Arial" w:hAnsi="Arial" w:cs="Arial"/>
          <w:sz w:val="24"/>
          <w:szCs w:val="24"/>
          <w:lang w:eastAsia="es-ES"/>
        </w:rPr>
        <w:t>.</w:t>
      </w:r>
      <w:r w:rsidRPr="00D11A64">
        <w:rPr>
          <w:rFonts w:ascii="Arial" w:hAnsi="Arial" w:cs="Arial"/>
          <w:sz w:val="24"/>
          <w:szCs w:val="24"/>
          <w:lang w:eastAsia="es-ES"/>
        </w:rPr>
        <w:t xml:space="preserve"> </w:t>
      </w:r>
    </w:p>
    <w:p w:rsidR="00A7580D" w:rsidRPr="00D11A64" w:rsidRDefault="00A7580D" w:rsidP="00A7580D">
      <w:pPr>
        <w:widowControl w:val="0"/>
        <w:contextualSpacing/>
        <w:jc w:val="both"/>
        <w:rPr>
          <w:rFonts w:ascii="Arial" w:hAnsi="Arial" w:cs="Arial"/>
          <w:sz w:val="24"/>
          <w:szCs w:val="24"/>
          <w:lang w:eastAsia="es-ES"/>
        </w:rPr>
      </w:pPr>
    </w:p>
    <w:p w:rsidR="00A7580D" w:rsidRPr="0003657C" w:rsidRDefault="00A7580D" w:rsidP="00A7580D">
      <w:pPr>
        <w:widowControl w:val="0"/>
        <w:spacing w:line="360" w:lineRule="auto"/>
        <w:ind w:firstLine="708"/>
        <w:jc w:val="both"/>
        <w:rPr>
          <w:rFonts w:ascii="Arial" w:hAnsi="Arial" w:cs="Arial"/>
          <w:sz w:val="24"/>
          <w:szCs w:val="24"/>
          <w:lang w:eastAsia="es-ES"/>
        </w:rPr>
      </w:pPr>
      <w:r w:rsidRPr="00D11A64">
        <w:rPr>
          <w:rFonts w:ascii="Arial" w:hAnsi="Arial" w:cs="Arial"/>
          <w:sz w:val="24"/>
          <w:szCs w:val="24"/>
          <w:lang w:eastAsia="es-ES"/>
        </w:rPr>
        <w:t>Así las cosas, se advierte que resultan fundados los conceptos de impugnación hechos valer por el actor</w:t>
      </w:r>
      <w:r>
        <w:rPr>
          <w:rFonts w:ascii="Arial" w:hAnsi="Arial" w:cs="Arial"/>
          <w:sz w:val="24"/>
          <w:szCs w:val="24"/>
          <w:lang w:eastAsia="es-ES"/>
        </w:rPr>
        <w:t>, al referir que el acto combatido no se encuentra debidamente fundado y motivado, en razón qu</w:t>
      </w:r>
      <w:r w:rsidRPr="00D11A64">
        <w:rPr>
          <w:rFonts w:ascii="Arial" w:hAnsi="Arial" w:cs="Arial"/>
          <w:sz w:val="24"/>
          <w:szCs w:val="24"/>
          <w:lang w:eastAsia="es-ES"/>
        </w:rPr>
        <w:t>e la enjuiciada</w:t>
      </w:r>
      <w:r>
        <w:rPr>
          <w:rFonts w:ascii="Arial" w:hAnsi="Arial" w:cs="Arial"/>
          <w:sz w:val="24"/>
          <w:szCs w:val="24"/>
          <w:lang w:eastAsia="es-ES"/>
        </w:rPr>
        <w:t xml:space="preserve"> al referir que habían transcurridos los tres primeros meses para regularizar el funcionamiento de su establecimiento comercial, resulta ser equívoco lo plasmado, pues el citado numeral refiere lo siguiente: </w:t>
      </w:r>
      <w:r>
        <w:rPr>
          <w:rFonts w:ascii="Arial" w:hAnsi="Arial" w:cs="Arial"/>
          <w:i/>
          <w:iCs/>
          <w:sz w:val="24"/>
          <w:szCs w:val="24"/>
          <w:lang w:eastAsia="es-ES"/>
        </w:rPr>
        <w:t xml:space="preserve">“La integración o actualización a que se refiere el artículo anterior son de vigencia anual y los contribuyentes deberán solicitar su actualización durante los </w:t>
      </w:r>
      <w:r>
        <w:rPr>
          <w:rFonts w:ascii="Arial" w:hAnsi="Arial" w:cs="Arial"/>
          <w:i/>
          <w:iCs/>
          <w:sz w:val="24"/>
          <w:szCs w:val="24"/>
          <w:u w:val="single"/>
          <w:lang w:eastAsia="es-ES"/>
        </w:rPr>
        <w:t xml:space="preserve">meses de enero y febrero </w:t>
      </w:r>
      <w:r>
        <w:rPr>
          <w:rFonts w:ascii="Arial" w:hAnsi="Arial" w:cs="Arial"/>
          <w:i/>
          <w:iCs/>
          <w:sz w:val="24"/>
          <w:szCs w:val="24"/>
          <w:lang w:eastAsia="es-ES"/>
        </w:rPr>
        <w:t xml:space="preserve">de cada año, para tal efecto deberán presentar los documentos que le solicite la Tesorería”, </w:t>
      </w:r>
      <w:r>
        <w:rPr>
          <w:rFonts w:ascii="Arial" w:hAnsi="Arial" w:cs="Arial"/>
          <w:sz w:val="24"/>
          <w:szCs w:val="24"/>
          <w:lang w:eastAsia="es-ES"/>
        </w:rPr>
        <w:t>causando con ello incertidumbre y falta de seguridad jurídica, respecto de lo solicitado por la autoridad demandada, y los plazos a los que se encuentra obligada a observar la actora, para dar cumplimiento a las supuestas obligaciones omitidas por la misma.</w:t>
      </w:r>
    </w:p>
    <w:p w:rsidR="00A7580D" w:rsidRDefault="00A7580D" w:rsidP="00A7580D">
      <w:pPr>
        <w:widowControl w:val="0"/>
        <w:spacing w:line="360" w:lineRule="auto"/>
        <w:ind w:firstLine="708"/>
        <w:jc w:val="both"/>
        <w:rPr>
          <w:rFonts w:ascii="Arial" w:hAnsi="Arial" w:cs="Arial"/>
          <w:sz w:val="24"/>
          <w:szCs w:val="24"/>
          <w:lang w:eastAsia="es-ES"/>
        </w:rPr>
      </w:pPr>
    </w:p>
    <w:p w:rsidR="00786377" w:rsidRDefault="00786377" w:rsidP="00A7580D">
      <w:pPr>
        <w:widowControl w:val="0"/>
        <w:spacing w:line="360" w:lineRule="auto"/>
        <w:ind w:firstLine="708"/>
        <w:jc w:val="both"/>
        <w:rPr>
          <w:rFonts w:ascii="Arial" w:hAnsi="Arial" w:cs="Arial"/>
          <w:sz w:val="24"/>
          <w:szCs w:val="24"/>
          <w:lang w:eastAsia="es-ES"/>
        </w:rPr>
      </w:pPr>
    </w:p>
    <w:p w:rsidR="00786377" w:rsidRDefault="00786377" w:rsidP="00A7580D">
      <w:pPr>
        <w:widowControl w:val="0"/>
        <w:spacing w:line="360" w:lineRule="auto"/>
        <w:ind w:firstLine="708"/>
        <w:jc w:val="both"/>
        <w:rPr>
          <w:rFonts w:ascii="Arial" w:hAnsi="Arial" w:cs="Arial"/>
          <w:sz w:val="24"/>
          <w:szCs w:val="24"/>
          <w:lang w:eastAsia="es-ES"/>
        </w:rPr>
      </w:pPr>
    </w:p>
    <w:p w:rsidR="00A7580D" w:rsidRPr="00D11A64" w:rsidRDefault="00A7580D" w:rsidP="00A7580D">
      <w:pPr>
        <w:widowControl w:val="0"/>
        <w:spacing w:line="360" w:lineRule="auto"/>
        <w:ind w:firstLine="708"/>
        <w:jc w:val="both"/>
        <w:rPr>
          <w:rFonts w:ascii="Arial" w:hAnsi="Arial" w:cs="Arial"/>
          <w:sz w:val="24"/>
          <w:szCs w:val="24"/>
          <w:lang w:eastAsia="es-ES"/>
        </w:rPr>
      </w:pPr>
      <w:r w:rsidRPr="00D11A64">
        <w:rPr>
          <w:rFonts w:ascii="Arial" w:hAnsi="Arial" w:cs="Arial"/>
          <w:sz w:val="24"/>
          <w:szCs w:val="24"/>
          <w:lang w:eastAsia="es-ES"/>
        </w:rPr>
        <w:lastRenderedPageBreak/>
        <w:t xml:space="preserve"> </w:t>
      </w:r>
      <w:r>
        <w:rPr>
          <w:rFonts w:ascii="Arial" w:hAnsi="Arial" w:cs="Arial"/>
          <w:sz w:val="24"/>
          <w:szCs w:val="24"/>
          <w:lang w:eastAsia="es-ES"/>
        </w:rPr>
        <w:t xml:space="preserve">De igual forma, la demandada Tesorera Municipal, </w:t>
      </w:r>
      <w:r w:rsidRPr="00D11A64">
        <w:rPr>
          <w:rFonts w:ascii="Arial" w:hAnsi="Arial" w:cs="Arial"/>
          <w:sz w:val="24"/>
          <w:szCs w:val="24"/>
          <w:lang w:eastAsia="es-ES"/>
        </w:rPr>
        <w:t xml:space="preserve">omitió señalar en </w:t>
      </w:r>
      <w:r>
        <w:rPr>
          <w:rFonts w:ascii="Arial" w:hAnsi="Arial" w:cs="Arial"/>
          <w:sz w:val="24"/>
          <w:szCs w:val="24"/>
          <w:lang w:eastAsia="es-ES"/>
        </w:rPr>
        <w:t xml:space="preserve">el acto combatido, </w:t>
      </w:r>
      <w:r w:rsidRPr="00D11A64">
        <w:rPr>
          <w:rFonts w:ascii="Arial" w:hAnsi="Arial" w:cs="Arial"/>
          <w:sz w:val="24"/>
          <w:szCs w:val="24"/>
          <w:lang w:eastAsia="es-ES"/>
        </w:rPr>
        <w:t xml:space="preserve">las razones particulares, causas inmediatas y circunstancias especiales, de qué forma confirmó que el accionante era sujeto obligado al pago </w:t>
      </w:r>
      <w:r>
        <w:rPr>
          <w:rFonts w:ascii="Arial" w:hAnsi="Arial" w:cs="Arial"/>
          <w:sz w:val="24"/>
          <w:szCs w:val="24"/>
          <w:lang w:eastAsia="es-ES"/>
        </w:rPr>
        <w:t>de las obligaciones citadas</w:t>
      </w:r>
      <w:r w:rsidRPr="00D11A64">
        <w:rPr>
          <w:rFonts w:ascii="Arial" w:hAnsi="Arial" w:cs="Arial"/>
          <w:sz w:val="24"/>
          <w:szCs w:val="24"/>
          <w:lang w:eastAsia="es-ES"/>
        </w:rPr>
        <w:t>; es decir, no precisa cuáles fueron los antecedentes por los cuales consideró que el accionante se ubica en la circunstancia que la ley considera como hecho generador de la obligación fiscal</w:t>
      </w:r>
      <w:r>
        <w:rPr>
          <w:rFonts w:ascii="Arial" w:hAnsi="Arial" w:cs="Arial"/>
          <w:sz w:val="24"/>
          <w:szCs w:val="24"/>
          <w:lang w:eastAsia="es-ES"/>
        </w:rPr>
        <w:t xml:space="preserve">, tales como actualización al padrón fiscal municipal de comercios, industrias y prestación de servicios, el dictamen de protección civil, aseo público, agua potable y el permiso para el anuncio publicitario, pues </w:t>
      </w:r>
      <w:r w:rsidRPr="00D11A64">
        <w:rPr>
          <w:rFonts w:ascii="Arial" w:hAnsi="Arial" w:cs="Arial"/>
          <w:sz w:val="24"/>
          <w:szCs w:val="24"/>
          <w:lang w:eastAsia="es-ES"/>
        </w:rPr>
        <w:t xml:space="preserve">para tales efectos, no basta con el señalamiento de que se le ha identificado como sujeto obligado, sino que la autoridad debió probar los hechos que la motivaron, y lo ubicaron en la hipótesis normativa para ser considerada sujeta </w:t>
      </w:r>
      <w:r>
        <w:rPr>
          <w:rFonts w:ascii="Arial" w:hAnsi="Arial" w:cs="Arial"/>
          <w:sz w:val="24"/>
          <w:szCs w:val="24"/>
          <w:lang w:eastAsia="es-ES"/>
        </w:rPr>
        <w:t>a tales obligaciones</w:t>
      </w:r>
      <w:r w:rsidRPr="00D11A64">
        <w:rPr>
          <w:rFonts w:ascii="Arial" w:hAnsi="Arial" w:cs="Arial"/>
          <w:sz w:val="24"/>
          <w:szCs w:val="24"/>
          <w:lang w:eastAsia="es-ES"/>
        </w:rPr>
        <w:t xml:space="preserve">. </w:t>
      </w:r>
    </w:p>
    <w:p w:rsidR="00A7580D" w:rsidRPr="00D11A64" w:rsidRDefault="00A7580D" w:rsidP="00A7580D">
      <w:pPr>
        <w:widowControl w:val="0"/>
        <w:spacing w:line="360" w:lineRule="auto"/>
        <w:jc w:val="both"/>
        <w:rPr>
          <w:rFonts w:ascii="Arial" w:hAnsi="Arial" w:cs="Arial"/>
          <w:sz w:val="24"/>
          <w:szCs w:val="24"/>
          <w:lang w:eastAsia="es-ES"/>
        </w:rPr>
      </w:pPr>
    </w:p>
    <w:p w:rsidR="00A7580D" w:rsidRPr="00D11A64" w:rsidRDefault="00A7580D" w:rsidP="00A7580D">
      <w:pPr>
        <w:widowControl w:val="0"/>
        <w:spacing w:line="360" w:lineRule="auto"/>
        <w:ind w:firstLine="1134"/>
        <w:jc w:val="both"/>
        <w:rPr>
          <w:rFonts w:ascii="Arial" w:hAnsi="Arial" w:cs="Arial"/>
          <w:sz w:val="24"/>
          <w:szCs w:val="24"/>
          <w:highlight w:val="yellow"/>
          <w:lang w:eastAsia="es-ES"/>
        </w:rPr>
      </w:pPr>
      <w:r w:rsidRPr="00D11A64">
        <w:rPr>
          <w:rFonts w:ascii="Arial" w:hAnsi="Arial" w:cs="Arial"/>
          <w:sz w:val="24"/>
          <w:szCs w:val="24"/>
          <w:lang w:eastAsia="es-ES"/>
        </w:rPr>
        <w:t>E</w:t>
      </w:r>
      <w:r>
        <w:rPr>
          <w:rFonts w:ascii="Arial" w:hAnsi="Arial" w:cs="Arial"/>
          <w:sz w:val="24"/>
          <w:szCs w:val="24"/>
          <w:lang w:eastAsia="es-ES"/>
        </w:rPr>
        <w:t xml:space="preserve">sto es, </w:t>
      </w:r>
      <w:r w:rsidRPr="00D11A64">
        <w:rPr>
          <w:rFonts w:ascii="Arial" w:hAnsi="Arial" w:cs="Arial"/>
          <w:sz w:val="24"/>
          <w:szCs w:val="24"/>
          <w:lang w:eastAsia="es-ES"/>
        </w:rPr>
        <w:t>la autoridad fiscalizadora en primer término, debió ubicar al actor como sujeto obligado, señalando los hechos o circunstancias que se generaron para que se actualizara el supuesto jurídico previsto por la ley fiscal vigente, del cual deriva la</w:t>
      </w:r>
      <w:r>
        <w:rPr>
          <w:rFonts w:ascii="Arial" w:hAnsi="Arial" w:cs="Arial"/>
          <w:sz w:val="24"/>
          <w:szCs w:val="24"/>
          <w:lang w:eastAsia="es-ES"/>
        </w:rPr>
        <w:t xml:space="preserve">s obligaciones supuestamente identificadas por la autoridad demandada, </w:t>
      </w:r>
      <w:r w:rsidRPr="00D11A64">
        <w:rPr>
          <w:rFonts w:ascii="Arial" w:hAnsi="Arial" w:cs="Arial"/>
          <w:sz w:val="24"/>
          <w:szCs w:val="24"/>
          <w:lang w:eastAsia="es-ES"/>
        </w:rPr>
        <w:t>ya que del estudio de</w:t>
      </w:r>
      <w:r>
        <w:rPr>
          <w:rFonts w:ascii="Arial" w:hAnsi="Arial" w:cs="Arial"/>
          <w:sz w:val="24"/>
          <w:szCs w:val="24"/>
          <w:lang w:eastAsia="es-ES"/>
        </w:rPr>
        <w:t xml:space="preserve">l requerimiento de mérito </w:t>
      </w:r>
      <w:r w:rsidRPr="00D11A64">
        <w:rPr>
          <w:rFonts w:ascii="Arial" w:hAnsi="Arial" w:cs="Arial"/>
          <w:sz w:val="24"/>
          <w:szCs w:val="24"/>
          <w:lang w:eastAsia="es-ES"/>
        </w:rPr>
        <w:t xml:space="preserve">no establece con exactitud </w:t>
      </w:r>
      <w:r>
        <w:rPr>
          <w:rFonts w:ascii="Arial" w:hAnsi="Arial" w:cs="Arial"/>
          <w:sz w:val="24"/>
          <w:szCs w:val="24"/>
          <w:lang w:eastAsia="es-ES"/>
        </w:rPr>
        <w:t xml:space="preserve">el por qué de </w:t>
      </w:r>
      <w:r w:rsidRPr="00D11A64">
        <w:rPr>
          <w:rFonts w:ascii="Arial" w:hAnsi="Arial" w:cs="Arial"/>
          <w:sz w:val="24"/>
          <w:szCs w:val="24"/>
          <w:lang w:eastAsia="es-ES"/>
        </w:rPr>
        <w:t>la determinación del incumplimiento de la obligación por parte del administrado, así como no señala el expediente, documento o bases de datos que tuvo acceso, para considerar a la parte actora como sujeto a la aplicación de</w:t>
      </w:r>
      <w:r>
        <w:rPr>
          <w:rFonts w:ascii="Arial" w:hAnsi="Arial" w:cs="Arial"/>
          <w:sz w:val="24"/>
          <w:szCs w:val="24"/>
          <w:lang w:eastAsia="es-ES"/>
        </w:rPr>
        <w:t xml:space="preserve"> </w:t>
      </w:r>
      <w:r w:rsidRPr="00D11A64">
        <w:rPr>
          <w:rFonts w:ascii="Arial" w:hAnsi="Arial" w:cs="Arial"/>
          <w:sz w:val="24"/>
          <w:szCs w:val="24"/>
          <w:lang w:eastAsia="es-ES"/>
        </w:rPr>
        <w:t>l</w:t>
      </w:r>
      <w:r>
        <w:rPr>
          <w:rFonts w:ascii="Arial" w:hAnsi="Arial" w:cs="Arial"/>
          <w:sz w:val="24"/>
          <w:szCs w:val="24"/>
          <w:lang w:eastAsia="es-ES"/>
        </w:rPr>
        <w:t xml:space="preserve">as referidas obligaciones, pues </w:t>
      </w:r>
      <w:r w:rsidRPr="00D11A64">
        <w:rPr>
          <w:rFonts w:ascii="Arial" w:hAnsi="Arial" w:cs="Arial"/>
          <w:sz w:val="24"/>
          <w:szCs w:val="24"/>
          <w:lang w:eastAsia="es-ES"/>
        </w:rPr>
        <w:t xml:space="preserve"> solamente se limitó a hacer referencia al de la revisión realizada en el </w:t>
      </w:r>
      <w:r>
        <w:rPr>
          <w:rFonts w:ascii="Arial" w:hAnsi="Arial" w:cs="Arial"/>
          <w:sz w:val="24"/>
          <w:szCs w:val="24"/>
          <w:lang w:eastAsia="es-ES"/>
        </w:rPr>
        <w:t>Padrón Fiscal Municipal, más aún cuando la demandada determinó el cobro de honorarios en virtud de su gestión de cobro de las obligaciones con las que a su criterio, la representada del actor ha sido omisa.</w:t>
      </w:r>
    </w:p>
    <w:p w:rsidR="00A7580D" w:rsidRPr="00D11A64" w:rsidRDefault="00A7580D" w:rsidP="00A7580D">
      <w:pPr>
        <w:spacing w:line="360" w:lineRule="auto"/>
        <w:ind w:left="1701" w:right="1469"/>
        <w:jc w:val="both"/>
        <w:rPr>
          <w:rFonts w:ascii="Arial" w:hAnsi="Arial" w:cs="Arial"/>
          <w:sz w:val="24"/>
          <w:szCs w:val="24"/>
          <w:lang w:eastAsia="es-ES"/>
        </w:rPr>
      </w:pPr>
    </w:p>
    <w:p w:rsidR="00A7580D" w:rsidRDefault="00A7580D" w:rsidP="00A7580D">
      <w:pPr>
        <w:spacing w:line="360" w:lineRule="auto"/>
        <w:ind w:right="-91" w:firstLine="708"/>
        <w:jc w:val="both"/>
        <w:rPr>
          <w:rFonts w:ascii="Arial" w:hAnsi="Arial" w:cs="Arial"/>
          <w:sz w:val="24"/>
          <w:szCs w:val="24"/>
        </w:rPr>
      </w:pPr>
      <w:r w:rsidRPr="0068383B">
        <w:rPr>
          <w:rFonts w:ascii="Arial" w:hAnsi="Arial" w:cs="Arial"/>
          <w:sz w:val="24"/>
          <w:szCs w:val="24"/>
          <w:lang w:eastAsia="es-ES"/>
        </w:rPr>
        <w:t>De lo ante</w:t>
      </w:r>
      <w:r>
        <w:rPr>
          <w:rFonts w:ascii="Arial" w:hAnsi="Arial" w:cs="Arial"/>
          <w:sz w:val="24"/>
          <w:szCs w:val="24"/>
          <w:lang w:eastAsia="es-ES"/>
        </w:rPr>
        <w:t xml:space="preserve">s expuesto, al advertir este juzgador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 se omitió expresar el dispositivo legal y fracción aplicable al caso específico, así como las razones que se hayan considerado para estimar que el caso puede subsumirse en la hipótesis prevista en la norma jurídica, lo procedente es </w:t>
      </w:r>
      <w:r w:rsidRPr="0068383B">
        <w:rPr>
          <w:rFonts w:ascii="Arial" w:hAnsi="Arial" w:cs="Arial"/>
          <w:b/>
          <w:sz w:val="24"/>
          <w:szCs w:val="24"/>
          <w:lang w:eastAsia="es-ES"/>
        </w:rPr>
        <w:t>declarar la nulidad</w:t>
      </w:r>
      <w:r>
        <w:rPr>
          <w:rFonts w:ascii="Arial" w:hAnsi="Arial" w:cs="Arial"/>
          <w:b/>
          <w:sz w:val="24"/>
          <w:szCs w:val="24"/>
          <w:lang w:eastAsia="es-ES"/>
        </w:rPr>
        <w:t xml:space="preserve"> lisa y llana</w:t>
      </w:r>
      <w:r w:rsidRPr="0068383B">
        <w:rPr>
          <w:rFonts w:ascii="Arial" w:hAnsi="Arial" w:cs="Arial"/>
          <w:b/>
          <w:sz w:val="24"/>
          <w:szCs w:val="24"/>
          <w:lang w:eastAsia="es-ES"/>
        </w:rPr>
        <w:t xml:space="preserve"> </w:t>
      </w:r>
      <w:r w:rsidRPr="00D11A64">
        <w:rPr>
          <w:rFonts w:ascii="Arial" w:hAnsi="Arial" w:cs="Arial"/>
          <w:sz w:val="24"/>
          <w:szCs w:val="24"/>
          <w:lang w:eastAsia="es-ES"/>
        </w:rPr>
        <w:t xml:space="preserve">de </w:t>
      </w:r>
      <w:r w:rsidRPr="00D11A64">
        <w:rPr>
          <w:rFonts w:ascii="Arial" w:hAnsi="Arial" w:cs="Arial"/>
          <w:sz w:val="24"/>
          <w:szCs w:val="24"/>
        </w:rPr>
        <w:t xml:space="preserve">la resolución de </w:t>
      </w:r>
      <w:r>
        <w:rPr>
          <w:rFonts w:cs="Arial"/>
          <w:b/>
          <w:sz w:val="24"/>
          <w:szCs w:val="24"/>
        </w:rPr>
        <w:t>**********</w:t>
      </w:r>
      <w:r w:rsidRPr="00D11A64">
        <w:rPr>
          <w:rFonts w:ascii="Arial" w:hAnsi="Arial" w:cs="Arial"/>
          <w:sz w:val="24"/>
          <w:szCs w:val="24"/>
        </w:rPr>
        <w:t>, dictada en el Exp</w:t>
      </w:r>
      <w:r w:rsidR="00786377">
        <w:rPr>
          <w:rFonts w:ascii="Arial" w:hAnsi="Arial" w:cs="Arial"/>
          <w:sz w:val="24"/>
          <w:szCs w:val="24"/>
        </w:rPr>
        <w:t xml:space="preserve">ediente Administrativo </w:t>
      </w:r>
      <w:r>
        <w:rPr>
          <w:rFonts w:cs="Arial"/>
          <w:b/>
          <w:sz w:val="24"/>
          <w:szCs w:val="24"/>
        </w:rPr>
        <w:t>**********</w:t>
      </w:r>
      <w:r w:rsidRPr="00D11A64">
        <w:rPr>
          <w:rFonts w:ascii="Arial" w:hAnsi="Arial" w:cs="Arial"/>
          <w:sz w:val="24"/>
          <w:szCs w:val="24"/>
        </w:rPr>
        <w:t xml:space="preserve">, por la </w:t>
      </w:r>
      <w:r w:rsidRPr="00D11A64">
        <w:rPr>
          <w:rFonts w:ascii="Arial" w:hAnsi="Arial" w:cs="Arial"/>
          <w:b/>
          <w:bCs/>
          <w:sz w:val="24"/>
          <w:szCs w:val="24"/>
        </w:rPr>
        <w:t>TESORERA MUNICIPAL DE LA VILLA DE ETLA, OAXACA</w:t>
      </w:r>
      <w:r>
        <w:rPr>
          <w:rFonts w:ascii="Arial" w:hAnsi="Arial" w:cs="Arial"/>
          <w:b/>
          <w:bCs/>
          <w:sz w:val="24"/>
          <w:szCs w:val="24"/>
        </w:rPr>
        <w:t xml:space="preserve">. </w:t>
      </w:r>
      <w:r>
        <w:rPr>
          <w:rFonts w:ascii="Arial" w:hAnsi="Arial" w:cs="Arial"/>
          <w:sz w:val="24"/>
          <w:szCs w:val="24"/>
        </w:rPr>
        <w:t xml:space="preserve">Sirva de apoyo a lo antes sustentado la Jurisprudencia en Materia Administrativa, Novena Época, con registro electrónico 176522 de rubro: </w:t>
      </w:r>
      <w:r w:rsidRPr="00AA40FC">
        <w:rPr>
          <w:rFonts w:ascii="Arial" w:hAnsi="Arial" w:cs="Arial"/>
          <w:i/>
          <w:iCs/>
          <w:sz w:val="24"/>
          <w:szCs w:val="24"/>
        </w:rPr>
        <w:t>“</w:t>
      </w:r>
      <w:r w:rsidRPr="00AA40FC">
        <w:rPr>
          <w:rFonts w:ascii="Arial" w:hAnsi="Arial" w:cs="Arial"/>
          <w:b/>
          <w:bCs/>
          <w:i/>
          <w:iCs/>
          <w:color w:val="000000"/>
          <w:sz w:val="24"/>
          <w:szCs w:val="24"/>
        </w:rPr>
        <w:t xml:space="preserve">MULTAS FISCALES QUE NO CUMPLEN CON LA FUNDAMENTACIÓN Y MOTIVACIÓN. DEBE ATENDERSE A LA GÉNESIS DE LA RESOLUCIÓN IMPUGNADA Y DECRETAR </w:t>
      </w:r>
      <w:r w:rsidRPr="00AA40FC">
        <w:rPr>
          <w:rFonts w:ascii="Arial" w:hAnsi="Arial" w:cs="Arial"/>
          <w:b/>
          <w:bCs/>
          <w:i/>
          <w:iCs/>
          <w:color w:val="000000"/>
          <w:sz w:val="24"/>
          <w:szCs w:val="24"/>
        </w:rPr>
        <w:lastRenderedPageBreak/>
        <w:t>LA NULIDAD PREVISTA EN EL ARTÍCULO 239, FRACCIÓN III, Y ÚLTIMO PÁRRAFO, DEL CÓDIGO FISCAL DE LA FEDERACIÓN, POR DERIVAR AQUÉLLAS DEL EJERCICIO DE FACULTADES DISCRECIONALES.</w:t>
      </w:r>
      <w:r>
        <w:rPr>
          <w:rFonts w:ascii="Arial" w:hAnsi="Arial" w:cs="Arial"/>
          <w:b/>
          <w:bCs/>
          <w:i/>
          <w:iCs/>
          <w:color w:val="000000"/>
          <w:sz w:val="24"/>
          <w:szCs w:val="24"/>
        </w:rPr>
        <w:t>”</w:t>
      </w:r>
    </w:p>
    <w:p w:rsidR="00A7580D" w:rsidRDefault="00A7580D" w:rsidP="00A7580D">
      <w:pPr>
        <w:spacing w:line="360" w:lineRule="auto"/>
        <w:ind w:left="567" w:right="51" w:firstLine="709"/>
        <w:jc w:val="both"/>
        <w:rPr>
          <w:rFonts w:ascii="Arial" w:hAnsi="Arial" w:cs="Arial"/>
          <w:sz w:val="24"/>
          <w:szCs w:val="24"/>
        </w:rPr>
      </w:pPr>
    </w:p>
    <w:p w:rsidR="00A7580D" w:rsidRPr="00D11A64" w:rsidRDefault="00A7580D" w:rsidP="00A7580D">
      <w:pPr>
        <w:spacing w:line="360" w:lineRule="auto"/>
        <w:ind w:right="51" w:firstLine="567"/>
        <w:jc w:val="both"/>
        <w:rPr>
          <w:rFonts w:ascii="Arial" w:hAnsi="Arial" w:cs="Arial"/>
          <w:sz w:val="24"/>
          <w:szCs w:val="24"/>
        </w:rPr>
      </w:pPr>
      <w:r w:rsidRPr="00D11A64">
        <w:rPr>
          <w:rFonts w:ascii="Arial" w:hAnsi="Arial" w:cs="Arial"/>
          <w:sz w:val="24"/>
          <w:szCs w:val="24"/>
        </w:rPr>
        <w:t xml:space="preserve">       </w:t>
      </w:r>
      <w:r w:rsidRPr="00D11A64">
        <w:rPr>
          <w:rFonts w:ascii="Arial" w:hAnsi="Arial" w:cs="Arial"/>
          <w:b/>
          <w:sz w:val="24"/>
          <w:szCs w:val="24"/>
        </w:rPr>
        <w:t xml:space="preserve"> QUINTO.-</w:t>
      </w:r>
      <w:r w:rsidRPr="00D11A64">
        <w:rPr>
          <w:rFonts w:ascii="Arial" w:hAnsi="Arial" w:cs="Arial"/>
          <w:sz w:val="24"/>
          <w:szCs w:val="24"/>
        </w:rPr>
        <w:t xml:space="preserve"> Como la parte actora en el presente juicio,</w:t>
      </w:r>
      <w:r w:rsidRPr="00D11A64">
        <w:rPr>
          <w:rFonts w:ascii="Arial" w:hAnsi="Arial" w:cs="Arial"/>
          <w:b/>
          <w:sz w:val="24"/>
          <w:szCs w:val="24"/>
        </w:rPr>
        <w:t xml:space="preserve"> no se opuso a la publicación de sus datos personales</w:t>
      </w:r>
      <w:r w:rsidRPr="00D11A64">
        <w:rPr>
          <w:rFonts w:ascii="Arial" w:hAnsi="Arial" w:cs="Arial"/>
          <w:sz w:val="24"/>
          <w:szCs w:val="24"/>
        </w:rPr>
        <w:t xml:space="preserve"> y al encontrarse obligado este juzgador a proteger dicha información</w:t>
      </w:r>
      <w:r w:rsidRPr="00D11A64">
        <w:rPr>
          <w:rFonts w:ascii="Arial" w:hAnsi="Arial" w:cs="Arial"/>
          <w:b/>
          <w:sz w:val="24"/>
          <w:szCs w:val="24"/>
        </w:rPr>
        <w:t xml:space="preserve"> </w:t>
      </w:r>
      <w:r w:rsidRPr="00D11A64">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D11A64">
        <w:rPr>
          <w:rFonts w:ascii="Arial" w:hAnsi="Arial" w:cs="Arial"/>
          <w:b/>
          <w:sz w:val="24"/>
          <w:szCs w:val="24"/>
        </w:rPr>
        <w:t xml:space="preserve">se ordena la publicación de la sentencia, </w:t>
      </w:r>
      <w:r w:rsidRPr="00D11A64">
        <w:rPr>
          <w:rFonts w:ascii="Arial" w:hAnsi="Arial" w:cs="Arial"/>
          <w:sz w:val="24"/>
          <w:szCs w:val="24"/>
        </w:rPr>
        <w:t xml:space="preserve">con la supresión de datos personales identificables, procurándose que no se impida conocer el criterio sostenido por este órgano jurisdiccional. </w:t>
      </w:r>
    </w:p>
    <w:p w:rsidR="00A7580D" w:rsidRPr="00D11A64" w:rsidRDefault="00A7580D" w:rsidP="00A7580D">
      <w:pPr>
        <w:pStyle w:val="corte4fondo"/>
        <w:ind w:right="-516" w:firstLine="0"/>
        <w:rPr>
          <w:rFonts w:cs="Arial"/>
          <w:i/>
          <w:sz w:val="24"/>
          <w:szCs w:val="24"/>
          <w:lang w:val="es-ES"/>
        </w:rPr>
      </w:pPr>
    </w:p>
    <w:p w:rsidR="00A7580D" w:rsidRPr="00D11A64" w:rsidRDefault="00A7580D" w:rsidP="00A7580D">
      <w:pPr>
        <w:spacing w:line="360" w:lineRule="auto"/>
        <w:ind w:right="51"/>
        <w:jc w:val="both"/>
        <w:rPr>
          <w:rFonts w:ascii="Arial" w:hAnsi="Arial" w:cs="Arial"/>
          <w:sz w:val="24"/>
          <w:szCs w:val="24"/>
        </w:rPr>
      </w:pPr>
      <w:r w:rsidRPr="00D11A64">
        <w:rPr>
          <w:rFonts w:ascii="Arial" w:hAnsi="Arial" w:cs="Arial"/>
          <w:sz w:val="24"/>
          <w:szCs w:val="24"/>
        </w:rPr>
        <w:t xml:space="preserve">              Por lo expuesto, fundado y motivado, en términos de los artículos 207, fracciones I, II y III, 208, fracción II y VI, 209 de la Ley de Procedimiento y Justicia Administrativa para el Estado de Oaxaca, se: </w:t>
      </w:r>
    </w:p>
    <w:p w:rsidR="00A7580D" w:rsidRPr="00D11A64" w:rsidRDefault="00A7580D" w:rsidP="00A7580D">
      <w:pPr>
        <w:spacing w:line="360" w:lineRule="auto"/>
        <w:ind w:right="51"/>
        <w:jc w:val="both"/>
        <w:rPr>
          <w:rFonts w:ascii="Arial" w:hAnsi="Arial" w:cs="Arial"/>
          <w:sz w:val="24"/>
          <w:szCs w:val="24"/>
        </w:rPr>
      </w:pPr>
      <w:r w:rsidRPr="00D11A64">
        <w:rPr>
          <w:rFonts w:ascii="Arial" w:hAnsi="Arial" w:cs="Arial"/>
          <w:sz w:val="24"/>
          <w:szCs w:val="24"/>
        </w:rPr>
        <w:t xml:space="preserve"> </w:t>
      </w:r>
    </w:p>
    <w:p w:rsidR="00A7580D" w:rsidRPr="00D11A64" w:rsidRDefault="00A7580D" w:rsidP="00A7580D">
      <w:pPr>
        <w:spacing w:line="360" w:lineRule="auto"/>
        <w:jc w:val="center"/>
        <w:rPr>
          <w:rFonts w:ascii="Arial" w:hAnsi="Arial" w:cs="Arial"/>
          <w:b/>
          <w:sz w:val="24"/>
          <w:szCs w:val="24"/>
        </w:rPr>
      </w:pPr>
      <w:r w:rsidRPr="00D11A64">
        <w:rPr>
          <w:rFonts w:ascii="Arial" w:hAnsi="Arial" w:cs="Arial"/>
          <w:b/>
          <w:sz w:val="24"/>
          <w:szCs w:val="24"/>
        </w:rPr>
        <w:t>R E S U E L V E:</w:t>
      </w:r>
    </w:p>
    <w:p w:rsidR="00A7580D" w:rsidRPr="00D11A64" w:rsidRDefault="00A7580D" w:rsidP="00A7580D">
      <w:pPr>
        <w:spacing w:line="360" w:lineRule="auto"/>
        <w:rPr>
          <w:rFonts w:ascii="Arial" w:hAnsi="Arial" w:cs="Arial"/>
          <w:b/>
          <w:sz w:val="24"/>
          <w:szCs w:val="24"/>
        </w:rPr>
      </w:pPr>
    </w:p>
    <w:p w:rsidR="00A7580D" w:rsidRPr="00D11A64" w:rsidRDefault="00A7580D" w:rsidP="00A7580D">
      <w:pPr>
        <w:spacing w:line="360" w:lineRule="auto"/>
        <w:ind w:firstLine="708"/>
        <w:jc w:val="both"/>
        <w:rPr>
          <w:rFonts w:ascii="Arial" w:hAnsi="Arial" w:cs="Arial"/>
          <w:sz w:val="24"/>
          <w:szCs w:val="24"/>
        </w:rPr>
      </w:pPr>
      <w:r w:rsidRPr="00D11A64">
        <w:rPr>
          <w:rFonts w:ascii="Arial" w:hAnsi="Arial" w:cs="Arial"/>
          <w:b/>
          <w:sz w:val="24"/>
          <w:szCs w:val="24"/>
        </w:rPr>
        <w:t>PRIMERO</w:t>
      </w:r>
      <w:r w:rsidRPr="00D11A64">
        <w:rPr>
          <w:rFonts w:ascii="Arial" w:hAnsi="Arial" w:cs="Arial"/>
          <w:sz w:val="24"/>
          <w:szCs w:val="24"/>
        </w:rPr>
        <w:t xml:space="preserve">.- Esta Quinta Sala Unitaria del Tribunal de Justicia Administrativa del Estado de Oaxaca, es competente para conocer y resolver el presente juicio. </w:t>
      </w:r>
    </w:p>
    <w:p w:rsidR="00A7580D" w:rsidRPr="00D11A64" w:rsidRDefault="00A7580D" w:rsidP="00A7580D">
      <w:pPr>
        <w:spacing w:line="360" w:lineRule="auto"/>
        <w:ind w:firstLine="708"/>
        <w:jc w:val="both"/>
        <w:rPr>
          <w:rFonts w:ascii="Arial" w:hAnsi="Arial" w:cs="Arial"/>
          <w:sz w:val="24"/>
          <w:szCs w:val="24"/>
        </w:rPr>
      </w:pPr>
    </w:p>
    <w:p w:rsidR="00A7580D" w:rsidRPr="00D11A64" w:rsidRDefault="00A7580D" w:rsidP="00A7580D">
      <w:pPr>
        <w:spacing w:line="360" w:lineRule="auto"/>
        <w:ind w:firstLine="708"/>
        <w:jc w:val="both"/>
        <w:rPr>
          <w:rFonts w:ascii="Arial" w:hAnsi="Arial" w:cs="Arial"/>
          <w:sz w:val="24"/>
          <w:szCs w:val="24"/>
        </w:rPr>
      </w:pPr>
      <w:r w:rsidRPr="00D11A64">
        <w:rPr>
          <w:rFonts w:ascii="Arial" w:hAnsi="Arial" w:cs="Arial"/>
          <w:b/>
          <w:sz w:val="24"/>
          <w:szCs w:val="24"/>
        </w:rPr>
        <w:t>SEGUNDO</w:t>
      </w:r>
      <w:r w:rsidRPr="00D11A64">
        <w:rPr>
          <w:rFonts w:ascii="Arial" w:hAnsi="Arial" w:cs="Arial"/>
          <w:sz w:val="24"/>
          <w:szCs w:val="24"/>
        </w:rPr>
        <w:t xml:space="preserve">.- La personalidad de las partes quedó acreditada en autos. </w:t>
      </w:r>
    </w:p>
    <w:p w:rsidR="00A7580D" w:rsidRPr="00D11A64" w:rsidRDefault="00A7580D" w:rsidP="00A7580D">
      <w:pPr>
        <w:spacing w:line="360" w:lineRule="auto"/>
        <w:ind w:firstLine="708"/>
        <w:jc w:val="both"/>
        <w:rPr>
          <w:rFonts w:ascii="Arial" w:hAnsi="Arial" w:cs="Arial"/>
          <w:b/>
          <w:sz w:val="24"/>
          <w:szCs w:val="24"/>
        </w:rPr>
      </w:pPr>
    </w:p>
    <w:p w:rsidR="00A7580D" w:rsidRPr="00D11A64" w:rsidRDefault="00A7580D" w:rsidP="00A7580D">
      <w:pPr>
        <w:spacing w:line="360" w:lineRule="auto"/>
        <w:ind w:firstLine="708"/>
        <w:jc w:val="both"/>
        <w:rPr>
          <w:rFonts w:ascii="Arial" w:hAnsi="Arial" w:cs="Arial"/>
          <w:sz w:val="24"/>
          <w:szCs w:val="24"/>
          <w:lang w:val="es-MX"/>
        </w:rPr>
      </w:pPr>
      <w:r w:rsidRPr="00D11A64">
        <w:rPr>
          <w:rFonts w:ascii="Arial" w:hAnsi="Arial" w:cs="Arial"/>
          <w:b/>
          <w:sz w:val="24"/>
          <w:szCs w:val="24"/>
        </w:rPr>
        <w:t>TERCERO.</w:t>
      </w:r>
      <w:r w:rsidRPr="00D11A64">
        <w:rPr>
          <w:rFonts w:ascii="Arial" w:hAnsi="Arial" w:cs="Arial"/>
          <w:sz w:val="24"/>
          <w:szCs w:val="24"/>
        </w:rPr>
        <w:t>-</w:t>
      </w:r>
      <w:r w:rsidRPr="00D11A64">
        <w:rPr>
          <w:rFonts w:ascii="Arial" w:hAnsi="Arial" w:cs="Arial"/>
          <w:sz w:val="24"/>
          <w:szCs w:val="24"/>
          <w:lang w:val="es-MX"/>
        </w:rPr>
        <w:t xml:space="preserve"> Este Juzgador advierte que, en el presente juicio no se configuran ninguna causal de improcedencia y sobreseimiento contenidas en los numerales </w:t>
      </w:r>
      <w:r w:rsidRPr="00D11A64">
        <w:rPr>
          <w:rFonts w:ascii="Arial" w:hAnsi="Arial" w:cs="Arial"/>
          <w:sz w:val="24"/>
          <w:szCs w:val="24"/>
        </w:rPr>
        <w:t>161 y 162 de la Ley de Procedimiento y Justicia Administrativa para el Estado de Oaxaca</w:t>
      </w:r>
      <w:r w:rsidRPr="00D11A64">
        <w:rPr>
          <w:rFonts w:ascii="Arial" w:hAnsi="Arial" w:cs="Arial"/>
          <w:sz w:val="24"/>
          <w:szCs w:val="24"/>
          <w:lang w:val="es-MX"/>
        </w:rPr>
        <w:t xml:space="preserve">, por tanto, </w:t>
      </w:r>
      <w:r w:rsidRPr="00D11A64">
        <w:rPr>
          <w:rFonts w:ascii="Arial" w:hAnsi="Arial" w:cs="Arial"/>
          <w:b/>
          <w:bCs/>
          <w:sz w:val="24"/>
          <w:szCs w:val="24"/>
          <w:lang w:val="es-MX"/>
        </w:rPr>
        <w:t xml:space="preserve">NO </w:t>
      </w:r>
      <w:r w:rsidRPr="00D11A64">
        <w:rPr>
          <w:rFonts w:ascii="Arial" w:hAnsi="Arial" w:cs="Arial"/>
          <w:b/>
          <w:sz w:val="24"/>
          <w:szCs w:val="24"/>
          <w:lang w:val="es-MX"/>
        </w:rPr>
        <w:t>SE SOBRESEE</w:t>
      </w:r>
      <w:r w:rsidRPr="00D11A64">
        <w:rPr>
          <w:rFonts w:ascii="Arial" w:hAnsi="Arial" w:cs="Arial"/>
          <w:sz w:val="24"/>
          <w:szCs w:val="24"/>
          <w:lang w:val="es-MX"/>
        </w:rPr>
        <w:t xml:space="preserve">, el presente juicio en términos del considerando </w:t>
      </w:r>
      <w:r w:rsidRPr="00D11A64">
        <w:rPr>
          <w:rFonts w:ascii="Arial" w:hAnsi="Arial" w:cs="Arial"/>
          <w:b/>
          <w:bCs/>
          <w:sz w:val="24"/>
          <w:szCs w:val="24"/>
          <w:lang w:val="es-MX"/>
        </w:rPr>
        <w:t>TERCERO</w:t>
      </w:r>
      <w:r w:rsidRPr="00D11A64">
        <w:rPr>
          <w:rFonts w:ascii="Arial" w:hAnsi="Arial" w:cs="Arial"/>
          <w:sz w:val="24"/>
          <w:szCs w:val="24"/>
          <w:lang w:val="es-MX"/>
        </w:rPr>
        <w:t xml:space="preserve"> de este fallo. </w:t>
      </w:r>
    </w:p>
    <w:p w:rsidR="00A7580D" w:rsidRPr="00D11A64" w:rsidRDefault="00A7580D" w:rsidP="00A7580D">
      <w:pPr>
        <w:spacing w:line="360" w:lineRule="auto"/>
        <w:ind w:firstLine="708"/>
        <w:jc w:val="both"/>
        <w:rPr>
          <w:rFonts w:ascii="Arial" w:hAnsi="Arial" w:cs="Arial"/>
          <w:bCs/>
          <w:sz w:val="24"/>
          <w:szCs w:val="24"/>
          <w:lang w:val="es-MX"/>
        </w:rPr>
      </w:pPr>
    </w:p>
    <w:p w:rsidR="00A7580D" w:rsidRPr="00D11A64" w:rsidRDefault="00A7580D" w:rsidP="00A7580D">
      <w:pPr>
        <w:spacing w:line="360" w:lineRule="auto"/>
        <w:ind w:right="-91"/>
        <w:jc w:val="both"/>
        <w:rPr>
          <w:rFonts w:ascii="Arial" w:hAnsi="Arial" w:cs="Arial"/>
          <w:bCs/>
          <w:sz w:val="24"/>
          <w:szCs w:val="24"/>
        </w:rPr>
      </w:pPr>
      <w:r w:rsidRPr="00D11A64">
        <w:rPr>
          <w:rFonts w:ascii="Arial" w:hAnsi="Arial" w:cs="Arial"/>
          <w:b/>
          <w:bCs/>
          <w:sz w:val="24"/>
          <w:szCs w:val="24"/>
          <w:lang w:val="es-MX"/>
        </w:rPr>
        <w:t xml:space="preserve">            CUARTO</w:t>
      </w:r>
      <w:r w:rsidRPr="00D11A64">
        <w:rPr>
          <w:rFonts w:ascii="Arial" w:hAnsi="Arial" w:cs="Arial"/>
          <w:bCs/>
          <w:sz w:val="24"/>
          <w:szCs w:val="24"/>
          <w:lang w:val="es-MX"/>
        </w:rPr>
        <w:t xml:space="preserve">.- </w:t>
      </w:r>
      <w:r w:rsidRPr="00D11A64">
        <w:rPr>
          <w:rFonts w:ascii="Arial" w:hAnsi="Arial" w:cs="Arial"/>
          <w:b/>
          <w:bCs/>
          <w:sz w:val="24"/>
          <w:szCs w:val="24"/>
        </w:rPr>
        <w:t>Se declara la nulidad</w:t>
      </w:r>
      <w:r>
        <w:rPr>
          <w:rFonts w:ascii="Arial" w:hAnsi="Arial" w:cs="Arial"/>
          <w:b/>
          <w:bCs/>
          <w:sz w:val="24"/>
          <w:szCs w:val="24"/>
        </w:rPr>
        <w:t xml:space="preserve"> lisa y llana </w:t>
      </w:r>
      <w:r>
        <w:rPr>
          <w:rFonts w:ascii="Arial" w:hAnsi="Arial" w:cs="Arial"/>
          <w:sz w:val="24"/>
          <w:szCs w:val="24"/>
        </w:rPr>
        <w:t>de</w:t>
      </w:r>
      <w:r w:rsidRPr="00D11A64">
        <w:rPr>
          <w:rFonts w:ascii="Arial" w:hAnsi="Arial" w:cs="Arial"/>
          <w:sz w:val="24"/>
          <w:szCs w:val="24"/>
        </w:rPr>
        <w:t xml:space="preserve"> la resolución de </w:t>
      </w:r>
      <w:r w:rsidR="00786377">
        <w:rPr>
          <w:rFonts w:cs="Arial"/>
          <w:b/>
          <w:sz w:val="24"/>
          <w:szCs w:val="24"/>
        </w:rPr>
        <w:t>**********</w:t>
      </w:r>
      <w:r w:rsidRPr="00D11A64">
        <w:rPr>
          <w:rFonts w:ascii="Arial" w:hAnsi="Arial" w:cs="Arial"/>
          <w:sz w:val="24"/>
          <w:szCs w:val="24"/>
        </w:rPr>
        <w:t xml:space="preserve">, dictada en el Expediente Administrativo </w:t>
      </w:r>
      <w:r w:rsidR="00786377">
        <w:rPr>
          <w:rFonts w:cs="Arial"/>
          <w:b/>
          <w:sz w:val="24"/>
          <w:szCs w:val="24"/>
        </w:rPr>
        <w:t>**********</w:t>
      </w:r>
      <w:r w:rsidRPr="00D11A64">
        <w:rPr>
          <w:rFonts w:ascii="Arial" w:hAnsi="Arial" w:cs="Arial"/>
          <w:sz w:val="24"/>
          <w:szCs w:val="24"/>
        </w:rPr>
        <w:t xml:space="preserve">, por la </w:t>
      </w:r>
      <w:r w:rsidRPr="00D11A64">
        <w:rPr>
          <w:rFonts w:ascii="Arial" w:hAnsi="Arial" w:cs="Arial"/>
          <w:b/>
          <w:bCs/>
          <w:sz w:val="24"/>
          <w:szCs w:val="24"/>
        </w:rPr>
        <w:t>TESORERA MUNICIPAL DE LA VILLA DE ETLA, OAXACA</w:t>
      </w:r>
      <w:r>
        <w:rPr>
          <w:rFonts w:ascii="Arial" w:hAnsi="Arial" w:cs="Arial"/>
          <w:b/>
          <w:bCs/>
          <w:sz w:val="24"/>
          <w:szCs w:val="24"/>
        </w:rPr>
        <w:t>,</w:t>
      </w:r>
      <w:r w:rsidRPr="00D11A64">
        <w:rPr>
          <w:rFonts w:ascii="Arial" w:hAnsi="Arial" w:cs="Arial"/>
          <w:sz w:val="24"/>
          <w:szCs w:val="24"/>
        </w:rPr>
        <w:t xml:space="preserve"> por las razones </w:t>
      </w:r>
      <w:r w:rsidRPr="00D11A64">
        <w:rPr>
          <w:rFonts w:ascii="Arial" w:hAnsi="Arial" w:cs="Arial"/>
          <w:bCs/>
          <w:sz w:val="24"/>
          <w:szCs w:val="24"/>
        </w:rPr>
        <w:t xml:space="preserve">esgrimidas en el considerando </w:t>
      </w:r>
      <w:r w:rsidRPr="00D11A64">
        <w:rPr>
          <w:rFonts w:ascii="Arial" w:hAnsi="Arial" w:cs="Arial"/>
          <w:b/>
          <w:sz w:val="24"/>
          <w:szCs w:val="24"/>
        </w:rPr>
        <w:t>CUARTO</w:t>
      </w:r>
      <w:r w:rsidRPr="00D11A64">
        <w:rPr>
          <w:rFonts w:ascii="Arial" w:hAnsi="Arial" w:cs="Arial"/>
          <w:bCs/>
          <w:sz w:val="24"/>
          <w:szCs w:val="24"/>
        </w:rPr>
        <w:t xml:space="preserve"> de esta sentencia. </w:t>
      </w:r>
    </w:p>
    <w:p w:rsidR="00A7580D" w:rsidRPr="00D11A64" w:rsidRDefault="00A7580D" w:rsidP="00A7580D">
      <w:pPr>
        <w:spacing w:line="360" w:lineRule="auto"/>
        <w:ind w:right="-91"/>
        <w:jc w:val="both"/>
        <w:rPr>
          <w:rFonts w:ascii="Arial" w:hAnsi="Arial" w:cs="Arial"/>
          <w:bCs/>
          <w:sz w:val="24"/>
          <w:szCs w:val="24"/>
        </w:rPr>
      </w:pPr>
    </w:p>
    <w:p w:rsidR="00A7580D" w:rsidRPr="00D11A64" w:rsidRDefault="00A7580D" w:rsidP="00A7580D">
      <w:pPr>
        <w:spacing w:line="360" w:lineRule="auto"/>
        <w:ind w:right="-91" w:firstLine="567"/>
        <w:jc w:val="both"/>
        <w:rPr>
          <w:rFonts w:ascii="Arial" w:hAnsi="Arial" w:cs="Arial"/>
          <w:bCs/>
          <w:sz w:val="24"/>
          <w:szCs w:val="24"/>
        </w:rPr>
      </w:pPr>
      <w:r w:rsidRPr="00D11A64">
        <w:rPr>
          <w:rFonts w:ascii="Arial" w:hAnsi="Arial" w:cs="Arial"/>
          <w:b/>
          <w:sz w:val="24"/>
          <w:szCs w:val="24"/>
        </w:rPr>
        <w:t>QUINTO</w:t>
      </w:r>
      <w:r w:rsidRPr="00D11A64">
        <w:rPr>
          <w:rFonts w:ascii="Arial" w:hAnsi="Arial" w:cs="Arial"/>
          <w:sz w:val="24"/>
          <w:szCs w:val="24"/>
        </w:rPr>
        <w:t>.-</w:t>
      </w:r>
      <w:r w:rsidRPr="00D11A64">
        <w:rPr>
          <w:rFonts w:ascii="Arial" w:hAnsi="Arial" w:cs="Arial"/>
          <w:b/>
          <w:sz w:val="24"/>
          <w:szCs w:val="24"/>
          <w:lang w:val="es-MX"/>
        </w:rPr>
        <w:t xml:space="preserve"> </w:t>
      </w:r>
      <w:r w:rsidRPr="00D11A64">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NOTIFÍQUESE personalmente al actor y por oficio a la autoridad demandad y CÚMPLASE. </w:t>
      </w:r>
    </w:p>
    <w:p w:rsidR="00A7580D" w:rsidRPr="00D11A64" w:rsidRDefault="00A7580D" w:rsidP="00A7580D">
      <w:pPr>
        <w:spacing w:line="360" w:lineRule="auto"/>
        <w:ind w:right="51"/>
        <w:jc w:val="both"/>
        <w:rPr>
          <w:rFonts w:ascii="Arial" w:hAnsi="Arial" w:cs="Arial"/>
          <w:sz w:val="24"/>
          <w:szCs w:val="24"/>
        </w:rPr>
      </w:pPr>
    </w:p>
    <w:p w:rsidR="00A7580D" w:rsidRDefault="00A7580D" w:rsidP="00A7580D">
      <w:pPr>
        <w:spacing w:line="360" w:lineRule="auto"/>
        <w:ind w:right="-91"/>
        <w:contextualSpacing/>
        <w:jc w:val="both"/>
        <w:rPr>
          <w:rFonts w:ascii="Arial" w:eastAsia="Arial Unicode MS" w:hAnsi="Arial" w:cs="Arial"/>
          <w:sz w:val="24"/>
          <w:szCs w:val="24"/>
        </w:rPr>
      </w:pPr>
      <w:r w:rsidRPr="00221D8C">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A7580D" w:rsidRPr="00083577" w:rsidRDefault="00A7580D" w:rsidP="00A7580D">
      <w:pPr>
        <w:spacing w:line="360" w:lineRule="auto"/>
        <w:ind w:right="49" w:firstLine="567"/>
        <w:jc w:val="both"/>
        <w:rPr>
          <w:rFonts w:ascii="Arial" w:hAnsi="Arial" w:cs="Arial"/>
          <w:b/>
          <w:bCs/>
          <w:sz w:val="24"/>
          <w:szCs w:val="24"/>
        </w:rPr>
      </w:pPr>
    </w:p>
    <w:p w:rsidR="00A7580D" w:rsidRPr="00D11A64" w:rsidRDefault="00A7580D" w:rsidP="00A7580D">
      <w:pPr>
        <w:spacing w:line="360" w:lineRule="auto"/>
        <w:ind w:right="49" w:firstLine="567"/>
        <w:jc w:val="both"/>
        <w:rPr>
          <w:rFonts w:ascii="Arial" w:hAnsi="Arial" w:cs="Arial"/>
          <w:sz w:val="24"/>
          <w:szCs w:val="24"/>
        </w:rPr>
      </w:pPr>
    </w:p>
    <w:p w:rsidR="00294EC6" w:rsidRDefault="00294EC6"/>
    <w:sectPr w:rsidR="00294EC6" w:rsidSect="00E13808">
      <w:headerReference w:type="default" r:id="rId7"/>
      <w:headerReference w:type="first" r:id="rId8"/>
      <w:pgSz w:w="12242" w:h="20163" w:code="5"/>
      <w:pgMar w:top="1134" w:right="1134"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3EF" w:rsidRDefault="004853EF" w:rsidP="00A7580D">
      <w:r>
        <w:separator/>
      </w:r>
    </w:p>
  </w:endnote>
  <w:endnote w:type="continuationSeparator" w:id="0">
    <w:p w:rsidR="004853EF" w:rsidRDefault="004853EF" w:rsidP="00A75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3EF" w:rsidRDefault="004853EF" w:rsidP="00A7580D">
      <w:r>
        <w:separator/>
      </w:r>
    </w:p>
  </w:footnote>
  <w:footnote w:type="continuationSeparator" w:id="0">
    <w:p w:rsidR="004853EF" w:rsidRDefault="004853EF" w:rsidP="00A758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4853E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86377">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Pr>
        <w:rFonts w:ascii="Arial" w:hAnsi="Arial" w:cs="Arial"/>
        <w:b/>
        <w:sz w:val="28"/>
        <w:lang w:val="en-US"/>
      </w:rPr>
      <w:t>0</w:t>
    </w:r>
    <w:r>
      <w:rPr>
        <w:rFonts w:ascii="Arial" w:hAnsi="Arial" w:cs="Arial"/>
        <w:b/>
        <w:sz w:val="28"/>
        <w:lang w:val="en-US"/>
      </w:rPr>
      <w:t>5</w:t>
    </w:r>
    <w:r>
      <w:rPr>
        <w:rFonts w:ascii="Arial" w:hAnsi="Arial" w:cs="Arial"/>
        <w:b/>
        <w:sz w:val="28"/>
        <w:lang w:val="en-US"/>
      </w:rPr>
      <w:t>9</w:t>
    </w:r>
    <w:r>
      <w:rPr>
        <w:rFonts w:ascii="Arial" w:hAnsi="Arial" w:cs="Arial"/>
        <w:b/>
        <w:sz w:val="28"/>
        <w:lang w:val="en-US"/>
      </w:rPr>
      <w:t>/201</w:t>
    </w:r>
    <w:r>
      <w:rPr>
        <w:rFonts w:ascii="Arial" w:hAnsi="Arial" w:cs="Arial"/>
        <w:b/>
        <w:sz w:val="28"/>
        <w:lang w:val="en-US"/>
      </w:rPr>
      <w:t>9</w:t>
    </w:r>
  </w:p>
  <w:p w:rsidR="00386A00" w:rsidRPr="00CC4788" w:rsidRDefault="00A7580D">
    <w:pPr>
      <w:rPr>
        <w:lang w:val="es-ES_tradnl"/>
      </w:rPr>
    </w:pPr>
    <w:r w:rsidRPr="00EB6F38">
      <w:rPr>
        <w:rFonts w:eastAsiaTheme="minorHAnsi"/>
        <w:noProof/>
        <w:szCs w:val="24"/>
        <w:lang w:val="es-MX"/>
      </w:rPr>
      <mc:AlternateContent>
        <mc:Choice Requires="wps">
          <w:drawing>
            <wp:anchor distT="45720" distB="45720" distL="114300" distR="114300" simplePos="0" relativeHeight="251659264" behindDoc="1" locked="0" layoutInCell="1" allowOverlap="1" wp14:anchorId="64C09CB4" wp14:editId="4C48A37F">
              <wp:simplePos x="0" y="0"/>
              <wp:positionH relativeFrom="page">
                <wp:posOffset>178938</wp:posOffset>
              </wp:positionH>
              <wp:positionV relativeFrom="paragraph">
                <wp:posOffset>2689553</wp:posOffset>
              </wp:positionV>
              <wp:extent cx="1046480" cy="1453662"/>
              <wp:effectExtent l="0" t="0" r="20320"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A7580D" w:rsidRDefault="00A7580D" w:rsidP="00A7580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C09CB4" id="_x0000_t202" coordsize="21600,21600" o:spt="202" path="m,l,21600r21600,l21600,xe">
              <v:stroke joinstyle="miter"/>
              <v:path gradientshapeok="t" o:connecttype="rect"/>
            </v:shapetype>
            <v:shape id="Cuadro de texto 2" o:spid="_x0000_s1026" type="#_x0000_t202" style="position:absolute;margin-left:14.1pt;margin-top:211.8pt;width:82.4pt;height:114.4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">
              <v:textbox>
                <w:txbxContent>
                  <w:p w:rsidR="00A7580D" w:rsidRDefault="00A7580D" w:rsidP="00A7580D">
                    <w:pPr>
                      <w:jc w:val="center"/>
                    </w:pPr>
                    <w:r>
                      <w:t>DATOS PERSONALES PROTEGIDOS POR EL ART.- 116 DE LA LGTAIP Y EL ART.- 56 DE LA LTAIPEO</w:t>
                    </w:r>
                  </w:p>
                </w:txbxContent>
              </v:textbox>
              <w10:wrap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80D" w:rsidRDefault="00A7580D">
    <w:pPr>
      <w:pStyle w:val="Encabezado"/>
    </w:pPr>
    <w:r w:rsidRPr="00EB6F38">
      <w:rPr>
        <w:rFonts w:eastAsiaTheme="minorHAnsi"/>
        <w:noProof/>
        <w:szCs w:val="24"/>
        <w:lang w:val="es-MX"/>
      </w:rPr>
      <mc:AlternateContent>
        <mc:Choice Requires="wps">
          <w:drawing>
            <wp:anchor distT="45720" distB="45720" distL="114300" distR="114300" simplePos="0" relativeHeight="251661312" behindDoc="1" locked="0" layoutInCell="1" allowOverlap="1" wp14:anchorId="18380B20" wp14:editId="390F9A6D">
              <wp:simplePos x="0" y="0"/>
              <wp:positionH relativeFrom="page">
                <wp:posOffset>210382</wp:posOffset>
              </wp:positionH>
              <wp:positionV relativeFrom="paragraph">
                <wp:posOffset>5205730</wp:posOffset>
              </wp:positionV>
              <wp:extent cx="1046480" cy="1453662"/>
              <wp:effectExtent l="0" t="0" r="20320" b="1333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A7580D" w:rsidRDefault="00A7580D" w:rsidP="00A7580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380B20" id="_x0000_t202" coordsize="21600,21600" o:spt="202" path="m,l,21600r21600,l21600,xe">
              <v:stroke joinstyle="miter"/>
              <v:path gradientshapeok="t" o:connecttype="rect"/>
            </v:shapetype>
            <v:shape id="Cuadro de texto 1" o:spid="_x0000_s1027" type="#_x0000_t202" style="position:absolute;margin-left:16.55pt;margin-top:409.9pt;width:82.4pt;height:114.4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">
              <v:textbox>
                <w:txbxContent>
                  <w:p w:rsidR="00A7580D" w:rsidRDefault="00A7580D" w:rsidP="00A7580D">
                    <w:pPr>
                      <w:jc w:val="center"/>
                    </w:pPr>
                    <w:r>
                      <w:t>DATOS PERSONALES PROTEGIDOS POR EL ART.- 116 DE LA LGTAIP Y EL ART.- 56 DE LA LTAIPEO</w:t>
                    </w: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80D"/>
    <w:rsid w:val="00294EC6"/>
    <w:rsid w:val="004853EF"/>
    <w:rsid w:val="004B1DB0"/>
    <w:rsid w:val="005223BF"/>
    <w:rsid w:val="00685BC3"/>
    <w:rsid w:val="00786377"/>
    <w:rsid w:val="00A7580D"/>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2469F35-C098-42D5-9A17-14B78F09B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80D"/>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rsid w:val="00A7580D"/>
    <w:pPr>
      <w:autoSpaceDE w:val="0"/>
      <w:autoSpaceDN w:val="0"/>
    </w:pPr>
    <w:rPr>
      <w:lang w:eastAsia="es-ES"/>
    </w:rPr>
  </w:style>
  <w:style w:type="character" w:customStyle="1" w:styleId="TextonotapieCar">
    <w:name w:val="Texto nota pie Car"/>
    <w:basedOn w:val="Fuentedeprrafopredeter"/>
    <w:link w:val="Textonotapie"/>
    <w:rsid w:val="00A7580D"/>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580D"/>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580D"/>
    <w:rPr>
      <w:rFonts w:ascii="Arial" w:eastAsia="Times New Roman" w:hAnsi="Arial" w:cs="Times New Roman"/>
      <w:sz w:val="30"/>
      <w:szCs w:val="20"/>
      <w:lang w:val="es-ES_tradnl" w:eastAsia="es-ES"/>
    </w:rPr>
  </w:style>
  <w:style w:type="paragraph" w:customStyle="1" w:styleId="Sangradetextonormal2">
    <w:name w:val="Sangría de texto normal2"/>
    <w:rsid w:val="00A7580D"/>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580D"/>
    <w:pPr>
      <w:widowControl w:val="0"/>
      <w:spacing w:line="480" w:lineRule="auto"/>
      <w:ind w:right="51" w:firstLine="1134"/>
      <w:jc w:val="both"/>
    </w:pPr>
    <w:rPr>
      <w:rFonts w:ascii="Courier" w:hAnsi="Courier"/>
      <w:sz w:val="24"/>
      <w:lang w:eastAsia="es-ES"/>
    </w:rPr>
  </w:style>
  <w:style w:type="paragraph" w:styleId="Encabezado">
    <w:name w:val="header"/>
    <w:basedOn w:val="Normal"/>
    <w:link w:val="EncabezadoCar"/>
    <w:uiPriority w:val="99"/>
    <w:unhideWhenUsed/>
    <w:rsid w:val="00A7580D"/>
    <w:pPr>
      <w:tabs>
        <w:tab w:val="center" w:pos="4419"/>
        <w:tab w:val="right" w:pos="8838"/>
      </w:tabs>
    </w:pPr>
  </w:style>
  <w:style w:type="character" w:customStyle="1" w:styleId="EncabezadoCar">
    <w:name w:val="Encabezado Car"/>
    <w:basedOn w:val="Fuentedeprrafopredeter"/>
    <w:link w:val="Encabezado"/>
    <w:uiPriority w:val="99"/>
    <w:rsid w:val="00A758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A7580D"/>
    <w:pPr>
      <w:tabs>
        <w:tab w:val="center" w:pos="4419"/>
        <w:tab w:val="right" w:pos="8838"/>
      </w:tabs>
    </w:pPr>
  </w:style>
  <w:style w:type="character" w:customStyle="1" w:styleId="PiedepginaCar">
    <w:name w:val="Pie de página Car"/>
    <w:basedOn w:val="Fuentedeprrafopredeter"/>
    <w:link w:val="Piedepgina"/>
    <w:uiPriority w:val="99"/>
    <w:rsid w:val="00A7580D"/>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8977B-98A2-4B78-88F2-6F7450A6D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2724</Words>
  <Characters>14987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2021-04-08T19:04:00Z</dcterms:created>
  <dcterms:modified xsi:type="dcterms:W3CDTF">2021-04-08T19:16:00Z</dcterms:modified>
</cp:coreProperties>
</file>