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D1743B6"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F0584">
        <w:rPr>
          <w:rFonts w:ascii="Arial" w:hAnsi="Arial" w:cs="Arial"/>
          <w:b/>
          <w:sz w:val="26"/>
          <w:szCs w:val="26"/>
        </w:rPr>
        <w:t>059</w:t>
      </w:r>
      <w:r>
        <w:rPr>
          <w:rFonts w:ascii="Arial" w:hAnsi="Arial" w:cs="Arial"/>
          <w:b/>
          <w:sz w:val="26"/>
          <w:szCs w:val="26"/>
        </w:rPr>
        <w:t>/20</w:t>
      </w:r>
      <w:r w:rsidR="002D0109">
        <w:rPr>
          <w:rFonts w:ascii="Arial" w:hAnsi="Arial" w:cs="Arial"/>
          <w:b/>
          <w:sz w:val="26"/>
          <w:szCs w:val="26"/>
        </w:rPr>
        <w:t>2</w:t>
      </w:r>
      <w:r w:rsidR="008F0584">
        <w:rPr>
          <w:rFonts w:ascii="Arial" w:hAnsi="Arial" w:cs="Arial"/>
          <w:b/>
          <w:sz w:val="26"/>
          <w:szCs w:val="26"/>
        </w:rPr>
        <w:t>1</w:t>
      </w:r>
      <w:r>
        <w:rPr>
          <w:rFonts w:ascii="Arial" w:hAnsi="Arial" w:cs="Arial"/>
          <w:b/>
          <w:sz w:val="26"/>
          <w:szCs w:val="26"/>
        </w:rPr>
        <w:t>.</w:t>
      </w:r>
    </w:p>
    <w:p w14:paraId="10A869BB" w14:textId="768698C5" w:rsidR="00DF6C99" w:rsidRDefault="00887110" w:rsidP="00DF6C99">
      <w:pPr>
        <w:spacing w:line="240" w:lineRule="auto"/>
        <w:ind w:left="2124"/>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8F0584">
        <w:rPr>
          <w:rFonts w:ascii="Arial" w:hAnsi="Arial" w:cs="Arial"/>
          <w:b/>
          <w:sz w:val="26"/>
          <w:szCs w:val="26"/>
        </w:rPr>
        <w:t>0</w:t>
      </w:r>
      <w:r w:rsidR="002D0109">
        <w:rPr>
          <w:rFonts w:ascii="Arial" w:hAnsi="Arial" w:cs="Arial"/>
          <w:b/>
          <w:sz w:val="26"/>
          <w:szCs w:val="26"/>
        </w:rPr>
        <w:t>3</w:t>
      </w:r>
      <w:r w:rsidR="008F0584">
        <w:rPr>
          <w:rFonts w:ascii="Arial" w:hAnsi="Arial" w:cs="Arial"/>
          <w:b/>
          <w:sz w:val="26"/>
          <w:szCs w:val="26"/>
        </w:rPr>
        <w:t>2</w:t>
      </w:r>
      <w:r>
        <w:rPr>
          <w:rFonts w:ascii="Arial" w:hAnsi="Arial" w:cs="Arial"/>
          <w:b/>
          <w:sz w:val="26"/>
          <w:szCs w:val="26"/>
        </w:rPr>
        <w:t>/20</w:t>
      </w:r>
      <w:r w:rsidR="002D0109">
        <w:rPr>
          <w:rFonts w:ascii="Arial" w:hAnsi="Arial" w:cs="Arial"/>
          <w:b/>
          <w:sz w:val="26"/>
          <w:szCs w:val="26"/>
        </w:rPr>
        <w:t>20</w:t>
      </w:r>
      <w:r>
        <w:rPr>
          <w:rFonts w:ascii="Arial" w:hAnsi="Arial" w:cs="Arial"/>
          <w:b/>
          <w:sz w:val="26"/>
          <w:szCs w:val="26"/>
        </w:rPr>
        <w:t xml:space="preserve"> </w:t>
      </w:r>
      <w:r w:rsidR="00DF6C99">
        <w:rPr>
          <w:rFonts w:ascii="Arial" w:hAnsi="Arial" w:cs="Arial"/>
          <w:b/>
          <w:sz w:val="26"/>
          <w:szCs w:val="26"/>
        </w:rPr>
        <w:t xml:space="preserve">DE LA </w:t>
      </w:r>
      <w:r w:rsidR="002D0109">
        <w:rPr>
          <w:rFonts w:ascii="Arial" w:hAnsi="Arial" w:cs="Arial"/>
          <w:b/>
          <w:sz w:val="26"/>
          <w:szCs w:val="26"/>
        </w:rPr>
        <w:t>SEXTA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7C2034A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D44B02">
        <w:rPr>
          <w:rFonts w:ascii="Arial" w:hAnsi="Arial" w:cs="Arial"/>
          <w:b/>
          <w:sz w:val="26"/>
          <w:szCs w:val="26"/>
        </w:rPr>
        <w:t>CATORCE</w:t>
      </w:r>
      <w:r>
        <w:rPr>
          <w:rFonts w:ascii="Arial" w:hAnsi="Arial" w:cs="Arial"/>
          <w:b/>
          <w:sz w:val="26"/>
          <w:szCs w:val="26"/>
        </w:rPr>
        <w:t xml:space="preserve"> DE </w:t>
      </w:r>
      <w:r w:rsidR="00D44B02">
        <w:rPr>
          <w:rFonts w:ascii="Arial" w:hAnsi="Arial" w:cs="Arial"/>
          <w:b/>
          <w:sz w:val="26"/>
          <w:szCs w:val="26"/>
        </w:rPr>
        <w:t>OCTUBRE</w:t>
      </w:r>
      <w:r>
        <w:rPr>
          <w:rFonts w:ascii="Arial" w:hAnsi="Arial" w:cs="Arial"/>
          <w:b/>
          <w:sz w:val="26"/>
          <w:szCs w:val="26"/>
        </w:rPr>
        <w:t xml:space="preserve"> DE DOS MIL VEINTIUNO. - - - - - - - - - - - - - - - - - - - - - - - - - - - - - - - - - - - - - - - </w:t>
      </w:r>
    </w:p>
    <w:p w14:paraId="74909C51" w14:textId="1F20A41C" w:rsidR="009D57CC" w:rsidRDefault="009D57CC" w:rsidP="00D44B02">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8F0584">
        <w:rPr>
          <w:rFonts w:ascii="Arial" w:hAnsi="Arial" w:cs="Arial"/>
          <w:b/>
          <w:sz w:val="26"/>
          <w:szCs w:val="26"/>
        </w:rPr>
        <w:t>059</w:t>
      </w:r>
      <w:r>
        <w:rPr>
          <w:rFonts w:ascii="Arial" w:hAnsi="Arial" w:cs="Arial"/>
          <w:b/>
          <w:sz w:val="26"/>
          <w:szCs w:val="26"/>
        </w:rPr>
        <w:t>/20</w:t>
      </w:r>
      <w:r w:rsidR="008F0584">
        <w:rPr>
          <w:rFonts w:ascii="Arial" w:hAnsi="Arial" w:cs="Arial"/>
          <w:b/>
          <w:sz w:val="26"/>
          <w:szCs w:val="26"/>
        </w:rPr>
        <w:t>21</w:t>
      </w:r>
      <w:r>
        <w:rPr>
          <w:rFonts w:ascii="Arial" w:hAnsi="Arial" w:cs="Arial"/>
          <w:sz w:val="26"/>
          <w:szCs w:val="26"/>
        </w:rPr>
        <w:t xml:space="preserve"> que remite la Secretaría General de Acuerdos, con motivo del </w:t>
      </w:r>
      <w:r w:rsidR="00F16687">
        <w:rPr>
          <w:rFonts w:ascii="Arial" w:hAnsi="Arial" w:cs="Arial"/>
          <w:sz w:val="26"/>
          <w:szCs w:val="26"/>
        </w:rPr>
        <w:t>R</w:t>
      </w:r>
      <w:r>
        <w:rPr>
          <w:rFonts w:ascii="Arial" w:hAnsi="Arial" w:cs="Arial"/>
          <w:sz w:val="26"/>
          <w:szCs w:val="26"/>
        </w:rPr>
        <w:t xml:space="preserve">ecurso de </w:t>
      </w:r>
      <w:r w:rsidR="00F16687">
        <w:rPr>
          <w:rFonts w:ascii="Arial" w:hAnsi="Arial" w:cs="Arial"/>
          <w:sz w:val="26"/>
          <w:szCs w:val="26"/>
        </w:rPr>
        <w:t>R</w:t>
      </w:r>
      <w:r>
        <w:rPr>
          <w:rFonts w:ascii="Arial" w:hAnsi="Arial" w:cs="Arial"/>
          <w:sz w:val="26"/>
          <w:szCs w:val="26"/>
        </w:rPr>
        <w:t>evisión interpuesto por</w:t>
      </w:r>
      <w:r w:rsidRPr="007560FD">
        <w:rPr>
          <w:rFonts w:ascii="Arial" w:hAnsi="Arial" w:cs="Arial"/>
          <w:bCs/>
          <w:sz w:val="26"/>
          <w:szCs w:val="26"/>
        </w:rPr>
        <w:t xml:space="preserve"> </w:t>
      </w:r>
      <w:r w:rsidR="008F0584" w:rsidRPr="007560FD">
        <w:rPr>
          <w:rFonts w:ascii="Arial" w:hAnsi="Arial" w:cs="Arial"/>
          <w:bCs/>
          <w:sz w:val="26"/>
          <w:szCs w:val="26"/>
        </w:rPr>
        <w:t>el</w:t>
      </w:r>
      <w:r w:rsidR="008F0584">
        <w:rPr>
          <w:rFonts w:ascii="Arial" w:hAnsi="Arial" w:cs="Arial"/>
          <w:b/>
          <w:sz w:val="26"/>
          <w:szCs w:val="26"/>
        </w:rPr>
        <w:t xml:space="preserve"> APODERADO LEGAL DEL CONSEJO DIRECTIVO Y DIRECTOR GENERAL DE LA OFICINA DE PENSIONES DEL ESTADO DE OAXACA, </w:t>
      </w:r>
      <w:r>
        <w:rPr>
          <w:rFonts w:ascii="Arial" w:hAnsi="Arial" w:cs="Arial"/>
          <w:sz w:val="26"/>
          <w:szCs w:val="26"/>
        </w:rPr>
        <w:t>en contra de</w:t>
      </w:r>
      <w:r w:rsidR="008F0584">
        <w:rPr>
          <w:rFonts w:ascii="Arial" w:hAnsi="Arial" w:cs="Arial"/>
          <w:sz w:val="26"/>
          <w:szCs w:val="26"/>
        </w:rPr>
        <w:t xml:space="preserve"> la sentencia </w:t>
      </w:r>
      <w:r>
        <w:rPr>
          <w:rFonts w:ascii="Arial" w:hAnsi="Arial" w:cs="Arial"/>
          <w:sz w:val="26"/>
          <w:szCs w:val="26"/>
        </w:rPr>
        <w:t xml:space="preserve">de </w:t>
      </w:r>
      <w:r w:rsidR="008F0584">
        <w:rPr>
          <w:rFonts w:ascii="Arial" w:hAnsi="Arial" w:cs="Arial"/>
          <w:sz w:val="26"/>
          <w:szCs w:val="26"/>
        </w:rPr>
        <w:t xml:space="preserve">once </w:t>
      </w:r>
      <w:r>
        <w:rPr>
          <w:rFonts w:ascii="Arial" w:hAnsi="Arial" w:cs="Arial"/>
          <w:sz w:val="26"/>
          <w:szCs w:val="26"/>
        </w:rPr>
        <w:t xml:space="preserve">de </w:t>
      </w:r>
      <w:r w:rsidR="008F0584">
        <w:rPr>
          <w:rFonts w:ascii="Arial" w:hAnsi="Arial" w:cs="Arial"/>
          <w:sz w:val="26"/>
          <w:szCs w:val="26"/>
        </w:rPr>
        <w:t>diciembre</w:t>
      </w:r>
      <w:r w:rsidR="002D0109">
        <w:rPr>
          <w:rFonts w:ascii="Arial" w:hAnsi="Arial" w:cs="Arial"/>
          <w:sz w:val="26"/>
          <w:szCs w:val="26"/>
        </w:rPr>
        <w:t xml:space="preserve"> </w:t>
      </w:r>
      <w:r>
        <w:rPr>
          <w:rFonts w:ascii="Arial" w:hAnsi="Arial" w:cs="Arial"/>
          <w:sz w:val="26"/>
          <w:szCs w:val="26"/>
        </w:rPr>
        <w:t xml:space="preserve">de dos mil </w:t>
      </w:r>
      <w:r w:rsidR="002D0109">
        <w:rPr>
          <w:rFonts w:ascii="Arial" w:hAnsi="Arial" w:cs="Arial"/>
          <w:sz w:val="26"/>
          <w:szCs w:val="26"/>
        </w:rPr>
        <w:t>veinte</w:t>
      </w:r>
      <w:r>
        <w:rPr>
          <w:rFonts w:ascii="Arial" w:hAnsi="Arial" w:cs="Arial"/>
          <w:sz w:val="26"/>
          <w:szCs w:val="26"/>
        </w:rPr>
        <w:t xml:space="preserve">, dictado en el expediente </w:t>
      </w:r>
      <w:r>
        <w:rPr>
          <w:rFonts w:ascii="Arial" w:hAnsi="Arial" w:cs="Arial"/>
          <w:b/>
          <w:sz w:val="26"/>
          <w:szCs w:val="26"/>
        </w:rPr>
        <w:t>0</w:t>
      </w:r>
      <w:r w:rsidR="008F0584">
        <w:rPr>
          <w:rFonts w:ascii="Arial" w:hAnsi="Arial" w:cs="Arial"/>
          <w:b/>
          <w:sz w:val="26"/>
          <w:szCs w:val="26"/>
        </w:rPr>
        <w:t>0</w:t>
      </w:r>
      <w:r w:rsidR="002D0109">
        <w:rPr>
          <w:rFonts w:ascii="Arial" w:hAnsi="Arial" w:cs="Arial"/>
          <w:b/>
          <w:sz w:val="26"/>
          <w:szCs w:val="26"/>
        </w:rPr>
        <w:t>3</w:t>
      </w:r>
      <w:r w:rsidR="008F0584">
        <w:rPr>
          <w:rFonts w:ascii="Arial" w:hAnsi="Arial" w:cs="Arial"/>
          <w:b/>
          <w:sz w:val="26"/>
          <w:szCs w:val="26"/>
        </w:rPr>
        <w:t>2</w:t>
      </w:r>
      <w:r>
        <w:rPr>
          <w:rFonts w:ascii="Arial" w:hAnsi="Arial" w:cs="Arial"/>
          <w:b/>
          <w:sz w:val="26"/>
          <w:szCs w:val="26"/>
        </w:rPr>
        <w:t>/20</w:t>
      </w:r>
      <w:r w:rsidR="002D0109">
        <w:rPr>
          <w:rFonts w:ascii="Arial" w:hAnsi="Arial" w:cs="Arial"/>
          <w:b/>
          <w:sz w:val="26"/>
          <w:szCs w:val="26"/>
        </w:rPr>
        <w:t>20</w:t>
      </w:r>
      <w:r>
        <w:rPr>
          <w:rFonts w:ascii="Arial" w:hAnsi="Arial" w:cs="Arial"/>
          <w:sz w:val="26"/>
          <w:szCs w:val="26"/>
        </w:rPr>
        <w:t xml:space="preserve"> del índice de la </w:t>
      </w:r>
      <w:r w:rsidR="002D0109">
        <w:rPr>
          <w:rFonts w:ascii="Arial" w:hAnsi="Arial" w:cs="Arial"/>
          <w:sz w:val="26"/>
          <w:szCs w:val="26"/>
        </w:rPr>
        <w:t>Sexta</w:t>
      </w:r>
      <w:r>
        <w:rPr>
          <w:rFonts w:ascii="Arial" w:hAnsi="Arial" w:cs="Arial"/>
          <w:sz w:val="26"/>
          <w:szCs w:val="26"/>
        </w:rPr>
        <w:t xml:space="preserve"> Sala Unitaria de Primera Instancia, relativo al </w:t>
      </w:r>
      <w:r w:rsidR="00F16687">
        <w:rPr>
          <w:rFonts w:ascii="Arial" w:hAnsi="Arial" w:cs="Arial"/>
          <w:sz w:val="26"/>
          <w:szCs w:val="26"/>
        </w:rPr>
        <w:t>J</w:t>
      </w:r>
      <w:r>
        <w:rPr>
          <w:rFonts w:ascii="Arial" w:hAnsi="Arial" w:cs="Arial"/>
          <w:sz w:val="26"/>
          <w:szCs w:val="26"/>
        </w:rPr>
        <w:t xml:space="preserve">uicio de </w:t>
      </w:r>
      <w:r w:rsidR="00F16687">
        <w:rPr>
          <w:rFonts w:ascii="Arial" w:hAnsi="Arial" w:cs="Arial"/>
          <w:sz w:val="26"/>
          <w:szCs w:val="26"/>
        </w:rPr>
        <w:t>N</w:t>
      </w:r>
      <w:r>
        <w:rPr>
          <w:rFonts w:ascii="Arial" w:hAnsi="Arial" w:cs="Arial"/>
          <w:sz w:val="26"/>
          <w:szCs w:val="26"/>
        </w:rPr>
        <w:t>ulidad promovido por</w:t>
      </w:r>
      <w:r>
        <w:rPr>
          <w:rFonts w:ascii="Arial" w:hAnsi="Arial" w:cs="Arial"/>
          <w:b/>
          <w:sz w:val="26"/>
          <w:szCs w:val="26"/>
        </w:rPr>
        <w:t xml:space="preserve"> </w:t>
      </w:r>
      <w:r w:rsidR="004C6412">
        <w:rPr>
          <w:rFonts w:ascii="Arial" w:eastAsia="Times New Roman" w:hAnsi="Arial" w:cs="Arial"/>
          <w:b/>
          <w:iCs/>
          <w:color w:val="000000"/>
        </w:rPr>
        <w:t>***********</w:t>
      </w:r>
      <w:r w:rsidR="007560FD">
        <w:rPr>
          <w:rFonts w:ascii="Arial" w:hAnsi="Arial" w:cs="Arial"/>
          <w:b/>
          <w:sz w:val="26"/>
          <w:szCs w:val="26"/>
        </w:rPr>
        <w:t xml:space="preserve">, </w:t>
      </w:r>
      <w:r w:rsidR="007560FD">
        <w:rPr>
          <w:rFonts w:ascii="Arial" w:hAnsi="Arial" w:cs="Arial"/>
          <w:bCs/>
          <w:sz w:val="26"/>
          <w:szCs w:val="26"/>
        </w:rPr>
        <w:t xml:space="preserve">en contra del </w:t>
      </w:r>
      <w:r w:rsidR="007560FD">
        <w:rPr>
          <w:rFonts w:ascii="Arial" w:hAnsi="Arial" w:cs="Arial"/>
          <w:b/>
          <w:sz w:val="26"/>
          <w:szCs w:val="26"/>
        </w:rPr>
        <w:t xml:space="preserve">CONSEJO DIRECTIVO DE PENSIONES DEL ESTADO DE OAXACA, </w:t>
      </w:r>
      <w:r>
        <w:rPr>
          <w:rFonts w:ascii="Arial" w:hAnsi="Arial" w:cs="Arial"/>
          <w:sz w:val="26"/>
          <w:szCs w:val="26"/>
        </w:rPr>
        <w:t>p</w:t>
      </w:r>
      <w:r>
        <w:rPr>
          <w:rFonts w:ascii="Arial" w:eastAsia="Calibri" w:hAnsi="Arial" w:cs="Arial"/>
          <w:sz w:val="26"/>
          <w:szCs w:val="26"/>
        </w:rPr>
        <w:t>or lo que con fundamento en los artículos 237 y 238 de la Ley de Procedimiento y Justicia Administrativa para el Estado de Oaxaca, se admite.</w:t>
      </w:r>
      <w:r>
        <w:rPr>
          <w:rFonts w:ascii="Arial" w:hAnsi="Arial" w:cs="Arial"/>
          <w:sz w:val="26"/>
          <w:szCs w:val="26"/>
        </w:rPr>
        <w:t xml:space="preserve"> En consecuencia, se procede a dictar resolución en los siguientes términos. </w:t>
      </w:r>
      <w:r w:rsidR="004C6412">
        <w:rPr>
          <w:rFonts w:ascii="Arial" w:hAnsi="Arial" w:cs="Arial"/>
          <w:color w:val="000000"/>
          <w:sz w:val="26"/>
          <w:szCs w:val="26"/>
          <w:lang w:val="es-ES"/>
        </w:rPr>
        <w:t xml:space="preserve"> </w:t>
      </w:r>
      <w:r w:rsidR="00F16687">
        <w:rPr>
          <w:rFonts w:ascii="Arial" w:hAnsi="Arial" w:cs="Arial"/>
          <w:color w:val="000000"/>
          <w:sz w:val="26"/>
          <w:szCs w:val="26"/>
          <w:lang w:val="es-ES"/>
        </w:rPr>
        <w:t xml:space="preserve"> </w:t>
      </w:r>
    </w:p>
    <w:p w14:paraId="42D76FAD" w14:textId="4C6F2F90" w:rsidR="003B6CF0"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2B7EDAC4" w14:textId="33C3815C" w:rsidR="00857DD4" w:rsidRPr="00CB6405" w:rsidRDefault="00857DD4" w:rsidP="00857DD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once de diciembre de dos mil veinte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Sexta </w:t>
      </w:r>
      <w:r w:rsidRPr="00CB6405">
        <w:rPr>
          <w:rFonts w:ascii="Arial" w:hAnsi="Arial" w:cs="Arial"/>
          <w:sz w:val="26"/>
          <w:szCs w:val="26"/>
        </w:rPr>
        <w:t xml:space="preserve">Sala Unitaria de Primera Instancia, </w:t>
      </w:r>
      <w:r w:rsidRPr="009D0396">
        <w:rPr>
          <w:rFonts w:ascii="Arial" w:hAnsi="Arial" w:cs="Arial"/>
          <w:sz w:val="26"/>
          <w:szCs w:val="26"/>
        </w:rPr>
        <w:t>el</w:t>
      </w:r>
      <w:r>
        <w:rPr>
          <w:rFonts w:ascii="Arial" w:hAnsi="Arial" w:cs="Arial"/>
          <w:b/>
          <w:sz w:val="26"/>
          <w:szCs w:val="26"/>
        </w:rPr>
        <w:t xml:space="preserve"> APODERADO LEGAL DEL CONSEJO DIRECTIVO Y DIRECTOR GENERAL DE LA OFICINA DE PENSIONES DEL ESTADO DE OAXACA,</w:t>
      </w:r>
      <w:r w:rsidRPr="00CB6405">
        <w:rPr>
          <w:rFonts w:ascii="Arial" w:hAnsi="Arial" w:cs="Arial"/>
          <w:sz w:val="26"/>
          <w:szCs w:val="26"/>
        </w:rPr>
        <w:t xml:space="preserve"> interpuso en su contra </w:t>
      </w:r>
      <w:r w:rsidR="00C95841">
        <w:rPr>
          <w:rFonts w:ascii="Arial" w:hAnsi="Arial" w:cs="Arial"/>
          <w:sz w:val="26"/>
          <w:szCs w:val="26"/>
        </w:rPr>
        <w:t>R</w:t>
      </w:r>
      <w:r w:rsidRPr="00CB6405">
        <w:rPr>
          <w:rFonts w:ascii="Arial" w:hAnsi="Arial" w:cs="Arial"/>
          <w:sz w:val="26"/>
          <w:szCs w:val="26"/>
        </w:rPr>
        <w:t xml:space="preserve">ecurso de </w:t>
      </w:r>
      <w:r w:rsidR="00C95841">
        <w:rPr>
          <w:rFonts w:ascii="Arial" w:hAnsi="Arial" w:cs="Arial"/>
          <w:sz w:val="26"/>
          <w:szCs w:val="26"/>
        </w:rPr>
        <w:t>R</w:t>
      </w:r>
      <w:r w:rsidRPr="00CB6405">
        <w:rPr>
          <w:rFonts w:ascii="Arial" w:hAnsi="Arial" w:cs="Arial"/>
          <w:sz w:val="26"/>
          <w:szCs w:val="26"/>
        </w:rPr>
        <w:t>evisión.</w:t>
      </w:r>
      <w:r w:rsidR="00C95841">
        <w:rPr>
          <w:rFonts w:ascii="Arial" w:hAnsi="Arial" w:cs="Arial"/>
          <w:sz w:val="26"/>
          <w:szCs w:val="26"/>
        </w:rPr>
        <w:t xml:space="preserve"> </w:t>
      </w:r>
      <w:r w:rsidR="00C95841">
        <w:rPr>
          <w:rFonts w:ascii="Arial" w:hAnsi="Arial" w:cs="Arial"/>
          <w:color w:val="000000"/>
          <w:sz w:val="26"/>
          <w:szCs w:val="26"/>
          <w:lang w:val="es-ES"/>
        </w:rPr>
        <w:t>- - - - - - - - - - - -</w:t>
      </w:r>
    </w:p>
    <w:p w14:paraId="3C9B5829" w14:textId="52B7DB31" w:rsidR="00857DD4" w:rsidRDefault="00857DD4" w:rsidP="00857DD4">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FA4F14">
        <w:rPr>
          <w:rFonts w:ascii="Arial" w:hAnsi="Arial" w:cs="Arial"/>
          <w:bCs/>
          <w:sz w:val="26"/>
          <w:szCs w:val="26"/>
        </w:rPr>
        <w:t xml:space="preserve"> </w:t>
      </w:r>
      <w:r w:rsidR="00FA4F14">
        <w:rPr>
          <w:rFonts w:ascii="Arial" w:hAnsi="Arial" w:cs="Arial"/>
          <w:color w:val="000000"/>
          <w:sz w:val="26"/>
          <w:szCs w:val="26"/>
          <w:lang w:val="es-ES"/>
        </w:rPr>
        <w:t xml:space="preserve">- - - - - - - - - - - - - - - - - - - - - - - - - - - - - - - - - - - - - - - - - - </w:t>
      </w:r>
    </w:p>
    <w:p w14:paraId="2E91F742" w14:textId="24294D44" w:rsidR="00857DD4" w:rsidRDefault="00857DD4" w:rsidP="00857DD4">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Pr>
          <w:rFonts w:ascii="Arial" w:eastAsia="Times New Roman" w:hAnsi="Arial" w:cs="Arial"/>
          <w:b/>
          <w:bCs/>
          <w:i/>
          <w:iCs/>
          <w:sz w:val="24"/>
          <w:szCs w:val="24"/>
          <w:lang w:eastAsia="es-ES"/>
        </w:rPr>
        <w:t xml:space="preserve"> -</w:t>
      </w:r>
      <w:r w:rsidRPr="00C06661">
        <w:rPr>
          <w:rFonts w:ascii="Arial" w:eastAsia="Times New Roman" w:hAnsi="Arial" w:cs="Arial"/>
          <w:b/>
          <w:bCs/>
          <w:i/>
          <w:iCs/>
          <w:sz w:val="24"/>
          <w:szCs w:val="24"/>
          <w:lang w:eastAsia="es-ES"/>
        </w:rPr>
        <w:t xml:space="preserve"> </w:t>
      </w:r>
      <w:r w:rsidRPr="00C06661">
        <w:rPr>
          <w:rFonts w:ascii="Arial" w:eastAsia="Times New Roman" w:hAnsi="Arial" w:cs="Arial"/>
          <w:bCs/>
          <w:i/>
          <w:iCs/>
          <w:sz w:val="24"/>
          <w:szCs w:val="24"/>
          <w:lang w:eastAsia="es-ES"/>
        </w:rPr>
        <w:t xml:space="preserve">Esta </w:t>
      </w:r>
      <w:r w:rsidR="007D7585">
        <w:rPr>
          <w:rFonts w:ascii="Arial" w:eastAsia="Times New Roman" w:hAnsi="Arial" w:cs="Arial"/>
          <w:bCs/>
          <w:i/>
          <w:iCs/>
          <w:sz w:val="24"/>
          <w:szCs w:val="24"/>
          <w:lang w:eastAsia="es-ES"/>
        </w:rPr>
        <w:t>Sex</w:t>
      </w:r>
      <w:r>
        <w:rPr>
          <w:rFonts w:ascii="Arial" w:eastAsia="Times New Roman" w:hAnsi="Arial" w:cs="Arial"/>
          <w:bCs/>
          <w:i/>
          <w:iCs/>
          <w:sz w:val="24"/>
          <w:szCs w:val="24"/>
          <w:lang w:eastAsia="es-ES"/>
        </w:rPr>
        <w:t xml:space="preserve">ta Sala Unitaria de Primera Instancia del Tribunal de Justicia Administrativa del Estado de Oaxaca, </w:t>
      </w:r>
      <w:r w:rsidR="007D7585">
        <w:rPr>
          <w:rFonts w:ascii="Arial" w:eastAsia="Times New Roman" w:hAnsi="Arial" w:cs="Arial"/>
          <w:bCs/>
          <w:i/>
          <w:iCs/>
          <w:sz w:val="24"/>
          <w:szCs w:val="24"/>
          <w:lang w:eastAsia="es-ES"/>
        </w:rPr>
        <w:t>fue</w:t>
      </w:r>
      <w:r>
        <w:rPr>
          <w:rFonts w:ascii="Arial" w:eastAsia="Times New Roman" w:hAnsi="Arial" w:cs="Arial"/>
          <w:bCs/>
          <w:i/>
          <w:iCs/>
          <w:sz w:val="24"/>
          <w:szCs w:val="24"/>
          <w:lang w:eastAsia="es-ES"/>
        </w:rPr>
        <w:t xml:space="preserve"> competente para conocer </w:t>
      </w:r>
      <w:r w:rsidRPr="00C06661">
        <w:rPr>
          <w:rFonts w:ascii="Arial" w:eastAsia="Times New Roman" w:hAnsi="Arial" w:cs="Arial"/>
          <w:bCs/>
          <w:i/>
          <w:iCs/>
          <w:sz w:val="24"/>
          <w:szCs w:val="24"/>
          <w:lang w:eastAsia="es-ES"/>
        </w:rPr>
        <w:t xml:space="preserve">y resolver </w:t>
      </w:r>
      <w:r w:rsidR="007D7585">
        <w:rPr>
          <w:rFonts w:ascii="Arial" w:eastAsia="Times New Roman" w:hAnsi="Arial" w:cs="Arial"/>
          <w:bCs/>
          <w:i/>
          <w:iCs/>
          <w:sz w:val="24"/>
          <w:szCs w:val="24"/>
          <w:lang w:eastAsia="es-ES"/>
        </w:rPr>
        <w:t>d</w:t>
      </w:r>
      <w:r>
        <w:rPr>
          <w:rFonts w:ascii="Arial" w:eastAsia="Times New Roman" w:hAnsi="Arial" w:cs="Arial"/>
          <w:bCs/>
          <w:i/>
          <w:iCs/>
          <w:sz w:val="24"/>
          <w:szCs w:val="24"/>
          <w:lang w:eastAsia="es-ES"/>
        </w:rPr>
        <w:t>el</w:t>
      </w:r>
      <w:r w:rsidRPr="00C06661">
        <w:rPr>
          <w:rFonts w:ascii="Arial" w:eastAsia="Times New Roman" w:hAnsi="Arial" w:cs="Arial"/>
          <w:bCs/>
          <w:i/>
          <w:iCs/>
          <w:sz w:val="24"/>
          <w:szCs w:val="24"/>
          <w:lang w:eastAsia="es-ES"/>
        </w:rPr>
        <w:t xml:space="preserve"> presente </w:t>
      </w:r>
      <w:r w:rsidR="007D7585">
        <w:rPr>
          <w:rFonts w:ascii="Arial" w:eastAsia="Times New Roman" w:hAnsi="Arial" w:cs="Arial"/>
          <w:bCs/>
          <w:i/>
          <w:iCs/>
          <w:sz w:val="24"/>
          <w:szCs w:val="24"/>
          <w:lang w:eastAsia="es-ES"/>
        </w:rPr>
        <w:t>expediente</w:t>
      </w:r>
      <w:r>
        <w:rPr>
          <w:rFonts w:ascii="Arial" w:eastAsia="Times New Roman" w:hAnsi="Arial" w:cs="Arial"/>
          <w:bCs/>
          <w:i/>
          <w:iCs/>
          <w:sz w:val="24"/>
          <w:szCs w:val="24"/>
          <w:lang w:eastAsia="es-ES"/>
        </w:rPr>
        <w:t xml:space="preserve">. </w:t>
      </w:r>
    </w:p>
    <w:p w14:paraId="30C77B11" w14:textId="2EFD4E55" w:rsidR="00857DD4" w:rsidRDefault="00857DD4" w:rsidP="00857DD4">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 xml:space="preserve"> -</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 La personalidad de las partes quedó acreditada </w:t>
      </w:r>
      <w:r>
        <w:rPr>
          <w:rFonts w:ascii="Arial" w:eastAsia="Times New Roman" w:hAnsi="Arial" w:cs="Arial"/>
          <w:bCs/>
          <w:i/>
          <w:iCs/>
          <w:sz w:val="24"/>
          <w:szCs w:val="24"/>
          <w:lang w:eastAsia="es-ES"/>
        </w:rPr>
        <w:lastRenderedPageBreak/>
        <w:t xml:space="preserve">en autos. </w:t>
      </w:r>
    </w:p>
    <w:p w14:paraId="6FC8F7B7" w14:textId="2F7B1F10" w:rsidR="00857DD4" w:rsidRPr="00E65BEE" w:rsidRDefault="00857DD4" w:rsidP="00857DD4">
      <w:pPr>
        <w:widowControl w:val="0"/>
        <w:tabs>
          <w:tab w:val="left" w:pos="7938"/>
        </w:tabs>
        <w:spacing w:before="240" w:after="0" w:line="360" w:lineRule="auto"/>
        <w:ind w:left="1134" w:right="616"/>
        <w:jc w:val="both"/>
        <w:rPr>
          <w:rFonts w:ascii="Arial" w:eastAsia="Times New Roman" w:hAnsi="Arial" w:cs="Arial"/>
          <w:b/>
          <w:i/>
          <w:iCs/>
          <w:sz w:val="24"/>
          <w:szCs w:val="24"/>
          <w:lang w:eastAsia="es-ES"/>
        </w:rPr>
      </w:pPr>
      <w:r>
        <w:rPr>
          <w:rFonts w:ascii="Arial" w:eastAsia="Times New Roman" w:hAnsi="Arial" w:cs="Arial"/>
          <w:b/>
          <w:bCs/>
          <w:i/>
          <w:iCs/>
          <w:sz w:val="24"/>
          <w:szCs w:val="24"/>
          <w:lang w:eastAsia="es-ES"/>
        </w:rPr>
        <w:t>TERCERO.</w:t>
      </w:r>
      <w:r>
        <w:rPr>
          <w:rFonts w:ascii="Arial" w:eastAsia="Times New Roman" w:hAnsi="Arial" w:cs="Arial"/>
          <w:bCs/>
          <w:i/>
          <w:iCs/>
          <w:sz w:val="24"/>
          <w:szCs w:val="24"/>
          <w:lang w:eastAsia="es-ES"/>
        </w:rPr>
        <w:t xml:space="preserve"> </w:t>
      </w:r>
      <w:r w:rsidR="00E65BEE">
        <w:rPr>
          <w:rFonts w:ascii="Arial" w:eastAsia="Times New Roman" w:hAnsi="Arial" w:cs="Arial"/>
          <w:bCs/>
          <w:i/>
          <w:iCs/>
          <w:sz w:val="24"/>
          <w:szCs w:val="24"/>
          <w:lang w:eastAsia="es-ES"/>
        </w:rPr>
        <w:t>Al n</w:t>
      </w:r>
      <w:r>
        <w:rPr>
          <w:rFonts w:ascii="Arial" w:eastAsia="Times New Roman" w:hAnsi="Arial" w:cs="Arial"/>
          <w:bCs/>
          <w:i/>
          <w:iCs/>
          <w:sz w:val="24"/>
          <w:szCs w:val="24"/>
          <w:lang w:eastAsia="es-ES"/>
        </w:rPr>
        <w:t>o actualiz</w:t>
      </w:r>
      <w:r w:rsidR="00E65BEE">
        <w:rPr>
          <w:rFonts w:ascii="Arial" w:eastAsia="Times New Roman" w:hAnsi="Arial" w:cs="Arial"/>
          <w:bCs/>
          <w:i/>
          <w:iCs/>
          <w:sz w:val="24"/>
          <w:szCs w:val="24"/>
          <w:lang w:eastAsia="es-ES"/>
        </w:rPr>
        <w:t>arse</w:t>
      </w:r>
      <w:r>
        <w:rPr>
          <w:rFonts w:ascii="Arial" w:eastAsia="Times New Roman" w:hAnsi="Arial" w:cs="Arial"/>
          <w:bCs/>
          <w:i/>
          <w:iCs/>
          <w:sz w:val="24"/>
          <w:szCs w:val="24"/>
          <w:lang w:eastAsia="es-ES"/>
        </w:rPr>
        <w:t xml:space="preserve"> </w:t>
      </w:r>
      <w:r w:rsidR="00E65BEE">
        <w:rPr>
          <w:rFonts w:ascii="Arial" w:eastAsia="Times New Roman" w:hAnsi="Arial" w:cs="Arial"/>
          <w:bCs/>
          <w:i/>
          <w:iCs/>
          <w:sz w:val="24"/>
          <w:szCs w:val="24"/>
          <w:lang w:eastAsia="es-ES"/>
        </w:rPr>
        <w:t>al</w:t>
      </w:r>
      <w:r>
        <w:rPr>
          <w:rFonts w:ascii="Arial" w:eastAsia="Times New Roman" w:hAnsi="Arial" w:cs="Arial"/>
          <w:bCs/>
          <w:i/>
          <w:iCs/>
          <w:sz w:val="24"/>
          <w:szCs w:val="24"/>
          <w:lang w:eastAsia="es-ES"/>
        </w:rPr>
        <w:t xml:space="preserve">guna causal de improcedencia </w:t>
      </w:r>
      <w:r w:rsidR="00E65BEE">
        <w:rPr>
          <w:rFonts w:ascii="Arial" w:eastAsia="Times New Roman" w:hAnsi="Arial" w:cs="Arial"/>
          <w:bCs/>
          <w:i/>
          <w:iCs/>
          <w:sz w:val="24"/>
          <w:szCs w:val="24"/>
          <w:lang w:eastAsia="es-ES"/>
        </w:rPr>
        <w:t xml:space="preserve">y sobreseimiento </w:t>
      </w:r>
      <w:r w:rsidRPr="00E65BEE">
        <w:rPr>
          <w:rFonts w:ascii="Arial" w:eastAsia="Times New Roman" w:hAnsi="Arial" w:cs="Arial"/>
          <w:b/>
          <w:i/>
          <w:iCs/>
          <w:sz w:val="24"/>
          <w:szCs w:val="24"/>
          <w:lang w:eastAsia="es-ES"/>
        </w:rPr>
        <w:t xml:space="preserve">NO SE SOBRESEE </w:t>
      </w:r>
      <w:r w:rsidR="00E65BEE" w:rsidRPr="00E65BEE">
        <w:rPr>
          <w:rFonts w:ascii="Arial" w:eastAsia="Times New Roman" w:hAnsi="Arial" w:cs="Arial"/>
          <w:b/>
          <w:i/>
          <w:iCs/>
          <w:sz w:val="24"/>
          <w:szCs w:val="24"/>
          <w:lang w:eastAsia="es-ES"/>
        </w:rPr>
        <w:t xml:space="preserve">EN EL JUICIO. </w:t>
      </w:r>
    </w:p>
    <w:p w14:paraId="4B9A5855" w14:textId="291C8DAD" w:rsidR="00E65BEE" w:rsidRDefault="00857DD4" w:rsidP="00857DD4">
      <w:pPr>
        <w:widowControl w:val="0"/>
        <w:tabs>
          <w:tab w:val="left" w:pos="7938"/>
        </w:tabs>
        <w:spacing w:after="0" w:line="360" w:lineRule="auto"/>
        <w:ind w:left="1134" w:right="616"/>
        <w:jc w:val="both"/>
        <w:rPr>
          <w:rFonts w:ascii="Arial" w:eastAsia="Times New Roman" w:hAnsi="Arial" w:cs="Arial"/>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sidRPr="004039D6">
        <w:rPr>
          <w:rFonts w:ascii="Arial" w:eastAsia="Times New Roman" w:hAnsi="Arial" w:cs="Arial"/>
          <w:i/>
          <w:iCs/>
          <w:sz w:val="24"/>
          <w:szCs w:val="24"/>
          <w:lang w:eastAsia="es-ES"/>
        </w:rPr>
        <w:t>Se declara</w:t>
      </w:r>
      <w:r>
        <w:rPr>
          <w:rFonts w:ascii="Arial" w:eastAsia="Times New Roman" w:hAnsi="Arial" w:cs="Arial"/>
          <w:b/>
          <w:bCs/>
          <w:i/>
          <w:iCs/>
          <w:sz w:val="24"/>
          <w:szCs w:val="24"/>
          <w:lang w:eastAsia="es-ES"/>
        </w:rPr>
        <w:t xml:space="preserve"> </w:t>
      </w:r>
      <w:r w:rsidR="00FF22EA" w:rsidRPr="00FF22EA">
        <w:rPr>
          <w:rFonts w:ascii="Arial" w:eastAsia="Times New Roman" w:hAnsi="Arial" w:cs="Arial"/>
          <w:i/>
          <w:iCs/>
          <w:sz w:val="24"/>
          <w:szCs w:val="24"/>
          <w:lang w:eastAsia="es-ES"/>
        </w:rPr>
        <w:t>la</w:t>
      </w:r>
      <w:r w:rsidR="00FF22EA">
        <w:rPr>
          <w:rFonts w:ascii="Arial" w:eastAsia="Times New Roman" w:hAnsi="Arial" w:cs="Arial"/>
          <w:b/>
          <w:bCs/>
          <w:i/>
          <w:iCs/>
          <w:sz w:val="24"/>
          <w:szCs w:val="24"/>
          <w:lang w:eastAsia="es-ES"/>
        </w:rPr>
        <w:t xml:space="preserve"> nulidad </w:t>
      </w:r>
      <w:bookmarkStart w:id="0" w:name="_Hlk82087862"/>
      <w:r w:rsidRPr="004039D6">
        <w:rPr>
          <w:rFonts w:ascii="Arial" w:eastAsia="Times New Roman" w:hAnsi="Arial" w:cs="Arial"/>
          <w:i/>
          <w:iCs/>
          <w:sz w:val="24"/>
          <w:szCs w:val="24"/>
          <w:lang w:eastAsia="es-ES"/>
        </w:rPr>
        <w:t>del oficio OP/DG/</w:t>
      </w:r>
      <w:r w:rsidR="00E65BEE">
        <w:rPr>
          <w:rFonts w:ascii="Arial" w:eastAsia="Times New Roman" w:hAnsi="Arial" w:cs="Arial"/>
          <w:i/>
          <w:iCs/>
          <w:sz w:val="24"/>
          <w:szCs w:val="24"/>
          <w:lang w:eastAsia="es-ES"/>
        </w:rPr>
        <w:t>666</w:t>
      </w:r>
      <w:r w:rsidRPr="004039D6">
        <w:rPr>
          <w:rFonts w:ascii="Arial" w:eastAsia="Times New Roman" w:hAnsi="Arial" w:cs="Arial"/>
          <w:i/>
          <w:iCs/>
          <w:sz w:val="24"/>
          <w:szCs w:val="24"/>
          <w:lang w:eastAsia="es-ES"/>
        </w:rPr>
        <w:t>/201</w:t>
      </w:r>
      <w:r w:rsidR="00E65BEE">
        <w:rPr>
          <w:rFonts w:ascii="Arial" w:eastAsia="Times New Roman" w:hAnsi="Arial" w:cs="Arial"/>
          <w:i/>
          <w:iCs/>
          <w:sz w:val="24"/>
          <w:szCs w:val="24"/>
          <w:lang w:eastAsia="es-ES"/>
        </w:rPr>
        <w:t>9</w:t>
      </w:r>
      <w:r w:rsidRPr="004039D6">
        <w:rPr>
          <w:rFonts w:ascii="Arial" w:eastAsia="Times New Roman" w:hAnsi="Arial" w:cs="Arial"/>
          <w:i/>
          <w:iCs/>
          <w:sz w:val="24"/>
          <w:szCs w:val="24"/>
          <w:lang w:eastAsia="es-ES"/>
        </w:rPr>
        <w:t xml:space="preserve"> de </w:t>
      </w:r>
      <w:r w:rsidR="00E65BEE">
        <w:rPr>
          <w:rFonts w:ascii="Arial" w:eastAsia="Times New Roman" w:hAnsi="Arial" w:cs="Arial"/>
          <w:i/>
          <w:iCs/>
          <w:sz w:val="24"/>
          <w:szCs w:val="24"/>
          <w:lang w:eastAsia="es-ES"/>
        </w:rPr>
        <w:t xml:space="preserve">trece de marzo </w:t>
      </w:r>
      <w:r w:rsidRPr="004039D6">
        <w:rPr>
          <w:rFonts w:ascii="Arial" w:eastAsia="Times New Roman" w:hAnsi="Arial" w:cs="Arial"/>
          <w:i/>
          <w:iCs/>
          <w:sz w:val="24"/>
          <w:szCs w:val="24"/>
          <w:lang w:eastAsia="es-ES"/>
        </w:rPr>
        <w:t>de dos mil dieci</w:t>
      </w:r>
      <w:r w:rsidR="00E65BEE">
        <w:rPr>
          <w:rFonts w:ascii="Arial" w:eastAsia="Times New Roman" w:hAnsi="Arial" w:cs="Arial"/>
          <w:i/>
          <w:iCs/>
          <w:sz w:val="24"/>
          <w:szCs w:val="24"/>
          <w:lang w:eastAsia="es-ES"/>
        </w:rPr>
        <w:t>nueve</w:t>
      </w:r>
      <w:r w:rsidRPr="004039D6">
        <w:rPr>
          <w:rFonts w:ascii="Arial" w:eastAsia="Times New Roman" w:hAnsi="Arial" w:cs="Arial"/>
          <w:i/>
          <w:iCs/>
          <w:sz w:val="24"/>
          <w:szCs w:val="24"/>
          <w:lang w:eastAsia="es-ES"/>
        </w:rPr>
        <w:t xml:space="preserve"> signado por el</w:t>
      </w:r>
      <w:r w:rsidR="00E65BEE">
        <w:rPr>
          <w:rFonts w:ascii="Arial" w:eastAsia="Times New Roman" w:hAnsi="Arial" w:cs="Arial"/>
          <w:i/>
          <w:iCs/>
          <w:sz w:val="24"/>
          <w:szCs w:val="24"/>
          <w:lang w:eastAsia="es-ES"/>
        </w:rPr>
        <w:t xml:space="preserve"> Apoderado Legal del Consejo Directivo de la Oficina de Pensiones del Estado de Oaxaca </w:t>
      </w:r>
      <w:r w:rsidR="00E65BEE" w:rsidRPr="00FF22EA">
        <w:rPr>
          <w:rFonts w:ascii="Arial" w:eastAsia="Times New Roman" w:hAnsi="Arial" w:cs="Arial"/>
          <w:b/>
          <w:bCs/>
          <w:i/>
          <w:iCs/>
          <w:sz w:val="24"/>
          <w:szCs w:val="24"/>
          <w:lang w:eastAsia="es-ES"/>
        </w:rPr>
        <w:t>para efecto</w:t>
      </w:r>
      <w:r w:rsidR="00E65BEE">
        <w:rPr>
          <w:rFonts w:ascii="Arial" w:eastAsia="Times New Roman" w:hAnsi="Arial" w:cs="Arial"/>
          <w:i/>
          <w:iCs/>
          <w:sz w:val="24"/>
          <w:szCs w:val="24"/>
          <w:lang w:eastAsia="es-ES"/>
        </w:rPr>
        <w:t xml:space="preserve"> de que emita uno nuevo en el que el Consejo Directivo de la Oficina de Pensiones del Estado de Oaxaca emita una nueva en la que ordene el pago de la pensión por jubilación incluyendo al salario las prestaciones SUELDO, C.D.P.S.M., ESTÍMULO y QNIO 6,</w:t>
      </w:r>
      <w:r w:rsidR="004C6412">
        <w:rPr>
          <w:rFonts w:ascii="Arial" w:eastAsia="Times New Roman" w:hAnsi="Arial" w:cs="Arial"/>
          <w:i/>
          <w:iCs/>
          <w:sz w:val="24"/>
          <w:szCs w:val="24"/>
          <w:lang w:eastAsia="es-ES"/>
        </w:rPr>
        <w:t xml:space="preserve"> y que resultan en un total de </w:t>
      </w:r>
      <w:r w:rsidR="004C6412">
        <w:rPr>
          <w:rFonts w:ascii="Arial" w:eastAsia="Times New Roman" w:hAnsi="Arial" w:cs="Arial"/>
          <w:b/>
          <w:iCs/>
          <w:color w:val="000000"/>
        </w:rPr>
        <w:t>***********</w:t>
      </w:r>
      <w:r w:rsidR="004C6412">
        <w:rPr>
          <w:rFonts w:ascii="Arial" w:eastAsia="Times New Roman" w:hAnsi="Arial" w:cs="Arial"/>
          <w:b/>
          <w:iCs/>
          <w:color w:val="000000"/>
        </w:rPr>
        <w:t xml:space="preserve"> </w:t>
      </w:r>
      <w:r w:rsidR="00E65BEE">
        <w:rPr>
          <w:rFonts w:ascii="Arial" w:eastAsia="Times New Roman" w:hAnsi="Arial" w:cs="Arial"/>
          <w:i/>
          <w:iCs/>
          <w:sz w:val="24"/>
          <w:szCs w:val="24"/>
          <w:lang w:eastAsia="es-ES"/>
        </w:rPr>
        <w:t xml:space="preserve">como consta en los recibos de pago agregados al sumario, </w:t>
      </w:r>
      <w:r w:rsidR="00E65BEE" w:rsidRPr="00FF22EA">
        <w:rPr>
          <w:rFonts w:ascii="Arial" w:eastAsia="Times New Roman" w:hAnsi="Arial" w:cs="Arial"/>
          <w:b/>
          <w:bCs/>
          <w:i/>
          <w:iCs/>
          <w:sz w:val="24"/>
          <w:szCs w:val="24"/>
          <w:lang w:eastAsia="es-ES"/>
        </w:rPr>
        <w:t>asimismo</w:t>
      </w:r>
      <w:r w:rsidR="00E65BEE">
        <w:rPr>
          <w:rFonts w:ascii="Arial" w:eastAsia="Times New Roman" w:hAnsi="Arial" w:cs="Arial"/>
          <w:i/>
          <w:iCs/>
          <w:sz w:val="24"/>
          <w:szCs w:val="24"/>
          <w:lang w:eastAsia="es-ES"/>
        </w:rPr>
        <w:t xml:space="preserve"> para que deje sin efectos el descuento de 9% sobre la pensión por jubilación de </w:t>
      </w:r>
      <w:r w:rsidR="004C6412">
        <w:rPr>
          <w:rFonts w:ascii="Arial" w:eastAsia="Times New Roman" w:hAnsi="Arial" w:cs="Arial"/>
          <w:b/>
          <w:iCs/>
          <w:color w:val="000000"/>
        </w:rPr>
        <w:t>***********</w:t>
      </w:r>
      <w:r w:rsidR="00E65BEE">
        <w:rPr>
          <w:rFonts w:ascii="Arial" w:eastAsia="Times New Roman" w:hAnsi="Arial" w:cs="Arial"/>
          <w:i/>
          <w:iCs/>
          <w:sz w:val="24"/>
          <w:szCs w:val="24"/>
          <w:lang w:eastAsia="es-ES"/>
        </w:rPr>
        <w:t xml:space="preserve">, al haberse declarado inconstitucional e </w:t>
      </w:r>
      <w:proofErr w:type="spellStart"/>
      <w:r w:rsidR="00E65BEE">
        <w:rPr>
          <w:rFonts w:ascii="Arial" w:eastAsia="Times New Roman" w:hAnsi="Arial" w:cs="Arial"/>
          <w:i/>
          <w:iCs/>
          <w:sz w:val="24"/>
          <w:szCs w:val="24"/>
          <w:lang w:eastAsia="es-ES"/>
        </w:rPr>
        <w:t>inconvencional</w:t>
      </w:r>
      <w:proofErr w:type="spellEnd"/>
      <w:r w:rsidR="00E65BEE">
        <w:rPr>
          <w:rFonts w:ascii="Arial" w:eastAsia="Times New Roman" w:hAnsi="Arial" w:cs="Arial"/>
          <w:i/>
          <w:iCs/>
          <w:sz w:val="24"/>
          <w:szCs w:val="24"/>
          <w:lang w:eastAsia="es-ES"/>
        </w:rPr>
        <w:t xml:space="preserve"> el artículo octavo transitorio de la Ley de Pensiones de los Trabajadores de Gobierno del Estado de Oaxaca.</w:t>
      </w:r>
      <w:bookmarkEnd w:id="0"/>
      <w:r w:rsidR="00E65BEE">
        <w:rPr>
          <w:rFonts w:ascii="Arial" w:eastAsia="Times New Roman" w:hAnsi="Arial" w:cs="Arial"/>
          <w:i/>
          <w:iCs/>
          <w:sz w:val="24"/>
          <w:szCs w:val="24"/>
          <w:lang w:eastAsia="es-ES"/>
        </w:rPr>
        <w:t xml:space="preserve"> Debiendo informar sobre el cumplimiento de la sentencia una vez que la misma cause ejecutoria. </w:t>
      </w:r>
    </w:p>
    <w:p w14:paraId="63AA45D7" w14:textId="5FE4501E" w:rsidR="00857DD4" w:rsidRPr="00AA152C" w:rsidRDefault="00857DD4" w:rsidP="00E65BEE">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sidRPr="004039D6">
        <w:rPr>
          <w:rFonts w:ascii="Arial" w:eastAsia="Times New Roman" w:hAnsi="Arial" w:cs="Arial"/>
          <w:i/>
          <w:iCs/>
          <w:sz w:val="24"/>
          <w:szCs w:val="24"/>
          <w:lang w:eastAsia="es-ES"/>
        </w:rPr>
        <w:t xml:space="preserve"> </w:t>
      </w:r>
      <w:r>
        <w:rPr>
          <w:rFonts w:ascii="Arial" w:eastAsia="Calibri" w:hAnsi="Arial" w:cs="Arial"/>
          <w:b/>
          <w:bCs/>
          <w:i/>
          <w:color w:val="000000" w:themeColor="text1"/>
          <w:sz w:val="24"/>
          <w:szCs w:val="24"/>
        </w:rPr>
        <w:t>QUINTO</w:t>
      </w:r>
      <w:r w:rsidRPr="00DA64D6">
        <w:rPr>
          <w:rFonts w:ascii="Arial" w:eastAsia="Calibri" w:hAnsi="Arial" w:cs="Arial"/>
          <w:b/>
          <w:bCs/>
          <w:i/>
          <w:color w:val="000000" w:themeColor="text1"/>
          <w:sz w:val="24"/>
          <w:szCs w:val="24"/>
        </w:rPr>
        <w:t>.</w:t>
      </w:r>
      <w:r w:rsidRPr="00DA64D6">
        <w:rPr>
          <w:rFonts w:ascii="Arial" w:eastAsia="Calibri" w:hAnsi="Arial" w:cs="Arial"/>
          <w:bCs/>
          <w:i/>
          <w:color w:val="000000" w:themeColor="text1"/>
          <w:sz w:val="24"/>
          <w:szCs w:val="24"/>
        </w:rPr>
        <w:t xml:space="preserve"> </w:t>
      </w:r>
      <w:r>
        <w:rPr>
          <w:rFonts w:ascii="Arial" w:eastAsia="Calibri" w:hAnsi="Arial" w:cs="Arial"/>
          <w:bCs/>
          <w:i/>
          <w:color w:val="000000" w:themeColor="text1"/>
          <w:sz w:val="24"/>
          <w:szCs w:val="24"/>
        </w:rPr>
        <w:t>Conf</w:t>
      </w:r>
      <w:r w:rsidR="00E65BEE">
        <w:rPr>
          <w:rFonts w:ascii="Arial" w:eastAsia="Calibri" w:hAnsi="Arial" w:cs="Arial"/>
          <w:bCs/>
          <w:i/>
          <w:color w:val="000000" w:themeColor="text1"/>
          <w:sz w:val="24"/>
          <w:szCs w:val="24"/>
        </w:rPr>
        <w:t xml:space="preserve">orme a lo establecido en </w:t>
      </w:r>
      <w:r>
        <w:rPr>
          <w:rFonts w:ascii="Arial" w:eastAsia="Calibri" w:hAnsi="Arial" w:cs="Arial"/>
          <w:bCs/>
          <w:i/>
          <w:color w:val="000000" w:themeColor="text1"/>
          <w:sz w:val="24"/>
          <w:szCs w:val="24"/>
        </w:rPr>
        <w:t xml:space="preserve">los artículos 172 </w:t>
      </w:r>
      <w:r w:rsidR="00E65BEE">
        <w:rPr>
          <w:rFonts w:ascii="Arial" w:eastAsia="Calibri" w:hAnsi="Arial" w:cs="Arial"/>
          <w:bCs/>
          <w:i/>
          <w:color w:val="000000" w:themeColor="text1"/>
          <w:sz w:val="24"/>
          <w:szCs w:val="24"/>
        </w:rPr>
        <w:t xml:space="preserve">fracción I </w:t>
      </w:r>
      <w:r>
        <w:rPr>
          <w:rFonts w:ascii="Arial" w:eastAsia="Calibri" w:hAnsi="Arial" w:cs="Arial"/>
          <w:bCs/>
          <w:i/>
          <w:color w:val="000000" w:themeColor="text1"/>
          <w:sz w:val="24"/>
          <w:szCs w:val="24"/>
        </w:rPr>
        <w:t>y 173</w:t>
      </w:r>
      <w:r w:rsidR="00E65BEE">
        <w:rPr>
          <w:rFonts w:ascii="Arial" w:eastAsia="Calibri" w:hAnsi="Arial" w:cs="Arial"/>
          <w:bCs/>
          <w:i/>
          <w:color w:val="000000" w:themeColor="text1"/>
          <w:sz w:val="24"/>
          <w:szCs w:val="24"/>
        </w:rPr>
        <w:t xml:space="preserve"> fracciones I y II</w:t>
      </w:r>
      <w:r>
        <w:rPr>
          <w:rFonts w:ascii="Arial" w:eastAsia="Calibri" w:hAnsi="Arial" w:cs="Arial"/>
          <w:bCs/>
          <w:i/>
          <w:color w:val="000000" w:themeColor="text1"/>
          <w:sz w:val="24"/>
          <w:szCs w:val="24"/>
        </w:rPr>
        <w:t xml:space="preserve"> de la Ley de Procedimiento y Justicia Administrativa para el Estado de Oaxaca, </w:t>
      </w:r>
      <w:r w:rsidR="00E65BEE" w:rsidRPr="00E77E88">
        <w:rPr>
          <w:rFonts w:ascii="Arial" w:eastAsia="Calibri" w:hAnsi="Arial" w:cs="Arial"/>
          <w:b/>
          <w:i/>
          <w:color w:val="000000" w:themeColor="text1"/>
          <w:sz w:val="24"/>
          <w:szCs w:val="24"/>
        </w:rPr>
        <w:t>notifíquese</w:t>
      </w:r>
      <w:r w:rsidR="00E65BEE">
        <w:rPr>
          <w:rFonts w:ascii="Arial" w:eastAsia="Calibri" w:hAnsi="Arial" w:cs="Arial"/>
          <w:bCs/>
          <w:i/>
          <w:color w:val="000000" w:themeColor="text1"/>
          <w:sz w:val="24"/>
          <w:szCs w:val="24"/>
        </w:rPr>
        <w:t xml:space="preserve"> </w:t>
      </w:r>
      <w:r w:rsidRPr="00E65BEE">
        <w:rPr>
          <w:rFonts w:ascii="Arial" w:eastAsia="Calibri" w:hAnsi="Arial" w:cs="Arial"/>
          <w:b/>
          <w:i/>
          <w:color w:val="000000" w:themeColor="text1"/>
          <w:sz w:val="24"/>
          <w:szCs w:val="24"/>
        </w:rPr>
        <w:t>personalmente a la parte actora y por oficio a la autoridad demandada.</w:t>
      </w:r>
      <w:r>
        <w:rPr>
          <w:rFonts w:ascii="Arial" w:eastAsia="Calibri" w:hAnsi="Arial" w:cs="Arial"/>
          <w:bCs/>
          <w:i/>
          <w:color w:val="000000" w:themeColor="text1"/>
          <w:sz w:val="24"/>
          <w:szCs w:val="24"/>
        </w:rPr>
        <w:t xml:space="preserve"> </w:t>
      </w:r>
      <w:r w:rsidRPr="00E77E88">
        <w:rPr>
          <w:rFonts w:ascii="Arial" w:eastAsia="Calibri" w:hAnsi="Arial" w:cs="Arial"/>
          <w:b/>
          <w:i/>
          <w:color w:val="000000" w:themeColor="text1"/>
          <w:sz w:val="24"/>
          <w:szCs w:val="24"/>
        </w:rPr>
        <w:t>CÚMPLASE.</w:t>
      </w:r>
      <w:r>
        <w:rPr>
          <w:rFonts w:ascii="Arial" w:eastAsia="Calibri" w:hAnsi="Arial" w:cs="Arial"/>
          <w:b/>
          <w:i/>
          <w:color w:val="000000" w:themeColor="text1"/>
          <w:sz w:val="24"/>
          <w:szCs w:val="24"/>
        </w:rPr>
        <w:t>”</w:t>
      </w:r>
      <w:r>
        <w:rPr>
          <w:rFonts w:ascii="Arial" w:eastAsia="Calibri" w:hAnsi="Arial" w:cs="Arial"/>
          <w:bCs/>
          <w:i/>
          <w:color w:val="000000" w:themeColor="text1"/>
          <w:sz w:val="24"/>
          <w:szCs w:val="24"/>
        </w:rPr>
        <w:t xml:space="preserve"> </w:t>
      </w:r>
      <w:r w:rsidR="00FF22EA">
        <w:rPr>
          <w:rFonts w:ascii="Arial" w:eastAsia="Calibri" w:hAnsi="Arial" w:cs="Arial"/>
          <w:bCs/>
          <w:i/>
          <w:color w:val="000000" w:themeColor="text1"/>
          <w:sz w:val="24"/>
          <w:szCs w:val="24"/>
        </w:rPr>
        <w:t>- - - - - - - - - - - - - - - - - - - - - - - -</w:t>
      </w:r>
    </w:p>
    <w:p w14:paraId="60808858" w14:textId="77777777" w:rsidR="00857DD4" w:rsidRPr="00CB6405" w:rsidRDefault="00857DD4" w:rsidP="003B6CF0">
      <w:pPr>
        <w:spacing w:line="360" w:lineRule="auto"/>
        <w:jc w:val="center"/>
        <w:rPr>
          <w:rFonts w:ascii="Arial" w:hAnsi="Arial" w:cs="Arial"/>
          <w:b/>
          <w:bCs/>
          <w:sz w:val="26"/>
          <w:szCs w:val="26"/>
        </w:rPr>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42172D49" w:rsidR="003B6CF0" w:rsidRPr="00B434C8" w:rsidRDefault="003B6CF0" w:rsidP="007F055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E44404">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w:t>
      </w:r>
      <w:r w:rsidR="00FF22EA">
        <w:rPr>
          <w:rFonts w:ascii="Arial" w:hAnsi="Arial" w:cs="Arial"/>
          <w:bCs/>
          <w:iCs/>
          <w:sz w:val="26"/>
          <w:szCs w:val="26"/>
        </w:rPr>
        <w:t>R</w:t>
      </w:r>
      <w:r w:rsidRPr="008E3662">
        <w:rPr>
          <w:rFonts w:ascii="Arial" w:hAnsi="Arial" w:cs="Arial"/>
          <w:bCs/>
          <w:iCs/>
          <w:sz w:val="26"/>
          <w:szCs w:val="26"/>
        </w:rPr>
        <w:t xml:space="preserve">ecurso de </w:t>
      </w:r>
      <w:r w:rsidR="00FF22EA">
        <w:rPr>
          <w:rFonts w:ascii="Arial" w:hAnsi="Arial" w:cs="Arial"/>
          <w:bCs/>
          <w:iCs/>
          <w:sz w:val="26"/>
          <w:szCs w:val="26"/>
        </w:rPr>
        <w:t>R</w:t>
      </w:r>
      <w:r w:rsidRPr="008E3662">
        <w:rPr>
          <w:rFonts w:ascii="Arial" w:hAnsi="Arial" w:cs="Arial"/>
          <w:bCs/>
          <w:iCs/>
          <w:sz w:val="26"/>
          <w:szCs w:val="26"/>
        </w:rPr>
        <w:t>evisión interpuesto en contra</w:t>
      </w:r>
      <w:r w:rsidR="00F05BA1">
        <w:rPr>
          <w:rFonts w:ascii="Arial" w:hAnsi="Arial" w:cs="Arial"/>
          <w:bCs/>
          <w:iCs/>
          <w:sz w:val="26"/>
          <w:szCs w:val="26"/>
        </w:rPr>
        <w:t xml:space="preserve"> de</w:t>
      </w:r>
      <w:r w:rsidR="00C61D04">
        <w:rPr>
          <w:rFonts w:ascii="Arial" w:hAnsi="Arial" w:cs="Arial"/>
          <w:bCs/>
          <w:iCs/>
          <w:sz w:val="26"/>
          <w:szCs w:val="26"/>
        </w:rPr>
        <w:t xml:space="preserve"> la sentencia de </w:t>
      </w:r>
      <w:r w:rsidR="00F05BA1">
        <w:rPr>
          <w:rFonts w:ascii="Arial" w:hAnsi="Arial" w:cs="Arial"/>
          <w:sz w:val="26"/>
          <w:szCs w:val="26"/>
        </w:rPr>
        <w:t>fecha</w:t>
      </w:r>
      <w:r w:rsidR="00175489">
        <w:rPr>
          <w:rFonts w:ascii="Arial" w:hAnsi="Arial" w:cs="Arial"/>
          <w:sz w:val="26"/>
          <w:szCs w:val="26"/>
        </w:rPr>
        <w:t xml:space="preserve"> </w:t>
      </w:r>
      <w:r w:rsidR="00C61D04">
        <w:rPr>
          <w:rFonts w:ascii="Arial" w:hAnsi="Arial" w:cs="Arial"/>
          <w:sz w:val="26"/>
          <w:szCs w:val="26"/>
        </w:rPr>
        <w:t>once</w:t>
      </w:r>
      <w:r w:rsidR="00175489">
        <w:rPr>
          <w:rFonts w:ascii="Arial" w:hAnsi="Arial" w:cs="Arial"/>
          <w:sz w:val="26"/>
          <w:szCs w:val="26"/>
        </w:rPr>
        <w:t xml:space="preserve"> de </w:t>
      </w:r>
      <w:r w:rsidR="00C61D04">
        <w:rPr>
          <w:rFonts w:ascii="Arial" w:hAnsi="Arial" w:cs="Arial"/>
          <w:sz w:val="26"/>
          <w:szCs w:val="26"/>
        </w:rPr>
        <w:t>diciembre</w:t>
      </w:r>
      <w:r w:rsidR="00175489">
        <w:rPr>
          <w:rFonts w:ascii="Arial" w:hAnsi="Arial" w:cs="Arial"/>
          <w:sz w:val="26"/>
          <w:szCs w:val="26"/>
        </w:rPr>
        <w:t xml:space="preserve"> de dos mil veinte, </w:t>
      </w:r>
      <w:r w:rsidR="00F05BA1">
        <w:rPr>
          <w:rFonts w:ascii="Arial" w:hAnsi="Arial" w:cs="Arial"/>
          <w:sz w:val="26"/>
          <w:szCs w:val="26"/>
        </w:rPr>
        <w:lastRenderedPageBreak/>
        <w:t>dictad</w:t>
      </w:r>
      <w:r w:rsidR="00C61D04">
        <w:rPr>
          <w:rFonts w:ascii="Arial" w:hAnsi="Arial" w:cs="Arial"/>
          <w:sz w:val="26"/>
          <w:szCs w:val="26"/>
        </w:rPr>
        <w:t>a</w:t>
      </w:r>
      <w:r w:rsidR="00F05BA1">
        <w:rPr>
          <w:rFonts w:ascii="Arial" w:hAnsi="Arial" w:cs="Arial"/>
          <w:sz w:val="26"/>
          <w:szCs w:val="26"/>
        </w:rPr>
        <w:t xml:space="preserve"> por la </w:t>
      </w:r>
      <w:r w:rsidR="00175489">
        <w:rPr>
          <w:rFonts w:ascii="Arial" w:hAnsi="Arial" w:cs="Arial"/>
          <w:sz w:val="26"/>
          <w:szCs w:val="26"/>
        </w:rPr>
        <w:t>Sexta</w:t>
      </w:r>
      <w:r w:rsidR="00F05BA1">
        <w:rPr>
          <w:rFonts w:ascii="Arial" w:hAnsi="Arial" w:cs="Arial"/>
          <w:sz w:val="26"/>
          <w:szCs w:val="26"/>
        </w:rPr>
        <w:t xml:space="preserve"> Sala</w:t>
      </w:r>
      <w:r w:rsidR="00175489">
        <w:rPr>
          <w:rFonts w:ascii="Arial" w:hAnsi="Arial" w:cs="Arial"/>
          <w:sz w:val="26"/>
          <w:szCs w:val="26"/>
        </w:rPr>
        <w:t xml:space="preserve"> Unitaria</w:t>
      </w:r>
      <w:r w:rsidR="00F05BA1">
        <w:rPr>
          <w:rFonts w:ascii="Arial" w:hAnsi="Arial" w:cs="Arial"/>
          <w:sz w:val="26"/>
          <w:szCs w:val="26"/>
        </w:rPr>
        <w:t xml:space="preserve"> de Primera Instancia</w:t>
      </w:r>
      <w:r w:rsidRPr="00F252FF">
        <w:rPr>
          <w:rFonts w:ascii="Arial" w:hAnsi="Arial" w:cs="Arial"/>
          <w:bCs/>
          <w:iCs/>
          <w:sz w:val="26"/>
          <w:szCs w:val="26"/>
        </w:rPr>
        <w:t xml:space="preserve"> de este Tribunal</w:t>
      </w:r>
      <w:r w:rsidR="00F252FF" w:rsidRPr="00F252FF">
        <w:rPr>
          <w:rFonts w:ascii="Arial" w:hAnsi="Arial" w:cs="Arial"/>
          <w:bCs/>
          <w:iCs/>
          <w:sz w:val="26"/>
          <w:szCs w:val="26"/>
        </w:rPr>
        <w:t xml:space="preserve">, </w:t>
      </w:r>
      <w:r>
        <w:rPr>
          <w:rFonts w:ascii="Arial" w:hAnsi="Arial" w:cs="Arial"/>
          <w:bCs/>
          <w:iCs/>
          <w:sz w:val="26"/>
          <w:szCs w:val="26"/>
        </w:rPr>
        <w:t xml:space="preserve">en el </w:t>
      </w:r>
      <w:r w:rsidR="00FF22EA">
        <w:rPr>
          <w:rFonts w:ascii="Arial" w:hAnsi="Arial" w:cs="Arial"/>
          <w:bCs/>
          <w:iCs/>
          <w:sz w:val="26"/>
          <w:szCs w:val="26"/>
        </w:rPr>
        <w:t>J</w:t>
      </w:r>
      <w:r>
        <w:rPr>
          <w:rFonts w:ascii="Arial" w:hAnsi="Arial" w:cs="Arial"/>
          <w:bCs/>
          <w:iCs/>
          <w:sz w:val="26"/>
          <w:szCs w:val="26"/>
        </w:rPr>
        <w:t xml:space="preserve">uicio de </w:t>
      </w:r>
      <w:r w:rsidR="00FF22EA">
        <w:rPr>
          <w:rFonts w:ascii="Arial" w:hAnsi="Arial" w:cs="Arial"/>
          <w:bCs/>
          <w:iCs/>
          <w:sz w:val="26"/>
          <w:szCs w:val="26"/>
        </w:rPr>
        <w:t>N</w:t>
      </w:r>
      <w:r>
        <w:rPr>
          <w:rFonts w:ascii="Arial" w:hAnsi="Arial" w:cs="Arial"/>
          <w:bCs/>
          <w:iCs/>
          <w:sz w:val="26"/>
          <w:szCs w:val="26"/>
        </w:rPr>
        <w:t xml:space="preserve">ulidad </w:t>
      </w:r>
      <w:r w:rsidRPr="00AE78C3">
        <w:rPr>
          <w:rFonts w:ascii="Arial" w:hAnsi="Arial" w:cs="Arial"/>
          <w:b/>
          <w:bCs/>
          <w:iCs/>
          <w:sz w:val="26"/>
          <w:szCs w:val="26"/>
        </w:rPr>
        <w:t>0</w:t>
      </w:r>
      <w:r w:rsidR="00C61D04">
        <w:rPr>
          <w:rFonts w:ascii="Arial" w:hAnsi="Arial" w:cs="Arial"/>
          <w:b/>
          <w:bCs/>
          <w:iCs/>
          <w:sz w:val="26"/>
          <w:szCs w:val="26"/>
        </w:rPr>
        <w:t>0</w:t>
      </w:r>
      <w:r w:rsidR="00175489">
        <w:rPr>
          <w:rFonts w:ascii="Arial" w:hAnsi="Arial" w:cs="Arial"/>
          <w:b/>
          <w:bCs/>
          <w:iCs/>
          <w:sz w:val="26"/>
          <w:szCs w:val="26"/>
        </w:rPr>
        <w:t>3</w:t>
      </w:r>
      <w:r w:rsidR="00C61D04">
        <w:rPr>
          <w:rFonts w:ascii="Arial" w:hAnsi="Arial" w:cs="Arial"/>
          <w:b/>
          <w:bCs/>
          <w:iCs/>
          <w:sz w:val="26"/>
          <w:szCs w:val="26"/>
        </w:rPr>
        <w:t>2</w:t>
      </w:r>
      <w:r w:rsidRPr="00AE78C3">
        <w:rPr>
          <w:rFonts w:ascii="Arial" w:hAnsi="Arial" w:cs="Arial"/>
          <w:b/>
          <w:bCs/>
          <w:iCs/>
          <w:sz w:val="26"/>
          <w:szCs w:val="26"/>
        </w:rPr>
        <w:t>/20</w:t>
      </w:r>
      <w:r w:rsidR="00175489">
        <w:rPr>
          <w:rFonts w:ascii="Arial" w:hAnsi="Arial" w:cs="Arial"/>
          <w:b/>
          <w:bCs/>
          <w:iCs/>
          <w:sz w:val="26"/>
          <w:szCs w:val="26"/>
        </w:rPr>
        <w:t>20</w:t>
      </w:r>
      <w:r w:rsidRPr="00AE78C3">
        <w:rPr>
          <w:rFonts w:ascii="Arial" w:hAnsi="Arial" w:cs="Arial"/>
          <w:b/>
          <w:bCs/>
          <w:iCs/>
          <w:sz w:val="26"/>
          <w:szCs w:val="26"/>
        </w:rPr>
        <w:t>.</w:t>
      </w:r>
      <w:r w:rsidR="00FF22EA">
        <w:rPr>
          <w:rFonts w:ascii="Arial" w:hAnsi="Arial" w:cs="Arial"/>
          <w:b/>
          <w:bCs/>
          <w:iCs/>
          <w:sz w:val="26"/>
          <w:szCs w:val="26"/>
        </w:rPr>
        <w:t xml:space="preserve"> </w:t>
      </w:r>
      <w:r w:rsidR="00FF22EA">
        <w:rPr>
          <w:rFonts w:ascii="Arial" w:hAnsi="Arial" w:cs="Arial"/>
          <w:color w:val="000000"/>
          <w:sz w:val="26"/>
          <w:szCs w:val="26"/>
          <w:lang w:val="es-ES"/>
        </w:rPr>
        <w:t xml:space="preserve">- - - - - - - - - - - - - - - - - - - - - - - - - - - </w:t>
      </w:r>
    </w:p>
    <w:p w14:paraId="32960A6A" w14:textId="61099622" w:rsidR="00847AE0" w:rsidRPr="002A2D36" w:rsidRDefault="00847AE0" w:rsidP="00847AE0">
      <w:pPr>
        <w:spacing w:before="240" w:after="0" w:line="360" w:lineRule="auto"/>
        <w:ind w:firstLine="709"/>
        <w:jc w:val="both"/>
        <w:rPr>
          <w:rFonts w:ascii="Arial" w:hAnsi="Arial" w:cs="Arial"/>
          <w:sz w:val="26"/>
          <w:szCs w:val="26"/>
        </w:rPr>
      </w:pPr>
      <w:r w:rsidRPr="002A2D36">
        <w:rPr>
          <w:rFonts w:ascii="Arial" w:hAnsi="Arial" w:cs="Arial"/>
          <w:b/>
          <w:sz w:val="26"/>
          <w:szCs w:val="26"/>
        </w:rPr>
        <w:t>SEGUNDO</w:t>
      </w:r>
      <w:r w:rsidRPr="002A2D36">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C907F8">
        <w:rPr>
          <w:rFonts w:ascii="Arial" w:hAnsi="Arial" w:cs="Arial"/>
          <w:sz w:val="26"/>
          <w:szCs w:val="26"/>
        </w:rPr>
        <w:t>- - - - - - - - - - - - - - - - - - - - - - - - - - - - - - - - - - -</w:t>
      </w:r>
    </w:p>
    <w:p w14:paraId="411A4F83" w14:textId="77777777" w:rsidR="00847AE0" w:rsidRPr="00FB06E5" w:rsidRDefault="00847AE0" w:rsidP="00847AE0">
      <w:pPr>
        <w:spacing w:before="240" w:after="0" w:line="360" w:lineRule="auto"/>
        <w:ind w:left="567" w:right="616"/>
        <w:jc w:val="both"/>
        <w:rPr>
          <w:rFonts w:ascii="Arial" w:hAnsi="Arial" w:cs="Arial"/>
          <w:b/>
          <w:i/>
          <w:sz w:val="24"/>
          <w:szCs w:val="24"/>
        </w:rPr>
      </w:pPr>
      <w:r w:rsidRPr="00FB06E5">
        <w:rPr>
          <w:rFonts w:ascii="Arial" w:hAnsi="Arial" w:cs="Arial"/>
          <w:b/>
          <w:i/>
          <w:sz w:val="24"/>
          <w:szCs w:val="24"/>
        </w:rPr>
        <w:t>“CONCEPTOS DE VIOLACIÓN O AGRAVIOS. PARA CUMPLIR CON LOS PRINCIPIOS DE CONGRUENCIA Y EXHAUSTIVIDAD EN LAS SENTENCIAS DE AMPARO ES INNECESARIA SU TRANSCRIPCIÓN.</w:t>
      </w:r>
    </w:p>
    <w:p w14:paraId="2969279D" w14:textId="77777777" w:rsidR="00847AE0" w:rsidRPr="00FB06E5" w:rsidRDefault="00847AE0" w:rsidP="00847AE0">
      <w:pPr>
        <w:spacing w:before="240" w:after="0" w:line="360" w:lineRule="auto"/>
        <w:ind w:left="567" w:right="616"/>
        <w:jc w:val="both"/>
        <w:rPr>
          <w:rFonts w:ascii="Arial" w:hAnsi="Arial" w:cs="Arial"/>
          <w:i/>
          <w:sz w:val="24"/>
          <w:szCs w:val="24"/>
        </w:rPr>
      </w:pPr>
      <w:r w:rsidRPr="00FB06E5">
        <w:rPr>
          <w:rFonts w:ascii="Arial" w:hAnsi="Arial" w:cs="Arial"/>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216F67" w14:textId="77777777" w:rsidR="00847AE0" w:rsidRPr="00FB06E5" w:rsidRDefault="00847AE0" w:rsidP="00847AE0">
      <w:pPr>
        <w:spacing w:before="240" w:after="0" w:line="360" w:lineRule="auto"/>
        <w:ind w:left="567" w:right="616"/>
        <w:jc w:val="both"/>
        <w:rPr>
          <w:rFonts w:ascii="Arial" w:hAnsi="Arial" w:cs="Arial"/>
          <w:i/>
          <w:sz w:val="24"/>
          <w:szCs w:val="24"/>
        </w:rPr>
      </w:pPr>
      <w:r w:rsidRPr="00FB06E5">
        <w:rPr>
          <w:rFonts w:ascii="Arial" w:hAnsi="Arial" w:cs="Arial"/>
          <w:i/>
          <w:sz w:val="24"/>
          <w:szCs w:val="24"/>
        </w:rPr>
        <w:t xml:space="preserve">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w:t>
      </w:r>
      <w:r w:rsidRPr="00FB06E5">
        <w:rPr>
          <w:rFonts w:ascii="Arial" w:hAnsi="Arial" w:cs="Arial"/>
          <w:i/>
          <w:sz w:val="24"/>
          <w:szCs w:val="24"/>
        </w:rPr>
        <w:lastRenderedPageBreak/>
        <w:t>Beatriz Luna Ramos. Ponente: Sergio Salvador Aguirre Anguiano. Secretario: Arnulfo Moreno Flores.</w:t>
      </w:r>
    </w:p>
    <w:p w14:paraId="17BB9332" w14:textId="666ECD74" w:rsidR="00847AE0" w:rsidRPr="00FB06E5" w:rsidRDefault="00847AE0" w:rsidP="00847AE0">
      <w:pPr>
        <w:spacing w:before="240" w:after="0" w:line="360" w:lineRule="auto"/>
        <w:ind w:left="567" w:right="616"/>
        <w:jc w:val="both"/>
        <w:rPr>
          <w:rFonts w:ascii="Arial" w:hAnsi="Arial" w:cs="Arial"/>
          <w:i/>
          <w:sz w:val="24"/>
          <w:szCs w:val="24"/>
        </w:rPr>
      </w:pPr>
      <w:r w:rsidRPr="00FB06E5">
        <w:rPr>
          <w:rFonts w:ascii="Arial" w:hAnsi="Arial" w:cs="Arial"/>
          <w:i/>
          <w:sz w:val="24"/>
          <w:szCs w:val="24"/>
        </w:rPr>
        <w:t>Tesis de jurisprudencia 58/2010. Aprobada por la Segunda Sala de este Alto Tribunal, en sesión privada del doce de mayo de dos mil diez.”</w:t>
      </w:r>
      <w:r w:rsidR="00FB06E5">
        <w:rPr>
          <w:rFonts w:ascii="Arial" w:hAnsi="Arial" w:cs="Arial"/>
          <w:i/>
          <w:sz w:val="24"/>
          <w:szCs w:val="24"/>
        </w:rPr>
        <w:t xml:space="preserve"> </w:t>
      </w:r>
      <w:r w:rsidR="00FB06E5">
        <w:rPr>
          <w:rFonts w:ascii="Arial" w:hAnsi="Arial" w:cs="Arial"/>
          <w:bCs/>
          <w:iCs/>
          <w:sz w:val="26"/>
          <w:szCs w:val="26"/>
        </w:rPr>
        <w:t xml:space="preserve">- - - - - - - - - - - - - - - - - - - - - - - - - - - - - - - - - - - - - - - - - </w:t>
      </w:r>
    </w:p>
    <w:p w14:paraId="5D6CEDBD" w14:textId="3472D6B2" w:rsidR="00DE4C7B" w:rsidRDefault="004A0E50" w:rsidP="00C61D04">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C61D04">
        <w:rPr>
          <w:rFonts w:ascii="Arial" w:eastAsia="Calibri" w:hAnsi="Arial" w:cs="Arial"/>
          <w:sz w:val="26"/>
          <w:szCs w:val="26"/>
        </w:rPr>
        <w:t xml:space="preserve">La autoridad inconforme alega en el agravio primero de su oficio de </w:t>
      </w:r>
      <w:r w:rsidR="008B4262">
        <w:rPr>
          <w:rFonts w:ascii="Arial" w:eastAsia="Calibri" w:hAnsi="Arial" w:cs="Arial"/>
          <w:sz w:val="26"/>
          <w:szCs w:val="26"/>
        </w:rPr>
        <w:t>R</w:t>
      </w:r>
      <w:r w:rsidR="00C61D04">
        <w:rPr>
          <w:rFonts w:ascii="Arial" w:eastAsia="Calibri" w:hAnsi="Arial" w:cs="Arial"/>
          <w:sz w:val="26"/>
          <w:szCs w:val="26"/>
        </w:rPr>
        <w:t xml:space="preserve">ecurso de </w:t>
      </w:r>
      <w:r w:rsidR="008B4262">
        <w:rPr>
          <w:rFonts w:ascii="Arial" w:eastAsia="Calibri" w:hAnsi="Arial" w:cs="Arial"/>
          <w:sz w:val="26"/>
          <w:szCs w:val="26"/>
        </w:rPr>
        <w:t>R</w:t>
      </w:r>
      <w:r w:rsidR="00C61D04">
        <w:rPr>
          <w:rFonts w:ascii="Arial" w:eastAsia="Calibri" w:hAnsi="Arial" w:cs="Arial"/>
          <w:sz w:val="26"/>
          <w:szCs w:val="26"/>
        </w:rPr>
        <w:t xml:space="preserve">evisión, que la </w:t>
      </w:r>
      <w:r w:rsidR="00C61D04" w:rsidRPr="005313BE">
        <w:rPr>
          <w:rFonts w:ascii="Arial" w:eastAsia="Calibri" w:hAnsi="Arial" w:cs="Arial"/>
          <w:i/>
          <w:iCs/>
          <w:sz w:val="26"/>
          <w:szCs w:val="26"/>
        </w:rPr>
        <w:t>A quo</w:t>
      </w:r>
      <w:r w:rsidR="00C61D04">
        <w:rPr>
          <w:rFonts w:ascii="Arial" w:eastAsia="Calibri" w:hAnsi="Arial" w:cs="Arial"/>
          <w:sz w:val="26"/>
          <w:szCs w:val="26"/>
        </w:rPr>
        <w:t xml:space="preserve"> al resolver el </w:t>
      </w:r>
      <w:r w:rsidR="008D6F1C">
        <w:rPr>
          <w:rFonts w:ascii="Arial" w:eastAsia="Calibri" w:hAnsi="Arial" w:cs="Arial"/>
          <w:sz w:val="26"/>
          <w:szCs w:val="26"/>
        </w:rPr>
        <w:t>J</w:t>
      </w:r>
      <w:r w:rsidR="00C61D04">
        <w:rPr>
          <w:rFonts w:ascii="Arial" w:eastAsia="Calibri" w:hAnsi="Arial" w:cs="Arial"/>
          <w:sz w:val="26"/>
          <w:szCs w:val="26"/>
        </w:rPr>
        <w:t xml:space="preserve">uicio de </w:t>
      </w:r>
      <w:r w:rsidR="008D6F1C">
        <w:rPr>
          <w:rFonts w:ascii="Arial" w:eastAsia="Calibri" w:hAnsi="Arial" w:cs="Arial"/>
          <w:sz w:val="26"/>
          <w:szCs w:val="26"/>
        </w:rPr>
        <w:t>N</w:t>
      </w:r>
      <w:r w:rsidR="00C61D04">
        <w:rPr>
          <w:rFonts w:ascii="Arial" w:eastAsia="Calibri" w:hAnsi="Arial" w:cs="Arial"/>
          <w:sz w:val="26"/>
          <w:szCs w:val="26"/>
        </w:rPr>
        <w:t xml:space="preserve">ulidad, </w:t>
      </w:r>
      <w:r w:rsidR="007A2973">
        <w:rPr>
          <w:rFonts w:ascii="Arial" w:eastAsia="Calibri" w:hAnsi="Arial" w:cs="Arial"/>
          <w:sz w:val="26"/>
          <w:szCs w:val="26"/>
        </w:rPr>
        <w:t>transgredió los principios de congruencia y exhaustividad que deben imperar</w:t>
      </w:r>
      <w:r w:rsidR="00FA2349">
        <w:rPr>
          <w:rFonts w:ascii="Arial" w:eastAsia="Calibri" w:hAnsi="Arial" w:cs="Arial"/>
          <w:sz w:val="26"/>
          <w:szCs w:val="26"/>
        </w:rPr>
        <w:t xml:space="preserve"> </w:t>
      </w:r>
      <w:r w:rsidR="007A2973">
        <w:rPr>
          <w:rFonts w:ascii="Arial" w:eastAsia="Calibri" w:hAnsi="Arial" w:cs="Arial"/>
          <w:sz w:val="26"/>
          <w:szCs w:val="26"/>
        </w:rPr>
        <w:t xml:space="preserve">en toda resolución, y alega que en la resolución impugnada se omitió realizar una exposición metodológica, clara y congruente respecto de los agravios y pretensiones vertidas en la demanda, de las excepciones y defensas </w:t>
      </w:r>
      <w:r w:rsidR="00920BEE">
        <w:rPr>
          <w:rFonts w:ascii="Arial" w:eastAsia="Calibri" w:hAnsi="Arial" w:cs="Arial"/>
          <w:sz w:val="26"/>
          <w:szCs w:val="26"/>
        </w:rPr>
        <w:t xml:space="preserve"> expuestas y que fijan la litis del juicio primario, transgrediendo con esto los principios referidos y que son elementos esenciales de toda resolución, pues en ella el Estado, a través del juzgador, aplica la ley, dirime la controversia sometida a su competencia y </w:t>
      </w:r>
      <w:r w:rsidR="00920BEE" w:rsidRPr="00176721">
        <w:rPr>
          <w:rFonts w:ascii="Arial" w:eastAsia="Calibri" w:hAnsi="Arial" w:cs="Arial"/>
          <w:sz w:val="26"/>
          <w:szCs w:val="26"/>
        </w:rPr>
        <w:t>determina a</w:t>
      </w:r>
      <w:r w:rsidR="00920BEE">
        <w:rPr>
          <w:rFonts w:ascii="Arial" w:eastAsia="Calibri" w:hAnsi="Arial" w:cs="Arial"/>
          <w:sz w:val="26"/>
          <w:szCs w:val="26"/>
        </w:rPr>
        <w:t xml:space="preserve"> </w:t>
      </w:r>
      <w:proofErr w:type="spellStart"/>
      <w:r w:rsidR="00920BEE" w:rsidRPr="00176721">
        <w:rPr>
          <w:rFonts w:ascii="Arial" w:eastAsia="Calibri" w:hAnsi="Arial" w:cs="Arial"/>
          <w:sz w:val="26"/>
          <w:szCs w:val="26"/>
        </w:rPr>
        <w:t>cual</w:t>
      </w:r>
      <w:proofErr w:type="spellEnd"/>
      <w:r w:rsidR="00920BEE">
        <w:rPr>
          <w:rFonts w:ascii="Arial" w:eastAsia="Calibri" w:hAnsi="Arial" w:cs="Arial"/>
          <w:sz w:val="26"/>
          <w:szCs w:val="26"/>
        </w:rPr>
        <w:t xml:space="preserve"> de las partes le asiste la razón respecto a un determinado conflicto jurídico, y cita la tesis de rubro: “CONGRUENCIA Y EXHAUSTIVIDAD DE LAS SENTENCIAS. PRINCIPIOS DE”.</w:t>
      </w:r>
      <w:r w:rsidR="008B4262">
        <w:rPr>
          <w:rFonts w:ascii="Arial" w:eastAsia="Calibri" w:hAnsi="Arial" w:cs="Arial"/>
          <w:sz w:val="26"/>
          <w:szCs w:val="26"/>
        </w:rPr>
        <w:t xml:space="preserve"> </w:t>
      </w:r>
      <w:r w:rsidR="008B4262">
        <w:rPr>
          <w:rFonts w:ascii="Arial" w:hAnsi="Arial" w:cs="Arial"/>
          <w:color w:val="000000"/>
          <w:sz w:val="26"/>
          <w:szCs w:val="26"/>
          <w:lang w:val="es-ES"/>
        </w:rPr>
        <w:t xml:space="preserve">- - - - - - - - - - - - - - - - - - - - - - - - - - - - - - - - - - - - - - - </w:t>
      </w:r>
    </w:p>
    <w:p w14:paraId="12534652" w14:textId="03A4310B" w:rsidR="00920BEE" w:rsidRDefault="00920BEE" w:rsidP="00C61D04">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sz w:val="26"/>
          <w:szCs w:val="26"/>
        </w:rPr>
        <w:tab/>
        <w:t xml:space="preserve">Agrega el recurrente que la </w:t>
      </w:r>
      <w:r w:rsidRPr="0057470F">
        <w:rPr>
          <w:rFonts w:ascii="Arial" w:eastAsia="Calibri" w:hAnsi="Arial" w:cs="Arial"/>
          <w:i/>
          <w:iCs/>
          <w:sz w:val="26"/>
          <w:szCs w:val="26"/>
        </w:rPr>
        <w:t>A quo</w:t>
      </w:r>
      <w:r>
        <w:rPr>
          <w:rFonts w:ascii="Arial" w:eastAsia="Calibri" w:hAnsi="Arial" w:cs="Arial"/>
          <w:sz w:val="26"/>
          <w:szCs w:val="26"/>
        </w:rPr>
        <w:t xml:space="preserve"> transgrede con su actuar, lo establecido en el artículo 207 de la Ley de Procedimiento y Justicia Administrativa para el Estado de Oaxaca, mismo que establece el contenido y requisitos de las sentencias emitidas por el Tribunal, </w:t>
      </w:r>
      <w:r w:rsidR="00FD002E">
        <w:rPr>
          <w:rFonts w:ascii="Arial" w:eastAsia="Calibri" w:hAnsi="Arial" w:cs="Arial"/>
          <w:sz w:val="26"/>
          <w:szCs w:val="26"/>
        </w:rPr>
        <w:t>que la sentencia debe ser congruente con la litis planteada y que no distorsione la causa de pedir, y que por otra parte, la exhaustividad se relaciona con el examen que se debe efectuar respecto de todas las cuestiones o puntos litigiosos sin omitir alguno de ellos, y que en el presente asunto, el juzgador no analizó de manera objetiva y con apego a derecho, respecto de los conceptos de impugnación vertidos en el escrito inicial de demanda, las pretensiones expuestas en la misma, y de la contestación y refutación que la recurrente argumentó.</w:t>
      </w:r>
      <w:r w:rsidR="00CC2707">
        <w:rPr>
          <w:rFonts w:ascii="Arial" w:eastAsia="Calibri" w:hAnsi="Arial" w:cs="Arial"/>
          <w:sz w:val="26"/>
          <w:szCs w:val="26"/>
        </w:rPr>
        <w:t xml:space="preserve"> </w:t>
      </w:r>
      <w:r w:rsidR="00CC2707">
        <w:rPr>
          <w:rFonts w:ascii="Arial" w:hAnsi="Arial" w:cs="Arial"/>
          <w:color w:val="000000"/>
          <w:sz w:val="26"/>
          <w:szCs w:val="26"/>
          <w:lang w:val="es-ES"/>
        </w:rPr>
        <w:t xml:space="preserve">- - - - - - - - - - - - </w:t>
      </w:r>
    </w:p>
    <w:p w14:paraId="5F3796F3" w14:textId="158DEC9D" w:rsidR="0057470F" w:rsidRPr="00CE209D" w:rsidRDefault="00FD002E" w:rsidP="00C61D04">
      <w:pPr>
        <w:widowControl w:val="0"/>
        <w:tabs>
          <w:tab w:val="left" w:pos="0"/>
        </w:tabs>
        <w:spacing w:before="240" w:after="0" w:line="360" w:lineRule="auto"/>
        <w:ind w:right="18"/>
        <w:jc w:val="both"/>
        <w:rPr>
          <w:rFonts w:ascii="Arial" w:hAnsi="Arial" w:cs="Arial"/>
          <w:b/>
          <w:bCs/>
          <w:color w:val="000000"/>
          <w:sz w:val="26"/>
          <w:szCs w:val="26"/>
        </w:rPr>
      </w:pPr>
      <w:r>
        <w:rPr>
          <w:rFonts w:ascii="Arial" w:hAnsi="Arial" w:cs="Arial"/>
          <w:color w:val="000000"/>
          <w:sz w:val="26"/>
          <w:szCs w:val="26"/>
        </w:rPr>
        <w:tab/>
      </w:r>
      <w:r w:rsidR="0057470F">
        <w:rPr>
          <w:rFonts w:ascii="Arial" w:hAnsi="Arial" w:cs="Arial"/>
          <w:color w:val="000000"/>
          <w:sz w:val="26"/>
          <w:szCs w:val="26"/>
        </w:rPr>
        <w:t xml:space="preserve">Esta Sala Superior advierte que el argumento en estudio deviene </w:t>
      </w:r>
      <w:r w:rsidR="00DA6C03" w:rsidRPr="0057470F">
        <w:rPr>
          <w:rFonts w:ascii="Arial" w:hAnsi="Arial" w:cs="Arial"/>
          <w:b/>
          <w:bCs/>
          <w:color w:val="000000"/>
          <w:sz w:val="26"/>
          <w:szCs w:val="26"/>
        </w:rPr>
        <w:t>inoperante,</w:t>
      </w:r>
      <w:r w:rsidR="0057470F" w:rsidRPr="0057470F">
        <w:rPr>
          <w:rFonts w:ascii="Arial" w:hAnsi="Arial" w:cs="Arial"/>
          <w:b/>
          <w:bCs/>
          <w:color w:val="000000"/>
          <w:sz w:val="26"/>
          <w:szCs w:val="26"/>
        </w:rPr>
        <w:t xml:space="preserve"> </w:t>
      </w:r>
      <w:r w:rsidR="0057470F">
        <w:rPr>
          <w:rFonts w:ascii="Arial" w:hAnsi="Arial" w:cs="Arial"/>
          <w:color w:val="000000"/>
          <w:sz w:val="26"/>
          <w:szCs w:val="26"/>
        </w:rPr>
        <w:t xml:space="preserve">porque </w:t>
      </w:r>
      <w:r w:rsidR="00330668">
        <w:rPr>
          <w:rFonts w:ascii="Arial" w:eastAsia="Calibri" w:hAnsi="Arial" w:cs="Arial"/>
          <w:bCs/>
          <w:sz w:val="26"/>
          <w:szCs w:val="26"/>
          <w:lang w:val="es-ES" w:eastAsia="en-US"/>
        </w:rPr>
        <w:t>no</w:t>
      </w:r>
      <w:r w:rsidR="00330668" w:rsidRPr="00A4490C">
        <w:rPr>
          <w:rFonts w:ascii="Arial" w:eastAsia="Calibri" w:hAnsi="Arial" w:cs="Arial"/>
          <w:bCs/>
          <w:sz w:val="26"/>
          <w:szCs w:val="26"/>
          <w:lang w:val="es-ES" w:eastAsia="en-US"/>
        </w:rPr>
        <w:t xml:space="preserve"> controv</w:t>
      </w:r>
      <w:r w:rsidR="00330668">
        <w:rPr>
          <w:rFonts w:ascii="Arial" w:eastAsia="Calibri" w:hAnsi="Arial" w:cs="Arial"/>
          <w:bCs/>
          <w:sz w:val="26"/>
          <w:szCs w:val="26"/>
          <w:lang w:val="es-ES" w:eastAsia="en-US"/>
        </w:rPr>
        <w:t>ierte</w:t>
      </w:r>
      <w:r w:rsidR="00330668" w:rsidRPr="00A4490C">
        <w:rPr>
          <w:rFonts w:ascii="Arial" w:eastAsia="Calibri" w:hAnsi="Arial" w:cs="Arial"/>
          <w:bCs/>
          <w:sz w:val="26"/>
          <w:szCs w:val="26"/>
          <w:lang w:val="es-ES" w:eastAsia="en-US"/>
        </w:rPr>
        <w:t xml:space="preserve"> las consideraciones</w:t>
      </w:r>
      <w:r w:rsidR="00330668">
        <w:rPr>
          <w:rFonts w:ascii="Arial" w:eastAsia="Calibri" w:hAnsi="Arial" w:cs="Arial"/>
          <w:bCs/>
          <w:sz w:val="26"/>
          <w:szCs w:val="26"/>
          <w:lang w:val="es-ES" w:eastAsia="en-US"/>
        </w:rPr>
        <w:t xml:space="preserve"> principales de la sentencia combatida en la que se declaró </w:t>
      </w:r>
      <w:bookmarkStart w:id="1" w:name="_Hlk82123264"/>
      <w:r w:rsidR="00330668">
        <w:rPr>
          <w:rFonts w:ascii="Arial" w:eastAsia="Calibri" w:hAnsi="Arial" w:cs="Arial"/>
          <w:bCs/>
          <w:sz w:val="26"/>
          <w:szCs w:val="26"/>
          <w:lang w:val="es-ES" w:eastAsia="en-US"/>
        </w:rPr>
        <w:t xml:space="preserve">la nulidad </w:t>
      </w:r>
      <w:r w:rsidR="00330668" w:rsidRPr="00330668">
        <w:rPr>
          <w:rFonts w:ascii="Arial" w:hAnsi="Arial" w:cs="Arial"/>
          <w:color w:val="000000"/>
          <w:sz w:val="26"/>
          <w:szCs w:val="26"/>
        </w:rPr>
        <w:t xml:space="preserve">del oficio OP/DG/666/2019 de </w:t>
      </w:r>
      <w:r w:rsidR="004556A4">
        <w:rPr>
          <w:rFonts w:ascii="Arial" w:hAnsi="Arial" w:cs="Arial"/>
          <w:color w:val="000000"/>
          <w:sz w:val="26"/>
          <w:szCs w:val="26"/>
        </w:rPr>
        <w:t xml:space="preserve">fecha </w:t>
      </w:r>
      <w:r w:rsidR="00330668" w:rsidRPr="00330668">
        <w:rPr>
          <w:rFonts w:ascii="Arial" w:hAnsi="Arial" w:cs="Arial"/>
          <w:color w:val="000000"/>
          <w:sz w:val="26"/>
          <w:szCs w:val="26"/>
        </w:rPr>
        <w:t>trece de marzo de dos mil diecinueve, para</w:t>
      </w:r>
      <w:r w:rsidR="004556A4">
        <w:rPr>
          <w:rFonts w:ascii="Arial" w:hAnsi="Arial" w:cs="Arial"/>
          <w:color w:val="000000"/>
          <w:sz w:val="26"/>
          <w:szCs w:val="26"/>
        </w:rPr>
        <w:t xml:space="preserve"> el</w:t>
      </w:r>
      <w:r w:rsidR="00330668" w:rsidRPr="00330668">
        <w:rPr>
          <w:rFonts w:ascii="Arial" w:hAnsi="Arial" w:cs="Arial"/>
          <w:color w:val="000000"/>
          <w:sz w:val="26"/>
          <w:szCs w:val="26"/>
        </w:rPr>
        <w:t xml:space="preserve"> efecto de que </w:t>
      </w:r>
      <w:r w:rsidR="004556A4" w:rsidRPr="00330668">
        <w:rPr>
          <w:rFonts w:ascii="Arial" w:hAnsi="Arial" w:cs="Arial"/>
          <w:color w:val="000000"/>
          <w:sz w:val="26"/>
          <w:szCs w:val="26"/>
        </w:rPr>
        <w:t xml:space="preserve">el Consejo Directivo de la Oficina de Pensiones del </w:t>
      </w:r>
      <w:r w:rsidR="004556A4" w:rsidRPr="00330668">
        <w:rPr>
          <w:rFonts w:ascii="Arial" w:hAnsi="Arial" w:cs="Arial"/>
          <w:color w:val="000000"/>
          <w:sz w:val="26"/>
          <w:szCs w:val="26"/>
        </w:rPr>
        <w:lastRenderedPageBreak/>
        <w:t>Estado de Oaxaca</w:t>
      </w:r>
      <w:r w:rsidR="004556A4">
        <w:rPr>
          <w:rFonts w:ascii="Arial" w:hAnsi="Arial" w:cs="Arial"/>
          <w:color w:val="000000"/>
          <w:sz w:val="26"/>
          <w:szCs w:val="26"/>
        </w:rPr>
        <w:t xml:space="preserve"> </w:t>
      </w:r>
      <w:r w:rsidR="00330668" w:rsidRPr="00330668">
        <w:rPr>
          <w:rFonts w:ascii="Arial" w:hAnsi="Arial" w:cs="Arial"/>
          <w:color w:val="000000"/>
          <w:sz w:val="26"/>
          <w:szCs w:val="26"/>
        </w:rPr>
        <w:t>emita uno nuevo en el que ordene</w:t>
      </w:r>
      <w:r w:rsidR="00A76044">
        <w:rPr>
          <w:rFonts w:ascii="Arial" w:hAnsi="Arial" w:cs="Arial"/>
          <w:color w:val="000000"/>
          <w:sz w:val="26"/>
          <w:szCs w:val="26"/>
        </w:rPr>
        <w:t>: a)</w:t>
      </w:r>
      <w:r w:rsidR="00330668" w:rsidRPr="00330668">
        <w:rPr>
          <w:rFonts w:ascii="Arial" w:hAnsi="Arial" w:cs="Arial"/>
          <w:color w:val="000000"/>
          <w:sz w:val="26"/>
          <w:szCs w:val="26"/>
        </w:rPr>
        <w:t xml:space="preserve"> el pago de la pensión por jubilación </w:t>
      </w:r>
      <w:r w:rsidR="004556A4">
        <w:rPr>
          <w:rFonts w:ascii="Arial" w:hAnsi="Arial" w:cs="Arial"/>
          <w:color w:val="000000"/>
          <w:sz w:val="26"/>
          <w:szCs w:val="26"/>
        </w:rPr>
        <w:t xml:space="preserve">al actor </w:t>
      </w:r>
      <w:r w:rsidR="004C6412">
        <w:rPr>
          <w:rFonts w:ascii="Arial" w:eastAsia="Times New Roman" w:hAnsi="Arial" w:cs="Arial"/>
          <w:b/>
          <w:iCs/>
          <w:color w:val="000000"/>
        </w:rPr>
        <w:t>***********</w:t>
      </w:r>
      <w:r w:rsidR="004556A4" w:rsidRPr="004556A4">
        <w:rPr>
          <w:rFonts w:ascii="Arial" w:hAnsi="Arial" w:cs="Arial"/>
          <w:b/>
          <w:bCs/>
          <w:color w:val="000000"/>
          <w:sz w:val="26"/>
          <w:szCs w:val="26"/>
        </w:rPr>
        <w:t>,</w:t>
      </w:r>
      <w:r w:rsidR="004556A4">
        <w:rPr>
          <w:rFonts w:ascii="Arial" w:hAnsi="Arial" w:cs="Arial"/>
          <w:color w:val="000000"/>
          <w:sz w:val="26"/>
          <w:szCs w:val="26"/>
        </w:rPr>
        <w:t xml:space="preserve"> </w:t>
      </w:r>
      <w:r w:rsidR="00330668" w:rsidRPr="00330668">
        <w:rPr>
          <w:rFonts w:ascii="Arial" w:hAnsi="Arial" w:cs="Arial"/>
          <w:color w:val="000000"/>
          <w:sz w:val="26"/>
          <w:szCs w:val="26"/>
        </w:rPr>
        <w:t xml:space="preserve">incluyendo al salario las prestaciones SUELDO, C.D.P.S.M., ESTÍMULO y QNIO 6, y que resultan en un total </w:t>
      </w:r>
      <w:r w:rsidR="004C6412">
        <w:rPr>
          <w:rFonts w:ascii="Arial" w:eastAsia="Times New Roman" w:hAnsi="Arial" w:cs="Arial"/>
          <w:b/>
          <w:iCs/>
          <w:color w:val="000000"/>
        </w:rPr>
        <w:t>***********</w:t>
      </w:r>
      <w:r w:rsidR="00330668" w:rsidRPr="00330668">
        <w:rPr>
          <w:rFonts w:ascii="Arial" w:hAnsi="Arial" w:cs="Arial"/>
          <w:color w:val="000000"/>
          <w:sz w:val="26"/>
          <w:szCs w:val="26"/>
        </w:rPr>
        <w:t xml:space="preserve">, </w:t>
      </w:r>
      <w:r w:rsidR="00A76044">
        <w:rPr>
          <w:rFonts w:ascii="Arial" w:hAnsi="Arial" w:cs="Arial"/>
          <w:color w:val="000000"/>
          <w:sz w:val="26"/>
          <w:szCs w:val="26"/>
        </w:rPr>
        <w:t>y b) p</w:t>
      </w:r>
      <w:r w:rsidR="00330668" w:rsidRPr="00330668">
        <w:rPr>
          <w:rFonts w:ascii="Arial" w:hAnsi="Arial" w:cs="Arial"/>
          <w:color w:val="000000"/>
          <w:sz w:val="26"/>
          <w:szCs w:val="26"/>
        </w:rPr>
        <w:t>ara que deje sin efectos el descuento de 9% sobre la pensión por jubilación de</w:t>
      </w:r>
      <w:r w:rsidR="00CE209D">
        <w:rPr>
          <w:rFonts w:ascii="Arial" w:hAnsi="Arial" w:cs="Arial"/>
          <w:color w:val="000000"/>
          <w:sz w:val="26"/>
          <w:szCs w:val="26"/>
        </w:rPr>
        <w:t>l actor en mención.</w:t>
      </w:r>
      <w:r w:rsidR="00163CA4">
        <w:rPr>
          <w:rFonts w:ascii="Arial" w:hAnsi="Arial" w:cs="Arial"/>
          <w:color w:val="000000"/>
          <w:sz w:val="26"/>
          <w:szCs w:val="26"/>
        </w:rPr>
        <w:t xml:space="preserve"> - - - - - - - - </w:t>
      </w:r>
    </w:p>
    <w:bookmarkEnd w:id="1"/>
    <w:p w14:paraId="452A674C" w14:textId="30E228E2" w:rsidR="00FA2349" w:rsidRDefault="00A76044" w:rsidP="00A76044">
      <w:pPr>
        <w:spacing w:after="0" w:line="360" w:lineRule="auto"/>
        <w:ind w:firstLine="708"/>
        <w:jc w:val="both"/>
        <w:rPr>
          <w:rFonts w:ascii="Arial" w:hAnsi="Arial" w:cs="Arial"/>
          <w:sz w:val="26"/>
          <w:szCs w:val="26"/>
        </w:rPr>
      </w:pPr>
      <w:r w:rsidRPr="00315E13">
        <w:rPr>
          <w:rFonts w:ascii="Arial" w:hAnsi="Arial" w:cs="Arial"/>
          <w:sz w:val="26"/>
          <w:szCs w:val="26"/>
        </w:rPr>
        <w:t xml:space="preserve">Efectivamente, se estima que la </w:t>
      </w:r>
      <w:r>
        <w:rPr>
          <w:rFonts w:ascii="Arial" w:hAnsi="Arial" w:cs="Arial"/>
          <w:sz w:val="26"/>
          <w:szCs w:val="26"/>
        </w:rPr>
        <w:t xml:space="preserve">autoridad </w:t>
      </w:r>
      <w:r w:rsidRPr="00315E13">
        <w:rPr>
          <w:rFonts w:ascii="Arial" w:hAnsi="Arial" w:cs="Arial"/>
          <w:sz w:val="26"/>
          <w:szCs w:val="26"/>
        </w:rPr>
        <w:t>inconforme no combate las consideraciones</w:t>
      </w:r>
      <w:r w:rsidR="00FA2349">
        <w:rPr>
          <w:rFonts w:ascii="Arial" w:hAnsi="Arial" w:cs="Arial"/>
          <w:sz w:val="26"/>
          <w:szCs w:val="26"/>
        </w:rPr>
        <w:t xml:space="preserve"> principales de </w:t>
      </w:r>
      <w:r w:rsidRPr="00315E13">
        <w:rPr>
          <w:rFonts w:ascii="Arial" w:hAnsi="Arial" w:cs="Arial"/>
          <w:sz w:val="26"/>
          <w:szCs w:val="26"/>
        </w:rPr>
        <w:t>la se</w:t>
      </w:r>
      <w:r>
        <w:rPr>
          <w:rFonts w:ascii="Arial" w:hAnsi="Arial" w:cs="Arial"/>
          <w:sz w:val="26"/>
          <w:szCs w:val="26"/>
        </w:rPr>
        <w:t>ntencia recurrida en su agravio primero</w:t>
      </w:r>
      <w:r w:rsidR="007263FF">
        <w:rPr>
          <w:rFonts w:ascii="Arial" w:hAnsi="Arial" w:cs="Arial"/>
          <w:sz w:val="26"/>
          <w:szCs w:val="26"/>
        </w:rPr>
        <w:t>, porque</w:t>
      </w:r>
      <w:r w:rsidRPr="00315E13">
        <w:rPr>
          <w:rFonts w:ascii="Arial" w:hAnsi="Arial" w:cs="Arial"/>
          <w:sz w:val="26"/>
          <w:szCs w:val="26"/>
        </w:rPr>
        <w:t xml:space="preserve"> como se advierte,</w:t>
      </w:r>
      <w:r>
        <w:rPr>
          <w:rFonts w:ascii="Arial" w:hAnsi="Arial" w:cs="Arial"/>
          <w:sz w:val="26"/>
          <w:szCs w:val="26"/>
        </w:rPr>
        <w:t xml:space="preserve"> se </w:t>
      </w:r>
      <w:r w:rsidR="00FA2349">
        <w:rPr>
          <w:rFonts w:ascii="Arial" w:hAnsi="Arial" w:cs="Arial"/>
          <w:sz w:val="26"/>
          <w:szCs w:val="26"/>
        </w:rPr>
        <w:t xml:space="preserve">limita a mencionar que la Sexta Sala Unitaria de Primera Instancia, contravino los principios de congruencia y exhaustividad al dictar la sentencia en revisión, </w:t>
      </w:r>
      <w:r w:rsidR="007263FF">
        <w:rPr>
          <w:rFonts w:ascii="Arial" w:hAnsi="Arial" w:cs="Arial"/>
          <w:sz w:val="26"/>
          <w:szCs w:val="26"/>
        </w:rPr>
        <w:t xml:space="preserve">sin haber precisado cuáles fueron las cuestiones </w:t>
      </w:r>
      <w:r w:rsidR="00525154">
        <w:rPr>
          <w:rFonts w:ascii="Arial" w:hAnsi="Arial" w:cs="Arial"/>
          <w:sz w:val="26"/>
          <w:szCs w:val="26"/>
        </w:rPr>
        <w:t xml:space="preserve">sobre las cuales la A quo omitió pronunciarse al resolver el </w:t>
      </w:r>
      <w:r w:rsidR="00916592">
        <w:rPr>
          <w:rFonts w:ascii="Arial" w:hAnsi="Arial" w:cs="Arial"/>
          <w:sz w:val="26"/>
          <w:szCs w:val="26"/>
        </w:rPr>
        <w:t>J</w:t>
      </w:r>
      <w:r w:rsidR="00525154">
        <w:rPr>
          <w:rFonts w:ascii="Arial" w:hAnsi="Arial" w:cs="Arial"/>
          <w:sz w:val="26"/>
          <w:szCs w:val="26"/>
        </w:rPr>
        <w:t xml:space="preserve">uicio de </w:t>
      </w:r>
      <w:r w:rsidR="00916592">
        <w:rPr>
          <w:rFonts w:ascii="Arial" w:hAnsi="Arial" w:cs="Arial"/>
          <w:sz w:val="26"/>
          <w:szCs w:val="26"/>
        </w:rPr>
        <w:t>N</w:t>
      </w:r>
      <w:r w:rsidR="00525154">
        <w:rPr>
          <w:rFonts w:ascii="Arial" w:hAnsi="Arial" w:cs="Arial"/>
          <w:sz w:val="26"/>
          <w:szCs w:val="26"/>
        </w:rPr>
        <w:t>ulidad.</w:t>
      </w:r>
      <w:r w:rsidR="00274F92">
        <w:rPr>
          <w:rFonts w:ascii="Arial" w:hAnsi="Arial" w:cs="Arial"/>
          <w:sz w:val="26"/>
          <w:szCs w:val="26"/>
        </w:rPr>
        <w:t xml:space="preserve"> </w:t>
      </w:r>
      <w:r w:rsidR="00274F92">
        <w:rPr>
          <w:rFonts w:ascii="Arial" w:hAnsi="Arial" w:cs="Arial"/>
          <w:color w:val="000000"/>
          <w:sz w:val="26"/>
          <w:szCs w:val="26"/>
          <w:lang w:val="es-ES"/>
        </w:rPr>
        <w:t xml:space="preserve">- - - - - - - - - - - - - - - - - - - </w:t>
      </w:r>
    </w:p>
    <w:p w14:paraId="1C74C42F" w14:textId="7061062B" w:rsidR="00A76044" w:rsidRDefault="00A76044" w:rsidP="00A76044">
      <w:pPr>
        <w:spacing w:after="0" w:line="360" w:lineRule="auto"/>
        <w:ind w:firstLine="567"/>
        <w:jc w:val="both"/>
        <w:rPr>
          <w:rFonts w:ascii="Arial" w:eastAsia="Calibri" w:hAnsi="Arial" w:cs="Arial"/>
          <w:bCs/>
          <w:sz w:val="26"/>
          <w:szCs w:val="26"/>
        </w:rPr>
      </w:pPr>
      <w:r>
        <w:rPr>
          <w:rFonts w:ascii="Arial" w:eastAsia="Calibri" w:hAnsi="Arial" w:cs="Arial"/>
          <w:bCs/>
          <w:sz w:val="26"/>
          <w:szCs w:val="26"/>
        </w:rPr>
        <w:t xml:space="preserve">Es pertinente </w:t>
      </w:r>
      <w:r w:rsidR="00525154">
        <w:rPr>
          <w:rFonts w:ascii="Arial" w:eastAsia="Calibri" w:hAnsi="Arial" w:cs="Arial"/>
          <w:bCs/>
          <w:sz w:val="26"/>
          <w:szCs w:val="26"/>
        </w:rPr>
        <w:t>señalar</w:t>
      </w:r>
      <w:r w:rsidRPr="00EC4A1C">
        <w:rPr>
          <w:rFonts w:ascii="Arial" w:eastAsia="Calibri" w:hAnsi="Arial" w:cs="Arial"/>
          <w:bCs/>
          <w:sz w:val="26"/>
          <w:szCs w:val="26"/>
        </w:rPr>
        <w:t xml:space="preserve"> que</w:t>
      </w:r>
      <w:r w:rsidR="00525154">
        <w:rPr>
          <w:rFonts w:ascii="Arial" w:eastAsia="Calibri" w:hAnsi="Arial" w:cs="Arial"/>
          <w:bCs/>
          <w:sz w:val="26"/>
          <w:szCs w:val="26"/>
        </w:rPr>
        <w:t>,</w:t>
      </w:r>
      <w:r w:rsidRPr="00EC4A1C">
        <w:rPr>
          <w:rFonts w:ascii="Arial" w:eastAsia="Calibri" w:hAnsi="Arial" w:cs="Arial"/>
          <w:bCs/>
          <w:sz w:val="26"/>
          <w:szCs w:val="26"/>
        </w:rPr>
        <w:t xml:space="preserve"> </w:t>
      </w:r>
      <w:r>
        <w:rPr>
          <w:rFonts w:ascii="Arial" w:eastAsia="Calibri" w:hAnsi="Arial" w:cs="Arial"/>
          <w:bCs/>
          <w:sz w:val="26"/>
          <w:szCs w:val="26"/>
        </w:rPr>
        <w:t xml:space="preserve">tratándose de la interposición del </w:t>
      </w:r>
      <w:r w:rsidR="0029492C">
        <w:rPr>
          <w:rFonts w:ascii="Arial" w:eastAsia="Calibri" w:hAnsi="Arial" w:cs="Arial"/>
          <w:bCs/>
          <w:sz w:val="26"/>
          <w:szCs w:val="26"/>
        </w:rPr>
        <w:t>R</w:t>
      </w:r>
      <w:r>
        <w:rPr>
          <w:rFonts w:ascii="Arial" w:eastAsia="Calibri" w:hAnsi="Arial" w:cs="Arial"/>
          <w:bCs/>
          <w:sz w:val="26"/>
          <w:szCs w:val="26"/>
        </w:rPr>
        <w:t xml:space="preserve">ecurso de </w:t>
      </w:r>
      <w:r w:rsidR="0029492C">
        <w:rPr>
          <w:rFonts w:ascii="Arial" w:eastAsia="Calibri" w:hAnsi="Arial" w:cs="Arial"/>
          <w:bCs/>
          <w:sz w:val="26"/>
          <w:szCs w:val="26"/>
        </w:rPr>
        <w:t>R</w:t>
      </w:r>
      <w:r>
        <w:rPr>
          <w:rFonts w:ascii="Arial" w:eastAsia="Calibri" w:hAnsi="Arial" w:cs="Arial"/>
          <w:bCs/>
          <w:sz w:val="26"/>
          <w:szCs w:val="26"/>
        </w:rPr>
        <w:t xml:space="preserve">evisión en la </w:t>
      </w:r>
      <w:r w:rsidR="00045B15">
        <w:rPr>
          <w:rFonts w:ascii="Arial" w:eastAsia="Calibri" w:hAnsi="Arial" w:cs="Arial"/>
          <w:bCs/>
          <w:sz w:val="26"/>
          <w:szCs w:val="26"/>
        </w:rPr>
        <w:t>segunda instancia</w:t>
      </w:r>
      <w:r w:rsidR="0000555D">
        <w:rPr>
          <w:rFonts w:ascii="Arial" w:eastAsia="Calibri" w:hAnsi="Arial" w:cs="Arial"/>
          <w:bCs/>
          <w:sz w:val="26"/>
          <w:szCs w:val="26"/>
        </w:rPr>
        <w:t xml:space="preserve"> </w:t>
      </w:r>
      <w:r w:rsidRPr="00EC4A1C">
        <w:rPr>
          <w:rFonts w:ascii="Arial" w:eastAsia="Calibri" w:hAnsi="Arial" w:cs="Arial"/>
          <w:bCs/>
          <w:sz w:val="26"/>
          <w:szCs w:val="26"/>
        </w:rPr>
        <w:t xml:space="preserve">es </w:t>
      </w:r>
      <w:r>
        <w:rPr>
          <w:rFonts w:ascii="Arial" w:eastAsia="Calibri" w:hAnsi="Arial" w:cs="Arial"/>
          <w:bCs/>
          <w:sz w:val="26"/>
          <w:szCs w:val="26"/>
        </w:rPr>
        <w:t xml:space="preserve">indispensable que la autoridad recurrente </w:t>
      </w:r>
      <w:r w:rsidR="00744E05">
        <w:rPr>
          <w:rFonts w:ascii="Arial" w:eastAsia="Calibri" w:hAnsi="Arial" w:cs="Arial"/>
          <w:bCs/>
          <w:sz w:val="26"/>
          <w:szCs w:val="26"/>
        </w:rPr>
        <w:t>indique</w:t>
      </w:r>
      <w:r>
        <w:rPr>
          <w:rFonts w:ascii="Arial" w:eastAsia="Calibri" w:hAnsi="Arial" w:cs="Arial"/>
          <w:bCs/>
          <w:sz w:val="26"/>
          <w:szCs w:val="26"/>
        </w:rPr>
        <w:t xml:space="preserve"> cuál es la lesión que le ocasiona la sentencia</w:t>
      </w:r>
      <w:r w:rsidR="00045B15">
        <w:rPr>
          <w:rFonts w:ascii="Arial" w:eastAsia="Calibri" w:hAnsi="Arial" w:cs="Arial"/>
          <w:bCs/>
          <w:sz w:val="26"/>
          <w:szCs w:val="26"/>
        </w:rPr>
        <w:t xml:space="preserve"> combatida</w:t>
      </w:r>
      <w:r>
        <w:rPr>
          <w:rFonts w:ascii="Arial" w:eastAsia="Calibri" w:hAnsi="Arial" w:cs="Arial"/>
          <w:bCs/>
          <w:sz w:val="26"/>
          <w:szCs w:val="26"/>
        </w:rPr>
        <w:t>, que haga el señalamiento d</w:t>
      </w:r>
      <w:r w:rsidRPr="00EC4A1C">
        <w:rPr>
          <w:rFonts w:ascii="Arial" w:eastAsia="Calibri" w:hAnsi="Arial" w:cs="Arial"/>
          <w:bCs/>
          <w:sz w:val="26"/>
          <w:szCs w:val="26"/>
        </w:rPr>
        <w:t>el precepto legal</w:t>
      </w:r>
      <w:r>
        <w:rPr>
          <w:rFonts w:ascii="Arial" w:eastAsia="Calibri" w:hAnsi="Arial" w:cs="Arial"/>
          <w:bCs/>
          <w:sz w:val="26"/>
          <w:szCs w:val="26"/>
        </w:rPr>
        <w:t xml:space="preserve"> que estima</w:t>
      </w:r>
      <w:r w:rsidRPr="00EC4A1C">
        <w:rPr>
          <w:rFonts w:ascii="Arial" w:eastAsia="Calibri" w:hAnsi="Arial" w:cs="Arial"/>
          <w:bCs/>
          <w:sz w:val="26"/>
          <w:szCs w:val="26"/>
        </w:rPr>
        <w:t xml:space="preserve"> violado y que </w:t>
      </w:r>
      <w:r>
        <w:rPr>
          <w:rFonts w:ascii="Arial" w:eastAsia="Calibri" w:hAnsi="Arial" w:cs="Arial"/>
          <w:bCs/>
          <w:sz w:val="26"/>
          <w:szCs w:val="26"/>
        </w:rPr>
        <w:t xml:space="preserve">argumente de </w:t>
      </w:r>
      <w:r w:rsidRPr="00EC4A1C">
        <w:rPr>
          <w:rFonts w:ascii="Arial" w:eastAsia="Calibri" w:hAnsi="Arial" w:cs="Arial"/>
          <w:bCs/>
          <w:sz w:val="26"/>
          <w:szCs w:val="26"/>
        </w:rPr>
        <w:t xml:space="preserve">qué manera la </w:t>
      </w:r>
      <w:r w:rsidRPr="00462A62">
        <w:rPr>
          <w:rFonts w:ascii="Arial" w:eastAsia="Calibri" w:hAnsi="Arial" w:cs="Arial"/>
          <w:bCs/>
          <w:i/>
          <w:sz w:val="26"/>
          <w:szCs w:val="26"/>
        </w:rPr>
        <w:t>A quo</w:t>
      </w:r>
      <w:r>
        <w:rPr>
          <w:rFonts w:ascii="Arial" w:eastAsia="Calibri" w:hAnsi="Arial" w:cs="Arial"/>
          <w:bCs/>
          <w:sz w:val="26"/>
          <w:szCs w:val="26"/>
        </w:rPr>
        <w:t xml:space="preserve"> le produ</w:t>
      </w:r>
      <w:r w:rsidR="0000555D">
        <w:rPr>
          <w:rFonts w:ascii="Arial" w:eastAsia="Calibri" w:hAnsi="Arial" w:cs="Arial"/>
          <w:bCs/>
          <w:sz w:val="26"/>
          <w:szCs w:val="26"/>
        </w:rPr>
        <w:t>jo</w:t>
      </w:r>
      <w:r>
        <w:rPr>
          <w:rFonts w:ascii="Arial" w:eastAsia="Calibri" w:hAnsi="Arial" w:cs="Arial"/>
          <w:bCs/>
          <w:sz w:val="26"/>
          <w:szCs w:val="26"/>
        </w:rPr>
        <w:t xml:space="preserve"> </w:t>
      </w:r>
      <w:r w:rsidRPr="00EC4A1C">
        <w:rPr>
          <w:rFonts w:ascii="Arial" w:eastAsia="Calibri" w:hAnsi="Arial" w:cs="Arial"/>
          <w:bCs/>
          <w:sz w:val="26"/>
          <w:szCs w:val="26"/>
        </w:rPr>
        <w:t>el perjuicio</w:t>
      </w:r>
      <w:r>
        <w:rPr>
          <w:rFonts w:ascii="Arial" w:eastAsia="Calibri" w:hAnsi="Arial" w:cs="Arial"/>
          <w:bCs/>
          <w:sz w:val="26"/>
          <w:szCs w:val="26"/>
        </w:rPr>
        <w:t xml:space="preserve"> alegado, ya que así </w:t>
      </w:r>
      <w:r w:rsidRPr="00EC4A1C">
        <w:rPr>
          <w:rFonts w:ascii="Arial" w:eastAsia="Calibri" w:hAnsi="Arial" w:cs="Arial"/>
          <w:bCs/>
          <w:sz w:val="26"/>
          <w:szCs w:val="26"/>
        </w:rPr>
        <w:t>lo exige la técnica p</w:t>
      </w:r>
      <w:r>
        <w:rPr>
          <w:rFonts w:ascii="Arial" w:eastAsia="Calibri" w:hAnsi="Arial" w:cs="Arial"/>
          <w:bCs/>
          <w:sz w:val="26"/>
          <w:szCs w:val="26"/>
        </w:rPr>
        <w:t xml:space="preserve">rocesal tratándose de recursos, sin que sea válido que el recurrente pretenda realizar </w:t>
      </w:r>
      <w:r w:rsidR="006F5F4B">
        <w:rPr>
          <w:rFonts w:ascii="Arial" w:eastAsia="Calibri" w:hAnsi="Arial" w:cs="Arial"/>
          <w:bCs/>
          <w:sz w:val="26"/>
          <w:szCs w:val="26"/>
        </w:rPr>
        <w:t xml:space="preserve">sus impugnaciones </w:t>
      </w:r>
      <w:r>
        <w:rPr>
          <w:rFonts w:ascii="Arial" w:eastAsia="Calibri" w:hAnsi="Arial" w:cs="Arial"/>
          <w:bCs/>
          <w:sz w:val="26"/>
          <w:szCs w:val="26"/>
        </w:rPr>
        <w:t xml:space="preserve">a través de </w:t>
      </w:r>
      <w:r w:rsidR="006F5F4B">
        <w:rPr>
          <w:rFonts w:ascii="Arial" w:eastAsia="Calibri" w:hAnsi="Arial" w:cs="Arial"/>
          <w:bCs/>
          <w:sz w:val="26"/>
          <w:szCs w:val="26"/>
        </w:rPr>
        <w:t xml:space="preserve">manifestaciones genéricas en las que afirme que la sentencia combatida le agravia, </w:t>
      </w:r>
      <w:r w:rsidRPr="00EC4A1C">
        <w:rPr>
          <w:rFonts w:ascii="Arial" w:eastAsia="Calibri" w:hAnsi="Arial" w:cs="Arial"/>
          <w:bCs/>
          <w:sz w:val="26"/>
          <w:szCs w:val="26"/>
        </w:rPr>
        <w:t>pues así</w:t>
      </w:r>
      <w:r>
        <w:rPr>
          <w:rFonts w:ascii="Arial" w:eastAsia="Calibri" w:hAnsi="Arial" w:cs="Arial"/>
          <w:bCs/>
          <w:sz w:val="26"/>
          <w:szCs w:val="26"/>
        </w:rPr>
        <w:t>, no explica de ninguna manera</w:t>
      </w:r>
      <w:r w:rsidRPr="00EC4A1C">
        <w:rPr>
          <w:rFonts w:ascii="Arial" w:eastAsia="Calibri" w:hAnsi="Arial" w:cs="Arial"/>
          <w:bCs/>
          <w:sz w:val="26"/>
          <w:szCs w:val="26"/>
        </w:rPr>
        <w:t xml:space="preserve"> el daño sufrido</w:t>
      </w:r>
      <w:r>
        <w:rPr>
          <w:rFonts w:ascii="Arial" w:eastAsia="Calibri" w:hAnsi="Arial" w:cs="Arial"/>
          <w:bCs/>
          <w:sz w:val="26"/>
          <w:szCs w:val="26"/>
        </w:rPr>
        <w:t>.</w:t>
      </w:r>
      <w:r w:rsidR="00A13E2B">
        <w:rPr>
          <w:rFonts w:ascii="Arial" w:eastAsia="Calibri" w:hAnsi="Arial" w:cs="Arial"/>
          <w:bCs/>
          <w:sz w:val="26"/>
          <w:szCs w:val="26"/>
        </w:rPr>
        <w:t xml:space="preserve"> </w:t>
      </w:r>
      <w:r w:rsidR="00A13E2B">
        <w:rPr>
          <w:rFonts w:ascii="Arial" w:hAnsi="Arial" w:cs="Arial"/>
          <w:color w:val="000000"/>
          <w:sz w:val="26"/>
          <w:szCs w:val="26"/>
          <w:lang w:val="es-ES"/>
        </w:rPr>
        <w:t xml:space="preserve">- - - - - - - - - - - - - - - - - - - - - - - - - - - - - - - - - - - </w:t>
      </w:r>
    </w:p>
    <w:p w14:paraId="15BD9C11" w14:textId="7601F66C" w:rsidR="0057470F" w:rsidRPr="0057470F" w:rsidRDefault="0057470F" w:rsidP="0057470F">
      <w:pPr>
        <w:spacing w:after="0" w:line="360" w:lineRule="auto"/>
        <w:ind w:firstLine="708"/>
        <w:jc w:val="both"/>
        <w:rPr>
          <w:rFonts w:ascii="Arial" w:eastAsia="Calibri" w:hAnsi="Arial" w:cs="Arial"/>
          <w:bCs/>
          <w:sz w:val="26"/>
          <w:szCs w:val="26"/>
          <w:lang w:val="es-ES" w:eastAsia="en-US"/>
        </w:rPr>
      </w:pPr>
      <w:r w:rsidRPr="0057470F">
        <w:rPr>
          <w:rFonts w:ascii="Arial" w:eastAsia="Calibri" w:hAnsi="Arial" w:cs="Arial"/>
          <w:bCs/>
          <w:sz w:val="26"/>
          <w:szCs w:val="26"/>
          <w:lang w:val="es-ES" w:eastAsia="en-US"/>
        </w:rPr>
        <w:t xml:space="preserve">En apoyo a lo anterior, se invoca la jurisprudencia IV.3o.J/12, con número de registro 218411, emitida por el Tercer Tribunal Colegiado del Cuarto Circuito en la Octava Época, visible en la Gaceta del Semanario Judicial de la Federación, número 57, de septiembre de 1992, de rubro y texto siguiente: </w:t>
      </w:r>
      <w:r w:rsidR="00A13E2B">
        <w:rPr>
          <w:rFonts w:ascii="Arial" w:hAnsi="Arial" w:cs="Arial"/>
          <w:color w:val="000000"/>
          <w:sz w:val="26"/>
          <w:szCs w:val="26"/>
          <w:lang w:val="es-ES"/>
        </w:rPr>
        <w:t xml:space="preserve">- - - - - - - - - - - - - - - - - - - - - - - - - - - - - - - - - - - - - - - - </w:t>
      </w:r>
    </w:p>
    <w:p w14:paraId="2618F638" w14:textId="77777777" w:rsidR="0057470F" w:rsidRPr="0072576E" w:rsidRDefault="0057470F" w:rsidP="0057470F">
      <w:pPr>
        <w:spacing w:after="120" w:line="360" w:lineRule="auto"/>
        <w:ind w:left="709" w:right="902"/>
        <w:jc w:val="both"/>
        <w:rPr>
          <w:rFonts w:ascii="Arial" w:eastAsia="Calibri" w:hAnsi="Arial" w:cs="Arial"/>
          <w:bCs/>
          <w:i/>
          <w:sz w:val="24"/>
          <w:szCs w:val="24"/>
          <w:lang w:val="es-ES" w:eastAsia="en-US"/>
        </w:rPr>
      </w:pPr>
      <w:r w:rsidRPr="0072576E">
        <w:rPr>
          <w:rFonts w:ascii="Arial" w:eastAsia="Calibri" w:hAnsi="Arial" w:cs="Arial"/>
          <w:b/>
          <w:bCs/>
          <w:i/>
          <w:sz w:val="24"/>
          <w:szCs w:val="24"/>
          <w:lang w:val="es-ES" w:eastAsia="en-US"/>
        </w:rPr>
        <w:t xml:space="preserve">AGRAVIOS. DEBEN DE IMPUGNAR LA ILEGALIDAD DEL FALLO RECURRIDO. </w:t>
      </w:r>
      <w:r w:rsidRPr="0072576E">
        <w:rPr>
          <w:rFonts w:ascii="Arial" w:eastAsia="Calibri" w:hAnsi="Arial" w:cs="Arial"/>
          <w:bCs/>
          <w:i/>
          <w:sz w:val="24"/>
          <w:szCs w:val="24"/>
          <w:lang w:val="es-ES" w:eastAsia="en-US"/>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057427EA" w14:textId="39CC1A9C" w:rsidR="0057470F" w:rsidRPr="0072576E" w:rsidRDefault="0057470F" w:rsidP="00AE4981">
      <w:pPr>
        <w:spacing w:after="120" w:line="360" w:lineRule="auto"/>
        <w:ind w:left="709" w:right="902"/>
        <w:jc w:val="both"/>
        <w:rPr>
          <w:rFonts w:ascii="Arial" w:eastAsia="Calibri" w:hAnsi="Arial" w:cs="Arial"/>
          <w:b/>
          <w:bCs/>
          <w:i/>
          <w:sz w:val="24"/>
          <w:szCs w:val="24"/>
          <w:lang w:val="es-ES" w:eastAsia="en-US"/>
        </w:rPr>
      </w:pPr>
      <w:r w:rsidRPr="0072576E">
        <w:rPr>
          <w:rFonts w:ascii="Arial" w:eastAsia="Calibri" w:hAnsi="Arial" w:cs="Arial"/>
          <w:b/>
          <w:bCs/>
          <w:i/>
          <w:sz w:val="24"/>
          <w:szCs w:val="24"/>
          <w:lang w:val="es-ES" w:eastAsia="en-US"/>
        </w:rPr>
        <w:lastRenderedPageBreak/>
        <w:t>TERCER TRIBUNAL COLEGIADO DEL CUARTO CIRCUITO.</w:t>
      </w:r>
      <w:r w:rsidR="0072576E">
        <w:rPr>
          <w:rFonts w:ascii="Arial" w:eastAsia="Calibri" w:hAnsi="Arial" w:cs="Arial"/>
          <w:b/>
          <w:bCs/>
          <w:i/>
          <w:sz w:val="24"/>
          <w:szCs w:val="24"/>
          <w:lang w:val="es-ES" w:eastAsia="en-US"/>
        </w:rPr>
        <w:t xml:space="preserve"> </w:t>
      </w:r>
    </w:p>
    <w:p w14:paraId="1BC3232E" w14:textId="4CA8CBE9" w:rsidR="00AE4981" w:rsidRDefault="00AE4981" w:rsidP="00AE4981">
      <w:pPr>
        <w:spacing w:after="120" w:line="360" w:lineRule="auto"/>
        <w:ind w:right="49" w:firstLine="567"/>
        <w:jc w:val="both"/>
        <w:rPr>
          <w:rFonts w:ascii="Arial" w:eastAsia="Calibri" w:hAnsi="Arial" w:cs="Arial"/>
          <w:iCs/>
          <w:sz w:val="26"/>
          <w:szCs w:val="26"/>
          <w:lang w:val="es-ES" w:eastAsia="en-US"/>
        </w:rPr>
      </w:pPr>
      <w:r>
        <w:rPr>
          <w:rFonts w:ascii="Arial" w:eastAsia="Calibri" w:hAnsi="Arial" w:cs="Arial"/>
          <w:iCs/>
          <w:sz w:val="26"/>
          <w:szCs w:val="26"/>
          <w:lang w:val="es-ES" w:eastAsia="en-US"/>
        </w:rPr>
        <w:t xml:space="preserve">Por otra parte, en el agravio primero también argumentó la autoridad recurrente que </w:t>
      </w:r>
      <w:r w:rsidR="00B85591">
        <w:rPr>
          <w:rFonts w:ascii="Arial" w:eastAsia="Calibri" w:hAnsi="Arial" w:cs="Arial"/>
          <w:iCs/>
          <w:sz w:val="26"/>
          <w:szCs w:val="26"/>
          <w:lang w:val="es-ES" w:eastAsia="en-US"/>
        </w:rPr>
        <w:t xml:space="preserve">la pretensión solicitada por el actor en su escrito de demanda es “declarar la nulidad lisa y llana de la resolución impugnada y se le restituya en el pleno goce de sus derechos indebidamente afectados, pagándose todas y cada una y demás prestaciones a las que tiene derecho como cuando se encontraba en activo”, acompañando a su escrito de demanda, copia certificada del acto impugnado y dos comprobantes de pago relativos a la primera y segunda quincena del mes de enero de dos mil veinte, y que la autoridad recurrida les da pleno valor probatorio al ser un instrumento público, del cual esta autoridad comparte dicha determinación y que conlleva a tener cierto que el actor cuando estaba activo cobraba cierta cantidad. </w:t>
      </w:r>
      <w:r w:rsidR="00690611">
        <w:rPr>
          <w:rFonts w:ascii="Arial" w:eastAsia="Calibri" w:hAnsi="Arial" w:cs="Arial"/>
          <w:iCs/>
          <w:sz w:val="26"/>
          <w:szCs w:val="26"/>
          <w:lang w:val="es-ES" w:eastAsia="en-US"/>
        </w:rPr>
        <w:t xml:space="preserve">- - - - - </w:t>
      </w:r>
    </w:p>
    <w:p w14:paraId="76305FF4" w14:textId="2AAE9481" w:rsidR="00B85591" w:rsidRDefault="00B85591" w:rsidP="00AE4981">
      <w:pPr>
        <w:spacing w:after="120" w:line="360" w:lineRule="auto"/>
        <w:ind w:right="49" w:firstLine="567"/>
        <w:jc w:val="both"/>
        <w:rPr>
          <w:rFonts w:ascii="Arial" w:eastAsia="Calibri" w:hAnsi="Arial" w:cs="Arial"/>
          <w:iCs/>
          <w:sz w:val="26"/>
          <w:szCs w:val="26"/>
          <w:lang w:val="es-ES" w:eastAsia="en-US"/>
        </w:rPr>
      </w:pPr>
      <w:r>
        <w:rPr>
          <w:rFonts w:ascii="Arial" w:eastAsia="Calibri" w:hAnsi="Arial" w:cs="Arial"/>
          <w:iCs/>
          <w:sz w:val="26"/>
          <w:szCs w:val="26"/>
          <w:lang w:val="es-ES" w:eastAsia="en-US"/>
        </w:rPr>
        <w:t xml:space="preserve">Sostiene el recurrente que </w:t>
      </w:r>
      <w:r w:rsidR="00CA6AC7">
        <w:rPr>
          <w:rFonts w:ascii="Arial" w:eastAsia="Calibri" w:hAnsi="Arial" w:cs="Arial"/>
          <w:iCs/>
          <w:sz w:val="26"/>
          <w:szCs w:val="26"/>
          <w:lang w:val="es-ES" w:eastAsia="en-US"/>
        </w:rPr>
        <w:t xml:space="preserve">del estudio que la Sala Superior realice a los conceptos de impugnación de la parte actora, se podrá corroborar que los mismos van encaminados a demostrar que el acto impugnado resulta ilegal e </w:t>
      </w:r>
      <w:proofErr w:type="spellStart"/>
      <w:r w:rsidR="00CA6AC7">
        <w:rPr>
          <w:rFonts w:ascii="Arial" w:eastAsia="Calibri" w:hAnsi="Arial" w:cs="Arial"/>
          <w:iCs/>
          <w:sz w:val="26"/>
          <w:szCs w:val="26"/>
          <w:lang w:val="es-ES" w:eastAsia="en-US"/>
        </w:rPr>
        <w:t>inconvencional</w:t>
      </w:r>
      <w:proofErr w:type="spellEnd"/>
      <w:r w:rsidR="00CA6AC7">
        <w:rPr>
          <w:rFonts w:ascii="Arial" w:eastAsia="Calibri" w:hAnsi="Arial" w:cs="Arial"/>
          <w:iCs/>
          <w:sz w:val="26"/>
          <w:szCs w:val="26"/>
          <w:lang w:val="es-ES" w:eastAsia="en-US"/>
        </w:rPr>
        <w:t xml:space="preserve"> al hacer un trato diferente entre el personal de base y de confianza, resultando discriminatorio en su perjuicio, toda vez que el C</w:t>
      </w:r>
      <w:r w:rsidR="00C04E6E">
        <w:rPr>
          <w:rFonts w:ascii="Arial" w:eastAsia="Calibri" w:hAnsi="Arial" w:cs="Arial"/>
          <w:iCs/>
          <w:sz w:val="26"/>
          <w:szCs w:val="26"/>
          <w:lang w:val="es-ES" w:eastAsia="en-US"/>
        </w:rPr>
        <w:t>onsejo Directivo de la Oficina de Pensiones del Estado de Oaxaca, al resolver su petición de jubilación no incluyó las prestaciones establecidas en el artículo 54 fracción I de la Ley de Pensiones para los Trabajadores del Gobierno del Estado de Oaxaca, y que no se citó el precepto legal que faculta a dicha autoridad a calcular y determinar su pensión, situación que resulta contraria, porque la autoridad sí estableció en el contenido del acto impugnado, el artículo 53 de la Ley de Pensiones para los Trabajadores del Gobierno del Estado de Oaxaca, que legitima a determinar la pensión del actor.</w:t>
      </w:r>
      <w:r w:rsidR="00514A30">
        <w:rPr>
          <w:rFonts w:ascii="Arial" w:eastAsia="Calibri" w:hAnsi="Arial" w:cs="Arial"/>
          <w:iCs/>
          <w:sz w:val="26"/>
          <w:szCs w:val="26"/>
          <w:lang w:val="es-ES" w:eastAsia="en-US"/>
        </w:rPr>
        <w:t xml:space="preserve">- - - - </w:t>
      </w:r>
    </w:p>
    <w:p w14:paraId="02ACB514" w14:textId="4BBA21ED" w:rsidR="00E530E7" w:rsidRDefault="00E530E7" w:rsidP="00AE4981">
      <w:pPr>
        <w:spacing w:after="120" w:line="360" w:lineRule="auto"/>
        <w:ind w:right="49" w:firstLine="567"/>
        <w:jc w:val="both"/>
        <w:rPr>
          <w:rFonts w:ascii="Arial" w:eastAsia="Calibri" w:hAnsi="Arial" w:cs="Arial"/>
          <w:iCs/>
          <w:sz w:val="26"/>
          <w:szCs w:val="26"/>
          <w:lang w:val="es-ES" w:eastAsia="en-US"/>
        </w:rPr>
      </w:pPr>
      <w:r>
        <w:rPr>
          <w:rFonts w:ascii="Arial" w:eastAsia="Calibri" w:hAnsi="Arial" w:cs="Arial"/>
          <w:iCs/>
          <w:sz w:val="26"/>
          <w:szCs w:val="26"/>
          <w:lang w:val="es-ES" w:eastAsia="en-US"/>
        </w:rPr>
        <w:t>A</w:t>
      </w:r>
      <w:r w:rsidR="00A30602">
        <w:rPr>
          <w:rFonts w:ascii="Arial" w:eastAsia="Calibri" w:hAnsi="Arial" w:cs="Arial"/>
          <w:iCs/>
          <w:sz w:val="26"/>
          <w:szCs w:val="26"/>
          <w:lang w:val="es-ES" w:eastAsia="en-US"/>
        </w:rPr>
        <w:t>rgumenta</w:t>
      </w:r>
      <w:r>
        <w:rPr>
          <w:rFonts w:ascii="Arial" w:eastAsia="Calibri" w:hAnsi="Arial" w:cs="Arial"/>
          <w:iCs/>
          <w:sz w:val="26"/>
          <w:szCs w:val="26"/>
          <w:lang w:val="es-ES" w:eastAsia="en-US"/>
        </w:rPr>
        <w:t xml:space="preserve"> la autoridad inconforme que, como se ha delimitado la pretensión del actor es en términos simples que se le pague su pensión con su sueldo y prestaciones qu</w:t>
      </w:r>
      <w:r w:rsidR="00F4216B">
        <w:rPr>
          <w:rFonts w:ascii="Arial" w:eastAsia="Calibri" w:hAnsi="Arial" w:cs="Arial"/>
          <w:iCs/>
          <w:sz w:val="26"/>
          <w:szCs w:val="26"/>
          <w:lang w:val="es-ES" w:eastAsia="en-US"/>
        </w:rPr>
        <w:t>e recibía estando en activo,</w:t>
      </w:r>
      <w:r>
        <w:rPr>
          <w:rFonts w:ascii="Arial" w:eastAsia="Calibri" w:hAnsi="Arial" w:cs="Arial"/>
          <w:iCs/>
          <w:sz w:val="26"/>
          <w:szCs w:val="26"/>
          <w:lang w:val="es-ES" w:eastAsia="en-US"/>
        </w:rPr>
        <w:t xml:space="preserve"> sin embargo, en ninguna parte de la demanda, funda ya sea en alguna norma legal, jurisprudencia o tratado internacional en donde el Estado Mexicano sea parte, </w:t>
      </w:r>
      <w:r w:rsidR="00A30602">
        <w:rPr>
          <w:rFonts w:ascii="Arial" w:eastAsia="Calibri" w:hAnsi="Arial" w:cs="Arial"/>
          <w:iCs/>
          <w:sz w:val="26"/>
          <w:szCs w:val="26"/>
          <w:lang w:val="es-ES" w:eastAsia="en-US"/>
        </w:rPr>
        <w:t xml:space="preserve">que dicha pretensión sea legalmente válida; asimismo, no realiza argumentos jurídicos por medio de los cuales se pueda demostrar que realmente dichas prestaciones deban integrarse a su pensión, </w:t>
      </w:r>
      <w:r w:rsidR="0076449A" w:rsidRPr="00DA6C03">
        <w:rPr>
          <w:rFonts w:ascii="Arial" w:eastAsia="Calibri" w:hAnsi="Arial" w:cs="Arial"/>
          <w:iCs/>
          <w:sz w:val="26"/>
          <w:szCs w:val="26"/>
          <w:lang w:val="es-ES" w:eastAsia="en-US"/>
        </w:rPr>
        <w:t>y que</w:t>
      </w:r>
      <w:r w:rsidR="00A30602">
        <w:rPr>
          <w:rFonts w:ascii="Arial" w:eastAsia="Calibri" w:hAnsi="Arial" w:cs="Arial"/>
          <w:iCs/>
          <w:sz w:val="26"/>
          <w:szCs w:val="26"/>
          <w:lang w:val="es-ES" w:eastAsia="en-US"/>
        </w:rPr>
        <w:t xml:space="preserve"> sus conceptos de impugnación van encaminados a demostrar que el acto impugnado resulta ilegal e </w:t>
      </w:r>
      <w:proofErr w:type="spellStart"/>
      <w:r w:rsidR="00A30602">
        <w:rPr>
          <w:rFonts w:ascii="Arial" w:eastAsia="Calibri" w:hAnsi="Arial" w:cs="Arial"/>
          <w:iCs/>
          <w:sz w:val="26"/>
          <w:szCs w:val="26"/>
          <w:lang w:val="es-ES" w:eastAsia="en-US"/>
        </w:rPr>
        <w:t>inconvencional</w:t>
      </w:r>
      <w:proofErr w:type="spellEnd"/>
      <w:r w:rsidR="00A30602">
        <w:rPr>
          <w:rFonts w:ascii="Arial" w:eastAsia="Calibri" w:hAnsi="Arial" w:cs="Arial"/>
          <w:iCs/>
          <w:sz w:val="26"/>
          <w:szCs w:val="26"/>
          <w:lang w:val="es-ES" w:eastAsia="en-US"/>
        </w:rPr>
        <w:t xml:space="preserve"> al </w:t>
      </w:r>
      <w:r w:rsidR="00A30602">
        <w:rPr>
          <w:rFonts w:ascii="Arial" w:eastAsia="Calibri" w:hAnsi="Arial" w:cs="Arial"/>
          <w:iCs/>
          <w:sz w:val="26"/>
          <w:szCs w:val="26"/>
          <w:lang w:val="es-ES" w:eastAsia="en-US"/>
        </w:rPr>
        <w:lastRenderedPageBreak/>
        <w:t>hacer un trato diferente entre el personal de base y de confianza, resultando discriminatorio en su</w:t>
      </w:r>
      <w:r w:rsidR="0076449A">
        <w:rPr>
          <w:rFonts w:ascii="Arial" w:eastAsia="Calibri" w:hAnsi="Arial" w:cs="Arial"/>
          <w:iCs/>
          <w:sz w:val="26"/>
          <w:szCs w:val="26"/>
          <w:lang w:val="es-ES" w:eastAsia="en-US"/>
        </w:rPr>
        <w:t xml:space="preserve"> </w:t>
      </w:r>
      <w:r w:rsidR="00A30602">
        <w:rPr>
          <w:rFonts w:ascii="Arial" w:eastAsia="Calibri" w:hAnsi="Arial" w:cs="Arial"/>
          <w:iCs/>
          <w:sz w:val="26"/>
          <w:szCs w:val="26"/>
          <w:lang w:val="es-ES" w:eastAsia="en-US"/>
        </w:rPr>
        <w:t xml:space="preserve"> perjuicio, toda vez que el Consejo Directivo, al resolver respecto de su petición de jubilación, no incluyó las prestaciones establecidas en el artículo 54 fracción I de la Ley de Pensiones para los Trabajadores del Gobierno del Estado de Oaxaca.</w:t>
      </w:r>
      <w:r w:rsidR="00F40B88">
        <w:rPr>
          <w:rFonts w:ascii="Arial" w:eastAsia="Calibri" w:hAnsi="Arial" w:cs="Arial"/>
          <w:iCs/>
          <w:sz w:val="26"/>
          <w:szCs w:val="26"/>
          <w:lang w:val="es-ES" w:eastAsia="en-US"/>
        </w:rPr>
        <w:t xml:space="preserve">- </w:t>
      </w:r>
    </w:p>
    <w:p w14:paraId="5D7470AA" w14:textId="59317D4B" w:rsidR="00A30602" w:rsidRDefault="00A30602" w:rsidP="00A30602">
      <w:pPr>
        <w:spacing w:after="120" w:line="360" w:lineRule="auto"/>
        <w:ind w:right="49" w:firstLine="567"/>
        <w:jc w:val="both"/>
        <w:rPr>
          <w:rFonts w:ascii="Arial" w:eastAsia="Calibri" w:hAnsi="Arial" w:cs="Arial"/>
          <w:iCs/>
          <w:sz w:val="26"/>
          <w:szCs w:val="26"/>
          <w:lang w:val="es-ES" w:eastAsia="en-US"/>
        </w:rPr>
      </w:pPr>
      <w:r>
        <w:rPr>
          <w:rFonts w:ascii="Arial" w:eastAsia="Calibri" w:hAnsi="Arial" w:cs="Arial"/>
          <w:iCs/>
          <w:sz w:val="26"/>
          <w:szCs w:val="26"/>
          <w:lang w:val="es-ES" w:eastAsia="en-US"/>
        </w:rPr>
        <w:t xml:space="preserve">Afirma la recurrente que la autoridad demandada sí resolvió respecto de la petición de pensión conforme a derecho, ya que del estudio que se realice al acto impugnado y en particular al párrafo primero del artículo 53 de la Ley de Pensiones para los Trabajadores del Gobierno del Estado de Oaxaca, la determinación de la pensión contenida en el acto impugnado se resolvió en los términos establecidos en dicho artículo, y que de ese artículo se podrá establecer que contrario a lo resuelto por la autoridad recurrida, el Consejo Directivo otorgó pensión al actor al cien por ciento de su sueldo base, </w:t>
      </w:r>
      <w:r w:rsidR="00291269">
        <w:rPr>
          <w:rFonts w:ascii="Arial" w:eastAsia="Calibri" w:hAnsi="Arial" w:cs="Arial"/>
          <w:iCs/>
          <w:sz w:val="26"/>
          <w:szCs w:val="26"/>
          <w:lang w:val="es-ES" w:eastAsia="en-US"/>
        </w:rPr>
        <w:t>tal y como lo señala la ley, resultando también que dicho órgano colegiado, no realizó una interpretación conforme a favor del actor respecto de aplicar de manera amplia lo establecido en la fracción primera del artículo 54 de la multicitada ley, al considerar con base en la ley, que sólo corresponde a los trabajadores de base incluir a sueldo las demás prestaciones como lo son la previsión social múltiple, despensa, vida cara, quinquenios, aguinaldo, estímulo del día del jubilado y canasta navideña, pero no resulta legal que se le integre a la pensión del actor además de su sueldo, la</w:t>
      </w:r>
      <w:r w:rsidR="00291269" w:rsidRPr="00086CD3">
        <w:rPr>
          <w:rFonts w:ascii="Arial" w:eastAsia="Calibri" w:hAnsi="Arial" w:cs="Arial"/>
          <w:iCs/>
          <w:sz w:val="26"/>
          <w:szCs w:val="26"/>
          <w:lang w:val="es-ES" w:eastAsia="en-US"/>
        </w:rPr>
        <w:t>s prestaciones que activo percibió (C.D., P.S.M., y ESTÍMULO</w:t>
      </w:r>
      <w:r w:rsidR="008711EC" w:rsidRPr="00086CD3">
        <w:rPr>
          <w:rFonts w:ascii="Arial" w:eastAsia="Calibri" w:hAnsi="Arial" w:cs="Arial"/>
          <w:iCs/>
          <w:sz w:val="26"/>
          <w:szCs w:val="26"/>
          <w:lang w:val="es-ES" w:eastAsia="en-US"/>
        </w:rPr>
        <w:t xml:space="preserve"> </w:t>
      </w:r>
      <w:r w:rsidR="008711EC" w:rsidRPr="00086CD3">
        <w:rPr>
          <w:rFonts w:ascii="Arial" w:hAnsi="Arial" w:cs="Arial"/>
          <w:color w:val="000000"/>
          <w:sz w:val="26"/>
          <w:szCs w:val="26"/>
        </w:rPr>
        <w:t>y QNIO 6</w:t>
      </w:r>
      <w:r w:rsidR="00291269">
        <w:rPr>
          <w:rFonts w:ascii="Arial" w:eastAsia="Calibri" w:hAnsi="Arial" w:cs="Arial"/>
          <w:iCs/>
          <w:sz w:val="26"/>
          <w:szCs w:val="26"/>
          <w:lang w:val="es-ES" w:eastAsia="en-US"/>
        </w:rPr>
        <w:t>).</w:t>
      </w:r>
      <w:r w:rsidR="00CD0A4B">
        <w:rPr>
          <w:rFonts w:ascii="Arial" w:eastAsia="Calibri" w:hAnsi="Arial" w:cs="Arial"/>
          <w:iCs/>
          <w:sz w:val="26"/>
          <w:szCs w:val="26"/>
          <w:lang w:val="es-ES" w:eastAsia="en-US"/>
        </w:rPr>
        <w:t xml:space="preserve"> </w:t>
      </w:r>
      <w:r w:rsidR="00CD0A4B">
        <w:rPr>
          <w:rFonts w:ascii="Arial" w:hAnsi="Arial" w:cs="Arial"/>
          <w:color w:val="000000"/>
          <w:sz w:val="26"/>
          <w:szCs w:val="26"/>
          <w:lang w:val="es-ES"/>
        </w:rPr>
        <w:t xml:space="preserve">- - - - - - - - - - - - - - - - - - - - - - - - - - - - - - - - - - - - - - - - - - </w:t>
      </w:r>
    </w:p>
    <w:p w14:paraId="46354724" w14:textId="57805430" w:rsidR="00894791" w:rsidRPr="00894791" w:rsidRDefault="00894791" w:rsidP="00894791">
      <w:pPr>
        <w:spacing w:after="0" w:line="360" w:lineRule="auto"/>
        <w:ind w:right="191" w:firstLine="567"/>
        <w:jc w:val="both"/>
        <w:rPr>
          <w:rFonts w:ascii="Arial" w:eastAsiaTheme="minorHAnsi" w:hAnsi="Arial" w:cs="Arial"/>
          <w:bCs/>
          <w:sz w:val="26"/>
          <w:szCs w:val="26"/>
          <w:lang w:eastAsia="en-US"/>
        </w:rPr>
      </w:pPr>
      <w:r w:rsidRPr="00894791">
        <w:rPr>
          <w:rFonts w:ascii="Arial" w:eastAsiaTheme="minorHAnsi" w:hAnsi="Arial" w:cs="Arial"/>
          <w:bCs/>
          <w:iCs/>
          <w:sz w:val="26"/>
          <w:szCs w:val="26"/>
          <w:lang w:val="es-ES" w:eastAsia="en-US"/>
        </w:rPr>
        <w:t>Est</w:t>
      </w:r>
      <w:r w:rsidR="00E901B7">
        <w:rPr>
          <w:rFonts w:ascii="Arial" w:eastAsiaTheme="minorHAnsi" w:hAnsi="Arial" w:cs="Arial"/>
          <w:bCs/>
          <w:iCs/>
          <w:sz w:val="26"/>
          <w:szCs w:val="26"/>
          <w:lang w:val="es-ES" w:eastAsia="en-US"/>
        </w:rPr>
        <w:t>a Sala Superior estima que los anteriores</w:t>
      </w:r>
      <w:r w:rsidRPr="00894791">
        <w:rPr>
          <w:rFonts w:ascii="Arial" w:eastAsiaTheme="minorHAnsi" w:hAnsi="Arial" w:cs="Arial"/>
          <w:bCs/>
          <w:iCs/>
          <w:sz w:val="26"/>
          <w:szCs w:val="26"/>
          <w:lang w:val="es-ES" w:eastAsia="en-US"/>
        </w:rPr>
        <w:t xml:space="preserve"> argumentos </w:t>
      </w:r>
      <w:r w:rsidR="00E901B7">
        <w:rPr>
          <w:rFonts w:ascii="Arial" w:eastAsiaTheme="minorHAnsi" w:hAnsi="Arial" w:cs="Arial"/>
          <w:bCs/>
          <w:iCs/>
          <w:sz w:val="26"/>
          <w:szCs w:val="26"/>
          <w:lang w:val="es-ES" w:eastAsia="en-US"/>
        </w:rPr>
        <w:t xml:space="preserve">devienen </w:t>
      </w:r>
      <w:r w:rsidRPr="00894791">
        <w:rPr>
          <w:rFonts w:ascii="Arial" w:eastAsiaTheme="minorHAnsi" w:hAnsi="Arial" w:cs="Arial"/>
          <w:b/>
          <w:iCs/>
          <w:sz w:val="26"/>
          <w:szCs w:val="26"/>
          <w:lang w:val="es-ES" w:eastAsia="en-US"/>
        </w:rPr>
        <w:t>inoperantes,</w:t>
      </w:r>
      <w:r w:rsidRPr="00894791">
        <w:rPr>
          <w:rFonts w:ascii="Arial" w:eastAsiaTheme="minorHAnsi" w:hAnsi="Arial" w:cs="Arial"/>
          <w:bCs/>
          <w:iCs/>
          <w:sz w:val="26"/>
          <w:szCs w:val="26"/>
          <w:lang w:val="es-ES" w:eastAsia="en-US"/>
        </w:rPr>
        <w:t xml:space="preserve"> ya que </w:t>
      </w:r>
      <w:r w:rsidR="001F2E5E">
        <w:rPr>
          <w:rFonts w:ascii="Arial" w:eastAsiaTheme="minorHAnsi" w:hAnsi="Arial" w:cs="Arial"/>
          <w:bCs/>
          <w:iCs/>
          <w:sz w:val="26"/>
          <w:szCs w:val="26"/>
          <w:lang w:val="es-ES" w:eastAsia="en-US"/>
        </w:rPr>
        <w:t xml:space="preserve">en ellos, el recurrente se refiere a los conceptos de impugnación del escrito de demanda del actor y a los diversos conceptos que integran la pensión por jubilación de </w:t>
      </w:r>
      <w:r w:rsidR="004C6412">
        <w:rPr>
          <w:rFonts w:ascii="Arial" w:eastAsia="Times New Roman" w:hAnsi="Arial" w:cs="Arial"/>
          <w:b/>
          <w:iCs/>
          <w:color w:val="000000"/>
        </w:rPr>
        <w:t>***********</w:t>
      </w:r>
      <w:r w:rsidR="001F2E5E">
        <w:rPr>
          <w:rFonts w:ascii="Arial" w:eastAsiaTheme="minorHAnsi" w:hAnsi="Arial" w:cs="Arial"/>
          <w:bCs/>
          <w:iCs/>
          <w:sz w:val="26"/>
          <w:szCs w:val="26"/>
          <w:lang w:val="es-ES" w:eastAsia="en-US"/>
        </w:rPr>
        <w:t xml:space="preserve">, conforme al artículo 53 de la </w:t>
      </w:r>
      <w:r w:rsidR="001F2E5E">
        <w:rPr>
          <w:rFonts w:ascii="Arial" w:eastAsia="Calibri" w:hAnsi="Arial" w:cs="Arial"/>
          <w:iCs/>
          <w:sz w:val="26"/>
          <w:szCs w:val="26"/>
          <w:lang w:val="es-ES" w:eastAsia="en-US"/>
        </w:rPr>
        <w:t xml:space="preserve">Ley de Pensiones para los Trabajadores del Gobierno del Estado de Oaxaca, </w:t>
      </w:r>
      <w:r w:rsidR="00033FF4">
        <w:rPr>
          <w:rFonts w:ascii="Arial" w:eastAsia="Calibri" w:hAnsi="Arial" w:cs="Arial"/>
          <w:iCs/>
          <w:sz w:val="26"/>
          <w:szCs w:val="26"/>
          <w:lang w:val="es-ES" w:eastAsia="en-US"/>
        </w:rPr>
        <w:t xml:space="preserve">sin embargo, </w:t>
      </w:r>
      <w:r w:rsidRPr="00894791">
        <w:rPr>
          <w:rFonts w:ascii="Arial" w:eastAsiaTheme="minorHAnsi" w:hAnsi="Arial" w:cs="Arial"/>
          <w:bCs/>
          <w:sz w:val="26"/>
          <w:szCs w:val="26"/>
          <w:lang w:eastAsia="en-US"/>
        </w:rPr>
        <w:t>la oportunidad procesal que la autoridad recurrente tuvo para combatir ese argumento, era al momento de formular su oficio de contestación de demanda, lo cual no hizo, como se desprende del contenido de la contestación de demanda de fecha</w:t>
      </w:r>
      <w:r w:rsidR="00FE0F47">
        <w:rPr>
          <w:rFonts w:ascii="Arial" w:eastAsiaTheme="minorHAnsi" w:hAnsi="Arial" w:cs="Arial"/>
          <w:bCs/>
          <w:sz w:val="26"/>
          <w:szCs w:val="26"/>
          <w:lang w:eastAsia="en-US"/>
        </w:rPr>
        <w:t xml:space="preserve"> </w:t>
      </w:r>
      <w:r w:rsidR="00FE0F47" w:rsidRPr="00DC3AD3">
        <w:rPr>
          <w:rFonts w:ascii="Arial" w:eastAsiaTheme="minorHAnsi" w:hAnsi="Arial" w:cs="Arial"/>
          <w:bCs/>
          <w:sz w:val="26"/>
          <w:szCs w:val="26"/>
          <w:lang w:eastAsia="en-US"/>
        </w:rPr>
        <w:t xml:space="preserve">diecisiete de marzo de dos mil </w:t>
      </w:r>
      <w:r w:rsidR="00FE0F47" w:rsidRPr="00DC3AD3">
        <w:rPr>
          <w:rFonts w:ascii="Arial" w:eastAsiaTheme="minorHAnsi" w:hAnsi="Arial" w:cs="Arial"/>
          <w:bCs/>
          <w:sz w:val="26"/>
          <w:szCs w:val="26"/>
          <w:lang w:eastAsia="en-US"/>
        </w:rPr>
        <w:lastRenderedPageBreak/>
        <w:t>veinte</w:t>
      </w:r>
      <w:r w:rsidRPr="00DC3AD3">
        <w:rPr>
          <w:rFonts w:ascii="Arial" w:eastAsiaTheme="minorHAnsi" w:hAnsi="Arial" w:cs="Arial"/>
          <w:bCs/>
          <w:sz w:val="26"/>
          <w:szCs w:val="26"/>
          <w:vertAlign w:val="superscript"/>
          <w:lang w:eastAsia="en-US"/>
        </w:rPr>
        <w:footnoteReference w:id="1"/>
      </w:r>
      <w:r w:rsidR="00306BA9">
        <w:rPr>
          <w:rFonts w:ascii="Arial" w:eastAsiaTheme="minorHAnsi" w:hAnsi="Arial" w:cs="Arial"/>
          <w:bCs/>
          <w:sz w:val="26"/>
          <w:szCs w:val="26"/>
          <w:lang w:eastAsia="en-US"/>
        </w:rPr>
        <w:t>,</w:t>
      </w:r>
      <w:r w:rsidRPr="00894791">
        <w:rPr>
          <w:rFonts w:ascii="Arial" w:eastAsiaTheme="minorHAnsi" w:hAnsi="Arial" w:cs="Arial"/>
          <w:bCs/>
          <w:sz w:val="26"/>
          <w:szCs w:val="26"/>
          <w:lang w:eastAsia="en-US"/>
        </w:rPr>
        <w:t xml:space="preserve"> por lo tanto, al no haber sido deducido ese argumento oportunamente, no puede ser analizado en esta Instancia. </w:t>
      </w:r>
      <w:r w:rsidR="00DD5195">
        <w:rPr>
          <w:rFonts w:ascii="Arial" w:eastAsiaTheme="minorHAnsi" w:hAnsi="Arial" w:cs="Arial"/>
          <w:bCs/>
          <w:sz w:val="26"/>
          <w:szCs w:val="26"/>
          <w:lang w:eastAsia="en-US"/>
        </w:rPr>
        <w:t xml:space="preserve">- - - - - - - - </w:t>
      </w:r>
    </w:p>
    <w:p w14:paraId="04F7031A" w14:textId="575AFF14" w:rsidR="00894791" w:rsidRPr="00894791" w:rsidRDefault="00894791" w:rsidP="00894791">
      <w:pPr>
        <w:spacing w:after="120" w:line="360" w:lineRule="auto"/>
        <w:ind w:right="49" w:firstLine="567"/>
        <w:jc w:val="both"/>
        <w:rPr>
          <w:rFonts w:ascii="Arial" w:eastAsiaTheme="minorHAnsi" w:hAnsi="Arial" w:cs="Arial"/>
          <w:sz w:val="26"/>
          <w:szCs w:val="26"/>
          <w:lang w:val="es-ES" w:eastAsia="en-US"/>
        </w:rPr>
      </w:pPr>
      <w:r w:rsidRPr="00894791">
        <w:rPr>
          <w:rFonts w:ascii="Arial" w:eastAsiaTheme="minorHAns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D91699">
        <w:rPr>
          <w:rFonts w:ascii="Arial" w:hAnsi="Arial" w:cs="Arial"/>
          <w:color w:val="000000"/>
          <w:sz w:val="26"/>
          <w:szCs w:val="26"/>
          <w:lang w:val="es-ES"/>
        </w:rPr>
        <w:t xml:space="preserve">- - - - - - - - - - - - - - - - - - - - - - - - - - - - - - - - - - - - - - - - - - </w:t>
      </w:r>
    </w:p>
    <w:p w14:paraId="133EB9D1" w14:textId="6DB637A9" w:rsidR="00894791" w:rsidRPr="008711EC" w:rsidRDefault="00894791" w:rsidP="00894791">
      <w:pPr>
        <w:tabs>
          <w:tab w:val="left" w:pos="8364"/>
        </w:tabs>
        <w:autoSpaceDE w:val="0"/>
        <w:autoSpaceDN w:val="0"/>
        <w:adjustRightInd w:val="0"/>
        <w:spacing w:line="360" w:lineRule="auto"/>
        <w:ind w:left="567" w:right="758"/>
        <w:jc w:val="both"/>
        <w:rPr>
          <w:rFonts w:ascii="Arial" w:eastAsiaTheme="minorHAnsi" w:hAnsi="Arial" w:cs="Arial"/>
          <w:i/>
          <w:sz w:val="24"/>
          <w:szCs w:val="24"/>
          <w:lang w:val="es-ES" w:eastAsia="en-US"/>
        </w:rPr>
      </w:pPr>
      <w:r w:rsidRPr="008711EC">
        <w:rPr>
          <w:rFonts w:ascii="Arial" w:eastAsiaTheme="minorHAnsi" w:hAnsi="Arial" w:cs="Arial"/>
          <w:b/>
          <w:i/>
          <w:sz w:val="24"/>
          <w:szCs w:val="24"/>
          <w:lang w:val="es-ES" w:eastAsia="en-US"/>
        </w:rPr>
        <w:t xml:space="preserve">AGRAVIOS INOPERANTES EN LA REVISIÓN. SON AQUELLOS QUE REITERAN LOS CONCEPTOS DE VIOLACIÓN, ABUNDAN SOBRE ELLOS O LOS COMPLEMENTAN, SIN COMBATIR LAS CONSIDERACIONES DE LA SENTENCIA RECURRIDA. </w:t>
      </w:r>
      <w:r w:rsidRPr="008711EC">
        <w:rPr>
          <w:rFonts w:ascii="Arial" w:eastAsiaTheme="minorHAnsi" w:hAnsi="Arial" w:cs="Arial"/>
          <w:i/>
          <w:sz w:val="24"/>
          <w:szCs w:val="24"/>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sidR="008711EC">
        <w:rPr>
          <w:rFonts w:ascii="Arial" w:eastAsiaTheme="minorHAnsi" w:hAnsi="Arial" w:cs="Arial"/>
          <w:i/>
          <w:sz w:val="24"/>
          <w:szCs w:val="24"/>
          <w:lang w:val="es-ES" w:eastAsia="en-US"/>
        </w:rPr>
        <w:t xml:space="preserve"> - - - - - - - </w:t>
      </w:r>
    </w:p>
    <w:p w14:paraId="32273C63" w14:textId="48FA5CC8" w:rsidR="00385E53" w:rsidRPr="00385E53" w:rsidRDefault="00385E53" w:rsidP="00385E53">
      <w:pPr>
        <w:spacing w:after="0" w:line="360" w:lineRule="auto"/>
        <w:ind w:firstLine="708"/>
        <w:jc w:val="both"/>
        <w:rPr>
          <w:rFonts w:ascii="Arial" w:eastAsiaTheme="minorHAnsi" w:hAnsi="Arial" w:cs="Arial"/>
          <w:bCs/>
          <w:iCs/>
          <w:sz w:val="26"/>
          <w:szCs w:val="26"/>
          <w:lang w:eastAsia="en-US"/>
        </w:rPr>
      </w:pPr>
      <w:r>
        <w:rPr>
          <w:rFonts w:ascii="Arial" w:eastAsia="Calibri" w:hAnsi="Arial" w:cs="Arial"/>
          <w:iCs/>
          <w:sz w:val="26"/>
          <w:szCs w:val="26"/>
          <w:lang w:val="es-ES" w:eastAsia="en-US"/>
        </w:rPr>
        <w:t xml:space="preserve">En el agravio </w:t>
      </w:r>
      <w:r w:rsidRPr="00737679">
        <w:rPr>
          <w:rFonts w:ascii="Arial" w:eastAsia="Calibri" w:hAnsi="Arial" w:cs="Arial"/>
          <w:b/>
          <w:bCs/>
          <w:iCs/>
          <w:sz w:val="26"/>
          <w:szCs w:val="26"/>
          <w:lang w:val="es-ES" w:eastAsia="en-US"/>
        </w:rPr>
        <w:t>segundo</w:t>
      </w:r>
      <w:r>
        <w:rPr>
          <w:rFonts w:ascii="Arial" w:eastAsia="Calibri" w:hAnsi="Arial" w:cs="Arial"/>
          <w:iCs/>
          <w:sz w:val="26"/>
          <w:szCs w:val="26"/>
          <w:lang w:val="es-ES" w:eastAsia="en-US"/>
        </w:rPr>
        <w:t xml:space="preserve">, la autoridad recurrente argumenta que </w:t>
      </w:r>
      <w:r w:rsidRPr="00385E53">
        <w:rPr>
          <w:rFonts w:ascii="Arial" w:eastAsiaTheme="minorHAnsi" w:hAnsi="Arial" w:cs="Arial"/>
          <w:bCs/>
          <w:iCs/>
          <w:sz w:val="26"/>
          <w:szCs w:val="26"/>
          <w:lang w:eastAsia="en-US"/>
        </w:rPr>
        <w:t xml:space="preserve">la sentencia recurrida no cumple con los requisitos esenciales de fundamentación y motivación, establecidos en el artículo 16 de la Carta Magna, al no haber expresado la </w:t>
      </w:r>
      <w:r w:rsidRPr="00385E53">
        <w:rPr>
          <w:rFonts w:ascii="Arial" w:eastAsiaTheme="minorHAnsi" w:hAnsi="Arial" w:cs="Arial"/>
          <w:bCs/>
          <w:i/>
          <w:iCs/>
          <w:sz w:val="26"/>
          <w:szCs w:val="26"/>
          <w:lang w:eastAsia="en-US"/>
        </w:rPr>
        <w:t>A quo</w:t>
      </w:r>
      <w:r w:rsidRPr="00385E53">
        <w:rPr>
          <w:rFonts w:ascii="Arial" w:eastAsiaTheme="minorHAnsi" w:hAnsi="Arial" w:cs="Arial"/>
          <w:bCs/>
          <w:iCs/>
          <w:sz w:val="26"/>
          <w:szCs w:val="26"/>
          <w:lang w:eastAsia="en-US"/>
        </w:rPr>
        <w:t xml:space="preserve"> los principios jurídicos en los que fundó su actuación y los motivos y razonamientos que la llevaron a resolver el caso concreto</w:t>
      </w:r>
      <w:r w:rsidR="002A7664">
        <w:rPr>
          <w:rFonts w:ascii="Arial" w:eastAsiaTheme="minorHAnsi" w:hAnsi="Arial" w:cs="Arial"/>
          <w:bCs/>
          <w:iCs/>
          <w:sz w:val="26"/>
          <w:szCs w:val="26"/>
          <w:lang w:eastAsia="en-US"/>
        </w:rPr>
        <w:t xml:space="preserve">, y cita la tesis de rubro: “FUNDAMENTACIÓN Y MOTIVACIÓN DE LAS RESOLUCIONES JUDICIALES, DEBEN ANALIZARSE A LA LUZ DE LOS ARTÍCULOS 14 Y 16 DE LA CONSTITUCIÓN </w:t>
      </w:r>
      <w:r w:rsidR="00036495">
        <w:rPr>
          <w:rFonts w:ascii="Arial" w:eastAsiaTheme="minorHAnsi" w:hAnsi="Arial" w:cs="Arial"/>
          <w:bCs/>
          <w:iCs/>
          <w:sz w:val="26"/>
          <w:szCs w:val="26"/>
          <w:lang w:eastAsia="en-US"/>
        </w:rPr>
        <w:t>POLÍTICA DE LOS ESTADOS UNIDOS MEXICANOS, RESPECTIVAMENTE”.</w:t>
      </w:r>
      <w:r w:rsidR="00FF090F">
        <w:rPr>
          <w:rFonts w:ascii="Arial" w:eastAsiaTheme="minorHAnsi" w:hAnsi="Arial" w:cs="Arial"/>
          <w:bCs/>
          <w:iCs/>
          <w:sz w:val="26"/>
          <w:szCs w:val="26"/>
          <w:lang w:eastAsia="en-US"/>
        </w:rPr>
        <w:t xml:space="preserve"> </w:t>
      </w:r>
      <w:r w:rsidR="00FF090F">
        <w:rPr>
          <w:rFonts w:ascii="Arial" w:hAnsi="Arial" w:cs="Arial"/>
          <w:color w:val="000000"/>
          <w:sz w:val="26"/>
          <w:szCs w:val="26"/>
          <w:lang w:val="es-ES"/>
        </w:rPr>
        <w:t xml:space="preserve">- - - - - - - - - - - - - - - - - - - - - - - - - - - - - - - - - - - </w:t>
      </w:r>
    </w:p>
    <w:p w14:paraId="26448206" w14:textId="0BFF85D7" w:rsidR="00385E53" w:rsidRPr="00385E53" w:rsidRDefault="00385E53" w:rsidP="00385E53">
      <w:pPr>
        <w:spacing w:after="0" w:line="360" w:lineRule="auto"/>
        <w:ind w:firstLine="708"/>
        <w:jc w:val="both"/>
        <w:rPr>
          <w:rFonts w:ascii="Arial" w:eastAsiaTheme="minorHAnsi" w:hAnsi="Arial" w:cs="Arial"/>
          <w:b/>
          <w:bCs/>
          <w:iCs/>
          <w:sz w:val="26"/>
          <w:szCs w:val="26"/>
          <w:lang w:eastAsia="en-US"/>
        </w:rPr>
      </w:pPr>
      <w:r w:rsidRPr="00385E53">
        <w:rPr>
          <w:rFonts w:ascii="Arial" w:eastAsiaTheme="minorHAnsi" w:hAnsi="Arial" w:cs="Arial"/>
          <w:bCs/>
          <w:iCs/>
          <w:sz w:val="26"/>
          <w:szCs w:val="26"/>
          <w:lang w:eastAsia="en-US"/>
        </w:rPr>
        <w:t xml:space="preserve">Esta Sala Superior estima que ese argumento es </w:t>
      </w:r>
      <w:r w:rsidR="00737679">
        <w:rPr>
          <w:rFonts w:ascii="Arial" w:eastAsiaTheme="minorHAnsi" w:hAnsi="Arial" w:cs="Arial"/>
          <w:b/>
          <w:bCs/>
          <w:iCs/>
          <w:sz w:val="26"/>
          <w:szCs w:val="26"/>
          <w:lang w:eastAsia="en-US"/>
        </w:rPr>
        <w:t>infundado.</w:t>
      </w:r>
      <w:r w:rsidR="00374A3B">
        <w:rPr>
          <w:rFonts w:ascii="Arial" w:eastAsiaTheme="minorHAnsi" w:hAnsi="Arial" w:cs="Arial"/>
          <w:b/>
          <w:bCs/>
          <w:iCs/>
          <w:sz w:val="26"/>
          <w:szCs w:val="26"/>
          <w:lang w:eastAsia="en-US"/>
        </w:rPr>
        <w:t xml:space="preserve"> </w:t>
      </w:r>
      <w:r w:rsidR="00374A3B" w:rsidRPr="00374A3B">
        <w:rPr>
          <w:rFonts w:ascii="Arial" w:eastAsiaTheme="minorHAnsi" w:hAnsi="Arial" w:cs="Arial"/>
          <w:iCs/>
          <w:sz w:val="26"/>
          <w:szCs w:val="26"/>
          <w:lang w:eastAsia="en-US"/>
        </w:rPr>
        <w:t xml:space="preserve">- - - </w:t>
      </w:r>
    </w:p>
    <w:p w14:paraId="2D3CF4C6" w14:textId="05432B3E" w:rsidR="00385E53" w:rsidRPr="00385E53" w:rsidRDefault="00385E53" w:rsidP="00385E53">
      <w:pPr>
        <w:spacing w:after="0" w:line="360" w:lineRule="auto"/>
        <w:ind w:firstLine="708"/>
        <w:jc w:val="both"/>
        <w:rPr>
          <w:rFonts w:ascii="Arial" w:eastAsiaTheme="minorHAnsi" w:hAnsi="Arial" w:cs="Arial"/>
          <w:bCs/>
          <w:iCs/>
          <w:sz w:val="26"/>
          <w:szCs w:val="26"/>
          <w:lang w:eastAsia="en-US"/>
        </w:rPr>
      </w:pPr>
      <w:r w:rsidRPr="00385E53">
        <w:rPr>
          <w:rFonts w:ascii="Arial" w:eastAsiaTheme="minorHAnsi" w:hAnsi="Arial" w:cs="Arial"/>
          <w:bCs/>
          <w:iCs/>
          <w:sz w:val="26"/>
          <w:szCs w:val="26"/>
          <w:lang w:eastAsia="en-US"/>
        </w:rPr>
        <w:t xml:space="preserve">Para empezar, es menester indicar que la Suprema Corte de Justicia de la Nación, ha establecido qué debe entenderse por </w:t>
      </w:r>
      <w:r w:rsidRPr="00385E53">
        <w:rPr>
          <w:rFonts w:ascii="Arial" w:eastAsiaTheme="minorHAnsi" w:hAnsi="Arial" w:cs="Arial"/>
          <w:bCs/>
          <w:iCs/>
          <w:sz w:val="26"/>
          <w:szCs w:val="26"/>
          <w:lang w:eastAsia="en-US"/>
        </w:rPr>
        <w:lastRenderedPageBreak/>
        <w:t xml:space="preserve">fundamentación y motivación: por lo primero, </w:t>
      </w:r>
      <w:r w:rsidRPr="00385E53">
        <w:rPr>
          <w:rFonts w:ascii="Arial" w:eastAsia="Times New Roman" w:hAnsi="Arial" w:cs="Arial"/>
          <w:color w:val="000000"/>
          <w:sz w:val="26"/>
          <w:szCs w:val="26"/>
          <w:lang w:val="es-ES" w:eastAsia="es-ES"/>
        </w:rPr>
        <w:t>que ha de expresarse con precisión el precepto legal aplicable al caso y, por lo segundo, que deben señalarse, con precisión, las circunstancias especiales, razones particulares o causas inmediatas que se hayan tenido en consideración para la emisión del acto</w:t>
      </w:r>
      <w:r w:rsidRPr="00385E53">
        <w:rPr>
          <w:rFonts w:ascii="Arial" w:eastAsia="Times New Roman" w:hAnsi="Arial" w:cs="Arial"/>
          <w:color w:val="000000"/>
          <w:sz w:val="26"/>
          <w:szCs w:val="26"/>
          <w:vertAlign w:val="superscript"/>
          <w:lang w:val="es-ES" w:eastAsia="es-ES"/>
        </w:rPr>
        <w:footnoteReference w:id="2"/>
      </w:r>
      <w:r w:rsidRPr="00385E53">
        <w:rPr>
          <w:rFonts w:ascii="Arial" w:eastAsia="Times New Roman" w:hAnsi="Arial" w:cs="Arial"/>
          <w:color w:val="000000"/>
          <w:sz w:val="26"/>
          <w:szCs w:val="26"/>
          <w:lang w:val="es-ES" w:eastAsia="es-ES"/>
        </w:rPr>
        <w:t>.</w:t>
      </w:r>
      <w:r w:rsidR="00C71B70">
        <w:rPr>
          <w:rFonts w:ascii="Arial" w:eastAsia="Times New Roman" w:hAnsi="Arial" w:cs="Arial"/>
          <w:color w:val="000000"/>
          <w:sz w:val="26"/>
          <w:szCs w:val="26"/>
          <w:lang w:val="es-ES" w:eastAsia="es-ES"/>
        </w:rPr>
        <w:t xml:space="preserve"> </w:t>
      </w:r>
      <w:r w:rsidR="00C71B70">
        <w:rPr>
          <w:rFonts w:ascii="Arial" w:hAnsi="Arial" w:cs="Arial"/>
          <w:color w:val="000000"/>
          <w:sz w:val="26"/>
          <w:szCs w:val="26"/>
          <w:lang w:val="es-ES"/>
        </w:rPr>
        <w:t xml:space="preserve">- - - - - - - - - - - - - - - - - - - - - - - - - - - - - - - - - - </w:t>
      </w:r>
    </w:p>
    <w:p w14:paraId="709E7C3B" w14:textId="01844AC8" w:rsidR="003D4FE2" w:rsidRPr="00CE209D" w:rsidRDefault="003D4FE2" w:rsidP="003D4FE2">
      <w:pPr>
        <w:widowControl w:val="0"/>
        <w:tabs>
          <w:tab w:val="left" w:pos="0"/>
        </w:tabs>
        <w:spacing w:before="240" w:after="0" w:line="360" w:lineRule="auto"/>
        <w:ind w:right="18"/>
        <w:jc w:val="both"/>
        <w:rPr>
          <w:rFonts w:ascii="Arial" w:hAnsi="Arial" w:cs="Arial"/>
          <w:b/>
          <w:bCs/>
          <w:color w:val="000000"/>
          <w:sz w:val="26"/>
          <w:szCs w:val="26"/>
        </w:rPr>
      </w:pPr>
      <w:r>
        <w:rPr>
          <w:rFonts w:ascii="Arial" w:eastAsiaTheme="minorHAnsi" w:hAnsi="Arial" w:cs="Arial"/>
          <w:bCs/>
          <w:iCs/>
          <w:sz w:val="26"/>
          <w:szCs w:val="26"/>
          <w:lang w:eastAsia="en-US"/>
        </w:rPr>
        <w:tab/>
      </w:r>
      <w:r w:rsidR="00385E53" w:rsidRPr="00385E53">
        <w:rPr>
          <w:rFonts w:ascii="Arial" w:eastAsiaTheme="minorHAnsi" w:hAnsi="Arial" w:cs="Arial"/>
          <w:bCs/>
          <w:iCs/>
          <w:sz w:val="26"/>
          <w:szCs w:val="26"/>
          <w:lang w:eastAsia="en-US"/>
        </w:rPr>
        <w:t xml:space="preserve">Con base en lo anterior, se advierte que contrariamente a lo afirmado por la autoridad inconforme, la sentencia recurrida sí se encuentra fundada y motivada en términos del artículo 16 Constitucional, debido a que se aprecia del texto de dicha determinación, que la </w:t>
      </w:r>
      <w:r w:rsidR="00385E53" w:rsidRPr="00385E53">
        <w:rPr>
          <w:rFonts w:ascii="Arial" w:eastAsiaTheme="minorHAnsi" w:hAnsi="Arial" w:cs="Arial"/>
          <w:bCs/>
          <w:i/>
          <w:iCs/>
          <w:sz w:val="26"/>
          <w:szCs w:val="26"/>
          <w:lang w:eastAsia="en-US"/>
        </w:rPr>
        <w:t>A quo</w:t>
      </w:r>
      <w:r w:rsidR="00385E53" w:rsidRPr="00385E53">
        <w:rPr>
          <w:rFonts w:ascii="Arial" w:eastAsiaTheme="minorHAnsi" w:hAnsi="Arial" w:cs="Arial"/>
          <w:bCs/>
          <w:iCs/>
          <w:sz w:val="26"/>
          <w:szCs w:val="26"/>
          <w:lang w:eastAsia="en-US"/>
        </w:rPr>
        <w:t xml:space="preserve"> invocó los preceptos legales y sus respectivas fracciones e incisos de las normas en las que sustentó su determinación, así como también se aprecia que plasmó las razones y causas, que tuvo para declarar </w:t>
      </w:r>
      <w:r>
        <w:rPr>
          <w:rFonts w:ascii="Arial" w:eastAsia="Calibri" w:hAnsi="Arial" w:cs="Arial"/>
          <w:bCs/>
          <w:sz w:val="26"/>
          <w:szCs w:val="26"/>
          <w:lang w:val="es-ES" w:eastAsia="en-US"/>
        </w:rPr>
        <w:t xml:space="preserve">la nulidad </w:t>
      </w:r>
      <w:r w:rsidRPr="00330668">
        <w:rPr>
          <w:rFonts w:ascii="Arial" w:hAnsi="Arial" w:cs="Arial"/>
          <w:color w:val="000000"/>
          <w:sz w:val="26"/>
          <w:szCs w:val="26"/>
        </w:rPr>
        <w:t xml:space="preserve">del oficio OP/DG/666/2019 de </w:t>
      </w:r>
      <w:r>
        <w:rPr>
          <w:rFonts w:ascii="Arial" w:hAnsi="Arial" w:cs="Arial"/>
          <w:color w:val="000000"/>
          <w:sz w:val="26"/>
          <w:szCs w:val="26"/>
        </w:rPr>
        <w:t xml:space="preserve">fecha </w:t>
      </w:r>
      <w:r w:rsidRPr="00330668">
        <w:rPr>
          <w:rFonts w:ascii="Arial" w:hAnsi="Arial" w:cs="Arial"/>
          <w:color w:val="000000"/>
          <w:sz w:val="26"/>
          <w:szCs w:val="26"/>
        </w:rPr>
        <w:t>trece de marzo de dos mil diecinueve, para</w:t>
      </w:r>
      <w:r>
        <w:rPr>
          <w:rFonts w:ascii="Arial" w:hAnsi="Arial" w:cs="Arial"/>
          <w:color w:val="000000"/>
          <w:sz w:val="26"/>
          <w:szCs w:val="26"/>
        </w:rPr>
        <w:t xml:space="preserve"> el</w:t>
      </w:r>
      <w:r w:rsidRPr="00330668">
        <w:rPr>
          <w:rFonts w:ascii="Arial" w:hAnsi="Arial" w:cs="Arial"/>
          <w:color w:val="000000"/>
          <w:sz w:val="26"/>
          <w:szCs w:val="26"/>
        </w:rPr>
        <w:t xml:space="preserve"> efecto de que el Consejo Directivo de la Oficina de Pensiones del Estado de Oaxaca</w:t>
      </w:r>
      <w:r>
        <w:rPr>
          <w:rFonts w:ascii="Arial" w:hAnsi="Arial" w:cs="Arial"/>
          <w:color w:val="000000"/>
          <w:sz w:val="26"/>
          <w:szCs w:val="26"/>
        </w:rPr>
        <w:t xml:space="preserve"> </w:t>
      </w:r>
      <w:r w:rsidRPr="00330668">
        <w:rPr>
          <w:rFonts w:ascii="Arial" w:hAnsi="Arial" w:cs="Arial"/>
          <w:color w:val="000000"/>
          <w:sz w:val="26"/>
          <w:szCs w:val="26"/>
        </w:rPr>
        <w:t>emita uno nuevo en el que ordene</w:t>
      </w:r>
      <w:r>
        <w:rPr>
          <w:rFonts w:ascii="Arial" w:hAnsi="Arial" w:cs="Arial"/>
          <w:color w:val="000000"/>
          <w:sz w:val="26"/>
          <w:szCs w:val="26"/>
        </w:rPr>
        <w:t xml:space="preserve">: </w:t>
      </w:r>
      <w:r w:rsidRPr="003D4FE2">
        <w:rPr>
          <w:rFonts w:ascii="Arial" w:hAnsi="Arial" w:cs="Arial"/>
          <w:b/>
          <w:bCs/>
          <w:color w:val="000000"/>
          <w:sz w:val="26"/>
          <w:szCs w:val="26"/>
        </w:rPr>
        <w:t>a)</w:t>
      </w:r>
      <w:r w:rsidRPr="00330668">
        <w:rPr>
          <w:rFonts w:ascii="Arial" w:hAnsi="Arial" w:cs="Arial"/>
          <w:color w:val="000000"/>
          <w:sz w:val="26"/>
          <w:szCs w:val="26"/>
        </w:rPr>
        <w:t xml:space="preserve"> el pago de la pensión por jubilación </w:t>
      </w:r>
      <w:r>
        <w:rPr>
          <w:rFonts w:ascii="Arial" w:hAnsi="Arial" w:cs="Arial"/>
          <w:color w:val="000000"/>
          <w:sz w:val="26"/>
          <w:szCs w:val="26"/>
        </w:rPr>
        <w:t xml:space="preserve">al actor </w:t>
      </w:r>
      <w:r w:rsidR="004C6412">
        <w:rPr>
          <w:rFonts w:ascii="Arial" w:eastAsia="Times New Roman" w:hAnsi="Arial" w:cs="Arial"/>
          <w:b/>
          <w:iCs/>
          <w:color w:val="000000"/>
        </w:rPr>
        <w:t>***********</w:t>
      </w:r>
      <w:r w:rsidRPr="004556A4">
        <w:rPr>
          <w:rFonts w:ascii="Arial" w:hAnsi="Arial" w:cs="Arial"/>
          <w:b/>
          <w:bCs/>
          <w:color w:val="000000"/>
          <w:sz w:val="26"/>
          <w:szCs w:val="26"/>
        </w:rPr>
        <w:t>,</w:t>
      </w:r>
      <w:r>
        <w:rPr>
          <w:rFonts w:ascii="Arial" w:hAnsi="Arial" w:cs="Arial"/>
          <w:color w:val="000000"/>
          <w:sz w:val="26"/>
          <w:szCs w:val="26"/>
        </w:rPr>
        <w:t xml:space="preserve"> </w:t>
      </w:r>
      <w:r w:rsidRPr="00330668">
        <w:rPr>
          <w:rFonts w:ascii="Arial" w:hAnsi="Arial" w:cs="Arial"/>
          <w:color w:val="000000"/>
          <w:sz w:val="26"/>
          <w:szCs w:val="26"/>
        </w:rPr>
        <w:t xml:space="preserve">incluyendo al salario las prestaciones SUELDO, C.D.P.S.M., ESTÍMULO y QNIO 6, y que resultan en un total de </w:t>
      </w:r>
      <w:r w:rsidR="004C6412">
        <w:rPr>
          <w:rFonts w:ascii="Arial" w:eastAsia="Times New Roman" w:hAnsi="Arial" w:cs="Arial"/>
          <w:b/>
          <w:iCs/>
          <w:color w:val="000000"/>
        </w:rPr>
        <w:t>***********</w:t>
      </w:r>
      <w:r w:rsidRPr="00330668">
        <w:rPr>
          <w:rFonts w:ascii="Arial" w:hAnsi="Arial" w:cs="Arial"/>
          <w:color w:val="000000"/>
          <w:sz w:val="26"/>
          <w:szCs w:val="26"/>
        </w:rPr>
        <w:t xml:space="preserve">, </w:t>
      </w:r>
      <w:r>
        <w:rPr>
          <w:rFonts w:ascii="Arial" w:hAnsi="Arial" w:cs="Arial"/>
          <w:color w:val="000000"/>
          <w:sz w:val="26"/>
          <w:szCs w:val="26"/>
        </w:rPr>
        <w:t xml:space="preserve">y </w:t>
      </w:r>
      <w:r w:rsidRPr="003D4FE2">
        <w:rPr>
          <w:rFonts w:ascii="Arial" w:hAnsi="Arial" w:cs="Arial"/>
          <w:b/>
          <w:bCs/>
          <w:color w:val="000000"/>
          <w:sz w:val="26"/>
          <w:szCs w:val="26"/>
        </w:rPr>
        <w:t>b)</w:t>
      </w:r>
      <w:r>
        <w:rPr>
          <w:rFonts w:ascii="Arial" w:hAnsi="Arial" w:cs="Arial"/>
          <w:color w:val="000000"/>
          <w:sz w:val="26"/>
          <w:szCs w:val="26"/>
        </w:rPr>
        <w:t xml:space="preserve"> p</w:t>
      </w:r>
      <w:r w:rsidRPr="00330668">
        <w:rPr>
          <w:rFonts w:ascii="Arial" w:hAnsi="Arial" w:cs="Arial"/>
          <w:color w:val="000000"/>
          <w:sz w:val="26"/>
          <w:szCs w:val="26"/>
        </w:rPr>
        <w:t>ara que deje sin efectos el descuento de 9% sobre la pensión por jubilación de</w:t>
      </w:r>
      <w:r>
        <w:rPr>
          <w:rFonts w:ascii="Arial" w:hAnsi="Arial" w:cs="Arial"/>
          <w:color w:val="000000"/>
          <w:sz w:val="26"/>
          <w:szCs w:val="26"/>
        </w:rPr>
        <w:t>l actor en mención.</w:t>
      </w:r>
      <w:r w:rsidR="00864530">
        <w:rPr>
          <w:rFonts w:ascii="Arial" w:hAnsi="Arial" w:cs="Arial"/>
          <w:color w:val="000000"/>
          <w:sz w:val="26"/>
          <w:szCs w:val="26"/>
        </w:rPr>
        <w:t xml:space="preserve">- </w:t>
      </w:r>
    </w:p>
    <w:p w14:paraId="5AC49774" w14:textId="3CF92A4D" w:rsidR="00385E53" w:rsidRDefault="00385E53" w:rsidP="00385E53">
      <w:pPr>
        <w:spacing w:after="0" w:line="360" w:lineRule="auto"/>
        <w:ind w:firstLine="708"/>
        <w:jc w:val="both"/>
        <w:rPr>
          <w:rFonts w:ascii="Arial" w:eastAsiaTheme="minorHAnsi" w:hAnsi="Arial" w:cs="Arial"/>
          <w:bCs/>
          <w:iCs/>
          <w:sz w:val="26"/>
          <w:szCs w:val="26"/>
          <w:lang w:eastAsia="en-US"/>
        </w:rPr>
      </w:pPr>
      <w:r w:rsidRPr="00385E53">
        <w:rPr>
          <w:rFonts w:ascii="Arial" w:eastAsiaTheme="minorHAnsi" w:hAnsi="Arial" w:cs="Arial"/>
          <w:bCs/>
          <w:iCs/>
          <w:sz w:val="26"/>
          <w:szCs w:val="26"/>
          <w:lang w:eastAsia="en-US"/>
        </w:rPr>
        <w:t xml:space="preserve">A mayor abundamiento, se </w:t>
      </w:r>
      <w:r w:rsidRPr="00987CE2">
        <w:rPr>
          <w:rFonts w:ascii="Arial" w:eastAsiaTheme="minorHAnsi" w:hAnsi="Arial" w:cs="Arial"/>
          <w:bCs/>
          <w:iCs/>
          <w:sz w:val="26"/>
          <w:szCs w:val="26"/>
          <w:lang w:eastAsia="en-US"/>
        </w:rPr>
        <w:t>inserta la parte relativa de la sentencia</w:t>
      </w:r>
      <w:r w:rsidRPr="00385E53">
        <w:rPr>
          <w:rFonts w:ascii="Arial" w:eastAsiaTheme="minorHAnsi" w:hAnsi="Arial" w:cs="Arial"/>
          <w:bCs/>
          <w:iCs/>
          <w:sz w:val="26"/>
          <w:szCs w:val="26"/>
          <w:lang w:eastAsia="en-US"/>
        </w:rPr>
        <w:t xml:space="preserve"> combatida, que es del tenor siguiente:</w:t>
      </w:r>
      <w:r w:rsidR="005A50CA">
        <w:rPr>
          <w:rFonts w:ascii="Arial" w:eastAsiaTheme="minorHAnsi" w:hAnsi="Arial" w:cs="Arial"/>
          <w:bCs/>
          <w:iCs/>
          <w:sz w:val="26"/>
          <w:szCs w:val="26"/>
          <w:lang w:eastAsia="en-US"/>
        </w:rPr>
        <w:t xml:space="preserve"> </w:t>
      </w:r>
      <w:r w:rsidR="005A50CA">
        <w:rPr>
          <w:rFonts w:ascii="Arial" w:hAnsi="Arial" w:cs="Arial"/>
          <w:color w:val="000000"/>
          <w:sz w:val="26"/>
          <w:szCs w:val="26"/>
          <w:lang w:val="es-ES"/>
        </w:rPr>
        <w:t xml:space="preserve">- - - - - - - - - - - - - - - - - - - - - - - - </w:t>
      </w:r>
    </w:p>
    <w:p w14:paraId="6854B238" w14:textId="1BD59256" w:rsidR="00036495" w:rsidRPr="0053624B" w:rsidRDefault="00036495"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Cs/>
          <w:i/>
          <w:sz w:val="24"/>
          <w:szCs w:val="24"/>
          <w:lang w:eastAsia="en-US"/>
        </w:rPr>
        <w:t>“QUINTO.- Conforme al artículo 207 fracción II de la Ley de Procedimiento y Justicia Administrativa para el Estado de Oaxaca, las sentencias que emita el Tribunal deberán contener:</w:t>
      </w:r>
    </w:p>
    <w:p w14:paraId="6B5BBD7D" w14:textId="17EBF6C2" w:rsidR="00036495" w:rsidRPr="0053624B" w:rsidRDefault="00036495" w:rsidP="0098019D">
      <w:pPr>
        <w:spacing w:after="0" w:line="360" w:lineRule="auto"/>
        <w:ind w:left="567" w:right="616" w:firstLine="708"/>
        <w:jc w:val="both"/>
        <w:rPr>
          <w:rFonts w:ascii="Arial" w:eastAsiaTheme="minorHAnsi" w:hAnsi="Arial" w:cs="Arial"/>
          <w:b/>
          <w:i/>
          <w:sz w:val="24"/>
          <w:szCs w:val="24"/>
          <w:lang w:eastAsia="en-US"/>
        </w:rPr>
      </w:pPr>
      <w:r w:rsidRPr="0053624B">
        <w:rPr>
          <w:rFonts w:ascii="Arial" w:eastAsiaTheme="minorHAnsi" w:hAnsi="Arial" w:cs="Arial"/>
          <w:b/>
          <w:i/>
          <w:sz w:val="24"/>
          <w:szCs w:val="24"/>
          <w:lang w:eastAsia="en-US"/>
        </w:rPr>
        <w:t>La exposición debidamente fundada y motivada de las consideraciones en las que basa la resolución.</w:t>
      </w:r>
    </w:p>
    <w:p w14:paraId="526628F9" w14:textId="5AC16555" w:rsidR="00036495" w:rsidRPr="0053624B" w:rsidRDefault="00036495"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Cs/>
          <w:i/>
          <w:sz w:val="24"/>
          <w:szCs w:val="24"/>
          <w:lang w:eastAsia="en-US"/>
        </w:rPr>
        <w:t>(…)</w:t>
      </w:r>
    </w:p>
    <w:p w14:paraId="485946AB" w14:textId="773DC01F" w:rsidR="00036495" w:rsidRPr="0053624B" w:rsidRDefault="00036495"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Cs/>
          <w:i/>
          <w:sz w:val="24"/>
          <w:szCs w:val="24"/>
          <w:lang w:eastAsia="en-US"/>
        </w:rPr>
        <w:t xml:space="preserve">Ahora bien, de las constancias judiciales que con eficacia probatoria </w:t>
      </w:r>
      <w:r w:rsidR="00E01995" w:rsidRPr="0053624B">
        <w:rPr>
          <w:rFonts w:ascii="Arial" w:eastAsiaTheme="minorHAnsi" w:hAnsi="Arial" w:cs="Arial"/>
          <w:bCs/>
          <w:i/>
          <w:sz w:val="24"/>
          <w:szCs w:val="24"/>
          <w:lang w:eastAsia="en-US"/>
        </w:rPr>
        <w:t>plena se tiene el oficio OP/DG/666/2019 de trece de marzo de dos mil diecinueve por el cual la Oficina de Pensiones del Estado de Oaxaca trascribe parte del Dictamen emitido por el Consejo Directivo de la Oficina de Pensiones del Estado de Oaxaca el doce de marzo de dos mil diecinueve en el que a (sic) considerando SEGUNDO se encuentra el siguiente texto: (lo transcribe)</w:t>
      </w:r>
    </w:p>
    <w:p w14:paraId="54D4464E" w14:textId="24BE5D6B" w:rsidR="00427F57" w:rsidRPr="0053624B" w:rsidRDefault="00E01995"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Cs/>
          <w:i/>
          <w:sz w:val="24"/>
          <w:szCs w:val="24"/>
          <w:lang w:eastAsia="en-US"/>
        </w:rPr>
        <w:lastRenderedPageBreak/>
        <w:t>Conforme a esta transcripción de (sic) obtiene que el Consejo Directivo de la Oficina de Pensiones del Estado de Oaxaca emite su decisión, dice, con base en lo anotado en los antecedentes del citad</w:t>
      </w:r>
      <w:r w:rsidR="00427F57" w:rsidRPr="0053624B">
        <w:rPr>
          <w:rFonts w:ascii="Arial" w:eastAsiaTheme="minorHAnsi" w:hAnsi="Arial" w:cs="Arial"/>
          <w:bCs/>
          <w:i/>
          <w:sz w:val="24"/>
          <w:szCs w:val="24"/>
          <w:lang w:eastAsia="en-US"/>
        </w:rPr>
        <w:t>o dictamen. Que para una mejor ilustración se transcribe: (lo transcribe)</w:t>
      </w:r>
    </w:p>
    <w:p w14:paraId="17004C71" w14:textId="4FAAA821" w:rsidR="00E01995" w:rsidRPr="0053624B" w:rsidRDefault="0086207E"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
          <w:i/>
          <w:sz w:val="24"/>
          <w:szCs w:val="24"/>
          <w:lang w:eastAsia="en-US"/>
        </w:rPr>
        <w:t xml:space="preserve">Y </w:t>
      </w:r>
      <w:r w:rsidRPr="0053624B">
        <w:rPr>
          <w:rFonts w:ascii="Arial" w:eastAsiaTheme="minorHAnsi" w:hAnsi="Arial" w:cs="Arial"/>
          <w:bCs/>
          <w:i/>
          <w:sz w:val="24"/>
          <w:szCs w:val="24"/>
          <w:lang w:eastAsia="en-US"/>
        </w:rPr>
        <w:t xml:space="preserve">conforme a esta transcripción se tiene que </w:t>
      </w:r>
      <w:r w:rsidR="004C6412">
        <w:rPr>
          <w:rFonts w:ascii="Arial" w:eastAsia="Times New Roman" w:hAnsi="Arial" w:cs="Arial"/>
          <w:b/>
          <w:iCs/>
          <w:color w:val="000000"/>
        </w:rPr>
        <w:t>***********</w:t>
      </w:r>
      <w:r w:rsidRPr="0053624B">
        <w:rPr>
          <w:rFonts w:ascii="Arial" w:eastAsiaTheme="minorHAnsi" w:hAnsi="Arial" w:cs="Arial"/>
          <w:b/>
          <w:i/>
          <w:sz w:val="24"/>
          <w:szCs w:val="24"/>
          <w:lang w:eastAsia="en-US"/>
        </w:rPr>
        <w:t xml:space="preserve"> </w:t>
      </w:r>
      <w:r w:rsidRPr="0053624B">
        <w:rPr>
          <w:rFonts w:ascii="Arial" w:eastAsiaTheme="minorHAnsi" w:hAnsi="Arial" w:cs="Arial"/>
          <w:bCs/>
          <w:i/>
          <w:sz w:val="24"/>
          <w:szCs w:val="24"/>
          <w:lang w:eastAsia="en-US"/>
        </w:rPr>
        <w:t>presentó una serie de documentos con su solicitud de pensión.</w:t>
      </w:r>
    </w:p>
    <w:p w14:paraId="64EEE623" w14:textId="7F8CDFDB" w:rsidR="00B109DE" w:rsidRPr="0053624B" w:rsidRDefault="00B109DE"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
          <w:i/>
          <w:sz w:val="24"/>
          <w:szCs w:val="24"/>
          <w:lang w:eastAsia="en-US"/>
        </w:rPr>
        <w:t>De este modo,</w:t>
      </w:r>
      <w:r w:rsidRPr="0053624B">
        <w:rPr>
          <w:rFonts w:ascii="Arial" w:eastAsiaTheme="minorHAnsi" w:hAnsi="Arial" w:cs="Arial"/>
          <w:bCs/>
          <w:i/>
          <w:sz w:val="24"/>
          <w:szCs w:val="24"/>
          <w:lang w:eastAsia="en-US"/>
        </w:rPr>
        <w:t xml:space="preserve"> el Consejo Directivo de la Oficina de Pensiones para emitir </w:t>
      </w:r>
      <w:r w:rsidR="00AD2770" w:rsidRPr="0053624B">
        <w:rPr>
          <w:rFonts w:ascii="Arial" w:eastAsiaTheme="minorHAnsi" w:hAnsi="Arial" w:cs="Arial"/>
          <w:bCs/>
          <w:i/>
          <w:sz w:val="24"/>
          <w:szCs w:val="24"/>
          <w:lang w:eastAsia="en-US"/>
        </w:rPr>
        <w:t xml:space="preserve">el dictamen en el que se resolvió otorgar a </w:t>
      </w:r>
      <w:r w:rsidR="004C6412">
        <w:rPr>
          <w:rFonts w:ascii="Arial" w:eastAsia="Times New Roman" w:hAnsi="Arial" w:cs="Arial"/>
          <w:b/>
          <w:iCs/>
          <w:color w:val="000000"/>
        </w:rPr>
        <w:t>***********</w:t>
      </w:r>
      <w:r w:rsidR="004C6412">
        <w:rPr>
          <w:rFonts w:ascii="Arial" w:eastAsia="Times New Roman" w:hAnsi="Arial" w:cs="Arial"/>
          <w:b/>
          <w:iCs/>
          <w:color w:val="000000"/>
        </w:rPr>
        <w:t xml:space="preserve"> </w:t>
      </w:r>
      <w:r w:rsidR="00AD2770" w:rsidRPr="0053624B">
        <w:rPr>
          <w:rFonts w:ascii="Arial" w:eastAsiaTheme="minorHAnsi" w:hAnsi="Arial" w:cs="Arial"/>
          <w:bCs/>
          <w:i/>
          <w:sz w:val="24"/>
          <w:szCs w:val="24"/>
          <w:lang w:eastAsia="en-US"/>
        </w:rPr>
        <w:t xml:space="preserve">el 100% del sueldo base que recibe como </w:t>
      </w:r>
      <w:r w:rsidR="00987CE2">
        <w:rPr>
          <w:rFonts w:ascii="Arial" w:eastAsiaTheme="minorHAnsi" w:hAnsi="Arial" w:cs="Arial"/>
          <w:bCs/>
          <w:i/>
          <w:sz w:val="24"/>
          <w:szCs w:val="24"/>
          <w:lang w:eastAsia="en-US"/>
        </w:rPr>
        <w:t>S</w:t>
      </w:r>
      <w:r w:rsidR="00987CE2" w:rsidRPr="0053624B">
        <w:rPr>
          <w:rFonts w:ascii="Arial" w:eastAsiaTheme="minorHAnsi" w:hAnsi="Arial" w:cs="Arial"/>
          <w:bCs/>
          <w:i/>
          <w:sz w:val="24"/>
          <w:szCs w:val="24"/>
          <w:lang w:eastAsia="en-US"/>
        </w:rPr>
        <w:t>ecretario</w:t>
      </w:r>
      <w:r w:rsidR="00AD2770" w:rsidRPr="0053624B">
        <w:rPr>
          <w:rFonts w:ascii="Arial" w:eastAsiaTheme="minorHAnsi" w:hAnsi="Arial" w:cs="Arial"/>
          <w:bCs/>
          <w:i/>
          <w:sz w:val="24"/>
          <w:szCs w:val="24"/>
          <w:lang w:eastAsia="en-US"/>
        </w:rPr>
        <w:t xml:space="preserve"> de Acuerdos 15 “C” únicamente se basó en la entrega de documentos que reseña el apartado de antecedentes.</w:t>
      </w:r>
    </w:p>
    <w:p w14:paraId="1910148D" w14:textId="7ACF1545" w:rsidR="00AD2770" w:rsidRPr="0053624B" w:rsidRDefault="00AD2770"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
          <w:i/>
          <w:sz w:val="24"/>
          <w:szCs w:val="24"/>
          <w:lang w:eastAsia="en-US"/>
        </w:rPr>
        <w:t>Por otro lado</w:t>
      </w:r>
      <w:r w:rsidRPr="0053624B">
        <w:rPr>
          <w:rFonts w:ascii="Arial" w:eastAsiaTheme="minorHAnsi" w:hAnsi="Arial" w:cs="Arial"/>
          <w:bCs/>
          <w:i/>
          <w:sz w:val="24"/>
          <w:szCs w:val="24"/>
          <w:lang w:eastAsia="en-US"/>
        </w:rPr>
        <w:t xml:space="preserve">, </w:t>
      </w:r>
      <w:r w:rsidR="00475F28" w:rsidRPr="0053624B">
        <w:rPr>
          <w:rFonts w:ascii="Arial" w:eastAsiaTheme="minorHAnsi" w:hAnsi="Arial" w:cs="Arial"/>
          <w:bCs/>
          <w:i/>
          <w:sz w:val="24"/>
          <w:szCs w:val="24"/>
          <w:lang w:eastAsia="en-US"/>
        </w:rPr>
        <w:t>en los autos constan los recibos de pago exhibidos por el actor correspondientes a la primera y segunda quincena de enero de dos mil veinte, en los que se advierten dos rubros, uno denominado PERCEPCIONES y otro DEDUCCIONES.</w:t>
      </w:r>
    </w:p>
    <w:p w14:paraId="756FE3CF" w14:textId="778714E9" w:rsidR="00475F28" w:rsidRPr="0053624B" w:rsidRDefault="00475F28"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Cs/>
          <w:i/>
          <w:sz w:val="24"/>
          <w:szCs w:val="24"/>
          <w:lang w:eastAsia="en-US"/>
        </w:rPr>
        <w:t xml:space="preserve">En el rubro de PERCEPCIONES se puede apreciar que existen los siguientes conceptos: SUELDO, C.D. P.S.M., ESTÍMULO y QNIO 6, y que el pago de tales percepciones es de </w:t>
      </w:r>
      <w:r w:rsidR="004C6412">
        <w:rPr>
          <w:rFonts w:ascii="Arial" w:eastAsia="Times New Roman" w:hAnsi="Arial" w:cs="Arial"/>
          <w:b/>
          <w:iCs/>
          <w:color w:val="000000"/>
        </w:rPr>
        <w:t>***********</w:t>
      </w:r>
      <w:r w:rsidRPr="0053624B">
        <w:rPr>
          <w:rFonts w:ascii="Arial" w:eastAsiaTheme="minorHAnsi" w:hAnsi="Arial" w:cs="Arial"/>
          <w:bCs/>
          <w:i/>
          <w:sz w:val="24"/>
          <w:szCs w:val="24"/>
          <w:lang w:eastAsia="en-US"/>
        </w:rPr>
        <w:t>.</w:t>
      </w:r>
    </w:p>
    <w:p w14:paraId="7C96E766" w14:textId="6F955ADC" w:rsidR="00475F28" w:rsidRPr="0053624B" w:rsidRDefault="00475F28"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Cs/>
          <w:i/>
          <w:sz w:val="24"/>
          <w:szCs w:val="24"/>
          <w:lang w:eastAsia="en-US"/>
        </w:rPr>
        <w:t xml:space="preserve">De esta manera, se tiene que </w:t>
      </w:r>
      <w:r w:rsidR="004C6412">
        <w:rPr>
          <w:rFonts w:ascii="Arial" w:eastAsia="Times New Roman" w:hAnsi="Arial" w:cs="Arial"/>
          <w:b/>
          <w:iCs/>
          <w:color w:val="000000"/>
        </w:rPr>
        <w:t>***********</w:t>
      </w:r>
      <w:r w:rsidR="004C6412">
        <w:rPr>
          <w:rFonts w:ascii="Arial" w:eastAsia="Times New Roman" w:hAnsi="Arial" w:cs="Arial"/>
          <w:b/>
          <w:iCs/>
          <w:color w:val="000000"/>
        </w:rPr>
        <w:t xml:space="preserve"> </w:t>
      </w:r>
      <w:r w:rsidRPr="0053624B">
        <w:rPr>
          <w:rFonts w:ascii="Arial" w:eastAsiaTheme="minorHAnsi" w:hAnsi="Arial" w:cs="Arial"/>
          <w:bCs/>
          <w:i/>
          <w:sz w:val="24"/>
          <w:szCs w:val="24"/>
          <w:lang w:eastAsia="en-US"/>
        </w:rPr>
        <w:t xml:space="preserve">percibe la cantidad de </w:t>
      </w:r>
      <w:r w:rsidR="004C6412">
        <w:rPr>
          <w:rFonts w:ascii="Arial" w:eastAsia="Times New Roman" w:hAnsi="Arial" w:cs="Arial"/>
          <w:b/>
          <w:iCs/>
          <w:color w:val="000000"/>
        </w:rPr>
        <w:t>***********</w:t>
      </w:r>
      <w:r w:rsidR="004C6412">
        <w:rPr>
          <w:rFonts w:ascii="Arial" w:eastAsia="Times New Roman" w:hAnsi="Arial" w:cs="Arial"/>
          <w:b/>
          <w:iCs/>
          <w:color w:val="000000"/>
        </w:rPr>
        <w:t xml:space="preserve"> </w:t>
      </w:r>
      <w:r w:rsidRPr="0053624B">
        <w:rPr>
          <w:rFonts w:ascii="Arial" w:eastAsiaTheme="minorHAnsi" w:hAnsi="Arial" w:cs="Arial"/>
          <w:bCs/>
          <w:i/>
          <w:sz w:val="24"/>
          <w:szCs w:val="24"/>
          <w:lang w:eastAsia="en-US"/>
        </w:rPr>
        <w:t xml:space="preserve">de manera quincenal. </w:t>
      </w:r>
      <w:r w:rsidRPr="0053624B">
        <w:rPr>
          <w:rFonts w:ascii="Arial" w:eastAsiaTheme="minorHAnsi" w:hAnsi="Arial" w:cs="Arial"/>
          <w:b/>
          <w:i/>
          <w:sz w:val="24"/>
          <w:szCs w:val="24"/>
          <w:lang w:eastAsia="en-US"/>
        </w:rPr>
        <w:t>Por tanto,</w:t>
      </w:r>
      <w:r w:rsidRPr="0053624B">
        <w:rPr>
          <w:rFonts w:ascii="Arial" w:eastAsiaTheme="minorHAnsi" w:hAnsi="Arial" w:cs="Arial"/>
          <w:bCs/>
          <w:i/>
          <w:sz w:val="24"/>
          <w:szCs w:val="24"/>
          <w:lang w:eastAsia="en-US"/>
        </w:rPr>
        <w:t xml:space="preserve"> si en el </w:t>
      </w:r>
      <w:r w:rsidR="0053624B">
        <w:rPr>
          <w:rFonts w:ascii="Arial" w:eastAsiaTheme="minorHAnsi" w:hAnsi="Arial" w:cs="Arial"/>
          <w:bCs/>
          <w:i/>
          <w:sz w:val="24"/>
          <w:szCs w:val="24"/>
          <w:lang w:eastAsia="en-US"/>
        </w:rPr>
        <w:t>D</w:t>
      </w:r>
      <w:r w:rsidRPr="0053624B">
        <w:rPr>
          <w:rFonts w:ascii="Arial" w:eastAsiaTheme="minorHAnsi" w:hAnsi="Arial" w:cs="Arial"/>
          <w:bCs/>
          <w:i/>
          <w:sz w:val="24"/>
          <w:szCs w:val="24"/>
          <w:lang w:eastAsia="en-US"/>
        </w:rPr>
        <w:t xml:space="preserve">ictamen emitido se arribó a la conclusión de que le corresponde el pago por </w:t>
      </w:r>
      <w:bookmarkStart w:id="2" w:name="_Hlk82284946"/>
      <w:r w:rsidR="004C6412">
        <w:rPr>
          <w:rFonts w:ascii="Arial" w:eastAsia="Times New Roman" w:hAnsi="Arial" w:cs="Arial"/>
          <w:b/>
          <w:iCs/>
          <w:color w:val="000000"/>
        </w:rPr>
        <w:t>***********</w:t>
      </w:r>
      <w:r w:rsidR="00F3096C" w:rsidRPr="0053624B">
        <w:rPr>
          <w:rFonts w:ascii="Arial" w:eastAsiaTheme="minorHAnsi" w:hAnsi="Arial" w:cs="Arial"/>
          <w:bCs/>
          <w:i/>
          <w:sz w:val="24"/>
          <w:szCs w:val="24"/>
          <w:lang w:eastAsia="en-US"/>
        </w:rPr>
        <w:t xml:space="preserve">, </w:t>
      </w:r>
      <w:bookmarkEnd w:id="2"/>
      <w:r w:rsidR="00F3096C" w:rsidRPr="0053624B">
        <w:rPr>
          <w:rFonts w:ascii="Arial" w:eastAsiaTheme="minorHAnsi" w:hAnsi="Arial" w:cs="Arial"/>
          <w:bCs/>
          <w:i/>
          <w:sz w:val="24"/>
          <w:szCs w:val="24"/>
          <w:lang w:eastAsia="en-US"/>
        </w:rPr>
        <w:t>el Consejo Directivo de la Oficina de Pensiones del Estado de Oaxaca estaba en la obligación de explicar de qué manera obtiene lo que le corresponde pagar (sic) dicha cantidad, pero, además, debía señalar el precepto legal que le permite establecer ese monto.</w:t>
      </w:r>
    </w:p>
    <w:p w14:paraId="39A85E51" w14:textId="4F23F8A0" w:rsidR="00F3096C" w:rsidRPr="0053624B" w:rsidRDefault="005F6CAA" w:rsidP="0098019D">
      <w:pPr>
        <w:spacing w:after="0" w:line="360" w:lineRule="auto"/>
        <w:ind w:left="567" w:right="616" w:firstLine="708"/>
        <w:jc w:val="both"/>
        <w:rPr>
          <w:rFonts w:ascii="Arial" w:eastAsiaTheme="minorHAnsi" w:hAnsi="Arial" w:cs="Arial"/>
          <w:bCs/>
          <w:i/>
          <w:sz w:val="24"/>
          <w:szCs w:val="24"/>
          <w:lang w:eastAsia="en-US"/>
        </w:rPr>
      </w:pPr>
      <w:r w:rsidRPr="0053624B">
        <w:rPr>
          <w:rFonts w:ascii="Arial" w:eastAsiaTheme="minorHAnsi" w:hAnsi="Arial" w:cs="Arial"/>
          <w:bCs/>
          <w:i/>
          <w:sz w:val="24"/>
          <w:szCs w:val="24"/>
          <w:lang w:eastAsia="en-US"/>
        </w:rPr>
        <w:t xml:space="preserve">Los artículos 1, 2, 5 fracción I inciso a), 29, 31, 50 fracción I, 53, 79, 88 fracción I y IV y 89 fracción I y transitorio cuarto de la Ley de Pensiones </w:t>
      </w:r>
      <w:r w:rsidR="007A5919" w:rsidRPr="0053624B">
        <w:rPr>
          <w:rFonts w:ascii="Arial" w:eastAsiaTheme="minorHAnsi" w:hAnsi="Arial" w:cs="Arial"/>
          <w:bCs/>
          <w:i/>
          <w:sz w:val="24"/>
          <w:szCs w:val="24"/>
          <w:lang w:eastAsia="en-US"/>
        </w:rPr>
        <w:t>de</w:t>
      </w:r>
      <w:r w:rsidRPr="0053624B">
        <w:rPr>
          <w:rFonts w:ascii="Arial" w:eastAsiaTheme="minorHAnsi" w:hAnsi="Arial" w:cs="Arial"/>
          <w:bCs/>
          <w:i/>
          <w:sz w:val="24"/>
          <w:szCs w:val="24"/>
          <w:lang w:eastAsia="en-US"/>
        </w:rPr>
        <w:t xml:space="preserve"> los Trabajadores del Gobierno del Estado de Oaxaca que sirven de base para emitir el dictamen en estudio son del tenor siguiente: (los transcribe).</w:t>
      </w:r>
    </w:p>
    <w:p w14:paraId="274D7C5B" w14:textId="62274676" w:rsidR="005F6CAA" w:rsidRPr="00EC6242" w:rsidRDefault="005F6CAA" w:rsidP="0098019D">
      <w:pPr>
        <w:spacing w:after="0" w:line="360" w:lineRule="auto"/>
        <w:ind w:left="567" w:right="616" w:firstLine="708"/>
        <w:jc w:val="both"/>
        <w:rPr>
          <w:rFonts w:ascii="Arial" w:eastAsiaTheme="minorHAnsi" w:hAnsi="Arial" w:cs="Arial"/>
          <w:bCs/>
          <w:i/>
          <w:sz w:val="24"/>
          <w:szCs w:val="24"/>
          <w:lang w:eastAsia="en-US"/>
        </w:rPr>
      </w:pPr>
      <w:r w:rsidRPr="00EC6242">
        <w:rPr>
          <w:rFonts w:ascii="Arial" w:eastAsiaTheme="minorHAnsi" w:hAnsi="Arial" w:cs="Arial"/>
          <w:bCs/>
          <w:i/>
          <w:sz w:val="24"/>
          <w:szCs w:val="24"/>
          <w:lang w:eastAsia="en-US"/>
        </w:rPr>
        <w:t xml:space="preserve">Conforme a estos numerales, </w:t>
      </w:r>
      <w:r w:rsidRPr="00EC6242">
        <w:rPr>
          <w:rFonts w:ascii="Arial" w:eastAsiaTheme="minorHAnsi" w:hAnsi="Arial" w:cs="Arial"/>
          <w:b/>
          <w:i/>
          <w:sz w:val="24"/>
          <w:szCs w:val="24"/>
          <w:lang w:eastAsia="en-US"/>
        </w:rPr>
        <w:t>ninguno</w:t>
      </w:r>
      <w:r w:rsidRPr="00EC6242">
        <w:rPr>
          <w:rFonts w:ascii="Arial" w:eastAsiaTheme="minorHAnsi" w:hAnsi="Arial" w:cs="Arial"/>
          <w:bCs/>
          <w:i/>
          <w:sz w:val="24"/>
          <w:szCs w:val="24"/>
          <w:lang w:eastAsia="en-US"/>
        </w:rPr>
        <w:t xml:space="preserve"> de ellos establece la facultad que tiene el Consejo Directivo de la Oficina de Pensiones para establecer que de las percepciones que son pagadas a </w:t>
      </w:r>
      <w:r w:rsidR="004C6412">
        <w:rPr>
          <w:rFonts w:ascii="Arial" w:eastAsia="Times New Roman" w:hAnsi="Arial" w:cs="Arial"/>
          <w:b/>
          <w:iCs/>
          <w:color w:val="000000"/>
        </w:rPr>
        <w:t>***********</w:t>
      </w:r>
      <w:r w:rsidR="004C6412">
        <w:rPr>
          <w:rFonts w:ascii="Arial" w:eastAsia="Times New Roman" w:hAnsi="Arial" w:cs="Arial"/>
          <w:b/>
          <w:iCs/>
          <w:color w:val="000000"/>
        </w:rPr>
        <w:t xml:space="preserve"> </w:t>
      </w:r>
      <w:r w:rsidRPr="00EC6242">
        <w:rPr>
          <w:rFonts w:ascii="Arial" w:eastAsiaTheme="minorHAnsi" w:hAnsi="Arial" w:cs="Arial"/>
          <w:bCs/>
          <w:i/>
          <w:sz w:val="24"/>
          <w:szCs w:val="24"/>
          <w:lang w:eastAsia="en-US"/>
        </w:rPr>
        <w:t xml:space="preserve">deban excluirse los conceptos que le son pagados durante su vida activa </w:t>
      </w:r>
      <w:r w:rsidRPr="00EC6242">
        <w:rPr>
          <w:rFonts w:ascii="Arial" w:eastAsiaTheme="minorHAnsi" w:hAnsi="Arial" w:cs="Arial"/>
          <w:b/>
          <w:i/>
          <w:sz w:val="24"/>
          <w:szCs w:val="24"/>
          <w:lang w:eastAsia="en-US"/>
        </w:rPr>
        <w:t>y, si bien como lo aduce</w:t>
      </w:r>
      <w:r w:rsidRPr="00EC6242">
        <w:rPr>
          <w:rFonts w:ascii="Arial" w:eastAsiaTheme="minorHAnsi" w:hAnsi="Arial" w:cs="Arial"/>
          <w:bCs/>
          <w:i/>
          <w:sz w:val="24"/>
          <w:szCs w:val="24"/>
          <w:lang w:eastAsia="en-US"/>
        </w:rPr>
        <w:t xml:space="preserve"> la demandada </w:t>
      </w:r>
      <w:r w:rsidR="0056267E" w:rsidRPr="00EC6242">
        <w:rPr>
          <w:rFonts w:ascii="Arial" w:eastAsiaTheme="minorHAnsi" w:hAnsi="Arial" w:cs="Arial"/>
          <w:bCs/>
          <w:i/>
          <w:sz w:val="24"/>
          <w:szCs w:val="24"/>
          <w:lang w:eastAsia="en-US"/>
        </w:rPr>
        <w:t xml:space="preserve">en su contestación no existe precepto legal o disposición que le obligue a contemplar dentro del pago de la pensión las prestaciones que se enuncian, lo cierto es que, conforme al artículo </w:t>
      </w:r>
      <w:r w:rsidR="0056267E" w:rsidRPr="00EC6242">
        <w:rPr>
          <w:rFonts w:ascii="Arial" w:eastAsiaTheme="minorHAnsi" w:hAnsi="Arial" w:cs="Arial"/>
          <w:bCs/>
          <w:i/>
          <w:sz w:val="24"/>
          <w:szCs w:val="24"/>
          <w:lang w:eastAsia="en-US"/>
        </w:rPr>
        <w:lastRenderedPageBreak/>
        <w:t xml:space="preserve">1 de la Constitución Federal la interpretación que hagan las autoridades de los derechos conferidos en la Constitución y los Tratados Internacionales de los que el Estado Mexicano es parte, así como las normas integradoras del sistema jurídico debe ser acorde a una interpretación que más favorezca a las personas, </w:t>
      </w:r>
      <w:r w:rsidR="0056267E" w:rsidRPr="00EC6242">
        <w:rPr>
          <w:rFonts w:ascii="Arial" w:eastAsiaTheme="minorHAnsi" w:hAnsi="Arial" w:cs="Arial"/>
          <w:b/>
          <w:i/>
          <w:sz w:val="24"/>
          <w:szCs w:val="24"/>
          <w:lang w:eastAsia="en-US"/>
        </w:rPr>
        <w:t>y por ende,</w:t>
      </w:r>
      <w:r w:rsidR="0056267E" w:rsidRPr="00EC6242">
        <w:rPr>
          <w:rFonts w:ascii="Arial" w:eastAsiaTheme="minorHAnsi" w:hAnsi="Arial" w:cs="Arial"/>
          <w:bCs/>
          <w:i/>
          <w:sz w:val="24"/>
          <w:szCs w:val="24"/>
          <w:lang w:eastAsia="en-US"/>
        </w:rPr>
        <w:t xml:space="preserve"> al no existir un dispositivo </w:t>
      </w:r>
      <w:r w:rsidR="00CF2366" w:rsidRPr="00EC6242">
        <w:rPr>
          <w:rFonts w:ascii="Arial" w:eastAsiaTheme="minorHAnsi" w:hAnsi="Arial" w:cs="Arial"/>
          <w:bCs/>
          <w:i/>
          <w:sz w:val="24"/>
          <w:szCs w:val="24"/>
          <w:lang w:eastAsia="en-US"/>
        </w:rPr>
        <w:t xml:space="preserve">“expreso que determine tales prestaciones, la demandada </w:t>
      </w:r>
      <w:r w:rsidR="00CF2366" w:rsidRPr="00EC6242">
        <w:rPr>
          <w:rFonts w:ascii="Arial" w:eastAsiaTheme="minorHAnsi" w:hAnsi="Arial" w:cs="Arial"/>
          <w:b/>
          <w:i/>
          <w:sz w:val="24"/>
          <w:szCs w:val="24"/>
          <w:lang w:eastAsia="en-US"/>
        </w:rPr>
        <w:t>debía</w:t>
      </w:r>
      <w:r w:rsidR="00CF2366" w:rsidRPr="00EC6242">
        <w:rPr>
          <w:rFonts w:ascii="Arial" w:eastAsiaTheme="minorHAnsi" w:hAnsi="Arial" w:cs="Arial"/>
          <w:bCs/>
          <w:i/>
          <w:sz w:val="24"/>
          <w:szCs w:val="24"/>
          <w:lang w:eastAsia="en-US"/>
        </w:rPr>
        <w:t xml:space="preserve"> hacer una interpretación extensiva del precepto legal que sí establece los conceptos que deben incluirse </w:t>
      </w:r>
      <w:r w:rsidR="0015643E" w:rsidRPr="00EC6242">
        <w:rPr>
          <w:rFonts w:ascii="Arial" w:eastAsiaTheme="minorHAnsi" w:hAnsi="Arial" w:cs="Arial"/>
          <w:bCs/>
          <w:i/>
          <w:sz w:val="24"/>
          <w:szCs w:val="24"/>
          <w:lang w:eastAsia="en-US"/>
        </w:rPr>
        <w:t xml:space="preserve">en el pago de una pensión por jubilación, como lo es el artículo 54 de la Ley de Pensiones de los Trabajadores del Gobierno del Estado. Virtud que simplemente establecer una cantidad determinada sin dar razones jurídicas que sustenten tal decisión ni señalar el precepto legal que así lo indique, </w:t>
      </w:r>
      <w:r w:rsidR="0015643E" w:rsidRPr="00EC6242">
        <w:rPr>
          <w:rFonts w:ascii="Arial" w:eastAsiaTheme="minorHAnsi" w:hAnsi="Arial" w:cs="Arial"/>
          <w:b/>
          <w:i/>
          <w:sz w:val="24"/>
          <w:szCs w:val="24"/>
          <w:lang w:eastAsia="en-US"/>
        </w:rPr>
        <w:t>constituye una violación</w:t>
      </w:r>
      <w:r w:rsidR="0015643E" w:rsidRPr="00EC6242">
        <w:rPr>
          <w:rFonts w:ascii="Arial" w:eastAsiaTheme="minorHAnsi" w:hAnsi="Arial" w:cs="Arial"/>
          <w:bCs/>
          <w:i/>
          <w:sz w:val="24"/>
          <w:szCs w:val="24"/>
          <w:lang w:eastAsia="en-US"/>
        </w:rPr>
        <w:t xml:space="preserve"> al principio de legalidad que enmarca la actuación de las autoridades administrativas, tal como lo prevé el artículo 17, fracción V de la Ley de Procedimiento y Justicia Administrativa para el Estado de Oaxaca al disponer como requisito de existencia y validez de los actos administrativos que estén fundados y motivados.</w:t>
      </w:r>
    </w:p>
    <w:p w14:paraId="2D0E309A" w14:textId="5B204D0A" w:rsidR="0015643E" w:rsidRPr="00EC6242" w:rsidRDefault="0015643E" w:rsidP="0098019D">
      <w:pPr>
        <w:spacing w:after="0" w:line="360" w:lineRule="auto"/>
        <w:ind w:left="567" w:right="616" w:firstLine="708"/>
        <w:jc w:val="both"/>
        <w:rPr>
          <w:rFonts w:ascii="Arial" w:eastAsiaTheme="minorHAnsi" w:hAnsi="Arial" w:cs="Arial"/>
          <w:bCs/>
          <w:i/>
          <w:sz w:val="24"/>
          <w:szCs w:val="24"/>
          <w:lang w:eastAsia="en-US"/>
        </w:rPr>
      </w:pPr>
      <w:r w:rsidRPr="00EC6242">
        <w:rPr>
          <w:rFonts w:ascii="Arial" w:eastAsiaTheme="minorHAnsi" w:hAnsi="Arial" w:cs="Arial"/>
          <w:bCs/>
          <w:i/>
          <w:sz w:val="24"/>
          <w:szCs w:val="24"/>
          <w:lang w:eastAsia="en-US"/>
        </w:rPr>
        <w:t>El artículo 54 de la Ley de Pensiones de los Trabajadores del Gobierno del Estado</w:t>
      </w:r>
      <w:r w:rsidR="00F605E1" w:rsidRPr="00EC6242">
        <w:rPr>
          <w:rFonts w:ascii="Arial" w:eastAsiaTheme="minorHAnsi" w:hAnsi="Arial" w:cs="Arial"/>
          <w:bCs/>
          <w:i/>
          <w:sz w:val="24"/>
          <w:szCs w:val="24"/>
          <w:lang w:eastAsia="en-US"/>
        </w:rPr>
        <w:t>, prevé en su texto lo siguiente: (lo transcribe).</w:t>
      </w:r>
    </w:p>
    <w:p w14:paraId="7CAFECB4" w14:textId="77777777" w:rsidR="0078697E" w:rsidRPr="00EC6242" w:rsidRDefault="00F605E1" w:rsidP="0098019D">
      <w:pPr>
        <w:spacing w:after="0" w:line="360" w:lineRule="auto"/>
        <w:ind w:left="567" w:right="616" w:firstLine="708"/>
        <w:jc w:val="both"/>
        <w:rPr>
          <w:rFonts w:ascii="Arial" w:eastAsiaTheme="minorHAnsi" w:hAnsi="Arial" w:cs="Arial"/>
          <w:bCs/>
          <w:i/>
          <w:sz w:val="24"/>
          <w:szCs w:val="24"/>
          <w:lang w:eastAsia="en-US"/>
        </w:rPr>
      </w:pPr>
      <w:r w:rsidRPr="00EC6242">
        <w:rPr>
          <w:rFonts w:ascii="Arial" w:eastAsiaTheme="minorHAnsi" w:hAnsi="Arial" w:cs="Arial"/>
          <w:b/>
          <w:i/>
          <w:sz w:val="24"/>
          <w:szCs w:val="24"/>
          <w:lang w:eastAsia="en-US"/>
        </w:rPr>
        <w:t>Como se ve,</w:t>
      </w:r>
      <w:r w:rsidRPr="00EC6242">
        <w:rPr>
          <w:rFonts w:ascii="Arial" w:eastAsiaTheme="minorHAnsi" w:hAnsi="Arial" w:cs="Arial"/>
          <w:bCs/>
          <w:i/>
          <w:sz w:val="24"/>
          <w:szCs w:val="24"/>
          <w:lang w:eastAsia="en-US"/>
        </w:rPr>
        <w:t xml:space="preserve"> este precepto legal prevé las prestaciones que deben incluirse en la pensión regulada en el artículo 53 de la citada Ley de Pensiones, </w:t>
      </w:r>
      <w:r w:rsidR="007A5919" w:rsidRPr="00EC6242">
        <w:rPr>
          <w:rFonts w:ascii="Arial" w:eastAsiaTheme="minorHAnsi" w:hAnsi="Arial" w:cs="Arial"/>
          <w:b/>
          <w:i/>
          <w:sz w:val="24"/>
          <w:szCs w:val="24"/>
          <w:lang w:eastAsia="en-US"/>
        </w:rPr>
        <w:t>y si bien</w:t>
      </w:r>
      <w:r w:rsidR="007A5919" w:rsidRPr="00EC6242">
        <w:rPr>
          <w:rFonts w:ascii="Arial" w:eastAsiaTheme="minorHAnsi" w:hAnsi="Arial" w:cs="Arial"/>
          <w:bCs/>
          <w:i/>
          <w:sz w:val="24"/>
          <w:szCs w:val="24"/>
          <w:lang w:eastAsia="en-US"/>
        </w:rPr>
        <w:t xml:space="preserve">, este artículo, se refiere a los trabajadores de base, el Consejo Directivo de la Oficina de Pensiones del Estado de Oaxaca </w:t>
      </w:r>
      <w:r w:rsidR="007A5919" w:rsidRPr="00EC6242">
        <w:rPr>
          <w:rFonts w:ascii="Arial" w:eastAsiaTheme="minorHAnsi" w:hAnsi="Arial" w:cs="Arial"/>
          <w:b/>
          <w:i/>
          <w:sz w:val="24"/>
          <w:szCs w:val="24"/>
          <w:lang w:eastAsia="en-US"/>
        </w:rPr>
        <w:t>debió</w:t>
      </w:r>
      <w:r w:rsidR="007A5919" w:rsidRPr="00EC6242">
        <w:rPr>
          <w:rFonts w:ascii="Arial" w:eastAsiaTheme="minorHAnsi" w:hAnsi="Arial" w:cs="Arial"/>
          <w:bCs/>
          <w:i/>
          <w:sz w:val="24"/>
          <w:szCs w:val="24"/>
          <w:lang w:eastAsia="en-US"/>
        </w:rPr>
        <w:t xml:space="preserve"> como se adelantó, hacer una interpretación </w:t>
      </w:r>
      <w:r w:rsidR="007A5919" w:rsidRPr="00EC6242">
        <w:rPr>
          <w:rFonts w:ascii="Arial" w:eastAsiaTheme="minorHAnsi" w:hAnsi="Arial" w:cs="Arial"/>
          <w:b/>
          <w:i/>
          <w:sz w:val="24"/>
          <w:szCs w:val="24"/>
          <w:lang w:eastAsia="en-US"/>
        </w:rPr>
        <w:t>extensiva</w:t>
      </w:r>
      <w:r w:rsidR="007A5919" w:rsidRPr="00EC6242">
        <w:rPr>
          <w:rFonts w:ascii="Arial" w:eastAsiaTheme="minorHAnsi" w:hAnsi="Arial" w:cs="Arial"/>
          <w:bCs/>
          <w:i/>
          <w:sz w:val="24"/>
          <w:szCs w:val="24"/>
          <w:lang w:eastAsia="en-US"/>
        </w:rPr>
        <w:t xml:space="preserve"> del citado numeral y prever que, al no existir una disposición expresa que le indique cómo habrá de integrarse la pensión de los empleados de confianza </w:t>
      </w:r>
      <w:r w:rsidR="007A5919" w:rsidRPr="00EC6242">
        <w:rPr>
          <w:rFonts w:ascii="Arial" w:eastAsiaTheme="minorHAnsi" w:hAnsi="Arial" w:cs="Arial"/>
          <w:b/>
          <w:i/>
          <w:sz w:val="24"/>
          <w:szCs w:val="24"/>
          <w:lang w:eastAsia="en-US"/>
        </w:rPr>
        <w:t xml:space="preserve">extensivamente </w:t>
      </w:r>
      <w:r w:rsidR="007A5919" w:rsidRPr="00EC6242">
        <w:rPr>
          <w:rFonts w:ascii="Arial" w:eastAsiaTheme="minorHAnsi" w:hAnsi="Arial" w:cs="Arial"/>
          <w:bCs/>
          <w:i/>
          <w:sz w:val="24"/>
          <w:szCs w:val="24"/>
          <w:lang w:eastAsia="en-US"/>
        </w:rPr>
        <w:t xml:space="preserve">debía aplicar el artículo 54, fracción I de la Ley de Pensiones de los Trabajadores del Gobierno del Estado de Oaxaca, pues así lo obliga el artículo 1, párrafo segundo de la Constitución General, y el principio de interpretación conforme y dicha forma de interpretar en manera alguna se contrapone al principio de legalidad a que alude el día de hoy en su contestación de demanda, conforme al cual las autoridades sólo pueden hacer aquello que la ley les faculta, </w:t>
      </w:r>
      <w:r w:rsidR="007A5919" w:rsidRPr="00EC6242">
        <w:rPr>
          <w:rFonts w:ascii="Arial" w:eastAsiaTheme="minorHAnsi" w:hAnsi="Arial" w:cs="Arial"/>
          <w:b/>
          <w:i/>
          <w:sz w:val="24"/>
          <w:szCs w:val="24"/>
          <w:lang w:eastAsia="en-US"/>
        </w:rPr>
        <w:t>virtud</w:t>
      </w:r>
      <w:r w:rsidR="007A5919" w:rsidRPr="00EC6242">
        <w:rPr>
          <w:rFonts w:ascii="Arial" w:eastAsiaTheme="minorHAnsi" w:hAnsi="Arial" w:cs="Arial"/>
          <w:bCs/>
          <w:i/>
          <w:sz w:val="24"/>
          <w:szCs w:val="24"/>
          <w:lang w:eastAsia="en-US"/>
        </w:rPr>
        <w:t xml:space="preserve"> que ante el paradigma constitucional de interpretación de normas de Derechos Humanos </w:t>
      </w:r>
      <w:r w:rsidR="00EB1F2E" w:rsidRPr="00EC6242">
        <w:rPr>
          <w:rFonts w:ascii="Arial" w:eastAsiaTheme="minorHAnsi" w:hAnsi="Arial" w:cs="Arial"/>
          <w:b/>
          <w:i/>
          <w:sz w:val="24"/>
          <w:szCs w:val="24"/>
          <w:lang w:eastAsia="en-US"/>
        </w:rPr>
        <w:t>todas las autoridades</w:t>
      </w:r>
      <w:r w:rsidR="00EB1F2E" w:rsidRPr="00EC6242">
        <w:rPr>
          <w:rFonts w:ascii="Arial" w:eastAsiaTheme="minorHAnsi" w:hAnsi="Arial" w:cs="Arial"/>
          <w:bCs/>
          <w:i/>
          <w:sz w:val="24"/>
          <w:szCs w:val="24"/>
          <w:lang w:eastAsia="en-US"/>
        </w:rPr>
        <w:t xml:space="preserve"> en el ámbito de sus atribuciones </w:t>
      </w:r>
      <w:r w:rsidR="00EB1F2E" w:rsidRPr="00EC6242">
        <w:rPr>
          <w:rFonts w:ascii="Arial" w:eastAsiaTheme="minorHAnsi" w:hAnsi="Arial" w:cs="Arial"/>
          <w:b/>
          <w:i/>
          <w:sz w:val="24"/>
          <w:szCs w:val="24"/>
          <w:lang w:eastAsia="en-US"/>
        </w:rPr>
        <w:t xml:space="preserve">están en </w:t>
      </w:r>
      <w:r w:rsidR="00EB1F2E" w:rsidRPr="00EC6242">
        <w:rPr>
          <w:rFonts w:ascii="Arial" w:eastAsiaTheme="minorHAnsi" w:hAnsi="Arial" w:cs="Arial"/>
          <w:b/>
          <w:i/>
          <w:sz w:val="24"/>
          <w:szCs w:val="24"/>
          <w:lang w:eastAsia="en-US"/>
        </w:rPr>
        <w:lastRenderedPageBreak/>
        <w:t xml:space="preserve">la obligación de </w:t>
      </w:r>
      <w:r w:rsidR="00EB1F2E" w:rsidRPr="00EC6242">
        <w:rPr>
          <w:rFonts w:ascii="Arial" w:eastAsiaTheme="minorHAnsi" w:hAnsi="Arial" w:cs="Arial"/>
          <w:bCs/>
          <w:i/>
          <w:sz w:val="24"/>
          <w:szCs w:val="24"/>
          <w:lang w:eastAsia="en-US"/>
        </w:rPr>
        <w:t xml:space="preserve">atender el principio </w:t>
      </w:r>
      <w:proofErr w:type="spellStart"/>
      <w:r w:rsidR="00EB1F2E" w:rsidRPr="00EC6242">
        <w:rPr>
          <w:rFonts w:ascii="Arial" w:eastAsiaTheme="minorHAnsi" w:hAnsi="Arial" w:cs="Arial"/>
          <w:bCs/>
          <w:i/>
          <w:sz w:val="24"/>
          <w:szCs w:val="24"/>
          <w:lang w:eastAsia="en-US"/>
        </w:rPr>
        <w:t>pro</w:t>
      </w:r>
      <w:proofErr w:type="spellEnd"/>
      <w:r w:rsidR="00EB1F2E" w:rsidRPr="00EC6242">
        <w:rPr>
          <w:rFonts w:ascii="Arial" w:eastAsiaTheme="minorHAnsi" w:hAnsi="Arial" w:cs="Arial"/>
          <w:bCs/>
          <w:i/>
          <w:sz w:val="24"/>
          <w:szCs w:val="24"/>
          <w:lang w:eastAsia="en-US"/>
        </w:rPr>
        <w:t xml:space="preserve"> persona, y hacer una interpretación que más favorezca a las personas.</w:t>
      </w:r>
    </w:p>
    <w:p w14:paraId="01385CD1" w14:textId="1F4D4CB9" w:rsidR="00F605E1" w:rsidRPr="00EC6242" w:rsidRDefault="0078697E" w:rsidP="0098019D">
      <w:pPr>
        <w:spacing w:after="0" w:line="360" w:lineRule="auto"/>
        <w:ind w:left="567" w:right="616" w:firstLine="708"/>
        <w:jc w:val="both"/>
        <w:rPr>
          <w:rFonts w:ascii="Arial" w:eastAsiaTheme="minorHAnsi" w:hAnsi="Arial" w:cs="Arial"/>
          <w:bCs/>
          <w:i/>
          <w:sz w:val="24"/>
          <w:szCs w:val="24"/>
          <w:lang w:eastAsia="en-US"/>
        </w:rPr>
      </w:pPr>
      <w:r w:rsidRPr="00CA304D">
        <w:rPr>
          <w:rFonts w:ascii="Arial" w:eastAsiaTheme="minorHAnsi" w:hAnsi="Arial" w:cs="Arial"/>
          <w:b/>
          <w:i/>
          <w:sz w:val="24"/>
          <w:szCs w:val="24"/>
          <w:lang w:eastAsia="en-US"/>
        </w:rPr>
        <w:t>Sin que sea óbice</w:t>
      </w:r>
      <w:r w:rsidRPr="00EC6242">
        <w:rPr>
          <w:rFonts w:ascii="Arial" w:eastAsiaTheme="minorHAnsi" w:hAnsi="Arial" w:cs="Arial"/>
          <w:bCs/>
          <w:i/>
          <w:sz w:val="24"/>
          <w:szCs w:val="24"/>
          <w:lang w:eastAsia="en-US"/>
        </w:rPr>
        <w:t xml:space="preserve"> resaltar que contrario a lo indicado por la demandada, </w:t>
      </w:r>
      <w:r w:rsidRPr="000A42AF">
        <w:rPr>
          <w:rFonts w:ascii="Arial" w:eastAsiaTheme="minorHAnsi" w:hAnsi="Arial" w:cs="Arial"/>
          <w:b/>
          <w:i/>
          <w:sz w:val="24"/>
          <w:szCs w:val="24"/>
          <w:lang w:eastAsia="en-US"/>
        </w:rPr>
        <w:t>se aparta</w:t>
      </w:r>
      <w:r w:rsidRPr="00EC6242">
        <w:rPr>
          <w:rFonts w:ascii="Arial" w:eastAsiaTheme="minorHAnsi" w:hAnsi="Arial" w:cs="Arial"/>
          <w:bCs/>
          <w:i/>
          <w:sz w:val="24"/>
          <w:szCs w:val="24"/>
          <w:lang w:eastAsia="en-US"/>
        </w:rPr>
        <w:t xml:space="preserve"> totalmente del principio de legalidad, </w:t>
      </w:r>
      <w:r w:rsidR="00A07452" w:rsidRPr="00EC6242">
        <w:rPr>
          <w:rFonts w:ascii="Arial" w:eastAsiaTheme="minorHAnsi" w:hAnsi="Arial" w:cs="Arial"/>
          <w:bCs/>
          <w:i/>
          <w:sz w:val="24"/>
          <w:szCs w:val="24"/>
          <w:lang w:eastAsia="en-US"/>
        </w:rPr>
        <w:t xml:space="preserve">el hecho de que en su acto, oficio OP/DG/666/2019 de trece de marzo de dos mil diecinueve, carezca de una fundamentación y motivación con las que justifique el por qué dejó de contemplar las prestaciones que paga a </w:t>
      </w:r>
      <w:r w:rsidR="004C6412">
        <w:rPr>
          <w:rFonts w:ascii="Arial" w:eastAsia="Times New Roman" w:hAnsi="Arial" w:cs="Arial"/>
          <w:b/>
          <w:iCs/>
          <w:color w:val="000000"/>
        </w:rPr>
        <w:t>***********</w:t>
      </w:r>
      <w:r w:rsidR="00A07452" w:rsidRPr="00EC6242">
        <w:rPr>
          <w:rFonts w:ascii="Arial" w:eastAsiaTheme="minorHAnsi" w:hAnsi="Arial" w:cs="Arial"/>
          <w:bCs/>
          <w:i/>
          <w:sz w:val="24"/>
          <w:szCs w:val="24"/>
          <w:lang w:eastAsia="en-US"/>
        </w:rPr>
        <w:t>, pues entonces su decisión se torna arbitraria.</w:t>
      </w:r>
    </w:p>
    <w:p w14:paraId="3F242582" w14:textId="1985CD58" w:rsidR="00A07452" w:rsidRPr="000A42AF" w:rsidRDefault="00A07452" w:rsidP="0098019D">
      <w:pPr>
        <w:spacing w:after="0" w:line="360" w:lineRule="auto"/>
        <w:ind w:left="567" w:right="616" w:firstLine="708"/>
        <w:jc w:val="both"/>
        <w:rPr>
          <w:rFonts w:ascii="Arial" w:eastAsiaTheme="minorHAnsi" w:hAnsi="Arial" w:cs="Arial"/>
          <w:bCs/>
          <w:i/>
          <w:sz w:val="24"/>
          <w:szCs w:val="24"/>
          <w:lang w:eastAsia="en-US"/>
        </w:rPr>
      </w:pPr>
      <w:r w:rsidRPr="000A42AF">
        <w:rPr>
          <w:rFonts w:ascii="Arial" w:eastAsiaTheme="minorHAnsi" w:hAnsi="Arial" w:cs="Arial"/>
          <w:bCs/>
          <w:i/>
          <w:sz w:val="24"/>
          <w:szCs w:val="24"/>
          <w:lang w:eastAsia="en-US"/>
        </w:rPr>
        <w:t xml:space="preserve">En cuanto al argumento que sostiene la Suprema Corte de Justicia de la Nación ha establecido que en la interpretación del artículo 123, apartado B existen trabajadores de confianza y de base y que esa diferencia sólo les asegura a los trabajadores de confianza un sueldo y previsión social y que tal interpretación constitucional es lo que le permite hacer el cálculo en la forma en que lo hizo y no conceder canonjías o beneficios de otra índole, basándose en el criterio rubro “TRABAJADORES AL SERVICIO DEL ESTADO. EL ARTÍCULO 8º DE LA LEY FEDERAL RELATIVA QUE EXCLUYE A LOS DE CONFIANZA DE LOS DERECHOS QUE TIENEN LOS DE BASE, NO VIOLA EL PRINCIPIO DE IGUALDAD”, </w:t>
      </w:r>
      <w:r w:rsidRPr="000A42AF">
        <w:rPr>
          <w:rFonts w:ascii="Arial" w:eastAsiaTheme="minorHAnsi" w:hAnsi="Arial" w:cs="Arial"/>
          <w:b/>
          <w:i/>
          <w:sz w:val="24"/>
          <w:szCs w:val="24"/>
          <w:lang w:eastAsia="en-US"/>
        </w:rPr>
        <w:t>importa</w:t>
      </w:r>
      <w:r w:rsidRPr="000A42AF">
        <w:rPr>
          <w:rFonts w:ascii="Arial" w:eastAsiaTheme="minorHAnsi" w:hAnsi="Arial" w:cs="Arial"/>
          <w:bCs/>
          <w:i/>
          <w:sz w:val="24"/>
          <w:szCs w:val="24"/>
          <w:lang w:eastAsia="en-US"/>
        </w:rPr>
        <w:t xml:space="preserve"> señalar que, tal criterio no es aplicable al caso en concreto por el tema que refiere relativo al tema de la estabilidad en el empleo, ya que dicha jurisprudencia alude a esa diferencia que existe entre los trabajadores de base y de confianza y al derecho que tienen los primeros frente a los segundos a tener una estabilidad en el empleo y no es alusiva a las prestaciones que integran el salario de los trabajadores. </w:t>
      </w:r>
    </w:p>
    <w:p w14:paraId="3D2374A6" w14:textId="0B36B0B9" w:rsidR="002C4E3C" w:rsidRPr="000A42AF" w:rsidRDefault="002C4E3C" w:rsidP="0098019D">
      <w:pPr>
        <w:spacing w:after="0" w:line="360" w:lineRule="auto"/>
        <w:ind w:left="567" w:right="616" w:firstLine="708"/>
        <w:jc w:val="both"/>
        <w:rPr>
          <w:rFonts w:ascii="Arial" w:eastAsiaTheme="minorHAnsi" w:hAnsi="Arial" w:cs="Arial"/>
          <w:bCs/>
          <w:i/>
          <w:sz w:val="24"/>
          <w:szCs w:val="24"/>
          <w:lang w:eastAsia="en-US"/>
        </w:rPr>
      </w:pPr>
      <w:r w:rsidRPr="000A42AF">
        <w:rPr>
          <w:rFonts w:ascii="Arial" w:eastAsiaTheme="minorHAnsi" w:hAnsi="Arial" w:cs="Arial"/>
          <w:b/>
          <w:i/>
          <w:sz w:val="24"/>
          <w:szCs w:val="24"/>
          <w:lang w:eastAsia="en-US"/>
        </w:rPr>
        <w:t>En cambio</w:t>
      </w:r>
      <w:r w:rsidRPr="000A42AF">
        <w:rPr>
          <w:rFonts w:ascii="Arial" w:eastAsiaTheme="minorHAnsi" w:hAnsi="Arial" w:cs="Arial"/>
          <w:bCs/>
          <w:i/>
          <w:sz w:val="24"/>
          <w:szCs w:val="24"/>
          <w:lang w:eastAsia="en-US"/>
        </w:rPr>
        <w:t xml:space="preserve">, la Suprema Corte de Justicia de la Nación ha interpretado que no </w:t>
      </w:r>
      <w:r w:rsidR="002F76AB" w:rsidRPr="000A42AF">
        <w:rPr>
          <w:rFonts w:ascii="Arial" w:eastAsiaTheme="minorHAnsi" w:hAnsi="Arial" w:cs="Arial"/>
          <w:bCs/>
          <w:i/>
          <w:sz w:val="24"/>
          <w:szCs w:val="24"/>
          <w:lang w:eastAsia="en-US"/>
        </w:rPr>
        <w:t xml:space="preserve">obstante la distinción que existe entre los trabajadores de base y confianza en relación con el derecho a la estabilidad en el empleo, este derecho, dice la Corte, es excepcional y no abarca, por ejemplo, lo relativo al salario, ya que dicho derecho debe ser protegido y comprende no sólo el salario que percibe un trabajador de confianza sino las prestaciones que recibe como pago, </w:t>
      </w:r>
      <w:r w:rsidR="002F76AB" w:rsidRPr="000A42AF">
        <w:rPr>
          <w:rFonts w:ascii="Arial" w:eastAsiaTheme="minorHAnsi" w:hAnsi="Arial" w:cs="Arial"/>
          <w:b/>
          <w:i/>
          <w:sz w:val="24"/>
          <w:szCs w:val="24"/>
          <w:lang w:eastAsia="en-US"/>
        </w:rPr>
        <w:t>por tanto</w:t>
      </w:r>
      <w:r w:rsidR="002F76AB" w:rsidRPr="000A42AF">
        <w:rPr>
          <w:rFonts w:ascii="Arial" w:eastAsiaTheme="minorHAnsi" w:hAnsi="Arial" w:cs="Arial"/>
          <w:bCs/>
          <w:i/>
          <w:sz w:val="24"/>
          <w:szCs w:val="24"/>
          <w:lang w:eastAsia="en-US"/>
        </w:rPr>
        <w:t xml:space="preserve">, la defensa que hace la demandada a este respecto, se torna </w:t>
      </w:r>
      <w:r w:rsidR="002F76AB" w:rsidRPr="000A42AF">
        <w:rPr>
          <w:rFonts w:ascii="Arial" w:eastAsiaTheme="minorHAnsi" w:hAnsi="Arial" w:cs="Arial"/>
          <w:b/>
          <w:i/>
          <w:sz w:val="24"/>
          <w:szCs w:val="24"/>
          <w:lang w:eastAsia="en-US"/>
        </w:rPr>
        <w:t>incorrecta</w:t>
      </w:r>
      <w:r w:rsidR="002F76AB" w:rsidRPr="000A42AF">
        <w:rPr>
          <w:rFonts w:ascii="Arial" w:eastAsiaTheme="minorHAnsi" w:hAnsi="Arial" w:cs="Arial"/>
          <w:bCs/>
          <w:i/>
          <w:sz w:val="24"/>
          <w:szCs w:val="24"/>
          <w:lang w:eastAsia="en-US"/>
        </w:rPr>
        <w:t xml:space="preserve"> y por ende ilegal. Estas ideas encuentran apoyo en la jurisprudencia</w:t>
      </w:r>
      <w:r w:rsidR="002F76AB" w:rsidRPr="0098019D">
        <w:rPr>
          <w:rFonts w:ascii="Arial" w:eastAsiaTheme="minorHAnsi" w:hAnsi="Arial" w:cs="Arial"/>
          <w:bCs/>
          <w:i/>
          <w:lang w:eastAsia="en-US"/>
        </w:rPr>
        <w:t xml:space="preserve"> </w:t>
      </w:r>
      <w:r w:rsidR="002F76AB" w:rsidRPr="000A42AF">
        <w:rPr>
          <w:rFonts w:ascii="Arial" w:eastAsiaTheme="minorHAnsi" w:hAnsi="Arial" w:cs="Arial"/>
          <w:bCs/>
          <w:i/>
          <w:sz w:val="24"/>
          <w:szCs w:val="24"/>
          <w:lang w:eastAsia="en-US"/>
        </w:rPr>
        <w:t xml:space="preserve">2ª./J.204/2007 de la Segunda Sala de la Suprema Corte de Justicia de la Nación que es consultable a página 205 del Tomo XXVI de noviembre de 2007 del Semanario Judicial de la Federación y su Gaceta, con el rubro y texto siguientes: “TRABAJADORES DE CONFIANZA AL </w:t>
      </w:r>
      <w:r w:rsidR="002F76AB" w:rsidRPr="000A42AF">
        <w:rPr>
          <w:rFonts w:ascii="Arial" w:eastAsiaTheme="minorHAnsi" w:hAnsi="Arial" w:cs="Arial"/>
          <w:bCs/>
          <w:i/>
          <w:sz w:val="24"/>
          <w:szCs w:val="24"/>
          <w:lang w:eastAsia="en-US"/>
        </w:rPr>
        <w:lastRenderedPageBreak/>
        <w:t>SERVICIO DEL ESTADO. AUNQUE NO GOZAN DEL DERECHO A LA ESTABILIDAD EN EL EMPLEO, EL ARTÍCULO 123 APARTADO B, FRACCIÓN XIV, DE LA CONSTITUCIÓN POLÍTICA DE LOS ESTADOS UNIDOS MEXICANOS, LES OTORGA DERECHOS DE PROTECCIÓN AL SALARIO Y DE SEGURIDAD SOCIAL.</w:t>
      </w:r>
      <w:r w:rsidR="003F31A6" w:rsidRPr="000A42AF">
        <w:rPr>
          <w:rFonts w:ascii="Arial" w:eastAsiaTheme="minorHAnsi" w:hAnsi="Arial" w:cs="Arial"/>
          <w:bCs/>
          <w:i/>
          <w:sz w:val="24"/>
          <w:szCs w:val="24"/>
          <w:lang w:eastAsia="en-US"/>
        </w:rPr>
        <w:t xml:space="preserve"> </w:t>
      </w:r>
      <w:r w:rsidR="002F76AB" w:rsidRPr="000A42AF">
        <w:rPr>
          <w:rFonts w:ascii="Arial" w:eastAsiaTheme="minorHAnsi" w:hAnsi="Arial" w:cs="Arial"/>
          <w:bCs/>
          <w:i/>
          <w:sz w:val="24"/>
          <w:szCs w:val="24"/>
          <w:lang w:eastAsia="en-US"/>
        </w:rPr>
        <w:t>(…)”</w:t>
      </w:r>
      <w:r w:rsidR="00902F3F" w:rsidRPr="000A42AF">
        <w:rPr>
          <w:rFonts w:ascii="Arial" w:eastAsiaTheme="minorHAnsi" w:hAnsi="Arial" w:cs="Arial"/>
          <w:bCs/>
          <w:i/>
          <w:sz w:val="24"/>
          <w:szCs w:val="24"/>
          <w:lang w:eastAsia="en-US"/>
        </w:rPr>
        <w:t>.</w:t>
      </w:r>
    </w:p>
    <w:p w14:paraId="236F313D" w14:textId="32310F65" w:rsidR="00902F3F" w:rsidRPr="000A42AF" w:rsidRDefault="00902F3F" w:rsidP="0098019D">
      <w:pPr>
        <w:spacing w:after="0" w:line="360" w:lineRule="auto"/>
        <w:ind w:left="567" w:right="616" w:firstLine="708"/>
        <w:jc w:val="both"/>
        <w:rPr>
          <w:rFonts w:ascii="Arial" w:eastAsiaTheme="minorHAnsi" w:hAnsi="Arial" w:cs="Arial"/>
          <w:bCs/>
          <w:i/>
          <w:sz w:val="24"/>
          <w:szCs w:val="24"/>
          <w:lang w:eastAsia="en-US"/>
        </w:rPr>
      </w:pPr>
      <w:r w:rsidRPr="000A42AF">
        <w:rPr>
          <w:rFonts w:ascii="Arial" w:eastAsiaTheme="minorHAnsi" w:hAnsi="Arial" w:cs="Arial"/>
          <w:b/>
          <w:i/>
          <w:sz w:val="24"/>
          <w:szCs w:val="24"/>
          <w:lang w:eastAsia="en-US"/>
        </w:rPr>
        <w:t>En ese sentido</w:t>
      </w:r>
      <w:r w:rsidRPr="000A42AF">
        <w:rPr>
          <w:rFonts w:ascii="Arial" w:eastAsiaTheme="minorHAnsi" w:hAnsi="Arial" w:cs="Arial"/>
          <w:bCs/>
          <w:i/>
          <w:sz w:val="24"/>
          <w:szCs w:val="24"/>
          <w:lang w:eastAsia="en-US"/>
        </w:rPr>
        <w:t xml:space="preserve">, es ilegal que se haya establecido en el dictamen contenido en el oficio OP/DG/666/2019 de trece de marzo de dos mil diecinueve, el pago de pensión por jubilación a </w:t>
      </w:r>
      <w:r w:rsidR="004C6412">
        <w:rPr>
          <w:rFonts w:ascii="Arial" w:eastAsia="Times New Roman" w:hAnsi="Arial" w:cs="Arial"/>
          <w:b/>
          <w:iCs/>
          <w:color w:val="000000"/>
        </w:rPr>
        <w:t>***********</w:t>
      </w:r>
      <w:r w:rsidRPr="000A42AF">
        <w:rPr>
          <w:rFonts w:ascii="Arial" w:eastAsiaTheme="minorHAnsi" w:hAnsi="Arial" w:cs="Arial"/>
          <w:bCs/>
          <w:i/>
          <w:sz w:val="24"/>
          <w:szCs w:val="24"/>
          <w:lang w:eastAsia="en-US"/>
        </w:rPr>
        <w:t xml:space="preserve">, en cantidad de </w:t>
      </w:r>
      <w:r w:rsidR="004C6412">
        <w:rPr>
          <w:rFonts w:ascii="Arial" w:eastAsia="Times New Roman" w:hAnsi="Arial" w:cs="Arial"/>
          <w:b/>
          <w:iCs/>
          <w:color w:val="000000"/>
        </w:rPr>
        <w:t>***********</w:t>
      </w:r>
      <w:r w:rsidRPr="000A42AF">
        <w:rPr>
          <w:rFonts w:ascii="Arial" w:eastAsiaTheme="minorHAnsi" w:hAnsi="Arial" w:cs="Arial"/>
          <w:bCs/>
          <w:i/>
          <w:sz w:val="24"/>
          <w:szCs w:val="24"/>
          <w:lang w:eastAsia="en-US"/>
        </w:rPr>
        <w:t xml:space="preserve"> en virtud de que tal pago no incluye prestaciones que recibía en su calidad de Secretario de Acuerdos 15 “C”  y que aparecen en los recibos de pago que exhibió con su demanda y que son: SUELDO, C.D. P.S.M., ESTÍMULO y QNIO 6</w:t>
      </w:r>
      <w:r w:rsidR="006B61C7" w:rsidRPr="000A42AF">
        <w:rPr>
          <w:rFonts w:ascii="Arial" w:eastAsiaTheme="minorHAnsi" w:hAnsi="Arial" w:cs="Arial"/>
          <w:bCs/>
          <w:i/>
          <w:sz w:val="24"/>
          <w:szCs w:val="24"/>
          <w:lang w:eastAsia="en-US"/>
        </w:rPr>
        <w:t xml:space="preserve">, resultando un total de </w:t>
      </w:r>
      <w:r w:rsidR="004C6412">
        <w:rPr>
          <w:rFonts w:ascii="Arial" w:eastAsia="Times New Roman" w:hAnsi="Arial" w:cs="Arial"/>
          <w:b/>
          <w:iCs/>
          <w:color w:val="000000"/>
        </w:rPr>
        <w:t>***********</w:t>
      </w:r>
      <w:r w:rsidR="00D2349B" w:rsidRPr="000A42AF">
        <w:rPr>
          <w:rFonts w:ascii="Arial" w:eastAsiaTheme="minorHAnsi" w:hAnsi="Arial" w:cs="Arial"/>
          <w:bCs/>
          <w:i/>
          <w:sz w:val="24"/>
          <w:szCs w:val="24"/>
          <w:lang w:eastAsia="en-US"/>
        </w:rPr>
        <w:t xml:space="preserve">como pago </w:t>
      </w:r>
      <w:r w:rsidR="00D2349B" w:rsidRPr="00A01CD2">
        <w:rPr>
          <w:rFonts w:ascii="Arial" w:eastAsiaTheme="minorHAnsi" w:hAnsi="Arial" w:cs="Arial"/>
          <w:b/>
          <w:i/>
          <w:sz w:val="24"/>
          <w:szCs w:val="24"/>
          <w:lang w:eastAsia="en-US"/>
        </w:rPr>
        <w:t>quincenal</w:t>
      </w:r>
      <w:r w:rsidR="00D2349B" w:rsidRPr="000A42AF">
        <w:rPr>
          <w:rFonts w:ascii="Arial" w:eastAsiaTheme="minorHAnsi" w:hAnsi="Arial" w:cs="Arial"/>
          <w:bCs/>
          <w:i/>
          <w:sz w:val="24"/>
          <w:szCs w:val="24"/>
          <w:lang w:eastAsia="en-US"/>
        </w:rPr>
        <w:t>, esto porque como se precisó en párrafos anteriores, el Consejo Directivo de la Oficina de Pensiones del Estado de Oaxaca no fundó ni motivó el dictamen en el que excluyó el pago de tales prestaciones al aquí actor y con ello trasgrede lo dispuesto por el artículo 17, fracción V de la Ley de Procedimiento y Justicia Administrativa para el Estado de Oaxaca.</w:t>
      </w:r>
    </w:p>
    <w:p w14:paraId="5800B55A" w14:textId="44A8CD9D" w:rsidR="00D2349B" w:rsidRPr="0098019D" w:rsidRDefault="00D2349B" w:rsidP="0098019D">
      <w:pPr>
        <w:spacing w:after="0" w:line="360" w:lineRule="auto"/>
        <w:ind w:left="567" w:right="616" w:firstLine="708"/>
        <w:jc w:val="both"/>
        <w:rPr>
          <w:rFonts w:ascii="Arial" w:eastAsiaTheme="minorHAnsi" w:hAnsi="Arial" w:cs="Arial"/>
          <w:bCs/>
          <w:i/>
          <w:lang w:eastAsia="en-US"/>
        </w:rPr>
      </w:pPr>
      <w:r w:rsidRPr="000A42AF">
        <w:rPr>
          <w:rFonts w:ascii="Arial" w:eastAsiaTheme="minorHAnsi" w:hAnsi="Arial" w:cs="Arial"/>
          <w:b/>
          <w:i/>
          <w:sz w:val="24"/>
          <w:szCs w:val="24"/>
          <w:lang w:eastAsia="en-US"/>
        </w:rPr>
        <w:t xml:space="preserve">En otro aspecto, </w:t>
      </w:r>
      <w:r w:rsidRPr="000A42AF">
        <w:rPr>
          <w:rFonts w:ascii="Arial" w:eastAsiaTheme="minorHAnsi" w:hAnsi="Arial" w:cs="Arial"/>
          <w:bCs/>
          <w:i/>
          <w:sz w:val="24"/>
          <w:szCs w:val="24"/>
          <w:lang w:eastAsia="en-US"/>
        </w:rPr>
        <w:t xml:space="preserve">manifiesta </w:t>
      </w:r>
      <w:r w:rsidR="004C6412">
        <w:rPr>
          <w:rFonts w:ascii="Arial" w:eastAsia="Times New Roman" w:hAnsi="Arial" w:cs="Arial"/>
          <w:b/>
          <w:iCs/>
          <w:color w:val="000000"/>
        </w:rPr>
        <w:t>***********</w:t>
      </w:r>
      <w:r w:rsidR="004C6412">
        <w:rPr>
          <w:rFonts w:ascii="Arial" w:eastAsia="Times New Roman" w:hAnsi="Arial" w:cs="Arial"/>
          <w:b/>
          <w:iCs/>
          <w:color w:val="000000"/>
        </w:rPr>
        <w:t xml:space="preserve"> </w:t>
      </w:r>
      <w:r w:rsidRPr="000A42AF">
        <w:rPr>
          <w:rFonts w:ascii="Arial" w:eastAsiaTheme="minorHAnsi" w:hAnsi="Arial" w:cs="Arial"/>
          <w:bCs/>
          <w:i/>
          <w:sz w:val="24"/>
          <w:szCs w:val="24"/>
          <w:lang w:eastAsia="en-US"/>
        </w:rPr>
        <w:t xml:space="preserve">que el oficio OP/DG/666/2019 de trece de marzo de dos mil diecinueve es ilegal porque estableció el pago del 9% por cuota a favor del Fondo de Pensiones y aduce ilegalidad porque la demandada </w:t>
      </w:r>
      <w:r w:rsidR="00FA3864" w:rsidRPr="000A42AF">
        <w:rPr>
          <w:rFonts w:ascii="Arial" w:eastAsiaTheme="minorHAnsi" w:hAnsi="Arial" w:cs="Arial"/>
          <w:bCs/>
          <w:i/>
          <w:sz w:val="24"/>
          <w:szCs w:val="24"/>
          <w:lang w:eastAsia="en-US"/>
        </w:rPr>
        <w:t xml:space="preserve">aplica en forma retroactiva </w:t>
      </w:r>
      <w:r w:rsidR="003F31A6" w:rsidRPr="000A42AF">
        <w:rPr>
          <w:rFonts w:ascii="Arial" w:eastAsiaTheme="minorHAnsi" w:hAnsi="Arial" w:cs="Arial"/>
          <w:bCs/>
          <w:i/>
          <w:sz w:val="24"/>
          <w:szCs w:val="24"/>
          <w:lang w:eastAsia="en-US"/>
        </w:rPr>
        <w:t>el artículo 6, fracción III de la Ley de Pensiones de los Trabajadores del Gobierno del Estado y para sostener su argumento hace alusión al criterio de rubro: “PENSIONES PARALOS TRABAJADORES DEL GOBIERNO DEL ESTADO DE OAXACA. LOS ARTÍCULOS 6, FRACCIÓN III, 18 PÁRRAFO SEGUNDO Y OCTAVO TRANSITORIO DE LA LEY RELATIVA, DISPONE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14:paraId="22914350" w14:textId="0A4102F0" w:rsidR="003F31A6" w:rsidRPr="00A01CD2" w:rsidRDefault="003F31A6" w:rsidP="0098019D">
      <w:pPr>
        <w:spacing w:after="0" w:line="360" w:lineRule="auto"/>
        <w:ind w:left="567" w:right="616" w:firstLine="708"/>
        <w:jc w:val="both"/>
        <w:rPr>
          <w:rFonts w:ascii="Arial" w:eastAsiaTheme="minorHAnsi" w:hAnsi="Arial" w:cs="Arial"/>
          <w:bCs/>
          <w:i/>
          <w:sz w:val="24"/>
          <w:szCs w:val="24"/>
          <w:lang w:eastAsia="en-US"/>
        </w:rPr>
      </w:pPr>
      <w:r w:rsidRPr="00A01CD2">
        <w:rPr>
          <w:rFonts w:ascii="Arial" w:eastAsiaTheme="minorHAnsi" w:hAnsi="Arial" w:cs="Arial"/>
          <w:b/>
          <w:i/>
          <w:sz w:val="24"/>
          <w:szCs w:val="24"/>
          <w:lang w:eastAsia="en-US"/>
        </w:rPr>
        <w:t>Por su parte</w:t>
      </w:r>
      <w:r w:rsidRPr="00A01CD2">
        <w:rPr>
          <w:rFonts w:ascii="Arial" w:eastAsiaTheme="minorHAnsi" w:hAnsi="Arial" w:cs="Arial"/>
          <w:bCs/>
          <w:i/>
          <w:sz w:val="24"/>
          <w:szCs w:val="24"/>
          <w:lang w:eastAsia="en-US"/>
        </w:rPr>
        <w:t xml:space="preserve">, la demandada a este respecto, en su contestación se limita a indicar que mediante el oficio OP/DG/666/2019 de trece de marzo de dos mil diecinueve que hoy </w:t>
      </w:r>
      <w:r w:rsidRPr="00A01CD2">
        <w:rPr>
          <w:rFonts w:ascii="Arial" w:eastAsiaTheme="minorHAnsi" w:hAnsi="Arial" w:cs="Arial"/>
          <w:bCs/>
          <w:i/>
          <w:sz w:val="24"/>
          <w:szCs w:val="24"/>
          <w:lang w:eastAsia="en-US"/>
        </w:rPr>
        <w:lastRenderedPageBreak/>
        <w:t xml:space="preserve">se analiza, se le informó a </w:t>
      </w:r>
      <w:r w:rsidR="004C6412">
        <w:rPr>
          <w:rFonts w:ascii="Arial" w:eastAsia="Times New Roman" w:hAnsi="Arial" w:cs="Arial"/>
          <w:b/>
          <w:iCs/>
          <w:color w:val="000000"/>
        </w:rPr>
        <w:t>***********</w:t>
      </w:r>
      <w:r w:rsidR="004C6412">
        <w:rPr>
          <w:rFonts w:ascii="Arial" w:eastAsia="Times New Roman" w:hAnsi="Arial" w:cs="Arial"/>
          <w:b/>
          <w:iCs/>
          <w:color w:val="000000"/>
        </w:rPr>
        <w:t xml:space="preserve"> </w:t>
      </w:r>
      <w:r w:rsidRPr="00A01CD2">
        <w:rPr>
          <w:rFonts w:ascii="Arial" w:eastAsiaTheme="minorHAnsi" w:hAnsi="Arial" w:cs="Arial"/>
          <w:bCs/>
          <w:i/>
          <w:sz w:val="24"/>
          <w:szCs w:val="24"/>
          <w:lang w:eastAsia="en-US"/>
        </w:rPr>
        <w:t xml:space="preserve"> que se realizaría el descuento del 9% de su pensión para aportarlo al Fondo de Pensiones.</w:t>
      </w:r>
    </w:p>
    <w:p w14:paraId="5B1D5006" w14:textId="783538E1" w:rsidR="003F31A6" w:rsidRPr="00A01CD2" w:rsidRDefault="003F31A6" w:rsidP="0098019D">
      <w:pPr>
        <w:spacing w:after="0" w:line="360" w:lineRule="auto"/>
        <w:ind w:left="567" w:right="616" w:firstLine="708"/>
        <w:jc w:val="both"/>
        <w:rPr>
          <w:rFonts w:ascii="Arial" w:eastAsiaTheme="minorHAnsi" w:hAnsi="Arial" w:cs="Arial"/>
          <w:bCs/>
          <w:i/>
          <w:sz w:val="24"/>
          <w:szCs w:val="24"/>
          <w:lang w:eastAsia="en-US"/>
        </w:rPr>
      </w:pPr>
      <w:r w:rsidRPr="00A01CD2">
        <w:rPr>
          <w:rFonts w:ascii="Arial" w:eastAsiaTheme="minorHAnsi" w:hAnsi="Arial" w:cs="Arial"/>
          <w:b/>
          <w:i/>
          <w:sz w:val="24"/>
          <w:szCs w:val="24"/>
          <w:lang w:eastAsia="en-US"/>
        </w:rPr>
        <w:t>En el acto impugnado oficio OP/DG/666/2019 de trece de marzo de dos mil diecinueve</w:t>
      </w:r>
      <w:r w:rsidRPr="00A01CD2">
        <w:rPr>
          <w:rFonts w:ascii="Arial" w:eastAsiaTheme="minorHAnsi" w:hAnsi="Arial" w:cs="Arial"/>
          <w:bCs/>
          <w:i/>
          <w:sz w:val="24"/>
          <w:szCs w:val="24"/>
          <w:lang w:eastAsia="en-US"/>
        </w:rPr>
        <w:t>, consta el siguiente texto: (lo transcribe).</w:t>
      </w:r>
    </w:p>
    <w:p w14:paraId="2CD41197" w14:textId="5F437A3D" w:rsidR="003F31A6" w:rsidRPr="00A01CD2" w:rsidRDefault="003F31A6" w:rsidP="0098019D">
      <w:pPr>
        <w:spacing w:after="0" w:line="360" w:lineRule="auto"/>
        <w:ind w:left="567" w:right="616" w:firstLine="708"/>
        <w:jc w:val="both"/>
        <w:rPr>
          <w:rFonts w:ascii="Arial" w:eastAsiaTheme="minorHAnsi" w:hAnsi="Arial" w:cs="Arial"/>
          <w:bCs/>
          <w:i/>
          <w:sz w:val="24"/>
          <w:szCs w:val="24"/>
          <w:lang w:eastAsia="en-US"/>
        </w:rPr>
      </w:pPr>
      <w:r w:rsidRPr="00A01CD2">
        <w:rPr>
          <w:rFonts w:ascii="Arial" w:eastAsiaTheme="minorHAnsi" w:hAnsi="Arial" w:cs="Arial"/>
          <w:b/>
          <w:i/>
          <w:sz w:val="24"/>
          <w:szCs w:val="24"/>
          <w:lang w:eastAsia="en-US"/>
        </w:rPr>
        <w:t>En efecto,</w:t>
      </w:r>
      <w:r w:rsidRPr="00A01CD2">
        <w:rPr>
          <w:rFonts w:ascii="Arial" w:eastAsiaTheme="minorHAnsi" w:hAnsi="Arial" w:cs="Arial"/>
          <w:bCs/>
          <w:i/>
          <w:sz w:val="24"/>
          <w:szCs w:val="24"/>
          <w:lang w:eastAsia="en-US"/>
        </w:rPr>
        <w:t xml:space="preserve"> como lo sostiene la parte actora, es ilegal la aplicación retroactiva de la Ley de Pensiones de los Trabajadores del Gobierno del Estado de Oaxaca cuyo artículo OCTAVO transitorio establece la obligación de los trabajadores que se jubilen o pensionen de aportar el 9</w:t>
      </w:r>
      <w:r w:rsidR="006908A1" w:rsidRPr="00A01CD2">
        <w:rPr>
          <w:rFonts w:ascii="Arial" w:eastAsiaTheme="minorHAnsi" w:hAnsi="Arial" w:cs="Arial"/>
          <w:bCs/>
          <w:i/>
          <w:sz w:val="24"/>
          <w:szCs w:val="24"/>
          <w:lang w:eastAsia="en-US"/>
        </w:rPr>
        <w:t xml:space="preserve">% de su pensión al Fondo. </w:t>
      </w:r>
      <w:r w:rsidR="006908A1" w:rsidRPr="00A01CD2">
        <w:rPr>
          <w:rFonts w:ascii="Arial" w:eastAsiaTheme="minorHAnsi" w:hAnsi="Arial" w:cs="Arial"/>
          <w:b/>
          <w:i/>
          <w:sz w:val="24"/>
          <w:szCs w:val="24"/>
          <w:lang w:eastAsia="en-US"/>
        </w:rPr>
        <w:t>En principio</w:t>
      </w:r>
      <w:r w:rsidR="006908A1" w:rsidRPr="00A01CD2">
        <w:rPr>
          <w:rFonts w:ascii="Arial" w:eastAsiaTheme="minorHAnsi" w:hAnsi="Arial" w:cs="Arial"/>
          <w:bCs/>
          <w:i/>
          <w:sz w:val="24"/>
          <w:szCs w:val="24"/>
          <w:lang w:eastAsia="en-US"/>
        </w:rPr>
        <w:t xml:space="preserve"> porque la propia autoridad demandada reconoce que el aquí actor se incorporó al Servicio del Estado antes de la Publicación de la Ley de Pensiones en comento, </w:t>
      </w:r>
      <w:r w:rsidR="006908A1" w:rsidRPr="00A01CD2">
        <w:rPr>
          <w:rFonts w:ascii="Arial" w:eastAsiaTheme="minorHAnsi" w:hAnsi="Arial" w:cs="Arial"/>
          <w:b/>
          <w:i/>
          <w:sz w:val="24"/>
          <w:szCs w:val="24"/>
          <w:lang w:eastAsia="en-US"/>
        </w:rPr>
        <w:t xml:space="preserve">pero además, </w:t>
      </w:r>
      <w:r w:rsidR="006908A1" w:rsidRPr="00A01CD2">
        <w:rPr>
          <w:rFonts w:ascii="Arial" w:eastAsiaTheme="minorHAnsi" w:hAnsi="Arial" w:cs="Arial"/>
          <w:bCs/>
          <w:i/>
          <w:sz w:val="24"/>
          <w:szCs w:val="24"/>
          <w:lang w:eastAsia="en-US"/>
        </w:rPr>
        <w:t xml:space="preserve">porque como acertadamente lo refiere el criterio invocado por el actor, el mencionado artículo octavo transitorio ha sido declarado </w:t>
      </w:r>
      <w:proofErr w:type="spellStart"/>
      <w:r w:rsidR="006908A1" w:rsidRPr="00A01CD2">
        <w:rPr>
          <w:rFonts w:ascii="Arial" w:eastAsiaTheme="minorHAnsi" w:hAnsi="Arial" w:cs="Arial"/>
          <w:bCs/>
          <w:i/>
          <w:sz w:val="24"/>
          <w:szCs w:val="24"/>
          <w:lang w:eastAsia="en-US"/>
        </w:rPr>
        <w:t>inconvencional</w:t>
      </w:r>
      <w:proofErr w:type="spellEnd"/>
      <w:r w:rsidR="006908A1" w:rsidRPr="00A01CD2">
        <w:rPr>
          <w:rFonts w:ascii="Arial" w:eastAsiaTheme="minorHAnsi" w:hAnsi="Arial" w:cs="Arial"/>
          <w:bCs/>
          <w:i/>
          <w:sz w:val="24"/>
          <w:szCs w:val="24"/>
          <w:lang w:eastAsia="en-US"/>
        </w:rPr>
        <w:t xml:space="preserve"> e inconstitucional, </w:t>
      </w:r>
      <w:r w:rsidR="006908A1" w:rsidRPr="008561A9">
        <w:rPr>
          <w:rFonts w:ascii="Arial" w:eastAsiaTheme="minorHAnsi" w:hAnsi="Arial" w:cs="Arial"/>
          <w:b/>
          <w:i/>
          <w:sz w:val="24"/>
          <w:szCs w:val="24"/>
          <w:lang w:eastAsia="en-US"/>
        </w:rPr>
        <w:t>por lo que</w:t>
      </w:r>
      <w:r w:rsidR="006908A1" w:rsidRPr="00A01CD2">
        <w:rPr>
          <w:rFonts w:ascii="Arial" w:eastAsiaTheme="minorHAnsi" w:hAnsi="Arial" w:cs="Arial"/>
          <w:bCs/>
          <w:i/>
          <w:sz w:val="24"/>
          <w:szCs w:val="24"/>
          <w:lang w:eastAsia="en-US"/>
        </w:rPr>
        <w:t xml:space="preserve">, su cita como sustento de la determinación contenida en el Dictamen es a todas luces indebida, al existir pronunciamiento previo sobre su inconstitucionalidad, </w:t>
      </w:r>
      <w:r w:rsidR="006908A1" w:rsidRPr="008561A9">
        <w:rPr>
          <w:rFonts w:ascii="Arial" w:eastAsiaTheme="minorHAnsi" w:hAnsi="Arial" w:cs="Arial"/>
          <w:b/>
          <w:i/>
          <w:sz w:val="24"/>
          <w:szCs w:val="24"/>
          <w:lang w:eastAsia="en-US"/>
        </w:rPr>
        <w:t>de donde</w:t>
      </w:r>
      <w:r w:rsidR="006908A1" w:rsidRPr="00A01CD2">
        <w:rPr>
          <w:rFonts w:ascii="Arial" w:eastAsiaTheme="minorHAnsi" w:hAnsi="Arial" w:cs="Arial"/>
          <w:bCs/>
          <w:i/>
          <w:sz w:val="24"/>
          <w:szCs w:val="24"/>
          <w:lang w:eastAsia="en-US"/>
        </w:rPr>
        <w:t xml:space="preserve"> a pesar de prevalecer el citado artículo dentro de la Ley su invocación y aplicación constituye una </w:t>
      </w:r>
      <w:r w:rsidR="006908A1" w:rsidRPr="00A01CD2">
        <w:rPr>
          <w:rFonts w:ascii="Arial" w:eastAsiaTheme="minorHAnsi" w:hAnsi="Arial" w:cs="Arial"/>
          <w:b/>
          <w:i/>
          <w:sz w:val="24"/>
          <w:szCs w:val="24"/>
          <w:lang w:eastAsia="en-US"/>
        </w:rPr>
        <w:t>indebida fundamentación</w:t>
      </w:r>
      <w:r w:rsidR="006908A1" w:rsidRPr="00A01CD2">
        <w:rPr>
          <w:rFonts w:ascii="Arial" w:eastAsiaTheme="minorHAnsi" w:hAnsi="Arial" w:cs="Arial"/>
          <w:bCs/>
          <w:i/>
          <w:sz w:val="24"/>
          <w:szCs w:val="24"/>
          <w:lang w:eastAsia="en-US"/>
        </w:rPr>
        <w:t xml:space="preserve"> del acto y por ende transgrede el artículo 17, fracción V de la </w:t>
      </w:r>
      <w:r w:rsidR="00E542D7" w:rsidRPr="00A01CD2">
        <w:rPr>
          <w:rFonts w:ascii="Arial" w:eastAsiaTheme="minorHAnsi" w:hAnsi="Arial" w:cs="Arial"/>
          <w:bCs/>
          <w:i/>
          <w:sz w:val="24"/>
          <w:szCs w:val="24"/>
          <w:lang w:eastAsia="en-US"/>
        </w:rPr>
        <w:t>Ley de Procedimiento y Justicia Administrativa para el Estado de Oaxaca.</w:t>
      </w:r>
    </w:p>
    <w:p w14:paraId="71AAA931" w14:textId="6A62C0D0" w:rsidR="00E542D7" w:rsidRPr="008561A9" w:rsidRDefault="00E542D7" w:rsidP="0098019D">
      <w:pPr>
        <w:spacing w:after="0" w:line="360" w:lineRule="auto"/>
        <w:ind w:left="567" w:right="616" w:firstLine="708"/>
        <w:jc w:val="both"/>
        <w:rPr>
          <w:rFonts w:ascii="Arial" w:eastAsiaTheme="minorHAnsi" w:hAnsi="Arial" w:cs="Arial"/>
          <w:bCs/>
          <w:i/>
          <w:sz w:val="24"/>
          <w:szCs w:val="24"/>
          <w:lang w:eastAsia="en-US"/>
        </w:rPr>
      </w:pPr>
      <w:r w:rsidRPr="008561A9">
        <w:rPr>
          <w:rFonts w:ascii="Arial" w:eastAsiaTheme="minorHAnsi" w:hAnsi="Arial" w:cs="Arial"/>
          <w:b/>
          <w:i/>
          <w:sz w:val="24"/>
          <w:szCs w:val="24"/>
          <w:lang w:eastAsia="en-US"/>
        </w:rPr>
        <w:t>En ese estado de cosas</w:t>
      </w:r>
      <w:r w:rsidRPr="008561A9">
        <w:rPr>
          <w:rFonts w:ascii="Arial" w:eastAsiaTheme="minorHAnsi" w:hAnsi="Arial" w:cs="Arial"/>
          <w:bCs/>
          <w:i/>
          <w:sz w:val="24"/>
          <w:szCs w:val="24"/>
          <w:lang w:eastAsia="en-US"/>
        </w:rPr>
        <w:t xml:space="preserve">, virtud que el oficio OP/DG/666/2019 de trece de marzo de dos mil diecinueve emitido por el Apoderado Legal del Consejo Directivo de la Oficina de Pensiones del Estado de Oaxaca se encuentra </w:t>
      </w:r>
      <w:r w:rsidRPr="008561A9">
        <w:rPr>
          <w:rFonts w:ascii="Arial" w:eastAsiaTheme="minorHAnsi" w:hAnsi="Arial" w:cs="Arial"/>
          <w:b/>
          <w:i/>
          <w:sz w:val="24"/>
          <w:szCs w:val="24"/>
          <w:lang w:eastAsia="en-US"/>
        </w:rPr>
        <w:t>indebidamente fundado y motivado</w:t>
      </w:r>
      <w:r w:rsidRPr="008561A9">
        <w:rPr>
          <w:rFonts w:ascii="Arial" w:eastAsiaTheme="minorHAnsi" w:hAnsi="Arial" w:cs="Arial"/>
          <w:bCs/>
          <w:i/>
          <w:sz w:val="24"/>
          <w:szCs w:val="24"/>
          <w:lang w:eastAsia="en-US"/>
        </w:rPr>
        <w:t xml:space="preserve">, por las razones arriba anotadas, y con ello violenta lo dispuesto por el artículo 17, fracción V de la </w:t>
      </w:r>
      <w:bookmarkStart w:id="3" w:name="_Hlk82341661"/>
      <w:r w:rsidRPr="008561A9">
        <w:rPr>
          <w:rFonts w:ascii="Arial" w:eastAsiaTheme="minorHAnsi" w:hAnsi="Arial" w:cs="Arial"/>
          <w:bCs/>
          <w:i/>
          <w:sz w:val="24"/>
          <w:szCs w:val="24"/>
          <w:lang w:eastAsia="en-US"/>
        </w:rPr>
        <w:t>Ley de Procedimiento y Justicia Administrativa para el Estado</w:t>
      </w:r>
      <w:bookmarkEnd w:id="3"/>
      <w:r w:rsidRPr="008561A9">
        <w:rPr>
          <w:rFonts w:ascii="Arial" w:eastAsiaTheme="minorHAnsi" w:hAnsi="Arial" w:cs="Arial"/>
          <w:bCs/>
          <w:i/>
          <w:sz w:val="24"/>
          <w:szCs w:val="24"/>
          <w:lang w:eastAsia="en-US"/>
        </w:rPr>
        <w:t xml:space="preserve">, con lo que sin duda, se transgrede el principio de legalidad que debe prevalecer en los actos de molestia y por ende, conforme a los artículos 208 fracción VI y 209 de la Ley de Procedimiento y Justicia Administrativa para el Estado de Oaxaca procede decretar su </w:t>
      </w:r>
      <w:r w:rsidRPr="008561A9">
        <w:rPr>
          <w:rFonts w:ascii="Arial" w:eastAsiaTheme="minorHAnsi" w:hAnsi="Arial" w:cs="Arial"/>
          <w:b/>
          <w:i/>
          <w:sz w:val="24"/>
          <w:szCs w:val="24"/>
          <w:lang w:eastAsia="en-US"/>
        </w:rPr>
        <w:t>nulidad</w:t>
      </w:r>
      <w:r w:rsidRPr="008561A9">
        <w:rPr>
          <w:rFonts w:ascii="Arial" w:eastAsiaTheme="minorHAnsi" w:hAnsi="Arial" w:cs="Arial"/>
          <w:bCs/>
          <w:i/>
          <w:sz w:val="24"/>
          <w:szCs w:val="24"/>
          <w:lang w:eastAsia="en-US"/>
        </w:rPr>
        <w:t>.</w:t>
      </w:r>
    </w:p>
    <w:p w14:paraId="698BD7FB" w14:textId="22457D05" w:rsidR="00E542D7" w:rsidRPr="0098019D" w:rsidRDefault="00E542D7" w:rsidP="0098019D">
      <w:pPr>
        <w:spacing w:after="0" w:line="360" w:lineRule="auto"/>
        <w:ind w:left="567" w:right="616" w:firstLine="708"/>
        <w:jc w:val="both"/>
        <w:rPr>
          <w:rFonts w:ascii="Arial" w:eastAsiaTheme="minorHAnsi" w:hAnsi="Arial" w:cs="Arial"/>
          <w:bCs/>
          <w:i/>
          <w:lang w:eastAsia="en-US"/>
        </w:rPr>
      </w:pPr>
      <w:r w:rsidRPr="008561A9">
        <w:rPr>
          <w:rFonts w:ascii="Arial" w:eastAsiaTheme="minorHAnsi" w:hAnsi="Arial" w:cs="Arial"/>
          <w:b/>
          <w:i/>
          <w:sz w:val="24"/>
          <w:szCs w:val="24"/>
          <w:lang w:eastAsia="en-US"/>
        </w:rPr>
        <w:t>Ahora bien</w:t>
      </w:r>
      <w:r w:rsidRPr="008561A9">
        <w:rPr>
          <w:rFonts w:ascii="Arial" w:eastAsiaTheme="minorHAnsi" w:hAnsi="Arial" w:cs="Arial"/>
          <w:bCs/>
          <w:i/>
          <w:sz w:val="24"/>
          <w:szCs w:val="24"/>
          <w:lang w:eastAsia="en-US"/>
        </w:rPr>
        <w:t xml:space="preserve">, tomando en consideración que el Dictamen contenido en el oficio OP/DG/666/2019 de trece de marzo de dos mi diecinueve emitido por el Apoderado legal del Consejo Directivo de la Oficina de Pensiones del Estado de Oaxaca es el resultado de una petición formulada por </w:t>
      </w:r>
      <w:r w:rsidR="004C6412">
        <w:rPr>
          <w:rFonts w:ascii="Arial" w:eastAsia="Times New Roman" w:hAnsi="Arial" w:cs="Arial"/>
          <w:b/>
          <w:iCs/>
          <w:color w:val="000000"/>
        </w:rPr>
        <w:t>***********</w:t>
      </w:r>
      <w:r w:rsidR="008561A9">
        <w:rPr>
          <w:rFonts w:ascii="Arial" w:eastAsiaTheme="minorHAnsi" w:hAnsi="Arial" w:cs="Arial"/>
          <w:bCs/>
          <w:i/>
          <w:sz w:val="24"/>
          <w:szCs w:val="24"/>
          <w:lang w:eastAsia="en-US"/>
        </w:rPr>
        <w:t xml:space="preserve">, </w:t>
      </w:r>
      <w:r w:rsidR="008561A9">
        <w:rPr>
          <w:rFonts w:ascii="Arial" w:eastAsiaTheme="minorHAnsi" w:hAnsi="Arial" w:cs="Arial"/>
          <w:b/>
          <w:i/>
          <w:sz w:val="24"/>
          <w:szCs w:val="24"/>
          <w:lang w:eastAsia="en-US"/>
        </w:rPr>
        <w:t xml:space="preserve">si bien </w:t>
      </w:r>
      <w:r w:rsidR="008561A9">
        <w:rPr>
          <w:rFonts w:ascii="Arial" w:eastAsiaTheme="minorHAnsi" w:hAnsi="Arial" w:cs="Arial"/>
          <w:bCs/>
          <w:i/>
          <w:sz w:val="24"/>
          <w:szCs w:val="24"/>
          <w:lang w:eastAsia="en-US"/>
        </w:rPr>
        <w:t xml:space="preserve">los defectos hallados en el citado oficio no son susceptibles de ser subsanados </w:t>
      </w:r>
      <w:r w:rsidR="008561A9">
        <w:rPr>
          <w:rFonts w:ascii="Arial" w:eastAsiaTheme="minorHAnsi" w:hAnsi="Arial" w:cs="Arial"/>
          <w:bCs/>
          <w:i/>
          <w:sz w:val="24"/>
          <w:szCs w:val="24"/>
          <w:lang w:eastAsia="en-US"/>
        </w:rPr>
        <w:lastRenderedPageBreak/>
        <w:t xml:space="preserve">pues afectan ostentosamente el acto, </w:t>
      </w:r>
      <w:r w:rsidR="008561A9">
        <w:rPr>
          <w:rFonts w:ascii="Arial" w:eastAsiaTheme="minorHAnsi" w:hAnsi="Arial" w:cs="Arial"/>
          <w:b/>
          <w:i/>
          <w:sz w:val="24"/>
          <w:szCs w:val="24"/>
          <w:lang w:eastAsia="en-US"/>
        </w:rPr>
        <w:t xml:space="preserve">resulta evidente </w:t>
      </w:r>
      <w:r w:rsidR="008561A9">
        <w:rPr>
          <w:rFonts w:ascii="Arial" w:eastAsiaTheme="minorHAnsi" w:hAnsi="Arial" w:cs="Arial"/>
          <w:bCs/>
          <w:i/>
          <w:sz w:val="24"/>
          <w:szCs w:val="24"/>
          <w:lang w:eastAsia="en-US"/>
        </w:rPr>
        <w:t xml:space="preserve"> que dicha petición no puede dejarse de responder, </w:t>
      </w:r>
      <w:r w:rsidR="008561A9">
        <w:rPr>
          <w:rFonts w:ascii="Arial" w:eastAsiaTheme="minorHAnsi" w:hAnsi="Arial" w:cs="Arial"/>
          <w:b/>
          <w:i/>
          <w:sz w:val="24"/>
          <w:szCs w:val="24"/>
          <w:lang w:eastAsia="en-US"/>
        </w:rPr>
        <w:t xml:space="preserve">por </w:t>
      </w:r>
      <w:r w:rsidR="008561A9" w:rsidRPr="00F52AAA">
        <w:rPr>
          <w:rFonts w:ascii="Arial" w:eastAsiaTheme="minorHAnsi" w:hAnsi="Arial" w:cs="Arial"/>
          <w:b/>
          <w:i/>
          <w:sz w:val="24"/>
          <w:szCs w:val="24"/>
          <w:lang w:eastAsia="en-US"/>
        </w:rPr>
        <w:t>tanto</w:t>
      </w:r>
      <w:r w:rsidR="00E877BE" w:rsidRPr="00F52AAA">
        <w:rPr>
          <w:rFonts w:ascii="Arial" w:eastAsiaTheme="minorHAnsi" w:hAnsi="Arial" w:cs="Arial"/>
          <w:b/>
          <w:i/>
          <w:sz w:val="24"/>
          <w:szCs w:val="24"/>
          <w:lang w:eastAsia="en-US"/>
        </w:rPr>
        <w:t>,</w:t>
      </w:r>
      <w:r w:rsidR="00E877BE" w:rsidRPr="00F52AAA">
        <w:rPr>
          <w:rFonts w:ascii="Arial" w:eastAsiaTheme="minorHAnsi" w:hAnsi="Arial" w:cs="Arial"/>
          <w:bCs/>
          <w:i/>
          <w:sz w:val="24"/>
          <w:szCs w:val="24"/>
          <w:lang w:eastAsia="en-US"/>
        </w:rPr>
        <w:t xml:space="preserve"> al provenir el oficio OP/DG/666/2019 de trece de marzo de dos mil diecinueve emitido por el Apoderado Legal del Consejo Directivo de la Oficina de Pensiones del Estado de Oaxaca de la petición de Félix Dominguito Ruíz</w:t>
      </w:r>
      <w:r w:rsidR="00F52AAA" w:rsidRPr="00F52AAA">
        <w:rPr>
          <w:rFonts w:ascii="Arial" w:eastAsiaTheme="minorHAnsi" w:hAnsi="Arial" w:cs="Arial"/>
          <w:bCs/>
          <w:i/>
          <w:sz w:val="24"/>
          <w:szCs w:val="24"/>
          <w:lang w:eastAsia="en-US"/>
        </w:rPr>
        <w:t xml:space="preserve"> </w:t>
      </w:r>
      <w:r w:rsidRPr="00F52AAA">
        <w:rPr>
          <w:rFonts w:ascii="Arial" w:eastAsiaTheme="minorHAnsi" w:hAnsi="Arial" w:cs="Arial"/>
          <w:bCs/>
          <w:i/>
          <w:sz w:val="24"/>
          <w:szCs w:val="24"/>
          <w:lang w:eastAsia="en-US"/>
        </w:rPr>
        <w:t xml:space="preserve">a fin de que se fijara su pensión por jubilación, con fundamento en los artículos 208 fracción VI y 209 de la Ley de Procedimiento y Justicia Administrativa para el Estado de Oaxaca, procede decretar su </w:t>
      </w:r>
      <w:r w:rsidRPr="00F52AAA">
        <w:rPr>
          <w:rFonts w:ascii="Arial" w:eastAsiaTheme="minorHAnsi" w:hAnsi="Arial" w:cs="Arial"/>
          <w:b/>
          <w:i/>
          <w:sz w:val="24"/>
          <w:szCs w:val="24"/>
          <w:lang w:eastAsia="en-US"/>
        </w:rPr>
        <w:t>nulidad para el efecto</w:t>
      </w:r>
      <w:r w:rsidRPr="00F52AAA">
        <w:rPr>
          <w:rFonts w:ascii="Arial" w:eastAsiaTheme="minorHAnsi" w:hAnsi="Arial" w:cs="Arial"/>
          <w:bCs/>
          <w:i/>
          <w:sz w:val="24"/>
          <w:szCs w:val="24"/>
          <w:lang w:eastAsia="en-US"/>
        </w:rPr>
        <w:t xml:space="preserve"> de que el Consejo Directivo de la Oficina de Pensiones del Estado de Oaxaca emita una nueva en la que ordene el pago de la pensión por jubilación incluyendo al salario las prestaciones SUELDO, C.D. P.S.M., ESTÍMULO y QNIO 6, y que resultan en un total de </w:t>
      </w:r>
      <w:r w:rsidR="004C6412">
        <w:rPr>
          <w:rFonts w:ascii="Arial" w:eastAsia="Times New Roman" w:hAnsi="Arial" w:cs="Arial"/>
          <w:b/>
          <w:iCs/>
          <w:color w:val="000000"/>
        </w:rPr>
        <w:t>***********</w:t>
      </w:r>
      <w:r w:rsidR="004C6412">
        <w:rPr>
          <w:rFonts w:ascii="Arial" w:eastAsia="Times New Roman" w:hAnsi="Arial" w:cs="Arial"/>
          <w:b/>
          <w:iCs/>
          <w:color w:val="000000"/>
        </w:rPr>
        <w:t xml:space="preserve"> </w:t>
      </w:r>
      <w:r w:rsidR="0098019D" w:rsidRPr="00F52AAA">
        <w:rPr>
          <w:rFonts w:ascii="Arial" w:eastAsiaTheme="minorHAnsi" w:hAnsi="Arial" w:cs="Arial"/>
          <w:bCs/>
          <w:i/>
          <w:sz w:val="24"/>
          <w:szCs w:val="24"/>
          <w:lang w:eastAsia="en-US"/>
        </w:rPr>
        <w:t xml:space="preserve">como consta en los recibos de pago agregados al sumario, </w:t>
      </w:r>
      <w:r w:rsidR="0098019D" w:rsidRPr="00F52AAA">
        <w:rPr>
          <w:rFonts w:ascii="Arial" w:eastAsiaTheme="minorHAnsi" w:hAnsi="Arial" w:cs="Arial"/>
          <w:b/>
          <w:i/>
          <w:sz w:val="24"/>
          <w:szCs w:val="24"/>
          <w:lang w:eastAsia="en-US"/>
        </w:rPr>
        <w:t>asimismo</w:t>
      </w:r>
      <w:r w:rsidR="0098019D" w:rsidRPr="00F52AAA">
        <w:rPr>
          <w:rFonts w:ascii="Arial" w:eastAsiaTheme="minorHAnsi" w:hAnsi="Arial" w:cs="Arial"/>
          <w:bCs/>
          <w:i/>
          <w:sz w:val="24"/>
          <w:szCs w:val="24"/>
          <w:lang w:eastAsia="en-US"/>
        </w:rPr>
        <w:t xml:space="preserve"> para que deje sin efectos el descuento del 9% sobre la pensión por jubilación de </w:t>
      </w:r>
      <w:r w:rsidR="004C6412">
        <w:rPr>
          <w:rFonts w:ascii="Arial" w:eastAsia="Times New Roman" w:hAnsi="Arial" w:cs="Arial"/>
          <w:b/>
          <w:iCs/>
          <w:color w:val="000000"/>
        </w:rPr>
        <w:t>***********</w:t>
      </w:r>
      <w:r w:rsidR="0098019D" w:rsidRPr="00F52AAA">
        <w:rPr>
          <w:rFonts w:ascii="Arial" w:eastAsiaTheme="minorHAnsi" w:hAnsi="Arial" w:cs="Arial"/>
          <w:bCs/>
          <w:i/>
          <w:sz w:val="24"/>
          <w:szCs w:val="24"/>
          <w:lang w:eastAsia="en-US"/>
        </w:rPr>
        <w:t xml:space="preserve">, al haberse declarado inconstitucional e </w:t>
      </w:r>
      <w:proofErr w:type="spellStart"/>
      <w:r w:rsidR="0098019D" w:rsidRPr="00F52AAA">
        <w:rPr>
          <w:rFonts w:ascii="Arial" w:eastAsiaTheme="minorHAnsi" w:hAnsi="Arial" w:cs="Arial"/>
          <w:bCs/>
          <w:i/>
          <w:sz w:val="24"/>
          <w:szCs w:val="24"/>
          <w:lang w:eastAsia="en-US"/>
        </w:rPr>
        <w:t>inconvencional</w:t>
      </w:r>
      <w:proofErr w:type="spellEnd"/>
      <w:r w:rsidR="0098019D" w:rsidRPr="00F52AAA">
        <w:rPr>
          <w:rFonts w:ascii="Arial" w:eastAsiaTheme="minorHAnsi" w:hAnsi="Arial" w:cs="Arial"/>
          <w:bCs/>
          <w:i/>
          <w:sz w:val="24"/>
          <w:szCs w:val="24"/>
          <w:lang w:eastAsia="en-US"/>
        </w:rPr>
        <w:t xml:space="preserve"> el artículo octavo transitorio de la Ley de Pensiones de los Trabajadores del Gobierno del Estado de Oaxaca. Debiendo informar sobre el cumplimiento de la sentencia una vez que la misma cause ejecutoria”.</w:t>
      </w:r>
      <w:r w:rsidR="00B954A4">
        <w:rPr>
          <w:rFonts w:ascii="Arial" w:eastAsiaTheme="minorHAnsi" w:hAnsi="Arial" w:cs="Arial"/>
          <w:bCs/>
          <w:i/>
          <w:sz w:val="24"/>
          <w:szCs w:val="24"/>
          <w:lang w:eastAsia="en-US"/>
        </w:rPr>
        <w:t xml:space="preserve"> - - - - - - - - - - </w:t>
      </w:r>
      <w:r w:rsidR="004C6412">
        <w:rPr>
          <w:rFonts w:ascii="Arial" w:eastAsiaTheme="minorHAnsi" w:hAnsi="Arial" w:cs="Arial"/>
          <w:bCs/>
          <w:i/>
          <w:sz w:val="24"/>
          <w:szCs w:val="24"/>
          <w:lang w:eastAsia="en-US"/>
        </w:rPr>
        <w:t xml:space="preserve">- - - - - - - - - - - - - - - - - - - </w:t>
      </w:r>
      <w:bookmarkStart w:id="4" w:name="_GoBack"/>
      <w:bookmarkEnd w:id="4"/>
    </w:p>
    <w:p w14:paraId="0ECDC76B" w14:textId="3B299F7B" w:rsidR="00E542D7" w:rsidRPr="0098019D" w:rsidRDefault="00E542D7" w:rsidP="0098019D">
      <w:pPr>
        <w:spacing w:after="0" w:line="360" w:lineRule="auto"/>
        <w:ind w:left="567" w:right="616" w:firstLine="708"/>
        <w:jc w:val="both"/>
        <w:rPr>
          <w:rFonts w:ascii="Arial" w:eastAsiaTheme="minorHAnsi" w:hAnsi="Arial" w:cs="Arial"/>
          <w:bCs/>
          <w:i/>
          <w:lang w:eastAsia="en-US"/>
        </w:rPr>
      </w:pPr>
    </w:p>
    <w:p w14:paraId="4CE779E9" w14:textId="64924FA1" w:rsidR="00765973" w:rsidRDefault="00765973" w:rsidP="00765973">
      <w:pPr>
        <w:spacing w:after="0" w:line="360" w:lineRule="auto"/>
        <w:ind w:right="-234" w:firstLine="567"/>
        <w:jc w:val="both"/>
        <w:rPr>
          <w:rFonts w:ascii="Arial" w:hAnsi="Arial" w:cs="Arial"/>
          <w:bCs/>
          <w:iCs/>
          <w:sz w:val="26"/>
          <w:szCs w:val="26"/>
        </w:rPr>
      </w:pPr>
      <w:r w:rsidRPr="00E8412F">
        <w:rPr>
          <w:rFonts w:ascii="Arial" w:hAnsi="Arial" w:cs="Arial"/>
          <w:bCs/>
          <w:iCs/>
          <w:sz w:val="26"/>
          <w:szCs w:val="26"/>
        </w:rPr>
        <w:t xml:space="preserve">Como se ve, la </w:t>
      </w:r>
      <w:r w:rsidRPr="00E8412F">
        <w:rPr>
          <w:rFonts w:ascii="Arial" w:hAnsi="Arial" w:cs="Arial"/>
          <w:bCs/>
          <w:i/>
          <w:iCs/>
          <w:sz w:val="26"/>
          <w:szCs w:val="26"/>
        </w:rPr>
        <w:t>A quo,</w:t>
      </w:r>
      <w:r w:rsidRPr="00E8412F">
        <w:rPr>
          <w:rFonts w:ascii="Arial" w:hAnsi="Arial" w:cs="Arial"/>
          <w:bCs/>
          <w:iCs/>
          <w:sz w:val="26"/>
          <w:szCs w:val="26"/>
        </w:rPr>
        <w:t xml:space="preserve"> al fundar la sentencia de fecha</w:t>
      </w:r>
      <w:r w:rsidR="005A576F">
        <w:rPr>
          <w:rFonts w:ascii="Arial" w:hAnsi="Arial" w:cs="Arial"/>
          <w:bCs/>
          <w:iCs/>
          <w:sz w:val="26"/>
          <w:szCs w:val="26"/>
        </w:rPr>
        <w:t xml:space="preserve"> once de diciembre de dos mil veinte</w:t>
      </w:r>
      <w:r w:rsidRPr="00E8412F">
        <w:rPr>
          <w:rFonts w:ascii="Arial" w:hAnsi="Arial" w:cs="Arial"/>
          <w:bCs/>
          <w:iCs/>
          <w:sz w:val="26"/>
          <w:szCs w:val="26"/>
        </w:rPr>
        <w:t xml:space="preserve">, sí cumplió con la obligación estipulada en el artículo 16 de la Constitución Federal, al citar con </w:t>
      </w:r>
      <w:r w:rsidRPr="00E8412F">
        <w:rPr>
          <w:rFonts w:ascii="Arial" w:hAnsi="Arial" w:cs="Arial"/>
          <w:color w:val="000000"/>
          <w:sz w:val="26"/>
          <w:szCs w:val="26"/>
        </w:rPr>
        <w:t xml:space="preserve">precisión los preceptos legales aplicables al caso sometido a su consideración, y, también cumplió con la garantía de motivación exigida por el mismo precepto, al haber pormenorizado las circunstancias especiales, razones particulares o causas inmediatas que tuvo en consideración para declarar la nulidad </w:t>
      </w:r>
      <w:bookmarkStart w:id="5" w:name="_Hlk82342169"/>
      <w:r w:rsidRPr="00E8412F">
        <w:rPr>
          <w:rFonts w:ascii="Arial" w:hAnsi="Arial" w:cs="Arial"/>
          <w:color w:val="000000"/>
          <w:sz w:val="26"/>
          <w:szCs w:val="26"/>
        </w:rPr>
        <w:t xml:space="preserve">para efectos del oficio número </w:t>
      </w:r>
      <w:r w:rsidRPr="00E8412F">
        <w:rPr>
          <w:rFonts w:ascii="Arial" w:hAnsi="Arial" w:cs="Arial"/>
          <w:bCs/>
          <w:iCs/>
          <w:sz w:val="26"/>
          <w:szCs w:val="26"/>
        </w:rPr>
        <w:t>OP/DG/</w:t>
      </w:r>
      <w:r w:rsidR="005A576F">
        <w:rPr>
          <w:rFonts w:ascii="Arial" w:hAnsi="Arial" w:cs="Arial"/>
          <w:bCs/>
          <w:iCs/>
          <w:sz w:val="26"/>
          <w:szCs w:val="26"/>
        </w:rPr>
        <w:t>666</w:t>
      </w:r>
      <w:r w:rsidRPr="00E8412F">
        <w:rPr>
          <w:rFonts w:ascii="Arial" w:hAnsi="Arial" w:cs="Arial"/>
          <w:bCs/>
          <w:iCs/>
          <w:sz w:val="26"/>
          <w:szCs w:val="26"/>
        </w:rPr>
        <w:t>/201</w:t>
      </w:r>
      <w:r w:rsidR="005A576F">
        <w:rPr>
          <w:rFonts w:ascii="Arial" w:hAnsi="Arial" w:cs="Arial"/>
          <w:bCs/>
          <w:iCs/>
          <w:sz w:val="26"/>
          <w:szCs w:val="26"/>
        </w:rPr>
        <w:t>9</w:t>
      </w:r>
      <w:r w:rsidRPr="00E8412F">
        <w:rPr>
          <w:rFonts w:ascii="Arial" w:hAnsi="Arial" w:cs="Arial"/>
          <w:bCs/>
          <w:iCs/>
          <w:sz w:val="26"/>
          <w:szCs w:val="26"/>
        </w:rPr>
        <w:t xml:space="preserve">, de fecha </w:t>
      </w:r>
      <w:r w:rsidR="005A576F">
        <w:rPr>
          <w:rFonts w:ascii="Arial" w:hAnsi="Arial" w:cs="Arial"/>
          <w:bCs/>
          <w:iCs/>
          <w:sz w:val="26"/>
          <w:szCs w:val="26"/>
        </w:rPr>
        <w:t xml:space="preserve">trece de marzo de dos mil diecinueve. </w:t>
      </w:r>
      <w:bookmarkEnd w:id="5"/>
      <w:r w:rsidR="005A576F">
        <w:rPr>
          <w:rFonts w:ascii="Arial" w:hAnsi="Arial" w:cs="Arial"/>
          <w:bCs/>
          <w:iCs/>
          <w:sz w:val="26"/>
          <w:szCs w:val="26"/>
        </w:rPr>
        <w:t xml:space="preserve">De ahí lo </w:t>
      </w:r>
      <w:r w:rsidR="00DA6C03" w:rsidRPr="005A576F">
        <w:rPr>
          <w:rFonts w:ascii="Arial" w:hAnsi="Arial" w:cs="Arial"/>
          <w:b/>
          <w:iCs/>
          <w:sz w:val="26"/>
          <w:szCs w:val="26"/>
        </w:rPr>
        <w:t>infundado</w:t>
      </w:r>
      <w:r w:rsidR="005A576F">
        <w:rPr>
          <w:rFonts w:ascii="Arial" w:hAnsi="Arial" w:cs="Arial"/>
          <w:bCs/>
          <w:iCs/>
          <w:sz w:val="26"/>
          <w:szCs w:val="26"/>
        </w:rPr>
        <w:t xml:space="preserve"> del agravio. </w:t>
      </w:r>
      <w:r w:rsidR="0032755E">
        <w:rPr>
          <w:rFonts w:ascii="Arial" w:hAnsi="Arial" w:cs="Arial"/>
          <w:bCs/>
          <w:iCs/>
          <w:sz w:val="26"/>
          <w:szCs w:val="26"/>
        </w:rPr>
        <w:t xml:space="preserve">- - - - - - - - - - - - - - - </w:t>
      </w:r>
    </w:p>
    <w:p w14:paraId="05F56BBF" w14:textId="7712AF06" w:rsidR="005A576F" w:rsidRDefault="005A576F" w:rsidP="00765973">
      <w:pPr>
        <w:spacing w:after="0" w:line="360" w:lineRule="auto"/>
        <w:ind w:right="-234" w:firstLine="567"/>
        <w:jc w:val="both"/>
        <w:rPr>
          <w:rFonts w:ascii="Arial" w:hAnsi="Arial" w:cs="Arial"/>
          <w:bCs/>
          <w:iCs/>
          <w:sz w:val="26"/>
          <w:szCs w:val="26"/>
        </w:rPr>
      </w:pPr>
      <w:r>
        <w:rPr>
          <w:rFonts w:ascii="Arial" w:hAnsi="Arial" w:cs="Arial"/>
          <w:bCs/>
          <w:iCs/>
          <w:sz w:val="26"/>
          <w:szCs w:val="26"/>
        </w:rPr>
        <w:t xml:space="preserve">En otro segmento del agravio segundo, la autoridad recurrente alegó que el titular de la Sala Instructora de Primera Instancia, omitió exponer las razones por las que suplió en favor del actor la deficiencia de la queja, porque el actor no vertió argumentaciones jurídicas tendientes a demostrar por qué resultaba ilegal que se le agregaran a su pensión las prestaciones que recibía cuando era trabajador activo, ya que la autoridad jurisdiccional concluyó que </w:t>
      </w:r>
      <w:r w:rsidR="004A3E75">
        <w:rPr>
          <w:rFonts w:ascii="Arial" w:hAnsi="Arial" w:cs="Arial"/>
          <w:bCs/>
          <w:iCs/>
          <w:sz w:val="26"/>
          <w:szCs w:val="26"/>
        </w:rPr>
        <w:t xml:space="preserve">“el acto administrativo fue emitido de manera ilegal al no cumplir con el requisito de validez del acto administrativo previsto en la fracción V, del artículo 17, en relación con el artículo 208, fracciones II y VI </w:t>
      </w:r>
      <w:r w:rsidR="004A3E75">
        <w:rPr>
          <w:rFonts w:ascii="Arial" w:hAnsi="Arial" w:cs="Arial"/>
          <w:bCs/>
          <w:iCs/>
          <w:sz w:val="26"/>
          <w:szCs w:val="26"/>
        </w:rPr>
        <w:lastRenderedPageBreak/>
        <w:t xml:space="preserve">de la </w:t>
      </w:r>
      <w:r w:rsidR="004A3E75" w:rsidRPr="004A3E75">
        <w:rPr>
          <w:rFonts w:ascii="Arial" w:hAnsi="Arial" w:cs="Arial"/>
          <w:bCs/>
          <w:iCs/>
          <w:sz w:val="26"/>
          <w:szCs w:val="26"/>
        </w:rPr>
        <w:t>Ley de Procedimiento y Justicia Administrativa para el Estado</w:t>
      </w:r>
      <w:r w:rsidR="004A3E75">
        <w:rPr>
          <w:rFonts w:ascii="Arial" w:hAnsi="Arial" w:cs="Arial"/>
          <w:bCs/>
          <w:iCs/>
          <w:sz w:val="26"/>
          <w:szCs w:val="26"/>
        </w:rPr>
        <w:t xml:space="preserve"> de Oaxaca”, vulnerando con ello el derecho de igualdad procesal y el principio que rige al presente juicio y que es principio de estricto derecho, ya que la negativa de no incluir a su pensión las prestaciones de la fracción I del artículo 54 de la Ley de Pensiones para los Trabajadores del Gobierno del Estado de Oaxaca, se fundó en la exigencia que no está debidamente normado en la Ley.</w:t>
      </w:r>
      <w:r w:rsidR="00357059">
        <w:rPr>
          <w:rFonts w:ascii="Arial" w:hAnsi="Arial" w:cs="Arial"/>
          <w:bCs/>
          <w:iCs/>
          <w:sz w:val="26"/>
          <w:szCs w:val="26"/>
        </w:rPr>
        <w:t xml:space="preserve"> - - - - - - - - - - - - - - - - - - - - - - - - - - - - - - - - - - - - - - - </w:t>
      </w:r>
    </w:p>
    <w:p w14:paraId="316F23CB" w14:textId="207A3625" w:rsidR="004A3E75" w:rsidRDefault="00847D72" w:rsidP="00765973">
      <w:pPr>
        <w:spacing w:after="0" w:line="360" w:lineRule="auto"/>
        <w:ind w:right="-234" w:firstLine="567"/>
        <w:jc w:val="both"/>
        <w:rPr>
          <w:rFonts w:ascii="Arial" w:hAnsi="Arial" w:cs="Arial"/>
          <w:bCs/>
          <w:iCs/>
          <w:sz w:val="26"/>
          <w:szCs w:val="26"/>
        </w:rPr>
      </w:pPr>
      <w:r>
        <w:rPr>
          <w:rFonts w:ascii="Arial" w:hAnsi="Arial" w:cs="Arial"/>
          <w:bCs/>
          <w:iCs/>
          <w:sz w:val="26"/>
          <w:szCs w:val="26"/>
        </w:rPr>
        <w:t xml:space="preserve">Afirma la autoridad inconforme que bajo esa premisa, se debe hacer manifiesto, que los argumentos por los cuales fue decretada la nulidad del acto impugnado, no fueron expuestos por el actor del juicio primigenio, extralimitándose la autoridad recurrida, ya que si dichas razones las expuso en atención a la suplencia de la queja, debió exponer las razones por las cuales hizo uso de esa facultad, sin que en el caso particular ocurriera, contraviniendo con su actuar lo señalado en la fracción I, del artículo 207 de la Ley de </w:t>
      </w:r>
      <w:r w:rsidRPr="004A3E75">
        <w:rPr>
          <w:rFonts w:ascii="Arial" w:hAnsi="Arial" w:cs="Arial"/>
          <w:bCs/>
          <w:iCs/>
          <w:sz w:val="26"/>
          <w:szCs w:val="26"/>
        </w:rPr>
        <w:t>Procedimiento y Justicia Administrativa para el Estado</w:t>
      </w:r>
      <w:r>
        <w:rPr>
          <w:rFonts w:ascii="Arial" w:hAnsi="Arial" w:cs="Arial"/>
          <w:bCs/>
          <w:iCs/>
          <w:sz w:val="26"/>
          <w:szCs w:val="26"/>
        </w:rPr>
        <w:t xml:space="preserve"> de Oaxaca.</w:t>
      </w:r>
      <w:r w:rsidR="008304AD" w:rsidRPr="008304AD">
        <w:rPr>
          <w:rFonts w:ascii="Arial" w:hAnsi="Arial" w:cs="Arial"/>
          <w:bCs/>
          <w:iCs/>
          <w:sz w:val="26"/>
          <w:szCs w:val="26"/>
        </w:rPr>
        <w:t xml:space="preserve"> </w:t>
      </w:r>
      <w:r w:rsidR="008304AD">
        <w:rPr>
          <w:rFonts w:ascii="Arial" w:hAnsi="Arial" w:cs="Arial"/>
          <w:bCs/>
          <w:iCs/>
          <w:sz w:val="26"/>
          <w:szCs w:val="26"/>
        </w:rPr>
        <w:t xml:space="preserve">- - - - - - - - - - - - - - - - - - - - - - - - - - - - - - - - - - - - - - - </w:t>
      </w:r>
    </w:p>
    <w:p w14:paraId="047AA6F5" w14:textId="22EA7355" w:rsidR="00847D72" w:rsidRPr="00E8412F" w:rsidRDefault="00EF020C" w:rsidP="00765973">
      <w:pPr>
        <w:spacing w:after="0" w:line="360" w:lineRule="auto"/>
        <w:ind w:right="-234" w:firstLine="567"/>
        <w:jc w:val="both"/>
        <w:rPr>
          <w:rFonts w:ascii="Arial" w:hAnsi="Arial" w:cs="Arial"/>
          <w:bCs/>
          <w:iCs/>
          <w:sz w:val="26"/>
          <w:szCs w:val="26"/>
        </w:rPr>
      </w:pPr>
      <w:r w:rsidRPr="00EF020C">
        <w:rPr>
          <w:rFonts w:ascii="Arial" w:hAnsi="Arial" w:cs="Arial"/>
          <w:bCs/>
          <w:iCs/>
          <w:sz w:val="26"/>
          <w:szCs w:val="26"/>
        </w:rPr>
        <w:t xml:space="preserve">Esta Sala Superior estima que las </w:t>
      </w:r>
      <w:r>
        <w:rPr>
          <w:rFonts w:ascii="Arial" w:hAnsi="Arial" w:cs="Arial"/>
          <w:bCs/>
          <w:iCs/>
          <w:sz w:val="26"/>
          <w:szCs w:val="26"/>
        </w:rPr>
        <w:t xml:space="preserve">anteriores </w:t>
      </w:r>
      <w:r w:rsidRPr="00EF020C">
        <w:rPr>
          <w:rFonts w:ascii="Arial" w:hAnsi="Arial" w:cs="Arial"/>
          <w:bCs/>
          <w:iCs/>
          <w:sz w:val="26"/>
          <w:szCs w:val="26"/>
        </w:rPr>
        <w:t xml:space="preserve">aseveraciones expresadas por la autoridad inconforme en su oficio de </w:t>
      </w:r>
      <w:r w:rsidR="00E57D48">
        <w:rPr>
          <w:rFonts w:ascii="Arial" w:hAnsi="Arial" w:cs="Arial"/>
          <w:bCs/>
          <w:iCs/>
          <w:sz w:val="26"/>
          <w:szCs w:val="26"/>
        </w:rPr>
        <w:t>R</w:t>
      </w:r>
      <w:r w:rsidRPr="00EF020C">
        <w:rPr>
          <w:rFonts w:ascii="Arial" w:hAnsi="Arial" w:cs="Arial"/>
          <w:bCs/>
          <w:iCs/>
          <w:sz w:val="26"/>
          <w:szCs w:val="26"/>
        </w:rPr>
        <w:t xml:space="preserve">ecurso de </w:t>
      </w:r>
      <w:r w:rsidR="00E57D48">
        <w:rPr>
          <w:rFonts w:ascii="Arial" w:hAnsi="Arial" w:cs="Arial"/>
          <w:bCs/>
          <w:iCs/>
          <w:sz w:val="26"/>
          <w:szCs w:val="26"/>
        </w:rPr>
        <w:t>R</w:t>
      </w:r>
      <w:r w:rsidRPr="00EF020C">
        <w:rPr>
          <w:rFonts w:ascii="Arial" w:hAnsi="Arial" w:cs="Arial"/>
          <w:bCs/>
          <w:iCs/>
          <w:sz w:val="26"/>
          <w:szCs w:val="26"/>
        </w:rPr>
        <w:t xml:space="preserve">evisión </w:t>
      </w:r>
      <w:r w:rsidRPr="00EF020C">
        <w:rPr>
          <w:rFonts w:ascii="Arial" w:hAnsi="Arial" w:cs="Arial"/>
          <w:b/>
          <w:iCs/>
          <w:sz w:val="26"/>
          <w:szCs w:val="26"/>
        </w:rPr>
        <w:t>carecen de razón,</w:t>
      </w:r>
      <w:r w:rsidRPr="00EF020C">
        <w:rPr>
          <w:rFonts w:ascii="Arial" w:hAnsi="Arial" w:cs="Arial"/>
          <w:bCs/>
          <w:iCs/>
          <w:sz w:val="26"/>
          <w:szCs w:val="26"/>
        </w:rPr>
        <w:t xml:space="preserve"> porque dichos argumentos de ninguna manera van encaminados a controvertir las consideraciones principales de la sentencia combatida, en la que se declaró la nulidad </w:t>
      </w:r>
      <w:r w:rsidR="00074D00" w:rsidRPr="00074D00">
        <w:rPr>
          <w:rFonts w:ascii="Arial" w:hAnsi="Arial" w:cs="Arial"/>
          <w:bCs/>
          <w:iCs/>
          <w:sz w:val="26"/>
          <w:szCs w:val="26"/>
        </w:rPr>
        <w:t>para efectos del oficio número OP/DG/666/2019, de fecha trece de marzo de dos mil diecinueve.</w:t>
      </w:r>
      <w:r w:rsidR="00830004">
        <w:rPr>
          <w:rFonts w:ascii="Arial" w:hAnsi="Arial" w:cs="Arial"/>
          <w:bCs/>
          <w:iCs/>
          <w:sz w:val="26"/>
          <w:szCs w:val="26"/>
        </w:rPr>
        <w:t xml:space="preserve"> </w:t>
      </w:r>
      <w:r w:rsidRPr="00EF020C">
        <w:rPr>
          <w:rFonts w:ascii="Arial" w:hAnsi="Arial" w:cs="Arial"/>
          <w:bCs/>
          <w:iCs/>
          <w:sz w:val="26"/>
          <w:szCs w:val="26"/>
        </w:rPr>
        <w:t>Ello, porque en su afirmación</w:t>
      </w:r>
      <w:r w:rsidR="00830004">
        <w:rPr>
          <w:rFonts w:ascii="Arial" w:hAnsi="Arial" w:cs="Arial"/>
          <w:bCs/>
          <w:iCs/>
          <w:sz w:val="26"/>
          <w:szCs w:val="26"/>
        </w:rPr>
        <w:t xml:space="preserve"> </w:t>
      </w:r>
      <w:r w:rsidRPr="00EF020C">
        <w:rPr>
          <w:rFonts w:ascii="Arial" w:hAnsi="Arial" w:cs="Arial"/>
          <w:bCs/>
          <w:iCs/>
          <w:sz w:val="26"/>
          <w:szCs w:val="26"/>
        </w:rPr>
        <w:t xml:space="preserve">la recurrente alega cuestiones notoriamente distintas a las del juicio de primera instancia, al haber referido que en la sentencia de fecha </w:t>
      </w:r>
      <w:r w:rsidR="00830004">
        <w:rPr>
          <w:rFonts w:ascii="Arial" w:hAnsi="Arial" w:cs="Arial"/>
          <w:bCs/>
          <w:iCs/>
          <w:sz w:val="26"/>
          <w:szCs w:val="26"/>
        </w:rPr>
        <w:t xml:space="preserve">once de diciembre </w:t>
      </w:r>
      <w:r w:rsidRPr="00EF020C">
        <w:rPr>
          <w:rFonts w:ascii="Arial" w:hAnsi="Arial" w:cs="Arial"/>
          <w:bCs/>
          <w:iCs/>
          <w:sz w:val="26"/>
          <w:szCs w:val="26"/>
        </w:rPr>
        <w:t xml:space="preserve">de dos mil veinte, la </w:t>
      </w:r>
      <w:r w:rsidRPr="00830004">
        <w:rPr>
          <w:rFonts w:ascii="Arial" w:hAnsi="Arial" w:cs="Arial"/>
          <w:bCs/>
          <w:i/>
          <w:sz w:val="26"/>
          <w:szCs w:val="26"/>
        </w:rPr>
        <w:t>A quo</w:t>
      </w:r>
      <w:r w:rsidRPr="00EF020C">
        <w:rPr>
          <w:rFonts w:ascii="Arial" w:hAnsi="Arial" w:cs="Arial"/>
          <w:bCs/>
          <w:iCs/>
          <w:sz w:val="26"/>
          <w:szCs w:val="26"/>
        </w:rPr>
        <w:t xml:space="preserve"> suplió</w:t>
      </w:r>
      <w:r w:rsidR="00830004">
        <w:rPr>
          <w:rFonts w:ascii="Arial" w:hAnsi="Arial" w:cs="Arial"/>
          <w:bCs/>
          <w:iCs/>
          <w:sz w:val="26"/>
          <w:szCs w:val="26"/>
        </w:rPr>
        <w:t xml:space="preserve"> la </w:t>
      </w:r>
      <w:r w:rsidRPr="00EF020C">
        <w:rPr>
          <w:rFonts w:ascii="Arial" w:hAnsi="Arial" w:cs="Arial"/>
          <w:bCs/>
          <w:iCs/>
          <w:sz w:val="26"/>
          <w:szCs w:val="26"/>
        </w:rPr>
        <w:t xml:space="preserve"> deficiencia de la queja </w:t>
      </w:r>
      <w:r w:rsidR="00830004">
        <w:rPr>
          <w:rFonts w:ascii="Arial" w:hAnsi="Arial" w:cs="Arial"/>
          <w:bCs/>
          <w:iCs/>
          <w:sz w:val="26"/>
          <w:szCs w:val="26"/>
        </w:rPr>
        <w:t xml:space="preserve">en favor del actor, </w:t>
      </w:r>
      <w:r w:rsidRPr="00EF020C">
        <w:rPr>
          <w:rFonts w:ascii="Arial" w:hAnsi="Arial" w:cs="Arial"/>
          <w:bCs/>
          <w:iCs/>
          <w:sz w:val="26"/>
          <w:szCs w:val="26"/>
        </w:rPr>
        <w:t>lo cual no fue realizado por la</w:t>
      </w:r>
      <w:r w:rsidR="00830004">
        <w:rPr>
          <w:rFonts w:ascii="Arial" w:hAnsi="Arial" w:cs="Arial"/>
          <w:bCs/>
          <w:iCs/>
          <w:sz w:val="26"/>
          <w:szCs w:val="26"/>
        </w:rPr>
        <w:t xml:space="preserve"> primera instancia</w:t>
      </w:r>
      <w:r w:rsidRPr="00EF020C">
        <w:rPr>
          <w:rFonts w:ascii="Arial" w:hAnsi="Arial" w:cs="Arial"/>
          <w:bCs/>
          <w:iCs/>
          <w:sz w:val="26"/>
          <w:szCs w:val="26"/>
        </w:rPr>
        <w:t xml:space="preserve">, lo que se comprueba del análisis efectuado a la sentencia en revisión, y que obra agregada a fojas </w:t>
      </w:r>
      <w:r w:rsidR="00830004">
        <w:rPr>
          <w:rFonts w:ascii="Arial" w:hAnsi="Arial" w:cs="Arial"/>
          <w:bCs/>
          <w:iCs/>
          <w:sz w:val="26"/>
          <w:szCs w:val="26"/>
        </w:rPr>
        <w:t>44</w:t>
      </w:r>
      <w:r w:rsidRPr="00EF020C">
        <w:rPr>
          <w:rFonts w:ascii="Arial" w:hAnsi="Arial" w:cs="Arial"/>
          <w:bCs/>
          <w:iCs/>
          <w:sz w:val="26"/>
          <w:szCs w:val="26"/>
        </w:rPr>
        <w:t xml:space="preserve"> (</w:t>
      </w:r>
      <w:r w:rsidR="00830004">
        <w:rPr>
          <w:rFonts w:ascii="Arial" w:hAnsi="Arial" w:cs="Arial"/>
          <w:bCs/>
          <w:iCs/>
          <w:sz w:val="26"/>
          <w:szCs w:val="26"/>
        </w:rPr>
        <w:t>cuarenta y cuatro</w:t>
      </w:r>
      <w:r w:rsidRPr="00EF020C">
        <w:rPr>
          <w:rFonts w:ascii="Arial" w:hAnsi="Arial" w:cs="Arial"/>
          <w:bCs/>
          <w:iCs/>
          <w:sz w:val="26"/>
          <w:szCs w:val="26"/>
        </w:rPr>
        <w:t xml:space="preserve">) a </w:t>
      </w:r>
      <w:r w:rsidR="00830004">
        <w:rPr>
          <w:rFonts w:ascii="Arial" w:hAnsi="Arial" w:cs="Arial"/>
          <w:bCs/>
          <w:iCs/>
          <w:sz w:val="26"/>
          <w:szCs w:val="26"/>
        </w:rPr>
        <w:t>51</w:t>
      </w:r>
      <w:r w:rsidRPr="00EF020C">
        <w:rPr>
          <w:rFonts w:ascii="Arial" w:hAnsi="Arial" w:cs="Arial"/>
          <w:bCs/>
          <w:iCs/>
          <w:sz w:val="26"/>
          <w:szCs w:val="26"/>
        </w:rPr>
        <w:t xml:space="preserve"> (</w:t>
      </w:r>
      <w:r w:rsidR="00830004">
        <w:rPr>
          <w:rFonts w:ascii="Arial" w:hAnsi="Arial" w:cs="Arial"/>
          <w:bCs/>
          <w:iCs/>
          <w:sz w:val="26"/>
          <w:szCs w:val="26"/>
        </w:rPr>
        <w:t>cincuenta y uno</w:t>
      </w:r>
      <w:r w:rsidRPr="00EF020C">
        <w:rPr>
          <w:rFonts w:ascii="Arial" w:hAnsi="Arial" w:cs="Arial"/>
          <w:bCs/>
          <w:iCs/>
          <w:sz w:val="26"/>
          <w:szCs w:val="26"/>
        </w:rPr>
        <w:t>), de las constancias procesales que integran el expediente de primera instancia, las que tienen pleno valor probatorio conforme lo dispuesto por el artículo 203 fracción I de la Ley de Procedimiento y Justicia Administrativa para el Estado de Oaxaca, por tratarse de actuaciones judiciales, lo cual es motivo para declarar el agravio</w:t>
      </w:r>
      <w:r w:rsidR="00830004">
        <w:rPr>
          <w:rFonts w:ascii="Arial" w:hAnsi="Arial" w:cs="Arial"/>
          <w:bCs/>
          <w:iCs/>
          <w:sz w:val="26"/>
          <w:szCs w:val="26"/>
        </w:rPr>
        <w:t xml:space="preserve"> esgrimido</w:t>
      </w:r>
      <w:r w:rsidRPr="00EF020C">
        <w:rPr>
          <w:rFonts w:ascii="Arial" w:hAnsi="Arial" w:cs="Arial"/>
          <w:bCs/>
          <w:iCs/>
          <w:sz w:val="26"/>
          <w:szCs w:val="26"/>
        </w:rPr>
        <w:t xml:space="preserve">, como </w:t>
      </w:r>
      <w:r w:rsidR="00830004" w:rsidRPr="00830004">
        <w:rPr>
          <w:rFonts w:ascii="Arial" w:hAnsi="Arial" w:cs="Arial"/>
          <w:b/>
          <w:iCs/>
          <w:sz w:val="26"/>
          <w:szCs w:val="26"/>
        </w:rPr>
        <w:t>infundado.</w:t>
      </w:r>
      <w:r w:rsidR="00E57D48">
        <w:rPr>
          <w:rFonts w:ascii="Arial" w:hAnsi="Arial" w:cs="Arial"/>
          <w:b/>
          <w:iCs/>
          <w:sz w:val="26"/>
          <w:szCs w:val="26"/>
        </w:rPr>
        <w:t xml:space="preserve"> </w:t>
      </w:r>
      <w:r w:rsidR="00E57D48">
        <w:rPr>
          <w:rFonts w:ascii="Arial" w:hAnsi="Arial" w:cs="Arial"/>
          <w:bCs/>
          <w:iCs/>
          <w:sz w:val="26"/>
          <w:szCs w:val="26"/>
        </w:rPr>
        <w:t xml:space="preserve">- - - - - - - - - - - - - - - - - - - - - - - - - - - </w:t>
      </w:r>
    </w:p>
    <w:p w14:paraId="56EB34A7" w14:textId="76F4F7AD" w:rsidR="00830004" w:rsidRDefault="00830004" w:rsidP="00DA6C03">
      <w:pPr>
        <w:spacing w:before="240" w:after="0" w:line="360" w:lineRule="auto"/>
        <w:ind w:right="-234" w:firstLine="567"/>
        <w:jc w:val="both"/>
        <w:rPr>
          <w:rFonts w:ascii="Arial" w:hAnsi="Arial" w:cs="Arial"/>
          <w:sz w:val="26"/>
          <w:szCs w:val="26"/>
        </w:rPr>
      </w:pPr>
      <w:r>
        <w:rPr>
          <w:rFonts w:ascii="Arial" w:hAnsi="Arial" w:cs="Arial"/>
          <w:sz w:val="26"/>
          <w:szCs w:val="26"/>
        </w:rPr>
        <w:t>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Pr="005752D4">
        <w:rPr>
          <w:rFonts w:ascii="Arial" w:hAnsi="Arial" w:cs="Arial"/>
          <w:b/>
          <w:sz w:val="26"/>
          <w:szCs w:val="26"/>
        </w:rPr>
        <w:t>inoperante</w:t>
      </w:r>
      <w:r>
        <w:rPr>
          <w:rFonts w:ascii="Arial" w:hAnsi="Arial" w:cs="Arial"/>
          <w:sz w:val="26"/>
          <w:szCs w:val="26"/>
        </w:rPr>
        <w:t xml:space="preserve"> </w:t>
      </w:r>
      <w:r w:rsidR="00DA6C03">
        <w:rPr>
          <w:rFonts w:ascii="Arial" w:hAnsi="Arial" w:cs="Arial"/>
          <w:sz w:val="26"/>
          <w:szCs w:val="26"/>
        </w:rPr>
        <w:t xml:space="preserve">e </w:t>
      </w:r>
      <w:r w:rsidR="00DA6C03" w:rsidRPr="00DA6C03">
        <w:rPr>
          <w:rFonts w:ascii="Arial" w:hAnsi="Arial" w:cs="Arial"/>
          <w:b/>
          <w:sz w:val="26"/>
          <w:szCs w:val="26"/>
        </w:rPr>
        <w:t>infundado</w:t>
      </w:r>
      <w:r w:rsidR="00DA6C03">
        <w:rPr>
          <w:rFonts w:ascii="Arial" w:hAnsi="Arial" w:cs="Arial"/>
          <w:sz w:val="26"/>
          <w:szCs w:val="26"/>
        </w:rPr>
        <w:t xml:space="preserve"> </w:t>
      </w:r>
      <w:r>
        <w:rPr>
          <w:rFonts w:ascii="Arial" w:hAnsi="Arial" w:cs="Arial"/>
          <w:sz w:val="26"/>
          <w:szCs w:val="26"/>
        </w:rPr>
        <w:t>de l</w:t>
      </w:r>
      <w:r w:rsidRPr="00403CFB">
        <w:rPr>
          <w:rFonts w:ascii="Arial" w:hAnsi="Arial" w:cs="Arial"/>
          <w:sz w:val="26"/>
          <w:szCs w:val="26"/>
        </w:rPr>
        <w:t xml:space="preserve">os </w:t>
      </w:r>
      <w:r>
        <w:rPr>
          <w:rFonts w:ascii="Arial" w:hAnsi="Arial" w:cs="Arial"/>
          <w:sz w:val="26"/>
          <w:szCs w:val="26"/>
        </w:rPr>
        <w:t>agravios formulados por la autoridad inconforme,</w:t>
      </w:r>
      <w:r w:rsidRPr="00403CFB">
        <w:rPr>
          <w:rFonts w:ascii="Arial" w:hAnsi="Arial" w:cs="Arial"/>
          <w:sz w:val="26"/>
          <w:szCs w:val="26"/>
        </w:rPr>
        <w:t xml:space="preserve"> procede </w:t>
      </w:r>
      <w:r w:rsidRPr="00403CFB">
        <w:rPr>
          <w:rFonts w:ascii="Arial" w:hAnsi="Arial" w:cs="Arial"/>
          <w:b/>
          <w:sz w:val="26"/>
          <w:szCs w:val="26"/>
        </w:rPr>
        <w:t>CONFIRMAR</w:t>
      </w:r>
      <w:r w:rsidRPr="00403CFB">
        <w:rPr>
          <w:rFonts w:ascii="Arial" w:hAnsi="Arial" w:cs="Arial"/>
          <w:sz w:val="26"/>
          <w:szCs w:val="26"/>
        </w:rPr>
        <w:t xml:space="preserve"> la sentencia alzada; y, </w:t>
      </w:r>
      <w:r w:rsidRPr="00403CFB">
        <w:rPr>
          <w:rFonts w:ascii="Arial" w:eastAsia="Calibri" w:hAnsi="Arial" w:cs="Arial"/>
          <w:bCs/>
          <w:sz w:val="26"/>
          <w:szCs w:val="26"/>
        </w:rPr>
        <w:t>c</w:t>
      </w:r>
      <w:r w:rsidRPr="00403CFB">
        <w:rPr>
          <w:rFonts w:ascii="Arial" w:hAnsi="Arial" w:cs="Arial"/>
          <w:sz w:val="26"/>
          <w:szCs w:val="26"/>
        </w:rPr>
        <w:t xml:space="preserve">on fundamento en los </w:t>
      </w:r>
      <w:r w:rsidRPr="00403CFB">
        <w:rPr>
          <w:rFonts w:ascii="Arial" w:hAnsi="Arial" w:cs="Arial"/>
          <w:sz w:val="26"/>
          <w:szCs w:val="26"/>
        </w:rPr>
        <w:lastRenderedPageBreak/>
        <w:t>artículos 237 y 238 de la Ley de Procedimiento y Justicia Administrativa para el Estado de Oaxaca, se:</w:t>
      </w:r>
      <w:r w:rsidR="00E57D48">
        <w:rPr>
          <w:rFonts w:ascii="Arial" w:hAnsi="Arial" w:cs="Arial"/>
          <w:sz w:val="26"/>
          <w:szCs w:val="26"/>
        </w:rPr>
        <w:t xml:space="preserve"> </w:t>
      </w:r>
      <w:r w:rsidR="00E57D48">
        <w:rPr>
          <w:rFonts w:ascii="Arial" w:hAnsi="Arial" w:cs="Arial"/>
          <w:bCs/>
          <w:iCs/>
          <w:sz w:val="26"/>
          <w:szCs w:val="26"/>
        </w:rPr>
        <w:t xml:space="preserve">- - - - - - - - - - - - - - - - - - - - - - - - - - - - - - - </w:t>
      </w:r>
    </w:p>
    <w:p w14:paraId="78E8DFE3" w14:textId="77777777" w:rsidR="00830004" w:rsidRPr="0057684C" w:rsidRDefault="00830004" w:rsidP="00830004">
      <w:pPr>
        <w:pStyle w:val="Sinespaciado"/>
        <w:spacing w:before="240" w:line="360" w:lineRule="auto"/>
        <w:jc w:val="center"/>
        <w:rPr>
          <w:rFonts w:ascii="Arial" w:hAnsi="Arial" w:cs="Arial"/>
          <w:b/>
          <w:sz w:val="26"/>
          <w:szCs w:val="26"/>
        </w:rPr>
      </w:pPr>
      <w:r w:rsidRPr="0057684C">
        <w:rPr>
          <w:rFonts w:ascii="Arial" w:hAnsi="Arial" w:cs="Arial"/>
          <w:b/>
          <w:sz w:val="26"/>
          <w:szCs w:val="26"/>
        </w:rPr>
        <w:t>R E S U E L V E</w:t>
      </w:r>
    </w:p>
    <w:p w14:paraId="18E1EF65" w14:textId="58F3D34D" w:rsidR="00830004" w:rsidRDefault="00830004" w:rsidP="00830004">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 recurrida</w:t>
      </w:r>
      <w:r>
        <w:rPr>
          <w:rFonts w:ascii="Arial" w:hAnsi="Arial" w:cs="Arial"/>
          <w:color w:val="000000"/>
          <w:sz w:val="26"/>
          <w:szCs w:val="26"/>
          <w:lang w:val="es-MX"/>
        </w:rPr>
        <w:t>, por las razones expuestas por esta Sala Superior en el considerando que antecede.</w:t>
      </w:r>
      <w:r w:rsidR="00EC6B6A">
        <w:rPr>
          <w:rFonts w:ascii="Arial" w:hAnsi="Arial" w:cs="Arial"/>
          <w:color w:val="000000"/>
          <w:sz w:val="26"/>
          <w:szCs w:val="26"/>
          <w:lang w:val="es-MX"/>
        </w:rPr>
        <w:t xml:space="preserve"> - - - </w:t>
      </w:r>
    </w:p>
    <w:p w14:paraId="2EA9A6C5" w14:textId="74D97F26" w:rsidR="00830004" w:rsidRDefault="00830004" w:rsidP="00830004">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r w:rsidR="001E510A">
        <w:rPr>
          <w:rFonts w:ascii="Arial" w:hAnsi="Arial" w:cs="Arial"/>
          <w:b/>
          <w:sz w:val="26"/>
          <w:szCs w:val="26"/>
        </w:rPr>
        <w:t>SEGUNDO.</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r w:rsidR="00983523">
        <w:rPr>
          <w:rFonts w:ascii="Arial" w:hAnsi="Arial" w:cs="Arial"/>
          <w:sz w:val="26"/>
          <w:szCs w:val="26"/>
        </w:rPr>
        <w:t xml:space="preserve"> </w:t>
      </w:r>
      <w:r w:rsidR="00983523">
        <w:rPr>
          <w:rFonts w:ascii="Arial" w:hAnsi="Arial" w:cs="Arial"/>
          <w:bCs/>
          <w:iCs/>
          <w:sz w:val="26"/>
          <w:szCs w:val="26"/>
        </w:rPr>
        <w:t xml:space="preserve">- - - - - - - - - - - - - - - - - - - </w:t>
      </w:r>
    </w:p>
    <w:p w14:paraId="57020C17" w14:textId="54D8515A" w:rsidR="007C47C4" w:rsidRDefault="007C47C4" w:rsidP="007C47C4">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w:t>
      </w:r>
      <w:r>
        <w:rPr>
          <w:rFonts w:ascii="Arial" w:hAnsi="Arial" w:cs="Arial"/>
          <w:b/>
          <w:bCs/>
          <w:sz w:val="26"/>
          <w:szCs w:val="26"/>
        </w:rPr>
        <w:t>(ponente)</w:t>
      </w:r>
      <w:r>
        <w:rPr>
          <w:rFonts w:ascii="Arial" w:hAnsi="Arial" w:cs="Arial"/>
          <w:sz w:val="26"/>
          <w:szCs w:val="26"/>
        </w:rPr>
        <w:t xml:space="preserve">, Gloria del Carmen Camacho Meza y Paulo José Luis Tapia Palacios, quienes actúan con el Licenciado Juan Edy García Coronado, Secretario General de Acuerdos de este Tribunal, que autoriza y da fe. - - - - - - - - - </w:t>
      </w:r>
      <w:r w:rsidR="00C00863">
        <w:rPr>
          <w:rFonts w:ascii="Arial" w:hAnsi="Arial" w:cs="Arial"/>
          <w:sz w:val="26"/>
          <w:szCs w:val="26"/>
        </w:rPr>
        <w:t>- - - - - -</w:t>
      </w:r>
    </w:p>
    <w:p w14:paraId="0496AD72" w14:textId="77777777" w:rsidR="007C47C4" w:rsidRDefault="007C47C4" w:rsidP="007C47C4">
      <w:pPr>
        <w:spacing w:after="0" w:line="360" w:lineRule="auto"/>
        <w:ind w:right="51" w:firstLine="567"/>
        <w:jc w:val="center"/>
        <w:rPr>
          <w:rFonts w:ascii="Arial" w:eastAsia="Calibri" w:hAnsi="Arial" w:cs="Arial"/>
          <w:b/>
          <w:sz w:val="18"/>
          <w:szCs w:val="18"/>
        </w:rPr>
      </w:pPr>
    </w:p>
    <w:p w14:paraId="23888EC9" w14:textId="77777777" w:rsidR="007C47C4" w:rsidRDefault="007C47C4" w:rsidP="007C47C4">
      <w:pPr>
        <w:spacing w:after="0" w:line="360" w:lineRule="auto"/>
        <w:ind w:right="51" w:firstLine="567"/>
        <w:jc w:val="center"/>
        <w:rPr>
          <w:rFonts w:ascii="Arial" w:eastAsia="Calibri" w:hAnsi="Arial" w:cs="Arial"/>
          <w:b/>
          <w:sz w:val="18"/>
          <w:szCs w:val="18"/>
        </w:rPr>
      </w:pPr>
    </w:p>
    <w:p w14:paraId="48DA7A7A" w14:textId="6033A1EA" w:rsidR="007C47C4" w:rsidRDefault="007C47C4" w:rsidP="007C47C4">
      <w:pPr>
        <w:spacing w:after="0" w:line="360" w:lineRule="auto"/>
        <w:ind w:right="51" w:firstLine="567"/>
        <w:jc w:val="center"/>
        <w:rPr>
          <w:rFonts w:ascii="Arial" w:eastAsia="Calibri" w:hAnsi="Arial" w:cs="Arial"/>
          <w:b/>
          <w:sz w:val="18"/>
          <w:szCs w:val="18"/>
        </w:rPr>
      </w:pPr>
    </w:p>
    <w:p w14:paraId="37D7720A" w14:textId="77777777" w:rsidR="00B3341E" w:rsidRDefault="00B3341E" w:rsidP="007C47C4">
      <w:pPr>
        <w:spacing w:after="0" w:line="360" w:lineRule="auto"/>
        <w:ind w:right="51" w:firstLine="567"/>
        <w:jc w:val="center"/>
        <w:rPr>
          <w:rFonts w:ascii="Arial" w:eastAsia="Calibri" w:hAnsi="Arial" w:cs="Arial"/>
          <w:b/>
          <w:sz w:val="18"/>
          <w:szCs w:val="18"/>
        </w:rPr>
      </w:pPr>
    </w:p>
    <w:p w14:paraId="009982C6" w14:textId="3083F721" w:rsidR="007C47C4" w:rsidRDefault="007C47C4" w:rsidP="007C47C4">
      <w:pPr>
        <w:spacing w:after="0" w:line="240" w:lineRule="auto"/>
        <w:rPr>
          <w:rFonts w:ascii="Arial" w:eastAsia="Times New Roman" w:hAnsi="Arial" w:cs="Arial"/>
          <w:sz w:val="26"/>
          <w:szCs w:val="26"/>
        </w:rPr>
      </w:pPr>
    </w:p>
    <w:p w14:paraId="51AC75E5" w14:textId="77777777" w:rsidR="00B3341E" w:rsidRDefault="00B3341E" w:rsidP="007C47C4">
      <w:pPr>
        <w:spacing w:after="0" w:line="240" w:lineRule="auto"/>
        <w:rPr>
          <w:rFonts w:ascii="Arial" w:eastAsia="Times New Roman" w:hAnsi="Arial" w:cs="Arial"/>
          <w:sz w:val="26"/>
          <w:szCs w:val="26"/>
        </w:rPr>
      </w:pPr>
    </w:p>
    <w:p w14:paraId="1C3AA15A" w14:textId="77777777" w:rsidR="007C47C4" w:rsidRDefault="007C47C4" w:rsidP="007C47C4">
      <w:pPr>
        <w:spacing w:after="0" w:line="240" w:lineRule="auto"/>
        <w:ind w:firstLine="567"/>
        <w:jc w:val="center"/>
        <w:rPr>
          <w:rFonts w:ascii="Arial" w:eastAsia="Times New Roman" w:hAnsi="Arial" w:cs="Arial"/>
          <w:sz w:val="26"/>
          <w:szCs w:val="26"/>
        </w:rPr>
      </w:pPr>
    </w:p>
    <w:p w14:paraId="104CAEC0" w14:textId="77777777" w:rsidR="007C47C4" w:rsidRDefault="007C47C4" w:rsidP="007C47C4">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68D8AB71" w14:textId="77777777" w:rsidR="007C47C4" w:rsidRDefault="007C47C4" w:rsidP="007C47C4">
      <w:pPr>
        <w:spacing w:after="0" w:line="240" w:lineRule="auto"/>
        <w:ind w:firstLine="567"/>
        <w:jc w:val="center"/>
        <w:rPr>
          <w:rFonts w:ascii="Arial" w:hAnsi="Arial" w:cs="Arial"/>
          <w:sz w:val="26"/>
          <w:szCs w:val="26"/>
        </w:rPr>
      </w:pPr>
      <w:r>
        <w:rPr>
          <w:rFonts w:ascii="Arial" w:hAnsi="Arial" w:cs="Arial"/>
          <w:sz w:val="26"/>
          <w:szCs w:val="26"/>
        </w:rPr>
        <w:t>PRESIDENTE</w:t>
      </w:r>
    </w:p>
    <w:p w14:paraId="5B35EC46" w14:textId="77777777" w:rsidR="007C47C4" w:rsidRDefault="007C47C4" w:rsidP="007C47C4">
      <w:pPr>
        <w:jc w:val="center"/>
        <w:rPr>
          <w:rFonts w:ascii="Arial" w:hAnsi="Arial" w:cs="Arial"/>
          <w:sz w:val="26"/>
          <w:szCs w:val="26"/>
        </w:rPr>
      </w:pPr>
    </w:p>
    <w:p w14:paraId="3EB60FE6" w14:textId="77777777" w:rsidR="007C47C4" w:rsidRDefault="007C47C4" w:rsidP="007C47C4">
      <w:pPr>
        <w:rPr>
          <w:rFonts w:ascii="Arial" w:hAnsi="Arial" w:cs="Arial"/>
          <w:sz w:val="26"/>
          <w:szCs w:val="26"/>
        </w:rPr>
      </w:pPr>
    </w:p>
    <w:p w14:paraId="698CB58E" w14:textId="77777777" w:rsidR="007C47C4" w:rsidRDefault="007C47C4" w:rsidP="007C47C4">
      <w:pPr>
        <w:rPr>
          <w:rFonts w:ascii="Arial" w:hAnsi="Arial" w:cs="Arial"/>
          <w:sz w:val="26"/>
          <w:szCs w:val="26"/>
        </w:rPr>
      </w:pPr>
    </w:p>
    <w:p w14:paraId="561E01F8" w14:textId="77777777" w:rsidR="007C47C4" w:rsidRDefault="007C47C4" w:rsidP="007C47C4">
      <w:pPr>
        <w:jc w:val="center"/>
        <w:rPr>
          <w:rFonts w:ascii="Arial" w:hAnsi="Arial" w:cs="Arial"/>
          <w:sz w:val="26"/>
          <w:szCs w:val="26"/>
        </w:rPr>
      </w:pPr>
    </w:p>
    <w:p w14:paraId="583E6AD2" w14:textId="77777777" w:rsidR="007C47C4" w:rsidRDefault="007C47C4" w:rsidP="007C47C4">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926CC9A" w14:textId="77777777" w:rsidR="00B3341E" w:rsidRDefault="00B3341E" w:rsidP="007C47C4">
      <w:pPr>
        <w:jc w:val="center"/>
        <w:rPr>
          <w:rFonts w:ascii="Arial" w:hAnsi="Arial" w:cs="Arial"/>
          <w:b/>
          <w:bCs/>
          <w:sz w:val="18"/>
          <w:szCs w:val="18"/>
        </w:rPr>
      </w:pPr>
    </w:p>
    <w:p w14:paraId="6D94F16C" w14:textId="6983ED8A" w:rsidR="007C47C4" w:rsidRDefault="007C47C4" w:rsidP="007C47C4">
      <w:pPr>
        <w:jc w:val="center"/>
        <w:rPr>
          <w:rFonts w:ascii="Arial" w:hAnsi="Arial" w:cs="Arial"/>
          <w:b/>
          <w:bCs/>
          <w:sz w:val="18"/>
          <w:szCs w:val="18"/>
        </w:rPr>
      </w:pPr>
      <w:r>
        <w:rPr>
          <w:rFonts w:ascii="Arial" w:hAnsi="Arial" w:cs="Arial"/>
          <w:b/>
          <w:bCs/>
          <w:sz w:val="18"/>
          <w:szCs w:val="18"/>
        </w:rPr>
        <w:t>LAS PRESENTES FIRMAS CORRESPONDEN AL RECURSO DE REVISIÓN 00</w:t>
      </w:r>
      <w:r w:rsidR="00F15913">
        <w:rPr>
          <w:rFonts w:ascii="Arial" w:hAnsi="Arial" w:cs="Arial"/>
          <w:b/>
          <w:bCs/>
          <w:sz w:val="18"/>
          <w:szCs w:val="18"/>
        </w:rPr>
        <w:t>59</w:t>
      </w:r>
      <w:r>
        <w:rPr>
          <w:rFonts w:ascii="Arial" w:hAnsi="Arial" w:cs="Arial"/>
          <w:b/>
          <w:bCs/>
          <w:sz w:val="18"/>
          <w:szCs w:val="18"/>
        </w:rPr>
        <w:t>/2021.</w:t>
      </w:r>
    </w:p>
    <w:p w14:paraId="05FEB519" w14:textId="77777777" w:rsidR="007C47C4" w:rsidRDefault="007C47C4" w:rsidP="007C47C4">
      <w:pPr>
        <w:jc w:val="center"/>
        <w:rPr>
          <w:rFonts w:ascii="Arial" w:hAnsi="Arial" w:cs="Arial"/>
          <w:sz w:val="26"/>
          <w:szCs w:val="26"/>
        </w:rPr>
      </w:pPr>
    </w:p>
    <w:p w14:paraId="1776331C" w14:textId="68B381EC" w:rsidR="007C47C4" w:rsidRDefault="007C47C4" w:rsidP="007C47C4">
      <w:pPr>
        <w:jc w:val="center"/>
        <w:rPr>
          <w:rFonts w:ascii="Arial" w:hAnsi="Arial" w:cs="Arial"/>
          <w:sz w:val="26"/>
          <w:szCs w:val="26"/>
        </w:rPr>
      </w:pPr>
    </w:p>
    <w:p w14:paraId="498C2608" w14:textId="77777777" w:rsidR="00C00863" w:rsidRDefault="00C00863" w:rsidP="007C47C4">
      <w:pPr>
        <w:jc w:val="center"/>
        <w:rPr>
          <w:rFonts w:ascii="Arial" w:hAnsi="Arial" w:cs="Arial"/>
          <w:sz w:val="26"/>
          <w:szCs w:val="26"/>
        </w:rPr>
      </w:pPr>
    </w:p>
    <w:p w14:paraId="2C938766" w14:textId="77777777" w:rsidR="007C47C4" w:rsidRDefault="007C47C4" w:rsidP="007C47C4">
      <w:pPr>
        <w:jc w:val="center"/>
        <w:rPr>
          <w:rFonts w:ascii="Arial" w:hAnsi="Arial" w:cs="Arial"/>
          <w:sz w:val="26"/>
          <w:szCs w:val="26"/>
        </w:rPr>
      </w:pPr>
    </w:p>
    <w:p w14:paraId="32BE1FCF" w14:textId="77777777" w:rsidR="007C47C4" w:rsidRDefault="007C47C4" w:rsidP="007C47C4">
      <w:pPr>
        <w:jc w:val="center"/>
        <w:rPr>
          <w:rFonts w:ascii="Arial" w:hAnsi="Arial" w:cs="Arial"/>
          <w:sz w:val="26"/>
          <w:szCs w:val="26"/>
        </w:rPr>
      </w:pPr>
    </w:p>
    <w:p w14:paraId="42D7142D" w14:textId="77777777" w:rsidR="007C47C4" w:rsidRDefault="007C47C4" w:rsidP="007C47C4">
      <w:pPr>
        <w:jc w:val="center"/>
        <w:rPr>
          <w:rFonts w:ascii="Arial" w:hAnsi="Arial" w:cs="Arial"/>
          <w:sz w:val="26"/>
          <w:szCs w:val="26"/>
        </w:rPr>
      </w:pPr>
      <w:r>
        <w:rPr>
          <w:rFonts w:ascii="Arial" w:hAnsi="Arial" w:cs="Arial"/>
          <w:sz w:val="26"/>
          <w:szCs w:val="26"/>
        </w:rPr>
        <w:lastRenderedPageBreak/>
        <w:t>MAGISTRADO RAÚL PALOMARES PALOMINO</w:t>
      </w:r>
    </w:p>
    <w:p w14:paraId="502DE33B" w14:textId="77777777" w:rsidR="007C47C4" w:rsidRDefault="007C47C4" w:rsidP="007C47C4">
      <w:pPr>
        <w:tabs>
          <w:tab w:val="left" w:pos="1680"/>
          <w:tab w:val="center" w:pos="4277"/>
        </w:tabs>
        <w:spacing w:line="360" w:lineRule="auto"/>
        <w:jc w:val="center"/>
        <w:rPr>
          <w:rFonts w:ascii="Arial" w:hAnsi="Arial" w:cs="Arial"/>
          <w:b/>
          <w:bCs/>
          <w:sz w:val="18"/>
          <w:szCs w:val="18"/>
        </w:rPr>
      </w:pPr>
    </w:p>
    <w:p w14:paraId="0B7322F5" w14:textId="77777777" w:rsidR="007C47C4" w:rsidRDefault="007C47C4" w:rsidP="007C47C4">
      <w:pPr>
        <w:tabs>
          <w:tab w:val="left" w:pos="1680"/>
          <w:tab w:val="center" w:pos="4277"/>
        </w:tabs>
        <w:spacing w:line="360" w:lineRule="auto"/>
        <w:jc w:val="center"/>
        <w:rPr>
          <w:rFonts w:ascii="Arial" w:hAnsi="Arial" w:cs="Arial"/>
          <w:b/>
          <w:bCs/>
          <w:sz w:val="18"/>
          <w:szCs w:val="18"/>
        </w:rPr>
      </w:pPr>
    </w:p>
    <w:p w14:paraId="5B10C048" w14:textId="236349E0" w:rsidR="007C47C4" w:rsidRDefault="007C47C4" w:rsidP="007C47C4">
      <w:pPr>
        <w:tabs>
          <w:tab w:val="left" w:pos="1680"/>
          <w:tab w:val="center" w:pos="4277"/>
        </w:tabs>
        <w:spacing w:line="360" w:lineRule="auto"/>
        <w:jc w:val="center"/>
        <w:rPr>
          <w:rFonts w:ascii="Arial" w:hAnsi="Arial" w:cs="Arial"/>
          <w:b/>
          <w:bCs/>
          <w:sz w:val="18"/>
          <w:szCs w:val="18"/>
        </w:rPr>
      </w:pPr>
    </w:p>
    <w:p w14:paraId="3315DC5C" w14:textId="77777777" w:rsidR="00C00863" w:rsidRDefault="00C00863" w:rsidP="007C47C4">
      <w:pPr>
        <w:tabs>
          <w:tab w:val="left" w:pos="1680"/>
          <w:tab w:val="center" w:pos="4277"/>
        </w:tabs>
        <w:spacing w:line="360" w:lineRule="auto"/>
        <w:jc w:val="center"/>
        <w:rPr>
          <w:rFonts w:ascii="Arial" w:hAnsi="Arial" w:cs="Arial"/>
          <w:b/>
          <w:bCs/>
          <w:sz w:val="18"/>
          <w:szCs w:val="18"/>
        </w:rPr>
      </w:pPr>
    </w:p>
    <w:p w14:paraId="2CAD7B99" w14:textId="77777777" w:rsidR="007C47C4" w:rsidRDefault="007C47C4" w:rsidP="007C47C4">
      <w:pPr>
        <w:tabs>
          <w:tab w:val="left" w:pos="1680"/>
          <w:tab w:val="center" w:pos="4277"/>
        </w:tabs>
        <w:spacing w:line="360" w:lineRule="auto"/>
        <w:jc w:val="center"/>
        <w:rPr>
          <w:rFonts w:ascii="Arial" w:hAnsi="Arial" w:cs="Arial"/>
          <w:b/>
          <w:bCs/>
          <w:sz w:val="18"/>
          <w:szCs w:val="18"/>
        </w:rPr>
      </w:pPr>
    </w:p>
    <w:p w14:paraId="166B7693" w14:textId="77777777" w:rsidR="007C47C4" w:rsidRDefault="007C47C4" w:rsidP="007C47C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33B09EA6" w14:textId="77777777" w:rsidR="007C47C4" w:rsidRDefault="007C47C4" w:rsidP="007C47C4">
      <w:pPr>
        <w:tabs>
          <w:tab w:val="left" w:pos="1680"/>
          <w:tab w:val="center" w:pos="4277"/>
        </w:tabs>
        <w:spacing w:line="360" w:lineRule="auto"/>
        <w:jc w:val="center"/>
        <w:rPr>
          <w:rFonts w:ascii="Arial" w:hAnsi="Arial" w:cs="Arial"/>
          <w:sz w:val="26"/>
          <w:szCs w:val="26"/>
        </w:rPr>
      </w:pPr>
    </w:p>
    <w:p w14:paraId="6C678C1D" w14:textId="09B5CBEE" w:rsidR="007C47C4" w:rsidRDefault="007C47C4" w:rsidP="00E858BB">
      <w:pPr>
        <w:tabs>
          <w:tab w:val="left" w:pos="1680"/>
          <w:tab w:val="center" w:pos="4277"/>
        </w:tabs>
        <w:spacing w:line="360" w:lineRule="auto"/>
        <w:rPr>
          <w:rFonts w:ascii="Arial" w:hAnsi="Arial" w:cs="Arial"/>
          <w:sz w:val="26"/>
          <w:szCs w:val="26"/>
        </w:rPr>
      </w:pPr>
    </w:p>
    <w:p w14:paraId="1E5D21F6" w14:textId="77777777" w:rsidR="00C00863" w:rsidRDefault="00C00863" w:rsidP="00E858BB">
      <w:pPr>
        <w:tabs>
          <w:tab w:val="left" w:pos="1680"/>
          <w:tab w:val="center" w:pos="4277"/>
        </w:tabs>
        <w:spacing w:line="360" w:lineRule="auto"/>
        <w:rPr>
          <w:rFonts w:ascii="Arial" w:hAnsi="Arial" w:cs="Arial"/>
          <w:sz w:val="26"/>
          <w:szCs w:val="26"/>
        </w:rPr>
      </w:pPr>
    </w:p>
    <w:p w14:paraId="5B771F9B" w14:textId="77777777" w:rsidR="007C47C4" w:rsidRDefault="007C47C4" w:rsidP="007C47C4">
      <w:pPr>
        <w:tabs>
          <w:tab w:val="left" w:pos="1680"/>
          <w:tab w:val="center" w:pos="4277"/>
        </w:tabs>
        <w:spacing w:line="360" w:lineRule="auto"/>
        <w:jc w:val="center"/>
        <w:rPr>
          <w:rFonts w:ascii="Arial" w:hAnsi="Arial" w:cs="Arial"/>
          <w:b/>
          <w:bCs/>
          <w:sz w:val="18"/>
          <w:szCs w:val="18"/>
        </w:rPr>
      </w:pPr>
    </w:p>
    <w:p w14:paraId="60B1FC00" w14:textId="209BDEF2" w:rsidR="007C47C4" w:rsidRDefault="007C47C4" w:rsidP="00C00863">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0ECB2BFD" w14:textId="77777777" w:rsidR="00C00863" w:rsidRDefault="00C00863" w:rsidP="00E858BB">
      <w:pPr>
        <w:tabs>
          <w:tab w:val="left" w:pos="1680"/>
          <w:tab w:val="center" w:pos="4277"/>
        </w:tabs>
        <w:spacing w:line="360" w:lineRule="auto"/>
        <w:rPr>
          <w:rFonts w:ascii="Arial" w:hAnsi="Arial" w:cs="Arial"/>
          <w:sz w:val="26"/>
          <w:szCs w:val="26"/>
        </w:rPr>
      </w:pPr>
    </w:p>
    <w:p w14:paraId="271D7A25" w14:textId="77777777" w:rsidR="007C47C4" w:rsidRDefault="007C47C4" w:rsidP="007C47C4">
      <w:pPr>
        <w:spacing w:after="0" w:line="240" w:lineRule="auto"/>
        <w:jc w:val="center"/>
        <w:rPr>
          <w:rFonts w:ascii="Arial" w:hAnsi="Arial" w:cs="Arial"/>
          <w:sz w:val="26"/>
          <w:szCs w:val="26"/>
        </w:rPr>
      </w:pPr>
    </w:p>
    <w:p w14:paraId="30E3B7BB" w14:textId="77777777" w:rsidR="007C47C4" w:rsidRDefault="007C47C4" w:rsidP="007C47C4">
      <w:pPr>
        <w:spacing w:after="0" w:line="240" w:lineRule="auto"/>
        <w:jc w:val="center"/>
        <w:rPr>
          <w:rFonts w:ascii="Arial" w:hAnsi="Arial" w:cs="Arial"/>
          <w:sz w:val="26"/>
          <w:szCs w:val="26"/>
        </w:rPr>
      </w:pPr>
    </w:p>
    <w:p w14:paraId="2B0C560E" w14:textId="2EF5A580" w:rsidR="007C47C4" w:rsidRDefault="00B3341E" w:rsidP="007C47C4">
      <w:pPr>
        <w:spacing w:after="0" w:line="240" w:lineRule="auto"/>
        <w:jc w:val="center"/>
        <w:rPr>
          <w:rFonts w:ascii="Arial" w:hAnsi="Arial" w:cs="Arial"/>
          <w:sz w:val="26"/>
          <w:szCs w:val="26"/>
        </w:rPr>
      </w:pPr>
      <w:r>
        <w:rPr>
          <w:rFonts w:ascii="Arial" w:hAnsi="Arial" w:cs="Arial"/>
          <w:sz w:val="26"/>
          <w:szCs w:val="26"/>
        </w:rPr>
        <w:t xml:space="preserve"> </w:t>
      </w:r>
      <w:r w:rsidR="007C47C4">
        <w:rPr>
          <w:rFonts w:ascii="Arial" w:hAnsi="Arial" w:cs="Arial"/>
          <w:sz w:val="26"/>
          <w:szCs w:val="26"/>
        </w:rPr>
        <w:t>LICENCIADO JUAN EDY GARCÍA CORONADO.</w:t>
      </w:r>
    </w:p>
    <w:p w14:paraId="134E17C1" w14:textId="77777777" w:rsidR="007C47C4" w:rsidRDefault="007C47C4" w:rsidP="007C47C4">
      <w:pPr>
        <w:spacing w:after="0" w:line="240" w:lineRule="auto"/>
        <w:jc w:val="center"/>
      </w:pPr>
      <w:r>
        <w:rPr>
          <w:rFonts w:ascii="Arial" w:hAnsi="Arial" w:cs="Arial"/>
          <w:sz w:val="26"/>
          <w:szCs w:val="26"/>
        </w:rPr>
        <w:t>SECRETARIO GENERAL DE ACUERDOS</w:t>
      </w:r>
    </w:p>
    <w:p w14:paraId="112A4999" w14:textId="77777777" w:rsidR="00830004" w:rsidRPr="003B6CF0" w:rsidRDefault="00830004" w:rsidP="00830004">
      <w:r w:rsidRPr="003B6CF0">
        <w:t xml:space="preserve"> </w:t>
      </w:r>
    </w:p>
    <w:sectPr w:rsidR="00830004" w:rsidRPr="003B6CF0" w:rsidSect="0024672A">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81210" w14:textId="77777777" w:rsidR="00921777" w:rsidRDefault="00921777">
      <w:pPr>
        <w:spacing w:after="0" w:line="240" w:lineRule="auto"/>
      </w:pPr>
      <w:r>
        <w:separator/>
      </w:r>
    </w:p>
  </w:endnote>
  <w:endnote w:type="continuationSeparator" w:id="0">
    <w:p w14:paraId="654E9E2C" w14:textId="77777777" w:rsidR="00921777" w:rsidRDefault="00921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7945A" w14:textId="77777777" w:rsidR="00921777" w:rsidRDefault="00921777">
      <w:pPr>
        <w:spacing w:after="0" w:line="240" w:lineRule="auto"/>
      </w:pPr>
      <w:r>
        <w:separator/>
      </w:r>
    </w:p>
  </w:footnote>
  <w:footnote w:type="continuationSeparator" w:id="0">
    <w:p w14:paraId="54F10695" w14:textId="77777777" w:rsidR="00921777" w:rsidRDefault="00921777">
      <w:pPr>
        <w:spacing w:after="0" w:line="240" w:lineRule="auto"/>
      </w:pPr>
      <w:r>
        <w:continuationSeparator/>
      </w:r>
    </w:p>
  </w:footnote>
  <w:footnote w:id="1">
    <w:p w14:paraId="0DB8EF15" w14:textId="73E59E62" w:rsidR="00894791" w:rsidRPr="00033FF4" w:rsidRDefault="00894791" w:rsidP="00894791">
      <w:pPr>
        <w:pStyle w:val="Textonotapie"/>
        <w:jc w:val="both"/>
        <w:rPr>
          <w:rFonts w:ascii="Arial" w:hAnsi="Arial" w:cs="Arial"/>
          <w:iCs/>
        </w:rPr>
      </w:pPr>
      <w:r w:rsidRPr="00766B53">
        <w:rPr>
          <w:rStyle w:val="Refdenotaalpie"/>
          <w:rFonts w:ascii="Arial" w:hAnsi="Arial" w:cs="Arial"/>
          <w:i/>
        </w:rPr>
        <w:footnoteRef/>
      </w:r>
      <w:r w:rsidRPr="00766B53">
        <w:rPr>
          <w:rFonts w:ascii="Arial" w:hAnsi="Arial" w:cs="Arial"/>
          <w:i/>
        </w:rPr>
        <w:t xml:space="preserve"> </w:t>
      </w:r>
      <w:r w:rsidRPr="00033FF4">
        <w:rPr>
          <w:rFonts w:ascii="Arial" w:hAnsi="Arial" w:cs="Arial"/>
          <w:iCs/>
        </w:rPr>
        <w:t xml:space="preserve">Consultable a fojas </w:t>
      </w:r>
      <w:r w:rsidR="00033FF4" w:rsidRPr="00033FF4">
        <w:rPr>
          <w:rFonts w:ascii="Arial" w:hAnsi="Arial" w:cs="Arial"/>
          <w:iCs/>
        </w:rPr>
        <w:t>22</w:t>
      </w:r>
      <w:r w:rsidRPr="00033FF4">
        <w:rPr>
          <w:rFonts w:ascii="Arial" w:hAnsi="Arial" w:cs="Arial"/>
          <w:iCs/>
        </w:rPr>
        <w:t xml:space="preserve"> (</w:t>
      </w:r>
      <w:r w:rsidR="00033FF4" w:rsidRPr="00033FF4">
        <w:rPr>
          <w:rFonts w:ascii="Arial" w:hAnsi="Arial" w:cs="Arial"/>
          <w:iCs/>
        </w:rPr>
        <w:t>veintidós</w:t>
      </w:r>
      <w:r w:rsidRPr="00033FF4">
        <w:rPr>
          <w:rFonts w:ascii="Arial" w:hAnsi="Arial" w:cs="Arial"/>
          <w:iCs/>
        </w:rPr>
        <w:t xml:space="preserve">) a </w:t>
      </w:r>
      <w:r w:rsidR="00033FF4" w:rsidRPr="00033FF4">
        <w:rPr>
          <w:rFonts w:ascii="Arial" w:hAnsi="Arial" w:cs="Arial"/>
          <w:iCs/>
        </w:rPr>
        <w:t>29</w:t>
      </w:r>
      <w:r w:rsidRPr="00033FF4">
        <w:rPr>
          <w:rFonts w:ascii="Arial" w:hAnsi="Arial" w:cs="Arial"/>
          <w:iCs/>
        </w:rPr>
        <w:t xml:space="preserve"> (</w:t>
      </w:r>
      <w:r w:rsidR="00033FF4" w:rsidRPr="00033FF4">
        <w:rPr>
          <w:rFonts w:ascii="Arial" w:hAnsi="Arial" w:cs="Arial"/>
          <w:iCs/>
        </w:rPr>
        <w:t>veintinueve</w:t>
      </w:r>
      <w:r w:rsidRPr="00033FF4">
        <w:rPr>
          <w:rFonts w:ascii="Arial" w:hAnsi="Arial" w:cs="Arial"/>
          <w:iCs/>
        </w:rPr>
        <w:t xml:space="preserve">) del expediente </w:t>
      </w:r>
      <w:r w:rsidRPr="00033FF4">
        <w:rPr>
          <w:rFonts w:ascii="Arial" w:hAnsi="Arial" w:cs="Arial"/>
          <w:b/>
          <w:bCs/>
          <w:iCs/>
        </w:rPr>
        <w:t>00</w:t>
      </w:r>
      <w:r w:rsidR="00033FF4" w:rsidRPr="00033FF4">
        <w:rPr>
          <w:rFonts w:ascii="Arial" w:hAnsi="Arial" w:cs="Arial"/>
          <w:b/>
          <w:bCs/>
          <w:iCs/>
        </w:rPr>
        <w:t>32</w:t>
      </w:r>
      <w:r w:rsidRPr="00033FF4">
        <w:rPr>
          <w:rFonts w:ascii="Arial" w:hAnsi="Arial" w:cs="Arial"/>
          <w:b/>
          <w:bCs/>
          <w:iCs/>
        </w:rPr>
        <w:t>/20</w:t>
      </w:r>
      <w:r w:rsidR="00033FF4" w:rsidRPr="00033FF4">
        <w:rPr>
          <w:rFonts w:ascii="Arial" w:hAnsi="Arial" w:cs="Arial"/>
          <w:b/>
          <w:bCs/>
          <w:iCs/>
        </w:rPr>
        <w:t>20</w:t>
      </w:r>
      <w:r w:rsidRPr="00033FF4">
        <w:rPr>
          <w:rFonts w:ascii="Arial" w:hAnsi="Arial" w:cs="Arial"/>
          <w:iCs/>
        </w:rPr>
        <w:t xml:space="preserve"> del índice de la </w:t>
      </w:r>
      <w:r w:rsidR="00033FF4" w:rsidRPr="00033FF4">
        <w:rPr>
          <w:rFonts w:ascii="Arial" w:hAnsi="Arial" w:cs="Arial"/>
          <w:iCs/>
        </w:rPr>
        <w:t>Sexta</w:t>
      </w:r>
      <w:r w:rsidRPr="00033FF4">
        <w:rPr>
          <w:rFonts w:ascii="Arial" w:hAnsi="Arial" w:cs="Arial"/>
          <w:iCs/>
        </w:rPr>
        <w:t xml:space="preserve"> Sala de Primera Instancia. </w:t>
      </w:r>
    </w:p>
    <w:p w14:paraId="0AB8A238" w14:textId="77777777" w:rsidR="00894791" w:rsidRPr="00033FF4" w:rsidRDefault="00894791" w:rsidP="00894791">
      <w:pPr>
        <w:pStyle w:val="Textonotapie"/>
        <w:jc w:val="both"/>
        <w:rPr>
          <w:rFonts w:ascii="Arial" w:hAnsi="Arial" w:cs="Arial"/>
          <w:iCs/>
        </w:rPr>
      </w:pPr>
    </w:p>
  </w:footnote>
  <w:footnote w:id="2">
    <w:p w14:paraId="6EDACC2E" w14:textId="07BE49D6" w:rsidR="00385E53" w:rsidRDefault="00385E53" w:rsidP="00B109DE">
      <w:pPr>
        <w:jc w:val="both"/>
      </w:pPr>
      <w:r>
        <w:rPr>
          <w:rStyle w:val="Refdenotaalpie"/>
        </w:rPr>
        <w:footnoteRef/>
      </w:r>
      <w:r>
        <w:t xml:space="preserve"> </w:t>
      </w:r>
      <w:r w:rsidRPr="003801B8">
        <w:rPr>
          <w:rFonts w:ascii="Arial" w:hAnsi="Arial" w:cs="Arial"/>
          <w:b/>
          <w:i/>
          <w:sz w:val="20"/>
          <w:szCs w:val="20"/>
        </w:rPr>
        <w:t>FUNDAMENTACION Y MOTIVACION;</w:t>
      </w:r>
      <w:r w:rsidRPr="00945E3C">
        <w:rPr>
          <w:rFonts w:ascii="Arial" w:hAnsi="Arial" w:cs="Arial"/>
          <w:i/>
          <w:sz w:val="20"/>
          <w:szCs w:val="20"/>
        </w:rPr>
        <w:t xml:space="preserve"> Séptima Época; Registro: 394216; Instancia: Segunda Sala; Jurisprudencia; Apéndice de 1995; Tomo VI, Parte SCJN; Tesis: 260; Página: 175.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4C641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C6412">
          <w:rPr>
            <w:noProof/>
            <w:lang w:val="es-ES"/>
          </w:rPr>
          <w:t>16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4C641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C6412">
          <w:rPr>
            <w:noProof/>
            <w:lang w:val="es-ES"/>
          </w:rPr>
          <w:t>17</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C641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55D"/>
    <w:rsid w:val="00005B69"/>
    <w:rsid w:val="00005BCB"/>
    <w:rsid w:val="00005EA0"/>
    <w:rsid w:val="00007105"/>
    <w:rsid w:val="00007296"/>
    <w:rsid w:val="00007529"/>
    <w:rsid w:val="00007E09"/>
    <w:rsid w:val="00007EFD"/>
    <w:rsid w:val="00007FD5"/>
    <w:rsid w:val="000106F6"/>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E91"/>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3FF4"/>
    <w:rsid w:val="00034F3F"/>
    <w:rsid w:val="0003629C"/>
    <w:rsid w:val="00036495"/>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334E"/>
    <w:rsid w:val="000441B5"/>
    <w:rsid w:val="00044C5F"/>
    <w:rsid w:val="000450F5"/>
    <w:rsid w:val="000456C6"/>
    <w:rsid w:val="00045B15"/>
    <w:rsid w:val="000466B1"/>
    <w:rsid w:val="000466D5"/>
    <w:rsid w:val="00046D4D"/>
    <w:rsid w:val="000525F8"/>
    <w:rsid w:val="0005285F"/>
    <w:rsid w:val="00053207"/>
    <w:rsid w:val="0005370C"/>
    <w:rsid w:val="0005375E"/>
    <w:rsid w:val="000540E8"/>
    <w:rsid w:val="000542BE"/>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3CBF"/>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4D00"/>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6CD3"/>
    <w:rsid w:val="00087470"/>
    <w:rsid w:val="000875DB"/>
    <w:rsid w:val="000900BD"/>
    <w:rsid w:val="000904A5"/>
    <w:rsid w:val="0009077C"/>
    <w:rsid w:val="00090A9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2AF"/>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3DE1"/>
    <w:rsid w:val="001542BE"/>
    <w:rsid w:val="00154490"/>
    <w:rsid w:val="00156250"/>
    <w:rsid w:val="0015643E"/>
    <w:rsid w:val="00156F22"/>
    <w:rsid w:val="001570E1"/>
    <w:rsid w:val="00161661"/>
    <w:rsid w:val="0016171F"/>
    <w:rsid w:val="00161F6F"/>
    <w:rsid w:val="001621EF"/>
    <w:rsid w:val="00163CA4"/>
    <w:rsid w:val="00163EBF"/>
    <w:rsid w:val="00164BCE"/>
    <w:rsid w:val="001659D0"/>
    <w:rsid w:val="0016604B"/>
    <w:rsid w:val="0016700D"/>
    <w:rsid w:val="00167ADD"/>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6721"/>
    <w:rsid w:val="001778B4"/>
    <w:rsid w:val="001779CB"/>
    <w:rsid w:val="00177B53"/>
    <w:rsid w:val="0018000D"/>
    <w:rsid w:val="001826D0"/>
    <w:rsid w:val="001831E3"/>
    <w:rsid w:val="0018345B"/>
    <w:rsid w:val="0018356C"/>
    <w:rsid w:val="0018358B"/>
    <w:rsid w:val="00184333"/>
    <w:rsid w:val="0018454F"/>
    <w:rsid w:val="001846BB"/>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1302"/>
    <w:rsid w:val="001A16CC"/>
    <w:rsid w:val="001A18E1"/>
    <w:rsid w:val="001A1FD2"/>
    <w:rsid w:val="001A2144"/>
    <w:rsid w:val="001A2FDB"/>
    <w:rsid w:val="001A345A"/>
    <w:rsid w:val="001A3755"/>
    <w:rsid w:val="001A4127"/>
    <w:rsid w:val="001A4E1C"/>
    <w:rsid w:val="001A554E"/>
    <w:rsid w:val="001A6EBE"/>
    <w:rsid w:val="001A6F68"/>
    <w:rsid w:val="001A77FB"/>
    <w:rsid w:val="001B009D"/>
    <w:rsid w:val="001B0396"/>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510A"/>
    <w:rsid w:val="001E65E8"/>
    <w:rsid w:val="001E6AE5"/>
    <w:rsid w:val="001E6DBC"/>
    <w:rsid w:val="001E7020"/>
    <w:rsid w:val="001E71FD"/>
    <w:rsid w:val="001E77A9"/>
    <w:rsid w:val="001E7BD1"/>
    <w:rsid w:val="001F2154"/>
    <w:rsid w:val="001F287C"/>
    <w:rsid w:val="001F2D73"/>
    <w:rsid w:val="001F2E5E"/>
    <w:rsid w:val="001F5050"/>
    <w:rsid w:val="001F625A"/>
    <w:rsid w:val="001F6B28"/>
    <w:rsid w:val="001F6C56"/>
    <w:rsid w:val="001F6D00"/>
    <w:rsid w:val="001F72DF"/>
    <w:rsid w:val="001F77D0"/>
    <w:rsid w:val="002010A9"/>
    <w:rsid w:val="00201769"/>
    <w:rsid w:val="0020247E"/>
    <w:rsid w:val="002025FD"/>
    <w:rsid w:val="00203FD3"/>
    <w:rsid w:val="00204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795"/>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F1B"/>
    <w:rsid w:val="002665A2"/>
    <w:rsid w:val="00267221"/>
    <w:rsid w:val="00270087"/>
    <w:rsid w:val="00270831"/>
    <w:rsid w:val="0027275E"/>
    <w:rsid w:val="00272A7D"/>
    <w:rsid w:val="00273171"/>
    <w:rsid w:val="00273266"/>
    <w:rsid w:val="00273C5B"/>
    <w:rsid w:val="002748AA"/>
    <w:rsid w:val="00274F92"/>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269"/>
    <w:rsid w:val="00291333"/>
    <w:rsid w:val="00291341"/>
    <w:rsid w:val="002918DB"/>
    <w:rsid w:val="002926B1"/>
    <w:rsid w:val="00292CA5"/>
    <w:rsid w:val="00293B1D"/>
    <w:rsid w:val="00293E41"/>
    <w:rsid w:val="00294606"/>
    <w:rsid w:val="0029492C"/>
    <w:rsid w:val="00296748"/>
    <w:rsid w:val="00296DF7"/>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A7664"/>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4E3C"/>
    <w:rsid w:val="002C509D"/>
    <w:rsid w:val="002C5540"/>
    <w:rsid w:val="002C62F6"/>
    <w:rsid w:val="002C6CED"/>
    <w:rsid w:val="002C6F55"/>
    <w:rsid w:val="002D0109"/>
    <w:rsid w:val="002D0290"/>
    <w:rsid w:val="002D0C9B"/>
    <w:rsid w:val="002D18A1"/>
    <w:rsid w:val="002D1979"/>
    <w:rsid w:val="002D268B"/>
    <w:rsid w:val="002D2CEE"/>
    <w:rsid w:val="002D3701"/>
    <w:rsid w:val="002D3CF1"/>
    <w:rsid w:val="002D3F79"/>
    <w:rsid w:val="002D413F"/>
    <w:rsid w:val="002D4B99"/>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6AB"/>
    <w:rsid w:val="002F77C3"/>
    <w:rsid w:val="0030136B"/>
    <w:rsid w:val="00301CB4"/>
    <w:rsid w:val="00302960"/>
    <w:rsid w:val="0030330D"/>
    <w:rsid w:val="00304999"/>
    <w:rsid w:val="00304F25"/>
    <w:rsid w:val="003056B2"/>
    <w:rsid w:val="00305D48"/>
    <w:rsid w:val="00306940"/>
    <w:rsid w:val="00306BA9"/>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4C1F"/>
    <w:rsid w:val="003253CA"/>
    <w:rsid w:val="00326D5E"/>
    <w:rsid w:val="0032755E"/>
    <w:rsid w:val="00327A8E"/>
    <w:rsid w:val="00327BDD"/>
    <w:rsid w:val="003301D0"/>
    <w:rsid w:val="00330668"/>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57059"/>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26B3"/>
    <w:rsid w:val="003726E1"/>
    <w:rsid w:val="00373EA5"/>
    <w:rsid w:val="00374012"/>
    <w:rsid w:val="003743D7"/>
    <w:rsid w:val="003749C0"/>
    <w:rsid w:val="00374A3B"/>
    <w:rsid w:val="003750D6"/>
    <w:rsid w:val="003752B5"/>
    <w:rsid w:val="0037599C"/>
    <w:rsid w:val="00375FDD"/>
    <w:rsid w:val="0037725F"/>
    <w:rsid w:val="003804A7"/>
    <w:rsid w:val="00381DC3"/>
    <w:rsid w:val="0038228C"/>
    <w:rsid w:val="00382BDE"/>
    <w:rsid w:val="00382EC3"/>
    <w:rsid w:val="003859C4"/>
    <w:rsid w:val="00385B11"/>
    <w:rsid w:val="00385E53"/>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4FE2"/>
    <w:rsid w:val="003D5398"/>
    <w:rsid w:val="003D556F"/>
    <w:rsid w:val="003D582E"/>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1A6"/>
    <w:rsid w:val="003F3E65"/>
    <w:rsid w:val="003F42FC"/>
    <w:rsid w:val="003F4833"/>
    <w:rsid w:val="003F4B68"/>
    <w:rsid w:val="003F532D"/>
    <w:rsid w:val="003F7A40"/>
    <w:rsid w:val="004003E7"/>
    <w:rsid w:val="00400CE8"/>
    <w:rsid w:val="00401B8F"/>
    <w:rsid w:val="00401FEB"/>
    <w:rsid w:val="004022FC"/>
    <w:rsid w:val="00402763"/>
    <w:rsid w:val="004027A1"/>
    <w:rsid w:val="00404074"/>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57"/>
    <w:rsid w:val="00427FBB"/>
    <w:rsid w:val="00430399"/>
    <w:rsid w:val="00430E42"/>
    <w:rsid w:val="0043209C"/>
    <w:rsid w:val="004322A6"/>
    <w:rsid w:val="00433351"/>
    <w:rsid w:val="00433FA6"/>
    <w:rsid w:val="004340BA"/>
    <w:rsid w:val="004348C5"/>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6A4"/>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74A"/>
    <w:rsid w:val="0047274B"/>
    <w:rsid w:val="00472B3D"/>
    <w:rsid w:val="00472D90"/>
    <w:rsid w:val="00473EB5"/>
    <w:rsid w:val="00475F28"/>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3E75"/>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12"/>
    <w:rsid w:val="004C643F"/>
    <w:rsid w:val="004C6683"/>
    <w:rsid w:val="004C715A"/>
    <w:rsid w:val="004D0038"/>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4A30"/>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5154"/>
    <w:rsid w:val="00526DC4"/>
    <w:rsid w:val="005274E0"/>
    <w:rsid w:val="00527F7B"/>
    <w:rsid w:val="005300DF"/>
    <w:rsid w:val="005313BE"/>
    <w:rsid w:val="005318FF"/>
    <w:rsid w:val="00531B2A"/>
    <w:rsid w:val="00531B72"/>
    <w:rsid w:val="00531C8C"/>
    <w:rsid w:val="005324A4"/>
    <w:rsid w:val="00532D69"/>
    <w:rsid w:val="00532E56"/>
    <w:rsid w:val="00533B21"/>
    <w:rsid w:val="00533B80"/>
    <w:rsid w:val="00533D34"/>
    <w:rsid w:val="00533EE1"/>
    <w:rsid w:val="00534D86"/>
    <w:rsid w:val="005362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67E"/>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470F"/>
    <w:rsid w:val="0057684C"/>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50CA"/>
    <w:rsid w:val="005A576F"/>
    <w:rsid w:val="005A6A9E"/>
    <w:rsid w:val="005A752F"/>
    <w:rsid w:val="005B0EA5"/>
    <w:rsid w:val="005B1E67"/>
    <w:rsid w:val="005B2365"/>
    <w:rsid w:val="005B296A"/>
    <w:rsid w:val="005B3184"/>
    <w:rsid w:val="005B36F5"/>
    <w:rsid w:val="005B3BB9"/>
    <w:rsid w:val="005B3F3B"/>
    <w:rsid w:val="005B40E1"/>
    <w:rsid w:val="005B5FC8"/>
    <w:rsid w:val="005B6E2C"/>
    <w:rsid w:val="005B7761"/>
    <w:rsid w:val="005C08BA"/>
    <w:rsid w:val="005C0DC0"/>
    <w:rsid w:val="005C194D"/>
    <w:rsid w:val="005C21B5"/>
    <w:rsid w:val="005C3179"/>
    <w:rsid w:val="005C45B4"/>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6CAA"/>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802"/>
    <w:rsid w:val="00624E46"/>
    <w:rsid w:val="00624F20"/>
    <w:rsid w:val="00625F4E"/>
    <w:rsid w:val="006279BE"/>
    <w:rsid w:val="006304BB"/>
    <w:rsid w:val="0063071F"/>
    <w:rsid w:val="00630C62"/>
    <w:rsid w:val="00631207"/>
    <w:rsid w:val="0063273E"/>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2D9C"/>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3178"/>
    <w:rsid w:val="0068325D"/>
    <w:rsid w:val="00684F50"/>
    <w:rsid w:val="00685785"/>
    <w:rsid w:val="00686F6A"/>
    <w:rsid w:val="00687828"/>
    <w:rsid w:val="00687BEB"/>
    <w:rsid w:val="00690611"/>
    <w:rsid w:val="006908A1"/>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61C7"/>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5F4B"/>
    <w:rsid w:val="006F6131"/>
    <w:rsid w:val="006F650D"/>
    <w:rsid w:val="006F68C0"/>
    <w:rsid w:val="006F68E5"/>
    <w:rsid w:val="006F7407"/>
    <w:rsid w:val="00700013"/>
    <w:rsid w:val="00700370"/>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02CB"/>
    <w:rsid w:val="0072215B"/>
    <w:rsid w:val="00722B88"/>
    <w:rsid w:val="0072304C"/>
    <w:rsid w:val="0072368F"/>
    <w:rsid w:val="00723EC1"/>
    <w:rsid w:val="00724552"/>
    <w:rsid w:val="00724C1C"/>
    <w:rsid w:val="0072576E"/>
    <w:rsid w:val="007263FF"/>
    <w:rsid w:val="00727C09"/>
    <w:rsid w:val="00727D9C"/>
    <w:rsid w:val="00730089"/>
    <w:rsid w:val="00730250"/>
    <w:rsid w:val="00730453"/>
    <w:rsid w:val="0073182F"/>
    <w:rsid w:val="0073212F"/>
    <w:rsid w:val="007324A9"/>
    <w:rsid w:val="00732F4F"/>
    <w:rsid w:val="007332CB"/>
    <w:rsid w:val="00734300"/>
    <w:rsid w:val="0073439D"/>
    <w:rsid w:val="00734795"/>
    <w:rsid w:val="00736F71"/>
    <w:rsid w:val="00737679"/>
    <w:rsid w:val="00740D93"/>
    <w:rsid w:val="007426D1"/>
    <w:rsid w:val="00743383"/>
    <w:rsid w:val="00743E50"/>
    <w:rsid w:val="00743F9C"/>
    <w:rsid w:val="00744BFA"/>
    <w:rsid w:val="00744DC2"/>
    <w:rsid w:val="00744E05"/>
    <w:rsid w:val="00744E48"/>
    <w:rsid w:val="00744EED"/>
    <w:rsid w:val="00746015"/>
    <w:rsid w:val="00746730"/>
    <w:rsid w:val="00751760"/>
    <w:rsid w:val="00751950"/>
    <w:rsid w:val="00752C85"/>
    <w:rsid w:val="00752CFC"/>
    <w:rsid w:val="0075490A"/>
    <w:rsid w:val="007560FD"/>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49A"/>
    <w:rsid w:val="007656A2"/>
    <w:rsid w:val="00765973"/>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97E"/>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973"/>
    <w:rsid w:val="007A367E"/>
    <w:rsid w:val="007A3AF8"/>
    <w:rsid w:val="007A43A0"/>
    <w:rsid w:val="007A47F2"/>
    <w:rsid w:val="007A490A"/>
    <w:rsid w:val="007A530A"/>
    <w:rsid w:val="007A5548"/>
    <w:rsid w:val="007A5919"/>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19F"/>
    <w:rsid w:val="007C2ABF"/>
    <w:rsid w:val="007C313D"/>
    <w:rsid w:val="007C3B2E"/>
    <w:rsid w:val="007C405D"/>
    <w:rsid w:val="007C47C4"/>
    <w:rsid w:val="007C4D7C"/>
    <w:rsid w:val="007C54F7"/>
    <w:rsid w:val="007C5545"/>
    <w:rsid w:val="007C581F"/>
    <w:rsid w:val="007C587A"/>
    <w:rsid w:val="007C6B92"/>
    <w:rsid w:val="007C79F5"/>
    <w:rsid w:val="007C7A6B"/>
    <w:rsid w:val="007D0856"/>
    <w:rsid w:val="007D0A0F"/>
    <w:rsid w:val="007D131D"/>
    <w:rsid w:val="007D1719"/>
    <w:rsid w:val="007D303D"/>
    <w:rsid w:val="007D3939"/>
    <w:rsid w:val="007D3BCC"/>
    <w:rsid w:val="007D3CE0"/>
    <w:rsid w:val="007D404D"/>
    <w:rsid w:val="007D45CB"/>
    <w:rsid w:val="007D4645"/>
    <w:rsid w:val="007D5692"/>
    <w:rsid w:val="007D6461"/>
    <w:rsid w:val="007D7585"/>
    <w:rsid w:val="007D7816"/>
    <w:rsid w:val="007E1150"/>
    <w:rsid w:val="007E2481"/>
    <w:rsid w:val="007E3210"/>
    <w:rsid w:val="007E32FC"/>
    <w:rsid w:val="007E3BB8"/>
    <w:rsid w:val="007E4266"/>
    <w:rsid w:val="007E4EA5"/>
    <w:rsid w:val="007E5A5C"/>
    <w:rsid w:val="007E7A9C"/>
    <w:rsid w:val="007F0559"/>
    <w:rsid w:val="007F0BA9"/>
    <w:rsid w:val="007F14CC"/>
    <w:rsid w:val="007F1607"/>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004"/>
    <w:rsid w:val="0083045A"/>
    <w:rsid w:val="008304AD"/>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AE0"/>
    <w:rsid w:val="00847B25"/>
    <w:rsid w:val="00847D72"/>
    <w:rsid w:val="00850259"/>
    <w:rsid w:val="008504C8"/>
    <w:rsid w:val="00851000"/>
    <w:rsid w:val="00851789"/>
    <w:rsid w:val="008528E4"/>
    <w:rsid w:val="00854886"/>
    <w:rsid w:val="00855029"/>
    <w:rsid w:val="0085507C"/>
    <w:rsid w:val="0085563E"/>
    <w:rsid w:val="008561A9"/>
    <w:rsid w:val="00857DD4"/>
    <w:rsid w:val="00857E00"/>
    <w:rsid w:val="008601DA"/>
    <w:rsid w:val="00861653"/>
    <w:rsid w:val="00861978"/>
    <w:rsid w:val="0086207E"/>
    <w:rsid w:val="008625C0"/>
    <w:rsid w:val="00863418"/>
    <w:rsid w:val="008634C5"/>
    <w:rsid w:val="00863FB1"/>
    <w:rsid w:val="00864530"/>
    <w:rsid w:val="00864F72"/>
    <w:rsid w:val="008652F3"/>
    <w:rsid w:val="00865B42"/>
    <w:rsid w:val="00866DED"/>
    <w:rsid w:val="00866DF0"/>
    <w:rsid w:val="008672F5"/>
    <w:rsid w:val="00870822"/>
    <w:rsid w:val="0087089C"/>
    <w:rsid w:val="008709B3"/>
    <w:rsid w:val="00870DB7"/>
    <w:rsid w:val="008711EC"/>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791"/>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639"/>
    <w:rsid w:val="008A7EC3"/>
    <w:rsid w:val="008A7F72"/>
    <w:rsid w:val="008B0AD8"/>
    <w:rsid w:val="008B1D4F"/>
    <w:rsid w:val="008B299F"/>
    <w:rsid w:val="008B2A33"/>
    <w:rsid w:val="008B3030"/>
    <w:rsid w:val="008B32AC"/>
    <w:rsid w:val="008B33CF"/>
    <w:rsid w:val="008B4262"/>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6F1C"/>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584"/>
    <w:rsid w:val="008F0923"/>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3F"/>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6592"/>
    <w:rsid w:val="00917351"/>
    <w:rsid w:val="00920287"/>
    <w:rsid w:val="00920328"/>
    <w:rsid w:val="00920947"/>
    <w:rsid w:val="0092099A"/>
    <w:rsid w:val="00920BEE"/>
    <w:rsid w:val="00920C90"/>
    <w:rsid w:val="00921777"/>
    <w:rsid w:val="00921E9D"/>
    <w:rsid w:val="009220E0"/>
    <w:rsid w:val="0092244D"/>
    <w:rsid w:val="00922901"/>
    <w:rsid w:val="00922FD0"/>
    <w:rsid w:val="0092383C"/>
    <w:rsid w:val="00923E83"/>
    <w:rsid w:val="00923FD8"/>
    <w:rsid w:val="009250CB"/>
    <w:rsid w:val="009253CF"/>
    <w:rsid w:val="00926AC7"/>
    <w:rsid w:val="00926E4D"/>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1E9C"/>
    <w:rsid w:val="009429EF"/>
    <w:rsid w:val="00942CAB"/>
    <w:rsid w:val="00942E61"/>
    <w:rsid w:val="00943479"/>
    <w:rsid w:val="00945295"/>
    <w:rsid w:val="0094562D"/>
    <w:rsid w:val="00945990"/>
    <w:rsid w:val="009466F3"/>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700BB"/>
    <w:rsid w:val="00971321"/>
    <w:rsid w:val="00971402"/>
    <w:rsid w:val="0097249F"/>
    <w:rsid w:val="00972B61"/>
    <w:rsid w:val="009730F2"/>
    <w:rsid w:val="00974250"/>
    <w:rsid w:val="009743A2"/>
    <w:rsid w:val="00974C99"/>
    <w:rsid w:val="00974F50"/>
    <w:rsid w:val="009756EC"/>
    <w:rsid w:val="009757EE"/>
    <w:rsid w:val="0097584C"/>
    <w:rsid w:val="00976FCC"/>
    <w:rsid w:val="0097768E"/>
    <w:rsid w:val="0098019D"/>
    <w:rsid w:val="009818A2"/>
    <w:rsid w:val="009829E2"/>
    <w:rsid w:val="00983523"/>
    <w:rsid w:val="00983525"/>
    <w:rsid w:val="009844CE"/>
    <w:rsid w:val="00984590"/>
    <w:rsid w:val="00984F92"/>
    <w:rsid w:val="00984FB7"/>
    <w:rsid w:val="009855CB"/>
    <w:rsid w:val="00985932"/>
    <w:rsid w:val="009868FC"/>
    <w:rsid w:val="00986D6A"/>
    <w:rsid w:val="00987CE2"/>
    <w:rsid w:val="00990013"/>
    <w:rsid w:val="00990D44"/>
    <w:rsid w:val="00991E94"/>
    <w:rsid w:val="00992712"/>
    <w:rsid w:val="00993708"/>
    <w:rsid w:val="00993E7E"/>
    <w:rsid w:val="00995539"/>
    <w:rsid w:val="0099690A"/>
    <w:rsid w:val="00996B9E"/>
    <w:rsid w:val="00997136"/>
    <w:rsid w:val="009971A7"/>
    <w:rsid w:val="009A33BE"/>
    <w:rsid w:val="009A3F67"/>
    <w:rsid w:val="009A432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42B5"/>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2DBC"/>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1CD2"/>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52"/>
    <w:rsid w:val="00A07A56"/>
    <w:rsid w:val="00A1031F"/>
    <w:rsid w:val="00A10D42"/>
    <w:rsid w:val="00A1186C"/>
    <w:rsid w:val="00A12179"/>
    <w:rsid w:val="00A12661"/>
    <w:rsid w:val="00A12D31"/>
    <w:rsid w:val="00A12F8B"/>
    <w:rsid w:val="00A13C0F"/>
    <w:rsid w:val="00A13E2B"/>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A17"/>
    <w:rsid w:val="00A24B73"/>
    <w:rsid w:val="00A257A4"/>
    <w:rsid w:val="00A258BB"/>
    <w:rsid w:val="00A27138"/>
    <w:rsid w:val="00A30602"/>
    <w:rsid w:val="00A30D30"/>
    <w:rsid w:val="00A31158"/>
    <w:rsid w:val="00A3215A"/>
    <w:rsid w:val="00A32881"/>
    <w:rsid w:val="00A3359F"/>
    <w:rsid w:val="00A33F3B"/>
    <w:rsid w:val="00A34A2F"/>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044"/>
    <w:rsid w:val="00A761F4"/>
    <w:rsid w:val="00A77448"/>
    <w:rsid w:val="00A77B65"/>
    <w:rsid w:val="00A77EC2"/>
    <w:rsid w:val="00A8007D"/>
    <w:rsid w:val="00A80761"/>
    <w:rsid w:val="00A80C34"/>
    <w:rsid w:val="00A80DC8"/>
    <w:rsid w:val="00A8116D"/>
    <w:rsid w:val="00A812F5"/>
    <w:rsid w:val="00A814C5"/>
    <w:rsid w:val="00A81C21"/>
    <w:rsid w:val="00A82249"/>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47A"/>
    <w:rsid w:val="00A94E2C"/>
    <w:rsid w:val="00A94F2D"/>
    <w:rsid w:val="00A95DD5"/>
    <w:rsid w:val="00A96022"/>
    <w:rsid w:val="00A966F4"/>
    <w:rsid w:val="00A96770"/>
    <w:rsid w:val="00A97932"/>
    <w:rsid w:val="00A97EA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B68"/>
    <w:rsid w:val="00AB5C16"/>
    <w:rsid w:val="00AB5C8E"/>
    <w:rsid w:val="00AB628D"/>
    <w:rsid w:val="00AC00B1"/>
    <w:rsid w:val="00AC0229"/>
    <w:rsid w:val="00AC12CF"/>
    <w:rsid w:val="00AC154D"/>
    <w:rsid w:val="00AC2548"/>
    <w:rsid w:val="00AC3C32"/>
    <w:rsid w:val="00AC3DB8"/>
    <w:rsid w:val="00AC648A"/>
    <w:rsid w:val="00AD100C"/>
    <w:rsid w:val="00AD2540"/>
    <w:rsid w:val="00AD2770"/>
    <w:rsid w:val="00AD38ED"/>
    <w:rsid w:val="00AD39D6"/>
    <w:rsid w:val="00AD3C97"/>
    <w:rsid w:val="00AD3D86"/>
    <w:rsid w:val="00AD4282"/>
    <w:rsid w:val="00AD5A42"/>
    <w:rsid w:val="00AD7073"/>
    <w:rsid w:val="00AD7448"/>
    <w:rsid w:val="00AD77FD"/>
    <w:rsid w:val="00AD79E2"/>
    <w:rsid w:val="00AD7FFB"/>
    <w:rsid w:val="00AE1C5C"/>
    <w:rsid w:val="00AE271F"/>
    <w:rsid w:val="00AE3DF5"/>
    <w:rsid w:val="00AE4981"/>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9DE"/>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41E"/>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3C85"/>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7A"/>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5591"/>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4A4"/>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41D"/>
    <w:rsid w:val="00BB06C3"/>
    <w:rsid w:val="00BB0D35"/>
    <w:rsid w:val="00BB13C5"/>
    <w:rsid w:val="00BB1812"/>
    <w:rsid w:val="00BB23CB"/>
    <w:rsid w:val="00BB2532"/>
    <w:rsid w:val="00BB2686"/>
    <w:rsid w:val="00BB268B"/>
    <w:rsid w:val="00BB32DA"/>
    <w:rsid w:val="00BB37EA"/>
    <w:rsid w:val="00BB3A96"/>
    <w:rsid w:val="00BB4D08"/>
    <w:rsid w:val="00BB6A68"/>
    <w:rsid w:val="00BB739C"/>
    <w:rsid w:val="00BB7905"/>
    <w:rsid w:val="00BC006B"/>
    <w:rsid w:val="00BC0108"/>
    <w:rsid w:val="00BC088B"/>
    <w:rsid w:val="00BC0A3F"/>
    <w:rsid w:val="00BC1305"/>
    <w:rsid w:val="00BC1D30"/>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1AE"/>
    <w:rsid w:val="00BE1BBE"/>
    <w:rsid w:val="00BE2C9F"/>
    <w:rsid w:val="00BE36D5"/>
    <w:rsid w:val="00BE44A2"/>
    <w:rsid w:val="00BE4FDC"/>
    <w:rsid w:val="00BE58E7"/>
    <w:rsid w:val="00BE6056"/>
    <w:rsid w:val="00BE6217"/>
    <w:rsid w:val="00BE6F61"/>
    <w:rsid w:val="00BE7C10"/>
    <w:rsid w:val="00BF01B9"/>
    <w:rsid w:val="00BF0D7C"/>
    <w:rsid w:val="00BF1235"/>
    <w:rsid w:val="00BF1F39"/>
    <w:rsid w:val="00BF2AD9"/>
    <w:rsid w:val="00BF2FDA"/>
    <w:rsid w:val="00BF5415"/>
    <w:rsid w:val="00BF5877"/>
    <w:rsid w:val="00BF68A1"/>
    <w:rsid w:val="00BF77DF"/>
    <w:rsid w:val="00C006E1"/>
    <w:rsid w:val="00C00863"/>
    <w:rsid w:val="00C013E9"/>
    <w:rsid w:val="00C01536"/>
    <w:rsid w:val="00C01681"/>
    <w:rsid w:val="00C0185C"/>
    <w:rsid w:val="00C01945"/>
    <w:rsid w:val="00C01AE5"/>
    <w:rsid w:val="00C0372A"/>
    <w:rsid w:val="00C045DA"/>
    <w:rsid w:val="00C04E6E"/>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1D04"/>
    <w:rsid w:val="00C6230B"/>
    <w:rsid w:val="00C6257D"/>
    <w:rsid w:val="00C632FA"/>
    <w:rsid w:val="00C635D0"/>
    <w:rsid w:val="00C64273"/>
    <w:rsid w:val="00C65B9B"/>
    <w:rsid w:val="00C65E9A"/>
    <w:rsid w:val="00C67249"/>
    <w:rsid w:val="00C67698"/>
    <w:rsid w:val="00C70952"/>
    <w:rsid w:val="00C70B57"/>
    <w:rsid w:val="00C70B81"/>
    <w:rsid w:val="00C71B70"/>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5DB"/>
    <w:rsid w:val="00C907F8"/>
    <w:rsid w:val="00C9111E"/>
    <w:rsid w:val="00C91446"/>
    <w:rsid w:val="00C919AB"/>
    <w:rsid w:val="00C92681"/>
    <w:rsid w:val="00C94994"/>
    <w:rsid w:val="00C94C04"/>
    <w:rsid w:val="00C951C1"/>
    <w:rsid w:val="00C9584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304D"/>
    <w:rsid w:val="00CA403B"/>
    <w:rsid w:val="00CA476E"/>
    <w:rsid w:val="00CA4B98"/>
    <w:rsid w:val="00CA4BFA"/>
    <w:rsid w:val="00CA5463"/>
    <w:rsid w:val="00CA5A6D"/>
    <w:rsid w:val="00CA6AC7"/>
    <w:rsid w:val="00CB1AC1"/>
    <w:rsid w:val="00CB26F2"/>
    <w:rsid w:val="00CB2BAE"/>
    <w:rsid w:val="00CB3166"/>
    <w:rsid w:val="00CB40D4"/>
    <w:rsid w:val="00CB5E18"/>
    <w:rsid w:val="00CB638D"/>
    <w:rsid w:val="00CB6900"/>
    <w:rsid w:val="00CB6EB4"/>
    <w:rsid w:val="00CB7439"/>
    <w:rsid w:val="00CB748E"/>
    <w:rsid w:val="00CB7C3A"/>
    <w:rsid w:val="00CC0FC3"/>
    <w:rsid w:val="00CC1406"/>
    <w:rsid w:val="00CC154C"/>
    <w:rsid w:val="00CC1DB2"/>
    <w:rsid w:val="00CC2707"/>
    <w:rsid w:val="00CC367C"/>
    <w:rsid w:val="00CC3FEE"/>
    <w:rsid w:val="00CC416D"/>
    <w:rsid w:val="00CC45E5"/>
    <w:rsid w:val="00CC466F"/>
    <w:rsid w:val="00CC5291"/>
    <w:rsid w:val="00CC55E8"/>
    <w:rsid w:val="00CC5DF0"/>
    <w:rsid w:val="00CC71C6"/>
    <w:rsid w:val="00CC7E7D"/>
    <w:rsid w:val="00CD0968"/>
    <w:rsid w:val="00CD0A4B"/>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09D"/>
    <w:rsid w:val="00CE2476"/>
    <w:rsid w:val="00CE25CA"/>
    <w:rsid w:val="00CE2CBA"/>
    <w:rsid w:val="00CE302C"/>
    <w:rsid w:val="00CE31BD"/>
    <w:rsid w:val="00CE449A"/>
    <w:rsid w:val="00CE4619"/>
    <w:rsid w:val="00CE4BF2"/>
    <w:rsid w:val="00CE5E91"/>
    <w:rsid w:val="00CE7F33"/>
    <w:rsid w:val="00CF01EA"/>
    <w:rsid w:val="00CF10EF"/>
    <w:rsid w:val="00CF1F53"/>
    <w:rsid w:val="00CF1FAE"/>
    <w:rsid w:val="00CF2366"/>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20368"/>
    <w:rsid w:val="00D209D8"/>
    <w:rsid w:val="00D20B6C"/>
    <w:rsid w:val="00D20DAB"/>
    <w:rsid w:val="00D2186C"/>
    <w:rsid w:val="00D21DCF"/>
    <w:rsid w:val="00D2349B"/>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4B02"/>
    <w:rsid w:val="00D44BD1"/>
    <w:rsid w:val="00D45359"/>
    <w:rsid w:val="00D461E1"/>
    <w:rsid w:val="00D462CC"/>
    <w:rsid w:val="00D46BC2"/>
    <w:rsid w:val="00D47AB6"/>
    <w:rsid w:val="00D5062F"/>
    <w:rsid w:val="00D507D9"/>
    <w:rsid w:val="00D50BC3"/>
    <w:rsid w:val="00D51B4D"/>
    <w:rsid w:val="00D52E63"/>
    <w:rsid w:val="00D5382D"/>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B99"/>
    <w:rsid w:val="00D9154A"/>
    <w:rsid w:val="00D91699"/>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6C03"/>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D1A"/>
    <w:rsid w:val="00DC1C5C"/>
    <w:rsid w:val="00DC2465"/>
    <w:rsid w:val="00DC252B"/>
    <w:rsid w:val="00DC2811"/>
    <w:rsid w:val="00DC3AD3"/>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195"/>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995"/>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3CC"/>
    <w:rsid w:val="00E16411"/>
    <w:rsid w:val="00E16654"/>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30E7"/>
    <w:rsid w:val="00E540CA"/>
    <w:rsid w:val="00E5410D"/>
    <w:rsid w:val="00E542D7"/>
    <w:rsid w:val="00E54462"/>
    <w:rsid w:val="00E54583"/>
    <w:rsid w:val="00E55F46"/>
    <w:rsid w:val="00E5633C"/>
    <w:rsid w:val="00E56E97"/>
    <w:rsid w:val="00E56EE4"/>
    <w:rsid w:val="00E57B11"/>
    <w:rsid w:val="00E57D48"/>
    <w:rsid w:val="00E57FD0"/>
    <w:rsid w:val="00E60A17"/>
    <w:rsid w:val="00E621FE"/>
    <w:rsid w:val="00E62CBA"/>
    <w:rsid w:val="00E648F7"/>
    <w:rsid w:val="00E64CC9"/>
    <w:rsid w:val="00E65BEE"/>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58BB"/>
    <w:rsid w:val="00E86711"/>
    <w:rsid w:val="00E86798"/>
    <w:rsid w:val="00E877BE"/>
    <w:rsid w:val="00E901B7"/>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1F2E"/>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242"/>
    <w:rsid w:val="00EC6325"/>
    <w:rsid w:val="00EC6864"/>
    <w:rsid w:val="00EC6A8E"/>
    <w:rsid w:val="00EC6B14"/>
    <w:rsid w:val="00EC6B6A"/>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20C"/>
    <w:rsid w:val="00EF09AC"/>
    <w:rsid w:val="00EF10EA"/>
    <w:rsid w:val="00EF14D1"/>
    <w:rsid w:val="00EF17C6"/>
    <w:rsid w:val="00EF1DD2"/>
    <w:rsid w:val="00EF28CF"/>
    <w:rsid w:val="00EF4C71"/>
    <w:rsid w:val="00EF4F74"/>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BA1"/>
    <w:rsid w:val="00F06302"/>
    <w:rsid w:val="00F079CC"/>
    <w:rsid w:val="00F13509"/>
    <w:rsid w:val="00F1360C"/>
    <w:rsid w:val="00F1390D"/>
    <w:rsid w:val="00F151EA"/>
    <w:rsid w:val="00F15595"/>
    <w:rsid w:val="00F156A1"/>
    <w:rsid w:val="00F15913"/>
    <w:rsid w:val="00F165F3"/>
    <w:rsid w:val="00F16687"/>
    <w:rsid w:val="00F208B7"/>
    <w:rsid w:val="00F20B24"/>
    <w:rsid w:val="00F21368"/>
    <w:rsid w:val="00F21A7E"/>
    <w:rsid w:val="00F21BD3"/>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0175"/>
    <w:rsid w:val="00F3096C"/>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0B88"/>
    <w:rsid w:val="00F4216B"/>
    <w:rsid w:val="00F42591"/>
    <w:rsid w:val="00F426C8"/>
    <w:rsid w:val="00F4377C"/>
    <w:rsid w:val="00F44809"/>
    <w:rsid w:val="00F448FB"/>
    <w:rsid w:val="00F45459"/>
    <w:rsid w:val="00F46D5A"/>
    <w:rsid w:val="00F47305"/>
    <w:rsid w:val="00F5036E"/>
    <w:rsid w:val="00F519A9"/>
    <w:rsid w:val="00F52AAA"/>
    <w:rsid w:val="00F52AF5"/>
    <w:rsid w:val="00F53204"/>
    <w:rsid w:val="00F53860"/>
    <w:rsid w:val="00F54021"/>
    <w:rsid w:val="00F542AA"/>
    <w:rsid w:val="00F543D3"/>
    <w:rsid w:val="00F551B0"/>
    <w:rsid w:val="00F55452"/>
    <w:rsid w:val="00F55BFA"/>
    <w:rsid w:val="00F55C72"/>
    <w:rsid w:val="00F55CC1"/>
    <w:rsid w:val="00F56A49"/>
    <w:rsid w:val="00F605E1"/>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349"/>
    <w:rsid w:val="00FA2900"/>
    <w:rsid w:val="00FA2E28"/>
    <w:rsid w:val="00FA3864"/>
    <w:rsid w:val="00FA39AD"/>
    <w:rsid w:val="00FA3C84"/>
    <w:rsid w:val="00FA46ED"/>
    <w:rsid w:val="00FA4A5E"/>
    <w:rsid w:val="00FA4B22"/>
    <w:rsid w:val="00FA4F14"/>
    <w:rsid w:val="00FA5829"/>
    <w:rsid w:val="00FA746C"/>
    <w:rsid w:val="00FA7B8D"/>
    <w:rsid w:val="00FB03A0"/>
    <w:rsid w:val="00FB06E5"/>
    <w:rsid w:val="00FB0C83"/>
    <w:rsid w:val="00FB0D85"/>
    <w:rsid w:val="00FB1043"/>
    <w:rsid w:val="00FB16EF"/>
    <w:rsid w:val="00FB20F3"/>
    <w:rsid w:val="00FB4149"/>
    <w:rsid w:val="00FB43AC"/>
    <w:rsid w:val="00FB47EA"/>
    <w:rsid w:val="00FB567E"/>
    <w:rsid w:val="00FB7C38"/>
    <w:rsid w:val="00FB7F1F"/>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02E"/>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0F47"/>
    <w:rsid w:val="00FE127F"/>
    <w:rsid w:val="00FE27EE"/>
    <w:rsid w:val="00FE30E1"/>
    <w:rsid w:val="00FE520C"/>
    <w:rsid w:val="00FE65C5"/>
    <w:rsid w:val="00FE6DA0"/>
    <w:rsid w:val="00FF090F"/>
    <w:rsid w:val="00FF0C49"/>
    <w:rsid w:val="00FF0FDB"/>
    <w:rsid w:val="00FF1282"/>
    <w:rsid w:val="00FF1339"/>
    <w:rsid w:val="00FF1682"/>
    <w:rsid w:val="00FF22EA"/>
    <w:rsid w:val="00FF33D3"/>
    <w:rsid w:val="00FF479B"/>
    <w:rsid w:val="00FF5100"/>
    <w:rsid w:val="00FF557D"/>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8689256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CED22-51A2-4356-9980-E83F00645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1333</TotalTime>
  <Pages>18</Pages>
  <Words>6048</Words>
  <Characters>33265</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157</cp:revision>
  <cp:lastPrinted>2021-10-28T17:13:00Z</cp:lastPrinted>
  <dcterms:created xsi:type="dcterms:W3CDTF">2021-09-02T23:21:00Z</dcterms:created>
  <dcterms:modified xsi:type="dcterms:W3CDTF">2022-02-04T20:10:00Z</dcterms:modified>
</cp:coreProperties>
</file>