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0E861D51" w:rsidR="00C06661" w:rsidRPr="00CB6405" w:rsidRDefault="00431ECB" w:rsidP="00C0666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60</w:t>
      </w:r>
      <w:r w:rsidR="00FF518D">
        <w:rPr>
          <w:rFonts w:ascii="Arial" w:hAnsi="Arial" w:cs="Arial"/>
          <w:b/>
          <w:sz w:val="26"/>
          <w:szCs w:val="26"/>
        </w:rPr>
        <w:t>/20</w:t>
      </w:r>
      <w:r w:rsidR="00EE4B2A">
        <w:rPr>
          <w:rFonts w:ascii="Arial" w:hAnsi="Arial" w:cs="Arial"/>
          <w:b/>
          <w:sz w:val="26"/>
          <w:szCs w:val="26"/>
        </w:rPr>
        <w:t>20</w:t>
      </w:r>
    </w:p>
    <w:p w14:paraId="0E20F414" w14:textId="2300AE58"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31ECB">
        <w:rPr>
          <w:rFonts w:ascii="Arial" w:hAnsi="Arial" w:cs="Arial"/>
          <w:b/>
          <w:sz w:val="26"/>
          <w:szCs w:val="26"/>
        </w:rPr>
        <w:t>77</w:t>
      </w:r>
      <w:r>
        <w:rPr>
          <w:rFonts w:ascii="Arial" w:hAnsi="Arial" w:cs="Arial"/>
          <w:b/>
          <w:sz w:val="26"/>
          <w:szCs w:val="26"/>
        </w:rPr>
        <w:t>/</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b/>
          <w:sz w:val="26"/>
          <w:szCs w:val="26"/>
        </w:rPr>
        <w:t xml:space="preserve"> </w:t>
      </w:r>
      <w:r w:rsidR="00431ECB">
        <w:rPr>
          <w:rFonts w:ascii="Arial" w:hAnsi="Arial" w:cs="Arial"/>
          <w:b/>
          <w:sz w:val="26"/>
          <w:szCs w:val="26"/>
        </w:rPr>
        <w:t>QUINTA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123BA04E"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C64BA7">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C64BA7">
        <w:rPr>
          <w:rFonts w:ascii="Arial" w:hAnsi="Arial" w:cs="Arial"/>
          <w:b/>
          <w:sz w:val="26"/>
          <w:szCs w:val="26"/>
        </w:rPr>
        <w:t xml:space="preserve"> - - - - - - - - - - - - - - - - - - - - - - - - - - - - - - - - - - - - - - - - - - - - - </w:t>
      </w:r>
    </w:p>
    <w:p w14:paraId="43DBF73A" w14:textId="633D4A5D" w:rsidR="004446D8" w:rsidRPr="00CB6405" w:rsidRDefault="00B525A6" w:rsidP="00D82AE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431ECB">
        <w:rPr>
          <w:rFonts w:ascii="Arial" w:hAnsi="Arial" w:cs="Arial"/>
          <w:b/>
          <w:sz w:val="26"/>
          <w:szCs w:val="26"/>
        </w:rPr>
        <w:t>60</w:t>
      </w:r>
      <w:r w:rsidRPr="00CB6405">
        <w:rPr>
          <w:rFonts w:ascii="Arial" w:hAnsi="Arial" w:cs="Arial"/>
          <w:b/>
          <w:sz w:val="26"/>
          <w:szCs w:val="26"/>
        </w:rPr>
        <w:t>/201</w:t>
      </w:r>
      <w:r w:rsidR="006B7AEC">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431ECB" w:rsidRPr="00431ECB">
        <w:rPr>
          <w:rFonts w:ascii="Arial" w:hAnsi="Arial" w:cs="Arial"/>
          <w:b/>
          <w:sz w:val="26"/>
          <w:szCs w:val="26"/>
        </w:rPr>
        <w:t>ERICK CRUZ CASTELLANOS, EN SU CARÁCTER DE</w:t>
      </w:r>
      <w:r w:rsidR="00665C64">
        <w:rPr>
          <w:rFonts w:ascii="Arial" w:hAnsi="Arial" w:cs="Arial"/>
          <w:sz w:val="26"/>
          <w:szCs w:val="26"/>
        </w:rPr>
        <w:t xml:space="preserve"> </w:t>
      </w:r>
      <w:r w:rsidR="00E72540">
        <w:rPr>
          <w:rFonts w:ascii="Arial" w:hAnsi="Arial" w:cs="Arial"/>
          <w:b/>
          <w:bCs/>
          <w:sz w:val="26"/>
          <w:szCs w:val="26"/>
        </w:rPr>
        <w:t>POLICÍA VIAL CON NÚMERO ESTADÍSTICO 2</w:t>
      </w:r>
      <w:r w:rsidR="00431ECB">
        <w:rPr>
          <w:rFonts w:ascii="Arial" w:hAnsi="Arial" w:cs="Arial"/>
          <w:b/>
          <w:bCs/>
          <w:sz w:val="26"/>
          <w:szCs w:val="26"/>
        </w:rPr>
        <w:t>06, ADSCRITO</w:t>
      </w:r>
      <w:r w:rsidR="00E72540">
        <w:rPr>
          <w:rFonts w:ascii="Arial" w:hAnsi="Arial" w:cs="Arial"/>
          <w:b/>
          <w:bCs/>
          <w:sz w:val="26"/>
          <w:szCs w:val="26"/>
        </w:rPr>
        <w:t xml:space="preserve"> A LA </w:t>
      </w:r>
      <w:r w:rsidR="00E72540" w:rsidRPr="00665C64">
        <w:rPr>
          <w:rFonts w:ascii="Arial" w:hAnsi="Arial" w:cs="Arial"/>
          <w:b/>
          <w:bCs/>
          <w:sz w:val="26"/>
          <w:szCs w:val="26"/>
        </w:rPr>
        <w:t>SUBDI</w:t>
      </w:r>
      <w:r w:rsidR="00431ECB">
        <w:rPr>
          <w:rFonts w:ascii="Arial" w:hAnsi="Arial" w:cs="Arial"/>
          <w:b/>
          <w:bCs/>
          <w:sz w:val="26"/>
          <w:szCs w:val="26"/>
        </w:rPr>
        <w:t>RECCIÓN DE TRÁNSITO Y MOVILIDAD</w:t>
      </w:r>
      <w:r w:rsidR="00E72540" w:rsidRPr="00665C64">
        <w:rPr>
          <w:rFonts w:ascii="Arial" w:hAnsi="Arial" w:cs="Arial"/>
          <w:b/>
          <w:bCs/>
          <w:sz w:val="26"/>
          <w:szCs w:val="26"/>
        </w:rPr>
        <w:t xml:space="preserve"> DEL MUNICIPIO DE OAXACA DE JUÁREZ, OAXACA</w:t>
      </w:r>
      <w:r w:rsidR="009207FE">
        <w:rPr>
          <w:rFonts w:ascii="Arial" w:hAnsi="Arial" w:cs="Arial"/>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w:t>
      </w:r>
      <w:r w:rsidR="00431ECB">
        <w:rPr>
          <w:rFonts w:ascii="Arial" w:hAnsi="Arial" w:cs="Arial"/>
          <w:sz w:val="26"/>
          <w:szCs w:val="26"/>
        </w:rPr>
        <w:t>trece</w:t>
      </w:r>
      <w:r w:rsidR="00D60731">
        <w:rPr>
          <w:rFonts w:ascii="Arial" w:hAnsi="Arial" w:cs="Arial"/>
          <w:sz w:val="26"/>
          <w:szCs w:val="26"/>
        </w:rPr>
        <w:t xml:space="preserve"> de diciembre </w:t>
      </w:r>
      <w:r w:rsidR="00665C64">
        <w:rPr>
          <w:rFonts w:ascii="Arial" w:hAnsi="Arial" w:cs="Arial"/>
          <w:sz w:val="26"/>
          <w:szCs w:val="26"/>
        </w:rPr>
        <w:t>de dos mil</w:t>
      </w:r>
      <w:r w:rsidR="00D60731">
        <w:rPr>
          <w:rFonts w:ascii="Arial" w:hAnsi="Arial" w:cs="Arial"/>
          <w:sz w:val="26"/>
          <w:szCs w:val="26"/>
        </w:rPr>
        <w:t xml:space="preserve"> diecinueve</w:t>
      </w:r>
      <w:r>
        <w:rPr>
          <w:rFonts w:ascii="Arial" w:hAnsi="Arial" w:cs="Arial"/>
          <w:sz w:val="26"/>
          <w:szCs w:val="26"/>
        </w:rPr>
        <w:t>, dictada</w:t>
      </w:r>
      <w:r w:rsidRPr="00CB6405">
        <w:rPr>
          <w:rFonts w:ascii="Arial" w:hAnsi="Arial" w:cs="Arial"/>
          <w:sz w:val="26"/>
          <w:szCs w:val="26"/>
        </w:rPr>
        <w:t xml:space="preserve"> en el expediente </w:t>
      </w:r>
      <w:r w:rsidR="00431ECB">
        <w:rPr>
          <w:rFonts w:ascii="Arial" w:hAnsi="Arial" w:cs="Arial"/>
          <w:b/>
          <w:sz w:val="26"/>
          <w:szCs w:val="26"/>
        </w:rPr>
        <w:t>60/2020</w:t>
      </w:r>
      <w:r w:rsidRPr="00CB6405">
        <w:rPr>
          <w:rFonts w:ascii="Arial" w:hAnsi="Arial" w:cs="Arial"/>
          <w:sz w:val="26"/>
          <w:szCs w:val="26"/>
        </w:rPr>
        <w:t xml:space="preserve"> de la </w:t>
      </w:r>
      <w:r w:rsidR="00431ECB">
        <w:rPr>
          <w:rFonts w:ascii="Arial" w:hAnsi="Arial" w:cs="Arial"/>
          <w:sz w:val="26"/>
          <w:szCs w:val="26"/>
        </w:rPr>
        <w:t>Quinta</w:t>
      </w:r>
      <w:r w:rsidR="00D60731">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431ECB">
        <w:rPr>
          <w:rFonts w:ascii="Arial" w:hAnsi="Arial" w:cs="Arial"/>
          <w:b/>
          <w:sz w:val="26"/>
          <w:szCs w:val="26"/>
        </w:rPr>
        <w:t>MARIO MARTÍNEZ VERGARA</w:t>
      </w:r>
      <w:r w:rsidRPr="00CB6405">
        <w:rPr>
          <w:rFonts w:ascii="Arial" w:hAnsi="Arial" w:cs="Arial"/>
          <w:b/>
          <w:sz w:val="26"/>
          <w:szCs w:val="26"/>
        </w:rPr>
        <w:t xml:space="preserve">, </w:t>
      </w:r>
      <w:r w:rsidRPr="00CB6405">
        <w:rPr>
          <w:rFonts w:ascii="Arial" w:hAnsi="Arial" w:cs="Arial"/>
          <w:sz w:val="26"/>
          <w:szCs w:val="26"/>
        </w:rPr>
        <w:t xml:space="preserve">en contra </w:t>
      </w:r>
      <w:r w:rsidRPr="00431ECB">
        <w:rPr>
          <w:rFonts w:ascii="Arial" w:hAnsi="Arial" w:cs="Arial"/>
          <w:b/>
          <w:sz w:val="26"/>
          <w:szCs w:val="26"/>
        </w:rPr>
        <w:t>de</w:t>
      </w:r>
      <w:r w:rsidR="00431ECB" w:rsidRPr="00431ECB">
        <w:rPr>
          <w:rFonts w:ascii="Arial" w:hAnsi="Arial" w:cs="Arial"/>
          <w:b/>
          <w:sz w:val="26"/>
          <w:szCs w:val="26"/>
        </w:rPr>
        <w:t>l RECURRENTE</w:t>
      </w:r>
      <w:r w:rsidRPr="006B3BEA">
        <w:rPr>
          <w:rFonts w:ascii="Arial" w:hAnsi="Arial" w:cs="Arial"/>
          <w:sz w:val="26"/>
          <w:szCs w:val="26"/>
        </w:rPr>
        <w:t>;</w:t>
      </w:r>
      <w:r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226C2444"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431ECB">
        <w:rPr>
          <w:rFonts w:ascii="Arial" w:hAnsi="Arial" w:cs="Arial"/>
          <w:sz w:val="26"/>
          <w:szCs w:val="26"/>
        </w:rPr>
        <w:t>trece</w:t>
      </w:r>
      <w:r w:rsidR="00D60731">
        <w:rPr>
          <w:rFonts w:ascii="Arial" w:hAnsi="Arial" w:cs="Arial"/>
          <w:sz w:val="26"/>
          <w:szCs w:val="26"/>
        </w:rPr>
        <w:t xml:space="preserve"> de diciembre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4C049E">
        <w:rPr>
          <w:rFonts w:ascii="Arial" w:hAnsi="Arial" w:cs="Arial"/>
          <w:sz w:val="26"/>
          <w:szCs w:val="26"/>
        </w:rPr>
        <w:t>Quinta</w:t>
      </w:r>
      <w:r w:rsidR="00D60731">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9207FE">
        <w:rPr>
          <w:rFonts w:ascii="Arial" w:hAnsi="Arial" w:cs="Arial"/>
          <w:sz w:val="26"/>
          <w:szCs w:val="26"/>
        </w:rPr>
        <w:t xml:space="preserve"> </w:t>
      </w:r>
      <w:r w:rsidR="007D070C" w:rsidRPr="00431ECB">
        <w:rPr>
          <w:rFonts w:ascii="Arial" w:hAnsi="Arial" w:cs="Arial"/>
          <w:b/>
          <w:sz w:val="26"/>
          <w:szCs w:val="26"/>
        </w:rPr>
        <w:t>ERICK CRUZ CASTELLANOS, EN SU CARÁCTER DE</w:t>
      </w:r>
      <w:r w:rsidR="007D070C">
        <w:rPr>
          <w:rFonts w:ascii="Arial" w:hAnsi="Arial" w:cs="Arial"/>
          <w:sz w:val="26"/>
          <w:szCs w:val="26"/>
        </w:rPr>
        <w:t xml:space="preserve"> </w:t>
      </w:r>
      <w:r w:rsidR="007D070C">
        <w:rPr>
          <w:rFonts w:ascii="Arial" w:hAnsi="Arial" w:cs="Arial"/>
          <w:b/>
          <w:bCs/>
          <w:sz w:val="26"/>
          <w:szCs w:val="26"/>
        </w:rPr>
        <w:t>POLICÍA VIAL CON NÚMERO ESTADÍSTICO 206, ADSCRITO</w:t>
      </w:r>
      <w:r w:rsidR="009207FE">
        <w:rPr>
          <w:rFonts w:ascii="Arial" w:hAnsi="Arial" w:cs="Arial"/>
          <w:b/>
          <w:bCs/>
          <w:sz w:val="26"/>
          <w:szCs w:val="26"/>
        </w:rPr>
        <w:t xml:space="preserve"> A LA </w:t>
      </w:r>
      <w:r w:rsidR="009207FE" w:rsidRPr="00665C64">
        <w:rPr>
          <w:rFonts w:ascii="Arial" w:hAnsi="Arial" w:cs="Arial"/>
          <w:b/>
          <w:bCs/>
          <w:sz w:val="26"/>
          <w:szCs w:val="26"/>
        </w:rPr>
        <w:t>SUBDIRECCIÓN DE TRÁNSITO Y MOVILIDAD, DEL MUNICIPIO DE OAXACA DE JUÁREZ, OAXACA</w:t>
      </w:r>
      <w:r w:rsidRPr="00CB6405">
        <w:rPr>
          <w:rFonts w:ascii="Arial" w:hAnsi="Arial" w:cs="Arial"/>
          <w:sz w:val="26"/>
          <w:szCs w:val="26"/>
        </w:rPr>
        <w:t>, interpuso en su contra recurso de revisión.</w:t>
      </w:r>
    </w:p>
    <w:p w14:paraId="1A6A2FF3" w14:textId="7777777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6BE49B4" w14:textId="7C842095" w:rsidR="00B525A6" w:rsidRPr="00C06661" w:rsidRDefault="00B525A6" w:rsidP="0084256F">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830ED6">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sidR="00BA0E19">
        <w:rPr>
          <w:rFonts w:ascii="Arial" w:eastAsia="Times New Roman" w:hAnsi="Arial" w:cs="Arial"/>
          <w:bCs/>
          <w:i/>
          <w:iCs/>
          <w:sz w:val="24"/>
          <w:szCs w:val="24"/>
          <w:lang w:eastAsia="es-ES"/>
        </w:rPr>
        <w:t>Quinta</w:t>
      </w:r>
      <w:r w:rsidR="00BF161E">
        <w:rPr>
          <w:rFonts w:ascii="Arial" w:eastAsia="Times New Roman" w:hAnsi="Arial" w:cs="Arial"/>
          <w:bCs/>
          <w:i/>
          <w:iCs/>
          <w:sz w:val="24"/>
          <w:szCs w:val="24"/>
          <w:lang w:eastAsia="es-ES"/>
        </w:rPr>
        <w:t xml:space="preserve"> Sala </w:t>
      </w:r>
      <w:r w:rsidR="00E155CD">
        <w:rPr>
          <w:rFonts w:ascii="Arial" w:eastAsia="Times New Roman" w:hAnsi="Arial" w:cs="Arial"/>
          <w:bCs/>
          <w:i/>
          <w:iCs/>
          <w:sz w:val="24"/>
          <w:szCs w:val="24"/>
          <w:lang w:eastAsia="es-ES"/>
        </w:rPr>
        <w:t xml:space="preserve">Unitaria </w:t>
      </w:r>
      <w:r w:rsidR="00665C64">
        <w:rPr>
          <w:rFonts w:ascii="Arial" w:eastAsia="Times New Roman" w:hAnsi="Arial" w:cs="Arial"/>
          <w:bCs/>
          <w:i/>
          <w:iCs/>
          <w:sz w:val="24"/>
          <w:szCs w:val="24"/>
          <w:lang w:eastAsia="es-ES"/>
        </w:rPr>
        <w:t>de</w:t>
      </w:r>
      <w:r w:rsidR="00E155CD">
        <w:rPr>
          <w:rFonts w:ascii="Arial" w:eastAsia="Times New Roman" w:hAnsi="Arial" w:cs="Arial"/>
          <w:bCs/>
          <w:i/>
          <w:iCs/>
          <w:sz w:val="24"/>
          <w:szCs w:val="24"/>
          <w:lang w:eastAsia="es-ES"/>
        </w:rPr>
        <w:t xml:space="preserve">l Tribunal de Justicia Administrativa del Estado de Oaxaca, es competente para conocer y resolver el presente </w:t>
      </w:r>
      <w:r w:rsidR="00BA0E19">
        <w:rPr>
          <w:rFonts w:ascii="Arial" w:eastAsia="Times New Roman" w:hAnsi="Arial" w:cs="Arial"/>
          <w:bCs/>
          <w:i/>
          <w:iCs/>
          <w:sz w:val="24"/>
          <w:szCs w:val="24"/>
          <w:lang w:eastAsia="es-ES"/>
        </w:rPr>
        <w:t>juicio</w:t>
      </w:r>
      <w:r w:rsidR="00BA0E19" w:rsidRPr="00C06661">
        <w:rPr>
          <w:rFonts w:ascii="Arial" w:eastAsia="Times New Roman" w:hAnsi="Arial" w:cs="Arial"/>
          <w:bCs/>
          <w:i/>
          <w:iCs/>
          <w:sz w:val="24"/>
          <w:szCs w:val="24"/>
          <w:lang w:eastAsia="es-ES"/>
        </w:rPr>
        <w:t>.</w:t>
      </w:r>
      <w:r w:rsidR="00BA0E19">
        <w:rPr>
          <w:rFonts w:ascii="Arial" w:eastAsia="Times New Roman" w:hAnsi="Arial" w:cs="Arial"/>
          <w:bCs/>
          <w:i/>
          <w:iCs/>
          <w:sz w:val="24"/>
          <w:szCs w:val="24"/>
          <w:lang w:eastAsia="es-ES"/>
        </w:rPr>
        <w:t xml:space="preserve"> -</w:t>
      </w:r>
      <w:r w:rsidR="000114B9">
        <w:rPr>
          <w:rFonts w:ascii="Arial" w:eastAsia="Times New Roman" w:hAnsi="Arial" w:cs="Arial"/>
          <w:bCs/>
          <w:i/>
          <w:iCs/>
          <w:sz w:val="24"/>
          <w:szCs w:val="24"/>
          <w:lang w:eastAsia="es-ES"/>
        </w:rPr>
        <w:t xml:space="preserve"> - </w:t>
      </w:r>
      <w:r w:rsidR="006B7AEC">
        <w:rPr>
          <w:rFonts w:ascii="Arial" w:eastAsia="Times New Roman" w:hAnsi="Arial" w:cs="Arial"/>
          <w:bCs/>
          <w:i/>
          <w:iCs/>
          <w:sz w:val="24"/>
          <w:szCs w:val="24"/>
          <w:lang w:eastAsia="es-ES"/>
        </w:rPr>
        <w:t xml:space="preserve">- </w:t>
      </w:r>
      <w:r w:rsidR="00E155CD">
        <w:rPr>
          <w:rFonts w:ascii="Arial" w:eastAsia="Times New Roman" w:hAnsi="Arial" w:cs="Arial"/>
          <w:bCs/>
          <w:i/>
          <w:iCs/>
          <w:sz w:val="24"/>
          <w:szCs w:val="24"/>
          <w:lang w:eastAsia="es-ES"/>
        </w:rPr>
        <w:t>- - - - - - - - - - -</w:t>
      </w:r>
      <w:r w:rsidRPr="00C06661">
        <w:rPr>
          <w:rFonts w:ascii="Arial" w:eastAsia="Times New Roman" w:hAnsi="Arial" w:cs="Arial"/>
          <w:b/>
          <w:bCs/>
          <w:i/>
          <w:iCs/>
          <w:sz w:val="24"/>
          <w:szCs w:val="24"/>
          <w:lang w:eastAsia="es-ES"/>
        </w:rPr>
        <w:t>SEGUNDO.</w:t>
      </w:r>
      <w:r w:rsidR="00830ED6">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E96B8B">
        <w:rPr>
          <w:rFonts w:ascii="Arial" w:eastAsia="Times New Roman" w:hAnsi="Arial" w:cs="Arial"/>
          <w:bCs/>
          <w:i/>
          <w:iCs/>
          <w:sz w:val="24"/>
          <w:szCs w:val="24"/>
          <w:lang w:eastAsia="es-ES"/>
        </w:rPr>
        <w:t>La personalidad de la</w:t>
      </w:r>
      <w:r w:rsidR="00E155CD">
        <w:rPr>
          <w:rFonts w:ascii="Arial" w:eastAsia="Times New Roman" w:hAnsi="Arial" w:cs="Arial"/>
          <w:bCs/>
          <w:i/>
          <w:iCs/>
          <w:sz w:val="24"/>
          <w:szCs w:val="24"/>
          <w:lang w:eastAsia="es-ES"/>
        </w:rPr>
        <w:t xml:space="preserve">s </w:t>
      </w:r>
      <w:r w:rsidR="00E96B8B">
        <w:rPr>
          <w:rFonts w:ascii="Arial" w:eastAsia="Times New Roman" w:hAnsi="Arial" w:cs="Arial"/>
          <w:bCs/>
          <w:i/>
          <w:iCs/>
          <w:sz w:val="24"/>
          <w:szCs w:val="24"/>
          <w:lang w:eastAsia="es-ES"/>
        </w:rPr>
        <w:t>parte</w:t>
      </w:r>
      <w:r w:rsidR="00665C64">
        <w:rPr>
          <w:rFonts w:ascii="Arial" w:eastAsia="Times New Roman" w:hAnsi="Arial" w:cs="Arial"/>
          <w:bCs/>
          <w:i/>
          <w:iCs/>
          <w:sz w:val="24"/>
          <w:szCs w:val="24"/>
          <w:lang w:eastAsia="es-ES"/>
        </w:rPr>
        <w:t>s</w:t>
      </w:r>
      <w:r w:rsidR="006B7AEC">
        <w:rPr>
          <w:rFonts w:ascii="Arial" w:eastAsia="Times New Roman" w:hAnsi="Arial" w:cs="Arial"/>
          <w:bCs/>
          <w:i/>
          <w:iCs/>
          <w:sz w:val="24"/>
          <w:szCs w:val="24"/>
          <w:lang w:eastAsia="es-ES"/>
        </w:rPr>
        <w:t xml:space="preserve"> </w:t>
      </w:r>
      <w:r w:rsidR="00665C64">
        <w:rPr>
          <w:rFonts w:ascii="Arial" w:eastAsia="Times New Roman" w:hAnsi="Arial" w:cs="Arial"/>
          <w:bCs/>
          <w:i/>
          <w:iCs/>
          <w:sz w:val="24"/>
          <w:szCs w:val="24"/>
          <w:lang w:eastAsia="es-ES"/>
        </w:rPr>
        <w:t xml:space="preserve">quedó </w:t>
      </w:r>
      <w:r w:rsidR="00E155CD">
        <w:rPr>
          <w:rFonts w:ascii="Arial" w:eastAsia="Times New Roman" w:hAnsi="Arial" w:cs="Arial"/>
          <w:bCs/>
          <w:i/>
          <w:iCs/>
          <w:sz w:val="24"/>
          <w:szCs w:val="24"/>
          <w:lang w:eastAsia="es-ES"/>
        </w:rPr>
        <w:t xml:space="preserve">acreditada </w:t>
      </w:r>
      <w:r w:rsidR="00BF161E">
        <w:rPr>
          <w:rFonts w:ascii="Arial" w:eastAsia="Times New Roman" w:hAnsi="Arial" w:cs="Arial"/>
          <w:bCs/>
          <w:i/>
          <w:iCs/>
          <w:sz w:val="24"/>
          <w:szCs w:val="24"/>
          <w:lang w:eastAsia="es-ES"/>
        </w:rPr>
        <w:lastRenderedPageBreak/>
        <w:t xml:space="preserve">dentro </w:t>
      </w:r>
      <w:r w:rsidR="00E155CD">
        <w:rPr>
          <w:rFonts w:ascii="Arial" w:eastAsia="Times New Roman" w:hAnsi="Arial" w:cs="Arial"/>
          <w:bCs/>
          <w:i/>
          <w:iCs/>
          <w:sz w:val="24"/>
          <w:szCs w:val="24"/>
          <w:lang w:eastAsia="es-ES"/>
        </w:rPr>
        <w:t xml:space="preserve">del considerando </w:t>
      </w:r>
      <w:r w:rsidR="0084256F" w:rsidRPr="00BA0E19">
        <w:rPr>
          <w:rFonts w:ascii="Arial" w:eastAsia="Times New Roman" w:hAnsi="Arial" w:cs="Arial"/>
          <w:b/>
          <w:bCs/>
          <w:i/>
          <w:iCs/>
          <w:sz w:val="24"/>
          <w:szCs w:val="24"/>
          <w:lang w:eastAsia="es-ES"/>
        </w:rPr>
        <w:t>SEGUNDO</w:t>
      </w:r>
      <w:r w:rsidR="0084256F">
        <w:rPr>
          <w:rFonts w:ascii="Arial" w:eastAsia="Times New Roman" w:hAnsi="Arial" w:cs="Arial"/>
          <w:bCs/>
          <w:i/>
          <w:iCs/>
          <w:sz w:val="24"/>
          <w:szCs w:val="24"/>
          <w:lang w:eastAsia="es-ES"/>
        </w:rPr>
        <w:t xml:space="preserve"> de esta sentencia</w:t>
      </w:r>
      <w:r w:rsidR="00F448E0">
        <w:rPr>
          <w:rFonts w:ascii="Arial" w:eastAsia="Times New Roman" w:hAnsi="Arial" w:cs="Arial"/>
          <w:bCs/>
          <w:i/>
          <w:iCs/>
          <w:sz w:val="24"/>
          <w:szCs w:val="24"/>
          <w:lang w:eastAsia="es-ES"/>
        </w:rPr>
        <w:t xml:space="preserve">.- - - - </w:t>
      </w:r>
      <w:r w:rsidR="00F448E0">
        <w:rPr>
          <w:rFonts w:ascii="Arial" w:eastAsia="Times New Roman" w:hAnsi="Arial" w:cs="Arial"/>
          <w:b/>
          <w:bCs/>
          <w:i/>
          <w:iCs/>
          <w:sz w:val="24"/>
          <w:szCs w:val="24"/>
          <w:lang w:eastAsia="es-ES"/>
        </w:rPr>
        <w:t>TERCERO.</w:t>
      </w:r>
      <w:r w:rsidR="00830ED6">
        <w:rPr>
          <w:rFonts w:ascii="Arial" w:eastAsia="Times New Roman" w:hAnsi="Arial" w:cs="Arial"/>
          <w:b/>
          <w:bCs/>
          <w:i/>
          <w:iCs/>
          <w:sz w:val="24"/>
          <w:szCs w:val="24"/>
          <w:lang w:eastAsia="es-ES"/>
        </w:rPr>
        <w:t>-</w:t>
      </w:r>
      <w:r w:rsidR="00F448E0">
        <w:rPr>
          <w:rFonts w:ascii="Arial" w:eastAsia="Times New Roman" w:hAnsi="Arial" w:cs="Arial"/>
          <w:b/>
          <w:bCs/>
          <w:i/>
          <w:iCs/>
          <w:sz w:val="24"/>
          <w:szCs w:val="24"/>
          <w:lang w:eastAsia="es-ES"/>
        </w:rPr>
        <w:t xml:space="preserve"> </w:t>
      </w:r>
      <w:r w:rsidR="00E155CD">
        <w:rPr>
          <w:rFonts w:ascii="Arial" w:eastAsia="Times New Roman" w:hAnsi="Arial" w:cs="Arial"/>
          <w:i/>
          <w:iCs/>
          <w:sz w:val="24"/>
          <w:szCs w:val="24"/>
          <w:lang w:eastAsia="es-ES"/>
        </w:rPr>
        <w:t>Est</w:t>
      </w:r>
      <w:r w:rsidR="00BA0E19">
        <w:rPr>
          <w:rFonts w:ascii="Arial" w:eastAsia="Times New Roman" w:hAnsi="Arial" w:cs="Arial"/>
          <w:i/>
          <w:iCs/>
          <w:sz w:val="24"/>
          <w:szCs w:val="24"/>
          <w:lang w:eastAsia="es-ES"/>
        </w:rPr>
        <w:t>e Juzgador</w:t>
      </w:r>
      <w:r w:rsidR="0084256F">
        <w:rPr>
          <w:rFonts w:ascii="Arial" w:eastAsia="Times New Roman" w:hAnsi="Arial" w:cs="Arial"/>
          <w:i/>
          <w:iCs/>
          <w:sz w:val="24"/>
          <w:szCs w:val="24"/>
          <w:lang w:eastAsia="es-ES"/>
        </w:rPr>
        <w:t xml:space="preserve"> advierte que, en el presente juicio no se configura alguna causal de improcedencia o sobreseimiento</w:t>
      </w:r>
      <w:r w:rsidR="00BA0E19">
        <w:rPr>
          <w:rFonts w:ascii="Arial" w:eastAsia="Times New Roman" w:hAnsi="Arial" w:cs="Arial"/>
          <w:i/>
          <w:iCs/>
          <w:sz w:val="24"/>
          <w:szCs w:val="24"/>
          <w:lang w:eastAsia="es-ES"/>
        </w:rPr>
        <w:t xml:space="preserve">, en términos del considerando </w:t>
      </w:r>
      <w:r w:rsidR="00BA0E19" w:rsidRPr="00BA0E19">
        <w:rPr>
          <w:rFonts w:ascii="Arial" w:eastAsia="Times New Roman" w:hAnsi="Arial" w:cs="Arial"/>
          <w:b/>
          <w:i/>
          <w:iCs/>
          <w:sz w:val="24"/>
          <w:szCs w:val="24"/>
          <w:lang w:eastAsia="es-ES"/>
        </w:rPr>
        <w:t>TERCERO</w:t>
      </w:r>
      <w:r w:rsidR="00BA0E19">
        <w:rPr>
          <w:rFonts w:ascii="Arial" w:eastAsia="Times New Roman" w:hAnsi="Arial" w:cs="Arial"/>
          <w:i/>
          <w:iCs/>
          <w:sz w:val="24"/>
          <w:szCs w:val="24"/>
          <w:lang w:eastAsia="es-ES"/>
        </w:rPr>
        <w:t xml:space="preserve"> de esta sentencia,</w:t>
      </w:r>
      <w:r w:rsidR="0084256F">
        <w:rPr>
          <w:rFonts w:ascii="Arial" w:eastAsia="Times New Roman" w:hAnsi="Arial" w:cs="Arial"/>
          <w:i/>
          <w:iCs/>
          <w:sz w:val="24"/>
          <w:szCs w:val="24"/>
          <w:lang w:eastAsia="es-ES"/>
        </w:rPr>
        <w:t xml:space="preserve"> </w:t>
      </w:r>
      <w:r w:rsidR="00E155CD" w:rsidRPr="00E155CD">
        <w:rPr>
          <w:rFonts w:ascii="Arial" w:eastAsia="Times New Roman" w:hAnsi="Arial" w:cs="Arial"/>
          <w:b/>
          <w:i/>
          <w:iCs/>
          <w:sz w:val="24"/>
          <w:szCs w:val="24"/>
          <w:lang w:eastAsia="es-ES"/>
        </w:rPr>
        <w:t>NO</w:t>
      </w:r>
      <w:r w:rsidR="00E155CD">
        <w:rPr>
          <w:rFonts w:ascii="Arial" w:eastAsia="Times New Roman" w:hAnsi="Arial" w:cs="Arial"/>
          <w:b/>
          <w:i/>
          <w:iCs/>
          <w:sz w:val="24"/>
          <w:szCs w:val="24"/>
          <w:lang w:eastAsia="es-ES"/>
        </w:rPr>
        <w:t xml:space="preserve"> </w:t>
      </w:r>
      <w:r w:rsidR="0084256F">
        <w:rPr>
          <w:rFonts w:ascii="Arial" w:eastAsia="Times New Roman" w:hAnsi="Arial" w:cs="Arial"/>
          <w:b/>
          <w:i/>
          <w:iCs/>
          <w:sz w:val="24"/>
          <w:szCs w:val="24"/>
          <w:lang w:eastAsia="es-ES"/>
        </w:rPr>
        <w:t xml:space="preserve">SE </w:t>
      </w:r>
      <w:r w:rsidR="00BA0E19">
        <w:rPr>
          <w:rFonts w:ascii="Arial" w:eastAsia="Times New Roman" w:hAnsi="Arial" w:cs="Arial"/>
          <w:b/>
          <w:i/>
          <w:iCs/>
          <w:sz w:val="24"/>
          <w:szCs w:val="24"/>
          <w:lang w:eastAsia="es-ES"/>
        </w:rPr>
        <w:t>SOBRESEE</w:t>
      </w:r>
      <w:r w:rsidR="00BA0E19">
        <w:rPr>
          <w:rFonts w:ascii="Arial" w:eastAsia="Times New Roman" w:hAnsi="Arial" w:cs="Arial"/>
          <w:bCs/>
          <w:i/>
          <w:iCs/>
          <w:sz w:val="24"/>
          <w:szCs w:val="24"/>
          <w:lang w:eastAsia="es-ES"/>
        </w:rPr>
        <w:t>. -</w:t>
      </w:r>
      <w:r w:rsidR="00665C64">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 xml:space="preserve">- </w:t>
      </w:r>
      <w:r w:rsidR="00E96B8B">
        <w:rPr>
          <w:rFonts w:ascii="Arial" w:eastAsia="Times New Roman" w:hAnsi="Arial" w:cs="Arial"/>
          <w:bCs/>
          <w:i/>
          <w:iCs/>
          <w:sz w:val="24"/>
          <w:szCs w:val="24"/>
          <w:lang w:eastAsia="es-ES"/>
        </w:rPr>
        <w:t xml:space="preserve">- - - - - - </w:t>
      </w:r>
      <w:r w:rsidR="00BA0E19">
        <w:rPr>
          <w:rFonts w:ascii="Arial" w:eastAsia="Times New Roman" w:hAnsi="Arial" w:cs="Arial"/>
          <w:bCs/>
          <w:i/>
          <w:iCs/>
          <w:sz w:val="24"/>
          <w:szCs w:val="24"/>
          <w:lang w:eastAsia="es-ES"/>
        </w:rPr>
        <w:t xml:space="preserve">- - - - - - - </w:t>
      </w:r>
      <w:r w:rsidR="00F448E0">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sidR="00830ED6">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7D61EC" w:rsidRPr="006B485E">
        <w:rPr>
          <w:rFonts w:ascii="Arial" w:eastAsia="Times New Roman" w:hAnsi="Arial" w:cs="Arial"/>
          <w:i/>
          <w:iCs/>
          <w:sz w:val="24"/>
          <w:szCs w:val="24"/>
          <w:lang w:eastAsia="es-ES"/>
        </w:rPr>
        <w:t>S</w:t>
      </w:r>
      <w:r w:rsidR="006B485E">
        <w:rPr>
          <w:rFonts w:ascii="Arial" w:eastAsia="Times New Roman" w:hAnsi="Arial" w:cs="Arial"/>
          <w:i/>
          <w:iCs/>
          <w:sz w:val="24"/>
          <w:szCs w:val="24"/>
          <w:lang w:eastAsia="es-ES"/>
        </w:rPr>
        <w:t xml:space="preserve">e declara la </w:t>
      </w:r>
      <w:r w:rsidRPr="00F448E0">
        <w:rPr>
          <w:rFonts w:ascii="Arial" w:eastAsia="Times New Roman" w:hAnsi="Arial" w:cs="Arial"/>
          <w:b/>
          <w:bCs/>
          <w:i/>
          <w:iCs/>
          <w:sz w:val="24"/>
          <w:szCs w:val="24"/>
          <w:lang w:eastAsia="es-ES"/>
        </w:rPr>
        <w:t>NULIDAD LISA Y LLANA</w:t>
      </w:r>
      <w:r>
        <w:rPr>
          <w:rFonts w:ascii="Arial" w:eastAsia="Times New Roman" w:hAnsi="Arial" w:cs="Arial"/>
          <w:b/>
          <w:bCs/>
          <w:i/>
          <w:iCs/>
          <w:sz w:val="24"/>
          <w:szCs w:val="24"/>
          <w:lang w:eastAsia="es-ES"/>
        </w:rPr>
        <w:t xml:space="preserve"> </w:t>
      </w:r>
      <w:r w:rsidR="006B485E">
        <w:rPr>
          <w:rFonts w:ascii="Arial" w:eastAsia="Times New Roman" w:hAnsi="Arial" w:cs="Arial"/>
          <w:i/>
          <w:iCs/>
          <w:sz w:val="24"/>
          <w:szCs w:val="24"/>
          <w:lang w:eastAsia="es-ES"/>
        </w:rPr>
        <w:t>del</w:t>
      </w:r>
      <w:r w:rsidR="00E155CD">
        <w:rPr>
          <w:rFonts w:ascii="Arial" w:eastAsia="Times New Roman" w:hAnsi="Arial" w:cs="Arial"/>
          <w:i/>
          <w:iCs/>
          <w:sz w:val="24"/>
          <w:szCs w:val="24"/>
          <w:lang w:eastAsia="es-ES"/>
        </w:rPr>
        <w:t xml:space="preserve"> acta de infracción con número de folio </w:t>
      </w:r>
      <w:r w:rsidR="00BA0E19">
        <w:rPr>
          <w:rFonts w:ascii="Arial" w:eastAsia="Times New Roman" w:hAnsi="Arial" w:cs="Arial"/>
          <w:b/>
          <w:bCs/>
          <w:i/>
          <w:iCs/>
          <w:sz w:val="24"/>
          <w:szCs w:val="24"/>
          <w:lang w:eastAsia="es-ES"/>
        </w:rPr>
        <w:t>01683</w:t>
      </w:r>
      <w:r w:rsidR="0084256F">
        <w:rPr>
          <w:rFonts w:ascii="Arial" w:eastAsia="Times New Roman" w:hAnsi="Arial" w:cs="Arial"/>
          <w:b/>
          <w:bCs/>
          <w:i/>
          <w:iCs/>
          <w:sz w:val="24"/>
          <w:szCs w:val="24"/>
          <w:lang w:eastAsia="es-ES"/>
        </w:rPr>
        <w:t xml:space="preserve"> </w:t>
      </w:r>
      <w:r w:rsidR="00BA0E19">
        <w:rPr>
          <w:rFonts w:ascii="Arial" w:eastAsia="Times New Roman" w:hAnsi="Arial" w:cs="Arial"/>
          <w:b/>
          <w:bCs/>
          <w:i/>
          <w:iCs/>
          <w:sz w:val="24"/>
          <w:szCs w:val="24"/>
          <w:lang w:eastAsia="es-ES"/>
        </w:rPr>
        <w:t>de fecha seis</w:t>
      </w:r>
      <w:r w:rsidR="0084256F">
        <w:rPr>
          <w:rFonts w:ascii="Arial" w:eastAsia="Times New Roman" w:hAnsi="Arial" w:cs="Arial"/>
          <w:b/>
          <w:bCs/>
          <w:i/>
          <w:iCs/>
          <w:sz w:val="24"/>
          <w:szCs w:val="24"/>
          <w:lang w:eastAsia="es-ES"/>
        </w:rPr>
        <w:t xml:space="preserve"> de agosto </w:t>
      </w:r>
      <w:r w:rsidR="00E155CD">
        <w:rPr>
          <w:rFonts w:ascii="Arial" w:eastAsia="Times New Roman" w:hAnsi="Arial" w:cs="Arial"/>
          <w:b/>
          <w:bCs/>
          <w:i/>
          <w:iCs/>
          <w:sz w:val="24"/>
          <w:szCs w:val="24"/>
          <w:lang w:eastAsia="es-ES"/>
        </w:rPr>
        <w:t>de dos mil diecinueve</w:t>
      </w:r>
      <w:r w:rsidR="00BA0E19">
        <w:rPr>
          <w:rFonts w:ascii="Arial" w:eastAsia="Times New Roman" w:hAnsi="Arial" w:cs="Arial"/>
          <w:b/>
          <w:bCs/>
          <w:i/>
          <w:iCs/>
          <w:sz w:val="24"/>
          <w:szCs w:val="24"/>
          <w:lang w:eastAsia="es-ES"/>
        </w:rPr>
        <w:t xml:space="preserve"> (06/08/2019)</w:t>
      </w:r>
      <w:r w:rsidR="00E155CD">
        <w:rPr>
          <w:rFonts w:ascii="Arial" w:eastAsia="Times New Roman" w:hAnsi="Arial" w:cs="Arial"/>
          <w:b/>
          <w:bCs/>
          <w:i/>
          <w:iCs/>
          <w:sz w:val="24"/>
          <w:szCs w:val="24"/>
          <w:lang w:eastAsia="es-ES"/>
        </w:rPr>
        <w:t xml:space="preserve">, </w:t>
      </w:r>
      <w:r w:rsidR="00BA0E19">
        <w:rPr>
          <w:rFonts w:ascii="Arial" w:eastAsia="Times New Roman" w:hAnsi="Arial" w:cs="Arial"/>
          <w:i/>
          <w:iCs/>
          <w:sz w:val="24"/>
          <w:szCs w:val="24"/>
          <w:lang w:eastAsia="es-ES"/>
        </w:rPr>
        <w:t xml:space="preserve">emitida por </w:t>
      </w:r>
      <w:r w:rsidR="00BA0E19" w:rsidRPr="00830ED6">
        <w:rPr>
          <w:rFonts w:ascii="Arial" w:eastAsia="Times New Roman" w:hAnsi="Arial" w:cs="Arial"/>
          <w:b/>
          <w:i/>
          <w:iCs/>
          <w:sz w:val="24"/>
          <w:szCs w:val="24"/>
          <w:lang w:eastAsia="es-ES"/>
        </w:rPr>
        <w:t>ERICK  CRUZ CASTELLANOS, POLICÍA VIAL PV-206 ADSCRITO A LA COMISARÍA DE VIALIDAD Y PROTECCIÓN CIUDADANA DEL MUNICIPIO DE OAXACA DE JUÁREZ</w:t>
      </w:r>
      <w:r w:rsidR="00BA0E19" w:rsidRPr="00830ED6">
        <w:rPr>
          <w:rFonts w:ascii="Arial" w:eastAsia="Times New Roman" w:hAnsi="Arial" w:cs="Arial"/>
          <w:i/>
          <w:iCs/>
          <w:sz w:val="24"/>
          <w:szCs w:val="24"/>
          <w:lang w:eastAsia="es-ES"/>
        </w:rPr>
        <w:t>,</w:t>
      </w:r>
      <w:r w:rsidR="00BA0E19">
        <w:rPr>
          <w:rFonts w:ascii="Arial" w:eastAsia="Times New Roman" w:hAnsi="Arial" w:cs="Arial"/>
          <w:i/>
          <w:iCs/>
          <w:sz w:val="24"/>
          <w:szCs w:val="24"/>
          <w:lang w:eastAsia="es-ES"/>
        </w:rPr>
        <w:t xml:space="preserve"> por las razones ya expuestas en el considerando </w:t>
      </w:r>
      <w:r w:rsidR="00BA0E19" w:rsidRPr="00830ED6">
        <w:rPr>
          <w:rFonts w:ascii="Arial" w:eastAsia="Times New Roman" w:hAnsi="Arial" w:cs="Arial"/>
          <w:b/>
          <w:i/>
          <w:iCs/>
          <w:sz w:val="24"/>
          <w:szCs w:val="24"/>
          <w:lang w:eastAsia="es-ES"/>
        </w:rPr>
        <w:t>CUARTO</w:t>
      </w:r>
      <w:r w:rsidR="00BA0E19">
        <w:rPr>
          <w:rFonts w:ascii="Arial" w:eastAsia="Times New Roman" w:hAnsi="Arial" w:cs="Arial"/>
          <w:i/>
          <w:iCs/>
          <w:sz w:val="24"/>
          <w:szCs w:val="24"/>
          <w:lang w:eastAsia="es-ES"/>
        </w:rPr>
        <w:t xml:space="preserve"> de esta sentencia. - - - - - - - - - - - - - </w:t>
      </w:r>
      <w:r w:rsidR="00D82AEB">
        <w:rPr>
          <w:rFonts w:ascii="Arial" w:eastAsia="Times New Roman" w:hAnsi="Arial" w:cs="Arial"/>
          <w:b/>
          <w:bCs/>
          <w:i/>
          <w:iCs/>
          <w:sz w:val="24"/>
          <w:szCs w:val="24"/>
          <w:lang w:eastAsia="es-ES"/>
        </w:rPr>
        <w:t xml:space="preserve">QUINTO.- </w:t>
      </w:r>
      <w:r w:rsidR="005C3D13">
        <w:rPr>
          <w:rFonts w:ascii="Arial" w:eastAsia="Times New Roman" w:hAnsi="Arial" w:cs="Arial"/>
          <w:bCs/>
          <w:i/>
          <w:iCs/>
          <w:sz w:val="24"/>
          <w:szCs w:val="24"/>
          <w:lang w:eastAsia="es-ES"/>
        </w:rPr>
        <w:t>Conforme a lo dispuesto en l</w:t>
      </w:r>
      <w:r w:rsidR="000114B9">
        <w:rPr>
          <w:rFonts w:ascii="Arial" w:eastAsia="Times New Roman" w:hAnsi="Arial" w:cs="Arial"/>
          <w:bCs/>
          <w:i/>
          <w:iCs/>
          <w:sz w:val="24"/>
          <w:szCs w:val="24"/>
          <w:lang w:eastAsia="es-ES"/>
        </w:rPr>
        <w:t xml:space="preserve">os artículos 172 </w:t>
      </w:r>
      <w:r w:rsidR="005C3D13">
        <w:rPr>
          <w:rFonts w:ascii="Arial" w:eastAsia="Times New Roman" w:hAnsi="Arial" w:cs="Arial"/>
          <w:bCs/>
          <w:i/>
          <w:iCs/>
          <w:sz w:val="24"/>
          <w:szCs w:val="24"/>
          <w:lang w:eastAsia="es-ES"/>
        </w:rPr>
        <w:t xml:space="preserve">y 173 </w:t>
      </w:r>
      <w:r w:rsidR="007D61EC">
        <w:rPr>
          <w:rFonts w:ascii="Arial" w:eastAsia="Times New Roman" w:hAnsi="Arial" w:cs="Arial"/>
          <w:bCs/>
          <w:i/>
          <w:iCs/>
          <w:sz w:val="24"/>
          <w:szCs w:val="24"/>
          <w:lang w:eastAsia="es-ES"/>
        </w:rPr>
        <w:t xml:space="preserve">de la Ley de Procedimiento y Justicia Administrativa para el Estado de Oaxaca, </w:t>
      </w:r>
      <w:r w:rsidRPr="006B485E">
        <w:rPr>
          <w:rFonts w:ascii="Arial" w:eastAsia="Times New Roman" w:hAnsi="Arial" w:cs="Arial"/>
          <w:b/>
          <w:i/>
          <w:iCs/>
          <w:sz w:val="24"/>
          <w:szCs w:val="24"/>
          <w:lang w:eastAsia="es-ES"/>
        </w:rPr>
        <w:t>NOTIFÍQUESE</w:t>
      </w:r>
      <w:r w:rsidR="00830ED6">
        <w:rPr>
          <w:rFonts w:ascii="Arial" w:eastAsia="Times New Roman" w:hAnsi="Arial" w:cs="Arial"/>
          <w:b/>
          <w:i/>
          <w:iCs/>
          <w:sz w:val="24"/>
          <w:szCs w:val="24"/>
          <w:lang w:eastAsia="es-ES"/>
        </w:rPr>
        <w:t xml:space="preserve"> PERSONALMENTE </w:t>
      </w:r>
      <w:r w:rsidR="00830ED6" w:rsidRPr="00830ED6">
        <w:rPr>
          <w:rFonts w:ascii="Arial" w:eastAsia="Times New Roman" w:hAnsi="Arial" w:cs="Arial"/>
          <w:i/>
          <w:iCs/>
          <w:sz w:val="24"/>
          <w:szCs w:val="24"/>
          <w:lang w:eastAsia="es-ES"/>
        </w:rPr>
        <w:t>a la parte actora, por oficio a las (sic) autoridad demandada,</w:t>
      </w:r>
      <w:r w:rsidRPr="00C06661">
        <w:rPr>
          <w:rFonts w:ascii="Arial" w:eastAsia="Times New Roman" w:hAnsi="Arial" w:cs="Arial"/>
          <w:b/>
          <w:bCs/>
          <w:i/>
          <w:iCs/>
          <w:sz w:val="24"/>
          <w:szCs w:val="24"/>
          <w:lang w:eastAsia="es-ES"/>
        </w:rPr>
        <w:t xml:space="preserve"> </w:t>
      </w:r>
      <w:r w:rsidR="005C3D13">
        <w:rPr>
          <w:rFonts w:ascii="Arial" w:eastAsia="Times New Roman" w:hAnsi="Arial" w:cs="Arial"/>
          <w:b/>
          <w:bCs/>
          <w:i/>
          <w:iCs/>
          <w:sz w:val="24"/>
          <w:szCs w:val="24"/>
          <w:lang w:eastAsia="es-ES"/>
        </w:rPr>
        <w:t>CÚMPLASE</w:t>
      </w:r>
      <w:r w:rsidR="005C3D13" w:rsidRPr="005C3D13">
        <w:rPr>
          <w:rFonts w:ascii="Arial" w:eastAsia="Times New Roman" w:hAnsi="Arial" w:cs="Arial"/>
          <w:bCs/>
          <w:i/>
          <w:iCs/>
          <w:sz w:val="24"/>
          <w:szCs w:val="24"/>
          <w:lang w:eastAsia="es-ES"/>
        </w:rPr>
        <w:t>.</w:t>
      </w:r>
      <w:r w:rsidR="00470924">
        <w:rPr>
          <w:rFonts w:ascii="Arial" w:eastAsia="Times New Roman" w:hAnsi="Arial" w:cs="Arial"/>
          <w:bCs/>
          <w:i/>
          <w:iCs/>
          <w:sz w:val="24"/>
          <w:szCs w:val="24"/>
          <w:lang w:eastAsia="es-ES"/>
        </w:rPr>
        <w:t>- -</w:t>
      </w:r>
      <w:r w:rsidRPr="00C06661">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04A35775"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830ED6">
        <w:rPr>
          <w:rFonts w:ascii="Arial" w:hAnsi="Arial" w:cs="Arial"/>
          <w:bCs/>
          <w:iCs/>
          <w:sz w:val="26"/>
          <w:szCs w:val="26"/>
        </w:rPr>
        <w:t>trece</w:t>
      </w:r>
      <w:r w:rsidR="0084256F">
        <w:rPr>
          <w:rFonts w:ascii="Arial" w:hAnsi="Arial" w:cs="Arial"/>
          <w:bCs/>
          <w:iCs/>
          <w:sz w:val="26"/>
          <w:szCs w:val="26"/>
        </w:rPr>
        <w:t xml:space="preserve"> de diciembre de dos mil diecinueve</w:t>
      </w:r>
      <w:r>
        <w:rPr>
          <w:rFonts w:ascii="Arial" w:hAnsi="Arial" w:cs="Arial"/>
          <w:bCs/>
          <w:iCs/>
          <w:sz w:val="26"/>
          <w:szCs w:val="26"/>
        </w:rPr>
        <w:t xml:space="preserve">, dictado </w:t>
      </w:r>
      <w:r w:rsidRPr="00CB6405">
        <w:rPr>
          <w:rFonts w:ascii="Arial" w:hAnsi="Arial" w:cs="Arial"/>
          <w:bCs/>
          <w:iCs/>
          <w:sz w:val="26"/>
          <w:szCs w:val="26"/>
        </w:rPr>
        <w:t xml:space="preserve">por la </w:t>
      </w:r>
      <w:r w:rsidR="00830ED6">
        <w:rPr>
          <w:rFonts w:ascii="Arial" w:hAnsi="Arial" w:cs="Arial"/>
          <w:bCs/>
          <w:iCs/>
          <w:sz w:val="26"/>
          <w:szCs w:val="26"/>
        </w:rPr>
        <w:t>Quinta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830ED6">
        <w:rPr>
          <w:rFonts w:ascii="Arial" w:hAnsi="Arial" w:cs="Arial"/>
          <w:b/>
          <w:bCs/>
          <w:iCs/>
          <w:sz w:val="26"/>
          <w:szCs w:val="26"/>
        </w:rPr>
        <w:t>77</w:t>
      </w:r>
      <w:r>
        <w:rPr>
          <w:rFonts w:ascii="Arial" w:hAnsi="Arial" w:cs="Arial"/>
          <w:b/>
          <w:bCs/>
          <w:iCs/>
          <w:sz w:val="26"/>
          <w:szCs w:val="26"/>
        </w:rPr>
        <w:t>/2019</w:t>
      </w:r>
      <w:r w:rsidRPr="00CB6405">
        <w:rPr>
          <w:rFonts w:ascii="Arial" w:hAnsi="Arial" w:cs="Arial"/>
          <w:sz w:val="26"/>
          <w:szCs w:val="26"/>
        </w:rPr>
        <w:t>.</w:t>
      </w:r>
    </w:p>
    <w:p w14:paraId="0CE5C4E5" w14:textId="77777777" w:rsidR="00830ED6" w:rsidRDefault="00822141" w:rsidP="00830ED6">
      <w:pPr>
        <w:spacing w:line="360" w:lineRule="auto"/>
        <w:ind w:firstLine="708"/>
        <w:jc w:val="both"/>
        <w:rPr>
          <w:rFonts w:ascii="Arial" w:hAnsi="Arial" w:cs="Arial"/>
          <w:sz w:val="26"/>
          <w:szCs w:val="26"/>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del recurrente, como tampoco se vulnera disposición expresa que </w:t>
      </w:r>
      <w:bookmarkStart w:id="0" w:name="_GoBack"/>
      <w:bookmarkEnd w:id="0"/>
      <w:r w:rsidR="00830ED6">
        <w:rPr>
          <w:rFonts w:ascii="Arial" w:hAnsi="Arial" w:cs="Arial"/>
          <w:bCs/>
          <w:sz w:val="26"/>
          <w:szCs w:val="26"/>
        </w:rPr>
        <w:t>imponga tal obligación</w:t>
      </w:r>
      <w:r w:rsidR="00830ED6">
        <w:rPr>
          <w:rFonts w:ascii="Arial" w:hAnsi="Arial" w:cs="Arial"/>
          <w:sz w:val="26"/>
          <w:szCs w:val="26"/>
        </w:rPr>
        <w:t>. En apoyo a lo anterior, se invoca la T</w:t>
      </w:r>
      <w:proofErr w:type="spellStart"/>
      <w:r w:rsidR="00830ED6">
        <w:rPr>
          <w:rFonts w:ascii="Arial" w:hAnsi="Arial" w:cs="Arial"/>
          <w:bCs/>
          <w:color w:val="000000"/>
          <w:sz w:val="26"/>
          <w:szCs w:val="26"/>
          <w:lang w:val="es-MX"/>
        </w:rPr>
        <w:t>esis</w:t>
      </w:r>
      <w:proofErr w:type="spellEnd"/>
      <w:r w:rsidR="00830ED6">
        <w:rPr>
          <w:rFonts w:ascii="Arial" w:hAnsi="Arial" w:cs="Arial"/>
          <w:bCs/>
          <w:color w:val="000000"/>
          <w:sz w:val="26"/>
          <w:szCs w:val="26"/>
          <w:lang w:val="es-MX"/>
        </w:rPr>
        <w:t xml:space="preserve"> XVII.1o.C.T.30 K, emitida por los Tribunales Colegiados de Circuito, con número de registro 175433, publicada en la Gaceta del Semanario </w:t>
      </w:r>
      <w:r w:rsidR="00830ED6">
        <w:rPr>
          <w:rFonts w:ascii="Arial" w:hAnsi="Arial" w:cs="Arial"/>
          <w:bCs/>
          <w:color w:val="000000"/>
          <w:sz w:val="26"/>
          <w:szCs w:val="26"/>
          <w:lang w:val="es-MX"/>
        </w:rPr>
        <w:lastRenderedPageBreak/>
        <w:t>Judicial de la Federación, Tomo XXIII, Marzo de 2006, visible a página 2115, Novena Época, bajo el rubro y texto siguiente:</w:t>
      </w:r>
    </w:p>
    <w:p w14:paraId="355932E7" w14:textId="11DF4A6A" w:rsidR="00822141" w:rsidRPr="00830ED6" w:rsidRDefault="00830ED6" w:rsidP="00830ED6">
      <w:pPr>
        <w:ind w:left="851"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680656F5" w14:textId="26CB661C" w:rsidR="004F1E03" w:rsidRDefault="00B525A6" w:rsidP="0082214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075234">
        <w:rPr>
          <w:rFonts w:ascii="Arial" w:eastAsia="Calibri" w:hAnsi="Arial" w:cs="Arial"/>
          <w:bCs/>
          <w:sz w:val="26"/>
          <w:szCs w:val="26"/>
        </w:rPr>
        <w:t>Inicia sus argumentos el</w:t>
      </w:r>
      <w:r w:rsidR="009207FE">
        <w:rPr>
          <w:rFonts w:ascii="Arial" w:eastAsia="Calibri" w:hAnsi="Arial" w:cs="Arial"/>
          <w:bCs/>
          <w:sz w:val="26"/>
          <w:szCs w:val="26"/>
        </w:rPr>
        <w:t xml:space="preserve"> recurrente</w:t>
      </w:r>
      <w:r w:rsidR="00BD7209">
        <w:rPr>
          <w:rFonts w:ascii="Arial" w:eastAsia="Calibri" w:hAnsi="Arial" w:cs="Arial"/>
          <w:bCs/>
          <w:sz w:val="26"/>
          <w:szCs w:val="26"/>
        </w:rPr>
        <w:t xml:space="preserve">, </w:t>
      </w:r>
      <w:r w:rsidR="009207FE">
        <w:rPr>
          <w:rFonts w:ascii="Arial" w:eastAsia="Calibri" w:hAnsi="Arial" w:cs="Arial"/>
          <w:bCs/>
          <w:sz w:val="26"/>
          <w:szCs w:val="26"/>
        </w:rPr>
        <w:t xml:space="preserve">señalando que la sentencia alzada no </w:t>
      </w:r>
      <w:r w:rsidR="00036496">
        <w:rPr>
          <w:rFonts w:ascii="Arial" w:eastAsia="Calibri" w:hAnsi="Arial" w:cs="Arial"/>
          <w:bCs/>
          <w:sz w:val="26"/>
          <w:szCs w:val="26"/>
        </w:rPr>
        <w:t>se encuentra</w:t>
      </w:r>
      <w:r w:rsidR="009509E2">
        <w:rPr>
          <w:rFonts w:ascii="Arial" w:eastAsia="Calibri" w:hAnsi="Arial" w:cs="Arial"/>
          <w:bCs/>
          <w:sz w:val="26"/>
          <w:szCs w:val="26"/>
        </w:rPr>
        <w:t xml:space="preserve"> debidamente fundada y motivada conforme lo prevé el artículo 16 de la Constitución Política de los Estados Unidos Mexicanos; ello porque el juicio que es de naturaleza administrativa no admite la suplencia de la queja, porque resolver de manera distinta a lo permitido por el margen de la Ley, contravendría disposiciones de orden público, interés social y observancia general, conforme lo dispuesto por el artículo 2 de la Constitución Política del Estado Libre y Soberano de Oaxaca, del que se desprende que la autoridad sólo puede hacer lo que la Ley le permite y que de la Ley de la materia, no se desprende que la autoridad jurisdiccional tenga facultades para declarar insubsistente lo actuado por ella misma y ordenar la </w:t>
      </w:r>
      <w:r w:rsidR="009207FE">
        <w:rPr>
          <w:rFonts w:ascii="Arial" w:eastAsia="Calibri" w:hAnsi="Arial" w:cs="Arial"/>
          <w:bCs/>
          <w:sz w:val="26"/>
          <w:szCs w:val="26"/>
        </w:rPr>
        <w:t>reposición del procedimiento</w:t>
      </w:r>
      <w:r w:rsidR="009509E2">
        <w:rPr>
          <w:rFonts w:ascii="Arial" w:eastAsia="Calibri" w:hAnsi="Arial" w:cs="Arial"/>
          <w:bCs/>
          <w:sz w:val="26"/>
          <w:szCs w:val="26"/>
        </w:rPr>
        <w:t xml:space="preserve">, </w:t>
      </w:r>
      <w:r w:rsidR="009207FE">
        <w:rPr>
          <w:rFonts w:ascii="Arial" w:eastAsia="Calibri" w:hAnsi="Arial" w:cs="Arial"/>
          <w:bCs/>
          <w:sz w:val="26"/>
          <w:szCs w:val="26"/>
        </w:rPr>
        <w:t xml:space="preserve">pues </w:t>
      </w:r>
      <w:r w:rsidR="009509E2">
        <w:rPr>
          <w:rFonts w:ascii="Arial" w:eastAsia="Calibri" w:hAnsi="Arial" w:cs="Arial"/>
          <w:bCs/>
          <w:sz w:val="26"/>
          <w:szCs w:val="26"/>
        </w:rPr>
        <w:t>de existir violaciones procesales son las partes quienes deben pronunciarse al respecto y no el órgano jurisdiccional de oficio</w:t>
      </w:r>
      <w:r w:rsidR="004F1E03">
        <w:rPr>
          <w:rFonts w:ascii="Arial" w:eastAsia="Calibri" w:hAnsi="Arial" w:cs="Arial"/>
          <w:bCs/>
          <w:sz w:val="26"/>
          <w:szCs w:val="26"/>
        </w:rPr>
        <w:t>.</w:t>
      </w:r>
    </w:p>
    <w:p w14:paraId="6B0CF490" w14:textId="2200F304" w:rsidR="004F1E03" w:rsidRDefault="00075234" w:rsidP="004F1E03">
      <w:pPr>
        <w:spacing w:before="240" w:line="360" w:lineRule="auto"/>
        <w:ind w:firstLine="708"/>
        <w:jc w:val="both"/>
        <w:rPr>
          <w:rFonts w:ascii="Arial" w:eastAsia="Calibri" w:hAnsi="Arial" w:cs="Arial"/>
          <w:bCs/>
          <w:sz w:val="26"/>
          <w:szCs w:val="26"/>
        </w:rPr>
      </w:pPr>
      <w:bookmarkStart w:id="1" w:name="_Hlk39776426"/>
      <w:r>
        <w:rPr>
          <w:rFonts w:ascii="Arial" w:eastAsia="Calibri" w:hAnsi="Arial" w:cs="Arial"/>
          <w:bCs/>
          <w:sz w:val="26"/>
          <w:szCs w:val="26"/>
        </w:rPr>
        <w:t>Estos argumentos</w:t>
      </w:r>
      <w:r w:rsidR="004F1E03">
        <w:rPr>
          <w:rFonts w:ascii="Arial" w:eastAsia="Calibri" w:hAnsi="Arial" w:cs="Arial"/>
          <w:bCs/>
          <w:sz w:val="26"/>
          <w:szCs w:val="26"/>
        </w:rPr>
        <w:t xml:space="preserve"> son </w:t>
      </w:r>
      <w:r w:rsidR="004F1E03" w:rsidRPr="004F1E03">
        <w:rPr>
          <w:rFonts w:ascii="Arial" w:eastAsia="Calibri" w:hAnsi="Arial" w:cs="Arial"/>
          <w:b/>
          <w:sz w:val="26"/>
          <w:szCs w:val="26"/>
        </w:rPr>
        <w:t>in</w:t>
      </w:r>
      <w:r>
        <w:rPr>
          <w:rFonts w:ascii="Arial" w:eastAsia="Calibri" w:hAnsi="Arial" w:cs="Arial"/>
          <w:b/>
          <w:sz w:val="26"/>
          <w:szCs w:val="26"/>
        </w:rPr>
        <w:t>fundado</w:t>
      </w:r>
      <w:r w:rsidR="004F1E03">
        <w:rPr>
          <w:rFonts w:ascii="Arial" w:eastAsia="Calibri" w:hAnsi="Arial" w:cs="Arial"/>
          <w:b/>
          <w:sz w:val="26"/>
          <w:szCs w:val="26"/>
        </w:rPr>
        <w:t xml:space="preserve">s; </w:t>
      </w:r>
      <w:r>
        <w:rPr>
          <w:rFonts w:ascii="Arial" w:eastAsia="Calibri" w:hAnsi="Arial" w:cs="Arial"/>
          <w:bCs/>
          <w:sz w:val="26"/>
          <w:szCs w:val="26"/>
          <w:u w:val="single"/>
        </w:rPr>
        <w:t>en primer lugar</w:t>
      </w:r>
      <w:r w:rsidR="004F1E03" w:rsidRPr="004F1E03">
        <w:rPr>
          <w:rFonts w:ascii="Arial" w:eastAsia="Calibri" w:hAnsi="Arial" w:cs="Arial"/>
          <w:bCs/>
          <w:sz w:val="26"/>
          <w:szCs w:val="26"/>
        </w:rPr>
        <w:t>,</w:t>
      </w:r>
      <w:r w:rsidR="004F1E03">
        <w:rPr>
          <w:rFonts w:ascii="Arial" w:eastAsia="Calibri" w:hAnsi="Arial" w:cs="Arial"/>
          <w:b/>
          <w:sz w:val="26"/>
          <w:szCs w:val="26"/>
        </w:rPr>
        <w:t xml:space="preserve"> </w:t>
      </w:r>
      <w:r w:rsidR="004F1E03">
        <w:rPr>
          <w:rFonts w:ascii="Arial" w:eastAsia="Calibri" w:hAnsi="Arial" w:cs="Arial"/>
          <w:bCs/>
          <w:sz w:val="26"/>
          <w:szCs w:val="26"/>
        </w:rPr>
        <w:t xml:space="preserve">porque </w:t>
      </w:r>
      <w:r w:rsidR="006A0EFD">
        <w:rPr>
          <w:rFonts w:ascii="Arial" w:hAnsi="Arial" w:cs="Arial"/>
          <w:color w:val="000000"/>
          <w:sz w:val="26"/>
          <w:szCs w:val="26"/>
        </w:rPr>
        <w:t xml:space="preserve">de la lectura integral </w:t>
      </w:r>
      <w:r w:rsidR="00072A51">
        <w:rPr>
          <w:rFonts w:ascii="Arial" w:hAnsi="Arial" w:cs="Arial"/>
          <w:color w:val="000000"/>
          <w:sz w:val="26"/>
          <w:szCs w:val="26"/>
        </w:rPr>
        <w:t xml:space="preserve">de la </w:t>
      </w:r>
      <w:r w:rsidR="006A0EFD">
        <w:rPr>
          <w:rFonts w:ascii="Arial" w:hAnsi="Arial" w:cs="Arial"/>
          <w:color w:val="000000"/>
          <w:sz w:val="26"/>
          <w:szCs w:val="26"/>
        </w:rPr>
        <w:t>sentencia alzada</w:t>
      </w:r>
      <w:r w:rsidR="00072A51">
        <w:rPr>
          <w:rFonts w:ascii="Arial" w:hAnsi="Arial" w:cs="Arial"/>
          <w:color w:val="000000"/>
          <w:sz w:val="26"/>
          <w:szCs w:val="26"/>
        </w:rPr>
        <w:t>,</w:t>
      </w:r>
      <w:r w:rsidR="005274F2">
        <w:rPr>
          <w:rFonts w:ascii="Arial" w:eastAsia="Calibri" w:hAnsi="Arial" w:cs="Arial"/>
          <w:bCs/>
          <w:sz w:val="26"/>
          <w:szCs w:val="26"/>
        </w:rPr>
        <w:t xml:space="preserve"> </w:t>
      </w:r>
      <w:r w:rsidR="006A0EFD">
        <w:rPr>
          <w:rFonts w:ascii="Arial" w:hAnsi="Arial" w:cs="Arial"/>
          <w:color w:val="000000"/>
          <w:sz w:val="26"/>
          <w:szCs w:val="26"/>
        </w:rPr>
        <w:t>que tiene pleno valor probatorio</w:t>
      </w:r>
      <w:r w:rsidR="006A0EFD">
        <w:rPr>
          <w:rFonts w:ascii="Arial" w:eastAsia="Calibri" w:hAnsi="Arial" w:cs="Arial"/>
          <w:bCs/>
          <w:sz w:val="26"/>
          <w:szCs w:val="26"/>
        </w:rPr>
        <w:t xml:space="preserve"> al</w:t>
      </w:r>
      <w:r w:rsidR="005274F2">
        <w:rPr>
          <w:rFonts w:ascii="Arial" w:eastAsia="Calibri" w:hAnsi="Arial" w:cs="Arial"/>
          <w:bCs/>
          <w:sz w:val="26"/>
          <w:szCs w:val="26"/>
        </w:rPr>
        <w:t xml:space="preserve"> tratarse de actuaciones</w:t>
      </w:r>
      <w:r>
        <w:rPr>
          <w:rFonts w:ascii="Arial" w:eastAsia="Calibri" w:hAnsi="Arial" w:cs="Arial"/>
          <w:bCs/>
          <w:sz w:val="26"/>
          <w:szCs w:val="26"/>
        </w:rPr>
        <w:t xml:space="preserve"> contenidas en documentos públicos</w:t>
      </w:r>
      <w:r w:rsidR="005274F2">
        <w:rPr>
          <w:rFonts w:ascii="Arial" w:eastAsia="Calibri" w:hAnsi="Arial" w:cs="Arial"/>
          <w:bCs/>
          <w:sz w:val="26"/>
          <w:szCs w:val="26"/>
        </w:rPr>
        <w:t xml:space="preserve"> </w:t>
      </w:r>
      <w:r w:rsidR="005274F2">
        <w:rPr>
          <w:rFonts w:ascii="Arial" w:hAnsi="Arial" w:cs="Arial"/>
          <w:color w:val="000000"/>
          <w:sz w:val="26"/>
          <w:szCs w:val="26"/>
        </w:rPr>
        <w:t>conforme lo establece el artículo 203 fracción I</w:t>
      </w:r>
      <w:r w:rsidR="005274F2">
        <w:rPr>
          <w:rStyle w:val="Refdenotaalpie"/>
          <w:rFonts w:ascii="Arial" w:hAnsi="Arial" w:cs="Arial"/>
          <w:color w:val="000000"/>
          <w:sz w:val="26"/>
          <w:szCs w:val="26"/>
        </w:rPr>
        <w:footnoteReference w:id="1"/>
      </w:r>
      <w:r w:rsidR="005274F2">
        <w:rPr>
          <w:rFonts w:ascii="Arial" w:hAnsi="Arial" w:cs="Arial"/>
          <w:color w:val="000000"/>
          <w:sz w:val="26"/>
          <w:szCs w:val="26"/>
        </w:rPr>
        <w:t xml:space="preserve"> de la Ley de Procedimientos y Justicia Administrativa para el Estado de Oaxaca,</w:t>
      </w:r>
      <w:r w:rsidR="006A0EFD">
        <w:rPr>
          <w:rFonts w:ascii="Arial" w:hAnsi="Arial" w:cs="Arial"/>
          <w:color w:val="000000"/>
          <w:sz w:val="26"/>
          <w:szCs w:val="26"/>
        </w:rPr>
        <w:t xml:space="preserve"> se precisa que</w:t>
      </w:r>
      <w:r w:rsidR="005274F2">
        <w:rPr>
          <w:rFonts w:ascii="Arial" w:hAnsi="Arial" w:cs="Arial"/>
          <w:color w:val="000000"/>
          <w:sz w:val="26"/>
          <w:szCs w:val="26"/>
        </w:rPr>
        <w:t xml:space="preserve"> </w:t>
      </w:r>
      <w:r w:rsidR="004F1E03">
        <w:rPr>
          <w:rFonts w:ascii="Arial" w:eastAsia="Calibri" w:hAnsi="Arial" w:cs="Arial"/>
          <w:bCs/>
          <w:sz w:val="26"/>
          <w:szCs w:val="26"/>
        </w:rPr>
        <w:t xml:space="preserve">contrario a </w:t>
      </w:r>
      <w:r w:rsidR="006A0EFD">
        <w:rPr>
          <w:rFonts w:ascii="Arial" w:eastAsia="Calibri" w:hAnsi="Arial" w:cs="Arial"/>
          <w:bCs/>
          <w:sz w:val="26"/>
          <w:szCs w:val="26"/>
        </w:rPr>
        <w:t>lo manifestado</w:t>
      </w:r>
      <w:r w:rsidR="004F1E03">
        <w:rPr>
          <w:rFonts w:ascii="Arial" w:eastAsia="Calibri" w:hAnsi="Arial" w:cs="Arial"/>
          <w:bCs/>
          <w:sz w:val="26"/>
          <w:szCs w:val="26"/>
        </w:rPr>
        <w:t xml:space="preserve"> </w:t>
      </w:r>
      <w:r w:rsidR="006A0EFD">
        <w:rPr>
          <w:rFonts w:ascii="Arial" w:eastAsia="Calibri" w:hAnsi="Arial" w:cs="Arial"/>
          <w:bCs/>
          <w:sz w:val="26"/>
          <w:szCs w:val="26"/>
        </w:rPr>
        <w:t xml:space="preserve">por </w:t>
      </w:r>
      <w:r w:rsidR="005274F2">
        <w:rPr>
          <w:rFonts w:ascii="Arial" w:eastAsia="Calibri" w:hAnsi="Arial" w:cs="Arial"/>
          <w:bCs/>
          <w:sz w:val="26"/>
          <w:szCs w:val="26"/>
        </w:rPr>
        <w:t xml:space="preserve">el recurrente, </w:t>
      </w:r>
      <w:r w:rsidR="004F1E03">
        <w:rPr>
          <w:rFonts w:ascii="Arial" w:eastAsia="Calibri" w:hAnsi="Arial" w:cs="Arial"/>
          <w:bCs/>
          <w:sz w:val="26"/>
          <w:szCs w:val="26"/>
        </w:rPr>
        <w:t xml:space="preserve">se puede advertir </w:t>
      </w:r>
      <w:bookmarkEnd w:id="1"/>
      <w:r w:rsidR="006A0EFD">
        <w:rPr>
          <w:rFonts w:ascii="Arial" w:eastAsia="Calibri" w:hAnsi="Arial" w:cs="Arial"/>
          <w:bCs/>
          <w:sz w:val="26"/>
          <w:szCs w:val="26"/>
        </w:rPr>
        <w:t xml:space="preserve">que el </w:t>
      </w:r>
      <w:r w:rsidR="006A0EFD">
        <w:rPr>
          <w:rFonts w:ascii="Arial" w:eastAsia="Calibri" w:hAnsi="Arial" w:cs="Arial"/>
          <w:bCs/>
          <w:sz w:val="26"/>
          <w:szCs w:val="26"/>
        </w:rPr>
        <w:lastRenderedPageBreak/>
        <w:t xml:space="preserve">resolutor de primera </w:t>
      </w:r>
      <w:r w:rsidR="00E500B1">
        <w:rPr>
          <w:rFonts w:ascii="Arial" w:eastAsia="Calibri" w:hAnsi="Arial" w:cs="Arial"/>
          <w:bCs/>
          <w:sz w:val="26"/>
          <w:szCs w:val="26"/>
        </w:rPr>
        <w:t>instancia</w:t>
      </w:r>
      <w:r w:rsidR="004F1E03">
        <w:rPr>
          <w:rFonts w:ascii="Arial" w:eastAsia="Calibri" w:hAnsi="Arial" w:cs="Arial"/>
          <w:bCs/>
          <w:sz w:val="26"/>
          <w:szCs w:val="26"/>
        </w:rPr>
        <w:t xml:space="preserve"> sí fundó y motivó su determinación, cuando señaló las razones por las que consideró que </w:t>
      </w:r>
      <w:r w:rsidR="009207FE">
        <w:rPr>
          <w:rFonts w:ascii="Arial" w:eastAsia="Calibri" w:hAnsi="Arial" w:cs="Arial"/>
          <w:bCs/>
          <w:sz w:val="26"/>
          <w:szCs w:val="26"/>
        </w:rPr>
        <w:t xml:space="preserve">el acta de infracción impugnada carece de </w:t>
      </w:r>
      <w:r w:rsidR="00BF698D">
        <w:rPr>
          <w:rFonts w:ascii="Arial" w:eastAsia="Calibri" w:hAnsi="Arial" w:cs="Arial"/>
          <w:bCs/>
          <w:sz w:val="26"/>
          <w:szCs w:val="26"/>
        </w:rPr>
        <w:t xml:space="preserve">la debida fundamentación y </w:t>
      </w:r>
      <w:r w:rsidR="009207FE">
        <w:rPr>
          <w:rFonts w:ascii="Arial" w:eastAsia="Calibri" w:hAnsi="Arial" w:cs="Arial"/>
          <w:bCs/>
          <w:sz w:val="26"/>
          <w:szCs w:val="26"/>
        </w:rPr>
        <w:t xml:space="preserve">motivación, citando los preceptos legales y </w:t>
      </w:r>
      <w:r w:rsidR="004F1E03">
        <w:rPr>
          <w:rFonts w:ascii="Arial" w:eastAsia="Calibri" w:hAnsi="Arial" w:cs="Arial"/>
          <w:bCs/>
          <w:sz w:val="26"/>
          <w:szCs w:val="26"/>
        </w:rPr>
        <w:t>criterios que consideró sustent</w:t>
      </w:r>
      <w:r w:rsidR="00E500B1">
        <w:rPr>
          <w:rFonts w:ascii="Arial" w:eastAsia="Calibri" w:hAnsi="Arial" w:cs="Arial"/>
          <w:bCs/>
          <w:sz w:val="26"/>
          <w:szCs w:val="26"/>
        </w:rPr>
        <w:t>aban sus consideraciones, como se desprende continuación</w:t>
      </w:r>
      <w:r w:rsidR="004F1E03">
        <w:rPr>
          <w:rFonts w:ascii="Arial" w:eastAsia="Calibri" w:hAnsi="Arial" w:cs="Arial"/>
          <w:bCs/>
          <w:sz w:val="26"/>
          <w:szCs w:val="26"/>
        </w:rPr>
        <w:t>:</w:t>
      </w:r>
    </w:p>
    <w:p w14:paraId="145719CA" w14:textId="594A5D23" w:rsidR="009E06CD" w:rsidRDefault="004F1E03" w:rsidP="00E500B1">
      <w:pPr>
        <w:spacing w:before="240" w:line="360" w:lineRule="auto"/>
        <w:ind w:left="1134" w:right="616"/>
        <w:jc w:val="both"/>
        <w:rPr>
          <w:rFonts w:ascii="Arial" w:eastAsia="Calibri" w:hAnsi="Arial" w:cs="Arial"/>
          <w:bCs/>
          <w:i/>
          <w:iCs/>
          <w:sz w:val="24"/>
          <w:szCs w:val="24"/>
        </w:rPr>
      </w:pPr>
      <w:r>
        <w:rPr>
          <w:rFonts w:ascii="Arial" w:eastAsia="Calibri" w:hAnsi="Arial" w:cs="Arial"/>
          <w:bCs/>
          <w:sz w:val="26"/>
          <w:szCs w:val="26"/>
        </w:rPr>
        <w:t>“</w:t>
      </w:r>
      <w:r w:rsidR="009E06CD">
        <w:rPr>
          <w:rFonts w:ascii="Arial" w:eastAsia="Calibri" w:hAnsi="Arial" w:cs="Arial"/>
          <w:bCs/>
          <w:i/>
          <w:iCs/>
          <w:sz w:val="24"/>
          <w:szCs w:val="24"/>
        </w:rPr>
        <w:t xml:space="preserve">De lo anterior, se observa como la autoridad para levantar el acta de </w:t>
      </w:r>
      <w:r w:rsidR="005B4AA8">
        <w:rPr>
          <w:rFonts w:ascii="Arial" w:eastAsia="Calibri" w:hAnsi="Arial" w:cs="Arial"/>
          <w:bCs/>
          <w:i/>
          <w:iCs/>
          <w:sz w:val="24"/>
          <w:szCs w:val="24"/>
        </w:rPr>
        <w:t>infracción</w:t>
      </w:r>
      <w:r w:rsidR="009E06CD">
        <w:rPr>
          <w:rFonts w:ascii="Arial" w:eastAsia="Calibri" w:hAnsi="Arial" w:cs="Arial"/>
          <w:bCs/>
          <w:i/>
          <w:iCs/>
          <w:sz w:val="24"/>
          <w:szCs w:val="24"/>
        </w:rPr>
        <w:t xml:space="preserve"> señalo (sic) correctamente en el </w:t>
      </w:r>
      <w:r w:rsidR="005B4AA8">
        <w:rPr>
          <w:rFonts w:ascii="Arial" w:eastAsia="Calibri" w:hAnsi="Arial" w:cs="Arial"/>
          <w:bCs/>
          <w:i/>
          <w:iCs/>
          <w:sz w:val="24"/>
          <w:szCs w:val="24"/>
        </w:rPr>
        <w:t>apartado</w:t>
      </w:r>
      <w:r w:rsidR="009E06CD">
        <w:rPr>
          <w:rFonts w:ascii="Arial" w:eastAsia="Calibri" w:hAnsi="Arial" w:cs="Arial"/>
          <w:bCs/>
          <w:i/>
          <w:iCs/>
          <w:sz w:val="24"/>
          <w:szCs w:val="24"/>
        </w:rPr>
        <w:t xml:space="preserve"> de </w:t>
      </w:r>
      <w:r w:rsidR="005B4AA8">
        <w:rPr>
          <w:rFonts w:ascii="Arial" w:eastAsia="Calibri" w:hAnsi="Arial" w:cs="Arial"/>
          <w:bCs/>
          <w:i/>
          <w:iCs/>
          <w:sz w:val="24"/>
          <w:szCs w:val="24"/>
        </w:rPr>
        <w:t>Faltas</w:t>
      </w:r>
      <w:r w:rsidR="009E06CD">
        <w:rPr>
          <w:rFonts w:ascii="Arial" w:eastAsia="Calibri" w:hAnsi="Arial" w:cs="Arial"/>
          <w:bCs/>
          <w:i/>
          <w:iCs/>
          <w:sz w:val="24"/>
          <w:szCs w:val="24"/>
        </w:rPr>
        <w:t xml:space="preserve"> </w:t>
      </w:r>
      <w:r w:rsidR="005B4AA8">
        <w:rPr>
          <w:rFonts w:ascii="Arial" w:eastAsia="Calibri" w:hAnsi="Arial" w:cs="Arial"/>
          <w:bCs/>
          <w:i/>
          <w:iCs/>
          <w:sz w:val="24"/>
          <w:szCs w:val="24"/>
        </w:rPr>
        <w:t>Administrativas</w:t>
      </w:r>
      <w:r w:rsidR="009E06CD">
        <w:rPr>
          <w:rFonts w:ascii="Arial" w:eastAsia="Calibri" w:hAnsi="Arial" w:cs="Arial"/>
          <w:bCs/>
          <w:i/>
          <w:iCs/>
          <w:sz w:val="24"/>
          <w:szCs w:val="24"/>
        </w:rPr>
        <w:t xml:space="preserve"> en </w:t>
      </w:r>
      <w:r w:rsidR="005B4AA8">
        <w:rPr>
          <w:rFonts w:ascii="Arial" w:eastAsia="Calibri" w:hAnsi="Arial" w:cs="Arial"/>
          <w:bCs/>
          <w:i/>
          <w:iCs/>
          <w:sz w:val="24"/>
          <w:szCs w:val="24"/>
        </w:rPr>
        <w:t>Relación</w:t>
      </w:r>
      <w:r w:rsidR="009E06CD">
        <w:rPr>
          <w:rFonts w:ascii="Arial" w:eastAsia="Calibri" w:hAnsi="Arial" w:cs="Arial"/>
          <w:bCs/>
          <w:i/>
          <w:iCs/>
          <w:sz w:val="24"/>
          <w:szCs w:val="24"/>
        </w:rPr>
        <w:t xml:space="preserve"> al Reglamento de Vialidad para el Municipio de Oaxaca de </w:t>
      </w:r>
      <w:r w:rsidR="005B4AA8">
        <w:rPr>
          <w:rFonts w:ascii="Arial" w:eastAsia="Calibri" w:hAnsi="Arial" w:cs="Arial"/>
          <w:bCs/>
          <w:i/>
          <w:iCs/>
          <w:sz w:val="24"/>
          <w:szCs w:val="24"/>
        </w:rPr>
        <w:t>Juárez</w:t>
      </w:r>
      <w:r w:rsidR="009E06CD">
        <w:rPr>
          <w:rFonts w:ascii="Arial" w:eastAsia="Calibri" w:hAnsi="Arial" w:cs="Arial"/>
          <w:bCs/>
          <w:i/>
          <w:iCs/>
          <w:sz w:val="24"/>
          <w:szCs w:val="24"/>
        </w:rPr>
        <w:t xml:space="preserve"> los </w:t>
      </w:r>
      <w:r w:rsidR="005B4AA8">
        <w:rPr>
          <w:rFonts w:ascii="Arial" w:eastAsia="Calibri" w:hAnsi="Arial" w:cs="Arial"/>
          <w:bCs/>
          <w:i/>
          <w:iCs/>
          <w:sz w:val="24"/>
          <w:szCs w:val="24"/>
        </w:rPr>
        <w:t>artículos</w:t>
      </w:r>
      <w:r w:rsidR="009E06CD">
        <w:rPr>
          <w:rFonts w:ascii="Arial" w:eastAsia="Calibri" w:hAnsi="Arial" w:cs="Arial"/>
          <w:bCs/>
          <w:i/>
          <w:iCs/>
          <w:sz w:val="24"/>
          <w:szCs w:val="24"/>
        </w:rPr>
        <w:t xml:space="preserve"> 85 y 86 </w:t>
      </w:r>
      <w:r w:rsidR="005B4AA8">
        <w:rPr>
          <w:rFonts w:ascii="Arial" w:eastAsia="Calibri" w:hAnsi="Arial" w:cs="Arial"/>
          <w:bCs/>
          <w:i/>
          <w:iCs/>
          <w:sz w:val="24"/>
          <w:szCs w:val="24"/>
        </w:rPr>
        <w:t>fracción XXXIII, relativos</w:t>
      </w:r>
      <w:r w:rsidR="009E06CD">
        <w:rPr>
          <w:rFonts w:ascii="Arial" w:eastAsia="Calibri" w:hAnsi="Arial" w:cs="Arial"/>
          <w:bCs/>
          <w:i/>
          <w:iCs/>
          <w:sz w:val="24"/>
          <w:szCs w:val="24"/>
        </w:rPr>
        <w:t xml:space="preserve"> a estacionarse en lugares prohibidos, sin embargo al establecer de puño y letra los </w:t>
      </w:r>
      <w:r w:rsidR="005B4AA8">
        <w:rPr>
          <w:rFonts w:ascii="Arial" w:eastAsia="Calibri" w:hAnsi="Arial" w:cs="Arial"/>
          <w:bCs/>
          <w:i/>
          <w:iCs/>
          <w:sz w:val="24"/>
          <w:szCs w:val="24"/>
        </w:rPr>
        <w:t>artículos</w:t>
      </w:r>
      <w:r w:rsidR="009E06CD">
        <w:rPr>
          <w:rFonts w:ascii="Arial" w:eastAsia="Calibri" w:hAnsi="Arial" w:cs="Arial"/>
          <w:bCs/>
          <w:i/>
          <w:iCs/>
          <w:sz w:val="24"/>
          <w:szCs w:val="24"/>
        </w:rPr>
        <w:t xml:space="preserve"> 98 y 86 </w:t>
      </w:r>
      <w:r w:rsidR="005B4AA8">
        <w:rPr>
          <w:rFonts w:ascii="Arial" w:eastAsia="Calibri" w:hAnsi="Arial" w:cs="Arial"/>
          <w:bCs/>
          <w:i/>
          <w:iCs/>
          <w:sz w:val="24"/>
          <w:szCs w:val="24"/>
        </w:rPr>
        <w:t>fracción</w:t>
      </w:r>
      <w:r w:rsidR="009E06CD">
        <w:rPr>
          <w:rFonts w:ascii="Arial" w:eastAsia="Calibri" w:hAnsi="Arial" w:cs="Arial"/>
          <w:bCs/>
          <w:i/>
          <w:iCs/>
          <w:sz w:val="24"/>
          <w:szCs w:val="24"/>
        </w:rPr>
        <w:t xml:space="preserve"> XXXIII del referido Reglamento, está autoridad cayó en cuenta, que la demandada fundamento (sic) ind</w:t>
      </w:r>
      <w:r w:rsidR="005B4AA8">
        <w:rPr>
          <w:rFonts w:ascii="Arial" w:eastAsia="Calibri" w:hAnsi="Arial" w:cs="Arial"/>
          <w:bCs/>
          <w:i/>
          <w:iCs/>
          <w:sz w:val="24"/>
          <w:szCs w:val="24"/>
        </w:rPr>
        <w:t xml:space="preserve">ebidamente su actuar al citar  </w:t>
      </w:r>
      <w:r w:rsidR="009E06CD">
        <w:rPr>
          <w:rFonts w:ascii="Arial" w:eastAsia="Calibri" w:hAnsi="Arial" w:cs="Arial"/>
          <w:bCs/>
          <w:i/>
          <w:iCs/>
          <w:sz w:val="24"/>
          <w:szCs w:val="24"/>
        </w:rPr>
        <w:t xml:space="preserve">el </w:t>
      </w:r>
      <w:r w:rsidR="005B4AA8">
        <w:rPr>
          <w:rFonts w:ascii="Arial" w:eastAsia="Calibri" w:hAnsi="Arial" w:cs="Arial"/>
          <w:bCs/>
          <w:i/>
          <w:iCs/>
          <w:sz w:val="24"/>
          <w:szCs w:val="24"/>
        </w:rPr>
        <w:t>artículo</w:t>
      </w:r>
      <w:r w:rsidR="009E06CD">
        <w:rPr>
          <w:rFonts w:ascii="Arial" w:eastAsia="Calibri" w:hAnsi="Arial" w:cs="Arial"/>
          <w:bCs/>
          <w:i/>
          <w:iCs/>
          <w:sz w:val="24"/>
          <w:szCs w:val="24"/>
        </w:rPr>
        <w:t xml:space="preserve"> 98, pues esté hace no hace (sic) referencia a estacionarse en lugares </w:t>
      </w:r>
      <w:r w:rsidR="005B4AA8">
        <w:rPr>
          <w:rFonts w:ascii="Arial" w:eastAsia="Calibri" w:hAnsi="Arial" w:cs="Arial"/>
          <w:bCs/>
          <w:i/>
          <w:iCs/>
          <w:sz w:val="24"/>
          <w:szCs w:val="24"/>
        </w:rPr>
        <w:t>prohibido</w:t>
      </w:r>
      <w:r w:rsidR="009E06CD">
        <w:rPr>
          <w:rFonts w:ascii="Arial" w:eastAsia="Calibri" w:hAnsi="Arial" w:cs="Arial"/>
          <w:bCs/>
          <w:i/>
          <w:iCs/>
          <w:sz w:val="24"/>
          <w:szCs w:val="24"/>
        </w:rPr>
        <w:t xml:space="preserve">, sino a los </w:t>
      </w:r>
      <w:r w:rsidR="005B4AA8">
        <w:rPr>
          <w:rFonts w:ascii="Arial" w:eastAsia="Calibri" w:hAnsi="Arial" w:cs="Arial"/>
          <w:bCs/>
          <w:i/>
          <w:iCs/>
          <w:sz w:val="24"/>
          <w:szCs w:val="24"/>
        </w:rPr>
        <w:t>estacionamientos</w:t>
      </w:r>
      <w:r w:rsidR="009E06CD">
        <w:rPr>
          <w:rFonts w:ascii="Arial" w:eastAsia="Calibri" w:hAnsi="Arial" w:cs="Arial"/>
          <w:bCs/>
          <w:i/>
          <w:iCs/>
          <w:sz w:val="24"/>
          <w:szCs w:val="24"/>
        </w:rPr>
        <w:t xml:space="preserve"> públicos, como podemos ver a </w:t>
      </w:r>
      <w:r w:rsidR="005B4AA8">
        <w:rPr>
          <w:rFonts w:ascii="Arial" w:eastAsia="Calibri" w:hAnsi="Arial" w:cs="Arial"/>
          <w:bCs/>
          <w:i/>
          <w:iCs/>
          <w:sz w:val="24"/>
          <w:szCs w:val="24"/>
        </w:rPr>
        <w:t>continuación</w:t>
      </w:r>
      <w:r w:rsidR="009E06CD">
        <w:rPr>
          <w:rFonts w:ascii="Arial" w:eastAsia="Calibri" w:hAnsi="Arial" w:cs="Arial"/>
          <w:bCs/>
          <w:i/>
          <w:iCs/>
          <w:sz w:val="24"/>
          <w:szCs w:val="24"/>
        </w:rPr>
        <w:t xml:space="preserve">: (transcribe los </w:t>
      </w:r>
      <w:r w:rsidR="005B4AA8">
        <w:rPr>
          <w:rFonts w:ascii="Arial" w:eastAsia="Calibri" w:hAnsi="Arial" w:cs="Arial"/>
          <w:bCs/>
          <w:i/>
          <w:iCs/>
          <w:sz w:val="24"/>
          <w:szCs w:val="24"/>
        </w:rPr>
        <w:t>artículos</w:t>
      </w:r>
      <w:r w:rsidR="009E06CD">
        <w:rPr>
          <w:rFonts w:ascii="Arial" w:eastAsia="Calibri" w:hAnsi="Arial" w:cs="Arial"/>
          <w:bCs/>
          <w:i/>
          <w:iCs/>
          <w:sz w:val="24"/>
          <w:szCs w:val="24"/>
        </w:rPr>
        <w:t>)</w:t>
      </w:r>
    </w:p>
    <w:p w14:paraId="7391C646" w14:textId="43978458" w:rsidR="00A97466" w:rsidRPr="005E74C5" w:rsidRDefault="005B597F" w:rsidP="005B597F">
      <w:pPr>
        <w:spacing w:before="240" w:line="360" w:lineRule="auto"/>
        <w:ind w:left="1134" w:right="616"/>
        <w:jc w:val="both"/>
        <w:rPr>
          <w:rFonts w:ascii="Arial" w:eastAsia="Calibri" w:hAnsi="Arial" w:cs="Arial"/>
          <w:b/>
          <w:bCs/>
          <w:i/>
          <w:iCs/>
          <w:sz w:val="24"/>
          <w:szCs w:val="24"/>
        </w:rPr>
      </w:pPr>
      <w:r>
        <w:rPr>
          <w:rFonts w:ascii="Arial" w:eastAsia="Calibri" w:hAnsi="Arial" w:cs="Arial"/>
          <w:bCs/>
          <w:i/>
          <w:iCs/>
          <w:sz w:val="24"/>
          <w:szCs w:val="24"/>
        </w:rPr>
        <w:t xml:space="preserve">Por otro lado, la autoridad motivo (sic) indebidamente la </w:t>
      </w:r>
      <w:r w:rsidR="005B4AA8">
        <w:rPr>
          <w:rFonts w:ascii="Arial" w:eastAsia="Calibri" w:hAnsi="Arial" w:cs="Arial"/>
          <w:bCs/>
          <w:i/>
          <w:iCs/>
          <w:sz w:val="24"/>
          <w:szCs w:val="24"/>
        </w:rPr>
        <w:t>infracción</w:t>
      </w:r>
      <w:r>
        <w:rPr>
          <w:rFonts w:ascii="Arial" w:eastAsia="Calibri" w:hAnsi="Arial" w:cs="Arial"/>
          <w:bCs/>
          <w:i/>
          <w:iCs/>
          <w:sz w:val="24"/>
          <w:szCs w:val="24"/>
        </w:rPr>
        <w:t xml:space="preserve">, pues únicamente señaló “ESTACIONADO lugar Prohibido”, sin hacer </w:t>
      </w:r>
      <w:r w:rsidR="005B4AA8">
        <w:rPr>
          <w:rFonts w:ascii="Arial" w:eastAsia="Calibri" w:hAnsi="Arial" w:cs="Arial"/>
          <w:bCs/>
          <w:i/>
          <w:iCs/>
          <w:sz w:val="24"/>
          <w:szCs w:val="24"/>
        </w:rPr>
        <w:t>referencia</w:t>
      </w:r>
      <w:r>
        <w:rPr>
          <w:rFonts w:ascii="Arial" w:eastAsia="Calibri" w:hAnsi="Arial" w:cs="Arial"/>
          <w:bCs/>
          <w:i/>
          <w:iCs/>
          <w:sz w:val="24"/>
          <w:szCs w:val="24"/>
        </w:rPr>
        <w:t xml:space="preserve"> de cómo se percató que el demandadante se encontraba </w:t>
      </w:r>
      <w:r w:rsidR="005B4AA8">
        <w:rPr>
          <w:rFonts w:ascii="Arial" w:eastAsia="Calibri" w:hAnsi="Arial" w:cs="Arial"/>
          <w:bCs/>
          <w:i/>
          <w:iCs/>
          <w:sz w:val="24"/>
          <w:szCs w:val="24"/>
        </w:rPr>
        <w:t>estacionado</w:t>
      </w:r>
      <w:r>
        <w:rPr>
          <w:rFonts w:ascii="Arial" w:eastAsia="Calibri" w:hAnsi="Arial" w:cs="Arial"/>
          <w:bCs/>
          <w:i/>
          <w:iCs/>
          <w:sz w:val="24"/>
          <w:szCs w:val="24"/>
        </w:rPr>
        <w:t xml:space="preserve"> en un lugar prohibido, sí había algún tipo de señalamiento restrictivo, y si lo </w:t>
      </w:r>
      <w:r w:rsidR="005B4AA8">
        <w:rPr>
          <w:rFonts w:ascii="Arial" w:eastAsia="Calibri" w:hAnsi="Arial" w:cs="Arial"/>
          <w:bCs/>
          <w:i/>
          <w:iCs/>
          <w:sz w:val="24"/>
          <w:szCs w:val="24"/>
        </w:rPr>
        <w:t>tenía</w:t>
      </w:r>
      <w:r>
        <w:rPr>
          <w:rFonts w:ascii="Arial" w:eastAsia="Calibri" w:hAnsi="Arial" w:cs="Arial"/>
          <w:bCs/>
          <w:i/>
          <w:iCs/>
          <w:sz w:val="24"/>
          <w:szCs w:val="24"/>
        </w:rPr>
        <w:t xml:space="preserve"> donde se encontraba; dicha </w:t>
      </w:r>
      <w:r w:rsidR="005B4AA8">
        <w:rPr>
          <w:rFonts w:ascii="Arial" w:eastAsia="Calibri" w:hAnsi="Arial" w:cs="Arial"/>
          <w:bCs/>
          <w:i/>
          <w:iCs/>
          <w:sz w:val="24"/>
          <w:szCs w:val="24"/>
        </w:rPr>
        <w:t>sanción</w:t>
      </w:r>
      <w:r>
        <w:rPr>
          <w:rFonts w:ascii="Arial" w:eastAsia="Calibri" w:hAnsi="Arial" w:cs="Arial"/>
          <w:bCs/>
          <w:i/>
          <w:iCs/>
          <w:sz w:val="24"/>
          <w:szCs w:val="24"/>
        </w:rPr>
        <w:t xml:space="preserve"> le fue informada mediante acta de </w:t>
      </w:r>
      <w:r w:rsidR="005B4AA8">
        <w:rPr>
          <w:rFonts w:ascii="Arial" w:eastAsia="Calibri" w:hAnsi="Arial" w:cs="Arial"/>
          <w:bCs/>
          <w:i/>
          <w:iCs/>
          <w:sz w:val="24"/>
          <w:szCs w:val="24"/>
        </w:rPr>
        <w:t>infracción</w:t>
      </w:r>
      <w:r>
        <w:rPr>
          <w:rFonts w:ascii="Arial" w:eastAsia="Calibri" w:hAnsi="Arial" w:cs="Arial"/>
          <w:bCs/>
          <w:i/>
          <w:iCs/>
          <w:sz w:val="24"/>
          <w:szCs w:val="24"/>
        </w:rPr>
        <w:t xml:space="preserve"> con número de folio 01683 de fecha seis  de agosto de dos mil </w:t>
      </w:r>
      <w:r w:rsidR="005B4AA8">
        <w:rPr>
          <w:rFonts w:ascii="Arial" w:eastAsia="Calibri" w:hAnsi="Arial" w:cs="Arial"/>
          <w:bCs/>
          <w:i/>
          <w:iCs/>
          <w:sz w:val="24"/>
          <w:szCs w:val="24"/>
        </w:rPr>
        <w:t>diecinueve</w:t>
      </w:r>
      <w:r>
        <w:rPr>
          <w:rFonts w:ascii="Arial" w:eastAsia="Calibri" w:hAnsi="Arial" w:cs="Arial"/>
          <w:bCs/>
          <w:i/>
          <w:iCs/>
          <w:sz w:val="24"/>
          <w:szCs w:val="24"/>
        </w:rPr>
        <w:t xml:space="preserve"> (06/08/2019), signada por la </w:t>
      </w:r>
      <w:r w:rsidRPr="005E74C5">
        <w:rPr>
          <w:rFonts w:ascii="Arial" w:eastAsia="Calibri" w:hAnsi="Arial" w:cs="Arial"/>
          <w:b/>
          <w:bCs/>
          <w:i/>
          <w:iCs/>
          <w:sz w:val="24"/>
          <w:szCs w:val="24"/>
        </w:rPr>
        <w:t>POLICÍA VIAL PV-</w:t>
      </w:r>
      <w:r w:rsidR="00A97466" w:rsidRPr="005E74C5">
        <w:rPr>
          <w:rFonts w:ascii="Arial" w:eastAsia="Calibri" w:hAnsi="Arial" w:cs="Arial"/>
          <w:b/>
          <w:bCs/>
          <w:i/>
          <w:iCs/>
          <w:sz w:val="24"/>
          <w:szCs w:val="24"/>
        </w:rPr>
        <w:t xml:space="preserve">206, Erik Cruz Castellanos, </w:t>
      </w:r>
      <w:r w:rsidR="005B4AA8" w:rsidRPr="005E74C5">
        <w:rPr>
          <w:rFonts w:ascii="Arial" w:eastAsia="Calibri" w:hAnsi="Arial" w:cs="Arial"/>
          <w:b/>
          <w:bCs/>
          <w:i/>
          <w:iCs/>
          <w:sz w:val="24"/>
          <w:szCs w:val="24"/>
        </w:rPr>
        <w:t>Adscrito</w:t>
      </w:r>
      <w:r w:rsidR="00A97466" w:rsidRPr="005E74C5">
        <w:rPr>
          <w:rFonts w:ascii="Arial" w:eastAsia="Calibri" w:hAnsi="Arial" w:cs="Arial"/>
          <w:b/>
          <w:bCs/>
          <w:i/>
          <w:iCs/>
          <w:sz w:val="24"/>
          <w:szCs w:val="24"/>
        </w:rPr>
        <w:t xml:space="preserve"> a la Comisaría de Vialidad y </w:t>
      </w:r>
      <w:r w:rsidR="005B4AA8" w:rsidRPr="005E74C5">
        <w:rPr>
          <w:rFonts w:ascii="Arial" w:eastAsia="Calibri" w:hAnsi="Arial" w:cs="Arial"/>
          <w:b/>
          <w:bCs/>
          <w:i/>
          <w:iCs/>
          <w:sz w:val="24"/>
          <w:szCs w:val="24"/>
        </w:rPr>
        <w:t>Protección</w:t>
      </w:r>
      <w:r w:rsidR="00A97466" w:rsidRPr="005E74C5">
        <w:rPr>
          <w:rFonts w:ascii="Arial" w:eastAsia="Calibri" w:hAnsi="Arial" w:cs="Arial"/>
          <w:b/>
          <w:bCs/>
          <w:i/>
          <w:iCs/>
          <w:sz w:val="24"/>
          <w:szCs w:val="24"/>
        </w:rPr>
        <w:t xml:space="preserve"> </w:t>
      </w:r>
      <w:r w:rsidR="005B4AA8" w:rsidRPr="005E74C5">
        <w:rPr>
          <w:rFonts w:ascii="Arial" w:eastAsia="Calibri" w:hAnsi="Arial" w:cs="Arial"/>
          <w:b/>
          <w:bCs/>
          <w:i/>
          <w:iCs/>
          <w:sz w:val="24"/>
          <w:szCs w:val="24"/>
        </w:rPr>
        <w:t>Ciudadana</w:t>
      </w:r>
      <w:r w:rsidR="00A97466" w:rsidRPr="005E74C5">
        <w:rPr>
          <w:rFonts w:ascii="Arial" w:eastAsia="Calibri" w:hAnsi="Arial" w:cs="Arial"/>
          <w:b/>
          <w:bCs/>
          <w:i/>
          <w:iCs/>
          <w:sz w:val="24"/>
          <w:szCs w:val="24"/>
        </w:rPr>
        <w:t xml:space="preserve"> del Municipio de Oaxaca de </w:t>
      </w:r>
      <w:r w:rsidR="005B4AA8" w:rsidRPr="005E74C5">
        <w:rPr>
          <w:rFonts w:ascii="Arial" w:eastAsia="Calibri" w:hAnsi="Arial" w:cs="Arial"/>
          <w:b/>
          <w:bCs/>
          <w:i/>
          <w:iCs/>
          <w:sz w:val="24"/>
          <w:szCs w:val="24"/>
        </w:rPr>
        <w:t>Juárez</w:t>
      </w:r>
      <w:r w:rsidR="00A97466" w:rsidRPr="005E74C5">
        <w:rPr>
          <w:rFonts w:ascii="Arial" w:eastAsia="Calibri" w:hAnsi="Arial" w:cs="Arial"/>
          <w:b/>
          <w:bCs/>
          <w:i/>
          <w:iCs/>
          <w:sz w:val="24"/>
          <w:szCs w:val="24"/>
        </w:rPr>
        <w:t>.</w:t>
      </w:r>
    </w:p>
    <w:p w14:paraId="212A2F48" w14:textId="2E41A9BB" w:rsidR="00E57ACD" w:rsidRDefault="00A97466" w:rsidP="005B597F">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 xml:space="preserve">Derivado de los (sic) anterior y toda vez que la autoridad omitió señalar la multa  impugnada la razón particular o circunstancias especiales, de qué forma confirmó la accionante en el supuesto jurídico; es decir, no precisa la causa especifica por la que consideró que el accionante se ubicó en la circunstancia que la ley considera como hecho generador de multa; pues para tales efectos, no basta con el hacer el señalamiento de </w:t>
      </w:r>
      <w:r w:rsidRPr="005E74C5">
        <w:rPr>
          <w:rFonts w:ascii="Arial" w:eastAsia="Calibri" w:hAnsi="Arial" w:cs="Arial"/>
          <w:b/>
          <w:bCs/>
          <w:i/>
          <w:iCs/>
          <w:sz w:val="24"/>
          <w:szCs w:val="24"/>
        </w:rPr>
        <w:t>“</w:t>
      </w:r>
      <w:r w:rsidR="005B4AA8" w:rsidRPr="005E74C5">
        <w:rPr>
          <w:rFonts w:ascii="Arial" w:eastAsia="Calibri" w:hAnsi="Arial" w:cs="Arial"/>
          <w:b/>
          <w:bCs/>
          <w:i/>
          <w:iCs/>
          <w:sz w:val="24"/>
          <w:szCs w:val="24"/>
        </w:rPr>
        <w:t>ESTACIONADO lugar Prohibido</w:t>
      </w:r>
      <w:r w:rsidRPr="005E74C5">
        <w:rPr>
          <w:rFonts w:ascii="Arial" w:eastAsia="Calibri" w:hAnsi="Arial" w:cs="Arial"/>
          <w:b/>
          <w:bCs/>
          <w:i/>
          <w:iCs/>
          <w:sz w:val="24"/>
          <w:szCs w:val="24"/>
        </w:rPr>
        <w:t>”</w:t>
      </w:r>
      <w:r w:rsidR="005B4AA8">
        <w:rPr>
          <w:rFonts w:ascii="Arial" w:eastAsia="Calibri" w:hAnsi="Arial" w:cs="Arial"/>
          <w:bCs/>
          <w:i/>
          <w:iCs/>
          <w:sz w:val="24"/>
          <w:szCs w:val="24"/>
        </w:rPr>
        <w:t>, la autoridad</w:t>
      </w:r>
      <w:r w:rsidR="005F2C92">
        <w:rPr>
          <w:rFonts w:ascii="Arial" w:eastAsia="Calibri" w:hAnsi="Arial" w:cs="Arial"/>
          <w:bCs/>
          <w:i/>
          <w:iCs/>
          <w:sz w:val="24"/>
          <w:szCs w:val="24"/>
        </w:rPr>
        <w:t xml:space="preserve"> debió precisar si </w:t>
      </w:r>
      <w:r w:rsidR="005B4AA8">
        <w:rPr>
          <w:rFonts w:ascii="Arial" w:eastAsia="Calibri" w:hAnsi="Arial" w:cs="Arial"/>
          <w:bCs/>
          <w:i/>
          <w:iCs/>
          <w:sz w:val="24"/>
          <w:szCs w:val="24"/>
        </w:rPr>
        <w:t>había</w:t>
      </w:r>
      <w:r w:rsidR="005F2C92">
        <w:rPr>
          <w:rFonts w:ascii="Arial" w:eastAsia="Calibri" w:hAnsi="Arial" w:cs="Arial"/>
          <w:bCs/>
          <w:i/>
          <w:iCs/>
          <w:sz w:val="24"/>
          <w:szCs w:val="24"/>
        </w:rPr>
        <w:t xml:space="preserve"> algún tipo de señalamiento  que prohibiera al demandante estacionarse en el lugar que lo hizo, </w:t>
      </w:r>
      <w:r w:rsidR="005B4AA8">
        <w:rPr>
          <w:rFonts w:ascii="Arial" w:eastAsia="Calibri" w:hAnsi="Arial" w:cs="Arial"/>
          <w:bCs/>
          <w:i/>
          <w:iCs/>
          <w:sz w:val="24"/>
          <w:szCs w:val="24"/>
        </w:rPr>
        <w:t>diciendo donde se encontraba</w:t>
      </w:r>
      <w:r w:rsidR="005F2C92">
        <w:rPr>
          <w:rFonts w:ascii="Arial" w:eastAsia="Calibri" w:hAnsi="Arial" w:cs="Arial"/>
          <w:bCs/>
          <w:i/>
          <w:iCs/>
          <w:sz w:val="24"/>
          <w:szCs w:val="24"/>
        </w:rPr>
        <w:t xml:space="preserve"> este ubicado, para rel</w:t>
      </w:r>
      <w:r w:rsidR="005B4AA8">
        <w:rPr>
          <w:rFonts w:ascii="Arial" w:eastAsia="Calibri" w:hAnsi="Arial" w:cs="Arial"/>
          <w:bCs/>
          <w:i/>
          <w:iCs/>
          <w:sz w:val="24"/>
          <w:szCs w:val="24"/>
        </w:rPr>
        <w:t>acionar debidamente los hechos</w:t>
      </w:r>
      <w:r w:rsidR="005F2C92">
        <w:rPr>
          <w:rFonts w:ascii="Arial" w:eastAsia="Calibri" w:hAnsi="Arial" w:cs="Arial"/>
          <w:bCs/>
          <w:i/>
          <w:iCs/>
          <w:sz w:val="24"/>
          <w:szCs w:val="24"/>
        </w:rPr>
        <w:t xml:space="preserve"> que la </w:t>
      </w:r>
      <w:r w:rsidR="005F2C92">
        <w:rPr>
          <w:rFonts w:ascii="Arial" w:eastAsia="Calibri" w:hAnsi="Arial" w:cs="Arial"/>
          <w:bCs/>
          <w:i/>
          <w:iCs/>
          <w:sz w:val="24"/>
          <w:szCs w:val="24"/>
        </w:rPr>
        <w:lastRenderedPageBreak/>
        <w:t xml:space="preserve">motivaron con la disposición aplicable, que ubicaron al accionante en la hipótesis normativa para ser considerado sujeto de sanción del multicitado Reglamento, por otro lado, debió fundamentar sus actos únicamente con los </w:t>
      </w:r>
      <w:r w:rsidR="005B4AA8">
        <w:rPr>
          <w:rFonts w:ascii="Arial" w:eastAsia="Calibri" w:hAnsi="Arial" w:cs="Arial"/>
          <w:bCs/>
          <w:i/>
          <w:iCs/>
          <w:sz w:val="24"/>
          <w:szCs w:val="24"/>
        </w:rPr>
        <w:t>artículos</w:t>
      </w:r>
      <w:r w:rsidR="005F2C92">
        <w:rPr>
          <w:rFonts w:ascii="Arial" w:eastAsia="Calibri" w:hAnsi="Arial" w:cs="Arial"/>
          <w:bCs/>
          <w:i/>
          <w:iCs/>
          <w:sz w:val="24"/>
          <w:szCs w:val="24"/>
        </w:rPr>
        <w:t xml:space="preserve">  que le resultaban aplicables, en este caso omitiendo el </w:t>
      </w:r>
      <w:r w:rsidR="005B4AA8">
        <w:rPr>
          <w:rFonts w:ascii="Arial" w:eastAsia="Calibri" w:hAnsi="Arial" w:cs="Arial"/>
          <w:bCs/>
          <w:i/>
          <w:iCs/>
          <w:sz w:val="24"/>
          <w:szCs w:val="24"/>
        </w:rPr>
        <w:t>artículo</w:t>
      </w:r>
      <w:r w:rsidR="005F2C92">
        <w:rPr>
          <w:rFonts w:ascii="Arial" w:eastAsia="Calibri" w:hAnsi="Arial" w:cs="Arial"/>
          <w:bCs/>
          <w:i/>
          <w:iCs/>
          <w:sz w:val="24"/>
          <w:szCs w:val="24"/>
        </w:rPr>
        <w:t xml:space="preserve"> 98 de (sic) referido </w:t>
      </w:r>
      <w:r w:rsidR="005B4AA8">
        <w:rPr>
          <w:rFonts w:ascii="Arial" w:eastAsia="Calibri" w:hAnsi="Arial" w:cs="Arial"/>
          <w:bCs/>
          <w:i/>
          <w:iCs/>
          <w:sz w:val="24"/>
          <w:szCs w:val="24"/>
        </w:rPr>
        <w:t>Reglamento</w:t>
      </w:r>
      <w:r w:rsidR="005F2C92">
        <w:rPr>
          <w:rFonts w:ascii="Arial" w:eastAsia="Calibri" w:hAnsi="Arial" w:cs="Arial"/>
          <w:bCs/>
          <w:i/>
          <w:iCs/>
          <w:sz w:val="24"/>
          <w:szCs w:val="24"/>
        </w:rPr>
        <w:t xml:space="preserve">, que hace mención a los propietarios de los estacionamientos; de donde el acta de </w:t>
      </w:r>
      <w:r w:rsidR="005B4AA8">
        <w:rPr>
          <w:rFonts w:ascii="Arial" w:eastAsia="Calibri" w:hAnsi="Arial" w:cs="Arial"/>
          <w:bCs/>
          <w:i/>
          <w:iCs/>
          <w:sz w:val="24"/>
          <w:szCs w:val="24"/>
        </w:rPr>
        <w:t>infracción</w:t>
      </w:r>
      <w:r w:rsidR="005F2C92">
        <w:rPr>
          <w:rFonts w:ascii="Arial" w:eastAsia="Calibri" w:hAnsi="Arial" w:cs="Arial"/>
          <w:bCs/>
          <w:i/>
          <w:iCs/>
          <w:sz w:val="24"/>
          <w:szCs w:val="24"/>
        </w:rPr>
        <w:t xml:space="preserve"> es ilegal al violar lo </w:t>
      </w:r>
      <w:r w:rsidR="005B4AA8">
        <w:rPr>
          <w:rFonts w:ascii="Arial" w:eastAsia="Calibri" w:hAnsi="Arial" w:cs="Arial"/>
          <w:bCs/>
          <w:i/>
          <w:iCs/>
          <w:sz w:val="24"/>
          <w:szCs w:val="24"/>
        </w:rPr>
        <w:t>dispuesto</w:t>
      </w:r>
      <w:r w:rsidR="005F2C92">
        <w:rPr>
          <w:rFonts w:ascii="Arial" w:eastAsia="Calibri" w:hAnsi="Arial" w:cs="Arial"/>
          <w:bCs/>
          <w:i/>
          <w:iCs/>
          <w:sz w:val="24"/>
          <w:szCs w:val="24"/>
        </w:rPr>
        <w:t xml:space="preserve"> en el </w:t>
      </w:r>
      <w:r w:rsidR="005B4AA8">
        <w:rPr>
          <w:rFonts w:ascii="Arial" w:eastAsia="Calibri" w:hAnsi="Arial" w:cs="Arial"/>
          <w:bCs/>
          <w:i/>
          <w:iCs/>
          <w:sz w:val="24"/>
          <w:szCs w:val="24"/>
        </w:rPr>
        <w:t>artículo</w:t>
      </w:r>
      <w:r w:rsidR="005F2C92">
        <w:rPr>
          <w:rFonts w:ascii="Arial" w:eastAsia="Calibri" w:hAnsi="Arial" w:cs="Arial"/>
          <w:bCs/>
          <w:i/>
          <w:iCs/>
          <w:sz w:val="24"/>
          <w:szCs w:val="24"/>
        </w:rPr>
        <w:t xml:space="preserve"> 16 </w:t>
      </w:r>
      <w:r w:rsidR="005B4AA8">
        <w:rPr>
          <w:rFonts w:ascii="Arial" w:eastAsia="Calibri" w:hAnsi="Arial" w:cs="Arial"/>
          <w:bCs/>
          <w:i/>
          <w:iCs/>
          <w:sz w:val="24"/>
          <w:szCs w:val="24"/>
        </w:rPr>
        <w:t>fracción</w:t>
      </w:r>
      <w:r w:rsidR="005F2C92">
        <w:rPr>
          <w:rFonts w:ascii="Arial" w:eastAsia="Calibri" w:hAnsi="Arial" w:cs="Arial"/>
          <w:bCs/>
          <w:i/>
          <w:iCs/>
          <w:sz w:val="24"/>
          <w:szCs w:val="24"/>
        </w:rPr>
        <w:t xml:space="preserve"> II del Reglamento de </w:t>
      </w:r>
      <w:r w:rsidR="005B4AA8">
        <w:rPr>
          <w:rFonts w:ascii="Arial" w:eastAsia="Calibri" w:hAnsi="Arial" w:cs="Arial"/>
          <w:bCs/>
          <w:i/>
          <w:iCs/>
          <w:sz w:val="24"/>
          <w:szCs w:val="24"/>
        </w:rPr>
        <w:t>Vialidad</w:t>
      </w:r>
      <w:r w:rsidR="005F2C92">
        <w:rPr>
          <w:rFonts w:ascii="Arial" w:eastAsia="Calibri" w:hAnsi="Arial" w:cs="Arial"/>
          <w:bCs/>
          <w:i/>
          <w:iCs/>
          <w:sz w:val="24"/>
          <w:szCs w:val="24"/>
        </w:rPr>
        <w:t xml:space="preserve"> para el </w:t>
      </w:r>
      <w:r w:rsidR="005B4AA8">
        <w:rPr>
          <w:rFonts w:ascii="Arial" w:eastAsia="Calibri" w:hAnsi="Arial" w:cs="Arial"/>
          <w:bCs/>
          <w:i/>
          <w:iCs/>
          <w:sz w:val="24"/>
          <w:szCs w:val="24"/>
        </w:rPr>
        <w:t>Municipio</w:t>
      </w:r>
      <w:r w:rsidR="005F2C92">
        <w:rPr>
          <w:rFonts w:ascii="Arial" w:eastAsia="Calibri" w:hAnsi="Arial" w:cs="Arial"/>
          <w:bCs/>
          <w:i/>
          <w:iCs/>
          <w:sz w:val="24"/>
          <w:szCs w:val="24"/>
        </w:rPr>
        <w:t xml:space="preserve"> de Oaxaca de </w:t>
      </w:r>
      <w:r w:rsidR="005B4AA8">
        <w:rPr>
          <w:rFonts w:ascii="Arial" w:eastAsia="Calibri" w:hAnsi="Arial" w:cs="Arial"/>
          <w:bCs/>
          <w:i/>
          <w:iCs/>
          <w:sz w:val="24"/>
          <w:szCs w:val="24"/>
        </w:rPr>
        <w:t>Juárez</w:t>
      </w:r>
      <w:r w:rsidR="005F2C92">
        <w:rPr>
          <w:rFonts w:ascii="Arial" w:eastAsia="Calibri" w:hAnsi="Arial" w:cs="Arial"/>
          <w:bCs/>
          <w:i/>
          <w:iCs/>
          <w:sz w:val="24"/>
          <w:szCs w:val="24"/>
        </w:rPr>
        <w:t xml:space="preserve"> vigente, el cual para mayor </w:t>
      </w:r>
      <w:r w:rsidR="00CD353C">
        <w:rPr>
          <w:rFonts w:ascii="Arial" w:eastAsia="Calibri" w:hAnsi="Arial" w:cs="Arial"/>
          <w:bCs/>
          <w:i/>
          <w:iCs/>
          <w:sz w:val="24"/>
          <w:szCs w:val="24"/>
        </w:rPr>
        <w:t>comprensión se transcr</w:t>
      </w:r>
      <w:r w:rsidR="00E57ACD">
        <w:rPr>
          <w:rFonts w:ascii="Arial" w:eastAsia="Calibri" w:hAnsi="Arial" w:cs="Arial"/>
          <w:bCs/>
          <w:i/>
          <w:iCs/>
          <w:sz w:val="24"/>
          <w:szCs w:val="24"/>
        </w:rPr>
        <w:t>ibe: (…)</w:t>
      </w:r>
    </w:p>
    <w:p w14:paraId="11B071BE" w14:textId="28B323A8" w:rsidR="00E57ACD" w:rsidRPr="005E74C5" w:rsidRDefault="00E57ACD" w:rsidP="005B597F">
      <w:pPr>
        <w:spacing w:before="240" w:line="360" w:lineRule="auto"/>
        <w:ind w:left="1134" w:right="616"/>
        <w:jc w:val="both"/>
        <w:rPr>
          <w:rFonts w:ascii="Arial" w:eastAsia="Calibri" w:hAnsi="Arial" w:cs="Arial"/>
          <w:bCs/>
          <w:i/>
          <w:iCs/>
          <w:sz w:val="23"/>
          <w:szCs w:val="23"/>
        </w:rPr>
      </w:pPr>
      <w:r>
        <w:rPr>
          <w:rFonts w:ascii="Arial" w:eastAsia="Calibri" w:hAnsi="Arial" w:cs="Arial"/>
          <w:bCs/>
          <w:i/>
          <w:iCs/>
          <w:sz w:val="24"/>
          <w:szCs w:val="24"/>
        </w:rPr>
        <w:t xml:space="preserve">De lo anterior se desprende que </w:t>
      </w:r>
      <w:r w:rsidR="005B4AA8">
        <w:rPr>
          <w:rFonts w:ascii="Arial" w:eastAsia="Calibri" w:hAnsi="Arial" w:cs="Arial"/>
          <w:bCs/>
          <w:i/>
          <w:iCs/>
          <w:sz w:val="24"/>
          <w:szCs w:val="24"/>
        </w:rPr>
        <w:t>resulta</w:t>
      </w:r>
      <w:r>
        <w:rPr>
          <w:rFonts w:ascii="Arial" w:eastAsia="Calibri" w:hAnsi="Arial" w:cs="Arial"/>
          <w:bCs/>
          <w:i/>
          <w:iCs/>
          <w:sz w:val="24"/>
          <w:szCs w:val="24"/>
        </w:rPr>
        <w:t xml:space="preserve"> fundado el concepto de </w:t>
      </w:r>
      <w:r w:rsidR="005B4AA8">
        <w:rPr>
          <w:rFonts w:ascii="Arial" w:eastAsia="Calibri" w:hAnsi="Arial" w:cs="Arial"/>
          <w:bCs/>
          <w:i/>
          <w:iCs/>
          <w:sz w:val="24"/>
          <w:szCs w:val="24"/>
        </w:rPr>
        <w:t>impugnación</w:t>
      </w:r>
      <w:r>
        <w:rPr>
          <w:rFonts w:ascii="Arial" w:eastAsia="Calibri" w:hAnsi="Arial" w:cs="Arial"/>
          <w:bCs/>
          <w:i/>
          <w:iCs/>
          <w:sz w:val="24"/>
          <w:szCs w:val="24"/>
        </w:rPr>
        <w:t xml:space="preserve"> hecho valer por la actora en el sentido de que el acta de </w:t>
      </w:r>
      <w:r w:rsidR="005B4AA8">
        <w:rPr>
          <w:rFonts w:ascii="Arial" w:eastAsia="Calibri" w:hAnsi="Arial" w:cs="Arial"/>
          <w:bCs/>
          <w:i/>
          <w:iCs/>
          <w:sz w:val="24"/>
          <w:szCs w:val="24"/>
        </w:rPr>
        <w:t>infracción</w:t>
      </w:r>
      <w:r>
        <w:rPr>
          <w:rFonts w:ascii="Arial" w:eastAsia="Calibri" w:hAnsi="Arial" w:cs="Arial"/>
          <w:bCs/>
          <w:i/>
          <w:iCs/>
          <w:sz w:val="24"/>
          <w:szCs w:val="24"/>
        </w:rPr>
        <w:t xml:space="preserve"> impugnada no satisface el requisito fundamentación y motivación que exigen la fracción V, del </w:t>
      </w:r>
      <w:r w:rsidR="005B4AA8">
        <w:rPr>
          <w:rFonts w:ascii="Arial" w:eastAsia="Calibri" w:hAnsi="Arial" w:cs="Arial"/>
          <w:bCs/>
          <w:i/>
          <w:iCs/>
          <w:sz w:val="24"/>
          <w:szCs w:val="24"/>
        </w:rPr>
        <w:t>artículo</w:t>
      </w:r>
      <w:r>
        <w:rPr>
          <w:rFonts w:ascii="Arial" w:eastAsia="Calibri" w:hAnsi="Arial" w:cs="Arial"/>
          <w:bCs/>
          <w:i/>
          <w:iCs/>
          <w:sz w:val="24"/>
          <w:szCs w:val="24"/>
        </w:rPr>
        <w:t xml:space="preserve"> 17 de la Ley de </w:t>
      </w:r>
      <w:r w:rsidR="005B4AA8">
        <w:rPr>
          <w:rFonts w:ascii="Arial" w:eastAsia="Calibri" w:hAnsi="Arial" w:cs="Arial"/>
          <w:bCs/>
          <w:i/>
          <w:iCs/>
          <w:sz w:val="24"/>
          <w:szCs w:val="24"/>
        </w:rPr>
        <w:t>Procedimiento</w:t>
      </w:r>
      <w:r>
        <w:rPr>
          <w:rFonts w:ascii="Arial" w:eastAsia="Calibri" w:hAnsi="Arial" w:cs="Arial"/>
          <w:bCs/>
          <w:i/>
          <w:iCs/>
          <w:sz w:val="24"/>
          <w:szCs w:val="24"/>
        </w:rPr>
        <w:t xml:space="preserve"> de Justicia </w:t>
      </w:r>
      <w:r w:rsidR="005B4AA8">
        <w:rPr>
          <w:rFonts w:ascii="Arial" w:eastAsia="Calibri" w:hAnsi="Arial" w:cs="Arial"/>
          <w:bCs/>
          <w:i/>
          <w:iCs/>
          <w:sz w:val="24"/>
          <w:szCs w:val="24"/>
        </w:rPr>
        <w:t>Administrativa</w:t>
      </w:r>
      <w:r>
        <w:rPr>
          <w:rFonts w:ascii="Arial" w:eastAsia="Calibri" w:hAnsi="Arial" w:cs="Arial"/>
          <w:bCs/>
          <w:i/>
          <w:iCs/>
          <w:sz w:val="24"/>
          <w:szCs w:val="24"/>
        </w:rPr>
        <w:t xml:space="preserve"> para el Estado de Oaxaca, toda vez, que no hace una descripción clara, precisa y completa de la conducta  de la parte actora para encuadrarla en la hipótesis legal infringida, ya que no señala las razones </w:t>
      </w:r>
      <w:r w:rsidR="005B4AA8">
        <w:rPr>
          <w:rFonts w:ascii="Arial" w:eastAsia="Calibri" w:hAnsi="Arial" w:cs="Arial"/>
          <w:bCs/>
          <w:i/>
          <w:iCs/>
          <w:sz w:val="24"/>
          <w:szCs w:val="24"/>
        </w:rPr>
        <w:t>particulares</w:t>
      </w:r>
      <w:r>
        <w:rPr>
          <w:rFonts w:ascii="Arial" w:eastAsia="Calibri" w:hAnsi="Arial" w:cs="Arial"/>
          <w:bCs/>
          <w:i/>
          <w:iCs/>
          <w:sz w:val="24"/>
          <w:szCs w:val="24"/>
        </w:rPr>
        <w:t xml:space="preserve">, causas inmediatas y circunstancias especiales de qué forma arribó a la </w:t>
      </w:r>
      <w:r w:rsidR="005B4AA8">
        <w:rPr>
          <w:rFonts w:ascii="Arial" w:eastAsia="Calibri" w:hAnsi="Arial" w:cs="Arial"/>
          <w:bCs/>
          <w:i/>
          <w:iCs/>
          <w:sz w:val="24"/>
          <w:szCs w:val="24"/>
        </w:rPr>
        <w:t>determinación</w:t>
      </w:r>
      <w:r>
        <w:rPr>
          <w:rFonts w:ascii="Arial" w:eastAsia="Calibri" w:hAnsi="Arial" w:cs="Arial"/>
          <w:bCs/>
          <w:i/>
          <w:iCs/>
          <w:sz w:val="24"/>
          <w:szCs w:val="24"/>
        </w:rPr>
        <w:t xml:space="preserve"> del actor, se colocó en el hecho </w:t>
      </w:r>
      <w:r w:rsidR="005B4AA8">
        <w:rPr>
          <w:rFonts w:ascii="Arial" w:eastAsia="Calibri" w:hAnsi="Arial" w:cs="Arial"/>
          <w:bCs/>
          <w:i/>
          <w:iCs/>
          <w:sz w:val="24"/>
          <w:szCs w:val="24"/>
        </w:rPr>
        <w:t>generador</w:t>
      </w:r>
      <w:r>
        <w:rPr>
          <w:rFonts w:ascii="Arial" w:eastAsia="Calibri" w:hAnsi="Arial" w:cs="Arial"/>
          <w:bCs/>
          <w:i/>
          <w:iCs/>
          <w:sz w:val="24"/>
          <w:szCs w:val="24"/>
        </w:rPr>
        <w:t xml:space="preserve"> de la </w:t>
      </w:r>
      <w:r w:rsidR="005B4AA8">
        <w:rPr>
          <w:rFonts w:ascii="Arial" w:eastAsia="Calibri" w:hAnsi="Arial" w:cs="Arial"/>
          <w:bCs/>
          <w:i/>
          <w:iCs/>
          <w:sz w:val="24"/>
          <w:szCs w:val="24"/>
        </w:rPr>
        <w:t>infracción</w:t>
      </w:r>
      <w:r>
        <w:rPr>
          <w:rFonts w:ascii="Arial" w:eastAsia="Calibri" w:hAnsi="Arial" w:cs="Arial"/>
          <w:bCs/>
          <w:i/>
          <w:iCs/>
          <w:sz w:val="24"/>
          <w:szCs w:val="24"/>
        </w:rPr>
        <w:t xml:space="preserve">, para resultar ser sujeto obligado a tal falta administrativa tipificada dentro del </w:t>
      </w:r>
      <w:r w:rsidR="005B4AA8">
        <w:rPr>
          <w:rFonts w:ascii="Arial" w:eastAsia="Calibri" w:hAnsi="Arial" w:cs="Arial"/>
          <w:bCs/>
          <w:i/>
          <w:iCs/>
          <w:sz w:val="24"/>
          <w:szCs w:val="24"/>
        </w:rPr>
        <w:t>referido</w:t>
      </w:r>
      <w:r>
        <w:rPr>
          <w:rFonts w:ascii="Arial" w:eastAsia="Calibri" w:hAnsi="Arial" w:cs="Arial"/>
          <w:bCs/>
          <w:i/>
          <w:iCs/>
          <w:sz w:val="24"/>
          <w:szCs w:val="24"/>
        </w:rPr>
        <w:t xml:space="preserve"> Reglamento; amén de no señalar las circunstancias de modo, tiempo y lugar en que </w:t>
      </w:r>
      <w:r w:rsidR="005B4AA8">
        <w:rPr>
          <w:rFonts w:ascii="Arial" w:eastAsia="Calibri" w:hAnsi="Arial" w:cs="Arial"/>
          <w:bCs/>
          <w:i/>
          <w:iCs/>
          <w:sz w:val="24"/>
          <w:szCs w:val="24"/>
        </w:rPr>
        <w:t>acontecieron</w:t>
      </w:r>
      <w:r>
        <w:rPr>
          <w:rFonts w:ascii="Arial" w:eastAsia="Calibri" w:hAnsi="Arial" w:cs="Arial"/>
          <w:bCs/>
          <w:i/>
          <w:iCs/>
          <w:sz w:val="24"/>
          <w:szCs w:val="24"/>
        </w:rPr>
        <w:t xml:space="preserve"> los hechos, ya que únicamente se limitó a invocar el fundamento de su actuar, más no hizo referencia en la motivación de los  hechos ocurridos, que lo llevaron a esa </w:t>
      </w:r>
      <w:r w:rsidR="005B4AA8">
        <w:rPr>
          <w:rFonts w:ascii="Arial" w:eastAsia="Calibri" w:hAnsi="Arial" w:cs="Arial"/>
          <w:bCs/>
          <w:i/>
          <w:iCs/>
          <w:sz w:val="24"/>
          <w:szCs w:val="24"/>
        </w:rPr>
        <w:t>conclusión</w:t>
      </w:r>
      <w:r>
        <w:rPr>
          <w:rFonts w:ascii="Arial" w:eastAsia="Calibri" w:hAnsi="Arial" w:cs="Arial"/>
          <w:bCs/>
          <w:i/>
          <w:iCs/>
          <w:sz w:val="24"/>
          <w:szCs w:val="24"/>
        </w:rPr>
        <w:t xml:space="preserve">, provocando la ilegalidad del acta de </w:t>
      </w:r>
      <w:r w:rsidR="005B4AA8">
        <w:rPr>
          <w:rFonts w:ascii="Arial" w:eastAsia="Calibri" w:hAnsi="Arial" w:cs="Arial"/>
          <w:bCs/>
          <w:i/>
          <w:iCs/>
          <w:sz w:val="24"/>
          <w:szCs w:val="24"/>
        </w:rPr>
        <w:t>infracción</w:t>
      </w:r>
      <w:r>
        <w:rPr>
          <w:rFonts w:ascii="Arial" w:eastAsia="Calibri" w:hAnsi="Arial" w:cs="Arial"/>
          <w:bCs/>
          <w:i/>
          <w:iCs/>
          <w:sz w:val="24"/>
          <w:szCs w:val="24"/>
        </w:rPr>
        <w:t xml:space="preserve">, dejando al administrado en estado de indefensión al incumplir la obligación de fundar y motivar. (invoca criterio jurisprudencial) </w:t>
      </w:r>
      <w:r w:rsidRPr="005E74C5">
        <w:rPr>
          <w:rFonts w:ascii="Arial" w:eastAsia="Calibri" w:hAnsi="Arial" w:cs="Arial"/>
          <w:b/>
          <w:bCs/>
          <w:i/>
          <w:iCs/>
          <w:sz w:val="23"/>
          <w:szCs w:val="23"/>
        </w:rPr>
        <w:t>“TRANSITO MULTAS POR VIOLACIÓN AL REGLAMENTO DE”</w:t>
      </w:r>
      <w:r w:rsidRPr="005E74C5">
        <w:rPr>
          <w:rFonts w:ascii="Arial" w:eastAsia="Calibri" w:hAnsi="Arial" w:cs="Arial"/>
          <w:bCs/>
          <w:i/>
          <w:iCs/>
          <w:sz w:val="23"/>
          <w:szCs w:val="23"/>
        </w:rPr>
        <w:t>.</w:t>
      </w:r>
    </w:p>
    <w:p w14:paraId="176591D9" w14:textId="4868C9A1" w:rsidR="00985FF1" w:rsidRDefault="00E57ACD" w:rsidP="005B597F">
      <w:pPr>
        <w:spacing w:before="240" w:line="360" w:lineRule="auto"/>
        <w:ind w:left="1134" w:right="616"/>
        <w:jc w:val="both"/>
        <w:rPr>
          <w:rFonts w:ascii="Arial" w:eastAsia="Calibri" w:hAnsi="Arial" w:cs="Arial"/>
          <w:bCs/>
          <w:i/>
          <w:iCs/>
          <w:sz w:val="24"/>
          <w:szCs w:val="24"/>
        </w:rPr>
      </w:pPr>
      <w:r>
        <w:rPr>
          <w:rFonts w:ascii="Arial" w:eastAsia="Calibri" w:hAnsi="Arial" w:cs="Arial"/>
          <w:bCs/>
          <w:i/>
          <w:iCs/>
          <w:sz w:val="24"/>
          <w:szCs w:val="24"/>
        </w:rPr>
        <w:t xml:space="preserve">En esa tesitura, con fundamento en lo </w:t>
      </w:r>
      <w:r w:rsidR="005B4AA8">
        <w:rPr>
          <w:rFonts w:ascii="Arial" w:eastAsia="Calibri" w:hAnsi="Arial" w:cs="Arial"/>
          <w:bCs/>
          <w:i/>
          <w:iCs/>
          <w:sz w:val="24"/>
          <w:szCs w:val="24"/>
        </w:rPr>
        <w:t>dispuesto</w:t>
      </w:r>
      <w:r>
        <w:rPr>
          <w:rFonts w:ascii="Arial" w:eastAsia="Calibri" w:hAnsi="Arial" w:cs="Arial"/>
          <w:bCs/>
          <w:i/>
          <w:iCs/>
          <w:sz w:val="24"/>
          <w:szCs w:val="24"/>
        </w:rPr>
        <w:t xml:space="preserve"> por el </w:t>
      </w:r>
      <w:r w:rsidR="005B4AA8">
        <w:rPr>
          <w:rFonts w:ascii="Arial" w:eastAsia="Calibri" w:hAnsi="Arial" w:cs="Arial"/>
          <w:bCs/>
          <w:i/>
          <w:iCs/>
          <w:sz w:val="24"/>
          <w:szCs w:val="24"/>
        </w:rPr>
        <w:t>artículo</w:t>
      </w:r>
      <w:r>
        <w:rPr>
          <w:rFonts w:ascii="Arial" w:eastAsia="Calibri" w:hAnsi="Arial" w:cs="Arial"/>
          <w:bCs/>
          <w:i/>
          <w:iCs/>
          <w:sz w:val="24"/>
          <w:szCs w:val="24"/>
        </w:rPr>
        <w:t xml:space="preserve"> 208 </w:t>
      </w:r>
      <w:r w:rsidR="005B4AA8">
        <w:rPr>
          <w:rFonts w:ascii="Arial" w:eastAsia="Calibri" w:hAnsi="Arial" w:cs="Arial"/>
          <w:bCs/>
          <w:i/>
          <w:iCs/>
          <w:sz w:val="24"/>
          <w:szCs w:val="24"/>
        </w:rPr>
        <w:t>fracción</w:t>
      </w:r>
      <w:r>
        <w:rPr>
          <w:rFonts w:ascii="Arial" w:eastAsia="Calibri" w:hAnsi="Arial" w:cs="Arial"/>
          <w:bCs/>
          <w:i/>
          <w:iCs/>
          <w:sz w:val="24"/>
          <w:szCs w:val="24"/>
        </w:rPr>
        <w:t xml:space="preserve"> VI, de la Ley de </w:t>
      </w:r>
      <w:r w:rsidR="005B4AA8">
        <w:rPr>
          <w:rFonts w:ascii="Arial" w:eastAsia="Calibri" w:hAnsi="Arial" w:cs="Arial"/>
          <w:bCs/>
          <w:i/>
          <w:iCs/>
          <w:sz w:val="24"/>
          <w:szCs w:val="24"/>
        </w:rPr>
        <w:t>Procedimiento</w:t>
      </w:r>
      <w:r>
        <w:rPr>
          <w:rFonts w:ascii="Arial" w:eastAsia="Calibri" w:hAnsi="Arial" w:cs="Arial"/>
          <w:bCs/>
          <w:i/>
          <w:iCs/>
          <w:sz w:val="24"/>
          <w:szCs w:val="24"/>
        </w:rPr>
        <w:t xml:space="preserve"> y Justicia </w:t>
      </w:r>
      <w:r w:rsidR="005B4AA8">
        <w:rPr>
          <w:rFonts w:ascii="Arial" w:eastAsia="Calibri" w:hAnsi="Arial" w:cs="Arial"/>
          <w:bCs/>
          <w:i/>
          <w:iCs/>
          <w:sz w:val="24"/>
          <w:szCs w:val="24"/>
        </w:rPr>
        <w:t>Administrativa</w:t>
      </w:r>
      <w:r>
        <w:rPr>
          <w:rFonts w:ascii="Arial" w:eastAsia="Calibri" w:hAnsi="Arial" w:cs="Arial"/>
          <w:bCs/>
          <w:i/>
          <w:iCs/>
          <w:sz w:val="24"/>
          <w:szCs w:val="24"/>
        </w:rPr>
        <w:t xml:space="preserve"> para el Estado de Oaxaca, se declara la </w:t>
      </w:r>
      <w:r w:rsidRPr="005E74C5">
        <w:rPr>
          <w:rFonts w:ascii="Arial" w:eastAsia="Calibri" w:hAnsi="Arial" w:cs="Arial"/>
          <w:b/>
          <w:bCs/>
          <w:i/>
          <w:iCs/>
          <w:sz w:val="24"/>
          <w:szCs w:val="24"/>
        </w:rPr>
        <w:t>NULIDAD LISA Y LLANA</w:t>
      </w:r>
      <w:r>
        <w:rPr>
          <w:rFonts w:ascii="Arial" w:eastAsia="Calibri" w:hAnsi="Arial" w:cs="Arial"/>
          <w:bCs/>
          <w:i/>
          <w:iCs/>
          <w:sz w:val="24"/>
          <w:szCs w:val="24"/>
        </w:rPr>
        <w:t xml:space="preserve"> del acta de </w:t>
      </w:r>
      <w:r w:rsidR="005B4AA8">
        <w:rPr>
          <w:rFonts w:ascii="Arial" w:eastAsia="Calibri" w:hAnsi="Arial" w:cs="Arial"/>
          <w:bCs/>
          <w:i/>
          <w:iCs/>
          <w:sz w:val="24"/>
          <w:szCs w:val="24"/>
        </w:rPr>
        <w:t>infracción</w:t>
      </w:r>
      <w:r>
        <w:rPr>
          <w:rFonts w:ascii="Arial" w:eastAsia="Calibri" w:hAnsi="Arial" w:cs="Arial"/>
          <w:bCs/>
          <w:i/>
          <w:iCs/>
          <w:sz w:val="24"/>
          <w:szCs w:val="24"/>
        </w:rPr>
        <w:t xml:space="preserve"> con número de folio </w:t>
      </w:r>
      <w:r w:rsidRPr="005E74C5">
        <w:rPr>
          <w:rFonts w:ascii="Arial" w:eastAsia="Calibri" w:hAnsi="Arial" w:cs="Arial"/>
          <w:b/>
          <w:bCs/>
          <w:i/>
          <w:iCs/>
          <w:sz w:val="24"/>
          <w:szCs w:val="24"/>
        </w:rPr>
        <w:t>01683 de fecha seis de agosto de dos mil diecinueve (06/08/2019),</w:t>
      </w:r>
      <w:r>
        <w:rPr>
          <w:rFonts w:ascii="Arial" w:eastAsia="Calibri" w:hAnsi="Arial" w:cs="Arial"/>
          <w:bCs/>
          <w:i/>
          <w:iCs/>
          <w:sz w:val="24"/>
          <w:szCs w:val="24"/>
        </w:rPr>
        <w:t xml:space="preserve"> emitida por </w:t>
      </w:r>
      <w:r w:rsidRPr="005E74C5">
        <w:rPr>
          <w:rFonts w:ascii="Arial" w:eastAsia="Calibri" w:hAnsi="Arial" w:cs="Arial"/>
          <w:b/>
          <w:bCs/>
          <w:i/>
          <w:iCs/>
          <w:sz w:val="24"/>
          <w:szCs w:val="24"/>
        </w:rPr>
        <w:t xml:space="preserve">ERIK CRUZ </w:t>
      </w:r>
      <w:r w:rsidRPr="005E74C5">
        <w:rPr>
          <w:rFonts w:ascii="Arial" w:eastAsia="Calibri" w:hAnsi="Arial" w:cs="Arial"/>
          <w:b/>
          <w:bCs/>
          <w:i/>
          <w:iCs/>
          <w:sz w:val="24"/>
          <w:szCs w:val="24"/>
        </w:rPr>
        <w:lastRenderedPageBreak/>
        <w:t>CASTELLANOS</w:t>
      </w:r>
      <w:r w:rsidR="00F1764F" w:rsidRPr="005E74C5">
        <w:rPr>
          <w:rFonts w:ascii="Arial" w:eastAsia="Calibri" w:hAnsi="Arial" w:cs="Arial"/>
          <w:b/>
          <w:bCs/>
          <w:i/>
          <w:iCs/>
          <w:sz w:val="24"/>
          <w:szCs w:val="24"/>
        </w:rPr>
        <w:t>, POLICÍA VIAL PV-206 ADSCRITO A LA COMISARÍA DE VIALIDAD Y PROTECCIÓN CIUDADANA DEL MUNICIPIO DE OAXACA DE JUÁREZ</w:t>
      </w:r>
      <w:r w:rsidR="00716A80" w:rsidRPr="00716A80">
        <w:rPr>
          <w:rFonts w:ascii="Arial" w:eastAsia="Calibri" w:hAnsi="Arial" w:cs="Arial"/>
          <w:bCs/>
          <w:i/>
          <w:iCs/>
          <w:sz w:val="24"/>
          <w:szCs w:val="24"/>
        </w:rPr>
        <w:t>…</w:t>
      </w:r>
      <w:r w:rsidR="003606C9">
        <w:rPr>
          <w:rFonts w:ascii="Arial" w:eastAsia="Calibri" w:hAnsi="Arial" w:cs="Arial"/>
          <w:bCs/>
          <w:sz w:val="26"/>
          <w:szCs w:val="26"/>
        </w:rPr>
        <w:t>”</w:t>
      </w:r>
    </w:p>
    <w:p w14:paraId="2B2B3EDF" w14:textId="6819ADCF" w:rsidR="00A24358" w:rsidRDefault="00072A51" w:rsidP="00A2435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u w:val="single"/>
        </w:rPr>
        <w:t>En s</w:t>
      </w:r>
      <w:r w:rsidR="003606C9" w:rsidRPr="003606C9">
        <w:rPr>
          <w:rFonts w:ascii="Arial" w:eastAsia="Calibri" w:hAnsi="Arial" w:cs="Arial"/>
          <w:bCs/>
          <w:sz w:val="26"/>
          <w:szCs w:val="26"/>
          <w:u w:val="single"/>
        </w:rPr>
        <w:t>egundo</w:t>
      </w:r>
      <w:r>
        <w:rPr>
          <w:rFonts w:ascii="Arial" w:eastAsia="Calibri" w:hAnsi="Arial" w:cs="Arial"/>
          <w:bCs/>
          <w:sz w:val="26"/>
          <w:szCs w:val="26"/>
          <w:u w:val="single"/>
        </w:rPr>
        <w:t xml:space="preserve"> lugar</w:t>
      </w:r>
      <w:r w:rsidR="003606C9">
        <w:rPr>
          <w:rFonts w:ascii="Arial" w:eastAsia="Calibri" w:hAnsi="Arial" w:cs="Arial"/>
          <w:bCs/>
          <w:sz w:val="26"/>
          <w:szCs w:val="26"/>
        </w:rPr>
        <w:t xml:space="preserve">, </w:t>
      </w:r>
      <w:r w:rsidR="00E52319">
        <w:rPr>
          <w:rFonts w:ascii="Arial" w:eastAsia="Calibri" w:hAnsi="Arial" w:cs="Arial"/>
          <w:bCs/>
          <w:sz w:val="26"/>
          <w:szCs w:val="26"/>
        </w:rPr>
        <w:t>también es importante precisar que contrario a lo q</w:t>
      </w:r>
      <w:r w:rsidR="00A351D0">
        <w:rPr>
          <w:rFonts w:ascii="Arial" w:eastAsia="Calibri" w:hAnsi="Arial" w:cs="Arial"/>
          <w:bCs/>
          <w:sz w:val="26"/>
          <w:szCs w:val="26"/>
        </w:rPr>
        <w:t>ue manifiesta el recurrente,</w:t>
      </w:r>
      <w:r w:rsidR="00E52319">
        <w:rPr>
          <w:rFonts w:ascii="Arial" w:eastAsia="Calibri" w:hAnsi="Arial" w:cs="Arial"/>
          <w:bCs/>
          <w:sz w:val="26"/>
          <w:szCs w:val="26"/>
        </w:rPr>
        <w:t xml:space="preserve"> conforme al artículo149</w:t>
      </w:r>
      <w:r w:rsidR="00E52319">
        <w:rPr>
          <w:rStyle w:val="Refdenotaalpie"/>
          <w:rFonts w:ascii="Arial" w:eastAsia="Calibri" w:hAnsi="Arial" w:cs="Arial"/>
          <w:bCs/>
          <w:sz w:val="26"/>
          <w:szCs w:val="26"/>
        </w:rPr>
        <w:footnoteReference w:id="2"/>
      </w:r>
      <w:r w:rsidR="00E52319">
        <w:rPr>
          <w:rFonts w:ascii="Arial" w:eastAsia="Calibri" w:hAnsi="Arial" w:cs="Arial"/>
          <w:bCs/>
          <w:sz w:val="26"/>
          <w:szCs w:val="26"/>
        </w:rPr>
        <w:t xml:space="preserve"> de la Ley de Procedimiento y Justicia Administrativa para el Estado de Oaxaca</w:t>
      </w:r>
      <w:r w:rsidR="003165F9">
        <w:rPr>
          <w:rFonts w:ascii="Arial" w:eastAsia="Calibri" w:hAnsi="Arial" w:cs="Arial"/>
          <w:bCs/>
          <w:sz w:val="26"/>
          <w:szCs w:val="26"/>
        </w:rPr>
        <w:t>,</w:t>
      </w:r>
      <w:r w:rsidR="00E52319">
        <w:rPr>
          <w:rFonts w:ascii="Arial" w:eastAsia="Calibri" w:hAnsi="Arial" w:cs="Arial"/>
          <w:bCs/>
          <w:sz w:val="26"/>
          <w:szCs w:val="26"/>
        </w:rPr>
        <w:t xml:space="preserve"> sí es procedente la figura jurídica de suplencia de la queja</w:t>
      </w:r>
      <w:r w:rsidR="00A351D0">
        <w:rPr>
          <w:rFonts w:ascii="Arial" w:eastAsia="Calibri" w:hAnsi="Arial" w:cs="Arial"/>
          <w:bCs/>
          <w:sz w:val="26"/>
          <w:szCs w:val="26"/>
        </w:rPr>
        <w:t xml:space="preserve"> en el juicio contencioso administrativo</w:t>
      </w:r>
      <w:r w:rsidR="00E52319">
        <w:rPr>
          <w:rFonts w:ascii="Arial" w:eastAsia="Calibri" w:hAnsi="Arial" w:cs="Arial"/>
          <w:bCs/>
          <w:sz w:val="26"/>
          <w:szCs w:val="26"/>
        </w:rPr>
        <w:t xml:space="preserve">, siempre y cuando se trate del administrado; sin embargo, en este caso en concreto, </w:t>
      </w:r>
      <w:r w:rsidR="003606C9">
        <w:rPr>
          <w:rFonts w:ascii="Arial" w:eastAsia="Calibri" w:hAnsi="Arial" w:cs="Arial"/>
          <w:bCs/>
          <w:sz w:val="26"/>
          <w:szCs w:val="26"/>
        </w:rPr>
        <w:t>la Primera Instancia n</w:t>
      </w:r>
      <w:r w:rsidR="00E52319">
        <w:rPr>
          <w:rFonts w:ascii="Arial" w:eastAsia="Calibri" w:hAnsi="Arial" w:cs="Arial"/>
          <w:bCs/>
          <w:sz w:val="26"/>
          <w:szCs w:val="26"/>
        </w:rPr>
        <w:t>o realizó suplencia de la queja</w:t>
      </w:r>
      <w:r w:rsidR="007B3F61">
        <w:rPr>
          <w:rFonts w:ascii="Arial" w:eastAsia="Calibri" w:hAnsi="Arial" w:cs="Arial"/>
          <w:bCs/>
          <w:sz w:val="26"/>
          <w:szCs w:val="26"/>
        </w:rPr>
        <w:t xml:space="preserve">, </w:t>
      </w:r>
      <w:r w:rsidR="003606C9">
        <w:rPr>
          <w:rFonts w:ascii="Arial" w:eastAsia="Calibri" w:hAnsi="Arial" w:cs="Arial"/>
          <w:bCs/>
          <w:sz w:val="26"/>
          <w:szCs w:val="26"/>
        </w:rPr>
        <w:t xml:space="preserve">ni resolvió de manera </w:t>
      </w:r>
      <w:r w:rsidR="004F1E03">
        <w:rPr>
          <w:rFonts w:ascii="Arial" w:eastAsia="Calibri" w:hAnsi="Arial" w:cs="Arial"/>
          <w:bCs/>
          <w:sz w:val="26"/>
          <w:szCs w:val="26"/>
        </w:rPr>
        <w:t>distinta a lo permitido por la Ley</w:t>
      </w:r>
      <w:r w:rsidR="003165F9">
        <w:rPr>
          <w:rFonts w:ascii="Arial" w:eastAsia="Calibri" w:hAnsi="Arial" w:cs="Arial"/>
          <w:bCs/>
          <w:sz w:val="26"/>
          <w:szCs w:val="26"/>
        </w:rPr>
        <w:t>,</w:t>
      </w:r>
      <w:r w:rsidR="00BE5382">
        <w:rPr>
          <w:rFonts w:ascii="Arial" w:eastAsia="Calibri" w:hAnsi="Arial" w:cs="Arial"/>
          <w:bCs/>
          <w:sz w:val="26"/>
          <w:szCs w:val="26"/>
        </w:rPr>
        <w:t xml:space="preserve"> como lo indica el recurrente</w:t>
      </w:r>
      <w:r w:rsidR="00A24358">
        <w:rPr>
          <w:rFonts w:ascii="Arial" w:eastAsia="Calibri" w:hAnsi="Arial" w:cs="Arial"/>
          <w:bCs/>
          <w:sz w:val="26"/>
          <w:szCs w:val="26"/>
        </w:rPr>
        <w:t>; sino que</w:t>
      </w:r>
      <w:r w:rsidR="003165F9">
        <w:rPr>
          <w:rFonts w:ascii="Arial" w:eastAsia="Calibri" w:hAnsi="Arial" w:cs="Arial"/>
          <w:bCs/>
          <w:sz w:val="26"/>
          <w:szCs w:val="26"/>
        </w:rPr>
        <w:t>,</w:t>
      </w:r>
      <w:r w:rsidR="00A24358">
        <w:rPr>
          <w:rFonts w:ascii="Arial" w:eastAsia="Calibri" w:hAnsi="Arial" w:cs="Arial"/>
          <w:bCs/>
          <w:sz w:val="26"/>
          <w:szCs w:val="26"/>
        </w:rPr>
        <w:t xml:space="preserve"> fue precisamente de lo planteado por las partes y el análisis que realizó del acto</w:t>
      </w:r>
      <w:r w:rsidR="00B70A9C">
        <w:rPr>
          <w:rFonts w:ascii="Arial" w:eastAsia="Calibri" w:hAnsi="Arial" w:cs="Arial"/>
          <w:bCs/>
          <w:sz w:val="26"/>
          <w:szCs w:val="26"/>
        </w:rPr>
        <w:t xml:space="preserve"> </w:t>
      </w:r>
      <w:r w:rsidR="00A24358">
        <w:rPr>
          <w:rFonts w:ascii="Arial" w:eastAsia="Calibri" w:hAnsi="Arial" w:cs="Arial"/>
          <w:bCs/>
          <w:sz w:val="26"/>
          <w:szCs w:val="26"/>
        </w:rPr>
        <w:t xml:space="preserve">impugnado, que concluyó en su ilegalidad; y, </w:t>
      </w:r>
      <w:r w:rsidR="00E52319" w:rsidRPr="00F278EC">
        <w:rPr>
          <w:rFonts w:ascii="Arial" w:eastAsia="Calibri" w:hAnsi="Arial" w:cs="Arial"/>
          <w:bCs/>
          <w:sz w:val="26"/>
          <w:szCs w:val="26"/>
          <w:u w:val="single"/>
        </w:rPr>
        <w:t xml:space="preserve">en </w:t>
      </w:r>
      <w:r w:rsidR="00E52319" w:rsidRPr="00A24358">
        <w:rPr>
          <w:rFonts w:ascii="Arial" w:eastAsia="Calibri" w:hAnsi="Arial" w:cs="Arial"/>
          <w:bCs/>
          <w:sz w:val="26"/>
          <w:szCs w:val="26"/>
          <w:u w:val="single"/>
        </w:rPr>
        <w:t>tercer</w:t>
      </w:r>
      <w:r w:rsidR="00E52319">
        <w:rPr>
          <w:rFonts w:ascii="Arial" w:eastAsia="Calibri" w:hAnsi="Arial" w:cs="Arial"/>
          <w:bCs/>
          <w:sz w:val="26"/>
          <w:szCs w:val="26"/>
          <w:u w:val="single"/>
        </w:rPr>
        <w:t xml:space="preserve"> lugar</w:t>
      </w:r>
      <w:r w:rsidR="00F278EC">
        <w:rPr>
          <w:rFonts w:ascii="Arial" w:eastAsia="Calibri" w:hAnsi="Arial" w:cs="Arial"/>
          <w:bCs/>
          <w:sz w:val="26"/>
          <w:szCs w:val="26"/>
        </w:rPr>
        <w:t xml:space="preserve">, </w:t>
      </w:r>
      <w:r w:rsidR="00A24358">
        <w:rPr>
          <w:rFonts w:ascii="Arial" w:eastAsia="Calibri" w:hAnsi="Arial" w:cs="Arial"/>
          <w:bCs/>
          <w:sz w:val="26"/>
          <w:szCs w:val="26"/>
        </w:rPr>
        <w:t>en ninguna parte</w:t>
      </w:r>
      <w:r w:rsidR="00F278EC">
        <w:rPr>
          <w:rFonts w:ascii="Arial" w:eastAsia="Calibri" w:hAnsi="Arial" w:cs="Arial"/>
          <w:bCs/>
          <w:sz w:val="26"/>
          <w:szCs w:val="26"/>
        </w:rPr>
        <w:t xml:space="preserve"> de la sentencia alzada</w:t>
      </w:r>
      <w:r w:rsidR="00A24358">
        <w:rPr>
          <w:rFonts w:ascii="Arial" w:eastAsia="Calibri" w:hAnsi="Arial" w:cs="Arial"/>
          <w:bCs/>
          <w:sz w:val="26"/>
          <w:szCs w:val="26"/>
        </w:rPr>
        <w:t xml:space="preserve"> se advierte que la A quo, haya declarado </w:t>
      </w:r>
      <w:r w:rsidR="004F1E03">
        <w:rPr>
          <w:rFonts w:ascii="Arial" w:eastAsia="Calibri" w:hAnsi="Arial" w:cs="Arial"/>
          <w:bCs/>
          <w:sz w:val="26"/>
          <w:szCs w:val="26"/>
        </w:rPr>
        <w:t>insubsistente lo actuado por ella misma</w:t>
      </w:r>
      <w:r w:rsidR="00B70A9C">
        <w:rPr>
          <w:rFonts w:ascii="Arial" w:eastAsia="Calibri" w:hAnsi="Arial" w:cs="Arial"/>
          <w:bCs/>
          <w:sz w:val="26"/>
          <w:szCs w:val="26"/>
        </w:rPr>
        <w:t xml:space="preserve"> y ordenado la reposición del procedimiento</w:t>
      </w:r>
      <w:r w:rsidR="00A24358">
        <w:rPr>
          <w:rFonts w:ascii="Arial" w:eastAsia="Calibri" w:hAnsi="Arial" w:cs="Arial"/>
          <w:bCs/>
          <w:sz w:val="26"/>
          <w:szCs w:val="26"/>
        </w:rPr>
        <w:t>.</w:t>
      </w:r>
      <w:r w:rsidR="00F278EC">
        <w:rPr>
          <w:rFonts w:ascii="Arial" w:eastAsia="Calibri" w:hAnsi="Arial" w:cs="Arial"/>
          <w:bCs/>
          <w:sz w:val="26"/>
          <w:szCs w:val="26"/>
        </w:rPr>
        <w:t xml:space="preserve"> </w:t>
      </w:r>
    </w:p>
    <w:p w14:paraId="7F9D3A08" w14:textId="2223C5ED" w:rsidR="006621D0" w:rsidRDefault="009928D1"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 xml:space="preserve">Continúa sus alegaciones </w:t>
      </w:r>
      <w:r>
        <w:rPr>
          <w:rFonts w:ascii="Arial" w:eastAsia="Calibri" w:hAnsi="Arial" w:cs="Arial"/>
          <w:bCs/>
          <w:sz w:val="26"/>
          <w:szCs w:val="26"/>
        </w:rPr>
        <w:t xml:space="preserve">señalando que en el acta </w:t>
      </w:r>
      <w:r w:rsidR="006621D0">
        <w:rPr>
          <w:rFonts w:ascii="Arial" w:eastAsia="Calibri" w:hAnsi="Arial" w:cs="Arial"/>
          <w:bCs/>
          <w:sz w:val="26"/>
          <w:szCs w:val="26"/>
        </w:rPr>
        <w:t xml:space="preserve">de infracción </w:t>
      </w:r>
      <w:r>
        <w:rPr>
          <w:rFonts w:ascii="Arial" w:eastAsia="Calibri" w:hAnsi="Arial" w:cs="Arial"/>
          <w:bCs/>
          <w:sz w:val="26"/>
          <w:szCs w:val="26"/>
        </w:rPr>
        <w:t>folio 0</w:t>
      </w:r>
      <w:r w:rsidR="00F278EC">
        <w:rPr>
          <w:rFonts w:ascii="Arial" w:eastAsia="Calibri" w:hAnsi="Arial" w:cs="Arial"/>
          <w:bCs/>
          <w:sz w:val="26"/>
          <w:szCs w:val="26"/>
        </w:rPr>
        <w:t>01683</w:t>
      </w:r>
      <w:r>
        <w:rPr>
          <w:rFonts w:ascii="Arial" w:eastAsia="Calibri" w:hAnsi="Arial" w:cs="Arial"/>
          <w:bCs/>
          <w:sz w:val="26"/>
          <w:szCs w:val="26"/>
        </w:rPr>
        <w:t xml:space="preserve"> </w:t>
      </w:r>
      <w:r w:rsidR="00F278EC">
        <w:rPr>
          <w:rFonts w:ascii="Arial" w:eastAsia="Calibri" w:hAnsi="Arial" w:cs="Arial"/>
          <w:bCs/>
          <w:sz w:val="26"/>
          <w:szCs w:val="26"/>
        </w:rPr>
        <w:t>de seis</w:t>
      </w:r>
      <w:r w:rsidR="00716A80">
        <w:rPr>
          <w:rFonts w:ascii="Arial" w:eastAsia="Calibri" w:hAnsi="Arial" w:cs="Arial"/>
          <w:bCs/>
          <w:sz w:val="26"/>
          <w:szCs w:val="26"/>
        </w:rPr>
        <w:t xml:space="preserve"> de agosto </w:t>
      </w:r>
      <w:r w:rsidR="006621D0">
        <w:rPr>
          <w:rFonts w:ascii="Arial" w:eastAsia="Calibri" w:hAnsi="Arial" w:cs="Arial"/>
          <w:bCs/>
          <w:sz w:val="26"/>
          <w:szCs w:val="26"/>
        </w:rPr>
        <w:t xml:space="preserve">de dos mil diecinueve, </w:t>
      </w:r>
      <w:r>
        <w:rPr>
          <w:rFonts w:ascii="Arial" w:eastAsia="Calibri" w:hAnsi="Arial" w:cs="Arial"/>
          <w:bCs/>
          <w:sz w:val="26"/>
          <w:szCs w:val="26"/>
        </w:rPr>
        <w:t>plasmó las razones, motivos y circunstancias que la llevaron a efectuar el acto</w:t>
      </w:r>
      <w:r w:rsidR="006621D0">
        <w:rPr>
          <w:rFonts w:ascii="Arial" w:eastAsia="Calibri" w:hAnsi="Arial" w:cs="Arial"/>
          <w:bCs/>
          <w:sz w:val="26"/>
          <w:szCs w:val="26"/>
        </w:rPr>
        <w:t xml:space="preserve">; además de que citó circunstancias de modo, tiempo y lugar, cumpliendo así con el requisito de fundamentación que exige la fracción V, del artículo 7 de la Ley de Justicia Administrativa para el Estado de Oaxaca; </w:t>
      </w:r>
      <w:r w:rsidR="00BD7209">
        <w:rPr>
          <w:rFonts w:ascii="Arial" w:eastAsia="Calibri" w:hAnsi="Arial" w:cs="Arial"/>
          <w:bCs/>
          <w:sz w:val="26"/>
          <w:szCs w:val="26"/>
        </w:rPr>
        <w:t xml:space="preserve">y por ello </w:t>
      </w:r>
      <w:r w:rsidR="006621D0">
        <w:rPr>
          <w:rFonts w:ascii="Arial" w:eastAsia="Calibri" w:hAnsi="Arial" w:cs="Arial"/>
          <w:bCs/>
          <w:sz w:val="26"/>
          <w:szCs w:val="26"/>
        </w:rPr>
        <w:t>el acto</w:t>
      </w:r>
      <w:r w:rsidR="00BD7209">
        <w:rPr>
          <w:rFonts w:ascii="Arial" w:eastAsia="Calibri" w:hAnsi="Arial" w:cs="Arial"/>
          <w:bCs/>
          <w:sz w:val="26"/>
          <w:szCs w:val="26"/>
        </w:rPr>
        <w:t>r</w:t>
      </w:r>
      <w:r w:rsidR="006621D0">
        <w:rPr>
          <w:rFonts w:ascii="Arial" w:eastAsia="Calibri" w:hAnsi="Arial" w:cs="Arial"/>
          <w:bCs/>
          <w:sz w:val="26"/>
          <w:szCs w:val="26"/>
        </w:rPr>
        <w:t xml:space="preserve"> tuvo </w:t>
      </w:r>
      <w:r w:rsidR="006621D0" w:rsidRPr="00BD7209">
        <w:rPr>
          <w:rFonts w:ascii="Arial" w:eastAsia="Calibri" w:hAnsi="Arial" w:cs="Arial"/>
          <w:bCs/>
          <w:sz w:val="24"/>
          <w:szCs w:val="24"/>
        </w:rPr>
        <w:t>conocimiento</w:t>
      </w:r>
      <w:r w:rsidR="006621D0">
        <w:rPr>
          <w:rFonts w:ascii="Arial" w:eastAsia="Calibri" w:hAnsi="Arial" w:cs="Arial"/>
          <w:bCs/>
          <w:sz w:val="26"/>
          <w:szCs w:val="26"/>
        </w:rPr>
        <w:t xml:space="preserve"> de la causa por la que se hizo acreedor de una infracción, </w:t>
      </w:r>
      <w:r w:rsidR="00BD7209">
        <w:rPr>
          <w:rFonts w:ascii="Arial" w:eastAsia="Calibri" w:hAnsi="Arial" w:cs="Arial"/>
          <w:bCs/>
          <w:sz w:val="26"/>
          <w:szCs w:val="26"/>
        </w:rPr>
        <w:t xml:space="preserve">sin que se le haya dejado en </w:t>
      </w:r>
      <w:r w:rsidR="006621D0">
        <w:rPr>
          <w:rFonts w:ascii="Arial" w:eastAsia="Calibri" w:hAnsi="Arial" w:cs="Arial"/>
          <w:bCs/>
          <w:sz w:val="26"/>
          <w:szCs w:val="26"/>
        </w:rPr>
        <w:t xml:space="preserve">ningún momento en estado de indefensión </w:t>
      </w:r>
      <w:r w:rsidR="00BD7209">
        <w:rPr>
          <w:rFonts w:ascii="Arial" w:eastAsia="Calibri" w:hAnsi="Arial" w:cs="Arial"/>
          <w:bCs/>
          <w:sz w:val="26"/>
          <w:szCs w:val="26"/>
        </w:rPr>
        <w:t>al referido actor; precisando el recurrente, que lo anterior hace evidente que la Primera Instancia no hizo una valoración correcta de las pruebas “</w:t>
      </w:r>
      <w:r w:rsidR="00BD7209" w:rsidRPr="00BD7209">
        <w:rPr>
          <w:rFonts w:ascii="Arial" w:eastAsia="Calibri" w:hAnsi="Arial" w:cs="Arial"/>
          <w:bCs/>
          <w:i/>
          <w:iCs/>
          <w:sz w:val="26"/>
          <w:szCs w:val="26"/>
        </w:rPr>
        <w:t>(acta de infracción)</w:t>
      </w:r>
      <w:r w:rsidR="00BD7209">
        <w:rPr>
          <w:rFonts w:ascii="Arial" w:eastAsia="Calibri" w:hAnsi="Arial" w:cs="Arial"/>
          <w:bCs/>
          <w:sz w:val="26"/>
          <w:szCs w:val="26"/>
        </w:rPr>
        <w:t>”, porque de hacerlo hubiera concluido que cumple con los requisitos del artículo 7 de la Ley de Justicia Administrativa. Cita el criterio de rubro: “</w:t>
      </w:r>
      <w:r w:rsidR="00BD7209" w:rsidRPr="00BD7209">
        <w:rPr>
          <w:rFonts w:ascii="Arial" w:eastAsia="Calibri" w:hAnsi="Arial" w:cs="Arial"/>
          <w:bCs/>
          <w:i/>
          <w:iCs/>
        </w:rPr>
        <w:t>FUNDAMENTACIÓN Y MOTIVACIÓN. VIOLACIÓN FORMAL Y MATERIAL</w:t>
      </w:r>
      <w:r w:rsidR="00BD7209">
        <w:rPr>
          <w:rFonts w:ascii="Arial" w:eastAsia="Calibri" w:hAnsi="Arial" w:cs="Arial"/>
          <w:bCs/>
          <w:sz w:val="26"/>
          <w:szCs w:val="26"/>
        </w:rPr>
        <w:t>”</w:t>
      </w:r>
      <w:r w:rsidR="006621D0">
        <w:rPr>
          <w:rFonts w:ascii="Arial" w:eastAsia="Calibri" w:hAnsi="Arial" w:cs="Arial"/>
          <w:bCs/>
          <w:sz w:val="26"/>
          <w:szCs w:val="26"/>
        </w:rPr>
        <w:t>.</w:t>
      </w:r>
    </w:p>
    <w:p w14:paraId="331C8EC1" w14:textId="1C96DAB7" w:rsidR="00716A80" w:rsidRDefault="00BD7209" w:rsidP="00A2435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parte de</w:t>
      </w:r>
      <w:r w:rsidR="00F278EC">
        <w:rPr>
          <w:rFonts w:ascii="Arial" w:eastAsia="Calibri" w:hAnsi="Arial" w:cs="Arial"/>
          <w:bCs/>
          <w:sz w:val="26"/>
          <w:szCs w:val="26"/>
        </w:rPr>
        <w:t xml:space="preserve"> los argumentos del</w:t>
      </w:r>
      <w:r w:rsidR="00460B31">
        <w:rPr>
          <w:rFonts w:ascii="Arial" w:eastAsia="Calibri" w:hAnsi="Arial" w:cs="Arial"/>
          <w:bCs/>
          <w:sz w:val="26"/>
          <w:szCs w:val="26"/>
        </w:rPr>
        <w:t xml:space="preserve"> recurrente</w:t>
      </w:r>
      <w:r>
        <w:rPr>
          <w:rFonts w:ascii="Arial" w:eastAsia="Calibri" w:hAnsi="Arial" w:cs="Arial"/>
          <w:bCs/>
          <w:sz w:val="26"/>
          <w:szCs w:val="26"/>
        </w:rPr>
        <w:t xml:space="preserve"> </w:t>
      </w:r>
      <w:r w:rsidRPr="00F278EC">
        <w:rPr>
          <w:rFonts w:ascii="Arial" w:eastAsia="Calibri" w:hAnsi="Arial" w:cs="Arial"/>
          <w:b/>
          <w:bCs/>
          <w:sz w:val="26"/>
          <w:szCs w:val="26"/>
        </w:rPr>
        <w:t xml:space="preserve">son </w:t>
      </w:r>
      <w:r w:rsidR="00F278EC" w:rsidRPr="00F278EC">
        <w:rPr>
          <w:rFonts w:ascii="Arial" w:eastAsia="Calibri" w:hAnsi="Arial" w:cs="Arial"/>
          <w:b/>
          <w:bCs/>
          <w:sz w:val="26"/>
          <w:szCs w:val="26"/>
        </w:rPr>
        <w:t>inoperantes por</w:t>
      </w:r>
      <w:r w:rsidR="00F278EC">
        <w:rPr>
          <w:rFonts w:ascii="Arial" w:eastAsia="Calibri" w:hAnsi="Arial" w:cs="Arial"/>
          <w:bCs/>
          <w:sz w:val="26"/>
          <w:szCs w:val="26"/>
        </w:rPr>
        <w:t xml:space="preserve"> </w:t>
      </w:r>
      <w:r w:rsidRPr="003362D5">
        <w:rPr>
          <w:rFonts w:ascii="Arial" w:eastAsia="Calibri" w:hAnsi="Arial" w:cs="Arial"/>
          <w:b/>
          <w:sz w:val="26"/>
          <w:szCs w:val="26"/>
        </w:rPr>
        <w:t>in</w:t>
      </w:r>
      <w:r w:rsidR="00716A80">
        <w:rPr>
          <w:rFonts w:ascii="Arial" w:eastAsia="Calibri" w:hAnsi="Arial" w:cs="Arial"/>
          <w:b/>
          <w:sz w:val="26"/>
          <w:szCs w:val="26"/>
        </w:rPr>
        <w:t>suficientes</w:t>
      </w:r>
      <w:r>
        <w:rPr>
          <w:rFonts w:ascii="Arial" w:eastAsia="Calibri" w:hAnsi="Arial" w:cs="Arial"/>
          <w:bCs/>
          <w:sz w:val="26"/>
          <w:szCs w:val="26"/>
        </w:rPr>
        <w:t xml:space="preserve">, por que </w:t>
      </w:r>
      <w:r w:rsidR="00716A80">
        <w:rPr>
          <w:rFonts w:ascii="Arial" w:eastAsia="Calibri" w:hAnsi="Arial" w:cs="Arial"/>
          <w:bCs/>
          <w:sz w:val="26"/>
          <w:szCs w:val="26"/>
        </w:rPr>
        <w:t xml:space="preserve">únicamente se concreta a señalar que plasmó las razones, motivos y circunstancias que la llevaron a efectuar el acta de infracción; pero </w:t>
      </w:r>
      <w:r w:rsidR="00460B31">
        <w:rPr>
          <w:rFonts w:ascii="Arial" w:eastAsia="Calibri" w:hAnsi="Arial" w:cs="Arial"/>
          <w:bCs/>
          <w:sz w:val="26"/>
          <w:szCs w:val="26"/>
        </w:rPr>
        <w:t xml:space="preserve">omite </w:t>
      </w:r>
      <w:r w:rsidR="00716A80">
        <w:rPr>
          <w:rFonts w:ascii="Arial" w:eastAsia="Calibri" w:hAnsi="Arial" w:cs="Arial"/>
          <w:bCs/>
          <w:sz w:val="26"/>
          <w:szCs w:val="26"/>
        </w:rPr>
        <w:t xml:space="preserve">exponer de manera concreta cuáles fueron esas razones, motivos y circunstancias, lo que era necesario para que su agravio cumpliera con la finalidad de contradecir la consideración plasmada por la Primera Instancia, </w:t>
      </w:r>
      <w:r w:rsidR="00046F11">
        <w:rPr>
          <w:rFonts w:ascii="Arial" w:eastAsia="Calibri" w:hAnsi="Arial" w:cs="Arial"/>
          <w:bCs/>
          <w:sz w:val="26"/>
          <w:szCs w:val="26"/>
        </w:rPr>
        <w:t xml:space="preserve">en la que determinó que la </w:t>
      </w:r>
      <w:r w:rsidR="00046F11">
        <w:rPr>
          <w:rFonts w:ascii="Arial" w:eastAsia="Calibri" w:hAnsi="Arial" w:cs="Arial"/>
          <w:bCs/>
          <w:sz w:val="26"/>
          <w:szCs w:val="26"/>
        </w:rPr>
        <w:lastRenderedPageBreak/>
        <w:t>demandada no pla</w:t>
      </w:r>
      <w:r w:rsidR="00460B31">
        <w:rPr>
          <w:rFonts w:ascii="Arial" w:eastAsia="Calibri" w:hAnsi="Arial" w:cs="Arial"/>
          <w:bCs/>
          <w:sz w:val="26"/>
          <w:szCs w:val="26"/>
        </w:rPr>
        <w:t>s</w:t>
      </w:r>
      <w:r w:rsidR="00046F11">
        <w:rPr>
          <w:rFonts w:ascii="Arial" w:eastAsia="Calibri" w:hAnsi="Arial" w:cs="Arial"/>
          <w:bCs/>
          <w:sz w:val="26"/>
          <w:szCs w:val="26"/>
        </w:rPr>
        <w:t>mó</w:t>
      </w:r>
      <w:r w:rsidR="00460B31">
        <w:rPr>
          <w:rFonts w:ascii="Arial" w:eastAsia="Calibri" w:hAnsi="Arial" w:cs="Arial"/>
          <w:bCs/>
          <w:sz w:val="26"/>
          <w:szCs w:val="26"/>
        </w:rPr>
        <w:t xml:space="preserve"> “</w:t>
      </w:r>
      <w:bookmarkStart w:id="2" w:name="_Hlk39917882"/>
      <w:r w:rsidR="00F77C87">
        <w:rPr>
          <w:rFonts w:ascii="Arial" w:eastAsia="Calibri" w:hAnsi="Arial" w:cs="Arial"/>
          <w:bCs/>
          <w:i/>
          <w:iCs/>
          <w:sz w:val="24"/>
          <w:szCs w:val="24"/>
        </w:rPr>
        <w:t>una descripción clara, precisa y completa de la conducta de la parte actora para encuadrarla en la hipótesis legal infringida, ya que no señala las razones particulares, causas inmediatas y circunstancias especiales de qué arribó a la determinación del actor, se colocó en el hecho generador de la infracción, para resultar ser sujeto obligado a tal falta administrativa tipificada dentro del referido Reglamento</w:t>
      </w:r>
      <w:r w:rsidR="00460B31">
        <w:rPr>
          <w:rFonts w:ascii="Arial" w:eastAsia="Calibri" w:hAnsi="Arial" w:cs="Arial"/>
          <w:bCs/>
          <w:sz w:val="26"/>
          <w:szCs w:val="26"/>
        </w:rPr>
        <w:t>”</w:t>
      </w:r>
      <w:r w:rsidR="002639E6">
        <w:rPr>
          <w:rFonts w:ascii="Arial" w:eastAsia="Calibri" w:hAnsi="Arial" w:cs="Arial"/>
          <w:bCs/>
          <w:sz w:val="26"/>
          <w:szCs w:val="26"/>
        </w:rPr>
        <w:t>.</w:t>
      </w:r>
      <w:r w:rsidR="00D818E1">
        <w:rPr>
          <w:rFonts w:ascii="Arial" w:eastAsia="Calibri" w:hAnsi="Arial" w:cs="Arial"/>
          <w:bCs/>
          <w:sz w:val="26"/>
          <w:szCs w:val="26"/>
        </w:rPr>
        <w:t xml:space="preserve"> Sirve de sustento la Jurisprudencia IV.30A. J/4, publicada por los Tribunales Colegiados de Circuito en el Semanario Judicial de la Federación y su Gaceta, Tomo XXI, Abril de 2005, , visible a página 1138, Novena Época</w:t>
      </w:r>
      <w:r w:rsidR="00D818E1">
        <w:rPr>
          <w:rStyle w:val="Refdenotaalpie"/>
          <w:rFonts w:ascii="Arial" w:eastAsia="Calibri" w:hAnsi="Arial" w:cs="Arial"/>
          <w:bCs/>
          <w:sz w:val="26"/>
          <w:szCs w:val="26"/>
        </w:rPr>
        <w:footnoteReference w:id="3"/>
      </w:r>
      <w:r w:rsidR="00D818E1">
        <w:rPr>
          <w:rFonts w:ascii="Arial" w:eastAsia="Calibri" w:hAnsi="Arial" w:cs="Arial"/>
          <w:bCs/>
          <w:sz w:val="26"/>
          <w:szCs w:val="26"/>
        </w:rPr>
        <w:t>.</w:t>
      </w:r>
    </w:p>
    <w:bookmarkEnd w:id="2"/>
    <w:p w14:paraId="0197C43B" w14:textId="2A325A62" w:rsidR="00B70A9C" w:rsidRPr="00E74393" w:rsidRDefault="00E74393" w:rsidP="00E7439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cuanto a la afirmación del inconforme de que la Primera Instancia no hizo una valoración correcta de las pruebas precisando “</w:t>
      </w:r>
      <w:r w:rsidRPr="00E74393">
        <w:rPr>
          <w:rFonts w:ascii="Arial" w:eastAsia="Calibri" w:hAnsi="Arial" w:cs="Arial"/>
          <w:bCs/>
          <w:i/>
          <w:iCs/>
          <w:sz w:val="24"/>
          <w:szCs w:val="24"/>
        </w:rPr>
        <w:t>(acta de infracción)</w:t>
      </w:r>
      <w:r>
        <w:rPr>
          <w:rFonts w:ascii="Arial" w:eastAsia="Calibri" w:hAnsi="Arial" w:cs="Arial"/>
          <w:bCs/>
          <w:sz w:val="26"/>
          <w:szCs w:val="26"/>
        </w:rPr>
        <w:t>”, es equivocada, porque la determinación del A quo, se basó precis</w:t>
      </w:r>
      <w:r w:rsidR="00085720">
        <w:rPr>
          <w:rFonts w:ascii="Arial" w:eastAsia="Calibri" w:hAnsi="Arial" w:cs="Arial"/>
          <w:bCs/>
          <w:sz w:val="26"/>
          <w:szCs w:val="26"/>
        </w:rPr>
        <w:t>amente del análisis</w:t>
      </w:r>
      <w:r>
        <w:rPr>
          <w:rFonts w:ascii="Arial" w:eastAsia="Calibri" w:hAnsi="Arial" w:cs="Arial"/>
          <w:bCs/>
          <w:sz w:val="26"/>
          <w:szCs w:val="26"/>
        </w:rPr>
        <w:t xml:space="preserve"> </w:t>
      </w:r>
      <w:r w:rsidR="00085720">
        <w:rPr>
          <w:rFonts w:ascii="Arial" w:eastAsia="Calibri" w:hAnsi="Arial" w:cs="Arial"/>
          <w:bCs/>
          <w:sz w:val="26"/>
          <w:szCs w:val="26"/>
        </w:rPr>
        <w:t xml:space="preserve">exhaustivo </w:t>
      </w:r>
      <w:r>
        <w:rPr>
          <w:rFonts w:ascii="Arial" w:eastAsia="Calibri" w:hAnsi="Arial" w:cs="Arial"/>
          <w:bCs/>
          <w:sz w:val="26"/>
          <w:szCs w:val="26"/>
        </w:rPr>
        <w:t>que realizó del acta de infracción que im</w:t>
      </w:r>
      <w:r w:rsidR="00085720">
        <w:rPr>
          <w:rFonts w:ascii="Arial" w:eastAsia="Calibri" w:hAnsi="Arial" w:cs="Arial"/>
          <w:bCs/>
          <w:sz w:val="26"/>
          <w:szCs w:val="26"/>
        </w:rPr>
        <w:t>pugnó el actor, como se advierte de la trascripción de la parte toral de la sentencia impugnada realizada en párrafos anteriores.</w:t>
      </w:r>
    </w:p>
    <w:p w14:paraId="1D2F47EE" w14:textId="71586124" w:rsidR="004C4A02" w:rsidRDefault="00276599" w:rsidP="00A24358">
      <w:pPr>
        <w:spacing w:before="240" w:line="360" w:lineRule="auto"/>
        <w:ind w:firstLine="708"/>
        <w:jc w:val="both"/>
        <w:rPr>
          <w:rFonts w:ascii="Arial" w:eastAsia="Calibri" w:hAnsi="Arial" w:cs="Arial"/>
          <w:bCs/>
          <w:sz w:val="26"/>
          <w:szCs w:val="26"/>
        </w:rPr>
      </w:pPr>
      <w:r>
        <w:rPr>
          <w:rFonts w:ascii="Arial" w:eastAsia="Calibri" w:hAnsi="Arial" w:cs="Arial"/>
          <w:b/>
          <w:sz w:val="26"/>
          <w:szCs w:val="26"/>
        </w:rPr>
        <w:t>Asimismo</w:t>
      </w:r>
      <w:r w:rsidRPr="00276599">
        <w:rPr>
          <w:rFonts w:ascii="Arial" w:eastAsia="Calibri" w:hAnsi="Arial" w:cs="Arial"/>
          <w:sz w:val="26"/>
          <w:szCs w:val="26"/>
        </w:rPr>
        <w:t>,</w:t>
      </w:r>
      <w:r>
        <w:rPr>
          <w:rFonts w:ascii="Arial" w:eastAsia="Calibri" w:hAnsi="Arial" w:cs="Arial"/>
          <w:b/>
          <w:sz w:val="26"/>
          <w:szCs w:val="26"/>
        </w:rPr>
        <w:t xml:space="preserve"> </w:t>
      </w:r>
      <w:r w:rsidRPr="00276599">
        <w:rPr>
          <w:rFonts w:ascii="Arial" w:eastAsia="Calibri" w:hAnsi="Arial" w:cs="Arial"/>
          <w:sz w:val="26"/>
          <w:szCs w:val="26"/>
        </w:rPr>
        <w:t>el recurrente señala</w:t>
      </w:r>
      <w:r w:rsidR="0062084F">
        <w:rPr>
          <w:rFonts w:ascii="Arial" w:eastAsia="Calibri" w:hAnsi="Arial" w:cs="Arial"/>
          <w:bCs/>
          <w:sz w:val="26"/>
          <w:szCs w:val="26"/>
        </w:rPr>
        <w:t xml:space="preserve"> que la cons</w:t>
      </w:r>
      <w:r w:rsidR="00FE7A9A">
        <w:rPr>
          <w:rFonts w:ascii="Arial" w:eastAsia="Calibri" w:hAnsi="Arial" w:cs="Arial"/>
          <w:bCs/>
          <w:sz w:val="26"/>
          <w:szCs w:val="26"/>
        </w:rPr>
        <w:t>ideración de que el acto impugnado carece de motivación</w:t>
      </w:r>
      <w:r w:rsidR="00374D85">
        <w:rPr>
          <w:rFonts w:ascii="Arial" w:eastAsia="Calibri" w:hAnsi="Arial" w:cs="Arial"/>
          <w:bCs/>
          <w:sz w:val="26"/>
          <w:szCs w:val="26"/>
        </w:rPr>
        <w:t>, trae como consecuencia la nulidad para efecto y no lisa y llana</w:t>
      </w:r>
      <w:r w:rsidR="0062084F">
        <w:rPr>
          <w:rFonts w:ascii="Arial" w:eastAsia="Calibri" w:hAnsi="Arial" w:cs="Arial"/>
          <w:bCs/>
          <w:sz w:val="26"/>
          <w:szCs w:val="26"/>
        </w:rPr>
        <w:t>, porque la fundamentación que se llevó a cabo en el acto de infracción folio 0</w:t>
      </w:r>
      <w:r w:rsidR="00736256">
        <w:rPr>
          <w:rFonts w:ascii="Arial" w:eastAsia="Calibri" w:hAnsi="Arial" w:cs="Arial"/>
          <w:bCs/>
          <w:sz w:val="26"/>
          <w:szCs w:val="26"/>
        </w:rPr>
        <w:t>1683</w:t>
      </w:r>
      <w:r w:rsidR="0062084F">
        <w:rPr>
          <w:rFonts w:ascii="Arial" w:eastAsia="Calibri" w:hAnsi="Arial" w:cs="Arial"/>
          <w:bCs/>
          <w:sz w:val="26"/>
          <w:szCs w:val="26"/>
        </w:rPr>
        <w:t>, fue la correcta, sin que se dejara en estado de indefensión al administrado, pues el hecho que motivo la infracción se dio en la vía pública y en situación de flagrancia</w:t>
      </w:r>
      <w:r w:rsidR="004C4A02">
        <w:rPr>
          <w:rFonts w:ascii="Arial" w:eastAsia="Calibri" w:hAnsi="Arial" w:cs="Arial"/>
          <w:bCs/>
          <w:sz w:val="26"/>
          <w:szCs w:val="26"/>
        </w:rPr>
        <w:t>.</w:t>
      </w:r>
    </w:p>
    <w:p w14:paraId="4C1F79EE" w14:textId="421F3CB0" w:rsidR="00A03990" w:rsidRDefault="00A03990" w:rsidP="00A0399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w:t>
      </w:r>
      <w:r w:rsidR="00276599">
        <w:rPr>
          <w:rFonts w:ascii="Arial" w:eastAsia="Calibri" w:hAnsi="Arial" w:cs="Arial"/>
          <w:bCs/>
          <w:sz w:val="26"/>
          <w:szCs w:val="26"/>
        </w:rPr>
        <w:t xml:space="preserve">también </w:t>
      </w:r>
      <w:r w:rsidRPr="00276599">
        <w:rPr>
          <w:rFonts w:ascii="Arial" w:eastAsia="Calibri" w:hAnsi="Arial" w:cs="Arial"/>
          <w:b/>
          <w:bCs/>
          <w:sz w:val="26"/>
          <w:szCs w:val="26"/>
        </w:rPr>
        <w:t xml:space="preserve">son </w:t>
      </w:r>
      <w:r w:rsidR="00276599" w:rsidRPr="00276599">
        <w:rPr>
          <w:rFonts w:ascii="Arial" w:eastAsia="Calibri" w:hAnsi="Arial" w:cs="Arial"/>
          <w:b/>
          <w:bCs/>
          <w:sz w:val="26"/>
          <w:szCs w:val="26"/>
        </w:rPr>
        <w:t>inoperantes por</w:t>
      </w:r>
      <w:r w:rsidR="00276599">
        <w:rPr>
          <w:rFonts w:ascii="Arial" w:eastAsia="Calibri" w:hAnsi="Arial" w:cs="Arial"/>
          <w:bCs/>
          <w:sz w:val="26"/>
          <w:szCs w:val="26"/>
        </w:rPr>
        <w:t xml:space="preserve"> </w:t>
      </w:r>
      <w:r w:rsidRPr="00A03990">
        <w:rPr>
          <w:rFonts w:ascii="Arial" w:eastAsia="Calibri" w:hAnsi="Arial" w:cs="Arial"/>
          <w:b/>
          <w:sz w:val="26"/>
          <w:szCs w:val="26"/>
        </w:rPr>
        <w:t>in</w:t>
      </w:r>
      <w:r>
        <w:rPr>
          <w:rFonts w:ascii="Arial" w:eastAsia="Calibri" w:hAnsi="Arial" w:cs="Arial"/>
          <w:b/>
          <w:sz w:val="26"/>
          <w:szCs w:val="26"/>
        </w:rPr>
        <w:t xml:space="preserve">suficientes </w:t>
      </w:r>
      <w:r w:rsidR="00276599">
        <w:rPr>
          <w:rFonts w:ascii="Arial" w:eastAsia="Calibri" w:hAnsi="Arial" w:cs="Arial"/>
          <w:bCs/>
          <w:sz w:val="26"/>
          <w:szCs w:val="26"/>
        </w:rPr>
        <w:t>para desvirtuar la decisión</w:t>
      </w:r>
      <w:r>
        <w:rPr>
          <w:rFonts w:ascii="Arial" w:eastAsia="Calibri" w:hAnsi="Arial" w:cs="Arial"/>
          <w:bCs/>
          <w:sz w:val="26"/>
          <w:szCs w:val="26"/>
        </w:rPr>
        <w:t xml:space="preserve"> sustancial de la Primera Instancia, que tuvo en consideración para concluir en la nulidad lisa y llana del acta de infracción materia del juicio de nulidad, consistente en que la demandada fue omisa en </w:t>
      </w:r>
      <w:r w:rsidR="004C4A02">
        <w:rPr>
          <w:rFonts w:ascii="Arial" w:eastAsia="Calibri" w:hAnsi="Arial" w:cs="Arial"/>
          <w:bCs/>
          <w:sz w:val="26"/>
          <w:szCs w:val="26"/>
        </w:rPr>
        <w:t xml:space="preserve">plasmar </w:t>
      </w:r>
      <w:r w:rsidR="004C4A02" w:rsidRPr="004C4A02">
        <w:rPr>
          <w:rFonts w:ascii="Arial" w:eastAsia="Calibri" w:hAnsi="Arial" w:cs="Arial"/>
          <w:bCs/>
          <w:sz w:val="26"/>
          <w:szCs w:val="26"/>
        </w:rPr>
        <w:t>los argumentos lógico-jurídicos y las circunstancias de modo, tiempo y lugar aplicables que gener</w:t>
      </w:r>
      <w:r w:rsidR="004C4A02">
        <w:rPr>
          <w:rFonts w:ascii="Arial" w:eastAsia="Calibri" w:hAnsi="Arial" w:cs="Arial"/>
          <w:bCs/>
          <w:sz w:val="26"/>
          <w:szCs w:val="26"/>
        </w:rPr>
        <w:t xml:space="preserve">aran </w:t>
      </w:r>
      <w:r w:rsidR="004C4A02" w:rsidRPr="004C4A02">
        <w:rPr>
          <w:rFonts w:ascii="Arial" w:eastAsia="Calibri" w:hAnsi="Arial" w:cs="Arial"/>
          <w:bCs/>
          <w:sz w:val="26"/>
          <w:szCs w:val="26"/>
        </w:rPr>
        <w:t xml:space="preserve">certidumbre de la forma en que el policía vial pudo apreciar a través de sus sentidos la comisión de </w:t>
      </w:r>
      <w:r w:rsidR="004C4A02">
        <w:rPr>
          <w:rFonts w:ascii="Arial" w:eastAsia="Calibri" w:hAnsi="Arial" w:cs="Arial"/>
          <w:bCs/>
          <w:sz w:val="26"/>
          <w:szCs w:val="26"/>
        </w:rPr>
        <w:t>la</w:t>
      </w:r>
      <w:r w:rsidR="004C4A02" w:rsidRPr="004C4A02">
        <w:rPr>
          <w:rFonts w:ascii="Arial" w:eastAsia="Calibri" w:hAnsi="Arial" w:cs="Arial"/>
          <w:bCs/>
          <w:sz w:val="26"/>
          <w:szCs w:val="26"/>
        </w:rPr>
        <w:t xml:space="preserve"> falta</w:t>
      </w:r>
      <w:r>
        <w:rPr>
          <w:rFonts w:ascii="Arial" w:eastAsia="Calibri" w:hAnsi="Arial" w:cs="Arial"/>
          <w:bCs/>
          <w:sz w:val="26"/>
          <w:szCs w:val="26"/>
        </w:rPr>
        <w:t xml:space="preserve">; pues en sus alegaciones el recurrente únicamente se concreta en esencia a decir que la nulidad debió ser para efecto, porque la </w:t>
      </w:r>
      <w:r w:rsidR="004C4A02">
        <w:rPr>
          <w:rFonts w:ascii="Arial" w:eastAsia="Calibri" w:hAnsi="Arial" w:cs="Arial"/>
          <w:bCs/>
          <w:sz w:val="26"/>
          <w:szCs w:val="26"/>
        </w:rPr>
        <w:t xml:space="preserve">fundamentación que se llevó a cabo fue </w:t>
      </w:r>
      <w:r w:rsidR="004C4A02">
        <w:rPr>
          <w:rFonts w:ascii="Arial" w:eastAsia="Calibri" w:hAnsi="Arial" w:cs="Arial"/>
          <w:bCs/>
          <w:sz w:val="26"/>
          <w:szCs w:val="26"/>
        </w:rPr>
        <w:lastRenderedPageBreak/>
        <w:t>la correcta</w:t>
      </w:r>
      <w:r>
        <w:rPr>
          <w:rFonts w:ascii="Arial" w:eastAsia="Calibri" w:hAnsi="Arial" w:cs="Arial"/>
          <w:bCs/>
          <w:sz w:val="26"/>
          <w:szCs w:val="26"/>
        </w:rPr>
        <w:t>; pero sin exponer de manera detallada y con sustentos legales las razones de su afirmación.</w:t>
      </w:r>
    </w:p>
    <w:p w14:paraId="7955605D" w14:textId="111DE81F" w:rsidR="00047409" w:rsidRDefault="00047409" w:rsidP="00B72F47">
      <w:pPr>
        <w:spacing w:before="240" w:line="360" w:lineRule="auto"/>
        <w:ind w:firstLine="708"/>
        <w:jc w:val="both"/>
        <w:rPr>
          <w:rFonts w:ascii="Arial" w:eastAsia="Calibri" w:hAnsi="Arial" w:cs="Arial"/>
          <w:bCs/>
          <w:sz w:val="26"/>
          <w:szCs w:val="26"/>
        </w:rPr>
      </w:pPr>
      <w:r w:rsidRPr="00047409">
        <w:rPr>
          <w:rFonts w:ascii="Arial" w:eastAsia="Calibri" w:hAnsi="Arial" w:cs="Arial"/>
          <w:b/>
          <w:sz w:val="26"/>
          <w:szCs w:val="26"/>
        </w:rPr>
        <w:t>Por último</w:t>
      </w:r>
      <w:r>
        <w:rPr>
          <w:rFonts w:ascii="Arial" w:eastAsia="Calibri" w:hAnsi="Arial" w:cs="Arial"/>
          <w:bCs/>
          <w:sz w:val="26"/>
          <w:szCs w:val="26"/>
        </w:rPr>
        <w:t xml:space="preserve">, indica el recurrente </w:t>
      </w:r>
      <w:r w:rsidR="00B72F47">
        <w:rPr>
          <w:rFonts w:ascii="Arial" w:eastAsia="Calibri" w:hAnsi="Arial" w:cs="Arial"/>
          <w:bCs/>
          <w:sz w:val="26"/>
          <w:szCs w:val="26"/>
        </w:rPr>
        <w:t>que la Primera Instancia fundó su actuar en la última parte del artículo 179 de la Ley de la materia; precepto lega</w:t>
      </w:r>
      <w:r w:rsidR="00276599">
        <w:rPr>
          <w:rFonts w:ascii="Arial" w:eastAsia="Calibri" w:hAnsi="Arial" w:cs="Arial"/>
          <w:bCs/>
          <w:sz w:val="26"/>
          <w:szCs w:val="26"/>
        </w:rPr>
        <w:t>l del que no se desprende</w:t>
      </w:r>
      <w:r w:rsidR="00B72F47">
        <w:rPr>
          <w:rFonts w:ascii="Arial" w:eastAsia="Calibri" w:hAnsi="Arial" w:cs="Arial"/>
          <w:bCs/>
          <w:sz w:val="26"/>
          <w:szCs w:val="26"/>
        </w:rPr>
        <w:t xml:space="preserve"> que la sentencia deba tener el sentido en que la autoridad la emana</w:t>
      </w:r>
      <w:r w:rsidR="00276599">
        <w:rPr>
          <w:rFonts w:ascii="Arial" w:eastAsia="Calibri" w:hAnsi="Arial" w:cs="Arial"/>
          <w:bCs/>
          <w:sz w:val="26"/>
          <w:szCs w:val="26"/>
        </w:rPr>
        <w:t xml:space="preserve"> (sic)</w:t>
      </w:r>
      <w:r w:rsidR="00B72F47">
        <w:rPr>
          <w:rFonts w:ascii="Arial" w:eastAsia="Calibri" w:hAnsi="Arial" w:cs="Arial"/>
          <w:bCs/>
          <w:sz w:val="26"/>
          <w:szCs w:val="26"/>
        </w:rPr>
        <w:t xml:space="preserve">, y sí se desprende que la autoridad está obligada en el ámbito de su competencia a regir su actuación por el margen que la propia ley le permite, sin que pueda extralimitarse, con la finalidad no vulneran las garantías otorgadas a la demandada y que prevé el artículo 14 de la Constitución Política de los Estados Unidos Mexicanos; </w:t>
      </w:r>
      <w:r>
        <w:rPr>
          <w:rFonts w:ascii="Arial" w:eastAsia="Calibri" w:hAnsi="Arial" w:cs="Arial"/>
          <w:bCs/>
          <w:sz w:val="26"/>
          <w:szCs w:val="26"/>
        </w:rPr>
        <w:t>cita el criterio “</w:t>
      </w:r>
      <w:r>
        <w:rPr>
          <w:rFonts w:ascii="Arial" w:eastAsia="Calibri" w:hAnsi="Arial" w:cs="Arial"/>
          <w:bCs/>
          <w:i/>
          <w:iCs/>
        </w:rPr>
        <w:t>FUNDAMENTACIÓN Y MOTIVACIÓN. LA DIFERENCIA ENTRE LA FALTA Y LA INDEBIDA SATISFACCIÓN DE AMBOS REQUISITOS CONSTITUCIONALES TRASCIENDEN AL ORDEN EN QUE DEBEN ESTUDIARSE LOS CONCEPTOS DE VIOLACIÓN Y A LOS EFECTOS DEL FALLO PROTECTOR.</w:t>
      </w:r>
      <w:r>
        <w:rPr>
          <w:rFonts w:ascii="Arial" w:eastAsia="Calibri" w:hAnsi="Arial" w:cs="Arial"/>
          <w:bCs/>
          <w:sz w:val="26"/>
          <w:szCs w:val="26"/>
        </w:rPr>
        <w:t>”</w:t>
      </w:r>
    </w:p>
    <w:p w14:paraId="475B7718" w14:textId="0863B2FA" w:rsidR="00B72F47" w:rsidRPr="00B72F47" w:rsidRDefault="00276599" w:rsidP="00B525A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Estos argumentos</w:t>
      </w:r>
      <w:r w:rsidR="00B72F47">
        <w:rPr>
          <w:rFonts w:ascii="Arial" w:eastAsia="Calibri" w:hAnsi="Arial" w:cs="Arial"/>
          <w:bCs/>
          <w:sz w:val="26"/>
          <w:szCs w:val="26"/>
        </w:rPr>
        <w:t xml:space="preserve"> son </w:t>
      </w:r>
      <w:r w:rsidR="00B72F47">
        <w:rPr>
          <w:rFonts w:ascii="Arial" w:eastAsia="Calibri" w:hAnsi="Arial" w:cs="Arial"/>
          <w:b/>
          <w:sz w:val="26"/>
          <w:szCs w:val="26"/>
        </w:rPr>
        <w:t xml:space="preserve">infundados, </w:t>
      </w:r>
      <w:r>
        <w:rPr>
          <w:rFonts w:ascii="Arial" w:eastAsia="Calibri" w:hAnsi="Arial" w:cs="Arial"/>
          <w:bCs/>
          <w:sz w:val="26"/>
          <w:szCs w:val="26"/>
        </w:rPr>
        <w:t>porque contrario a su señalamiento,</w:t>
      </w:r>
      <w:r w:rsidR="00B72F47">
        <w:rPr>
          <w:rFonts w:ascii="Arial" w:eastAsia="Calibri" w:hAnsi="Arial" w:cs="Arial"/>
          <w:bCs/>
          <w:sz w:val="26"/>
          <w:szCs w:val="26"/>
        </w:rPr>
        <w:t xml:space="preserve"> la </w:t>
      </w:r>
      <w:r>
        <w:rPr>
          <w:rFonts w:ascii="Arial" w:eastAsia="Calibri" w:hAnsi="Arial" w:cs="Arial"/>
          <w:bCs/>
          <w:sz w:val="26"/>
          <w:szCs w:val="26"/>
        </w:rPr>
        <w:t xml:space="preserve">Sala de </w:t>
      </w:r>
      <w:r w:rsidR="00B72F47">
        <w:rPr>
          <w:rFonts w:ascii="Arial" w:eastAsia="Calibri" w:hAnsi="Arial" w:cs="Arial"/>
          <w:bCs/>
          <w:sz w:val="26"/>
          <w:szCs w:val="26"/>
        </w:rPr>
        <w:t>Primera Instancia no fundó su determinación en lo dispuesto por el artículo 179 de la Ley que rige el juicio contencioso administrativo, sino en l</w:t>
      </w:r>
      <w:r w:rsidR="004C4A02">
        <w:rPr>
          <w:rFonts w:ascii="Arial" w:eastAsia="Calibri" w:hAnsi="Arial" w:cs="Arial"/>
          <w:bCs/>
          <w:sz w:val="26"/>
          <w:szCs w:val="26"/>
        </w:rPr>
        <w:t>os</w:t>
      </w:r>
      <w:r w:rsidR="00B72F47">
        <w:rPr>
          <w:rFonts w:ascii="Arial" w:eastAsia="Calibri" w:hAnsi="Arial" w:cs="Arial"/>
          <w:bCs/>
          <w:sz w:val="26"/>
          <w:szCs w:val="26"/>
        </w:rPr>
        <w:t xml:space="preserve"> diverso</w:t>
      </w:r>
      <w:r w:rsidR="004C4A02">
        <w:rPr>
          <w:rFonts w:ascii="Arial" w:eastAsia="Calibri" w:hAnsi="Arial" w:cs="Arial"/>
          <w:bCs/>
          <w:sz w:val="26"/>
          <w:szCs w:val="26"/>
        </w:rPr>
        <w:t>s</w:t>
      </w:r>
      <w:r w:rsidR="00B72F47">
        <w:rPr>
          <w:rFonts w:ascii="Arial" w:eastAsia="Calibri" w:hAnsi="Arial" w:cs="Arial"/>
          <w:bCs/>
          <w:sz w:val="26"/>
          <w:szCs w:val="26"/>
        </w:rPr>
        <w:t xml:space="preserve"> artículo</w:t>
      </w:r>
      <w:r w:rsidR="004C4A02">
        <w:rPr>
          <w:rFonts w:ascii="Arial" w:eastAsia="Calibri" w:hAnsi="Arial" w:cs="Arial"/>
          <w:bCs/>
          <w:sz w:val="26"/>
          <w:szCs w:val="26"/>
        </w:rPr>
        <w:t>s</w:t>
      </w:r>
      <w:r w:rsidR="00B72F47">
        <w:rPr>
          <w:rFonts w:ascii="Arial" w:eastAsia="Calibri" w:hAnsi="Arial" w:cs="Arial"/>
          <w:bCs/>
          <w:sz w:val="26"/>
          <w:szCs w:val="26"/>
        </w:rPr>
        <w:t xml:space="preserve"> </w:t>
      </w:r>
      <w:r w:rsidR="004C4A02">
        <w:rPr>
          <w:rFonts w:ascii="Arial" w:eastAsia="Calibri" w:hAnsi="Arial" w:cs="Arial"/>
          <w:bCs/>
          <w:sz w:val="26"/>
          <w:szCs w:val="26"/>
        </w:rPr>
        <w:t>17 fracción V, 207</w:t>
      </w:r>
      <w:r>
        <w:rPr>
          <w:rFonts w:ascii="Arial" w:eastAsia="Calibri" w:hAnsi="Arial" w:cs="Arial"/>
          <w:bCs/>
          <w:sz w:val="26"/>
          <w:szCs w:val="26"/>
        </w:rPr>
        <w:t>, fracción I</w:t>
      </w:r>
      <w:r w:rsidR="004C4A02">
        <w:rPr>
          <w:rFonts w:ascii="Arial" w:eastAsia="Calibri" w:hAnsi="Arial" w:cs="Arial"/>
          <w:bCs/>
          <w:sz w:val="26"/>
          <w:szCs w:val="26"/>
        </w:rPr>
        <w:t xml:space="preserve">, </w:t>
      </w:r>
      <w:r w:rsidR="00B72F47">
        <w:rPr>
          <w:rFonts w:ascii="Arial" w:eastAsia="Calibri" w:hAnsi="Arial" w:cs="Arial"/>
          <w:bCs/>
          <w:sz w:val="26"/>
          <w:szCs w:val="26"/>
        </w:rPr>
        <w:t xml:space="preserve">208 fracción </w:t>
      </w:r>
      <w:r w:rsidR="004C4A02">
        <w:rPr>
          <w:rFonts w:ascii="Arial" w:eastAsia="Calibri" w:hAnsi="Arial" w:cs="Arial"/>
          <w:bCs/>
          <w:sz w:val="26"/>
          <w:szCs w:val="26"/>
        </w:rPr>
        <w:t xml:space="preserve">II y </w:t>
      </w:r>
      <w:r>
        <w:rPr>
          <w:rFonts w:ascii="Arial" w:eastAsia="Calibri" w:hAnsi="Arial" w:cs="Arial"/>
          <w:bCs/>
          <w:sz w:val="26"/>
          <w:szCs w:val="26"/>
        </w:rPr>
        <w:t>VI,</w:t>
      </w:r>
      <w:r w:rsidR="004C4A02">
        <w:rPr>
          <w:rFonts w:ascii="Arial" w:eastAsia="Calibri" w:hAnsi="Arial" w:cs="Arial"/>
          <w:bCs/>
          <w:sz w:val="26"/>
          <w:szCs w:val="26"/>
        </w:rPr>
        <w:t xml:space="preserve"> </w:t>
      </w:r>
      <w:r w:rsidR="00B72F47">
        <w:rPr>
          <w:rFonts w:ascii="Arial" w:eastAsia="Calibri" w:hAnsi="Arial" w:cs="Arial"/>
          <w:bCs/>
          <w:sz w:val="26"/>
          <w:szCs w:val="26"/>
        </w:rPr>
        <w:t>de la Ley de Procedimiento y Justicia Administrativa para el Estado de Oaxaca</w:t>
      </w:r>
      <w:r w:rsidR="00B235F3">
        <w:rPr>
          <w:rFonts w:ascii="Arial" w:eastAsia="Calibri" w:hAnsi="Arial" w:cs="Arial"/>
          <w:bCs/>
          <w:sz w:val="26"/>
          <w:szCs w:val="26"/>
        </w:rPr>
        <w:t xml:space="preserve">. </w:t>
      </w:r>
      <w:r w:rsidR="00B235F3" w:rsidRPr="00312EEA">
        <w:rPr>
          <w:rFonts w:ascii="Arial" w:eastAsia="Calibri" w:hAnsi="Arial" w:cs="Arial"/>
          <w:bCs/>
          <w:i/>
          <w:sz w:val="24"/>
          <w:szCs w:val="24"/>
        </w:rPr>
        <w:t>“</w:t>
      </w:r>
      <w:r w:rsidRPr="00312EEA">
        <w:rPr>
          <w:rFonts w:ascii="Arial" w:eastAsia="Calibri" w:hAnsi="Arial" w:cs="Arial"/>
          <w:bCs/>
          <w:i/>
          <w:sz w:val="24"/>
          <w:szCs w:val="24"/>
        </w:rPr>
        <w:t xml:space="preserve">(…) De lo anterior se desprende que resulta fundado el concepto de </w:t>
      </w:r>
      <w:r w:rsidR="00312EEA" w:rsidRPr="00312EEA">
        <w:rPr>
          <w:rFonts w:ascii="Arial" w:eastAsia="Calibri" w:hAnsi="Arial" w:cs="Arial"/>
          <w:bCs/>
          <w:i/>
          <w:sz w:val="24"/>
          <w:szCs w:val="24"/>
        </w:rPr>
        <w:t>impugnación</w:t>
      </w:r>
      <w:r w:rsidRPr="00312EEA">
        <w:rPr>
          <w:rFonts w:ascii="Arial" w:eastAsia="Calibri" w:hAnsi="Arial" w:cs="Arial"/>
          <w:bCs/>
          <w:i/>
          <w:sz w:val="24"/>
          <w:szCs w:val="24"/>
        </w:rPr>
        <w:t xml:space="preserve"> hecho valer por la actora en el sentido de que el acta de </w:t>
      </w:r>
      <w:r w:rsidR="00312EEA" w:rsidRPr="00312EEA">
        <w:rPr>
          <w:rFonts w:ascii="Arial" w:eastAsia="Calibri" w:hAnsi="Arial" w:cs="Arial"/>
          <w:bCs/>
          <w:i/>
          <w:sz w:val="24"/>
          <w:szCs w:val="24"/>
        </w:rPr>
        <w:t>infracción</w:t>
      </w:r>
      <w:r w:rsidRPr="00312EEA">
        <w:rPr>
          <w:rFonts w:ascii="Arial" w:eastAsia="Calibri" w:hAnsi="Arial" w:cs="Arial"/>
          <w:bCs/>
          <w:i/>
          <w:sz w:val="24"/>
          <w:szCs w:val="24"/>
        </w:rPr>
        <w:t xml:space="preserve"> impugnada no satisface el requisito de fundamentación y motivación que exigen la fracción V, del </w:t>
      </w:r>
      <w:r w:rsidR="00312EEA" w:rsidRPr="00312EEA">
        <w:rPr>
          <w:rFonts w:ascii="Arial" w:eastAsia="Calibri" w:hAnsi="Arial" w:cs="Arial"/>
          <w:bCs/>
          <w:i/>
          <w:sz w:val="24"/>
          <w:szCs w:val="24"/>
        </w:rPr>
        <w:t>artículo</w:t>
      </w:r>
      <w:r w:rsidRPr="00312EEA">
        <w:rPr>
          <w:rFonts w:ascii="Arial" w:eastAsia="Calibri" w:hAnsi="Arial" w:cs="Arial"/>
          <w:bCs/>
          <w:i/>
          <w:sz w:val="24"/>
          <w:szCs w:val="24"/>
        </w:rPr>
        <w:t xml:space="preserve"> 17</w:t>
      </w:r>
      <w:r w:rsidR="004C4A02" w:rsidRPr="00312EEA">
        <w:rPr>
          <w:rFonts w:ascii="Arial" w:eastAsia="Calibri" w:hAnsi="Arial" w:cs="Arial"/>
          <w:bCs/>
          <w:i/>
          <w:iCs/>
          <w:sz w:val="24"/>
          <w:szCs w:val="24"/>
        </w:rPr>
        <w:t xml:space="preserve"> de la Ley de Procedimiento y Justicia Administ</w:t>
      </w:r>
      <w:r w:rsidR="00312EEA" w:rsidRPr="00312EEA">
        <w:rPr>
          <w:rFonts w:ascii="Arial" w:eastAsia="Calibri" w:hAnsi="Arial" w:cs="Arial"/>
          <w:bCs/>
          <w:i/>
          <w:iCs/>
          <w:sz w:val="24"/>
          <w:szCs w:val="24"/>
        </w:rPr>
        <w:t>rativa para el Estado de Oaxaca (…)</w:t>
      </w:r>
      <w:r w:rsidR="004C4A02" w:rsidRPr="00312EEA">
        <w:rPr>
          <w:rFonts w:ascii="Arial" w:eastAsia="Calibri" w:hAnsi="Arial" w:cs="Arial"/>
          <w:bCs/>
          <w:i/>
          <w:iCs/>
          <w:sz w:val="24"/>
          <w:szCs w:val="24"/>
        </w:rPr>
        <w:t xml:space="preserve"> Por lo expuesto, funda</w:t>
      </w:r>
      <w:r w:rsidR="00B65FA9" w:rsidRPr="00312EEA">
        <w:rPr>
          <w:rFonts w:ascii="Arial" w:eastAsia="Calibri" w:hAnsi="Arial" w:cs="Arial"/>
          <w:bCs/>
          <w:i/>
          <w:iCs/>
          <w:sz w:val="24"/>
          <w:szCs w:val="24"/>
        </w:rPr>
        <w:t>d</w:t>
      </w:r>
      <w:r w:rsidR="004C4A02" w:rsidRPr="00312EEA">
        <w:rPr>
          <w:rFonts w:ascii="Arial" w:eastAsia="Calibri" w:hAnsi="Arial" w:cs="Arial"/>
          <w:bCs/>
          <w:i/>
          <w:iCs/>
          <w:sz w:val="24"/>
          <w:szCs w:val="24"/>
        </w:rPr>
        <w:t>o y motivado, en términos de los artículos 207</w:t>
      </w:r>
      <w:r w:rsidR="00312EEA" w:rsidRPr="00312EEA">
        <w:rPr>
          <w:rFonts w:ascii="Arial" w:eastAsia="Calibri" w:hAnsi="Arial" w:cs="Arial"/>
          <w:bCs/>
          <w:i/>
          <w:iCs/>
          <w:sz w:val="24"/>
          <w:szCs w:val="24"/>
        </w:rPr>
        <w:t>, fracciones I, II y III</w:t>
      </w:r>
      <w:r w:rsidR="00B65FA9" w:rsidRPr="00312EEA">
        <w:rPr>
          <w:rFonts w:ascii="Arial" w:eastAsia="Calibri" w:hAnsi="Arial" w:cs="Arial"/>
          <w:bCs/>
          <w:i/>
          <w:iCs/>
          <w:sz w:val="24"/>
          <w:szCs w:val="24"/>
        </w:rPr>
        <w:t>, 208 fracción II,</w:t>
      </w:r>
      <w:r w:rsidR="00B235F3" w:rsidRPr="00312EEA">
        <w:rPr>
          <w:rFonts w:ascii="Arial" w:eastAsia="Calibri" w:hAnsi="Arial" w:cs="Arial"/>
          <w:bCs/>
          <w:i/>
          <w:iCs/>
          <w:sz w:val="24"/>
          <w:szCs w:val="24"/>
        </w:rPr>
        <w:t xml:space="preserve"> VI,</w:t>
      </w:r>
      <w:r w:rsidR="00312EEA" w:rsidRPr="00312EEA">
        <w:rPr>
          <w:rFonts w:ascii="Arial" w:eastAsia="Calibri" w:hAnsi="Arial" w:cs="Arial"/>
          <w:bCs/>
          <w:i/>
          <w:iCs/>
          <w:sz w:val="24"/>
          <w:szCs w:val="24"/>
        </w:rPr>
        <w:t xml:space="preserve"> </w:t>
      </w:r>
      <w:r w:rsidR="00B65FA9" w:rsidRPr="00312EEA">
        <w:rPr>
          <w:rFonts w:ascii="Arial" w:eastAsia="Calibri" w:hAnsi="Arial" w:cs="Arial"/>
          <w:bCs/>
          <w:i/>
          <w:iCs/>
          <w:sz w:val="24"/>
          <w:szCs w:val="24"/>
        </w:rPr>
        <w:t xml:space="preserve">de la </w:t>
      </w:r>
      <w:r w:rsidR="00B235F3" w:rsidRPr="00312EEA">
        <w:rPr>
          <w:rFonts w:ascii="Arial" w:eastAsia="Calibri" w:hAnsi="Arial" w:cs="Arial"/>
          <w:bCs/>
          <w:i/>
          <w:iCs/>
          <w:sz w:val="24"/>
          <w:szCs w:val="24"/>
        </w:rPr>
        <w:t>Ley de Procedimiento y Justicia Administrativa para el Estado de Oax</w:t>
      </w:r>
      <w:r w:rsidR="00312EEA" w:rsidRPr="00312EEA">
        <w:rPr>
          <w:rFonts w:ascii="Arial" w:eastAsia="Calibri" w:hAnsi="Arial" w:cs="Arial"/>
          <w:bCs/>
          <w:i/>
          <w:iCs/>
          <w:sz w:val="24"/>
          <w:szCs w:val="24"/>
        </w:rPr>
        <w:t>aca (…)</w:t>
      </w:r>
      <w:r w:rsidR="00B235F3" w:rsidRPr="00312EEA">
        <w:rPr>
          <w:rFonts w:ascii="Arial" w:eastAsia="Calibri" w:hAnsi="Arial" w:cs="Arial"/>
          <w:bCs/>
          <w:i/>
          <w:sz w:val="24"/>
          <w:szCs w:val="24"/>
        </w:rPr>
        <w:t>”</w:t>
      </w:r>
      <w:r w:rsidR="00B65FA9" w:rsidRPr="00312EEA">
        <w:rPr>
          <w:rFonts w:ascii="Arial" w:eastAsia="Calibri" w:hAnsi="Arial" w:cs="Arial"/>
          <w:bCs/>
          <w:i/>
          <w:sz w:val="24"/>
          <w:szCs w:val="24"/>
        </w:rPr>
        <w:t>.</w:t>
      </w:r>
    </w:p>
    <w:p w14:paraId="6D6B8EE9" w14:textId="461D21E1" w:rsidR="00B525A6" w:rsidRDefault="000410EE"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B525A6">
        <w:rPr>
          <w:rFonts w:ascii="Arial" w:eastAsia="Calibri" w:hAnsi="Arial" w:cs="Arial"/>
          <w:bCs/>
          <w:sz w:val="26"/>
          <w:szCs w:val="26"/>
        </w:rPr>
        <w:t xml:space="preserve">En consecuencia, ante lo </w:t>
      </w:r>
      <w:r w:rsidR="00B525A6">
        <w:rPr>
          <w:rFonts w:ascii="Arial" w:eastAsia="Calibri" w:hAnsi="Arial" w:cs="Arial"/>
          <w:b/>
          <w:bCs/>
          <w:sz w:val="26"/>
          <w:szCs w:val="26"/>
        </w:rPr>
        <w:t>in</w:t>
      </w:r>
      <w:r w:rsidR="002C0BE0">
        <w:rPr>
          <w:rFonts w:ascii="Arial" w:eastAsia="Calibri" w:hAnsi="Arial" w:cs="Arial"/>
          <w:b/>
          <w:bCs/>
          <w:sz w:val="26"/>
          <w:szCs w:val="26"/>
        </w:rPr>
        <w:t xml:space="preserve">fundado e inoperante </w:t>
      </w:r>
      <w:r w:rsidR="00312EEA">
        <w:rPr>
          <w:rFonts w:ascii="Arial" w:eastAsia="Calibri" w:hAnsi="Arial" w:cs="Arial"/>
          <w:bCs/>
          <w:sz w:val="26"/>
          <w:szCs w:val="26"/>
        </w:rPr>
        <w:t>de los agravios expuestos por el recurrente</w:t>
      </w:r>
      <w:r w:rsidR="00B525A6">
        <w:rPr>
          <w:rFonts w:ascii="Arial" w:eastAsia="Calibri" w:hAnsi="Arial" w:cs="Arial"/>
          <w:bCs/>
          <w:sz w:val="26"/>
          <w:szCs w:val="26"/>
        </w:rPr>
        <w:t xml:space="preserve">, lo procedente es </w:t>
      </w:r>
      <w:r w:rsidR="00B525A6">
        <w:rPr>
          <w:rFonts w:ascii="Arial" w:eastAsia="Calibri" w:hAnsi="Arial" w:cs="Arial"/>
          <w:b/>
          <w:bCs/>
          <w:sz w:val="26"/>
          <w:szCs w:val="26"/>
        </w:rPr>
        <w:t xml:space="preserve">CONFIRMAR </w:t>
      </w:r>
      <w:r w:rsidR="00B525A6">
        <w:rPr>
          <w:rFonts w:ascii="Arial" w:eastAsia="Calibri" w:hAnsi="Arial" w:cs="Arial"/>
          <w:bCs/>
          <w:sz w:val="26"/>
          <w:szCs w:val="26"/>
        </w:rPr>
        <w:t>la sentencia alzada</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1A57BC71"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w:t>
      </w:r>
      <w:r w:rsidR="00312EEA">
        <w:rPr>
          <w:rFonts w:ascii="Arial" w:hAnsi="Arial" w:cs="Arial"/>
          <w:color w:val="000000"/>
          <w:sz w:val="26"/>
          <w:szCs w:val="26"/>
          <w:lang w:val="es-MX"/>
        </w:rPr>
        <w:t xml:space="preserve"> de fecha trece de diciembre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 xml:space="preserve">antecede. </w:t>
      </w:r>
    </w:p>
    <w:p w14:paraId="43AF98EF" w14:textId="32E4FDE3"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Pr>
          <w:rFonts w:ascii="Arial" w:hAnsi="Arial" w:cs="Arial"/>
          <w:sz w:val="26"/>
          <w:szCs w:val="26"/>
        </w:rPr>
        <w:t>Quinta</w:t>
      </w:r>
      <w:r w:rsidR="00B65FA9">
        <w:rPr>
          <w:rFonts w:ascii="Arial" w:hAnsi="Arial" w:cs="Arial"/>
          <w:sz w:val="26"/>
          <w:szCs w:val="26"/>
        </w:rPr>
        <w:t xml:space="preserve"> </w:t>
      </w:r>
      <w:r w:rsidR="0028420C">
        <w:rPr>
          <w:rFonts w:ascii="Arial" w:hAnsi="Arial" w:cs="Arial"/>
          <w:sz w:val="26"/>
          <w:szCs w:val="26"/>
        </w:rPr>
        <w:t xml:space="preserve">Sala Unitaria de Primera </w:t>
      </w:r>
      <w:r w:rsidR="0028420C">
        <w:rPr>
          <w:rFonts w:ascii="Arial" w:hAnsi="Arial" w:cs="Arial"/>
          <w:sz w:val="26"/>
          <w:szCs w:val="26"/>
        </w:rPr>
        <w:lastRenderedPageBreak/>
        <w:t xml:space="preserve">Instancia de este Tribunal y en su oportunidad archívese el presente cuaderno de revisión como asunto </w:t>
      </w:r>
      <w:r>
        <w:rPr>
          <w:rFonts w:ascii="Arial" w:hAnsi="Arial" w:cs="Arial"/>
          <w:sz w:val="26"/>
          <w:szCs w:val="26"/>
        </w:rPr>
        <w:t xml:space="preserve">concluido. </w:t>
      </w:r>
    </w:p>
    <w:p w14:paraId="241B5BF6" w14:textId="77777777" w:rsidR="00C64BA7" w:rsidRDefault="00C64BA7" w:rsidP="00C64BA7">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4A360437" w14:textId="37C94B75" w:rsidR="00C64BA7" w:rsidRDefault="00C64BA7" w:rsidP="00C64BA7">
      <w:pPr>
        <w:tabs>
          <w:tab w:val="left" w:pos="1680"/>
          <w:tab w:val="center" w:pos="4277"/>
        </w:tabs>
        <w:rPr>
          <w:rFonts w:ascii="Arial" w:hAnsi="Arial" w:cs="Arial"/>
          <w:sz w:val="26"/>
          <w:szCs w:val="26"/>
        </w:rPr>
      </w:pPr>
    </w:p>
    <w:p w14:paraId="406095CE" w14:textId="77777777" w:rsidR="00C64BA7" w:rsidRDefault="00C64BA7" w:rsidP="00C64BA7">
      <w:pPr>
        <w:tabs>
          <w:tab w:val="left" w:pos="1680"/>
          <w:tab w:val="center" w:pos="4277"/>
        </w:tabs>
        <w:rPr>
          <w:rFonts w:ascii="Arial" w:hAnsi="Arial" w:cs="Arial"/>
          <w:sz w:val="26"/>
          <w:szCs w:val="26"/>
        </w:rPr>
      </w:pPr>
    </w:p>
    <w:p w14:paraId="154C939D" w14:textId="619F739F" w:rsidR="00C64BA7" w:rsidRDefault="00C64BA7" w:rsidP="00C64BA7">
      <w:pPr>
        <w:tabs>
          <w:tab w:val="left" w:pos="1680"/>
          <w:tab w:val="center" w:pos="4277"/>
        </w:tabs>
        <w:spacing w:line="240" w:lineRule="auto"/>
        <w:jc w:val="center"/>
        <w:rPr>
          <w:rFonts w:ascii="Arial" w:hAnsi="Arial" w:cs="Arial"/>
          <w:sz w:val="26"/>
          <w:szCs w:val="26"/>
        </w:rPr>
      </w:pPr>
    </w:p>
    <w:p w14:paraId="3D2385D6" w14:textId="77777777" w:rsidR="00C64BA7" w:rsidRDefault="00C64BA7" w:rsidP="00C64BA7">
      <w:pPr>
        <w:tabs>
          <w:tab w:val="left" w:pos="1680"/>
          <w:tab w:val="center" w:pos="4277"/>
        </w:tabs>
        <w:spacing w:line="240" w:lineRule="auto"/>
        <w:jc w:val="center"/>
        <w:rPr>
          <w:rFonts w:ascii="Arial" w:hAnsi="Arial" w:cs="Arial"/>
          <w:sz w:val="26"/>
          <w:szCs w:val="26"/>
        </w:rPr>
      </w:pPr>
    </w:p>
    <w:p w14:paraId="35C7BB83" w14:textId="77777777" w:rsidR="00C64BA7" w:rsidRDefault="00C64BA7" w:rsidP="00C64BA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A716363" w14:textId="77777777" w:rsidR="00C64BA7" w:rsidRDefault="00C64BA7" w:rsidP="00C64BA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7AFE9BC9" w14:textId="77777777" w:rsidR="00C64BA7" w:rsidRDefault="00C64BA7" w:rsidP="00C64BA7">
      <w:pPr>
        <w:spacing w:after="0" w:line="360" w:lineRule="auto"/>
        <w:jc w:val="center"/>
        <w:rPr>
          <w:rFonts w:ascii="Arial" w:hAnsi="Arial" w:cs="Arial"/>
          <w:sz w:val="26"/>
          <w:szCs w:val="26"/>
        </w:rPr>
      </w:pPr>
    </w:p>
    <w:p w14:paraId="14AB7186" w14:textId="77777777" w:rsidR="00C64BA7" w:rsidRDefault="00C64BA7" w:rsidP="00C64BA7">
      <w:pPr>
        <w:spacing w:after="0" w:line="360" w:lineRule="auto"/>
        <w:rPr>
          <w:rFonts w:ascii="Arial" w:hAnsi="Arial" w:cs="Arial"/>
          <w:sz w:val="26"/>
          <w:szCs w:val="26"/>
        </w:rPr>
      </w:pPr>
    </w:p>
    <w:p w14:paraId="102ECCC4" w14:textId="77777777" w:rsidR="00C64BA7" w:rsidRDefault="00C64BA7" w:rsidP="00C64BA7">
      <w:pPr>
        <w:spacing w:after="0" w:line="360" w:lineRule="auto"/>
        <w:jc w:val="center"/>
        <w:rPr>
          <w:rFonts w:ascii="Arial" w:hAnsi="Arial" w:cs="Arial"/>
          <w:sz w:val="26"/>
          <w:szCs w:val="26"/>
        </w:rPr>
      </w:pPr>
    </w:p>
    <w:p w14:paraId="6E723FAF" w14:textId="35BCE318" w:rsidR="00C64BA7" w:rsidRDefault="00C64BA7" w:rsidP="00C64BA7">
      <w:pPr>
        <w:spacing w:after="0" w:line="360" w:lineRule="auto"/>
        <w:jc w:val="center"/>
        <w:rPr>
          <w:rFonts w:ascii="Arial" w:hAnsi="Arial" w:cs="Arial"/>
          <w:sz w:val="26"/>
          <w:szCs w:val="26"/>
        </w:rPr>
      </w:pPr>
    </w:p>
    <w:p w14:paraId="2A60E0DE" w14:textId="77777777" w:rsidR="00C64BA7" w:rsidRDefault="00C64BA7" w:rsidP="00C64BA7">
      <w:pPr>
        <w:spacing w:after="0" w:line="360" w:lineRule="auto"/>
        <w:jc w:val="center"/>
        <w:rPr>
          <w:rFonts w:ascii="Arial" w:hAnsi="Arial" w:cs="Arial"/>
          <w:sz w:val="26"/>
          <w:szCs w:val="26"/>
        </w:rPr>
      </w:pPr>
    </w:p>
    <w:p w14:paraId="1596980F" w14:textId="15ECC835" w:rsidR="00C64BA7" w:rsidRDefault="00C64BA7" w:rsidP="00C64BA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D5431AB" w14:textId="77777777" w:rsidR="00C64BA7" w:rsidRDefault="00C64BA7" w:rsidP="00C64BA7">
      <w:pPr>
        <w:tabs>
          <w:tab w:val="center" w:pos="4135"/>
          <w:tab w:val="left" w:pos="7515"/>
        </w:tabs>
        <w:spacing w:after="0" w:line="360" w:lineRule="auto"/>
        <w:jc w:val="center"/>
        <w:rPr>
          <w:rFonts w:ascii="Arial" w:hAnsi="Arial" w:cs="Arial"/>
          <w:sz w:val="26"/>
          <w:szCs w:val="26"/>
        </w:rPr>
      </w:pPr>
    </w:p>
    <w:p w14:paraId="32024C22" w14:textId="77777777" w:rsidR="00C64BA7" w:rsidRDefault="00C64BA7" w:rsidP="00C64BA7">
      <w:pPr>
        <w:tabs>
          <w:tab w:val="center" w:pos="4135"/>
          <w:tab w:val="left" w:pos="7515"/>
        </w:tabs>
        <w:spacing w:after="0" w:line="360" w:lineRule="auto"/>
        <w:jc w:val="center"/>
        <w:rPr>
          <w:rFonts w:ascii="Arial" w:hAnsi="Arial" w:cs="Arial"/>
          <w:sz w:val="26"/>
          <w:szCs w:val="26"/>
        </w:rPr>
      </w:pPr>
    </w:p>
    <w:p w14:paraId="1D2F741E" w14:textId="545FD28E" w:rsidR="00C64BA7" w:rsidRDefault="00C64BA7" w:rsidP="00C64BA7">
      <w:pPr>
        <w:tabs>
          <w:tab w:val="center" w:pos="4135"/>
          <w:tab w:val="left" w:pos="7515"/>
        </w:tabs>
        <w:spacing w:after="0" w:line="360" w:lineRule="auto"/>
        <w:jc w:val="center"/>
        <w:rPr>
          <w:rFonts w:ascii="Arial" w:hAnsi="Arial" w:cs="Arial"/>
          <w:sz w:val="26"/>
          <w:szCs w:val="26"/>
        </w:rPr>
      </w:pPr>
    </w:p>
    <w:p w14:paraId="7B1D7FCD" w14:textId="77777777" w:rsidR="00C64BA7" w:rsidRDefault="00C64BA7" w:rsidP="00C64BA7">
      <w:pPr>
        <w:tabs>
          <w:tab w:val="center" w:pos="4135"/>
          <w:tab w:val="left" w:pos="7515"/>
        </w:tabs>
        <w:spacing w:after="0" w:line="360" w:lineRule="auto"/>
        <w:jc w:val="center"/>
        <w:rPr>
          <w:rFonts w:ascii="Arial" w:hAnsi="Arial" w:cs="Arial"/>
          <w:sz w:val="26"/>
          <w:szCs w:val="26"/>
        </w:rPr>
      </w:pPr>
    </w:p>
    <w:p w14:paraId="40866C7A" w14:textId="77777777" w:rsidR="00C64BA7" w:rsidRDefault="00C64BA7" w:rsidP="00C64BA7">
      <w:pPr>
        <w:tabs>
          <w:tab w:val="center" w:pos="4135"/>
          <w:tab w:val="left" w:pos="7515"/>
        </w:tabs>
        <w:spacing w:after="0" w:line="360" w:lineRule="auto"/>
        <w:jc w:val="center"/>
        <w:rPr>
          <w:rFonts w:ascii="Arial" w:hAnsi="Arial" w:cs="Arial"/>
          <w:sz w:val="26"/>
          <w:szCs w:val="26"/>
        </w:rPr>
      </w:pPr>
    </w:p>
    <w:p w14:paraId="7FFC6C64" w14:textId="77777777" w:rsidR="00C64BA7" w:rsidRDefault="00C64BA7" w:rsidP="00C64BA7">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11D743FF" w14:textId="77777777" w:rsidR="00C64BA7" w:rsidRDefault="00C64BA7" w:rsidP="00C64BA7">
      <w:pPr>
        <w:tabs>
          <w:tab w:val="center" w:pos="4135"/>
          <w:tab w:val="left" w:pos="7515"/>
        </w:tabs>
        <w:spacing w:after="0" w:line="360" w:lineRule="auto"/>
        <w:rPr>
          <w:rFonts w:ascii="Arial" w:hAnsi="Arial" w:cs="Arial"/>
          <w:sz w:val="26"/>
          <w:szCs w:val="26"/>
        </w:rPr>
      </w:pPr>
    </w:p>
    <w:p w14:paraId="0A58574B" w14:textId="77777777" w:rsidR="00C64BA7" w:rsidRDefault="00C64BA7" w:rsidP="00C64BA7">
      <w:pPr>
        <w:tabs>
          <w:tab w:val="center" w:pos="4135"/>
          <w:tab w:val="left" w:pos="7515"/>
        </w:tabs>
        <w:spacing w:line="360" w:lineRule="auto"/>
        <w:jc w:val="center"/>
        <w:rPr>
          <w:rFonts w:ascii="Arial" w:hAnsi="Arial" w:cs="Arial"/>
          <w:sz w:val="26"/>
          <w:szCs w:val="26"/>
        </w:rPr>
      </w:pPr>
    </w:p>
    <w:p w14:paraId="443F8548" w14:textId="77777777" w:rsidR="00C64BA7" w:rsidRDefault="00C64BA7" w:rsidP="00C64BA7">
      <w:pPr>
        <w:tabs>
          <w:tab w:val="center" w:pos="4135"/>
          <w:tab w:val="left" w:pos="7515"/>
        </w:tabs>
        <w:spacing w:line="360" w:lineRule="auto"/>
        <w:jc w:val="center"/>
        <w:rPr>
          <w:rFonts w:ascii="Arial" w:hAnsi="Arial" w:cs="Arial"/>
          <w:sz w:val="26"/>
          <w:szCs w:val="26"/>
        </w:rPr>
      </w:pPr>
    </w:p>
    <w:p w14:paraId="53E8E542" w14:textId="77777777" w:rsidR="00C64BA7" w:rsidRDefault="00C64BA7" w:rsidP="00C64BA7">
      <w:pPr>
        <w:tabs>
          <w:tab w:val="center" w:pos="4135"/>
          <w:tab w:val="left" w:pos="7515"/>
        </w:tabs>
        <w:spacing w:after="0" w:line="360" w:lineRule="auto"/>
        <w:rPr>
          <w:rFonts w:ascii="Arial" w:hAnsi="Arial" w:cs="Arial"/>
          <w:sz w:val="26"/>
          <w:szCs w:val="26"/>
        </w:rPr>
      </w:pPr>
    </w:p>
    <w:p w14:paraId="28B00778" w14:textId="77777777" w:rsidR="00C64BA7" w:rsidRDefault="00C64BA7" w:rsidP="00C64BA7">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041B4F0E" w14:textId="77777777" w:rsidR="00C64BA7" w:rsidRPr="00170297" w:rsidRDefault="00C64BA7" w:rsidP="00C64BA7">
      <w:pPr>
        <w:jc w:val="center"/>
        <w:rPr>
          <w:sz w:val="26"/>
          <w:szCs w:val="26"/>
        </w:rPr>
      </w:pPr>
      <w:r>
        <w:rPr>
          <w:rFonts w:ascii="Arial" w:hAnsi="Arial" w:cs="Arial"/>
          <w:sz w:val="26"/>
          <w:szCs w:val="26"/>
        </w:rPr>
        <w:t>SECRETARIO GENERAL DE ACUERDOS</w:t>
      </w:r>
    </w:p>
    <w:p w14:paraId="26B47200" w14:textId="77777777" w:rsidR="00C64BA7" w:rsidRPr="00D82C07" w:rsidRDefault="00C64BA7" w:rsidP="00C64BA7">
      <w:pPr>
        <w:spacing w:after="120" w:line="360" w:lineRule="auto"/>
        <w:jc w:val="both"/>
        <w:rPr>
          <w:rFonts w:ascii="Arial" w:eastAsia="Calibri" w:hAnsi="Arial" w:cs="Arial"/>
          <w:sz w:val="26"/>
          <w:szCs w:val="26"/>
        </w:rPr>
      </w:pPr>
    </w:p>
    <w:p w14:paraId="5C9B1390" w14:textId="3135210E" w:rsidR="002E1762" w:rsidRDefault="002E1762" w:rsidP="00C64BA7">
      <w:pPr>
        <w:spacing w:before="240" w:line="360" w:lineRule="auto"/>
        <w:ind w:firstLine="708"/>
        <w:jc w:val="both"/>
        <w:rPr>
          <w:sz w:val="26"/>
          <w:szCs w:val="26"/>
        </w:rPr>
      </w:pPr>
    </w:p>
    <w:sectPr w:rsidR="002E1762" w:rsidSect="00C64BA7">
      <w:headerReference w:type="even" r:id="rId8"/>
      <w:headerReference w:type="default" r:id="rId9"/>
      <w:footerReference w:type="default" r:id="rId10"/>
      <w:headerReference w:type="firs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21374" w14:textId="77777777" w:rsidR="00A24B39" w:rsidRDefault="00A24B39">
      <w:pPr>
        <w:spacing w:after="0" w:line="240" w:lineRule="auto"/>
      </w:pPr>
      <w:r>
        <w:separator/>
      </w:r>
    </w:p>
  </w:endnote>
  <w:endnote w:type="continuationSeparator" w:id="0">
    <w:p w14:paraId="3EA86AAB" w14:textId="77777777" w:rsidR="00A24B39" w:rsidRDefault="00A24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6F4B6" w14:textId="37698D65" w:rsidR="00C64BA7" w:rsidRDefault="001B240D">
    <w:pPr>
      <w:pStyle w:val="Piedepgina"/>
    </w:pPr>
    <w:r>
      <w:rPr>
        <w:noProof/>
      </w:rPr>
      <mc:AlternateContent>
        <mc:Choice Requires="wps">
          <w:drawing>
            <wp:anchor distT="45720" distB="45720" distL="114300" distR="114300" simplePos="0" relativeHeight="251667456" behindDoc="0" locked="0" layoutInCell="1" allowOverlap="1" wp14:anchorId="5A8B49CB" wp14:editId="6416152B">
              <wp:simplePos x="0" y="0"/>
              <wp:positionH relativeFrom="column">
                <wp:posOffset>-1489776</wp:posOffset>
              </wp:positionH>
              <wp:positionV relativeFrom="paragraph">
                <wp:posOffset>-5356860</wp:posOffset>
              </wp:positionV>
              <wp:extent cx="1200785" cy="695960"/>
              <wp:effectExtent l="0" t="0" r="18415" b="279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695960"/>
                      </a:xfrm>
                      <a:prstGeom prst="rect">
                        <a:avLst/>
                      </a:prstGeom>
                      <a:solidFill>
                        <a:srgbClr val="FFFFFF"/>
                      </a:solidFill>
                      <a:ln w="9525">
                        <a:solidFill>
                          <a:srgbClr val="000000"/>
                        </a:solidFill>
                        <a:miter lim="800000"/>
                        <a:headEnd/>
                        <a:tailEnd/>
                      </a:ln>
                    </wps:spPr>
                    <wps:txbx>
                      <w:txbxContent>
                        <w:p w14:paraId="29106045" w14:textId="25A65D08" w:rsidR="001B240D" w:rsidRPr="001B240D" w:rsidRDefault="001B240D">
                          <w:pPr>
                            <w:rPr>
                              <w:sz w:val="16"/>
                              <w:szCs w:val="16"/>
                            </w:rPr>
                          </w:pPr>
                          <w:r w:rsidRPr="001B240D">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8B49CB" id="_x0000_t202" coordsize="21600,21600" o:spt="202" path="m,l,21600r21600,l21600,xe">
              <v:stroke joinstyle="miter"/>
              <v:path gradientshapeok="t" o:connecttype="rect"/>
            </v:shapetype>
            <v:shape id="Cuadro de texto 2" o:spid="_x0000_s1026" type="#_x0000_t202" style="position:absolute;margin-left:-117.3pt;margin-top:-421.8pt;width:94.55pt;height:54.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54KQIAAE0EAAAOAAAAZHJzL2Uyb0RvYy54bWysVNuO0zAQfUfiHyy/07RVr9Gmq6VLEdKy&#10;IC18wMR2GgvHE2y3Sfl6xk63VAu8IPxgeTLj45lzZnJz2zeGHZXzGm3BJ6MxZ8oKlNruC/71y+7N&#10;ijMfwEowaFXBT8rz283rVzddm6sp1mikcoxArM+7tuB1CG2eZV7UqgE/wlZZclboGghkun0mHXSE&#10;3phsOh4vsg6dbB0K5T19vR+cfJPwq0qJ8KmqvArMFJxyC2l3aS/jnm1uIN87aGstzmnAP2TRgLb0&#10;6AXqHgKwg9O/QTVaOPRYhZHAJsOq0kKlGqiayfhFNU81tCrVQuT49kKT/3+w4vH42TEtCz6dLDmz&#10;0JBI2wNIh0wqFlQfkE0jTV3rc4p+aik+9G+xJ7lTyb59QPHNM4vbGuxe3TmHXa1AUpqTeDO7ujrg&#10;+AhSdh9R0mtwCJiA+so1kUNihRE6yXW6SER5MBGfJNGXqzlngnyL9Xy9SBpmkD/fbp0P7xU2LB4K&#10;7qgFEjocH3yI2UD+HBIf82i03GljkuH25dY4dgRql11aqYAXYcayruDr+XQ+EPBXiHFaf4JodKC+&#10;N7op+OoSBHmk7Z2VqSsDaDOcKWVjzzxG6gYSQ1/2Z11KlCdi1OHQ3zSPdKjR/eCso94uuP9+AKc4&#10;Mx8sqbKezGZxGJIxmy+nZLhrT3ntASsIquCBs+G4DWmAImEW70i9Sidio8xDJudcqWcT3+f5ikNx&#10;baeoX3+BzU8AAAD//wMAUEsDBBQABgAIAAAAIQABWxfe4gAAAA4BAAAPAAAAZHJzL2Rvd25yZXYu&#10;eG1sTI/BTsMwDIbvSLxDZCQuqEtZs66UphNCArEbDATXrMnaisYpSdaVt8ec4PZZ/vX7c7WZ7cAm&#10;40PvUML1IgVmsHG6x1bC2+tDUgALUaFWg0Mj4dsE2NTnZ5UqtTvhi5l2sWVUgqFUEroYx5Lz0HTG&#10;qrBwo0HaHZy3KtLoW669OlG5HfgyTXNuVY90oVOjue9M87k7WgmFeJo+wjZ7fm/yw3ATr9bT45eX&#10;8vJivrsFFs0c/8Lwq0/qUJPT3h1RBzZISJaZyClLVIiMiDKJWK2A7QnWmUiB1xX//0b9AwAA//8D&#10;AFBLAQItABQABgAIAAAAIQC2gziS/gAAAOEBAAATAAAAAAAAAAAAAAAAAAAAAABbQ29udGVudF9U&#10;eXBlc10ueG1sUEsBAi0AFAAGAAgAAAAhADj9If/WAAAAlAEAAAsAAAAAAAAAAAAAAAAALwEAAF9y&#10;ZWxzLy5yZWxzUEsBAi0AFAAGAAgAAAAhAB65LngpAgAATQQAAA4AAAAAAAAAAAAAAAAALgIAAGRy&#10;cy9lMm9Eb2MueG1sUEsBAi0AFAAGAAgAAAAhAAFbF97iAAAADgEAAA8AAAAAAAAAAAAAAAAAgwQA&#10;AGRycy9kb3ducmV2LnhtbFBLBQYAAAAABAAEAPMAAACSBQAAAAA=&#10;">
              <v:textbox>
                <w:txbxContent>
                  <w:p w14:paraId="29106045" w14:textId="25A65D08" w:rsidR="001B240D" w:rsidRPr="001B240D" w:rsidRDefault="001B240D">
                    <w:pPr>
                      <w:rPr>
                        <w:sz w:val="16"/>
                        <w:szCs w:val="16"/>
                      </w:rPr>
                    </w:pPr>
                    <w:r w:rsidRPr="001B240D">
                      <w:rPr>
                        <w:sz w:val="16"/>
                        <w:szCs w:val="16"/>
                      </w:rPr>
                      <w:t xml:space="preserve">Los datos personales están protegidos por el art.116 de la LGTAIP y el art.56 de la LTAIPEO.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94994" w14:textId="77777777" w:rsidR="00A24B39" w:rsidRDefault="00A24B39">
      <w:pPr>
        <w:spacing w:after="0" w:line="240" w:lineRule="auto"/>
      </w:pPr>
      <w:r>
        <w:separator/>
      </w:r>
    </w:p>
  </w:footnote>
  <w:footnote w:type="continuationSeparator" w:id="0">
    <w:p w14:paraId="524201CA" w14:textId="77777777" w:rsidR="00A24B39" w:rsidRDefault="00A24B39">
      <w:pPr>
        <w:spacing w:after="0" w:line="240" w:lineRule="auto"/>
      </w:pPr>
      <w:r>
        <w:continuationSeparator/>
      </w:r>
    </w:p>
  </w:footnote>
  <w:footnote w:id="1">
    <w:p w14:paraId="2DFD4307" w14:textId="77777777" w:rsidR="005274F2" w:rsidRDefault="005274F2" w:rsidP="005274F2">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680134FD" w14:textId="62BB4B48" w:rsidR="005274F2" w:rsidRDefault="005274F2" w:rsidP="005274F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14:paraId="115AB8C3" w14:textId="77777777" w:rsidR="005274F2" w:rsidRPr="002E365A" w:rsidRDefault="005274F2" w:rsidP="005274F2">
      <w:pPr>
        <w:pStyle w:val="Textonotapie"/>
        <w:jc w:val="both"/>
        <w:rPr>
          <w:lang w:val="es-MX"/>
        </w:rPr>
      </w:pPr>
      <w:r>
        <w:rPr>
          <w:lang w:val="es-MX"/>
        </w:rPr>
        <w:t xml:space="preserve">   …”</w:t>
      </w:r>
    </w:p>
  </w:footnote>
  <w:footnote w:id="2">
    <w:p w14:paraId="2B332695" w14:textId="1F366D38" w:rsidR="00E52319" w:rsidRPr="00E52319" w:rsidRDefault="00E52319">
      <w:pPr>
        <w:pStyle w:val="Textonotapie"/>
        <w:rPr>
          <w:lang w:val="es-MX"/>
        </w:rPr>
      </w:pPr>
      <w:r>
        <w:rPr>
          <w:rStyle w:val="Refdenotaalpie"/>
        </w:rPr>
        <w:footnoteRef/>
      </w:r>
      <w:r>
        <w:t xml:space="preserve"> </w:t>
      </w:r>
      <w:r>
        <w:rPr>
          <w:lang w:val="es-MX"/>
        </w:rPr>
        <w:t>“</w:t>
      </w:r>
      <w:r w:rsidRPr="00E52319">
        <w:rPr>
          <w:b/>
          <w:lang w:val="es-MX"/>
        </w:rPr>
        <w:t>ARTÍCULO 149.-</w:t>
      </w:r>
      <w:r>
        <w:rPr>
          <w:lang w:val="es-MX"/>
        </w:rPr>
        <w:t xml:space="preserve"> El juicio ante el Tribunal será de estricto derecho, pero se deberá suplir la deficiencia de la queja siempre que se trate del administrado.”</w:t>
      </w:r>
    </w:p>
  </w:footnote>
  <w:footnote w:id="3">
    <w:p w14:paraId="625169B5" w14:textId="7BBCB869" w:rsidR="00D818E1" w:rsidRPr="00085720" w:rsidRDefault="00D818E1" w:rsidP="00085720">
      <w:pPr>
        <w:pStyle w:val="Textonotapie"/>
        <w:jc w:val="both"/>
        <w:rPr>
          <w:b/>
          <w:sz w:val="18"/>
          <w:szCs w:val="18"/>
          <w:lang w:val="es-MX"/>
        </w:rPr>
      </w:pPr>
      <w:r>
        <w:rPr>
          <w:rStyle w:val="Refdenotaalpie"/>
        </w:rPr>
        <w:footnoteRef/>
      </w:r>
      <w:r>
        <w:t xml:space="preserve"> </w:t>
      </w:r>
      <w:r w:rsidR="00085720" w:rsidRPr="00085720">
        <w:rPr>
          <w:sz w:val="18"/>
          <w:szCs w:val="18"/>
          <w:lang w:val="es-MX"/>
        </w:rPr>
        <w:t>“</w:t>
      </w:r>
      <w:r w:rsidR="00085720" w:rsidRPr="00085720">
        <w:rPr>
          <w:b/>
          <w:sz w:val="18"/>
          <w:szCs w:val="18"/>
          <w:lang w:val="es-MX"/>
        </w:rPr>
        <w:t xml:space="preserve">CONCEPTOS DE VIOLACIÓN. RESULTAN INOPERANTES POR INSUFICIENTES SI NO ATACAN TODOS LOS ARGUMENTOS QUE SUSTENTAN EL SENTIDO DE LA SENTENCIA COMBATIDA. </w:t>
      </w:r>
      <w:r w:rsidR="00085720" w:rsidRPr="00085720">
        <w:rPr>
          <w:sz w:val="18"/>
          <w:szCs w:val="18"/>
          <w:lang w:val="es-MX"/>
        </w:rPr>
        <w:t>Resultan inoperantes los conceptos de violación expuestos en la demanda de amparo directo que no controvierten todas las consideraciones y fundamentos torales del fallo reclamado, cuando, por sí solos, pueden sustentar el sentido de aquél, por lo que al no haberse controvertido y, por ende, no demostrarse su ilegalidad, éstos continúan rigiendo el sentido de la resolución combatida en el juicio constitucional. De ahí que los conceptos de violación resulten inoperantes por insuficientes, pues aun de resultar fundados no podrían conducir a conceder la protección constitucional solicitada.”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47B69BC3" w:rsidR="00534AC4" w:rsidRDefault="00A24B39" w:rsidP="00D25099">
        <w:pPr>
          <w:pStyle w:val="Encabezado"/>
          <w:jc w:val="center"/>
        </w:pPr>
        <w:r>
          <w:rPr>
            <w:noProof/>
          </w:rPr>
          <w:pict w14:anchorId="438262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722344" o:spid="_x0000_s206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PAGE   \* MERGEFORMAT</w:instrText>
        </w:r>
        <w:r w:rsidR="00C158D5">
          <w:fldChar w:fldCharType="separate"/>
        </w:r>
        <w:r w:rsidR="001B240D">
          <w:rPr>
            <w:noProof/>
          </w:rPr>
          <w:t>8</w:t>
        </w:r>
        <w:r w:rsidR="00C158D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76E64" w14:textId="15B0F275" w:rsidR="001B240D" w:rsidRDefault="001B240D" w:rsidP="00206B99">
    <w:pPr>
      <w:pStyle w:val="Encabezado"/>
      <w:jc w:val="center"/>
    </w:pPr>
  </w:p>
  <w:sdt>
    <w:sdtPr>
      <w:id w:val="-1748483066"/>
      <w:docPartObj>
        <w:docPartGallery w:val="Page Numbers (Top of Page)"/>
        <w:docPartUnique/>
      </w:docPartObj>
    </w:sdtPr>
    <w:sdtEndPr/>
    <w:sdtContent>
      <w:p w14:paraId="297359AB" w14:textId="79DA9400" w:rsidR="00534AC4" w:rsidRDefault="00A24B39" w:rsidP="00206B99">
        <w:pPr>
          <w:pStyle w:val="Encabezado"/>
          <w:jc w:val="center"/>
          <w:rPr>
            <w:noProof/>
          </w:rPr>
        </w:pPr>
        <w:r>
          <w:rPr>
            <w:noProof/>
          </w:rPr>
          <w:pict w14:anchorId="44DCAA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722345" o:spid="_x0000_s206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C158D5">
          <w:fldChar w:fldCharType="begin"/>
        </w:r>
        <w:r w:rsidR="00C158D5">
          <w:instrText xml:space="preserve"> PAGE   \* MERGEFORMAT </w:instrText>
        </w:r>
        <w:r w:rsidR="00C158D5">
          <w:fldChar w:fldCharType="separate"/>
        </w:r>
        <w:r w:rsidR="001B240D">
          <w:rPr>
            <w:noProof/>
          </w:rPr>
          <w:t>9</w:t>
        </w:r>
        <w:r w:rsidR="00C158D5">
          <w:rPr>
            <w:noProof/>
          </w:rPr>
          <w:fldChar w:fldCharType="end"/>
        </w:r>
      </w:p>
      <w:p w14:paraId="4943CA9D" w14:textId="75463F63" w:rsidR="00534AC4" w:rsidRDefault="00A24B39" w:rsidP="008C74CA">
        <w:pPr>
          <w:pStyle w:val="Encabezado"/>
          <w:jc w:val="center"/>
        </w:pPr>
      </w:p>
    </w:sdtContent>
  </w:sdt>
  <w:p w14:paraId="48C0CC8A" w14:textId="180A0A1C" w:rsidR="00534AC4" w:rsidRDefault="00534AC4" w:rsidP="00256B01">
    <w:pPr>
      <w:pStyle w:val="Encabezado"/>
      <w:jc w:val="center"/>
    </w:pPr>
  </w:p>
  <w:p w14:paraId="2773AC5E" w14:textId="666E7ACA" w:rsidR="00534AC4" w:rsidRDefault="00C64BA7" w:rsidP="00256B01">
    <w:pPr>
      <w:pStyle w:val="Encabezado"/>
      <w:jc w:val="center"/>
    </w:pPr>
    <w:r>
      <w:rPr>
        <w:noProof/>
        <w:lang w:val="es-MX" w:eastAsia="es-MX"/>
      </w:rPr>
      <mc:AlternateContent>
        <mc:Choice Requires="wpg">
          <w:drawing>
            <wp:anchor distT="0" distB="0" distL="114300" distR="114300" simplePos="0" relativeHeight="251662336" behindDoc="0" locked="0" layoutInCell="1" allowOverlap="1" wp14:anchorId="160EAE52" wp14:editId="4B259541">
              <wp:simplePos x="0" y="0"/>
              <wp:positionH relativeFrom="margin">
                <wp:posOffset>-1428750</wp:posOffset>
              </wp:positionH>
              <wp:positionV relativeFrom="page">
                <wp:posOffset>5652135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44BAC55" id="Grupo 3" o:spid="_x0000_s1026" style="position:absolute;margin-left:-112.5pt;margin-top:445.05pt;width:90pt;height:63.6pt;z-index:251662336;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mK8W&#10;O+MAAAANAQAADwAAAGRycy9kb3ducmV2LnhtbEyPwU7DMAyG70i8Q2Qkbl2SjsEoTadpAk4TEhsS&#10;4pY1Xlutcaoma7u3JzvB0fan39+frybbsgF73zhSIGcCGFLpTEOVgq/9W7IE5oMmo1tHqOCCHlbF&#10;7U2uM+NG+sRhFyoWQ8hnWkEdQpdx7ssarfYz1yHF29H1Voc49hU3vR5juG15KsQjt7qh+KHWHW5q&#10;LE+7s1XwPupxPZevw/Z03Fx+9ouP761Epe7vpvULsIBT+IPhqh/VoYhOB3cm41mrIEnTRSwTFCyf&#10;hQQWkeThujlEVsinOfAi5/9bFL8AAAD//wMAUEsBAi0AFAAGAAgAAAAhALaDOJL+AAAA4QEAABMA&#10;AAAAAAAAAAAAAAAAAAAAAFtDb250ZW50X1R5cGVzXS54bWxQSwECLQAUAAYACAAAACEAOP0h/9YA&#10;AACUAQAACwAAAAAAAAAAAAAAAAAvAQAAX3JlbHMvLnJlbHNQSwECLQAUAAYACAAAACEA5zX7GIJJ&#10;AAByrAEADgAAAAAAAAAAAAAAAAAuAgAAZHJzL2Uyb0RvYy54bWxQSwECLQAUAAYACAAAACEAmK8W&#10;O+MAAAANAQAADwAAAAAAAAAAAAAAAADcSwAAZHJzL2Rvd25yZXYueG1sUEsFBgAAAAAEAAQA8wAA&#10;AOx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16E463" w14:textId="39035F94" w:rsidR="00C64BA7" w:rsidRDefault="00A24B39">
    <w:pPr>
      <w:pStyle w:val="Encabezado"/>
    </w:pPr>
    <w:r>
      <w:rPr>
        <w:noProof/>
      </w:rPr>
      <w:pict w14:anchorId="51767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722343" o:spid="_x0000_s206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5CE8"/>
    <w:rsid w:val="0005701D"/>
    <w:rsid w:val="00057174"/>
    <w:rsid w:val="00057817"/>
    <w:rsid w:val="000612E4"/>
    <w:rsid w:val="000616B5"/>
    <w:rsid w:val="00070777"/>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4546"/>
    <w:rsid w:val="0009618C"/>
    <w:rsid w:val="000961D2"/>
    <w:rsid w:val="000A1494"/>
    <w:rsid w:val="000A4E40"/>
    <w:rsid w:val="000A55D7"/>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329B"/>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240D"/>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65F9"/>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61AD"/>
    <w:rsid w:val="00496E71"/>
    <w:rsid w:val="00497E3B"/>
    <w:rsid w:val="004A2326"/>
    <w:rsid w:val="004A319F"/>
    <w:rsid w:val="004A4ECC"/>
    <w:rsid w:val="004A54A3"/>
    <w:rsid w:val="004B02D5"/>
    <w:rsid w:val="004B3A33"/>
    <w:rsid w:val="004B3D2E"/>
    <w:rsid w:val="004B483F"/>
    <w:rsid w:val="004B6F87"/>
    <w:rsid w:val="004B748E"/>
    <w:rsid w:val="004B74CE"/>
    <w:rsid w:val="004B7A3D"/>
    <w:rsid w:val="004C049E"/>
    <w:rsid w:val="004C10F3"/>
    <w:rsid w:val="004C20AC"/>
    <w:rsid w:val="004C3E7C"/>
    <w:rsid w:val="004C4306"/>
    <w:rsid w:val="004C456C"/>
    <w:rsid w:val="004C489E"/>
    <w:rsid w:val="004C4A02"/>
    <w:rsid w:val="004C57A9"/>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3275"/>
    <w:rsid w:val="005E40A8"/>
    <w:rsid w:val="005E48F2"/>
    <w:rsid w:val="005E5273"/>
    <w:rsid w:val="005E74C5"/>
    <w:rsid w:val="005E76E1"/>
    <w:rsid w:val="005F0B76"/>
    <w:rsid w:val="005F0D57"/>
    <w:rsid w:val="005F1575"/>
    <w:rsid w:val="005F2C92"/>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414F"/>
    <w:rsid w:val="00815878"/>
    <w:rsid w:val="0082010D"/>
    <w:rsid w:val="00821C04"/>
    <w:rsid w:val="00822141"/>
    <w:rsid w:val="0083002A"/>
    <w:rsid w:val="00830884"/>
    <w:rsid w:val="00830ED6"/>
    <w:rsid w:val="00831537"/>
    <w:rsid w:val="00832757"/>
    <w:rsid w:val="00832BFA"/>
    <w:rsid w:val="00832FE5"/>
    <w:rsid w:val="0084114B"/>
    <w:rsid w:val="00841573"/>
    <w:rsid w:val="00841CA9"/>
    <w:rsid w:val="0084256F"/>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797"/>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4B39"/>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B1C"/>
    <w:rsid w:val="00AA512C"/>
    <w:rsid w:val="00AB00F1"/>
    <w:rsid w:val="00AB0764"/>
    <w:rsid w:val="00AB10A6"/>
    <w:rsid w:val="00AB19C6"/>
    <w:rsid w:val="00AB1E7B"/>
    <w:rsid w:val="00AB2CB9"/>
    <w:rsid w:val="00AB4741"/>
    <w:rsid w:val="00AB628D"/>
    <w:rsid w:val="00AB641E"/>
    <w:rsid w:val="00AC1530"/>
    <w:rsid w:val="00AC1D64"/>
    <w:rsid w:val="00AC2BA3"/>
    <w:rsid w:val="00AC5EBC"/>
    <w:rsid w:val="00AD0059"/>
    <w:rsid w:val="00AD0330"/>
    <w:rsid w:val="00AD1E25"/>
    <w:rsid w:val="00AD38ED"/>
    <w:rsid w:val="00AD4282"/>
    <w:rsid w:val="00AD77FD"/>
    <w:rsid w:val="00AE1A7A"/>
    <w:rsid w:val="00AE4894"/>
    <w:rsid w:val="00AE5AC8"/>
    <w:rsid w:val="00AF15FC"/>
    <w:rsid w:val="00AF3316"/>
    <w:rsid w:val="00AF6B54"/>
    <w:rsid w:val="00AF6F6A"/>
    <w:rsid w:val="00B049EC"/>
    <w:rsid w:val="00B04DD6"/>
    <w:rsid w:val="00B078A6"/>
    <w:rsid w:val="00B10264"/>
    <w:rsid w:val="00B10FF6"/>
    <w:rsid w:val="00B1212B"/>
    <w:rsid w:val="00B14213"/>
    <w:rsid w:val="00B15800"/>
    <w:rsid w:val="00B173E2"/>
    <w:rsid w:val="00B177F2"/>
    <w:rsid w:val="00B216FE"/>
    <w:rsid w:val="00B2186A"/>
    <w:rsid w:val="00B235F3"/>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25A6"/>
    <w:rsid w:val="00B53176"/>
    <w:rsid w:val="00B55C20"/>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19"/>
    <w:rsid w:val="00BA0E31"/>
    <w:rsid w:val="00BA2FEE"/>
    <w:rsid w:val="00BA42E0"/>
    <w:rsid w:val="00BA485B"/>
    <w:rsid w:val="00BB1D6B"/>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2510"/>
    <w:rsid w:val="00C539E3"/>
    <w:rsid w:val="00C53F32"/>
    <w:rsid w:val="00C55168"/>
    <w:rsid w:val="00C56885"/>
    <w:rsid w:val="00C57680"/>
    <w:rsid w:val="00C57997"/>
    <w:rsid w:val="00C57C9F"/>
    <w:rsid w:val="00C57DE8"/>
    <w:rsid w:val="00C606BD"/>
    <w:rsid w:val="00C607C9"/>
    <w:rsid w:val="00C6230B"/>
    <w:rsid w:val="00C625C8"/>
    <w:rsid w:val="00C64BA7"/>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621B"/>
    <w:rsid w:val="00CB65EC"/>
    <w:rsid w:val="00CB6E8A"/>
    <w:rsid w:val="00CC1DB1"/>
    <w:rsid w:val="00CC1F58"/>
    <w:rsid w:val="00CC7CEF"/>
    <w:rsid w:val="00CD0468"/>
    <w:rsid w:val="00CD1491"/>
    <w:rsid w:val="00CD2E70"/>
    <w:rsid w:val="00CD353C"/>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3450"/>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F33"/>
    <w:rsid w:val="00FE7A9A"/>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90023-A20C-4012-B380-A0737AB1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2836</Words>
  <Characters>15601</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17</cp:revision>
  <cp:lastPrinted>2018-11-28T17:50:00Z</cp:lastPrinted>
  <dcterms:created xsi:type="dcterms:W3CDTF">2020-05-13T18:56:00Z</dcterms:created>
  <dcterms:modified xsi:type="dcterms:W3CDTF">2021-01-21T18:09:00Z</dcterms:modified>
</cp:coreProperties>
</file>