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242A6C" w:rsidRPr="00EC6408" w14:paraId="1CEF8E25" w14:textId="77777777" w:rsidTr="00EC116C">
        <w:tc>
          <w:tcPr>
            <w:tcW w:w="2356" w:type="dxa"/>
          </w:tcPr>
          <w:p w14:paraId="109E4796" w14:textId="77777777" w:rsidR="00242A6C" w:rsidRDefault="00242A6C" w:rsidP="00EC116C">
            <w:pPr>
              <w:pStyle w:val="Sinespaciado"/>
              <w:spacing w:line="276" w:lineRule="auto"/>
            </w:pPr>
            <w:r>
              <w:t xml:space="preserve">  </w:t>
            </w:r>
          </w:p>
        </w:tc>
        <w:tc>
          <w:tcPr>
            <w:tcW w:w="7426" w:type="dxa"/>
          </w:tcPr>
          <w:p w14:paraId="232CF3E0" w14:textId="77777777" w:rsidR="00242A6C" w:rsidRDefault="00242A6C" w:rsidP="00EC116C">
            <w:pPr>
              <w:tabs>
                <w:tab w:val="left" w:pos="3103"/>
              </w:tabs>
              <w:ind w:left="1119" w:right="497" w:hanging="1119"/>
              <w:jc w:val="both"/>
              <w:rPr>
                <w:rFonts w:ascii="Arial" w:hAnsi="Arial" w:cs="Arial"/>
                <w:b/>
                <w:i/>
                <w:iCs/>
                <w:caps/>
                <w:sz w:val="26"/>
                <w:szCs w:val="26"/>
              </w:rPr>
            </w:pPr>
            <w:r>
              <w:rPr>
                <w:rFonts w:ascii="Arial" w:hAnsi="Arial" w:cs="Arial"/>
                <w:b/>
                <w:i/>
                <w:iCs/>
                <w:caps/>
                <w:sz w:val="26"/>
                <w:szCs w:val="26"/>
              </w:rPr>
              <w:t xml:space="preserve">              </w:t>
            </w:r>
          </w:p>
          <w:p w14:paraId="7646FF06" w14:textId="0F663926" w:rsidR="00242A6C" w:rsidRPr="00EC6408" w:rsidRDefault="00242A6C" w:rsidP="00CD6ED4">
            <w:pPr>
              <w:tabs>
                <w:tab w:val="left" w:pos="3103"/>
              </w:tabs>
              <w:ind w:left="1119" w:right="497" w:hanging="1119"/>
              <w:jc w:val="both"/>
              <w:rPr>
                <w:rFonts w:ascii="Arial" w:hAnsi="Arial" w:cs="Arial"/>
                <w:b/>
                <w:iCs/>
                <w:caps/>
                <w:sz w:val="26"/>
                <w:szCs w:val="26"/>
              </w:rPr>
            </w:pPr>
            <w:r>
              <w:rPr>
                <w:rFonts w:ascii="Arial" w:hAnsi="Arial" w:cs="Arial"/>
                <w:b/>
                <w:i/>
                <w:iCs/>
                <w:caps/>
                <w:sz w:val="26"/>
                <w:szCs w:val="26"/>
              </w:rPr>
              <w:t xml:space="preserve">               </w:t>
            </w:r>
            <w:r w:rsidRPr="00EC6408">
              <w:rPr>
                <w:rFonts w:ascii="Arial" w:hAnsi="Arial" w:cs="Arial"/>
                <w:b/>
                <w:iCs/>
                <w:caps/>
                <w:sz w:val="26"/>
                <w:szCs w:val="26"/>
              </w:rPr>
              <w:t>SALA SUPERIOR DEL TRIBUNAL DE JUSTICIA ADMINISTRATIVA DEL ESTADO de oaxaca.</w:t>
            </w:r>
          </w:p>
          <w:p w14:paraId="1CB28AA9" w14:textId="711105E1" w:rsidR="00242A6C" w:rsidRPr="00EC6408" w:rsidRDefault="00242A6C" w:rsidP="00EC116C">
            <w:pPr>
              <w:pStyle w:val="Encabezado"/>
              <w:spacing w:line="276" w:lineRule="auto"/>
              <w:ind w:right="51"/>
              <w:jc w:val="both"/>
              <w:rPr>
                <w:rFonts w:ascii="Arial" w:hAnsi="Arial" w:cs="Arial"/>
                <w:b/>
                <w:iCs/>
                <w:caps/>
                <w:sz w:val="26"/>
                <w:szCs w:val="26"/>
                <w:lang w:val="es-PE"/>
              </w:rPr>
            </w:pPr>
            <w:r w:rsidRPr="00EC6408">
              <w:rPr>
                <w:rFonts w:ascii="Arial" w:hAnsi="Arial" w:cs="Arial"/>
                <w:b/>
                <w:iCs/>
                <w:caps/>
                <w:sz w:val="26"/>
                <w:szCs w:val="26"/>
                <w:lang w:val="es-PE"/>
              </w:rPr>
              <w:t xml:space="preserve">               RECURSO DE REVISIÓN:   </w:t>
            </w:r>
            <w:r w:rsidR="006250B6" w:rsidRPr="00EC6408">
              <w:rPr>
                <w:rFonts w:ascii="Arial" w:hAnsi="Arial" w:cs="Arial"/>
                <w:b/>
                <w:iCs/>
                <w:caps/>
                <w:sz w:val="26"/>
                <w:szCs w:val="26"/>
                <w:lang w:val="es-PE"/>
              </w:rPr>
              <w:t>61</w:t>
            </w:r>
            <w:r w:rsidRPr="00EC6408">
              <w:rPr>
                <w:rFonts w:ascii="Arial" w:hAnsi="Arial" w:cs="Arial"/>
                <w:b/>
                <w:iCs/>
                <w:caps/>
                <w:sz w:val="26"/>
                <w:szCs w:val="26"/>
                <w:lang w:val="es-PE"/>
              </w:rPr>
              <w:t>/2020.</w:t>
            </w:r>
          </w:p>
          <w:p w14:paraId="087E2414" w14:textId="77777777" w:rsidR="00242A6C" w:rsidRPr="00EC6408" w:rsidRDefault="00242A6C" w:rsidP="00EC116C">
            <w:pPr>
              <w:pStyle w:val="Encabezado"/>
              <w:spacing w:line="276" w:lineRule="auto"/>
              <w:ind w:right="51"/>
              <w:jc w:val="both"/>
              <w:rPr>
                <w:rFonts w:ascii="Arial" w:hAnsi="Arial" w:cs="Arial"/>
                <w:b/>
                <w:iCs/>
                <w:caps/>
                <w:sz w:val="26"/>
                <w:szCs w:val="26"/>
                <w:lang w:val="es-PE"/>
              </w:rPr>
            </w:pPr>
          </w:p>
          <w:p w14:paraId="6A3ACCF5" w14:textId="3340AF82" w:rsidR="00242A6C" w:rsidRPr="00EC6408" w:rsidRDefault="00242A6C" w:rsidP="00EC116C">
            <w:pPr>
              <w:pStyle w:val="Encabezado"/>
              <w:spacing w:line="276" w:lineRule="auto"/>
              <w:ind w:left="1119" w:right="497" w:hanging="1119"/>
              <w:jc w:val="both"/>
              <w:rPr>
                <w:rFonts w:ascii="Arial" w:hAnsi="Arial" w:cs="Arial"/>
                <w:b/>
                <w:iCs/>
                <w:caps/>
                <w:sz w:val="26"/>
                <w:szCs w:val="26"/>
                <w:lang w:val="es-PE"/>
              </w:rPr>
            </w:pPr>
            <w:r w:rsidRPr="00EC6408">
              <w:rPr>
                <w:rFonts w:ascii="Arial" w:hAnsi="Arial" w:cs="Arial"/>
                <w:b/>
                <w:iCs/>
                <w:caps/>
                <w:sz w:val="26"/>
                <w:szCs w:val="26"/>
                <w:lang w:val="es-PE"/>
              </w:rPr>
              <w:t xml:space="preserve">                EXPEDIENTE: </w:t>
            </w:r>
            <w:r w:rsidR="006250B6" w:rsidRPr="00EC6408">
              <w:rPr>
                <w:rFonts w:ascii="Arial" w:hAnsi="Arial" w:cs="Arial"/>
                <w:b/>
                <w:iCs/>
                <w:caps/>
                <w:sz w:val="26"/>
                <w:szCs w:val="26"/>
                <w:lang w:val="es-PE"/>
              </w:rPr>
              <w:t>93</w:t>
            </w:r>
            <w:r w:rsidR="002007A4" w:rsidRPr="00EC6408">
              <w:rPr>
                <w:rFonts w:ascii="Arial" w:hAnsi="Arial" w:cs="Arial"/>
                <w:b/>
                <w:iCs/>
                <w:caps/>
                <w:sz w:val="26"/>
                <w:szCs w:val="26"/>
                <w:lang w:val="es-PE"/>
              </w:rPr>
              <w:t>/20</w:t>
            </w:r>
            <w:r w:rsidR="009C7C5D" w:rsidRPr="00EC6408">
              <w:rPr>
                <w:rFonts w:ascii="Arial" w:hAnsi="Arial" w:cs="Arial"/>
                <w:b/>
                <w:iCs/>
                <w:caps/>
                <w:sz w:val="26"/>
                <w:szCs w:val="26"/>
                <w:lang w:val="es-PE"/>
              </w:rPr>
              <w:t>20</w:t>
            </w:r>
            <w:r w:rsidRPr="00EC6408">
              <w:rPr>
                <w:rFonts w:ascii="Arial" w:hAnsi="Arial" w:cs="Arial"/>
                <w:b/>
                <w:iCs/>
                <w:caps/>
                <w:sz w:val="26"/>
                <w:szCs w:val="26"/>
                <w:lang w:val="es-PE"/>
              </w:rPr>
              <w:t xml:space="preserve"> de la </w:t>
            </w:r>
            <w:r w:rsidR="006250B6" w:rsidRPr="00EC6408">
              <w:rPr>
                <w:rFonts w:ascii="Arial" w:hAnsi="Arial" w:cs="Arial"/>
                <w:b/>
                <w:iCs/>
                <w:caps/>
                <w:sz w:val="26"/>
                <w:szCs w:val="26"/>
                <w:lang w:val="es-PE"/>
              </w:rPr>
              <w:t>PRIMERA</w:t>
            </w:r>
            <w:r w:rsidRPr="00EC6408">
              <w:rPr>
                <w:rFonts w:ascii="Arial" w:hAnsi="Arial" w:cs="Arial"/>
                <w:b/>
                <w:iCs/>
                <w:caps/>
                <w:sz w:val="26"/>
                <w:szCs w:val="26"/>
                <w:lang w:val="es-PE"/>
              </w:rPr>
              <w:t xml:space="preserve"> sala unitaria DE PRIMERA INSTANCIA</w:t>
            </w:r>
            <w:r w:rsidR="00453BC6" w:rsidRPr="00EC6408">
              <w:rPr>
                <w:rFonts w:ascii="Arial" w:hAnsi="Arial" w:cs="Arial"/>
                <w:b/>
                <w:iCs/>
                <w:caps/>
                <w:sz w:val="26"/>
                <w:szCs w:val="26"/>
                <w:lang w:val="es-PE"/>
              </w:rPr>
              <w:t xml:space="preserve">, </w:t>
            </w:r>
            <w:r w:rsidR="00D6294E">
              <w:rPr>
                <w:rFonts w:ascii="Arial" w:hAnsi="Arial" w:cs="Arial"/>
                <w:b/>
                <w:iCs/>
                <w:caps/>
                <w:sz w:val="26"/>
                <w:szCs w:val="26"/>
                <w:lang w:val="es-PE"/>
              </w:rPr>
              <w:t xml:space="preserve">ANTERIOR </w:t>
            </w:r>
            <w:r w:rsidR="00453BC6" w:rsidRPr="00EC6408">
              <w:rPr>
                <w:rFonts w:ascii="Arial" w:hAnsi="Arial" w:cs="Arial"/>
                <w:b/>
                <w:iCs/>
                <w:caps/>
                <w:sz w:val="26"/>
                <w:szCs w:val="26"/>
                <w:lang w:val="es-PE"/>
              </w:rPr>
              <w:t>48/2018, DE LA SÉPTIMA SALA UNITARIA DE PRIMERA INSTANCIA.</w:t>
            </w:r>
          </w:p>
          <w:p w14:paraId="6CD5CDF5" w14:textId="77777777" w:rsidR="00242A6C" w:rsidRPr="00EC6408" w:rsidRDefault="00242A6C" w:rsidP="00EC116C">
            <w:pPr>
              <w:pStyle w:val="Encabezado"/>
              <w:spacing w:line="276" w:lineRule="auto"/>
              <w:ind w:left="1119" w:right="51" w:hanging="1119"/>
              <w:jc w:val="both"/>
              <w:rPr>
                <w:rFonts w:ascii="Arial" w:hAnsi="Arial" w:cs="Arial"/>
                <w:b/>
                <w:iCs/>
                <w:caps/>
                <w:sz w:val="26"/>
                <w:szCs w:val="26"/>
                <w:lang w:val="es-PE"/>
              </w:rPr>
            </w:pPr>
          </w:p>
          <w:p w14:paraId="614B32FA" w14:textId="77777777" w:rsidR="00242A6C" w:rsidRPr="00EC6408" w:rsidRDefault="00242A6C" w:rsidP="00EC116C">
            <w:pPr>
              <w:pStyle w:val="Encabezado"/>
              <w:spacing w:line="276" w:lineRule="auto"/>
              <w:ind w:left="1119" w:right="497" w:hanging="1134"/>
              <w:jc w:val="both"/>
              <w:rPr>
                <w:rFonts w:ascii="Arial" w:hAnsi="Arial" w:cs="Arial"/>
                <w:b/>
                <w:iCs/>
                <w:caps/>
                <w:sz w:val="26"/>
                <w:szCs w:val="26"/>
                <w:lang w:val="es-PE"/>
              </w:rPr>
            </w:pPr>
            <w:bookmarkStart w:id="0" w:name="_GoBack"/>
            <w:r w:rsidRPr="00EC6408">
              <w:rPr>
                <w:rFonts w:ascii="Arial" w:hAnsi="Arial" w:cs="Arial"/>
                <w:b/>
                <w:iCs/>
                <w:caps/>
                <w:sz w:val="26"/>
                <w:szCs w:val="26"/>
                <w:lang w:val="es-PE"/>
              </w:rPr>
              <w:t xml:space="preserve"> </w:t>
            </w:r>
            <w:bookmarkEnd w:id="0"/>
            <w:r w:rsidRPr="00EC6408">
              <w:rPr>
                <w:rFonts w:ascii="Arial" w:hAnsi="Arial" w:cs="Arial"/>
                <w:b/>
                <w:iCs/>
                <w:caps/>
                <w:sz w:val="26"/>
                <w:szCs w:val="26"/>
                <w:lang w:val="es-PE"/>
              </w:rPr>
              <w:t xml:space="preserve">               ponente: magISTRADo </w:t>
            </w:r>
            <w:r w:rsidRPr="00EC6408">
              <w:rPr>
                <w:rFonts w:ascii="Arial" w:hAnsi="Arial" w:cs="Arial"/>
                <w:b/>
                <w:iCs/>
                <w:sz w:val="26"/>
                <w:szCs w:val="26"/>
                <w:lang w:val="es-PE"/>
              </w:rPr>
              <w:t>ABRAHAM SANTIAGO SORIANO.</w:t>
            </w:r>
          </w:p>
        </w:tc>
      </w:tr>
      <w:tr w:rsidR="00242A6C" w:rsidRPr="00EC6408" w14:paraId="5D7B1D9E" w14:textId="77777777" w:rsidTr="00EC116C">
        <w:tc>
          <w:tcPr>
            <w:tcW w:w="2356" w:type="dxa"/>
          </w:tcPr>
          <w:p w14:paraId="2D2CD571" w14:textId="77777777" w:rsidR="00242A6C" w:rsidRPr="00EC6408" w:rsidRDefault="00242A6C" w:rsidP="00EC116C">
            <w:pPr>
              <w:rPr>
                <w:rFonts w:ascii="Arial" w:hAnsi="Arial" w:cs="Arial"/>
                <w:b/>
                <w:sz w:val="26"/>
                <w:szCs w:val="26"/>
                <w:lang w:val="es-ES"/>
              </w:rPr>
            </w:pPr>
          </w:p>
        </w:tc>
        <w:tc>
          <w:tcPr>
            <w:tcW w:w="7426" w:type="dxa"/>
            <w:hideMark/>
          </w:tcPr>
          <w:p w14:paraId="2C052C24" w14:textId="7EAEC2F8" w:rsidR="00242A6C" w:rsidRPr="00EC6408" w:rsidRDefault="00242A6C" w:rsidP="009A3C83">
            <w:pPr>
              <w:tabs>
                <w:tab w:val="left" w:pos="3103"/>
              </w:tabs>
              <w:jc w:val="both"/>
              <w:rPr>
                <w:rFonts w:ascii="Arial" w:hAnsi="Arial" w:cs="Arial"/>
                <w:b/>
                <w:iCs/>
                <w:caps/>
                <w:sz w:val="26"/>
                <w:szCs w:val="26"/>
              </w:rPr>
            </w:pPr>
            <w:r w:rsidRPr="00EC6408">
              <w:rPr>
                <w:rFonts w:ascii="Arial" w:hAnsi="Arial" w:cs="Arial"/>
                <w:b/>
                <w:i/>
                <w:iCs/>
                <w:caps/>
                <w:sz w:val="26"/>
                <w:szCs w:val="26"/>
              </w:rPr>
              <w:t xml:space="preserve">                             </w:t>
            </w:r>
          </w:p>
        </w:tc>
      </w:tr>
      <w:tr w:rsidR="00242A6C" w:rsidRPr="00EC6408" w14:paraId="79BF7AE8" w14:textId="77777777" w:rsidTr="00EC116C">
        <w:tc>
          <w:tcPr>
            <w:tcW w:w="2356" w:type="dxa"/>
          </w:tcPr>
          <w:p w14:paraId="572C2D9C" w14:textId="77777777" w:rsidR="00242A6C" w:rsidRPr="00EC6408" w:rsidRDefault="00242A6C" w:rsidP="00EC116C">
            <w:pPr>
              <w:rPr>
                <w:rFonts w:ascii="Arial" w:hAnsi="Arial" w:cs="Arial"/>
                <w:b/>
                <w:sz w:val="26"/>
                <w:szCs w:val="26"/>
              </w:rPr>
            </w:pPr>
          </w:p>
        </w:tc>
        <w:tc>
          <w:tcPr>
            <w:tcW w:w="7426" w:type="dxa"/>
          </w:tcPr>
          <w:p w14:paraId="54DE9323" w14:textId="77777777" w:rsidR="00242A6C" w:rsidRPr="00EC6408" w:rsidRDefault="00242A6C" w:rsidP="00172E9A">
            <w:pPr>
              <w:tabs>
                <w:tab w:val="left" w:pos="3103"/>
              </w:tabs>
              <w:jc w:val="both"/>
              <w:rPr>
                <w:rFonts w:ascii="Arial" w:hAnsi="Arial" w:cs="Arial"/>
                <w:b/>
                <w:i/>
                <w:iCs/>
                <w:caps/>
                <w:sz w:val="26"/>
                <w:szCs w:val="26"/>
              </w:rPr>
            </w:pPr>
          </w:p>
        </w:tc>
      </w:tr>
    </w:tbl>
    <w:p w14:paraId="41DB0447" w14:textId="1D8045C9" w:rsidR="00242A6C" w:rsidRPr="00EC6408" w:rsidRDefault="00242A6C" w:rsidP="00242A6C">
      <w:pPr>
        <w:spacing w:line="360" w:lineRule="auto"/>
        <w:jc w:val="both"/>
        <w:rPr>
          <w:rFonts w:ascii="Arial" w:hAnsi="Arial" w:cs="Arial"/>
          <w:b/>
          <w:sz w:val="26"/>
          <w:szCs w:val="26"/>
          <w:lang w:val="es-ES"/>
        </w:rPr>
      </w:pPr>
      <w:r w:rsidRPr="00EC6408">
        <w:rPr>
          <w:rFonts w:ascii="Arial" w:hAnsi="Arial" w:cs="Arial"/>
          <w:b/>
          <w:sz w:val="26"/>
          <w:szCs w:val="26"/>
        </w:rPr>
        <w:t xml:space="preserve">OAXACA DE JUÁREZ, OAXACA, </w:t>
      </w:r>
      <w:r w:rsidR="009A3C83" w:rsidRPr="00EC6408">
        <w:rPr>
          <w:rFonts w:ascii="Arial" w:hAnsi="Arial" w:cs="Arial"/>
          <w:b/>
          <w:sz w:val="26"/>
          <w:szCs w:val="26"/>
        </w:rPr>
        <w:t xml:space="preserve">A </w:t>
      </w:r>
      <w:r w:rsidR="00BD77DC" w:rsidRPr="00EC6408">
        <w:rPr>
          <w:rFonts w:ascii="Arial" w:hAnsi="Arial" w:cs="Arial"/>
          <w:b/>
          <w:sz w:val="26"/>
          <w:szCs w:val="26"/>
        </w:rPr>
        <w:t>VEINTISIETE</w:t>
      </w:r>
      <w:r w:rsidR="009A3C83" w:rsidRPr="00EC6408">
        <w:rPr>
          <w:rFonts w:ascii="Arial" w:hAnsi="Arial" w:cs="Arial"/>
          <w:b/>
          <w:sz w:val="26"/>
          <w:szCs w:val="26"/>
        </w:rPr>
        <w:t xml:space="preserve"> DE</w:t>
      </w:r>
      <w:r w:rsidR="009C7C5D" w:rsidRPr="00EC6408">
        <w:rPr>
          <w:rFonts w:ascii="Arial" w:hAnsi="Arial" w:cs="Arial"/>
          <w:b/>
          <w:sz w:val="26"/>
          <w:szCs w:val="26"/>
        </w:rPr>
        <w:t xml:space="preserve"> </w:t>
      </w:r>
      <w:r w:rsidR="00BD77DC" w:rsidRPr="00EC6408">
        <w:rPr>
          <w:rFonts w:ascii="Arial" w:hAnsi="Arial" w:cs="Arial"/>
          <w:b/>
          <w:sz w:val="26"/>
          <w:szCs w:val="26"/>
        </w:rPr>
        <w:t>MAYO</w:t>
      </w:r>
      <w:r w:rsidRPr="00EC6408">
        <w:rPr>
          <w:rFonts w:ascii="Arial" w:hAnsi="Arial" w:cs="Arial"/>
          <w:b/>
          <w:sz w:val="26"/>
          <w:szCs w:val="26"/>
        </w:rPr>
        <w:t xml:space="preserve"> DE DOS MIL VEINTIUNO. </w:t>
      </w:r>
      <w:r w:rsidR="009A3C83" w:rsidRPr="00EC6408">
        <w:rPr>
          <w:rFonts w:ascii="Arial" w:hAnsi="Arial" w:cs="Arial"/>
          <w:b/>
          <w:sz w:val="26"/>
          <w:szCs w:val="26"/>
        </w:rPr>
        <w:t xml:space="preserve">- - - - - - - - - - - - - - - - - - - - - - - - - - - - - - - - - - - - - - - </w:t>
      </w:r>
    </w:p>
    <w:p w14:paraId="0A3FE426" w14:textId="4D58DF2E" w:rsidR="00242A6C" w:rsidRPr="00EC6408" w:rsidRDefault="00242A6C" w:rsidP="00242A6C">
      <w:pPr>
        <w:spacing w:line="360" w:lineRule="auto"/>
        <w:ind w:firstLine="567"/>
        <w:jc w:val="both"/>
        <w:rPr>
          <w:rFonts w:ascii="Arial" w:hAnsi="Arial" w:cs="Arial"/>
          <w:sz w:val="26"/>
          <w:szCs w:val="26"/>
        </w:rPr>
      </w:pPr>
      <w:r w:rsidRPr="00EC6408">
        <w:rPr>
          <w:rFonts w:ascii="Arial" w:hAnsi="Arial" w:cs="Arial"/>
          <w:sz w:val="26"/>
          <w:szCs w:val="26"/>
        </w:rPr>
        <w:t xml:space="preserve">Por recibido el Recurso de Revisión </w:t>
      </w:r>
      <w:r w:rsidR="00211D8F" w:rsidRPr="00EC6408">
        <w:rPr>
          <w:rFonts w:ascii="Arial" w:hAnsi="Arial" w:cs="Arial"/>
          <w:b/>
          <w:sz w:val="26"/>
          <w:szCs w:val="26"/>
        </w:rPr>
        <w:t>61</w:t>
      </w:r>
      <w:r w:rsidRPr="00EC6408">
        <w:rPr>
          <w:rFonts w:ascii="Arial" w:hAnsi="Arial" w:cs="Arial"/>
          <w:b/>
          <w:sz w:val="26"/>
          <w:szCs w:val="26"/>
        </w:rPr>
        <w:t xml:space="preserve">/2020 </w:t>
      </w:r>
      <w:r w:rsidRPr="00EC6408">
        <w:rPr>
          <w:rFonts w:ascii="Arial" w:hAnsi="Arial" w:cs="Arial"/>
          <w:sz w:val="26"/>
          <w:szCs w:val="26"/>
        </w:rPr>
        <w:t>que remite la Secretaría General de Acuerdos, con motivo del recurso de revisión interpuesto por</w:t>
      </w:r>
      <w:r w:rsidR="00211D8F" w:rsidRPr="00EC6408">
        <w:rPr>
          <w:rFonts w:ascii="Arial" w:hAnsi="Arial" w:cs="Arial"/>
          <w:sz w:val="26"/>
          <w:szCs w:val="26"/>
        </w:rPr>
        <w:t xml:space="preserve"> el</w:t>
      </w:r>
      <w:r w:rsidRPr="00EC6408">
        <w:rPr>
          <w:rFonts w:ascii="Arial" w:hAnsi="Arial" w:cs="Arial"/>
          <w:sz w:val="26"/>
          <w:szCs w:val="26"/>
        </w:rPr>
        <w:t xml:space="preserve"> </w:t>
      </w:r>
      <w:r w:rsidR="00211D8F" w:rsidRPr="00EC6408">
        <w:rPr>
          <w:rFonts w:ascii="Arial" w:hAnsi="Arial" w:cs="Arial"/>
          <w:b/>
          <w:bCs/>
          <w:sz w:val="26"/>
          <w:szCs w:val="26"/>
        </w:rPr>
        <w:t>SUBDIRECTOR DE TRÁNS</w:t>
      </w:r>
      <w:r w:rsidR="00E82B74" w:rsidRPr="00EC6408">
        <w:rPr>
          <w:rFonts w:ascii="Arial" w:hAnsi="Arial" w:cs="Arial"/>
          <w:b/>
          <w:bCs/>
          <w:sz w:val="26"/>
          <w:szCs w:val="26"/>
        </w:rPr>
        <w:t>I</w:t>
      </w:r>
      <w:r w:rsidR="00211D8F" w:rsidRPr="00EC6408">
        <w:rPr>
          <w:rFonts w:ascii="Arial" w:hAnsi="Arial" w:cs="Arial"/>
          <w:b/>
          <w:bCs/>
          <w:sz w:val="26"/>
          <w:szCs w:val="26"/>
        </w:rPr>
        <w:t>TO Y MOVILIDAD DEL MUNICIPIO DE OAXACA DE JUÁREZ</w:t>
      </w:r>
      <w:r w:rsidR="00F744E7" w:rsidRPr="00EC6408">
        <w:rPr>
          <w:rFonts w:ascii="Arial" w:hAnsi="Arial" w:cs="Arial"/>
          <w:b/>
          <w:sz w:val="26"/>
          <w:szCs w:val="26"/>
        </w:rPr>
        <w:t>, OAXACA,</w:t>
      </w:r>
      <w:r w:rsidR="002007A4" w:rsidRPr="00EC6408">
        <w:rPr>
          <w:rFonts w:ascii="Arial" w:hAnsi="Arial" w:cs="Arial"/>
          <w:sz w:val="26"/>
          <w:szCs w:val="26"/>
        </w:rPr>
        <w:t xml:space="preserve"> </w:t>
      </w:r>
      <w:r w:rsidRPr="00EC6408">
        <w:rPr>
          <w:rFonts w:ascii="Arial" w:hAnsi="Arial" w:cs="Arial"/>
          <w:sz w:val="26"/>
          <w:szCs w:val="26"/>
        </w:rPr>
        <w:t>en contra de</w:t>
      </w:r>
      <w:r w:rsidR="00211D8F" w:rsidRPr="00EC6408">
        <w:rPr>
          <w:rFonts w:ascii="Arial" w:hAnsi="Arial" w:cs="Arial"/>
          <w:sz w:val="26"/>
          <w:szCs w:val="26"/>
        </w:rPr>
        <w:t xml:space="preserve"> la sentencia de trece de diciembre de dos mil die</w:t>
      </w:r>
      <w:r w:rsidR="00211D8F" w:rsidRPr="00E11D9F">
        <w:rPr>
          <w:rFonts w:ascii="Arial" w:hAnsi="Arial" w:cs="Arial"/>
          <w:sz w:val="26"/>
          <w:szCs w:val="26"/>
        </w:rPr>
        <w:t>cinueve</w:t>
      </w:r>
      <w:r w:rsidRPr="00E11D9F">
        <w:rPr>
          <w:rFonts w:ascii="Arial" w:hAnsi="Arial" w:cs="Arial"/>
          <w:sz w:val="26"/>
          <w:szCs w:val="26"/>
        </w:rPr>
        <w:t>, dictad</w:t>
      </w:r>
      <w:r w:rsidR="00211D8F" w:rsidRPr="00E11D9F">
        <w:rPr>
          <w:rFonts w:ascii="Arial" w:hAnsi="Arial" w:cs="Arial"/>
          <w:sz w:val="26"/>
          <w:szCs w:val="26"/>
        </w:rPr>
        <w:t>a</w:t>
      </w:r>
      <w:r w:rsidRPr="00E11D9F">
        <w:rPr>
          <w:rFonts w:ascii="Arial" w:hAnsi="Arial" w:cs="Arial"/>
          <w:sz w:val="26"/>
          <w:szCs w:val="26"/>
        </w:rPr>
        <w:t xml:space="preserve"> </w:t>
      </w:r>
      <w:r w:rsidR="00E11D9F" w:rsidRPr="00E11D9F">
        <w:rPr>
          <w:rFonts w:ascii="Arial" w:hAnsi="Arial" w:cs="Arial"/>
          <w:sz w:val="26"/>
          <w:szCs w:val="26"/>
        </w:rPr>
        <w:t xml:space="preserve">en el juicio de </w:t>
      </w:r>
      <w:r w:rsidR="00CC76B9" w:rsidRPr="00E11D9F">
        <w:rPr>
          <w:rFonts w:ascii="Arial" w:hAnsi="Arial" w:cs="Arial"/>
          <w:sz w:val="26"/>
          <w:szCs w:val="26"/>
        </w:rPr>
        <w:t>nulidad número 48/2018</w:t>
      </w:r>
      <w:r w:rsidR="00E11D9F" w:rsidRPr="00E11D9F">
        <w:rPr>
          <w:rFonts w:ascii="Arial" w:hAnsi="Arial" w:cs="Arial"/>
          <w:sz w:val="26"/>
          <w:szCs w:val="26"/>
        </w:rPr>
        <w:t xml:space="preserve">, por la entonces Séptima Sala Unitaria de Primera Instancia, actualmente </w:t>
      </w:r>
      <w:r w:rsidR="00E11D9F">
        <w:rPr>
          <w:rFonts w:ascii="Arial" w:hAnsi="Arial" w:cs="Arial"/>
          <w:b/>
          <w:bCs/>
          <w:sz w:val="26"/>
          <w:szCs w:val="26"/>
        </w:rPr>
        <w:t>93/2020</w:t>
      </w:r>
      <w:r w:rsidR="00E11D9F" w:rsidRPr="00E11D9F">
        <w:rPr>
          <w:rFonts w:ascii="Arial" w:hAnsi="Arial" w:cs="Arial"/>
          <w:sz w:val="26"/>
          <w:szCs w:val="26"/>
        </w:rPr>
        <w:t xml:space="preserve"> del Índice de la Primera Sala Unitaria de Primera Instancia de este Tribunal, acorde a lo dispuesto en el Acuerdo General AG/TJAO/13/2020, del Pleno de este Tribunal</w:t>
      </w:r>
      <w:r w:rsidR="00453BC6" w:rsidRPr="00E11D9F">
        <w:rPr>
          <w:rFonts w:ascii="Arial" w:hAnsi="Arial" w:cs="Arial"/>
          <w:sz w:val="26"/>
          <w:szCs w:val="26"/>
        </w:rPr>
        <w:t xml:space="preserve"> </w:t>
      </w:r>
      <w:r w:rsidRPr="00EC6408">
        <w:rPr>
          <w:rFonts w:ascii="Arial" w:hAnsi="Arial" w:cs="Arial"/>
          <w:sz w:val="26"/>
          <w:szCs w:val="26"/>
        </w:rPr>
        <w:t xml:space="preserve">relativo al juicio de nulidad promovido por </w:t>
      </w:r>
      <w:r w:rsidR="00BB1439">
        <w:rPr>
          <w:rFonts w:ascii="Arial" w:hAnsi="Arial" w:cs="Arial"/>
          <w:b/>
          <w:bCs/>
          <w:sz w:val="26"/>
          <w:szCs w:val="26"/>
        </w:rPr>
        <w:t>***********</w:t>
      </w:r>
      <w:r w:rsidRPr="00EC6408">
        <w:rPr>
          <w:rFonts w:ascii="Arial" w:hAnsi="Arial" w:cs="Arial"/>
          <w:b/>
          <w:sz w:val="26"/>
          <w:szCs w:val="26"/>
        </w:rPr>
        <w:t xml:space="preserve">, </w:t>
      </w:r>
      <w:r w:rsidRPr="00EC6408">
        <w:rPr>
          <w:rFonts w:ascii="Arial" w:hAnsi="Arial" w:cs="Arial"/>
          <w:sz w:val="26"/>
          <w:szCs w:val="26"/>
        </w:rPr>
        <w:t>en contra de</w:t>
      </w:r>
      <w:r w:rsidR="00B45D1A" w:rsidRPr="00EC6408">
        <w:rPr>
          <w:rFonts w:ascii="Arial" w:hAnsi="Arial" w:cs="Arial"/>
          <w:sz w:val="26"/>
          <w:szCs w:val="26"/>
        </w:rPr>
        <w:t xml:space="preserve">l </w:t>
      </w:r>
      <w:r w:rsidR="00211D8F" w:rsidRPr="00EC6408">
        <w:rPr>
          <w:rFonts w:ascii="Arial" w:hAnsi="Arial" w:cs="Arial"/>
          <w:b/>
          <w:bCs/>
          <w:sz w:val="26"/>
          <w:szCs w:val="26"/>
        </w:rPr>
        <w:t>SECRETARIO DE VIALIDAD Y TRANSPORTE, DIRECTOR GENERAL DE LA POLICÍA VIAL ESTATAL, DELEGADO DE LA POLICÍA DE TRÁNSITO, EN LA VILLA DE ZAACHILA, OAXACA, AUTORIDADES DEL GOBIERNO DEL ESTADO DE OAXACA Y, DEL DIRECTOR DE LA POLICÍA VIAL MUNICIPAL DE OAXACA DE JUÁREZ, OAXACA</w:t>
      </w:r>
      <w:r w:rsidR="00211D8F" w:rsidRPr="00EC6408">
        <w:rPr>
          <w:rFonts w:ascii="Arial" w:hAnsi="Arial" w:cs="Arial"/>
          <w:b/>
          <w:sz w:val="26"/>
          <w:szCs w:val="26"/>
        </w:rPr>
        <w:t xml:space="preserve">. </w:t>
      </w:r>
      <w:r w:rsidR="00211D8F" w:rsidRPr="00EC6408">
        <w:rPr>
          <w:rFonts w:ascii="Arial" w:hAnsi="Arial" w:cs="Arial"/>
          <w:bCs/>
          <w:sz w:val="26"/>
          <w:szCs w:val="26"/>
        </w:rPr>
        <w:t>En tal virtud,</w:t>
      </w:r>
      <w:r w:rsidRPr="00EC6408">
        <w:rPr>
          <w:rFonts w:ascii="Arial" w:hAnsi="Arial" w:cs="Arial"/>
          <w:sz w:val="26"/>
          <w:szCs w:val="26"/>
        </w:rPr>
        <w:t xml:space="preserve"> con fundamento en los artículos 236</w:t>
      </w:r>
      <w:r w:rsidR="002007A4" w:rsidRPr="00EC6408">
        <w:rPr>
          <w:rFonts w:ascii="Arial" w:hAnsi="Arial" w:cs="Arial"/>
          <w:sz w:val="26"/>
          <w:szCs w:val="26"/>
        </w:rPr>
        <w:t xml:space="preserve">, fracción </w:t>
      </w:r>
      <w:r w:rsidR="00211D8F" w:rsidRPr="00EC6408">
        <w:rPr>
          <w:rFonts w:ascii="Arial" w:hAnsi="Arial" w:cs="Arial"/>
          <w:sz w:val="26"/>
          <w:szCs w:val="26"/>
        </w:rPr>
        <w:t>VI</w:t>
      </w:r>
      <w:r w:rsidR="002007A4" w:rsidRPr="00EC6408">
        <w:rPr>
          <w:rFonts w:ascii="Arial" w:hAnsi="Arial" w:cs="Arial"/>
          <w:sz w:val="26"/>
          <w:szCs w:val="26"/>
        </w:rPr>
        <w:t>I</w:t>
      </w:r>
      <w:r w:rsidR="00176E8F" w:rsidRPr="00EC6408">
        <w:rPr>
          <w:rFonts w:ascii="Arial" w:hAnsi="Arial" w:cs="Arial"/>
          <w:sz w:val="26"/>
          <w:szCs w:val="26"/>
        </w:rPr>
        <w:t xml:space="preserve">, </w:t>
      </w:r>
      <w:r w:rsidRPr="00EC6408">
        <w:rPr>
          <w:rFonts w:ascii="Arial" w:hAnsi="Arial" w:cs="Arial"/>
          <w:sz w:val="26"/>
          <w:szCs w:val="26"/>
        </w:rPr>
        <w:t>237</w:t>
      </w:r>
      <w:r w:rsidR="00176E8F" w:rsidRPr="00EC6408">
        <w:rPr>
          <w:rFonts w:ascii="Arial" w:hAnsi="Arial" w:cs="Arial"/>
          <w:sz w:val="26"/>
          <w:szCs w:val="26"/>
        </w:rPr>
        <w:t xml:space="preserve"> y 238</w:t>
      </w:r>
      <w:r w:rsidRPr="00EC6408">
        <w:rPr>
          <w:rFonts w:ascii="Arial" w:hAnsi="Arial" w:cs="Arial"/>
          <w:sz w:val="26"/>
          <w:szCs w:val="26"/>
        </w:rPr>
        <w:t xml:space="preserve"> de la Ley de Procedimiento y Justicia Administrativa para el Estado de Oaxaca, se admite.</w:t>
      </w:r>
      <w:r w:rsidR="00CD6ED4" w:rsidRPr="00EC6408">
        <w:rPr>
          <w:rFonts w:ascii="Arial" w:hAnsi="Arial" w:cs="Arial"/>
          <w:sz w:val="26"/>
          <w:szCs w:val="26"/>
        </w:rPr>
        <w:t xml:space="preserve"> </w:t>
      </w:r>
      <w:r w:rsidRPr="00EC6408">
        <w:rPr>
          <w:rFonts w:ascii="Arial" w:hAnsi="Arial" w:cs="Arial"/>
          <w:sz w:val="26"/>
          <w:szCs w:val="26"/>
        </w:rPr>
        <w:t>En consecuencia, se procede a dictar resolución en los siguientes términos:</w:t>
      </w:r>
      <w:r w:rsidR="00E7677E">
        <w:rPr>
          <w:rFonts w:ascii="Arial" w:hAnsi="Arial" w:cs="Arial"/>
          <w:sz w:val="26"/>
          <w:szCs w:val="26"/>
        </w:rPr>
        <w:t xml:space="preserve">- - - - - - - - - - - </w:t>
      </w:r>
    </w:p>
    <w:p w14:paraId="50203CCD" w14:textId="665AFCA5" w:rsidR="00242A6C" w:rsidRPr="00EC6408" w:rsidRDefault="00242A6C" w:rsidP="00242A6C">
      <w:pPr>
        <w:spacing w:line="360" w:lineRule="auto"/>
        <w:jc w:val="center"/>
        <w:rPr>
          <w:rFonts w:ascii="Arial" w:hAnsi="Arial" w:cs="Arial"/>
          <w:b/>
          <w:bCs/>
          <w:sz w:val="26"/>
          <w:szCs w:val="26"/>
        </w:rPr>
      </w:pPr>
      <w:r w:rsidRPr="00EC6408">
        <w:rPr>
          <w:rFonts w:ascii="Arial" w:hAnsi="Arial" w:cs="Arial"/>
          <w:b/>
          <w:bCs/>
          <w:sz w:val="26"/>
          <w:szCs w:val="26"/>
        </w:rPr>
        <w:t>R E S U L T A N D O</w:t>
      </w:r>
    </w:p>
    <w:p w14:paraId="7FC96ABF" w14:textId="2CD3D0CA" w:rsidR="00242A6C" w:rsidRPr="00EC6408" w:rsidRDefault="00242A6C" w:rsidP="00211D8F">
      <w:pPr>
        <w:spacing w:line="360" w:lineRule="auto"/>
        <w:ind w:firstLine="567"/>
        <w:jc w:val="both"/>
        <w:rPr>
          <w:rFonts w:ascii="Arial" w:hAnsi="Arial" w:cs="Arial"/>
          <w:sz w:val="26"/>
          <w:szCs w:val="26"/>
        </w:rPr>
      </w:pPr>
      <w:r w:rsidRPr="00EC6408">
        <w:rPr>
          <w:rFonts w:ascii="Arial" w:hAnsi="Arial" w:cs="Arial"/>
          <w:b/>
          <w:bCs/>
          <w:sz w:val="26"/>
          <w:szCs w:val="26"/>
        </w:rPr>
        <w:t xml:space="preserve">PRIMERO. </w:t>
      </w:r>
      <w:r w:rsidRPr="00EC6408">
        <w:rPr>
          <w:rFonts w:ascii="Arial" w:hAnsi="Arial" w:cs="Arial"/>
          <w:sz w:val="26"/>
          <w:szCs w:val="26"/>
        </w:rPr>
        <w:t xml:space="preserve">Inconforme con </w:t>
      </w:r>
      <w:r w:rsidR="00211D8F" w:rsidRPr="00EC6408">
        <w:rPr>
          <w:rFonts w:ascii="Arial" w:hAnsi="Arial" w:cs="Arial"/>
          <w:sz w:val="26"/>
          <w:szCs w:val="26"/>
        </w:rPr>
        <w:t>la sentencia de trece de diciembre de dos mil</w:t>
      </w:r>
      <w:r w:rsidR="00BD77DC" w:rsidRPr="00EC6408">
        <w:rPr>
          <w:rFonts w:ascii="Arial" w:hAnsi="Arial" w:cs="Arial"/>
          <w:sz w:val="26"/>
          <w:szCs w:val="26"/>
        </w:rPr>
        <w:t xml:space="preserve"> diecinueve</w:t>
      </w:r>
      <w:r w:rsidRPr="00EC6408">
        <w:rPr>
          <w:rFonts w:ascii="Arial" w:hAnsi="Arial" w:cs="Arial"/>
          <w:sz w:val="26"/>
          <w:szCs w:val="26"/>
        </w:rPr>
        <w:t>, dictad</w:t>
      </w:r>
      <w:r w:rsidR="00211D8F" w:rsidRPr="00EC6408">
        <w:rPr>
          <w:rFonts w:ascii="Arial" w:hAnsi="Arial" w:cs="Arial"/>
          <w:sz w:val="26"/>
          <w:szCs w:val="26"/>
        </w:rPr>
        <w:t>a</w:t>
      </w:r>
      <w:r w:rsidRPr="00EC6408">
        <w:rPr>
          <w:rFonts w:ascii="Arial" w:hAnsi="Arial" w:cs="Arial"/>
          <w:sz w:val="26"/>
          <w:szCs w:val="26"/>
        </w:rPr>
        <w:t xml:space="preserve"> </w:t>
      </w:r>
      <w:r w:rsidR="008B4BBF" w:rsidRPr="00EC6408">
        <w:rPr>
          <w:rFonts w:ascii="Arial" w:hAnsi="Arial" w:cs="Arial"/>
          <w:sz w:val="26"/>
          <w:szCs w:val="26"/>
        </w:rPr>
        <w:t>en su momento por</w:t>
      </w:r>
      <w:r w:rsidR="00211D8F" w:rsidRPr="00EC6408">
        <w:rPr>
          <w:rFonts w:ascii="Arial" w:hAnsi="Arial" w:cs="Arial"/>
          <w:sz w:val="26"/>
          <w:szCs w:val="26"/>
        </w:rPr>
        <w:t xml:space="preserve"> la Séptima Sala Unitaria </w:t>
      </w:r>
      <w:r w:rsidR="00211D8F" w:rsidRPr="00EC6408">
        <w:rPr>
          <w:rFonts w:ascii="Arial" w:hAnsi="Arial" w:cs="Arial"/>
          <w:sz w:val="26"/>
          <w:szCs w:val="26"/>
        </w:rPr>
        <w:lastRenderedPageBreak/>
        <w:t>de Primera Instancia del Tribunal</w:t>
      </w:r>
      <w:r w:rsidR="00B45D1A" w:rsidRPr="00EC6408">
        <w:rPr>
          <w:rFonts w:ascii="Arial" w:hAnsi="Arial" w:cs="Arial"/>
          <w:sz w:val="26"/>
          <w:szCs w:val="26"/>
        </w:rPr>
        <w:t>;</w:t>
      </w:r>
      <w:r w:rsidR="00211D8F" w:rsidRPr="00EC6408">
        <w:rPr>
          <w:rFonts w:ascii="Arial" w:hAnsi="Arial" w:cs="Arial"/>
          <w:b/>
          <w:sz w:val="26"/>
          <w:szCs w:val="26"/>
        </w:rPr>
        <w:t xml:space="preserve"> </w:t>
      </w:r>
      <w:r w:rsidR="00211D8F" w:rsidRPr="00EC6408">
        <w:rPr>
          <w:rFonts w:ascii="Arial" w:hAnsi="Arial" w:cs="Arial"/>
          <w:bCs/>
          <w:sz w:val="26"/>
          <w:szCs w:val="26"/>
        </w:rPr>
        <w:t>el</w:t>
      </w:r>
      <w:r w:rsidR="00211D8F" w:rsidRPr="00EC6408">
        <w:rPr>
          <w:rFonts w:ascii="Arial" w:hAnsi="Arial" w:cs="Arial"/>
          <w:b/>
          <w:sz w:val="26"/>
          <w:szCs w:val="26"/>
        </w:rPr>
        <w:t xml:space="preserve"> </w:t>
      </w:r>
      <w:r w:rsidR="00211D8F" w:rsidRPr="00EC6408">
        <w:rPr>
          <w:rFonts w:ascii="Arial" w:hAnsi="Arial" w:cs="Arial"/>
          <w:b/>
          <w:bCs/>
          <w:sz w:val="26"/>
          <w:szCs w:val="26"/>
        </w:rPr>
        <w:t>SUBDIRECTOR DE TRÁNS</w:t>
      </w:r>
      <w:r w:rsidR="00E82B74" w:rsidRPr="00EC6408">
        <w:rPr>
          <w:rFonts w:ascii="Arial" w:hAnsi="Arial" w:cs="Arial"/>
          <w:b/>
          <w:bCs/>
          <w:sz w:val="26"/>
          <w:szCs w:val="26"/>
        </w:rPr>
        <w:t>I</w:t>
      </w:r>
      <w:r w:rsidR="00211D8F" w:rsidRPr="00EC6408">
        <w:rPr>
          <w:rFonts w:ascii="Arial" w:hAnsi="Arial" w:cs="Arial"/>
          <w:b/>
          <w:bCs/>
          <w:sz w:val="26"/>
          <w:szCs w:val="26"/>
        </w:rPr>
        <w:t>TO Y MOVILIDAD DEL MUNICIPIO DE OAXACA DE JUÁREZ</w:t>
      </w:r>
      <w:r w:rsidR="00211D8F" w:rsidRPr="00EC6408">
        <w:rPr>
          <w:rFonts w:ascii="Arial" w:hAnsi="Arial" w:cs="Arial"/>
          <w:b/>
          <w:sz w:val="26"/>
          <w:szCs w:val="26"/>
        </w:rPr>
        <w:t>, OAXACA</w:t>
      </w:r>
      <w:r w:rsidR="002007A4" w:rsidRPr="00EC6408">
        <w:rPr>
          <w:rFonts w:ascii="Arial" w:hAnsi="Arial" w:cs="Arial"/>
          <w:bCs/>
          <w:sz w:val="26"/>
          <w:szCs w:val="26"/>
        </w:rPr>
        <w:t>,</w:t>
      </w:r>
      <w:r w:rsidRPr="00EC6408">
        <w:rPr>
          <w:rFonts w:ascii="Arial" w:hAnsi="Arial" w:cs="Arial"/>
          <w:bCs/>
          <w:sz w:val="26"/>
          <w:szCs w:val="26"/>
        </w:rPr>
        <w:t xml:space="preserve"> </w:t>
      </w:r>
      <w:r w:rsidRPr="00EC6408">
        <w:rPr>
          <w:rFonts w:ascii="Arial" w:hAnsi="Arial" w:cs="Arial"/>
          <w:sz w:val="26"/>
          <w:szCs w:val="26"/>
        </w:rPr>
        <w:t>interpuso en su contra recurso de revisión.</w:t>
      </w:r>
      <w:r w:rsidR="00CD6ED4" w:rsidRPr="00EC6408">
        <w:rPr>
          <w:rFonts w:ascii="Arial" w:hAnsi="Arial" w:cs="Arial"/>
          <w:sz w:val="26"/>
          <w:szCs w:val="26"/>
        </w:rPr>
        <w:t xml:space="preserve"> - - - - - - - - </w:t>
      </w:r>
      <w:r w:rsidR="00211D8F" w:rsidRPr="00EC6408">
        <w:rPr>
          <w:rFonts w:ascii="Arial" w:hAnsi="Arial" w:cs="Arial"/>
          <w:sz w:val="26"/>
          <w:szCs w:val="26"/>
        </w:rPr>
        <w:t>- - - - -</w:t>
      </w:r>
      <w:r w:rsidR="008B4BBF" w:rsidRPr="00EC6408">
        <w:rPr>
          <w:rFonts w:ascii="Arial" w:hAnsi="Arial" w:cs="Arial"/>
          <w:sz w:val="26"/>
          <w:szCs w:val="26"/>
        </w:rPr>
        <w:t xml:space="preserve"> - - - - - - - -</w:t>
      </w:r>
    </w:p>
    <w:p w14:paraId="44E95389" w14:textId="0CC39D1B" w:rsidR="00242A6C" w:rsidRPr="00EC6408" w:rsidRDefault="00242A6C" w:rsidP="00A86178">
      <w:pPr>
        <w:spacing w:line="360" w:lineRule="auto"/>
        <w:ind w:firstLine="567"/>
        <w:jc w:val="both"/>
        <w:rPr>
          <w:rFonts w:ascii="Arial" w:hAnsi="Arial" w:cs="Arial"/>
          <w:sz w:val="26"/>
          <w:szCs w:val="26"/>
        </w:rPr>
      </w:pPr>
      <w:r w:rsidRPr="00EC6408">
        <w:rPr>
          <w:rFonts w:ascii="Arial" w:hAnsi="Arial" w:cs="Arial"/>
          <w:b/>
          <w:bCs/>
          <w:sz w:val="26"/>
          <w:szCs w:val="26"/>
        </w:rPr>
        <w:t xml:space="preserve">SEGUNDO. </w:t>
      </w:r>
      <w:r w:rsidR="00211D8F" w:rsidRPr="00EC6408">
        <w:rPr>
          <w:rFonts w:ascii="Arial" w:hAnsi="Arial" w:cs="Arial"/>
          <w:sz w:val="26"/>
          <w:szCs w:val="26"/>
        </w:rPr>
        <w:t>Los puntos resolutivos de la sentencia recurrida, son</w:t>
      </w:r>
      <w:r w:rsidRPr="00EC6408">
        <w:rPr>
          <w:rFonts w:ascii="Arial" w:hAnsi="Arial" w:cs="Arial"/>
          <w:sz w:val="26"/>
          <w:szCs w:val="26"/>
        </w:rPr>
        <w:t xml:space="preserve"> del tenor literal</w:t>
      </w:r>
      <w:r w:rsidRPr="00EC6408">
        <w:rPr>
          <w:rFonts w:ascii="Arial" w:hAnsi="Arial" w:cs="Arial"/>
          <w:bCs/>
          <w:sz w:val="26"/>
          <w:szCs w:val="26"/>
        </w:rPr>
        <w:t xml:space="preserve"> siguiente:</w:t>
      </w:r>
      <w:r w:rsidR="00100B89" w:rsidRPr="00100B89">
        <w:rPr>
          <w:rFonts w:ascii="Arial" w:eastAsia="Calibri" w:hAnsi="Arial" w:cs="Arial"/>
          <w:bCs/>
          <w:color w:val="000000"/>
          <w:sz w:val="26"/>
          <w:szCs w:val="26"/>
          <w:lang w:val="es-ES" w:eastAsia="en-US"/>
        </w:rPr>
        <w:t xml:space="preserve"> </w:t>
      </w:r>
      <w:bookmarkStart w:id="1" w:name="_Hlk73443228"/>
      <w:r w:rsidR="00100B89">
        <w:rPr>
          <w:rFonts w:ascii="Arial" w:eastAsia="Calibri" w:hAnsi="Arial" w:cs="Arial"/>
          <w:bCs/>
          <w:color w:val="000000"/>
          <w:sz w:val="26"/>
          <w:szCs w:val="26"/>
          <w:lang w:val="es-ES" w:eastAsia="en-US"/>
        </w:rPr>
        <w:t>- - - - - - - - - - - - - - - - - - - - - - - - - - - - - - - - - -</w:t>
      </w:r>
      <w:bookmarkEnd w:id="1"/>
    </w:p>
    <w:p w14:paraId="57FD9170" w14:textId="36405DA8" w:rsidR="00653F71" w:rsidRPr="00100B89" w:rsidRDefault="00242A6C" w:rsidP="003113DB">
      <w:pPr>
        <w:ind w:left="851" w:right="900"/>
        <w:jc w:val="both"/>
        <w:rPr>
          <w:rFonts w:ascii="Arial" w:hAnsi="Arial" w:cs="Arial"/>
          <w:bCs/>
          <w:i/>
        </w:rPr>
      </w:pPr>
      <w:r w:rsidRPr="00100B89">
        <w:rPr>
          <w:rFonts w:ascii="Arial" w:hAnsi="Arial" w:cs="Arial"/>
          <w:i/>
        </w:rPr>
        <w:t>“</w:t>
      </w:r>
      <w:r w:rsidR="006E123B" w:rsidRPr="00100B89">
        <w:rPr>
          <w:rFonts w:ascii="Arial" w:hAnsi="Arial" w:cs="Arial"/>
          <w:i/>
        </w:rPr>
        <w:t>…</w:t>
      </w:r>
      <w:r w:rsidR="00653F71" w:rsidRPr="00100B89">
        <w:rPr>
          <w:rFonts w:ascii="Arial" w:hAnsi="Arial" w:cs="Arial"/>
          <w:b/>
          <w:i/>
        </w:rPr>
        <w:t>PRIMERO. -</w:t>
      </w:r>
      <w:r w:rsidR="00653F71" w:rsidRPr="00100B89">
        <w:rPr>
          <w:rFonts w:ascii="Arial" w:hAnsi="Arial" w:cs="Arial"/>
          <w:bCs/>
          <w:i/>
        </w:rPr>
        <w:t xml:space="preserve"> Esta Séptima Sala de Primera Instancia del Tribunal de Justicia Administrativa del Estado de Oaxaca, es legalmente competente para conocer y resolver del presente Juicio de Nulidad.</w:t>
      </w:r>
    </w:p>
    <w:p w14:paraId="2E1B65EA" w14:textId="5A4FED1E" w:rsidR="00653F71" w:rsidRPr="00100B89" w:rsidRDefault="00653F71" w:rsidP="003113DB">
      <w:pPr>
        <w:ind w:left="851" w:right="900"/>
        <w:jc w:val="both"/>
        <w:rPr>
          <w:rFonts w:ascii="Arial" w:hAnsi="Arial" w:cs="Arial"/>
          <w:bCs/>
          <w:i/>
        </w:rPr>
      </w:pPr>
      <w:r w:rsidRPr="00100B89">
        <w:rPr>
          <w:rFonts w:ascii="Arial" w:hAnsi="Arial" w:cs="Arial"/>
          <w:b/>
          <w:i/>
        </w:rPr>
        <w:t>SEGUNDO. -</w:t>
      </w:r>
      <w:r w:rsidRPr="00100B89">
        <w:rPr>
          <w:rFonts w:ascii="Arial" w:hAnsi="Arial" w:cs="Arial"/>
          <w:bCs/>
          <w:i/>
        </w:rPr>
        <w:t xml:space="preserve"> Al no actualizarse causal de IMPROCEDENCIA alguna este Juicio NO SE SOBRESEE, de conformidad con el considerando QUINTO de esta resolución.</w:t>
      </w:r>
    </w:p>
    <w:p w14:paraId="1662F483" w14:textId="77058E6A" w:rsidR="00653F71" w:rsidRPr="00100B89" w:rsidRDefault="00653F71" w:rsidP="003113DB">
      <w:pPr>
        <w:ind w:left="851" w:right="900"/>
        <w:jc w:val="both"/>
        <w:rPr>
          <w:rFonts w:ascii="Arial" w:hAnsi="Arial" w:cs="Arial"/>
          <w:bCs/>
          <w:i/>
        </w:rPr>
      </w:pPr>
      <w:r w:rsidRPr="00100B89">
        <w:rPr>
          <w:rFonts w:ascii="Arial" w:hAnsi="Arial" w:cs="Arial"/>
          <w:b/>
          <w:i/>
        </w:rPr>
        <w:t>TERCERO. -</w:t>
      </w:r>
      <w:r w:rsidRPr="00100B89">
        <w:rPr>
          <w:rFonts w:ascii="Arial" w:hAnsi="Arial" w:cs="Arial"/>
          <w:bCs/>
          <w:i/>
        </w:rPr>
        <w:t xml:space="preserve"> Se declara </w:t>
      </w:r>
      <w:r w:rsidRPr="00100B89">
        <w:rPr>
          <w:rFonts w:ascii="Arial" w:hAnsi="Arial" w:cs="Arial"/>
          <w:b/>
          <w:i/>
        </w:rPr>
        <w:t>CONFIGURADA LA RESOLUCIÓN NEGATIVA FICTA</w:t>
      </w:r>
      <w:r w:rsidRPr="00100B89">
        <w:rPr>
          <w:rFonts w:ascii="Arial" w:hAnsi="Arial" w:cs="Arial"/>
          <w:bCs/>
          <w:i/>
        </w:rPr>
        <w:t>, recaída al escrito presentado por la actora, el día tres de noviembre de dos mil dieciséis (03/11/2016), ante la Secretaría de Vialidad y Transporte en el Estado, hoy Secretaría de Movilidad en el Estado, de conformidad con el considerando SEXTO de esta resolución.</w:t>
      </w:r>
    </w:p>
    <w:p w14:paraId="2B6F6F5A" w14:textId="5C37D4CC" w:rsidR="00653F71" w:rsidRPr="00100B89" w:rsidRDefault="00653F71" w:rsidP="003113DB">
      <w:pPr>
        <w:ind w:left="851" w:right="900"/>
        <w:jc w:val="both"/>
        <w:rPr>
          <w:rFonts w:ascii="Arial" w:hAnsi="Arial" w:cs="Arial"/>
          <w:bCs/>
          <w:i/>
        </w:rPr>
      </w:pPr>
      <w:r w:rsidRPr="00100B89">
        <w:rPr>
          <w:rFonts w:ascii="Arial" w:hAnsi="Arial" w:cs="Arial"/>
          <w:b/>
          <w:i/>
        </w:rPr>
        <w:t>CUARTO.</w:t>
      </w:r>
      <w:r w:rsidRPr="00100B89">
        <w:rPr>
          <w:rFonts w:ascii="Arial" w:hAnsi="Arial" w:cs="Arial"/>
          <w:bCs/>
          <w:i/>
        </w:rPr>
        <w:t xml:space="preserve"> - Se declara la </w:t>
      </w:r>
      <w:r w:rsidRPr="00100B89">
        <w:rPr>
          <w:rFonts w:ascii="Arial" w:hAnsi="Arial" w:cs="Arial"/>
          <w:b/>
          <w:i/>
        </w:rPr>
        <w:t xml:space="preserve">VALIDEZ de la RESOLUCIÓN NEGATIVA FICTA </w:t>
      </w:r>
      <w:r w:rsidRPr="00100B89">
        <w:rPr>
          <w:rFonts w:ascii="Arial" w:hAnsi="Arial" w:cs="Arial"/>
          <w:bCs/>
          <w:i/>
        </w:rPr>
        <w:t>recaída al escrito presentado el día tres de noviembre de dos mil dieciséis (03/11/2016), al Secretario de Vialidad y Transporte en el Estado hoy Secretario de Movilidad en el Estado, de conformidad con el considerando SÉPTIMO de esta resolución.</w:t>
      </w:r>
    </w:p>
    <w:p w14:paraId="3D2DD5B9" w14:textId="0E1C06C4" w:rsidR="00C507CE" w:rsidRPr="00100B89" w:rsidRDefault="00653F71" w:rsidP="003113DB">
      <w:pPr>
        <w:ind w:left="851" w:right="900"/>
        <w:jc w:val="both"/>
        <w:rPr>
          <w:rFonts w:ascii="Calibri Light" w:hAnsi="Calibri Light" w:cs="Arial"/>
          <w:bCs/>
          <w:i/>
        </w:rPr>
      </w:pPr>
      <w:r w:rsidRPr="00100B89">
        <w:rPr>
          <w:rFonts w:ascii="Arial" w:hAnsi="Arial" w:cs="Arial"/>
          <w:b/>
          <w:i/>
        </w:rPr>
        <w:t>QUINTO. - Se declara la nulidad de las órdenes verbales o escritas</w:t>
      </w:r>
      <w:r w:rsidRPr="00100B89">
        <w:rPr>
          <w:rFonts w:ascii="Arial" w:hAnsi="Arial" w:cs="Arial"/>
          <w:bCs/>
          <w:i/>
        </w:rPr>
        <w:t xml:space="preserve"> emitidas por el Comisario de Vialidad Municipal de Oaxaca de Juárez, Oaxaca, para detener, infraccionar, retener o remitir al encierro el vehículo con el que la actora presta el servicio de alquiler taxi en la localidad Emiliano Zapata Villa de Zaachila, Oaxaca, de conformidad con la última parte del considerando SÉPTIMO de esta resolución</w:t>
      </w:r>
      <w:r w:rsidR="002E3323" w:rsidRPr="00100B89">
        <w:rPr>
          <w:rFonts w:ascii="Arial" w:hAnsi="Arial" w:cs="Arial"/>
          <w:bCs/>
          <w:i/>
        </w:rPr>
        <w:t>…</w:t>
      </w:r>
      <w:r w:rsidR="00C507CE" w:rsidRPr="00100B89">
        <w:rPr>
          <w:rFonts w:ascii="Arial" w:hAnsi="Arial" w:cs="Arial"/>
          <w:bCs/>
          <w:i/>
        </w:rPr>
        <w:t>”.</w:t>
      </w:r>
    </w:p>
    <w:p w14:paraId="509C4D97" w14:textId="61AC9D0D" w:rsidR="00242A6C" w:rsidRPr="00EC6408" w:rsidRDefault="00242A6C" w:rsidP="00242A6C">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sidRPr="00EC6408">
        <w:rPr>
          <w:rFonts w:ascii="Arial" w:eastAsia="Times New Roman" w:hAnsi="Arial" w:cs="Arial"/>
          <w:b/>
          <w:bCs/>
          <w:sz w:val="26"/>
          <w:szCs w:val="26"/>
          <w:lang w:eastAsia="es-ES"/>
        </w:rPr>
        <w:t>C O N S I D E R A N D O</w:t>
      </w:r>
    </w:p>
    <w:p w14:paraId="17598561" w14:textId="2D7D52D8" w:rsidR="00242A6C" w:rsidRPr="00EC6408" w:rsidRDefault="00242A6C" w:rsidP="00242A6C">
      <w:pPr>
        <w:spacing w:line="360" w:lineRule="auto"/>
        <w:ind w:firstLine="426"/>
        <w:jc w:val="both"/>
        <w:rPr>
          <w:rFonts w:ascii="Arial" w:hAnsi="Arial" w:cs="Arial"/>
          <w:sz w:val="26"/>
          <w:szCs w:val="26"/>
        </w:rPr>
      </w:pPr>
      <w:r w:rsidRPr="00EC6408">
        <w:rPr>
          <w:rFonts w:ascii="Arial" w:hAnsi="Arial" w:cs="Arial"/>
          <w:b/>
          <w:bCs/>
          <w:iCs/>
          <w:sz w:val="26"/>
          <w:szCs w:val="26"/>
        </w:rPr>
        <w:t xml:space="preserve">PRIMERO. </w:t>
      </w:r>
      <w:r w:rsidRPr="00EC6408">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sidRPr="00EC6408">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sidRPr="00EC6408">
        <w:rPr>
          <w:rFonts w:ascii="Arial" w:hAnsi="Arial" w:cs="Arial"/>
          <w:bCs/>
          <w:iCs/>
          <w:sz w:val="26"/>
          <w:szCs w:val="26"/>
          <w:lang w:eastAsia="es-ES"/>
        </w:rPr>
        <w:t xml:space="preserve"> 125, 127, 129, 130 fracción I, 131, 231, 236</w:t>
      </w:r>
      <w:r w:rsidR="006C1C51" w:rsidRPr="00EC6408">
        <w:rPr>
          <w:rFonts w:ascii="Arial" w:hAnsi="Arial" w:cs="Arial"/>
          <w:bCs/>
          <w:iCs/>
          <w:sz w:val="26"/>
          <w:szCs w:val="26"/>
          <w:lang w:eastAsia="es-ES"/>
        </w:rPr>
        <w:t xml:space="preserve">, fracción </w:t>
      </w:r>
      <w:r w:rsidR="003113DB" w:rsidRPr="00EC6408">
        <w:rPr>
          <w:rFonts w:ascii="Arial" w:hAnsi="Arial" w:cs="Arial"/>
          <w:bCs/>
          <w:iCs/>
          <w:sz w:val="26"/>
          <w:szCs w:val="26"/>
          <w:lang w:eastAsia="es-ES"/>
        </w:rPr>
        <w:t>VI</w:t>
      </w:r>
      <w:r w:rsidR="006C1C51" w:rsidRPr="00EC6408">
        <w:rPr>
          <w:rFonts w:ascii="Arial" w:hAnsi="Arial" w:cs="Arial"/>
          <w:bCs/>
          <w:iCs/>
          <w:sz w:val="26"/>
          <w:szCs w:val="26"/>
          <w:lang w:eastAsia="es-ES"/>
        </w:rPr>
        <w:t>I</w:t>
      </w:r>
      <w:r w:rsidRPr="00EC6408">
        <w:rPr>
          <w:rFonts w:ascii="Arial" w:hAnsi="Arial" w:cs="Arial"/>
          <w:bCs/>
          <w:iCs/>
          <w:sz w:val="26"/>
          <w:szCs w:val="26"/>
          <w:lang w:eastAsia="es-ES"/>
        </w:rPr>
        <w:t xml:space="preserve"> y 238 </w:t>
      </w:r>
      <w:r w:rsidRPr="00EC6408">
        <w:rPr>
          <w:rFonts w:ascii="Arial" w:hAnsi="Arial" w:cs="Arial"/>
          <w:bCs/>
          <w:iCs/>
          <w:sz w:val="26"/>
          <w:szCs w:val="26"/>
        </w:rPr>
        <w:t>de la Ley de Procedimiento y Justicia Administrativa para el Estado de Oaxaca, dado que se trata de un recurso de Revisión interpuesto en contra de</w:t>
      </w:r>
      <w:r w:rsidR="003113DB" w:rsidRPr="00EC6408">
        <w:rPr>
          <w:rFonts w:ascii="Arial" w:hAnsi="Arial" w:cs="Arial"/>
          <w:bCs/>
          <w:iCs/>
          <w:sz w:val="26"/>
          <w:szCs w:val="26"/>
        </w:rPr>
        <w:t xml:space="preserve"> la sentencia de trece de diciembre de dos mil diecinueve</w:t>
      </w:r>
      <w:r w:rsidRPr="00EC6408">
        <w:rPr>
          <w:rFonts w:ascii="Arial" w:hAnsi="Arial" w:cs="Arial"/>
          <w:sz w:val="26"/>
          <w:szCs w:val="26"/>
        </w:rPr>
        <w:t>, dictad</w:t>
      </w:r>
      <w:r w:rsidR="003113DB" w:rsidRPr="00EC6408">
        <w:rPr>
          <w:rFonts w:ascii="Arial" w:hAnsi="Arial" w:cs="Arial"/>
          <w:sz w:val="26"/>
          <w:szCs w:val="26"/>
        </w:rPr>
        <w:t>a</w:t>
      </w:r>
      <w:r w:rsidRPr="00EC6408">
        <w:rPr>
          <w:rFonts w:ascii="Arial" w:hAnsi="Arial" w:cs="Arial"/>
          <w:sz w:val="26"/>
          <w:szCs w:val="26"/>
        </w:rPr>
        <w:t xml:space="preserve"> en el expediente</w:t>
      </w:r>
      <w:r w:rsidR="00453BC6" w:rsidRPr="00EC6408">
        <w:rPr>
          <w:rFonts w:ascii="Arial" w:hAnsi="Arial" w:cs="Arial"/>
          <w:sz w:val="26"/>
          <w:szCs w:val="26"/>
        </w:rPr>
        <w:t xml:space="preserve"> </w:t>
      </w:r>
      <w:r w:rsidR="00453BC6" w:rsidRPr="00EC6408">
        <w:rPr>
          <w:rFonts w:ascii="Arial" w:hAnsi="Arial" w:cs="Arial"/>
          <w:b/>
          <w:bCs/>
          <w:sz w:val="26"/>
          <w:szCs w:val="26"/>
        </w:rPr>
        <w:t>48/2018</w:t>
      </w:r>
      <w:r w:rsidR="00453BC6" w:rsidRPr="00EC6408">
        <w:rPr>
          <w:rFonts w:ascii="Arial" w:hAnsi="Arial" w:cs="Arial"/>
          <w:sz w:val="26"/>
          <w:szCs w:val="26"/>
        </w:rPr>
        <w:t xml:space="preserve"> por </w:t>
      </w:r>
      <w:r w:rsidR="00453BC6" w:rsidRPr="00EC6408">
        <w:rPr>
          <w:rFonts w:ascii="Arial" w:hAnsi="Arial" w:cs="Arial"/>
          <w:sz w:val="26"/>
          <w:szCs w:val="26"/>
        </w:rPr>
        <w:lastRenderedPageBreak/>
        <w:t xml:space="preserve">la entonces Séptima Sala Unitaria de Primera Instancia, actualmente </w:t>
      </w:r>
      <w:r w:rsidR="00453BC6" w:rsidRPr="00EC6408">
        <w:rPr>
          <w:rFonts w:ascii="Arial" w:hAnsi="Arial" w:cs="Arial"/>
          <w:b/>
          <w:sz w:val="26"/>
          <w:szCs w:val="26"/>
        </w:rPr>
        <w:t xml:space="preserve">93/2020 </w:t>
      </w:r>
      <w:r w:rsidR="00453BC6" w:rsidRPr="00EC6408">
        <w:rPr>
          <w:rFonts w:ascii="Arial" w:hAnsi="Arial" w:cs="Arial"/>
          <w:sz w:val="26"/>
          <w:szCs w:val="26"/>
        </w:rPr>
        <w:t>del índice de la Primera Sala Unitaria de Primera Instancia</w:t>
      </w:r>
      <w:r w:rsidRPr="00EC6408">
        <w:rPr>
          <w:rFonts w:ascii="Arial" w:hAnsi="Arial" w:cs="Arial"/>
          <w:sz w:val="26"/>
          <w:szCs w:val="26"/>
        </w:rPr>
        <w:t xml:space="preserve">. - - - </w:t>
      </w:r>
    </w:p>
    <w:p w14:paraId="2A326BD4" w14:textId="3A701DC7" w:rsidR="00242A6C" w:rsidRPr="00EC6408" w:rsidRDefault="00242A6C" w:rsidP="00EA63F5">
      <w:pPr>
        <w:spacing w:line="360" w:lineRule="auto"/>
        <w:ind w:firstLine="567"/>
        <w:jc w:val="both"/>
        <w:rPr>
          <w:rFonts w:ascii="Arial" w:hAnsi="Arial" w:cs="Arial"/>
          <w:color w:val="000000"/>
          <w:sz w:val="26"/>
          <w:szCs w:val="26"/>
        </w:rPr>
      </w:pPr>
      <w:r w:rsidRPr="00EC6408">
        <w:rPr>
          <w:rFonts w:ascii="Arial" w:hAnsi="Arial" w:cs="Arial"/>
          <w:b/>
          <w:bCs/>
          <w:sz w:val="26"/>
          <w:szCs w:val="26"/>
        </w:rPr>
        <w:t xml:space="preserve">SEGUNDO. </w:t>
      </w:r>
      <w:r w:rsidRPr="00EC6408">
        <w:rPr>
          <w:rFonts w:ascii="Arial" w:hAnsi="Arial" w:cs="Arial"/>
          <w:bCs/>
          <w:color w:val="000000"/>
          <w:sz w:val="26"/>
          <w:szCs w:val="26"/>
        </w:rPr>
        <w:t>De las constancias que integran el expediente principal, las que tienen pleno valor probatorio</w:t>
      </w:r>
      <w:r w:rsidR="001C4807" w:rsidRPr="00EC6408">
        <w:rPr>
          <w:rFonts w:ascii="Arial" w:hAnsi="Arial" w:cs="Arial"/>
          <w:bCs/>
          <w:color w:val="000000"/>
          <w:sz w:val="26"/>
          <w:szCs w:val="26"/>
        </w:rPr>
        <w:t>,</w:t>
      </w:r>
      <w:r w:rsidRPr="00EC6408">
        <w:rPr>
          <w:rFonts w:ascii="Arial" w:hAnsi="Arial" w:cs="Arial"/>
          <w:bCs/>
          <w:color w:val="000000"/>
          <w:sz w:val="26"/>
          <w:szCs w:val="26"/>
        </w:rPr>
        <w:t xml:space="preserve"> conforme </w:t>
      </w:r>
      <w:r w:rsidR="00BD77DC" w:rsidRPr="00EC6408">
        <w:rPr>
          <w:rFonts w:ascii="Arial" w:hAnsi="Arial" w:cs="Arial"/>
          <w:bCs/>
          <w:color w:val="000000"/>
          <w:sz w:val="26"/>
          <w:szCs w:val="26"/>
        </w:rPr>
        <w:t xml:space="preserve">a </w:t>
      </w:r>
      <w:r w:rsidRPr="00EC6408">
        <w:rPr>
          <w:rFonts w:ascii="Arial" w:hAnsi="Arial" w:cs="Arial"/>
          <w:bCs/>
          <w:color w:val="000000"/>
          <w:sz w:val="26"/>
          <w:szCs w:val="26"/>
        </w:rPr>
        <w:t>lo dispuesto por el artículo 203, fracción I</w:t>
      </w:r>
      <w:r w:rsidR="00CD6ED4" w:rsidRPr="00EC6408">
        <w:rPr>
          <w:rFonts w:ascii="Arial" w:hAnsi="Arial" w:cs="Arial"/>
          <w:bCs/>
          <w:color w:val="000000"/>
          <w:sz w:val="26"/>
          <w:szCs w:val="26"/>
        </w:rPr>
        <w:t>,</w:t>
      </w:r>
      <w:r w:rsidRPr="00EC6408">
        <w:rPr>
          <w:rFonts w:ascii="Arial" w:hAnsi="Arial" w:cs="Arial"/>
          <w:bCs/>
          <w:color w:val="000000"/>
          <w:sz w:val="26"/>
          <w:szCs w:val="26"/>
        </w:rPr>
        <w:t xml:space="preserve"> de la Ley de Procedimiento y Justicia Administrativa para el Estado de Oaxaca, por tratarse de actuaciones contenidas en documentos públicos, se advierte que</w:t>
      </w:r>
      <w:r w:rsidR="00E82B74" w:rsidRPr="00EC6408">
        <w:rPr>
          <w:rFonts w:ascii="Arial" w:hAnsi="Arial" w:cs="Arial"/>
          <w:bCs/>
          <w:color w:val="000000"/>
          <w:sz w:val="26"/>
          <w:szCs w:val="26"/>
        </w:rPr>
        <w:t xml:space="preserve"> </w:t>
      </w:r>
      <w:r w:rsidR="00E82B74" w:rsidRPr="00EC6408">
        <w:rPr>
          <w:rFonts w:ascii="Arial" w:hAnsi="Arial" w:cs="Arial"/>
          <w:bCs/>
          <w:sz w:val="26"/>
          <w:szCs w:val="26"/>
        </w:rPr>
        <w:t>el</w:t>
      </w:r>
      <w:r w:rsidR="00E82B74" w:rsidRPr="00EC6408">
        <w:rPr>
          <w:rFonts w:ascii="Arial" w:hAnsi="Arial" w:cs="Arial"/>
          <w:b/>
          <w:sz w:val="26"/>
          <w:szCs w:val="26"/>
        </w:rPr>
        <w:t xml:space="preserve"> </w:t>
      </w:r>
      <w:r w:rsidR="00E82B74" w:rsidRPr="00EC6408">
        <w:rPr>
          <w:rFonts w:ascii="Arial" w:hAnsi="Arial" w:cs="Arial"/>
          <w:b/>
          <w:bCs/>
          <w:sz w:val="26"/>
          <w:szCs w:val="26"/>
        </w:rPr>
        <w:t>SUBDIRECTOR DE TRÁNSITO Y MOVILIDAD DEL MUNICIPIO DE OAXACA DE JUÁREZ</w:t>
      </w:r>
      <w:r w:rsidR="00E82B74" w:rsidRPr="00EC6408">
        <w:rPr>
          <w:rFonts w:ascii="Arial" w:hAnsi="Arial" w:cs="Arial"/>
          <w:b/>
          <w:sz w:val="26"/>
          <w:szCs w:val="26"/>
        </w:rPr>
        <w:t>, OAXACA</w:t>
      </w:r>
      <w:r w:rsidR="001C4807" w:rsidRPr="00EC6408">
        <w:rPr>
          <w:rFonts w:ascii="Arial" w:hAnsi="Arial" w:cs="Arial"/>
          <w:bCs/>
          <w:sz w:val="26"/>
          <w:szCs w:val="26"/>
        </w:rPr>
        <w:t>,</w:t>
      </w:r>
      <w:r w:rsidRPr="00EC6408">
        <w:rPr>
          <w:rFonts w:ascii="Arial" w:hAnsi="Arial" w:cs="Arial"/>
          <w:sz w:val="26"/>
          <w:szCs w:val="26"/>
        </w:rPr>
        <w:t xml:space="preserve"> </w:t>
      </w:r>
      <w:r w:rsidRPr="00EC6408">
        <w:rPr>
          <w:rFonts w:ascii="Arial" w:hAnsi="Arial" w:cs="Arial"/>
          <w:color w:val="000000"/>
          <w:sz w:val="26"/>
          <w:szCs w:val="26"/>
        </w:rPr>
        <w:t>presentó recurso de revisión en contra de</w:t>
      </w:r>
      <w:r w:rsidR="003113DB" w:rsidRPr="00EC6408">
        <w:rPr>
          <w:rFonts w:ascii="Arial" w:hAnsi="Arial" w:cs="Arial"/>
          <w:color w:val="000000"/>
          <w:sz w:val="26"/>
          <w:szCs w:val="26"/>
        </w:rPr>
        <w:t xml:space="preserve"> la sentencia de trece de diciembre de dos mil diecinueve</w:t>
      </w:r>
      <w:r w:rsidRPr="00EC6408">
        <w:rPr>
          <w:rFonts w:ascii="Arial" w:hAnsi="Arial" w:cs="Arial"/>
          <w:color w:val="000000"/>
          <w:sz w:val="26"/>
          <w:szCs w:val="26"/>
        </w:rPr>
        <w:t xml:space="preserve">, el cual fue recibido en la Oficialía de Partes Común de este Tribunal de Justicia Administrativa del Estado de Oaxaca el </w:t>
      </w:r>
      <w:r w:rsidR="003113DB" w:rsidRPr="00EC6408">
        <w:rPr>
          <w:rFonts w:ascii="Arial" w:hAnsi="Arial" w:cs="Arial"/>
          <w:color w:val="000000"/>
          <w:sz w:val="26"/>
          <w:szCs w:val="26"/>
        </w:rPr>
        <w:t>treinta y uno de enero</w:t>
      </w:r>
      <w:r w:rsidRPr="00EC6408">
        <w:rPr>
          <w:rFonts w:ascii="Arial" w:hAnsi="Arial" w:cs="Arial"/>
          <w:color w:val="000000"/>
          <w:sz w:val="26"/>
          <w:szCs w:val="26"/>
        </w:rPr>
        <w:t xml:space="preserve"> de dos mil veinte; por lo que es importante precisar lo siguiente:</w:t>
      </w:r>
      <w:r w:rsidR="00100B89" w:rsidRPr="00100B89">
        <w:rPr>
          <w:rFonts w:ascii="Arial" w:eastAsia="Calibri" w:hAnsi="Arial" w:cs="Arial"/>
          <w:bCs/>
          <w:color w:val="000000"/>
          <w:sz w:val="26"/>
          <w:szCs w:val="26"/>
          <w:lang w:val="es-ES" w:eastAsia="en-US"/>
        </w:rPr>
        <w:t xml:space="preserve"> </w:t>
      </w:r>
      <w:r w:rsidR="00100B89">
        <w:rPr>
          <w:rFonts w:ascii="Arial" w:eastAsia="Calibri" w:hAnsi="Arial" w:cs="Arial"/>
          <w:bCs/>
          <w:color w:val="000000"/>
          <w:sz w:val="26"/>
          <w:szCs w:val="26"/>
          <w:lang w:val="es-ES" w:eastAsia="en-US"/>
        </w:rPr>
        <w:t xml:space="preserve">- - - - - - - - - - - - - - </w:t>
      </w:r>
    </w:p>
    <w:p w14:paraId="6B5F7DED" w14:textId="1808FC5B" w:rsidR="00242A6C" w:rsidRPr="00EC6408" w:rsidRDefault="00242A6C" w:rsidP="00242A6C">
      <w:pPr>
        <w:spacing w:line="360" w:lineRule="auto"/>
        <w:jc w:val="both"/>
        <w:rPr>
          <w:rFonts w:ascii="Arial" w:hAnsi="Arial" w:cs="Arial"/>
          <w:color w:val="000000"/>
          <w:sz w:val="26"/>
          <w:szCs w:val="26"/>
        </w:rPr>
      </w:pPr>
      <w:r w:rsidRPr="00EC6408">
        <w:rPr>
          <w:rFonts w:ascii="Arial" w:hAnsi="Arial" w:cs="Arial"/>
          <w:color w:val="000000"/>
          <w:sz w:val="26"/>
          <w:szCs w:val="26"/>
        </w:rPr>
        <w:t xml:space="preserve">     </w:t>
      </w:r>
      <w:r w:rsidRPr="00EC6408">
        <w:rPr>
          <w:rFonts w:ascii="Arial" w:hAnsi="Arial" w:cs="Arial"/>
          <w:color w:val="000000"/>
          <w:sz w:val="26"/>
          <w:szCs w:val="26"/>
        </w:rPr>
        <w:tab/>
        <w:t xml:space="preserve">El artículo 237 de la Ley de Procedimiento y Justicia Administrativa para el Estado de Oaxaca, establece: </w:t>
      </w:r>
      <w:r w:rsidR="00100B89">
        <w:rPr>
          <w:rFonts w:ascii="Arial" w:eastAsia="Calibri" w:hAnsi="Arial" w:cs="Arial"/>
          <w:bCs/>
          <w:color w:val="000000"/>
          <w:sz w:val="26"/>
          <w:szCs w:val="26"/>
          <w:lang w:val="es-ES" w:eastAsia="en-US"/>
        </w:rPr>
        <w:t xml:space="preserve">- - - - - - - - - - - - - - - - - - - - - - - - - </w:t>
      </w:r>
    </w:p>
    <w:p w14:paraId="3F6476CA" w14:textId="4457CDDE" w:rsidR="00242A6C" w:rsidRPr="00EC6408" w:rsidRDefault="00242A6C" w:rsidP="00866435">
      <w:pPr>
        <w:tabs>
          <w:tab w:val="left" w:pos="7371"/>
        </w:tabs>
        <w:spacing w:line="360" w:lineRule="auto"/>
        <w:ind w:left="851" w:right="1325"/>
        <w:jc w:val="both"/>
        <w:rPr>
          <w:rFonts w:ascii="Arial" w:hAnsi="Arial" w:cs="Arial"/>
          <w:i/>
          <w:color w:val="000000"/>
        </w:rPr>
      </w:pPr>
      <w:r w:rsidRPr="00EC6408">
        <w:rPr>
          <w:rFonts w:ascii="Arial" w:hAnsi="Arial" w:cs="Arial"/>
          <w:i/>
          <w:color w:val="000000"/>
        </w:rPr>
        <w:t xml:space="preserve"> “</w:t>
      </w:r>
      <w:r w:rsidRPr="00EC6408">
        <w:rPr>
          <w:rFonts w:ascii="Arial" w:hAnsi="Arial" w:cs="Arial"/>
          <w:b/>
          <w:i/>
          <w:color w:val="000000"/>
        </w:rPr>
        <w:t>ARTÍCULO 237</w:t>
      </w:r>
      <w:r w:rsidRPr="00EC6408">
        <w:rPr>
          <w:rFonts w:ascii="Arial" w:hAnsi="Arial" w:cs="Arial"/>
          <w:i/>
          <w:color w:val="000000"/>
        </w:rPr>
        <w:t>.- El recurso de revisión se presentará por escrito con expresión de agravios ante el Juzgado que dictó el acuerdo o resolución que se impugna, dentro de los cinco días siguientes a la notificación de la resolución recurrida…”</w:t>
      </w:r>
    </w:p>
    <w:p w14:paraId="0C2DF8F4" w14:textId="4C007294" w:rsidR="00242A6C" w:rsidRPr="00EC6408" w:rsidRDefault="00242A6C" w:rsidP="00242A6C">
      <w:pPr>
        <w:spacing w:line="360" w:lineRule="auto"/>
        <w:ind w:right="49"/>
        <w:jc w:val="both"/>
        <w:rPr>
          <w:rFonts w:ascii="Arial" w:hAnsi="Arial" w:cs="Arial"/>
          <w:color w:val="000000"/>
          <w:sz w:val="26"/>
          <w:szCs w:val="26"/>
        </w:rPr>
      </w:pPr>
      <w:r w:rsidRPr="00EC6408">
        <w:rPr>
          <w:rFonts w:ascii="Arial" w:hAnsi="Arial" w:cs="Arial"/>
          <w:color w:val="000000"/>
          <w:sz w:val="26"/>
          <w:szCs w:val="26"/>
        </w:rPr>
        <w:t xml:space="preserve">      Y, el diverso artículo 170, segundo párrafo de la Ley invocada, señala:</w:t>
      </w:r>
      <w:r w:rsidR="00100B89" w:rsidRPr="00100B89">
        <w:rPr>
          <w:rFonts w:ascii="Arial" w:eastAsia="Calibri" w:hAnsi="Arial" w:cs="Arial"/>
          <w:bCs/>
          <w:color w:val="000000"/>
          <w:sz w:val="26"/>
          <w:szCs w:val="26"/>
          <w:lang w:val="es-ES" w:eastAsia="en-US"/>
        </w:rPr>
        <w:t xml:space="preserve"> </w:t>
      </w:r>
      <w:r w:rsidR="00100B89">
        <w:rPr>
          <w:rFonts w:ascii="Arial" w:eastAsia="Calibri" w:hAnsi="Arial" w:cs="Arial"/>
          <w:bCs/>
          <w:color w:val="000000"/>
          <w:sz w:val="26"/>
          <w:szCs w:val="26"/>
          <w:lang w:val="es-ES" w:eastAsia="en-US"/>
        </w:rPr>
        <w:t xml:space="preserve">- - - - - - - - - - - - - - - - - - - - - - - - - - - - - - - - - - - - - - - - - - - - - - </w:t>
      </w:r>
    </w:p>
    <w:p w14:paraId="56BCDFDC" w14:textId="5B6AD526" w:rsidR="00242A6C" w:rsidRPr="00EC6408" w:rsidRDefault="00242A6C" w:rsidP="00172E9A">
      <w:pPr>
        <w:tabs>
          <w:tab w:val="left" w:pos="7655"/>
        </w:tabs>
        <w:spacing w:line="360" w:lineRule="auto"/>
        <w:ind w:left="851" w:right="1325"/>
        <w:jc w:val="both"/>
        <w:rPr>
          <w:rFonts w:ascii="Arial" w:hAnsi="Arial" w:cs="Arial"/>
          <w:i/>
          <w:color w:val="000000"/>
        </w:rPr>
      </w:pPr>
      <w:r w:rsidRPr="00EC6408">
        <w:rPr>
          <w:rFonts w:ascii="Arial" w:hAnsi="Arial" w:cs="Arial"/>
          <w:i/>
          <w:color w:val="000000"/>
        </w:rPr>
        <w:t xml:space="preserve"> “</w:t>
      </w:r>
      <w:r w:rsidRPr="00EC6408">
        <w:rPr>
          <w:rFonts w:ascii="Arial" w:hAnsi="Arial" w:cs="Arial"/>
          <w:b/>
          <w:i/>
          <w:color w:val="000000"/>
        </w:rPr>
        <w:t>ARTÍCULO 170</w:t>
      </w:r>
      <w:r w:rsidRPr="00EC6408">
        <w:rPr>
          <w:rFonts w:ascii="Arial" w:hAnsi="Arial" w:cs="Arial"/>
          <w:i/>
          <w:color w:val="000000"/>
        </w:rPr>
        <w:t>.-…Las notificaciones surtirán sus efectos el día hábil siguiente de aquel en que se realicen.”</w:t>
      </w:r>
    </w:p>
    <w:p w14:paraId="4D0D4A02" w14:textId="5371079B" w:rsidR="00242A6C" w:rsidRPr="00EC6408" w:rsidRDefault="00242A6C" w:rsidP="00242A6C">
      <w:pPr>
        <w:spacing w:line="360" w:lineRule="auto"/>
        <w:jc w:val="both"/>
        <w:rPr>
          <w:rFonts w:ascii="Arial" w:hAnsi="Arial" w:cs="Arial"/>
          <w:color w:val="000000"/>
          <w:sz w:val="26"/>
          <w:szCs w:val="26"/>
        </w:rPr>
      </w:pPr>
      <w:r w:rsidRPr="00EC6408">
        <w:rPr>
          <w:rFonts w:ascii="Arial" w:hAnsi="Arial" w:cs="Arial"/>
          <w:color w:val="000000"/>
          <w:sz w:val="26"/>
          <w:szCs w:val="26"/>
        </w:rPr>
        <w:t xml:space="preserve">     </w:t>
      </w:r>
      <w:r w:rsidRPr="00EC6408">
        <w:rPr>
          <w:rFonts w:ascii="Arial" w:hAnsi="Arial" w:cs="Arial"/>
          <w:b/>
          <w:bCs/>
          <w:color w:val="000000"/>
          <w:sz w:val="26"/>
          <w:szCs w:val="26"/>
        </w:rPr>
        <w:t>Ahora bien</w:t>
      </w:r>
      <w:r w:rsidRPr="00EC6408">
        <w:rPr>
          <w:rFonts w:ascii="Arial" w:hAnsi="Arial" w:cs="Arial"/>
          <w:color w:val="000000"/>
          <w:sz w:val="26"/>
          <w:szCs w:val="26"/>
        </w:rPr>
        <w:t xml:space="preserve">, de los autos que conforman el expediente de nulidad de origen, se advierte que </w:t>
      </w:r>
      <w:r w:rsidR="003113DB" w:rsidRPr="00EC6408">
        <w:rPr>
          <w:rFonts w:ascii="Arial" w:hAnsi="Arial" w:cs="Arial"/>
          <w:color w:val="000000"/>
          <w:sz w:val="26"/>
          <w:szCs w:val="26"/>
        </w:rPr>
        <w:t>la sentencia</w:t>
      </w:r>
      <w:r w:rsidR="001C4807" w:rsidRPr="00EC6408">
        <w:rPr>
          <w:rFonts w:ascii="Arial" w:hAnsi="Arial" w:cs="Arial"/>
          <w:color w:val="000000"/>
          <w:sz w:val="26"/>
          <w:szCs w:val="26"/>
        </w:rPr>
        <w:t xml:space="preserve"> que se recurre de fecha </w:t>
      </w:r>
      <w:r w:rsidR="003113DB" w:rsidRPr="00EC6408">
        <w:rPr>
          <w:rFonts w:ascii="Arial" w:hAnsi="Arial" w:cs="Arial"/>
          <w:color w:val="000000"/>
          <w:sz w:val="26"/>
          <w:szCs w:val="26"/>
        </w:rPr>
        <w:t>trece de diciembre de dos mil diecinueve</w:t>
      </w:r>
      <w:r w:rsidR="001C4807" w:rsidRPr="00EC6408">
        <w:rPr>
          <w:rFonts w:ascii="Arial" w:hAnsi="Arial" w:cs="Arial"/>
          <w:color w:val="000000"/>
          <w:sz w:val="26"/>
          <w:szCs w:val="26"/>
        </w:rPr>
        <w:t>,</w:t>
      </w:r>
      <w:r w:rsidRPr="00EC6408">
        <w:rPr>
          <w:rFonts w:ascii="Arial" w:hAnsi="Arial" w:cs="Arial"/>
          <w:color w:val="000000"/>
          <w:sz w:val="26"/>
          <w:szCs w:val="26"/>
        </w:rPr>
        <w:t xml:space="preserve"> fue </w:t>
      </w:r>
      <w:r w:rsidR="001C4807" w:rsidRPr="00EC6408">
        <w:rPr>
          <w:rFonts w:ascii="Arial" w:hAnsi="Arial" w:cs="Arial"/>
          <w:color w:val="000000"/>
          <w:sz w:val="26"/>
          <w:szCs w:val="26"/>
        </w:rPr>
        <w:t>notificad</w:t>
      </w:r>
      <w:r w:rsidR="003113DB" w:rsidRPr="00EC6408">
        <w:rPr>
          <w:rFonts w:ascii="Arial" w:hAnsi="Arial" w:cs="Arial"/>
          <w:color w:val="000000"/>
          <w:sz w:val="26"/>
          <w:szCs w:val="26"/>
        </w:rPr>
        <w:t>a mediante oficio</w:t>
      </w:r>
      <w:r w:rsidR="001C4807" w:rsidRPr="00EC6408">
        <w:rPr>
          <w:rFonts w:ascii="Arial" w:hAnsi="Arial" w:cs="Arial"/>
          <w:color w:val="000000"/>
          <w:sz w:val="26"/>
          <w:szCs w:val="26"/>
        </w:rPr>
        <w:t xml:space="preserve"> a la</w:t>
      </w:r>
      <w:r w:rsidR="003113DB" w:rsidRPr="00EC6408">
        <w:rPr>
          <w:rFonts w:ascii="Arial" w:hAnsi="Arial" w:cs="Arial"/>
          <w:color w:val="000000"/>
          <w:sz w:val="26"/>
          <w:szCs w:val="26"/>
        </w:rPr>
        <w:t xml:space="preserve"> autoridad </w:t>
      </w:r>
      <w:r w:rsidR="00E82B74" w:rsidRPr="00EC6408">
        <w:rPr>
          <w:rFonts w:ascii="Arial" w:hAnsi="Arial" w:cs="Arial"/>
          <w:color w:val="000000"/>
          <w:sz w:val="26"/>
          <w:szCs w:val="26"/>
        </w:rPr>
        <w:t xml:space="preserve">hoy </w:t>
      </w:r>
      <w:r w:rsidR="003113DB" w:rsidRPr="00EC6408">
        <w:rPr>
          <w:rFonts w:ascii="Arial" w:hAnsi="Arial" w:cs="Arial"/>
          <w:color w:val="000000"/>
          <w:sz w:val="26"/>
          <w:szCs w:val="26"/>
        </w:rPr>
        <w:t>recurrente el veintiuno de enero de dos mil veinte</w:t>
      </w:r>
      <w:r w:rsidRPr="00EC6408">
        <w:rPr>
          <w:rFonts w:ascii="Arial" w:hAnsi="Arial" w:cs="Arial"/>
          <w:color w:val="000000"/>
          <w:sz w:val="26"/>
          <w:szCs w:val="26"/>
        </w:rPr>
        <w:t>, como así consta en</w:t>
      </w:r>
      <w:r w:rsidR="001C4807" w:rsidRPr="00EC6408">
        <w:rPr>
          <w:rFonts w:ascii="Arial" w:hAnsi="Arial" w:cs="Arial"/>
          <w:color w:val="000000"/>
          <w:sz w:val="26"/>
          <w:szCs w:val="26"/>
        </w:rPr>
        <w:t xml:space="preserve"> la constancia</w:t>
      </w:r>
      <w:r w:rsidRPr="00EC6408">
        <w:rPr>
          <w:rFonts w:ascii="Arial" w:hAnsi="Arial" w:cs="Arial"/>
          <w:color w:val="000000"/>
          <w:sz w:val="26"/>
          <w:szCs w:val="26"/>
        </w:rPr>
        <w:t xml:space="preserve"> correspondiente y su razón de entrega</w:t>
      </w:r>
      <w:r w:rsidR="001C4807" w:rsidRPr="00EC6408">
        <w:rPr>
          <w:rStyle w:val="Refdenotaalpie"/>
          <w:rFonts w:ascii="Arial" w:hAnsi="Arial" w:cs="Arial"/>
          <w:color w:val="000000"/>
          <w:sz w:val="26"/>
          <w:szCs w:val="26"/>
        </w:rPr>
        <w:footnoteReference w:id="1"/>
      </w:r>
      <w:r w:rsidRPr="00EC6408">
        <w:rPr>
          <w:rFonts w:ascii="Arial" w:hAnsi="Arial" w:cs="Arial"/>
          <w:color w:val="000000"/>
          <w:sz w:val="26"/>
          <w:szCs w:val="26"/>
        </w:rPr>
        <w:t>.</w:t>
      </w:r>
      <w:r w:rsidR="00172E9A" w:rsidRPr="00EC6408">
        <w:rPr>
          <w:rFonts w:ascii="Arial" w:hAnsi="Arial" w:cs="Arial"/>
          <w:color w:val="000000"/>
          <w:sz w:val="26"/>
          <w:szCs w:val="26"/>
        </w:rPr>
        <w:t xml:space="preserve"> - - - </w:t>
      </w:r>
    </w:p>
    <w:p w14:paraId="67C0F2CB" w14:textId="3B31190A" w:rsidR="00242A6C" w:rsidRPr="00EC6408" w:rsidRDefault="00242A6C" w:rsidP="00242A6C">
      <w:pPr>
        <w:spacing w:line="360" w:lineRule="auto"/>
        <w:jc w:val="both"/>
        <w:rPr>
          <w:rFonts w:ascii="Arial" w:hAnsi="Arial" w:cs="Arial"/>
          <w:color w:val="000000"/>
          <w:sz w:val="26"/>
          <w:szCs w:val="26"/>
        </w:rPr>
      </w:pPr>
      <w:r w:rsidRPr="00EC6408">
        <w:rPr>
          <w:rFonts w:ascii="Arial" w:hAnsi="Arial" w:cs="Arial"/>
          <w:color w:val="000000"/>
          <w:sz w:val="26"/>
          <w:szCs w:val="26"/>
        </w:rPr>
        <w:t xml:space="preserve">   </w:t>
      </w:r>
      <w:r w:rsidR="00EB1392" w:rsidRPr="00EC6408">
        <w:rPr>
          <w:rFonts w:ascii="Arial" w:hAnsi="Arial" w:cs="Arial"/>
          <w:color w:val="000000"/>
          <w:sz w:val="26"/>
          <w:szCs w:val="26"/>
        </w:rPr>
        <w:t xml:space="preserve">  </w:t>
      </w:r>
      <w:r w:rsidRPr="00EC6408">
        <w:rPr>
          <w:rFonts w:ascii="Arial" w:hAnsi="Arial" w:cs="Arial"/>
          <w:color w:val="000000"/>
          <w:sz w:val="26"/>
          <w:szCs w:val="26"/>
        </w:rPr>
        <w:t xml:space="preserve">  </w:t>
      </w:r>
      <w:r w:rsidRPr="00EC6408">
        <w:rPr>
          <w:rFonts w:ascii="Arial" w:hAnsi="Arial" w:cs="Arial"/>
          <w:b/>
          <w:bCs/>
          <w:color w:val="000000"/>
          <w:sz w:val="26"/>
          <w:szCs w:val="26"/>
        </w:rPr>
        <w:t>Entonces</w:t>
      </w:r>
      <w:r w:rsidRPr="00EC6408">
        <w:rPr>
          <w:rFonts w:ascii="Arial" w:hAnsi="Arial" w:cs="Arial"/>
          <w:color w:val="000000"/>
          <w:sz w:val="26"/>
          <w:szCs w:val="26"/>
        </w:rPr>
        <w:t xml:space="preserve">, se acredita fehacientemente que la autoridad aquí recurrente </w:t>
      </w:r>
      <w:r w:rsidRPr="00EC6408">
        <w:rPr>
          <w:rFonts w:ascii="Arial" w:hAnsi="Arial" w:cs="Arial"/>
          <w:b/>
          <w:bCs/>
          <w:color w:val="000000"/>
          <w:sz w:val="26"/>
          <w:szCs w:val="26"/>
        </w:rPr>
        <w:t>tuvo conocimiento de</w:t>
      </w:r>
      <w:r w:rsidR="003113DB" w:rsidRPr="00EC6408">
        <w:rPr>
          <w:rFonts w:ascii="Arial" w:hAnsi="Arial" w:cs="Arial"/>
          <w:b/>
          <w:bCs/>
          <w:color w:val="000000"/>
          <w:sz w:val="26"/>
          <w:szCs w:val="26"/>
        </w:rPr>
        <w:t xml:space="preserve"> la sentencia</w:t>
      </w:r>
      <w:r w:rsidRPr="00EC6408">
        <w:rPr>
          <w:rFonts w:ascii="Arial" w:hAnsi="Arial" w:cs="Arial"/>
          <w:b/>
          <w:bCs/>
          <w:color w:val="000000"/>
          <w:sz w:val="26"/>
          <w:szCs w:val="26"/>
        </w:rPr>
        <w:t xml:space="preserve"> que </w:t>
      </w:r>
      <w:r w:rsidR="00A503F3" w:rsidRPr="00EC6408">
        <w:rPr>
          <w:rFonts w:ascii="Arial" w:hAnsi="Arial" w:cs="Arial"/>
          <w:b/>
          <w:bCs/>
          <w:color w:val="000000"/>
          <w:sz w:val="26"/>
          <w:szCs w:val="26"/>
        </w:rPr>
        <w:t xml:space="preserve">impugna </w:t>
      </w:r>
      <w:r w:rsidRPr="00EC6408">
        <w:rPr>
          <w:rFonts w:ascii="Arial" w:hAnsi="Arial" w:cs="Arial"/>
          <w:b/>
          <w:bCs/>
          <w:color w:val="000000"/>
          <w:sz w:val="26"/>
          <w:szCs w:val="26"/>
        </w:rPr>
        <w:t xml:space="preserve">el </w:t>
      </w:r>
      <w:r w:rsidR="003113DB" w:rsidRPr="00EC6408">
        <w:rPr>
          <w:rFonts w:ascii="Arial" w:hAnsi="Arial" w:cs="Arial"/>
          <w:b/>
          <w:bCs/>
          <w:color w:val="000000"/>
          <w:sz w:val="26"/>
          <w:szCs w:val="26"/>
        </w:rPr>
        <w:t>veintiuno de enero</w:t>
      </w:r>
      <w:r w:rsidR="00A503F3" w:rsidRPr="00EC6408">
        <w:rPr>
          <w:rFonts w:ascii="Arial" w:hAnsi="Arial" w:cs="Arial"/>
          <w:b/>
          <w:bCs/>
          <w:color w:val="000000"/>
          <w:sz w:val="26"/>
          <w:szCs w:val="26"/>
        </w:rPr>
        <w:t xml:space="preserve"> de dos mil veinte</w:t>
      </w:r>
      <w:r w:rsidRPr="00EC6408">
        <w:rPr>
          <w:rFonts w:ascii="Arial" w:hAnsi="Arial" w:cs="Arial"/>
          <w:color w:val="000000"/>
          <w:sz w:val="26"/>
          <w:szCs w:val="26"/>
        </w:rPr>
        <w:t>, surtiendo efecto</w:t>
      </w:r>
      <w:r w:rsidR="00866435" w:rsidRPr="00EC6408">
        <w:rPr>
          <w:rFonts w:ascii="Arial" w:hAnsi="Arial" w:cs="Arial"/>
          <w:color w:val="000000"/>
          <w:sz w:val="26"/>
          <w:szCs w:val="26"/>
        </w:rPr>
        <w:t xml:space="preserve"> la notificación</w:t>
      </w:r>
      <w:r w:rsidRPr="00EC6408">
        <w:rPr>
          <w:rFonts w:ascii="Arial" w:hAnsi="Arial" w:cs="Arial"/>
          <w:color w:val="000000"/>
          <w:sz w:val="26"/>
          <w:szCs w:val="26"/>
        </w:rPr>
        <w:t xml:space="preserve"> el </w:t>
      </w:r>
      <w:r w:rsidR="003E1705" w:rsidRPr="00EC6408">
        <w:rPr>
          <w:rFonts w:ascii="Arial" w:hAnsi="Arial" w:cs="Arial"/>
          <w:color w:val="000000"/>
          <w:sz w:val="26"/>
          <w:szCs w:val="26"/>
        </w:rPr>
        <w:t>veintidós</w:t>
      </w:r>
      <w:r w:rsidRPr="00EC6408">
        <w:rPr>
          <w:rFonts w:ascii="Arial" w:hAnsi="Arial" w:cs="Arial"/>
          <w:color w:val="000000"/>
          <w:sz w:val="26"/>
          <w:szCs w:val="26"/>
        </w:rPr>
        <w:t xml:space="preserve"> del mismo mes y año, día hábil siguiente a la realización de la referida notificación, por lo que </w:t>
      </w:r>
      <w:r w:rsidRPr="00EC6408">
        <w:rPr>
          <w:rFonts w:ascii="Arial" w:hAnsi="Arial" w:cs="Arial"/>
          <w:b/>
          <w:bCs/>
          <w:color w:val="000000"/>
          <w:sz w:val="26"/>
          <w:szCs w:val="26"/>
        </w:rPr>
        <w:t xml:space="preserve">el plazo aludido transcurrió del </w:t>
      </w:r>
      <w:r w:rsidR="003E1705" w:rsidRPr="00EC6408">
        <w:rPr>
          <w:rFonts w:ascii="Arial" w:hAnsi="Arial" w:cs="Arial"/>
          <w:b/>
          <w:bCs/>
          <w:color w:val="000000"/>
          <w:sz w:val="26"/>
          <w:szCs w:val="26"/>
        </w:rPr>
        <w:t>veintitrés al veintinueve de enero</w:t>
      </w:r>
      <w:r w:rsidRPr="00EC6408">
        <w:rPr>
          <w:rFonts w:ascii="Arial" w:hAnsi="Arial" w:cs="Arial"/>
          <w:b/>
          <w:bCs/>
          <w:color w:val="000000"/>
          <w:sz w:val="26"/>
          <w:szCs w:val="26"/>
        </w:rPr>
        <w:t xml:space="preserve"> de dos mil veinte</w:t>
      </w:r>
      <w:r w:rsidRPr="00EC6408">
        <w:rPr>
          <w:rFonts w:ascii="Arial" w:hAnsi="Arial" w:cs="Arial"/>
          <w:color w:val="000000"/>
          <w:sz w:val="26"/>
          <w:szCs w:val="26"/>
        </w:rPr>
        <w:t xml:space="preserve">, descontándose </w:t>
      </w:r>
      <w:r w:rsidR="00A503F3" w:rsidRPr="00EC6408">
        <w:rPr>
          <w:rFonts w:ascii="Arial" w:hAnsi="Arial" w:cs="Arial"/>
          <w:color w:val="000000"/>
          <w:sz w:val="26"/>
          <w:szCs w:val="26"/>
        </w:rPr>
        <w:t xml:space="preserve">los días </w:t>
      </w:r>
      <w:r w:rsidR="00730749" w:rsidRPr="00EC6408">
        <w:rPr>
          <w:rFonts w:ascii="Arial" w:hAnsi="Arial" w:cs="Arial"/>
          <w:color w:val="000000"/>
          <w:sz w:val="26"/>
          <w:szCs w:val="26"/>
        </w:rPr>
        <w:t>veinti</w:t>
      </w:r>
      <w:r w:rsidR="003E1705" w:rsidRPr="00EC6408">
        <w:rPr>
          <w:rFonts w:ascii="Arial" w:hAnsi="Arial" w:cs="Arial"/>
          <w:color w:val="000000"/>
          <w:sz w:val="26"/>
          <w:szCs w:val="26"/>
        </w:rPr>
        <w:t>cinco y veintiséis</w:t>
      </w:r>
      <w:r w:rsidR="00A503F3" w:rsidRPr="00EC6408">
        <w:rPr>
          <w:rFonts w:ascii="Arial" w:hAnsi="Arial" w:cs="Arial"/>
          <w:color w:val="000000"/>
          <w:sz w:val="26"/>
          <w:szCs w:val="26"/>
        </w:rPr>
        <w:t xml:space="preserve"> </w:t>
      </w:r>
      <w:r w:rsidR="00730749" w:rsidRPr="00EC6408">
        <w:rPr>
          <w:rFonts w:ascii="Arial" w:hAnsi="Arial" w:cs="Arial"/>
          <w:color w:val="000000"/>
          <w:sz w:val="26"/>
          <w:szCs w:val="26"/>
        </w:rPr>
        <w:t xml:space="preserve">de </w:t>
      </w:r>
      <w:r w:rsidR="003E1705" w:rsidRPr="00EC6408">
        <w:rPr>
          <w:rFonts w:ascii="Arial" w:hAnsi="Arial" w:cs="Arial"/>
          <w:color w:val="000000"/>
          <w:sz w:val="26"/>
          <w:szCs w:val="26"/>
        </w:rPr>
        <w:t>enero</w:t>
      </w:r>
      <w:r w:rsidR="00A503F3" w:rsidRPr="00EC6408">
        <w:rPr>
          <w:rFonts w:ascii="Arial" w:hAnsi="Arial" w:cs="Arial"/>
          <w:color w:val="000000"/>
          <w:sz w:val="26"/>
          <w:szCs w:val="26"/>
        </w:rPr>
        <w:t xml:space="preserve"> </w:t>
      </w:r>
      <w:r w:rsidRPr="00EC6408">
        <w:rPr>
          <w:rFonts w:ascii="Arial" w:hAnsi="Arial" w:cs="Arial"/>
          <w:color w:val="000000"/>
          <w:sz w:val="26"/>
          <w:szCs w:val="26"/>
        </w:rPr>
        <w:t>de dos mil veinte</w:t>
      </w:r>
      <w:r w:rsidR="00730749" w:rsidRPr="00EC6408">
        <w:rPr>
          <w:rFonts w:ascii="Arial" w:hAnsi="Arial" w:cs="Arial"/>
          <w:color w:val="000000"/>
          <w:sz w:val="26"/>
          <w:szCs w:val="26"/>
        </w:rPr>
        <w:t>,</w:t>
      </w:r>
      <w:r w:rsidRPr="00EC6408">
        <w:rPr>
          <w:rFonts w:ascii="Arial" w:hAnsi="Arial" w:cs="Arial"/>
          <w:color w:val="000000"/>
          <w:sz w:val="26"/>
          <w:szCs w:val="26"/>
        </w:rPr>
        <w:t xml:space="preserve"> </w:t>
      </w:r>
      <w:r w:rsidR="00730749" w:rsidRPr="00EC6408">
        <w:rPr>
          <w:rFonts w:ascii="Arial" w:hAnsi="Arial" w:cs="Arial"/>
          <w:color w:val="000000"/>
          <w:sz w:val="26"/>
          <w:szCs w:val="26"/>
        </w:rPr>
        <w:t xml:space="preserve">por ser </w:t>
      </w:r>
      <w:r w:rsidR="00A503F3" w:rsidRPr="00EC6408">
        <w:rPr>
          <w:rFonts w:ascii="Arial" w:hAnsi="Arial" w:cs="Arial"/>
          <w:color w:val="000000"/>
          <w:sz w:val="26"/>
          <w:szCs w:val="26"/>
        </w:rPr>
        <w:t xml:space="preserve"> </w:t>
      </w:r>
      <w:r w:rsidR="00A503F3" w:rsidRPr="00EC6408">
        <w:rPr>
          <w:rFonts w:ascii="Arial" w:hAnsi="Arial" w:cs="Arial"/>
          <w:color w:val="000000"/>
          <w:sz w:val="26"/>
          <w:szCs w:val="26"/>
        </w:rPr>
        <w:lastRenderedPageBreak/>
        <w:t>sábado y domingo</w:t>
      </w:r>
      <w:r w:rsidRPr="00EC6408">
        <w:rPr>
          <w:rFonts w:ascii="Arial" w:hAnsi="Arial" w:cs="Arial"/>
          <w:color w:val="000000"/>
          <w:sz w:val="26"/>
          <w:szCs w:val="26"/>
        </w:rPr>
        <w:t xml:space="preserve">, conforme a lo dispuesto en los artículos 165 y 168 de la Ley de Procedimiento y Justicia Administrativa para el Estado de Oaxaca; preceptos legales invocados que establecen: </w:t>
      </w:r>
      <w:r w:rsidR="00100B89">
        <w:rPr>
          <w:rFonts w:ascii="Arial" w:eastAsia="Calibri" w:hAnsi="Arial" w:cs="Arial"/>
          <w:bCs/>
          <w:color w:val="000000"/>
          <w:sz w:val="26"/>
          <w:szCs w:val="26"/>
          <w:lang w:val="es-ES" w:eastAsia="en-US"/>
        </w:rPr>
        <w:t xml:space="preserve">- - - - - - - - - - - - - </w:t>
      </w:r>
    </w:p>
    <w:p w14:paraId="614670DD" w14:textId="555DE1C1" w:rsidR="00242A6C" w:rsidRPr="00EC6408" w:rsidRDefault="00242A6C" w:rsidP="00EA63F5">
      <w:pPr>
        <w:spacing w:line="360" w:lineRule="auto"/>
        <w:ind w:left="851" w:right="758"/>
        <w:jc w:val="both"/>
        <w:rPr>
          <w:rFonts w:ascii="Arial" w:hAnsi="Arial" w:cs="Arial"/>
          <w:i/>
          <w:color w:val="000000"/>
        </w:rPr>
      </w:pPr>
      <w:r w:rsidRPr="00EC6408">
        <w:rPr>
          <w:rFonts w:ascii="Arial" w:hAnsi="Arial" w:cs="Arial"/>
          <w:i/>
          <w:color w:val="000000"/>
        </w:rPr>
        <w:t xml:space="preserve"> “</w:t>
      </w:r>
      <w:r w:rsidRPr="00EC6408">
        <w:rPr>
          <w:rFonts w:ascii="Arial" w:hAnsi="Arial" w:cs="Arial"/>
          <w:b/>
          <w:i/>
          <w:color w:val="000000"/>
        </w:rPr>
        <w:t>ARTICULO 165</w:t>
      </w:r>
      <w:r w:rsidRPr="00EC6408">
        <w:rPr>
          <w:rFonts w:ascii="Arial" w:hAnsi="Arial" w:cs="Arial"/>
          <w:i/>
          <w:color w:val="000000"/>
        </w:rPr>
        <w:t xml:space="preserve">.- Son días hábiles para la promoción, substanciación y resolución del juicio contencioso administrativo, todos los días del año, con exclusión de los sábados y domingos, así como los señalados en el calendario oficial del Tribunal. </w:t>
      </w:r>
    </w:p>
    <w:p w14:paraId="6664BC81" w14:textId="77777777" w:rsidR="00242A6C" w:rsidRPr="00EC6408" w:rsidRDefault="00242A6C" w:rsidP="00242A6C">
      <w:pPr>
        <w:spacing w:line="360" w:lineRule="auto"/>
        <w:ind w:left="851" w:right="758"/>
        <w:jc w:val="both"/>
        <w:rPr>
          <w:rFonts w:ascii="Arial" w:hAnsi="Arial" w:cs="Arial"/>
          <w:i/>
          <w:color w:val="000000"/>
        </w:rPr>
      </w:pPr>
      <w:r w:rsidRPr="00EC6408">
        <w:rPr>
          <w:rFonts w:ascii="Arial" w:hAnsi="Arial" w:cs="Arial"/>
          <w:i/>
          <w:color w:val="000000"/>
        </w:rPr>
        <w:t>“</w:t>
      </w:r>
      <w:r w:rsidRPr="00EC6408">
        <w:rPr>
          <w:rFonts w:ascii="Arial" w:hAnsi="Arial" w:cs="Arial"/>
          <w:b/>
          <w:i/>
          <w:color w:val="000000"/>
        </w:rPr>
        <w:t>ARTICULO 168</w:t>
      </w:r>
      <w:r w:rsidRPr="00EC6408">
        <w:rPr>
          <w:rFonts w:ascii="Arial" w:hAnsi="Arial" w:cs="Arial"/>
          <w:i/>
          <w:color w:val="000000"/>
        </w:rPr>
        <w:t>.- Los plazos serán improrrogables y su cómputo se sujetará a las reglas siguientes:</w:t>
      </w:r>
    </w:p>
    <w:p w14:paraId="41A0821F" w14:textId="77777777" w:rsidR="00242A6C" w:rsidRPr="00EC6408" w:rsidRDefault="00242A6C" w:rsidP="00242A6C">
      <w:pPr>
        <w:spacing w:line="360" w:lineRule="auto"/>
        <w:ind w:left="851" w:right="758"/>
        <w:jc w:val="both"/>
        <w:rPr>
          <w:rFonts w:ascii="Arial" w:hAnsi="Arial" w:cs="Arial"/>
          <w:i/>
          <w:color w:val="000000"/>
        </w:rPr>
      </w:pPr>
      <w:r w:rsidRPr="00EC6408">
        <w:rPr>
          <w:rFonts w:ascii="Arial" w:hAnsi="Arial" w:cs="Arial"/>
          <w:i/>
          <w:color w:val="000000"/>
        </w:rPr>
        <w:t xml:space="preserve"> Empezarán a correr a partir del día siguiente a aquél en que surta efectos la notificación y se incluirá en ellos el día del vencimiento, y- </w:t>
      </w:r>
    </w:p>
    <w:p w14:paraId="45ACB042" w14:textId="77777777" w:rsidR="00242A6C" w:rsidRPr="00EC6408" w:rsidRDefault="00242A6C" w:rsidP="00242A6C">
      <w:pPr>
        <w:spacing w:after="120" w:line="360" w:lineRule="auto"/>
        <w:ind w:left="851" w:right="758"/>
        <w:jc w:val="both"/>
        <w:rPr>
          <w:rFonts w:ascii="Arial" w:hAnsi="Arial" w:cs="Arial"/>
          <w:i/>
          <w:color w:val="000000"/>
          <w:sz w:val="20"/>
          <w:szCs w:val="20"/>
        </w:rPr>
      </w:pPr>
      <w:r w:rsidRPr="00EC6408">
        <w:rPr>
          <w:rFonts w:ascii="Arial" w:hAnsi="Arial" w:cs="Arial"/>
          <w:i/>
          <w:color w:val="000000"/>
        </w:rPr>
        <w:t>II. Los plazos se contarán por días hábiles.”</w:t>
      </w:r>
    </w:p>
    <w:p w14:paraId="0CF2BB62" w14:textId="2843D09F" w:rsidR="00242A6C" w:rsidRPr="00EC6408" w:rsidRDefault="00242A6C" w:rsidP="00242A6C">
      <w:pPr>
        <w:widowControl w:val="0"/>
        <w:tabs>
          <w:tab w:val="left" w:pos="7938"/>
          <w:tab w:val="left" w:pos="8222"/>
        </w:tabs>
        <w:spacing w:after="120" w:line="360" w:lineRule="auto"/>
        <w:ind w:right="49"/>
        <w:jc w:val="both"/>
        <w:rPr>
          <w:rFonts w:ascii="Arial" w:hAnsi="Arial" w:cs="Arial"/>
          <w:b/>
          <w:color w:val="000000"/>
          <w:sz w:val="26"/>
          <w:szCs w:val="26"/>
        </w:rPr>
      </w:pPr>
      <w:r w:rsidRPr="00EC6408">
        <w:rPr>
          <w:rFonts w:ascii="Arial" w:hAnsi="Arial" w:cs="Arial"/>
          <w:color w:val="000000"/>
          <w:sz w:val="26"/>
          <w:szCs w:val="26"/>
        </w:rPr>
        <w:t xml:space="preserve">     Por tanto, </w:t>
      </w:r>
      <w:r w:rsidRPr="00EC6408">
        <w:rPr>
          <w:rFonts w:ascii="Arial" w:hAnsi="Arial" w:cs="Arial"/>
          <w:b/>
          <w:bCs/>
          <w:color w:val="000000"/>
          <w:sz w:val="26"/>
          <w:szCs w:val="26"/>
        </w:rPr>
        <w:t xml:space="preserve">al haberse presentado el escrito del recurso de revisión </w:t>
      </w:r>
      <w:r w:rsidR="003E1705" w:rsidRPr="00EC6408">
        <w:rPr>
          <w:rFonts w:ascii="Arial" w:hAnsi="Arial" w:cs="Arial"/>
          <w:b/>
          <w:bCs/>
          <w:color w:val="000000"/>
          <w:sz w:val="26"/>
          <w:szCs w:val="26"/>
        </w:rPr>
        <w:t>el treinta y uno de enero</w:t>
      </w:r>
      <w:r w:rsidRPr="00EC6408">
        <w:rPr>
          <w:rFonts w:ascii="Arial" w:hAnsi="Arial" w:cs="Arial"/>
          <w:b/>
          <w:bCs/>
          <w:color w:val="000000"/>
          <w:sz w:val="26"/>
          <w:szCs w:val="26"/>
        </w:rPr>
        <w:t xml:space="preserve"> de dos mil veinte</w:t>
      </w:r>
      <w:r w:rsidRPr="00EC6408">
        <w:rPr>
          <w:rFonts w:ascii="Arial" w:hAnsi="Arial" w:cs="Arial"/>
          <w:color w:val="000000"/>
          <w:sz w:val="26"/>
          <w:szCs w:val="26"/>
        </w:rPr>
        <w:t>, como consta del sello de recepción de la Oficialía de Partes Común de este Tribunal de Justicia Administrativa del Estado de Oaxaca</w:t>
      </w:r>
      <w:r w:rsidR="00730749" w:rsidRPr="00EC6408">
        <w:rPr>
          <w:rStyle w:val="Refdenotaalpie"/>
          <w:rFonts w:ascii="Arial" w:hAnsi="Arial" w:cs="Arial"/>
          <w:color w:val="000000"/>
          <w:sz w:val="26"/>
          <w:szCs w:val="26"/>
        </w:rPr>
        <w:footnoteReference w:id="2"/>
      </w:r>
      <w:r w:rsidRPr="00EC6408">
        <w:rPr>
          <w:rFonts w:ascii="Arial" w:hAnsi="Arial" w:cs="Arial"/>
          <w:color w:val="000000"/>
          <w:sz w:val="26"/>
          <w:szCs w:val="26"/>
        </w:rPr>
        <w:t>, es evidente que se efectuó fuera del plazo que dispone el artículo 237 de la Ley de</w:t>
      </w:r>
      <w:r w:rsidR="00730749" w:rsidRPr="00EC6408">
        <w:rPr>
          <w:rFonts w:ascii="Arial" w:hAnsi="Arial" w:cs="Arial"/>
          <w:color w:val="000000"/>
          <w:sz w:val="26"/>
          <w:szCs w:val="26"/>
        </w:rPr>
        <w:t xml:space="preserve"> Procedimiento y Justicia Administrativa para el Estado de Oaxaca</w:t>
      </w:r>
      <w:r w:rsidRPr="00EC6408">
        <w:rPr>
          <w:rFonts w:ascii="Arial" w:hAnsi="Arial" w:cs="Arial"/>
          <w:color w:val="000000"/>
          <w:sz w:val="26"/>
          <w:szCs w:val="26"/>
        </w:rPr>
        <w:t xml:space="preserve">, lo que impone </w:t>
      </w:r>
      <w:r w:rsidRPr="00EC6408">
        <w:rPr>
          <w:rFonts w:ascii="Arial" w:hAnsi="Arial" w:cs="Arial"/>
          <w:b/>
          <w:color w:val="000000"/>
          <w:sz w:val="26"/>
          <w:szCs w:val="26"/>
        </w:rPr>
        <w:t>DESECHARLO</w:t>
      </w:r>
      <w:r w:rsidRPr="00EC6408">
        <w:rPr>
          <w:rFonts w:ascii="Arial" w:hAnsi="Arial" w:cs="Arial"/>
          <w:color w:val="000000"/>
          <w:sz w:val="26"/>
          <w:szCs w:val="26"/>
        </w:rPr>
        <w:t xml:space="preserve"> por </w:t>
      </w:r>
      <w:r w:rsidRPr="00EC6408">
        <w:rPr>
          <w:rFonts w:ascii="Arial" w:hAnsi="Arial" w:cs="Arial"/>
          <w:b/>
          <w:color w:val="000000"/>
          <w:sz w:val="26"/>
          <w:szCs w:val="26"/>
        </w:rPr>
        <w:t xml:space="preserve">EXTEMPORÁNEO; </w:t>
      </w:r>
      <w:r w:rsidRPr="00EC6408">
        <w:rPr>
          <w:rFonts w:ascii="Arial" w:hAnsi="Arial" w:cs="Arial"/>
          <w:color w:val="000000"/>
          <w:sz w:val="26"/>
          <w:szCs w:val="26"/>
        </w:rPr>
        <w:t>sin que dicha determinación transgreda el derecho de audiencia de la parte recurrente</w:t>
      </w:r>
      <w:r w:rsidRPr="00EC6408">
        <w:rPr>
          <w:rFonts w:ascii="Arial" w:hAnsi="Arial" w:cs="Arial"/>
          <w:sz w:val="26"/>
          <w:szCs w:val="26"/>
        </w:rPr>
        <w:t xml:space="preserve">, el cual es limitado, pues para que pueda ser ejercido es necesario cumplir con los presupuestos formales y materiales de admisibilidad y procedencia para ese tipo de acciones, lo cual además, brinda certeza jurídica. - - - - - - </w:t>
      </w:r>
      <w:r w:rsidR="00652874" w:rsidRPr="00EC6408">
        <w:rPr>
          <w:rFonts w:ascii="Arial" w:hAnsi="Arial" w:cs="Arial"/>
          <w:sz w:val="26"/>
          <w:szCs w:val="26"/>
        </w:rPr>
        <w:t>-</w:t>
      </w:r>
      <w:r w:rsidR="00866435" w:rsidRPr="00EC6408">
        <w:rPr>
          <w:rFonts w:ascii="Arial" w:hAnsi="Arial" w:cs="Arial"/>
          <w:sz w:val="26"/>
          <w:szCs w:val="26"/>
        </w:rPr>
        <w:t xml:space="preserve"> - - - - - - - - - - - - - - - - - - - - - - - - - - - -</w:t>
      </w:r>
    </w:p>
    <w:p w14:paraId="666A312E" w14:textId="7F6F3544" w:rsidR="00242A6C" w:rsidRPr="00EC6408" w:rsidRDefault="00242A6C" w:rsidP="00242A6C">
      <w:pPr>
        <w:spacing w:line="360" w:lineRule="auto"/>
        <w:ind w:right="-234"/>
        <w:jc w:val="both"/>
        <w:rPr>
          <w:rFonts w:ascii="Arial" w:hAnsi="Arial" w:cs="Arial"/>
          <w:sz w:val="26"/>
          <w:szCs w:val="26"/>
        </w:rPr>
      </w:pPr>
      <w:r w:rsidRPr="00EC6408">
        <w:rPr>
          <w:rFonts w:ascii="Arial" w:hAnsi="Arial" w:cs="Arial"/>
          <w:sz w:val="26"/>
          <w:szCs w:val="26"/>
        </w:rPr>
        <w:t xml:space="preserve">     Es aplicable al caso, la Tesis Jurisprudencial XI.1o.A.T. J/1 (10a), publicada en el Semanario Judicial de la Federación y su Gaceta en noviembre del 2013, visible a página 699, Libro XXVI, Tomo 1, de los Tribunales Colegiados de Circuito, Jurisprudencia Constitucional, Décima Época, que en su rubro y texto dice:</w:t>
      </w:r>
    </w:p>
    <w:p w14:paraId="40BB931D" w14:textId="5F5C7132" w:rsidR="00242A6C" w:rsidRPr="00EC6408" w:rsidRDefault="00242A6C" w:rsidP="00732939">
      <w:pPr>
        <w:ind w:left="284" w:right="333"/>
        <w:jc w:val="both"/>
        <w:rPr>
          <w:rFonts w:ascii="Arial" w:hAnsi="Arial" w:cs="Arial"/>
        </w:rPr>
      </w:pPr>
      <w:r w:rsidRPr="00EC6408">
        <w:rPr>
          <w:rFonts w:ascii="Arial" w:hAnsi="Arial" w:cs="Arial"/>
          <w:b/>
        </w:rPr>
        <w:t xml:space="preserve">“ACCESO A LA JUSTICIA. ES UN DERECHO LIMITADO, POR LO QUE PARA SU EJERCICIO ES NECESARIO CUMPLIR CON LOS PRESUPUESTOS FORMALES Y MATERIALES DE ADMISIBILIDAD Y PROCEDENCIA, ASÍ COMO DE OPORTUNIDAD PARA LA PRESENTACIÓN DE LA DEMANDA DE AMPARO. </w:t>
      </w:r>
      <w:r w:rsidRPr="00EC6408">
        <w:rPr>
          <w:rFonts w:ascii="Arial" w:hAnsi="Arial" w:cs="Arial"/>
        </w:rPr>
        <w:t xml:space="preserve">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EC6408">
        <w:rPr>
          <w:rFonts w:ascii="Arial" w:hAnsi="Arial" w:cs="Arial"/>
        </w:rPr>
        <w:lastRenderedPageBreak/>
        <w:t>personae</w:t>
      </w:r>
      <w:proofErr w:type="spellEnd"/>
      <w:r w:rsidRPr="00EC6408">
        <w:rPr>
          <w:rFonts w:ascii="Arial" w:hAnsi="Arial" w:cs="Arial"/>
        </w:rPr>
        <w:t xml:space="preserve"> (previsto en el artículo 29 de la Convención Americana sobre Derechos Humanos conocida como Pacto de San José de Costa Rica), que implica, inter </w:t>
      </w:r>
      <w:proofErr w:type="spellStart"/>
      <w:r w:rsidRPr="00EC6408">
        <w:rPr>
          <w:rFonts w:ascii="Arial" w:hAnsi="Arial" w:cs="Arial"/>
        </w:rPr>
        <w:t>alia</w:t>
      </w:r>
      <w:proofErr w:type="spellEnd"/>
      <w:r w:rsidRPr="00EC6408">
        <w:rPr>
          <w:rFonts w:ascii="Arial" w:hAnsi="Arial" w:cs="Arial"/>
        </w:rPr>
        <w:t>,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r w:rsidR="00EA63F5" w:rsidRPr="00EC6408">
        <w:rPr>
          <w:rFonts w:ascii="Arial" w:hAnsi="Arial" w:cs="Arial"/>
        </w:rPr>
        <w:t xml:space="preserve"> - - - - - - - - - - - - - - - - - - - - - - - - - - - - - - - - - - - - - - - - - - - - - - - - - - </w:t>
      </w:r>
    </w:p>
    <w:p w14:paraId="411131C8" w14:textId="33FF6ABE" w:rsidR="00242A6C" w:rsidRPr="00EC6408" w:rsidRDefault="00242A6C" w:rsidP="00EA63F5">
      <w:pPr>
        <w:widowControl w:val="0"/>
        <w:tabs>
          <w:tab w:val="left" w:pos="7938"/>
          <w:tab w:val="left" w:pos="8222"/>
        </w:tabs>
        <w:spacing w:after="120" w:line="360" w:lineRule="auto"/>
        <w:ind w:right="49"/>
        <w:jc w:val="both"/>
        <w:rPr>
          <w:rFonts w:ascii="Arial" w:eastAsia="Calibri" w:hAnsi="Arial" w:cs="Arial"/>
          <w:sz w:val="26"/>
          <w:szCs w:val="26"/>
        </w:rPr>
      </w:pPr>
      <w:r w:rsidRPr="00EC6408">
        <w:rPr>
          <w:rFonts w:ascii="Arial" w:eastAsia="Calibri" w:hAnsi="Arial" w:cs="Arial"/>
          <w:sz w:val="26"/>
          <w:szCs w:val="26"/>
        </w:rPr>
        <w:t xml:space="preserve">     En mérito de lo anterior, con fundamento en los artículos 2</w:t>
      </w:r>
      <w:r w:rsidR="00732939" w:rsidRPr="00EC6408">
        <w:rPr>
          <w:rFonts w:ascii="Arial" w:eastAsia="Calibri" w:hAnsi="Arial" w:cs="Arial"/>
          <w:sz w:val="26"/>
          <w:szCs w:val="26"/>
        </w:rPr>
        <w:t>3</w:t>
      </w:r>
      <w:r w:rsidRPr="00EC6408">
        <w:rPr>
          <w:rFonts w:ascii="Arial" w:eastAsia="Calibri" w:hAnsi="Arial" w:cs="Arial"/>
          <w:sz w:val="26"/>
          <w:szCs w:val="26"/>
        </w:rPr>
        <w:t>7 y 2</w:t>
      </w:r>
      <w:r w:rsidR="00732939" w:rsidRPr="00EC6408">
        <w:rPr>
          <w:rFonts w:ascii="Arial" w:eastAsia="Calibri" w:hAnsi="Arial" w:cs="Arial"/>
          <w:sz w:val="26"/>
          <w:szCs w:val="26"/>
        </w:rPr>
        <w:t>3</w:t>
      </w:r>
      <w:r w:rsidRPr="00EC6408">
        <w:rPr>
          <w:rFonts w:ascii="Arial" w:eastAsia="Calibri" w:hAnsi="Arial" w:cs="Arial"/>
          <w:sz w:val="26"/>
          <w:szCs w:val="26"/>
        </w:rPr>
        <w:t xml:space="preserve">8 de la Ley de </w:t>
      </w:r>
      <w:r w:rsidR="00732939" w:rsidRPr="00EC6408">
        <w:rPr>
          <w:rFonts w:ascii="Arial" w:eastAsia="Calibri" w:hAnsi="Arial" w:cs="Arial"/>
          <w:sz w:val="26"/>
          <w:szCs w:val="26"/>
        </w:rPr>
        <w:t xml:space="preserve">Procedimiento y </w:t>
      </w:r>
      <w:r w:rsidRPr="00EC6408">
        <w:rPr>
          <w:rFonts w:ascii="Arial" w:eastAsia="Calibri" w:hAnsi="Arial" w:cs="Arial"/>
          <w:sz w:val="26"/>
          <w:szCs w:val="26"/>
        </w:rPr>
        <w:t>Justicia Administrativa para el Estado aplicable al caso, se:</w:t>
      </w:r>
      <w:r w:rsidR="00100B89" w:rsidRPr="00100B89">
        <w:rPr>
          <w:rFonts w:ascii="Arial" w:eastAsia="Calibri" w:hAnsi="Arial" w:cs="Arial"/>
          <w:bCs/>
          <w:color w:val="000000"/>
          <w:sz w:val="26"/>
          <w:szCs w:val="26"/>
          <w:lang w:val="es-ES" w:eastAsia="en-US"/>
        </w:rPr>
        <w:t xml:space="preserve"> </w:t>
      </w:r>
      <w:r w:rsidR="00100B89">
        <w:rPr>
          <w:rFonts w:ascii="Arial" w:eastAsia="Calibri" w:hAnsi="Arial" w:cs="Arial"/>
          <w:bCs/>
          <w:color w:val="000000"/>
          <w:sz w:val="26"/>
          <w:szCs w:val="26"/>
          <w:lang w:val="es-ES" w:eastAsia="en-US"/>
        </w:rPr>
        <w:t xml:space="preserve">- - - - - - - - - - - - - - - - - - - - - - - - - - - - - - - - - - - - </w:t>
      </w:r>
    </w:p>
    <w:p w14:paraId="4BAFA617" w14:textId="77777777" w:rsidR="00242A6C" w:rsidRPr="00EC6408" w:rsidRDefault="00242A6C" w:rsidP="00242A6C">
      <w:pPr>
        <w:widowControl w:val="0"/>
        <w:tabs>
          <w:tab w:val="left" w:pos="7938"/>
          <w:tab w:val="left" w:pos="8222"/>
        </w:tabs>
        <w:spacing w:after="120" w:line="360" w:lineRule="auto"/>
        <w:ind w:right="49"/>
        <w:jc w:val="center"/>
        <w:rPr>
          <w:rFonts w:ascii="Arial" w:hAnsi="Arial" w:cs="Arial"/>
          <w:b/>
          <w:sz w:val="24"/>
          <w:szCs w:val="24"/>
        </w:rPr>
      </w:pPr>
      <w:r w:rsidRPr="00EC6408">
        <w:rPr>
          <w:rFonts w:ascii="Arial" w:hAnsi="Arial" w:cs="Arial"/>
          <w:b/>
          <w:sz w:val="24"/>
          <w:szCs w:val="24"/>
        </w:rPr>
        <w:t>R E S U E L V E:</w:t>
      </w:r>
    </w:p>
    <w:p w14:paraId="2C83916E" w14:textId="0FD6172F" w:rsidR="00242A6C" w:rsidRPr="00EC6408" w:rsidRDefault="00242A6C" w:rsidP="00242A6C">
      <w:pPr>
        <w:widowControl w:val="0"/>
        <w:tabs>
          <w:tab w:val="left" w:pos="7938"/>
          <w:tab w:val="left" w:pos="8222"/>
        </w:tabs>
        <w:spacing w:after="120" w:line="360" w:lineRule="auto"/>
        <w:ind w:right="49" w:firstLine="567"/>
        <w:jc w:val="both"/>
        <w:rPr>
          <w:rFonts w:ascii="Arial" w:hAnsi="Arial" w:cs="Arial"/>
          <w:sz w:val="26"/>
          <w:szCs w:val="26"/>
        </w:rPr>
      </w:pPr>
      <w:r w:rsidRPr="00EC6408">
        <w:rPr>
          <w:rFonts w:ascii="Arial" w:hAnsi="Arial" w:cs="Arial"/>
          <w:b/>
          <w:sz w:val="26"/>
          <w:szCs w:val="26"/>
        </w:rPr>
        <w:t>PRIMERO</w:t>
      </w:r>
      <w:r w:rsidRPr="00EC6408">
        <w:rPr>
          <w:rFonts w:ascii="Arial" w:hAnsi="Arial" w:cs="Arial"/>
          <w:sz w:val="26"/>
          <w:szCs w:val="26"/>
        </w:rPr>
        <w:t xml:space="preserve">. Se </w:t>
      </w:r>
      <w:r w:rsidRPr="00EC6408">
        <w:rPr>
          <w:rFonts w:ascii="Arial" w:hAnsi="Arial" w:cs="Arial"/>
          <w:b/>
          <w:sz w:val="26"/>
          <w:szCs w:val="26"/>
        </w:rPr>
        <w:t>DESECHA</w:t>
      </w:r>
      <w:r w:rsidRPr="00EC6408">
        <w:rPr>
          <w:rFonts w:ascii="Arial" w:hAnsi="Arial" w:cs="Arial"/>
          <w:sz w:val="26"/>
          <w:szCs w:val="26"/>
        </w:rPr>
        <w:t xml:space="preserve"> por </w:t>
      </w:r>
      <w:r w:rsidRPr="00EC6408">
        <w:rPr>
          <w:rFonts w:ascii="Arial" w:hAnsi="Arial" w:cs="Arial"/>
          <w:b/>
          <w:sz w:val="26"/>
          <w:szCs w:val="26"/>
        </w:rPr>
        <w:t>EXTEMPORÁNEO</w:t>
      </w:r>
      <w:r w:rsidRPr="00EC6408">
        <w:rPr>
          <w:rFonts w:ascii="Arial" w:hAnsi="Arial" w:cs="Arial"/>
          <w:sz w:val="26"/>
          <w:szCs w:val="26"/>
        </w:rPr>
        <w:t xml:space="preserve"> el recurso de revisión interpuesto </w:t>
      </w:r>
      <w:r w:rsidR="00866435" w:rsidRPr="00EC6408">
        <w:rPr>
          <w:rFonts w:ascii="Arial" w:hAnsi="Arial" w:cs="Arial"/>
          <w:sz w:val="26"/>
          <w:szCs w:val="26"/>
        </w:rPr>
        <w:t>por</w:t>
      </w:r>
      <w:r w:rsidR="00BD77DC" w:rsidRPr="00EC6408">
        <w:rPr>
          <w:rFonts w:ascii="Arial" w:hAnsi="Arial" w:cs="Arial"/>
          <w:sz w:val="26"/>
          <w:szCs w:val="26"/>
        </w:rPr>
        <w:t xml:space="preserve"> el</w:t>
      </w:r>
      <w:r w:rsidR="00BD77DC" w:rsidRPr="00EC6408">
        <w:rPr>
          <w:rFonts w:ascii="Arial" w:hAnsi="Arial" w:cs="Arial"/>
          <w:b/>
          <w:bCs/>
          <w:sz w:val="26"/>
          <w:szCs w:val="26"/>
        </w:rPr>
        <w:t xml:space="preserve"> SUBDIRECTOR DE TRÁNSITO Y MOVILIDAD DEL MUNICIPIO DE OAXACA DE JUÁREZ</w:t>
      </w:r>
      <w:r w:rsidR="00BD77DC" w:rsidRPr="00EC6408">
        <w:rPr>
          <w:rFonts w:ascii="Arial" w:hAnsi="Arial" w:cs="Arial"/>
          <w:b/>
          <w:sz w:val="26"/>
          <w:szCs w:val="26"/>
        </w:rPr>
        <w:t>, OAXACA</w:t>
      </w:r>
      <w:r w:rsidR="00866435" w:rsidRPr="00EC6408">
        <w:rPr>
          <w:rFonts w:ascii="Arial" w:hAnsi="Arial" w:cs="Arial"/>
          <w:sz w:val="26"/>
          <w:szCs w:val="26"/>
        </w:rPr>
        <w:t xml:space="preserve">, </w:t>
      </w:r>
      <w:r w:rsidRPr="00EC6408">
        <w:rPr>
          <w:rFonts w:ascii="Arial" w:hAnsi="Arial" w:cs="Arial"/>
          <w:sz w:val="26"/>
          <w:szCs w:val="26"/>
        </w:rPr>
        <w:t>en contra de</w:t>
      </w:r>
      <w:r w:rsidR="003E1705" w:rsidRPr="00EC6408">
        <w:rPr>
          <w:rFonts w:ascii="Arial" w:hAnsi="Arial" w:cs="Arial"/>
          <w:sz w:val="26"/>
          <w:szCs w:val="26"/>
        </w:rPr>
        <w:t xml:space="preserve"> la sentencia de trece de diciembre de dos mil diecinueve</w:t>
      </w:r>
      <w:r w:rsidR="003F6B22" w:rsidRPr="00EC6408">
        <w:rPr>
          <w:rFonts w:ascii="Arial" w:hAnsi="Arial" w:cs="Arial"/>
          <w:sz w:val="26"/>
          <w:szCs w:val="26"/>
        </w:rPr>
        <w:t>,</w:t>
      </w:r>
      <w:r w:rsidRPr="00EC6408">
        <w:rPr>
          <w:rFonts w:ascii="Arial" w:hAnsi="Arial" w:cs="Arial"/>
          <w:sz w:val="26"/>
          <w:szCs w:val="26"/>
        </w:rPr>
        <w:t xml:space="preserve"> dictad</w:t>
      </w:r>
      <w:r w:rsidR="003E1705" w:rsidRPr="00EC6408">
        <w:rPr>
          <w:rFonts w:ascii="Arial" w:hAnsi="Arial" w:cs="Arial"/>
          <w:sz w:val="26"/>
          <w:szCs w:val="26"/>
        </w:rPr>
        <w:t>a</w:t>
      </w:r>
      <w:r w:rsidR="00C24A6E" w:rsidRPr="00EC6408">
        <w:rPr>
          <w:rFonts w:ascii="Arial" w:hAnsi="Arial" w:cs="Arial"/>
          <w:sz w:val="26"/>
          <w:szCs w:val="26"/>
        </w:rPr>
        <w:t xml:space="preserve"> en su momento</w:t>
      </w:r>
      <w:r w:rsidRPr="00EC6408">
        <w:rPr>
          <w:rFonts w:ascii="Arial" w:hAnsi="Arial" w:cs="Arial"/>
          <w:bCs/>
          <w:iCs/>
          <w:sz w:val="26"/>
          <w:szCs w:val="26"/>
        </w:rPr>
        <w:t xml:space="preserve"> </w:t>
      </w:r>
      <w:r w:rsidR="00730749" w:rsidRPr="00EC6408">
        <w:rPr>
          <w:rFonts w:ascii="Arial" w:hAnsi="Arial" w:cs="Arial"/>
          <w:sz w:val="26"/>
          <w:szCs w:val="26"/>
        </w:rPr>
        <w:t>por la</w:t>
      </w:r>
      <w:r w:rsidR="003E1705" w:rsidRPr="00EC6408">
        <w:rPr>
          <w:rFonts w:ascii="Arial" w:hAnsi="Arial" w:cs="Arial"/>
          <w:sz w:val="26"/>
          <w:szCs w:val="26"/>
        </w:rPr>
        <w:t xml:space="preserve"> Séptima Sala Unitaria de Primera Instancia del Tribunal</w:t>
      </w:r>
      <w:r w:rsidRPr="00EC6408">
        <w:rPr>
          <w:rFonts w:ascii="Arial" w:hAnsi="Arial" w:cs="Arial"/>
          <w:sz w:val="26"/>
          <w:szCs w:val="26"/>
        </w:rPr>
        <w:t>, por las razones expuestas en el considerando Se</w:t>
      </w:r>
      <w:r w:rsidR="00866435" w:rsidRPr="00EC6408">
        <w:rPr>
          <w:rFonts w:ascii="Arial" w:hAnsi="Arial" w:cs="Arial"/>
          <w:sz w:val="26"/>
          <w:szCs w:val="26"/>
        </w:rPr>
        <w:t>g</w:t>
      </w:r>
      <w:r w:rsidRPr="00EC6408">
        <w:rPr>
          <w:rFonts w:ascii="Arial" w:hAnsi="Arial" w:cs="Arial"/>
          <w:sz w:val="26"/>
          <w:szCs w:val="26"/>
        </w:rPr>
        <w:t>undo</w:t>
      </w:r>
      <w:r w:rsidR="00866435" w:rsidRPr="00EC6408">
        <w:rPr>
          <w:rFonts w:ascii="Arial" w:hAnsi="Arial" w:cs="Arial"/>
          <w:sz w:val="26"/>
          <w:szCs w:val="26"/>
        </w:rPr>
        <w:t xml:space="preserve"> de esta resolución</w:t>
      </w:r>
      <w:r w:rsidRPr="00EC6408">
        <w:rPr>
          <w:rFonts w:ascii="Arial" w:hAnsi="Arial" w:cs="Arial"/>
          <w:sz w:val="26"/>
          <w:szCs w:val="26"/>
        </w:rPr>
        <w:t xml:space="preserve">. - - - - - - - - - </w:t>
      </w:r>
      <w:r w:rsidR="00730749" w:rsidRPr="00EC6408">
        <w:rPr>
          <w:rFonts w:ascii="Arial" w:hAnsi="Arial" w:cs="Arial"/>
          <w:sz w:val="26"/>
          <w:szCs w:val="26"/>
        </w:rPr>
        <w:t xml:space="preserve">- - - - - - - - - - - - </w:t>
      </w:r>
      <w:r w:rsidR="00C24A6E" w:rsidRPr="00EC6408">
        <w:rPr>
          <w:rFonts w:ascii="Arial" w:hAnsi="Arial" w:cs="Arial"/>
          <w:sz w:val="26"/>
          <w:szCs w:val="26"/>
        </w:rPr>
        <w:t xml:space="preserve">- - - - - - - - - - </w:t>
      </w:r>
    </w:p>
    <w:p w14:paraId="4E6EF0F7" w14:textId="6D305ACE" w:rsidR="00242A6C" w:rsidRPr="00EC6408" w:rsidRDefault="00242A6C" w:rsidP="00242A6C">
      <w:pPr>
        <w:widowControl w:val="0"/>
        <w:tabs>
          <w:tab w:val="left" w:pos="7938"/>
          <w:tab w:val="left" w:pos="8222"/>
        </w:tabs>
        <w:spacing w:after="120" w:line="360" w:lineRule="auto"/>
        <w:ind w:right="49" w:firstLine="426"/>
        <w:jc w:val="both"/>
        <w:rPr>
          <w:rFonts w:ascii="Arial" w:hAnsi="Arial" w:cs="Arial"/>
          <w:sz w:val="26"/>
          <w:szCs w:val="26"/>
        </w:rPr>
      </w:pPr>
      <w:r w:rsidRPr="00EC6408">
        <w:rPr>
          <w:rFonts w:ascii="Arial" w:hAnsi="Arial" w:cs="Arial"/>
          <w:b/>
          <w:sz w:val="26"/>
          <w:szCs w:val="26"/>
        </w:rPr>
        <w:t xml:space="preserve">SEGUNDO. NOTIFÍQUESE Y CÚMPLASE, </w:t>
      </w:r>
      <w:r w:rsidRPr="00EC6408">
        <w:rPr>
          <w:rFonts w:ascii="Arial" w:hAnsi="Arial" w:cs="Arial"/>
          <w:sz w:val="26"/>
          <w:szCs w:val="26"/>
        </w:rPr>
        <w:t xml:space="preserve">remítase copia certificada de la presente resolución a la </w:t>
      </w:r>
      <w:r w:rsidR="003E1705" w:rsidRPr="00EC6408">
        <w:rPr>
          <w:rFonts w:ascii="Arial" w:hAnsi="Arial" w:cs="Arial"/>
          <w:sz w:val="26"/>
          <w:szCs w:val="26"/>
        </w:rPr>
        <w:t>Primera</w:t>
      </w:r>
      <w:r w:rsidRPr="00EC6408">
        <w:rPr>
          <w:rFonts w:ascii="Arial" w:hAnsi="Arial" w:cs="Arial"/>
          <w:sz w:val="26"/>
          <w:szCs w:val="26"/>
        </w:rPr>
        <w:t xml:space="preserve"> Sala Unitaria de Primera Instancia de este Tribunal y en su oportunidad archívese el presente cuaderno de revisión como asunto concluido. - - - - - - - - - - - -</w:t>
      </w:r>
      <w:r w:rsidR="00730749" w:rsidRPr="00EC6408">
        <w:rPr>
          <w:rFonts w:ascii="Arial" w:hAnsi="Arial" w:cs="Arial"/>
          <w:sz w:val="26"/>
          <w:szCs w:val="26"/>
        </w:rPr>
        <w:t xml:space="preserve"> </w:t>
      </w:r>
    </w:p>
    <w:p w14:paraId="3840D64C" w14:textId="77777777" w:rsidR="008E5F49" w:rsidRDefault="008E5F49" w:rsidP="008E5F49">
      <w:pPr>
        <w:spacing w:before="240" w:line="360" w:lineRule="auto"/>
        <w:ind w:firstLine="708"/>
        <w:jc w:val="both"/>
        <w:rPr>
          <w:rFonts w:ascii="Arial" w:hAnsi="Arial" w:cs="Arial"/>
          <w:sz w:val="26"/>
          <w:szCs w:val="26"/>
        </w:rPr>
      </w:pPr>
      <w:r>
        <w:rPr>
          <w:rFonts w:ascii="Arial" w:hAnsi="Arial" w:cs="Arial"/>
          <w:sz w:val="26"/>
          <w:szCs w:val="26"/>
        </w:rPr>
        <w:lastRenderedPageBreak/>
        <w:t xml:space="preserve">Por unanimidad de votos, lo resolvieron y firmaron los Magistrados Manuel Velasco Alcántara, </w:t>
      </w:r>
      <w:r w:rsidRPr="00AA0160">
        <w:rPr>
          <w:rFonts w:ascii="Arial" w:hAnsi="Arial" w:cs="Arial"/>
          <w:sz w:val="26"/>
          <w:szCs w:val="26"/>
        </w:rPr>
        <w:t xml:space="preserve">Abraham Santiago Soriano </w:t>
      </w:r>
      <w:r w:rsidRPr="00AA0160">
        <w:rPr>
          <w:rFonts w:ascii="Arial" w:hAnsi="Arial" w:cs="Arial"/>
          <w:b/>
          <w:bCs/>
          <w:sz w:val="26"/>
          <w:szCs w:val="26"/>
        </w:rPr>
        <w:t xml:space="preserve">(ponente), </w:t>
      </w:r>
      <w:r w:rsidRPr="00AA0160">
        <w:rPr>
          <w:rFonts w:ascii="Arial" w:hAnsi="Arial" w:cs="Arial"/>
          <w:sz w:val="26"/>
          <w:szCs w:val="26"/>
        </w:rPr>
        <w:t>Raúl Palomares Palomino, Gloria del</w:t>
      </w:r>
      <w:r>
        <w:rPr>
          <w:rFonts w:ascii="Arial" w:hAnsi="Arial" w:cs="Arial"/>
          <w:sz w:val="26"/>
          <w:szCs w:val="26"/>
        </w:rPr>
        <w:t xml:space="preserve"> Carmen Camacho Meza y Paulo José Luis Tapia Palacios; quienes actúan con el Licenciado Juan Edy García Coronado, Secretario General de Acuerdos de este Tribunal, que autoriza y da fe.- - - - - - - - - - - - - - - - - - - - - - - - - - - - - - - - - - - - - - - - - </w:t>
      </w:r>
    </w:p>
    <w:p w14:paraId="2A69EC51" w14:textId="77777777" w:rsidR="008E5F49" w:rsidRDefault="008E5F49" w:rsidP="008E5F49">
      <w:pPr>
        <w:pStyle w:val="Sinespaciado"/>
        <w:rPr>
          <w:rFonts w:ascii="Arial" w:hAnsi="Arial" w:cs="Arial"/>
          <w:sz w:val="26"/>
          <w:szCs w:val="26"/>
        </w:rPr>
      </w:pPr>
    </w:p>
    <w:p w14:paraId="3C9B9693" w14:textId="77777777" w:rsidR="008E5F49" w:rsidRDefault="008E5F49" w:rsidP="008E5F49">
      <w:pPr>
        <w:pStyle w:val="Sinespaciado"/>
        <w:jc w:val="center"/>
        <w:rPr>
          <w:rFonts w:ascii="Arial" w:hAnsi="Arial" w:cs="Arial"/>
          <w:sz w:val="26"/>
          <w:szCs w:val="26"/>
        </w:rPr>
      </w:pPr>
    </w:p>
    <w:p w14:paraId="37EC5341" w14:textId="77777777" w:rsidR="008E5F49" w:rsidRDefault="008E5F49" w:rsidP="008E5F49">
      <w:pPr>
        <w:pStyle w:val="Sinespaciado"/>
        <w:jc w:val="center"/>
        <w:rPr>
          <w:rFonts w:ascii="Arial" w:hAnsi="Arial" w:cs="Arial"/>
          <w:sz w:val="26"/>
          <w:szCs w:val="26"/>
        </w:rPr>
      </w:pPr>
    </w:p>
    <w:p w14:paraId="0042B3E4" w14:textId="77777777" w:rsidR="008E5F49" w:rsidRDefault="008E5F49" w:rsidP="008E5F49">
      <w:pPr>
        <w:pStyle w:val="Sinespaciado"/>
        <w:jc w:val="center"/>
        <w:rPr>
          <w:rFonts w:ascii="Arial" w:hAnsi="Arial" w:cs="Arial"/>
          <w:sz w:val="26"/>
          <w:szCs w:val="26"/>
        </w:rPr>
      </w:pPr>
    </w:p>
    <w:p w14:paraId="19FBEC0D" w14:textId="77777777" w:rsidR="008E5F49" w:rsidRPr="009319EA" w:rsidRDefault="008E5F49" w:rsidP="008E5F49">
      <w:pPr>
        <w:pStyle w:val="Sinespaciado"/>
        <w:jc w:val="center"/>
        <w:rPr>
          <w:rFonts w:ascii="Arial" w:hAnsi="Arial" w:cs="Arial"/>
          <w:sz w:val="26"/>
          <w:szCs w:val="26"/>
        </w:rPr>
      </w:pPr>
      <w:r w:rsidRPr="009319EA">
        <w:rPr>
          <w:rFonts w:ascii="Arial" w:hAnsi="Arial" w:cs="Arial"/>
          <w:sz w:val="26"/>
          <w:szCs w:val="26"/>
        </w:rPr>
        <w:t>MAGISTRADO MANUEL VELASCO ALCÁNTARA</w:t>
      </w:r>
    </w:p>
    <w:p w14:paraId="709B675E" w14:textId="77777777" w:rsidR="008E5F49" w:rsidRDefault="008E5F49" w:rsidP="008E5F49">
      <w:pPr>
        <w:pStyle w:val="Sinespaciado"/>
        <w:jc w:val="center"/>
        <w:rPr>
          <w:rFonts w:ascii="Arial" w:hAnsi="Arial" w:cs="Arial"/>
          <w:sz w:val="26"/>
          <w:szCs w:val="26"/>
        </w:rPr>
      </w:pPr>
      <w:r w:rsidRPr="009319EA">
        <w:rPr>
          <w:rFonts w:ascii="Arial" w:hAnsi="Arial" w:cs="Arial"/>
          <w:sz w:val="26"/>
          <w:szCs w:val="26"/>
        </w:rPr>
        <w:t>PRESIDENTE</w:t>
      </w:r>
    </w:p>
    <w:p w14:paraId="14D975A5" w14:textId="77777777" w:rsidR="008E5F49" w:rsidRDefault="008E5F49" w:rsidP="008E5F49">
      <w:pPr>
        <w:tabs>
          <w:tab w:val="center" w:pos="4135"/>
          <w:tab w:val="left" w:pos="7515"/>
        </w:tabs>
        <w:spacing w:line="360" w:lineRule="auto"/>
        <w:rPr>
          <w:rFonts w:ascii="Arial" w:hAnsi="Arial" w:cs="Arial"/>
          <w:sz w:val="26"/>
          <w:szCs w:val="26"/>
        </w:rPr>
      </w:pPr>
    </w:p>
    <w:p w14:paraId="75830797" w14:textId="77777777" w:rsidR="008E5F49" w:rsidRDefault="008E5F49" w:rsidP="008E5F49">
      <w:pPr>
        <w:tabs>
          <w:tab w:val="center" w:pos="4135"/>
          <w:tab w:val="left" w:pos="7515"/>
        </w:tabs>
        <w:spacing w:line="360" w:lineRule="auto"/>
        <w:jc w:val="center"/>
        <w:rPr>
          <w:rFonts w:ascii="Arial" w:hAnsi="Arial" w:cs="Arial"/>
          <w:sz w:val="26"/>
          <w:szCs w:val="26"/>
        </w:rPr>
      </w:pPr>
    </w:p>
    <w:p w14:paraId="3EC72517" w14:textId="77777777" w:rsidR="008E5F49" w:rsidRDefault="008E5F49" w:rsidP="008E5F49">
      <w:pPr>
        <w:tabs>
          <w:tab w:val="center" w:pos="4135"/>
          <w:tab w:val="left" w:pos="7515"/>
        </w:tabs>
        <w:spacing w:line="360" w:lineRule="auto"/>
        <w:jc w:val="center"/>
        <w:rPr>
          <w:rFonts w:ascii="Arial" w:hAnsi="Arial" w:cs="Arial"/>
          <w:sz w:val="26"/>
          <w:szCs w:val="26"/>
        </w:rPr>
      </w:pPr>
    </w:p>
    <w:p w14:paraId="78E6B94C" w14:textId="77777777" w:rsidR="008E5F49" w:rsidRDefault="008E5F49" w:rsidP="008E5F49">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465F7F90" w14:textId="77777777" w:rsidR="008E5F49" w:rsidRDefault="008E5F49" w:rsidP="008E5F49">
      <w:pPr>
        <w:tabs>
          <w:tab w:val="left" w:pos="1925"/>
          <w:tab w:val="center" w:pos="4135"/>
        </w:tabs>
        <w:rPr>
          <w:rFonts w:ascii="Arial" w:hAnsi="Arial" w:cs="Arial"/>
          <w:sz w:val="26"/>
          <w:szCs w:val="26"/>
        </w:rPr>
      </w:pPr>
    </w:p>
    <w:p w14:paraId="58AD80F7" w14:textId="77777777" w:rsidR="008E5F49" w:rsidRDefault="008E5F49" w:rsidP="008E5F49">
      <w:pPr>
        <w:tabs>
          <w:tab w:val="left" w:pos="1925"/>
          <w:tab w:val="center" w:pos="4135"/>
        </w:tabs>
        <w:rPr>
          <w:rFonts w:ascii="Arial" w:hAnsi="Arial" w:cs="Arial"/>
          <w:sz w:val="26"/>
          <w:szCs w:val="26"/>
        </w:rPr>
      </w:pPr>
    </w:p>
    <w:p w14:paraId="133972C7" w14:textId="77777777" w:rsidR="008E5F49" w:rsidRDefault="008E5F49" w:rsidP="008E5F49">
      <w:pPr>
        <w:tabs>
          <w:tab w:val="left" w:pos="1925"/>
          <w:tab w:val="center" w:pos="4135"/>
        </w:tabs>
        <w:rPr>
          <w:rFonts w:ascii="Arial" w:hAnsi="Arial" w:cs="Arial"/>
          <w:sz w:val="26"/>
          <w:szCs w:val="26"/>
        </w:rPr>
      </w:pPr>
    </w:p>
    <w:p w14:paraId="1DF4F71D" w14:textId="77777777" w:rsidR="008E5F49" w:rsidRDefault="008E5F49" w:rsidP="008E5F49">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59B8DD90" w14:textId="77777777" w:rsidR="008E5F49" w:rsidRPr="00BC436C" w:rsidRDefault="008E5F49" w:rsidP="008E5F49">
      <w:pPr>
        <w:tabs>
          <w:tab w:val="left" w:pos="1925"/>
          <w:tab w:val="center" w:pos="4135"/>
        </w:tabs>
        <w:jc w:val="center"/>
        <w:rPr>
          <w:rFonts w:ascii="Arial" w:hAnsi="Arial" w:cs="Arial"/>
          <w:b/>
          <w:bCs/>
          <w:sz w:val="18"/>
          <w:szCs w:val="18"/>
        </w:rPr>
      </w:pPr>
    </w:p>
    <w:p w14:paraId="2418C8D6" w14:textId="77777777" w:rsidR="008E5F49" w:rsidRDefault="008E5F49" w:rsidP="008E5F49">
      <w:pPr>
        <w:tabs>
          <w:tab w:val="left" w:pos="1925"/>
          <w:tab w:val="center" w:pos="4135"/>
        </w:tabs>
        <w:jc w:val="center"/>
        <w:rPr>
          <w:rFonts w:ascii="Arial" w:hAnsi="Arial" w:cs="Arial"/>
          <w:sz w:val="26"/>
          <w:szCs w:val="26"/>
        </w:rPr>
      </w:pPr>
    </w:p>
    <w:p w14:paraId="65DD8651" w14:textId="77777777" w:rsidR="008E5F49" w:rsidRDefault="008E5F49" w:rsidP="008E5F49">
      <w:pPr>
        <w:tabs>
          <w:tab w:val="left" w:pos="1925"/>
          <w:tab w:val="center" w:pos="4135"/>
        </w:tabs>
        <w:rPr>
          <w:rFonts w:ascii="Arial" w:hAnsi="Arial" w:cs="Arial"/>
          <w:sz w:val="26"/>
          <w:szCs w:val="26"/>
        </w:rPr>
      </w:pPr>
    </w:p>
    <w:p w14:paraId="7E76C3B0" w14:textId="77777777" w:rsidR="008E5F49" w:rsidRDefault="008E5F49" w:rsidP="008E5F49">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2D3E3737" w14:textId="77777777" w:rsidR="008E5F49" w:rsidRDefault="008E5F49" w:rsidP="008E5F49">
      <w:pPr>
        <w:tabs>
          <w:tab w:val="left" w:pos="1925"/>
          <w:tab w:val="center" w:pos="4135"/>
        </w:tabs>
        <w:jc w:val="center"/>
        <w:rPr>
          <w:rFonts w:ascii="Arial" w:hAnsi="Arial" w:cs="Arial"/>
          <w:sz w:val="26"/>
          <w:szCs w:val="26"/>
        </w:rPr>
      </w:pPr>
    </w:p>
    <w:p w14:paraId="46D9119F" w14:textId="77777777" w:rsidR="008E5F49" w:rsidRDefault="008E5F49" w:rsidP="008E5F49">
      <w:pPr>
        <w:tabs>
          <w:tab w:val="left" w:pos="1925"/>
          <w:tab w:val="center" w:pos="4135"/>
        </w:tabs>
        <w:rPr>
          <w:rFonts w:ascii="Arial" w:hAnsi="Arial" w:cs="Arial"/>
          <w:sz w:val="26"/>
          <w:szCs w:val="26"/>
        </w:rPr>
      </w:pPr>
    </w:p>
    <w:p w14:paraId="1085D609" w14:textId="77777777" w:rsidR="008E5F49" w:rsidRDefault="008E5F49" w:rsidP="008E5F49">
      <w:pPr>
        <w:tabs>
          <w:tab w:val="left" w:pos="1925"/>
          <w:tab w:val="center" w:pos="4135"/>
        </w:tabs>
        <w:jc w:val="center"/>
        <w:rPr>
          <w:rFonts w:ascii="Arial" w:hAnsi="Arial" w:cs="Arial"/>
          <w:sz w:val="26"/>
          <w:szCs w:val="26"/>
        </w:rPr>
      </w:pPr>
    </w:p>
    <w:p w14:paraId="7970BF81" w14:textId="77777777" w:rsidR="008E5F49" w:rsidRDefault="008E5F49" w:rsidP="008E5F49">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756FA674" w14:textId="77777777" w:rsidR="008E5F49" w:rsidRDefault="008E5F49" w:rsidP="008E5F49">
      <w:pPr>
        <w:tabs>
          <w:tab w:val="left" w:pos="1925"/>
          <w:tab w:val="center" w:pos="4135"/>
        </w:tabs>
        <w:jc w:val="center"/>
        <w:rPr>
          <w:rFonts w:ascii="Arial" w:hAnsi="Arial" w:cs="Arial"/>
          <w:sz w:val="26"/>
          <w:szCs w:val="26"/>
        </w:rPr>
      </w:pPr>
    </w:p>
    <w:p w14:paraId="5751B43D" w14:textId="77777777" w:rsidR="008E5F49" w:rsidRDefault="008E5F49" w:rsidP="008E5F49">
      <w:pPr>
        <w:tabs>
          <w:tab w:val="left" w:pos="1925"/>
          <w:tab w:val="center" w:pos="4135"/>
        </w:tabs>
        <w:rPr>
          <w:rFonts w:ascii="Arial" w:hAnsi="Arial" w:cs="Arial"/>
          <w:sz w:val="26"/>
          <w:szCs w:val="26"/>
        </w:rPr>
      </w:pPr>
    </w:p>
    <w:p w14:paraId="747C6AFD" w14:textId="77777777" w:rsidR="008E5F49" w:rsidRPr="009319EA" w:rsidRDefault="008E5F49" w:rsidP="008E5F49">
      <w:pPr>
        <w:pStyle w:val="Sinespaciado"/>
        <w:jc w:val="center"/>
        <w:rPr>
          <w:rFonts w:ascii="Arial" w:hAnsi="Arial" w:cs="Arial"/>
          <w:sz w:val="26"/>
          <w:szCs w:val="26"/>
        </w:rPr>
      </w:pPr>
      <w:r w:rsidRPr="009319EA">
        <w:rPr>
          <w:rFonts w:ascii="Arial" w:hAnsi="Arial" w:cs="Arial"/>
          <w:sz w:val="26"/>
          <w:szCs w:val="26"/>
        </w:rPr>
        <w:t>LIC. JUAN EDY GARCÍA CORONADO</w:t>
      </w:r>
    </w:p>
    <w:p w14:paraId="64215C27" w14:textId="77777777" w:rsidR="008E5F49" w:rsidRPr="009319EA" w:rsidRDefault="008E5F49" w:rsidP="008E5F49">
      <w:pPr>
        <w:pStyle w:val="Sinespaciado"/>
        <w:jc w:val="center"/>
        <w:rPr>
          <w:rFonts w:ascii="Arial" w:hAnsi="Arial" w:cs="Arial"/>
          <w:sz w:val="26"/>
          <w:szCs w:val="26"/>
        </w:rPr>
      </w:pPr>
      <w:r w:rsidRPr="009319EA">
        <w:rPr>
          <w:rFonts w:ascii="Arial" w:hAnsi="Arial" w:cs="Arial"/>
          <w:sz w:val="26"/>
          <w:szCs w:val="26"/>
        </w:rPr>
        <w:t>SECRETARIO GENERAL DE ACUERDOS</w:t>
      </w:r>
    </w:p>
    <w:p w14:paraId="6ED921E7" w14:textId="77777777" w:rsidR="008E5F49" w:rsidRPr="006D1DB2" w:rsidRDefault="008E5F49" w:rsidP="008E5F49">
      <w:pPr>
        <w:spacing w:after="0" w:line="240" w:lineRule="auto"/>
        <w:jc w:val="center"/>
      </w:pPr>
      <w:r>
        <w:t xml:space="preserve">  </w:t>
      </w:r>
    </w:p>
    <w:p w14:paraId="50453FE0" w14:textId="197A691C" w:rsidR="00BA258A" w:rsidRPr="000338EE" w:rsidRDefault="00BA258A" w:rsidP="008E5F49">
      <w:pPr>
        <w:spacing w:before="240" w:line="360" w:lineRule="auto"/>
        <w:ind w:firstLine="708"/>
        <w:jc w:val="both"/>
        <w:rPr>
          <w:lang w:val="es-ES"/>
        </w:rPr>
      </w:pPr>
    </w:p>
    <w:sectPr w:rsidR="00BA258A" w:rsidRPr="000338EE" w:rsidSect="00100B89">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65613D" w14:textId="77777777" w:rsidR="00D36B14" w:rsidRDefault="00D36B14">
      <w:pPr>
        <w:spacing w:after="0" w:line="240" w:lineRule="auto"/>
      </w:pPr>
      <w:r>
        <w:separator/>
      </w:r>
    </w:p>
  </w:endnote>
  <w:endnote w:type="continuationSeparator" w:id="0">
    <w:p w14:paraId="7E870595" w14:textId="77777777" w:rsidR="00D36B14" w:rsidRDefault="00D36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27886CF9" w:rsidR="00A360DF" w:rsidRDefault="00ED2EA2">
    <w:pPr>
      <w:pStyle w:val="Piedepgina"/>
      <w:jc w:val="center"/>
    </w:pPr>
    <w:r>
      <w:rPr>
        <w:noProof/>
      </w:rPr>
      <mc:AlternateContent>
        <mc:Choice Requires="wps">
          <w:drawing>
            <wp:anchor distT="45720" distB="45720" distL="114300" distR="114300" simplePos="0" relativeHeight="251667456" behindDoc="0" locked="0" layoutInCell="1" allowOverlap="1" wp14:anchorId="522368F9" wp14:editId="7D5647C5">
              <wp:simplePos x="0" y="0"/>
              <wp:positionH relativeFrom="column">
                <wp:posOffset>-1304925</wp:posOffset>
              </wp:positionH>
              <wp:positionV relativeFrom="paragraph">
                <wp:posOffset>-4904740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360CE133" w14:textId="77777777" w:rsidR="00ED2EA2" w:rsidRPr="00BB7E37" w:rsidRDefault="00ED2EA2" w:rsidP="00ED2EA2">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2368F9" id="_x0000_t202" coordsize="21600,21600" o:spt="202" path="m,l,21600r21600,l21600,xe">
              <v:stroke joinstyle="miter"/>
              <v:path gradientshapeok="t" o:connecttype="rect"/>
            </v:shapetype>
            <v:shape id="Cuadro de texto 2" o:spid="_x0000_s1026" type="#_x0000_t202" style="position:absolute;left:0;text-align:left;margin-left:-102.75pt;margin-top:-386.2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">
              <v:textbox>
                <w:txbxContent>
                  <w:p w14:paraId="360CE133" w14:textId="77777777" w:rsidR="00ED2EA2" w:rsidRPr="00BB7E37" w:rsidRDefault="00ED2EA2" w:rsidP="00ED2EA2">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C38F4D" w14:textId="77777777" w:rsidR="00D36B14" w:rsidRDefault="00D36B14">
      <w:pPr>
        <w:spacing w:after="0" w:line="240" w:lineRule="auto"/>
      </w:pPr>
      <w:r>
        <w:separator/>
      </w:r>
    </w:p>
  </w:footnote>
  <w:footnote w:type="continuationSeparator" w:id="0">
    <w:p w14:paraId="462BC2FE" w14:textId="77777777" w:rsidR="00D36B14" w:rsidRDefault="00D36B14">
      <w:pPr>
        <w:spacing w:after="0" w:line="240" w:lineRule="auto"/>
      </w:pPr>
      <w:r>
        <w:continuationSeparator/>
      </w:r>
    </w:p>
  </w:footnote>
  <w:footnote w:id="1">
    <w:p w14:paraId="7C77A5A2" w14:textId="1EB7E8D1" w:rsidR="001C4807" w:rsidRDefault="001C4807">
      <w:pPr>
        <w:pStyle w:val="Textonotapie"/>
      </w:pPr>
      <w:r>
        <w:rPr>
          <w:rStyle w:val="Refdenotaalpie"/>
        </w:rPr>
        <w:footnoteRef/>
      </w:r>
      <w:r>
        <w:t xml:space="preserve"> Visibles a fojas </w:t>
      </w:r>
      <w:r w:rsidR="003113DB">
        <w:t>110 y 111</w:t>
      </w:r>
      <w:r w:rsidR="00730749">
        <w:t xml:space="preserve"> del expediente natural.</w:t>
      </w:r>
    </w:p>
  </w:footnote>
  <w:footnote w:id="2">
    <w:p w14:paraId="3F884F37" w14:textId="33D06BA8" w:rsidR="00730749" w:rsidRDefault="00730749">
      <w:pPr>
        <w:pStyle w:val="Textonotapie"/>
      </w:pPr>
      <w:r>
        <w:rPr>
          <w:rStyle w:val="Refdenotaalpie"/>
        </w:rPr>
        <w:footnoteRef/>
      </w:r>
      <w:r>
        <w:t xml:space="preserve"> Visible al reverso la foja </w:t>
      </w:r>
      <w:r w:rsidR="003E1705">
        <w:t>1</w:t>
      </w:r>
      <w:r>
        <w:t xml:space="preserve"> del cuaderno del recurso de revisión </w:t>
      </w:r>
      <w:r w:rsidR="003E1705">
        <w:t>61</w:t>
      </w:r>
      <w:r>
        <w:t>/2020.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D36B1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ED2EA2" w:rsidRPr="00ED2EA2">
          <w:rPr>
            <w:noProof/>
            <w:lang w:val="es-ES"/>
          </w:rPr>
          <w:t>6</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A360DF" w:rsidRDefault="00D36B14">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ED2EA2" w:rsidRPr="00ED2EA2">
          <w:rPr>
            <w:noProof/>
            <w:lang w:val="es-ES"/>
          </w:rPr>
          <w:t>5</w:t>
        </w:r>
        <w:r w:rsidR="00A360DF">
          <w:fldChar w:fldCharType="end"/>
        </w:r>
      </w:sdtContent>
    </w:sdt>
  </w:p>
  <w:p w14:paraId="51E22156" w14:textId="6C3AD19D"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14109E3F">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2593782E"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D36B1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0E"/>
    <w:rsid w:val="000C5BCE"/>
    <w:rsid w:val="000C5DC1"/>
    <w:rsid w:val="000C6177"/>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0B89"/>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2A0"/>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5B64"/>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6E8F"/>
    <w:rsid w:val="001778B4"/>
    <w:rsid w:val="001779CB"/>
    <w:rsid w:val="00177B53"/>
    <w:rsid w:val="00181DB0"/>
    <w:rsid w:val="001826D0"/>
    <w:rsid w:val="0018345B"/>
    <w:rsid w:val="0018356C"/>
    <w:rsid w:val="0018358B"/>
    <w:rsid w:val="0018454F"/>
    <w:rsid w:val="001846BB"/>
    <w:rsid w:val="00185403"/>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807"/>
    <w:rsid w:val="001C4C4A"/>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07A4"/>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1D8F"/>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6C0"/>
    <w:rsid w:val="002B5C09"/>
    <w:rsid w:val="002B5C82"/>
    <w:rsid w:val="002B6893"/>
    <w:rsid w:val="002B6B9D"/>
    <w:rsid w:val="002B6C19"/>
    <w:rsid w:val="002B6D0D"/>
    <w:rsid w:val="002B79C4"/>
    <w:rsid w:val="002C01BF"/>
    <w:rsid w:val="002C06FE"/>
    <w:rsid w:val="002C0988"/>
    <w:rsid w:val="002C0FDA"/>
    <w:rsid w:val="002C2259"/>
    <w:rsid w:val="002C3470"/>
    <w:rsid w:val="002C348A"/>
    <w:rsid w:val="002C3C9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4F11"/>
    <w:rsid w:val="002D6E4D"/>
    <w:rsid w:val="002D724E"/>
    <w:rsid w:val="002D7BA0"/>
    <w:rsid w:val="002E1666"/>
    <w:rsid w:val="002E2D79"/>
    <w:rsid w:val="002E3323"/>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3DB"/>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AF6"/>
    <w:rsid w:val="00326D5E"/>
    <w:rsid w:val="00327A8E"/>
    <w:rsid w:val="00327BDD"/>
    <w:rsid w:val="00331836"/>
    <w:rsid w:val="0033190E"/>
    <w:rsid w:val="00333962"/>
    <w:rsid w:val="00333B62"/>
    <w:rsid w:val="00333E45"/>
    <w:rsid w:val="0033404E"/>
    <w:rsid w:val="00334A65"/>
    <w:rsid w:val="003364DB"/>
    <w:rsid w:val="00336A8D"/>
    <w:rsid w:val="00336F2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705"/>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6B22"/>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3BC6"/>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672"/>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21"/>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4FA0"/>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4EF8"/>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0B6"/>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2874"/>
    <w:rsid w:val="00653F71"/>
    <w:rsid w:val="00654244"/>
    <w:rsid w:val="006546B6"/>
    <w:rsid w:val="006547BB"/>
    <w:rsid w:val="006555CA"/>
    <w:rsid w:val="00655BA3"/>
    <w:rsid w:val="006560E3"/>
    <w:rsid w:val="006564ED"/>
    <w:rsid w:val="00656C6E"/>
    <w:rsid w:val="0066116D"/>
    <w:rsid w:val="00663F47"/>
    <w:rsid w:val="00664AC4"/>
    <w:rsid w:val="00664CAF"/>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C5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23B"/>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0749"/>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63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B42"/>
    <w:rsid w:val="00866435"/>
    <w:rsid w:val="00866DED"/>
    <w:rsid w:val="00866DF0"/>
    <w:rsid w:val="008672F5"/>
    <w:rsid w:val="00867EA3"/>
    <w:rsid w:val="00870822"/>
    <w:rsid w:val="0087089C"/>
    <w:rsid w:val="008709B3"/>
    <w:rsid w:val="00870CF1"/>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BBF"/>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E5A35"/>
    <w:rsid w:val="008E5F49"/>
    <w:rsid w:val="008F0205"/>
    <w:rsid w:val="008F0DCC"/>
    <w:rsid w:val="008F188C"/>
    <w:rsid w:val="008F1EB2"/>
    <w:rsid w:val="008F284E"/>
    <w:rsid w:val="008F2BAD"/>
    <w:rsid w:val="008F2CAE"/>
    <w:rsid w:val="008F39F2"/>
    <w:rsid w:val="008F45EB"/>
    <w:rsid w:val="008F4E1B"/>
    <w:rsid w:val="008F52F4"/>
    <w:rsid w:val="008F6A4A"/>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0E20"/>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C83"/>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C7C5D"/>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5B65"/>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03F3"/>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1C59"/>
    <w:rsid w:val="00A82415"/>
    <w:rsid w:val="00A82953"/>
    <w:rsid w:val="00A82B2C"/>
    <w:rsid w:val="00A833A8"/>
    <w:rsid w:val="00A83D36"/>
    <w:rsid w:val="00A8427B"/>
    <w:rsid w:val="00A84B23"/>
    <w:rsid w:val="00A84B4C"/>
    <w:rsid w:val="00A85897"/>
    <w:rsid w:val="00A86178"/>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8ED"/>
    <w:rsid w:val="00AD39D6"/>
    <w:rsid w:val="00AD3C97"/>
    <w:rsid w:val="00AD40FF"/>
    <w:rsid w:val="00AD4282"/>
    <w:rsid w:val="00AD5736"/>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5D1A"/>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439"/>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4CE"/>
    <w:rsid w:val="00BC68AD"/>
    <w:rsid w:val="00BC7112"/>
    <w:rsid w:val="00BD0C00"/>
    <w:rsid w:val="00BD0DA0"/>
    <w:rsid w:val="00BD3693"/>
    <w:rsid w:val="00BD438C"/>
    <w:rsid w:val="00BD4843"/>
    <w:rsid w:val="00BD492B"/>
    <w:rsid w:val="00BD4F9A"/>
    <w:rsid w:val="00BD5489"/>
    <w:rsid w:val="00BD5E19"/>
    <w:rsid w:val="00BD6D4E"/>
    <w:rsid w:val="00BD71F1"/>
    <w:rsid w:val="00BD74CF"/>
    <w:rsid w:val="00BD77DC"/>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0F60"/>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A6E"/>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042"/>
    <w:rsid w:val="00C44980"/>
    <w:rsid w:val="00C45268"/>
    <w:rsid w:val="00C455CD"/>
    <w:rsid w:val="00C45BBF"/>
    <w:rsid w:val="00C46708"/>
    <w:rsid w:val="00C474EF"/>
    <w:rsid w:val="00C500D2"/>
    <w:rsid w:val="00C507CE"/>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515"/>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6B9"/>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1B46"/>
    <w:rsid w:val="00D33362"/>
    <w:rsid w:val="00D33C0D"/>
    <w:rsid w:val="00D34C41"/>
    <w:rsid w:val="00D35BC6"/>
    <w:rsid w:val="00D3635F"/>
    <w:rsid w:val="00D36532"/>
    <w:rsid w:val="00D367F9"/>
    <w:rsid w:val="00D36B14"/>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294E"/>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B24"/>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97754"/>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9F"/>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677E"/>
    <w:rsid w:val="00E7767C"/>
    <w:rsid w:val="00E77805"/>
    <w:rsid w:val="00E77C72"/>
    <w:rsid w:val="00E801F8"/>
    <w:rsid w:val="00E8167D"/>
    <w:rsid w:val="00E81BCF"/>
    <w:rsid w:val="00E8217A"/>
    <w:rsid w:val="00E82708"/>
    <w:rsid w:val="00E82B74"/>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392"/>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408"/>
    <w:rsid w:val="00EC6864"/>
    <w:rsid w:val="00EC6A8E"/>
    <w:rsid w:val="00EC6B14"/>
    <w:rsid w:val="00EC6BCB"/>
    <w:rsid w:val="00EC729C"/>
    <w:rsid w:val="00EC7AAA"/>
    <w:rsid w:val="00ED0365"/>
    <w:rsid w:val="00ED073E"/>
    <w:rsid w:val="00ED0BF4"/>
    <w:rsid w:val="00ED0E71"/>
    <w:rsid w:val="00ED18EC"/>
    <w:rsid w:val="00ED2378"/>
    <w:rsid w:val="00ED29A6"/>
    <w:rsid w:val="00ED2EA2"/>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67C6"/>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4E7"/>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30516">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1A294-FCDB-46C8-AE58-42D9CDC65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6</Pages>
  <Words>2104</Words>
  <Characters>11575</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28</cp:revision>
  <cp:lastPrinted>2021-05-14T16:06:00Z</cp:lastPrinted>
  <dcterms:created xsi:type="dcterms:W3CDTF">2021-05-12T03:11:00Z</dcterms:created>
  <dcterms:modified xsi:type="dcterms:W3CDTF">2021-09-21T20:40:00Z</dcterms:modified>
</cp:coreProperties>
</file>