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1F1C846E"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8575A7">
        <w:rPr>
          <w:rFonts w:ascii="Arial" w:eastAsia="Times New Roman" w:hAnsi="Arial" w:cs="Arial"/>
          <w:bCs/>
          <w:sz w:val="24"/>
          <w:szCs w:val="27"/>
          <w:lang w:val="es-ES_tradnl" w:eastAsia="es-ES"/>
        </w:rPr>
        <w:t>62</w:t>
      </w:r>
      <w:r w:rsidR="006649DB">
        <w:rPr>
          <w:rFonts w:ascii="Arial" w:eastAsia="Times New Roman" w:hAnsi="Arial" w:cs="Arial"/>
          <w:bCs/>
          <w:sz w:val="24"/>
          <w:szCs w:val="27"/>
          <w:lang w:val="es-ES_tradnl" w:eastAsia="es-ES"/>
        </w:rPr>
        <w:t>/2017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EFF410D"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3B31BA">
        <w:rPr>
          <w:rFonts w:ascii="Arial" w:eastAsia="Times New Roman" w:hAnsi="Arial" w:cs="Arial"/>
          <w:sz w:val="24"/>
          <w:szCs w:val="27"/>
          <w:lang w:val="es-ES_tradnl" w:eastAsia="es-ES"/>
        </w:rPr>
        <w:t xml:space="preserve">****** ***** * ***** ***** *****.  </w:t>
      </w:r>
    </w:p>
    <w:p w14:paraId="03FFC2E6" w14:textId="3A25A532"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575A7">
        <w:rPr>
          <w:rFonts w:ascii="Arial" w:eastAsia="Times New Roman" w:hAnsi="Arial" w:cs="Arial"/>
          <w:sz w:val="24"/>
          <w:szCs w:val="27"/>
          <w:lang w:val="es-ES_tradnl" w:eastAsia="es-ES"/>
        </w:rPr>
        <w:t>JOSÉ LUIS REYES PEREZ</w:t>
      </w:r>
      <w:r w:rsidR="00400798">
        <w:rPr>
          <w:rFonts w:ascii="Arial" w:eastAsia="Times New Roman" w:hAnsi="Arial" w:cs="Arial"/>
          <w:sz w:val="24"/>
          <w:szCs w:val="27"/>
          <w:lang w:val="es-ES_tradnl" w:eastAsia="es-ES"/>
        </w:rPr>
        <w:t>,</w:t>
      </w:r>
      <w:r w:rsidR="008575A7">
        <w:rPr>
          <w:rFonts w:ascii="Arial" w:eastAsia="Times New Roman" w:hAnsi="Arial" w:cs="Arial"/>
          <w:sz w:val="24"/>
          <w:szCs w:val="27"/>
          <w:lang w:val="es-ES_tradnl" w:eastAsia="es-ES"/>
        </w:rPr>
        <w:t xml:space="preserve"> CON NÚMERO ESTADÍSTICO 71,</w:t>
      </w:r>
      <w:r w:rsidR="00400798">
        <w:rPr>
          <w:rFonts w:ascii="Arial" w:eastAsia="Times New Roman" w:hAnsi="Arial" w:cs="Arial"/>
          <w:sz w:val="24"/>
          <w:szCs w:val="27"/>
          <w:lang w:val="es-ES_tradnl" w:eastAsia="es-ES"/>
        </w:rPr>
        <w:t xml:space="preserve"> ADSCRITO</w:t>
      </w:r>
      <w:r w:rsidR="00C8425A" w:rsidRPr="00C8425A">
        <w:rPr>
          <w:rFonts w:ascii="Arial" w:eastAsia="Times New Roman" w:hAnsi="Arial" w:cs="Arial"/>
          <w:sz w:val="24"/>
          <w:szCs w:val="27"/>
          <w:lang w:val="es-ES_tradnl" w:eastAsia="es-ES"/>
        </w:rPr>
        <w:t xml:space="preserve"> A LA COMISARÍA DE</w:t>
      </w:r>
      <w:r w:rsidR="0011165E">
        <w:rPr>
          <w:rFonts w:ascii="Arial" w:eastAsia="Times New Roman" w:hAnsi="Arial" w:cs="Arial"/>
          <w:sz w:val="24"/>
          <w:szCs w:val="27"/>
          <w:lang w:val="es-ES_tradnl" w:eastAsia="es-ES"/>
        </w:rPr>
        <w:t xml:space="preserve"> SEGURIDAD PÚBLICA,</w:t>
      </w:r>
      <w:r w:rsidR="00C8425A" w:rsidRPr="00C8425A">
        <w:rPr>
          <w:rFonts w:ascii="Arial" w:eastAsia="Times New Roman" w:hAnsi="Arial" w:cs="Arial"/>
          <w:sz w:val="24"/>
          <w:szCs w:val="27"/>
          <w:lang w:val="es-ES_tradnl" w:eastAsia="es-ES"/>
        </w:rPr>
        <w:t xml:space="preserve"> VIALIDAD</w:t>
      </w:r>
      <w:r w:rsidR="0011165E">
        <w:rPr>
          <w:rFonts w:ascii="Arial" w:eastAsia="Times New Roman" w:hAnsi="Arial" w:cs="Arial"/>
          <w:sz w:val="24"/>
          <w:szCs w:val="27"/>
          <w:lang w:val="es-ES_tradnl" w:eastAsia="es-ES"/>
        </w:rPr>
        <w:t xml:space="preserve"> Y PROTECCIÓN CIVIL MUNICIPAL,</w:t>
      </w:r>
      <w:r w:rsidR="00C8425A" w:rsidRPr="00C8425A">
        <w:rPr>
          <w:rFonts w:ascii="Arial" w:eastAsia="Times New Roman" w:hAnsi="Arial" w:cs="Arial"/>
          <w:sz w:val="24"/>
          <w:szCs w:val="27"/>
          <w:lang w:val="es-ES_tradnl" w:eastAsia="es-ES"/>
        </w:rPr>
        <w:t xml:space="preserve">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4972A94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8575A7">
        <w:rPr>
          <w:rFonts w:ascii="Arial" w:eastAsia="Times New Roman" w:hAnsi="Arial" w:cs="Arial"/>
          <w:b/>
          <w:bCs/>
          <w:sz w:val="24"/>
          <w:szCs w:val="27"/>
          <w:lang w:val="es-ES_tradnl" w:eastAsia="es-ES"/>
        </w:rPr>
        <w:t>62</w:t>
      </w:r>
      <w:r w:rsidR="006649DB">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xml:space="preserve">, interpuesto por </w:t>
      </w:r>
      <w:r w:rsidR="003B31BA">
        <w:rPr>
          <w:rFonts w:ascii="Arial" w:eastAsia="Times New Roman" w:hAnsi="Arial" w:cs="Arial"/>
          <w:sz w:val="24"/>
          <w:szCs w:val="27"/>
          <w:lang w:val="es-ES_tradnl" w:eastAsia="es-ES"/>
        </w:rPr>
        <w:t>***** ***** * ***** ***** *****</w:t>
      </w:r>
      <w:r w:rsidR="00102315" w:rsidRPr="009C0C09">
        <w:rPr>
          <w:rFonts w:ascii="Arial" w:eastAsia="Times New Roman" w:hAnsi="Arial" w:cs="Arial"/>
          <w:sz w:val="24"/>
          <w:szCs w:val="27"/>
          <w:lang w:val="es-ES_tradnl" w:eastAsia="es-ES"/>
        </w:rPr>
        <w:t>, en contra</w:t>
      </w:r>
      <w:r w:rsidR="008575A7">
        <w:rPr>
          <w:rFonts w:ascii="Arial" w:eastAsia="Times New Roman" w:hAnsi="Arial" w:cs="Arial"/>
          <w:sz w:val="24"/>
          <w:szCs w:val="27"/>
          <w:lang w:val="es-ES_tradnl" w:eastAsia="es-ES"/>
        </w:rPr>
        <w:t xml:space="preserve"> de</w:t>
      </w:r>
      <w:r w:rsidR="00102315" w:rsidRPr="009C0C09">
        <w:rPr>
          <w:rFonts w:ascii="Arial" w:eastAsia="Times New Roman" w:hAnsi="Arial" w:cs="Arial"/>
          <w:sz w:val="24"/>
          <w:szCs w:val="27"/>
          <w:lang w:val="es-ES_tradnl" w:eastAsia="es-ES"/>
        </w:rPr>
        <w:t xml:space="preserve"> </w:t>
      </w:r>
      <w:r w:rsidR="008575A7" w:rsidRPr="008575A7">
        <w:rPr>
          <w:rFonts w:ascii="Arial" w:eastAsia="Times New Roman" w:hAnsi="Arial" w:cs="Arial"/>
          <w:b/>
          <w:sz w:val="24"/>
          <w:szCs w:val="27"/>
          <w:lang w:val="es-ES_tradnl" w:eastAsia="es-ES"/>
        </w:rPr>
        <w:t>JOSÉ LUIS REYES PEREZ, CON NÚMERO ESTADÍSTICO 71, ADSCRITO</w:t>
      </w:r>
      <w:r w:rsidR="00243AC1" w:rsidRPr="00243AC1">
        <w:rPr>
          <w:rFonts w:ascii="Arial" w:eastAsia="Times New Roman" w:hAnsi="Arial" w:cs="Arial"/>
          <w:b/>
          <w:sz w:val="24"/>
          <w:szCs w:val="27"/>
          <w:lang w:val="es-ES_tradnl" w:eastAsia="es-ES"/>
        </w:rPr>
        <w:t xml:space="preserve"> A LA COMISARÍA DE SEGURIDAD PÚBLICA, VIALIDAD Y PROTECCIÓN CIVIL MUNICIPAL, DE OAXACA DE JUÁREZ, OAXACA (AHORA SUBDIRECCIÓN DE TRÁNSITO Y MOVILIDAD DE LA DIRECCIÓN DE SEGURIDAD PÚBLICA, VIALIDAD Y PROTECCIÓN CIUDADANA)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3861F220" w14:textId="669C63F3" w:rsidR="0088039F" w:rsidRDefault="00D82372" w:rsidP="0055642D">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3B31BA">
        <w:rPr>
          <w:rFonts w:ascii="Arial" w:eastAsia="Times New Roman" w:hAnsi="Arial" w:cs="Arial"/>
          <w:sz w:val="24"/>
          <w:szCs w:val="27"/>
          <w:lang w:val="es-ES_tradnl" w:eastAsia="es-ES"/>
        </w:rPr>
        <w:t>***** ***** * ***** ***** *****</w:t>
      </w:r>
      <w:r w:rsidR="0035374B" w:rsidRPr="009C0C09">
        <w:rPr>
          <w:rFonts w:ascii="Arial" w:hAnsi="Arial" w:cs="Arial"/>
          <w:bCs/>
          <w:spacing w:val="-3"/>
          <w:sz w:val="24"/>
          <w:szCs w:val="27"/>
          <w:lang w:val="es-ES_tradnl"/>
        </w:rPr>
        <w:t xml:space="preserve">, por medio de su escrito recibido el </w:t>
      </w:r>
      <w:r w:rsidR="001C0421">
        <w:rPr>
          <w:rFonts w:ascii="Arial" w:hAnsi="Arial" w:cs="Arial"/>
          <w:bCs/>
          <w:spacing w:val="-3"/>
          <w:sz w:val="24"/>
          <w:szCs w:val="27"/>
          <w:lang w:val="es-ES_tradnl"/>
        </w:rPr>
        <w:t>veintiocho de junio</w:t>
      </w:r>
      <w:r w:rsidR="00864030">
        <w:rPr>
          <w:rFonts w:ascii="Arial" w:hAnsi="Arial" w:cs="Arial"/>
          <w:bCs/>
          <w:spacing w:val="-3"/>
          <w:sz w:val="24"/>
          <w:szCs w:val="27"/>
          <w:lang w:val="es-ES_tradnl"/>
        </w:rPr>
        <w:t xml:space="preserve"> de dos mil diecisiete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w:t>
      </w:r>
      <w:r w:rsidR="000751F0">
        <w:rPr>
          <w:rFonts w:ascii="Arial" w:hAnsi="Arial" w:cs="Arial"/>
          <w:bCs/>
          <w:spacing w:val="-3"/>
          <w:sz w:val="24"/>
          <w:szCs w:val="27"/>
          <w:lang w:val="es-ES_tradnl"/>
        </w:rPr>
        <w:t>l otrora</w:t>
      </w:r>
      <w:r w:rsidR="00763032">
        <w:rPr>
          <w:rFonts w:ascii="Arial" w:hAnsi="Arial" w:cs="Arial"/>
          <w:bCs/>
          <w:spacing w:val="-3"/>
          <w:sz w:val="24"/>
          <w:szCs w:val="27"/>
          <w:lang w:val="es-ES_tradnl"/>
        </w:rPr>
        <w:t xml:space="preserve"> Tribunal</w:t>
      </w:r>
      <w:r w:rsidR="000751F0">
        <w:rPr>
          <w:rFonts w:ascii="Arial" w:hAnsi="Arial" w:cs="Arial"/>
          <w:bCs/>
          <w:spacing w:val="-3"/>
          <w:sz w:val="24"/>
          <w:szCs w:val="27"/>
          <w:lang w:val="es-ES_tradnl"/>
        </w:rPr>
        <w:t xml:space="preserve"> de lo Contencioso Administrativo del Poder Judicial del Estado de Oaxaca</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w:t>
      </w:r>
      <w:r w:rsidR="001F72DA">
        <w:rPr>
          <w:rFonts w:ascii="Arial" w:hAnsi="Arial" w:cs="Arial"/>
          <w:bCs/>
          <w:spacing w:val="-3"/>
          <w:sz w:val="24"/>
          <w:szCs w:val="27"/>
          <w:lang w:val="es-ES_tradnl"/>
        </w:rPr>
        <w:t xml:space="preserve">l acta de infracción con número de folio </w:t>
      </w:r>
      <w:r w:rsidR="003B31BA">
        <w:rPr>
          <w:rFonts w:ascii="Arial" w:hAnsi="Arial" w:cs="Arial"/>
          <w:bCs/>
          <w:spacing w:val="-3"/>
          <w:sz w:val="24"/>
          <w:szCs w:val="27"/>
          <w:lang w:val="es-ES_tradnl"/>
        </w:rPr>
        <w:t xml:space="preserve">***** </w:t>
      </w:r>
      <w:r w:rsidR="00FE220A">
        <w:rPr>
          <w:rFonts w:ascii="Arial" w:hAnsi="Arial" w:cs="Arial"/>
          <w:bCs/>
          <w:spacing w:val="-3"/>
          <w:sz w:val="24"/>
          <w:szCs w:val="27"/>
          <w:lang w:val="es-ES_tradnl"/>
        </w:rPr>
        <w:t>fecha</w:t>
      </w:r>
      <w:r w:rsidR="009B3286">
        <w:rPr>
          <w:rFonts w:ascii="Arial" w:hAnsi="Arial" w:cs="Arial"/>
          <w:bCs/>
          <w:spacing w:val="-3"/>
          <w:sz w:val="24"/>
          <w:szCs w:val="27"/>
          <w:lang w:val="es-ES_tradnl"/>
        </w:rPr>
        <w:t xml:space="preserve"> </w:t>
      </w:r>
      <w:r w:rsidR="003B31BA">
        <w:rPr>
          <w:rFonts w:ascii="Arial" w:hAnsi="Arial" w:cs="Arial"/>
          <w:bCs/>
          <w:spacing w:val="-3"/>
          <w:sz w:val="24"/>
          <w:szCs w:val="27"/>
          <w:lang w:val="es-ES_tradnl"/>
        </w:rPr>
        <w:t>*****</w:t>
      </w:r>
      <w:r w:rsidR="001F72DA">
        <w:rPr>
          <w:rFonts w:ascii="Arial" w:hAnsi="Arial" w:cs="Arial"/>
          <w:bCs/>
          <w:spacing w:val="-3"/>
          <w:sz w:val="24"/>
          <w:szCs w:val="27"/>
          <w:lang w:val="es-ES_tradnl"/>
        </w:rPr>
        <w:t xml:space="preserve"> de </w:t>
      </w:r>
      <w:r w:rsidR="003B31BA">
        <w:rPr>
          <w:rFonts w:ascii="Arial" w:hAnsi="Arial" w:cs="Arial"/>
          <w:bCs/>
          <w:spacing w:val="-3"/>
          <w:sz w:val="24"/>
          <w:szCs w:val="27"/>
          <w:lang w:val="es-ES_tradnl"/>
        </w:rPr>
        <w:t>*****</w:t>
      </w:r>
      <w:r w:rsidR="00864030">
        <w:rPr>
          <w:rFonts w:ascii="Arial" w:hAnsi="Arial" w:cs="Arial"/>
          <w:bCs/>
          <w:spacing w:val="-3"/>
          <w:sz w:val="24"/>
          <w:szCs w:val="27"/>
          <w:lang w:val="es-ES_tradnl"/>
        </w:rPr>
        <w:t xml:space="preserve"> de dos mil diecisiete</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 xml:space="preserve">mediante acuerdo de </w:t>
      </w:r>
      <w:r w:rsidR="001F72DA">
        <w:rPr>
          <w:rFonts w:ascii="Arial" w:hAnsi="Arial" w:cs="Arial"/>
          <w:bCs/>
          <w:spacing w:val="-3"/>
          <w:sz w:val="24"/>
          <w:szCs w:val="27"/>
          <w:lang w:val="es-ES_tradnl"/>
        </w:rPr>
        <w:t xml:space="preserve">esa misma fecha, </w:t>
      </w:r>
      <w:r w:rsidR="0052192C">
        <w:rPr>
          <w:rFonts w:ascii="Arial" w:hAnsi="Arial" w:cs="Arial"/>
          <w:bCs/>
          <w:spacing w:val="-3"/>
          <w:sz w:val="24"/>
          <w:szCs w:val="27"/>
          <w:lang w:val="es-ES_tradnl"/>
        </w:rPr>
        <w:t>s</w:t>
      </w:r>
      <w:r w:rsidR="001F72DA">
        <w:rPr>
          <w:rFonts w:ascii="Arial" w:hAnsi="Arial" w:cs="Arial"/>
          <w:bCs/>
          <w:spacing w:val="-3"/>
          <w:sz w:val="24"/>
          <w:szCs w:val="27"/>
          <w:lang w:val="es-ES_tradnl"/>
        </w:rPr>
        <w:t xml:space="preserve">e admitió a trámite la demanda, </w:t>
      </w:r>
      <w:r w:rsidR="00914725">
        <w:rPr>
          <w:rFonts w:ascii="Arial" w:hAnsi="Arial" w:cs="Arial"/>
          <w:bCs/>
          <w:spacing w:val="-3"/>
          <w:sz w:val="24"/>
          <w:szCs w:val="27"/>
          <w:lang w:val="es-ES_tradnl"/>
        </w:rPr>
        <w:t>ordenándose correr traslado y emplazar a la autoridad demandada para que diera contestación a la demanda entablada en su contra.</w:t>
      </w:r>
    </w:p>
    <w:p w14:paraId="76488A75" w14:textId="1A64840D" w:rsidR="00387905" w:rsidRDefault="00387905" w:rsidP="0055642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requirió al actor para que expresara conceptos de impugnación respecto de una de las autoridades demandadas.</w:t>
      </w:r>
    </w:p>
    <w:p w14:paraId="02DB0A27" w14:textId="45BBA920" w:rsidR="00C557D3" w:rsidRDefault="00387905" w:rsidP="00387905">
      <w:pPr>
        <w:spacing w:line="360" w:lineRule="auto"/>
        <w:ind w:firstLine="567"/>
        <w:jc w:val="both"/>
        <w:rPr>
          <w:rFonts w:ascii="Arial" w:hAnsi="Arial" w:cs="Arial"/>
          <w:bCs/>
          <w:spacing w:val="-3"/>
          <w:sz w:val="24"/>
          <w:szCs w:val="27"/>
          <w:lang w:val="es-ES_tradnl"/>
        </w:rPr>
      </w:pPr>
      <w:r w:rsidRPr="00387905">
        <w:rPr>
          <w:rFonts w:ascii="Arial" w:hAnsi="Arial" w:cs="Arial"/>
          <w:b/>
          <w:bCs/>
          <w:spacing w:val="-3"/>
          <w:sz w:val="24"/>
          <w:szCs w:val="27"/>
          <w:lang w:val="es-ES_tradnl"/>
        </w:rPr>
        <w:t>SEGUNDO.</w:t>
      </w:r>
      <w:r w:rsidR="00C557D3">
        <w:rPr>
          <w:rFonts w:ascii="Arial" w:hAnsi="Arial" w:cs="Arial"/>
          <w:bCs/>
          <w:spacing w:val="-3"/>
          <w:sz w:val="24"/>
          <w:szCs w:val="27"/>
          <w:lang w:val="es-ES_tradnl"/>
        </w:rPr>
        <w:t xml:space="preserve"> Mediante proveído de fecha </w:t>
      </w:r>
      <w:r w:rsidR="001E5348">
        <w:rPr>
          <w:rFonts w:ascii="Arial" w:hAnsi="Arial" w:cs="Arial"/>
          <w:bCs/>
          <w:spacing w:val="-3"/>
          <w:sz w:val="24"/>
          <w:szCs w:val="27"/>
          <w:lang w:val="es-ES_tradnl"/>
        </w:rPr>
        <w:t>veinticuatro</w:t>
      </w:r>
      <w:r w:rsidR="00C557D3">
        <w:rPr>
          <w:rFonts w:ascii="Arial" w:hAnsi="Arial" w:cs="Arial"/>
          <w:bCs/>
          <w:spacing w:val="-3"/>
          <w:sz w:val="24"/>
          <w:szCs w:val="27"/>
          <w:lang w:val="es-ES_tradnl"/>
        </w:rPr>
        <w:t xml:space="preserve"> de noviembre de dos mil diecisiete, se ordenó notificar correctamente a la autoridad demandada, y por otra parte se dijo que no ha lugar a lo solicitado por la autorizada legal de la parte actora.</w:t>
      </w:r>
    </w:p>
    <w:p w14:paraId="5A059751" w14:textId="41E4C016" w:rsidR="002C77CA" w:rsidRDefault="002C77CA" w:rsidP="00387905">
      <w:pPr>
        <w:spacing w:line="360" w:lineRule="auto"/>
        <w:ind w:firstLine="567"/>
        <w:jc w:val="both"/>
        <w:rPr>
          <w:rFonts w:ascii="Arial" w:hAnsi="Arial" w:cs="Arial"/>
          <w:bCs/>
          <w:spacing w:val="-3"/>
          <w:sz w:val="24"/>
          <w:szCs w:val="27"/>
          <w:lang w:val="es-ES_tradnl"/>
        </w:rPr>
      </w:pPr>
      <w:r w:rsidRPr="002C77CA">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Por acuerdo de fecha veintinueve de enero de dos mil dieciocho, se certificó que la accionante no dio cumplimiento al requerimiento efectuado, por lo que se le hizo efectivo el apercibimiento y no se le tuvo demandando a la autoridad referida.</w:t>
      </w:r>
    </w:p>
    <w:p w14:paraId="0E2F2680" w14:textId="652DDD40" w:rsidR="002C77CA" w:rsidRDefault="002C77CA" w:rsidP="00387905">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al actuario que notificara a la autoridad demandada bajo la denominación correcta.</w:t>
      </w:r>
    </w:p>
    <w:p w14:paraId="0D792AAE" w14:textId="46D95925" w:rsidR="00793DA7" w:rsidRDefault="002C77CA" w:rsidP="00605164">
      <w:pPr>
        <w:spacing w:line="360" w:lineRule="auto"/>
        <w:ind w:firstLine="567"/>
        <w:jc w:val="both"/>
        <w:rPr>
          <w:rFonts w:ascii="Arial" w:hAnsi="Arial" w:cs="Arial"/>
          <w:bCs/>
          <w:spacing w:val="-3"/>
          <w:sz w:val="24"/>
          <w:szCs w:val="27"/>
          <w:lang w:val="es-ES_tradnl"/>
        </w:rPr>
      </w:pPr>
      <w:r w:rsidRPr="002C77CA">
        <w:rPr>
          <w:rFonts w:ascii="Arial" w:hAnsi="Arial" w:cs="Arial"/>
          <w:b/>
          <w:bCs/>
          <w:spacing w:val="-3"/>
          <w:sz w:val="24"/>
          <w:szCs w:val="27"/>
          <w:lang w:val="es-ES_tradnl"/>
        </w:rPr>
        <w:t>CUARTO.</w:t>
      </w:r>
      <w:r>
        <w:rPr>
          <w:rFonts w:ascii="Arial" w:hAnsi="Arial" w:cs="Arial"/>
          <w:bCs/>
          <w:spacing w:val="-3"/>
          <w:sz w:val="24"/>
          <w:szCs w:val="27"/>
          <w:lang w:val="es-ES_tradnl"/>
        </w:rPr>
        <w:t xml:space="preserve"> Mediante proveído</w:t>
      </w:r>
      <w:r w:rsidR="00122613">
        <w:rPr>
          <w:rFonts w:ascii="Arial" w:hAnsi="Arial" w:cs="Arial"/>
          <w:bCs/>
          <w:spacing w:val="-3"/>
          <w:sz w:val="24"/>
          <w:szCs w:val="27"/>
          <w:lang w:val="es-ES_tradnl"/>
        </w:rPr>
        <w:t xml:space="preserve"> de fecha </w:t>
      </w:r>
      <w:r>
        <w:rPr>
          <w:rFonts w:ascii="Arial" w:hAnsi="Arial" w:cs="Arial"/>
          <w:bCs/>
          <w:spacing w:val="-3"/>
          <w:sz w:val="24"/>
          <w:szCs w:val="27"/>
          <w:lang w:val="es-ES_tradnl"/>
        </w:rPr>
        <w:t>dos</w:t>
      </w:r>
      <w:r w:rsidR="0050652A">
        <w:rPr>
          <w:rFonts w:ascii="Arial" w:hAnsi="Arial" w:cs="Arial"/>
          <w:bCs/>
          <w:spacing w:val="-3"/>
          <w:sz w:val="24"/>
          <w:szCs w:val="27"/>
          <w:lang w:val="es-ES_tradnl"/>
        </w:rPr>
        <w:t xml:space="preserve"> de marzo de dos mil dieciocho se hizo del conocimiento de las partes </w:t>
      </w:r>
      <w:r w:rsidR="00C557D3">
        <w:rPr>
          <w:rFonts w:ascii="Arial" w:hAnsi="Arial" w:cs="Arial"/>
          <w:bCs/>
          <w:spacing w:val="-3"/>
          <w:sz w:val="24"/>
          <w:szCs w:val="27"/>
          <w:lang w:val="es-ES_tradnl"/>
        </w:rPr>
        <w:t>el decreto 789</w:t>
      </w:r>
      <w:r w:rsidR="0050652A"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50652A">
        <w:rPr>
          <w:rFonts w:ascii="Arial" w:hAnsi="Arial" w:cs="Arial"/>
          <w:bCs/>
          <w:spacing w:val="-3"/>
          <w:sz w:val="24"/>
          <w:szCs w:val="27"/>
          <w:lang w:val="es-ES_tradnl"/>
        </w:rPr>
        <w:t>, y se les otorgó un plazo a las partes para que manifestaran lo que a sus intereses conviniera</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77D6333E" w14:textId="068B1B6A" w:rsidR="00BE6CD2" w:rsidRDefault="00BE6CD2" w:rsidP="00605164">
      <w:pPr>
        <w:spacing w:line="360" w:lineRule="auto"/>
        <w:ind w:firstLine="567"/>
        <w:jc w:val="both"/>
        <w:rPr>
          <w:rFonts w:ascii="Arial" w:hAnsi="Arial" w:cs="Arial"/>
          <w:bCs/>
          <w:spacing w:val="-3"/>
          <w:sz w:val="24"/>
          <w:szCs w:val="27"/>
          <w:lang w:val="es-ES_tradnl"/>
        </w:rPr>
      </w:pPr>
      <w:r w:rsidRPr="00BE6CD2">
        <w:rPr>
          <w:rFonts w:ascii="Arial" w:hAnsi="Arial" w:cs="Arial"/>
          <w:b/>
          <w:bCs/>
          <w:spacing w:val="-3"/>
          <w:sz w:val="24"/>
          <w:szCs w:val="27"/>
          <w:lang w:val="es-ES_tradnl"/>
        </w:rPr>
        <w:t>QUINTO.</w:t>
      </w:r>
      <w:r>
        <w:rPr>
          <w:rFonts w:ascii="Arial" w:hAnsi="Arial" w:cs="Arial"/>
          <w:bCs/>
          <w:spacing w:val="-3"/>
          <w:sz w:val="24"/>
          <w:szCs w:val="27"/>
          <w:lang w:val="es-ES_tradnl"/>
        </w:rPr>
        <w:t xml:space="preserve"> En auto de fecha siete de noviembre de dos mil dieciocho, se tuvo a la aut</w:t>
      </w:r>
      <w:r w:rsidR="00383B6C">
        <w:rPr>
          <w:rFonts w:ascii="Arial" w:hAnsi="Arial" w:cs="Arial"/>
          <w:bCs/>
          <w:spacing w:val="-3"/>
          <w:sz w:val="24"/>
          <w:szCs w:val="27"/>
          <w:lang w:val="es-ES_tradnl"/>
        </w:rPr>
        <w:t>oridad demandada contestando a la demanda en tiempo y forma y en los términos en los que lo hizo, ordenándose correr traslado a la parte actora para los efectos legales.</w:t>
      </w:r>
    </w:p>
    <w:p w14:paraId="48EB50E4" w14:textId="6ABC6F96" w:rsidR="00383B6C" w:rsidRDefault="00383B6C"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16558AD9" w14:textId="783826B0" w:rsidR="00383B6C" w:rsidRDefault="00383B6C" w:rsidP="00605164">
      <w:pPr>
        <w:spacing w:line="360" w:lineRule="auto"/>
        <w:ind w:firstLine="567"/>
        <w:jc w:val="both"/>
        <w:rPr>
          <w:rFonts w:ascii="Arial" w:hAnsi="Arial" w:cs="Arial"/>
          <w:bCs/>
          <w:spacing w:val="-3"/>
          <w:sz w:val="24"/>
          <w:szCs w:val="27"/>
          <w:lang w:val="es-ES_tradnl"/>
        </w:rPr>
      </w:pPr>
      <w:r w:rsidRPr="00383B6C">
        <w:rPr>
          <w:rFonts w:ascii="Arial" w:hAnsi="Arial" w:cs="Arial"/>
          <w:b/>
          <w:bCs/>
          <w:spacing w:val="-3"/>
          <w:sz w:val="24"/>
          <w:szCs w:val="27"/>
          <w:lang w:val="es-ES_tradnl"/>
        </w:rPr>
        <w:t>SEXTO.</w:t>
      </w:r>
      <w:r>
        <w:rPr>
          <w:rFonts w:ascii="Arial" w:hAnsi="Arial" w:cs="Arial"/>
          <w:bCs/>
          <w:spacing w:val="-3"/>
          <w:sz w:val="24"/>
          <w:szCs w:val="27"/>
          <w:lang w:val="es-ES_tradnl"/>
        </w:rPr>
        <w:t xml:space="preserve"> Por acuerdo de fecha cinco de diciembre de dos mil dieciocho, se tuvo por recibido un oficio en el que la autorizada legal formulaba alegatos a favor de su representada, mismos que se ordenaron agregar a los autos.</w:t>
      </w:r>
    </w:p>
    <w:p w14:paraId="4E356CC6" w14:textId="00F5BAB6" w:rsidR="00155F12" w:rsidRPr="009C0C09" w:rsidRDefault="00D86C56"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SÉPTIMO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383B6C">
        <w:rPr>
          <w:rFonts w:ascii="Arial" w:hAnsi="Arial" w:cs="Arial"/>
          <w:bCs/>
          <w:spacing w:val="-3"/>
          <w:sz w:val="24"/>
          <w:szCs w:val="27"/>
          <w:lang w:val="es-ES_tradnl"/>
        </w:rPr>
        <w:t>once de diciembre de dos mil dieciocho</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652B72D2"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86C56" w:rsidRPr="00D86C56">
        <w:rPr>
          <w:rFonts w:ascii="Arial" w:hAnsi="Arial" w:cs="Arial"/>
          <w:sz w:val="24"/>
          <w:szCs w:val="24"/>
        </w:rPr>
        <w:t xml:space="preserve">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w:t>
      </w:r>
      <w:r w:rsidR="00D86C56" w:rsidRPr="00D86C56">
        <w:rPr>
          <w:rFonts w:ascii="Arial" w:hAnsi="Arial" w:cs="Arial"/>
          <w:sz w:val="24"/>
          <w:szCs w:val="24"/>
        </w:rPr>
        <w:lastRenderedPageBreak/>
        <w:t>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635D6F7C"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D86C56" w:rsidRPr="00F12439">
        <w:rPr>
          <w:rFonts w:ascii="Arial" w:hAnsi="Arial" w:cs="Arial"/>
          <w:bCs/>
          <w:snapToGrid w:val="0"/>
          <w:sz w:val="24"/>
          <w:szCs w:val="24"/>
        </w:rPr>
        <w:t xml:space="preserve">La personalidad de la parte actora quedó debidamente acreditada en </w:t>
      </w:r>
      <w:r w:rsidR="00D86C56">
        <w:rPr>
          <w:rFonts w:ascii="Arial" w:hAnsi="Arial" w:cs="Arial"/>
          <w:bCs/>
          <w:snapToGrid w:val="0"/>
          <w:sz w:val="24"/>
          <w:szCs w:val="24"/>
        </w:rPr>
        <w:t xml:space="preserve">términos de los artículos 117, mientras que la autoridad demandada no acreditó su personalidad en términos del artículo </w:t>
      </w:r>
      <w:r w:rsidR="00D86C56" w:rsidRPr="00F12439">
        <w:rPr>
          <w:rFonts w:ascii="Arial" w:hAnsi="Arial" w:cs="Arial"/>
          <w:bCs/>
          <w:snapToGrid w:val="0"/>
          <w:sz w:val="24"/>
          <w:szCs w:val="24"/>
        </w:rPr>
        <w:t>120 de la Ley de Justicia Administ</w:t>
      </w:r>
      <w:r w:rsidR="00D86C56">
        <w:rPr>
          <w:rFonts w:ascii="Arial" w:hAnsi="Arial" w:cs="Arial"/>
          <w:bCs/>
          <w:snapToGrid w:val="0"/>
          <w:sz w:val="24"/>
          <w:szCs w:val="24"/>
        </w:rPr>
        <w:t>rativa para el Estado de Oaxaca</w:t>
      </w:r>
      <w:r w:rsidR="00D86C56">
        <w:rPr>
          <w:rFonts w:ascii="Arial" w:hAnsi="Arial" w:cs="Arial"/>
          <w:sz w:val="24"/>
          <w:szCs w:val="24"/>
        </w:rPr>
        <w:t>, por no haber contestado la demanda en tiempo y forma.</w:t>
      </w:r>
    </w:p>
    <w:p w14:paraId="40C7DB4D" w14:textId="576B31AB"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w:t>
      </w:r>
      <w:r w:rsidR="002E680D">
        <w:rPr>
          <w:rFonts w:ascii="Arial" w:hAnsi="Arial" w:cs="Arial"/>
          <w:sz w:val="24"/>
          <w:szCs w:val="24"/>
        </w:rPr>
        <w:t xml:space="preserve"> en términos de los artículos 131 y 13</w:t>
      </w:r>
      <w:r w:rsidR="001C3689" w:rsidRPr="001C3689">
        <w:rPr>
          <w:rFonts w:ascii="Arial" w:hAnsi="Arial" w:cs="Arial"/>
          <w:sz w:val="24"/>
          <w:szCs w:val="24"/>
        </w:rPr>
        <w:t xml:space="preserve">2 de la Ley de Justicia Administrativa para el Estado de Oaxaca. Esta Segunda Sala Unitaria de Primera Instancia del Tribunal de Justicia Administrativa para el Estado de Oaxaca, advierte que no se configura alguna causal de improcedencia o </w:t>
      </w:r>
      <w:r w:rsidR="00396776" w:rsidRPr="001C3689">
        <w:rPr>
          <w:rFonts w:ascii="Arial" w:hAnsi="Arial" w:cs="Arial"/>
          <w:sz w:val="24"/>
          <w:szCs w:val="24"/>
        </w:rPr>
        <w:t>sobreseimiento,</w:t>
      </w:r>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46E25D49"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esta Segunda Sala Unitaria de Primera Instancia del Tribunal de Justicia Administrativa para el Estado de Oaxaca, procede al estudio de los conceptos de impugnación hechos valer por la parte actora y al análisis del acta de infracción impugnada número </w:t>
      </w:r>
      <w:r w:rsidR="00365046">
        <w:rPr>
          <w:rFonts w:ascii="Arial" w:hAnsi="Arial" w:cs="Arial"/>
          <w:bCs/>
          <w:spacing w:val="-3"/>
          <w:sz w:val="24"/>
          <w:szCs w:val="27"/>
          <w:lang w:val="es-ES_tradnl"/>
        </w:rPr>
        <w:t>*****</w:t>
      </w:r>
      <w:r w:rsidR="0060559C">
        <w:rPr>
          <w:rFonts w:ascii="Arial" w:hAnsi="Arial" w:cs="Arial"/>
          <w:bCs/>
          <w:spacing w:val="-3"/>
          <w:sz w:val="24"/>
          <w:szCs w:val="27"/>
          <w:lang w:val="es-ES_tradnl"/>
        </w:rPr>
        <w:t xml:space="preserve"> fecha </w:t>
      </w:r>
      <w:r w:rsidR="00365046">
        <w:rPr>
          <w:rFonts w:ascii="Arial" w:hAnsi="Arial" w:cs="Arial"/>
          <w:bCs/>
          <w:spacing w:val="-3"/>
          <w:sz w:val="24"/>
          <w:szCs w:val="27"/>
          <w:lang w:val="es-ES_tradnl"/>
        </w:rPr>
        <w:t>*****</w:t>
      </w:r>
      <w:r w:rsidR="0060559C">
        <w:rPr>
          <w:rFonts w:ascii="Arial" w:hAnsi="Arial" w:cs="Arial"/>
          <w:bCs/>
          <w:spacing w:val="-3"/>
          <w:sz w:val="24"/>
          <w:szCs w:val="27"/>
          <w:lang w:val="es-ES_tradnl"/>
        </w:rPr>
        <w:t xml:space="preserve"> de </w:t>
      </w:r>
      <w:r w:rsidR="00365046">
        <w:rPr>
          <w:rFonts w:ascii="Arial" w:hAnsi="Arial" w:cs="Arial"/>
          <w:bCs/>
          <w:spacing w:val="-3"/>
          <w:sz w:val="24"/>
          <w:szCs w:val="27"/>
          <w:lang w:val="es-ES_tradnl"/>
        </w:rPr>
        <w:t>*****</w:t>
      </w:r>
      <w:r w:rsidR="0060559C">
        <w:rPr>
          <w:rFonts w:ascii="Arial" w:hAnsi="Arial" w:cs="Arial"/>
          <w:bCs/>
          <w:spacing w:val="-3"/>
          <w:sz w:val="24"/>
          <w:szCs w:val="27"/>
          <w:lang w:val="es-ES_tradnl"/>
        </w:rPr>
        <w:t xml:space="preserve"> de dos mil diecisiete</w:t>
      </w:r>
      <w:r w:rsidR="0060559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2E680D">
        <w:rPr>
          <w:rFonts w:ascii="Arial" w:hAnsi="Arial" w:cs="Arial"/>
          <w:bCs/>
          <w:snapToGrid w:val="0"/>
          <w:sz w:val="24"/>
          <w:szCs w:val="27"/>
        </w:rPr>
        <w:t>nes, en términos del artículo 17</w:t>
      </w:r>
      <w:r w:rsidR="0040395C" w:rsidRPr="0040395C">
        <w:rPr>
          <w:rFonts w:ascii="Arial" w:hAnsi="Arial" w:cs="Arial"/>
          <w:bCs/>
          <w:snapToGrid w:val="0"/>
          <w:sz w:val="24"/>
          <w:szCs w:val="27"/>
        </w:rPr>
        <w:t xml:space="preserve">3 fracción I, de la Ley que rige a este Tribunal. </w:t>
      </w:r>
    </w:p>
    <w:p w14:paraId="551B0DB2" w14:textId="2D7678A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Ahora b</w:t>
      </w:r>
      <w:r w:rsidR="002E680D">
        <w:rPr>
          <w:rFonts w:ascii="Arial" w:hAnsi="Arial" w:cs="Arial"/>
          <w:bCs/>
          <w:snapToGrid w:val="0"/>
          <w:sz w:val="24"/>
          <w:szCs w:val="27"/>
        </w:rPr>
        <w:t>ien, en términos del artículo 17</w:t>
      </w:r>
      <w:r w:rsidRPr="0040395C">
        <w:rPr>
          <w:rFonts w:ascii="Arial" w:hAnsi="Arial" w:cs="Arial"/>
          <w:bCs/>
          <w:snapToGrid w:val="0"/>
          <w:sz w:val="24"/>
          <w:szCs w:val="27"/>
        </w:rPr>
        <w:t xml:space="preserve">6 de la Ley de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7 de la Ley de</w:t>
      </w:r>
      <w:r>
        <w:rPr>
          <w:rFonts w:ascii="Arial" w:hAnsi="Arial" w:cs="Arial"/>
          <w:bCs/>
          <w:snapToGrid w:val="0"/>
          <w:sz w:val="24"/>
          <w:szCs w:val="27"/>
        </w:rPr>
        <w:t xml:space="preserve"> </w:t>
      </w:r>
      <w:r w:rsidRPr="0040395C">
        <w:rPr>
          <w:rFonts w:ascii="Arial" w:hAnsi="Arial" w:cs="Arial"/>
          <w:bCs/>
          <w:snapToGrid w:val="0"/>
          <w:sz w:val="24"/>
          <w:szCs w:val="27"/>
        </w:rPr>
        <w:t>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w:t>
      </w:r>
      <w:r w:rsidR="00762B18">
        <w:rPr>
          <w:rFonts w:ascii="Arial" w:hAnsi="Arial" w:cs="Arial"/>
          <w:bCs/>
          <w:snapToGrid w:val="0"/>
          <w:sz w:val="24"/>
          <w:szCs w:val="27"/>
        </w:rPr>
        <w:t xml:space="preserve">a administrativa consistente en </w:t>
      </w:r>
      <w:r w:rsidR="00CA3848">
        <w:rPr>
          <w:rFonts w:ascii="Arial" w:hAnsi="Arial" w:cs="Arial"/>
          <w:bCs/>
          <w:snapToGrid w:val="0"/>
          <w:sz w:val="24"/>
          <w:szCs w:val="27"/>
        </w:rPr>
        <w:t>pasarse la luz roja o ámbar del semáforo</w:t>
      </w:r>
      <w:r w:rsidR="00762B18">
        <w:rPr>
          <w:rFonts w:ascii="Arial" w:hAnsi="Arial" w:cs="Arial"/>
          <w:bCs/>
          <w:snapToGrid w:val="0"/>
          <w:sz w:val="24"/>
          <w:szCs w:val="27"/>
        </w:rPr>
        <w:t xml:space="preserve">, </w:t>
      </w:r>
      <w:r w:rsidR="00CA3848">
        <w:rPr>
          <w:rFonts w:ascii="Arial" w:hAnsi="Arial" w:cs="Arial"/>
          <w:bCs/>
          <w:snapToGrid w:val="0"/>
          <w:sz w:val="24"/>
          <w:szCs w:val="27"/>
        </w:rPr>
        <w:t>tipificado en el artículo 59 fracción I d</w:t>
      </w:r>
      <w:r w:rsidR="00762B18">
        <w:rPr>
          <w:rFonts w:ascii="Arial" w:hAnsi="Arial" w:cs="Arial"/>
          <w:bCs/>
          <w:snapToGrid w:val="0"/>
          <w:sz w:val="24"/>
          <w:szCs w:val="27"/>
        </w:rPr>
        <w:t xml:space="preserve">el </w:t>
      </w:r>
      <w:r w:rsidRPr="0040395C">
        <w:rPr>
          <w:rFonts w:ascii="Arial" w:hAnsi="Arial" w:cs="Arial"/>
          <w:bCs/>
          <w:snapToGrid w:val="0"/>
          <w:sz w:val="24"/>
          <w:szCs w:val="27"/>
        </w:rPr>
        <w:t xml:space="preserve">Reglamento de Vialidad para el Municipio de Oaxaca de Juárez, </w:t>
      </w:r>
      <w:r w:rsidR="00260F3F">
        <w:rPr>
          <w:rFonts w:ascii="Arial" w:hAnsi="Arial" w:cs="Arial"/>
          <w:bCs/>
          <w:snapToGrid w:val="0"/>
          <w:sz w:val="24"/>
          <w:szCs w:val="27"/>
        </w:rPr>
        <w:t xml:space="preserve">así como tener licencia vencida, </w:t>
      </w:r>
      <w:r w:rsidRPr="0040395C">
        <w:rPr>
          <w:rFonts w:ascii="Arial" w:hAnsi="Arial" w:cs="Arial"/>
          <w:bCs/>
          <w:snapToGrid w:val="0"/>
          <w:sz w:val="24"/>
          <w:szCs w:val="27"/>
        </w:rPr>
        <w:t>mismo que vendría</w:t>
      </w:r>
      <w:r w:rsidR="00453CB0">
        <w:rPr>
          <w:rFonts w:ascii="Arial" w:hAnsi="Arial" w:cs="Arial"/>
          <w:bCs/>
          <w:snapToGrid w:val="0"/>
          <w:sz w:val="24"/>
          <w:szCs w:val="27"/>
        </w:rPr>
        <w:t xml:space="preserve"> a ser el</w:t>
      </w:r>
      <w:r w:rsidRPr="0040395C">
        <w:rPr>
          <w:rFonts w:ascii="Arial" w:hAnsi="Arial" w:cs="Arial"/>
          <w:bCs/>
          <w:snapToGrid w:val="0"/>
          <w:sz w:val="24"/>
          <w:szCs w:val="27"/>
        </w:rPr>
        <w:t xml:space="preserve"> hecho generador de la infracción, por lo que al no señalar las circunstancias de </w:t>
      </w:r>
      <w:r w:rsidRPr="0040395C">
        <w:rPr>
          <w:rFonts w:ascii="Arial" w:hAnsi="Arial" w:cs="Arial"/>
          <w:bCs/>
          <w:snapToGrid w:val="0"/>
          <w:sz w:val="24"/>
          <w:szCs w:val="27"/>
        </w:rPr>
        <w:lastRenderedPageBreak/>
        <w:t xml:space="preserve">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7, fracción V, de la Ley de Justicia Administrativa para el Estado de Oaxaca. </w:t>
      </w:r>
    </w:p>
    <w:p w14:paraId="09E9534A" w14:textId="65EFB3D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7A00A9">
        <w:rPr>
          <w:rFonts w:ascii="Arial" w:hAnsi="Arial" w:cs="Arial"/>
          <w:bCs/>
          <w:i/>
          <w:snapToGrid w:val="0"/>
          <w:sz w:val="24"/>
          <w:szCs w:val="27"/>
        </w:rPr>
        <w:t>POR PASARSE LA LUZ ROJA DEL SEMÁFORO</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45076">
        <w:rPr>
          <w:rFonts w:ascii="Arial" w:hAnsi="Arial" w:cs="Arial"/>
          <w:bCs/>
          <w:i/>
          <w:snapToGrid w:val="0"/>
          <w:sz w:val="24"/>
          <w:szCs w:val="27"/>
        </w:rPr>
        <w:t xml:space="preserve">ARTICULO 59 FRACCIÓN </w:t>
      </w:r>
      <w:r w:rsidR="007A00A9">
        <w:rPr>
          <w:rFonts w:ascii="Arial" w:hAnsi="Arial" w:cs="Arial"/>
          <w:bCs/>
          <w:i/>
          <w:snapToGrid w:val="0"/>
          <w:sz w:val="24"/>
          <w:szCs w:val="27"/>
        </w:rPr>
        <w:t>I INCISO E)</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7A00A9">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045076">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w:t>
      </w:r>
      <w:r w:rsidR="00045076">
        <w:rPr>
          <w:rFonts w:ascii="Arial" w:hAnsi="Arial" w:cs="Arial"/>
          <w:bCs/>
          <w:snapToGrid w:val="0"/>
          <w:sz w:val="24"/>
          <w:szCs w:val="27"/>
        </w:rPr>
        <w:t>endo en su esfera jurídica del</w:t>
      </w:r>
      <w:r w:rsidRPr="0040395C">
        <w:rPr>
          <w:rFonts w:ascii="Arial" w:hAnsi="Arial" w:cs="Arial"/>
          <w:bCs/>
          <w:snapToGrid w:val="0"/>
          <w:sz w:val="24"/>
          <w:szCs w:val="27"/>
        </w:rPr>
        <w:t xml:space="preserve"> infractor,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w:t>
      </w:r>
      <w:r w:rsidR="00045076">
        <w:rPr>
          <w:rFonts w:ascii="Arial" w:hAnsi="Arial" w:cs="Arial"/>
          <w:bCs/>
          <w:snapToGrid w:val="0"/>
          <w:sz w:val="24"/>
          <w:szCs w:val="27"/>
        </w:rPr>
        <w:t xml:space="preserve"> </w:t>
      </w:r>
      <w:r w:rsidRPr="0040395C">
        <w:rPr>
          <w:rFonts w:ascii="Arial" w:hAnsi="Arial" w:cs="Arial"/>
          <w:bCs/>
          <w:snapToGrid w:val="0"/>
          <w:sz w:val="24"/>
          <w:szCs w:val="27"/>
        </w:rPr>
        <w:t xml:space="preserve">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BC19CA">
        <w:rPr>
          <w:rFonts w:ascii="Arial" w:hAnsi="Arial" w:cs="Arial"/>
          <w:bCs/>
          <w:i/>
          <w:snapToGrid w:val="0"/>
          <w:sz w:val="24"/>
          <w:szCs w:val="27"/>
        </w:rPr>
        <w:t>per se</w:t>
      </w:r>
      <w:r w:rsidRPr="0040395C">
        <w:rPr>
          <w:rFonts w:ascii="Arial" w:hAnsi="Arial" w:cs="Arial"/>
          <w:bCs/>
          <w:snapToGrid w:val="0"/>
          <w:sz w:val="24"/>
          <w:szCs w:val="27"/>
        </w:rPr>
        <w:t>, luego entonces al no haber una correcta motivac</w:t>
      </w:r>
      <w:r w:rsidR="00BC19CA">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w:t>
      </w:r>
      <w:r w:rsidR="0040395C" w:rsidRPr="00C83BBD">
        <w:rPr>
          <w:rFonts w:ascii="Arial" w:hAnsi="Arial" w:cs="Arial"/>
          <w:bCs/>
          <w:i/>
          <w:snapToGrid w:val="0"/>
          <w:sz w:val="24"/>
          <w:szCs w:val="27"/>
        </w:rPr>
        <w:lastRenderedPageBreak/>
        <w:t>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096D2D61"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entonces, al no contener una correcta motivación y fundamentación dicho acto administrativo carece de validez alguna, ya que contraviene a los requisitos fundamentales de todo acto administrativo contemplado en el artículo 7 fracción V de la Ley de</w:t>
      </w:r>
      <w:r w:rsidR="00E331C9">
        <w:rPr>
          <w:rFonts w:ascii="Arial" w:hAnsi="Arial" w:cs="Arial"/>
          <w:bCs/>
          <w:snapToGrid w:val="0"/>
          <w:sz w:val="24"/>
          <w:szCs w:val="27"/>
        </w:rPr>
        <w:t xml:space="preserve"> </w:t>
      </w:r>
      <w:r w:rsidRPr="0040395C">
        <w:rPr>
          <w:rFonts w:ascii="Arial" w:hAnsi="Arial" w:cs="Arial"/>
          <w:bCs/>
          <w:snapToGrid w:val="0"/>
          <w:sz w:val="24"/>
          <w:szCs w:val="27"/>
        </w:rPr>
        <w:t xml:space="preserve">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Justicia Administrativa para el Estado de Oaxaca. Sirva al caso la tesis número 251051, sustentada por el Primer Tribunal Colegiado en Materia Administrativa del Primer Circuito, visible en la página 284 del Semanario </w:t>
      </w:r>
      <w:r w:rsidRPr="0040395C">
        <w:rPr>
          <w:rFonts w:ascii="Arial" w:hAnsi="Arial" w:cs="Arial"/>
          <w:bCs/>
          <w:snapToGrid w:val="0"/>
          <w:sz w:val="24"/>
          <w:szCs w:val="27"/>
        </w:rPr>
        <w:lastRenderedPageBreak/>
        <w:t>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50677B51"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2E680D">
        <w:rPr>
          <w:rFonts w:ascii="Arial" w:hAnsi="Arial" w:cs="Arial"/>
          <w:bCs/>
          <w:snapToGrid w:val="0"/>
          <w:sz w:val="24"/>
          <w:szCs w:val="27"/>
        </w:rPr>
        <w:t>tor, en términos del artículo 17</w:t>
      </w:r>
      <w:r w:rsidR="004C582E">
        <w:rPr>
          <w:rFonts w:ascii="Arial" w:hAnsi="Arial" w:cs="Arial"/>
          <w:bCs/>
          <w:snapToGrid w:val="0"/>
          <w:sz w:val="24"/>
          <w:szCs w:val="27"/>
        </w:rPr>
        <w:t xml:space="preserve">6 de la Ley de 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396776">
        <w:rPr>
          <w:rFonts w:ascii="Arial" w:hAnsi="Arial" w:cs="Arial"/>
          <w:bCs/>
          <w:spacing w:val="-3"/>
          <w:sz w:val="24"/>
          <w:szCs w:val="27"/>
          <w:lang w:val="es-ES_tradnl"/>
        </w:rPr>
        <w:t xml:space="preserve">***** </w:t>
      </w:r>
      <w:r w:rsidR="00383880">
        <w:rPr>
          <w:rFonts w:ascii="Arial" w:hAnsi="Arial" w:cs="Arial"/>
          <w:bCs/>
          <w:spacing w:val="-3"/>
          <w:sz w:val="24"/>
          <w:szCs w:val="27"/>
          <w:lang w:val="es-ES_tradnl"/>
        </w:rPr>
        <w:t xml:space="preserve">fecha </w:t>
      </w:r>
      <w:r w:rsidR="00396776">
        <w:rPr>
          <w:rFonts w:ascii="Arial" w:hAnsi="Arial" w:cs="Arial"/>
          <w:bCs/>
          <w:spacing w:val="-3"/>
          <w:sz w:val="24"/>
          <w:szCs w:val="27"/>
          <w:lang w:val="es-ES_tradnl"/>
        </w:rPr>
        <w:t>*****</w:t>
      </w:r>
      <w:r w:rsidR="00383880">
        <w:rPr>
          <w:rFonts w:ascii="Arial" w:hAnsi="Arial" w:cs="Arial"/>
          <w:bCs/>
          <w:spacing w:val="-3"/>
          <w:sz w:val="24"/>
          <w:szCs w:val="27"/>
          <w:lang w:val="es-ES_tradnl"/>
        </w:rPr>
        <w:t xml:space="preserve"> de </w:t>
      </w:r>
      <w:r w:rsidR="00396776">
        <w:rPr>
          <w:rFonts w:ascii="Arial" w:hAnsi="Arial" w:cs="Arial"/>
          <w:bCs/>
          <w:spacing w:val="-3"/>
          <w:sz w:val="24"/>
          <w:szCs w:val="27"/>
          <w:lang w:val="es-ES_tradnl"/>
        </w:rPr>
        <w:t>*****</w:t>
      </w:r>
      <w:r w:rsidR="00383880">
        <w:rPr>
          <w:rFonts w:ascii="Arial" w:hAnsi="Arial" w:cs="Arial"/>
          <w:bCs/>
          <w:spacing w:val="-3"/>
          <w:sz w:val="24"/>
          <w:szCs w:val="27"/>
          <w:lang w:val="es-ES_tradnl"/>
        </w:rPr>
        <w:t xml:space="preserve"> de dos mil diecisiete</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383880" w:rsidRPr="00383880">
        <w:rPr>
          <w:rFonts w:ascii="Arial" w:eastAsia="Times New Roman" w:hAnsi="Arial" w:cs="Arial"/>
          <w:sz w:val="24"/>
          <w:szCs w:val="27"/>
          <w:lang w:val="es-ES_tradnl" w:eastAsia="es-ES"/>
        </w:rPr>
        <w:t xml:space="preserve">JOSÉ LUIS REYES PEREZ, con número estadístico </w:t>
      </w:r>
      <w:r w:rsidR="00396776">
        <w:rPr>
          <w:rFonts w:ascii="Arial" w:eastAsia="Times New Roman" w:hAnsi="Arial" w:cs="Arial"/>
          <w:sz w:val="24"/>
          <w:szCs w:val="27"/>
          <w:lang w:val="es-ES_tradnl" w:eastAsia="es-ES"/>
        </w:rPr>
        <w:t>*****</w:t>
      </w:r>
      <w:r w:rsidR="00383880" w:rsidRPr="00383880">
        <w:rPr>
          <w:rFonts w:ascii="Arial" w:eastAsia="Times New Roman" w:hAnsi="Arial" w:cs="Arial"/>
          <w:sz w:val="24"/>
          <w:szCs w:val="27"/>
          <w:lang w:val="es-ES_tradnl" w:eastAsia="es-ES"/>
        </w:rPr>
        <w:t>, adscrito</w:t>
      </w:r>
      <w:r w:rsidR="00383880">
        <w:rPr>
          <w:rFonts w:ascii="Arial" w:eastAsia="Times New Roman" w:hAnsi="Arial" w:cs="Arial"/>
          <w:sz w:val="24"/>
          <w:szCs w:val="27"/>
          <w:lang w:val="es-ES_tradnl" w:eastAsia="es-ES"/>
        </w:rPr>
        <w:t xml:space="preserve"> </w:t>
      </w:r>
      <w:r w:rsidR="00234C1C">
        <w:rPr>
          <w:rFonts w:ascii="Arial" w:eastAsia="Times New Roman" w:hAnsi="Arial" w:cs="Arial"/>
          <w:sz w:val="24"/>
          <w:szCs w:val="27"/>
          <w:lang w:val="es-ES_tradnl" w:eastAsia="es-ES"/>
        </w:rPr>
        <w:t>a la Comisaría de Vialidad del Municipio de Oaxaca de Juárez, Oaxaca (ahora Subdirección d</w:t>
      </w:r>
      <w:r w:rsidR="00234C1C" w:rsidRPr="00234C1C">
        <w:rPr>
          <w:rFonts w:ascii="Arial" w:eastAsia="Times New Roman" w:hAnsi="Arial" w:cs="Arial"/>
          <w:sz w:val="24"/>
          <w:szCs w:val="27"/>
          <w:lang w:val="es-ES_tradnl" w:eastAsia="es-ES"/>
        </w:rPr>
        <w:t>e Tránsi</w:t>
      </w:r>
      <w:r w:rsidR="00234C1C">
        <w:rPr>
          <w:rFonts w:ascii="Arial" w:eastAsia="Times New Roman" w:hAnsi="Arial" w:cs="Arial"/>
          <w:sz w:val="24"/>
          <w:szCs w:val="27"/>
          <w:lang w:val="es-ES_tradnl" w:eastAsia="es-ES"/>
        </w:rPr>
        <w:t>to y Movilidad d</w:t>
      </w:r>
      <w:r w:rsidR="00943C3B">
        <w:rPr>
          <w:rFonts w:ascii="Arial" w:eastAsia="Times New Roman" w:hAnsi="Arial" w:cs="Arial"/>
          <w:sz w:val="24"/>
          <w:szCs w:val="27"/>
          <w:lang w:val="es-ES_tradnl" w:eastAsia="es-ES"/>
        </w:rPr>
        <w:t>e la Dirección d</w:t>
      </w:r>
      <w:r w:rsidR="00234C1C" w:rsidRPr="00234C1C">
        <w:rPr>
          <w:rFonts w:ascii="Arial" w:eastAsia="Times New Roman" w:hAnsi="Arial" w:cs="Arial"/>
          <w:sz w:val="24"/>
          <w:szCs w:val="27"/>
          <w:lang w:val="es-ES_tradnl" w:eastAsia="es-ES"/>
        </w:rPr>
        <w:t>e Seguridad Pública, Vi</w:t>
      </w:r>
      <w:r w:rsidR="00473DFF">
        <w:rPr>
          <w:rFonts w:ascii="Arial" w:eastAsia="Times New Roman" w:hAnsi="Arial" w:cs="Arial"/>
          <w:sz w:val="24"/>
          <w:szCs w:val="27"/>
          <w:lang w:val="es-ES_tradnl" w:eastAsia="es-ES"/>
        </w:rPr>
        <w:t>alidad y</w:t>
      </w:r>
      <w:r w:rsidR="00943C3B">
        <w:rPr>
          <w:rFonts w:ascii="Arial" w:eastAsia="Times New Roman" w:hAnsi="Arial" w:cs="Arial"/>
          <w:sz w:val="24"/>
          <w:szCs w:val="27"/>
          <w:lang w:val="es-ES_tradnl" w:eastAsia="es-ES"/>
        </w:rPr>
        <w:t xml:space="preserve"> Protección Ciudadana) del Municipio de Oaxaca d</w:t>
      </w:r>
      <w:r w:rsidR="00234C1C" w:rsidRPr="00234C1C">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234C1C">
        <w:rPr>
          <w:rFonts w:ascii="Arial" w:hAnsi="Arial" w:cs="Arial"/>
          <w:bCs/>
          <w:snapToGrid w:val="0"/>
          <w:sz w:val="24"/>
          <w:szCs w:val="27"/>
        </w:rPr>
        <w:t xml:space="preserve">como lo es </w:t>
      </w:r>
      <w:r w:rsidR="006F0524" w:rsidRPr="006F0524">
        <w:rPr>
          <w:rFonts w:ascii="Arial" w:hAnsi="Arial" w:cs="Arial"/>
          <w:bCs/>
          <w:snapToGrid w:val="0"/>
          <w:sz w:val="24"/>
          <w:szCs w:val="27"/>
        </w:rPr>
        <w:t xml:space="preserve">el pago de la multa, luego entonces, resulta lógico que igualmente las </w:t>
      </w:r>
      <w:r w:rsidR="006F0524" w:rsidRPr="006F0524">
        <w:rPr>
          <w:rFonts w:ascii="Arial" w:hAnsi="Arial" w:cs="Arial"/>
          <w:bCs/>
          <w:snapToGrid w:val="0"/>
          <w:sz w:val="24"/>
          <w:szCs w:val="27"/>
        </w:rPr>
        <w:lastRenderedPageBreak/>
        <w:t>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5C3645">
        <w:rPr>
          <w:rFonts w:ascii="Arial" w:hAnsi="Arial" w:cs="Arial"/>
          <w:bCs/>
          <w:snapToGrid w:val="0"/>
          <w:sz w:val="24"/>
          <w:szCs w:val="27"/>
          <w:u w:val="single"/>
        </w:rPr>
        <w:t>845</w:t>
      </w:r>
      <w:r w:rsidR="00492932" w:rsidRPr="004530CE">
        <w:rPr>
          <w:rFonts w:ascii="Arial" w:hAnsi="Arial" w:cs="Arial"/>
          <w:bCs/>
          <w:snapToGrid w:val="0"/>
          <w:sz w:val="24"/>
          <w:szCs w:val="27"/>
          <w:u w:val="single"/>
        </w:rPr>
        <w:t>.00 (</w:t>
      </w:r>
      <w:r w:rsidR="005C3645">
        <w:rPr>
          <w:rFonts w:ascii="Arial" w:hAnsi="Arial" w:cs="Arial"/>
          <w:bCs/>
          <w:snapToGrid w:val="0"/>
          <w:sz w:val="24"/>
          <w:szCs w:val="27"/>
          <w:u w:val="single"/>
        </w:rPr>
        <w:t>ochocientos cuarenta y cinco</w:t>
      </w:r>
      <w:r w:rsidR="00492932" w:rsidRPr="004530CE">
        <w:rPr>
          <w:rFonts w:ascii="Arial" w:hAnsi="Arial" w:cs="Arial"/>
          <w:bCs/>
          <w:snapToGrid w:val="0"/>
          <w:sz w:val="24"/>
          <w:szCs w:val="27"/>
          <w:u w:val="single"/>
        </w:rPr>
        <w:t xml:space="preserve"> pesos 00/100 moneda nacional) que ampara el recibo</w:t>
      </w:r>
      <w:r w:rsidR="00296A0F">
        <w:rPr>
          <w:rFonts w:ascii="Arial" w:hAnsi="Arial" w:cs="Arial"/>
          <w:bCs/>
          <w:snapToGrid w:val="0"/>
          <w:sz w:val="24"/>
          <w:szCs w:val="27"/>
          <w:u w:val="single"/>
        </w:rPr>
        <w:t xml:space="preserve"> </w:t>
      </w:r>
      <w:r w:rsidR="00702E5A">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 </w:t>
      </w:r>
      <w:r w:rsidR="00E3435A">
        <w:rPr>
          <w:rFonts w:ascii="Arial" w:hAnsi="Arial" w:cs="Arial"/>
          <w:bCs/>
          <w:snapToGrid w:val="0"/>
          <w:sz w:val="24"/>
          <w:szCs w:val="27"/>
          <w:u w:val="single"/>
        </w:rPr>
        <w:t xml:space="preserve">******** </w:t>
      </w:r>
      <w:r w:rsidR="00D27215" w:rsidRPr="00D27215">
        <w:rPr>
          <w:rFonts w:ascii="Arial" w:hAnsi="Arial" w:cs="Arial"/>
          <w:bCs/>
          <w:snapToGrid w:val="0"/>
          <w:sz w:val="24"/>
          <w:szCs w:val="27"/>
          <w:u w:val="single"/>
        </w:rPr>
        <w:t xml:space="preserve">de fecha </w:t>
      </w:r>
      <w:r w:rsidR="00E3435A">
        <w:rPr>
          <w:rFonts w:ascii="Arial" w:hAnsi="Arial" w:cs="Arial"/>
          <w:bCs/>
          <w:snapToGrid w:val="0"/>
          <w:sz w:val="24"/>
          <w:szCs w:val="27"/>
          <w:u w:val="single"/>
        </w:rPr>
        <w:t>******</w:t>
      </w:r>
      <w:r w:rsidR="00662BCA">
        <w:rPr>
          <w:rFonts w:ascii="Arial" w:hAnsi="Arial" w:cs="Arial"/>
          <w:bCs/>
          <w:snapToGrid w:val="0"/>
          <w:sz w:val="24"/>
          <w:szCs w:val="27"/>
          <w:u w:val="single"/>
        </w:rPr>
        <w:t xml:space="preserve"> de </w:t>
      </w:r>
      <w:r w:rsidR="00E3435A">
        <w:rPr>
          <w:rFonts w:ascii="Arial" w:hAnsi="Arial" w:cs="Arial"/>
          <w:bCs/>
          <w:snapToGrid w:val="0"/>
          <w:sz w:val="24"/>
          <w:szCs w:val="27"/>
          <w:u w:val="single"/>
        </w:rPr>
        <w:t>*****</w:t>
      </w:r>
      <w:r w:rsidR="00D27215" w:rsidRPr="00D27215">
        <w:rPr>
          <w:rFonts w:ascii="Arial" w:hAnsi="Arial" w:cs="Arial"/>
          <w:bCs/>
          <w:snapToGrid w:val="0"/>
          <w:sz w:val="24"/>
          <w:szCs w:val="27"/>
          <w:u w:val="single"/>
        </w:rPr>
        <w:t xml:space="preserve"> de dos mil diecisiete</w:t>
      </w:r>
      <w:r w:rsidR="00662BCA">
        <w:rPr>
          <w:rFonts w:ascii="Arial" w:hAnsi="Arial" w:cs="Arial"/>
          <w:bCs/>
          <w:snapToGrid w:val="0"/>
          <w:sz w:val="24"/>
          <w:szCs w:val="27"/>
          <w:u w:val="single"/>
        </w:rPr>
        <w:t>, (foja 8</w:t>
      </w:r>
      <w:r w:rsidR="00492932" w:rsidRPr="004530CE">
        <w:rPr>
          <w:rFonts w:ascii="Arial" w:hAnsi="Arial" w:cs="Arial"/>
          <w:bCs/>
          <w:snapToGrid w:val="0"/>
          <w:sz w:val="24"/>
          <w:szCs w:val="27"/>
          <w:u w:val="single"/>
        </w:rPr>
        <w:t>), documental que adquiere valor probatorio p</w:t>
      </w:r>
      <w:r w:rsidR="002E680D">
        <w:rPr>
          <w:rFonts w:ascii="Arial" w:hAnsi="Arial" w:cs="Arial"/>
          <w:bCs/>
          <w:snapToGrid w:val="0"/>
          <w:sz w:val="24"/>
          <w:szCs w:val="27"/>
          <w:u w:val="single"/>
        </w:rPr>
        <w:t>leno en términos del artículo 17</w:t>
      </w:r>
      <w:r w:rsidR="00492932" w:rsidRPr="004530CE">
        <w:rPr>
          <w:rFonts w:ascii="Arial" w:hAnsi="Arial" w:cs="Arial"/>
          <w:bCs/>
          <w:snapToGrid w:val="0"/>
          <w:sz w:val="24"/>
          <w:szCs w:val="27"/>
          <w:u w:val="single"/>
        </w:rPr>
        <w:t>3 fracción I de la Ley de Justicia Administrativa para el Estado de Oaxaca, indebidamente pagada</w:t>
      </w:r>
      <w:r w:rsidR="00492932">
        <w:rPr>
          <w:rFonts w:ascii="Arial" w:hAnsi="Arial" w:cs="Arial"/>
          <w:bCs/>
          <w:snapToGrid w:val="0"/>
          <w:sz w:val="24"/>
          <w:szCs w:val="27"/>
        </w:rPr>
        <w:t>.</w:t>
      </w:r>
    </w:p>
    <w:p w14:paraId="72874FF7" w14:textId="56D470B5"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 xml:space="preserve">Por lo anteriormente expuesto, fundado y motivado, en términos de los artículos </w:t>
      </w:r>
      <w:r w:rsidR="00864030" w:rsidRPr="00492932">
        <w:rPr>
          <w:rFonts w:ascii="Arial" w:hAnsi="Arial" w:cs="Arial"/>
          <w:bCs/>
          <w:snapToGrid w:val="0"/>
          <w:sz w:val="24"/>
          <w:szCs w:val="27"/>
        </w:rPr>
        <w:t>177, 178 fracciones I, II, III y VI y 179 de la Ley de Justicia Administrativa para el Estado de Oaxaca</w:t>
      </w:r>
      <w:r w:rsidR="00414AF5" w:rsidRPr="00414AF5">
        <w:rPr>
          <w:rFonts w:ascii="Arial" w:hAnsi="Arial" w:cs="Arial"/>
          <w:bCs/>
          <w:snapToGrid w:val="0"/>
          <w:sz w:val="24"/>
          <w:szCs w:val="27"/>
        </w:rPr>
        <w:t>,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649DC44F" w:rsidR="003E0CBC" w:rsidRPr="009C0C09" w:rsidRDefault="00E3435A"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003E0CBC" w:rsidRPr="009C0C09">
        <w:rPr>
          <w:rFonts w:ascii="Arial" w:eastAsia="Times New Roman" w:hAnsi="Arial" w:cs="Arial"/>
          <w:sz w:val="24"/>
          <w:szCs w:val="27"/>
          <w:lang w:val="es-ES" w:eastAsia="es-ES"/>
        </w:rPr>
        <w:t xml:space="preserve">Esta </w:t>
      </w:r>
      <w:r w:rsidR="003E0CBC">
        <w:rPr>
          <w:rFonts w:ascii="Arial" w:eastAsia="Times New Roman" w:hAnsi="Arial" w:cs="Arial"/>
          <w:sz w:val="24"/>
          <w:szCs w:val="27"/>
          <w:lang w:val="es-ES" w:eastAsia="es-ES"/>
        </w:rPr>
        <w:t xml:space="preserve">Segunda </w:t>
      </w:r>
      <w:r w:rsidR="003E0CBC" w:rsidRPr="009C0C09">
        <w:rPr>
          <w:rFonts w:ascii="Arial" w:eastAsia="Times New Roman" w:hAnsi="Arial" w:cs="Arial"/>
          <w:sz w:val="24"/>
          <w:szCs w:val="27"/>
          <w:lang w:val="es-ES" w:eastAsia="es-ES"/>
        </w:rPr>
        <w:t>Sala</w:t>
      </w:r>
      <w:r w:rsidR="003E0CBC" w:rsidRPr="009C0C09">
        <w:rPr>
          <w:rFonts w:ascii="Arial" w:eastAsia="Times New Roman" w:hAnsi="Arial" w:cs="Arial"/>
          <w:sz w:val="24"/>
          <w:szCs w:val="27"/>
          <w:lang w:eastAsia="es-ES"/>
        </w:rPr>
        <w:t xml:space="preserve"> Unitaria </w:t>
      </w:r>
      <w:r w:rsidR="003E0CBC"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003E0CBC"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56C13A0E"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E3435A">
        <w:rPr>
          <w:rFonts w:cs="Arial"/>
          <w:b w:val="0"/>
          <w:i w:val="0"/>
          <w:szCs w:val="27"/>
        </w:rPr>
        <w:t xml:space="preserve">****** </w:t>
      </w:r>
      <w:r w:rsidR="00476999" w:rsidRPr="00476999">
        <w:rPr>
          <w:rFonts w:cs="Arial"/>
          <w:b w:val="0"/>
          <w:i w:val="0"/>
          <w:szCs w:val="27"/>
        </w:rPr>
        <w:t xml:space="preserve">fecha </w:t>
      </w:r>
      <w:r w:rsidR="00E3435A">
        <w:rPr>
          <w:rFonts w:cs="Arial"/>
          <w:b w:val="0"/>
          <w:i w:val="0"/>
          <w:szCs w:val="27"/>
        </w:rPr>
        <w:t>*****</w:t>
      </w:r>
      <w:r w:rsidR="00476999" w:rsidRPr="00476999">
        <w:rPr>
          <w:rFonts w:cs="Arial"/>
          <w:b w:val="0"/>
          <w:i w:val="0"/>
          <w:szCs w:val="27"/>
        </w:rPr>
        <w:t xml:space="preserve"> de </w:t>
      </w:r>
      <w:r w:rsidR="00E3435A">
        <w:rPr>
          <w:rFonts w:cs="Arial"/>
          <w:b w:val="0"/>
          <w:i w:val="0"/>
          <w:szCs w:val="27"/>
        </w:rPr>
        <w:t>*****</w:t>
      </w:r>
      <w:r w:rsidR="00476999" w:rsidRPr="00476999">
        <w:rPr>
          <w:rFonts w:cs="Arial"/>
          <w:b w:val="0"/>
          <w:i w:val="0"/>
          <w:szCs w:val="27"/>
        </w:rPr>
        <w:t xml:space="preserve"> de dos mil diecisiete, emitida por JOSÉ LUIS REYES PEREZ, con número estadístico </w:t>
      </w:r>
      <w:r w:rsidR="00E3435A">
        <w:rPr>
          <w:rFonts w:cs="Arial"/>
          <w:b w:val="0"/>
          <w:i w:val="0"/>
          <w:szCs w:val="27"/>
        </w:rPr>
        <w:t>***</w:t>
      </w:r>
      <w:r w:rsidR="00476999" w:rsidRPr="00476999">
        <w:rPr>
          <w:rFonts w:cs="Arial"/>
          <w:b w:val="0"/>
          <w:i w:val="0"/>
          <w:szCs w:val="27"/>
        </w:rPr>
        <w:t xml:space="preserve">, adscrito a la Comisaría de Vialidad del Municipio de Oaxaca de Juárez, Oaxaca (ahora Subdirección de Tránsito y Movilidad de la Dirección de Seguridad Pública, Vialidad y Protección Ciudadana) del Municipio de Oaxaca de Juárez, Oaxaca, en consecuencia, y bajo el aforismo jurídico que reza: </w:t>
      </w:r>
      <w:r w:rsidR="00476999" w:rsidRPr="00476999">
        <w:rPr>
          <w:rFonts w:cs="Arial"/>
          <w:b w:val="0"/>
          <w:szCs w:val="27"/>
        </w:rPr>
        <w:t>“lo accesorio sigue la suerte de lo principal”</w:t>
      </w:r>
      <w:r w:rsidR="00476999" w:rsidRPr="00476999">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476999" w:rsidRPr="00476999">
        <w:rPr>
          <w:rFonts w:cs="Arial"/>
          <w:b w:val="0"/>
          <w:i w:val="0"/>
          <w:szCs w:val="27"/>
          <w:u w:val="single"/>
        </w:rPr>
        <w:t xml:space="preserve">se ordena a esa autoridad demandada para que a través de sí misma o de quien sea legalmente competente, realice la baja de la citada acta de infracción del sistema </w:t>
      </w:r>
      <w:r w:rsidR="00476999" w:rsidRPr="00476999">
        <w:rPr>
          <w:rFonts w:cs="Arial"/>
          <w:b w:val="0"/>
          <w:i w:val="0"/>
          <w:szCs w:val="27"/>
          <w:u w:val="single"/>
        </w:rPr>
        <w:lastRenderedPageBreak/>
        <w:t xml:space="preserve">electrónico y/o documental que para tal efecto lleve esa autoridad, de igual forma, al ser producto de un acto viciado, se ordena la devolución la cantidad de $845.00 (ochocientos cuarenta y cinco pesos 00/100 moneda nacional) que ampara el recibo de pago con número de folio </w:t>
      </w:r>
      <w:r w:rsidR="0077439F">
        <w:rPr>
          <w:rFonts w:cs="Arial"/>
          <w:b w:val="0"/>
          <w:i w:val="0"/>
          <w:szCs w:val="27"/>
          <w:u w:val="single"/>
        </w:rPr>
        <w:t xml:space="preserve">****** </w:t>
      </w:r>
      <w:r w:rsidR="00476999" w:rsidRPr="00476999">
        <w:rPr>
          <w:rFonts w:cs="Arial"/>
          <w:b w:val="0"/>
          <w:i w:val="0"/>
          <w:szCs w:val="27"/>
          <w:u w:val="single"/>
        </w:rPr>
        <w:t xml:space="preserve">de fecha </w:t>
      </w:r>
      <w:r w:rsidR="0077439F">
        <w:rPr>
          <w:rFonts w:cs="Arial"/>
          <w:b w:val="0"/>
          <w:i w:val="0"/>
          <w:szCs w:val="27"/>
          <w:u w:val="single"/>
        </w:rPr>
        <w:t>*****</w:t>
      </w:r>
      <w:r w:rsidR="00476999" w:rsidRPr="00476999">
        <w:rPr>
          <w:rFonts w:cs="Arial"/>
          <w:b w:val="0"/>
          <w:i w:val="0"/>
          <w:szCs w:val="27"/>
          <w:u w:val="single"/>
        </w:rPr>
        <w:t xml:space="preserve"> de </w:t>
      </w:r>
      <w:r w:rsidR="0077439F">
        <w:rPr>
          <w:rFonts w:cs="Arial"/>
          <w:b w:val="0"/>
          <w:i w:val="0"/>
          <w:szCs w:val="27"/>
          <w:u w:val="single"/>
        </w:rPr>
        <w:t>*****</w:t>
      </w:r>
      <w:r w:rsidR="00476999" w:rsidRPr="00476999">
        <w:rPr>
          <w:rFonts w:cs="Arial"/>
          <w:b w:val="0"/>
          <w:i w:val="0"/>
          <w:szCs w:val="27"/>
          <w:u w:val="single"/>
        </w:rPr>
        <w:t xml:space="preserve"> de dos mil diecisiete</w:t>
      </w:r>
      <w:r w:rsidR="00702E5A" w:rsidRPr="00702E5A">
        <w:rPr>
          <w:rFonts w:cs="Arial"/>
          <w:b w:val="0"/>
          <w:i w:val="0"/>
          <w:szCs w:val="27"/>
          <w:u w:val="single"/>
        </w:rPr>
        <w:t>, 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A9459C">
      <w:headerReference w:type="even" r:id="rId8"/>
      <w:headerReference w:type="default" r:id="rId9"/>
      <w:footerReference w:type="default" r:id="rId10"/>
      <w:headerReference w:type="first" r:id="rId11"/>
      <w:pgSz w:w="12240" w:h="20160" w:code="5"/>
      <w:pgMar w:top="166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768F4" w14:textId="77777777" w:rsidR="00CD3BF2" w:rsidRDefault="00CD3BF2" w:rsidP="00604752">
      <w:pPr>
        <w:spacing w:after="0" w:line="240" w:lineRule="auto"/>
      </w:pPr>
      <w:r>
        <w:separator/>
      </w:r>
    </w:p>
  </w:endnote>
  <w:endnote w:type="continuationSeparator" w:id="0">
    <w:p w14:paraId="2B4E124D" w14:textId="77777777" w:rsidR="00CD3BF2" w:rsidRDefault="00CD3BF2"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811004"/>
      <w:docPartObj>
        <w:docPartGallery w:val="Page Numbers (Bottom of Page)"/>
        <w:docPartUnique/>
      </w:docPartObj>
    </w:sdtPr>
    <w:sdtEndPr>
      <w:rPr>
        <w:rFonts w:ascii="Arial" w:hAnsi="Arial" w:cs="Arial"/>
        <w:sz w:val="24"/>
        <w:szCs w:val="24"/>
      </w:rPr>
    </w:sdtEndPr>
    <w:sdtContent>
      <w:p w14:paraId="71EF2787" w14:textId="6934381B" w:rsidR="0076338B" w:rsidRPr="00604752" w:rsidRDefault="00A9459C">
        <w:pPr>
          <w:pStyle w:val="Piedepgina"/>
          <w:jc w:val="center"/>
          <w:rPr>
            <w:rFonts w:ascii="Arial" w:hAnsi="Arial" w:cs="Arial"/>
            <w:sz w:val="24"/>
            <w:szCs w:val="24"/>
          </w:rPr>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59FC850C" wp14:editId="67DB6C2F">
                  <wp:simplePos x="0" y="0"/>
                  <wp:positionH relativeFrom="leftMargin">
                    <wp:align>right</wp:align>
                  </wp:positionH>
                  <wp:positionV relativeFrom="paragraph">
                    <wp:posOffset>-4049395</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7274884" w14:textId="77777777" w:rsidR="00A9459C" w:rsidRPr="003B6E97" w:rsidRDefault="00A9459C" w:rsidP="00A9459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FC850C" id="_x0000_t202" coordsize="21600,21600" o:spt="202" path="m,l,21600r21600,l21600,xe">
                  <v:stroke joinstyle="miter"/>
                  <v:path gradientshapeok="t" o:connecttype="rect"/>
                </v:shapetype>
                <v:shape id="Cuadro de texto 2" o:spid="_x0000_s1027" type="#_x0000_t202" style="position:absolute;left:0;text-align:left;margin-left:41.8pt;margin-top:-318.85pt;width:93pt;height:125.25pt;z-index:-25164083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">
                  <v:textbox>
                    <w:txbxContent>
                      <w:p w14:paraId="17274884" w14:textId="77777777" w:rsidR="00A9459C" w:rsidRPr="003B6E97" w:rsidRDefault="00A9459C" w:rsidP="00A9459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1E5348" w:rsidRPr="001E5348">
          <w:rPr>
            <w:rFonts w:ascii="Arial" w:hAnsi="Arial" w:cs="Arial"/>
            <w:noProof/>
            <w:sz w:val="24"/>
            <w:szCs w:val="24"/>
            <w:lang w:val="es-ES"/>
          </w:rPr>
          <w:t>2</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5F31D" w14:textId="77777777" w:rsidR="00CD3BF2" w:rsidRDefault="00CD3BF2" w:rsidP="00604752">
      <w:pPr>
        <w:spacing w:after="0" w:line="240" w:lineRule="auto"/>
      </w:pPr>
      <w:r>
        <w:separator/>
      </w:r>
    </w:p>
  </w:footnote>
  <w:footnote w:type="continuationSeparator" w:id="0">
    <w:p w14:paraId="205FE3F3" w14:textId="77777777" w:rsidR="00CD3BF2" w:rsidRDefault="00CD3BF2"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2E484" w14:textId="788DBDC4" w:rsidR="00A9459C" w:rsidRDefault="00A9459C">
    <w:pPr>
      <w:pStyle w:val="Encabezado"/>
    </w:pPr>
    <w:r>
      <w:rPr>
        <w:rFonts w:ascii="Bookman Old Style" w:hAnsi="Bookman Old Style"/>
        <w:noProof/>
        <w:lang w:eastAsia="es-MX"/>
      </w:rPr>
      <mc:AlternateContent>
        <mc:Choice Requires="wps">
          <w:drawing>
            <wp:anchor distT="45720" distB="45720" distL="114300" distR="114300" simplePos="0" relativeHeight="251677696" behindDoc="1" locked="0" layoutInCell="1" allowOverlap="1" wp14:anchorId="70B60E06" wp14:editId="33351629">
              <wp:simplePos x="0" y="0"/>
              <wp:positionH relativeFrom="rightMargin">
                <wp:align>left</wp:align>
              </wp:positionH>
              <wp:positionV relativeFrom="paragraph">
                <wp:posOffset>4940935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4E5078" w14:textId="77777777" w:rsidR="00A9459C" w:rsidRPr="003B6E97" w:rsidRDefault="00A9459C" w:rsidP="00A9459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B60E06" id="_x0000_t202" coordsize="21600,21600" o:spt="202" path="m,l,21600r21600,l21600,xe">
              <v:stroke joinstyle="miter"/>
              <v:path gradientshapeok="t" o:connecttype="rect"/>
            </v:shapetype>
            <v:shape id="Cuadro de texto 3" o:spid="_x0000_s1026" type="#_x0000_t202" style="position:absolute;margin-left:0;margin-top:389.05pt;width:93pt;height:125.25pt;z-index:-251638784;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">
              <v:textbox>
                <w:txbxContent>
                  <w:p w14:paraId="064E5078" w14:textId="77777777" w:rsidR="00A9459C" w:rsidRPr="003B6E97" w:rsidRDefault="00A9459C" w:rsidP="00A9459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DB9BA7D"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7FD2963C">
          <wp:simplePos x="0" y="0"/>
          <wp:positionH relativeFrom="page">
            <wp:align>right</wp:align>
          </wp:positionH>
          <wp:positionV relativeFrom="paragraph">
            <wp:posOffset>4161790</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C8D8AD8" w:rsidR="0076338B" w:rsidRDefault="007A6000">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72005F40" wp14:editId="769BF740">
              <wp:simplePos x="0" y="0"/>
              <wp:positionH relativeFrom="leftMargin">
                <wp:posOffset>0</wp:posOffset>
              </wp:positionH>
              <wp:positionV relativeFrom="paragraph">
                <wp:posOffset>4150360</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A23A8CE" w14:textId="77777777" w:rsidR="007A6000" w:rsidRPr="003B6E97" w:rsidRDefault="007A6000" w:rsidP="007A600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005F40" id="_x0000_t202" coordsize="21600,21600" o:spt="202" path="m,l,21600r21600,l21600,xe">
              <v:stroke joinstyle="miter"/>
              <v:path gradientshapeok="t" o:connecttype="rect"/>
            </v:shapetype>
            <v:shape id="Cuadro de texto 1" o:spid="_x0000_s1028" type="#_x0000_t202" style="position:absolute;margin-left:0;margin-top:326.8pt;width:93pt;height:125.2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">
              <v:textbox>
                <w:txbxContent>
                  <w:p w14:paraId="0A23A8CE" w14:textId="77777777" w:rsidR="007A6000" w:rsidRPr="003B6E97" w:rsidRDefault="007A6000" w:rsidP="007A600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35344A">
      <w:rPr>
        <w:noProof/>
        <w:lang w:val="es-ES" w:eastAsia="es-ES"/>
      </w:rPr>
      <w:drawing>
        <wp:anchor distT="0" distB="0" distL="114300" distR="114300" simplePos="0" relativeHeight="251669504" behindDoc="1" locked="0" layoutInCell="1" allowOverlap="1" wp14:anchorId="4BF55A26" wp14:editId="1BF1904C">
          <wp:simplePos x="0" y="0"/>
          <wp:positionH relativeFrom="page">
            <wp:align>left</wp:align>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B1C"/>
    <w:rsid w:val="00007750"/>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076"/>
    <w:rsid w:val="00045E11"/>
    <w:rsid w:val="00051177"/>
    <w:rsid w:val="0005415A"/>
    <w:rsid w:val="000662B7"/>
    <w:rsid w:val="000751F0"/>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0F29B5"/>
    <w:rsid w:val="001009AB"/>
    <w:rsid w:val="00102315"/>
    <w:rsid w:val="0010589C"/>
    <w:rsid w:val="0011165E"/>
    <w:rsid w:val="00115274"/>
    <w:rsid w:val="00122613"/>
    <w:rsid w:val="00123573"/>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556"/>
    <w:rsid w:val="001A1FE9"/>
    <w:rsid w:val="001A2788"/>
    <w:rsid w:val="001B0663"/>
    <w:rsid w:val="001B5DC7"/>
    <w:rsid w:val="001B77BA"/>
    <w:rsid w:val="001C0421"/>
    <w:rsid w:val="001C0F76"/>
    <w:rsid w:val="001C3689"/>
    <w:rsid w:val="001C505A"/>
    <w:rsid w:val="001C6514"/>
    <w:rsid w:val="001D267C"/>
    <w:rsid w:val="001E1A1B"/>
    <w:rsid w:val="001E49C1"/>
    <w:rsid w:val="001E4A0B"/>
    <w:rsid w:val="001E5348"/>
    <w:rsid w:val="001F2FF9"/>
    <w:rsid w:val="001F72DA"/>
    <w:rsid w:val="00203B91"/>
    <w:rsid w:val="0020764C"/>
    <w:rsid w:val="002175BF"/>
    <w:rsid w:val="002257D3"/>
    <w:rsid w:val="00226128"/>
    <w:rsid w:val="00230E4C"/>
    <w:rsid w:val="002318D5"/>
    <w:rsid w:val="00234C1C"/>
    <w:rsid w:val="002419CF"/>
    <w:rsid w:val="00243AC1"/>
    <w:rsid w:val="00245075"/>
    <w:rsid w:val="00251577"/>
    <w:rsid w:val="002524BD"/>
    <w:rsid w:val="00252E0F"/>
    <w:rsid w:val="00260F3F"/>
    <w:rsid w:val="00264C5A"/>
    <w:rsid w:val="00265704"/>
    <w:rsid w:val="00267C69"/>
    <w:rsid w:val="0027164D"/>
    <w:rsid w:val="002747AF"/>
    <w:rsid w:val="0027572E"/>
    <w:rsid w:val="0027767F"/>
    <w:rsid w:val="0028475A"/>
    <w:rsid w:val="002856D6"/>
    <w:rsid w:val="002914F2"/>
    <w:rsid w:val="00292144"/>
    <w:rsid w:val="00295133"/>
    <w:rsid w:val="00296A0F"/>
    <w:rsid w:val="002A6281"/>
    <w:rsid w:val="002A7FE6"/>
    <w:rsid w:val="002B029B"/>
    <w:rsid w:val="002B245A"/>
    <w:rsid w:val="002B2C0E"/>
    <w:rsid w:val="002B52BC"/>
    <w:rsid w:val="002C0FD7"/>
    <w:rsid w:val="002C501F"/>
    <w:rsid w:val="002C77CA"/>
    <w:rsid w:val="002D0236"/>
    <w:rsid w:val="002D696F"/>
    <w:rsid w:val="002D794E"/>
    <w:rsid w:val="002E0F64"/>
    <w:rsid w:val="002E680D"/>
    <w:rsid w:val="002F08AA"/>
    <w:rsid w:val="002F2F88"/>
    <w:rsid w:val="002F5CEA"/>
    <w:rsid w:val="002F62ED"/>
    <w:rsid w:val="002F71C8"/>
    <w:rsid w:val="00301470"/>
    <w:rsid w:val="003039BE"/>
    <w:rsid w:val="00304F2A"/>
    <w:rsid w:val="003057ED"/>
    <w:rsid w:val="003119B9"/>
    <w:rsid w:val="00314C35"/>
    <w:rsid w:val="003173F3"/>
    <w:rsid w:val="00327322"/>
    <w:rsid w:val="00327ABE"/>
    <w:rsid w:val="00330516"/>
    <w:rsid w:val="00331255"/>
    <w:rsid w:val="00331332"/>
    <w:rsid w:val="003337E5"/>
    <w:rsid w:val="00346EA0"/>
    <w:rsid w:val="00350413"/>
    <w:rsid w:val="00351EF2"/>
    <w:rsid w:val="00352A96"/>
    <w:rsid w:val="0035344A"/>
    <w:rsid w:val="0035374B"/>
    <w:rsid w:val="00354B88"/>
    <w:rsid w:val="003569E3"/>
    <w:rsid w:val="00363EFF"/>
    <w:rsid w:val="00365046"/>
    <w:rsid w:val="00370E42"/>
    <w:rsid w:val="00371394"/>
    <w:rsid w:val="00371465"/>
    <w:rsid w:val="00375C9A"/>
    <w:rsid w:val="00383880"/>
    <w:rsid w:val="00383B6C"/>
    <w:rsid w:val="00387905"/>
    <w:rsid w:val="00387930"/>
    <w:rsid w:val="00387B42"/>
    <w:rsid w:val="003905EF"/>
    <w:rsid w:val="00396776"/>
    <w:rsid w:val="00397D65"/>
    <w:rsid w:val="003A4498"/>
    <w:rsid w:val="003B31BA"/>
    <w:rsid w:val="003C1032"/>
    <w:rsid w:val="003C27E4"/>
    <w:rsid w:val="003C37D1"/>
    <w:rsid w:val="003C3CAD"/>
    <w:rsid w:val="003C7C99"/>
    <w:rsid w:val="003D6C41"/>
    <w:rsid w:val="003E0CBC"/>
    <w:rsid w:val="003E3CFA"/>
    <w:rsid w:val="003E65D9"/>
    <w:rsid w:val="003E727C"/>
    <w:rsid w:val="003F2E0D"/>
    <w:rsid w:val="00400798"/>
    <w:rsid w:val="00400A6F"/>
    <w:rsid w:val="004018A4"/>
    <w:rsid w:val="0040395C"/>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2D8F"/>
    <w:rsid w:val="004530CE"/>
    <w:rsid w:val="00453CB0"/>
    <w:rsid w:val="00460CAD"/>
    <w:rsid w:val="00464066"/>
    <w:rsid w:val="004660BC"/>
    <w:rsid w:val="00471718"/>
    <w:rsid w:val="00471CEB"/>
    <w:rsid w:val="004723BF"/>
    <w:rsid w:val="00473DFF"/>
    <w:rsid w:val="00476999"/>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0652A"/>
    <w:rsid w:val="005117EA"/>
    <w:rsid w:val="00511877"/>
    <w:rsid w:val="005202AA"/>
    <w:rsid w:val="0052192C"/>
    <w:rsid w:val="00522225"/>
    <w:rsid w:val="00524C59"/>
    <w:rsid w:val="005277D3"/>
    <w:rsid w:val="00533365"/>
    <w:rsid w:val="0053425C"/>
    <w:rsid w:val="005359BA"/>
    <w:rsid w:val="005428ED"/>
    <w:rsid w:val="00551613"/>
    <w:rsid w:val="00554D73"/>
    <w:rsid w:val="00555D1C"/>
    <w:rsid w:val="0055642D"/>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C329C"/>
    <w:rsid w:val="005C3645"/>
    <w:rsid w:val="005C3D34"/>
    <w:rsid w:val="005D28D8"/>
    <w:rsid w:val="005D3B58"/>
    <w:rsid w:val="005F5334"/>
    <w:rsid w:val="005F6C33"/>
    <w:rsid w:val="00600AF3"/>
    <w:rsid w:val="00604752"/>
    <w:rsid w:val="00605164"/>
    <w:rsid w:val="0060559C"/>
    <w:rsid w:val="00620928"/>
    <w:rsid w:val="00620938"/>
    <w:rsid w:val="00625ECE"/>
    <w:rsid w:val="00633E37"/>
    <w:rsid w:val="00641215"/>
    <w:rsid w:val="00641CD0"/>
    <w:rsid w:val="00642D22"/>
    <w:rsid w:val="00642DF7"/>
    <w:rsid w:val="00652DF2"/>
    <w:rsid w:val="00653CF6"/>
    <w:rsid w:val="00655705"/>
    <w:rsid w:val="0066005E"/>
    <w:rsid w:val="00662BCA"/>
    <w:rsid w:val="006649DB"/>
    <w:rsid w:val="00670A60"/>
    <w:rsid w:val="00683324"/>
    <w:rsid w:val="0069002D"/>
    <w:rsid w:val="006908BC"/>
    <w:rsid w:val="00694F98"/>
    <w:rsid w:val="00696743"/>
    <w:rsid w:val="006A54B9"/>
    <w:rsid w:val="006A6139"/>
    <w:rsid w:val="006B091C"/>
    <w:rsid w:val="006B2272"/>
    <w:rsid w:val="006B6EE7"/>
    <w:rsid w:val="006B7E96"/>
    <w:rsid w:val="006C66B7"/>
    <w:rsid w:val="006D29F5"/>
    <w:rsid w:val="006D5469"/>
    <w:rsid w:val="006D6D6B"/>
    <w:rsid w:val="006E71B3"/>
    <w:rsid w:val="006F0524"/>
    <w:rsid w:val="006F3FD9"/>
    <w:rsid w:val="00700A6E"/>
    <w:rsid w:val="00701933"/>
    <w:rsid w:val="00702E5A"/>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2B18"/>
    <w:rsid w:val="00763032"/>
    <w:rsid w:val="0076338B"/>
    <w:rsid w:val="00765C49"/>
    <w:rsid w:val="0077439F"/>
    <w:rsid w:val="00775EA3"/>
    <w:rsid w:val="00783959"/>
    <w:rsid w:val="00785B67"/>
    <w:rsid w:val="007866EA"/>
    <w:rsid w:val="00787341"/>
    <w:rsid w:val="00787795"/>
    <w:rsid w:val="007917DD"/>
    <w:rsid w:val="00793DA7"/>
    <w:rsid w:val="007960F5"/>
    <w:rsid w:val="007A00A9"/>
    <w:rsid w:val="007A14F2"/>
    <w:rsid w:val="007A6000"/>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0AAD"/>
    <w:rsid w:val="00801C91"/>
    <w:rsid w:val="00804B71"/>
    <w:rsid w:val="008067B1"/>
    <w:rsid w:val="00806EAC"/>
    <w:rsid w:val="008072E7"/>
    <w:rsid w:val="00807E34"/>
    <w:rsid w:val="00817A5C"/>
    <w:rsid w:val="00820DC4"/>
    <w:rsid w:val="0082290F"/>
    <w:rsid w:val="00823360"/>
    <w:rsid w:val="00830200"/>
    <w:rsid w:val="0083186B"/>
    <w:rsid w:val="00832B4F"/>
    <w:rsid w:val="00835131"/>
    <w:rsid w:val="0083752C"/>
    <w:rsid w:val="00841C27"/>
    <w:rsid w:val="00855326"/>
    <w:rsid w:val="00856627"/>
    <w:rsid w:val="00856D6D"/>
    <w:rsid w:val="008575A7"/>
    <w:rsid w:val="00860900"/>
    <w:rsid w:val="00860D40"/>
    <w:rsid w:val="00864030"/>
    <w:rsid w:val="0088039F"/>
    <w:rsid w:val="0088558F"/>
    <w:rsid w:val="00885E7B"/>
    <w:rsid w:val="00891558"/>
    <w:rsid w:val="00895C1C"/>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C78F5"/>
    <w:rsid w:val="008D1A6D"/>
    <w:rsid w:val="008D71C0"/>
    <w:rsid w:val="008D748B"/>
    <w:rsid w:val="008E0478"/>
    <w:rsid w:val="008E453F"/>
    <w:rsid w:val="008F0098"/>
    <w:rsid w:val="008F0BE4"/>
    <w:rsid w:val="00903B51"/>
    <w:rsid w:val="009077DC"/>
    <w:rsid w:val="00910E7B"/>
    <w:rsid w:val="0091257C"/>
    <w:rsid w:val="00912E3C"/>
    <w:rsid w:val="00914725"/>
    <w:rsid w:val="00920C87"/>
    <w:rsid w:val="009210BB"/>
    <w:rsid w:val="0093055C"/>
    <w:rsid w:val="00930DDD"/>
    <w:rsid w:val="009352EC"/>
    <w:rsid w:val="00942F68"/>
    <w:rsid w:val="00943C3B"/>
    <w:rsid w:val="009441FE"/>
    <w:rsid w:val="00944977"/>
    <w:rsid w:val="00945DEA"/>
    <w:rsid w:val="009518EB"/>
    <w:rsid w:val="00953FA6"/>
    <w:rsid w:val="009544F4"/>
    <w:rsid w:val="00960A43"/>
    <w:rsid w:val="0096662B"/>
    <w:rsid w:val="00966F53"/>
    <w:rsid w:val="00972EE0"/>
    <w:rsid w:val="00973623"/>
    <w:rsid w:val="00975C4C"/>
    <w:rsid w:val="00982481"/>
    <w:rsid w:val="0099116A"/>
    <w:rsid w:val="009A3A46"/>
    <w:rsid w:val="009A4EB1"/>
    <w:rsid w:val="009A5429"/>
    <w:rsid w:val="009A7918"/>
    <w:rsid w:val="009B3286"/>
    <w:rsid w:val="009B70EA"/>
    <w:rsid w:val="009B727A"/>
    <w:rsid w:val="009B7F9F"/>
    <w:rsid w:val="009C0C09"/>
    <w:rsid w:val="009C3AB3"/>
    <w:rsid w:val="009C68FE"/>
    <w:rsid w:val="009D0103"/>
    <w:rsid w:val="009D3AE7"/>
    <w:rsid w:val="009D7C28"/>
    <w:rsid w:val="009E0F1C"/>
    <w:rsid w:val="009E4223"/>
    <w:rsid w:val="009E5B18"/>
    <w:rsid w:val="009E6F49"/>
    <w:rsid w:val="009F3E45"/>
    <w:rsid w:val="00A02773"/>
    <w:rsid w:val="00A02A6D"/>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59C"/>
    <w:rsid w:val="00A94B98"/>
    <w:rsid w:val="00A9514B"/>
    <w:rsid w:val="00A95C95"/>
    <w:rsid w:val="00AA5876"/>
    <w:rsid w:val="00AA68B4"/>
    <w:rsid w:val="00AB34AE"/>
    <w:rsid w:val="00AC1B63"/>
    <w:rsid w:val="00AC7A12"/>
    <w:rsid w:val="00AD2811"/>
    <w:rsid w:val="00AD2DBD"/>
    <w:rsid w:val="00AD4F5A"/>
    <w:rsid w:val="00AE14E2"/>
    <w:rsid w:val="00AE51B3"/>
    <w:rsid w:val="00AF4460"/>
    <w:rsid w:val="00AF4B3A"/>
    <w:rsid w:val="00AF5335"/>
    <w:rsid w:val="00AF69FC"/>
    <w:rsid w:val="00B027D1"/>
    <w:rsid w:val="00B058FC"/>
    <w:rsid w:val="00B06005"/>
    <w:rsid w:val="00B10C7A"/>
    <w:rsid w:val="00B12B90"/>
    <w:rsid w:val="00B15B86"/>
    <w:rsid w:val="00B17526"/>
    <w:rsid w:val="00B20292"/>
    <w:rsid w:val="00B31321"/>
    <w:rsid w:val="00B3301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B64B8"/>
    <w:rsid w:val="00BC19CA"/>
    <w:rsid w:val="00BC1B90"/>
    <w:rsid w:val="00BD0277"/>
    <w:rsid w:val="00BD0ABA"/>
    <w:rsid w:val="00BD5D6A"/>
    <w:rsid w:val="00BD7643"/>
    <w:rsid w:val="00BE5B63"/>
    <w:rsid w:val="00BE617D"/>
    <w:rsid w:val="00BE6CD2"/>
    <w:rsid w:val="00BE6CDD"/>
    <w:rsid w:val="00BF034F"/>
    <w:rsid w:val="00BF1D3E"/>
    <w:rsid w:val="00C07985"/>
    <w:rsid w:val="00C07DAF"/>
    <w:rsid w:val="00C07F53"/>
    <w:rsid w:val="00C21B1E"/>
    <w:rsid w:val="00C22BD2"/>
    <w:rsid w:val="00C26A2D"/>
    <w:rsid w:val="00C3147A"/>
    <w:rsid w:val="00C324CB"/>
    <w:rsid w:val="00C33E0E"/>
    <w:rsid w:val="00C35AD9"/>
    <w:rsid w:val="00C3660B"/>
    <w:rsid w:val="00C36E94"/>
    <w:rsid w:val="00C372A6"/>
    <w:rsid w:val="00C40F67"/>
    <w:rsid w:val="00C412E7"/>
    <w:rsid w:val="00C44636"/>
    <w:rsid w:val="00C53AEE"/>
    <w:rsid w:val="00C557D3"/>
    <w:rsid w:val="00C572E0"/>
    <w:rsid w:val="00C57303"/>
    <w:rsid w:val="00C57648"/>
    <w:rsid w:val="00C61D30"/>
    <w:rsid w:val="00C659D1"/>
    <w:rsid w:val="00C6739D"/>
    <w:rsid w:val="00C7360C"/>
    <w:rsid w:val="00C77BD1"/>
    <w:rsid w:val="00C83BBD"/>
    <w:rsid w:val="00C8425A"/>
    <w:rsid w:val="00C86257"/>
    <w:rsid w:val="00C908F5"/>
    <w:rsid w:val="00C930DE"/>
    <w:rsid w:val="00C934CE"/>
    <w:rsid w:val="00CA0FC8"/>
    <w:rsid w:val="00CA18A3"/>
    <w:rsid w:val="00CA3848"/>
    <w:rsid w:val="00CB43BB"/>
    <w:rsid w:val="00CB512D"/>
    <w:rsid w:val="00CB5F39"/>
    <w:rsid w:val="00CC01DB"/>
    <w:rsid w:val="00CC10B7"/>
    <w:rsid w:val="00CC3A04"/>
    <w:rsid w:val="00CD3BF2"/>
    <w:rsid w:val="00CD412C"/>
    <w:rsid w:val="00CD643E"/>
    <w:rsid w:val="00CD6AA0"/>
    <w:rsid w:val="00CE19F5"/>
    <w:rsid w:val="00CE43E4"/>
    <w:rsid w:val="00CF1744"/>
    <w:rsid w:val="00CF31A1"/>
    <w:rsid w:val="00CF61E3"/>
    <w:rsid w:val="00D03C91"/>
    <w:rsid w:val="00D06B45"/>
    <w:rsid w:val="00D07184"/>
    <w:rsid w:val="00D27215"/>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6C56"/>
    <w:rsid w:val="00D870CD"/>
    <w:rsid w:val="00D912EF"/>
    <w:rsid w:val="00D93CA4"/>
    <w:rsid w:val="00D96FCD"/>
    <w:rsid w:val="00DA6A9E"/>
    <w:rsid w:val="00DA7969"/>
    <w:rsid w:val="00DB0414"/>
    <w:rsid w:val="00DB2E20"/>
    <w:rsid w:val="00DB3BD6"/>
    <w:rsid w:val="00DC1B2D"/>
    <w:rsid w:val="00DC23C8"/>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3435A"/>
    <w:rsid w:val="00E4118C"/>
    <w:rsid w:val="00E4191B"/>
    <w:rsid w:val="00E423E9"/>
    <w:rsid w:val="00E4400C"/>
    <w:rsid w:val="00E4538B"/>
    <w:rsid w:val="00E47755"/>
    <w:rsid w:val="00E5661A"/>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D5AD1"/>
    <w:rsid w:val="00EF689F"/>
    <w:rsid w:val="00F11637"/>
    <w:rsid w:val="00F12439"/>
    <w:rsid w:val="00F23495"/>
    <w:rsid w:val="00F27766"/>
    <w:rsid w:val="00F3684C"/>
    <w:rsid w:val="00F36D37"/>
    <w:rsid w:val="00F40571"/>
    <w:rsid w:val="00F41707"/>
    <w:rsid w:val="00F4400B"/>
    <w:rsid w:val="00F444B9"/>
    <w:rsid w:val="00F446A8"/>
    <w:rsid w:val="00F45547"/>
    <w:rsid w:val="00F5240C"/>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241"/>
    <w:rsid w:val="00FC2772"/>
    <w:rsid w:val="00FC3B2A"/>
    <w:rsid w:val="00FD0735"/>
    <w:rsid w:val="00FD51E9"/>
    <w:rsid w:val="00FD6FE7"/>
    <w:rsid w:val="00FE220A"/>
    <w:rsid w:val="00FE3F7D"/>
    <w:rsid w:val="00FE5F7B"/>
    <w:rsid w:val="00FF1B3C"/>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CC00D-E4C6-4762-9BA4-F14D02BCD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3252</TotalTime>
  <Pages>8</Pages>
  <Words>3076</Words>
  <Characters>16918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435</cp:revision>
  <cp:lastPrinted>2019-12-09T18:09:00Z</cp:lastPrinted>
  <dcterms:created xsi:type="dcterms:W3CDTF">2020-06-01T16:32:00Z</dcterms:created>
  <dcterms:modified xsi:type="dcterms:W3CDTF">2022-07-07T20:49:00Z</dcterms:modified>
</cp:coreProperties>
</file>