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F44FF" w14:textId="77777777" w:rsidR="00204105" w:rsidRPr="00204105" w:rsidRDefault="00204105" w:rsidP="00204105">
      <w:pPr>
        <w:spacing w:line="240" w:lineRule="auto"/>
        <w:ind w:left="212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SALA SUPERIOR DEL TRIBUNAL DE JUSTICIA ADMINISTRATIVA DEL ESTADO DE OAXACA</w:t>
      </w:r>
    </w:p>
    <w:p w14:paraId="0666CDD8" w14:textId="77777777" w:rsidR="00204105" w:rsidRPr="00204105" w:rsidRDefault="00204105" w:rsidP="00204105">
      <w:pPr>
        <w:spacing w:line="240" w:lineRule="auto"/>
        <w:ind w:left="212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RECURSO DE REVISIÓN:</w:t>
      </w:r>
      <w:r w:rsidRPr="00204105">
        <w:rPr>
          <w:rFonts w:ascii="Arial" w:eastAsiaTheme="minorHAnsi" w:hAnsi="Arial" w:cs="Arial"/>
          <w:b/>
          <w:sz w:val="26"/>
          <w:szCs w:val="26"/>
          <w:lang w:val="es-ES" w:eastAsia="en-US"/>
        </w:rPr>
        <w:tab/>
        <w:t>0064/2020</w:t>
      </w:r>
    </w:p>
    <w:p w14:paraId="30F39DD4" w14:textId="77777777" w:rsidR="00204105" w:rsidRPr="00204105" w:rsidRDefault="00204105" w:rsidP="00204105">
      <w:pPr>
        <w:spacing w:line="240" w:lineRule="auto"/>
        <w:ind w:left="212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EXPEDIENTE:</w:t>
      </w:r>
      <w:r w:rsidRPr="00204105">
        <w:rPr>
          <w:rFonts w:ascii="Arial" w:eastAsiaTheme="minorHAnsi" w:hAnsi="Arial" w:cs="Arial"/>
          <w:b/>
          <w:sz w:val="26"/>
          <w:szCs w:val="26"/>
          <w:lang w:val="es-ES" w:eastAsia="en-US"/>
        </w:rPr>
        <w:tab/>
        <w:t>0065/2019 QUINTA SALA UNITARIA DE PRIMERA INSTANCIA</w:t>
      </w:r>
    </w:p>
    <w:p w14:paraId="0CFA9700" w14:textId="017603FC" w:rsidR="00204105" w:rsidRPr="00204105" w:rsidRDefault="00204105" w:rsidP="00204105">
      <w:pPr>
        <w:spacing w:line="240" w:lineRule="auto"/>
        <w:ind w:left="212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PONENTE: </w:t>
      </w:r>
      <w:r>
        <w:rPr>
          <w:rFonts w:ascii="Arial" w:eastAsiaTheme="minorHAnsi" w:hAnsi="Arial" w:cs="Arial"/>
          <w:b/>
          <w:sz w:val="26"/>
          <w:szCs w:val="26"/>
          <w:lang w:val="es-ES" w:eastAsia="en-US"/>
        </w:rPr>
        <w:t>MAGISTRADO RAÚL PALOMARES PALOMINO.</w:t>
      </w:r>
    </w:p>
    <w:p w14:paraId="047F8B55" w14:textId="77777777" w:rsidR="00204105" w:rsidRPr="00204105" w:rsidRDefault="00204105" w:rsidP="00204105">
      <w:pPr>
        <w:spacing w:line="240" w:lineRule="auto"/>
        <w:ind w:left="2124"/>
        <w:jc w:val="both"/>
        <w:rPr>
          <w:rFonts w:ascii="Arial" w:eastAsiaTheme="minorHAnsi" w:hAnsi="Arial" w:cs="Arial"/>
          <w:b/>
          <w:sz w:val="26"/>
          <w:szCs w:val="26"/>
          <w:lang w:val="es-ES" w:eastAsia="en-US"/>
        </w:rPr>
      </w:pPr>
    </w:p>
    <w:p w14:paraId="2C10F56D" w14:textId="08007412"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A OCHO DE OCTUBRE</w:t>
      </w:r>
      <w:r w:rsidRPr="00204105">
        <w:rPr>
          <w:rFonts w:ascii="Arial" w:eastAsiaTheme="minorHAnsi" w:hAnsi="Arial" w:cs="Arial"/>
          <w:b/>
          <w:sz w:val="26"/>
          <w:szCs w:val="26"/>
          <w:lang w:val="es-ES" w:eastAsia="en-US"/>
        </w:rPr>
        <w:t xml:space="preserve"> DE DOS MIL VEINTE.</w:t>
      </w:r>
      <w:r w:rsidR="00282C2C">
        <w:rPr>
          <w:rFonts w:ascii="Arial" w:eastAsiaTheme="minorHAnsi" w:hAnsi="Arial" w:cs="Arial"/>
          <w:b/>
          <w:sz w:val="26"/>
          <w:szCs w:val="26"/>
          <w:lang w:val="es-ES" w:eastAsia="en-US"/>
        </w:rPr>
        <w:t xml:space="preserve"> - - - - - - - - - - - - - - - - - - - - - - - - - - - - - - - - - - - - - - - - - - </w:t>
      </w:r>
    </w:p>
    <w:p w14:paraId="21A41D42" w14:textId="77777777" w:rsidR="00204105" w:rsidRPr="00204105" w:rsidRDefault="00204105" w:rsidP="00282C2C">
      <w:pPr>
        <w:spacing w:before="240" w:line="360" w:lineRule="auto"/>
        <w:ind w:firstLine="708"/>
        <w:jc w:val="both"/>
        <w:rPr>
          <w:rFonts w:ascii="Arial" w:eastAsiaTheme="minorHAnsi" w:hAnsi="Arial" w:cs="Arial"/>
          <w:sz w:val="26"/>
          <w:szCs w:val="26"/>
          <w:lang w:val="es-ES" w:eastAsia="en-US"/>
        </w:rPr>
      </w:pPr>
      <w:r w:rsidRPr="00204105">
        <w:rPr>
          <w:rFonts w:ascii="Arial" w:eastAsiaTheme="minorHAnsi" w:hAnsi="Arial" w:cs="Arial"/>
          <w:sz w:val="26"/>
          <w:szCs w:val="26"/>
          <w:lang w:val="es-ES" w:eastAsia="en-US"/>
        </w:rPr>
        <w:t xml:space="preserve">Por recibido el Cuaderno de Revisión </w:t>
      </w:r>
      <w:r w:rsidRPr="00204105">
        <w:rPr>
          <w:rFonts w:ascii="Arial" w:eastAsiaTheme="minorHAnsi" w:hAnsi="Arial" w:cs="Arial"/>
          <w:b/>
          <w:sz w:val="26"/>
          <w:szCs w:val="26"/>
          <w:lang w:val="es-ES" w:eastAsia="en-US"/>
        </w:rPr>
        <w:t>0064/2020</w:t>
      </w:r>
      <w:r w:rsidRPr="00204105">
        <w:rPr>
          <w:rFonts w:ascii="Arial" w:eastAsiaTheme="minorHAnsi" w:hAnsi="Arial" w:cs="Arial"/>
          <w:sz w:val="26"/>
          <w:szCs w:val="26"/>
          <w:lang w:val="es-ES" w:eastAsia="en-US"/>
        </w:rPr>
        <w:t xml:space="preserve">, que remite la Secretaría General de Acuerdos, con motivo del recurso de revisión interpuesto por el </w:t>
      </w:r>
      <w:r w:rsidRPr="00204105">
        <w:rPr>
          <w:rFonts w:ascii="Arial" w:eastAsiaTheme="minorHAnsi" w:hAnsi="Arial" w:cs="Arial"/>
          <w:b/>
          <w:sz w:val="26"/>
          <w:szCs w:val="26"/>
          <w:lang w:val="es-ES" w:eastAsia="en-US"/>
        </w:rPr>
        <w:t>DIRECTOR GENERAL DE LA POLICÍA VIAL ESTATAL DE OAXACA</w:t>
      </w:r>
      <w:r w:rsidRPr="00204105">
        <w:rPr>
          <w:rFonts w:ascii="Arial" w:eastAsiaTheme="minorHAnsi" w:hAnsi="Arial" w:cs="Arial"/>
          <w:sz w:val="26"/>
          <w:szCs w:val="26"/>
          <w:lang w:val="es-ES" w:eastAsia="en-US"/>
        </w:rPr>
        <w:t xml:space="preserve">, en contra de la sentencia de veintinueve de noviembre de dos mil diecinueve, dictada en el expediente </w:t>
      </w:r>
      <w:r w:rsidRPr="00204105">
        <w:rPr>
          <w:rFonts w:ascii="Arial" w:eastAsiaTheme="minorHAnsi" w:hAnsi="Arial" w:cs="Arial"/>
          <w:b/>
          <w:sz w:val="26"/>
          <w:szCs w:val="26"/>
          <w:lang w:val="es-ES" w:eastAsia="en-US"/>
        </w:rPr>
        <w:t>0065/2019</w:t>
      </w:r>
      <w:r w:rsidRPr="00204105">
        <w:rPr>
          <w:rFonts w:ascii="Arial" w:eastAsiaTheme="minorHAnsi" w:hAnsi="Arial" w:cs="Arial"/>
          <w:sz w:val="26"/>
          <w:szCs w:val="26"/>
          <w:lang w:val="es-ES" w:eastAsia="en-US"/>
        </w:rPr>
        <w:t xml:space="preserve"> de la Quinta Sala Unitaria de Primera Instancia, relativo al juicio de nulidad promovido por </w:t>
      </w:r>
      <w:r w:rsidRPr="00204105">
        <w:rPr>
          <w:rFonts w:ascii="Arial" w:eastAsiaTheme="minorHAnsi" w:hAnsi="Arial" w:cs="Arial"/>
          <w:b/>
          <w:sz w:val="26"/>
          <w:szCs w:val="26"/>
          <w:lang w:val="es-ES" w:eastAsia="en-US"/>
        </w:rPr>
        <w:t xml:space="preserve">IXCHEL DEL SOCORRO CONTRERAS CRUZ, </w:t>
      </w:r>
      <w:r w:rsidRPr="00204105">
        <w:rPr>
          <w:rFonts w:ascii="Arial" w:eastAsiaTheme="minorHAnsi" w:hAnsi="Arial" w:cs="Arial"/>
          <w:sz w:val="26"/>
          <w:szCs w:val="26"/>
          <w:lang w:val="es-ES" w:eastAsia="en-US"/>
        </w:rPr>
        <w:t xml:space="preserve">en contra del </w:t>
      </w:r>
      <w:r w:rsidRPr="00204105">
        <w:rPr>
          <w:rFonts w:ascii="Arial" w:eastAsiaTheme="minorHAnsi" w:hAnsi="Arial" w:cs="Arial"/>
          <w:b/>
          <w:sz w:val="26"/>
          <w:szCs w:val="26"/>
          <w:lang w:val="es-ES" w:eastAsia="en-US"/>
        </w:rPr>
        <w:t xml:space="preserve">POLICÍA VIAL ESTATAL PV-261 </w:t>
      </w:r>
      <w:r w:rsidRPr="00204105">
        <w:rPr>
          <w:rFonts w:ascii="Arial" w:eastAsiaTheme="minorHAnsi" w:hAnsi="Arial" w:cs="Arial"/>
          <w:sz w:val="26"/>
          <w:szCs w:val="26"/>
          <w:lang w:val="es-ES" w:eastAsia="en-US"/>
        </w:rPr>
        <w:t>por lo que con fundamento en los artículos 236 y 238 de la Ley de Procedimiento y Justicia Administrativa para el Estado de Oaxaca, se admite. En consecuencia, se procede a dictar resolución en los siguientes términos:</w:t>
      </w:r>
    </w:p>
    <w:p w14:paraId="30032B78" w14:textId="77777777" w:rsidR="00204105" w:rsidRPr="00204105" w:rsidRDefault="00204105" w:rsidP="00204105">
      <w:pPr>
        <w:spacing w:before="240" w:line="360" w:lineRule="auto"/>
        <w:jc w:val="center"/>
        <w:rPr>
          <w:rFonts w:ascii="Arial" w:eastAsiaTheme="minorHAnsi" w:hAnsi="Arial" w:cs="Arial"/>
          <w:b/>
          <w:bCs/>
          <w:sz w:val="26"/>
          <w:szCs w:val="26"/>
          <w:lang w:val="es-ES" w:eastAsia="en-US"/>
        </w:rPr>
      </w:pPr>
      <w:r w:rsidRPr="00204105">
        <w:rPr>
          <w:rFonts w:ascii="Arial" w:eastAsiaTheme="minorHAnsi" w:hAnsi="Arial" w:cs="Arial"/>
          <w:b/>
          <w:bCs/>
          <w:sz w:val="26"/>
          <w:szCs w:val="26"/>
          <w:lang w:val="es-ES" w:eastAsia="en-US"/>
        </w:rPr>
        <w:t>R E S U L T A N D O:</w:t>
      </w:r>
    </w:p>
    <w:p w14:paraId="04A760CE" w14:textId="1B21DFEF" w:rsidR="00204105" w:rsidRPr="00204105" w:rsidRDefault="00204105" w:rsidP="003813B3">
      <w:pPr>
        <w:spacing w:before="240" w:line="360" w:lineRule="auto"/>
        <w:ind w:firstLine="708"/>
        <w:jc w:val="both"/>
        <w:rPr>
          <w:rFonts w:ascii="Arial" w:eastAsiaTheme="minorHAnsi" w:hAnsi="Arial" w:cs="Arial"/>
          <w:sz w:val="26"/>
          <w:szCs w:val="26"/>
          <w:lang w:val="es-ES" w:eastAsia="en-US"/>
        </w:rPr>
      </w:pPr>
      <w:r w:rsidRPr="00204105">
        <w:rPr>
          <w:rFonts w:ascii="Arial" w:eastAsiaTheme="minorHAnsi" w:hAnsi="Arial" w:cs="Arial"/>
          <w:b/>
          <w:bCs/>
          <w:sz w:val="26"/>
          <w:szCs w:val="26"/>
          <w:lang w:val="es-ES" w:eastAsia="en-US"/>
        </w:rPr>
        <w:t xml:space="preserve">PRIMERO. </w:t>
      </w:r>
      <w:r w:rsidRPr="00204105">
        <w:rPr>
          <w:rFonts w:ascii="Arial" w:eastAsiaTheme="minorHAnsi" w:hAnsi="Arial" w:cs="Arial"/>
          <w:sz w:val="26"/>
          <w:szCs w:val="26"/>
          <w:lang w:val="es-ES" w:eastAsia="en-US"/>
        </w:rPr>
        <w:t xml:space="preserve">Inconforme con la sentencia de veintinueve de noviembre de dos mil diecinueve, dictada por la Quinta Sala Unitaria de Primera Instancia, el </w:t>
      </w:r>
      <w:r w:rsidRPr="00204105">
        <w:rPr>
          <w:rFonts w:ascii="Arial" w:eastAsiaTheme="minorHAnsi" w:hAnsi="Arial" w:cs="Arial"/>
          <w:b/>
          <w:sz w:val="26"/>
          <w:szCs w:val="26"/>
          <w:lang w:val="es-ES" w:eastAsia="en-US"/>
        </w:rPr>
        <w:t>DIRECTOR GENERAL DE LA POLICÍA VIAL ESTATAL DE OAXACA</w:t>
      </w:r>
      <w:r w:rsidRPr="00204105">
        <w:rPr>
          <w:rFonts w:ascii="Arial" w:eastAsiaTheme="minorHAnsi" w:hAnsi="Arial" w:cs="Arial"/>
          <w:sz w:val="26"/>
          <w:szCs w:val="26"/>
          <w:lang w:val="es-ES" w:eastAsia="en-US"/>
        </w:rPr>
        <w:t>, interpuso en su contra recurso de revisión.</w:t>
      </w:r>
    </w:p>
    <w:p w14:paraId="243979E2" w14:textId="7D98880C"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sz w:val="26"/>
          <w:szCs w:val="26"/>
          <w:lang w:val="es-ES" w:eastAsia="en-US"/>
        </w:rPr>
        <w:t xml:space="preserve"> </w:t>
      </w:r>
      <w:r w:rsidR="003813B3">
        <w:rPr>
          <w:rFonts w:ascii="Arial" w:eastAsiaTheme="minorHAnsi" w:hAnsi="Arial" w:cs="Arial"/>
          <w:sz w:val="26"/>
          <w:szCs w:val="26"/>
          <w:lang w:val="es-ES" w:eastAsia="en-US"/>
        </w:rPr>
        <w:tab/>
      </w:r>
      <w:r w:rsidRPr="00204105">
        <w:rPr>
          <w:rFonts w:ascii="Arial" w:eastAsiaTheme="minorHAnsi" w:hAnsi="Arial" w:cs="Arial"/>
          <w:b/>
          <w:bCs/>
          <w:sz w:val="26"/>
          <w:szCs w:val="26"/>
          <w:lang w:eastAsia="en-US"/>
        </w:rPr>
        <w:t xml:space="preserve">SEGUNDO. </w:t>
      </w:r>
      <w:r w:rsidRPr="00204105">
        <w:rPr>
          <w:rFonts w:ascii="Arial" w:eastAsiaTheme="minorHAnsi" w:hAnsi="Arial" w:cs="Arial"/>
          <w:bCs/>
          <w:sz w:val="26"/>
          <w:szCs w:val="26"/>
          <w:lang w:val="es-ES" w:eastAsia="en-US"/>
        </w:rPr>
        <w:t xml:space="preserve">Los puntos resolutivos de la sentencia recurrida son los siguientes: </w:t>
      </w:r>
    </w:p>
    <w:p w14:paraId="4C058BAC" w14:textId="77777777" w:rsidR="00204105" w:rsidRPr="00204105" w:rsidRDefault="00204105" w:rsidP="00204105">
      <w:pPr>
        <w:widowControl w:val="0"/>
        <w:tabs>
          <w:tab w:val="left" w:pos="7938"/>
        </w:tabs>
        <w:spacing w:after="0" w:line="360" w:lineRule="auto"/>
        <w:ind w:left="1134" w:right="616"/>
        <w:jc w:val="both"/>
        <w:rPr>
          <w:rFonts w:ascii="Arial" w:eastAsia="Times New Roman" w:hAnsi="Arial" w:cs="Arial"/>
          <w:bCs/>
          <w:i/>
          <w:iCs/>
          <w:lang w:val="es-ES" w:eastAsia="es-ES"/>
        </w:rPr>
      </w:pPr>
      <w:r w:rsidRPr="00204105">
        <w:rPr>
          <w:rFonts w:ascii="Arial" w:eastAsia="Times New Roman" w:hAnsi="Arial" w:cs="Arial"/>
          <w:bCs/>
          <w:i/>
          <w:iCs/>
          <w:lang w:val="es-ES" w:eastAsia="es-ES"/>
        </w:rPr>
        <w:t>“</w:t>
      </w:r>
      <w:r w:rsidRPr="00204105">
        <w:rPr>
          <w:rFonts w:ascii="Arial" w:eastAsia="Times New Roman" w:hAnsi="Arial" w:cs="Arial"/>
          <w:b/>
          <w:bCs/>
          <w:i/>
          <w:iCs/>
          <w:lang w:val="es-ES" w:eastAsia="es-ES"/>
        </w:rPr>
        <w:t xml:space="preserve">PRIMERO. </w:t>
      </w:r>
      <w:r w:rsidRPr="00204105">
        <w:rPr>
          <w:rFonts w:ascii="Arial" w:eastAsia="Times New Roman" w:hAnsi="Arial" w:cs="Arial"/>
          <w:bCs/>
          <w:i/>
          <w:iCs/>
          <w:lang w:val="es-ES" w:eastAsia="es-ES"/>
        </w:rPr>
        <w:t xml:space="preserve">Esta Quinta Sala Unitaria del Tribunal de Justicia Administrativa del Estado de Oaxaca, es competente para conocer y resolver el presente asunto.- - - - - - - - - - - - - - - - - - -  - - - - - - - - </w:t>
      </w:r>
      <w:r w:rsidRPr="00204105">
        <w:rPr>
          <w:rFonts w:ascii="Arial" w:eastAsia="Times New Roman" w:hAnsi="Arial" w:cs="Arial"/>
          <w:b/>
          <w:bCs/>
          <w:i/>
          <w:iCs/>
          <w:lang w:val="es-ES" w:eastAsia="es-ES"/>
        </w:rPr>
        <w:t xml:space="preserve">SEGUNDO. </w:t>
      </w:r>
      <w:r w:rsidRPr="00204105">
        <w:rPr>
          <w:rFonts w:ascii="Arial" w:eastAsia="Times New Roman" w:hAnsi="Arial" w:cs="Arial"/>
          <w:bCs/>
          <w:i/>
          <w:iCs/>
          <w:lang w:val="es-ES" w:eastAsia="es-ES"/>
        </w:rPr>
        <w:t xml:space="preserve">La personalidad de las partes quedó acreditadas en los términos del considerando </w:t>
      </w:r>
      <w:r w:rsidRPr="00204105">
        <w:rPr>
          <w:rFonts w:ascii="Arial" w:eastAsia="Times New Roman" w:hAnsi="Arial" w:cs="Arial"/>
          <w:b/>
          <w:bCs/>
          <w:i/>
          <w:iCs/>
          <w:lang w:val="es-ES" w:eastAsia="es-ES"/>
        </w:rPr>
        <w:t xml:space="preserve">SEGUNDO </w:t>
      </w:r>
      <w:r w:rsidRPr="00204105">
        <w:rPr>
          <w:rFonts w:ascii="Arial" w:eastAsia="Times New Roman" w:hAnsi="Arial" w:cs="Arial"/>
          <w:bCs/>
          <w:i/>
          <w:iCs/>
          <w:lang w:val="es-ES" w:eastAsia="es-ES"/>
        </w:rPr>
        <w:t xml:space="preserve">de esta sentencia.- - </w:t>
      </w:r>
      <w:r w:rsidRPr="00204105">
        <w:rPr>
          <w:rFonts w:ascii="Arial" w:eastAsia="Times New Roman" w:hAnsi="Arial" w:cs="Arial"/>
          <w:b/>
          <w:bCs/>
          <w:i/>
          <w:iCs/>
          <w:lang w:val="es-ES" w:eastAsia="es-ES"/>
        </w:rPr>
        <w:t xml:space="preserve">TERCERO. </w:t>
      </w:r>
      <w:r w:rsidRPr="00204105">
        <w:rPr>
          <w:rFonts w:ascii="Arial" w:eastAsia="Times New Roman" w:hAnsi="Arial" w:cs="Arial"/>
          <w:bCs/>
          <w:i/>
          <w:iCs/>
          <w:lang w:val="es-ES" w:eastAsia="es-ES"/>
        </w:rPr>
        <w:t xml:space="preserve">Este Juzgador advierte que, en el presente juicio no se configura alguna causal de improcedencia o sobreseimiento, en los términos del considerando </w:t>
      </w:r>
      <w:r w:rsidRPr="00204105">
        <w:rPr>
          <w:rFonts w:ascii="Arial" w:eastAsia="Times New Roman" w:hAnsi="Arial" w:cs="Arial"/>
          <w:b/>
          <w:bCs/>
          <w:i/>
          <w:iCs/>
          <w:lang w:val="es-ES" w:eastAsia="es-ES"/>
        </w:rPr>
        <w:t xml:space="preserve">TERCERO </w:t>
      </w:r>
      <w:r w:rsidRPr="00204105">
        <w:rPr>
          <w:rFonts w:ascii="Arial" w:eastAsia="Times New Roman" w:hAnsi="Arial" w:cs="Arial"/>
          <w:bCs/>
          <w:i/>
          <w:iCs/>
          <w:lang w:val="es-ES" w:eastAsia="es-ES"/>
        </w:rPr>
        <w:t xml:space="preserve">de esta sentencia, por tanto  </w:t>
      </w:r>
      <w:r w:rsidRPr="00204105">
        <w:rPr>
          <w:rFonts w:ascii="Arial" w:eastAsia="Times New Roman" w:hAnsi="Arial" w:cs="Arial"/>
          <w:b/>
          <w:bCs/>
          <w:i/>
          <w:iCs/>
          <w:lang w:val="es-ES" w:eastAsia="es-ES"/>
        </w:rPr>
        <w:t>NO SE SOBRESEE</w:t>
      </w:r>
      <w:r w:rsidRPr="00204105">
        <w:rPr>
          <w:rFonts w:ascii="Arial" w:eastAsia="Times New Roman" w:hAnsi="Arial" w:cs="Arial"/>
          <w:bCs/>
          <w:i/>
          <w:iCs/>
          <w:lang w:val="es-ES" w:eastAsia="es-ES"/>
        </w:rPr>
        <w:t xml:space="preserve">.- - - - - - - - - - - - - - - - - - - - - - - - - - - - - </w:t>
      </w:r>
      <w:r w:rsidRPr="00204105">
        <w:rPr>
          <w:rFonts w:ascii="Arial" w:eastAsia="Times New Roman" w:hAnsi="Arial" w:cs="Arial"/>
          <w:b/>
          <w:bCs/>
          <w:i/>
          <w:iCs/>
          <w:lang w:val="es-ES" w:eastAsia="es-ES"/>
        </w:rPr>
        <w:lastRenderedPageBreak/>
        <w:t xml:space="preserve">CUARTO. </w:t>
      </w:r>
      <w:r w:rsidRPr="00204105">
        <w:rPr>
          <w:rFonts w:ascii="Arial" w:eastAsia="Times New Roman" w:hAnsi="Arial" w:cs="Arial"/>
          <w:bCs/>
          <w:i/>
          <w:iCs/>
          <w:lang w:val="es-ES" w:eastAsia="es-ES"/>
        </w:rPr>
        <w:t xml:space="preserve">Se declara la </w:t>
      </w:r>
      <w:r w:rsidRPr="00204105">
        <w:rPr>
          <w:rFonts w:ascii="Arial" w:eastAsia="Times New Roman" w:hAnsi="Arial" w:cs="Arial"/>
          <w:b/>
          <w:bCs/>
          <w:i/>
          <w:iCs/>
          <w:lang w:val="es-ES" w:eastAsia="es-ES"/>
        </w:rPr>
        <w:t xml:space="preserve">NULIDAD LISA Y LLANA </w:t>
      </w:r>
      <w:r w:rsidRPr="00204105">
        <w:rPr>
          <w:rFonts w:ascii="Arial" w:eastAsia="Times New Roman" w:hAnsi="Arial" w:cs="Arial"/>
          <w:bCs/>
          <w:i/>
          <w:iCs/>
          <w:lang w:val="es-ES" w:eastAsia="es-ES"/>
        </w:rPr>
        <w:t xml:space="preserve">del acta de infracción con número de folio </w:t>
      </w:r>
      <w:r w:rsidRPr="00204105">
        <w:rPr>
          <w:rFonts w:ascii="Arial" w:eastAsia="Times New Roman" w:hAnsi="Arial" w:cs="Arial"/>
          <w:b/>
          <w:bCs/>
          <w:i/>
          <w:iCs/>
          <w:lang w:val="es-ES" w:eastAsia="es-ES"/>
        </w:rPr>
        <w:t>294300 de fecha cuatro de junio de dos mil diecinueve (04-06-2019), emitida por EL POLICIA VIAL ESTATAL PV-261</w:t>
      </w:r>
      <w:r w:rsidRPr="00204105">
        <w:rPr>
          <w:rFonts w:ascii="Arial" w:eastAsia="Times New Roman" w:hAnsi="Arial" w:cs="Arial"/>
          <w:bCs/>
          <w:i/>
          <w:iCs/>
          <w:lang w:val="es-ES" w:eastAsia="es-ES"/>
        </w:rPr>
        <w:t xml:space="preserve">, y la baja del sistema de infracciones, que lleve esa autoridad, por las razones ya expuestas en el considerando </w:t>
      </w:r>
      <w:r w:rsidRPr="00204105">
        <w:rPr>
          <w:rFonts w:ascii="Arial" w:eastAsia="Times New Roman" w:hAnsi="Arial" w:cs="Arial"/>
          <w:b/>
          <w:bCs/>
          <w:i/>
          <w:iCs/>
          <w:lang w:val="es-ES" w:eastAsia="es-ES"/>
        </w:rPr>
        <w:t xml:space="preserve">CUARTO </w:t>
      </w:r>
      <w:r w:rsidRPr="00204105">
        <w:rPr>
          <w:rFonts w:ascii="Arial" w:eastAsia="Times New Roman" w:hAnsi="Arial" w:cs="Arial"/>
          <w:bCs/>
          <w:i/>
          <w:iCs/>
          <w:lang w:val="es-ES" w:eastAsia="es-ES"/>
        </w:rPr>
        <w:t xml:space="preserve">de esta sentencia.- - - - - - - - - - - - - -  </w:t>
      </w:r>
      <w:r w:rsidRPr="00204105">
        <w:rPr>
          <w:rFonts w:ascii="Arial" w:eastAsia="Times New Roman" w:hAnsi="Arial" w:cs="Arial"/>
          <w:b/>
          <w:bCs/>
          <w:i/>
          <w:iCs/>
          <w:lang w:val="es-ES" w:eastAsia="es-ES"/>
        </w:rPr>
        <w:t xml:space="preserve">QUINTO.- </w:t>
      </w:r>
      <w:r w:rsidRPr="00204105">
        <w:rPr>
          <w:rFonts w:ascii="Arial" w:eastAsia="Times New Roman" w:hAnsi="Arial" w:cs="Arial"/>
          <w:bCs/>
          <w:i/>
          <w:iCs/>
          <w:lang w:val="es-ES" w:eastAsia="es-ES"/>
        </w:rPr>
        <w:t xml:space="preserve">Conforme a lo dispuesto en los artículos 171 y 172 de la Ley de Procedimientos y Justicia Administrativa para el Estado de Oaxaca. </w:t>
      </w:r>
      <w:r w:rsidRPr="00204105">
        <w:rPr>
          <w:rFonts w:ascii="Arial" w:eastAsia="Times New Roman" w:hAnsi="Arial" w:cs="Arial"/>
          <w:b/>
          <w:bCs/>
          <w:i/>
          <w:iCs/>
          <w:lang w:val="es-ES" w:eastAsia="es-ES"/>
        </w:rPr>
        <w:t xml:space="preserve">NOTIFÍQUESE </w:t>
      </w:r>
      <w:r w:rsidRPr="00204105">
        <w:rPr>
          <w:rFonts w:ascii="Arial" w:eastAsia="Times New Roman" w:hAnsi="Arial" w:cs="Arial"/>
          <w:bCs/>
          <w:i/>
          <w:iCs/>
          <w:lang w:val="es-ES" w:eastAsia="es-ES"/>
        </w:rPr>
        <w:t>PERSONALMENTE A LA PARTE ACTORA, Y POR OFICIO A LA AUTORIDAD DEMANDADA Y</w:t>
      </w:r>
      <w:r w:rsidRPr="00204105">
        <w:rPr>
          <w:rFonts w:ascii="Arial" w:eastAsia="Times New Roman" w:hAnsi="Arial" w:cs="Arial"/>
          <w:b/>
          <w:bCs/>
          <w:i/>
          <w:iCs/>
          <w:lang w:val="es-ES" w:eastAsia="es-ES"/>
        </w:rPr>
        <w:t xml:space="preserve"> CÚMPLASE</w:t>
      </w:r>
      <w:r w:rsidRPr="00204105">
        <w:rPr>
          <w:rFonts w:ascii="Arial" w:eastAsia="Times New Roman" w:hAnsi="Arial" w:cs="Arial"/>
          <w:bCs/>
          <w:i/>
          <w:iCs/>
          <w:lang w:val="es-ES" w:eastAsia="es-ES"/>
        </w:rPr>
        <w:t xml:space="preserve">.”.- - - - - - - - - - - - - - - - - - - - - - - - - - - - - - - - - - - - - - </w:t>
      </w:r>
    </w:p>
    <w:p w14:paraId="0BCC24A6" w14:textId="77777777" w:rsidR="00204105" w:rsidRPr="00204105" w:rsidRDefault="00204105" w:rsidP="00204105">
      <w:pPr>
        <w:spacing w:after="0" w:line="360" w:lineRule="auto"/>
        <w:ind w:right="49"/>
        <w:jc w:val="center"/>
        <w:rPr>
          <w:rFonts w:ascii="Arial" w:eastAsia="Calibri" w:hAnsi="Arial" w:cs="Arial"/>
          <w:b/>
          <w:bCs/>
          <w:sz w:val="26"/>
          <w:szCs w:val="26"/>
          <w:lang w:val="es-ES" w:eastAsia="en-US"/>
        </w:rPr>
      </w:pPr>
    </w:p>
    <w:p w14:paraId="31A69BA5" w14:textId="77777777" w:rsidR="00204105" w:rsidRPr="00204105" w:rsidRDefault="00204105" w:rsidP="00204105">
      <w:pPr>
        <w:spacing w:after="0" w:line="360" w:lineRule="auto"/>
        <w:ind w:right="49"/>
        <w:jc w:val="center"/>
        <w:rPr>
          <w:rFonts w:ascii="Arial" w:eastAsia="Calibri" w:hAnsi="Arial" w:cs="Arial"/>
          <w:b/>
          <w:bCs/>
          <w:sz w:val="26"/>
          <w:szCs w:val="26"/>
          <w:lang w:val="es-ES" w:eastAsia="en-US"/>
        </w:rPr>
      </w:pPr>
      <w:r w:rsidRPr="00204105">
        <w:rPr>
          <w:rFonts w:ascii="Arial" w:eastAsia="Calibri" w:hAnsi="Arial" w:cs="Arial"/>
          <w:b/>
          <w:bCs/>
          <w:sz w:val="26"/>
          <w:szCs w:val="26"/>
          <w:lang w:val="es-ES" w:eastAsia="en-US"/>
        </w:rPr>
        <w:t>C O N S I D E R A N D O:</w:t>
      </w:r>
    </w:p>
    <w:p w14:paraId="5FADCA47" w14:textId="77777777" w:rsidR="00204105" w:rsidRPr="00204105" w:rsidRDefault="00204105" w:rsidP="00204105">
      <w:pPr>
        <w:spacing w:after="0" w:line="360" w:lineRule="auto"/>
        <w:ind w:right="49"/>
        <w:jc w:val="center"/>
        <w:rPr>
          <w:rFonts w:ascii="Arial" w:eastAsia="Calibri" w:hAnsi="Arial" w:cs="Arial"/>
          <w:b/>
          <w:bCs/>
          <w:sz w:val="26"/>
          <w:szCs w:val="26"/>
          <w:lang w:val="es-ES" w:eastAsia="en-US"/>
        </w:rPr>
      </w:pPr>
    </w:p>
    <w:p w14:paraId="2935EE9F" w14:textId="77777777" w:rsidR="00204105" w:rsidRPr="00204105" w:rsidRDefault="00204105" w:rsidP="00204105">
      <w:pPr>
        <w:spacing w:after="0" w:line="360" w:lineRule="auto"/>
        <w:ind w:right="49" w:firstLine="708"/>
        <w:jc w:val="both"/>
        <w:rPr>
          <w:rFonts w:ascii="Arial" w:eastAsiaTheme="minorHAnsi" w:hAnsi="Arial" w:cs="Arial"/>
          <w:bCs/>
          <w:iCs/>
          <w:sz w:val="26"/>
          <w:szCs w:val="26"/>
          <w:lang w:val="es-ES" w:eastAsia="en-US"/>
        </w:rPr>
      </w:pPr>
      <w:r w:rsidRPr="00204105">
        <w:rPr>
          <w:rFonts w:ascii="Arial" w:eastAsiaTheme="minorHAnsi" w:hAnsi="Arial" w:cs="Arial"/>
          <w:b/>
          <w:bCs/>
          <w:iCs/>
          <w:sz w:val="26"/>
          <w:szCs w:val="26"/>
          <w:lang w:val="es-ES" w:eastAsia="es-ES"/>
        </w:rPr>
        <w:t>PRIMERO.</w:t>
      </w:r>
      <w:r w:rsidRPr="00204105">
        <w:rPr>
          <w:rFonts w:ascii="Arial" w:eastAsiaTheme="minorHAnsi" w:hAnsi="Arial" w:cs="Arial"/>
          <w:b/>
          <w:bCs/>
          <w:iCs/>
          <w:sz w:val="26"/>
          <w:szCs w:val="26"/>
          <w:lang w:val="es-ES" w:eastAsia="en-US"/>
        </w:rPr>
        <w:t xml:space="preserve"> </w:t>
      </w:r>
      <w:r w:rsidRPr="00204105">
        <w:rPr>
          <w:rFonts w:ascii="Arial" w:eastAsiaTheme="minorHAnsi" w:hAnsi="Arial" w:cs="Arial"/>
          <w:bCs/>
          <w:iCs/>
          <w:sz w:val="26"/>
          <w:szCs w:val="26"/>
          <w:lang w:val="es-ES" w:eastAsia="en-US"/>
        </w:rPr>
        <w:t>Esta Sala Superior es competente para conocer del presente asunto, de conformidad con lo dispuesto por los artículos 114 Quáter de la Constitución Política del Estado Libre y Soberano de Oaxaca;</w:t>
      </w:r>
      <w:r w:rsidRPr="00204105">
        <w:rPr>
          <w:rFonts w:ascii="Arial" w:eastAsiaTheme="minorHAnsi" w:hAnsi="Arial" w:cs="Arial"/>
          <w:bCs/>
          <w:iCs/>
          <w:sz w:val="26"/>
          <w:szCs w:val="26"/>
          <w:lang w:val="es-ES" w:eastAsia="es-ES"/>
        </w:rPr>
        <w:t xml:space="preserve"> </w:t>
      </w:r>
      <w:r w:rsidRPr="00204105">
        <w:rPr>
          <w:rFonts w:ascii="Arial" w:eastAsiaTheme="minorHAnsi" w:hAnsi="Arial" w:cs="Arial"/>
          <w:bCs/>
          <w:iCs/>
          <w:sz w:val="26"/>
          <w:szCs w:val="26"/>
          <w:lang w:val="es-ES" w:eastAsia="en-US"/>
        </w:rPr>
        <w:t xml:space="preserve">23, 24 fracción I, 25 fracción I, 26 y 27 de la Ley Orgánica del Tribunal de Justicia Administrativa del Estado de Oaxaca, publicada en el Periódico Oficial del Estado de Oaxaca; así como los numerales </w:t>
      </w:r>
      <w:r w:rsidRPr="00204105">
        <w:rPr>
          <w:rFonts w:ascii="Arial" w:eastAsiaTheme="minorHAnsi" w:hAnsi="Arial" w:cs="Arial"/>
          <w:bCs/>
          <w:iCs/>
          <w:sz w:val="26"/>
          <w:szCs w:val="26"/>
          <w:lang w:val="es-ES" w:eastAsia="es-ES"/>
        </w:rPr>
        <w:t>125</w:t>
      </w:r>
      <w:r w:rsidRPr="00204105">
        <w:rPr>
          <w:rFonts w:ascii="Arial" w:eastAsiaTheme="minorHAnsi" w:hAnsi="Arial" w:cs="Arial"/>
          <w:bCs/>
          <w:iCs/>
          <w:sz w:val="26"/>
          <w:szCs w:val="26"/>
          <w:lang w:val="es-ES" w:eastAsia="en-US"/>
        </w:rPr>
        <w:t xml:space="preserve">, 127, 129, 130, fracción I, 131, 231, 236 y 238 de la Ley de Procedimiento y Justicia Administrativa para el Estado de Oaxaca, dado que se trata de un Recurso de Revisión interpuesto en contra de la sentencia de veintinueve de noviembre de dos mil diecinueve, dictada por la Quinta Sala Unitaria de Primera Instancia de este Tribunal, en el expediente </w:t>
      </w:r>
      <w:r w:rsidRPr="00204105">
        <w:rPr>
          <w:rFonts w:ascii="Arial" w:eastAsiaTheme="minorHAnsi" w:hAnsi="Arial" w:cs="Arial"/>
          <w:b/>
          <w:bCs/>
          <w:iCs/>
          <w:sz w:val="26"/>
          <w:szCs w:val="26"/>
          <w:lang w:val="es-ES" w:eastAsia="en-US"/>
        </w:rPr>
        <w:t>0065/2019.</w:t>
      </w:r>
    </w:p>
    <w:p w14:paraId="151001A9" w14:textId="77777777" w:rsidR="00204105" w:rsidRPr="00204105" w:rsidRDefault="00204105" w:rsidP="00204105">
      <w:pPr>
        <w:spacing w:after="0" w:line="360" w:lineRule="auto"/>
        <w:ind w:right="49"/>
        <w:jc w:val="both"/>
        <w:rPr>
          <w:rFonts w:ascii="Arial" w:eastAsiaTheme="minorHAnsi" w:hAnsi="Arial" w:cs="Arial"/>
          <w:b/>
          <w:sz w:val="26"/>
          <w:szCs w:val="26"/>
          <w:lang w:val="es-ES" w:eastAsia="en-US"/>
        </w:rPr>
      </w:pPr>
    </w:p>
    <w:p w14:paraId="221C7734" w14:textId="77777777" w:rsidR="00204105" w:rsidRPr="00204105" w:rsidRDefault="00204105" w:rsidP="00204105">
      <w:pPr>
        <w:spacing w:after="0" w:line="360" w:lineRule="auto"/>
        <w:ind w:right="49" w:firstLine="708"/>
        <w:jc w:val="both"/>
        <w:rPr>
          <w:rFonts w:ascii="Arial" w:eastAsiaTheme="minorHAnsi" w:hAnsi="Arial" w:cs="Arial"/>
          <w:sz w:val="26"/>
          <w:szCs w:val="26"/>
          <w:lang w:eastAsia="en-US"/>
        </w:rPr>
      </w:pPr>
      <w:r w:rsidRPr="00204105">
        <w:rPr>
          <w:rFonts w:ascii="Arial" w:eastAsiaTheme="minorHAnsi" w:hAnsi="Arial" w:cs="Arial"/>
          <w:b/>
          <w:sz w:val="26"/>
          <w:szCs w:val="26"/>
          <w:lang w:val="es-ES" w:eastAsia="en-US"/>
        </w:rPr>
        <w:t>SEGUNDO</w:t>
      </w:r>
      <w:r w:rsidRPr="00204105">
        <w:rPr>
          <w:rFonts w:ascii="Arial" w:eastAsiaTheme="minorHAnsi" w:hAnsi="Arial" w:cs="Arial"/>
          <w:sz w:val="26"/>
          <w:szCs w:val="26"/>
          <w:lang w:val="es-ES" w:eastAsia="en-US"/>
        </w:rPr>
        <w:t xml:space="preserve">. </w:t>
      </w:r>
      <w:r w:rsidRPr="00204105">
        <w:rPr>
          <w:rFonts w:ascii="Arial" w:eastAsiaTheme="minorHAnsi" w:hAnsi="Arial" w:cs="Arial"/>
          <w:sz w:val="26"/>
          <w:szCs w:val="26"/>
          <w:lang w:eastAsia="en-US"/>
        </w:rPr>
        <w:t>De la lectura al escrito del recurso de revisión que se analiza, se advierte que quien lo promueve es el Director General de la Policía Vial Estatal.</w:t>
      </w:r>
    </w:p>
    <w:p w14:paraId="3915D251" w14:textId="77777777" w:rsidR="00204105" w:rsidRPr="00204105" w:rsidRDefault="00204105" w:rsidP="00204105">
      <w:pPr>
        <w:spacing w:after="0" w:line="360" w:lineRule="auto"/>
        <w:ind w:right="49"/>
        <w:jc w:val="both"/>
        <w:rPr>
          <w:rFonts w:ascii="Arial" w:eastAsiaTheme="minorHAnsi" w:hAnsi="Arial" w:cs="Arial"/>
          <w:sz w:val="26"/>
          <w:szCs w:val="26"/>
          <w:lang w:eastAsia="en-US"/>
        </w:rPr>
      </w:pPr>
    </w:p>
    <w:p w14:paraId="153251C2" w14:textId="77777777" w:rsidR="00204105" w:rsidRPr="00204105" w:rsidRDefault="00204105" w:rsidP="00204105">
      <w:pPr>
        <w:spacing w:after="0" w:line="360" w:lineRule="auto"/>
        <w:ind w:right="49" w:firstLine="708"/>
        <w:jc w:val="both"/>
        <w:rPr>
          <w:rFonts w:ascii="Arial" w:eastAsiaTheme="minorHAnsi" w:hAnsi="Arial" w:cs="Arial"/>
          <w:color w:val="000000"/>
          <w:sz w:val="26"/>
          <w:szCs w:val="26"/>
          <w:lang w:eastAsia="en-US"/>
        </w:rPr>
      </w:pPr>
      <w:r w:rsidRPr="00204105">
        <w:rPr>
          <w:rFonts w:ascii="Arial" w:eastAsiaTheme="minorHAnsi" w:hAnsi="Arial" w:cs="Arial"/>
          <w:sz w:val="26"/>
          <w:szCs w:val="26"/>
          <w:lang w:eastAsia="en-US"/>
        </w:rPr>
        <w:t xml:space="preserve">Ahora bien, </w:t>
      </w:r>
      <w:r w:rsidRPr="00204105">
        <w:rPr>
          <w:rFonts w:ascii="Arial" w:eastAsiaTheme="minorHAnsi" w:hAnsi="Arial" w:cs="Arial"/>
          <w:color w:val="000000"/>
          <w:sz w:val="26"/>
          <w:szCs w:val="26"/>
          <w:lang w:eastAsia="en-US"/>
        </w:rPr>
        <w:t>del análisis de las constancias que integran el expediente de Primera Instancia remitidos para la substanciación del presente recurso, a las que se les otorga pleno valor probatorio, por tratarse de actuaciones procesales, conforme a lo dispuesto por el artículo 203 fracción I de la Ley de Procedimiento Justicia Administrativa para el Estado de Oaxaca, se advierte:</w:t>
      </w:r>
    </w:p>
    <w:p w14:paraId="46773B45" w14:textId="77777777" w:rsidR="00204105" w:rsidRPr="00204105" w:rsidRDefault="00204105" w:rsidP="00204105">
      <w:pPr>
        <w:spacing w:after="0" w:line="360" w:lineRule="auto"/>
        <w:ind w:right="49"/>
        <w:jc w:val="both"/>
        <w:rPr>
          <w:rFonts w:ascii="Arial" w:eastAsiaTheme="minorHAnsi" w:hAnsi="Arial" w:cs="Arial"/>
          <w:color w:val="000000"/>
          <w:sz w:val="26"/>
          <w:szCs w:val="26"/>
          <w:lang w:eastAsia="en-US"/>
        </w:rPr>
      </w:pPr>
      <w:r w:rsidRPr="00204105">
        <w:rPr>
          <w:rFonts w:ascii="Arial" w:eastAsiaTheme="minorHAnsi" w:hAnsi="Arial" w:cs="Arial"/>
          <w:color w:val="000000"/>
          <w:sz w:val="26"/>
          <w:szCs w:val="26"/>
          <w:lang w:eastAsia="en-US"/>
        </w:rPr>
        <w:t xml:space="preserve"> </w:t>
      </w:r>
    </w:p>
    <w:p w14:paraId="67299DF5" w14:textId="77777777" w:rsidR="00204105" w:rsidRPr="00204105" w:rsidRDefault="00204105" w:rsidP="00204105">
      <w:pPr>
        <w:numPr>
          <w:ilvl w:val="0"/>
          <w:numId w:val="12"/>
        </w:numPr>
        <w:spacing w:after="0" w:line="360" w:lineRule="auto"/>
        <w:contextualSpacing/>
        <w:jc w:val="both"/>
        <w:rPr>
          <w:rFonts w:ascii="Arial" w:eastAsiaTheme="minorHAnsi" w:hAnsi="Arial" w:cs="Arial"/>
          <w:sz w:val="26"/>
          <w:szCs w:val="26"/>
          <w:lang w:eastAsia="en-US"/>
        </w:rPr>
      </w:pPr>
      <w:r w:rsidRPr="00204105">
        <w:rPr>
          <w:rFonts w:ascii="Arial" w:eastAsiaTheme="minorHAnsi" w:hAnsi="Arial" w:cs="Arial"/>
          <w:color w:val="000000"/>
          <w:sz w:val="26"/>
          <w:szCs w:val="26"/>
          <w:lang w:eastAsia="en-US"/>
        </w:rPr>
        <w:t>La parte actora</w:t>
      </w:r>
      <w:r w:rsidRPr="00204105">
        <w:rPr>
          <w:rFonts w:ascii="Arial" w:eastAsiaTheme="minorHAnsi" w:hAnsi="Arial" w:cs="Arial"/>
          <w:sz w:val="26"/>
          <w:szCs w:val="26"/>
          <w:lang w:eastAsia="en-US"/>
        </w:rPr>
        <w:t xml:space="preserve"> señaló como autoridad demandada a:- - - - </w:t>
      </w:r>
    </w:p>
    <w:p w14:paraId="429D9C51" w14:textId="77777777" w:rsidR="00204105" w:rsidRPr="00204105" w:rsidRDefault="00204105" w:rsidP="00204105">
      <w:pPr>
        <w:spacing w:after="0" w:line="360" w:lineRule="auto"/>
        <w:ind w:left="1068"/>
        <w:contextualSpacing/>
        <w:jc w:val="both"/>
        <w:rPr>
          <w:rFonts w:ascii="Arial" w:eastAsiaTheme="minorHAnsi" w:hAnsi="Arial" w:cs="Arial"/>
          <w:sz w:val="26"/>
          <w:szCs w:val="26"/>
          <w:lang w:eastAsia="en-US"/>
        </w:rPr>
      </w:pPr>
    </w:p>
    <w:p w14:paraId="3382A0E0" w14:textId="77777777" w:rsidR="00204105" w:rsidRPr="00204105" w:rsidRDefault="00204105" w:rsidP="00204105">
      <w:pPr>
        <w:spacing w:after="0" w:line="360" w:lineRule="auto"/>
        <w:ind w:left="1134" w:right="335"/>
        <w:jc w:val="both"/>
        <w:rPr>
          <w:rFonts w:ascii="Arial" w:eastAsiaTheme="minorHAnsi" w:hAnsi="Arial" w:cs="Arial"/>
          <w:i/>
          <w:sz w:val="24"/>
          <w:szCs w:val="24"/>
          <w:lang w:eastAsia="en-US"/>
        </w:rPr>
      </w:pPr>
      <w:r w:rsidRPr="00204105">
        <w:rPr>
          <w:rFonts w:ascii="Arial" w:eastAsiaTheme="minorHAnsi" w:hAnsi="Arial" w:cs="Arial"/>
          <w:sz w:val="26"/>
          <w:szCs w:val="26"/>
          <w:lang w:eastAsia="en-US"/>
        </w:rPr>
        <w:t>“</w:t>
      </w:r>
      <w:r w:rsidRPr="00204105">
        <w:rPr>
          <w:rFonts w:ascii="Arial" w:eastAsiaTheme="minorHAnsi" w:hAnsi="Arial" w:cs="Arial"/>
          <w:i/>
          <w:sz w:val="24"/>
          <w:szCs w:val="24"/>
          <w:lang w:eastAsia="en-US"/>
        </w:rPr>
        <w:t xml:space="preserve">1) Policía Vial con número estadístico PV-261 del estado de Oaxaca de Juárez, Oaxaca, con domicilio en Av. Ferrocarril número 701, colonia José Vasconcelos, Oaxaca de Juárez, </w:t>
      </w:r>
      <w:proofErr w:type="spellStart"/>
      <w:r w:rsidRPr="00204105">
        <w:rPr>
          <w:rFonts w:ascii="Arial" w:eastAsiaTheme="minorHAnsi" w:hAnsi="Arial" w:cs="Arial"/>
          <w:i/>
          <w:sz w:val="24"/>
          <w:szCs w:val="24"/>
          <w:lang w:eastAsia="en-US"/>
        </w:rPr>
        <w:t>Oax</w:t>
      </w:r>
      <w:proofErr w:type="spellEnd"/>
      <w:r w:rsidRPr="00204105">
        <w:rPr>
          <w:rFonts w:ascii="Arial" w:eastAsiaTheme="minorHAnsi" w:hAnsi="Arial" w:cs="Arial"/>
          <w:i/>
          <w:sz w:val="24"/>
          <w:szCs w:val="24"/>
          <w:lang w:eastAsia="en-US"/>
        </w:rPr>
        <w:t xml:space="preserve">.”- - - - - - - - - - - - - - - - - - - - - - - - - - - - - - - - - - - - - - - - - - </w:t>
      </w:r>
    </w:p>
    <w:p w14:paraId="356275DC" w14:textId="77777777" w:rsidR="00204105" w:rsidRPr="00204105" w:rsidRDefault="00204105" w:rsidP="00204105">
      <w:pPr>
        <w:spacing w:after="0" w:line="360" w:lineRule="auto"/>
        <w:jc w:val="both"/>
        <w:rPr>
          <w:rFonts w:ascii="Arial" w:eastAsiaTheme="minorHAnsi" w:hAnsi="Arial" w:cs="Arial"/>
          <w:i/>
          <w:sz w:val="24"/>
          <w:szCs w:val="24"/>
          <w:lang w:eastAsia="en-US"/>
        </w:rPr>
      </w:pPr>
      <w:r w:rsidRPr="00204105">
        <w:rPr>
          <w:rFonts w:ascii="Arial" w:eastAsiaTheme="minorHAnsi" w:hAnsi="Arial" w:cs="Arial"/>
          <w:i/>
          <w:sz w:val="24"/>
          <w:szCs w:val="24"/>
          <w:lang w:eastAsia="en-US"/>
        </w:rPr>
        <w:t xml:space="preserve"> </w:t>
      </w:r>
    </w:p>
    <w:p w14:paraId="1D505383" w14:textId="77777777" w:rsidR="00204105" w:rsidRPr="00204105" w:rsidRDefault="00204105" w:rsidP="00204105">
      <w:pPr>
        <w:spacing w:after="120" w:line="360" w:lineRule="auto"/>
        <w:ind w:firstLine="708"/>
        <w:jc w:val="both"/>
        <w:rPr>
          <w:rFonts w:ascii="Arial" w:eastAsiaTheme="minorHAnsi" w:hAnsi="Arial" w:cs="Arial"/>
          <w:sz w:val="26"/>
          <w:szCs w:val="26"/>
          <w:lang w:eastAsia="en-US"/>
        </w:rPr>
      </w:pPr>
      <w:r w:rsidRPr="00204105">
        <w:rPr>
          <w:rFonts w:ascii="Arial" w:eastAsiaTheme="minorHAnsi" w:hAnsi="Arial" w:cs="Arial"/>
          <w:sz w:val="26"/>
          <w:szCs w:val="26"/>
          <w:lang w:eastAsia="en-US"/>
        </w:rPr>
        <w:t xml:space="preserve">Luego, el artículo </w:t>
      </w:r>
      <w:r w:rsidRPr="00204105">
        <w:rPr>
          <w:rFonts w:ascii="Arial" w:eastAsia="Calibri" w:hAnsi="Arial" w:cs="Arial"/>
          <w:bCs/>
          <w:sz w:val="26"/>
          <w:szCs w:val="26"/>
          <w:lang w:val="es-ES" w:eastAsia="en-US"/>
        </w:rPr>
        <w:t>236 de la Ley de Procedimiento y Justicia Administrativa para el Estado de Oaxaca</w:t>
      </w:r>
      <w:r w:rsidRPr="00204105">
        <w:rPr>
          <w:rFonts w:ascii="Arial" w:eastAsiaTheme="minorHAnsi" w:hAnsi="Arial" w:cs="Arial"/>
          <w:sz w:val="26"/>
          <w:szCs w:val="26"/>
          <w:lang w:eastAsia="en-US"/>
        </w:rPr>
        <w:t>; establece: - - - - - - - - - - - - - -</w:t>
      </w:r>
    </w:p>
    <w:p w14:paraId="2DA09338"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lang w:eastAsia="en-US"/>
        </w:rPr>
        <w:t>“</w:t>
      </w:r>
      <w:r w:rsidRPr="00204105">
        <w:rPr>
          <w:rFonts w:ascii="Arial" w:eastAsiaTheme="minorHAnsi" w:hAnsi="Arial" w:cs="Arial"/>
          <w:b/>
          <w:i/>
          <w:lang w:eastAsia="en-US"/>
        </w:rPr>
        <w:t>Artículo 236.-</w:t>
      </w:r>
      <w:r w:rsidRPr="00204105">
        <w:rPr>
          <w:rFonts w:ascii="Arial" w:eastAsiaTheme="minorHAnsi" w:hAnsi="Arial" w:cs="Arial"/>
          <w:i/>
          <w:lang w:eastAsia="en-US"/>
        </w:rPr>
        <w:t xml:space="preserve"> Contra los acuerdos y resoluciones dictadas por las salas unitarias de primera instancia, procede el recurso de revisión, cuyo conocimiento y resolución corresponde a la Sala Superior. </w:t>
      </w:r>
    </w:p>
    <w:p w14:paraId="043CA1E4"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 xml:space="preserve">Podrán ser impugnados por las partes, mediante recurso de revisión: </w:t>
      </w:r>
    </w:p>
    <w:p w14:paraId="251B5370" w14:textId="77777777" w:rsidR="00204105" w:rsidRPr="00204105" w:rsidRDefault="00204105" w:rsidP="00EE0B20">
      <w:pPr>
        <w:spacing w:before="240"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I. Los acuerdos que admitan o desechen la demanda, su contestación o ampliación;</w:t>
      </w:r>
    </w:p>
    <w:p w14:paraId="245CBE97"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II. El acuerdo que deseche pruebas;</w:t>
      </w:r>
    </w:p>
    <w:p w14:paraId="15086499"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III. El acuerdo que rechace la intervención del tercero;</w:t>
      </w:r>
    </w:p>
    <w:p w14:paraId="7E080ED4"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IV. Los acuerdos que decreten, nieguen o revoquen la suspensión;</w:t>
      </w:r>
    </w:p>
    <w:p w14:paraId="162DE5A3"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V. Las resoluciones que decidan incidentes a que se refiere el artículo 224 de esta Ley;</w:t>
      </w:r>
    </w:p>
    <w:p w14:paraId="79CF5330"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 xml:space="preserve">VI. Las resoluciones que decreten o nieguen el sobreseimiento; </w:t>
      </w:r>
    </w:p>
    <w:p w14:paraId="21B74263"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VII. Las sentencias que decidan la cuestión planteada;</w:t>
      </w:r>
    </w:p>
    <w:p w14:paraId="0E7AA3D0" w14:textId="77777777" w:rsidR="00204105" w:rsidRPr="00204105" w:rsidRDefault="00204105" w:rsidP="00EE0B20">
      <w:pPr>
        <w:spacing w:after="0" w:line="240" w:lineRule="auto"/>
        <w:ind w:left="1134" w:right="900"/>
        <w:jc w:val="both"/>
        <w:rPr>
          <w:rFonts w:ascii="Arial" w:eastAsiaTheme="minorHAnsi" w:hAnsi="Arial" w:cs="Arial"/>
          <w:i/>
          <w:lang w:eastAsia="en-US"/>
        </w:rPr>
      </w:pPr>
      <w:r w:rsidRPr="00204105">
        <w:rPr>
          <w:rFonts w:ascii="Arial" w:eastAsiaTheme="minorHAnsi" w:hAnsi="Arial" w:cs="Arial"/>
          <w:i/>
          <w:lang w:eastAsia="en-US"/>
        </w:rPr>
        <w:t>VIII. Por violaciones cometidas durante el procedimiento del juicio, cuando hayan dejado sin defensa al recurrente y trasciendan al sentido de la sentencia; y</w:t>
      </w:r>
    </w:p>
    <w:p w14:paraId="11EB1FDB" w14:textId="77777777" w:rsidR="00204105" w:rsidRPr="00204105" w:rsidRDefault="00204105" w:rsidP="00EE0B20">
      <w:pPr>
        <w:spacing w:after="0" w:line="240" w:lineRule="auto"/>
        <w:ind w:left="1134" w:right="900"/>
        <w:jc w:val="both"/>
        <w:rPr>
          <w:rFonts w:ascii="Arial" w:eastAsiaTheme="minorHAnsi" w:hAnsi="Arial" w:cs="Arial"/>
          <w:lang w:eastAsia="en-US"/>
        </w:rPr>
      </w:pPr>
      <w:r w:rsidRPr="00204105">
        <w:rPr>
          <w:rFonts w:ascii="Arial" w:eastAsiaTheme="minorHAnsi" w:hAnsi="Arial" w:cs="Arial"/>
          <w:i/>
          <w:lang w:eastAsia="en-US"/>
        </w:rPr>
        <w:t>VII. Las resoluciones que pongan fin al procedimiento de ejecución de la sentencia</w:t>
      </w:r>
      <w:r w:rsidRPr="00204105">
        <w:rPr>
          <w:rFonts w:ascii="Arial" w:eastAsiaTheme="minorHAnsi" w:hAnsi="Arial" w:cs="Arial"/>
          <w:lang w:eastAsia="en-US"/>
        </w:rPr>
        <w:t xml:space="preserve">”.- - - - - - - - - - - - - - - - - - - - - - - - - - - </w:t>
      </w:r>
    </w:p>
    <w:p w14:paraId="0431DE5E" w14:textId="77777777" w:rsidR="00204105" w:rsidRPr="00204105" w:rsidRDefault="00204105" w:rsidP="00204105">
      <w:pPr>
        <w:spacing w:before="240" w:line="360" w:lineRule="auto"/>
        <w:ind w:right="49"/>
        <w:jc w:val="both"/>
        <w:rPr>
          <w:rFonts w:ascii="Arial" w:eastAsiaTheme="minorHAnsi" w:hAnsi="Arial" w:cs="Arial"/>
          <w:sz w:val="26"/>
          <w:szCs w:val="26"/>
          <w:lang w:eastAsia="en-US"/>
        </w:rPr>
      </w:pPr>
      <w:r w:rsidRPr="00204105">
        <w:rPr>
          <w:rFonts w:ascii="Arial" w:eastAsiaTheme="minorHAnsi" w:hAnsi="Arial" w:cs="Arial"/>
          <w:sz w:val="26"/>
          <w:szCs w:val="26"/>
          <w:lang w:eastAsia="en-US"/>
        </w:rPr>
        <w:t xml:space="preserve">Y el diverso numeral </w:t>
      </w:r>
      <w:r w:rsidRPr="00204105">
        <w:rPr>
          <w:rFonts w:ascii="Arial" w:eastAsia="Calibri" w:hAnsi="Arial" w:cs="Arial"/>
          <w:bCs/>
          <w:sz w:val="26"/>
          <w:szCs w:val="26"/>
          <w:lang w:val="es-ES" w:eastAsia="en-US"/>
        </w:rPr>
        <w:t>163 de la Ley de la materia, que</w:t>
      </w:r>
      <w:r w:rsidRPr="00204105">
        <w:rPr>
          <w:rFonts w:ascii="Arial" w:eastAsiaTheme="minorHAnsi" w:hAnsi="Arial" w:cs="Arial"/>
          <w:sz w:val="26"/>
          <w:szCs w:val="26"/>
          <w:lang w:eastAsia="en-US"/>
        </w:rPr>
        <w:t xml:space="preserve"> indica lo siguiente:</w:t>
      </w:r>
    </w:p>
    <w:p w14:paraId="082C6C68"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w:t>
      </w:r>
      <w:r w:rsidRPr="00204105">
        <w:rPr>
          <w:rFonts w:ascii="Arial" w:eastAsiaTheme="minorHAnsi" w:hAnsi="Arial" w:cs="Arial"/>
          <w:b/>
          <w:i/>
          <w:lang w:val="es-ES" w:eastAsia="en-US"/>
        </w:rPr>
        <w:t>ARTÍCULO 163</w:t>
      </w:r>
      <w:r w:rsidRPr="00204105">
        <w:rPr>
          <w:rFonts w:ascii="Arial" w:eastAsiaTheme="minorHAnsi" w:hAnsi="Arial" w:cs="Arial"/>
          <w:i/>
          <w:lang w:val="es-ES" w:eastAsia="en-US"/>
        </w:rPr>
        <w:t>.- Son partes en el juicio contencioso administrativo:</w:t>
      </w:r>
    </w:p>
    <w:p w14:paraId="2B47845C"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 xml:space="preserve"> I. El actor. Tendrá ese carácter: </w:t>
      </w:r>
    </w:p>
    <w:p w14:paraId="71AD8833"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a) El Administrado, que será el particular que tenga interés jurídico o legítimo que funde su pretensión; y</w:t>
      </w:r>
    </w:p>
    <w:p w14:paraId="294EF102"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 xml:space="preserve">b) La autoridad en el juicio de lesividad. </w:t>
      </w:r>
    </w:p>
    <w:p w14:paraId="5480A388"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 xml:space="preserve">II. El demandado. Tendrá ese carácter: </w:t>
      </w:r>
    </w:p>
    <w:p w14:paraId="660E6F05"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a) La autoridad que dicte, ordene, ejecute o trate de ejecutar el acto impugnado, o que omita dar respuesta a las peticiones o instancias de los particulares;</w:t>
      </w:r>
    </w:p>
    <w:p w14:paraId="52C6121E"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b) La persona o institución que funja como autoridad administrativa o fiscal en el ámbito estatal o municipal o en los Organismos Públicos Descentralizados, que dicte, ordene, ejecute o trate de ejecutar el acto o resolución impugnados; y</w:t>
      </w:r>
    </w:p>
    <w:p w14:paraId="13B1FA0B" w14:textId="77777777" w:rsidR="00204105" w:rsidRPr="00204105" w:rsidRDefault="00204105" w:rsidP="00EE0B20">
      <w:pPr>
        <w:spacing w:before="240"/>
        <w:ind w:left="1134" w:right="900"/>
        <w:jc w:val="both"/>
        <w:rPr>
          <w:rFonts w:ascii="Arial" w:eastAsiaTheme="minorHAnsi" w:hAnsi="Arial" w:cs="Arial"/>
          <w:i/>
          <w:lang w:val="es-ES" w:eastAsia="en-US"/>
        </w:rPr>
      </w:pPr>
      <w:r w:rsidRPr="00204105">
        <w:rPr>
          <w:rFonts w:ascii="Arial" w:eastAsiaTheme="minorHAnsi" w:hAnsi="Arial" w:cs="Arial"/>
          <w:i/>
          <w:lang w:val="es-ES" w:eastAsia="en-US"/>
        </w:rPr>
        <w:t>c) El particular a quien favorezca la resolución cuya modificación o nulidad demande la autoridad administrativa, estatal o municipal.</w:t>
      </w:r>
    </w:p>
    <w:p w14:paraId="2DD2361D" w14:textId="77777777" w:rsidR="00204105" w:rsidRPr="00204105" w:rsidRDefault="00204105" w:rsidP="00EE0B20">
      <w:pPr>
        <w:spacing w:before="240"/>
        <w:ind w:left="1134" w:right="900"/>
        <w:jc w:val="both"/>
        <w:rPr>
          <w:rFonts w:ascii="Arial" w:eastAsiaTheme="minorHAnsi" w:hAnsi="Arial" w:cs="Arial"/>
          <w:i/>
          <w:sz w:val="26"/>
          <w:szCs w:val="26"/>
          <w:lang w:eastAsia="en-US"/>
        </w:rPr>
      </w:pPr>
      <w:r w:rsidRPr="00204105">
        <w:rPr>
          <w:rFonts w:ascii="Arial" w:eastAsiaTheme="minorHAnsi" w:hAnsi="Arial" w:cs="Arial"/>
          <w:i/>
          <w:lang w:val="es-ES" w:eastAsia="en-US"/>
        </w:rPr>
        <w:lastRenderedPageBreak/>
        <w:t>III. El tercero afectado, pudiendo intervenir con ese carácter cualquier persona física o moral, cuyos intereses puedan resultar incompatibles con las pretensiones del actor y que demuestre interés en que subsista el acto administrativo combatido.”</w:t>
      </w:r>
    </w:p>
    <w:p w14:paraId="7472C043" w14:textId="77777777" w:rsidR="00204105" w:rsidRPr="00204105" w:rsidRDefault="00204105" w:rsidP="00204105">
      <w:pPr>
        <w:spacing w:before="240" w:line="360" w:lineRule="auto"/>
        <w:ind w:right="49" w:firstLine="708"/>
        <w:jc w:val="both"/>
        <w:rPr>
          <w:rFonts w:ascii="Arial" w:eastAsiaTheme="minorHAnsi" w:hAnsi="Arial" w:cs="Arial"/>
          <w:sz w:val="26"/>
          <w:szCs w:val="26"/>
          <w:lang w:eastAsia="en-US"/>
        </w:rPr>
      </w:pPr>
      <w:r w:rsidRPr="00204105">
        <w:rPr>
          <w:rFonts w:ascii="Arial" w:eastAsiaTheme="minorHAnsi" w:hAnsi="Arial" w:cs="Arial"/>
          <w:sz w:val="26"/>
          <w:szCs w:val="26"/>
          <w:lang w:eastAsia="en-US"/>
        </w:rPr>
        <w:t>Sin que en el asunto que nos ocupa, el Director General de la Policía Vial Estatal, actualice alguna de las hipótesis previstas por los artículos anteriormente transcritos.</w:t>
      </w:r>
    </w:p>
    <w:p w14:paraId="7146C059" w14:textId="77777777" w:rsidR="00204105" w:rsidRPr="00204105" w:rsidRDefault="00204105" w:rsidP="00204105">
      <w:pPr>
        <w:spacing w:before="240" w:line="360" w:lineRule="auto"/>
        <w:ind w:right="49" w:firstLine="708"/>
        <w:jc w:val="both"/>
        <w:rPr>
          <w:rFonts w:ascii="Arial" w:eastAsiaTheme="minorHAnsi" w:hAnsi="Arial" w:cs="Arial"/>
          <w:sz w:val="26"/>
          <w:szCs w:val="26"/>
          <w:lang w:val="es-ES" w:eastAsia="en-US"/>
        </w:rPr>
      </w:pPr>
      <w:r w:rsidRPr="00204105">
        <w:rPr>
          <w:rFonts w:ascii="Arial" w:eastAsiaTheme="minorHAnsi" w:hAnsi="Arial" w:cs="Arial"/>
          <w:sz w:val="26"/>
          <w:szCs w:val="26"/>
          <w:lang w:eastAsia="en-US"/>
        </w:rPr>
        <w:t xml:space="preserve">Luego, como ya se puntualizó, no fue señalado como autoridad demandada por la actora y por ello, no </w:t>
      </w:r>
      <w:r w:rsidRPr="00204105">
        <w:rPr>
          <w:rFonts w:ascii="Arial" w:eastAsiaTheme="minorHAnsi" w:hAnsi="Arial" w:cs="Arial"/>
          <w:sz w:val="26"/>
          <w:szCs w:val="26"/>
          <w:lang w:val="es-ES" w:eastAsia="en-US"/>
        </w:rPr>
        <w:t>cuenta con legitimación para interponer el presente medio de impugnación, porque en todo caso quien debe acudir a reclamar su ilegalidad es a quien le afecta directamente, como lo es el Policía Vial demandado, porque es a dicha autoridad a quien se tuvo como parte en el juicio de nulidad.</w:t>
      </w:r>
    </w:p>
    <w:p w14:paraId="424E19D5" w14:textId="77777777" w:rsidR="00204105" w:rsidRPr="00204105" w:rsidRDefault="00204105" w:rsidP="00204105">
      <w:pPr>
        <w:spacing w:before="240" w:line="360" w:lineRule="auto"/>
        <w:ind w:right="49" w:firstLine="708"/>
        <w:jc w:val="both"/>
        <w:rPr>
          <w:rFonts w:ascii="Arial" w:eastAsiaTheme="minorHAnsi" w:hAnsi="Arial" w:cs="Arial"/>
          <w:sz w:val="26"/>
          <w:szCs w:val="26"/>
          <w:lang w:val="es-ES" w:eastAsia="en-US"/>
        </w:rPr>
      </w:pPr>
      <w:r w:rsidRPr="00204105">
        <w:rPr>
          <w:rFonts w:ascii="Arial" w:eastAsiaTheme="minorHAnsi" w:hAnsi="Arial" w:cs="Arial"/>
          <w:sz w:val="26"/>
          <w:szCs w:val="26"/>
          <w:lang w:val="es-ES" w:eastAsia="en-US"/>
        </w:rPr>
        <w:t xml:space="preserve">Además, durante la tramitación del juicio de nulidad, </w:t>
      </w:r>
      <w:r w:rsidRPr="00204105">
        <w:rPr>
          <w:rFonts w:ascii="Arial" w:eastAsiaTheme="minorHAnsi" w:hAnsi="Arial" w:cs="Arial"/>
          <w:sz w:val="26"/>
          <w:szCs w:val="26"/>
          <w:lang w:eastAsia="en-US"/>
        </w:rPr>
        <w:t>el Director General de la Policía Vial Estatal</w:t>
      </w:r>
      <w:r w:rsidRPr="00204105">
        <w:rPr>
          <w:rFonts w:ascii="Arial" w:eastAsiaTheme="minorHAnsi" w:hAnsi="Arial" w:cs="Arial"/>
          <w:sz w:val="26"/>
          <w:szCs w:val="26"/>
          <w:lang w:val="es-ES" w:eastAsia="en-US"/>
        </w:rPr>
        <w:t>, no hizo manifestación alguna respecto a que el Policía Vial PV-261, ya no fungía como miembro de esa corporación, para en su caso tener a diversa autoridad interviniendo en el juicio de nulidad a su nombre y representación.</w:t>
      </w:r>
    </w:p>
    <w:p w14:paraId="4941D1D3" w14:textId="77777777" w:rsidR="00204105" w:rsidRPr="00204105" w:rsidRDefault="00204105" w:rsidP="00204105">
      <w:pPr>
        <w:spacing w:before="240" w:line="360" w:lineRule="auto"/>
        <w:ind w:right="49" w:firstLine="708"/>
        <w:jc w:val="both"/>
        <w:rPr>
          <w:rFonts w:ascii="Arial" w:eastAsiaTheme="minorHAnsi" w:hAnsi="Arial" w:cs="Arial"/>
          <w:sz w:val="26"/>
          <w:szCs w:val="26"/>
          <w:lang w:eastAsia="en-US"/>
        </w:rPr>
      </w:pPr>
      <w:r w:rsidRPr="00204105">
        <w:rPr>
          <w:rFonts w:ascii="Arial" w:eastAsiaTheme="minorHAnsi" w:hAnsi="Arial" w:cs="Arial"/>
          <w:sz w:val="26"/>
          <w:szCs w:val="26"/>
          <w:lang w:eastAsia="en-US"/>
        </w:rPr>
        <w:t xml:space="preserve">Consecuentemente, el actual medio de defensa se torna </w:t>
      </w:r>
      <w:r w:rsidRPr="00204105">
        <w:rPr>
          <w:rFonts w:ascii="Arial" w:eastAsiaTheme="minorHAnsi" w:hAnsi="Arial" w:cs="Arial"/>
          <w:b/>
          <w:sz w:val="26"/>
          <w:szCs w:val="26"/>
          <w:lang w:eastAsia="en-US"/>
        </w:rPr>
        <w:t>improcedente</w:t>
      </w:r>
      <w:r w:rsidRPr="00204105">
        <w:rPr>
          <w:rFonts w:ascii="Arial" w:eastAsiaTheme="minorHAnsi" w:hAnsi="Arial" w:cs="Arial"/>
          <w:sz w:val="26"/>
          <w:szCs w:val="26"/>
          <w:lang w:eastAsia="en-US"/>
        </w:rPr>
        <w:t xml:space="preserve"> pues se insiste, la impugnación de acuerdos y resoluciones dictados en la tramitación del juicio de nulidad, sólo podrá realizarse por las partes que intervienen en el juicio, y el aquí recurrente, no acredita contar con el carácter de parte, lo que le priva del derecho de controvertir las resoluciones dictadas por la Primera Instancia.</w:t>
      </w:r>
    </w:p>
    <w:p w14:paraId="219DE717" w14:textId="147189F1" w:rsidR="00204105" w:rsidRPr="00282C2C" w:rsidRDefault="00204105" w:rsidP="00282C2C">
      <w:pPr>
        <w:spacing w:before="240" w:line="360" w:lineRule="auto"/>
        <w:ind w:right="49" w:firstLine="708"/>
        <w:jc w:val="both"/>
        <w:rPr>
          <w:rFonts w:ascii="Arial" w:eastAsiaTheme="minorHAnsi" w:hAnsi="Arial" w:cs="Arial"/>
          <w:sz w:val="26"/>
          <w:szCs w:val="26"/>
          <w:lang w:eastAsia="en-US"/>
        </w:rPr>
      </w:pPr>
      <w:r w:rsidRPr="00204105">
        <w:rPr>
          <w:rFonts w:ascii="Arial" w:eastAsiaTheme="minorHAnsi" w:hAnsi="Arial" w:cs="Arial"/>
          <w:sz w:val="26"/>
          <w:szCs w:val="26"/>
          <w:lang w:eastAsia="en-US"/>
        </w:rPr>
        <w:t xml:space="preserve">En mérito de lo anterior, se impone </w:t>
      </w:r>
      <w:r w:rsidRPr="00204105">
        <w:rPr>
          <w:rFonts w:ascii="Arial" w:eastAsiaTheme="minorHAnsi" w:hAnsi="Arial" w:cs="Arial"/>
          <w:b/>
          <w:sz w:val="26"/>
          <w:szCs w:val="26"/>
          <w:lang w:eastAsia="en-US"/>
        </w:rPr>
        <w:t>desechar</w:t>
      </w:r>
      <w:r w:rsidRPr="00204105">
        <w:rPr>
          <w:rFonts w:ascii="Arial" w:eastAsiaTheme="minorHAnsi" w:hAnsi="Arial" w:cs="Arial"/>
          <w:sz w:val="26"/>
          <w:szCs w:val="26"/>
          <w:lang w:eastAsia="en-US"/>
        </w:rPr>
        <w:t xml:space="preserve"> por </w:t>
      </w:r>
      <w:r w:rsidRPr="00204105">
        <w:rPr>
          <w:rFonts w:ascii="Arial" w:eastAsiaTheme="minorHAnsi" w:hAnsi="Arial" w:cs="Arial"/>
          <w:b/>
          <w:sz w:val="26"/>
          <w:szCs w:val="26"/>
          <w:lang w:eastAsia="en-US"/>
        </w:rPr>
        <w:t xml:space="preserve">improcedente </w:t>
      </w:r>
      <w:r w:rsidRPr="00204105">
        <w:rPr>
          <w:rFonts w:ascii="Arial" w:eastAsiaTheme="minorHAnsi" w:hAnsi="Arial" w:cs="Arial"/>
          <w:sz w:val="26"/>
          <w:szCs w:val="26"/>
          <w:lang w:eastAsia="en-US"/>
        </w:rPr>
        <w:t xml:space="preserve">el recurso de revisión interpuesto por el </w:t>
      </w:r>
      <w:r w:rsidRPr="00204105">
        <w:rPr>
          <w:rFonts w:ascii="Arial" w:eastAsiaTheme="minorHAnsi" w:hAnsi="Arial" w:cs="Arial"/>
          <w:b/>
          <w:sz w:val="26"/>
          <w:szCs w:val="26"/>
          <w:lang w:eastAsia="en-US"/>
        </w:rPr>
        <w:t xml:space="preserve">Director General de la Policía Vial Estatal, </w:t>
      </w:r>
      <w:r w:rsidRPr="00204105">
        <w:rPr>
          <w:rFonts w:ascii="Arial" w:eastAsiaTheme="minorHAnsi" w:hAnsi="Arial" w:cs="Arial"/>
          <w:sz w:val="26"/>
          <w:szCs w:val="26"/>
          <w:lang w:eastAsia="en-US"/>
        </w:rPr>
        <w:t>en contra de la sentencia de veintinueve de noviembre de dos mil diecinueve; y con fundamento en los artículos 237 y 238 de la Ley de Procedimiento y Justicia Administrativa para el Estado, se:</w:t>
      </w:r>
    </w:p>
    <w:p w14:paraId="41B7280F" w14:textId="77777777" w:rsidR="00204105" w:rsidRPr="00204105" w:rsidRDefault="00204105" w:rsidP="00204105">
      <w:pPr>
        <w:spacing w:before="240" w:line="360" w:lineRule="auto"/>
        <w:ind w:right="49"/>
        <w:jc w:val="center"/>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 E S U E L V E:</w:t>
      </w:r>
    </w:p>
    <w:p w14:paraId="2A88A4F6" w14:textId="0F3771CA" w:rsidR="00204105" w:rsidRPr="00204105" w:rsidRDefault="00204105" w:rsidP="00204105">
      <w:pPr>
        <w:spacing w:before="240" w:line="360" w:lineRule="auto"/>
        <w:ind w:right="49"/>
        <w:jc w:val="both"/>
        <w:rPr>
          <w:rFonts w:ascii="Arial" w:eastAsiaTheme="minorHAnsi" w:hAnsi="Arial" w:cs="Arial"/>
          <w:color w:val="000000"/>
          <w:sz w:val="26"/>
          <w:szCs w:val="26"/>
          <w:lang w:eastAsia="en-US"/>
        </w:rPr>
      </w:pPr>
      <w:r w:rsidRPr="00204105">
        <w:rPr>
          <w:rFonts w:ascii="Arial" w:eastAsiaTheme="minorHAnsi" w:hAnsi="Arial" w:cs="Arial"/>
          <w:b/>
          <w:sz w:val="24"/>
          <w:szCs w:val="24"/>
          <w:lang w:val="es-ES" w:eastAsia="en-US"/>
        </w:rPr>
        <w:t xml:space="preserve"> </w:t>
      </w:r>
      <w:r>
        <w:rPr>
          <w:rFonts w:ascii="Arial" w:eastAsiaTheme="minorHAnsi" w:hAnsi="Arial" w:cs="Arial"/>
          <w:b/>
          <w:sz w:val="24"/>
          <w:szCs w:val="24"/>
          <w:lang w:val="es-ES" w:eastAsia="en-US"/>
        </w:rPr>
        <w:tab/>
      </w:r>
      <w:r w:rsidRPr="00204105">
        <w:rPr>
          <w:rFonts w:ascii="Arial" w:eastAsiaTheme="minorHAnsi" w:hAnsi="Arial" w:cs="Arial"/>
          <w:b/>
          <w:color w:val="000000"/>
          <w:sz w:val="26"/>
          <w:szCs w:val="26"/>
          <w:lang w:val="es-ES" w:eastAsia="en-US"/>
        </w:rPr>
        <w:t>PRIMERO</w:t>
      </w:r>
      <w:r w:rsidRPr="00204105">
        <w:rPr>
          <w:rFonts w:ascii="Arial" w:eastAsiaTheme="minorHAnsi" w:hAnsi="Arial" w:cs="Arial"/>
          <w:color w:val="000000"/>
          <w:sz w:val="26"/>
          <w:szCs w:val="26"/>
          <w:lang w:val="es-ES" w:eastAsia="en-US"/>
        </w:rPr>
        <w:t xml:space="preserve">. </w:t>
      </w:r>
      <w:r w:rsidRPr="00204105">
        <w:rPr>
          <w:rFonts w:ascii="Arial" w:eastAsiaTheme="minorHAnsi" w:hAnsi="Arial" w:cs="Arial"/>
          <w:color w:val="000000"/>
          <w:sz w:val="26"/>
          <w:szCs w:val="26"/>
          <w:lang w:eastAsia="en-US"/>
        </w:rPr>
        <w:t xml:space="preserve">Se </w:t>
      </w:r>
      <w:r w:rsidRPr="00204105">
        <w:rPr>
          <w:rFonts w:ascii="Arial" w:eastAsiaTheme="minorHAnsi" w:hAnsi="Arial" w:cs="Arial"/>
          <w:b/>
          <w:color w:val="000000"/>
          <w:sz w:val="26"/>
          <w:szCs w:val="26"/>
          <w:lang w:eastAsia="en-US"/>
        </w:rPr>
        <w:t xml:space="preserve">DESECHA </w:t>
      </w:r>
      <w:r w:rsidRPr="00204105">
        <w:rPr>
          <w:rFonts w:ascii="Arial" w:eastAsiaTheme="minorHAnsi" w:hAnsi="Arial" w:cs="Arial"/>
          <w:sz w:val="26"/>
          <w:szCs w:val="26"/>
          <w:lang w:eastAsia="en-US"/>
        </w:rPr>
        <w:t xml:space="preserve">por </w:t>
      </w:r>
      <w:r w:rsidRPr="00204105">
        <w:rPr>
          <w:rFonts w:ascii="Arial" w:eastAsiaTheme="minorHAnsi" w:hAnsi="Arial" w:cs="Arial"/>
          <w:b/>
          <w:sz w:val="26"/>
          <w:szCs w:val="26"/>
          <w:lang w:eastAsia="en-US"/>
        </w:rPr>
        <w:t xml:space="preserve">improcedente </w:t>
      </w:r>
      <w:r w:rsidRPr="00204105">
        <w:rPr>
          <w:rFonts w:ascii="Arial" w:eastAsiaTheme="minorHAnsi" w:hAnsi="Arial" w:cs="Arial"/>
          <w:sz w:val="26"/>
          <w:szCs w:val="26"/>
          <w:lang w:eastAsia="en-US"/>
        </w:rPr>
        <w:t xml:space="preserve">el recurso de revisión interpuesto por el </w:t>
      </w:r>
      <w:r w:rsidRPr="00204105">
        <w:rPr>
          <w:rFonts w:ascii="Arial" w:eastAsiaTheme="minorHAnsi" w:hAnsi="Arial" w:cs="Arial"/>
          <w:b/>
          <w:sz w:val="26"/>
          <w:szCs w:val="26"/>
          <w:lang w:eastAsia="en-US"/>
        </w:rPr>
        <w:t xml:space="preserve">Director General de la Policía Vial Estatal, </w:t>
      </w:r>
      <w:r w:rsidRPr="00204105">
        <w:rPr>
          <w:rFonts w:ascii="Arial" w:eastAsiaTheme="minorHAnsi" w:hAnsi="Arial" w:cs="Arial"/>
          <w:sz w:val="26"/>
          <w:szCs w:val="26"/>
          <w:lang w:eastAsia="en-US"/>
        </w:rPr>
        <w:t>en contra de la sentencia de veintinueve de noviembre de dos mil diecinueve</w:t>
      </w:r>
      <w:r w:rsidRPr="00204105">
        <w:rPr>
          <w:rFonts w:ascii="Arial" w:eastAsiaTheme="minorHAnsi" w:hAnsi="Arial" w:cs="Arial"/>
          <w:color w:val="000000"/>
          <w:sz w:val="26"/>
          <w:szCs w:val="26"/>
          <w:lang w:eastAsia="en-US"/>
        </w:rPr>
        <w:t>, por las razones expuestas en el considerando que antecede.</w:t>
      </w:r>
      <w:r w:rsidR="00282C2C">
        <w:rPr>
          <w:rFonts w:ascii="Arial" w:eastAsiaTheme="minorHAnsi" w:hAnsi="Arial" w:cs="Arial"/>
          <w:color w:val="000000"/>
          <w:sz w:val="26"/>
          <w:szCs w:val="26"/>
          <w:lang w:eastAsia="en-US"/>
        </w:rPr>
        <w:t xml:space="preserve"> - - - - - - - - - - - - - - - - - - - - - - - - - - - - - - - - - - - - - - - - - - - - </w:t>
      </w:r>
    </w:p>
    <w:p w14:paraId="572D3F37" w14:textId="752243FB" w:rsidR="00204105" w:rsidRPr="00204105" w:rsidRDefault="00204105" w:rsidP="00204105">
      <w:pPr>
        <w:spacing w:before="240" w:line="360" w:lineRule="auto"/>
        <w:ind w:right="49" w:firstLine="708"/>
        <w:jc w:val="both"/>
        <w:rPr>
          <w:rFonts w:ascii="Arial" w:eastAsiaTheme="minorHAnsi" w:hAnsi="Arial" w:cs="Arial"/>
          <w:sz w:val="26"/>
          <w:szCs w:val="26"/>
          <w:lang w:val="es-ES" w:eastAsia="en-US"/>
        </w:rPr>
      </w:pPr>
      <w:r w:rsidRPr="00204105">
        <w:rPr>
          <w:rFonts w:ascii="Arial" w:eastAsiaTheme="minorHAnsi" w:hAnsi="Arial" w:cs="Arial"/>
          <w:b/>
          <w:sz w:val="26"/>
          <w:szCs w:val="26"/>
          <w:lang w:val="es-ES" w:eastAsia="en-US"/>
        </w:rPr>
        <w:lastRenderedPageBreak/>
        <w:t>SEGUNDO.- NOTIFÍQUESE Y CÚMPLASE,</w:t>
      </w:r>
      <w:r w:rsidRPr="00204105">
        <w:rPr>
          <w:rFonts w:ascii="Arial" w:eastAsiaTheme="minorHAnsi" w:hAnsi="Arial" w:cs="Arial"/>
          <w:sz w:val="26"/>
          <w:szCs w:val="26"/>
          <w:lang w:val="es-ES" w:eastAsia="en-US"/>
        </w:rPr>
        <w:t xml:space="preserve"> remítase copia certificada de la presente resolución a la Quinta Sala Unitaria de Primera Instancia de este Tribunal y en su oportunidad archívese el presente cuaderno de revisión como asunto concluido.</w:t>
      </w:r>
      <w:r w:rsidR="00282C2C">
        <w:rPr>
          <w:rFonts w:ascii="Arial" w:eastAsiaTheme="minorHAnsi" w:hAnsi="Arial" w:cs="Arial"/>
          <w:sz w:val="26"/>
          <w:szCs w:val="26"/>
          <w:lang w:val="es-ES" w:eastAsia="en-US"/>
        </w:rPr>
        <w:t xml:space="preserve"> - - - - - - - - - - - - - - - - - - - </w:t>
      </w:r>
    </w:p>
    <w:p w14:paraId="3076EF4B" w14:textId="77777777" w:rsidR="00EE0B20" w:rsidRDefault="00EE0B20" w:rsidP="00EE0B20">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 - - - - - - - - - - - - - - - - - - - - </w:t>
      </w:r>
    </w:p>
    <w:p w14:paraId="2FF5C35C" w14:textId="77777777" w:rsidR="00EE0B20" w:rsidRDefault="00EE0B20" w:rsidP="00EE0B20">
      <w:pPr>
        <w:spacing w:before="240" w:line="360" w:lineRule="auto"/>
        <w:jc w:val="both"/>
        <w:rPr>
          <w:rFonts w:ascii="Arial" w:hAnsi="Arial" w:cs="Arial"/>
          <w:sz w:val="26"/>
          <w:szCs w:val="26"/>
        </w:rPr>
      </w:pPr>
    </w:p>
    <w:p w14:paraId="02546C54" w14:textId="77777777" w:rsidR="00EE0B20" w:rsidRPr="00CB6405" w:rsidRDefault="00EE0B20" w:rsidP="00EE0B20">
      <w:pPr>
        <w:spacing w:before="240" w:line="360" w:lineRule="auto"/>
        <w:ind w:firstLine="708"/>
        <w:jc w:val="both"/>
        <w:rPr>
          <w:rFonts w:ascii="Arial" w:hAnsi="Arial" w:cs="Arial"/>
          <w:sz w:val="26"/>
          <w:szCs w:val="26"/>
        </w:rPr>
      </w:pPr>
    </w:p>
    <w:p w14:paraId="7BCC8610" w14:textId="77777777" w:rsidR="00EE0B20" w:rsidRDefault="00EE0B20" w:rsidP="00EE0B2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04012D1" w14:textId="77777777" w:rsidR="00EE0B20" w:rsidRDefault="00EE0B20" w:rsidP="00EE0B2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51EC832" w14:textId="77777777" w:rsidR="00EE0B20" w:rsidRDefault="00EE0B20" w:rsidP="00EE0B20">
      <w:pPr>
        <w:tabs>
          <w:tab w:val="left" w:pos="1680"/>
          <w:tab w:val="center" w:pos="4277"/>
        </w:tabs>
        <w:spacing w:after="0" w:line="240" w:lineRule="auto"/>
        <w:jc w:val="center"/>
        <w:rPr>
          <w:rFonts w:ascii="Arial" w:hAnsi="Arial" w:cs="Arial"/>
          <w:sz w:val="26"/>
          <w:szCs w:val="26"/>
        </w:rPr>
      </w:pPr>
    </w:p>
    <w:p w14:paraId="68F31222" w14:textId="77777777" w:rsidR="00EE0B20" w:rsidRDefault="00EE0B20" w:rsidP="00EE0B20">
      <w:pPr>
        <w:tabs>
          <w:tab w:val="left" w:pos="1680"/>
          <w:tab w:val="center" w:pos="4277"/>
        </w:tabs>
        <w:spacing w:after="0" w:line="240" w:lineRule="auto"/>
        <w:jc w:val="center"/>
        <w:rPr>
          <w:rFonts w:ascii="Arial" w:hAnsi="Arial" w:cs="Arial"/>
          <w:sz w:val="26"/>
          <w:szCs w:val="26"/>
        </w:rPr>
      </w:pPr>
    </w:p>
    <w:p w14:paraId="500B98BD" w14:textId="77777777" w:rsidR="00EE0B20" w:rsidRDefault="00EE0B20" w:rsidP="00EE0B20">
      <w:pPr>
        <w:tabs>
          <w:tab w:val="left" w:pos="1680"/>
          <w:tab w:val="center" w:pos="4277"/>
        </w:tabs>
        <w:spacing w:after="0" w:line="240" w:lineRule="auto"/>
        <w:jc w:val="center"/>
        <w:rPr>
          <w:rFonts w:ascii="Arial" w:hAnsi="Arial" w:cs="Arial"/>
          <w:sz w:val="26"/>
          <w:szCs w:val="26"/>
        </w:rPr>
      </w:pPr>
    </w:p>
    <w:p w14:paraId="67EF6433" w14:textId="77777777" w:rsidR="00EE0B20" w:rsidRDefault="00EE0B20" w:rsidP="00EE0B20">
      <w:pPr>
        <w:tabs>
          <w:tab w:val="left" w:pos="1680"/>
          <w:tab w:val="center" w:pos="4277"/>
        </w:tabs>
        <w:spacing w:after="0" w:line="240" w:lineRule="auto"/>
        <w:rPr>
          <w:rFonts w:ascii="Arial" w:hAnsi="Arial" w:cs="Arial"/>
          <w:sz w:val="26"/>
          <w:szCs w:val="26"/>
        </w:rPr>
      </w:pPr>
    </w:p>
    <w:p w14:paraId="70634DCF" w14:textId="77777777" w:rsidR="00EE0B20" w:rsidRDefault="00EE0B20" w:rsidP="00EE0B20">
      <w:pPr>
        <w:tabs>
          <w:tab w:val="left" w:pos="1680"/>
          <w:tab w:val="center" w:pos="4277"/>
        </w:tabs>
        <w:spacing w:after="0" w:line="240" w:lineRule="auto"/>
        <w:rPr>
          <w:rFonts w:ascii="Arial" w:hAnsi="Arial" w:cs="Arial"/>
          <w:sz w:val="26"/>
          <w:szCs w:val="26"/>
        </w:rPr>
      </w:pPr>
    </w:p>
    <w:p w14:paraId="2CACF14A" w14:textId="77777777" w:rsidR="00EE0B20" w:rsidRDefault="00EE0B20" w:rsidP="00EE0B20">
      <w:pPr>
        <w:spacing w:after="0" w:line="240" w:lineRule="auto"/>
        <w:jc w:val="center"/>
        <w:rPr>
          <w:rFonts w:ascii="Arial" w:hAnsi="Arial" w:cs="Arial"/>
          <w:sz w:val="26"/>
          <w:szCs w:val="26"/>
        </w:rPr>
      </w:pPr>
    </w:p>
    <w:p w14:paraId="01B17DBA" w14:textId="77777777" w:rsidR="00EE0B20" w:rsidRDefault="00EE0B20" w:rsidP="00EE0B2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1130F3E2"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1E08D822" w14:textId="77777777" w:rsidR="00EE0B20" w:rsidRDefault="00EE0B20" w:rsidP="00EE0B20">
      <w:pPr>
        <w:tabs>
          <w:tab w:val="center" w:pos="4135"/>
          <w:tab w:val="left" w:pos="7515"/>
        </w:tabs>
        <w:spacing w:after="0" w:line="240" w:lineRule="auto"/>
        <w:rPr>
          <w:rFonts w:ascii="Arial" w:hAnsi="Arial" w:cs="Arial"/>
          <w:sz w:val="26"/>
          <w:szCs w:val="26"/>
        </w:rPr>
      </w:pPr>
    </w:p>
    <w:p w14:paraId="54584F37"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5AE3DA07"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3DEFCD90" w14:textId="77777777" w:rsidR="00EE0B20" w:rsidRDefault="00EE0B20" w:rsidP="00EE0B20">
      <w:pPr>
        <w:tabs>
          <w:tab w:val="center" w:pos="4135"/>
          <w:tab w:val="left" w:pos="7515"/>
        </w:tabs>
        <w:spacing w:after="0" w:line="240" w:lineRule="auto"/>
        <w:rPr>
          <w:rFonts w:ascii="Arial" w:hAnsi="Arial" w:cs="Arial"/>
          <w:sz w:val="26"/>
          <w:szCs w:val="26"/>
        </w:rPr>
      </w:pPr>
    </w:p>
    <w:p w14:paraId="33ADDADD"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2FB22A0D"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6103FF6D" w14:textId="77777777" w:rsidR="00EE0B20" w:rsidRDefault="00EE0B20" w:rsidP="00EE0B2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716AD61B"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2AA4BE06"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0D1ABB88" w14:textId="77777777" w:rsidR="00EE0B20" w:rsidRDefault="00EE0B20" w:rsidP="00EE0B20">
      <w:pPr>
        <w:tabs>
          <w:tab w:val="center" w:pos="4135"/>
          <w:tab w:val="left" w:pos="7515"/>
        </w:tabs>
        <w:spacing w:after="0" w:line="240" w:lineRule="auto"/>
        <w:rPr>
          <w:rFonts w:ascii="Arial" w:hAnsi="Arial" w:cs="Arial"/>
          <w:sz w:val="26"/>
          <w:szCs w:val="26"/>
        </w:rPr>
      </w:pPr>
    </w:p>
    <w:p w14:paraId="55991198"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6C44CF1B"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26CA2550"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3406341F"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6D0A5CBB" w14:textId="77777777" w:rsidR="00EE0B20" w:rsidRDefault="00EE0B20" w:rsidP="00EE0B20">
      <w:pPr>
        <w:tabs>
          <w:tab w:val="center" w:pos="4135"/>
          <w:tab w:val="left" w:pos="7515"/>
        </w:tabs>
        <w:spacing w:after="0" w:line="240" w:lineRule="auto"/>
        <w:jc w:val="center"/>
        <w:rPr>
          <w:rFonts w:ascii="Arial" w:hAnsi="Arial" w:cs="Arial"/>
          <w:sz w:val="26"/>
          <w:szCs w:val="26"/>
        </w:rPr>
      </w:pPr>
    </w:p>
    <w:p w14:paraId="4194591C" w14:textId="77777777" w:rsidR="00EE0B20" w:rsidRDefault="00EE0B20" w:rsidP="00EE0B20">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732B65A7" w14:textId="77777777" w:rsidR="00EE0B20" w:rsidRPr="00156F22" w:rsidRDefault="00EE0B20" w:rsidP="00EE0B20">
      <w:pPr>
        <w:spacing w:after="0" w:line="240" w:lineRule="auto"/>
        <w:jc w:val="center"/>
        <w:rPr>
          <w:rFonts w:ascii="Arial" w:hAnsi="Arial" w:cs="Arial"/>
          <w:sz w:val="14"/>
          <w:szCs w:val="26"/>
        </w:rPr>
      </w:pPr>
      <w:r>
        <w:rPr>
          <w:rFonts w:ascii="Arial" w:hAnsi="Arial" w:cs="Arial"/>
          <w:sz w:val="26"/>
          <w:szCs w:val="26"/>
        </w:rPr>
        <w:t>SECRETARIO GENERAL DE ACUERDOS</w:t>
      </w:r>
    </w:p>
    <w:p w14:paraId="62E7B9BE" w14:textId="77777777" w:rsidR="00EE0B20" w:rsidRPr="00156F22" w:rsidRDefault="00EE0B20" w:rsidP="00EE0B20">
      <w:pPr>
        <w:spacing w:after="0" w:line="240" w:lineRule="auto"/>
        <w:ind w:firstLine="708"/>
        <w:jc w:val="both"/>
        <w:rPr>
          <w:rFonts w:ascii="Arial" w:hAnsi="Arial" w:cs="Arial"/>
          <w:sz w:val="14"/>
          <w:szCs w:val="26"/>
        </w:rPr>
      </w:pPr>
    </w:p>
    <w:p w14:paraId="21D8095E" w14:textId="77777777" w:rsidR="00204105" w:rsidRPr="00FD3316" w:rsidRDefault="00204105" w:rsidP="00EE0B20">
      <w:pPr>
        <w:spacing w:before="240" w:line="360" w:lineRule="auto"/>
        <w:ind w:right="49" w:firstLine="708"/>
        <w:jc w:val="both"/>
      </w:pPr>
    </w:p>
    <w:sectPr w:rsidR="00204105" w:rsidRPr="00FD3316" w:rsidSect="003813B3">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1ACE4" w14:textId="77777777" w:rsidR="00415376" w:rsidRDefault="00415376">
      <w:pPr>
        <w:spacing w:after="0" w:line="240" w:lineRule="auto"/>
      </w:pPr>
      <w:r>
        <w:separator/>
      </w:r>
    </w:p>
  </w:endnote>
  <w:endnote w:type="continuationSeparator" w:id="0">
    <w:p w14:paraId="0D7D5B8D" w14:textId="77777777" w:rsidR="00415376" w:rsidRDefault="00415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4F3127A" w:rsidR="00A80DC8" w:rsidRDefault="00076442">
    <w:pPr>
      <w:pStyle w:val="Piedepgina"/>
      <w:jc w:val="center"/>
    </w:pPr>
    <w:r>
      <w:rPr>
        <w:noProof/>
      </w:rPr>
      <mc:AlternateContent>
        <mc:Choice Requires="wps">
          <w:drawing>
            <wp:anchor distT="45720" distB="45720" distL="114300" distR="114300" simplePos="0" relativeHeight="251667456" behindDoc="0" locked="0" layoutInCell="1" allowOverlap="1" wp14:anchorId="6D3BBEE6" wp14:editId="138FC607">
              <wp:simplePos x="0" y="0"/>
              <wp:positionH relativeFrom="column">
                <wp:posOffset>-1363980</wp:posOffset>
              </wp:positionH>
              <wp:positionV relativeFrom="paragraph">
                <wp:posOffset>-5227955</wp:posOffset>
              </wp:positionV>
              <wp:extent cx="995680" cy="955040"/>
              <wp:effectExtent l="0" t="0" r="13970" b="165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955040"/>
                      </a:xfrm>
                      <a:prstGeom prst="rect">
                        <a:avLst/>
                      </a:prstGeom>
                      <a:solidFill>
                        <a:srgbClr val="FFFFFF"/>
                      </a:solidFill>
                      <a:ln w="9525">
                        <a:solidFill>
                          <a:srgbClr val="000000"/>
                        </a:solidFill>
                        <a:miter lim="800000"/>
                        <a:headEnd/>
                        <a:tailEnd/>
                      </a:ln>
                    </wps:spPr>
                    <wps:txbx>
                      <w:txbxContent>
                        <w:p w14:paraId="37559423" w14:textId="759E868A" w:rsidR="00076442" w:rsidRDefault="00076442" w:rsidP="00076442">
                          <w:pPr>
                            <w:rPr>
                              <w:sz w:val="16"/>
                              <w:szCs w:val="16"/>
                            </w:rPr>
                          </w:pPr>
                          <w:bookmarkStart w:id="0" w:name="_GoBack"/>
                          <w:r>
                            <w:rPr>
                              <w:sz w:val="16"/>
                              <w:szCs w:val="16"/>
                            </w:rPr>
                            <w:t>Los datos personales están protegidos por el art.116 de la LGTAIP y el art. 56 de la LTAIPEO</w:t>
                          </w:r>
                        </w:p>
                        <w:bookmarkEnd w:id="0"/>
                        <w:p w14:paraId="58430587" w14:textId="4176621B" w:rsidR="00076442" w:rsidRDefault="000764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3BBEE6" id="_x0000_t202" coordsize="21600,21600" o:spt="202" path="m,l,21600r21600,l21600,xe">
              <v:stroke joinstyle="miter"/>
              <v:path gradientshapeok="t" o:connecttype="rect"/>
            </v:shapetype>
            <v:shape id="Cuadro de texto 2" o:spid="_x0000_s1026" type="#_x0000_t202" style="position:absolute;left:0;text-align:left;margin-left:-107.4pt;margin-top:-411.65pt;width:78.4pt;height:75.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">
              <v:textbox>
                <w:txbxContent>
                  <w:p w14:paraId="37559423" w14:textId="759E868A" w:rsidR="00076442" w:rsidRDefault="00076442" w:rsidP="00076442">
                    <w:pPr>
                      <w:rPr>
                        <w:sz w:val="16"/>
                        <w:szCs w:val="16"/>
                      </w:rPr>
                    </w:pPr>
                    <w:bookmarkStart w:id="1" w:name="_GoBack"/>
                    <w:r>
                      <w:rPr>
                        <w:sz w:val="16"/>
                        <w:szCs w:val="16"/>
                      </w:rPr>
                      <w:t>Los datos personales están protegidos por el art.116 de la LGTAIP y el art. 56 de la LTAIPEO</w:t>
                    </w:r>
                  </w:p>
                  <w:bookmarkEnd w:id="1"/>
                  <w:p w14:paraId="58430587" w14:textId="4176621B" w:rsidR="00076442" w:rsidRDefault="00076442"/>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50CB08" w14:textId="77777777" w:rsidR="00415376" w:rsidRDefault="00415376">
      <w:pPr>
        <w:spacing w:after="0" w:line="240" w:lineRule="auto"/>
      </w:pPr>
      <w:r>
        <w:separator/>
      </w:r>
    </w:p>
  </w:footnote>
  <w:footnote w:type="continuationSeparator" w:id="0">
    <w:p w14:paraId="55D983EB" w14:textId="77777777" w:rsidR="00415376" w:rsidRDefault="00415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07644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076442">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A8F3988" w:rsidR="000F5C41" w:rsidRDefault="0007644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076442">
          <w:rPr>
            <w:noProof/>
            <w:lang w:val="es-ES"/>
          </w:rPr>
          <w:t>1</w:t>
        </w:r>
        <w:r w:rsidR="000F5C41">
          <w:fldChar w:fldCharType="end"/>
        </w:r>
      </w:sdtContent>
    </w:sdt>
  </w:p>
  <w:p w14:paraId="51E22156" w14:textId="56C3E9F4"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DA4739A">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DB64A6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07644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442"/>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2C"/>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3B3"/>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376"/>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A73"/>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2D27"/>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0B20"/>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71"/>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02841078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46C7C-F1E9-4DDB-B61A-50730732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1457</Words>
  <Characters>8016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5</cp:revision>
  <cp:lastPrinted>2020-04-13T15:33:00Z</cp:lastPrinted>
  <dcterms:created xsi:type="dcterms:W3CDTF">2020-10-13T21:06:00Z</dcterms:created>
  <dcterms:modified xsi:type="dcterms:W3CDTF">2021-01-25T20:35:00Z</dcterms:modified>
</cp:coreProperties>
</file>