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255" w:rsidRPr="007B0581" w:rsidRDefault="00666255" w:rsidP="0066625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666255" w:rsidRPr="007B0581" w:rsidRDefault="00666255" w:rsidP="00666255">
      <w:pPr>
        <w:pStyle w:val="corte4fondo"/>
        <w:spacing w:line="276" w:lineRule="auto"/>
        <w:ind w:left="3544" w:right="-521" w:firstLine="0"/>
        <w:rPr>
          <w:rFonts w:cs="Arial"/>
          <w:b/>
          <w:sz w:val="24"/>
          <w:szCs w:val="24"/>
        </w:rPr>
      </w:pPr>
    </w:p>
    <w:p w:rsidR="00666255" w:rsidRPr="007B0581" w:rsidRDefault="00666255" w:rsidP="0066625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066</w:t>
      </w:r>
      <w:r w:rsidRPr="007B0581">
        <w:rPr>
          <w:rFonts w:cs="Arial"/>
          <w:b/>
          <w:bCs/>
          <w:sz w:val="24"/>
          <w:szCs w:val="24"/>
        </w:rPr>
        <w:t>/20</w:t>
      </w:r>
      <w:r>
        <w:rPr>
          <w:rFonts w:cs="Arial"/>
          <w:b/>
          <w:bCs/>
          <w:sz w:val="24"/>
          <w:szCs w:val="24"/>
        </w:rPr>
        <w:t>22</w:t>
      </w:r>
      <w:r w:rsidRPr="007B0581">
        <w:rPr>
          <w:rFonts w:cs="Arial"/>
          <w:sz w:val="24"/>
          <w:szCs w:val="24"/>
        </w:rPr>
        <w:t xml:space="preserve">. </w:t>
      </w:r>
    </w:p>
    <w:p w:rsidR="00666255" w:rsidRPr="007B0581" w:rsidRDefault="00666255" w:rsidP="00666255">
      <w:pPr>
        <w:pStyle w:val="corte4fondo"/>
        <w:spacing w:line="276" w:lineRule="auto"/>
        <w:ind w:left="3544" w:right="-521" w:firstLine="0"/>
        <w:rPr>
          <w:rFonts w:cs="Arial"/>
          <w:sz w:val="24"/>
          <w:szCs w:val="24"/>
        </w:rPr>
      </w:pPr>
    </w:p>
    <w:p w:rsidR="00666255" w:rsidRPr="007B0581" w:rsidRDefault="00666255" w:rsidP="00666255">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666255" w:rsidRPr="007B0581" w:rsidRDefault="00666255" w:rsidP="00666255">
      <w:pPr>
        <w:pStyle w:val="corte4fondo"/>
        <w:spacing w:line="276" w:lineRule="auto"/>
        <w:ind w:left="3544" w:right="-521" w:firstLine="0"/>
        <w:rPr>
          <w:rFonts w:cs="Arial"/>
          <w:b/>
          <w:i/>
          <w:sz w:val="24"/>
          <w:szCs w:val="24"/>
        </w:rPr>
      </w:pPr>
      <w:r w:rsidRPr="007B0581">
        <w:rPr>
          <w:rFonts w:cs="Arial"/>
          <w:b/>
          <w:i/>
          <w:sz w:val="24"/>
          <w:szCs w:val="24"/>
        </w:rPr>
        <w:t xml:space="preserve"> </w:t>
      </w:r>
    </w:p>
    <w:p w:rsidR="00666255" w:rsidRPr="007B0581" w:rsidRDefault="00666255" w:rsidP="00666255">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CON NÚMERO ESTADÍSTICO PV-307, **********, ELEMENTO ADSCRITO A LA DIRECCIÓN DE MOVILIDAD DEL MUNICIPIO DE OAXACA DE JUÁREZ.</w:t>
      </w:r>
    </w:p>
    <w:p w:rsidR="00666255" w:rsidRPr="007B0581" w:rsidRDefault="00666255" w:rsidP="00666255">
      <w:pPr>
        <w:pStyle w:val="corte4fondo"/>
        <w:spacing w:line="276" w:lineRule="auto"/>
        <w:ind w:left="3544" w:right="51" w:firstLine="0"/>
        <w:rPr>
          <w:rFonts w:cs="Arial"/>
          <w:bCs/>
          <w:sz w:val="24"/>
          <w:szCs w:val="24"/>
        </w:rPr>
      </w:pPr>
    </w:p>
    <w:p w:rsidR="00666255" w:rsidRPr="007B0581" w:rsidRDefault="00666255" w:rsidP="00666255">
      <w:pPr>
        <w:pStyle w:val="corte4fondo"/>
        <w:spacing w:line="276" w:lineRule="auto"/>
        <w:ind w:left="3544" w:right="51" w:firstLine="0"/>
        <w:rPr>
          <w:rFonts w:cs="Arial"/>
          <w:bCs/>
          <w:sz w:val="24"/>
          <w:szCs w:val="24"/>
        </w:rPr>
      </w:pPr>
    </w:p>
    <w:p w:rsidR="00666255" w:rsidRDefault="00666255" w:rsidP="00666255">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VEINTIDÓS DE NOVIEMBRE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666255" w:rsidRDefault="00666255" w:rsidP="00666255">
      <w:pPr>
        <w:spacing w:line="360" w:lineRule="auto"/>
        <w:jc w:val="both"/>
        <w:rPr>
          <w:rFonts w:ascii="Arial" w:hAnsi="Arial" w:cs="Arial"/>
          <w:b/>
          <w:sz w:val="24"/>
          <w:szCs w:val="24"/>
        </w:rPr>
      </w:pPr>
      <w:r w:rsidRPr="007B0581">
        <w:rPr>
          <w:rFonts w:ascii="Arial" w:hAnsi="Arial" w:cs="Arial"/>
          <w:b/>
          <w:sz w:val="24"/>
          <w:szCs w:val="24"/>
        </w:rPr>
        <w:t xml:space="preserve"> </w:t>
      </w:r>
    </w:p>
    <w:p w:rsidR="00666255" w:rsidRPr="007B0581" w:rsidRDefault="00666255" w:rsidP="00666255">
      <w:pPr>
        <w:contextualSpacing/>
        <w:jc w:val="both"/>
        <w:rPr>
          <w:rFonts w:ascii="Arial" w:hAnsi="Arial" w:cs="Arial"/>
          <w:b/>
          <w:sz w:val="24"/>
          <w:szCs w:val="24"/>
        </w:rPr>
      </w:pPr>
    </w:p>
    <w:p w:rsidR="00666255" w:rsidRPr="007B0581" w:rsidRDefault="00666255" w:rsidP="00666255">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0066</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sidR="009E3217">
        <w:rPr>
          <w:rFonts w:cs="Arial"/>
          <w:b/>
          <w:sz w:val="24"/>
          <w:szCs w:val="24"/>
        </w:rPr>
        <w:t>**********</w:t>
      </w:r>
      <w:r w:rsidRPr="007B0581">
        <w:rPr>
          <w:rFonts w:ascii="Arial" w:hAnsi="Arial" w:cs="Arial"/>
          <w:sz w:val="24"/>
          <w:szCs w:val="24"/>
        </w:rPr>
        <w:t xml:space="preserve"> de </w:t>
      </w:r>
      <w:r>
        <w:rPr>
          <w:rFonts w:ascii="Arial" w:hAnsi="Arial" w:cs="Arial"/>
          <w:sz w:val="24"/>
          <w:szCs w:val="24"/>
        </w:rPr>
        <w:t>veintisiete de junio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PV-307, adscrito a la Dirección de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1"/>
    <w:p w:rsidR="00666255" w:rsidRDefault="00666255" w:rsidP="00666255">
      <w:pPr>
        <w:contextualSpacing/>
        <w:jc w:val="both"/>
        <w:rPr>
          <w:rFonts w:ascii="Arial" w:hAnsi="Arial" w:cs="Arial"/>
          <w:sz w:val="24"/>
          <w:szCs w:val="24"/>
        </w:rPr>
      </w:pPr>
    </w:p>
    <w:p w:rsidR="00666255" w:rsidRDefault="00666255" w:rsidP="0066625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666255" w:rsidRDefault="00666255" w:rsidP="00666255">
      <w:pPr>
        <w:contextualSpacing/>
        <w:jc w:val="both"/>
        <w:rPr>
          <w:rFonts w:ascii="Arial" w:hAnsi="Arial" w:cs="Arial"/>
          <w:b/>
          <w:spacing w:val="-3"/>
          <w:sz w:val="24"/>
          <w:szCs w:val="24"/>
          <w:lang w:val="es-ES_tradnl"/>
        </w:rPr>
      </w:pPr>
    </w:p>
    <w:p w:rsidR="00666255" w:rsidRDefault="00666255" w:rsidP="00666255">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quince de agosto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sidR="009E3217">
        <w:rPr>
          <w:rFonts w:cs="Arial"/>
          <w:b/>
          <w:sz w:val="24"/>
          <w:szCs w:val="24"/>
        </w:rPr>
        <w:t>**********</w:t>
      </w:r>
      <w:r w:rsidRPr="007B0581">
        <w:rPr>
          <w:rFonts w:ascii="Arial" w:hAnsi="Arial" w:cs="Arial"/>
          <w:sz w:val="24"/>
          <w:szCs w:val="24"/>
        </w:rPr>
        <w:t xml:space="preserve"> de </w:t>
      </w:r>
      <w:r>
        <w:rPr>
          <w:rFonts w:ascii="Arial" w:hAnsi="Arial" w:cs="Arial"/>
          <w:sz w:val="24"/>
          <w:szCs w:val="24"/>
        </w:rPr>
        <w:t>veintisiete de junio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PV-307, adscrito a la Dirección de Movilidad del Municipio de Oaxaca de Juárez, </w:t>
      </w:r>
      <w:r>
        <w:rPr>
          <w:rFonts w:cs="Arial"/>
          <w:b/>
          <w:sz w:val="24"/>
          <w:szCs w:val="24"/>
        </w:rPr>
        <w:t>**********</w:t>
      </w:r>
      <w:r w:rsidRPr="007B0581">
        <w:rPr>
          <w:rFonts w:ascii="Arial" w:hAnsi="Arial" w:cs="Arial"/>
          <w:sz w:val="24"/>
          <w:szCs w:val="24"/>
        </w:rPr>
        <w:t xml:space="preserve">. </w:t>
      </w:r>
    </w:p>
    <w:p w:rsidR="00666255" w:rsidRPr="007B0581" w:rsidRDefault="00666255" w:rsidP="00666255">
      <w:pPr>
        <w:spacing w:line="360" w:lineRule="auto"/>
        <w:jc w:val="both"/>
        <w:rPr>
          <w:rFonts w:ascii="Arial" w:hAnsi="Arial" w:cs="Arial"/>
          <w:sz w:val="24"/>
          <w:szCs w:val="24"/>
        </w:rPr>
      </w:pPr>
    </w:p>
    <w:bookmarkEnd w:id="2"/>
    <w:p w:rsidR="00666255" w:rsidRPr="007B0581" w:rsidRDefault="00666255" w:rsidP="00666255">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dieciséis de agosto de dos mil veintidós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666255" w:rsidRPr="007B0581" w:rsidRDefault="00666255" w:rsidP="00666255">
      <w:pPr>
        <w:pStyle w:val="corte4fondo"/>
        <w:spacing w:line="240" w:lineRule="auto"/>
        <w:ind w:right="51" w:firstLine="567"/>
        <w:contextualSpacing/>
        <w:rPr>
          <w:rFonts w:cs="Arial"/>
          <w:bCs/>
          <w:sz w:val="24"/>
          <w:szCs w:val="24"/>
        </w:rPr>
      </w:pPr>
      <w:r w:rsidRPr="007B0581">
        <w:rPr>
          <w:rFonts w:cs="Arial"/>
          <w:bCs/>
          <w:sz w:val="24"/>
          <w:szCs w:val="24"/>
        </w:rPr>
        <w:tab/>
      </w:r>
    </w:p>
    <w:p w:rsidR="00666255" w:rsidRDefault="00666255" w:rsidP="00666255">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siete de septiembre de dos mil veintidós</w:t>
      </w:r>
      <w:r w:rsidRPr="007B0581">
        <w:rPr>
          <w:rFonts w:cs="Arial"/>
          <w:bCs/>
          <w:sz w:val="24"/>
          <w:szCs w:val="24"/>
        </w:rPr>
        <w:t xml:space="preserve">, </w:t>
      </w:r>
      <w:r>
        <w:rPr>
          <w:rFonts w:cs="Arial"/>
          <w:sz w:val="24"/>
          <w:szCs w:val="24"/>
        </w:rPr>
        <w:t xml:space="preserve">se tuvo a la autoridad demandada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307, </w:t>
      </w:r>
      <w:r w:rsidR="009E3217">
        <w:rPr>
          <w:rFonts w:cs="Arial"/>
          <w:b/>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w:t>
      </w:r>
      <w:r w:rsidRPr="007B0581">
        <w:rPr>
          <w:rFonts w:cs="Arial"/>
          <w:sz w:val="24"/>
          <w:szCs w:val="24"/>
        </w:rPr>
        <w:lastRenderedPageBreak/>
        <w:t>correspondientes</w:t>
      </w:r>
      <w:r>
        <w:rPr>
          <w:rFonts w:cs="Arial"/>
          <w:sz w:val="24"/>
          <w:szCs w:val="24"/>
        </w:rPr>
        <w:t>; asimismo, se señalaron las ONCE HORAS del día VEINTISIETE DE OCTUBRE DE DOS MIL VEINTIDÓS, para la celebración de la audiencia final.</w:t>
      </w:r>
    </w:p>
    <w:p w:rsidR="00666255" w:rsidRDefault="00666255" w:rsidP="00666255">
      <w:pPr>
        <w:pStyle w:val="corte4fondo"/>
        <w:ind w:right="51" w:firstLine="567"/>
        <w:rPr>
          <w:rFonts w:cs="Arial"/>
          <w:sz w:val="24"/>
          <w:szCs w:val="24"/>
        </w:rPr>
      </w:pPr>
    </w:p>
    <w:p w:rsidR="00666255" w:rsidRPr="007B0581" w:rsidRDefault="00666255" w:rsidP="00666255">
      <w:pPr>
        <w:pStyle w:val="corte4fondo"/>
        <w:ind w:right="51" w:firstLine="567"/>
        <w:rPr>
          <w:rFonts w:cs="Arial"/>
          <w:b/>
          <w:bCs/>
          <w:sz w:val="24"/>
          <w:szCs w:val="24"/>
        </w:rPr>
      </w:pPr>
      <w:r w:rsidRPr="00D313E2">
        <w:rPr>
          <w:rFonts w:cs="Arial"/>
          <w:b/>
          <w:bCs/>
          <w:sz w:val="24"/>
          <w:szCs w:val="24"/>
        </w:rPr>
        <w:t>CUARTO. -</w:t>
      </w:r>
      <w:r>
        <w:rPr>
          <w:rFonts w:cs="Arial"/>
          <w:sz w:val="24"/>
          <w:szCs w:val="24"/>
        </w:rPr>
        <w:t xml:space="preserve"> </w:t>
      </w:r>
      <w:r w:rsidRPr="007B0581">
        <w:rPr>
          <w:rFonts w:cs="Arial"/>
          <w:sz w:val="24"/>
          <w:szCs w:val="24"/>
          <w:lang w:val="es-ES"/>
        </w:rPr>
        <w:t xml:space="preserve">El </w:t>
      </w:r>
      <w:r>
        <w:rPr>
          <w:rFonts w:cs="Arial"/>
          <w:sz w:val="24"/>
          <w:szCs w:val="24"/>
          <w:lang w:val="es-ES"/>
        </w:rPr>
        <w:t>veintisiete de octubre de dos mil veintidós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 xml:space="preserve">el actor </w:t>
      </w:r>
      <w:r w:rsidRPr="00F11AF4">
        <w:rPr>
          <w:rFonts w:cs="Arial"/>
          <w:sz w:val="24"/>
          <w:szCs w:val="24"/>
        </w:rPr>
        <w:t>formul</w:t>
      </w:r>
      <w:r>
        <w:rPr>
          <w:rFonts w:cs="Arial"/>
          <w:sz w:val="24"/>
          <w:szCs w:val="24"/>
        </w:rPr>
        <w:t>ó</w:t>
      </w:r>
      <w:r w:rsidRPr="00F11AF4">
        <w:rPr>
          <w:rFonts w:cs="Arial"/>
          <w:sz w:val="24"/>
          <w:szCs w:val="24"/>
        </w:rPr>
        <w:t xml:space="preserve"> alegatos por escrito,</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666255" w:rsidRPr="007B0581" w:rsidRDefault="00666255" w:rsidP="00666255">
      <w:pPr>
        <w:pStyle w:val="corte4fondo"/>
        <w:ind w:right="51" w:firstLine="567"/>
        <w:rPr>
          <w:rFonts w:cs="Arial"/>
          <w:b/>
          <w:spacing w:val="-3"/>
          <w:sz w:val="24"/>
          <w:szCs w:val="24"/>
        </w:rPr>
      </w:pPr>
    </w:p>
    <w:p w:rsidR="00666255" w:rsidRPr="007B0581" w:rsidRDefault="00666255" w:rsidP="00666255">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666255" w:rsidRDefault="00666255" w:rsidP="00666255">
      <w:pPr>
        <w:pStyle w:val="corte4fondo"/>
        <w:spacing w:line="240" w:lineRule="auto"/>
        <w:ind w:right="51" w:firstLine="567"/>
        <w:contextualSpacing/>
        <w:rPr>
          <w:rFonts w:cs="Arial"/>
          <w:bCs/>
          <w:sz w:val="24"/>
          <w:szCs w:val="24"/>
        </w:rPr>
      </w:pPr>
    </w:p>
    <w:p w:rsidR="00666255" w:rsidRPr="007B0581" w:rsidRDefault="00666255" w:rsidP="0066625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con fundamento en el artículo 114 QUATER, párrafo primero, inciso B</w:t>
      </w:r>
      <w:r w:rsidRPr="004911BE">
        <w:rPr>
          <w:rFonts w:ascii="Arial" w:hAnsi="Arial" w:cs="Arial"/>
          <w:sz w:val="24"/>
          <w:szCs w:val="24"/>
        </w:rPr>
        <w:t>, fracción VII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120, fracción I</w:t>
      </w:r>
      <w:r>
        <w:rPr>
          <w:rFonts w:ascii="Arial" w:hAnsi="Arial" w:cs="Arial"/>
          <w:sz w:val="24"/>
          <w:szCs w:val="24"/>
        </w:rPr>
        <w:t>V</w:t>
      </w:r>
      <w:r w:rsidRPr="007B0581">
        <w:rPr>
          <w:rFonts w:ascii="Arial" w:hAnsi="Arial" w:cs="Arial"/>
          <w:sz w:val="24"/>
          <w:szCs w:val="24"/>
        </w:rPr>
        <w:t xml:space="preserve">,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666255" w:rsidRPr="007B0581" w:rsidRDefault="00666255" w:rsidP="00666255">
      <w:pPr>
        <w:spacing w:line="360" w:lineRule="auto"/>
        <w:jc w:val="both"/>
        <w:rPr>
          <w:rFonts w:ascii="Arial" w:hAnsi="Arial" w:cs="Arial"/>
          <w:sz w:val="24"/>
          <w:szCs w:val="24"/>
        </w:rPr>
      </w:pPr>
      <w:r w:rsidRPr="007B0581">
        <w:rPr>
          <w:rFonts w:ascii="Arial" w:hAnsi="Arial" w:cs="Arial"/>
          <w:sz w:val="24"/>
          <w:szCs w:val="24"/>
        </w:rPr>
        <w:t xml:space="preserve"> </w:t>
      </w:r>
    </w:p>
    <w:p w:rsidR="00666255" w:rsidRPr="007B0581" w:rsidRDefault="00666255" w:rsidP="00666255">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 </w:t>
      </w:r>
      <w:r>
        <w:rPr>
          <w:rFonts w:ascii="Arial" w:hAnsi="Arial" w:cs="Arial"/>
          <w:sz w:val="24"/>
          <w:szCs w:val="24"/>
        </w:rPr>
        <w:t>la de la autoridad demandada con copia de su nombramiento, y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666255" w:rsidRPr="007B0581" w:rsidRDefault="00666255" w:rsidP="00666255">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666255" w:rsidRDefault="00666255" w:rsidP="00666255">
      <w:pPr>
        <w:pStyle w:val="corte4fondo"/>
        <w:ind w:right="51" w:firstLine="567"/>
        <w:rPr>
          <w:rFonts w:cs="Arial"/>
          <w:bCs/>
          <w:sz w:val="24"/>
          <w:szCs w:val="24"/>
        </w:rPr>
      </w:pPr>
      <w:r w:rsidRPr="007B0581">
        <w:rPr>
          <w:rFonts w:cs="Arial"/>
          <w:sz w:val="24"/>
          <w:szCs w:val="24"/>
        </w:rPr>
        <w:tab/>
      </w:r>
      <w:r w:rsidRPr="000E555E">
        <w:rPr>
          <w:rFonts w:cs="Arial"/>
          <w:b/>
          <w:sz w:val="24"/>
          <w:szCs w:val="24"/>
        </w:rPr>
        <w:t>TERCERO</w:t>
      </w:r>
      <w:r w:rsidRPr="007B0581">
        <w:rPr>
          <w:rFonts w:cs="Arial"/>
          <w:b/>
          <w:sz w:val="24"/>
          <w:szCs w:val="24"/>
        </w:rPr>
        <w:t>.-</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w:t>
      </w:r>
      <w:r>
        <w:rPr>
          <w:rFonts w:cs="Arial"/>
          <w:bCs/>
          <w:sz w:val="24"/>
          <w:szCs w:val="24"/>
        </w:rPr>
        <w:t xml:space="preserve"> la causal de improcedencia invocada por la autoridad demandada señalada en el artículo 161, fracciones V y VI, de la Ley de Procedimiento y Justicia Administrativa para el Estado de Oaxaca, que establece:</w:t>
      </w:r>
    </w:p>
    <w:p w:rsidR="00666255" w:rsidRDefault="00666255" w:rsidP="00666255">
      <w:pPr>
        <w:pStyle w:val="corte4fondo"/>
        <w:ind w:right="51" w:firstLine="567"/>
        <w:rPr>
          <w:rFonts w:cs="Arial"/>
          <w:bCs/>
          <w:sz w:val="24"/>
          <w:szCs w:val="24"/>
        </w:rPr>
      </w:pPr>
    </w:p>
    <w:p w:rsidR="00666255" w:rsidRDefault="00666255" w:rsidP="00666255">
      <w:pPr>
        <w:pStyle w:val="corte4fondo"/>
        <w:ind w:right="51" w:firstLine="567"/>
        <w:rPr>
          <w:rFonts w:cs="Arial"/>
          <w:bCs/>
          <w:sz w:val="24"/>
          <w:szCs w:val="24"/>
        </w:rPr>
      </w:pPr>
      <w:r w:rsidRPr="000E555E">
        <w:rPr>
          <w:rFonts w:cs="Arial"/>
          <w:bCs/>
          <w:sz w:val="24"/>
          <w:szCs w:val="24"/>
        </w:rPr>
        <w:t>ARTÍCULO 161.- Es improcedente el juicio ante el Tribunal contra actos:</w:t>
      </w:r>
    </w:p>
    <w:p w:rsidR="00666255" w:rsidRDefault="00666255" w:rsidP="00666255">
      <w:pPr>
        <w:pStyle w:val="corte4fondo"/>
        <w:ind w:right="51" w:firstLine="567"/>
        <w:rPr>
          <w:rFonts w:cs="Arial"/>
          <w:bCs/>
          <w:sz w:val="24"/>
          <w:szCs w:val="24"/>
        </w:rPr>
      </w:pPr>
      <w:r>
        <w:rPr>
          <w:rFonts w:cs="Arial"/>
          <w:bCs/>
          <w:sz w:val="24"/>
          <w:szCs w:val="24"/>
        </w:rPr>
        <w:t>V. – Contra actos consumados de un modo irreparable;</w:t>
      </w:r>
    </w:p>
    <w:p w:rsidR="00666255" w:rsidRDefault="00666255" w:rsidP="00666255">
      <w:pPr>
        <w:pStyle w:val="corte4fondo"/>
        <w:ind w:right="51" w:firstLine="567"/>
        <w:rPr>
          <w:rFonts w:cs="Arial"/>
          <w:bCs/>
          <w:sz w:val="24"/>
          <w:szCs w:val="24"/>
        </w:rPr>
      </w:pPr>
      <w:r>
        <w:rPr>
          <w:rFonts w:cs="Arial"/>
          <w:bCs/>
          <w:sz w:val="24"/>
          <w:szCs w:val="24"/>
        </w:rPr>
        <w:t>VI. – Contra actos consentidos expresamente o por manifestaciones de voluntad que entrañen ese consentimiento, entendiéndose por éstos últimos, en contra de los cuales no se promueva el juicio dentro del término que para tal efecto señale esta Ley;</w:t>
      </w:r>
    </w:p>
    <w:p w:rsidR="00666255" w:rsidRDefault="00666255" w:rsidP="00666255">
      <w:pPr>
        <w:pStyle w:val="corte4fondo"/>
        <w:ind w:right="51" w:firstLine="567"/>
        <w:rPr>
          <w:rFonts w:cs="Arial"/>
          <w:sz w:val="24"/>
          <w:szCs w:val="24"/>
        </w:rPr>
      </w:pPr>
      <w:r>
        <w:rPr>
          <w:rFonts w:cs="Arial"/>
          <w:sz w:val="24"/>
          <w:szCs w:val="24"/>
        </w:rPr>
        <w:t xml:space="preserve">En ese sentido, el actor tuvo conocimiento del acto impugnado el veintisiete de junio de dos mil veintidós y su escrito de demanda fue presentado el quince de agosto de la presente anualidad, como se advierte del sello de la Oficialía de Partes de Común de este Tribunal, por lo que el plazo de treinta días que tuvo para inconformarse transcurrió del veintinueve de junio al uno de septiembre de dos mil </w:t>
      </w:r>
      <w:r>
        <w:rPr>
          <w:rFonts w:cs="Arial"/>
          <w:sz w:val="24"/>
          <w:szCs w:val="24"/>
        </w:rPr>
        <w:lastRenderedPageBreak/>
        <w:t xml:space="preserve">veintidós, descontándose los días sábados y domingos, del catorce de julio al cinco de agosto de la presente anualidad por ser inhábiles, de conformidad con lo establecido en los artículos 165, 166 y 168 de la Ley de Procedimiento y Justicia Administrativa para el Estado de Oaxaca y los Acuerdos Generales número AG/TJAO/012/2021 y AG/TJAO/06/2022 aprobados por el Pleno de este órgano jurisdiccional, de lo antes vertido se advierte que el actor no consintió el acto de autoridad, pues promovió Juicio Contencioso Administrativo en el plazo que tuvo para ello. Por cuanto hace a la manifestación de la autoridad demandada en el sentido que el acto impugnado se trata de un acto </w:t>
      </w:r>
      <w:r>
        <w:rPr>
          <w:rFonts w:cs="Arial"/>
          <w:bCs/>
          <w:sz w:val="24"/>
          <w:szCs w:val="24"/>
        </w:rPr>
        <w:t xml:space="preserve">consumado de un modo irreparable, esta manifestación es infundada en virtud que de llegarse a determinar la nulidad del acto reclamado se subsanaría dando </w:t>
      </w:r>
      <w:r w:rsidRPr="00A84B6D">
        <w:rPr>
          <w:rFonts w:cs="Arial"/>
          <w:bCs/>
          <w:sz w:val="24"/>
          <w:szCs w:val="24"/>
        </w:rPr>
        <w:t xml:space="preserve">de baja el acto impugnado </w:t>
      </w:r>
      <w:r>
        <w:rPr>
          <w:rFonts w:cs="Arial"/>
          <w:bCs/>
          <w:sz w:val="24"/>
          <w:szCs w:val="24"/>
        </w:rPr>
        <w:t>de</w:t>
      </w:r>
      <w:r w:rsidRPr="00A84B6D">
        <w:rPr>
          <w:rFonts w:cs="Arial"/>
          <w:bCs/>
          <w:sz w:val="24"/>
          <w:szCs w:val="24"/>
        </w:rPr>
        <w:t xml:space="preserve"> los registros correspondientes de la autoridad demandada</w:t>
      </w:r>
      <w:r>
        <w:rPr>
          <w:rFonts w:cs="Arial"/>
          <w:bCs/>
          <w:sz w:val="24"/>
          <w:szCs w:val="24"/>
        </w:rPr>
        <w:t xml:space="preserve">; </w:t>
      </w:r>
      <w:r>
        <w:rPr>
          <w:rFonts w:cs="Arial"/>
          <w:sz w:val="24"/>
          <w:szCs w:val="24"/>
        </w:rPr>
        <w:t>por las consideraciones antes vertidas,</w:t>
      </w:r>
      <w:r w:rsidRPr="007B0581">
        <w:rPr>
          <w:rFonts w:cs="Arial"/>
          <w:sz w:val="24"/>
          <w:szCs w:val="24"/>
        </w:rPr>
        <w:t xml:space="preserv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666255" w:rsidRPr="007B0581" w:rsidRDefault="00666255" w:rsidP="00666255">
      <w:pPr>
        <w:pStyle w:val="corte4fondo"/>
        <w:ind w:right="51" w:firstLine="567"/>
        <w:rPr>
          <w:rFonts w:cs="Arial"/>
          <w:sz w:val="24"/>
          <w:szCs w:val="24"/>
        </w:rPr>
      </w:pPr>
    </w:p>
    <w:p w:rsidR="00666255" w:rsidRPr="007B0581" w:rsidRDefault="00666255" w:rsidP="00666255">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666255" w:rsidRDefault="00666255" w:rsidP="00666255">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666255" w:rsidRPr="007B0581" w:rsidRDefault="00666255" w:rsidP="00666255">
      <w:pPr>
        <w:pStyle w:val="Textonotapie"/>
        <w:widowControl w:val="0"/>
        <w:spacing w:line="360" w:lineRule="auto"/>
        <w:ind w:firstLine="708"/>
        <w:jc w:val="both"/>
        <w:rPr>
          <w:rFonts w:ascii="Arial" w:hAnsi="Arial" w:cs="Arial"/>
          <w:sz w:val="24"/>
          <w:szCs w:val="24"/>
          <w:lang w:eastAsia="es-MX"/>
        </w:rPr>
      </w:pPr>
    </w:p>
    <w:p w:rsidR="00666255" w:rsidRDefault="00666255" w:rsidP="00666255">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666255" w:rsidRDefault="00666255" w:rsidP="00666255">
      <w:pPr>
        <w:pStyle w:val="Textonotapie"/>
        <w:widowControl w:val="0"/>
        <w:spacing w:line="360" w:lineRule="auto"/>
        <w:ind w:left="1701" w:right="1469"/>
        <w:jc w:val="both"/>
        <w:rPr>
          <w:rFonts w:ascii="Arial" w:hAnsi="Arial" w:cs="Arial"/>
          <w:b/>
          <w:sz w:val="24"/>
          <w:szCs w:val="24"/>
          <w:lang w:eastAsia="es-MX"/>
        </w:rPr>
      </w:pPr>
    </w:p>
    <w:p w:rsidR="00666255" w:rsidRDefault="00666255" w:rsidP="00666255">
      <w:pPr>
        <w:pStyle w:val="Textonotapie"/>
        <w:widowControl w:val="0"/>
        <w:spacing w:line="360" w:lineRule="auto"/>
        <w:ind w:left="1701" w:right="1469"/>
        <w:jc w:val="both"/>
        <w:rPr>
          <w:rFonts w:ascii="Arial" w:hAnsi="Arial" w:cs="Arial"/>
          <w:b/>
          <w:sz w:val="24"/>
          <w:szCs w:val="24"/>
          <w:lang w:eastAsia="es-MX"/>
        </w:rPr>
      </w:pPr>
    </w:p>
    <w:p w:rsidR="00666255" w:rsidRPr="007B0581" w:rsidRDefault="00666255" w:rsidP="00666255">
      <w:pPr>
        <w:pStyle w:val="Textonotapie"/>
        <w:widowControl w:val="0"/>
        <w:spacing w:line="360" w:lineRule="auto"/>
        <w:ind w:left="1701" w:right="1469"/>
        <w:jc w:val="both"/>
        <w:rPr>
          <w:rFonts w:ascii="Arial" w:hAnsi="Arial" w:cs="Arial"/>
          <w:b/>
          <w:sz w:val="24"/>
          <w:szCs w:val="24"/>
          <w:lang w:eastAsia="es-MX"/>
        </w:rPr>
      </w:pPr>
    </w:p>
    <w:p w:rsidR="00666255" w:rsidRDefault="00666255" w:rsidP="00666255">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sidR="009E3217">
        <w:rPr>
          <w:rFonts w:cs="Arial"/>
          <w:b/>
          <w:sz w:val="24"/>
          <w:szCs w:val="24"/>
        </w:rPr>
        <w:t>**********</w:t>
      </w:r>
      <w:r w:rsidRPr="007B0581">
        <w:rPr>
          <w:rFonts w:ascii="Arial" w:hAnsi="Arial" w:cs="Arial"/>
          <w:sz w:val="24"/>
          <w:szCs w:val="24"/>
        </w:rPr>
        <w:t xml:space="preserve"> de </w:t>
      </w:r>
      <w:r>
        <w:rPr>
          <w:rFonts w:ascii="Arial" w:hAnsi="Arial" w:cs="Arial"/>
          <w:sz w:val="24"/>
          <w:szCs w:val="24"/>
        </w:rPr>
        <w:t>veintisiete de junio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CC512A">
        <w:rPr>
          <w:rFonts w:ascii="Arial" w:hAnsi="Arial" w:cs="Arial"/>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PV-307, </w:t>
      </w:r>
      <w:r w:rsidRPr="007B0581">
        <w:rPr>
          <w:rFonts w:ascii="Arial" w:hAnsi="Arial" w:cs="Arial"/>
          <w:sz w:val="24"/>
          <w:szCs w:val="24"/>
        </w:rPr>
        <w:t>por</w:t>
      </w:r>
      <w:r>
        <w:rPr>
          <w:rFonts w:ascii="Arial" w:hAnsi="Arial" w:cs="Arial"/>
          <w:sz w:val="24"/>
          <w:szCs w:val="24"/>
        </w:rPr>
        <w:t xml:space="preserve"> considerar que no satisface los requisitos de debida fundamentación y motivación conforme a lo dispuesto por el artículo 16 de la Constitución Política de los Estados Unidos </w:t>
      </w:r>
      <w:r>
        <w:rPr>
          <w:rFonts w:ascii="Arial" w:hAnsi="Arial" w:cs="Arial"/>
          <w:sz w:val="24"/>
          <w:szCs w:val="24"/>
        </w:rPr>
        <w:lastRenderedPageBreak/>
        <w:t>Mexicanos y las fracciones II y V del numeral 17 de la Ley de Procedimiento y Justicia Administrativa para el Estado de Oaxaca, pues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no ocurrió en la especie.</w:t>
      </w:r>
    </w:p>
    <w:p w:rsidR="00666255" w:rsidRDefault="00666255" w:rsidP="00666255">
      <w:pPr>
        <w:pStyle w:val="Textonotapie"/>
        <w:widowControl w:val="0"/>
        <w:spacing w:line="360" w:lineRule="auto"/>
        <w:ind w:right="49" w:firstLine="708"/>
        <w:jc w:val="both"/>
        <w:rPr>
          <w:rFonts w:ascii="Arial" w:hAnsi="Arial" w:cs="Arial"/>
          <w:sz w:val="24"/>
          <w:szCs w:val="24"/>
        </w:rPr>
      </w:pPr>
    </w:p>
    <w:p w:rsidR="00666255" w:rsidRDefault="00666255" w:rsidP="00666255">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cs="Arial"/>
          <w:b/>
          <w:bCs/>
          <w:sz w:val="24"/>
          <w:szCs w:val="24"/>
        </w:rPr>
        <w:t xml:space="preserve"> </w:t>
      </w:r>
      <w:r w:rsidRPr="009901D5">
        <w:rPr>
          <w:rFonts w:ascii="Arial" w:hAnsi="Arial" w:cs="Arial"/>
          <w:b/>
          <w:bCs/>
          <w:sz w:val="24"/>
          <w:szCs w:val="24"/>
        </w:rPr>
        <w:t>PV-</w:t>
      </w:r>
      <w:r>
        <w:rPr>
          <w:rFonts w:ascii="Arial" w:hAnsi="Arial" w:cs="Arial"/>
          <w:b/>
          <w:bCs/>
          <w:sz w:val="24"/>
          <w:szCs w:val="24"/>
        </w:rPr>
        <w:t>307</w:t>
      </w:r>
      <w:r w:rsidRPr="00E508B9">
        <w:rPr>
          <w:rFonts w:cs="Arial"/>
          <w:sz w:val="24"/>
          <w:szCs w:val="24"/>
        </w:rPr>
        <w:t>,</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refirió que el acta de infracción se encuentra debidamente fundada y motivada, de conformidad con el artículo 16 de la Constitución Política de los Estados Unidos Mexicanos y cumple con los requisitos de validez y existencia conforme a lo establecido en el numeral 17 de la Ley de Procedimiento y Justicia Administrativa para el Estado de Oaxaca.</w:t>
      </w:r>
    </w:p>
    <w:p w:rsidR="00666255" w:rsidRDefault="00666255" w:rsidP="00666255">
      <w:pPr>
        <w:pStyle w:val="Textonotapie"/>
        <w:widowControl w:val="0"/>
        <w:spacing w:line="360" w:lineRule="auto"/>
        <w:ind w:right="49" w:firstLine="708"/>
        <w:jc w:val="both"/>
        <w:rPr>
          <w:rFonts w:ascii="Arial" w:hAnsi="Arial" w:cs="Arial"/>
          <w:sz w:val="24"/>
          <w:szCs w:val="24"/>
        </w:rPr>
      </w:pPr>
    </w:p>
    <w:p w:rsidR="00666255" w:rsidRDefault="00666255" w:rsidP="00666255">
      <w:pPr>
        <w:spacing w:line="360" w:lineRule="auto"/>
        <w:ind w:firstLine="709"/>
        <w:contextualSpacing/>
        <w:jc w:val="both"/>
        <w:rPr>
          <w:rFonts w:ascii="Arial" w:hAnsi="Arial" w:cs="Arial"/>
          <w:bCs/>
          <w:sz w:val="24"/>
          <w:szCs w:val="24"/>
        </w:rPr>
      </w:pP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sidR="009E3217">
        <w:rPr>
          <w:rFonts w:cs="Arial"/>
          <w:b/>
          <w:sz w:val="24"/>
          <w:szCs w:val="24"/>
        </w:rPr>
        <w:t>**********</w:t>
      </w:r>
      <w:r w:rsidRPr="007B0581">
        <w:rPr>
          <w:rFonts w:ascii="Arial" w:hAnsi="Arial" w:cs="Arial"/>
          <w:sz w:val="24"/>
          <w:szCs w:val="24"/>
        </w:rPr>
        <w:t xml:space="preserve"> de </w:t>
      </w:r>
      <w:r>
        <w:rPr>
          <w:rFonts w:ascii="Arial" w:hAnsi="Arial" w:cs="Arial"/>
          <w:sz w:val="24"/>
          <w:szCs w:val="24"/>
        </w:rPr>
        <w:t>veintisiete de junio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9B580B">
        <w:rPr>
          <w:rFonts w:ascii="Arial" w:hAnsi="Arial" w:cs="Arial"/>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PV-307, adscrito a la Dirección de Movilidad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w:t>
      </w:r>
      <w:r>
        <w:rPr>
          <w:rFonts w:ascii="Arial" w:hAnsi="Arial" w:cs="Arial"/>
          <w:sz w:val="24"/>
          <w:szCs w:val="24"/>
        </w:rPr>
        <w:t xml:space="preserve"> </w:t>
      </w:r>
      <w:r w:rsidRPr="007B0581">
        <w:rPr>
          <w:rFonts w:ascii="Arial" w:hAnsi="Arial" w:cs="Arial"/>
          <w:sz w:val="24"/>
          <w:szCs w:val="24"/>
        </w:rPr>
        <w:t xml:space="preserve">en el sentido que </w:t>
      </w:r>
      <w:r w:rsidRPr="00402863">
        <w:rPr>
          <w:rFonts w:ascii="Arial" w:hAnsi="Arial" w:cs="Arial"/>
          <w:bCs/>
          <w:sz w:val="24"/>
          <w:szCs w:val="24"/>
        </w:rPr>
        <w:t>carece de la debida fundamentación y motivación</w:t>
      </w:r>
      <w:r>
        <w:rPr>
          <w:rFonts w:ascii="Arial" w:hAnsi="Arial" w:cs="Arial"/>
          <w:bCs/>
          <w:sz w:val="24"/>
          <w:szCs w:val="24"/>
        </w:rPr>
        <w:t xml:space="preserve">. Se dice lo anterior en razón que </w:t>
      </w:r>
      <w:r w:rsidRPr="00402863">
        <w:rPr>
          <w:rFonts w:ascii="Arial" w:hAnsi="Arial" w:cs="Arial"/>
          <w:bCs/>
          <w:sz w:val="24"/>
          <w:szCs w:val="24"/>
        </w:rPr>
        <w:t>la autoridad demandada</w:t>
      </w:r>
      <w:r>
        <w:rPr>
          <w:rFonts w:ascii="Arial" w:hAnsi="Arial" w:cs="Arial"/>
          <w:bCs/>
          <w:sz w:val="24"/>
          <w:szCs w:val="24"/>
        </w:rPr>
        <w:t xml:space="preserve"> para fundar su actuar marcó los artículos 85 y 86 fracción XXXIII del Reglamento de Vialidad para el Municipio de Oaxaca de Juárez, el primero de los mencionados instaura que los vehículos pueden estacionarse en la vía pública en los lugares permitidos, siempre y cuando no obstruyan la circulación y dentro de los días y horarios autorizados, mientras que el segundo establece los espacios que autorice la autoridad vial y donde no exista señalamiento restrictivo, dichos numerales establecen diversos supuestos, siendo omisa la autoridad demandada de señalar específicamente la conducta infractora cometida por el actor, ya que no pudo incurrir en todos ellos, aunado a que en el apartado de “Motivación”, tampoco especificó o detalló las razones o motivos por los cuales llegó a la convicción de que el actor se estacionó en lugar prohibido, en un horario o día no autorizado, o bien si se encontraba obstruyendo la circulación, lo cual permitiera tener la posibilidad al actor de conocer las </w:t>
      </w:r>
      <w:r w:rsidRPr="00C84201">
        <w:rPr>
          <w:rFonts w:ascii="Arial" w:hAnsi="Arial" w:cs="Arial"/>
          <w:bCs/>
          <w:sz w:val="24"/>
          <w:szCs w:val="24"/>
        </w:rPr>
        <w:t>razones y motivos</w:t>
      </w:r>
      <w:r>
        <w:rPr>
          <w:rFonts w:ascii="Arial" w:hAnsi="Arial" w:cs="Arial"/>
          <w:bCs/>
          <w:sz w:val="24"/>
          <w:szCs w:val="24"/>
        </w:rPr>
        <w:t xml:space="preserve"> por los cuales supuestamente infringió la norma contenida en el Reglamento de Vialidad para el Municipio de Oaxaca de Juárez, y en su oportunidad efectuar su defensa.  </w:t>
      </w:r>
    </w:p>
    <w:p w:rsidR="00666255" w:rsidRDefault="00666255" w:rsidP="00666255">
      <w:pPr>
        <w:spacing w:line="360" w:lineRule="auto"/>
        <w:ind w:firstLine="709"/>
        <w:contextualSpacing/>
        <w:jc w:val="both"/>
        <w:rPr>
          <w:rFonts w:ascii="Arial" w:hAnsi="Arial" w:cs="Arial"/>
          <w:bCs/>
          <w:sz w:val="24"/>
          <w:szCs w:val="24"/>
        </w:rPr>
      </w:pPr>
    </w:p>
    <w:p w:rsidR="00666255" w:rsidRPr="00FB3B46" w:rsidRDefault="00666255" w:rsidP="00666255">
      <w:pPr>
        <w:spacing w:line="360" w:lineRule="auto"/>
        <w:ind w:firstLine="709"/>
        <w:contextualSpacing/>
        <w:jc w:val="both"/>
        <w:rPr>
          <w:rFonts w:ascii="Arial" w:hAnsi="Arial" w:cs="Arial"/>
          <w:color w:val="212529"/>
          <w:sz w:val="24"/>
          <w:szCs w:val="24"/>
        </w:rPr>
      </w:pPr>
      <w:r>
        <w:rPr>
          <w:rFonts w:ascii="Arial" w:hAnsi="Arial" w:cs="Arial"/>
          <w:bCs/>
          <w:sz w:val="24"/>
          <w:szCs w:val="24"/>
        </w:rPr>
        <w:lastRenderedPageBreak/>
        <w:t xml:space="preserve">Es de señalar que si bien es cierto que la autoridad demandada marcó también la fracción XXI del artículo 86 del Reglamento de Vialidad para el Municipio de Oaxaca de Juárez para fundar su determinación, la cual establece </w:t>
      </w:r>
      <w:r w:rsidRPr="00AD14E4">
        <w:rPr>
          <w:rFonts w:ascii="Arial" w:hAnsi="Arial" w:cs="Arial"/>
          <w:bCs/>
          <w:sz w:val="24"/>
          <w:szCs w:val="24"/>
        </w:rPr>
        <w:t>la prohibición de estacionarse en cajones de estacionamiento exclusivo y especial para personas con discapacidad</w:t>
      </w:r>
      <w:r>
        <w:rPr>
          <w:rFonts w:ascii="Arial" w:hAnsi="Arial" w:cs="Arial"/>
          <w:bCs/>
          <w:sz w:val="24"/>
          <w:szCs w:val="24"/>
        </w:rPr>
        <w:t xml:space="preserve">, también lo es que </w:t>
      </w:r>
      <w:proofErr w:type="spellStart"/>
      <w:r>
        <w:rPr>
          <w:rFonts w:ascii="Arial" w:hAnsi="Arial" w:cs="Arial"/>
          <w:bCs/>
          <w:sz w:val="24"/>
          <w:szCs w:val="24"/>
        </w:rPr>
        <w:t>de</w:t>
      </w:r>
      <w:proofErr w:type="spellEnd"/>
      <w:r>
        <w:rPr>
          <w:rFonts w:ascii="Arial" w:hAnsi="Arial" w:cs="Arial"/>
          <w:bCs/>
          <w:sz w:val="24"/>
          <w:szCs w:val="24"/>
        </w:rPr>
        <w:t xml:space="preserve"> la impresión de las placas fotográficas agregadas a los autos a foja 15, documentales a las cuales se les concede valor probatorio pleno de conformidad con el artículo 203, fracción I de la Ley de Procedimiento y Justicia Administrativa para el Estado de Oaxaca, en virtud que no fueron controvertidas por la demandada, se observa un señalamiento restrictivo de no estacionarse pintado en el suelo, señalamiento que difiere con el supuesto marcado por la demandada para fundar su actuar, asimismo se advierte que el vehículo del actor no se encontraba estacionado sobre el señalamiento restrictivo, dado que la autoridad demandada tampoco especificó o detalló si el perímetro de la restricción comprendía toda la cuadra o si había otro señalamiento en el lugar donde se encontraba estacionado el vehículo del actor, que le llevó a concluir que el administrado se encontraba estacionado en un lugar prohibido. </w:t>
      </w:r>
      <w:r w:rsidRPr="00FB3B46">
        <w:rPr>
          <w:rFonts w:ascii="Arial" w:hAnsi="Arial" w:cs="Arial"/>
          <w:sz w:val="24"/>
          <w:szCs w:val="24"/>
        </w:rPr>
        <w:t>Sin que le sea legalmente posible a la</w:t>
      </w:r>
      <w:r>
        <w:rPr>
          <w:rFonts w:ascii="Arial" w:hAnsi="Arial" w:cs="Arial"/>
          <w:sz w:val="24"/>
          <w:szCs w:val="24"/>
        </w:rPr>
        <w:t xml:space="preserve"> </w:t>
      </w:r>
      <w:r w:rsidRPr="00FB3B46">
        <w:rPr>
          <w:rFonts w:ascii="Arial" w:hAnsi="Arial" w:cs="Arial"/>
          <w:sz w:val="24"/>
          <w:szCs w:val="24"/>
        </w:rPr>
        <w:t xml:space="preserve">demandada mejorar la fundamentación y motivación del acto impugnado en su escrito de contestación de demanda pues es obligación de la autoridad </w:t>
      </w:r>
      <w:r w:rsidRPr="00FB3B46">
        <w:rPr>
          <w:rFonts w:ascii="Arial" w:hAnsi="Arial" w:cs="Arial"/>
          <w:color w:val="212529"/>
          <w:sz w:val="24"/>
          <w:szCs w:val="24"/>
        </w:rPr>
        <w:t>plasmar en el documento que contiene el acto impugnado la fundamentación y motivación y no en documento distinto,</w:t>
      </w:r>
      <w:r w:rsidRPr="00FB3B46">
        <w:rPr>
          <w:rFonts w:ascii="Arial" w:hAnsi="Arial" w:cs="Arial"/>
          <w:sz w:val="24"/>
          <w:szCs w:val="24"/>
        </w:rPr>
        <w:t xml:space="preserve"> sirva de apoyo la jurisprudencia con número de registro 917740, Séptima Época, de la Segunda Sala de la Suprema Corte de Justicia de la Nación, Tomo VI, página 168, de rubro y texto siguiente: </w:t>
      </w:r>
      <w:r w:rsidRPr="00FB3B46">
        <w:rPr>
          <w:rFonts w:ascii="Arial" w:hAnsi="Arial" w:cs="Arial"/>
          <w:i/>
          <w:iCs/>
          <w:sz w:val="24"/>
          <w:szCs w:val="24"/>
        </w:rPr>
        <w:t>“FUNDAMENTACIÓN</w:t>
      </w:r>
      <w:r w:rsidRPr="00FB3B46">
        <w:rPr>
          <w:rFonts w:ascii="Arial" w:hAnsi="Arial" w:cs="Arial"/>
          <w:i/>
          <w:iCs/>
          <w:color w:val="212529"/>
          <w:sz w:val="24"/>
          <w:szCs w:val="24"/>
        </w:rPr>
        <w:t xml:space="preserve"> Y MOTIVACIÓN. DEBEN CONSTAR EN EL CUERPO DE LA RESOLUCIÓN Y NO EN DOCUMENTO DISTINTO. -</w:t>
      </w:r>
      <w:r w:rsidRPr="00FB3B46">
        <w:rPr>
          <w:rFonts w:ascii="Arial" w:hAnsi="Arial" w:cs="Arial"/>
          <w:b/>
          <w:bCs/>
          <w:i/>
          <w:iCs/>
          <w:color w:val="212529"/>
          <w:sz w:val="24"/>
          <w:szCs w:val="24"/>
        </w:rPr>
        <w:t xml:space="preserve"> </w:t>
      </w:r>
      <w:r w:rsidRPr="00FB3B46">
        <w:rPr>
          <w:rFonts w:ascii="Arial" w:hAnsi="Arial" w:cs="Arial"/>
          <w:i/>
          <w:iCs/>
          <w:color w:val="212529"/>
          <w:sz w:val="24"/>
          <w:szCs w:val="24"/>
        </w:rPr>
        <w:t>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666255" w:rsidRDefault="00666255" w:rsidP="00666255">
      <w:pPr>
        <w:pStyle w:val="Prrafodelista"/>
        <w:spacing w:line="360" w:lineRule="auto"/>
        <w:ind w:left="1428"/>
        <w:jc w:val="both"/>
        <w:rPr>
          <w:rFonts w:ascii="Arial" w:hAnsi="Arial" w:cs="Arial"/>
          <w:sz w:val="24"/>
          <w:szCs w:val="24"/>
        </w:rPr>
      </w:pPr>
    </w:p>
    <w:p w:rsidR="00666255" w:rsidRDefault="00666255" w:rsidP="00666255">
      <w:pPr>
        <w:pStyle w:val="Prrafodelista"/>
        <w:spacing w:line="360" w:lineRule="auto"/>
        <w:ind w:left="0" w:firstLine="567"/>
        <w:jc w:val="both"/>
        <w:rPr>
          <w:rFonts w:ascii="Arial" w:hAnsi="Arial" w:cs="Arial"/>
          <w:sz w:val="24"/>
          <w:szCs w:val="24"/>
        </w:rPr>
      </w:pPr>
      <w:r>
        <w:rPr>
          <w:rFonts w:ascii="Arial" w:hAnsi="Arial" w:cs="Arial"/>
          <w:sz w:val="24"/>
          <w:szCs w:val="24"/>
        </w:rPr>
        <w:t xml:space="preserve">Aunado a lo anterior, la autoridad demandada plasmó de puño y letra el artículo 86, fracción XXXIII pero omitió plasmar a que ley o reglamento se refirió, </w:t>
      </w:r>
      <w:r w:rsidRPr="002703A3">
        <w:rPr>
          <w:rFonts w:ascii="Arial" w:hAnsi="Arial" w:cs="Arial"/>
          <w:bCs/>
          <w:sz w:val="24"/>
          <w:szCs w:val="24"/>
        </w:rPr>
        <w:t>dejando en incertidumbre jurídica al</w:t>
      </w:r>
      <w:r>
        <w:rPr>
          <w:rFonts w:ascii="Arial" w:hAnsi="Arial" w:cs="Arial"/>
          <w:bCs/>
          <w:sz w:val="24"/>
          <w:szCs w:val="24"/>
        </w:rPr>
        <w:t xml:space="preserve"> actor, al no saber la disposición legal que aplicó y en su oportunidad realizar su defensa, siendo imperioso para la demandada, el plasmar además de los artículos y las fracciones, la ley </w:t>
      </w:r>
      <w:r w:rsidRPr="00A57E90">
        <w:rPr>
          <w:rFonts w:ascii="Arial" w:hAnsi="Arial" w:cs="Arial"/>
          <w:bCs/>
          <w:sz w:val="24"/>
          <w:szCs w:val="24"/>
        </w:rPr>
        <w:t>aplica</w:t>
      </w:r>
      <w:r>
        <w:rPr>
          <w:rFonts w:ascii="Arial" w:hAnsi="Arial" w:cs="Arial"/>
          <w:bCs/>
          <w:sz w:val="24"/>
          <w:szCs w:val="24"/>
        </w:rPr>
        <w:t>ble.</w:t>
      </w:r>
    </w:p>
    <w:p w:rsidR="00666255" w:rsidRDefault="00666255" w:rsidP="00666255">
      <w:pPr>
        <w:pStyle w:val="Prrafodelista"/>
        <w:spacing w:line="360" w:lineRule="auto"/>
        <w:ind w:left="567"/>
        <w:jc w:val="both"/>
        <w:rPr>
          <w:rFonts w:ascii="Arial" w:hAnsi="Arial" w:cs="Arial"/>
          <w:sz w:val="24"/>
          <w:szCs w:val="24"/>
        </w:rPr>
      </w:pPr>
    </w:p>
    <w:p w:rsidR="00666255" w:rsidRDefault="00666255" w:rsidP="00666255">
      <w:pPr>
        <w:pStyle w:val="NormalWeb"/>
        <w:spacing w:before="0" w:beforeAutospacing="0" w:after="0" w:afterAutospacing="0" w:line="360" w:lineRule="auto"/>
        <w:ind w:firstLine="567"/>
        <w:jc w:val="both"/>
        <w:rPr>
          <w:rFonts w:ascii="Arial" w:hAnsi="Arial" w:cs="Arial"/>
          <w:bCs/>
        </w:rPr>
      </w:pPr>
      <w:r w:rsidRPr="00BB7DA2">
        <w:rPr>
          <w:rFonts w:ascii="Arial" w:hAnsi="Arial" w:cs="Arial"/>
        </w:rPr>
        <w:t>Por lo que concierne a la prueba</w:t>
      </w:r>
      <w:r>
        <w:rPr>
          <w:rFonts w:ascii="Arial" w:hAnsi="Arial" w:cs="Arial"/>
        </w:rPr>
        <w:t>s</w:t>
      </w:r>
      <w:r w:rsidRPr="00BB7DA2">
        <w:rPr>
          <w:rFonts w:ascii="Arial" w:hAnsi="Arial" w:cs="Arial"/>
        </w:rPr>
        <w:t xml:space="preserve"> objetada</w:t>
      </w:r>
      <w:r>
        <w:rPr>
          <w:rFonts w:ascii="Arial" w:hAnsi="Arial" w:cs="Arial"/>
        </w:rPr>
        <w:t>s</w:t>
      </w:r>
      <w:r w:rsidRPr="00BB7DA2">
        <w:rPr>
          <w:rFonts w:ascii="Arial" w:hAnsi="Arial" w:cs="Arial"/>
        </w:rPr>
        <w:t xml:space="preserve"> por la autoridad demandada, </w:t>
      </w:r>
      <w:r>
        <w:rPr>
          <w:rFonts w:ascii="Arial" w:hAnsi="Arial" w:cs="Arial"/>
        </w:rPr>
        <w:t>descritas en auto admisorio de dieciséis de agosto de dos mil veintidós</w:t>
      </w:r>
      <w:r w:rsidRPr="00BB7DA2">
        <w:rPr>
          <w:rFonts w:ascii="Arial" w:hAnsi="Arial" w:cs="Arial"/>
        </w:rPr>
        <w:t>, no ha lugar a su petición, en virtud que la</w:t>
      </w:r>
      <w:r>
        <w:rPr>
          <w:rFonts w:ascii="Arial" w:hAnsi="Arial" w:cs="Arial"/>
        </w:rPr>
        <w:t xml:space="preserve"> autoridad</w:t>
      </w:r>
      <w:r w:rsidRPr="00BB7DA2">
        <w:rPr>
          <w:rFonts w:ascii="Arial" w:hAnsi="Arial" w:cs="Arial"/>
        </w:rPr>
        <w:t xml:space="preserve"> demandada solo hace referencia a objetar </w:t>
      </w:r>
      <w:r w:rsidRPr="00BB7DA2">
        <w:rPr>
          <w:rFonts w:ascii="Arial" w:hAnsi="Arial" w:cs="Arial"/>
        </w:rPr>
        <w:lastRenderedPageBreak/>
        <w:t>la</w:t>
      </w:r>
      <w:r>
        <w:rPr>
          <w:rFonts w:ascii="Arial" w:hAnsi="Arial" w:cs="Arial"/>
        </w:rPr>
        <w:t>s</w:t>
      </w:r>
      <w:r w:rsidRPr="00BB7DA2">
        <w:rPr>
          <w:rFonts w:ascii="Arial" w:hAnsi="Arial" w:cs="Arial"/>
        </w:rPr>
        <w:t xml:space="preserve"> documental</w:t>
      </w:r>
      <w:r>
        <w:rPr>
          <w:rFonts w:ascii="Arial" w:hAnsi="Arial" w:cs="Arial"/>
        </w:rPr>
        <w:t>es</w:t>
      </w:r>
      <w:r w:rsidRPr="00BB7DA2">
        <w:rPr>
          <w:rFonts w:ascii="Arial" w:hAnsi="Arial" w:cs="Arial"/>
        </w:rPr>
        <w:t xml:space="preserve"> exhibida</w:t>
      </w:r>
      <w:r>
        <w:rPr>
          <w:rFonts w:ascii="Arial" w:hAnsi="Arial" w:cs="Arial"/>
        </w:rPr>
        <w:t>s</w:t>
      </w:r>
      <w:r w:rsidRPr="00BB7DA2">
        <w:rPr>
          <w:rFonts w:ascii="Arial" w:hAnsi="Arial" w:cs="Arial"/>
        </w:rPr>
        <w:t xml:space="preserve"> por </w:t>
      </w:r>
      <w:r>
        <w:rPr>
          <w:rFonts w:ascii="Arial" w:hAnsi="Arial" w:cs="Arial"/>
        </w:rPr>
        <w:t>el</w:t>
      </w:r>
      <w:r w:rsidRPr="00BB7DA2">
        <w:rPr>
          <w:rFonts w:ascii="Arial" w:hAnsi="Arial" w:cs="Arial"/>
        </w:rPr>
        <w:t xml:space="preserve"> actor y, en el presente asunto no se advierte prueba alguna fehaciente para desvirtuar el contenido de dich</w:t>
      </w:r>
      <w:r>
        <w:rPr>
          <w:rFonts w:ascii="Arial" w:hAnsi="Arial" w:cs="Arial"/>
        </w:rPr>
        <w:t>as</w:t>
      </w:r>
      <w:r w:rsidRPr="00BB7DA2">
        <w:rPr>
          <w:rFonts w:ascii="Arial" w:hAnsi="Arial" w:cs="Arial"/>
        </w:rPr>
        <w:t xml:space="preserve"> document</w:t>
      </w:r>
      <w:r>
        <w:rPr>
          <w:rFonts w:ascii="Arial" w:hAnsi="Arial" w:cs="Arial"/>
        </w:rPr>
        <w:t>ales</w:t>
      </w:r>
      <w:r w:rsidRPr="00BB7DA2">
        <w:rPr>
          <w:rFonts w:ascii="Arial" w:hAnsi="Arial" w:cs="Arial"/>
        </w:rPr>
        <w:t>.</w:t>
      </w:r>
      <w:r>
        <w:rPr>
          <w:rFonts w:ascii="Arial" w:hAnsi="Arial" w:cs="Arial"/>
          <w:bCs/>
        </w:rPr>
        <w:t xml:space="preserve">  </w:t>
      </w:r>
    </w:p>
    <w:p w:rsidR="00666255" w:rsidRDefault="00666255" w:rsidP="00666255">
      <w:pPr>
        <w:spacing w:line="360" w:lineRule="auto"/>
        <w:ind w:firstLine="709"/>
        <w:contextualSpacing/>
        <w:jc w:val="both"/>
        <w:rPr>
          <w:rFonts w:ascii="Arial" w:hAnsi="Arial" w:cs="Arial"/>
          <w:bCs/>
          <w:sz w:val="24"/>
          <w:szCs w:val="24"/>
        </w:rPr>
      </w:pPr>
    </w:p>
    <w:p w:rsidR="00666255" w:rsidRDefault="00666255" w:rsidP="00666255">
      <w:pPr>
        <w:spacing w:line="360" w:lineRule="auto"/>
        <w:ind w:firstLine="709"/>
        <w:contextualSpacing/>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 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w:t>
      </w:r>
      <w:r>
        <w:rPr>
          <w:rFonts w:ascii="Arial" w:hAnsi="Arial" w:cs="Arial"/>
          <w:sz w:val="24"/>
          <w:szCs w:val="24"/>
        </w:rPr>
        <w:t>,</w:t>
      </w:r>
      <w:r w:rsidRPr="00A84B6D">
        <w:rPr>
          <w:rFonts w:ascii="Arial" w:hAnsi="Arial" w:cs="Arial"/>
          <w:sz w:val="24"/>
          <w:szCs w:val="24"/>
        </w:rPr>
        <w:t xml:space="preserve"> </w:t>
      </w:r>
      <w:r w:rsidRPr="005655B3">
        <w:rPr>
          <w:rFonts w:ascii="Arial" w:hAnsi="Arial" w:cs="Arial"/>
          <w:sz w:val="24"/>
          <w:szCs w:val="24"/>
        </w:rPr>
        <w:t>fracciones II y VI,</w:t>
      </w:r>
      <w:r w:rsidRPr="00A84B6D">
        <w:rPr>
          <w:rFonts w:ascii="Arial" w:hAnsi="Arial" w:cs="Arial"/>
          <w:sz w:val="24"/>
          <w:szCs w:val="24"/>
        </w:rPr>
        <w:t xml:space="preserve"> de la Ley </w:t>
      </w:r>
      <w:r>
        <w:rPr>
          <w:rFonts w:ascii="Arial" w:hAnsi="Arial" w:cs="Arial"/>
          <w:sz w:val="24"/>
          <w:szCs w:val="24"/>
        </w:rPr>
        <w:t>de 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9E3217">
        <w:rPr>
          <w:rFonts w:cs="Arial"/>
          <w:b/>
          <w:sz w:val="24"/>
          <w:szCs w:val="24"/>
        </w:rPr>
        <w:t>**********</w:t>
      </w:r>
      <w:r w:rsidR="009E3217">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veintisiete de junio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6C7786">
        <w:rPr>
          <w:rFonts w:ascii="Arial" w:hAnsi="Arial" w:cs="Arial"/>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PV-307, adscrito a la Dirección de Movilidad del Municipio de Oaxaca de Juárez, </w:t>
      </w:r>
      <w:r w:rsidR="009E3217">
        <w:rPr>
          <w:rFonts w:cs="Arial"/>
          <w:b/>
          <w:sz w:val="24"/>
          <w:szCs w:val="24"/>
        </w:rPr>
        <w:t>**********</w:t>
      </w:r>
      <w:r w:rsidRPr="00A84B6D">
        <w:rPr>
          <w:rFonts w:ascii="Arial" w:hAnsi="Arial" w:cs="Arial"/>
          <w:bCs/>
          <w:sz w:val="24"/>
          <w:szCs w:val="24"/>
        </w:rPr>
        <w:t>,</w:t>
      </w:r>
      <w:r>
        <w:rPr>
          <w:rFonts w:ascii="Arial" w:hAnsi="Arial" w:cs="Arial"/>
          <w:bCs/>
          <w:sz w:val="24"/>
          <w:szCs w:val="24"/>
        </w:rPr>
        <w:t xml:space="preserve"> por las razones y consideraciones emitidas en el presente considerando</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Pr>
          <w:rFonts w:ascii="Arial" w:hAnsi="Arial" w:cs="Arial"/>
          <w:bCs/>
          <w:sz w:val="24"/>
          <w:szCs w:val="24"/>
        </w:rPr>
        <w:t>.</w:t>
      </w:r>
    </w:p>
    <w:p w:rsidR="00666255" w:rsidRDefault="00666255" w:rsidP="00666255">
      <w:pPr>
        <w:spacing w:line="360" w:lineRule="auto"/>
        <w:ind w:firstLine="709"/>
        <w:contextualSpacing/>
        <w:jc w:val="both"/>
        <w:rPr>
          <w:rFonts w:ascii="Arial" w:hAnsi="Arial" w:cs="Arial"/>
          <w:bCs/>
          <w:sz w:val="24"/>
          <w:szCs w:val="24"/>
        </w:rPr>
      </w:pPr>
    </w:p>
    <w:p w:rsidR="00666255" w:rsidRPr="007B0581" w:rsidRDefault="00666255" w:rsidP="00666255">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bookmarkStart w:id="3" w:name="_GoBack"/>
      <w:bookmarkEnd w:id="3"/>
    </w:p>
    <w:p w:rsidR="00666255" w:rsidRPr="007B0581" w:rsidRDefault="00666255" w:rsidP="00666255">
      <w:pPr>
        <w:spacing w:line="360" w:lineRule="auto"/>
        <w:ind w:right="-93" w:firstLine="708"/>
        <w:jc w:val="both"/>
        <w:rPr>
          <w:rFonts w:ascii="Arial" w:eastAsia="Calibri" w:hAnsi="Arial" w:cs="Arial"/>
          <w:color w:val="000000"/>
          <w:sz w:val="24"/>
          <w:szCs w:val="24"/>
          <w:lang w:val="es-MX" w:eastAsia="en-US"/>
        </w:rPr>
      </w:pPr>
    </w:p>
    <w:p w:rsidR="00666255" w:rsidRDefault="00666255" w:rsidP="00666255">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5655B3">
        <w:rPr>
          <w:rFonts w:ascii="Arial" w:eastAsia="Calibri" w:hAnsi="Arial" w:cs="Arial"/>
          <w:color w:val="000000"/>
          <w:sz w:val="24"/>
          <w:szCs w:val="24"/>
          <w:lang w:val="es-MX" w:eastAsia="en-US"/>
        </w:rPr>
        <w:t>207, 208, fracciones</w:t>
      </w:r>
      <w:r w:rsidRPr="007B0581">
        <w:rPr>
          <w:rFonts w:ascii="Arial" w:eastAsia="Calibri" w:hAnsi="Arial" w:cs="Arial"/>
          <w:color w:val="000000"/>
          <w:sz w:val="24"/>
          <w:szCs w:val="24"/>
          <w:lang w:val="es-MX" w:eastAsia="en-US"/>
        </w:rPr>
        <w:t xml:space="preserve"> II y VI, y 209, de la Ley de Procedimiento y Justicia Administrativa para el Estado de Oaxaca, se; </w:t>
      </w:r>
    </w:p>
    <w:p w:rsidR="00666255" w:rsidRDefault="00666255" w:rsidP="00666255">
      <w:pPr>
        <w:spacing w:line="360" w:lineRule="auto"/>
        <w:ind w:firstLine="708"/>
        <w:jc w:val="both"/>
        <w:rPr>
          <w:rFonts w:ascii="Arial" w:eastAsia="Calibri" w:hAnsi="Arial" w:cs="Arial"/>
          <w:color w:val="000000"/>
          <w:sz w:val="24"/>
          <w:szCs w:val="24"/>
          <w:lang w:val="es-MX" w:eastAsia="en-US"/>
        </w:rPr>
      </w:pPr>
    </w:p>
    <w:p w:rsidR="00666255" w:rsidRDefault="00666255" w:rsidP="00666255">
      <w:pPr>
        <w:spacing w:line="360" w:lineRule="auto"/>
        <w:ind w:firstLine="708"/>
        <w:jc w:val="both"/>
        <w:rPr>
          <w:rFonts w:ascii="Arial" w:eastAsia="Calibri" w:hAnsi="Arial" w:cs="Arial"/>
          <w:color w:val="000000"/>
          <w:sz w:val="24"/>
          <w:szCs w:val="24"/>
          <w:lang w:val="es-MX" w:eastAsia="en-US"/>
        </w:rPr>
      </w:pPr>
    </w:p>
    <w:p w:rsidR="00666255" w:rsidRDefault="00666255" w:rsidP="00666255">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666255" w:rsidRDefault="00666255" w:rsidP="00666255">
      <w:pPr>
        <w:tabs>
          <w:tab w:val="left" w:pos="3786"/>
        </w:tabs>
        <w:spacing w:line="360" w:lineRule="auto"/>
        <w:ind w:firstLine="708"/>
        <w:jc w:val="both"/>
        <w:rPr>
          <w:rFonts w:ascii="Arial" w:hAnsi="Arial" w:cs="Arial"/>
          <w:b/>
          <w:sz w:val="24"/>
          <w:szCs w:val="24"/>
        </w:rPr>
      </w:pPr>
    </w:p>
    <w:p w:rsidR="00666255" w:rsidRPr="007B0581" w:rsidRDefault="00666255" w:rsidP="00666255">
      <w:pPr>
        <w:tabs>
          <w:tab w:val="left" w:pos="3932"/>
        </w:tabs>
        <w:jc w:val="both"/>
        <w:rPr>
          <w:rFonts w:ascii="Arial" w:hAnsi="Arial" w:cs="Arial"/>
          <w:b/>
          <w:sz w:val="24"/>
          <w:szCs w:val="24"/>
        </w:rPr>
      </w:pPr>
      <w:r w:rsidRPr="007B0581">
        <w:rPr>
          <w:rFonts w:ascii="Arial" w:hAnsi="Arial" w:cs="Arial"/>
          <w:b/>
          <w:sz w:val="24"/>
          <w:szCs w:val="24"/>
        </w:rPr>
        <w:tab/>
      </w:r>
    </w:p>
    <w:p w:rsidR="00666255" w:rsidRPr="007B0581" w:rsidRDefault="00666255" w:rsidP="00666255">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666255" w:rsidRPr="007B0581" w:rsidRDefault="00666255" w:rsidP="00666255">
      <w:pPr>
        <w:pStyle w:val="Textoindependiente"/>
        <w:ind w:firstLine="709"/>
        <w:contextualSpacing/>
        <w:jc w:val="both"/>
        <w:rPr>
          <w:rFonts w:ascii="Arial" w:hAnsi="Arial" w:cs="Arial"/>
          <w:b/>
          <w:sz w:val="24"/>
          <w:szCs w:val="24"/>
        </w:rPr>
      </w:pPr>
    </w:p>
    <w:p w:rsidR="00666255" w:rsidRPr="007B0581" w:rsidRDefault="00666255" w:rsidP="00666255">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666255" w:rsidRDefault="00666255" w:rsidP="00666255">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sz w:val="24"/>
          <w:szCs w:val="24"/>
          <w:lang w:val="es-MX"/>
        </w:rPr>
        <w:lastRenderedPageBreak/>
        <w:t xml:space="preserve"> </w:t>
      </w:r>
      <w:r w:rsidRPr="005655B3">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666255" w:rsidRPr="007B0581" w:rsidRDefault="00666255" w:rsidP="00666255">
      <w:pPr>
        <w:ind w:right="51"/>
        <w:contextualSpacing/>
        <w:jc w:val="both"/>
        <w:rPr>
          <w:rFonts w:ascii="Arial" w:hAnsi="Arial" w:cs="Arial"/>
          <w:sz w:val="24"/>
          <w:szCs w:val="24"/>
          <w:lang w:val="es-MX"/>
        </w:rPr>
      </w:pPr>
    </w:p>
    <w:p w:rsidR="00666255" w:rsidRDefault="00666255" w:rsidP="00666255">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sidR="009E3217">
        <w:rPr>
          <w:rFonts w:cs="Arial"/>
          <w:b/>
          <w:sz w:val="24"/>
          <w:szCs w:val="24"/>
        </w:rPr>
        <w:t>**********</w:t>
      </w:r>
      <w:r w:rsidR="009E3217">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veintisiete de junio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6C7786">
        <w:rPr>
          <w:rFonts w:ascii="Arial" w:hAnsi="Arial" w:cs="Arial"/>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PV-307, adscrito a la Dirección de Movilidad del Municipio de Oaxaca de Juárez, </w:t>
      </w:r>
      <w:r w:rsidR="009E3217">
        <w:rPr>
          <w:rFonts w:cs="Arial"/>
          <w:b/>
          <w:sz w:val="24"/>
          <w:szCs w:val="24"/>
        </w:rPr>
        <w:t>**********</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resolución.</w:t>
      </w:r>
      <w:r w:rsidRPr="007B0581">
        <w:rPr>
          <w:rFonts w:ascii="Arial" w:hAnsi="Arial" w:cs="Arial"/>
          <w:sz w:val="24"/>
          <w:szCs w:val="24"/>
        </w:rPr>
        <w:t xml:space="preserve"> </w:t>
      </w:r>
    </w:p>
    <w:p w:rsidR="00666255" w:rsidRDefault="00666255" w:rsidP="00666255">
      <w:pPr>
        <w:spacing w:line="360" w:lineRule="auto"/>
        <w:ind w:right="51" w:firstLine="567"/>
        <w:jc w:val="both"/>
        <w:rPr>
          <w:rFonts w:ascii="Arial" w:hAnsi="Arial" w:cs="Arial"/>
          <w:b/>
          <w:sz w:val="24"/>
          <w:szCs w:val="24"/>
        </w:rPr>
      </w:pPr>
    </w:p>
    <w:p w:rsidR="00666255" w:rsidRDefault="00666255" w:rsidP="00666255">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666255" w:rsidRDefault="00666255" w:rsidP="00666255">
      <w:pPr>
        <w:spacing w:line="360" w:lineRule="auto"/>
        <w:ind w:right="51" w:firstLine="567"/>
        <w:jc w:val="both"/>
        <w:rPr>
          <w:rFonts w:ascii="Arial" w:eastAsia="Calibri" w:hAnsi="Arial" w:cs="Arial"/>
          <w:b/>
          <w:color w:val="000000"/>
          <w:sz w:val="24"/>
          <w:szCs w:val="24"/>
          <w:lang w:val="es-MX" w:eastAsia="en-US"/>
        </w:rPr>
      </w:pPr>
    </w:p>
    <w:p w:rsidR="00666255" w:rsidRPr="007B0581" w:rsidRDefault="00666255" w:rsidP="00666255">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255" w:rsidRDefault="00666255" w:rsidP="00666255">
      <w:r>
        <w:separator/>
      </w:r>
    </w:p>
  </w:endnote>
  <w:endnote w:type="continuationSeparator" w:id="0">
    <w:p w:rsidR="00666255" w:rsidRDefault="00666255" w:rsidP="00666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C20754">
        <w:pPr>
          <w:pStyle w:val="Piedepgina"/>
          <w:jc w:val="center"/>
        </w:pPr>
        <w:r>
          <w:fldChar w:fldCharType="begin"/>
        </w:r>
        <w:r>
          <w:instrText>PAGE   \* MERGEFORMAT</w:instrText>
        </w:r>
        <w:r>
          <w:fldChar w:fldCharType="separate"/>
        </w:r>
        <w:r>
          <w:rPr>
            <w:noProof/>
          </w:rPr>
          <w:t>7</w:t>
        </w:r>
        <w:r>
          <w:fldChar w:fldCharType="end"/>
        </w:r>
      </w:p>
    </w:sdtContent>
  </w:sdt>
  <w:p w:rsidR="009525A3" w:rsidRDefault="00C2075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255" w:rsidRDefault="00666255" w:rsidP="00666255">
      <w:r>
        <w:separator/>
      </w:r>
    </w:p>
  </w:footnote>
  <w:footnote w:type="continuationSeparator" w:id="0">
    <w:p w:rsidR="00666255" w:rsidRDefault="00666255" w:rsidP="006662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666255" w:rsidP="00A73AD7">
    <w:pPr>
      <w:pStyle w:val="Encabezado"/>
      <w:jc w:val="right"/>
      <w:rPr>
        <w:rFonts w:ascii="Arial" w:hAnsi="Arial" w:cs="Arial"/>
      </w:rPr>
    </w:pPr>
    <w:r w:rsidRPr="00541642">
      <w:rPr>
        <w:rFonts w:eastAsia="Calibri"/>
        <w:noProof/>
        <w:lang w:val="es-MX"/>
      </w:rPr>
      <mc:AlternateContent>
        <mc:Choice Requires="wps">
          <w:drawing>
            <wp:anchor distT="45720" distB="45720" distL="114300" distR="114300" simplePos="0" relativeHeight="251665408" behindDoc="1" locked="0" layoutInCell="1" allowOverlap="1" wp14:anchorId="7E099F42" wp14:editId="522FA12F">
              <wp:simplePos x="0" y="0"/>
              <wp:positionH relativeFrom="leftMargin">
                <wp:posOffset>226841</wp:posOffset>
              </wp:positionH>
              <wp:positionV relativeFrom="paragraph">
                <wp:posOffset>3869738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66255" w:rsidRDefault="00666255" w:rsidP="0066625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099F42" id="_x0000_t202" coordsize="21600,21600" o:spt="202" path="m,l,21600r21600,l21600,xe">
              <v:stroke joinstyle="miter"/>
              <v:path gradientshapeok="t" o:connecttype="rect"/>
            </v:shapetype>
            <v:shape id="Cuadro de texto 4" o:spid="_x0000_s1026" type="#_x0000_t202" style="position:absolute;left:0;text-align:left;margin-left:17.85pt;margin-top:304.7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">
              <v:textbox>
                <w:txbxContent>
                  <w:p w:rsidR="00666255" w:rsidRDefault="00666255" w:rsidP="00666255">
                    <w:pPr>
                      <w:jc w:val="center"/>
                    </w:pPr>
                    <w:r>
                      <w:t>DATOS PERSONALES PROTEGIDOS POR EL ART.- 116 DE LA LGTAIP Y EL ART.- 61 DE LA LTAIPEO</w:t>
                    </w:r>
                  </w:p>
                </w:txbxContent>
              </v:textbox>
              <w10:wrap anchorx="margin"/>
            </v:shape>
          </w:pict>
        </mc:Fallback>
      </mc:AlternateContent>
    </w:r>
    <w:r w:rsidR="00C20754" w:rsidRPr="00A73AD7">
      <w:rPr>
        <w:rFonts w:ascii="Arial" w:hAnsi="Arial" w:cs="Arial"/>
        <w:noProof/>
        <w:sz w:val="18"/>
        <w:szCs w:val="18"/>
        <w:lang w:val="es-MX"/>
      </w:rPr>
      <w:drawing>
        <wp:anchor distT="0" distB="0" distL="114300" distR="114300" simplePos="0" relativeHeight="251659264" behindDoc="1" locked="0" layoutInCell="1" allowOverlap="1" wp14:anchorId="5D771B2D" wp14:editId="3D5A69BC">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0754">
      <w:rPr>
        <w:rFonts w:ascii="Arial" w:hAnsi="Arial" w:cs="Arial"/>
      </w:rPr>
      <w:t>00</w:t>
    </w:r>
    <w:r w:rsidR="00C20754">
      <w:rPr>
        <w:rFonts w:ascii="Arial" w:hAnsi="Arial" w:cs="Arial"/>
      </w:rPr>
      <w:t>66</w:t>
    </w:r>
    <w:r w:rsidR="00C20754" w:rsidRPr="00A73AD7">
      <w:rPr>
        <w:rFonts w:ascii="Arial" w:hAnsi="Arial" w:cs="Arial"/>
      </w:rPr>
      <w:t>/20</w:t>
    </w:r>
    <w:r w:rsidR="00C20754">
      <w:rPr>
        <w:rFonts w:ascii="Arial" w:hAnsi="Arial" w:cs="Arial"/>
      </w:rPr>
      <w:t>2</w:t>
    </w:r>
    <w:r w:rsidR="00C20754">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666255">
    <w:pPr>
      <w:pStyle w:val="Encabezado"/>
    </w:pPr>
    <w:r w:rsidRPr="00541642">
      <w:rPr>
        <w:rFonts w:eastAsia="Calibri"/>
        <w:noProof/>
        <w:lang w:val="es-MX"/>
      </w:rPr>
      <mc:AlternateContent>
        <mc:Choice Requires="wps">
          <w:drawing>
            <wp:anchor distT="45720" distB="45720" distL="114300" distR="114300" simplePos="0" relativeHeight="251663360" behindDoc="1" locked="0" layoutInCell="1" allowOverlap="1" wp14:anchorId="5D8C7222" wp14:editId="70037464">
              <wp:simplePos x="0" y="0"/>
              <wp:positionH relativeFrom="leftMargin">
                <wp:posOffset>218050</wp:posOffset>
              </wp:positionH>
              <wp:positionV relativeFrom="paragraph">
                <wp:posOffset>5531485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66255" w:rsidRDefault="00666255" w:rsidP="0066625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8C7222" id="_x0000_t202" coordsize="21600,21600" o:spt="202" path="m,l,21600r21600,l21600,xe">
              <v:stroke joinstyle="miter"/>
              <v:path gradientshapeok="t" o:connecttype="rect"/>
            </v:shapetype>
            <v:shape id="Cuadro de texto 5" o:spid="_x0000_s1027" type="#_x0000_t202" style="position:absolute;margin-left:17.15pt;margin-top:435.5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">
              <v:textbox>
                <w:txbxContent>
                  <w:p w:rsidR="00666255" w:rsidRDefault="00666255" w:rsidP="00666255">
                    <w:pPr>
                      <w:jc w:val="center"/>
                    </w:pPr>
                    <w:r>
                      <w:t>DATOS PERSONALES PROTEGIDOS POR EL ART.- 116 DE LA LGTAIP Y EL ART.- 61 DE LA LTAIPEO</w:t>
                    </w:r>
                  </w:p>
                </w:txbxContent>
              </v:textbox>
              <w10:wrap anchorx="margin"/>
            </v:shape>
          </w:pict>
        </mc:Fallback>
      </mc:AlternateContent>
    </w:r>
    <w:r w:rsidR="00C20754">
      <w:rPr>
        <w:noProof/>
        <w:lang w:val="es-MX"/>
      </w:rPr>
      <w:drawing>
        <wp:anchor distT="0" distB="0" distL="114300" distR="114300" simplePos="0" relativeHeight="251661312" behindDoc="1" locked="0" layoutInCell="1" allowOverlap="1" wp14:anchorId="61964D49" wp14:editId="5E1FC4A1">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0754">
      <w:rPr>
        <w:noProof/>
        <w:lang w:val="es-MX"/>
      </w:rPr>
      <w:drawing>
        <wp:anchor distT="0" distB="0" distL="114300" distR="114300" simplePos="0" relativeHeight="251660288" behindDoc="1" locked="0" layoutInCell="1" allowOverlap="1" wp14:anchorId="03C74FE6" wp14:editId="1050E441">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255"/>
    <w:rsid w:val="00294EC6"/>
    <w:rsid w:val="004B1DB0"/>
    <w:rsid w:val="005223BF"/>
    <w:rsid w:val="00666255"/>
    <w:rsid w:val="00685BC3"/>
    <w:rsid w:val="009E3217"/>
    <w:rsid w:val="00AC77AC"/>
    <w:rsid w:val="00C207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4F86062-7FFD-4D58-A888-E2CBCA33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25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66255"/>
    <w:pPr>
      <w:spacing w:after="120"/>
    </w:pPr>
    <w:rPr>
      <w:lang w:val="x-none"/>
    </w:rPr>
  </w:style>
  <w:style w:type="character" w:customStyle="1" w:styleId="TextoindependienteCar">
    <w:name w:val="Texto independiente Car"/>
    <w:basedOn w:val="Fuentedeprrafopredeter"/>
    <w:link w:val="Textoindependiente"/>
    <w:uiPriority w:val="99"/>
    <w:rsid w:val="00666255"/>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66255"/>
    <w:pPr>
      <w:autoSpaceDE w:val="0"/>
      <w:autoSpaceDN w:val="0"/>
    </w:pPr>
    <w:rPr>
      <w:lang w:eastAsia="es-ES"/>
    </w:rPr>
  </w:style>
  <w:style w:type="character" w:customStyle="1" w:styleId="TextonotapieCar">
    <w:name w:val="Texto nota pie Car"/>
    <w:basedOn w:val="Fuentedeprrafopredeter"/>
    <w:link w:val="Textonotapie"/>
    <w:uiPriority w:val="99"/>
    <w:rsid w:val="0066625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6625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66255"/>
    <w:rPr>
      <w:rFonts w:ascii="Arial" w:eastAsia="Times New Roman" w:hAnsi="Arial" w:cs="Times New Roman"/>
      <w:sz w:val="30"/>
      <w:szCs w:val="20"/>
      <w:lang w:val="es-ES_tradnl" w:eastAsia="es-ES"/>
    </w:rPr>
  </w:style>
  <w:style w:type="paragraph" w:styleId="Prrafodelista">
    <w:name w:val="List Paragraph"/>
    <w:basedOn w:val="Normal"/>
    <w:uiPriority w:val="34"/>
    <w:qFormat/>
    <w:rsid w:val="00666255"/>
    <w:pPr>
      <w:ind w:left="720"/>
      <w:contextualSpacing/>
    </w:pPr>
  </w:style>
  <w:style w:type="paragraph" w:styleId="Encabezado">
    <w:name w:val="header"/>
    <w:basedOn w:val="Normal"/>
    <w:link w:val="EncabezadoCar"/>
    <w:uiPriority w:val="99"/>
    <w:unhideWhenUsed/>
    <w:rsid w:val="00666255"/>
    <w:pPr>
      <w:tabs>
        <w:tab w:val="center" w:pos="4419"/>
        <w:tab w:val="right" w:pos="8838"/>
      </w:tabs>
    </w:pPr>
  </w:style>
  <w:style w:type="character" w:customStyle="1" w:styleId="EncabezadoCar">
    <w:name w:val="Encabezado Car"/>
    <w:basedOn w:val="Fuentedeprrafopredeter"/>
    <w:link w:val="Encabezado"/>
    <w:uiPriority w:val="99"/>
    <w:rsid w:val="00666255"/>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666255"/>
    <w:pPr>
      <w:tabs>
        <w:tab w:val="center" w:pos="4419"/>
        <w:tab w:val="right" w:pos="8838"/>
      </w:tabs>
    </w:pPr>
  </w:style>
  <w:style w:type="character" w:customStyle="1" w:styleId="PiedepginaCar">
    <w:name w:val="Pie de página Car"/>
    <w:basedOn w:val="Fuentedeprrafopredeter"/>
    <w:link w:val="Piedepgina"/>
    <w:uiPriority w:val="99"/>
    <w:rsid w:val="00666255"/>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666255"/>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FEC"/>
    <w:rsid w:val="00A52F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0F73365486E45098F3CF42AF3220E5A">
    <w:name w:val="00F73365486E45098F3CF42AF3220E5A"/>
    <w:rsid w:val="00A52F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2326</Words>
  <Characters>12798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2023-07-14T15:24:00Z</dcterms:created>
  <dcterms:modified xsi:type="dcterms:W3CDTF">2023-07-14T15:54:00Z</dcterms:modified>
</cp:coreProperties>
</file>