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490025" w14:textId="78AFF638" w:rsidR="00107437" w:rsidRPr="008E2EB7" w:rsidRDefault="00107437" w:rsidP="00107437">
      <w:pPr>
        <w:spacing w:line="240" w:lineRule="auto"/>
        <w:ind w:left="2124"/>
        <w:jc w:val="both"/>
        <w:rPr>
          <w:rFonts w:ascii="Arial" w:hAnsi="Arial" w:cs="Arial"/>
          <w:b/>
          <w:sz w:val="26"/>
          <w:szCs w:val="26"/>
        </w:rPr>
      </w:pPr>
      <w:r w:rsidRPr="008E2EB7">
        <w:rPr>
          <w:rFonts w:ascii="Arial" w:hAnsi="Arial" w:cs="Arial"/>
          <w:b/>
          <w:sz w:val="26"/>
          <w:szCs w:val="26"/>
        </w:rPr>
        <w:t xml:space="preserve">SALA SUPERIOR DEL TRIBUNAL DE </w:t>
      </w:r>
      <w:r w:rsidR="00AA7EC0" w:rsidRPr="008E2EB7">
        <w:rPr>
          <w:rFonts w:ascii="Arial" w:hAnsi="Arial" w:cs="Arial"/>
          <w:b/>
          <w:sz w:val="26"/>
          <w:szCs w:val="26"/>
        </w:rPr>
        <w:t>JUSTICIA ADMINISTRATIVA</w:t>
      </w:r>
      <w:r w:rsidRPr="008E2EB7">
        <w:rPr>
          <w:rFonts w:ascii="Arial" w:hAnsi="Arial" w:cs="Arial"/>
          <w:b/>
          <w:sz w:val="26"/>
          <w:szCs w:val="26"/>
        </w:rPr>
        <w:t xml:space="preserve"> DEL ESTADO DE OAXACA</w:t>
      </w:r>
      <w:r w:rsidR="00E25864" w:rsidRPr="008E2EB7">
        <w:rPr>
          <w:rFonts w:ascii="Arial" w:hAnsi="Arial" w:cs="Arial"/>
          <w:b/>
          <w:sz w:val="26"/>
          <w:szCs w:val="26"/>
        </w:rPr>
        <w:t>.</w:t>
      </w:r>
    </w:p>
    <w:p w14:paraId="099757DF" w14:textId="5A0DAC4E" w:rsidR="00107437" w:rsidRPr="008E2EB7" w:rsidRDefault="00F75F4B" w:rsidP="00107437">
      <w:pPr>
        <w:spacing w:line="240" w:lineRule="auto"/>
        <w:ind w:left="2124"/>
        <w:jc w:val="both"/>
        <w:rPr>
          <w:rFonts w:ascii="Arial" w:hAnsi="Arial" w:cs="Arial"/>
          <w:b/>
          <w:sz w:val="26"/>
          <w:szCs w:val="26"/>
        </w:rPr>
      </w:pPr>
      <w:r w:rsidRPr="008E2EB7">
        <w:rPr>
          <w:rFonts w:ascii="Arial" w:hAnsi="Arial" w:cs="Arial"/>
          <w:b/>
          <w:sz w:val="26"/>
          <w:szCs w:val="26"/>
        </w:rPr>
        <w:t>RECURSO DE REVISIÓN:   67</w:t>
      </w:r>
      <w:r w:rsidR="00107437" w:rsidRPr="008E2EB7">
        <w:rPr>
          <w:rFonts w:ascii="Arial" w:hAnsi="Arial" w:cs="Arial"/>
          <w:b/>
          <w:sz w:val="26"/>
          <w:szCs w:val="26"/>
        </w:rPr>
        <w:t>/2020</w:t>
      </w:r>
    </w:p>
    <w:p w14:paraId="0E12C3FB" w14:textId="000C2D3C" w:rsidR="00107437" w:rsidRPr="008E2EB7" w:rsidRDefault="00F75F4B" w:rsidP="00107437">
      <w:pPr>
        <w:spacing w:line="240" w:lineRule="auto"/>
        <w:ind w:left="2124"/>
        <w:jc w:val="both"/>
        <w:rPr>
          <w:rFonts w:ascii="Arial" w:hAnsi="Arial" w:cs="Arial"/>
          <w:b/>
          <w:sz w:val="26"/>
          <w:szCs w:val="26"/>
        </w:rPr>
      </w:pPr>
      <w:r w:rsidRPr="008E2EB7">
        <w:rPr>
          <w:rFonts w:ascii="Arial" w:hAnsi="Arial" w:cs="Arial"/>
          <w:b/>
          <w:sz w:val="26"/>
          <w:szCs w:val="26"/>
        </w:rPr>
        <w:t>EXPEDIENTE:</w:t>
      </w:r>
      <w:r w:rsidRPr="008E2EB7">
        <w:rPr>
          <w:rFonts w:ascii="Arial" w:hAnsi="Arial" w:cs="Arial"/>
          <w:b/>
          <w:sz w:val="26"/>
          <w:szCs w:val="26"/>
        </w:rPr>
        <w:tab/>
        <w:t>94/2017 TERCERA</w:t>
      </w:r>
      <w:r w:rsidR="00107437" w:rsidRPr="008E2EB7">
        <w:rPr>
          <w:rFonts w:ascii="Arial" w:hAnsi="Arial" w:cs="Arial"/>
          <w:b/>
          <w:sz w:val="26"/>
          <w:szCs w:val="26"/>
        </w:rPr>
        <w:t xml:space="preserve"> SALA UNITARIA DE PRIMERA INSTANCIA</w:t>
      </w:r>
    </w:p>
    <w:p w14:paraId="00F52FFB" w14:textId="746312C2" w:rsidR="00107437" w:rsidRPr="008E2EB7" w:rsidRDefault="00107437" w:rsidP="00107437">
      <w:pPr>
        <w:spacing w:line="240" w:lineRule="auto"/>
        <w:ind w:left="2124"/>
        <w:jc w:val="both"/>
        <w:rPr>
          <w:rFonts w:ascii="Arial" w:hAnsi="Arial" w:cs="Arial"/>
          <w:b/>
          <w:sz w:val="26"/>
          <w:szCs w:val="26"/>
        </w:rPr>
      </w:pPr>
      <w:r w:rsidRPr="008E2EB7">
        <w:rPr>
          <w:rFonts w:ascii="Arial" w:hAnsi="Arial" w:cs="Arial"/>
          <w:b/>
          <w:sz w:val="26"/>
          <w:szCs w:val="26"/>
        </w:rPr>
        <w:t>PONENTE: MAGISTRADO ABRAHAM SANTIAGO SORIANO.</w:t>
      </w:r>
    </w:p>
    <w:p w14:paraId="17D38C46" w14:textId="77777777" w:rsidR="00F45E0D" w:rsidRPr="008E2EB7" w:rsidRDefault="00F45E0D" w:rsidP="00107437">
      <w:pPr>
        <w:spacing w:line="240" w:lineRule="auto"/>
        <w:ind w:left="2124"/>
        <w:jc w:val="both"/>
        <w:rPr>
          <w:rFonts w:ascii="Arial" w:hAnsi="Arial" w:cs="Arial"/>
          <w:b/>
          <w:sz w:val="26"/>
          <w:szCs w:val="26"/>
        </w:rPr>
      </w:pPr>
    </w:p>
    <w:p w14:paraId="593E61B6" w14:textId="4E539BB6" w:rsidR="00107437" w:rsidRPr="008E2EB7" w:rsidRDefault="00107437" w:rsidP="00107437">
      <w:pPr>
        <w:spacing w:before="240" w:line="360" w:lineRule="auto"/>
        <w:jc w:val="both"/>
        <w:rPr>
          <w:rFonts w:ascii="Arial" w:hAnsi="Arial" w:cs="Arial"/>
          <w:b/>
          <w:sz w:val="26"/>
          <w:szCs w:val="26"/>
        </w:rPr>
      </w:pPr>
      <w:r w:rsidRPr="008E2EB7">
        <w:rPr>
          <w:rFonts w:ascii="Arial" w:hAnsi="Arial" w:cs="Arial"/>
          <w:b/>
          <w:sz w:val="26"/>
          <w:szCs w:val="26"/>
        </w:rPr>
        <w:t>OAXACA DE J</w:t>
      </w:r>
      <w:r w:rsidR="00F75F4B" w:rsidRPr="008E2EB7">
        <w:rPr>
          <w:rFonts w:ascii="Arial" w:hAnsi="Arial" w:cs="Arial"/>
          <w:b/>
          <w:sz w:val="26"/>
          <w:szCs w:val="26"/>
        </w:rPr>
        <w:t>U</w:t>
      </w:r>
      <w:r w:rsidR="00106C08" w:rsidRPr="008E2EB7">
        <w:rPr>
          <w:rFonts w:ascii="Arial" w:hAnsi="Arial" w:cs="Arial"/>
          <w:b/>
          <w:sz w:val="26"/>
          <w:szCs w:val="26"/>
        </w:rPr>
        <w:t>ÁREZ, OAXACA, A</w:t>
      </w:r>
      <w:r w:rsidR="00176B2B" w:rsidRPr="008E2EB7">
        <w:rPr>
          <w:rFonts w:ascii="Arial" w:hAnsi="Arial" w:cs="Arial"/>
          <w:b/>
          <w:sz w:val="26"/>
          <w:szCs w:val="26"/>
        </w:rPr>
        <w:t xml:space="preserve"> VEINTINUEVE</w:t>
      </w:r>
      <w:r w:rsidR="00106C08" w:rsidRPr="008E2EB7">
        <w:rPr>
          <w:rFonts w:ascii="Arial" w:hAnsi="Arial" w:cs="Arial"/>
          <w:b/>
          <w:sz w:val="26"/>
          <w:szCs w:val="26"/>
        </w:rPr>
        <w:t xml:space="preserve"> DE</w:t>
      </w:r>
      <w:r w:rsidR="00355D30" w:rsidRPr="008E2EB7">
        <w:rPr>
          <w:rFonts w:ascii="Arial" w:hAnsi="Arial" w:cs="Arial"/>
          <w:b/>
          <w:sz w:val="26"/>
          <w:szCs w:val="26"/>
        </w:rPr>
        <w:t xml:space="preserve"> </w:t>
      </w:r>
      <w:r w:rsidR="00C33860" w:rsidRPr="008E2EB7">
        <w:rPr>
          <w:rFonts w:ascii="Arial" w:hAnsi="Arial" w:cs="Arial"/>
          <w:b/>
          <w:sz w:val="26"/>
          <w:szCs w:val="26"/>
        </w:rPr>
        <w:t>ABRIL</w:t>
      </w:r>
      <w:r w:rsidRPr="008E2EB7">
        <w:rPr>
          <w:rFonts w:ascii="Arial" w:hAnsi="Arial" w:cs="Arial"/>
          <w:b/>
          <w:sz w:val="26"/>
          <w:szCs w:val="26"/>
        </w:rPr>
        <w:t xml:space="preserve"> DE </w:t>
      </w:r>
      <w:r w:rsidR="00106C08" w:rsidRPr="008E2EB7">
        <w:rPr>
          <w:rFonts w:ascii="Arial" w:hAnsi="Arial" w:cs="Arial"/>
          <w:b/>
          <w:sz w:val="26"/>
          <w:szCs w:val="26"/>
        </w:rPr>
        <w:t>DOS MIL VEINTIUNO</w:t>
      </w:r>
      <w:r w:rsidRPr="008E2EB7">
        <w:rPr>
          <w:rFonts w:ascii="Arial" w:hAnsi="Arial" w:cs="Arial"/>
          <w:b/>
          <w:sz w:val="26"/>
          <w:szCs w:val="26"/>
        </w:rPr>
        <w:t>. - - - - - - - - - - - - - - - - - - - - - - - - - -</w:t>
      </w:r>
      <w:r w:rsidR="00092113" w:rsidRPr="008E2EB7">
        <w:rPr>
          <w:rFonts w:ascii="Arial" w:hAnsi="Arial" w:cs="Arial"/>
          <w:b/>
          <w:sz w:val="26"/>
          <w:szCs w:val="26"/>
        </w:rPr>
        <w:t xml:space="preserve"> - - - - -</w:t>
      </w:r>
      <w:r w:rsidR="007A2573">
        <w:rPr>
          <w:rFonts w:ascii="Arial" w:hAnsi="Arial" w:cs="Arial"/>
          <w:b/>
          <w:sz w:val="26"/>
          <w:szCs w:val="26"/>
        </w:rPr>
        <w:t xml:space="preserve"> - - - - </w:t>
      </w:r>
    </w:p>
    <w:p w14:paraId="49375F6E" w14:textId="24369B44" w:rsidR="00107437" w:rsidRPr="008E2EB7" w:rsidRDefault="00106C08" w:rsidP="00106C08">
      <w:pPr>
        <w:spacing w:line="360" w:lineRule="auto"/>
        <w:jc w:val="both"/>
        <w:rPr>
          <w:rFonts w:ascii="Arial" w:hAnsi="Arial" w:cs="Arial"/>
          <w:b/>
          <w:sz w:val="26"/>
          <w:szCs w:val="26"/>
        </w:rPr>
      </w:pPr>
      <w:r w:rsidRPr="008E2EB7">
        <w:rPr>
          <w:rFonts w:ascii="Arial" w:hAnsi="Arial" w:cs="Arial"/>
          <w:sz w:val="26"/>
          <w:szCs w:val="26"/>
        </w:rPr>
        <w:t xml:space="preserve">     </w:t>
      </w:r>
      <w:r w:rsidR="00107437" w:rsidRPr="008E2EB7">
        <w:rPr>
          <w:rFonts w:ascii="Arial" w:hAnsi="Arial" w:cs="Arial"/>
          <w:sz w:val="26"/>
          <w:szCs w:val="26"/>
        </w:rPr>
        <w:t xml:space="preserve">Por recibido el Cuaderno de Revisión </w:t>
      </w:r>
      <w:r w:rsidR="00F75F4B" w:rsidRPr="008E2EB7">
        <w:rPr>
          <w:rFonts w:ascii="Arial" w:hAnsi="Arial" w:cs="Arial"/>
          <w:b/>
          <w:sz w:val="26"/>
          <w:szCs w:val="26"/>
        </w:rPr>
        <w:t>67</w:t>
      </w:r>
      <w:r w:rsidR="00107437" w:rsidRPr="008E2EB7">
        <w:rPr>
          <w:rFonts w:ascii="Arial" w:hAnsi="Arial" w:cs="Arial"/>
          <w:b/>
          <w:sz w:val="26"/>
          <w:szCs w:val="26"/>
        </w:rPr>
        <w:t>/2020</w:t>
      </w:r>
      <w:r w:rsidR="00107437" w:rsidRPr="008E2EB7">
        <w:rPr>
          <w:rFonts w:ascii="Arial" w:hAnsi="Arial" w:cs="Arial"/>
          <w:sz w:val="26"/>
          <w:szCs w:val="26"/>
        </w:rPr>
        <w:t>, que remite la Secretaría General de Acuerdos, con motivo del recurso de revisión interpuesto por</w:t>
      </w:r>
      <w:r w:rsidR="00A82EC8">
        <w:rPr>
          <w:rFonts w:ascii="Arial" w:hAnsi="Arial" w:cs="Arial"/>
          <w:sz w:val="26"/>
          <w:szCs w:val="26"/>
        </w:rPr>
        <w:t xml:space="preserve"> </w:t>
      </w:r>
      <w:r w:rsidR="00A82EC8">
        <w:rPr>
          <w:rFonts w:ascii="Arial" w:hAnsi="Arial" w:cs="Arial"/>
          <w:b/>
          <w:sz w:val="26"/>
          <w:szCs w:val="26"/>
        </w:rPr>
        <w:t>***********</w:t>
      </w:r>
      <w:r w:rsidR="00107437" w:rsidRPr="008E2EB7">
        <w:rPr>
          <w:rFonts w:ascii="Arial" w:hAnsi="Arial" w:cs="Arial"/>
          <w:sz w:val="26"/>
          <w:szCs w:val="26"/>
        </w:rPr>
        <w:t xml:space="preserve">, </w:t>
      </w:r>
      <w:r w:rsidR="00F75F4B" w:rsidRPr="008E2EB7">
        <w:rPr>
          <w:rFonts w:ascii="Arial" w:hAnsi="Arial" w:cs="Arial"/>
          <w:sz w:val="26"/>
          <w:szCs w:val="26"/>
        </w:rPr>
        <w:t>como apoderados legales de la persona moral denominada</w:t>
      </w:r>
      <w:r w:rsidR="00A82EC8">
        <w:rPr>
          <w:rFonts w:ascii="Arial" w:hAnsi="Arial" w:cs="Arial"/>
          <w:sz w:val="26"/>
          <w:szCs w:val="26"/>
        </w:rPr>
        <w:t xml:space="preserve"> </w:t>
      </w:r>
      <w:r w:rsidR="00A82EC8">
        <w:rPr>
          <w:rFonts w:ascii="Arial" w:hAnsi="Arial" w:cs="Arial"/>
          <w:b/>
          <w:sz w:val="26"/>
          <w:szCs w:val="26"/>
        </w:rPr>
        <w:t>***********</w:t>
      </w:r>
      <w:r w:rsidR="00F75F4B" w:rsidRPr="008E2EB7">
        <w:rPr>
          <w:rFonts w:ascii="Arial" w:hAnsi="Arial" w:cs="Arial"/>
          <w:sz w:val="26"/>
          <w:szCs w:val="26"/>
        </w:rPr>
        <w:t>, carácter que tiene</w:t>
      </w:r>
      <w:r w:rsidR="00092113" w:rsidRPr="008E2EB7">
        <w:rPr>
          <w:rFonts w:ascii="Arial" w:hAnsi="Arial" w:cs="Arial"/>
          <w:sz w:val="26"/>
          <w:szCs w:val="26"/>
        </w:rPr>
        <w:t>n</w:t>
      </w:r>
      <w:r w:rsidR="00F75F4B" w:rsidRPr="008E2EB7">
        <w:rPr>
          <w:rFonts w:ascii="Arial" w:hAnsi="Arial" w:cs="Arial"/>
          <w:sz w:val="26"/>
          <w:szCs w:val="26"/>
        </w:rPr>
        <w:t xml:space="preserve"> acreditado en autos del expediente de nulidad de origen; </w:t>
      </w:r>
      <w:r w:rsidR="00092113" w:rsidRPr="008E2EB7">
        <w:rPr>
          <w:rFonts w:ascii="Arial" w:hAnsi="Arial" w:cs="Arial"/>
          <w:sz w:val="26"/>
          <w:szCs w:val="26"/>
        </w:rPr>
        <w:t xml:space="preserve">recurso de revisión que interponen </w:t>
      </w:r>
      <w:r w:rsidR="00107437" w:rsidRPr="008E2EB7">
        <w:rPr>
          <w:rFonts w:ascii="Arial" w:hAnsi="Arial" w:cs="Arial"/>
          <w:sz w:val="26"/>
          <w:szCs w:val="26"/>
        </w:rPr>
        <w:t>en contra d</w:t>
      </w:r>
      <w:r w:rsidR="00092113" w:rsidRPr="008E2EB7">
        <w:rPr>
          <w:rFonts w:ascii="Arial" w:hAnsi="Arial" w:cs="Arial"/>
          <w:sz w:val="26"/>
          <w:szCs w:val="26"/>
        </w:rPr>
        <w:t xml:space="preserve">e la </w:t>
      </w:r>
      <w:r w:rsidR="007F0931" w:rsidRPr="008E2EB7">
        <w:rPr>
          <w:rFonts w:ascii="Arial" w:hAnsi="Arial" w:cs="Arial"/>
          <w:sz w:val="26"/>
          <w:szCs w:val="26"/>
        </w:rPr>
        <w:t>resolución</w:t>
      </w:r>
      <w:r w:rsidR="00092113" w:rsidRPr="008E2EB7">
        <w:rPr>
          <w:rFonts w:ascii="Arial" w:hAnsi="Arial" w:cs="Arial"/>
          <w:sz w:val="26"/>
          <w:szCs w:val="26"/>
        </w:rPr>
        <w:t xml:space="preserve"> de fecha veinte de enero de dos mil veinte, dictada</w:t>
      </w:r>
      <w:r w:rsidR="00107437" w:rsidRPr="008E2EB7">
        <w:rPr>
          <w:rFonts w:ascii="Arial" w:hAnsi="Arial" w:cs="Arial"/>
          <w:sz w:val="26"/>
          <w:szCs w:val="26"/>
        </w:rPr>
        <w:t xml:space="preserve"> en el expediente </w:t>
      </w:r>
      <w:r w:rsidR="00092113" w:rsidRPr="008E2EB7">
        <w:rPr>
          <w:rFonts w:ascii="Arial" w:hAnsi="Arial" w:cs="Arial"/>
          <w:b/>
          <w:sz w:val="26"/>
          <w:szCs w:val="26"/>
        </w:rPr>
        <w:t>94/2017</w:t>
      </w:r>
      <w:r w:rsidR="00092113" w:rsidRPr="008E2EB7">
        <w:rPr>
          <w:rFonts w:ascii="Arial" w:hAnsi="Arial" w:cs="Arial"/>
          <w:sz w:val="26"/>
          <w:szCs w:val="26"/>
        </w:rPr>
        <w:t xml:space="preserve"> de la Tercera</w:t>
      </w:r>
      <w:r w:rsidR="00107437" w:rsidRPr="008E2EB7">
        <w:rPr>
          <w:rFonts w:ascii="Arial" w:hAnsi="Arial" w:cs="Arial"/>
          <w:sz w:val="26"/>
          <w:szCs w:val="26"/>
        </w:rPr>
        <w:t xml:space="preserve"> Sala Unitaria de Primera Instancia, relativo al juicio de nulidad promovido por</w:t>
      </w:r>
      <w:r w:rsidR="00355D30" w:rsidRPr="008E2EB7">
        <w:rPr>
          <w:rFonts w:ascii="Arial" w:hAnsi="Arial" w:cs="Arial"/>
          <w:sz w:val="26"/>
          <w:szCs w:val="26"/>
        </w:rPr>
        <w:t xml:space="preserve"> los aquí</w:t>
      </w:r>
      <w:r w:rsidR="00107437" w:rsidRPr="008E2EB7">
        <w:rPr>
          <w:rFonts w:ascii="Arial" w:hAnsi="Arial" w:cs="Arial"/>
          <w:b/>
          <w:sz w:val="26"/>
          <w:szCs w:val="26"/>
        </w:rPr>
        <w:t xml:space="preserve"> RECURRENTE</w:t>
      </w:r>
      <w:r w:rsidR="00092113" w:rsidRPr="008E2EB7">
        <w:rPr>
          <w:rFonts w:ascii="Arial" w:hAnsi="Arial" w:cs="Arial"/>
          <w:b/>
          <w:sz w:val="26"/>
          <w:szCs w:val="26"/>
        </w:rPr>
        <w:t>S</w:t>
      </w:r>
      <w:r w:rsidR="00107437" w:rsidRPr="008E2EB7">
        <w:rPr>
          <w:rFonts w:ascii="Arial" w:hAnsi="Arial" w:cs="Arial"/>
          <w:b/>
          <w:sz w:val="26"/>
          <w:szCs w:val="26"/>
        </w:rPr>
        <w:t xml:space="preserve">, </w:t>
      </w:r>
      <w:r w:rsidR="00107437" w:rsidRPr="008E2EB7">
        <w:rPr>
          <w:rFonts w:ascii="Arial" w:hAnsi="Arial" w:cs="Arial"/>
          <w:sz w:val="26"/>
          <w:szCs w:val="26"/>
        </w:rPr>
        <w:t>en contra del</w:t>
      </w:r>
      <w:r w:rsidR="00092113" w:rsidRPr="008E2EB7">
        <w:rPr>
          <w:rFonts w:ascii="Arial" w:hAnsi="Arial" w:cs="Arial"/>
          <w:b/>
          <w:sz w:val="26"/>
          <w:szCs w:val="26"/>
        </w:rPr>
        <w:t xml:space="preserve"> OFICIAL MAYOR </w:t>
      </w:r>
      <w:r w:rsidR="00092113" w:rsidRPr="008E2EB7">
        <w:rPr>
          <w:rFonts w:ascii="Arial" w:hAnsi="Arial" w:cs="Arial"/>
          <w:bCs/>
          <w:sz w:val="26"/>
          <w:szCs w:val="26"/>
        </w:rPr>
        <w:t>y de la</w:t>
      </w:r>
      <w:r w:rsidR="00092113" w:rsidRPr="008E2EB7">
        <w:rPr>
          <w:rFonts w:ascii="Arial" w:hAnsi="Arial" w:cs="Arial"/>
          <w:b/>
          <w:sz w:val="26"/>
          <w:szCs w:val="26"/>
        </w:rPr>
        <w:t xml:space="preserve"> DIRECTORA FINANCIERA, AMBAS AUTORIDADES DEL INSTITUTO ESTATAL DE EDUCACIÓN PÚBLICA </w:t>
      </w:r>
      <w:r w:rsidR="00107437" w:rsidRPr="008E2EB7">
        <w:rPr>
          <w:rFonts w:ascii="Arial" w:hAnsi="Arial" w:cs="Arial"/>
          <w:b/>
          <w:sz w:val="26"/>
          <w:szCs w:val="26"/>
        </w:rPr>
        <w:t>DEL ESTADO DE OAXACA</w:t>
      </w:r>
      <w:r w:rsidR="00092113" w:rsidRPr="008E2EB7">
        <w:rPr>
          <w:rFonts w:ascii="Arial" w:hAnsi="Arial" w:cs="Arial"/>
          <w:sz w:val="26"/>
          <w:szCs w:val="26"/>
        </w:rPr>
        <w:t>. C</w:t>
      </w:r>
      <w:r w:rsidR="00107437" w:rsidRPr="008E2EB7">
        <w:rPr>
          <w:rFonts w:ascii="Arial" w:hAnsi="Arial" w:cs="Arial"/>
          <w:sz w:val="26"/>
          <w:szCs w:val="26"/>
        </w:rPr>
        <w:t>on fundamento en los artí</w:t>
      </w:r>
      <w:r w:rsidR="00092113" w:rsidRPr="008E2EB7">
        <w:rPr>
          <w:rFonts w:ascii="Arial" w:hAnsi="Arial" w:cs="Arial"/>
          <w:sz w:val="26"/>
          <w:szCs w:val="26"/>
        </w:rPr>
        <w:t>culos 206</w:t>
      </w:r>
      <w:r w:rsidR="0006570F" w:rsidRPr="008E2EB7">
        <w:rPr>
          <w:rFonts w:ascii="Arial" w:hAnsi="Arial" w:cs="Arial"/>
          <w:sz w:val="26"/>
          <w:szCs w:val="26"/>
        </w:rPr>
        <w:t>,</w:t>
      </w:r>
      <w:r w:rsidR="00092113" w:rsidRPr="008E2EB7">
        <w:rPr>
          <w:rFonts w:ascii="Arial" w:hAnsi="Arial" w:cs="Arial"/>
          <w:sz w:val="26"/>
          <w:szCs w:val="26"/>
        </w:rPr>
        <w:t xml:space="preserve"> y 208 de la Ley de </w:t>
      </w:r>
      <w:r w:rsidR="00107437" w:rsidRPr="008E2EB7">
        <w:rPr>
          <w:rFonts w:ascii="Arial" w:hAnsi="Arial" w:cs="Arial"/>
          <w:sz w:val="26"/>
          <w:szCs w:val="26"/>
        </w:rPr>
        <w:t>Justicia Administr</w:t>
      </w:r>
      <w:r w:rsidR="00092113" w:rsidRPr="008E2EB7">
        <w:rPr>
          <w:rFonts w:ascii="Arial" w:hAnsi="Arial" w:cs="Arial"/>
          <w:sz w:val="26"/>
          <w:szCs w:val="26"/>
        </w:rPr>
        <w:t xml:space="preserve">ativa para el Estado de Oaxaca, </w:t>
      </w:r>
      <w:r w:rsidR="00573289" w:rsidRPr="008E2EB7">
        <w:rPr>
          <w:rFonts w:ascii="Arial" w:eastAsia="Calibri" w:hAnsi="Arial" w:cs="Arial"/>
          <w:bCs/>
          <w:sz w:val="26"/>
          <w:szCs w:val="26"/>
        </w:rPr>
        <w:t>vigente al inicio del juicio natural</w:t>
      </w:r>
      <w:r w:rsidR="00092113" w:rsidRPr="008E2EB7">
        <w:rPr>
          <w:rFonts w:ascii="Arial" w:hAnsi="Arial" w:cs="Arial"/>
          <w:sz w:val="26"/>
          <w:szCs w:val="26"/>
        </w:rPr>
        <w:t xml:space="preserve">, </w:t>
      </w:r>
      <w:r w:rsidR="00107437" w:rsidRPr="008E2EB7">
        <w:rPr>
          <w:rFonts w:ascii="Arial" w:hAnsi="Arial" w:cs="Arial"/>
          <w:sz w:val="26"/>
          <w:szCs w:val="26"/>
        </w:rPr>
        <w:t>se admite</w:t>
      </w:r>
      <w:r w:rsidR="00092113" w:rsidRPr="008E2EB7">
        <w:rPr>
          <w:rFonts w:ascii="Arial" w:hAnsi="Arial" w:cs="Arial"/>
          <w:sz w:val="26"/>
          <w:szCs w:val="26"/>
        </w:rPr>
        <w:t xml:space="preserve"> el presente recurso de revisión</w:t>
      </w:r>
      <w:r w:rsidR="00107437" w:rsidRPr="008E2EB7">
        <w:rPr>
          <w:rFonts w:ascii="Arial" w:hAnsi="Arial" w:cs="Arial"/>
          <w:sz w:val="26"/>
          <w:szCs w:val="26"/>
        </w:rPr>
        <w:t xml:space="preserve">. En consecuencia, se procede a dictar resolución en los siguientes </w:t>
      </w:r>
      <w:r w:rsidR="001E7DB0" w:rsidRPr="008E2EB7">
        <w:rPr>
          <w:rFonts w:ascii="Arial" w:hAnsi="Arial" w:cs="Arial"/>
          <w:sz w:val="26"/>
          <w:szCs w:val="26"/>
        </w:rPr>
        <w:t>términos:</w:t>
      </w:r>
      <w:r w:rsidR="001E7DB0">
        <w:rPr>
          <w:rFonts w:ascii="Arial" w:hAnsi="Arial" w:cs="Arial"/>
          <w:sz w:val="26"/>
          <w:szCs w:val="26"/>
        </w:rPr>
        <w:t xml:space="preserve"> - - - - - - - - - - </w:t>
      </w:r>
      <w:r w:rsidR="00573289">
        <w:rPr>
          <w:rFonts w:ascii="Arial" w:hAnsi="Arial" w:cs="Arial"/>
          <w:sz w:val="26"/>
          <w:szCs w:val="26"/>
        </w:rPr>
        <w:t xml:space="preserve">- - </w:t>
      </w:r>
    </w:p>
    <w:p w14:paraId="6C54DBDF" w14:textId="3F88BDFC" w:rsidR="00107437" w:rsidRPr="008E2EB7" w:rsidRDefault="00107437" w:rsidP="00107437">
      <w:pPr>
        <w:spacing w:line="360" w:lineRule="auto"/>
        <w:jc w:val="center"/>
        <w:rPr>
          <w:rFonts w:ascii="Arial" w:hAnsi="Arial" w:cs="Arial"/>
          <w:b/>
          <w:bCs/>
          <w:sz w:val="26"/>
          <w:szCs w:val="26"/>
        </w:rPr>
      </w:pPr>
      <w:r w:rsidRPr="008E2EB7">
        <w:rPr>
          <w:rFonts w:ascii="Arial" w:hAnsi="Arial" w:cs="Arial"/>
          <w:b/>
          <w:bCs/>
          <w:sz w:val="26"/>
          <w:szCs w:val="26"/>
        </w:rPr>
        <w:t>R E S U L T A N D O</w:t>
      </w:r>
    </w:p>
    <w:p w14:paraId="1D9B7FDC" w14:textId="040077E4" w:rsidR="0076369D" w:rsidRDefault="00107437" w:rsidP="0076369D">
      <w:pPr>
        <w:spacing w:after="0" w:line="360" w:lineRule="auto"/>
        <w:ind w:firstLine="708"/>
        <w:jc w:val="both"/>
        <w:rPr>
          <w:rFonts w:ascii="Arial" w:hAnsi="Arial" w:cs="Arial"/>
          <w:sz w:val="26"/>
          <w:szCs w:val="26"/>
        </w:rPr>
      </w:pPr>
      <w:r w:rsidRPr="008E2EB7">
        <w:rPr>
          <w:rFonts w:ascii="Arial" w:hAnsi="Arial" w:cs="Arial"/>
          <w:b/>
          <w:bCs/>
          <w:sz w:val="26"/>
          <w:szCs w:val="26"/>
        </w:rPr>
        <w:t xml:space="preserve">PRIMERO. </w:t>
      </w:r>
      <w:r w:rsidRPr="008E2EB7">
        <w:rPr>
          <w:rFonts w:ascii="Arial" w:hAnsi="Arial" w:cs="Arial"/>
          <w:sz w:val="26"/>
          <w:szCs w:val="26"/>
        </w:rPr>
        <w:t>Inconforme</w:t>
      </w:r>
      <w:r w:rsidR="00092113" w:rsidRPr="008E2EB7">
        <w:rPr>
          <w:rFonts w:ascii="Arial" w:hAnsi="Arial" w:cs="Arial"/>
          <w:sz w:val="26"/>
          <w:szCs w:val="26"/>
        </w:rPr>
        <w:t>s</w:t>
      </w:r>
      <w:r w:rsidRPr="008E2EB7">
        <w:rPr>
          <w:rFonts w:ascii="Arial" w:hAnsi="Arial" w:cs="Arial"/>
          <w:sz w:val="26"/>
          <w:szCs w:val="26"/>
        </w:rPr>
        <w:t xml:space="preserve"> co</w:t>
      </w:r>
      <w:r w:rsidR="00092113" w:rsidRPr="008E2EB7">
        <w:rPr>
          <w:rFonts w:ascii="Arial" w:hAnsi="Arial" w:cs="Arial"/>
          <w:sz w:val="26"/>
          <w:szCs w:val="26"/>
        </w:rPr>
        <w:t xml:space="preserve">n la sentencia de fecha veinte de enero </w:t>
      </w:r>
      <w:r w:rsidR="008E5B73" w:rsidRPr="008E2EB7">
        <w:rPr>
          <w:rFonts w:ascii="Arial" w:hAnsi="Arial" w:cs="Arial"/>
          <w:sz w:val="26"/>
          <w:szCs w:val="26"/>
        </w:rPr>
        <w:t>de dos</w:t>
      </w:r>
      <w:r w:rsidRPr="008E2EB7">
        <w:rPr>
          <w:rFonts w:ascii="Arial" w:hAnsi="Arial" w:cs="Arial"/>
          <w:sz w:val="26"/>
          <w:szCs w:val="26"/>
        </w:rPr>
        <w:t xml:space="preserve"> </w:t>
      </w:r>
      <w:r w:rsidR="00092113" w:rsidRPr="008E2EB7">
        <w:rPr>
          <w:rFonts w:ascii="Arial" w:hAnsi="Arial" w:cs="Arial"/>
          <w:sz w:val="26"/>
          <w:szCs w:val="26"/>
        </w:rPr>
        <w:t>mil veinte, dictada por la resolutora de la Tercera</w:t>
      </w:r>
      <w:r w:rsidRPr="008E2EB7">
        <w:rPr>
          <w:rFonts w:ascii="Arial" w:hAnsi="Arial" w:cs="Arial"/>
          <w:sz w:val="26"/>
          <w:szCs w:val="26"/>
        </w:rPr>
        <w:t xml:space="preserve"> Sala Unitaria de Primera Instancia, </w:t>
      </w:r>
      <w:r w:rsidR="00A82EC8">
        <w:rPr>
          <w:rFonts w:ascii="Arial" w:hAnsi="Arial" w:cs="Arial"/>
          <w:b/>
          <w:sz w:val="26"/>
          <w:szCs w:val="26"/>
        </w:rPr>
        <w:t>***********</w:t>
      </w:r>
      <w:r w:rsidR="00092113" w:rsidRPr="008E2EB7">
        <w:rPr>
          <w:rFonts w:ascii="Arial" w:hAnsi="Arial" w:cs="Arial"/>
          <w:sz w:val="26"/>
          <w:szCs w:val="26"/>
        </w:rPr>
        <w:t>, como apoderados legales de la persona moral denominada</w:t>
      </w:r>
      <w:r w:rsidR="00A82EC8">
        <w:rPr>
          <w:rFonts w:ascii="Arial" w:hAnsi="Arial" w:cs="Arial"/>
          <w:sz w:val="26"/>
          <w:szCs w:val="26"/>
        </w:rPr>
        <w:t xml:space="preserve"> </w:t>
      </w:r>
      <w:r w:rsidR="00A82EC8">
        <w:rPr>
          <w:rFonts w:ascii="Arial" w:hAnsi="Arial" w:cs="Arial"/>
          <w:b/>
          <w:sz w:val="26"/>
          <w:szCs w:val="26"/>
        </w:rPr>
        <w:t>***********</w:t>
      </w:r>
      <w:r w:rsidR="00092113" w:rsidRPr="008E2EB7">
        <w:rPr>
          <w:rFonts w:ascii="Arial" w:hAnsi="Arial" w:cs="Arial"/>
          <w:sz w:val="26"/>
          <w:szCs w:val="26"/>
        </w:rPr>
        <w:t>, interpusieron</w:t>
      </w:r>
      <w:r w:rsidRPr="008E2EB7">
        <w:rPr>
          <w:rFonts w:ascii="Arial" w:hAnsi="Arial" w:cs="Arial"/>
          <w:sz w:val="26"/>
          <w:szCs w:val="26"/>
        </w:rPr>
        <w:t xml:space="preserve"> en su contra recurso de revisión. - - - - - - - - </w:t>
      </w:r>
      <w:r w:rsidR="00A82EC8">
        <w:rPr>
          <w:rFonts w:ascii="Arial" w:hAnsi="Arial" w:cs="Arial"/>
          <w:sz w:val="26"/>
          <w:szCs w:val="26"/>
        </w:rPr>
        <w:t xml:space="preserve">- - - - - - - - - - - - - - - - - - - - - - - - - - - - - - - - - - - - - - </w:t>
      </w:r>
    </w:p>
    <w:p w14:paraId="6FF9B463" w14:textId="77777777" w:rsidR="001E7DB0" w:rsidRPr="008E2EB7" w:rsidRDefault="001E7DB0" w:rsidP="001E7DB0">
      <w:pPr>
        <w:pStyle w:val="Sinespaciado"/>
      </w:pPr>
    </w:p>
    <w:p w14:paraId="12EDAE7E" w14:textId="501DD2E6" w:rsidR="0076369D" w:rsidRPr="008E2EB7" w:rsidRDefault="0076369D" w:rsidP="0076369D">
      <w:pPr>
        <w:spacing w:after="0" w:line="360" w:lineRule="auto"/>
        <w:ind w:firstLine="708"/>
        <w:jc w:val="both"/>
        <w:rPr>
          <w:rFonts w:ascii="Arial" w:hAnsi="Arial" w:cs="Arial"/>
          <w:sz w:val="26"/>
          <w:szCs w:val="26"/>
        </w:rPr>
      </w:pPr>
      <w:r w:rsidRPr="008E2EB7">
        <w:rPr>
          <w:rFonts w:ascii="Arial" w:hAnsi="Arial" w:cs="Arial"/>
          <w:b/>
          <w:bCs/>
          <w:sz w:val="26"/>
          <w:szCs w:val="26"/>
        </w:rPr>
        <w:t xml:space="preserve">SEGUNDO. </w:t>
      </w:r>
      <w:r w:rsidRPr="008E2EB7">
        <w:rPr>
          <w:rFonts w:ascii="Arial" w:hAnsi="Arial" w:cs="Arial"/>
          <w:sz w:val="26"/>
          <w:szCs w:val="26"/>
        </w:rPr>
        <w:t xml:space="preserve">Los puntos resolutivos de la sentencia recurrida, son los siguientes: - - - - - - - - - - - - - - - - - - - - - - - - - - - - - - - - - - - - - - - - - - </w:t>
      </w:r>
    </w:p>
    <w:p w14:paraId="434BD7D6" w14:textId="28448EE1" w:rsidR="0076369D" w:rsidRPr="00C11197" w:rsidRDefault="0076369D" w:rsidP="00332DB5">
      <w:pPr>
        <w:spacing w:after="0"/>
        <w:ind w:left="1134" w:right="900" w:firstLine="282"/>
        <w:jc w:val="both"/>
        <w:rPr>
          <w:rFonts w:ascii="Arial" w:eastAsia="Calibri" w:hAnsi="Arial" w:cs="Arial"/>
          <w:bCs/>
          <w:i/>
          <w:color w:val="000000" w:themeColor="text1"/>
          <w:sz w:val="24"/>
          <w:szCs w:val="24"/>
        </w:rPr>
      </w:pPr>
      <w:r w:rsidRPr="00C11197">
        <w:rPr>
          <w:rFonts w:ascii="Arial" w:eastAsia="Calibri" w:hAnsi="Arial" w:cs="Arial"/>
          <w:bCs/>
          <w:color w:val="000000" w:themeColor="text1"/>
          <w:sz w:val="24"/>
          <w:szCs w:val="24"/>
        </w:rPr>
        <w:t>“</w:t>
      </w:r>
      <w:r w:rsidRPr="00C11197">
        <w:rPr>
          <w:rFonts w:ascii="Arial" w:eastAsia="Calibri" w:hAnsi="Arial" w:cs="Arial"/>
          <w:b/>
          <w:bCs/>
          <w:i/>
          <w:color w:val="000000" w:themeColor="text1"/>
          <w:sz w:val="24"/>
          <w:szCs w:val="24"/>
        </w:rPr>
        <w:t xml:space="preserve">PRIMERO. </w:t>
      </w:r>
      <w:r w:rsidRPr="00C11197">
        <w:rPr>
          <w:rFonts w:ascii="Arial" w:eastAsia="Calibri" w:hAnsi="Arial" w:cs="Arial"/>
          <w:bCs/>
          <w:i/>
          <w:color w:val="000000" w:themeColor="text1"/>
          <w:sz w:val="24"/>
          <w:szCs w:val="24"/>
        </w:rPr>
        <w:t xml:space="preserve">Esta Tercera Sala Unitaria del Tribunal de Justicia Administrativa del Estado de Oaxaca, fue competente para conocer y resolver del presente </w:t>
      </w:r>
      <w:r w:rsidR="00457746" w:rsidRPr="00C11197">
        <w:rPr>
          <w:rFonts w:ascii="Arial" w:eastAsia="Calibri" w:hAnsi="Arial" w:cs="Arial"/>
          <w:bCs/>
          <w:i/>
          <w:color w:val="000000" w:themeColor="text1"/>
          <w:sz w:val="24"/>
          <w:szCs w:val="24"/>
        </w:rPr>
        <w:t>asunto. -</w:t>
      </w:r>
      <w:r w:rsidRPr="00C11197">
        <w:rPr>
          <w:rFonts w:ascii="Arial" w:eastAsia="Calibri" w:hAnsi="Arial" w:cs="Arial"/>
          <w:bCs/>
          <w:i/>
          <w:color w:val="000000" w:themeColor="text1"/>
          <w:sz w:val="24"/>
          <w:szCs w:val="24"/>
        </w:rPr>
        <w:t xml:space="preserve"> </w:t>
      </w:r>
    </w:p>
    <w:p w14:paraId="4FA41232" w14:textId="77777777" w:rsidR="0076369D" w:rsidRPr="00C11197" w:rsidRDefault="0076369D" w:rsidP="00332DB5">
      <w:pPr>
        <w:spacing w:after="0"/>
        <w:ind w:left="1134" w:right="900" w:firstLine="282"/>
        <w:jc w:val="both"/>
        <w:rPr>
          <w:rFonts w:ascii="Arial" w:eastAsia="Calibri" w:hAnsi="Arial" w:cs="Arial"/>
          <w:bCs/>
          <w:i/>
          <w:color w:val="000000" w:themeColor="text1"/>
          <w:sz w:val="24"/>
          <w:szCs w:val="24"/>
        </w:rPr>
      </w:pPr>
    </w:p>
    <w:p w14:paraId="645ADFC1" w14:textId="1890F149" w:rsidR="0076369D" w:rsidRPr="00C11197" w:rsidRDefault="0076369D" w:rsidP="00332DB5">
      <w:pPr>
        <w:spacing w:after="120"/>
        <w:ind w:left="1134" w:right="902" w:firstLine="284"/>
        <w:jc w:val="both"/>
        <w:rPr>
          <w:rFonts w:ascii="Arial" w:eastAsia="Calibri" w:hAnsi="Arial" w:cs="Arial"/>
          <w:bCs/>
          <w:i/>
          <w:color w:val="000000" w:themeColor="text1"/>
          <w:sz w:val="24"/>
          <w:szCs w:val="24"/>
        </w:rPr>
      </w:pPr>
      <w:r w:rsidRPr="00C11197">
        <w:rPr>
          <w:rFonts w:ascii="Arial" w:eastAsia="Calibri" w:hAnsi="Arial" w:cs="Arial"/>
          <w:b/>
          <w:bCs/>
          <w:i/>
          <w:color w:val="000000" w:themeColor="text1"/>
          <w:sz w:val="24"/>
          <w:szCs w:val="24"/>
        </w:rPr>
        <w:lastRenderedPageBreak/>
        <w:t xml:space="preserve">SEGUNDO. </w:t>
      </w:r>
      <w:r w:rsidRPr="00C11197">
        <w:rPr>
          <w:rFonts w:ascii="Arial" w:eastAsia="Calibri" w:hAnsi="Arial" w:cs="Arial"/>
          <w:bCs/>
          <w:i/>
          <w:color w:val="000000" w:themeColor="text1"/>
          <w:sz w:val="24"/>
          <w:szCs w:val="24"/>
        </w:rPr>
        <w:t xml:space="preserve">La personalidad de las partes, quedó acreditada en autos. - - - - - - - - - - - - - - - - - - - - - - - - - - - - </w:t>
      </w:r>
    </w:p>
    <w:p w14:paraId="0D46D5EB" w14:textId="0B852C47" w:rsidR="0076369D" w:rsidRPr="00C11197" w:rsidRDefault="0076369D" w:rsidP="00332DB5">
      <w:pPr>
        <w:spacing w:after="120"/>
        <w:ind w:left="1134" w:right="902" w:firstLine="284"/>
        <w:jc w:val="both"/>
        <w:rPr>
          <w:rFonts w:ascii="Arial" w:eastAsia="Calibri" w:hAnsi="Arial" w:cs="Arial"/>
          <w:bCs/>
          <w:i/>
          <w:color w:val="000000" w:themeColor="text1"/>
          <w:sz w:val="24"/>
          <w:szCs w:val="24"/>
        </w:rPr>
      </w:pPr>
      <w:r w:rsidRPr="00C11197">
        <w:rPr>
          <w:rFonts w:ascii="Arial" w:eastAsia="Calibri" w:hAnsi="Arial" w:cs="Arial"/>
          <w:b/>
          <w:bCs/>
          <w:i/>
          <w:color w:val="000000" w:themeColor="text1"/>
          <w:sz w:val="24"/>
          <w:szCs w:val="24"/>
        </w:rPr>
        <w:t>TERCERO</w:t>
      </w:r>
      <w:r w:rsidRPr="00C11197">
        <w:rPr>
          <w:rFonts w:ascii="Arial" w:eastAsia="Calibri" w:hAnsi="Arial" w:cs="Arial"/>
          <w:i/>
          <w:color w:val="000000" w:themeColor="text1"/>
          <w:sz w:val="24"/>
          <w:szCs w:val="24"/>
        </w:rPr>
        <w:t xml:space="preserve">. Se declara la incompetencia para conocer de este asunto y como consecuencia </w:t>
      </w:r>
      <w:r w:rsidRPr="00C11197">
        <w:rPr>
          <w:rFonts w:ascii="Arial" w:eastAsia="Calibri" w:hAnsi="Arial" w:cs="Arial"/>
          <w:b/>
          <w:bCs/>
          <w:i/>
          <w:color w:val="000000" w:themeColor="text1"/>
          <w:sz w:val="24"/>
          <w:szCs w:val="24"/>
        </w:rPr>
        <w:t>SE SOBRESEE</w:t>
      </w:r>
      <w:r w:rsidRPr="00C11197">
        <w:rPr>
          <w:rFonts w:ascii="Arial" w:eastAsia="Calibri" w:hAnsi="Arial" w:cs="Arial"/>
          <w:i/>
          <w:color w:val="000000" w:themeColor="text1"/>
          <w:sz w:val="24"/>
          <w:szCs w:val="24"/>
        </w:rPr>
        <w:t xml:space="preserve"> en el presente juicio.</w:t>
      </w:r>
      <w:r w:rsidRPr="00C11197">
        <w:rPr>
          <w:rFonts w:ascii="Arial" w:eastAsia="Calibri" w:hAnsi="Arial" w:cs="Arial"/>
          <w:b/>
          <w:bCs/>
          <w:i/>
          <w:color w:val="000000" w:themeColor="text1"/>
          <w:sz w:val="24"/>
          <w:szCs w:val="24"/>
        </w:rPr>
        <w:t xml:space="preserve"> </w:t>
      </w:r>
      <w:r w:rsidRPr="00C11197">
        <w:rPr>
          <w:rFonts w:ascii="Arial" w:eastAsia="Calibri" w:hAnsi="Arial" w:cs="Arial"/>
          <w:bCs/>
          <w:i/>
          <w:color w:val="000000" w:themeColor="text1"/>
          <w:sz w:val="24"/>
          <w:szCs w:val="24"/>
        </w:rPr>
        <w:t xml:space="preserve">- - - - - - - - - - - - - - - - - - - - - - - - - - - - - - - </w:t>
      </w:r>
    </w:p>
    <w:p w14:paraId="1C8647A2" w14:textId="329B08E6" w:rsidR="00106C08" w:rsidRPr="008E2EB7" w:rsidRDefault="0076369D" w:rsidP="00332DB5">
      <w:pPr>
        <w:spacing w:after="120"/>
        <w:ind w:left="1134" w:right="902" w:firstLine="284"/>
        <w:jc w:val="both"/>
        <w:rPr>
          <w:rFonts w:ascii="Arial" w:eastAsia="Calibri" w:hAnsi="Arial" w:cs="Arial"/>
          <w:bCs/>
          <w:i/>
          <w:color w:val="000000" w:themeColor="text1"/>
        </w:rPr>
      </w:pPr>
      <w:r w:rsidRPr="00C11197">
        <w:rPr>
          <w:rFonts w:ascii="Arial" w:eastAsia="Calibri" w:hAnsi="Arial" w:cs="Arial"/>
          <w:b/>
          <w:bCs/>
          <w:i/>
          <w:color w:val="000000" w:themeColor="text1"/>
          <w:sz w:val="24"/>
          <w:szCs w:val="24"/>
        </w:rPr>
        <w:t xml:space="preserve">CUARTO. </w:t>
      </w:r>
      <w:r w:rsidRPr="00C11197">
        <w:rPr>
          <w:rFonts w:ascii="Arial" w:eastAsia="Calibri" w:hAnsi="Arial" w:cs="Arial"/>
          <w:bCs/>
          <w:i/>
          <w:color w:val="000000" w:themeColor="text1"/>
          <w:sz w:val="24"/>
          <w:szCs w:val="24"/>
        </w:rPr>
        <w:t xml:space="preserve">Conforme a lo dispuesto en los artículos 142 y 143, fracciones I y II, de la Ley de Justicia Administrativa para el Estado, norma vigente al inicio de este juicio, </w:t>
      </w:r>
      <w:r w:rsidRPr="00C11197">
        <w:rPr>
          <w:rFonts w:ascii="Arial" w:eastAsia="Calibri" w:hAnsi="Arial" w:cs="Arial"/>
          <w:b/>
          <w:bCs/>
          <w:i/>
          <w:color w:val="000000" w:themeColor="text1"/>
          <w:sz w:val="24"/>
          <w:szCs w:val="24"/>
        </w:rPr>
        <w:t>NOTIFÍQUESE PERSONALMENTE A LA PARTE ACTORA Y POR OFICIO A LAS AUTORIDADES DEMANDADAS. CÚMPLASE</w:t>
      </w:r>
      <w:r w:rsidRPr="00C11197">
        <w:rPr>
          <w:rFonts w:ascii="Arial" w:eastAsia="Calibri" w:hAnsi="Arial" w:cs="Arial"/>
          <w:bCs/>
          <w:i/>
          <w:color w:val="000000" w:themeColor="text1"/>
          <w:sz w:val="24"/>
          <w:szCs w:val="24"/>
        </w:rPr>
        <w:t>.”- - - - - - -</w:t>
      </w:r>
      <w:r w:rsidR="006505F2">
        <w:rPr>
          <w:rFonts w:ascii="Arial" w:eastAsia="Calibri" w:hAnsi="Arial" w:cs="Arial"/>
          <w:bCs/>
          <w:i/>
          <w:color w:val="000000" w:themeColor="text1"/>
        </w:rPr>
        <w:t xml:space="preserve"> - - - - - - - - - - - - - -</w:t>
      </w:r>
    </w:p>
    <w:p w14:paraId="7B27FDE5" w14:textId="00B138B9" w:rsidR="00107437" w:rsidRPr="008E2EB7" w:rsidRDefault="00107437" w:rsidP="00107437">
      <w:pPr>
        <w:spacing w:before="240" w:line="360" w:lineRule="auto"/>
        <w:ind w:left="851" w:right="616"/>
        <w:jc w:val="center"/>
        <w:rPr>
          <w:rFonts w:ascii="Arial" w:eastAsia="Calibri" w:hAnsi="Arial" w:cs="Arial"/>
          <w:b/>
          <w:bCs/>
          <w:sz w:val="26"/>
          <w:szCs w:val="26"/>
        </w:rPr>
      </w:pPr>
      <w:r w:rsidRPr="008E2EB7">
        <w:rPr>
          <w:rFonts w:ascii="Arial" w:eastAsia="Calibri" w:hAnsi="Arial" w:cs="Arial"/>
          <w:b/>
          <w:bCs/>
          <w:sz w:val="26"/>
          <w:szCs w:val="26"/>
        </w:rPr>
        <w:t xml:space="preserve">C O N S I D E </w:t>
      </w:r>
      <w:r w:rsidR="00A6026D" w:rsidRPr="008E2EB7">
        <w:rPr>
          <w:rFonts w:ascii="Arial" w:eastAsia="Calibri" w:hAnsi="Arial" w:cs="Arial"/>
          <w:b/>
          <w:bCs/>
          <w:sz w:val="26"/>
          <w:szCs w:val="26"/>
        </w:rPr>
        <w:t>R A N D O</w:t>
      </w:r>
    </w:p>
    <w:p w14:paraId="484435E6" w14:textId="2EA36D85" w:rsidR="00107437" w:rsidRPr="008E2EB7" w:rsidRDefault="00107437" w:rsidP="00107437">
      <w:pPr>
        <w:spacing w:before="240" w:line="360" w:lineRule="auto"/>
        <w:ind w:firstLine="708"/>
        <w:jc w:val="both"/>
        <w:rPr>
          <w:rFonts w:ascii="Arial" w:eastAsiaTheme="minorHAnsi" w:hAnsi="Arial" w:cs="Arial"/>
          <w:b/>
          <w:bCs/>
          <w:iCs/>
          <w:sz w:val="26"/>
          <w:szCs w:val="26"/>
        </w:rPr>
      </w:pPr>
      <w:r w:rsidRPr="008E2EB7">
        <w:rPr>
          <w:rFonts w:ascii="Arial" w:hAnsi="Arial" w:cs="Arial"/>
          <w:b/>
          <w:bCs/>
          <w:iCs/>
          <w:sz w:val="26"/>
          <w:szCs w:val="26"/>
          <w:lang w:eastAsia="es-ES"/>
        </w:rPr>
        <w:t>PRIMERO.</w:t>
      </w:r>
      <w:r w:rsidRPr="008E2EB7">
        <w:rPr>
          <w:rFonts w:ascii="Arial" w:hAnsi="Arial" w:cs="Arial"/>
          <w:b/>
          <w:bCs/>
          <w:iCs/>
          <w:sz w:val="26"/>
          <w:szCs w:val="26"/>
        </w:rPr>
        <w:t xml:space="preserve"> </w:t>
      </w:r>
      <w:r w:rsidRPr="008E2EB7">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w:t>
      </w:r>
      <w:r w:rsidR="00423919" w:rsidRPr="008E2EB7">
        <w:rPr>
          <w:rFonts w:ascii="Arial" w:hAnsi="Arial" w:cs="Arial"/>
          <w:bCs/>
          <w:iCs/>
          <w:sz w:val="26"/>
          <w:szCs w:val="26"/>
        </w:rPr>
        <w:t xml:space="preserve"> así como los diversos 86, 88, 92, 93, fracción I, 94, 201, 206 y 208, de la Ley de Justicia Administrativa para el Estado de Oaxaca</w:t>
      </w:r>
      <w:r w:rsidR="00423919" w:rsidRPr="008E2EB7">
        <w:rPr>
          <w:rFonts w:ascii="Arial" w:hAnsi="Arial" w:cs="Arial"/>
          <w:bCs/>
          <w:iCs/>
          <w:sz w:val="26"/>
          <w:szCs w:val="26"/>
          <w:lang w:eastAsia="es-ES"/>
        </w:rPr>
        <w:t xml:space="preserve">, </w:t>
      </w:r>
      <w:r w:rsidR="00A01680" w:rsidRPr="008E2EB7">
        <w:rPr>
          <w:rFonts w:ascii="Arial" w:eastAsia="Calibri" w:hAnsi="Arial" w:cs="Arial"/>
          <w:sz w:val="26"/>
          <w:szCs w:val="26"/>
        </w:rPr>
        <w:t>por ser al estar</w:t>
      </w:r>
      <w:r w:rsidR="00423919" w:rsidRPr="008E2EB7">
        <w:rPr>
          <w:rFonts w:ascii="Arial" w:eastAsia="Calibri" w:hAnsi="Arial" w:cs="Arial"/>
          <w:sz w:val="26"/>
          <w:szCs w:val="26"/>
        </w:rPr>
        <w:t xml:space="preserve"> vigente al inicio del juicio natural</w:t>
      </w:r>
      <w:r w:rsidRPr="008E2EB7">
        <w:rPr>
          <w:rFonts w:ascii="Arial" w:hAnsi="Arial" w:cs="Arial"/>
          <w:bCs/>
          <w:iCs/>
          <w:sz w:val="26"/>
          <w:szCs w:val="26"/>
        </w:rPr>
        <w:t xml:space="preserve">. </w:t>
      </w:r>
      <w:r w:rsidR="006D4438">
        <w:rPr>
          <w:rFonts w:ascii="Arial" w:hAnsi="Arial" w:cs="Arial"/>
          <w:bCs/>
          <w:iCs/>
          <w:sz w:val="26"/>
          <w:szCs w:val="26"/>
        </w:rPr>
        <w:t xml:space="preserve">Dado que se trata de un </w:t>
      </w:r>
      <w:r w:rsidRPr="008E2EB7">
        <w:rPr>
          <w:rFonts w:ascii="Arial" w:hAnsi="Arial" w:cs="Arial"/>
          <w:bCs/>
          <w:iCs/>
          <w:sz w:val="26"/>
          <w:szCs w:val="26"/>
        </w:rPr>
        <w:t>Recurso de Revisión interpuesto en contra de</w:t>
      </w:r>
      <w:r w:rsidR="00423919" w:rsidRPr="008E2EB7">
        <w:rPr>
          <w:rFonts w:ascii="Arial" w:hAnsi="Arial" w:cs="Arial"/>
          <w:bCs/>
          <w:iCs/>
          <w:sz w:val="26"/>
          <w:szCs w:val="26"/>
        </w:rPr>
        <w:t xml:space="preserve"> la sentencia de </w:t>
      </w:r>
      <w:r w:rsidR="00BF0AA7" w:rsidRPr="008E2EB7">
        <w:rPr>
          <w:rFonts w:ascii="Arial" w:hAnsi="Arial" w:cs="Arial"/>
          <w:bCs/>
          <w:iCs/>
          <w:sz w:val="26"/>
          <w:szCs w:val="26"/>
        </w:rPr>
        <w:t>fecha veinte</w:t>
      </w:r>
      <w:r w:rsidR="00423919" w:rsidRPr="008E2EB7">
        <w:rPr>
          <w:rFonts w:ascii="Arial" w:hAnsi="Arial" w:cs="Arial"/>
          <w:bCs/>
          <w:iCs/>
          <w:sz w:val="26"/>
          <w:szCs w:val="26"/>
        </w:rPr>
        <w:t xml:space="preserve"> de enero</w:t>
      </w:r>
      <w:r w:rsidRPr="008E2EB7">
        <w:rPr>
          <w:rFonts w:ascii="Arial" w:hAnsi="Arial" w:cs="Arial"/>
          <w:bCs/>
          <w:iCs/>
          <w:sz w:val="26"/>
          <w:szCs w:val="26"/>
        </w:rPr>
        <w:t xml:space="preserve"> de </w:t>
      </w:r>
      <w:r w:rsidR="00423919" w:rsidRPr="008E2EB7">
        <w:rPr>
          <w:rFonts w:ascii="Arial" w:hAnsi="Arial" w:cs="Arial"/>
          <w:bCs/>
          <w:iCs/>
          <w:sz w:val="26"/>
          <w:szCs w:val="26"/>
        </w:rPr>
        <w:t>dos mil veinte, dictada</w:t>
      </w:r>
      <w:r w:rsidRPr="008E2EB7">
        <w:rPr>
          <w:rFonts w:ascii="Arial" w:hAnsi="Arial" w:cs="Arial"/>
          <w:bCs/>
          <w:iCs/>
          <w:sz w:val="26"/>
          <w:szCs w:val="26"/>
        </w:rPr>
        <w:t xml:space="preserve"> en la </w:t>
      </w:r>
      <w:r w:rsidR="00423919" w:rsidRPr="008E2EB7">
        <w:rPr>
          <w:rFonts w:ascii="Arial" w:hAnsi="Arial" w:cs="Arial"/>
          <w:bCs/>
          <w:iCs/>
          <w:sz w:val="26"/>
          <w:szCs w:val="26"/>
        </w:rPr>
        <w:t>Tercera</w:t>
      </w:r>
      <w:r w:rsidRPr="008E2EB7">
        <w:rPr>
          <w:rFonts w:ascii="Arial" w:hAnsi="Arial" w:cs="Arial"/>
          <w:bCs/>
          <w:iCs/>
          <w:sz w:val="26"/>
          <w:szCs w:val="26"/>
        </w:rPr>
        <w:t xml:space="preserve"> Sala Unitaria de Primera Instancia de este Tribunal, en el expediente </w:t>
      </w:r>
      <w:r w:rsidR="00423919" w:rsidRPr="008E2EB7">
        <w:rPr>
          <w:rFonts w:ascii="Arial" w:hAnsi="Arial" w:cs="Arial"/>
          <w:b/>
          <w:bCs/>
          <w:iCs/>
          <w:sz w:val="26"/>
          <w:szCs w:val="26"/>
        </w:rPr>
        <w:t>94/2017</w:t>
      </w:r>
      <w:r w:rsidRPr="008E2EB7">
        <w:rPr>
          <w:rFonts w:ascii="Arial" w:hAnsi="Arial" w:cs="Arial"/>
          <w:sz w:val="26"/>
          <w:szCs w:val="26"/>
        </w:rPr>
        <w:t xml:space="preserve">. - - - - - - </w:t>
      </w:r>
      <w:r w:rsidR="00423919" w:rsidRPr="008E2EB7">
        <w:rPr>
          <w:rFonts w:ascii="Arial" w:hAnsi="Arial" w:cs="Arial"/>
          <w:sz w:val="26"/>
          <w:szCs w:val="26"/>
        </w:rPr>
        <w:t xml:space="preserve">- </w:t>
      </w:r>
    </w:p>
    <w:p w14:paraId="7BD48E32" w14:textId="1455E06B" w:rsidR="00107437" w:rsidRPr="008E2EB7" w:rsidRDefault="00107437" w:rsidP="00107437">
      <w:pPr>
        <w:spacing w:line="360" w:lineRule="auto"/>
        <w:ind w:firstLine="708"/>
        <w:jc w:val="both"/>
        <w:rPr>
          <w:rFonts w:ascii="Arial" w:hAnsi="Arial" w:cs="Arial"/>
          <w:sz w:val="26"/>
          <w:szCs w:val="26"/>
        </w:rPr>
      </w:pPr>
      <w:r w:rsidRPr="008E2EB7">
        <w:rPr>
          <w:rFonts w:ascii="Arial" w:hAnsi="Arial" w:cs="Arial"/>
          <w:b/>
          <w:sz w:val="26"/>
          <w:szCs w:val="26"/>
        </w:rPr>
        <w:t>SEGUNDO.</w:t>
      </w:r>
      <w:r w:rsidRPr="008E2EB7">
        <w:rPr>
          <w:rFonts w:ascii="Arial" w:hAnsi="Arial" w:cs="Arial"/>
          <w:sz w:val="26"/>
          <w:szCs w:val="26"/>
        </w:rPr>
        <w:t xml:space="preserve"> </w:t>
      </w:r>
      <w:r w:rsidR="00D01C37" w:rsidRPr="008E2EB7">
        <w:rPr>
          <w:rFonts w:ascii="Arial" w:hAnsi="Arial" w:cs="Arial"/>
          <w:bCs/>
          <w:sz w:val="26"/>
          <w:szCs w:val="26"/>
        </w:rPr>
        <w:t>El agravio hecho valer se encuentra expuesto en el escrito respectivo de los</w:t>
      </w:r>
      <w:r w:rsidRPr="008E2EB7">
        <w:rPr>
          <w:rFonts w:ascii="Arial" w:hAnsi="Arial" w:cs="Arial"/>
          <w:bCs/>
          <w:sz w:val="26"/>
          <w:szCs w:val="26"/>
        </w:rPr>
        <w:t xml:space="preserve"> recurrente</w:t>
      </w:r>
      <w:r w:rsidR="00D01C37" w:rsidRPr="008E2EB7">
        <w:rPr>
          <w:rFonts w:ascii="Arial" w:hAnsi="Arial" w:cs="Arial"/>
          <w:bCs/>
          <w:sz w:val="26"/>
          <w:szCs w:val="26"/>
        </w:rPr>
        <w:t>s</w:t>
      </w:r>
      <w:r w:rsidRPr="008E2EB7">
        <w:rPr>
          <w:rFonts w:ascii="Arial" w:hAnsi="Arial" w:cs="Arial"/>
          <w:bCs/>
          <w:sz w:val="26"/>
          <w:szCs w:val="26"/>
        </w:rPr>
        <w:t>, por lo que no ex</w:t>
      </w:r>
      <w:r w:rsidR="00D01C37" w:rsidRPr="008E2EB7">
        <w:rPr>
          <w:rFonts w:ascii="Arial" w:hAnsi="Arial" w:cs="Arial"/>
          <w:bCs/>
          <w:sz w:val="26"/>
          <w:szCs w:val="26"/>
        </w:rPr>
        <w:t>iste necesidad de transcribirlo</w:t>
      </w:r>
      <w:r w:rsidRPr="008E2EB7">
        <w:rPr>
          <w:rFonts w:ascii="Arial" w:hAnsi="Arial" w:cs="Arial"/>
          <w:bCs/>
          <w:sz w:val="26"/>
          <w:szCs w:val="26"/>
        </w:rPr>
        <w:t>, al no transgredirse derecho alguno, como tampoco se vulnera disposición expresa que imponga tal obligación</w:t>
      </w:r>
      <w:r w:rsidRPr="008E2EB7">
        <w:rPr>
          <w:rFonts w:ascii="Arial" w:hAnsi="Arial" w:cs="Arial"/>
          <w:sz w:val="26"/>
          <w:szCs w:val="26"/>
        </w:rPr>
        <w:t>. En apoyo a lo anterior, se invoca el criterio Jurisprudencial</w:t>
      </w:r>
      <w:r w:rsidRPr="008E2EB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w:t>
      </w:r>
      <w:r w:rsidR="009407DE" w:rsidRPr="008E2EB7">
        <w:rPr>
          <w:rFonts w:ascii="Arial" w:hAnsi="Arial" w:cs="Arial"/>
          <w:bCs/>
          <w:color w:val="000000"/>
          <w:sz w:val="26"/>
          <w:szCs w:val="26"/>
        </w:rPr>
        <w:t>siguiente:</w:t>
      </w:r>
      <w:r w:rsidR="009407DE">
        <w:rPr>
          <w:rFonts w:ascii="Arial" w:hAnsi="Arial" w:cs="Arial"/>
          <w:bCs/>
          <w:color w:val="000000"/>
          <w:sz w:val="26"/>
          <w:szCs w:val="26"/>
        </w:rPr>
        <w:t xml:space="preserve"> -</w:t>
      </w:r>
      <w:r w:rsidR="00642FD4">
        <w:rPr>
          <w:rFonts w:ascii="Arial" w:hAnsi="Arial" w:cs="Arial"/>
          <w:bCs/>
          <w:color w:val="000000"/>
          <w:sz w:val="26"/>
          <w:szCs w:val="26"/>
        </w:rPr>
        <w:t xml:space="preserve"> - - - - - - - - - - - - - - </w:t>
      </w:r>
    </w:p>
    <w:p w14:paraId="2460059C" w14:textId="77777777" w:rsidR="00107437" w:rsidRPr="007126A4" w:rsidRDefault="00107437" w:rsidP="00A6026D">
      <w:pPr>
        <w:spacing w:before="240"/>
        <w:ind w:left="567" w:right="900"/>
        <w:jc w:val="both"/>
        <w:rPr>
          <w:rFonts w:ascii="Arial" w:eastAsia="Calibri" w:hAnsi="Arial" w:cs="Arial"/>
          <w:b/>
          <w:bCs/>
          <w:i/>
          <w:sz w:val="24"/>
          <w:szCs w:val="24"/>
        </w:rPr>
      </w:pPr>
      <w:r w:rsidRPr="007126A4">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7126A4">
        <w:rPr>
          <w:rFonts w:ascii="Arial" w:eastAsia="Calibri" w:hAnsi="Arial" w:cs="Arial"/>
          <w:bCs/>
          <w:i/>
          <w:sz w:val="24"/>
          <w:szCs w:val="24"/>
        </w:rPr>
        <w:t xml:space="preserve">De los preceptos integrantes del capítulo X "De las sentencias", del título primero "Reglas generales", del libro primero "Del amparo en general", de la Ley de Amparo, no se advierte como obligación para el </w:t>
      </w:r>
      <w:r w:rsidRPr="007126A4">
        <w:rPr>
          <w:rFonts w:ascii="Arial" w:eastAsia="Calibri" w:hAnsi="Arial" w:cs="Arial"/>
          <w:bCs/>
          <w:i/>
          <w:sz w:val="24"/>
          <w:szCs w:val="24"/>
        </w:rPr>
        <w:lastRenderedPageBreak/>
        <w:t>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2C3E573" w14:textId="055C4374" w:rsidR="00107437" w:rsidRPr="008E2EB7" w:rsidRDefault="00107437" w:rsidP="00107437">
      <w:pPr>
        <w:spacing w:before="240" w:line="360" w:lineRule="auto"/>
        <w:ind w:firstLine="708"/>
        <w:jc w:val="both"/>
        <w:rPr>
          <w:rFonts w:ascii="Arial" w:eastAsia="Calibri" w:hAnsi="Arial" w:cs="Arial"/>
          <w:bCs/>
          <w:sz w:val="26"/>
          <w:szCs w:val="26"/>
        </w:rPr>
      </w:pPr>
      <w:r w:rsidRPr="008E2EB7">
        <w:rPr>
          <w:rFonts w:ascii="Arial" w:eastAsia="Calibri" w:hAnsi="Arial" w:cs="Arial"/>
          <w:b/>
          <w:bCs/>
          <w:sz w:val="26"/>
          <w:szCs w:val="26"/>
        </w:rPr>
        <w:t xml:space="preserve">TERCERO. </w:t>
      </w:r>
      <w:r w:rsidR="00D01C37" w:rsidRPr="008E2EB7">
        <w:rPr>
          <w:rFonts w:ascii="Arial" w:eastAsia="Calibri" w:hAnsi="Arial" w:cs="Arial"/>
          <w:bCs/>
          <w:sz w:val="26"/>
          <w:szCs w:val="26"/>
        </w:rPr>
        <w:t xml:space="preserve">El agravio </w:t>
      </w:r>
      <w:r w:rsidR="00355D30" w:rsidRPr="008E2EB7">
        <w:rPr>
          <w:rFonts w:ascii="Arial" w:eastAsia="Calibri" w:hAnsi="Arial" w:cs="Arial"/>
          <w:bCs/>
          <w:sz w:val="26"/>
          <w:szCs w:val="26"/>
        </w:rPr>
        <w:t>vertido</w:t>
      </w:r>
      <w:r w:rsidR="00D01C37" w:rsidRPr="008E2EB7">
        <w:rPr>
          <w:rFonts w:ascii="Arial" w:eastAsia="Calibri" w:hAnsi="Arial" w:cs="Arial"/>
          <w:bCs/>
          <w:sz w:val="26"/>
          <w:szCs w:val="26"/>
        </w:rPr>
        <w:t xml:space="preserve"> por los</w:t>
      </w:r>
      <w:r w:rsidRPr="008E2EB7">
        <w:rPr>
          <w:rFonts w:ascii="Arial" w:eastAsia="Calibri" w:hAnsi="Arial" w:cs="Arial"/>
          <w:bCs/>
          <w:sz w:val="26"/>
          <w:szCs w:val="26"/>
        </w:rPr>
        <w:t xml:space="preserve"> recurrente</w:t>
      </w:r>
      <w:r w:rsidR="00D01C37" w:rsidRPr="008E2EB7">
        <w:rPr>
          <w:rFonts w:ascii="Arial" w:eastAsia="Calibri" w:hAnsi="Arial" w:cs="Arial"/>
          <w:bCs/>
          <w:sz w:val="26"/>
          <w:szCs w:val="26"/>
        </w:rPr>
        <w:t>s, expresa</w:t>
      </w:r>
      <w:r w:rsidRPr="008E2EB7">
        <w:rPr>
          <w:rFonts w:ascii="Arial" w:eastAsia="Calibri" w:hAnsi="Arial" w:cs="Arial"/>
          <w:bCs/>
          <w:sz w:val="26"/>
          <w:szCs w:val="26"/>
        </w:rPr>
        <w:t xml:space="preserve"> esencialmente lo siguiente</w:t>
      </w:r>
      <w:r w:rsidR="00F45E0D" w:rsidRPr="008E2EB7">
        <w:rPr>
          <w:rFonts w:ascii="Arial" w:eastAsia="Calibri" w:hAnsi="Arial" w:cs="Arial"/>
          <w:bCs/>
          <w:sz w:val="26"/>
          <w:szCs w:val="26"/>
        </w:rPr>
        <w:t>.</w:t>
      </w:r>
      <w:r w:rsidR="00355D30" w:rsidRPr="008E2EB7">
        <w:rPr>
          <w:rFonts w:ascii="Arial" w:eastAsia="Calibri" w:hAnsi="Arial" w:cs="Arial"/>
          <w:bCs/>
          <w:sz w:val="26"/>
          <w:szCs w:val="26"/>
        </w:rPr>
        <w:t xml:space="preserve"> - - - - - - - - - - - - - - - - - - - - - - - - - - - - - - - -</w:t>
      </w:r>
    </w:p>
    <w:p w14:paraId="1479F80A" w14:textId="60846AF1" w:rsidR="00107437" w:rsidRPr="008E2EB7" w:rsidRDefault="00706825" w:rsidP="00706825">
      <w:pPr>
        <w:spacing w:before="240" w:line="360" w:lineRule="auto"/>
        <w:jc w:val="both"/>
        <w:rPr>
          <w:rFonts w:ascii="Arial" w:eastAsia="Calibri" w:hAnsi="Arial" w:cs="Arial"/>
          <w:bCs/>
          <w:sz w:val="26"/>
          <w:szCs w:val="26"/>
        </w:rPr>
      </w:pPr>
      <w:r w:rsidRPr="008E2EB7">
        <w:rPr>
          <w:rFonts w:ascii="Arial" w:eastAsia="Calibri" w:hAnsi="Arial" w:cs="Arial"/>
          <w:b/>
          <w:bCs/>
          <w:sz w:val="26"/>
          <w:szCs w:val="26"/>
        </w:rPr>
        <w:t xml:space="preserve">      </w:t>
      </w:r>
      <w:r w:rsidR="00C06132" w:rsidRPr="008E2EB7">
        <w:rPr>
          <w:rFonts w:ascii="Arial" w:eastAsia="Calibri" w:hAnsi="Arial" w:cs="Arial"/>
          <w:bCs/>
          <w:sz w:val="26"/>
          <w:szCs w:val="26"/>
        </w:rPr>
        <w:t xml:space="preserve">  </w:t>
      </w:r>
      <w:r w:rsidR="00667776" w:rsidRPr="008E2EB7">
        <w:rPr>
          <w:rFonts w:ascii="Arial" w:eastAsia="Calibri" w:hAnsi="Arial" w:cs="Arial"/>
          <w:bCs/>
          <w:sz w:val="26"/>
          <w:szCs w:val="26"/>
        </w:rPr>
        <w:t xml:space="preserve">El considerando tercero de la sentencia impugnada, viola en su perjuicio los principios de legalidad y congruencia de las sentencias, requisitos que han de cumplir las </w:t>
      </w:r>
      <w:r w:rsidR="009321F5" w:rsidRPr="008E2EB7">
        <w:rPr>
          <w:rFonts w:ascii="Arial" w:eastAsia="Calibri" w:hAnsi="Arial" w:cs="Arial"/>
          <w:bCs/>
          <w:sz w:val="26"/>
          <w:szCs w:val="26"/>
        </w:rPr>
        <w:t>sentencias</w:t>
      </w:r>
      <w:r w:rsidR="00667776" w:rsidRPr="008E2EB7">
        <w:rPr>
          <w:rFonts w:ascii="Arial" w:eastAsia="Calibri" w:hAnsi="Arial" w:cs="Arial"/>
          <w:bCs/>
          <w:sz w:val="26"/>
          <w:szCs w:val="26"/>
        </w:rPr>
        <w:t xml:space="preserve"> sobre el fondo del </w:t>
      </w:r>
      <w:r w:rsidR="009321F5" w:rsidRPr="008E2EB7">
        <w:rPr>
          <w:rFonts w:ascii="Arial" w:eastAsia="Calibri" w:hAnsi="Arial" w:cs="Arial"/>
          <w:bCs/>
          <w:sz w:val="26"/>
          <w:szCs w:val="26"/>
        </w:rPr>
        <w:t>asunto</w:t>
      </w:r>
      <w:r w:rsidR="00667776" w:rsidRPr="008E2EB7">
        <w:rPr>
          <w:rFonts w:ascii="Arial" w:eastAsia="Calibri" w:hAnsi="Arial" w:cs="Arial"/>
          <w:bCs/>
          <w:sz w:val="26"/>
          <w:szCs w:val="26"/>
        </w:rPr>
        <w:t xml:space="preserve">, </w:t>
      </w:r>
      <w:r w:rsidR="009321F5" w:rsidRPr="008E2EB7">
        <w:rPr>
          <w:rFonts w:ascii="Arial" w:eastAsia="Calibri" w:hAnsi="Arial" w:cs="Arial"/>
          <w:bCs/>
          <w:sz w:val="26"/>
          <w:szCs w:val="26"/>
        </w:rPr>
        <w:t>consistente</w:t>
      </w:r>
      <w:r w:rsidR="00667776" w:rsidRPr="008E2EB7">
        <w:rPr>
          <w:rFonts w:ascii="Arial" w:eastAsia="Calibri" w:hAnsi="Arial" w:cs="Arial"/>
          <w:bCs/>
          <w:sz w:val="26"/>
          <w:szCs w:val="26"/>
        </w:rPr>
        <w:t xml:space="preserve"> en la adecuación</w:t>
      </w:r>
      <w:r w:rsidR="00625C0F" w:rsidRPr="008E2EB7">
        <w:rPr>
          <w:rFonts w:ascii="Arial" w:eastAsia="Calibri" w:hAnsi="Arial" w:cs="Arial"/>
          <w:bCs/>
          <w:sz w:val="26"/>
          <w:szCs w:val="26"/>
        </w:rPr>
        <w:t xml:space="preserve">, </w:t>
      </w:r>
      <w:r w:rsidR="00C06132" w:rsidRPr="008E2EB7">
        <w:rPr>
          <w:rFonts w:ascii="Arial" w:eastAsia="Calibri" w:hAnsi="Arial" w:cs="Arial"/>
          <w:bCs/>
          <w:sz w:val="26"/>
          <w:szCs w:val="26"/>
        </w:rPr>
        <w:t>correlación</w:t>
      </w:r>
      <w:r w:rsidR="00625C0F" w:rsidRPr="008E2EB7">
        <w:rPr>
          <w:rFonts w:ascii="Arial" w:eastAsia="Calibri" w:hAnsi="Arial" w:cs="Arial"/>
          <w:bCs/>
          <w:sz w:val="26"/>
          <w:szCs w:val="26"/>
        </w:rPr>
        <w:t xml:space="preserve"> o </w:t>
      </w:r>
      <w:r w:rsidR="00C06132" w:rsidRPr="008E2EB7">
        <w:rPr>
          <w:rFonts w:ascii="Arial" w:eastAsia="Calibri" w:hAnsi="Arial" w:cs="Arial"/>
          <w:bCs/>
          <w:sz w:val="26"/>
          <w:szCs w:val="26"/>
        </w:rPr>
        <w:t>armonía</w:t>
      </w:r>
      <w:r w:rsidR="00625C0F" w:rsidRPr="008E2EB7">
        <w:rPr>
          <w:rFonts w:ascii="Arial" w:eastAsia="Calibri" w:hAnsi="Arial" w:cs="Arial"/>
          <w:bCs/>
          <w:sz w:val="26"/>
          <w:szCs w:val="26"/>
        </w:rPr>
        <w:t xml:space="preserve"> entre las peticiones de tutela </w:t>
      </w:r>
      <w:r w:rsidR="00C06132" w:rsidRPr="008E2EB7">
        <w:rPr>
          <w:rFonts w:ascii="Arial" w:eastAsia="Calibri" w:hAnsi="Arial" w:cs="Arial"/>
          <w:bCs/>
          <w:sz w:val="26"/>
          <w:szCs w:val="26"/>
        </w:rPr>
        <w:t>realizadas</w:t>
      </w:r>
      <w:r w:rsidR="00625C0F" w:rsidRPr="008E2EB7">
        <w:rPr>
          <w:rFonts w:ascii="Arial" w:eastAsia="Calibri" w:hAnsi="Arial" w:cs="Arial"/>
          <w:bCs/>
          <w:sz w:val="26"/>
          <w:szCs w:val="26"/>
        </w:rPr>
        <w:t xml:space="preserve"> por las p</w:t>
      </w:r>
      <w:r w:rsidR="00C06132" w:rsidRPr="008E2EB7">
        <w:rPr>
          <w:rFonts w:ascii="Arial" w:eastAsia="Calibri" w:hAnsi="Arial" w:cs="Arial"/>
          <w:bCs/>
          <w:sz w:val="26"/>
          <w:szCs w:val="26"/>
        </w:rPr>
        <w:t>artes y lo decidido en el fallo</w:t>
      </w:r>
      <w:r w:rsidR="00625C0F" w:rsidRPr="008E2EB7">
        <w:rPr>
          <w:rFonts w:ascii="Arial" w:eastAsia="Calibri" w:hAnsi="Arial" w:cs="Arial"/>
          <w:bCs/>
          <w:sz w:val="26"/>
          <w:szCs w:val="26"/>
        </w:rPr>
        <w:t xml:space="preserve"> de la sentencia</w:t>
      </w:r>
      <w:r w:rsidR="00C06132" w:rsidRPr="008E2EB7">
        <w:rPr>
          <w:rFonts w:ascii="Arial" w:eastAsia="Calibri" w:hAnsi="Arial" w:cs="Arial"/>
          <w:bCs/>
          <w:sz w:val="26"/>
          <w:szCs w:val="26"/>
        </w:rPr>
        <w:t>.</w:t>
      </w:r>
    </w:p>
    <w:p w14:paraId="0319DE61" w14:textId="27AE7924" w:rsidR="00E91A89" w:rsidRPr="008E2EB7" w:rsidRDefault="00E91A89" w:rsidP="00706825">
      <w:pPr>
        <w:spacing w:before="240" w:line="360" w:lineRule="auto"/>
        <w:jc w:val="both"/>
        <w:rPr>
          <w:rFonts w:ascii="Arial" w:eastAsia="Calibri" w:hAnsi="Arial" w:cs="Arial"/>
          <w:bCs/>
          <w:sz w:val="26"/>
          <w:szCs w:val="26"/>
        </w:rPr>
      </w:pPr>
      <w:r w:rsidRPr="008E2EB7">
        <w:rPr>
          <w:rFonts w:ascii="Arial" w:eastAsia="Calibri" w:hAnsi="Arial" w:cs="Arial"/>
          <w:bCs/>
          <w:sz w:val="26"/>
          <w:szCs w:val="26"/>
        </w:rPr>
        <w:t xml:space="preserve">    Por ello, señalan los recurrente</w:t>
      </w:r>
      <w:r w:rsidR="009E2CEA" w:rsidRPr="008E2EB7">
        <w:rPr>
          <w:rFonts w:ascii="Arial" w:eastAsia="Calibri" w:hAnsi="Arial" w:cs="Arial"/>
          <w:bCs/>
          <w:sz w:val="26"/>
          <w:szCs w:val="26"/>
        </w:rPr>
        <w:t>s</w:t>
      </w:r>
      <w:r w:rsidRPr="008E2EB7">
        <w:rPr>
          <w:rFonts w:ascii="Arial" w:eastAsia="Calibri" w:hAnsi="Arial" w:cs="Arial"/>
          <w:bCs/>
          <w:sz w:val="26"/>
          <w:szCs w:val="26"/>
        </w:rPr>
        <w:t xml:space="preserve"> en primer lugar que, la controversi</w:t>
      </w:r>
      <w:r w:rsidR="00846629" w:rsidRPr="008E2EB7">
        <w:rPr>
          <w:rFonts w:ascii="Arial" w:eastAsia="Calibri" w:hAnsi="Arial" w:cs="Arial"/>
          <w:bCs/>
          <w:sz w:val="26"/>
          <w:szCs w:val="26"/>
        </w:rPr>
        <w:t>a planteada estriba en que la A</w:t>
      </w:r>
      <w:r w:rsidR="009E2CEA" w:rsidRPr="008E2EB7">
        <w:rPr>
          <w:rFonts w:ascii="Arial" w:eastAsia="Calibri" w:hAnsi="Arial" w:cs="Arial"/>
          <w:bCs/>
          <w:sz w:val="26"/>
          <w:szCs w:val="26"/>
        </w:rPr>
        <w:t xml:space="preserve"> </w:t>
      </w:r>
      <w:r w:rsidR="00846629" w:rsidRPr="008E2EB7">
        <w:rPr>
          <w:rFonts w:ascii="Arial" w:eastAsia="Calibri" w:hAnsi="Arial" w:cs="Arial"/>
          <w:bCs/>
          <w:sz w:val="26"/>
          <w:szCs w:val="26"/>
        </w:rPr>
        <w:t>quo determine</w:t>
      </w:r>
      <w:r w:rsidRPr="008E2EB7">
        <w:rPr>
          <w:rFonts w:ascii="Arial" w:eastAsia="Calibri" w:hAnsi="Arial" w:cs="Arial"/>
          <w:bCs/>
          <w:sz w:val="26"/>
          <w:szCs w:val="26"/>
        </w:rPr>
        <w:t xml:space="preserve"> si se configura la negativa ficta respecto a la</w:t>
      </w:r>
      <w:r w:rsidR="009E2CEA" w:rsidRPr="008E2EB7">
        <w:rPr>
          <w:rFonts w:ascii="Arial" w:eastAsia="Calibri" w:hAnsi="Arial" w:cs="Arial"/>
          <w:bCs/>
          <w:sz w:val="26"/>
          <w:szCs w:val="26"/>
        </w:rPr>
        <w:t>s</w:t>
      </w:r>
      <w:r w:rsidRPr="008E2EB7">
        <w:rPr>
          <w:rFonts w:ascii="Arial" w:eastAsia="Calibri" w:hAnsi="Arial" w:cs="Arial"/>
          <w:bCs/>
          <w:sz w:val="26"/>
          <w:szCs w:val="26"/>
        </w:rPr>
        <w:t xml:space="preserve"> peticiones realizadas al Oficial Mayor y </w:t>
      </w:r>
      <w:r w:rsidR="001D7955" w:rsidRPr="008E2EB7">
        <w:rPr>
          <w:rFonts w:ascii="Arial" w:eastAsia="Calibri" w:hAnsi="Arial" w:cs="Arial"/>
          <w:bCs/>
          <w:sz w:val="26"/>
          <w:szCs w:val="26"/>
        </w:rPr>
        <w:t xml:space="preserve">a la </w:t>
      </w:r>
      <w:r w:rsidRPr="008E2EB7">
        <w:rPr>
          <w:rFonts w:ascii="Arial" w:eastAsia="Calibri" w:hAnsi="Arial" w:cs="Arial"/>
          <w:bCs/>
          <w:sz w:val="26"/>
          <w:szCs w:val="26"/>
        </w:rPr>
        <w:t>Directora Financiera del Instituto Estatal de Educación Pública de Oaxaca</w:t>
      </w:r>
      <w:r w:rsidR="00B83D84" w:rsidRPr="008E2EB7">
        <w:rPr>
          <w:rFonts w:ascii="Arial" w:eastAsia="Calibri" w:hAnsi="Arial" w:cs="Arial"/>
          <w:bCs/>
          <w:sz w:val="26"/>
          <w:szCs w:val="26"/>
        </w:rPr>
        <w:t>, que se encuentra contenidas en autos.</w:t>
      </w:r>
      <w:r w:rsidR="00355D30" w:rsidRPr="008E2EB7">
        <w:rPr>
          <w:rFonts w:ascii="Arial" w:eastAsia="Calibri" w:hAnsi="Arial" w:cs="Arial"/>
          <w:bCs/>
          <w:sz w:val="26"/>
          <w:szCs w:val="26"/>
        </w:rPr>
        <w:t xml:space="preserve"> - - - - - - - - - - - - - - - - - </w:t>
      </w:r>
      <w:r w:rsidR="00153FCE" w:rsidRPr="008E2EB7">
        <w:rPr>
          <w:rFonts w:ascii="Arial" w:eastAsia="Calibri" w:hAnsi="Arial" w:cs="Arial"/>
          <w:bCs/>
          <w:sz w:val="26"/>
          <w:szCs w:val="26"/>
        </w:rPr>
        <w:t>- - - - - - - - - - - -</w:t>
      </w:r>
    </w:p>
    <w:p w14:paraId="2C12BF9E" w14:textId="033905B4" w:rsidR="00B83D84" w:rsidRPr="008E2EB7" w:rsidRDefault="00B83D84" w:rsidP="00706825">
      <w:pPr>
        <w:spacing w:before="240" w:line="360" w:lineRule="auto"/>
        <w:jc w:val="both"/>
        <w:rPr>
          <w:rFonts w:ascii="Arial" w:eastAsia="Calibri" w:hAnsi="Arial" w:cs="Arial"/>
          <w:bCs/>
          <w:sz w:val="26"/>
          <w:szCs w:val="26"/>
        </w:rPr>
      </w:pPr>
      <w:r w:rsidRPr="008E2EB7">
        <w:rPr>
          <w:rFonts w:ascii="Arial" w:eastAsia="Calibri" w:hAnsi="Arial" w:cs="Arial"/>
          <w:bCs/>
          <w:sz w:val="26"/>
          <w:szCs w:val="26"/>
        </w:rPr>
        <w:t xml:space="preserve">   </w:t>
      </w:r>
      <w:r w:rsidR="00462982" w:rsidRPr="008E2EB7">
        <w:rPr>
          <w:rFonts w:ascii="Arial" w:eastAsia="Calibri" w:hAnsi="Arial" w:cs="Arial"/>
          <w:bCs/>
          <w:sz w:val="26"/>
          <w:szCs w:val="26"/>
        </w:rPr>
        <w:t xml:space="preserve">  </w:t>
      </w:r>
      <w:r w:rsidRPr="008E2EB7">
        <w:rPr>
          <w:rFonts w:ascii="Arial" w:eastAsia="Calibri" w:hAnsi="Arial" w:cs="Arial"/>
          <w:bCs/>
          <w:sz w:val="26"/>
          <w:szCs w:val="26"/>
        </w:rPr>
        <w:t>En segundo lugar, señalan que el fondo del asunto consiste en decretar la validez o nulidad de la negativa ficta de las peticiones contenidas en los escritos exhibidos en la Oficialía de Partes del Instituto Estatal de Educación Pública de Oaxaca el seis de marzo de dos mil diecisiete.</w:t>
      </w:r>
      <w:r w:rsidR="00355D30" w:rsidRPr="008E2EB7">
        <w:rPr>
          <w:rFonts w:ascii="Arial" w:eastAsia="Calibri" w:hAnsi="Arial" w:cs="Arial"/>
          <w:bCs/>
          <w:sz w:val="26"/>
          <w:szCs w:val="26"/>
        </w:rPr>
        <w:t xml:space="preserve"> - - - - - - - - - - - - - - - - - - - - - - - - - - - - - - - - - - - - - - - - - - </w:t>
      </w:r>
    </w:p>
    <w:p w14:paraId="7830989E" w14:textId="2B56B718" w:rsidR="00462982" w:rsidRPr="008E2EB7" w:rsidRDefault="00462982" w:rsidP="00706825">
      <w:pPr>
        <w:spacing w:before="240" w:line="360" w:lineRule="auto"/>
        <w:jc w:val="both"/>
        <w:rPr>
          <w:rFonts w:ascii="Arial" w:eastAsia="Calibri" w:hAnsi="Arial" w:cs="Arial"/>
          <w:bCs/>
          <w:sz w:val="26"/>
          <w:szCs w:val="26"/>
        </w:rPr>
      </w:pPr>
      <w:r w:rsidRPr="008E2EB7">
        <w:rPr>
          <w:rFonts w:ascii="Arial" w:eastAsia="Calibri" w:hAnsi="Arial" w:cs="Arial"/>
          <w:bCs/>
          <w:sz w:val="26"/>
          <w:szCs w:val="26"/>
        </w:rPr>
        <w:t xml:space="preserve">   </w:t>
      </w:r>
      <w:r w:rsidR="00045A4E" w:rsidRPr="008E2EB7">
        <w:rPr>
          <w:rFonts w:ascii="Arial" w:eastAsia="Calibri" w:hAnsi="Arial" w:cs="Arial"/>
          <w:bCs/>
          <w:sz w:val="26"/>
          <w:szCs w:val="26"/>
        </w:rPr>
        <w:t xml:space="preserve">  Asimismo</w:t>
      </w:r>
      <w:r w:rsidRPr="008E2EB7">
        <w:rPr>
          <w:rFonts w:ascii="Arial" w:eastAsia="Calibri" w:hAnsi="Arial" w:cs="Arial"/>
          <w:bCs/>
          <w:sz w:val="26"/>
          <w:szCs w:val="26"/>
        </w:rPr>
        <w:t xml:space="preserve">, señalan que </w:t>
      </w:r>
      <w:r w:rsidR="00045A4E" w:rsidRPr="008E2EB7">
        <w:rPr>
          <w:rFonts w:ascii="Arial" w:eastAsia="Calibri" w:hAnsi="Arial" w:cs="Arial"/>
          <w:bCs/>
          <w:sz w:val="26"/>
          <w:szCs w:val="26"/>
        </w:rPr>
        <w:t>resulta</w:t>
      </w:r>
      <w:r w:rsidRPr="008E2EB7">
        <w:rPr>
          <w:rFonts w:ascii="Arial" w:eastAsia="Calibri" w:hAnsi="Arial" w:cs="Arial"/>
          <w:bCs/>
          <w:sz w:val="26"/>
          <w:szCs w:val="26"/>
        </w:rPr>
        <w:t xml:space="preserve"> </w:t>
      </w:r>
      <w:r w:rsidR="00045A4E" w:rsidRPr="008E2EB7">
        <w:rPr>
          <w:rFonts w:ascii="Arial" w:eastAsia="Calibri" w:hAnsi="Arial" w:cs="Arial"/>
          <w:bCs/>
          <w:sz w:val="26"/>
          <w:szCs w:val="26"/>
        </w:rPr>
        <w:t>incongruente</w:t>
      </w:r>
      <w:r w:rsidRPr="008E2EB7">
        <w:rPr>
          <w:rFonts w:ascii="Arial" w:eastAsia="Calibri" w:hAnsi="Arial" w:cs="Arial"/>
          <w:bCs/>
          <w:sz w:val="26"/>
          <w:szCs w:val="26"/>
        </w:rPr>
        <w:t xml:space="preserve">, </w:t>
      </w:r>
      <w:r w:rsidR="00045A4E" w:rsidRPr="008E2EB7">
        <w:rPr>
          <w:rFonts w:ascii="Arial" w:eastAsia="Calibri" w:hAnsi="Arial" w:cs="Arial"/>
          <w:bCs/>
          <w:sz w:val="26"/>
          <w:szCs w:val="26"/>
        </w:rPr>
        <w:t>insuficiente</w:t>
      </w:r>
      <w:r w:rsidRPr="008E2EB7">
        <w:rPr>
          <w:rFonts w:ascii="Arial" w:eastAsia="Calibri" w:hAnsi="Arial" w:cs="Arial"/>
          <w:bCs/>
          <w:sz w:val="26"/>
          <w:szCs w:val="26"/>
        </w:rPr>
        <w:t xml:space="preserve"> e </w:t>
      </w:r>
      <w:r w:rsidR="00045A4E" w:rsidRPr="008E2EB7">
        <w:rPr>
          <w:rFonts w:ascii="Arial" w:eastAsia="Calibri" w:hAnsi="Arial" w:cs="Arial"/>
          <w:bCs/>
          <w:sz w:val="26"/>
          <w:szCs w:val="26"/>
        </w:rPr>
        <w:t>impreciso el</w:t>
      </w:r>
      <w:r w:rsidRPr="008E2EB7">
        <w:rPr>
          <w:rFonts w:ascii="Arial" w:eastAsia="Calibri" w:hAnsi="Arial" w:cs="Arial"/>
          <w:bCs/>
          <w:sz w:val="26"/>
          <w:szCs w:val="26"/>
        </w:rPr>
        <w:t xml:space="preserve"> </w:t>
      </w:r>
      <w:r w:rsidR="00045A4E" w:rsidRPr="008E2EB7">
        <w:rPr>
          <w:rFonts w:ascii="Arial" w:eastAsia="Calibri" w:hAnsi="Arial" w:cs="Arial"/>
          <w:bCs/>
          <w:sz w:val="26"/>
          <w:szCs w:val="26"/>
        </w:rPr>
        <w:t>considerando</w:t>
      </w:r>
      <w:r w:rsidRPr="008E2EB7">
        <w:rPr>
          <w:rFonts w:ascii="Arial" w:eastAsia="Calibri" w:hAnsi="Arial" w:cs="Arial"/>
          <w:bCs/>
          <w:sz w:val="26"/>
          <w:szCs w:val="26"/>
        </w:rPr>
        <w:t xml:space="preserve"> tercero de la </w:t>
      </w:r>
      <w:r w:rsidR="00045A4E" w:rsidRPr="008E2EB7">
        <w:rPr>
          <w:rFonts w:ascii="Arial" w:eastAsia="Calibri" w:hAnsi="Arial" w:cs="Arial"/>
          <w:bCs/>
          <w:sz w:val="26"/>
          <w:szCs w:val="26"/>
        </w:rPr>
        <w:t xml:space="preserve">sentencia impugnada, ya que no acudieron a este Tribunal a demandar el cumplimiento de un contrato de carácter administrativo, civil o mercantil, toda vez que no existe ningún vínculo contractual entre la empresa que representan y el Instituto Estatal de Educación de Oaxaca; aunado que su </w:t>
      </w:r>
      <w:r w:rsidR="00153FCE" w:rsidRPr="008E2EB7">
        <w:rPr>
          <w:rFonts w:ascii="Arial" w:eastAsia="Calibri" w:hAnsi="Arial" w:cs="Arial"/>
          <w:bCs/>
          <w:sz w:val="26"/>
          <w:szCs w:val="26"/>
        </w:rPr>
        <w:t>re</w:t>
      </w:r>
      <w:r w:rsidR="00C3760F" w:rsidRPr="008E2EB7">
        <w:rPr>
          <w:rFonts w:ascii="Arial" w:eastAsia="Calibri" w:hAnsi="Arial" w:cs="Arial"/>
          <w:bCs/>
          <w:sz w:val="26"/>
          <w:szCs w:val="26"/>
        </w:rPr>
        <w:t>presentada</w:t>
      </w:r>
      <w:r w:rsidR="00045A4E" w:rsidRPr="008E2EB7">
        <w:rPr>
          <w:rFonts w:ascii="Arial" w:eastAsia="Calibri" w:hAnsi="Arial" w:cs="Arial"/>
          <w:bCs/>
          <w:sz w:val="26"/>
          <w:szCs w:val="26"/>
        </w:rPr>
        <w:t xml:space="preserve"> no firmó un contrato que se encuentre regulado por el derecho civil o mercantil, </w:t>
      </w:r>
      <w:r w:rsidR="00C3760F" w:rsidRPr="008E2EB7">
        <w:rPr>
          <w:rFonts w:ascii="Arial" w:eastAsia="Calibri" w:hAnsi="Arial" w:cs="Arial"/>
          <w:bCs/>
          <w:sz w:val="26"/>
          <w:szCs w:val="26"/>
        </w:rPr>
        <w:t xml:space="preserve">por lo que no </w:t>
      </w:r>
      <w:r w:rsidR="00C3760F" w:rsidRPr="008E2EB7">
        <w:rPr>
          <w:rFonts w:ascii="Arial" w:eastAsia="Calibri" w:hAnsi="Arial" w:cs="Arial"/>
          <w:bCs/>
          <w:sz w:val="26"/>
          <w:szCs w:val="26"/>
        </w:rPr>
        <w:lastRenderedPageBreak/>
        <w:t>existe una relación jurídica de coordinación entre la parte actora y la demandada.</w:t>
      </w:r>
      <w:r w:rsidR="00355D30" w:rsidRPr="008E2EB7">
        <w:rPr>
          <w:rFonts w:ascii="Arial" w:eastAsia="Calibri" w:hAnsi="Arial" w:cs="Arial"/>
          <w:bCs/>
          <w:sz w:val="26"/>
          <w:szCs w:val="26"/>
        </w:rPr>
        <w:t xml:space="preserve"> - - - - - - - - - - - - - - - - - - - - - - - - - - - - - - - - - - - - - - - - - - -</w:t>
      </w:r>
    </w:p>
    <w:p w14:paraId="530777BE" w14:textId="53BC3893" w:rsidR="00C06132" w:rsidRPr="008E2EB7" w:rsidRDefault="00C06132" w:rsidP="00706825">
      <w:pPr>
        <w:spacing w:before="240" w:line="360" w:lineRule="auto"/>
        <w:jc w:val="both"/>
        <w:rPr>
          <w:rFonts w:ascii="Arial" w:eastAsia="Calibri" w:hAnsi="Arial" w:cs="Arial"/>
          <w:bCs/>
          <w:sz w:val="26"/>
          <w:szCs w:val="26"/>
        </w:rPr>
      </w:pPr>
      <w:r w:rsidRPr="008E2EB7">
        <w:rPr>
          <w:rFonts w:ascii="Arial" w:eastAsia="Calibri" w:hAnsi="Arial" w:cs="Arial"/>
          <w:bCs/>
          <w:sz w:val="26"/>
          <w:szCs w:val="26"/>
        </w:rPr>
        <w:t xml:space="preserve">        </w:t>
      </w:r>
      <w:r w:rsidR="00C3760F" w:rsidRPr="008E2EB7">
        <w:rPr>
          <w:rFonts w:ascii="Arial" w:eastAsia="Calibri" w:hAnsi="Arial" w:cs="Arial"/>
          <w:bCs/>
          <w:sz w:val="26"/>
          <w:szCs w:val="26"/>
        </w:rPr>
        <w:t xml:space="preserve">También señala que, es incongruente, insuficiente e impreciso, que la juzgadora que dictó la sentencia </w:t>
      </w:r>
      <w:r w:rsidR="00A3527B" w:rsidRPr="008E2EB7">
        <w:rPr>
          <w:rFonts w:ascii="Arial" w:eastAsia="Calibri" w:hAnsi="Arial" w:cs="Arial"/>
          <w:bCs/>
          <w:sz w:val="26"/>
          <w:szCs w:val="26"/>
        </w:rPr>
        <w:t>recurra al término “convenio de facto” para declarar la incompetencia de este tribunal y sobreseer el presente asunto, siendo su obligación la de observar y cumplir con la garantía de legalidad consagrada en el artículo 16 Constitucional, consistente en la adecuación entre los motivos aducidos y las normas aplicables, es decir, que en el caso concreto se configuren las hipótesis normativas.</w:t>
      </w:r>
      <w:r w:rsidR="00355D30" w:rsidRPr="008E2EB7">
        <w:rPr>
          <w:rFonts w:ascii="Arial" w:eastAsia="Calibri" w:hAnsi="Arial" w:cs="Arial"/>
          <w:bCs/>
          <w:sz w:val="26"/>
          <w:szCs w:val="26"/>
        </w:rPr>
        <w:t xml:space="preserve"> - - - - - -</w:t>
      </w:r>
    </w:p>
    <w:p w14:paraId="01C3B8C8" w14:textId="18D4DB52" w:rsidR="00C06132" w:rsidRPr="008E2EB7" w:rsidRDefault="00A3527B" w:rsidP="00706825">
      <w:pPr>
        <w:spacing w:before="240" w:line="360" w:lineRule="auto"/>
        <w:jc w:val="both"/>
        <w:rPr>
          <w:rFonts w:ascii="Arial" w:eastAsia="Calibri" w:hAnsi="Arial" w:cs="Arial"/>
          <w:bCs/>
          <w:sz w:val="26"/>
          <w:szCs w:val="26"/>
        </w:rPr>
      </w:pPr>
      <w:r w:rsidRPr="008E2EB7">
        <w:rPr>
          <w:rFonts w:ascii="Arial" w:eastAsia="Calibri" w:hAnsi="Arial" w:cs="Arial"/>
          <w:bCs/>
          <w:sz w:val="26"/>
          <w:szCs w:val="26"/>
        </w:rPr>
        <w:t xml:space="preserve">   </w:t>
      </w:r>
      <w:r w:rsidR="00A01680" w:rsidRPr="008E2EB7">
        <w:rPr>
          <w:rFonts w:ascii="Arial" w:eastAsia="Calibri" w:hAnsi="Arial" w:cs="Arial"/>
          <w:bCs/>
          <w:sz w:val="26"/>
          <w:szCs w:val="26"/>
        </w:rPr>
        <w:t xml:space="preserve">  </w:t>
      </w:r>
      <w:r w:rsidR="00153FCE" w:rsidRPr="008E2EB7">
        <w:rPr>
          <w:rFonts w:ascii="Arial" w:eastAsia="Calibri" w:hAnsi="Arial" w:cs="Arial"/>
          <w:bCs/>
          <w:sz w:val="26"/>
          <w:szCs w:val="26"/>
        </w:rPr>
        <w:t>L</w:t>
      </w:r>
      <w:r w:rsidRPr="008E2EB7">
        <w:rPr>
          <w:rFonts w:ascii="Arial" w:eastAsia="Calibri" w:hAnsi="Arial" w:cs="Arial"/>
          <w:bCs/>
          <w:sz w:val="26"/>
          <w:szCs w:val="26"/>
        </w:rPr>
        <w:t xml:space="preserve">os recurrentes indican </w:t>
      </w:r>
      <w:r w:rsidR="00153FCE" w:rsidRPr="008E2EB7">
        <w:rPr>
          <w:rFonts w:ascii="Arial" w:eastAsia="Calibri" w:hAnsi="Arial" w:cs="Arial"/>
          <w:bCs/>
          <w:sz w:val="26"/>
          <w:szCs w:val="26"/>
        </w:rPr>
        <w:t xml:space="preserve">también </w:t>
      </w:r>
      <w:r w:rsidRPr="008E2EB7">
        <w:rPr>
          <w:rFonts w:ascii="Arial" w:eastAsia="Calibri" w:hAnsi="Arial" w:cs="Arial"/>
          <w:bCs/>
          <w:sz w:val="26"/>
          <w:szCs w:val="26"/>
        </w:rPr>
        <w:t xml:space="preserve">que existe una relación </w:t>
      </w:r>
      <w:r w:rsidR="00153FCE" w:rsidRPr="008E2EB7">
        <w:rPr>
          <w:rFonts w:ascii="Arial" w:eastAsia="Calibri" w:hAnsi="Arial" w:cs="Arial"/>
          <w:bCs/>
          <w:sz w:val="26"/>
          <w:szCs w:val="26"/>
        </w:rPr>
        <w:t>d</w:t>
      </w:r>
      <w:r w:rsidRPr="008E2EB7">
        <w:rPr>
          <w:rFonts w:ascii="Arial" w:eastAsia="Calibri" w:hAnsi="Arial" w:cs="Arial"/>
          <w:bCs/>
          <w:sz w:val="26"/>
          <w:szCs w:val="26"/>
        </w:rPr>
        <w:t>e supra</w:t>
      </w:r>
      <w:r w:rsidR="00ED173B" w:rsidRPr="008E2EB7">
        <w:rPr>
          <w:rFonts w:ascii="Arial" w:eastAsia="Calibri" w:hAnsi="Arial" w:cs="Arial"/>
          <w:bCs/>
          <w:sz w:val="26"/>
          <w:szCs w:val="26"/>
        </w:rPr>
        <w:t xml:space="preserve"> </w:t>
      </w:r>
      <w:r w:rsidRPr="008E2EB7">
        <w:rPr>
          <w:rFonts w:ascii="Arial" w:eastAsia="Calibri" w:hAnsi="Arial" w:cs="Arial"/>
          <w:bCs/>
          <w:sz w:val="26"/>
          <w:szCs w:val="26"/>
        </w:rPr>
        <w:t>subordinación entre el Instituto Estatal de Educación Pública de Oaxaca con la empresa que representan, al no existir un vínculo regulado por el derecho civil, mercantil o laboral y, que el Instituto Estatal de Educación Pública de Oaxaca como ente del Estado, actúa investido de imperio en sus relaciones frente a los gobernados, emitiendo sus actos unilaterales.</w:t>
      </w:r>
      <w:r w:rsidR="00355D30" w:rsidRPr="008E2EB7">
        <w:rPr>
          <w:rFonts w:ascii="Arial" w:eastAsia="Calibri" w:hAnsi="Arial" w:cs="Arial"/>
          <w:bCs/>
          <w:sz w:val="26"/>
          <w:szCs w:val="26"/>
        </w:rPr>
        <w:t xml:space="preserve"> </w:t>
      </w:r>
    </w:p>
    <w:p w14:paraId="644626C9" w14:textId="75821470" w:rsidR="00426346" w:rsidRPr="008E2EB7" w:rsidRDefault="00426346" w:rsidP="00706825">
      <w:pPr>
        <w:spacing w:before="240" w:line="360" w:lineRule="auto"/>
        <w:jc w:val="both"/>
        <w:rPr>
          <w:rFonts w:ascii="Arial" w:eastAsia="Calibri" w:hAnsi="Arial" w:cs="Arial"/>
          <w:bCs/>
          <w:sz w:val="26"/>
          <w:szCs w:val="26"/>
        </w:rPr>
      </w:pPr>
      <w:r w:rsidRPr="008E2EB7">
        <w:rPr>
          <w:rFonts w:ascii="Arial" w:eastAsia="Calibri" w:hAnsi="Arial" w:cs="Arial"/>
          <w:b/>
          <w:sz w:val="26"/>
          <w:szCs w:val="26"/>
        </w:rPr>
        <w:t xml:space="preserve">     Ahora</w:t>
      </w:r>
      <w:r w:rsidRPr="008E2EB7">
        <w:rPr>
          <w:rFonts w:ascii="Arial" w:eastAsia="Calibri" w:hAnsi="Arial" w:cs="Arial"/>
          <w:bCs/>
          <w:sz w:val="26"/>
          <w:szCs w:val="26"/>
        </w:rPr>
        <w:t xml:space="preserve">, </w:t>
      </w:r>
      <w:r w:rsidR="00A01680" w:rsidRPr="008E2EB7">
        <w:rPr>
          <w:rFonts w:ascii="Arial" w:eastAsia="Calibri" w:hAnsi="Arial" w:cs="Arial"/>
          <w:bCs/>
          <w:sz w:val="26"/>
          <w:szCs w:val="26"/>
        </w:rPr>
        <w:t xml:space="preserve">a </w:t>
      </w:r>
      <w:r w:rsidR="009864FF" w:rsidRPr="008E2EB7">
        <w:rPr>
          <w:rFonts w:ascii="Arial" w:eastAsia="Calibri" w:hAnsi="Arial" w:cs="Arial"/>
          <w:bCs/>
          <w:sz w:val="26"/>
          <w:szCs w:val="26"/>
        </w:rPr>
        <w:t>efecto</w:t>
      </w:r>
      <w:r w:rsidR="00A01680" w:rsidRPr="008E2EB7">
        <w:rPr>
          <w:rFonts w:ascii="Arial" w:eastAsia="Calibri" w:hAnsi="Arial" w:cs="Arial"/>
          <w:bCs/>
          <w:sz w:val="26"/>
          <w:szCs w:val="26"/>
        </w:rPr>
        <w:t xml:space="preserve"> de tener claridad de las </w:t>
      </w:r>
      <w:r w:rsidR="009864FF" w:rsidRPr="008E2EB7">
        <w:rPr>
          <w:rFonts w:ascii="Arial" w:eastAsia="Calibri" w:hAnsi="Arial" w:cs="Arial"/>
          <w:bCs/>
          <w:sz w:val="26"/>
          <w:szCs w:val="26"/>
        </w:rPr>
        <w:t>consideraciones</w:t>
      </w:r>
      <w:r w:rsidR="00A01680" w:rsidRPr="008E2EB7">
        <w:rPr>
          <w:rFonts w:ascii="Arial" w:eastAsia="Calibri" w:hAnsi="Arial" w:cs="Arial"/>
          <w:bCs/>
          <w:sz w:val="26"/>
          <w:szCs w:val="26"/>
        </w:rPr>
        <w:t xml:space="preserve"> vertidas por la Sala de </w:t>
      </w:r>
      <w:r w:rsidR="009864FF" w:rsidRPr="008E2EB7">
        <w:rPr>
          <w:rFonts w:ascii="Arial" w:eastAsia="Calibri" w:hAnsi="Arial" w:cs="Arial"/>
          <w:bCs/>
          <w:sz w:val="26"/>
          <w:szCs w:val="26"/>
        </w:rPr>
        <w:t>Primera</w:t>
      </w:r>
      <w:r w:rsidR="00A01680" w:rsidRPr="008E2EB7">
        <w:rPr>
          <w:rFonts w:ascii="Arial" w:eastAsia="Calibri" w:hAnsi="Arial" w:cs="Arial"/>
          <w:bCs/>
          <w:sz w:val="26"/>
          <w:szCs w:val="26"/>
        </w:rPr>
        <w:t xml:space="preserve"> Instancia</w:t>
      </w:r>
      <w:r w:rsidR="009864FF" w:rsidRPr="008E2EB7">
        <w:rPr>
          <w:rFonts w:ascii="Arial" w:eastAsia="Calibri" w:hAnsi="Arial" w:cs="Arial"/>
          <w:bCs/>
          <w:sz w:val="26"/>
          <w:szCs w:val="26"/>
        </w:rPr>
        <w:t xml:space="preserve"> en la sentencia impugnada y, poder analizarlas integralmente con los agravios formulados por los recurrentes,</w:t>
      </w:r>
      <w:r w:rsidR="00A01680" w:rsidRPr="008E2EB7">
        <w:rPr>
          <w:rFonts w:ascii="Arial" w:eastAsia="Calibri" w:hAnsi="Arial" w:cs="Arial"/>
          <w:bCs/>
          <w:sz w:val="26"/>
          <w:szCs w:val="26"/>
        </w:rPr>
        <w:t xml:space="preserve"> </w:t>
      </w:r>
      <w:r w:rsidR="009864FF" w:rsidRPr="008E2EB7">
        <w:rPr>
          <w:rFonts w:ascii="Arial" w:eastAsia="Calibri" w:hAnsi="Arial" w:cs="Arial"/>
          <w:bCs/>
          <w:sz w:val="26"/>
          <w:szCs w:val="26"/>
        </w:rPr>
        <w:t xml:space="preserve">se hace transcripción de su parte </w:t>
      </w:r>
      <w:r w:rsidR="003D012F" w:rsidRPr="008E2EB7">
        <w:rPr>
          <w:rFonts w:ascii="Arial" w:eastAsia="Calibri" w:hAnsi="Arial" w:cs="Arial"/>
          <w:bCs/>
          <w:sz w:val="26"/>
          <w:szCs w:val="26"/>
        </w:rPr>
        <w:t>toral</w:t>
      </w:r>
      <w:r w:rsidRPr="008E2EB7">
        <w:rPr>
          <w:rFonts w:ascii="Arial" w:eastAsia="Calibri" w:hAnsi="Arial" w:cs="Arial"/>
          <w:bCs/>
          <w:sz w:val="26"/>
          <w:szCs w:val="26"/>
        </w:rPr>
        <w:t>, que dice:</w:t>
      </w:r>
      <w:r w:rsidR="00A97FCE">
        <w:rPr>
          <w:rFonts w:ascii="Arial" w:eastAsia="Calibri" w:hAnsi="Arial" w:cs="Arial"/>
          <w:bCs/>
          <w:sz w:val="26"/>
          <w:szCs w:val="26"/>
        </w:rPr>
        <w:t>- - - - - - - -</w:t>
      </w:r>
    </w:p>
    <w:p w14:paraId="1049DEF1" w14:textId="68F5CD61" w:rsidR="00426346" w:rsidRPr="008E2EB7" w:rsidRDefault="00846629" w:rsidP="00426346">
      <w:pPr>
        <w:ind w:left="567" w:right="333"/>
        <w:jc w:val="both"/>
        <w:rPr>
          <w:rFonts w:ascii="Arial" w:hAnsi="Arial" w:cs="Arial"/>
          <w:i/>
          <w:sz w:val="24"/>
          <w:szCs w:val="24"/>
        </w:rPr>
      </w:pPr>
      <w:r w:rsidRPr="008E2EB7">
        <w:rPr>
          <w:rFonts w:ascii="Arial" w:hAnsi="Arial" w:cs="Arial"/>
          <w:b/>
          <w:bCs/>
          <w:iCs/>
          <w:sz w:val="26"/>
          <w:szCs w:val="26"/>
        </w:rPr>
        <w:t xml:space="preserve">  </w:t>
      </w:r>
      <w:r w:rsidR="00855ABB" w:rsidRPr="008E2EB7">
        <w:rPr>
          <w:rFonts w:ascii="Arial" w:hAnsi="Arial" w:cs="Arial"/>
          <w:b/>
          <w:bCs/>
          <w:iCs/>
          <w:sz w:val="26"/>
          <w:szCs w:val="26"/>
        </w:rPr>
        <w:t xml:space="preserve">  </w:t>
      </w:r>
      <w:r w:rsidRPr="008E2EB7">
        <w:rPr>
          <w:rFonts w:ascii="Arial" w:hAnsi="Arial" w:cs="Arial"/>
          <w:b/>
          <w:bCs/>
          <w:iCs/>
          <w:sz w:val="26"/>
          <w:szCs w:val="26"/>
        </w:rPr>
        <w:t xml:space="preserve"> </w:t>
      </w:r>
      <w:r w:rsidR="00426346" w:rsidRPr="008E2EB7">
        <w:rPr>
          <w:rFonts w:ascii="Arial" w:eastAsia="Times New Roman" w:hAnsi="Arial" w:cs="Arial"/>
          <w:bCs/>
          <w:i/>
          <w:iCs/>
          <w:sz w:val="24"/>
          <w:szCs w:val="24"/>
          <w:lang w:eastAsia="es-ES"/>
        </w:rPr>
        <w:t xml:space="preserve">“(…) </w:t>
      </w:r>
      <w:r w:rsidR="00426346" w:rsidRPr="008E2EB7">
        <w:rPr>
          <w:rFonts w:ascii="Arial" w:hAnsi="Arial" w:cs="Arial"/>
          <w:b/>
          <w:i/>
          <w:sz w:val="24"/>
          <w:szCs w:val="24"/>
        </w:rPr>
        <w:t>CONSIDERANDO</w:t>
      </w:r>
      <w:r w:rsidR="00426346" w:rsidRPr="008E2EB7">
        <w:rPr>
          <w:rFonts w:ascii="Arial" w:hAnsi="Arial" w:cs="Arial"/>
          <w:i/>
          <w:sz w:val="24"/>
          <w:szCs w:val="24"/>
        </w:rPr>
        <w:t xml:space="preserve"> (…) </w:t>
      </w:r>
      <w:r w:rsidR="00426346" w:rsidRPr="008E2EB7">
        <w:rPr>
          <w:rFonts w:ascii="Arial" w:hAnsi="Arial" w:cs="Arial"/>
          <w:b/>
          <w:i/>
          <w:sz w:val="24"/>
          <w:szCs w:val="24"/>
        </w:rPr>
        <w:t>TERCERO.</w:t>
      </w:r>
      <w:r w:rsidR="00426346" w:rsidRPr="008E2EB7">
        <w:rPr>
          <w:rFonts w:ascii="Arial" w:hAnsi="Arial" w:cs="Arial"/>
          <w:i/>
          <w:sz w:val="24"/>
          <w:szCs w:val="24"/>
        </w:rPr>
        <w:t xml:space="preserve"> La empresa actora</w:t>
      </w:r>
      <w:r w:rsidR="00A82EC8">
        <w:rPr>
          <w:rFonts w:ascii="Arial" w:hAnsi="Arial" w:cs="Arial"/>
          <w:i/>
          <w:sz w:val="24"/>
          <w:szCs w:val="24"/>
        </w:rPr>
        <w:t xml:space="preserve"> </w:t>
      </w:r>
      <w:r w:rsidR="00A82EC8">
        <w:rPr>
          <w:rFonts w:ascii="Arial" w:hAnsi="Arial" w:cs="Arial"/>
          <w:b/>
          <w:sz w:val="26"/>
          <w:szCs w:val="26"/>
        </w:rPr>
        <w:t>***********</w:t>
      </w:r>
      <w:r w:rsidR="00426346" w:rsidRPr="008E2EB7">
        <w:rPr>
          <w:rFonts w:ascii="Arial" w:hAnsi="Arial" w:cs="Arial"/>
          <w:i/>
          <w:sz w:val="24"/>
          <w:szCs w:val="24"/>
        </w:rPr>
        <w:t>, a través de sus apoderados, demandó ante este tribunal, la negativa ficta respecto de dos requerimientos de cobro presentados al OFICIAL MAYOR Y DIRECTORA FINANCIERA del INSTITUTO ESTATAL DE EDUCACIÓN PÚBLICA DE OAXACA, relativos a un dinero que retuvo ese instituto del producto de materiales educativos adquiridos por maestros en base a un convenio celebrado  por parte de la empresa y la Sección XXII del SINDICATO NACIONAL DE TRABAJADORES DE LA EDUCACIÓN, por la cantidad de</w:t>
      </w:r>
      <w:r w:rsidR="00A82EC8">
        <w:rPr>
          <w:rFonts w:ascii="Arial" w:hAnsi="Arial" w:cs="Arial"/>
          <w:i/>
          <w:sz w:val="24"/>
          <w:szCs w:val="24"/>
        </w:rPr>
        <w:t xml:space="preserve"> </w:t>
      </w:r>
      <w:r w:rsidR="00A82EC8">
        <w:rPr>
          <w:rFonts w:ascii="Arial" w:hAnsi="Arial" w:cs="Arial"/>
          <w:b/>
          <w:sz w:val="26"/>
          <w:szCs w:val="26"/>
        </w:rPr>
        <w:t>***********</w:t>
      </w:r>
      <w:r w:rsidR="00426346" w:rsidRPr="008E2EB7">
        <w:rPr>
          <w:rFonts w:ascii="Arial" w:hAnsi="Arial" w:cs="Arial"/>
          <w:i/>
          <w:sz w:val="24"/>
          <w:szCs w:val="24"/>
        </w:rPr>
        <w:t>.</w:t>
      </w:r>
      <w:r w:rsidR="00A82EC8">
        <w:rPr>
          <w:rFonts w:ascii="Arial" w:hAnsi="Arial" w:cs="Arial"/>
          <w:i/>
          <w:sz w:val="24"/>
          <w:szCs w:val="24"/>
        </w:rPr>
        <w:t xml:space="preserve"> </w:t>
      </w:r>
    </w:p>
    <w:p w14:paraId="7CFA7453" w14:textId="2B64B2E8" w:rsidR="00426346" w:rsidRPr="008E2EB7" w:rsidRDefault="00426346" w:rsidP="00426346">
      <w:pPr>
        <w:ind w:left="567"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 xml:space="preserve">      La parte actora adujo en su escrito inicial de demanda que con fecha 26 veintiséis de octubre de 2009 dos mil nueve, realizó un convenio con la SECCIÓN XXII del SINDICATO NACIONAL DE TRABAJADORES DE LA EDUCACIÓN, representado en esa época por el profesor AZAEL SANTIAGO CHEPI, SECRETARIO GENERAL, con el objeto de que los Trabajadores del Instituto Estatal de Educación Pública de Oaxaca, afiliados a ese sindicato, adquirieran los materiales educativos (libros, material didáctico, educativo y equipo de cómputo) del programa a precios accesibles y sin intereses, otorgándoles facilidades para su liquidación, mediante pagos quincenales que les descontarían automáticamente  del sueldo de los trabajadores, en los términos de la CLÁUSULA SÉPTIMA del citado  convenio. Hacer notar que el Instituto Estatal de Educación de Oaxaca, no participó en el convenio, que únicamente participó como </w:t>
      </w:r>
      <w:r w:rsidRPr="008E2EB7">
        <w:rPr>
          <w:rFonts w:ascii="Arial" w:eastAsia="Times New Roman" w:hAnsi="Arial" w:cs="Arial"/>
          <w:bCs/>
          <w:i/>
          <w:iCs/>
          <w:sz w:val="24"/>
          <w:szCs w:val="24"/>
          <w:lang w:eastAsia="es-ES"/>
        </w:rPr>
        <w:lastRenderedPageBreak/>
        <w:t xml:space="preserve">intermediario entre los trabajadores del Instituto y la empresa. Es decir, la función de aplicar físicamente los descuentos para posteriormente depositarlos vía transferencia bancaria. Que sin embargo, el Instituto retuvo indebidamente el monto de los descuentos quincenales aplicados a los trabajadores por la cantidad de </w:t>
      </w:r>
      <w:r w:rsidR="00A82EC8">
        <w:rPr>
          <w:rFonts w:ascii="Arial" w:hAnsi="Arial" w:cs="Arial"/>
          <w:b/>
          <w:sz w:val="26"/>
          <w:szCs w:val="26"/>
        </w:rPr>
        <w:t xml:space="preserve">***********, </w:t>
      </w:r>
      <w:r w:rsidRPr="008E2EB7">
        <w:rPr>
          <w:rFonts w:ascii="Arial" w:eastAsia="Times New Roman" w:hAnsi="Arial" w:cs="Arial"/>
          <w:bCs/>
          <w:i/>
          <w:iCs/>
          <w:sz w:val="24"/>
          <w:szCs w:val="24"/>
          <w:lang w:eastAsia="es-ES"/>
        </w:rPr>
        <w:t>que corresponde a</w:t>
      </w:r>
      <w:r w:rsidR="00487D41">
        <w:rPr>
          <w:rFonts w:ascii="Arial" w:eastAsia="Times New Roman" w:hAnsi="Arial" w:cs="Arial"/>
          <w:bCs/>
          <w:i/>
          <w:iCs/>
          <w:sz w:val="24"/>
          <w:szCs w:val="24"/>
          <w:lang w:eastAsia="es-ES"/>
        </w:rPr>
        <w:t xml:space="preserve"> </w:t>
      </w:r>
      <w:r w:rsidR="00487D41">
        <w:rPr>
          <w:rFonts w:ascii="Arial" w:hAnsi="Arial" w:cs="Arial"/>
          <w:b/>
          <w:sz w:val="26"/>
          <w:szCs w:val="26"/>
        </w:rPr>
        <w:t>***********</w:t>
      </w:r>
      <w:r w:rsidRPr="008E2EB7">
        <w:rPr>
          <w:rFonts w:ascii="Arial" w:eastAsia="Times New Roman" w:hAnsi="Arial" w:cs="Arial"/>
          <w:bCs/>
          <w:i/>
          <w:iCs/>
          <w:sz w:val="24"/>
          <w:szCs w:val="24"/>
          <w:lang w:eastAsia="es-ES"/>
        </w:rPr>
        <w:t>. En ampliación reitera la solicitud de la negativa ficta de las mencionadas peticiones.</w:t>
      </w:r>
      <w:r w:rsidR="00ED173B" w:rsidRPr="008E2EB7">
        <w:rPr>
          <w:rFonts w:ascii="Arial" w:eastAsia="Times New Roman" w:hAnsi="Arial" w:cs="Arial"/>
          <w:bCs/>
          <w:i/>
          <w:iCs/>
          <w:sz w:val="24"/>
          <w:szCs w:val="24"/>
          <w:lang w:eastAsia="es-ES"/>
        </w:rPr>
        <w:t xml:space="preserve"> - - - - - - - </w:t>
      </w:r>
    </w:p>
    <w:p w14:paraId="2F4D9DDF" w14:textId="5D01644A" w:rsidR="00426346" w:rsidRPr="008E2EB7" w:rsidRDefault="00426346" w:rsidP="00426346">
      <w:pPr>
        <w:ind w:left="567"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 xml:space="preserve">     Obra en autos los escritos de requerimiento de pago presentados 06 seis de marzo de 2017 dos mil diecisiete, suscritos por la parte actora, y dirigidos al Oficial Mayor del instituto </w:t>
      </w:r>
      <w:r w:rsidR="003D012F" w:rsidRPr="008E2EB7">
        <w:rPr>
          <w:rFonts w:ascii="Arial" w:eastAsia="Times New Roman" w:hAnsi="Arial" w:cs="Arial"/>
          <w:bCs/>
          <w:i/>
          <w:iCs/>
          <w:sz w:val="24"/>
          <w:szCs w:val="24"/>
          <w:lang w:eastAsia="es-ES"/>
        </w:rPr>
        <w:t xml:space="preserve">(sic) </w:t>
      </w:r>
      <w:r w:rsidRPr="008E2EB7">
        <w:rPr>
          <w:rFonts w:ascii="Arial" w:eastAsia="Times New Roman" w:hAnsi="Arial" w:cs="Arial"/>
          <w:bCs/>
          <w:i/>
          <w:iCs/>
          <w:sz w:val="24"/>
          <w:szCs w:val="24"/>
          <w:lang w:eastAsia="es-ES"/>
        </w:rPr>
        <w:t>Estatal de Educación Pública de Oaxaca y a su Directora Financiera. Consta también a foja 31 treinta y uno de este sumario copia certificada del oficio fechado el 14 catorce de abril de 2016 dos mil dieciséis, suscrito por el Director Financiero del Instituto Estatal de Educación demandado por el que comunica  a la Gerente General de la empresa actora de este juicio, la remisión de una transferencia bancaria por concepto de los descuentos quincenales realizados a dos trabajadores, correspondientes a las quincenas 17 diecisiete a la 24 veinticuatro de 2014 dos mil catorce y anexa el comprobante de la operación.</w:t>
      </w:r>
      <w:r w:rsidR="00ED173B" w:rsidRPr="008E2EB7">
        <w:rPr>
          <w:rFonts w:ascii="Arial" w:eastAsia="Times New Roman" w:hAnsi="Arial" w:cs="Arial"/>
          <w:bCs/>
          <w:i/>
          <w:iCs/>
          <w:sz w:val="24"/>
          <w:szCs w:val="24"/>
          <w:lang w:eastAsia="es-ES"/>
        </w:rPr>
        <w:t xml:space="preserve"> - - - - - - - - - - - - - - - - - - - - - - - - - - - - - - - - - - - - - - - - - - </w:t>
      </w:r>
    </w:p>
    <w:p w14:paraId="4FAE4875" w14:textId="1B8BFDB8" w:rsidR="00426346" w:rsidRPr="008E2EB7" w:rsidRDefault="00426346" w:rsidP="00426346">
      <w:pPr>
        <w:ind w:left="567"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 xml:space="preserve">      En su contestación la autoridad demandada, argumenta que la parte actora no acredita fehacientemente el origen de la obligación para el requerimiento de pago que se le hace con alguna documental que acredite su consentimiento o pacto, o que fuese, producto de una licitación. Que incluso la parte actora reconoce que le Instituto Estatal de Educación, no suscribió el convenio del Sindicato, que no es una  relación de supra a subordinación, sino de coordinación; es decir, en un mismo plano de igualdad  al tratarse de un acuerdo de voluntades, lo cual debe dirimirse en otros procedimientos ordinarios (civil, mercantil, laboral, etc) que resuelven controversias asuntos (sic) entre particulares y no un juicio contencioso administrativo que implica una situación distinta de autoridad a particular.</w:t>
      </w:r>
      <w:r w:rsidR="00ED173B" w:rsidRPr="008E2EB7">
        <w:rPr>
          <w:rFonts w:ascii="Arial" w:eastAsia="Times New Roman" w:hAnsi="Arial" w:cs="Arial"/>
          <w:bCs/>
          <w:i/>
          <w:iCs/>
          <w:sz w:val="24"/>
          <w:szCs w:val="24"/>
          <w:lang w:eastAsia="es-ES"/>
        </w:rPr>
        <w:t xml:space="preserve"> - - - - - - - - - - - - - - - - - - - </w:t>
      </w:r>
    </w:p>
    <w:p w14:paraId="6C1E7F2D" w14:textId="31FF39C0" w:rsidR="00426346" w:rsidRPr="008E2EB7" w:rsidRDefault="00426346" w:rsidP="00426346">
      <w:pPr>
        <w:ind w:left="567" w:right="333"/>
        <w:jc w:val="both"/>
        <w:rPr>
          <w:rFonts w:ascii="Arial" w:eastAsia="Times New Roman" w:hAnsi="Arial" w:cs="Arial"/>
          <w:bCs/>
          <w:i/>
          <w:iCs/>
          <w:sz w:val="24"/>
          <w:szCs w:val="24"/>
          <w:lang w:eastAsia="es-ES"/>
        </w:rPr>
      </w:pPr>
      <w:r w:rsidRPr="008E2EB7">
        <w:rPr>
          <w:rFonts w:ascii="Arial" w:hAnsi="Arial" w:cs="Arial"/>
          <w:bCs/>
          <w:iCs/>
          <w:sz w:val="26"/>
          <w:szCs w:val="26"/>
        </w:rPr>
        <w:t xml:space="preserve">     </w:t>
      </w:r>
      <w:r w:rsidRPr="008E2EB7">
        <w:rPr>
          <w:rFonts w:ascii="Arial" w:eastAsia="Times New Roman" w:hAnsi="Arial" w:cs="Arial"/>
          <w:b/>
          <w:bCs/>
          <w:i/>
          <w:iCs/>
          <w:sz w:val="24"/>
          <w:szCs w:val="24"/>
          <w:lang w:eastAsia="es-ES"/>
        </w:rPr>
        <w:t>Competencia.</w:t>
      </w:r>
      <w:r w:rsidRPr="008E2EB7">
        <w:rPr>
          <w:rFonts w:ascii="Arial" w:eastAsia="Times New Roman" w:hAnsi="Arial" w:cs="Arial"/>
          <w:bCs/>
          <w:i/>
          <w:iCs/>
          <w:sz w:val="24"/>
          <w:szCs w:val="24"/>
          <w:lang w:eastAsia="es-ES"/>
        </w:rPr>
        <w:t xml:space="preserve"> Como es de advertirse, la demandada, cuestiona la competencia de este tribunal para conocer del presente asunto, razón por la que se procede antes que cualquier otro planteamiento si este órgano jurisdiccional es competente o no para conocer del presente asunto. Y Con (sic) fundamento en el artículo 196 fracción V de la Ley de Justicia Administrativa, vigente a la fecha de presentación de la demanda. Esta Sala tiene competencia para conocer y resolver sobre los actos fiscales o administrativos que impliquen una resolución negativa ficta, entendiéndose por ésta, el silencio administrativo de la autoridad, por no contestar dentro de los plazos que la ley o reglamento de la materia fijen, o a falta de dicho plazo, en noventa días naturales. Así que, en este caso, se produjo un silencio administrativo virtud de que a la fecha de presentación de la demanda, la actora no recibió la contestación a su planteamiento en un término mucho mayor a los noventa días. Del 6 seis de marzo de 2017 dos mil diecisiete fecha de recepción de los requerimientos al 29 veintinueve de septiembre de 2017 dos mil diecisiete, más de seis meses. De tal manera que se configura la negativa ficta pero como el fondo de los requerimientos presentados por la actora ante la autoridad demandada, tratan del cumplimiento de una obligación económica </w:t>
      </w:r>
      <w:r w:rsidRPr="008E2EB7">
        <w:rPr>
          <w:rFonts w:ascii="Arial" w:eastAsia="Times New Roman" w:hAnsi="Arial" w:cs="Arial"/>
          <w:bCs/>
          <w:i/>
          <w:iCs/>
          <w:sz w:val="24"/>
          <w:szCs w:val="24"/>
          <w:lang w:eastAsia="es-ES"/>
        </w:rPr>
        <w:lastRenderedPageBreak/>
        <w:t>derivada de un convenio de facto, distinto al contrato administrativo, no es posible entrar al fondo del asunto y resolverlo en situación de la autoridad demandada, que viene a ser el alcance que tiene una nulidad de negativa ficta.</w:t>
      </w:r>
      <w:r w:rsidR="00ED173B" w:rsidRPr="008E2EB7">
        <w:rPr>
          <w:rFonts w:ascii="Arial" w:eastAsia="Times New Roman" w:hAnsi="Arial" w:cs="Arial"/>
          <w:bCs/>
          <w:i/>
          <w:iCs/>
          <w:sz w:val="24"/>
          <w:szCs w:val="24"/>
          <w:lang w:eastAsia="es-ES"/>
        </w:rPr>
        <w:t xml:space="preserve"> - - - - - - - - - - - - - - - - - - - - - - - - - - - - - - - -</w:t>
      </w:r>
    </w:p>
    <w:p w14:paraId="6901D6E8" w14:textId="7F197E28" w:rsidR="00426346" w:rsidRPr="008E2EB7" w:rsidRDefault="00426346" w:rsidP="00426346">
      <w:pPr>
        <w:ind w:left="567"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 xml:space="preserve">       Para la interpretación y cumplimiento de un contrato en el que participa una autoridad administrativa, este tribunal, no puede conocer de contratos de carácter civil o mercantil que también realizan autoridades y que le corresponde al poder judicial. La competencia en materia de contratos, de esta Sala está acotada sólo a contratos administrativos, así que de no ser así, es imposible jurídicamente hablando que éste órgano jurisdiccional, se pronuncie sobre el cumplimiento de un contrato que no sea administrativo. Independientemente de que la actora no expresó un solo concepto de impugnación en contra de la contestación expresa de la que conoció previ</w:t>
      </w:r>
      <w:r w:rsidR="004C6348" w:rsidRPr="008E2EB7">
        <w:rPr>
          <w:rFonts w:ascii="Arial" w:eastAsia="Times New Roman" w:hAnsi="Arial" w:cs="Arial"/>
          <w:bCs/>
          <w:i/>
          <w:iCs/>
          <w:sz w:val="24"/>
          <w:szCs w:val="24"/>
          <w:lang w:eastAsia="es-ES"/>
        </w:rPr>
        <w:t>a</w:t>
      </w:r>
      <w:r w:rsidRPr="008E2EB7">
        <w:rPr>
          <w:rFonts w:ascii="Arial" w:eastAsia="Times New Roman" w:hAnsi="Arial" w:cs="Arial"/>
          <w:bCs/>
          <w:i/>
          <w:iCs/>
          <w:sz w:val="24"/>
          <w:szCs w:val="24"/>
          <w:lang w:eastAsia="es-ES"/>
        </w:rPr>
        <w:t xml:space="preserve"> ampliación de su demanda, visibles a fojas de la 177 ciento setenta y siete a la 180 ciento ochenta del sumario de este juicio, lo que llevaría al sobreseimiento del presente asunto. Pero como se afirmó al no tratarse de un contrato administrativo  como lo indica el mismo numeral 96 ahora fracción IV de la citada ley de justicia administrativa, del cual si tenemos facultades para conocer, es imposible jurídicamente hablando pronunciarnos  sobre la pretensión planteada por la actora, que es la entrega de un dinero retenido en base a un convenio de facto, en el que no se da una relación de supra  a subordinación, sino solamente se trata de una colaboración en la que no hay un acto de autoridad ante el cual se encuentre en situación de subordinación jurídica la empresa actora, por tratarse de un contrato administrativo que es lo que el mismo numeral 96 fracción IV de la citada Ley de Justicia Administrativa, plantea de nuestra competencia. “Las resoluciones que se dicten sobre interpretación y cumplimiento de contratos celebrados con la administración pública”.</w:t>
      </w:r>
    </w:p>
    <w:p w14:paraId="069E8256" w14:textId="1C72947A" w:rsidR="00426346" w:rsidRPr="008E2EB7" w:rsidRDefault="00426346" w:rsidP="00426346">
      <w:pPr>
        <w:ind w:left="567"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 xml:space="preserve">    Conviene aclarar qué es un contrato administrativo que se rige por el derecho público, es muy distinto al contrato privado. Recordemos que de acuerdo a nuestro Código Civil en su artículo 1674, el contrato es un acuerdo de voluntades por el que crean o transfieren derechos y obligaciones, pero tratándose de contratos administrativos para lo cual tenemos competencia en este tribunal, es muy distinto, ya que el contrato administrativo, en el libro de Derecho Administrativo del Doctor  Jorge Fernández Ruiz, lo define como: “…aquellos en lo que participa un ente de carácter público, en el ejercicio de sus funciones públicas, con la observancia de formalidades especiales (licitación, invitación, etc), y posible contenido de cláusulas exorbitantes al del derecho privado y no contrarias al derecho público, destinado a la satisfacción de necesidades de carácter general o interés público o al logro de la utilidad pública, cuyas controversias que se susciten debe ser competencia del órgano jurisdiccional de asuntos administrativos…”</w:t>
      </w:r>
      <w:r w:rsidR="00ED173B" w:rsidRPr="008E2EB7">
        <w:rPr>
          <w:rFonts w:ascii="Arial" w:eastAsia="Times New Roman" w:hAnsi="Arial" w:cs="Arial"/>
          <w:bCs/>
          <w:i/>
          <w:iCs/>
          <w:sz w:val="24"/>
          <w:szCs w:val="24"/>
          <w:lang w:eastAsia="es-ES"/>
        </w:rPr>
        <w:t>. - - - - - - - - - - - - - - - - - - - - - - - - - - - - - - - - - - - - -</w:t>
      </w:r>
    </w:p>
    <w:p w14:paraId="09FAE0FB" w14:textId="7A745FC9" w:rsidR="00426346" w:rsidRPr="008E2EB7" w:rsidRDefault="00426346" w:rsidP="00426346">
      <w:pPr>
        <w:ind w:left="567"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 xml:space="preserve">      Por otra parte, el mismo Doctor Jorge Fernández Ruiz, señala como características propias de los contratos administrativos: </w:t>
      </w:r>
      <w:r w:rsidR="00D646EC" w:rsidRPr="008E2EB7">
        <w:rPr>
          <w:rFonts w:ascii="Arial" w:eastAsia="Times New Roman" w:hAnsi="Arial" w:cs="Arial"/>
          <w:bCs/>
          <w:i/>
          <w:iCs/>
          <w:sz w:val="24"/>
          <w:szCs w:val="24"/>
          <w:lang w:eastAsia="es-ES"/>
        </w:rPr>
        <w:t xml:space="preserve">               </w:t>
      </w:r>
      <w:r w:rsidRPr="008E2EB7">
        <w:rPr>
          <w:rFonts w:ascii="Arial" w:eastAsia="Times New Roman" w:hAnsi="Arial" w:cs="Arial"/>
          <w:bCs/>
          <w:i/>
          <w:iCs/>
          <w:sz w:val="24"/>
          <w:szCs w:val="24"/>
          <w:lang w:eastAsia="es-ES"/>
        </w:rPr>
        <w:t xml:space="preserve">1. Juricidad, 2. Bilateral, 3. Desigualdad de condiciones entre las partes, 4. Restricciones a la libertad de las partes, 5. Régimen jurídico exorbitante del derecho privado, además de la licitud en el objeto, que una de las partes sea un ente público con facultades para realizar el </w:t>
      </w:r>
      <w:r w:rsidRPr="008E2EB7">
        <w:rPr>
          <w:rFonts w:ascii="Arial" w:eastAsia="Times New Roman" w:hAnsi="Arial" w:cs="Arial"/>
          <w:bCs/>
          <w:i/>
          <w:iCs/>
          <w:sz w:val="24"/>
          <w:szCs w:val="24"/>
          <w:lang w:eastAsia="es-ES"/>
        </w:rPr>
        <w:lastRenderedPageBreak/>
        <w:t>objeto, formalidad, procedimiento de licitación, que su finalidad sea de utilidad o interés público.</w:t>
      </w:r>
      <w:r w:rsidR="00ED173B" w:rsidRPr="008E2EB7">
        <w:rPr>
          <w:rFonts w:ascii="Arial" w:eastAsia="Times New Roman" w:hAnsi="Arial" w:cs="Arial"/>
          <w:bCs/>
          <w:i/>
          <w:iCs/>
          <w:sz w:val="24"/>
          <w:szCs w:val="24"/>
          <w:lang w:eastAsia="es-ES"/>
        </w:rPr>
        <w:t xml:space="preserve"> - - - - - - - - - - - - - - - - - - - - - - - - - - - - - - - -</w:t>
      </w:r>
    </w:p>
    <w:p w14:paraId="7895B873" w14:textId="77777777" w:rsidR="00426346" w:rsidRPr="008E2EB7" w:rsidRDefault="00426346" w:rsidP="00426346">
      <w:pPr>
        <w:pStyle w:val="Prrafodelista"/>
        <w:numPr>
          <w:ilvl w:val="0"/>
          <w:numId w:val="13"/>
        </w:numPr>
        <w:ind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La juridicidad, se refiere a que el acto jurídico está normado en una ley o reglamento de derecho público.</w:t>
      </w:r>
    </w:p>
    <w:p w14:paraId="22D2079E" w14:textId="77777777" w:rsidR="00426346" w:rsidRPr="008E2EB7" w:rsidRDefault="00426346" w:rsidP="00426346">
      <w:pPr>
        <w:pStyle w:val="Prrafodelista"/>
        <w:numPr>
          <w:ilvl w:val="0"/>
          <w:numId w:val="13"/>
        </w:numPr>
        <w:ind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Bilateral o sinalagmático, en cuanto a las obligaciones mutuas, reciprocas, o sea el carácter de acreedor y deudor entre sí.</w:t>
      </w:r>
    </w:p>
    <w:p w14:paraId="6E7B0B57" w14:textId="77777777" w:rsidR="00426346" w:rsidRPr="008E2EB7" w:rsidRDefault="00426346" w:rsidP="00426346">
      <w:pPr>
        <w:pStyle w:val="Prrafodelista"/>
        <w:numPr>
          <w:ilvl w:val="0"/>
          <w:numId w:val="13"/>
        </w:numPr>
        <w:ind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Desigualdad de condiciones de las partes, (puede reservarse la autoridad el derecho de rescindir unilateralmente o hacer modificaciones al contrato.</w:t>
      </w:r>
    </w:p>
    <w:p w14:paraId="016F0BBC" w14:textId="220D2246" w:rsidR="00426346" w:rsidRPr="008E2EB7" w:rsidRDefault="00426346" w:rsidP="00426346">
      <w:pPr>
        <w:pStyle w:val="Prrafodelista"/>
        <w:numPr>
          <w:ilvl w:val="0"/>
          <w:numId w:val="13"/>
        </w:numPr>
        <w:ind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Restricciones a su libertad del ente público a contratar, solo puede contratar lo relativo a las funciones que la ley le tiene encomendadas. Y las restricciones para el cocontratante, corresponden a que no puede pactar cualquier cosa, porque el contrato lleva las cláusulas que el ente público impone.</w:t>
      </w:r>
    </w:p>
    <w:p w14:paraId="1C21D9FB" w14:textId="5D8BA957" w:rsidR="00426346" w:rsidRPr="008E2EB7" w:rsidRDefault="00426346" w:rsidP="00426346">
      <w:pPr>
        <w:pStyle w:val="Prrafodelista"/>
        <w:numPr>
          <w:ilvl w:val="0"/>
          <w:numId w:val="13"/>
        </w:numPr>
        <w:ind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Normas exorbitantes a las del derecho privado, debido a que adecuan el cumplimiento de la finalidad pública del contrato, sí que cosas que son inadmisibles o impensables para el derecho privado, el contrato administrativo es posible incluir.</w:t>
      </w:r>
    </w:p>
    <w:p w14:paraId="59B42BE1" w14:textId="77777777" w:rsidR="00426346" w:rsidRPr="008E2EB7" w:rsidRDefault="00426346" w:rsidP="00426346">
      <w:pPr>
        <w:pStyle w:val="Prrafodelista"/>
        <w:numPr>
          <w:ilvl w:val="0"/>
          <w:numId w:val="13"/>
        </w:numPr>
        <w:ind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Procedimiento de licitación o invitación.</w:t>
      </w:r>
    </w:p>
    <w:p w14:paraId="700436D5" w14:textId="352D1F8F" w:rsidR="00426346" w:rsidRPr="008E2EB7" w:rsidRDefault="00426346" w:rsidP="00426346">
      <w:pPr>
        <w:pStyle w:val="Prrafodelista"/>
        <w:numPr>
          <w:ilvl w:val="0"/>
          <w:numId w:val="13"/>
        </w:numPr>
        <w:ind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El objeto del contrato encaminado a la satisfacción de una causa o interés público.</w:t>
      </w:r>
      <w:r w:rsidR="00ED173B" w:rsidRPr="008E2EB7">
        <w:rPr>
          <w:rFonts w:ascii="Arial" w:eastAsia="Times New Roman" w:hAnsi="Arial" w:cs="Arial"/>
          <w:bCs/>
          <w:i/>
          <w:iCs/>
          <w:sz w:val="24"/>
          <w:szCs w:val="24"/>
          <w:lang w:eastAsia="es-ES"/>
        </w:rPr>
        <w:t xml:space="preserve"> - - - - - - - - - - - - - - - - - - - - - - - - - - - -</w:t>
      </w:r>
    </w:p>
    <w:p w14:paraId="6CB874AC" w14:textId="77777777" w:rsidR="00426346" w:rsidRPr="008E2EB7" w:rsidRDefault="00426346" w:rsidP="00426346">
      <w:pPr>
        <w:ind w:left="897"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 Invoca criterio jurisprudencial</w:t>
      </w:r>
    </w:p>
    <w:p w14:paraId="7B60EEE1" w14:textId="77777777" w:rsidR="00426346" w:rsidRPr="008E2EB7" w:rsidRDefault="00426346" w:rsidP="00426346">
      <w:pPr>
        <w:ind w:left="567" w:right="333"/>
        <w:jc w:val="both"/>
        <w:rPr>
          <w:rFonts w:ascii="Calibri Light" w:hAnsi="Calibri Light" w:cs="Arial"/>
          <w:i/>
          <w:sz w:val="24"/>
          <w:szCs w:val="24"/>
        </w:rPr>
      </w:pPr>
      <w:r w:rsidRPr="008E2EB7">
        <w:rPr>
          <w:rFonts w:ascii="Calibri Light" w:eastAsia="Times New Roman" w:hAnsi="Calibri Light" w:cs="Arial"/>
          <w:bCs/>
          <w:i/>
          <w:iCs/>
          <w:sz w:val="24"/>
          <w:szCs w:val="24"/>
          <w:lang w:eastAsia="es-ES"/>
        </w:rPr>
        <w:t>“</w:t>
      </w:r>
      <w:r w:rsidRPr="008E2EB7">
        <w:rPr>
          <w:rFonts w:ascii="Calibri Light" w:eastAsia="Times New Roman" w:hAnsi="Calibri Light" w:cs="Arial"/>
          <w:b/>
          <w:bCs/>
          <w:i/>
          <w:iCs/>
          <w:sz w:val="24"/>
          <w:szCs w:val="24"/>
          <w:lang w:eastAsia="es-ES"/>
        </w:rPr>
        <w:t>CONTRATOS ADMINISTRATIVOS. SE DISTINGUEN POR SU FINALIDAD DE ORDEN PÚBLICO Y POR EL RÉGIMEN EXORBITANTE DEL DERECHO CIVIL A QUE ESTÁN SUJETOS.</w:t>
      </w:r>
      <w:r w:rsidRPr="008E2EB7">
        <w:rPr>
          <w:rFonts w:ascii="Calibri Light" w:hAnsi="Calibri Light" w:cs="Arial"/>
          <w:i/>
          <w:sz w:val="24"/>
          <w:szCs w:val="24"/>
        </w:rPr>
        <w:t xml:space="preserve">  (…)</w:t>
      </w:r>
    </w:p>
    <w:p w14:paraId="50B92C71" w14:textId="27843AA6" w:rsidR="00426346" w:rsidRPr="008E2EB7" w:rsidRDefault="00426346" w:rsidP="00426346">
      <w:pPr>
        <w:ind w:left="567"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 xml:space="preserve">    Y en el presente caso, no se da </w:t>
      </w:r>
      <w:r w:rsidR="00ED4C7F" w:rsidRPr="008E2EB7">
        <w:rPr>
          <w:rFonts w:ascii="Arial" w:eastAsia="Times New Roman" w:hAnsi="Arial" w:cs="Arial"/>
          <w:bCs/>
          <w:i/>
          <w:iCs/>
          <w:sz w:val="24"/>
          <w:szCs w:val="24"/>
          <w:lang w:eastAsia="es-ES"/>
        </w:rPr>
        <w:t xml:space="preserve">ningún </w:t>
      </w:r>
      <w:r w:rsidRPr="008E2EB7">
        <w:rPr>
          <w:rFonts w:ascii="Arial" w:eastAsia="Times New Roman" w:hAnsi="Arial" w:cs="Arial"/>
          <w:bCs/>
          <w:i/>
          <w:iCs/>
          <w:sz w:val="24"/>
          <w:szCs w:val="24"/>
          <w:lang w:eastAsia="es-ES"/>
        </w:rPr>
        <w:t>a de las características del contrato administrativo, mucho menos la causa de utilidad pública en su objeto, destinado a satisfacer necesidades colectivas que aseguren el funcionamiento regular y continuo del servicio público, ni el consentimiento a través de un proceso de licitación. Por el contrario descontarle a los trabajadores de la educación sus adeudos en la adquisición de materiales educativos adquiridos por ellos de forma particular, viene asegurar una cobranza privada que no está dentro de las funciones del Instituto Estatal de Educación menos dentro de las facultades del Oficial Mayor y Director Financiero aquí demandados. Se desconoce incluso si cada uno de los maestros dieron su consentimiento para que les descontaran de su sueldo, para lo cual se requiere del consentimiento individual pues el convenio del Sindicato con la empresa comercializadora no puede tener tal alcance.</w:t>
      </w:r>
      <w:r w:rsidR="00ED173B" w:rsidRPr="008E2EB7">
        <w:rPr>
          <w:rFonts w:ascii="Arial" w:eastAsia="Times New Roman" w:hAnsi="Arial" w:cs="Arial"/>
          <w:bCs/>
          <w:i/>
          <w:iCs/>
          <w:sz w:val="24"/>
          <w:szCs w:val="24"/>
          <w:lang w:eastAsia="es-ES"/>
        </w:rPr>
        <w:t xml:space="preserve"> - - - - - - - - - - - - - - - - - - - - - - - - - - - - - - - - - - - - - - - - - - - -</w:t>
      </w:r>
    </w:p>
    <w:p w14:paraId="6AEACAE2" w14:textId="4CC6C122" w:rsidR="00426346" w:rsidRPr="008E2EB7" w:rsidRDefault="00426346" w:rsidP="00426346">
      <w:pPr>
        <w:ind w:left="567"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 xml:space="preserve">     Tales conceptos, no se ubican en la hipótesis de un contrato administrativo, que si es de nuestra competencia conocer y que en esos casos la contraparte se encentra en un estado de subordinación jurídica ya sea prevista en el contrato o en la ley, lo que en el caso no sucede.</w:t>
      </w:r>
      <w:r w:rsidR="00ED173B" w:rsidRPr="008E2EB7">
        <w:rPr>
          <w:rFonts w:ascii="Arial" w:eastAsia="Times New Roman" w:hAnsi="Arial" w:cs="Arial"/>
          <w:bCs/>
          <w:i/>
          <w:iCs/>
          <w:sz w:val="24"/>
          <w:szCs w:val="24"/>
          <w:lang w:eastAsia="es-ES"/>
        </w:rPr>
        <w:t xml:space="preserve"> - - - - - - - - - - - - - - - - - - - - - - - - - - - - - - - - - - - - - - - - - - - - </w:t>
      </w:r>
    </w:p>
    <w:p w14:paraId="4C762627" w14:textId="1F33BC72" w:rsidR="00426346" w:rsidRPr="00437E33" w:rsidRDefault="00426346" w:rsidP="00426346">
      <w:pPr>
        <w:ind w:left="567" w:right="333"/>
        <w:jc w:val="both"/>
        <w:rPr>
          <w:rFonts w:ascii="Arial" w:eastAsia="Times New Roman" w:hAnsi="Arial" w:cs="Arial"/>
          <w:bCs/>
          <w:i/>
          <w:iCs/>
          <w:sz w:val="24"/>
          <w:szCs w:val="24"/>
          <w:lang w:eastAsia="es-ES"/>
        </w:rPr>
      </w:pPr>
      <w:r w:rsidRPr="00437E33">
        <w:rPr>
          <w:rFonts w:ascii="Arial" w:eastAsia="Times New Roman" w:hAnsi="Arial" w:cs="Arial"/>
          <w:bCs/>
          <w:i/>
          <w:iCs/>
          <w:sz w:val="24"/>
          <w:szCs w:val="24"/>
          <w:lang w:eastAsia="es-ES"/>
        </w:rPr>
        <w:t>(</w:t>
      </w:r>
      <w:r w:rsidR="003E32DB" w:rsidRPr="00437E33">
        <w:rPr>
          <w:rFonts w:ascii="Arial" w:eastAsia="Times New Roman" w:hAnsi="Arial" w:cs="Arial"/>
          <w:bCs/>
          <w:i/>
          <w:iCs/>
          <w:sz w:val="24"/>
          <w:szCs w:val="24"/>
          <w:lang w:eastAsia="es-ES"/>
        </w:rPr>
        <w:t>…) Invoca</w:t>
      </w:r>
      <w:r w:rsidRPr="00437E33">
        <w:rPr>
          <w:rFonts w:ascii="Arial" w:eastAsia="Times New Roman" w:hAnsi="Arial" w:cs="Arial"/>
          <w:bCs/>
          <w:i/>
          <w:iCs/>
          <w:sz w:val="24"/>
          <w:szCs w:val="24"/>
          <w:lang w:eastAsia="es-ES"/>
        </w:rPr>
        <w:t xml:space="preserve"> criterio jurisprudencial</w:t>
      </w:r>
    </w:p>
    <w:p w14:paraId="6BA28F4A" w14:textId="1ED12E11" w:rsidR="00426346" w:rsidRPr="00437E33" w:rsidRDefault="00426346" w:rsidP="00426346">
      <w:pPr>
        <w:ind w:left="567" w:right="333"/>
        <w:jc w:val="both"/>
        <w:rPr>
          <w:rFonts w:ascii="Arial" w:eastAsia="Times New Roman" w:hAnsi="Arial" w:cs="Arial"/>
          <w:b/>
          <w:bCs/>
          <w:i/>
          <w:iCs/>
          <w:sz w:val="24"/>
          <w:szCs w:val="24"/>
          <w:lang w:eastAsia="es-ES"/>
        </w:rPr>
      </w:pPr>
      <w:r w:rsidRPr="00437E33">
        <w:rPr>
          <w:rFonts w:ascii="Arial" w:eastAsia="Times New Roman" w:hAnsi="Arial" w:cs="Arial"/>
          <w:b/>
          <w:bCs/>
          <w:i/>
          <w:iCs/>
          <w:sz w:val="24"/>
          <w:szCs w:val="24"/>
          <w:lang w:eastAsia="es-ES"/>
        </w:rPr>
        <w:t xml:space="preserve">“RESCISIÓN ADMINISTRATIVA DE CONTRATOS DE OBRAS PÚBLICAS Y SERVICIOS RELACIONADOS CON LAS MISMAS, Y DE ADQUISICIONES, ARRENDAMIENTOS Y SERVICIOS DEL </w:t>
      </w:r>
      <w:r w:rsidRPr="00437E33">
        <w:rPr>
          <w:rFonts w:ascii="Arial" w:eastAsia="Times New Roman" w:hAnsi="Arial" w:cs="Arial"/>
          <w:b/>
          <w:bCs/>
          <w:i/>
          <w:iCs/>
          <w:sz w:val="24"/>
          <w:szCs w:val="24"/>
          <w:lang w:eastAsia="es-ES"/>
        </w:rPr>
        <w:lastRenderedPageBreak/>
        <w:t>SECTOR PÚBLICO, DECRETADA POR LAS DEPENDENCIAS Y ENTIDADES DE LA ADMINISTRACIÓN PÚBLICA FEDERAL. ES IMPUGNABLE EN EL JUICIO CONTENCIOSO ADMINISTRATIVO ANTE EL TRIBUNAL FEDERAL DE JUSTICIA FISCAL Y ADMINISTRATIVA”. (…)</w:t>
      </w:r>
    </w:p>
    <w:p w14:paraId="56600404" w14:textId="77777777" w:rsidR="00426346" w:rsidRPr="00437E33" w:rsidRDefault="00426346" w:rsidP="00426346">
      <w:pPr>
        <w:ind w:left="567" w:right="333"/>
        <w:jc w:val="both"/>
        <w:rPr>
          <w:rFonts w:ascii="Arial" w:eastAsia="Times New Roman" w:hAnsi="Arial" w:cs="Arial"/>
          <w:bCs/>
          <w:i/>
          <w:iCs/>
          <w:sz w:val="24"/>
          <w:szCs w:val="24"/>
          <w:lang w:eastAsia="es-ES"/>
        </w:rPr>
      </w:pPr>
      <w:r w:rsidRPr="00437E33">
        <w:rPr>
          <w:rFonts w:ascii="Arial" w:eastAsia="Times New Roman" w:hAnsi="Arial" w:cs="Arial"/>
          <w:b/>
          <w:bCs/>
          <w:i/>
          <w:iCs/>
          <w:sz w:val="24"/>
          <w:szCs w:val="24"/>
          <w:lang w:eastAsia="es-ES"/>
        </w:rPr>
        <w:t xml:space="preserve"> </w:t>
      </w:r>
      <w:r w:rsidRPr="00437E33">
        <w:rPr>
          <w:rFonts w:ascii="Arial" w:eastAsia="Times New Roman" w:hAnsi="Arial" w:cs="Arial"/>
          <w:bCs/>
          <w:i/>
          <w:iCs/>
          <w:sz w:val="24"/>
          <w:szCs w:val="24"/>
          <w:lang w:eastAsia="es-ES"/>
        </w:rPr>
        <w:t>(…) Invoca criterio jurisprudencial.</w:t>
      </w:r>
    </w:p>
    <w:p w14:paraId="3C86EA4A" w14:textId="77777777" w:rsidR="00426346" w:rsidRPr="00437E33" w:rsidRDefault="00426346" w:rsidP="00426346">
      <w:pPr>
        <w:ind w:left="567" w:right="333"/>
        <w:jc w:val="both"/>
        <w:rPr>
          <w:rFonts w:ascii="Arial" w:eastAsia="Times New Roman" w:hAnsi="Arial" w:cs="Arial"/>
          <w:bCs/>
          <w:i/>
          <w:iCs/>
          <w:sz w:val="24"/>
          <w:szCs w:val="24"/>
          <w:lang w:eastAsia="es-ES"/>
        </w:rPr>
      </w:pPr>
      <w:r w:rsidRPr="00437E33">
        <w:rPr>
          <w:rFonts w:ascii="Arial" w:eastAsia="Times New Roman" w:hAnsi="Arial" w:cs="Arial"/>
          <w:b/>
          <w:bCs/>
          <w:i/>
          <w:iCs/>
          <w:sz w:val="24"/>
          <w:szCs w:val="24"/>
          <w:lang w:eastAsia="es-ES"/>
        </w:rPr>
        <w:t xml:space="preserve">“CONTRATOS DE OBRA PÚBLICA. COMPETE AL TRIBUNAL FEDERAL DE JUSTICIA FISCAL Y ADMINISTRATIVA RESOLVER SOBRE SU INTERPRETACIÓN Y CUMPLIMIENTO, CUANDO LOS CELEBREN ENTIDADES FEDERATIVAS O MUNICIPIOS, CON CARGO A RECURSOS FEDERALES.” </w:t>
      </w:r>
      <w:r w:rsidRPr="00437E33">
        <w:rPr>
          <w:rFonts w:ascii="Arial" w:eastAsia="Times New Roman" w:hAnsi="Arial" w:cs="Arial"/>
          <w:bCs/>
          <w:i/>
          <w:iCs/>
          <w:sz w:val="24"/>
          <w:szCs w:val="24"/>
          <w:lang w:eastAsia="es-ES"/>
        </w:rPr>
        <w:t>(…)</w:t>
      </w:r>
    </w:p>
    <w:p w14:paraId="1ED6F4BF" w14:textId="028237A2" w:rsidR="00426346" w:rsidRPr="00437E33" w:rsidRDefault="00426346" w:rsidP="00426346">
      <w:pPr>
        <w:ind w:left="567" w:right="333"/>
        <w:jc w:val="both"/>
        <w:rPr>
          <w:rFonts w:ascii="Arial" w:eastAsia="Times New Roman" w:hAnsi="Arial" w:cs="Arial"/>
          <w:bCs/>
          <w:i/>
          <w:iCs/>
          <w:sz w:val="24"/>
          <w:szCs w:val="24"/>
          <w:lang w:eastAsia="es-ES"/>
        </w:rPr>
      </w:pPr>
      <w:r w:rsidRPr="00437E33">
        <w:rPr>
          <w:rFonts w:ascii="Arial" w:eastAsia="Times New Roman" w:hAnsi="Arial" w:cs="Arial"/>
          <w:b/>
          <w:bCs/>
          <w:i/>
          <w:iCs/>
          <w:sz w:val="24"/>
          <w:szCs w:val="24"/>
          <w:lang w:eastAsia="es-ES"/>
        </w:rPr>
        <w:t xml:space="preserve">      </w:t>
      </w:r>
      <w:r w:rsidRPr="00437E33">
        <w:rPr>
          <w:rFonts w:ascii="Arial" w:eastAsia="Times New Roman" w:hAnsi="Arial" w:cs="Arial"/>
          <w:bCs/>
          <w:i/>
          <w:iCs/>
          <w:sz w:val="24"/>
          <w:szCs w:val="24"/>
          <w:lang w:eastAsia="es-ES"/>
        </w:rPr>
        <w:t>Razón por la que no tenemos facultades para ordenar el pago que pretende la empresa actora. Esto con fundamento en el artículo 96 fracción IV de la Ley de Justicia Administrativa para el Estado, por no tratarse de una negativa ficta relativa a un contrato administrativo, ya que el asunto aquí planteado es la negativa ficta de un convenio de facto de carácter privado.</w:t>
      </w:r>
      <w:r w:rsidR="00ED173B" w:rsidRPr="00437E33">
        <w:rPr>
          <w:rFonts w:ascii="Arial" w:eastAsia="Times New Roman" w:hAnsi="Arial" w:cs="Arial"/>
          <w:bCs/>
          <w:i/>
          <w:iCs/>
          <w:sz w:val="24"/>
          <w:szCs w:val="24"/>
          <w:lang w:eastAsia="es-ES"/>
        </w:rPr>
        <w:t xml:space="preserve"> - - - - - - - - - - - - - - - - - - - - - - - - - - - - - - - -</w:t>
      </w:r>
    </w:p>
    <w:p w14:paraId="37781163" w14:textId="7563EB1C" w:rsidR="00426346" w:rsidRPr="00437E33" w:rsidRDefault="00426346" w:rsidP="00426346">
      <w:pPr>
        <w:ind w:left="567" w:right="333"/>
        <w:jc w:val="both"/>
        <w:rPr>
          <w:rFonts w:ascii="Arial" w:eastAsia="Times New Roman" w:hAnsi="Arial" w:cs="Arial"/>
          <w:bCs/>
          <w:i/>
          <w:iCs/>
          <w:sz w:val="24"/>
          <w:szCs w:val="24"/>
          <w:lang w:eastAsia="es-ES"/>
        </w:rPr>
      </w:pPr>
      <w:r w:rsidRPr="00437E33">
        <w:rPr>
          <w:rFonts w:ascii="Arial" w:eastAsia="Times New Roman" w:hAnsi="Arial" w:cs="Arial"/>
          <w:bCs/>
          <w:i/>
          <w:iCs/>
          <w:sz w:val="24"/>
          <w:szCs w:val="24"/>
          <w:lang w:eastAsia="es-ES"/>
        </w:rPr>
        <w:t xml:space="preserve">      Por las antelatadas razones jurídicas y con fundamento en los artículos 96 fracción IV en relación con el 131 fracción X y 132 fracción VI de la Ley de Justicia Administrativa para el Estado, (norma aplicable al inicio del presente juicio) se decreta la incompetencia de este tribunal para conocer del presente asunto y consecuentemente </w:t>
      </w:r>
      <w:r w:rsidRPr="00437E33">
        <w:rPr>
          <w:rFonts w:ascii="Arial" w:eastAsia="Times New Roman" w:hAnsi="Arial" w:cs="Arial"/>
          <w:b/>
          <w:bCs/>
          <w:i/>
          <w:iCs/>
          <w:sz w:val="24"/>
          <w:szCs w:val="24"/>
          <w:lang w:eastAsia="es-ES"/>
        </w:rPr>
        <w:t>SE SOBRESEE</w:t>
      </w:r>
      <w:r w:rsidRPr="00437E33">
        <w:rPr>
          <w:rFonts w:ascii="Arial" w:eastAsia="Times New Roman" w:hAnsi="Arial" w:cs="Arial"/>
          <w:bCs/>
          <w:i/>
          <w:iCs/>
          <w:sz w:val="24"/>
          <w:szCs w:val="24"/>
          <w:lang w:eastAsia="es-ES"/>
        </w:rPr>
        <w:t xml:space="preserve"> este juicio.</w:t>
      </w:r>
      <w:r w:rsidR="00ED173B" w:rsidRPr="00437E33">
        <w:rPr>
          <w:rFonts w:ascii="Arial" w:eastAsia="Times New Roman" w:hAnsi="Arial" w:cs="Arial"/>
          <w:bCs/>
          <w:i/>
          <w:iCs/>
          <w:sz w:val="24"/>
          <w:szCs w:val="24"/>
          <w:lang w:eastAsia="es-ES"/>
        </w:rPr>
        <w:t xml:space="preserve"> - - - - - - - - - - - - - - - - - - - - - - - - - - - - - -</w:t>
      </w:r>
    </w:p>
    <w:p w14:paraId="5D54C174" w14:textId="3D28B67F" w:rsidR="00426346" w:rsidRPr="008E2EB7" w:rsidRDefault="00426346" w:rsidP="00426346">
      <w:pPr>
        <w:ind w:left="567" w:right="333"/>
        <w:jc w:val="both"/>
        <w:rPr>
          <w:rFonts w:ascii="Arial" w:eastAsia="Times New Roman" w:hAnsi="Arial" w:cs="Arial"/>
          <w:bCs/>
          <w:i/>
          <w:iCs/>
          <w:sz w:val="24"/>
          <w:szCs w:val="24"/>
          <w:lang w:eastAsia="es-ES"/>
        </w:rPr>
      </w:pPr>
      <w:r w:rsidRPr="008E2EB7">
        <w:rPr>
          <w:rFonts w:ascii="Arial" w:eastAsia="Times New Roman" w:hAnsi="Arial" w:cs="Arial"/>
          <w:bCs/>
          <w:i/>
          <w:iCs/>
          <w:sz w:val="24"/>
          <w:szCs w:val="24"/>
          <w:lang w:eastAsia="es-ES"/>
        </w:rPr>
        <w:t xml:space="preserve">(…).” </w:t>
      </w:r>
    </w:p>
    <w:p w14:paraId="33C0DC0F" w14:textId="71EECC12" w:rsidR="00426346" w:rsidRPr="008E2EB7" w:rsidRDefault="00426346" w:rsidP="00846629">
      <w:pPr>
        <w:spacing w:after="0" w:line="360" w:lineRule="auto"/>
        <w:jc w:val="both"/>
        <w:rPr>
          <w:rFonts w:ascii="Arial" w:hAnsi="Arial" w:cs="Arial"/>
          <w:bCs/>
          <w:iCs/>
          <w:sz w:val="26"/>
          <w:szCs w:val="26"/>
        </w:rPr>
      </w:pPr>
      <w:r w:rsidRPr="008E2EB7">
        <w:rPr>
          <w:rFonts w:ascii="Arial" w:hAnsi="Arial" w:cs="Arial"/>
          <w:b/>
          <w:bCs/>
          <w:iCs/>
          <w:sz w:val="26"/>
          <w:szCs w:val="26"/>
        </w:rPr>
        <w:t xml:space="preserve">     </w:t>
      </w:r>
      <w:r w:rsidR="00005ADD" w:rsidRPr="008E2EB7">
        <w:rPr>
          <w:rFonts w:ascii="Arial" w:hAnsi="Arial" w:cs="Arial"/>
          <w:b/>
          <w:bCs/>
          <w:iCs/>
          <w:sz w:val="26"/>
          <w:szCs w:val="26"/>
        </w:rPr>
        <w:t xml:space="preserve"> C</w:t>
      </w:r>
      <w:r w:rsidR="00324E7A" w:rsidRPr="008E2EB7">
        <w:rPr>
          <w:rFonts w:ascii="Arial" w:hAnsi="Arial" w:cs="Arial"/>
          <w:b/>
          <w:bCs/>
          <w:iCs/>
          <w:sz w:val="26"/>
          <w:szCs w:val="26"/>
        </w:rPr>
        <w:t xml:space="preserve">UARTO. </w:t>
      </w:r>
      <w:r w:rsidRPr="008E2EB7">
        <w:rPr>
          <w:rFonts w:ascii="Arial" w:hAnsi="Arial" w:cs="Arial"/>
          <w:iCs/>
          <w:sz w:val="26"/>
          <w:szCs w:val="26"/>
        </w:rPr>
        <w:t>D</w:t>
      </w:r>
      <w:r w:rsidR="00855ABB" w:rsidRPr="008E2EB7">
        <w:rPr>
          <w:rFonts w:ascii="Arial" w:hAnsi="Arial" w:cs="Arial"/>
          <w:bCs/>
          <w:iCs/>
          <w:sz w:val="26"/>
          <w:szCs w:val="26"/>
        </w:rPr>
        <w:t>el estudio integral de los argumentos vertidos por los recurrentes</w:t>
      </w:r>
      <w:r w:rsidR="000C5E96" w:rsidRPr="008E2EB7">
        <w:rPr>
          <w:rFonts w:ascii="Arial" w:hAnsi="Arial" w:cs="Arial"/>
          <w:bCs/>
          <w:iCs/>
          <w:sz w:val="26"/>
          <w:szCs w:val="26"/>
        </w:rPr>
        <w:t>, así como de</w:t>
      </w:r>
      <w:r w:rsidR="00855ABB" w:rsidRPr="008E2EB7">
        <w:rPr>
          <w:rFonts w:ascii="Arial" w:hAnsi="Arial" w:cs="Arial"/>
          <w:bCs/>
          <w:iCs/>
          <w:sz w:val="26"/>
          <w:szCs w:val="26"/>
        </w:rPr>
        <w:t xml:space="preserve"> las consideraciones realizadas </w:t>
      </w:r>
      <w:r w:rsidR="00AE4BBE" w:rsidRPr="008E2EB7">
        <w:rPr>
          <w:rFonts w:ascii="Arial" w:hAnsi="Arial" w:cs="Arial"/>
          <w:bCs/>
          <w:iCs/>
          <w:sz w:val="26"/>
          <w:szCs w:val="26"/>
        </w:rPr>
        <w:t xml:space="preserve">por la </w:t>
      </w:r>
      <w:r w:rsidR="00C94FC4" w:rsidRPr="008E2EB7">
        <w:rPr>
          <w:rFonts w:ascii="Arial" w:hAnsi="Arial" w:cs="Arial"/>
          <w:bCs/>
          <w:iCs/>
          <w:sz w:val="26"/>
          <w:szCs w:val="26"/>
        </w:rPr>
        <w:t>magistrada</w:t>
      </w:r>
      <w:r w:rsidR="00AE4BBE" w:rsidRPr="008E2EB7">
        <w:rPr>
          <w:rFonts w:ascii="Arial" w:hAnsi="Arial" w:cs="Arial"/>
          <w:bCs/>
          <w:iCs/>
          <w:sz w:val="26"/>
          <w:szCs w:val="26"/>
        </w:rPr>
        <w:t xml:space="preserve"> de primera instancia </w:t>
      </w:r>
      <w:r w:rsidR="00855ABB" w:rsidRPr="008E2EB7">
        <w:rPr>
          <w:rFonts w:ascii="Arial" w:hAnsi="Arial" w:cs="Arial"/>
          <w:bCs/>
          <w:iCs/>
          <w:sz w:val="26"/>
          <w:szCs w:val="26"/>
        </w:rPr>
        <w:t xml:space="preserve">en la resolución </w:t>
      </w:r>
      <w:r w:rsidRPr="008E2EB7">
        <w:rPr>
          <w:rFonts w:ascii="Arial" w:hAnsi="Arial" w:cs="Arial"/>
          <w:bCs/>
          <w:iCs/>
          <w:sz w:val="26"/>
          <w:szCs w:val="26"/>
        </w:rPr>
        <w:t>transcrita</w:t>
      </w:r>
      <w:r w:rsidR="005D2BB3" w:rsidRPr="008E2EB7">
        <w:rPr>
          <w:rFonts w:ascii="Arial" w:hAnsi="Arial" w:cs="Arial"/>
          <w:bCs/>
          <w:iCs/>
          <w:sz w:val="26"/>
          <w:szCs w:val="26"/>
        </w:rPr>
        <w:t xml:space="preserve">; </w:t>
      </w:r>
      <w:r w:rsidR="00AE4BBE" w:rsidRPr="008E2EB7">
        <w:rPr>
          <w:rFonts w:ascii="Arial" w:hAnsi="Arial" w:cs="Arial"/>
          <w:bCs/>
          <w:iCs/>
          <w:sz w:val="26"/>
          <w:szCs w:val="26"/>
        </w:rPr>
        <w:t>constancias</w:t>
      </w:r>
      <w:r w:rsidR="00C94FC4" w:rsidRPr="008E2EB7">
        <w:rPr>
          <w:rFonts w:ascii="Arial" w:hAnsi="Arial" w:cs="Arial"/>
          <w:bCs/>
          <w:iCs/>
          <w:sz w:val="26"/>
          <w:szCs w:val="26"/>
        </w:rPr>
        <w:t xml:space="preserve"> que obran en el expediente de nulidad de origen,</w:t>
      </w:r>
      <w:r w:rsidR="00AE4BBE" w:rsidRPr="008E2EB7">
        <w:rPr>
          <w:rFonts w:ascii="Arial" w:hAnsi="Arial" w:cs="Arial"/>
          <w:bCs/>
          <w:iCs/>
          <w:sz w:val="26"/>
          <w:szCs w:val="26"/>
        </w:rPr>
        <w:t xml:space="preserve"> que tienen valor probatorio pleno al tratarse de actuaciones contenidas en documentos públicos, de conformidad en la fracción I, del artículo 173 de la Ley de Justicia Administrativa para el Estado de Oaxaca,</w:t>
      </w:r>
      <w:r w:rsidR="00AE4BBE" w:rsidRPr="008E2EB7">
        <w:rPr>
          <w:rFonts w:ascii="Arial" w:hAnsi="Arial" w:cs="Arial"/>
          <w:b/>
          <w:bCs/>
          <w:iCs/>
          <w:sz w:val="26"/>
          <w:szCs w:val="26"/>
        </w:rPr>
        <w:t xml:space="preserve"> esta Sala Superior declara sustancialmente fund</w:t>
      </w:r>
      <w:r w:rsidR="00A75B0F" w:rsidRPr="008E2EB7">
        <w:rPr>
          <w:rFonts w:ascii="Arial" w:hAnsi="Arial" w:cs="Arial"/>
          <w:b/>
          <w:bCs/>
          <w:iCs/>
          <w:sz w:val="26"/>
          <w:szCs w:val="26"/>
        </w:rPr>
        <w:t>ado</w:t>
      </w:r>
      <w:r w:rsidR="00AE4BBE" w:rsidRPr="008E2EB7">
        <w:rPr>
          <w:rFonts w:ascii="Arial" w:hAnsi="Arial" w:cs="Arial"/>
          <w:b/>
          <w:bCs/>
          <w:iCs/>
          <w:sz w:val="26"/>
          <w:szCs w:val="26"/>
        </w:rPr>
        <w:t xml:space="preserve"> </w:t>
      </w:r>
      <w:r w:rsidR="003E32DB" w:rsidRPr="008E2EB7">
        <w:rPr>
          <w:rFonts w:ascii="Arial" w:hAnsi="Arial" w:cs="Arial"/>
          <w:b/>
          <w:bCs/>
          <w:iCs/>
          <w:sz w:val="26"/>
          <w:szCs w:val="26"/>
        </w:rPr>
        <w:t>el agravio</w:t>
      </w:r>
      <w:r w:rsidR="005D2BB3" w:rsidRPr="008E2EB7">
        <w:rPr>
          <w:rFonts w:ascii="Arial" w:hAnsi="Arial" w:cs="Arial"/>
          <w:b/>
          <w:bCs/>
          <w:iCs/>
          <w:sz w:val="26"/>
          <w:szCs w:val="26"/>
        </w:rPr>
        <w:t xml:space="preserve"> expuesto por los recurrentes</w:t>
      </w:r>
      <w:r w:rsidR="00602EA3" w:rsidRPr="008E2EB7">
        <w:rPr>
          <w:rFonts w:ascii="Arial" w:hAnsi="Arial" w:cs="Arial"/>
          <w:b/>
          <w:bCs/>
          <w:iCs/>
          <w:sz w:val="26"/>
          <w:szCs w:val="26"/>
        </w:rPr>
        <w:t>.</w:t>
      </w:r>
      <w:r w:rsidR="002C5DBF">
        <w:rPr>
          <w:rFonts w:ascii="Arial" w:hAnsi="Arial" w:cs="Arial"/>
          <w:b/>
          <w:bCs/>
          <w:iCs/>
          <w:sz w:val="26"/>
          <w:szCs w:val="26"/>
        </w:rPr>
        <w:t xml:space="preserve">- - - - - - - - - - - - - - - - - - - - - - - - - - - - - - - - - - - - - - - - - - - </w:t>
      </w:r>
    </w:p>
    <w:p w14:paraId="5E913377" w14:textId="4E218394" w:rsidR="00EC4A04" w:rsidRDefault="00AE4BBE" w:rsidP="00EC4A04">
      <w:pPr>
        <w:widowControl w:val="0"/>
        <w:tabs>
          <w:tab w:val="left" w:pos="0"/>
        </w:tabs>
        <w:spacing w:before="240" w:after="0" w:line="360" w:lineRule="auto"/>
        <w:ind w:right="18"/>
        <w:jc w:val="both"/>
        <w:rPr>
          <w:rFonts w:ascii="Arial" w:eastAsia="Calibri" w:hAnsi="Arial" w:cs="Arial"/>
          <w:bCs/>
          <w:sz w:val="26"/>
          <w:szCs w:val="26"/>
        </w:rPr>
      </w:pPr>
      <w:r w:rsidRPr="008E2EB7">
        <w:rPr>
          <w:rFonts w:ascii="Arial" w:hAnsi="Arial" w:cs="Arial"/>
          <w:bCs/>
          <w:iCs/>
          <w:sz w:val="26"/>
          <w:szCs w:val="26"/>
        </w:rPr>
        <w:t xml:space="preserve">   </w:t>
      </w:r>
      <w:r w:rsidR="00FD3098" w:rsidRPr="008E2EB7">
        <w:rPr>
          <w:rFonts w:ascii="Arial" w:hAnsi="Arial" w:cs="Arial"/>
          <w:bCs/>
          <w:iCs/>
          <w:sz w:val="26"/>
          <w:szCs w:val="26"/>
        </w:rPr>
        <w:t xml:space="preserve">  </w:t>
      </w:r>
      <w:r w:rsidR="003E32DB" w:rsidRPr="008E2EB7">
        <w:rPr>
          <w:rFonts w:ascii="Arial" w:hAnsi="Arial" w:cs="Arial"/>
          <w:bCs/>
          <w:iCs/>
          <w:sz w:val="26"/>
          <w:szCs w:val="26"/>
        </w:rPr>
        <w:t>Es así, porque l</w:t>
      </w:r>
      <w:r w:rsidR="000031AD" w:rsidRPr="008E2EB7">
        <w:rPr>
          <w:rFonts w:ascii="Arial" w:hAnsi="Arial" w:cs="Arial"/>
          <w:bCs/>
          <w:iCs/>
          <w:sz w:val="26"/>
          <w:szCs w:val="26"/>
        </w:rPr>
        <w:t>a Sala de Primera Instancia</w:t>
      </w:r>
      <w:r w:rsidR="00A6026D" w:rsidRPr="008E2EB7">
        <w:rPr>
          <w:rFonts w:ascii="Arial" w:hAnsi="Arial" w:cs="Arial"/>
          <w:bCs/>
          <w:iCs/>
          <w:sz w:val="26"/>
          <w:szCs w:val="26"/>
        </w:rPr>
        <w:t xml:space="preserve"> no analizó de fondo las peticiones</w:t>
      </w:r>
      <w:r w:rsidR="008D3B1F" w:rsidRPr="008E2EB7">
        <w:rPr>
          <w:rFonts w:ascii="Arial" w:hAnsi="Arial" w:cs="Arial"/>
          <w:bCs/>
          <w:iCs/>
          <w:sz w:val="26"/>
          <w:szCs w:val="26"/>
        </w:rPr>
        <w:t xml:space="preserve"> </w:t>
      </w:r>
      <w:r w:rsidR="00A6026D" w:rsidRPr="008E2EB7">
        <w:rPr>
          <w:rFonts w:ascii="Arial" w:hAnsi="Arial" w:cs="Arial"/>
          <w:bCs/>
          <w:iCs/>
          <w:sz w:val="26"/>
          <w:szCs w:val="26"/>
        </w:rPr>
        <w:t xml:space="preserve">o escritos </w:t>
      </w:r>
      <w:r w:rsidR="008D3B1F" w:rsidRPr="008E2EB7">
        <w:rPr>
          <w:rFonts w:ascii="Arial" w:hAnsi="Arial" w:cs="Arial"/>
          <w:bCs/>
          <w:iCs/>
          <w:sz w:val="26"/>
          <w:szCs w:val="26"/>
        </w:rPr>
        <w:t xml:space="preserve">presentados ante el Instituto Estatal de </w:t>
      </w:r>
      <w:r w:rsidR="00536296" w:rsidRPr="008E2EB7">
        <w:rPr>
          <w:rFonts w:ascii="Arial" w:hAnsi="Arial" w:cs="Arial"/>
          <w:bCs/>
          <w:iCs/>
          <w:sz w:val="26"/>
          <w:szCs w:val="26"/>
        </w:rPr>
        <w:t>Educación</w:t>
      </w:r>
      <w:r w:rsidR="008D3B1F" w:rsidRPr="008E2EB7">
        <w:rPr>
          <w:rFonts w:ascii="Arial" w:hAnsi="Arial" w:cs="Arial"/>
          <w:bCs/>
          <w:iCs/>
          <w:sz w:val="26"/>
          <w:szCs w:val="26"/>
        </w:rPr>
        <w:t xml:space="preserve"> </w:t>
      </w:r>
      <w:r w:rsidR="00536296" w:rsidRPr="008E2EB7">
        <w:rPr>
          <w:rFonts w:ascii="Arial" w:hAnsi="Arial" w:cs="Arial"/>
          <w:bCs/>
          <w:iCs/>
          <w:sz w:val="26"/>
          <w:szCs w:val="26"/>
        </w:rPr>
        <w:t>Pública</w:t>
      </w:r>
      <w:r w:rsidR="008D3B1F" w:rsidRPr="008E2EB7">
        <w:rPr>
          <w:rFonts w:ascii="Arial" w:hAnsi="Arial" w:cs="Arial"/>
          <w:bCs/>
          <w:iCs/>
          <w:sz w:val="26"/>
          <w:szCs w:val="26"/>
        </w:rPr>
        <w:t xml:space="preserve"> de Oaxaca</w:t>
      </w:r>
      <w:r w:rsidR="00536296" w:rsidRPr="008E2EB7">
        <w:rPr>
          <w:rFonts w:ascii="Arial" w:hAnsi="Arial" w:cs="Arial"/>
          <w:bCs/>
          <w:iCs/>
          <w:sz w:val="26"/>
          <w:szCs w:val="26"/>
        </w:rPr>
        <w:t xml:space="preserve"> con fecha seis de marzo de  dos mil dieci</w:t>
      </w:r>
      <w:r w:rsidR="00A6026D" w:rsidRPr="008E2EB7">
        <w:rPr>
          <w:rFonts w:ascii="Arial" w:hAnsi="Arial" w:cs="Arial"/>
          <w:bCs/>
          <w:iCs/>
          <w:sz w:val="26"/>
          <w:szCs w:val="26"/>
        </w:rPr>
        <w:t>siete</w:t>
      </w:r>
      <w:r w:rsidR="00D960D2" w:rsidRPr="008E2EB7">
        <w:rPr>
          <w:rFonts w:ascii="Arial" w:hAnsi="Arial" w:cs="Arial"/>
          <w:bCs/>
          <w:iCs/>
          <w:sz w:val="26"/>
          <w:szCs w:val="26"/>
        </w:rPr>
        <w:t xml:space="preserve">, </w:t>
      </w:r>
      <w:r w:rsidR="00520B76" w:rsidRPr="008E2EB7">
        <w:rPr>
          <w:rFonts w:ascii="Arial" w:hAnsi="Arial" w:cs="Arial"/>
          <w:bCs/>
          <w:iCs/>
          <w:sz w:val="26"/>
          <w:szCs w:val="26"/>
        </w:rPr>
        <w:t>aun</w:t>
      </w:r>
      <w:r w:rsidR="00D960D2" w:rsidRPr="008E2EB7">
        <w:rPr>
          <w:rFonts w:ascii="Arial" w:hAnsi="Arial" w:cs="Arial"/>
          <w:bCs/>
          <w:iCs/>
          <w:sz w:val="26"/>
          <w:szCs w:val="26"/>
        </w:rPr>
        <w:t xml:space="preserve"> cuand</w:t>
      </w:r>
      <w:r w:rsidR="00B55E25" w:rsidRPr="008E2EB7">
        <w:rPr>
          <w:rFonts w:ascii="Arial" w:hAnsi="Arial" w:cs="Arial"/>
          <w:bCs/>
          <w:iCs/>
          <w:sz w:val="26"/>
          <w:szCs w:val="26"/>
        </w:rPr>
        <w:t>o</w:t>
      </w:r>
      <w:r w:rsidR="00D960D2" w:rsidRPr="008E2EB7">
        <w:rPr>
          <w:rFonts w:ascii="Arial" w:hAnsi="Arial" w:cs="Arial"/>
          <w:bCs/>
          <w:iCs/>
          <w:sz w:val="26"/>
          <w:szCs w:val="26"/>
        </w:rPr>
        <w:t xml:space="preserve"> </w:t>
      </w:r>
      <w:r w:rsidR="001D7955" w:rsidRPr="008E2EB7">
        <w:rPr>
          <w:rFonts w:ascii="Arial" w:hAnsi="Arial" w:cs="Arial"/>
          <w:bCs/>
          <w:iCs/>
          <w:sz w:val="26"/>
          <w:szCs w:val="26"/>
        </w:rPr>
        <w:t xml:space="preserve">señaló que se </w:t>
      </w:r>
      <w:r w:rsidR="00D960D2" w:rsidRPr="008E2EB7">
        <w:rPr>
          <w:rFonts w:ascii="Arial" w:hAnsi="Arial" w:cs="Arial"/>
          <w:bCs/>
          <w:iCs/>
          <w:sz w:val="26"/>
          <w:szCs w:val="26"/>
        </w:rPr>
        <w:t>configur</w:t>
      </w:r>
      <w:r w:rsidR="001D7955" w:rsidRPr="008E2EB7">
        <w:rPr>
          <w:rFonts w:ascii="Arial" w:hAnsi="Arial" w:cs="Arial"/>
          <w:bCs/>
          <w:iCs/>
          <w:sz w:val="26"/>
          <w:szCs w:val="26"/>
        </w:rPr>
        <w:t>aba</w:t>
      </w:r>
      <w:r w:rsidR="00D960D2" w:rsidRPr="008E2EB7">
        <w:rPr>
          <w:rFonts w:ascii="Arial" w:hAnsi="Arial" w:cs="Arial"/>
          <w:bCs/>
          <w:iCs/>
          <w:sz w:val="26"/>
          <w:szCs w:val="26"/>
        </w:rPr>
        <w:t xml:space="preserve"> la negativa ficta</w:t>
      </w:r>
      <w:r w:rsidR="004911A6" w:rsidRPr="008E2EB7">
        <w:rPr>
          <w:rFonts w:ascii="Arial" w:hAnsi="Arial" w:cs="Arial"/>
          <w:bCs/>
          <w:iCs/>
          <w:sz w:val="26"/>
          <w:szCs w:val="26"/>
        </w:rPr>
        <w:t>, sobreseyendo</w:t>
      </w:r>
      <w:r w:rsidR="00A6026D" w:rsidRPr="008E2EB7">
        <w:rPr>
          <w:rFonts w:ascii="Arial" w:hAnsi="Arial" w:cs="Arial"/>
          <w:bCs/>
          <w:iCs/>
          <w:sz w:val="26"/>
          <w:szCs w:val="26"/>
        </w:rPr>
        <w:t xml:space="preserve"> el juicio</w:t>
      </w:r>
      <w:r w:rsidR="00176B2B" w:rsidRPr="008E2EB7">
        <w:rPr>
          <w:rFonts w:ascii="Arial" w:hAnsi="Arial" w:cs="Arial"/>
          <w:bCs/>
          <w:iCs/>
          <w:sz w:val="26"/>
          <w:szCs w:val="26"/>
        </w:rPr>
        <w:t xml:space="preserve"> y</w:t>
      </w:r>
      <w:r w:rsidR="00A6026D" w:rsidRPr="008E2EB7">
        <w:rPr>
          <w:rFonts w:ascii="Arial" w:hAnsi="Arial" w:cs="Arial"/>
          <w:bCs/>
          <w:iCs/>
          <w:sz w:val="26"/>
          <w:szCs w:val="26"/>
        </w:rPr>
        <w:t xml:space="preserve"> argumenta</w:t>
      </w:r>
      <w:r w:rsidR="00386340" w:rsidRPr="008E2EB7">
        <w:rPr>
          <w:rFonts w:ascii="Arial" w:hAnsi="Arial" w:cs="Arial"/>
          <w:bCs/>
          <w:iCs/>
          <w:sz w:val="26"/>
          <w:szCs w:val="26"/>
        </w:rPr>
        <w:t>n</w:t>
      </w:r>
      <w:r w:rsidR="00A6026D" w:rsidRPr="008E2EB7">
        <w:rPr>
          <w:rFonts w:ascii="Arial" w:hAnsi="Arial" w:cs="Arial"/>
          <w:bCs/>
          <w:iCs/>
          <w:sz w:val="26"/>
          <w:szCs w:val="26"/>
        </w:rPr>
        <w:t>do</w:t>
      </w:r>
      <w:r w:rsidR="00FD3098" w:rsidRPr="008E2EB7">
        <w:rPr>
          <w:rFonts w:ascii="Arial" w:hAnsi="Arial" w:cs="Arial"/>
          <w:bCs/>
          <w:iCs/>
          <w:sz w:val="26"/>
          <w:szCs w:val="26"/>
        </w:rPr>
        <w:t xml:space="preserve"> </w:t>
      </w:r>
      <w:r w:rsidR="00536296" w:rsidRPr="008E2EB7">
        <w:rPr>
          <w:rFonts w:ascii="Arial" w:hAnsi="Arial" w:cs="Arial"/>
          <w:bCs/>
          <w:iCs/>
          <w:sz w:val="26"/>
          <w:szCs w:val="26"/>
        </w:rPr>
        <w:t>que había existido</w:t>
      </w:r>
      <w:r w:rsidR="00FD3098" w:rsidRPr="008E2EB7">
        <w:rPr>
          <w:rFonts w:ascii="Arial" w:hAnsi="Arial" w:cs="Arial"/>
          <w:bCs/>
          <w:iCs/>
          <w:sz w:val="26"/>
          <w:szCs w:val="26"/>
        </w:rPr>
        <w:t xml:space="preserve"> un “convenio </w:t>
      </w:r>
      <w:r w:rsidR="00536296" w:rsidRPr="008E2EB7">
        <w:rPr>
          <w:rFonts w:ascii="Arial" w:hAnsi="Arial" w:cs="Arial"/>
          <w:bCs/>
          <w:iCs/>
          <w:sz w:val="26"/>
          <w:szCs w:val="26"/>
        </w:rPr>
        <w:t>de facto”</w:t>
      </w:r>
      <w:r w:rsidR="00A6026D" w:rsidRPr="008E2EB7">
        <w:rPr>
          <w:rFonts w:ascii="Arial" w:hAnsi="Arial" w:cs="Arial"/>
          <w:bCs/>
          <w:iCs/>
          <w:sz w:val="26"/>
          <w:szCs w:val="26"/>
        </w:rPr>
        <w:t xml:space="preserve"> de índole civil</w:t>
      </w:r>
      <w:r w:rsidR="00641554" w:rsidRPr="008E2EB7">
        <w:rPr>
          <w:rFonts w:ascii="Arial" w:hAnsi="Arial" w:cs="Arial"/>
          <w:bCs/>
          <w:iCs/>
          <w:sz w:val="26"/>
          <w:szCs w:val="26"/>
        </w:rPr>
        <w:t>, llevándola a</w:t>
      </w:r>
      <w:r w:rsidR="00536296" w:rsidRPr="008E2EB7">
        <w:rPr>
          <w:rFonts w:ascii="Arial" w:hAnsi="Arial" w:cs="Arial"/>
          <w:bCs/>
          <w:iCs/>
          <w:sz w:val="26"/>
          <w:szCs w:val="26"/>
        </w:rPr>
        <w:t xml:space="preserve"> decretar la </w:t>
      </w:r>
      <w:r w:rsidR="00FD3098" w:rsidRPr="008E2EB7">
        <w:rPr>
          <w:rFonts w:ascii="Arial" w:hAnsi="Arial" w:cs="Arial"/>
          <w:bCs/>
          <w:iCs/>
          <w:sz w:val="26"/>
          <w:szCs w:val="26"/>
        </w:rPr>
        <w:t>incompetencia</w:t>
      </w:r>
      <w:r w:rsidR="00641554" w:rsidRPr="008E2EB7">
        <w:rPr>
          <w:rFonts w:ascii="Arial" w:hAnsi="Arial" w:cs="Arial"/>
          <w:bCs/>
          <w:iCs/>
          <w:sz w:val="26"/>
          <w:szCs w:val="26"/>
        </w:rPr>
        <w:t xml:space="preserve"> del Tribunal para conocer del asunto</w:t>
      </w:r>
      <w:r w:rsidR="00407D34" w:rsidRPr="008E2EB7">
        <w:rPr>
          <w:rFonts w:ascii="Arial" w:hAnsi="Arial" w:cs="Arial"/>
          <w:bCs/>
          <w:iCs/>
          <w:sz w:val="26"/>
          <w:szCs w:val="26"/>
        </w:rPr>
        <w:t>;</w:t>
      </w:r>
      <w:r w:rsidR="00167985" w:rsidRPr="008E2EB7">
        <w:rPr>
          <w:rFonts w:ascii="Arial" w:hAnsi="Arial" w:cs="Arial"/>
          <w:bCs/>
          <w:iCs/>
          <w:sz w:val="26"/>
          <w:szCs w:val="26"/>
        </w:rPr>
        <w:t xml:space="preserve"> incumpliéndose</w:t>
      </w:r>
      <w:r w:rsidR="00407D34" w:rsidRPr="008E2EB7">
        <w:rPr>
          <w:rFonts w:ascii="Arial" w:hAnsi="Arial" w:cs="Arial"/>
          <w:bCs/>
          <w:iCs/>
          <w:sz w:val="26"/>
          <w:szCs w:val="26"/>
        </w:rPr>
        <w:t xml:space="preserve"> con ello lo previsto en</w:t>
      </w:r>
      <w:r w:rsidR="00167985" w:rsidRPr="008E2EB7">
        <w:rPr>
          <w:rFonts w:ascii="Arial" w:eastAsia="Calibri" w:hAnsi="Arial" w:cs="Arial"/>
          <w:bCs/>
          <w:sz w:val="26"/>
          <w:szCs w:val="26"/>
        </w:rPr>
        <w:t xml:space="preserve"> los principios de exhaustividad y congruencia de las sentencias, que se encuentran </w:t>
      </w:r>
      <w:r w:rsidR="00167985" w:rsidRPr="008E2EB7">
        <w:rPr>
          <w:rFonts w:ascii="Arial" w:eastAsia="Calibri" w:hAnsi="Arial" w:cs="Arial"/>
          <w:bCs/>
          <w:sz w:val="26"/>
          <w:szCs w:val="26"/>
        </w:rPr>
        <w:lastRenderedPageBreak/>
        <w:t>inmersos en lo establecido por los artículos 176</w:t>
      </w:r>
      <w:r w:rsidR="00407D34" w:rsidRPr="008E2EB7">
        <w:rPr>
          <w:rStyle w:val="Refdenotaalpie"/>
          <w:rFonts w:ascii="Arial" w:eastAsia="Calibri" w:hAnsi="Arial" w:cs="Arial"/>
          <w:bCs/>
          <w:sz w:val="26"/>
          <w:szCs w:val="26"/>
        </w:rPr>
        <w:footnoteReference w:id="1"/>
      </w:r>
      <w:r w:rsidR="00167985" w:rsidRPr="008E2EB7">
        <w:rPr>
          <w:rFonts w:ascii="Arial" w:eastAsia="Calibri" w:hAnsi="Arial" w:cs="Arial"/>
          <w:bCs/>
          <w:sz w:val="26"/>
          <w:szCs w:val="26"/>
        </w:rPr>
        <w:t xml:space="preserve"> y 177</w:t>
      </w:r>
      <w:r w:rsidR="00407D34" w:rsidRPr="008E2EB7">
        <w:rPr>
          <w:rStyle w:val="Refdenotaalpie"/>
          <w:rFonts w:ascii="Arial" w:eastAsia="Calibri" w:hAnsi="Arial" w:cs="Arial"/>
          <w:bCs/>
          <w:sz w:val="26"/>
          <w:szCs w:val="26"/>
        </w:rPr>
        <w:footnoteReference w:id="2"/>
      </w:r>
      <w:r w:rsidR="00167985" w:rsidRPr="008E2EB7">
        <w:rPr>
          <w:rFonts w:ascii="Arial" w:eastAsia="Calibri" w:hAnsi="Arial" w:cs="Arial"/>
          <w:bCs/>
          <w:sz w:val="26"/>
          <w:szCs w:val="26"/>
        </w:rPr>
        <w:t xml:space="preserve"> de la Ley de Justicia Administrativa para el Estado de Oaxaca.</w:t>
      </w:r>
      <w:r w:rsidR="00EC4A04" w:rsidRPr="008E2EB7">
        <w:rPr>
          <w:rFonts w:ascii="Arial" w:eastAsia="Calibri" w:hAnsi="Arial" w:cs="Arial"/>
          <w:bCs/>
          <w:sz w:val="26"/>
          <w:szCs w:val="26"/>
        </w:rPr>
        <w:t xml:space="preserve"> - - - - - - - - - </w:t>
      </w:r>
      <w:r w:rsidR="001B2976" w:rsidRPr="008E2EB7">
        <w:rPr>
          <w:rFonts w:ascii="Arial" w:eastAsia="Calibri" w:hAnsi="Arial" w:cs="Arial"/>
          <w:bCs/>
          <w:sz w:val="26"/>
          <w:szCs w:val="26"/>
        </w:rPr>
        <w:t>- - - - - - -</w:t>
      </w:r>
    </w:p>
    <w:p w14:paraId="76C1A7AB" w14:textId="77777777" w:rsidR="00404719" w:rsidRPr="008E2EB7" w:rsidRDefault="00404719" w:rsidP="00404719">
      <w:pPr>
        <w:pStyle w:val="Sinespaciado"/>
        <w:rPr>
          <w:rFonts w:eastAsia="Calibri"/>
        </w:rPr>
      </w:pPr>
    </w:p>
    <w:p w14:paraId="1E3E0913" w14:textId="283B3548" w:rsidR="00025D88" w:rsidRDefault="00FD3098" w:rsidP="00E631FE">
      <w:pPr>
        <w:spacing w:after="0" w:line="360" w:lineRule="auto"/>
        <w:jc w:val="both"/>
        <w:rPr>
          <w:rFonts w:ascii="Arial" w:hAnsi="Arial" w:cs="Arial"/>
          <w:bCs/>
          <w:iCs/>
          <w:sz w:val="26"/>
          <w:szCs w:val="26"/>
        </w:rPr>
      </w:pPr>
      <w:r w:rsidRPr="008E2EB7">
        <w:rPr>
          <w:rFonts w:ascii="Arial" w:hAnsi="Arial" w:cs="Arial"/>
          <w:bCs/>
          <w:iCs/>
          <w:sz w:val="26"/>
          <w:szCs w:val="26"/>
        </w:rPr>
        <w:t xml:space="preserve">   </w:t>
      </w:r>
      <w:r w:rsidR="000031AD" w:rsidRPr="008E2EB7">
        <w:rPr>
          <w:rFonts w:ascii="Arial" w:hAnsi="Arial" w:cs="Arial"/>
          <w:bCs/>
          <w:iCs/>
          <w:sz w:val="26"/>
          <w:szCs w:val="26"/>
        </w:rPr>
        <w:t xml:space="preserve">  </w:t>
      </w:r>
      <w:r w:rsidRPr="008E2EB7">
        <w:rPr>
          <w:rFonts w:ascii="Arial" w:hAnsi="Arial" w:cs="Arial"/>
          <w:bCs/>
          <w:iCs/>
          <w:sz w:val="26"/>
          <w:szCs w:val="26"/>
        </w:rPr>
        <w:t xml:space="preserve"> Por </w:t>
      </w:r>
      <w:r w:rsidR="003A6B49" w:rsidRPr="008E2EB7">
        <w:rPr>
          <w:rFonts w:ascii="Arial" w:hAnsi="Arial" w:cs="Arial"/>
          <w:bCs/>
          <w:iCs/>
          <w:sz w:val="26"/>
          <w:szCs w:val="26"/>
        </w:rPr>
        <w:t>lo anterior</w:t>
      </w:r>
      <w:r w:rsidRPr="008E2EB7">
        <w:rPr>
          <w:rFonts w:ascii="Arial" w:hAnsi="Arial" w:cs="Arial"/>
          <w:bCs/>
          <w:iCs/>
          <w:sz w:val="26"/>
          <w:szCs w:val="26"/>
        </w:rPr>
        <w:t xml:space="preserve">, es necesario precisar que, </w:t>
      </w:r>
      <w:r w:rsidR="00E35E25" w:rsidRPr="008E2EB7">
        <w:rPr>
          <w:rFonts w:ascii="Arial" w:hAnsi="Arial" w:cs="Arial"/>
          <w:bCs/>
          <w:iCs/>
          <w:sz w:val="26"/>
          <w:szCs w:val="26"/>
        </w:rPr>
        <w:t>uno de los propósitos esenciales de la configuración de la negativa ficta se refiere a la determinación de la problemática sobre lo que versará el juicio contencioso administrativo, no puede referirse a otra cosa, sino a la materia de fondo de lo pretendido expresamente por el particular y lo negado fictamente por la autoridad, con el objeto de garantizar al particular la definición de su petición y una protección más eficaz respecto de los problemas controvertidos a pesar del silencio de la autoridad.</w:t>
      </w:r>
      <w:r w:rsidR="00D960D2" w:rsidRPr="008E2EB7">
        <w:rPr>
          <w:rFonts w:ascii="Arial" w:hAnsi="Arial" w:cs="Arial"/>
          <w:bCs/>
          <w:iCs/>
          <w:sz w:val="26"/>
          <w:szCs w:val="26"/>
        </w:rPr>
        <w:t xml:space="preserve"> </w:t>
      </w:r>
      <w:r w:rsidR="00CD4C55" w:rsidRPr="008E2EB7">
        <w:rPr>
          <w:rFonts w:ascii="Arial" w:hAnsi="Arial" w:cs="Arial"/>
          <w:bCs/>
          <w:iCs/>
          <w:sz w:val="26"/>
          <w:szCs w:val="26"/>
        </w:rPr>
        <w:t xml:space="preserve">- - - - - - - - - - - - - - - </w:t>
      </w:r>
      <w:r w:rsidR="003A6B49" w:rsidRPr="008E2EB7">
        <w:rPr>
          <w:rFonts w:ascii="Arial" w:hAnsi="Arial" w:cs="Arial"/>
          <w:bCs/>
          <w:iCs/>
          <w:sz w:val="26"/>
          <w:szCs w:val="26"/>
        </w:rPr>
        <w:t>- - - - - - - - - - - - - - - - - - - - - - - - - - - - - -</w:t>
      </w:r>
    </w:p>
    <w:p w14:paraId="0277C1C8" w14:textId="77777777" w:rsidR="00D60D7A" w:rsidRPr="008E2EB7" w:rsidRDefault="00D60D7A" w:rsidP="00D60D7A">
      <w:pPr>
        <w:pStyle w:val="Sinespaciado"/>
      </w:pPr>
    </w:p>
    <w:p w14:paraId="1E0A623E" w14:textId="54CAF55D" w:rsidR="00A614F1" w:rsidRPr="008E2EB7" w:rsidRDefault="00107437" w:rsidP="00A614F1">
      <w:pPr>
        <w:spacing w:after="0" w:line="360" w:lineRule="auto"/>
        <w:jc w:val="both"/>
        <w:rPr>
          <w:rFonts w:ascii="Arial" w:hAnsi="Arial" w:cs="Arial"/>
          <w:bCs/>
          <w:iCs/>
          <w:sz w:val="26"/>
          <w:szCs w:val="26"/>
        </w:rPr>
      </w:pPr>
      <w:r w:rsidRPr="008E2EB7">
        <w:rPr>
          <w:rFonts w:ascii="Arial" w:eastAsia="Calibri" w:hAnsi="Arial" w:cs="Arial"/>
          <w:bCs/>
          <w:sz w:val="26"/>
          <w:szCs w:val="26"/>
        </w:rPr>
        <w:t xml:space="preserve">  </w:t>
      </w:r>
      <w:r w:rsidR="00025D88" w:rsidRPr="008E2EB7">
        <w:rPr>
          <w:rFonts w:ascii="Arial" w:eastAsia="Calibri" w:hAnsi="Arial" w:cs="Arial"/>
          <w:bCs/>
          <w:sz w:val="26"/>
          <w:szCs w:val="26"/>
        </w:rPr>
        <w:t xml:space="preserve">   </w:t>
      </w:r>
      <w:r w:rsidR="00A614F1" w:rsidRPr="008E2EB7">
        <w:rPr>
          <w:rFonts w:ascii="Arial" w:hAnsi="Arial" w:cs="Arial"/>
          <w:bCs/>
          <w:iCs/>
          <w:sz w:val="26"/>
          <w:szCs w:val="26"/>
        </w:rPr>
        <w:t xml:space="preserve">     Sirven de apoyo a lo anterior, por analogía</w:t>
      </w:r>
      <w:r w:rsidR="00A614F1" w:rsidRPr="008E2EB7">
        <w:rPr>
          <w:rFonts w:ascii="Arial" w:eastAsia="Calibri" w:hAnsi="Arial" w:cs="Arial"/>
          <w:bCs/>
          <w:sz w:val="26"/>
          <w:szCs w:val="26"/>
        </w:rPr>
        <w:t xml:space="preserve"> el criterio jurisprudencial 2a./J. 215/2007 emitida por la Segunda Sala de la Suprema Corte de Justicia de la Nación, correspondiente a la Novena Época, publicada en el Semanario Judicial de la Federación y su Gaceta, Tomo XXVI, diciembre de 2007, visible a página 208, de rubro y texto siguiente:</w:t>
      </w:r>
      <w:r w:rsidR="00782DE8" w:rsidRPr="00782DE8">
        <w:rPr>
          <w:rFonts w:ascii="Arial" w:hAnsi="Arial" w:cs="Arial"/>
          <w:bCs/>
          <w:iCs/>
          <w:sz w:val="26"/>
          <w:szCs w:val="26"/>
        </w:rPr>
        <w:t xml:space="preserve"> </w:t>
      </w:r>
      <w:r w:rsidR="00782DE8" w:rsidRPr="008E2EB7">
        <w:rPr>
          <w:rFonts w:ascii="Arial" w:hAnsi="Arial" w:cs="Arial"/>
          <w:bCs/>
          <w:iCs/>
          <w:sz w:val="26"/>
          <w:szCs w:val="26"/>
        </w:rPr>
        <w:t>- - - - - - - - - - - - - - - - - - - - - - - - - - - - - - - - - - - - - - - - - - - - -</w:t>
      </w:r>
    </w:p>
    <w:p w14:paraId="0F679D8C" w14:textId="77777777" w:rsidR="00A614F1" w:rsidRPr="00EE5CEE" w:rsidRDefault="00A614F1" w:rsidP="00EE5CEE">
      <w:pPr>
        <w:spacing w:before="240"/>
        <w:ind w:left="567" w:right="333"/>
        <w:jc w:val="both"/>
        <w:rPr>
          <w:rFonts w:ascii="Arial" w:eastAsia="Calibri" w:hAnsi="Arial" w:cs="Arial"/>
          <w:bCs/>
          <w:i/>
          <w:iCs/>
          <w:sz w:val="24"/>
          <w:szCs w:val="24"/>
        </w:rPr>
      </w:pPr>
      <w:r w:rsidRPr="001679A8">
        <w:rPr>
          <w:rFonts w:ascii="Arial" w:eastAsia="Calibri" w:hAnsi="Arial" w:cs="Arial"/>
          <w:b/>
          <w:bCs/>
          <w:sz w:val="24"/>
          <w:szCs w:val="24"/>
        </w:rPr>
        <w:t>“</w:t>
      </w:r>
      <w:r w:rsidRPr="00EE5CEE">
        <w:rPr>
          <w:rFonts w:ascii="Arial" w:eastAsia="Calibri" w:hAnsi="Arial" w:cs="Arial"/>
          <w:b/>
          <w:bCs/>
          <w:i/>
          <w:iCs/>
          <w:sz w:val="24"/>
          <w:szCs w:val="24"/>
        </w:rPr>
        <w:t>NEGATIVA FICTA. SE CONFIGURA RESPECTO DE LAS AUTORIDADES ADMINISTRATIVAS FEDERALES SOMETIDAS A LA COMPETENCIA DEL TRIBUNAL FEDERAL DE JUSTICIA FISCAL Y ADMINISTRATIVA.</w:t>
      </w:r>
      <w:r w:rsidRPr="00EE5CEE">
        <w:rPr>
          <w:rFonts w:ascii="Arial" w:eastAsia="Calibri" w:hAnsi="Arial" w:cs="Arial"/>
          <w:bCs/>
          <w:i/>
          <w:iCs/>
          <w:sz w:val="24"/>
          <w:szCs w:val="24"/>
        </w:rPr>
        <w:t xml:space="preserve"> La negativa ficta no se limita a las instancias o peticiones formuladas a las autoridades fiscales, previstas en el artículo 37 del Código Fiscal de la Federación, sino que también es aplicable respecto de las solicitudes formuladas ante las dependencias o entidades de la Administración Pública Federal sometidas a la jurisdicción del Tribunal Federal de Justicia Fiscal y Administrativa de conformidad con el artículo 11, penúltimo párrafo de su Ley Orgánica. Lo anterior encuentra apoyo en el desarrollo del procedimiento contencioso administrativo, el cual no sólo ha comprendido a las autoridades fiscales sino también, en forma creciente, a las administrativas en general, pues las resoluciones negativas fictas atribuidas a éstas han sido impugnadas ante el citado Tribunal en la materia de su competencia, desde que éste fue creado, tendencia que se ha reforzado con los artículos 17 de la Ley Federal de Procedimiento Administrativo y 17, fracción I, de la Ley Federal de Procedimiento Contencioso Administrativo, que acogieron esa figura respecto a las instancias o peticiones formuladas a dichas autoridades </w:t>
      </w:r>
      <w:r w:rsidRPr="00EE5CEE">
        <w:rPr>
          <w:rFonts w:ascii="Arial" w:eastAsia="Calibri" w:hAnsi="Arial" w:cs="Arial"/>
          <w:bCs/>
          <w:i/>
          <w:iCs/>
          <w:sz w:val="24"/>
          <w:szCs w:val="24"/>
        </w:rPr>
        <w:lastRenderedPageBreak/>
        <w:t>y dispusieron la procedencia del juicio de nulidad contra las resoluciones configuradas al efecto.”</w:t>
      </w:r>
    </w:p>
    <w:p w14:paraId="66BE6305" w14:textId="223A34A5" w:rsidR="00025D88" w:rsidRPr="008E2EB7" w:rsidRDefault="00ED4C7F" w:rsidP="00107437">
      <w:pPr>
        <w:widowControl w:val="0"/>
        <w:tabs>
          <w:tab w:val="left" w:pos="0"/>
        </w:tabs>
        <w:spacing w:before="240" w:after="0" w:line="360" w:lineRule="auto"/>
        <w:ind w:right="18"/>
        <w:jc w:val="both"/>
        <w:rPr>
          <w:rFonts w:ascii="Arial" w:eastAsia="Calibri" w:hAnsi="Arial" w:cs="Arial"/>
          <w:bCs/>
          <w:sz w:val="26"/>
          <w:szCs w:val="26"/>
        </w:rPr>
      </w:pPr>
      <w:r w:rsidRPr="008E2EB7">
        <w:rPr>
          <w:rFonts w:ascii="Arial" w:eastAsia="Calibri" w:hAnsi="Arial" w:cs="Arial"/>
          <w:bCs/>
          <w:sz w:val="26"/>
          <w:szCs w:val="26"/>
        </w:rPr>
        <w:t xml:space="preserve">  </w:t>
      </w:r>
      <w:r w:rsidR="008E110C" w:rsidRPr="008E2EB7">
        <w:rPr>
          <w:rFonts w:ascii="Arial" w:eastAsia="Calibri" w:hAnsi="Arial" w:cs="Arial"/>
          <w:bCs/>
          <w:sz w:val="26"/>
          <w:szCs w:val="26"/>
        </w:rPr>
        <w:t xml:space="preserve"> </w:t>
      </w:r>
      <w:r w:rsidRPr="008E2EB7">
        <w:rPr>
          <w:rFonts w:ascii="Arial" w:eastAsia="Calibri" w:hAnsi="Arial" w:cs="Arial"/>
          <w:bCs/>
          <w:sz w:val="26"/>
          <w:szCs w:val="26"/>
        </w:rPr>
        <w:t xml:space="preserve"> </w:t>
      </w:r>
      <w:r w:rsidR="00025D88" w:rsidRPr="008E2EB7">
        <w:rPr>
          <w:rFonts w:ascii="Arial" w:eastAsia="Calibri" w:hAnsi="Arial" w:cs="Arial"/>
          <w:bCs/>
          <w:sz w:val="26"/>
          <w:szCs w:val="26"/>
        </w:rPr>
        <w:t xml:space="preserve">En este sentido, aunque el primer efecto y de mayor importancia de la negativa ficta incide en el conocimiento del particular por una ficción legal traducida en una </w:t>
      </w:r>
      <w:r w:rsidR="005C34A7" w:rsidRPr="008E2EB7">
        <w:rPr>
          <w:rFonts w:ascii="Arial" w:eastAsia="Calibri" w:hAnsi="Arial" w:cs="Arial"/>
          <w:bCs/>
          <w:sz w:val="26"/>
          <w:szCs w:val="26"/>
        </w:rPr>
        <w:t>presunción</w:t>
      </w:r>
      <w:r w:rsidR="00025D88" w:rsidRPr="008E2EB7">
        <w:rPr>
          <w:rFonts w:ascii="Arial" w:eastAsia="Calibri" w:hAnsi="Arial" w:cs="Arial"/>
          <w:bCs/>
          <w:sz w:val="26"/>
          <w:szCs w:val="26"/>
        </w:rPr>
        <w:t xml:space="preserve"> legislativa de la </w:t>
      </w:r>
      <w:r w:rsidR="005C34A7" w:rsidRPr="008E2EB7">
        <w:rPr>
          <w:rFonts w:ascii="Arial" w:eastAsia="Calibri" w:hAnsi="Arial" w:cs="Arial"/>
          <w:bCs/>
          <w:sz w:val="26"/>
          <w:szCs w:val="26"/>
        </w:rPr>
        <w:t>desestimación</w:t>
      </w:r>
      <w:r w:rsidR="00025D88" w:rsidRPr="008E2EB7">
        <w:rPr>
          <w:rFonts w:ascii="Arial" w:eastAsia="Calibri" w:hAnsi="Arial" w:cs="Arial"/>
          <w:bCs/>
          <w:sz w:val="26"/>
          <w:szCs w:val="26"/>
        </w:rPr>
        <w:t xml:space="preserve"> de sus solicitudes, las </w:t>
      </w:r>
      <w:r w:rsidR="005C34A7" w:rsidRPr="008E2EB7">
        <w:rPr>
          <w:rFonts w:ascii="Arial" w:eastAsia="Calibri" w:hAnsi="Arial" w:cs="Arial"/>
          <w:bCs/>
          <w:sz w:val="26"/>
          <w:szCs w:val="26"/>
        </w:rPr>
        <w:t>consecuencias</w:t>
      </w:r>
      <w:r w:rsidR="00025D88" w:rsidRPr="008E2EB7">
        <w:rPr>
          <w:rFonts w:ascii="Arial" w:eastAsia="Calibri" w:hAnsi="Arial" w:cs="Arial"/>
          <w:bCs/>
          <w:sz w:val="26"/>
          <w:szCs w:val="26"/>
        </w:rPr>
        <w:t xml:space="preserve"> de esa negativa ficta inciden en </w:t>
      </w:r>
      <w:r w:rsidR="005C34A7" w:rsidRPr="008E2EB7">
        <w:rPr>
          <w:rFonts w:ascii="Arial" w:eastAsia="Calibri" w:hAnsi="Arial" w:cs="Arial"/>
          <w:bCs/>
          <w:sz w:val="26"/>
          <w:szCs w:val="26"/>
        </w:rPr>
        <w:t>aspectos</w:t>
      </w:r>
      <w:r w:rsidR="00025D88" w:rsidRPr="008E2EB7">
        <w:rPr>
          <w:rFonts w:ascii="Arial" w:eastAsia="Calibri" w:hAnsi="Arial" w:cs="Arial"/>
          <w:bCs/>
          <w:sz w:val="26"/>
          <w:szCs w:val="26"/>
        </w:rPr>
        <w:t xml:space="preserve"> procesales y sustantivos.</w:t>
      </w:r>
      <w:r w:rsidR="00CD4C55" w:rsidRPr="008E2EB7">
        <w:rPr>
          <w:rFonts w:ascii="Arial" w:eastAsia="Calibri" w:hAnsi="Arial" w:cs="Arial"/>
          <w:bCs/>
          <w:sz w:val="26"/>
          <w:szCs w:val="26"/>
        </w:rPr>
        <w:t xml:space="preserve"> - - - - - - - - - - - - - - - - - - - - - - - - - - -</w:t>
      </w:r>
      <w:r w:rsidR="00BF4241" w:rsidRPr="008E2EB7">
        <w:rPr>
          <w:rFonts w:ascii="Arial" w:eastAsia="Calibri" w:hAnsi="Arial" w:cs="Arial"/>
          <w:bCs/>
          <w:sz w:val="26"/>
          <w:szCs w:val="26"/>
        </w:rPr>
        <w:t xml:space="preserve"> - - - - - -</w:t>
      </w:r>
    </w:p>
    <w:p w14:paraId="57430F6D" w14:textId="77777777" w:rsidR="00201D58" w:rsidRDefault="00025D88" w:rsidP="00401EAC">
      <w:pPr>
        <w:widowControl w:val="0"/>
        <w:tabs>
          <w:tab w:val="left" w:pos="0"/>
        </w:tabs>
        <w:spacing w:before="240" w:after="0" w:line="360" w:lineRule="auto"/>
        <w:ind w:right="18"/>
        <w:jc w:val="both"/>
        <w:rPr>
          <w:rFonts w:ascii="Arial" w:eastAsia="Calibri" w:hAnsi="Arial" w:cs="Arial"/>
          <w:bCs/>
          <w:sz w:val="26"/>
          <w:szCs w:val="26"/>
        </w:rPr>
      </w:pPr>
      <w:r w:rsidRPr="008E2EB7">
        <w:rPr>
          <w:rFonts w:ascii="Arial" w:eastAsia="Calibri" w:hAnsi="Arial" w:cs="Arial"/>
          <w:bCs/>
          <w:sz w:val="26"/>
          <w:szCs w:val="26"/>
        </w:rPr>
        <w:t xml:space="preserve">   </w:t>
      </w:r>
      <w:r w:rsidR="00ED4C7F" w:rsidRPr="008E2EB7">
        <w:rPr>
          <w:rFonts w:ascii="Arial" w:eastAsia="Calibri" w:hAnsi="Arial" w:cs="Arial"/>
          <w:bCs/>
          <w:sz w:val="26"/>
          <w:szCs w:val="26"/>
        </w:rPr>
        <w:t xml:space="preserve">  </w:t>
      </w:r>
      <w:r w:rsidRPr="008E2EB7">
        <w:rPr>
          <w:rFonts w:ascii="Arial" w:eastAsia="Calibri" w:hAnsi="Arial" w:cs="Arial"/>
          <w:bCs/>
          <w:sz w:val="26"/>
          <w:szCs w:val="26"/>
        </w:rPr>
        <w:t>La negativa ficta permite al afectado de esa resolución interponer los medios de defensa que estime pertinentes, sin necesidad de esperar una resolución expresa por parte de la autoridad; es decir, se legitima al agraviado para que intente los juicios o recursos procedentes contra l</w:t>
      </w:r>
      <w:r w:rsidR="00916079" w:rsidRPr="008E2EB7">
        <w:rPr>
          <w:rFonts w:ascii="Arial" w:eastAsia="Calibri" w:hAnsi="Arial" w:cs="Arial"/>
          <w:bCs/>
          <w:sz w:val="26"/>
          <w:szCs w:val="26"/>
        </w:rPr>
        <w:t>a negativa ficta que, se repite</w:t>
      </w:r>
      <w:r w:rsidRPr="008E2EB7">
        <w:rPr>
          <w:rFonts w:ascii="Arial" w:eastAsia="Calibri" w:hAnsi="Arial" w:cs="Arial"/>
          <w:bCs/>
          <w:sz w:val="26"/>
          <w:szCs w:val="26"/>
        </w:rPr>
        <w:t>, por una ficción jurídica relacionada con el silencio de la autoridad</w:t>
      </w:r>
      <w:r w:rsidR="00A818C3" w:rsidRPr="008E2EB7">
        <w:rPr>
          <w:rFonts w:ascii="Arial" w:eastAsia="Calibri" w:hAnsi="Arial" w:cs="Arial"/>
          <w:bCs/>
          <w:sz w:val="26"/>
          <w:szCs w:val="26"/>
        </w:rPr>
        <w:t xml:space="preserve"> que</w:t>
      </w:r>
      <w:r w:rsidRPr="008E2EB7">
        <w:rPr>
          <w:rFonts w:ascii="Arial" w:eastAsia="Calibri" w:hAnsi="Arial" w:cs="Arial"/>
          <w:bCs/>
          <w:sz w:val="26"/>
          <w:szCs w:val="26"/>
        </w:rPr>
        <w:t xml:space="preserve"> recayó a su petición</w:t>
      </w:r>
      <w:r w:rsidR="001370EB" w:rsidRPr="008E2EB7">
        <w:rPr>
          <w:rFonts w:ascii="Arial" w:eastAsia="Calibri" w:hAnsi="Arial" w:cs="Arial"/>
          <w:bCs/>
          <w:sz w:val="26"/>
          <w:szCs w:val="26"/>
        </w:rPr>
        <w:t>; por ello,</w:t>
      </w:r>
      <w:r w:rsidR="00916079" w:rsidRPr="008E2EB7">
        <w:rPr>
          <w:rFonts w:ascii="Arial" w:eastAsia="Calibri" w:hAnsi="Arial" w:cs="Arial"/>
          <w:bCs/>
          <w:sz w:val="26"/>
          <w:szCs w:val="26"/>
        </w:rPr>
        <w:t xml:space="preserve">  la necesidad  de que la autoridad respectiva en </w:t>
      </w:r>
      <w:r w:rsidR="005C34A7" w:rsidRPr="008E2EB7">
        <w:rPr>
          <w:rFonts w:ascii="Arial" w:eastAsia="Calibri" w:hAnsi="Arial" w:cs="Arial"/>
          <w:bCs/>
          <w:sz w:val="26"/>
          <w:szCs w:val="26"/>
        </w:rPr>
        <w:t>ejercicio</w:t>
      </w:r>
      <w:r w:rsidR="00916079" w:rsidRPr="008E2EB7">
        <w:rPr>
          <w:rFonts w:ascii="Arial" w:eastAsia="Calibri" w:hAnsi="Arial" w:cs="Arial"/>
          <w:bCs/>
          <w:sz w:val="26"/>
          <w:szCs w:val="26"/>
        </w:rPr>
        <w:t xml:space="preserve"> de su función jurisdiccional </w:t>
      </w:r>
      <w:r w:rsidR="005C34A7" w:rsidRPr="008E2EB7">
        <w:rPr>
          <w:rFonts w:ascii="Arial" w:eastAsia="Calibri" w:hAnsi="Arial" w:cs="Arial"/>
          <w:bCs/>
          <w:sz w:val="26"/>
          <w:szCs w:val="26"/>
        </w:rPr>
        <w:t>resuelva</w:t>
      </w:r>
      <w:r w:rsidR="00916079" w:rsidRPr="008E2EB7">
        <w:rPr>
          <w:rFonts w:ascii="Arial" w:eastAsia="Calibri" w:hAnsi="Arial" w:cs="Arial"/>
          <w:bCs/>
          <w:sz w:val="26"/>
          <w:szCs w:val="26"/>
        </w:rPr>
        <w:t xml:space="preserve"> sobre la legalidad o ilegalidad de esa negativa, sobre todo si se toma en cuenta que la </w:t>
      </w:r>
      <w:r w:rsidR="005C34A7" w:rsidRPr="008E2EB7">
        <w:rPr>
          <w:rFonts w:ascii="Arial" w:eastAsia="Calibri" w:hAnsi="Arial" w:cs="Arial"/>
          <w:bCs/>
          <w:sz w:val="26"/>
          <w:szCs w:val="26"/>
        </w:rPr>
        <w:t>presunción</w:t>
      </w:r>
      <w:r w:rsidR="00916079" w:rsidRPr="008E2EB7">
        <w:rPr>
          <w:rFonts w:ascii="Arial" w:eastAsia="Calibri" w:hAnsi="Arial" w:cs="Arial"/>
          <w:bCs/>
          <w:sz w:val="26"/>
          <w:szCs w:val="26"/>
        </w:rPr>
        <w:t xml:space="preserve"> legal otorgada al </w:t>
      </w:r>
      <w:r w:rsidR="005C34A7" w:rsidRPr="008E2EB7">
        <w:rPr>
          <w:rFonts w:ascii="Arial" w:eastAsia="Calibri" w:hAnsi="Arial" w:cs="Arial"/>
          <w:bCs/>
          <w:sz w:val="26"/>
          <w:szCs w:val="26"/>
        </w:rPr>
        <w:t>silencio</w:t>
      </w:r>
      <w:r w:rsidR="00916079" w:rsidRPr="008E2EB7">
        <w:rPr>
          <w:rFonts w:ascii="Arial" w:eastAsia="Calibri" w:hAnsi="Arial" w:cs="Arial"/>
          <w:bCs/>
          <w:sz w:val="26"/>
          <w:szCs w:val="26"/>
        </w:rPr>
        <w:t xml:space="preserve"> administrativo radica en la negativa de lo solicitado por el gobernado.</w:t>
      </w:r>
      <w:r w:rsidR="00CD4C55" w:rsidRPr="008E2EB7">
        <w:rPr>
          <w:rFonts w:ascii="Arial" w:eastAsia="Calibri" w:hAnsi="Arial" w:cs="Arial"/>
          <w:bCs/>
          <w:sz w:val="26"/>
          <w:szCs w:val="26"/>
        </w:rPr>
        <w:t xml:space="preserve"> - -</w:t>
      </w:r>
    </w:p>
    <w:p w14:paraId="10748E19" w14:textId="742C0184" w:rsidR="006F4751" w:rsidRPr="008E2EB7" w:rsidRDefault="00CD4C55" w:rsidP="00201D58">
      <w:pPr>
        <w:pStyle w:val="Sinespaciado"/>
        <w:rPr>
          <w:rFonts w:eastAsia="Calibri"/>
        </w:rPr>
      </w:pPr>
      <w:r w:rsidRPr="008E2EB7">
        <w:rPr>
          <w:rFonts w:eastAsia="Calibri"/>
        </w:rPr>
        <w:t xml:space="preserve"> </w:t>
      </w:r>
    </w:p>
    <w:p w14:paraId="2C9CF5D1" w14:textId="61C3C873" w:rsidR="006F4751" w:rsidRPr="008E2EB7" w:rsidRDefault="006F4751" w:rsidP="006F4751">
      <w:pPr>
        <w:spacing w:after="240" w:line="360" w:lineRule="auto"/>
        <w:ind w:right="49" w:firstLine="708"/>
        <w:jc w:val="both"/>
        <w:rPr>
          <w:rFonts w:ascii="Arial" w:eastAsia="Calibri" w:hAnsi="Arial" w:cs="Arial"/>
          <w:bCs/>
          <w:sz w:val="26"/>
          <w:szCs w:val="26"/>
        </w:rPr>
      </w:pPr>
      <w:r w:rsidRPr="008E2EB7">
        <w:rPr>
          <w:rFonts w:ascii="Arial" w:hAnsi="Arial" w:cs="Arial"/>
          <w:sz w:val="26"/>
          <w:szCs w:val="26"/>
        </w:rPr>
        <w:t>Sirve de apoyo para estar precisiones</w:t>
      </w:r>
      <w:r w:rsidRPr="008E2EB7">
        <w:rPr>
          <w:rFonts w:ascii="Arial" w:eastAsia="Gungsuh" w:hAnsi="Arial" w:cs="Arial"/>
          <w:sz w:val="26"/>
          <w:szCs w:val="26"/>
        </w:rPr>
        <w:t xml:space="preserve"> la Jurisprudencia </w:t>
      </w:r>
      <w:r w:rsidRPr="008E2EB7">
        <w:rPr>
          <w:rFonts w:ascii="Arial" w:eastAsia="Gungsuh" w:hAnsi="Arial" w:cs="Arial"/>
          <w:color w:val="000000"/>
          <w:sz w:val="26"/>
          <w:szCs w:val="26"/>
        </w:rPr>
        <w:t xml:space="preserve">2a./J. 165/2006, emitida por la Segunda Sala de la Suprema Corte de Justicia de la Nación, publicada en el Semanario Judicial de la Federación y su Gaceta, Novena Época, Tomo XXIV, correspondiente al mes de diciembre de 2006, visible en la página 202, con registro digita 173738, bajo el rubro y texto siguiente: </w:t>
      </w:r>
      <w:r w:rsidR="00E92035" w:rsidRPr="008E2EB7">
        <w:rPr>
          <w:rFonts w:ascii="Arial" w:hAnsi="Arial" w:cs="Arial"/>
          <w:bCs/>
          <w:iCs/>
          <w:sz w:val="26"/>
          <w:szCs w:val="26"/>
        </w:rPr>
        <w:t xml:space="preserve">- - - - - - - - - - - - - - - - - - - - - - - - - - - - - - </w:t>
      </w:r>
    </w:p>
    <w:p w14:paraId="4DC8D4EA" w14:textId="389ADA2D" w:rsidR="006F4751" w:rsidRPr="00E92035" w:rsidRDefault="006F4751" w:rsidP="006F4751">
      <w:pPr>
        <w:pStyle w:val="Sinespaciado"/>
        <w:spacing w:line="276" w:lineRule="auto"/>
        <w:ind w:left="567" w:right="333"/>
        <w:jc w:val="both"/>
        <w:rPr>
          <w:rFonts w:ascii="Arial" w:hAnsi="Arial" w:cs="Arial"/>
          <w:i/>
          <w:sz w:val="24"/>
          <w:szCs w:val="24"/>
        </w:rPr>
      </w:pPr>
      <w:r w:rsidRPr="00E92035">
        <w:rPr>
          <w:rFonts w:ascii="Arial" w:hAnsi="Arial" w:cs="Arial"/>
          <w:b/>
          <w:i/>
          <w:sz w:val="24"/>
          <w:szCs w:val="24"/>
        </w:rPr>
        <w:t>“NEGATIVA FICTA. EL TRIBUNAL FEDERAL DE JUSTICIA FISCAL Y ADMINISTRATIVA NO PUEDE APOYARSE EN CAUSAS DE IMPROCEDENCIA PARA RESOLVERLA</w:t>
      </w:r>
      <w:r w:rsidRPr="00E92035">
        <w:rPr>
          <w:rFonts w:ascii="Arial" w:hAnsi="Arial" w:cs="Arial"/>
          <w:i/>
          <w:sz w:val="24"/>
          <w:szCs w:val="24"/>
        </w:rPr>
        <w:t xml:space="preserve">. 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w:t>
      </w:r>
      <w:r w:rsidRPr="00E92035">
        <w:rPr>
          <w:rFonts w:ascii="Arial" w:hAnsi="Arial" w:cs="Arial"/>
          <w:i/>
          <w:sz w:val="24"/>
          <w:szCs w:val="24"/>
          <w:u w:val="single"/>
        </w:rPr>
        <w:t>debe examinar los temas de fondo sobre los que versa la negativa ficta para declarar su validez o invalidez</w:t>
      </w:r>
      <w:r w:rsidRPr="00E92035">
        <w:rPr>
          <w:rFonts w:ascii="Arial" w:hAnsi="Arial" w:cs="Arial"/>
          <w:i/>
          <w:sz w:val="24"/>
          <w:szCs w:val="24"/>
        </w:rPr>
        <w:t>”. -lo subrayado es nuestro-</w:t>
      </w:r>
    </w:p>
    <w:p w14:paraId="52BCD977" w14:textId="77777777" w:rsidR="006F4751" w:rsidRPr="008E2EB7" w:rsidRDefault="00A614F1" w:rsidP="0083207A">
      <w:pPr>
        <w:pStyle w:val="Sinespaciado"/>
        <w:rPr>
          <w:rFonts w:eastAsia="Calibri"/>
        </w:rPr>
      </w:pPr>
      <w:r w:rsidRPr="008E2EB7">
        <w:rPr>
          <w:rFonts w:eastAsia="Calibri"/>
        </w:rPr>
        <w:t xml:space="preserve"> </w:t>
      </w:r>
    </w:p>
    <w:p w14:paraId="0408BA3E" w14:textId="71973F41" w:rsidR="006F4751" w:rsidRPr="008E2EB7" w:rsidRDefault="006F4751" w:rsidP="006F4751">
      <w:pPr>
        <w:spacing w:after="240" w:line="360" w:lineRule="auto"/>
        <w:ind w:right="49"/>
        <w:jc w:val="both"/>
        <w:rPr>
          <w:rFonts w:ascii="Arial" w:eastAsia="Calibri" w:hAnsi="Arial" w:cs="Arial"/>
          <w:bCs/>
          <w:sz w:val="26"/>
          <w:szCs w:val="26"/>
        </w:rPr>
      </w:pPr>
      <w:r w:rsidRPr="008E2EB7">
        <w:rPr>
          <w:rFonts w:ascii="Arial" w:eastAsia="Calibri" w:hAnsi="Arial" w:cs="Arial"/>
          <w:bCs/>
          <w:sz w:val="26"/>
          <w:szCs w:val="26"/>
        </w:rPr>
        <w:t xml:space="preserve">      </w:t>
      </w:r>
      <w:r w:rsidR="00A614F1" w:rsidRPr="008E2EB7">
        <w:rPr>
          <w:rFonts w:ascii="Arial" w:eastAsia="Calibri" w:hAnsi="Arial" w:cs="Arial"/>
          <w:bCs/>
          <w:sz w:val="26"/>
          <w:szCs w:val="26"/>
        </w:rPr>
        <w:t xml:space="preserve">  </w:t>
      </w:r>
      <w:r w:rsidRPr="008E2EB7">
        <w:rPr>
          <w:rFonts w:ascii="Arial" w:eastAsia="Calibri" w:hAnsi="Arial" w:cs="Arial"/>
          <w:bCs/>
          <w:sz w:val="26"/>
          <w:szCs w:val="26"/>
        </w:rPr>
        <w:t xml:space="preserve">Por lo tanto, el Tribunal es competente para conocer de actos administrativos que impliquen una resolución negativa ficta, de </w:t>
      </w:r>
      <w:r w:rsidRPr="008E2EB7">
        <w:rPr>
          <w:rFonts w:ascii="Arial" w:eastAsia="Calibri" w:hAnsi="Arial" w:cs="Arial"/>
          <w:bCs/>
          <w:sz w:val="26"/>
          <w:szCs w:val="26"/>
        </w:rPr>
        <w:lastRenderedPageBreak/>
        <w:t>conformidad a lo dispuesto en la fracción V</w:t>
      </w:r>
      <w:r w:rsidRPr="008E2EB7">
        <w:rPr>
          <w:rStyle w:val="Refdenotaalpie"/>
          <w:rFonts w:ascii="Arial" w:eastAsia="Calibri" w:hAnsi="Arial" w:cs="Arial"/>
          <w:bCs/>
          <w:sz w:val="26"/>
          <w:szCs w:val="26"/>
        </w:rPr>
        <w:footnoteReference w:id="3"/>
      </w:r>
      <w:r w:rsidRPr="008E2EB7">
        <w:rPr>
          <w:rFonts w:ascii="Arial" w:eastAsia="Calibri" w:hAnsi="Arial" w:cs="Arial"/>
          <w:bCs/>
          <w:sz w:val="26"/>
          <w:szCs w:val="26"/>
        </w:rPr>
        <w:t>, del artículo 96 de la Ley de Justicia Administrativa para el Estado de Oaxaca</w:t>
      </w:r>
      <w:r w:rsidR="00176B2B" w:rsidRPr="008E2EB7">
        <w:rPr>
          <w:rFonts w:ascii="Arial" w:eastAsia="Calibri" w:hAnsi="Arial" w:cs="Arial"/>
          <w:bCs/>
          <w:sz w:val="26"/>
          <w:szCs w:val="26"/>
        </w:rPr>
        <w:t>,</w:t>
      </w:r>
      <w:r w:rsidRPr="008E2EB7">
        <w:rPr>
          <w:rFonts w:ascii="Arial" w:eastAsia="Calibri" w:hAnsi="Arial" w:cs="Arial"/>
          <w:bCs/>
          <w:sz w:val="26"/>
          <w:szCs w:val="26"/>
        </w:rPr>
        <w:t xml:space="preserve"> vigente al inicio del juicio natural; por lo que al no </w:t>
      </w:r>
      <w:r w:rsidR="00A04059" w:rsidRPr="008E2EB7">
        <w:rPr>
          <w:rFonts w:ascii="Arial" w:eastAsia="Calibri" w:hAnsi="Arial" w:cs="Arial"/>
          <w:bCs/>
          <w:sz w:val="26"/>
          <w:szCs w:val="26"/>
        </w:rPr>
        <w:t xml:space="preserve">resolver la resolutora de </w:t>
      </w:r>
      <w:r w:rsidRPr="008E2EB7">
        <w:rPr>
          <w:rFonts w:ascii="Arial" w:eastAsia="Calibri" w:hAnsi="Arial" w:cs="Arial"/>
          <w:bCs/>
          <w:sz w:val="26"/>
          <w:szCs w:val="26"/>
        </w:rPr>
        <w:t xml:space="preserve">la Sala de Primera Instancia </w:t>
      </w:r>
      <w:r w:rsidR="00CC74DD" w:rsidRPr="008E2EB7">
        <w:rPr>
          <w:rFonts w:ascii="Arial" w:eastAsia="Calibri" w:hAnsi="Arial" w:cs="Arial"/>
          <w:bCs/>
          <w:sz w:val="26"/>
          <w:szCs w:val="26"/>
        </w:rPr>
        <w:t>respecto</w:t>
      </w:r>
      <w:r w:rsidR="00A04059" w:rsidRPr="008E2EB7">
        <w:rPr>
          <w:rFonts w:ascii="Arial" w:eastAsia="Calibri" w:hAnsi="Arial" w:cs="Arial"/>
          <w:bCs/>
          <w:sz w:val="26"/>
          <w:szCs w:val="26"/>
        </w:rPr>
        <w:t xml:space="preserve"> a la validez o nulidad de la negativa ficta de las peticiones formuladas por la parte actora</w:t>
      </w:r>
      <w:r w:rsidR="00CC74DD" w:rsidRPr="008E2EB7">
        <w:rPr>
          <w:rFonts w:ascii="Arial" w:eastAsia="Calibri" w:hAnsi="Arial" w:cs="Arial"/>
          <w:bCs/>
          <w:sz w:val="26"/>
          <w:szCs w:val="26"/>
        </w:rPr>
        <w:t>, estudiando el fondo de las mismas</w:t>
      </w:r>
      <w:r w:rsidR="00A04059" w:rsidRPr="008E2EB7">
        <w:rPr>
          <w:rFonts w:ascii="Arial" w:eastAsia="Calibri" w:hAnsi="Arial" w:cs="Arial"/>
          <w:bCs/>
          <w:sz w:val="26"/>
          <w:szCs w:val="26"/>
        </w:rPr>
        <w:t xml:space="preserve"> y, en su lugar sobresee el juicio</w:t>
      </w:r>
      <w:r w:rsidRPr="008E2EB7">
        <w:rPr>
          <w:rFonts w:ascii="Arial" w:eastAsia="Calibri" w:hAnsi="Arial" w:cs="Arial"/>
          <w:bCs/>
          <w:sz w:val="26"/>
          <w:szCs w:val="26"/>
        </w:rPr>
        <w:t xml:space="preserve">, viola en </w:t>
      </w:r>
      <w:r w:rsidR="00A04059" w:rsidRPr="008E2EB7">
        <w:rPr>
          <w:rFonts w:ascii="Arial" w:eastAsia="Calibri" w:hAnsi="Arial" w:cs="Arial"/>
          <w:bCs/>
          <w:sz w:val="26"/>
          <w:szCs w:val="26"/>
        </w:rPr>
        <w:t>su perjuicio</w:t>
      </w:r>
      <w:r w:rsidRPr="008E2EB7">
        <w:rPr>
          <w:rFonts w:ascii="Arial" w:eastAsia="Calibri" w:hAnsi="Arial" w:cs="Arial"/>
          <w:bCs/>
          <w:sz w:val="26"/>
          <w:szCs w:val="26"/>
        </w:rPr>
        <w:t xml:space="preserve"> los principios de exhaustividad y congruencia de las sentencias, </w:t>
      </w:r>
      <w:r w:rsidRPr="008E2EB7">
        <w:rPr>
          <w:rFonts w:ascii="Arial" w:hAnsi="Arial" w:cs="Arial"/>
          <w:bCs/>
          <w:iCs/>
          <w:sz w:val="26"/>
          <w:szCs w:val="26"/>
        </w:rPr>
        <w:t>que exige el derecho de legalidad previsto en el artículo 16, párrafo primero, de la Constitucional Política de los Estados Unidos Mexicanos</w:t>
      </w:r>
      <w:r w:rsidRPr="008E2EB7">
        <w:rPr>
          <w:rFonts w:ascii="Arial" w:eastAsia="Calibri" w:hAnsi="Arial" w:cs="Arial"/>
          <w:bCs/>
          <w:sz w:val="26"/>
          <w:szCs w:val="26"/>
        </w:rPr>
        <w:t>, así como el principio de justicia completa previsto en el artículo 17, de la Constitución Política de los Estados Unidos Mexicanos, invocándose por ser aplicables las Tesis Jurisprudenciales 268, Apéndice de 2011, Tomo I, Constitucional 3, Derechos Fundamentales Primera Parte- SCJN Décima Tercera Sección- Fundamentación y Motivación, visible a p</w:t>
      </w:r>
      <w:r w:rsidR="004873AB">
        <w:rPr>
          <w:rFonts w:ascii="Arial" w:eastAsia="Calibri" w:hAnsi="Arial" w:cs="Arial"/>
          <w:bCs/>
          <w:sz w:val="26"/>
          <w:szCs w:val="26"/>
        </w:rPr>
        <w:t>á</w:t>
      </w:r>
      <w:r w:rsidRPr="008E2EB7">
        <w:rPr>
          <w:rFonts w:ascii="Arial" w:eastAsia="Calibri" w:hAnsi="Arial" w:cs="Arial"/>
          <w:bCs/>
          <w:sz w:val="26"/>
          <w:szCs w:val="26"/>
        </w:rPr>
        <w:t>gina  1241, Primera Sala, Novena Época</w:t>
      </w:r>
      <w:r w:rsidRPr="008E2EB7">
        <w:rPr>
          <w:rStyle w:val="Refdenotaalpie"/>
          <w:rFonts w:ascii="Arial" w:eastAsia="Calibri" w:hAnsi="Arial" w:cs="Arial"/>
          <w:bCs/>
          <w:sz w:val="26"/>
          <w:szCs w:val="26"/>
        </w:rPr>
        <w:footnoteReference w:id="4"/>
      </w:r>
      <w:r w:rsidRPr="008E2EB7">
        <w:rPr>
          <w:rFonts w:ascii="Arial" w:eastAsia="Calibri" w:hAnsi="Arial" w:cs="Arial"/>
          <w:bCs/>
          <w:sz w:val="26"/>
          <w:szCs w:val="26"/>
        </w:rPr>
        <w:t>; IV.2o.T. J/44, publicada en el Semanario Judicial de la Federación, Tomo XXI, marzo de 2005, visible a p</w:t>
      </w:r>
      <w:r w:rsidR="004873AB">
        <w:rPr>
          <w:rFonts w:ascii="Arial" w:eastAsia="Calibri" w:hAnsi="Arial" w:cs="Arial"/>
          <w:bCs/>
          <w:sz w:val="26"/>
          <w:szCs w:val="26"/>
        </w:rPr>
        <w:t>á</w:t>
      </w:r>
      <w:r w:rsidRPr="008E2EB7">
        <w:rPr>
          <w:rFonts w:ascii="Arial" w:eastAsia="Calibri" w:hAnsi="Arial" w:cs="Arial"/>
          <w:bCs/>
          <w:sz w:val="26"/>
          <w:szCs w:val="26"/>
        </w:rPr>
        <w:t>gina 959, de los Tribunales Colegiados de Circuito, Novena Época</w:t>
      </w:r>
      <w:r w:rsidRPr="008E2EB7">
        <w:rPr>
          <w:rStyle w:val="Refdenotaalpie"/>
          <w:rFonts w:ascii="Arial" w:eastAsia="Calibri" w:hAnsi="Arial" w:cs="Arial"/>
          <w:bCs/>
          <w:sz w:val="26"/>
          <w:szCs w:val="26"/>
        </w:rPr>
        <w:footnoteReference w:id="5"/>
      </w:r>
      <w:r w:rsidRPr="008E2EB7">
        <w:rPr>
          <w:rFonts w:ascii="Arial" w:eastAsia="Calibri" w:hAnsi="Arial" w:cs="Arial"/>
          <w:bCs/>
          <w:sz w:val="26"/>
          <w:szCs w:val="26"/>
        </w:rPr>
        <w:t xml:space="preserve">; y, 2ª./J. 192/2007, publicada por la Segunda Sala de la </w:t>
      </w:r>
      <w:r w:rsidRPr="008E2EB7">
        <w:rPr>
          <w:rFonts w:ascii="Arial" w:eastAsia="Calibri" w:hAnsi="Arial" w:cs="Arial"/>
          <w:bCs/>
          <w:sz w:val="26"/>
          <w:szCs w:val="26"/>
        </w:rPr>
        <w:lastRenderedPageBreak/>
        <w:t>Suprema Corte de Justicia de la Nación, en la página 209 del Tomo XXVI, octubre de 2007 del Semanario Judicial de la Federación, Novena Época.</w:t>
      </w:r>
      <w:r w:rsidRPr="008E2EB7">
        <w:rPr>
          <w:rStyle w:val="Refdenotaalpie"/>
          <w:rFonts w:ascii="Arial" w:eastAsia="Calibri" w:hAnsi="Arial" w:cs="Arial"/>
          <w:bCs/>
          <w:sz w:val="26"/>
          <w:szCs w:val="26"/>
        </w:rPr>
        <w:footnoteReference w:id="6"/>
      </w:r>
      <w:r w:rsidRPr="008E2EB7">
        <w:rPr>
          <w:rFonts w:ascii="Arial" w:eastAsia="Calibri" w:hAnsi="Arial" w:cs="Arial"/>
          <w:bCs/>
          <w:sz w:val="26"/>
          <w:szCs w:val="26"/>
        </w:rPr>
        <w:t xml:space="preserve"> - - - - - - - - - - - - - - - - - - - - - - - - - - - </w:t>
      </w:r>
      <w:r w:rsidR="00BF3698" w:rsidRPr="008E2EB7">
        <w:rPr>
          <w:rFonts w:ascii="Arial" w:eastAsia="Calibri" w:hAnsi="Arial" w:cs="Arial"/>
          <w:bCs/>
          <w:sz w:val="26"/>
          <w:szCs w:val="26"/>
        </w:rPr>
        <w:t>- - - - - - - - - - - - - - - - - - -</w:t>
      </w:r>
    </w:p>
    <w:p w14:paraId="473C6D37" w14:textId="5E90D7C0" w:rsidR="00487D41" w:rsidRDefault="00A614F1" w:rsidP="00A614F1">
      <w:pPr>
        <w:widowControl w:val="0"/>
        <w:tabs>
          <w:tab w:val="left" w:pos="0"/>
        </w:tabs>
        <w:spacing w:before="240" w:after="0" w:line="360" w:lineRule="auto"/>
        <w:ind w:right="18"/>
        <w:jc w:val="both"/>
        <w:rPr>
          <w:rFonts w:ascii="Arial" w:eastAsia="Calibri" w:hAnsi="Arial" w:cs="Arial"/>
          <w:bCs/>
          <w:sz w:val="26"/>
          <w:szCs w:val="26"/>
        </w:rPr>
      </w:pPr>
      <w:r w:rsidRPr="008E2EB7">
        <w:rPr>
          <w:rFonts w:ascii="Arial" w:eastAsia="Calibri" w:hAnsi="Arial" w:cs="Arial"/>
          <w:bCs/>
          <w:sz w:val="26"/>
          <w:szCs w:val="26"/>
        </w:rPr>
        <w:t xml:space="preserve"> </w:t>
      </w:r>
      <w:r w:rsidR="006F4751" w:rsidRPr="008E2EB7">
        <w:rPr>
          <w:rFonts w:ascii="Arial" w:eastAsia="Calibri" w:hAnsi="Arial" w:cs="Arial"/>
          <w:bCs/>
          <w:sz w:val="26"/>
          <w:szCs w:val="26"/>
        </w:rPr>
        <w:t xml:space="preserve">         </w:t>
      </w:r>
      <w:r w:rsidR="00ED4C7F" w:rsidRPr="008E2EB7">
        <w:rPr>
          <w:rFonts w:ascii="Arial" w:eastAsia="Calibri" w:hAnsi="Arial" w:cs="Arial"/>
          <w:b/>
          <w:bCs/>
          <w:sz w:val="26"/>
          <w:szCs w:val="26"/>
        </w:rPr>
        <w:t>En tal virtud</w:t>
      </w:r>
      <w:r w:rsidRPr="008E2EB7">
        <w:rPr>
          <w:rFonts w:ascii="Arial" w:eastAsia="Calibri" w:hAnsi="Arial" w:cs="Arial"/>
          <w:sz w:val="26"/>
          <w:szCs w:val="26"/>
        </w:rPr>
        <w:t>,</w:t>
      </w:r>
      <w:r w:rsidRPr="008E2EB7">
        <w:rPr>
          <w:rFonts w:ascii="Arial" w:eastAsia="Calibri" w:hAnsi="Arial" w:cs="Arial"/>
          <w:bCs/>
          <w:sz w:val="26"/>
          <w:szCs w:val="26"/>
        </w:rPr>
        <w:t xml:space="preserve"> al evidenciarse que la resolutora de primera instancia </w:t>
      </w:r>
      <w:r w:rsidR="001410B6" w:rsidRPr="008E2EB7">
        <w:rPr>
          <w:rFonts w:ascii="Arial" w:eastAsia="Calibri" w:hAnsi="Arial" w:cs="Arial"/>
          <w:bCs/>
          <w:sz w:val="26"/>
          <w:szCs w:val="26"/>
        </w:rPr>
        <w:t>configuró la negativa ficta</w:t>
      </w:r>
      <w:r w:rsidR="00126FB2" w:rsidRPr="008E2EB7">
        <w:rPr>
          <w:rFonts w:ascii="Arial" w:eastAsia="Calibri" w:hAnsi="Arial" w:cs="Arial"/>
          <w:bCs/>
          <w:sz w:val="26"/>
          <w:szCs w:val="26"/>
        </w:rPr>
        <w:t>, pero no</w:t>
      </w:r>
      <w:r w:rsidRPr="008E2EB7">
        <w:rPr>
          <w:rFonts w:ascii="Arial" w:eastAsia="Calibri" w:hAnsi="Arial" w:cs="Arial"/>
          <w:bCs/>
          <w:sz w:val="26"/>
          <w:szCs w:val="26"/>
        </w:rPr>
        <w:t xml:space="preserve"> </w:t>
      </w:r>
      <w:r w:rsidR="00126FB2" w:rsidRPr="008E2EB7">
        <w:rPr>
          <w:rFonts w:ascii="Arial" w:eastAsia="Calibri" w:hAnsi="Arial" w:cs="Arial"/>
          <w:bCs/>
          <w:sz w:val="26"/>
          <w:szCs w:val="26"/>
        </w:rPr>
        <w:t>resolvió sobre su nulidad o validez</w:t>
      </w:r>
      <w:r w:rsidR="00CC74DD" w:rsidRPr="008E2EB7">
        <w:rPr>
          <w:rFonts w:ascii="Arial" w:eastAsia="Calibri" w:hAnsi="Arial" w:cs="Arial"/>
          <w:bCs/>
          <w:sz w:val="26"/>
          <w:szCs w:val="26"/>
        </w:rPr>
        <w:t>, respecto a</w:t>
      </w:r>
      <w:r w:rsidRPr="008E2EB7">
        <w:rPr>
          <w:rFonts w:ascii="Arial" w:eastAsia="Calibri" w:hAnsi="Arial" w:cs="Arial"/>
          <w:bCs/>
          <w:sz w:val="26"/>
          <w:szCs w:val="26"/>
        </w:rPr>
        <w:t xml:space="preserve"> las peticiones efectuadas por la persona moral denominada </w:t>
      </w:r>
      <w:r w:rsidR="00487D41">
        <w:rPr>
          <w:rFonts w:ascii="Arial" w:hAnsi="Arial" w:cs="Arial"/>
          <w:b/>
          <w:sz w:val="26"/>
          <w:szCs w:val="26"/>
        </w:rPr>
        <w:t>***********</w:t>
      </w:r>
      <w:r w:rsidR="00CC74DD" w:rsidRPr="008E2EB7">
        <w:rPr>
          <w:rFonts w:ascii="Arial" w:hAnsi="Arial" w:cs="Arial"/>
          <w:iCs/>
          <w:sz w:val="26"/>
          <w:szCs w:val="26"/>
        </w:rPr>
        <w:t xml:space="preserve"> previo estudio de fondo de las mismas</w:t>
      </w:r>
      <w:r w:rsidRPr="008E2EB7">
        <w:rPr>
          <w:rFonts w:ascii="Arial" w:hAnsi="Arial" w:cs="Arial"/>
          <w:iCs/>
          <w:sz w:val="26"/>
          <w:szCs w:val="26"/>
        </w:rPr>
        <w:t>;</w:t>
      </w:r>
      <w:r w:rsidRPr="008E2EB7">
        <w:rPr>
          <w:rFonts w:ascii="Arial" w:hAnsi="Arial" w:cs="Arial"/>
          <w:b/>
          <w:iCs/>
          <w:sz w:val="26"/>
          <w:szCs w:val="26"/>
        </w:rPr>
        <w:t xml:space="preserve"> esta Sala Superior </w:t>
      </w:r>
      <w:r w:rsidRPr="008E2EB7">
        <w:rPr>
          <w:rFonts w:ascii="Arial" w:hAnsi="Arial" w:cs="Arial"/>
          <w:iCs/>
          <w:sz w:val="26"/>
          <w:szCs w:val="26"/>
        </w:rPr>
        <w:t>considera</w:t>
      </w:r>
      <w:r w:rsidRPr="008E2EB7">
        <w:rPr>
          <w:rFonts w:ascii="Arial" w:eastAsia="Calibri" w:hAnsi="Arial" w:cs="Arial"/>
          <w:bCs/>
          <w:sz w:val="26"/>
          <w:szCs w:val="26"/>
        </w:rPr>
        <w:t xml:space="preserve"> que resulta ilegal </w:t>
      </w:r>
      <w:r w:rsidR="00126FB2" w:rsidRPr="008E2EB7">
        <w:rPr>
          <w:rFonts w:ascii="Arial" w:eastAsia="Calibri" w:hAnsi="Arial" w:cs="Arial"/>
          <w:bCs/>
          <w:sz w:val="26"/>
          <w:szCs w:val="26"/>
        </w:rPr>
        <w:t>el sobreseimiento decretado por la resolutora de</w:t>
      </w:r>
      <w:r w:rsidRPr="008E2EB7">
        <w:rPr>
          <w:rFonts w:ascii="Arial" w:eastAsia="Calibri" w:hAnsi="Arial" w:cs="Arial"/>
          <w:bCs/>
          <w:sz w:val="26"/>
          <w:szCs w:val="26"/>
        </w:rPr>
        <w:t xml:space="preserve"> la Sala de Primera Instancia, </w:t>
      </w:r>
      <w:r w:rsidR="00126FB2" w:rsidRPr="008E2EB7">
        <w:rPr>
          <w:rFonts w:ascii="Arial" w:eastAsia="Calibri" w:hAnsi="Arial" w:cs="Arial"/>
          <w:bCs/>
          <w:sz w:val="26"/>
          <w:szCs w:val="26"/>
        </w:rPr>
        <w:t>dado que</w:t>
      </w:r>
      <w:r w:rsidRPr="008E2EB7">
        <w:rPr>
          <w:rFonts w:ascii="Arial" w:eastAsia="Calibri" w:hAnsi="Arial" w:cs="Arial"/>
          <w:bCs/>
          <w:sz w:val="26"/>
          <w:szCs w:val="26"/>
        </w:rPr>
        <w:t xml:space="preserve"> el tribunal debe resolver el juicio conforme a los principios de exhaustividad y congruencia de las sentencias</w:t>
      </w:r>
      <w:r w:rsidRPr="008E2EB7">
        <w:rPr>
          <w:rStyle w:val="Refdenotaalpie"/>
          <w:rFonts w:ascii="Arial" w:eastAsia="Calibri" w:hAnsi="Arial" w:cs="Arial"/>
          <w:bCs/>
          <w:sz w:val="26"/>
          <w:szCs w:val="26"/>
        </w:rPr>
        <w:footnoteReference w:id="7"/>
      </w:r>
      <w:r w:rsidRPr="008E2EB7">
        <w:rPr>
          <w:rFonts w:ascii="Arial" w:eastAsia="Calibri" w:hAnsi="Arial" w:cs="Arial"/>
          <w:bCs/>
          <w:sz w:val="26"/>
          <w:szCs w:val="26"/>
        </w:rPr>
        <w:t>, que al efecto se encuentran inmersos en lo establecido por los artículos 176 y 177 de la Ley de Justicia Administrativa para el Estado de Oaxaca.</w:t>
      </w:r>
      <w:r w:rsidR="00401EAC" w:rsidRPr="008E2EB7">
        <w:rPr>
          <w:rFonts w:ascii="Arial" w:eastAsia="Calibri" w:hAnsi="Arial" w:cs="Arial"/>
          <w:bCs/>
          <w:sz w:val="26"/>
          <w:szCs w:val="26"/>
        </w:rPr>
        <w:t>- - - -</w:t>
      </w:r>
      <w:r w:rsidR="00487D41">
        <w:rPr>
          <w:rFonts w:ascii="Arial" w:eastAsia="Calibri" w:hAnsi="Arial" w:cs="Arial"/>
          <w:bCs/>
          <w:sz w:val="26"/>
          <w:szCs w:val="26"/>
        </w:rPr>
        <w:t xml:space="preserve"> - - - - - - - - - - - - - - - - - - </w:t>
      </w:r>
    </w:p>
    <w:p w14:paraId="14F6B8FD" w14:textId="017FBE32" w:rsidR="00A614F1" w:rsidRPr="008E2EB7" w:rsidRDefault="00401EAC" w:rsidP="00685F2C">
      <w:pPr>
        <w:pStyle w:val="Sinespaciado"/>
        <w:rPr>
          <w:rFonts w:eastAsia="Calibri"/>
        </w:rPr>
      </w:pPr>
      <w:r w:rsidRPr="008E2EB7">
        <w:rPr>
          <w:rFonts w:eastAsia="Calibri"/>
        </w:rPr>
        <w:t xml:space="preserve"> </w:t>
      </w:r>
    </w:p>
    <w:p w14:paraId="1185D55A" w14:textId="1FA11C49" w:rsidR="00ED52B7" w:rsidRPr="008E2EB7" w:rsidRDefault="00A614F1" w:rsidP="00A614F1">
      <w:pPr>
        <w:spacing w:line="360" w:lineRule="auto"/>
        <w:jc w:val="both"/>
        <w:rPr>
          <w:rFonts w:ascii="Arial" w:hAnsi="Arial" w:cs="Arial"/>
          <w:bCs/>
          <w:color w:val="000000"/>
          <w:sz w:val="26"/>
          <w:szCs w:val="26"/>
        </w:rPr>
      </w:pPr>
      <w:r w:rsidRPr="008E2EB7">
        <w:rPr>
          <w:rFonts w:ascii="Arial" w:eastAsia="Calibri" w:hAnsi="Arial" w:cs="Arial"/>
          <w:bCs/>
          <w:sz w:val="26"/>
          <w:szCs w:val="26"/>
        </w:rPr>
        <w:t xml:space="preserve">         </w:t>
      </w:r>
      <w:r w:rsidRPr="008E2EB7">
        <w:rPr>
          <w:rFonts w:ascii="Arial" w:eastAsia="Calibri" w:hAnsi="Arial"/>
          <w:sz w:val="26"/>
          <w:szCs w:val="26"/>
        </w:rPr>
        <w:t>Consecuentemente, esta Sala Superior concluye que lo</w:t>
      </w:r>
      <w:r w:rsidRPr="008E2EB7">
        <w:rPr>
          <w:rFonts w:ascii="Arial" w:hAnsi="Arial" w:cs="Arial"/>
          <w:sz w:val="26"/>
          <w:szCs w:val="26"/>
        </w:rPr>
        <w:t xml:space="preserve"> procedente </w:t>
      </w:r>
      <w:r w:rsidR="00F10331" w:rsidRPr="008E2EB7">
        <w:rPr>
          <w:rFonts w:ascii="Arial" w:hAnsi="Arial" w:cs="Arial"/>
          <w:sz w:val="26"/>
          <w:szCs w:val="26"/>
        </w:rPr>
        <w:t xml:space="preserve">es </w:t>
      </w:r>
      <w:r w:rsidR="00F10331" w:rsidRPr="008E2EB7">
        <w:rPr>
          <w:rFonts w:ascii="Arial" w:hAnsi="Arial" w:cs="Arial"/>
          <w:b/>
          <w:bCs/>
          <w:sz w:val="26"/>
          <w:szCs w:val="26"/>
        </w:rPr>
        <w:t>REVOCAR</w:t>
      </w:r>
      <w:r w:rsidRPr="008E2EB7">
        <w:rPr>
          <w:rFonts w:ascii="Arial" w:hAnsi="Arial" w:cs="Arial"/>
          <w:b/>
          <w:bCs/>
          <w:sz w:val="26"/>
          <w:szCs w:val="26"/>
        </w:rPr>
        <w:t xml:space="preserve"> </w:t>
      </w:r>
      <w:r w:rsidRPr="008E2EB7">
        <w:rPr>
          <w:rFonts w:ascii="Arial" w:hAnsi="Arial" w:cs="Arial"/>
          <w:sz w:val="26"/>
          <w:szCs w:val="26"/>
        </w:rPr>
        <w:t xml:space="preserve">la resolución de veinte de enero de  dos mil veinte, </w:t>
      </w:r>
      <w:r w:rsidRPr="008E2EB7">
        <w:rPr>
          <w:rFonts w:ascii="Arial" w:hAnsi="Arial" w:cs="Arial"/>
          <w:bCs/>
          <w:color w:val="000000"/>
          <w:sz w:val="26"/>
          <w:szCs w:val="26"/>
        </w:rPr>
        <w:t xml:space="preserve">devolviéndose los autos a la Sala de origen </w:t>
      </w:r>
      <w:r w:rsidR="00A04059" w:rsidRPr="008E2EB7">
        <w:rPr>
          <w:rFonts w:ascii="Arial" w:hAnsi="Arial" w:cs="Arial"/>
          <w:bCs/>
          <w:color w:val="000000"/>
          <w:sz w:val="26"/>
          <w:szCs w:val="26"/>
        </w:rPr>
        <w:t>para</w:t>
      </w:r>
      <w:r w:rsidRPr="008E2EB7">
        <w:rPr>
          <w:rFonts w:ascii="Arial" w:hAnsi="Arial" w:cs="Arial"/>
          <w:bCs/>
          <w:color w:val="000000"/>
          <w:sz w:val="26"/>
          <w:szCs w:val="26"/>
        </w:rPr>
        <w:t xml:space="preserve"> que </w:t>
      </w:r>
      <w:r w:rsidRPr="008E2EB7">
        <w:rPr>
          <w:rFonts w:ascii="Arial" w:hAnsi="Arial" w:cs="Arial"/>
          <w:b/>
          <w:bCs/>
          <w:color w:val="000000"/>
          <w:sz w:val="26"/>
          <w:szCs w:val="26"/>
        </w:rPr>
        <w:t>agote su jurisdicción</w:t>
      </w:r>
      <w:r w:rsidR="00EA2BF0" w:rsidRPr="008E2EB7">
        <w:rPr>
          <w:rFonts w:ascii="Arial" w:hAnsi="Arial" w:cs="Arial"/>
          <w:b/>
          <w:bCs/>
          <w:color w:val="000000"/>
          <w:sz w:val="26"/>
          <w:szCs w:val="26"/>
        </w:rPr>
        <w:t>,</w:t>
      </w:r>
      <w:r w:rsidR="00665FCA" w:rsidRPr="008E2EB7">
        <w:rPr>
          <w:rFonts w:ascii="Arial" w:hAnsi="Arial" w:cs="Arial"/>
          <w:b/>
          <w:sz w:val="28"/>
          <w:szCs w:val="28"/>
        </w:rPr>
        <w:t xml:space="preserve"> </w:t>
      </w:r>
      <w:r w:rsidR="00665FCA" w:rsidRPr="008E2EB7">
        <w:rPr>
          <w:rFonts w:ascii="Arial" w:hAnsi="Arial" w:cs="Arial"/>
          <w:b/>
          <w:sz w:val="26"/>
          <w:szCs w:val="26"/>
        </w:rPr>
        <w:t xml:space="preserve">a fin de </w:t>
      </w:r>
      <w:r w:rsidR="00A04059" w:rsidRPr="008E2EB7">
        <w:rPr>
          <w:rFonts w:ascii="Arial" w:hAnsi="Arial" w:cs="Arial"/>
          <w:b/>
          <w:sz w:val="26"/>
          <w:szCs w:val="26"/>
        </w:rPr>
        <w:t>que resuelva</w:t>
      </w:r>
      <w:r w:rsidR="00665FCA" w:rsidRPr="008E2EB7">
        <w:rPr>
          <w:rFonts w:ascii="Arial" w:hAnsi="Arial" w:cs="Arial"/>
          <w:b/>
          <w:sz w:val="26"/>
          <w:szCs w:val="26"/>
        </w:rPr>
        <w:t xml:space="preserve"> sobre la validez o </w:t>
      </w:r>
      <w:r w:rsidR="005757F5" w:rsidRPr="008E2EB7">
        <w:rPr>
          <w:rFonts w:ascii="Arial" w:hAnsi="Arial" w:cs="Arial"/>
          <w:b/>
          <w:sz w:val="26"/>
          <w:szCs w:val="26"/>
        </w:rPr>
        <w:t xml:space="preserve"> </w:t>
      </w:r>
      <w:r w:rsidR="00665FCA" w:rsidRPr="008E2EB7">
        <w:rPr>
          <w:rFonts w:ascii="Arial" w:hAnsi="Arial" w:cs="Arial"/>
          <w:b/>
          <w:sz w:val="26"/>
          <w:szCs w:val="26"/>
        </w:rPr>
        <w:t>nulidad de</w:t>
      </w:r>
      <w:r w:rsidR="00EA2BF0" w:rsidRPr="008E2EB7">
        <w:rPr>
          <w:rFonts w:ascii="Arial" w:hAnsi="Arial" w:cs="Arial"/>
          <w:b/>
          <w:sz w:val="26"/>
          <w:szCs w:val="26"/>
        </w:rPr>
        <w:t xml:space="preserve"> </w:t>
      </w:r>
      <w:r w:rsidR="00A04059" w:rsidRPr="008E2EB7">
        <w:rPr>
          <w:rFonts w:ascii="Arial" w:hAnsi="Arial" w:cs="Arial"/>
          <w:b/>
          <w:sz w:val="26"/>
          <w:szCs w:val="26"/>
        </w:rPr>
        <w:t xml:space="preserve">la </w:t>
      </w:r>
      <w:r w:rsidR="00A04059" w:rsidRPr="008E2EB7">
        <w:rPr>
          <w:rFonts w:ascii="Arial" w:hAnsi="Arial" w:cs="Arial"/>
          <w:b/>
          <w:sz w:val="26"/>
          <w:szCs w:val="26"/>
        </w:rPr>
        <w:lastRenderedPageBreak/>
        <w:t>negativa ficta</w:t>
      </w:r>
      <w:r w:rsidR="00ED52B7" w:rsidRPr="008E2EB7">
        <w:rPr>
          <w:rFonts w:ascii="Arial" w:hAnsi="Arial" w:cs="Arial"/>
          <w:b/>
          <w:bCs/>
          <w:sz w:val="26"/>
          <w:szCs w:val="26"/>
        </w:rPr>
        <w:t>,</w:t>
      </w:r>
      <w:r w:rsidR="00665FCA" w:rsidRPr="008E2EB7">
        <w:rPr>
          <w:rFonts w:ascii="Arial" w:hAnsi="Arial" w:cs="Arial"/>
          <w:b/>
          <w:bCs/>
          <w:color w:val="000000"/>
          <w:sz w:val="26"/>
          <w:szCs w:val="26"/>
        </w:rPr>
        <w:t xml:space="preserve"> analiza</w:t>
      </w:r>
      <w:r w:rsidR="00A04059" w:rsidRPr="008E2EB7">
        <w:rPr>
          <w:rFonts w:ascii="Arial" w:hAnsi="Arial" w:cs="Arial"/>
          <w:b/>
          <w:bCs/>
          <w:color w:val="000000"/>
          <w:sz w:val="26"/>
          <w:szCs w:val="26"/>
        </w:rPr>
        <w:t>ndo</w:t>
      </w:r>
      <w:r w:rsidRPr="008E2EB7">
        <w:rPr>
          <w:rFonts w:ascii="Arial" w:hAnsi="Arial" w:cs="Arial"/>
          <w:b/>
          <w:bCs/>
          <w:color w:val="000000"/>
          <w:sz w:val="26"/>
          <w:szCs w:val="26"/>
        </w:rPr>
        <w:t xml:space="preserve"> </w:t>
      </w:r>
      <w:r w:rsidR="00665FCA" w:rsidRPr="008E2EB7">
        <w:rPr>
          <w:rFonts w:ascii="Arial" w:hAnsi="Arial" w:cs="Arial"/>
          <w:b/>
          <w:bCs/>
          <w:color w:val="000000"/>
          <w:sz w:val="26"/>
          <w:szCs w:val="26"/>
        </w:rPr>
        <w:t>de forma minuciosa los argumentos de las partes en el juicio</w:t>
      </w:r>
      <w:r w:rsidR="00ED52B7" w:rsidRPr="008E2EB7">
        <w:rPr>
          <w:rFonts w:ascii="Arial" w:hAnsi="Arial" w:cs="Arial"/>
          <w:b/>
          <w:bCs/>
          <w:color w:val="000000"/>
          <w:sz w:val="26"/>
          <w:szCs w:val="26"/>
        </w:rPr>
        <w:t xml:space="preserve"> y</w:t>
      </w:r>
      <w:r w:rsidR="00665FCA" w:rsidRPr="008E2EB7">
        <w:rPr>
          <w:rFonts w:ascii="Arial" w:hAnsi="Arial" w:cs="Arial"/>
          <w:b/>
          <w:bCs/>
          <w:color w:val="000000"/>
          <w:sz w:val="26"/>
          <w:szCs w:val="26"/>
        </w:rPr>
        <w:t xml:space="preserve"> todas las</w:t>
      </w:r>
      <w:r w:rsidRPr="008E2EB7">
        <w:rPr>
          <w:rFonts w:ascii="Arial" w:hAnsi="Arial" w:cs="Arial"/>
          <w:b/>
          <w:bCs/>
          <w:color w:val="000000"/>
          <w:sz w:val="26"/>
          <w:szCs w:val="26"/>
        </w:rPr>
        <w:t xml:space="preserve"> probanzas </w:t>
      </w:r>
      <w:r w:rsidR="00665FCA" w:rsidRPr="008E2EB7">
        <w:rPr>
          <w:rFonts w:ascii="Arial" w:hAnsi="Arial" w:cs="Arial"/>
          <w:b/>
          <w:bCs/>
          <w:color w:val="000000"/>
          <w:sz w:val="26"/>
          <w:szCs w:val="26"/>
        </w:rPr>
        <w:t>que aportan</w:t>
      </w:r>
      <w:r w:rsidR="00ED52B7" w:rsidRPr="008E2EB7">
        <w:rPr>
          <w:rFonts w:ascii="Arial" w:hAnsi="Arial" w:cs="Arial"/>
          <w:b/>
          <w:bCs/>
          <w:color w:val="000000"/>
          <w:sz w:val="26"/>
          <w:szCs w:val="26"/>
        </w:rPr>
        <w:t>;</w:t>
      </w:r>
      <w:r w:rsidR="00ED52B7" w:rsidRPr="008E2EB7">
        <w:rPr>
          <w:rFonts w:ascii="Arial" w:hAnsi="Arial" w:cs="Arial"/>
          <w:b/>
          <w:color w:val="000000"/>
          <w:sz w:val="26"/>
          <w:szCs w:val="26"/>
        </w:rPr>
        <w:t xml:space="preserve"> en todo caso, allegarse de todos lo</w:t>
      </w:r>
      <w:r w:rsidR="0006570F" w:rsidRPr="008E2EB7">
        <w:rPr>
          <w:rFonts w:ascii="Arial" w:hAnsi="Arial" w:cs="Arial"/>
          <w:b/>
          <w:color w:val="000000"/>
          <w:sz w:val="26"/>
          <w:szCs w:val="26"/>
        </w:rPr>
        <w:t>s</w:t>
      </w:r>
      <w:r w:rsidR="00ED52B7" w:rsidRPr="008E2EB7">
        <w:rPr>
          <w:rFonts w:ascii="Arial" w:hAnsi="Arial" w:cs="Arial"/>
          <w:b/>
          <w:color w:val="000000"/>
          <w:sz w:val="26"/>
          <w:szCs w:val="26"/>
        </w:rPr>
        <w:t xml:space="preserve"> elementos necesarios para resolver de forma adecuada el presente asunto</w:t>
      </w:r>
      <w:r w:rsidR="00ED52B7" w:rsidRPr="008E2EB7">
        <w:rPr>
          <w:rFonts w:ascii="Arial" w:hAnsi="Arial" w:cs="Arial"/>
          <w:bCs/>
          <w:color w:val="000000"/>
          <w:sz w:val="26"/>
          <w:szCs w:val="26"/>
        </w:rPr>
        <w:t>, conforme a las atribuciones que le confiere el artículo 160 de la Ley de Justicia Administrativa para el Estado de Oaxaca</w:t>
      </w:r>
      <w:r w:rsidR="0006570F" w:rsidRPr="008E2EB7">
        <w:rPr>
          <w:rFonts w:ascii="Arial" w:hAnsi="Arial" w:cs="Arial"/>
          <w:bCs/>
          <w:color w:val="000000"/>
          <w:sz w:val="26"/>
          <w:szCs w:val="26"/>
        </w:rPr>
        <w:t>,</w:t>
      </w:r>
      <w:r w:rsidR="00ED52B7" w:rsidRPr="008E2EB7">
        <w:rPr>
          <w:rFonts w:ascii="Arial" w:hAnsi="Arial" w:cs="Arial"/>
          <w:bCs/>
          <w:color w:val="000000"/>
          <w:sz w:val="26"/>
          <w:szCs w:val="26"/>
        </w:rPr>
        <w:t xml:space="preserve"> vigente </w:t>
      </w:r>
      <w:r w:rsidR="0006570F" w:rsidRPr="008E2EB7">
        <w:rPr>
          <w:rFonts w:ascii="Arial" w:hAnsi="Arial" w:cs="Arial"/>
          <w:bCs/>
          <w:color w:val="000000"/>
          <w:sz w:val="26"/>
          <w:szCs w:val="26"/>
        </w:rPr>
        <w:t>al inicio del juicio natural</w:t>
      </w:r>
      <w:r w:rsidR="00BF3698" w:rsidRPr="008E2EB7">
        <w:rPr>
          <w:rFonts w:ascii="Arial" w:hAnsi="Arial" w:cs="Arial"/>
          <w:bCs/>
          <w:color w:val="000000"/>
          <w:sz w:val="26"/>
          <w:szCs w:val="26"/>
        </w:rPr>
        <w:t xml:space="preserve">; </w:t>
      </w:r>
      <w:r w:rsidR="00BF3698" w:rsidRPr="008E2EB7">
        <w:rPr>
          <w:rFonts w:ascii="Arial" w:hAnsi="Arial" w:cs="Arial"/>
          <w:b/>
          <w:color w:val="000000"/>
          <w:sz w:val="26"/>
          <w:szCs w:val="26"/>
        </w:rPr>
        <w:t>y, observar el debido proceso</w:t>
      </w:r>
      <w:r w:rsidR="00ED52B7" w:rsidRPr="008E2EB7">
        <w:rPr>
          <w:rFonts w:ascii="Arial" w:hAnsi="Arial" w:cs="Arial"/>
          <w:bCs/>
          <w:color w:val="000000"/>
          <w:sz w:val="26"/>
          <w:szCs w:val="26"/>
        </w:rPr>
        <w:t xml:space="preserve">. - - - </w:t>
      </w:r>
      <w:r w:rsidR="0006570F" w:rsidRPr="008E2EB7">
        <w:rPr>
          <w:rFonts w:ascii="Arial" w:hAnsi="Arial" w:cs="Arial"/>
          <w:bCs/>
          <w:color w:val="000000"/>
          <w:sz w:val="26"/>
          <w:szCs w:val="26"/>
        </w:rPr>
        <w:t>- - - - - - - - - - - - - - - - - - -</w:t>
      </w:r>
      <w:r w:rsidR="00685F2C">
        <w:rPr>
          <w:rFonts w:ascii="Arial" w:hAnsi="Arial" w:cs="Arial"/>
          <w:bCs/>
          <w:color w:val="000000"/>
          <w:sz w:val="26"/>
          <w:szCs w:val="26"/>
        </w:rPr>
        <w:t xml:space="preserve"> - - - - - - - - - - - - - - - - -</w:t>
      </w:r>
    </w:p>
    <w:p w14:paraId="58238618" w14:textId="62E212B9" w:rsidR="00A614F1" w:rsidRPr="008E2EB7" w:rsidRDefault="00ED52B7" w:rsidP="00A614F1">
      <w:pPr>
        <w:spacing w:line="360" w:lineRule="auto"/>
        <w:jc w:val="both"/>
        <w:rPr>
          <w:rFonts w:ascii="Arial" w:hAnsi="Arial" w:cs="Arial"/>
          <w:sz w:val="26"/>
          <w:szCs w:val="26"/>
        </w:rPr>
      </w:pPr>
      <w:r w:rsidRPr="008E2EB7">
        <w:rPr>
          <w:rFonts w:ascii="Arial" w:hAnsi="Arial" w:cs="Arial"/>
          <w:bCs/>
          <w:color w:val="000000"/>
          <w:sz w:val="26"/>
          <w:szCs w:val="26"/>
        </w:rPr>
        <w:t xml:space="preserve">      </w:t>
      </w:r>
      <w:r w:rsidR="00EA2BF0" w:rsidRPr="008E2EB7">
        <w:rPr>
          <w:rFonts w:ascii="Arial" w:hAnsi="Arial" w:cs="Arial"/>
          <w:bCs/>
          <w:color w:val="000000"/>
          <w:sz w:val="26"/>
          <w:szCs w:val="26"/>
        </w:rPr>
        <w:t xml:space="preserve"> La devolución del de los autos a la Sala Unitaria de Primera Instancia </w:t>
      </w:r>
      <w:r w:rsidR="00EA2BF0" w:rsidRPr="008E2EB7">
        <w:rPr>
          <w:rFonts w:ascii="Arial" w:hAnsi="Arial" w:cs="Arial"/>
          <w:sz w:val="26"/>
          <w:szCs w:val="26"/>
        </w:rPr>
        <w:t>no implica</w:t>
      </w:r>
      <w:r w:rsidR="00A614F1" w:rsidRPr="008E2EB7">
        <w:rPr>
          <w:rFonts w:ascii="Arial" w:hAnsi="Arial" w:cs="Arial"/>
          <w:sz w:val="26"/>
          <w:szCs w:val="26"/>
        </w:rPr>
        <w:t xml:space="preserve"> reenv</w:t>
      </w:r>
      <w:r w:rsidR="00176B2B" w:rsidRPr="008E2EB7">
        <w:rPr>
          <w:rFonts w:ascii="Arial" w:hAnsi="Arial" w:cs="Arial"/>
          <w:sz w:val="26"/>
          <w:szCs w:val="26"/>
        </w:rPr>
        <w:t>ío</w:t>
      </w:r>
      <w:r w:rsidR="00A614F1" w:rsidRPr="008E2EB7">
        <w:rPr>
          <w:rFonts w:ascii="Arial" w:hAnsi="Arial" w:cs="Arial"/>
          <w:sz w:val="26"/>
          <w:szCs w:val="26"/>
        </w:rPr>
        <w:t>, virtud a que este órgano revisor no tiene facultades para pronunciarse de un asunto, donde la juzgadora no agotó la obligación que le impone la ley para resolver acerca de todas las cuestiones sometidas a su consideración</w:t>
      </w:r>
      <w:r w:rsidR="00A614F1" w:rsidRPr="008E2EB7">
        <w:rPr>
          <w:rFonts w:ascii="Arial" w:eastAsia="Calibri" w:hAnsi="Arial" w:cs="Arial"/>
          <w:sz w:val="26"/>
          <w:szCs w:val="26"/>
        </w:rPr>
        <w:t>, como lo establece el artículo 177, de la Ley de Justicia Administrativa para el Estado de Oaxaca.</w:t>
      </w:r>
      <w:r w:rsidR="00EA2BF0" w:rsidRPr="008E2EB7">
        <w:rPr>
          <w:rFonts w:ascii="Arial" w:eastAsia="Calibri" w:hAnsi="Arial" w:cs="Arial"/>
          <w:sz w:val="26"/>
          <w:szCs w:val="26"/>
        </w:rPr>
        <w:t xml:space="preserve"> - - - </w:t>
      </w:r>
    </w:p>
    <w:p w14:paraId="65DC2BCC" w14:textId="147F55A5" w:rsidR="00A614F1" w:rsidRPr="008E2EB7" w:rsidRDefault="00A614F1" w:rsidP="00A614F1">
      <w:pPr>
        <w:spacing w:line="360" w:lineRule="auto"/>
        <w:jc w:val="both"/>
        <w:rPr>
          <w:rFonts w:ascii="Arial" w:eastAsia="Times New Roman" w:hAnsi="Arial" w:cs="Times New Roman"/>
          <w:color w:val="000000"/>
          <w:sz w:val="24"/>
          <w:szCs w:val="24"/>
        </w:rPr>
      </w:pPr>
      <w:r w:rsidRPr="008E2EB7">
        <w:rPr>
          <w:rFonts w:ascii="Arial" w:eastAsia="Calibri" w:hAnsi="Arial" w:cs="Arial"/>
          <w:bCs/>
          <w:sz w:val="24"/>
          <w:szCs w:val="24"/>
        </w:rPr>
        <w:t xml:space="preserve">      Tiene aplicación el criterio emitido por la Sala Superior de este Tribunal, Tesis TCASS0008/2011TO.1AD, Número de Registro 8, Primera </w:t>
      </w:r>
      <w:r w:rsidRPr="008E2EB7">
        <w:rPr>
          <w:rFonts w:ascii="Arial" w:eastAsia="Times New Roman" w:hAnsi="Arial" w:cs="Arial"/>
          <w:color w:val="000000"/>
          <w:sz w:val="24"/>
          <w:szCs w:val="24"/>
        </w:rPr>
        <w:t xml:space="preserve">Época, fuente Boletín número 1 </w:t>
      </w:r>
      <w:r w:rsidRPr="008E2EB7">
        <w:rPr>
          <w:rFonts w:ascii="Arial" w:eastAsia="Times New Roman" w:hAnsi="Arial" w:cs="Times New Roman"/>
          <w:color w:val="000000"/>
          <w:sz w:val="24"/>
          <w:szCs w:val="24"/>
        </w:rPr>
        <w:t>del Tribunal de lo Contencioso Administrativo para el Estado de Oaxaca, Tomo I, Enero de 2011, visible a página 8, de rubro y texto, siguientes:</w:t>
      </w:r>
      <w:r w:rsidR="00B009FB" w:rsidRPr="00B009FB">
        <w:rPr>
          <w:rFonts w:ascii="Arial" w:eastAsia="Calibri" w:hAnsi="Arial" w:cs="Arial"/>
          <w:bCs/>
          <w:sz w:val="26"/>
          <w:szCs w:val="26"/>
        </w:rPr>
        <w:t xml:space="preserve"> </w:t>
      </w:r>
      <w:r w:rsidR="00B009FB">
        <w:rPr>
          <w:rFonts w:ascii="Arial" w:eastAsia="Calibri" w:hAnsi="Arial" w:cs="Arial"/>
          <w:bCs/>
          <w:sz w:val="26"/>
          <w:szCs w:val="26"/>
        </w:rPr>
        <w:t>- - - - - - - - - - - - - - - - - - - - - - - - - - - - - - - - - - - - - - - - - - - -</w:t>
      </w:r>
    </w:p>
    <w:p w14:paraId="4A890C39" w14:textId="77777777" w:rsidR="00A614F1" w:rsidRPr="00E15742" w:rsidRDefault="00A614F1" w:rsidP="00A614F1">
      <w:pPr>
        <w:widowControl w:val="0"/>
        <w:tabs>
          <w:tab w:val="left" w:pos="567"/>
        </w:tabs>
        <w:spacing w:before="240" w:after="0"/>
        <w:ind w:left="567" w:right="474"/>
        <w:jc w:val="both"/>
        <w:rPr>
          <w:rFonts w:ascii="Arial" w:hAnsi="Arial" w:cs="Arial"/>
          <w:bCs/>
          <w:i/>
          <w:sz w:val="24"/>
          <w:szCs w:val="24"/>
        </w:rPr>
      </w:pPr>
      <w:r w:rsidRPr="00E15742">
        <w:rPr>
          <w:rFonts w:ascii="Arial" w:hAnsi="Arial" w:cs="Arial"/>
          <w:b/>
          <w:bCs/>
          <w:i/>
          <w:sz w:val="24"/>
          <w:szCs w:val="24"/>
        </w:rPr>
        <w:t xml:space="preserve"> “SENTENCIA PARA EFECTOS. LA SALA SUPERIOR AL RESOLVER EL RECURSO DE REVISIÓN NO PUEDE DICTARLA CUANDO LA PRIMERA INSTANCIA NO AGOTÓ SU JURISDICCIÓN.</w:t>
      </w:r>
      <w:r w:rsidRPr="00E15742">
        <w:rPr>
          <w:rFonts w:ascii="Arial" w:hAnsi="Arial" w:cs="Arial"/>
          <w:bCs/>
          <w:i/>
          <w:sz w:val="24"/>
          <w:szCs w:val="24"/>
        </w:rPr>
        <w:t xml:space="preserve"> 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06A6BBC1" w14:textId="77777777" w:rsidR="00A614F1" w:rsidRPr="008E2EB7" w:rsidRDefault="00A614F1" w:rsidP="00EA2BF0">
      <w:pPr>
        <w:widowControl w:val="0"/>
        <w:tabs>
          <w:tab w:val="left" w:pos="567"/>
        </w:tabs>
        <w:spacing w:before="240" w:after="0"/>
        <w:ind w:right="333"/>
        <w:jc w:val="both"/>
        <w:rPr>
          <w:rFonts w:ascii="Arial" w:hAnsi="Arial" w:cs="Arial"/>
          <w:bCs/>
          <w:i/>
        </w:rPr>
      </w:pPr>
    </w:p>
    <w:p w14:paraId="7DC29DCA" w14:textId="1A4BBFE9" w:rsidR="00A614F1" w:rsidRDefault="00A614F1" w:rsidP="00401EAC">
      <w:pPr>
        <w:spacing w:after="120" w:line="360" w:lineRule="auto"/>
        <w:ind w:firstLine="708"/>
        <w:jc w:val="both"/>
        <w:rPr>
          <w:rFonts w:ascii="Arial" w:eastAsia="Times New Roman" w:hAnsi="Arial" w:cs="Times New Roman"/>
          <w:color w:val="000000"/>
          <w:sz w:val="24"/>
          <w:szCs w:val="24"/>
        </w:rPr>
      </w:pPr>
      <w:r w:rsidRPr="008E2EB7">
        <w:rPr>
          <w:rFonts w:ascii="Arial" w:hAnsi="Arial" w:cs="Arial"/>
          <w:bCs/>
          <w:sz w:val="24"/>
          <w:szCs w:val="24"/>
        </w:rPr>
        <w:t xml:space="preserve">También se invoca la Tesis Aislada, sostenida por </w:t>
      </w:r>
      <w:r w:rsidRPr="008E2EB7">
        <w:rPr>
          <w:rFonts w:ascii="Arial" w:eastAsia="Times New Roman" w:hAnsi="Arial" w:cs="Times New Roman"/>
          <w:color w:val="000000"/>
          <w:sz w:val="24"/>
          <w:szCs w:val="24"/>
        </w:rPr>
        <w:t>Tribunales Colegiados de Circuito,</w:t>
      </w:r>
      <w:r w:rsidRPr="008E2EB7">
        <w:rPr>
          <w:rFonts w:ascii="Arial" w:eastAsia="Times New Roman" w:hAnsi="Arial" w:cs="Arial"/>
          <w:color w:val="000000"/>
          <w:sz w:val="24"/>
          <w:szCs w:val="24"/>
        </w:rPr>
        <w:t xml:space="preserve"> Octava Época, </w:t>
      </w:r>
      <w:r w:rsidRPr="008E2EB7">
        <w:rPr>
          <w:rFonts w:ascii="Arial" w:eastAsia="Times New Roman" w:hAnsi="Arial" w:cs="Times New Roman"/>
          <w:color w:val="000000"/>
          <w:sz w:val="24"/>
          <w:szCs w:val="24"/>
        </w:rPr>
        <w:t>con número de registro 223025, del Semanario Judicial de la Federación, Tomo VII, Mayo de 1991, visible a página 277, de rubro y texto, siguientes:</w:t>
      </w:r>
      <w:r w:rsidR="00E15742">
        <w:rPr>
          <w:rFonts w:ascii="Arial" w:eastAsia="Times New Roman" w:hAnsi="Arial" w:cs="Times New Roman"/>
          <w:color w:val="000000"/>
          <w:sz w:val="24"/>
          <w:szCs w:val="24"/>
        </w:rPr>
        <w:t xml:space="preserve"> - - - - - - - - - - - - - - - - - - - - - - - - - - - - - - - - -</w:t>
      </w:r>
    </w:p>
    <w:p w14:paraId="670E0564" w14:textId="77777777" w:rsidR="00E15742" w:rsidRPr="008E2EB7" w:rsidRDefault="00E15742" w:rsidP="00E15742">
      <w:pPr>
        <w:pStyle w:val="Sinespaciado"/>
        <w:rPr>
          <w:rFonts w:eastAsia="Times New Roman"/>
        </w:rPr>
      </w:pPr>
    </w:p>
    <w:p w14:paraId="2E2C515C" w14:textId="77777777" w:rsidR="00A614F1" w:rsidRPr="008E0CCC" w:rsidRDefault="00A614F1" w:rsidP="00A614F1">
      <w:pPr>
        <w:widowControl w:val="0"/>
        <w:autoSpaceDE w:val="0"/>
        <w:autoSpaceDN w:val="0"/>
        <w:adjustRightInd w:val="0"/>
        <w:spacing w:after="120"/>
        <w:ind w:left="851" w:right="616"/>
        <w:jc w:val="both"/>
        <w:rPr>
          <w:rFonts w:ascii="Arial" w:eastAsia="Times New Roman" w:hAnsi="Arial" w:cs="Times New Roman"/>
          <w:i/>
          <w:color w:val="000000"/>
          <w:sz w:val="24"/>
          <w:szCs w:val="24"/>
        </w:rPr>
      </w:pPr>
      <w:r w:rsidRPr="008E0CCC">
        <w:rPr>
          <w:rFonts w:ascii="Arial" w:eastAsia="Times New Roman" w:hAnsi="Arial" w:cs="Times New Roman"/>
          <w:b/>
          <w:i/>
          <w:color w:val="000000"/>
          <w:sz w:val="24"/>
          <w:szCs w:val="24"/>
        </w:rPr>
        <w:t xml:space="preserve"> “REENVIO. EL TRIBUNAL DE ALZADA NO TIENE FACULTADES PARA FALLAR UN ASUNTO EN QUE EL JUEZ </w:t>
      </w:r>
      <w:r w:rsidRPr="008E0CCC">
        <w:rPr>
          <w:rFonts w:ascii="Arial" w:eastAsia="Times New Roman" w:hAnsi="Arial" w:cs="Times New Roman"/>
          <w:b/>
          <w:i/>
          <w:color w:val="000000"/>
          <w:sz w:val="24"/>
          <w:szCs w:val="24"/>
        </w:rPr>
        <w:lastRenderedPageBreak/>
        <w:t xml:space="preserve">NATURAL AUN NO HA PRONUNCIADO SENTENCIA. </w:t>
      </w:r>
      <w:r w:rsidRPr="008E0CCC">
        <w:rPr>
          <w:rFonts w:ascii="Arial" w:eastAsia="Times New Roman" w:hAnsi="Arial" w:cs="Times New Roman"/>
          <w:i/>
          <w:color w:val="000000"/>
          <w:sz w:val="24"/>
          <w:szCs w:val="24"/>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p>
    <w:p w14:paraId="1D9338FE" w14:textId="03AB53C8" w:rsidR="00D66125" w:rsidRPr="008E2EB7" w:rsidRDefault="00A614F1" w:rsidP="00401EAC">
      <w:pPr>
        <w:widowControl w:val="0"/>
        <w:tabs>
          <w:tab w:val="left" w:pos="0"/>
        </w:tabs>
        <w:spacing w:before="240" w:after="0" w:line="360" w:lineRule="auto"/>
        <w:ind w:right="18"/>
        <w:jc w:val="both"/>
        <w:rPr>
          <w:rFonts w:ascii="Arial" w:eastAsiaTheme="minorHAnsi" w:hAnsi="Arial" w:cs="Arial"/>
          <w:sz w:val="26"/>
          <w:szCs w:val="26"/>
        </w:rPr>
      </w:pPr>
      <w:r w:rsidRPr="008E2EB7">
        <w:rPr>
          <w:rFonts w:ascii="Arial" w:eastAsia="Calibri" w:hAnsi="Arial" w:cs="Arial"/>
          <w:bCs/>
          <w:sz w:val="26"/>
          <w:szCs w:val="26"/>
        </w:rPr>
        <w:t xml:space="preserve">       Al ser, </w:t>
      </w:r>
      <w:r w:rsidRPr="008E2EB7">
        <w:rPr>
          <w:rFonts w:ascii="Arial" w:eastAsia="Calibri" w:hAnsi="Arial" w:cs="Arial"/>
          <w:b/>
          <w:bCs/>
          <w:sz w:val="26"/>
          <w:szCs w:val="26"/>
        </w:rPr>
        <w:t>sustancialmente</w:t>
      </w:r>
      <w:r w:rsidRPr="008E2EB7">
        <w:rPr>
          <w:rFonts w:ascii="Arial" w:eastAsia="Calibri" w:hAnsi="Arial" w:cs="Arial"/>
          <w:bCs/>
          <w:sz w:val="26"/>
          <w:szCs w:val="26"/>
        </w:rPr>
        <w:t xml:space="preserve"> </w:t>
      </w:r>
      <w:r w:rsidRPr="008E2EB7">
        <w:rPr>
          <w:rFonts w:ascii="Arial" w:eastAsia="Calibri" w:hAnsi="Arial" w:cs="Arial"/>
          <w:b/>
          <w:bCs/>
          <w:sz w:val="26"/>
          <w:szCs w:val="26"/>
        </w:rPr>
        <w:t>fundado</w:t>
      </w:r>
      <w:r w:rsidRPr="008E2EB7">
        <w:rPr>
          <w:rFonts w:ascii="Arial" w:eastAsia="Calibri" w:hAnsi="Arial" w:cs="Arial"/>
          <w:bCs/>
          <w:sz w:val="26"/>
          <w:szCs w:val="26"/>
        </w:rPr>
        <w:t xml:space="preserve"> </w:t>
      </w:r>
      <w:r w:rsidR="00ED4C7F" w:rsidRPr="008E2EB7">
        <w:rPr>
          <w:rFonts w:ascii="Arial" w:eastAsia="Calibri" w:hAnsi="Arial" w:cs="Arial"/>
          <w:bCs/>
          <w:sz w:val="26"/>
          <w:szCs w:val="26"/>
        </w:rPr>
        <w:t>el</w:t>
      </w:r>
      <w:r w:rsidRPr="008E2EB7">
        <w:rPr>
          <w:rFonts w:ascii="Arial" w:eastAsia="Calibri" w:hAnsi="Arial" w:cs="Arial"/>
          <w:bCs/>
          <w:sz w:val="26"/>
          <w:szCs w:val="26"/>
        </w:rPr>
        <w:t xml:space="preserve"> agravio expuesto por la recurrente, lo procedente es </w:t>
      </w:r>
      <w:r w:rsidRPr="008E2EB7">
        <w:rPr>
          <w:rFonts w:ascii="Arial" w:eastAsia="Calibri" w:hAnsi="Arial" w:cs="Arial"/>
          <w:b/>
          <w:bCs/>
          <w:sz w:val="26"/>
          <w:szCs w:val="26"/>
        </w:rPr>
        <w:t xml:space="preserve">REVOCAR </w:t>
      </w:r>
      <w:r w:rsidRPr="008E2EB7">
        <w:rPr>
          <w:rFonts w:ascii="Arial" w:eastAsia="Calibri" w:hAnsi="Arial" w:cs="Arial"/>
          <w:bCs/>
          <w:sz w:val="26"/>
          <w:szCs w:val="26"/>
        </w:rPr>
        <w:t xml:space="preserve">la resolución alzada; y, </w:t>
      </w:r>
      <w:r w:rsidRPr="008E2EB7">
        <w:rPr>
          <w:rFonts w:ascii="Arial" w:hAnsi="Arial" w:cs="Arial"/>
          <w:sz w:val="26"/>
          <w:szCs w:val="26"/>
        </w:rPr>
        <w:t>con fundamento en los en los artículos 207 y 208 de la Ley de Justicia Administrativa para el Estado de Oaxaca, se:</w:t>
      </w:r>
      <w:r w:rsidR="008E0CCC">
        <w:rPr>
          <w:rFonts w:ascii="Arial" w:hAnsi="Arial" w:cs="Arial"/>
          <w:sz w:val="26"/>
          <w:szCs w:val="26"/>
        </w:rPr>
        <w:t>- - - - - - - - - - - - - - - - - - - -</w:t>
      </w:r>
    </w:p>
    <w:p w14:paraId="5D0A5EC1" w14:textId="6DD1FB9D" w:rsidR="00D66125" w:rsidRPr="0024308C" w:rsidRDefault="009667D0" w:rsidP="009667D0">
      <w:pPr>
        <w:pStyle w:val="Sinespaciado"/>
        <w:spacing w:before="240" w:line="360" w:lineRule="auto"/>
        <w:rPr>
          <w:rFonts w:ascii="Arial" w:hAnsi="Arial" w:cs="Arial"/>
          <w:b/>
          <w:sz w:val="26"/>
          <w:szCs w:val="26"/>
        </w:rPr>
      </w:pPr>
      <w:r w:rsidRPr="008E2EB7">
        <w:rPr>
          <w:rFonts w:ascii="Arial" w:hAnsi="Arial" w:cs="Arial"/>
          <w:b/>
          <w:sz w:val="24"/>
          <w:szCs w:val="24"/>
        </w:rPr>
        <w:t xml:space="preserve">                                                        </w:t>
      </w:r>
      <w:r w:rsidR="00107437" w:rsidRPr="0024308C">
        <w:rPr>
          <w:rFonts w:ascii="Arial" w:hAnsi="Arial" w:cs="Arial"/>
          <w:b/>
          <w:sz w:val="26"/>
          <w:szCs w:val="26"/>
        </w:rPr>
        <w:t>R E S U E L V E</w:t>
      </w:r>
    </w:p>
    <w:p w14:paraId="7C520271" w14:textId="1ADC05D7" w:rsidR="007F5AC3" w:rsidRPr="008E2EB7" w:rsidRDefault="00D66125" w:rsidP="00D66125">
      <w:pPr>
        <w:spacing w:after="0" w:line="360" w:lineRule="auto"/>
        <w:ind w:right="49" w:firstLine="567"/>
        <w:jc w:val="both"/>
        <w:rPr>
          <w:rFonts w:ascii="Arial" w:hAnsi="Arial" w:cs="Arial"/>
          <w:sz w:val="26"/>
          <w:szCs w:val="26"/>
        </w:rPr>
      </w:pPr>
      <w:r w:rsidRPr="008E2EB7">
        <w:rPr>
          <w:rFonts w:ascii="Arial" w:hAnsi="Arial" w:cs="Arial"/>
          <w:b/>
          <w:sz w:val="26"/>
          <w:szCs w:val="26"/>
        </w:rPr>
        <w:t>PRIMERO.</w:t>
      </w:r>
      <w:r w:rsidRPr="008E2EB7">
        <w:rPr>
          <w:rFonts w:ascii="Arial" w:hAnsi="Arial" w:cs="Arial"/>
          <w:sz w:val="26"/>
          <w:szCs w:val="26"/>
        </w:rPr>
        <w:t xml:space="preserve"> </w:t>
      </w:r>
      <w:r w:rsidR="007F5AC3" w:rsidRPr="008E2EB7">
        <w:rPr>
          <w:rFonts w:ascii="Arial" w:hAnsi="Arial" w:cs="Arial"/>
          <w:color w:val="000000"/>
          <w:sz w:val="26"/>
          <w:szCs w:val="26"/>
        </w:rPr>
        <w:t xml:space="preserve">Se </w:t>
      </w:r>
      <w:r w:rsidR="007F5AC3" w:rsidRPr="008E2EB7">
        <w:rPr>
          <w:rFonts w:ascii="Arial" w:hAnsi="Arial" w:cs="Arial"/>
          <w:b/>
          <w:color w:val="000000"/>
          <w:sz w:val="26"/>
          <w:szCs w:val="26"/>
        </w:rPr>
        <w:t xml:space="preserve">REVOCA </w:t>
      </w:r>
      <w:r w:rsidR="007F5AC3" w:rsidRPr="008E2EB7">
        <w:rPr>
          <w:rFonts w:ascii="Arial" w:hAnsi="Arial" w:cs="Arial"/>
          <w:color w:val="000000"/>
          <w:sz w:val="26"/>
          <w:szCs w:val="26"/>
        </w:rPr>
        <w:t xml:space="preserve">la resolución recurrida de </w:t>
      </w:r>
      <w:r w:rsidR="008E0CCC" w:rsidRPr="008E2EB7">
        <w:rPr>
          <w:rFonts w:ascii="Arial" w:hAnsi="Arial" w:cs="Arial"/>
          <w:color w:val="000000"/>
          <w:sz w:val="26"/>
          <w:szCs w:val="26"/>
        </w:rPr>
        <w:t>fecha veinte</w:t>
      </w:r>
      <w:r w:rsidR="007F5AC3" w:rsidRPr="008E2EB7">
        <w:rPr>
          <w:rFonts w:ascii="Arial" w:hAnsi="Arial" w:cs="Arial"/>
          <w:color w:val="000000"/>
          <w:sz w:val="26"/>
          <w:szCs w:val="26"/>
        </w:rPr>
        <w:t xml:space="preserve"> de enero de dos mil veinte, </w:t>
      </w:r>
      <w:r w:rsidR="00321A32" w:rsidRPr="008E2EB7">
        <w:rPr>
          <w:rFonts w:ascii="Arial" w:hAnsi="Arial" w:cs="Arial"/>
          <w:color w:val="000000"/>
          <w:sz w:val="26"/>
          <w:szCs w:val="26"/>
        </w:rPr>
        <w:t>para que se devuelvan</w:t>
      </w:r>
      <w:r w:rsidR="00321A32" w:rsidRPr="008E2EB7">
        <w:rPr>
          <w:rFonts w:ascii="Arial" w:hAnsi="Arial" w:cs="Arial"/>
          <w:bCs/>
          <w:color w:val="000000"/>
          <w:sz w:val="26"/>
          <w:szCs w:val="26"/>
        </w:rPr>
        <w:t xml:space="preserve"> los autos a la Sala de origen a fin de que </w:t>
      </w:r>
      <w:r w:rsidR="00321A32" w:rsidRPr="008E2EB7">
        <w:rPr>
          <w:rFonts w:ascii="Arial" w:hAnsi="Arial" w:cs="Arial"/>
          <w:b/>
          <w:bCs/>
          <w:color w:val="000000"/>
          <w:sz w:val="26"/>
          <w:szCs w:val="26"/>
        </w:rPr>
        <w:t>agote su jurisdicción,</w:t>
      </w:r>
      <w:r w:rsidR="00321A32" w:rsidRPr="008E2EB7">
        <w:rPr>
          <w:rFonts w:ascii="Arial" w:hAnsi="Arial" w:cs="Arial"/>
          <w:color w:val="000000"/>
          <w:sz w:val="26"/>
          <w:szCs w:val="26"/>
        </w:rPr>
        <w:t xml:space="preserve"> </w:t>
      </w:r>
      <w:r w:rsidR="007F5AC3" w:rsidRPr="008E2EB7">
        <w:rPr>
          <w:rFonts w:ascii="Arial" w:hAnsi="Arial" w:cs="Arial"/>
          <w:color w:val="000000"/>
          <w:sz w:val="26"/>
          <w:szCs w:val="26"/>
        </w:rPr>
        <w:t>por las razones expuestas en esta resolución. - - - - - - - - - - - - - - - - - - - - - - -</w:t>
      </w:r>
      <w:r w:rsidR="00463168" w:rsidRPr="008E2EB7">
        <w:rPr>
          <w:rFonts w:ascii="Arial" w:hAnsi="Arial" w:cs="Arial"/>
          <w:color w:val="000000"/>
          <w:sz w:val="26"/>
          <w:szCs w:val="26"/>
        </w:rPr>
        <w:t xml:space="preserve"> - - - - - - - </w:t>
      </w:r>
      <w:r w:rsidR="008E0CCC">
        <w:rPr>
          <w:rFonts w:ascii="Arial" w:hAnsi="Arial" w:cs="Arial"/>
          <w:color w:val="000000"/>
          <w:sz w:val="26"/>
          <w:szCs w:val="26"/>
        </w:rPr>
        <w:t>- - - - - - - -</w:t>
      </w:r>
    </w:p>
    <w:p w14:paraId="099093EB" w14:textId="77777777" w:rsidR="007F5AC3" w:rsidRPr="008E2EB7" w:rsidRDefault="007F5AC3" w:rsidP="005016D9">
      <w:pPr>
        <w:pStyle w:val="Sinespaciado"/>
      </w:pPr>
    </w:p>
    <w:p w14:paraId="14332E8B" w14:textId="750DED34" w:rsidR="0024672A" w:rsidRDefault="007F5AC3" w:rsidP="00321A32">
      <w:pPr>
        <w:spacing w:after="0" w:line="360" w:lineRule="auto"/>
        <w:ind w:right="49" w:firstLine="567"/>
        <w:jc w:val="both"/>
        <w:rPr>
          <w:rFonts w:ascii="Arial" w:hAnsi="Arial" w:cs="Arial"/>
          <w:sz w:val="26"/>
          <w:szCs w:val="26"/>
        </w:rPr>
      </w:pPr>
      <w:r w:rsidRPr="008E2EB7">
        <w:rPr>
          <w:rFonts w:ascii="Arial" w:hAnsi="Arial" w:cs="Arial"/>
          <w:b/>
          <w:bCs/>
          <w:sz w:val="26"/>
          <w:szCs w:val="26"/>
        </w:rPr>
        <w:t>SEGUNDO.</w:t>
      </w:r>
      <w:r w:rsidR="00107437" w:rsidRPr="008E2EB7">
        <w:rPr>
          <w:rFonts w:ascii="Arial" w:hAnsi="Arial" w:cs="Arial"/>
          <w:b/>
          <w:sz w:val="26"/>
          <w:szCs w:val="26"/>
        </w:rPr>
        <w:t xml:space="preserve"> NOTIFÍQUESE Y CÚMPLASE,</w:t>
      </w:r>
      <w:r w:rsidR="00107437" w:rsidRPr="008E2EB7">
        <w:rPr>
          <w:rFonts w:ascii="Arial" w:hAnsi="Arial" w:cs="Arial"/>
          <w:sz w:val="26"/>
          <w:szCs w:val="26"/>
        </w:rPr>
        <w:t xml:space="preserve"> remítase copia certificada de l</w:t>
      </w:r>
      <w:r w:rsidR="00E86260" w:rsidRPr="008E2EB7">
        <w:rPr>
          <w:rFonts w:ascii="Arial" w:hAnsi="Arial" w:cs="Arial"/>
          <w:sz w:val="26"/>
          <w:szCs w:val="26"/>
        </w:rPr>
        <w:t>a presente resolución a la Tercera</w:t>
      </w:r>
      <w:r w:rsidR="00107437" w:rsidRPr="008E2EB7">
        <w:rPr>
          <w:rFonts w:ascii="Arial" w:hAnsi="Arial" w:cs="Arial"/>
          <w:sz w:val="26"/>
          <w:szCs w:val="26"/>
        </w:rPr>
        <w:t xml:space="preserve"> Sala Unitaria de Primera Instancia de este Tribunal y en su oportunidad archívese el presente cuaderno de revisión como asunto concluido. - - - - - - - - - - - -</w:t>
      </w:r>
      <w:r w:rsidR="00E86260" w:rsidRPr="008E2EB7">
        <w:rPr>
          <w:rFonts w:ascii="Arial" w:hAnsi="Arial" w:cs="Arial"/>
          <w:sz w:val="26"/>
          <w:szCs w:val="26"/>
        </w:rPr>
        <w:t xml:space="preserve"> </w:t>
      </w:r>
    </w:p>
    <w:p w14:paraId="3251EBD0" w14:textId="77777777" w:rsidR="005016D9" w:rsidRPr="008E2EB7" w:rsidRDefault="005016D9" w:rsidP="005016D9">
      <w:pPr>
        <w:pStyle w:val="Sinespaciado"/>
      </w:pPr>
    </w:p>
    <w:p w14:paraId="01AACDAD" w14:textId="40EC34E6" w:rsidR="00317C2F" w:rsidRDefault="00317C2F" w:rsidP="00317C2F">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Manuel Velasco Alcántara, </w:t>
      </w:r>
      <w:r w:rsidR="000103F8">
        <w:rPr>
          <w:rFonts w:ascii="Arial" w:hAnsi="Arial" w:cs="Arial"/>
          <w:sz w:val="26"/>
          <w:szCs w:val="26"/>
        </w:rPr>
        <w:t>Abraham Santiago Soriano (</w:t>
      </w:r>
      <w:r w:rsidR="000103F8">
        <w:rPr>
          <w:rFonts w:ascii="Arial" w:hAnsi="Arial" w:cs="Arial"/>
          <w:b/>
          <w:sz w:val="26"/>
          <w:szCs w:val="26"/>
        </w:rPr>
        <w:t>ponente</w:t>
      </w:r>
      <w:r w:rsidR="000103F8">
        <w:rPr>
          <w:rFonts w:ascii="Arial" w:hAnsi="Arial" w:cs="Arial"/>
          <w:sz w:val="26"/>
          <w:szCs w:val="26"/>
        </w:rPr>
        <w:t xml:space="preserve">), </w:t>
      </w:r>
      <w:r>
        <w:rPr>
          <w:rFonts w:ascii="Arial" w:hAnsi="Arial" w:cs="Arial"/>
          <w:sz w:val="26"/>
          <w:szCs w:val="26"/>
        </w:rPr>
        <w:t xml:space="preserve">Raúl Palomares Palomino, Gloria del Carmen Camacho Meza, y Paulo José Luis Tapia Palacios; quienes actúan con el Licenciado Juan Edy García Coronado, Secretario General de Acuerdos de este Tribunal, que autoriza y da fe. - - - - - - - - - - - - - - - - - - - - - - - - - - - - - - - - - - - - - - - - </w:t>
      </w:r>
    </w:p>
    <w:p w14:paraId="46E5A3F7" w14:textId="75B1C8F9" w:rsidR="00E52407" w:rsidRDefault="00E52407" w:rsidP="00317C2F">
      <w:pPr>
        <w:tabs>
          <w:tab w:val="center" w:pos="4135"/>
          <w:tab w:val="left" w:pos="7515"/>
        </w:tabs>
        <w:spacing w:line="360" w:lineRule="auto"/>
        <w:rPr>
          <w:rFonts w:ascii="Arial" w:hAnsi="Arial" w:cs="Arial"/>
          <w:b/>
          <w:bCs/>
          <w:sz w:val="16"/>
          <w:szCs w:val="16"/>
        </w:rPr>
      </w:pPr>
    </w:p>
    <w:p w14:paraId="4077EBB2" w14:textId="5399F397" w:rsidR="00487D41" w:rsidRDefault="00487D41" w:rsidP="00317C2F">
      <w:pPr>
        <w:tabs>
          <w:tab w:val="center" w:pos="4135"/>
          <w:tab w:val="left" w:pos="7515"/>
        </w:tabs>
        <w:spacing w:line="360" w:lineRule="auto"/>
        <w:rPr>
          <w:rFonts w:ascii="Arial" w:hAnsi="Arial" w:cs="Arial"/>
          <w:b/>
          <w:bCs/>
          <w:sz w:val="16"/>
          <w:szCs w:val="16"/>
        </w:rPr>
      </w:pPr>
    </w:p>
    <w:p w14:paraId="5422BF39" w14:textId="77777777" w:rsidR="00487D41" w:rsidRDefault="00487D41" w:rsidP="00317C2F">
      <w:pPr>
        <w:tabs>
          <w:tab w:val="center" w:pos="4135"/>
          <w:tab w:val="left" w:pos="7515"/>
        </w:tabs>
        <w:spacing w:line="360" w:lineRule="auto"/>
        <w:rPr>
          <w:rFonts w:ascii="Arial" w:hAnsi="Arial" w:cs="Arial"/>
          <w:b/>
          <w:bCs/>
          <w:sz w:val="16"/>
          <w:szCs w:val="16"/>
        </w:rPr>
      </w:pPr>
    </w:p>
    <w:p w14:paraId="0543C4E8" w14:textId="77777777" w:rsidR="00317C2F" w:rsidRDefault="00317C2F" w:rsidP="00317C2F">
      <w:pPr>
        <w:tabs>
          <w:tab w:val="center" w:pos="4135"/>
          <w:tab w:val="left" w:pos="7515"/>
        </w:tabs>
        <w:spacing w:line="360" w:lineRule="auto"/>
        <w:rPr>
          <w:rFonts w:ascii="Arial" w:hAnsi="Arial" w:cs="Arial"/>
          <w:b/>
          <w:bCs/>
          <w:sz w:val="16"/>
          <w:szCs w:val="16"/>
        </w:rPr>
      </w:pPr>
    </w:p>
    <w:p w14:paraId="13E5B713" w14:textId="77777777" w:rsidR="00317C2F" w:rsidRDefault="00317C2F" w:rsidP="00317C2F">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6EAD0F9E" w14:textId="77777777" w:rsidR="00317C2F" w:rsidRDefault="00317C2F" w:rsidP="00317C2F">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54D9653D" w14:textId="77777777" w:rsidR="00487D41" w:rsidRDefault="00487D41" w:rsidP="00E52407">
      <w:pPr>
        <w:tabs>
          <w:tab w:val="center" w:pos="4135"/>
          <w:tab w:val="left" w:pos="7515"/>
        </w:tabs>
        <w:spacing w:line="360" w:lineRule="auto"/>
        <w:jc w:val="center"/>
        <w:rPr>
          <w:rFonts w:ascii="Arial" w:hAnsi="Arial" w:cs="Arial"/>
          <w:b/>
          <w:bCs/>
          <w:sz w:val="18"/>
          <w:szCs w:val="18"/>
        </w:rPr>
      </w:pPr>
    </w:p>
    <w:p w14:paraId="31274BD8" w14:textId="77777777" w:rsidR="00487D41" w:rsidRDefault="00487D41" w:rsidP="00E52407">
      <w:pPr>
        <w:tabs>
          <w:tab w:val="center" w:pos="4135"/>
          <w:tab w:val="left" w:pos="7515"/>
        </w:tabs>
        <w:spacing w:line="360" w:lineRule="auto"/>
        <w:jc w:val="center"/>
        <w:rPr>
          <w:rFonts w:ascii="Arial" w:hAnsi="Arial" w:cs="Arial"/>
          <w:b/>
          <w:bCs/>
          <w:sz w:val="18"/>
          <w:szCs w:val="18"/>
        </w:rPr>
      </w:pPr>
    </w:p>
    <w:p w14:paraId="3C65CD88" w14:textId="77777777" w:rsidR="00487D41" w:rsidRDefault="00487D41" w:rsidP="00E52407">
      <w:pPr>
        <w:tabs>
          <w:tab w:val="center" w:pos="4135"/>
          <w:tab w:val="left" w:pos="7515"/>
        </w:tabs>
        <w:spacing w:line="360" w:lineRule="auto"/>
        <w:jc w:val="center"/>
        <w:rPr>
          <w:rFonts w:ascii="Arial" w:hAnsi="Arial" w:cs="Arial"/>
          <w:b/>
          <w:bCs/>
          <w:sz w:val="18"/>
          <w:szCs w:val="18"/>
        </w:rPr>
      </w:pPr>
    </w:p>
    <w:p w14:paraId="003D17B0" w14:textId="4B955EE1" w:rsidR="00317C2F" w:rsidRPr="00E52407" w:rsidRDefault="00E52407" w:rsidP="00E52407">
      <w:pPr>
        <w:tabs>
          <w:tab w:val="center" w:pos="4135"/>
          <w:tab w:val="left" w:pos="7515"/>
        </w:tabs>
        <w:spacing w:line="360" w:lineRule="auto"/>
        <w:jc w:val="center"/>
        <w:rPr>
          <w:rFonts w:ascii="Arial" w:hAnsi="Arial" w:cs="Arial"/>
          <w:b/>
          <w:bCs/>
          <w:sz w:val="18"/>
          <w:szCs w:val="18"/>
        </w:rPr>
      </w:pPr>
      <w:r w:rsidRPr="00E52407">
        <w:rPr>
          <w:rFonts w:ascii="Arial" w:hAnsi="Arial" w:cs="Arial"/>
          <w:b/>
          <w:bCs/>
          <w:sz w:val="18"/>
          <w:szCs w:val="18"/>
        </w:rPr>
        <w:lastRenderedPageBreak/>
        <w:t>LAS PRESENTES FIRMAS CORRESPONDEN AL RECURSO DE REVISIÓN 67/2020</w:t>
      </w:r>
    </w:p>
    <w:p w14:paraId="42C27502" w14:textId="28C148EB" w:rsidR="00317C2F" w:rsidRDefault="00317C2F" w:rsidP="00317C2F">
      <w:pPr>
        <w:tabs>
          <w:tab w:val="center" w:pos="4135"/>
          <w:tab w:val="left" w:pos="7515"/>
        </w:tabs>
        <w:spacing w:line="360" w:lineRule="auto"/>
        <w:rPr>
          <w:rFonts w:ascii="Arial" w:hAnsi="Arial" w:cs="Arial"/>
          <w:sz w:val="26"/>
          <w:szCs w:val="26"/>
        </w:rPr>
      </w:pPr>
    </w:p>
    <w:p w14:paraId="6C0853FC" w14:textId="77777777" w:rsidR="00E52407" w:rsidRDefault="00E52407" w:rsidP="00317C2F">
      <w:pPr>
        <w:tabs>
          <w:tab w:val="center" w:pos="4135"/>
          <w:tab w:val="left" w:pos="7515"/>
        </w:tabs>
        <w:spacing w:line="360" w:lineRule="auto"/>
        <w:rPr>
          <w:rFonts w:ascii="Arial" w:hAnsi="Arial" w:cs="Arial"/>
          <w:sz w:val="26"/>
          <w:szCs w:val="26"/>
        </w:rPr>
      </w:pPr>
    </w:p>
    <w:p w14:paraId="390F9ECD" w14:textId="77777777" w:rsidR="00317C2F" w:rsidRDefault="00317C2F" w:rsidP="00317C2F">
      <w:pPr>
        <w:tabs>
          <w:tab w:val="center" w:pos="4135"/>
          <w:tab w:val="left" w:pos="7515"/>
        </w:tabs>
        <w:spacing w:line="360" w:lineRule="auto"/>
        <w:rPr>
          <w:rFonts w:ascii="Arial" w:hAnsi="Arial" w:cs="Arial"/>
          <w:sz w:val="26"/>
          <w:szCs w:val="26"/>
        </w:rPr>
      </w:pPr>
    </w:p>
    <w:p w14:paraId="274BF4DE" w14:textId="542BDBB9" w:rsidR="00317C2F" w:rsidRDefault="00317C2F" w:rsidP="00317C2F">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MAGISTRADO </w:t>
      </w:r>
      <w:r w:rsidR="000103F8">
        <w:rPr>
          <w:rFonts w:ascii="Arial" w:hAnsi="Arial" w:cs="Arial"/>
          <w:sz w:val="26"/>
          <w:szCs w:val="26"/>
        </w:rPr>
        <w:t xml:space="preserve">ABRAHAM SANTIAGO SORIANO </w:t>
      </w:r>
    </w:p>
    <w:p w14:paraId="27FDACAF" w14:textId="592AA16C" w:rsidR="00317C2F" w:rsidRDefault="00317C2F" w:rsidP="00317C2F">
      <w:pPr>
        <w:tabs>
          <w:tab w:val="center" w:pos="4135"/>
          <w:tab w:val="left" w:pos="7515"/>
        </w:tabs>
        <w:spacing w:line="360" w:lineRule="auto"/>
        <w:jc w:val="center"/>
        <w:rPr>
          <w:rFonts w:ascii="Arial" w:hAnsi="Arial" w:cs="Arial"/>
          <w:sz w:val="26"/>
          <w:szCs w:val="26"/>
        </w:rPr>
      </w:pPr>
    </w:p>
    <w:p w14:paraId="65467428" w14:textId="77777777" w:rsidR="00E52407" w:rsidRDefault="00E52407" w:rsidP="00317C2F">
      <w:pPr>
        <w:tabs>
          <w:tab w:val="center" w:pos="4135"/>
          <w:tab w:val="left" w:pos="7515"/>
        </w:tabs>
        <w:spacing w:line="360" w:lineRule="auto"/>
        <w:jc w:val="center"/>
        <w:rPr>
          <w:rFonts w:ascii="Arial" w:hAnsi="Arial" w:cs="Arial"/>
          <w:sz w:val="26"/>
          <w:szCs w:val="26"/>
        </w:rPr>
      </w:pPr>
    </w:p>
    <w:p w14:paraId="49D68CB7" w14:textId="77777777" w:rsidR="00317C2F" w:rsidRDefault="00317C2F" w:rsidP="00317C2F">
      <w:pPr>
        <w:tabs>
          <w:tab w:val="center" w:pos="4135"/>
          <w:tab w:val="left" w:pos="7515"/>
        </w:tabs>
        <w:spacing w:line="360" w:lineRule="auto"/>
        <w:rPr>
          <w:rFonts w:ascii="Arial" w:hAnsi="Arial" w:cs="Arial"/>
          <w:sz w:val="26"/>
          <w:szCs w:val="26"/>
        </w:rPr>
      </w:pPr>
    </w:p>
    <w:p w14:paraId="475B8509" w14:textId="444EA837" w:rsidR="00317C2F" w:rsidRDefault="00317C2F" w:rsidP="00D74FC1">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MAGISTRADO </w:t>
      </w:r>
      <w:r w:rsidR="000103F8">
        <w:rPr>
          <w:rFonts w:ascii="Arial" w:hAnsi="Arial" w:cs="Arial"/>
          <w:sz w:val="26"/>
          <w:szCs w:val="26"/>
        </w:rPr>
        <w:t xml:space="preserve">RAÚL PALOMARES PALOMINO </w:t>
      </w:r>
    </w:p>
    <w:p w14:paraId="1D0B9160" w14:textId="77777777" w:rsidR="00317C2F" w:rsidRDefault="00317C2F" w:rsidP="00317C2F">
      <w:pPr>
        <w:tabs>
          <w:tab w:val="center" w:pos="4135"/>
          <w:tab w:val="left" w:pos="7515"/>
        </w:tabs>
        <w:spacing w:line="360" w:lineRule="auto"/>
        <w:jc w:val="center"/>
        <w:rPr>
          <w:rFonts w:ascii="Arial" w:hAnsi="Arial" w:cs="Arial"/>
          <w:b/>
          <w:bCs/>
          <w:sz w:val="18"/>
          <w:szCs w:val="18"/>
        </w:rPr>
      </w:pPr>
    </w:p>
    <w:p w14:paraId="5FD4C0F4" w14:textId="77777777" w:rsidR="00317C2F" w:rsidRDefault="00317C2F" w:rsidP="00317C2F">
      <w:pPr>
        <w:tabs>
          <w:tab w:val="left" w:pos="1925"/>
          <w:tab w:val="center" w:pos="4135"/>
        </w:tabs>
        <w:rPr>
          <w:rFonts w:ascii="Arial" w:hAnsi="Arial" w:cs="Arial"/>
          <w:sz w:val="26"/>
          <w:szCs w:val="26"/>
        </w:rPr>
      </w:pPr>
    </w:p>
    <w:p w14:paraId="510CB947" w14:textId="77777777" w:rsidR="00E52407" w:rsidRDefault="00E52407" w:rsidP="00317C2F">
      <w:pPr>
        <w:tabs>
          <w:tab w:val="left" w:pos="1925"/>
          <w:tab w:val="center" w:pos="4135"/>
        </w:tabs>
        <w:rPr>
          <w:rFonts w:ascii="Arial" w:hAnsi="Arial" w:cs="Arial"/>
          <w:sz w:val="26"/>
          <w:szCs w:val="26"/>
        </w:rPr>
      </w:pPr>
    </w:p>
    <w:p w14:paraId="61742409" w14:textId="77777777" w:rsidR="00317C2F" w:rsidRDefault="00317C2F" w:rsidP="00317C2F">
      <w:pPr>
        <w:tabs>
          <w:tab w:val="left" w:pos="1925"/>
          <w:tab w:val="center" w:pos="4135"/>
        </w:tabs>
        <w:rPr>
          <w:rFonts w:ascii="Arial" w:hAnsi="Arial" w:cs="Arial"/>
          <w:sz w:val="26"/>
          <w:szCs w:val="26"/>
        </w:rPr>
      </w:pPr>
    </w:p>
    <w:p w14:paraId="3F9755F2" w14:textId="77777777" w:rsidR="00317C2F" w:rsidRDefault="00317C2F" w:rsidP="00317C2F">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5774F435" w14:textId="77777777" w:rsidR="00317C2F" w:rsidRDefault="00317C2F" w:rsidP="00317C2F">
      <w:pPr>
        <w:tabs>
          <w:tab w:val="left" w:pos="1925"/>
          <w:tab w:val="center" w:pos="4135"/>
        </w:tabs>
        <w:rPr>
          <w:rFonts w:ascii="Arial" w:hAnsi="Arial" w:cs="Arial"/>
          <w:sz w:val="26"/>
          <w:szCs w:val="26"/>
        </w:rPr>
      </w:pPr>
    </w:p>
    <w:p w14:paraId="3CC9874C" w14:textId="77777777" w:rsidR="00317C2F" w:rsidRDefault="00317C2F" w:rsidP="00317C2F">
      <w:pPr>
        <w:tabs>
          <w:tab w:val="left" w:pos="1925"/>
          <w:tab w:val="center" w:pos="4135"/>
        </w:tabs>
        <w:rPr>
          <w:rFonts w:ascii="Arial" w:hAnsi="Arial" w:cs="Arial"/>
          <w:b/>
          <w:bCs/>
          <w:sz w:val="20"/>
          <w:szCs w:val="20"/>
        </w:rPr>
      </w:pPr>
    </w:p>
    <w:p w14:paraId="1A58339F" w14:textId="77777777" w:rsidR="00317C2F" w:rsidRDefault="00317C2F" w:rsidP="00317C2F">
      <w:pPr>
        <w:tabs>
          <w:tab w:val="left" w:pos="1925"/>
          <w:tab w:val="center" w:pos="4135"/>
        </w:tabs>
        <w:rPr>
          <w:rFonts w:ascii="Arial" w:hAnsi="Arial" w:cs="Arial"/>
          <w:b/>
          <w:bCs/>
          <w:sz w:val="20"/>
          <w:szCs w:val="20"/>
        </w:rPr>
      </w:pPr>
    </w:p>
    <w:p w14:paraId="44C11967" w14:textId="77777777" w:rsidR="00317C2F" w:rsidRDefault="00317C2F" w:rsidP="00317C2F">
      <w:pPr>
        <w:tabs>
          <w:tab w:val="left" w:pos="1925"/>
          <w:tab w:val="center" w:pos="4135"/>
        </w:tabs>
        <w:rPr>
          <w:rFonts w:ascii="Arial" w:hAnsi="Arial" w:cs="Arial"/>
          <w:b/>
          <w:bCs/>
          <w:sz w:val="20"/>
          <w:szCs w:val="20"/>
        </w:rPr>
      </w:pPr>
    </w:p>
    <w:p w14:paraId="3EF85890" w14:textId="77777777" w:rsidR="00317C2F" w:rsidRDefault="00317C2F" w:rsidP="00317C2F">
      <w:pPr>
        <w:tabs>
          <w:tab w:val="left" w:pos="1925"/>
          <w:tab w:val="center" w:pos="4135"/>
        </w:tabs>
        <w:rPr>
          <w:rFonts w:ascii="Arial" w:hAnsi="Arial" w:cs="Arial"/>
          <w:b/>
          <w:bCs/>
          <w:sz w:val="20"/>
          <w:szCs w:val="20"/>
        </w:rPr>
      </w:pPr>
    </w:p>
    <w:p w14:paraId="586A657A" w14:textId="77777777" w:rsidR="00317C2F" w:rsidRDefault="00317C2F" w:rsidP="00317C2F">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4C3D902" w14:textId="77777777" w:rsidR="00317C2F" w:rsidRDefault="00317C2F" w:rsidP="00317C2F">
      <w:pPr>
        <w:tabs>
          <w:tab w:val="left" w:pos="1925"/>
          <w:tab w:val="center" w:pos="4135"/>
        </w:tabs>
        <w:jc w:val="center"/>
        <w:rPr>
          <w:rFonts w:ascii="Arial" w:hAnsi="Arial" w:cs="Arial"/>
          <w:sz w:val="26"/>
          <w:szCs w:val="26"/>
        </w:rPr>
      </w:pPr>
    </w:p>
    <w:p w14:paraId="6868D37A" w14:textId="77777777" w:rsidR="00317C2F" w:rsidRDefault="00317C2F" w:rsidP="00317C2F">
      <w:pPr>
        <w:tabs>
          <w:tab w:val="left" w:pos="1925"/>
          <w:tab w:val="center" w:pos="4135"/>
        </w:tabs>
        <w:jc w:val="center"/>
        <w:rPr>
          <w:rFonts w:ascii="Arial" w:hAnsi="Arial" w:cs="Arial"/>
          <w:sz w:val="26"/>
          <w:szCs w:val="26"/>
        </w:rPr>
      </w:pPr>
    </w:p>
    <w:p w14:paraId="1885E08A" w14:textId="77777777" w:rsidR="00317C2F" w:rsidRDefault="00317C2F" w:rsidP="00317C2F">
      <w:pPr>
        <w:tabs>
          <w:tab w:val="left" w:pos="1925"/>
          <w:tab w:val="center" w:pos="4135"/>
        </w:tabs>
        <w:jc w:val="center"/>
        <w:rPr>
          <w:rFonts w:ascii="Arial" w:hAnsi="Arial" w:cs="Arial"/>
          <w:sz w:val="26"/>
          <w:szCs w:val="26"/>
        </w:rPr>
      </w:pPr>
    </w:p>
    <w:p w14:paraId="6303D337" w14:textId="77777777" w:rsidR="00317C2F" w:rsidRDefault="00317C2F" w:rsidP="00317C2F">
      <w:pPr>
        <w:tabs>
          <w:tab w:val="left" w:pos="1925"/>
          <w:tab w:val="center" w:pos="4135"/>
        </w:tabs>
        <w:jc w:val="center"/>
        <w:rPr>
          <w:rFonts w:ascii="Arial" w:hAnsi="Arial" w:cs="Arial"/>
          <w:sz w:val="26"/>
          <w:szCs w:val="26"/>
        </w:rPr>
      </w:pPr>
    </w:p>
    <w:p w14:paraId="24CAD0F4" w14:textId="77777777" w:rsidR="00317C2F" w:rsidRDefault="00317C2F" w:rsidP="00317C2F">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13BEF0AB" w14:textId="77777777" w:rsidR="00317C2F" w:rsidRDefault="00317C2F" w:rsidP="00317C2F">
      <w:pPr>
        <w:spacing w:after="0"/>
        <w:jc w:val="center"/>
        <w:rPr>
          <w:rFonts w:ascii="Arial" w:hAnsi="Arial" w:cs="Arial"/>
          <w:sz w:val="26"/>
          <w:szCs w:val="26"/>
        </w:rPr>
      </w:pPr>
      <w:r>
        <w:rPr>
          <w:rFonts w:ascii="Arial" w:hAnsi="Arial" w:cs="Arial"/>
          <w:sz w:val="26"/>
          <w:szCs w:val="26"/>
        </w:rPr>
        <w:t>SECRETARIO GENERAL DE ACUERDOS</w:t>
      </w:r>
    </w:p>
    <w:p w14:paraId="1F23834D" w14:textId="77777777" w:rsidR="00317C2F" w:rsidRDefault="00317C2F" w:rsidP="00317C2F">
      <w:pPr>
        <w:spacing w:line="360" w:lineRule="auto"/>
        <w:jc w:val="center"/>
        <w:rPr>
          <w:rFonts w:ascii="Arial" w:hAnsi="Arial" w:cs="Arial"/>
          <w:sz w:val="26"/>
          <w:szCs w:val="26"/>
        </w:rPr>
      </w:pPr>
    </w:p>
    <w:p w14:paraId="3070D6C6" w14:textId="77777777" w:rsidR="00317C2F" w:rsidRDefault="00317C2F" w:rsidP="00317C2F">
      <w:pPr>
        <w:spacing w:line="360" w:lineRule="auto"/>
        <w:jc w:val="center"/>
        <w:rPr>
          <w:rFonts w:ascii="Arial" w:hAnsi="Arial" w:cs="Arial"/>
          <w:sz w:val="26"/>
          <w:szCs w:val="26"/>
        </w:rPr>
      </w:pPr>
    </w:p>
    <w:p w14:paraId="73EC2D70" w14:textId="77777777" w:rsidR="00317C2F" w:rsidRDefault="00317C2F" w:rsidP="00317C2F">
      <w:pPr>
        <w:jc w:val="center"/>
        <w:rPr>
          <w:sz w:val="26"/>
          <w:szCs w:val="26"/>
        </w:rPr>
      </w:pPr>
    </w:p>
    <w:p w14:paraId="469814C7" w14:textId="77777777" w:rsidR="00317C2F" w:rsidRDefault="00317C2F" w:rsidP="00317C2F">
      <w:pPr>
        <w:spacing w:line="240" w:lineRule="auto"/>
        <w:ind w:left="2124"/>
        <w:jc w:val="both"/>
        <w:rPr>
          <w:rFonts w:ascii="Arial" w:hAnsi="Arial" w:cs="Arial"/>
          <w:b/>
          <w:sz w:val="26"/>
          <w:szCs w:val="26"/>
        </w:rPr>
      </w:pPr>
    </w:p>
    <w:p w14:paraId="50453FE0" w14:textId="288AB48C" w:rsidR="00BA258A" w:rsidRPr="00487D41" w:rsidRDefault="005016D9" w:rsidP="00487D41">
      <w:pPr>
        <w:rPr>
          <w:lang w:val="es-ES"/>
        </w:rPr>
      </w:pPr>
      <w:r>
        <w:tab/>
        <w:t xml:space="preserve">  </w:t>
      </w:r>
    </w:p>
    <w:sectPr w:rsidR="00BA258A" w:rsidRPr="00487D41" w:rsidSect="008E5B73">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F79EC5" w14:textId="77777777" w:rsidR="006238CE" w:rsidRDefault="006238CE">
      <w:pPr>
        <w:spacing w:after="0" w:line="240" w:lineRule="auto"/>
      </w:pPr>
      <w:r>
        <w:separator/>
      </w:r>
    </w:p>
  </w:endnote>
  <w:endnote w:type="continuationSeparator" w:id="0">
    <w:p w14:paraId="1D498ED0" w14:textId="77777777" w:rsidR="006238CE" w:rsidRDefault="00623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2353AF" w:rsidRDefault="002353A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780B73F" w:rsidR="002353AF" w:rsidRDefault="004E7B14">
    <w:pPr>
      <w:pStyle w:val="Piedepgina"/>
      <w:jc w:val="center"/>
    </w:pPr>
    <w:r>
      <w:rPr>
        <w:noProof/>
      </w:rPr>
      <mc:AlternateContent>
        <mc:Choice Requires="wps">
          <w:drawing>
            <wp:anchor distT="45720" distB="45720" distL="114300" distR="114300" simplePos="0" relativeHeight="251667456" behindDoc="0" locked="0" layoutInCell="1" allowOverlap="1" wp14:anchorId="73144F38" wp14:editId="45118993">
              <wp:simplePos x="0" y="0"/>
              <wp:positionH relativeFrom="column">
                <wp:posOffset>-1304925</wp:posOffset>
              </wp:positionH>
              <wp:positionV relativeFrom="paragraph">
                <wp:posOffset>-4971415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D3BBCDE" w14:textId="77777777" w:rsidR="004E7B14" w:rsidRPr="00BB7E37" w:rsidRDefault="004E7B14" w:rsidP="004E7B14">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144F38" id="_x0000_t202" coordsize="21600,21600" o:spt="202" path="m,l,21600r21600,l21600,xe">
              <v:stroke joinstyle="miter"/>
              <v:path gradientshapeok="t" o:connecttype="rect"/>
            </v:shapetype>
            <v:shape id="Cuadro de texto 2" o:spid="_x0000_s1026" type="#_x0000_t202" style="position:absolute;left:0;text-align:left;margin-left:-102.75pt;margin-top:-391.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HGkLCLjAAAADgEAAA8AAABkcnMvZG93bnJldi54&#10;bWxMj81OwzAQhO9IvIO1SFxQamNomoY4FUIC0Ru0FVzd2E0i/BNsNw1vz/YEt9md0ey31Wqyhow6&#10;xN47AbczBkS7xqvetQJ22+esABKTdEoa77SAHx1hVV9eVLJU/uTe9bhJLcESF0spoEtpKCmNTaet&#10;jDM/aIfewQcrE46hpSrIE5ZbQzljObWyd3ihk4N+6nTztTlaAcX96/gZ13dvH01+MMt0sxhfvoMQ&#10;11fT4wOQpKf0F4YzPqJDjUx7f3QqEiMg42w+xyyqRcGXQDCT5QxX+7PgBQdaV/T/G/UvAAAA//8D&#10;AFBLAQItABQABgAIAAAAIQC2gziS/gAAAOEBAAATAAAAAAAAAAAAAAAAAAAAAABbQ29udGVudF9U&#10;eXBlc10ueG1sUEsBAi0AFAAGAAgAAAAhADj9If/WAAAAlAEAAAsAAAAAAAAAAAAAAAAALwEAAF9y&#10;ZWxzLy5yZWxzUEsBAi0AFAAGAAgAAAAhACcvOasoAgAATAQAAA4AAAAAAAAAAAAAAAAALgIAAGRy&#10;cy9lMm9Eb2MueG1sUEsBAi0AFAAGAAgAAAAhAHGkLCLjAAAADgEAAA8AAAAAAAAAAAAAAAAAggQA&#10;AGRycy9kb3ducmV2LnhtbFBLBQYAAAAABAAEAPMAAACSBQAAAAA=&#10;">
              <v:textbox>
                <w:txbxContent>
                  <w:p w14:paraId="0D3BBCDE" w14:textId="77777777" w:rsidR="004E7B14" w:rsidRPr="00BB7E37" w:rsidRDefault="004E7B14" w:rsidP="004E7B14">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2353AF" w:rsidRDefault="002353A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2353AF" w:rsidRDefault="002353A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EC298E" w14:textId="77777777" w:rsidR="006238CE" w:rsidRDefault="006238CE">
      <w:pPr>
        <w:spacing w:after="0" w:line="240" w:lineRule="auto"/>
      </w:pPr>
      <w:r>
        <w:separator/>
      </w:r>
    </w:p>
  </w:footnote>
  <w:footnote w:type="continuationSeparator" w:id="0">
    <w:p w14:paraId="3FD3268C" w14:textId="77777777" w:rsidR="006238CE" w:rsidRDefault="006238CE">
      <w:pPr>
        <w:spacing w:after="0" w:line="240" w:lineRule="auto"/>
      </w:pPr>
      <w:r>
        <w:continuationSeparator/>
      </w:r>
    </w:p>
  </w:footnote>
  <w:footnote w:id="1">
    <w:p w14:paraId="108B4C26" w14:textId="5AF1EE84" w:rsidR="002353AF" w:rsidRPr="00407D34" w:rsidRDefault="002353AF" w:rsidP="00407D34">
      <w:pPr>
        <w:autoSpaceDE w:val="0"/>
        <w:autoSpaceDN w:val="0"/>
        <w:adjustRightInd w:val="0"/>
        <w:spacing w:after="0" w:line="240" w:lineRule="auto"/>
        <w:jc w:val="both"/>
        <w:rPr>
          <w:rFonts w:ascii="Arial" w:hAnsi="Arial" w:cs="Arial"/>
          <w:sz w:val="18"/>
          <w:szCs w:val="18"/>
        </w:rPr>
      </w:pPr>
      <w:r>
        <w:rPr>
          <w:rStyle w:val="Refdenotaalpie"/>
        </w:rPr>
        <w:footnoteRef/>
      </w:r>
      <w:r>
        <w:t xml:space="preserve"> </w:t>
      </w:r>
      <w:r w:rsidRPr="00407D34">
        <w:rPr>
          <w:sz w:val="16"/>
          <w:szCs w:val="16"/>
        </w:rPr>
        <w:t>“</w:t>
      </w:r>
      <w:r w:rsidRPr="00407D34">
        <w:rPr>
          <w:rFonts w:ascii="Arial" w:hAnsi="Arial" w:cs="Arial"/>
          <w:b/>
          <w:bCs/>
          <w:sz w:val="18"/>
          <w:szCs w:val="18"/>
        </w:rPr>
        <w:t>ARTICULO 176</w:t>
      </w:r>
      <w:r w:rsidRPr="00407D34">
        <w:rPr>
          <w:rFonts w:ascii="Arial" w:hAnsi="Arial" w:cs="Arial"/>
          <w:sz w:val="18"/>
          <w:szCs w:val="18"/>
        </w:rPr>
        <w:t>.- La Sala Unitaria de Primera Instancia, al pronunciar sentencia suplirá las deficiencias de la queja planteada por el actor en su demanda, siempre y cuando de los hechos narrados se deduzca el agravio, pero en todos los casos se contraerá a los puntos de la Litis.”</w:t>
      </w:r>
    </w:p>
  </w:footnote>
  <w:footnote w:id="2">
    <w:p w14:paraId="35861276" w14:textId="30CA0266" w:rsidR="002353AF" w:rsidRPr="00407D34" w:rsidRDefault="002353AF" w:rsidP="00407D34">
      <w:pPr>
        <w:autoSpaceDE w:val="0"/>
        <w:autoSpaceDN w:val="0"/>
        <w:adjustRightInd w:val="0"/>
        <w:spacing w:after="0" w:line="240" w:lineRule="auto"/>
        <w:jc w:val="both"/>
        <w:rPr>
          <w:rFonts w:ascii="Arial" w:hAnsi="Arial" w:cs="Arial"/>
          <w:sz w:val="18"/>
          <w:szCs w:val="18"/>
        </w:rPr>
      </w:pPr>
      <w:r>
        <w:rPr>
          <w:rStyle w:val="Refdenotaalpie"/>
        </w:rPr>
        <w:footnoteRef/>
      </w:r>
      <w:r>
        <w:t xml:space="preserve"> “</w:t>
      </w:r>
      <w:r w:rsidRPr="00407D34">
        <w:rPr>
          <w:rFonts w:ascii="Arial" w:hAnsi="Arial" w:cs="Arial"/>
          <w:b/>
          <w:bCs/>
          <w:sz w:val="18"/>
          <w:szCs w:val="18"/>
        </w:rPr>
        <w:t>ARTICULO 177</w:t>
      </w:r>
      <w:r w:rsidRPr="00407D34">
        <w:rPr>
          <w:rFonts w:ascii="Arial" w:hAnsi="Arial" w:cs="Arial"/>
          <w:sz w:val="18"/>
          <w:szCs w:val="18"/>
        </w:rPr>
        <w:t>.- Las sentencias que emita el Tribunal, deberán de contener:</w:t>
      </w:r>
    </w:p>
    <w:p w14:paraId="274DC43A" w14:textId="6B395032" w:rsidR="002353AF" w:rsidRPr="00407D34" w:rsidRDefault="002353AF" w:rsidP="00407D34">
      <w:pPr>
        <w:autoSpaceDE w:val="0"/>
        <w:autoSpaceDN w:val="0"/>
        <w:adjustRightInd w:val="0"/>
        <w:spacing w:after="0" w:line="240" w:lineRule="auto"/>
        <w:jc w:val="both"/>
        <w:rPr>
          <w:rFonts w:ascii="Arial" w:hAnsi="Arial" w:cs="Arial"/>
          <w:sz w:val="18"/>
          <w:szCs w:val="18"/>
        </w:rPr>
      </w:pPr>
      <w:r w:rsidRPr="00407D34">
        <w:rPr>
          <w:rFonts w:ascii="Arial" w:hAnsi="Arial" w:cs="Arial"/>
          <w:sz w:val="18"/>
          <w:szCs w:val="18"/>
        </w:rPr>
        <w:t>I. La fijación clara y precisa de los puntos controvertidos, la exposición de las razones por las que, en su caso, se haga uso de la facultad para suplir la deficiencia de la queja, así como el examen y valoración de las pruebas que se haya rendido;</w:t>
      </w:r>
      <w:r>
        <w:rPr>
          <w:rFonts w:ascii="Arial" w:hAnsi="Arial" w:cs="Arial"/>
          <w:sz w:val="18"/>
          <w:szCs w:val="18"/>
        </w:rPr>
        <w:t xml:space="preserve"> </w:t>
      </w:r>
      <w:r w:rsidRPr="00407D34">
        <w:rPr>
          <w:rFonts w:ascii="Arial" w:hAnsi="Arial" w:cs="Arial"/>
          <w:sz w:val="18"/>
          <w:szCs w:val="18"/>
        </w:rPr>
        <w:t>II. La exposición debidamente fundada y motivada de las consideraciones en que se basa la resolución, y III. Los puntos resolutivos, los que expresarán los actos o resoluciones cuya validez se reconozca o cuya nulidad se declare.”</w:t>
      </w:r>
    </w:p>
  </w:footnote>
  <w:footnote w:id="3">
    <w:p w14:paraId="157D549A" w14:textId="77777777" w:rsidR="006F4751" w:rsidRPr="00DF073F" w:rsidRDefault="006F4751" w:rsidP="006F4751">
      <w:pPr>
        <w:autoSpaceDE w:val="0"/>
        <w:autoSpaceDN w:val="0"/>
        <w:adjustRightInd w:val="0"/>
        <w:spacing w:after="0" w:line="240" w:lineRule="auto"/>
        <w:jc w:val="both"/>
        <w:rPr>
          <w:rFonts w:ascii="Arial" w:hAnsi="Arial" w:cs="Arial"/>
          <w:color w:val="000000"/>
          <w:sz w:val="18"/>
          <w:szCs w:val="18"/>
        </w:rPr>
      </w:pPr>
      <w:r>
        <w:rPr>
          <w:rStyle w:val="Refdenotaalpie"/>
        </w:rPr>
        <w:footnoteRef/>
      </w:r>
      <w:r>
        <w:t xml:space="preserve"> </w:t>
      </w:r>
      <w:r w:rsidRPr="00DF073F">
        <w:rPr>
          <w:sz w:val="18"/>
          <w:szCs w:val="18"/>
        </w:rPr>
        <w:t>“</w:t>
      </w:r>
      <w:r w:rsidRPr="00DF073F">
        <w:rPr>
          <w:rFonts w:ascii="Arial" w:hAnsi="Arial" w:cs="Arial"/>
          <w:b/>
          <w:bCs/>
          <w:color w:val="000000"/>
          <w:sz w:val="18"/>
          <w:szCs w:val="18"/>
        </w:rPr>
        <w:t xml:space="preserve">ARTÍCULO 96.- </w:t>
      </w:r>
      <w:r w:rsidRPr="00DF073F">
        <w:rPr>
          <w:rFonts w:ascii="Arial" w:hAnsi="Arial" w:cs="Arial"/>
          <w:color w:val="000000"/>
          <w:sz w:val="18"/>
          <w:szCs w:val="18"/>
        </w:rPr>
        <w:t>Las Salas Unitarias del Tribunal Contencioso Administrativo y de Cuentas son competentes para conocer y resolver de los juicios que se promuevan en contra de: (…) 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juzgado declarará la existencia o inexistencia de la positiva ficta. (…)”</w:t>
      </w:r>
    </w:p>
  </w:footnote>
  <w:footnote w:id="4">
    <w:p w14:paraId="042360C8" w14:textId="77777777" w:rsidR="006F4751" w:rsidRDefault="006F4751" w:rsidP="006F4751">
      <w:pPr>
        <w:spacing w:after="0"/>
        <w:jc w:val="both"/>
        <w:rPr>
          <w:rFonts w:ascii="Calibri" w:eastAsia="Times New Roman" w:hAnsi="Calibri" w:cs="Times New Roman"/>
          <w:b/>
          <w:bCs/>
          <w:color w:val="000000"/>
          <w:sz w:val="16"/>
          <w:szCs w:val="16"/>
        </w:rPr>
      </w:pPr>
      <w:r>
        <w:rPr>
          <w:rStyle w:val="Refdenotaalpie"/>
        </w:rPr>
        <w:footnoteRef/>
      </w:r>
      <w:r>
        <w:t xml:space="preserve"> “</w:t>
      </w:r>
      <w:r>
        <w:rPr>
          <w:rFonts w:ascii="Calibri" w:eastAsia="Times New Roman" w:hAnsi="Calibri" w:cs="Times New Roman"/>
          <w:b/>
          <w:bCs/>
          <w:color w:val="000000"/>
          <w:sz w:val="16"/>
          <w:szCs w:val="16"/>
        </w:rPr>
        <w:t xml:space="preserve">FUNDAMENTACIÓN Y MOTIVACIÓN DE LAS RESOLUCIONES JURISDICCIONALES, DEBEN ANALIZARSE A LA LUZ DE LOS ARTÍCULOS 14 Y 16 DE LA CONSTITUCIÓN POLÍTICA DE LOS ESTADOS UNIDOS MEXICANOS, RESPECTIVAMENTE. </w:t>
      </w:r>
      <w:r>
        <w:rPr>
          <w:rFonts w:ascii="Calibri" w:eastAsia="Times New Roman" w:hAnsi="Calibri" w:cs="Times New Roman"/>
          <w:color w:val="000000"/>
          <w:sz w:val="16"/>
          <w:szCs w:val="16"/>
        </w:rPr>
        <w:t>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p>
    <w:p w14:paraId="5C447B0C" w14:textId="77777777" w:rsidR="006F4751" w:rsidRDefault="006F4751" w:rsidP="006F4751">
      <w:pPr>
        <w:pStyle w:val="Textonotapie"/>
      </w:pPr>
    </w:p>
  </w:footnote>
  <w:footnote w:id="5">
    <w:p w14:paraId="4A316382" w14:textId="77777777" w:rsidR="006F4751" w:rsidRPr="00121750" w:rsidRDefault="006F4751" w:rsidP="006F4751">
      <w:pPr>
        <w:pStyle w:val="Textonotapie"/>
        <w:jc w:val="both"/>
        <w:rPr>
          <w:sz w:val="16"/>
          <w:szCs w:val="16"/>
        </w:rPr>
      </w:pPr>
      <w:r>
        <w:rPr>
          <w:rStyle w:val="Refdenotaalpie"/>
        </w:rPr>
        <w:footnoteRef/>
      </w:r>
      <w:r>
        <w:t xml:space="preserve"> “</w:t>
      </w:r>
      <w:r w:rsidRPr="00121750">
        <w:rPr>
          <w:b/>
          <w:bCs/>
          <w:sz w:val="16"/>
          <w:szCs w:val="16"/>
        </w:rPr>
        <w:t>CONGRUENCIA Y EXHAUSTIVIDAD, PRINCIPIOS DE. SUS DIFERENCIAS Y CASO EN QUE EL LAUDO INCUMPLE EL SEGUNDO DE ELLOS.</w:t>
      </w:r>
      <w:r w:rsidRPr="00121750">
        <w:rPr>
          <w:sz w:val="16"/>
          <w:szCs w:val="16"/>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p>
  </w:footnote>
  <w:footnote w:id="6">
    <w:p w14:paraId="63C35E7F" w14:textId="77777777" w:rsidR="006F4751" w:rsidRPr="002D2B00" w:rsidRDefault="006F4751" w:rsidP="006F4751">
      <w:pPr>
        <w:pStyle w:val="Textonotapie"/>
        <w:jc w:val="both"/>
        <w:rPr>
          <w:sz w:val="16"/>
          <w:szCs w:val="16"/>
        </w:rPr>
      </w:pPr>
      <w:r>
        <w:rPr>
          <w:rStyle w:val="Refdenotaalpie"/>
        </w:rPr>
        <w:footnoteRef/>
      </w:r>
      <w:r>
        <w:t xml:space="preserve"> </w:t>
      </w:r>
      <w:r w:rsidRPr="002D2B00">
        <w:rPr>
          <w:sz w:val="16"/>
          <w:szCs w:val="16"/>
        </w:rPr>
        <w:t>“</w:t>
      </w:r>
      <w:r w:rsidRPr="002D2B00">
        <w:rPr>
          <w:b/>
          <w:bCs/>
          <w:sz w:val="16"/>
          <w:szCs w:val="16"/>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Pr="002D2B00">
        <w:rPr>
          <w:sz w:val="16"/>
          <w:szCs w:val="16"/>
        </w:rPr>
        <w:t xml:space="preserve">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 jurisdiccionales.”</w:t>
      </w:r>
    </w:p>
  </w:footnote>
  <w:footnote w:id="7">
    <w:p w14:paraId="22198C2F" w14:textId="77777777" w:rsidR="00A614F1" w:rsidRDefault="00A614F1" w:rsidP="00A614F1">
      <w:pPr>
        <w:spacing w:after="0"/>
        <w:jc w:val="both"/>
        <w:rPr>
          <w:rFonts w:ascii="Calibri" w:eastAsia="Times New Roman" w:hAnsi="Calibri" w:cs="Times New Roman"/>
          <w:b/>
          <w:bCs/>
          <w:color w:val="000000"/>
          <w:sz w:val="16"/>
          <w:szCs w:val="16"/>
        </w:rPr>
      </w:pPr>
      <w:r>
        <w:rPr>
          <w:rStyle w:val="Refdenotaalpie"/>
        </w:rPr>
        <w:footnoteRef/>
      </w:r>
      <w:r>
        <w:t xml:space="preserve"> “</w:t>
      </w:r>
      <w:r>
        <w:rPr>
          <w:rFonts w:ascii="Calibri" w:eastAsia="Times New Roman" w:hAnsi="Calibri" w:cs="Times New Roman"/>
          <w:b/>
          <w:bCs/>
          <w:color w:val="000000"/>
          <w:sz w:val="16"/>
          <w:szCs w:val="16"/>
        </w:rPr>
        <w:t xml:space="preserve">SENTENCIAS DE AMPARO. SU CUMPLIMIENTO DEBE SER TOTAL, ATENTO A LOS PRINCIPIOS DE CONGRUENCIA Y DE EXHAUSTIVIDAD. </w:t>
      </w:r>
      <w:r>
        <w:rPr>
          <w:rFonts w:ascii="Calibri" w:eastAsia="Times New Roman" w:hAnsi="Calibri" w:cs="Times New Roman"/>
          <w:color w:val="000000"/>
          <w:sz w:val="16"/>
          <w:szCs w:val="16"/>
        </w:rPr>
        <w:t>Acorde al nuevo sistema en materia de cumplimiento de sentencias de amparo, establecido por el legislador en la Ley de Amparo vigente a partir del 3 de abril de 2013, dicho cumplimiento debe ser total, sin excesos o defectos; por tanto, tratándose del pronunciamiento de sentencias o laudos, éstos deben contener la declaración de la autoridad en relación con la solución integral del conflicto conforme a los principios de congruencia y de exhaustividad, que obligan a dirimir todas las cuestiones litigiosas, entre las que se encuentran tanto las que son materia de ejecución de la sentencia de amparo, como las que quedaron definidas o intocadas por la propia ejecutoria; de ahí que la autoridad debe reiterarlas en la sentencia o laudo que cumplimente”.</w:t>
      </w:r>
    </w:p>
    <w:p w14:paraId="4923B18D" w14:textId="77777777" w:rsidR="00A614F1" w:rsidRDefault="00A614F1" w:rsidP="00A614F1">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2353AF" w:rsidRDefault="006238C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2353AF">
          <w:fldChar w:fldCharType="begin"/>
        </w:r>
        <w:r w:rsidR="002353AF">
          <w:instrText>PAGE   \* MERGEFORMAT</w:instrText>
        </w:r>
        <w:r w:rsidR="002353AF">
          <w:fldChar w:fldCharType="separate"/>
        </w:r>
        <w:r w:rsidR="004E7B14" w:rsidRPr="004E7B14">
          <w:rPr>
            <w:noProof/>
            <w:lang w:val="es-ES"/>
          </w:rPr>
          <w:t>14</w:t>
        </w:r>
        <w:r w:rsidR="002353AF">
          <w:fldChar w:fldCharType="end"/>
        </w:r>
      </w:p>
    </w:sdtContent>
  </w:sdt>
  <w:p w14:paraId="0E68208C" w14:textId="77777777" w:rsidR="002353AF" w:rsidRDefault="002353A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2353AF" w:rsidRDefault="006238CE">
    <w:pPr>
      <w:pStyle w:val="Encabezado"/>
      <w:jc w:val="center"/>
    </w:pPr>
    <w:bookmarkStart w:id="0" w:name="_GoBack"/>
    <w:bookmarkEnd w:id="0"/>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2353AF">
          <w:fldChar w:fldCharType="begin"/>
        </w:r>
        <w:r w:rsidR="002353AF">
          <w:instrText>PAGE   \* MERGEFORMAT</w:instrText>
        </w:r>
        <w:r w:rsidR="002353AF">
          <w:fldChar w:fldCharType="separate"/>
        </w:r>
        <w:r w:rsidR="004E7B14" w:rsidRPr="004E7B14">
          <w:rPr>
            <w:noProof/>
            <w:lang w:val="es-ES"/>
          </w:rPr>
          <w:t>1</w:t>
        </w:r>
        <w:r w:rsidR="002353AF">
          <w:fldChar w:fldCharType="end"/>
        </w:r>
      </w:sdtContent>
    </w:sdt>
  </w:p>
  <w:p w14:paraId="51E22156" w14:textId="748117F3" w:rsidR="002353AF" w:rsidRDefault="002353A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F86DE1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E959C6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2353AF" w:rsidRDefault="006238C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05386"/>
    <w:multiLevelType w:val="hybridMultilevel"/>
    <w:tmpl w:val="3254503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27D0A69"/>
    <w:multiLevelType w:val="hybridMultilevel"/>
    <w:tmpl w:val="209EB6C4"/>
    <w:lvl w:ilvl="0" w:tplc="244A7E12">
      <w:start w:val="1"/>
      <w:numFmt w:val="decimal"/>
      <w:lvlText w:val="%1."/>
      <w:lvlJc w:val="left"/>
      <w:pPr>
        <w:ind w:left="1257" w:hanging="360"/>
      </w:pPr>
      <w:rPr>
        <w:rFonts w:hint="default"/>
      </w:rPr>
    </w:lvl>
    <w:lvl w:ilvl="1" w:tplc="080A0019" w:tentative="1">
      <w:start w:val="1"/>
      <w:numFmt w:val="lowerLetter"/>
      <w:lvlText w:val="%2."/>
      <w:lvlJc w:val="left"/>
      <w:pPr>
        <w:ind w:left="1977" w:hanging="360"/>
      </w:pPr>
    </w:lvl>
    <w:lvl w:ilvl="2" w:tplc="080A001B" w:tentative="1">
      <w:start w:val="1"/>
      <w:numFmt w:val="lowerRoman"/>
      <w:lvlText w:val="%3."/>
      <w:lvlJc w:val="right"/>
      <w:pPr>
        <w:ind w:left="2697" w:hanging="180"/>
      </w:pPr>
    </w:lvl>
    <w:lvl w:ilvl="3" w:tplc="080A000F" w:tentative="1">
      <w:start w:val="1"/>
      <w:numFmt w:val="decimal"/>
      <w:lvlText w:val="%4."/>
      <w:lvlJc w:val="left"/>
      <w:pPr>
        <w:ind w:left="3417" w:hanging="360"/>
      </w:pPr>
    </w:lvl>
    <w:lvl w:ilvl="4" w:tplc="080A0019" w:tentative="1">
      <w:start w:val="1"/>
      <w:numFmt w:val="lowerLetter"/>
      <w:lvlText w:val="%5."/>
      <w:lvlJc w:val="left"/>
      <w:pPr>
        <w:ind w:left="4137" w:hanging="360"/>
      </w:pPr>
    </w:lvl>
    <w:lvl w:ilvl="5" w:tplc="080A001B" w:tentative="1">
      <w:start w:val="1"/>
      <w:numFmt w:val="lowerRoman"/>
      <w:lvlText w:val="%6."/>
      <w:lvlJc w:val="right"/>
      <w:pPr>
        <w:ind w:left="4857" w:hanging="180"/>
      </w:pPr>
    </w:lvl>
    <w:lvl w:ilvl="6" w:tplc="080A000F" w:tentative="1">
      <w:start w:val="1"/>
      <w:numFmt w:val="decimal"/>
      <w:lvlText w:val="%7."/>
      <w:lvlJc w:val="left"/>
      <w:pPr>
        <w:ind w:left="5577" w:hanging="360"/>
      </w:pPr>
    </w:lvl>
    <w:lvl w:ilvl="7" w:tplc="080A0019" w:tentative="1">
      <w:start w:val="1"/>
      <w:numFmt w:val="lowerLetter"/>
      <w:lvlText w:val="%8."/>
      <w:lvlJc w:val="left"/>
      <w:pPr>
        <w:ind w:left="6297" w:hanging="360"/>
      </w:pPr>
    </w:lvl>
    <w:lvl w:ilvl="8" w:tplc="080A001B" w:tentative="1">
      <w:start w:val="1"/>
      <w:numFmt w:val="lowerRoman"/>
      <w:lvlText w:val="%9."/>
      <w:lvlJc w:val="right"/>
      <w:pPr>
        <w:ind w:left="7017"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FEB4F15"/>
    <w:multiLevelType w:val="hybridMultilevel"/>
    <w:tmpl w:val="7602AC16"/>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D10161C"/>
    <w:multiLevelType w:val="hybridMultilevel"/>
    <w:tmpl w:val="448ACCD2"/>
    <w:lvl w:ilvl="0" w:tplc="D1EE3212">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DDD5419"/>
    <w:multiLevelType w:val="hybridMultilevel"/>
    <w:tmpl w:val="209EB6C4"/>
    <w:lvl w:ilvl="0" w:tplc="244A7E12">
      <w:start w:val="1"/>
      <w:numFmt w:val="decimal"/>
      <w:lvlText w:val="%1."/>
      <w:lvlJc w:val="left"/>
      <w:pPr>
        <w:ind w:left="1257" w:hanging="360"/>
      </w:pPr>
      <w:rPr>
        <w:rFonts w:hint="default"/>
      </w:rPr>
    </w:lvl>
    <w:lvl w:ilvl="1" w:tplc="080A0019" w:tentative="1">
      <w:start w:val="1"/>
      <w:numFmt w:val="lowerLetter"/>
      <w:lvlText w:val="%2."/>
      <w:lvlJc w:val="left"/>
      <w:pPr>
        <w:ind w:left="1977" w:hanging="360"/>
      </w:pPr>
    </w:lvl>
    <w:lvl w:ilvl="2" w:tplc="080A001B" w:tentative="1">
      <w:start w:val="1"/>
      <w:numFmt w:val="lowerRoman"/>
      <w:lvlText w:val="%3."/>
      <w:lvlJc w:val="right"/>
      <w:pPr>
        <w:ind w:left="2697" w:hanging="180"/>
      </w:pPr>
    </w:lvl>
    <w:lvl w:ilvl="3" w:tplc="080A000F" w:tentative="1">
      <w:start w:val="1"/>
      <w:numFmt w:val="decimal"/>
      <w:lvlText w:val="%4."/>
      <w:lvlJc w:val="left"/>
      <w:pPr>
        <w:ind w:left="3417" w:hanging="360"/>
      </w:pPr>
    </w:lvl>
    <w:lvl w:ilvl="4" w:tplc="080A0019" w:tentative="1">
      <w:start w:val="1"/>
      <w:numFmt w:val="lowerLetter"/>
      <w:lvlText w:val="%5."/>
      <w:lvlJc w:val="left"/>
      <w:pPr>
        <w:ind w:left="4137" w:hanging="360"/>
      </w:pPr>
    </w:lvl>
    <w:lvl w:ilvl="5" w:tplc="080A001B" w:tentative="1">
      <w:start w:val="1"/>
      <w:numFmt w:val="lowerRoman"/>
      <w:lvlText w:val="%6."/>
      <w:lvlJc w:val="right"/>
      <w:pPr>
        <w:ind w:left="4857" w:hanging="180"/>
      </w:pPr>
    </w:lvl>
    <w:lvl w:ilvl="6" w:tplc="080A000F" w:tentative="1">
      <w:start w:val="1"/>
      <w:numFmt w:val="decimal"/>
      <w:lvlText w:val="%7."/>
      <w:lvlJc w:val="left"/>
      <w:pPr>
        <w:ind w:left="5577" w:hanging="360"/>
      </w:pPr>
    </w:lvl>
    <w:lvl w:ilvl="7" w:tplc="080A0019" w:tentative="1">
      <w:start w:val="1"/>
      <w:numFmt w:val="lowerLetter"/>
      <w:lvlText w:val="%8."/>
      <w:lvlJc w:val="left"/>
      <w:pPr>
        <w:ind w:left="6297" w:hanging="360"/>
      </w:pPr>
    </w:lvl>
    <w:lvl w:ilvl="8" w:tplc="080A001B" w:tentative="1">
      <w:start w:val="1"/>
      <w:numFmt w:val="lowerRoman"/>
      <w:lvlText w:val="%9."/>
      <w:lvlJc w:val="right"/>
      <w:pPr>
        <w:ind w:left="7017" w:hanging="180"/>
      </w:pPr>
    </w:lvl>
  </w:abstractNum>
  <w:num w:numId="1">
    <w:abstractNumId w:val="14"/>
  </w:num>
  <w:num w:numId="2">
    <w:abstractNumId w:val="4"/>
  </w:num>
  <w:num w:numId="3">
    <w:abstractNumId w:val="1"/>
  </w:num>
  <w:num w:numId="4">
    <w:abstractNumId w:val="10"/>
  </w:num>
  <w:num w:numId="5">
    <w:abstractNumId w:val="13"/>
  </w:num>
  <w:num w:numId="6">
    <w:abstractNumId w:val="7"/>
  </w:num>
  <w:num w:numId="7">
    <w:abstractNumId w:val="6"/>
  </w:num>
  <w:num w:numId="8">
    <w:abstractNumId w:val="2"/>
  </w:num>
  <w:num w:numId="9">
    <w:abstractNumId w:val="5"/>
  </w:num>
  <w:num w:numId="10">
    <w:abstractNumId w:val="9"/>
  </w:num>
  <w:num w:numId="11">
    <w:abstractNumId w:val="12"/>
  </w:num>
  <w:num w:numId="12">
    <w:abstractNumId w:val="15"/>
  </w:num>
  <w:num w:numId="13">
    <w:abstractNumId w:val="3"/>
  </w:num>
  <w:num w:numId="14">
    <w:abstractNumId w:val="0"/>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4BF"/>
    <w:rsid w:val="0000187B"/>
    <w:rsid w:val="00001FA6"/>
    <w:rsid w:val="0000259B"/>
    <w:rsid w:val="00002B85"/>
    <w:rsid w:val="000031AD"/>
    <w:rsid w:val="00003CC3"/>
    <w:rsid w:val="00004038"/>
    <w:rsid w:val="0000488B"/>
    <w:rsid w:val="00005ADD"/>
    <w:rsid w:val="00005B69"/>
    <w:rsid w:val="00005BCB"/>
    <w:rsid w:val="00005EA0"/>
    <w:rsid w:val="00007105"/>
    <w:rsid w:val="00007296"/>
    <w:rsid w:val="00007E09"/>
    <w:rsid w:val="00007EFD"/>
    <w:rsid w:val="00007FD5"/>
    <w:rsid w:val="000103F8"/>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5D88"/>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B2B"/>
    <w:rsid w:val="000441B5"/>
    <w:rsid w:val="00044B81"/>
    <w:rsid w:val="00044C5F"/>
    <w:rsid w:val="000450F5"/>
    <w:rsid w:val="00045A4E"/>
    <w:rsid w:val="000466B1"/>
    <w:rsid w:val="000466D5"/>
    <w:rsid w:val="000525F8"/>
    <w:rsid w:val="0005285F"/>
    <w:rsid w:val="00052BCA"/>
    <w:rsid w:val="00053207"/>
    <w:rsid w:val="0005370C"/>
    <w:rsid w:val="000540E8"/>
    <w:rsid w:val="000541A4"/>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570F"/>
    <w:rsid w:val="00067B5A"/>
    <w:rsid w:val="00070777"/>
    <w:rsid w:val="00070AA4"/>
    <w:rsid w:val="00071C6F"/>
    <w:rsid w:val="00071E8C"/>
    <w:rsid w:val="00071F15"/>
    <w:rsid w:val="000728B9"/>
    <w:rsid w:val="000737BF"/>
    <w:rsid w:val="00074A23"/>
    <w:rsid w:val="00074C62"/>
    <w:rsid w:val="000755A5"/>
    <w:rsid w:val="000756DE"/>
    <w:rsid w:val="00076647"/>
    <w:rsid w:val="00076C68"/>
    <w:rsid w:val="00076CEA"/>
    <w:rsid w:val="00077661"/>
    <w:rsid w:val="00077DFD"/>
    <w:rsid w:val="00080A85"/>
    <w:rsid w:val="00080DC6"/>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11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5E96"/>
    <w:rsid w:val="000C6670"/>
    <w:rsid w:val="000D04BF"/>
    <w:rsid w:val="000D153E"/>
    <w:rsid w:val="000D170C"/>
    <w:rsid w:val="000D1CF0"/>
    <w:rsid w:val="000D2471"/>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90E"/>
    <w:rsid w:val="00102AFD"/>
    <w:rsid w:val="001041F6"/>
    <w:rsid w:val="00105944"/>
    <w:rsid w:val="0010644A"/>
    <w:rsid w:val="00106C08"/>
    <w:rsid w:val="0010719A"/>
    <w:rsid w:val="00107437"/>
    <w:rsid w:val="00110081"/>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750"/>
    <w:rsid w:val="00121DE8"/>
    <w:rsid w:val="00122F5E"/>
    <w:rsid w:val="00122F74"/>
    <w:rsid w:val="001237B4"/>
    <w:rsid w:val="001239B6"/>
    <w:rsid w:val="001244EC"/>
    <w:rsid w:val="00126EEE"/>
    <w:rsid w:val="00126EEF"/>
    <w:rsid w:val="00126F80"/>
    <w:rsid w:val="00126FB2"/>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0EB"/>
    <w:rsid w:val="0014043C"/>
    <w:rsid w:val="00140D7E"/>
    <w:rsid w:val="001410B6"/>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3FCE"/>
    <w:rsid w:val="001542BE"/>
    <w:rsid w:val="00154490"/>
    <w:rsid w:val="00156250"/>
    <w:rsid w:val="00156F22"/>
    <w:rsid w:val="001570E1"/>
    <w:rsid w:val="0015767C"/>
    <w:rsid w:val="00161661"/>
    <w:rsid w:val="0016171F"/>
    <w:rsid w:val="00161F6F"/>
    <w:rsid w:val="001621EF"/>
    <w:rsid w:val="00162243"/>
    <w:rsid w:val="00163EBF"/>
    <w:rsid w:val="00164BCE"/>
    <w:rsid w:val="001659D0"/>
    <w:rsid w:val="0016604B"/>
    <w:rsid w:val="0016700D"/>
    <w:rsid w:val="00167985"/>
    <w:rsid w:val="001679A8"/>
    <w:rsid w:val="00167ADD"/>
    <w:rsid w:val="001702C6"/>
    <w:rsid w:val="001711A1"/>
    <w:rsid w:val="00172205"/>
    <w:rsid w:val="0017260E"/>
    <w:rsid w:val="001729D0"/>
    <w:rsid w:val="00172B51"/>
    <w:rsid w:val="00172C89"/>
    <w:rsid w:val="00173B90"/>
    <w:rsid w:val="00173FEF"/>
    <w:rsid w:val="0017568D"/>
    <w:rsid w:val="00175C14"/>
    <w:rsid w:val="001761CB"/>
    <w:rsid w:val="0017651E"/>
    <w:rsid w:val="00176B2B"/>
    <w:rsid w:val="001778B4"/>
    <w:rsid w:val="001779CB"/>
    <w:rsid w:val="00177B53"/>
    <w:rsid w:val="001826D0"/>
    <w:rsid w:val="0018345B"/>
    <w:rsid w:val="0018356C"/>
    <w:rsid w:val="0018358B"/>
    <w:rsid w:val="0018454F"/>
    <w:rsid w:val="001846BB"/>
    <w:rsid w:val="001854BD"/>
    <w:rsid w:val="00185DC5"/>
    <w:rsid w:val="0018656B"/>
    <w:rsid w:val="00186701"/>
    <w:rsid w:val="00186FB3"/>
    <w:rsid w:val="0018726A"/>
    <w:rsid w:val="0018765B"/>
    <w:rsid w:val="00187E84"/>
    <w:rsid w:val="00192287"/>
    <w:rsid w:val="001923AE"/>
    <w:rsid w:val="001924B2"/>
    <w:rsid w:val="00193379"/>
    <w:rsid w:val="00194792"/>
    <w:rsid w:val="00194B7B"/>
    <w:rsid w:val="001951A3"/>
    <w:rsid w:val="00195583"/>
    <w:rsid w:val="001A0745"/>
    <w:rsid w:val="001A1302"/>
    <w:rsid w:val="001A16CC"/>
    <w:rsid w:val="001A18E1"/>
    <w:rsid w:val="001A2144"/>
    <w:rsid w:val="001A2FDB"/>
    <w:rsid w:val="001A3755"/>
    <w:rsid w:val="001A4127"/>
    <w:rsid w:val="001A4763"/>
    <w:rsid w:val="001A4E1C"/>
    <w:rsid w:val="001A554E"/>
    <w:rsid w:val="001A6EBE"/>
    <w:rsid w:val="001A6F68"/>
    <w:rsid w:val="001A77FB"/>
    <w:rsid w:val="001B009D"/>
    <w:rsid w:val="001B13DB"/>
    <w:rsid w:val="001B17F6"/>
    <w:rsid w:val="001B2976"/>
    <w:rsid w:val="001B341D"/>
    <w:rsid w:val="001B3A10"/>
    <w:rsid w:val="001B527A"/>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160E"/>
    <w:rsid w:val="001D31A6"/>
    <w:rsid w:val="001D3B81"/>
    <w:rsid w:val="001D40CC"/>
    <w:rsid w:val="001D4D61"/>
    <w:rsid w:val="001D4D8C"/>
    <w:rsid w:val="001D5282"/>
    <w:rsid w:val="001D529D"/>
    <w:rsid w:val="001D577C"/>
    <w:rsid w:val="001D6004"/>
    <w:rsid w:val="001D694C"/>
    <w:rsid w:val="001D754A"/>
    <w:rsid w:val="001D7955"/>
    <w:rsid w:val="001E288A"/>
    <w:rsid w:val="001E2A02"/>
    <w:rsid w:val="001E2B84"/>
    <w:rsid w:val="001E338B"/>
    <w:rsid w:val="001E3B11"/>
    <w:rsid w:val="001E3E05"/>
    <w:rsid w:val="001E4C02"/>
    <w:rsid w:val="001E65E8"/>
    <w:rsid w:val="001E6AE5"/>
    <w:rsid w:val="001E7020"/>
    <w:rsid w:val="001E71FD"/>
    <w:rsid w:val="001E77A9"/>
    <w:rsid w:val="001E7BD1"/>
    <w:rsid w:val="001E7DB0"/>
    <w:rsid w:val="001F2154"/>
    <w:rsid w:val="001F287C"/>
    <w:rsid w:val="001F2D73"/>
    <w:rsid w:val="001F3331"/>
    <w:rsid w:val="001F5050"/>
    <w:rsid w:val="001F625A"/>
    <w:rsid w:val="001F6B28"/>
    <w:rsid w:val="001F6C56"/>
    <w:rsid w:val="001F72DF"/>
    <w:rsid w:val="001F77D0"/>
    <w:rsid w:val="002010A9"/>
    <w:rsid w:val="00201769"/>
    <w:rsid w:val="00201D58"/>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043B"/>
    <w:rsid w:val="00221687"/>
    <w:rsid w:val="00221709"/>
    <w:rsid w:val="00222A05"/>
    <w:rsid w:val="00222E1E"/>
    <w:rsid w:val="0022341D"/>
    <w:rsid w:val="0022360E"/>
    <w:rsid w:val="002239D9"/>
    <w:rsid w:val="00223F75"/>
    <w:rsid w:val="00224412"/>
    <w:rsid w:val="002246DF"/>
    <w:rsid w:val="002248E9"/>
    <w:rsid w:val="00225069"/>
    <w:rsid w:val="00227445"/>
    <w:rsid w:val="00227471"/>
    <w:rsid w:val="00230D10"/>
    <w:rsid w:val="00231036"/>
    <w:rsid w:val="00232431"/>
    <w:rsid w:val="00232D7F"/>
    <w:rsid w:val="0023417B"/>
    <w:rsid w:val="002350A1"/>
    <w:rsid w:val="002353AF"/>
    <w:rsid w:val="002369EA"/>
    <w:rsid w:val="002371FF"/>
    <w:rsid w:val="00237985"/>
    <w:rsid w:val="00237D5A"/>
    <w:rsid w:val="00237DC2"/>
    <w:rsid w:val="00240C99"/>
    <w:rsid w:val="0024189D"/>
    <w:rsid w:val="00241BC3"/>
    <w:rsid w:val="00241C7D"/>
    <w:rsid w:val="00241F55"/>
    <w:rsid w:val="00242699"/>
    <w:rsid w:val="0024308C"/>
    <w:rsid w:val="002434A0"/>
    <w:rsid w:val="00243566"/>
    <w:rsid w:val="002437EB"/>
    <w:rsid w:val="00243E9B"/>
    <w:rsid w:val="0024401A"/>
    <w:rsid w:val="0024497C"/>
    <w:rsid w:val="002449D8"/>
    <w:rsid w:val="002450A8"/>
    <w:rsid w:val="0024549A"/>
    <w:rsid w:val="00245893"/>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4E5"/>
    <w:rsid w:val="00257816"/>
    <w:rsid w:val="00257C5E"/>
    <w:rsid w:val="00260433"/>
    <w:rsid w:val="0026071A"/>
    <w:rsid w:val="0026116F"/>
    <w:rsid w:val="002617F9"/>
    <w:rsid w:val="002619C7"/>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75D39"/>
    <w:rsid w:val="002805AC"/>
    <w:rsid w:val="00280630"/>
    <w:rsid w:val="00280919"/>
    <w:rsid w:val="00281661"/>
    <w:rsid w:val="00282C81"/>
    <w:rsid w:val="00283B3F"/>
    <w:rsid w:val="002841EE"/>
    <w:rsid w:val="002844AF"/>
    <w:rsid w:val="00284891"/>
    <w:rsid w:val="00284DCD"/>
    <w:rsid w:val="00285AFA"/>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2B6"/>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A76D9"/>
    <w:rsid w:val="002B0967"/>
    <w:rsid w:val="002B1C2A"/>
    <w:rsid w:val="002B2706"/>
    <w:rsid w:val="002B3BA3"/>
    <w:rsid w:val="002B4040"/>
    <w:rsid w:val="002B5C09"/>
    <w:rsid w:val="002B5C82"/>
    <w:rsid w:val="002B6893"/>
    <w:rsid w:val="002B6B9D"/>
    <w:rsid w:val="002B6C19"/>
    <w:rsid w:val="002B6D0D"/>
    <w:rsid w:val="002B78EF"/>
    <w:rsid w:val="002B79C4"/>
    <w:rsid w:val="002C01BF"/>
    <w:rsid w:val="002C06FE"/>
    <w:rsid w:val="002C2259"/>
    <w:rsid w:val="002C3470"/>
    <w:rsid w:val="002C348A"/>
    <w:rsid w:val="002C41D3"/>
    <w:rsid w:val="002C4419"/>
    <w:rsid w:val="002C4824"/>
    <w:rsid w:val="002C509D"/>
    <w:rsid w:val="002C5540"/>
    <w:rsid w:val="002C5DBF"/>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0511"/>
    <w:rsid w:val="002E11BD"/>
    <w:rsid w:val="002E1666"/>
    <w:rsid w:val="002E16BF"/>
    <w:rsid w:val="002E3358"/>
    <w:rsid w:val="002E3511"/>
    <w:rsid w:val="002E3777"/>
    <w:rsid w:val="002E3B43"/>
    <w:rsid w:val="002E3D1C"/>
    <w:rsid w:val="002E455D"/>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C14"/>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087"/>
    <w:rsid w:val="003150CD"/>
    <w:rsid w:val="003154AB"/>
    <w:rsid w:val="003155CF"/>
    <w:rsid w:val="00315BA3"/>
    <w:rsid w:val="00316707"/>
    <w:rsid w:val="00317B07"/>
    <w:rsid w:val="00317BDE"/>
    <w:rsid w:val="00317C2F"/>
    <w:rsid w:val="00317DC3"/>
    <w:rsid w:val="0032088F"/>
    <w:rsid w:val="00321643"/>
    <w:rsid w:val="00321A32"/>
    <w:rsid w:val="00321A91"/>
    <w:rsid w:val="00322486"/>
    <w:rsid w:val="00323295"/>
    <w:rsid w:val="00323848"/>
    <w:rsid w:val="00323FF5"/>
    <w:rsid w:val="0032464C"/>
    <w:rsid w:val="00324B78"/>
    <w:rsid w:val="00324E7A"/>
    <w:rsid w:val="003253CA"/>
    <w:rsid w:val="00326418"/>
    <w:rsid w:val="00326D5E"/>
    <w:rsid w:val="00327A8E"/>
    <w:rsid w:val="00327BDD"/>
    <w:rsid w:val="00331836"/>
    <w:rsid w:val="0033190E"/>
    <w:rsid w:val="00332DB5"/>
    <w:rsid w:val="00333962"/>
    <w:rsid w:val="00333B62"/>
    <w:rsid w:val="00333E45"/>
    <w:rsid w:val="003345A7"/>
    <w:rsid w:val="00334A65"/>
    <w:rsid w:val="003364DB"/>
    <w:rsid w:val="003366D5"/>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7B8"/>
    <w:rsid w:val="003509B6"/>
    <w:rsid w:val="00350B13"/>
    <w:rsid w:val="00352CC2"/>
    <w:rsid w:val="00352DE7"/>
    <w:rsid w:val="0035300A"/>
    <w:rsid w:val="0035347E"/>
    <w:rsid w:val="0035424C"/>
    <w:rsid w:val="003549F9"/>
    <w:rsid w:val="00355D30"/>
    <w:rsid w:val="00355E72"/>
    <w:rsid w:val="0035659D"/>
    <w:rsid w:val="003611E4"/>
    <w:rsid w:val="0036133D"/>
    <w:rsid w:val="003617D9"/>
    <w:rsid w:val="00361938"/>
    <w:rsid w:val="003625FB"/>
    <w:rsid w:val="003633B9"/>
    <w:rsid w:val="003636DE"/>
    <w:rsid w:val="003646B9"/>
    <w:rsid w:val="003646E5"/>
    <w:rsid w:val="00364761"/>
    <w:rsid w:val="00364D31"/>
    <w:rsid w:val="003652C6"/>
    <w:rsid w:val="003654A6"/>
    <w:rsid w:val="003660A9"/>
    <w:rsid w:val="00366829"/>
    <w:rsid w:val="003668C0"/>
    <w:rsid w:val="0036711C"/>
    <w:rsid w:val="00367B7B"/>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340"/>
    <w:rsid w:val="00386F92"/>
    <w:rsid w:val="003874C3"/>
    <w:rsid w:val="00387725"/>
    <w:rsid w:val="00387C65"/>
    <w:rsid w:val="00390CDE"/>
    <w:rsid w:val="00392B20"/>
    <w:rsid w:val="00394516"/>
    <w:rsid w:val="003961E1"/>
    <w:rsid w:val="003974F9"/>
    <w:rsid w:val="003A0AA1"/>
    <w:rsid w:val="003A0FE5"/>
    <w:rsid w:val="003A24EC"/>
    <w:rsid w:val="003A3EA0"/>
    <w:rsid w:val="003A4333"/>
    <w:rsid w:val="003A6262"/>
    <w:rsid w:val="003A645D"/>
    <w:rsid w:val="003A6B49"/>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194"/>
    <w:rsid w:val="003C5BAB"/>
    <w:rsid w:val="003C5D9D"/>
    <w:rsid w:val="003C7036"/>
    <w:rsid w:val="003C7781"/>
    <w:rsid w:val="003C7FA5"/>
    <w:rsid w:val="003D012F"/>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2DB"/>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6D21"/>
    <w:rsid w:val="003F72C1"/>
    <w:rsid w:val="003F7A40"/>
    <w:rsid w:val="004003E7"/>
    <w:rsid w:val="00400CE8"/>
    <w:rsid w:val="00401B8F"/>
    <w:rsid w:val="00401E76"/>
    <w:rsid w:val="00401EAC"/>
    <w:rsid w:val="00401FEB"/>
    <w:rsid w:val="004022FC"/>
    <w:rsid w:val="00402763"/>
    <w:rsid w:val="004027A1"/>
    <w:rsid w:val="00403FF3"/>
    <w:rsid w:val="00404719"/>
    <w:rsid w:val="004051E8"/>
    <w:rsid w:val="00405E13"/>
    <w:rsid w:val="00405EB2"/>
    <w:rsid w:val="00406284"/>
    <w:rsid w:val="00406A7E"/>
    <w:rsid w:val="00406B2A"/>
    <w:rsid w:val="00406B80"/>
    <w:rsid w:val="00406C21"/>
    <w:rsid w:val="00406E4A"/>
    <w:rsid w:val="00406FC8"/>
    <w:rsid w:val="0040758D"/>
    <w:rsid w:val="00407734"/>
    <w:rsid w:val="00407A5C"/>
    <w:rsid w:val="00407D34"/>
    <w:rsid w:val="00410897"/>
    <w:rsid w:val="00411707"/>
    <w:rsid w:val="0041258E"/>
    <w:rsid w:val="00412C2F"/>
    <w:rsid w:val="0041486D"/>
    <w:rsid w:val="0041584F"/>
    <w:rsid w:val="00415924"/>
    <w:rsid w:val="004165A7"/>
    <w:rsid w:val="00416F89"/>
    <w:rsid w:val="00417B7B"/>
    <w:rsid w:val="004211BE"/>
    <w:rsid w:val="0042205F"/>
    <w:rsid w:val="00423919"/>
    <w:rsid w:val="00423C26"/>
    <w:rsid w:val="00423E43"/>
    <w:rsid w:val="00424839"/>
    <w:rsid w:val="00424D35"/>
    <w:rsid w:val="004256FF"/>
    <w:rsid w:val="004258D6"/>
    <w:rsid w:val="00426346"/>
    <w:rsid w:val="004264CE"/>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37E33"/>
    <w:rsid w:val="0044044F"/>
    <w:rsid w:val="00441DE8"/>
    <w:rsid w:val="00442F67"/>
    <w:rsid w:val="00442FBB"/>
    <w:rsid w:val="00443487"/>
    <w:rsid w:val="0044467E"/>
    <w:rsid w:val="0044496C"/>
    <w:rsid w:val="00444F46"/>
    <w:rsid w:val="0044520F"/>
    <w:rsid w:val="00445698"/>
    <w:rsid w:val="004468EC"/>
    <w:rsid w:val="00446A05"/>
    <w:rsid w:val="00446B69"/>
    <w:rsid w:val="004502C5"/>
    <w:rsid w:val="004509CE"/>
    <w:rsid w:val="004515BE"/>
    <w:rsid w:val="00452B43"/>
    <w:rsid w:val="00454957"/>
    <w:rsid w:val="004557F7"/>
    <w:rsid w:val="00455A62"/>
    <w:rsid w:val="00456294"/>
    <w:rsid w:val="004572E7"/>
    <w:rsid w:val="00457746"/>
    <w:rsid w:val="00457778"/>
    <w:rsid w:val="00457FE0"/>
    <w:rsid w:val="00461033"/>
    <w:rsid w:val="00461308"/>
    <w:rsid w:val="00461FB3"/>
    <w:rsid w:val="0046279F"/>
    <w:rsid w:val="00462982"/>
    <w:rsid w:val="00463047"/>
    <w:rsid w:val="00463168"/>
    <w:rsid w:val="00463325"/>
    <w:rsid w:val="00463C16"/>
    <w:rsid w:val="00463D48"/>
    <w:rsid w:val="00464036"/>
    <w:rsid w:val="00464148"/>
    <w:rsid w:val="004647B9"/>
    <w:rsid w:val="00464F06"/>
    <w:rsid w:val="004652D5"/>
    <w:rsid w:val="00465B37"/>
    <w:rsid w:val="00465BF5"/>
    <w:rsid w:val="004668E6"/>
    <w:rsid w:val="004670A1"/>
    <w:rsid w:val="004673D5"/>
    <w:rsid w:val="00470BE2"/>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3AB"/>
    <w:rsid w:val="004874A4"/>
    <w:rsid w:val="00487D41"/>
    <w:rsid w:val="004911A6"/>
    <w:rsid w:val="00491E99"/>
    <w:rsid w:val="00492807"/>
    <w:rsid w:val="00492988"/>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B78"/>
    <w:rsid w:val="004A1A63"/>
    <w:rsid w:val="004A2326"/>
    <w:rsid w:val="004A2A39"/>
    <w:rsid w:val="004A308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2A3"/>
    <w:rsid w:val="004B6800"/>
    <w:rsid w:val="004B69CB"/>
    <w:rsid w:val="004B6B98"/>
    <w:rsid w:val="004B748E"/>
    <w:rsid w:val="004B7C5E"/>
    <w:rsid w:val="004C05E4"/>
    <w:rsid w:val="004C1578"/>
    <w:rsid w:val="004C1927"/>
    <w:rsid w:val="004C1E72"/>
    <w:rsid w:val="004C2276"/>
    <w:rsid w:val="004C3A42"/>
    <w:rsid w:val="004C4721"/>
    <w:rsid w:val="004C4B13"/>
    <w:rsid w:val="004C4B5E"/>
    <w:rsid w:val="004C5064"/>
    <w:rsid w:val="004C513B"/>
    <w:rsid w:val="004C54F2"/>
    <w:rsid w:val="004C62A2"/>
    <w:rsid w:val="004C6348"/>
    <w:rsid w:val="004C643F"/>
    <w:rsid w:val="004C6683"/>
    <w:rsid w:val="004C715A"/>
    <w:rsid w:val="004D0927"/>
    <w:rsid w:val="004D12E1"/>
    <w:rsid w:val="004D1337"/>
    <w:rsid w:val="004D19B6"/>
    <w:rsid w:val="004D1C31"/>
    <w:rsid w:val="004D2332"/>
    <w:rsid w:val="004D2CC5"/>
    <w:rsid w:val="004D3065"/>
    <w:rsid w:val="004D320B"/>
    <w:rsid w:val="004D3ADD"/>
    <w:rsid w:val="004D3AFC"/>
    <w:rsid w:val="004D3EE4"/>
    <w:rsid w:val="004D431C"/>
    <w:rsid w:val="004D48D7"/>
    <w:rsid w:val="004D500B"/>
    <w:rsid w:val="004D5713"/>
    <w:rsid w:val="004D5934"/>
    <w:rsid w:val="004D596D"/>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E7B14"/>
    <w:rsid w:val="004F026D"/>
    <w:rsid w:val="004F0402"/>
    <w:rsid w:val="004F07B7"/>
    <w:rsid w:val="004F12C9"/>
    <w:rsid w:val="004F1B13"/>
    <w:rsid w:val="004F28AC"/>
    <w:rsid w:val="004F2A92"/>
    <w:rsid w:val="004F2E5D"/>
    <w:rsid w:val="004F2E7C"/>
    <w:rsid w:val="004F39E5"/>
    <w:rsid w:val="004F421C"/>
    <w:rsid w:val="004F4289"/>
    <w:rsid w:val="004F48BF"/>
    <w:rsid w:val="004F5821"/>
    <w:rsid w:val="004F674E"/>
    <w:rsid w:val="004F6C74"/>
    <w:rsid w:val="005001E5"/>
    <w:rsid w:val="00500A0B"/>
    <w:rsid w:val="00500C4C"/>
    <w:rsid w:val="005016CA"/>
    <w:rsid w:val="005016D9"/>
    <w:rsid w:val="00502093"/>
    <w:rsid w:val="00502177"/>
    <w:rsid w:val="0050345B"/>
    <w:rsid w:val="00504E19"/>
    <w:rsid w:val="005063B6"/>
    <w:rsid w:val="00506A1C"/>
    <w:rsid w:val="0050734D"/>
    <w:rsid w:val="00507AB3"/>
    <w:rsid w:val="005106B7"/>
    <w:rsid w:val="00510956"/>
    <w:rsid w:val="00510F23"/>
    <w:rsid w:val="0051133B"/>
    <w:rsid w:val="005115BD"/>
    <w:rsid w:val="005115C3"/>
    <w:rsid w:val="005132C5"/>
    <w:rsid w:val="00514900"/>
    <w:rsid w:val="00515288"/>
    <w:rsid w:val="00515B21"/>
    <w:rsid w:val="00515CF2"/>
    <w:rsid w:val="00517079"/>
    <w:rsid w:val="005175F8"/>
    <w:rsid w:val="00520023"/>
    <w:rsid w:val="005201C4"/>
    <w:rsid w:val="00520569"/>
    <w:rsid w:val="00520B76"/>
    <w:rsid w:val="005212AE"/>
    <w:rsid w:val="005229B8"/>
    <w:rsid w:val="00522C1A"/>
    <w:rsid w:val="00523091"/>
    <w:rsid w:val="005242CB"/>
    <w:rsid w:val="00524D42"/>
    <w:rsid w:val="00525AB9"/>
    <w:rsid w:val="00526DC4"/>
    <w:rsid w:val="0052709F"/>
    <w:rsid w:val="005274E0"/>
    <w:rsid w:val="00527F7B"/>
    <w:rsid w:val="005300DF"/>
    <w:rsid w:val="00531B2A"/>
    <w:rsid w:val="00531B72"/>
    <w:rsid w:val="00531C8C"/>
    <w:rsid w:val="005324A4"/>
    <w:rsid w:val="00532D69"/>
    <w:rsid w:val="00532E56"/>
    <w:rsid w:val="00533B21"/>
    <w:rsid w:val="00533D34"/>
    <w:rsid w:val="00533EE1"/>
    <w:rsid w:val="00534D86"/>
    <w:rsid w:val="00536296"/>
    <w:rsid w:val="0053715D"/>
    <w:rsid w:val="00537700"/>
    <w:rsid w:val="00537BB3"/>
    <w:rsid w:val="00537DB4"/>
    <w:rsid w:val="00540026"/>
    <w:rsid w:val="00540317"/>
    <w:rsid w:val="0054049A"/>
    <w:rsid w:val="0054184C"/>
    <w:rsid w:val="00541B18"/>
    <w:rsid w:val="00541D68"/>
    <w:rsid w:val="00542646"/>
    <w:rsid w:val="00543994"/>
    <w:rsid w:val="00543C2D"/>
    <w:rsid w:val="00543DE7"/>
    <w:rsid w:val="0054479C"/>
    <w:rsid w:val="00544E43"/>
    <w:rsid w:val="00546E22"/>
    <w:rsid w:val="00547113"/>
    <w:rsid w:val="00547361"/>
    <w:rsid w:val="00547737"/>
    <w:rsid w:val="00547A16"/>
    <w:rsid w:val="00547F2F"/>
    <w:rsid w:val="0055087E"/>
    <w:rsid w:val="00551154"/>
    <w:rsid w:val="005522CE"/>
    <w:rsid w:val="00552ACC"/>
    <w:rsid w:val="00553082"/>
    <w:rsid w:val="00553578"/>
    <w:rsid w:val="00554C70"/>
    <w:rsid w:val="0055538E"/>
    <w:rsid w:val="0055560D"/>
    <w:rsid w:val="0055566D"/>
    <w:rsid w:val="0055585C"/>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206"/>
    <w:rsid w:val="00567CCF"/>
    <w:rsid w:val="00570608"/>
    <w:rsid w:val="005707BD"/>
    <w:rsid w:val="00570A3B"/>
    <w:rsid w:val="0057187A"/>
    <w:rsid w:val="005720EB"/>
    <w:rsid w:val="005725E1"/>
    <w:rsid w:val="0057273D"/>
    <w:rsid w:val="005731B2"/>
    <w:rsid w:val="00573289"/>
    <w:rsid w:val="00573350"/>
    <w:rsid w:val="00573D28"/>
    <w:rsid w:val="00573E34"/>
    <w:rsid w:val="005740D5"/>
    <w:rsid w:val="005740DA"/>
    <w:rsid w:val="005757F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2A1E"/>
    <w:rsid w:val="00593333"/>
    <w:rsid w:val="005960D3"/>
    <w:rsid w:val="005973A7"/>
    <w:rsid w:val="005A0825"/>
    <w:rsid w:val="005A09A3"/>
    <w:rsid w:val="005A0D2F"/>
    <w:rsid w:val="005A1FEE"/>
    <w:rsid w:val="005A273F"/>
    <w:rsid w:val="005A3583"/>
    <w:rsid w:val="005A4118"/>
    <w:rsid w:val="005A453F"/>
    <w:rsid w:val="005A493F"/>
    <w:rsid w:val="005A6930"/>
    <w:rsid w:val="005A6A9E"/>
    <w:rsid w:val="005A752F"/>
    <w:rsid w:val="005B1E67"/>
    <w:rsid w:val="005B2365"/>
    <w:rsid w:val="005B296A"/>
    <w:rsid w:val="005B3184"/>
    <w:rsid w:val="005B36F5"/>
    <w:rsid w:val="005B3BB9"/>
    <w:rsid w:val="005B3F3B"/>
    <w:rsid w:val="005B5FC8"/>
    <w:rsid w:val="005B6E2C"/>
    <w:rsid w:val="005B7761"/>
    <w:rsid w:val="005B7C25"/>
    <w:rsid w:val="005C08BA"/>
    <w:rsid w:val="005C0DC0"/>
    <w:rsid w:val="005C194D"/>
    <w:rsid w:val="005C21B5"/>
    <w:rsid w:val="005C3179"/>
    <w:rsid w:val="005C34A7"/>
    <w:rsid w:val="005C464F"/>
    <w:rsid w:val="005C4D0B"/>
    <w:rsid w:val="005C565F"/>
    <w:rsid w:val="005C5B71"/>
    <w:rsid w:val="005C639C"/>
    <w:rsid w:val="005C7062"/>
    <w:rsid w:val="005C714B"/>
    <w:rsid w:val="005C795A"/>
    <w:rsid w:val="005D25B5"/>
    <w:rsid w:val="005D2703"/>
    <w:rsid w:val="005D2BB3"/>
    <w:rsid w:val="005D2CDE"/>
    <w:rsid w:val="005D2DDC"/>
    <w:rsid w:val="005D341C"/>
    <w:rsid w:val="005D3A26"/>
    <w:rsid w:val="005D3C96"/>
    <w:rsid w:val="005D4EDA"/>
    <w:rsid w:val="005D58F0"/>
    <w:rsid w:val="005D65FC"/>
    <w:rsid w:val="005D6747"/>
    <w:rsid w:val="005D6918"/>
    <w:rsid w:val="005D6D78"/>
    <w:rsid w:val="005E08EE"/>
    <w:rsid w:val="005E23F4"/>
    <w:rsid w:val="005E3A57"/>
    <w:rsid w:val="005E3BA2"/>
    <w:rsid w:val="005E40A8"/>
    <w:rsid w:val="005E5F15"/>
    <w:rsid w:val="005E7897"/>
    <w:rsid w:val="005F0996"/>
    <w:rsid w:val="005F1394"/>
    <w:rsid w:val="005F156F"/>
    <w:rsid w:val="005F1C5A"/>
    <w:rsid w:val="005F1D9F"/>
    <w:rsid w:val="005F2179"/>
    <w:rsid w:val="005F2BD7"/>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2EA3"/>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38CE"/>
    <w:rsid w:val="00623E93"/>
    <w:rsid w:val="00624074"/>
    <w:rsid w:val="00624802"/>
    <w:rsid w:val="00624F20"/>
    <w:rsid w:val="00625C0F"/>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554"/>
    <w:rsid w:val="006418C8"/>
    <w:rsid w:val="00642173"/>
    <w:rsid w:val="006427D9"/>
    <w:rsid w:val="00642BAE"/>
    <w:rsid w:val="00642CAD"/>
    <w:rsid w:val="00642FD4"/>
    <w:rsid w:val="00643498"/>
    <w:rsid w:val="006436E0"/>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5F2"/>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5FCA"/>
    <w:rsid w:val="00666114"/>
    <w:rsid w:val="00666851"/>
    <w:rsid w:val="0066701C"/>
    <w:rsid w:val="006671D4"/>
    <w:rsid w:val="0066750D"/>
    <w:rsid w:val="00667776"/>
    <w:rsid w:val="00667F2F"/>
    <w:rsid w:val="00671338"/>
    <w:rsid w:val="00672CE0"/>
    <w:rsid w:val="00672F8D"/>
    <w:rsid w:val="006730DE"/>
    <w:rsid w:val="006730F3"/>
    <w:rsid w:val="006738D7"/>
    <w:rsid w:val="00673B33"/>
    <w:rsid w:val="006747AB"/>
    <w:rsid w:val="00675C4F"/>
    <w:rsid w:val="00676465"/>
    <w:rsid w:val="006775C4"/>
    <w:rsid w:val="0068056E"/>
    <w:rsid w:val="006809F7"/>
    <w:rsid w:val="006811D8"/>
    <w:rsid w:val="00681AC1"/>
    <w:rsid w:val="00681EE7"/>
    <w:rsid w:val="00682165"/>
    <w:rsid w:val="00683178"/>
    <w:rsid w:val="0068325D"/>
    <w:rsid w:val="00684F50"/>
    <w:rsid w:val="00685785"/>
    <w:rsid w:val="00685F2C"/>
    <w:rsid w:val="00686F6A"/>
    <w:rsid w:val="00687828"/>
    <w:rsid w:val="00687BEB"/>
    <w:rsid w:val="0069064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97DA0"/>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DD4"/>
    <w:rsid w:val="006C1F9E"/>
    <w:rsid w:val="006C29AB"/>
    <w:rsid w:val="006C2F23"/>
    <w:rsid w:val="006C408C"/>
    <w:rsid w:val="006C44AE"/>
    <w:rsid w:val="006C456A"/>
    <w:rsid w:val="006C564D"/>
    <w:rsid w:val="006C671F"/>
    <w:rsid w:val="006C6F3C"/>
    <w:rsid w:val="006C6FB7"/>
    <w:rsid w:val="006C70DE"/>
    <w:rsid w:val="006D007C"/>
    <w:rsid w:val="006D06F5"/>
    <w:rsid w:val="006D120B"/>
    <w:rsid w:val="006D3FF8"/>
    <w:rsid w:val="006D428F"/>
    <w:rsid w:val="006D4438"/>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4751"/>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825"/>
    <w:rsid w:val="00707031"/>
    <w:rsid w:val="00707245"/>
    <w:rsid w:val="00707720"/>
    <w:rsid w:val="00710B09"/>
    <w:rsid w:val="00711EB9"/>
    <w:rsid w:val="007126A4"/>
    <w:rsid w:val="0071274E"/>
    <w:rsid w:val="0071287D"/>
    <w:rsid w:val="00712D50"/>
    <w:rsid w:val="00713419"/>
    <w:rsid w:val="007135A0"/>
    <w:rsid w:val="00713957"/>
    <w:rsid w:val="00714402"/>
    <w:rsid w:val="00714488"/>
    <w:rsid w:val="00715319"/>
    <w:rsid w:val="00715EBB"/>
    <w:rsid w:val="00717898"/>
    <w:rsid w:val="0072215B"/>
    <w:rsid w:val="00722732"/>
    <w:rsid w:val="00722B88"/>
    <w:rsid w:val="0072304C"/>
    <w:rsid w:val="0072368F"/>
    <w:rsid w:val="00723EC1"/>
    <w:rsid w:val="00724552"/>
    <w:rsid w:val="00724C1C"/>
    <w:rsid w:val="00727C09"/>
    <w:rsid w:val="00727D9C"/>
    <w:rsid w:val="00727E2D"/>
    <w:rsid w:val="00730089"/>
    <w:rsid w:val="00730250"/>
    <w:rsid w:val="00730453"/>
    <w:rsid w:val="0073182F"/>
    <w:rsid w:val="0073212F"/>
    <w:rsid w:val="007324A9"/>
    <w:rsid w:val="007332CB"/>
    <w:rsid w:val="00733CF9"/>
    <w:rsid w:val="00734300"/>
    <w:rsid w:val="0073439D"/>
    <w:rsid w:val="00734795"/>
    <w:rsid w:val="007362B8"/>
    <w:rsid w:val="00736F71"/>
    <w:rsid w:val="00740D93"/>
    <w:rsid w:val="007426D1"/>
    <w:rsid w:val="00743E50"/>
    <w:rsid w:val="00743F9C"/>
    <w:rsid w:val="00744DC2"/>
    <w:rsid w:val="00744E48"/>
    <w:rsid w:val="00744EED"/>
    <w:rsid w:val="00745415"/>
    <w:rsid w:val="00746015"/>
    <w:rsid w:val="00746730"/>
    <w:rsid w:val="00751760"/>
    <w:rsid w:val="00752C85"/>
    <w:rsid w:val="00752CFC"/>
    <w:rsid w:val="00753D4D"/>
    <w:rsid w:val="007562AF"/>
    <w:rsid w:val="00756771"/>
    <w:rsid w:val="00756A0B"/>
    <w:rsid w:val="00757070"/>
    <w:rsid w:val="0075716B"/>
    <w:rsid w:val="00757251"/>
    <w:rsid w:val="007573A2"/>
    <w:rsid w:val="00757874"/>
    <w:rsid w:val="00757BFC"/>
    <w:rsid w:val="00757FD7"/>
    <w:rsid w:val="00760108"/>
    <w:rsid w:val="00760AB6"/>
    <w:rsid w:val="00760DD6"/>
    <w:rsid w:val="00761447"/>
    <w:rsid w:val="00762460"/>
    <w:rsid w:val="00762B99"/>
    <w:rsid w:val="0076369D"/>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2DE8"/>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573"/>
    <w:rsid w:val="007A367E"/>
    <w:rsid w:val="007A43A0"/>
    <w:rsid w:val="007A47F2"/>
    <w:rsid w:val="007A490A"/>
    <w:rsid w:val="007A530A"/>
    <w:rsid w:val="007A65AF"/>
    <w:rsid w:val="007A719C"/>
    <w:rsid w:val="007A726F"/>
    <w:rsid w:val="007A757A"/>
    <w:rsid w:val="007B08F4"/>
    <w:rsid w:val="007B0A40"/>
    <w:rsid w:val="007B14D2"/>
    <w:rsid w:val="007B180F"/>
    <w:rsid w:val="007B2A87"/>
    <w:rsid w:val="007B34BC"/>
    <w:rsid w:val="007B452B"/>
    <w:rsid w:val="007B4EEE"/>
    <w:rsid w:val="007B5EBB"/>
    <w:rsid w:val="007B65D2"/>
    <w:rsid w:val="007B6AD5"/>
    <w:rsid w:val="007C04A2"/>
    <w:rsid w:val="007C1271"/>
    <w:rsid w:val="007C1C1A"/>
    <w:rsid w:val="007C313D"/>
    <w:rsid w:val="007C3B2E"/>
    <w:rsid w:val="007C405D"/>
    <w:rsid w:val="007C4D7C"/>
    <w:rsid w:val="007C5545"/>
    <w:rsid w:val="007C587A"/>
    <w:rsid w:val="007C7632"/>
    <w:rsid w:val="007C79F5"/>
    <w:rsid w:val="007C7A3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351D"/>
    <w:rsid w:val="007E4266"/>
    <w:rsid w:val="007E4EA5"/>
    <w:rsid w:val="007E5A5C"/>
    <w:rsid w:val="007E7A9C"/>
    <w:rsid w:val="007F0931"/>
    <w:rsid w:val="007F0BA9"/>
    <w:rsid w:val="007F14CC"/>
    <w:rsid w:val="007F17A3"/>
    <w:rsid w:val="007F1A1A"/>
    <w:rsid w:val="007F1ECE"/>
    <w:rsid w:val="007F2DD4"/>
    <w:rsid w:val="007F35C6"/>
    <w:rsid w:val="007F3BF0"/>
    <w:rsid w:val="007F4946"/>
    <w:rsid w:val="007F4B42"/>
    <w:rsid w:val="007F5AC3"/>
    <w:rsid w:val="007F5B11"/>
    <w:rsid w:val="007F7CB7"/>
    <w:rsid w:val="007F7F91"/>
    <w:rsid w:val="00801A10"/>
    <w:rsid w:val="00801F35"/>
    <w:rsid w:val="008025C4"/>
    <w:rsid w:val="00803391"/>
    <w:rsid w:val="00803D63"/>
    <w:rsid w:val="00803FE2"/>
    <w:rsid w:val="00805768"/>
    <w:rsid w:val="00805B95"/>
    <w:rsid w:val="008061D6"/>
    <w:rsid w:val="008068C9"/>
    <w:rsid w:val="00806D14"/>
    <w:rsid w:val="0080728A"/>
    <w:rsid w:val="00807435"/>
    <w:rsid w:val="00807D76"/>
    <w:rsid w:val="00811182"/>
    <w:rsid w:val="00811407"/>
    <w:rsid w:val="00811B44"/>
    <w:rsid w:val="008122E4"/>
    <w:rsid w:val="00812D5A"/>
    <w:rsid w:val="00813494"/>
    <w:rsid w:val="00813755"/>
    <w:rsid w:val="008161D5"/>
    <w:rsid w:val="00816AF8"/>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4C"/>
    <w:rsid w:val="008312B3"/>
    <w:rsid w:val="0083207A"/>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6629"/>
    <w:rsid w:val="0084703C"/>
    <w:rsid w:val="008473A8"/>
    <w:rsid w:val="00847424"/>
    <w:rsid w:val="00847B25"/>
    <w:rsid w:val="00850259"/>
    <w:rsid w:val="008504C8"/>
    <w:rsid w:val="00851000"/>
    <w:rsid w:val="00851789"/>
    <w:rsid w:val="00854886"/>
    <w:rsid w:val="00855029"/>
    <w:rsid w:val="0085507C"/>
    <w:rsid w:val="0085563E"/>
    <w:rsid w:val="00855ABB"/>
    <w:rsid w:val="00857961"/>
    <w:rsid w:val="008601DA"/>
    <w:rsid w:val="00861653"/>
    <w:rsid w:val="00861978"/>
    <w:rsid w:val="008625C0"/>
    <w:rsid w:val="0086285F"/>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4630"/>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0DC"/>
    <w:rsid w:val="00890833"/>
    <w:rsid w:val="00890BC5"/>
    <w:rsid w:val="00890E9C"/>
    <w:rsid w:val="00891864"/>
    <w:rsid w:val="008927FE"/>
    <w:rsid w:val="00893B24"/>
    <w:rsid w:val="00894002"/>
    <w:rsid w:val="00894199"/>
    <w:rsid w:val="008946EA"/>
    <w:rsid w:val="00894A6C"/>
    <w:rsid w:val="00894D4A"/>
    <w:rsid w:val="0089545F"/>
    <w:rsid w:val="0089557F"/>
    <w:rsid w:val="008959BA"/>
    <w:rsid w:val="00896821"/>
    <w:rsid w:val="00896F48"/>
    <w:rsid w:val="00897D75"/>
    <w:rsid w:val="008A0BA3"/>
    <w:rsid w:val="008A12C7"/>
    <w:rsid w:val="008A23DD"/>
    <w:rsid w:val="008A249E"/>
    <w:rsid w:val="008A4EE6"/>
    <w:rsid w:val="008A518D"/>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3B1F"/>
    <w:rsid w:val="008D458F"/>
    <w:rsid w:val="008D52D9"/>
    <w:rsid w:val="008D6772"/>
    <w:rsid w:val="008D7AC6"/>
    <w:rsid w:val="008E02E6"/>
    <w:rsid w:val="008E08A8"/>
    <w:rsid w:val="008E0B04"/>
    <w:rsid w:val="008E0CCC"/>
    <w:rsid w:val="008E110C"/>
    <w:rsid w:val="008E15B5"/>
    <w:rsid w:val="008E2B42"/>
    <w:rsid w:val="008E2EB7"/>
    <w:rsid w:val="008E350D"/>
    <w:rsid w:val="008E3B36"/>
    <w:rsid w:val="008E3CEC"/>
    <w:rsid w:val="008E480F"/>
    <w:rsid w:val="008E4A67"/>
    <w:rsid w:val="008E5B73"/>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519"/>
    <w:rsid w:val="00905D8A"/>
    <w:rsid w:val="0090696C"/>
    <w:rsid w:val="00907C15"/>
    <w:rsid w:val="0091170B"/>
    <w:rsid w:val="00911817"/>
    <w:rsid w:val="00912F68"/>
    <w:rsid w:val="009133A9"/>
    <w:rsid w:val="00913418"/>
    <w:rsid w:val="009137F9"/>
    <w:rsid w:val="00913C08"/>
    <w:rsid w:val="00915282"/>
    <w:rsid w:val="0091567A"/>
    <w:rsid w:val="00916079"/>
    <w:rsid w:val="00920287"/>
    <w:rsid w:val="00920947"/>
    <w:rsid w:val="0092099A"/>
    <w:rsid w:val="00920C90"/>
    <w:rsid w:val="00920F26"/>
    <w:rsid w:val="00921E9D"/>
    <w:rsid w:val="009220E0"/>
    <w:rsid w:val="0092244D"/>
    <w:rsid w:val="0092285F"/>
    <w:rsid w:val="00922FD0"/>
    <w:rsid w:val="0092383C"/>
    <w:rsid w:val="00923E83"/>
    <w:rsid w:val="00923FD8"/>
    <w:rsid w:val="009250CB"/>
    <w:rsid w:val="00926AC7"/>
    <w:rsid w:val="00926FCD"/>
    <w:rsid w:val="00927607"/>
    <w:rsid w:val="00931D14"/>
    <w:rsid w:val="009321F5"/>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7DE"/>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7D0"/>
    <w:rsid w:val="00966C28"/>
    <w:rsid w:val="009700BB"/>
    <w:rsid w:val="00971321"/>
    <w:rsid w:val="00972B61"/>
    <w:rsid w:val="009730F2"/>
    <w:rsid w:val="00974250"/>
    <w:rsid w:val="00974F50"/>
    <w:rsid w:val="009756EC"/>
    <w:rsid w:val="009757EE"/>
    <w:rsid w:val="0097584C"/>
    <w:rsid w:val="00976FCC"/>
    <w:rsid w:val="00977606"/>
    <w:rsid w:val="00977665"/>
    <w:rsid w:val="0097768E"/>
    <w:rsid w:val="009818A2"/>
    <w:rsid w:val="009829E2"/>
    <w:rsid w:val="00983525"/>
    <w:rsid w:val="009844CE"/>
    <w:rsid w:val="00984590"/>
    <w:rsid w:val="00984E18"/>
    <w:rsid w:val="00984F92"/>
    <w:rsid w:val="00984FB7"/>
    <w:rsid w:val="009855CB"/>
    <w:rsid w:val="00985932"/>
    <w:rsid w:val="009864FF"/>
    <w:rsid w:val="009868FC"/>
    <w:rsid w:val="00986D6A"/>
    <w:rsid w:val="00990013"/>
    <w:rsid w:val="00990D44"/>
    <w:rsid w:val="00990DC7"/>
    <w:rsid w:val="00991E94"/>
    <w:rsid w:val="00992712"/>
    <w:rsid w:val="00993E7E"/>
    <w:rsid w:val="00994698"/>
    <w:rsid w:val="0099690A"/>
    <w:rsid w:val="00997136"/>
    <w:rsid w:val="009971A7"/>
    <w:rsid w:val="009A1262"/>
    <w:rsid w:val="009A33BE"/>
    <w:rsid w:val="009A3F67"/>
    <w:rsid w:val="009A624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292C"/>
    <w:rsid w:val="009C3841"/>
    <w:rsid w:val="009C607A"/>
    <w:rsid w:val="009C6929"/>
    <w:rsid w:val="009C6A52"/>
    <w:rsid w:val="009C72C2"/>
    <w:rsid w:val="009D11D5"/>
    <w:rsid w:val="009D183B"/>
    <w:rsid w:val="009D20C4"/>
    <w:rsid w:val="009D2378"/>
    <w:rsid w:val="009D2477"/>
    <w:rsid w:val="009D2510"/>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5F5"/>
    <w:rsid w:val="009D76EB"/>
    <w:rsid w:val="009E0336"/>
    <w:rsid w:val="009E0666"/>
    <w:rsid w:val="009E10EC"/>
    <w:rsid w:val="009E10F6"/>
    <w:rsid w:val="009E1628"/>
    <w:rsid w:val="009E2B95"/>
    <w:rsid w:val="009E2CEA"/>
    <w:rsid w:val="009E2F5D"/>
    <w:rsid w:val="009E34FA"/>
    <w:rsid w:val="009E3D69"/>
    <w:rsid w:val="009E3DB9"/>
    <w:rsid w:val="009E4B0C"/>
    <w:rsid w:val="009E4B72"/>
    <w:rsid w:val="009E646B"/>
    <w:rsid w:val="009E7B07"/>
    <w:rsid w:val="009F050C"/>
    <w:rsid w:val="009F1587"/>
    <w:rsid w:val="009F2DAB"/>
    <w:rsid w:val="009F344F"/>
    <w:rsid w:val="009F3537"/>
    <w:rsid w:val="009F3962"/>
    <w:rsid w:val="009F39A2"/>
    <w:rsid w:val="009F3A8E"/>
    <w:rsid w:val="009F3B12"/>
    <w:rsid w:val="009F4300"/>
    <w:rsid w:val="009F46F3"/>
    <w:rsid w:val="009F4CDD"/>
    <w:rsid w:val="009F52DB"/>
    <w:rsid w:val="009F5F75"/>
    <w:rsid w:val="009F6D03"/>
    <w:rsid w:val="009F74A6"/>
    <w:rsid w:val="009F75C0"/>
    <w:rsid w:val="009F7671"/>
    <w:rsid w:val="00A00067"/>
    <w:rsid w:val="00A00501"/>
    <w:rsid w:val="00A00A47"/>
    <w:rsid w:val="00A01117"/>
    <w:rsid w:val="00A01680"/>
    <w:rsid w:val="00A022D9"/>
    <w:rsid w:val="00A023EE"/>
    <w:rsid w:val="00A0296B"/>
    <w:rsid w:val="00A0357E"/>
    <w:rsid w:val="00A03CB6"/>
    <w:rsid w:val="00A03CB7"/>
    <w:rsid w:val="00A04059"/>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1CBE"/>
    <w:rsid w:val="00A3215A"/>
    <w:rsid w:val="00A32881"/>
    <w:rsid w:val="00A3359F"/>
    <w:rsid w:val="00A33F3B"/>
    <w:rsid w:val="00A3527B"/>
    <w:rsid w:val="00A352E3"/>
    <w:rsid w:val="00A35446"/>
    <w:rsid w:val="00A3583F"/>
    <w:rsid w:val="00A36936"/>
    <w:rsid w:val="00A36CF3"/>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474A8"/>
    <w:rsid w:val="00A51781"/>
    <w:rsid w:val="00A5203E"/>
    <w:rsid w:val="00A52320"/>
    <w:rsid w:val="00A52762"/>
    <w:rsid w:val="00A537AD"/>
    <w:rsid w:val="00A54A2D"/>
    <w:rsid w:val="00A54AAC"/>
    <w:rsid w:val="00A55915"/>
    <w:rsid w:val="00A55A68"/>
    <w:rsid w:val="00A56094"/>
    <w:rsid w:val="00A5698E"/>
    <w:rsid w:val="00A56B70"/>
    <w:rsid w:val="00A575B4"/>
    <w:rsid w:val="00A6026D"/>
    <w:rsid w:val="00A608CD"/>
    <w:rsid w:val="00A614F1"/>
    <w:rsid w:val="00A62FD2"/>
    <w:rsid w:val="00A64141"/>
    <w:rsid w:val="00A64280"/>
    <w:rsid w:val="00A64C7D"/>
    <w:rsid w:val="00A64E0F"/>
    <w:rsid w:val="00A654A2"/>
    <w:rsid w:val="00A654DF"/>
    <w:rsid w:val="00A655E9"/>
    <w:rsid w:val="00A66CB2"/>
    <w:rsid w:val="00A703F5"/>
    <w:rsid w:val="00A70A92"/>
    <w:rsid w:val="00A71119"/>
    <w:rsid w:val="00A72E3D"/>
    <w:rsid w:val="00A72EE1"/>
    <w:rsid w:val="00A73B00"/>
    <w:rsid w:val="00A746E4"/>
    <w:rsid w:val="00A75B0F"/>
    <w:rsid w:val="00A761F4"/>
    <w:rsid w:val="00A77448"/>
    <w:rsid w:val="00A77B65"/>
    <w:rsid w:val="00A77EC2"/>
    <w:rsid w:val="00A8007D"/>
    <w:rsid w:val="00A80761"/>
    <w:rsid w:val="00A80DC8"/>
    <w:rsid w:val="00A812F5"/>
    <w:rsid w:val="00A814C5"/>
    <w:rsid w:val="00A818C3"/>
    <w:rsid w:val="00A81C21"/>
    <w:rsid w:val="00A82953"/>
    <w:rsid w:val="00A82B2C"/>
    <w:rsid w:val="00A82EC8"/>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97FCE"/>
    <w:rsid w:val="00AA0197"/>
    <w:rsid w:val="00AA029D"/>
    <w:rsid w:val="00AA11A2"/>
    <w:rsid w:val="00AA20E4"/>
    <w:rsid w:val="00AA221F"/>
    <w:rsid w:val="00AA2C0B"/>
    <w:rsid w:val="00AA2CA6"/>
    <w:rsid w:val="00AA2EE6"/>
    <w:rsid w:val="00AA3786"/>
    <w:rsid w:val="00AA38B9"/>
    <w:rsid w:val="00AA438D"/>
    <w:rsid w:val="00AA55E0"/>
    <w:rsid w:val="00AA5BC8"/>
    <w:rsid w:val="00AA61B7"/>
    <w:rsid w:val="00AA689B"/>
    <w:rsid w:val="00AA7023"/>
    <w:rsid w:val="00AA7EC0"/>
    <w:rsid w:val="00AB00F1"/>
    <w:rsid w:val="00AB0CE7"/>
    <w:rsid w:val="00AB11B8"/>
    <w:rsid w:val="00AB152E"/>
    <w:rsid w:val="00AB3569"/>
    <w:rsid w:val="00AB4B8A"/>
    <w:rsid w:val="00AB511E"/>
    <w:rsid w:val="00AB5C16"/>
    <w:rsid w:val="00AB5C8E"/>
    <w:rsid w:val="00AB628D"/>
    <w:rsid w:val="00AB6F10"/>
    <w:rsid w:val="00AC00B1"/>
    <w:rsid w:val="00AC0229"/>
    <w:rsid w:val="00AC12CF"/>
    <w:rsid w:val="00AC154D"/>
    <w:rsid w:val="00AC2548"/>
    <w:rsid w:val="00AC3C32"/>
    <w:rsid w:val="00AC3DB8"/>
    <w:rsid w:val="00AC5327"/>
    <w:rsid w:val="00AC7F46"/>
    <w:rsid w:val="00AD04EC"/>
    <w:rsid w:val="00AD100C"/>
    <w:rsid w:val="00AD2540"/>
    <w:rsid w:val="00AD32A4"/>
    <w:rsid w:val="00AD38ED"/>
    <w:rsid w:val="00AD39D6"/>
    <w:rsid w:val="00AD3C97"/>
    <w:rsid w:val="00AD4282"/>
    <w:rsid w:val="00AD5A42"/>
    <w:rsid w:val="00AD7073"/>
    <w:rsid w:val="00AD77FD"/>
    <w:rsid w:val="00AD79E2"/>
    <w:rsid w:val="00AD7FFB"/>
    <w:rsid w:val="00AE1C5C"/>
    <w:rsid w:val="00AE271F"/>
    <w:rsid w:val="00AE3DF5"/>
    <w:rsid w:val="00AE4BBE"/>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9FB"/>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E5C"/>
    <w:rsid w:val="00B25FA6"/>
    <w:rsid w:val="00B26009"/>
    <w:rsid w:val="00B26215"/>
    <w:rsid w:val="00B262CF"/>
    <w:rsid w:val="00B26918"/>
    <w:rsid w:val="00B26C44"/>
    <w:rsid w:val="00B27227"/>
    <w:rsid w:val="00B30025"/>
    <w:rsid w:val="00B31114"/>
    <w:rsid w:val="00B312EE"/>
    <w:rsid w:val="00B313D0"/>
    <w:rsid w:val="00B3156A"/>
    <w:rsid w:val="00B315E1"/>
    <w:rsid w:val="00B315F4"/>
    <w:rsid w:val="00B317DD"/>
    <w:rsid w:val="00B33B16"/>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5E25"/>
    <w:rsid w:val="00B56166"/>
    <w:rsid w:val="00B565A9"/>
    <w:rsid w:val="00B5681F"/>
    <w:rsid w:val="00B56F11"/>
    <w:rsid w:val="00B60E54"/>
    <w:rsid w:val="00B6152A"/>
    <w:rsid w:val="00B61A36"/>
    <w:rsid w:val="00B6219D"/>
    <w:rsid w:val="00B62B0D"/>
    <w:rsid w:val="00B62E87"/>
    <w:rsid w:val="00B635E2"/>
    <w:rsid w:val="00B636E6"/>
    <w:rsid w:val="00B649E2"/>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474"/>
    <w:rsid w:val="00B759C6"/>
    <w:rsid w:val="00B76263"/>
    <w:rsid w:val="00B766B9"/>
    <w:rsid w:val="00B76E0C"/>
    <w:rsid w:val="00B7789B"/>
    <w:rsid w:val="00B77DF2"/>
    <w:rsid w:val="00B77F16"/>
    <w:rsid w:val="00B8020F"/>
    <w:rsid w:val="00B8024B"/>
    <w:rsid w:val="00B8071F"/>
    <w:rsid w:val="00B814A1"/>
    <w:rsid w:val="00B82205"/>
    <w:rsid w:val="00B8238D"/>
    <w:rsid w:val="00B82642"/>
    <w:rsid w:val="00B832CE"/>
    <w:rsid w:val="00B83A0B"/>
    <w:rsid w:val="00B83D84"/>
    <w:rsid w:val="00B8477B"/>
    <w:rsid w:val="00B84DE7"/>
    <w:rsid w:val="00B85284"/>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842"/>
    <w:rsid w:val="00BA3973"/>
    <w:rsid w:val="00BA42E0"/>
    <w:rsid w:val="00BA5246"/>
    <w:rsid w:val="00BA59AD"/>
    <w:rsid w:val="00BA63BB"/>
    <w:rsid w:val="00BA65C8"/>
    <w:rsid w:val="00BA6A89"/>
    <w:rsid w:val="00BA6F7A"/>
    <w:rsid w:val="00BA79B7"/>
    <w:rsid w:val="00BB0D35"/>
    <w:rsid w:val="00BB13C5"/>
    <w:rsid w:val="00BB1812"/>
    <w:rsid w:val="00BB1E6A"/>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AA7"/>
    <w:rsid w:val="00BF0D7C"/>
    <w:rsid w:val="00BF1235"/>
    <w:rsid w:val="00BF1F39"/>
    <w:rsid w:val="00BF2AD9"/>
    <w:rsid w:val="00BF2FDA"/>
    <w:rsid w:val="00BF3698"/>
    <w:rsid w:val="00BF4241"/>
    <w:rsid w:val="00BF5877"/>
    <w:rsid w:val="00BF675F"/>
    <w:rsid w:val="00BF68A1"/>
    <w:rsid w:val="00C006E1"/>
    <w:rsid w:val="00C013E9"/>
    <w:rsid w:val="00C01536"/>
    <w:rsid w:val="00C0185C"/>
    <w:rsid w:val="00C01AE5"/>
    <w:rsid w:val="00C0372A"/>
    <w:rsid w:val="00C045DA"/>
    <w:rsid w:val="00C04F09"/>
    <w:rsid w:val="00C056CD"/>
    <w:rsid w:val="00C05725"/>
    <w:rsid w:val="00C05D5E"/>
    <w:rsid w:val="00C060AE"/>
    <w:rsid w:val="00C06132"/>
    <w:rsid w:val="00C06237"/>
    <w:rsid w:val="00C06404"/>
    <w:rsid w:val="00C06502"/>
    <w:rsid w:val="00C067A6"/>
    <w:rsid w:val="00C0780B"/>
    <w:rsid w:val="00C07BB8"/>
    <w:rsid w:val="00C07CCB"/>
    <w:rsid w:val="00C1015F"/>
    <w:rsid w:val="00C1063F"/>
    <w:rsid w:val="00C11197"/>
    <w:rsid w:val="00C11D9D"/>
    <w:rsid w:val="00C1296A"/>
    <w:rsid w:val="00C13E95"/>
    <w:rsid w:val="00C13F2C"/>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860"/>
    <w:rsid w:val="00C341CB"/>
    <w:rsid w:val="00C3542E"/>
    <w:rsid w:val="00C35B5E"/>
    <w:rsid w:val="00C3631A"/>
    <w:rsid w:val="00C370A0"/>
    <w:rsid w:val="00C3760F"/>
    <w:rsid w:val="00C4017A"/>
    <w:rsid w:val="00C404FF"/>
    <w:rsid w:val="00C40770"/>
    <w:rsid w:val="00C41357"/>
    <w:rsid w:val="00C41799"/>
    <w:rsid w:val="00C4244D"/>
    <w:rsid w:val="00C42C2F"/>
    <w:rsid w:val="00C434DF"/>
    <w:rsid w:val="00C43B8F"/>
    <w:rsid w:val="00C43B93"/>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EA4"/>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4FC4"/>
    <w:rsid w:val="00C951C1"/>
    <w:rsid w:val="00C959E1"/>
    <w:rsid w:val="00C95FEF"/>
    <w:rsid w:val="00C9600B"/>
    <w:rsid w:val="00C962CF"/>
    <w:rsid w:val="00C96BE2"/>
    <w:rsid w:val="00C96F6C"/>
    <w:rsid w:val="00C97025"/>
    <w:rsid w:val="00C97806"/>
    <w:rsid w:val="00C978B4"/>
    <w:rsid w:val="00CA069E"/>
    <w:rsid w:val="00CA0F65"/>
    <w:rsid w:val="00CA1A5E"/>
    <w:rsid w:val="00CA1BD1"/>
    <w:rsid w:val="00CA1D49"/>
    <w:rsid w:val="00CA2377"/>
    <w:rsid w:val="00CA265A"/>
    <w:rsid w:val="00CA2D94"/>
    <w:rsid w:val="00CA403B"/>
    <w:rsid w:val="00CA476E"/>
    <w:rsid w:val="00CA4B98"/>
    <w:rsid w:val="00CA4BFA"/>
    <w:rsid w:val="00CA5463"/>
    <w:rsid w:val="00CA5619"/>
    <w:rsid w:val="00CA5A6D"/>
    <w:rsid w:val="00CA6243"/>
    <w:rsid w:val="00CB1AC1"/>
    <w:rsid w:val="00CB1FC3"/>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4DD"/>
    <w:rsid w:val="00CC7E7D"/>
    <w:rsid w:val="00CD0968"/>
    <w:rsid w:val="00CD1491"/>
    <w:rsid w:val="00CD2580"/>
    <w:rsid w:val="00CD3739"/>
    <w:rsid w:val="00CD3AE0"/>
    <w:rsid w:val="00CD3B16"/>
    <w:rsid w:val="00CD4B83"/>
    <w:rsid w:val="00CD4C55"/>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327C"/>
    <w:rsid w:val="00CE449A"/>
    <w:rsid w:val="00CE4619"/>
    <w:rsid w:val="00CE4BF2"/>
    <w:rsid w:val="00CE5C72"/>
    <w:rsid w:val="00CE5E91"/>
    <w:rsid w:val="00CF01EA"/>
    <w:rsid w:val="00CF10EF"/>
    <w:rsid w:val="00CF1F53"/>
    <w:rsid w:val="00CF1FAE"/>
    <w:rsid w:val="00CF3BED"/>
    <w:rsid w:val="00CF4A6D"/>
    <w:rsid w:val="00CF593F"/>
    <w:rsid w:val="00CF5B89"/>
    <w:rsid w:val="00CF6510"/>
    <w:rsid w:val="00CF65E5"/>
    <w:rsid w:val="00CF66B8"/>
    <w:rsid w:val="00CF6971"/>
    <w:rsid w:val="00CF6BC9"/>
    <w:rsid w:val="00CF6D04"/>
    <w:rsid w:val="00CF7327"/>
    <w:rsid w:val="00CF779F"/>
    <w:rsid w:val="00CF7C57"/>
    <w:rsid w:val="00D000D1"/>
    <w:rsid w:val="00D0041D"/>
    <w:rsid w:val="00D0074A"/>
    <w:rsid w:val="00D00AC1"/>
    <w:rsid w:val="00D0124D"/>
    <w:rsid w:val="00D01C37"/>
    <w:rsid w:val="00D0267B"/>
    <w:rsid w:val="00D032B4"/>
    <w:rsid w:val="00D03519"/>
    <w:rsid w:val="00D03AC3"/>
    <w:rsid w:val="00D040A2"/>
    <w:rsid w:val="00D055E6"/>
    <w:rsid w:val="00D05CAF"/>
    <w:rsid w:val="00D065AD"/>
    <w:rsid w:val="00D06BB8"/>
    <w:rsid w:val="00D072EF"/>
    <w:rsid w:val="00D07394"/>
    <w:rsid w:val="00D07A9C"/>
    <w:rsid w:val="00D10A14"/>
    <w:rsid w:val="00D10B75"/>
    <w:rsid w:val="00D10E4C"/>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183E"/>
    <w:rsid w:val="00D31DE5"/>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62FC"/>
    <w:rsid w:val="00D47AB6"/>
    <w:rsid w:val="00D507D9"/>
    <w:rsid w:val="00D50BC3"/>
    <w:rsid w:val="00D52E63"/>
    <w:rsid w:val="00D53E86"/>
    <w:rsid w:val="00D545A8"/>
    <w:rsid w:val="00D548A5"/>
    <w:rsid w:val="00D548E5"/>
    <w:rsid w:val="00D55BD9"/>
    <w:rsid w:val="00D56163"/>
    <w:rsid w:val="00D566F5"/>
    <w:rsid w:val="00D56BF3"/>
    <w:rsid w:val="00D60503"/>
    <w:rsid w:val="00D60D7A"/>
    <w:rsid w:val="00D61F72"/>
    <w:rsid w:val="00D62605"/>
    <w:rsid w:val="00D63073"/>
    <w:rsid w:val="00D6362A"/>
    <w:rsid w:val="00D63DA5"/>
    <w:rsid w:val="00D641C8"/>
    <w:rsid w:val="00D646EC"/>
    <w:rsid w:val="00D64B3A"/>
    <w:rsid w:val="00D64D09"/>
    <w:rsid w:val="00D6587E"/>
    <w:rsid w:val="00D65C48"/>
    <w:rsid w:val="00D66125"/>
    <w:rsid w:val="00D67C48"/>
    <w:rsid w:val="00D70CA3"/>
    <w:rsid w:val="00D718E2"/>
    <w:rsid w:val="00D719E5"/>
    <w:rsid w:val="00D72097"/>
    <w:rsid w:val="00D73167"/>
    <w:rsid w:val="00D7322F"/>
    <w:rsid w:val="00D73481"/>
    <w:rsid w:val="00D73C07"/>
    <w:rsid w:val="00D743AB"/>
    <w:rsid w:val="00D74799"/>
    <w:rsid w:val="00D74FC1"/>
    <w:rsid w:val="00D74FDC"/>
    <w:rsid w:val="00D7536B"/>
    <w:rsid w:val="00D75AD5"/>
    <w:rsid w:val="00D8071F"/>
    <w:rsid w:val="00D81033"/>
    <w:rsid w:val="00D81136"/>
    <w:rsid w:val="00D81399"/>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0D2"/>
    <w:rsid w:val="00D96319"/>
    <w:rsid w:val="00D96E82"/>
    <w:rsid w:val="00DA020A"/>
    <w:rsid w:val="00DA07B6"/>
    <w:rsid w:val="00DA0CA2"/>
    <w:rsid w:val="00DA158D"/>
    <w:rsid w:val="00DA1D14"/>
    <w:rsid w:val="00DA34AE"/>
    <w:rsid w:val="00DA3B52"/>
    <w:rsid w:val="00DA4151"/>
    <w:rsid w:val="00DA4B87"/>
    <w:rsid w:val="00DA5129"/>
    <w:rsid w:val="00DA54E7"/>
    <w:rsid w:val="00DA5795"/>
    <w:rsid w:val="00DA5945"/>
    <w:rsid w:val="00DA63A9"/>
    <w:rsid w:val="00DA717D"/>
    <w:rsid w:val="00DA77D4"/>
    <w:rsid w:val="00DA7986"/>
    <w:rsid w:val="00DA7A5F"/>
    <w:rsid w:val="00DB05C4"/>
    <w:rsid w:val="00DB0766"/>
    <w:rsid w:val="00DB07C2"/>
    <w:rsid w:val="00DB0E2F"/>
    <w:rsid w:val="00DB0F5D"/>
    <w:rsid w:val="00DB1351"/>
    <w:rsid w:val="00DB16DB"/>
    <w:rsid w:val="00DB196E"/>
    <w:rsid w:val="00DB2AE9"/>
    <w:rsid w:val="00DB2C6D"/>
    <w:rsid w:val="00DB3037"/>
    <w:rsid w:val="00DB45FD"/>
    <w:rsid w:val="00DB48F6"/>
    <w:rsid w:val="00DB4D86"/>
    <w:rsid w:val="00DB516F"/>
    <w:rsid w:val="00DB6593"/>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0BF"/>
    <w:rsid w:val="00DF073F"/>
    <w:rsid w:val="00DF0FAE"/>
    <w:rsid w:val="00DF1506"/>
    <w:rsid w:val="00DF1F74"/>
    <w:rsid w:val="00DF2FA1"/>
    <w:rsid w:val="00DF5862"/>
    <w:rsid w:val="00DF5E93"/>
    <w:rsid w:val="00DF66BB"/>
    <w:rsid w:val="00DF7D55"/>
    <w:rsid w:val="00E00E1C"/>
    <w:rsid w:val="00E00E3A"/>
    <w:rsid w:val="00E013E9"/>
    <w:rsid w:val="00E013EF"/>
    <w:rsid w:val="00E013F7"/>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742"/>
    <w:rsid w:val="00E1582A"/>
    <w:rsid w:val="00E158E9"/>
    <w:rsid w:val="00E15B98"/>
    <w:rsid w:val="00E16411"/>
    <w:rsid w:val="00E16654"/>
    <w:rsid w:val="00E17B49"/>
    <w:rsid w:val="00E17DE3"/>
    <w:rsid w:val="00E17F03"/>
    <w:rsid w:val="00E205DF"/>
    <w:rsid w:val="00E2102F"/>
    <w:rsid w:val="00E21CDD"/>
    <w:rsid w:val="00E21E11"/>
    <w:rsid w:val="00E233C9"/>
    <w:rsid w:val="00E23438"/>
    <w:rsid w:val="00E24415"/>
    <w:rsid w:val="00E248C1"/>
    <w:rsid w:val="00E24D01"/>
    <w:rsid w:val="00E25521"/>
    <w:rsid w:val="00E25864"/>
    <w:rsid w:val="00E25917"/>
    <w:rsid w:val="00E261E0"/>
    <w:rsid w:val="00E26580"/>
    <w:rsid w:val="00E26680"/>
    <w:rsid w:val="00E2721C"/>
    <w:rsid w:val="00E27B4B"/>
    <w:rsid w:val="00E311CE"/>
    <w:rsid w:val="00E31D2B"/>
    <w:rsid w:val="00E31E30"/>
    <w:rsid w:val="00E31E40"/>
    <w:rsid w:val="00E33520"/>
    <w:rsid w:val="00E33741"/>
    <w:rsid w:val="00E33D3D"/>
    <w:rsid w:val="00E35E25"/>
    <w:rsid w:val="00E35EC1"/>
    <w:rsid w:val="00E35F95"/>
    <w:rsid w:val="00E3623E"/>
    <w:rsid w:val="00E369E0"/>
    <w:rsid w:val="00E36F87"/>
    <w:rsid w:val="00E36FAF"/>
    <w:rsid w:val="00E37775"/>
    <w:rsid w:val="00E37879"/>
    <w:rsid w:val="00E4029A"/>
    <w:rsid w:val="00E410B5"/>
    <w:rsid w:val="00E41DFA"/>
    <w:rsid w:val="00E41FA5"/>
    <w:rsid w:val="00E4205C"/>
    <w:rsid w:val="00E42264"/>
    <w:rsid w:val="00E42319"/>
    <w:rsid w:val="00E42D1E"/>
    <w:rsid w:val="00E43435"/>
    <w:rsid w:val="00E44850"/>
    <w:rsid w:val="00E455A1"/>
    <w:rsid w:val="00E45DF0"/>
    <w:rsid w:val="00E45F05"/>
    <w:rsid w:val="00E47A30"/>
    <w:rsid w:val="00E50E09"/>
    <w:rsid w:val="00E52407"/>
    <w:rsid w:val="00E540CA"/>
    <w:rsid w:val="00E54462"/>
    <w:rsid w:val="00E54583"/>
    <w:rsid w:val="00E55F46"/>
    <w:rsid w:val="00E5633C"/>
    <w:rsid w:val="00E56E97"/>
    <w:rsid w:val="00E56EE4"/>
    <w:rsid w:val="00E60693"/>
    <w:rsid w:val="00E60A17"/>
    <w:rsid w:val="00E61C01"/>
    <w:rsid w:val="00E621FE"/>
    <w:rsid w:val="00E62CBA"/>
    <w:rsid w:val="00E631FE"/>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260"/>
    <w:rsid w:val="00E86711"/>
    <w:rsid w:val="00E86798"/>
    <w:rsid w:val="00E9022B"/>
    <w:rsid w:val="00E90CAB"/>
    <w:rsid w:val="00E90E54"/>
    <w:rsid w:val="00E9118C"/>
    <w:rsid w:val="00E914A9"/>
    <w:rsid w:val="00E91A89"/>
    <w:rsid w:val="00E92035"/>
    <w:rsid w:val="00E92595"/>
    <w:rsid w:val="00E92FE6"/>
    <w:rsid w:val="00E93342"/>
    <w:rsid w:val="00E94929"/>
    <w:rsid w:val="00E9535A"/>
    <w:rsid w:val="00E9569C"/>
    <w:rsid w:val="00E968B6"/>
    <w:rsid w:val="00E96D3C"/>
    <w:rsid w:val="00E97839"/>
    <w:rsid w:val="00E97BE5"/>
    <w:rsid w:val="00EA2148"/>
    <w:rsid w:val="00EA2BF0"/>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452"/>
    <w:rsid w:val="00EB3C52"/>
    <w:rsid w:val="00EB51C7"/>
    <w:rsid w:val="00EB5858"/>
    <w:rsid w:val="00EB5DEF"/>
    <w:rsid w:val="00EB61E5"/>
    <w:rsid w:val="00EB67AA"/>
    <w:rsid w:val="00EB70B5"/>
    <w:rsid w:val="00EB780C"/>
    <w:rsid w:val="00EC09C3"/>
    <w:rsid w:val="00EC45FC"/>
    <w:rsid w:val="00EC4A04"/>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73B"/>
    <w:rsid w:val="00ED18EC"/>
    <w:rsid w:val="00ED2378"/>
    <w:rsid w:val="00ED29A6"/>
    <w:rsid w:val="00ED35F3"/>
    <w:rsid w:val="00ED4C7F"/>
    <w:rsid w:val="00ED525B"/>
    <w:rsid w:val="00ED52B7"/>
    <w:rsid w:val="00ED5337"/>
    <w:rsid w:val="00ED59E7"/>
    <w:rsid w:val="00ED623A"/>
    <w:rsid w:val="00ED69D4"/>
    <w:rsid w:val="00ED7403"/>
    <w:rsid w:val="00ED7AA8"/>
    <w:rsid w:val="00ED7BCA"/>
    <w:rsid w:val="00EE057C"/>
    <w:rsid w:val="00EE0858"/>
    <w:rsid w:val="00EE236A"/>
    <w:rsid w:val="00EE2649"/>
    <w:rsid w:val="00EE3015"/>
    <w:rsid w:val="00EE31AF"/>
    <w:rsid w:val="00EE34A1"/>
    <w:rsid w:val="00EE41A1"/>
    <w:rsid w:val="00EE50C5"/>
    <w:rsid w:val="00EE5306"/>
    <w:rsid w:val="00EE536C"/>
    <w:rsid w:val="00EE53E7"/>
    <w:rsid w:val="00EE5CEE"/>
    <w:rsid w:val="00EE71BF"/>
    <w:rsid w:val="00EE73E5"/>
    <w:rsid w:val="00EE7B44"/>
    <w:rsid w:val="00EE7D04"/>
    <w:rsid w:val="00EE7FB9"/>
    <w:rsid w:val="00EF03DA"/>
    <w:rsid w:val="00EF09AC"/>
    <w:rsid w:val="00EF14D1"/>
    <w:rsid w:val="00EF1DD2"/>
    <w:rsid w:val="00EF44D8"/>
    <w:rsid w:val="00EF58F2"/>
    <w:rsid w:val="00EF60C8"/>
    <w:rsid w:val="00EF6733"/>
    <w:rsid w:val="00EF6AD7"/>
    <w:rsid w:val="00F00041"/>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331"/>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03"/>
    <w:rsid w:val="00F24944"/>
    <w:rsid w:val="00F2516C"/>
    <w:rsid w:val="00F2560A"/>
    <w:rsid w:val="00F25B7F"/>
    <w:rsid w:val="00F2644C"/>
    <w:rsid w:val="00F26992"/>
    <w:rsid w:val="00F26F0E"/>
    <w:rsid w:val="00F2789C"/>
    <w:rsid w:val="00F310A3"/>
    <w:rsid w:val="00F31B8A"/>
    <w:rsid w:val="00F31FDD"/>
    <w:rsid w:val="00F323A8"/>
    <w:rsid w:val="00F32C8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5E0D"/>
    <w:rsid w:val="00F46D5A"/>
    <w:rsid w:val="00F47305"/>
    <w:rsid w:val="00F5036E"/>
    <w:rsid w:val="00F519A9"/>
    <w:rsid w:val="00F52AF5"/>
    <w:rsid w:val="00F53204"/>
    <w:rsid w:val="00F53860"/>
    <w:rsid w:val="00F54021"/>
    <w:rsid w:val="00F542AA"/>
    <w:rsid w:val="00F543D3"/>
    <w:rsid w:val="00F551B0"/>
    <w:rsid w:val="00F55452"/>
    <w:rsid w:val="00F55CC1"/>
    <w:rsid w:val="00F56021"/>
    <w:rsid w:val="00F563C4"/>
    <w:rsid w:val="00F56A49"/>
    <w:rsid w:val="00F60D33"/>
    <w:rsid w:val="00F61136"/>
    <w:rsid w:val="00F6166A"/>
    <w:rsid w:val="00F624A5"/>
    <w:rsid w:val="00F62D15"/>
    <w:rsid w:val="00F631DF"/>
    <w:rsid w:val="00F6398A"/>
    <w:rsid w:val="00F63C51"/>
    <w:rsid w:val="00F64C5A"/>
    <w:rsid w:val="00F66D81"/>
    <w:rsid w:val="00F67C3E"/>
    <w:rsid w:val="00F70281"/>
    <w:rsid w:val="00F702CD"/>
    <w:rsid w:val="00F707C2"/>
    <w:rsid w:val="00F707EE"/>
    <w:rsid w:val="00F70E6A"/>
    <w:rsid w:val="00F710EA"/>
    <w:rsid w:val="00F73249"/>
    <w:rsid w:val="00F74615"/>
    <w:rsid w:val="00F74CF0"/>
    <w:rsid w:val="00F75115"/>
    <w:rsid w:val="00F75D29"/>
    <w:rsid w:val="00F75F03"/>
    <w:rsid w:val="00F75F4B"/>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0C3D"/>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63C3"/>
    <w:rsid w:val="00FB7C38"/>
    <w:rsid w:val="00FB7F1F"/>
    <w:rsid w:val="00FC054A"/>
    <w:rsid w:val="00FC0790"/>
    <w:rsid w:val="00FC0A0D"/>
    <w:rsid w:val="00FC0F4A"/>
    <w:rsid w:val="00FC1289"/>
    <w:rsid w:val="00FC16C4"/>
    <w:rsid w:val="00FC2605"/>
    <w:rsid w:val="00FC2C91"/>
    <w:rsid w:val="00FC3459"/>
    <w:rsid w:val="00FC387F"/>
    <w:rsid w:val="00FC4C6D"/>
    <w:rsid w:val="00FC4DC2"/>
    <w:rsid w:val="00FC5311"/>
    <w:rsid w:val="00FC6C11"/>
    <w:rsid w:val="00FC7940"/>
    <w:rsid w:val="00FC7B46"/>
    <w:rsid w:val="00FC7B74"/>
    <w:rsid w:val="00FD0CFA"/>
    <w:rsid w:val="00FD10D5"/>
    <w:rsid w:val="00FD19F8"/>
    <w:rsid w:val="00FD1CE7"/>
    <w:rsid w:val="00FD1D4B"/>
    <w:rsid w:val="00FD1F76"/>
    <w:rsid w:val="00FD230C"/>
    <w:rsid w:val="00FD3098"/>
    <w:rsid w:val="00FD30CD"/>
    <w:rsid w:val="00FD40D5"/>
    <w:rsid w:val="00FD4636"/>
    <w:rsid w:val="00FD46BA"/>
    <w:rsid w:val="00FD4915"/>
    <w:rsid w:val="00FD4F18"/>
    <w:rsid w:val="00FD5D4A"/>
    <w:rsid w:val="00FD6B5B"/>
    <w:rsid w:val="00FE0024"/>
    <w:rsid w:val="00FE05FC"/>
    <w:rsid w:val="00FE0693"/>
    <w:rsid w:val="00FE086E"/>
    <w:rsid w:val="00FE0AF4"/>
    <w:rsid w:val="00FE127F"/>
    <w:rsid w:val="00FE18D8"/>
    <w:rsid w:val="00FE27EE"/>
    <w:rsid w:val="00FE30E1"/>
    <w:rsid w:val="00FE3907"/>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E06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character" w:customStyle="1" w:styleId="Ttulo2Car">
    <w:name w:val="Título 2 Car"/>
    <w:basedOn w:val="Fuentedeprrafopredeter"/>
    <w:link w:val="Ttulo2"/>
    <w:uiPriority w:val="9"/>
    <w:rsid w:val="009E0666"/>
    <w:rPr>
      <w:rFonts w:asciiTheme="majorHAnsi" w:eastAsiaTheme="majorEastAsia" w:hAnsiTheme="majorHAnsi" w:cstheme="majorBidi"/>
      <w:color w:val="365F91" w:themeColor="accent1" w:themeShade="BF"/>
      <w:sz w:val="26"/>
      <w:szCs w:val="26"/>
    </w:rPr>
  </w:style>
  <w:style w:type="character" w:customStyle="1" w:styleId="UnresolvedMention">
    <w:name w:val="Unresolved Mention"/>
    <w:basedOn w:val="Fuentedeprrafopredeter"/>
    <w:uiPriority w:val="99"/>
    <w:semiHidden/>
    <w:unhideWhenUsed/>
    <w:rsid w:val="00B649E2"/>
    <w:rPr>
      <w:color w:val="605E5C"/>
      <w:shd w:val="clear" w:color="auto" w:fill="E1DFDD"/>
    </w:rPr>
  </w:style>
  <w:style w:type="paragraph" w:styleId="NormalWeb">
    <w:name w:val="Normal (Web)"/>
    <w:basedOn w:val="Normal"/>
    <w:uiPriority w:val="99"/>
    <w:semiHidden/>
    <w:unhideWhenUsed/>
    <w:rsid w:val="00FD10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53327292">
      <w:bodyDiv w:val="1"/>
      <w:marLeft w:val="0"/>
      <w:marRight w:val="0"/>
      <w:marTop w:val="0"/>
      <w:marBottom w:val="0"/>
      <w:divBdr>
        <w:top w:val="none" w:sz="0" w:space="0" w:color="auto"/>
        <w:left w:val="none" w:sz="0" w:space="0" w:color="auto"/>
        <w:bottom w:val="none" w:sz="0" w:space="0" w:color="auto"/>
        <w:right w:val="none" w:sz="0" w:space="0" w:color="auto"/>
      </w:divBdr>
    </w:div>
    <w:div w:id="486164945">
      <w:bodyDiv w:val="1"/>
      <w:marLeft w:val="0"/>
      <w:marRight w:val="0"/>
      <w:marTop w:val="0"/>
      <w:marBottom w:val="0"/>
      <w:divBdr>
        <w:top w:val="none" w:sz="0" w:space="0" w:color="auto"/>
        <w:left w:val="none" w:sz="0" w:space="0" w:color="auto"/>
        <w:bottom w:val="none" w:sz="0" w:space="0" w:color="auto"/>
        <w:right w:val="none" w:sz="0" w:space="0" w:color="auto"/>
      </w:divBdr>
    </w:div>
    <w:div w:id="488908908">
      <w:bodyDiv w:val="1"/>
      <w:marLeft w:val="0"/>
      <w:marRight w:val="0"/>
      <w:marTop w:val="0"/>
      <w:marBottom w:val="0"/>
      <w:divBdr>
        <w:top w:val="none" w:sz="0" w:space="0" w:color="auto"/>
        <w:left w:val="none" w:sz="0" w:space="0" w:color="auto"/>
        <w:bottom w:val="none" w:sz="0" w:space="0" w:color="auto"/>
        <w:right w:val="none" w:sz="0" w:space="0" w:color="auto"/>
      </w:divBdr>
    </w:div>
    <w:div w:id="490484042">
      <w:bodyDiv w:val="1"/>
      <w:marLeft w:val="0"/>
      <w:marRight w:val="0"/>
      <w:marTop w:val="0"/>
      <w:marBottom w:val="0"/>
      <w:divBdr>
        <w:top w:val="none" w:sz="0" w:space="0" w:color="auto"/>
        <w:left w:val="none" w:sz="0" w:space="0" w:color="auto"/>
        <w:bottom w:val="none" w:sz="0" w:space="0" w:color="auto"/>
        <w:right w:val="none" w:sz="0" w:space="0" w:color="auto"/>
      </w:divBdr>
    </w:div>
    <w:div w:id="514927745">
      <w:bodyDiv w:val="1"/>
      <w:marLeft w:val="0"/>
      <w:marRight w:val="0"/>
      <w:marTop w:val="0"/>
      <w:marBottom w:val="0"/>
      <w:divBdr>
        <w:top w:val="none" w:sz="0" w:space="0" w:color="auto"/>
        <w:left w:val="none" w:sz="0" w:space="0" w:color="auto"/>
        <w:bottom w:val="none" w:sz="0" w:space="0" w:color="auto"/>
        <w:right w:val="none" w:sz="0" w:space="0" w:color="auto"/>
      </w:divBdr>
      <w:divsChild>
        <w:div w:id="374085905">
          <w:marLeft w:val="0"/>
          <w:marRight w:val="0"/>
          <w:marTop w:val="0"/>
          <w:marBottom w:val="0"/>
          <w:divBdr>
            <w:top w:val="none" w:sz="0" w:space="0" w:color="auto"/>
            <w:left w:val="none" w:sz="0" w:space="0" w:color="auto"/>
            <w:bottom w:val="none" w:sz="0" w:space="0" w:color="auto"/>
            <w:right w:val="none" w:sz="0" w:space="0" w:color="auto"/>
          </w:divBdr>
        </w:div>
      </w:divsChild>
    </w:div>
    <w:div w:id="783694361">
      <w:bodyDiv w:val="1"/>
      <w:marLeft w:val="0"/>
      <w:marRight w:val="0"/>
      <w:marTop w:val="0"/>
      <w:marBottom w:val="0"/>
      <w:divBdr>
        <w:top w:val="none" w:sz="0" w:space="0" w:color="auto"/>
        <w:left w:val="none" w:sz="0" w:space="0" w:color="auto"/>
        <w:bottom w:val="none" w:sz="0" w:space="0" w:color="auto"/>
        <w:right w:val="none" w:sz="0" w:space="0" w:color="auto"/>
      </w:divBdr>
    </w:div>
    <w:div w:id="1091006327">
      <w:bodyDiv w:val="1"/>
      <w:marLeft w:val="0"/>
      <w:marRight w:val="0"/>
      <w:marTop w:val="0"/>
      <w:marBottom w:val="0"/>
      <w:divBdr>
        <w:top w:val="none" w:sz="0" w:space="0" w:color="auto"/>
        <w:left w:val="none" w:sz="0" w:space="0" w:color="auto"/>
        <w:bottom w:val="none" w:sz="0" w:space="0" w:color="auto"/>
        <w:right w:val="none" w:sz="0" w:space="0" w:color="auto"/>
      </w:divBdr>
    </w:div>
    <w:div w:id="1293903249">
      <w:bodyDiv w:val="1"/>
      <w:marLeft w:val="0"/>
      <w:marRight w:val="0"/>
      <w:marTop w:val="0"/>
      <w:marBottom w:val="0"/>
      <w:divBdr>
        <w:top w:val="none" w:sz="0" w:space="0" w:color="auto"/>
        <w:left w:val="none" w:sz="0" w:space="0" w:color="auto"/>
        <w:bottom w:val="none" w:sz="0" w:space="0" w:color="auto"/>
        <w:right w:val="none" w:sz="0" w:space="0" w:color="auto"/>
      </w:divBdr>
    </w:div>
    <w:div w:id="13136812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75633656">
      <w:bodyDiv w:val="1"/>
      <w:marLeft w:val="0"/>
      <w:marRight w:val="0"/>
      <w:marTop w:val="0"/>
      <w:marBottom w:val="0"/>
      <w:divBdr>
        <w:top w:val="none" w:sz="0" w:space="0" w:color="auto"/>
        <w:left w:val="none" w:sz="0" w:space="0" w:color="auto"/>
        <w:bottom w:val="none" w:sz="0" w:space="0" w:color="auto"/>
        <w:right w:val="none" w:sz="0" w:space="0" w:color="auto"/>
      </w:divBdr>
    </w:div>
    <w:div w:id="1519276853">
      <w:bodyDiv w:val="1"/>
      <w:marLeft w:val="0"/>
      <w:marRight w:val="0"/>
      <w:marTop w:val="0"/>
      <w:marBottom w:val="0"/>
      <w:divBdr>
        <w:top w:val="none" w:sz="0" w:space="0" w:color="auto"/>
        <w:left w:val="none" w:sz="0" w:space="0" w:color="auto"/>
        <w:bottom w:val="none" w:sz="0" w:space="0" w:color="auto"/>
        <w:right w:val="none" w:sz="0" w:space="0" w:color="auto"/>
      </w:divBdr>
    </w:div>
    <w:div w:id="1580751690">
      <w:bodyDiv w:val="1"/>
      <w:marLeft w:val="0"/>
      <w:marRight w:val="0"/>
      <w:marTop w:val="0"/>
      <w:marBottom w:val="0"/>
      <w:divBdr>
        <w:top w:val="none" w:sz="0" w:space="0" w:color="auto"/>
        <w:left w:val="none" w:sz="0" w:space="0" w:color="auto"/>
        <w:bottom w:val="none" w:sz="0" w:space="0" w:color="auto"/>
        <w:right w:val="none" w:sz="0" w:space="0" w:color="auto"/>
      </w:divBdr>
    </w:div>
    <w:div w:id="1622691768">
      <w:bodyDiv w:val="1"/>
      <w:marLeft w:val="0"/>
      <w:marRight w:val="0"/>
      <w:marTop w:val="0"/>
      <w:marBottom w:val="0"/>
      <w:divBdr>
        <w:top w:val="none" w:sz="0" w:space="0" w:color="auto"/>
        <w:left w:val="none" w:sz="0" w:space="0" w:color="auto"/>
        <w:bottom w:val="none" w:sz="0" w:space="0" w:color="auto"/>
        <w:right w:val="none" w:sz="0" w:space="0" w:color="auto"/>
      </w:divBdr>
    </w:div>
    <w:div w:id="1626883893">
      <w:bodyDiv w:val="1"/>
      <w:marLeft w:val="0"/>
      <w:marRight w:val="0"/>
      <w:marTop w:val="0"/>
      <w:marBottom w:val="0"/>
      <w:divBdr>
        <w:top w:val="none" w:sz="0" w:space="0" w:color="auto"/>
        <w:left w:val="none" w:sz="0" w:space="0" w:color="auto"/>
        <w:bottom w:val="none" w:sz="0" w:space="0" w:color="auto"/>
        <w:right w:val="none" w:sz="0" w:space="0" w:color="auto"/>
      </w:divBdr>
    </w:div>
    <w:div w:id="1681273957">
      <w:bodyDiv w:val="1"/>
      <w:marLeft w:val="0"/>
      <w:marRight w:val="0"/>
      <w:marTop w:val="0"/>
      <w:marBottom w:val="0"/>
      <w:divBdr>
        <w:top w:val="none" w:sz="0" w:space="0" w:color="auto"/>
        <w:left w:val="none" w:sz="0" w:space="0" w:color="auto"/>
        <w:bottom w:val="none" w:sz="0" w:space="0" w:color="auto"/>
        <w:right w:val="none" w:sz="0" w:space="0" w:color="auto"/>
      </w:divBdr>
    </w:div>
    <w:div w:id="1789859313">
      <w:bodyDiv w:val="1"/>
      <w:marLeft w:val="0"/>
      <w:marRight w:val="0"/>
      <w:marTop w:val="0"/>
      <w:marBottom w:val="0"/>
      <w:divBdr>
        <w:top w:val="none" w:sz="0" w:space="0" w:color="auto"/>
        <w:left w:val="none" w:sz="0" w:space="0" w:color="auto"/>
        <w:bottom w:val="none" w:sz="0" w:space="0" w:color="auto"/>
        <w:right w:val="none" w:sz="0" w:space="0" w:color="auto"/>
      </w:divBdr>
    </w:div>
    <w:div w:id="2028212354">
      <w:bodyDiv w:val="1"/>
      <w:marLeft w:val="0"/>
      <w:marRight w:val="0"/>
      <w:marTop w:val="0"/>
      <w:marBottom w:val="0"/>
      <w:divBdr>
        <w:top w:val="none" w:sz="0" w:space="0" w:color="auto"/>
        <w:left w:val="none" w:sz="0" w:space="0" w:color="auto"/>
        <w:bottom w:val="none" w:sz="0" w:space="0" w:color="auto"/>
        <w:right w:val="none" w:sz="0" w:space="0" w:color="auto"/>
      </w:divBdr>
    </w:div>
    <w:div w:id="2050033633">
      <w:bodyDiv w:val="1"/>
      <w:marLeft w:val="0"/>
      <w:marRight w:val="0"/>
      <w:marTop w:val="0"/>
      <w:marBottom w:val="0"/>
      <w:divBdr>
        <w:top w:val="none" w:sz="0" w:space="0" w:color="auto"/>
        <w:left w:val="none" w:sz="0" w:space="0" w:color="auto"/>
        <w:bottom w:val="none" w:sz="0" w:space="0" w:color="auto"/>
        <w:right w:val="none" w:sz="0" w:space="0" w:color="auto"/>
      </w:divBdr>
      <w:divsChild>
        <w:div w:id="1400136177">
          <w:marLeft w:val="0"/>
          <w:marRight w:val="0"/>
          <w:marTop w:val="0"/>
          <w:marBottom w:val="0"/>
          <w:divBdr>
            <w:top w:val="none" w:sz="0" w:space="0" w:color="auto"/>
            <w:left w:val="none" w:sz="0" w:space="0" w:color="auto"/>
            <w:bottom w:val="none" w:sz="0" w:space="0" w:color="auto"/>
            <w:right w:val="none" w:sz="0" w:space="0" w:color="auto"/>
          </w:divBdr>
        </w:div>
      </w:divsChild>
    </w:div>
    <w:div w:id="2056006573">
      <w:bodyDiv w:val="1"/>
      <w:marLeft w:val="0"/>
      <w:marRight w:val="0"/>
      <w:marTop w:val="0"/>
      <w:marBottom w:val="0"/>
      <w:divBdr>
        <w:top w:val="none" w:sz="0" w:space="0" w:color="auto"/>
        <w:left w:val="none" w:sz="0" w:space="0" w:color="auto"/>
        <w:bottom w:val="none" w:sz="0" w:space="0" w:color="auto"/>
        <w:right w:val="none" w:sz="0" w:space="0" w:color="auto"/>
      </w:divBdr>
    </w:div>
    <w:div w:id="2086106519">
      <w:bodyDiv w:val="1"/>
      <w:marLeft w:val="0"/>
      <w:marRight w:val="0"/>
      <w:marTop w:val="0"/>
      <w:marBottom w:val="0"/>
      <w:divBdr>
        <w:top w:val="none" w:sz="0" w:space="0" w:color="auto"/>
        <w:left w:val="none" w:sz="0" w:space="0" w:color="auto"/>
        <w:bottom w:val="none" w:sz="0" w:space="0" w:color="auto"/>
        <w:right w:val="none" w:sz="0" w:space="0" w:color="auto"/>
      </w:divBdr>
    </w:div>
    <w:div w:id="2146042815">
      <w:bodyDiv w:val="1"/>
      <w:marLeft w:val="0"/>
      <w:marRight w:val="0"/>
      <w:marTop w:val="0"/>
      <w:marBottom w:val="0"/>
      <w:divBdr>
        <w:top w:val="none" w:sz="0" w:space="0" w:color="auto"/>
        <w:left w:val="none" w:sz="0" w:space="0" w:color="auto"/>
        <w:bottom w:val="none" w:sz="0" w:space="0" w:color="auto"/>
        <w:right w:val="none" w:sz="0" w:space="0" w:color="auto"/>
      </w:divBdr>
      <w:divsChild>
        <w:div w:id="1609267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Del</b:Tag>
    <b:SourceType>Book</b:SourceType>
    <b:Guid>{8F56095E-B17F-4C88-9E6B-CF279B6AF6B2}</b:Guid>
    <b:Author>
      <b:Author>
        <b:NameList>
          <b:Person>
            <b:Last>Delgadillo Gutierrez</b:Last>
            <b:First>Luis</b:First>
            <b:Middle>Humberto</b:Middle>
          </b:Person>
        </b:NameList>
      </b:Author>
    </b:Author>
    <b:Title>Tesauro Jurídico de la Superma Corte de Justicia de la Nación. Vocabulario Controlado y Estrcuturado.</b:Title>
    <b:RefOrder>1</b:RefOrder>
  </b:Source>
</b:Sources>
</file>

<file path=customXml/itemProps1.xml><?xml version="1.0" encoding="utf-8"?>
<ds:datastoreItem xmlns:ds="http://schemas.openxmlformats.org/officeDocument/2006/customXml" ds:itemID="{ADDC31D3-0049-4113-9459-A94F212B6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15</Pages>
  <Words>5464</Words>
  <Characters>30056</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92</cp:revision>
  <cp:lastPrinted>2021-04-28T22:07:00Z</cp:lastPrinted>
  <dcterms:created xsi:type="dcterms:W3CDTF">2021-04-21T20:09:00Z</dcterms:created>
  <dcterms:modified xsi:type="dcterms:W3CDTF">2021-09-21T18:03:00Z</dcterms:modified>
</cp:coreProperties>
</file>