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F6F34C" w14:textId="77777777" w:rsidR="00676979" w:rsidRDefault="00676979" w:rsidP="00676979">
      <w:pPr>
        <w:numPr>
          <w:ilvl w:val="1"/>
          <w:numId w:val="0"/>
        </w:numPr>
        <w:spacing w:after="160" w:line="360" w:lineRule="auto"/>
        <w:ind w:right="191"/>
        <w:rPr>
          <w:rFonts w:ascii="Arial" w:eastAsia="Times New Roman" w:hAnsi="Arial" w:cs="Arial"/>
          <w:b/>
          <w:bCs/>
          <w:color w:val="000000"/>
          <w:spacing w:val="15"/>
          <w:sz w:val="24"/>
          <w:szCs w:val="24"/>
          <w:lang w:eastAsia="en-US"/>
        </w:rPr>
      </w:pPr>
    </w:p>
    <w:p w14:paraId="770829EC" w14:textId="77777777" w:rsidR="007C7A1C" w:rsidRPr="00512412" w:rsidRDefault="007C7A1C" w:rsidP="00336C9A">
      <w:pPr>
        <w:numPr>
          <w:ilvl w:val="1"/>
          <w:numId w:val="0"/>
        </w:numPr>
        <w:spacing w:after="160" w:line="360" w:lineRule="auto"/>
        <w:ind w:left="-426" w:right="191"/>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336C9A">
      <w:pPr>
        <w:tabs>
          <w:tab w:val="left" w:pos="6480"/>
        </w:tabs>
        <w:spacing w:after="160" w:line="360" w:lineRule="auto"/>
        <w:ind w:left="-426" w:right="191"/>
        <w:jc w:val="right"/>
        <w:rPr>
          <w:rFonts w:ascii="Calibri" w:eastAsia="Calibri" w:hAnsi="Calibri" w:cs="Times New Roman"/>
          <w:sz w:val="24"/>
          <w:szCs w:val="24"/>
          <w:lang w:eastAsia="en-US"/>
        </w:rPr>
      </w:pPr>
    </w:p>
    <w:p w14:paraId="3901E82E" w14:textId="49E3B648" w:rsidR="007C7A1C" w:rsidRPr="00512412" w:rsidRDefault="007C7A1C" w:rsidP="00336C9A">
      <w:pPr>
        <w:spacing w:after="160" w:line="360" w:lineRule="auto"/>
        <w:ind w:left="-426" w:right="191"/>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6E66DD">
        <w:rPr>
          <w:rFonts w:ascii="Arial" w:eastAsia="Calibri" w:hAnsi="Arial" w:cs="Arial"/>
          <w:b/>
          <w:bCs/>
          <w:sz w:val="24"/>
          <w:szCs w:val="24"/>
          <w:lang w:eastAsia="en-US"/>
        </w:rPr>
        <w:t>28 de febrero de 2023</w:t>
      </w:r>
      <w:r w:rsidRPr="00512412">
        <w:rPr>
          <w:rFonts w:ascii="Arial" w:eastAsia="Calibri" w:hAnsi="Arial" w:cs="Arial"/>
          <w:b/>
          <w:bCs/>
          <w:sz w:val="24"/>
          <w:szCs w:val="24"/>
          <w:lang w:eastAsia="en-US"/>
        </w:rPr>
        <w:t>.</w:t>
      </w:r>
    </w:p>
    <w:p w14:paraId="19350AAC" w14:textId="77777777" w:rsidR="007C7A1C" w:rsidRPr="00512412" w:rsidRDefault="007C7A1C" w:rsidP="00336C9A">
      <w:pPr>
        <w:tabs>
          <w:tab w:val="left" w:pos="6480"/>
        </w:tabs>
        <w:spacing w:after="160" w:line="360" w:lineRule="auto"/>
        <w:ind w:left="-426" w:right="191"/>
        <w:rPr>
          <w:rFonts w:ascii="Calibri" w:eastAsia="Calibri" w:hAnsi="Calibri" w:cs="Times New Roman"/>
          <w:sz w:val="24"/>
          <w:szCs w:val="24"/>
          <w:lang w:eastAsia="en-US"/>
        </w:rPr>
      </w:pPr>
    </w:p>
    <w:p w14:paraId="6C6E69A3" w14:textId="62D78DD8" w:rsidR="00383D23" w:rsidRPr="00512412" w:rsidRDefault="007C7A1C" w:rsidP="00383D23">
      <w:pPr>
        <w:tabs>
          <w:tab w:val="left" w:pos="6480"/>
        </w:tabs>
        <w:spacing w:after="160" w:line="360" w:lineRule="auto"/>
        <w:ind w:left="-426" w:right="191"/>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6058855B" w:rsidR="007C7A1C" w:rsidRDefault="007C7A1C" w:rsidP="00336C9A">
      <w:pPr>
        <w:tabs>
          <w:tab w:val="left" w:pos="284"/>
          <w:tab w:val="left" w:pos="426"/>
          <w:tab w:val="right" w:pos="9072"/>
        </w:tabs>
        <w:spacing w:after="0" w:line="360" w:lineRule="auto"/>
        <w:ind w:left="-426" w:right="191"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6E66DD">
        <w:rPr>
          <w:rFonts w:ascii="Arial" w:hAnsi="Arial" w:cs="Arial"/>
          <w:b/>
          <w:sz w:val="24"/>
          <w:szCs w:val="24"/>
        </w:rPr>
        <w:t>0070</w:t>
      </w:r>
      <w:r w:rsidRPr="00512412">
        <w:rPr>
          <w:rFonts w:ascii="Arial" w:hAnsi="Arial" w:cs="Arial"/>
          <w:b/>
          <w:sz w:val="24"/>
          <w:szCs w:val="24"/>
        </w:rPr>
        <w:t>/20</w:t>
      </w:r>
      <w:r w:rsidR="007751BD">
        <w:rPr>
          <w:rFonts w:ascii="Arial" w:hAnsi="Arial" w:cs="Arial"/>
          <w:b/>
          <w:sz w:val="24"/>
          <w:szCs w:val="24"/>
        </w:rPr>
        <w:t>2</w:t>
      </w:r>
      <w:r w:rsidR="006E66DD">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676979">
        <w:rPr>
          <w:rFonts w:ascii="Arial" w:hAnsi="Arial" w:cs="Arial"/>
          <w:b/>
          <w:sz w:val="24"/>
          <w:szCs w:val="24"/>
        </w:rPr>
        <w:t>**********</w:t>
      </w:r>
      <w:r w:rsidRPr="00512412">
        <w:rPr>
          <w:rFonts w:ascii="Arial" w:hAnsi="Arial" w:cs="Arial"/>
          <w:sz w:val="24"/>
          <w:szCs w:val="24"/>
        </w:rPr>
        <w:t>, en contra de</w:t>
      </w:r>
      <w:r w:rsidR="004D22A5">
        <w:rPr>
          <w:rFonts w:ascii="Arial" w:hAnsi="Arial" w:cs="Arial"/>
          <w:sz w:val="24"/>
          <w:szCs w:val="24"/>
        </w:rPr>
        <w:t xml:space="preserve">l </w:t>
      </w:r>
      <w:r w:rsidR="006E66DD">
        <w:rPr>
          <w:rFonts w:ascii="Arial" w:hAnsi="Arial" w:cs="Arial"/>
          <w:b/>
          <w:bCs/>
          <w:sz w:val="24"/>
          <w:szCs w:val="24"/>
        </w:rPr>
        <w:t>DIRECTOR DE SEGURIDAD PÚBLICA DEL MUNICIPIO DE SANTA LUCÍA DEL CAMINO Y OTROS</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336C9A">
      <w:pPr>
        <w:tabs>
          <w:tab w:val="left" w:pos="284"/>
          <w:tab w:val="left" w:pos="426"/>
          <w:tab w:val="right" w:pos="9072"/>
        </w:tabs>
        <w:spacing w:after="0" w:line="360" w:lineRule="auto"/>
        <w:ind w:left="-426" w:right="191" w:firstLine="567"/>
        <w:jc w:val="both"/>
        <w:rPr>
          <w:rFonts w:ascii="Arial" w:hAnsi="Arial" w:cs="Arial"/>
          <w:b/>
          <w:sz w:val="24"/>
          <w:szCs w:val="24"/>
        </w:rPr>
      </w:pPr>
    </w:p>
    <w:p w14:paraId="752A6775" w14:textId="77777777" w:rsidR="003A730F" w:rsidRDefault="003A730F" w:rsidP="00336C9A">
      <w:pPr>
        <w:spacing w:after="160" w:line="360" w:lineRule="auto"/>
        <w:ind w:left="-426" w:right="191"/>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02698C96" w14:textId="77777777" w:rsidR="00383D23" w:rsidRPr="00512412" w:rsidRDefault="00383D23" w:rsidP="00336C9A">
      <w:pPr>
        <w:spacing w:after="160" w:line="360" w:lineRule="auto"/>
        <w:ind w:left="-426" w:right="191"/>
        <w:jc w:val="center"/>
        <w:rPr>
          <w:rFonts w:ascii="Arial" w:eastAsia="Calibri" w:hAnsi="Arial" w:cs="Arial"/>
          <w:b/>
          <w:bCs/>
          <w:sz w:val="24"/>
          <w:szCs w:val="24"/>
          <w:lang w:eastAsia="en-US"/>
        </w:rPr>
      </w:pPr>
    </w:p>
    <w:p w14:paraId="4FA43D0B" w14:textId="0972C6B2" w:rsidR="004D22A5" w:rsidRDefault="003A730F" w:rsidP="00336C9A">
      <w:pPr>
        <w:spacing w:after="160" w:line="360" w:lineRule="auto"/>
        <w:ind w:left="-426" w:right="191"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6E66DD">
        <w:rPr>
          <w:rFonts w:ascii="Arial" w:eastAsia="Calibri" w:hAnsi="Arial" w:cs="Arial"/>
          <w:sz w:val="24"/>
          <w:szCs w:val="24"/>
          <w:lang w:eastAsia="en-US"/>
        </w:rPr>
        <w:t>veintinueve de septiembre de dos mil veintiuno</w:t>
      </w:r>
      <w:r w:rsidR="00513C70">
        <w:rPr>
          <w:rFonts w:ascii="Arial" w:eastAsia="Calibri" w:hAnsi="Arial" w:cs="Arial"/>
          <w:sz w:val="24"/>
          <w:szCs w:val="24"/>
          <w:lang w:eastAsia="en-US"/>
        </w:rPr>
        <w:t xml:space="preserve">, </w:t>
      </w:r>
      <w:r w:rsidR="00676979">
        <w:rPr>
          <w:rFonts w:ascii="Arial" w:hAnsi="Arial" w:cs="Arial"/>
          <w:bCs/>
          <w:sz w:val="24"/>
          <w:szCs w:val="24"/>
        </w:rPr>
        <w:t>**********</w:t>
      </w:r>
      <w:r w:rsidRPr="007751BD">
        <w:rPr>
          <w:rFonts w:ascii="Arial" w:eastAsia="Calibri" w:hAnsi="Arial" w:cs="Arial"/>
          <w:bCs/>
          <w:sz w:val="24"/>
          <w:szCs w:val="24"/>
          <w:lang w:eastAsia="en-US"/>
        </w:rPr>
        <w:t>,</w:t>
      </w:r>
      <w:r>
        <w:rPr>
          <w:rFonts w:ascii="Arial" w:eastAsia="Calibri" w:hAnsi="Arial" w:cs="Arial"/>
          <w:sz w:val="24"/>
          <w:szCs w:val="24"/>
          <w:lang w:eastAsia="en-US"/>
        </w:rPr>
        <w:t xml:space="preserve"> demandó </w:t>
      </w:r>
      <w:r w:rsidRPr="006E6EB1">
        <w:rPr>
          <w:rFonts w:ascii="Arial" w:eastAsia="Calibri" w:hAnsi="Arial" w:cs="Arial"/>
          <w:sz w:val="24"/>
          <w:szCs w:val="24"/>
          <w:lang w:eastAsia="en-US"/>
        </w:rPr>
        <w:t xml:space="preserve">la nulidad </w:t>
      </w:r>
      <w:r w:rsidR="004D22A5">
        <w:rPr>
          <w:rFonts w:ascii="Arial" w:eastAsia="Calibri" w:hAnsi="Arial" w:cs="Arial"/>
          <w:sz w:val="24"/>
          <w:szCs w:val="24"/>
          <w:lang w:eastAsia="en-US"/>
        </w:rPr>
        <w:t xml:space="preserve">de la </w:t>
      </w:r>
      <w:r w:rsidR="006E66DD">
        <w:rPr>
          <w:rFonts w:ascii="Arial" w:eastAsia="Calibri" w:hAnsi="Arial" w:cs="Arial"/>
          <w:sz w:val="24"/>
          <w:szCs w:val="24"/>
          <w:lang w:eastAsia="en-US"/>
        </w:rPr>
        <w:t xml:space="preserve">orden verbal y notificación de baja como elemento adscrito a la Secretaría de Seguridad Pública con nombramiento de Policía “A” con número de registro </w:t>
      </w:r>
      <w:r w:rsidR="00676979">
        <w:rPr>
          <w:rFonts w:ascii="Arial" w:eastAsia="Calibri" w:hAnsi="Arial" w:cs="Arial"/>
          <w:sz w:val="24"/>
          <w:szCs w:val="24"/>
          <w:lang w:eastAsia="en-US"/>
        </w:rPr>
        <w:t>**********</w:t>
      </w:r>
      <w:r w:rsidR="004D22A5">
        <w:rPr>
          <w:rFonts w:ascii="Arial" w:eastAsia="Calibri" w:hAnsi="Arial" w:cs="Arial"/>
          <w:sz w:val="24"/>
          <w:szCs w:val="24"/>
          <w:lang w:eastAsia="en-US"/>
        </w:rPr>
        <w:t>.</w:t>
      </w:r>
    </w:p>
    <w:p w14:paraId="2643064C" w14:textId="77777777" w:rsidR="00383D23" w:rsidRDefault="00383D23" w:rsidP="00336C9A">
      <w:pPr>
        <w:spacing w:after="160" w:line="360" w:lineRule="auto"/>
        <w:ind w:left="-426" w:right="191" w:firstLine="567"/>
        <w:jc w:val="both"/>
        <w:rPr>
          <w:rFonts w:ascii="Arial" w:eastAsia="Calibri" w:hAnsi="Arial" w:cs="Arial"/>
          <w:sz w:val="24"/>
          <w:szCs w:val="24"/>
          <w:lang w:eastAsia="en-US"/>
        </w:rPr>
      </w:pPr>
    </w:p>
    <w:p w14:paraId="2307559A" w14:textId="4C53E5F7" w:rsidR="003A730F" w:rsidRDefault="003A730F" w:rsidP="00336C9A">
      <w:pPr>
        <w:spacing w:after="160" w:line="360" w:lineRule="auto"/>
        <w:ind w:left="-426" w:right="191"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6E66DD">
        <w:rPr>
          <w:rFonts w:ascii="Arial" w:eastAsia="Calibri" w:hAnsi="Arial" w:cs="Arial"/>
          <w:sz w:val="24"/>
          <w:szCs w:val="24"/>
          <w:lang w:eastAsia="en-US"/>
        </w:rPr>
        <w:t>treinta de septiembre de dos mil veintiuno</w:t>
      </w:r>
      <w:r w:rsidRPr="00512412">
        <w:rPr>
          <w:rFonts w:ascii="Arial" w:eastAsia="Calibri" w:hAnsi="Arial" w:cs="Arial"/>
          <w:sz w:val="24"/>
          <w:szCs w:val="24"/>
          <w:lang w:eastAsia="en-US"/>
        </w:rPr>
        <w:t xml:space="preserve">, se admitió </w:t>
      </w:r>
      <w:r w:rsidR="00A979F7">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w:t>
      </w:r>
      <w:r w:rsidR="006E66DD">
        <w:rPr>
          <w:rFonts w:ascii="Arial" w:eastAsia="Calibri" w:hAnsi="Arial" w:cs="Arial"/>
          <w:sz w:val="24"/>
          <w:szCs w:val="24"/>
          <w:lang w:eastAsia="en-US"/>
        </w:rPr>
        <w:t>s</w:t>
      </w:r>
      <w:r w:rsidRPr="00512412">
        <w:rPr>
          <w:rFonts w:ascii="Arial" w:eastAsia="Calibri" w:hAnsi="Arial" w:cs="Arial"/>
          <w:sz w:val="24"/>
          <w:szCs w:val="24"/>
          <w:lang w:eastAsia="en-US"/>
        </w:rPr>
        <w:t xml:space="preserve"> autorida</w:t>
      </w:r>
      <w:r w:rsidR="00513C70">
        <w:rPr>
          <w:rFonts w:ascii="Arial" w:eastAsia="Calibri" w:hAnsi="Arial" w:cs="Arial"/>
          <w:sz w:val="24"/>
          <w:szCs w:val="24"/>
          <w:lang w:eastAsia="en-US"/>
        </w:rPr>
        <w:t>d</w:t>
      </w:r>
      <w:r w:rsidR="006E66DD">
        <w:rPr>
          <w:rFonts w:ascii="Arial" w:eastAsia="Calibri" w:hAnsi="Arial" w:cs="Arial"/>
          <w:sz w:val="24"/>
          <w:szCs w:val="24"/>
          <w:lang w:eastAsia="en-US"/>
        </w:rPr>
        <w:t>es</w:t>
      </w:r>
      <w:r w:rsidRPr="00512412">
        <w:rPr>
          <w:rFonts w:ascii="Arial" w:eastAsia="Calibri" w:hAnsi="Arial" w:cs="Arial"/>
          <w:sz w:val="24"/>
          <w:szCs w:val="24"/>
          <w:lang w:eastAsia="en-US"/>
        </w:rPr>
        <w:t xml:space="preserve"> enjuiciada</w:t>
      </w:r>
      <w:r w:rsidR="006E66DD">
        <w:rPr>
          <w:rFonts w:ascii="Arial" w:eastAsia="Calibri" w:hAnsi="Arial" w:cs="Arial"/>
          <w:sz w:val="24"/>
          <w:szCs w:val="24"/>
          <w:lang w:eastAsia="en-US"/>
        </w:rPr>
        <w:t>s</w:t>
      </w:r>
      <w:r w:rsidRPr="00512412">
        <w:rPr>
          <w:rFonts w:ascii="Arial" w:eastAsia="Calibri" w:hAnsi="Arial" w:cs="Arial"/>
          <w:sz w:val="24"/>
          <w:szCs w:val="24"/>
          <w:lang w:eastAsia="en-US"/>
        </w:rPr>
        <w:t xml:space="preserve"> para que diera</w:t>
      </w:r>
      <w:r w:rsidR="006E66DD">
        <w:rPr>
          <w:rFonts w:ascii="Arial" w:eastAsia="Calibri" w:hAnsi="Arial" w:cs="Arial"/>
          <w:sz w:val="24"/>
          <w:szCs w:val="24"/>
          <w:lang w:eastAsia="en-US"/>
        </w:rPr>
        <w:t>n</w:t>
      </w:r>
      <w:r w:rsidRPr="00512412">
        <w:rPr>
          <w:rFonts w:ascii="Arial" w:eastAsia="Calibri" w:hAnsi="Arial" w:cs="Arial"/>
          <w:sz w:val="24"/>
          <w:szCs w:val="24"/>
          <w:lang w:eastAsia="en-US"/>
        </w:rPr>
        <w:t xml:space="preserve">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00A979F7">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w:t>
      </w:r>
      <w:r w:rsidR="00A979F7">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tendrían por ciertos, salvo prueba en contrario; en otro aspecto</w:t>
      </w:r>
      <w:r w:rsidR="00A979F7">
        <w:rPr>
          <w:rFonts w:ascii="Arial" w:eastAsia="Calibri" w:hAnsi="Arial" w:cs="Arial"/>
          <w:sz w:val="24"/>
          <w:szCs w:val="24"/>
          <w:lang w:eastAsia="en-US"/>
        </w:rPr>
        <w:t xml:space="preserve"> y de las pruebas ofrecidas se </w:t>
      </w:r>
      <w:r w:rsidRPr="00512412">
        <w:rPr>
          <w:rFonts w:ascii="Arial" w:eastAsia="Calibri" w:hAnsi="Arial" w:cs="Arial"/>
          <w:sz w:val="24"/>
          <w:szCs w:val="24"/>
          <w:lang w:eastAsia="en-US"/>
        </w:rPr>
        <w:t>tuvieron por admitidas las señaladas en el acuerdo mencionado.</w:t>
      </w:r>
    </w:p>
    <w:p w14:paraId="7455671A" w14:textId="77777777" w:rsidR="00383D23" w:rsidRDefault="00383D23" w:rsidP="00336C9A">
      <w:pPr>
        <w:spacing w:after="160" w:line="360" w:lineRule="auto"/>
        <w:ind w:left="-426" w:right="191" w:firstLine="567"/>
        <w:jc w:val="both"/>
        <w:rPr>
          <w:rFonts w:ascii="Arial" w:eastAsia="Calibri" w:hAnsi="Arial" w:cs="Arial"/>
          <w:sz w:val="24"/>
          <w:szCs w:val="24"/>
          <w:lang w:eastAsia="en-US"/>
        </w:rPr>
      </w:pPr>
    </w:p>
    <w:p w14:paraId="6B6BCA49" w14:textId="70BC79DA" w:rsidR="003A730F" w:rsidRDefault="003A730F" w:rsidP="00336C9A">
      <w:pPr>
        <w:spacing w:after="160" w:line="360" w:lineRule="auto"/>
        <w:ind w:left="-426" w:right="191"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6E66DD">
        <w:rPr>
          <w:rFonts w:ascii="Arial" w:eastAsia="Calibri" w:hAnsi="Arial" w:cs="Arial"/>
          <w:sz w:val="24"/>
          <w:szCs w:val="24"/>
          <w:lang w:eastAsia="en-US"/>
        </w:rPr>
        <w:t xml:space="preserve">once de noviembre de dos mil veintiuno se tuvo al Presidente Constitucional, Coordinador de Recursos Humanos y Comisionado de Seguridad Pública y Policía Vial todos del Municipio de Santa Lucía del Camino, contestando la demanda de nulidad promovida en su contra </w:t>
      </w:r>
      <w:r w:rsidRPr="00171708">
        <w:rPr>
          <w:rFonts w:ascii="Arial" w:eastAsia="Calibri" w:hAnsi="Arial" w:cs="Arial"/>
          <w:sz w:val="24"/>
          <w:szCs w:val="24"/>
          <w:lang w:eastAsia="en-US"/>
        </w:rPr>
        <w:t>y se tuvieron por admitidas las pruebas ofrecidas.</w:t>
      </w:r>
      <w:r w:rsidR="00FB303C">
        <w:rPr>
          <w:rFonts w:ascii="Arial" w:eastAsia="Calibri" w:hAnsi="Arial" w:cs="Arial"/>
          <w:sz w:val="24"/>
          <w:szCs w:val="24"/>
          <w:lang w:eastAsia="en-US"/>
        </w:rPr>
        <w:t xml:space="preserve"> </w:t>
      </w:r>
      <w:r w:rsidR="004D22A5">
        <w:rPr>
          <w:rFonts w:ascii="Arial" w:eastAsia="Calibri" w:hAnsi="Arial" w:cs="Arial"/>
          <w:sz w:val="24"/>
          <w:szCs w:val="24"/>
          <w:lang w:eastAsia="en-US"/>
        </w:rPr>
        <w:t>También se ordenó correr traslado a la parte actora para que, de considerarlo necesario, ampliara su demanda.</w:t>
      </w:r>
    </w:p>
    <w:p w14:paraId="732E5B8C" w14:textId="34B74C8D" w:rsidR="006E66DD" w:rsidRDefault="003A730F" w:rsidP="00336C9A">
      <w:pPr>
        <w:spacing w:after="160" w:line="360" w:lineRule="auto"/>
        <w:ind w:left="-426" w:right="191"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4°.</w:t>
      </w:r>
      <w:r w:rsidRPr="00512412">
        <w:rPr>
          <w:rFonts w:ascii="Arial" w:eastAsia="Calibri" w:hAnsi="Arial" w:cs="Arial"/>
          <w:sz w:val="24"/>
          <w:szCs w:val="24"/>
          <w:lang w:eastAsia="en-US"/>
        </w:rPr>
        <w:t xml:space="preserve"> </w:t>
      </w:r>
      <w:r w:rsidR="003C4339">
        <w:rPr>
          <w:rFonts w:ascii="Arial" w:eastAsia="Calibri" w:hAnsi="Arial" w:cs="Arial"/>
          <w:sz w:val="24"/>
          <w:szCs w:val="24"/>
          <w:lang w:eastAsia="en-US"/>
        </w:rPr>
        <w:t xml:space="preserve">Por acuerdo de fecha </w:t>
      </w:r>
      <w:r w:rsidR="006E66DD">
        <w:rPr>
          <w:rFonts w:ascii="Arial" w:eastAsia="Calibri" w:hAnsi="Arial" w:cs="Arial"/>
          <w:sz w:val="24"/>
          <w:szCs w:val="24"/>
          <w:lang w:eastAsia="en-US"/>
        </w:rPr>
        <w:t>quince de diciembre de dos mil veintiuno</w:t>
      </w:r>
      <w:r w:rsidR="003C4339">
        <w:rPr>
          <w:rFonts w:ascii="Arial" w:eastAsia="Calibri" w:hAnsi="Arial" w:cs="Arial"/>
          <w:sz w:val="24"/>
          <w:szCs w:val="24"/>
          <w:lang w:eastAsia="en-US"/>
        </w:rPr>
        <w:t xml:space="preserve"> se </w:t>
      </w:r>
      <w:r w:rsidR="006E66DD">
        <w:rPr>
          <w:rFonts w:ascii="Arial" w:eastAsia="Calibri" w:hAnsi="Arial" w:cs="Arial"/>
          <w:sz w:val="24"/>
          <w:szCs w:val="24"/>
          <w:lang w:eastAsia="en-US"/>
        </w:rPr>
        <w:t xml:space="preserve">tuvo al actora ampliando su demanda </w:t>
      </w:r>
      <w:r w:rsidR="00D63CB5">
        <w:rPr>
          <w:rFonts w:ascii="Arial" w:eastAsia="Calibri" w:hAnsi="Arial" w:cs="Arial"/>
          <w:sz w:val="24"/>
          <w:szCs w:val="24"/>
          <w:lang w:eastAsia="en-US"/>
        </w:rPr>
        <w:t xml:space="preserve">respecto al el oficio número </w:t>
      </w:r>
      <w:r w:rsidR="00676979">
        <w:rPr>
          <w:rFonts w:ascii="Arial" w:eastAsia="Calibri" w:hAnsi="Arial" w:cs="Arial"/>
          <w:sz w:val="24"/>
          <w:szCs w:val="24"/>
          <w:lang w:eastAsia="en-US"/>
        </w:rPr>
        <w:t>**********</w:t>
      </w:r>
      <w:r w:rsidR="00D63CB5">
        <w:rPr>
          <w:rFonts w:ascii="Arial" w:eastAsia="Calibri" w:hAnsi="Arial" w:cs="Arial"/>
          <w:sz w:val="24"/>
          <w:szCs w:val="24"/>
          <w:lang w:eastAsia="en-US"/>
        </w:rPr>
        <w:t xml:space="preserve"> de fecha quince de junio de dos mil veintiuno </w:t>
      </w:r>
      <w:r w:rsidR="006E66DD">
        <w:rPr>
          <w:rFonts w:ascii="Arial" w:eastAsia="Calibri" w:hAnsi="Arial" w:cs="Arial"/>
          <w:sz w:val="24"/>
          <w:szCs w:val="24"/>
          <w:lang w:eastAsia="en-US"/>
        </w:rPr>
        <w:t xml:space="preserve">y se concedió igual término a las autoridades demandadas para que contestaran la ampliación. </w:t>
      </w:r>
    </w:p>
    <w:p w14:paraId="0B614AF5" w14:textId="77777777" w:rsidR="00383D23" w:rsidRDefault="00383D23" w:rsidP="00336C9A">
      <w:pPr>
        <w:spacing w:after="160" w:line="360" w:lineRule="auto"/>
        <w:ind w:left="-426" w:right="191" w:firstLine="567"/>
        <w:jc w:val="both"/>
        <w:rPr>
          <w:rFonts w:ascii="Arial" w:eastAsia="Calibri" w:hAnsi="Arial" w:cs="Arial"/>
          <w:sz w:val="24"/>
          <w:szCs w:val="24"/>
          <w:lang w:eastAsia="en-US"/>
        </w:rPr>
      </w:pPr>
    </w:p>
    <w:p w14:paraId="262CC4C8" w14:textId="1DBC6F33" w:rsidR="00C56D06" w:rsidRDefault="003C4339" w:rsidP="00336C9A">
      <w:pPr>
        <w:spacing w:after="160" w:line="360" w:lineRule="auto"/>
        <w:ind w:left="-426" w:right="191"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5°. </w:t>
      </w:r>
      <w:r>
        <w:rPr>
          <w:rFonts w:ascii="Arial" w:eastAsia="Calibri" w:hAnsi="Arial" w:cs="Arial"/>
          <w:sz w:val="24"/>
          <w:szCs w:val="24"/>
          <w:lang w:eastAsia="en-US"/>
        </w:rPr>
        <w:t xml:space="preserve">Mediante acuerdo de fecha </w:t>
      </w:r>
      <w:r w:rsidR="00321124">
        <w:rPr>
          <w:rFonts w:ascii="Arial" w:eastAsia="Calibri" w:hAnsi="Arial" w:cs="Arial"/>
          <w:sz w:val="24"/>
          <w:szCs w:val="24"/>
          <w:lang w:eastAsia="en-US"/>
        </w:rPr>
        <w:t xml:space="preserve">treinta y uno de agosto de dos mil veintidós se tuvo por </w:t>
      </w:r>
      <w:proofErr w:type="spellStart"/>
      <w:r w:rsidR="00321124">
        <w:rPr>
          <w:rFonts w:ascii="Arial" w:eastAsia="Calibri" w:hAnsi="Arial" w:cs="Arial"/>
          <w:sz w:val="24"/>
          <w:szCs w:val="24"/>
          <w:lang w:eastAsia="en-US"/>
        </w:rPr>
        <w:t>precluido</w:t>
      </w:r>
      <w:proofErr w:type="spellEnd"/>
      <w:r w:rsidR="00321124">
        <w:rPr>
          <w:rFonts w:ascii="Arial" w:eastAsia="Calibri" w:hAnsi="Arial" w:cs="Arial"/>
          <w:sz w:val="24"/>
          <w:szCs w:val="24"/>
          <w:lang w:eastAsia="en-US"/>
        </w:rPr>
        <w:t xml:space="preserve"> el derecho de las autoridades demandadas a ampliar su demanda y por consiguiente se fijaron las once horas del once de octubre de dos mil veintidós para que se desahogara la prueba testimonial misma que se desahogó el día señalado. </w:t>
      </w:r>
    </w:p>
    <w:p w14:paraId="2E854BE2" w14:textId="77777777" w:rsidR="00383D23" w:rsidRDefault="00383D23" w:rsidP="00336C9A">
      <w:pPr>
        <w:spacing w:after="160" w:line="360" w:lineRule="auto"/>
        <w:ind w:left="-426" w:right="191" w:firstLine="567"/>
        <w:jc w:val="both"/>
        <w:rPr>
          <w:rFonts w:ascii="Arial" w:eastAsia="Calibri" w:hAnsi="Arial" w:cs="Arial"/>
          <w:sz w:val="24"/>
          <w:szCs w:val="24"/>
          <w:lang w:eastAsia="en-US"/>
        </w:rPr>
      </w:pPr>
    </w:p>
    <w:p w14:paraId="219A7C67" w14:textId="521CB548" w:rsidR="003A730F" w:rsidRDefault="00321124" w:rsidP="00336C9A">
      <w:pPr>
        <w:spacing w:after="160" w:line="360" w:lineRule="auto"/>
        <w:ind w:left="-426" w:right="191"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6° </w:t>
      </w:r>
      <w:r>
        <w:rPr>
          <w:rFonts w:ascii="Arial" w:eastAsia="Calibri" w:hAnsi="Arial" w:cs="Arial"/>
          <w:sz w:val="24"/>
          <w:szCs w:val="24"/>
          <w:lang w:eastAsia="en-US"/>
        </w:rPr>
        <w:t xml:space="preserve">Con fecha diecisiete de enero de dos mil veintitrés se fijaron las once horas del siete de febrero de dos mil veintitrés </w:t>
      </w:r>
      <w:r w:rsidR="003C4339">
        <w:rPr>
          <w:rFonts w:ascii="Arial" w:eastAsia="Calibri" w:hAnsi="Arial" w:cs="Arial"/>
          <w:sz w:val="24"/>
          <w:szCs w:val="24"/>
          <w:lang w:eastAsia="en-US"/>
        </w:rPr>
        <w:t xml:space="preserve">para que tuviera verificativo la Audiencia de Ley </w:t>
      </w:r>
      <w:r w:rsidR="00D63CB5">
        <w:rPr>
          <w:rFonts w:ascii="Arial" w:eastAsia="Calibri" w:hAnsi="Arial" w:cs="Arial"/>
          <w:sz w:val="24"/>
          <w:szCs w:val="24"/>
          <w:lang w:eastAsia="en-US"/>
        </w:rPr>
        <w:t>la cual</w:t>
      </w:r>
      <w:r w:rsidR="003C4339">
        <w:rPr>
          <w:rFonts w:ascii="Arial" w:eastAsia="Calibri" w:hAnsi="Arial" w:cs="Arial"/>
          <w:sz w:val="24"/>
          <w:szCs w:val="24"/>
          <w:lang w:eastAsia="en-US"/>
        </w:rPr>
        <w:t xml:space="preserve"> se celebró el día señalado sin comparecencia de </w:t>
      </w:r>
      <w:r w:rsidR="0085386F">
        <w:rPr>
          <w:rFonts w:ascii="Arial" w:eastAsia="Calibri" w:hAnsi="Arial" w:cs="Arial"/>
          <w:sz w:val="24"/>
          <w:szCs w:val="24"/>
          <w:lang w:eastAsia="en-US"/>
        </w:rPr>
        <w:t>las partes ni persona alguna que legalmente las representara</w:t>
      </w:r>
      <w:r w:rsidR="003A730F"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sidR="003A730F">
        <w:rPr>
          <w:rFonts w:ascii="Arial" w:eastAsia="Calibri" w:hAnsi="Arial" w:cs="Arial"/>
          <w:sz w:val="24"/>
          <w:szCs w:val="24"/>
          <w:lang w:eastAsia="en-US"/>
        </w:rPr>
        <w:t xml:space="preserve"> por lo que se les tuvo por perdido su derecho </w:t>
      </w:r>
      <w:r w:rsidR="003A730F"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50677179" w14:textId="77777777" w:rsidR="003C4339" w:rsidRDefault="003C4339" w:rsidP="00336C9A">
      <w:pPr>
        <w:spacing w:after="160" w:line="360" w:lineRule="auto"/>
        <w:ind w:left="-426" w:right="191" w:firstLine="567"/>
        <w:jc w:val="both"/>
        <w:rPr>
          <w:rFonts w:ascii="Arial" w:eastAsia="Calibri" w:hAnsi="Arial" w:cs="Arial"/>
          <w:sz w:val="24"/>
          <w:szCs w:val="24"/>
          <w:lang w:eastAsia="en-US"/>
        </w:rPr>
      </w:pPr>
    </w:p>
    <w:p w14:paraId="3D48B7CA" w14:textId="77777777" w:rsidR="0085386F" w:rsidRPr="00512412" w:rsidRDefault="0085386F" w:rsidP="00336C9A">
      <w:pPr>
        <w:spacing w:after="160" w:line="360" w:lineRule="auto"/>
        <w:ind w:left="-426" w:right="191"/>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BF9846" w14:textId="77777777" w:rsidR="0085386F" w:rsidRPr="00512412" w:rsidRDefault="0085386F" w:rsidP="00336C9A">
      <w:pPr>
        <w:spacing w:after="160" w:line="360" w:lineRule="auto"/>
        <w:ind w:left="-426" w:right="191"/>
        <w:jc w:val="center"/>
        <w:rPr>
          <w:rFonts w:ascii="Arial" w:eastAsia="Calibri" w:hAnsi="Arial" w:cs="Arial"/>
          <w:sz w:val="24"/>
          <w:szCs w:val="24"/>
          <w:lang w:eastAsia="en-US"/>
        </w:rPr>
      </w:pPr>
    </w:p>
    <w:p w14:paraId="364191BE" w14:textId="4BBFADDE" w:rsidR="0085386F" w:rsidRPr="00512412" w:rsidRDefault="0085386F" w:rsidP="00336C9A">
      <w:pPr>
        <w:spacing w:after="160" w:line="360" w:lineRule="auto"/>
        <w:ind w:left="-426" w:right="191"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carácter</w:t>
      </w:r>
      <w:r w:rsidR="00467711">
        <w:rPr>
          <w:rFonts w:ascii="Arial" w:eastAsia="Calibri" w:hAnsi="Arial" w:cs="Arial"/>
          <w:b/>
          <w:sz w:val="24"/>
          <w:szCs w:val="24"/>
          <w:lang w:eastAsia="en-US"/>
        </w:rPr>
        <w:t xml:space="preserve"> municipal</w:t>
      </w:r>
      <w:r w:rsidRPr="00512412">
        <w:rPr>
          <w:rFonts w:ascii="Arial" w:eastAsia="Calibri" w:hAnsi="Arial" w:cs="Arial"/>
          <w:sz w:val="24"/>
          <w:szCs w:val="24"/>
          <w:lang w:eastAsia="en-US"/>
        </w:rPr>
        <w:t xml:space="preserve">. </w:t>
      </w:r>
    </w:p>
    <w:p w14:paraId="0C80F779" w14:textId="137DF205" w:rsidR="0085386F" w:rsidRDefault="0085386F" w:rsidP="00336C9A">
      <w:pPr>
        <w:spacing w:after="160" w:line="360" w:lineRule="auto"/>
        <w:ind w:left="-426" w:right="191"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r w:rsidR="00467711">
        <w:rPr>
          <w:rFonts w:ascii="Arial" w:eastAsia="Calibri" w:hAnsi="Arial" w:cs="Arial"/>
          <w:sz w:val="24"/>
          <w:szCs w:val="24"/>
          <w:lang w:eastAsia="en-US"/>
        </w:rPr>
        <w:t xml:space="preserve"> del Estado de Oaxaca</w:t>
      </w:r>
      <w:r w:rsidRPr="00512412">
        <w:rPr>
          <w:rFonts w:ascii="Arial" w:eastAsia="Calibri" w:hAnsi="Arial" w:cs="Arial"/>
          <w:sz w:val="24"/>
          <w:szCs w:val="24"/>
          <w:lang w:eastAsia="en-US"/>
        </w:rPr>
        <w:t>.</w:t>
      </w:r>
    </w:p>
    <w:p w14:paraId="4ABCDD64" w14:textId="77777777" w:rsidR="00383D23" w:rsidRPr="00512412" w:rsidRDefault="00383D23" w:rsidP="00336C9A">
      <w:pPr>
        <w:spacing w:after="160" w:line="360" w:lineRule="auto"/>
        <w:ind w:left="-426" w:right="191" w:firstLine="567"/>
        <w:jc w:val="both"/>
        <w:rPr>
          <w:rFonts w:ascii="Arial" w:eastAsia="Calibri" w:hAnsi="Arial" w:cs="Arial"/>
          <w:sz w:val="24"/>
          <w:szCs w:val="24"/>
          <w:lang w:eastAsia="en-US"/>
        </w:rPr>
      </w:pPr>
    </w:p>
    <w:p w14:paraId="1D9EEE29" w14:textId="5E71AFE8" w:rsidR="00D83CC1" w:rsidRDefault="00D83CC1" w:rsidP="00336C9A">
      <w:pPr>
        <w:spacing w:after="160" w:line="360" w:lineRule="auto"/>
        <w:ind w:left="-426" w:right="191"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CD6BA9">
        <w:rPr>
          <w:rFonts w:ascii="Arial" w:hAnsi="Arial" w:cs="Arial"/>
          <w:sz w:val="24"/>
          <w:szCs w:val="24"/>
        </w:rPr>
        <w:t xml:space="preserve"> </w:t>
      </w:r>
      <w:r w:rsidR="00CD6BA9">
        <w:rPr>
          <w:rFonts w:ascii="Arial" w:eastAsia="Calibri" w:hAnsi="Arial" w:cs="Arial"/>
          <w:sz w:val="24"/>
          <w:szCs w:val="24"/>
          <w:lang w:eastAsia="en-US"/>
        </w:rPr>
        <w:t xml:space="preserve">la orden verbal y notificación de baja como elemento adscrito a la Secretaría de Seguridad Pública con nombramiento de Policía “A” con número de registro </w:t>
      </w:r>
      <w:r w:rsidR="00676979">
        <w:rPr>
          <w:rFonts w:ascii="Arial" w:eastAsia="Calibri" w:hAnsi="Arial" w:cs="Arial"/>
          <w:sz w:val="24"/>
          <w:szCs w:val="24"/>
          <w:lang w:eastAsia="en-US"/>
        </w:rPr>
        <w:t>**********</w:t>
      </w:r>
      <w:r w:rsidR="00CD6BA9">
        <w:rPr>
          <w:rFonts w:ascii="Arial" w:eastAsia="Calibri" w:hAnsi="Arial" w:cs="Arial"/>
          <w:sz w:val="24"/>
          <w:szCs w:val="24"/>
          <w:lang w:eastAsia="en-US"/>
        </w:rPr>
        <w:t xml:space="preserve">, así como el oficio número </w:t>
      </w:r>
      <w:r w:rsidR="00676979">
        <w:rPr>
          <w:rFonts w:ascii="Arial" w:eastAsia="Calibri" w:hAnsi="Arial" w:cs="Arial"/>
          <w:sz w:val="24"/>
          <w:szCs w:val="24"/>
          <w:lang w:eastAsia="en-US"/>
        </w:rPr>
        <w:t>**********</w:t>
      </w:r>
      <w:r w:rsidR="00CD6BA9">
        <w:rPr>
          <w:rFonts w:ascii="Arial" w:eastAsia="Calibri" w:hAnsi="Arial" w:cs="Arial"/>
          <w:sz w:val="24"/>
          <w:szCs w:val="24"/>
          <w:lang w:eastAsia="en-US"/>
        </w:rPr>
        <w:t xml:space="preserve"> de fecha quince de junio de dos mil veintiuno mismo que obra en copia certificada a foja cuarenta del expediente natural a rubro indicado </w:t>
      </w:r>
      <w:r w:rsidR="00CD6BA9">
        <w:rPr>
          <w:rFonts w:ascii="Arial" w:hAnsi="Arial" w:cs="Arial"/>
          <w:sz w:val="24"/>
          <w:szCs w:val="24"/>
        </w:rPr>
        <w:t xml:space="preserve">al que </w:t>
      </w:r>
      <w:r w:rsidRPr="006D319D">
        <w:rPr>
          <w:rFonts w:ascii="Arial" w:hAnsi="Arial" w:cs="Arial"/>
          <w:sz w:val="24"/>
          <w:szCs w:val="24"/>
        </w:rPr>
        <w:t>se le concede valor probatorio pleno de conformidad con el artículo 203</w:t>
      </w:r>
      <w:r w:rsidR="00467711">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w:t>
      </w:r>
      <w:r w:rsidR="00467711">
        <w:rPr>
          <w:rFonts w:ascii="Arial" w:hAnsi="Arial" w:cs="Arial"/>
          <w:sz w:val="24"/>
          <w:szCs w:val="24"/>
        </w:rPr>
        <w:t>ara</w:t>
      </w:r>
      <w:r w:rsidRPr="006D319D">
        <w:rPr>
          <w:rFonts w:ascii="Arial" w:hAnsi="Arial" w:cs="Arial"/>
          <w:sz w:val="24"/>
          <w:szCs w:val="24"/>
        </w:rPr>
        <w:t xml:space="preserve"> acredita</w:t>
      </w:r>
      <w:r w:rsidR="00467711">
        <w:rPr>
          <w:rFonts w:ascii="Arial" w:hAnsi="Arial" w:cs="Arial"/>
          <w:sz w:val="24"/>
          <w:szCs w:val="24"/>
        </w:rPr>
        <w:t>r</w:t>
      </w:r>
      <w:r w:rsidRPr="006D319D">
        <w:rPr>
          <w:rFonts w:ascii="Arial" w:hAnsi="Arial" w:cs="Arial"/>
          <w:sz w:val="24"/>
          <w:szCs w:val="24"/>
        </w:rPr>
        <w:t xml:space="preserve"> la existencia del acto impugnado. </w:t>
      </w:r>
    </w:p>
    <w:p w14:paraId="4A861953" w14:textId="77777777" w:rsidR="00383D23" w:rsidRDefault="00383D23" w:rsidP="00336C9A">
      <w:pPr>
        <w:spacing w:after="160" w:line="360" w:lineRule="auto"/>
        <w:ind w:left="-426" w:right="191" w:firstLine="567"/>
        <w:jc w:val="both"/>
        <w:rPr>
          <w:rFonts w:ascii="Arial" w:hAnsi="Arial" w:cs="Arial"/>
          <w:sz w:val="24"/>
          <w:szCs w:val="24"/>
        </w:rPr>
      </w:pPr>
    </w:p>
    <w:p w14:paraId="108CA137" w14:textId="34A0346A" w:rsidR="00CD6BA9" w:rsidRDefault="00D83CC1" w:rsidP="00336C9A">
      <w:pPr>
        <w:spacing w:after="160" w:line="360" w:lineRule="auto"/>
        <w:ind w:left="-426" w:right="191"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3C4339">
        <w:rPr>
          <w:rFonts w:ascii="Arial" w:hAnsi="Arial" w:cs="Arial"/>
          <w:sz w:val="24"/>
          <w:szCs w:val="24"/>
        </w:rPr>
        <w:t xml:space="preserve">La parte actora en lo medular argumenta que el </w:t>
      </w:r>
      <w:r w:rsidR="00CD6BA9">
        <w:rPr>
          <w:rFonts w:ascii="Arial" w:hAnsi="Arial" w:cs="Arial"/>
          <w:sz w:val="24"/>
          <w:szCs w:val="24"/>
        </w:rPr>
        <w:t xml:space="preserve">despido del cual fue objeto es ilegal y violatorio de sus derechos humanos al separarlo unilateralmente de su cargo como policía vial, máxime que </w:t>
      </w:r>
      <w:r w:rsidR="003E171F">
        <w:rPr>
          <w:rFonts w:ascii="Arial" w:hAnsi="Arial" w:cs="Arial"/>
          <w:sz w:val="24"/>
          <w:szCs w:val="24"/>
        </w:rPr>
        <w:t xml:space="preserve">no se garantiza su derecho de acceso a la justicia y en lo medular que </w:t>
      </w:r>
      <w:r w:rsidR="003E171F">
        <w:rPr>
          <w:rFonts w:ascii="Arial" w:eastAsia="Calibri" w:hAnsi="Arial" w:cs="Arial"/>
          <w:sz w:val="24"/>
          <w:szCs w:val="24"/>
          <w:lang w:eastAsia="en-US"/>
        </w:rPr>
        <w:t xml:space="preserve">el oficio número </w:t>
      </w:r>
      <w:r w:rsidR="00676979">
        <w:rPr>
          <w:rFonts w:ascii="Arial" w:eastAsia="Calibri" w:hAnsi="Arial" w:cs="Arial"/>
          <w:sz w:val="24"/>
          <w:szCs w:val="24"/>
          <w:lang w:eastAsia="en-US"/>
        </w:rPr>
        <w:t>**********</w:t>
      </w:r>
      <w:r w:rsidR="003E171F">
        <w:rPr>
          <w:rFonts w:ascii="Arial" w:eastAsia="Calibri" w:hAnsi="Arial" w:cs="Arial"/>
          <w:sz w:val="24"/>
          <w:szCs w:val="24"/>
          <w:lang w:eastAsia="en-US"/>
        </w:rPr>
        <w:t xml:space="preserve"> de fecha quince de junio de dos mil veintiuno </w:t>
      </w:r>
      <w:r w:rsidR="003E171F">
        <w:rPr>
          <w:rFonts w:ascii="Arial" w:hAnsi="Arial" w:cs="Arial"/>
          <w:sz w:val="24"/>
          <w:szCs w:val="24"/>
        </w:rPr>
        <w:t>no cumple con los requisitos formales para que sea legalmente válido.</w:t>
      </w:r>
    </w:p>
    <w:p w14:paraId="15865062" w14:textId="77777777" w:rsidR="00383D23" w:rsidRDefault="00383D23" w:rsidP="00336C9A">
      <w:pPr>
        <w:spacing w:after="160" w:line="360" w:lineRule="auto"/>
        <w:ind w:left="-426" w:right="191" w:firstLine="567"/>
        <w:jc w:val="both"/>
        <w:rPr>
          <w:rFonts w:ascii="Arial" w:hAnsi="Arial" w:cs="Arial"/>
          <w:sz w:val="24"/>
          <w:szCs w:val="24"/>
        </w:rPr>
      </w:pPr>
    </w:p>
    <w:p w14:paraId="753B0B7A" w14:textId="25ED4AC4" w:rsidR="007C49D1" w:rsidRDefault="003E171F" w:rsidP="00336C9A">
      <w:pPr>
        <w:spacing w:after="160" w:line="360" w:lineRule="auto"/>
        <w:ind w:left="-426" w:right="191" w:firstLine="567"/>
        <w:jc w:val="both"/>
        <w:rPr>
          <w:rFonts w:ascii="Arial" w:hAnsi="Arial" w:cs="Arial"/>
          <w:sz w:val="24"/>
          <w:szCs w:val="24"/>
        </w:rPr>
      </w:pPr>
      <w:r>
        <w:rPr>
          <w:rFonts w:ascii="Arial" w:hAnsi="Arial" w:cs="Arial"/>
          <w:sz w:val="24"/>
          <w:szCs w:val="24"/>
        </w:rPr>
        <w:t xml:space="preserve">Por su parte las autoridades demandadas sostienen la legalidad de la separación del actor del cargo que ostentaba por no haber cumplido los requisitos de permanencia </w:t>
      </w:r>
      <w:r w:rsidR="00255B60">
        <w:rPr>
          <w:rFonts w:ascii="Arial" w:hAnsi="Arial" w:cs="Arial"/>
          <w:sz w:val="24"/>
          <w:szCs w:val="24"/>
        </w:rPr>
        <w:t>al no aprobar los procesos de evaluación de control de confianza</w:t>
      </w:r>
      <w:r w:rsidR="007C49D1">
        <w:rPr>
          <w:rFonts w:ascii="Arial" w:hAnsi="Arial" w:cs="Arial"/>
          <w:sz w:val="24"/>
          <w:szCs w:val="24"/>
        </w:rPr>
        <w:t>.</w:t>
      </w:r>
    </w:p>
    <w:p w14:paraId="5CC6812A" w14:textId="77777777" w:rsidR="00383D23" w:rsidRDefault="00383D23" w:rsidP="00336C9A">
      <w:pPr>
        <w:spacing w:after="160" w:line="360" w:lineRule="auto"/>
        <w:ind w:left="-426" w:right="191" w:firstLine="567"/>
        <w:jc w:val="both"/>
        <w:rPr>
          <w:rFonts w:ascii="Arial" w:hAnsi="Arial" w:cs="Arial"/>
          <w:sz w:val="24"/>
          <w:szCs w:val="24"/>
        </w:rPr>
      </w:pPr>
    </w:p>
    <w:p w14:paraId="39C391F6" w14:textId="1D2F018A" w:rsidR="00255B60" w:rsidRPr="00383D23" w:rsidRDefault="00BA14C6" w:rsidP="00383D23">
      <w:pPr>
        <w:spacing w:after="160" w:line="360" w:lineRule="auto"/>
        <w:ind w:left="-426" w:right="-234" w:firstLine="567"/>
        <w:jc w:val="both"/>
        <w:rPr>
          <w:rFonts w:ascii="Arial" w:eastAsia="Calibri" w:hAnsi="Arial" w:cs="Arial"/>
          <w:sz w:val="24"/>
          <w:szCs w:val="24"/>
          <w:lang w:eastAsia="en-US"/>
        </w:rPr>
      </w:pPr>
      <w:r w:rsidRPr="00383D23">
        <w:rPr>
          <w:rFonts w:ascii="Arial" w:eastAsia="Calibri" w:hAnsi="Arial" w:cs="Arial"/>
          <w:b/>
          <w:bCs/>
          <w:sz w:val="24"/>
          <w:szCs w:val="24"/>
          <w:lang w:eastAsia="en-US"/>
        </w:rPr>
        <w:lastRenderedPageBreak/>
        <w:t>QUINTO. Causales de improcedencia y sobreseimiento.</w:t>
      </w:r>
      <w:r w:rsidRPr="00383D23">
        <w:rPr>
          <w:rFonts w:ascii="Arial" w:eastAsia="Calibri" w:hAnsi="Arial" w:cs="Arial"/>
          <w:sz w:val="24"/>
          <w:szCs w:val="24"/>
          <w:lang w:eastAsia="en-US"/>
        </w:rPr>
        <w:t xml:space="preserve"> </w:t>
      </w:r>
      <w:r w:rsidRPr="00383D23">
        <w:rPr>
          <w:rFonts w:ascii="Arial" w:hAnsi="Arial" w:cs="Arial"/>
          <w:sz w:val="24"/>
          <w:szCs w:val="24"/>
        </w:rPr>
        <w:t xml:space="preserve">De un estudio oficioso de las causales de improcedencia y sobreseimiento del juicio, que estipula el artículo 161 in fine de la Ley de la materia, se advierte que </w:t>
      </w:r>
      <w:r w:rsidR="00255B60" w:rsidRPr="00383D23">
        <w:rPr>
          <w:rFonts w:ascii="Arial" w:hAnsi="Arial" w:cs="Arial"/>
          <w:sz w:val="24"/>
          <w:szCs w:val="24"/>
        </w:rPr>
        <w:t>en el presente caso se actualiza la causal de improcedencia prevista en el artículo 161</w:t>
      </w:r>
      <w:r w:rsidR="00336C9A" w:rsidRPr="00383D23">
        <w:rPr>
          <w:rFonts w:ascii="Arial" w:hAnsi="Arial" w:cs="Arial"/>
          <w:sz w:val="24"/>
          <w:szCs w:val="24"/>
        </w:rPr>
        <w:t>,</w:t>
      </w:r>
      <w:r w:rsidR="00255B60" w:rsidRPr="00383D23">
        <w:rPr>
          <w:rFonts w:ascii="Arial" w:hAnsi="Arial" w:cs="Arial"/>
          <w:sz w:val="24"/>
          <w:szCs w:val="24"/>
        </w:rPr>
        <w:t xml:space="preserve"> fracción IX en relación con el diverso 162</w:t>
      </w:r>
      <w:r w:rsidR="00336C9A" w:rsidRPr="00383D23">
        <w:rPr>
          <w:rFonts w:ascii="Arial" w:hAnsi="Arial" w:cs="Arial"/>
          <w:sz w:val="24"/>
          <w:szCs w:val="24"/>
        </w:rPr>
        <w:t>,</w:t>
      </w:r>
      <w:r w:rsidR="00255B60" w:rsidRPr="00383D23">
        <w:rPr>
          <w:rFonts w:ascii="Arial" w:hAnsi="Arial" w:cs="Arial"/>
          <w:sz w:val="24"/>
          <w:szCs w:val="24"/>
        </w:rPr>
        <w:t xml:space="preserve"> fracción II de la Ley de Procedimiento y Justicia Administrativa</w:t>
      </w:r>
      <w:r w:rsidR="00255B60" w:rsidRPr="00383D23">
        <w:rPr>
          <w:rStyle w:val="Refdenotaalpie"/>
          <w:rFonts w:ascii="Arial" w:hAnsi="Arial" w:cs="Arial"/>
          <w:sz w:val="24"/>
          <w:szCs w:val="24"/>
        </w:rPr>
        <w:footnoteReference w:id="4"/>
      </w:r>
      <w:r w:rsidR="00255B60" w:rsidRPr="00383D23">
        <w:rPr>
          <w:rFonts w:ascii="Arial" w:hAnsi="Arial" w:cs="Arial"/>
          <w:sz w:val="24"/>
          <w:szCs w:val="24"/>
        </w:rPr>
        <w:t xml:space="preserve"> </w:t>
      </w:r>
      <w:r w:rsidR="00336C9A" w:rsidRPr="00383D23">
        <w:rPr>
          <w:rFonts w:ascii="Arial" w:hAnsi="Arial" w:cs="Arial"/>
          <w:sz w:val="24"/>
          <w:szCs w:val="24"/>
        </w:rPr>
        <w:t xml:space="preserve">para el Estado de Oaxaca </w:t>
      </w:r>
      <w:r w:rsidR="00255B60" w:rsidRPr="00383D23">
        <w:rPr>
          <w:rFonts w:ascii="Arial" w:hAnsi="Arial" w:cs="Arial"/>
          <w:sz w:val="24"/>
          <w:szCs w:val="24"/>
        </w:rPr>
        <w:t xml:space="preserve">toda vez que de una revisión de los autos no se advierte la existencia de una orden de despido verbal en los términos propuestos en la demanda inicial, sino que el despido derivó del </w:t>
      </w:r>
      <w:r w:rsidR="00255B60" w:rsidRPr="00383D23">
        <w:rPr>
          <w:rFonts w:ascii="Arial" w:eastAsia="Calibri" w:hAnsi="Arial" w:cs="Arial"/>
          <w:sz w:val="24"/>
          <w:szCs w:val="24"/>
          <w:lang w:eastAsia="en-US"/>
        </w:rPr>
        <w:t xml:space="preserve">oficio número </w:t>
      </w:r>
      <w:r w:rsidR="00676979">
        <w:rPr>
          <w:rFonts w:ascii="Arial" w:eastAsia="Calibri" w:hAnsi="Arial" w:cs="Arial"/>
          <w:sz w:val="24"/>
          <w:szCs w:val="24"/>
          <w:lang w:eastAsia="en-US"/>
        </w:rPr>
        <w:t>**********</w:t>
      </w:r>
      <w:r w:rsidR="00255B60" w:rsidRPr="00383D23">
        <w:rPr>
          <w:rFonts w:ascii="Arial" w:eastAsia="Calibri" w:hAnsi="Arial" w:cs="Arial"/>
          <w:sz w:val="24"/>
          <w:szCs w:val="24"/>
          <w:lang w:eastAsia="en-US"/>
        </w:rPr>
        <w:t xml:space="preserve"> de fecha quince de junio de dos mil veintiuno cuya existencia quedó acreditada en el considerando TERCERO de la presente sentencia y contra la cual el actor amplió su demanda. </w:t>
      </w:r>
    </w:p>
    <w:p w14:paraId="17723B3E" w14:textId="5428D84F" w:rsidR="00C04F83" w:rsidRPr="00383D23" w:rsidRDefault="00C04F83" w:rsidP="00B4207F">
      <w:pPr>
        <w:spacing w:after="160" w:line="360" w:lineRule="auto"/>
        <w:ind w:left="-426" w:right="-234" w:firstLine="567"/>
        <w:jc w:val="both"/>
        <w:rPr>
          <w:rFonts w:ascii="Arial" w:eastAsia="Calibri" w:hAnsi="Arial" w:cs="Arial"/>
          <w:sz w:val="24"/>
          <w:szCs w:val="24"/>
          <w:lang w:eastAsia="en-US"/>
        </w:rPr>
      </w:pPr>
      <w:r w:rsidRPr="00383D23">
        <w:rPr>
          <w:rFonts w:ascii="Arial" w:eastAsia="Calibri" w:hAnsi="Arial" w:cs="Arial"/>
          <w:sz w:val="24"/>
          <w:szCs w:val="24"/>
          <w:lang w:eastAsia="en-US"/>
        </w:rPr>
        <w:t xml:space="preserve">Lo anterior </w:t>
      </w:r>
      <w:r w:rsidR="005424FE" w:rsidRPr="00383D23">
        <w:rPr>
          <w:rFonts w:ascii="Arial" w:eastAsia="Calibri" w:hAnsi="Arial" w:cs="Arial"/>
          <w:sz w:val="24"/>
          <w:szCs w:val="24"/>
          <w:lang w:eastAsia="en-US"/>
        </w:rPr>
        <w:t>es así</w:t>
      </w:r>
      <w:r w:rsidRPr="00383D23">
        <w:rPr>
          <w:rFonts w:ascii="Arial" w:eastAsia="Calibri" w:hAnsi="Arial" w:cs="Arial"/>
          <w:sz w:val="24"/>
          <w:szCs w:val="24"/>
          <w:lang w:eastAsia="en-US"/>
        </w:rPr>
        <w:t xml:space="preserve">, aun cuando </w:t>
      </w:r>
      <w:r w:rsidR="005424FE" w:rsidRPr="00383D23">
        <w:rPr>
          <w:rFonts w:ascii="Arial" w:eastAsia="Calibri" w:hAnsi="Arial" w:cs="Arial"/>
          <w:sz w:val="24"/>
          <w:szCs w:val="24"/>
          <w:lang w:eastAsia="en-US"/>
        </w:rPr>
        <w:t>fue desahogada</w:t>
      </w:r>
      <w:r w:rsidRPr="00383D23">
        <w:rPr>
          <w:rFonts w:ascii="Arial" w:eastAsia="Calibri" w:hAnsi="Arial" w:cs="Arial"/>
          <w:sz w:val="24"/>
          <w:szCs w:val="24"/>
          <w:lang w:eastAsia="en-US"/>
        </w:rPr>
        <w:t xml:space="preserve"> la prueba testimonial ofrecida por la parte actora el once </w:t>
      </w:r>
      <w:r w:rsidR="005424FE" w:rsidRPr="00383D23">
        <w:rPr>
          <w:rFonts w:ascii="Arial" w:eastAsia="Calibri" w:hAnsi="Arial" w:cs="Arial"/>
          <w:sz w:val="24"/>
          <w:szCs w:val="24"/>
          <w:lang w:eastAsia="en-US"/>
        </w:rPr>
        <w:t>de octubre de dos mil veintidós;</w:t>
      </w:r>
      <w:r w:rsidRPr="00383D23">
        <w:rPr>
          <w:rFonts w:ascii="Arial" w:eastAsia="Calibri" w:hAnsi="Arial" w:cs="Arial"/>
          <w:sz w:val="24"/>
          <w:szCs w:val="24"/>
          <w:lang w:eastAsia="en-US"/>
        </w:rPr>
        <w:t xml:space="preserve"> toda vez que el artículo 203</w:t>
      </w:r>
      <w:r w:rsidR="00B4207F" w:rsidRPr="00383D23">
        <w:rPr>
          <w:rFonts w:ascii="Arial" w:eastAsia="Calibri" w:hAnsi="Arial" w:cs="Arial"/>
          <w:sz w:val="24"/>
          <w:szCs w:val="24"/>
          <w:lang w:eastAsia="en-US"/>
        </w:rPr>
        <w:t>,</w:t>
      </w:r>
      <w:r w:rsidRPr="00383D23">
        <w:rPr>
          <w:rFonts w:ascii="Arial" w:eastAsia="Calibri" w:hAnsi="Arial" w:cs="Arial"/>
          <w:sz w:val="24"/>
          <w:szCs w:val="24"/>
          <w:lang w:eastAsia="en-US"/>
        </w:rPr>
        <w:t xml:space="preserve"> en su fracción II determina que el valor probatorio de las pruebas pericial y testimonial quedará al prudente arbitrio del juzgador. </w:t>
      </w:r>
    </w:p>
    <w:p w14:paraId="342E09F1" w14:textId="4ADB9AFA" w:rsidR="00C04F83" w:rsidRPr="00C04F83" w:rsidRDefault="00C04F83" w:rsidP="00B4207F">
      <w:pPr>
        <w:spacing w:after="160" w:line="360" w:lineRule="auto"/>
        <w:ind w:left="-426" w:right="-234" w:firstLine="567"/>
        <w:jc w:val="both"/>
        <w:rPr>
          <w:rFonts w:ascii="Arial" w:eastAsia="Calibri" w:hAnsi="Arial" w:cs="Arial"/>
          <w:sz w:val="24"/>
          <w:szCs w:val="24"/>
          <w:lang w:eastAsia="en-US"/>
        </w:rPr>
      </w:pPr>
      <w:r w:rsidRPr="00383D23">
        <w:rPr>
          <w:rFonts w:ascii="Arial" w:eastAsia="Calibri" w:hAnsi="Arial" w:cs="Arial"/>
          <w:sz w:val="24"/>
          <w:szCs w:val="24"/>
          <w:lang w:eastAsia="en-US"/>
        </w:rPr>
        <w:t>Luego entonces esta Sala considera qu</w:t>
      </w:r>
      <w:r w:rsidR="00B4207F" w:rsidRPr="00383D23">
        <w:rPr>
          <w:rFonts w:ascii="Arial" w:eastAsia="Calibri" w:hAnsi="Arial" w:cs="Arial"/>
          <w:sz w:val="24"/>
          <w:szCs w:val="24"/>
          <w:lang w:eastAsia="en-US"/>
        </w:rPr>
        <w:t xml:space="preserve">e tiene mayor valor probatorio </w:t>
      </w:r>
      <w:r w:rsidRPr="00383D23">
        <w:rPr>
          <w:rFonts w:ascii="Arial" w:eastAsia="Calibri" w:hAnsi="Arial" w:cs="Arial"/>
          <w:sz w:val="24"/>
          <w:szCs w:val="24"/>
          <w:lang w:eastAsia="en-US"/>
        </w:rPr>
        <w:t xml:space="preserve">el oficio número </w:t>
      </w:r>
      <w:r w:rsidR="00676979">
        <w:rPr>
          <w:rFonts w:ascii="Arial" w:eastAsia="Calibri" w:hAnsi="Arial" w:cs="Arial"/>
          <w:sz w:val="24"/>
          <w:szCs w:val="24"/>
          <w:lang w:eastAsia="en-US"/>
        </w:rPr>
        <w:t>**********</w:t>
      </w:r>
      <w:r w:rsidRPr="00383D23">
        <w:rPr>
          <w:rFonts w:ascii="Arial" w:eastAsia="Calibri" w:hAnsi="Arial" w:cs="Arial"/>
          <w:sz w:val="24"/>
          <w:szCs w:val="24"/>
          <w:lang w:eastAsia="en-US"/>
        </w:rPr>
        <w:t xml:space="preserve"> de fecha quince de junio de dos mil veintiuno que la prueba testimonial para acreditar la forma en que fue separado del cargo el hoy actor.</w:t>
      </w:r>
      <w:r>
        <w:rPr>
          <w:rFonts w:ascii="Arial" w:eastAsia="Calibri" w:hAnsi="Arial" w:cs="Arial"/>
          <w:sz w:val="24"/>
          <w:szCs w:val="24"/>
          <w:lang w:eastAsia="en-US"/>
        </w:rPr>
        <w:t xml:space="preserve"> </w:t>
      </w:r>
    </w:p>
    <w:p w14:paraId="71F50DA9" w14:textId="23333352" w:rsidR="00523E28" w:rsidRDefault="00255B60" w:rsidP="00336C9A">
      <w:pPr>
        <w:spacing w:after="160" w:line="360" w:lineRule="auto"/>
        <w:ind w:right="-234" w:firstLine="567"/>
        <w:jc w:val="both"/>
        <w:rPr>
          <w:rFonts w:ascii="Arial" w:hAnsi="Arial" w:cs="Arial"/>
          <w:sz w:val="24"/>
          <w:szCs w:val="24"/>
        </w:rPr>
      </w:pPr>
      <w:r>
        <w:rPr>
          <w:rFonts w:ascii="Arial" w:eastAsia="Calibri" w:hAnsi="Arial" w:cs="Arial"/>
          <w:sz w:val="24"/>
          <w:szCs w:val="24"/>
          <w:lang w:eastAsia="en-US"/>
        </w:rPr>
        <w:t>Por lo tanto</w:t>
      </w:r>
      <w:r w:rsidR="007A614D">
        <w:rPr>
          <w:rFonts w:ascii="Arial" w:eastAsia="Calibri" w:hAnsi="Arial" w:cs="Arial"/>
          <w:sz w:val="24"/>
          <w:szCs w:val="24"/>
          <w:lang w:eastAsia="en-US"/>
        </w:rPr>
        <w:t>,</w:t>
      </w:r>
      <w:r>
        <w:rPr>
          <w:rFonts w:ascii="Arial" w:eastAsia="Calibri" w:hAnsi="Arial" w:cs="Arial"/>
          <w:sz w:val="24"/>
          <w:szCs w:val="24"/>
          <w:lang w:eastAsia="en-US"/>
        </w:rPr>
        <w:t xml:space="preserve"> se </w:t>
      </w:r>
      <w:r>
        <w:rPr>
          <w:rFonts w:ascii="Arial" w:eastAsia="Calibri" w:hAnsi="Arial" w:cs="Arial"/>
          <w:b/>
          <w:bCs/>
          <w:sz w:val="24"/>
          <w:szCs w:val="24"/>
          <w:lang w:eastAsia="en-US"/>
        </w:rPr>
        <w:t xml:space="preserve">SOBRESEE </w:t>
      </w:r>
      <w:r>
        <w:rPr>
          <w:rFonts w:ascii="Arial" w:eastAsia="Calibri" w:hAnsi="Arial" w:cs="Arial"/>
          <w:sz w:val="24"/>
          <w:szCs w:val="24"/>
          <w:lang w:eastAsia="en-US"/>
        </w:rPr>
        <w:t xml:space="preserve">el juicio respecto a la orden verbal y notificación de baja como elemento adscrito a la Secretaría de Seguridad Pública con nombramiento de Policía “A” con número de registro </w:t>
      </w:r>
      <w:r w:rsidR="00676979">
        <w:rPr>
          <w:rFonts w:ascii="Arial" w:eastAsia="Calibri" w:hAnsi="Arial" w:cs="Arial"/>
          <w:sz w:val="24"/>
          <w:szCs w:val="24"/>
          <w:lang w:eastAsia="en-US"/>
        </w:rPr>
        <w:t>**********</w:t>
      </w:r>
      <w:r>
        <w:rPr>
          <w:rFonts w:ascii="Arial" w:eastAsia="Calibri" w:hAnsi="Arial" w:cs="Arial"/>
          <w:sz w:val="24"/>
          <w:szCs w:val="24"/>
          <w:lang w:eastAsia="en-US"/>
        </w:rPr>
        <w:t xml:space="preserve">, quedando persistente </w:t>
      </w:r>
      <w:r w:rsidR="005424FE">
        <w:rPr>
          <w:rFonts w:ascii="Arial" w:eastAsia="Calibri" w:hAnsi="Arial" w:cs="Arial"/>
          <w:sz w:val="24"/>
          <w:szCs w:val="24"/>
          <w:lang w:eastAsia="en-US"/>
        </w:rPr>
        <w:t xml:space="preserve"> en su contra el</w:t>
      </w:r>
      <w:r>
        <w:rPr>
          <w:rFonts w:ascii="Arial" w:eastAsia="Calibri" w:hAnsi="Arial" w:cs="Arial"/>
          <w:sz w:val="24"/>
          <w:szCs w:val="24"/>
          <w:lang w:eastAsia="en-US"/>
        </w:rPr>
        <w:t xml:space="preserve"> oficio número </w:t>
      </w:r>
      <w:r w:rsidR="008052B2">
        <w:rPr>
          <w:rFonts w:ascii="Arial" w:eastAsia="Calibri" w:hAnsi="Arial" w:cs="Arial"/>
          <w:sz w:val="24"/>
          <w:szCs w:val="24"/>
          <w:lang w:eastAsia="en-US"/>
        </w:rPr>
        <w:t>**********</w:t>
      </w:r>
      <w:r>
        <w:rPr>
          <w:rFonts w:ascii="Arial" w:eastAsia="Calibri" w:hAnsi="Arial" w:cs="Arial"/>
          <w:sz w:val="24"/>
          <w:szCs w:val="24"/>
          <w:lang w:eastAsia="en-US"/>
        </w:rPr>
        <w:t xml:space="preserve"> de fecha quince de junio de dos mil veintiuno</w:t>
      </w:r>
      <w:r w:rsidR="006F50EB">
        <w:rPr>
          <w:rFonts w:ascii="Arial" w:hAnsi="Arial" w:cs="Arial"/>
          <w:sz w:val="24"/>
          <w:szCs w:val="24"/>
        </w:rPr>
        <w:t>.</w:t>
      </w:r>
    </w:p>
    <w:p w14:paraId="4C3813EB" w14:textId="29A38790" w:rsidR="00EC3B62" w:rsidRDefault="003F5A16" w:rsidP="006F50EB">
      <w:pPr>
        <w:tabs>
          <w:tab w:val="left" w:pos="284"/>
          <w:tab w:val="left" w:pos="426"/>
          <w:tab w:val="right" w:pos="9072"/>
        </w:tabs>
        <w:spacing w:after="0" w:line="360" w:lineRule="auto"/>
        <w:ind w:right="-234" w:firstLine="567"/>
        <w:jc w:val="both"/>
        <w:rPr>
          <w:rFonts w:ascii="Arial" w:eastAsia="Calibri" w:hAnsi="Arial" w:cs="Arial"/>
          <w:b/>
          <w:bCs/>
          <w:sz w:val="24"/>
          <w:szCs w:val="24"/>
          <w:lang w:eastAsia="en-US"/>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00255B60">
        <w:rPr>
          <w:rFonts w:ascii="Arial" w:eastAsia="Calibri" w:hAnsi="Arial" w:cs="Arial"/>
          <w:sz w:val="24"/>
          <w:szCs w:val="24"/>
          <w:lang w:eastAsia="en-US"/>
        </w:rPr>
        <w:t xml:space="preserve">Son </w:t>
      </w:r>
      <w:r w:rsidR="00255B60">
        <w:rPr>
          <w:rFonts w:ascii="Arial" w:eastAsia="Calibri" w:hAnsi="Arial" w:cs="Arial"/>
          <w:b/>
          <w:bCs/>
          <w:sz w:val="24"/>
          <w:szCs w:val="24"/>
          <w:lang w:eastAsia="en-US"/>
        </w:rPr>
        <w:t xml:space="preserve">esencialmente fundados </w:t>
      </w:r>
      <w:r w:rsidR="00255B60">
        <w:rPr>
          <w:rFonts w:ascii="Arial" w:eastAsia="Calibri" w:hAnsi="Arial" w:cs="Arial"/>
          <w:sz w:val="24"/>
          <w:szCs w:val="24"/>
          <w:lang w:eastAsia="en-US"/>
        </w:rPr>
        <w:t xml:space="preserve">los conceptos de impugnación esgrimidos por el actor para pretender la nulidad del oficio número </w:t>
      </w:r>
      <w:r w:rsidR="008052B2">
        <w:rPr>
          <w:rFonts w:ascii="Arial" w:eastAsia="Calibri" w:hAnsi="Arial" w:cs="Arial"/>
          <w:sz w:val="24"/>
          <w:szCs w:val="24"/>
          <w:lang w:eastAsia="en-US"/>
        </w:rPr>
        <w:t>**********</w:t>
      </w:r>
      <w:r w:rsidR="00255B60">
        <w:rPr>
          <w:rFonts w:ascii="Arial" w:eastAsia="Calibri" w:hAnsi="Arial" w:cs="Arial"/>
          <w:sz w:val="24"/>
          <w:szCs w:val="24"/>
          <w:lang w:eastAsia="en-US"/>
        </w:rPr>
        <w:t xml:space="preserve"> de fecha quince de junio de dos mil veintiuno</w:t>
      </w:r>
      <w:r w:rsidR="00255B60">
        <w:rPr>
          <w:rFonts w:ascii="Arial" w:eastAsia="Calibri" w:hAnsi="Arial" w:cs="Arial"/>
          <w:b/>
          <w:bCs/>
          <w:sz w:val="24"/>
          <w:szCs w:val="24"/>
          <w:lang w:eastAsia="en-US"/>
        </w:rPr>
        <w:t>.</w:t>
      </w:r>
    </w:p>
    <w:p w14:paraId="0408AE27" w14:textId="32CE5A55" w:rsidR="00255B60" w:rsidRDefault="00255B60" w:rsidP="006F50EB">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De una lectura integral del acto aquí impugnado, se advierte que el mismo determina el trámite de la baja de Humberto Ismael Santiago Sosa por </w:t>
      </w:r>
      <w:r>
        <w:rPr>
          <w:rFonts w:ascii="Arial" w:eastAsia="Calibri" w:hAnsi="Arial" w:cs="Arial"/>
          <w:b/>
          <w:bCs/>
          <w:sz w:val="24"/>
          <w:szCs w:val="24"/>
          <w:lang w:eastAsia="en-US"/>
        </w:rPr>
        <w:t xml:space="preserve">no aprobar sus evaluaciones </w:t>
      </w:r>
      <w:r>
        <w:rPr>
          <w:rFonts w:ascii="Arial" w:eastAsia="Calibri" w:hAnsi="Arial" w:cs="Arial"/>
          <w:sz w:val="24"/>
          <w:szCs w:val="24"/>
          <w:lang w:eastAsia="en-US"/>
        </w:rPr>
        <w:t xml:space="preserve">presentadas en el Centro Estatal de Evaluación y Control de Confianza que fueron notificadas mediante oficio </w:t>
      </w:r>
      <w:r w:rsidR="008052B2">
        <w:rPr>
          <w:rFonts w:ascii="Arial" w:eastAsia="Calibri" w:hAnsi="Arial" w:cs="Arial"/>
          <w:sz w:val="24"/>
          <w:szCs w:val="24"/>
          <w:lang w:eastAsia="en-US"/>
        </w:rPr>
        <w:t>**********</w:t>
      </w:r>
      <w:r>
        <w:rPr>
          <w:rFonts w:ascii="Arial" w:eastAsia="Calibri" w:hAnsi="Arial" w:cs="Arial"/>
          <w:sz w:val="24"/>
          <w:szCs w:val="24"/>
          <w:lang w:eastAsia="en-US"/>
        </w:rPr>
        <w:t xml:space="preserve">. </w:t>
      </w:r>
    </w:p>
    <w:p w14:paraId="173B138A" w14:textId="77777777" w:rsidR="00084FBC" w:rsidRDefault="00084FBC" w:rsidP="006F50EB">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28D6D7A4" w14:textId="1EBEFF98" w:rsidR="00E91B96"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Así mismo el oficio </w:t>
      </w:r>
      <w:r w:rsidR="008052B2">
        <w:rPr>
          <w:rFonts w:ascii="Arial" w:eastAsia="Calibri" w:hAnsi="Arial" w:cs="Arial"/>
          <w:sz w:val="24"/>
          <w:szCs w:val="24"/>
          <w:lang w:eastAsia="en-US"/>
        </w:rPr>
        <w:t>**********</w:t>
      </w:r>
      <w:r>
        <w:rPr>
          <w:rFonts w:ascii="Arial" w:eastAsia="Calibri" w:hAnsi="Arial" w:cs="Arial"/>
          <w:sz w:val="24"/>
          <w:szCs w:val="24"/>
          <w:lang w:eastAsia="en-US"/>
        </w:rPr>
        <w:t xml:space="preserve"> de fecha ocho de noviembre de dos mil diecinueve y al que también se le confiere pleno valor probatorio en términos del </w:t>
      </w:r>
      <w:r w:rsidRPr="006D319D">
        <w:rPr>
          <w:rFonts w:ascii="Arial" w:hAnsi="Arial" w:cs="Arial"/>
          <w:sz w:val="24"/>
          <w:szCs w:val="24"/>
        </w:rPr>
        <w:t>artículo 203</w:t>
      </w:r>
      <w:r w:rsidR="00760444">
        <w:rPr>
          <w:rFonts w:ascii="Arial" w:hAnsi="Arial" w:cs="Arial"/>
          <w:sz w:val="24"/>
          <w:szCs w:val="24"/>
        </w:rPr>
        <w:t>,</w:t>
      </w:r>
      <w:r w:rsidRPr="006D319D">
        <w:rPr>
          <w:rFonts w:ascii="Arial" w:hAnsi="Arial" w:cs="Arial"/>
          <w:sz w:val="24"/>
          <w:szCs w:val="24"/>
        </w:rPr>
        <w:t xml:space="preserve"> fracción I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w:t>
      </w:r>
      <w:r>
        <w:rPr>
          <w:rFonts w:ascii="Arial" w:hAnsi="Arial" w:cs="Arial"/>
          <w:sz w:val="24"/>
          <w:szCs w:val="24"/>
        </w:rPr>
        <w:t xml:space="preserve">, por tratarse de una copia certificada y que obra a foja </w:t>
      </w:r>
      <w:r>
        <w:rPr>
          <w:rFonts w:ascii="Arial" w:hAnsi="Arial" w:cs="Arial"/>
          <w:sz w:val="24"/>
          <w:szCs w:val="24"/>
        </w:rPr>
        <w:lastRenderedPageBreak/>
        <w:t xml:space="preserve">cuarenta y uno del expediente, se advierte que dicho documento se limita a remitir los resultados de las supuestas </w:t>
      </w:r>
      <w:r w:rsidRPr="00E91B96">
        <w:rPr>
          <w:rFonts w:ascii="Arial" w:hAnsi="Arial" w:cs="Arial"/>
          <w:sz w:val="24"/>
          <w:szCs w:val="24"/>
        </w:rPr>
        <w:t>evaluaciones presentadas en el Centro Estatal de Evaluación y Control de Confianza</w:t>
      </w:r>
      <w:r>
        <w:rPr>
          <w:rFonts w:ascii="Arial" w:hAnsi="Arial" w:cs="Arial"/>
          <w:sz w:val="24"/>
          <w:szCs w:val="24"/>
        </w:rPr>
        <w:t>.</w:t>
      </w:r>
    </w:p>
    <w:p w14:paraId="5E60970A" w14:textId="77777777" w:rsidR="00760444" w:rsidRDefault="00760444" w:rsidP="00E91B96">
      <w:pPr>
        <w:tabs>
          <w:tab w:val="left" w:pos="284"/>
          <w:tab w:val="left" w:pos="426"/>
          <w:tab w:val="right" w:pos="9072"/>
        </w:tabs>
        <w:spacing w:after="0" w:line="360" w:lineRule="auto"/>
        <w:ind w:right="-234" w:firstLine="567"/>
        <w:jc w:val="both"/>
        <w:rPr>
          <w:rFonts w:ascii="Arial" w:hAnsi="Arial" w:cs="Arial"/>
          <w:sz w:val="24"/>
          <w:szCs w:val="24"/>
        </w:rPr>
      </w:pPr>
    </w:p>
    <w:p w14:paraId="5D406BC8" w14:textId="2380B042" w:rsidR="00E91B96"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Ahora, en ambos casos se adolece de una </w:t>
      </w:r>
      <w:r w:rsidR="00760444">
        <w:rPr>
          <w:rFonts w:ascii="Arial" w:hAnsi="Arial" w:cs="Arial"/>
          <w:b/>
          <w:bCs/>
          <w:sz w:val="24"/>
          <w:szCs w:val="24"/>
        </w:rPr>
        <w:t xml:space="preserve">indebida motivación </w:t>
      </w:r>
      <w:r>
        <w:rPr>
          <w:rFonts w:ascii="Arial" w:hAnsi="Arial" w:cs="Arial"/>
          <w:sz w:val="24"/>
          <w:szCs w:val="24"/>
        </w:rPr>
        <w:t xml:space="preserve">toda vez que en ningún momento se justifican los parámetros para determinar que el hoy actor no hubiere acreditado los requisitos de permanencia, ni se realiza una descripción pormenorizada de la conducta desplegada por el hoy accionante que amerite la separación del cargo o en su defecto, la no acreditación del programa de evaluación al que fue sujeto. </w:t>
      </w:r>
    </w:p>
    <w:p w14:paraId="1AF6A8A6" w14:textId="77777777" w:rsidR="00760444" w:rsidRDefault="00760444" w:rsidP="00E91B96">
      <w:pPr>
        <w:tabs>
          <w:tab w:val="left" w:pos="284"/>
          <w:tab w:val="left" w:pos="426"/>
          <w:tab w:val="right" w:pos="9072"/>
        </w:tabs>
        <w:spacing w:after="0" w:line="360" w:lineRule="auto"/>
        <w:ind w:right="-234" w:firstLine="567"/>
        <w:jc w:val="both"/>
        <w:rPr>
          <w:rFonts w:ascii="Arial" w:hAnsi="Arial" w:cs="Arial"/>
          <w:sz w:val="24"/>
          <w:szCs w:val="24"/>
        </w:rPr>
      </w:pPr>
    </w:p>
    <w:p w14:paraId="28E30249" w14:textId="0E4C5DD4" w:rsidR="00E91B96" w:rsidRPr="00FC4DF4"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r w:rsidRPr="00FC4DF4">
        <w:rPr>
          <w:rFonts w:ascii="Arial" w:hAnsi="Arial" w:cs="Arial"/>
          <w:sz w:val="24"/>
          <w:szCs w:val="24"/>
        </w:rPr>
        <w:t xml:space="preserve">En efecto, el artículo 16 de la Ley Fundamental, estipula el imperativo a que están sujetos todos los actos de autoridad, el cual consiste en estar debidamente fundado </w:t>
      </w:r>
      <w:r>
        <w:rPr>
          <w:rFonts w:ascii="Arial" w:hAnsi="Arial" w:cs="Arial"/>
          <w:sz w:val="24"/>
          <w:szCs w:val="24"/>
        </w:rPr>
        <w:t>y motivado</w:t>
      </w:r>
      <w:r w:rsidRPr="00FC4DF4">
        <w:rPr>
          <w:rFonts w:ascii="Arial" w:hAnsi="Arial" w:cs="Arial"/>
          <w:sz w:val="24"/>
          <w:szCs w:val="24"/>
        </w:rPr>
        <w:t xml:space="preserve">: </w:t>
      </w:r>
    </w:p>
    <w:p w14:paraId="27DB8137" w14:textId="77777777" w:rsidR="00E91B96"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p>
    <w:p w14:paraId="2AF8D487" w14:textId="407B4AB1" w:rsidR="00E91B96" w:rsidRPr="00FC4DF4" w:rsidRDefault="00760444" w:rsidP="00760444">
      <w:pPr>
        <w:tabs>
          <w:tab w:val="right" w:pos="9072"/>
        </w:tabs>
        <w:spacing w:after="0"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E91B96" w:rsidRPr="00FC4DF4">
        <w:rPr>
          <w:rFonts w:ascii="Arial Narrow" w:hAnsi="Arial Narrow" w:cs="Arial"/>
          <w:b/>
          <w:bCs/>
          <w:sz w:val="24"/>
          <w:szCs w:val="24"/>
        </w:rPr>
        <w:t xml:space="preserve">CONSTITUCIÓN POLÍTICA DE LOS ESTADOS UNIDOS MEXICANOS </w:t>
      </w:r>
    </w:p>
    <w:p w14:paraId="26FE05B4" w14:textId="77777777" w:rsidR="00E91B96" w:rsidRPr="00FC4DF4" w:rsidRDefault="00E91B96" w:rsidP="00760444">
      <w:pPr>
        <w:tabs>
          <w:tab w:val="right" w:pos="9072"/>
        </w:tabs>
        <w:spacing w:after="0" w:line="360" w:lineRule="auto"/>
        <w:ind w:left="1134" w:right="758"/>
        <w:jc w:val="both"/>
        <w:rPr>
          <w:rFonts w:ascii="Arial Narrow" w:hAnsi="Arial Narrow" w:cs="Arial"/>
          <w:sz w:val="24"/>
          <w:szCs w:val="24"/>
        </w:rPr>
      </w:pPr>
    </w:p>
    <w:p w14:paraId="7A2D88E1" w14:textId="08A731CB" w:rsidR="00E91B96" w:rsidRPr="00FC4DF4" w:rsidRDefault="00E91B96" w:rsidP="00760444">
      <w:pPr>
        <w:tabs>
          <w:tab w:val="right" w:pos="9072"/>
        </w:tabs>
        <w:spacing w:after="0" w:line="360" w:lineRule="auto"/>
        <w:ind w:left="1134" w:right="758"/>
        <w:jc w:val="both"/>
        <w:rPr>
          <w:rFonts w:ascii="Arial Narrow" w:hAnsi="Arial Narrow" w:cs="Arial"/>
          <w:sz w:val="24"/>
          <w:szCs w:val="24"/>
        </w:rPr>
      </w:pPr>
      <w:r w:rsidRPr="00FC4DF4">
        <w:rPr>
          <w:rFonts w:ascii="Arial Narrow" w:hAnsi="Arial Narrow" w:cs="Arial"/>
          <w:sz w:val="24"/>
          <w:szCs w:val="24"/>
        </w:rPr>
        <w:t>Artículo 16.- Nadie puede ser molestado en su persona, familia, domicilio, papeles o posesiones, sino en virtud de mandamiento escrito de autoridad competente que funde y motive l</w:t>
      </w:r>
      <w:r w:rsidR="00760444">
        <w:rPr>
          <w:rFonts w:ascii="Arial Narrow" w:hAnsi="Arial Narrow" w:cs="Arial"/>
          <w:sz w:val="24"/>
          <w:szCs w:val="24"/>
        </w:rPr>
        <w:t>a causa legal del procedimiento.”</w:t>
      </w:r>
    </w:p>
    <w:p w14:paraId="3FE90C4F" w14:textId="77777777" w:rsidR="00E91B96" w:rsidRPr="00FC4DF4"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p>
    <w:p w14:paraId="087B44AE" w14:textId="77777777" w:rsidR="00E91B96"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p>
    <w:p w14:paraId="7806E77D" w14:textId="23C3075E" w:rsidR="00E91B96" w:rsidRDefault="00E91B96" w:rsidP="007677EC">
      <w:pPr>
        <w:tabs>
          <w:tab w:val="left" w:pos="284"/>
          <w:tab w:val="left" w:pos="426"/>
          <w:tab w:val="right" w:pos="9072"/>
        </w:tabs>
        <w:spacing w:after="0" w:line="360" w:lineRule="auto"/>
        <w:ind w:right="333" w:firstLine="567"/>
        <w:jc w:val="both"/>
        <w:rPr>
          <w:rFonts w:ascii="Arial" w:eastAsia="Calibri" w:hAnsi="Arial" w:cs="Arial"/>
          <w:sz w:val="24"/>
          <w:szCs w:val="24"/>
          <w:lang w:eastAsia="en-US"/>
        </w:rPr>
      </w:pPr>
      <w:r>
        <w:rPr>
          <w:rFonts w:ascii="Arial" w:hAnsi="Arial" w:cs="Arial"/>
          <w:sz w:val="24"/>
          <w:szCs w:val="24"/>
        </w:rPr>
        <w:t xml:space="preserve">Siguiendo esa línea argumentativa lo procedente es determinar la </w:t>
      </w:r>
      <w:r>
        <w:rPr>
          <w:rFonts w:ascii="Arial" w:hAnsi="Arial" w:cs="Arial"/>
          <w:b/>
          <w:bCs/>
          <w:sz w:val="24"/>
          <w:szCs w:val="24"/>
        </w:rPr>
        <w:t xml:space="preserve">NULIDAD </w:t>
      </w:r>
      <w:r>
        <w:rPr>
          <w:rFonts w:ascii="Arial" w:eastAsia="Calibri" w:hAnsi="Arial" w:cs="Arial"/>
          <w:sz w:val="24"/>
          <w:szCs w:val="24"/>
          <w:lang w:eastAsia="en-US"/>
        </w:rPr>
        <w:t xml:space="preserve">del oficio número </w:t>
      </w:r>
      <w:r w:rsidR="008052B2">
        <w:rPr>
          <w:rFonts w:ascii="Arial" w:eastAsia="Calibri" w:hAnsi="Arial" w:cs="Arial"/>
          <w:sz w:val="24"/>
          <w:szCs w:val="24"/>
          <w:lang w:eastAsia="en-US"/>
        </w:rPr>
        <w:t>**********</w:t>
      </w:r>
      <w:r>
        <w:rPr>
          <w:rFonts w:ascii="Arial" w:eastAsia="Calibri" w:hAnsi="Arial" w:cs="Arial"/>
          <w:sz w:val="24"/>
          <w:szCs w:val="24"/>
          <w:lang w:eastAsia="en-US"/>
        </w:rPr>
        <w:t xml:space="preserve"> de fecha quince de junio de dos mil veintiuno pues existe una flagrante transgresión a lo establecido en el artículo 17</w:t>
      </w:r>
      <w:r w:rsidR="00760444">
        <w:rPr>
          <w:rFonts w:ascii="Arial" w:eastAsia="Calibri" w:hAnsi="Arial" w:cs="Arial"/>
          <w:sz w:val="24"/>
          <w:szCs w:val="24"/>
          <w:lang w:eastAsia="en-US"/>
        </w:rPr>
        <w:t>,</w:t>
      </w:r>
      <w:r>
        <w:rPr>
          <w:rFonts w:ascii="Arial" w:eastAsia="Calibri" w:hAnsi="Arial" w:cs="Arial"/>
          <w:sz w:val="24"/>
          <w:szCs w:val="24"/>
          <w:lang w:eastAsia="en-US"/>
        </w:rPr>
        <w:t xml:space="preserve"> fracción V de la Ley de Procedimiento y Justicia Administrativa para el Estado de Oaxaca que a la letra dispone: </w:t>
      </w:r>
    </w:p>
    <w:p w14:paraId="0A9E45A6" w14:textId="37370E8D" w:rsidR="00E91B96" w:rsidRDefault="00E91B96" w:rsidP="007677EC">
      <w:pPr>
        <w:tabs>
          <w:tab w:val="left" w:pos="284"/>
          <w:tab w:val="left" w:pos="426"/>
          <w:tab w:val="right" w:pos="9072"/>
        </w:tabs>
        <w:spacing w:after="0" w:line="360" w:lineRule="auto"/>
        <w:ind w:right="333" w:firstLine="567"/>
        <w:jc w:val="both"/>
        <w:rPr>
          <w:rFonts w:ascii="Arial" w:eastAsia="Calibri" w:hAnsi="Arial" w:cs="Arial"/>
          <w:sz w:val="24"/>
          <w:szCs w:val="24"/>
          <w:lang w:eastAsia="en-US"/>
        </w:rPr>
      </w:pPr>
    </w:p>
    <w:p w14:paraId="56360C91" w14:textId="457246C2" w:rsidR="00E91B96" w:rsidRPr="007677EC" w:rsidRDefault="00760444" w:rsidP="007677EC">
      <w:pPr>
        <w:tabs>
          <w:tab w:val="left" w:pos="284"/>
          <w:tab w:val="left" w:pos="426"/>
          <w:tab w:val="right" w:pos="9072"/>
        </w:tabs>
        <w:spacing w:after="0" w:line="360" w:lineRule="auto"/>
        <w:ind w:left="1134" w:right="333"/>
        <w:jc w:val="both"/>
        <w:rPr>
          <w:rFonts w:ascii="Arial Narrow" w:hAnsi="Arial Narrow"/>
          <w:sz w:val="24"/>
          <w:szCs w:val="24"/>
        </w:rPr>
      </w:pPr>
      <w:r w:rsidRPr="007677EC">
        <w:rPr>
          <w:rFonts w:ascii="Arial Narrow" w:hAnsi="Arial Narrow"/>
          <w:b/>
          <w:bCs/>
          <w:sz w:val="24"/>
          <w:szCs w:val="24"/>
        </w:rPr>
        <w:t>“</w:t>
      </w:r>
      <w:r w:rsidR="00E91B96" w:rsidRPr="007677EC">
        <w:rPr>
          <w:rFonts w:ascii="Arial Narrow" w:hAnsi="Arial Narrow"/>
          <w:b/>
          <w:bCs/>
          <w:sz w:val="24"/>
          <w:szCs w:val="24"/>
        </w:rPr>
        <w:t>ARTÍCULO 17.-</w:t>
      </w:r>
      <w:r w:rsidR="00E91B96" w:rsidRPr="007677EC">
        <w:rPr>
          <w:rFonts w:ascii="Arial Narrow" w:hAnsi="Arial Narrow"/>
          <w:sz w:val="24"/>
          <w:szCs w:val="24"/>
        </w:rPr>
        <w:t xml:space="preserve"> Son elementos y requisitos de validez del acto administrativo:</w:t>
      </w:r>
    </w:p>
    <w:p w14:paraId="138E2E42" w14:textId="788338E9" w:rsidR="00E91B96" w:rsidRPr="007677EC" w:rsidRDefault="00E91B96" w:rsidP="007677EC">
      <w:pPr>
        <w:tabs>
          <w:tab w:val="left" w:pos="284"/>
          <w:tab w:val="left" w:pos="426"/>
          <w:tab w:val="right" w:pos="9072"/>
        </w:tabs>
        <w:spacing w:after="0" w:line="360" w:lineRule="auto"/>
        <w:ind w:left="1134" w:right="333"/>
        <w:jc w:val="both"/>
        <w:rPr>
          <w:rFonts w:ascii="Arial Narrow" w:hAnsi="Arial Narrow"/>
          <w:sz w:val="24"/>
          <w:szCs w:val="24"/>
        </w:rPr>
      </w:pPr>
      <w:r w:rsidRPr="007677EC">
        <w:rPr>
          <w:rFonts w:ascii="Arial Narrow" w:hAnsi="Arial Narrow"/>
          <w:sz w:val="24"/>
          <w:szCs w:val="24"/>
        </w:rPr>
        <w:t xml:space="preserve">(…) </w:t>
      </w:r>
    </w:p>
    <w:p w14:paraId="5D2B2D0B" w14:textId="447A560B" w:rsidR="00E91B96" w:rsidRPr="007677EC" w:rsidRDefault="00E91B96" w:rsidP="007677EC">
      <w:pPr>
        <w:tabs>
          <w:tab w:val="left" w:pos="284"/>
          <w:tab w:val="left" w:pos="426"/>
          <w:tab w:val="right" w:pos="9072"/>
        </w:tabs>
        <w:spacing w:after="0" w:line="360" w:lineRule="auto"/>
        <w:ind w:left="1134" w:right="333"/>
        <w:jc w:val="both"/>
        <w:rPr>
          <w:rFonts w:ascii="Arial Narrow" w:hAnsi="Arial Narrow"/>
          <w:sz w:val="24"/>
          <w:szCs w:val="24"/>
        </w:rPr>
      </w:pPr>
      <w:r w:rsidRPr="007677EC">
        <w:rPr>
          <w:rFonts w:ascii="Arial Narrow" w:hAnsi="Arial Narrow"/>
          <w:sz w:val="24"/>
          <w:szCs w:val="24"/>
        </w:rPr>
        <w:t>V. Estar fundado y motivado; (…)</w:t>
      </w:r>
      <w:r w:rsidR="00760444" w:rsidRPr="007677EC">
        <w:rPr>
          <w:rFonts w:ascii="Arial Narrow" w:hAnsi="Arial Narrow"/>
          <w:sz w:val="24"/>
          <w:szCs w:val="24"/>
        </w:rPr>
        <w:t>”</w:t>
      </w:r>
      <w:r w:rsidRPr="007677EC">
        <w:rPr>
          <w:rFonts w:ascii="Arial Narrow" w:hAnsi="Arial Narrow"/>
          <w:sz w:val="24"/>
          <w:szCs w:val="24"/>
        </w:rPr>
        <w:t xml:space="preserve"> </w:t>
      </w:r>
    </w:p>
    <w:p w14:paraId="69496844" w14:textId="77777777" w:rsidR="00E91B96" w:rsidRPr="00E91B96" w:rsidRDefault="00E91B96" w:rsidP="007677EC">
      <w:pPr>
        <w:tabs>
          <w:tab w:val="left" w:pos="284"/>
          <w:tab w:val="left" w:pos="426"/>
          <w:tab w:val="right" w:pos="9072"/>
        </w:tabs>
        <w:spacing w:after="0" w:line="360" w:lineRule="auto"/>
        <w:ind w:right="333" w:firstLine="567"/>
        <w:jc w:val="both"/>
        <w:rPr>
          <w:rFonts w:ascii="Arial" w:hAnsi="Arial" w:cs="Arial"/>
          <w:sz w:val="24"/>
          <w:szCs w:val="24"/>
        </w:rPr>
      </w:pPr>
    </w:p>
    <w:p w14:paraId="6956304A" w14:textId="77777777" w:rsidR="00E91B96" w:rsidRPr="0051494B" w:rsidRDefault="00E91B96" w:rsidP="007677EC">
      <w:pPr>
        <w:tabs>
          <w:tab w:val="right" w:pos="8789"/>
        </w:tabs>
        <w:spacing w:after="0" w:line="360" w:lineRule="auto"/>
        <w:ind w:right="333"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2AB83B4A" w14:textId="77777777" w:rsidR="00E91B96" w:rsidRPr="00BF29B5" w:rsidRDefault="00E91B96" w:rsidP="00E91B96">
      <w:pPr>
        <w:tabs>
          <w:tab w:val="right" w:pos="8789"/>
        </w:tabs>
        <w:spacing w:after="0" w:line="360" w:lineRule="auto"/>
        <w:jc w:val="both"/>
        <w:rPr>
          <w:rFonts w:ascii="Arial Narrow" w:eastAsia="Calibri" w:hAnsi="Arial Narrow" w:cs="Arial"/>
          <w:b/>
          <w:i/>
          <w:sz w:val="24"/>
          <w:szCs w:val="24"/>
          <w:lang w:eastAsia="en-US"/>
        </w:rPr>
      </w:pPr>
    </w:p>
    <w:p w14:paraId="78C74AE3" w14:textId="1E0F7AA7" w:rsidR="00E91B96" w:rsidRPr="00BF29B5" w:rsidRDefault="007677EC" w:rsidP="007677EC">
      <w:pPr>
        <w:autoSpaceDE w:val="0"/>
        <w:autoSpaceDN w:val="0"/>
        <w:adjustRightInd w:val="0"/>
        <w:spacing w:after="0" w:line="360" w:lineRule="auto"/>
        <w:ind w:left="567" w:right="1041"/>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lastRenderedPageBreak/>
        <w:t>“</w:t>
      </w:r>
      <w:r w:rsidR="00E91B96"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00E91B96" w:rsidRPr="00BF29B5">
        <w:rPr>
          <w:rFonts w:ascii="Arial Narrow" w:eastAsia="Calibri" w:hAnsi="Arial Narrow" w:cs="Arial"/>
          <w:color w:val="000000"/>
          <w:sz w:val="24"/>
          <w:szCs w:val="24"/>
          <w:lang w:eastAsia="en-US"/>
        </w:rPr>
        <w:t xml:space="preserve"> </w:t>
      </w:r>
    </w:p>
    <w:p w14:paraId="1090F1D6" w14:textId="77777777" w:rsidR="00E91B96" w:rsidRPr="00BF29B5" w:rsidRDefault="00E91B96" w:rsidP="007677EC">
      <w:pPr>
        <w:autoSpaceDE w:val="0"/>
        <w:autoSpaceDN w:val="0"/>
        <w:adjustRightInd w:val="0"/>
        <w:spacing w:after="0" w:line="360" w:lineRule="auto"/>
        <w:ind w:left="567" w:right="1041"/>
        <w:jc w:val="both"/>
        <w:rPr>
          <w:rFonts w:ascii="Arial Narrow" w:eastAsia="Calibri" w:hAnsi="Arial Narrow" w:cs="Arial"/>
          <w:color w:val="000000"/>
          <w:sz w:val="24"/>
          <w:szCs w:val="24"/>
          <w:lang w:eastAsia="en-US"/>
        </w:rPr>
      </w:pPr>
    </w:p>
    <w:p w14:paraId="239A4C87" w14:textId="44C43F48" w:rsidR="00E91B96" w:rsidRPr="00BF29B5" w:rsidRDefault="00E91B96" w:rsidP="007677EC">
      <w:pPr>
        <w:autoSpaceDE w:val="0"/>
        <w:autoSpaceDN w:val="0"/>
        <w:adjustRightInd w:val="0"/>
        <w:spacing w:after="0" w:line="360" w:lineRule="auto"/>
        <w:ind w:left="567" w:right="1041"/>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w:t>
      </w:r>
      <w:r w:rsidRPr="00BF29B5">
        <w:rPr>
          <w:rFonts w:ascii="Arial Narrow" w:eastAsia="Calibri" w:hAnsi="Arial Narrow" w:cs="Arial"/>
          <w:color w:val="000000"/>
          <w:sz w:val="24"/>
          <w:szCs w:val="24"/>
          <w:lang w:eastAsia="en-US"/>
        </w:rPr>
        <w:lastRenderedPageBreak/>
        <w:t>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7677EC">
        <w:rPr>
          <w:rFonts w:ascii="Arial Narrow" w:eastAsia="Calibri" w:hAnsi="Arial Narrow" w:cs="Arial"/>
          <w:color w:val="000000"/>
          <w:sz w:val="24"/>
          <w:szCs w:val="24"/>
          <w:lang w:eastAsia="en-US"/>
        </w:rPr>
        <w:t>”</w:t>
      </w:r>
    </w:p>
    <w:p w14:paraId="717689D7" w14:textId="77777777" w:rsidR="00E91B96" w:rsidRPr="0051494B" w:rsidRDefault="00E91B96" w:rsidP="00E91B96">
      <w:pPr>
        <w:autoSpaceDE w:val="0"/>
        <w:autoSpaceDN w:val="0"/>
        <w:adjustRightInd w:val="0"/>
        <w:spacing w:after="0" w:line="240" w:lineRule="auto"/>
        <w:rPr>
          <w:rFonts w:ascii="NimbusSanL" w:eastAsia="Calibri" w:hAnsi="NimbusSanL" w:cs="NimbusSanL"/>
          <w:color w:val="000000"/>
          <w:sz w:val="24"/>
          <w:szCs w:val="24"/>
          <w:lang w:eastAsia="en-US"/>
        </w:rPr>
      </w:pPr>
    </w:p>
    <w:p w14:paraId="6B930326" w14:textId="77777777" w:rsidR="00E91B96" w:rsidRPr="0051494B" w:rsidRDefault="00E91B96" w:rsidP="00E91B96">
      <w:pPr>
        <w:tabs>
          <w:tab w:val="right" w:pos="8789"/>
        </w:tabs>
        <w:spacing w:after="0" w:line="259" w:lineRule="auto"/>
        <w:jc w:val="both"/>
        <w:rPr>
          <w:rFonts w:ascii="Arial" w:eastAsia="Calibri" w:hAnsi="Arial" w:cs="Arial"/>
          <w:color w:val="FF0000"/>
          <w:lang w:eastAsia="en-US"/>
        </w:rPr>
      </w:pPr>
    </w:p>
    <w:p w14:paraId="0EC2C23A" w14:textId="60A1E0A4" w:rsidR="007677EC" w:rsidRDefault="00E91B96" w:rsidP="007677EC">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137E674D" w14:textId="77777777" w:rsidR="007677EC" w:rsidRPr="007677EC" w:rsidRDefault="007677EC" w:rsidP="007677EC">
      <w:pPr>
        <w:tabs>
          <w:tab w:val="right" w:pos="8789"/>
        </w:tabs>
        <w:spacing w:after="0" w:line="360" w:lineRule="auto"/>
        <w:ind w:firstLine="567"/>
        <w:jc w:val="both"/>
        <w:rPr>
          <w:rFonts w:ascii="Arial" w:eastAsia="Calibri" w:hAnsi="Arial" w:cs="Arial"/>
          <w:noProof/>
          <w:sz w:val="24"/>
          <w:szCs w:val="24"/>
          <w:lang w:eastAsia="en-US"/>
        </w:rPr>
      </w:pPr>
    </w:p>
    <w:p w14:paraId="31989FB9" w14:textId="7899ABD1" w:rsidR="00E91B96" w:rsidRPr="00BF29B5" w:rsidRDefault="007677EC" w:rsidP="00E91B96">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E91B96" w:rsidRPr="00BF29B5">
        <w:rPr>
          <w:rFonts w:ascii="Arial Narrow" w:eastAsia="Calibri" w:hAnsi="Arial Narrow" w:cs="Arial"/>
          <w:b/>
          <w:bCs/>
          <w:color w:val="000000"/>
          <w:sz w:val="24"/>
          <w:szCs w:val="24"/>
          <w:lang w:eastAsia="en-US"/>
        </w:rPr>
        <w:t>FUNDAMENTACIÓN Y MOTIVACIÓN. SU DISTINCIÓN ENTRE SU FALTA Y CUANDO ES INDEBIDA.</w:t>
      </w:r>
      <w:r w:rsidR="00E91B96" w:rsidRPr="00BF29B5">
        <w:rPr>
          <w:rFonts w:ascii="Arial Narrow" w:eastAsia="Calibri" w:hAnsi="Arial Narrow" w:cs="Arial"/>
          <w:color w:val="000000"/>
          <w:sz w:val="24"/>
          <w:szCs w:val="24"/>
          <w:lang w:eastAsia="en-US"/>
        </w:rPr>
        <w:t xml:space="preserve"> </w:t>
      </w:r>
    </w:p>
    <w:p w14:paraId="47345526" w14:textId="77777777" w:rsidR="00E91B96" w:rsidRPr="00BF29B5" w:rsidRDefault="00E91B96" w:rsidP="00E91B96">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3DB35D95" w14:textId="6A8D4BEC" w:rsidR="00E91B96" w:rsidRPr="00BF29B5" w:rsidRDefault="00E91B96" w:rsidP="00E91B96">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7677EC">
        <w:rPr>
          <w:rFonts w:ascii="Arial Narrow" w:eastAsia="Calibri" w:hAnsi="Arial Narrow" w:cs="Arial"/>
          <w:color w:val="000000"/>
          <w:sz w:val="24"/>
          <w:szCs w:val="24"/>
          <w:lang w:eastAsia="en-US"/>
        </w:rPr>
        <w:t>”</w:t>
      </w:r>
    </w:p>
    <w:p w14:paraId="251A019C" w14:textId="77777777" w:rsidR="00E91B96" w:rsidRPr="0051494B" w:rsidRDefault="00E91B96" w:rsidP="00E91B96">
      <w:pPr>
        <w:tabs>
          <w:tab w:val="right" w:pos="8789"/>
        </w:tabs>
        <w:spacing w:after="0" w:line="360" w:lineRule="auto"/>
        <w:ind w:left="567" w:right="758"/>
        <w:jc w:val="both"/>
        <w:rPr>
          <w:rFonts w:ascii="Arial" w:eastAsia="Calibri" w:hAnsi="Arial" w:cs="Arial"/>
          <w:b/>
          <w:i/>
          <w:noProof/>
          <w:lang w:eastAsia="en-US"/>
        </w:rPr>
      </w:pPr>
    </w:p>
    <w:p w14:paraId="71BC8766" w14:textId="77777777" w:rsidR="00E91B96" w:rsidRDefault="00E91B96" w:rsidP="00E91B96">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AF3871E" w14:textId="4674C978" w:rsidR="00C04F83" w:rsidRPr="00383D23" w:rsidRDefault="00C04F83" w:rsidP="00E91B96">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sidRPr="00383D23">
        <w:rPr>
          <w:rFonts w:ascii="Arial" w:eastAsia="Calibri" w:hAnsi="Arial" w:cs="Arial"/>
          <w:sz w:val="24"/>
          <w:szCs w:val="24"/>
          <w:lang w:eastAsia="en-US"/>
        </w:rPr>
        <w:t xml:space="preserve">Lo anterior encuentra su justificación toda vez que de una </w:t>
      </w:r>
      <w:r w:rsidR="00DE2870" w:rsidRPr="00383D23">
        <w:rPr>
          <w:rFonts w:ascii="Arial" w:eastAsia="Calibri" w:hAnsi="Arial" w:cs="Arial"/>
          <w:sz w:val="24"/>
          <w:szCs w:val="24"/>
          <w:lang w:eastAsia="en-US"/>
        </w:rPr>
        <w:t xml:space="preserve">lectura de la totalidad del expediente de baja, </w:t>
      </w:r>
      <w:r w:rsidR="00DE2870" w:rsidRPr="00383D23">
        <w:rPr>
          <w:rFonts w:ascii="Arial" w:eastAsia="Calibri" w:hAnsi="Arial" w:cs="Arial"/>
          <w:b/>
          <w:bCs/>
          <w:sz w:val="24"/>
          <w:szCs w:val="24"/>
          <w:lang w:eastAsia="en-US"/>
        </w:rPr>
        <w:t xml:space="preserve">no se aprecia </w:t>
      </w:r>
      <w:r w:rsidR="00DE2870" w:rsidRPr="00383D23">
        <w:rPr>
          <w:rFonts w:ascii="Arial" w:eastAsia="Calibri" w:hAnsi="Arial" w:cs="Arial"/>
          <w:sz w:val="24"/>
          <w:szCs w:val="24"/>
          <w:lang w:eastAsia="en-US"/>
        </w:rPr>
        <w:t xml:space="preserve">la aplicación de un procedimiento de naturaleza expresamente administrativa, por virtud del cual se hubiere determinado la existencia de responsabilidad en perjuicio de Humberto Ismael </w:t>
      </w:r>
      <w:r w:rsidR="00DE2870" w:rsidRPr="00383D23">
        <w:rPr>
          <w:rFonts w:ascii="Arial" w:eastAsia="Calibri" w:hAnsi="Arial" w:cs="Arial"/>
          <w:sz w:val="24"/>
          <w:szCs w:val="24"/>
          <w:lang w:eastAsia="en-US"/>
        </w:rPr>
        <w:lastRenderedPageBreak/>
        <w:t>Santiago Sosa que justificara la determinación de separarlo de sus funciones como Policía adscrito a la Secretaría de Seguridad Pública</w:t>
      </w:r>
      <w:r w:rsidR="002C1D11" w:rsidRPr="00383D23">
        <w:rPr>
          <w:rFonts w:ascii="Arial" w:eastAsia="Calibri" w:hAnsi="Arial" w:cs="Arial"/>
          <w:sz w:val="24"/>
          <w:szCs w:val="24"/>
          <w:lang w:eastAsia="en-US"/>
        </w:rPr>
        <w:t>, pues la no aprobación de los exámenes de confianza a la que se someten, los integrantes de las corporaciones policiales, son una causa de incumplimiento en los requisitos de permanencia, cuya consecuencia jurídica es el inicio de un procedimiento administrativo, más no la separación de su cargo</w:t>
      </w:r>
      <w:r w:rsidR="00DE2870" w:rsidRPr="00383D23">
        <w:rPr>
          <w:rFonts w:ascii="Arial" w:eastAsia="Calibri" w:hAnsi="Arial" w:cs="Arial"/>
          <w:sz w:val="24"/>
          <w:szCs w:val="24"/>
          <w:lang w:eastAsia="en-US"/>
        </w:rPr>
        <w:t>.</w:t>
      </w:r>
      <w:r w:rsidR="002C1D11" w:rsidRPr="00383D23">
        <w:rPr>
          <w:rFonts w:ascii="Arial" w:eastAsia="Calibri" w:hAnsi="Arial" w:cs="Arial"/>
          <w:sz w:val="24"/>
          <w:szCs w:val="24"/>
          <w:lang w:eastAsia="en-US"/>
        </w:rPr>
        <w:t xml:space="preserve"> Sirve de aplicación la tesis de rubro</w:t>
      </w:r>
      <w:r w:rsidR="00C91857" w:rsidRPr="00383D23">
        <w:rPr>
          <w:rFonts w:ascii="Arial" w:eastAsia="Calibri" w:hAnsi="Arial" w:cs="Arial"/>
          <w:sz w:val="24"/>
          <w:szCs w:val="24"/>
          <w:lang w:eastAsia="en-US"/>
        </w:rPr>
        <w:t>:</w:t>
      </w:r>
      <w:r w:rsidR="002C1D11" w:rsidRPr="00383D23">
        <w:rPr>
          <w:rFonts w:ascii="Arial" w:eastAsia="Calibri" w:hAnsi="Arial" w:cs="Arial"/>
          <w:sz w:val="24"/>
          <w:szCs w:val="24"/>
          <w:lang w:eastAsia="en-US"/>
        </w:rPr>
        <w:t xml:space="preserve"> “</w:t>
      </w:r>
      <w:r w:rsidR="00C91857" w:rsidRPr="00383D23">
        <w:rPr>
          <w:rFonts w:ascii="Calibri" w:hAnsi="Calibri" w:cs="Calibri"/>
          <w:b/>
          <w:bCs/>
          <w:color w:val="212529"/>
          <w:sz w:val="26"/>
          <w:szCs w:val="26"/>
          <w:shd w:val="clear" w:color="auto" w:fill="FFFFFF"/>
        </w:rPr>
        <w:t>PROCESO DE EVALUACIÓN DE CONTROL DE CONFIANZA PARA VERIFICAR EL CUMPLIMIENTO DE LOS REQUISITOS DE PERMANENCIA Y PROCEDIMIENTO DE SEPARACIÓN DE LOS ELEMENTOS DE SEGURIDAD PÚBLICA DEL ESTADO DE JALISCO Y SUS MUNICIPIOS. LOS EFECTOS DEL AMPARO CONCEDIDO CONTRA EL AUTO DE INICIO DE ÉSTE, DEBEN HACERSE EXTENSIVOS A LOS ACTOS RECLAMADOS DE AQUÉL.”</w:t>
      </w:r>
      <w:r w:rsidR="00C91857" w:rsidRPr="00383D23">
        <w:rPr>
          <w:rStyle w:val="Refdenotaalpie"/>
          <w:rFonts w:ascii="Calibri" w:hAnsi="Calibri" w:cs="Calibri"/>
          <w:b/>
          <w:bCs/>
          <w:color w:val="212529"/>
          <w:sz w:val="26"/>
          <w:szCs w:val="26"/>
          <w:shd w:val="clear" w:color="auto" w:fill="FFFFFF"/>
        </w:rPr>
        <w:footnoteReference w:id="5"/>
      </w:r>
    </w:p>
    <w:p w14:paraId="506958CB" w14:textId="77777777" w:rsidR="00084FBC" w:rsidRPr="00383D23" w:rsidRDefault="00084FBC" w:rsidP="00E91B96">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56C6307" w14:textId="27475FFC" w:rsidR="00DE2870" w:rsidRPr="0099370A" w:rsidRDefault="00DE2870" w:rsidP="0099370A">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sidRPr="00383D23">
        <w:rPr>
          <w:rFonts w:ascii="Arial" w:eastAsia="Calibri" w:hAnsi="Arial" w:cs="Arial"/>
          <w:sz w:val="24"/>
          <w:szCs w:val="24"/>
          <w:lang w:eastAsia="en-US"/>
        </w:rPr>
        <w:t>Circunstancia que resulta indispensable para la validez en la separación del cargo de los elementos de la policía</w:t>
      </w:r>
      <w:r w:rsidR="00F00D45" w:rsidRPr="00383D23">
        <w:rPr>
          <w:rFonts w:ascii="Arial" w:eastAsia="Calibri" w:hAnsi="Arial" w:cs="Arial"/>
          <w:sz w:val="24"/>
          <w:szCs w:val="24"/>
          <w:lang w:eastAsia="en-US"/>
        </w:rPr>
        <w:t>, porque si bien es cierto, que el artículo 99, apartado B, fracción VI</w:t>
      </w:r>
      <w:r w:rsidR="002B685F" w:rsidRPr="00383D23">
        <w:rPr>
          <w:rStyle w:val="Refdenotaalpie"/>
          <w:rFonts w:ascii="Arial" w:eastAsia="Calibri" w:hAnsi="Arial" w:cs="Arial"/>
          <w:sz w:val="24"/>
          <w:szCs w:val="24"/>
          <w:lang w:eastAsia="en-US"/>
        </w:rPr>
        <w:footnoteReference w:id="6"/>
      </w:r>
      <w:r w:rsidR="00F00D45" w:rsidRPr="00383D23">
        <w:rPr>
          <w:rFonts w:ascii="Arial" w:eastAsia="Calibri" w:hAnsi="Arial" w:cs="Arial"/>
          <w:sz w:val="24"/>
          <w:szCs w:val="24"/>
          <w:lang w:eastAsia="en-US"/>
        </w:rPr>
        <w:t xml:space="preserve"> de la Ley del Sistema Estatal de Seguridad P</w:t>
      </w:r>
      <w:r w:rsidR="00DD67A6" w:rsidRPr="00383D23">
        <w:rPr>
          <w:rFonts w:ascii="Arial" w:eastAsia="Calibri" w:hAnsi="Arial" w:cs="Arial"/>
          <w:sz w:val="24"/>
          <w:szCs w:val="24"/>
          <w:lang w:eastAsia="en-US"/>
        </w:rPr>
        <w:t>ública, menciona que el aprobar los procesos de evaluación de control de confianza es un requisito de ingreso y permanencia en las instituciones policiales</w:t>
      </w:r>
      <w:r w:rsidR="0099370A" w:rsidRPr="00383D23">
        <w:rPr>
          <w:rFonts w:ascii="Arial" w:eastAsia="Calibri" w:hAnsi="Arial" w:cs="Arial"/>
          <w:sz w:val="24"/>
          <w:szCs w:val="24"/>
          <w:lang w:eastAsia="en-US"/>
        </w:rPr>
        <w:t xml:space="preserve">; también lo es el hecho de que </w:t>
      </w:r>
      <w:r w:rsidRPr="00383D23">
        <w:rPr>
          <w:rFonts w:ascii="Arial" w:eastAsia="Calibri" w:hAnsi="Arial" w:cs="Arial"/>
          <w:sz w:val="24"/>
          <w:szCs w:val="24"/>
          <w:lang w:eastAsia="en-US"/>
        </w:rPr>
        <w:t>por</w:t>
      </w:r>
      <w:r w:rsidR="00383D23" w:rsidRPr="00383D23">
        <w:rPr>
          <w:rFonts w:ascii="Arial" w:eastAsia="Calibri" w:hAnsi="Arial" w:cs="Arial"/>
          <w:sz w:val="24"/>
          <w:szCs w:val="24"/>
          <w:lang w:eastAsia="en-US"/>
        </w:rPr>
        <w:t xml:space="preserve"> sí mismo el no acreditar el exá</w:t>
      </w:r>
      <w:r w:rsidRPr="00383D23">
        <w:rPr>
          <w:rFonts w:ascii="Arial" w:eastAsia="Calibri" w:hAnsi="Arial" w:cs="Arial"/>
          <w:sz w:val="24"/>
          <w:szCs w:val="24"/>
          <w:lang w:eastAsia="en-US"/>
        </w:rPr>
        <w:t xml:space="preserve">men </w:t>
      </w:r>
      <w:r w:rsidR="00850A6A" w:rsidRPr="00383D23">
        <w:rPr>
          <w:rFonts w:ascii="Arial" w:eastAsia="Calibri" w:hAnsi="Arial" w:cs="Arial"/>
          <w:sz w:val="24"/>
          <w:szCs w:val="24"/>
          <w:lang w:eastAsia="en-US"/>
        </w:rPr>
        <w:t xml:space="preserve">de </w:t>
      </w:r>
      <w:r w:rsidRPr="00383D23">
        <w:rPr>
          <w:rFonts w:ascii="Arial" w:eastAsia="Calibri" w:hAnsi="Arial" w:cs="Arial"/>
          <w:sz w:val="24"/>
          <w:szCs w:val="24"/>
          <w:lang w:eastAsia="en-US"/>
        </w:rPr>
        <w:t>control de confianza no es un elemento individualizado idóneo para justificar la separación del hoy actor</w:t>
      </w:r>
      <w:r w:rsidR="0099370A" w:rsidRPr="00383D23">
        <w:rPr>
          <w:rFonts w:ascii="Arial" w:eastAsia="Calibri" w:hAnsi="Arial" w:cs="Arial"/>
          <w:sz w:val="24"/>
          <w:szCs w:val="24"/>
          <w:lang w:eastAsia="en-US"/>
        </w:rPr>
        <w:t xml:space="preserve"> sin antes haberse iniciado un procedimiento previo, como lo señala la tesis antes citada</w:t>
      </w:r>
      <w:r w:rsidRPr="00383D23">
        <w:rPr>
          <w:rFonts w:ascii="Arial" w:eastAsia="Calibri" w:hAnsi="Arial" w:cs="Arial"/>
          <w:sz w:val="24"/>
          <w:szCs w:val="24"/>
          <w:lang w:eastAsia="en-US"/>
        </w:rPr>
        <w:t xml:space="preserve">. </w:t>
      </w:r>
      <w:r w:rsidR="002B685F" w:rsidRPr="00383D23">
        <w:rPr>
          <w:rFonts w:ascii="Arial" w:eastAsia="Calibri" w:hAnsi="Arial" w:cs="Arial"/>
          <w:sz w:val="24"/>
          <w:szCs w:val="24"/>
          <w:lang w:eastAsia="en-US"/>
        </w:rPr>
        <w:t xml:space="preserve"> A lo anterior, t</w:t>
      </w:r>
      <w:r w:rsidR="0099370A" w:rsidRPr="00383D23">
        <w:rPr>
          <w:rFonts w:ascii="Arial" w:eastAsia="Calibri" w:hAnsi="Arial" w:cs="Arial"/>
          <w:sz w:val="24"/>
          <w:szCs w:val="24"/>
          <w:lang w:eastAsia="en-US"/>
        </w:rPr>
        <w:t xml:space="preserve">ambién sirve de aplicación la siguiente </w:t>
      </w:r>
      <w:r w:rsidR="002B685F" w:rsidRPr="00383D23">
        <w:rPr>
          <w:rFonts w:ascii="Arial" w:eastAsia="Calibri" w:hAnsi="Arial" w:cs="Arial"/>
          <w:sz w:val="24"/>
          <w:szCs w:val="24"/>
          <w:lang w:eastAsia="en-US"/>
        </w:rPr>
        <w:t xml:space="preserve">jurisprudencia </w:t>
      </w:r>
      <w:r w:rsidR="0099370A" w:rsidRPr="00383D23">
        <w:rPr>
          <w:rFonts w:ascii="Arial" w:eastAsia="Calibri" w:hAnsi="Arial" w:cs="Arial"/>
          <w:b/>
          <w:sz w:val="24"/>
          <w:szCs w:val="24"/>
          <w:lang w:eastAsia="en-US"/>
        </w:rPr>
        <w:t>“</w:t>
      </w:r>
      <w:r w:rsidR="0099370A" w:rsidRPr="00383D23">
        <w:rPr>
          <w:rFonts w:ascii="Calibri" w:hAnsi="Calibri" w:cs="Calibri"/>
          <w:b/>
          <w:bCs/>
          <w:color w:val="212529"/>
          <w:sz w:val="26"/>
          <w:szCs w:val="26"/>
          <w:shd w:val="clear" w:color="auto" w:fill="FFFFFF"/>
        </w:rPr>
        <w:t xml:space="preserve">PROCEDIMIENTO ADMINISTRATIVO DE SEPARACIÓN DEL CARGO DE LOS INTEGRANTES DEL SISTEMA NACIONAL DE SEGURIDAD PÚBLICA. LAS VIOLACIONES COMETIDAS DURANTE EL PROCESO DE EVALUACIÓN AL QUE SON SOMETIDOS, EN EL CUAL SE OBTUVO EL RESULTADO DE "NO APROBADO", </w:t>
      </w:r>
      <w:r w:rsidR="0099370A" w:rsidRPr="00383D23">
        <w:rPr>
          <w:rFonts w:ascii="Calibri" w:hAnsi="Calibri" w:cs="Calibri"/>
          <w:b/>
          <w:bCs/>
          <w:color w:val="212529"/>
          <w:sz w:val="26"/>
          <w:szCs w:val="26"/>
          <w:shd w:val="clear" w:color="auto" w:fill="FFFFFF"/>
        </w:rPr>
        <w:lastRenderedPageBreak/>
        <w:t>DEBEN HACERSE VALER EN EL JUICIO DE AMPARO INDIRECTO PROMOVIDO CONTRA EL ACUERDO DE INICIO DEL PROCEDIMIENTO RESPECTIVO.”</w:t>
      </w:r>
      <w:r w:rsidR="002B685F" w:rsidRPr="00383D23">
        <w:rPr>
          <w:rStyle w:val="Refdenotaalpie"/>
          <w:rFonts w:ascii="Calibri" w:hAnsi="Calibri" w:cs="Calibri"/>
          <w:b/>
          <w:bCs/>
          <w:color w:val="212529"/>
          <w:sz w:val="26"/>
          <w:szCs w:val="26"/>
          <w:shd w:val="clear" w:color="auto" w:fill="FFFFFF"/>
        </w:rPr>
        <w:footnoteReference w:id="7"/>
      </w:r>
    </w:p>
    <w:p w14:paraId="07A3C5AE" w14:textId="77777777" w:rsidR="00850A6A" w:rsidRPr="00DE2870" w:rsidRDefault="00850A6A" w:rsidP="00E91B96">
      <w:pPr>
        <w:tabs>
          <w:tab w:val="left" w:pos="284"/>
          <w:tab w:val="left" w:pos="426"/>
          <w:tab w:val="right" w:pos="9072"/>
        </w:tabs>
        <w:spacing w:after="0" w:line="360" w:lineRule="auto"/>
        <w:ind w:right="-234" w:firstLine="567"/>
        <w:jc w:val="both"/>
        <w:rPr>
          <w:rFonts w:ascii="Arial" w:eastAsia="Calibri" w:hAnsi="Arial" w:cs="Arial"/>
          <w:sz w:val="24"/>
          <w:szCs w:val="24"/>
          <w:highlight w:val="cyan"/>
          <w:lang w:eastAsia="en-US"/>
        </w:rPr>
      </w:pPr>
    </w:p>
    <w:p w14:paraId="6806EA9E" w14:textId="77777777" w:rsidR="00DE2870" w:rsidRPr="00DE2870" w:rsidRDefault="00DE2870" w:rsidP="00DE2870">
      <w:pPr>
        <w:tabs>
          <w:tab w:val="left" w:pos="284"/>
          <w:tab w:val="left" w:pos="426"/>
          <w:tab w:val="right" w:pos="9072"/>
        </w:tabs>
        <w:spacing w:after="0" w:line="360" w:lineRule="auto"/>
        <w:ind w:right="-234" w:firstLine="567"/>
        <w:jc w:val="both"/>
        <w:rPr>
          <w:rFonts w:ascii="Arial" w:eastAsia="Calibri" w:hAnsi="Arial" w:cs="Arial"/>
          <w:sz w:val="24"/>
          <w:szCs w:val="24"/>
          <w:highlight w:val="cyan"/>
          <w:lang w:eastAsia="en-US"/>
        </w:rPr>
      </w:pPr>
    </w:p>
    <w:p w14:paraId="743DBE57" w14:textId="7FBC0E75" w:rsidR="00C04F83" w:rsidRDefault="00C04F83" w:rsidP="00E91B96">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8A34A11" w14:textId="3847911F" w:rsidR="00E91B96" w:rsidRDefault="00E91B96" w:rsidP="00E91B96">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es procedente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oficio número </w:t>
      </w:r>
      <w:r w:rsidR="008052B2">
        <w:rPr>
          <w:rFonts w:ascii="Arial" w:eastAsia="Calibri" w:hAnsi="Arial" w:cs="Arial"/>
          <w:sz w:val="24"/>
          <w:szCs w:val="24"/>
          <w:lang w:eastAsia="en-US"/>
        </w:rPr>
        <w:t>**********</w:t>
      </w:r>
      <w:r>
        <w:rPr>
          <w:rFonts w:ascii="Arial" w:eastAsia="Calibri" w:hAnsi="Arial" w:cs="Arial"/>
          <w:sz w:val="24"/>
          <w:szCs w:val="24"/>
          <w:lang w:eastAsia="en-US"/>
        </w:rPr>
        <w:t xml:space="preserve"> de fecha quince de junio de dos mil veintiuno</w:t>
      </w:r>
      <w:r w:rsidR="00D63CB5">
        <w:rPr>
          <w:rFonts w:ascii="Arial" w:eastAsia="Calibri" w:hAnsi="Arial" w:cs="Arial"/>
          <w:sz w:val="24"/>
          <w:szCs w:val="24"/>
          <w:lang w:eastAsia="en-US"/>
        </w:rPr>
        <w:t xml:space="preserve"> y se concluye que el hoy actor fue </w:t>
      </w:r>
      <w:r w:rsidR="00D63CB5">
        <w:rPr>
          <w:rFonts w:ascii="Arial" w:eastAsia="Calibri" w:hAnsi="Arial" w:cs="Arial"/>
          <w:b/>
          <w:bCs/>
          <w:sz w:val="24"/>
          <w:szCs w:val="24"/>
          <w:lang w:eastAsia="en-US"/>
        </w:rPr>
        <w:t>SEPARADO ILEGALMENTE DE SU CARGO</w:t>
      </w:r>
      <w:r w:rsidR="00D63CB5">
        <w:rPr>
          <w:rFonts w:ascii="Arial" w:hAnsi="Arial" w:cs="Arial"/>
          <w:sz w:val="24"/>
          <w:szCs w:val="24"/>
        </w:rPr>
        <w:t xml:space="preserve">. Lo anterior </w:t>
      </w:r>
      <w:r>
        <w:rPr>
          <w:rFonts w:ascii="Arial" w:hAnsi="Arial" w:cs="Arial"/>
          <w:sz w:val="24"/>
          <w:szCs w:val="24"/>
        </w:rPr>
        <w:t>en términos de la siguiente Jurisprudencia</w:t>
      </w:r>
      <w:r>
        <w:rPr>
          <w:rStyle w:val="Refdenotaalpie"/>
          <w:rFonts w:ascii="Arial" w:hAnsi="Arial" w:cs="Arial"/>
          <w:sz w:val="24"/>
          <w:szCs w:val="24"/>
        </w:rPr>
        <w:footnoteReference w:id="8"/>
      </w:r>
      <w:r>
        <w:rPr>
          <w:rFonts w:ascii="Arial" w:hAnsi="Arial" w:cs="Arial"/>
          <w:sz w:val="24"/>
          <w:szCs w:val="24"/>
        </w:rPr>
        <w:t xml:space="preserve">: </w:t>
      </w:r>
    </w:p>
    <w:p w14:paraId="5B5D4B4F" w14:textId="77777777" w:rsidR="00E91B96" w:rsidRPr="00EC3B62" w:rsidRDefault="00E91B96" w:rsidP="00E91B96">
      <w:pPr>
        <w:tabs>
          <w:tab w:val="left" w:pos="284"/>
          <w:tab w:val="left" w:pos="426"/>
          <w:tab w:val="right" w:pos="9072"/>
        </w:tabs>
        <w:spacing w:after="0" w:line="360" w:lineRule="auto"/>
        <w:ind w:right="-234" w:firstLine="567"/>
        <w:jc w:val="both"/>
        <w:rPr>
          <w:rFonts w:ascii="Arial" w:hAnsi="Arial" w:cs="Arial"/>
          <w:b/>
          <w:bCs/>
          <w:sz w:val="24"/>
          <w:szCs w:val="24"/>
        </w:rPr>
      </w:pPr>
    </w:p>
    <w:p w14:paraId="251F0D70" w14:textId="4776E4E0" w:rsidR="00E91B96" w:rsidRPr="00EC3B62" w:rsidRDefault="007677EC" w:rsidP="007677EC">
      <w:pPr>
        <w:tabs>
          <w:tab w:val="left" w:pos="284"/>
          <w:tab w:val="left" w:pos="851"/>
          <w:tab w:val="right" w:pos="9072"/>
        </w:tabs>
        <w:spacing w:after="0" w:line="360" w:lineRule="auto"/>
        <w:ind w:left="1134" w:right="474"/>
        <w:jc w:val="both"/>
        <w:rPr>
          <w:rFonts w:ascii="Arial Narrow" w:hAnsi="Arial Narrow" w:cs="Arial"/>
          <w:b/>
          <w:bCs/>
          <w:sz w:val="24"/>
          <w:szCs w:val="24"/>
        </w:rPr>
      </w:pPr>
      <w:r>
        <w:rPr>
          <w:rFonts w:ascii="Arial Narrow" w:hAnsi="Arial Narrow" w:cs="Arial"/>
          <w:b/>
          <w:bCs/>
          <w:sz w:val="24"/>
          <w:szCs w:val="24"/>
        </w:rPr>
        <w:t>“</w:t>
      </w:r>
      <w:r w:rsidR="00E91B96"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33533F34" w14:textId="77777777" w:rsidR="00E91B96" w:rsidRPr="00EC3B62" w:rsidRDefault="00E91B96" w:rsidP="007677EC">
      <w:pPr>
        <w:tabs>
          <w:tab w:val="left" w:pos="284"/>
          <w:tab w:val="left" w:pos="851"/>
          <w:tab w:val="right" w:pos="9072"/>
        </w:tabs>
        <w:spacing w:after="0" w:line="360" w:lineRule="auto"/>
        <w:ind w:left="1134" w:right="474"/>
        <w:jc w:val="both"/>
        <w:rPr>
          <w:rFonts w:ascii="Arial Narrow" w:hAnsi="Arial Narrow" w:cs="Arial"/>
          <w:sz w:val="24"/>
          <w:szCs w:val="24"/>
        </w:rPr>
      </w:pPr>
    </w:p>
    <w:p w14:paraId="1BAC8C9A" w14:textId="77777777" w:rsidR="00E91B96" w:rsidRPr="00EC3B62" w:rsidRDefault="00E91B96" w:rsidP="007677EC">
      <w:pPr>
        <w:tabs>
          <w:tab w:val="left" w:pos="284"/>
          <w:tab w:val="left" w:pos="851"/>
          <w:tab w:val="right" w:pos="9072"/>
        </w:tabs>
        <w:spacing w:after="0" w:line="360" w:lineRule="auto"/>
        <w:ind w:left="1134" w:right="47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w:t>
      </w:r>
      <w:r w:rsidRPr="00EC3B62">
        <w:rPr>
          <w:rFonts w:ascii="Arial Narrow" w:hAnsi="Arial Narrow" w:cs="Arial"/>
          <w:sz w:val="24"/>
          <w:szCs w:val="24"/>
        </w:rPr>
        <w:lastRenderedPageBreak/>
        <w:t>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0509F059" w14:textId="77777777" w:rsidR="00E91B96" w:rsidRPr="00E91B96" w:rsidRDefault="00E91B96" w:rsidP="00E91B96">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18AB0455" w14:textId="7A509F58" w:rsidR="006D210D" w:rsidRDefault="007B3FF3"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Sin embargo, aun cuando se haya acreditado la existencia de una separación indebida e ilegal del cargo que la parte actora había desempeñado como Policía Vial, existe una prohibición a reinstalar en el cargo a los miembros de corporaciones policiales siendo procedente que se </w:t>
      </w:r>
      <w:r>
        <w:rPr>
          <w:rFonts w:ascii="Arial" w:hAnsi="Arial" w:cs="Arial"/>
          <w:b/>
          <w:bCs/>
          <w:sz w:val="24"/>
          <w:szCs w:val="24"/>
        </w:rPr>
        <w:t xml:space="preserve">indemnice </w:t>
      </w:r>
      <w:r>
        <w:rPr>
          <w:rFonts w:ascii="Arial" w:hAnsi="Arial" w:cs="Arial"/>
          <w:sz w:val="24"/>
          <w:szCs w:val="24"/>
        </w:rPr>
        <w:t>con todas las prestaciones a que tenga derecho</w:t>
      </w:r>
      <w:r w:rsidR="006D210D">
        <w:rPr>
          <w:rFonts w:ascii="Arial" w:hAnsi="Arial" w:cs="Arial"/>
          <w:sz w:val="24"/>
          <w:szCs w:val="24"/>
        </w:rPr>
        <w:t xml:space="preserve">. </w:t>
      </w:r>
    </w:p>
    <w:p w14:paraId="3D33EEE9" w14:textId="77777777" w:rsidR="007677EC" w:rsidRDefault="007677EC" w:rsidP="00CF04E4">
      <w:pPr>
        <w:tabs>
          <w:tab w:val="left" w:pos="284"/>
          <w:tab w:val="left" w:pos="426"/>
          <w:tab w:val="right" w:pos="9072"/>
        </w:tabs>
        <w:spacing w:after="0" w:line="360" w:lineRule="auto"/>
        <w:ind w:right="-234" w:firstLine="567"/>
        <w:jc w:val="both"/>
        <w:rPr>
          <w:rFonts w:ascii="Arial" w:hAnsi="Arial" w:cs="Arial"/>
          <w:sz w:val="24"/>
          <w:szCs w:val="24"/>
        </w:rPr>
      </w:pPr>
    </w:p>
    <w:p w14:paraId="3BAEA238" w14:textId="598E2FAA" w:rsidR="006D210D" w:rsidRDefault="006D210D"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Lo anterior en términos de la siguiente Jurisprudencia</w:t>
      </w:r>
      <w:r>
        <w:rPr>
          <w:rStyle w:val="Refdenotaalpie"/>
          <w:rFonts w:ascii="Arial" w:hAnsi="Arial" w:cs="Arial"/>
          <w:sz w:val="24"/>
          <w:szCs w:val="24"/>
        </w:rPr>
        <w:footnoteReference w:id="9"/>
      </w:r>
      <w:r>
        <w:rPr>
          <w:rFonts w:ascii="Arial" w:hAnsi="Arial" w:cs="Arial"/>
          <w:sz w:val="24"/>
          <w:szCs w:val="24"/>
        </w:rPr>
        <w:t xml:space="preserve">: </w:t>
      </w:r>
    </w:p>
    <w:p w14:paraId="71367D9A" w14:textId="527D6E03" w:rsidR="006D210D" w:rsidRDefault="006D210D" w:rsidP="00CF04E4">
      <w:pPr>
        <w:tabs>
          <w:tab w:val="left" w:pos="284"/>
          <w:tab w:val="left" w:pos="426"/>
          <w:tab w:val="right" w:pos="9072"/>
        </w:tabs>
        <w:spacing w:after="0" w:line="360" w:lineRule="auto"/>
        <w:ind w:right="-234" w:firstLine="567"/>
        <w:jc w:val="both"/>
        <w:rPr>
          <w:rFonts w:ascii="Arial" w:hAnsi="Arial" w:cs="Arial"/>
          <w:sz w:val="24"/>
          <w:szCs w:val="24"/>
        </w:rPr>
      </w:pPr>
    </w:p>
    <w:p w14:paraId="37BA7169" w14:textId="5836B6AA" w:rsidR="006D210D" w:rsidRPr="007677EC" w:rsidRDefault="007677EC" w:rsidP="007677EC">
      <w:pPr>
        <w:tabs>
          <w:tab w:val="left" w:pos="284"/>
          <w:tab w:val="left" w:pos="1134"/>
          <w:tab w:val="right" w:pos="9072"/>
        </w:tabs>
        <w:spacing w:after="0" w:line="360" w:lineRule="auto"/>
        <w:ind w:left="1134" w:right="616"/>
        <w:jc w:val="both"/>
        <w:rPr>
          <w:rFonts w:ascii="Arial Narrow" w:hAnsi="Arial Narrow" w:cs="Arial"/>
          <w:b/>
          <w:bCs/>
          <w:sz w:val="24"/>
          <w:szCs w:val="24"/>
        </w:rPr>
      </w:pPr>
      <w:r>
        <w:rPr>
          <w:rFonts w:ascii="Arial Narrow" w:hAnsi="Arial Narrow" w:cs="Arial"/>
          <w:b/>
          <w:bCs/>
          <w:sz w:val="24"/>
          <w:szCs w:val="24"/>
        </w:rPr>
        <w:lastRenderedPageBreak/>
        <w:t>“</w:t>
      </w:r>
      <w:r w:rsidR="006D210D" w:rsidRPr="006D210D">
        <w:rPr>
          <w:rFonts w:ascii="Arial Narrow" w:hAnsi="Arial Narrow" w:cs="Arial"/>
          <w:b/>
          <w:bCs/>
          <w:sz w:val="24"/>
          <w:szCs w:val="24"/>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14:paraId="65D92DDE" w14:textId="229B8CD0" w:rsidR="006D210D" w:rsidRPr="006D210D" w:rsidRDefault="006D210D" w:rsidP="007677EC">
      <w:pPr>
        <w:tabs>
          <w:tab w:val="left" w:pos="284"/>
          <w:tab w:val="left" w:pos="1134"/>
          <w:tab w:val="right" w:pos="9072"/>
        </w:tabs>
        <w:spacing w:after="0" w:line="360" w:lineRule="auto"/>
        <w:ind w:left="1134" w:right="616"/>
        <w:jc w:val="both"/>
        <w:rPr>
          <w:rFonts w:ascii="Arial Narrow" w:hAnsi="Arial Narrow" w:cs="Arial"/>
          <w:sz w:val="24"/>
          <w:szCs w:val="24"/>
        </w:rPr>
      </w:pPr>
      <w:r w:rsidRPr="006D210D">
        <w:rPr>
          <w:rFonts w:ascii="Arial Narrow" w:hAnsi="Arial Narrow" w:cs="Arial"/>
          <w:sz w:val="24"/>
          <w:szCs w:val="24"/>
        </w:rPr>
        <w:t>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w:t>
      </w:r>
      <w:r w:rsidRPr="006D210D">
        <w:rPr>
          <w:rFonts w:ascii="Arial Narrow" w:hAnsi="Arial Narrow" w:cs="Arial"/>
          <w:b/>
          <w:bCs/>
          <w:sz w:val="24"/>
          <w:szCs w:val="24"/>
          <w:u w:val="single"/>
        </w:rPr>
        <w:t>, en su caso, se compensaría con el pago de la indemnización respectiva,</w:t>
      </w:r>
      <w:r w:rsidRPr="006D210D">
        <w:rPr>
          <w:rFonts w:ascii="Arial Narrow" w:hAnsi="Arial Narrow" w:cs="Arial"/>
          <w:sz w:val="24"/>
          <w:szCs w:val="24"/>
        </w:rPr>
        <w:t xml:space="preserve"> por lo que independientemente de la razón del cese tiene preferencia la decisión del Constituyente de impedir que los miembros de las corporaciones policiacas que hubiesen causado baja se reincorporen al servicio.</w:t>
      </w:r>
      <w:r w:rsidR="007677EC">
        <w:rPr>
          <w:rFonts w:ascii="Arial Narrow" w:hAnsi="Arial Narrow" w:cs="Arial"/>
          <w:sz w:val="24"/>
          <w:szCs w:val="24"/>
        </w:rPr>
        <w:t>”</w:t>
      </w:r>
    </w:p>
    <w:p w14:paraId="30F246AD" w14:textId="77777777" w:rsidR="006D210D" w:rsidRPr="006D210D" w:rsidRDefault="006D210D" w:rsidP="00CF04E4">
      <w:pPr>
        <w:tabs>
          <w:tab w:val="left" w:pos="284"/>
          <w:tab w:val="left" w:pos="426"/>
          <w:tab w:val="right" w:pos="9072"/>
        </w:tabs>
        <w:spacing w:after="0" w:line="360" w:lineRule="auto"/>
        <w:ind w:right="-234" w:firstLine="567"/>
        <w:jc w:val="both"/>
        <w:rPr>
          <w:rFonts w:ascii="Arial" w:hAnsi="Arial" w:cs="Arial"/>
          <w:sz w:val="24"/>
          <w:szCs w:val="24"/>
        </w:rPr>
      </w:pPr>
    </w:p>
    <w:p w14:paraId="0A109E3C" w14:textId="31AD853E" w:rsidR="00B42067" w:rsidRPr="00383D23" w:rsidRDefault="00475A75"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Por lo tanto, en atención a que ya ha quedado plenamente demostrado que la separación del cargo que sufrió la parte actora es ilegal, máxime que con base en la jurisprudencia antes citada, la separación del cargo independientemente de la razón que lo </w:t>
      </w:r>
      <w:r w:rsidRPr="00383D23">
        <w:rPr>
          <w:rFonts w:ascii="Arial" w:hAnsi="Arial" w:cs="Arial"/>
          <w:sz w:val="24"/>
          <w:szCs w:val="24"/>
        </w:rPr>
        <w:t xml:space="preserve">constituya </w:t>
      </w:r>
      <w:r w:rsidRPr="00383D23">
        <w:rPr>
          <w:rFonts w:ascii="Arial" w:hAnsi="Arial" w:cs="Arial"/>
          <w:b/>
          <w:bCs/>
          <w:sz w:val="24"/>
          <w:szCs w:val="24"/>
        </w:rPr>
        <w:t>bajo ningún concepto implica la negativa a percibir la indemnización correspondiente</w:t>
      </w:r>
      <w:r w:rsidRPr="00383D23">
        <w:rPr>
          <w:rFonts w:ascii="Arial" w:hAnsi="Arial" w:cs="Arial"/>
          <w:sz w:val="24"/>
          <w:szCs w:val="24"/>
        </w:rPr>
        <w:t>.</w:t>
      </w:r>
      <w:r w:rsidR="00B42067" w:rsidRPr="00383D23">
        <w:rPr>
          <w:rFonts w:ascii="Arial" w:hAnsi="Arial" w:cs="Arial"/>
          <w:sz w:val="24"/>
          <w:szCs w:val="24"/>
        </w:rPr>
        <w:t xml:space="preserve"> Sirve de orientación, la jurisprudencia, con número de registro 2011659, emitida por la Segunda Sala de la Suprema Corte de Justicia de la Nación, de la Décima Época; publicada en la Gaceta del Semanario Judicial de la Federación, Libro 30, Mayo de 2016, Tomo II, página 1339, que dice:</w:t>
      </w:r>
    </w:p>
    <w:p w14:paraId="68DD5870" w14:textId="77777777" w:rsidR="00B42067" w:rsidRPr="00383D23" w:rsidRDefault="00B42067" w:rsidP="00CF04E4">
      <w:pPr>
        <w:tabs>
          <w:tab w:val="left" w:pos="284"/>
          <w:tab w:val="left" w:pos="426"/>
          <w:tab w:val="right" w:pos="9072"/>
        </w:tabs>
        <w:spacing w:after="0" w:line="360" w:lineRule="auto"/>
        <w:ind w:right="-234" w:firstLine="567"/>
        <w:jc w:val="both"/>
        <w:rPr>
          <w:rFonts w:ascii="Arial" w:hAnsi="Arial" w:cs="Arial"/>
          <w:sz w:val="24"/>
          <w:szCs w:val="24"/>
        </w:rPr>
      </w:pPr>
    </w:p>
    <w:p w14:paraId="6271C453" w14:textId="2B5B43F3" w:rsidR="00B42067" w:rsidRPr="00383D23" w:rsidRDefault="00B42067" w:rsidP="00B42067">
      <w:pPr>
        <w:pStyle w:val="NormalWeb"/>
        <w:shd w:val="clear" w:color="auto" w:fill="FFFFFF"/>
        <w:spacing w:line="360" w:lineRule="auto"/>
        <w:ind w:left="709" w:right="616"/>
        <w:jc w:val="both"/>
        <w:rPr>
          <w:rFonts w:ascii="Arial Narrow" w:hAnsi="Arial Narrow" w:cs="Arial"/>
          <w:b/>
          <w:bCs/>
          <w:color w:val="212529"/>
          <w:sz w:val="22"/>
          <w:szCs w:val="22"/>
        </w:rPr>
      </w:pPr>
      <w:r w:rsidRPr="00383D23">
        <w:rPr>
          <w:rFonts w:ascii="Arial Narrow" w:hAnsi="Arial Narrow" w:cs="Arial"/>
          <w:b/>
          <w:bCs/>
          <w:color w:val="212529"/>
          <w:sz w:val="22"/>
          <w:szCs w:val="22"/>
        </w:rPr>
        <w:t xml:space="preserve">“PROCEDIMIENTO ADMINISTRATIVO DE SEPARACIÓN DEL CARGO DE LOS SERVIDORES PÚBLICOS SUJETOS AL SISTEMA DE CARRERA MINISTERIAL, </w:t>
      </w:r>
      <w:r w:rsidRPr="00383D23">
        <w:rPr>
          <w:rFonts w:ascii="Arial Narrow" w:hAnsi="Arial Narrow" w:cs="Arial"/>
          <w:b/>
          <w:bCs/>
          <w:color w:val="212529"/>
          <w:sz w:val="22"/>
          <w:szCs w:val="22"/>
        </w:rPr>
        <w:lastRenderedPageBreak/>
        <w:t>POLICIAL Y PERICIAL. CONTRA EL ACUERDO DE INICIO PROCEDE EL JUICIO DE AMPARO INDIRECTO, CONFORME AL ARTÍCULO 107, FRACCIÓN III, INCISO B), DE LA LEY DE AMPARO.</w:t>
      </w:r>
    </w:p>
    <w:p w14:paraId="41859452" w14:textId="2A0286BE" w:rsidR="00B42067" w:rsidRPr="00383D23" w:rsidRDefault="00B42067" w:rsidP="00B42067">
      <w:pPr>
        <w:pStyle w:val="NormalWeb"/>
        <w:shd w:val="clear" w:color="auto" w:fill="FFFFFF"/>
        <w:spacing w:line="360" w:lineRule="auto"/>
        <w:ind w:left="709" w:right="616"/>
        <w:jc w:val="both"/>
        <w:rPr>
          <w:rFonts w:ascii="Arial Narrow" w:hAnsi="Arial Narrow" w:cs="Arial"/>
          <w:color w:val="212529"/>
          <w:sz w:val="22"/>
          <w:szCs w:val="22"/>
        </w:rPr>
      </w:pPr>
      <w:r w:rsidRPr="00383D23">
        <w:rPr>
          <w:rFonts w:ascii="Arial Narrow" w:hAnsi="Arial Narrow" w:cs="Arial"/>
          <w:color w:val="212529"/>
          <w:sz w:val="22"/>
          <w:szCs w:val="22"/>
        </w:rPr>
        <w:t xml:space="preserve">Contra el acuerdo de inicio del procedimiento administrativo de separación del cargo de los agentes del Ministerio Público, de los peritos y de los miembros de las corporaciones policiales en los tres niveles de gobierno procede el juicio de amparo indirecto, por </w:t>
      </w:r>
      <w:r w:rsidRPr="00383D23">
        <w:rPr>
          <w:rFonts w:ascii="Arial Narrow" w:hAnsi="Arial Narrow" w:cs="Arial"/>
          <w:sz w:val="22"/>
          <w:szCs w:val="22"/>
        </w:rPr>
        <w:t>violaciones a las reglas que lo rigen establecidas en la legislación aplicable a cada caso en concreto, al constituir un acto de imposible reparación en términos del artículo </w:t>
      </w:r>
      <w:hyperlink r:id="rId8" w:history="1">
        <w:r w:rsidRPr="00383D23">
          <w:rPr>
            <w:rStyle w:val="Hipervnculo"/>
            <w:rFonts w:ascii="Arial Narrow" w:hAnsi="Arial Narrow" w:cs="Arial"/>
            <w:bCs/>
            <w:color w:val="auto"/>
            <w:sz w:val="22"/>
            <w:szCs w:val="22"/>
          </w:rPr>
          <w:t>107, fracción III, inciso b), de la Ley de Amparo</w:t>
        </w:r>
      </w:hyperlink>
      <w:r w:rsidRPr="00383D23">
        <w:rPr>
          <w:rFonts w:ascii="Arial Narrow" w:hAnsi="Arial Narrow" w:cs="Arial"/>
          <w:sz w:val="22"/>
          <w:szCs w:val="22"/>
          <w:u w:val="single"/>
        </w:rPr>
        <w:t xml:space="preserve">, </w:t>
      </w:r>
      <w:r w:rsidRPr="00383D23">
        <w:rPr>
          <w:rFonts w:ascii="Arial Narrow" w:hAnsi="Arial Narrow" w:cs="Arial"/>
          <w:sz w:val="22"/>
          <w:szCs w:val="22"/>
        </w:rPr>
        <w:t>ya que conforme al precepto</w:t>
      </w:r>
      <w:r w:rsidRPr="00383D23">
        <w:rPr>
          <w:rFonts w:ascii="Arial Narrow" w:hAnsi="Arial Narrow" w:cs="Arial"/>
          <w:sz w:val="22"/>
          <w:szCs w:val="22"/>
          <w:u w:val="single"/>
        </w:rPr>
        <w:t> </w:t>
      </w:r>
      <w:hyperlink r:id="rId9" w:history="1">
        <w:r w:rsidRPr="00383D23">
          <w:rPr>
            <w:rStyle w:val="Hipervnculo"/>
            <w:rFonts w:ascii="Arial Narrow" w:hAnsi="Arial Narrow" w:cs="Arial"/>
            <w:bCs/>
            <w:color w:val="auto"/>
            <w:sz w:val="22"/>
            <w:szCs w:val="22"/>
          </w:rPr>
          <w:t>123, apartado B, fracción XIII, segundo párrafo, de la Constitución Política de los Estados Unidos Mexicanos</w:t>
        </w:r>
      </w:hyperlink>
      <w:r w:rsidRPr="00383D23">
        <w:rPr>
          <w:rFonts w:ascii="Arial Narrow" w:hAnsi="Arial Narrow" w:cs="Arial"/>
          <w:sz w:val="22"/>
          <w:szCs w:val="22"/>
        </w:rPr>
        <w:t xml:space="preserve">, está </w:t>
      </w:r>
      <w:r w:rsidRPr="00383D23">
        <w:rPr>
          <w:rFonts w:ascii="Arial Narrow" w:hAnsi="Arial Narrow" w:cs="Arial"/>
          <w:color w:val="212529"/>
          <w:sz w:val="22"/>
          <w:szCs w:val="22"/>
        </w:rPr>
        <w:t>prohibido reinstalarlos aun cuando en las instancias judiciales se demuestre la ilegalidad del procedimiento y, en consecuencia, de la resolución respectiva; motivo por el que una violación acaecida durante el inicio del procedimiento se traduciría, en última instancia, en una transgresión que trasciende irremediablemente al derecho sustantivo al trabajo y a no ser separados injustificadamente de él, reconocido tanto a nivel constitucional como convencional.”</w:t>
      </w:r>
    </w:p>
    <w:p w14:paraId="460A763E" w14:textId="56DB0C13" w:rsidR="007677EC" w:rsidRPr="00383D23" w:rsidRDefault="007677EC" w:rsidP="00B42067">
      <w:pPr>
        <w:tabs>
          <w:tab w:val="left" w:pos="284"/>
          <w:tab w:val="left" w:pos="426"/>
          <w:tab w:val="right" w:pos="9072"/>
        </w:tabs>
        <w:spacing w:after="0" w:line="360" w:lineRule="auto"/>
        <w:ind w:right="-234"/>
        <w:jc w:val="both"/>
        <w:rPr>
          <w:rFonts w:ascii="Arial" w:hAnsi="Arial" w:cs="Arial"/>
          <w:sz w:val="24"/>
          <w:szCs w:val="24"/>
        </w:rPr>
      </w:pPr>
    </w:p>
    <w:p w14:paraId="6D7664D7" w14:textId="7716E341" w:rsidR="00475A75" w:rsidRDefault="00475A75" w:rsidP="00CF04E4">
      <w:pPr>
        <w:tabs>
          <w:tab w:val="left" w:pos="284"/>
          <w:tab w:val="left" w:pos="426"/>
          <w:tab w:val="right" w:pos="9072"/>
        </w:tabs>
        <w:spacing w:after="0" w:line="360" w:lineRule="auto"/>
        <w:ind w:right="-234" w:firstLine="567"/>
        <w:jc w:val="both"/>
        <w:rPr>
          <w:rFonts w:ascii="Arial" w:hAnsi="Arial" w:cs="Arial"/>
          <w:sz w:val="24"/>
          <w:szCs w:val="24"/>
        </w:rPr>
      </w:pPr>
      <w:r w:rsidRPr="00383D23">
        <w:rPr>
          <w:rFonts w:ascii="Arial" w:hAnsi="Arial" w:cs="Arial"/>
          <w:sz w:val="24"/>
          <w:szCs w:val="24"/>
        </w:rPr>
        <w:t>Ahora, atendiendo a la naturaleza de la relación entre el actor y la parte demandada, que es administrativa, procede solamente su indemnización y el pago de otras prestaciones; de acuerdo al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w:t>
      </w:r>
      <w:r w:rsidRPr="00475A75">
        <w:rPr>
          <w:rFonts w:ascii="Arial" w:hAnsi="Arial" w:cs="Arial"/>
          <w:sz w:val="24"/>
          <w:szCs w:val="24"/>
        </w:rPr>
        <w:t xml:space="preserve">  de su empelo se les debe indemnizar, respetando las prestaciones a que tienen derecho como trabajadores.</w:t>
      </w:r>
    </w:p>
    <w:p w14:paraId="68B22487" w14:textId="77777777" w:rsidR="00E25DC0" w:rsidRDefault="00E25DC0" w:rsidP="00CF04E4">
      <w:pPr>
        <w:tabs>
          <w:tab w:val="left" w:pos="284"/>
          <w:tab w:val="left" w:pos="426"/>
          <w:tab w:val="right" w:pos="9072"/>
        </w:tabs>
        <w:spacing w:after="0" w:line="360" w:lineRule="auto"/>
        <w:ind w:right="-234" w:firstLine="567"/>
        <w:jc w:val="both"/>
        <w:rPr>
          <w:rFonts w:ascii="Arial" w:hAnsi="Arial" w:cs="Arial"/>
          <w:sz w:val="24"/>
          <w:szCs w:val="24"/>
        </w:rPr>
      </w:pPr>
    </w:p>
    <w:p w14:paraId="44193989" w14:textId="1836BD47" w:rsidR="00475A75" w:rsidRDefault="00475A75" w:rsidP="00CF04E4">
      <w:pPr>
        <w:tabs>
          <w:tab w:val="left" w:pos="284"/>
          <w:tab w:val="left" w:pos="426"/>
          <w:tab w:val="right" w:pos="9072"/>
        </w:tabs>
        <w:spacing w:after="0" w:line="360" w:lineRule="auto"/>
        <w:ind w:right="-234" w:firstLine="567"/>
        <w:jc w:val="both"/>
        <w:rPr>
          <w:rFonts w:ascii="Arial" w:hAnsi="Arial" w:cs="Arial"/>
          <w:sz w:val="24"/>
          <w:szCs w:val="24"/>
        </w:rPr>
      </w:pPr>
      <w:r w:rsidRPr="00475A75">
        <w:rPr>
          <w:rFonts w:ascii="Arial" w:hAnsi="Arial" w:cs="Arial"/>
          <w:sz w:val="24"/>
          <w:szCs w:val="24"/>
        </w:rPr>
        <w:t>En ese sentido se debe tomar en consideración la siguiente Jurisprudencia emitida por la Segunda Sala de la Suprema Corte de Justicia de la Nación</w:t>
      </w:r>
      <w:r>
        <w:rPr>
          <w:rStyle w:val="Refdenotaalpie"/>
          <w:rFonts w:ascii="Arial" w:hAnsi="Arial" w:cs="Arial"/>
          <w:sz w:val="24"/>
          <w:szCs w:val="24"/>
        </w:rPr>
        <w:footnoteReference w:id="10"/>
      </w:r>
      <w:r>
        <w:rPr>
          <w:rFonts w:ascii="Arial" w:hAnsi="Arial" w:cs="Arial"/>
          <w:sz w:val="24"/>
          <w:szCs w:val="24"/>
        </w:rPr>
        <w:t xml:space="preserve"> que a la letra dispone: </w:t>
      </w:r>
    </w:p>
    <w:p w14:paraId="070819D3" w14:textId="5CD35CA3" w:rsidR="00475A75" w:rsidRDefault="00475A75" w:rsidP="00CF04E4">
      <w:pPr>
        <w:tabs>
          <w:tab w:val="left" w:pos="284"/>
          <w:tab w:val="left" w:pos="426"/>
          <w:tab w:val="right" w:pos="9072"/>
        </w:tabs>
        <w:spacing w:after="0" w:line="360" w:lineRule="auto"/>
        <w:ind w:right="-234" w:firstLine="567"/>
        <w:jc w:val="both"/>
        <w:rPr>
          <w:rFonts w:ascii="Arial" w:hAnsi="Arial" w:cs="Arial"/>
          <w:sz w:val="24"/>
          <w:szCs w:val="24"/>
        </w:rPr>
      </w:pPr>
    </w:p>
    <w:p w14:paraId="12D72F35" w14:textId="11E6D81E" w:rsidR="00475A75" w:rsidRPr="00475A75" w:rsidRDefault="00E25DC0" w:rsidP="00E25DC0">
      <w:pPr>
        <w:tabs>
          <w:tab w:val="left" w:pos="284"/>
          <w:tab w:val="left" w:pos="1134"/>
          <w:tab w:val="right" w:pos="7655"/>
        </w:tabs>
        <w:spacing w:after="0" w:line="360" w:lineRule="auto"/>
        <w:ind w:left="1134" w:right="616"/>
        <w:jc w:val="both"/>
        <w:rPr>
          <w:rFonts w:ascii="Arial Narrow" w:hAnsi="Arial Narrow" w:cs="Arial"/>
          <w:b/>
          <w:bCs/>
          <w:sz w:val="24"/>
          <w:szCs w:val="24"/>
        </w:rPr>
      </w:pPr>
      <w:r>
        <w:rPr>
          <w:rFonts w:ascii="Arial Narrow" w:hAnsi="Arial Narrow" w:cs="Arial"/>
          <w:b/>
          <w:bCs/>
          <w:sz w:val="24"/>
          <w:szCs w:val="24"/>
        </w:rPr>
        <w:t>“</w:t>
      </w:r>
      <w:r w:rsidR="00475A75" w:rsidRPr="00475A75">
        <w:rPr>
          <w:rFonts w:ascii="Arial Narrow" w:hAnsi="Arial Narrow" w:cs="Arial"/>
          <w:b/>
          <w:bCs/>
          <w:sz w:val="24"/>
          <w:szCs w:val="24"/>
        </w:rPr>
        <w:t xml:space="preserve">SEGURIDAD PÚBLICA. LA INDEMNIZACIÓN PREVISTA EN EL ARTÍCULO 123, APARTADO B, FRACCIÓN XIII, SEGUNDO PÁRRAFO, DE LA CONSTITUCIÓN POLÍTICA DE LOS ESTADOS UNIDOS MEXICANOS, COMPRENDE EL PAGO DE 3 MESES DE SUELDO Y DE 20 DÍAS POR CADA AÑO LABORADO [ABANDONO DE LAS TESIS DE </w:t>
      </w:r>
      <w:r w:rsidR="00475A75" w:rsidRPr="00475A75">
        <w:rPr>
          <w:rFonts w:ascii="Arial Narrow" w:hAnsi="Arial Narrow" w:cs="Arial"/>
          <w:b/>
          <w:bCs/>
          <w:sz w:val="24"/>
          <w:szCs w:val="24"/>
        </w:rPr>
        <w:lastRenderedPageBreak/>
        <w:t>JURISPRUDENCIA 2a</w:t>
      </w:r>
      <w:proofErr w:type="gramStart"/>
      <w:r w:rsidR="00475A75" w:rsidRPr="00475A75">
        <w:rPr>
          <w:rFonts w:ascii="Arial Narrow" w:hAnsi="Arial Narrow" w:cs="Arial"/>
          <w:b/>
          <w:bCs/>
          <w:sz w:val="24"/>
          <w:szCs w:val="24"/>
        </w:rPr>
        <w:t>./</w:t>
      </w:r>
      <w:proofErr w:type="gramEnd"/>
      <w:r w:rsidR="00475A75" w:rsidRPr="00475A75">
        <w:rPr>
          <w:rFonts w:ascii="Arial Narrow" w:hAnsi="Arial Narrow" w:cs="Arial"/>
          <w:b/>
          <w:bCs/>
          <w:sz w:val="24"/>
          <w:szCs w:val="24"/>
        </w:rPr>
        <w:t>J. 119/2011 Y AISLADAS 2a. LXIX/2011, 2a. LXX/2011 Y 2a. XLVI/2013 (10a.) (*)].</w:t>
      </w:r>
    </w:p>
    <w:p w14:paraId="643AC690" w14:textId="77777777" w:rsidR="00475A75" w:rsidRPr="00475A75" w:rsidRDefault="00475A75" w:rsidP="00E25DC0">
      <w:pPr>
        <w:tabs>
          <w:tab w:val="left" w:pos="284"/>
          <w:tab w:val="left" w:pos="1134"/>
          <w:tab w:val="right" w:pos="7655"/>
        </w:tabs>
        <w:spacing w:after="0" w:line="360" w:lineRule="auto"/>
        <w:ind w:left="1134" w:right="616"/>
        <w:jc w:val="both"/>
        <w:rPr>
          <w:rFonts w:ascii="Arial Narrow" w:hAnsi="Arial Narrow" w:cs="Arial"/>
          <w:sz w:val="24"/>
          <w:szCs w:val="24"/>
        </w:rPr>
      </w:pPr>
    </w:p>
    <w:p w14:paraId="3395C0C4" w14:textId="31E87DED" w:rsidR="00475A75" w:rsidRPr="00475A75" w:rsidRDefault="00475A75" w:rsidP="00E25DC0">
      <w:pPr>
        <w:tabs>
          <w:tab w:val="left" w:pos="284"/>
          <w:tab w:val="left" w:pos="1134"/>
          <w:tab w:val="right" w:pos="7655"/>
        </w:tabs>
        <w:spacing w:after="0" w:line="360" w:lineRule="auto"/>
        <w:ind w:left="1134" w:right="616"/>
        <w:jc w:val="both"/>
        <w:rPr>
          <w:rFonts w:ascii="Arial Narrow" w:hAnsi="Arial Narrow" w:cs="Arial"/>
          <w:sz w:val="24"/>
          <w:szCs w:val="24"/>
        </w:rPr>
      </w:pPr>
      <w:r w:rsidRPr="00475A75">
        <w:rPr>
          <w:rFonts w:ascii="Arial Narrow" w:hAnsi="Arial Narrow" w:cs="Arial"/>
          <w:sz w:val="24"/>
          <w:szCs w:val="24"/>
        </w:rPr>
        <w:t xml:space="preserve">En una nueva reflexión, la Segunda Sala de la Suprema Corte de Justicia de la Nación abandona el criterio contenido en las tesis indicadas, al estimar que conforme al artículo 123, apartado B, fracción XIII, segundo párrafo, de la Constitución Política de los Estados Unidos Mexicanos, el Constituyente otorgó a favor de los agentes del Ministerio Público, los peritos y los miembros de las instituciones policiales de la Federación, el Distrito Federal, los Estados y los Municipios, el derecho al pago de una indemnización en el caso de que, a través de una resolución emitida por autoridad jurisdiccional competente, se resuelva que su separación o cualquier vía de terminación del servicio de la que fueron objeto resulta injustificada; ello, para no dejarlos en estado de indefensión al existir una prohibición absoluta de reincorporarlos en el servicio. Además, de la propia normativa constitucional se advierte la obligación del legislador secundario de fijar, dentro de las leyes especiales que se emitan a nivel federal, estatal, municipal o en el Distrito Federal, los montos o mecanismos de delimitación de aquellos que, por concepto de indemnización, corresponden a los servidores públicos ante una terminación injustificada del servicio. Ahora bien, el derecho indemnizatorio debe fijarse en términos íntegros de lo dispuesto por la Constitución Federal, pues el espíritu del Legislador Constituyente, al incluir el apartado B dentro del artículo 123 constitucional, fue reconocer a los servidores públicos garantías mínimas dentro del cargo o puesto que desempeñaban, sin importar, en su caso, la naturaleza jurídica de la relación que mediaba entre el Estado -en cualquiera de sus niveles- y el servidor; por tanto, si dentro de la aludida fracción XIII se establece el derecho de recibir una indemnización en caso de que la separación, remoción, baja, cese o cualquier otra forma de terminación del servicio fuere injustificada y, por su parte, en las leyes especiales no se prevén los mecanismos suficientes para fijar el monto de ese concepto, es inconcuso que deberá recurrirse a lo dispuesto, como sistema normativo integral, no sólo al apartado B, sino también al diverso apartado A, ambos del citado precepto constitucional; en esa tesitura, a fin de determinar el monto indemnizatorio a que tienen derecho los agentes del Ministerio Público, los peritos y los miembros de las instituciones policiales, debe recurrirse a la fracción XXII del apartado A, que consigna la misma razón jurídica que configura y da contenido a la diversa fracción XIII del apartado B, a saber, el resarcimiento de los daños y perjuicios ocasionados por el </w:t>
      </w:r>
      <w:r w:rsidRPr="00475A75">
        <w:rPr>
          <w:rFonts w:ascii="Arial Narrow" w:hAnsi="Arial Narrow" w:cs="Arial"/>
          <w:sz w:val="24"/>
          <w:szCs w:val="24"/>
        </w:rPr>
        <w:lastRenderedPageBreak/>
        <w:t>patrón particular o el Estado ante la separación injustificada y sea la ley o, en su caso, la propia Constitución, la que establezca la imposibilidad jurídica de reinstalación. Bajo esas consideraciones, es menester precisar que la hipótesis normativa del artículo 123, apartado A, fracción XXII, que señala que "la ley determinará los casos en que el patrono podrá ser eximido de la obligación de cumplir el contrato, mediante el pago de una indemnización", deja la delimitación del monto que por concepto de indemnización deberá cubrirse al trabajador a la ley reglamentaria, constituyéndose en el parámetro mínimo que el patrón pagará por el despido injustificado y, más aún, cuando se le libera de la obligación de reinstalar al trabajador al puesto que venía desempeñando; por tanto, si la ley reglamentaria del multicitado apartado A, esto es, la Ley Federal del Trabajo, respeta como mínimo constitucional garantizado para efectos de la indemnización, el contenido en la fracción XXII del apartado A en su generalidad, empero, prevé el pago adicional de ciertas prestaciones bajo las circunstancias especiales de que es la propia norma quien releva al patrón de la obligación de reinstalación -cumplimiento forzoso del contrato- aun cuando el despido sea injustificado, se concluye que,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los parámetros a los que el propio Constituyente refirió al permitir que fuese la normatividad secundaria la que los delimitara.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r w:rsidR="00E25DC0">
        <w:rPr>
          <w:rFonts w:ascii="Arial Narrow" w:hAnsi="Arial Narrow" w:cs="Arial"/>
          <w:sz w:val="24"/>
          <w:szCs w:val="24"/>
        </w:rPr>
        <w:t>”</w:t>
      </w:r>
    </w:p>
    <w:p w14:paraId="7ED17045" w14:textId="77777777" w:rsidR="006D210D" w:rsidRDefault="006D210D" w:rsidP="00CF04E4">
      <w:pPr>
        <w:tabs>
          <w:tab w:val="left" w:pos="284"/>
          <w:tab w:val="left" w:pos="426"/>
          <w:tab w:val="right" w:pos="9072"/>
        </w:tabs>
        <w:spacing w:after="0" w:line="360" w:lineRule="auto"/>
        <w:ind w:right="-234" w:firstLine="567"/>
        <w:jc w:val="both"/>
        <w:rPr>
          <w:rFonts w:ascii="Arial" w:hAnsi="Arial" w:cs="Arial"/>
          <w:sz w:val="24"/>
          <w:szCs w:val="24"/>
        </w:rPr>
      </w:pPr>
    </w:p>
    <w:p w14:paraId="154BFB5B" w14:textId="010A54B3" w:rsidR="00475A75" w:rsidRDefault="00475A75" w:rsidP="002B375F">
      <w:pPr>
        <w:spacing w:line="360" w:lineRule="auto"/>
        <w:ind w:firstLine="567"/>
        <w:jc w:val="both"/>
        <w:rPr>
          <w:rFonts w:ascii="Arial" w:hAnsi="Arial" w:cs="Arial"/>
          <w:sz w:val="24"/>
          <w:szCs w:val="24"/>
        </w:rPr>
      </w:pPr>
      <w:r>
        <w:rPr>
          <w:rFonts w:ascii="Arial" w:hAnsi="Arial" w:cs="Arial"/>
          <w:sz w:val="24"/>
          <w:szCs w:val="24"/>
        </w:rPr>
        <w:t>De igual manera</w:t>
      </w:r>
      <w:r w:rsidR="00E25DC0">
        <w:rPr>
          <w:rFonts w:ascii="Arial" w:hAnsi="Arial" w:cs="Arial"/>
          <w:sz w:val="24"/>
          <w:szCs w:val="24"/>
        </w:rPr>
        <w:t>,</w:t>
      </w:r>
      <w:r>
        <w:rPr>
          <w:rFonts w:ascii="Arial" w:hAnsi="Arial" w:cs="Arial"/>
          <w:sz w:val="24"/>
          <w:szCs w:val="24"/>
        </w:rPr>
        <w:t xml:space="preserve"> a fin de resarcir el daño ocasionado a los derechos humanos del actor por parte de la autoridad demandada, quien de manera dolosa omitió el pago de las prestaciones a que tiene derecho la parte actora, pese a existir declaración expresa de ilegalidad en contra de su determinación, </w:t>
      </w:r>
      <w:r w:rsidR="00C47FCE">
        <w:rPr>
          <w:rFonts w:ascii="Arial" w:hAnsi="Arial" w:cs="Arial"/>
          <w:sz w:val="24"/>
          <w:szCs w:val="24"/>
        </w:rPr>
        <w:t xml:space="preserve">es que esta sala calculará las prestaciones </w:t>
      </w:r>
      <w:r w:rsidR="007526AF">
        <w:rPr>
          <w:rFonts w:ascii="Arial" w:hAnsi="Arial" w:cs="Arial"/>
          <w:sz w:val="24"/>
          <w:szCs w:val="24"/>
        </w:rPr>
        <w:t xml:space="preserve">de conformidad con </w:t>
      </w:r>
      <w:r w:rsidR="007B3FF3">
        <w:rPr>
          <w:rFonts w:ascii="Arial" w:hAnsi="Arial" w:cs="Arial"/>
          <w:sz w:val="24"/>
          <w:szCs w:val="24"/>
        </w:rPr>
        <w:t xml:space="preserve">la </w:t>
      </w:r>
      <w:r w:rsidR="00C47FCE">
        <w:rPr>
          <w:rFonts w:ascii="Arial" w:hAnsi="Arial" w:cs="Arial"/>
          <w:sz w:val="24"/>
          <w:szCs w:val="24"/>
        </w:rPr>
        <w:t xml:space="preserve">siguiente </w:t>
      </w:r>
      <w:r w:rsidR="00C47FCE">
        <w:rPr>
          <w:rFonts w:ascii="Arial" w:hAnsi="Arial" w:cs="Arial"/>
          <w:sz w:val="24"/>
          <w:szCs w:val="24"/>
        </w:rPr>
        <w:lastRenderedPageBreak/>
        <w:t>Tesis que prevé el cálculo del finiquito a los miembros de la seguridad pública con los elementos mínimos que contempla la Ley Federal del Trabajo</w:t>
      </w:r>
      <w:r w:rsidR="00C47FCE">
        <w:rPr>
          <w:rStyle w:val="Refdenotaalpie"/>
          <w:rFonts w:ascii="Arial" w:hAnsi="Arial" w:cs="Arial"/>
          <w:sz w:val="24"/>
          <w:szCs w:val="24"/>
        </w:rPr>
        <w:footnoteReference w:id="11"/>
      </w:r>
      <w:r w:rsidR="00C47FCE">
        <w:rPr>
          <w:rFonts w:ascii="Arial" w:hAnsi="Arial" w:cs="Arial"/>
          <w:sz w:val="24"/>
          <w:szCs w:val="24"/>
        </w:rPr>
        <w:t>:</w:t>
      </w:r>
    </w:p>
    <w:p w14:paraId="71FAAF9D" w14:textId="4BFA8995" w:rsidR="00475A75" w:rsidRDefault="00475A75" w:rsidP="002B375F">
      <w:pPr>
        <w:spacing w:line="360" w:lineRule="auto"/>
        <w:ind w:firstLine="567"/>
        <w:jc w:val="both"/>
        <w:rPr>
          <w:rFonts w:ascii="Arial" w:hAnsi="Arial" w:cs="Arial"/>
          <w:sz w:val="24"/>
          <w:szCs w:val="24"/>
        </w:rPr>
      </w:pPr>
    </w:p>
    <w:p w14:paraId="5F826E71" w14:textId="2EC212F7" w:rsidR="00C47FCE" w:rsidRPr="00C47FCE" w:rsidRDefault="00E25DC0" w:rsidP="00E25DC0">
      <w:pPr>
        <w:spacing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C47FCE" w:rsidRPr="00C47FCE">
        <w:rPr>
          <w:rFonts w:ascii="Arial Narrow" w:hAnsi="Arial Narrow" w:cs="Arial"/>
          <w:b/>
          <w:bCs/>
          <w:sz w:val="24"/>
          <w:szCs w:val="24"/>
        </w:rPr>
        <w:t>POLICÍAS. LA NATURALEZA DE SUS FUNCIONES OBLIGA A QUE, ANTE LA SEPARACIÓN INJUSTIFICADA DE SU EMPLEO, SU INDEMNIZACIÓN SE CALCULE CON EL MÍNIMO DE PRESTACIONES ESTABLECIDAS PARA LOS TRABAJADORES EN GENERAL.</w:t>
      </w:r>
    </w:p>
    <w:p w14:paraId="657CF8E3" w14:textId="6CBF46C1" w:rsidR="00C47FCE" w:rsidRPr="00C47FCE" w:rsidRDefault="00C47FCE" w:rsidP="00E25DC0">
      <w:pPr>
        <w:spacing w:line="360" w:lineRule="auto"/>
        <w:ind w:left="1134" w:right="758"/>
        <w:jc w:val="both"/>
        <w:rPr>
          <w:rFonts w:ascii="Arial Narrow" w:hAnsi="Arial Narrow" w:cs="Arial"/>
          <w:sz w:val="24"/>
          <w:szCs w:val="24"/>
        </w:rPr>
      </w:pPr>
      <w:r w:rsidRPr="00C47FCE">
        <w:rPr>
          <w:rFonts w:ascii="Arial Narrow" w:hAnsi="Arial Narrow" w:cs="Arial"/>
          <w:sz w:val="24"/>
          <w:szCs w:val="24"/>
        </w:rPr>
        <w:t>Conforme al artículo 155 de la Ley de Seguridad Pública para el Estado de Nuevo León, los integrantes de las instituciones policiales tienen el deber de velar por la seguridad y protección de los ciudadanos y de la integridad de sus bienes; proteger a los menores, ancianos, enfermos, débiles o incapaces que se encuentran en situaciones de riesgo, amenaza o peligro en su integridad física y corporal; atender sin dilación ni objeción alguna las órdenes emitidas por sus superiores jerárquicos; investigar y perseguir a delincuentes, así como apoyar en situaciones de grave riesgo, catástrofes o desastres. Así, tales funciones son sustanciales para el orden, la estabilidad y la defensa de la sociedad a la que pertenecen, lo que constriñe a ésta a reconocerles el esfuerzo que desarrollan para mantener el orden social. En esos términos, los miembros pertenecientes a los cuerpos de seguridad que sufran la separación injustificada de su empleo deben ser 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r w:rsidR="00E25DC0">
        <w:rPr>
          <w:rFonts w:ascii="Arial Narrow" w:hAnsi="Arial Narrow" w:cs="Arial"/>
          <w:sz w:val="24"/>
          <w:szCs w:val="24"/>
        </w:rPr>
        <w:t>”</w:t>
      </w:r>
    </w:p>
    <w:p w14:paraId="014F573F" w14:textId="77777777" w:rsidR="00475A75" w:rsidRDefault="00475A75" w:rsidP="002B375F">
      <w:pPr>
        <w:spacing w:line="360" w:lineRule="auto"/>
        <w:ind w:firstLine="567"/>
        <w:jc w:val="both"/>
        <w:rPr>
          <w:rFonts w:ascii="Arial" w:hAnsi="Arial" w:cs="Arial"/>
          <w:sz w:val="24"/>
          <w:szCs w:val="24"/>
        </w:rPr>
      </w:pPr>
    </w:p>
    <w:p w14:paraId="3C21A511" w14:textId="1407E673" w:rsidR="007526AF" w:rsidRDefault="00C47FCE" w:rsidP="00E25DC0">
      <w:pPr>
        <w:spacing w:line="360" w:lineRule="auto"/>
        <w:ind w:firstLine="567"/>
        <w:jc w:val="both"/>
        <w:rPr>
          <w:rFonts w:ascii="Arial" w:hAnsi="Arial" w:cs="Arial"/>
          <w:sz w:val="24"/>
          <w:szCs w:val="24"/>
        </w:rPr>
      </w:pPr>
      <w:r w:rsidRPr="00C47FCE">
        <w:rPr>
          <w:rFonts w:ascii="Arial" w:hAnsi="Arial" w:cs="Arial"/>
          <w:sz w:val="24"/>
          <w:szCs w:val="24"/>
        </w:rPr>
        <w:t>De igual manera</w:t>
      </w:r>
      <w:r w:rsidR="00E25DC0">
        <w:rPr>
          <w:rFonts w:ascii="Arial" w:hAnsi="Arial" w:cs="Arial"/>
          <w:sz w:val="24"/>
          <w:szCs w:val="24"/>
        </w:rPr>
        <w:t>,</w:t>
      </w:r>
      <w:r w:rsidRPr="00C47FCE">
        <w:rPr>
          <w:rFonts w:ascii="Arial" w:hAnsi="Arial" w:cs="Arial"/>
          <w:sz w:val="24"/>
          <w:szCs w:val="24"/>
        </w:rPr>
        <w:t xml:space="preserve"> aun cuando de acuerdo al criterio de la Suprema Corte de Justicia de la Nación, se debe contemplar el pago de salarios vencidos cuando exista un despido injustificado para los miembros de la Seguridad Pública, de acuerdo a la jurisprudencia emitida por la Segunda Sala de la </w:t>
      </w:r>
      <w:r w:rsidRPr="00C47FCE">
        <w:rPr>
          <w:rFonts w:ascii="Arial" w:hAnsi="Arial" w:cs="Arial"/>
          <w:sz w:val="24"/>
          <w:szCs w:val="24"/>
        </w:rPr>
        <w:lastRenderedPageBreak/>
        <w:t>Suprema Corte de Justicia de la Nación</w:t>
      </w:r>
      <w:r>
        <w:rPr>
          <w:rStyle w:val="Refdenotaalpie"/>
          <w:rFonts w:ascii="Arial" w:hAnsi="Arial" w:cs="Arial"/>
          <w:sz w:val="24"/>
          <w:szCs w:val="24"/>
        </w:rPr>
        <w:footnoteReference w:id="12"/>
      </w:r>
      <w:r w:rsidRPr="00C47FCE">
        <w:t xml:space="preserve"> </w:t>
      </w:r>
      <w:r w:rsidRPr="00C47FCE">
        <w:rPr>
          <w:rFonts w:ascii="Arial" w:hAnsi="Arial" w:cs="Arial"/>
          <w:sz w:val="24"/>
          <w:szCs w:val="24"/>
        </w:rPr>
        <w:t>se debe contemplar el concepto de “remuneración diaria” de forma análoga; para mayor esclarecimiento de lo anterior se transcribe lo siguiente</w:t>
      </w:r>
      <w:r>
        <w:rPr>
          <w:rFonts w:ascii="Arial" w:hAnsi="Arial" w:cs="Arial"/>
          <w:sz w:val="24"/>
          <w:szCs w:val="24"/>
        </w:rPr>
        <w:t>:</w:t>
      </w:r>
    </w:p>
    <w:p w14:paraId="7A52B6FB" w14:textId="6C29A0BA" w:rsidR="00C47FCE" w:rsidRPr="00C47FCE" w:rsidRDefault="00E25DC0" w:rsidP="00E25DC0">
      <w:pPr>
        <w:spacing w:line="360" w:lineRule="auto"/>
        <w:ind w:left="1134" w:right="900"/>
        <w:jc w:val="both"/>
        <w:rPr>
          <w:rFonts w:ascii="Arial Narrow" w:hAnsi="Arial Narrow" w:cs="Arial"/>
          <w:b/>
          <w:bCs/>
          <w:sz w:val="24"/>
          <w:szCs w:val="24"/>
        </w:rPr>
      </w:pPr>
      <w:r>
        <w:rPr>
          <w:rFonts w:ascii="Arial Narrow" w:hAnsi="Arial Narrow" w:cs="Arial"/>
          <w:b/>
          <w:bCs/>
          <w:sz w:val="24"/>
          <w:szCs w:val="24"/>
        </w:rPr>
        <w:t>“</w:t>
      </w:r>
      <w:r w:rsidR="00C47FCE" w:rsidRPr="00C47FCE">
        <w:rPr>
          <w:rFonts w:ascii="Arial Narrow" w:hAnsi="Arial Narrow" w:cs="Arial"/>
          <w:b/>
          <w:bCs/>
          <w:sz w:val="24"/>
          <w:szCs w:val="24"/>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14:paraId="1A1EE4E8" w14:textId="25DE6FD3" w:rsidR="00C47FCE" w:rsidRPr="00C47FCE" w:rsidRDefault="00C47FCE" w:rsidP="00E25DC0">
      <w:pPr>
        <w:spacing w:line="360" w:lineRule="auto"/>
        <w:ind w:left="1134" w:right="900"/>
        <w:jc w:val="both"/>
        <w:rPr>
          <w:rFonts w:ascii="Arial Narrow" w:hAnsi="Arial Narrow" w:cs="Arial"/>
          <w:sz w:val="24"/>
          <w:szCs w:val="24"/>
        </w:rPr>
      </w:pPr>
      <w:r w:rsidRPr="00C47FCE">
        <w:rPr>
          <w:rFonts w:ascii="Arial Narrow" w:hAnsi="Arial Narrow" w:cs="Arial"/>
          <w:sz w:val="24"/>
          <w:szCs w:val="24"/>
        </w:rPr>
        <w:t>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r w:rsidR="00E25DC0">
        <w:rPr>
          <w:rFonts w:ascii="Arial Narrow" w:hAnsi="Arial Narrow" w:cs="Arial"/>
          <w:sz w:val="24"/>
          <w:szCs w:val="24"/>
        </w:rPr>
        <w:t>”</w:t>
      </w:r>
    </w:p>
    <w:p w14:paraId="3847D7E4" w14:textId="7F3E5C5D" w:rsidR="00C47FCE" w:rsidRDefault="00C47FCE" w:rsidP="002B375F">
      <w:pPr>
        <w:spacing w:line="360" w:lineRule="auto"/>
        <w:ind w:firstLine="567"/>
        <w:jc w:val="both"/>
        <w:rPr>
          <w:rFonts w:ascii="Arial" w:hAnsi="Arial" w:cs="Arial"/>
          <w:sz w:val="24"/>
          <w:szCs w:val="24"/>
        </w:rPr>
      </w:pPr>
    </w:p>
    <w:p w14:paraId="15B6FA2C" w14:textId="332FABF5" w:rsidR="00C47FCE" w:rsidRDefault="00DD7107" w:rsidP="002B375F">
      <w:pPr>
        <w:spacing w:line="360" w:lineRule="auto"/>
        <w:ind w:firstLine="567"/>
        <w:jc w:val="both"/>
        <w:rPr>
          <w:rFonts w:ascii="Arial" w:hAnsi="Arial" w:cs="Arial"/>
          <w:sz w:val="24"/>
          <w:szCs w:val="24"/>
        </w:rPr>
      </w:pPr>
      <w:r w:rsidRPr="00DD7107">
        <w:rPr>
          <w:rFonts w:ascii="Arial" w:hAnsi="Arial" w:cs="Arial"/>
          <w:sz w:val="24"/>
          <w:szCs w:val="24"/>
        </w:rPr>
        <w:t>Así  como ya se indicó, la fracción XIII, apartado B, del artículo 123 de la Constitución Política de los Estados Unidos Mexicanos, se refiere al pago de la indemnización y demás prestaciones, que debe interpr</w:t>
      </w:r>
      <w:r w:rsidR="00E25DC0">
        <w:rPr>
          <w:rFonts w:ascii="Arial" w:hAnsi="Arial" w:cs="Arial"/>
          <w:sz w:val="24"/>
          <w:szCs w:val="24"/>
        </w:rPr>
        <w:t>etarse el ú</w:t>
      </w:r>
      <w:r w:rsidRPr="00DD7107">
        <w:rPr>
          <w:rFonts w:ascii="Arial" w:hAnsi="Arial" w:cs="Arial"/>
          <w:sz w:val="24"/>
          <w:szCs w:val="24"/>
        </w:rPr>
        <w:t xml:space="preserve">ltimo concepto como el deber de pagar en caso de despido injustificado, como lo es en este caso, el importe de tres meses de salario, veinte días de salario por año laborado, </w:t>
      </w:r>
      <w:r w:rsidR="00B96816">
        <w:rPr>
          <w:rFonts w:ascii="Arial" w:hAnsi="Arial" w:cs="Arial"/>
          <w:sz w:val="24"/>
          <w:szCs w:val="24"/>
        </w:rPr>
        <w:t xml:space="preserve">sin que sea procedente </w:t>
      </w:r>
      <w:r w:rsidRPr="00DD7107">
        <w:rPr>
          <w:rFonts w:ascii="Arial" w:hAnsi="Arial" w:cs="Arial"/>
          <w:sz w:val="24"/>
          <w:szCs w:val="24"/>
        </w:rPr>
        <w:t>pago proporcional de vacaciones y aguinaldo; por tal motivo debe tenerse en cuenta las constancias que obran en autos, que hacen prueba plena conforme a la fracción I</w:t>
      </w:r>
      <w:r w:rsidR="001B55D7">
        <w:rPr>
          <w:rFonts w:ascii="Arial" w:hAnsi="Arial" w:cs="Arial"/>
          <w:sz w:val="24"/>
          <w:szCs w:val="24"/>
        </w:rPr>
        <w:t>,</w:t>
      </w:r>
      <w:r w:rsidRPr="00DD7107">
        <w:rPr>
          <w:rFonts w:ascii="Arial" w:hAnsi="Arial" w:cs="Arial"/>
          <w:sz w:val="24"/>
          <w:szCs w:val="24"/>
        </w:rPr>
        <w:t xml:space="preserve"> del artículo </w:t>
      </w:r>
      <w:r>
        <w:rPr>
          <w:rFonts w:ascii="Arial" w:hAnsi="Arial" w:cs="Arial"/>
          <w:sz w:val="24"/>
          <w:szCs w:val="24"/>
        </w:rPr>
        <w:t>20</w:t>
      </w:r>
      <w:r w:rsidRPr="00DD7107">
        <w:rPr>
          <w:rFonts w:ascii="Arial" w:hAnsi="Arial" w:cs="Arial"/>
          <w:sz w:val="24"/>
          <w:szCs w:val="24"/>
        </w:rPr>
        <w:t xml:space="preserve">3 de la Ley de </w:t>
      </w:r>
      <w:r>
        <w:rPr>
          <w:rFonts w:ascii="Arial" w:hAnsi="Arial" w:cs="Arial"/>
          <w:sz w:val="24"/>
          <w:szCs w:val="24"/>
        </w:rPr>
        <w:t xml:space="preserve">Procedimiento y </w:t>
      </w:r>
      <w:r w:rsidRPr="00DD7107">
        <w:rPr>
          <w:rFonts w:ascii="Arial" w:hAnsi="Arial" w:cs="Arial"/>
          <w:sz w:val="24"/>
          <w:szCs w:val="24"/>
        </w:rPr>
        <w:t xml:space="preserve">Justicia Administrativa para el Estado, consistentes </w:t>
      </w:r>
      <w:r w:rsidRPr="00DD7107">
        <w:rPr>
          <w:rFonts w:ascii="Arial" w:hAnsi="Arial" w:cs="Arial"/>
          <w:sz w:val="24"/>
          <w:szCs w:val="24"/>
        </w:rPr>
        <w:lastRenderedPageBreak/>
        <w:t xml:space="preserve">en el </w:t>
      </w:r>
      <w:r w:rsidR="007B3FF3">
        <w:rPr>
          <w:rFonts w:ascii="Arial" w:hAnsi="Arial" w:cs="Arial"/>
          <w:sz w:val="24"/>
          <w:szCs w:val="24"/>
        </w:rPr>
        <w:t xml:space="preserve">estado de cuenta integral de la cuenta de nómina </w:t>
      </w:r>
      <w:r w:rsidR="008052B2">
        <w:rPr>
          <w:rFonts w:ascii="Arial" w:hAnsi="Arial" w:cs="Arial"/>
          <w:sz w:val="24"/>
          <w:szCs w:val="24"/>
        </w:rPr>
        <w:t>**********</w:t>
      </w:r>
      <w:r w:rsidR="007B3FF3">
        <w:rPr>
          <w:rFonts w:ascii="Arial" w:hAnsi="Arial" w:cs="Arial"/>
          <w:sz w:val="24"/>
          <w:szCs w:val="24"/>
        </w:rPr>
        <w:t xml:space="preserve"> donde se advierte que la parte actora </w:t>
      </w:r>
      <w:r w:rsidR="008052B2">
        <w:rPr>
          <w:rFonts w:ascii="Arial" w:hAnsi="Arial" w:cs="Arial"/>
          <w:b/>
          <w:bCs/>
          <w:sz w:val="24"/>
          <w:szCs w:val="24"/>
        </w:rPr>
        <w:t>**********</w:t>
      </w:r>
      <w:r w:rsidR="00B96816">
        <w:rPr>
          <w:rFonts w:ascii="Arial" w:hAnsi="Arial" w:cs="Arial"/>
          <w:b/>
          <w:bCs/>
          <w:sz w:val="24"/>
          <w:szCs w:val="24"/>
        </w:rPr>
        <w:t xml:space="preserve"> </w:t>
      </w:r>
      <w:r w:rsidRPr="00DD7107">
        <w:rPr>
          <w:rFonts w:ascii="Arial" w:hAnsi="Arial" w:cs="Arial"/>
          <w:sz w:val="24"/>
          <w:szCs w:val="24"/>
        </w:rPr>
        <w:t xml:space="preserve">percibía la cantidad de </w:t>
      </w:r>
      <w:r w:rsidR="00B96816">
        <w:rPr>
          <w:rFonts w:ascii="Arial" w:hAnsi="Arial" w:cs="Arial"/>
          <w:sz w:val="24"/>
          <w:szCs w:val="24"/>
        </w:rPr>
        <w:t>$3,704.40 (Tres mil setecientos cuatro pesos 40/100 m.n.)</w:t>
      </w:r>
      <w:r w:rsidRPr="00DD7107">
        <w:rPr>
          <w:rFonts w:ascii="Arial" w:hAnsi="Arial" w:cs="Arial"/>
          <w:sz w:val="24"/>
          <w:szCs w:val="24"/>
        </w:rPr>
        <w:t xml:space="preserve"> en forma quincenal, que dividida en quince días que conforma una quincena de trabajo resulta la cantidad de $</w:t>
      </w:r>
      <w:r w:rsidR="00B96816">
        <w:rPr>
          <w:rFonts w:ascii="Arial" w:hAnsi="Arial" w:cs="Arial"/>
          <w:sz w:val="24"/>
          <w:szCs w:val="24"/>
        </w:rPr>
        <w:t>246.96</w:t>
      </w:r>
      <w:r w:rsidRPr="00DD7107">
        <w:rPr>
          <w:rFonts w:ascii="Arial" w:hAnsi="Arial" w:cs="Arial"/>
          <w:sz w:val="24"/>
          <w:szCs w:val="24"/>
        </w:rPr>
        <w:t xml:space="preserve"> (</w:t>
      </w:r>
      <w:r>
        <w:rPr>
          <w:rFonts w:ascii="Arial" w:hAnsi="Arial" w:cs="Arial"/>
          <w:sz w:val="24"/>
          <w:szCs w:val="24"/>
        </w:rPr>
        <w:t xml:space="preserve">Doscientos </w:t>
      </w:r>
      <w:r w:rsidR="00B96816">
        <w:rPr>
          <w:rFonts w:ascii="Arial" w:hAnsi="Arial" w:cs="Arial"/>
          <w:sz w:val="24"/>
          <w:szCs w:val="24"/>
        </w:rPr>
        <w:t>cuarenta y seis pesos</w:t>
      </w:r>
      <w:r>
        <w:rPr>
          <w:rFonts w:ascii="Arial" w:hAnsi="Arial" w:cs="Arial"/>
          <w:sz w:val="24"/>
          <w:szCs w:val="24"/>
        </w:rPr>
        <w:t xml:space="preserve"> </w:t>
      </w:r>
      <w:r w:rsidR="00B96816">
        <w:rPr>
          <w:rFonts w:ascii="Arial" w:hAnsi="Arial" w:cs="Arial"/>
          <w:sz w:val="24"/>
          <w:szCs w:val="24"/>
        </w:rPr>
        <w:t>96</w:t>
      </w:r>
      <w:r w:rsidRPr="00DD7107">
        <w:rPr>
          <w:rFonts w:ascii="Arial" w:hAnsi="Arial" w:cs="Arial"/>
          <w:sz w:val="24"/>
          <w:szCs w:val="24"/>
        </w:rPr>
        <w:t>/100 M.N.) por percepción diaria.</w:t>
      </w:r>
    </w:p>
    <w:p w14:paraId="21A34FE1" w14:textId="7E99659E" w:rsidR="00DD7107" w:rsidRDefault="00DD7107" w:rsidP="00DD7107">
      <w:pPr>
        <w:spacing w:line="360" w:lineRule="auto"/>
        <w:ind w:firstLine="567"/>
        <w:jc w:val="center"/>
        <w:rPr>
          <w:rFonts w:ascii="Arial" w:hAnsi="Arial" w:cs="Arial"/>
          <w:sz w:val="24"/>
          <w:szCs w:val="24"/>
        </w:rPr>
      </w:pPr>
      <w:r>
        <w:rPr>
          <w:rFonts w:ascii="Arial" w:hAnsi="Arial" w:cs="Arial"/>
          <w:sz w:val="24"/>
          <w:szCs w:val="24"/>
        </w:rPr>
        <w:t>$</w:t>
      </w:r>
      <w:r w:rsidR="00B96816">
        <w:rPr>
          <w:rFonts w:ascii="Arial" w:hAnsi="Arial" w:cs="Arial"/>
          <w:sz w:val="24"/>
          <w:szCs w:val="24"/>
        </w:rPr>
        <w:t>3,704.40</w:t>
      </w:r>
      <w:r>
        <w:rPr>
          <w:rFonts w:ascii="Arial" w:hAnsi="Arial" w:cs="Arial"/>
          <w:sz w:val="24"/>
          <w:szCs w:val="24"/>
        </w:rPr>
        <w:t>/15 (días) = $</w:t>
      </w:r>
      <w:r w:rsidR="00B96816">
        <w:rPr>
          <w:rFonts w:ascii="Arial" w:hAnsi="Arial" w:cs="Arial"/>
          <w:sz w:val="24"/>
          <w:szCs w:val="24"/>
        </w:rPr>
        <w:t>246.96</w:t>
      </w:r>
    </w:p>
    <w:p w14:paraId="660B8789" w14:textId="0A6289BC" w:rsidR="00DD7107" w:rsidRPr="00DD7107" w:rsidRDefault="00DD7107" w:rsidP="00DD7107">
      <w:pPr>
        <w:spacing w:line="360" w:lineRule="auto"/>
        <w:ind w:firstLine="567"/>
        <w:jc w:val="both"/>
        <w:rPr>
          <w:rFonts w:ascii="Arial" w:hAnsi="Arial" w:cs="Arial"/>
          <w:sz w:val="24"/>
          <w:szCs w:val="24"/>
        </w:rPr>
      </w:pPr>
      <w:r w:rsidRPr="00DD7107">
        <w:rPr>
          <w:rFonts w:ascii="Arial" w:hAnsi="Arial" w:cs="Arial"/>
          <w:sz w:val="24"/>
          <w:szCs w:val="24"/>
        </w:rPr>
        <w:t xml:space="preserve">a)  </w:t>
      </w:r>
      <w:r w:rsidRPr="00DD7107">
        <w:rPr>
          <w:rFonts w:ascii="Arial" w:hAnsi="Arial" w:cs="Arial"/>
          <w:b/>
          <w:bCs/>
          <w:sz w:val="24"/>
          <w:szCs w:val="24"/>
        </w:rPr>
        <w:t>INDEMINIZACIÓN CONSTITUCIONAL</w:t>
      </w:r>
      <w:r w:rsidRPr="00DD7107">
        <w:rPr>
          <w:rFonts w:ascii="Arial" w:hAnsi="Arial" w:cs="Arial"/>
          <w:sz w:val="24"/>
          <w:szCs w:val="24"/>
        </w:rPr>
        <w:t xml:space="preserve">, conforme al párrafo primero del artículo 48 de la Ley Federal del Trabajo, resulta de multiplicar 3 tres meses que equivalen a 90 noventa días, por su percepción diaria </w:t>
      </w:r>
      <w:r w:rsidR="00B96816">
        <w:rPr>
          <w:rFonts w:ascii="Arial" w:hAnsi="Arial" w:cs="Arial"/>
          <w:sz w:val="24"/>
          <w:szCs w:val="24"/>
        </w:rPr>
        <w:t>$246.96</w:t>
      </w:r>
      <w:r w:rsidRPr="00DD7107">
        <w:rPr>
          <w:rFonts w:ascii="Arial" w:hAnsi="Arial" w:cs="Arial"/>
          <w:sz w:val="24"/>
          <w:szCs w:val="24"/>
        </w:rPr>
        <w:t>, da como resultado la cantidad de $</w:t>
      </w:r>
      <w:r w:rsidR="00B96816">
        <w:rPr>
          <w:rFonts w:ascii="Arial" w:hAnsi="Arial" w:cs="Arial"/>
          <w:sz w:val="24"/>
          <w:szCs w:val="24"/>
        </w:rPr>
        <w:t>22,226.40</w:t>
      </w:r>
      <w:r w:rsidRPr="00DD7107">
        <w:rPr>
          <w:rFonts w:ascii="Arial" w:hAnsi="Arial" w:cs="Arial"/>
          <w:sz w:val="24"/>
          <w:szCs w:val="24"/>
        </w:rPr>
        <w:t xml:space="preserve"> (</w:t>
      </w:r>
      <w:r w:rsidR="00B96816">
        <w:rPr>
          <w:rFonts w:ascii="Arial" w:hAnsi="Arial" w:cs="Arial"/>
          <w:sz w:val="24"/>
          <w:szCs w:val="24"/>
        </w:rPr>
        <w:t>veintidós mil doscientos veintiséis pesos 40</w:t>
      </w:r>
      <w:r w:rsidRPr="00DD7107">
        <w:rPr>
          <w:rFonts w:ascii="Arial" w:hAnsi="Arial" w:cs="Arial"/>
          <w:sz w:val="24"/>
          <w:szCs w:val="24"/>
        </w:rPr>
        <w:t>/100 M.N.).</w:t>
      </w:r>
    </w:p>
    <w:p w14:paraId="77AFE756" w14:textId="09EFC3BC" w:rsidR="00C47FCE" w:rsidRDefault="00DD7107" w:rsidP="00DD7107">
      <w:pPr>
        <w:spacing w:line="360" w:lineRule="auto"/>
        <w:ind w:firstLine="567"/>
        <w:jc w:val="center"/>
        <w:rPr>
          <w:rFonts w:ascii="Arial" w:hAnsi="Arial" w:cs="Arial"/>
          <w:sz w:val="24"/>
          <w:szCs w:val="24"/>
        </w:rPr>
      </w:pPr>
      <w:r w:rsidRPr="00DD7107">
        <w:rPr>
          <w:rFonts w:ascii="Arial" w:hAnsi="Arial" w:cs="Arial"/>
          <w:sz w:val="24"/>
          <w:szCs w:val="24"/>
        </w:rPr>
        <w:t xml:space="preserve">90 días x </w:t>
      </w:r>
      <w:r w:rsidR="00B96816">
        <w:rPr>
          <w:rFonts w:ascii="Arial" w:hAnsi="Arial" w:cs="Arial"/>
          <w:sz w:val="24"/>
          <w:szCs w:val="24"/>
        </w:rPr>
        <w:t>$246.96</w:t>
      </w:r>
      <w:r w:rsidR="00B96816" w:rsidRPr="00DD7107">
        <w:rPr>
          <w:rFonts w:ascii="Arial" w:hAnsi="Arial" w:cs="Arial"/>
          <w:sz w:val="24"/>
          <w:szCs w:val="24"/>
        </w:rPr>
        <w:t xml:space="preserve">, </w:t>
      </w:r>
      <w:r w:rsidRPr="00DD7107">
        <w:rPr>
          <w:rFonts w:ascii="Arial" w:hAnsi="Arial" w:cs="Arial"/>
          <w:sz w:val="24"/>
          <w:szCs w:val="24"/>
        </w:rPr>
        <w:t xml:space="preserve">= </w:t>
      </w:r>
      <w:r w:rsidR="00B96816" w:rsidRPr="00DD7107">
        <w:rPr>
          <w:rFonts w:ascii="Arial" w:hAnsi="Arial" w:cs="Arial"/>
          <w:sz w:val="24"/>
          <w:szCs w:val="24"/>
        </w:rPr>
        <w:t>$</w:t>
      </w:r>
      <w:r w:rsidR="00B96816">
        <w:rPr>
          <w:rFonts w:ascii="Arial" w:hAnsi="Arial" w:cs="Arial"/>
          <w:sz w:val="24"/>
          <w:szCs w:val="24"/>
        </w:rPr>
        <w:t>22,226.40</w:t>
      </w:r>
    </w:p>
    <w:p w14:paraId="3C6A4BCA" w14:textId="4CAE14FD" w:rsidR="00DD7107" w:rsidRPr="00383D23" w:rsidRDefault="00DD7107" w:rsidP="00DD7107">
      <w:pPr>
        <w:spacing w:line="360" w:lineRule="auto"/>
        <w:ind w:firstLine="567"/>
        <w:jc w:val="both"/>
        <w:rPr>
          <w:rFonts w:ascii="Arial" w:hAnsi="Arial" w:cs="Arial"/>
          <w:sz w:val="24"/>
          <w:szCs w:val="24"/>
        </w:rPr>
      </w:pPr>
      <w:r w:rsidRPr="00DD7107">
        <w:rPr>
          <w:rFonts w:ascii="Arial" w:hAnsi="Arial" w:cs="Arial"/>
          <w:sz w:val="24"/>
          <w:szCs w:val="24"/>
        </w:rPr>
        <w:t xml:space="preserve">b)  </w:t>
      </w:r>
      <w:r w:rsidRPr="00DD7107">
        <w:rPr>
          <w:rFonts w:ascii="Arial" w:hAnsi="Arial" w:cs="Arial"/>
          <w:b/>
          <w:bCs/>
          <w:sz w:val="24"/>
          <w:szCs w:val="24"/>
        </w:rPr>
        <w:t>VEINTE DÍAS POR AÑO</w:t>
      </w:r>
      <w:r w:rsidRPr="00DD7107">
        <w:rPr>
          <w:rFonts w:ascii="Arial" w:hAnsi="Arial" w:cs="Arial"/>
          <w:sz w:val="24"/>
          <w:szCs w:val="24"/>
        </w:rPr>
        <w:t xml:space="preserve">, se toma como base para su cuantificación el periodo comprendido del </w:t>
      </w:r>
      <w:r w:rsidR="00B96816">
        <w:rPr>
          <w:rFonts w:ascii="Arial" w:hAnsi="Arial" w:cs="Arial"/>
          <w:sz w:val="24"/>
          <w:szCs w:val="24"/>
        </w:rPr>
        <w:t>primero de junio de dos mil diecisiete</w:t>
      </w:r>
      <w:r w:rsidRPr="00DD7107">
        <w:rPr>
          <w:rFonts w:ascii="Arial" w:hAnsi="Arial" w:cs="Arial"/>
          <w:sz w:val="24"/>
          <w:szCs w:val="24"/>
        </w:rPr>
        <w:t xml:space="preserve">, fecha en que se incorporó a laborar </w:t>
      </w:r>
      <w:r w:rsidR="00B96816">
        <w:rPr>
          <w:rFonts w:ascii="Arial" w:hAnsi="Arial" w:cs="Arial"/>
          <w:sz w:val="24"/>
          <w:szCs w:val="24"/>
        </w:rPr>
        <w:t xml:space="preserve">tal y como consta del formato de baja personal en </w:t>
      </w:r>
      <w:r w:rsidR="008052B2">
        <w:rPr>
          <w:rFonts w:ascii="Arial" w:hAnsi="Arial" w:cs="Arial"/>
          <w:sz w:val="24"/>
          <w:szCs w:val="24"/>
        </w:rPr>
        <w:t>**********</w:t>
      </w:r>
      <w:r w:rsidR="00B96816">
        <w:rPr>
          <w:rFonts w:ascii="Arial" w:hAnsi="Arial" w:cs="Arial"/>
          <w:sz w:val="24"/>
          <w:szCs w:val="24"/>
        </w:rPr>
        <w:t xml:space="preserve"> que obra a foja treinta y siete del expediente y al que se le confiere pleno valor probatorio por </w:t>
      </w:r>
      <w:r w:rsidR="00B96816" w:rsidRPr="00383D23">
        <w:rPr>
          <w:rFonts w:ascii="Arial" w:hAnsi="Arial" w:cs="Arial"/>
          <w:sz w:val="24"/>
          <w:szCs w:val="24"/>
        </w:rPr>
        <w:t>ser una copia certificada</w:t>
      </w:r>
      <w:r w:rsidRPr="00383D23">
        <w:rPr>
          <w:rFonts w:ascii="Arial" w:hAnsi="Arial" w:cs="Arial"/>
          <w:sz w:val="24"/>
          <w:szCs w:val="24"/>
        </w:rPr>
        <w:t xml:space="preserve">, hasta el </w:t>
      </w:r>
      <w:r w:rsidR="00CF7108" w:rsidRPr="00383D23">
        <w:rPr>
          <w:rFonts w:ascii="Arial" w:hAnsi="Arial" w:cs="Arial"/>
          <w:sz w:val="24"/>
          <w:szCs w:val="24"/>
        </w:rPr>
        <w:t>veintitrés</w:t>
      </w:r>
      <w:r w:rsidR="00B96816" w:rsidRPr="00383D23">
        <w:rPr>
          <w:rFonts w:ascii="Arial" w:hAnsi="Arial" w:cs="Arial"/>
          <w:sz w:val="24"/>
          <w:szCs w:val="24"/>
        </w:rPr>
        <w:t xml:space="preserve"> de junio de dos mil veintiuno</w:t>
      </w:r>
      <w:r w:rsidRPr="00383D23">
        <w:rPr>
          <w:rFonts w:ascii="Arial" w:hAnsi="Arial" w:cs="Arial"/>
          <w:sz w:val="24"/>
          <w:szCs w:val="24"/>
        </w:rPr>
        <w:t>, fecha que se tiene registrada</w:t>
      </w:r>
      <w:r w:rsidRPr="00DD7107">
        <w:rPr>
          <w:rFonts w:ascii="Arial" w:hAnsi="Arial" w:cs="Arial"/>
          <w:sz w:val="24"/>
          <w:szCs w:val="24"/>
        </w:rPr>
        <w:t xml:space="preserve"> como su baja </w:t>
      </w:r>
      <w:r w:rsidR="00B96816">
        <w:rPr>
          <w:rFonts w:ascii="Arial" w:hAnsi="Arial" w:cs="Arial"/>
          <w:sz w:val="24"/>
          <w:szCs w:val="24"/>
        </w:rPr>
        <w:t>en el mismo documento</w:t>
      </w:r>
      <w:r w:rsidRPr="00DD7107">
        <w:rPr>
          <w:rFonts w:ascii="Arial" w:hAnsi="Arial" w:cs="Arial"/>
          <w:sz w:val="24"/>
          <w:szCs w:val="24"/>
        </w:rPr>
        <w:t>; es así que de multiplicar 20 veinte días por tres años de servici</w:t>
      </w:r>
      <w:r w:rsidR="00B96816">
        <w:rPr>
          <w:rFonts w:ascii="Arial" w:hAnsi="Arial" w:cs="Arial"/>
          <w:sz w:val="24"/>
          <w:szCs w:val="24"/>
        </w:rPr>
        <w:t>o</w:t>
      </w:r>
      <w:r w:rsidRPr="00DD7107">
        <w:rPr>
          <w:rFonts w:ascii="Arial" w:hAnsi="Arial" w:cs="Arial"/>
          <w:sz w:val="24"/>
          <w:szCs w:val="24"/>
        </w:rPr>
        <w:t xml:space="preserve"> resulta un total de sesenta días los cuales a su vez multiplicados por $</w:t>
      </w:r>
      <w:r w:rsidR="00B96816">
        <w:rPr>
          <w:rFonts w:ascii="Arial" w:hAnsi="Arial" w:cs="Arial"/>
          <w:sz w:val="24"/>
          <w:szCs w:val="24"/>
        </w:rPr>
        <w:t>246.96</w:t>
      </w:r>
      <w:r w:rsidR="00B96816" w:rsidRPr="00DD7107">
        <w:rPr>
          <w:rFonts w:ascii="Arial" w:hAnsi="Arial" w:cs="Arial"/>
          <w:sz w:val="24"/>
          <w:szCs w:val="24"/>
        </w:rPr>
        <w:t xml:space="preserve">, </w:t>
      </w:r>
      <w:r w:rsidRPr="00DD7107">
        <w:rPr>
          <w:rFonts w:ascii="Arial" w:hAnsi="Arial" w:cs="Arial"/>
          <w:sz w:val="24"/>
          <w:szCs w:val="24"/>
        </w:rPr>
        <w:t>da como resultado la cantidad de $</w:t>
      </w:r>
      <w:r w:rsidR="00B96816">
        <w:rPr>
          <w:rFonts w:ascii="Arial" w:hAnsi="Arial" w:cs="Arial"/>
          <w:sz w:val="24"/>
          <w:szCs w:val="24"/>
        </w:rPr>
        <w:t>14,817.60</w:t>
      </w:r>
      <w:r w:rsidRPr="00DD7107">
        <w:rPr>
          <w:rFonts w:ascii="Arial" w:hAnsi="Arial" w:cs="Arial"/>
          <w:sz w:val="24"/>
          <w:szCs w:val="24"/>
        </w:rPr>
        <w:t xml:space="preserve"> (</w:t>
      </w:r>
      <w:r w:rsidR="00B96816">
        <w:rPr>
          <w:rFonts w:ascii="Arial" w:hAnsi="Arial" w:cs="Arial"/>
          <w:sz w:val="24"/>
          <w:szCs w:val="24"/>
        </w:rPr>
        <w:t>Catorce mil ochocientos diecisiete pesos 60</w:t>
      </w:r>
      <w:r w:rsidRPr="00383D23">
        <w:rPr>
          <w:rFonts w:ascii="Arial" w:hAnsi="Arial" w:cs="Arial"/>
          <w:sz w:val="24"/>
          <w:szCs w:val="24"/>
        </w:rPr>
        <w:t xml:space="preserve">/100 M.N.). </w:t>
      </w:r>
    </w:p>
    <w:p w14:paraId="7BCD5280" w14:textId="0E2B9DEB" w:rsidR="00C47FCE" w:rsidRDefault="00DD7107" w:rsidP="00DD7107">
      <w:pPr>
        <w:spacing w:line="360" w:lineRule="auto"/>
        <w:ind w:firstLine="567"/>
        <w:jc w:val="center"/>
        <w:rPr>
          <w:rFonts w:ascii="Arial" w:hAnsi="Arial" w:cs="Arial"/>
          <w:sz w:val="24"/>
          <w:szCs w:val="24"/>
        </w:rPr>
      </w:pPr>
      <w:r w:rsidRPr="00383D23">
        <w:rPr>
          <w:rFonts w:ascii="Arial" w:hAnsi="Arial" w:cs="Arial"/>
          <w:sz w:val="24"/>
          <w:szCs w:val="24"/>
        </w:rPr>
        <w:t xml:space="preserve">20 días x </w:t>
      </w:r>
      <w:r w:rsidR="00CF7108" w:rsidRPr="00383D23">
        <w:rPr>
          <w:rFonts w:ascii="Arial" w:hAnsi="Arial" w:cs="Arial"/>
          <w:sz w:val="24"/>
          <w:szCs w:val="24"/>
        </w:rPr>
        <w:t>3</w:t>
      </w:r>
      <w:r w:rsidRPr="00383D23">
        <w:rPr>
          <w:rFonts w:ascii="Arial" w:hAnsi="Arial" w:cs="Arial"/>
          <w:sz w:val="24"/>
          <w:szCs w:val="24"/>
        </w:rPr>
        <w:t xml:space="preserve"> años x </w:t>
      </w:r>
      <w:r w:rsidR="00B96816" w:rsidRPr="00383D23">
        <w:rPr>
          <w:rFonts w:ascii="Arial" w:hAnsi="Arial" w:cs="Arial"/>
          <w:sz w:val="24"/>
          <w:szCs w:val="24"/>
        </w:rPr>
        <w:t xml:space="preserve">$246.96 </w:t>
      </w:r>
      <w:r w:rsidRPr="00383D23">
        <w:rPr>
          <w:rFonts w:ascii="Arial" w:hAnsi="Arial" w:cs="Arial"/>
          <w:sz w:val="24"/>
          <w:szCs w:val="24"/>
        </w:rPr>
        <w:t xml:space="preserve">= </w:t>
      </w:r>
      <w:r w:rsidR="00B96816" w:rsidRPr="00383D23">
        <w:rPr>
          <w:rFonts w:ascii="Arial" w:hAnsi="Arial" w:cs="Arial"/>
          <w:sz w:val="24"/>
          <w:szCs w:val="24"/>
        </w:rPr>
        <w:t>$14,817</w:t>
      </w:r>
      <w:r w:rsidR="00B96816">
        <w:rPr>
          <w:rFonts w:ascii="Arial" w:hAnsi="Arial" w:cs="Arial"/>
          <w:sz w:val="24"/>
          <w:szCs w:val="24"/>
        </w:rPr>
        <w:t>.60</w:t>
      </w:r>
    </w:p>
    <w:p w14:paraId="230890F4" w14:textId="7E89149A" w:rsidR="007526AF" w:rsidRDefault="00B96816" w:rsidP="003B54C3">
      <w:pPr>
        <w:spacing w:line="360" w:lineRule="auto"/>
        <w:ind w:firstLine="567"/>
        <w:jc w:val="both"/>
        <w:rPr>
          <w:rFonts w:ascii="Arial" w:hAnsi="Arial" w:cs="Arial"/>
          <w:sz w:val="24"/>
          <w:szCs w:val="24"/>
        </w:rPr>
      </w:pPr>
      <w:r>
        <w:rPr>
          <w:rFonts w:ascii="Arial" w:hAnsi="Arial" w:cs="Arial"/>
          <w:sz w:val="24"/>
          <w:szCs w:val="24"/>
        </w:rPr>
        <w:t>c</w:t>
      </w:r>
      <w:r w:rsidR="003B54C3" w:rsidRPr="003B54C3">
        <w:rPr>
          <w:rFonts w:ascii="Arial" w:hAnsi="Arial" w:cs="Arial"/>
          <w:sz w:val="24"/>
          <w:szCs w:val="24"/>
        </w:rPr>
        <w:t xml:space="preserve">) </w:t>
      </w:r>
      <w:r w:rsidR="003B54C3" w:rsidRPr="003B54C3">
        <w:rPr>
          <w:rFonts w:ascii="Arial" w:hAnsi="Arial" w:cs="Arial"/>
          <w:b/>
          <w:bCs/>
          <w:sz w:val="24"/>
          <w:szCs w:val="24"/>
        </w:rPr>
        <w:t>REMUNERACIÓN DIARIA ORDINARIA</w:t>
      </w:r>
      <w:r w:rsidR="003B54C3" w:rsidRPr="003B54C3">
        <w:rPr>
          <w:rFonts w:ascii="Arial" w:hAnsi="Arial" w:cs="Arial"/>
          <w:sz w:val="24"/>
          <w:szCs w:val="24"/>
        </w:rPr>
        <w:t xml:space="preserve">, </w:t>
      </w:r>
      <w:r w:rsidR="007526AF">
        <w:rPr>
          <w:rFonts w:ascii="Arial" w:hAnsi="Arial" w:cs="Arial"/>
          <w:sz w:val="24"/>
          <w:szCs w:val="24"/>
        </w:rPr>
        <w:t>en aras de garantizar la máxima indemnización al actor es menester que se le otorgue por concepto de r</w:t>
      </w:r>
      <w:r w:rsidR="00C46570">
        <w:rPr>
          <w:rFonts w:ascii="Arial" w:hAnsi="Arial" w:cs="Arial"/>
          <w:sz w:val="24"/>
          <w:szCs w:val="24"/>
        </w:rPr>
        <w:t xml:space="preserve">emuneración ordinaria diaria las </w:t>
      </w:r>
      <w:r w:rsidR="007526AF">
        <w:rPr>
          <w:rFonts w:ascii="Arial" w:hAnsi="Arial" w:cs="Arial"/>
          <w:sz w:val="24"/>
          <w:szCs w:val="24"/>
        </w:rPr>
        <w:t>cantidades que dejó de percibir desde el ilegal despido hasta la presente resolución en los siguientes términos.</w:t>
      </w:r>
    </w:p>
    <w:p w14:paraId="426D9366" w14:textId="57CDE09B" w:rsidR="00C15D9F" w:rsidRDefault="00C15D9F" w:rsidP="00C15D9F">
      <w:pPr>
        <w:spacing w:line="360" w:lineRule="auto"/>
        <w:ind w:firstLine="567"/>
        <w:jc w:val="both"/>
        <w:rPr>
          <w:rFonts w:ascii="Arial" w:hAnsi="Arial" w:cs="Arial"/>
          <w:sz w:val="24"/>
          <w:szCs w:val="24"/>
        </w:rPr>
      </w:pPr>
      <w:r>
        <w:rPr>
          <w:rFonts w:ascii="Arial" w:hAnsi="Arial" w:cs="Arial"/>
          <w:sz w:val="24"/>
          <w:szCs w:val="24"/>
        </w:rPr>
        <w:t xml:space="preserve">Por lo que hace al ejercicio 2021 se tiene que se adeudan </w:t>
      </w:r>
      <w:r w:rsidR="00B96816">
        <w:rPr>
          <w:rFonts w:ascii="Arial" w:hAnsi="Arial" w:cs="Arial"/>
          <w:b/>
          <w:bCs/>
          <w:sz w:val="24"/>
          <w:szCs w:val="24"/>
        </w:rPr>
        <w:t>170</w:t>
      </w:r>
      <w:r>
        <w:rPr>
          <w:rFonts w:ascii="Arial" w:hAnsi="Arial" w:cs="Arial"/>
          <w:b/>
          <w:bCs/>
          <w:sz w:val="24"/>
          <w:szCs w:val="24"/>
        </w:rPr>
        <w:t xml:space="preserve"> días </w:t>
      </w:r>
      <w:r>
        <w:rPr>
          <w:rFonts w:ascii="Arial" w:hAnsi="Arial" w:cs="Arial"/>
          <w:sz w:val="24"/>
          <w:szCs w:val="24"/>
        </w:rPr>
        <w:t>que multiplicados por el salario diario da la cantidad de $</w:t>
      </w:r>
      <w:r w:rsidR="002846A7">
        <w:rPr>
          <w:rFonts w:ascii="Arial" w:hAnsi="Arial" w:cs="Arial"/>
          <w:sz w:val="24"/>
          <w:szCs w:val="24"/>
        </w:rPr>
        <w:t>41,983.20</w:t>
      </w:r>
      <w:r>
        <w:rPr>
          <w:rFonts w:ascii="Arial" w:hAnsi="Arial" w:cs="Arial"/>
          <w:sz w:val="24"/>
          <w:szCs w:val="24"/>
        </w:rPr>
        <w:t xml:space="preserve"> (</w:t>
      </w:r>
      <w:r w:rsidR="002846A7">
        <w:rPr>
          <w:rFonts w:ascii="Arial" w:hAnsi="Arial" w:cs="Arial"/>
          <w:sz w:val="24"/>
          <w:szCs w:val="24"/>
        </w:rPr>
        <w:t>Cuarenta y un mil novecientos ochenta y tres pesos 20</w:t>
      </w:r>
      <w:r>
        <w:rPr>
          <w:rFonts w:ascii="Arial" w:hAnsi="Arial" w:cs="Arial"/>
          <w:sz w:val="24"/>
          <w:szCs w:val="24"/>
        </w:rPr>
        <w:t xml:space="preserve">/100 m.n.) </w:t>
      </w:r>
    </w:p>
    <w:p w14:paraId="7615AC39" w14:textId="77777777" w:rsidR="002846A7" w:rsidRDefault="00C15D9F" w:rsidP="00C15D9F">
      <w:pPr>
        <w:spacing w:line="360" w:lineRule="auto"/>
        <w:ind w:firstLine="567"/>
        <w:jc w:val="both"/>
        <w:rPr>
          <w:rFonts w:ascii="Arial" w:hAnsi="Arial" w:cs="Arial"/>
          <w:sz w:val="24"/>
          <w:szCs w:val="24"/>
        </w:rPr>
      </w:pPr>
      <w:r>
        <w:rPr>
          <w:rFonts w:ascii="Arial" w:hAnsi="Arial" w:cs="Arial"/>
          <w:sz w:val="24"/>
          <w:szCs w:val="24"/>
        </w:rPr>
        <w:t xml:space="preserve">Por lo que hace al ejercicio 2022 se tiene que se adeudan </w:t>
      </w:r>
      <w:r w:rsidR="002846A7">
        <w:rPr>
          <w:rFonts w:ascii="Arial" w:hAnsi="Arial" w:cs="Arial"/>
          <w:b/>
          <w:bCs/>
          <w:sz w:val="24"/>
          <w:szCs w:val="24"/>
        </w:rPr>
        <w:t>365</w:t>
      </w:r>
      <w:r>
        <w:rPr>
          <w:rFonts w:ascii="Arial" w:hAnsi="Arial" w:cs="Arial"/>
          <w:b/>
          <w:bCs/>
          <w:sz w:val="24"/>
          <w:szCs w:val="24"/>
        </w:rPr>
        <w:t xml:space="preserve"> días </w:t>
      </w:r>
      <w:r>
        <w:rPr>
          <w:rFonts w:ascii="Arial" w:hAnsi="Arial" w:cs="Arial"/>
          <w:sz w:val="24"/>
          <w:szCs w:val="24"/>
        </w:rPr>
        <w:t>que multiplicados por el salario diario da la cantidad de $</w:t>
      </w:r>
      <w:r w:rsidR="002846A7">
        <w:rPr>
          <w:rFonts w:ascii="Arial" w:hAnsi="Arial" w:cs="Arial"/>
          <w:sz w:val="24"/>
          <w:szCs w:val="24"/>
        </w:rPr>
        <w:t>90,140.40</w:t>
      </w:r>
      <w:r>
        <w:rPr>
          <w:rFonts w:ascii="Arial" w:hAnsi="Arial" w:cs="Arial"/>
          <w:sz w:val="24"/>
          <w:szCs w:val="24"/>
        </w:rPr>
        <w:t xml:space="preserve"> (</w:t>
      </w:r>
      <w:r w:rsidR="002846A7">
        <w:rPr>
          <w:rFonts w:ascii="Arial" w:hAnsi="Arial" w:cs="Arial"/>
          <w:sz w:val="24"/>
          <w:szCs w:val="24"/>
        </w:rPr>
        <w:t>Noventa mil ciento cuarenta pesos 40/100 m.n.)</w:t>
      </w:r>
    </w:p>
    <w:p w14:paraId="503964A3" w14:textId="6AE9C3E7" w:rsidR="003B54C3" w:rsidRDefault="002846A7" w:rsidP="002846A7">
      <w:pPr>
        <w:spacing w:line="360" w:lineRule="auto"/>
        <w:ind w:firstLine="567"/>
        <w:jc w:val="both"/>
        <w:rPr>
          <w:rFonts w:ascii="Arial" w:hAnsi="Arial" w:cs="Arial"/>
          <w:sz w:val="24"/>
          <w:szCs w:val="24"/>
        </w:rPr>
      </w:pPr>
      <w:r>
        <w:rPr>
          <w:rFonts w:ascii="Arial" w:hAnsi="Arial" w:cs="Arial"/>
          <w:sz w:val="24"/>
          <w:szCs w:val="24"/>
        </w:rPr>
        <w:lastRenderedPageBreak/>
        <w:t xml:space="preserve">Por lo que hace al ejercicio 2023 se tiene que se adeudan </w:t>
      </w:r>
      <w:r>
        <w:rPr>
          <w:rFonts w:ascii="Arial" w:hAnsi="Arial" w:cs="Arial"/>
          <w:b/>
          <w:bCs/>
          <w:sz w:val="24"/>
          <w:szCs w:val="24"/>
        </w:rPr>
        <w:t xml:space="preserve">59 días </w:t>
      </w:r>
      <w:r w:rsidR="00C15D9F">
        <w:rPr>
          <w:rFonts w:ascii="Arial" w:hAnsi="Arial" w:cs="Arial"/>
          <w:sz w:val="24"/>
          <w:szCs w:val="24"/>
        </w:rPr>
        <w:t xml:space="preserve"> </w:t>
      </w:r>
      <w:r>
        <w:rPr>
          <w:rFonts w:ascii="Arial" w:hAnsi="Arial" w:cs="Arial"/>
          <w:sz w:val="24"/>
          <w:szCs w:val="24"/>
        </w:rPr>
        <w:t>que multiplicados por el salario diario da la cantidad de $14,570.64 (Catorce mil quinientos setenta pesos 64/100 m.n.)</w:t>
      </w:r>
    </w:p>
    <w:p w14:paraId="3F42C2F7" w14:textId="29EA2ED7" w:rsidR="00C47FCE" w:rsidRDefault="003B54C3" w:rsidP="002B375F">
      <w:pPr>
        <w:spacing w:line="360" w:lineRule="auto"/>
        <w:ind w:firstLine="567"/>
        <w:jc w:val="both"/>
        <w:rPr>
          <w:rFonts w:ascii="Arial" w:hAnsi="Arial" w:cs="Arial"/>
          <w:sz w:val="24"/>
          <w:szCs w:val="24"/>
        </w:rPr>
      </w:pPr>
      <w:r w:rsidRPr="003B54C3">
        <w:rPr>
          <w:rFonts w:ascii="Arial" w:hAnsi="Arial" w:cs="Arial"/>
          <w:sz w:val="24"/>
          <w:szCs w:val="24"/>
        </w:rPr>
        <w:t xml:space="preserve">Ante las consideraciones plasmadas en la presente resolución, </w:t>
      </w:r>
      <w:r w:rsidR="00321722">
        <w:rPr>
          <w:rFonts w:ascii="Arial" w:hAnsi="Arial" w:cs="Arial"/>
          <w:sz w:val="24"/>
          <w:szCs w:val="24"/>
        </w:rPr>
        <w:t>de</w:t>
      </w:r>
      <w:r w:rsidRPr="003B54C3">
        <w:rPr>
          <w:rFonts w:ascii="Arial" w:hAnsi="Arial" w:cs="Arial"/>
          <w:sz w:val="24"/>
          <w:szCs w:val="24"/>
        </w:rPr>
        <w:t xml:space="preserve"> la suma de las cantidades de las prestaciones a que tiene derecho el actor de nombre </w:t>
      </w:r>
      <w:r w:rsidR="008052B2">
        <w:rPr>
          <w:rFonts w:ascii="Arial" w:hAnsi="Arial" w:cs="Arial"/>
          <w:b/>
          <w:bCs/>
          <w:sz w:val="24"/>
          <w:szCs w:val="24"/>
        </w:rPr>
        <w:t>**********</w:t>
      </w:r>
      <w:r w:rsidRPr="003B54C3">
        <w:rPr>
          <w:rFonts w:ascii="Arial" w:hAnsi="Arial" w:cs="Arial"/>
          <w:sz w:val="24"/>
          <w:szCs w:val="24"/>
        </w:rPr>
        <w:t xml:space="preserve">, la autoridad demandada deberá pagarle de forma inmediata la cantidad </w:t>
      </w:r>
      <w:r w:rsidRPr="00E70031">
        <w:rPr>
          <w:rFonts w:ascii="Arial" w:hAnsi="Arial" w:cs="Arial"/>
          <w:b/>
          <w:sz w:val="24"/>
          <w:szCs w:val="24"/>
        </w:rPr>
        <w:t>de $</w:t>
      </w:r>
      <w:r w:rsidR="002846A7" w:rsidRPr="00E70031">
        <w:rPr>
          <w:rFonts w:ascii="Arial" w:hAnsi="Arial" w:cs="Arial"/>
          <w:b/>
          <w:sz w:val="24"/>
          <w:szCs w:val="24"/>
        </w:rPr>
        <w:t>183,738.24 (Ciento ochenta y tres mil setecientos treinta y ocho pesos 24</w:t>
      </w:r>
      <w:r w:rsidRPr="00E70031">
        <w:rPr>
          <w:rFonts w:ascii="Arial" w:hAnsi="Arial" w:cs="Arial"/>
          <w:b/>
          <w:sz w:val="24"/>
          <w:szCs w:val="24"/>
        </w:rPr>
        <w:t>/100 M.N.)</w:t>
      </w:r>
      <w:r w:rsidR="00C15D9F">
        <w:rPr>
          <w:rFonts w:ascii="Arial" w:hAnsi="Arial" w:cs="Arial"/>
          <w:sz w:val="24"/>
          <w:szCs w:val="24"/>
        </w:rPr>
        <w:t xml:space="preserve"> cantidad que la autoridad demandada deberá continuar calculando desde el día siguiente en que se dicte la presente sentencia hasta el momento en que dé cumplimiento a la resolución, quedando obligada además a</w:t>
      </w:r>
      <w:r>
        <w:rPr>
          <w:rFonts w:ascii="Arial" w:hAnsi="Arial" w:cs="Arial"/>
          <w:sz w:val="24"/>
          <w:szCs w:val="24"/>
        </w:rPr>
        <w:t xml:space="preserve"> pagar </w:t>
      </w:r>
      <w:r w:rsidR="00C46570">
        <w:rPr>
          <w:rFonts w:ascii="Arial" w:hAnsi="Arial" w:cs="Arial"/>
          <w:b/>
          <w:bCs/>
          <w:sz w:val="24"/>
          <w:szCs w:val="24"/>
        </w:rPr>
        <w:t>A MÁ</w:t>
      </w:r>
      <w:r>
        <w:rPr>
          <w:rFonts w:ascii="Arial" w:hAnsi="Arial" w:cs="Arial"/>
          <w:b/>
          <w:bCs/>
          <w:sz w:val="24"/>
          <w:szCs w:val="24"/>
        </w:rPr>
        <w:t xml:space="preserve">S TARDAR TREINTA DÍAS NATURALES </w:t>
      </w:r>
      <w:r>
        <w:rPr>
          <w:rFonts w:ascii="Arial" w:hAnsi="Arial" w:cs="Arial"/>
          <w:sz w:val="24"/>
          <w:szCs w:val="24"/>
        </w:rPr>
        <w:t>posteriores a que cause ejecutoria la presente sentencia, debiendo remitir constancia de su cumplimiento a esta instrucción.</w:t>
      </w:r>
    </w:p>
    <w:p w14:paraId="1830672D" w14:textId="3A508D1F"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0F164141" w14:textId="45E54EE2" w:rsidR="002846A7" w:rsidRPr="00E70031" w:rsidRDefault="002B375F" w:rsidP="002B375F">
      <w:pPr>
        <w:spacing w:after="0" w:line="360" w:lineRule="auto"/>
        <w:ind w:firstLine="567"/>
        <w:jc w:val="both"/>
        <w:rPr>
          <w:rFonts w:ascii="Arial" w:hAnsi="Arial" w:cs="Arial"/>
          <w:sz w:val="24"/>
          <w:szCs w:val="24"/>
        </w:rPr>
      </w:pPr>
      <w:r w:rsidRPr="00E70031">
        <w:rPr>
          <w:rFonts w:ascii="Arial" w:hAnsi="Arial" w:cs="Arial"/>
          <w:b/>
          <w:sz w:val="24"/>
          <w:szCs w:val="24"/>
        </w:rPr>
        <w:t xml:space="preserve">TERCERO. </w:t>
      </w:r>
      <w:r w:rsidRPr="00E70031">
        <w:rPr>
          <w:rFonts w:ascii="Arial" w:hAnsi="Arial" w:cs="Arial"/>
          <w:sz w:val="24"/>
          <w:szCs w:val="24"/>
        </w:rPr>
        <w:t xml:space="preserve">Se declara </w:t>
      </w:r>
      <w:r w:rsidR="002846A7" w:rsidRPr="00E70031">
        <w:rPr>
          <w:rFonts w:ascii="Arial" w:hAnsi="Arial" w:cs="Arial"/>
          <w:sz w:val="24"/>
          <w:szCs w:val="24"/>
        </w:rPr>
        <w:t xml:space="preserve">el </w:t>
      </w:r>
      <w:r w:rsidR="002846A7" w:rsidRPr="00E70031">
        <w:rPr>
          <w:rFonts w:ascii="Arial" w:hAnsi="Arial" w:cs="Arial"/>
          <w:b/>
          <w:bCs/>
          <w:sz w:val="24"/>
          <w:szCs w:val="24"/>
        </w:rPr>
        <w:t xml:space="preserve">SOBRESEIMIENTO DEL JUICIO </w:t>
      </w:r>
      <w:r w:rsidR="002846A7" w:rsidRPr="00E70031">
        <w:rPr>
          <w:rFonts w:ascii="Arial" w:eastAsia="Calibri" w:hAnsi="Arial" w:cs="Arial"/>
          <w:sz w:val="24"/>
          <w:szCs w:val="24"/>
          <w:lang w:eastAsia="en-US"/>
        </w:rPr>
        <w:t xml:space="preserve">respecto a la orden verbal y notificación de baja como elemento adscrito a la Secretaría de Seguridad Pública con nombramiento de Policía “A” con número de registro </w:t>
      </w:r>
      <w:r w:rsidR="008052B2">
        <w:rPr>
          <w:rFonts w:ascii="Arial" w:eastAsia="Calibri" w:hAnsi="Arial" w:cs="Arial"/>
          <w:sz w:val="24"/>
          <w:szCs w:val="24"/>
          <w:lang w:eastAsia="en-US"/>
        </w:rPr>
        <w:t>**********</w:t>
      </w:r>
      <w:r w:rsidR="00992B94" w:rsidRPr="00E70031">
        <w:rPr>
          <w:rFonts w:ascii="Arial" w:eastAsia="Calibri" w:hAnsi="Arial" w:cs="Arial"/>
          <w:sz w:val="24"/>
          <w:szCs w:val="24"/>
          <w:lang w:eastAsia="en-US"/>
        </w:rPr>
        <w:t xml:space="preserve"> del Muni</w:t>
      </w:r>
      <w:r w:rsidR="00E70031" w:rsidRPr="00E70031">
        <w:rPr>
          <w:rFonts w:ascii="Arial" w:eastAsia="Calibri" w:hAnsi="Arial" w:cs="Arial"/>
          <w:sz w:val="24"/>
          <w:szCs w:val="24"/>
          <w:lang w:eastAsia="en-US"/>
        </w:rPr>
        <w:t>cipio de Santa Lucia del Camino, Oaxaca</w:t>
      </w:r>
      <w:r w:rsidR="002846A7" w:rsidRPr="00E70031">
        <w:rPr>
          <w:rFonts w:ascii="Arial" w:eastAsia="Calibri" w:hAnsi="Arial" w:cs="Arial"/>
          <w:sz w:val="24"/>
          <w:szCs w:val="24"/>
          <w:lang w:eastAsia="en-US"/>
        </w:rPr>
        <w:t xml:space="preserve">. </w:t>
      </w:r>
    </w:p>
    <w:p w14:paraId="0AD28CC8" w14:textId="77777777" w:rsidR="002846A7" w:rsidRPr="00E70031" w:rsidRDefault="002846A7" w:rsidP="002B375F">
      <w:pPr>
        <w:spacing w:after="0" w:line="360" w:lineRule="auto"/>
        <w:ind w:firstLine="567"/>
        <w:jc w:val="both"/>
        <w:rPr>
          <w:rFonts w:ascii="Arial" w:hAnsi="Arial" w:cs="Arial"/>
          <w:sz w:val="24"/>
          <w:szCs w:val="24"/>
        </w:rPr>
      </w:pPr>
    </w:p>
    <w:p w14:paraId="5A6E4C73" w14:textId="4A830ABC" w:rsidR="002B375F" w:rsidRPr="00E70031" w:rsidRDefault="002846A7" w:rsidP="002B375F">
      <w:pPr>
        <w:spacing w:after="0" w:line="360" w:lineRule="auto"/>
        <w:ind w:firstLine="567"/>
        <w:jc w:val="both"/>
        <w:rPr>
          <w:rFonts w:ascii="Arial" w:hAnsi="Arial" w:cs="Arial"/>
          <w:bCs/>
          <w:sz w:val="24"/>
          <w:szCs w:val="24"/>
        </w:rPr>
      </w:pPr>
      <w:r w:rsidRPr="00E70031">
        <w:rPr>
          <w:rFonts w:ascii="Arial" w:hAnsi="Arial" w:cs="Arial"/>
          <w:b/>
          <w:bCs/>
          <w:sz w:val="24"/>
          <w:szCs w:val="24"/>
        </w:rPr>
        <w:t xml:space="preserve">CUARTO. </w:t>
      </w:r>
      <w:r w:rsidRPr="00E70031">
        <w:rPr>
          <w:rFonts w:ascii="Arial" w:hAnsi="Arial" w:cs="Arial"/>
          <w:sz w:val="24"/>
          <w:szCs w:val="24"/>
        </w:rPr>
        <w:t xml:space="preserve">Se declara </w:t>
      </w:r>
      <w:r w:rsidR="002B375F" w:rsidRPr="00E70031">
        <w:rPr>
          <w:rFonts w:ascii="Arial" w:hAnsi="Arial" w:cs="Arial"/>
          <w:sz w:val="24"/>
          <w:szCs w:val="24"/>
        </w:rPr>
        <w:t xml:space="preserve">la </w:t>
      </w:r>
      <w:r w:rsidR="002B375F" w:rsidRPr="00E70031">
        <w:rPr>
          <w:rFonts w:ascii="Arial" w:hAnsi="Arial" w:cs="Arial"/>
          <w:b/>
          <w:bCs/>
          <w:sz w:val="24"/>
          <w:szCs w:val="24"/>
        </w:rPr>
        <w:t>NULIDAD</w:t>
      </w:r>
      <w:r w:rsidR="00C46570" w:rsidRPr="00E70031">
        <w:rPr>
          <w:rFonts w:ascii="Arial" w:hAnsi="Arial" w:cs="Arial"/>
          <w:b/>
          <w:bCs/>
          <w:sz w:val="24"/>
          <w:szCs w:val="24"/>
        </w:rPr>
        <w:t xml:space="preserve"> LISA Y LLANA</w:t>
      </w:r>
      <w:r w:rsidR="002B375F" w:rsidRPr="00E70031">
        <w:rPr>
          <w:rFonts w:ascii="Arial" w:hAnsi="Arial" w:cs="Arial"/>
          <w:b/>
          <w:bCs/>
          <w:sz w:val="24"/>
          <w:szCs w:val="24"/>
        </w:rPr>
        <w:t xml:space="preserve"> </w:t>
      </w:r>
      <w:r w:rsidR="00EC3B62" w:rsidRPr="00E70031">
        <w:rPr>
          <w:rFonts w:ascii="Arial" w:eastAsia="Calibri" w:hAnsi="Arial" w:cs="Arial"/>
          <w:sz w:val="24"/>
          <w:szCs w:val="24"/>
          <w:lang w:eastAsia="en-US"/>
        </w:rPr>
        <w:t xml:space="preserve">del </w:t>
      </w:r>
      <w:r w:rsidRPr="00E70031">
        <w:rPr>
          <w:rFonts w:ascii="Arial" w:eastAsia="Calibri" w:hAnsi="Arial" w:cs="Arial"/>
          <w:sz w:val="24"/>
          <w:szCs w:val="24"/>
          <w:lang w:eastAsia="en-US"/>
        </w:rPr>
        <w:t xml:space="preserve">oficio número </w:t>
      </w:r>
      <w:r w:rsidR="008052B2">
        <w:rPr>
          <w:rFonts w:ascii="Arial" w:eastAsia="Calibri" w:hAnsi="Arial" w:cs="Arial"/>
          <w:sz w:val="24"/>
          <w:szCs w:val="24"/>
          <w:lang w:eastAsia="en-US"/>
        </w:rPr>
        <w:t>**********</w:t>
      </w:r>
      <w:bookmarkStart w:id="0" w:name="_GoBack"/>
      <w:bookmarkEnd w:id="0"/>
      <w:r w:rsidRPr="00E70031">
        <w:rPr>
          <w:rFonts w:ascii="Arial" w:eastAsia="Calibri" w:hAnsi="Arial" w:cs="Arial"/>
          <w:sz w:val="24"/>
          <w:szCs w:val="24"/>
          <w:lang w:eastAsia="en-US"/>
        </w:rPr>
        <w:t xml:space="preserve"> de fecha quince de junio de dos mil veintiuno </w:t>
      </w:r>
      <w:r w:rsidR="00EC3B62" w:rsidRPr="00E70031">
        <w:rPr>
          <w:rFonts w:ascii="Arial" w:hAnsi="Arial" w:cs="Arial"/>
          <w:sz w:val="24"/>
          <w:szCs w:val="24"/>
        </w:rPr>
        <w:t>por las razones expuestas</w:t>
      </w:r>
      <w:r w:rsidR="002B375F" w:rsidRPr="00E70031">
        <w:rPr>
          <w:rFonts w:ascii="Arial" w:hAnsi="Arial" w:cs="Arial"/>
          <w:bCs/>
          <w:sz w:val="24"/>
          <w:szCs w:val="24"/>
        </w:rPr>
        <w:t xml:space="preserve"> en el considerando SEXTO de la presente resolución.</w:t>
      </w:r>
    </w:p>
    <w:p w14:paraId="7C1BBEAB" w14:textId="77777777" w:rsidR="002B375F" w:rsidRPr="00E70031" w:rsidRDefault="002B375F" w:rsidP="002B375F">
      <w:pPr>
        <w:spacing w:after="0" w:line="360" w:lineRule="auto"/>
        <w:ind w:firstLine="567"/>
        <w:jc w:val="both"/>
        <w:rPr>
          <w:rFonts w:ascii="Arial" w:hAnsi="Arial" w:cs="Arial"/>
          <w:sz w:val="24"/>
          <w:szCs w:val="24"/>
        </w:rPr>
      </w:pPr>
    </w:p>
    <w:p w14:paraId="6965B355" w14:textId="524DEA20" w:rsidR="008A4576" w:rsidRPr="00E70031" w:rsidRDefault="00C46570" w:rsidP="002B375F">
      <w:pPr>
        <w:spacing w:after="0" w:line="360" w:lineRule="auto"/>
        <w:ind w:right="49" w:firstLine="567"/>
        <w:jc w:val="both"/>
        <w:rPr>
          <w:rFonts w:ascii="Arial" w:eastAsia="Times New Roman" w:hAnsi="Arial" w:cs="Arial"/>
          <w:bCs/>
          <w:sz w:val="24"/>
          <w:szCs w:val="24"/>
        </w:rPr>
      </w:pPr>
      <w:r w:rsidRPr="00E70031">
        <w:rPr>
          <w:rFonts w:ascii="Arial" w:eastAsia="Times New Roman" w:hAnsi="Arial" w:cs="Arial"/>
          <w:b/>
          <w:sz w:val="24"/>
          <w:szCs w:val="24"/>
        </w:rPr>
        <w:t>QUINTO</w:t>
      </w:r>
      <w:r w:rsidR="002B375F" w:rsidRPr="00E70031">
        <w:rPr>
          <w:rFonts w:ascii="Arial" w:eastAsia="Times New Roman" w:hAnsi="Arial" w:cs="Arial"/>
          <w:b/>
          <w:sz w:val="24"/>
          <w:szCs w:val="24"/>
        </w:rPr>
        <w:t xml:space="preserve">. </w:t>
      </w:r>
      <w:r w:rsidR="008A4576" w:rsidRPr="00E70031">
        <w:rPr>
          <w:rFonts w:ascii="Arial" w:eastAsia="Times New Roman" w:hAnsi="Arial" w:cs="Arial"/>
          <w:bCs/>
          <w:sz w:val="24"/>
          <w:szCs w:val="24"/>
        </w:rPr>
        <w:t>Se condena a la</w:t>
      </w:r>
      <w:r w:rsidR="002846A7" w:rsidRPr="00E70031">
        <w:rPr>
          <w:rFonts w:ascii="Arial" w:eastAsia="Times New Roman" w:hAnsi="Arial" w:cs="Arial"/>
          <w:bCs/>
          <w:sz w:val="24"/>
          <w:szCs w:val="24"/>
        </w:rPr>
        <w:t>s autoridades demandadas</w:t>
      </w:r>
      <w:r w:rsidR="00E70031" w:rsidRPr="00E70031">
        <w:rPr>
          <w:rFonts w:ascii="Arial" w:eastAsia="Times New Roman" w:hAnsi="Arial" w:cs="Arial"/>
          <w:bCs/>
          <w:sz w:val="24"/>
          <w:szCs w:val="24"/>
        </w:rPr>
        <w:t xml:space="preserve"> del Municipio de Santa Lucia del Camino, Oaxaca</w:t>
      </w:r>
      <w:r w:rsidR="002846A7" w:rsidRPr="00E70031">
        <w:rPr>
          <w:rFonts w:ascii="Arial" w:eastAsia="Times New Roman" w:hAnsi="Arial" w:cs="Arial"/>
          <w:bCs/>
          <w:sz w:val="24"/>
          <w:szCs w:val="24"/>
        </w:rPr>
        <w:t>,</w:t>
      </w:r>
      <w:r w:rsidR="008A4576" w:rsidRPr="00E70031">
        <w:rPr>
          <w:rFonts w:ascii="Arial" w:eastAsia="Times New Roman" w:hAnsi="Arial" w:cs="Arial"/>
          <w:bCs/>
          <w:sz w:val="24"/>
          <w:szCs w:val="24"/>
        </w:rPr>
        <w:t xml:space="preserve"> </w:t>
      </w:r>
      <w:r w:rsidR="00E70031" w:rsidRPr="00E70031">
        <w:rPr>
          <w:rFonts w:ascii="Arial" w:eastAsia="Times New Roman" w:hAnsi="Arial" w:cs="Arial"/>
          <w:bCs/>
          <w:sz w:val="24"/>
          <w:szCs w:val="24"/>
        </w:rPr>
        <w:t xml:space="preserve">para que </w:t>
      </w:r>
      <w:r w:rsidR="008A4576" w:rsidRPr="00E70031">
        <w:rPr>
          <w:rFonts w:ascii="Arial" w:eastAsia="Times New Roman" w:hAnsi="Arial" w:cs="Arial"/>
          <w:bCs/>
          <w:sz w:val="24"/>
          <w:szCs w:val="24"/>
        </w:rPr>
        <w:t>de forma inmediata realice</w:t>
      </w:r>
      <w:r w:rsidR="002846A7" w:rsidRPr="00E70031">
        <w:rPr>
          <w:rFonts w:ascii="Arial" w:eastAsia="Times New Roman" w:hAnsi="Arial" w:cs="Arial"/>
          <w:bCs/>
          <w:sz w:val="24"/>
          <w:szCs w:val="24"/>
        </w:rPr>
        <w:t>n</w:t>
      </w:r>
      <w:r w:rsidR="008A4576" w:rsidRPr="00E70031">
        <w:rPr>
          <w:rFonts w:ascii="Arial" w:eastAsia="Times New Roman" w:hAnsi="Arial" w:cs="Arial"/>
          <w:bCs/>
          <w:sz w:val="24"/>
          <w:szCs w:val="24"/>
        </w:rPr>
        <w:t xml:space="preserve"> el pago al actor </w:t>
      </w:r>
      <w:r w:rsidR="002846A7" w:rsidRPr="00E70031">
        <w:rPr>
          <w:rFonts w:ascii="Arial" w:eastAsia="Times New Roman" w:hAnsi="Arial" w:cs="Arial"/>
          <w:bCs/>
          <w:sz w:val="24"/>
          <w:szCs w:val="24"/>
        </w:rPr>
        <w:t>Humberto Ismael Santiago Sosa</w:t>
      </w:r>
      <w:r w:rsidR="008A4576" w:rsidRPr="00E70031">
        <w:rPr>
          <w:rFonts w:ascii="Arial" w:eastAsia="Times New Roman" w:hAnsi="Arial" w:cs="Arial"/>
          <w:bCs/>
          <w:sz w:val="24"/>
          <w:szCs w:val="24"/>
        </w:rPr>
        <w:t xml:space="preserve"> de las cantidades señaladas en la última parte del Sexto Considerando de esta resolución, en la inteligencia de que el pago se hará en forma personal y</w:t>
      </w:r>
      <w:r w:rsidR="002C1108" w:rsidRPr="00E70031">
        <w:rPr>
          <w:rFonts w:ascii="Arial" w:eastAsia="Times New Roman" w:hAnsi="Arial" w:cs="Arial"/>
          <w:bCs/>
          <w:sz w:val="24"/>
          <w:szCs w:val="24"/>
        </w:rPr>
        <w:t xml:space="preserve"> no por apoderado legal alguno.</w:t>
      </w:r>
    </w:p>
    <w:p w14:paraId="28896A87" w14:textId="77777777" w:rsidR="008A4576" w:rsidRDefault="008A4576" w:rsidP="002B375F">
      <w:pPr>
        <w:spacing w:after="0" w:line="360" w:lineRule="auto"/>
        <w:ind w:right="49" w:firstLine="567"/>
        <w:jc w:val="both"/>
        <w:rPr>
          <w:rFonts w:ascii="Arial" w:eastAsia="Times New Roman" w:hAnsi="Arial" w:cs="Arial"/>
          <w:b/>
          <w:sz w:val="24"/>
          <w:szCs w:val="24"/>
        </w:rPr>
      </w:pPr>
    </w:p>
    <w:p w14:paraId="4F70F251" w14:textId="3C7A6FE1" w:rsidR="002B375F" w:rsidRPr="00512412" w:rsidRDefault="002C1108" w:rsidP="002B375F">
      <w:pPr>
        <w:spacing w:after="0" w:line="360" w:lineRule="auto"/>
        <w:ind w:right="49" w:firstLine="567"/>
        <w:jc w:val="both"/>
        <w:rPr>
          <w:rFonts w:ascii="Arial" w:eastAsia="Times New Roman" w:hAnsi="Arial" w:cs="Arial"/>
          <w:sz w:val="24"/>
          <w:szCs w:val="24"/>
        </w:rPr>
      </w:pPr>
      <w:r>
        <w:rPr>
          <w:rFonts w:ascii="Arial" w:eastAsia="Times New Roman" w:hAnsi="Arial" w:cs="Arial"/>
          <w:b/>
          <w:sz w:val="24"/>
          <w:szCs w:val="24"/>
        </w:rPr>
        <w:lastRenderedPageBreak/>
        <w:t>SEXTO</w:t>
      </w:r>
      <w:r w:rsidR="008A4576">
        <w:rPr>
          <w:rFonts w:ascii="Arial" w:eastAsia="Times New Roman" w:hAnsi="Arial" w:cs="Arial"/>
          <w:b/>
          <w:sz w:val="24"/>
          <w:szCs w:val="24"/>
        </w:rPr>
        <w:t xml:space="preserve">. </w:t>
      </w:r>
      <w:r w:rsidR="002B375F" w:rsidRPr="00512412">
        <w:rPr>
          <w:rFonts w:ascii="Arial" w:eastAsia="Times New Roman" w:hAnsi="Arial" w:cs="Arial"/>
          <w:b/>
          <w:sz w:val="24"/>
          <w:szCs w:val="24"/>
        </w:rPr>
        <w:t>Notifíquese personalmente a la parte actora y por oficio a la</w:t>
      </w:r>
      <w:r w:rsidR="00E70031">
        <w:rPr>
          <w:rFonts w:ascii="Arial" w:eastAsia="Times New Roman" w:hAnsi="Arial" w:cs="Arial"/>
          <w:b/>
          <w:sz w:val="24"/>
          <w:szCs w:val="24"/>
        </w:rPr>
        <w:t>s</w:t>
      </w:r>
      <w:r w:rsidR="002B375F" w:rsidRPr="00512412">
        <w:rPr>
          <w:rFonts w:ascii="Arial" w:eastAsia="Times New Roman" w:hAnsi="Arial" w:cs="Arial"/>
          <w:b/>
          <w:sz w:val="24"/>
          <w:szCs w:val="24"/>
        </w:rPr>
        <w:t xml:space="preserve"> autoridad</w:t>
      </w:r>
      <w:r w:rsidR="00E70031">
        <w:rPr>
          <w:rFonts w:ascii="Arial" w:eastAsia="Times New Roman" w:hAnsi="Arial" w:cs="Arial"/>
          <w:b/>
          <w:sz w:val="24"/>
          <w:szCs w:val="24"/>
        </w:rPr>
        <w:t>es</w:t>
      </w:r>
      <w:r w:rsidR="002B375F" w:rsidRPr="00512412">
        <w:rPr>
          <w:rFonts w:ascii="Arial" w:eastAsia="Times New Roman" w:hAnsi="Arial" w:cs="Arial"/>
          <w:b/>
          <w:sz w:val="24"/>
          <w:szCs w:val="24"/>
        </w:rPr>
        <w:t xml:space="preserve"> demandada</w:t>
      </w:r>
      <w:r w:rsidR="00E70031">
        <w:rPr>
          <w:rFonts w:ascii="Arial" w:eastAsia="Times New Roman" w:hAnsi="Arial" w:cs="Arial"/>
          <w:b/>
          <w:sz w:val="24"/>
          <w:szCs w:val="24"/>
        </w:rPr>
        <w:t>s</w:t>
      </w:r>
      <w:r w:rsidR="002B375F" w:rsidRPr="00512412">
        <w:rPr>
          <w:rFonts w:ascii="Arial" w:eastAsia="Times New Roman" w:hAnsi="Arial" w:cs="Arial"/>
          <w:sz w:val="24"/>
          <w:szCs w:val="24"/>
        </w:rPr>
        <w:t>, con fundamento en los artículos 172</w:t>
      </w:r>
      <w:r>
        <w:rPr>
          <w:rFonts w:ascii="Arial" w:eastAsia="Times New Roman" w:hAnsi="Arial" w:cs="Arial"/>
          <w:sz w:val="24"/>
          <w:szCs w:val="24"/>
        </w:rPr>
        <w:t>,</w:t>
      </w:r>
      <w:r w:rsidR="002B375F" w:rsidRPr="00512412">
        <w:rPr>
          <w:rFonts w:ascii="Arial" w:eastAsia="Times New Roman" w:hAnsi="Arial" w:cs="Arial"/>
          <w:sz w:val="24"/>
          <w:szCs w:val="24"/>
        </w:rPr>
        <w:t xml:space="preserve"> fracción I y 173 fracciones I y II, de la Ley de Procedimiento y Justicia Administrativa para el Estado de Oaxaca,</w:t>
      </w:r>
      <w:r w:rsidR="002B375F" w:rsidRPr="00512412">
        <w:rPr>
          <w:rFonts w:ascii="Arial" w:eastAsia="Times New Roman" w:hAnsi="Arial" w:cs="Arial"/>
          <w:b/>
          <w:iCs/>
          <w:sz w:val="24"/>
          <w:szCs w:val="24"/>
        </w:rPr>
        <w:t xml:space="preserve"> - CÚMPLASE</w:t>
      </w:r>
      <w:r w:rsidR="002B375F"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6F801" w14:textId="77777777" w:rsidR="00687803" w:rsidRDefault="00687803">
      <w:pPr>
        <w:spacing w:after="0" w:line="240" w:lineRule="auto"/>
      </w:pPr>
      <w:r>
        <w:separator/>
      </w:r>
    </w:p>
  </w:endnote>
  <w:endnote w:type="continuationSeparator" w:id="0">
    <w:p w14:paraId="328BC14F" w14:textId="77777777" w:rsidR="00687803" w:rsidRDefault="00687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C8AE5" w14:textId="77777777" w:rsidR="00687803" w:rsidRDefault="00687803">
      <w:pPr>
        <w:spacing w:after="0" w:line="240" w:lineRule="auto"/>
      </w:pPr>
      <w:r>
        <w:separator/>
      </w:r>
    </w:p>
  </w:footnote>
  <w:footnote w:type="continuationSeparator" w:id="0">
    <w:p w14:paraId="4CBA8362" w14:textId="77777777" w:rsidR="00687803" w:rsidRDefault="00687803">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029DA937" w14:textId="4FA63109" w:rsidR="00255B60" w:rsidRPr="00255B60" w:rsidRDefault="00255B60">
      <w:pPr>
        <w:pStyle w:val="Textonotapie"/>
        <w:rPr>
          <w:rFonts w:ascii="Arial" w:hAnsi="Arial" w:cs="Arial"/>
          <w:sz w:val="16"/>
          <w:szCs w:val="16"/>
        </w:rPr>
      </w:pPr>
      <w:r w:rsidRPr="00255B60">
        <w:rPr>
          <w:rStyle w:val="Refdenotaalpie"/>
          <w:rFonts w:ascii="Arial" w:hAnsi="Arial" w:cs="Arial"/>
          <w:sz w:val="16"/>
          <w:szCs w:val="16"/>
        </w:rPr>
        <w:footnoteRef/>
      </w:r>
      <w:r w:rsidRPr="00255B60">
        <w:rPr>
          <w:rFonts w:ascii="Arial" w:hAnsi="Arial" w:cs="Arial"/>
          <w:sz w:val="16"/>
          <w:szCs w:val="16"/>
        </w:rPr>
        <w:t xml:space="preserve"> ARTÍCULO 161.- Es improcedente el juicio ante el Tribunal contra actos:</w:t>
      </w:r>
    </w:p>
    <w:p w14:paraId="35B40667" w14:textId="03DA2D55" w:rsidR="00255B60" w:rsidRPr="00255B60" w:rsidRDefault="00255B60">
      <w:pPr>
        <w:pStyle w:val="Textonotapie"/>
        <w:rPr>
          <w:rFonts w:ascii="Arial" w:hAnsi="Arial" w:cs="Arial"/>
          <w:sz w:val="16"/>
          <w:szCs w:val="16"/>
        </w:rPr>
      </w:pPr>
      <w:r w:rsidRPr="00255B60">
        <w:rPr>
          <w:rFonts w:ascii="Arial" w:hAnsi="Arial" w:cs="Arial"/>
          <w:sz w:val="16"/>
          <w:szCs w:val="16"/>
        </w:rPr>
        <w:t>(…)</w:t>
      </w:r>
    </w:p>
    <w:p w14:paraId="6409D185" w14:textId="1B79F358" w:rsidR="00255B60" w:rsidRPr="00255B60" w:rsidRDefault="00255B60">
      <w:pPr>
        <w:pStyle w:val="Textonotapie"/>
        <w:rPr>
          <w:rFonts w:ascii="Arial" w:hAnsi="Arial" w:cs="Arial"/>
          <w:sz w:val="16"/>
          <w:szCs w:val="16"/>
        </w:rPr>
      </w:pPr>
      <w:r w:rsidRPr="00255B60">
        <w:rPr>
          <w:rFonts w:ascii="Arial" w:hAnsi="Arial" w:cs="Arial"/>
          <w:sz w:val="16"/>
          <w:szCs w:val="16"/>
        </w:rPr>
        <w:t xml:space="preserve">IX. Cuando de las constancias de autos apareciere claramente que no existe el acto reclamado o cuando no se probare su existencia; y (…) </w:t>
      </w:r>
    </w:p>
    <w:p w14:paraId="3079492B" w14:textId="37F8B410" w:rsidR="00255B60" w:rsidRPr="00255B60" w:rsidRDefault="00255B60">
      <w:pPr>
        <w:pStyle w:val="Textonotapie"/>
        <w:rPr>
          <w:rFonts w:ascii="Arial" w:hAnsi="Arial" w:cs="Arial"/>
          <w:sz w:val="16"/>
          <w:szCs w:val="16"/>
        </w:rPr>
      </w:pPr>
    </w:p>
    <w:p w14:paraId="5B20A18D" w14:textId="4019E52D" w:rsidR="00255B60" w:rsidRPr="00255B60" w:rsidRDefault="00255B60">
      <w:pPr>
        <w:pStyle w:val="Textonotapie"/>
        <w:rPr>
          <w:rFonts w:ascii="Arial" w:hAnsi="Arial" w:cs="Arial"/>
          <w:sz w:val="16"/>
          <w:szCs w:val="16"/>
        </w:rPr>
      </w:pPr>
      <w:r w:rsidRPr="00255B60">
        <w:rPr>
          <w:rFonts w:ascii="Arial" w:hAnsi="Arial" w:cs="Arial"/>
          <w:sz w:val="16"/>
          <w:szCs w:val="16"/>
        </w:rPr>
        <w:t xml:space="preserve">ARTÍCULO 162.- Procede el sobreseimiento del juicio: (…) </w:t>
      </w:r>
    </w:p>
    <w:p w14:paraId="3C79BC86" w14:textId="35CDAD7F" w:rsidR="00255B60" w:rsidRPr="00255B60" w:rsidRDefault="00255B60">
      <w:pPr>
        <w:pStyle w:val="Textonotapie"/>
        <w:rPr>
          <w:rFonts w:ascii="Arial" w:hAnsi="Arial" w:cs="Arial"/>
          <w:sz w:val="16"/>
          <w:szCs w:val="16"/>
        </w:rPr>
      </w:pPr>
      <w:r w:rsidRPr="00255B60">
        <w:rPr>
          <w:rFonts w:ascii="Arial" w:hAnsi="Arial" w:cs="Arial"/>
          <w:sz w:val="16"/>
          <w:szCs w:val="16"/>
        </w:rPr>
        <w:t xml:space="preserve">II. Cuando durante la tramitación del procedimiento sobreviniere alguna de las causas de improcedencia a que se refiere el artículo anterior; (…) </w:t>
      </w:r>
    </w:p>
  </w:footnote>
  <w:footnote w:id="5">
    <w:p w14:paraId="13724D6A" w14:textId="19D65B20" w:rsidR="00C91857" w:rsidRPr="00C91857" w:rsidRDefault="00C91857" w:rsidP="00C91857">
      <w:pPr>
        <w:pStyle w:val="temp"/>
        <w:shd w:val="clear" w:color="auto" w:fill="FFFFFF"/>
        <w:spacing w:before="0" w:beforeAutospacing="0" w:after="0" w:afterAutospacing="0"/>
        <w:jc w:val="both"/>
        <w:rPr>
          <w:rFonts w:ascii="Arial" w:hAnsi="Arial" w:cs="Arial"/>
          <w:color w:val="212529"/>
          <w:sz w:val="16"/>
          <w:szCs w:val="16"/>
        </w:rPr>
      </w:pPr>
      <w:r>
        <w:rPr>
          <w:rStyle w:val="Refdenotaalpie"/>
        </w:rPr>
        <w:footnoteRef/>
      </w:r>
      <w:r>
        <w:t xml:space="preserve"> </w:t>
      </w:r>
      <w:r w:rsidRPr="00C91857">
        <w:rPr>
          <w:rFonts w:ascii="Arial" w:hAnsi="Arial" w:cs="Arial"/>
          <w:b/>
          <w:bCs/>
          <w:color w:val="212529"/>
          <w:sz w:val="16"/>
          <w:szCs w:val="16"/>
        </w:rPr>
        <w:t>Registro digital: </w:t>
      </w:r>
      <w:r>
        <w:rPr>
          <w:rFonts w:ascii="Arial" w:hAnsi="Arial" w:cs="Arial"/>
          <w:color w:val="212529"/>
          <w:sz w:val="16"/>
          <w:szCs w:val="16"/>
        </w:rPr>
        <w:t xml:space="preserve">202230; </w:t>
      </w:r>
      <w:r w:rsidRPr="00C91857">
        <w:rPr>
          <w:rFonts w:ascii="Arial" w:hAnsi="Arial" w:cs="Arial"/>
          <w:b/>
          <w:bCs/>
          <w:color w:val="212529"/>
          <w:sz w:val="16"/>
          <w:szCs w:val="16"/>
        </w:rPr>
        <w:t>Instancia: </w:t>
      </w:r>
      <w:r w:rsidRPr="00C91857">
        <w:rPr>
          <w:rFonts w:ascii="Arial" w:hAnsi="Arial" w:cs="Arial"/>
          <w:color w:val="212529"/>
          <w:sz w:val="16"/>
          <w:szCs w:val="16"/>
        </w:rPr>
        <w:t>T</w:t>
      </w:r>
      <w:r>
        <w:rPr>
          <w:rFonts w:ascii="Arial" w:hAnsi="Arial" w:cs="Arial"/>
          <w:color w:val="212529"/>
          <w:sz w:val="16"/>
          <w:szCs w:val="16"/>
        </w:rPr>
        <w:t xml:space="preserve">ribunales Colegiados de Circuito; </w:t>
      </w:r>
      <w:r w:rsidRPr="00C91857">
        <w:rPr>
          <w:rFonts w:ascii="Arial" w:hAnsi="Arial" w:cs="Arial"/>
          <w:b/>
          <w:bCs/>
          <w:color w:val="212529"/>
          <w:sz w:val="16"/>
          <w:szCs w:val="16"/>
        </w:rPr>
        <w:t>Décima Época</w:t>
      </w:r>
      <w:r>
        <w:rPr>
          <w:rFonts w:ascii="Arial" w:hAnsi="Arial" w:cs="Arial"/>
          <w:b/>
          <w:bCs/>
          <w:color w:val="212529"/>
          <w:sz w:val="16"/>
          <w:szCs w:val="16"/>
        </w:rPr>
        <w:t xml:space="preserve">; </w:t>
      </w:r>
      <w:r w:rsidRPr="00C91857">
        <w:rPr>
          <w:rFonts w:ascii="Arial" w:hAnsi="Arial" w:cs="Arial"/>
          <w:b/>
          <w:bCs/>
          <w:color w:val="212529"/>
          <w:sz w:val="16"/>
          <w:szCs w:val="16"/>
        </w:rPr>
        <w:t>Materia(s): </w:t>
      </w:r>
      <w:r w:rsidRPr="00C91857">
        <w:rPr>
          <w:rFonts w:ascii="Arial" w:hAnsi="Arial" w:cs="Arial"/>
          <w:color w:val="212529"/>
          <w:sz w:val="16"/>
          <w:szCs w:val="16"/>
        </w:rPr>
        <w:t>Común, Administrativa</w:t>
      </w:r>
      <w:r>
        <w:rPr>
          <w:rFonts w:ascii="Arial" w:hAnsi="Arial" w:cs="Arial"/>
          <w:color w:val="212529"/>
          <w:sz w:val="16"/>
          <w:szCs w:val="16"/>
        </w:rPr>
        <w:t xml:space="preserve">; </w:t>
      </w:r>
      <w:r w:rsidRPr="00C91857">
        <w:rPr>
          <w:rFonts w:ascii="Arial" w:hAnsi="Arial" w:cs="Arial"/>
          <w:b/>
          <w:bCs/>
          <w:color w:val="212529"/>
          <w:sz w:val="16"/>
          <w:szCs w:val="16"/>
        </w:rPr>
        <w:t>Tesis: </w:t>
      </w:r>
      <w:r w:rsidRPr="00C91857">
        <w:rPr>
          <w:rFonts w:ascii="Arial" w:hAnsi="Arial" w:cs="Arial"/>
          <w:color w:val="212529"/>
          <w:sz w:val="16"/>
          <w:szCs w:val="16"/>
        </w:rPr>
        <w:t>III.6o.A.22 A (10a.)</w:t>
      </w:r>
      <w:r>
        <w:rPr>
          <w:rFonts w:ascii="Arial" w:hAnsi="Arial" w:cs="Arial"/>
          <w:color w:val="212529"/>
          <w:sz w:val="16"/>
          <w:szCs w:val="16"/>
        </w:rPr>
        <w:t xml:space="preserve">; </w:t>
      </w:r>
      <w:r w:rsidRPr="00C91857">
        <w:rPr>
          <w:rFonts w:ascii="Arial" w:hAnsi="Arial" w:cs="Arial"/>
          <w:b/>
          <w:bCs/>
          <w:color w:val="212529"/>
          <w:sz w:val="16"/>
          <w:szCs w:val="16"/>
        </w:rPr>
        <w:t>Fuente: </w:t>
      </w:r>
      <w:r w:rsidRPr="00C91857">
        <w:rPr>
          <w:rFonts w:ascii="Arial" w:hAnsi="Arial" w:cs="Arial"/>
          <w:color w:val="212529"/>
          <w:sz w:val="16"/>
          <w:szCs w:val="16"/>
        </w:rPr>
        <w:t>Gaceta del Seman</w:t>
      </w:r>
      <w:r>
        <w:rPr>
          <w:rFonts w:ascii="Arial" w:hAnsi="Arial" w:cs="Arial"/>
          <w:color w:val="212529"/>
          <w:sz w:val="16"/>
          <w:szCs w:val="16"/>
        </w:rPr>
        <w:t xml:space="preserve">ario Judicial de la Federación. </w:t>
      </w:r>
      <w:r w:rsidRPr="00C91857">
        <w:rPr>
          <w:rFonts w:ascii="Arial" w:hAnsi="Arial" w:cs="Arial"/>
          <w:color w:val="212529"/>
          <w:sz w:val="16"/>
          <w:szCs w:val="16"/>
        </w:rPr>
        <w:t>Libro 79, Octubre de 2020, Tomo III, página 1859</w:t>
      </w:r>
      <w:r>
        <w:rPr>
          <w:rFonts w:ascii="Arial" w:hAnsi="Arial" w:cs="Arial"/>
          <w:color w:val="212529"/>
          <w:sz w:val="16"/>
          <w:szCs w:val="16"/>
        </w:rPr>
        <w:t xml:space="preserve">; </w:t>
      </w:r>
      <w:r w:rsidRPr="00C91857">
        <w:rPr>
          <w:rFonts w:ascii="Arial" w:hAnsi="Arial" w:cs="Arial"/>
          <w:b/>
          <w:bCs/>
          <w:color w:val="212529"/>
          <w:sz w:val="16"/>
          <w:szCs w:val="16"/>
        </w:rPr>
        <w:t>Tipo: </w:t>
      </w:r>
      <w:r w:rsidRPr="00C91857">
        <w:rPr>
          <w:rFonts w:ascii="Arial" w:hAnsi="Arial" w:cs="Arial"/>
          <w:color w:val="212529"/>
          <w:sz w:val="16"/>
          <w:szCs w:val="16"/>
        </w:rPr>
        <w:t>Aislada</w:t>
      </w:r>
      <w:r>
        <w:rPr>
          <w:rFonts w:ascii="Arial" w:hAnsi="Arial" w:cs="Arial"/>
          <w:color w:val="212529"/>
          <w:sz w:val="16"/>
          <w:szCs w:val="16"/>
        </w:rPr>
        <w:t>.</w:t>
      </w:r>
    </w:p>
    <w:p w14:paraId="0041C8FE" w14:textId="007EA613" w:rsidR="00C91857" w:rsidRPr="00C91857" w:rsidRDefault="00C91857">
      <w:pPr>
        <w:pStyle w:val="Textonotapie"/>
        <w:rPr>
          <w:i/>
        </w:rPr>
      </w:pPr>
    </w:p>
    <w:p w14:paraId="4F729E5C" w14:textId="4B2971CF" w:rsidR="00C91857" w:rsidRDefault="00C91857" w:rsidP="00C91857">
      <w:pPr>
        <w:pStyle w:val="Textonotapie"/>
        <w:jc w:val="both"/>
        <w:rPr>
          <w:rFonts w:ascii="Arial" w:hAnsi="Arial" w:cs="Arial"/>
          <w:i/>
          <w:color w:val="212529"/>
          <w:sz w:val="16"/>
          <w:szCs w:val="16"/>
          <w:shd w:val="clear" w:color="auto" w:fill="FFFFFF"/>
        </w:rPr>
      </w:pPr>
      <w:r w:rsidRPr="00C91857">
        <w:rPr>
          <w:rFonts w:ascii="Arial" w:hAnsi="Arial" w:cs="Arial"/>
          <w:i/>
          <w:color w:val="212529"/>
          <w:sz w:val="16"/>
          <w:szCs w:val="16"/>
          <w:shd w:val="clear" w:color="auto" w:fill="FFFFFF"/>
        </w:rPr>
        <w:t>“La Segunda Sala de la Suprema Corte de Justicia de la Nación, en la tesis de jurisprudencia </w:t>
      </w:r>
      <w:hyperlink r:id="rId1" w:tgtFrame="_blank" w:history="1">
        <w:r w:rsidRPr="00C91857">
          <w:rPr>
            <w:rStyle w:val="Hipervnculo"/>
            <w:rFonts w:ascii="Arial" w:hAnsi="Arial" w:cs="Arial"/>
            <w:b/>
            <w:bCs/>
            <w:i/>
            <w:color w:val="007BFF"/>
            <w:sz w:val="16"/>
            <w:szCs w:val="16"/>
            <w:shd w:val="clear" w:color="auto" w:fill="FFFFFF"/>
          </w:rPr>
          <w:t>2a./J. 31/2018 (10a.)</w:t>
        </w:r>
      </w:hyperlink>
      <w:r w:rsidRPr="00C91857">
        <w:rPr>
          <w:rFonts w:ascii="Arial" w:hAnsi="Arial" w:cs="Arial"/>
          <w:i/>
          <w:color w:val="212529"/>
          <w:sz w:val="16"/>
          <w:szCs w:val="16"/>
          <w:shd w:val="clear" w:color="auto" w:fill="FFFFFF"/>
        </w:rPr>
        <w:t>, sostuvo que el resultado no aprobatorio en los exámenes del proceso de evaluación al que son sometidos los integrantes del Sistema Nacional de Seguridad Pública, constituye una causa de incumplimiento de los requisitos de permanencia, cuya consecuencia jurídica es el inicio del procedimiento administrativo de separación y, por ende, las violaciones cometidas en aquél deben hacerse valer en el juicio de amparo indirecto promovido contra el acuerdo de inicio de éste, toda vez que dicho resultado constituye la causa en que se funda y motiva. Por tanto, en congruencia con dicho criterio, los efectos del amparo concedido contra el auto de inicio del procedimiento de separación de los elementos de seguridad pública del Estado de Jalisco y sus Municipios, deben hacerse extensivos a los actos reclamados del proceso de evaluación de control de confianza para verificar el cumplimiento de los requisitos de permanencia, aun cuando no se hayan advertido violaciones en éste, al ser la causa generadora de aquél.”</w:t>
      </w:r>
    </w:p>
    <w:p w14:paraId="1A897663" w14:textId="77777777" w:rsidR="002B685F" w:rsidRPr="00C91857" w:rsidRDefault="002B685F" w:rsidP="00C91857">
      <w:pPr>
        <w:pStyle w:val="Textonotapie"/>
        <w:jc w:val="both"/>
        <w:rPr>
          <w:rFonts w:ascii="Arial" w:hAnsi="Arial" w:cs="Arial"/>
          <w:sz w:val="16"/>
          <w:szCs w:val="16"/>
        </w:rPr>
      </w:pPr>
    </w:p>
  </w:footnote>
  <w:footnote w:id="6">
    <w:p w14:paraId="60AEB9CC" w14:textId="77777777" w:rsidR="002B685F" w:rsidRPr="002B685F" w:rsidRDefault="002B685F" w:rsidP="002B685F">
      <w:pPr>
        <w:pStyle w:val="Textonotapie"/>
        <w:jc w:val="both"/>
        <w:rPr>
          <w:rFonts w:ascii="Arial" w:hAnsi="Arial" w:cs="Arial"/>
          <w:sz w:val="16"/>
          <w:szCs w:val="16"/>
        </w:rPr>
      </w:pPr>
      <w:r w:rsidRPr="002B685F">
        <w:rPr>
          <w:rStyle w:val="Refdenotaalpie"/>
          <w:rFonts w:ascii="Arial" w:hAnsi="Arial" w:cs="Arial"/>
          <w:sz w:val="16"/>
          <w:szCs w:val="16"/>
        </w:rPr>
        <w:footnoteRef/>
      </w:r>
      <w:r w:rsidRPr="002B685F">
        <w:rPr>
          <w:rFonts w:ascii="Arial" w:hAnsi="Arial" w:cs="Arial"/>
          <w:sz w:val="16"/>
          <w:szCs w:val="16"/>
        </w:rPr>
        <w:t xml:space="preserve"> </w:t>
      </w:r>
      <w:r w:rsidRPr="002B685F">
        <w:rPr>
          <w:rFonts w:ascii="Arial" w:hAnsi="Arial" w:cs="Arial"/>
          <w:b/>
          <w:sz w:val="16"/>
          <w:szCs w:val="16"/>
        </w:rPr>
        <w:t>“Artículo 99.</w:t>
      </w:r>
      <w:r w:rsidRPr="002B685F">
        <w:rPr>
          <w:rFonts w:ascii="Arial" w:hAnsi="Arial" w:cs="Arial"/>
          <w:sz w:val="16"/>
          <w:szCs w:val="16"/>
        </w:rPr>
        <w:t>- La permanencia es el resultado del cumplimiento constante de los requisitos establecidos en la presente Ley para continuar en el servicio activo de las Instituciones policiales. Son requisitos de ingreso y permanencia en las instituciones Policiales, las siguientes:</w:t>
      </w:r>
    </w:p>
    <w:p w14:paraId="7880E008" w14:textId="77777777" w:rsidR="002B685F" w:rsidRPr="002B685F" w:rsidRDefault="002B685F" w:rsidP="002B685F">
      <w:pPr>
        <w:pStyle w:val="Textonotapie"/>
        <w:jc w:val="both"/>
        <w:rPr>
          <w:rFonts w:ascii="Arial" w:hAnsi="Arial" w:cs="Arial"/>
          <w:sz w:val="16"/>
          <w:szCs w:val="16"/>
        </w:rPr>
      </w:pPr>
      <w:r w:rsidRPr="002B685F">
        <w:rPr>
          <w:rFonts w:ascii="Arial" w:hAnsi="Arial" w:cs="Arial"/>
          <w:sz w:val="16"/>
          <w:szCs w:val="16"/>
        </w:rPr>
        <w:t>(…)</w:t>
      </w:r>
    </w:p>
    <w:p w14:paraId="6C58B68E" w14:textId="77777777" w:rsidR="002B685F" w:rsidRPr="002B685F" w:rsidRDefault="002B685F" w:rsidP="002B685F">
      <w:pPr>
        <w:pStyle w:val="Textonotapie"/>
        <w:jc w:val="both"/>
        <w:rPr>
          <w:rFonts w:ascii="Arial" w:hAnsi="Arial" w:cs="Arial"/>
          <w:sz w:val="16"/>
          <w:szCs w:val="16"/>
        </w:rPr>
      </w:pPr>
      <w:r w:rsidRPr="002B685F">
        <w:rPr>
          <w:rFonts w:ascii="Arial" w:hAnsi="Arial" w:cs="Arial"/>
          <w:sz w:val="16"/>
          <w:szCs w:val="16"/>
        </w:rPr>
        <w:t>B. De permanencia:</w:t>
      </w:r>
    </w:p>
    <w:p w14:paraId="59E65970" w14:textId="77777777" w:rsidR="002B685F" w:rsidRPr="002B685F" w:rsidRDefault="002B685F" w:rsidP="002B685F">
      <w:pPr>
        <w:pStyle w:val="Textonotapie"/>
        <w:jc w:val="both"/>
        <w:rPr>
          <w:rFonts w:ascii="Arial" w:hAnsi="Arial" w:cs="Arial"/>
          <w:sz w:val="16"/>
          <w:szCs w:val="16"/>
        </w:rPr>
      </w:pPr>
      <w:r w:rsidRPr="002B685F">
        <w:rPr>
          <w:rFonts w:ascii="Arial" w:hAnsi="Arial" w:cs="Arial"/>
          <w:sz w:val="16"/>
          <w:szCs w:val="16"/>
        </w:rPr>
        <w:t>(…)</w:t>
      </w:r>
    </w:p>
    <w:p w14:paraId="76418ED7" w14:textId="77777777" w:rsidR="002B685F" w:rsidRPr="002B685F" w:rsidRDefault="002B685F" w:rsidP="002B685F">
      <w:pPr>
        <w:pStyle w:val="Textonotapie"/>
        <w:jc w:val="both"/>
        <w:rPr>
          <w:rFonts w:ascii="Arial" w:hAnsi="Arial" w:cs="Arial"/>
          <w:sz w:val="16"/>
          <w:szCs w:val="16"/>
        </w:rPr>
      </w:pPr>
      <w:r w:rsidRPr="002B685F">
        <w:rPr>
          <w:rFonts w:ascii="Arial" w:hAnsi="Arial" w:cs="Arial"/>
          <w:sz w:val="16"/>
          <w:szCs w:val="16"/>
        </w:rPr>
        <w:t>VI. Aprobar los procesos de evaluación de control de confianza;”</w:t>
      </w:r>
    </w:p>
    <w:p w14:paraId="19D7825C" w14:textId="4C11C072" w:rsidR="002B685F" w:rsidRDefault="002B685F">
      <w:pPr>
        <w:pStyle w:val="Textonotapie"/>
      </w:pPr>
      <w:r>
        <w:t xml:space="preserve"> </w:t>
      </w:r>
    </w:p>
  </w:footnote>
  <w:footnote w:id="7">
    <w:p w14:paraId="100A77DF" w14:textId="27F1302F" w:rsidR="002B685F" w:rsidRPr="002B685F" w:rsidRDefault="002B685F" w:rsidP="002B685F">
      <w:pPr>
        <w:pStyle w:val="temp"/>
        <w:shd w:val="clear" w:color="auto" w:fill="FFFFFF"/>
        <w:spacing w:before="0" w:beforeAutospacing="0" w:after="0" w:afterAutospacing="0"/>
        <w:jc w:val="both"/>
        <w:rPr>
          <w:rFonts w:ascii="Arial" w:hAnsi="Arial" w:cs="Arial"/>
          <w:color w:val="212529"/>
          <w:sz w:val="16"/>
          <w:szCs w:val="16"/>
        </w:rPr>
      </w:pPr>
      <w:r w:rsidRPr="002B685F">
        <w:rPr>
          <w:rStyle w:val="Refdenotaalpie"/>
          <w:rFonts w:ascii="Arial" w:hAnsi="Arial" w:cs="Arial"/>
          <w:sz w:val="16"/>
          <w:szCs w:val="16"/>
        </w:rPr>
        <w:footnoteRef/>
      </w:r>
      <w:r w:rsidRPr="002B685F">
        <w:rPr>
          <w:rFonts w:ascii="Arial" w:hAnsi="Arial" w:cs="Arial"/>
          <w:sz w:val="16"/>
          <w:szCs w:val="16"/>
        </w:rPr>
        <w:t xml:space="preserve"> </w:t>
      </w:r>
      <w:r w:rsidRPr="002B685F">
        <w:rPr>
          <w:rFonts w:ascii="Arial" w:hAnsi="Arial" w:cs="Arial"/>
          <w:b/>
          <w:bCs/>
          <w:color w:val="212529"/>
          <w:sz w:val="16"/>
          <w:szCs w:val="16"/>
        </w:rPr>
        <w:t>Registro digital: </w:t>
      </w:r>
      <w:r w:rsidRPr="002B685F">
        <w:rPr>
          <w:rFonts w:ascii="Arial" w:hAnsi="Arial" w:cs="Arial"/>
          <w:color w:val="212529"/>
          <w:sz w:val="16"/>
          <w:szCs w:val="16"/>
        </w:rPr>
        <w:t xml:space="preserve">2016522; </w:t>
      </w:r>
      <w:r w:rsidRPr="002B685F">
        <w:rPr>
          <w:rFonts w:ascii="Arial" w:hAnsi="Arial" w:cs="Arial"/>
          <w:b/>
          <w:bCs/>
          <w:color w:val="212529"/>
          <w:sz w:val="16"/>
          <w:szCs w:val="16"/>
        </w:rPr>
        <w:t>Instancia: </w:t>
      </w:r>
      <w:r w:rsidRPr="002B685F">
        <w:rPr>
          <w:rFonts w:ascii="Arial" w:hAnsi="Arial" w:cs="Arial"/>
          <w:color w:val="212529"/>
          <w:sz w:val="16"/>
          <w:szCs w:val="16"/>
        </w:rPr>
        <w:t xml:space="preserve">Segunda Sala; </w:t>
      </w:r>
      <w:r w:rsidRPr="002B685F">
        <w:rPr>
          <w:rFonts w:ascii="Arial" w:hAnsi="Arial" w:cs="Arial"/>
          <w:b/>
          <w:bCs/>
          <w:color w:val="212529"/>
          <w:sz w:val="16"/>
          <w:szCs w:val="16"/>
        </w:rPr>
        <w:t>Décima Época Materia(s): </w:t>
      </w:r>
      <w:r w:rsidRPr="002B685F">
        <w:rPr>
          <w:rFonts w:ascii="Arial" w:hAnsi="Arial" w:cs="Arial"/>
          <w:color w:val="212529"/>
          <w:sz w:val="16"/>
          <w:szCs w:val="16"/>
        </w:rPr>
        <w:t xml:space="preserve">Común, Administrativa; </w:t>
      </w:r>
      <w:r w:rsidRPr="002B685F">
        <w:rPr>
          <w:rFonts w:ascii="Arial" w:hAnsi="Arial" w:cs="Arial"/>
          <w:b/>
          <w:bCs/>
          <w:color w:val="212529"/>
          <w:sz w:val="16"/>
          <w:szCs w:val="16"/>
        </w:rPr>
        <w:t>Tesis: </w:t>
      </w:r>
      <w:r w:rsidRPr="002B685F">
        <w:rPr>
          <w:rFonts w:ascii="Arial" w:hAnsi="Arial" w:cs="Arial"/>
          <w:color w:val="212529"/>
          <w:sz w:val="16"/>
          <w:szCs w:val="16"/>
        </w:rPr>
        <w:t>2a</w:t>
      </w:r>
      <w:proofErr w:type="gramStart"/>
      <w:r w:rsidRPr="002B685F">
        <w:rPr>
          <w:rFonts w:ascii="Arial" w:hAnsi="Arial" w:cs="Arial"/>
          <w:color w:val="212529"/>
          <w:sz w:val="16"/>
          <w:szCs w:val="16"/>
        </w:rPr>
        <w:t>./</w:t>
      </w:r>
      <w:proofErr w:type="gramEnd"/>
      <w:r w:rsidRPr="002B685F">
        <w:rPr>
          <w:rFonts w:ascii="Arial" w:hAnsi="Arial" w:cs="Arial"/>
          <w:color w:val="212529"/>
          <w:sz w:val="16"/>
          <w:szCs w:val="16"/>
        </w:rPr>
        <w:t xml:space="preserve">J. 31/2018 (10a.); </w:t>
      </w:r>
      <w:r w:rsidRPr="002B685F">
        <w:rPr>
          <w:rFonts w:ascii="Arial" w:hAnsi="Arial" w:cs="Arial"/>
          <w:b/>
          <w:bCs/>
          <w:color w:val="212529"/>
          <w:sz w:val="16"/>
          <w:szCs w:val="16"/>
        </w:rPr>
        <w:t>Fuente: </w:t>
      </w:r>
      <w:r w:rsidRPr="002B685F">
        <w:rPr>
          <w:rFonts w:ascii="Arial" w:hAnsi="Arial" w:cs="Arial"/>
          <w:color w:val="212529"/>
          <w:sz w:val="16"/>
          <w:szCs w:val="16"/>
        </w:rPr>
        <w:t>Gaceta del Semanario Judicial de la Federación.</w:t>
      </w:r>
      <w:r w:rsidRPr="002B685F">
        <w:rPr>
          <w:rFonts w:ascii="Arial" w:hAnsi="Arial" w:cs="Arial"/>
          <w:color w:val="212529"/>
          <w:sz w:val="16"/>
          <w:szCs w:val="16"/>
        </w:rPr>
        <w:br/>
        <w:t xml:space="preserve">Libro 53, Abril de 2018, Tomo I, página 711; </w:t>
      </w:r>
      <w:r w:rsidRPr="002B685F">
        <w:rPr>
          <w:rFonts w:ascii="Arial" w:hAnsi="Arial" w:cs="Arial"/>
          <w:b/>
          <w:bCs/>
          <w:color w:val="212529"/>
          <w:sz w:val="16"/>
          <w:szCs w:val="16"/>
        </w:rPr>
        <w:t>Tipo: </w:t>
      </w:r>
      <w:r w:rsidRPr="002B685F">
        <w:rPr>
          <w:rFonts w:ascii="Arial" w:hAnsi="Arial" w:cs="Arial"/>
          <w:color w:val="212529"/>
          <w:sz w:val="16"/>
          <w:szCs w:val="16"/>
        </w:rPr>
        <w:t>Jurisprudencia</w:t>
      </w:r>
    </w:p>
    <w:p w14:paraId="620D0998" w14:textId="166B20BB" w:rsidR="002B685F" w:rsidRPr="002B685F" w:rsidRDefault="002B685F" w:rsidP="002B685F">
      <w:pPr>
        <w:pStyle w:val="Textonotapie"/>
        <w:jc w:val="both"/>
        <w:rPr>
          <w:rFonts w:ascii="Arial" w:hAnsi="Arial" w:cs="Arial"/>
          <w:sz w:val="16"/>
          <w:szCs w:val="16"/>
        </w:rPr>
      </w:pPr>
    </w:p>
    <w:p w14:paraId="268F6784" w14:textId="43223817" w:rsidR="002B685F" w:rsidRPr="002B685F" w:rsidRDefault="002B685F" w:rsidP="002B685F">
      <w:pPr>
        <w:pStyle w:val="Textonotapie"/>
        <w:jc w:val="both"/>
        <w:rPr>
          <w:i/>
        </w:rPr>
      </w:pPr>
      <w:r w:rsidRPr="002B685F">
        <w:rPr>
          <w:rFonts w:ascii="Arial" w:hAnsi="Arial" w:cs="Arial"/>
          <w:i/>
          <w:color w:val="212529"/>
          <w:sz w:val="16"/>
          <w:szCs w:val="16"/>
          <w:shd w:val="clear" w:color="auto" w:fill="FFFFFF"/>
        </w:rPr>
        <w:t>“La Segunda Sala de la Suprema Corte de Justicia de la Nación, en la jurisprudencia </w:t>
      </w:r>
      <w:hyperlink r:id="rId2" w:tgtFrame="_blank" w:history="1">
        <w:r w:rsidRPr="002B685F">
          <w:rPr>
            <w:rStyle w:val="Hipervnculo"/>
            <w:rFonts w:ascii="Arial" w:hAnsi="Arial" w:cs="Arial"/>
            <w:b/>
            <w:bCs/>
            <w:i/>
            <w:color w:val="007BFF"/>
            <w:sz w:val="16"/>
            <w:szCs w:val="16"/>
            <w:shd w:val="clear" w:color="auto" w:fill="FFFFFF"/>
          </w:rPr>
          <w:t>2a</w:t>
        </w:r>
        <w:proofErr w:type="gramStart"/>
        <w:r w:rsidRPr="002B685F">
          <w:rPr>
            <w:rStyle w:val="Hipervnculo"/>
            <w:rFonts w:ascii="Arial" w:hAnsi="Arial" w:cs="Arial"/>
            <w:b/>
            <w:bCs/>
            <w:i/>
            <w:color w:val="007BFF"/>
            <w:sz w:val="16"/>
            <w:szCs w:val="16"/>
            <w:shd w:val="clear" w:color="auto" w:fill="FFFFFF"/>
          </w:rPr>
          <w:t>./</w:t>
        </w:r>
        <w:proofErr w:type="gramEnd"/>
        <w:r w:rsidRPr="002B685F">
          <w:rPr>
            <w:rStyle w:val="Hipervnculo"/>
            <w:rFonts w:ascii="Arial" w:hAnsi="Arial" w:cs="Arial"/>
            <w:b/>
            <w:bCs/>
            <w:i/>
            <w:color w:val="007BFF"/>
            <w:sz w:val="16"/>
            <w:szCs w:val="16"/>
            <w:shd w:val="clear" w:color="auto" w:fill="FFFFFF"/>
          </w:rPr>
          <w:t>J. 49/2016 (10a.)</w:t>
        </w:r>
      </w:hyperlink>
      <w:r w:rsidRPr="002B685F">
        <w:rPr>
          <w:rFonts w:ascii="Arial" w:hAnsi="Arial" w:cs="Arial"/>
          <w:i/>
          <w:color w:val="212529"/>
          <w:sz w:val="16"/>
          <w:szCs w:val="16"/>
          <w:shd w:val="clear" w:color="auto" w:fill="FFFFFF"/>
        </w:rPr>
        <w:t xml:space="preserve">, sostuvo que contra el acuerdo de inicio del procedimiento administrativo de separación del cargo de los servidores públicos sujetos al sistema de carrera ministerial, policial y pericial procede el juicio de amparo indirecto. En ese sentido, al constituir el resultado de "no aprobado" una causa de incumplimiento de los requisitos de permanencia, la cual trae como consecuencia inmediata el inicio del procedimiento administrativo de separación, las violaciones cometidas en el proceso de evaluación al que son sometidos los integrantes del Sistema Nacional de Seguridad Pública, deben hacerse valer en el juicio de amparo indirecto promovido contra el acuerdo de inicio del procedimiento respectivo, toda vez que dicho resultado constituye la causa en la que se funda y motiva el procedimiento referido, habida cuenta que, de no ser subsanadas las irregularidades cometidas en las evaluaciones correspondientes, causarían la </w:t>
      </w:r>
      <w:proofErr w:type="spellStart"/>
      <w:r w:rsidRPr="002B685F">
        <w:rPr>
          <w:rFonts w:ascii="Arial" w:hAnsi="Arial" w:cs="Arial"/>
          <w:i/>
          <w:color w:val="212529"/>
          <w:sz w:val="16"/>
          <w:szCs w:val="16"/>
          <w:shd w:val="clear" w:color="auto" w:fill="FFFFFF"/>
        </w:rPr>
        <w:t>irreparabilidad</w:t>
      </w:r>
      <w:proofErr w:type="spellEnd"/>
      <w:r w:rsidRPr="002B685F">
        <w:rPr>
          <w:rFonts w:ascii="Arial" w:hAnsi="Arial" w:cs="Arial"/>
          <w:i/>
          <w:color w:val="212529"/>
          <w:sz w:val="16"/>
          <w:szCs w:val="16"/>
          <w:shd w:val="clear" w:color="auto" w:fill="FFFFFF"/>
        </w:rPr>
        <w:t xml:space="preserve"> de la transgresión al derecho sustantivo relativo a la prestación del servicio público y a no ser separado injustificadamente del cargo.”</w:t>
      </w:r>
    </w:p>
  </w:footnote>
  <w:footnote w:id="8">
    <w:p w14:paraId="459ABA33" w14:textId="34061518" w:rsidR="00E91B96" w:rsidRDefault="00E91B96" w:rsidP="00E91B96">
      <w:pPr>
        <w:pStyle w:val="temp"/>
        <w:shd w:val="clear" w:color="auto" w:fill="FFFFFF"/>
        <w:spacing w:before="0" w:beforeAutospacing="0" w:after="0" w:afterAutospacing="0"/>
        <w:jc w:val="both"/>
        <w:rPr>
          <w:rFonts w:ascii="Calibri" w:hAnsi="Calibri" w:cs="Calibri"/>
          <w:color w:val="212529"/>
          <w:sz w:val="26"/>
          <w:szCs w:val="26"/>
        </w:rPr>
      </w:pPr>
    </w:p>
    <w:p w14:paraId="5BE61097" w14:textId="77777777" w:rsidR="00E91B96" w:rsidRDefault="00E91B96" w:rsidP="00E91B96">
      <w:pPr>
        <w:pStyle w:val="Textonotapie"/>
      </w:pPr>
    </w:p>
  </w:footnote>
  <w:footnote w:id="9">
    <w:p w14:paraId="3DCF3B1F" w14:textId="48A634EE" w:rsidR="006D210D" w:rsidRPr="006D210D" w:rsidRDefault="006D210D" w:rsidP="006D210D">
      <w:pPr>
        <w:pStyle w:val="temp"/>
        <w:shd w:val="clear" w:color="auto" w:fill="FFFFFF"/>
        <w:spacing w:before="0" w:beforeAutospacing="0" w:after="0" w:afterAutospacing="0"/>
        <w:jc w:val="both"/>
        <w:rPr>
          <w:rFonts w:ascii="Arial" w:hAnsi="Arial" w:cs="Arial"/>
          <w:color w:val="212529"/>
          <w:sz w:val="16"/>
          <w:szCs w:val="16"/>
        </w:rPr>
      </w:pPr>
      <w:r>
        <w:rPr>
          <w:rStyle w:val="Refdenotaalpie"/>
        </w:rPr>
        <w:footnoteRef/>
      </w:r>
      <w:r>
        <w:t xml:space="preserve"> </w:t>
      </w:r>
      <w:r w:rsidRPr="006D210D">
        <w:rPr>
          <w:rStyle w:val="bold"/>
          <w:rFonts w:ascii="Arial" w:eastAsia="PMingLiU" w:hAnsi="Arial" w:cs="Arial"/>
          <w:b/>
          <w:bCs/>
          <w:color w:val="212529"/>
          <w:sz w:val="16"/>
          <w:szCs w:val="16"/>
        </w:rPr>
        <w:t>Registro digital: </w:t>
      </w:r>
      <w:r w:rsidRPr="006D210D">
        <w:rPr>
          <w:rFonts w:ascii="Arial" w:hAnsi="Arial" w:cs="Arial"/>
          <w:color w:val="212529"/>
          <w:sz w:val="16"/>
          <w:szCs w:val="16"/>
        </w:rPr>
        <w:t xml:space="preserve">164225, </w:t>
      </w:r>
      <w:r w:rsidRPr="006D210D">
        <w:rPr>
          <w:rStyle w:val="bold"/>
          <w:rFonts w:ascii="Arial" w:eastAsia="PMingLiU" w:hAnsi="Arial" w:cs="Arial"/>
          <w:b/>
          <w:bCs/>
          <w:color w:val="212529"/>
          <w:sz w:val="16"/>
          <w:szCs w:val="16"/>
        </w:rPr>
        <w:t>Instancia: </w:t>
      </w:r>
      <w:r w:rsidRPr="006D210D">
        <w:rPr>
          <w:rFonts w:ascii="Arial" w:hAnsi="Arial" w:cs="Arial"/>
          <w:color w:val="212529"/>
          <w:sz w:val="16"/>
          <w:szCs w:val="16"/>
        </w:rPr>
        <w:t xml:space="preserve">Segunda Sala, </w:t>
      </w:r>
      <w:r w:rsidRPr="006D210D">
        <w:rPr>
          <w:rStyle w:val="bold"/>
          <w:rFonts w:ascii="Arial" w:eastAsia="PMingLiU" w:hAnsi="Arial" w:cs="Arial"/>
          <w:b/>
          <w:bCs/>
          <w:color w:val="212529"/>
          <w:sz w:val="16"/>
          <w:szCs w:val="16"/>
        </w:rPr>
        <w:t>Novena Época</w:t>
      </w:r>
      <w:r>
        <w:rPr>
          <w:rStyle w:val="bold"/>
          <w:rFonts w:ascii="Arial" w:eastAsia="PMingLiU" w:hAnsi="Arial" w:cs="Arial"/>
          <w:b/>
          <w:bCs/>
          <w:color w:val="212529"/>
          <w:sz w:val="16"/>
          <w:szCs w:val="16"/>
        </w:rPr>
        <w:t xml:space="preserve">, </w:t>
      </w:r>
      <w:r w:rsidRPr="006D210D">
        <w:rPr>
          <w:rStyle w:val="bold"/>
          <w:rFonts w:ascii="Arial" w:eastAsia="PMingLiU" w:hAnsi="Arial" w:cs="Arial"/>
          <w:b/>
          <w:bCs/>
          <w:color w:val="212529"/>
          <w:sz w:val="16"/>
          <w:szCs w:val="16"/>
        </w:rPr>
        <w:t>Materia(s): </w:t>
      </w:r>
      <w:r w:rsidRPr="006D210D">
        <w:rPr>
          <w:rFonts w:ascii="Arial" w:hAnsi="Arial" w:cs="Arial"/>
          <w:color w:val="212529"/>
          <w:sz w:val="16"/>
          <w:szCs w:val="16"/>
        </w:rPr>
        <w:t xml:space="preserve">Constitucional, Laboral, </w:t>
      </w:r>
      <w:r w:rsidRPr="006D210D">
        <w:rPr>
          <w:rStyle w:val="bold"/>
          <w:rFonts w:ascii="Arial" w:eastAsia="PMingLiU" w:hAnsi="Arial" w:cs="Arial"/>
          <w:b/>
          <w:bCs/>
          <w:color w:val="212529"/>
          <w:sz w:val="16"/>
          <w:szCs w:val="16"/>
        </w:rPr>
        <w:t>Tesis: </w:t>
      </w:r>
      <w:r w:rsidRPr="006D210D">
        <w:rPr>
          <w:rFonts w:ascii="Arial" w:hAnsi="Arial" w:cs="Arial"/>
          <w:color w:val="212529"/>
          <w:sz w:val="16"/>
          <w:szCs w:val="16"/>
        </w:rPr>
        <w:t xml:space="preserve">2a./J. 103/2010, </w:t>
      </w:r>
      <w:r w:rsidRPr="006D210D">
        <w:rPr>
          <w:rStyle w:val="bold"/>
          <w:rFonts w:ascii="Arial" w:eastAsia="PMingLiU" w:hAnsi="Arial" w:cs="Arial"/>
          <w:b/>
          <w:bCs/>
          <w:color w:val="212529"/>
          <w:sz w:val="16"/>
          <w:szCs w:val="16"/>
        </w:rPr>
        <w:t>Fuente: </w:t>
      </w:r>
      <w:r w:rsidRPr="006D210D">
        <w:rPr>
          <w:rFonts w:ascii="Arial" w:hAnsi="Arial" w:cs="Arial"/>
          <w:color w:val="212529"/>
          <w:sz w:val="16"/>
          <w:szCs w:val="16"/>
        </w:rPr>
        <w:t xml:space="preserve">Semanario Judicial de la Federación y su Gaceta, </w:t>
      </w:r>
      <w:r w:rsidRPr="006D210D">
        <w:rPr>
          <w:rStyle w:val="ng-star-inserted"/>
          <w:rFonts w:ascii="Arial" w:hAnsi="Arial" w:cs="Arial"/>
          <w:color w:val="212529"/>
          <w:sz w:val="16"/>
          <w:szCs w:val="16"/>
        </w:rPr>
        <w:t xml:space="preserve">Tomo XXXII, Julio de 2010, página 310, </w:t>
      </w:r>
      <w:r w:rsidRPr="006D210D">
        <w:rPr>
          <w:rStyle w:val="bold"/>
          <w:rFonts w:ascii="Arial" w:eastAsia="PMingLiU" w:hAnsi="Arial" w:cs="Arial"/>
          <w:b/>
          <w:bCs/>
          <w:color w:val="212529"/>
          <w:sz w:val="16"/>
          <w:szCs w:val="16"/>
        </w:rPr>
        <w:t>Tipo: </w:t>
      </w:r>
      <w:r w:rsidRPr="006D210D">
        <w:rPr>
          <w:rFonts w:ascii="Arial" w:hAnsi="Arial" w:cs="Arial"/>
          <w:color w:val="212529"/>
          <w:sz w:val="16"/>
          <w:szCs w:val="16"/>
        </w:rPr>
        <w:t>Jurisprudencia</w:t>
      </w:r>
    </w:p>
    <w:p w14:paraId="753E2CEB" w14:textId="521BF8AA" w:rsidR="006D210D" w:rsidRDefault="006D210D" w:rsidP="006D210D">
      <w:pPr>
        <w:pStyle w:val="temp"/>
        <w:shd w:val="clear" w:color="auto" w:fill="FFFFFF"/>
        <w:spacing w:before="0" w:beforeAutospacing="0" w:after="0" w:afterAutospacing="0" w:line="375" w:lineRule="atLeast"/>
        <w:jc w:val="both"/>
        <w:rPr>
          <w:rFonts w:ascii="Calibri" w:hAnsi="Calibri" w:cs="Calibri"/>
          <w:color w:val="212529"/>
          <w:sz w:val="26"/>
          <w:szCs w:val="26"/>
        </w:rPr>
      </w:pPr>
    </w:p>
    <w:p w14:paraId="3EC77E46" w14:textId="6D4E288F" w:rsidR="006D210D" w:rsidRDefault="006D210D">
      <w:pPr>
        <w:pStyle w:val="Textonotapie"/>
      </w:pPr>
    </w:p>
  </w:footnote>
  <w:footnote w:id="10">
    <w:p w14:paraId="36F85561" w14:textId="469AE3D8" w:rsidR="00475A75" w:rsidRDefault="00475A75" w:rsidP="00475A75">
      <w:pPr>
        <w:pStyle w:val="Textonotapie"/>
        <w:jc w:val="both"/>
      </w:pPr>
      <w:r>
        <w:rPr>
          <w:rStyle w:val="Refdenotaalpie"/>
        </w:rPr>
        <w:footnoteRef/>
      </w:r>
      <w:r>
        <w:t xml:space="preserve"> </w:t>
      </w:r>
      <w:r w:rsidRPr="00475A75">
        <w:rPr>
          <w:rFonts w:ascii="Arial" w:hAnsi="Arial" w:cs="Arial"/>
          <w:sz w:val="16"/>
          <w:szCs w:val="16"/>
        </w:rPr>
        <w:t>Registro digital: 2013440, Instancia: Segunda Sala, Décima Época, Materia(s): Constitucional, Laboral, Tesis: 2a./J. 198/2016 (10a.), Fuente: Gaceta del Semanario Judicial de la Federación, Libro 38, Enero de 2017, Tomo I, página 505</w:t>
      </w:r>
    </w:p>
  </w:footnote>
  <w:footnote w:id="11">
    <w:p w14:paraId="0B42FC45" w14:textId="421BD9CF" w:rsidR="00C47FCE" w:rsidRDefault="00C47FCE" w:rsidP="00C47FCE">
      <w:pPr>
        <w:pStyle w:val="Textonotapie"/>
        <w:jc w:val="both"/>
        <w:rPr>
          <w:rFonts w:ascii="Arial Narrow" w:hAnsi="Arial Narrow"/>
          <w:sz w:val="16"/>
          <w:szCs w:val="16"/>
        </w:rPr>
      </w:pPr>
      <w:r>
        <w:rPr>
          <w:rStyle w:val="Refdenotaalpie"/>
        </w:rPr>
        <w:footnoteRef/>
      </w:r>
      <w:r>
        <w:t xml:space="preserve"> </w:t>
      </w:r>
      <w:r w:rsidRPr="00C47FCE">
        <w:rPr>
          <w:rFonts w:ascii="Arial Narrow" w:hAnsi="Arial Narrow"/>
          <w:sz w:val="16"/>
          <w:szCs w:val="16"/>
        </w:rPr>
        <w:t>Registro digital: 2003103, Instancia: Tribunales Colegiados de Circuito, Décima Época, Materia(s): Constitucional, Administrativa, Tesis: IV.1o.A.2 A (10a.), Fuente: Semanario Judicial de la Federación y su Gaceta, Libro XVIII, Marzo de 2013, Tomo 3, página 2050, Tipo: Aislada</w:t>
      </w:r>
    </w:p>
    <w:p w14:paraId="417FC1C0" w14:textId="77777777" w:rsidR="00C47FCE" w:rsidRDefault="00C47FCE" w:rsidP="00C47FCE">
      <w:pPr>
        <w:pStyle w:val="Textonotapie"/>
        <w:jc w:val="both"/>
      </w:pPr>
    </w:p>
  </w:footnote>
  <w:footnote w:id="12">
    <w:p w14:paraId="2C634AEB" w14:textId="47A583A7" w:rsidR="00C47FCE" w:rsidRDefault="00C47FCE" w:rsidP="00C47FCE">
      <w:pPr>
        <w:pStyle w:val="Textonotapie"/>
      </w:pPr>
      <w:r>
        <w:rPr>
          <w:rStyle w:val="Refdenotaalpie"/>
        </w:rPr>
        <w:footnoteRef/>
      </w:r>
      <w:r>
        <w:t xml:space="preserve"> </w:t>
      </w:r>
      <w:r w:rsidRPr="00C47FCE">
        <w:rPr>
          <w:rFonts w:ascii="Arial Narrow" w:hAnsi="Arial Narrow"/>
          <w:sz w:val="16"/>
          <w:szCs w:val="16"/>
        </w:rPr>
        <w:t>Registro digital: 2001768, Instancia: Segunda Sala, Décima Época, Materia(s): Constitucional, Laboral, Tesis: 2a./J. 109/2012 (10a.), Fuente: Semanario Judicial de la Federación y su Gaceta, Libro XII, Septiembre de 2012, Tomo 2, página 616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68780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8052B2" w:rsidRPr="008052B2">
          <w:rPr>
            <w:noProof/>
            <w:lang w:val="es-ES"/>
          </w:rPr>
          <w:t>18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938B7" w14:textId="77777777" w:rsidR="00676979" w:rsidRDefault="00676979" w:rsidP="00676979">
    <w:pPr>
      <w:pStyle w:val="Encabezado"/>
      <w:jc w:val="center"/>
    </w:pPr>
    <w:sdt>
      <w:sdtPr>
        <w:id w:val="1629737491"/>
        <w:docPartObj>
          <w:docPartGallery w:val="Page Numbers (Top of Page)"/>
          <w:docPartUnique/>
        </w:docPartObj>
      </w:sdtPr>
      <w:sdtContent>
        <w:r>
          <w:fldChar w:fldCharType="begin"/>
        </w:r>
        <w:r>
          <w:instrText>PAGE   \* MERGEFORMAT</w:instrText>
        </w:r>
        <w:r>
          <w:fldChar w:fldCharType="separate"/>
        </w:r>
        <w:r w:rsidR="008052B2" w:rsidRPr="008052B2">
          <w:rPr>
            <w:noProof/>
            <w:lang w:val="es-ES"/>
          </w:rPr>
          <w:t>19</w:t>
        </w:r>
        <w:r>
          <w:fldChar w:fldCharType="end"/>
        </w:r>
        <w:r>
          <w:t xml:space="preserve">   </w:t>
        </w:r>
        <w:r>
          <w:rPr>
            <w:rFonts w:ascii="Arial" w:hAnsi="Arial" w:cs="Arial"/>
            <w:b/>
            <w:color w:val="0070C0"/>
          </w:rPr>
          <w:t xml:space="preserve">DATOS PERSONALES PROTEGIDOS POR EL ARTÍCULO 116 DE LA LGTAIP Y ARTÍCULO 61 DE LA LTAIPBGEO </w:t>
        </w:r>
      </w:sdtContent>
    </w:sdt>
  </w:p>
  <w:p w14:paraId="64315180" w14:textId="6B78744B" w:rsidR="00676979" w:rsidRDefault="00676979">
    <w:pPr>
      <w:pStyle w:val="Encabezado"/>
    </w:pPr>
  </w:p>
  <w:p w14:paraId="51E22156" w14:textId="507415C2" w:rsidR="00A360DF" w:rsidRDefault="00687803" w:rsidP="00927607">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68780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35C00C4"/>
    <w:multiLevelType w:val="hybridMultilevel"/>
    <w:tmpl w:val="0E60EE8A"/>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6"/>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2EF"/>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1E4"/>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4FBC"/>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4629"/>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830"/>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3ACF"/>
    <w:rsid w:val="00194B7B"/>
    <w:rsid w:val="001951A3"/>
    <w:rsid w:val="00195583"/>
    <w:rsid w:val="001A0745"/>
    <w:rsid w:val="001A1302"/>
    <w:rsid w:val="001A16CC"/>
    <w:rsid w:val="001A18E1"/>
    <w:rsid w:val="001A2144"/>
    <w:rsid w:val="001A2E1D"/>
    <w:rsid w:val="001A2FDB"/>
    <w:rsid w:val="001A3755"/>
    <w:rsid w:val="001A4127"/>
    <w:rsid w:val="001A4BB4"/>
    <w:rsid w:val="001A4E1C"/>
    <w:rsid w:val="001A554E"/>
    <w:rsid w:val="001A6EBE"/>
    <w:rsid w:val="001A6F68"/>
    <w:rsid w:val="001A77FB"/>
    <w:rsid w:val="001B009D"/>
    <w:rsid w:val="001B035C"/>
    <w:rsid w:val="001B046F"/>
    <w:rsid w:val="001B13DB"/>
    <w:rsid w:val="001B17F6"/>
    <w:rsid w:val="001B341D"/>
    <w:rsid w:val="001B3A10"/>
    <w:rsid w:val="001B3B5C"/>
    <w:rsid w:val="001B55D7"/>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04FB"/>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80C"/>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5B60"/>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6D5"/>
    <w:rsid w:val="00280919"/>
    <w:rsid w:val="00281661"/>
    <w:rsid w:val="00282C81"/>
    <w:rsid w:val="00283B3F"/>
    <w:rsid w:val="002841EE"/>
    <w:rsid w:val="002844AF"/>
    <w:rsid w:val="002846A7"/>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5F"/>
    <w:rsid w:val="002B6893"/>
    <w:rsid w:val="002B6B9D"/>
    <w:rsid w:val="002B6C19"/>
    <w:rsid w:val="002B6D0D"/>
    <w:rsid w:val="002B76FB"/>
    <w:rsid w:val="002B79C4"/>
    <w:rsid w:val="002C01BF"/>
    <w:rsid w:val="002C06FE"/>
    <w:rsid w:val="002C0988"/>
    <w:rsid w:val="002C0FDA"/>
    <w:rsid w:val="002C1108"/>
    <w:rsid w:val="002C1D11"/>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124"/>
    <w:rsid w:val="00321643"/>
    <w:rsid w:val="00321722"/>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727"/>
    <w:rsid w:val="00333962"/>
    <w:rsid w:val="00333B62"/>
    <w:rsid w:val="00333E45"/>
    <w:rsid w:val="0033404E"/>
    <w:rsid w:val="00334A65"/>
    <w:rsid w:val="003364DB"/>
    <w:rsid w:val="00336A8D"/>
    <w:rsid w:val="00336C9A"/>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3D23"/>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A730F"/>
    <w:rsid w:val="003A7E99"/>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4C3"/>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339"/>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71F"/>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5E69"/>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67711"/>
    <w:rsid w:val="0047274B"/>
    <w:rsid w:val="00472B3D"/>
    <w:rsid w:val="00472D90"/>
    <w:rsid w:val="00473EB5"/>
    <w:rsid w:val="00475A7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2A5"/>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D13"/>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3E28"/>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4FE"/>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6979"/>
    <w:rsid w:val="006775C4"/>
    <w:rsid w:val="0068056E"/>
    <w:rsid w:val="00681AC1"/>
    <w:rsid w:val="00681EE7"/>
    <w:rsid w:val="00682165"/>
    <w:rsid w:val="00683178"/>
    <w:rsid w:val="0068325D"/>
    <w:rsid w:val="00684F50"/>
    <w:rsid w:val="00685785"/>
    <w:rsid w:val="00685E24"/>
    <w:rsid w:val="00686F6A"/>
    <w:rsid w:val="00687803"/>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66"/>
    <w:rsid w:val="006C1F9E"/>
    <w:rsid w:val="006C2F23"/>
    <w:rsid w:val="006C408C"/>
    <w:rsid w:val="006C44AE"/>
    <w:rsid w:val="006C456A"/>
    <w:rsid w:val="006C564D"/>
    <w:rsid w:val="006C671F"/>
    <w:rsid w:val="006C6F3C"/>
    <w:rsid w:val="006C6FB7"/>
    <w:rsid w:val="006D007C"/>
    <w:rsid w:val="006D06F5"/>
    <w:rsid w:val="006D120B"/>
    <w:rsid w:val="006D210D"/>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6DD"/>
    <w:rsid w:val="006E698C"/>
    <w:rsid w:val="006E6A36"/>
    <w:rsid w:val="006E7F21"/>
    <w:rsid w:val="006F0329"/>
    <w:rsid w:val="006F0642"/>
    <w:rsid w:val="006F0771"/>
    <w:rsid w:val="006F0913"/>
    <w:rsid w:val="006F2412"/>
    <w:rsid w:val="006F2A57"/>
    <w:rsid w:val="006F3230"/>
    <w:rsid w:val="006F3FE0"/>
    <w:rsid w:val="006F462B"/>
    <w:rsid w:val="006F4D52"/>
    <w:rsid w:val="006F50EB"/>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6AF"/>
    <w:rsid w:val="00752C85"/>
    <w:rsid w:val="00752CFC"/>
    <w:rsid w:val="007562AF"/>
    <w:rsid w:val="00756771"/>
    <w:rsid w:val="00756A0B"/>
    <w:rsid w:val="00757070"/>
    <w:rsid w:val="0075716B"/>
    <w:rsid w:val="00757251"/>
    <w:rsid w:val="007573A2"/>
    <w:rsid w:val="00757BFC"/>
    <w:rsid w:val="00757FD7"/>
    <w:rsid w:val="00760108"/>
    <w:rsid w:val="00760444"/>
    <w:rsid w:val="00760AB6"/>
    <w:rsid w:val="00760DD6"/>
    <w:rsid w:val="00761447"/>
    <w:rsid w:val="00761706"/>
    <w:rsid w:val="00762460"/>
    <w:rsid w:val="00762B99"/>
    <w:rsid w:val="00765137"/>
    <w:rsid w:val="007656A2"/>
    <w:rsid w:val="00766389"/>
    <w:rsid w:val="007677CD"/>
    <w:rsid w:val="007677EC"/>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14D"/>
    <w:rsid w:val="007A65AF"/>
    <w:rsid w:val="007A719C"/>
    <w:rsid w:val="007A726F"/>
    <w:rsid w:val="007A757A"/>
    <w:rsid w:val="007B08F4"/>
    <w:rsid w:val="007B0A40"/>
    <w:rsid w:val="007B14D2"/>
    <w:rsid w:val="007B34BC"/>
    <w:rsid w:val="007B38A6"/>
    <w:rsid w:val="007B3FF3"/>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2B2"/>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6DE1"/>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6476"/>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0A6A"/>
    <w:rsid w:val="00851000"/>
    <w:rsid w:val="00851789"/>
    <w:rsid w:val="0085227D"/>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576"/>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134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39B"/>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7FE"/>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0EE"/>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2B94"/>
    <w:rsid w:val="0099370A"/>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235"/>
    <w:rsid w:val="009C0461"/>
    <w:rsid w:val="009C1468"/>
    <w:rsid w:val="009C16E5"/>
    <w:rsid w:val="009C24D1"/>
    <w:rsid w:val="009C3841"/>
    <w:rsid w:val="009C5F7E"/>
    <w:rsid w:val="009C607A"/>
    <w:rsid w:val="009C6929"/>
    <w:rsid w:val="009C6A52"/>
    <w:rsid w:val="009C72C2"/>
    <w:rsid w:val="009D018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59CB"/>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1B0"/>
    <w:rsid w:val="00A966F4"/>
    <w:rsid w:val="00A96770"/>
    <w:rsid w:val="00A97932"/>
    <w:rsid w:val="00A979F7"/>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E603D"/>
    <w:rsid w:val="00AF1629"/>
    <w:rsid w:val="00AF1B42"/>
    <w:rsid w:val="00AF2172"/>
    <w:rsid w:val="00AF3B8C"/>
    <w:rsid w:val="00AF3E80"/>
    <w:rsid w:val="00AF4CB2"/>
    <w:rsid w:val="00AF4E0C"/>
    <w:rsid w:val="00AF4E17"/>
    <w:rsid w:val="00AF5B71"/>
    <w:rsid w:val="00AF5CF1"/>
    <w:rsid w:val="00AF67FD"/>
    <w:rsid w:val="00AF6C6B"/>
    <w:rsid w:val="00AF6E07"/>
    <w:rsid w:val="00AF72B1"/>
    <w:rsid w:val="00B0093A"/>
    <w:rsid w:val="00B00AAC"/>
    <w:rsid w:val="00B00C61"/>
    <w:rsid w:val="00B02152"/>
    <w:rsid w:val="00B0229E"/>
    <w:rsid w:val="00B02BB1"/>
    <w:rsid w:val="00B02FB6"/>
    <w:rsid w:val="00B03ACC"/>
    <w:rsid w:val="00B03EC0"/>
    <w:rsid w:val="00B04123"/>
    <w:rsid w:val="00B049EC"/>
    <w:rsid w:val="00B04DD6"/>
    <w:rsid w:val="00B050D6"/>
    <w:rsid w:val="00B0768C"/>
    <w:rsid w:val="00B10264"/>
    <w:rsid w:val="00B1212B"/>
    <w:rsid w:val="00B125A0"/>
    <w:rsid w:val="00B13177"/>
    <w:rsid w:val="00B13E8D"/>
    <w:rsid w:val="00B15165"/>
    <w:rsid w:val="00B15852"/>
    <w:rsid w:val="00B15D69"/>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067"/>
    <w:rsid w:val="00B4207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179"/>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816"/>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4F83"/>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5D9F"/>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570"/>
    <w:rsid w:val="00C46708"/>
    <w:rsid w:val="00C474EF"/>
    <w:rsid w:val="00C47FCE"/>
    <w:rsid w:val="00C500D2"/>
    <w:rsid w:val="00C50922"/>
    <w:rsid w:val="00C51440"/>
    <w:rsid w:val="00C52089"/>
    <w:rsid w:val="00C53E87"/>
    <w:rsid w:val="00C55CDE"/>
    <w:rsid w:val="00C56885"/>
    <w:rsid w:val="00C56AE3"/>
    <w:rsid w:val="00C56D06"/>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238F"/>
    <w:rsid w:val="00C83543"/>
    <w:rsid w:val="00C83651"/>
    <w:rsid w:val="00C83754"/>
    <w:rsid w:val="00C83F2B"/>
    <w:rsid w:val="00C84998"/>
    <w:rsid w:val="00C855DB"/>
    <w:rsid w:val="00C85611"/>
    <w:rsid w:val="00C9111E"/>
    <w:rsid w:val="00C91446"/>
    <w:rsid w:val="00C91857"/>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F36"/>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BA9"/>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108"/>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39A"/>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CB5"/>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364"/>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D3C"/>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7A6"/>
    <w:rsid w:val="00DD7107"/>
    <w:rsid w:val="00DD7A5E"/>
    <w:rsid w:val="00DD7A78"/>
    <w:rsid w:val="00DE00F6"/>
    <w:rsid w:val="00DE1132"/>
    <w:rsid w:val="00DE1E31"/>
    <w:rsid w:val="00DE22AD"/>
    <w:rsid w:val="00DE2870"/>
    <w:rsid w:val="00DE2952"/>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74E"/>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5DC0"/>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031"/>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1B96"/>
    <w:rsid w:val="00E92595"/>
    <w:rsid w:val="00E92FE6"/>
    <w:rsid w:val="00E93342"/>
    <w:rsid w:val="00E94929"/>
    <w:rsid w:val="00E9535A"/>
    <w:rsid w:val="00E9569C"/>
    <w:rsid w:val="00E968B6"/>
    <w:rsid w:val="00E96D3C"/>
    <w:rsid w:val="00E97839"/>
    <w:rsid w:val="00E97BE5"/>
    <w:rsid w:val="00EA1756"/>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D45"/>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63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6686806">
      <w:bodyDiv w:val="1"/>
      <w:marLeft w:val="0"/>
      <w:marRight w:val="0"/>
      <w:marTop w:val="0"/>
      <w:marBottom w:val="0"/>
      <w:divBdr>
        <w:top w:val="none" w:sz="0" w:space="0" w:color="auto"/>
        <w:left w:val="none" w:sz="0" w:space="0" w:color="auto"/>
        <w:bottom w:val="none" w:sz="0" w:space="0" w:color="auto"/>
        <w:right w:val="none" w:sz="0" w:space="0" w:color="auto"/>
      </w:divBdr>
      <w:divsChild>
        <w:div w:id="1777826103">
          <w:marLeft w:val="0"/>
          <w:marRight w:val="0"/>
          <w:marTop w:val="0"/>
          <w:marBottom w:val="0"/>
          <w:divBdr>
            <w:top w:val="none" w:sz="0" w:space="0" w:color="auto"/>
            <w:left w:val="none" w:sz="0" w:space="0" w:color="auto"/>
            <w:bottom w:val="none" w:sz="0" w:space="0" w:color="auto"/>
            <w:right w:val="none" w:sz="0" w:space="0" w:color="auto"/>
          </w:divBdr>
        </w:div>
        <w:div w:id="1778283862">
          <w:marLeft w:val="0"/>
          <w:marRight w:val="0"/>
          <w:marTop w:val="0"/>
          <w:marBottom w:val="0"/>
          <w:divBdr>
            <w:top w:val="none" w:sz="0" w:space="0" w:color="auto"/>
            <w:left w:val="none" w:sz="0" w:space="0" w:color="auto"/>
            <w:bottom w:val="none" w:sz="0" w:space="0" w:color="auto"/>
            <w:right w:val="none" w:sz="0" w:space="0" w:color="auto"/>
          </w:divBdr>
        </w:div>
        <w:div w:id="244799097">
          <w:marLeft w:val="0"/>
          <w:marRight w:val="0"/>
          <w:marTop w:val="0"/>
          <w:marBottom w:val="0"/>
          <w:divBdr>
            <w:top w:val="none" w:sz="0" w:space="0" w:color="auto"/>
            <w:left w:val="none" w:sz="0" w:space="0" w:color="auto"/>
            <w:bottom w:val="none" w:sz="0" w:space="0" w:color="auto"/>
            <w:right w:val="none" w:sz="0" w:space="0" w:color="auto"/>
          </w:divBdr>
        </w:div>
        <w:div w:id="2086413510">
          <w:marLeft w:val="0"/>
          <w:marRight w:val="0"/>
          <w:marTop w:val="0"/>
          <w:marBottom w:val="0"/>
          <w:divBdr>
            <w:top w:val="none" w:sz="0" w:space="0" w:color="auto"/>
            <w:left w:val="none" w:sz="0" w:space="0" w:color="auto"/>
            <w:bottom w:val="none" w:sz="0" w:space="0" w:color="auto"/>
            <w:right w:val="none" w:sz="0" w:space="0" w:color="auto"/>
          </w:divBdr>
        </w:div>
        <w:div w:id="1648897178">
          <w:marLeft w:val="0"/>
          <w:marRight w:val="0"/>
          <w:marTop w:val="0"/>
          <w:marBottom w:val="0"/>
          <w:divBdr>
            <w:top w:val="none" w:sz="0" w:space="0" w:color="auto"/>
            <w:left w:val="none" w:sz="0" w:space="0" w:color="auto"/>
            <w:bottom w:val="none" w:sz="0" w:space="0" w:color="auto"/>
            <w:right w:val="none" w:sz="0" w:space="0" w:color="auto"/>
          </w:divBdr>
        </w:div>
        <w:div w:id="357967321">
          <w:marLeft w:val="0"/>
          <w:marRight w:val="0"/>
          <w:marTop w:val="0"/>
          <w:marBottom w:val="0"/>
          <w:divBdr>
            <w:top w:val="none" w:sz="0" w:space="0" w:color="auto"/>
            <w:left w:val="none" w:sz="0" w:space="0" w:color="auto"/>
            <w:bottom w:val="none" w:sz="0" w:space="0" w:color="auto"/>
            <w:right w:val="none" w:sz="0" w:space="0" w:color="auto"/>
          </w:divBdr>
        </w:div>
        <w:div w:id="2084448526">
          <w:marLeft w:val="0"/>
          <w:marRight w:val="0"/>
          <w:marTop w:val="0"/>
          <w:marBottom w:val="0"/>
          <w:divBdr>
            <w:top w:val="none" w:sz="0" w:space="0" w:color="auto"/>
            <w:left w:val="none" w:sz="0" w:space="0" w:color="auto"/>
            <w:bottom w:val="none" w:sz="0" w:space="0" w:color="auto"/>
            <w:right w:val="none" w:sz="0" w:space="0" w:color="auto"/>
          </w:divBdr>
        </w:div>
      </w:divsChild>
    </w:div>
    <w:div w:id="239683902">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488980266">
      <w:bodyDiv w:val="1"/>
      <w:marLeft w:val="0"/>
      <w:marRight w:val="0"/>
      <w:marTop w:val="0"/>
      <w:marBottom w:val="0"/>
      <w:divBdr>
        <w:top w:val="none" w:sz="0" w:space="0" w:color="auto"/>
        <w:left w:val="none" w:sz="0" w:space="0" w:color="auto"/>
        <w:bottom w:val="none" w:sz="0" w:space="0" w:color="auto"/>
        <w:right w:val="none" w:sz="0" w:space="0" w:color="auto"/>
      </w:divBdr>
      <w:divsChild>
        <w:div w:id="1375423616">
          <w:marLeft w:val="0"/>
          <w:marRight w:val="0"/>
          <w:marTop w:val="0"/>
          <w:marBottom w:val="0"/>
          <w:divBdr>
            <w:top w:val="none" w:sz="0" w:space="0" w:color="auto"/>
            <w:left w:val="none" w:sz="0" w:space="0" w:color="auto"/>
            <w:bottom w:val="none" w:sz="0" w:space="0" w:color="auto"/>
            <w:right w:val="none" w:sz="0" w:space="0" w:color="auto"/>
          </w:divBdr>
        </w:div>
        <w:div w:id="1599868977">
          <w:marLeft w:val="0"/>
          <w:marRight w:val="0"/>
          <w:marTop w:val="0"/>
          <w:marBottom w:val="0"/>
          <w:divBdr>
            <w:top w:val="none" w:sz="0" w:space="0" w:color="auto"/>
            <w:left w:val="none" w:sz="0" w:space="0" w:color="auto"/>
            <w:bottom w:val="none" w:sz="0" w:space="0" w:color="auto"/>
            <w:right w:val="none" w:sz="0" w:space="0" w:color="auto"/>
          </w:divBdr>
        </w:div>
        <w:div w:id="789134148">
          <w:marLeft w:val="0"/>
          <w:marRight w:val="0"/>
          <w:marTop w:val="0"/>
          <w:marBottom w:val="0"/>
          <w:divBdr>
            <w:top w:val="none" w:sz="0" w:space="0" w:color="auto"/>
            <w:left w:val="none" w:sz="0" w:space="0" w:color="auto"/>
            <w:bottom w:val="none" w:sz="0" w:space="0" w:color="auto"/>
            <w:right w:val="none" w:sz="0" w:space="0" w:color="auto"/>
          </w:divBdr>
        </w:div>
        <w:div w:id="985740313">
          <w:marLeft w:val="0"/>
          <w:marRight w:val="0"/>
          <w:marTop w:val="0"/>
          <w:marBottom w:val="0"/>
          <w:divBdr>
            <w:top w:val="none" w:sz="0" w:space="0" w:color="auto"/>
            <w:left w:val="none" w:sz="0" w:space="0" w:color="auto"/>
            <w:bottom w:val="none" w:sz="0" w:space="0" w:color="auto"/>
            <w:right w:val="none" w:sz="0" w:space="0" w:color="auto"/>
          </w:divBdr>
        </w:div>
        <w:div w:id="978730294">
          <w:marLeft w:val="0"/>
          <w:marRight w:val="0"/>
          <w:marTop w:val="0"/>
          <w:marBottom w:val="0"/>
          <w:divBdr>
            <w:top w:val="none" w:sz="0" w:space="0" w:color="auto"/>
            <w:left w:val="none" w:sz="0" w:space="0" w:color="auto"/>
            <w:bottom w:val="none" w:sz="0" w:space="0" w:color="auto"/>
            <w:right w:val="none" w:sz="0" w:space="0" w:color="auto"/>
          </w:divBdr>
        </w:div>
        <w:div w:id="1222210209">
          <w:marLeft w:val="0"/>
          <w:marRight w:val="0"/>
          <w:marTop w:val="0"/>
          <w:marBottom w:val="0"/>
          <w:divBdr>
            <w:top w:val="none" w:sz="0" w:space="0" w:color="auto"/>
            <w:left w:val="none" w:sz="0" w:space="0" w:color="auto"/>
            <w:bottom w:val="none" w:sz="0" w:space="0" w:color="auto"/>
            <w:right w:val="none" w:sz="0" w:space="0" w:color="auto"/>
          </w:divBdr>
        </w:div>
        <w:div w:id="974139276">
          <w:marLeft w:val="0"/>
          <w:marRight w:val="0"/>
          <w:marTop w:val="0"/>
          <w:marBottom w:val="0"/>
          <w:divBdr>
            <w:top w:val="none" w:sz="0" w:space="0" w:color="auto"/>
            <w:left w:val="none" w:sz="0" w:space="0" w:color="auto"/>
            <w:bottom w:val="none" w:sz="0" w:space="0" w:color="auto"/>
            <w:right w:val="none" w:sz="0" w:space="0" w:color="auto"/>
          </w:divBdr>
        </w:div>
      </w:divsChild>
    </w:div>
    <w:div w:id="529605978">
      <w:bodyDiv w:val="1"/>
      <w:marLeft w:val="0"/>
      <w:marRight w:val="0"/>
      <w:marTop w:val="0"/>
      <w:marBottom w:val="0"/>
      <w:divBdr>
        <w:top w:val="none" w:sz="0" w:space="0" w:color="auto"/>
        <w:left w:val="none" w:sz="0" w:space="0" w:color="auto"/>
        <w:bottom w:val="none" w:sz="0" w:space="0" w:color="auto"/>
        <w:right w:val="none" w:sz="0" w:space="0" w:color="auto"/>
      </w:divBdr>
    </w:div>
    <w:div w:id="630592892">
      <w:bodyDiv w:val="1"/>
      <w:marLeft w:val="0"/>
      <w:marRight w:val="0"/>
      <w:marTop w:val="0"/>
      <w:marBottom w:val="0"/>
      <w:divBdr>
        <w:top w:val="none" w:sz="0" w:space="0" w:color="auto"/>
        <w:left w:val="none" w:sz="0" w:space="0" w:color="auto"/>
        <w:bottom w:val="none" w:sz="0" w:space="0" w:color="auto"/>
        <w:right w:val="none" w:sz="0" w:space="0" w:color="auto"/>
      </w:divBdr>
      <w:divsChild>
        <w:div w:id="93090467">
          <w:marLeft w:val="0"/>
          <w:marRight w:val="0"/>
          <w:marTop w:val="0"/>
          <w:marBottom w:val="0"/>
          <w:divBdr>
            <w:top w:val="none" w:sz="0" w:space="0" w:color="auto"/>
            <w:left w:val="none" w:sz="0" w:space="0" w:color="auto"/>
            <w:bottom w:val="none" w:sz="0" w:space="0" w:color="auto"/>
            <w:right w:val="none" w:sz="0" w:space="0" w:color="auto"/>
          </w:divBdr>
        </w:div>
        <w:div w:id="1974167593">
          <w:marLeft w:val="0"/>
          <w:marRight w:val="0"/>
          <w:marTop w:val="0"/>
          <w:marBottom w:val="0"/>
          <w:divBdr>
            <w:top w:val="none" w:sz="0" w:space="0" w:color="auto"/>
            <w:left w:val="none" w:sz="0" w:space="0" w:color="auto"/>
            <w:bottom w:val="none" w:sz="0" w:space="0" w:color="auto"/>
            <w:right w:val="none" w:sz="0" w:space="0" w:color="auto"/>
          </w:divBdr>
        </w:div>
        <w:div w:id="482164699">
          <w:marLeft w:val="0"/>
          <w:marRight w:val="0"/>
          <w:marTop w:val="0"/>
          <w:marBottom w:val="0"/>
          <w:divBdr>
            <w:top w:val="none" w:sz="0" w:space="0" w:color="auto"/>
            <w:left w:val="none" w:sz="0" w:space="0" w:color="auto"/>
            <w:bottom w:val="none" w:sz="0" w:space="0" w:color="auto"/>
            <w:right w:val="none" w:sz="0" w:space="0" w:color="auto"/>
          </w:divBdr>
        </w:div>
        <w:div w:id="1125613445">
          <w:marLeft w:val="0"/>
          <w:marRight w:val="0"/>
          <w:marTop w:val="0"/>
          <w:marBottom w:val="0"/>
          <w:divBdr>
            <w:top w:val="none" w:sz="0" w:space="0" w:color="auto"/>
            <w:left w:val="none" w:sz="0" w:space="0" w:color="auto"/>
            <w:bottom w:val="none" w:sz="0" w:space="0" w:color="auto"/>
            <w:right w:val="none" w:sz="0" w:space="0" w:color="auto"/>
          </w:divBdr>
        </w:div>
        <w:div w:id="878201758">
          <w:marLeft w:val="0"/>
          <w:marRight w:val="0"/>
          <w:marTop w:val="0"/>
          <w:marBottom w:val="0"/>
          <w:divBdr>
            <w:top w:val="none" w:sz="0" w:space="0" w:color="auto"/>
            <w:left w:val="none" w:sz="0" w:space="0" w:color="auto"/>
            <w:bottom w:val="none" w:sz="0" w:space="0" w:color="auto"/>
            <w:right w:val="none" w:sz="0" w:space="0" w:color="auto"/>
          </w:divBdr>
        </w:div>
        <w:div w:id="2011177716">
          <w:marLeft w:val="0"/>
          <w:marRight w:val="0"/>
          <w:marTop w:val="0"/>
          <w:marBottom w:val="0"/>
          <w:divBdr>
            <w:top w:val="none" w:sz="0" w:space="0" w:color="auto"/>
            <w:left w:val="none" w:sz="0" w:space="0" w:color="auto"/>
            <w:bottom w:val="none" w:sz="0" w:space="0" w:color="auto"/>
            <w:right w:val="none" w:sz="0" w:space="0" w:color="auto"/>
          </w:divBdr>
        </w:div>
        <w:div w:id="1826583407">
          <w:marLeft w:val="0"/>
          <w:marRight w:val="0"/>
          <w:marTop w:val="0"/>
          <w:marBottom w:val="0"/>
          <w:divBdr>
            <w:top w:val="none" w:sz="0" w:space="0" w:color="auto"/>
            <w:left w:val="none" w:sz="0" w:space="0" w:color="auto"/>
            <w:bottom w:val="none" w:sz="0" w:space="0" w:color="auto"/>
            <w:right w:val="none" w:sz="0" w:space="0" w:color="auto"/>
          </w:divBdr>
        </w:div>
      </w:divsChild>
    </w:div>
    <w:div w:id="766850791">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45057758">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077089780">
      <w:bodyDiv w:val="1"/>
      <w:marLeft w:val="0"/>
      <w:marRight w:val="0"/>
      <w:marTop w:val="0"/>
      <w:marBottom w:val="0"/>
      <w:divBdr>
        <w:top w:val="none" w:sz="0" w:space="0" w:color="auto"/>
        <w:left w:val="none" w:sz="0" w:space="0" w:color="auto"/>
        <w:bottom w:val="none" w:sz="0" w:space="0" w:color="auto"/>
        <w:right w:val="none" w:sz="0" w:space="0" w:color="auto"/>
      </w:divBdr>
    </w:div>
    <w:div w:id="1111439707">
      <w:bodyDiv w:val="1"/>
      <w:marLeft w:val="0"/>
      <w:marRight w:val="0"/>
      <w:marTop w:val="0"/>
      <w:marBottom w:val="0"/>
      <w:divBdr>
        <w:top w:val="none" w:sz="0" w:space="0" w:color="auto"/>
        <w:left w:val="none" w:sz="0" w:space="0" w:color="auto"/>
        <w:bottom w:val="none" w:sz="0" w:space="0" w:color="auto"/>
        <w:right w:val="none" w:sz="0" w:space="0" w:color="auto"/>
      </w:divBdr>
    </w:div>
    <w:div w:id="1129324085">
      <w:bodyDiv w:val="1"/>
      <w:marLeft w:val="0"/>
      <w:marRight w:val="0"/>
      <w:marTop w:val="0"/>
      <w:marBottom w:val="0"/>
      <w:divBdr>
        <w:top w:val="none" w:sz="0" w:space="0" w:color="auto"/>
        <w:left w:val="none" w:sz="0" w:space="0" w:color="auto"/>
        <w:bottom w:val="none" w:sz="0" w:space="0" w:color="auto"/>
        <w:right w:val="none" w:sz="0" w:space="0" w:color="auto"/>
      </w:divBdr>
    </w:div>
    <w:div w:id="1175262415">
      <w:bodyDiv w:val="1"/>
      <w:marLeft w:val="0"/>
      <w:marRight w:val="0"/>
      <w:marTop w:val="0"/>
      <w:marBottom w:val="0"/>
      <w:divBdr>
        <w:top w:val="none" w:sz="0" w:space="0" w:color="auto"/>
        <w:left w:val="none" w:sz="0" w:space="0" w:color="auto"/>
        <w:bottom w:val="none" w:sz="0" w:space="0" w:color="auto"/>
        <w:right w:val="none" w:sz="0" w:space="0" w:color="auto"/>
      </w:divBdr>
    </w:div>
    <w:div w:id="1195004502">
      <w:bodyDiv w:val="1"/>
      <w:marLeft w:val="0"/>
      <w:marRight w:val="0"/>
      <w:marTop w:val="0"/>
      <w:marBottom w:val="0"/>
      <w:divBdr>
        <w:top w:val="none" w:sz="0" w:space="0" w:color="auto"/>
        <w:left w:val="none" w:sz="0" w:space="0" w:color="auto"/>
        <w:bottom w:val="none" w:sz="0" w:space="0" w:color="auto"/>
        <w:right w:val="none" w:sz="0" w:space="0" w:color="auto"/>
      </w:divBdr>
      <w:divsChild>
        <w:div w:id="232855227">
          <w:marLeft w:val="0"/>
          <w:marRight w:val="0"/>
          <w:marTop w:val="0"/>
          <w:marBottom w:val="0"/>
          <w:divBdr>
            <w:top w:val="none" w:sz="0" w:space="0" w:color="auto"/>
            <w:left w:val="none" w:sz="0" w:space="0" w:color="auto"/>
            <w:bottom w:val="none" w:sz="0" w:space="0" w:color="auto"/>
            <w:right w:val="none" w:sz="0" w:space="0" w:color="auto"/>
          </w:divBdr>
        </w:div>
        <w:div w:id="36243755">
          <w:marLeft w:val="0"/>
          <w:marRight w:val="0"/>
          <w:marTop w:val="0"/>
          <w:marBottom w:val="0"/>
          <w:divBdr>
            <w:top w:val="none" w:sz="0" w:space="0" w:color="auto"/>
            <w:left w:val="none" w:sz="0" w:space="0" w:color="auto"/>
            <w:bottom w:val="none" w:sz="0" w:space="0" w:color="auto"/>
            <w:right w:val="none" w:sz="0" w:space="0" w:color="auto"/>
          </w:divBdr>
        </w:div>
        <w:div w:id="1159418790">
          <w:marLeft w:val="0"/>
          <w:marRight w:val="0"/>
          <w:marTop w:val="0"/>
          <w:marBottom w:val="0"/>
          <w:divBdr>
            <w:top w:val="none" w:sz="0" w:space="0" w:color="auto"/>
            <w:left w:val="none" w:sz="0" w:space="0" w:color="auto"/>
            <w:bottom w:val="none" w:sz="0" w:space="0" w:color="auto"/>
            <w:right w:val="none" w:sz="0" w:space="0" w:color="auto"/>
          </w:divBdr>
        </w:div>
        <w:div w:id="804395447">
          <w:marLeft w:val="0"/>
          <w:marRight w:val="0"/>
          <w:marTop w:val="0"/>
          <w:marBottom w:val="0"/>
          <w:divBdr>
            <w:top w:val="none" w:sz="0" w:space="0" w:color="auto"/>
            <w:left w:val="none" w:sz="0" w:space="0" w:color="auto"/>
            <w:bottom w:val="none" w:sz="0" w:space="0" w:color="auto"/>
            <w:right w:val="none" w:sz="0" w:space="0" w:color="auto"/>
          </w:divBdr>
        </w:div>
        <w:div w:id="373621985">
          <w:marLeft w:val="0"/>
          <w:marRight w:val="0"/>
          <w:marTop w:val="0"/>
          <w:marBottom w:val="0"/>
          <w:divBdr>
            <w:top w:val="none" w:sz="0" w:space="0" w:color="auto"/>
            <w:left w:val="none" w:sz="0" w:space="0" w:color="auto"/>
            <w:bottom w:val="none" w:sz="0" w:space="0" w:color="auto"/>
            <w:right w:val="none" w:sz="0" w:space="0" w:color="auto"/>
          </w:divBdr>
        </w:div>
        <w:div w:id="1154954155">
          <w:marLeft w:val="0"/>
          <w:marRight w:val="0"/>
          <w:marTop w:val="0"/>
          <w:marBottom w:val="0"/>
          <w:divBdr>
            <w:top w:val="none" w:sz="0" w:space="0" w:color="auto"/>
            <w:left w:val="none" w:sz="0" w:space="0" w:color="auto"/>
            <w:bottom w:val="none" w:sz="0" w:space="0" w:color="auto"/>
            <w:right w:val="none" w:sz="0" w:space="0" w:color="auto"/>
          </w:divBdr>
        </w:div>
      </w:divsChild>
    </w:div>
    <w:div w:id="1238394208">
      <w:bodyDiv w:val="1"/>
      <w:marLeft w:val="0"/>
      <w:marRight w:val="0"/>
      <w:marTop w:val="0"/>
      <w:marBottom w:val="0"/>
      <w:divBdr>
        <w:top w:val="none" w:sz="0" w:space="0" w:color="auto"/>
        <w:left w:val="none" w:sz="0" w:space="0" w:color="auto"/>
        <w:bottom w:val="none" w:sz="0" w:space="0" w:color="auto"/>
        <w:right w:val="none" w:sz="0" w:space="0" w:color="auto"/>
      </w:divBdr>
    </w:div>
    <w:div w:id="1255553030">
      <w:bodyDiv w:val="1"/>
      <w:marLeft w:val="0"/>
      <w:marRight w:val="0"/>
      <w:marTop w:val="0"/>
      <w:marBottom w:val="0"/>
      <w:divBdr>
        <w:top w:val="none" w:sz="0" w:space="0" w:color="auto"/>
        <w:left w:val="none" w:sz="0" w:space="0" w:color="auto"/>
        <w:bottom w:val="none" w:sz="0" w:space="0" w:color="auto"/>
        <w:right w:val="none" w:sz="0" w:space="0" w:color="auto"/>
      </w:divBdr>
      <w:divsChild>
        <w:div w:id="2100833792">
          <w:marLeft w:val="0"/>
          <w:marRight w:val="0"/>
          <w:marTop w:val="0"/>
          <w:marBottom w:val="0"/>
          <w:divBdr>
            <w:top w:val="none" w:sz="0" w:space="0" w:color="auto"/>
            <w:left w:val="none" w:sz="0" w:space="0" w:color="auto"/>
            <w:bottom w:val="none" w:sz="0" w:space="0" w:color="auto"/>
            <w:right w:val="none" w:sz="0" w:space="0" w:color="auto"/>
          </w:divBdr>
        </w:div>
        <w:div w:id="1152016927">
          <w:marLeft w:val="0"/>
          <w:marRight w:val="0"/>
          <w:marTop w:val="0"/>
          <w:marBottom w:val="0"/>
          <w:divBdr>
            <w:top w:val="none" w:sz="0" w:space="0" w:color="auto"/>
            <w:left w:val="none" w:sz="0" w:space="0" w:color="auto"/>
            <w:bottom w:val="none" w:sz="0" w:space="0" w:color="auto"/>
            <w:right w:val="none" w:sz="0" w:space="0" w:color="auto"/>
          </w:divBdr>
        </w:div>
        <w:div w:id="1582832506">
          <w:marLeft w:val="0"/>
          <w:marRight w:val="0"/>
          <w:marTop w:val="0"/>
          <w:marBottom w:val="0"/>
          <w:divBdr>
            <w:top w:val="none" w:sz="0" w:space="0" w:color="auto"/>
            <w:left w:val="none" w:sz="0" w:space="0" w:color="auto"/>
            <w:bottom w:val="none" w:sz="0" w:space="0" w:color="auto"/>
            <w:right w:val="none" w:sz="0" w:space="0" w:color="auto"/>
          </w:divBdr>
        </w:div>
        <w:div w:id="668412176">
          <w:marLeft w:val="0"/>
          <w:marRight w:val="0"/>
          <w:marTop w:val="0"/>
          <w:marBottom w:val="0"/>
          <w:divBdr>
            <w:top w:val="none" w:sz="0" w:space="0" w:color="auto"/>
            <w:left w:val="none" w:sz="0" w:space="0" w:color="auto"/>
            <w:bottom w:val="none" w:sz="0" w:space="0" w:color="auto"/>
            <w:right w:val="none" w:sz="0" w:space="0" w:color="auto"/>
          </w:divBdr>
        </w:div>
        <w:div w:id="1686975812">
          <w:marLeft w:val="0"/>
          <w:marRight w:val="0"/>
          <w:marTop w:val="0"/>
          <w:marBottom w:val="0"/>
          <w:divBdr>
            <w:top w:val="none" w:sz="0" w:space="0" w:color="auto"/>
            <w:left w:val="none" w:sz="0" w:space="0" w:color="auto"/>
            <w:bottom w:val="none" w:sz="0" w:space="0" w:color="auto"/>
            <w:right w:val="none" w:sz="0" w:space="0" w:color="auto"/>
          </w:divBdr>
        </w:div>
        <w:div w:id="2125225726">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522967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9355195">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488276937">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1678995024">
      <w:bodyDiv w:val="1"/>
      <w:marLeft w:val="0"/>
      <w:marRight w:val="0"/>
      <w:marTop w:val="0"/>
      <w:marBottom w:val="0"/>
      <w:divBdr>
        <w:top w:val="none" w:sz="0" w:space="0" w:color="auto"/>
        <w:left w:val="none" w:sz="0" w:space="0" w:color="auto"/>
        <w:bottom w:val="none" w:sz="0" w:space="0" w:color="auto"/>
        <w:right w:val="none" w:sz="0" w:space="0" w:color="auto"/>
      </w:divBdr>
    </w:div>
    <w:div w:id="1692341380">
      <w:bodyDiv w:val="1"/>
      <w:marLeft w:val="0"/>
      <w:marRight w:val="0"/>
      <w:marTop w:val="0"/>
      <w:marBottom w:val="0"/>
      <w:divBdr>
        <w:top w:val="none" w:sz="0" w:space="0" w:color="auto"/>
        <w:left w:val="none" w:sz="0" w:space="0" w:color="auto"/>
        <w:bottom w:val="none" w:sz="0" w:space="0" w:color="auto"/>
        <w:right w:val="none" w:sz="0" w:space="0" w:color="auto"/>
      </w:divBdr>
    </w:div>
    <w:div w:id="1794329751">
      <w:bodyDiv w:val="1"/>
      <w:marLeft w:val="0"/>
      <w:marRight w:val="0"/>
      <w:marTop w:val="0"/>
      <w:marBottom w:val="0"/>
      <w:divBdr>
        <w:top w:val="none" w:sz="0" w:space="0" w:color="auto"/>
        <w:left w:val="none" w:sz="0" w:space="0" w:color="auto"/>
        <w:bottom w:val="none" w:sz="0" w:space="0" w:color="auto"/>
        <w:right w:val="none" w:sz="0" w:space="0" w:color="auto"/>
      </w:divBdr>
    </w:div>
    <w:div w:id="2026440831">
      <w:bodyDiv w:val="1"/>
      <w:marLeft w:val="0"/>
      <w:marRight w:val="0"/>
      <w:marTop w:val="0"/>
      <w:marBottom w:val="0"/>
      <w:divBdr>
        <w:top w:val="none" w:sz="0" w:space="0" w:color="auto"/>
        <w:left w:val="none" w:sz="0" w:space="0" w:color="auto"/>
        <w:bottom w:val="none" w:sz="0" w:space="0" w:color="auto"/>
        <w:right w:val="none" w:sz="0" w:space="0" w:color="auto"/>
      </w:divBdr>
      <w:divsChild>
        <w:div w:id="1926837055">
          <w:marLeft w:val="0"/>
          <w:marRight w:val="0"/>
          <w:marTop w:val="0"/>
          <w:marBottom w:val="0"/>
          <w:divBdr>
            <w:top w:val="none" w:sz="0" w:space="0" w:color="auto"/>
            <w:left w:val="none" w:sz="0" w:space="0" w:color="auto"/>
            <w:bottom w:val="none" w:sz="0" w:space="0" w:color="auto"/>
            <w:right w:val="none" w:sz="0" w:space="0" w:color="auto"/>
          </w:divBdr>
        </w:div>
        <w:div w:id="2089450933">
          <w:marLeft w:val="0"/>
          <w:marRight w:val="0"/>
          <w:marTop w:val="0"/>
          <w:marBottom w:val="0"/>
          <w:divBdr>
            <w:top w:val="none" w:sz="0" w:space="0" w:color="auto"/>
            <w:left w:val="none" w:sz="0" w:space="0" w:color="auto"/>
            <w:bottom w:val="none" w:sz="0" w:space="0" w:color="auto"/>
            <w:right w:val="none" w:sz="0" w:space="0" w:color="auto"/>
          </w:divBdr>
        </w:div>
        <w:div w:id="695159068">
          <w:marLeft w:val="0"/>
          <w:marRight w:val="0"/>
          <w:marTop w:val="0"/>
          <w:marBottom w:val="0"/>
          <w:divBdr>
            <w:top w:val="none" w:sz="0" w:space="0" w:color="auto"/>
            <w:left w:val="none" w:sz="0" w:space="0" w:color="auto"/>
            <w:bottom w:val="none" w:sz="0" w:space="0" w:color="auto"/>
            <w:right w:val="none" w:sz="0" w:space="0" w:color="auto"/>
          </w:divBdr>
        </w:div>
        <w:div w:id="1193609756">
          <w:marLeft w:val="0"/>
          <w:marRight w:val="0"/>
          <w:marTop w:val="0"/>
          <w:marBottom w:val="0"/>
          <w:divBdr>
            <w:top w:val="none" w:sz="0" w:space="0" w:color="auto"/>
            <w:left w:val="none" w:sz="0" w:space="0" w:color="auto"/>
            <w:bottom w:val="none" w:sz="0" w:space="0" w:color="auto"/>
            <w:right w:val="none" w:sz="0" w:space="0" w:color="auto"/>
          </w:divBdr>
        </w:div>
        <w:div w:id="1578323996">
          <w:marLeft w:val="0"/>
          <w:marRight w:val="0"/>
          <w:marTop w:val="0"/>
          <w:marBottom w:val="0"/>
          <w:divBdr>
            <w:top w:val="none" w:sz="0" w:space="0" w:color="auto"/>
            <w:left w:val="none" w:sz="0" w:space="0" w:color="auto"/>
            <w:bottom w:val="none" w:sz="0" w:space="0" w:color="auto"/>
            <w:right w:val="none" w:sz="0" w:space="0" w:color="auto"/>
          </w:divBdr>
        </w:div>
        <w:div w:id="1673872013">
          <w:marLeft w:val="0"/>
          <w:marRight w:val="0"/>
          <w:marTop w:val="0"/>
          <w:marBottom w:val="0"/>
          <w:divBdr>
            <w:top w:val="none" w:sz="0" w:space="0" w:color="auto"/>
            <w:left w:val="none" w:sz="0" w:space="0" w:color="auto"/>
            <w:bottom w:val="none" w:sz="0" w:space="0" w:color="auto"/>
            <w:right w:val="none" w:sz="0" w:space="0" w:color="auto"/>
          </w:divBdr>
        </w:div>
        <w:div w:id="613290812">
          <w:marLeft w:val="0"/>
          <w:marRight w:val="0"/>
          <w:marTop w:val="0"/>
          <w:marBottom w:val="0"/>
          <w:divBdr>
            <w:top w:val="none" w:sz="0" w:space="0" w:color="auto"/>
            <w:left w:val="none" w:sz="0" w:space="0" w:color="auto"/>
            <w:bottom w:val="none" w:sz="0" w:space="0" w:color="auto"/>
            <w:right w:val="none" w:sz="0" w:space="0" w:color="auto"/>
          </w:divBdr>
        </w:div>
      </w:divsChild>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 w:id="2117600340">
      <w:bodyDiv w:val="1"/>
      <w:marLeft w:val="0"/>
      <w:marRight w:val="0"/>
      <w:marTop w:val="0"/>
      <w:marBottom w:val="0"/>
      <w:divBdr>
        <w:top w:val="none" w:sz="0" w:space="0" w:color="auto"/>
        <w:left w:val="none" w:sz="0" w:space="0" w:color="auto"/>
        <w:bottom w:val="none" w:sz="0" w:space="0" w:color="auto"/>
        <w:right w:val="none" w:sz="0" w:space="0" w:color="auto"/>
      </w:divBdr>
      <w:divsChild>
        <w:div w:id="1585870786">
          <w:marLeft w:val="0"/>
          <w:marRight w:val="0"/>
          <w:marTop w:val="0"/>
          <w:marBottom w:val="0"/>
          <w:divBdr>
            <w:top w:val="none" w:sz="0" w:space="0" w:color="auto"/>
            <w:left w:val="none" w:sz="0" w:space="0" w:color="auto"/>
            <w:bottom w:val="none" w:sz="0" w:space="0" w:color="auto"/>
            <w:right w:val="none" w:sz="0" w:space="0" w:color="auto"/>
          </w:divBdr>
        </w:div>
        <w:div w:id="2110614752">
          <w:marLeft w:val="0"/>
          <w:marRight w:val="0"/>
          <w:marTop w:val="0"/>
          <w:marBottom w:val="0"/>
          <w:divBdr>
            <w:top w:val="none" w:sz="0" w:space="0" w:color="auto"/>
            <w:left w:val="none" w:sz="0" w:space="0" w:color="auto"/>
            <w:bottom w:val="none" w:sz="0" w:space="0" w:color="auto"/>
            <w:right w:val="none" w:sz="0" w:space="0" w:color="auto"/>
          </w:divBdr>
        </w:div>
        <w:div w:id="1778913293">
          <w:marLeft w:val="0"/>
          <w:marRight w:val="0"/>
          <w:marTop w:val="0"/>
          <w:marBottom w:val="0"/>
          <w:divBdr>
            <w:top w:val="none" w:sz="0" w:space="0" w:color="auto"/>
            <w:left w:val="none" w:sz="0" w:space="0" w:color="auto"/>
            <w:bottom w:val="none" w:sz="0" w:space="0" w:color="auto"/>
            <w:right w:val="none" w:sz="0" w:space="0" w:color="auto"/>
          </w:divBdr>
        </w:div>
        <w:div w:id="1152021360">
          <w:marLeft w:val="0"/>
          <w:marRight w:val="0"/>
          <w:marTop w:val="0"/>
          <w:marBottom w:val="0"/>
          <w:divBdr>
            <w:top w:val="none" w:sz="0" w:space="0" w:color="auto"/>
            <w:left w:val="none" w:sz="0" w:space="0" w:color="auto"/>
            <w:bottom w:val="none" w:sz="0" w:space="0" w:color="auto"/>
            <w:right w:val="none" w:sz="0" w:space="0" w:color="auto"/>
          </w:divBdr>
        </w:div>
        <w:div w:id="1050229758">
          <w:marLeft w:val="0"/>
          <w:marRight w:val="0"/>
          <w:marTop w:val="0"/>
          <w:marBottom w:val="0"/>
          <w:divBdr>
            <w:top w:val="none" w:sz="0" w:space="0" w:color="auto"/>
            <w:left w:val="none" w:sz="0" w:space="0" w:color="auto"/>
            <w:bottom w:val="none" w:sz="0" w:space="0" w:color="auto"/>
            <w:right w:val="none" w:sz="0" w:space="0" w:color="auto"/>
          </w:divBdr>
        </w:div>
        <w:div w:id="111479866">
          <w:marLeft w:val="0"/>
          <w:marRight w:val="0"/>
          <w:marTop w:val="0"/>
          <w:marBottom w:val="0"/>
          <w:divBdr>
            <w:top w:val="none" w:sz="0" w:space="0" w:color="auto"/>
            <w:left w:val="none" w:sz="0" w:space="0" w:color="auto"/>
            <w:bottom w:val="none" w:sz="0" w:space="0" w:color="auto"/>
            <w:right w:val="none" w:sz="0" w:space="0" w:color="auto"/>
          </w:divBdr>
        </w:div>
        <w:div w:id="278529394">
          <w:marLeft w:val="0"/>
          <w:marRight w:val="0"/>
          <w:marTop w:val="0"/>
          <w:marBottom w:val="0"/>
          <w:divBdr>
            <w:top w:val="none" w:sz="0" w:space="0" w:color="auto"/>
            <w:left w:val="none" w:sz="0" w:space="0" w:color="auto"/>
            <w:bottom w:val="none" w:sz="0" w:space="0" w:color="auto"/>
            <w:right w:val="none" w:sz="0" w:space="0" w:color="auto"/>
          </w:divBdr>
        </w:div>
      </w:divsChild>
    </w:div>
    <w:div w:id="2119835380">
      <w:bodyDiv w:val="1"/>
      <w:marLeft w:val="0"/>
      <w:marRight w:val="0"/>
      <w:marTop w:val="0"/>
      <w:marBottom w:val="0"/>
      <w:divBdr>
        <w:top w:val="none" w:sz="0" w:space="0" w:color="auto"/>
        <w:left w:val="none" w:sz="0" w:space="0" w:color="auto"/>
        <w:bottom w:val="none" w:sz="0" w:space="0" w:color="auto"/>
        <w:right w:val="none" w:sz="0" w:space="0" w:color="auto"/>
      </w:divBdr>
      <w:divsChild>
        <w:div w:id="2011133541">
          <w:marLeft w:val="0"/>
          <w:marRight w:val="0"/>
          <w:marTop w:val="0"/>
          <w:marBottom w:val="0"/>
          <w:divBdr>
            <w:top w:val="none" w:sz="0" w:space="0" w:color="auto"/>
            <w:left w:val="none" w:sz="0" w:space="0" w:color="auto"/>
            <w:bottom w:val="none" w:sz="0" w:space="0" w:color="auto"/>
            <w:right w:val="none" w:sz="0" w:space="0" w:color="auto"/>
          </w:divBdr>
        </w:div>
        <w:div w:id="493686202">
          <w:marLeft w:val="0"/>
          <w:marRight w:val="0"/>
          <w:marTop w:val="0"/>
          <w:marBottom w:val="0"/>
          <w:divBdr>
            <w:top w:val="none" w:sz="0" w:space="0" w:color="auto"/>
            <w:left w:val="none" w:sz="0" w:space="0" w:color="auto"/>
            <w:bottom w:val="none" w:sz="0" w:space="0" w:color="auto"/>
            <w:right w:val="none" w:sz="0" w:space="0" w:color="auto"/>
          </w:divBdr>
        </w:div>
        <w:div w:id="419303722">
          <w:marLeft w:val="0"/>
          <w:marRight w:val="0"/>
          <w:marTop w:val="0"/>
          <w:marBottom w:val="0"/>
          <w:divBdr>
            <w:top w:val="none" w:sz="0" w:space="0" w:color="auto"/>
            <w:left w:val="none" w:sz="0" w:space="0" w:color="auto"/>
            <w:bottom w:val="none" w:sz="0" w:space="0" w:color="auto"/>
            <w:right w:val="none" w:sz="0" w:space="0" w:color="auto"/>
          </w:divBdr>
        </w:div>
        <w:div w:id="2011634661">
          <w:marLeft w:val="0"/>
          <w:marRight w:val="0"/>
          <w:marTop w:val="0"/>
          <w:marBottom w:val="0"/>
          <w:divBdr>
            <w:top w:val="none" w:sz="0" w:space="0" w:color="auto"/>
            <w:left w:val="none" w:sz="0" w:space="0" w:color="auto"/>
            <w:bottom w:val="none" w:sz="0" w:space="0" w:color="auto"/>
            <w:right w:val="none" w:sz="0" w:space="0" w:color="auto"/>
          </w:divBdr>
        </w:div>
        <w:div w:id="848911610">
          <w:marLeft w:val="0"/>
          <w:marRight w:val="0"/>
          <w:marTop w:val="0"/>
          <w:marBottom w:val="0"/>
          <w:divBdr>
            <w:top w:val="none" w:sz="0" w:space="0" w:color="auto"/>
            <w:left w:val="none" w:sz="0" w:space="0" w:color="auto"/>
            <w:bottom w:val="none" w:sz="0" w:space="0" w:color="auto"/>
            <w:right w:val="none" w:sz="0" w:space="0" w:color="auto"/>
          </w:divBdr>
        </w:div>
        <w:div w:id="180095672">
          <w:marLeft w:val="0"/>
          <w:marRight w:val="0"/>
          <w:marTop w:val="0"/>
          <w:marBottom w:val="0"/>
          <w:divBdr>
            <w:top w:val="none" w:sz="0" w:space="0" w:color="auto"/>
            <w:left w:val="none" w:sz="0" w:space="0" w:color="auto"/>
            <w:bottom w:val="none" w:sz="0" w:space="0" w:color="auto"/>
            <w:right w:val="none" w:sz="0" w:space="0" w:color="auto"/>
          </w:divBdr>
        </w:div>
        <w:div w:id="799112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jf2.scjn.gob.mx/detalle/tesis/2011659" TargetMode="External"/><Relationship Id="rId1" Type="http://schemas.openxmlformats.org/officeDocument/2006/relationships/hyperlink" Target="http://sjf2.scjn.gob.mx/detalle/tesis/20165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BCD"/>
    <w:rsid w:val="00197BCD"/>
    <w:rsid w:val="005574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9232ACA511541B694870D55E7F8B173">
    <w:name w:val="09232ACA511541B694870D55E7F8B173"/>
    <w:rsid w:val="00197B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315A4-494A-4622-8CA3-39C29557E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1164</TotalTime>
  <Pages>19</Pages>
  <Words>6289</Words>
  <Characters>34595</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56</cp:revision>
  <cp:lastPrinted>2023-03-13T22:52:00Z</cp:lastPrinted>
  <dcterms:created xsi:type="dcterms:W3CDTF">2022-10-24T19:10:00Z</dcterms:created>
  <dcterms:modified xsi:type="dcterms:W3CDTF">2023-07-07T21:37:00Z</dcterms:modified>
</cp:coreProperties>
</file>