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009" w:rsidRDefault="003D4009" w:rsidP="00734134">
      <w:pPr>
        <w:spacing w:line="240" w:lineRule="auto"/>
        <w:ind w:left="2124"/>
        <w:jc w:val="both"/>
        <w:rPr>
          <w:rFonts w:ascii="Arial" w:hAnsi="Arial" w:cs="Arial"/>
          <w:b/>
          <w:sz w:val="26"/>
          <w:szCs w:val="26"/>
        </w:rPr>
      </w:pPr>
    </w:p>
    <w:p w:rsidR="00734134" w:rsidRPr="00CB6405"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34134" w:rsidRPr="00CB6405"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073/2018</w:t>
      </w:r>
    </w:p>
    <w:p w:rsidR="00734134" w:rsidRPr="00CB6405"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0347/</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SEXTA S</w:t>
      </w:r>
      <w:r w:rsidRPr="00CB6405">
        <w:rPr>
          <w:rFonts w:ascii="Arial" w:hAnsi="Arial" w:cs="Arial"/>
          <w:b/>
          <w:sz w:val="26"/>
          <w:szCs w:val="26"/>
        </w:rPr>
        <w:t>ALA UNITARIA DE PRIMERA INSTANCIA</w:t>
      </w:r>
    </w:p>
    <w:p w:rsidR="00734134"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34134" w:rsidRPr="00CB6405" w:rsidRDefault="00734134" w:rsidP="00734134">
      <w:pPr>
        <w:spacing w:line="240" w:lineRule="auto"/>
        <w:ind w:left="2124"/>
        <w:jc w:val="both"/>
        <w:rPr>
          <w:rFonts w:ascii="Arial" w:hAnsi="Arial" w:cs="Arial"/>
          <w:b/>
          <w:sz w:val="26"/>
          <w:szCs w:val="26"/>
        </w:rPr>
      </w:pPr>
    </w:p>
    <w:p w:rsidR="00734134" w:rsidRDefault="008D2C9A" w:rsidP="00734134">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89366C">
        <w:rPr>
          <w:rFonts w:ascii="Arial" w:hAnsi="Arial" w:cs="Arial"/>
          <w:b/>
          <w:sz w:val="26"/>
          <w:szCs w:val="26"/>
        </w:rPr>
        <w:t>CATORCE</w:t>
      </w:r>
      <w:r w:rsidR="00734134">
        <w:rPr>
          <w:rFonts w:ascii="Arial" w:hAnsi="Arial" w:cs="Arial"/>
          <w:b/>
          <w:sz w:val="26"/>
          <w:szCs w:val="26"/>
        </w:rPr>
        <w:t xml:space="preserve"> DE FEBRERO DE DOS MIL DIECINUEVE.</w:t>
      </w:r>
    </w:p>
    <w:p w:rsidR="00734134" w:rsidRPr="00CB6405" w:rsidRDefault="00734134" w:rsidP="0073413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073</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w:t>
      </w:r>
      <w:r w:rsidRPr="00F314B4">
        <w:rPr>
          <w:rFonts w:ascii="Arial" w:hAnsi="Arial" w:cs="Arial"/>
          <w:b/>
          <w:sz w:val="26"/>
          <w:szCs w:val="26"/>
        </w:rPr>
        <w:t>ENCARGADO DEL DESPACHO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nueve de enero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347</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A24A8">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DIRECTORA DE CONCESIONES Y DIRECTOR JURÍDICO, todos de la SECRETARÍA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al inicio del juico principal, </w:t>
      </w:r>
      <w:r w:rsidRPr="00CB6405">
        <w:rPr>
          <w:rFonts w:ascii="Arial" w:hAnsi="Arial" w:cs="Arial"/>
          <w:sz w:val="26"/>
          <w:szCs w:val="26"/>
        </w:rPr>
        <w:t>se admite. En consecuencia, se procede a dictar resolución en los siguientes términos:</w:t>
      </w:r>
    </w:p>
    <w:p w:rsidR="00734134" w:rsidRPr="00CB6405" w:rsidRDefault="00734134" w:rsidP="00734134">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734134" w:rsidRPr="00CB6405" w:rsidRDefault="00734134" w:rsidP="0073413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nueve de enero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sidRPr="00F314B4">
        <w:rPr>
          <w:rFonts w:ascii="Arial" w:hAnsi="Arial" w:cs="Arial"/>
          <w:b/>
          <w:sz w:val="26"/>
          <w:szCs w:val="26"/>
        </w:rPr>
        <w:t>ENCARGADO DEL DESPACHO DE LA SECRETARÍA DE VIALIDAD Y TRANSPORTE DEL ESTADO DE OAXACA</w:t>
      </w:r>
      <w:r w:rsidRPr="00CB6405">
        <w:rPr>
          <w:rFonts w:ascii="Arial" w:hAnsi="Arial" w:cs="Arial"/>
          <w:sz w:val="26"/>
          <w:szCs w:val="26"/>
        </w:rPr>
        <w:t>, interpuso en su contra recurso de revisión.</w:t>
      </w:r>
    </w:p>
    <w:p w:rsidR="00734134" w:rsidRDefault="00734134" w:rsidP="00734134">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3A24A8" w:rsidRDefault="00734134" w:rsidP="00734134">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Sexta Sala Unitaria fue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No se actualizaron causales de improcedencia </w:t>
      </w:r>
      <w:r>
        <w:rPr>
          <w:rFonts w:ascii="Arial" w:eastAsia="Times New Roman" w:hAnsi="Arial" w:cs="Arial"/>
          <w:bCs/>
          <w:i/>
          <w:iCs/>
          <w:sz w:val="24"/>
          <w:szCs w:val="24"/>
          <w:lang w:eastAsia="es-ES"/>
        </w:rPr>
        <w:lastRenderedPageBreak/>
        <w:t xml:space="preserve">y sobreseimiento en el presente juicio.- - </w:t>
      </w:r>
      <w:r w:rsidR="00201A25">
        <w:rPr>
          <w:rFonts w:ascii="Arial" w:eastAsia="Times New Roman" w:hAnsi="Arial" w:cs="Arial"/>
          <w:bCs/>
          <w:i/>
          <w:iCs/>
          <w:sz w:val="24"/>
          <w:szCs w:val="24"/>
          <w:lang w:eastAsia="es-ES"/>
        </w:rPr>
        <w:t xml:space="preserve">- - - - - - - - - - - - - - - </w:t>
      </w:r>
      <w:r>
        <w:rPr>
          <w:rFonts w:ascii="Arial" w:eastAsia="Times New Roman" w:hAnsi="Arial" w:cs="Arial"/>
          <w:b/>
          <w:bCs/>
          <w:i/>
          <w:iCs/>
          <w:sz w:val="24"/>
          <w:szCs w:val="24"/>
          <w:lang w:eastAsia="es-ES"/>
        </w:rPr>
        <w:t xml:space="preserve">TERCERO.- </w:t>
      </w:r>
      <w:r w:rsidRPr="00B420C9">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e declara la </w:t>
      </w:r>
      <w:r>
        <w:rPr>
          <w:rFonts w:ascii="Arial" w:eastAsia="Times New Roman" w:hAnsi="Arial" w:cs="Arial"/>
          <w:b/>
          <w:bCs/>
          <w:i/>
          <w:iCs/>
          <w:sz w:val="24"/>
          <w:szCs w:val="24"/>
          <w:lang w:eastAsia="es-ES"/>
        </w:rPr>
        <w:t xml:space="preserve">VALIDEZ PARCIAL </w:t>
      </w:r>
      <w:r>
        <w:rPr>
          <w:rFonts w:ascii="Arial" w:eastAsia="Times New Roman" w:hAnsi="Arial" w:cs="Arial"/>
          <w:bCs/>
          <w:i/>
          <w:iCs/>
          <w:sz w:val="24"/>
          <w:szCs w:val="24"/>
          <w:lang w:eastAsia="es-ES"/>
        </w:rPr>
        <w:t xml:space="preserve">de la Convocatoria para Participar en la Obtención de una Concesión de Taxi en Huajuapan de León, Oaxaca emitida el 22 veintidós de abril del año 2013 dos mil trece, en los términos del considerando sexto de la presente sentencia.- -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Consecuentemente se ordena a las autoridades demandadas que realicen las acciones jurídico-administrativas pertinentes para que </w:t>
      </w:r>
      <w:r w:rsidR="003A24A8">
        <w:rPr>
          <w:rFonts w:ascii="Arial" w:eastAsia="Times New Roman" w:hAnsi="Arial" w:cs="Arial"/>
          <w:bCs/>
          <w:i/>
          <w:iCs/>
          <w:sz w:val="24"/>
          <w:szCs w:val="24"/>
          <w:lang w:eastAsia="es-ES"/>
        </w:rPr>
        <w:t>*********</w:t>
      </w:r>
      <w:proofErr w:type="gramStart"/>
      <w:r w:rsidR="003A24A8">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w:t>
      </w:r>
      <w:proofErr w:type="gramEnd"/>
      <w:r>
        <w:rPr>
          <w:rFonts w:ascii="Arial" w:eastAsia="Times New Roman" w:hAnsi="Arial" w:cs="Arial"/>
          <w:bCs/>
          <w:i/>
          <w:iCs/>
          <w:sz w:val="24"/>
          <w:szCs w:val="24"/>
          <w:lang w:eastAsia="es-ES"/>
        </w:rPr>
        <w:t>sic)</w:t>
      </w:r>
    </w:p>
    <w:p w:rsidR="00734134" w:rsidRPr="00C06661" w:rsidRDefault="00734134" w:rsidP="00734134">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proofErr w:type="gramStart"/>
      <w:r>
        <w:rPr>
          <w:rFonts w:ascii="Arial" w:eastAsia="Times New Roman" w:hAnsi="Arial" w:cs="Arial"/>
          <w:bCs/>
          <w:i/>
          <w:iCs/>
          <w:sz w:val="24"/>
          <w:szCs w:val="24"/>
          <w:lang w:eastAsia="es-ES"/>
        </w:rPr>
        <w:t>aquí</w:t>
      </w:r>
      <w:proofErr w:type="gramEnd"/>
      <w:r>
        <w:rPr>
          <w:rFonts w:ascii="Arial" w:eastAsia="Times New Roman" w:hAnsi="Arial" w:cs="Arial"/>
          <w:bCs/>
          <w:i/>
          <w:iCs/>
          <w:sz w:val="24"/>
          <w:szCs w:val="24"/>
          <w:lang w:eastAsia="es-ES"/>
        </w:rPr>
        <w:t xml:space="preserve"> actor, regularice la unidad de motor con la que presta el servicio de Taxi en la Ciudad de Huajuapan de León, Oaxaca.</w:t>
      </w:r>
      <w:r w:rsidRPr="00C06661">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 - - - - - - - - - - - - - - - - - - - - - - - - - - - - - - - - </w:t>
      </w:r>
    </w:p>
    <w:p w:rsidR="00734134" w:rsidRPr="00C06661" w:rsidRDefault="00734134" w:rsidP="00734134">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QUINTO</w:t>
      </w:r>
      <w:r w:rsidRPr="00C06661">
        <w:rPr>
          <w:rFonts w:ascii="Arial" w:eastAsia="Times New Roman" w:hAnsi="Arial" w:cs="Arial"/>
          <w:b/>
          <w:bCs/>
          <w:i/>
          <w:iCs/>
          <w:sz w:val="24"/>
          <w:szCs w:val="24"/>
          <w:lang w:eastAsia="es-ES"/>
        </w:rPr>
        <w:t xml:space="preserve">. NOTIFÍQUESE </w:t>
      </w:r>
      <w:r w:rsidRPr="00C94AC7">
        <w:rPr>
          <w:rFonts w:ascii="Arial" w:eastAsia="Times New Roman" w:hAnsi="Arial" w:cs="Arial"/>
          <w:b/>
          <w:bCs/>
          <w:i/>
          <w:iCs/>
          <w:sz w:val="24"/>
          <w:szCs w:val="24"/>
          <w:lang w:eastAsia="es-ES"/>
        </w:rPr>
        <w:t>PERSONALMENTE AL ACTOR</w:t>
      </w:r>
      <w:r>
        <w:rPr>
          <w:rFonts w:ascii="Arial" w:eastAsia="Times New Roman" w:hAnsi="Arial" w:cs="Arial"/>
          <w:b/>
          <w:bCs/>
          <w:i/>
          <w:iCs/>
          <w:sz w:val="24"/>
          <w:szCs w:val="24"/>
          <w:lang w:eastAsia="es-ES"/>
        </w:rPr>
        <w:t xml:space="preserve"> Y </w:t>
      </w:r>
      <w:r w:rsidRPr="00C94AC7">
        <w:rPr>
          <w:rFonts w:ascii="Arial" w:eastAsia="Times New Roman" w:hAnsi="Arial" w:cs="Arial"/>
          <w:b/>
          <w:bCs/>
          <w:i/>
          <w:iCs/>
          <w:sz w:val="24"/>
          <w:szCs w:val="24"/>
          <w:lang w:eastAsia="es-ES"/>
        </w:rPr>
        <w:t>POR OFICIO A LA</w:t>
      </w:r>
      <w:r>
        <w:rPr>
          <w:rFonts w:ascii="Arial" w:eastAsia="Times New Roman" w:hAnsi="Arial" w:cs="Arial"/>
          <w:b/>
          <w:bCs/>
          <w:i/>
          <w:iCs/>
          <w:sz w:val="24"/>
          <w:szCs w:val="24"/>
          <w:lang w:eastAsia="es-ES"/>
        </w:rPr>
        <w:t>S</w:t>
      </w:r>
      <w:r w:rsidRPr="00C94AC7">
        <w:rPr>
          <w:rFonts w:ascii="Arial" w:eastAsia="Times New Roman" w:hAnsi="Arial" w:cs="Arial"/>
          <w:b/>
          <w:bCs/>
          <w:i/>
          <w:iCs/>
          <w:sz w:val="24"/>
          <w:szCs w:val="24"/>
          <w:lang w:eastAsia="es-ES"/>
        </w:rPr>
        <w:t xml:space="preserve"> AUTORIDAD</w:t>
      </w:r>
      <w:r>
        <w:rPr>
          <w:rFonts w:ascii="Arial" w:eastAsia="Times New Roman" w:hAnsi="Arial" w:cs="Arial"/>
          <w:b/>
          <w:bCs/>
          <w:i/>
          <w:iCs/>
          <w:sz w:val="24"/>
          <w:szCs w:val="24"/>
          <w:lang w:eastAsia="es-ES"/>
        </w:rPr>
        <w:t>ES</w:t>
      </w:r>
      <w:r w:rsidRPr="00C94AC7">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 xml:space="preserve">S, </w:t>
      </w:r>
      <w:r>
        <w:rPr>
          <w:rFonts w:ascii="Arial" w:eastAsia="Times New Roman" w:hAnsi="Arial" w:cs="Arial"/>
          <w:bCs/>
          <w:i/>
          <w:iCs/>
          <w:sz w:val="24"/>
          <w:szCs w:val="24"/>
          <w:lang w:eastAsia="es-ES"/>
        </w:rPr>
        <w:t>con fundamento en los artículos 142 fracción I y 143 fracciones I y II, de la Ley de Justicia Administrativa y de Cuentas para el Estado de Oaxaca,</w:t>
      </w:r>
      <w:r>
        <w:rPr>
          <w:rFonts w:ascii="Arial" w:eastAsia="Times New Roman" w:hAnsi="Arial" w:cs="Arial"/>
          <w:b/>
          <w:bCs/>
          <w:i/>
          <w:iCs/>
          <w:sz w:val="24"/>
          <w:szCs w:val="24"/>
          <w:lang w:eastAsia="es-ES"/>
        </w:rPr>
        <w:t xml:space="preserve"> CÚMPLASE</w:t>
      </w:r>
      <w:r>
        <w:rPr>
          <w:rFonts w:ascii="Arial" w:eastAsia="Times New Roman" w:hAnsi="Arial" w:cs="Arial"/>
          <w:bCs/>
          <w:i/>
          <w:iCs/>
          <w:sz w:val="24"/>
          <w:szCs w:val="24"/>
          <w:lang w:eastAsia="es-ES"/>
        </w:rPr>
        <w:t xml:space="preserve">.- - - - - - - - - - - - - - - - - - - - </w:t>
      </w:r>
      <w:r w:rsidRPr="00C06661">
        <w:rPr>
          <w:rFonts w:ascii="Arial" w:eastAsia="Times New Roman" w:hAnsi="Arial" w:cs="Arial"/>
          <w:bCs/>
          <w:i/>
          <w:iCs/>
          <w:sz w:val="24"/>
          <w:szCs w:val="24"/>
          <w:lang w:eastAsia="es-ES"/>
        </w:rPr>
        <w:t>”</w:t>
      </w:r>
    </w:p>
    <w:p w:rsidR="00734134" w:rsidRPr="00CB6405" w:rsidRDefault="00734134" w:rsidP="0073413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34134" w:rsidRPr="00CB6405" w:rsidRDefault="00734134" w:rsidP="00734134">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201A25" w:rsidRPr="00F66D81">
        <w:rPr>
          <w:rFonts w:ascii="Arial" w:hAnsi="Arial" w:cs="Arial"/>
          <w:bCs/>
          <w:iCs/>
          <w:sz w:val="26"/>
          <w:szCs w:val="26"/>
        </w:rPr>
        <w:t xml:space="preserve">Esta Sala Superior es competente para conocer del presente asunto, de </w:t>
      </w:r>
      <w:r w:rsidR="00201A25" w:rsidRPr="00F66D81">
        <w:rPr>
          <w:rFonts w:ascii="Arial" w:hAnsi="Arial" w:cs="Arial"/>
          <w:bCs/>
          <w:iCs/>
          <w:sz w:val="26"/>
          <w:szCs w:val="26"/>
          <w:lang w:eastAsia="es-ES"/>
        </w:rPr>
        <w:t xml:space="preserve">conformidad con lo dispuesto por los artículos 114 Quáter, </w:t>
      </w:r>
      <w:r w:rsidR="00201A25">
        <w:rPr>
          <w:rFonts w:ascii="Arial" w:hAnsi="Arial" w:cs="Arial"/>
          <w:bCs/>
          <w:iCs/>
          <w:sz w:val="26"/>
          <w:szCs w:val="26"/>
          <w:lang w:eastAsia="es-ES"/>
        </w:rPr>
        <w:t>P</w:t>
      </w:r>
      <w:r w:rsidR="00201A25" w:rsidRPr="005A12C4">
        <w:rPr>
          <w:rFonts w:ascii="Arial" w:hAnsi="Arial" w:cs="Arial"/>
          <w:bCs/>
          <w:iCs/>
          <w:sz w:val="26"/>
          <w:szCs w:val="26"/>
          <w:lang w:eastAsia="es-ES"/>
        </w:rPr>
        <w:t>árrafo Tercero de la Constitución Política del Estado Libre y Soberano de Oaxaca</w:t>
      </w:r>
      <w:r w:rsidR="00201A25">
        <w:rPr>
          <w:rFonts w:ascii="Arial" w:hAnsi="Arial" w:cs="Arial"/>
          <w:bCs/>
          <w:iCs/>
          <w:sz w:val="26"/>
          <w:szCs w:val="26"/>
          <w:lang w:eastAsia="es-ES"/>
        </w:rPr>
        <w:t>; Cuarto y</w:t>
      </w:r>
      <w:r w:rsidR="00201A2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201A25" w:rsidRPr="00F66D81">
        <w:rPr>
          <w:rFonts w:ascii="Arial" w:hAnsi="Arial" w:cs="Arial"/>
          <w:bCs/>
          <w:iCs/>
          <w:sz w:val="26"/>
          <w:szCs w:val="26"/>
        </w:rPr>
        <w:t xml:space="preserve">86, 88, 92, 93, fracción I, 94, 201, 206 y 208, de la Ley de Justicia Administrativa para el Estado de Oaxaca, vigente hasta el </w:t>
      </w:r>
      <w:r w:rsidR="00201A25">
        <w:rPr>
          <w:rFonts w:ascii="Arial" w:hAnsi="Arial" w:cs="Arial"/>
          <w:bCs/>
          <w:iCs/>
          <w:sz w:val="26"/>
          <w:szCs w:val="26"/>
        </w:rPr>
        <w:t xml:space="preserve">20 veinte </w:t>
      </w:r>
      <w:r w:rsidR="00201A25" w:rsidRPr="00F66D81">
        <w:rPr>
          <w:rFonts w:ascii="Arial" w:hAnsi="Arial" w:cs="Arial"/>
          <w:bCs/>
          <w:iCs/>
          <w:sz w:val="26"/>
          <w:szCs w:val="26"/>
        </w:rPr>
        <w:t xml:space="preserve">de octubre de </w:t>
      </w:r>
      <w:r w:rsidR="00201A25">
        <w:rPr>
          <w:rFonts w:ascii="Arial" w:hAnsi="Arial" w:cs="Arial"/>
          <w:bCs/>
          <w:iCs/>
          <w:sz w:val="26"/>
          <w:szCs w:val="26"/>
        </w:rPr>
        <w:t>2017</w:t>
      </w:r>
      <w:r w:rsidR="00201A25" w:rsidRPr="00F66D81">
        <w:rPr>
          <w:rFonts w:ascii="Arial" w:hAnsi="Arial" w:cs="Arial"/>
          <w:bCs/>
          <w:iCs/>
          <w:sz w:val="26"/>
          <w:szCs w:val="26"/>
        </w:rPr>
        <w:t xml:space="preserve"> dos mil diecisiete</w:t>
      </w:r>
      <w:r w:rsidR="00201A25">
        <w:rPr>
          <w:rFonts w:ascii="Arial" w:hAnsi="Arial" w:cs="Arial"/>
          <w:bCs/>
          <w:iCs/>
          <w:sz w:val="26"/>
          <w:szCs w:val="26"/>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nueve de enero de </w:t>
      </w:r>
      <w:r w:rsidRPr="00CB6405">
        <w:rPr>
          <w:rFonts w:ascii="Arial" w:hAnsi="Arial" w:cs="Arial"/>
          <w:bCs/>
          <w:iCs/>
          <w:sz w:val="26"/>
          <w:szCs w:val="26"/>
        </w:rPr>
        <w:t>dos mil dieci</w:t>
      </w:r>
      <w:r>
        <w:rPr>
          <w:rFonts w:ascii="Arial" w:hAnsi="Arial" w:cs="Arial"/>
          <w:bCs/>
          <w:iCs/>
          <w:sz w:val="26"/>
          <w:szCs w:val="26"/>
        </w:rPr>
        <w:t xml:space="preserve">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347/2016</w:t>
      </w:r>
      <w:r w:rsidRPr="00CB6405">
        <w:rPr>
          <w:rFonts w:ascii="Arial" w:hAnsi="Arial" w:cs="Arial"/>
          <w:sz w:val="26"/>
          <w:szCs w:val="26"/>
        </w:rPr>
        <w:t>.</w:t>
      </w:r>
    </w:p>
    <w:p w:rsidR="00734134" w:rsidRPr="00CB6405" w:rsidRDefault="00734134" w:rsidP="00734134">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734134" w:rsidRDefault="00734134" w:rsidP="00734134">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6E3040">
        <w:rPr>
          <w:rFonts w:ascii="Arial" w:eastAsia="Calibri" w:hAnsi="Arial" w:cs="Arial"/>
          <w:bCs/>
          <w:sz w:val="26"/>
          <w:szCs w:val="26"/>
        </w:rPr>
        <w:t xml:space="preserve">Son </w:t>
      </w:r>
      <w:r w:rsidRPr="006E3040">
        <w:rPr>
          <w:rFonts w:ascii="Arial" w:eastAsia="Calibri" w:hAnsi="Arial" w:cs="Arial"/>
          <w:b/>
          <w:bCs/>
          <w:sz w:val="26"/>
          <w:szCs w:val="26"/>
        </w:rPr>
        <w:t>sustancialmente</w:t>
      </w:r>
      <w:r>
        <w:rPr>
          <w:rFonts w:ascii="Arial" w:eastAsia="Calibri" w:hAnsi="Arial" w:cs="Arial"/>
          <w:b/>
          <w:bCs/>
          <w:sz w:val="26"/>
          <w:szCs w:val="26"/>
        </w:rPr>
        <w:t xml:space="preserve"> fundados </w:t>
      </w:r>
      <w:r>
        <w:rPr>
          <w:rFonts w:ascii="Arial" w:eastAsia="Calibri" w:hAnsi="Arial" w:cs="Arial"/>
          <w:bCs/>
          <w:sz w:val="26"/>
          <w:szCs w:val="26"/>
        </w:rPr>
        <w:t>los agravios planteados por el revisionista, en los que alega que la consideración del resolutor realizada en el sentido de que se contravienen los principios de equidad social y productividad, es incorrecto, porque en el procedimiento para el otorgamiento de concesiones para la prestación del servicio público de transporte, el Estado interviene en su calidad de concesionante y los particulares como solicitantes que se sujetan a las disposiciones contenidas en las normas encargadas de regular el procedimiento, como lo dispone el artículo 18 de la Ley de Tránsito; que en el caso en análisis, si bien la convocatoria fue dirigida a ciudadanos que acreditaron ser propietarios de vehículos susceptibles a regularizar, a los que se les entregó un tarjetón y una calcomanía, el actor no aportó medios de pruebas idóneos de ser propietario de un vehículo tendiente a regularizarse, ni que el otorgamiento de los elementos de identificación fueran entregas de forma irregular.</w:t>
      </w:r>
    </w:p>
    <w:p w:rsidR="002C2E8D" w:rsidRDefault="002C2E8D" w:rsidP="002C2E8D">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manifestaciones son </w:t>
      </w:r>
      <w:r>
        <w:rPr>
          <w:rFonts w:ascii="Arial" w:eastAsia="Calibri" w:hAnsi="Arial" w:cs="Arial"/>
          <w:b/>
          <w:bCs/>
          <w:sz w:val="26"/>
          <w:szCs w:val="26"/>
        </w:rPr>
        <w:t>acertadas</w:t>
      </w:r>
      <w:r>
        <w:rPr>
          <w:rFonts w:ascii="Arial" w:eastAsia="Calibri" w:hAnsi="Arial" w:cs="Arial"/>
          <w:bCs/>
          <w:sz w:val="26"/>
          <w:szCs w:val="26"/>
        </w:rPr>
        <w:t xml:space="preserve">, es así, pues del análisis </w:t>
      </w:r>
      <w:r w:rsidR="00F66942">
        <w:rPr>
          <w:rFonts w:ascii="Arial" w:eastAsia="Calibri" w:hAnsi="Arial" w:cs="Arial"/>
          <w:bCs/>
          <w:sz w:val="26"/>
          <w:szCs w:val="26"/>
        </w:rPr>
        <w:t>de las constancias del expediente natural, se obtiene e</w:t>
      </w:r>
      <w:r>
        <w:rPr>
          <w:rFonts w:ascii="Arial" w:eastAsia="Calibri" w:hAnsi="Arial" w:cs="Arial"/>
          <w:bCs/>
          <w:sz w:val="26"/>
          <w:szCs w:val="26"/>
        </w:rPr>
        <w:t xml:space="preserve">l acto impugnado (Convocatoria para participar en el procedimiento administrativo para la obtención de títulos de concesión para la prestación del servicio público de pasajeros en la modalidad de taxi, en la ciudad de Huajuapan de León, Oaxaca) agregada </w:t>
      </w:r>
      <w:r w:rsidR="00F66942">
        <w:rPr>
          <w:rFonts w:ascii="Arial" w:eastAsia="Calibri" w:hAnsi="Arial" w:cs="Arial"/>
          <w:bCs/>
          <w:sz w:val="26"/>
          <w:szCs w:val="26"/>
        </w:rPr>
        <w:t>a folios 23 veintitrés y 24 veinticuatro del sumario principal</w:t>
      </w:r>
      <w:r>
        <w:rPr>
          <w:rFonts w:ascii="Arial" w:eastAsia="Calibri" w:hAnsi="Arial" w:cs="Arial"/>
          <w:bCs/>
          <w:sz w:val="26"/>
          <w:szCs w:val="26"/>
        </w:rPr>
        <w:t>, a las que se les concede pleno valor probatorio conforme lo dispuesto por el artículo 173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por tratase de actuaciones judiciales; se advierte, que la Secretaría de Vialidad y Transporte del Estado de Oaxaca, como lo dispone el artículo 18</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Tránsito reformada para el Estado, practicó un estudio de factibilidad, con el propósito de identificar las unidades de motor que prestaban el servicio de transporte de pasajeros en la modalidad de taxi, sin contar con la autorización oficial debida en la ciudad de Huajuapan de León, Oaxaca, logrando identificar aquellas unidades susceptibles de regularizarse, a las que les asignó un juego de elementos identificatorios oficiales, consistentes en un tarjetón y una calcomanía; para seguidamente convocar a los interesados en participar en el procedimiento administrativo</w:t>
      </w:r>
      <w:r w:rsidR="00F66942">
        <w:rPr>
          <w:rFonts w:ascii="Arial" w:eastAsia="Calibri" w:hAnsi="Arial" w:cs="Arial"/>
          <w:bCs/>
          <w:sz w:val="26"/>
          <w:szCs w:val="26"/>
        </w:rPr>
        <w:t xml:space="preserve"> de regularización</w:t>
      </w:r>
      <w:r>
        <w:rPr>
          <w:rFonts w:ascii="Arial" w:eastAsia="Calibri" w:hAnsi="Arial" w:cs="Arial"/>
          <w:bCs/>
          <w:sz w:val="26"/>
          <w:szCs w:val="26"/>
        </w:rPr>
        <w:t xml:space="preserve"> para la obtención de títulos de concesión para la prestación del servicio público de transporte de pasajeros, en la modalidad de taxi; esto bajo las siguientes bases:</w:t>
      </w:r>
    </w:p>
    <w:p w:rsidR="002C2E8D" w:rsidRPr="00F048DB" w:rsidRDefault="002C2E8D" w:rsidP="002C2E8D">
      <w:pPr>
        <w:spacing w:before="240" w:line="240" w:lineRule="auto"/>
        <w:ind w:left="1134" w:right="474"/>
        <w:jc w:val="both"/>
        <w:rPr>
          <w:rFonts w:ascii="Arial" w:eastAsia="Calibri" w:hAnsi="Arial" w:cs="Arial"/>
          <w:bCs/>
          <w:i/>
        </w:rPr>
      </w:pPr>
      <w:r>
        <w:rPr>
          <w:rFonts w:ascii="Arial" w:eastAsia="Calibri" w:hAnsi="Arial" w:cs="Arial"/>
          <w:bCs/>
          <w:sz w:val="26"/>
          <w:szCs w:val="26"/>
        </w:rPr>
        <w:t>“</w:t>
      </w:r>
      <w:r w:rsidRPr="00F048DB">
        <w:rPr>
          <w:rFonts w:ascii="Arial" w:eastAsia="Calibri" w:hAnsi="Arial" w:cs="Arial"/>
          <w:b/>
          <w:bCs/>
          <w:i/>
        </w:rPr>
        <w:t>PRIMERA</w:t>
      </w:r>
      <w:r w:rsidRPr="00F048DB">
        <w:rPr>
          <w:rFonts w:ascii="Arial" w:eastAsia="Calibri" w:hAnsi="Arial" w:cs="Arial"/>
          <w:bCs/>
          <w:i/>
        </w:rPr>
        <w:t>. PODRÁN PRESENTAR SUS SOLICITUDES ÚNICAMENTE LOS PROPIETARIOS DE UNIDADES DE MOTOR QUE SE ENCUENTREN REGISTRADOS EN EL PROCESO DE IDENTIFICACIÓN DE UNIDADES SUSCEPTIBLES DE REGULARIZARSE Y QUE CUENTEN CON LOS ELEMENTOS DE IDENTIFICACIÓN PROPORCIONADOS POR LA SECRETARÍA DEBIDAMENTE ADHERIDA Y LA EXHIBICIÓN DEL TARJETÓN ENTREGADO POR LA DEPENDENCIA A LOS PROPIETARIOS.</w:t>
      </w:r>
    </w:p>
    <w:p w:rsidR="002C2E8D" w:rsidRPr="00F048DB" w:rsidRDefault="002C2E8D" w:rsidP="002C2E8D">
      <w:pPr>
        <w:spacing w:before="240" w:line="240" w:lineRule="auto"/>
        <w:ind w:left="1134" w:right="474"/>
        <w:jc w:val="both"/>
        <w:rPr>
          <w:rFonts w:ascii="Arial" w:eastAsia="Calibri" w:hAnsi="Arial" w:cs="Arial"/>
          <w:bCs/>
          <w:i/>
        </w:rPr>
      </w:pPr>
      <w:r w:rsidRPr="00F048DB">
        <w:rPr>
          <w:rFonts w:ascii="Arial" w:eastAsia="Calibri" w:hAnsi="Arial" w:cs="Arial"/>
          <w:b/>
          <w:bCs/>
          <w:i/>
        </w:rPr>
        <w:t>SEGUNDA</w:t>
      </w:r>
      <w:r w:rsidRPr="00F048DB">
        <w:rPr>
          <w:rFonts w:ascii="Arial" w:eastAsia="Calibri" w:hAnsi="Arial" w:cs="Arial"/>
          <w:bCs/>
          <w:i/>
        </w:rPr>
        <w:t>. LAS SOLICITUDES DEBERÁN PRESENTARSE MEDIANTE ESCRITO LIBRE DIRIGIDO AL TITULAR DE LA SECRETARÍA DE VIALIDAD Y TRANSPORTE DONDE MANIFIESTE SU INTERÉS EN LA OBTENCIÓN DE UNA CONCESIÓN, ANEXADO LA DOCUMENTACIÓN PARA ACREDITAR EL CUMPLIMIENTO DE LOS REQUISITOS PREVISTOS EN LAS FRACCIONES I YVII DEL ARTÍCULO 94 DEL REGLAMENTO DE LA LEY DE TRÁNSITO CONFORME A LOS SIGUIENTE:</w:t>
      </w:r>
    </w:p>
    <w:p w:rsidR="002C2E8D" w:rsidRPr="00F048DB" w:rsidRDefault="002C2E8D" w:rsidP="002C2E8D">
      <w:pPr>
        <w:spacing w:before="240" w:line="240" w:lineRule="auto"/>
        <w:ind w:left="1134" w:right="474"/>
        <w:jc w:val="both"/>
        <w:rPr>
          <w:rFonts w:ascii="Arial" w:eastAsia="Calibri" w:hAnsi="Arial" w:cs="Arial"/>
          <w:bCs/>
          <w:i/>
        </w:rPr>
      </w:pPr>
      <w:r w:rsidRPr="00F048DB">
        <w:rPr>
          <w:rFonts w:ascii="Arial" w:eastAsia="Calibri" w:hAnsi="Arial" w:cs="Arial"/>
          <w:bCs/>
          <w:i/>
        </w:rPr>
        <w:t>SOLICITUD (INDICANDO DATOS PERSONALES: NOMBRE, EDAD, ESTADO CIVIL, DOMICILIO, ESCOLARIDAD, OCUPACIÓN ACTUAL, TELÉFONO Y/O CORREO ELECTRÓNICO)</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1) ACTA DE NACIMIENTO (ORIGINAL).</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2) CLAVE ÚNICA DE REGISTRO DE POB</w:t>
      </w:r>
      <w:r w:rsidR="00CC1CB2">
        <w:rPr>
          <w:rFonts w:ascii="Arial" w:hAnsi="Arial" w:cs="Arial"/>
          <w:i/>
        </w:rPr>
        <w:t>L</w:t>
      </w:r>
      <w:r w:rsidRPr="00F048DB">
        <w:rPr>
          <w:rFonts w:ascii="Arial" w:hAnsi="Arial" w:cs="Arial"/>
          <w:i/>
        </w:rPr>
        <w:t>ACIÓN C U R P (COPIA).</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3) CREDENCIAL DE ELECTOR (ORIGINAL Y COPIA PARA COTEJO).</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4) COMPROBANTE DE DOMICILIO (ORIGINAL Y COPIA PARA COTEJO).</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5) LICENCIA DE CONDUCIR.</w:t>
      </w:r>
    </w:p>
    <w:p w:rsidR="002C2E8D" w:rsidRPr="00F048DB" w:rsidRDefault="002C2E8D" w:rsidP="002C2E8D">
      <w:pPr>
        <w:pStyle w:val="Sinespaciado"/>
        <w:ind w:left="1134" w:right="474"/>
        <w:jc w:val="both"/>
        <w:rPr>
          <w:rFonts w:ascii="Arial" w:hAnsi="Arial" w:cs="Arial"/>
          <w:i/>
        </w:rPr>
      </w:pPr>
      <w:r w:rsidRPr="00F048DB">
        <w:rPr>
          <w:rFonts w:ascii="Arial" w:hAnsi="Arial" w:cs="Arial"/>
          <w:i/>
        </w:rPr>
        <w:t>6) CARTA DE ANUENCIA DE LA AUTORIDAD MUNICIPAL.</w:t>
      </w:r>
    </w:p>
    <w:p w:rsidR="002C2E8D" w:rsidRPr="00F048DB" w:rsidRDefault="002C2E8D" w:rsidP="002C2E8D">
      <w:pPr>
        <w:pStyle w:val="Sinespaciado"/>
        <w:ind w:left="1134" w:right="474"/>
        <w:jc w:val="both"/>
        <w:rPr>
          <w:rFonts w:ascii="Arial" w:hAnsi="Arial" w:cs="Arial"/>
          <w:i/>
        </w:rPr>
      </w:pPr>
    </w:p>
    <w:p w:rsidR="002C2E8D" w:rsidRPr="00F048DB" w:rsidRDefault="002C2E8D" w:rsidP="002C2E8D">
      <w:pPr>
        <w:pStyle w:val="Sinespaciado"/>
        <w:ind w:left="1134" w:right="474"/>
        <w:jc w:val="both"/>
        <w:rPr>
          <w:rFonts w:ascii="Arial" w:hAnsi="Arial" w:cs="Arial"/>
          <w:i/>
          <w:sz w:val="24"/>
          <w:szCs w:val="24"/>
        </w:rPr>
      </w:pPr>
      <w:r w:rsidRPr="00F048DB">
        <w:rPr>
          <w:rFonts w:ascii="Arial" w:hAnsi="Arial" w:cs="Arial"/>
          <w:i/>
        </w:rPr>
        <w:t xml:space="preserve">ADEMÁS DE LO ANTERIOR, DEBERÁ INDICAR EN SU SOLICITUD DEL </w:t>
      </w:r>
      <w:r w:rsidR="00EC044D">
        <w:rPr>
          <w:rFonts w:ascii="Arial" w:hAnsi="Arial" w:cs="Arial"/>
          <w:i/>
        </w:rPr>
        <w:t>TARJETÓN ENTREGADOS EN EL PROCES</w:t>
      </w:r>
      <w:r w:rsidRPr="00F048DB">
        <w:rPr>
          <w:rFonts w:ascii="Arial" w:hAnsi="Arial" w:cs="Arial"/>
          <w:i/>
        </w:rPr>
        <w:t>O DE IDENTIFICACIÓN DE UNIDADES SUSCEPTIBLES A REGULARIZAR.</w:t>
      </w:r>
      <w:r w:rsidRPr="00F048DB">
        <w:rPr>
          <w:rFonts w:ascii="Arial" w:hAnsi="Arial" w:cs="Arial"/>
          <w:i/>
          <w:sz w:val="26"/>
          <w:szCs w:val="26"/>
        </w:rPr>
        <w:t>”</w:t>
      </w:r>
    </w:p>
    <w:p w:rsidR="002C2E8D" w:rsidRDefault="002C2E8D" w:rsidP="002C2E8D">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 lo anterior se sigue, que la convocatoria fue dirigida a ciudadanos que acreditaron ser propietarios de vehículos susceptibles a regularizarse, a los que se les entregaron un tarjetón y una calcomanía</w:t>
      </w:r>
      <w:r w:rsidR="00F66942">
        <w:rPr>
          <w:rFonts w:ascii="Arial" w:eastAsia="Calibri" w:hAnsi="Arial" w:cs="Arial"/>
          <w:bCs/>
          <w:sz w:val="26"/>
          <w:szCs w:val="26"/>
        </w:rPr>
        <w:t xml:space="preserve"> </w:t>
      </w:r>
      <w:r w:rsidR="00F66942">
        <w:rPr>
          <w:rFonts w:ascii="Arial" w:eastAsia="Calibri" w:hAnsi="Arial" w:cs="Arial"/>
          <w:b/>
          <w:bCs/>
          <w:sz w:val="26"/>
          <w:szCs w:val="26"/>
        </w:rPr>
        <w:t xml:space="preserve">y, </w:t>
      </w:r>
      <w:r>
        <w:rPr>
          <w:rFonts w:ascii="Arial" w:eastAsia="Calibri" w:hAnsi="Arial" w:cs="Arial"/>
          <w:bCs/>
          <w:sz w:val="26"/>
          <w:szCs w:val="26"/>
        </w:rPr>
        <w:t>el actor no aportó medios de prueba idóneos que acreditaran que es propietario de un vehículo tendiente a regularizarse</w:t>
      </w:r>
      <w:r w:rsidR="00F66942">
        <w:rPr>
          <w:rFonts w:ascii="Arial" w:eastAsia="Calibri" w:hAnsi="Arial" w:cs="Arial"/>
          <w:bCs/>
          <w:sz w:val="26"/>
          <w:szCs w:val="26"/>
        </w:rPr>
        <w:t>, ni indicó en su solicitud el tarjetón entregado en el proceso de identificación de unidades susceptibles a regularizarse</w:t>
      </w:r>
      <w:r>
        <w:rPr>
          <w:rFonts w:ascii="Arial" w:eastAsia="Calibri" w:hAnsi="Arial" w:cs="Arial"/>
          <w:bCs/>
          <w:sz w:val="26"/>
          <w:szCs w:val="26"/>
        </w:rPr>
        <w:t xml:space="preserve">; pues de constancias de autos no se advierte haya exhibido los documentos referidos en la bases primera y segunda de la convocatoria, además de que el propio actor corroboró mediante escrito de veinticinco de junio de dos mil trece (folios </w:t>
      </w:r>
      <w:r w:rsidR="00422A03">
        <w:rPr>
          <w:rFonts w:ascii="Arial" w:eastAsia="Calibri" w:hAnsi="Arial" w:cs="Arial"/>
          <w:bCs/>
          <w:sz w:val="26"/>
          <w:szCs w:val="26"/>
        </w:rPr>
        <w:t>201</w:t>
      </w:r>
      <w:r>
        <w:rPr>
          <w:rFonts w:ascii="Arial" w:eastAsia="Calibri" w:hAnsi="Arial" w:cs="Arial"/>
          <w:bCs/>
          <w:sz w:val="26"/>
          <w:szCs w:val="26"/>
        </w:rPr>
        <w:t xml:space="preserve"> y </w:t>
      </w:r>
      <w:r w:rsidR="00422A03">
        <w:rPr>
          <w:rFonts w:ascii="Arial" w:eastAsia="Calibri" w:hAnsi="Arial" w:cs="Arial"/>
          <w:bCs/>
          <w:sz w:val="26"/>
          <w:szCs w:val="26"/>
        </w:rPr>
        <w:t>202</w:t>
      </w:r>
      <w:r>
        <w:rPr>
          <w:rFonts w:ascii="Arial" w:eastAsia="Calibri" w:hAnsi="Arial" w:cs="Arial"/>
          <w:bCs/>
          <w:sz w:val="26"/>
          <w:szCs w:val="26"/>
        </w:rPr>
        <w:t>) al manifestar “</w:t>
      </w:r>
      <w:r w:rsidRPr="00246EEA">
        <w:rPr>
          <w:rFonts w:ascii="Arial" w:eastAsia="Calibri" w:hAnsi="Arial" w:cs="Arial"/>
          <w:bCs/>
          <w:i/>
          <w:sz w:val="24"/>
          <w:szCs w:val="24"/>
        </w:rPr>
        <w:t>El vehículo antes descrito, no se encuentra registrado en el proceso de identificación de unidades susceptibles de regularizarse, tampoco cuenta con los elementos de identificación ni con el tarjetón proporcionados por la Secretaría de Vialidad y Transporte del Estado de Oaxaca</w:t>
      </w:r>
      <w:r>
        <w:rPr>
          <w:rFonts w:ascii="Arial" w:eastAsia="Calibri" w:hAnsi="Arial" w:cs="Arial"/>
          <w:bCs/>
          <w:sz w:val="26"/>
          <w:szCs w:val="26"/>
        </w:rPr>
        <w:t>.”; de ahí que, no exista violación al principio de equidad social, como lo aduce la Primera Instancia, pues en la convocatoria materia del juicio de nulidad, se establecieron una serie de requisitos a cumplirse para poder participar en el procedimiento indicado, mismos que no fueron acatados.</w:t>
      </w:r>
    </w:p>
    <w:p w:rsidR="00F66942" w:rsidRDefault="00F66942" w:rsidP="00F6694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Alega también, que le causa agravio la declaración de validez parcial de</w:t>
      </w:r>
      <w:r w:rsidR="00CC1CB2">
        <w:rPr>
          <w:rFonts w:ascii="Arial" w:eastAsia="Calibri" w:hAnsi="Arial" w:cs="Arial"/>
          <w:bCs/>
          <w:sz w:val="26"/>
          <w:szCs w:val="26"/>
        </w:rPr>
        <w:t xml:space="preserve"> </w:t>
      </w:r>
      <w:r>
        <w:rPr>
          <w:rFonts w:ascii="Arial" w:eastAsia="Calibri" w:hAnsi="Arial" w:cs="Arial"/>
          <w:bCs/>
          <w:sz w:val="26"/>
          <w:szCs w:val="26"/>
        </w:rPr>
        <w:t xml:space="preserve">la convocatoria impugnada, para el efecto de que se realicen las acciones jurídico administrativas para que </w:t>
      </w:r>
      <w:r w:rsidR="003A24A8">
        <w:rPr>
          <w:rFonts w:ascii="Arial" w:eastAsia="Calibri" w:hAnsi="Arial" w:cs="Arial"/>
          <w:bCs/>
          <w:sz w:val="26"/>
          <w:szCs w:val="26"/>
        </w:rPr>
        <w:t>**********</w:t>
      </w:r>
      <w:r>
        <w:rPr>
          <w:rFonts w:ascii="Arial" w:eastAsia="Calibri" w:hAnsi="Arial" w:cs="Arial"/>
          <w:bCs/>
          <w:sz w:val="26"/>
          <w:szCs w:val="26"/>
        </w:rPr>
        <w:t xml:space="preserve">, regularice la unidad de motor con la que presuntamente presta el servicio público de transporte (taxi) en la localidad de Huajuapan de León, Oaxaca, pues considera que tal acción contravendría disposiciones de orden público y se alteraría la armonía y paz social de la localidad, al afectarse la esfera jurídica de los verdaderos concesionarios que se presentaron con su debida documentación, en tiempo y forma, reiterando, que el actor no probó contar con un vehículo de motor susceptible de regularizarse. </w:t>
      </w:r>
    </w:p>
    <w:p w:rsidR="00F66942" w:rsidRDefault="00F66942" w:rsidP="00F6694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Del mismo modo es </w:t>
      </w:r>
      <w:r>
        <w:rPr>
          <w:rFonts w:ascii="Arial" w:eastAsia="Calibri" w:hAnsi="Arial" w:cs="Arial"/>
          <w:b/>
          <w:bCs/>
          <w:sz w:val="26"/>
          <w:szCs w:val="26"/>
        </w:rPr>
        <w:t xml:space="preserve">acertada </w:t>
      </w:r>
      <w:r>
        <w:rPr>
          <w:rFonts w:ascii="Arial" w:eastAsia="Calibri" w:hAnsi="Arial" w:cs="Arial"/>
          <w:bCs/>
          <w:sz w:val="26"/>
          <w:szCs w:val="26"/>
        </w:rPr>
        <w:t>la anterior manifestación, pues como ya se estableció en párrafos precedentes, el actor no probó contar con un vehículo susceptible de regularizarse, como fue establecido en la convocatoria para poder participar, ni menos acreditó haber cumplido con los requisitos que fueron</w:t>
      </w:r>
      <w:r w:rsidR="00DC0155">
        <w:rPr>
          <w:rFonts w:ascii="Arial" w:eastAsia="Calibri" w:hAnsi="Arial" w:cs="Arial"/>
          <w:bCs/>
          <w:sz w:val="26"/>
          <w:szCs w:val="26"/>
        </w:rPr>
        <w:t xml:space="preserve"> plasmados en la convocatoria; y sin embargo, como lo aduce el recurrente, de declararse la validez parcial para que se realicen las acciones jurídico-administrativas para que se incluya al actor en el referido procedimiento administrativo de regularización para la obtención de títulos de concesión para la prestación del servicio público de pasajeros en la modalidad de taxi, aun cuando no cumplió con los requisitos para poder participar, se transgrediría el principio de igualdad de aquéllas personas que cumplieron con los requisitos para participar en tiempo y forma, al pretenderse que exista un trato igualitario, para aquéllas que no cumplieron, con los que sí cumplieron.</w:t>
      </w:r>
    </w:p>
    <w:p w:rsidR="00F94002" w:rsidRDefault="00DC0155" w:rsidP="00F9400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Importa señalar que el principio de igualdad pretende que las personas reciban un</w:t>
      </w:r>
      <w:r w:rsidR="003B0B14">
        <w:rPr>
          <w:rFonts w:ascii="Arial" w:eastAsia="Calibri" w:hAnsi="Arial" w:cs="Arial"/>
          <w:bCs/>
          <w:sz w:val="26"/>
          <w:szCs w:val="26"/>
        </w:rPr>
        <w:t xml:space="preserve"> mismo tratamiento ante la ley</w:t>
      </w:r>
      <w:r w:rsidR="00F94002">
        <w:rPr>
          <w:rFonts w:ascii="Arial" w:eastAsia="Calibri" w:hAnsi="Arial" w:cs="Arial"/>
          <w:bCs/>
          <w:sz w:val="26"/>
          <w:szCs w:val="26"/>
        </w:rPr>
        <w:t xml:space="preserve"> </w:t>
      </w:r>
      <w:r w:rsidR="003B0B14">
        <w:rPr>
          <w:rFonts w:ascii="Arial" w:eastAsia="Calibri" w:hAnsi="Arial" w:cs="Arial"/>
          <w:bCs/>
          <w:sz w:val="26"/>
          <w:szCs w:val="26"/>
        </w:rPr>
        <w:t>igual</w:t>
      </w:r>
      <w:r w:rsidR="00F94002">
        <w:rPr>
          <w:rFonts w:ascii="Arial" w:eastAsia="Calibri" w:hAnsi="Arial" w:cs="Arial"/>
          <w:bCs/>
          <w:sz w:val="26"/>
          <w:szCs w:val="26"/>
        </w:rPr>
        <w:t xml:space="preserve"> en condiciones iguales, es decir, si su supuesto es el mismo. Ya que en el caso de que no se hallen en el mismo supuesto, entonces </w:t>
      </w:r>
      <w:r w:rsidR="00F94002">
        <w:rPr>
          <w:rFonts w:ascii="Arial" w:eastAsia="Calibri" w:hAnsi="Arial" w:cs="Arial"/>
          <w:bCs/>
          <w:i/>
          <w:sz w:val="26"/>
          <w:szCs w:val="26"/>
        </w:rPr>
        <w:t xml:space="preserve">a priori </w:t>
      </w:r>
      <w:r w:rsidR="00F94002">
        <w:rPr>
          <w:rFonts w:ascii="Arial" w:eastAsia="Calibri" w:hAnsi="Arial" w:cs="Arial"/>
          <w:bCs/>
          <w:sz w:val="26"/>
          <w:szCs w:val="26"/>
        </w:rPr>
        <w:t>no puede establecerse una situación de desigualdad, debido a que sus propias condiciones no son similares. El principio de igualdad implica que se trate igual a los que son iguales y desigual a aquéllos que son desiguales. También el principio de igualdad implica un ejercicio comparativo entre las personas u objetos que habrán de sujetarse al escrutinio de trato semejante, pero esa determinación comparativa en manera alguna puede ser arbitraria ni libre, debido a que indudablemente tendrá que atender a las características propias de las personas u objetos en análisis. Estas ideas encuentra</w:t>
      </w:r>
      <w:r w:rsidR="00CC1CB2">
        <w:rPr>
          <w:rFonts w:ascii="Arial" w:eastAsia="Calibri" w:hAnsi="Arial" w:cs="Arial"/>
          <w:bCs/>
          <w:sz w:val="26"/>
          <w:szCs w:val="26"/>
        </w:rPr>
        <w:t xml:space="preserve">n apoyo en las jurisprudencias </w:t>
      </w:r>
      <w:r w:rsidR="008D3A43">
        <w:rPr>
          <w:rFonts w:ascii="Arial" w:eastAsia="Calibri" w:hAnsi="Arial" w:cs="Arial"/>
          <w:bCs/>
          <w:sz w:val="26"/>
          <w:szCs w:val="26"/>
        </w:rPr>
        <w:t>1</w:t>
      </w:r>
      <w:r w:rsidR="00F94002">
        <w:rPr>
          <w:rFonts w:ascii="Arial" w:eastAsia="Calibri" w:hAnsi="Arial" w:cs="Arial"/>
          <w:bCs/>
          <w:sz w:val="26"/>
          <w:szCs w:val="26"/>
        </w:rPr>
        <w:t>a.J 55/2006 d</w:t>
      </w:r>
      <w:r w:rsidR="008D3A43">
        <w:rPr>
          <w:rFonts w:ascii="Arial" w:eastAsia="Calibri" w:hAnsi="Arial" w:cs="Arial"/>
          <w:bCs/>
          <w:sz w:val="26"/>
          <w:szCs w:val="26"/>
        </w:rPr>
        <w:t>ictada por</w:t>
      </w:r>
      <w:r w:rsidR="00F94002">
        <w:rPr>
          <w:rFonts w:ascii="Arial" w:eastAsia="Calibri" w:hAnsi="Arial" w:cs="Arial"/>
          <w:bCs/>
          <w:sz w:val="26"/>
          <w:szCs w:val="26"/>
        </w:rPr>
        <w:t xml:space="preserve"> la Primera Sala de la Suprema Corte de Justicia de la Nación</w:t>
      </w:r>
      <w:r w:rsidR="008D3A43">
        <w:rPr>
          <w:rFonts w:ascii="Arial" w:eastAsia="Calibri" w:hAnsi="Arial" w:cs="Arial"/>
          <w:bCs/>
          <w:sz w:val="26"/>
          <w:szCs w:val="26"/>
        </w:rPr>
        <w:t xml:space="preserve"> en la novena época</w:t>
      </w:r>
      <w:r w:rsidR="00F94002">
        <w:rPr>
          <w:rFonts w:ascii="Arial" w:eastAsia="Calibri" w:hAnsi="Arial" w:cs="Arial"/>
          <w:bCs/>
          <w:sz w:val="26"/>
          <w:szCs w:val="26"/>
        </w:rPr>
        <w:t>, la cual está publicada en el Semanario Judicial de la Federación y su Gaceta en el Tomo XXIV de septiembre de 2006, en la página 75, bajo el rubro y texto siguientes:</w:t>
      </w:r>
    </w:p>
    <w:p w:rsidR="00F94002" w:rsidRPr="00CC1CB2" w:rsidRDefault="008D3A43" w:rsidP="008D3A43">
      <w:pPr>
        <w:autoSpaceDE w:val="0"/>
        <w:autoSpaceDN w:val="0"/>
        <w:adjustRightInd w:val="0"/>
        <w:spacing w:after="0" w:line="360" w:lineRule="auto"/>
        <w:ind w:left="851" w:right="616"/>
        <w:jc w:val="both"/>
        <w:rPr>
          <w:rFonts w:ascii="Arial" w:eastAsia="Calibri" w:hAnsi="Arial" w:cs="Arial"/>
          <w:bCs/>
          <w:i/>
          <w:sz w:val="24"/>
          <w:szCs w:val="24"/>
        </w:rPr>
      </w:pPr>
      <w:r w:rsidRPr="00CC1CB2">
        <w:rPr>
          <w:rFonts w:ascii="Arial" w:hAnsi="Arial" w:cs="Arial"/>
          <w:i/>
          <w:sz w:val="24"/>
          <w:szCs w:val="24"/>
          <w:lang w:val="es-MX"/>
        </w:rPr>
        <w:t>“</w:t>
      </w:r>
      <w:r w:rsidR="00F94002" w:rsidRPr="00CC1CB2">
        <w:rPr>
          <w:rFonts w:ascii="Arial" w:hAnsi="Arial" w:cs="Arial"/>
          <w:b/>
          <w:i/>
          <w:sz w:val="24"/>
          <w:szCs w:val="24"/>
          <w:lang w:val="es-MX"/>
        </w:rPr>
        <w:t>IGUALDAD. CRITERIOS PARA DETERMINAR SI EL LEGISLADOR RESPETA ESE PRINCIPIO CONSTITUCIONAL</w:t>
      </w:r>
      <w:r w:rsidR="00F94002" w:rsidRPr="00CC1CB2">
        <w:rPr>
          <w:rFonts w:ascii="Arial" w:hAnsi="Arial" w:cs="Arial"/>
          <w:i/>
          <w:sz w:val="24"/>
          <w:szCs w:val="24"/>
          <w:lang w:val="es-MX"/>
        </w:rPr>
        <w:t>.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vedado, mientras que en otras estará permitido o, incluso, constitucionalmente exigido. En ese tenor, cuando la Suprema Corte de Justicia de la Nación conoce de un caso en el cual la ley distingue entre dos o varios hechos, sucesos, personas o colectivos, debe analizar si dicha 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w:t>
      </w:r>
      <w:r w:rsidRPr="00CC1CB2">
        <w:rPr>
          <w:rFonts w:ascii="Arial" w:hAnsi="Arial" w:cs="Arial"/>
          <w:i/>
          <w:sz w:val="24"/>
          <w:szCs w:val="24"/>
          <w:lang w:val="es-MX"/>
        </w:rPr>
        <w:t xml:space="preserve"> </w:t>
      </w:r>
      <w:r w:rsidR="00F94002" w:rsidRPr="00CC1CB2">
        <w:rPr>
          <w:rFonts w:ascii="Arial" w:hAnsi="Arial" w:cs="Arial"/>
          <w:i/>
          <w:sz w:val="24"/>
          <w:szCs w:val="24"/>
          <w:lang w:val="es-MX"/>
        </w:rPr>
        <w:t xml:space="preserve">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w:t>
      </w:r>
      <w:proofErr w:type="spellStart"/>
      <w:r w:rsidR="00F94002" w:rsidRPr="00CC1CB2">
        <w:rPr>
          <w:rFonts w:ascii="Arial" w:hAnsi="Arial" w:cs="Arial"/>
          <w:i/>
          <w:sz w:val="24"/>
          <w:szCs w:val="24"/>
          <w:lang w:val="es-MX"/>
        </w:rPr>
        <w:t>instrumentalidad</w:t>
      </w:r>
      <w:proofErr w:type="spellEnd"/>
      <w:r w:rsidR="00F94002" w:rsidRPr="00CC1CB2">
        <w:rPr>
          <w:rFonts w:ascii="Arial" w:hAnsi="Arial" w:cs="Arial"/>
          <w:i/>
          <w:sz w:val="24"/>
          <w:szCs w:val="24"/>
          <w:lang w:val="es-MX"/>
        </w:rPr>
        <w:t xml:space="preserve">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w:t>
      </w:r>
      <w:r w:rsidRPr="00CC1CB2">
        <w:rPr>
          <w:rFonts w:ascii="Arial" w:hAnsi="Arial" w:cs="Arial"/>
          <w:i/>
          <w:sz w:val="24"/>
          <w:szCs w:val="24"/>
          <w:lang w:val="es-MX"/>
        </w:rPr>
        <w:t xml:space="preserve"> </w:t>
      </w:r>
      <w:r w:rsidR="00F94002" w:rsidRPr="00CC1CB2">
        <w:rPr>
          <w:rFonts w:ascii="Arial" w:hAnsi="Arial" w:cs="Arial"/>
          <w:i/>
          <w:sz w:val="24"/>
          <w:szCs w:val="24"/>
          <w:lang w:val="es-MX"/>
        </w:rPr>
        <w:t>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r w:rsidRPr="00CC1CB2">
        <w:rPr>
          <w:rFonts w:ascii="Arial" w:hAnsi="Arial" w:cs="Arial"/>
          <w:i/>
          <w:sz w:val="24"/>
          <w:szCs w:val="24"/>
          <w:lang w:val="es-MX"/>
        </w:rPr>
        <w:t>”</w:t>
      </w:r>
    </w:p>
    <w:p w:rsidR="008D3A43" w:rsidRPr="008D3A43" w:rsidRDefault="008D3A43" w:rsidP="008D3A43">
      <w:pPr>
        <w:spacing w:before="240" w:line="360" w:lineRule="auto"/>
        <w:jc w:val="both"/>
        <w:rPr>
          <w:rFonts w:ascii="Arial" w:hAnsi="Arial" w:cs="Arial"/>
          <w:sz w:val="24"/>
          <w:szCs w:val="24"/>
        </w:rPr>
      </w:pPr>
      <w:r>
        <w:rPr>
          <w:rFonts w:ascii="Arial" w:eastAsia="Calibri" w:hAnsi="Arial" w:cs="Arial"/>
          <w:bCs/>
          <w:sz w:val="26"/>
          <w:szCs w:val="26"/>
        </w:rPr>
        <w:tab/>
      </w:r>
      <w:r w:rsidRPr="008D3A43">
        <w:rPr>
          <w:rFonts w:ascii="Arial" w:eastAsia="Calibri" w:hAnsi="Arial" w:cs="Arial"/>
          <w:bCs/>
          <w:sz w:val="24"/>
          <w:szCs w:val="24"/>
        </w:rPr>
        <w:t xml:space="preserve">Y la jurisprudencia </w:t>
      </w:r>
      <w:r w:rsidRPr="008D3A43">
        <w:rPr>
          <w:rFonts w:ascii="Arial" w:hAnsi="Arial" w:cs="Arial"/>
          <w:sz w:val="24"/>
          <w:szCs w:val="24"/>
        </w:rPr>
        <w:t>1a</w:t>
      </w:r>
      <w:proofErr w:type="gramStart"/>
      <w:r w:rsidRPr="008D3A43">
        <w:rPr>
          <w:rFonts w:ascii="Arial" w:hAnsi="Arial" w:cs="Arial"/>
          <w:sz w:val="24"/>
          <w:szCs w:val="24"/>
        </w:rPr>
        <w:t>./</w:t>
      </w:r>
      <w:proofErr w:type="gramEnd"/>
      <w:r w:rsidRPr="008D3A43">
        <w:rPr>
          <w:rFonts w:ascii="Arial" w:hAnsi="Arial" w:cs="Arial"/>
          <w:sz w:val="24"/>
          <w:szCs w:val="24"/>
        </w:rPr>
        <w:t xml:space="preserve">J. 46/2016 (10a.) también de la Primera Sala de la Suprema Corte de Justicia de la Nación dictada en la Décima época la cual se encuentra inserta en la Gaceta del Semanario Judicial de la Federación en el Libro 34, de septiembre de 2016, a Tomo I y que está visible a página 357, con el rubro y texto siguientes: </w:t>
      </w:r>
    </w:p>
    <w:p w:rsidR="008D3A43" w:rsidRPr="00CC1CB2" w:rsidRDefault="008D3A43" w:rsidP="008D3A43">
      <w:pPr>
        <w:spacing w:after="0" w:line="360" w:lineRule="auto"/>
        <w:ind w:left="851" w:right="616"/>
        <w:jc w:val="both"/>
        <w:rPr>
          <w:rFonts w:ascii="Arial" w:hAnsi="Arial" w:cs="Arial"/>
          <w:i/>
          <w:sz w:val="24"/>
          <w:szCs w:val="24"/>
        </w:rPr>
      </w:pPr>
      <w:r w:rsidRPr="00CC1CB2">
        <w:rPr>
          <w:rFonts w:ascii="Arial" w:hAnsi="Arial" w:cs="Arial"/>
          <w:i/>
          <w:sz w:val="24"/>
          <w:szCs w:val="24"/>
        </w:rPr>
        <w:t>“</w:t>
      </w:r>
      <w:r w:rsidRPr="00CC1CB2">
        <w:rPr>
          <w:rFonts w:ascii="Arial" w:hAnsi="Arial" w:cs="Arial"/>
          <w:b/>
          <w:i/>
          <w:sz w:val="24"/>
          <w:szCs w:val="24"/>
        </w:rPr>
        <w:t>IGUALDAD. DELIMITACIÓN CONCEPTUAL DE ESTE PRINCIPIO</w:t>
      </w:r>
      <w:r w:rsidRPr="00CC1CB2">
        <w:rPr>
          <w:rFonts w:ascii="Arial" w:hAnsi="Arial" w:cs="Arial"/>
          <w:i/>
          <w:sz w:val="24"/>
          <w:szCs w:val="24"/>
        </w:rPr>
        <w:t>.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8D3A43" w:rsidRPr="008D3A43" w:rsidRDefault="008D3A43" w:rsidP="002C2E8D">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 por esto, que la razón otorgada por la sala de origen no es precisa en establecer que la inclusión del actor en el procedimiento administrativo de regularización es acorde al principio de igualdad, debido a que como se ha reiterado en el actual documento, de las constancias aparece que incumplió con los requisitos establecidos en la Convocatoria impugnada, </w:t>
      </w:r>
      <w:r>
        <w:rPr>
          <w:rFonts w:ascii="Arial" w:eastAsia="Calibri" w:hAnsi="Arial" w:cs="Arial"/>
          <w:b/>
          <w:bCs/>
          <w:sz w:val="26"/>
          <w:szCs w:val="26"/>
        </w:rPr>
        <w:t xml:space="preserve">luego </w:t>
      </w:r>
      <w:r>
        <w:rPr>
          <w:rFonts w:ascii="Arial" w:eastAsia="Calibri" w:hAnsi="Arial" w:cs="Arial"/>
          <w:bCs/>
          <w:sz w:val="26"/>
          <w:szCs w:val="26"/>
        </w:rPr>
        <w:t xml:space="preserve">no tiene las mismas condiciones que las personas que sí satisficieron esos requisitos, de ahí que, como se adelantó, </w:t>
      </w:r>
      <w:r>
        <w:rPr>
          <w:rFonts w:ascii="Arial" w:eastAsia="Calibri" w:hAnsi="Arial" w:cs="Arial"/>
          <w:b/>
          <w:bCs/>
          <w:sz w:val="26"/>
          <w:szCs w:val="26"/>
        </w:rPr>
        <w:t xml:space="preserve">contrario </w:t>
      </w:r>
      <w:r>
        <w:rPr>
          <w:rFonts w:ascii="Arial" w:eastAsia="Calibri" w:hAnsi="Arial" w:cs="Arial"/>
          <w:bCs/>
          <w:sz w:val="26"/>
          <w:szCs w:val="26"/>
        </w:rPr>
        <w:t xml:space="preserve">a lo resuelto por la juzgadora primigenia el efecto que otorga en su sentencia implica un trato desigual con las personas que sí reunieron las calidades contenidas en la citada Convocatoria, de ahí que como lo aduce la recurrente, dicho efecto impreso por la juzgadora afectaría la esfera jurídica de los que si cumplieron con los requisitos al transgredirse el principio de igualdad. </w:t>
      </w:r>
    </w:p>
    <w:p w:rsidR="002C2E8D" w:rsidRDefault="002C2E8D" w:rsidP="002C2E8D">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consecuencia, al haberse establecido que el actor no acreditó que cumplió con los requisitos necesarios para poder participar en el procedimiento administrativo para la obtención de títulos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impugnada “</w:t>
      </w:r>
      <w:r w:rsidRPr="00964BEF">
        <w:rPr>
          <w:rFonts w:ascii="Arial" w:eastAsia="Calibri" w:hAnsi="Arial" w:cs="Arial"/>
          <w:bCs/>
          <w:i/>
          <w:sz w:val="24"/>
          <w:szCs w:val="24"/>
        </w:rPr>
        <w:t xml:space="preserve">Ahora bien, de un análisis integral de todos los conceptos de impugnación esgrimidos por la parte actora, resulta oportuno pronunciarse que los </w:t>
      </w:r>
      <w:r w:rsidR="00CC1CB2">
        <w:rPr>
          <w:rFonts w:ascii="Arial" w:eastAsia="Calibri" w:hAnsi="Arial" w:cs="Arial"/>
          <w:bCs/>
          <w:i/>
          <w:sz w:val="24"/>
          <w:szCs w:val="24"/>
        </w:rPr>
        <w:t>m</w:t>
      </w:r>
      <w:r w:rsidRPr="00964BEF">
        <w:rPr>
          <w:rFonts w:ascii="Arial" w:eastAsia="Calibri" w:hAnsi="Arial" w:cs="Arial"/>
          <w:bCs/>
          <w:i/>
          <w:sz w:val="24"/>
          <w:szCs w:val="24"/>
        </w:rPr>
        <w:t>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Pr>
          <w:rFonts w:ascii="Arial" w:eastAsia="Calibri" w:hAnsi="Arial" w:cs="Arial"/>
          <w:bCs/>
          <w:sz w:val="26"/>
          <w:szCs w:val="26"/>
        </w:rPr>
        <w:t xml:space="preserve">”; por ello, resulta procedente </w:t>
      </w:r>
      <w:r w:rsidRPr="0073681A">
        <w:rPr>
          <w:rFonts w:ascii="Arial" w:eastAsia="Calibri" w:hAnsi="Arial" w:cs="Arial"/>
          <w:b/>
          <w:bCs/>
          <w:sz w:val="26"/>
          <w:szCs w:val="26"/>
        </w:rPr>
        <w:t>modificar</w:t>
      </w:r>
      <w:r>
        <w:rPr>
          <w:rFonts w:ascii="Arial" w:eastAsia="Calibri" w:hAnsi="Arial" w:cs="Arial"/>
          <w:bCs/>
          <w:sz w:val="26"/>
          <w:szCs w:val="26"/>
        </w:rPr>
        <w:t xml:space="preserve"> la sentencia recurrida, para el efecto de declarar la </w:t>
      </w:r>
      <w:r w:rsidRPr="00964BEF">
        <w:rPr>
          <w:rFonts w:ascii="Arial" w:eastAsia="Calibri" w:hAnsi="Arial" w:cs="Arial"/>
          <w:b/>
          <w:bCs/>
          <w:sz w:val="26"/>
          <w:szCs w:val="26"/>
        </w:rPr>
        <w:t>validez</w:t>
      </w:r>
      <w:r>
        <w:rPr>
          <w:rFonts w:ascii="Arial" w:eastAsia="Calibri" w:hAnsi="Arial" w:cs="Arial"/>
          <w:bCs/>
          <w:sz w:val="26"/>
          <w:szCs w:val="26"/>
        </w:rPr>
        <w:t xml:space="preserve"> de la convocatoria, en base a los argumentos esgrimidos en la presente resolución y aquellos que pronunció la primera instancia para considerar que no se puede determinar la nulidad lisa y llana.</w:t>
      </w:r>
    </w:p>
    <w:p w:rsidR="002C2E8D" w:rsidRDefault="002C2E8D" w:rsidP="002C2E8D">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Por tanto, ante lo sustancialmente </w:t>
      </w:r>
      <w:r>
        <w:rPr>
          <w:rFonts w:ascii="Arial" w:eastAsia="Calibri" w:hAnsi="Arial" w:cs="Arial"/>
          <w:b/>
          <w:bCs/>
          <w:sz w:val="26"/>
          <w:szCs w:val="26"/>
        </w:rPr>
        <w:t xml:space="preserve">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MODIFICAR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al inicio del juico principal,</w:t>
      </w:r>
      <w:r>
        <w:rPr>
          <w:rFonts w:ascii="Arial" w:hAnsi="Arial" w:cs="Arial"/>
          <w:sz w:val="26"/>
          <w:szCs w:val="26"/>
        </w:rPr>
        <w:t xml:space="preserve"> se:</w:t>
      </w:r>
    </w:p>
    <w:p w:rsidR="002C2E8D" w:rsidRDefault="002C2E8D" w:rsidP="002C2E8D">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C2E8D" w:rsidRDefault="002C2E8D" w:rsidP="002C2E8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MODIFICA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en los términos precisados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 xml:space="preserve">Sexta </w:t>
      </w:r>
      <w:r>
        <w:rPr>
          <w:rFonts w:ascii="Arial" w:hAnsi="Arial" w:cs="Arial"/>
          <w:sz w:val="26"/>
          <w:szCs w:val="26"/>
        </w:rPr>
        <w:t>Sala Unitaria de Primera Instancia de este Tribunal y en su oportunidad archívese el presente cuaderno de revisión como asunto concluido.</w:t>
      </w:r>
    </w:p>
    <w:p w:rsidR="003815FF" w:rsidRDefault="003815FF" w:rsidP="003815FF">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84255C" w:rsidRDefault="0084255C" w:rsidP="0084255C">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4255C" w:rsidRDefault="0084255C" w:rsidP="0084255C">
      <w:pPr>
        <w:spacing w:line="360" w:lineRule="auto"/>
        <w:jc w:val="both"/>
        <w:rPr>
          <w:rFonts w:ascii="Arial" w:eastAsiaTheme="minorEastAsia" w:hAnsi="Arial" w:cs="Arial"/>
          <w:sz w:val="26"/>
          <w:szCs w:val="26"/>
          <w:lang w:val="es-MX" w:eastAsia="es-MX"/>
        </w:rPr>
      </w:pPr>
    </w:p>
    <w:p w:rsidR="0084255C" w:rsidRDefault="0084255C" w:rsidP="0084255C">
      <w:pPr>
        <w:spacing w:line="360" w:lineRule="auto"/>
        <w:jc w:val="both"/>
        <w:rPr>
          <w:rFonts w:ascii="Arial" w:eastAsiaTheme="minorEastAsia" w:hAnsi="Arial" w:cs="Arial"/>
          <w:sz w:val="26"/>
          <w:szCs w:val="26"/>
          <w:lang w:val="es-MX" w:eastAsia="es-MX"/>
        </w:rPr>
      </w:pPr>
    </w:p>
    <w:p w:rsidR="0084255C" w:rsidRDefault="0084255C" w:rsidP="0084255C">
      <w:pPr>
        <w:spacing w:line="360" w:lineRule="auto"/>
        <w:jc w:val="both"/>
        <w:rPr>
          <w:rFonts w:ascii="Arial" w:eastAsiaTheme="minorEastAsia" w:hAnsi="Arial" w:cs="Arial"/>
          <w:sz w:val="26"/>
          <w:szCs w:val="26"/>
          <w:lang w:val="es-MX" w:eastAsia="es-MX"/>
        </w:rPr>
      </w:pPr>
    </w:p>
    <w:p w:rsidR="0084255C" w:rsidRDefault="0084255C" w:rsidP="0084255C">
      <w:pPr>
        <w:pStyle w:val="Sinespaciado"/>
        <w:jc w:val="center"/>
        <w:rPr>
          <w:rFonts w:ascii="Arial" w:hAnsi="Arial" w:cs="Arial"/>
          <w:sz w:val="26"/>
          <w:szCs w:val="26"/>
          <w:lang w:val="es-MX"/>
        </w:rPr>
      </w:pPr>
      <w:r>
        <w:rPr>
          <w:rFonts w:ascii="Arial" w:hAnsi="Arial" w:cs="Arial"/>
          <w:sz w:val="26"/>
          <w:szCs w:val="26"/>
        </w:rPr>
        <w:t>MAGISTRADO ADRIÁN QUIROGA AVENDAÑO.</w:t>
      </w:r>
    </w:p>
    <w:p w:rsidR="0084255C" w:rsidRDefault="0084255C" w:rsidP="0084255C">
      <w:pPr>
        <w:pStyle w:val="Sinespaciado"/>
        <w:jc w:val="center"/>
        <w:rPr>
          <w:rFonts w:ascii="Arial" w:hAnsi="Arial" w:cs="Arial"/>
          <w:sz w:val="26"/>
          <w:szCs w:val="26"/>
        </w:rPr>
      </w:pPr>
      <w:r>
        <w:rPr>
          <w:rFonts w:ascii="Arial" w:hAnsi="Arial" w:cs="Arial"/>
          <w:sz w:val="26"/>
          <w:szCs w:val="26"/>
        </w:rPr>
        <w:t>PRESIDENTE</w:t>
      </w: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84255C" w:rsidRPr="000101AC" w:rsidRDefault="0084255C" w:rsidP="000101AC">
      <w:pPr>
        <w:spacing w:line="360" w:lineRule="auto"/>
        <w:jc w:val="center"/>
        <w:rPr>
          <w:rFonts w:ascii="Arial" w:eastAsia="Calibri" w:hAnsi="Arial" w:cs="Arial"/>
          <w:b/>
          <w:sz w:val="14"/>
          <w:szCs w:val="26"/>
        </w:rPr>
      </w:pPr>
      <w:r w:rsidRPr="000101AC">
        <w:rPr>
          <w:rFonts w:ascii="Arial" w:eastAsia="Calibri" w:hAnsi="Arial" w:cs="Arial"/>
          <w:b/>
          <w:sz w:val="14"/>
          <w:szCs w:val="26"/>
        </w:rPr>
        <w:t>LAS PRESENTES FIRMAS CORRESPONDEN AL RECURSO DE REVISIÓN 73/2018</w:t>
      </w: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0101AC" w:rsidRDefault="000101AC" w:rsidP="0084255C">
      <w:pPr>
        <w:spacing w:line="360" w:lineRule="auto"/>
        <w:rPr>
          <w:rFonts w:ascii="Arial" w:eastAsia="Calibri" w:hAnsi="Arial" w:cs="Arial"/>
          <w:sz w:val="26"/>
          <w:szCs w:val="26"/>
        </w:rPr>
      </w:pPr>
    </w:p>
    <w:p w:rsidR="0084255C" w:rsidRDefault="0084255C" w:rsidP="0084255C">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0101AC" w:rsidRDefault="000101A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0101AC" w:rsidRDefault="000101AC" w:rsidP="0084255C">
      <w:pPr>
        <w:spacing w:line="360" w:lineRule="auto"/>
        <w:rPr>
          <w:rFonts w:ascii="Arial" w:eastAsia="Calibri" w:hAnsi="Arial" w:cs="Arial"/>
          <w:sz w:val="26"/>
          <w:szCs w:val="26"/>
        </w:rPr>
      </w:pPr>
    </w:p>
    <w:p w:rsidR="0084255C" w:rsidRDefault="0084255C" w:rsidP="0084255C">
      <w:pPr>
        <w:spacing w:line="360" w:lineRule="auto"/>
        <w:rPr>
          <w:rFonts w:ascii="Arial" w:eastAsia="Calibri" w:hAnsi="Arial" w:cs="Arial"/>
          <w:sz w:val="26"/>
          <w:szCs w:val="26"/>
        </w:rPr>
      </w:pPr>
    </w:p>
    <w:p w:rsidR="0084255C" w:rsidRDefault="0084255C" w:rsidP="0084255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84255C" w:rsidRDefault="0084255C" w:rsidP="0084255C">
      <w:pPr>
        <w:spacing w:line="360" w:lineRule="auto"/>
        <w:jc w:val="center"/>
        <w:rPr>
          <w:rFonts w:ascii="Arial" w:eastAsia="Calibri" w:hAnsi="Arial" w:cs="Arial"/>
          <w:sz w:val="26"/>
          <w:szCs w:val="26"/>
        </w:rPr>
      </w:pPr>
    </w:p>
    <w:p w:rsidR="0084255C" w:rsidRDefault="0084255C" w:rsidP="0084255C">
      <w:pPr>
        <w:spacing w:line="360" w:lineRule="auto"/>
        <w:jc w:val="center"/>
        <w:rPr>
          <w:rFonts w:ascii="Arial" w:eastAsia="Calibri" w:hAnsi="Arial" w:cs="Arial"/>
          <w:sz w:val="26"/>
          <w:szCs w:val="26"/>
        </w:rPr>
      </w:pPr>
    </w:p>
    <w:p w:rsidR="0084255C" w:rsidRDefault="0084255C" w:rsidP="0084255C">
      <w:pPr>
        <w:spacing w:line="360" w:lineRule="auto"/>
        <w:jc w:val="center"/>
        <w:rPr>
          <w:rFonts w:ascii="Arial" w:eastAsia="Calibri" w:hAnsi="Arial" w:cs="Arial"/>
          <w:sz w:val="26"/>
          <w:szCs w:val="26"/>
        </w:rPr>
      </w:pPr>
    </w:p>
    <w:p w:rsidR="000101AC" w:rsidRDefault="000101AC" w:rsidP="0084255C">
      <w:pPr>
        <w:spacing w:line="360" w:lineRule="auto"/>
        <w:jc w:val="center"/>
        <w:rPr>
          <w:rFonts w:ascii="Arial" w:eastAsia="Calibri" w:hAnsi="Arial" w:cs="Arial"/>
          <w:sz w:val="26"/>
          <w:szCs w:val="26"/>
        </w:rPr>
      </w:pPr>
    </w:p>
    <w:p w:rsidR="0084255C" w:rsidRDefault="0084255C" w:rsidP="0084255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84255C" w:rsidRDefault="0084255C" w:rsidP="0084255C">
      <w:pPr>
        <w:rPr>
          <w:rFonts w:ascii="Arial" w:eastAsia="Calibri" w:hAnsi="Arial" w:cs="Arial"/>
          <w:sz w:val="26"/>
          <w:szCs w:val="26"/>
        </w:rPr>
      </w:pPr>
    </w:p>
    <w:p w:rsidR="0084255C" w:rsidRDefault="0084255C" w:rsidP="0084255C">
      <w:pPr>
        <w:rPr>
          <w:rFonts w:ascii="Arial" w:eastAsia="Calibri" w:hAnsi="Arial" w:cs="Arial"/>
          <w:sz w:val="26"/>
          <w:szCs w:val="26"/>
        </w:rPr>
      </w:pPr>
    </w:p>
    <w:p w:rsidR="0084255C" w:rsidRDefault="0084255C" w:rsidP="0084255C">
      <w:pPr>
        <w:rPr>
          <w:rFonts w:ascii="Arial" w:eastAsia="Calibri" w:hAnsi="Arial" w:cs="Arial"/>
          <w:sz w:val="26"/>
          <w:szCs w:val="26"/>
        </w:rPr>
      </w:pPr>
    </w:p>
    <w:p w:rsidR="000101AC" w:rsidRDefault="000101AC" w:rsidP="0084255C">
      <w:pPr>
        <w:rPr>
          <w:rFonts w:ascii="Arial" w:eastAsia="Calibri" w:hAnsi="Arial" w:cs="Arial"/>
          <w:sz w:val="26"/>
          <w:szCs w:val="26"/>
        </w:rPr>
      </w:pPr>
    </w:p>
    <w:p w:rsidR="0084255C" w:rsidRDefault="0084255C" w:rsidP="0084255C">
      <w:pPr>
        <w:pStyle w:val="Sinespaciado"/>
        <w:jc w:val="center"/>
        <w:rPr>
          <w:rFonts w:ascii="Arial" w:hAnsi="Arial" w:cs="Arial"/>
          <w:sz w:val="26"/>
          <w:szCs w:val="26"/>
        </w:rPr>
      </w:pPr>
      <w:r>
        <w:rPr>
          <w:rFonts w:ascii="Arial" w:hAnsi="Arial" w:cs="Arial"/>
          <w:sz w:val="26"/>
          <w:szCs w:val="26"/>
        </w:rPr>
        <w:t>LICENCIADA LETICIA GARCÍA SOTO.</w:t>
      </w:r>
    </w:p>
    <w:p w:rsidR="0084255C" w:rsidRPr="00FA26A1" w:rsidRDefault="0084255C" w:rsidP="0084255C">
      <w:pPr>
        <w:pStyle w:val="Sinespaciado"/>
        <w:jc w:val="center"/>
        <w:rPr>
          <w:rFonts w:ascii="Arial" w:hAnsi="Arial" w:cs="Arial"/>
          <w:sz w:val="26"/>
          <w:szCs w:val="26"/>
        </w:rPr>
      </w:pPr>
      <w:r>
        <w:rPr>
          <w:rFonts w:ascii="Arial" w:hAnsi="Arial" w:cs="Arial"/>
          <w:sz w:val="26"/>
          <w:szCs w:val="26"/>
        </w:rPr>
        <w:t>SECRETARIA GENERAL DE ACUERDOS.</w:t>
      </w:r>
    </w:p>
    <w:p w:rsidR="003815FF" w:rsidRDefault="003815FF" w:rsidP="0084255C">
      <w:pPr>
        <w:spacing w:line="360" w:lineRule="auto"/>
        <w:ind w:firstLine="708"/>
        <w:jc w:val="both"/>
        <w:rPr>
          <w:sz w:val="26"/>
          <w:szCs w:val="26"/>
        </w:rPr>
      </w:pPr>
    </w:p>
    <w:p w:rsidR="004D0312" w:rsidRDefault="004D0312">
      <w:pPr>
        <w:spacing w:line="360" w:lineRule="auto"/>
        <w:ind w:firstLine="708"/>
        <w:jc w:val="both"/>
        <w:rPr>
          <w:sz w:val="26"/>
          <w:szCs w:val="26"/>
        </w:rPr>
      </w:pPr>
    </w:p>
    <w:sectPr w:rsidR="004D0312" w:rsidSect="008D2C9A">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81F" w:rsidRDefault="0020681F">
      <w:pPr>
        <w:spacing w:after="0" w:line="240" w:lineRule="auto"/>
      </w:pPr>
      <w:r>
        <w:separator/>
      </w:r>
    </w:p>
  </w:endnote>
  <w:endnote w:type="continuationSeparator" w:id="0">
    <w:p w:rsidR="0020681F" w:rsidRDefault="00206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483" w:rsidRDefault="00B5148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483" w:rsidRDefault="00B51483">
    <w:pPr>
      <w:pStyle w:val="Piedepgina"/>
    </w:pPr>
    <w:r>
      <w:rPr>
        <w:noProof/>
        <w:lang w:val="es-MX" w:eastAsia="es-MX"/>
      </w:rPr>
      <w:drawing>
        <wp:anchor distT="0" distB="0" distL="114300" distR="114300" simplePos="0" relativeHeight="251668992" behindDoc="0" locked="0" layoutInCell="1" allowOverlap="1" wp14:anchorId="34132299" wp14:editId="5D232398">
          <wp:simplePos x="0" y="0"/>
          <wp:positionH relativeFrom="column">
            <wp:posOffset>-1325118</wp:posOffset>
          </wp:positionH>
          <wp:positionV relativeFrom="paragraph">
            <wp:posOffset>-4487545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483" w:rsidRDefault="00B514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81F" w:rsidRDefault="0020681F">
      <w:pPr>
        <w:spacing w:after="0" w:line="240" w:lineRule="auto"/>
      </w:pPr>
      <w:r>
        <w:separator/>
      </w:r>
    </w:p>
  </w:footnote>
  <w:footnote w:type="continuationSeparator" w:id="0">
    <w:p w:rsidR="0020681F" w:rsidRDefault="0020681F">
      <w:pPr>
        <w:spacing w:after="0" w:line="240" w:lineRule="auto"/>
      </w:pPr>
      <w:r>
        <w:continuationSeparator/>
      </w:r>
    </w:p>
  </w:footnote>
  <w:footnote w:id="1">
    <w:p w:rsidR="002C2E8D" w:rsidRDefault="002C2E8D" w:rsidP="002C2E8D">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2C2E8D" w:rsidRDefault="002C2E8D" w:rsidP="002C2E8D">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2C2E8D" w:rsidRPr="00D85145" w:rsidRDefault="002C2E8D" w:rsidP="002C2E8D">
      <w:pPr>
        <w:pStyle w:val="Textonotapie"/>
        <w:rPr>
          <w:lang w:val="es-MX"/>
        </w:rPr>
      </w:pPr>
      <w:r>
        <w:rPr>
          <w:lang w:val="es-MX"/>
        </w:rPr>
        <w:t xml:space="preserve">   …”</w:t>
      </w:r>
    </w:p>
  </w:footnote>
  <w:footnote w:id="2">
    <w:p w:rsidR="002C2E8D" w:rsidRPr="0082205C" w:rsidRDefault="002C2E8D" w:rsidP="002C2E8D">
      <w:pPr>
        <w:pStyle w:val="Textonotapie"/>
        <w:jc w:val="both"/>
        <w:rPr>
          <w:lang w:val="es-MX"/>
        </w:rPr>
      </w:pPr>
      <w:r>
        <w:rPr>
          <w:rStyle w:val="Refdenotaalpie"/>
        </w:rPr>
        <w:footnoteRef/>
      </w:r>
      <w:r>
        <w:t xml:space="preserve"> </w:t>
      </w:r>
      <w:r>
        <w:rPr>
          <w:lang w:val="es-MX"/>
        </w:rPr>
        <w:t>“</w:t>
      </w:r>
      <w:r>
        <w:rPr>
          <w:b/>
          <w:lang w:val="es-MX"/>
        </w:rPr>
        <w:t xml:space="preserve">Artículo 18.- </w:t>
      </w:r>
      <w:r>
        <w:rPr>
          <w:lang w:val="es-MX"/>
        </w:rPr>
        <w:t>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Transporte, quien determinará las necesidades de tales servicios con base en los estudios de factibilidad que elabore al efecto.”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B51483" w:rsidP="00D25099">
        <w:pPr>
          <w:pStyle w:val="Encabezado"/>
          <w:jc w:val="center"/>
        </w:pPr>
        <w:r>
          <w:rPr>
            <w:noProof/>
            <w:lang w:val="es-MX" w:eastAsia="es-MX"/>
          </w:rPr>
          <w:drawing>
            <wp:anchor distT="0" distB="0" distL="114300" distR="114300" simplePos="0" relativeHeight="251675136" behindDoc="0" locked="0" layoutInCell="1" allowOverlap="1" wp14:anchorId="4DAA7F40" wp14:editId="20E0ABFE">
              <wp:simplePos x="0" y="0"/>
              <wp:positionH relativeFrom="column">
                <wp:posOffset>5546598</wp:posOffset>
              </wp:positionH>
              <wp:positionV relativeFrom="paragraph">
                <wp:posOffset>4865370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sidR="00FC4FD7">
          <w:rPr>
            <w:noProof/>
          </w:rPr>
          <w:t>10</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FC4FD7">
          <w:rPr>
            <w:noProof/>
          </w:rPr>
          <w:t>1</w:t>
        </w:r>
        <w:r>
          <w:rPr>
            <w:noProof/>
          </w:rPr>
          <w:fldChar w:fldCharType="end"/>
        </w:r>
      </w:p>
      <w:p w:rsidR="00B51483" w:rsidRDefault="00FC4FD7" w:rsidP="008C74CA">
        <w:pPr>
          <w:pStyle w:val="Encabezado"/>
          <w:jc w:val="center"/>
        </w:pPr>
      </w:p>
    </w:sdtContent>
  </w:sdt>
  <w:p w:rsidR="00E61AB6" w:rsidRDefault="00E61AB6" w:rsidP="008C74CA">
    <w:pPr>
      <w:pStyle w:val="Encabezado"/>
      <w:jc w:val="center"/>
    </w:pPr>
  </w:p>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3872" behindDoc="1" locked="0" layoutInCell="1" allowOverlap="1" wp14:anchorId="32CBC3D6" wp14:editId="4E24B7DE">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71AE924B" wp14:editId="512F2E7F">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483" w:rsidRDefault="00B5148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AC"/>
    <w:rsid w:val="00011594"/>
    <w:rsid w:val="000169A3"/>
    <w:rsid w:val="00017C09"/>
    <w:rsid w:val="00021DF1"/>
    <w:rsid w:val="0002236D"/>
    <w:rsid w:val="00026C11"/>
    <w:rsid w:val="00026F35"/>
    <w:rsid w:val="000330FB"/>
    <w:rsid w:val="0003331C"/>
    <w:rsid w:val="00035047"/>
    <w:rsid w:val="00035379"/>
    <w:rsid w:val="00036D01"/>
    <w:rsid w:val="000410A1"/>
    <w:rsid w:val="00041164"/>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48D1"/>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1F7AC3"/>
    <w:rsid w:val="00200843"/>
    <w:rsid w:val="00201A25"/>
    <w:rsid w:val="0020247E"/>
    <w:rsid w:val="00203FD3"/>
    <w:rsid w:val="00206222"/>
    <w:rsid w:val="0020681F"/>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D60"/>
    <w:rsid w:val="002675D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2E8D"/>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54A"/>
    <w:rsid w:val="00310EFD"/>
    <w:rsid w:val="00312470"/>
    <w:rsid w:val="003124A7"/>
    <w:rsid w:val="0031531C"/>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5FF"/>
    <w:rsid w:val="003818BD"/>
    <w:rsid w:val="00381DC3"/>
    <w:rsid w:val="00382FD0"/>
    <w:rsid w:val="003873E7"/>
    <w:rsid w:val="00387C97"/>
    <w:rsid w:val="00394200"/>
    <w:rsid w:val="00395802"/>
    <w:rsid w:val="003965ED"/>
    <w:rsid w:val="003A0ACC"/>
    <w:rsid w:val="003A1F55"/>
    <w:rsid w:val="003A24A8"/>
    <w:rsid w:val="003A3A38"/>
    <w:rsid w:val="003A3DAA"/>
    <w:rsid w:val="003A7955"/>
    <w:rsid w:val="003B0B14"/>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4009"/>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2A03"/>
    <w:rsid w:val="00423A9D"/>
    <w:rsid w:val="00424229"/>
    <w:rsid w:val="00427081"/>
    <w:rsid w:val="00433FAD"/>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312"/>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2CF5"/>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8E5"/>
    <w:rsid w:val="00655BA3"/>
    <w:rsid w:val="00655D87"/>
    <w:rsid w:val="00661E08"/>
    <w:rsid w:val="0066306B"/>
    <w:rsid w:val="0066335A"/>
    <w:rsid w:val="0066407D"/>
    <w:rsid w:val="006640C5"/>
    <w:rsid w:val="006665EB"/>
    <w:rsid w:val="00670A3B"/>
    <w:rsid w:val="006735F6"/>
    <w:rsid w:val="00674D05"/>
    <w:rsid w:val="00675661"/>
    <w:rsid w:val="00676DFB"/>
    <w:rsid w:val="00681F17"/>
    <w:rsid w:val="00682164"/>
    <w:rsid w:val="006826DA"/>
    <w:rsid w:val="0068325D"/>
    <w:rsid w:val="00683DC9"/>
    <w:rsid w:val="00684713"/>
    <w:rsid w:val="00685A2A"/>
    <w:rsid w:val="00687B92"/>
    <w:rsid w:val="006921D8"/>
    <w:rsid w:val="00692778"/>
    <w:rsid w:val="006931B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4134"/>
    <w:rsid w:val="0073634D"/>
    <w:rsid w:val="007372AF"/>
    <w:rsid w:val="007372F0"/>
    <w:rsid w:val="007402AF"/>
    <w:rsid w:val="00742461"/>
    <w:rsid w:val="00742758"/>
    <w:rsid w:val="0074315B"/>
    <w:rsid w:val="007448CD"/>
    <w:rsid w:val="00745F93"/>
    <w:rsid w:val="00747A2A"/>
    <w:rsid w:val="00747AB7"/>
    <w:rsid w:val="00752052"/>
    <w:rsid w:val="00752B02"/>
    <w:rsid w:val="007544D5"/>
    <w:rsid w:val="0075454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55C"/>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66C"/>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2C9A"/>
    <w:rsid w:val="008D38EC"/>
    <w:rsid w:val="008D3A43"/>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42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432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F44"/>
    <w:rsid w:val="00A57F60"/>
    <w:rsid w:val="00A61A6E"/>
    <w:rsid w:val="00A65B8D"/>
    <w:rsid w:val="00A67424"/>
    <w:rsid w:val="00A67E6B"/>
    <w:rsid w:val="00A703CE"/>
    <w:rsid w:val="00A7188F"/>
    <w:rsid w:val="00A7216C"/>
    <w:rsid w:val="00A7622C"/>
    <w:rsid w:val="00A778B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483"/>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6931"/>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C1CB2"/>
    <w:rsid w:val="00CC1DB1"/>
    <w:rsid w:val="00CC1F58"/>
    <w:rsid w:val="00CC7CEF"/>
    <w:rsid w:val="00CD0468"/>
    <w:rsid w:val="00CD1491"/>
    <w:rsid w:val="00CD3268"/>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4FB0"/>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155"/>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911"/>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044D"/>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66942"/>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4002"/>
    <w:rsid w:val="00F972BF"/>
    <w:rsid w:val="00FA0211"/>
    <w:rsid w:val="00FA0F1F"/>
    <w:rsid w:val="00FA17DB"/>
    <w:rsid w:val="00FA26F7"/>
    <w:rsid w:val="00FA3C84"/>
    <w:rsid w:val="00FA4E53"/>
    <w:rsid w:val="00FA7264"/>
    <w:rsid w:val="00FB0E2A"/>
    <w:rsid w:val="00FB1E09"/>
    <w:rsid w:val="00FB4039"/>
    <w:rsid w:val="00FB409B"/>
    <w:rsid w:val="00FB4334"/>
    <w:rsid w:val="00FB4892"/>
    <w:rsid w:val="00FB5BC0"/>
    <w:rsid w:val="00FB6C65"/>
    <w:rsid w:val="00FB6DF3"/>
    <w:rsid w:val="00FC0ED3"/>
    <w:rsid w:val="00FC1289"/>
    <w:rsid w:val="00FC15D5"/>
    <w:rsid w:val="00FC479D"/>
    <w:rsid w:val="00FC4FD7"/>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050"/>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EC47652-1370-45B7-96FD-0427963DF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4013469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5111311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F3396-7D93-4785-BBF3-3E845E28C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3151</Words>
  <Characters>17336</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cp:revision>
  <cp:lastPrinted>2019-02-15T17:24:00Z</cp:lastPrinted>
  <dcterms:created xsi:type="dcterms:W3CDTF">2019-02-08T20:08:00Z</dcterms:created>
  <dcterms:modified xsi:type="dcterms:W3CDTF">2019-04-08T19:24:00Z</dcterms:modified>
</cp:coreProperties>
</file>