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1A5514" w:rsidTr="00B71315">
        <w:tc>
          <w:tcPr>
            <w:tcW w:w="2356" w:type="dxa"/>
          </w:tcPr>
          <w:p w:rsidR="001144A1" w:rsidRPr="001A5514" w:rsidRDefault="001144A1" w:rsidP="00B71315">
            <w:pPr>
              <w:spacing w:after="0" w:line="240" w:lineRule="auto"/>
              <w:rPr>
                <w:rFonts w:ascii="Arial" w:hAnsi="Arial" w:cs="Arial"/>
                <w:b/>
                <w:sz w:val="26"/>
                <w:szCs w:val="26"/>
              </w:rPr>
            </w:pPr>
            <w:bookmarkStart w:id="0" w:name="_GoBack"/>
            <w:bookmarkEnd w:id="0"/>
          </w:p>
        </w:tc>
        <w:tc>
          <w:tcPr>
            <w:tcW w:w="7426" w:type="dxa"/>
          </w:tcPr>
          <w:p w:rsidR="001144A1" w:rsidRPr="001A5514" w:rsidRDefault="00926E14" w:rsidP="009D4BF0">
            <w:pPr>
              <w:spacing w:line="240" w:lineRule="auto"/>
              <w:ind w:left="977" w:right="639"/>
              <w:jc w:val="both"/>
              <w:rPr>
                <w:rFonts w:ascii="Arial" w:hAnsi="Arial" w:cs="Arial"/>
                <w:b/>
                <w:sz w:val="26"/>
                <w:szCs w:val="26"/>
              </w:rPr>
            </w:pPr>
            <w:r w:rsidRPr="001A5514">
              <w:rPr>
                <w:rFonts w:ascii="Arial" w:hAnsi="Arial" w:cs="Arial"/>
                <w:b/>
                <w:sz w:val="26"/>
                <w:szCs w:val="26"/>
              </w:rPr>
              <w:t>SALA SUPERIOR DEL T</w:t>
            </w:r>
            <w:r w:rsidR="002D71A6" w:rsidRPr="001A5514">
              <w:rPr>
                <w:rFonts w:ascii="Arial" w:hAnsi="Arial" w:cs="Arial"/>
                <w:b/>
                <w:sz w:val="26"/>
                <w:szCs w:val="26"/>
              </w:rPr>
              <w:t>RIBUNAL DE JUSTICIA ADMINISTRAT</w:t>
            </w:r>
            <w:r w:rsidRPr="001A5514">
              <w:rPr>
                <w:rFonts w:ascii="Arial" w:hAnsi="Arial" w:cs="Arial"/>
                <w:b/>
                <w:sz w:val="26"/>
                <w:szCs w:val="26"/>
              </w:rPr>
              <w:t>IVA DEL ESTADO DE OAXACA.</w:t>
            </w:r>
          </w:p>
          <w:p w:rsidR="00A10387" w:rsidRDefault="001144A1" w:rsidP="009D4BF0">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845EA4">
              <w:rPr>
                <w:rFonts w:ascii="Arial" w:hAnsi="Arial" w:cs="Arial"/>
                <w:b/>
                <w:iCs/>
                <w:caps/>
                <w:sz w:val="26"/>
                <w:szCs w:val="26"/>
                <w:lang w:val="es-PE"/>
              </w:rPr>
              <w:t>0</w:t>
            </w:r>
            <w:r w:rsidR="00924F2E">
              <w:rPr>
                <w:rFonts w:ascii="Arial" w:hAnsi="Arial" w:cs="Arial"/>
                <w:b/>
                <w:iCs/>
                <w:caps/>
                <w:sz w:val="26"/>
                <w:szCs w:val="26"/>
                <w:lang w:val="es-PE"/>
              </w:rPr>
              <w:t>074</w:t>
            </w:r>
            <w:r w:rsidR="005A0A32">
              <w:rPr>
                <w:rFonts w:ascii="Arial" w:hAnsi="Arial" w:cs="Arial"/>
                <w:b/>
                <w:iCs/>
                <w:caps/>
                <w:sz w:val="26"/>
                <w:szCs w:val="26"/>
                <w:lang w:val="es-PE"/>
              </w:rPr>
              <w:t>/201</w:t>
            </w:r>
            <w:r w:rsidR="00924F2E">
              <w:rPr>
                <w:rFonts w:ascii="Arial" w:hAnsi="Arial" w:cs="Arial"/>
                <w:b/>
                <w:iCs/>
                <w:caps/>
                <w:sz w:val="26"/>
                <w:szCs w:val="26"/>
                <w:lang w:val="es-PE"/>
              </w:rPr>
              <w:t>8</w:t>
            </w:r>
          </w:p>
          <w:p w:rsidR="001144A1" w:rsidRPr="000A1F0F" w:rsidRDefault="001144A1" w:rsidP="009D4BF0">
            <w:pPr>
              <w:pStyle w:val="Encabezado"/>
              <w:ind w:left="977" w:right="639"/>
              <w:jc w:val="both"/>
              <w:rPr>
                <w:rFonts w:ascii="Arial" w:hAnsi="Arial" w:cs="Arial"/>
                <w:b/>
                <w:iCs/>
                <w:caps/>
                <w:sz w:val="26"/>
                <w:szCs w:val="26"/>
                <w:lang w:val="es-PE"/>
              </w:rPr>
            </w:pPr>
          </w:p>
          <w:p w:rsidR="001144A1" w:rsidRDefault="00C31CFE" w:rsidP="009D4BF0">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485C88">
              <w:rPr>
                <w:rFonts w:ascii="Arial" w:hAnsi="Arial" w:cs="Arial"/>
                <w:b/>
                <w:iCs/>
                <w:caps/>
                <w:sz w:val="26"/>
                <w:szCs w:val="26"/>
                <w:lang w:val="es-PE"/>
              </w:rPr>
              <w:t xml:space="preserve"> </w:t>
            </w:r>
            <w:r w:rsidR="00885CDE">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924F2E">
              <w:rPr>
                <w:rFonts w:ascii="Arial" w:hAnsi="Arial" w:cs="Arial"/>
                <w:b/>
                <w:iCs/>
                <w:caps/>
                <w:sz w:val="26"/>
                <w:szCs w:val="26"/>
                <w:lang w:val="es-PE"/>
              </w:rPr>
              <w:t>340</w:t>
            </w:r>
            <w:r w:rsidR="001144A1">
              <w:rPr>
                <w:rFonts w:ascii="Arial" w:hAnsi="Arial" w:cs="Arial"/>
                <w:b/>
                <w:iCs/>
                <w:caps/>
                <w:sz w:val="26"/>
                <w:szCs w:val="26"/>
                <w:lang w:val="es-PE"/>
              </w:rPr>
              <w:t xml:space="preserve">/2016 de la </w:t>
            </w:r>
            <w:r w:rsidR="00924F2E">
              <w:rPr>
                <w:rFonts w:ascii="Arial" w:hAnsi="Arial" w:cs="Arial"/>
                <w:b/>
                <w:iCs/>
                <w:caps/>
                <w:sz w:val="26"/>
                <w:szCs w:val="26"/>
                <w:lang w:val="es-PE"/>
              </w:rPr>
              <w:t>SEXTA</w:t>
            </w:r>
            <w:r w:rsidR="001F03C6">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9D4BF0">
            <w:pPr>
              <w:pStyle w:val="Encabezado"/>
              <w:ind w:left="977" w:right="639" w:hanging="1119"/>
              <w:jc w:val="both"/>
              <w:rPr>
                <w:rFonts w:ascii="Arial" w:hAnsi="Arial" w:cs="Arial"/>
                <w:b/>
                <w:iCs/>
                <w:caps/>
                <w:sz w:val="26"/>
                <w:szCs w:val="26"/>
                <w:lang w:val="es-PE"/>
              </w:rPr>
            </w:pPr>
          </w:p>
          <w:p w:rsidR="001144A1" w:rsidRPr="000A1F0F" w:rsidRDefault="001144A1" w:rsidP="00924F2E">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sidR="00924F2E">
              <w:rPr>
                <w:rFonts w:ascii="Arial" w:hAnsi="Arial" w:cs="Arial"/>
                <w:b/>
                <w:iCs/>
                <w:caps/>
                <w:sz w:val="26"/>
                <w:szCs w:val="26"/>
                <w:lang w:val="es-PE"/>
              </w:rPr>
              <w:t>O MANUEL VELASCO ALCÁNTARA</w:t>
            </w:r>
            <w:r w:rsidR="00EC4743">
              <w:rPr>
                <w:rFonts w:ascii="Arial" w:hAnsi="Arial" w:cs="Arial"/>
                <w:b/>
                <w:iCs/>
                <w:sz w:val="26"/>
                <w:szCs w:val="26"/>
                <w:lang w:val="es-PE"/>
              </w:rPr>
              <w:t>.</w:t>
            </w:r>
          </w:p>
        </w:tc>
      </w:tr>
      <w:tr w:rsidR="001144A1" w:rsidRPr="001A5514" w:rsidTr="00B71315">
        <w:tc>
          <w:tcPr>
            <w:tcW w:w="2356" w:type="dxa"/>
          </w:tcPr>
          <w:p w:rsidR="001144A1" w:rsidRPr="001A5514" w:rsidRDefault="001144A1" w:rsidP="00B71315">
            <w:pPr>
              <w:spacing w:after="0" w:line="240" w:lineRule="auto"/>
              <w:rPr>
                <w:rFonts w:ascii="Arial" w:hAnsi="Arial" w:cs="Arial"/>
                <w:b/>
                <w:sz w:val="26"/>
                <w:szCs w:val="26"/>
              </w:rPr>
            </w:pPr>
          </w:p>
        </w:tc>
        <w:tc>
          <w:tcPr>
            <w:tcW w:w="7426" w:type="dxa"/>
          </w:tcPr>
          <w:p w:rsidR="001144A1" w:rsidRPr="001A5514" w:rsidRDefault="001144A1" w:rsidP="00B71315">
            <w:pPr>
              <w:tabs>
                <w:tab w:val="left" w:pos="3103"/>
              </w:tabs>
              <w:spacing w:after="0" w:line="240" w:lineRule="auto"/>
              <w:ind w:left="2961" w:hanging="2961"/>
              <w:jc w:val="both"/>
              <w:rPr>
                <w:rFonts w:ascii="Arial" w:hAnsi="Arial" w:cs="Arial"/>
                <w:b/>
                <w:iCs/>
                <w:caps/>
                <w:sz w:val="26"/>
                <w:szCs w:val="26"/>
              </w:rPr>
            </w:pPr>
            <w:r w:rsidRPr="001A5514">
              <w:rPr>
                <w:rFonts w:ascii="Arial" w:hAnsi="Arial" w:cs="Arial"/>
                <w:b/>
                <w:i/>
                <w:iCs/>
                <w:caps/>
                <w:sz w:val="26"/>
                <w:szCs w:val="26"/>
              </w:rPr>
              <w:t xml:space="preserve">                                   </w:t>
            </w:r>
          </w:p>
        </w:tc>
      </w:tr>
      <w:tr w:rsidR="001144A1" w:rsidRPr="001A5514" w:rsidTr="00B71315">
        <w:tc>
          <w:tcPr>
            <w:tcW w:w="2356" w:type="dxa"/>
          </w:tcPr>
          <w:p w:rsidR="001144A1" w:rsidRPr="001A5514" w:rsidRDefault="001144A1" w:rsidP="00B71315">
            <w:pPr>
              <w:spacing w:after="0" w:line="240" w:lineRule="auto"/>
              <w:rPr>
                <w:rFonts w:ascii="Arial" w:hAnsi="Arial" w:cs="Arial"/>
                <w:b/>
                <w:sz w:val="26"/>
                <w:szCs w:val="26"/>
              </w:rPr>
            </w:pPr>
          </w:p>
        </w:tc>
        <w:tc>
          <w:tcPr>
            <w:tcW w:w="7426" w:type="dxa"/>
          </w:tcPr>
          <w:p w:rsidR="001144A1" w:rsidRPr="001A5514" w:rsidRDefault="001144A1" w:rsidP="00B71315">
            <w:pPr>
              <w:tabs>
                <w:tab w:val="left" w:pos="3103"/>
              </w:tabs>
              <w:spacing w:after="0" w:line="240" w:lineRule="auto"/>
              <w:ind w:left="2961" w:hanging="2961"/>
              <w:jc w:val="both"/>
              <w:rPr>
                <w:rFonts w:ascii="Arial" w:hAnsi="Arial" w:cs="Arial"/>
                <w:b/>
                <w:i/>
                <w:iCs/>
                <w:caps/>
                <w:sz w:val="26"/>
                <w:szCs w:val="26"/>
              </w:rPr>
            </w:pPr>
          </w:p>
        </w:tc>
      </w:tr>
    </w:tbl>
    <w:p w:rsidR="00780930" w:rsidRDefault="00780930"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797026">
        <w:rPr>
          <w:rFonts w:ascii="Arial" w:hAnsi="Arial" w:cs="Arial"/>
          <w:b/>
          <w:sz w:val="26"/>
          <w:szCs w:val="26"/>
        </w:rPr>
        <w:t>28 VEINTIOCHO</w:t>
      </w:r>
      <w:r>
        <w:rPr>
          <w:rFonts w:ascii="Arial" w:hAnsi="Arial" w:cs="Arial"/>
          <w:b/>
          <w:sz w:val="26"/>
          <w:szCs w:val="26"/>
        </w:rPr>
        <w:t xml:space="preserve"> </w:t>
      </w:r>
      <w:r w:rsidR="006105BC">
        <w:rPr>
          <w:rFonts w:ascii="Arial" w:hAnsi="Arial" w:cs="Arial"/>
          <w:b/>
          <w:sz w:val="26"/>
          <w:szCs w:val="26"/>
        </w:rPr>
        <w:t xml:space="preserve">DE </w:t>
      </w:r>
      <w:r w:rsidR="004358CC">
        <w:rPr>
          <w:rFonts w:ascii="Arial" w:hAnsi="Arial" w:cs="Arial"/>
          <w:b/>
          <w:sz w:val="26"/>
          <w:szCs w:val="26"/>
        </w:rPr>
        <w:t>MARZO</w:t>
      </w:r>
      <w:r w:rsidR="00610028">
        <w:rPr>
          <w:rFonts w:ascii="Arial" w:hAnsi="Arial" w:cs="Arial"/>
          <w:b/>
          <w:sz w:val="26"/>
          <w:szCs w:val="26"/>
        </w:rPr>
        <w:t xml:space="preserve"> </w:t>
      </w:r>
      <w:r w:rsidR="00480D12">
        <w:rPr>
          <w:rFonts w:ascii="Arial" w:hAnsi="Arial" w:cs="Arial"/>
          <w:b/>
          <w:sz w:val="26"/>
          <w:szCs w:val="26"/>
        </w:rPr>
        <w:t xml:space="preserve">DE </w:t>
      </w:r>
      <w:r w:rsidR="00924F2E">
        <w:rPr>
          <w:rFonts w:ascii="Arial" w:hAnsi="Arial" w:cs="Arial"/>
          <w:b/>
          <w:sz w:val="26"/>
          <w:szCs w:val="26"/>
        </w:rPr>
        <w:t xml:space="preserve">2019 </w:t>
      </w:r>
      <w:r w:rsidR="00E81447">
        <w:rPr>
          <w:rFonts w:ascii="Arial" w:hAnsi="Arial" w:cs="Arial"/>
          <w:b/>
          <w:sz w:val="26"/>
          <w:szCs w:val="26"/>
        </w:rPr>
        <w:t>DOS MIL DIECI</w:t>
      </w:r>
      <w:r w:rsidR="00924F2E">
        <w:rPr>
          <w:rFonts w:ascii="Arial" w:hAnsi="Arial" w:cs="Arial"/>
          <w:b/>
          <w:sz w:val="26"/>
          <w:szCs w:val="26"/>
        </w:rPr>
        <w:t>NUEVE</w:t>
      </w:r>
      <w:r w:rsidR="0002236D">
        <w:rPr>
          <w:rFonts w:ascii="Arial" w:hAnsi="Arial" w:cs="Arial"/>
          <w:b/>
          <w:sz w:val="26"/>
          <w:szCs w:val="26"/>
        </w:rPr>
        <w:t>.</w:t>
      </w:r>
      <w:r w:rsidR="00924F2E">
        <w:rPr>
          <w:rFonts w:ascii="Arial" w:hAnsi="Arial" w:cs="Arial"/>
          <w:b/>
          <w:sz w:val="26"/>
          <w:szCs w:val="26"/>
        </w:rPr>
        <w:t xml:space="preserve"> - - - - - - - - - - - - - - - - </w:t>
      </w:r>
      <w:r w:rsidR="00797026">
        <w:rPr>
          <w:rFonts w:ascii="Arial" w:hAnsi="Arial" w:cs="Arial"/>
          <w:b/>
          <w:sz w:val="26"/>
          <w:szCs w:val="26"/>
        </w:rPr>
        <w:t xml:space="preserve">- - - - - - - - - - - - - </w:t>
      </w:r>
      <w:r w:rsidR="00924F2E">
        <w:rPr>
          <w:rFonts w:ascii="Arial" w:hAnsi="Arial" w:cs="Arial"/>
          <w:b/>
          <w:sz w:val="26"/>
          <w:szCs w:val="26"/>
        </w:rPr>
        <w:t>-</w:t>
      </w:r>
    </w:p>
    <w:p w:rsidR="004F4970" w:rsidRDefault="001144A1" w:rsidP="00780930">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845EA4">
        <w:rPr>
          <w:rFonts w:ascii="Arial" w:hAnsi="Arial" w:cs="Arial"/>
          <w:b/>
          <w:sz w:val="26"/>
          <w:szCs w:val="26"/>
        </w:rPr>
        <w:t>0</w:t>
      </w:r>
      <w:r w:rsidR="00EC4743">
        <w:rPr>
          <w:rFonts w:ascii="Arial" w:hAnsi="Arial" w:cs="Arial"/>
          <w:b/>
          <w:sz w:val="26"/>
          <w:szCs w:val="26"/>
        </w:rPr>
        <w:t>0</w:t>
      </w:r>
      <w:r w:rsidR="00924F2E">
        <w:rPr>
          <w:rFonts w:ascii="Arial" w:hAnsi="Arial" w:cs="Arial"/>
          <w:b/>
          <w:sz w:val="26"/>
          <w:szCs w:val="26"/>
        </w:rPr>
        <w:t>74</w:t>
      </w:r>
      <w:r w:rsidRPr="00623318">
        <w:rPr>
          <w:rFonts w:ascii="Arial" w:hAnsi="Arial" w:cs="Arial"/>
          <w:b/>
          <w:sz w:val="26"/>
          <w:szCs w:val="26"/>
        </w:rPr>
        <w:t>/201</w:t>
      </w:r>
      <w:r w:rsidR="00924F2E">
        <w:rPr>
          <w:rFonts w:ascii="Arial" w:hAnsi="Arial" w:cs="Arial"/>
          <w:b/>
          <w:sz w:val="26"/>
          <w:szCs w:val="26"/>
        </w:rPr>
        <w:t>8</w:t>
      </w:r>
      <w:r w:rsidR="009073DD">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sidR="00EC4743">
        <w:rPr>
          <w:rFonts w:ascii="Arial" w:hAnsi="Arial" w:cs="Arial"/>
          <w:sz w:val="26"/>
          <w:szCs w:val="26"/>
        </w:rPr>
        <w:t xml:space="preserve"> </w:t>
      </w:r>
      <w:r w:rsidR="00924F2E">
        <w:rPr>
          <w:rFonts w:ascii="Arial" w:hAnsi="Arial" w:cs="Arial"/>
          <w:b/>
          <w:sz w:val="26"/>
          <w:szCs w:val="26"/>
        </w:rPr>
        <w:t>EL ENCARGADO DEL DESPACHO DE LA SECRETARÍA DE VIALIDAD Y TRANSPORTE DEL GOBIERNO DEL ESTADO</w:t>
      </w:r>
      <w:r w:rsidR="00697ECB">
        <w:rPr>
          <w:rFonts w:ascii="Arial" w:hAnsi="Arial" w:cs="Arial"/>
          <w:sz w:val="26"/>
          <w:szCs w:val="26"/>
        </w:rPr>
        <w:t xml:space="preserve">; en contra </w:t>
      </w:r>
      <w:r w:rsidR="0041349D">
        <w:rPr>
          <w:rFonts w:ascii="Arial" w:hAnsi="Arial" w:cs="Arial"/>
          <w:sz w:val="26"/>
          <w:szCs w:val="26"/>
        </w:rPr>
        <w:t xml:space="preserve">de la </w:t>
      </w:r>
      <w:r w:rsidR="009073DD">
        <w:rPr>
          <w:rFonts w:ascii="Arial" w:hAnsi="Arial" w:cs="Arial"/>
          <w:sz w:val="26"/>
          <w:szCs w:val="26"/>
        </w:rPr>
        <w:t xml:space="preserve">sentencia de </w:t>
      </w:r>
      <w:r w:rsidR="00924F2E">
        <w:rPr>
          <w:rFonts w:ascii="Arial" w:hAnsi="Arial" w:cs="Arial"/>
          <w:sz w:val="26"/>
          <w:szCs w:val="26"/>
        </w:rPr>
        <w:t>8 ocho</w:t>
      </w:r>
      <w:r w:rsidR="00F96DBB">
        <w:rPr>
          <w:rFonts w:ascii="Arial" w:hAnsi="Arial" w:cs="Arial"/>
          <w:sz w:val="26"/>
          <w:szCs w:val="26"/>
        </w:rPr>
        <w:t xml:space="preserve"> de </w:t>
      </w:r>
      <w:r w:rsidR="00924F2E">
        <w:rPr>
          <w:rFonts w:ascii="Arial" w:hAnsi="Arial" w:cs="Arial"/>
          <w:sz w:val="26"/>
          <w:szCs w:val="26"/>
        </w:rPr>
        <w:t>enero</w:t>
      </w:r>
      <w:r w:rsidR="00F96DBB">
        <w:rPr>
          <w:rFonts w:ascii="Arial" w:hAnsi="Arial" w:cs="Arial"/>
          <w:sz w:val="26"/>
          <w:szCs w:val="26"/>
        </w:rPr>
        <w:t xml:space="preserve"> de </w:t>
      </w:r>
      <w:r w:rsidR="00924F2E">
        <w:rPr>
          <w:rFonts w:ascii="Arial" w:hAnsi="Arial" w:cs="Arial"/>
          <w:sz w:val="26"/>
          <w:szCs w:val="26"/>
        </w:rPr>
        <w:t xml:space="preserve">2018 </w:t>
      </w:r>
      <w:r w:rsidR="00F96DBB">
        <w:rPr>
          <w:rFonts w:ascii="Arial" w:hAnsi="Arial" w:cs="Arial"/>
          <w:sz w:val="26"/>
          <w:szCs w:val="26"/>
        </w:rPr>
        <w:t>dos mil dieci</w:t>
      </w:r>
      <w:r w:rsidR="00924F2E">
        <w:rPr>
          <w:rFonts w:ascii="Arial" w:hAnsi="Arial" w:cs="Arial"/>
          <w:sz w:val="26"/>
          <w:szCs w:val="26"/>
        </w:rPr>
        <w:t>ocho</w:t>
      </w:r>
      <w:r w:rsidR="009073DD">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F3568E" w:rsidRPr="00F3568E">
        <w:rPr>
          <w:rFonts w:ascii="Arial" w:hAnsi="Arial" w:cs="Arial"/>
          <w:sz w:val="26"/>
          <w:szCs w:val="26"/>
        </w:rPr>
        <w:t>expediente</w:t>
      </w:r>
      <w:r w:rsidR="001843E8">
        <w:rPr>
          <w:rFonts w:ascii="Arial" w:hAnsi="Arial" w:cs="Arial"/>
          <w:sz w:val="26"/>
          <w:szCs w:val="26"/>
        </w:rPr>
        <w:t xml:space="preserve"> </w:t>
      </w:r>
      <w:r w:rsidR="00845EA4">
        <w:rPr>
          <w:rFonts w:ascii="Arial" w:hAnsi="Arial" w:cs="Arial"/>
          <w:b/>
          <w:sz w:val="26"/>
          <w:szCs w:val="26"/>
        </w:rPr>
        <w:t>0</w:t>
      </w:r>
      <w:r w:rsidR="00924F2E">
        <w:rPr>
          <w:rFonts w:ascii="Arial" w:hAnsi="Arial" w:cs="Arial"/>
          <w:b/>
          <w:sz w:val="26"/>
          <w:szCs w:val="26"/>
        </w:rPr>
        <w:t>340</w:t>
      </w:r>
      <w:r w:rsidR="009073DD">
        <w:rPr>
          <w:rFonts w:ascii="Arial" w:hAnsi="Arial" w:cs="Arial"/>
          <w:b/>
          <w:sz w:val="26"/>
          <w:szCs w:val="26"/>
        </w:rPr>
        <w:t>/2016</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924F2E">
        <w:rPr>
          <w:rFonts w:ascii="Arial" w:hAnsi="Arial" w:cs="Arial"/>
          <w:sz w:val="26"/>
          <w:szCs w:val="26"/>
        </w:rPr>
        <w:t>Sexta</w:t>
      </w:r>
      <w:r w:rsidR="00F96DBB">
        <w:rPr>
          <w:rFonts w:ascii="Arial" w:hAnsi="Arial" w:cs="Arial"/>
          <w:sz w:val="26"/>
          <w:szCs w:val="26"/>
        </w:rPr>
        <w:t xml:space="preserve"> </w:t>
      </w:r>
      <w:r w:rsidR="00C830CA" w:rsidRPr="00C830CA">
        <w:rPr>
          <w:rFonts w:ascii="Arial" w:hAnsi="Arial" w:cs="Arial"/>
          <w:sz w:val="26"/>
          <w:szCs w:val="26"/>
        </w:rPr>
        <w:t xml:space="preserve">Sala Unitaria de Primera Instancia, relativo al juicio de nulidad promovido por </w:t>
      </w:r>
      <w:r w:rsidR="00E56048">
        <w:rPr>
          <w:rFonts w:ascii="Arial" w:hAnsi="Arial" w:cs="Arial"/>
          <w:b/>
          <w:sz w:val="26"/>
          <w:szCs w:val="26"/>
        </w:rPr>
        <w:t>**********</w:t>
      </w:r>
      <w:r w:rsidR="00697ECB">
        <w:rPr>
          <w:rFonts w:ascii="Arial" w:hAnsi="Arial" w:cs="Arial"/>
          <w:sz w:val="26"/>
          <w:szCs w:val="26"/>
        </w:rPr>
        <w:t xml:space="preserve">en contra del </w:t>
      </w:r>
      <w:r w:rsidR="00845EA4">
        <w:rPr>
          <w:rFonts w:ascii="Arial" w:hAnsi="Arial" w:cs="Arial"/>
          <w:b/>
          <w:sz w:val="26"/>
          <w:szCs w:val="26"/>
        </w:rPr>
        <w:t>SECRETARIO</w:t>
      </w:r>
      <w:r w:rsidR="00F96DBB">
        <w:rPr>
          <w:rFonts w:ascii="Arial" w:hAnsi="Arial" w:cs="Arial"/>
          <w:b/>
          <w:sz w:val="26"/>
          <w:szCs w:val="26"/>
        </w:rPr>
        <w:t xml:space="preserve">  DE </w:t>
      </w:r>
      <w:r w:rsidR="00845EA4">
        <w:rPr>
          <w:rFonts w:ascii="Arial" w:hAnsi="Arial" w:cs="Arial"/>
          <w:b/>
          <w:sz w:val="26"/>
          <w:szCs w:val="26"/>
        </w:rPr>
        <w:t>VIALIDAD Y TRANSPORTE DEL GOBIERNO DEL ESTADO</w:t>
      </w:r>
      <w:r w:rsidR="00F96DBB">
        <w:rPr>
          <w:rFonts w:ascii="Arial" w:hAnsi="Arial" w:cs="Arial"/>
          <w:b/>
          <w:sz w:val="26"/>
          <w:szCs w:val="26"/>
        </w:rPr>
        <w:t xml:space="preserve"> Y OTRAS AUTORIDADES</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w:t>
      </w:r>
      <w:r w:rsidR="00FE228B">
        <w:rPr>
          <w:rFonts w:ascii="Arial" w:hAnsi="Arial" w:cs="Arial"/>
          <w:sz w:val="26"/>
          <w:szCs w:val="26"/>
        </w:rPr>
        <w:t xml:space="preserve"> </w:t>
      </w:r>
      <w:r w:rsidRPr="00372D3D">
        <w:rPr>
          <w:rFonts w:ascii="Arial" w:hAnsi="Arial" w:cs="Arial"/>
          <w:sz w:val="26"/>
          <w:szCs w:val="26"/>
        </w:rPr>
        <w:t>se admite. En consecuencia, se procede a dictar resolu</w:t>
      </w:r>
      <w:r w:rsidR="0002236D">
        <w:rPr>
          <w:rFonts w:ascii="Arial" w:hAnsi="Arial" w:cs="Arial"/>
          <w:sz w:val="26"/>
          <w:szCs w:val="26"/>
        </w:rPr>
        <w:t>ción en los siguientes términos:</w:t>
      </w:r>
    </w:p>
    <w:p w:rsidR="00924F2E" w:rsidRPr="00F21698" w:rsidRDefault="00924F2E" w:rsidP="00780930">
      <w:pPr>
        <w:spacing w:after="0" w:line="360" w:lineRule="auto"/>
        <w:ind w:firstLine="708"/>
        <w:jc w:val="both"/>
        <w:rPr>
          <w:rFonts w:ascii="Arial" w:hAnsi="Arial" w:cs="Arial"/>
          <w:b/>
          <w:sz w:val="26"/>
          <w:szCs w:val="26"/>
        </w:rPr>
      </w:pPr>
    </w:p>
    <w:p w:rsidR="004F4970" w:rsidRDefault="00D2010F" w:rsidP="00EC4743">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EC4743" w:rsidRPr="006105BC" w:rsidRDefault="00EC4743" w:rsidP="00EC4743">
      <w:pPr>
        <w:spacing w:after="0" w:line="360" w:lineRule="auto"/>
        <w:jc w:val="center"/>
        <w:rPr>
          <w:rFonts w:ascii="Arial" w:hAnsi="Arial" w:cs="Arial"/>
          <w:b/>
          <w:bCs/>
          <w:sz w:val="26"/>
          <w:szCs w:val="26"/>
        </w:rPr>
      </w:pPr>
    </w:p>
    <w:p w:rsidR="00EC4743" w:rsidRDefault="0002236D" w:rsidP="00027EBE">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697ECB">
        <w:rPr>
          <w:rFonts w:ascii="Arial" w:hAnsi="Arial" w:cs="Arial"/>
          <w:sz w:val="26"/>
          <w:szCs w:val="26"/>
        </w:rPr>
        <w:t xml:space="preserve">Inconforme con </w:t>
      </w:r>
      <w:r w:rsidR="009073DD">
        <w:rPr>
          <w:rFonts w:ascii="Arial" w:hAnsi="Arial" w:cs="Arial"/>
          <w:sz w:val="26"/>
          <w:szCs w:val="26"/>
        </w:rPr>
        <w:t xml:space="preserve">la sentencia </w:t>
      </w:r>
      <w:r w:rsidR="00EC4743">
        <w:rPr>
          <w:rFonts w:ascii="Arial" w:hAnsi="Arial" w:cs="Arial"/>
          <w:sz w:val="26"/>
          <w:szCs w:val="26"/>
        </w:rPr>
        <w:t xml:space="preserve">de </w:t>
      </w:r>
      <w:r w:rsidR="00924F2E">
        <w:rPr>
          <w:rFonts w:ascii="Arial" w:hAnsi="Arial" w:cs="Arial"/>
          <w:sz w:val="26"/>
          <w:szCs w:val="26"/>
        </w:rPr>
        <w:t>8 ocho</w:t>
      </w:r>
      <w:r w:rsidR="00F96DBB">
        <w:rPr>
          <w:rFonts w:ascii="Arial" w:hAnsi="Arial" w:cs="Arial"/>
          <w:sz w:val="26"/>
          <w:szCs w:val="26"/>
        </w:rPr>
        <w:t xml:space="preserve"> de </w:t>
      </w:r>
      <w:r w:rsidR="00924F2E">
        <w:rPr>
          <w:rFonts w:ascii="Arial" w:hAnsi="Arial" w:cs="Arial"/>
          <w:sz w:val="26"/>
          <w:szCs w:val="26"/>
        </w:rPr>
        <w:t>enero</w:t>
      </w:r>
      <w:r w:rsidR="00F96DBB">
        <w:rPr>
          <w:rFonts w:ascii="Arial" w:hAnsi="Arial" w:cs="Arial"/>
          <w:sz w:val="26"/>
          <w:szCs w:val="26"/>
        </w:rPr>
        <w:t xml:space="preserve"> de  </w:t>
      </w:r>
      <w:r w:rsidR="00924F2E">
        <w:rPr>
          <w:rFonts w:ascii="Arial" w:hAnsi="Arial" w:cs="Arial"/>
          <w:sz w:val="26"/>
          <w:szCs w:val="26"/>
        </w:rPr>
        <w:t>2018 dos mil dieciocho</w:t>
      </w:r>
      <w:r w:rsidR="00F96DBB">
        <w:rPr>
          <w:rFonts w:ascii="Arial" w:hAnsi="Arial" w:cs="Arial"/>
          <w:sz w:val="26"/>
          <w:szCs w:val="26"/>
        </w:rPr>
        <w:t xml:space="preserve">, dictada </w:t>
      </w:r>
      <w:r w:rsidR="00F96DBB" w:rsidRPr="00F3568E">
        <w:rPr>
          <w:rFonts w:ascii="Arial" w:hAnsi="Arial" w:cs="Arial"/>
          <w:sz w:val="26"/>
          <w:szCs w:val="26"/>
        </w:rPr>
        <w:t xml:space="preserve">en </w:t>
      </w:r>
      <w:r w:rsidR="00F96DBB">
        <w:rPr>
          <w:rFonts w:ascii="Arial" w:hAnsi="Arial" w:cs="Arial"/>
          <w:sz w:val="26"/>
          <w:szCs w:val="26"/>
        </w:rPr>
        <w:t xml:space="preserve">el </w:t>
      </w:r>
      <w:r w:rsidR="00F96DBB" w:rsidRPr="00F3568E">
        <w:rPr>
          <w:rFonts w:ascii="Arial" w:hAnsi="Arial" w:cs="Arial"/>
          <w:sz w:val="26"/>
          <w:szCs w:val="26"/>
        </w:rPr>
        <w:t>expediente</w:t>
      </w:r>
      <w:r w:rsidR="00F96DBB">
        <w:rPr>
          <w:rFonts w:ascii="Arial" w:hAnsi="Arial" w:cs="Arial"/>
          <w:sz w:val="26"/>
          <w:szCs w:val="26"/>
        </w:rPr>
        <w:t xml:space="preserve"> </w:t>
      </w:r>
      <w:r w:rsidR="00924F2E">
        <w:rPr>
          <w:rFonts w:ascii="Arial" w:hAnsi="Arial" w:cs="Arial"/>
          <w:b/>
          <w:sz w:val="26"/>
          <w:szCs w:val="26"/>
        </w:rPr>
        <w:t>0340</w:t>
      </w:r>
      <w:r w:rsidR="00F96DBB">
        <w:rPr>
          <w:rFonts w:ascii="Arial" w:hAnsi="Arial" w:cs="Arial"/>
          <w:b/>
          <w:sz w:val="26"/>
          <w:szCs w:val="26"/>
        </w:rPr>
        <w:t>/2016</w:t>
      </w:r>
      <w:r w:rsidR="00F96DBB" w:rsidRPr="00C830CA">
        <w:rPr>
          <w:rFonts w:ascii="Arial" w:hAnsi="Arial" w:cs="Arial"/>
          <w:b/>
          <w:sz w:val="26"/>
          <w:szCs w:val="26"/>
        </w:rPr>
        <w:t xml:space="preserve"> </w:t>
      </w:r>
      <w:r w:rsidR="00F96DBB" w:rsidRPr="00C830CA">
        <w:rPr>
          <w:rFonts w:ascii="Arial" w:hAnsi="Arial" w:cs="Arial"/>
          <w:sz w:val="26"/>
          <w:szCs w:val="26"/>
        </w:rPr>
        <w:t xml:space="preserve">del índice de la </w:t>
      </w:r>
      <w:r w:rsidR="00924F2E">
        <w:rPr>
          <w:rFonts w:ascii="Arial" w:hAnsi="Arial" w:cs="Arial"/>
          <w:sz w:val="26"/>
          <w:szCs w:val="26"/>
        </w:rPr>
        <w:t>Sexta</w:t>
      </w:r>
      <w:r w:rsidR="00F96DBB">
        <w:rPr>
          <w:rFonts w:ascii="Arial" w:hAnsi="Arial" w:cs="Arial"/>
          <w:sz w:val="26"/>
          <w:szCs w:val="26"/>
        </w:rPr>
        <w:t xml:space="preserve"> </w:t>
      </w:r>
      <w:r w:rsidR="00F96DBB" w:rsidRPr="00C830CA">
        <w:rPr>
          <w:rFonts w:ascii="Arial" w:hAnsi="Arial" w:cs="Arial"/>
          <w:sz w:val="26"/>
          <w:szCs w:val="26"/>
        </w:rPr>
        <w:t>Sal</w:t>
      </w:r>
      <w:r w:rsidR="00F96DBB">
        <w:rPr>
          <w:rFonts w:ascii="Arial" w:hAnsi="Arial" w:cs="Arial"/>
          <w:sz w:val="26"/>
          <w:szCs w:val="26"/>
        </w:rPr>
        <w:t>a Unitaria de Primera Instancia</w:t>
      </w:r>
      <w:r>
        <w:rPr>
          <w:rFonts w:ascii="Arial" w:hAnsi="Arial" w:cs="Arial"/>
          <w:sz w:val="26"/>
          <w:szCs w:val="26"/>
        </w:rPr>
        <w:t xml:space="preserve">, </w:t>
      </w:r>
      <w:r w:rsidR="00924F2E">
        <w:rPr>
          <w:rFonts w:ascii="Arial" w:hAnsi="Arial" w:cs="Arial"/>
          <w:b/>
          <w:sz w:val="26"/>
          <w:szCs w:val="26"/>
        </w:rPr>
        <w:t>EL ENCARGADO DEL DESPACHO DE LA SECRETARÍA DE VIALIDAD Y TRANSPORTE DEL GOBIERNO DEL ESTADO</w:t>
      </w:r>
      <w:r w:rsidR="00F96DBB" w:rsidRPr="00372D3D">
        <w:rPr>
          <w:rFonts w:ascii="Arial" w:hAnsi="Arial" w:cs="Arial"/>
          <w:sz w:val="26"/>
          <w:szCs w:val="26"/>
        </w:rPr>
        <w:t>,</w:t>
      </w:r>
      <w:r w:rsidR="00F96DBB" w:rsidRPr="00372D3D">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4F4970" w:rsidRDefault="006105BC" w:rsidP="000C1F7C">
      <w:pPr>
        <w:spacing w:after="0" w:line="360" w:lineRule="auto"/>
        <w:jc w:val="both"/>
        <w:rPr>
          <w:rFonts w:ascii="Arial" w:hAnsi="Arial" w:cs="Arial"/>
          <w:sz w:val="26"/>
          <w:szCs w:val="26"/>
        </w:rPr>
      </w:pPr>
      <w:r>
        <w:rPr>
          <w:rFonts w:ascii="Arial" w:hAnsi="Arial" w:cs="Arial"/>
          <w:sz w:val="26"/>
          <w:szCs w:val="26"/>
        </w:rPr>
        <w:t xml:space="preserve"> </w:t>
      </w:r>
    </w:p>
    <w:p w:rsidR="0091304F" w:rsidRDefault="001144A1" w:rsidP="00027EBE">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w:t>
      </w:r>
      <w:r w:rsidR="00AA56F2">
        <w:rPr>
          <w:rFonts w:ascii="Arial" w:hAnsi="Arial" w:cs="Arial"/>
          <w:bCs/>
          <w:sz w:val="26"/>
          <w:szCs w:val="26"/>
        </w:rPr>
        <w:t xml:space="preserve">son </w:t>
      </w:r>
      <w:r w:rsidR="00924F2E">
        <w:rPr>
          <w:rFonts w:ascii="Arial" w:hAnsi="Arial" w:cs="Arial"/>
          <w:bCs/>
          <w:sz w:val="26"/>
          <w:szCs w:val="26"/>
        </w:rPr>
        <w:t>los</w:t>
      </w:r>
      <w:r w:rsidR="00AA56F2">
        <w:rPr>
          <w:rFonts w:ascii="Arial" w:hAnsi="Arial" w:cs="Arial"/>
          <w:bCs/>
          <w:sz w:val="26"/>
          <w:szCs w:val="26"/>
        </w:rPr>
        <w:t xml:space="preserve"> siguiente</w:t>
      </w:r>
      <w:r w:rsidR="00924F2E">
        <w:rPr>
          <w:rFonts w:ascii="Arial" w:hAnsi="Arial" w:cs="Arial"/>
          <w:bCs/>
          <w:sz w:val="26"/>
          <w:szCs w:val="26"/>
        </w:rPr>
        <w:t>s:</w:t>
      </w:r>
    </w:p>
    <w:p w:rsidR="00AA56F2" w:rsidRPr="00C830CA" w:rsidRDefault="00AA56F2" w:rsidP="000C1F7C">
      <w:pPr>
        <w:spacing w:after="0" w:line="360" w:lineRule="auto"/>
        <w:jc w:val="both"/>
        <w:rPr>
          <w:rFonts w:ascii="Arial" w:hAnsi="Arial" w:cs="Arial"/>
          <w:b/>
          <w:sz w:val="26"/>
          <w:szCs w:val="26"/>
        </w:rPr>
      </w:pPr>
    </w:p>
    <w:p w:rsidR="00B230D1" w:rsidRPr="00C87826" w:rsidRDefault="00C37A09" w:rsidP="00B230D1">
      <w:pPr>
        <w:spacing w:line="360" w:lineRule="auto"/>
        <w:ind w:leftChars="709" w:left="1560" w:firstLine="708"/>
        <w:jc w:val="both"/>
        <w:rPr>
          <w:rFonts w:ascii="Arial" w:hAnsi="Arial" w:cs="Arial"/>
        </w:rPr>
      </w:pPr>
      <w:r w:rsidRPr="00A8244C">
        <w:rPr>
          <w:rFonts w:ascii="Arial" w:eastAsia="Times New Roman" w:hAnsi="Arial" w:cs="Arial"/>
          <w:bCs/>
          <w:iCs/>
          <w:lang w:eastAsia="es-ES"/>
        </w:rPr>
        <w:lastRenderedPageBreak/>
        <w:t>“</w:t>
      </w:r>
      <w:r w:rsidR="00B230D1" w:rsidRPr="00C87826">
        <w:rPr>
          <w:rFonts w:ascii="Arial" w:hAnsi="Arial" w:cs="Arial"/>
          <w:b/>
        </w:rPr>
        <w:t xml:space="preserve">PRIMERO.- </w:t>
      </w:r>
      <w:r w:rsidR="00B230D1" w:rsidRPr="00C87826">
        <w:rPr>
          <w:rFonts w:ascii="Arial" w:hAnsi="Arial" w:cs="Arial"/>
        </w:rPr>
        <w:t xml:space="preserve">Esta Sexta Sala Unitaria fue competente para conocer y resolver del presente asunto.- - - - - - </w:t>
      </w:r>
      <w:r w:rsidR="00B230D1">
        <w:rPr>
          <w:rFonts w:ascii="Arial" w:hAnsi="Arial" w:cs="Arial"/>
        </w:rPr>
        <w:t xml:space="preserve">- - - - - - - - - - - - - - -- </w:t>
      </w:r>
    </w:p>
    <w:p w:rsidR="00B230D1" w:rsidRPr="00C87826" w:rsidRDefault="00B230D1" w:rsidP="00B230D1">
      <w:pPr>
        <w:spacing w:line="360" w:lineRule="auto"/>
        <w:ind w:leftChars="709" w:left="1560" w:firstLine="708"/>
        <w:jc w:val="both"/>
        <w:rPr>
          <w:rFonts w:ascii="Arial" w:hAnsi="Arial" w:cs="Arial"/>
        </w:rPr>
      </w:pPr>
      <w:r w:rsidRPr="00C87826">
        <w:rPr>
          <w:rFonts w:ascii="Arial" w:hAnsi="Arial" w:cs="Arial"/>
          <w:b/>
        </w:rPr>
        <w:t>SEGUNDO</w:t>
      </w:r>
      <w:r>
        <w:rPr>
          <w:rFonts w:ascii="Arial" w:hAnsi="Arial" w:cs="Arial"/>
          <w:b/>
        </w:rPr>
        <w:t>.</w:t>
      </w:r>
      <w:r w:rsidRPr="00C87826">
        <w:rPr>
          <w:rFonts w:ascii="Arial" w:hAnsi="Arial" w:cs="Arial"/>
        </w:rPr>
        <w:t>- No se actualizaron causales de improcedencia y sobreseimiento en el presente juicio.- - - - - -</w:t>
      </w:r>
      <w:r>
        <w:rPr>
          <w:rFonts w:ascii="Arial" w:hAnsi="Arial" w:cs="Arial"/>
        </w:rPr>
        <w:t xml:space="preserve"> - - - - - - - - - - - - - - - -- </w:t>
      </w:r>
    </w:p>
    <w:p w:rsidR="00B230D1" w:rsidRPr="00C87826" w:rsidRDefault="00B230D1" w:rsidP="00B230D1">
      <w:pPr>
        <w:spacing w:line="360" w:lineRule="auto"/>
        <w:ind w:leftChars="709" w:left="1560"/>
        <w:jc w:val="both"/>
        <w:rPr>
          <w:rFonts w:ascii="Arial" w:hAnsi="Arial" w:cs="Arial"/>
        </w:rPr>
      </w:pPr>
      <w:r>
        <w:rPr>
          <w:rFonts w:ascii="Arial" w:hAnsi="Arial" w:cs="Arial"/>
        </w:rPr>
        <w:t xml:space="preserve">           </w:t>
      </w:r>
      <w:r w:rsidRPr="00C87826">
        <w:rPr>
          <w:rFonts w:ascii="Arial" w:hAnsi="Arial" w:cs="Arial"/>
          <w:b/>
        </w:rPr>
        <w:t>TERCERO</w:t>
      </w:r>
      <w:r>
        <w:rPr>
          <w:rFonts w:ascii="Arial" w:hAnsi="Arial" w:cs="Arial"/>
          <w:b/>
        </w:rPr>
        <w:t>.</w:t>
      </w:r>
      <w:r w:rsidRPr="00C87826">
        <w:rPr>
          <w:rFonts w:ascii="Arial" w:hAnsi="Arial" w:cs="Arial"/>
        </w:rPr>
        <w:t xml:space="preserve">- Se declara la </w:t>
      </w:r>
      <w:r w:rsidRPr="00C87826">
        <w:rPr>
          <w:rFonts w:ascii="Arial" w:hAnsi="Arial" w:cs="Arial"/>
          <w:b/>
        </w:rPr>
        <w:t>VALIDEZ PARCIAL</w:t>
      </w:r>
      <w:r w:rsidRPr="00C87826">
        <w:rPr>
          <w:rFonts w:ascii="Arial" w:hAnsi="Arial" w:cs="Arial"/>
        </w:rPr>
        <w:t xml:space="preserve"> de la convocatoria para participar en la Obtención de una Concesión de Taxi en Huajuapan de León, emitida el 22 veintidós de abril del año 2013 dos mil trece, en los términos del considerando sexto de la presente sentencia. - - - - - - - - - - - - - - - - - - - - - - - - - </w:t>
      </w:r>
      <w:r>
        <w:rPr>
          <w:rFonts w:ascii="Arial" w:hAnsi="Arial" w:cs="Arial"/>
        </w:rPr>
        <w:t>- - - - - - - - - -</w:t>
      </w:r>
      <w:r w:rsidRPr="00C87826">
        <w:rPr>
          <w:rFonts w:ascii="Arial" w:hAnsi="Arial" w:cs="Arial"/>
        </w:rPr>
        <w:t>-</w:t>
      </w:r>
    </w:p>
    <w:p w:rsidR="00B230D1" w:rsidRPr="00C87826" w:rsidRDefault="00B230D1" w:rsidP="00B230D1">
      <w:pPr>
        <w:spacing w:line="360" w:lineRule="auto"/>
        <w:ind w:leftChars="709" w:left="1560" w:firstLine="708"/>
        <w:jc w:val="both"/>
        <w:rPr>
          <w:rFonts w:ascii="Arial" w:hAnsi="Arial" w:cs="Arial"/>
        </w:rPr>
      </w:pPr>
      <w:r w:rsidRPr="00C87826">
        <w:rPr>
          <w:rFonts w:ascii="Arial" w:hAnsi="Arial" w:cs="Arial"/>
          <w:b/>
        </w:rPr>
        <w:t>CUARTO</w:t>
      </w:r>
      <w:r>
        <w:rPr>
          <w:rFonts w:ascii="Arial" w:hAnsi="Arial" w:cs="Arial"/>
          <w:b/>
        </w:rPr>
        <w:t>.</w:t>
      </w:r>
      <w:r w:rsidRPr="00C87826">
        <w:rPr>
          <w:rFonts w:ascii="Arial" w:hAnsi="Arial" w:cs="Arial"/>
          <w:b/>
        </w:rPr>
        <w:t xml:space="preserve">- </w:t>
      </w:r>
      <w:r w:rsidRPr="00C87826">
        <w:rPr>
          <w:rFonts w:ascii="Arial" w:hAnsi="Arial" w:cs="Arial"/>
        </w:rPr>
        <w:t xml:space="preserve">Consecuentemente se ordena a las autoridades demandadas que realicen las acciones jurídico-administrativas pertinentes para qué </w:t>
      </w:r>
      <w:r w:rsidR="00E56048">
        <w:rPr>
          <w:rFonts w:ascii="Arial" w:hAnsi="Arial" w:cs="Arial"/>
        </w:rPr>
        <w:t>**********</w:t>
      </w:r>
      <w:r w:rsidRPr="00C87826">
        <w:rPr>
          <w:rFonts w:ascii="Arial" w:hAnsi="Arial" w:cs="Arial"/>
        </w:rPr>
        <w:t xml:space="preserve">aquí actora, regularice la unidad de motor con la que presta el servicio de Taxi en la ciudad de Huajuapan de León, Oaxaca.- - - - - - - - - - - - - - - - - </w:t>
      </w:r>
    </w:p>
    <w:p w:rsidR="006B52CD" w:rsidRPr="00B230D1" w:rsidRDefault="00B230D1" w:rsidP="00B230D1">
      <w:pPr>
        <w:spacing w:line="360" w:lineRule="auto"/>
        <w:ind w:leftChars="709" w:left="1560" w:firstLine="708"/>
        <w:jc w:val="both"/>
        <w:rPr>
          <w:rFonts w:ascii="Arial" w:hAnsi="Arial" w:cs="Arial"/>
        </w:rPr>
      </w:pPr>
      <w:r w:rsidRPr="00C87826">
        <w:rPr>
          <w:rFonts w:ascii="Arial" w:hAnsi="Arial" w:cs="Arial"/>
          <w:b/>
        </w:rPr>
        <w:t>QUINTO.</w:t>
      </w:r>
      <w:r w:rsidRPr="00C87826">
        <w:rPr>
          <w:rFonts w:ascii="Arial" w:hAnsi="Arial" w:cs="Arial"/>
        </w:rPr>
        <w:t xml:space="preserve"> </w:t>
      </w:r>
      <w:r w:rsidRPr="00C87826">
        <w:rPr>
          <w:rFonts w:ascii="Arial" w:hAnsi="Arial" w:cs="Arial"/>
          <w:b/>
        </w:rPr>
        <w:t xml:space="preserve">NOTIFÍQUESE PERSONALMENTE A LA ACTORA Y POR OFICIO A LAS AUTORIDADES DEMANDADAS, </w:t>
      </w:r>
      <w:r w:rsidRPr="00C87826">
        <w:rPr>
          <w:rFonts w:ascii="Arial" w:hAnsi="Arial" w:cs="Arial"/>
        </w:rPr>
        <w:t xml:space="preserve">con fundamento en los artículos 142 fracción I y 143 fracciones I y II de la Ley de Justicia Administrativa y de cuentas para el Estado de.- </w:t>
      </w:r>
      <w:r w:rsidRPr="00C87826">
        <w:rPr>
          <w:rFonts w:ascii="Arial" w:hAnsi="Arial" w:cs="Arial"/>
          <w:b/>
        </w:rPr>
        <w:t>CÚMPLASE.</w:t>
      </w:r>
      <w:r w:rsidRPr="00B230D1">
        <w:rPr>
          <w:rFonts w:ascii="Arial" w:hAnsi="Arial" w:cs="Arial"/>
        </w:rPr>
        <w:t>”</w:t>
      </w:r>
      <w:r w:rsidRPr="00C87826">
        <w:rPr>
          <w:rFonts w:ascii="Arial" w:hAnsi="Arial" w:cs="Arial"/>
        </w:rPr>
        <w:t xml:space="preserve"> - - - - - - - - - - - - - - - - - - - - - - - - - - - - - -</w:t>
      </w:r>
      <w:r>
        <w:rPr>
          <w:rFonts w:ascii="Arial" w:hAnsi="Arial" w:cs="Arial"/>
        </w:rPr>
        <w:t xml:space="preserve"> - - - - - - - - </w:t>
      </w:r>
      <w:r w:rsidR="00AA56F2">
        <w:rPr>
          <w:rFonts w:ascii="Arial" w:eastAsia="Times New Roman" w:hAnsi="Arial" w:cs="Arial"/>
          <w:bCs/>
          <w:iCs/>
          <w:lang w:eastAsia="es-ES"/>
        </w:rPr>
        <w:t xml:space="preserve">- </w:t>
      </w:r>
    </w:p>
    <w:p w:rsidR="00EC4743" w:rsidRPr="00A8244C" w:rsidRDefault="00EC4743" w:rsidP="000169A3">
      <w:pPr>
        <w:widowControl w:val="0"/>
        <w:tabs>
          <w:tab w:val="left" w:pos="7938"/>
        </w:tabs>
        <w:spacing w:after="0" w:line="360" w:lineRule="auto"/>
        <w:ind w:left="1134" w:right="616"/>
        <w:jc w:val="both"/>
        <w:rPr>
          <w:rFonts w:ascii="Arial" w:eastAsia="Times New Roman" w:hAnsi="Arial" w:cs="Arial"/>
          <w:b/>
          <w:bCs/>
          <w:iCs/>
          <w:lang w:eastAsia="es-ES"/>
        </w:rPr>
      </w:pPr>
    </w:p>
    <w:p w:rsidR="00E80E37" w:rsidRDefault="000C1F7C" w:rsidP="00EC474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B30050" w:rsidRDefault="004F1460" w:rsidP="00B30050">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sidR="00B30050">
        <w:rPr>
          <w:rFonts w:ascii="Arial" w:hAnsi="Arial" w:cs="Arial"/>
          <w:bCs/>
          <w:iCs/>
          <w:sz w:val="26"/>
          <w:szCs w:val="26"/>
        </w:rPr>
        <w:t xml:space="preserve">Esta Sala Superior </w:t>
      </w:r>
      <w:r w:rsidR="00B30050" w:rsidRPr="00F37C43">
        <w:rPr>
          <w:rFonts w:ascii="Arial" w:hAnsi="Arial" w:cs="Arial"/>
          <w:bCs/>
          <w:iCs/>
          <w:sz w:val="26"/>
          <w:szCs w:val="26"/>
        </w:rPr>
        <w:t>es competente para conocer del presente asunto, de conformidad con lo dispuesto por los artículos</w:t>
      </w:r>
      <w:r w:rsidR="00B30050">
        <w:rPr>
          <w:rFonts w:ascii="Arial" w:hAnsi="Arial" w:cs="Arial"/>
          <w:bCs/>
          <w:iCs/>
          <w:sz w:val="26"/>
          <w:szCs w:val="26"/>
        </w:rPr>
        <w:t xml:space="preserve"> 114 QUÁTER, de la Constitución Política del Estado Libre y Soberano de Oaxaca, 82 fracción III</w:t>
      </w:r>
      <w:r w:rsidR="00B30050" w:rsidRPr="000E0374">
        <w:rPr>
          <w:rFonts w:ascii="Arial" w:hAnsi="Arial" w:cs="Arial"/>
          <w:bCs/>
          <w:iCs/>
          <w:sz w:val="26"/>
          <w:szCs w:val="26"/>
        </w:rPr>
        <w:t xml:space="preserve">, </w:t>
      </w:r>
      <w:r w:rsidR="00B30050">
        <w:rPr>
          <w:rFonts w:ascii="Arial" w:hAnsi="Arial" w:cs="Arial"/>
          <w:bCs/>
          <w:iCs/>
          <w:sz w:val="26"/>
          <w:szCs w:val="26"/>
        </w:rPr>
        <w:t>86</w:t>
      </w:r>
      <w:r w:rsidR="00B30050" w:rsidRPr="000E0374">
        <w:rPr>
          <w:rFonts w:ascii="Arial" w:hAnsi="Arial" w:cs="Arial"/>
          <w:bCs/>
          <w:iCs/>
          <w:sz w:val="26"/>
          <w:szCs w:val="26"/>
        </w:rPr>
        <w:t xml:space="preserve">, </w:t>
      </w:r>
      <w:r w:rsidR="00B30050">
        <w:rPr>
          <w:rFonts w:ascii="Arial" w:hAnsi="Arial" w:cs="Arial"/>
          <w:bCs/>
          <w:iCs/>
          <w:sz w:val="26"/>
          <w:szCs w:val="26"/>
        </w:rPr>
        <w:t>88</w:t>
      </w:r>
      <w:r w:rsidR="00B30050" w:rsidRPr="000E0374">
        <w:rPr>
          <w:rFonts w:ascii="Arial" w:hAnsi="Arial" w:cs="Arial"/>
          <w:bCs/>
          <w:iCs/>
          <w:sz w:val="26"/>
          <w:szCs w:val="26"/>
        </w:rPr>
        <w:t xml:space="preserve">, </w:t>
      </w:r>
      <w:r w:rsidR="00B30050">
        <w:rPr>
          <w:rFonts w:ascii="Arial" w:hAnsi="Arial" w:cs="Arial"/>
          <w:bCs/>
          <w:iCs/>
          <w:sz w:val="26"/>
          <w:szCs w:val="26"/>
        </w:rPr>
        <w:t>92</w:t>
      </w:r>
      <w:r w:rsidR="00B30050" w:rsidRPr="000E0374">
        <w:rPr>
          <w:rFonts w:ascii="Arial" w:hAnsi="Arial" w:cs="Arial"/>
          <w:bCs/>
          <w:iCs/>
          <w:sz w:val="26"/>
          <w:szCs w:val="26"/>
        </w:rPr>
        <w:t xml:space="preserve">, </w:t>
      </w:r>
      <w:r w:rsidR="00B30050">
        <w:rPr>
          <w:rFonts w:ascii="Arial" w:hAnsi="Arial" w:cs="Arial"/>
          <w:bCs/>
          <w:iCs/>
          <w:sz w:val="26"/>
          <w:szCs w:val="26"/>
        </w:rPr>
        <w:t>93,</w:t>
      </w:r>
      <w:r w:rsidR="00B30050" w:rsidRPr="000E0374">
        <w:rPr>
          <w:rFonts w:ascii="Arial" w:hAnsi="Arial" w:cs="Arial"/>
          <w:bCs/>
          <w:iCs/>
          <w:sz w:val="26"/>
          <w:szCs w:val="26"/>
        </w:rPr>
        <w:t xml:space="preserve"> fracción I, </w:t>
      </w:r>
      <w:r w:rsidR="00B30050">
        <w:rPr>
          <w:rFonts w:ascii="Arial" w:hAnsi="Arial" w:cs="Arial"/>
          <w:bCs/>
          <w:iCs/>
          <w:sz w:val="26"/>
          <w:szCs w:val="26"/>
        </w:rPr>
        <w:t>94, 201</w:t>
      </w:r>
      <w:r w:rsidR="00B30050" w:rsidRPr="000E0374">
        <w:rPr>
          <w:rFonts w:ascii="Arial" w:hAnsi="Arial" w:cs="Arial"/>
          <w:bCs/>
          <w:iCs/>
          <w:sz w:val="26"/>
          <w:szCs w:val="26"/>
        </w:rPr>
        <w:t xml:space="preserve">, </w:t>
      </w:r>
      <w:r w:rsidR="00B30050">
        <w:rPr>
          <w:rFonts w:ascii="Arial" w:hAnsi="Arial" w:cs="Arial"/>
          <w:bCs/>
          <w:iCs/>
          <w:sz w:val="26"/>
          <w:szCs w:val="26"/>
        </w:rPr>
        <w:t>206</w:t>
      </w:r>
      <w:r w:rsidR="00B30050" w:rsidRPr="000E0374">
        <w:rPr>
          <w:rFonts w:ascii="Arial" w:hAnsi="Arial" w:cs="Arial"/>
          <w:bCs/>
          <w:iCs/>
          <w:sz w:val="26"/>
          <w:szCs w:val="26"/>
        </w:rPr>
        <w:t xml:space="preserve"> y 2</w:t>
      </w:r>
      <w:r w:rsidR="00B30050">
        <w:rPr>
          <w:rFonts w:ascii="Arial" w:hAnsi="Arial" w:cs="Arial"/>
          <w:bCs/>
          <w:iCs/>
          <w:sz w:val="26"/>
          <w:szCs w:val="26"/>
        </w:rPr>
        <w:t>08</w:t>
      </w:r>
      <w:r w:rsidR="00B30050" w:rsidRPr="000E0374">
        <w:rPr>
          <w:rFonts w:ascii="Arial" w:hAnsi="Arial" w:cs="Arial"/>
          <w:bCs/>
          <w:iCs/>
          <w:sz w:val="26"/>
          <w:szCs w:val="26"/>
        </w:rPr>
        <w:t xml:space="preserve"> de</w:t>
      </w:r>
      <w:r w:rsidR="00B30050" w:rsidRPr="00F37C43">
        <w:rPr>
          <w:rFonts w:ascii="Arial" w:hAnsi="Arial" w:cs="Arial"/>
          <w:bCs/>
          <w:iCs/>
          <w:sz w:val="26"/>
          <w:szCs w:val="26"/>
        </w:rPr>
        <w:t xml:space="preserve"> la Ley de Justicia Administrativa para el Estado de Oaxaca, dado que se trata de un Recurso de Revisión interpuesto en contra </w:t>
      </w:r>
      <w:r w:rsidR="00B30050">
        <w:rPr>
          <w:rFonts w:ascii="Arial" w:hAnsi="Arial" w:cs="Arial"/>
          <w:bCs/>
          <w:iCs/>
          <w:sz w:val="26"/>
          <w:szCs w:val="26"/>
        </w:rPr>
        <w:t>de sentencia</w:t>
      </w:r>
      <w:r w:rsidR="00B30050">
        <w:rPr>
          <w:rFonts w:ascii="Arial" w:hAnsi="Arial" w:cs="Arial"/>
          <w:sz w:val="26"/>
          <w:szCs w:val="26"/>
        </w:rPr>
        <w:t xml:space="preserve"> de 8 ocho de enero de </w:t>
      </w:r>
      <w:r w:rsidR="00B30050" w:rsidRPr="00F403FE">
        <w:rPr>
          <w:rFonts w:ascii="Arial" w:hAnsi="Arial" w:cs="Arial"/>
          <w:sz w:val="26"/>
          <w:szCs w:val="26"/>
        </w:rPr>
        <w:t>20</w:t>
      </w:r>
      <w:r w:rsidR="00B30050">
        <w:rPr>
          <w:rFonts w:ascii="Arial" w:hAnsi="Arial" w:cs="Arial"/>
          <w:sz w:val="26"/>
          <w:szCs w:val="26"/>
        </w:rPr>
        <w:t>18</w:t>
      </w:r>
      <w:r w:rsidR="00B30050" w:rsidRPr="00F403FE">
        <w:rPr>
          <w:rFonts w:ascii="Arial" w:hAnsi="Arial" w:cs="Arial"/>
          <w:sz w:val="26"/>
          <w:szCs w:val="26"/>
        </w:rPr>
        <w:t xml:space="preserve"> dos mil </w:t>
      </w:r>
      <w:r w:rsidR="00B30050">
        <w:rPr>
          <w:rFonts w:ascii="Arial" w:hAnsi="Arial" w:cs="Arial"/>
          <w:sz w:val="26"/>
          <w:szCs w:val="26"/>
        </w:rPr>
        <w:t>dieciocho, dictada por la Sexta Sala Unitaria de Primera Instancia de este Tribunal,</w:t>
      </w:r>
      <w:r w:rsidR="00B30050" w:rsidRPr="00A52F58">
        <w:rPr>
          <w:rFonts w:ascii="Arial" w:hAnsi="Arial" w:cs="Arial"/>
          <w:bCs/>
          <w:iCs/>
          <w:sz w:val="26"/>
          <w:szCs w:val="26"/>
        </w:rPr>
        <w:t xml:space="preserve"> </w:t>
      </w:r>
      <w:r w:rsidR="00B30050" w:rsidRPr="00F37C43">
        <w:rPr>
          <w:rFonts w:ascii="Arial" w:hAnsi="Arial" w:cs="Arial"/>
          <w:bCs/>
          <w:iCs/>
          <w:sz w:val="26"/>
          <w:szCs w:val="26"/>
        </w:rPr>
        <w:t>en el Juicio</w:t>
      </w:r>
      <w:r w:rsidR="00B30050">
        <w:rPr>
          <w:rFonts w:ascii="Arial" w:hAnsi="Arial" w:cs="Arial"/>
          <w:bCs/>
          <w:iCs/>
          <w:sz w:val="26"/>
          <w:szCs w:val="26"/>
        </w:rPr>
        <w:t xml:space="preserve"> de nulidad </w:t>
      </w:r>
      <w:r w:rsidR="00B30050">
        <w:rPr>
          <w:rFonts w:ascii="Arial" w:hAnsi="Arial" w:cs="Arial"/>
          <w:b/>
          <w:bCs/>
          <w:iCs/>
          <w:sz w:val="26"/>
          <w:szCs w:val="26"/>
        </w:rPr>
        <w:t>0340</w:t>
      </w:r>
      <w:r w:rsidR="00B30050" w:rsidRPr="005D2C5A">
        <w:rPr>
          <w:rFonts w:ascii="Arial" w:hAnsi="Arial" w:cs="Arial"/>
          <w:b/>
          <w:sz w:val="26"/>
          <w:szCs w:val="26"/>
        </w:rPr>
        <w:t>/20</w:t>
      </w:r>
      <w:r w:rsidR="00B30050">
        <w:rPr>
          <w:rFonts w:ascii="Arial" w:hAnsi="Arial" w:cs="Arial"/>
          <w:b/>
          <w:sz w:val="26"/>
          <w:szCs w:val="26"/>
        </w:rPr>
        <w:t>16</w:t>
      </w:r>
      <w:r w:rsidR="00B30050">
        <w:rPr>
          <w:rFonts w:ascii="Arial" w:hAnsi="Arial" w:cs="Arial"/>
          <w:b/>
          <w:bCs/>
          <w:iCs/>
          <w:sz w:val="26"/>
          <w:szCs w:val="26"/>
        </w:rPr>
        <w:t>.</w:t>
      </w:r>
    </w:p>
    <w:p w:rsidR="004F4970" w:rsidRDefault="00B30050" w:rsidP="00B30050">
      <w:pPr>
        <w:widowControl w:val="0"/>
        <w:tabs>
          <w:tab w:val="left" w:pos="7938"/>
          <w:tab w:val="left" w:pos="8222"/>
        </w:tabs>
        <w:spacing w:before="240" w:after="0" w:line="360" w:lineRule="auto"/>
        <w:ind w:right="49" w:firstLine="851"/>
        <w:jc w:val="both"/>
        <w:rPr>
          <w:rFonts w:ascii="Arial" w:hAnsi="Arial" w:cs="Arial"/>
          <w:bCs/>
          <w:iCs/>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sidR="00AA56F2">
        <w:rPr>
          <w:rFonts w:ascii="Arial" w:hAnsi="Arial" w:cs="Arial"/>
          <w:bCs/>
          <w:color w:val="000000"/>
          <w:sz w:val="26"/>
          <w:szCs w:val="26"/>
          <w:lang w:val="es-MX"/>
        </w:rPr>
        <w:t xml:space="preserve"> </w:t>
      </w:r>
      <w:r w:rsidR="00D63A6F" w:rsidRPr="00D63A6F">
        <w:rPr>
          <w:rFonts w:ascii="Arial" w:hAnsi="Arial" w:cs="Arial"/>
          <w:bCs/>
          <w:color w:val="000000"/>
          <w:sz w:val="26"/>
          <w:szCs w:val="26"/>
          <w:lang w:val="es-MX"/>
        </w:rPr>
        <w:t xml:space="preserve"> </w:t>
      </w:r>
    </w:p>
    <w:p w:rsidR="00B30050" w:rsidRDefault="00AA0100" w:rsidP="00B230D1">
      <w:pPr>
        <w:spacing w:before="240" w:line="360" w:lineRule="auto"/>
        <w:ind w:firstLine="709"/>
        <w:jc w:val="both"/>
        <w:rPr>
          <w:rFonts w:ascii="Arial" w:hAnsi="Arial" w:cs="Arial"/>
          <w:bCs/>
          <w:sz w:val="26"/>
          <w:szCs w:val="26"/>
        </w:rPr>
      </w:pPr>
      <w:r w:rsidRPr="00C157FE">
        <w:rPr>
          <w:rFonts w:ascii="Arial" w:hAnsi="Arial" w:cs="Arial"/>
          <w:b/>
          <w:bCs/>
          <w:sz w:val="26"/>
          <w:szCs w:val="26"/>
        </w:rPr>
        <w:lastRenderedPageBreak/>
        <w:t>TERCERO.</w:t>
      </w:r>
      <w:r w:rsidR="005913ED" w:rsidRPr="00C157FE">
        <w:rPr>
          <w:rFonts w:ascii="Arial" w:hAnsi="Arial" w:cs="Arial"/>
          <w:b/>
          <w:bCs/>
          <w:sz w:val="26"/>
          <w:szCs w:val="26"/>
        </w:rPr>
        <w:t xml:space="preserve"> </w:t>
      </w:r>
      <w:r w:rsidR="00F91235">
        <w:rPr>
          <w:rFonts w:ascii="Arial" w:hAnsi="Arial" w:cs="Arial"/>
          <w:bCs/>
          <w:sz w:val="26"/>
          <w:szCs w:val="26"/>
        </w:rPr>
        <w:t xml:space="preserve">Son </w:t>
      </w:r>
      <w:r w:rsidR="00B30050">
        <w:rPr>
          <w:rFonts w:ascii="Arial" w:hAnsi="Arial" w:cs="Arial"/>
          <w:bCs/>
          <w:sz w:val="26"/>
          <w:szCs w:val="26"/>
        </w:rPr>
        <w:t>S</w:t>
      </w:r>
      <w:r w:rsidR="00F91235">
        <w:rPr>
          <w:rFonts w:ascii="Arial" w:hAnsi="Arial" w:cs="Arial"/>
          <w:bCs/>
          <w:sz w:val="26"/>
          <w:szCs w:val="26"/>
        </w:rPr>
        <w:t>USTANCIALMENTE FUNDADOS</w:t>
      </w:r>
      <w:r w:rsidR="00B30050">
        <w:rPr>
          <w:rFonts w:ascii="Arial" w:hAnsi="Arial" w:cs="Arial"/>
          <w:bCs/>
          <w:sz w:val="26"/>
          <w:szCs w:val="26"/>
        </w:rPr>
        <w:t xml:space="preserve"> los agravios expresados por el recurrente.</w:t>
      </w:r>
    </w:p>
    <w:p w:rsidR="00CE7098" w:rsidRDefault="002E520C" w:rsidP="002E520C">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Señala </w:t>
      </w:r>
      <w:r w:rsidR="00A91F55">
        <w:rPr>
          <w:rFonts w:ascii="Arial" w:hAnsi="Arial" w:cs="Arial"/>
          <w:bCs/>
          <w:sz w:val="26"/>
          <w:szCs w:val="26"/>
          <w:lang w:val="es-MX"/>
        </w:rPr>
        <w:t>e</w:t>
      </w:r>
      <w:r>
        <w:rPr>
          <w:rFonts w:ascii="Arial" w:hAnsi="Arial" w:cs="Arial"/>
          <w:bCs/>
          <w:sz w:val="26"/>
          <w:szCs w:val="26"/>
          <w:lang w:val="es-MX"/>
        </w:rPr>
        <w:t xml:space="preserve">l </w:t>
      </w:r>
      <w:r w:rsidRPr="00C90CD5">
        <w:rPr>
          <w:rFonts w:ascii="Arial" w:hAnsi="Arial" w:cs="Arial"/>
          <w:bCs/>
          <w:sz w:val="26"/>
          <w:szCs w:val="26"/>
          <w:lang w:val="es-MX"/>
        </w:rPr>
        <w:t xml:space="preserve">recurrente </w:t>
      </w:r>
      <w:r w:rsidR="003410C2">
        <w:rPr>
          <w:rFonts w:ascii="Arial" w:hAnsi="Arial" w:cs="Arial"/>
          <w:bCs/>
          <w:sz w:val="26"/>
          <w:szCs w:val="26"/>
          <w:lang w:val="es-MX"/>
        </w:rPr>
        <w:t>que es incorrecto que la convocatoria para el otorgamiento de concesiones para la prestación del servicio público en la localidad de Huajuapam de León, Oaxaca, contravenga los principios de equidad social y productividad, ya que en el procedimiento, el Estado interviene en su calidad de concesionante</w:t>
      </w:r>
      <w:r w:rsidR="006B6362">
        <w:rPr>
          <w:rFonts w:ascii="Arial" w:hAnsi="Arial" w:cs="Arial"/>
          <w:bCs/>
          <w:sz w:val="26"/>
          <w:szCs w:val="26"/>
          <w:lang w:val="es-MX"/>
        </w:rPr>
        <w:t xml:space="preserve"> y los particulares como solicitantes de concesiones que se sujetan a las disposiciones contenidas en el artículo 18 de la Ley de Tránsito Reformada</w:t>
      </w:r>
      <w:r w:rsidR="00CE7098">
        <w:rPr>
          <w:rFonts w:ascii="Arial" w:hAnsi="Arial" w:cs="Arial"/>
          <w:bCs/>
          <w:sz w:val="26"/>
          <w:szCs w:val="26"/>
          <w:lang w:val="es-MX"/>
        </w:rPr>
        <w:t>.</w:t>
      </w:r>
    </w:p>
    <w:p w:rsidR="00C669E4" w:rsidRDefault="00CE7098" w:rsidP="002E520C">
      <w:pPr>
        <w:spacing w:line="360" w:lineRule="auto"/>
        <w:ind w:firstLine="709"/>
        <w:jc w:val="both"/>
        <w:rPr>
          <w:rFonts w:ascii="Arial" w:hAnsi="Arial" w:cs="Arial"/>
          <w:bCs/>
          <w:sz w:val="26"/>
          <w:szCs w:val="26"/>
          <w:lang w:val="es-MX"/>
        </w:rPr>
      </w:pPr>
      <w:r>
        <w:rPr>
          <w:rFonts w:ascii="Arial" w:hAnsi="Arial" w:cs="Arial"/>
          <w:bCs/>
          <w:sz w:val="26"/>
          <w:szCs w:val="26"/>
          <w:lang w:val="es-MX"/>
        </w:rPr>
        <w:t>Que la convocatoria</w:t>
      </w:r>
      <w:r w:rsidR="004F647D">
        <w:rPr>
          <w:rFonts w:ascii="Arial" w:hAnsi="Arial" w:cs="Arial"/>
          <w:bCs/>
          <w:sz w:val="26"/>
          <w:szCs w:val="26"/>
          <w:lang w:val="es-MX"/>
        </w:rPr>
        <w:t xml:space="preserve"> fue dirigida a ciudadanos que acreditaron ser propietarios de vehículos susceptibles a regularizar, a quienes se les asignó un juego de identificación conforme a los criterios establecidos por la Secretaría de Vialidad y Transporte, estableciéndose en la convocatoria que el número de tarjetón debía ser indicado en la solicitud de concesión</w:t>
      </w:r>
      <w:r w:rsidR="00C669E4">
        <w:rPr>
          <w:rFonts w:ascii="Arial" w:hAnsi="Arial" w:cs="Arial"/>
          <w:bCs/>
          <w:sz w:val="26"/>
          <w:szCs w:val="26"/>
          <w:lang w:val="es-MX"/>
        </w:rPr>
        <w:t>.</w:t>
      </w:r>
    </w:p>
    <w:p w:rsidR="00DF13CC" w:rsidRDefault="00DF13CC" w:rsidP="002E520C">
      <w:pPr>
        <w:spacing w:line="360" w:lineRule="auto"/>
        <w:ind w:firstLine="709"/>
        <w:jc w:val="both"/>
        <w:rPr>
          <w:rFonts w:ascii="Arial" w:hAnsi="Arial" w:cs="Arial"/>
          <w:bCs/>
          <w:sz w:val="26"/>
          <w:szCs w:val="26"/>
          <w:lang w:val="es-MX"/>
        </w:rPr>
      </w:pPr>
      <w:r>
        <w:rPr>
          <w:rFonts w:ascii="Arial" w:hAnsi="Arial" w:cs="Arial"/>
          <w:bCs/>
          <w:sz w:val="26"/>
          <w:szCs w:val="26"/>
          <w:lang w:val="es-MX"/>
        </w:rPr>
        <w:t>Refiere q</w:t>
      </w:r>
      <w:r w:rsidR="00C669E4">
        <w:rPr>
          <w:rFonts w:ascii="Arial" w:hAnsi="Arial" w:cs="Arial"/>
          <w:bCs/>
          <w:sz w:val="26"/>
          <w:szCs w:val="26"/>
          <w:lang w:val="es-MX"/>
        </w:rPr>
        <w:t>ue la actora, en el oficio de 26 veintiséis de octubre de 2012 dos mil doce, recibido en esa dependencia el 12 doce de enero de 2013 dos mil trece, según sello de recepción, no hay constancia de que haya adjuntado al mismo la documentación correspondiente, pues no aparece la leyenda en el sello de recepción de anexos, de lo que se advierte que la actora no aportó medios de prueba idóneos de ser propietaria de vehículo tendiente a regularizarse, ni que los elementos de identificación fueran entregados en forma irregular, lo que no fue impugnado por la actora</w:t>
      </w:r>
      <w:r>
        <w:rPr>
          <w:rFonts w:ascii="Arial" w:hAnsi="Arial" w:cs="Arial"/>
          <w:bCs/>
          <w:sz w:val="26"/>
          <w:szCs w:val="26"/>
          <w:lang w:val="es-MX"/>
        </w:rPr>
        <w:t>.</w:t>
      </w:r>
    </w:p>
    <w:p w:rsidR="001C294E" w:rsidRDefault="00364165" w:rsidP="002E520C">
      <w:pPr>
        <w:spacing w:line="360" w:lineRule="auto"/>
        <w:ind w:firstLine="709"/>
        <w:jc w:val="both"/>
        <w:rPr>
          <w:rFonts w:ascii="Arial" w:hAnsi="Arial" w:cs="Arial"/>
          <w:bCs/>
          <w:sz w:val="26"/>
          <w:szCs w:val="26"/>
          <w:lang w:val="es-MX"/>
        </w:rPr>
      </w:pPr>
      <w:r>
        <w:rPr>
          <w:rFonts w:ascii="Arial" w:hAnsi="Arial" w:cs="Arial"/>
          <w:bCs/>
          <w:sz w:val="26"/>
          <w:szCs w:val="26"/>
          <w:lang w:val="es-MX"/>
        </w:rPr>
        <w:t>En su segundo agravio, arguye que la promovente miente al argumentar que la Secretaría publicó una fecha confusa para que los propietarios de los vehículos insaculados acudieran al Palacio Municipal de Huajuapam de León, porque el 27 veintisiete de abril de 2013 dos mil trece, se publicó en el Peri</w:t>
      </w:r>
      <w:r w:rsidR="00BF7FD7">
        <w:rPr>
          <w:rFonts w:ascii="Arial" w:hAnsi="Arial" w:cs="Arial"/>
          <w:bCs/>
          <w:sz w:val="26"/>
          <w:szCs w:val="26"/>
          <w:lang w:val="es-MX"/>
        </w:rPr>
        <w:t>ódi</w:t>
      </w:r>
      <w:r>
        <w:rPr>
          <w:rFonts w:ascii="Arial" w:hAnsi="Arial" w:cs="Arial"/>
          <w:bCs/>
          <w:sz w:val="26"/>
          <w:szCs w:val="26"/>
          <w:lang w:val="es-MX"/>
        </w:rPr>
        <w:t>co Oficial del Gobierno del Estado</w:t>
      </w:r>
      <w:r w:rsidR="001C294E">
        <w:rPr>
          <w:rFonts w:ascii="Arial" w:hAnsi="Arial" w:cs="Arial"/>
          <w:bCs/>
          <w:sz w:val="26"/>
          <w:szCs w:val="26"/>
          <w:lang w:val="es-MX"/>
        </w:rPr>
        <w:t xml:space="preserve"> convocatoria para el otorgamiento de concesiones en la que se señaló como fecha de entrega de documentación el 29 veintinueve de abril de 2013 dos mil trece, por lo que debe revocarse la determinación de que se dej</w:t>
      </w:r>
      <w:r w:rsidR="00607003">
        <w:rPr>
          <w:rFonts w:ascii="Arial" w:hAnsi="Arial" w:cs="Arial"/>
          <w:bCs/>
          <w:sz w:val="26"/>
          <w:szCs w:val="26"/>
          <w:lang w:val="es-MX"/>
        </w:rPr>
        <w:t>ó</w:t>
      </w:r>
      <w:r w:rsidR="001C294E">
        <w:rPr>
          <w:rFonts w:ascii="Arial" w:hAnsi="Arial" w:cs="Arial"/>
          <w:bCs/>
          <w:sz w:val="26"/>
          <w:szCs w:val="26"/>
          <w:lang w:val="es-MX"/>
        </w:rPr>
        <w:t xml:space="preserve"> a la actora en estado de indefensión.</w:t>
      </w:r>
    </w:p>
    <w:p w:rsidR="002E520C" w:rsidRPr="00117304" w:rsidRDefault="001C294E" w:rsidP="002E520C">
      <w:pPr>
        <w:spacing w:line="360" w:lineRule="auto"/>
        <w:ind w:firstLine="709"/>
        <w:jc w:val="both"/>
        <w:rPr>
          <w:rFonts w:ascii="Arial" w:hAnsi="Arial" w:cs="Arial"/>
          <w:bCs/>
          <w:sz w:val="26"/>
          <w:szCs w:val="26"/>
          <w:lang w:val="es-MX"/>
        </w:rPr>
      </w:pPr>
      <w:r>
        <w:rPr>
          <w:rFonts w:ascii="Arial" w:hAnsi="Arial" w:cs="Arial"/>
          <w:bCs/>
          <w:sz w:val="26"/>
          <w:szCs w:val="26"/>
          <w:lang w:val="es-MX"/>
        </w:rPr>
        <w:lastRenderedPageBreak/>
        <w:t>Finalmente, refiere</w:t>
      </w:r>
      <w:r w:rsidR="00F05716">
        <w:rPr>
          <w:rFonts w:ascii="Arial" w:hAnsi="Arial" w:cs="Arial"/>
          <w:bCs/>
          <w:sz w:val="26"/>
          <w:szCs w:val="26"/>
          <w:lang w:val="es-MX"/>
        </w:rPr>
        <w:t xml:space="preserve"> el recurrente,</w:t>
      </w:r>
      <w:r>
        <w:rPr>
          <w:rFonts w:ascii="Arial" w:hAnsi="Arial" w:cs="Arial"/>
          <w:bCs/>
          <w:sz w:val="26"/>
          <w:szCs w:val="26"/>
          <w:lang w:val="es-MX"/>
        </w:rPr>
        <w:t xml:space="preserve"> le causa agravio la declaración de validez parcial de la convocatoria para el otorgamiento de concesiones </w:t>
      </w:r>
      <w:r w:rsidR="00F05716">
        <w:rPr>
          <w:rFonts w:ascii="Arial" w:hAnsi="Arial" w:cs="Arial"/>
          <w:bCs/>
          <w:sz w:val="26"/>
          <w:szCs w:val="26"/>
          <w:lang w:val="es-MX"/>
        </w:rPr>
        <w:t>para el efecto de que esa autoridad regularice la unidad de motor de la actora, porque se contravendrían disposiciones de orden público  y se alteraría la armonía y paz social</w:t>
      </w:r>
      <w:r>
        <w:rPr>
          <w:rFonts w:ascii="Arial" w:hAnsi="Arial" w:cs="Arial"/>
          <w:bCs/>
          <w:sz w:val="26"/>
          <w:szCs w:val="26"/>
          <w:lang w:val="es-MX"/>
        </w:rPr>
        <w:t xml:space="preserve"> </w:t>
      </w:r>
      <w:r w:rsidR="00F05716">
        <w:rPr>
          <w:rFonts w:ascii="Arial" w:hAnsi="Arial" w:cs="Arial"/>
          <w:bCs/>
          <w:sz w:val="26"/>
          <w:szCs w:val="26"/>
          <w:lang w:val="es-MX"/>
        </w:rPr>
        <w:t>de la localidad, además de afectar la esfera jurídica de los verdaderos concesionarios que se presentaron con su documentación, aunado a que la actora no probó contar con un vehículo susceptible de regularizarse, porque no se presentó a la entrega de elementos identificatorios.</w:t>
      </w:r>
      <w:r w:rsidR="002E520C">
        <w:rPr>
          <w:rFonts w:ascii="Arial" w:hAnsi="Arial" w:cs="Arial"/>
          <w:bCs/>
          <w:sz w:val="26"/>
          <w:szCs w:val="26"/>
          <w:lang w:val="es-MX"/>
        </w:rPr>
        <w:t xml:space="preserve"> </w:t>
      </w:r>
    </w:p>
    <w:p w:rsidR="00607003" w:rsidRDefault="002E520C" w:rsidP="002E520C">
      <w:pPr>
        <w:spacing w:after="0" w:line="360" w:lineRule="auto"/>
        <w:ind w:firstLine="708"/>
        <w:jc w:val="both"/>
        <w:rPr>
          <w:rFonts w:ascii="Arial" w:hAnsi="Arial" w:cs="Arial"/>
          <w:b/>
          <w:sz w:val="26"/>
          <w:szCs w:val="26"/>
        </w:rPr>
      </w:pPr>
      <w:r>
        <w:rPr>
          <w:rFonts w:ascii="Arial" w:hAnsi="Arial" w:cs="Arial"/>
          <w:sz w:val="26"/>
          <w:szCs w:val="26"/>
        </w:rPr>
        <w:t xml:space="preserve">Ahora, de las constancias de autos remitidas para la resolución del presente asunto, que hacen prueba plena en términos del artículo 173, fracción I, de la Ley de Justicia Administrativa para el Estado de Oaxaca,  se advierte que los argumentos expresados por </w:t>
      </w:r>
      <w:r w:rsidR="00F05716">
        <w:rPr>
          <w:rFonts w:ascii="Arial" w:hAnsi="Arial" w:cs="Arial"/>
          <w:sz w:val="26"/>
          <w:szCs w:val="26"/>
        </w:rPr>
        <w:t>e</w:t>
      </w:r>
      <w:r>
        <w:rPr>
          <w:rFonts w:ascii="Arial" w:hAnsi="Arial" w:cs="Arial"/>
          <w:sz w:val="26"/>
          <w:szCs w:val="26"/>
        </w:rPr>
        <w:t xml:space="preserve">l recurrente son </w:t>
      </w:r>
      <w:r w:rsidR="00607003">
        <w:rPr>
          <w:rFonts w:ascii="Arial" w:hAnsi="Arial" w:cs="Arial"/>
          <w:b/>
          <w:sz w:val="26"/>
          <w:szCs w:val="26"/>
        </w:rPr>
        <w:t>SUSTANCIALMENTE FUNDADOS</w:t>
      </w:r>
    </w:p>
    <w:p w:rsidR="00677773" w:rsidRDefault="0052775F" w:rsidP="00677773">
      <w:pPr>
        <w:spacing w:line="360" w:lineRule="auto"/>
        <w:ind w:firstLine="708"/>
        <w:jc w:val="both"/>
        <w:rPr>
          <w:rFonts w:ascii="Arial" w:hAnsi="Arial" w:cs="Arial"/>
          <w:bCs/>
          <w:sz w:val="26"/>
          <w:szCs w:val="26"/>
        </w:rPr>
      </w:pPr>
      <w:r>
        <w:rPr>
          <w:rFonts w:ascii="Arial" w:hAnsi="Arial" w:cs="Arial"/>
          <w:bCs/>
          <w:sz w:val="26"/>
          <w:szCs w:val="26"/>
        </w:rPr>
        <w:t>L</w:t>
      </w:r>
      <w:r w:rsidR="00677773">
        <w:rPr>
          <w:rFonts w:ascii="Arial" w:hAnsi="Arial" w:cs="Arial"/>
          <w:bCs/>
          <w:sz w:val="26"/>
          <w:szCs w:val="26"/>
        </w:rPr>
        <w:t xml:space="preserve">os motivos de inconformidad antes relatados conllevan a sostener, según el </w:t>
      </w:r>
      <w:r>
        <w:rPr>
          <w:rFonts w:ascii="Arial" w:hAnsi="Arial" w:cs="Arial"/>
          <w:bCs/>
          <w:sz w:val="26"/>
          <w:szCs w:val="26"/>
        </w:rPr>
        <w:t>recurrent</w:t>
      </w:r>
      <w:r w:rsidR="00531AC3">
        <w:rPr>
          <w:rFonts w:ascii="Arial" w:hAnsi="Arial" w:cs="Arial"/>
          <w:bCs/>
          <w:sz w:val="26"/>
          <w:szCs w:val="26"/>
        </w:rPr>
        <w:t>e</w:t>
      </w:r>
      <w:r w:rsidR="00677773">
        <w:rPr>
          <w:rFonts w:ascii="Arial" w:hAnsi="Arial" w:cs="Arial"/>
          <w:bCs/>
          <w:sz w:val="26"/>
          <w:szCs w:val="26"/>
        </w:rPr>
        <w:t>, la legalidad de la “Convocatoria para participar en el procedimiento administrativo para la obtención de títulos de concesión para la prestación del servicio público de pasajeros en la modalidad de taxi, en la Ciudad de Huajuapan de León, Oaxaca”,</w:t>
      </w:r>
      <w:r w:rsidR="00531AC3">
        <w:rPr>
          <w:rFonts w:ascii="Arial" w:hAnsi="Arial" w:cs="Arial"/>
          <w:bCs/>
          <w:sz w:val="26"/>
          <w:szCs w:val="26"/>
        </w:rPr>
        <w:t xml:space="preserve"> emitida con fecha</w:t>
      </w:r>
      <w:r w:rsidR="00677773">
        <w:rPr>
          <w:rFonts w:ascii="Arial" w:hAnsi="Arial" w:cs="Arial"/>
          <w:bCs/>
          <w:sz w:val="26"/>
          <w:szCs w:val="26"/>
        </w:rPr>
        <w:t xml:space="preserve"> de 22 veintidós de abril de 2013 dos mil trece; para lo cual es necesario, relatar los siguientes antecedentes:</w:t>
      </w:r>
    </w:p>
    <w:p w:rsidR="00677773" w:rsidRDefault="00531AC3" w:rsidP="00677773">
      <w:pPr>
        <w:spacing w:line="360" w:lineRule="auto"/>
        <w:ind w:firstLine="708"/>
        <w:jc w:val="both"/>
        <w:rPr>
          <w:rFonts w:ascii="Arial" w:hAnsi="Arial" w:cs="Arial"/>
          <w:bCs/>
          <w:sz w:val="26"/>
          <w:szCs w:val="26"/>
        </w:rPr>
      </w:pPr>
      <w:r>
        <w:rPr>
          <w:rFonts w:ascii="Arial" w:hAnsi="Arial" w:cs="Arial"/>
          <w:bCs/>
          <w:sz w:val="26"/>
          <w:szCs w:val="26"/>
        </w:rPr>
        <w:t xml:space="preserve">1.- </w:t>
      </w:r>
      <w:r w:rsidR="00E56048">
        <w:rPr>
          <w:rFonts w:ascii="Arial" w:hAnsi="Arial" w:cs="Arial"/>
          <w:bCs/>
          <w:sz w:val="26"/>
          <w:szCs w:val="26"/>
        </w:rPr>
        <w:t>**********</w:t>
      </w:r>
      <w:r w:rsidR="00677773">
        <w:rPr>
          <w:rFonts w:ascii="Arial" w:hAnsi="Arial" w:cs="Arial"/>
          <w:bCs/>
          <w:sz w:val="26"/>
          <w:szCs w:val="26"/>
        </w:rPr>
        <w:t>, instauró juicio de nulidad en contra de la Convocatoria emitida por el Secretario de Vialidad y Transporte, para participar en el procedimiento administrativo para el otorgamiento de títulos de concesión para la prestación del servicio público de pasajeros en la modalidad de taxi, en la Ciudad de Huajuapan de León;</w:t>
      </w:r>
    </w:p>
    <w:p w:rsidR="00677773" w:rsidRDefault="00677773" w:rsidP="00677773">
      <w:pPr>
        <w:spacing w:line="360" w:lineRule="auto"/>
        <w:ind w:firstLine="708"/>
        <w:jc w:val="both"/>
        <w:rPr>
          <w:rFonts w:ascii="Arial" w:hAnsi="Arial" w:cs="Arial"/>
          <w:bCs/>
          <w:sz w:val="26"/>
          <w:szCs w:val="26"/>
        </w:rPr>
      </w:pPr>
      <w:r>
        <w:rPr>
          <w:rFonts w:ascii="Arial" w:hAnsi="Arial" w:cs="Arial"/>
          <w:bCs/>
          <w:sz w:val="26"/>
          <w:szCs w:val="26"/>
        </w:rPr>
        <w:t>2.- Acotando en su capítulo de hechos que se dedica a la actividad de chofer de taxi en la referida población, que ha prestado el servicio de manera ininterrumpida en los siti</w:t>
      </w:r>
      <w:r w:rsidR="00531AC3">
        <w:rPr>
          <w:rFonts w:ascii="Arial" w:hAnsi="Arial" w:cs="Arial"/>
          <w:bCs/>
          <w:sz w:val="26"/>
          <w:szCs w:val="26"/>
        </w:rPr>
        <w:t xml:space="preserve">os de taxis tales como José López </w:t>
      </w:r>
      <w:r w:rsidR="00DB6B6C">
        <w:rPr>
          <w:rFonts w:ascii="Arial" w:hAnsi="Arial" w:cs="Arial"/>
          <w:bCs/>
          <w:sz w:val="26"/>
          <w:szCs w:val="26"/>
        </w:rPr>
        <w:t>Alavé</w:t>
      </w:r>
      <w:r w:rsidR="00411DCE">
        <w:rPr>
          <w:rFonts w:ascii="Arial" w:hAnsi="Arial" w:cs="Arial"/>
          <w:bCs/>
          <w:sz w:val="26"/>
          <w:szCs w:val="26"/>
        </w:rPr>
        <w:t>s</w:t>
      </w:r>
      <w:r>
        <w:rPr>
          <w:rFonts w:ascii="Arial" w:hAnsi="Arial" w:cs="Arial"/>
          <w:bCs/>
          <w:sz w:val="26"/>
          <w:szCs w:val="26"/>
        </w:rPr>
        <w:t xml:space="preserve"> y Heroico 23 veintitrés de julio A.C. desde hace aproximadamente </w:t>
      </w:r>
      <w:r w:rsidR="00411DCE">
        <w:rPr>
          <w:rFonts w:ascii="Arial" w:hAnsi="Arial" w:cs="Arial"/>
          <w:bCs/>
          <w:sz w:val="26"/>
          <w:szCs w:val="26"/>
        </w:rPr>
        <w:t>4 cuatro</w:t>
      </w:r>
      <w:r>
        <w:rPr>
          <w:rFonts w:ascii="Arial" w:hAnsi="Arial" w:cs="Arial"/>
          <w:bCs/>
          <w:sz w:val="26"/>
          <w:szCs w:val="26"/>
        </w:rPr>
        <w:t xml:space="preserve"> años; que en razón a su oficio y antigüedad al volante como prestador del servicio público, suscribió una solicitud de concesión, que le fue recibida el 28 de enero de 2013 dos mil trece; cumpliendo, dice, con los requisitos exigidos por las normas de la materia; señalando que el 3 tres de agosto de 2012 dos mil doce, en reunión privada y selectiva el Director de Planeación y Estudios de la </w:t>
      </w:r>
      <w:r>
        <w:rPr>
          <w:rFonts w:ascii="Arial" w:hAnsi="Arial" w:cs="Arial"/>
          <w:bCs/>
          <w:sz w:val="26"/>
          <w:szCs w:val="26"/>
        </w:rPr>
        <w:lastRenderedPageBreak/>
        <w:t xml:space="preserve">Secretaría de Vialidad y Transporte en el Estado, desde luego con el aval del Secretario de Vialidad y Transporte en el Estado, suscribió con grupos de presión que conforman sitios de taxis irregulares en la población de Huajuapan de León, una minuta de trabajo en la que se </w:t>
      </w:r>
      <w:r w:rsidR="006F5192">
        <w:rPr>
          <w:rFonts w:ascii="Arial" w:hAnsi="Arial" w:cs="Arial"/>
          <w:bCs/>
          <w:sz w:val="26"/>
          <w:szCs w:val="26"/>
        </w:rPr>
        <w:t>realizó</w:t>
      </w:r>
      <w:r>
        <w:rPr>
          <w:rFonts w:ascii="Arial" w:hAnsi="Arial" w:cs="Arial"/>
          <w:bCs/>
          <w:sz w:val="26"/>
          <w:szCs w:val="26"/>
        </w:rPr>
        <w:t xml:space="preserve"> el otorgamiento de títulos de concesión, excluyendo a quienes trabajan cotidianamente y solicitaron dentro del marco legal una concesión para la prestación del servicio público de alquiler; así, se otorgaron de manera arbitraria tarjetones y calcomanías a los que denominaron hologramas, que fueron pegados en el medallón trasero de los vehículos de grupos afines al gobierno en turno; por lo que el 28 veintiocho de abril de 2013 dos mi trece, la Secretaría de Vialidad y Transporte emitió la convocatoria de mérito, la cual fue publicada en el periódico “El Imparcial” de la Ciudad de Oaxaca;</w:t>
      </w:r>
      <w:r w:rsidR="00A465DA">
        <w:rPr>
          <w:rFonts w:ascii="Arial" w:hAnsi="Arial" w:cs="Arial"/>
          <w:bCs/>
          <w:sz w:val="26"/>
          <w:szCs w:val="26"/>
        </w:rPr>
        <w:t xml:space="preserve"> manifestando la actora que las autoridades demandadas son incompetentes </w:t>
      </w:r>
      <w:r w:rsidR="00270480">
        <w:rPr>
          <w:rFonts w:ascii="Arial" w:hAnsi="Arial" w:cs="Arial"/>
          <w:bCs/>
          <w:sz w:val="26"/>
          <w:szCs w:val="26"/>
        </w:rPr>
        <w:t>para emitir, expedir, suscribir y ordenar publicar convocatorias para la expedición de títulos de concesión en materia de transporte público</w:t>
      </w:r>
    </w:p>
    <w:p w:rsidR="002D185F" w:rsidRDefault="00677773" w:rsidP="00677773">
      <w:pPr>
        <w:spacing w:line="360" w:lineRule="auto"/>
        <w:ind w:firstLine="708"/>
        <w:jc w:val="both"/>
        <w:rPr>
          <w:rFonts w:ascii="Arial" w:hAnsi="Arial" w:cs="Arial"/>
          <w:bCs/>
          <w:sz w:val="26"/>
          <w:szCs w:val="26"/>
        </w:rPr>
      </w:pPr>
      <w:r>
        <w:rPr>
          <w:rFonts w:ascii="Arial" w:hAnsi="Arial" w:cs="Arial"/>
          <w:bCs/>
          <w:sz w:val="26"/>
          <w:szCs w:val="26"/>
        </w:rPr>
        <w:t xml:space="preserve">3.- Así, seguido el juicio por sus trámites, </w:t>
      </w:r>
      <w:r w:rsidR="004633D7">
        <w:rPr>
          <w:rFonts w:ascii="Arial" w:hAnsi="Arial" w:cs="Arial"/>
          <w:bCs/>
          <w:sz w:val="26"/>
          <w:szCs w:val="26"/>
        </w:rPr>
        <w:t>e</w:t>
      </w:r>
      <w:r>
        <w:rPr>
          <w:rFonts w:ascii="Arial" w:hAnsi="Arial" w:cs="Arial"/>
          <w:bCs/>
          <w:sz w:val="26"/>
          <w:szCs w:val="26"/>
        </w:rPr>
        <w:t>l titular de</w:t>
      </w:r>
      <w:r w:rsidR="004633D7">
        <w:rPr>
          <w:rFonts w:ascii="Arial" w:hAnsi="Arial" w:cs="Arial"/>
          <w:bCs/>
          <w:sz w:val="26"/>
          <w:szCs w:val="26"/>
        </w:rPr>
        <w:t xml:space="preserve"> </w:t>
      </w:r>
      <w:r>
        <w:rPr>
          <w:rFonts w:ascii="Arial" w:hAnsi="Arial" w:cs="Arial"/>
          <w:bCs/>
          <w:sz w:val="26"/>
          <w:szCs w:val="26"/>
        </w:rPr>
        <w:t>la Se</w:t>
      </w:r>
      <w:r w:rsidR="004633D7">
        <w:rPr>
          <w:rFonts w:ascii="Arial" w:hAnsi="Arial" w:cs="Arial"/>
          <w:bCs/>
          <w:sz w:val="26"/>
          <w:szCs w:val="26"/>
        </w:rPr>
        <w:t>xta</w:t>
      </w:r>
      <w:r>
        <w:rPr>
          <w:rFonts w:ascii="Arial" w:hAnsi="Arial" w:cs="Arial"/>
          <w:bCs/>
          <w:sz w:val="26"/>
          <w:szCs w:val="26"/>
        </w:rPr>
        <w:t xml:space="preserve"> </w:t>
      </w:r>
      <w:r w:rsidR="004633D7">
        <w:rPr>
          <w:rFonts w:ascii="Arial" w:hAnsi="Arial" w:cs="Arial"/>
          <w:bCs/>
          <w:sz w:val="26"/>
          <w:szCs w:val="26"/>
        </w:rPr>
        <w:t>Sala Unitaria de Primera Instancia</w:t>
      </w:r>
      <w:r>
        <w:rPr>
          <w:rFonts w:ascii="Arial" w:hAnsi="Arial" w:cs="Arial"/>
          <w:bCs/>
          <w:sz w:val="26"/>
          <w:szCs w:val="26"/>
        </w:rPr>
        <w:t xml:space="preserve"> dictó sentencia definitiva el </w:t>
      </w:r>
      <w:r w:rsidR="00EC37FD">
        <w:rPr>
          <w:rFonts w:ascii="Arial" w:hAnsi="Arial" w:cs="Arial"/>
          <w:bCs/>
          <w:sz w:val="26"/>
          <w:szCs w:val="26"/>
        </w:rPr>
        <w:t>8</w:t>
      </w:r>
      <w:r>
        <w:rPr>
          <w:rFonts w:ascii="Arial" w:hAnsi="Arial" w:cs="Arial"/>
          <w:bCs/>
          <w:sz w:val="26"/>
          <w:szCs w:val="26"/>
        </w:rPr>
        <w:t xml:space="preserve"> </w:t>
      </w:r>
      <w:r w:rsidR="00EC37FD">
        <w:rPr>
          <w:rFonts w:ascii="Arial" w:hAnsi="Arial" w:cs="Arial"/>
          <w:bCs/>
          <w:sz w:val="26"/>
          <w:szCs w:val="26"/>
        </w:rPr>
        <w:t>ocho</w:t>
      </w:r>
      <w:r>
        <w:rPr>
          <w:rFonts w:ascii="Arial" w:hAnsi="Arial" w:cs="Arial"/>
          <w:bCs/>
          <w:sz w:val="26"/>
          <w:szCs w:val="26"/>
        </w:rPr>
        <w:t xml:space="preserve"> de </w:t>
      </w:r>
      <w:r w:rsidR="00EC37FD">
        <w:rPr>
          <w:rFonts w:ascii="Arial" w:hAnsi="Arial" w:cs="Arial"/>
          <w:bCs/>
          <w:sz w:val="26"/>
          <w:szCs w:val="26"/>
        </w:rPr>
        <w:t xml:space="preserve">enero </w:t>
      </w:r>
      <w:r>
        <w:rPr>
          <w:rFonts w:ascii="Arial" w:hAnsi="Arial" w:cs="Arial"/>
          <w:bCs/>
          <w:sz w:val="26"/>
          <w:szCs w:val="26"/>
        </w:rPr>
        <w:t>de 201</w:t>
      </w:r>
      <w:r w:rsidR="00EC37FD">
        <w:rPr>
          <w:rFonts w:ascii="Arial" w:hAnsi="Arial" w:cs="Arial"/>
          <w:bCs/>
          <w:sz w:val="26"/>
          <w:szCs w:val="26"/>
        </w:rPr>
        <w:t>8</w:t>
      </w:r>
      <w:r>
        <w:rPr>
          <w:rFonts w:ascii="Arial" w:hAnsi="Arial" w:cs="Arial"/>
          <w:bCs/>
          <w:sz w:val="26"/>
          <w:szCs w:val="26"/>
        </w:rPr>
        <w:t xml:space="preserve"> dos mil </w:t>
      </w:r>
      <w:r w:rsidR="00EC37FD">
        <w:rPr>
          <w:rFonts w:ascii="Arial" w:hAnsi="Arial" w:cs="Arial"/>
          <w:bCs/>
          <w:sz w:val="26"/>
          <w:szCs w:val="26"/>
        </w:rPr>
        <w:t>dieciocho</w:t>
      </w:r>
      <w:r>
        <w:rPr>
          <w:rFonts w:ascii="Arial" w:hAnsi="Arial" w:cs="Arial"/>
          <w:bCs/>
          <w:sz w:val="26"/>
          <w:szCs w:val="26"/>
        </w:rPr>
        <w:t>, en la que determinó</w:t>
      </w:r>
      <w:r w:rsidR="00AB03E8">
        <w:rPr>
          <w:rFonts w:ascii="Arial" w:hAnsi="Arial" w:cs="Arial"/>
          <w:bCs/>
          <w:sz w:val="26"/>
          <w:szCs w:val="26"/>
        </w:rPr>
        <w:t xml:space="preserve"> declarar la validez parcial de la convocatoria para participar en la obtención de una convocatoria de taxi en Huajuapan de León, Oaxaca, emitida el 22 veintidós de abril de 2013 dos mil trece; así mismo, ordenó a las autoridades demandadas que realicen </w:t>
      </w:r>
      <w:r w:rsidR="002D185F">
        <w:rPr>
          <w:rFonts w:ascii="Arial" w:hAnsi="Arial" w:cs="Arial"/>
          <w:bCs/>
          <w:sz w:val="26"/>
          <w:szCs w:val="26"/>
        </w:rPr>
        <w:t xml:space="preserve">las acciones jurídico-administrativas para que </w:t>
      </w:r>
      <w:r w:rsidR="00E56048">
        <w:rPr>
          <w:rFonts w:ascii="Arial" w:hAnsi="Arial" w:cs="Arial"/>
          <w:bCs/>
          <w:sz w:val="26"/>
          <w:szCs w:val="26"/>
        </w:rPr>
        <w:t>**********</w:t>
      </w:r>
      <w:r w:rsidR="002D185F">
        <w:rPr>
          <w:rFonts w:ascii="Arial" w:hAnsi="Arial" w:cs="Arial"/>
          <w:bCs/>
          <w:sz w:val="26"/>
          <w:szCs w:val="26"/>
        </w:rPr>
        <w:t>, regularice la unidad de motor con la que presta el servicio de taxi, en la Ciudad de Huajuapan de León, Oaxaca.</w:t>
      </w:r>
    </w:p>
    <w:p w:rsidR="00B36412" w:rsidRDefault="004D5BB1" w:rsidP="00B36412">
      <w:pPr>
        <w:spacing w:line="360" w:lineRule="auto"/>
        <w:ind w:firstLine="708"/>
        <w:jc w:val="both"/>
        <w:rPr>
          <w:rStyle w:val="b"/>
          <w:rFonts w:ascii="Arial" w:eastAsia="Arial Unicode MS" w:hAnsi="Arial" w:cs="Arial"/>
          <w:color w:val="000000"/>
          <w:sz w:val="26"/>
          <w:szCs w:val="26"/>
        </w:rPr>
      </w:pPr>
      <w:r>
        <w:rPr>
          <w:rFonts w:ascii="Arial" w:hAnsi="Arial" w:cs="Arial"/>
          <w:bCs/>
          <w:sz w:val="26"/>
          <w:szCs w:val="26"/>
        </w:rPr>
        <w:t>De lo anterior, se advierte asiste razón al recurrente</w:t>
      </w:r>
      <w:r w:rsidR="00A465DA">
        <w:rPr>
          <w:rFonts w:ascii="Arial" w:hAnsi="Arial" w:cs="Arial"/>
          <w:bCs/>
          <w:sz w:val="26"/>
          <w:szCs w:val="26"/>
        </w:rPr>
        <w:t xml:space="preserve"> dado que </w:t>
      </w:r>
      <w:r w:rsidR="0052495F">
        <w:rPr>
          <w:rFonts w:ascii="Arial" w:hAnsi="Arial" w:cs="Arial"/>
          <w:bCs/>
          <w:sz w:val="26"/>
          <w:szCs w:val="26"/>
        </w:rPr>
        <w:t xml:space="preserve">en la Sexta Sección del Periódico Oficial del Gobierno del Estado, de 27 veintisiete de abril de 2013 dos mil trece, fue publicada la convocatoria para participar en el procedimiento administrativo para la obtención de títulos de concesión para la prestación del servicio público de transporte de pasajeros, en la modalidad de taxi, en la Ciudad de Huajuapan de León, Oaxaca, de 22 veintidós de abril de 2013 dos mil trece; </w:t>
      </w:r>
      <w:r w:rsidR="00B36412">
        <w:rPr>
          <w:rFonts w:ascii="Arial" w:hAnsi="Arial" w:cs="Arial"/>
          <w:bCs/>
          <w:sz w:val="26"/>
          <w:szCs w:val="26"/>
        </w:rPr>
        <w:t xml:space="preserve">que </w:t>
      </w:r>
      <w:r w:rsidR="00B36412">
        <w:rPr>
          <w:rStyle w:val="b"/>
          <w:rFonts w:ascii="Arial" w:eastAsia="Arial Unicode MS" w:hAnsi="Arial" w:cs="Arial"/>
          <w:color w:val="000000"/>
          <w:sz w:val="26"/>
          <w:szCs w:val="26"/>
        </w:rPr>
        <w:t xml:space="preserve">en su considerando </w:t>
      </w:r>
      <w:r w:rsidR="00EF651B">
        <w:rPr>
          <w:rStyle w:val="b"/>
          <w:rFonts w:ascii="Arial" w:eastAsia="Arial Unicode MS" w:hAnsi="Arial" w:cs="Arial"/>
          <w:color w:val="000000"/>
          <w:sz w:val="26"/>
          <w:szCs w:val="26"/>
        </w:rPr>
        <w:t>identificado como II,</w:t>
      </w:r>
      <w:r w:rsidR="00B36412">
        <w:rPr>
          <w:rStyle w:val="b"/>
          <w:rFonts w:ascii="Arial" w:eastAsia="Arial Unicode MS" w:hAnsi="Arial" w:cs="Arial"/>
          <w:color w:val="000000"/>
          <w:sz w:val="26"/>
          <w:szCs w:val="26"/>
        </w:rPr>
        <w:t xml:space="preserve"> establece: </w:t>
      </w:r>
    </w:p>
    <w:p w:rsidR="00B36412" w:rsidRDefault="00B36412" w:rsidP="00B36412">
      <w:pPr>
        <w:spacing w:line="240" w:lineRule="auto"/>
        <w:ind w:firstLine="708"/>
        <w:jc w:val="both"/>
        <w:rPr>
          <w:rFonts w:ascii="Arial" w:hAnsi="Arial" w:cs="Arial"/>
          <w:bCs/>
          <w:sz w:val="26"/>
          <w:szCs w:val="26"/>
        </w:rPr>
      </w:pPr>
      <w:r w:rsidRPr="00EB3E30">
        <w:rPr>
          <w:rStyle w:val="b"/>
          <w:rFonts w:eastAsia="Arial Unicode MS" w:cs="Calibri"/>
          <w:i/>
          <w:color w:val="000000"/>
          <w:sz w:val="24"/>
          <w:szCs w:val="24"/>
        </w:rPr>
        <w:lastRenderedPageBreak/>
        <w:t xml:space="preserve">“… QUE PARA DAR CUMPLIMIENTO A LO ORDENADO POR EL ARTÍCULO 18 DE LA LEY DE TRÁNSITO VIGENTE LA SECRETARÍA DE VIALIDAD Y TRANSPORTE POR CONDUCTO DE LA UNIVERSIAD AUTÓNOMA METROPOLITANA, PRACTICÓ UN ESTUDIO DE FACTIBILIDAD EN EL QUE SE ANALIZÓ EL COMPORTAMIENO DEL SISTEMA SOCIOECONÓMICO, DEMOGRÁFICO, URBANO Y DEL TRANSPORTE PÚBLICO EN GENERAL EN CONJUNCIÓN CON LA SITUACIÓN PROBLEMÁTICA DE FACTO, PREVALECIENTE EN LA CIUDAD DE HUAJUAPAN DE LEÓN MOTIVADA PRINCIPALMENTE POR LA PROLIFERACIÓN IREGULAR DE UNIDADES DESTINADAS UNILATERALMENTE A LA PRESTACIÓN DEL SERVICIO DE TRANSPORTE PÚBLICO, </w:t>
      </w:r>
      <w:r w:rsidRPr="00EB3E30">
        <w:rPr>
          <w:rStyle w:val="b"/>
          <w:rFonts w:eastAsia="Arial Unicode MS" w:cs="Calibri"/>
          <w:b/>
          <w:i/>
          <w:color w:val="000000"/>
          <w:sz w:val="24"/>
          <w:szCs w:val="24"/>
        </w:rPr>
        <w:t>SIN CONTAR CON LA AUTORIZACIÓN DE AUTORIDAD COMPETENTE Y ANTE LA GRAVEDAD DEL CASO Y LOS RIESGOS LATENTES DE LA ALTERACIÓN DE LA PAZ PÚBLICA LAS CONCLUSIONES Y RECOMENDACIONES DEL ESTUDIO REALIZADO FUERON EN EL SENTIDO DE QUE EL GOBIERNO DEL ESTADO DE OAXACA DEBE ORDENAR EL TRANSPORTE PÚBLICO EXISTENTE QUE DE HECHO PRESTA LOS SERVICIOS EN LA CIUDAD DE HUAJUAPAN DE LEÓN, SIN CONTAR CON LA AUTORIZACIÓN POR PARTE DE LAS AUTORIDADES COMPETENTES, HASTA POR EL NÚMERO DE UNIDADES QUE RESULTEN INDISPENSABLES PARA GARANTIZAR LA SATISFACCIÓN DE LAS NECESIDADES DE TRANSPORTE EN LA POBLACIÓN,</w:t>
      </w:r>
      <w:r w:rsidRPr="00EB3E30">
        <w:rPr>
          <w:rStyle w:val="b"/>
          <w:rFonts w:eastAsia="Arial Unicode MS" w:cs="Calibri"/>
          <w:i/>
          <w:color w:val="000000"/>
          <w:sz w:val="24"/>
          <w:szCs w:val="24"/>
        </w:rPr>
        <w:t xml:space="preserve"> Y QUE SE ASEGUREN LA RENTABILIDAD DEL SERVICIO PARA LOS PRESTADORES DE SERVICIO, MEDIANTE EL ANÁLISIS Y APLICACIÓN DE LAS VARIABLES ANALIZADAS EN EL ESTUDIO DE FACTIBILIDAD.”</w:t>
      </w:r>
    </w:p>
    <w:p w:rsidR="00B36412" w:rsidRDefault="00B36412" w:rsidP="00677773">
      <w:pPr>
        <w:spacing w:line="360" w:lineRule="auto"/>
        <w:ind w:firstLine="708"/>
        <w:jc w:val="both"/>
        <w:rPr>
          <w:rFonts w:ascii="Arial" w:hAnsi="Arial" w:cs="Arial"/>
          <w:bCs/>
          <w:sz w:val="26"/>
          <w:szCs w:val="26"/>
        </w:rPr>
      </w:pPr>
      <w:r>
        <w:rPr>
          <w:rFonts w:ascii="Arial" w:hAnsi="Arial" w:cs="Arial"/>
          <w:bCs/>
          <w:sz w:val="26"/>
          <w:szCs w:val="26"/>
        </w:rPr>
        <w:t>Y en su base PRIMERA la convocatoria de referencia establece:</w:t>
      </w:r>
    </w:p>
    <w:p w:rsidR="00B36412" w:rsidRPr="00EB3E30" w:rsidRDefault="00B36412" w:rsidP="00B36412">
      <w:pPr>
        <w:spacing w:line="240" w:lineRule="auto"/>
        <w:ind w:firstLine="708"/>
        <w:jc w:val="both"/>
        <w:rPr>
          <w:rFonts w:cs="Calibri"/>
          <w:bCs/>
          <w:i/>
          <w:sz w:val="24"/>
          <w:szCs w:val="24"/>
        </w:rPr>
      </w:pPr>
      <w:r w:rsidRPr="00EB3E30">
        <w:rPr>
          <w:rFonts w:cs="Calibri"/>
          <w:bCs/>
          <w:i/>
          <w:sz w:val="24"/>
          <w:szCs w:val="24"/>
        </w:rPr>
        <w:t>“</w:t>
      </w:r>
      <w:r w:rsidRPr="00EB3E30">
        <w:rPr>
          <w:rFonts w:cs="Calibri"/>
          <w:b/>
          <w:bCs/>
          <w:i/>
          <w:sz w:val="24"/>
          <w:szCs w:val="24"/>
        </w:rPr>
        <w:t>PRIMERA.</w:t>
      </w:r>
      <w:r w:rsidRPr="00EB3E30">
        <w:rPr>
          <w:rFonts w:cs="Calibri"/>
          <w:bCs/>
          <w:i/>
          <w:sz w:val="24"/>
          <w:szCs w:val="24"/>
        </w:rPr>
        <w:t xml:space="preserve"> PODRÁN PRESENTAR SUS SOLICITUDES </w:t>
      </w:r>
      <w:r w:rsidRPr="00EB3E30">
        <w:rPr>
          <w:rFonts w:cs="Calibri"/>
          <w:b/>
          <w:bCs/>
          <w:i/>
          <w:sz w:val="24"/>
          <w:szCs w:val="24"/>
        </w:rPr>
        <w:t>UNICAMENTE</w:t>
      </w:r>
      <w:r w:rsidRPr="00EB3E30">
        <w:rPr>
          <w:rFonts w:cs="Calibri"/>
          <w:bCs/>
          <w:i/>
          <w:sz w:val="24"/>
          <w:szCs w:val="24"/>
        </w:rPr>
        <w:t xml:space="preserve"> </w:t>
      </w:r>
      <w:r w:rsidRPr="00EB3E30">
        <w:rPr>
          <w:rFonts w:cs="Calibri"/>
          <w:b/>
          <w:bCs/>
          <w:i/>
          <w:sz w:val="24"/>
          <w:szCs w:val="24"/>
        </w:rPr>
        <w:t>LOS PROPIETARIOS DE UNIDADES DE MOTOR</w:t>
      </w:r>
      <w:r w:rsidRPr="00EB3E30">
        <w:rPr>
          <w:rFonts w:cs="Calibri"/>
          <w:bCs/>
          <w:i/>
          <w:sz w:val="24"/>
          <w:szCs w:val="24"/>
        </w:rPr>
        <w:t xml:space="preserve"> </w:t>
      </w:r>
      <w:r w:rsidR="00EF651B" w:rsidRPr="00EB3E30">
        <w:rPr>
          <w:rFonts w:cs="Calibri"/>
          <w:bCs/>
          <w:i/>
          <w:sz w:val="24"/>
          <w:szCs w:val="24"/>
        </w:rPr>
        <w:t xml:space="preserve">QUE SE ENCUENTREN REGISTRADOS EN EL PROCESO DE IDENTIFICACIÓN DE UNIDADES SUSCEPTIBLES DE REGULARIZARSE Y QUE CUENTEN CON LOS ELEMENTOS DE IDENTIFICACIÓN PROPORCIONADOS POR LA SECRETARÍA DEBIDAMENTE ADHERIDA Y LA EXHIBICIÓN DEL TARJETÓN ENTREGADO POR LA DEPENDENCIA </w:t>
      </w:r>
      <w:r w:rsidR="00EF651B" w:rsidRPr="00EB3E30">
        <w:rPr>
          <w:rFonts w:cs="Calibri"/>
          <w:b/>
          <w:bCs/>
          <w:i/>
          <w:sz w:val="24"/>
          <w:szCs w:val="24"/>
        </w:rPr>
        <w:t>A LOS PROPIETARIOS.</w:t>
      </w:r>
      <w:r w:rsidR="00EF651B" w:rsidRPr="00EB3E30">
        <w:rPr>
          <w:rFonts w:cs="Calibri"/>
          <w:bCs/>
          <w:i/>
          <w:sz w:val="24"/>
          <w:szCs w:val="24"/>
        </w:rPr>
        <w:t>” (ENFASIS AÑADIDO).</w:t>
      </w:r>
    </w:p>
    <w:p w:rsidR="00EF651B" w:rsidRDefault="00EF651B" w:rsidP="00677773">
      <w:pPr>
        <w:spacing w:line="360" w:lineRule="auto"/>
        <w:ind w:firstLine="708"/>
        <w:jc w:val="both"/>
        <w:rPr>
          <w:rFonts w:ascii="Arial" w:hAnsi="Arial" w:cs="Arial"/>
          <w:bCs/>
          <w:sz w:val="26"/>
          <w:szCs w:val="26"/>
        </w:rPr>
      </w:pPr>
      <w:r>
        <w:rPr>
          <w:rFonts w:ascii="Arial" w:hAnsi="Arial" w:cs="Arial"/>
          <w:bCs/>
          <w:sz w:val="26"/>
          <w:szCs w:val="26"/>
        </w:rPr>
        <w:t>Como se advierte de lo anteriormente transcrito, la Secretaría de Vialidad y Transporte</w:t>
      </w:r>
      <w:r w:rsidR="007F308D">
        <w:rPr>
          <w:rFonts w:ascii="Arial" w:hAnsi="Arial" w:cs="Arial"/>
          <w:bCs/>
          <w:sz w:val="26"/>
          <w:szCs w:val="26"/>
        </w:rPr>
        <w:t xml:space="preserve"> por conducto de la Universidad Autónoma Metropolitana practicó estudio de factibilidad a efecto de identificar unidades de motor que prestaban el servicio público de transporte en la modalidad de taxi en la Ciudad de Huajuapan de León, sin contar con autorización oficial; identificando aquellas unidades susceptibles de regularizarse, a las que se les asignó elementos</w:t>
      </w:r>
      <w:r w:rsidR="008D5880">
        <w:rPr>
          <w:rFonts w:ascii="Arial" w:hAnsi="Arial" w:cs="Arial"/>
          <w:bCs/>
          <w:sz w:val="26"/>
          <w:szCs w:val="26"/>
        </w:rPr>
        <w:t xml:space="preserve"> de </w:t>
      </w:r>
      <w:r w:rsidR="007F308D">
        <w:rPr>
          <w:rFonts w:ascii="Arial" w:hAnsi="Arial" w:cs="Arial"/>
          <w:bCs/>
          <w:sz w:val="26"/>
          <w:szCs w:val="26"/>
        </w:rPr>
        <w:t>identifica</w:t>
      </w:r>
      <w:r w:rsidR="008D5880">
        <w:rPr>
          <w:rFonts w:ascii="Arial" w:hAnsi="Arial" w:cs="Arial"/>
          <w:bCs/>
          <w:sz w:val="26"/>
          <w:szCs w:val="26"/>
        </w:rPr>
        <w:t>ción</w:t>
      </w:r>
      <w:r w:rsidR="007F308D">
        <w:rPr>
          <w:rFonts w:ascii="Arial" w:hAnsi="Arial" w:cs="Arial"/>
          <w:bCs/>
          <w:sz w:val="26"/>
          <w:szCs w:val="26"/>
        </w:rPr>
        <w:t xml:space="preserve"> </w:t>
      </w:r>
      <w:r w:rsidR="005A5819">
        <w:rPr>
          <w:rFonts w:ascii="Arial" w:hAnsi="Arial" w:cs="Arial"/>
          <w:bCs/>
          <w:sz w:val="26"/>
          <w:szCs w:val="26"/>
        </w:rPr>
        <w:t>oficiales</w:t>
      </w:r>
      <w:r w:rsidR="008D5880">
        <w:rPr>
          <w:rFonts w:ascii="Arial" w:hAnsi="Arial" w:cs="Arial"/>
          <w:bCs/>
          <w:sz w:val="26"/>
          <w:szCs w:val="26"/>
        </w:rPr>
        <w:t>,</w:t>
      </w:r>
      <w:r w:rsidR="005A5819">
        <w:rPr>
          <w:rFonts w:ascii="Arial" w:hAnsi="Arial" w:cs="Arial"/>
          <w:bCs/>
          <w:sz w:val="26"/>
          <w:szCs w:val="26"/>
        </w:rPr>
        <w:t xml:space="preserve"> consistentes en tarjetón y calcomanía</w:t>
      </w:r>
      <w:r w:rsidR="008D5880">
        <w:rPr>
          <w:rFonts w:ascii="Arial" w:hAnsi="Arial" w:cs="Arial"/>
          <w:bCs/>
          <w:sz w:val="26"/>
          <w:szCs w:val="26"/>
        </w:rPr>
        <w:t>, convocando a los interesados a participar en el procedimiento de regularización</w:t>
      </w:r>
      <w:r w:rsidR="00AC09E1">
        <w:rPr>
          <w:rFonts w:ascii="Arial" w:hAnsi="Arial" w:cs="Arial"/>
          <w:bCs/>
          <w:sz w:val="26"/>
          <w:szCs w:val="26"/>
        </w:rPr>
        <w:t xml:space="preserve"> para la obtención de los títulos de concesión.</w:t>
      </w:r>
    </w:p>
    <w:p w:rsidR="00DB6B6C" w:rsidRDefault="00AC09E1" w:rsidP="00677773">
      <w:pPr>
        <w:spacing w:line="360" w:lineRule="auto"/>
        <w:ind w:firstLine="708"/>
        <w:jc w:val="both"/>
        <w:rPr>
          <w:rFonts w:ascii="Arial" w:hAnsi="Arial" w:cs="Arial"/>
          <w:bCs/>
          <w:sz w:val="26"/>
          <w:szCs w:val="26"/>
        </w:rPr>
      </w:pPr>
      <w:r>
        <w:rPr>
          <w:rFonts w:ascii="Arial" w:hAnsi="Arial" w:cs="Arial"/>
          <w:bCs/>
          <w:sz w:val="26"/>
          <w:szCs w:val="26"/>
        </w:rPr>
        <w:t>De donde en forma clara resulta, que la referida convocatoria fue dirigida a propietarios de unidades de</w:t>
      </w:r>
      <w:r w:rsidR="00DB6B6C">
        <w:rPr>
          <w:rFonts w:ascii="Arial" w:hAnsi="Arial" w:cs="Arial"/>
          <w:bCs/>
          <w:sz w:val="26"/>
          <w:szCs w:val="26"/>
        </w:rPr>
        <w:t xml:space="preserve"> motor previamente identificados, cuyos vehículos eran susceptibles a regularizarse.</w:t>
      </w:r>
    </w:p>
    <w:p w:rsidR="00AC09E1" w:rsidRDefault="00AC09E1" w:rsidP="00677773">
      <w:pPr>
        <w:spacing w:line="360" w:lineRule="auto"/>
        <w:ind w:firstLine="708"/>
        <w:jc w:val="both"/>
        <w:rPr>
          <w:rFonts w:ascii="Arial" w:hAnsi="Arial" w:cs="Arial"/>
          <w:bCs/>
          <w:sz w:val="26"/>
          <w:szCs w:val="26"/>
        </w:rPr>
      </w:pPr>
      <w:r>
        <w:rPr>
          <w:rFonts w:ascii="Arial" w:hAnsi="Arial" w:cs="Arial"/>
          <w:bCs/>
          <w:sz w:val="26"/>
          <w:szCs w:val="26"/>
        </w:rPr>
        <w:t xml:space="preserve"> </w:t>
      </w:r>
      <w:r w:rsidR="00200842">
        <w:rPr>
          <w:rFonts w:ascii="Arial" w:hAnsi="Arial" w:cs="Arial"/>
          <w:bCs/>
          <w:sz w:val="26"/>
          <w:szCs w:val="26"/>
        </w:rPr>
        <w:t xml:space="preserve">Ahora bien, </w:t>
      </w:r>
      <w:r w:rsidR="00DB6B6C">
        <w:rPr>
          <w:rFonts w:ascii="Arial" w:hAnsi="Arial" w:cs="Arial"/>
          <w:bCs/>
          <w:sz w:val="26"/>
          <w:szCs w:val="26"/>
        </w:rPr>
        <w:t xml:space="preserve">la actora </w:t>
      </w:r>
      <w:r w:rsidR="00200842">
        <w:rPr>
          <w:rFonts w:ascii="Arial" w:hAnsi="Arial" w:cs="Arial"/>
          <w:bCs/>
          <w:sz w:val="26"/>
          <w:szCs w:val="26"/>
        </w:rPr>
        <w:t xml:space="preserve">señaló </w:t>
      </w:r>
      <w:r w:rsidR="00DB6B6C">
        <w:rPr>
          <w:rFonts w:ascii="Arial" w:hAnsi="Arial" w:cs="Arial"/>
          <w:bCs/>
          <w:sz w:val="26"/>
          <w:szCs w:val="26"/>
        </w:rPr>
        <w:t>en su escrito inicial de demanda, que se dedica a la actividad de chofer de taxi en la población</w:t>
      </w:r>
      <w:r w:rsidR="00200842">
        <w:rPr>
          <w:rFonts w:ascii="Arial" w:hAnsi="Arial" w:cs="Arial"/>
          <w:bCs/>
          <w:sz w:val="26"/>
          <w:szCs w:val="26"/>
        </w:rPr>
        <w:t xml:space="preserve"> de Huajupan de León,</w:t>
      </w:r>
      <w:r w:rsidR="00DB6B6C">
        <w:rPr>
          <w:rFonts w:ascii="Arial" w:hAnsi="Arial" w:cs="Arial"/>
          <w:bCs/>
          <w:sz w:val="26"/>
          <w:szCs w:val="26"/>
        </w:rPr>
        <w:t xml:space="preserve"> que ha prestado el servicio de manera </w:t>
      </w:r>
      <w:r w:rsidR="00DB6B6C">
        <w:rPr>
          <w:rFonts w:ascii="Arial" w:hAnsi="Arial" w:cs="Arial"/>
          <w:bCs/>
          <w:sz w:val="26"/>
          <w:szCs w:val="26"/>
        </w:rPr>
        <w:lastRenderedPageBreak/>
        <w:t xml:space="preserve">ininterrumpida en los sitios de taxis tales como José López Alavés y Heroico 23 veintitrés de julio A.C. desde hace aproximadamente 4 cuatro años, sin que exista constancia en autos de que </w:t>
      </w:r>
      <w:r w:rsidR="00E56048">
        <w:rPr>
          <w:rFonts w:ascii="Arial" w:hAnsi="Arial" w:cs="Arial"/>
          <w:bCs/>
          <w:sz w:val="26"/>
          <w:szCs w:val="26"/>
        </w:rPr>
        <w:t>**********</w:t>
      </w:r>
      <w:r w:rsidR="00200842">
        <w:rPr>
          <w:rFonts w:ascii="Arial" w:hAnsi="Arial" w:cs="Arial"/>
          <w:bCs/>
          <w:sz w:val="26"/>
          <w:szCs w:val="26"/>
        </w:rPr>
        <w:t xml:space="preserve">, sea propietaria de una unidad de motor de las susceptibles de regularizarse, al </w:t>
      </w:r>
      <w:r w:rsidR="00200842" w:rsidRPr="00200842">
        <w:rPr>
          <w:rFonts w:ascii="Arial" w:hAnsi="Arial" w:cs="Arial"/>
          <w:b/>
          <w:bCs/>
          <w:sz w:val="26"/>
          <w:szCs w:val="26"/>
        </w:rPr>
        <w:t>DEDICARSE ÚNICAMENTE</w:t>
      </w:r>
      <w:r w:rsidR="00200842">
        <w:rPr>
          <w:rFonts w:ascii="Arial" w:hAnsi="Arial" w:cs="Arial"/>
          <w:bCs/>
          <w:sz w:val="26"/>
          <w:szCs w:val="26"/>
        </w:rPr>
        <w:t xml:space="preserve"> </w:t>
      </w:r>
      <w:r w:rsidR="00200842">
        <w:rPr>
          <w:rFonts w:ascii="Arial" w:hAnsi="Arial" w:cs="Arial"/>
          <w:b/>
          <w:bCs/>
          <w:sz w:val="26"/>
          <w:szCs w:val="26"/>
        </w:rPr>
        <w:t xml:space="preserve">A LA ACTIVIDAD DE CHOFER, confesión expresa que hace prueba plena en su contra; </w:t>
      </w:r>
      <w:r w:rsidR="00200842">
        <w:rPr>
          <w:rFonts w:ascii="Arial" w:hAnsi="Arial" w:cs="Arial"/>
          <w:bCs/>
          <w:sz w:val="26"/>
          <w:szCs w:val="26"/>
        </w:rPr>
        <w:t xml:space="preserve">por tanto no se acredita en autos la existencia de violación al principio de equidad social como lo refiere la primera instancia, dado que en la convocatoria cuya nulidad se solicita, se expusieron los motivos que dieron origen a la misma, así como los requisitos para que los interesados estuvieran en condiciones de poder intervenir en el procedimiento para la regularización de unidades de motor, sin que la actora del juicio natural cumpliera con los mismos. </w:t>
      </w:r>
    </w:p>
    <w:p w:rsidR="00356B16" w:rsidRDefault="005814D4" w:rsidP="00677773">
      <w:pPr>
        <w:spacing w:line="360" w:lineRule="auto"/>
        <w:ind w:firstLine="708"/>
        <w:jc w:val="both"/>
        <w:rPr>
          <w:rFonts w:ascii="Arial" w:hAnsi="Arial" w:cs="Arial"/>
          <w:bCs/>
          <w:sz w:val="26"/>
          <w:szCs w:val="26"/>
        </w:rPr>
      </w:pPr>
      <w:r>
        <w:rPr>
          <w:rFonts w:ascii="Arial" w:hAnsi="Arial" w:cs="Arial"/>
          <w:bCs/>
          <w:sz w:val="26"/>
          <w:szCs w:val="26"/>
        </w:rPr>
        <w:t>Por lo que respecta a la</w:t>
      </w:r>
      <w:r w:rsidR="00356B16">
        <w:rPr>
          <w:rFonts w:ascii="Arial" w:hAnsi="Arial" w:cs="Arial"/>
          <w:bCs/>
          <w:sz w:val="26"/>
          <w:szCs w:val="26"/>
        </w:rPr>
        <w:t xml:space="preserve"> falsedad en la publicación </w:t>
      </w:r>
      <w:r>
        <w:rPr>
          <w:rFonts w:ascii="Arial" w:hAnsi="Arial" w:cs="Arial"/>
          <w:bCs/>
          <w:sz w:val="26"/>
          <w:szCs w:val="26"/>
        </w:rPr>
        <w:t>de fecha</w:t>
      </w:r>
      <w:r w:rsidR="00356B16">
        <w:rPr>
          <w:rFonts w:ascii="Arial" w:hAnsi="Arial" w:cs="Arial"/>
          <w:bCs/>
          <w:sz w:val="26"/>
          <w:szCs w:val="26"/>
        </w:rPr>
        <w:t xml:space="preserve"> confusa</w:t>
      </w:r>
      <w:r>
        <w:rPr>
          <w:rFonts w:ascii="Arial" w:hAnsi="Arial" w:cs="Arial"/>
          <w:bCs/>
          <w:sz w:val="26"/>
          <w:szCs w:val="26"/>
        </w:rPr>
        <w:t>, asiste raz</w:t>
      </w:r>
      <w:r w:rsidR="00356B16">
        <w:rPr>
          <w:rFonts w:ascii="Arial" w:hAnsi="Arial" w:cs="Arial"/>
          <w:bCs/>
          <w:sz w:val="26"/>
          <w:szCs w:val="26"/>
        </w:rPr>
        <w:t>ón al recurrente, debido que</w:t>
      </w:r>
      <w:r w:rsidR="00356B16" w:rsidRPr="007D3C49">
        <w:rPr>
          <w:rFonts w:ascii="Arial" w:hAnsi="Arial" w:cs="Arial"/>
          <w:bCs/>
          <w:sz w:val="26"/>
          <w:szCs w:val="26"/>
        </w:rPr>
        <w:t xml:space="preserve"> en la Sexta Sección del Periódico Oficial del Gobierno del Estado de 27 veintisiete de abril de 2013 dos mil trece, fue publicada la convocatoria para participar en el procedimiento administrativo para la obtención de títulos de concesión para la prestación del servicio público de transporte de pasajeros, en la modalidad de taxi, en la Ciudad de Huajuapan de León, Oaxaca, de 22 veintidós de abril de 2013 dos mil trece; en cuya base tercera, textualmente señala: </w:t>
      </w:r>
      <w:r w:rsidR="00356B16" w:rsidRPr="007D3C49">
        <w:rPr>
          <w:rFonts w:ascii="Arial" w:hAnsi="Arial" w:cs="Arial"/>
          <w:bCs/>
          <w:i/>
          <w:sz w:val="26"/>
          <w:szCs w:val="26"/>
        </w:rPr>
        <w:t xml:space="preserve">“La documentación deberá presentarse en el Palacio Municipal de Huajuapan de León, en un horario de 9:00 a 15:00 horas, el día 29 de abril de 2013”, </w:t>
      </w:r>
      <w:r w:rsidR="00356B16" w:rsidRPr="007D3C49">
        <w:rPr>
          <w:rFonts w:ascii="Arial" w:hAnsi="Arial" w:cs="Arial"/>
          <w:bCs/>
          <w:sz w:val="26"/>
          <w:szCs w:val="26"/>
        </w:rPr>
        <w:t>de donde se advierte que no existe ambigüedad en la fecha de la presentación de los documentos</w:t>
      </w:r>
      <w:r w:rsidR="00356B16">
        <w:rPr>
          <w:rFonts w:ascii="Arial" w:hAnsi="Arial" w:cs="Arial"/>
          <w:bCs/>
          <w:sz w:val="26"/>
          <w:szCs w:val="26"/>
        </w:rPr>
        <w:t xml:space="preserve">, </w:t>
      </w:r>
    </w:p>
    <w:p w:rsidR="00F81BDD" w:rsidRDefault="00F81BDD" w:rsidP="00F81BDD">
      <w:pPr>
        <w:tabs>
          <w:tab w:val="left" w:pos="2370"/>
        </w:tabs>
        <w:spacing w:before="100" w:beforeAutospacing="1" w:after="0" w:line="360" w:lineRule="auto"/>
        <w:ind w:firstLine="709"/>
        <w:jc w:val="both"/>
        <w:rPr>
          <w:rFonts w:ascii="Arial" w:eastAsia="Arial Unicode MS" w:hAnsi="Arial" w:cs="Arial"/>
          <w:color w:val="000000"/>
          <w:sz w:val="26"/>
          <w:szCs w:val="26"/>
        </w:rPr>
      </w:pPr>
      <w:r>
        <w:rPr>
          <w:rFonts w:ascii="Arial" w:eastAsia="Arial Unicode MS" w:hAnsi="Arial" w:cs="Arial"/>
          <w:color w:val="000000"/>
          <w:sz w:val="26"/>
          <w:szCs w:val="26"/>
        </w:rPr>
        <w:t xml:space="preserve">No es obstáculo a lo anterior, el hecho de que en uno de los periódicos de mayor circulación del Estado, como lo es “El Imparcial”, en la convocatoria publicada se haya señalado como fecha de presentación de la documentación “el martes 29 de abril de 2013” y que no se hayan impreso las firmas de los autores de dicho acto, lo que no conlleva a su ilegalidad, pues en la publicación contenida en el Periódico Oficial del Estado, como ya se asentó, sí aparece la fecha y el referido signo de autoría, sin que exista precepto legal alguno que obligue a la reproducción de dicho acto administrativo en su literalidad de un medio a otro, pues la finalidad de la publicidad es el </w:t>
      </w:r>
      <w:r>
        <w:rPr>
          <w:rFonts w:ascii="Arial" w:eastAsia="Arial Unicode MS" w:hAnsi="Arial" w:cs="Arial"/>
          <w:color w:val="000000"/>
          <w:sz w:val="26"/>
          <w:szCs w:val="26"/>
        </w:rPr>
        <w:lastRenderedPageBreak/>
        <w:t>conocimiento de los administrados sobre la existencia del acto de autoridad.</w:t>
      </w:r>
    </w:p>
    <w:p w:rsidR="00F81BDD" w:rsidRDefault="00F81BDD" w:rsidP="00F81BDD">
      <w:pPr>
        <w:tabs>
          <w:tab w:val="left" w:pos="2370"/>
        </w:tabs>
        <w:spacing w:before="100" w:beforeAutospacing="1" w:line="360" w:lineRule="auto"/>
        <w:ind w:firstLine="709"/>
        <w:jc w:val="both"/>
        <w:rPr>
          <w:rFonts w:ascii="Arial" w:eastAsia="Arial Unicode MS" w:hAnsi="Arial" w:cs="Arial"/>
          <w:color w:val="000000"/>
          <w:sz w:val="26"/>
          <w:szCs w:val="26"/>
        </w:rPr>
      </w:pPr>
      <w:r>
        <w:rPr>
          <w:rFonts w:ascii="Arial" w:eastAsia="Arial Unicode MS" w:hAnsi="Arial" w:cs="Arial"/>
          <w:color w:val="000000"/>
          <w:sz w:val="26"/>
          <w:szCs w:val="26"/>
        </w:rPr>
        <w:t>Además, el artículo 2, del Reglamento del Periódico Oficial del Gobierno del Estado, establece que éste es el órgano del Gobierno del Estado de carácter permanente e interés público que tiene como función publicar en el territorio de la entidad las leyes, decretos, reglamentos, acuerdos, circulares, órdenes y demás actos expedidos por los poderes e instituciones del Estado y de los Ayuntamientos, a fin de que éstos sean aplicados y observados debidamente; teniendo entonces que la naturaleza del Periódico Oficial es la de ser un órgano de difusión de los actos que la propia ley señala y, en razón de su finalidad de dar publicidad a los mismos; así, se garantiza el conocimiento de su contenido y alcance, pues deriva de fuentes de información que la ley garantiza le deben ser proporcionados por otros órganos de gobierno.</w:t>
      </w:r>
    </w:p>
    <w:p w:rsidR="0052495F" w:rsidRDefault="00F81BDD" w:rsidP="00F81BDD">
      <w:pPr>
        <w:spacing w:line="360" w:lineRule="auto"/>
        <w:ind w:firstLine="708"/>
        <w:jc w:val="both"/>
        <w:rPr>
          <w:rFonts w:ascii="Arial" w:hAnsi="Arial" w:cs="Arial"/>
          <w:bCs/>
          <w:sz w:val="26"/>
          <w:szCs w:val="26"/>
        </w:rPr>
      </w:pPr>
      <w:r>
        <w:rPr>
          <w:rFonts w:ascii="Arial" w:eastAsia="Arial Unicode MS" w:hAnsi="Arial" w:cs="Arial"/>
          <w:color w:val="000000"/>
          <w:sz w:val="26"/>
          <w:szCs w:val="26"/>
        </w:rPr>
        <w:t xml:space="preserve">Por tanto, el conocimiento de la generalidad que garantiza el artículo 29 BIS de la Ley de Tránsito del Estado, se satisface con la publicación en el Periódico Oficial del Estado, en el que sí se consigna la fecha de entrega de documentación y la firma de autoría en la convocatoria de mérito, por parte de los funcionarios que intervinieron en su emisión y que quedaron vinculados con los efectos jurídicos inherentes a dicho acto de autoridad; </w:t>
      </w:r>
      <w:r w:rsidR="0052495F">
        <w:rPr>
          <w:rFonts w:ascii="Arial" w:hAnsi="Arial" w:cs="Arial"/>
          <w:bCs/>
          <w:sz w:val="26"/>
          <w:szCs w:val="26"/>
        </w:rPr>
        <w:t>por tanto cumple la convocatoria con los requisitos establecidos por el artículo 7, de la Ley de Justicia Administrativa para el Estado.</w:t>
      </w:r>
    </w:p>
    <w:p w:rsidR="005F5150" w:rsidRDefault="005F5150" w:rsidP="005F5150">
      <w:pPr>
        <w:spacing w:line="360" w:lineRule="auto"/>
        <w:ind w:firstLine="708"/>
        <w:jc w:val="both"/>
        <w:rPr>
          <w:rFonts w:ascii="Arial" w:hAnsi="Arial" w:cs="Arial"/>
          <w:bCs/>
          <w:sz w:val="26"/>
          <w:szCs w:val="26"/>
        </w:rPr>
      </w:pPr>
      <w:r w:rsidRPr="0051459E">
        <w:rPr>
          <w:rFonts w:ascii="Arial" w:hAnsi="Arial" w:cs="Arial"/>
          <w:bCs/>
          <w:sz w:val="26"/>
          <w:szCs w:val="26"/>
        </w:rPr>
        <w:t>Así, de los anteriores antecedentes</w:t>
      </w:r>
      <w:r w:rsidR="00F81BDD">
        <w:rPr>
          <w:rFonts w:ascii="Arial" w:hAnsi="Arial" w:cs="Arial"/>
          <w:bCs/>
          <w:sz w:val="26"/>
          <w:szCs w:val="26"/>
        </w:rPr>
        <w:t xml:space="preserve"> y a efecto de no dejar en estado de indefensión a la actora del juicio de nulidad</w:t>
      </w:r>
      <w:r w:rsidRPr="0051459E">
        <w:rPr>
          <w:rFonts w:ascii="Arial" w:hAnsi="Arial" w:cs="Arial"/>
          <w:bCs/>
          <w:sz w:val="26"/>
          <w:szCs w:val="26"/>
        </w:rPr>
        <w:t>, se hace patente que para analizar la convocatoria impugnada es necesario estudiar primero la norma</w:t>
      </w:r>
      <w:r>
        <w:rPr>
          <w:rFonts w:ascii="Arial" w:hAnsi="Arial" w:cs="Arial"/>
          <w:bCs/>
          <w:sz w:val="26"/>
          <w:szCs w:val="26"/>
        </w:rPr>
        <w:t>tividad de donde proviene su origen.</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Por lo que, el artículo 20</w:t>
      </w:r>
      <w:r>
        <w:rPr>
          <w:rStyle w:val="Refdenotaalpie"/>
          <w:rFonts w:ascii="Arial" w:hAnsi="Arial" w:cs="Arial"/>
          <w:bCs/>
          <w:sz w:val="26"/>
          <w:szCs w:val="26"/>
        </w:rPr>
        <w:footnoteReference w:id="1"/>
      </w:r>
      <w:r>
        <w:rPr>
          <w:rFonts w:ascii="Arial" w:hAnsi="Arial" w:cs="Arial"/>
          <w:bCs/>
          <w:sz w:val="26"/>
          <w:szCs w:val="26"/>
        </w:rPr>
        <w:t xml:space="preserve">, párrafo </w:t>
      </w:r>
      <w:r w:rsidR="006F0D75">
        <w:rPr>
          <w:rFonts w:ascii="Arial" w:hAnsi="Arial" w:cs="Arial"/>
          <w:bCs/>
          <w:sz w:val="26"/>
          <w:szCs w:val="26"/>
        </w:rPr>
        <w:t>décimo primero</w:t>
      </w:r>
      <w:r>
        <w:rPr>
          <w:rFonts w:ascii="Arial" w:hAnsi="Arial" w:cs="Arial"/>
          <w:bCs/>
          <w:sz w:val="26"/>
          <w:szCs w:val="26"/>
        </w:rPr>
        <w:t>, de la Constitución Política del Estado Libre y Soberano del Estado de Oaxaca, establece que en casos de interés general</w:t>
      </w:r>
      <w:r w:rsidR="006F0D75">
        <w:rPr>
          <w:rFonts w:ascii="Arial" w:hAnsi="Arial" w:cs="Arial"/>
          <w:bCs/>
          <w:sz w:val="26"/>
          <w:szCs w:val="26"/>
        </w:rPr>
        <w:t>,</w:t>
      </w:r>
      <w:r>
        <w:rPr>
          <w:rFonts w:ascii="Arial" w:hAnsi="Arial" w:cs="Arial"/>
          <w:bCs/>
          <w:sz w:val="26"/>
          <w:szCs w:val="26"/>
        </w:rPr>
        <w:t xml:space="preserve"> el Estado, con </w:t>
      </w:r>
      <w:r>
        <w:rPr>
          <w:rFonts w:ascii="Arial" w:hAnsi="Arial" w:cs="Arial"/>
          <w:bCs/>
          <w:sz w:val="26"/>
          <w:szCs w:val="26"/>
        </w:rPr>
        <w:lastRenderedPageBreak/>
        <w:t>sujeción a las leyes, podrá concesionar la prestación de servicios públicos, salvo las excepciones que las mismas prevengan y serán las propias leyes quienes fijarán las modalidades y condiciones que aseguren la eficacia de la prestación de dichos servicios.</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Numeral del que deriva la facultad que tiene el Estado para delegar en los particulares la prestación de determinados servicios públicos; de esta forma</w:t>
      </w:r>
      <w:r w:rsidR="006F0D75">
        <w:rPr>
          <w:rFonts w:ascii="Arial" w:hAnsi="Arial" w:cs="Arial"/>
          <w:bCs/>
          <w:sz w:val="26"/>
          <w:szCs w:val="26"/>
        </w:rPr>
        <w:t>,</w:t>
      </w:r>
      <w:r>
        <w:rPr>
          <w:rFonts w:ascii="Arial" w:hAnsi="Arial" w:cs="Arial"/>
          <w:bCs/>
          <w:sz w:val="26"/>
          <w:szCs w:val="26"/>
        </w:rPr>
        <w:t xml:space="preserve"> el particular podrá realizar una actividad que originalmente le corresponde al Estado y que buscará satisfacer necesidades generales, como en el caso lo es el servicio público de transporte de pasajeros.</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Así, la Ley de Tránsito Reformada para el Estado, en su artículo 1</w:t>
      </w:r>
      <w:r>
        <w:rPr>
          <w:rStyle w:val="Refdenotaalpie"/>
          <w:rFonts w:ascii="Arial" w:hAnsi="Arial" w:cs="Arial"/>
          <w:bCs/>
          <w:sz w:val="26"/>
          <w:szCs w:val="26"/>
        </w:rPr>
        <w:footnoteReference w:id="2"/>
      </w:r>
      <w:r>
        <w:rPr>
          <w:rFonts w:ascii="Arial" w:hAnsi="Arial" w:cs="Arial"/>
          <w:bCs/>
          <w:sz w:val="26"/>
          <w:szCs w:val="26"/>
        </w:rPr>
        <w:t>, prevé que dicha ley tiene como objeto el establecer las bases y requisitos a que se sujetarán la circulación de las personas, el manejo y el tránsito de vehículos y semovientes y los servicios públicos de transporte de pasajeros y de carga en las vías públicas del Estado, considerados como actividades de interés público.</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Normatividad que de igual forma en su artículo 7, fracciones III y IV, dispone que compete al Gobernador del Estado, establecer los requisitos y condiciones a los cuales se sujetarán las actividades relacionadas con la circulación de las personas, el manejo y el tránsito de vehículos y semovientes y los servicios de transporte de pasajeros y de carga, así como para otorgar concesiones y permisos para el establecimiento y explotación de servicios de transporte de pasajeros y de carga, y en consecuencia, para suspenderlos o revocarlos.</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Artículo que alude al mecanismo que el Estado emplea para transferir a los particulares dicha actividad de prestación del servicio público de transporte de pasajeros, la cual es la concesión administrativa, que consiste en un acto jurídico por virtud del que se otorga al particular (persona física o moral), el derecho para establecer y explotar un servicio público.</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lastRenderedPageBreak/>
        <w:t>En este contexto, resulta necesario apuntar</w:t>
      </w:r>
      <w:r w:rsidR="00F31847">
        <w:rPr>
          <w:rFonts w:ascii="Arial" w:hAnsi="Arial" w:cs="Arial"/>
          <w:bCs/>
          <w:sz w:val="26"/>
          <w:szCs w:val="26"/>
        </w:rPr>
        <w:t xml:space="preserve"> </w:t>
      </w:r>
      <w:r>
        <w:rPr>
          <w:rFonts w:ascii="Arial" w:hAnsi="Arial" w:cs="Arial"/>
          <w:bCs/>
          <w:sz w:val="26"/>
          <w:szCs w:val="26"/>
        </w:rPr>
        <w:t>que a través de la concesión se otorga a un particular facultades originalmente administrativas, de allí que la presencia del Estado en su ejecución, se manifieste por medio de la normatividad jurídica que regula su operación, pues se trata de bienes y actividades cuyo fin es satisfacer necesidades que pertenecen en principio a la organización estatal, y que sólo de manera temporal se llegan a conceder a los particulares.</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Motivo por el que, en el caso del artículo 7, de la Ley de Tránsito Reformada, el Gobernador del Estado, titular del Poder Ejecutivo, será el competente para establecer los requisitos y condiciones a los que se sujetarán las actividades relacionadas con la prestación del servicio público de transporte y el otorgamiento de dichas concesiones y permisos.</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Lo que se robustece con lo establecido por el artículo 7, BIS, fracción I, y IV, de dicha ley, respecto a las atribuciones y competencias que tiene el Secretario de</w:t>
      </w:r>
      <w:r w:rsidR="00484C1D">
        <w:rPr>
          <w:rFonts w:ascii="Arial" w:hAnsi="Arial" w:cs="Arial"/>
          <w:bCs/>
          <w:sz w:val="26"/>
          <w:szCs w:val="26"/>
        </w:rPr>
        <w:t xml:space="preserve"> Vialidad y</w:t>
      </w:r>
      <w:r>
        <w:rPr>
          <w:rFonts w:ascii="Arial" w:hAnsi="Arial" w:cs="Arial"/>
          <w:bCs/>
          <w:sz w:val="26"/>
          <w:szCs w:val="26"/>
        </w:rPr>
        <w:t xml:space="preserve"> Transporte, autoridad de Tránsito en el Estado, respecto a cumplir y hacer cumplir las disposiciones de la Ley de Tránsito y su reglamento, así como el instruir los procedimientos administrativos para otorgar, supervisar, suspender o revocar las concesiones y permisos, hasta dejarlos en estado de resolución, sometiéndolos a la aprobación del Gobernador del Estado para su resolución.</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 xml:space="preserve">Y, el acuerdo publicado en el Extra del Periódico Oficial del Estado, el 4 cuatro de septiembre de 2012 dos mil doce, por el que se delegan facultades al Secretario de Vialidad </w:t>
      </w:r>
      <w:r w:rsidR="00484C1D">
        <w:rPr>
          <w:rFonts w:ascii="Arial" w:hAnsi="Arial" w:cs="Arial"/>
          <w:bCs/>
          <w:sz w:val="26"/>
          <w:szCs w:val="26"/>
        </w:rPr>
        <w:t>y</w:t>
      </w:r>
      <w:r>
        <w:rPr>
          <w:rFonts w:ascii="Arial" w:hAnsi="Arial" w:cs="Arial"/>
          <w:bCs/>
          <w:sz w:val="26"/>
          <w:szCs w:val="26"/>
        </w:rPr>
        <w:t xml:space="preserve"> Transporte del Poder Ejecutivo para ejecutar las disposiciones señaladas en el artículo 95 BIS, del Reglamento de la Ley de Tránsito Reformada del Estado; delegación que tal y como lo acota el acuerdo de mérito se</w:t>
      </w:r>
      <w:r w:rsidR="00544734">
        <w:rPr>
          <w:rFonts w:ascii="Arial" w:hAnsi="Arial" w:cs="Arial"/>
          <w:bCs/>
          <w:sz w:val="26"/>
          <w:szCs w:val="26"/>
        </w:rPr>
        <w:t>rá</w:t>
      </w:r>
      <w:r>
        <w:rPr>
          <w:rFonts w:ascii="Arial" w:hAnsi="Arial" w:cs="Arial"/>
          <w:bCs/>
          <w:sz w:val="26"/>
          <w:szCs w:val="26"/>
        </w:rPr>
        <w:t xml:space="preserve"> concedida de forma limitativa, mismas que cesarán cuando lo determine el Titular del Ejecutivo.</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 xml:space="preserve">Por lo anterior, es que el Estado cuando otorga una concesión de los servicios públicos, actúa no en vista del interés del concesionario sino del interés colectivo, por ello su intervención es una garantía de que la explotación o prestación se lleven a cabo en las mejores </w:t>
      </w:r>
      <w:r>
        <w:rPr>
          <w:rFonts w:ascii="Arial" w:hAnsi="Arial" w:cs="Arial"/>
          <w:bCs/>
          <w:sz w:val="26"/>
          <w:szCs w:val="26"/>
        </w:rPr>
        <w:lastRenderedPageBreak/>
        <w:t>condiciones de eficacia y constituye una responsabilidad para él, de que aquella concesión se otorgó de forma adecuada.</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Ahora bien, el artículo 18, de la Ley de Tránsito, prevé que el establecimiento y la explotación de los servicios públicos de transporte de pasajeros o de carga, así como sus servicios conexos, solamente podrán efectuarse mediante concesión o permiso que otorgue el Gobernador del Estado, previo procedimiento administrativo seguido ante la Secretaría de Vialidad y Transporte.</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 xml:space="preserve">Por su parte, el artículo 29 BIS, de dicho ordenamiento, establece que cuando haya </w:t>
      </w:r>
      <w:r w:rsidRPr="00280BE9">
        <w:rPr>
          <w:rFonts w:ascii="Arial" w:hAnsi="Arial" w:cs="Arial"/>
          <w:b/>
          <w:bCs/>
          <w:sz w:val="26"/>
          <w:szCs w:val="26"/>
        </w:rPr>
        <w:t>necesidad</w:t>
      </w:r>
      <w:r>
        <w:rPr>
          <w:rFonts w:ascii="Arial" w:hAnsi="Arial" w:cs="Arial"/>
          <w:bCs/>
          <w:sz w:val="26"/>
          <w:szCs w:val="26"/>
        </w:rPr>
        <w:t xml:space="preserve"> de aumentar los servicios de transporte de pasaje o carga, la Secretaria de</w:t>
      </w:r>
      <w:r w:rsidR="00484C1D">
        <w:rPr>
          <w:rFonts w:ascii="Arial" w:hAnsi="Arial" w:cs="Arial"/>
          <w:bCs/>
          <w:sz w:val="26"/>
          <w:szCs w:val="26"/>
        </w:rPr>
        <w:t xml:space="preserve"> Vialidad y</w:t>
      </w:r>
      <w:r>
        <w:rPr>
          <w:rFonts w:ascii="Arial" w:hAnsi="Arial" w:cs="Arial"/>
          <w:bCs/>
          <w:sz w:val="26"/>
          <w:szCs w:val="26"/>
        </w:rPr>
        <w:t xml:space="preserve"> Transporte, convocará para obtener tales concesiones por medio del Periódico Oficial, por el Periódico de mayor circulación local o estatal y avisos que se coloquen en lugares públicos de la localidad respectiva.</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Disposiciones de las que se colige q</w:t>
      </w:r>
      <w:r w:rsidR="00484C1D">
        <w:rPr>
          <w:rFonts w:ascii="Arial" w:hAnsi="Arial" w:cs="Arial"/>
          <w:bCs/>
          <w:sz w:val="26"/>
          <w:szCs w:val="26"/>
        </w:rPr>
        <w:t>ue para que un particular pueda</w:t>
      </w:r>
      <w:r>
        <w:rPr>
          <w:rFonts w:ascii="Arial" w:hAnsi="Arial" w:cs="Arial"/>
          <w:bCs/>
          <w:sz w:val="26"/>
          <w:szCs w:val="26"/>
        </w:rPr>
        <w:t xml:space="preserve"> prestar un servicio público, como en el caso de transporte de pasajeros, es necesario medie concesión o permiso que otorgue el Titular del Ejecutivo del Estado; concesión que se podrá obtener a través de una convocatoria, cuando exista la necesidad de aumentar los servicios de transporte de pasaje o carga.</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sidRPr="009B43D9">
        <w:rPr>
          <w:rStyle w:val="b"/>
          <w:rFonts w:ascii="Arial" w:eastAsia="Arial Unicode MS" w:hAnsi="Arial" w:cs="Arial"/>
          <w:color w:val="000000"/>
          <w:sz w:val="26"/>
          <w:szCs w:val="26"/>
        </w:rPr>
        <w:t>De ahí que, según lo estipulado por el referido artículo 29 BIS, de la Ley de Tránsito Reformada para el Estado, se podrá convocar de forma necesaria a particulares para la obtención de un título de concesión para la prestación del servicio público de transporte de pasajeros.</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 xml:space="preserve">Ahora, la convocatoria impugnada fue para efectos de </w:t>
      </w:r>
      <w:r>
        <w:rPr>
          <w:rStyle w:val="b"/>
          <w:rFonts w:ascii="Arial" w:eastAsia="Arial Unicode MS" w:hAnsi="Arial" w:cs="Arial"/>
          <w:i/>
          <w:color w:val="000000"/>
          <w:sz w:val="26"/>
          <w:szCs w:val="26"/>
        </w:rPr>
        <w:t>“…participar en el procedimiento administrativo para la obtención de títulos de concesión para la prestación del servicio público de pasajeros en la modalidad de taxi, en la ciudad de Huajuapan de León, Oaxaca…”</w:t>
      </w:r>
      <w:r>
        <w:rPr>
          <w:rStyle w:val="b"/>
          <w:rFonts w:ascii="Arial" w:eastAsia="Arial Unicode MS" w:hAnsi="Arial" w:cs="Arial"/>
          <w:color w:val="000000"/>
          <w:sz w:val="26"/>
          <w:szCs w:val="26"/>
        </w:rPr>
        <w:t xml:space="preserve">; la cual obra a folios 22 veintidós y </w:t>
      </w:r>
      <w:r w:rsidR="00484C1D">
        <w:rPr>
          <w:rStyle w:val="b"/>
          <w:rFonts w:ascii="Arial" w:eastAsia="Arial Unicode MS" w:hAnsi="Arial" w:cs="Arial"/>
          <w:color w:val="000000"/>
          <w:sz w:val="26"/>
          <w:szCs w:val="26"/>
        </w:rPr>
        <w:t>23 veintitrés, del expediente 34</w:t>
      </w:r>
      <w:r>
        <w:rPr>
          <w:rStyle w:val="b"/>
          <w:rFonts w:ascii="Arial" w:eastAsia="Arial Unicode MS" w:hAnsi="Arial" w:cs="Arial"/>
          <w:color w:val="000000"/>
          <w:sz w:val="26"/>
          <w:szCs w:val="26"/>
        </w:rPr>
        <w:t>0/201</w:t>
      </w:r>
      <w:r w:rsidR="00484C1D">
        <w:rPr>
          <w:rStyle w:val="b"/>
          <w:rFonts w:ascii="Arial" w:eastAsia="Arial Unicode MS" w:hAnsi="Arial" w:cs="Arial"/>
          <w:color w:val="000000"/>
          <w:sz w:val="26"/>
          <w:szCs w:val="26"/>
        </w:rPr>
        <w:t>6</w:t>
      </w:r>
      <w:r>
        <w:rPr>
          <w:rStyle w:val="b"/>
          <w:rFonts w:ascii="Arial" w:eastAsia="Arial Unicode MS" w:hAnsi="Arial" w:cs="Arial"/>
          <w:color w:val="000000"/>
          <w:sz w:val="26"/>
          <w:szCs w:val="26"/>
        </w:rPr>
        <w:t>, la cual hace prueba plena en términos del artículo 173, fracción I, de la Ley de Justicia Administrativa para el Estado, por constar en actuaciones judiciales.</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lastRenderedPageBreak/>
        <w:t xml:space="preserve">De la que se lee, en su considerando segundo que </w:t>
      </w:r>
      <w:r>
        <w:rPr>
          <w:rStyle w:val="b"/>
          <w:rFonts w:ascii="Arial" w:eastAsia="Arial Unicode MS" w:hAnsi="Arial" w:cs="Arial"/>
          <w:i/>
          <w:color w:val="000000"/>
          <w:sz w:val="26"/>
          <w:szCs w:val="26"/>
        </w:rPr>
        <w:t>“…</w:t>
      </w:r>
      <w:r w:rsidRPr="00EB3E30">
        <w:rPr>
          <w:rStyle w:val="b"/>
          <w:rFonts w:eastAsia="Arial Unicode MS" w:cs="Calibri"/>
          <w:i/>
          <w:color w:val="000000"/>
          <w:sz w:val="24"/>
          <w:szCs w:val="24"/>
        </w:rPr>
        <w:t xml:space="preserve">QUE PARA DAR CUMPLIMIENTO A LO ORDENADO POR EL ARTÍCULO 18 DE LA LEY DE TRÁNSITO VIGENTE LA SECRETARÍA DE VIALIDAD Y TRANSPORTE POR CONDUCTO DE LA UNIVERSIAD AUTÓNOMA METROPOLITANA, PRACTICÓ UN ESTUDIO DE FACTIBILIDAD EN EL QUE SE ANALIZÓ EL COMPORTAMIENO DEL SISTEMA SOCIOECONÓMICO, DEMOGRÁFICO, URBANO Y DEL TRANSPORTE PÚBLICO EN GENERAL EN CONJUNCIÓN CON LA SITUACIÓN PROBLEMÁTICA DE FACTO, PREVALECIENTE EN LA CIUDAD DE HUAJUAPAN DE LEÓN MOTIVADA PRINCIPALMENTE POR LA PROLIFERACIÓN IREGULAR DE UNIDADES DESTINADAS UNILATERALMENTE A LA PRESTACIÓN DEL SERVICIO DE TRANSPORTE PÚBLICO, </w:t>
      </w:r>
      <w:r w:rsidRPr="00EB3E30">
        <w:rPr>
          <w:rStyle w:val="b"/>
          <w:rFonts w:eastAsia="Arial Unicode MS" w:cs="Calibri"/>
          <w:b/>
          <w:i/>
          <w:color w:val="000000"/>
          <w:sz w:val="24"/>
          <w:szCs w:val="24"/>
        </w:rPr>
        <w:t>SIN CONTAR CON LA AUTORIZACIÓN DE AUTORIDAD COMPETENTE Y ANTE LA GRAVEDAD DEL CASO Y LOS RIESGOS LATENTES DE LA ALTERACIÓN DE LA PAZ PÚBLICA LAS CONCLUSIONES Y RECOMENDACIONES DEL ESTUDIO REALIZADO FUERON EN EL SENTIDO DE QUE EL GOBIERNO DEL ESTADO DE OAXACA DEBE ORDENAR EL TRANSPORTE PÚBLICO EXISTENTE QUE DE HECHO PRESTA LOS SERVICIOS EN LA CIUDAD DE HUAJUAPAN DE LEÓN, SIN CONTAR CON LA AUTORIZACIÓN POR PARTE DE LAS AUTORIDADES COMPETENTES, HASTA POR EL NÚMERO DE UNIDADES QUE RESULTEN INDISPENSABLES PARA GARANTIZAR LA SATISFACCIÓN DE LAS NECESIDADES DE TRANSPORTE EN LA POBLACIÓN,</w:t>
      </w:r>
      <w:r w:rsidRPr="00EB3E30">
        <w:rPr>
          <w:rStyle w:val="b"/>
          <w:rFonts w:eastAsia="Arial Unicode MS" w:cs="Calibri"/>
          <w:i/>
          <w:color w:val="000000"/>
          <w:sz w:val="24"/>
          <w:szCs w:val="24"/>
        </w:rPr>
        <w:t xml:space="preserve"> Y QUE SE ASEGUREN LA RENTABILIDAD DEL SERVICIO PARA LOS PRESTADORES DE SERVICIO, MEDIANTE EL ANÁLISIS Y APLICACIÓN DE LAS VARIABLES ANALIZADAS EN EL ESTUDIO DE FACTIBILIDAD.</w:t>
      </w:r>
      <w:r>
        <w:rPr>
          <w:rStyle w:val="b"/>
          <w:rFonts w:ascii="Arial" w:eastAsia="Arial Unicode MS" w:hAnsi="Arial" w:cs="Arial"/>
          <w:i/>
          <w:color w:val="000000"/>
          <w:sz w:val="26"/>
          <w:szCs w:val="26"/>
        </w:rPr>
        <w:t>”</w:t>
      </w:r>
      <w:r>
        <w:rPr>
          <w:rStyle w:val="b"/>
          <w:rFonts w:ascii="Arial" w:eastAsia="Arial Unicode MS" w:hAnsi="Arial" w:cs="Arial"/>
          <w:color w:val="000000"/>
          <w:sz w:val="26"/>
          <w:szCs w:val="26"/>
        </w:rPr>
        <w:t xml:space="preserve">; de igual forma, en el considerando tercero se estableció </w:t>
      </w:r>
      <w:r>
        <w:rPr>
          <w:rStyle w:val="b"/>
          <w:rFonts w:ascii="Arial" w:eastAsia="Arial Unicode MS" w:hAnsi="Arial" w:cs="Arial"/>
          <w:i/>
          <w:color w:val="000000"/>
          <w:sz w:val="26"/>
          <w:szCs w:val="26"/>
        </w:rPr>
        <w:t>“…</w:t>
      </w:r>
      <w:r w:rsidRPr="00EB3E30">
        <w:rPr>
          <w:rStyle w:val="b"/>
          <w:rFonts w:eastAsia="Arial Unicode MS" w:cs="Calibri"/>
          <w:i/>
          <w:color w:val="000000"/>
          <w:sz w:val="24"/>
          <w:szCs w:val="24"/>
        </w:rPr>
        <w:t xml:space="preserve">EN TALES CONDICIONES, EL PODER EJECUTIVO DEL ESTADO DE OAXACA, POR CONDUCTO DE LA SECRETARÍA DE VIALIDAD Y TRANSPORTE, CON EL PROPÓSITO DE IDENTIFICAR LAS UNIDADES DE MOTOR QUE PRESTEN EL SERVICIO DE TRANSPORTE DE PASAJEROS EN LA MODALIDAD DE TAXI, SIN CONTAR CON LA AUTORIZACIÓN OFICIAL DEBIDA EN LA CIUDAD DE HUAJUAPAN, </w:t>
      </w:r>
      <w:r w:rsidRPr="00EB3E30">
        <w:rPr>
          <w:rStyle w:val="b"/>
          <w:rFonts w:eastAsia="Arial Unicode MS" w:cs="Calibri"/>
          <w:b/>
          <w:i/>
          <w:color w:val="000000"/>
          <w:sz w:val="24"/>
          <w:szCs w:val="24"/>
        </w:rPr>
        <w:t>REALIZÓ UN CONJUNTO DE ACCIONES DE ESTUDIO Y ANÁLISIS CON EL CONOCIMIENTO Y PARTICIPACIÓN DE LOS DIVERSOS ACTORES QUE INCIDEN EN LA PROBLEMÁTICA DEL TRANSPORTE EN DICHO CENTRO POBLACIONAL DERIVADO DE LO CUAL SE LOGRÓ LA IDENTIFICACIÓN DE LAS UNIDADES SU</w:t>
      </w:r>
      <w:r w:rsidR="00D65942" w:rsidRPr="00EB3E30">
        <w:rPr>
          <w:rStyle w:val="b"/>
          <w:rFonts w:eastAsia="Arial Unicode MS" w:cs="Calibri"/>
          <w:b/>
          <w:i/>
          <w:color w:val="000000"/>
          <w:sz w:val="24"/>
          <w:szCs w:val="24"/>
        </w:rPr>
        <w:t>S</w:t>
      </w:r>
      <w:r w:rsidRPr="00EB3E30">
        <w:rPr>
          <w:rStyle w:val="b"/>
          <w:rFonts w:eastAsia="Arial Unicode MS" w:cs="Calibri"/>
          <w:b/>
          <w:i/>
          <w:color w:val="000000"/>
          <w:sz w:val="24"/>
          <w:szCs w:val="24"/>
        </w:rPr>
        <w:t>CEPTIBLES DE REGULARIZAR PARA LO CUAL SE LES ASIGNÓ A CADA CUAL UN JUEGO DE ELEMENTOS IDENTIFICATORIOS OFICIALES, CONSISTENTES EN UN TARJETON Y UNA CALCOMANÍA QUE FUERON ENTREGADOS DE FORMA PERSONAL RESPECTIVAMENTE A LOS PROPIETAROS Y/O POSEEDORES DE LAS UNIDADES RELACIONADAS DE CONFORMIDAD CON LOS CRITERIOS ESTABLECIDOS POR LA SECRETARÍA</w:t>
      </w:r>
      <w:r w:rsidRPr="00EB3E30">
        <w:rPr>
          <w:rStyle w:val="b"/>
          <w:rFonts w:eastAsia="Arial Unicode MS" w:cs="Calibri"/>
          <w:i/>
          <w:color w:val="000000"/>
          <w:sz w:val="24"/>
          <w:szCs w:val="24"/>
        </w:rPr>
        <w:t>…”</w:t>
      </w:r>
      <w:r>
        <w:rPr>
          <w:rStyle w:val="b"/>
          <w:rFonts w:ascii="Arial" w:eastAsia="Arial Unicode MS" w:hAnsi="Arial" w:cs="Arial"/>
          <w:color w:val="000000"/>
          <w:sz w:val="26"/>
          <w:szCs w:val="26"/>
        </w:rPr>
        <w:t>. Énfasis añadido.</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lastRenderedPageBreak/>
        <w:t>Por lo que, dicha convocatoria tal y como lo estipula el artículo 29 BIS, de la Ley de Tránsito Reformada en el Estado, fue publicada ante la necesidad que existía, de acuerdo con lo establecido por las autoridades del Transporte, en la población de Huajuapan de León, y por la necesidad de regularizar aquellos prestadores del servicio público, que de facto, ya prestaban el servicio público de transporte de pasajeros, sin que mediara concesión o permiso alguno otorgado por el Ejecutivo de manera previa, como lo establece el diverso artículo 18, de la referida Ley.</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Por tanto, ante esa necesidad, se dio la publicación de la referida convocatoria, la cual no resulta ilegal por estar dirigida a determinado grupo de personas que fueron previamente identificadas por la autoridad de transporte, pues dicho llamado tiene su fundamento en el multicitado numeral 29 BIS, de la Ley de Tránsito Reformada, pues de no existir tal problemática no se hubiese convocado al procedimiento administrativo de mérito; de ahí que al ser una potestad del Estado y tener su fundamento en la Ley y ante un hecho que crea la “necesidad” del Estado para regular los servicios públicos, no se está ante una convocatoria que sea discriminatoria.</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De igual forma, en cuanto a lo alegado por l</w:t>
      </w:r>
      <w:r w:rsidR="00C75C7B">
        <w:rPr>
          <w:rStyle w:val="b"/>
          <w:rFonts w:ascii="Arial" w:eastAsia="Arial Unicode MS" w:hAnsi="Arial" w:cs="Arial"/>
          <w:color w:val="000000"/>
          <w:sz w:val="26"/>
          <w:szCs w:val="26"/>
        </w:rPr>
        <w:t>a</w:t>
      </w:r>
      <w:r>
        <w:rPr>
          <w:rStyle w:val="b"/>
          <w:rFonts w:ascii="Arial" w:eastAsia="Arial Unicode MS" w:hAnsi="Arial" w:cs="Arial"/>
          <w:color w:val="000000"/>
          <w:sz w:val="26"/>
          <w:szCs w:val="26"/>
        </w:rPr>
        <w:t xml:space="preserve"> </w:t>
      </w:r>
      <w:r w:rsidR="00C75C7B">
        <w:rPr>
          <w:rStyle w:val="b"/>
          <w:rFonts w:ascii="Arial" w:eastAsia="Arial Unicode MS" w:hAnsi="Arial" w:cs="Arial"/>
          <w:color w:val="000000"/>
          <w:sz w:val="26"/>
          <w:szCs w:val="26"/>
        </w:rPr>
        <w:t>actora</w:t>
      </w:r>
      <w:r>
        <w:rPr>
          <w:rStyle w:val="b"/>
          <w:rFonts w:ascii="Arial" w:eastAsia="Arial Unicode MS" w:hAnsi="Arial" w:cs="Arial"/>
          <w:color w:val="000000"/>
          <w:sz w:val="26"/>
          <w:szCs w:val="26"/>
        </w:rPr>
        <w:t xml:space="preserve"> respecto a que la convocatoria </w:t>
      </w:r>
      <w:r w:rsidR="00C75C7B">
        <w:rPr>
          <w:rStyle w:val="b"/>
          <w:rFonts w:ascii="Arial" w:eastAsia="Arial Unicode MS" w:hAnsi="Arial" w:cs="Arial"/>
          <w:color w:val="000000"/>
          <w:sz w:val="26"/>
          <w:szCs w:val="26"/>
        </w:rPr>
        <w:t xml:space="preserve">va dirigida a grupos previamente </w:t>
      </w:r>
      <w:r>
        <w:rPr>
          <w:rStyle w:val="b"/>
          <w:rFonts w:ascii="Arial" w:eastAsia="Arial Unicode MS" w:hAnsi="Arial" w:cs="Arial"/>
          <w:color w:val="000000"/>
          <w:sz w:val="26"/>
          <w:szCs w:val="26"/>
        </w:rPr>
        <w:t>insacula</w:t>
      </w:r>
      <w:r w:rsidR="00C75C7B">
        <w:rPr>
          <w:rStyle w:val="b"/>
          <w:rFonts w:ascii="Arial" w:eastAsia="Arial Unicode MS" w:hAnsi="Arial" w:cs="Arial"/>
          <w:color w:val="000000"/>
          <w:sz w:val="26"/>
          <w:szCs w:val="26"/>
        </w:rPr>
        <w:t>dos violentando la garantía de igualdad y el debido proceso,</w:t>
      </w:r>
      <w:r>
        <w:rPr>
          <w:rStyle w:val="b"/>
          <w:rFonts w:ascii="Arial" w:eastAsia="Arial Unicode MS" w:hAnsi="Arial" w:cs="Arial"/>
          <w:color w:val="000000"/>
          <w:sz w:val="26"/>
          <w:szCs w:val="26"/>
        </w:rPr>
        <w:t xml:space="preserve"> para acceder a una concesión para la prestación del servicio público de transporte; quedo establecido que en el propio cuerpo de la convocatoria se explicaron las razones de la necesidad al llamado para que ciertos particulares acudieran a participar en el procedimiento administrativo para el otorgamiento de títulos de concesión para la prestación de servicios públicos de transporte, y es en base a esa “necesidad” que la convocatoria sólo fue dirigida a personas que cumplían con ciertos requisitos; sin embargo, este hecho no violenta </w:t>
      </w:r>
      <w:r w:rsidR="00C75C7B">
        <w:rPr>
          <w:rStyle w:val="b"/>
          <w:rFonts w:ascii="Arial" w:eastAsia="Arial Unicode MS" w:hAnsi="Arial" w:cs="Arial"/>
          <w:color w:val="000000"/>
          <w:sz w:val="26"/>
          <w:szCs w:val="26"/>
        </w:rPr>
        <w:t xml:space="preserve">la garantía de igualdad, ni </w:t>
      </w:r>
      <w:r>
        <w:rPr>
          <w:rStyle w:val="b"/>
          <w:rFonts w:ascii="Arial" w:eastAsia="Arial Unicode MS" w:hAnsi="Arial" w:cs="Arial"/>
          <w:color w:val="000000"/>
          <w:sz w:val="26"/>
          <w:szCs w:val="26"/>
        </w:rPr>
        <w:t>el derecho de petición ejercido por l</w:t>
      </w:r>
      <w:r w:rsidR="001E2C5A">
        <w:rPr>
          <w:rStyle w:val="b"/>
          <w:rFonts w:ascii="Arial" w:eastAsia="Arial Unicode MS" w:hAnsi="Arial" w:cs="Arial"/>
          <w:color w:val="000000"/>
          <w:sz w:val="26"/>
          <w:szCs w:val="26"/>
        </w:rPr>
        <w:t>a</w:t>
      </w:r>
      <w:r>
        <w:rPr>
          <w:rStyle w:val="b"/>
          <w:rFonts w:ascii="Arial" w:eastAsia="Arial Unicode MS" w:hAnsi="Arial" w:cs="Arial"/>
          <w:color w:val="000000"/>
          <w:sz w:val="26"/>
          <w:szCs w:val="26"/>
        </w:rPr>
        <w:t xml:space="preserve"> </w:t>
      </w:r>
      <w:r w:rsidR="001E2C5A">
        <w:rPr>
          <w:rStyle w:val="b"/>
          <w:rFonts w:ascii="Arial" w:eastAsia="Arial Unicode MS" w:hAnsi="Arial" w:cs="Arial"/>
          <w:color w:val="000000"/>
          <w:sz w:val="26"/>
          <w:szCs w:val="26"/>
        </w:rPr>
        <w:t>parte actora</w:t>
      </w:r>
      <w:r>
        <w:rPr>
          <w:rStyle w:val="b"/>
          <w:rFonts w:ascii="Arial" w:eastAsia="Arial Unicode MS" w:hAnsi="Arial" w:cs="Arial"/>
          <w:color w:val="000000"/>
          <w:sz w:val="26"/>
          <w:szCs w:val="26"/>
        </w:rPr>
        <w:t xml:space="preserve">, pues tal y como lo manifiesta, presentó escrito dirigido ante la autoridad de transporte solicitando un título de concesión y el hecho de que exista por parte de las autoridades una convocatoria esto no se traduce en la voluntad final del Estado, de que a todos los aspirantes le sean otorgados dichos </w:t>
      </w:r>
      <w:r>
        <w:rPr>
          <w:rStyle w:val="b"/>
          <w:rFonts w:ascii="Arial" w:eastAsia="Arial Unicode MS" w:hAnsi="Arial" w:cs="Arial"/>
          <w:color w:val="000000"/>
          <w:sz w:val="26"/>
          <w:szCs w:val="26"/>
        </w:rPr>
        <w:lastRenderedPageBreak/>
        <w:t xml:space="preserve">títulos de concesión, pues únicamente la convocatoria es para efecto de </w:t>
      </w:r>
      <w:r>
        <w:rPr>
          <w:rStyle w:val="b"/>
          <w:rFonts w:ascii="Arial" w:eastAsia="Arial Unicode MS" w:hAnsi="Arial" w:cs="Arial"/>
          <w:b/>
          <w:color w:val="000000"/>
          <w:sz w:val="26"/>
          <w:szCs w:val="26"/>
        </w:rPr>
        <w:t>participar en el procedimiento administrativo para la obtención de títulos de concesión para la prestación del servicio público de pasajeros en la modalidad de taxi</w:t>
      </w:r>
      <w:r>
        <w:rPr>
          <w:rStyle w:val="b"/>
          <w:rFonts w:ascii="Arial" w:eastAsia="Arial Unicode MS" w:hAnsi="Arial" w:cs="Arial"/>
          <w:color w:val="000000"/>
          <w:sz w:val="26"/>
          <w:szCs w:val="26"/>
        </w:rPr>
        <w:t>.</w:t>
      </w:r>
    </w:p>
    <w:p w:rsidR="00B0589E" w:rsidRDefault="00B0589E" w:rsidP="00B0589E">
      <w:pPr>
        <w:spacing w:before="240" w:line="360" w:lineRule="auto"/>
        <w:ind w:firstLine="709"/>
        <w:jc w:val="both"/>
        <w:rPr>
          <w:rFonts w:ascii="Arial" w:hAnsi="Arial" w:cs="Arial"/>
          <w:bCs/>
          <w:sz w:val="26"/>
          <w:szCs w:val="26"/>
        </w:rPr>
      </w:pPr>
      <w:r>
        <w:rPr>
          <w:rFonts w:ascii="Arial" w:hAnsi="Arial" w:cs="Arial"/>
          <w:bCs/>
          <w:sz w:val="26"/>
          <w:szCs w:val="26"/>
        </w:rPr>
        <w:t xml:space="preserve">De lo anterior se sigue, que la convocatoria fue dirigida a ciudadanos que acreditaron ser propietarios de vehículos susceptibles a regularizarse, a los que se les entregaron un tarjetón y una calcomanía </w:t>
      </w:r>
      <w:r w:rsidRPr="004023AD">
        <w:rPr>
          <w:rFonts w:ascii="Arial" w:hAnsi="Arial" w:cs="Arial"/>
          <w:bCs/>
          <w:sz w:val="26"/>
          <w:szCs w:val="26"/>
        </w:rPr>
        <w:t>y</w:t>
      </w:r>
      <w:r>
        <w:rPr>
          <w:rFonts w:ascii="Arial" w:hAnsi="Arial" w:cs="Arial"/>
          <w:b/>
          <w:bCs/>
          <w:sz w:val="26"/>
          <w:szCs w:val="26"/>
        </w:rPr>
        <w:t xml:space="preserve">, </w:t>
      </w:r>
      <w:r>
        <w:rPr>
          <w:rFonts w:ascii="Arial" w:hAnsi="Arial" w:cs="Arial"/>
          <w:bCs/>
          <w:sz w:val="26"/>
          <w:szCs w:val="26"/>
        </w:rPr>
        <w:t>la actora no aportó medios de prueba idóneos que acreditaran que es propietaria de un vehículo tendiente a regularizarse, ni indicó en su solicitud el tarjetón entregado en el proceso de identificación de unidades susceptibles a regularizarse; pues de constancias de autos no se advierte haya exhibido los documentos referidos en la bases primera y segunda de la convocatoria; de ahí que, no exista violación al principio de equidad social, como lo aduce la Primera Instancia, pues en la convocatoria materia del juicio de nulidad, se establecieron una serie de requisitos a cumplirse para poder participar en el procedimiento indicado, mismos que no fueron acatados.</w:t>
      </w:r>
    </w:p>
    <w:p w:rsidR="00B0589E" w:rsidRDefault="00B0589E" w:rsidP="00B0589E">
      <w:pPr>
        <w:spacing w:before="240" w:line="360" w:lineRule="auto"/>
        <w:ind w:firstLine="709"/>
        <w:jc w:val="both"/>
        <w:rPr>
          <w:rFonts w:ascii="Arial" w:hAnsi="Arial" w:cs="Arial"/>
          <w:bCs/>
          <w:sz w:val="26"/>
          <w:szCs w:val="26"/>
        </w:rPr>
      </w:pPr>
      <w:r>
        <w:rPr>
          <w:rFonts w:ascii="Arial" w:hAnsi="Arial" w:cs="Arial"/>
          <w:bCs/>
          <w:sz w:val="26"/>
          <w:szCs w:val="26"/>
        </w:rPr>
        <w:t>Alega también, que le causa agravio la declaración de validez parcial de la convocatoria impugnada, para el efecto de que se realicen las acciones jurí</w:t>
      </w:r>
      <w:r w:rsidR="00243206">
        <w:rPr>
          <w:rFonts w:ascii="Arial" w:hAnsi="Arial" w:cs="Arial"/>
          <w:bCs/>
          <w:sz w:val="26"/>
          <w:szCs w:val="26"/>
        </w:rPr>
        <w:t xml:space="preserve">dico administrativas para que </w:t>
      </w:r>
      <w:r w:rsidR="00E56048">
        <w:rPr>
          <w:rFonts w:ascii="Arial" w:hAnsi="Arial" w:cs="Arial"/>
          <w:bCs/>
          <w:sz w:val="26"/>
          <w:szCs w:val="26"/>
        </w:rPr>
        <w:t>**********</w:t>
      </w:r>
      <w:r>
        <w:rPr>
          <w:rFonts w:ascii="Arial" w:hAnsi="Arial" w:cs="Arial"/>
          <w:bCs/>
          <w:sz w:val="26"/>
          <w:szCs w:val="26"/>
        </w:rPr>
        <w:t xml:space="preserve">, regularice la unidad de motor con la que presuntamente presta el servicio público de transporte (taxi) en la localidad de Huajuapan de León, Oaxaca, pues considera que tal acción contravendría disposiciones de orden público y se alteraría la armonía y paz social de la localidad, al afectarse la esfera jurídica de los verdaderos concesionarios que se presentaron con su documentación, en tiempo y forma, reiterando, que la actora no probó contar con un vehículo de motor susceptible de regularizarse. </w:t>
      </w:r>
    </w:p>
    <w:p w:rsidR="00B0589E" w:rsidRDefault="00B0589E" w:rsidP="00B0589E">
      <w:pPr>
        <w:spacing w:before="240" w:line="360" w:lineRule="auto"/>
        <w:ind w:firstLine="709"/>
        <w:jc w:val="both"/>
        <w:rPr>
          <w:rFonts w:ascii="Arial" w:hAnsi="Arial" w:cs="Arial"/>
          <w:bCs/>
          <w:sz w:val="26"/>
          <w:szCs w:val="26"/>
        </w:rPr>
      </w:pPr>
      <w:r>
        <w:rPr>
          <w:rFonts w:ascii="Arial" w:hAnsi="Arial" w:cs="Arial"/>
          <w:bCs/>
          <w:sz w:val="26"/>
          <w:szCs w:val="26"/>
        </w:rPr>
        <w:t xml:space="preserve">Asiste razón al recurrente, dado que como ya se estableció en párrafos precedentes, la actora no probó contar con un vehículo susceptible de regularizarse, como fue establecido en la convocatoria para poder participar, ni mucho menos acreditó haber cumplido con los requisitos que fueron plasmados en la convocatoria y, sin embargo, como lo aduce el recurrente, de declararse la validez parcial para que se realicen las acciones jurídico-administrativas para que se incluya la </w:t>
      </w:r>
      <w:r>
        <w:rPr>
          <w:rFonts w:ascii="Arial" w:hAnsi="Arial" w:cs="Arial"/>
          <w:bCs/>
          <w:sz w:val="26"/>
          <w:szCs w:val="26"/>
        </w:rPr>
        <w:lastRenderedPageBreak/>
        <w:t>actora en el referido procedimiento administrativo de regularización para la obtención de títulos de concesión para la prestación del servicio público de pasajeros en la modalidad de taxi, aun cuando no cumplió con los requisitos para poder participar, se transgrediría el principio de igualdad de aquéllas personas que cumplieron con los requisitos para participar en tiempo y forma, al pretenderse que exista un trato igualitario, respecto de aquéllas personas que no cumplieron con los requisitos, y aquellas que sí los cumplieron.</w:t>
      </w:r>
    </w:p>
    <w:p w:rsidR="000C5E70" w:rsidRDefault="000C5E70" w:rsidP="000C5E70">
      <w:pPr>
        <w:spacing w:before="240" w:line="360" w:lineRule="auto"/>
        <w:ind w:firstLine="709"/>
        <w:jc w:val="both"/>
        <w:rPr>
          <w:rFonts w:ascii="Arial" w:hAnsi="Arial" w:cs="Arial"/>
          <w:bCs/>
          <w:sz w:val="26"/>
          <w:szCs w:val="26"/>
        </w:rPr>
      </w:pPr>
      <w:r>
        <w:rPr>
          <w:rFonts w:ascii="Arial" w:hAnsi="Arial" w:cs="Arial"/>
          <w:bCs/>
          <w:sz w:val="26"/>
          <w:szCs w:val="26"/>
        </w:rPr>
        <w:t xml:space="preserve">Resulta trascendente señalar, que el principio de igualdad pretende que las personas reciban un mismo trato ante la ley, es decir, igual en condiciones iguales, </w:t>
      </w:r>
      <w:r w:rsidRPr="00DD5F33">
        <w:rPr>
          <w:rFonts w:ascii="Arial" w:hAnsi="Arial" w:cs="Arial"/>
          <w:bCs/>
          <w:sz w:val="26"/>
          <w:szCs w:val="26"/>
        </w:rPr>
        <w:t xml:space="preserve">si su </w:t>
      </w:r>
      <w:r>
        <w:rPr>
          <w:rFonts w:ascii="Arial" w:hAnsi="Arial" w:cs="Arial"/>
          <w:bCs/>
          <w:sz w:val="26"/>
          <w:szCs w:val="26"/>
        </w:rPr>
        <w:t>caso es semejante a los otros. Lo anterior es así, dado que en el caso de que los involucrados en el caso concreto no se hallen en el mismo supuesto, entonces no puede establecerse una situación de igualdad, debido a que sus propias condiciones no son similares.</w:t>
      </w:r>
    </w:p>
    <w:p w:rsidR="000C5E70" w:rsidRDefault="000C5E70" w:rsidP="000C5E70">
      <w:pPr>
        <w:spacing w:before="240" w:line="360" w:lineRule="auto"/>
        <w:ind w:firstLine="709"/>
        <w:jc w:val="both"/>
        <w:rPr>
          <w:rFonts w:ascii="Arial" w:hAnsi="Arial" w:cs="Arial"/>
          <w:bCs/>
          <w:sz w:val="26"/>
          <w:szCs w:val="26"/>
        </w:rPr>
      </w:pPr>
      <w:r>
        <w:rPr>
          <w:rFonts w:ascii="Arial" w:hAnsi="Arial" w:cs="Arial"/>
          <w:bCs/>
          <w:sz w:val="26"/>
          <w:szCs w:val="26"/>
        </w:rPr>
        <w:t>El principio de igualdad implica dar un trato igual a los iguales y desigual a los desiguales; también implica un ejercicio comparativo entre las personas u objetos que habrán de sujetarse al escrutinio de trato semejante, pero esa determinación comparativa en manera alguna puede ser arbitraria, ni libre, debido a que indudablemente tendrá que atender a las características propias de las personas u objetos en análisis.</w:t>
      </w:r>
    </w:p>
    <w:p w:rsidR="000C5E70" w:rsidRDefault="000C5E70" w:rsidP="000C5E70">
      <w:pPr>
        <w:spacing w:before="240" w:line="360" w:lineRule="auto"/>
        <w:ind w:firstLine="709"/>
        <w:jc w:val="both"/>
        <w:rPr>
          <w:rFonts w:ascii="Arial" w:hAnsi="Arial" w:cs="Arial"/>
          <w:bCs/>
          <w:sz w:val="26"/>
          <w:szCs w:val="26"/>
        </w:rPr>
      </w:pPr>
      <w:r>
        <w:rPr>
          <w:rFonts w:ascii="Arial" w:hAnsi="Arial" w:cs="Arial"/>
          <w:bCs/>
          <w:sz w:val="26"/>
          <w:szCs w:val="26"/>
        </w:rPr>
        <w:t>Estas consideraciones encuentran sustento en las jurisprudencias siguientes: 1a.J 55/2006, emitida por la Primera Sala de la Suprema Corte de Justicia de la Nación en la novena época, publicada en el Semanario Judicial de la Federación y su Gaceta, Tomo XXIV, septiembre de 2006, página 75, bajo el rubro y texto siguientes:</w:t>
      </w:r>
    </w:p>
    <w:p w:rsidR="000C5E70" w:rsidRPr="000C5E70" w:rsidRDefault="000C5E70" w:rsidP="000C5E70">
      <w:pPr>
        <w:autoSpaceDE w:val="0"/>
        <w:autoSpaceDN w:val="0"/>
        <w:adjustRightInd w:val="0"/>
        <w:spacing w:after="0" w:line="240" w:lineRule="auto"/>
        <w:ind w:left="851" w:right="616"/>
        <w:jc w:val="both"/>
        <w:rPr>
          <w:rFonts w:cs="Calibri"/>
          <w:bCs/>
          <w:i/>
          <w:sz w:val="24"/>
          <w:szCs w:val="24"/>
        </w:rPr>
      </w:pPr>
      <w:r w:rsidRPr="000C5E70">
        <w:rPr>
          <w:rFonts w:cs="Calibri"/>
          <w:i/>
          <w:sz w:val="24"/>
          <w:szCs w:val="24"/>
          <w:lang w:val="es-MX"/>
        </w:rPr>
        <w:t>“</w:t>
      </w:r>
      <w:r w:rsidRPr="000C5E70">
        <w:rPr>
          <w:rFonts w:cs="Calibri"/>
          <w:b/>
          <w:i/>
          <w:sz w:val="24"/>
          <w:szCs w:val="24"/>
          <w:lang w:val="es-MX"/>
        </w:rPr>
        <w:t>IGUALDAD. CRITERIOS PARA DETERMINAR SI EL LEGISLADOR RESPETA ESE PRINCIPIO CONSTITUCIONAL</w:t>
      </w:r>
      <w:r w:rsidRPr="000C5E70">
        <w:rPr>
          <w:rFonts w:cs="Calibri"/>
          <w:i/>
          <w:sz w:val="24"/>
          <w:szCs w:val="24"/>
          <w:lang w:val="es-MX"/>
        </w:rPr>
        <w:t xml:space="preserve">. La igualdad en nuestro texto constitucional constituye un principio complejo que no sólo otorga a las personas la garantía de que serán iguales ante la ley en su condición de destinatarios de las normas y de usuarios del sistema de administración de justicia, sino también en la ley (en relación con su contenido). El principio de igualdad debe entenderse como la exigencia constitucional de tratar igual a los iguales y desigual a los desiguales, de ahí que en algunas ocasiones hacer distinciones estará </w:t>
      </w:r>
      <w:r w:rsidRPr="000C5E70">
        <w:rPr>
          <w:rFonts w:cs="Calibri"/>
          <w:i/>
          <w:sz w:val="24"/>
          <w:szCs w:val="24"/>
          <w:lang w:val="es-MX"/>
        </w:rPr>
        <w:lastRenderedPageBreak/>
        <w:t>vedado, mientras que en otras estará permitido o, incluso, constitucionalmente exigido. En ese tenor, cuando la Suprema Corte de Justicia de la Nación conoce de un caso en el cual la ley distingue entre dos o varios hechos, sucesos, personas o colectivos, debe analizar si dicha distinción descansa en una base objetiva y razonable o si, por el contrario, constituye una discriminación constitucionalmente vedada. Para ello es necesario determinar, en primer lugar, si la distinción legislativa obedece a una finalidad objetiva y constitucionalmente válida: el legislador no puede introducir tratos desiguales de manera arbitraria, sino que debe hacerlo con el fin de avanzar en la consecución de objetivos admisibles dentro de los límites marcados por las previsiones constitucionales, o expresamente incluidos en ellas. En segundo lugar, es necesario examinar la racionalidad o adecuación de la distinción hecha por el legislador: es necesario que la introducción de una distinción constituya un medio apto para conducir al fin u objetivo que el legislador quiere alcanzar, es decir, que exista una relación de instrumentalidad entre la medida clasificatoria y el fin pretendido. En tercer lugar, debe cumplirse con el requisito de la proporcionalidad: el legislador no puede tratar de alcanzar objetivos constitucionalmente legítimos de un modo abiertamente desproporcional, de manera que el juzgador debe determinar si la distinción legislativa se encuentra dentro del abanico de tratamientos que pueden considerarse proporcionales, habida cuenta de la situación de hecho, la finalidad de la ley y los bienes y derechos constitucionales  afectados por ella; la persecución de un objetivo constitucional no puede hacerse a costa de una afectación innecesaria o desmedida de otros bienes y derechos constitucionalmente protegidos. Por último, es de gran importancia determinar en cada caso respecto de qué se está predicando con la igualdad, porque esta última constituye un principio y un derecho de carácter fundamentalmente adjetivo que se predica siempre de algo, y este referente es relevante al momento de realizar el control de constitucionalidad de las leyes, porque la Norma Fundamental permite que en algunos ámbitos el legislador tenga más amplitud para desarrollar su labor  normativa, mientras que en otros insta al Juez a ser especialmente exigente cuando deba determinar si el legislador ha respetado las exigencias derivadas del principio mencionado.”</w:t>
      </w:r>
    </w:p>
    <w:p w:rsidR="000C5E70" w:rsidRPr="008D3A43" w:rsidRDefault="000C5E70" w:rsidP="000C5E70">
      <w:pPr>
        <w:spacing w:before="240" w:line="360" w:lineRule="auto"/>
        <w:jc w:val="both"/>
        <w:rPr>
          <w:rFonts w:ascii="Arial" w:hAnsi="Arial" w:cs="Arial"/>
          <w:sz w:val="24"/>
          <w:szCs w:val="24"/>
        </w:rPr>
      </w:pPr>
      <w:r>
        <w:rPr>
          <w:rFonts w:ascii="Arial" w:hAnsi="Arial" w:cs="Arial"/>
          <w:bCs/>
          <w:sz w:val="26"/>
          <w:szCs w:val="26"/>
        </w:rPr>
        <w:tab/>
        <w:t>J</w:t>
      </w:r>
      <w:r w:rsidRPr="008D3A43">
        <w:rPr>
          <w:rFonts w:ascii="Arial" w:hAnsi="Arial" w:cs="Arial"/>
          <w:bCs/>
          <w:sz w:val="24"/>
          <w:szCs w:val="24"/>
        </w:rPr>
        <w:t xml:space="preserve">urisprudencia </w:t>
      </w:r>
      <w:r w:rsidRPr="008D3A43">
        <w:rPr>
          <w:rFonts w:ascii="Arial" w:hAnsi="Arial" w:cs="Arial"/>
          <w:sz w:val="24"/>
          <w:szCs w:val="24"/>
        </w:rPr>
        <w:t>1a./J. 46/2016 (10a.) de la Primera Sala de la Suprema Corte de Justicia de la Nación</w:t>
      </w:r>
      <w:r>
        <w:rPr>
          <w:rFonts w:ascii="Arial" w:hAnsi="Arial" w:cs="Arial"/>
          <w:sz w:val="24"/>
          <w:szCs w:val="24"/>
        </w:rPr>
        <w:t xml:space="preserve">, </w:t>
      </w:r>
      <w:r w:rsidRPr="008D3A43">
        <w:rPr>
          <w:rFonts w:ascii="Arial" w:hAnsi="Arial" w:cs="Arial"/>
          <w:sz w:val="24"/>
          <w:szCs w:val="24"/>
        </w:rPr>
        <w:t>Décima época</w:t>
      </w:r>
      <w:r>
        <w:rPr>
          <w:rFonts w:ascii="Arial" w:hAnsi="Arial" w:cs="Arial"/>
          <w:sz w:val="24"/>
          <w:szCs w:val="24"/>
        </w:rPr>
        <w:t xml:space="preserve">, publicada </w:t>
      </w:r>
      <w:r w:rsidRPr="008D3A43">
        <w:rPr>
          <w:rFonts w:ascii="Arial" w:hAnsi="Arial" w:cs="Arial"/>
          <w:sz w:val="24"/>
          <w:szCs w:val="24"/>
        </w:rPr>
        <w:t>en la Gaceta del Semanario Judicial de l</w:t>
      </w:r>
      <w:r>
        <w:rPr>
          <w:rFonts w:ascii="Arial" w:hAnsi="Arial" w:cs="Arial"/>
          <w:sz w:val="24"/>
          <w:szCs w:val="24"/>
        </w:rPr>
        <w:t xml:space="preserve">a Federación en el Libro 34, </w:t>
      </w:r>
      <w:r w:rsidRPr="008D3A43">
        <w:rPr>
          <w:rFonts w:ascii="Arial" w:hAnsi="Arial" w:cs="Arial"/>
          <w:sz w:val="24"/>
          <w:szCs w:val="24"/>
        </w:rPr>
        <w:t>septiembre de 2016, Tomo I</w:t>
      </w:r>
      <w:r>
        <w:rPr>
          <w:rFonts w:ascii="Arial" w:hAnsi="Arial" w:cs="Arial"/>
          <w:sz w:val="24"/>
          <w:szCs w:val="24"/>
        </w:rPr>
        <w:t>,</w:t>
      </w:r>
      <w:r w:rsidRPr="008D3A43">
        <w:rPr>
          <w:rFonts w:ascii="Arial" w:hAnsi="Arial" w:cs="Arial"/>
          <w:sz w:val="24"/>
          <w:szCs w:val="24"/>
        </w:rPr>
        <w:t xml:space="preserve"> página 357, con el rubro y texto siguientes: </w:t>
      </w:r>
    </w:p>
    <w:p w:rsidR="000C5E70" w:rsidRPr="000C5E70" w:rsidRDefault="000C5E70" w:rsidP="000C5E70">
      <w:pPr>
        <w:spacing w:after="0" w:line="240" w:lineRule="auto"/>
        <w:ind w:left="851" w:right="616"/>
        <w:jc w:val="both"/>
        <w:rPr>
          <w:rFonts w:cs="Calibri"/>
          <w:i/>
          <w:sz w:val="24"/>
          <w:szCs w:val="24"/>
        </w:rPr>
      </w:pPr>
      <w:r w:rsidRPr="000C5E70">
        <w:rPr>
          <w:rFonts w:cs="Calibri"/>
          <w:i/>
          <w:sz w:val="24"/>
          <w:szCs w:val="24"/>
        </w:rPr>
        <w:t>“</w:t>
      </w:r>
      <w:r w:rsidRPr="000C5E70">
        <w:rPr>
          <w:rFonts w:cs="Calibri"/>
          <w:b/>
          <w:i/>
          <w:sz w:val="24"/>
          <w:szCs w:val="24"/>
        </w:rPr>
        <w:t>IGUALDAD. DELIMITACIÓN CONCEPTUAL DE ESTE PRINCIPIO</w:t>
      </w:r>
      <w:r w:rsidRPr="000C5E70">
        <w:rPr>
          <w:rFonts w:cs="Calibri"/>
          <w:i/>
          <w:sz w:val="24"/>
          <w:szCs w:val="24"/>
        </w:rPr>
        <w:t xml:space="preserve">. El derecho fundamental a la igualdad instituido por la Constitución Política de los Estados Unidos Mexicanos no pretende generar una igualdad matemática y ciega ante las diferentes situaciones que surgen en la realidad, sino que se refiere a una igualdad de trato ante la ley. Si bien el emisor de la norma puede prever situaciones fácticas que requieren un trato diferente, éste debe sustentarse en criterios razonables y objetivos que lo justifiquen, sin dejarlo al capricho o voluntad del legislador. Además, la igualdad designa un concepto relacional y no una cualidad intrínseca, ya que es una relación que se da al menos entre dos personas, objetos o situaciones, y siempre es </w:t>
      </w:r>
      <w:r w:rsidRPr="000C5E70">
        <w:rPr>
          <w:rFonts w:cs="Calibri"/>
          <w:i/>
          <w:sz w:val="24"/>
          <w:szCs w:val="24"/>
        </w:rPr>
        <w:lastRenderedPageBreak/>
        <w:t>resultado de un juicio que recae sobre una pluralidad de "términos de comparación", los cuales, así como las características que los distinguen, dependen de la determinación por el sujeto que efectúa dicha comparación, según el punto de vista del escrutinio de igualdad. Así, la determinación del punto desde el cual se establece cuándo una diferencia es relevante será libre mas no arbitraria, y sólo a partir de ella tendrá sentido cualquier juicio de igualdad.”</w:t>
      </w:r>
    </w:p>
    <w:p w:rsidR="000C5E70" w:rsidRPr="008D3A43" w:rsidRDefault="000C5E70" w:rsidP="000C5E70">
      <w:pPr>
        <w:spacing w:before="240" w:line="360" w:lineRule="auto"/>
        <w:ind w:firstLine="709"/>
        <w:jc w:val="both"/>
        <w:rPr>
          <w:rFonts w:ascii="Arial" w:hAnsi="Arial" w:cs="Arial"/>
          <w:bCs/>
          <w:sz w:val="26"/>
          <w:szCs w:val="26"/>
        </w:rPr>
      </w:pPr>
      <w:r>
        <w:rPr>
          <w:rFonts w:ascii="Arial" w:hAnsi="Arial" w:cs="Arial"/>
          <w:bCs/>
          <w:sz w:val="26"/>
          <w:szCs w:val="26"/>
        </w:rPr>
        <w:t xml:space="preserve">Por las anteriores consideraciones, es que la razón otorgada por la Sala de origen no es precisa en establecer que la inclusión del actor en el procedimiento administrativo de regularización es acorde al principio de igualdad, debido que como se ha reiterado en párrafos precedentes, de las constancias de autos se advierte, que el actor en el juicio de nulidad no se ajustó a los requisitos establecidos en la Convocatoria impugnada; por tanto, no puede disfrutar de las mismas condiciones que las personas que sí cumplieron esos requisitos, de ahí que, considerarlo en sentido contrario, vulneraría el principio de igualdad. </w:t>
      </w:r>
    </w:p>
    <w:p w:rsidR="000C5E70" w:rsidRDefault="000C5E70" w:rsidP="000C5E70">
      <w:pPr>
        <w:widowControl w:val="0"/>
        <w:tabs>
          <w:tab w:val="left" w:pos="0"/>
        </w:tabs>
        <w:spacing w:before="240" w:after="0" w:line="360" w:lineRule="auto"/>
        <w:ind w:right="18"/>
        <w:jc w:val="both"/>
        <w:rPr>
          <w:rFonts w:ascii="Arial" w:hAnsi="Arial" w:cs="Arial"/>
          <w:bCs/>
          <w:sz w:val="26"/>
          <w:szCs w:val="26"/>
        </w:rPr>
      </w:pPr>
      <w:r>
        <w:rPr>
          <w:rFonts w:ascii="Arial" w:hAnsi="Arial" w:cs="Arial"/>
          <w:bCs/>
          <w:sz w:val="26"/>
          <w:szCs w:val="26"/>
        </w:rPr>
        <w:tab/>
        <w:t>En consecuencia, al haberse establecido que el actor no acreditó haber cumplido con los requisitos necesarios para participar en el procedimiento administrativo dirigido a propietarios de unidades de motor susceptibles de regularizarse, a través de la obtención de títulos de concesión para la prestación del servicio público de pasajeros en la modalidad de taxi, y haber quedado establecido por la primera instancia que los conceptos de impugnación esgrimidos por la parte actora, son insuficientes para determinar la nulidad lisa y llana de la convocatoria impugnada, al determinar lo siguiente: “</w:t>
      </w:r>
      <w:r w:rsidRPr="00964BEF">
        <w:rPr>
          <w:rFonts w:ascii="Arial" w:hAnsi="Arial" w:cs="Arial"/>
          <w:bCs/>
          <w:i/>
          <w:sz w:val="24"/>
          <w:szCs w:val="24"/>
        </w:rPr>
        <w:t xml:space="preserve">Ahora bien, de un análisis integral de todos los conceptos de impugnación esgrimidos por la parte actora, resulta oportuno pronunciarse que los </w:t>
      </w:r>
      <w:r>
        <w:rPr>
          <w:rFonts w:ascii="Arial" w:hAnsi="Arial" w:cs="Arial"/>
          <w:bCs/>
          <w:i/>
          <w:sz w:val="24"/>
          <w:szCs w:val="24"/>
        </w:rPr>
        <w:t>m</w:t>
      </w:r>
      <w:r w:rsidRPr="00964BEF">
        <w:rPr>
          <w:rFonts w:ascii="Arial" w:hAnsi="Arial" w:cs="Arial"/>
          <w:bCs/>
          <w:i/>
          <w:sz w:val="24"/>
          <w:szCs w:val="24"/>
        </w:rPr>
        <w:t>ismos son insuficientes para determinar la nulidad lisa y llana de la Convocatoria en estudio, los alcances y efectos de la misma y el procedimiento en su conjunto en los términos que solicita la parte actora, porque declarando la nulidad del acto impugnado podría dejarse en estado de indefensión a los administrados que hayan participado en los términos de la convocatoria en comento</w:t>
      </w:r>
      <w:r>
        <w:rPr>
          <w:rFonts w:ascii="Arial" w:hAnsi="Arial" w:cs="Arial"/>
          <w:bCs/>
          <w:sz w:val="26"/>
          <w:szCs w:val="26"/>
        </w:rPr>
        <w:t>”.</w:t>
      </w:r>
    </w:p>
    <w:p w:rsidR="00B0589E" w:rsidRDefault="00B0589E" w:rsidP="00B0589E">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 xml:space="preserve">Por </w:t>
      </w:r>
      <w:r w:rsidR="000C5E70">
        <w:rPr>
          <w:rStyle w:val="b"/>
          <w:rFonts w:ascii="Arial" w:eastAsia="Arial Unicode MS" w:hAnsi="Arial" w:cs="Arial"/>
          <w:color w:val="000000"/>
          <w:sz w:val="26"/>
          <w:szCs w:val="26"/>
        </w:rPr>
        <w:t xml:space="preserve">otra parte, </w:t>
      </w:r>
      <w:r>
        <w:rPr>
          <w:rStyle w:val="b"/>
          <w:rFonts w:ascii="Arial" w:eastAsia="Arial Unicode MS" w:hAnsi="Arial" w:cs="Arial"/>
          <w:color w:val="000000"/>
          <w:sz w:val="26"/>
          <w:szCs w:val="26"/>
        </w:rPr>
        <w:t xml:space="preserve">respecto a la garantía de audiencia establecida en el artículo 14 de la Constitución Federal, ésta no se transgrede, pues en ninguno de los ordenamientos que regulan la prestación del servicio público de transporte ni en una interpretación sistemática de dichas </w:t>
      </w:r>
      <w:r>
        <w:rPr>
          <w:rStyle w:val="b"/>
          <w:rFonts w:ascii="Arial" w:eastAsia="Arial Unicode MS" w:hAnsi="Arial" w:cs="Arial"/>
          <w:color w:val="000000"/>
          <w:sz w:val="26"/>
          <w:szCs w:val="26"/>
        </w:rPr>
        <w:lastRenderedPageBreak/>
        <w:t xml:space="preserve">normas, se </w:t>
      </w:r>
      <w:r w:rsidRPr="00127ECF">
        <w:rPr>
          <w:rStyle w:val="b"/>
          <w:rFonts w:ascii="Arial" w:eastAsia="Arial Unicode MS" w:hAnsi="Arial" w:cs="Arial"/>
          <w:color w:val="000000"/>
          <w:sz w:val="26"/>
          <w:szCs w:val="26"/>
        </w:rPr>
        <w:t xml:space="preserve">alude a que aquellos particulares que hayan solicitado una concesión para la prestación de dicho servicio público, </w:t>
      </w:r>
      <w:r>
        <w:rPr>
          <w:rStyle w:val="b"/>
          <w:rFonts w:ascii="Arial" w:eastAsia="Arial Unicode MS" w:hAnsi="Arial" w:cs="Arial"/>
          <w:color w:val="000000"/>
          <w:sz w:val="26"/>
          <w:szCs w:val="26"/>
        </w:rPr>
        <w:t>se les deba otorgar lo solicitado, por el solo hecho de pedirlo, pues el llamado que realiza el Estado, derivado de una necesidad que surja en torno al tema de la prestación de servicios públicos es una facultad discrecional</w:t>
      </w:r>
      <w:r w:rsidRPr="00127ECF">
        <w:rPr>
          <w:rStyle w:val="b"/>
          <w:rFonts w:ascii="Arial" w:eastAsia="Arial Unicode MS" w:hAnsi="Arial" w:cs="Arial"/>
          <w:color w:val="000000"/>
          <w:sz w:val="26"/>
          <w:szCs w:val="26"/>
        </w:rPr>
        <w:t xml:space="preserve"> en cuanto al lanzamiento de </w:t>
      </w:r>
      <w:r>
        <w:rPr>
          <w:rStyle w:val="b"/>
          <w:rFonts w:ascii="Arial" w:eastAsia="Arial Unicode MS" w:hAnsi="Arial" w:cs="Arial"/>
          <w:color w:val="000000"/>
          <w:sz w:val="26"/>
          <w:szCs w:val="26"/>
        </w:rPr>
        <w:t>dicha</w:t>
      </w:r>
      <w:r w:rsidRPr="00127ECF">
        <w:rPr>
          <w:rStyle w:val="b"/>
          <w:rFonts w:ascii="Arial" w:eastAsia="Arial Unicode MS" w:hAnsi="Arial" w:cs="Arial"/>
          <w:color w:val="000000"/>
          <w:sz w:val="26"/>
          <w:szCs w:val="26"/>
        </w:rPr>
        <w:t xml:space="preserve"> convocatoria</w:t>
      </w:r>
      <w:r>
        <w:rPr>
          <w:rStyle w:val="b"/>
          <w:rFonts w:ascii="Arial" w:eastAsia="Arial Unicode MS" w:hAnsi="Arial" w:cs="Arial"/>
          <w:color w:val="000000"/>
          <w:sz w:val="26"/>
          <w:szCs w:val="26"/>
        </w:rPr>
        <w:t>.</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 xml:space="preserve">Aunado al hecho de que no existe una </w:t>
      </w:r>
      <w:r w:rsidRPr="00127ECF">
        <w:rPr>
          <w:rStyle w:val="b"/>
          <w:rFonts w:ascii="Arial" w:eastAsia="Arial Unicode MS" w:hAnsi="Arial" w:cs="Arial"/>
          <w:color w:val="000000"/>
          <w:sz w:val="26"/>
          <w:szCs w:val="26"/>
        </w:rPr>
        <w:t>situación jurídica</w:t>
      </w:r>
      <w:r>
        <w:rPr>
          <w:rStyle w:val="b"/>
          <w:rFonts w:ascii="Arial" w:eastAsia="Arial Unicode MS" w:hAnsi="Arial" w:cs="Arial"/>
          <w:color w:val="000000"/>
          <w:sz w:val="26"/>
          <w:szCs w:val="26"/>
        </w:rPr>
        <w:t xml:space="preserve"> creada de manera previa a favor de</w:t>
      </w:r>
      <w:r w:rsidR="001E2C5A">
        <w:rPr>
          <w:rStyle w:val="b"/>
          <w:rFonts w:ascii="Arial" w:eastAsia="Arial Unicode MS" w:hAnsi="Arial" w:cs="Arial"/>
          <w:color w:val="000000"/>
          <w:sz w:val="26"/>
          <w:szCs w:val="26"/>
        </w:rPr>
        <w:t xml:space="preserve"> </w:t>
      </w:r>
      <w:r>
        <w:rPr>
          <w:rStyle w:val="b"/>
          <w:rFonts w:ascii="Arial" w:eastAsia="Arial Unicode MS" w:hAnsi="Arial" w:cs="Arial"/>
          <w:color w:val="000000"/>
          <w:sz w:val="26"/>
          <w:szCs w:val="26"/>
        </w:rPr>
        <w:t>l</w:t>
      </w:r>
      <w:r w:rsidR="001E2C5A">
        <w:rPr>
          <w:rStyle w:val="b"/>
          <w:rFonts w:ascii="Arial" w:eastAsia="Arial Unicode MS" w:hAnsi="Arial" w:cs="Arial"/>
          <w:color w:val="000000"/>
          <w:sz w:val="26"/>
          <w:szCs w:val="26"/>
        </w:rPr>
        <w:t>a parte</w:t>
      </w:r>
      <w:r>
        <w:rPr>
          <w:rStyle w:val="b"/>
          <w:rFonts w:ascii="Arial" w:eastAsia="Arial Unicode MS" w:hAnsi="Arial" w:cs="Arial"/>
          <w:color w:val="000000"/>
          <w:sz w:val="26"/>
          <w:szCs w:val="26"/>
        </w:rPr>
        <w:t xml:space="preserve"> actor</w:t>
      </w:r>
      <w:r w:rsidR="001E2C5A">
        <w:rPr>
          <w:rStyle w:val="b"/>
          <w:rFonts w:ascii="Arial" w:eastAsia="Arial Unicode MS" w:hAnsi="Arial" w:cs="Arial"/>
          <w:color w:val="000000"/>
          <w:sz w:val="26"/>
          <w:szCs w:val="26"/>
        </w:rPr>
        <w:t>a</w:t>
      </w:r>
      <w:r>
        <w:rPr>
          <w:rStyle w:val="b"/>
          <w:rFonts w:ascii="Arial" w:eastAsia="Arial Unicode MS" w:hAnsi="Arial" w:cs="Arial"/>
          <w:color w:val="000000"/>
          <w:sz w:val="26"/>
          <w:szCs w:val="26"/>
        </w:rPr>
        <w:t xml:space="preserve"> en el juici</w:t>
      </w:r>
      <w:r w:rsidR="001E2C5A">
        <w:rPr>
          <w:rStyle w:val="b"/>
          <w:rFonts w:ascii="Arial" w:eastAsia="Arial Unicode MS" w:hAnsi="Arial" w:cs="Arial"/>
          <w:color w:val="000000"/>
          <w:sz w:val="26"/>
          <w:szCs w:val="26"/>
        </w:rPr>
        <w:t xml:space="preserve">o de nulidad, pues en el caso, </w:t>
      </w:r>
      <w:r w:rsidR="00E56048">
        <w:rPr>
          <w:rStyle w:val="b"/>
          <w:rFonts w:ascii="Arial" w:eastAsia="Arial Unicode MS" w:hAnsi="Arial" w:cs="Arial"/>
          <w:color w:val="000000"/>
          <w:sz w:val="26"/>
          <w:szCs w:val="26"/>
        </w:rPr>
        <w:t>**********</w:t>
      </w:r>
      <w:r>
        <w:rPr>
          <w:rStyle w:val="b"/>
          <w:rFonts w:ascii="Arial" w:eastAsia="Arial Unicode MS" w:hAnsi="Arial" w:cs="Arial"/>
          <w:color w:val="000000"/>
          <w:sz w:val="26"/>
          <w:szCs w:val="26"/>
        </w:rPr>
        <w:t>únicamente dirigió ante la autoridad del transporte una petición para que, en el caso de cumplir con los requisitos y de considerarlo procedente, el Titular del Ejecutivo le otorgara un título de concesión; sin embargo, sólo se tiene una expectativa de derecho más no se afecta ninguna situación jurídica por un acto administrativo posterior, como lo es, el lanzamiento de la convocatoria de mérito.</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Robustece esta consideración el hecho de que no se está ante un concesionario ya establecido, el cual debería entenderse que a través del derecho de audiencia solicitaría una preservación de la situación jurídica ya creada respecto a ellos, independientemente de la procedencia o no de este derecho, de acuerdo a las disposiciones y condiciones que rigen la prestación del servicio público de transporte; por lo que, en el caso, no existe una violación al artículo 14 de la Constitución Federal.</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En este contexto, resulta aplicable en cuanto a la garantía de audiencia y la situación jurídica ya establecida, la jurisprudencia 2ª./J.55/2012, sostenida por la Segunda Sala de la Suprema Corte de Justicia de la Nación, visible a página 1158, del Semanario Judicial de la Federación y su Gaceta, Libro X, Tomo 2, Julio de 2012, de la Décima Época, de rubro y texto siguientes:</w:t>
      </w:r>
    </w:p>
    <w:p w:rsidR="005F5150" w:rsidRPr="00D07149" w:rsidRDefault="005F5150" w:rsidP="00D07149">
      <w:pPr>
        <w:spacing w:before="100" w:beforeAutospacing="1" w:after="0" w:line="240" w:lineRule="auto"/>
        <w:ind w:firstLine="709"/>
        <w:jc w:val="both"/>
        <w:rPr>
          <w:rStyle w:val="b"/>
          <w:rFonts w:ascii="Arial" w:eastAsia="Arial Unicode MS" w:hAnsi="Arial" w:cs="Arial"/>
          <w:i/>
          <w:color w:val="000000"/>
        </w:rPr>
      </w:pPr>
      <w:r w:rsidRPr="00D07149">
        <w:rPr>
          <w:rStyle w:val="b"/>
          <w:rFonts w:ascii="Arial" w:eastAsia="Arial Unicode MS" w:hAnsi="Arial" w:cs="Arial"/>
          <w:b/>
          <w:i/>
          <w:color w:val="000000"/>
        </w:rPr>
        <w:t>“SERVICIOS PÚBLICOS DE TRANSPORTE EN EL ESTADO DE PUEBLA. ANTES DE AUTORIZAR SU MODIFICACIÓN O INCREMENTO DEBE RESPETARSE EL DERECHO DE AUDIENCIA DE LOS CONCESIONARIOS EXISTENTES.</w:t>
      </w:r>
      <w:r w:rsidRPr="00D07149">
        <w:rPr>
          <w:rStyle w:val="b"/>
          <w:rFonts w:ascii="Arial" w:eastAsia="Arial Unicode MS" w:hAnsi="Arial" w:cs="Arial"/>
          <w:color w:val="000000"/>
        </w:rPr>
        <w:t xml:space="preserve"> </w:t>
      </w:r>
      <w:r w:rsidRPr="00D07149">
        <w:rPr>
          <w:rStyle w:val="b"/>
          <w:rFonts w:ascii="Arial" w:eastAsia="Arial Unicode MS" w:hAnsi="Arial" w:cs="Arial"/>
          <w:i/>
          <w:color w:val="000000"/>
        </w:rPr>
        <w:t xml:space="preserve">El artículo 60, párrafo segundo, de la Ley del Transporte para el Estado de Puebla dispone que tratándose de la modificación e incremento de los servicios públicos de transporte ya establecidos, la Secretaría de Comunicaciones y Transportes de esa entidad podrá escuchar a los concesionarios, quienes deberán acreditar su interés jurídico, dentro del plazo de 3 días hábiles contados a partir del día siguiente al de la notificación respectiva, para que expongan por escrito lo que a su derecho convenga. El vocablo "podrá" utilizado en la norma no implica que sea potestativo para la autoridad escuchar a los concesionarios, pues en este caso debe </w:t>
      </w:r>
      <w:r w:rsidRPr="00D07149">
        <w:rPr>
          <w:rStyle w:val="b"/>
          <w:rFonts w:ascii="Arial" w:eastAsia="Arial Unicode MS" w:hAnsi="Arial" w:cs="Arial"/>
          <w:i/>
          <w:color w:val="000000"/>
        </w:rPr>
        <w:lastRenderedPageBreak/>
        <w:t>respetar los derechos preferenciales de quienes venían cubriendo una ruta, cuando hay necesidad de ampliar en ella los servicios, porque el incremento o modificación de las rutas de transporte afecta la situación jurídica previamente establecida de quienes prestan el servicio y, por ello, constituye un acto privativo de derechos de los concesionarios establecidos, quienes deben ser escuchados en el procedimiento, como lo ordena el artículo 14 de la Constitución Política de los Estados Unidos Mexicanos.”</w:t>
      </w:r>
    </w:p>
    <w:p w:rsidR="00677773" w:rsidRDefault="005D0C29" w:rsidP="007472E0">
      <w:pPr>
        <w:spacing w:before="240" w:line="360" w:lineRule="auto"/>
        <w:ind w:firstLine="708"/>
        <w:jc w:val="both"/>
        <w:rPr>
          <w:rStyle w:val="b"/>
          <w:rFonts w:ascii="Arial" w:eastAsia="Arial Unicode MS" w:hAnsi="Arial" w:cs="Arial"/>
          <w:color w:val="000000"/>
          <w:sz w:val="26"/>
          <w:szCs w:val="26"/>
        </w:rPr>
      </w:pPr>
      <w:r>
        <w:rPr>
          <w:rFonts w:ascii="Arial" w:hAnsi="Arial" w:cs="Arial"/>
          <w:bCs/>
          <w:sz w:val="26"/>
          <w:szCs w:val="26"/>
        </w:rPr>
        <w:t>Por otra parte, es de señ</w:t>
      </w:r>
      <w:r w:rsidR="00D07149">
        <w:rPr>
          <w:rFonts w:ascii="Arial" w:hAnsi="Arial" w:cs="Arial"/>
          <w:bCs/>
          <w:sz w:val="26"/>
          <w:szCs w:val="26"/>
        </w:rPr>
        <w:t>alarse</w:t>
      </w:r>
      <w:r>
        <w:rPr>
          <w:rFonts w:ascii="Arial" w:hAnsi="Arial" w:cs="Arial"/>
          <w:bCs/>
          <w:sz w:val="26"/>
          <w:szCs w:val="26"/>
        </w:rPr>
        <w:t xml:space="preserve">: </w:t>
      </w:r>
      <w:r w:rsidRPr="005D0C29">
        <w:rPr>
          <w:rFonts w:ascii="Arial" w:hAnsi="Arial" w:cs="Arial"/>
          <w:b/>
          <w:bCs/>
          <w:sz w:val="26"/>
          <w:szCs w:val="26"/>
        </w:rPr>
        <w:t>a)</w:t>
      </w:r>
      <w:r>
        <w:rPr>
          <w:rFonts w:ascii="Arial" w:hAnsi="Arial" w:cs="Arial"/>
          <w:bCs/>
          <w:sz w:val="26"/>
          <w:szCs w:val="26"/>
        </w:rPr>
        <w:t xml:space="preserve">.- </w:t>
      </w:r>
      <w:r w:rsidR="00DF7A64">
        <w:rPr>
          <w:rFonts w:ascii="Arial" w:hAnsi="Arial" w:cs="Arial"/>
          <w:bCs/>
          <w:sz w:val="26"/>
          <w:szCs w:val="26"/>
        </w:rPr>
        <w:t xml:space="preserve">Que </w:t>
      </w:r>
      <w:r w:rsidR="00677773" w:rsidRPr="005D0C29">
        <w:rPr>
          <w:rFonts w:ascii="Arial" w:hAnsi="Arial" w:cs="Arial"/>
          <w:bCs/>
          <w:sz w:val="26"/>
          <w:szCs w:val="26"/>
        </w:rPr>
        <w:t xml:space="preserve">el Secretario de Vialidad y Transporte, es autoridad competente para emitir el acto controvertido, </w:t>
      </w:r>
      <w:r w:rsidR="00A465DA" w:rsidRPr="005D0C29">
        <w:rPr>
          <w:rFonts w:ascii="Arial" w:hAnsi="Arial" w:cs="Arial"/>
          <w:bCs/>
          <w:sz w:val="26"/>
          <w:szCs w:val="26"/>
        </w:rPr>
        <w:t xml:space="preserve">en virtud </w:t>
      </w:r>
      <w:r w:rsidR="00677773" w:rsidRPr="005D0C29">
        <w:rPr>
          <w:rFonts w:ascii="Arial" w:hAnsi="Arial" w:cs="Arial"/>
          <w:bCs/>
          <w:sz w:val="26"/>
          <w:szCs w:val="26"/>
        </w:rPr>
        <w:t>de que en la convocatoria impugnada se señalan como fundamento para su emisión los artículos 40, fracción IV, de la Ley Orgánica del Poder Ejecutivo del Estado de Oaxac</w:t>
      </w:r>
      <w:r w:rsidR="00677773" w:rsidRPr="00A465DA">
        <w:rPr>
          <w:rFonts w:ascii="Arial" w:hAnsi="Arial" w:cs="Arial"/>
          <w:bCs/>
          <w:sz w:val="26"/>
          <w:szCs w:val="26"/>
        </w:rPr>
        <w:t>a, 7 BIS , fracción IV y 29 BIS, de la Ley de Tránsito Refor</w:t>
      </w:r>
      <w:r w:rsidR="00677773">
        <w:rPr>
          <w:rFonts w:ascii="Arial" w:hAnsi="Arial" w:cs="Arial"/>
          <w:bCs/>
          <w:sz w:val="26"/>
          <w:szCs w:val="26"/>
        </w:rPr>
        <w:t xml:space="preserve">mada del Estado, los cuales otorgan facultades a dicha autoridad para conocer, iniciar e instruir los trámites para otorgar, revocar, cancelar, suspender, modificar, prorrogar, renovar, aprobar y dar por terminadas, según corresponda, las concesiones, que otorgue el Titular del Ejecutivo y el último de los numerales hace alusión a la convocatoria pública como parte del referido procedimiento; por lo que en una interpretación sistemática de los artículos transcritos se desprende que el Secretario de Vialidad está facultado para emitir la convocatoria; </w:t>
      </w:r>
      <w:r w:rsidR="00DF7A64">
        <w:rPr>
          <w:rFonts w:ascii="Arial" w:hAnsi="Arial" w:cs="Arial"/>
          <w:bCs/>
          <w:sz w:val="26"/>
          <w:szCs w:val="26"/>
        </w:rPr>
        <w:t>b</w:t>
      </w:r>
      <w:r w:rsidR="00677773">
        <w:rPr>
          <w:rFonts w:ascii="Arial" w:hAnsi="Arial" w:cs="Arial"/>
          <w:bCs/>
          <w:sz w:val="26"/>
          <w:szCs w:val="26"/>
        </w:rPr>
        <w:t>)</w:t>
      </w:r>
      <w:r w:rsidR="00DF7A64">
        <w:rPr>
          <w:rFonts w:ascii="Arial" w:hAnsi="Arial" w:cs="Arial"/>
          <w:bCs/>
          <w:sz w:val="26"/>
          <w:szCs w:val="26"/>
        </w:rPr>
        <w:t>.-</w:t>
      </w:r>
      <w:r w:rsidR="00677773">
        <w:rPr>
          <w:rFonts w:ascii="Arial" w:hAnsi="Arial" w:cs="Arial"/>
          <w:bCs/>
          <w:sz w:val="26"/>
          <w:szCs w:val="26"/>
        </w:rPr>
        <w:t xml:space="preserve"> Que la Secretaría de Vialidad y Transporte quedó autorizada para emitir la convocatoria, conforme a lo dispuesto por el artículo 29, bis de la Ley de Tránsito Reformada, pues en el Extra del Periódico Oficial del Gobierno del Estado, de 18 dieciocho de abril de 2013 dos mil trece, se publicó el acuerdo del Titular del Ejecutivo del Estado, por medio del cual se “levanta temporal y parcialmente, la suspensión de trámites para el otorgamiento de concesiones a que se refiere el acuerdo publicado en el Periódico Oficial del Gobierno del Estado, de 13 trece de agosto de 2012 dos mil doce, para el otorgamiento de concesiones para la prestación del servicio público de transporte en la modalidad de taxi, única y exclusivamente para la Ciudad de Huajuapan de León, Oaxaca”, el cual entró en v</w:t>
      </w:r>
      <w:r w:rsidR="00DF7A64">
        <w:rPr>
          <w:rFonts w:ascii="Arial" w:hAnsi="Arial" w:cs="Arial"/>
          <w:bCs/>
          <w:sz w:val="26"/>
          <w:szCs w:val="26"/>
        </w:rPr>
        <w:t>igor el día de su publicación; c</w:t>
      </w:r>
      <w:r w:rsidR="00677773">
        <w:rPr>
          <w:rFonts w:ascii="Arial" w:hAnsi="Arial" w:cs="Arial"/>
          <w:bCs/>
          <w:sz w:val="26"/>
          <w:szCs w:val="26"/>
        </w:rPr>
        <w:t>)</w:t>
      </w:r>
      <w:r w:rsidR="00DF7A64">
        <w:rPr>
          <w:rFonts w:ascii="Arial" w:hAnsi="Arial" w:cs="Arial"/>
          <w:bCs/>
          <w:sz w:val="26"/>
          <w:szCs w:val="26"/>
        </w:rPr>
        <w:t>.-</w:t>
      </w:r>
      <w:r w:rsidR="00677773">
        <w:rPr>
          <w:rFonts w:ascii="Arial" w:hAnsi="Arial" w:cs="Arial"/>
          <w:bCs/>
          <w:sz w:val="26"/>
          <w:szCs w:val="26"/>
        </w:rPr>
        <w:t xml:space="preserve"> También se estableció, que el procedimiento para el otorgamiento de concesiones para prestar el servicio público de transporte de pasajeros debe desarrollarse cumpliéndose los requisitos y condiciones que aseguren la eficacia en la prestación de dichos servicios y la utilización social de los bienes en uso o explotación</w:t>
      </w:r>
      <w:r w:rsidR="004C5014">
        <w:rPr>
          <w:rFonts w:ascii="Arial" w:hAnsi="Arial" w:cs="Arial"/>
          <w:bCs/>
          <w:sz w:val="26"/>
          <w:szCs w:val="26"/>
        </w:rPr>
        <w:t>;</w:t>
      </w:r>
      <w:r w:rsidR="00677773">
        <w:rPr>
          <w:rFonts w:ascii="Arial" w:hAnsi="Arial" w:cs="Arial"/>
          <w:bCs/>
          <w:sz w:val="26"/>
          <w:szCs w:val="26"/>
        </w:rPr>
        <w:t xml:space="preserve"> así el Estado</w:t>
      </w:r>
      <w:r w:rsidR="004C5014">
        <w:rPr>
          <w:rFonts w:ascii="Arial" w:hAnsi="Arial" w:cs="Arial"/>
          <w:bCs/>
          <w:sz w:val="26"/>
          <w:szCs w:val="26"/>
        </w:rPr>
        <w:t>,</w:t>
      </w:r>
      <w:r w:rsidR="00677773">
        <w:rPr>
          <w:rFonts w:ascii="Arial" w:hAnsi="Arial" w:cs="Arial"/>
          <w:bCs/>
          <w:sz w:val="26"/>
          <w:szCs w:val="26"/>
        </w:rPr>
        <w:t xml:space="preserve"> en su calidad de concesionante y los particulares como solicitantes de concesiones deben sujetarse a las </w:t>
      </w:r>
      <w:r w:rsidR="00677773">
        <w:rPr>
          <w:rFonts w:ascii="Arial" w:hAnsi="Arial" w:cs="Arial"/>
          <w:bCs/>
          <w:sz w:val="26"/>
          <w:szCs w:val="26"/>
        </w:rPr>
        <w:lastRenderedPageBreak/>
        <w:t>leyes que regulan el procedimiento para otorgar concesiones del servicio público dentro del marco de los derechos, obligaciones, límites de las partes en dicho procedimiento, de tal modo que si bien la convocatoria fue emitida para un cierto grupo de ciudadanos que previamente fueron identificados como propietario</w:t>
      </w:r>
      <w:r w:rsidR="00A07E65">
        <w:rPr>
          <w:rFonts w:ascii="Arial" w:hAnsi="Arial" w:cs="Arial"/>
          <w:bCs/>
          <w:sz w:val="26"/>
          <w:szCs w:val="26"/>
        </w:rPr>
        <w:t>s</w:t>
      </w:r>
      <w:r w:rsidR="00677773">
        <w:rPr>
          <w:rFonts w:ascii="Arial" w:hAnsi="Arial" w:cs="Arial"/>
          <w:bCs/>
          <w:sz w:val="26"/>
          <w:szCs w:val="26"/>
        </w:rPr>
        <w:t xml:space="preserve"> de unidades susceptibles de regularizar y se les asignó un juego de elementos de identificación oficiales, consistente en un tarjetón y una </w:t>
      </w:r>
      <w:r w:rsidR="00677773" w:rsidRPr="00B947EC">
        <w:rPr>
          <w:rFonts w:ascii="Arial" w:hAnsi="Arial" w:cs="Arial"/>
          <w:bCs/>
          <w:sz w:val="26"/>
          <w:szCs w:val="26"/>
        </w:rPr>
        <w:t>calcomanía que fueron otorgados de forma personal a los propietarios y poseedores de las unidades, conforme a los criterios establecidos por la Secretaría de Vialidad y Transporte del Gobierno del Estado</w:t>
      </w:r>
      <w:r w:rsidR="00A07E65">
        <w:rPr>
          <w:rFonts w:ascii="Arial" w:hAnsi="Arial" w:cs="Arial"/>
          <w:bCs/>
          <w:sz w:val="26"/>
          <w:szCs w:val="26"/>
        </w:rPr>
        <w:t>;</w:t>
      </w:r>
      <w:r w:rsidR="00677773" w:rsidRPr="00B947EC">
        <w:rPr>
          <w:rFonts w:ascii="Arial" w:hAnsi="Arial" w:cs="Arial"/>
          <w:bCs/>
          <w:sz w:val="26"/>
          <w:szCs w:val="26"/>
        </w:rPr>
        <w:t xml:space="preserve"> </w:t>
      </w:r>
      <w:r w:rsidR="00D27A3E">
        <w:rPr>
          <w:rFonts w:ascii="Arial" w:hAnsi="Arial" w:cs="Arial"/>
          <w:bCs/>
          <w:sz w:val="26"/>
          <w:szCs w:val="26"/>
        </w:rPr>
        <w:t xml:space="preserve">sin que </w:t>
      </w:r>
      <w:r w:rsidR="00677773">
        <w:rPr>
          <w:rFonts w:ascii="Arial" w:hAnsi="Arial" w:cs="Arial"/>
          <w:bCs/>
          <w:sz w:val="26"/>
          <w:szCs w:val="26"/>
        </w:rPr>
        <w:t>l</w:t>
      </w:r>
      <w:r w:rsidR="00A07E65">
        <w:rPr>
          <w:rFonts w:ascii="Arial" w:hAnsi="Arial" w:cs="Arial"/>
          <w:bCs/>
          <w:sz w:val="26"/>
          <w:szCs w:val="26"/>
        </w:rPr>
        <w:t>a</w:t>
      </w:r>
      <w:r w:rsidR="00677773">
        <w:rPr>
          <w:rFonts w:ascii="Arial" w:hAnsi="Arial" w:cs="Arial"/>
          <w:bCs/>
          <w:sz w:val="26"/>
          <w:szCs w:val="26"/>
        </w:rPr>
        <w:t xml:space="preserve"> </w:t>
      </w:r>
      <w:r w:rsidR="00D27A3E">
        <w:rPr>
          <w:rFonts w:ascii="Arial" w:hAnsi="Arial" w:cs="Arial"/>
          <w:bCs/>
          <w:sz w:val="26"/>
          <w:szCs w:val="26"/>
        </w:rPr>
        <w:t xml:space="preserve">parte </w:t>
      </w:r>
      <w:r w:rsidR="00677773">
        <w:rPr>
          <w:rFonts w:ascii="Arial" w:hAnsi="Arial" w:cs="Arial"/>
          <w:bCs/>
          <w:sz w:val="26"/>
          <w:szCs w:val="26"/>
        </w:rPr>
        <w:t>actor</w:t>
      </w:r>
      <w:r w:rsidR="00A07E65">
        <w:rPr>
          <w:rFonts w:ascii="Arial" w:hAnsi="Arial" w:cs="Arial"/>
          <w:bCs/>
          <w:sz w:val="26"/>
          <w:szCs w:val="26"/>
        </w:rPr>
        <w:t>a</w:t>
      </w:r>
      <w:r w:rsidR="00677773">
        <w:rPr>
          <w:rFonts w:ascii="Arial" w:hAnsi="Arial" w:cs="Arial"/>
          <w:bCs/>
          <w:sz w:val="26"/>
          <w:szCs w:val="26"/>
        </w:rPr>
        <w:t xml:space="preserve"> acredit</w:t>
      </w:r>
      <w:r w:rsidR="00D27A3E">
        <w:rPr>
          <w:rFonts w:ascii="Arial" w:hAnsi="Arial" w:cs="Arial"/>
          <w:bCs/>
          <w:sz w:val="26"/>
          <w:szCs w:val="26"/>
        </w:rPr>
        <w:t>ara</w:t>
      </w:r>
      <w:r w:rsidR="00677773">
        <w:rPr>
          <w:rFonts w:ascii="Arial" w:hAnsi="Arial" w:cs="Arial"/>
          <w:bCs/>
          <w:sz w:val="26"/>
          <w:szCs w:val="26"/>
        </w:rPr>
        <w:t xml:space="preserve"> </w:t>
      </w:r>
      <w:r w:rsidR="00CA6F44">
        <w:rPr>
          <w:rFonts w:ascii="Arial" w:hAnsi="Arial" w:cs="Arial"/>
          <w:bCs/>
          <w:sz w:val="26"/>
          <w:szCs w:val="26"/>
        </w:rPr>
        <w:t>con documento idóneo</w:t>
      </w:r>
      <w:r w:rsidR="00677773" w:rsidRPr="008811C6">
        <w:rPr>
          <w:rFonts w:ascii="Arial" w:hAnsi="Arial" w:cs="Arial"/>
          <w:bCs/>
          <w:sz w:val="26"/>
          <w:szCs w:val="26"/>
        </w:rPr>
        <w:t xml:space="preserve"> que fuera propietaria o poseedora</w:t>
      </w:r>
      <w:r w:rsidR="00677773">
        <w:rPr>
          <w:rFonts w:ascii="Arial" w:hAnsi="Arial" w:cs="Arial"/>
          <w:bCs/>
          <w:sz w:val="26"/>
          <w:szCs w:val="26"/>
        </w:rPr>
        <w:t xml:space="preserve"> de una unidad susceptible de ser regularizada, ni que el otorgamiento de los elementos de identificación aludidos fueron otorgados irregularmente como ella lo señala, siendo insuficien</w:t>
      </w:r>
      <w:r w:rsidR="00DF7A64">
        <w:rPr>
          <w:rFonts w:ascii="Arial" w:hAnsi="Arial" w:cs="Arial"/>
          <w:bCs/>
          <w:sz w:val="26"/>
          <w:szCs w:val="26"/>
        </w:rPr>
        <w:t xml:space="preserve">tes las afirmaciones que hace; </w:t>
      </w:r>
      <w:r w:rsidR="00DF7A64" w:rsidRPr="00DF7A64">
        <w:rPr>
          <w:rFonts w:ascii="Arial" w:hAnsi="Arial" w:cs="Arial"/>
          <w:b/>
          <w:bCs/>
          <w:sz w:val="26"/>
          <w:szCs w:val="26"/>
        </w:rPr>
        <w:t>d</w:t>
      </w:r>
      <w:r w:rsidR="00677773" w:rsidRPr="00DF7A64">
        <w:rPr>
          <w:rFonts w:ascii="Arial" w:hAnsi="Arial" w:cs="Arial"/>
          <w:b/>
          <w:bCs/>
          <w:sz w:val="26"/>
          <w:szCs w:val="26"/>
        </w:rPr>
        <w:t>)</w:t>
      </w:r>
      <w:r w:rsidR="00DF7A64">
        <w:rPr>
          <w:rFonts w:ascii="Arial" w:hAnsi="Arial" w:cs="Arial"/>
          <w:b/>
          <w:bCs/>
          <w:sz w:val="26"/>
          <w:szCs w:val="26"/>
        </w:rPr>
        <w:t>.-</w:t>
      </w:r>
      <w:r w:rsidR="00677773">
        <w:rPr>
          <w:rFonts w:ascii="Arial" w:hAnsi="Arial" w:cs="Arial"/>
          <w:bCs/>
          <w:sz w:val="26"/>
          <w:szCs w:val="26"/>
        </w:rPr>
        <w:t xml:space="preserve"> </w:t>
      </w:r>
      <w:r w:rsidR="00DF7A64">
        <w:rPr>
          <w:rFonts w:ascii="Arial" w:hAnsi="Arial" w:cs="Arial"/>
          <w:bCs/>
          <w:sz w:val="26"/>
          <w:szCs w:val="26"/>
        </w:rPr>
        <w:t>Q</w:t>
      </w:r>
      <w:r w:rsidR="007472E0">
        <w:rPr>
          <w:rFonts w:ascii="Arial" w:hAnsi="Arial" w:cs="Arial"/>
          <w:bCs/>
          <w:sz w:val="26"/>
          <w:szCs w:val="26"/>
        </w:rPr>
        <w:t>ue</w:t>
      </w:r>
      <w:r w:rsidR="00677773">
        <w:rPr>
          <w:rFonts w:ascii="Arial" w:hAnsi="Arial" w:cs="Arial"/>
          <w:bCs/>
          <w:sz w:val="26"/>
          <w:szCs w:val="26"/>
        </w:rPr>
        <w:t xml:space="preserve"> </w:t>
      </w:r>
      <w:r w:rsidR="00677773">
        <w:rPr>
          <w:rStyle w:val="b"/>
          <w:rFonts w:ascii="Arial" w:eastAsia="Arial Unicode MS" w:hAnsi="Arial" w:cs="Arial"/>
          <w:color w:val="000000"/>
          <w:sz w:val="26"/>
          <w:szCs w:val="26"/>
        </w:rPr>
        <w:t xml:space="preserve">tal y como lo establece la propia convocatoria la Secretaria de Vialidad y Transporte realizó un conjunto de acciones de estudio y análisis con el conocimiento y participación de diversos actores que inciden en la problemática de transporte existente en la Ciudad de Huajuapan de León, Oaxaca, para identificar aquellas unidades de motor que prestaban ya el servicio público de transporte sin contar con la autorización oficial debida, otorgándoles a éstas dichos elementos de identificación, por lo que no puede considerarse tal situación un acto consentido por el actor; sino derivado de la “necesidad” de la convocatoria es que ésta fue dirigida a determinado grupo de personas, como ya quedó establecido en párrafos anteriores, lo que no constituye un acto ilegal; ni existió confusión por parte de la juzgadora en cuanto al objeto de la regularización, pues como lo estableció </w:t>
      </w:r>
      <w:r w:rsidR="00677773" w:rsidRPr="00D3545B">
        <w:rPr>
          <w:rStyle w:val="b"/>
          <w:rFonts w:ascii="Arial" w:eastAsia="Arial Unicode MS" w:hAnsi="Arial" w:cs="Arial"/>
          <w:color w:val="000000"/>
          <w:sz w:val="26"/>
          <w:szCs w:val="26"/>
        </w:rPr>
        <w:t xml:space="preserve"> </w:t>
      </w:r>
      <w:r w:rsidR="00677773">
        <w:rPr>
          <w:rStyle w:val="b"/>
          <w:rFonts w:ascii="Arial" w:eastAsia="Arial Unicode MS" w:hAnsi="Arial" w:cs="Arial"/>
          <w:color w:val="000000"/>
          <w:sz w:val="26"/>
          <w:szCs w:val="26"/>
        </w:rPr>
        <w:t>la convocatoria se regularizarían aquellos particulares que prestan el servició público de transporte pero sin concesión alguna a través del otorgamiento formal de un título de concesión, una vez reunidos los requisitos de ley y la participación en el procedimiento administrativo para el otorgamiento de los títulos de concesión.</w:t>
      </w:r>
    </w:p>
    <w:p w:rsidR="00E24EDC" w:rsidRPr="00F4052F" w:rsidRDefault="00D27A3E" w:rsidP="00677773">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Por otra parte</w:t>
      </w:r>
      <w:r w:rsidR="00677773">
        <w:rPr>
          <w:rStyle w:val="b"/>
          <w:rFonts w:ascii="Arial" w:eastAsia="Arial Unicode MS" w:hAnsi="Arial" w:cs="Arial"/>
          <w:color w:val="000000"/>
          <w:sz w:val="26"/>
          <w:szCs w:val="26"/>
        </w:rPr>
        <w:t xml:space="preserve"> l</w:t>
      </w:r>
      <w:r w:rsidR="00DA3001">
        <w:rPr>
          <w:rStyle w:val="b"/>
          <w:rFonts w:ascii="Arial" w:eastAsia="Arial Unicode MS" w:hAnsi="Arial" w:cs="Arial"/>
          <w:color w:val="000000"/>
          <w:sz w:val="26"/>
          <w:szCs w:val="26"/>
        </w:rPr>
        <w:t>a</w:t>
      </w:r>
      <w:r w:rsidR="00677773">
        <w:rPr>
          <w:rStyle w:val="b"/>
          <w:rFonts w:ascii="Arial" w:eastAsia="Arial Unicode MS" w:hAnsi="Arial" w:cs="Arial"/>
          <w:color w:val="000000"/>
          <w:sz w:val="26"/>
          <w:szCs w:val="26"/>
        </w:rPr>
        <w:t xml:space="preserve"> actor</w:t>
      </w:r>
      <w:r w:rsidR="00DA3001">
        <w:rPr>
          <w:rStyle w:val="b"/>
          <w:rFonts w:ascii="Arial" w:eastAsia="Arial Unicode MS" w:hAnsi="Arial" w:cs="Arial"/>
          <w:color w:val="000000"/>
          <w:sz w:val="26"/>
          <w:szCs w:val="26"/>
        </w:rPr>
        <w:t>a</w:t>
      </w:r>
      <w:r w:rsidR="00677773">
        <w:rPr>
          <w:rStyle w:val="b"/>
          <w:rFonts w:ascii="Arial" w:eastAsia="Arial Unicode MS" w:hAnsi="Arial" w:cs="Arial"/>
          <w:color w:val="000000"/>
          <w:sz w:val="26"/>
          <w:szCs w:val="26"/>
        </w:rPr>
        <w:t xml:space="preserve"> no acreditó la irregularidad de los elementos de identificación, siendo insuficientes las afirmaciones que hace</w:t>
      </w:r>
      <w:r w:rsidR="0051459E">
        <w:rPr>
          <w:rStyle w:val="b"/>
          <w:rFonts w:ascii="Arial" w:eastAsia="Arial Unicode MS" w:hAnsi="Arial" w:cs="Arial"/>
          <w:color w:val="000000"/>
          <w:sz w:val="26"/>
          <w:szCs w:val="26"/>
        </w:rPr>
        <w:t xml:space="preserve">, sin que haya exhibido medio de prueba idóneo para acreditar </w:t>
      </w:r>
      <w:r w:rsidR="00677773">
        <w:rPr>
          <w:rStyle w:val="b"/>
          <w:rFonts w:ascii="Arial" w:eastAsia="Arial Unicode MS" w:hAnsi="Arial" w:cs="Arial"/>
          <w:color w:val="000000"/>
          <w:sz w:val="26"/>
          <w:szCs w:val="26"/>
        </w:rPr>
        <w:t xml:space="preserve"> </w:t>
      </w:r>
      <w:r w:rsidR="00F4052F">
        <w:rPr>
          <w:rStyle w:val="b"/>
          <w:rFonts w:ascii="Arial" w:eastAsia="Arial Unicode MS" w:hAnsi="Arial" w:cs="Arial"/>
          <w:color w:val="000000"/>
          <w:sz w:val="26"/>
          <w:szCs w:val="26"/>
        </w:rPr>
        <w:t>sus aseveraciones</w:t>
      </w:r>
      <w:r w:rsidR="00677773">
        <w:rPr>
          <w:rStyle w:val="b"/>
          <w:rFonts w:ascii="Arial" w:eastAsia="Arial Unicode MS" w:hAnsi="Arial" w:cs="Arial"/>
          <w:color w:val="000000"/>
          <w:sz w:val="26"/>
          <w:szCs w:val="26"/>
        </w:rPr>
        <w:t xml:space="preserve">; máxime que en el caso, la Litis en el presente juicio </w:t>
      </w:r>
      <w:r w:rsidR="00677773">
        <w:rPr>
          <w:rStyle w:val="b"/>
          <w:rFonts w:ascii="Arial" w:eastAsia="Arial Unicode MS" w:hAnsi="Arial" w:cs="Arial"/>
          <w:color w:val="000000"/>
          <w:sz w:val="26"/>
          <w:szCs w:val="26"/>
        </w:rPr>
        <w:lastRenderedPageBreak/>
        <w:t>se centró en la convocatoria lanzada</w:t>
      </w:r>
      <w:r w:rsidR="00F4052F">
        <w:rPr>
          <w:rStyle w:val="b"/>
          <w:rFonts w:ascii="Arial" w:eastAsia="Arial Unicode MS" w:hAnsi="Arial" w:cs="Arial"/>
          <w:color w:val="000000"/>
          <w:sz w:val="26"/>
          <w:szCs w:val="26"/>
        </w:rPr>
        <w:t>,</w:t>
      </w:r>
      <w:r w:rsidR="00677773">
        <w:rPr>
          <w:rStyle w:val="b"/>
          <w:rFonts w:ascii="Arial" w:eastAsia="Arial Unicode MS" w:hAnsi="Arial" w:cs="Arial"/>
          <w:color w:val="000000"/>
          <w:sz w:val="26"/>
          <w:szCs w:val="26"/>
        </w:rPr>
        <w:t xml:space="preserve"> no así en el otorgamiento de los elementos de identificación.</w:t>
      </w:r>
      <w:r w:rsidR="00F4052F">
        <w:rPr>
          <w:rStyle w:val="b"/>
          <w:rFonts w:ascii="Arial" w:eastAsia="Arial Unicode MS" w:hAnsi="Arial" w:cs="Arial"/>
          <w:color w:val="000000"/>
          <w:sz w:val="26"/>
          <w:szCs w:val="26"/>
        </w:rPr>
        <w:t xml:space="preserve"> Por ello, es que resulta procedente </w:t>
      </w:r>
      <w:r w:rsidR="00F4052F">
        <w:rPr>
          <w:rStyle w:val="b"/>
          <w:rFonts w:ascii="Arial" w:eastAsia="Arial Unicode MS" w:hAnsi="Arial" w:cs="Arial"/>
          <w:b/>
          <w:color w:val="000000"/>
          <w:sz w:val="26"/>
          <w:szCs w:val="26"/>
        </w:rPr>
        <w:t xml:space="preserve">MODIFICAR </w:t>
      </w:r>
      <w:r w:rsidR="00F4052F">
        <w:rPr>
          <w:rStyle w:val="b"/>
          <w:rFonts w:ascii="Arial" w:eastAsia="Arial Unicode MS" w:hAnsi="Arial" w:cs="Arial"/>
          <w:color w:val="000000"/>
          <w:sz w:val="26"/>
          <w:szCs w:val="26"/>
        </w:rPr>
        <w:t xml:space="preserve">la sentencia recurrida, para el efecto de declarar la </w:t>
      </w:r>
      <w:r w:rsidR="00F4052F" w:rsidRPr="00F4052F">
        <w:rPr>
          <w:rStyle w:val="b"/>
          <w:rFonts w:ascii="Arial" w:eastAsia="Arial Unicode MS" w:hAnsi="Arial" w:cs="Arial"/>
          <w:b/>
          <w:color w:val="000000"/>
          <w:sz w:val="26"/>
          <w:szCs w:val="26"/>
        </w:rPr>
        <w:t>VALIDEZ</w:t>
      </w:r>
      <w:r w:rsidR="00F4052F">
        <w:rPr>
          <w:rStyle w:val="b"/>
          <w:rFonts w:ascii="Arial" w:eastAsia="Arial Unicode MS" w:hAnsi="Arial" w:cs="Arial"/>
          <w:color w:val="000000"/>
          <w:sz w:val="26"/>
          <w:szCs w:val="26"/>
        </w:rPr>
        <w:t xml:space="preserve"> de la convocatoria acorde a los argumentos esgrimidos y sin que haya lugar al otorgamiento de las pretensiones de la parte actora al no haber acreditado en autos contar con unidad de motor susceptible de regularización. </w:t>
      </w:r>
    </w:p>
    <w:p w:rsidR="00E24EDC" w:rsidRDefault="002E520C" w:rsidP="00E24EDC">
      <w:pPr>
        <w:spacing w:before="100" w:beforeAutospacing="1" w:after="0" w:line="360" w:lineRule="auto"/>
        <w:ind w:firstLine="709"/>
        <w:jc w:val="both"/>
        <w:rPr>
          <w:rStyle w:val="b"/>
          <w:rFonts w:ascii="Arial" w:eastAsia="Arial Unicode MS" w:hAnsi="Arial" w:cs="Arial"/>
          <w:color w:val="000000"/>
          <w:sz w:val="26"/>
          <w:szCs w:val="26"/>
        </w:rPr>
      </w:pPr>
      <w:r>
        <w:rPr>
          <w:rFonts w:ascii="Arial" w:hAnsi="Arial" w:cs="Arial"/>
          <w:bCs/>
          <w:sz w:val="26"/>
          <w:szCs w:val="26"/>
        </w:rPr>
        <w:t xml:space="preserve">Por lo que, ante lo </w:t>
      </w:r>
      <w:r w:rsidR="005F5150">
        <w:rPr>
          <w:rFonts w:ascii="Arial" w:hAnsi="Arial" w:cs="Arial"/>
          <w:b/>
          <w:bCs/>
          <w:sz w:val="26"/>
          <w:szCs w:val="26"/>
        </w:rPr>
        <w:t xml:space="preserve">SUSTANCIALMENTE FUNDADO </w:t>
      </w:r>
      <w:r>
        <w:rPr>
          <w:rFonts w:ascii="Arial" w:hAnsi="Arial" w:cs="Arial"/>
          <w:bCs/>
          <w:sz w:val="26"/>
          <w:szCs w:val="26"/>
        </w:rPr>
        <w:t>de los agravio</w:t>
      </w:r>
      <w:r w:rsidR="005F5150">
        <w:rPr>
          <w:rFonts w:ascii="Arial" w:hAnsi="Arial" w:cs="Arial"/>
          <w:bCs/>
          <w:sz w:val="26"/>
          <w:szCs w:val="26"/>
        </w:rPr>
        <w:t xml:space="preserve">s expresados, lo procedente es </w:t>
      </w:r>
      <w:r w:rsidR="0051459E">
        <w:rPr>
          <w:rFonts w:ascii="Arial" w:hAnsi="Arial" w:cs="Arial"/>
          <w:b/>
          <w:bCs/>
          <w:sz w:val="26"/>
          <w:szCs w:val="26"/>
        </w:rPr>
        <w:t>MODIFICAR</w:t>
      </w:r>
      <w:r w:rsidR="005F5150">
        <w:rPr>
          <w:rFonts w:ascii="Arial" w:hAnsi="Arial" w:cs="Arial"/>
          <w:b/>
          <w:bCs/>
          <w:sz w:val="26"/>
          <w:szCs w:val="26"/>
        </w:rPr>
        <w:t xml:space="preserve"> </w:t>
      </w:r>
      <w:r w:rsidRPr="001B5D79">
        <w:rPr>
          <w:rFonts w:ascii="Arial" w:hAnsi="Arial" w:cs="Arial"/>
          <w:bCs/>
          <w:sz w:val="26"/>
          <w:szCs w:val="26"/>
          <w:lang w:val="es-MX"/>
        </w:rPr>
        <w:t xml:space="preserve">la </w:t>
      </w:r>
      <w:r>
        <w:rPr>
          <w:rFonts w:ascii="Arial" w:hAnsi="Arial" w:cs="Arial"/>
          <w:bCs/>
          <w:sz w:val="26"/>
          <w:szCs w:val="26"/>
          <w:lang w:val="es-MX"/>
        </w:rPr>
        <w:t>sentencia</w:t>
      </w:r>
      <w:r w:rsidRPr="001B5D79">
        <w:rPr>
          <w:rFonts w:ascii="Arial" w:hAnsi="Arial" w:cs="Arial"/>
          <w:bCs/>
          <w:sz w:val="26"/>
          <w:szCs w:val="26"/>
          <w:lang w:val="es-MX"/>
        </w:rPr>
        <w:t xml:space="preserve"> </w:t>
      </w:r>
      <w:r>
        <w:rPr>
          <w:rFonts w:ascii="Arial" w:hAnsi="Arial" w:cs="Arial"/>
          <w:bCs/>
          <w:sz w:val="26"/>
          <w:szCs w:val="26"/>
          <w:lang w:val="es-MX"/>
        </w:rPr>
        <w:t>recurrida</w:t>
      </w:r>
      <w:r w:rsidR="005F5150">
        <w:rPr>
          <w:rFonts w:ascii="Arial" w:hAnsi="Arial" w:cs="Arial"/>
          <w:bCs/>
          <w:sz w:val="26"/>
          <w:szCs w:val="26"/>
          <w:lang w:val="es-MX"/>
        </w:rPr>
        <w:t>, en los términos precisados con antelación</w:t>
      </w:r>
      <w:r w:rsidR="00E24EDC">
        <w:rPr>
          <w:rFonts w:ascii="Arial" w:hAnsi="Arial" w:cs="Arial"/>
          <w:bCs/>
          <w:sz w:val="26"/>
          <w:szCs w:val="26"/>
          <w:lang w:val="es-MX"/>
        </w:rPr>
        <w:t xml:space="preserve"> y </w:t>
      </w:r>
      <w:r w:rsidR="00E24EDC">
        <w:rPr>
          <w:rStyle w:val="b"/>
          <w:rFonts w:ascii="Arial" w:eastAsia="Arial Unicode MS" w:hAnsi="Arial" w:cs="Arial"/>
          <w:color w:val="000000"/>
          <w:sz w:val="26"/>
          <w:szCs w:val="26"/>
        </w:rPr>
        <w:t>e</w:t>
      </w:r>
      <w:r w:rsidR="00E24EDC">
        <w:rPr>
          <w:rFonts w:ascii="Arial" w:hAnsi="Arial" w:cs="Arial"/>
          <w:bCs/>
          <w:sz w:val="26"/>
          <w:szCs w:val="26"/>
        </w:rPr>
        <w:t xml:space="preserve">n consecuencia se </w:t>
      </w:r>
      <w:r w:rsidR="00E24EDC">
        <w:rPr>
          <w:rFonts w:ascii="Arial" w:hAnsi="Arial" w:cs="Arial"/>
          <w:b/>
          <w:bCs/>
          <w:sz w:val="26"/>
          <w:szCs w:val="26"/>
        </w:rPr>
        <w:t>RECONOCE LA VALIDEZ</w:t>
      </w:r>
      <w:r w:rsidR="00E24EDC">
        <w:rPr>
          <w:rFonts w:ascii="Arial" w:hAnsi="Arial" w:cs="Arial"/>
          <w:bCs/>
          <w:sz w:val="26"/>
          <w:szCs w:val="26"/>
        </w:rPr>
        <w:t xml:space="preserve"> de la convocatoria de referencia.</w:t>
      </w:r>
    </w:p>
    <w:p w:rsidR="002E520C" w:rsidRDefault="002E520C" w:rsidP="00E300FB">
      <w:pPr>
        <w:spacing w:before="240" w:line="360" w:lineRule="auto"/>
        <w:ind w:firstLine="708"/>
        <w:jc w:val="both"/>
        <w:rPr>
          <w:rFonts w:ascii="Arial" w:hAnsi="Arial" w:cs="Arial"/>
          <w:sz w:val="26"/>
          <w:szCs w:val="26"/>
          <w:lang w:val="es-MX"/>
        </w:rPr>
      </w:pPr>
      <w:r>
        <w:rPr>
          <w:rFonts w:ascii="Arial" w:hAnsi="Arial" w:cs="Arial"/>
          <w:bCs/>
          <w:sz w:val="26"/>
          <w:szCs w:val="26"/>
          <w:lang w:val="es-MX"/>
        </w:rPr>
        <w:t>.</w:t>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207 y 208, de la Ley de Justicia Administrativa para el Estado, se:</w:t>
      </w:r>
    </w:p>
    <w:p w:rsidR="002E520C" w:rsidRPr="00423F1A" w:rsidRDefault="002E520C" w:rsidP="002E520C">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2E520C" w:rsidRDefault="002E520C" w:rsidP="002E520C">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r w:rsidRPr="006E349D">
        <w:rPr>
          <w:rFonts w:ascii="Arial" w:hAnsi="Arial" w:cs="Arial"/>
          <w:sz w:val="26"/>
          <w:szCs w:val="26"/>
          <w:lang w:val="es-MX"/>
        </w:rPr>
        <w:t xml:space="preserve">e </w:t>
      </w:r>
      <w:r w:rsidR="00F40BAA">
        <w:rPr>
          <w:rFonts w:ascii="Arial" w:hAnsi="Arial" w:cs="Arial"/>
          <w:b/>
          <w:sz w:val="26"/>
          <w:szCs w:val="26"/>
          <w:lang w:val="es-MX"/>
        </w:rPr>
        <w:t>MODIFICA</w:t>
      </w:r>
      <w:r w:rsidRPr="006E349D">
        <w:rPr>
          <w:rFonts w:ascii="Arial" w:hAnsi="Arial" w:cs="Arial"/>
          <w:sz w:val="26"/>
          <w:szCs w:val="26"/>
          <w:lang w:val="es-MX"/>
        </w:rPr>
        <w:t xml:space="preserve"> </w:t>
      </w:r>
      <w:r>
        <w:rPr>
          <w:rFonts w:ascii="Arial" w:hAnsi="Arial" w:cs="Arial"/>
          <w:sz w:val="26"/>
          <w:szCs w:val="26"/>
          <w:lang w:val="es-MX"/>
        </w:rPr>
        <w:t>la sentencia recurrida, por las razones expuestas en el considerando que antecede. - - - - -</w:t>
      </w:r>
      <w:r w:rsidR="00C278D9">
        <w:rPr>
          <w:rFonts w:ascii="Arial" w:hAnsi="Arial" w:cs="Arial"/>
          <w:sz w:val="26"/>
          <w:szCs w:val="26"/>
          <w:lang w:val="es-MX"/>
        </w:rPr>
        <w:t xml:space="preserve"> - - - - - - - </w:t>
      </w:r>
      <w:r>
        <w:rPr>
          <w:rFonts w:ascii="Arial" w:hAnsi="Arial" w:cs="Arial"/>
          <w:sz w:val="26"/>
          <w:szCs w:val="26"/>
          <w:lang w:val="es-MX"/>
        </w:rPr>
        <w:t xml:space="preserve">- </w:t>
      </w:r>
      <w:r w:rsidR="005F5150">
        <w:rPr>
          <w:rFonts w:ascii="Arial" w:hAnsi="Arial" w:cs="Arial"/>
          <w:sz w:val="26"/>
          <w:szCs w:val="26"/>
          <w:lang w:val="es-MX"/>
        </w:rPr>
        <w:t>- - - - - -</w:t>
      </w:r>
    </w:p>
    <w:p w:rsidR="00E24EDC" w:rsidRDefault="00D03B93" w:rsidP="00E24EDC">
      <w:pPr>
        <w:spacing w:before="100" w:beforeAutospacing="1" w:after="0" w:line="360" w:lineRule="auto"/>
        <w:ind w:firstLine="709"/>
        <w:jc w:val="both"/>
        <w:rPr>
          <w:rStyle w:val="b"/>
          <w:rFonts w:ascii="Arial" w:eastAsia="Arial Unicode MS" w:hAnsi="Arial" w:cs="Arial"/>
          <w:color w:val="000000"/>
          <w:sz w:val="26"/>
          <w:szCs w:val="26"/>
        </w:rPr>
      </w:pPr>
      <w:r>
        <w:rPr>
          <w:rFonts w:ascii="Arial" w:hAnsi="Arial" w:cs="Arial"/>
          <w:b/>
          <w:sz w:val="26"/>
          <w:szCs w:val="26"/>
        </w:rPr>
        <w:t xml:space="preserve">SEGUNDO.- </w:t>
      </w:r>
      <w:r w:rsidR="00E24EDC">
        <w:rPr>
          <w:rStyle w:val="b"/>
          <w:rFonts w:ascii="Arial" w:eastAsia="Arial Unicode MS" w:hAnsi="Arial" w:cs="Arial"/>
          <w:color w:val="000000"/>
          <w:sz w:val="26"/>
          <w:szCs w:val="26"/>
        </w:rPr>
        <w:t>S</w:t>
      </w:r>
      <w:r w:rsidR="00E24EDC">
        <w:rPr>
          <w:rFonts w:ascii="Arial" w:hAnsi="Arial" w:cs="Arial"/>
          <w:bCs/>
          <w:sz w:val="26"/>
          <w:szCs w:val="26"/>
        </w:rPr>
        <w:t xml:space="preserve">e </w:t>
      </w:r>
      <w:r w:rsidR="00E24EDC">
        <w:rPr>
          <w:rFonts w:ascii="Arial" w:hAnsi="Arial" w:cs="Arial"/>
          <w:b/>
          <w:bCs/>
          <w:sz w:val="26"/>
          <w:szCs w:val="26"/>
        </w:rPr>
        <w:t>RECONOCE LA VALIDEZ</w:t>
      </w:r>
      <w:r w:rsidR="00E24EDC">
        <w:rPr>
          <w:rFonts w:ascii="Arial" w:hAnsi="Arial" w:cs="Arial"/>
          <w:bCs/>
          <w:sz w:val="26"/>
          <w:szCs w:val="26"/>
        </w:rPr>
        <w:t xml:space="preserve"> de la convocatoria </w:t>
      </w:r>
      <w:r w:rsidR="00E300FB">
        <w:rPr>
          <w:rFonts w:ascii="Arial" w:hAnsi="Arial" w:cs="Arial"/>
          <w:bCs/>
          <w:sz w:val="26"/>
          <w:szCs w:val="26"/>
        </w:rPr>
        <w:t>emitida el 23 veintitrés de abril de 2013 dos mil trece</w:t>
      </w:r>
      <w:r w:rsidR="00E24EDC">
        <w:rPr>
          <w:rFonts w:ascii="Arial" w:hAnsi="Arial" w:cs="Arial"/>
          <w:bCs/>
          <w:sz w:val="26"/>
          <w:szCs w:val="26"/>
        </w:rPr>
        <w:t>.</w:t>
      </w:r>
    </w:p>
    <w:p w:rsidR="0081394E" w:rsidRPr="00A861C8" w:rsidRDefault="00E24EDC" w:rsidP="00795960">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00C278D9">
        <w:rPr>
          <w:rFonts w:ascii="Arial" w:hAnsi="Arial" w:cs="Arial"/>
          <w:sz w:val="26"/>
          <w:szCs w:val="26"/>
        </w:rPr>
        <w:t>H</w:t>
      </w:r>
      <w:r w:rsidR="0081394E">
        <w:rPr>
          <w:rFonts w:ascii="Arial" w:hAnsi="Arial" w:cs="Arial"/>
          <w:sz w:val="26"/>
          <w:szCs w:val="26"/>
        </w:rPr>
        <w:t xml:space="preserve">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 - - - - - </w:t>
      </w:r>
    </w:p>
    <w:p w:rsidR="0081394E" w:rsidRPr="002A598F" w:rsidRDefault="00C278D9" w:rsidP="0081394E">
      <w:pPr>
        <w:spacing w:line="360" w:lineRule="auto"/>
        <w:ind w:firstLine="708"/>
        <w:jc w:val="both"/>
        <w:rPr>
          <w:rFonts w:ascii="Arial" w:hAnsi="Arial" w:cs="Arial"/>
          <w:sz w:val="26"/>
          <w:szCs w:val="26"/>
        </w:rPr>
      </w:pPr>
      <w:r>
        <w:rPr>
          <w:rFonts w:ascii="Arial" w:hAnsi="Arial" w:cs="Arial"/>
          <w:b/>
          <w:sz w:val="26"/>
          <w:szCs w:val="26"/>
        </w:rPr>
        <w:t>C</w:t>
      </w:r>
      <w:r w:rsidR="00795960">
        <w:rPr>
          <w:rFonts w:ascii="Arial" w:hAnsi="Arial" w:cs="Arial"/>
          <w:b/>
          <w:sz w:val="26"/>
          <w:szCs w:val="26"/>
        </w:rPr>
        <w:t>UA</w:t>
      </w:r>
      <w:r>
        <w:rPr>
          <w:rFonts w:ascii="Arial" w:hAnsi="Arial" w:cs="Arial"/>
          <w:b/>
          <w:sz w:val="26"/>
          <w:szCs w:val="26"/>
        </w:rPr>
        <w:t>R</w:t>
      </w:r>
      <w:r w:rsidR="00795960">
        <w:rPr>
          <w:rFonts w:ascii="Arial" w:hAnsi="Arial" w:cs="Arial"/>
          <w:b/>
          <w:sz w:val="26"/>
          <w:szCs w:val="26"/>
        </w:rPr>
        <w:t>T</w:t>
      </w:r>
      <w:r>
        <w:rPr>
          <w:rFonts w:ascii="Arial" w:hAnsi="Arial" w:cs="Arial"/>
          <w:b/>
          <w:sz w:val="26"/>
          <w:szCs w:val="26"/>
        </w:rPr>
        <w:t>O.-</w:t>
      </w:r>
      <w:r w:rsidR="0081394E">
        <w:rPr>
          <w:rFonts w:ascii="Arial" w:hAnsi="Arial" w:cs="Arial"/>
          <w:b/>
          <w:sz w:val="26"/>
          <w:szCs w:val="26"/>
        </w:rPr>
        <w:t xml:space="preserve"> </w:t>
      </w:r>
      <w:r w:rsidR="0081394E" w:rsidRPr="007B1E95">
        <w:rPr>
          <w:rFonts w:ascii="Arial" w:hAnsi="Arial" w:cs="Arial"/>
          <w:b/>
          <w:sz w:val="26"/>
          <w:szCs w:val="26"/>
        </w:rPr>
        <w:t>N</w:t>
      </w:r>
      <w:r w:rsidR="0081394E" w:rsidRPr="006E349D">
        <w:rPr>
          <w:rFonts w:ascii="Arial" w:hAnsi="Arial" w:cs="Arial"/>
          <w:b/>
          <w:sz w:val="26"/>
          <w:szCs w:val="26"/>
        </w:rPr>
        <w:t>OTIFÍQUESE</w:t>
      </w:r>
      <w:r w:rsidR="0081394E">
        <w:rPr>
          <w:rFonts w:ascii="Arial" w:hAnsi="Arial" w:cs="Arial"/>
          <w:b/>
          <w:sz w:val="26"/>
          <w:szCs w:val="26"/>
        </w:rPr>
        <w:t xml:space="preserve"> Y CÚMPLASE</w:t>
      </w:r>
      <w:r w:rsidR="0081394E" w:rsidRPr="00D8046C">
        <w:rPr>
          <w:rFonts w:ascii="Arial" w:hAnsi="Arial" w:cs="Arial"/>
          <w:sz w:val="26"/>
          <w:szCs w:val="26"/>
        </w:rPr>
        <w:t>,</w:t>
      </w:r>
      <w:r w:rsidR="0081394E" w:rsidRPr="006E349D">
        <w:rPr>
          <w:rFonts w:ascii="Arial" w:hAnsi="Arial" w:cs="Arial"/>
          <w:sz w:val="26"/>
          <w:szCs w:val="26"/>
        </w:rPr>
        <w:t xml:space="preserve"> </w:t>
      </w:r>
      <w:r w:rsidR="0081394E">
        <w:rPr>
          <w:rFonts w:ascii="Arial" w:hAnsi="Arial" w:cs="Arial"/>
          <w:sz w:val="26"/>
          <w:szCs w:val="26"/>
        </w:rPr>
        <w:t xml:space="preserve">con copia certificada de la presente resolución, vuelvan las constancias remitidas a la Sala </w:t>
      </w:r>
      <w:r w:rsidR="0081394E">
        <w:rPr>
          <w:rFonts w:ascii="Arial" w:hAnsi="Arial" w:cs="Arial"/>
          <w:sz w:val="26"/>
          <w:szCs w:val="26"/>
        </w:rPr>
        <w:lastRenderedPageBreak/>
        <w:t xml:space="preserve">de origen, </w:t>
      </w:r>
      <w:r w:rsidR="0081394E" w:rsidRPr="00D81DA7">
        <w:rPr>
          <w:rFonts w:ascii="Arial" w:hAnsi="Arial" w:cs="Arial"/>
          <w:sz w:val="26"/>
          <w:szCs w:val="26"/>
        </w:rPr>
        <w:t>y en su oportunidad archívese el cuaderno de revisión como concluido.</w:t>
      </w:r>
      <w:r w:rsidR="0081394E">
        <w:rPr>
          <w:rFonts w:ascii="Arial" w:hAnsi="Arial" w:cs="Arial"/>
          <w:sz w:val="26"/>
          <w:szCs w:val="26"/>
        </w:rPr>
        <w:t xml:space="preserve">- - - - - - - - - - - - - - - - - - - </w:t>
      </w:r>
      <w:r w:rsidR="0081394E" w:rsidRPr="00D81DA7">
        <w:rPr>
          <w:rFonts w:ascii="Arial" w:hAnsi="Arial" w:cs="Arial"/>
          <w:sz w:val="26"/>
          <w:szCs w:val="26"/>
        </w:rPr>
        <w:t xml:space="preserve">- - </w:t>
      </w:r>
      <w:r w:rsidR="0081394E">
        <w:rPr>
          <w:rFonts w:ascii="Arial" w:hAnsi="Arial" w:cs="Arial"/>
          <w:sz w:val="26"/>
          <w:szCs w:val="26"/>
        </w:rPr>
        <w:t>- - - - - - - - - - - - - - - - - - - - - - - -</w:t>
      </w:r>
    </w:p>
    <w:p w:rsidR="0081394E" w:rsidRPr="00F86E9C" w:rsidRDefault="0081394E" w:rsidP="0081394E">
      <w:pPr>
        <w:spacing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Adrián Quiroga Avendaño, María Elena Villa de Jarquín, Hugo Villegas Aquino,</w:t>
      </w:r>
      <w:r w:rsidRPr="00C61187">
        <w:rPr>
          <w:rFonts w:ascii="Arial" w:hAnsi="Arial" w:cs="Arial"/>
          <w:sz w:val="26"/>
          <w:szCs w:val="26"/>
        </w:rPr>
        <w:t xml:space="preserve"> </w:t>
      </w:r>
      <w:r>
        <w:rPr>
          <w:rFonts w:ascii="Arial" w:hAnsi="Arial" w:cs="Arial"/>
          <w:sz w:val="26"/>
          <w:szCs w:val="26"/>
        </w:rPr>
        <w:t>Enrique Pacheco Martínez y Manuel Velasco Alcántara (</w:t>
      </w:r>
      <w:r w:rsidRPr="004978BB">
        <w:rPr>
          <w:rFonts w:ascii="Arial" w:hAnsi="Arial" w:cs="Arial"/>
          <w:b/>
          <w:sz w:val="26"/>
          <w:szCs w:val="26"/>
        </w:rPr>
        <w:t>ponente</w:t>
      </w:r>
      <w:r>
        <w:rPr>
          <w:rFonts w:ascii="Arial" w:hAnsi="Arial" w:cs="Arial"/>
          <w:sz w:val="26"/>
          <w:szCs w:val="26"/>
        </w:rPr>
        <w:t>);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Licenciad</w:t>
      </w:r>
      <w:r>
        <w:rPr>
          <w:rFonts w:ascii="Arial" w:hAnsi="Arial" w:cs="Arial"/>
          <w:sz w:val="26"/>
          <w:szCs w:val="26"/>
        </w:rPr>
        <w:t>a</w:t>
      </w:r>
      <w:r w:rsidRPr="00C61187">
        <w:rPr>
          <w:rFonts w:ascii="Arial" w:hAnsi="Arial" w:cs="Arial"/>
          <w:sz w:val="26"/>
          <w:szCs w:val="26"/>
        </w:rPr>
        <w:t xml:space="preserve"> </w:t>
      </w:r>
      <w:r>
        <w:rPr>
          <w:rFonts w:ascii="Arial" w:hAnsi="Arial" w:cs="Arial"/>
          <w:sz w:val="26"/>
          <w:szCs w:val="26"/>
        </w:rPr>
        <w:t>Leticia García Soto</w:t>
      </w:r>
      <w:r w:rsidRPr="00C61187">
        <w:rPr>
          <w:rFonts w:ascii="Arial" w:hAnsi="Arial" w:cs="Arial"/>
          <w:sz w:val="26"/>
          <w:szCs w:val="26"/>
        </w:rPr>
        <w:t>, Secretari</w:t>
      </w:r>
      <w:r>
        <w:rPr>
          <w:rFonts w:ascii="Arial" w:hAnsi="Arial" w:cs="Arial"/>
          <w:sz w:val="26"/>
          <w:szCs w:val="26"/>
        </w:rPr>
        <w:t>a</w:t>
      </w:r>
      <w:r w:rsidRPr="00C61187">
        <w:rPr>
          <w:rFonts w:ascii="Arial" w:hAnsi="Arial" w:cs="Arial"/>
          <w:sz w:val="26"/>
          <w:szCs w:val="26"/>
        </w:rPr>
        <w:t xml:space="preserve"> General de Acuerdos de este Tribunal, que autoriza y da fe.- </w:t>
      </w:r>
      <w:r>
        <w:rPr>
          <w:rFonts w:ascii="Arial" w:hAnsi="Arial" w:cs="Arial"/>
          <w:sz w:val="26"/>
          <w:szCs w:val="26"/>
        </w:rPr>
        <w:t>- - - - - - - - - - - - - - - - - - - - - - - - - - - - - - - - - - - - - - - - - - - - - - -</w:t>
      </w:r>
    </w:p>
    <w:sectPr w:rsidR="0081394E" w:rsidRPr="00F86E9C" w:rsidSect="009D4BF0">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2CC" w:rsidRDefault="006802CC">
      <w:pPr>
        <w:spacing w:after="0" w:line="240" w:lineRule="auto"/>
      </w:pPr>
      <w:r>
        <w:separator/>
      </w:r>
    </w:p>
  </w:endnote>
  <w:endnote w:type="continuationSeparator" w:id="0">
    <w:p w:rsidR="006802CC" w:rsidRDefault="00680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60E" w:rsidRDefault="00BD34FD">
    <w:pPr>
      <w:pStyle w:val="Piedepgina"/>
    </w:pPr>
    <w:r>
      <w:rPr>
        <w:noProof/>
        <w:lang w:val="es-MX" w:eastAsia="es-MX"/>
      </w:rPr>
      <w:drawing>
        <wp:anchor distT="0" distB="0" distL="114300" distR="114300" simplePos="0" relativeHeight="251658240" behindDoc="0" locked="0" layoutInCell="1" allowOverlap="1">
          <wp:simplePos x="0" y="0"/>
          <wp:positionH relativeFrom="column">
            <wp:posOffset>5482590</wp:posOffset>
          </wp:positionH>
          <wp:positionV relativeFrom="paragraph">
            <wp:posOffset>-5459095</wp:posOffset>
          </wp:positionV>
          <wp:extent cx="1158240" cy="640080"/>
          <wp:effectExtent l="0" t="0" r="0" b="0"/>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8240" cy="6400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60E" w:rsidRDefault="00BD34FD">
    <w:pPr>
      <w:pStyle w:val="Piedepgina"/>
    </w:pPr>
    <w:r>
      <w:rPr>
        <w:noProof/>
        <w:lang w:val="es-MX" w:eastAsia="es-MX"/>
      </w:rPr>
      <w:drawing>
        <wp:anchor distT="0" distB="0" distL="114300" distR="114300" simplePos="0" relativeHeight="251657216" behindDoc="0" locked="0" layoutInCell="1" allowOverlap="1">
          <wp:simplePos x="0" y="0"/>
          <wp:positionH relativeFrom="column">
            <wp:posOffset>-1312545</wp:posOffset>
          </wp:positionH>
          <wp:positionV relativeFrom="paragraph">
            <wp:posOffset>-4910455</wp:posOffset>
          </wp:positionV>
          <wp:extent cx="1158240" cy="640080"/>
          <wp:effectExtent l="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8240" cy="6400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60E" w:rsidRDefault="00A2560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2CC" w:rsidRDefault="006802CC">
      <w:pPr>
        <w:spacing w:after="0" w:line="240" w:lineRule="auto"/>
      </w:pPr>
      <w:r>
        <w:separator/>
      </w:r>
    </w:p>
  </w:footnote>
  <w:footnote w:type="continuationSeparator" w:id="0">
    <w:p w:rsidR="006802CC" w:rsidRDefault="006802CC">
      <w:pPr>
        <w:spacing w:after="0" w:line="240" w:lineRule="auto"/>
      </w:pPr>
      <w:r>
        <w:continuationSeparator/>
      </w:r>
    </w:p>
  </w:footnote>
  <w:footnote w:id="1">
    <w:p w:rsidR="005F5150" w:rsidRDefault="005F5150" w:rsidP="005F5150">
      <w:pPr>
        <w:pStyle w:val="Textonotapie"/>
        <w:rPr>
          <w:b/>
          <w:i/>
        </w:rPr>
      </w:pPr>
      <w:r>
        <w:rPr>
          <w:rStyle w:val="Refdenotaalpie"/>
        </w:rPr>
        <w:footnoteRef/>
      </w:r>
      <w:r w:rsidRPr="007C0CFD">
        <w:rPr>
          <w:b/>
        </w:rPr>
        <w:t xml:space="preserve"> “…</w:t>
      </w:r>
      <w:r w:rsidRPr="005D7AD7">
        <w:rPr>
          <w:b/>
          <w:i/>
        </w:rPr>
        <w:t>ARTÍCULO 20.-</w:t>
      </w:r>
      <w:r>
        <w:rPr>
          <w:b/>
          <w:i/>
        </w:rPr>
        <w:t xml:space="preserve"> </w:t>
      </w:r>
    </w:p>
    <w:p w:rsidR="005F5150" w:rsidRDefault="005F5150" w:rsidP="005F5150">
      <w:pPr>
        <w:pStyle w:val="Textonotapie"/>
        <w:rPr>
          <w:b/>
          <w:i/>
        </w:rPr>
      </w:pPr>
      <w:r>
        <w:rPr>
          <w:b/>
          <w:i/>
        </w:rPr>
        <w:t>(…)</w:t>
      </w:r>
    </w:p>
    <w:p w:rsidR="005F5150" w:rsidRPr="007C0CFD" w:rsidRDefault="005F5150" w:rsidP="005F5150">
      <w:pPr>
        <w:pStyle w:val="Textonotapie"/>
        <w:jc w:val="both"/>
      </w:pPr>
      <w:r w:rsidRPr="007C0CFD">
        <w:rPr>
          <w:i/>
        </w:rPr>
        <w:t xml:space="preserve">El Estado, sujetándose a las leyes, podrá en casos de interés general, concesionar la prestación </w:t>
      </w:r>
      <w:r>
        <w:rPr>
          <w:i/>
        </w:rPr>
        <w:t>de servicios públicos o la expl</w:t>
      </w:r>
      <w:r w:rsidRPr="007C0CFD">
        <w:rPr>
          <w:i/>
        </w:rPr>
        <w:t>otación, uso y aprovechamiento de bienes de dominio del Estado, salvo las excepciones que las mismas prevengan. Las leyes fijarán las modalidades y condiciones que aseguren la eficacia de la prestación de los servicios y la utilización social de los bienes y evitarán fenómenos de concentración que contravengan al interés público</w:t>
      </w:r>
      <w:r>
        <w:rPr>
          <w:i/>
        </w:rPr>
        <w:t>…”</w:t>
      </w:r>
      <w:r>
        <w:t>.</w:t>
      </w:r>
    </w:p>
  </w:footnote>
  <w:footnote w:id="2">
    <w:p w:rsidR="005F5150" w:rsidRPr="00514B98" w:rsidRDefault="005F5150" w:rsidP="005F5150">
      <w:pPr>
        <w:pStyle w:val="Textonotapie"/>
        <w:jc w:val="both"/>
      </w:pPr>
      <w:r>
        <w:rPr>
          <w:rStyle w:val="Refdenotaalpie"/>
        </w:rPr>
        <w:footnoteRef/>
      </w:r>
      <w:r>
        <w:t xml:space="preserve"> </w:t>
      </w:r>
      <w:r>
        <w:rPr>
          <w:b/>
        </w:rPr>
        <w:t>“…</w:t>
      </w:r>
      <w:r w:rsidRPr="00514B98">
        <w:rPr>
          <w:b/>
          <w:i/>
        </w:rPr>
        <w:t>Artículo 1o.-</w:t>
      </w:r>
      <w:r>
        <w:t xml:space="preserve"> </w:t>
      </w:r>
      <w:r w:rsidRPr="00514B98">
        <w:rPr>
          <w:i/>
        </w:rPr>
        <w:t>La presente Ley tiene por objeto establecer las bases y requisitos a que se sujetarán la circulación de las personas, el manejo y el tránsito de vehículos y semovientes y los servicios públicos de transporte de pasajeros y de carga en las vías públicas del Estado de Oaxaca, que no sean de jurisdicción federal, considerados como actividades de interés público</w:t>
      </w:r>
      <w:r>
        <w:rPr>
          <w:i/>
        </w:rPr>
        <w:t>…”</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3C" w:rsidRDefault="007A2B3C">
    <w:pPr>
      <w:pStyle w:val="Encabezado"/>
      <w:jc w:val="center"/>
    </w:pPr>
    <w:r>
      <w:fldChar w:fldCharType="begin"/>
    </w:r>
    <w:r>
      <w:instrText>PAGE   \* MERGEFORMAT</w:instrText>
    </w:r>
    <w:r>
      <w:fldChar w:fldCharType="separate"/>
    </w:r>
    <w:r w:rsidR="00BD34FD">
      <w:rPr>
        <w:noProof/>
      </w:rPr>
      <w:t>20</w:t>
    </w:r>
    <w:r>
      <w:fldChar w:fldCharType="end"/>
    </w:r>
  </w:p>
  <w:p w:rsidR="007A2B3C" w:rsidRDefault="007A2B3C">
    <w:pPr>
      <w:pStyle w:val="Encabezado"/>
    </w:pPr>
  </w:p>
  <w:p w:rsidR="007A2B3C" w:rsidRDefault="007A2B3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3C" w:rsidRDefault="007A2B3C" w:rsidP="00206B99">
    <w:pPr>
      <w:pStyle w:val="Encabezado"/>
      <w:jc w:val="center"/>
      <w:rPr>
        <w:noProof/>
      </w:rPr>
    </w:pPr>
    <w:r>
      <w:fldChar w:fldCharType="begin"/>
    </w:r>
    <w:r>
      <w:instrText xml:space="preserve"> PAGE   \* MERGEFORMAT </w:instrText>
    </w:r>
    <w:r>
      <w:fldChar w:fldCharType="separate"/>
    </w:r>
    <w:r w:rsidR="00BD34FD">
      <w:rPr>
        <w:noProof/>
      </w:rPr>
      <w:t>1</w:t>
    </w:r>
    <w:r>
      <w:rPr>
        <w:noProof/>
      </w:rPr>
      <w:fldChar w:fldCharType="end"/>
    </w:r>
  </w:p>
  <w:p w:rsidR="007A2B3C" w:rsidRDefault="007A2B3C" w:rsidP="00206B99">
    <w:pPr>
      <w:pStyle w:val="Encabezado"/>
      <w:jc w:val="center"/>
    </w:pPr>
  </w:p>
  <w:p w:rsidR="007A2B3C" w:rsidRDefault="007A2B3C" w:rsidP="00927607">
    <w:pPr>
      <w:pStyle w:val="Encabezado"/>
      <w:tabs>
        <w:tab w:val="left" w:pos="142"/>
      </w:tabs>
      <w:ind w:left="284"/>
    </w:pPr>
  </w:p>
  <w:p w:rsidR="007A2B3C" w:rsidRDefault="007A2B3C"/>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60E" w:rsidRDefault="00A2560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15:restartNumberingAfterBreak="0">
    <w:nsid w:val="6885144B"/>
    <w:multiLevelType w:val="hybridMultilevel"/>
    <w:tmpl w:val="3FF4FA86"/>
    <w:lvl w:ilvl="0" w:tplc="A162A53A">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4958"/>
    <w:rsid w:val="00004A31"/>
    <w:rsid w:val="00006366"/>
    <w:rsid w:val="00012F0B"/>
    <w:rsid w:val="000169A3"/>
    <w:rsid w:val="00017C09"/>
    <w:rsid w:val="00021DF1"/>
    <w:rsid w:val="0002236D"/>
    <w:rsid w:val="00026C11"/>
    <w:rsid w:val="00027EBE"/>
    <w:rsid w:val="000330FB"/>
    <w:rsid w:val="00035047"/>
    <w:rsid w:val="00035379"/>
    <w:rsid w:val="00036D01"/>
    <w:rsid w:val="000410A1"/>
    <w:rsid w:val="00041D15"/>
    <w:rsid w:val="00045A11"/>
    <w:rsid w:val="00053617"/>
    <w:rsid w:val="00053835"/>
    <w:rsid w:val="00053C13"/>
    <w:rsid w:val="0005701D"/>
    <w:rsid w:val="00057174"/>
    <w:rsid w:val="00057817"/>
    <w:rsid w:val="000612E4"/>
    <w:rsid w:val="000616B5"/>
    <w:rsid w:val="00070777"/>
    <w:rsid w:val="00071E41"/>
    <w:rsid w:val="000737BF"/>
    <w:rsid w:val="0007458B"/>
    <w:rsid w:val="00076CEA"/>
    <w:rsid w:val="000822AF"/>
    <w:rsid w:val="00083BEB"/>
    <w:rsid w:val="00085132"/>
    <w:rsid w:val="00085F69"/>
    <w:rsid w:val="00094546"/>
    <w:rsid w:val="0009618C"/>
    <w:rsid w:val="000961D2"/>
    <w:rsid w:val="000A1494"/>
    <w:rsid w:val="000A4E40"/>
    <w:rsid w:val="000A6360"/>
    <w:rsid w:val="000A6EC7"/>
    <w:rsid w:val="000A7BA9"/>
    <w:rsid w:val="000B0C5D"/>
    <w:rsid w:val="000B0E70"/>
    <w:rsid w:val="000B100B"/>
    <w:rsid w:val="000B1A06"/>
    <w:rsid w:val="000B1E73"/>
    <w:rsid w:val="000B3B3B"/>
    <w:rsid w:val="000B4122"/>
    <w:rsid w:val="000C14E9"/>
    <w:rsid w:val="000C1F7C"/>
    <w:rsid w:val="000C3DBF"/>
    <w:rsid w:val="000C5E70"/>
    <w:rsid w:val="000D0E1D"/>
    <w:rsid w:val="000D0F1B"/>
    <w:rsid w:val="000D129C"/>
    <w:rsid w:val="000D1BD0"/>
    <w:rsid w:val="000D2FDE"/>
    <w:rsid w:val="000E12D3"/>
    <w:rsid w:val="000E218B"/>
    <w:rsid w:val="000E2E24"/>
    <w:rsid w:val="000F018A"/>
    <w:rsid w:val="000F0320"/>
    <w:rsid w:val="000F54B0"/>
    <w:rsid w:val="000F5D12"/>
    <w:rsid w:val="000F62C3"/>
    <w:rsid w:val="000F7CF6"/>
    <w:rsid w:val="00103FE7"/>
    <w:rsid w:val="001058D3"/>
    <w:rsid w:val="0010644A"/>
    <w:rsid w:val="00111B33"/>
    <w:rsid w:val="00111BFC"/>
    <w:rsid w:val="001144A1"/>
    <w:rsid w:val="00114AC5"/>
    <w:rsid w:val="001162F1"/>
    <w:rsid w:val="00116579"/>
    <w:rsid w:val="001208F4"/>
    <w:rsid w:val="00121600"/>
    <w:rsid w:val="0012217B"/>
    <w:rsid w:val="00122F5E"/>
    <w:rsid w:val="00126F80"/>
    <w:rsid w:val="00127839"/>
    <w:rsid w:val="00127D14"/>
    <w:rsid w:val="00130500"/>
    <w:rsid w:val="001308D4"/>
    <w:rsid w:val="00131525"/>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61BE"/>
    <w:rsid w:val="001637FE"/>
    <w:rsid w:val="00164061"/>
    <w:rsid w:val="00164BAD"/>
    <w:rsid w:val="00171831"/>
    <w:rsid w:val="00172205"/>
    <w:rsid w:val="00175536"/>
    <w:rsid w:val="001761CB"/>
    <w:rsid w:val="00180F55"/>
    <w:rsid w:val="001827CF"/>
    <w:rsid w:val="00182B05"/>
    <w:rsid w:val="00183B55"/>
    <w:rsid w:val="001843E8"/>
    <w:rsid w:val="00184B23"/>
    <w:rsid w:val="00191A27"/>
    <w:rsid w:val="00192287"/>
    <w:rsid w:val="00194A88"/>
    <w:rsid w:val="00194C5C"/>
    <w:rsid w:val="0019600D"/>
    <w:rsid w:val="001A2DD1"/>
    <w:rsid w:val="001A3755"/>
    <w:rsid w:val="001A5514"/>
    <w:rsid w:val="001A5951"/>
    <w:rsid w:val="001A5B4D"/>
    <w:rsid w:val="001B1297"/>
    <w:rsid w:val="001B40F8"/>
    <w:rsid w:val="001B469D"/>
    <w:rsid w:val="001C294E"/>
    <w:rsid w:val="001C3488"/>
    <w:rsid w:val="001C4AAC"/>
    <w:rsid w:val="001D0A5A"/>
    <w:rsid w:val="001D27A6"/>
    <w:rsid w:val="001D3519"/>
    <w:rsid w:val="001D3B81"/>
    <w:rsid w:val="001D694C"/>
    <w:rsid w:val="001D730F"/>
    <w:rsid w:val="001E0731"/>
    <w:rsid w:val="001E1758"/>
    <w:rsid w:val="001E2C5A"/>
    <w:rsid w:val="001E3B11"/>
    <w:rsid w:val="001E46C2"/>
    <w:rsid w:val="001E631B"/>
    <w:rsid w:val="001F03C6"/>
    <w:rsid w:val="001F6F92"/>
    <w:rsid w:val="001F72DF"/>
    <w:rsid w:val="00200842"/>
    <w:rsid w:val="00200843"/>
    <w:rsid w:val="0020247E"/>
    <w:rsid w:val="00203090"/>
    <w:rsid w:val="00203FD3"/>
    <w:rsid w:val="00206222"/>
    <w:rsid w:val="00206B99"/>
    <w:rsid w:val="002113FA"/>
    <w:rsid w:val="00211AEE"/>
    <w:rsid w:val="00211DEF"/>
    <w:rsid w:val="00212CDB"/>
    <w:rsid w:val="00212D0A"/>
    <w:rsid w:val="0021420D"/>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37E88"/>
    <w:rsid w:val="00242891"/>
    <w:rsid w:val="00243181"/>
    <w:rsid w:val="00243206"/>
    <w:rsid w:val="0024497C"/>
    <w:rsid w:val="00245BAC"/>
    <w:rsid w:val="00246862"/>
    <w:rsid w:val="00246915"/>
    <w:rsid w:val="00246F70"/>
    <w:rsid w:val="00247875"/>
    <w:rsid w:val="00247D11"/>
    <w:rsid w:val="00251A82"/>
    <w:rsid w:val="00254ED2"/>
    <w:rsid w:val="00262666"/>
    <w:rsid w:val="00263720"/>
    <w:rsid w:val="00267A88"/>
    <w:rsid w:val="00270480"/>
    <w:rsid w:val="00273171"/>
    <w:rsid w:val="002802EC"/>
    <w:rsid w:val="0028055E"/>
    <w:rsid w:val="002805AC"/>
    <w:rsid w:val="002811D0"/>
    <w:rsid w:val="00281870"/>
    <w:rsid w:val="00283967"/>
    <w:rsid w:val="00283B3F"/>
    <w:rsid w:val="002844AF"/>
    <w:rsid w:val="002908C0"/>
    <w:rsid w:val="00291333"/>
    <w:rsid w:val="00292316"/>
    <w:rsid w:val="0029542B"/>
    <w:rsid w:val="00296748"/>
    <w:rsid w:val="002A28E5"/>
    <w:rsid w:val="002A2985"/>
    <w:rsid w:val="002A4088"/>
    <w:rsid w:val="002A411F"/>
    <w:rsid w:val="002A5510"/>
    <w:rsid w:val="002A6EF0"/>
    <w:rsid w:val="002A72DF"/>
    <w:rsid w:val="002B2AF4"/>
    <w:rsid w:val="002B3159"/>
    <w:rsid w:val="002B5C6A"/>
    <w:rsid w:val="002B5C82"/>
    <w:rsid w:val="002B79C4"/>
    <w:rsid w:val="002C01EA"/>
    <w:rsid w:val="002C0324"/>
    <w:rsid w:val="002D185F"/>
    <w:rsid w:val="002D1979"/>
    <w:rsid w:val="002D2BC6"/>
    <w:rsid w:val="002D71A6"/>
    <w:rsid w:val="002D7BCE"/>
    <w:rsid w:val="002E520C"/>
    <w:rsid w:val="002E796C"/>
    <w:rsid w:val="002E7AF6"/>
    <w:rsid w:val="002F19AF"/>
    <w:rsid w:val="002F45B6"/>
    <w:rsid w:val="002F4F72"/>
    <w:rsid w:val="002F69D0"/>
    <w:rsid w:val="002F7173"/>
    <w:rsid w:val="002F7484"/>
    <w:rsid w:val="00302511"/>
    <w:rsid w:val="00302C57"/>
    <w:rsid w:val="00303020"/>
    <w:rsid w:val="003032E2"/>
    <w:rsid w:val="00304999"/>
    <w:rsid w:val="003076B0"/>
    <w:rsid w:val="00307E06"/>
    <w:rsid w:val="003102E9"/>
    <w:rsid w:val="00312470"/>
    <w:rsid w:val="003124A7"/>
    <w:rsid w:val="00315C76"/>
    <w:rsid w:val="0031730E"/>
    <w:rsid w:val="00321AAB"/>
    <w:rsid w:val="00321C10"/>
    <w:rsid w:val="003253CA"/>
    <w:rsid w:val="00331836"/>
    <w:rsid w:val="0033426E"/>
    <w:rsid w:val="00335EF4"/>
    <w:rsid w:val="00337583"/>
    <w:rsid w:val="003410C2"/>
    <w:rsid w:val="0034180B"/>
    <w:rsid w:val="00342CE5"/>
    <w:rsid w:val="003462AA"/>
    <w:rsid w:val="003505C2"/>
    <w:rsid w:val="00355E72"/>
    <w:rsid w:val="00356B16"/>
    <w:rsid w:val="00360A0B"/>
    <w:rsid w:val="003633B9"/>
    <w:rsid w:val="00364165"/>
    <w:rsid w:val="003646B9"/>
    <w:rsid w:val="003708D3"/>
    <w:rsid w:val="003731F5"/>
    <w:rsid w:val="00375176"/>
    <w:rsid w:val="00380BAC"/>
    <w:rsid w:val="00381DC3"/>
    <w:rsid w:val="00382FD0"/>
    <w:rsid w:val="003843DE"/>
    <w:rsid w:val="00387C97"/>
    <w:rsid w:val="003965ED"/>
    <w:rsid w:val="003A1268"/>
    <w:rsid w:val="003A1F55"/>
    <w:rsid w:val="003A3A38"/>
    <w:rsid w:val="003B20F0"/>
    <w:rsid w:val="003B2E9F"/>
    <w:rsid w:val="003B2FF4"/>
    <w:rsid w:val="003B373B"/>
    <w:rsid w:val="003B4BAF"/>
    <w:rsid w:val="003B6C7E"/>
    <w:rsid w:val="003B7BE7"/>
    <w:rsid w:val="003B7C7A"/>
    <w:rsid w:val="003C0AC1"/>
    <w:rsid w:val="003C4A93"/>
    <w:rsid w:val="003C63BE"/>
    <w:rsid w:val="003D1EF2"/>
    <w:rsid w:val="003D5E2A"/>
    <w:rsid w:val="003D707F"/>
    <w:rsid w:val="003E0B3C"/>
    <w:rsid w:val="003E0F2A"/>
    <w:rsid w:val="003E15CF"/>
    <w:rsid w:val="003E52CC"/>
    <w:rsid w:val="003E5B1E"/>
    <w:rsid w:val="003E6341"/>
    <w:rsid w:val="003E7801"/>
    <w:rsid w:val="003E7C91"/>
    <w:rsid w:val="003F47AD"/>
    <w:rsid w:val="003F5E8A"/>
    <w:rsid w:val="00400164"/>
    <w:rsid w:val="0040457E"/>
    <w:rsid w:val="00406577"/>
    <w:rsid w:val="00411707"/>
    <w:rsid w:val="00411DCE"/>
    <w:rsid w:val="0041349D"/>
    <w:rsid w:val="004138D3"/>
    <w:rsid w:val="0041760B"/>
    <w:rsid w:val="00423A9D"/>
    <w:rsid w:val="00424229"/>
    <w:rsid w:val="00427081"/>
    <w:rsid w:val="00435286"/>
    <w:rsid w:val="004358CC"/>
    <w:rsid w:val="004407BC"/>
    <w:rsid w:val="0044228E"/>
    <w:rsid w:val="00444733"/>
    <w:rsid w:val="004503A6"/>
    <w:rsid w:val="00454494"/>
    <w:rsid w:val="00455BEF"/>
    <w:rsid w:val="004567C7"/>
    <w:rsid w:val="00457CC7"/>
    <w:rsid w:val="004633D7"/>
    <w:rsid w:val="004633DC"/>
    <w:rsid w:val="004650B5"/>
    <w:rsid w:val="004666FB"/>
    <w:rsid w:val="00470818"/>
    <w:rsid w:val="004715AF"/>
    <w:rsid w:val="004724C0"/>
    <w:rsid w:val="00472E19"/>
    <w:rsid w:val="00474E30"/>
    <w:rsid w:val="0047763B"/>
    <w:rsid w:val="00477D61"/>
    <w:rsid w:val="00480D12"/>
    <w:rsid w:val="00484C1D"/>
    <w:rsid w:val="00485388"/>
    <w:rsid w:val="00485C88"/>
    <w:rsid w:val="00491DA5"/>
    <w:rsid w:val="004961AD"/>
    <w:rsid w:val="00497E3B"/>
    <w:rsid w:val="004A2326"/>
    <w:rsid w:val="004A319F"/>
    <w:rsid w:val="004A4ECC"/>
    <w:rsid w:val="004B3A33"/>
    <w:rsid w:val="004B3D2E"/>
    <w:rsid w:val="004B483F"/>
    <w:rsid w:val="004B5C00"/>
    <w:rsid w:val="004B6F87"/>
    <w:rsid w:val="004B748E"/>
    <w:rsid w:val="004B74CE"/>
    <w:rsid w:val="004C0B41"/>
    <w:rsid w:val="004C10F3"/>
    <w:rsid w:val="004C20AC"/>
    <w:rsid w:val="004C3E7C"/>
    <w:rsid w:val="004C4306"/>
    <w:rsid w:val="004C456C"/>
    <w:rsid w:val="004C489E"/>
    <w:rsid w:val="004C5014"/>
    <w:rsid w:val="004C57A9"/>
    <w:rsid w:val="004D3ADD"/>
    <w:rsid w:val="004D5713"/>
    <w:rsid w:val="004D5934"/>
    <w:rsid w:val="004D5BB1"/>
    <w:rsid w:val="004D7564"/>
    <w:rsid w:val="004E154D"/>
    <w:rsid w:val="004E16A4"/>
    <w:rsid w:val="004E661E"/>
    <w:rsid w:val="004F03BE"/>
    <w:rsid w:val="004F1460"/>
    <w:rsid w:val="004F3240"/>
    <w:rsid w:val="004F4970"/>
    <w:rsid w:val="004F4B8D"/>
    <w:rsid w:val="004F5821"/>
    <w:rsid w:val="004F647D"/>
    <w:rsid w:val="004F674E"/>
    <w:rsid w:val="004F735A"/>
    <w:rsid w:val="00500ED6"/>
    <w:rsid w:val="00501EAB"/>
    <w:rsid w:val="005043E1"/>
    <w:rsid w:val="005068F2"/>
    <w:rsid w:val="00510956"/>
    <w:rsid w:val="00510C9F"/>
    <w:rsid w:val="005115C3"/>
    <w:rsid w:val="00512FF2"/>
    <w:rsid w:val="0051428C"/>
    <w:rsid w:val="0051459E"/>
    <w:rsid w:val="00515E05"/>
    <w:rsid w:val="00516F56"/>
    <w:rsid w:val="00520000"/>
    <w:rsid w:val="0052060E"/>
    <w:rsid w:val="0052495F"/>
    <w:rsid w:val="00526DC4"/>
    <w:rsid w:val="0052775F"/>
    <w:rsid w:val="005300DF"/>
    <w:rsid w:val="00531A5A"/>
    <w:rsid w:val="00531A6D"/>
    <w:rsid w:val="00531AC3"/>
    <w:rsid w:val="00531B0F"/>
    <w:rsid w:val="00531B2A"/>
    <w:rsid w:val="00531DE3"/>
    <w:rsid w:val="00534C95"/>
    <w:rsid w:val="00534D29"/>
    <w:rsid w:val="0053715D"/>
    <w:rsid w:val="00541B18"/>
    <w:rsid w:val="00542671"/>
    <w:rsid w:val="00544734"/>
    <w:rsid w:val="00544A76"/>
    <w:rsid w:val="00545D35"/>
    <w:rsid w:val="005478F9"/>
    <w:rsid w:val="00551897"/>
    <w:rsid w:val="00553578"/>
    <w:rsid w:val="00557727"/>
    <w:rsid w:val="005609AA"/>
    <w:rsid w:val="00563B9C"/>
    <w:rsid w:val="00565465"/>
    <w:rsid w:val="00567E8E"/>
    <w:rsid w:val="005707BD"/>
    <w:rsid w:val="005720EB"/>
    <w:rsid w:val="00573853"/>
    <w:rsid w:val="005770F4"/>
    <w:rsid w:val="00580F64"/>
    <w:rsid w:val="005814D4"/>
    <w:rsid w:val="005817AB"/>
    <w:rsid w:val="005903F7"/>
    <w:rsid w:val="005913ED"/>
    <w:rsid w:val="00593333"/>
    <w:rsid w:val="00594404"/>
    <w:rsid w:val="00594670"/>
    <w:rsid w:val="00595186"/>
    <w:rsid w:val="00597C5A"/>
    <w:rsid w:val="005A0A32"/>
    <w:rsid w:val="005A0D5F"/>
    <w:rsid w:val="005A43CB"/>
    <w:rsid w:val="005A493F"/>
    <w:rsid w:val="005A5819"/>
    <w:rsid w:val="005B13A7"/>
    <w:rsid w:val="005B2365"/>
    <w:rsid w:val="005B74A1"/>
    <w:rsid w:val="005C0B46"/>
    <w:rsid w:val="005C2C8E"/>
    <w:rsid w:val="005C3AA7"/>
    <w:rsid w:val="005C414F"/>
    <w:rsid w:val="005C7AB9"/>
    <w:rsid w:val="005C7C2F"/>
    <w:rsid w:val="005D0C29"/>
    <w:rsid w:val="005D1684"/>
    <w:rsid w:val="005D3F0B"/>
    <w:rsid w:val="005D4300"/>
    <w:rsid w:val="005D62CD"/>
    <w:rsid w:val="005D65FC"/>
    <w:rsid w:val="005D751A"/>
    <w:rsid w:val="005E18B0"/>
    <w:rsid w:val="005E3275"/>
    <w:rsid w:val="005E40A8"/>
    <w:rsid w:val="005E5273"/>
    <w:rsid w:val="005F0B76"/>
    <w:rsid w:val="005F1575"/>
    <w:rsid w:val="005F35AE"/>
    <w:rsid w:val="005F5150"/>
    <w:rsid w:val="006012BD"/>
    <w:rsid w:val="00602086"/>
    <w:rsid w:val="006031E8"/>
    <w:rsid w:val="0060423E"/>
    <w:rsid w:val="006062DA"/>
    <w:rsid w:val="00607003"/>
    <w:rsid w:val="00607309"/>
    <w:rsid w:val="00607F3D"/>
    <w:rsid w:val="00610028"/>
    <w:rsid w:val="006105BC"/>
    <w:rsid w:val="00610C46"/>
    <w:rsid w:val="00611349"/>
    <w:rsid w:val="00611DD6"/>
    <w:rsid w:val="006167DB"/>
    <w:rsid w:val="00621035"/>
    <w:rsid w:val="00621070"/>
    <w:rsid w:val="00624F98"/>
    <w:rsid w:val="00630C62"/>
    <w:rsid w:val="00633FA0"/>
    <w:rsid w:val="006345EE"/>
    <w:rsid w:val="006361ED"/>
    <w:rsid w:val="006418C8"/>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67DA8"/>
    <w:rsid w:val="00675661"/>
    <w:rsid w:val="00677773"/>
    <w:rsid w:val="006802CC"/>
    <w:rsid w:val="00681F17"/>
    <w:rsid w:val="00682164"/>
    <w:rsid w:val="006826DA"/>
    <w:rsid w:val="0068325D"/>
    <w:rsid w:val="00683DC9"/>
    <w:rsid w:val="00687B92"/>
    <w:rsid w:val="006921D8"/>
    <w:rsid w:val="00692778"/>
    <w:rsid w:val="00694E52"/>
    <w:rsid w:val="00696616"/>
    <w:rsid w:val="00696F11"/>
    <w:rsid w:val="00697ECB"/>
    <w:rsid w:val="006A141D"/>
    <w:rsid w:val="006A1C56"/>
    <w:rsid w:val="006A28BC"/>
    <w:rsid w:val="006A4C24"/>
    <w:rsid w:val="006A5F24"/>
    <w:rsid w:val="006A6FE7"/>
    <w:rsid w:val="006B0915"/>
    <w:rsid w:val="006B0B08"/>
    <w:rsid w:val="006B10A8"/>
    <w:rsid w:val="006B1107"/>
    <w:rsid w:val="006B119B"/>
    <w:rsid w:val="006B26D3"/>
    <w:rsid w:val="006B4FD6"/>
    <w:rsid w:val="006B52CD"/>
    <w:rsid w:val="006B5B79"/>
    <w:rsid w:val="006B6362"/>
    <w:rsid w:val="006B78C5"/>
    <w:rsid w:val="006C2F23"/>
    <w:rsid w:val="006C31AF"/>
    <w:rsid w:val="006C3540"/>
    <w:rsid w:val="006C7B72"/>
    <w:rsid w:val="006D0188"/>
    <w:rsid w:val="006D1203"/>
    <w:rsid w:val="006D1F81"/>
    <w:rsid w:val="006D4142"/>
    <w:rsid w:val="006D6AFE"/>
    <w:rsid w:val="006D7AAA"/>
    <w:rsid w:val="006E04D4"/>
    <w:rsid w:val="006E04EF"/>
    <w:rsid w:val="006E1B16"/>
    <w:rsid w:val="006E27BA"/>
    <w:rsid w:val="006E43D3"/>
    <w:rsid w:val="006E44A9"/>
    <w:rsid w:val="006E6519"/>
    <w:rsid w:val="006F0897"/>
    <w:rsid w:val="006F0D29"/>
    <w:rsid w:val="006F0D75"/>
    <w:rsid w:val="006F2412"/>
    <w:rsid w:val="006F2AC0"/>
    <w:rsid w:val="006F5192"/>
    <w:rsid w:val="006F5760"/>
    <w:rsid w:val="006F6BE0"/>
    <w:rsid w:val="00700013"/>
    <w:rsid w:val="00701FA5"/>
    <w:rsid w:val="00702862"/>
    <w:rsid w:val="00702D97"/>
    <w:rsid w:val="00703F64"/>
    <w:rsid w:val="00704527"/>
    <w:rsid w:val="00704CD1"/>
    <w:rsid w:val="0070679D"/>
    <w:rsid w:val="00707019"/>
    <w:rsid w:val="00707245"/>
    <w:rsid w:val="00712EE0"/>
    <w:rsid w:val="0071716F"/>
    <w:rsid w:val="0072215B"/>
    <w:rsid w:val="00723286"/>
    <w:rsid w:val="00727118"/>
    <w:rsid w:val="00727C09"/>
    <w:rsid w:val="00731CAA"/>
    <w:rsid w:val="00733866"/>
    <w:rsid w:val="007372AF"/>
    <w:rsid w:val="007372F0"/>
    <w:rsid w:val="007402AF"/>
    <w:rsid w:val="00742758"/>
    <w:rsid w:val="007472E0"/>
    <w:rsid w:val="00747AB7"/>
    <w:rsid w:val="00750435"/>
    <w:rsid w:val="00752B02"/>
    <w:rsid w:val="00755251"/>
    <w:rsid w:val="007568F4"/>
    <w:rsid w:val="0075724E"/>
    <w:rsid w:val="0076494C"/>
    <w:rsid w:val="00766389"/>
    <w:rsid w:val="00771EDB"/>
    <w:rsid w:val="0077356E"/>
    <w:rsid w:val="007737E8"/>
    <w:rsid w:val="00773DC9"/>
    <w:rsid w:val="007758EE"/>
    <w:rsid w:val="0077739D"/>
    <w:rsid w:val="007806D4"/>
    <w:rsid w:val="00780930"/>
    <w:rsid w:val="0078132A"/>
    <w:rsid w:val="00782019"/>
    <w:rsid w:val="00785325"/>
    <w:rsid w:val="00790C1A"/>
    <w:rsid w:val="00790E52"/>
    <w:rsid w:val="00792E46"/>
    <w:rsid w:val="00795960"/>
    <w:rsid w:val="00797026"/>
    <w:rsid w:val="007A0DD5"/>
    <w:rsid w:val="007A1ABA"/>
    <w:rsid w:val="007A25A8"/>
    <w:rsid w:val="007A2B3C"/>
    <w:rsid w:val="007A4CC0"/>
    <w:rsid w:val="007B18FC"/>
    <w:rsid w:val="007B448D"/>
    <w:rsid w:val="007B6958"/>
    <w:rsid w:val="007C4525"/>
    <w:rsid w:val="007C4D7C"/>
    <w:rsid w:val="007C4FC7"/>
    <w:rsid w:val="007C5134"/>
    <w:rsid w:val="007C6CD3"/>
    <w:rsid w:val="007C7AD1"/>
    <w:rsid w:val="007D2543"/>
    <w:rsid w:val="007D4645"/>
    <w:rsid w:val="007D4E0F"/>
    <w:rsid w:val="007D6D8D"/>
    <w:rsid w:val="007D7972"/>
    <w:rsid w:val="007E0876"/>
    <w:rsid w:val="007E32FC"/>
    <w:rsid w:val="007E503E"/>
    <w:rsid w:val="007E6F05"/>
    <w:rsid w:val="007E7DD4"/>
    <w:rsid w:val="007F1451"/>
    <w:rsid w:val="007F308D"/>
    <w:rsid w:val="007F3488"/>
    <w:rsid w:val="007F4057"/>
    <w:rsid w:val="007F43B4"/>
    <w:rsid w:val="007F4ED0"/>
    <w:rsid w:val="007F563B"/>
    <w:rsid w:val="007F566C"/>
    <w:rsid w:val="007F64F9"/>
    <w:rsid w:val="007F7B65"/>
    <w:rsid w:val="007F7F91"/>
    <w:rsid w:val="00801F35"/>
    <w:rsid w:val="0080399F"/>
    <w:rsid w:val="00805C67"/>
    <w:rsid w:val="00807736"/>
    <w:rsid w:val="0081394E"/>
    <w:rsid w:val="00815878"/>
    <w:rsid w:val="00815DCF"/>
    <w:rsid w:val="0082010D"/>
    <w:rsid w:val="008212B6"/>
    <w:rsid w:val="00821C04"/>
    <w:rsid w:val="0082792B"/>
    <w:rsid w:val="0083002A"/>
    <w:rsid w:val="00830884"/>
    <w:rsid w:val="00832757"/>
    <w:rsid w:val="00832BFA"/>
    <w:rsid w:val="00832FE5"/>
    <w:rsid w:val="0084114B"/>
    <w:rsid w:val="00841573"/>
    <w:rsid w:val="00841CA9"/>
    <w:rsid w:val="00842ED4"/>
    <w:rsid w:val="00845EA4"/>
    <w:rsid w:val="008550F0"/>
    <w:rsid w:val="00855650"/>
    <w:rsid w:val="008561A6"/>
    <w:rsid w:val="0085735B"/>
    <w:rsid w:val="00857BD3"/>
    <w:rsid w:val="00860037"/>
    <w:rsid w:val="00860FEF"/>
    <w:rsid w:val="008618D9"/>
    <w:rsid w:val="0086361E"/>
    <w:rsid w:val="008649E5"/>
    <w:rsid w:val="00864F72"/>
    <w:rsid w:val="00865798"/>
    <w:rsid w:val="00873D60"/>
    <w:rsid w:val="00874D05"/>
    <w:rsid w:val="00875CD2"/>
    <w:rsid w:val="008764CF"/>
    <w:rsid w:val="00880B80"/>
    <w:rsid w:val="00881FFB"/>
    <w:rsid w:val="00883E64"/>
    <w:rsid w:val="0088403D"/>
    <w:rsid w:val="008850E5"/>
    <w:rsid w:val="00885C97"/>
    <w:rsid w:val="00885CDE"/>
    <w:rsid w:val="008946EA"/>
    <w:rsid w:val="008947B5"/>
    <w:rsid w:val="00894D4A"/>
    <w:rsid w:val="00897C9D"/>
    <w:rsid w:val="008A18E3"/>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D5880"/>
    <w:rsid w:val="008E215F"/>
    <w:rsid w:val="008E4231"/>
    <w:rsid w:val="008E586E"/>
    <w:rsid w:val="008F05C2"/>
    <w:rsid w:val="008F52F4"/>
    <w:rsid w:val="008F6A42"/>
    <w:rsid w:val="008F7D31"/>
    <w:rsid w:val="009007FC"/>
    <w:rsid w:val="0090282D"/>
    <w:rsid w:val="00903388"/>
    <w:rsid w:val="00903BE5"/>
    <w:rsid w:val="00906D63"/>
    <w:rsid w:val="009073DD"/>
    <w:rsid w:val="009104F9"/>
    <w:rsid w:val="009111EA"/>
    <w:rsid w:val="0091170B"/>
    <w:rsid w:val="00912837"/>
    <w:rsid w:val="0091304F"/>
    <w:rsid w:val="009133A9"/>
    <w:rsid w:val="009159DA"/>
    <w:rsid w:val="00920D15"/>
    <w:rsid w:val="009210A6"/>
    <w:rsid w:val="00922E2A"/>
    <w:rsid w:val="00924F2E"/>
    <w:rsid w:val="00926E14"/>
    <w:rsid w:val="00926FCD"/>
    <w:rsid w:val="00927607"/>
    <w:rsid w:val="00931E3D"/>
    <w:rsid w:val="0094005B"/>
    <w:rsid w:val="00943B62"/>
    <w:rsid w:val="0094607A"/>
    <w:rsid w:val="00947785"/>
    <w:rsid w:val="00956CD1"/>
    <w:rsid w:val="00964969"/>
    <w:rsid w:val="00964A87"/>
    <w:rsid w:val="00965794"/>
    <w:rsid w:val="00965870"/>
    <w:rsid w:val="00970BC4"/>
    <w:rsid w:val="00973D8D"/>
    <w:rsid w:val="009752F6"/>
    <w:rsid w:val="009755B4"/>
    <w:rsid w:val="009758DB"/>
    <w:rsid w:val="0097768E"/>
    <w:rsid w:val="009810EB"/>
    <w:rsid w:val="00983201"/>
    <w:rsid w:val="00984197"/>
    <w:rsid w:val="00984A95"/>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4BF0"/>
    <w:rsid w:val="009D562A"/>
    <w:rsid w:val="009D6659"/>
    <w:rsid w:val="009D7058"/>
    <w:rsid w:val="009E0336"/>
    <w:rsid w:val="009E10EC"/>
    <w:rsid w:val="009E3A9A"/>
    <w:rsid w:val="009E5841"/>
    <w:rsid w:val="009E7338"/>
    <w:rsid w:val="009F1BB6"/>
    <w:rsid w:val="009F50FA"/>
    <w:rsid w:val="00A022D9"/>
    <w:rsid w:val="00A033BB"/>
    <w:rsid w:val="00A0357E"/>
    <w:rsid w:val="00A045F4"/>
    <w:rsid w:val="00A05B4F"/>
    <w:rsid w:val="00A07E65"/>
    <w:rsid w:val="00A10387"/>
    <w:rsid w:val="00A21B13"/>
    <w:rsid w:val="00A2508C"/>
    <w:rsid w:val="00A2560E"/>
    <w:rsid w:val="00A2572E"/>
    <w:rsid w:val="00A25FC0"/>
    <w:rsid w:val="00A26286"/>
    <w:rsid w:val="00A262B6"/>
    <w:rsid w:val="00A26D41"/>
    <w:rsid w:val="00A27138"/>
    <w:rsid w:val="00A3359F"/>
    <w:rsid w:val="00A33A89"/>
    <w:rsid w:val="00A4105D"/>
    <w:rsid w:val="00A442A4"/>
    <w:rsid w:val="00A4466C"/>
    <w:rsid w:val="00A4628E"/>
    <w:rsid w:val="00A465DA"/>
    <w:rsid w:val="00A51216"/>
    <w:rsid w:val="00A5314A"/>
    <w:rsid w:val="00A671D3"/>
    <w:rsid w:val="00A703CE"/>
    <w:rsid w:val="00A7188F"/>
    <w:rsid w:val="00A7216C"/>
    <w:rsid w:val="00A7622C"/>
    <w:rsid w:val="00A77949"/>
    <w:rsid w:val="00A8007D"/>
    <w:rsid w:val="00A80B43"/>
    <w:rsid w:val="00A8244C"/>
    <w:rsid w:val="00A83D36"/>
    <w:rsid w:val="00A85B97"/>
    <w:rsid w:val="00A87174"/>
    <w:rsid w:val="00A91F55"/>
    <w:rsid w:val="00A923D9"/>
    <w:rsid w:val="00A93F22"/>
    <w:rsid w:val="00A94E2C"/>
    <w:rsid w:val="00A96D2D"/>
    <w:rsid w:val="00A977D1"/>
    <w:rsid w:val="00AA0100"/>
    <w:rsid w:val="00AA0A4A"/>
    <w:rsid w:val="00AA119B"/>
    <w:rsid w:val="00AA27AB"/>
    <w:rsid w:val="00AA29E9"/>
    <w:rsid w:val="00AA38C5"/>
    <w:rsid w:val="00AA56F2"/>
    <w:rsid w:val="00AB00F1"/>
    <w:rsid w:val="00AB03E8"/>
    <w:rsid w:val="00AB0764"/>
    <w:rsid w:val="00AB10A6"/>
    <w:rsid w:val="00AB19C6"/>
    <w:rsid w:val="00AB1E7B"/>
    <w:rsid w:val="00AB628D"/>
    <w:rsid w:val="00AB641E"/>
    <w:rsid w:val="00AC09E1"/>
    <w:rsid w:val="00AC1530"/>
    <w:rsid w:val="00AC1D64"/>
    <w:rsid w:val="00AD1E25"/>
    <w:rsid w:val="00AD38ED"/>
    <w:rsid w:val="00AD4282"/>
    <w:rsid w:val="00AD77FD"/>
    <w:rsid w:val="00AE028A"/>
    <w:rsid w:val="00AE1A7A"/>
    <w:rsid w:val="00AE4894"/>
    <w:rsid w:val="00AE5AC8"/>
    <w:rsid w:val="00AF2062"/>
    <w:rsid w:val="00AF6F6A"/>
    <w:rsid w:val="00B02452"/>
    <w:rsid w:val="00B049EC"/>
    <w:rsid w:val="00B04DD6"/>
    <w:rsid w:val="00B0589E"/>
    <w:rsid w:val="00B078A6"/>
    <w:rsid w:val="00B10264"/>
    <w:rsid w:val="00B10FF6"/>
    <w:rsid w:val="00B1212B"/>
    <w:rsid w:val="00B13F02"/>
    <w:rsid w:val="00B14213"/>
    <w:rsid w:val="00B15800"/>
    <w:rsid w:val="00B173E2"/>
    <w:rsid w:val="00B177F2"/>
    <w:rsid w:val="00B230D1"/>
    <w:rsid w:val="00B26CCB"/>
    <w:rsid w:val="00B30050"/>
    <w:rsid w:val="00B31114"/>
    <w:rsid w:val="00B31B5C"/>
    <w:rsid w:val="00B34D98"/>
    <w:rsid w:val="00B35503"/>
    <w:rsid w:val="00B36412"/>
    <w:rsid w:val="00B37C1A"/>
    <w:rsid w:val="00B37E5F"/>
    <w:rsid w:val="00B408F8"/>
    <w:rsid w:val="00B45AA5"/>
    <w:rsid w:val="00B461BE"/>
    <w:rsid w:val="00B51D39"/>
    <w:rsid w:val="00B55C20"/>
    <w:rsid w:val="00B61D3E"/>
    <w:rsid w:val="00B61F76"/>
    <w:rsid w:val="00B626F5"/>
    <w:rsid w:val="00B66885"/>
    <w:rsid w:val="00B7058E"/>
    <w:rsid w:val="00B70873"/>
    <w:rsid w:val="00B70EC1"/>
    <w:rsid w:val="00B7103E"/>
    <w:rsid w:val="00B71315"/>
    <w:rsid w:val="00B7173A"/>
    <w:rsid w:val="00B726F6"/>
    <w:rsid w:val="00B72FDD"/>
    <w:rsid w:val="00B73E27"/>
    <w:rsid w:val="00B758E5"/>
    <w:rsid w:val="00B76F62"/>
    <w:rsid w:val="00B77B2E"/>
    <w:rsid w:val="00B8098C"/>
    <w:rsid w:val="00B8390D"/>
    <w:rsid w:val="00B87E94"/>
    <w:rsid w:val="00B90D57"/>
    <w:rsid w:val="00B90ED9"/>
    <w:rsid w:val="00B92BBA"/>
    <w:rsid w:val="00B95F1A"/>
    <w:rsid w:val="00B97565"/>
    <w:rsid w:val="00BA0DB3"/>
    <w:rsid w:val="00BA0E31"/>
    <w:rsid w:val="00BA2FEE"/>
    <w:rsid w:val="00BA42E0"/>
    <w:rsid w:val="00BB1EC2"/>
    <w:rsid w:val="00BB2686"/>
    <w:rsid w:val="00BB62D7"/>
    <w:rsid w:val="00BC0C9A"/>
    <w:rsid w:val="00BC7BD0"/>
    <w:rsid w:val="00BD1D06"/>
    <w:rsid w:val="00BD249F"/>
    <w:rsid w:val="00BD34FD"/>
    <w:rsid w:val="00BD3A97"/>
    <w:rsid w:val="00BD5CAE"/>
    <w:rsid w:val="00BD7C52"/>
    <w:rsid w:val="00BE1BBE"/>
    <w:rsid w:val="00BE290F"/>
    <w:rsid w:val="00BE4A75"/>
    <w:rsid w:val="00BE4FDC"/>
    <w:rsid w:val="00BE5AAF"/>
    <w:rsid w:val="00BE5C36"/>
    <w:rsid w:val="00BF0DCB"/>
    <w:rsid w:val="00BF1EC0"/>
    <w:rsid w:val="00BF2AD9"/>
    <w:rsid w:val="00BF2F98"/>
    <w:rsid w:val="00BF7FD7"/>
    <w:rsid w:val="00C00D17"/>
    <w:rsid w:val="00C02A64"/>
    <w:rsid w:val="00C06278"/>
    <w:rsid w:val="00C06502"/>
    <w:rsid w:val="00C11344"/>
    <w:rsid w:val="00C1297D"/>
    <w:rsid w:val="00C14017"/>
    <w:rsid w:val="00C148AE"/>
    <w:rsid w:val="00C14B07"/>
    <w:rsid w:val="00C1506F"/>
    <w:rsid w:val="00C157FE"/>
    <w:rsid w:val="00C22D64"/>
    <w:rsid w:val="00C278D9"/>
    <w:rsid w:val="00C31614"/>
    <w:rsid w:val="00C31741"/>
    <w:rsid w:val="00C31CFE"/>
    <w:rsid w:val="00C329B9"/>
    <w:rsid w:val="00C33CFB"/>
    <w:rsid w:val="00C35B04"/>
    <w:rsid w:val="00C35CE7"/>
    <w:rsid w:val="00C37A09"/>
    <w:rsid w:val="00C412FF"/>
    <w:rsid w:val="00C41357"/>
    <w:rsid w:val="00C41A90"/>
    <w:rsid w:val="00C446B2"/>
    <w:rsid w:val="00C45315"/>
    <w:rsid w:val="00C46DE0"/>
    <w:rsid w:val="00C52510"/>
    <w:rsid w:val="00C53824"/>
    <w:rsid w:val="00C55168"/>
    <w:rsid w:val="00C56885"/>
    <w:rsid w:val="00C57680"/>
    <w:rsid w:val="00C57997"/>
    <w:rsid w:val="00C57DE8"/>
    <w:rsid w:val="00C607C9"/>
    <w:rsid w:val="00C6230B"/>
    <w:rsid w:val="00C669B9"/>
    <w:rsid w:val="00C669E4"/>
    <w:rsid w:val="00C66CB8"/>
    <w:rsid w:val="00C7265B"/>
    <w:rsid w:val="00C72D55"/>
    <w:rsid w:val="00C732C5"/>
    <w:rsid w:val="00C75C7B"/>
    <w:rsid w:val="00C80261"/>
    <w:rsid w:val="00C80FE1"/>
    <w:rsid w:val="00C8246A"/>
    <w:rsid w:val="00C830CA"/>
    <w:rsid w:val="00C83120"/>
    <w:rsid w:val="00C84197"/>
    <w:rsid w:val="00C904A0"/>
    <w:rsid w:val="00C9115E"/>
    <w:rsid w:val="00C9167C"/>
    <w:rsid w:val="00C926A1"/>
    <w:rsid w:val="00C94AA0"/>
    <w:rsid w:val="00C95207"/>
    <w:rsid w:val="00C962CF"/>
    <w:rsid w:val="00CA1B76"/>
    <w:rsid w:val="00CA2387"/>
    <w:rsid w:val="00CA4E8C"/>
    <w:rsid w:val="00CA6573"/>
    <w:rsid w:val="00CA6F44"/>
    <w:rsid w:val="00CA7887"/>
    <w:rsid w:val="00CB27A4"/>
    <w:rsid w:val="00CB621B"/>
    <w:rsid w:val="00CB6E8A"/>
    <w:rsid w:val="00CC1DB1"/>
    <w:rsid w:val="00CC7CEF"/>
    <w:rsid w:val="00CD0468"/>
    <w:rsid w:val="00CD1491"/>
    <w:rsid w:val="00CD313D"/>
    <w:rsid w:val="00CD64DE"/>
    <w:rsid w:val="00CE50AD"/>
    <w:rsid w:val="00CE51E4"/>
    <w:rsid w:val="00CE7098"/>
    <w:rsid w:val="00CE78E5"/>
    <w:rsid w:val="00CF10FC"/>
    <w:rsid w:val="00CF1E45"/>
    <w:rsid w:val="00CF6971"/>
    <w:rsid w:val="00CF7993"/>
    <w:rsid w:val="00D00AC1"/>
    <w:rsid w:val="00D014AF"/>
    <w:rsid w:val="00D03B93"/>
    <w:rsid w:val="00D07149"/>
    <w:rsid w:val="00D12D3B"/>
    <w:rsid w:val="00D16225"/>
    <w:rsid w:val="00D16547"/>
    <w:rsid w:val="00D2010F"/>
    <w:rsid w:val="00D20368"/>
    <w:rsid w:val="00D22035"/>
    <w:rsid w:val="00D24260"/>
    <w:rsid w:val="00D24BE6"/>
    <w:rsid w:val="00D27A3E"/>
    <w:rsid w:val="00D309C0"/>
    <w:rsid w:val="00D33C66"/>
    <w:rsid w:val="00D34A5A"/>
    <w:rsid w:val="00D35BF1"/>
    <w:rsid w:val="00D3635F"/>
    <w:rsid w:val="00D378CF"/>
    <w:rsid w:val="00D43168"/>
    <w:rsid w:val="00D44218"/>
    <w:rsid w:val="00D4494B"/>
    <w:rsid w:val="00D45843"/>
    <w:rsid w:val="00D45991"/>
    <w:rsid w:val="00D5144D"/>
    <w:rsid w:val="00D5482F"/>
    <w:rsid w:val="00D54B9F"/>
    <w:rsid w:val="00D566F5"/>
    <w:rsid w:val="00D56752"/>
    <w:rsid w:val="00D56F54"/>
    <w:rsid w:val="00D61107"/>
    <w:rsid w:val="00D61244"/>
    <w:rsid w:val="00D62375"/>
    <w:rsid w:val="00D63A6F"/>
    <w:rsid w:val="00D65942"/>
    <w:rsid w:val="00D70AB8"/>
    <w:rsid w:val="00D7104A"/>
    <w:rsid w:val="00D718E2"/>
    <w:rsid w:val="00D74FDC"/>
    <w:rsid w:val="00D77485"/>
    <w:rsid w:val="00D82506"/>
    <w:rsid w:val="00D871A9"/>
    <w:rsid w:val="00D9154A"/>
    <w:rsid w:val="00D91AF2"/>
    <w:rsid w:val="00D93271"/>
    <w:rsid w:val="00D96319"/>
    <w:rsid w:val="00DA0CA2"/>
    <w:rsid w:val="00DA158D"/>
    <w:rsid w:val="00DA3001"/>
    <w:rsid w:val="00DA4B87"/>
    <w:rsid w:val="00DB0766"/>
    <w:rsid w:val="00DB225F"/>
    <w:rsid w:val="00DB31F5"/>
    <w:rsid w:val="00DB4D86"/>
    <w:rsid w:val="00DB53F2"/>
    <w:rsid w:val="00DB55B5"/>
    <w:rsid w:val="00DB5D12"/>
    <w:rsid w:val="00DB6B6C"/>
    <w:rsid w:val="00DC0207"/>
    <w:rsid w:val="00DC1DD2"/>
    <w:rsid w:val="00DC2863"/>
    <w:rsid w:val="00DC638A"/>
    <w:rsid w:val="00DC68E2"/>
    <w:rsid w:val="00DC6A6C"/>
    <w:rsid w:val="00DC7E64"/>
    <w:rsid w:val="00DD1BAF"/>
    <w:rsid w:val="00DD4CC6"/>
    <w:rsid w:val="00DD4E98"/>
    <w:rsid w:val="00DD58B8"/>
    <w:rsid w:val="00DD664B"/>
    <w:rsid w:val="00DE06FD"/>
    <w:rsid w:val="00DE2129"/>
    <w:rsid w:val="00DE28BF"/>
    <w:rsid w:val="00DE5048"/>
    <w:rsid w:val="00DE6690"/>
    <w:rsid w:val="00DE7637"/>
    <w:rsid w:val="00DF09B8"/>
    <w:rsid w:val="00DF13CC"/>
    <w:rsid w:val="00DF15EE"/>
    <w:rsid w:val="00DF2313"/>
    <w:rsid w:val="00DF7A64"/>
    <w:rsid w:val="00E006B6"/>
    <w:rsid w:val="00E013E9"/>
    <w:rsid w:val="00E02840"/>
    <w:rsid w:val="00E02932"/>
    <w:rsid w:val="00E1020C"/>
    <w:rsid w:val="00E10F14"/>
    <w:rsid w:val="00E11F28"/>
    <w:rsid w:val="00E12B19"/>
    <w:rsid w:val="00E14744"/>
    <w:rsid w:val="00E154AB"/>
    <w:rsid w:val="00E16654"/>
    <w:rsid w:val="00E21CDD"/>
    <w:rsid w:val="00E22360"/>
    <w:rsid w:val="00E23669"/>
    <w:rsid w:val="00E24EDC"/>
    <w:rsid w:val="00E25B8B"/>
    <w:rsid w:val="00E25C3E"/>
    <w:rsid w:val="00E300FB"/>
    <w:rsid w:val="00E31D43"/>
    <w:rsid w:val="00E32EEE"/>
    <w:rsid w:val="00E33520"/>
    <w:rsid w:val="00E3623E"/>
    <w:rsid w:val="00E37775"/>
    <w:rsid w:val="00E40BC0"/>
    <w:rsid w:val="00E41A8D"/>
    <w:rsid w:val="00E427DF"/>
    <w:rsid w:val="00E43435"/>
    <w:rsid w:val="00E52305"/>
    <w:rsid w:val="00E55D41"/>
    <w:rsid w:val="00E56048"/>
    <w:rsid w:val="00E57493"/>
    <w:rsid w:val="00E61CDE"/>
    <w:rsid w:val="00E65459"/>
    <w:rsid w:val="00E67967"/>
    <w:rsid w:val="00E67D3C"/>
    <w:rsid w:val="00E7006D"/>
    <w:rsid w:val="00E75BB5"/>
    <w:rsid w:val="00E80E37"/>
    <w:rsid w:val="00E81447"/>
    <w:rsid w:val="00E83450"/>
    <w:rsid w:val="00E86739"/>
    <w:rsid w:val="00E90E54"/>
    <w:rsid w:val="00E933EB"/>
    <w:rsid w:val="00E94929"/>
    <w:rsid w:val="00E94FF3"/>
    <w:rsid w:val="00E9514D"/>
    <w:rsid w:val="00EA0F7F"/>
    <w:rsid w:val="00EA2C19"/>
    <w:rsid w:val="00EA379C"/>
    <w:rsid w:val="00EA4780"/>
    <w:rsid w:val="00EA4DC3"/>
    <w:rsid w:val="00EA4F63"/>
    <w:rsid w:val="00EA5167"/>
    <w:rsid w:val="00EA7123"/>
    <w:rsid w:val="00EB37B1"/>
    <w:rsid w:val="00EB3E30"/>
    <w:rsid w:val="00EC1642"/>
    <w:rsid w:val="00EC2DA8"/>
    <w:rsid w:val="00EC37FD"/>
    <w:rsid w:val="00EC45FC"/>
    <w:rsid w:val="00EC4743"/>
    <w:rsid w:val="00EC4A4E"/>
    <w:rsid w:val="00EC6A8E"/>
    <w:rsid w:val="00EC6BCB"/>
    <w:rsid w:val="00ED073E"/>
    <w:rsid w:val="00ED2E55"/>
    <w:rsid w:val="00ED5107"/>
    <w:rsid w:val="00ED54D9"/>
    <w:rsid w:val="00ED5DDA"/>
    <w:rsid w:val="00ED6449"/>
    <w:rsid w:val="00ED7D48"/>
    <w:rsid w:val="00EE1797"/>
    <w:rsid w:val="00EE17B1"/>
    <w:rsid w:val="00EE3E2A"/>
    <w:rsid w:val="00EE480B"/>
    <w:rsid w:val="00EE695C"/>
    <w:rsid w:val="00EF651B"/>
    <w:rsid w:val="00EF7F24"/>
    <w:rsid w:val="00F02DE0"/>
    <w:rsid w:val="00F04FE8"/>
    <w:rsid w:val="00F053FC"/>
    <w:rsid w:val="00F05716"/>
    <w:rsid w:val="00F079CC"/>
    <w:rsid w:val="00F07FC2"/>
    <w:rsid w:val="00F123A4"/>
    <w:rsid w:val="00F16359"/>
    <w:rsid w:val="00F21698"/>
    <w:rsid w:val="00F224E5"/>
    <w:rsid w:val="00F24A07"/>
    <w:rsid w:val="00F2514D"/>
    <w:rsid w:val="00F27F68"/>
    <w:rsid w:val="00F31847"/>
    <w:rsid w:val="00F32BC4"/>
    <w:rsid w:val="00F3568E"/>
    <w:rsid w:val="00F35DBE"/>
    <w:rsid w:val="00F36D1A"/>
    <w:rsid w:val="00F37880"/>
    <w:rsid w:val="00F4052F"/>
    <w:rsid w:val="00F40BAA"/>
    <w:rsid w:val="00F42116"/>
    <w:rsid w:val="00F4377C"/>
    <w:rsid w:val="00F43892"/>
    <w:rsid w:val="00F4491E"/>
    <w:rsid w:val="00F466A1"/>
    <w:rsid w:val="00F46C66"/>
    <w:rsid w:val="00F512B9"/>
    <w:rsid w:val="00F530D1"/>
    <w:rsid w:val="00F54463"/>
    <w:rsid w:val="00F54E38"/>
    <w:rsid w:val="00F551B0"/>
    <w:rsid w:val="00F55D82"/>
    <w:rsid w:val="00F62D24"/>
    <w:rsid w:val="00F6398A"/>
    <w:rsid w:val="00F762D5"/>
    <w:rsid w:val="00F7668F"/>
    <w:rsid w:val="00F81765"/>
    <w:rsid w:val="00F81BDD"/>
    <w:rsid w:val="00F830AF"/>
    <w:rsid w:val="00F83C99"/>
    <w:rsid w:val="00F841EA"/>
    <w:rsid w:val="00F8426B"/>
    <w:rsid w:val="00F8623A"/>
    <w:rsid w:val="00F8652F"/>
    <w:rsid w:val="00F874ED"/>
    <w:rsid w:val="00F90B7E"/>
    <w:rsid w:val="00F90CCF"/>
    <w:rsid w:val="00F91235"/>
    <w:rsid w:val="00F92334"/>
    <w:rsid w:val="00F94BFE"/>
    <w:rsid w:val="00F96DBB"/>
    <w:rsid w:val="00FA0211"/>
    <w:rsid w:val="00FA0E43"/>
    <w:rsid w:val="00FA0F1F"/>
    <w:rsid w:val="00FA26F7"/>
    <w:rsid w:val="00FA3C84"/>
    <w:rsid w:val="00FA4E53"/>
    <w:rsid w:val="00FB1E09"/>
    <w:rsid w:val="00FB6C65"/>
    <w:rsid w:val="00FC0ED3"/>
    <w:rsid w:val="00FC1289"/>
    <w:rsid w:val="00FC15D5"/>
    <w:rsid w:val="00FC7513"/>
    <w:rsid w:val="00FC7940"/>
    <w:rsid w:val="00FD0CFA"/>
    <w:rsid w:val="00FD0F89"/>
    <w:rsid w:val="00FD41C0"/>
    <w:rsid w:val="00FD46BA"/>
    <w:rsid w:val="00FD5D4A"/>
    <w:rsid w:val="00FD720C"/>
    <w:rsid w:val="00FD7489"/>
    <w:rsid w:val="00FE09B0"/>
    <w:rsid w:val="00FE0F9D"/>
    <w:rsid w:val="00FE10E6"/>
    <w:rsid w:val="00FE228B"/>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8845AA37-8887-417A-BC6A-3177A521E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pPr>
      <w:spacing w:after="200" w:line="276" w:lineRule="auto"/>
    </w:pPr>
    <w:rPr>
      <w:sz w:val="22"/>
      <w:szCs w:val="22"/>
      <w:lang w:val="es-ES" w:eastAsia="en-US"/>
    </w:rPr>
  </w:style>
  <w:style w:type="paragraph" w:styleId="Ttulo1">
    <w:name w:val="heading 1"/>
    <w:basedOn w:val="Normal"/>
    <w:next w:val="Normal"/>
    <w:link w:val="Ttulo1Car"/>
    <w:uiPriority w:val="9"/>
    <w:qFormat/>
    <w:rsid w:val="006B10A8"/>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rPr>
      <w:sz w:val="22"/>
      <w:szCs w:val="22"/>
      <w:lang w:val="es-ES" w:eastAsia="en-U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link w:val="Textonotapie"/>
    <w:uiPriority w:val="99"/>
    <w:rsid w:val="00FA0211"/>
    <w:rPr>
      <w:sz w:val="20"/>
      <w:szCs w:val="20"/>
      <w:lang w:val="es-ES"/>
    </w:rPr>
  </w:style>
  <w:style w:type="character" w:styleId="Refdenotaalpie">
    <w:name w:val="footnote reference"/>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D46BA"/>
    <w:rPr>
      <w:rFonts w:ascii="Tahoma" w:hAnsi="Tahoma" w:cs="Tahoma"/>
      <w:sz w:val="16"/>
      <w:szCs w:val="16"/>
      <w:lang w:val="es-ES"/>
    </w:rPr>
  </w:style>
  <w:style w:type="character" w:customStyle="1" w:styleId="Ttulo1Car">
    <w:name w:val="Título 1 Car"/>
    <w:link w:val="Ttulo1"/>
    <w:uiPriority w:val="9"/>
    <w:rsid w:val="006B10A8"/>
    <w:rPr>
      <w:rFonts w:ascii="Cambria" w:eastAsia="Times New Roman" w:hAnsi="Cambria" w:cs="Times New Roman"/>
      <w:b/>
      <w:bCs/>
      <w:color w:val="365F91"/>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style>
  <w:style w:type="character" w:customStyle="1" w:styleId="Textoindependiente2Car">
    <w:name w:val="Texto independiente 2 Ca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hAnsi="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uiPriority w:val="99"/>
    <w:semiHidden/>
    <w:unhideWhenUsed/>
    <w:rsid w:val="00A05B4F"/>
    <w:rPr>
      <w:color w:val="0000FF"/>
      <w:u w:val="single"/>
    </w:rPr>
  </w:style>
  <w:style w:type="character" w:customStyle="1" w:styleId="f">
    <w:name w:val="f"/>
    <w:rsid w:val="00677773"/>
  </w:style>
  <w:style w:type="character" w:customStyle="1" w:styleId="a">
    <w:name w:val="a"/>
    <w:rsid w:val="00677773"/>
  </w:style>
  <w:style w:type="character" w:customStyle="1" w:styleId="d">
    <w:name w:val="d"/>
    <w:rsid w:val="00677773"/>
  </w:style>
  <w:style w:type="character" w:customStyle="1" w:styleId="b">
    <w:name w:val="b"/>
    <w:rsid w:val="00677773"/>
  </w:style>
  <w:style w:type="character" w:customStyle="1" w:styleId="g">
    <w:name w:val="g"/>
    <w:rsid w:val="00677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05D5D-A6A2-4652-A39B-65D4DAF8C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7597</Words>
  <Characters>41785</Characters>
  <Application>Microsoft Office Word</Application>
  <DocSecurity>4</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cp:lastModifiedBy>Nineth</cp:lastModifiedBy>
  <cp:revision>2</cp:revision>
  <cp:lastPrinted>2019-04-09T17:37:00Z</cp:lastPrinted>
  <dcterms:created xsi:type="dcterms:W3CDTF">2019-04-11T20:09:00Z</dcterms:created>
  <dcterms:modified xsi:type="dcterms:W3CDTF">2019-04-11T20:09:00Z</dcterms:modified>
</cp:coreProperties>
</file>