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537F3C">
      <w:pPr>
        <w:spacing w:after="0"/>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E03C1DE" w14:textId="77777777" w:rsidR="001658D6" w:rsidRPr="009C0C09" w:rsidRDefault="001658D6" w:rsidP="00537F3C">
      <w:pPr>
        <w:spacing w:after="0"/>
        <w:ind w:left="3686" w:right="51"/>
        <w:jc w:val="both"/>
        <w:rPr>
          <w:rFonts w:ascii="Arial" w:eastAsia="Times New Roman" w:hAnsi="Arial" w:cs="Arial"/>
          <w:b/>
          <w:sz w:val="24"/>
          <w:szCs w:val="27"/>
          <w:lang w:val="es-ES_tradnl" w:eastAsia="es-ES"/>
        </w:rPr>
      </w:pPr>
    </w:p>
    <w:p w14:paraId="313147ED" w14:textId="249AC799" w:rsidR="001658D6" w:rsidRPr="009C0C09" w:rsidRDefault="009C0C09" w:rsidP="00537F3C">
      <w:pPr>
        <w:spacing w:after="0"/>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 DE PRIMERA INSTANCIA.</w:t>
      </w:r>
    </w:p>
    <w:p w14:paraId="4621834D" w14:textId="0EB70707" w:rsidR="00140805" w:rsidRPr="009C0C09" w:rsidRDefault="00140805" w:rsidP="00537F3C">
      <w:pPr>
        <w:spacing w:after="0"/>
        <w:ind w:left="3686" w:right="51"/>
        <w:jc w:val="both"/>
        <w:rPr>
          <w:rFonts w:ascii="Arial" w:eastAsia="Times New Roman" w:hAnsi="Arial" w:cs="Arial"/>
          <w:b/>
          <w:sz w:val="24"/>
          <w:szCs w:val="27"/>
          <w:lang w:val="es-ES_tradnl" w:eastAsia="es-ES"/>
        </w:rPr>
      </w:pPr>
    </w:p>
    <w:p w14:paraId="1E955A28" w14:textId="138863DD" w:rsidR="00140805" w:rsidRPr="009C0C09" w:rsidRDefault="00140805" w:rsidP="00537F3C">
      <w:pPr>
        <w:spacing w:after="0"/>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147461">
        <w:rPr>
          <w:rFonts w:ascii="Arial" w:eastAsia="Times New Roman" w:hAnsi="Arial" w:cs="Arial"/>
          <w:bCs/>
          <w:sz w:val="24"/>
          <w:szCs w:val="27"/>
          <w:lang w:val="es-ES_tradnl" w:eastAsia="es-ES"/>
        </w:rPr>
        <w:t>75</w:t>
      </w:r>
      <w:r w:rsidR="000702F1">
        <w:rPr>
          <w:rFonts w:ascii="Arial" w:eastAsia="Times New Roman" w:hAnsi="Arial" w:cs="Arial"/>
          <w:bCs/>
          <w:sz w:val="24"/>
          <w:szCs w:val="27"/>
          <w:lang w:val="es-ES_tradnl" w:eastAsia="es-ES"/>
        </w:rPr>
        <w:t>/2016</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A1269D" w14:textId="77777777" w:rsidR="003569E3" w:rsidRPr="009C0C09" w:rsidRDefault="003569E3" w:rsidP="00537F3C">
      <w:pPr>
        <w:spacing w:after="0"/>
        <w:ind w:left="3686" w:right="51"/>
        <w:jc w:val="both"/>
        <w:rPr>
          <w:rFonts w:ascii="Arial" w:eastAsia="Times New Roman" w:hAnsi="Arial" w:cs="Arial"/>
          <w:b/>
          <w:sz w:val="24"/>
          <w:szCs w:val="27"/>
          <w:lang w:val="es-ES_tradnl" w:eastAsia="es-ES"/>
        </w:rPr>
      </w:pPr>
    </w:p>
    <w:p w14:paraId="4AE0D200" w14:textId="66A6B7BF" w:rsidR="003569E3" w:rsidRPr="00037B72" w:rsidRDefault="003569E3" w:rsidP="00537F3C">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49287C">
        <w:rPr>
          <w:rFonts w:ascii="Arial" w:hAnsi="Arial" w:cs="Arial"/>
          <w:bCs/>
          <w:iCs/>
          <w:sz w:val="24"/>
          <w:szCs w:val="24"/>
        </w:rPr>
        <w:t>***** ***** ***** *****</w:t>
      </w:r>
      <w:r w:rsidR="00CF31A1" w:rsidRPr="00037B72">
        <w:rPr>
          <w:rFonts w:ascii="Arial" w:eastAsia="Times New Roman" w:hAnsi="Arial" w:cs="Arial"/>
          <w:sz w:val="24"/>
          <w:szCs w:val="27"/>
          <w:lang w:val="es-ES_tradnl" w:eastAsia="es-ES"/>
        </w:rPr>
        <w:t>.</w:t>
      </w:r>
      <w:r w:rsidR="00B416AA" w:rsidRPr="00037B72">
        <w:rPr>
          <w:rFonts w:ascii="Arial" w:eastAsia="Times New Roman" w:hAnsi="Arial" w:cs="Arial"/>
          <w:sz w:val="24"/>
          <w:szCs w:val="27"/>
          <w:lang w:val="es-ES_tradnl" w:eastAsia="es-ES"/>
        </w:rPr>
        <w:t xml:space="preserve"> </w:t>
      </w:r>
      <w:r w:rsidR="00E9031A" w:rsidRPr="00037B72">
        <w:rPr>
          <w:rFonts w:ascii="Arial" w:eastAsia="Times New Roman" w:hAnsi="Arial" w:cs="Arial"/>
          <w:sz w:val="24"/>
          <w:szCs w:val="27"/>
          <w:lang w:val="es-ES_tradnl" w:eastAsia="es-ES"/>
        </w:rPr>
        <w:t xml:space="preserve"> </w:t>
      </w:r>
    </w:p>
    <w:p w14:paraId="2DE53633" w14:textId="77777777" w:rsidR="003569E3" w:rsidRPr="009C0C09" w:rsidRDefault="003569E3" w:rsidP="00537F3C">
      <w:pPr>
        <w:spacing w:after="0"/>
        <w:ind w:left="3686" w:right="51"/>
        <w:jc w:val="both"/>
        <w:rPr>
          <w:rFonts w:ascii="Arial" w:eastAsia="Times New Roman" w:hAnsi="Arial" w:cs="Arial"/>
          <w:sz w:val="24"/>
          <w:szCs w:val="27"/>
          <w:lang w:val="es-ES_tradnl" w:eastAsia="es-ES"/>
        </w:rPr>
      </w:pPr>
    </w:p>
    <w:p w14:paraId="03FFC2E6" w14:textId="6D1B02DA" w:rsidR="003569E3" w:rsidRDefault="00C07F53" w:rsidP="00537F3C">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147461">
        <w:rPr>
          <w:rFonts w:ascii="Arial" w:eastAsia="Times New Roman" w:hAnsi="Arial" w:cs="Arial"/>
          <w:sz w:val="24"/>
          <w:szCs w:val="27"/>
          <w:lang w:val="es-ES_tradnl" w:eastAsia="es-ES"/>
        </w:rPr>
        <w:t>DIRECTOR JURÍDICO DE LA COMISIÓN DE SEGURIDAD PÚBLICA, VIALIDAD, TRANSPORTE Y PROTECCIÓN CIVIL DEL MUNICIPIO DE OAXACA DE JUÁREZ, OAXACA</w:t>
      </w:r>
      <w:r w:rsidR="00D225B6">
        <w:rPr>
          <w:rFonts w:ascii="Arial" w:eastAsia="Times New Roman" w:hAnsi="Arial" w:cs="Arial"/>
          <w:sz w:val="24"/>
          <w:szCs w:val="27"/>
          <w:lang w:val="es-ES_tradnl" w:eastAsia="es-ES"/>
        </w:rPr>
        <w:t>.</w:t>
      </w:r>
    </w:p>
    <w:p w14:paraId="05E4A87B" w14:textId="2B5BEB39" w:rsidR="003569E3" w:rsidRPr="009C0C09" w:rsidRDefault="003569E3" w:rsidP="00147461">
      <w:pPr>
        <w:spacing w:after="0"/>
        <w:ind w:right="51"/>
        <w:jc w:val="both"/>
        <w:rPr>
          <w:rFonts w:ascii="Arial" w:eastAsia="Times New Roman" w:hAnsi="Arial" w:cs="Arial"/>
          <w:color w:val="FF0000"/>
          <w:sz w:val="24"/>
          <w:szCs w:val="27"/>
          <w:lang w:val="es-ES" w:eastAsia="es-ES"/>
        </w:rPr>
      </w:pPr>
    </w:p>
    <w:p w14:paraId="70DB9FE9" w14:textId="40D6AE05" w:rsidR="008C764E" w:rsidRDefault="003569E3" w:rsidP="00537F3C">
      <w:pPr>
        <w:widowControl w:val="0"/>
        <w:spacing w:line="360" w:lineRule="auto"/>
        <w:ind w:right="51" w:firstLine="567"/>
        <w:jc w:val="both"/>
        <w:rPr>
          <w:sz w:val="24"/>
          <w:szCs w:val="27"/>
        </w:rPr>
      </w:pPr>
      <w:r w:rsidRPr="009C0C09">
        <w:rPr>
          <w:rFonts w:ascii="Arial" w:eastAsia="Times New Roman" w:hAnsi="Arial" w:cs="Arial"/>
          <w:b/>
          <w:sz w:val="24"/>
          <w:szCs w:val="27"/>
          <w:lang w:val="es-ES" w:eastAsia="es-ES"/>
        </w:rPr>
        <w:t xml:space="preserve">OAXACA DE JUÁREZ, OAXACA, A </w:t>
      </w:r>
      <w:r w:rsidR="00147461">
        <w:rPr>
          <w:rFonts w:ascii="Arial" w:eastAsia="Times New Roman" w:hAnsi="Arial" w:cs="Arial"/>
          <w:b/>
          <w:sz w:val="24"/>
          <w:szCs w:val="27"/>
          <w:lang w:val="es-ES" w:eastAsia="es-ES"/>
        </w:rPr>
        <w:t>VEINTICUATRO DE NOVIEMBRE</w:t>
      </w:r>
      <w:r w:rsidRPr="009C0C09">
        <w:rPr>
          <w:rFonts w:ascii="Arial" w:eastAsia="Times New Roman" w:hAnsi="Arial" w:cs="Arial"/>
          <w:b/>
          <w:sz w:val="24"/>
          <w:szCs w:val="27"/>
          <w:lang w:val="es-ES" w:eastAsia="es-ES"/>
        </w:rPr>
        <w:t xml:space="preserve"> DE DOS MIL </w:t>
      </w:r>
      <w:r w:rsidR="00A12CD4" w:rsidRPr="009C0C09">
        <w:rPr>
          <w:rFonts w:ascii="Arial" w:eastAsia="Times New Roman" w:hAnsi="Arial" w:cs="Arial"/>
          <w:b/>
          <w:sz w:val="24"/>
          <w:szCs w:val="27"/>
          <w:lang w:val="es-ES" w:eastAsia="es-ES"/>
        </w:rPr>
        <w:t>VEINTE</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751592F7" w:rsidR="00102315" w:rsidRDefault="003569E3" w:rsidP="00537F3C">
      <w:pPr>
        <w:widowControl w:val="0"/>
        <w:spacing w:line="360" w:lineRule="auto"/>
        <w:ind w:right="51" w:firstLine="567"/>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147461">
        <w:rPr>
          <w:rFonts w:ascii="Arial" w:eastAsia="Times New Roman" w:hAnsi="Arial" w:cs="Arial"/>
          <w:b/>
          <w:bCs/>
          <w:sz w:val="24"/>
          <w:szCs w:val="27"/>
          <w:lang w:val="es-ES_tradnl" w:eastAsia="es-ES"/>
        </w:rPr>
        <w:t>75</w:t>
      </w:r>
      <w:r w:rsidR="000702F1">
        <w:rPr>
          <w:rFonts w:ascii="Arial" w:eastAsia="Times New Roman" w:hAnsi="Arial" w:cs="Arial"/>
          <w:b/>
          <w:bCs/>
          <w:sz w:val="24"/>
          <w:szCs w:val="27"/>
          <w:lang w:val="es-ES_tradnl" w:eastAsia="es-ES"/>
        </w:rPr>
        <w:t>/2016</w:t>
      </w:r>
      <w:r w:rsidR="00102315" w:rsidRPr="009C0C09">
        <w:rPr>
          <w:rFonts w:ascii="Arial" w:eastAsia="Times New Roman" w:hAnsi="Arial" w:cs="Arial"/>
          <w:sz w:val="24"/>
          <w:szCs w:val="27"/>
          <w:lang w:val="es-ES_tradnl" w:eastAsia="es-ES"/>
        </w:rPr>
        <w:t xml:space="preserve">, </w:t>
      </w:r>
      <w:r w:rsidR="00037B72">
        <w:rPr>
          <w:rFonts w:ascii="Arial" w:eastAsia="Times New Roman" w:hAnsi="Arial" w:cs="Arial"/>
          <w:sz w:val="24"/>
          <w:szCs w:val="27"/>
          <w:lang w:val="es-ES_tradnl" w:eastAsia="es-ES"/>
        </w:rPr>
        <w:t>promovido</w:t>
      </w:r>
      <w:r w:rsidR="00102315" w:rsidRPr="009C0C09">
        <w:rPr>
          <w:rFonts w:ascii="Arial" w:eastAsia="Times New Roman" w:hAnsi="Arial" w:cs="Arial"/>
          <w:sz w:val="24"/>
          <w:szCs w:val="27"/>
          <w:lang w:val="es-ES_tradnl" w:eastAsia="es-ES"/>
        </w:rPr>
        <w:t xml:space="preserve"> </w:t>
      </w:r>
      <w:r w:rsidR="00102315" w:rsidRPr="00037B72">
        <w:rPr>
          <w:rFonts w:ascii="Arial" w:eastAsia="Times New Roman" w:hAnsi="Arial" w:cs="Arial"/>
          <w:sz w:val="24"/>
          <w:szCs w:val="27"/>
          <w:lang w:val="es-ES_tradnl" w:eastAsia="es-ES"/>
        </w:rPr>
        <w:t xml:space="preserve">por </w:t>
      </w:r>
      <w:r w:rsidR="0049287C">
        <w:rPr>
          <w:rFonts w:ascii="Arial" w:hAnsi="Arial" w:cs="Arial"/>
          <w:bCs/>
          <w:iCs/>
          <w:sz w:val="24"/>
          <w:szCs w:val="24"/>
        </w:rPr>
        <w:t>***** ***** ***** *****,</w:t>
      </w:r>
      <w:r w:rsidR="00102315" w:rsidRPr="00037B72">
        <w:rPr>
          <w:rFonts w:ascii="Arial" w:eastAsia="Times New Roman" w:hAnsi="Arial" w:cs="Arial"/>
          <w:sz w:val="24"/>
          <w:szCs w:val="27"/>
          <w:lang w:val="es-ES_tradnl" w:eastAsia="es-ES"/>
        </w:rPr>
        <w:t xml:space="preserve"> </w:t>
      </w:r>
      <w:r w:rsidR="00102315" w:rsidRPr="009C0C09">
        <w:rPr>
          <w:rFonts w:ascii="Arial" w:eastAsia="Times New Roman" w:hAnsi="Arial" w:cs="Arial"/>
          <w:sz w:val="24"/>
          <w:szCs w:val="27"/>
          <w:lang w:val="es-ES_tradnl" w:eastAsia="es-ES"/>
        </w:rPr>
        <w:t>en contra de</w:t>
      </w:r>
      <w:r w:rsidR="00037B72">
        <w:rPr>
          <w:rFonts w:ascii="Arial" w:eastAsia="Times New Roman" w:hAnsi="Arial" w:cs="Arial"/>
          <w:sz w:val="24"/>
          <w:szCs w:val="27"/>
          <w:lang w:val="es-ES_tradnl" w:eastAsia="es-ES"/>
        </w:rPr>
        <w:t>l</w:t>
      </w:r>
      <w:r w:rsidR="00102315" w:rsidRPr="009C0C09">
        <w:rPr>
          <w:rFonts w:ascii="Arial" w:eastAsia="Times New Roman" w:hAnsi="Arial" w:cs="Arial"/>
          <w:sz w:val="24"/>
          <w:szCs w:val="27"/>
          <w:lang w:val="es-ES_tradnl" w:eastAsia="es-ES"/>
        </w:rPr>
        <w:t xml:space="preserve"> </w:t>
      </w:r>
      <w:r w:rsidR="00147461">
        <w:rPr>
          <w:rFonts w:ascii="Arial" w:eastAsia="Times New Roman" w:hAnsi="Arial" w:cs="Arial"/>
          <w:b/>
          <w:sz w:val="24"/>
          <w:szCs w:val="27"/>
          <w:lang w:val="es-ES_tradnl" w:eastAsia="es-ES"/>
        </w:rPr>
        <w:t>DIRECTOR JURÍDICO DE LA COMISIÓN DE SEGURIDAD PÚBLICA, VIALIDAD, TRANSPORTE Y PROTECCIÓN CIVIL DEL MUNICIPIO DE OAXACA DE JUÁREZ, OAXACA</w:t>
      </w:r>
      <w:r w:rsidR="008F53BA">
        <w:rPr>
          <w:rFonts w:ascii="Arial" w:eastAsia="Times New Roman" w:hAnsi="Arial" w:cs="Arial"/>
          <w:b/>
          <w:sz w:val="24"/>
          <w:szCs w:val="27"/>
          <w:lang w:val="es-ES_tradnl" w:eastAsia="es-ES"/>
        </w:rPr>
        <w:t>,</w:t>
      </w:r>
      <w:r w:rsidR="00102315" w:rsidRPr="009C0C09">
        <w:rPr>
          <w:rFonts w:ascii="Arial" w:eastAsia="Times New Roman" w:hAnsi="Arial" w:cs="Arial"/>
          <w:sz w:val="24"/>
          <w:szCs w:val="27"/>
          <w:lang w:val="es-ES_tradnl" w:eastAsia="es-ES"/>
        </w:rPr>
        <w:t xml:space="preserve"> y;</w:t>
      </w:r>
    </w:p>
    <w:p w14:paraId="40202D22" w14:textId="1320B619" w:rsidR="00102315" w:rsidRDefault="00102315" w:rsidP="00537F3C">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507CCE91" w14:textId="7A97DB8D" w:rsidR="00147461" w:rsidRDefault="000C1184" w:rsidP="00537F3C">
      <w:pPr>
        <w:spacing w:line="360" w:lineRule="auto"/>
        <w:ind w:firstLine="567"/>
        <w:jc w:val="both"/>
        <w:rPr>
          <w:rFonts w:ascii="Arial" w:hAnsi="Arial" w:cs="Arial"/>
          <w:bCs/>
          <w:spacing w:val="-3"/>
          <w:sz w:val="24"/>
          <w:szCs w:val="27"/>
          <w:lang w:val="es-ES_tradnl"/>
        </w:rPr>
      </w:pPr>
      <w:r w:rsidRPr="009C0C09">
        <w:rPr>
          <w:rFonts w:ascii="Arial" w:hAnsi="Arial" w:cs="Arial"/>
          <w:b/>
          <w:spacing w:val="-3"/>
          <w:sz w:val="24"/>
          <w:szCs w:val="27"/>
          <w:lang w:val="es-ES_tradnl"/>
        </w:rPr>
        <w:t>PRIMERO.</w:t>
      </w:r>
      <w:r w:rsidR="0035374B" w:rsidRPr="009C0C09">
        <w:rPr>
          <w:rFonts w:ascii="Arial" w:hAnsi="Arial" w:cs="Arial"/>
          <w:bCs/>
          <w:spacing w:val="-3"/>
          <w:sz w:val="24"/>
          <w:szCs w:val="27"/>
          <w:lang w:val="es-ES_tradnl"/>
        </w:rPr>
        <w:t xml:space="preserve"> </w:t>
      </w:r>
      <w:r w:rsidR="00147461" w:rsidRPr="00147461">
        <w:rPr>
          <w:rFonts w:ascii="Arial" w:hAnsi="Arial" w:cs="Arial"/>
          <w:bCs/>
          <w:spacing w:val="-3"/>
          <w:sz w:val="24"/>
          <w:szCs w:val="27"/>
          <w:lang w:val="es-ES_tradnl"/>
        </w:rPr>
        <w:t xml:space="preserve">Mediante proveído de siete de abril de dos mil catorce, se admitió a trámite la demanda de nulidad promovida por el actor </w:t>
      </w:r>
      <w:r w:rsidR="0049287C">
        <w:rPr>
          <w:rFonts w:ascii="Arial" w:hAnsi="Arial" w:cs="Arial"/>
          <w:bCs/>
          <w:iCs/>
          <w:sz w:val="24"/>
          <w:szCs w:val="24"/>
        </w:rPr>
        <w:t>***** ***** ***** *****</w:t>
      </w:r>
      <w:r w:rsidR="00147461" w:rsidRPr="00147461">
        <w:rPr>
          <w:rFonts w:ascii="Arial" w:hAnsi="Arial" w:cs="Arial"/>
          <w:bCs/>
          <w:spacing w:val="-3"/>
          <w:sz w:val="24"/>
          <w:szCs w:val="27"/>
          <w:lang w:val="es-ES_tradnl"/>
        </w:rPr>
        <w:t>, quien por su propio derecho</w:t>
      </w:r>
      <w:r w:rsidR="00D6662D">
        <w:rPr>
          <w:rFonts w:ascii="Arial" w:hAnsi="Arial" w:cs="Arial"/>
          <w:bCs/>
          <w:spacing w:val="-3"/>
          <w:sz w:val="24"/>
          <w:szCs w:val="27"/>
          <w:lang w:val="es-ES_tradnl"/>
        </w:rPr>
        <w:t>,</w:t>
      </w:r>
      <w:r w:rsidR="00147461" w:rsidRPr="00147461">
        <w:rPr>
          <w:rFonts w:ascii="Arial" w:hAnsi="Arial" w:cs="Arial"/>
          <w:bCs/>
          <w:spacing w:val="-3"/>
          <w:sz w:val="24"/>
          <w:szCs w:val="27"/>
          <w:lang w:val="es-ES_tradnl"/>
        </w:rPr>
        <w:t xml:space="preserve"> demandó la nulidad del acuerdo de </w:t>
      </w:r>
      <w:r w:rsidR="0049287C">
        <w:rPr>
          <w:rFonts w:ascii="Arial" w:hAnsi="Arial" w:cs="Arial"/>
          <w:bCs/>
          <w:iCs/>
          <w:sz w:val="24"/>
          <w:szCs w:val="24"/>
        </w:rPr>
        <w:t>***** de ***** de *****</w:t>
      </w:r>
      <w:r w:rsidR="00147461" w:rsidRPr="00147461">
        <w:rPr>
          <w:rFonts w:ascii="Arial" w:hAnsi="Arial" w:cs="Arial"/>
          <w:bCs/>
          <w:spacing w:val="-3"/>
          <w:sz w:val="24"/>
          <w:szCs w:val="27"/>
          <w:lang w:val="es-ES_tradnl"/>
        </w:rPr>
        <w:t>, dictado por el JEFE DE LA UNIDAD JURÍDICA DE LA COMISARIA GENERAL DE SEGURIDAD PUBLICA Y VIALIDAD MUNICIPAL ahora DIRECTOR JURÍDICO DE LA COMISIÓN DE SEGURIDAD PÚBLICA, VIALIDAD, TRANSPORTE Y PROTECCION CIVIL DEL MUNICIPIO D</w:t>
      </w:r>
      <w:r w:rsidR="006A113F">
        <w:rPr>
          <w:rFonts w:ascii="Arial" w:hAnsi="Arial" w:cs="Arial"/>
          <w:bCs/>
          <w:spacing w:val="-3"/>
          <w:sz w:val="24"/>
          <w:szCs w:val="27"/>
          <w:lang w:val="es-ES_tradnl"/>
        </w:rPr>
        <w:t>E OAXACA DE JUÁ</w:t>
      </w:r>
      <w:r w:rsidR="00147461" w:rsidRPr="00147461">
        <w:rPr>
          <w:rFonts w:ascii="Arial" w:hAnsi="Arial" w:cs="Arial"/>
          <w:bCs/>
          <w:spacing w:val="-3"/>
          <w:sz w:val="24"/>
          <w:szCs w:val="27"/>
          <w:lang w:val="es-ES_tradnl"/>
        </w:rPr>
        <w:t>REZ OAXACA, por lo que con la demanda y anexos se ordenó notificar, emplazar y correr traslado a la referida autoridad demanda para que en el término d</w:t>
      </w:r>
      <w:r w:rsidR="00147461">
        <w:rPr>
          <w:rFonts w:ascii="Arial" w:hAnsi="Arial" w:cs="Arial"/>
          <w:bCs/>
          <w:spacing w:val="-3"/>
          <w:sz w:val="24"/>
          <w:szCs w:val="27"/>
          <w:lang w:val="es-ES_tradnl"/>
        </w:rPr>
        <w:t>e ley rindiera su contestación.</w:t>
      </w:r>
    </w:p>
    <w:p w14:paraId="3EDC7990" w14:textId="77777777" w:rsidR="006D1B36" w:rsidRDefault="008373B3" w:rsidP="00147461">
      <w:pPr>
        <w:spacing w:line="360" w:lineRule="auto"/>
        <w:ind w:firstLine="567"/>
        <w:jc w:val="both"/>
        <w:rPr>
          <w:rFonts w:ascii="Arial" w:hAnsi="Arial" w:cs="Arial"/>
          <w:bCs/>
          <w:spacing w:val="-3"/>
          <w:sz w:val="24"/>
          <w:szCs w:val="27"/>
          <w:lang w:val="es-ES_tradnl"/>
        </w:rPr>
      </w:pPr>
      <w:r w:rsidRPr="008373B3">
        <w:rPr>
          <w:rFonts w:ascii="Arial" w:hAnsi="Arial" w:cs="Arial"/>
          <w:b/>
          <w:bCs/>
          <w:spacing w:val="-3"/>
          <w:sz w:val="24"/>
          <w:szCs w:val="27"/>
          <w:lang w:val="es-ES_tradnl"/>
        </w:rPr>
        <w:t>SEGUNDO.</w:t>
      </w:r>
      <w:r>
        <w:rPr>
          <w:rFonts w:ascii="Arial" w:hAnsi="Arial" w:cs="Arial"/>
          <w:bCs/>
          <w:spacing w:val="-3"/>
          <w:sz w:val="24"/>
          <w:szCs w:val="27"/>
          <w:lang w:val="es-ES_tradnl"/>
        </w:rPr>
        <w:t xml:space="preserve"> </w:t>
      </w:r>
      <w:r w:rsidR="00147461" w:rsidRPr="00147461">
        <w:rPr>
          <w:rFonts w:ascii="Arial" w:hAnsi="Arial" w:cs="Arial"/>
          <w:bCs/>
          <w:spacing w:val="-3"/>
          <w:sz w:val="24"/>
          <w:szCs w:val="27"/>
          <w:lang w:val="es-ES_tradnl"/>
        </w:rPr>
        <w:t>Por acuerdo de once de junio de dos m</w:t>
      </w:r>
      <w:r w:rsidR="006D1B36">
        <w:rPr>
          <w:rFonts w:ascii="Arial" w:hAnsi="Arial" w:cs="Arial"/>
          <w:bCs/>
          <w:spacing w:val="-3"/>
          <w:sz w:val="24"/>
          <w:szCs w:val="27"/>
          <w:lang w:val="es-ES_tradnl"/>
        </w:rPr>
        <w:t>il catorce, se tuvo a la autoridad demandada</w:t>
      </w:r>
      <w:r w:rsidR="00147461" w:rsidRPr="00147461">
        <w:rPr>
          <w:rFonts w:ascii="Arial" w:hAnsi="Arial" w:cs="Arial"/>
          <w:bCs/>
          <w:spacing w:val="-3"/>
          <w:sz w:val="24"/>
          <w:szCs w:val="27"/>
          <w:lang w:val="es-ES_tradnl"/>
        </w:rPr>
        <w:t>, contestando la demanda de nulidad</w:t>
      </w:r>
      <w:r w:rsidR="006D1B36">
        <w:rPr>
          <w:rFonts w:ascii="Arial" w:hAnsi="Arial" w:cs="Arial"/>
          <w:bCs/>
          <w:spacing w:val="-3"/>
          <w:sz w:val="24"/>
          <w:szCs w:val="27"/>
          <w:lang w:val="es-ES_tradnl"/>
        </w:rPr>
        <w:t xml:space="preserve"> en tiempo y forma, y en los términos que lo hizo, ordenándose correr traslado a la parte actora.</w:t>
      </w:r>
    </w:p>
    <w:p w14:paraId="225AA751" w14:textId="240B0A0D" w:rsidR="00286CCF" w:rsidRDefault="006D1B36" w:rsidP="00147461">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Por otra parte, </w:t>
      </w:r>
      <w:r w:rsidR="00147461" w:rsidRPr="00147461">
        <w:rPr>
          <w:rFonts w:ascii="Arial" w:hAnsi="Arial" w:cs="Arial"/>
          <w:bCs/>
          <w:spacing w:val="-3"/>
          <w:sz w:val="24"/>
          <w:szCs w:val="27"/>
          <w:lang w:val="es-ES_tradnl"/>
        </w:rPr>
        <w:t>se señaló fecha y hora para la celebración de la audiencia final</w:t>
      </w:r>
      <w:r w:rsidR="00147461">
        <w:rPr>
          <w:rFonts w:ascii="Arial" w:hAnsi="Arial" w:cs="Arial"/>
          <w:bCs/>
          <w:spacing w:val="-3"/>
          <w:sz w:val="24"/>
          <w:szCs w:val="27"/>
          <w:lang w:val="es-ES_tradnl"/>
        </w:rPr>
        <w:t>.</w:t>
      </w:r>
    </w:p>
    <w:p w14:paraId="3B4CEFDD" w14:textId="4EB2B2FE" w:rsidR="00DE365D" w:rsidRDefault="008373B3" w:rsidP="00DE365D">
      <w:pPr>
        <w:spacing w:line="360" w:lineRule="auto"/>
        <w:ind w:firstLine="567"/>
        <w:jc w:val="both"/>
        <w:rPr>
          <w:rFonts w:ascii="Arial" w:hAnsi="Arial" w:cs="Arial"/>
          <w:sz w:val="24"/>
          <w:szCs w:val="24"/>
        </w:rPr>
      </w:pPr>
      <w:r w:rsidRPr="00D56AE8">
        <w:rPr>
          <w:rFonts w:ascii="Arial" w:hAnsi="Arial" w:cs="Arial"/>
          <w:b/>
          <w:bCs/>
          <w:spacing w:val="-3"/>
          <w:sz w:val="24"/>
          <w:szCs w:val="27"/>
          <w:lang w:val="es-ES_tradnl"/>
        </w:rPr>
        <w:t>TERCERO.</w:t>
      </w:r>
      <w:r w:rsidR="00C10B89" w:rsidRPr="00C10B89">
        <w:rPr>
          <w:rFonts w:ascii="Arial" w:hAnsi="Arial" w:cs="Arial"/>
          <w:sz w:val="24"/>
          <w:szCs w:val="24"/>
        </w:rPr>
        <w:t xml:space="preserve"> </w:t>
      </w:r>
      <w:r w:rsidR="00DE365D">
        <w:rPr>
          <w:rFonts w:ascii="Arial" w:hAnsi="Arial" w:cs="Arial"/>
          <w:sz w:val="24"/>
          <w:szCs w:val="24"/>
        </w:rPr>
        <w:t>En auto de fecha trece de febrero de dos mil quince, se dio a conocer el cambio de denominación de este órgano jurisdiccional, otorgando a las partes un plazo para que manifestaran lo que a sus derechos conviniera.</w:t>
      </w:r>
    </w:p>
    <w:p w14:paraId="7501F003" w14:textId="3293C321" w:rsidR="00DE365D" w:rsidRDefault="00E8742C" w:rsidP="00DE365D">
      <w:pPr>
        <w:spacing w:line="360" w:lineRule="auto"/>
        <w:ind w:firstLine="567"/>
        <w:jc w:val="both"/>
        <w:rPr>
          <w:rFonts w:ascii="Arial" w:hAnsi="Arial" w:cs="Arial"/>
          <w:sz w:val="24"/>
          <w:szCs w:val="24"/>
        </w:rPr>
      </w:pPr>
      <w:r>
        <w:rPr>
          <w:rFonts w:ascii="Arial" w:hAnsi="Arial" w:cs="Arial"/>
          <w:b/>
          <w:sz w:val="24"/>
          <w:szCs w:val="24"/>
        </w:rPr>
        <w:lastRenderedPageBreak/>
        <w:t>CUAR</w:t>
      </w:r>
      <w:r w:rsidR="00C53E2B" w:rsidRPr="00C53E2B">
        <w:rPr>
          <w:rFonts w:ascii="Arial" w:hAnsi="Arial" w:cs="Arial"/>
          <w:b/>
          <w:sz w:val="24"/>
          <w:szCs w:val="24"/>
        </w:rPr>
        <w:t>TO.</w:t>
      </w:r>
      <w:r w:rsidR="00C53E2B">
        <w:rPr>
          <w:rFonts w:ascii="Arial" w:hAnsi="Arial" w:cs="Arial"/>
          <w:sz w:val="24"/>
          <w:szCs w:val="24"/>
        </w:rPr>
        <w:t xml:space="preserve"> </w:t>
      </w:r>
      <w:r w:rsidR="00C53E2B" w:rsidRPr="00C53E2B">
        <w:rPr>
          <w:rFonts w:ascii="Arial" w:hAnsi="Arial" w:cs="Arial"/>
          <w:sz w:val="24"/>
          <w:szCs w:val="24"/>
        </w:rPr>
        <w:t>El veinticuatro de abril de dos mil quince, se dictó sentencia</w:t>
      </w:r>
      <w:r w:rsidR="00AD4006">
        <w:rPr>
          <w:rFonts w:ascii="Arial" w:hAnsi="Arial" w:cs="Arial"/>
          <w:sz w:val="24"/>
          <w:szCs w:val="24"/>
        </w:rPr>
        <w:t>,</w:t>
      </w:r>
      <w:r w:rsidR="00C53E2B" w:rsidRPr="00C53E2B">
        <w:rPr>
          <w:rFonts w:ascii="Arial" w:hAnsi="Arial" w:cs="Arial"/>
          <w:sz w:val="24"/>
          <w:szCs w:val="24"/>
        </w:rPr>
        <w:t xml:space="preserve"> en la cual se declaró la nulidad del acuerdo de fecha trece de diciembre de dos mil trece, para el efecto de que la autoridad demandada dictara otro en el que diera respuesta al actor, debiendo citar el fundamento legal que le otorgue facultades para contestar dicha petición, y para el caso de que la autoridad no fuera competente lo turne a la autoridad competente.</w:t>
      </w:r>
    </w:p>
    <w:p w14:paraId="36EA3022" w14:textId="74455F41" w:rsidR="00832A69" w:rsidRDefault="007B1220" w:rsidP="00DE365D">
      <w:pPr>
        <w:spacing w:line="360" w:lineRule="auto"/>
        <w:ind w:firstLine="567"/>
        <w:jc w:val="both"/>
        <w:rPr>
          <w:rFonts w:ascii="Arial" w:hAnsi="Arial" w:cs="Arial"/>
          <w:sz w:val="24"/>
          <w:szCs w:val="24"/>
        </w:rPr>
      </w:pPr>
      <w:r>
        <w:rPr>
          <w:rFonts w:ascii="Arial" w:hAnsi="Arial" w:cs="Arial"/>
          <w:b/>
          <w:sz w:val="24"/>
          <w:szCs w:val="24"/>
        </w:rPr>
        <w:t>QUIN</w:t>
      </w:r>
      <w:r w:rsidR="00832A69" w:rsidRPr="00832A69">
        <w:rPr>
          <w:rFonts w:ascii="Arial" w:hAnsi="Arial" w:cs="Arial"/>
          <w:b/>
          <w:sz w:val="24"/>
          <w:szCs w:val="24"/>
        </w:rPr>
        <w:t>TO.</w:t>
      </w:r>
      <w:r w:rsidR="00832A69">
        <w:rPr>
          <w:rFonts w:ascii="Arial" w:hAnsi="Arial" w:cs="Arial"/>
          <w:sz w:val="24"/>
          <w:szCs w:val="24"/>
        </w:rPr>
        <w:t xml:space="preserve"> Por auto</w:t>
      </w:r>
      <w:r w:rsidR="00C71E2D">
        <w:rPr>
          <w:rFonts w:ascii="Arial" w:hAnsi="Arial" w:cs="Arial"/>
          <w:sz w:val="24"/>
          <w:szCs w:val="24"/>
        </w:rPr>
        <w:t xml:space="preserve"> </w:t>
      </w:r>
      <w:r w:rsidR="00832A69">
        <w:rPr>
          <w:rFonts w:ascii="Arial" w:hAnsi="Arial" w:cs="Arial"/>
          <w:sz w:val="24"/>
          <w:szCs w:val="24"/>
        </w:rPr>
        <w:t xml:space="preserve">de fecha veinte de mayo de dos mil quince, </w:t>
      </w:r>
      <w:r w:rsidR="00832A69" w:rsidRPr="00832A69">
        <w:rPr>
          <w:rFonts w:ascii="Arial" w:hAnsi="Arial" w:cs="Arial"/>
          <w:sz w:val="24"/>
          <w:szCs w:val="24"/>
        </w:rPr>
        <w:t>se tuvo al actor y al autorizado legal de la autoridad demandada, interpon</w:t>
      </w:r>
      <w:r w:rsidR="00130A32">
        <w:rPr>
          <w:rFonts w:ascii="Arial" w:hAnsi="Arial" w:cs="Arial"/>
          <w:sz w:val="24"/>
          <w:szCs w:val="24"/>
        </w:rPr>
        <w:t>iendo el recurso de revisión en contra de</w:t>
      </w:r>
      <w:r w:rsidR="00832A69" w:rsidRPr="00832A69">
        <w:rPr>
          <w:rFonts w:ascii="Arial" w:hAnsi="Arial" w:cs="Arial"/>
          <w:sz w:val="24"/>
          <w:szCs w:val="24"/>
        </w:rPr>
        <w:t xml:space="preserve"> la sentencia de </w:t>
      </w:r>
      <w:r w:rsidR="00EB3863">
        <w:rPr>
          <w:rFonts w:ascii="Arial" w:hAnsi="Arial" w:cs="Arial"/>
          <w:sz w:val="24"/>
          <w:szCs w:val="24"/>
        </w:rPr>
        <w:t>******</w:t>
      </w:r>
      <w:r w:rsidR="00130A32">
        <w:rPr>
          <w:rFonts w:ascii="Arial" w:hAnsi="Arial" w:cs="Arial"/>
          <w:sz w:val="24"/>
          <w:szCs w:val="24"/>
        </w:rPr>
        <w:t xml:space="preserve"> de </w:t>
      </w:r>
      <w:r w:rsidR="00EB3863">
        <w:rPr>
          <w:rFonts w:ascii="Arial" w:hAnsi="Arial" w:cs="Arial"/>
          <w:sz w:val="24"/>
          <w:szCs w:val="24"/>
        </w:rPr>
        <w:t>*****</w:t>
      </w:r>
      <w:r w:rsidR="00130A32">
        <w:rPr>
          <w:rFonts w:ascii="Arial" w:hAnsi="Arial" w:cs="Arial"/>
          <w:sz w:val="24"/>
          <w:szCs w:val="24"/>
        </w:rPr>
        <w:t xml:space="preserve"> de dos mil </w:t>
      </w:r>
      <w:r w:rsidR="00EB3863">
        <w:rPr>
          <w:rFonts w:ascii="Arial" w:hAnsi="Arial" w:cs="Arial"/>
          <w:sz w:val="24"/>
          <w:szCs w:val="24"/>
        </w:rPr>
        <w:t>*****</w:t>
      </w:r>
      <w:r w:rsidR="00130A32">
        <w:rPr>
          <w:rFonts w:ascii="Arial" w:hAnsi="Arial" w:cs="Arial"/>
          <w:sz w:val="24"/>
          <w:szCs w:val="24"/>
        </w:rPr>
        <w:t>, por lo que se ordenó formar cuaderno por separado para su tramitación respectiva.</w:t>
      </w:r>
    </w:p>
    <w:p w14:paraId="55003148" w14:textId="12F538C2" w:rsidR="00F5042D" w:rsidRDefault="00AD1265" w:rsidP="00DE365D">
      <w:pPr>
        <w:spacing w:line="360" w:lineRule="auto"/>
        <w:ind w:firstLine="567"/>
        <w:jc w:val="both"/>
        <w:rPr>
          <w:rFonts w:ascii="Arial" w:hAnsi="Arial" w:cs="Arial"/>
          <w:sz w:val="24"/>
          <w:szCs w:val="24"/>
        </w:rPr>
      </w:pPr>
      <w:r>
        <w:rPr>
          <w:rFonts w:ascii="Arial" w:hAnsi="Arial" w:cs="Arial"/>
          <w:b/>
          <w:sz w:val="24"/>
          <w:szCs w:val="24"/>
        </w:rPr>
        <w:t>SEXT</w:t>
      </w:r>
      <w:r w:rsidR="00130A32" w:rsidRPr="00C5184C">
        <w:rPr>
          <w:rFonts w:ascii="Arial" w:hAnsi="Arial" w:cs="Arial"/>
          <w:b/>
          <w:sz w:val="24"/>
          <w:szCs w:val="24"/>
        </w:rPr>
        <w:t>O.</w:t>
      </w:r>
      <w:r w:rsidR="00130A32">
        <w:rPr>
          <w:rFonts w:ascii="Arial" w:hAnsi="Arial" w:cs="Arial"/>
          <w:sz w:val="24"/>
          <w:szCs w:val="24"/>
        </w:rPr>
        <w:t xml:space="preserve"> </w:t>
      </w:r>
      <w:r w:rsidR="00C5184C" w:rsidRPr="00C5184C">
        <w:rPr>
          <w:rFonts w:ascii="Arial" w:hAnsi="Arial" w:cs="Arial"/>
          <w:sz w:val="24"/>
          <w:szCs w:val="24"/>
        </w:rPr>
        <w:t xml:space="preserve">Mediante </w:t>
      </w:r>
      <w:r w:rsidR="00F5042D">
        <w:rPr>
          <w:rFonts w:ascii="Arial" w:hAnsi="Arial" w:cs="Arial"/>
          <w:sz w:val="24"/>
          <w:szCs w:val="24"/>
        </w:rPr>
        <w:t xml:space="preserve">proveído de fecha </w:t>
      </w:r>
      <w:r w:rsidR="00F5042D" w:rsidRPr="00C5184C">
        <w:rPr>
          <w:rFonts w:ascii="Arial" w:hAnsi="Arial" w:cs="Arial"/>
          <w:sz w:val="24"/>
          <w:szCs w:val="24"/>
        </w:rPr>
        <w:t>veinte de septiembre de dos mil dieciséis</w:t>
      </w:r>
      <w:r w:rsidR="00F5042D">
        <w:rPr>
          <w:rFonts w:ascii="Arial" w:hAnsi="Arial" w:cs="Arial"/>
          <w:sz w:val="24"/>
          <w:szCs w:val="24"/>
        </w:rPr>
        <w:t>, se hizo del conocimiento de las partes la fusión de los órganos jurisdiccionales ahí mencionados, así como el cambio de denominación del Tribunal actuante, reasignado el número de expediente en mención.</w:t>
      </w:r>
    </w:p>
    <w:p w14:paraId="7F208C17" w14:textId="3216668E" w:rsidR="00130A32" w:rsidRDefault="00F5042D" w:rsidP="00DE365D">
      <w:pPr>
        <w:spacing w:line="360" w:lineRule="auto"/>
        <w:ind w:firstLine="567"/>
        <w:jc w:val="both"/>
        <w:rPr>
          <w:rFonts w:ascii="Arial" w:hAnsi="Arial" w:cs="Arial"/>
          <w:sz w:val="24"/>
          <w:szCs w:val="24"/>
        </w:rPr>
      </w:pPr>
      <w:r>
        <w:rPr>
          <w:rFonts w:ascii="Arial" w:hAnsi="Arial" w:cs="Arial"/>
          <w:sz w:val="24"/>
          <w:szCs w:val="24"/>
        </w:rPr>
        <w:t xml:space="preserve">Por otra parte, se tuvo por recibido un oficio signado por la Secretaria General de Acuerdos de este Tribunal, en el cual remitía la </w:t>
      </w:r>
      <w:r w:rsidR="00C5184C" w:rsidRPr="00C5184C">
        <w:rPr>
          <w:rFonts w:ascii="Arial" w:hAnsi="Arial" w:cs="Arial"/>
          <w:sz w:val="24"/>
          <w:szCs w:val="24"/>
        </w:rPr>
        <w:t xml:space="preserve">resolución de fecha </w:t>
      </w:r>
      <w:r w:rsidR="003022B9">
        <w:rPr>
          <w:rFonts w:ascii="Arial" w:hAnsi="Arial" w:cs="Arial"/>
          <w:sz w:val="24"/>
          <w:szCs w:val="24"/>
        </w:rPr>
        <w:t>*****</w:t>
      </w:r>
      <w:r w:rsidR="00C5184C" w:rsidRPr="00C5184C">
        <w:rPr>
          <w:rFonts w:ascii="Arial" w:hAnsi="Arial" w:cs="Arial"/>
          <w:sz w:val="24"/>
          <w:szCs w:val="24"/>
        </w:rPr>
        <w:t xml:space="preserve"> de </w:t>
      </w:r>
      <w:r w:rsidR="003022B9">
        <w:rPr>
          <w:rFonts w:ascii="Arial" w:hAnsi="Arial" w:cs="Arial"/>
          <w:sz w:val="24"/>
          <w:szCs w:val="24"/>
        </w:rPr>
        <w:t>*****</w:t>
      </w:r>
      <w:r w:rsidR="00C5184C" w:rsidRPr="00C5184C">
        <w:rPr>
          <w:rFonts w:ascii="Arial" w:hAnsi="Arial" w:cs="Arial"/>
          <w:sz w:val="24"/>
          <w:szCs w:val="24"/>
        </w:rPr>
        <w:t xml:space="preserve"> de dos mil </w:t>
      </w:r>
      <w:r w:rsidR="003022B9">
        <w:rPr>
          <w:rFonts w:ascii="Arial" w:hAnsi="Arial" w:cs="Arial"/>
          <w:sz w:val="24"/>
          <w:szCs w:val="24"/>
        </w:rPr>
        <w:t>*****</w:t>
      </w:r>
      <w:r w:rsidR="00C5184C" w:rsidRPr="00C5184C">
        <w:rPr>
          <w:rFonts w:ascii="Arial" w:hAnsi="Arial" w:cs="Arial"/>
          <w:sz w:val="24"/>
          <w:szCs w:val="24"/>
        </w:rPr>
        <w:t xml:space="preserve">, y </w:t>
      </w:r>
      <w:r>
        <w:rPr>
          <w:rFonts w:ascii="Arial" w:hAnsi="Arial" w:cs="Arial"/>
          <w:sz w:val="24"/>
          <w:szCs w:val="24"/>
        </w:rPr>
        <w:t>dictada</w:t>
      </w:r>
      <w:r w:rsidR="00C5184C" w:rsidRPr="00C5184C">
        <w:rPr>
          <w:rFonts w:ascii="Arial" w:hAnsi="Arial" w:cs="Arial"/>
          <w:sz w:val="24"/>
          <w:szCs w:val="24"/>
        </w:rPr>
        <w:t xml:space="preserve"> los Integrantes de la S</w:t>
      </w:r>
      <w:r>
        <w:rPr>
          <w:rFonts w:ascii="Arial" w:hAnsi="Arial" w:cs="Arial"/>
          <w:sz w:val="24"/>
          <w:szCs w:val="24"/>
        </w:rPr>
        <w:t xml:space="preserve">ala Superior de este Tribunal, en </w:t>
      </w:r>
      <w:r w:rsidR="00C5184C" w:rsidRPr="00C5184C">
        <w:rPr>
          <w:rFonts w:ascii="Arial" w:hAnsi="Arial" w:cs="Arial"/>
          <w:sz w:val="24"/>
          <w:szCs w:val="24"/>
        </w:rPr>
        <w:t xml:space="preserve">los recursos de revisión </w:t>
      </w:r>
      <w:r>
        <w:rPr>
          <w:rFonts w:ascii="Arial" w:hAnsi="Arial" w:cs="Arial"/>
          <w:sz w:val="24"/>
          <w:szCs w:val="24"/>
        </w:rPr>
        <w:t xml:space="preserve">números </w:t>
      </w:r>
      <w:r w:rsidR="003022B9">
        <w:rPr>
          <w:rFonts w:ascii="Arial" w:hAnsi="Arial" w:cs="Arial"/>
          <w:sz w:val="24"/>
          <w:szCs w:val="24"/>
        </w:rPr>
        <w:t xml:space="preserve">***** </w:t>
      </w:r>
      <w:r>
        <w:rPr>
          <w:rFonts w:ascii="Arial" w:hAnsi="Arial" w:cs="Arial"/>
          <w:sz w:val="24"/>
          <w:szCs w:val="24"/>
        </w:rPr>
        <w:t xml:space="preserve">y </w:t>
      </w:r>
      <w:r w:rsidR="003022B9">
        <w:rPr>
          <w:rFonts w:ascii="Arial" w:hAnsi="Arial" w:cs="Arial"/>
          <w:sz w:val="24"/>
          <w:szCs w:val="24"/>
        </w:rPr>
        <w:t>*****</w:t>
      </w:r>
      <w:r w:rsidR="0010065B">
        <w:rPr>
          <w:rFonts w:ascii="Arial" w:hAnsi="Arial" w:cs="Arial"/>
          <w:sz w:val="24"/>
          <w:szCs w:val="24"/>
        </w:rPr>
        <w:t>,</w:t>
      </w:r>
      <w:r>
        <w:rPr>
          <w:rFonts w:ascii="Arial" w:hAnsi="Arial" w:cs="Arial"/>
          <w:sz w:val="24"/>
          <w:szCs w:val="24"/>
        </w:rPr>
        <w:t xml:space="preserve"> interpuestos por las partes, en el que se ordenó</w:t>
      </w:r>
      <w:r w:rsidR="00C5184C" w:rsidRPr="00C5184C">
        <w:rPr>
          <w:rFonts w:ascii="Arial" w:hAnsi="Arial" w:cs="Arial"/>
          <w:sz w:val="24"/>
          <w:szCs w:val="24"/>
        </w:rPr>
        <w:t xml:space="preserve"> revocar la sentencia recurrida y reponer el procedimiento de primera instancia, declarando ineficaces las actuaciones a partir del once de junio de dos mil catorce; asimismo, requirió a la autoridad demandada para que exhibiera la copia necesaria del anexo de su escrito de contestación para el traslado correspondiente; </w:t>
      </w:r>
      <w:r w:rsidR="00F061C0">
        <w:rPr>
          <w:rFonts w:ascii="Arial" w:hAnsi="Arial" w:cs="Arial"/>
          <w:sz w:val="24"/>
          <w:szCs w:val="24"/>
        </w:rPr>
        <w:t>a efecto de que</w:t>
      </w:r>
      <w:r w:rsidR="00C5184C" w:rsidRPr="00C5184C">
        <w:rPr>
          <w:rFonts w:ascii="Arial" w:hAnsi="Arial" w:cs="Arial"/>
          <w:sz w:val="24"/>
          <w:szCs w:val="24"/>
        </w:rPr>
        <w:t xml:space="preserve"> se le concediera a la parte actora el</w:t>
      </w:r>
      <w:r>
        <w:rPr>
          <w:rFonts w:ascii="Arial" w:hAnsi="Arial" w:cs="Arial"/>
          <w:sz w:val="24"/>
          <w:szCs w:val="24"/>
        </w:rPr>
        <w:t xml:space="preserve"> derecho de ampliar la demanda.</w:t>
      </w:r>
    </w:p>
    <w:p w14:paraId="10B12E8E" w14:textId="1294B895" w:rsidR="00414DA8" w:rsidRDefault="00F5042D" w:rsidP="00414DA8">
      <w:pPr>
        <w:spacing w:line="360" w:lineRule="auto"/>
        <w:ind w:firstLine="567"/>
        <w:jc w:val="both"/>
        <w:rPr>
          <w:rFonts w:ascii="Arial" w:hAnsi="Arial" w:cs="Arial"/>
          <w:sz w:val="24"/>
          <w:szCs w:val="24"/>
        </w:rPr>
      </w:pPr>
      <w:r w:rsidRPr="00F5042D">
        <w:rPr>
          <w:rFonts w:ascii="Arial" w:hAnsi="Arial" w:cs="Arial"/>
          <w:b/>
          <w:sz w:val="24"/>
          <w:szCs w:val="24"/>
        </w:rPr>
        <w:t>OCTAVO.</w:t>
      </w:r>
      <w:r>
        <w:rPr>
          <w:rFonts w:ascii="Arial" w:hAnsi="Arial" w:cs="Arial"/>
          <w:sz w:val="24"/>
          <w:szCs w:val="24"/>
        </w:rPr>
        <w:t xml:space="preserve"> </w:t>
      </w:r>
      <w:r w:rsidR="00414DA8">
        <w:rPr>
          <w:rFonts w:ascii="Arial" w:hAnsi="Arial" w:cs="Arial"/>
          <w:sz w:val="24"/>
          <w:szCs w:val="24"/>
        </w:rPr>
        <w:t>En</w:t>
      </w:r>
      <w:r w:rsidR="00414DA8" w:rsidRPr="00414DA8">
        <w:rPr>
          <w:rFonts w:ascii="Arial" w:hAnsi="Arial" w:cs="Arial"/>
          <w:sz w:val="24"/>
          <w:szCs w:val="24"/>
        </w:rPr>
        <w:t xml:space="preserve"> auto de tres de febrero de dos mil diecisiete, se tuvieron por recibidas las acta</w:t>
      </w:r>
      <w:r w:rsidR="00414DA8">
        <w:rPr>
          <w:rFonts w:ascii="Arial" w:hAnsi="Arial" w:cs="Arial"/>
          <w:sz w:val="24"/>
          <w:szCs w:val="24"/>
        </w:rPr>
        <w:t>s</w:t>
      </w:r>
      <w:r w:rsidR="00414DA8" w:rsidRPr="00414DA8">
        <w:rPr>
          <w:rFonts w:ascii="Arial" w:hAnsi="Arial" w:cs="Arial"/>
          <w:sz w:val="24"/>
          <w:szCs w:val="24"/>
        </w:rPr>
        <w:t xml:space="preserve"> de fecha treinta de enero y dos de febrero de dos mil diecisiete, elaboradas con motivo del reporte de no localización del expediente </w:t>
      </w:r>
      <w:r w:rsidR="003022B9">
        <w:rPr>
          <w:rFonts w:ascii="Arial" w:hAnsi="Arial" w:cs="Arial"/>
          <w:sz w:val="24"/>
          <w:szCs w:val="24"/>
        </w:rPr>
        <w:t>******</w:t>
      </w:r>
      <w:r w:rsidR="00414DA8" w:rsidRPr="00414DA8">
        <w:rPr>
          <w:rFonts w:ascii="Arial" w:hAnsi="Arial" w:cs="Arial"/>
          <w:sz w:val="24"/>
          <w:szCs w:val="24"/>
        </w:rPr>
        <w:t>.</w:t>
      </w:r>
    </w:p>
    <w:p w14:paraId="658B3393" w14:textId="3D2014F5" w:rsidR="00414DA8" w:rsidRPr="00414DA8" w:rsidRDefault="00414DA8" w:rsidP="00414DA8">
      <w:pPr>
        <w:spacing w:line="360" w:lineRule="auto"/>
        <w:ind w:firstLine="567"/>
        <w:jc w:val="both"/>
        <w:rPr>
          <w:rFonts w:ascii="Arial" w:hAnsi="Arial" w:cs="Arial"/>
          <w:sz w:val="24"/>
          <w:szCs w:val="24"/>
        </w:rPr>
      </w:pPr>
      <w:r w:rsidRPr="00414DA8">
        <w:rPr>
          <w:rFonts w:ascii="Arial" w:hAnsi="Arial" w:cs="Arial"/>
          <w:b/>
          <w:sz w:val="24"/>
          <w:szCs w:val="24"/>
        </w:rPr>
        <w:t>NOVENO.</w:t>
      </w:r>
      <w:r>
        <w:rPr>
          <w:rFonts w:ascii="Arial" w:hAnsi="Arial" w:cs="Arial"/>
          <w:sz w:val="24"/>
          <w:szCs w:val="24"/>
        </w:rPr>
        <w:t xml:space="preserve"> </w:t>
      </w:r>
      <w:r w:rsidRPr="00414DA8">
        <w:rPr>
          <w:rFonts w:ascii="Arial" w:hAnsi="Arial" w:cs="Arial"/>
          <w:sz w:val="24"/>
          <w:szCs w:val="24"/>
        </w:rPr>
        <w:t>Por acuerdo de veintitrés de febrero de dos mil diecisiete, se ordenó formar cuaderno para el trámite del incidente de reposición de autos</w:t>
      </w:r>
      <w:r>
        <w:rPr>
          <w:rFonts w:ascii="Arial" w:hAnsi="Arial" w:cs="Arial"/>
          <w:sz w:val="24"/>
          <w:szCs w:val="24"/>
        </w:rPr>
        <w:t>.</w:t>
      </w:r>
    </w:p>
    <w:p w14:paraId="7B74E83C" w14:textId="097FDE70" w:rsidR="00F5042D" w:rsidRDefault="00414DA8" w:rsidP="00DE365D">
      <w:pPr>
        <w:spacing w:line="360" w:lineRule="auto"/>
        <w:ind w:firstLine="567"/>
        <w:jc w:val="both"/>
        <w:rPr>
          <w:rFonts w:ascii="Arial" w:hAnsi="Arial" w:cs="Arial"/>
          <w:sz w:val="24"/>
          <w:szCs w:val="24"/>
        </w:rPr>
      </w:pPr>
      <w:r w:rsidRPr="00414DA8">
        <w:rPr>
          <w:rFonts w:ascii="Arial" w:hAnsi="Arial" w:cs="Arial"/>
          <w:b/>
          <w:sz w:val="24"/>
          <w:szCs w:val="24"/>
        </w:rPr>
        <w:t>DÉCIMO.</w:t>
      </w:r>
      <w:r>
        <w:rPr>
          <w:rFonts w:ascii="Arial" w:hAnsi="Arial" w:cs="Arial"/>
          <w:sz w:val="24"/>
          <w:szCs w:val="24"/>
        </w:rPr>
        <w:t xml:space="preserve"> </w:t>
      </w:r>
      <w:r w:rsidR="00F5042D">
        <w:rPr>
          <w:rFonts w:ascii="Arial" w:hAnsi="Arial" w:cs="Arial"/>
          <w:sz w:val="24"/>
          <w:szCs w:val="24"/>
        </w:rPr>
        <w:t xml:space="preserve">Mediante resolución de fecha ocho de mayo de dos mil diecisiete, </w:t>
      </w:r>
      <w:r w:rsidR="00F061C0">
        <w:rPr>
          <w:rFonts w:ascii="Arial" w:hAnsi="Arial" w:cs="Arial"/>
          <w:sz w:val="24"/>
          <w:szCs w:val="24"/>
        </w:rPr>
        <w:t>se resolvió el incidente de reposición de autos, en el que resultó procedente, y por ello se tuvieron por repuestas las constancias de autos que exhibieron la Sala Superior y la parte actora.</w:t>
      </w:r>
    </w:p>
    <w:p w14:paraId="0FC5CB62" w14:textId="210DE268" w:rsidR="00F061C0" w:rsidRDefault="00F061C0" w:rsidP="00DE365D">
      <w:pPr>
        <w:spacing w:line="360" w:lineRule="auto"/>
        <w:ind w:firstLine="567"/>
        <w:jc w:val="both"/>
        <w:rPr>
          <w:rFonts w:ascii="Arial" w:hAnsi="Arial" w:cs="Arial"/>
          <w:sz w:val="24"/>
          <w:szCs w:val="24"/>
        </w:rPr>
      </w:pPr>
      <w:r>
        <w:rPr>
          <w:rFonts w:ascii="Arial" w:hAnsi="Arial" w:cs="Arial"/>
          <w:sz w:val="24"/>
          <w:szCs w:val="24"/>
        </w:rPr>
        <w:t xml:space="preserve">Por otra parte, se requirió a la autoridad demandada para que exhibiera dos tantos más de su demanda y anexos, esto para dar cumplimiento a la resolución de </w:t>
      </w:r>
      <w:r>
        <w:rPr>
          <w:rFonts w:ascii="Arial" w:hAnsi="Arial" w:cs="Arial"/>
          <w:sz w:val="24"/>
          <w:szCs w:val="24"/>
        </w:rPr>
        <w:lastRenderedPageBreak/>
        <w:t>alzada, apercibido que no hacerlo se le tendría por contestada la demanda en sentido afirmativo.</w:t>
      </w:r>
    </w:p>
    <w:p w14:paraId="2CB383DA" w14:textId="719553A8" w:rsidR="00F061C0" w:rsidRDefault="00414DA8" w:rsidP="00DE365D">
      <w:pPr>
        <w:spacing w:line="360" w:lineRule="auto"/>
        <w:ind w:firstLine="567"/>
        <w:jc w:val="both"/>
        <w:rPr>
          <w:rFonts w:ascii="Arial" w:hAnsi="Arial" w:cs="Arial"/>
          <w:sz w:val="24"/>
          <w:szCs w:val="24"/>
        </w:rPr>
      </w:pPr>
      <w:r>
        <w:rPr>
          <w:rFonts w:ascii="Arial" w:hAnsi="Arial" w:cs="Arial"/>
          <w:b/>
          <w:sz w:val="24"/>
          <w:szCs w:val="24"/>
        </w:rPr>
        <w:t>UNDÉCIMO</w:t>
      </w:r>
      <w:r w:rsidR="00F061C0" w:rsidRPr="00F061C0">
        <w:rPr>
          <w:rFonts w:ascii="Arial" w:hAnsi="Arial" w:cs="Arial"/>
          <w:b/>
          <w:sz w:val="24"/>
          <w:szCs w:val="24"/>
        </w:rPr>
        <w:t>.</w:t>
      </w:r>
      <w:r w:rsidR="00F061C0">
        <w:rPr>
          <w:rFonts w:ascii="Arial" w:hAnsi="Arial" w:cs="Arial"/>
          <w:sz w:val="24"/>
          <w:szCs w:val="24"/>
        </w:rPr>
        <w:t xml:space="preserve"> Por acuerdo de fecha treinta de mayo de dos mil diecisiete, </w:t>
      </w:r>
      <w:r w:rsidR="002E2F9B" w:rsidRPr="00857F52">
        <w:rPr>
          <w:rFonts w:ascii="Arial" w:hAnsi="Arial" w:cs="Arial"/>
          <w:sz w:val="24"/>
          <w:szCs w:val="24"/>
        </w:rPr>
        <w:t xml:space="preserve">se declaró que la resolución de fecha </w:t>
      </w:r>
      <w:r w:rsidR="003022B9">
        <w:rPr>
          <w:rFonts w:ascii="Arial" w:hAnsi="Arial" w:cs="Arial"/>
          <w:sz w:val="24"/>
          <w:szCs w:val="24"/>
        </w:rPr>
        <w:t>*****</w:t>
      </w:r>
      <w:r w:rsidR="002E2F9B" w:rsidRPr="00857F52">
        <w:rPr>
          <w:rFonts w:ascii="Arial" w:hAnsi="Arial" w:cs="Arial"/>
          <w:sz w:val="24"/>
          <w:szCs w:val="24"/>
        </w:rPr>
        <w:t xml:space="preserve"> de</w:t>
      </w:r>
      <w:r w:rsidR="003022B9">
        <w:rPr>
          <w:rFonts w:ascii="Arial" w:hAnsi="Arial" w:cs="Arial"/>
          <w:sz w:val="24"/>
          <w:szCs w:val="24"/>
        </w:rPr>
        <w:t xml:space="preserve"> *****</w:t>
      </w:r>
      <w:r w:rsidR="002E2F9B" w:rsidRPr="00857F52">
        <w:rPr>
          <w:rFonts w:ascii="Arial" w:hAnsi="Arial" w:cs="Arial"/>
          <w:sz w:val="24"/>
          <w:szCs w:val="24"/>
        </w:rPr>
        <w:t xml:space="preserve"> de dos mil </w:t>
      </w:r>
      <w:r w:rsidR="003022B9">
        <w:rPr>
          <w:rFonts w:ascii="Arial" w:hAnsi="Arial" w:cs="Arial"/>
          <w:sz w:val="24"/>
          <w:szCs w:val="24"/>
        </w:rPr>
        <w:t>*****</w:t>
      </w:r>
      <w:r w:rsidR="002E2F9B" w:rsidRPr="00857F52">
        <w:rPr>
          <w:rFonts w:ascii="Arial" w:hAnsi="Arial" w:cs="Arial"/>
          <w:sz w:val="24"/>
          <w:szCs w:val="24"/>
        </w:rPr>
        <w:t>, había causado ejecutoria por lo que se requirió su cumplimiento a la autoridad demandada.</w:t>
      </w:r>
      <w:r w:rsidR="002E2F9B">
        <w:rPr>
          <w:rFonts w:ascii="Arial" w:hAnsi="Arial" w:cs="Arial"/>
          <w:sz w:val="24"/>
          <w:szCs w:val="24"/>
        </w:rPr>
        <w:t xml:space="preserve"> </w:t>
      </w:r>
    </w:p>
    <w:p w14:paraId="278EA308" w14:textId="20C9588F" w:rsidR="002E2F9B" w:rsidRDefault="002E2F9B" w:rsidP="002E2F9B">
      <w:pPr>
        <w:spacing w:line="360" w:lineRule="auto"/>
        <w:ind w:firstLine="567"/>
        <w:jc w:val="both"/>
        <w:rPr>
          <w:rFonts w:ascii="Arial" w:hAnsi="Arial" w:cs="Arial"/>
          <w:sz w:val="24"/>
          <w:szCs w:val="24"/>
        </w:rPr>
      </w:pPr>
      <w:r w:rsidRPr="002E2F9B">
        <w:rPr>
          <w:rFonts w:ascii="Arial" w:hAnsi="Arial" w:cs="Arial"/>
          <w:b/>
          <w:sz w:val="24"/>
          <w:szCs w:val="24"/>
        </w:rPr>
        <w:t>DUODÉCIMO.</w:t>
      </w:r>
      <w:r>
        <w:rPr>
          <w:rFonts w:ascii="Arial" w:hAnsi="Arial" w:cs="Arial"/>
          <w:sz w:val="24"/>
          <w:szCs w:val="24"/>
        </w:rPr>
        <w:t xml:space="preserve"> En</w:t>
      </w:r>
      <w:r w:rsidRPr="002E2F9B">
        <w:rPr>
          <w:rFonts w:ascii="Arial" w:hAnsi="Arial" w:cs="Arial"/>
          <w:sz w:val="24"/>
          <w:szCs w:val="24"/>
        </w:rPr>
        <w:t xml:space="preserve"> auto de veintinueve de junio de dos mil diecisiete, se tuvo a la autoridad demanda, cumpliendo con el requerimiento formulado mediante diverso proveído de treinta de mayo de dos mil diecisiete, sin embargo, al no exhibir constancia de toma de protesta al cargo que ostentaba, se le tuvo por no acreditada la personalidad con la que se ostentaba</w:t>
      </w:r>
      <w:r w:rsidR="007C206F">
        <w:rPr>
          <w:rFonts w:ascii="Arial" w:hAnsi="Arial" w:cs="Arial"/>
          <w:sz w:val="24"/>
          <w:szCs w:val="24"/>
        </w:rPr>
        <w:t>,</w:t>
      </w:r>
      <w:r w:rsidRPr="002E2F9B">
        <w:rPr>
          <w:rFonts w:ascii="Arial" w:hAnsi="Arial" w:cs="Arial"/>
          <w:sz w:val="24"/>
          <w:szCs w:val="24"/>
        </w:rPr>
        <w:t xml:space="preserve"> por lo que se le tuvo por contestando la demanda en sentido afirmativo. Finalmente</w:t>
      </w:r>
      <w:r w:rsidR="007C206F">
        <w:rPr>
          <w:rFonts w:ascii="Arial" w:hAnsi="Arial" w:cs="Arial"/>
          <w:sz w:val="24"/>
          <w:szCs w:val="24"/>
        </w:rPr>
        <w:t>,</w:t>
      </w:r>
      <w:r w:rsidRPr="002E2F9B">
        <w:rPr>
          <w:rFonts w:ascii="Arial" w:hAnsi="Arial" w:cs="Arial"/>
          <w:sz w:val="24"/>
          <w:szCs w:val="24"/>
        </w:rPr>
        <w:t xml:space="preserve"> se señaló fecha y hora para la audiencia final.</w:t>
      </w:r>
    </w:p>
    <w:p w14:paraId="5FA8E04C" w14:textId="6AFEE3F5" w:rsidR="002E2F9B" w:rsidRDefault="002E2F9B" w:rsidP="002E2F9B">
      <w:pPr>
        <w:spacing w:line="360" w:lineRule="auto"/>
        <w:ind w:firstLine="567"/>
        <w:jc w:val="both"/>
        <w:rPr>
          <w:rFonts w:ascii="Arial" w:hAnsi="Arial" w:cs="Arial"/>
          <w:bCs/>
          <w:spacing w:val="-3"/>
          <w:sz w:val="24"/>
          <w:szCs w:val="27"/>
          <w:lang w:val="es-ES_tradnl"/>
        </w:rPr>
      </w:pPr>
      <w:r w:rsidRPr="002E2F9B">
        <w:rPr>
          <w:rFonts w:ascii="Arial" w:hAnsi="Arial" w:cs="Arial"/>
          <w:b/>
          <w:sz w:val="24"/>
          <w:szCs w:val="24"/>
        </w:rPr>
        <w:t>DÉCIMO TERCERO.</w:t>
      </w:r>
      <w:r>
        <w:rPr>
          <w:rFonts w:ascii="Arial" w:hAnsi="Arial" w:cs="Arial"/>
          <w:sz w:val="24"/>
          <w:szCs w:val="24"/>
        </w:rPr>
        <w:t xml:space="preserve"> </w:t>
      </w:r>
      <w:r>
        <w:rPr>
          <w:rFonts w:ascii="Arial" w:hAnsi="Arial" w:cs="Arial"/>
          <w:bCs/>
          <w:spacing w:val="-3"/>
          <w:sz w:val="24"/>
          <w:szCs w:val="27"/>
          <w:lang w:val="es-ES_tradnl"/>
        </w:rPr>
        <w:t>El siete de noviembre de dos mil diecisiete,</w:t>
      </w:r>
      <w:r w:rsidRPr="004432E7">
        <w:rPr>
          <w:rFonts w:ascii="Arial" w:hAnsi="Arial" w:cs="Arial"/>
          <w:bCs/>
          <w:spacing w:val="-3"/>
          <w:sz w:val="24"/>
          <w:szCs w:val="27"/>
          <w:lang w:val="es-ES_tradnl"/>
        </w:rPr>
        <w:t xml:space="preserve"> se llevó a cabo la </w:t>
      </w:r>
      <w:r>
        <w:rPr>
          <w:rFonts w:ascii="Arial" w:hAnsi="Arial" w:cs="Arial"/>
          <w:bCs/>
          <w:spacing w:val="-3"/>
          <w:sz w:val="24"/>
          <w:szCs w:val="27"/>
          <w:lang w:val="es-ES_tradnl"/>
        </w:rPr>
        <w:t>a</w:t>
      </w:r>
      <w:r w:rsidRPr="004432E7">
        <w:rPr>
          <w:rFonts w:ascii="Arial" w:hAnsi="Arial" w:cs="Arial"/>
          <w:bCs/>
          <w:spacing w:val="-3"/>
          <w:sz w:val="24"/>
          <w:szCs w:val="27"/>
          <w:lang w:val="es-ES_tradnl"/>
        </w:rPr>
        <w:t xml:space="preserve">udiencia </w:t>
      </w:r>
      <w:r>
        <w:rPr>
          <w:rFonts w:ascii="Arial" w:hAnsi="Arial" w:cs="Arial"/>
          <w:bCs/>
          <w:spacing w:val="-3"/>
          <w:sz w:val="24"/>
          <w:szCs w:val="27"/>
          <w:lang w:val="es-ES_tradnl"/>
        </w:rPr>
        <w:t>final</w:t>
      </w:r>
      <w:r w:rsidRPr="004432E7">
        <w:rPr>
          <w:rFonts w:ascii="Arial" w:hAnsi="Arial" w:cs="Arial"/>
          <w:bCs/>
          <w:spacing w:val="-3"/>
          <w:sz w:val="24"/>
          <w:szCs w:val="27"/>
          <w:lang w:val="es-ES_tradnl"/>
        </w:rPr>
        <w:t xml:space="preserve">, en la que no se presentaron las partes, ni persona alguna que legalmente las representara, asentando el Secretario de Acuerdos, </w:t>
      </w:r>
      <w:r>
        <w:rPr>
          <w:rFonts w:ascii="Arial" w:hAnsi="Arial" w:cs="Arial"/>
          <w:bCs/>
          <w:spacing w:val="-3"/>
          <w:sz w:val="24"/>
          <w:szCs w:val="27"/>
          <w:lang w:val="es-ES_tradnl"/>
        </w:rPr>
        <w:t>que únicamente la parte actora</w:t>
      </w:r>
      <w:r w:rsidRPr="004432E7">
        <w:rPr>
          <w:rFonts w:ascii="Arial" w:hAnsi="Arial" w:cs="Arial"/>
          <w:bCs/>
          <w:spacing w:val="-3"/>
          <w:sz w:val="24"/>
          <w:szCs w:val="27"/>
          <w:lang w:val="es-ES_tradnl"/>
        </w:rPr>
        <w:t xml:space="preserve"> presentó alegatos</w:t>
      </w:r>
      <w:r>
        <w:rPr>
          <w:rFonts w:ascii="Arial" w:hAnsi="Arial" w:cs="Arial"/>
          <w:bCs/>
          <w:spacing w:val="-3"/>
          <w:sz w:val="24"/>
          <w:szCs w:val="27"/>
          <w:lang w:val="es-ES_tradnl"/>
        </w:rPr>
        <w:t>, mismos que serán tomados en cuenta al momento de dictar sentencia</w:t>
      </w:r>
      <w:r w:rsidRPr="004432E7">
        <w:rPr>
          <w:rFonts w:ascii="Arial" w:hAnsi="Arial" w:cs="Arial"/>
          <w:bCs/>
          <w:spacing w:val="-3"/>
          <w:sz w:val="24"/>
          <w:szCs w:val="27"/>
          <w:lang w:val="es-ES_tradnl"/>
        </w:rPr>
        <w:t>, por lo que se citó a las partes para oír sentencia dentro del término de ley</w:t>
      </w:r>
      <w:r>
        <w:rPr>
          <w:rFonts w:ascii="Arial" w:hAnsi="Arial" w:cs="Arial"/>
          <w:bCs/>
          <w:spacing w:val="-3"/>
          <w:sz w:val="24"/>
          <w:szCs w:val="27"/>
          <w:lang w:val="es-ES_tradnl"/>
        </w:rPr>
        <w:t>.</w:t>
      </w:r>
    </w:p>
    <w:p w14:paraId="31E6D626" w14:textId="7EAA3951" w:rsidR="005943D8" w:rsidRDefault="002E2F9B" w:rsidP="00537F3C">
      <w:pPr>
        <w:spacing w:line="360" w:lineRule="auto"/>
        <w:ind w:firstLine="567"/>
        <w:jc w:val="both"/>
        <w:rPr>
          <w:rFonts w:ascii="Arial" w:hAnsi="Arial" w:cs="Arial"/>
          <w:bCs/>
          <w:spacing w:val="-3"/>
          <w:sz w:val="24"/>
          <w:szCs w:val="27"/>
          <w:lang w:val="es-ES_tradnl"/>
        </w:rPr>
      </w:pPr>
      <w:r w:rsidRPr="002E2F9B">
        <w:rPr>
          <w:rFonts w:ascii="Arial" w:hAnsi="Arial" w:cs="Arial"/>
          <w:b/>
          <w:bCs/>
          <w:spacing w:val="-3"/>
          <w:sz w:val="24"/>
          <w:szCs w:val="27"/>
          <w:lang w:val="es-ES_tradnl"/>
        </w:rPr>
        <w:t>DÉCIMO CUARTO.</w:t>
      </w:r>
      <w:r>
        <w:rPr>
          <w:rFonts w:ascii="Arial" w:hAnsi="Arial" w:cs="Arial"/>
          <w:bCs/>
          <w:spacing w:val="-3"/>
          <w:sz w:val="24"/>
          <w:szCs w:val="27"/>
          <w:lang w:val="es-ES_tradnl"/>
        </w:rPr>
        <w:t xml:space="preserve"> </w:t>
      </w:r>
      <w:r w:rsidR="00F12B4D">
        <w:rPr>
          <w:rFonts w:ascii="Arial" w:hAnsi="Arial" w:cs="Arial"/>
          <w:bCs/>
          <w:spacing w:val="-3"/>
          <w:sz w:val="24"/>
          <w:szCs w:val="27"/>
          <w:lang w:val="es-ES_tradnl"/>
        </w:rPr>
        <w:t xml:space="preserve">Mediante proveído de fecha </w:t>
      </w:r>
      <w:r>
        <w:rPr>
          <w:rFonts w:ascii="Arial" w:hAnsi="Arial" w:cs="Arial"/>
          <w:bCs/>
          <w:spacing w:val="-3"/>
          <w:sz w:val="24"/>
          <w:szCs w:val="27"/>
          <w:lang w:val="es-ES_tradnl"/>
        </w:rPr>
        <w:t>diez de mayo</w:t>
      </w:r>
      <w:r w:rsidR="008807B3">
        <w:rPr>
          <w:rFonts w:ascii="Arial" w:hAnsi="Arial" w:cs="Arial"/>
          <w:bCs/>
          <w:spacing w:val="-3"/>
          <w:sz w:val="24"/>
          <w:szCs w:val="27"/>
          <w:lang w:val="es-ES_tradnl"/>
        </w:rPr>
        <w:t xml:space="preserve"> de dos mil dieciocho</w:t>
      </w:r>
      <w:r w:rsidR="00FE51C2">
        <w:rPr>
          <w:rFonts w:ascii="Arial" w:hAnsi="Arial" w:cs="Arial"/>
          <w:bCs/>
          <w:spacing w:val="-3"/>
          <w:sz w:val="24"/>
          <w:szCs w:val="27"/>
          <w:lang w:val="es-ES_tradnl"/>
        </w:rPr>
        <w:t>,</w:t>
      </w:r>
      <w:r w:rsidR="005943D8">
        <w:rPr>
          <w:rFonts w:ascii="Arial" w:hAnsi="Arial" w:cs="Arial"/>
          <w:bCs/>
          <w:spacing w:val="-3"/>
          <w:sz w:val="24"/>
          <w:szCs w:val="27"/>
          <w:lang w:val="es-ES_tradnl"/>
        </w:rPr>
        <w:t xml:space="preserve"> se </w:t>
      </w:r>
      <w:r w:rsidR="005943D8" w:rsidRPr="008C6A3C">
        <w:rPr>
          <w:rFonts w:ascii="Arial" w:hAnsi="Arial" w:cs="Arial"/>
          <w:bCs/>
          <w:spacing w:val="-3"/>
          <w:sz w:val="24"/>
          <w:szCs w:val="27"/>
          <w:lang w:val="es-ES_tradnl"/>
        </w:rPr>
        <w:t xml:space="preserve">le hizo del conocimiento a las partes el </w:t>
      </w:r>
      <w:r w:rsidR="00FE51C2">
        <w:rPr>
          <w:rFonts w:ascii="Arial" w:hAnsi="Arial" w:cs="Arial"/>
          <w:bCs/>
          <w:spacing w:val="-3"/>
          <w:sz w:val="24"/>
          <w:szCs w:val="27"/>
          <w:lang w:val="es-ES_tradnl"/>
        </w:rPr>
        <w:t>D</w:t>
      </w:r>
      <w:r w:rsidR="005943D8" w:rsidRPr="008C6A3C">
        <w:rPr>
          <w:rFonts w:ascii="Arial" w:hAnsi="Arial" w:cs="Arial"/>
          <w:bCs/>
          <w:spacing w:val="-3"/>
          <w:sz w:val="24"/>
          <w:szCs w:val="27"/>
          <w:lang w:val="es-ES_tradnl"/>
        </w:rPr>
        <w:t>ecreto 786</w:t>
      </w:r>
      <w:r w:rsidR="00FE51C2">
        <w:rPr>
          <w:rFonts w:ascii="Arial" w:hAnsi="Arial" w:cs="Arial"/>
          <w:bCs/>
          <w:spacing w:val="-3"/>
          <w:sz w:val="24"/>
          <w:szCs w:val="27"/>
          <w:lang w:val="es-ES_tradnl"/>
        </w:rPr>
        <w:t>,</w:t>
      </w:r>
      <w:r w:rsidR="005943D8" w:rsidRPr="008C6A3C">
        <w:rPr>
          <w:rFonts w:ascii="Arial" w:hAnsi="Arial" w:cs="Arial"/>
          <w:bCs/>
          <w:spacing w:val="-3"/>
          <w:sz w:val="24"/>
          <w:szCs w:val="27"/>
          <w:lang w:val="es-ES_tradnl"/>
        </w:rPr>
        <w:t xml:space="preserve"> 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 así como la continuación de las Salas Unitarias de Primera Instancia del Tribunal en mención</w:t>
      </w:r>
      <w:r w:rsidR="008B0AF9">
        <w:rPr>
          <w:rFonts w:ascii="Arial" w:hAnsi="Arial" w:cs="Arial"/>
          <w:bCs/>
          <w:spacing w:val="-3"/>
          <w:sz w:val="24"/>
          <w:szCs w:val="27"/>
          <w:lang w:val="es-ES_tradnl"/>
        </w:rPr>
        <w:t xml:space="preserve"> y la adscripción del Titular a la Sala actuante, </w:t>
      </w:r>
      <w:r w:rsidR="005943D8">
        <w:rPr>
          <w:rFonts w:ascii="Arial" w:hAnsi="Arial" w:cs="Arial"/>
          <w:bCs/>
          <w:spacing w:val="-3"/>
          <w:sz w:val="24"/>
          <w:szCs w:val="27"/>
          <w:lang w:val="es-ES_tradnl"/>
        </w:rPr>
        <w:t>y se les otorgó un plazo a las partes para que manifestaran lo que a sus intereses conviene.</w:t>
      </w:r>
    </w:p>
    <w:p w14:paraId="6365D70E" w14:textId="1E911697" w:rsidR="004D1476" w:rsidRDefault="004D1476" w:rsidP="00537F3C">
      <w:pPr>
        <w:spacing w:line="360" w:lineRule="auto"/>
        <w:ind w:firstLine="567"/>
        <w:jc w:val="both"/>
        <w:rPr>
          <w:rFonts w:ascii="Arial" w:hAnsi="Arial" w:cs="Arial"/>
          <w:bCs/>
          <w:spacing w:val="-3"/>
          <w:sz w:val="24"/>
          <w:szCs w:val="27"/>
          <w:lang w:val="es-ES_tradnl"/>
        </w:rPr>
      </w:pPr>
      <w:r w:rsidRPr="004D1476">
        <w:rPr>
          <w:rFonts w:ascii="Arial" w:hAnsi="Arial" w:cs="Arial"/>
          <w:b/>
          <w:bCs/>
          <w:spacing w:val="-3"/>
          <w:sz w:val="24"/>
          <w:szCs w:val="27"/>
          <w:lang w:val="es-ES_tradnl"/>
        </w:rPr>
        <w:t>DÉCIMO QUINTO.</w:t>
      </w:r>
      <w:r>
        <w:rPr>
          <w:rFonts w:ascii="Arial" w:hAnsi="Arial" w:cs="Arial"/>
          <w:bCs/>
          <w:spacing w:val="-3"/>
          <w:sz w:val="24"/>
          <w:szCs w:val="27"/>
          <w:lang w:val="es-ES_tradnl"/>
        </w:rPr>
        <w:t xml:space="preserve"> En auto de fecha veintisiete de junio de dos mil dieciocho, se tuvo por recibido un oficio de la Secretaría General de Acuerdos, en el que se solicitaba a esta </w:t>
      </w:r>
      <w:r w:rsidR="00E61A9C">
        <w:rPr>
          <w:rFonts w:ascii="Arial" w:hAnsi="Arial" w:cs="Arial"/>
          <w:bCs/>
          <w:spacing w:val="-3"/>
          <w:sz w:val="24"/>
          <w:szCs w:val="27"/>
          <w:lang w:val="es-ES_tradnl"/>
        </w:rPr>
        <w:t>Sala</w:t>
      </w:r>
      <w:r w:rsidR="00A4738B">
        <w:rPr>
          <w:rFonts w:ascii="Arial" w:hAnsi="Arial" w:cs="Arial"/>
          <w:bCs/>
          <w:spacing w:val="-3"/>
          <w:sz w:val="24"/>
          <w:szCs w:val="27"/>
          <w:lang w:val="es-ES_tradnl"/>
        </w:rPr>
        <w:t xml:space="preserve"> informara respecto de la excitativa promovida por el actor.</w:t>
      </w:r>
    </w:p>
    <w:p w14:paraId="3F1C6C68" w14:textId="4B716D87" w:rsidR="00A4738B" w:rsidRDefault="00A4738B" w:rsidP="00537F3C">
      <w:pPr>
        <w:spacing w:line="360" w:lineRule="auto"/>
        <w:ind w:firstLine="567"/>
        <w:jc w:val="both"/>
        <w:rPr>
          <w:rFonts w:ascii="Arial" w:hAnsi="Arial" w:cs="Arial"/>
          <w:bCs/>
          <w:spacing w:val="-3"/>
          <w:sz w:val="24"/>
          <w:szCs w:val="27"/>
          <w:lang w:val="es-ES_tradnl"/>
        </w:rPr>
      </w:pPr>
      <w:r w:rsidRPr="00A4738B">
        <w:rPr>
          <w:rFonts w:ascii="Arial" w:hAnsi="Arial" w:cs="Arial"/>
          <w:b/>
          <w:bCs/>
          <w:spacing w:val="-3"/>
          <w:sz w:val="24"/>
          <w:szCs w:val="27"/>
          <w:lang w:val="es-ES_tradnl"/>
        </w:rPr>
        <w:t>DÉCIMO SEXTO.</w:t>
      </w:r>
      <w:r>
        <w:rPr>
          <w:rFonts w:ascii="Arial" w:hAnsi="Arial" w:cs="Arial"/>
          <w:bCs/>
          <w:spacing w:val="-3"/>
          <w:sz w:val="24"/>
          <w:szCs w:val="27"/>
          <w:lang w:val="es-ES_tradnl"/>
        </w:rPr>
        <w:t xml:space="preserve"> El once de julio de dos mil dieciocho, se dictó sentencia en el que se determinó sobreseer el presente juicio de nulidad.</w:t>
      </w:r>
    </w:p>
    <w:p w14:paraId="5983B1DA" w14:textId="7B0B9984" w:rsidR="00A4738B" w:rsidRDefault="00A4738B" w:rsidP="00537F3C">
      <w:pPr>
        <w:spacing w:line="360" w:lineRule="auto"/>
        <w:ind w:firstLine="567"/>
        <w:jc w:val="both"/>
        <w:rPr>
          <w:rFonts w:ascii="Arial" w:hAnsi="Arial" w:cs="Arial"/>
          <w:bCs/>
          <w:spacing w:val="-3"/>
          <w:sz w:val="24"/>
          <w:szCs w:val="27"/>
          <w:lang w:val="es-ES_tradnl"/>
        </w:rPr>
      </w:pPr>
      <w:r w:rsidRPr="00A4738B">
        <w:rPr>
          <w:rFonts w:ascii="Arial" w:hAnsi="Arial" w:cs="Arial"/>
          <w:b/>
          <w:bCs/>
          <w:spacing w:val="-3"/>
          <w:sz w:val="24"/>
          <w:szCs w:val="27"/>
          <w:lang w:val="es-ES_tradnl"/>
        </w:rPr>
        <w:t>DÉCIMO SÉPTIMO.</w:t>
      </w:r>
      <w:r>
        <w:rPr>
          <w:rFonts w:ascii="Arial" w:hAnsi="Arial" w:cs="Arial"/>
          <w:bCs/>
          <w:spacing w:val="-3"/>
          <w:sz w:val="24"/>
          <w:szCs w:val="27"/>
          <w:lang w:val="es-ES_tradnl"/>
        </w:rPr>
        <w:t xml:space="preserve"> Por acuerdo de fecha cuatro de septiembre de dos mil dieciocho, se tuvo al actor interponiendo recurso de revisión en contra de la sentencia fecha </w:t>
      </w:r>
      <w:r w:rsidR="003022B9">
        <w:rPr>
          <w:rFonts w:ascii="Arial" w:hAnsi="Arial" w:cs="Arial"/>
          <w:bCs/>
          <w:spacing w:val="-3"/>
          <w:sz w:val="24"/>
          <w:szCs w:val="27"/>
          <w:lang w:val="es-ES_tradnl"/>
        </w:rPr>
        <w:t>*****</w:t>
      </w:r>
      <w:r>
        <w:rPr>
          <w:rFonts w:ascii="Arial" w:hAnsi="Arial" w:cs="Arial"/>
          <w:bCs/>
          <w:spacing w:val="-3"/>
          <w:sz w:val="24"/>
          <w:szCs w:val="27"/>
          <w:lang w:val="es-ES_tradnl"/>
        </w:rPr>
        <w:t xml:space="preserve"> de </w:t>
      </w:r>
      <w:r w:rsidR="003022B9">
        <w:rPr>
          <w:rFonts w:ascii="Arial" w:hAnsi="Arial" w:cs="Arial"/>
          <w:bCs/>
          <w:spacing w:val="-3"/>
          <w:sz w:val="24"/>
          <w:szCs w:val="27"/>
          <w:lang w:val="es-ES_tradnl"/>
        </w:rPr>
        <w:t>****</w:t>
      </w:r>
      <w:r>
        <w:rPr>
          <w:rFonts w:ascii="Arial" w:hAnsi="Arial" w:cs="Arial"/>
          <w:bCs/>
          <w:spacing w:val="-3"/>
          <w:sz w:val="24"/>
          <w:szCs w:val="27"/>
          <w:lang w:val="es-ES_tradnl"/>
        </w:rPr>
        <w:t xml:space="preserve"> de dos mi</w:t>
      </w:r>
      <w:r w:rsidR="003022B9">
        <w:rPr>
          <w:rFonts w:ascii="Arial" w:hAnsi="Arial" w:cs="Arial"/>
          <w:bCs/>
          <w:spacing w:val="-3"/>
          <w:sz w:val="24"/>
          <w:szCs w:val="27"/>
          <w:lang w:val="es-ES_tradnl"/>
        </w:rPr>
        <w:t>l *****</w:t>
      </w:r>
      <w:r>
        <w:rPr>
          <w:rFonts w:ascii="Arial" w:hAnsi="Arial" w:cs="Arial"/>
          <w:bCs/>
          <w:spacing w:val="-3"/>
          <w:sz w:val="24"/>
          <w:szCs w:val="27"/>
          <w:lang w:val="es-ES_tradnl"/>
        </w:rPr>
        <w:t>, por lo que se ordenó formar cuaderno por separado para su trámite respectivo.</w:t>
      </w:r>
    </w:p>
    <w:p w14:paraId="24ED7CBB" w14:textId="3B7DDBCC" w:rsidR="008C7447" w:rsidRDefault="00307ED5" w:rsidP="00FD07CE">
      <w:pPr>
        <w:spacing w:line="360" w:lineRule="auto"/>
        <w:ind w:firstLine="567"/>
        <w:jc w:val="both"/>
        <w:rPr>
          <w:rFonts w:ascii="Arial" w:hAnsi="Arial" w:cs="Arial"/>
          <w:bCs/>
          <w:spacing w:val="-3"/>
          <w:sz w:val="24"/>
          <w:szCs w:val="27"/>
          <w:lang w:val="es-ES_tradnl"/>
        </w:rPr>
      </w:pPr>
      <w:r w:rsidRPr="00FD07CE">
        <w:rPr>
          <w:rFonts w:ascii="Arial" w:hAnsi="Arial" w:cs="Arial"/>
          <w:b/>
          <w:bCs/>
          <w:spacing w:val="-3"/>
          <w:sz w:val="24"/>
          <w:szCs w:val="27"/>
          <w:lang w:val="es-ES_tradnl"/>
        </w:rPr>
        <w:lastRenderedPageBreak/>
        <w:t>DÉC</w:t>
      </w:r>
      <w:r w:rsidR="00FD07CE" w:rsidRPr="00FD07CE">
        <w:rPr>
          <w:rFonts w:ascii="Arial" w:hAnsi="Arial" w:cs="Arial"/>
          <w:b/>
          <w:bCs/>
          <w:spacing w:val="-3"/>
          <w:sz w:val="24"/>
          <w:szCs w:val="27"/>
          <w:lang w:val="es-ES_tradnl"/>
        </w:rPr>
        <w:t>IMO OCTAVO.</w:t>
      </w:r>
      <w:r w:rsidR="00FD07CE">
        <w:rPr>
          <w:rFonts w:ascii="Arial" w:hAnsi="Arial" w:cs="Arial"/>
          <w:bCs/>
          <w:spacing w:val="-3"/>
          <w:sz w:val="24"/>
          <w:szCs w:val="27"/>
          <w:lang w:val="es-ES_tradnl"/>
        </w:rPr>
        <w:t xml:space="preserve"> Mediante proveído de fecha doce de septiembre de dos mil diecinueve, se tuvo por recibido un </w:t>
      </w:r>
      <w:r w:rsidR="00E00621">
        <w:rPr>
          <w:rFonts w:ascii="Arial" w:hAnsi="Arial" w:cs="Arial"/>
          <w:bCs/>
          <w:spacing w:val="-3"/>
          <w:sz w:val="24"/>
          <w:szCs w:val="27"/>
          <w:lang w:val="es-ES_tradnl"/>
        </w:rPr>
        <w:t>oficio</w:t>
      </w:r>
      <w:r w:rsidR="00FD07CE">
        <w:rPr>
          <w:rFonts w:ascii="Arial" w:hAnsi="Arial" w:cs="Arial"/>
          <w:bCs/>
          <w:spacing w:val="-3"/>
          <w:sz w:val="24"/>
          <w:szCs w:val="27"/>
          <w:lang w:val="es-ES_tradnl"/>
        </w:rPr>
        <w:t xml:space="preserve"> de la Secretaria General de Acuerdos de este Tribunal, con el cual remitía la resolución de fecha nueve de mayo de dos mil diecinueve, dictada por los integrantes de la Sala Superior, dentro del recurso de revisión número </w:t>
      </w:r>
      <w:r w:rsidR="00FF1B95">
        <w:rPr>
          <w:rFonts w:ascii="Arial" w:hAnsi="Arial" w:cs="Arial"/>
          <w:bCs/>
          <w:spacing w:val="-3"/>
          <w:sz w:val="24"/>
          <w:szCs w:val="27"/>
          <w:lang w:val="es-ES_tradnl"/>
        </w:rPr>
        <w:t>*****</w:t>
      </w:r>
      <w:r w:rsidR="00FD07CE">
        <w:rPr>
          <w:rFonts w:ascii="Arial" w:hAnsi="Arial" w:cs="Arial"/>
          <w:bCs/>
          <w:spacing w:val="-3"/>
          <w:sz w:val="24"/>
          <w:szCs w:val="27"/>
          <w:lang w:val="es-ES_tradnl"/>
        </w:rPr>
        <w:t>, por ello y en atención al cumplimiento ahí ordenado, se ordenó nuevamente turnar el expediente para el dictado de la sentencia</w:t>
      </w:r>
      <w:r w:rsidR="00555D1C" w:rsidRPr="009C0C09">
        <w:rPr>
          <w:rFonts w:ascii="Arial" w:hAnsi="Arial" w:cs="Arial"/>
          <w:bCs/>
          <w:spacing w:val="-3"/>
          <w:sz w:val="24"/>
          <w:szCs w:val="27"/>
          <w:lang w:val="es-ES_tradnl"/>
        </w:rPr>
        <w:t>,</w:t>
      </w:r>
      <w:r w:rsidR="000D4CD0">
        <w:rPr>
          <w:rFonts w:ascii="Arial" w:hAnsi="Arial" w:cs="Arial"/>
          <w:bCs/>
          <w:spacing w:val="-3"/>
          <w:sz w:val="24"/>
          <w:szCs w:val="27"/>
          <w:lang w:val="es-ES_tradnl"/>
        </w:rPr>
        <w:t xml:space="preserve"> y;</w:t>
      </w:r>
      <w:r w:rsidR="00990285">
        <w:rPr>
          <w:rFonts w:ascii="Arial" w:hAnsi="Arial" w:cs="Arial"/>
          <w:bCs/>
          <w:spacing w:val="-3"/>
          <w:sz w:val="24"/>
          <w:szCs w:val="27"/>
          <w:lang w:val="es-ES_tradnl"/>
        </w:rPr>
        <w:t xml:space="preserve"> </w:t>
      </w:r>
    </w:p>
    <w:p w14:paraId="258CE6C0" w14:textId="0C9E459F" w:rsidR="00102315" w:rsidRDefault="00102315" w:rsidP="00537F3C">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3860ADD8" w14:textId="77777777" w:rsidR="00F05BB5" w:rsidRDefault="00102315" w:rsidP="00537F3C">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003E0CBC">
        <w:rPr>
          <w:rFonts w:ascii="Arial" w:hAnsi="Arial" w:cs="Arial"/>
          <w:b/>
          <w:sz w:val="24"/>
          <w:szCs w:val="27"/>
        </w:rPr>
        <w:t>-</w:t>
      </w:r>
      <w:r w:rsidRPr="009C0C09">
        <w:rPr>
          <w:rFonts w:ascii="Arial" w:hAnsi="Arial" w:cs="Arial"/>
          <w:b/>
          <w:sz w:val="24"/>
          <w:szCs w:val="27"/>
        </w:rPr>
        <w:t xml:space="preserve"> </w:t>
      </w:r>
      <w:r w:rsidR="00884123" w:rsidRPr="00346EA0">
        <w:rPr>
          <w:rFonts w:ascii="Arial" w:hAnsi="Arial" w:cs="Arial"/>
          <w:sz w:val="24"/>
          <w:szCs w:val="24"/>
        </w:rPr>
        <w:t xml:space="preserve">Esta Segunda Sala Unitaria de Primera Instancia del Tribunal de Justicia Administrativa del Estado de Oaxaca, es competente para conocer y resolver el presente juicio, con fundamento en </w:t>
      </w:r>
      <w:r w:rsidR="00F05BB5">
        <w:rPr>
          <w:rFonts w:ascii="Arial" w:hAnsi="Arial" w:cs="Arial"/>
          <w:sz w:val="24"/>
          <w:szCs w:val="24"/>
        </w:rPr>
        <w:t>los</w:t>
      </w:r>
      <w:r w:rsidR="00884123" w:rsidRPr="00346EA0">
        <w:rPr>
          <w:rFonts w:ascii="Arial" w:hAnsi="Arial" w:cs="Arial"/>
          <w:sz w:val="24"/>
          <w:szCs w:val="24"/>
        </w:rPr>
        <w:t xml:space="preserve"> artículo</w:t>
      </w:r>
      <w:r w:rsidR="00F05BB5">
        <w:rPr>
          <w:rFonts w:ascii="Arial" w:hAnsi="Arial" w:cs="Arial"/>
          <w:sz w:val="24"/>
          <w:szCs w:val="24"/>
        </w:rPr>
        <w:t>s</w:t>
      </w:r>
      <w:r w:rsidR="00884123" w:rsidRPr="00346EA0">
        <w:rPr>
          <w:rFonts w:ascii="Arial" w:hAnsi="Arial" w:cs="Arial"/>
          <w:sz w:val="24"/>
          <w:szCs w:val="24"/>
        </w:rPr>
        <w:t xml:space="preserve"> 114 QUATER de la Constitución Política del Estado Libre y Soberano de Oaxaca</w:t>
      </w:r>
      <w:r w:rsidR="00F05BB5">
        <w:rPr>
          <w:rFonts w:ascii="Arial" w:hAnsi="Arial" w:cs="Arial"/>
          <w:sz w:val="24"/>
          <w:szCs w:val="24"/>
        </w:rPr>
        <w:t xml:space="preserve">; </w:t>
      </w:r>
      <w:r w:rsidR="00884123" w:rsidRPr="00346EA0">
        <w:rPr>
          <w:rFonts w:ascii="Arial" w:hAnsi="Arial" w:cs="Arial"/>
          <w:sz w:val="24"/>
          <w:szCs w:val="24"/>
        </w:rPr>
        <w:t>81, 82, fracción IV, 84, 92, y 96 de la Ley de Justicia Administrativa para el Estado de Oaxaca</w:t>
      </w:r>
      <w:r w:rsidR="00F05BB5">
        <w:rPr>
          <w:rFonts w:ascii="Arial" w:hAnsi="Arial" w:cs="Arial"/>
          <w:sz w:val="24"/>
          <w:szCs w:val="24"/>
        </w:rPr>
        <w:t>;</w:t>
      </w:r>
      <w:r w:rsidR="00884123" w:rsidRPr="00346EA0">
        <w:rPr>
          <w:rFonts w:ascii="Arial" w:hAnsi="Arial" w:cs="Arial"/>
          <w:sz w:val="24"/>
          <w:szCs w:val="24"/>
        </w:rPr>
        <w:t xml:space="preserve"> Quinto Transitorio de la Ley de Procedimiento y Justicia Administrativa para el Estado de Oaxaca, publicada en el Periódico Oficial</w:t>
      </w:r>
      <w:r w:rsidR="00F05BB5">
        <w:rPr>
          <w:rFonts w:ascii="Arial" w:hAnsi="Arial" w:cs="Arial"/>
          <w:sz w:val="24"/>
          <w:szCs w:val="24"/>
        </w:rPr>
        <w:t>,</w:t>
      </w:r>
      <w:r w:rsidR="00884123" w:rsidRPr="00346EA0">
        <w:rPr>
          <w:rFonts w:ascii="Arial" w:hAnsi="Arial" w:cs="Arial"/>
          <w:sz w:val="24"/>
          <w:szCs w:val="24"/>
        </w:rPr>
        <w:t xml:space="preserve"> el día veinte de octubre de dos mil diecisiete</w:t>
      </w:r>
      <w:r w:rsidR="00F05BB5">
        <w:rPr>
          <w:rFonts w:ascii="Arial" w:hAnsi="Arial" w:cs="Arial"/>
          <w:sz w:val="24"/>
          <w:szCs w:val="24"/>
        </w:rPr>
        <w:t>,</w:t>
      </w:r>
      <w:r w:rsidR="00884123" w:rsidRPr="00346EA0">
        <w:rPr>
          <w:rFonts w:ascii="Arial" w:hAnsi="Arial" w:cs="Arial"/>
          <w:sz w:val="24"/>
          <w:szCs w:val="24"/>
        </w:rPr>
        <w:t xml:space="preserve"> mediante Decreto número 702</w:t>
      </w:r>
      <w:r w:rsidR="00F05BB5">
        <w:rPr>
          <w:rFonts w:ascii="Arial" w:hAnsi="Arial" w:cs="Arial"/>
          <w:sz w:val="24"/>
          <w:szCs w:val="24"/>
        </w:rPr>
        <w:t>,</w:t>
      </w:r>
      <w:r w:rsidR="00884123" w:rsidRPr="00346EA0">
        <w:rPr>
          <w:rFonts w:ascii="Arial" w:hAnsi="Arial" w:cs="Arial"/>
          <w:sz w:val="24"/>
          <w:szCs w:val="24"/>
        </w:rPr>
        <w:t xml:space="preserve"> por la Sexagésima Tercera Legislatura Constitucional del Estado Libre y Soberano de Oaxaca</w:t>
      </w:r>
      <w:r w:rsidR="008C1AC1" w:rsidRPr="009C0C09">
        <w:rPr>
          <w:rFonts w:ascii="Arial" w:hAnsi="Arial" w:cs="Arial"/>
          <w:sz w:val="24"/>
          <w:szCs w:val="27"/>
        </w:rPr>
        <w:t>.</w:t>
      </w:r>
    </w:p>
    <w:p w14:paraId="7618BB7A" w14:textId="05F52EA4" w:rsidR="0043159F" w:rsidRPr="003D4753" w:rsidRDefault="008C1AC1" w:rsidP="00A51120">
      <w:pPr>
        <w:tabs>
          <w:tab w:val="right" w:pos="8931"/>
        </w:tabs>
        <w:spacing w:line="360" w:lineRule="auto"/>
        <w:ind w:right="-234" w:firstLine="567"/>
        <w:jc w:val="both"/>
        <w:rPr>
          <w:rFonts w:ascii="Arial" w:hAnsi="Arial" w:cs="Arial"/>
          <w:sz w:val="24"/>
          <w:szCs w:val="24"/>
        </w:rPr>
      </w:pPr>
      <w:r w:rsidRPr="009C0C09">
        <w:rPr>
          <w:rFonts w:ascii="Arial" w:hAnsi="Arial" w:cs="Arial"/>
          <w:sz w:val="24"/>
          <w:szCs w:val="27"/>
        </w:rPr>
        <w:t xml:space="preserve"> </w:t>
      </w:r>
      <w:r w:rsidR="00102315" w:rsidRPr="009C0C09">
        <w:rPr>
          <w:rFonts w:ascii="Arial" w:hAnsi="Arial" w:cs="Arial"/>
          <w:b/>
          <w:snapToGrid w:val="0"/>
          <w:sz w:val="24"/>
          <w:szCs w:val="27"/>
        </w:rPr>
        <w:t>SEGUN</w:t>
      </w:r>
      <w:r w:rsidR="009E6F49" w:rsidRPr="009C0C09">
        <w:rPr>
          <w:rFonts w:ascii="Arial" w:hAnsi="Arial" w:cs="Arial"/>
          <w:b/>
          <w:snapToGrid w:val="0"/>
          <w:sz w:val="24"/>
          <w:szCs w:val="27"/>
        </w:rPr>
        <w:t>DO.</w:t>
      </w:r>
      <w:r w:rsidR="00102315" w:rsidRPr="009C0C09">
        <w:rPr>
          <w:rFonts w:ascii="Arial" w:hAnsi="Arial" w:cs="Arial"/>
          <w:b/>
          <w:snapToGrid w:val="0"/>
          <w:sz w:val="24"/>
          <w:szCs w:val="27"/>
        </w:rPr>
        <w:t xml:space="preserve"> </w:t>
      </w:r>
      <w:r w:rsidR="008C64A7">
        <w:rPr>
          <w:rFonts w:ascii="Arial" w:hAnsi="Arial" w:cs="Arial"/>
          <w:bCs/>
          <w:snapToGrid w:val="0"/>
          <w:sz w:val="24"/>
          <w:szCs w:val="24"/>
        </w:rPr>
        <w:t>La personalidad de la parte actora</w:t>
      </w:r>
      <w:r w:rsidR="007409F2" w:rsidRPr="007409F2">
        <w:rPr>
          <w:rFonts w:ascii="Arial" w:hAnsi="Arial" w:cs="Arial"/>
          <w:bCs/>
          <w:snapToGrid w:val="0"/>
          <w:sz w:val="24"/>
          <w:szCs w:val="24"/>
        </w:rPr>
        <w:t xml:space="preserve"> quedó acreditada en autos en términos </w:t>
      </w:r>
      <w:r w:rsidR="008C64A7">
        <w:rPr>
          <w:rFonts w:ascii="Arial" w:hAnsi="Arial" w:cs="Arial"/>
          <w:bCs/>
          <w:snapToGrid w:val="0"/>
          <w:sz w:val="24"/>
          <w:szCs w:val="24"/>
        </w:rPr>
        <w:t xml:space="preserve">del artículo 117 </w:t>
      </w:r>
      <w:r w:rsidR="00884123" w:rsidRPr="00F12439">
        <w:rPr>
          <w:rFonts w:ascii="Arial" w:hAnsi="Arial" w:cs="Arial"/>
          <w:bCs/>
          <w:snapToGrid w:val="0"/>
          <w:sz w:val="24"/>
          <w:szCs w:val="24"/>
        </w:rPr>
        <w:t>de la Ley de Justicia Administ</w:t>
      </w:r>
      <w:r w:rsidR="00884123">
        <w:rPr>
          <w:rFonts w:ascii="Arial" w:hAnsi="Arial" w:cs="Arial"/>
          <w:bCs/>
          <w:snapToGrid w:val="0"/>
          <w:sz w:val="24"/>
          <w:szCs w:val="24"/>
        </w:rPr>
        <w:t>rativa para el Estado de Oaxaca</w:t>
      </w:r>
      <w:r w:rsidR="0043159F">
        <w:rPr>
          <w:rFonts w:ascii="Arial" w:hAnsi="Arial" w:cs="Arial"/>
          <w:sz w:val="24"/>
          <w:szCs w:val="24"/>
        </w:rPr>
        <w:t>.</w:t>
      </w:r>
      <w:r w:rsidR="00A25DCD">
        <w:rPr>
          <w:rFonts w:ascii="Arial" w:hAnsi="Arial" w:cs="Arial"/>
          <w:sz w:val="24"/>
          <w:szCs w:val="24"/>
        </w:rPr>
        <w:t xml:space="preserve"> </w:t>
      </w:r>
      <w:r w:rsidR="00775C51">
        <w:rPr>
          <w:rFonts w:ascii="Arial" w:hAnsi="Arial" w:cs="Arial"/>
          <w:sz w:val="24"/>
          <w:szCs w:val="24"/>
        </w:rPr>
        <w:t xml:space="preserve">Por su parte, </w:t>
      </w:r>
      <w:r w:rsidR="00A25DCD">
        <w:rPr>
          <w:rFonts w:ascii="Arial" w:hAnsi="Arial" w:cs="Arial"/>
          <w:sz w:val="24"/>
          <w:szCs w:val="24"/>
        </w:rPr>
        <w:t>la autoridad demandada</w:t>
      </w:r>
      <w:r w:rsidR="003D4753" w:rsidRPr="00857F52">
        <w:rPr>
          <w:rFonts w:ascii="Arial" w:hAnsi="Arial" w:cs="Arial"/>
          <w:sz w:val="24"/>
          <w:szCs w:val="24"/>
        </w:rPr>
        <w:t xml:space="preserve">, con fundamento en el artículo 153 segundo párrafo de la Ley de la Materia, se le tuvo por contestando la demanda en sentido afirmativo. </w:t>
      </w:r>
    </w:p>
    <w:p w14:paraId="288B18AB" w14:textId="7F150FBB" w:rsidR="00582368" w:rsidRDefault="003E0CBC" w:rsidP="00582368">
      <w:pPr>
        <w:spacing w:line="360" w:lineRule="auto"/>
        <w:ind w:firstLine="567"/>
        <w:jc w:val="both"/>
        <w:rPr>
          <w:rFonts w:ascii="Arial" w:hAnsi="Arial" w:cs="Arial"/>
          <w:bCs/>
          <w:snapToGrid w:val="0"/>
          <w:sz w:val="24"/>
          <w:szCs w:val="27"/>
        </w:rPr>
      </w:pPr>
      <w:r>
        <w:rPr>
          <w:rFonts w:ascii="Arial" w:hAnsi="Arial" w:cs="Arial"/>
          <w:b/>
          <w:snapToGrid w:val="0"/>
          <w:sz w:val="24"/>
          <w:szCs w:val="27"/>
        </w:rPr>
        <w:t>TERCERO</w:t>
      </w:r>
      <w:r w:rsidR="00FD0735">
        <w:rPr>
          <w:rFonts w:ascii="Arial" w:hAnsi="Arial" w:cs="Arial"/>
          <w:b/>
          <w:sz w:val="24"/>
          <w:szCs w:val="24"/>
        </w:rPr>
        <w:t>.</w:t>
      </w:r>
      <w:r w:rsidR="00FE12EE">
        <w:rPr>
          <w:rFonts w:ascii="Arial" w:hAnsi="Arial" w:cs="Arial"/>
          <w:b/>
          <w:sz w:val="24"/>
          <w:szCs w:val="24"/>
        </w:rPr>
        <w:t xml:space="preserve"> </w:t>
      </w:r>
      <w:r w:rsidR="00FE12EE" w:rsidRPr="00FE12EE">
        <w:rPr>
          <w:rFonts w:ascii="Arial" w:hAnsi="Arial" w:cs="Arial"/>
          <w:bCs/>
          <w:sz w:val="24"/>
          <w:szCs w:val="24"/>
        </w:rPr>
        <w:t>P</w:t>
      </w:r>
      <w:r w:rsidR="007409F2" w:rsidRPr="007409F2">
        <w:rPr>
          <w:rFonts w:ascii="Arial" w:hAnsi="Arial" w:cs="Arial"/>
          <w:sz w:val="24"/>
          <w:szCs w:val="24"/>
        </w:rPr>
        <w:t>or cuestión de método se procede a analizar, si en la especie se actualiza alguna causal de improcedencia del juicio de nulidad, que se advierta oficiosamente que impida la resolución del fondo del asunto y debiera declararse su sobreseimiento,</w:t>
      </w:r>
      <w:r w:rsidR="00C2065B">
        <w:rPr>
          <w:rFonts w:ascii="Arial" w:hAnsi="Arial" w:cs="Arial"/>
          <w:sz w:val="24"/>
          <w:szCs w:val="24"/>
        </w:rPr>
        <w:t xml:space="preserve"> en términos de los artículos 131 y 13</w:t>
      </w:r>
      <w:r w:rsidR="007409F2" w:rsidRPr="007409F2">
        <w:rPr>
          <w:rFonts w:ascii="Arial" w:hAnsi="Arial" w:cs="Arial"/>
          <w:sz w:val="24"/>
          <w:szCs w:val="24"/>
        </w:rPr>
        <w:t xml:space="preserve">2 de la Ley de Justicia Administrativa para el Estado de Oaxaca. </w:t>
      </w:r>
      <w:r w:rsidR="00582368" w:rsidRPr="007409F2">
        <w:rPr>
          <w:rFonts w:ascii="Arial" w:hAnsi="Arial" w:cs="Arial"/>
          <w:sz w:val="24"/>
          <w:szCs w:val="24"/>
        </w:rPr>
        <w:t xml:space="preserve">Esta </w:t>
      </w:r>
      <w:r w:rsidR="00582368">
        <w:rPr>
          <w:rFonts w:ascii="Arial" w:hAnsi="Arial" w:cs="Arial"/>
          <w:sz w:val="24"/>
          <w:szCs w:val="24"/>
        </w:rPr>
        <w:t>Segunda</w:t>
      </w:r>
      <w:r w:rsidR="00582368" w:rsidRPr="007409F2">
        <w:rPr>
          <w:rFonts w:ascii="Arial" w:hAnsi="Arial" w:cs="Arial"/>
          <w:sz w:val="24"/>
          <w:szCs w:val="24"/>
        </w:rPr>
        <w:t xml:space="preserve"> Sala, advierte que no se configura alguna causal de impro</w:t>
      </w:r>
      <w:r w:rsidR="00E574E0">
        <w:rPr>
          <w:rFonts w:ascii="Arial" w:hAnsi="Arial" w:cs="Arial"/>
          <w:sz w:val="24"/>
          <w:szCs w:val="24"/>
        </w:rPr>
        <w:t>cedencia o sobreseimiento por</w:t>
      </w:r>
      <w:r w:rsidR="00582368" w:rsidRPr="007409F2">
        <w:rPr>
          <w:rFonts w:ascii="Arial" w:hAnsi="Arial" w:cs="Arial"/>
          <w:sz w:val="24"/>
          <w:szCs w:val="24"/>
        </w:rPr>
        <w:t xml:space="preserve"> tanto, </w:t>
      </w:r>
      <w:r w:rsidR="00582368" w:rsidRPr="00721FC5">
        <w:rPr>
          <w:rFonts w:ascii="Arial" w:hAnsi="Arial" w:cs="Arial"/>
          <w:b/>
          <w:sz w:val="24"/>
          <w:szCs w:val="24"/>
        </w:rPr>
        <w:t>NO SE SOBRESEE EL PRESENTE JUICIO</w:t>
      </w:r>
      <w:r w:rsidR="00582368">
        <w:rPr>
          <w:rFonts w:ascii="Arial" w:hAnsi="Arial" w:cs="Arial"/>
          <w:bCs/>
          <w:snapToGrid w:val="0"/>
          <w:sz w:val="24"/>
          <w:szCs w:val="27"/>
        </w:rPr>
        <w:t>.</w:t>
      </w:r>
    </w:p>
    <w:p w14:paraId="23431432" w14:textId="15A54A4B" w:rsidR="003F2515" w:rsidRDefault="00070FF6" w:rsidP="00537F3C">
      <w:pPr>
        <w:spacing w:line="360" w:lineRule="auto"/>
        <w:ind w:firstLine="567"/>
        <w:jc w:val="both"/>
        <w:rPr>
          <w:rFonts w:ascii="Arial" w:hAnsi="Arial" w:cs="Arial"/>
          <w:bCs/>
          <w:snapToGrid w:val="0"/>
          <w:sz w:val="24"/>
          <w:szCs w:val="27"/>
        </w:rPr>
      </w:pPr>
      <w:r w:rsidRPr="00070FF6">
        <w:rPr>
          <w:rFonts w:ascii="Arial" w:hAnsi="Arial" w:cs="Arial"/>
          <w:b/>
          <w:bCs/>
          <w:snapToGrid w:val="0"/>
          <w:sz w:val="24"/>
          <w:szCs w:val="27"/>
        </w:rPr>
        <w:t>CUARTO.</w:t>
      </w:r>
      <w:r>
        <w:rPr>
          <w:rFonts w:ascii="Arial" w:hAnsi="Arial" w:cs="Arial"/>
          <w:bCs/>
          <w:snapToGrid w:val="0"/>
          <w:sz w:val="24"/>
          <w:szCs w:val="27"/>
        </w:rPr>
        <w:t xml:space="preserve"> </w:t>
      </w:r>
      <w:r w:rsidR="003F2515">
        <w:rPr>
          <w:rFonts w:ascii="Arial" w:hAnsi="Arial" w:cs="Arial"/>
          <w:bCs/>
          <w:snapToGrid w:val="0"/>
          <w:sz w:val="24"/>
          <w:szCs w:val="27"/>
        </w:rPr>
        <w:t>El h</w:t>
      </w:r>
      <w:r w:rsidR="00ED4A77">
        <w:rPr>
          <w:rFonts w:ascii="Arial" w:hAnsi="Arial" w:cs="Arial"/>
          <w:bCs/>
          <w:snapToGrid w:val="0"/>
          <w:sz w:val="24"/>
          <w:szCs w:val="27"/>
        </w:rPr>
        <w:t xml:space="preserve">oy accionante </w:t>
      </w:r>
      <w:r w:rsidR="003F2515">
        <w:rPr>
          <w:rFonts w:ascii="Arial" w:hAnsi="Arial" w:cs="Arial"/>
          <w:bCs/>
          <w:snapToGrid w:val="0"/>
          <w:sz w:val="24"/>
          <w:szCs w:val="27"/>
        </w:rPr>
        <w:t xml:space="preserve">en </w:t>
      </w:r>
      <w:r w:rsidR="002366C5">
        <w:rPr>
          <w:rFonts w:ascii="Arial" w:hAnsi="Arial" w:cs="Arial"/>
          <w:bCs/>
          <w:snapToGrid w:val="0"/>
          <w:sz w:val="24"/>
          <w:szCs w:val="27"/>
        </w:rPr>
        <w:t>su concepto</w:t>
      </w:r>
      <w:r w:rsidR="00715B46">
        <w:rPr>
          <w:rFonts w:ascii="Arial" w:hAnsi="Arial" w:cs="Arial"/>
          <w:bCs/>
          <w:snapToGrid w:val="0"/>
          <w:sz w:val="24"/>
          <w:szCs w:val="27"/>
        </w:rPr>
        <w:t xml:space="preserve"> de impugnaci</w:t>
      </w:r>
      <w:r w:rsidR="00ED2F3A">
        <w:rPr>
          <w:rFonts w:ascii="Arial" w:hAnsi="Arial" w:cs="Arial"/>
          <w:bCs/>
          <w:snapToGrid w:val="0"/>
          <w:sz w:val="24"/>
          <w:szCs w:val="27"/>
        </w:rPr>
        <w:t xml:space="preserve">ón PRIMERO </w:t>
      </w:r>
      <w:r w:rsidR="00715B46">
        <w:rPr>
          <w:rFonts w:ascii="Arial" w:hAnsi="Arial" w:cs="Arial"/>
          <w:bCs/>
          <w:snapToGrid w:val="0"/>
          <w:sz w:val="24"/>
          <w:szCs w:val="27"/>
        </w:rPr>
        <w:t>en términos del artículo 176 de la Ley de Justicia Administrativa para el Estado de Oaxaca</w:t>
      </w:r>
      <w:r w:rsidR="00ED2F3A">
        <w:rPr>
          <w:rFonts w:ascii="Arial" w:hAnsi="Arial" w:cs="Arial"/>
          <w:bCs/>
          <w:snapToGrid w:val="0"/>
          <w:sz w:val="24"/>
          <w:szCs w:val="27"/>
        </w:rPr>
        <w:t>,</w:t>
      </w:r>
      <w:r w:rsidR="00715B46">
        <w:rPr>
          <w:rFonts w:ascii="Arial" w:hAnsi="Arial" w:cs="Arial"/>
          <w:bCs/>
          <w:snapToGrid w:val="0"/>
          <w:sz w:val="24"/>
          <w:szCs w:val="27"/>
        </w:rPr>
        <w:t xml:space="preserve"> </w:t>
      </w:r>
      <w:r w:rsidR="003F2515">
        <w:rPr>
          <w:rFonts w:ascii="Arial" w:hAnsi="Arial" w:cs="Arial"/>
          <w:bCs/>
          <w:snapToGrid w:val="0"/>
          <w:sz w:val="24"/>
          <w:szCs w:val="27"/>
        </w:rPr>
        <w:t>manifiesta que</w:t>
      </w:r>
      <w:r w:rsidR="006B5F38">
        <w:rPr>
          <w:rFonts w:ascii="Arial" w:hAnsi="Arial" w:cs="Arial"/>
          <w:bCs/>
          <w:snapToGrid w:val="0"/>
          <w:sz w:val="24"/>
          <w:szCs w:val="27"/>
        </w:rPr>
        <w:t xml:space="preserve"> dentro del acto reclamado consistente en el acuerdo de fecha </w:t>
      </w:r>
      <w:r w:rsidR="002F1049">
        <w:rPr>
          <w:rFonts w:ascii="Arial" w:hAnsi="Arial" w:cs="Arial"/>
          <w:bCs/>
          <w:snapToGrid w:val="0"/>
          <w:sz w:val="24"/>
          <w:szCs w:val="27"/>
        </w:rPr>
        <w:t>*****</w:t>
      </w:r>
      <w:r w:rsidR="006B5F38">
        <w:rPr>
          <w:rFonts w:ascii="Arial" w:hAnsi="Arial" w:cs="Arial"/>
          <w:bCs/>
          <w:snapToGrid w:val="0"/>
          <w:sz w:val="24"/>
          <w:szCs w:val="27"/>
        </w:rPr>
        <w:t xml:space="preserve"> de </w:t>
      </w:r>
      <w:r w:rsidR="002F1049">
        <w:rPr>
          <w:rFonts w:ascii="Arial" w:hAnsi="Arial" w:cs="Arial"/>
          <w:bCs/>
          <w:snapToGrid w:val="0"/>
          <w:sz w:val="24"/>
          <w:szCs w:val="27"/>
        </w:rPr>
        <w:t>*****</w:t>
      </w:r>
      <w:r w:rsidR="006B5F38">
        <w:rPr>
          <w:rFonts w:ascii="Arial" w:hAnsi="Arial" w:cs="Arial"/>
          <w:bCs/>
          <w:snapToGrid w:val="0"/>
          <w:sz w:val="24"/>
          <w:szCs w:val="27"/>
        </w:rPr>
        <w:t xml:space="preserve"> de dos mil </w:t>
      </w:r>
      <w:r w:rsidR="002F1049">
        <w:rPr>
          <w:rFonts w:ascii="Arial" w:hAnsi="Arial" w:cs="Arial"/>
          <w:bCs/>
          <w:snapToGrid w:val="0"/>
          <w:sz w:val="24"/>
          <w:szCs w:val="27"/>
        </w:rPr>
        <w:t>****</w:t>
      </w:r>
      <w:r w:rsidR="00A36C6F">
        <w:rPr>
          <w:rFonts w:ascii="Arial" w:hAnsi="Arial" w:cs="Arial"/>
          <w:bCs/>
          <w:snapToGrid w:val="0"/>
          <w:sz w:val="24"/>
          <w:szCs w:val="27"/>
        </w:rPr>
        <w:t>,</w:t>
      </w:r>
      <w:r w:rsidR="006B5F38">
        <w:rPr>
          <w:rFonts w:ascii="Arial" w:hAnsi="Arial" w:cs="Arial"/>
          <w:bCs/>
          <w:snapToGrid w:val="0"/>
          <w:sz w:val="24"/>
          <w:szCs w:val="27"/>
        </w:rPr>
        <w:t xml:space="preserve"> dentro del cuaderno de antecedentes número </w:t>
      </w:r>
      <w:r w:rsidR="002F1049">
        <w:rPr>
          <w:rFonts w:ascii="Arial" w:hAnsi="Arial" w:cs="Arial"/>
          <w:bCs/>
          <w:snapToGrid w:val="0"/>
          <w:sz w:val="24"/>
          <w:szCs w:val="27"/>
        </w:rPr>
        <w:t>*****</w:t>
      </w:r>
      <w:r w:rsidR="00A36C6F">
        <w:rPr>
          <w:rFonts w:ascii="Arial" w:hAnsi="Arial" w:cs="Arial"/>
          <w:bCs/>
          <w:snapToGrid w:val="0"/>
          <w:sz w:val="24"/>
          <w:szCs w:val="27"/>
        </w:rPr>
        <w:t>,</w:t>
      </w:r>
      <w:r w:rsidR="006B5F38">
        <w:rPr>
          <w:rFonts w:ascii="Arial" w:hAnsi="Arial" w:cs="Arial"/>
          <w:bCs/>
          <w:snapToGrid w:val="0"/>
          <w:sz w:val="24"/>
          <w:szCs w:val="27"/>
        </w:rPr>
        <w:t xml:space="preserve"> del índice de la Unidad Jurídica adscrita a la Comisaría General de Seguridad Pública y Vialidad Municipal del Ayuntamie</w:t>
      </w:r>
      <w:r w:rsidR="00DF4E34">
        <w:rPr>
          <w:rFonts w:ascii="Arial" w:hAnsi="Arial" w:cs="Arial"/>
          <w:bCs/>
          <w:snapToGrid w:val="0"/>
          <w:sz w:val="24"/>
          <w:szCs w:val="27"/>
        </w:rPr>
        <w:t>nto de Oaxaca de Juárez, Oaxaca</w:t>
      </w:r>
      <w:r w:rsidR="006B5F38">
        <w:rPr>
          <w:rFonts w:ascii="Arial" w:hAnsi="Arial" w:cs="Arial"/>
          <w:bCs/>
          <w:snapToGrid w:val="0"/>
          <w:sz w:val="24"/>
          <w:szCs w:val="27"/>
        </w:rPr>
        <w:t xml:space="preserve"> </w:t>
      </w:r>
      <w:r w:rsidR="007B293B">
        <w:rPr>
          <w:rFonts w:ascii="Arial" w:hAnsi="Arial" w:cs="Arial"/>
          <w:bCs/>
          <w:snapToGrid w:val="0"/>
          <w:sz w:val="24"/>
          <w:szCs w:val="27"/>
        </w:rPr>
        <w:t>(</w:t>
      </w:r>
      <w:r w:rsidR="006B5F38">
        <w:rPr>
          <w:rFonts w:ascii="Arial" w:hAnsi="Arial" w:cs="Arial"/>
          <w:bCs/>
          <w:snapToGrid w:val="0"/>
          <w:sz w:val="24"/>
          <w:szCs w:val="27"/>
        </w:rPr>
        <w:t>foja 126</w:t>
      </w:r>
      <w:r w:rsidR="007B293B">
        <w:rPr>
          <w:rFonts w:ascii="Arial" w:hAnsi="Arial" w:cs="Arial"/>
          <w:bCs/>
          <w:snapToGrid w:val="0"/>
          <w:sz w:val="24"/>
          <w:szCs w:val="27"/>
        </w:rPr>
        <w:t>)</w:t>
      </w:r>
      <w:r w:rsidR="006B5F38">
        <w:rPr>
          <w:rFonts w:ascii="Arial" w:hAnsi="Arial" w:cs="Arial"/>
          <w:bCs/>
          <w:snapToGrid w:val="0"/>
          <w:sz w:val="24"/>
          <w:szCs w:val="27"/>
        </w:rPr>
        <w:t xml:space="preserve">, documental que adquiere valor probatorio pleno en términos del artículo 173 fracción I de la Ley de Justicia Administrativa para el Estado de Oaxaca, hace mención </w:t>
      </w:r>
      <w:r w:rsidR="000958C9">
        <w:rPr>
          <w:rFonts w:ascii="Arial" w:hAnsi="Arial" w:cs="Arial"/>
          <w:bCs/>
          <w:snapToGrid w:val="0"/>
          <w:sz w:val="24"/>
          <w:szCs w:val="27"/>
        </w:rPr>
        <w:t xml:space="preserve">que resulta ilegal la notificación de dicho acuerdo, toda vez que el citatorio </w:t>
      </w:r>
      <w:r w:rsidR="000958C9">
        <w:rPr>
          <w:rFonts w:ascii="Arial" w:hAnsi="Arial" w:cs="Arial"/>
          <w:bCs/>
          <w:snapToGrid w:val="0"/>
          <w:sz w:val="24"/>
          <w:szCs w:val="27"/>
        </w:rPr>
        <w:lastRenderedPageBreak/>
        <w:t xml:space="preserve">de fecha </w:t>
      </w:r>
      <w:r w:rsidR="00583E06">
        <w:rPr>
          <w:rFonts w:ascii="Arial" w:hAnsi="Arial" w:cs="Arial"/>
          <w:bCs/>
          <w:iCs/>
          <w:sz w:val="24"/>
          <w:szCs w:val="24"/>
        </w:rPr>
        <w:t>***** de ***** de *****</w:t>
      </w:r>
      <w:r w:rsidR="00BE3B7C">
        <w:rPr>
          <w:rFonts w:ascii="Arial" w:hAnsi="Arial" w:cs="Arial"/>
          <w:bCs/>
          <w:snapToGrid w:val="0"/>
          <w:sz w:val="24"/>
          <w:szCs w:val="27"/>
        </w:rPr>
        <w:t>,</w:t>
      </w:r>
      <w:r w:rsidR="00AC1F05">
        <w:rPr>
          <w:rFonts w:ascii="Arial" w:hAnsi="Arial" w:cs="Arial"/>
          <w:bCs/>
          <w:snapToGrid w:val="0"/>
          <w:sz w:val="24"/>
          <w:szCs w:val="27"/>
        </w:rPr>
        <w:t xml:space="preserve"> así como la notificación por instructivo de fecha </w:t>
      </w:r>
      <w:r w:rsidR="00583E06">
        <w:rPr>
          <w:rFonts w:ascii="Arial" w:hAnsi="Arial" w:cs="Arial"/>
          <w:bCs/>
          <w:iCs/>
          <w:sz w:val="24"/>
          <w:szCs w:val="24"/>
        </w:rPr>
        <w:t>***** de ***** de *****</w:t>
      </w:r>
      <w:r w:rsidR="00AC1F05">
        <w:rPr>
          <w:rFonts w:ascii="Arial" w:hAnsi="Arial" w:cs="Arial"/>
          <w:bCs/>
          <w:snapToGrid w:val="0"/>
          <w:sz w:val="24"/>
          <w:szCs w:val="27"/>
        </w:rPr>
        <w:t>,</w:t>
      </w:r>
      <w:r w:rsidR="000958C9">
        <w:rPr>
          <w:rFonts w:ascii="Arial" w:hAnsi="Arial" w:cs="Arial"/>
          <w:bCs/>
          <w:snapToGrid w:val="0"/>
          <w:sz w:val="24"/>
          <w:szCs w:val="27"/>
        </w:rPr>
        <w:t xml:space="preserve"> no contempla</w:t>
      </w:r>
      <w:r w:rsidR="00AC1F05">
        <w:rPr>
          <w:rFonts w:ascii="Arial" w:hAnsi="Arial" w:cs="Arial"/>
          <w:bCs/>
          <w:snapToGrid w:val="0"/>
          <w:sz w:val="24"/>
          <w:szCs w:val="27"/>
        </w:rPr>
        <w:t>n</w:t>
      </w:r>
      <w:r w:rsidR="000958C9">
        <w:rPr>
          <w:rFonts w:ascii="Arial" w:hAnsi="Arial" w:cs="Arial"/>
          <w:bCs/>
          <w:snapToGrid w:val="0"/>
          <w:sz w:val="24"/>
          <w:szCs w:val="27"/>
        </w:rPr>
        <w:t xml:space="preserve"> los </w:t>
      </w:r>
      <w:r w:rsidR="00AC1F05">
        <w:rPr>
          <w:rFonts w:ascii="Arial" w:hAnsi="Arial" w:cs="Arial"/>
          <w:bCs/>
          <w:snapToGrid w:val="0"/>
          <w:sz w:val="24"/>
          <w:szCs w:val="27"/>
        </w:rPr>
        <w:t>requisitos</w:t>
      </w:r>
      <w:r w:rsidR="000958C9">
        <w:rPr>
          <w:rFonts w:ascii="Arial" w:hAnsi="Arial" w:cs="Arial"/>
          <w:bCs/>
          <w:snapToGrid w:val="0"/>
          <w:sz w:val="24"/>
          <w:szCs w:val="27"/>
        </w:rPr>
        <w:t xml:space="preserve"> legales necesarios para</w:t>
      </w:r>
      <w:r w:rsidR="00AC1F05">
        <w:rPr>
          <w:rFonts w:ascii="Arial" w:hAnsi="Arial" w:cs="Arial"/>
          <w:bCs/>
          <w:snapToGrid w:val="0"/>
          <w:sz w:val="24"/>
          <w:szCs w:val="27"/>
        </w:rPr>
        <w:t xml:space="preserve"> su validez.</w:t>
      </w:r>
    </w:p>
    <w:p w14:paraId="7EC22D25" w14:textId="5E233DC0" w:rsidR="00207BD0" w:rsidRDefault="00207BD0" w:rsidP="00537F3C">
      <w:pPr>
        <w:spacing w:line="360" w:lineRule="auto"/>
        <w:ind w:firstLine="567"/>
        <w:jc w:val="both"/>
        <w:rPr>
          <w:rFonts w:ascii="Arial" w:hAnsi="Arial" w:cs="Arial"/>
          <w:bCs/>
          <w:snapToGrid w:val="0"/>
          <w:sz w:val="24"/>
          <w:szCs w:val="27"/>
        </w:rPr>
      </w:pPr>
      <w:r>
        <w:rPr>
          <w:rFonts w:ascii="Arial" w:hAnsi="Arial" w:cs="Arial"/>
          <w:bCs/>
          <w:snapToGrid w:val="0"/>
          <w:sz w:val="24"/>
          <w:szCs w:val="27"/>
        </w:rPr>
        <w:t>Ahora,</w:t>
      </w:r>
      <w:r w:rsidR="00CD0281">
        <w:rPr>
          <w:rFonts w:ascii="Arial" w:hAnsi="Arial" w:cs="Arial"/>
          <w:bCs/>
          <w:snapToGrid w:val="0"/>
          <w:sz w:val="24"/>
          <w:szCs w:val="27"/>
        </w:rPr>
        <w:t xml:space="preserve"> debe decirse que lo solicitado por la accionante resulta ineficaz e improcedente, ya que primeramente </w:t>
      </w:r>
      <w:r w:rsidR="00C65FBF">
        <w:rPr>
          <w:rFonts w:ascii="Arial" w:hAnsi="Arial" w:cs="Arial"/>
          <w:bCs/>
          <w:snapToGrid w:val="0"/>
          <w:sz w:val="24"/>
          <w:szCs w:val="27"/>
        </w:rPr>
        <w:t xml:space="preserve">debe puntualizarse que el acto de notificación comprendido desde la cita de espera de fecha </w:t>
      </w:r>
      <w:r w:rsidR="00AD08CD">
        <w:rPr>
          <w:rFonts w:ascii="Arial" w:hAnsi="Arial" w:cs="Arial"/>
          <w:bCs/>
          <w:iCs/>
          <w:sz w:val="24"/>
          <w:szCs w:val="24"/>
        </w:rPr>
        <w:t>***** de ***** de *****</w:t>
      </w:r>
      <w:r w:rsidR="00C65FBF">
        <w:rPr>
          <w:rFonts w:ascii="Arial" w:hAnsi="Arial" w:cs="Arial"/>
          <w:bCs/>
          <w:snapToGrid w:val="0"/>
          <w:sz w:val="24"/>
          <w:szCs w:val="27"/>
        </w:rPr>
        <w:t xml:space="preserve">, así como la notificación hecha por instructivo de fecha </w:t>
      </w:r>
      <w:r w:rsidR="00AD08CD">
        <w:rPr>
          <w:rFonts w:ascii="Arial" w:hAnsi="Arial" w:cs="Arial"/>
          <w:bCs/>
          <w:iCs/>
          <w:sz w:val="24"/>
          <w:szCs w:val="24"/>
        </w:rPr>
        <w:t>***** de ***** de *****</w:t>
      </w:r>
      <w:r w:rsidR="00C65FBF">
        <w:rPr>
          <w:rFonts w:ascii="Arial" w:hAnsi="Arial" w:cs="Arial"/>
          <w:bCs/>
          <w:snapToGrid w:val="0"/>
          <w:sz w:val="24"/>
          <w:szCs w:val="27"/>
        </w:rPr>
        <w:t xml:space="preserve">, no fueron mencionados como acto reclamado en su escrito inicial de demanda (fojas </w:t>
      </w:r>
      <w:r w:rsidR="00B667A8">
        <w:rPr>
          <w:rFonts w:ascii="Arial" w:hAnsi="Arial" w:cs="Arial"/>
          <w:bCs/>
          <w:snapToGrid w:val="0"/>
          <w:sz w:val="24"/>
          <w:szCs w:val="27"/>
        </w:rPr>
        <w:t>22 a 34)</w:t>
      </w:r>
      <w:r w:rsidR="00805849">
        <w:rPr>
          <w:rFonts w:ascii="Arial" w:hAnsi="Arial" w:cs="Arial"/>
          <w:bCs/>
          <w:snapToGrid w:val="0"/>
          <w:sz w:val="24"/>
          <w:szCs w:val="27"/>
        </w:rPr>
        <w:t xml:space="preserve">, señalando únicamente como acto impugnado </w:t>
      </w:r>
      <w:r w:rsidR="00032735">
        <w:rPr>
          <w:rFonts w:ascii="Arial" w:hAnsi="Arial" w:cs="Arial"/>
          <w:bCs/>
          <w:snapToGrid w:val="0"/>
          <w:sz w:val="24"/>
          <w:szCs w:val="27"/>
        </w:rPr>
        <w:t xml:space="preserve">el acuerdo de fecha </w:t>
      </w:r>
      <w:r w:rsidR="002F1049">
        <w:rPr>
          <w:rFonts w:ascii="Arial" w:hAnsi="Arial" w:cs="Arial"/>
          <w:bCs/>
          <w:snapToGrid w:val="0"/>
          <w:sz w:val="24"/>
          <w:szCs w:val="27"/>
        </w:rPr>
        <w:t>****</w:t>
      </w:r>
      <w:r w:rsidR="00032735">
        <w:rPr>
          <w:rFonts w:ascii="Arial" w:hAnsi="Arial" w:cs="Arial"/>
          <w:bCs/>
          <w:snapToGrid w:val="0"/>
          <w:sz w:val="24"/>
          <w:szCs w:val="27"/>
        </w:rPr>
        <w:t xml:space="preserve"> de </w:t>
      </w:r>
      <w:r w:rsidR="002F1049">
        <w:rPr>
          <w:rFonts w:ascii="Arial" w:hAnsi="Arial" w:cs="Arial"/>
          <w:bCs/>
          <w:snapToGrid w:val="0"/>
          <w:sz w:val="24"/>
          <w:szCs w:val="27"/>
        </w:rPr>
        <w:t>****</w:t>
      </w:r>
      <w:r w:rsidR="00032735">
        <w:rPr>
          <w:rFonts w:ascii="Arial" w:hAnsi="Arial" w:cs="Arial"/>
          <w:bCs/>
          <w:snapToGrid w:val="0"/>
          <w:sz w:val="24"/>
          <w:szCs w:val="27"/>
        </w:rPr>
        <w:t xml:space="preserve"> de dos mil </w:t>
      </w:r>
      <w:r w:rsidR="002F1049">
        <w:rPr>
          <w:rFonts w:ascii="Arial" w:hAnsi="Arial" w:cs="Arial"/>
          <w:bCs/>
          <w:snapToGrid w:val="0"/>
          <w:sz w:val="24"/>
          <w:szCs w:val="27"/>
        </w:rPr>
        <w:t>*****</w:t>
      </w:r>
      <w:r w:rsidR="00032735">
        <w:rPr>
          <w:rFonts w:ascii="Arial" w:hAnsi="Arial" w:cs="Arial"/>
          <w:bCs/>
          <w:snapToGrid w:val="0"/>
          <w:sz w:val="24"/>
          <w:szCs w:val="27"/>
        </w:rPr>
        <w:t xml:space="preserve">, por ello, la </w:t>
      </w:r>
      <w:r w:rsidR="00032735" w:rsidRPr="002F3688">
        <w:rPr>
          <w:rFonts w:ascii="Arial" w:hAnsi="Arial" w:cs="Arial"/>
          <w:bCs/>
          <w:i/>
          <w:snapToGrid w:val="0"/>
          <w:sz w:val="24"/>
          <w:szCs w:val="27"/>
        </w:rPr>
        <w:t>litis</w:t>
      </w:r>
      <w:r w:rsidR="00032735">
        <w:rPr>
          <w:rFonts w:ascii="Arial" w:hAnsi="Arial" w:cs="Arial"/>
          <w:bCs/>
          <w:snapToGrid w:val="0"/>
          <w:sz w:val="24"/>
          <w:szCs w:val="27"/>
        </w:rPr>
        <w:t xml:space="preserve"> únicamente versa sobre la legalidad o ilegalidad del referido acuerdo, no así sobre la notificación del mismo.</w:t>
      </w:r>
      <w:r w:rsidR="00B2760A">
        <w:rPr>
          <w:rFonts w:ascii="Arial" w:hAnsi="Arial" w:cs="Arial"/>
          <w:bCs/>
          <w:snapToGrid w:val="0"/>
          <w:sz w:val="24"/>
          <w:szCs w:val="27"/>
        </w:rPr>
        <w:t xml:space="preserve"> </w:t>
      </w:r>
    </w:p>
    <w:p w14:paraId="28F8C6F0" w14:textId="4845A057" w:rsidR="005B1E80" w:rsidRDefault="005B1E80" w:rsidP="009E60EC">
      <w:pPr>
        <w:spacing w:line="360" w:lineRule="auto"/>
        <w:ind w:firstLine="567"/>
        <w:jc w:val="both"/>
        <w:rPr>
          <w:rFonts w:ascii="Arial" w:hAnsi="Arial" w:cs="Arial"/>
          <w:bCs/>
          <w:snapToGrid w:val="0"/>
          <w:sz w:val="24"/>
          <w:szCs w:val="27"/>
        </w:rPr>
      </w:pPr>
      <w:r>
        <w:rPr>
          <w:rFonts w:ascii="Arial" w:hAnsi="Arial" w:cs="Arial"/>
          <w:bCs/>
          <w:snapToGrid w:val="0"/>
          <w:sz w:val="24"/>
          <w:szCs w:val="27"/>
        </w:rPr>
        <w:t xml:space="preserve">Derivado de lo anterior, los argumentos vertidos en el concepto de impugnación PRIMERO resultan </w:t>
      </w:r>
      <w:r w:rsidRPr="005B1E80">
        <w:rPr>
          <w:rFonts w:ascii="Arial" w:hAnsi="Arial" w:cs="Arial"/>
          <w:b/>
          <w:bCs/>
          <w:snapToGrid w:val="0"/>
          <w:sz w:val="24"/>
          <w:szCs w:val="27"/>
        </w:rPr>
        <w:t>INOPERANTES</w:t>
      </w:r>
      <w:r>
        <w:rPr>
          <w:rFonts w:ascii="Arial" w:hAnsi="Arial" w:cs="Arial"/>
          <w:bCs/>
          <w:snapToGrid w:val="0"/>
          <w:sz w:val="24"/>
          <w:szCs w:val="27"/>
        </w:rPr>
        <w:t>.</w:t>
      </w:r>
    </w:p>
    <w:p w14:paraId="14294398" w14:textId="1C814B6E" w:rsidR="00743255" w:rsidRDefault="00B25FEC" w:rsidP="00743255">
      <w:pPr>
        <w:spacing w:line="360" w:lineRule="auto"/>
        <w:ind w:firstLine="567"/>
        <w:jc w:val="both"/>
        <w:rPr>
          <w:rFonts w:ascii="Arial" w:hAnsi="Arial" w:cs="Arial"/>
          <w:bCs/>
          <w:snapToGrid w:val="0"/>
          <w:sz w:val="24"/>
          <w:szCs w:val="27"/>
        </w:rPr>
      </w:pPr>
      <w:r>
        <w:rPr>
          <w:rFonts w:ascii="Arial" w:hAnsi="Arial" w:cs="Arial"/>
          <w:b/>
          <w:bCs/>
          <w:snapToGrid w:val="0"/>
          <w:sz w:val="24"/>
          <w:szCs w:val="27"/>
        </w:rPr>
        <w:t>QUINTO</w:t>
      </w:r>
      <w:r w:rsidR="005B1E80" w:rsidRPr="005B1E80">
        <w:rPr>
          <w:rFonts w:ascii="Arial" w:hAnsi="Arial" w:cs="Arial"/>
          <w:b/>
          <w:bCs/>
          <w:snapToGrid w:val="0"/>
          <w:sz w:val="24"/>
          <w:szCs w:val="27"/>
        </w:rPr>
        <w:t>.</w:t>
      </w:r>
      <w:r w:rsidR="005B1E80">
        <w:rPr>
          <w:rFonts w:ascii="Arial" w:hAnsi="Arial" w:cs="Arial"/>
          <w:bCs/>
          <w:snapToGrid w:val="0"/>
          <w:sz w:val="24"/>
          <w:szCs w:val="27"/>
        </w:rPr>
        <w:t xml:space="preserve"> Manifiesta el actor en su concepto de impugnación SEGUNDO, que la autoridad </w:t>
      </w:r>
      <w:r w:rsidR="004D7D05">
        <w:rPr>
          <w:rFonts w:ascii="Arial" w:hAnsi="Arial" w:cs="Arial"/>
          <w:bCs/>
          <w:snapToGrid w:val="0"/>
          <w:sz w:val="24"/>
          <w:szCs w:val="27"/>
        </w:rPr>
        <w:t>demandada</w:t>
      </w:r>
      <w:r w:rsidR="005B1E80">
        <w:rPr>
          <w:rFonts w:ascii="Arial" w:hAnsi="Arial" w:cs="Arial"/>
          <w:bCs/>
          <w:snapToGrid w:val="0"/>
          <w:sz w:val="24"/>
          <w:szCs w:val="27"/>
        </w:rPr>
        <w:t xml:space="preserve"> </w:t>
      </w:r>
      <w:r w:rsidR="00743255">
        <w:rPr>
          <w:rFonts w:ascii="Arial" w:hAnsi="Arial" w:cs="Arial"/>
          <w:bCs/>
          <w:snapToGrid w:val="0"/>
          <w:sz w:val="24"/>
          <w:szCs w:val="27"/>
        </w:rPr>
        <w:t xml:space="preserve">vulnera sus derechos, en virtud de que en ningún momento se le ha dado a conocer la resolución o el acto en el que se haya decretado su baja definitiva, en virtud que niega categóricamente que se le haya notificado la resolución de fecha </w:t>
      </w:r>
      <w:r w:rsidR="002F1049">
        <w:rPr>
          <w:rFonts w:ascii="Arial" w:hAnsi="Arial" w:cs="Arial"/>
          <w:bCs/>
          <w:snapToGrid w:val="0"/>
          <w:sz w:val="24"/>
          <w:szCs w:val="27"/>
        </w:rPr>
        <w:t>*****</w:t>
      </w:r>
      <w:r w:rsidR="00743255">
        <w:rPr>
          <w:rFonts w:ascii="Arial" w:hAnsi="Arial" w:cs="Arial"/>
          <w:bCs/>
          <w:snapToGrid w:val="0"/>
          <w:sz w:val="24"/>
          <w:szCs w:val="27"/>
        </w:rPr>
        <w:t xml:space="preserve"> de </w:t>
      </w:r>
      <w:r w:rsidR="002F1049">
        <w:rPr>
          <w:rFonts w:ascii="Arial" w:hAnsi="Arial" w:cs="Arial"/>
          <w:bCs/>
          <w:snapToGrid w:val="0"/>
          <w:sz w:val="24"/>
          <w:szCs w:val="27"/>
        </w:rPr>
        <w:t>*****</w:t>
      </w:r>
      <w:r w:rsidR="00743255">
        <w:rPr>
          <w:rFonts w:ascii="Arial" w:hAnsi="Arial" w:cs="Arial"/>
          <w:bCs/>
          <w:snapToGrid w:val="0"/>
          <w:sz w:val="24"/>
          <w:szCs w:val="27"/>
        </w:rPr>
        <w:t xml:space="preserve"> de dos mil </w:t>
      </w:r>
      <w:r w:rsidR="002F1049">
        <w:rPr>
          <w:rFonts w:ascii="Arial" w:hAnsi="Arial" w:cs="Arial"/>
          <w:bCs/>
          <w:snapToGrid w:val="0"/>
          <w:sz w:val="24"/>
          <w:szCs w:val="27"/>
        </w:rPr>
        <w:t>****</w:t>
      </w:r>
      <w:r w:rsidR="00BE3B7C">
        <w:rPr>
          <w:rFonts w:ascii="Arial" w:hAnsi="Arial" w:cs="Arial"/>
          <w:bCs/>
          <w:snapToGrid w:val="0"/>
          <w:sz w:val="24"/>
          <w:szCs w:val="27"/>
        </w:rPr>
        <w:t>,</w:t>
      </w:r>
      <w:r w:rsidR="00743255">
        <w:rPr>
          <w:rFonts w:ascii="Arial" w:hAnsi="Arial" w:cs="Arial"/>
          <w:bCs/>
          <w:snapToGrid w:val="0"/>
          <w:sz w:val="24"/>
          <w:szCs w:val="27"/>
        </w:rPr>
        <w:t xml:space="preserve"> como lo indica en el acto impugnado.</w:t>
      </w:r>
    </w:p>
    <w:p w14:paraId="1093D4D3" w14:textId="0BD0BE53" w:rsidR="00743255" w:rsidRDefault="00743255" w:rsidP="00743255">
      <w:pPr>
        <w:spacing w:line="360" w:lineRule="auto"/>
        <w:ind w:firstLine="567"/>
        <w:jc w:val="both"/>
        <w:rPr>
          <w:rFonts w:ascii="Arial" w:hAnsi="Arial" w:cs="Arial"/>
          <w:bCs/>
          <w:snapToGrid w:val="0"/>
          <w:sz w:val="24"/>
          <w:szCs w:val="27"/>
        </w:rPr>
      </w:pPr>
      <w:r>
        <w:rPr>
          <w:rFonts w:ascii="Arial" w:hAnsi="Arial" w:cs="Arial"/>
          <w:bCs/>
          <w:snapToGrid w:val="0"/>
          <w:sz w:val="24"/>
          <w:szCs w:val="27"/>
        </w:rPr>
        <w:t xml:space="preserve">Al respecto, </w:t>
      </w:r>
      <w:r w:rsidR="00414B2B">
        <w:rPr>
          <w:rFonts w:ascii="Arial" w:hAnsi="Arial" w:cs="Arial"/>
          <w:bCs/>
          <w:snapToGrid w:val="0"/>
          <w:sz w:val="24"/>
          <w:szCs w:val="27"/>
        </w:rPr>
        <w:t>cabe decir</w:t>
      </w:r>
      <w:r>
        <w:rPr>
          <w:rFonts w:ascii="Arial" w:hAnsi="Arial" w:cs="Arial"/>
          <w:bCs/>
          <w:snapToGrid w:val="0"/>
          <w:sz w:val="24"/>
          <w:szCs w:val="27"/>
        </w:rPr>
        <w:t xml:space="preserve"> que obran en autos el oficio número </w:t>
      </w:r>
      <w:r w:rsidR="00BE27FA">
        <w:rPr>
          <w:rFonts w:ascii="Arial" w:hAnsi="Arial" w:cs="Arial"/>
          <w:bCs/>
          <w:iCs/>
          <w:sz w:val="24"/>
          <w:szCs w:val="24"/>
        </w:rPr>
        <w:t>*****</w:t>
      </w:r>
      <w:r>
        <w:rPr>
          <w:rFonts w:ascii="Arial" w:hAnsi="Arial" w:cs="Arial"/>
          <w:bCs/>
          <w:snapToGrid w:val="0"/>
          <w:sz w:val="24"/>
          <w:szCs w:val="27"/>
        </w:rPr>
        <w:t xml:space="preserve">, de fecha </w:t>
      </w:r>
      <w:r w:rsidR="00BE27FA">
        <w:rPr>
          <w:rFonts w:ascii="Arial" w:hAnsi="Arial" w:cs="Arial"/>
          <w:bCs/>
          <w:iCs/>
          <w:sz w:val="24"/>
          <w:szCs w:val="24"/>
        </w:rPr>
        <w:t xml:space="preserve">***** de ***** de ***** </w:t>
      </w:r>
      <w:r>
        <w:rPr>
          <w:rFonts w:ascii="Arial" w:hAnsi="Arial" w:cs="Arial"/>
          <w:bCs/>
          <w:snapToGrid w:val="0"/>
          <w:sz w:val="24"/>
          <w:szCs w:val="27"/>
        </w:rPr>
        <w:t xml:space="preserve">(foja 131), documental que adquiere valor probatorio pleno en términos del artículo 173 fracción I de la Ley de Justicia Administrativa para el Estado de Oaxaca, </w:t>
      </w:r>
      <w:r w:rsidR="00A80634">
        <w:rPr>
          <w:rFonts w:ascii="Arial" w:hAnsi="Arial" w:cs="Arial"/>
          <w:bCs/>
          <w:snapToGrid w:val="0"/>
          <w:sz w:val="24"/>
          <w:szCs w:val="27"/>
        </w:rPr>
        <w:t>en el que de su contenido se aprecia lo siguiente:</w:t>
      </w:r>
    </w:p>
    <w:p w14:paraId="58890D50" w14:textId="479D4467" w:rsidR="00A80634" w:rsidRDefault="00A80634" w:rsidP="00A80634">
      <w:pPr>
        <w:ind w:left="567"/>
        <w:jc w:val="both"/>
        <w:rPr>
          <w:rFonts w:ascii="Arial" w:hAnsi="Arial" w:cs="Arial"/>
          <w:bCs/>
          <w:i/>
          <w:snapToGrid w:val="0"/>
          <w:sz w:val="24"/>
          <w:szCs w:val="27"/>
        </w:rPr>
      </w:pPr>
      <w:r>
        <w:rPr>
          <w:rFonts w:ascii="Arial" w:hAnsi="Arial" w:cs="Arial"/>
          <w:bCs/>
          <w:i/>
          <w:snapToGrid w:val="0"/>
          <w:sz w:val="24"/>
          <w:szCs w:val="27"/>
        </w:rPr>
        <w:t xml:space="preserve">“Por este medio en cumplimiento a la resolución de fecha </w:t>
      </w:r>
      <w:r w:rsidR="002F1049">
        <w:rPr>
          <w:rFonts w:ascii="Arial" w:hAnsi="Arial" w:cs="Arial"/>
          <w:bCs/>
          <w:i/>
          <w:snapToGrid w:val="0"/>
          <w:sz w:val="24"/>
          <w:szCs w:val="27"/>
        </w:rPr>
        <w:t>*****</w:t>
      </w:r>
      <w:r>
        <w:rPr>
          <w:rFonts w:ascii="Arial" w:hAnsi="Arial" w:cs="Arial"/>
          <w:bCs/>
          <w:i/>
          <w:snapToGrid w:val="0"/>
          <w:sz w:val="24"/>
          <w:szCs w:val="27"/>
        </w:rPr>
        <w:t xml:space="preserve"> de </w:t>
      </w:r>
      <w:r w:rsidR="002F1049">
        <w:rPr>
          <w:rFonts w:ascii="Arial" w:hAnsi="Arial" w:cs="Arial"/>
          <w:bCs/>
          <w:i/>
          <w:snapToGrid w:val="0"/>
          <w:sz w:val="24"/>
          <w:szCs w:val="27"/>
        </w:rPr>
        <w:t>*****</w:t>
      </w:r>
      <w:r>
        <w:rPr>
          <w:rFonts w:ascii="Arial" w:hAnsi="Arial" w:cs="Arial"/>
          <w:bCs/>
          <w:i/>
          <w:snapToGrid w:val="0"/>
          <w:sz w:val="24"/>
          <w:szCs w:val="27"/>
        </w:rPr>
        <w:t xml:space="preserve"> del año en curso y con fundamento en lo dispuesto por los artículos 21, inciso b), in fine, 132, apartado B, fracción XIII, de lo Constitución Federal del País 73 y 74 de la Ley General del Sistema Nacional de Seguridad Pública y 94 del Reglamento de Coordinación General de Seguridad Pública, Tránsito, Transporte y Protección Civil del Municipio de Oaxaca de Juárez, Oaxaca, se le notifica que a partir de esta fecha se ha decretado su </w:t>
      </w:r>
      <w:r w:rsidRPr="00A80634">
        <w:rPr>
          <w:rFonts w:ascii="Arial" w:hAnsi="Arial" w:cs="Arial"/>
          <w:b/>
          <w:bCs/>
          <w:i/>
          <w:snapToGrid w:val="0"/>
          <w:sz w:val="24"/>
          <w:szCs w:val="27"/>
        </w:rPr>
        <w:t>BAJA DEFINITVA</w:t>
      </w:r>
      <w:r>
        <w:rPr>
          <w:rFonts w:ascii="Arial" w:hAnsi="Arial" w:cs="Arial"/>
          <w:bCs/>
          <w:i/>
          <w:snapToGrid w:val="0"/>
          <w:sz w:val="24"/>
          <w:szCs w:val="27"/>
        </w:rPr>
        <w:t>, como policía adscrito a la Comisaría General de Seguridad Pública y Vialidad Municipal, a partir de la legal notificación de la presente, lo anterior en base a las consideraciones planteadas en la resolución que se anexa a la presente.”</w:t>
      </w:r>
    </w:p>
    <w:p w14:paraId="4BBDE755" w14:textId="5D5F6652" w:rsidR="00A80634" w:rsidRDefault="00A80634" w:rsidP="00A80634">
      <w:pPr>
        <w:spacing w:line="360" w:lineRule="auto"/>
        <w:ind w:firstLine="567"/>
        <w:jc w:val="both"/>
        <w:rPr>
          <w:rFonts w:ascii="Arial" w:hAnsi="Arial" w:cs="Arial"/>
          <w:bCs/>
          <w:snapToGrid w:val="0"/>
          <w:sz w:val="24"/>
          <w:szCs w:val="27"/>
        </w:rPr>
      </w:pPr>
      <w:r>
        <w:rPr>
          <w:rFonts w:ascii="Arial" w:hAnsi="Arial" w:cs="Arial"/>
          <w:bCs/>
          <w:snapToGrid w:val="0"/>
          <w:sz w:val="24"/>
          <w:szCs w:val="27"/>
        </w:rPr>
        <w:t xml:space="preserve">Como </w:t>
      </w:r>
      <w:r w:rsidR="00AA72AD">
        <w:rPr>
          <w:rFonts w:ascii="Arial" w:hAnsi="Arial" w:cs="Arial"/>
          <w:bCs/>
          <w:snapToGrid w:val="0"/>
          <w:sz w:val="24"/>
          <w:szCs w:val="27"/>
        </w:rPr>
        <w:t>se pu</w:t>
      </w:r>
      <w:r w:rsidR="00AF24E1">
        <w:rPr>
          <w:rFonts w:ascii="Arial" w:hAnsi="Arial" w:cs="Arial"/>
          <w:bCs/>
          <w:snapToGrid w:val="0"/>
          <w:sz w:val="24"/>
          <w:szCs w:val="27"/>
        </w:rPr>
        <w:t>ede</w:t>
      </w:r>
      <w:r w:rsidR="00AA72AD">
        <w:rPr>
          <w:rFonts w:ascii="Arial" w:hAnsi="Arial" w:cs="Arial"/>
          <w:bCs/>
          <w:snapToGrid w:val="0"/>
          <w:sz w:val="24"/>
          <w:szCs w:val="27"/>
        </w:rPr>
        <w:t xml:space="preserve"> apreciar, en dicha determinación a la que hace referencia el actor, se advierte que se le comunicaba una resolución por la </w:t>
      </w:r>
      <w:r w:rsidR="00E96C5C">
        <w:rPr>
          <w:rFonts w:ascii="Arial" w:hAnsi="Arial" w:cs="Arial"/>
          <w:bCs/>
          <w:snapToGrid w:val="0"/>
          <w:sz w:val="24"/>
          <w:szCs w:val="27"/>
        </w:rPr>
        <w:t>cual se le daba de baja de</w:t>
      </w:r>
      <w:r w:rsidR="00AA72AD">
        <w:rPr>
          <w:rFonts w:ascii="Arial" w:hAnsi="Arial" w:cs="Arial"/>
          <w:bCs/>
          <w:snapToGrid w:val="0"/>
          <w:sz w:val="24"/>
          <w:szCs w:val="27"/>
        </w:rPr>
        <w:t xml:space="preserve"> la corporación policial, resolución que dice nunca haber recibido </w:t>
      </w:r>
      <w:r w:rsidR="00E96C5C">
        <w:rPr>
          <w:rFonts w:ascii="Arial" w:hAnsi="Arial" w:cs="Arial"/>
          <w:bCs/>
          <w:snapToGrid w:val="0"/>
          <w:sz w:val="24"/>
          <w:szCs w:val="27"/>
        </w:rPr>
        <w:t>y</w:t>
      </w:r>
      <w:r w:rsidR="00AA72AD">
        <w:rPr>
          <w:rFonts w:ascii="Arial" w:hAnsi="Arial" w:cs="Arial"/>
          <w:bCs/>
          <w:snapToGrid w:val="0"/>
          <w:sz w:val="24"/>
          <w:szCs w:val="27"/>
        </w:rPr>
        <w:t xml:space="preserve"> men</w:t>
      </w:r>
      <w:r w:rsidR="002121AD">
        <w:rPr>
          <w:rFonts w:ascii="Arial" w:hAnsi="Arial" w:cs="Arial"/>
          <w:bCs/>
          <w:snapToGrid w:val="0"/>
          <w:sz w:val="24"/>
          <w:szCs w:val="27"/>
        </w:rPr>
        <w:t>os que dicho act</w:t>
      </w:r>
      <w:r w:rsidR="00E96C5C">
        <w:rPr>
          <w:rFonts w:ascii="Arial" w:hAnsi="Arial" w:cs="Arial"/>
          <w:bCs/>
          <w:snapToGrid w:val="0"/>
          <w:sz w:val="24"/>
          <w:szCs w:val="27"/>
        </w:rPr>
        <w:t>o haya sido notificado al actor; sin embargo, en dicho acto</w:t>
      </w:r>
      <w:r w:rsidR="002121AD">
        <w:rPr>
          <w:rFonts w:ascii="Arial" w:hAnsi="Arial" w:cs="Arial"/>
          <w:bCs/>
          <w:snapToGrid w:val="0"/>
          <w:sz w:val="24"/>
          <w:szCs w:val="27"/>
        </w:rPr>
        <w:t xml:space="preserve"> esta autoridad jurisdiccional advierte que se encuentra la leyenda </w:t>
      </w:r>
      <w:r w:rsidR="002121AD" w:rsidRPr="002121AD">
        <w:rPr>
          <w:rFonts w:ascii="Arial" w:hAnsi="Arial" w:cs="Arial"/>
          <w:bCs/>
          <w:i/>
          <w:snapToGrid w:val="0"/>
          <w:sz w:val="24"/>
          <w:szCs w:val="27"/>
        </w:rPr>
        <w:t xml:space="preserve">“Recibí notificación </w:t>
      </w:r>
      <w:r w:rsidR="00BE27FA">
        <w:rPr>
          <w:rFonts w:ascii="Arial" w:hAnsi="Arial" w:cs="Arial"/>
          <w:bCs/>
          <w:iCs/>
          <w:sz w:val="24"/>
          <w:szCs w:val="24"/>
        </w:rPr>
        <w:t>***** ***** ***** *****</w:t>
      </w:r>
      <w:r w:rsidR="002121AD" w:rsidRPr="002121AD">
        <w:rPr>
          <w:rFonts w:ascii="Arial" w:hAnsi="Arial" w:cs="Arial"/>
          <w:bCs/>
          <w:i/>
          <w:snapToGrid w:val="0"/>
          <w:sz w:val="24"/>
          <w:szCs w:val="27"/>
        </w:rPr>
        <w:t>”</w:t>
      </w:r>
      <w:r w:rsidR="002121AD">
        <w:rPr>
          <w:rFonts w:ascii="Arial" w:hAnsi="Arial" w:cs="Arial"/>
          <w:bCs/>
          <w:snapToGrid w:val="0"/>
          <w:sz w:val="24"/>
          <w:szCs w:val="27"/>
        </w:rPr>
        <w:t xml:space="preserve">, una firma y la fecha </w:t>
      </w:r>
      <w:r w:rsidR="002121AD" w:rsidRPr="002121AD">
        <w:rPr>
          <w:rFonts w:ascii="Arial" w:hAnsi="Arial" w:cs="Arial"/>
          <w:bCs/>
          <w:i/>
          <w:snapToGrid w:val="0"/>
          <w:sz w:val="24"/>
          <w:szCs w:val="27"/>
        </w:rPr>
        <w:t>“</w:t>
      </w:r>
      <w:r w:rsidR="00BE27FA">
        <w:rPr>
          <w:rFonts w:ascii="Arial" w:hAnsi="Arial" w:cs="Arial"/>
          <w:bCs/>
          <w:iCs/>
          <w:sz w:val="24"/>
          <w:szCs w:val="24"/>
        </w:rPr>
        <w:t>*****</w:t>
      </w:r>
      <w:r w:rsidR="002121AD" w:rsidRPr="002121AD">
        <w:rPr>
          <w:rFonts w:ascii="Arial" w:hAnsi="Arial" w:cs="Arial"/>
          <w:bCs/>
          <w:i/>
          <w:snapToGrid w:val="0"/>
          <w:sz w:val="24"/>
          <w:szCs w:val="27"/>
        </w:rPr>
        <w:t>/</w:t>
      </w:r>
      <w:r w:rsidR="00BE27FA">
        <w:rPr>
          <w:rFonts w:ascii="Arial" w:hAnsi="Arial" w:cs="Arial"/>
          <w:bCs/>
          <w:iCs/>
          <w:sz w:val="24"/>
          <w:szCs w:val="24"/>
        </w:rPr>
        <w:t>*****</w:t>
      </w:r>
      <w:r w:rsidR="002121AD" w:rsidRPr="002121AD">
        <w:rPr>
          <w:rFonts w:ascii="Arial" w:hAnsi="Arial" w:cs="Arial"/>
          <w:bCs/>
          <w:i/>
          <w:snapToGrid w:val="0"/>
          <w:sz w:val="24"/>
          <w:szCs w:val="27"/>
        </w:rPr>
        <w:t>/</w:t>
      </w:r>
      <w:r w:rsidR="00BE27FA">
        <w:rPr>
          <w:rFonts w:ascii="Arial" w:hAnsi="Arial" w:cs="Arial"/>
          <w:bCs/>
          <w:iCs/>
          <w:sz w:val="24"/>
          <w:szCs w:val="24"/>
        </w:rPr>
        <w:t>*****</w:t>
      </w:r>
      <w:r w:rsidR="002121AD" w:rsidRPr="002121AD">
        <w:rPr>
          <w:rFonts w:ascii="Arial" w:hAnsi="Arial" w:cs="Arial"/>
          <w:bCs/>
          <w:i/>
          <w:snapToGrid w:val="0"/>
          <w:sz w:val="24"/>
          <w:szCs w:val="27"/>
        </w:rPr>
        <w:t>”</w:t>
      </w:r>
      <w:r w:rsidR="002121AD">
        <w:rPr>
          <w:rFonts w:ascii="Arial" w:hAnsi="Arial" w:cs="Arial"/>
          <w:bCs/>
          <w:snapToGrid w:val="0"/>
          <w:sz w:val="24"/>
          <w:szCs w:val="27"/>
        </w:rPr>
        <w:t xml:space="preserve">, </w:t>
      </w:r>
      <w:r w:rsidR="00E96C5C">
        <w:rPr>
          <w:rFonts w:ascii="Arial" w:hAnsi="Arial" w:cs="Arial"/>
          <w:bCs/>
          <w:snapToGrid w:val="0"/>
          <w:sz w:val="24"/>
          <w:szCs w:val="27"/>
        </w:rPr>
        <w:t>lo cual pone de manifiesto</w:t>
      </w:r>
      <w:r w:rsidR="002121AD">
        <w:rPr>
          <w:rFonts w:ascii="Arial" w:hAnsi="Arial" w:cs="Arial"/>
          <w:bCs/>
          <w:snapToGrid w:val="0"/>
          <w:sz w:val="24"/>
          <w:szCs w:val="27"/>
        </w:rPr>
        <w:t xml:space="preserve"> que en dicha fecha le fue </w:t>
      </w:r>
      <w:r w:rsidR="00E02949">
        <w:rPr>
          <w:rFonts w:ascii="Arial" w:hAnsi="Arial" w:cs="Arial"/>
          <w:bCs/>
          <w:snapToGrid w:val="0"/>
          <w:sz w:val="24"/>
          <w:szCs w:val="27"/>
        </w:rPr>
        <w:t>notificado el acto de referencia.</w:t>
      </w:r>
    </w:p>
    <w:p w14:paraId="6E0AB504" w14:textId="049B4794" w:rsidR="00FE716E" w:rsidRDefault="00E02949" w:rsidP="002218A2">
      <w:pPr>
        <w:spacing w:line="360" w:lineRule="auto"/>
        <w:ind w:firstLine="567"/>
        <w:jc w:val="both"/>
        <w:rPr>
          <w:rFonts w:ascii="Arial" w:hAnsi="Arial" w:cs="Arial"/>
          <w:bCs/>
          <w:snapToGrid w:val="0"/>
          <w:sz w:val="24"/>
          <w:szCs w:val="27"/>
        </w:rPr>
      </w:pPr>
      <w:r>
        <w:rPr>
          <w:rFonts w:ascii="Arial" w:hAnsi="Arial" w:cs="Arial"/>
          <w:bCs/>
          <w:snapToGrid w:val="0"/>
          <w:sz w:val="24"/>
          <w:szCs w:val="27"/>
        </w:rPr>
        <w:lastRenderedPageBreak/>
        <w:t xml:space="preserve">Derivado de lo anterior, debe decirse que lo solicitado por el accionante resulta </w:t>
      </w:r>
      <w:r w:rsidR="0065591C">
        <w:rPr>
          <w:rFonts w:ascii="Arial" w:hAnsi="Arial" w:cs="Arial"/>
          <w:bCs/>
          <w:snapToGrid w:val="0"/>
          <w:sz w:val="24"/>
          <w:szCs w:val="27"/>
        </w:rPr>
        <w:t xml:space="preserve">infundado, toda vez que como se dejó en evidencia en el párrafo que antecede, </w:t>
      </w:r>
      <w:r w:rsidR="00FD7520">
        <w:rPr>
          <w:rFonts w:ascii="Arial" w:hAnsi="Arial" w:cs="Arial"/>
          <w:bCs/>
          <w:snapToGrid w:val="0"/>
          <w:sz w:val="24"/>
          <w:szCs w:val="27"/>
        </w:rPr>
        <w:t xml:space="preserve">en el oficio número </w:t>
      </w:r>
      <w:r w:rsidR="0041669C">
        <w:rPr>
          <w:rFonts w:ascii="Arial" w:hAnsi="Arial" w:cs="Arial"/>
          <w:bCs/>
          <w:iCs/>
          <w:sz w:val="24"/>
          <w:szCs w:val="24"/>
        </w:rPr>
        <w:t>*****</w:t>
      </w:r>
      <w:r w:rsidR="00FD7520">
        <w:rPr>
          <w:rFonts w:ascii="Arial" w:hAnsi="Arial" w:cs="Arial"/>
          <w:bCs/>
          <w:snapToGrid w:val="0"/>
          <w:sz w:val="24"/>
          <w:szCs w:val="27"/>
        </w:rPr>
        <w:t xml:space="preserve">, de fecha </w:t>
      </w:r>
      <w:r w:rsidR="0041669C">
        <w:rPr>
          <w:rFonts w:ascii="Arial" w:hAnsi="Arial" w:cs="Arial"/>
          <w:bCs/>
          <w:iCs/>
          <w:sz w:val="24"/>
          <w:szCs w:val="24"/>
        </w:rPr>
        <w:t>***** de ***** de *****</w:t>
      </w:r>
      <w:r w:rsidR="000C72D1">
        <w:rPr>
          <w:rFonts w:ascii="Arial" w:hAnsi="Arial" w:cs="Arial"/>
          <w:bCs/>
          <w:snapToGrid w:val="0"/>
          <w:sz w:val="24"/>
          <w:szCs w:val="27"/>
        </w:rPr>
        <w:t>,</w:t>
      </w:r>
      <w:r w:rsidR="00FD7520">
        <w:rPr>
          <w:rFonts w:ascii="Arial" w:hAnsi="Arial" w:cs="Arial"/>
          <w:bCs/>
          <w:snapToGrid w:val="0"/>
          <w:sz w:val="24"/>
          <w:szCs w:val="27"/>
        </w:rPr>
        <w:t xml:space="preserve"> si obra firma autógrafa de la recepción y por ende notificación del mismo, en el que se presume que acompañaba el anexo consistente en la resolución por la cual se decretó su ba</w:t>
      </w:r>
      <w:r w:rsidR="00B56798">
        <w:rPr>
          <w:rFonts w:ascii="Arial" w:hAnsi="Arial" w:cs="Arial"/>
          <w:bCs/>
          <w:snapToGrid w:val="0"/>
          <w:sz w:val="24"/>
          <w:szCs w:val="27"/>
        </w:rPr>
        <w:t>ja definitiva, en ese tenor, dicho acto se presume legal, surtiendo los efectos correspondientes,  por lo que si el accionante</w:t>
      </w:r>
      <w:r w:rsidR="00B56798" w:rsidRPr="00D1733C">
        <w:rPr>
          <w:rFonts w:ascii="Arial" w:hAnsi="Arial" w:cs="Arial"/>
          <w:bCs/>
          <w:snapToGrid w:val="0"/>
          <w:sz w:val="24"/>
          <w:szCs w:val="27"/>
        </w:rPr>
        <w:t xml:space="preserve"> consideraba que la firma ahí contenida era falsa o bien no era autógrafa, debió haber objetado dicho documento, ofreciendo la prueba </w:t>
      </w:r>
      <w:r w:rsidR="000C72D1">
        <w:rPr>
          <w:rFonts w:ascii="Arial" w:hAnsi="Arial" w:cs="Arial"/>
          <w:bCs/>
          <w:snapToGrid w:val="0"/>
          <w:sz w:val="24"/>
          <w:szCs w:val="27"/>
        </w:rPr>
        <w:t>idónea</w:t>
      </w:r>
      <w:r w:rsidR="00B56798" w:rsidRPr="00D1733C">
        <w:rPr>
          <w:rFonts w:ascii="Arial" w:hAnsi="Arial" w:cs="Arial"/>
          <w:bCs/>
          <w:snapToGrid w:val="0"/>
          <w:sz w:val="24"/>
          <w:szCs w:val="27"/>
        </w:rPr>
        <w:t xml:space="preserve"> para tal efecto, como lo pudo haber sido la pericial en </w:t>
      </w:r>
      <w:r w:rsidR="002218A2">
        <w:rPr>
          <w:rFonts w:ascii="Arial" w:hAnsi="Arial" w:cs="Arial"/>
          <w:bCs/>
          <w:snapToGrid w:val="0"/>
          <w:sz w:val="24"/>
          <w:szCs w:val="27"/>
        </w:rPr>
        <w:t>grafoscopia</w:t>
      </w:r>
      <w:r w:rsidR="00B56798" w:rsidRPr="00D1733C">
        <w:rPr>
          <w:rFonts w:ascii="Arial" w:hAnsi="Arial" w:cs="Arial"/>
          <w:bCs/>
          <w:snapToGrid w:val="0"/>
          <w:sz w:val="24"/>
          <w:szCs w:val="27"/>
        </w:rPr>
        <w:t>, de modo que se llegara al conocimiento</w:t>
      </w:r>
      <w:r w:rsidR="00B56798">
        <w:rPr>
          <w:rFonts w:ascii="Arial" w:hAnsi="Arial" w:cs="Arial"/>
          <w:bCs/>
          <w:snapToGrid w:val="0"/>
          <w:sz w:val="24"/>
          <w:szCs w:val="27"/>
        </w:rPr>
        <w:t xml:space="preserve"> objetivo</w:t>
      </w:r>
      <w:r w:rsidR="00B56798" w:rsidRPr="00D1733C">
        <w:rPr>
          <w:rFonts w:ascii="Arial" w:hAnsi="Arial" w:cs="Arial"/>
          <w:bCs/>
          <w:snapToGrid w:val="0"/>
          <w:sz w:val="24"/>
          <w:szCs w:val="27"/>
        </w:rPr>
        <w:t xml:space="preserve"> sobre la vera</w:t>
      </w:r>
      <w:r w:rsidR="002218A2">
        <w:rPr>
          <w:rFonts w:ascii="Arial" w:hAnsi="Arial" w:cs="Arial"/>
          <w:bCs/>
          <w:snapToGrid w:val="0"/>
          <w:sz w:val="24"/>
          <w:szCs w:val="27"/>
        </w:rPr>
        <w:t>c</w:t>
      </w:r>
      <w:r w:rsidR="003F08C2">
        <w:rPr>
          <w:rFonts w:ascii="Arial" w:hAnsi="Arial" w:cs="Arial"/>
          <w:bCs/>
          <w:snapToGrid w:val="0"/>
          <w:sz w:val="24"/>
          <w:szCs w:val="27"/>
        </w:rPr>
        <w:t>idad o falsedad de dicha firma.</w:t>
      </w:r>
    </w:p>
    <w:p w14:paraId="562B1DB8" w14:textId="584A8096" w:rsidR="00FE716E" w:rsidRDefault="00FE716E" w:rsidP="00FE716E">
      <w:pPr>
        <w:spacing w:line="360" w:lineRule="auto"/>
        <w:ind w:firstLine="567"/>
        <w:jc w:val="both"/>
        <w:rPr>
          <w:rFonts w:ascii="Arial" w:hAnsi="Arial" w:cs="Arial"/>
          <w:sz w:val="24"/>
          <w:szCs w:val="24"/>
        </w:rPr>
      </w:pPr>
      <w:r>
        <w:rPr>
          <w:rFonts w:ascii="Arial" w:hAnsi="Arial" w:cs="Arial"/>
          <w:sz w:val="24"/>
          <w:szCs w:val="24"/>
        </w:rPr>
        <w:t>Sirve de sustento</w:t>
      </w:r>
      <w:r w:rsidR="003F08C2">
        <w:rPr>
          <w:rFonts w:ascii="Arial" w:hAnsi="Arial" w:cs="Arial"/>
          <w:sz w:val="24"/>
          <w:szCs w:val="24"/>
        </w:rPr>
        <w:t xml:space="preserve"> a lo expresando en el párrafo que antecede,</w:t>
      </w:r>
      <w:r>
        <w:rPr>
          <w:rFonts w:ascii="Arial" w:hAnsi="Arial" w:cs="Arial"/>
          <w:sz w:val="24"/>
          <w:szCs w:val="24"/>
        </w:rPr>
        <w:t xml:space="preserve"> la jurisprudencia número </w:t>
      </w:r>
      <w:r w:rsidRPr="002218A2">
        <w:rPr>
          <w:rFonts w:ascii="Arial" w:hAnsi="Arial" w:cs="Arial"/>
          <w:sz w:val="24"/>
          <w:szCs w:val="24"/>
        </w:rPr>
        <w:t>III.2o.C. J/17</w:t>
      </w:r>
      <w:r w:rsidR="003F08C2">
        <w:rPr>
          <w:rFonts w:ascii="Arial" w:hAnsi="Arial" w:cs="Arial"/>
          <w:sz w:val="24"/>
          <w:szCs w:val="24"/>
        </w:rPr>
        <w:t>,</w:t>
      </w:r>
      <w:r>
        <w:rPr>
          <w:rFonts w:ascii="Arial" w:hAnsi="Arial" w:cs="Arial"/>
          <w:sz w:val="24"/>
          <w:szCs w:val="24"/>
        </w:rPr>
        <w:t xml:space="preserve"> con número de registro </w:t>
      </w:r>
      <w:r w:rsidRPr="002218A2">
        <w:rPr>
          <w:rFonts w:ascii="Arial" w:hAnsi="Arial" w:cs="Arial"/>
          <w:sz w:val="24"/>
          <w:szCs w:val="24"/>
        </w:rPr>
        <w:t>186011</w:t>
      </w:r>
      <w:r>
        <w:rPr>
          <w:rFonts w:ascii="Arial" w:hAnsi="Arial" w:cs="Arial"/>
          <w:sz w:val="24"/>
          <w:szCs w:val="24"/>
        </w:rPr>
        <w:t xml:space="preserve">, por los </w:t>
      </w:r>
      <w:r w:rsidRPr="002218A2">
        <w:rPr>
          <w:rFonts w:ascii="Arial" w:hAnsi="Arial" w:cs="Arial"/>
          <w:sz w:val="24"/>
          <w:szCs w:val="24"/>
        </w:rPr>
        <w:t>Tribunales Colegiados de Circuito</w:t>
      </w:r>
      <w:r>
        <w:rPr>
          <w:rFonts w:ascii="Arial" w:hAnsi="Arial" w:cs="Arial"/>
          <w:sz w:val="24"/>
          <w:szCs w:val="24"/>
        </w:rPr>
        <w:t xml:space="preserve">, en el </w:t>
      </w:r>
      <w:r w:rsidRPr="002218A2">
        <w:rPr>
          <w:rFonts w:ascii="Arial" w:hAnsi="Arial" w:cs="Arial"/>
          <w:sz w:val="24"/>
          <w:szCs w:val="24"/>
        </w:rPr>
        <w:t>Semanario Judicial de la Federación y su Gaceta</w:t>
      </w:r>
      <w:r>
        <w:rPr>
          <w:rFonts w:ascii="Arial" w:hAnsi="Arial" w:cs="Arial"/>
          <w:sz w:val="24"/>
          <w:szCs w:val="24"/>
        </w:rPr>
        <w:t xml:space="preserve">, </w:t>
      </w:r>
      <w:r w:rsidRPr="002218A2">
        <w:rPr>
          <w:rFonts w:ascii="Arial" w:hAnsi="Arial" w:cs="Arial"/>
          <w:sz w:val="24"/>
          <w:szCs w:val="24"/>
        </w:rPr>
        <w:t>Tomo XVI, Septiembre de 2002</w:t>
      </w:r>
      <w:r>
        <w:rPr>
          <w:rFonts w:ascii="Arial" w:hAnsi="Arial" w:cs="Arial"/>
          <w:sz w:val="24"/>
          <w:szCs w:val="24"/>
        </w:rPr>
        <w:t>, página 1269, Novena Época, bajo el rubro y texto siguiente:</w:t>
      </w:r>
    </w:p>
    <w:p w14:paraId="4F1FF0BD" w14:textId="45250B01" w:rsidR="00FE716E" w:rsidRPr="00FE716E" w:rsidRDefault="00020CD8" w:rsidP="00FE716E">
      <w:pPr>
        <w:ind w:left="567"/>
        <w:jc w:val="both"/>
        <w:rPr>
          <w:rFonts w:ascii="Arial" w:hAnsi="Arial" w:cs="Arial"/>
          <w:bCs/>
          <w:i/>
          <w:snapToGrid w:val="0"/>
          <w:sz w:val="24"/>
          <w:szCs w:val="27"/>
        </w:rPr>
      </w:pPr>
      <w:r>
        <w:rPr>
          <w:rFonts w:ascii="Arial" w:hAnsi="Arial" w:cs="Arial"/>
          <w:b/>
          <w:bCs/>
          <w:i/>
          <w:snapToGrid w:val="0"/>
          <w:sz w:val="24"/>
          <w:szCs w:val="27"/>
        </w:rPr>
        <w:t>“</w:t>
      </w:r>
      <w:r w:rsidR="00FE716E" w:rsidRPr="00FE716E">
        <w:rPr>
          <w:rFonts w:ascii="Arial" w:hAnsi="Arial" w:cs="Arial"/>
          <w:b/>
          <w:bCs/>
          <w:i/>
          <w:snapToGrid w:val="0"/>
          <w:sz w:val="24"/>
          <w:szCs w:val="27"/>
        </w:rPr>
        <w:t>FIRMA, PARA DETERMINAR SU AUTENTICIDAD SE REQUIERE PRUEBA PERICIAL GRAFOSCÓPICA.</w:t>
      </w:r>
      <w:r w:rsidR="00FE716E" w:rsidRPr="00FE716E">
        <w:rPr>
          <w:rFonts w:ascii="Arial" w:hAnsi="Arial" w:cs="Arial"/>
          <w:bCs/>
          <w:i/>
          <w:snapToGrid w:val="0"/>
          <w:sz w:val="24"/>
          <w:szCs w:val="27"/>
        </w:rPr>
        <w:t xml:space="preserve"> Para determinar en un procedimiento judicial si la firma impugnada de falsa es o no original de una persona (autógrafa), no basta la simple comparación con otra atribuida a la misma mano que realice el juzgador, sino que es necesario llevar a cabo la verificación de su falsedad o autenticidad mediante prueba pericial grafoscópica que se aporte al sumario, ya que aunque la diferencia en la forma pudiera resaltarse con una mera observación superficial, mediante la prueba señalada se puede determinar si fue estampada por la persona a quien se considera autora, o bien, por otra distinta.</w:t>
      </w:r>
      <w:r>
        <w:rPr>
          <w:rFonts w:ascii="Arial" w:hAnsi="Arial" w:cs="Arial"/>
          <w:bCs/>
          <w:i/>
          <w:snapToGrid w:val="0"/>
          <w:sz w:val="24"/>
          <w:szCs w:val="27"/>
        </w:rPr>
        <w:t>”</w:t>
      </w:r>
    </w:p>
    <w:p w14:paraId="29116882" w14:textId="68903A46" w:rsidR="0065591C" w:rsidRDefault="00FE716E" w:rsidP="002218A2">
      <w:pPr>
        <w:spacing w:line="360" w:lineRule="auto"/>
        <w:ind w:firstLine="567"/>
        <w:jc w:val="both"/>
        <w:rPr>
          <w:rFonts w:ascii="Arial" w:hAnsi="Arial" w:cs="Arial"/>
          <w:sz w:val="24"/>
          <w:szCs w:val="24"/>
        </w:rPr>
      </w:pPr>
      <w:r>
        <w:rPr>
          <w:rFonts w:ascii="Arial" w:hAnsi="Arial" w:cs="Arial"/>
          <w:bCs/>
          <w:snapToGrid w:val="0"/>
          <w:sz w:val="24"/>
          <w:szCs w:val="27"/>
        </w:rPr>
        <w:t>Ahora, si bien es cierto que</w:t>
      </w:r>
      <w:r w:rsidR="002218A2">
        <w:rPr>
          <w:rFonts w:ascii="Arial" w:hAnsi="Arial" w:cs="Arial"/>
          <w:bCs/>
          <w:snapToGrid w:val="0"/>
          <w:sz w:val="24"/>
          <w:szCs w:val="27"/>
        </w:rPr>
        <w:t xml:space="preserve"> el actor negó los hechos, al obrar documental en lo que se demostraba lo contrario a lo manifestado por el actor, </w:t>
      </w:r>
      <w:r w:rsidR="002218A2">
        <w:rPr>
          <w:rFonts w:ascii="Arial" w:hAnsi="Arial" w:cs="Arial"/>
          <w:sz w:val="24"/>
          <w:szCs w:val="24"/>
        </w:rPr>
        <w:t xml:space="preserve">atento a los principios lógicos y ontológicos que rigen los principios probatorios, específicamente el principio ontológico que reza: </w:t>
      </w:r>
      <w:r w:rsidR="002218A2">
        <w:rPr>
          <w:rFonts w:ascii="Arial" w:hAnsi="Arial" w:cs="Arial"/>
          <w:i/>
          <w:sz w:val="24"/>
          <w:szCs w:val="24"/>
        </w:rPr>
        <w:t>“lo ordinario se presume, lo extraordinario se prueba”</w:t>
      </w:r>
      <w:r w:rsidR="002218A2">
        <w:rPr>
          <w:rFonts w:ascii="Arial" w:hAnsi="Arial" w:cs="Arial"/>
          <w:sz w:val="24"/>
          <w:szCs w:val="24"/>
        </w:rPr>
        <w:t>, el actor tenía la carga probatoria de ofrecer cualquier medio probatorio pertinente encaminado a corroborar que efectivamente no había sido notificado y que el documento que obra en autos resultase ap</w:t>
      </w:r>
      <w:r w:rsidR="00E144A0">
        <w:rPr>
          <w:rFonts w:ascii="Arial" w:hAnsi="Arial" w:cs="Arial"/>
          <w:sz w:val="24"/>
          <w:szCs w:val="24"/>
        </w:rPr>
        <w:t>ócri</w:t>
      </w:r>
      <w:r w:rsidR="0089794D">
        <w:rPr>
          <w:rFonts w:ascii="Arial" w:hAnsi="Arial" w:cs="Arial"/>
          <w:sz w:val="24"/>
          <w:szCs w:val="24"/>
        </w:rPr>
        <w:t xml:space="preserve">fo o falso, toda vez que al negar categóricamente, </w:t>
      </w:r>
      <w:r w:rsidR="002C67BA">
        <w:rPr>
          <w:rFonts w:ascii="Arial" w:hAnsi="Arial" w:cs="Arial"/>
          <w:sz w:val="24"/>
          <w:szCs w:val="24"/>
        </w:rPr>
        <w:t>implícitamente está afirmando que no</w:t>
      </w:r>
      <w:r w:rsidR="00E15AA8">
        <w:rPr>
          <w:rFonts w:ascii="Arial" w:hAnsi="Arial" w:cs="Arial"/>
          <w:sz w:val="24"/>
          <w:szCs w:val="24"/>
        </w:rPr>
        <w:t xml:space="preserve"> le</w:t>
      </w:r>
      <w:r w:rsidR="002C67BA">
        <w:rPr>
          <w:rFonts w:ascii="Arial" w:hAnsi="Arial" w:cs="Arial"/>
          <w:sz w:val="24"/>
          <w:szCs w:val="24"/>
        </w:rPr>
        <w:t xml:space="preserve"> ha sido notificada resolución alguna, </w:t>
      </w:r>
      <w:r w:rsidR="00E15AA8">
        <w:rPr>
          <w:rFonts w:ascii="Arial" w:hAnsi="Arial" w:cs="Arial"/>
          <w:sz w:val="24"/>
          <w:szCs w:val="24"/>
        </w:rPr>
        <w:t xml:space="preserve">y al afirmar, lógicamente </w:t>
      </w:r>
      <w:r w:rsidR="005A4F3A">
        <w:rPr>
          <w:rFonts w:ascii="Arial" w:hAnsi="Arial" w:cs="Arial"/>
          <w:sz w:val="24"/>
          <w:szCs w:val="24"/>
        </w:rPr>
        <w:t>contiene un elemento positivo, mismo que es susceptible de admitir pruebas directas e indirectas, lo que en el presente caso, viene a ser que la firma plasmada en el acto que dice desconocer notificación alguna resulta falsa y que puede ser probada su falsedad a través de la prueba pericial en grafoscopia</w:t>
      </w:r>
      <w:r w:rsidR="00065B48">
        <w:rPr>
          <w:rFonts w:ascii="Arial" w:hAnsi="Arial" w:cs="Arial"/>
          <w:sz w:val="24"/>
          <w:szCs w:val="24"/>
        </w:rPr>
        <w:t>.</w:t>
      </w:r>
    </w:p>
    <w:p w14:paraId="00187F14" w14:textId="66244F16" w:rsidR="00065B48" w:rsidRDefault="00065B48" w:rsidP="002218A2">
      <w:pPr>
        <w:spacing w:line="360" w:lineRule="auto"/>
        <w:ind w:firstLine="567"/>
        <w:jc w:val="both"/>
        <w:rPr>
          <w:rFonts w:ascii="Arial" w:hAnsi="Arial" w:cs="Arial"/>
          <w:sz w:val="24"/>
          <w:szCs w:val="24"/>
        </w:rPr>
      </w:pPr>
      <w:r>
        <w:rPr>
          <w:rFonts w:ascii="Arial" w:hAnsi="Arial" w:cs="Arial"/>
          <w:sz w:val="24"/>
          <w:szCs w:val="24"/>
        </w:rPr>
        <w:t xml:space="preserve">Sirve de sustento a lo anterior, la jurisprudencia número </w:t>
      </w:r>
      <w:r w:rsidRPr="00065B48">
        <w:rPr>
          <w:rFonts w:ascii="Arial" w:hAnsi="Arial" w:cs="Arial"/>
          <w:sz w:val="24"/>
          <w:szCs w:val="24"/>
        </w:rPr>
        <w:t>1a. CCCXCVI/2014 (10a.)</w:t>
      </w:r>
      <w:r>
        <w:rPr>
          <w:rFonts w:ascii="Arial" w:hAnsi="Arial" w:cs="Arial"/>
          <w:sz w:val="24"/>
          <w:szCs w:val="24"/>
        </w:rPr>
        <w:t xml:space="preserve">, con número de registro </w:t>
      </w:r>
      <w:r w:rsidRPr="00065B48">
        <w:rPr>
          <w:rFonts w:ascii="Arial" w:hAnsi="Arial" w:cs="Arial"/>
          <w:sz w:val="24"/>
          <w:szCs w:val="24"/>
        </w:rPr>
        <w:t>2007973</w:t>
      </w:r>
      <w:r>
        <w:rPr>
          <w:rFonts w:ascii="Arial" w:hAnsi="Arial" w:cs="Arial"/>
          <w:sz w:val="24"/>
          <w:szCs w:val="24"/>
        </w:rPr>
        <w:t xml:space="preserve">, por la Primera Sala de la Suprema Corte de Justicia de la Nación en la </w:t>
      </w:r>
      <w:r w:rsidRPr="00065B48">
        <w:rPr>
          <w:rFonts w:ascii="Arial" w:hAnsi="Arial" w:cs="Arial"/>
          <w:sz w:val="24"/>
          <w:szCs w:val="24"/>
        </w:rPr>
        <w:t>Gaceta del Semanario Judicial de la Federación</w:t>
      </w:r>
      <w:r>
        <w:rPr>
          <w:rFonts w:ascii="Arial" w:hAnsi="Arial" w:cs="Arial"/>
          <w:sz w:val="24"/>
          <w:szCs w:val="24"/>
        </w:rPr>
        <w:t xml:space="preserve">, </w:t>
      </w:r>
      <w:r w:rsidRPr="00065B48">
        <w:rPr>
          <w:rFonts w:ascii="Arial" w:hAnsi="Arial" w:cs="Arial"/>
          <w:sz w:val="24"/>
          <w:szCs w:val="24"/>
        </w:rPr>
        <w:t xml:space="preserve">Libro </w:t>
      </w:r>
      <w:r w:rsidRPr="00065B48">
        <w:rPr>
          <w:rFonts w:ascii="Arial" w:hAnsi="Arial" w:cs="Arial"/>
          <w:sz w:val="24"/>
          <w:szCs w:val="24"/>
        </w:rPr>
        <w:lastRenderedPageBreak/>
        <w:t>12, Noviembre de 2014, Tomo I</w:t>
      </w:r>
      <w:r>
        <w:rPr>
          <w:rFonts w:ascii="Arial" w:hAnsi="Arial" w:cs="Arial"/>
          <w:sz w:val="24"/>
          <w:szCs w:val="24"/>
        </w:rPr>
        <w:t>, página 706, Décima Época, bajo el rubro y texto siguiente:</w:t>
      </w:r>
    </w:p>
    <w:p w14:paraId="19FAEBB7" w14:textId="70E177C5" w:rsidR="00065B48" w:rsidRPr="002D1BF0" w:rsidRDefault="00BE7B22" w:rsidP="002D1BF0">
      <w:pPr>
        <w:ind w:left="567"/>
        <w:jc w:val="both"/>
        <w:rPr>
          <w:rFonts w:ascii="Arial" w:hAnsi="Arial" w:cs="Arial"/>
          <w:i/>
          <w:sz w:val="24"/>
          <w:szCs w:val="24"/>
        </w:rPr>
      </w:pPr>
      <w:r>
        <w:rPr>
          <w:rFonts w:ascii="Arial" w:hAnsi="Arial" w:cs="Arial"/>
          <w:b/>
          <w:i/>
          <w:sz w:val="24"/>
          <w:szCs w:val="24"/>
        </w:rPr>
        <w:t>“</w:t>
      </w:r>
      <w:r w:rsidR="00065B48" w:rsidRPr="002D1BF0">
        <w:rPr>
          <w:rFonts w:ascii="Arial" w:hAnsi="Arial" w:cs="Arial"/>
          <w:b/>
          <w:i/>
          <w:sz w:val="24"/>
          <w:szCs w:val="24"/>
        </w:rPr>
        <w:t>CARGA DE LA PRUEBA. SU DISTRIBUCIÓN A PARTIR DE LOS PRINCIPIOS LÓGICO Y ONTOLÓGICO.</w:t>
      </w:r>
      <w:r w:rsidR="00065B48" w:rsidRPr="002D1BF0">
        <w:rPr>
          <w:rFonts w:ascii="Arial" w:hAnsi="Arial" w:cs="Arial"/>
          <w:i/>
          <w:sz w:val="24"/>
          <w:szCs w:val="24"/>
        </w:rPr>
        <w:t xml:space="preserve"> El sistema probatorio dispuesto en el Código de Procedimientos Civiles para el Distrito Federal acoge los principios lógico y ontológico que la teoría establece en torno a la dinámica de la carga de la prueba, cuyos entendimiento y aplicación facilitan la tarea del juzgador, pues permite conocer de qué forma se desplazan dichas cargas, en función de las posiciones que van tomando las partes de acuerdo a las aseveraciones que formulan durante el juicio. Ahora bien, el principio ontológico parte de la siguiente premisa: lo ordinario se presume, lo extraordinario se prueba, y se funda, en que el enunciado que trata sobre lo ordinario se presenta, desde luego, por sí mismo, con un elemento de prueba que se apoya en la experiencia común; en tanto que el aserto que versa sobre lo extraordinario se manifiesta, por el contrario, destituido de todo principio de prueba; así, tener ese sustento o carecer de él, es lo que provoca que la carga de la prueba se desplace hacia la parte que formula enunciados sobre hechos extraordinarios, cuando la oposición expresada por su contraria la constituye una aseveración sobre un acontecimiento ordinario. Por su parte, en subordinación al principio ontológico, se encuentra el lógico, aplicable en los casos en que debe dilucidarse a quién corresponde la carga probatoria cuando existen dos asertos: uno positivo y otro negativo; y en atención a este principio, por la facilidad que existe en demostrar el aserto positivo, éste queda a cargo de quien lo formula y libera de ese peso al que expone una negación, por la dificultad para demostrarla. Así, el principio lógico tiene su fundamento en que en los enunciados positivos hay más facilidad en su demostración, pues es admisible acreditarlos con pruebas directas e indirectas; en tanto que un aserto negativo sólo puede justificarse con pruebas indirectas; asimismo, el principio en cuestión toma en cuenta las verdaderas negaciones (las sustanciales) y no aquellas que sólo tienen de negativo la forma en que se expone el aserto (negaciones formales). De ahí que, para establecer la distribución de la carga probatoria, debe considerarse también si el contenido de la negación es concreto (por ejemplo, "no soy la persona que intervino en el acto jurídico") o indefinido (verbigracia, "nunca he estado en cierto lugar") pues en el primer caso, la dificultad de la prueba deriva de una negación de imposible demostración, que traslada la carga de la prueba a la parte que afirma la identidad; mientras que la segunda es una negación sustancial, cuya dificultad probatoria proviene, no de la forma negativa, sino de la indefinición de su contenido, en cuyo caso corresponde a quien sostiene lo contrario (que el sujeto sí estuvo en cierto lugar en determinada fecha) demostrar su aserto, ante la indefinición de la negación formulada. Finalmente, en el caso de las afirmaciones indeterminadas, si bien se presenta un inconveniente similar, existe una distinción, pues en éstas se advierte un elemento positivo, susceptible de probarse, que permite presumir otro de igual naturaleza.</w:t>
      </w:r>
      <w:r>
        <w:rPr>
          <w:rFonts w:ascii="Arial" w:hAnsi="Arial" w:cs="Arial"/>
          <w:i/>
          <w:sz w:val="24"/>
          <w:szCs w:val="24"/>
        </w:rPr>
        <w:t>”</w:t>
      </w:r>
    </w:p>
    <w:p w14:paraId="6EDBBC33" w14:textId="77777777" w:rsidR="00E77659" w:rsidRDefault="00E77659" w:rsidP="00E77659">
      <w:pPr>
        <w:spacing w:line="360" w:lineRule="auto"/>
        <w:ind w:firstLine="567"/>
        <w:jc w:val="both"/>
        <w:rPr>
          <w:rFonts w:ascii="Arial" w:hAnsi="Arial" w:cs="Arial"/>
          <w:sz w:val="24"/>
          <w:szCs w:val="24"/>
        </w:rPr>
      </w:pPr>
      <w:r>
        <w:rPr>
          <w:rFonts w:ascii="Arial" w:hAnsi="Arial" w:cs="Arial"/>
          <w:sz w:val="24"/>
          <w:szCs w:val="24"/>
        </w:rPr>
        <w:t xml:space="preserve">De igual forma, sirve de sustento </w:t>
      </w:r>
      <w:r w:rsidRPr="0067528E">
        <w:rPr>
          <w:rFonts w:ascii="Arial" w:hAnsi="Arial" w:cs="Arial"/>
          <w:sz w:val="24"/>
          <w:szCs w:val="24"/>
        </w:rPr>
        <w:t xml:space="preserve">la tesis con número de registro 215051, por los Tribunales Colegiados de Circuito en el Semanario Judicial de la Federación, Tomo XII, página 291, Octava Época, </w:t>
      </w:r>
      <w:r>
        <w:rPr>
          <w:rFonts w:ascii="Arial" w:hAnsi="Arial" w:cs="Arial"/>
          <w:sz w:val="24"/>
          <w:szCs w:val="24"/>
        </w:rPr>
        <w:t>bajo el rubro y texto siguiente:</w:t>
      </w:r>
    </w:p>
    <w:p w14:paraId="7ECFEC9B" w14:textId="77777777" w:rsidR="00E77659" w:rsidRPr="0067528E" w:rsidRDefault="00E77659" w:rsidP="00E77659">
      <w:pPr>
        <w:ind w:left="567"/>
        <w:jc w:val="both"/>
        <w:rPr>
          <w:rFonts w:ascii="Arial" w:hAnsi="Arial" w:cs="Arial"/>
          <w:i/>
          <w:sz w:val="24"/>
          <w:szCs w:val="24"/>
        </w:rPr>
      </w:pPr>
      <w:r>
        <w:rPr>
          <w:rFonts w:ascii="Arial" w:hAnsi="Arial" w:cs="Arial"/>
          <w:b/>
          <w:i/>
          <w:sz w:val="24"/>
          <w:szCs w:val="24"/>
        </w:rPr>
        <w:lastRenderedPageBreak/>
        <w:t>“</w:t>
      </w:r>
      <w:r w:rsidRPr="0067528E">
        <w:rPr>
          <w:rFonts w:ascii="Arial" w:hAnsi="Arial" w:cs="Arial"/>
          <w:b/>
          <w:i/>
          <w:sz w:val="24"/>
          <w:szCs w:val="24"/>
        </w:rPr>
        <w:t>PRUEBA CARGA DE LA.</w:t>
      </w:r>
      <w:r w:rsidRPr="0067528E">
        <w:rPr>
          <w:rFonts w:ascii="Arial" w:hAnsi="Arial" w:cs="Arial"/>
          <w:i/>
          <w:sz w:val="24"/>
          <w:szCs w:val="24"/>
        </w:rPr>
        <w:t xml:space="preserve"> La carga de la prueba incumbe a quien de una afirmación pretende hacer derivar consecuencias para él favorables, ya que justo es que quien quiere obtener una ventaja, soporte la carga probatoria. En consecuencia, el actor debe justificar el hecho jurídico del que deriva su derecho. Así, la actora debe acreditar la existencia de una relación obligatoria. En el supuesto de que se justifiquen los hechos generadores del derecho que se pretende, la demandada tiene la carga de la prueba de las circunstancias que han impedido del surgimiento o la subsistencia del derecho del actor, puesto que las causas de extinción de una obligación deben probarse por el que pretende sacar ventajas de ellas.</w:t>
      </w:r>
      <w:r>
        <w:rPr>
          <w:rFonts w:ascii="Arial" w:hAnsi="Arial" w:cs="Arial"/>
          <w:i/>
          <w:sz w:val="24"/>
          <w:szCs w:val="24"/>
        </w:rPr>
        <w:t>”</w:t>
      </w:r>
      <w:r w:rsidRPr="0067528E">
        <w:rPr>
          <w:rFonts w:ascii="Arial" w:hAnsi="Arial" w:cs="Arial"/>
          <w:i/>
          <w:sz w:val="24"/>
          <w:szCs w:val="24"/>
        </w:rPr>
        <w:tab/>
      </w:r>
    </w:p>
    <w:p w14:paraId="7B191FDD" w14:textId="0C22D023" w:rsidR="00065B48" w:rsidRDefault="00C619A1" w:rsidP="002D1BF0">
      <w:pPr>
        <w:spacing w:line="360" w:lineRule="auto"/>
        <w:ind w:firstLine="567"/>
        <w:jc w:val="both"/>
        <w:rPr>
          <w:rFonts w:ascii="Arial" w:hAnsi="Arial" w:cs="Arial"/>
          <w:sz w:val="24"/>
          <w:szCs w:val="24"/>
        </w:rPr>
      </w:pPr>
      <w:r>
        <w:rPr>
          <w:rFonts w:ascii="Arial" w:hAnsi="Arial" w:cs="Arial"/>
          <w:sz w:val="24"/>
          <w:szCs w:val="24"/>
        </w:rPr>
        <w:t>En ese sentido</w:t>
      </w:r>
      <w:r w:rsidR="00065B48">
        <w:rPr>
          <w:rFonts w:ascii="Arial" w:hAnsi="Arial" w:cs="Arial"/>
          <w:sz w:val="24"/>
          <w:szCs w:val="24"/>
        </w:rPr>
        <w:t xml:space="preserve">, </w:t>
      </w:r>
      <w:r w:rsidR="002D1BF0">
        <w:rPr>
          <w:rFonts w:ascii="Arial" w:hAnsi="Arial" w:cs="Arial"/>
          <w:sz w:val="24"/>
          <w:szCs w:val="24"/>
        </w:rPr>
        <w:t xml:space="preserve">su concepto de impugnación SEGUNDO, resulta </w:t>
      </w:r>
      <w:r w:rsidR="002D1BF0" w:rsidRPr="008123F0">
        <w:rPr>
          <w:rFonts w:ascii="Arial" w:hAnsi="Arial" w:cs="Arial"/>
          <w:b/>
          <w:sz w:val="24"/>
          <w:szCs w:val="24"/>
        </w:rPr>
        <w:t>INFUNDADO</w:t>
      </w:r>
      <w:r w:rsidR="002D1BF0">
        <w:rPr>
          <w:rFonts w:ascii="Arial" w:hAnsi="Arial" w:cs="Arial"/>
          <w:sz w:val="24"/>
          <w:szCs w:val="24"/>
        </w:rPr>
        <w:t>.</w:t>
      </w:r>
    </w:p>
    <w:p w14:paraId="3562252A" w14:textId="49746C8A" w:rsidR="002D1BF0" w:rsidRDefault="00B25FEC" w:rsidP="002D1BF0">
      <w:pPr>
        <w:spacing w:line="360" w:lineRule="auto"/>
        <w:ind w:firstLine="567"/>
        <w:jc w:val="both"/>
        <w:rPr>
          <w:rFonts w:ascii="Arial" w:hAnsi="Arial" w:cs="Arial"/>
          <w:sz w:val="24"/>
          <w:szCs w:val="24"/>
        </w:rPr>
      </w:pPr>
      <w:r>
        <w:rPr>
          <w:rFonts w:ascii="Arial" w:hAnsi="Arial" w:cs="Arial"/>
          <w:b/>
          <w:sz w:val="24"/>
          <w:szCs w:val="24"/>
        </w:rPr>
        <w:t>SEXTO</w:t>
      </w:r>
      <w:r w:rsidR="002D1BF0" w:rsidRPr="008123F0">
        <w:rPr>
          <w:rFonts w:ascii="Arial" w:hAnsi="Arial" w:cs="Arial"/>
          <w:b/>
          <w:sz w:val="24"/>
          <w:szCs w:val="24"/>
        </w:rPr>
        <w:t>.</w:t>
      </w:r>
      <w:r w:rsidR="002D1BF0">
        <w:rPr>
          <w:rFonts w:ascii="Arial" w:hAnsi="Arial" w:cs="Arial"/>
          <w:sz w:val="24"/>
          <w:szCs w:val="24"/>
        </w:rPr>
        <w:t xml:space="preserve"> </w:t>
      </w:r>
      <w:r w:rsidR="008123F0">
        <w:rPr>
          <w:rFonts w:ascii="Arial" w:hAnsi="Arial" w:cs="Arial"/>
          <w:sz w:val="24"/>
          <w:szCs w:val="24"/>
        </w:rPr>
        <w:t>Expone la parte actora en sus conceptos de impugnación TERCERO y CUARTO,</w:t>
      </w:r>
      <w:r w:rsidR="00282381">
        <w:rPr>
          <w:rFonts w:ascii="Arial" w:hAnsi="Arial" w:cs="Arial"/>
          <w:sz w:val="24"/>
          <w:szCs w:val="24"/>
        </w:rPr>
        <w:t xml:space="preserve"> mismos que se estudian en su conjunto por tener estrecha relación entre sí,</w:t>
      </w:r>
      <w:r w:rsidR="008123F0">
        <w:rPr>
          <w:rFonts w:ascii="Arial" w:hAnsi="Arial" w:cs="Arial"/>
          <w:sz w:val="24"/>
          <w:szCs w:val="24"/>
        </w:rPr>
        <w:t xml:space="preserve"> que deben serle pagaderos diversas prestaciones con motivo de la separación ilegal </w:t>
      </w:r>
      <w:r w:rsidR="00367127">
        <w:rPr>
          <w:rFonts w:ascii="Arial" w:hAnsi="Arial" w:cs="Arial"/>
          <w:sz w:val="24"/>
          <w:szCs w:val="24"/>
        </w:rPr>
        <w:t>de la que fue objeto.</w:t>
      </w:r>
    </w:p>
    <w:p w14:paraId="44C402DD" w14:textId="5D6F601E" w:rsidR="00367127" w:rsidRDefault="00367127" w:rsidP="002D1BF0">
      <w:pPr>
        <w:spacing w:line="360" w:lineRule="auto"/>
        <w:ind w:firstLine="567"/>
        <w:jc w:val="both"/>
        <w:rPr>
          <w:rFonts w:ascii="Arial" w:hAnsi="Arial" w:cs="Arial"/>
          <w:sz w:val="24"/>
          <w:szCs w:val="24"/>
        </w:rPr>
      </w:pPr>
      <w:r>
        <w:rPr>
          <w:rFonts w:ascii="Arial" w:hAnsi="Arial" w:cs="Arial"/>
          <w:sz w:val="24"/>
          <w:szCs w:val="24"/>
        </w:rPr>
        <w:t xml:space="preserve">Al respecto, debe decírsele al promovente que, </w:t>
      </w:r>
      <w:r w:rsidR="00D50FAC">
        <w:rPr>
          <w:rFonts w:ascii="Arial" w:hAnsi="Arial" w:cs="Arial"/>
          <w:sz w:val="24"/>
          <w:szCs w:val="24"/>
        </w:rPr>
        <w:t xml:space="preserve">dichos conceptos resultan </w:t>
      </w:r>
      <w:r w:rsidR="00D50FAC" w:rsidRPr="00D50FAC">
        <w:rPr>
          <w:rFonts w:ascii="Arial" w:hAnsi="Arial" w:cs="Arial"/>
          <w:b/>
          <w:sz w:val="24"/>
          <w:szCs w:val="24"/>
        </w:rPr>
        <w:t>INATENDIBLES</w:t>
      </w:r>
      <w:r w:rsidR="00D50FAC">
        <w:rPr>
          <w:rFonts w:ascii="Arial" w:hAnsi="Arial" w:cs="Arial"/>
          <w:sz w:val="24"/>
          <w:szCs w:val="24"/>
        </w:rPr>
        <w:t>, toda vez que los mismos son pretensiones que persigue el actor y que solicita en consecuencia de que la pretensión principal consistente en la nulidad del a</w:t>
      </w:r>
      <w:r w:rsidR="0037169A">
        <w:rPr>
          <w:rFonts w:ascii="Arial" w:hAnsi="Arial" w:cs="Arial"/>
          <w:sz w:val="24"/>
          <w:szCs w:val="24"/>
        </w:rPr>
        <w:t>cto reclamado le sea satisfecha;</w:t>
      </w:r>
      <w:r w:rsidR="00D50FAC">
        <w:rPr>
          <w:rFonts w:ascii="Arial" w:hAnsi="Arial" w:cs="Arial"/>
          <w:sz w:val="24"/>
          <w:szCs w:val="24"/>
        </w:rPr>
        <w:t xml:space="preserve"> sin emb</w:t>
      </w:r>
      <w:r w:rsidR="0037169A">
        <w:rPr>
          <w:rFonts w:ascii="Arial" w:hAnsi="Arial" w:cs="Arial"/>
          <w:sz w:val="24"/>
          <w:szCs w:val="24"/>
        </w:rPr>
        <w:t>argo, é</w:t>
      </w:r>
      <w:r w:rsidR="00D50FAC">
        <w:rPr>
          <w:rFonts w:ascii="Arial" w:hAnsi="Arial" w:cs="Arial"/>
          <w:sz w:val="24"/>
          <w:szCs w:val="24"/>
        </w:rPr>
        <w:t>stos no van encaminados a controvertir la legalidad del acto reclamado, ya que dentro del apartado de concepto de impugnación, deben plasmarse todos aquellos argumentos lógico-jurídicos por los cuales el actor considere que el acto reclamado le causa un perjuicio en su esfera de derechos, debiendo exponer fundamentos de derecho y criterios relaciona</w:t>
      </w:r>
      <w:r w:rsidR="00015348">
        <w:rPr>
          <w:rFonts w:ascii="Arial" w:hAnsi="Arial" w:cs="Arial"/>
          <w:sz w:val="24"/>
          <w:szCs w:val="24"/>
        </w:rPr>
        <w:t>dos con elementos de prueba encaminados a crear convicción en el juzgador respecto a lo manifestado.</w:t>
      </w:r>
    </w:p>
    <w:p w14:paraId="38742EEF" w14:textId="1B1F5BB1" w:rsidR="003108D9" w:rsidRDefault="003108D9" w:rsidP="003108D9">
      <w:pPr>
        <w:spacing w:line="360" w:lineRule="auto"/>
        <w:ind w:firstLine="567"/>
        <w:jc w:val="both"/>
        <w:rPr>
          <w:rFonts w:ascii="Arial" w:hAnsi="Arial" w:cs="Arial"/>
          <w:sz w:val="24"/>
          <w:szCs w:val="24"/>
        </w:rPr>
      </w:pPr>
      <w:r>
        <w:rPr>
          <w:rFonts w:ascii="Arial" w:hAnsi="Arial" w:cs="Arial"/>
          <w:sz w:val="24"/>
          <w:szCs w:val="24"/>
        </w:rPr>
        <w:t>Derivado de lo anterior, lo plasmado en dichos conceptos de impugnación no causan perjuicio alguno al actor, y bajo el orden lógico, al no irrogar perjuicio alguno, lo ahí plasmado no puede fundar una impugnación.</w:t>
      </w:r>
    </w:p>
    <w:p w14:paraId="1D0D4376" w14:textId="559E7B32" w:rsidR="003108D9" w:rsidRDefault="003108D9" w:rsidP="003108D9">
      <w:pPr>
        <w:spacing w:line="360" w:lineRule="auto"/>
        <w:ind w:firstLine="567"/>
        <w:jc w:val="both"/>
        <w:rPr>
          <w:rFonts w:ascii="Arial" w:hAnsi="Arial" w:cs="Arial"/>
          <w:sz w:val="24"/>
          <w:szCs w:val="24"/>
        </w:rPr>
      </w:pPr>
      <w:r>
        <w:rPr>
          <w:rFonts w:ascii="Arial" w:hAnsi="Arial" w:cs="Arial"/>
          <w:sz w:val="24"/>
          <w:szCs w:val="24"/>
        </w:rPr>
        <w:t xml:space="preserve">Sirve de apoyo a lo plasmado anteriormente, la tesis número </w:t>
      </w:r>
      <w:r w:rsidRPr="003108D9">
        <w:rPr>
          <w:rFonts w:ascii="Arial" w:hAnsi="Arial" w:cs="Arial"/>
          <w:sz w:val="24"/>
          <w:szCs w:val="24"/>
        </w:rPr>
        <w:t>XVII.1o.C.T.24 K</w:t>
      </w:r>
      <w:r>
        <w:rPr>
          <w:rFonts w:ascii="Arial" w:hAnsi="Arial" w:cs="Arial"/>
          <w:sz w:val="24"/>
          <w:szCs w:val="24"/>
        </w:rPr>
        <w:t xml:space="preserve">, </w:t>
      </w:r>
      <w:r w:rsidR="0023143E">
        <w:rPr>
          <w:rFonts w:ascii="Arial" w:hAnsi="Arial" w:cs="Arial"/>
          <w:sz w:val="24"/>
          <w:szCs w:val="24"/>
        </w:rPr>
        <w:t xml:space="preserve">con número de registro </w:t>
      </w:r>
      <w:r w:rsidR="0023143E" w:rsidRPr="0023143E">
        <w:rPr>
          <w:rFonts w:ascii="Arial" w:hAnsi="Arial" w:cs="Arial"/>
          <w:sz w:val="24"/>
          <w:szCs w:val="24"/>
        </w:rPr>
        <w:tab/>
        <w:t>179082</w:t>
      </w:r>
      <w:r w:rsidR="0023143E">
        <w:rPr>
          <w:rFonts w:ascii="Arial" w:hAnsi="Arial" w:cs="Arial"/>
          <w:sz w:val="24"/>
          <w:szCs w:val="24"/>
        </w:rPr>
        <w:t xml:space="preserve">, por los </w:t>
      </w:r>
      <w:r w:rsidR="0023143E" w:rsidRPr="0023143E">
        <w:rPr>
          <w:rFonts w:ascii="Arial" w:hAnsi="Arial" w:cs="Arial"/>
          <w:sz w:val="24"/>
          <w:szCs w:val="24"/>
        </w:rPr>
        <w:t>Tribunales Colegiados de Circuito</w:t>
      </w:r>
      <w:r w:rsidR="0023143E">
        <w:rPr>
          <w:rFonts w:ascii="Arial" w:hAnsi="Arial" w:cs="Arial"/>
          <w:sz w:val="24"/>
          <w:szCs w:val="24"/>
        </w:rPr>
        <w:t xml:space="preserve">, </w:t>
      </w:r>
      <w:r w:rsidR="0023143E" w:rsidRPr="0023143E">
        <w:rPr>
          <w:rFonts w:ascii="Arial" w:hAnsi="Arial" w:cs="Arial"/>
          <w:sz w:val="24"/>
          <w:szCs w:val="24"/>
        </w:rPr>
        <w:t>Semanario Judicial de la Federación y su Gaceta</w:t>
      </w:r>
      <w:r w:rsidR="0023143E">
        <w:rPr>
          <w:rFonts w:ascii="Arial" w:hAnsi="Arial" w:cs="Arial"/>
          <w:sz w:val="24"/>
          <w:szCs w:val="24"/>
        </w:rPr>
        <w:t>, página 1092, Novena Época, bajo el rubro y texto siguiente:</w:t>
      </w:r>
    </w:p>
    <w:p w14:paraId="3BE90A00" w14:textId="11925017" w:rsidR="0023143E" w:rsidRPr="0023143E" w:rsidRDefault="0023143E" w:rsidP="0023143E">
      <w:pPr>
        <w:ind w:left="567"/>
        <w:jc w:val="both"/>
        <w:rPr>
          <w:rFonts w:ascii="Arial" w:hAnsi="Arial" w:cs="Arial"/>
          <w:i/>
          <w:sz w:val="24"/>
          <w:szCs w:val="24"/>
        </w:rPr>
      </w:pPr>
      <w:r>
        <w:rPr>
          <w:rFonts w:ascii="Arial" w:hAnsi="Arial" w:cs="Arial"/>
          <w:b/>
          <w:i/>
          <w:sz w:val="24"/>
          <w:szCs w:val="24"/>
        </w:rPr>
        <w:t>“</w:t>
      </w:r>
      <w:r w:rsidRPr="0023143E">
        <w:rPr>
          <w:rFonts w:ascii="Arial" w:hAnsi="Arial" w:cs="Arial"/>
          <w:b/>
          <w:i/>
          <w:sz w:val="24"/>
          <w:szCs w:val="24"/>
        </w:rPr>
        <w:t>CONCEPTOS DE VIOLACIÓN. SON INATENDIBLES AQUELLOS QUE COMBATEN CONSIDERACIONES O DETERMINACIONES QUE NO LE CAUSAN PERJUICIO AL QUEJOSO.</w:t>
      </w:r>
      <w:r w:rsidRPr="0023143E">
        <w:rPr>
          <w:rFonts w:ascii="Arial" w:hAnsi="Arial" w:cs="Arial"/>
          <w:i/>
          <w:sz w:val="24"/>
          <w:szCs w:val="24"/>
        </w:rPr>
        <w:t xml:space="preserve"> Conforme al artículo 4o. de la Ley de Amparo el ejercicio de la acción constitucional está reservado únicamente a quien resiente un perjuicio con motivo de un acto de autoridad o por la ley, tratado internacional o reglamento. Por tanto, la noción de perjuicio para que proceda la acción de amparo presupone la existencia de un derecho </w:t>
      </w:r>
      <w:r w:rsidRPr="0023143E">
        <w:rPr>
          <w:rFonts w:ascii="Arial" w:hAnsi="Arial" w:cs="Arial"/>
          <w:i/>
          <w:sz w:val="24"/>
          <w:szCs w:val="24"/>
        </w:rPr>
        <w:lastRenderedPageBreak/>
        <w:t>legítimamente tutelado, que cuando se transgrede por la actuación de una autoridad faculta a su titular para acudir ante el órgano constitucional demandando el cese de esa violación. Ese derecho protegido por el ordenamiento legal objetivo es lo que constituye el interés jurídico que la Ley de Amparo toma en cuenta para la procedencia del juicio de garantías. Sin embargo, aun cuando se tenga interés jurídico para impugnar un acto de autoridad, como por ejemplo, una sentencia, resolución, laudo, etcétera, no resulta procedente en todos los casos, ya que si los conceptos de violación mediante los cuales pretenden combatirse consideraciones o determinaciones que, aunque expresadas en ese tipo de resoluciones, resultan favorables al quejoso, deben considerarse inatendibles, pues si bien es cierto que el tener ese interés legitima, en principio, la promoción del juicio de amparo a fin de obtener la protección constitucional, en el cual deben manifestarse los conceptos de violación que evidencien la ilegalidad del acto reclamado, también lo es que éstos deben centrarse o dirigirse por cuanto al aspecto en que le perjudique al quejoso y no en el que le beneficie, ya que las posibles violaciones a la ley que no le irroguen agravio no pueden fundar una impugnación.</w:t>
      </w:r>
      <w:r>
        <w:rPr>
          <w:rFonts w:ascii="Arial" w:hAnsi="Arial" w:cs="Arial"/>
          <w:i/>
          <w:sz w:val="24"/>
          <w:szCs w:val="24"/>
        </w:rPr>
        <w:t>”</w:t>
      </w:r>
    </w:p>
    <w:p w14:paraId="6B1F8B99" w14:textId="126B5DFF" w:rsidR="0023143E" w:rsidRDefault="0023143E" w:rsidP="0023143E">
      <w:pPr>
        <w:spacing w:line="360" w:lineRule="auto"/>
        <w:ind w:firstLine="567"/>
        <w:jc w:val="both"/>
        <w:rPr>
          <w:rFonts w:ascii="Arial" w:hAnsi="Arial" w:cs="Arial"/>
          <w:sz w:val="24"/>
          <w:szCs w:val="24"/>
        </w:rPr>
      </w:pPr>
      <w:r>
        <w:rPr>
          <w:rFonts w:ascii="Arial" w:hAnsi="Arial" w:cs="Arial"/>
          <w:sz w:val="24"/>
          <w:szCs w:val="24"/>
        </w:rPr>
        <w:t xml:space="preserve">Por lo anteriormente fundado, los conceptos de impugnación TERCERO y CUARTO, resultan </w:t>
      </w:r>
      <w:r w:rsidRPr="0023143E">
        <w:rPr>
          <w:rFonts w:ascii="Arial" w:hAnsi="Arial" w:cs="Arial"/>
          <w:b/>
          <w:sz w:val="24"/>
          <w:szCs w:val="24"/>
        </w:rPr>
        <w:t>INANTENDIBLES</w:t>
      </w:r>
      <w:r>
        <w:rPr>
          <w:rFonts w:ascii="Arial" w:hAnsi="Arial" w:cs="Arial"/>
          <w:sz w:val="24"/>
          <w:szCs w:val="24"/>
        </w:rPr>
        <w:t>.</w:t>
      </w:r>
    </w:p>
    <w:p w14:paraId="5597EF8D" w14:textId="08927E8E" w:rsidR="002B4984" w:rsidRPr="002B4984" w:rsidRDefault="002B4984" w:rsidP="00537F3C">
      <w:pPr>
        <w:spacing w:line="360" w:lineRule="auto"/>
        <w:ind w:firstLine="567"/>
        <w:jc w:val="both"/>
        <w:rPr>
          <w:rFonts w:ascii="Arial" w:hAnsi="Arial" w:cs="Arial"/>
          <w:sz w:val="24"/>
          <w:szCs w:val="24"/>
        </w:rPr>
      </w:pPr>
      <w:r w:rsidRPr="002B4984">
        <w:rPr>
          <w:rFonts w:ascii="Arial" w:hAnsi="Arial" w:cs="Arial"/>
          <w:sz w:val="24"/>
          <w:szCs w:val="24"/>
        </w:rPr>
        <w:t xml:space="preserve">En relatadas consideraciones, y en virtud de que el actor no logró desvirtuar la legalidad del acto reclamado, esta Sala </w:t>
      </w:r>
      <w:r w:rsidRPr="00226C93">
        <w:rPr>
          <w:rFonts w:ascii="Arial" w:hAnsi="Arial" w:cs="Arial"/>
          <w:b/>
          <w:sz w:val="24"/>
          <w:szCs w:val="24"/>
        </w:rPr>
        <w:t>RECONOCE LA LEGALIDAD Y VALIDEZ</w:t>
      </w:r>
      <w:r w:rsidRPr="002B4984">
        <w:rPr>
          <w:rFonts w:ascii="Arial" w:hAnsi="Arial" w:cs="Arial"/>
          <w:sz w:val="24"/>
          <w:szCs w:val="24"/>
        </w:rPr>
        <w:t xml:space="preserve"> del </w:t>
      </w:r>
      <w:r w:rsidR="006A113F" w:rsidRPr="006A113F">
        <w:rPr>
          <w:rFonts w:ascii="Arial" w:hAnsi="Arial" w:cs="Arial"/>
          <w:sz w:val="24"/>
          <w:szCs w:val="24"/>
        </w:rPr>
        <w:t xml:space="preserve">acuerdo de </w:t>
      </w:r>
      <w:r w:rsidR="00AD0081">
        <w:rPr>
          <w:rFonts w:ascii="Arial" w:hAnsi="Arial" w:cs="Arial"/>
          <w:sz w:val="24"/>
          <w:szCs w:val="24"/>
        </w:rPr>
        <w:t xml:space="preserve">***** </w:t>
      </w:r>
      <w:r w:rsidR="006A113F" w:rsidRPr="006A113F">
        <w:rPr>
          <w:rFonts w:ascii="Arial" w:hAnsi="Arial" w:cs="Arial"/>
          <w:sz w:val="24"/>
          <w:szCs w:val="24"/>
        </w:rPr>
        <w:t xml:space="preserve">de </w:t>
      </w:r>
      <w:r w:rsidR="00AD0081">
        <w:rPr>
          <w:rFonts w:ascii="Arial" w:hAnsi="Arial" w:cs="Arial"/>
          <w:sz w:val="24"/>
          <w:szCs w:val="24"/>
        </w:rPr>
        <w:t>*****</w:t>
      </w:r>
      <w:r w:rsidR="006A113F" w:rsidRPr="006A113F">
        <w:rPr>
          <w:rFonts w:ascii="Arial" w:hAnsi="Arial" w:cs="Arial"/>
          <w:sz w:val="24"/>
          <w:szCs w:val="24"/>
        </w:rPr>
        <w:t xml:space="preserve"> de dos mil </w:t>
      </w:r>
      <w:r w:rsidR="00AD0081">
        <w:rPr>
          <w:rFonts w:ascii="Arial" w:hAnsi="Arial" w:cs="Arial"/>
          <w:sz w:val="24"/>
          <w:szCs w:val="24"/>
        </w:rPr>
        <w:t>*****</w:t>
      </w:r>
      <w:r w:rsidR="006A113F" w:rsidRPr="006A113F">
        <w:rPr>
          <w:rFonts w:ascii="Arial" w:hAnsi="Arial" w:cs="Arial"/>
          <w:sz w:val="24"/>
          <w:szCs w:val="24"/>
        </w:rPr>
        <w:t xml:space="preserve">, dictado por el </w:t>
      </w:r>
      <w:r w:rsidR="006A113F">
        <w:rPr>
          <w:rFonts w:ascii="Arial" w:hAnsi="Arial" w:cs="Arial"/>
          <w:sz w:val="24"/>
          <w:szCs w:val="24"/>
        </w:rPr>
        <w:t xml:space="preserve">Jefe de la Unidad Jurídica de la </w:t>
      </w:r>
      <w:r w:rsidR="00D94BDB">
        <w:rPr>
          <w:rFonts w:ascii="Arial" w:hAnsi="Arial" w:cs="Arial"/>
          <w:sz w:val="24"/>
          <w:szCs w:val="24"/>
        </w:rPr>
        <w:t>Comisaría</w:t>
      </w:r>
      <w:r w:rsidR="006A113F">
        <w:rPr>
          <w:rFonts w:ascii="Arial" w:hAnsi="Arial" w:cs="Arial"/>
          <w:sz w:val="24"/>
          <w:szCs w:val="24"/>
        </w:rPr>
        <w:t xml:space="preserve"> General de Seguridad </w:t>
      </w:r>
      <w:r w:rsidR="00D94BDB">
        <w:rPr>
          <w:rFonts w:ascii="Arial" w:hAnsi="Arial" w:cs="Arial"/>
          <w:sz w:val="24"/>
          <w:szCs w:val="24"/>
        </w:rPr>
        <w:t>Pública</w:t>
      </w:r>
      <w:r w:rsidR="006A113F">
        <w:rPr>
          <w:rFonts w:ascii="Arial" w:hAnsi="Arial" w:cs="Arial"/>
          <w:sz w:val="24"/>
          <w:szCs w:val="24"/>
        </w:rPr>
        <w:t xml:space="preserve"> y Vialidad Municipal</w:t>
      </w:r>
      <w:r w:rsidR="00777E0D">
        <w:rPr>
          <w:rFonts w:ascii="Arial" w:hAnsi="Arial" w:cs="Arial"/>
          <w:sz w:val="24"/>
          <w:szCs w:val="24"/>
        </w:rPr>
        <w:t>,</w:t>
      </w:r>
      <w:r w:rsidR="006A113F">
        <w:rPr>
          <w:rFonts w:ascii="Arial" w:hAnsi="Arial" w:cs="Arial"/>
          <w:sz w:val="24"/>
          <w:szCs w:val="24"/>
        </w:rPr>
        <w:t xml:space="preserve"> ahora Director Jurídico de la Comisión d</w:t>
      </w:r>
      <w:r w:rsidR="006A113F" w:rsidRPr="006A113F">
        <w:rPr>
          <w:rFonts w:ascii="Arial" w:hAnsi="Arial" w:cs="Arial"/>
          <w:sz w:val="24"/>
          <w:szCs w:val="24"/>
        </w:rPr>
        <w:t>e Seg</w:t>
      </w:r>
      <w:r w:rsidR="006A113F">
        <w:rPr>
          <w:rFonts w:ascii="Arial" w:hAnsi="Arial" w:cs="Arial"/>
          <w:sz w:val="24"/>
          <w:szCs w:val="24"/>
        </w:rPr>
        <w:t>uridad Pública, Vialidad, Transp</w:t>
      </w:r>
      <w:r w:rsidR="006A113F" w:rsidRPr="006A113F">
        <w:rPr>
          <w:rFonts w:ascii="Arial" w:hAnsi="Arial" w:cs="Arial"/>
          <w:sz w:val="24"/>
          <w:szCs w:val="24"/>
        </w:rPr>
        <w:t>or</w:t>
      </w:r>
      <w:r w:rsidR="006A113F">
        <w:rPr>
          <w:rFonts w:ascii="Arial" w:hAnsi="Arial" w:cs="Arial"/>
          <w:sz w:val="24"/>
          <w:szCs w:val="24"/>
        </w:rPr>
        <w:t>te y</w:t>
      </w:r>
      <w:r w:rsidR="006A113F" w:rsidRPr="006A113F">
        <w:rPr>
          <w:rFonts w:ascii="Arial" w:hAnsi="Arial" w:cs="Arial"/>
          <w:sz w:val="24"/>
          <w:szCs w:val="24"/>
        </w:rPr>
        <w:t xml:space="preserve"> Protección</w:t>
      </w:r>
      <w:r w:rsidR="00FB395B">
        <w:rPr>
          <w:rFonts w:ascii="Arial" w:hAnsi="Arial" w:cs="Arial"/>
          <w:sz w:val="24"/>
          <w:szCs w:val="24"/>
        </w:rPr>
        <w:t xml:space="preserve"> Civil del Municipio de Oaxaca d</w:t>
      </w:r>
      <w:r w:rsidR="006A113F" w:rsidRPr="006A113F">
        <w:rPr>
          <w:rFonts w:ascii="Arial" w:hAnsi="Arial" w:cs="Arial"/>
          <w:sz w:val="24"/>
          <w:szCs w:val="24"/>
        </w:rPr>
        <w:t>e Juárez Oaxaca</w:t>
      </w:r>
      <w:r w:rsidRPr="002B4984">
        <w:rPr>
          <w:rFonts w:ascii="Arial" w:hAnsi="Arial" w:cs="Arial"/>
          <w:sz w:val="24"/>
          <w:szCs w:val="24"/>
        </w:rPr>
        <w:t>, ergo, resultan improcedentes las pretensiones reclamadas por el hoy accionante.</w:t>
      </w:r>
    </w:p>
    <w:p w14:paraId="4BE56891" w14:textId="77777777" w:rsidR="002B4984" w:rsidRDefault="002B4984" w:rsidP="00537F3C">
      <w:pPr>
        <w:spacing w:line="360" w:lineRule="auto"/>
        <w:ind w:firstLine="567"/>
        <w:jc w:val="both"/>
        <w:rPr>
          <w:rFonts w:ascii="Arial" w:hAnsi="Arial" w:cs="Arial"/>
          <w:sz w:val="24"/>
          <w:szCs w:val="24"/>
        </w:rPr>
      </w:pPr>
      <w:r w:rsidRPr="002B4984">
        <w:rPr>
          <w:rFonts w:ascii="Arial" w:hAnsi="Arial" w:cs="Arial"/>
          <w:sz w:val="24"/>
          <w:szCs w:val="24"/>
        </w:rPr>
        <w:t xml:space="preserve">Por todo lo anteriormente expuesto, fundado y motivado en términos de los artículos 177 y 179 de la Ley de Justicia Administrativa para el Estado de Oaxaca, se: </w:t>
      </w:r>
    </w:p>
    <w:p w14:paraId="7A3E508A" w14:textId="3AE95D7D" w:rsidR="003E0CBC" w:rsidRDefault="003E0CBC" w:rsidP="00B1212A">
      <w:pPr>
        <w:spacing w:line="360" w:lineRule="auto"/>
        <w:jc w:val="center"/>
        <w:rPr>
          <w:rFonts w:ascii="Arial" w:hAnsi="Arial" w:cs="Arial"/>
          <w:b/>
          <w:sz w:val="24"/>
          <w:szCs w:val="27"/>
        </w:rPr>
      </w:pPr>
      <w:r w:rsidRPr="009C0C09">
        <w:rPr>
          <w:rFonts w:ascii="Arial" w:hAnsi="Arial" w:cs="Arial"/>
          <w:b/>
          <w:sz w:val="24"/>
          <w:szCs w:val="27"/>
        </w:rPr>
        <w:t>R E S U E L V E:</w:t>
      </w:r>
    </w:p>
    <w:p w14:paraId="43A4C3A8" w14:textId="0BDA9915" w:rsidR="003E0CBC" w:rsidRDefault="003E0CBC" w:rsidP="005358CE">
      <w:pPr>
        <w:widowControl w:val="0"/>
        <w:spacing w:line="360" w:lineRule="auto"/>
        <w:ind w:right="51" w:firstLine="567"/>
        <w:jc w:val="both"/>
        <w:rPr>
          <w:rFonts w:ascii="Arial" w:hAnsi="Arial" w:cs="Arial"/>
          <w:bCs/>
          <w:snapToGrid w:val="0"/>
          <w:sz w:val="24"/>
          <w:szCs w:val="27"/>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5F9B73E5" w14:textId="77777777" w:rsidR="005358CE" w:rsidRDefault="003E0CBC" w:rsidP="005358CE">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 xml:space="preserve">La personalidad de las partes quedó </w:t>
      </w:r>
      <w:r w:rsidR="004A051C">
        <w:rPr>
          <w:rFonts w:cs="Arial"/>
          <w:b w:val="0"/>
          <w:bCs/>
          <w:i w:val="0"/>
          <w:szCs w:val="27"/>
        </w:rPr>
        <w:t xml:space="preserve">acreditada </w:t>
      </w:r>
      <w:r w:rsidRPr="009C0C09">
        <w:rPr>
          <w:rFonts w:cs="Arial"/>
          <w:b w:val="0"/>
          <w:bCs/>
          <w:i w:val="0"/>
          <w:szCs w:val="27"/>
        </w:rPr>
        <w:t>en autos</w:t>
      </w:r>
      <w:r w:rsidR="004A051C">
        <w:rPr>
          <w:rFonts w:cs="Arial"/>
          <w:b w:val="0"/>
          <w:bCs/>
          <w:i w:val="0"/>
          <w:szCs w:val="27"/>
        </w:rPr>
        <w:t>.</w:t>
      </w:r>
    </w:p>
    <w:p w14:paraId="3466F016" w14:textId="4D69EE02" w:rsidR="00FC3B53" w:rsidRPr="005358CE" w:rsidRDefault="003E0CBC" w:rsidP="005358CE">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Esta Sala adviert</w:t>
      </w:r>
      <w:r w:rsidR="00FC3B53">
        <w:rPr>
          <w:rFonts w:cs="Arial"/>
          <w:b w:val="0"/>
          <w:bCs/>
          <w:i w:val="0"/>
          <w:szCs w:val="27"/>
        </w:rPr>
        <w:t xml:space="preserve">e que, en el presente juicio </w:t>
      </w:r>
      <w:r w:rsidR="00B25FEC">
        <w:rPr>
          <w:rFonts w:cs="Arial"/>
          <w:b w:val="0"/>
          <w:bCs/>
          <w:i w:val="0"/>
          <w:szCs w:val="27"/>
        </w:rPr>
        <w:t xml:space="preserve">no </w:t>
      </w:r>
      <w:r w:rsidRPr="009C0C09">
        <w:rPr>
          <w:rFonts w:cs="Arial"/>
          <w:b w:val="0"/>
          <w:bCs/>
          <w:i w:val="0"/>
          <w:szCs w:val="27"/>
        </w:rPr>
        <w:t>se configura</w:t>
      </w:r>
      <w:r w:rsidR="00FC3B53">
        <w:rPr>
          <w:rFonts w:cs="Arial"/>
          <w:b w:val="0"/>
          <w:bCs/>
          <w:i w:val="0"/>
          <w:szCs w:val="27"/>
        </w:rPr>
        <w:t>ron</w:t>
      </w:r>
      <w:r w:rsidRPr="009C0C09">
        <w:rPr>
          <w:rFonts w:cs="Arial"/>
          <w:b w:val="0"/>
          <w:bCs/>
          <w:i w:val="0"/>
          <w:szCs w:val="27"/>
        </w:rPr>
        <w:t xml:space="preserve"> </w:t>
      </w:r>
      <w:r w:rsidR="00B25FEC">
        <w:rPr>
          <w:rFonts w:cs="Arial"/>
          <w:b w:val="0"/>
          <w:bCs/>
          <w:i w:val="0"/>
          <w:szCs w:val="27"/>
        </w:rPr>
        <w:t>ninguna</w:t>
      </w:r>
      <w:r w:rsidRPr="009C0C09">
        <w:rPr>
          <w:rFonts w:cs="Arial"/>
          <w:b w:val="0"/>
          <w:bCs/>
          <w:i w:val="0"/>
          <w:szCs w:val="27"/>
        </w:rPr>
        <w:t xml:space="preserve"> causal de</w:t>
      </w:r>
      <w:r w:rsidR="00777E0D">
        <w:rPr>
          <w:rFonts w:cs="Arial"/>
          <w:b w:val="0"/>
          <w:bCs/>
          <w:i w:val="0"/>
          <w:szCs w:val="27"/>
        </w:rPr>
        <w:t xml:space="preserve"> improcedencia o sobreseimiento;</w:t>
      </w:r>
      <w:r w:rsidRPr="009C0C09">
        <w:rPr>
          <w:rFonts w:cs="Arial"/>
          <w:b w:val="0"/>
          <w:bCs/>
          <w:i w:val="0"/>
          <w:szCs w:val="27"/>
        </w:rPr>
        <w:t xml:space="preserve"> por tanto,</w:t>
      </w:r>
      <w:r w:rsidR="00B25FEC">
        <w:rPr>
          <w:rFonts w:cs="Arial"/>
          <w:b w:val="0"/>
          <w:bCs/>
          <w:i w:val="0"/>
          <w:szCs w:val="27"/>
        </w:rPr>
        <w:t xml:space="preserve"> </w:t>
      </w:r>
      <w:r w:rsidR="00B25FEC" w:rsidRPr="00B25FEC">
        <w:rPr>
          <w:rFonts w:cs="Arial"/>
          <w:bCs/>
          <w:i w:val="0"/>
          <w:szCs w:val="27"/>
        </w:rPr>
        <w:t>NO</w:t>
      </w:r>
      <w:r w:rsidR="00B25FEC">
        <w:rPr>
          <w:rFonts w:cs="Arial"/>
          <w:b w:val="0"/>
          <w:bCs/>
          <w:i w:val="0"/>
          <w:szCs w:val="27"/>
        </w:rPr>
        <w:t xml:space="preserve"> </w:t>
      </w:r>
      <w:r w:rsidR="00B25FEC" w:rsidRPr="00B25FEC">
        <w:rPr>
          <w:rFonts w:cs="Arial"/>
          <w:bCs/>
          <w:i w:val="0"/>
          <w:szCs w:val="27"/>
        </w:rPr>
        <w:t>SE</w:t>
      </w:r>
      <w:r w:rsidRPr="009C0C09">
        <w:rPr>
          <w:rFonts w:cs="Arial"/>
          <w:b w:val="0"/>
          <w:bCs/>
          <w:i w:val="0"/>
          <w:szCs w:val="27"/>
        </w:rPr>
        <w:t xml:space="preserve"> </w:t>
      </w:r>
      <w:r w:rsidR="00FC3B53" w:rsidRPr="00FC3B53">
        <w:rPr>
          <w:rFonts w:cs="Arial"/>
          <w:i w:val="0"/>
          <w:szCs w:val="27"/>
        </w:rPr>
        <w:t>SOBRESEE EL PRESENTE JUICIO</w:t>
      </w:r>
      <w:r w:rsidR="00B25FEC">
        <w:rPr>
          <w:rFonts w:cs="Arial"/>
          <w:i w:val="0"/>
          <w:szCs w:val="27"/>
        </w:rPr>
        <w:t>.</w:t>
      </w:r>
    </w:p>
    <w:p w14:paraId="0CB13576" w14:textId="439DE5FF" w:rsidR="003E0CBC" w:rsidRPr="008B7544" w:rsidRDefault="003E0CBC" w:rsidP="005358CE">
      <w:pPr>
        <w:pStyle w:val="Sangra2detindependiente1"/>
        <w:spacing w:after="200" w:line="360" w:lineRule="auto"/>
        <w:ind w:right="51" w:firstLine="567"/>
        <w:rPr>
          <w:rFonts w:cs="Arial"/>
          <w:i w:val="0"/>
          <w:szCs w:val="27"/>
        </w:rPr>
      </w:pPr>
      <w:r w:rsidRPr="009C0C09">
        <w:rPr>
          <w:rFonts w:cs="Arial"/>
          <w:i w:val="0"/>
          <w:szCs w:val="27"/>
        </w:rPr>
        <w:t>CUARTO.</w:t>
      </w:r>
      <w:r w:rsidRPr="009C0C09">
        <w:rPr>
          <w:rFonts w:cs="Arial"/>
          <w:b w:val="0"/>
          <w:bCs/>
          <w:i w:val="0"/>
          <w:szCs w:val="27"/>
        </w:rPr>
        <w:t xml:space="preserve"> Se </w:t>
      </w:r>
      <w:r w:rsidR="00FC3B53" w:rsidRPr="00FC3B53">
        <w:rPr>
          <w:rFonts w:cs="Arial"/>
          <w:bCs/>
          <w:i w:val="0"/>
          <w:szCs w:val="27"/>
        </w:rPr>
        <w:t>RECONOCE LA LEGALIDAD Y VALIDEZ</w:t>
      </w:r>
      <w:r w:rsidR="00FC3B53" w:rsidRPr="00FC3B53">
        <w:rPr>
          <w:rFonts w:cs="Arial"/>
          <w:b w:val="0"/>
          <w:bCs/>
          <w:i w:val="0"/>
          <w:szCs w:val="27"/>
        </w:rPr>
        <w:t xml:space="preserve"> del </w:t>
      </w:r>
      <w:r w:rsidR="00B25FEC" w:rsidRPr="00B25FEC">
        <w:rPr>
          <w:rFonts w:cs="Arial"/>
          <w:b w:val="0"/>
          <w:bCs/>
          <w:i w:val="0"/>
          <w:szCs w:val="27"/>
        </w:rPr>
        <w:t>acuerdo de</w:t>
      </w:r>
      <w:r w:rsidR="00564FD1">
        <w:rPr>
          <w:rFonts w:cs="Arial"/>
          <w:b w:val="0"/>
          <w:bCs/>
          <w:i w:val="0"/>
          <w:szCs w:val="27"/>
        </w:rPr>
        <w:t xml:space="preserve"> *****</w:t>
      </w:r>
      <w:r w:rsidR="00B25FEC" w:rsidRPr="00B25FEC">
        <w:rPr>
          <w:rFonts w:cs="Arial"/>
          <w:b w:val="0"/>
          <w:bCs/>
          <w:i w:val="0"/>
          <w:szCs w:val="27"/>
        </w:rPr>
        <w:t xml:space="preserve"> de </w:t>
      </w:r>
      <w:r w:rsidR="00564FD1">
        <w:rPr>
          <w:rFonts w:cs="Arial"/>
          <w:b w:val="0"/>
          <w:bCs/>
          <w:i w:val="0"/>
          <w:szCs w:val="27"/>
        </w:rPr>
        <w:t>*****</w:t>
      </w:r>
      <w:r w:rsidR="00B25FEC" w:rsidRPr="00B25FEC">
        <w:rPr>
          <w:rFonts w:cs="Arial"/>
          <w:b w:val="0"/>
          <w:bCs/>
          <w:i w:val="0"/>
          <w:szCs w:val="27"/>
        </w:rPr>
        <w:t xml:space="preserve"> de dos mil </w:t>
      </w:r>
      <w:r w:rsidR="00564FD1">
        <w:rPr>
          <w:rFonts w:cs="Arial"/>
          <w:b w:val="0"/>
          <w:bCs/>
          <w:i w:val="0"/>
          <w:szCs w:val="27"/>
        </w:rPr>
        <w:t>*****</w:t>
      </w:r>
      <w:r w:rsidR="00B25FEC" w:rsidRPr="00B25FEC">
        <w:rPr>
          <w:rFonts w:cs="Arial"/>
          <w:b w:val="0"/>
          <w:bCs/>
          <w:i w:val="0"/>
          <w:szCs w:val="27"/>
        </w:rPr>
        <w:t>, dictado por el Jefe de la Unidad Jurídica de la Comisaría General de Seguridad Pública y Vialidad Municipal</w:t>
      </w:r>
      <w:r w:rsidR="00777E0D">
        <w:rPr>
          <w:rFonts w:cs="Arial"/>
          <w:b w:val="0"/>
          <w:bCs/>
          <w:i w:val="0"/>
          <w:szCs w:val="27"/>
        </w:rPr>
        <w:t>,</w:t>
      </w:r>
      <w:r w:rsidR="00B25FEC" w:rsidRPr="00B25FEC">
        <w:rPr>
          <w:rFonts w:cs="Arial"/>
          <w:b w:val="0"/>
          <w:bCs/>
          <w:i w:val="0"/>
          <w:szCs w:val="27"/>
        </w:rPr>
        <w:t xml:space="preserve"> ahora Director Jurídico de la </w:t>
      </w:r>
      <w:r w:rsidR="00B25FEC" w:rsidRPr="00B25FEC">
        <w:rPr>
          <w:rFonts w:cs="Arial"/>
          <w:b w:val="0"/>
          <w:bCs/>
          <w:i w:val="0"/>
          <w:szCs w:val="27"/>
        </w:rPr>
        <w:lastRenderedPageBreak/>
        <w:t>Comisión de Seguridad Pública, Vialidad, Transporte y Protección Civil del Municipio de Oaxaca de Juárez Oaxaca, ergo, resultan improcedentes las pretensiones reclamadas por el hoy accionante</w:t>
      </w:r>
      <w:r w:rsidR="00FC3B53" w:rsidRPr="00FC3B53">
        <w:rPr>
          <w:rFonts w:cs="Arial"/>
          <w:b w:val="0"/>
          <w:bCs/>
          <w:i w:val="0"/>
          <w:szCs w:val="27"/>
        </w:rPr>
        <w:t xml:space="preserve">, </w:t>
      </w:r>
      <w:r w:rsidRPr="008B7544">
        <w:rPr>
          <w:rFonts w:cs="Arial"/>
          <w:b w:val="0"/>
          <w:bCs/>
          <w:i w:val="0"/>
          <w:szCs w:val="27"/>
        </w:rPr>
        <w:t>por las razones ya exp</w:t>
      </w:r>
      <w:r w:rsidR="00B25FEC">
        <w:rPr>
          <w:rFonts w:cs="Arial"/>
          <w:b w:val="0"/>
          <w:bCs/>
          <w:i w:val="0"/>
          <w:szCs w:val="27"/>
        </w:rPr>
        <w:t>uestas en los</w:t>
      </w:r>
      <w:r w:rsidR="004B721D" w:rsidRPr="008B7544">
        <w:rPr>
          <w:rFonts w:cs="Arial"/>
          <w:b w:val="0"/>
          <w:bCs/>
          <w:i w:val="0"/>
          <w:szCs w:val="27"/>
        </w:rPr>
        <w:t xml:space="preserve"> considerando</w:t>
      </w:r>
      <w:r w:rsidR="00B25FEC">
        <w:rPr>
          <w:rFonts w:cs="Arial"/>
          <w:b w:val="0"/>
          <w:bCs/>
          <w:i w:val="0"/>
          <w:szCs w:val="27"/>
        </w:rPr>
        <w:t>s</w:t>
      </w:r>
      <w:r w:rsidR="00804C16" w:rsidRPr="008B7544">
        <w:rPr>
          <w:rFonts w:cs="Arial"/>
          <w:b w:val="0"/>
          <w:bCs/>
          <w:i w:val="0"/>
          <w:szCs w:val="27"/>
        </w:rPr>
        <w:t xml:space="preserve"> </w:t>
      </w:r>
      <w:r w:rsidR="00FC3B53">
        <w:rPr>
          <w:rFonts w:cs="Arial"/>
          <w:b w:val="0"/>
          <w:bCs/>
          <w:i w:val="0"/>
          <w:szCs w:val="27"/>
        </w:rPr>
        <w:t>CUARTO</w:t>
      </w:r>
      <w:r w:rsidR="00B25FEC">
        <w:rPr>
          <w:rFonts w:cs="Arial"/>
          <w:b w:val="0"/>
          <w:bCs/>
          <w:i w:val="0"/>
          <w:szCs w:val="27"/>
        </w:rPr>
        <w:t xml:space="preserve"> a SEXTO</w:t>
      </w:r>
      <w:r w:rsidRPr="008B7544">
        <w:rPr>
          <w:rFonts w:cs="Arial"/>
          <w:b w:val="0"/>
          <w:bCs/>
          <w:i w:val="0"/>
          <w:szCs w:val="27"/>
        </w:rPr>
        <w:t xml:space="preserve"> de esta sentencia.</w:t>
      </w:r>
    </w:p>
    <w:p w14:paraId="055CA884" w14:textId="568D7D87" w:rsidR="003E0CBC" w:rsidRDefault="003E0CBC" w:rsidP="00537F3C">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77777777" w:rsidR="004B22DE" w:rsidRDefault="004B22DE" w:rsidP="00537F3C">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de la Segunda Sala Unitaria de Primera Instancia del Tribunal de Justicia Administrativa del Estado de Oaxaca, quien actúa con el Secretario de Acuerdos, que autoriza y da fe.</w:t>
      </w:r>
    </w:p>
    <w:p w14:paraId="052CCE48" w14:textId="77777777" w:rsidR="004B22DE" w:rsidRPr="00604752" w:rsidRDefault="004B22DE" w:rsidP="00231F35">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 xml:space="preserve">DE LA SEGUNDA SALA UNITARIA DEL </w:t>
      </w:r>
    </w:p>
    <w:p w14:paraId="22F26218" w14:textId="77777777" w:rsidR="004B22DE" w:rsidRPr="00604752" w:rsidRDefault="004B22DE" w:rsidP="00231F35">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TRIBUNAL DE JUSTICIA ADMINISTRATIVA</w:t>
      </w:r>
    </w:p>
    <w:p w14:paraId="60CAA5F7" w14:textId="77777777" w:rsidR="004B22DE" w:rsidRPr="00604752" w:rsidRDefault="004B22DE" w:rsidP="00231F35">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231F35">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77777777" w:rsidR="004B22DE" w:rsidRPr="00604752" w:rsidRDefault="004B22DE" w:rsidP="00231F35">
      <w:pPr>
        <w:widowControl w:val="0"/>
        <w:spacing w:after="0" w:line="360" w:lineRule="auto"/>
        <w:ind w:right="51"/>
        <w:jc w:val="center"/>
        <w:rPr>
          <w:rFonts w:ascii="Arial" w:eastAsia="Times New Roman" w:hAnsi="Arial" w:cs="Arial"/>
          <w:b/>
          <w:sz w:val="24"/>
          <w:szCs w:val="24"/>
          <w:lang w:val="es-ES" w:eastAsia="es-ES"/>
        </w:rPr>
      </w:pPr>
    </w:p>
    <w:p w14:paraId="3C52CAED" w14:textId="0EC43F2C" w:rsidR="004B22DE" w:rsidRDefault="004B22DE" w:rsidP="00231F35">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Pr="00604752" w:rsidRDefault="004B22DE" w:rsidP="00231F35">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597165DA" w14:textId="77777777" w:rsidR="004B22DE" w:rsidRPr="00604752" w:rsidRDefault="004B22DE" w:rsidP="00231F35">
      <w:pPr>
        <w:widowControl w:val="0"/>
        <w:spacing w:after="0" w:line="360" w:lineRule="auto"/>
        <w:ind w:right="51"/>
        <w:jc w:val="center"/>
        <w:rPr>
          <w:rFonts w:ascii="Arial" w:eastAsia="Times New Roman" w:hAnsi="Arial" w:cs="Arial"/>
          <w:b/>
          <w:sz w:val="24"/>
          <w:szCs w:val="24"/>
          <w:lang w:val="es-ES" w:eastAsia="es-ES"/>
        </w:rPr>
      </w:pPr>
    </w:p>
    <w:p w14:paraId="56811E27" w14:textId="77777777" w:rsidR="008A75BE" w:rsidRDefault="008A75BE" w:rsidP="00231F35">
      <w:pPr>
        <w:widowControl w:val="0"/>
        <w:spacing w:after="0" w:line="360" w:lineRule="auto"/>
        <w:ind w:right="51"/>
        <w:jc w:val="center"/>
        <w:rPr>
          <w:rFonts w:ascii="Arial" w:eastAsia="Times New Roman" w:hAnsi="Arial" w:cs="Arial"/>
          <w:b/>
          <w:sz w:val="24"/>
          <w:szCs w:val="24"/>
          <w:lang w:val="es-ES" w:eastAsia="es-ES"/>
        </w:rPr>
      </w:pPr>
    </w:p>
    <w:p w14:paraId="72CF37A0" w14:textId="4E99D746" w:rsidR="00990285" w:rsidRPr="00990285" w:rsidRDefault="004B22DE" w:rsidP="00990285">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990285" w:rsidRPr="00990285" w:rsidSect="00F27205">
      <w:headerReference w:type="even" r:id="rId8"/>
      <w:headerReference w:type="default" r:id="rId9"/>
      <w:footerReference w:type="even" r:id="rId10"/>
      <w:footerReference w:type="default" r:id="rId11"/>
      <w:headerReference w:type="first" r:id="rId12"/>
      <w:footerReference w:type="first" r:id="rId13"/>
      <w:pgSz w:w="12240" w:h="20160" w:code="5"/>
      <w:pgMar w:top="1560" w:right="1418" w:bottom="2268" w:left="1985" w:header="709" w:footer="4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91BD3A" w14:textId="77777777" w:rsidR="00574A83" w:rsidRDefault="00574A83" w:rsidP="00604752">
      <w:pPr>
        <w:spacing w:after="0" w:line="240" w:lineRule="auto"/>
      </w:pPr>
      <w:r>
        <w:separator/>
      </w:r>
    </w:p>
  </w:endnote>
  <w:endnote w:type="continuationSeparator" w:id="0">
    <w:p w14:paraId="5B60F8B6" w14:textId="77777777" w:rsidR="00574A83" w:rsidRDefault="00574A83"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3D17B" w14:textId="77777777" w:rsidR="00F27205" w:rsidRDefault="00F2720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2754513"/>
      <w:docPartObj>
        <w:docPartGallery w:val="Page Numbers (Bottom of Page)"/>
        <w:docPartUnique/>
      </w:docPartObj>
    </w:sdtPr>
    <w:sdtEndPr>
      <w:rPr>
        <w:rFonts w:ascii="Arial" w:hAnsi="Arial" w:cs="Arial"/>
        <w:sz w:val="24"/>
        <w:szCs w:val="24"/>
      </w:rPr>
    </w:sdtEndPr>
    <w:sdtContent>
      <w:p w14:paraId="71EF2787" w14:textId="5645A89D"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862B69" w:rsidRPr="00862B69">
          <w:rPr>
            <w:rFonts w:ascii="Arial" w:hAnsi="Arial" w:cs="Arial"/>
            <w:noProof/>
            <w:sz w:val="24"/>
            <w:szCs w:val="24"/>
            <w:lang w:val="es-ES"/>
          </w:rPr>
          <w:t>10</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A4CC9" w14:textId="77777777" w:rsidR="00F27205" w:rsidRDefault="00F2720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E87723" w14:textId="77777777" w:rsidR="00574A83" w:rsidRDefault="00574A83" w:rsidP="00604752">
      <w:pPr>
        <w:spacing w:after="0" w:line="240" w:lineRule="auto"/>
      </w:pPr>
      <w:r>
        <w:separator/>
      </w:r>
    </w:p>
  </w:footnote>
  <w:footnote w:type="continuationSeparator" w:id="0">
    <w:p w14:paraId="7BBF4A9A" w14:textId="77777777" w:rsidR="00574A83" w:rsidRDefault="00574A83" w:rsidP="00604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6CCFE" w14:textId="5E42341B" w:rsidR="00F27205" w:rsidRDefault="00F27205">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14CC5657" wp14:editId="76AAE982">
              <wp:simplePos x="0" y="0"/>
              <wp:positionH relativeFrom="rightMargin">
                <wp:align>left</wp:align>
              </wp:positionH>
              <wp:positionV relativeFrom="paragraph">
                <wp:posOffset>4940935</wp:posOffset>
              </wp:positionV>
              <wp:extent cx="1181100" cy="154305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7E190D36" w14:textId="77777777" w:rsidR="00F27205" w:rsidRDefault="00F27205" w:rsidP="00F27205">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CC5657" id="_x0000_t202" coordsize="21600,21600" o:spt="202" path="m,l,21600r21600,l21600,xe">
              <v:stroke joinstyle="miter"/>
              <v:path gradientshapeok="t" o:connecttype="rect"/>
            </v:shapetype>
            <v:shape id="Cuadro de texto 1" o:spid="_x0000_s1026" type="#_x0000_t202" style="position:absolute;margin-left:0;margin-top:389.05pt;width:93pt;height:121.5pt;z-index:-251640832;visibility:visible;mso-wrap-style:square;mso-width-percent:0;mso-height-percent:0;mso-wrap-distance-left:9pt;mso-wrap-distance-top:3.6pt;mso-wrap-distance-right:9pt;mso-wrap-distance-bottom:3.6pt;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">
              <v:textbox>
                <w:txbxContent>
                  <w:p w14:paraId="7E190D36" w14:textId="77777777" w:rsidR="00F27205" w:rsidRDefault="00F27205" w:rsidP="00F27205">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2B899626" w:rsidR="0076338B" w:rsidRDefault="00F27205">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05FDEFB6" wp14:editId="22E8FEC6">
              <wp:simplePos x="0" y="0"/>
              <wp:positionH relativeFrom="leftMargin">
                <wp:align>right</wp:align>
              </wp:positionH>
              <wp:positionV relativeFrom="paragraph">
                <wp:posOffset>4940935</wp:posOffset>
              </wp:positionV>
              <wp:extent cx="1181100" cy="1543050"/>
              <wp:effectExtent l="0" t="0" r="19050" b="1905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79E1BE34" w14:textId="77777777" w:rsidR="00F27205" w:rsidRDefault="00F27205" w:rsidP="00F27205">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5FDEFB6" id="_x0000_t202" coordsize="21600,21600" o:spt="202" path="m,l,21600r21600,l21600,xe">
              <v:stroke joinstyle="miter"/>
              <v:path gradientshapeok="t" o:connecttype="rect"/>
            </v:shapetype>
            <v:shape id="Cuadro de texto 2" o:spid="_x0000_s1027" type="#_x0000_t202" style="position:absolute;margin-left:41.8pt;margin-top:389.05pt;width:93pt;height:121.5pt;z-index:-25164288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">
              <v:textbox>
                <w:txbxContent>
                  <w:p w14:paraId="79E1BE34" w14:textId="77777777" w:rsidR="00F27205" w:rsidRDefault="00F27205" w:rsidP="00F27205">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margin"/>
            </v:shape>
          </w:pict>
        </mc:Fallback>
      </mc:AlternateContent>
    </w:r>
    <w:r w:rsidR="000702F1">
      <w:rPr>
        <w:noProof/>
        <w:lang w:val="es-ES" w:eastAsia="es-ES"/>
      </w:rPr>
      <w:drawing>
        <wp:anchor distT="0" distB="0" distL="114300" distR="114300" simplePos="0" relativeHeight="251671552" behindDoc="1" locked="0" layoutInCell="1" allowOverlap="1" wp14:anchorId="0B18CD11" wp14:editId="1EA8A039">
          <wp:simplePos x="0" y="0"/>
          <wp:positionH relativeFrom="page">
            <wp:align>right</wp:align>
          </wp:positionH>
          <wp:positionV relativeFrom="paragraph">
            <wp:posOffset>4514215</wp:posOffset>
          </wp:positionV>
          <wp:extent cx="7711312" cy="2869325"/>
          <wp:effectExtent l="0" t="0" r="4445" b="762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399A8950" w:rsidR="0076338B" w:rsidRDefault="000702F1">
    <w:pPr>
      <w:pStyle w:val="Encabezado"/>
    </w:pPr>
    <w:r>
      <w:rPr>
        <w:noProof/>
        <w:lang w:val="es-ES" w:eastAsia="es-ES"/>
      </w:rPr>
      <w:drawing>
        <wp:anchor distT="0" distB="0" distL="114300" distR="114300" simplePos="0" relativeHeight="251669504" behindDoc="1" locked="0" layoutInCell="1" allowOverlap="1" wp14:anchorId="42077F2A" wp14:editId="40C9088A">
          <wp:simplePos x="0" y="0"/>
          <wp:positionH relativeFrom="page">
            <wp:align>left</wp:align>
          </wp:positionH>
          <wp:positionV relativeFrom="paragraph">
            <wp:posOffset>4152265</wp:posOffset>
          </wp:positionV>
          <wp:extent cx="7711312" cy="2869325"/>
          <wp:effectExtent l="0" t="0" r="4445" b="762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955332895">
    <w:abstractNumId w:val="2"/>
  </w:num>
  <w:num w:numId="2" w16cid:durableId="1686319008">
    <w:abstractNumId w:val="3"/>
  </w:num>
  <w:num w:numId="3" w16cid:durableId="306907560">
    <w:abstractNumId w:val="6"/>
  </w:num>
  <w:num w:numId="4" w16cid:durableId="1023289499">
    <w:abstractNumId w:val="0"/>
  </w:num>
  <w:num w:numId="5" w16cid:durableId="2046056751">
    <w:abstractNumId w:val="4"/>
  </w:num>
  <w:num w:numId="6" w16cid:durableId="357048640">
    <w:abstractNumId w:val="1"/>
  </w:num>
  <w:num w:numId="7" w16cid:durableId="14212973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MX" w:vendorID="64" w:dllVersion="0" w:nlCheck="1" w:checkStyle="0"/>
  <w:activeWritingStyle w:appName="MSWord" w:lang="es-ES_tradnl" w:vendorID="64" w:dllVersion="0" w:nlCheck="1" w:checkStyle="0"/>
  <w:defaultTabStop w:val="709"/>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1A19"/>
    <w:rsid w:val="00012F54"/>
    <w:rsid w:val="00015348"/>
    <w:rsid w:val="000203B2"/>
    <w:rsid w:val="00020CD8"/>
    <w:rsid w:val="00021165"/>
    <w:rsid w:val="00023160"/>
    <w:rsid w:val="00023E0F"/>
    <w:rsid w:val="0002521A"/>
    <w:rsid w:val="00025927"/>
    <w:rsid w:val="00026BB2"/>
    <w:rsid w:val="00030491"/>
    <w:rsid w:val="00032735"/>
    <w:rsid w:val="00032827"/>
    <w:rsid w:val="000337D1"/>
    <w:rsid w:val="00035013"/>
    <w:rsid w:val="000363E1"/>
    <w:rsid w:val="00036A0C"/>
    <w:rsid w:val="00037B72"/>
    <w:rsid w:val="00041033"/>
    <w:rsid w:val="00043748"/>
    <w:rsid w:val="00044B1B"/>
    <w:rsid w:val="00045E11"/>
    <w:rsid w:val="00051177"/>
    <w:rsid w:val="0005415A"/>
    <w:rsid w:val="00061342"/>
    <w:rsid w:val="00065B48"/>
    <w:rsid w:val="000662B7"/>
    <w:rsid w:val="000702F1"/>
    <w:rsid w:val="00070FF6"/>
    <w:rsid w:val="00080AB5"/>
    <w:rsid w:val="0008338C"/>
    <w:rsid w:val="00092E1F"/>
    <w:rsid w:val="00094E83"/>
    <w:rsid w:val="000951F5"/>
    <w:rsid w:val="000958C9"/>
    <w:rsid w:val="000A180B"/>
    <w:rsid w:val="000A25F3"/>
    <w:rsid w:val="000A2814"/>
    <w:rsid w:val="000A2A86"/>
    <w:rsid w:val="000A3369"/>
    <w:rsid w:val="000A5644"/>
    <w:rsid w:val="000A5C47"/>
    <w:rsid w:val="000A64DF"/>
    <w:rsid w:val="000A68D9"/>
    <w:rsid w:val="000B1C0B"/>
    <w:rsid w:val="000B426C"/>
    <w:rsid w:val="000B48CB"/>
    <w:rsid w:val="000B6CC4"/>
    <w:rsid w:val="000C1184"/>
    <w:rsid w:val="000C35D8"/>
    <w:rsid w:val="000C6172"/>
    <w:rsid w:val="000C6FAD"/>
    <w:rsid w:val="000C72D1"/>
    <w:rsid w:val="000D23FD"/>
    <w:rsid w:val="000D4CD0"/>
    <w:rsid w:val="000D77F2"/>
    <w:rsid w:val="000E1601"/>
    <w:rsid w:val="000E2FD3"/>
    <w:rsid w:val="000E38FC"/>
    <w:rsid w:val="000E728E"/>
    <w:rsid w:val="00100595"/>
    <w:rsid w:val="0010065B"/>
    <w:rsid w:val="001009AB"/>
    <w:rsid w:val="00102315"/>
    <w:rsid w:val="00107771"/>
    <w:rsid w:val="00114DC4"/>
    <w:rsid w:val="00115274"/>
    <w:rsid w:val="001229C5"/>
    <w:rsid w:val="0012475C"/>
    <w:rsid w:val="00125487"/>
    <w:rsid w:val="00125DC6"/>
    <w:rsid w:val="001275B8"/>
    <w:rsid w:val="00130A32"/>
    <w:rsid w:val="00131EDE"/>
    <w:rsid w:val="00132658"/>
    <w:rsid w:val="00133B16"/>
    <w:rsid w:val="001350AA"/>
    <w:rsid w:val="001352D8"/>
    <w:rsid w:val="0013532F"/>
    <w:rsid w:val="00137BB7"/>
    <w:rsid w:val="00140805"/>
    <w:rsid w:val="00147461"/>
    <w:rsid w:val="001500A9"/>
    <w:rsid w:val="00151127"/>
    <w:rsid w:val="001514E4"/>
    <w:rsid w:val="0015341F"/>
    <w:rsid w:val="001628B3"/>
    <w:rsid w:val="001636E6"/>
    <w:rsid w:val="001658D6"/>
    <w:rsid w:val="0017075E"/>
    <w:rsid w:val="0017432F"/>
    <w:rsid w:val="00181533"/>
    <w:rsid w:val="00187883"/>
    <w:rsid w:val="00195E1F"/>
    <w:rsid w:val="00196279"/>
    <w:rsid w:val="00196485"/>
    <w:rsid w:val="0019775B"/>
    <w:rsid w:val="001A1FE9"/>
    <w:rsid w:val="001A2788"/>
    <w:rsid w:val="001B0663"/>
    <w:rsid w:val="001B1B39"/>
    <w:rsid w:val="001B43DF"/>
    <w:rsid w:val="001B77BA"/>
    <w:rsid w:val="001C0F76"/>
    <w:rsid w:val="001C2433"/>
    <w:rsid w:val="001C6514"/>
    <w:rsid w:val="001D1062"/>
    <w:rsid w:val="001D267C"/>
    <w:rsid w:val="001E1A1B"/>
    <w:rsid w:val="001E49C1"/>
    <w:rsid w:val="001E4A0B"/>
    <w:rsid w:val="001F072A"/>
    <w:rsid w:val="001F1AF2"/>
    <w:rsid w:val="001F2FF9"/>
    <w:rsid w:val="001F3962"/>
    <w:rsid w:val="00200488"/>
    <w:rsid w:val="00203B91"/>
    <w:rsid w:val="00207BD0"/>
    <w:rsid w:val="002121AD"/>
    <w:rsid w:val="002218A2"/>
    <w:rsid w:val="002256EC"/>
    <w:rsid w:val="002257D3"/>
    <w:rsid w:val="00226128"/>
    <w:rsid w:val="00226C93"/>
    <w:rsid w:val="00226CFF"/>
    <w:rsid w:val="00230E4C"/>
    <w:rsid w:val="0023143E"/>
    <w:rsid w:val="002318D5"/>
    <w:rsid w:val="00231F35"/>
    <w:rsid w:val="0023668C"/>
    <w:rsid w:val="002366C5"/>
    <w:rsid w:val="002419CF"/>
    <w:rsid w:val="00245001"/>
    <w:rsid w:val="00245075"/>
    <w:rsid w:val="00245D82"/>
    <w:rsid w:val="00246C9D"/>
    <w:rsid w:val="00251577"/>
    <w:rsid w:val="002524BD"/>
    <w:rsid w:val="00252E0F"/>
    <w:rsid w:val="00265704"/>
    <w:rsid w:val="00267C69"/>
    <w:rsid w:val="0027164D"/>
    <w:rsid w:val="002747AF"/>
    <w:rsid w:val="0027572E"/>
    <w:rsid w:val="0027767F"/>
    <w:rsid w:val="00280432"/>
    <w:rsid w:val="00282381"/>
    <w:rsid w:val="0028475A"/>
    <w:rsid w:val="00284BB4"/>
    <w:rsid w:val="00284C04"/>
    <w:rsid w:val="00286CCF"/>
    <w:rsid w:val="002914F2"/>
    <w:rsid w:val="00292144"/>
    <w:rsid w:val="00295133"/>
    <w:rsid w:val="002A6281"/>
    <w:rsid w:val="002A7002"/>
    <w:rsid w:val="002A7FE6"/>
    <w:rsid w:val="002B245A"/>
    <w:rsid w:val="002B2C0E"/>
    <w:rsid w:val="002B4984"/>
    <w:rsid w:val="002B52BC"/>
    <w:rsid w:val="002C0B96"/>
    <w:rsid w:val="002C0FD7"/>
    <w:rsid w:val="002C3942"/>
    <w:rsid w:val="002C486B"/>
    <w:rsid w:val="002C4A69"/>
    <w:rsid w:val="002C67BA"/>
    <w:rsid w:val="002D1BF0"/>
    <w:rsid w:val="002D1DE6"/>
    <w:rsid w:val="002D696F"/>
    <w:rsid w:val="002D6FDD"/>
    <w:rsid w:val="002E0F64"/>
    <w:rsid w:val="002E2F9B"/>
    <w:rsid w:val="002F08AA"/>
    <w:rsid w:val="002F1049"/>
    <w:rsid w:val="002F2F88"/>
    <w:rsid w:val="002F3688"/>
    <w:rsid w:val="002F5AFB"/>
    <w:rsid w:val="002F71C8"/>
    <w:rsid w:val="00301470"/>
    <w:rsid w:val="003022B9"/>
    <w:rsid w:val="003039BE"/>
    <w:rsid w:val="00304F2A"/>
    <w:rsid w:val="003057ED"/>
    <w:rsid w:val="003065CF"/>
    <w:rsid w:val="00307ED5"/>
    <w:rsid w:val="003108D9"/>
    <w:rsid w:val="00310BA9"/>
    <w:rsid w:val="003119B9"/>
    <w:rsid w:val="00312B98"/>
    <w:rsid w:val="0031408B"/>
    <w:rsid w:val="00314C35"/>
    <w:rsid w:val="003173F3"/>
    <w:rsid w:val="00323086"/>
    <w:rsid w:val="00327322"/>
    <w:rsid w:val="00327ABE"/>
    <w:rsid w:val="003300CB"/>
    <w:rsid w:val="00330516"/>
    <w:rsid w:val="00331255"/>
    <w:rsid w:val="003337E5"/>
    <w:rsid w:val="00341165"/>
    <w:rsid w:val="00341525"/>
    <w:rsid w:val="00341DB1"/>
    <w:rsid w:val="00346EA0"/>
    <w:rsid w:val="00350003"/>
    <w:rsid w:val="00350413"/>
    <w:rsid w:val="00351EF2"/>
    <w:rsid w:val="00353389"/>
    <w:rsid w:val="0035374B"/>
    <w:rsid w:val="00354B88"/>
    <w:rsid w:val="003569E3"/>
    <w:rsid w:val="00363EFF"/>
    <w:rsid w:val="00366DA3"/>
    <w:rsid w:val="00367127"/>
    <w:rsid w:val="00370E42"/>
    <w:rsid w:val="00371394"/>
    <w:rsid w:val="0037169A"/>
    <w:rsid w:val="00373E2C"/>
    <w:rsid w:val="00375C9A"/>
    <w:rsid w:val="00385143"/>
    <w:rsid w:val="00387930"/>
    <w:rsid w:val="00387B42"/>
    <w:rsid w:val="003905EF"/>
    <w:rsid w:val="0039106E"/>
    <w:rsid w:val="003959C7"/>
    <w:rsid w:val="00396011"/>
    <w:rsid w:val="00396338"/>
    <w:rsid w:val="003966F5"/>
    <w:rsid w:val="00397FC9"/>
    <w:rsid w:val="003A59D3"/>
    <w:rsid w:val="003B2444"/>
    <w:rsid w:val="003C1032"/>
    <w:rsid w:val="003C37D1"/>
    <w:rsid w:val="003C3CAD"/>
    <w:rsid w:val="003C7C99"/>
    <w:rsid w:val="003D4753"/>
    <w:rsid w:val="003D6C41"/>
    <w:rsid w:val="003E0CBC"/>
    <w:rsid w:val="003E3CFA"/>
    <w:rsid w:val="003E65D9"/>
    <w:rsid w:val="003E727C"/>
    <w:rsid w:val="003F08C2"/>
    <w:rsid w:val="003F2515"/>
    <w:rsid w:val="003F2E0D"/>
    <w:rsid w:val="004018A4"/>
    <w:rsid w:val="0040719F"/>
    <w:rsid w:val="004107AC"/>
    <w:rsid w:val="00410B01"/>
    <w:rsid w:val="00414B2B"/>
    <w:rsid w:val="00414D69"/>
    <w:rsid w:val="00414DA8"/>
    <w:rsid w:val="00415B4C"/>
    <w:rsid w:val="0041669C"/>
    <w:rsid w:val="00420360"/>
    <w:rsid w:val="00423C8C"/>
    <w:rsid w:val="00425036"/>
    <w:rsid w:val="00427278"/>
    <w:rsid w:val="00430B1C"/>
    <w:rsid w:val="0043159F"/>
    <w:rsid w:val="00432832"/>
    <w:rsid w:val="00440813"/>
    <w:rsid w:val="004432E7"/>
    <w:rsid w:val="00443701"/>
    <w:rsid w:val="00444C6F"/>
    <w:rsid w:val="004471F8"/>
    <w:rsid w:val="00451D96"/>
    <w:rsid w:val="00460CAD"/>
    <w:rsid w:val="00464066"/>
    <w:rsid w:val="004660BC"/>
    <w:rsid w:val="004661F3"/>
    <w:rsid w:val="00470468"/>
    <w:rsid w:val="00471718"/>
    <w:rsid w:val="00471CEB"/>
    <w:rsid w:val="004723BF"/>
    <w:rsid w:val="00473DFA"/>
    <w:rsid w:val="004806A4"/>
    <w:rsid w:val="00481380"/>
    <w:rsid w:val="0048308A"/>
    <w:rsid w:val="00485E2A"/>
    <w:rsid w:val="00490359"/>
    <w:rsid w:val="004924F5"/>
    <w:rsid w:val="0049287C"/>
    <w:rsid w:val="00493D8D"/>
    <w:rsid w:val="004A0097"/>
    <w:rsid w:val="004A0186"/>
    <w:rsid w:val="004A051C"/>
    <w:rsid w:val="004A0EDA"/>
    <w:rsid w:val="004A23FF"/>
    <w:rsid w:val="004A3D3D"/>
    <w:rsid w:val="004A6487"/>
    <w:rsid w:val="004B030F"/>
    <w:rsid w:val="004B0D7E"/>
    <w:rsid w:val="004B22DE"/>
    <w:rsid w:val="004B2515"/>
    <w:rsid w:val="004B721D"/>
    <w:rsid w:val="004C0019"/>
    <w:rsid w:val="004C2238"/>
    <w:rsid w:val="004C707E"/>
    <w:rsid w:val="004D1476"/>
    <w:rsid w:val="004D40B5"/>
    <w:rsid w:val="004D43CB"/>
    <w:rsid w:val="004D7D05"/>
    <w:rsid w:val="004E11C6"/>
    <w:rsid w:val="004E3E0D"/>
    <w:rsid w:val="004E6BEC"/>
    <w:rsid w:val="004E6EA5"/>
    <w:rsid w:val="004F09FC"/>
    <w:rsid w:val="004F202C"/>
    <w:rsid w:val="004F2095"/>
    <w:rsid w:val="004F2765"/>
    <w:rsid w:val="004F2843"/>
    <w:rsid w:val="004F4685"/>
    <w:rsid w:val="004F5D80"/>
    <w:rsid w:val="004F5EA4"/>
    <w:rsid w:val="00504B18"/>
    <w:rsid w:val="00504C8D"/>
    <w:rsid w:val="00504CD6"/>
    <w:rsid w:val="00506B35"/>
    <w:rsid w:val="00511877"/>
    <w:rsid w:val="00513DF2"/>
    <w:rsid w:val="00522225"/>
    <w:rsid w:val="00524C59"/>
    <w:rsid w:val="005277D3"/>
    <w:rsid w:val="00530917"/>
    <w:rsid w:val="00530D44"/>
    <w:rsid w:val="00533365"/>
    <w:rsid w:val="0053425C"/>
    <w:rsid w:val="005358CE"/>
    <w:rsid w:val="005359BA"/>
    <w:rsid w:val="00537F3C"/>
    <w:rsid w:val="005428ED"/>
    <w:rsid w:val="0054679C"/>
    <w:rsid w:val="00551613"/>
    <w:rsid w:val="00553334"/>
    <w:rsid w:val="00554D73"/>
    <w:rsid w:val="00555879"/>
    <w:rsid w:val="00555D1C"/>
    <w:rsid w:val="0055660F"/>
    <w:rsid w:val="005576F6"/>
    <w:rsid w:val="005579FF"/>
    <w:rsid w:val="00564CE2"/>
    <w:rsid w:val="00564FD1"/>
    <w:rsid w:val="00566787"/>
    <w:rsid w:val="00571FEB"/>
    <w:rsid w:val="00572DD0"/>
    <w:rsid w:val="00573D74"/>
    <w:rsid w:val="00574A83"/>
    <w:rsid w:val="0057663D"/>
    <w:rsid w:val="00582368"/>
    <w:rsid w:val="00582A02"/>
    <w:rsid w:val="00583750"/>
    <w:rsid w:val="00583B55"/>
    <w:rsid w:val="00583E06"/>
    <w:rsid w:val="00583E3A"/>
    <w:rsid w:val="005858B2"/>
    <w:rsid w:val="00585D22"/>
    <w:rsid w:val="0058605B"/>
    <w:rsid w:val="00591D82"/>
    <w:rsid w:val="005943D8"/>
    <w:rsid w:val="00594FDB"/>
    <w:rsid w:val="005A2C6A"/>
    <w:rsid w:val="005A4A79"/>
    <w:rsid w:val="005A4F3A"/>
    <w:rsid w:val="005B1E80"/>
    <w:rsid w:val="005B2116"/>
    <w:rsid w:val="005B24E5"/>
    <w:rsid w:val="005B5E0B"/>
    <w:rsid w:val="005B650F"/>
    <w:rsid w:val="005C329C"/>
    <w:rsid w:val="005C6A8F"/>
    <w:rsid w:val="005C6FB6"/>
    <w:rsid w:val="005D28D8"/>
    <w:rsid w:val="005D3B58"/>
    <w:rsid w:val="005F1B35"/>
    <w:rsid w:val="005F5334"/>
    <w:rsid w:val="005F6C33"/>
    <w:rsid w:val="006021A1"/>
    <w:rsid w:val="00603272"/>
    <w:rsid w:val="00604752"/>
    <w:rsid w:val="0060690F"/>
    <w:rsid w:val="00607FA8"/>
    <w:rsid w:val="00612553"/>
    <w:rsid w:val="00620928"/>
    <w:rsid w:val="00623BC7"/>
    <w:rsid w:val="00625ECE"/>
    <w:rsid w:val="00633E37"/>
    <w:rsid w:val="00635A5F"/>
    <w:rsid w:val="00641215"/>
    <w:rsid w:val="00641CD0"/>
    <w:rsid w:val="00642CF7"/>
    <w:rsid w:val="00642D22"/>
    <w:rsid w:val="006465D7"/>
    <w:rsid w:val="00647DC7"/>
    <w:rsid w:val="0065204C"/>
    <w:rsid w:val="00653CF6"/>
    <w:rsid w:val="0065579F"/>
    <w:rsid w:val="0065591C"/>
    <w:rsid w:val="0066005E"/>
    <w:rsid w:val="00663D98"/>
    <w:rsid w:val="006655D5"/>
    <w:rsid w:val="00667D66"/>
    <w:rsid w:val="00670A60"/>
    <w:rsid w:val="00672681"/>
    <w:rsid w:val="00686FF0"/>
    <w:rsid w:val="0069002D"/>
    <w:rsid w:val="00690311"/>
    <w:rsid w:val="006908BC"/>
    <w:rsid w:val="00693EDC"/>
    <w:rsid w:val="00694F98"/>
    <w:rsid w:val="00696743"/>
    <w:rsid w:val="00697132"/>
    <w:rsid w:val="006A113F"/>
    <w:rsid w:val="006A54B9"/>
    <w:rsid w:val="006B091C"/>
    <w:rsid w:val="006B2272"/>
    <w:rsid w:val="006B5F38"/>
    <w:rsid w:val="006B62F2"/>
    <w:rsid w:val="006B6EE7"/>
    <w:rsid w:val="006B7E96"/>
    <w:rsid w:val="006C08E5"/>
    <w:rsid w:val="006C66B7"/>
    <w:rsid w:val="006C687F"/>
    <w:rsid w:val="006D1B36"/>
    <w:rsid w:val="006D29F5"/>
    <w:rsid w:val="006D5469"/>
    <w:rsid w:val="006E71B3"/>
    <w:rsid w:val="006F2F4C"/>
    <w:rsid w:val="006F3FD9"/>
    <w:rsid w:val="00700A6E"/>
    <w:rsid w:val="00701933"/>
    <w:rsid w:val="00705168"/>
    <w:rsid w:val="00711DCC"/>
    <w:rsid w:val="00712FF6"/>
    <w:rsid w:val="00714DB4"/>
    <w:rsid w:val="00715B46"/>
    <w:rsid w:val="0071655A"/>
    <w:rsid w:val="00720051"/>
    <w:rsid w:val="0072112F"/>
    <w:rsid w:val="00721FC5"/>
    <w:rsid w:val="00731A17"/>
    <w:rsid w:val="00732F50"/>
    <w:rsid w:val="00733488"/>
    <w:rsid w:val="00734A25"/>
    <w:rsid w:val="0073718C"/>
    <w:rsid w:val="007409F2"/>
    <w:rsid w:val="00742B73"/>
    <w:rsid w:val="00742C49"/>
    <w:rsid w:val="00743255"/>
    <w:rsid w:val="00744373"/>
    <w:rsid w:val="00747EB3"/>
    <w:rsid w:val="00750B8A"/>
    <w:rsid w:val="00754B12"/>
    <w:rsid w:val="0076119B"/>
    <w:rsid w:val="0076338B"/>
    <w:rsid w:val="00765C49"/>
    <w:rsid w:val="0077411D"/>
    <w:rsid w:val="00775C51"/>
    <w:rsid w:val="00775EA3"/>
    <w:rsid w:val="00777687"/>
    <w:rsid w:val="00777E0D"/>
    <w:rsid w:val="0078072F"/>
    <w:rsid w:val="00782D90"/>
    <w:rsid w:val="00783959"/>
    <w:rsid w:val="00785B67"/>
    <w:rsid w:val="007866EA"/>
    <w:rsid w:val="00787341"/>
    <w:rsid w:val="00793DA7"/>
    <w:rsid w:val="007960F5"/>
    <w:rsid w:val="007A14F2"/>
    <w:rsid w:val="007A360C"/>
    <w:rsid w:val="007B1220"/>
    <w:rsid w:val="007B293B"/>
    <w:rsid w:val="007B2C4C"/>
    <w:rsid w:val="007B5995"/>
    <w:rsid w:val="007C206F"/>
    <w:rsid w:val="007C450C"/>
    <w:rsid w:val="007C4592"/>
    <w:rsid w:val="007C4EBB"/>
    <w:rsid w:val="007C7071"/>
    <w:rsid w:val="007D05AA"/>
    <w:rsid w:val="007D0F26"/>
    <w:rsid w:val="007D3D2A"/>
    <w:rsid w:val="007D5781"/>
    <w:rsid w:val="007D64EC"/>
    <w:rsid w:val="007D64ED"/>
    <w:rsid w:val="007D7F94"/>
    <w:rsid w:val="007E008B"/>
    <w:rsid w:val="007E112A"/>
    <w:rsid w:val="007E6218"/>
    <w:rsid w:val="007F03CD"/>
    <w:rsid w:val="007F54D9"/>
    <w:rsid w:val="00800787"/>
    <w:rsid w:val="00801C91"/>
    <w:rsid w:val="00804B71"/>
    <w:rsid w:val="00804C16"/>
    <w:rsid w:val="00805849"/>
    <w:rsid w:val="008067B1"/>
    <w:rsid w:val="00806EAC"/>
    <w:rsid w:val="008072E7"/>
    <w:rsid w:val="00807E34"/>
    <w:rsid w:val="008123F0"/>
    <w:rsid w:val="00812C62"/>
    <w:rsid w:val="00813560"/>
    <w:rsid w:val="00817A5C"/>
    <w:rsid w:val="00820381"/>
    <w:rsid w:val="00820DC4"/>
    <w:rsid w:val="00821AFB"/>
    <w:rsid w:val="0082290F"/>
    <w:rsid w:val="00830200"/>
    <w:rsid w:val="0083186B"/>
    <w:rsid w:val="00832A69"/>
    <w:rsid w:val="00832B4F"/>
    <w:rsid w:val="00835131"/>
    <w:rsid w:val="008373B3"/>
    <w:rsid w:val="00855326"/>
    <w:rsid w:val="00856627"/>
    <w:rsid w:val="00856D6D"/>
    <w:rsid w:val="00862B69"/>
    <w:rsid w:val="00863663"/>
    <w:rsid w:val="00874509"/>
    <w:rsid w:val="00874E91"/>
    <w:rsid w:val="00875998"/>
    <w:rsid w:val="008807B3"/>
    <w:rsid w:val="00884123"/>
    <w:rsid w:val="0088558F"/>
    <w:rsid w:val="00885E7B"/>
    <w:rsid w:val="00891558"/>
    <w:rsid w:val="0089724B"/>
    <w:rsid w:val="0089794D"/>
    <w:rsid w:val="008A2064"/>
    <w:rsid w:val="008A2FD4"/>
    <w:rsid w:val="008A3A19"/>
    <w:rsid w:val="008A4435"/>
    <w:rsid w:val="008A75BE"/>
    <w:rsid w:val="008B0405"/>
    <w:rsid w:val="008B0AF9"/>
    <w:rsid w:val="008B0DBF"/>
    <w:rsid w:val="008B47D3"/>
    <w:rsid w:val="008B7544"/>
    <w:rsid w:val="008B7C4F"/>
    <w:rsid w:val="008C0D59"/>
    <w:rsid w:val="008C1AC1"/>
    <w:rsid w:val="008C20F8"/>
    <w:rsid w:val="008C64A7"/>
    <w:rsid w:val="008C6A3C"/>
    <w:rsid w:val="008C7447"/>
    <w:rsid w:val="008C764E"/>
    <w:rsid w:val="008D0F09"/>
    <w:rsid w:val="008D337A"/>
    <w:rsid w:val="008D4806"/>
    <w:rsid w:val="008D71C0"/>
    <w:rsid w:val="008D748B"/>
    <w:rsid w:val="008E10D6"/>
    <w:rsid w:val="008E453F"/>
    <w:rsid w:val="008E457F"/>
    <w:rsid w:val="008E7196"/>
    <w:rsid w:val="008F0098"/>
    <w:rsid w:val="008F0BE4"/>
    <w:rsid w:val="008F2A77"/>
    <w:rsid w:val="008F53BA"/>
    <w:rsid w:val="008F7558"/>
    <w:rsid w:val="00903B51"/>
    <w:rsid w:val="00910E7B"/>
    <w:rsid w:val="009121A9"/>
    <w:rsid w:val="0091257C"/>
    <w:rsid w:val="00920C87"/>
    <w:rsid w:val="009210BB"/>
    <w:rsid w:val="009213D6"/>
    <w:rsid w:val="0093055C"/>
    <w:rsid w:val="00934C16"/>
    <w:rsid w:val="00942F68"/>
    <w:rsid w:val="009441FE"/>
    <w:rsid w:val="00944977"/>
    <w:rsid w:val="009518EB"/>
    <w:rsid w:val="0095202E"/>
    <w:rsid w:val="009544F4"/>
    <w:rsid w:val="0095545D"/>
    <w:rsid w:val="00960A04"/>
    <w:rsid w:val="00960A43"/>
    <w:rsid w:val="0096622E"/>
    <w:rsid w:val="0096662B"/>
    <w:rsid w:val="00966F53"/>
    <w:rsid w:val="009700A7"/>
    <w:rsid w:val="00975C4C"/>
    <w:rsid w:val="00977CC7"/>
    <w:rsid w:val="009806F8"/>
    <w:rsid w:val="00982481"/>
    <w:rsid w:val="00984792"/>
    <w:rsid w:val="00984C4A"/>
    <w:rsid w:val="00990285"/>
    <w:rsid w:val="009A3A46"/>
    <w:rsid w:val="009A45B2"/>
    <w:rsid w:val="009A4EB1"/>
    <w:rsid w:val="009A5429"/>
    <w:rsid w:val="009A647A"/>
    <w:rsid w:val="009A6D1B"/>
    <w:rsid w:val="009A7918"/>
    <w:rsid w:val="009B70EA"/>
    <w:rsid w:val="009B727A"/>
    <w:rsid w:val="009C0670"/>
    <w:rsid w:val="009C0C09"/>
    <w:rsid w:val="009C0DB4"/>
    <w:rsid w:val="009C3AB3"/>
    <w:rsid w:val="009C68FE"/>
    <w:rsid w:val="009D12AA"/>
    <w:rsid w:val="009D3AE7"/>
    <w:rsid w:val="009E19A7"/>
    <w:rsid w:val="009E1A66"/>
    <w:rsid w:val="009E5B18"/>
    <w:rsid w:val="009E60EC"/>
    <w:rsid w:val="009E6F49"/>
    <w:rsid w:val="009F5FA9"/>
    <w:rsid w:val="00A02773"/>
    <w:rsid w:val="00A04B22"/>
    <w:rsid w:val="00A061F4"/>
    <w:rsid w:val="00A127E8"/>
    <w:rsid w:val="00A12CD4"/>
    <w:rsid w:val="00A13FE5"/>
    <w:rsid w:val="00A14F92"/>
    <w:rsid w:val="00A155F9"/>
    <w:rsid w:val="00A17D80"/>
    <w:rsid w:val="00A25DCD"/>
    <w:rsid w:val="00A25FB6"/>
    <w:rsid w:val="00A36C6F"/>
    <w:rsid w:val="00A4179A"/>
    <w:rsid w:val="00A43413"/>
    <w:rsid w:val="00A4738B"/>
    <w:rsid w:val="00A51120"/>
    <w:rsid w:val="00A53110"/>
    <w:rsid w:val="00A53E49"/>
    <w:rsid w:val="00A56DBD"/>
    <w:rsid w:val="00A646F1"/>
    <w:rsid w:val="00A66CB3"/>
    <w:rsid w:val="00A6775F"/>
    <w:rsid w:val="00A72D23"/>
    <w:rsid w:val="00A746A3"/>
    <w:rsid w:val="00A75BA6"/>
    <w:rsid w:val="00A76F90"/>
    <w:rsid w:val="00A77071"/>
    <w:rsid w:val="00A775C0"/>
    <w:rsid w:val="00A77769"/>
    <w:rsid w:val="00A80634"/>
    <w:rsid w:val="00A853A8"/>
    <w:rsid w:val="00A86463"/>
    <w:rsid w:val="00A86917"/>
    <w:rsid w:val="00A87F32"/>
    <w:rsid w:val="00A9124C"/>
    <w:rsid w:val="00A92EC1"/>
    <w:rsid w:val="00A94B98"/>
    <w:rsid w:val="00A95C95"/>
    <w:rsid w:val="00AA1502"/>
    <w:rsid w:val="00AA5876"/>
    <w:rsid w:val="00AA68B4"/>
    <w:rsid w:val="00AA72AD"/>
    <w:rsid w:val="00AA7418"/>
    <w:rsid w:val="00AB03BD"/>
    <w:rsid w:val="00AB0AE6"/>
    <w:rsid w:val="00AB1B27"/>
    <w:rsid w:val="00AB34AE"/>
    <w:rsid w:val="00AC0FC6"/>
    <w:rsid w:val="00AC1F05"/>
    <w:rsid w:val="00AC7A12"/>
    <w:rsid w:val="00AD0081"/>
    <w:rsid w:val="00AD08CD"/>
    <w:rsid w:val="00AD0B97"/>
    <w:rsid w:val="00AD1265"/>
    <w:rsid w:val="00AD2CE7"/>
    <w:rsid w:val="00AD2DBD"/>
    <w:rsid w:val="00AD4006"/>
    <w:rsid w:val="00AD4F5A"/>
    <w:rsid w:val="00AE187D"/>
    <w:rsid w:val="00AE51B3"/>
    <w:rsid w:val="00AF24E1"/>
    <w:rsid w:val="00AF2E63"/>
    <w:rsid w:val="00AF4B3A"/>
    <w:rsid w:val="00AF69FC"/>
    <w:rsid w:val="00B02160"/>
    <w:rsid w:val="00B027D1"/>
    <w:rsid w:val="00B058FC"/>
    <w:rsid w:val="00B10C7A"/>
    <w:rsid w:val="00B1212A"/>
    <w:rsid w:val="00B15B86"/>
    <w:rsid w:val="00B163E7"/>
    <w:rsid w:val="00B17404"/>
    <w:rsid w:val="00B17526"/>
    <w:rsid w:val="00B20292"/>
    <w:rsid w:val="00B25FEC"/>
    <w:rsid w:val="00B2760A"/>
    <w:rsid w:val="00B30B42"/>
    <w:rsid w:val="00B3137C"/>
    <w:rsid w:val="00B409EB"/>
    <w:rsid w:val="00B416AA"/>
    <w:rsid w:val="00B41B7D"/>
    <w:rsid w:val="00B443A5"/>
    <w:rsid w:val="00B56798"/>
    <w:rsid w:val="00B605A5"/>
    <w:rsid w:val="00B6175C"/>
    <w:rsid w:val="00B637B8"/>
    <w:rsid w:val="00B667A8"/>
    <w:rsid w:val="00B70412"/>
    <w:rsid w:val="00B7672E"/>
    <w:rsid w:val="00B773F5"/>
    <w:rsid w:val="00B8023E"/>
    <w:rsid w:val="00B827AE"/>
    <w:rsid w:val="00B82C06"/>
    <w:rsid w:val="00B84660"/>
    <w:rsid w:val="00B84C9C"/>
    <w:rsid w:val="00B8697C"/>
    <w:rsid w:val="00B94572"/>
    <w:rsid w:val="00B96496"/>
    <w:rsid w:val="00B96ABD"/>
    <w:rsid w:val="00BA097E"/>
    <w:rsid w:val="00BA376F"/>
    <w:rsid w:val="00BA5457"/>
    <w:rsid w:val="00BA763A"/>
    <w:rsid w:val="00BB485D"/>
    <w:rsid w:val="00BB6AEE"/>
    <w:rsid w:val="00BC1AE7"/>
    <w:rsid w:val="00BD0277"/>
    <w:rsid w:val="00BD5D6A"/>
    <w:rsid w:val="00BD7643"/>
    <w:rsid w:val="00BE27FA"/>
    <w:rsid w:val="00BE3B7C"/>
    <w:rsid w:val="00BE4041"/>
    <w:rsid w:val="00BE5B63"/>
    <w:rsid w:val="00BE617D"/>
    <w:rsid w:val="00BE7B22"/>
    <w:rsid w:val="00BF034F"/>
    <w:rsid w:val="00BF1D3E"/>
    <w:rsid w:val="00BF3291"/>
    <w:rsid w:val="00BF4D78"/>
    <w:rsid w:val="00C07985"/>
    <w:rsid w:val="00C07DAF"/>
    <w:rsid w:val="00C07F53"/>
    <w:rsid w:val="00C10B89"/>
    <w:rsid w:val="00C2065B"/>
    <w:rsid w:val="00C21B1E"/>
    <w:rsid w:val="00C22BD2"/>
    <w:rsid w:val="00C26A2D"/>
    <w:rsid w:val="00C3147A"/>
    <w:rsid w:val="00C33E0E"/>
    <w:rsid w:val="00C349DB"/>
    <w:rsid w:val="00C35AD9"/>
    <w:rsid w:val="00C3660B"/>
    <w:rsid w:val="00C36E94"/>
    <w:rsid w:val="00C372A6"/>
    <w:rsid w:val="00C44636"/>
    <w:rsid w:val="00C5184C"/>
    <w:rsid w:val="00C53AEE"/>
    <w:rsid w:val="00C53E2B"/>
    <w:rsid w:val="00C54D6A"/>
    <w:rsid w:val="00C57303"/>
    <w:rsid w:val="00C57648"/>
    <w:rsid w:val="00C619A1"/>
    <w:rsid w:val="00C61D30"/>
    <w:rsid w:val="00C659D1"/>
    <w:rsid w:val="00C65FBF"/>
    <w:rsid w:val="00C662B0"/>
    <w:rsid w:val="00C679F7"/>
    <w:rsid w:val="00C71E2D"/>
    <w:rsid w:val="00C7360C"/>
    <w:rsid w:val="00C80310"/>
    <w:rsid w:val="00C81DD8"/>
    <w:rsid w:val="00C85FD0"/>
    <w:rsid w:val="00C86257"/>
    <w:rsid w:val="00C908F5"/>
    <w:rsid w:val="00C934CE"/>
    <w:rsid w:val="00C93FB1"/>
    <w:rsid w:val="00CA0FC8"/>
    <w:rsid w:val="00CA18A3"/>
    <w:rsid w:val="00CA21E2"/>
    <w:rsid w:val="00CB43BB"/>
    <w:rsid w:val="00CB512D"/>
    <w:rsid w:val="00CB5F39"/>
    <w:rsid w:val="00CC01DB"/>
    <w:rsid w:val="00CC10B7"/>
    <w:rsid w:val="00CC3A04"/>
    <w:rsid w:val="00CC6412"/>
    <w:rsid w:val="00CD0281"/>
    <w:rsid w:val="00CD2030"/>
    <w:rsid w:val="00CD4804"/>
    <w:rsid w:val="00CD643E"/>
    <w:rsid w:val="00CD67AA"/>
    <w:rsid w:val="00CD6AA0"/>
    <w:rsid w:val="00CE0977"/>
    <w:rsid w:val="00CE0AC2"/>
    <w:rsid w:val="00CE19F5"/>
    <w:rsid w:val="00CE43E4"/>
    <w:rsid w:val="00CF31A1"/>
    <w:rsid w:val="00CF57D7"/>
    <w:rsid w:val="00CF6C05"/>
    <w:rsid w:val="00D03C91"/>
    <w:rsid w:val="00D0523A"/>
    <w:rsid w:val="00D06B45"/>
    <w:rsid w:val="00D07184"/>
    <w:rsid w:val="00D225B6"/>
    <w:rsid w:val="00D24E38"/>
    <w:rsid w:val="00D27145"/>
    <w:rsid w:val="00D331BD"/>
    <w:rsid w:val="00D352E5"/>
    <w:rsid w:val="00D3679B"/>
    <w:rsid w:val="00D36828"/>
    <w:rsid w:val="00D419D5"/>
    <w:rsid w:val="00D42B3D"/>
    <w:rsid w:val="00D46647"/>
    <w:rsid w:val="00D50FAC"/>
    <w:rsid w:val="00D52649"/>
    <w:rsid w:val="00D52F55"/>
    <w:rsid w:val="00D550BA"/>
    <w:rsid w:val="00D56AE8"/>
    <w:rsid w:val="00D604D6"/>
    <w:rsid w:val="00D63CB2"/>
    <w:rsid w:val="00D64579"/>
    <w:rsid w:val="00D65789"/>
    <w:rsid w:val="00D6662D"/>
    <w:rsid w:val="00D7304F"/>
    <w:rsid w:val="00D75A2B"/>
    <w:rsid w:val="00D80AB3"/>
    <w:rsid w:val="00D81E1C"/>
    <w:rsid w:val="00D829B2"/>
    <w:rsid w:val="00D83D36"/>
    <w:rsid w:val="00D846F7"/>
    <w:rsid w:val="00D870CD"/>
    <w:rsid w:val="00D908A1"/>
    <w:rsid w:val="00D912B2"/>
    <w:rsid w:val="00D93CA4"/>
    <w:rsid w:val="00D94BDB"/>
    <w:rsid w:val="00D96FCD"/>
    <w:rsid w:val="00DA35CC"/>
    <w:rsid w:val="00DA564F"/>
    <w:rsid w:val="00DA6A9E"/>
    <w:rsid w:val="00DA768E"/>
    <w:rsid w:val="00DA7969"/>
    <w:rsid w:val="00DB0414"/>
    <w:rsid w:val="00DB2E20"/>
    <w:rsid w:val="00DB3BD6"/>
    <w:rsid w:val="00DC2B07"/>
    <w:rsid w:val="00DC47AE"/>
    <w:rsid w:val="00DC7145"/>
    <w:rsid w:val="00DD1E0C"/>
    <w:rsid w:val="00DD2E27"/>
    <w:rsid w:val="00DD3570"/>
    <w:rsid w:val="00DD6510"/>
    <w:rsid w:val="00DD658D"/>
    <w:rsid w:val="00DD6947"/>
    <w:rsid w:val="00DD75AA"/>
    <w:rsid w:val="00DE365D"/>
    <w:rsid w:val="00DE37D8"/>
    <w:rsid w:val="00DE59D1"/>
    <w:rsid w:val="00DF1752"/>
    <w:rsid w:val="00DF1C3F"/>
    <w:rsid w:val="00DF1F3C"/>
    <w:rsid w:val="00DF473B"/>
    <w:rsid w:val="00DF4E34"/>
    <w:rsid w:val="00DF63A3"/>
    <w:rsid w:val="00E00621"/>
    <w:rsid w:val="00E02949"/>
    <w:rsid w:val="00E06C2E"/>
    <w:rsid w:val="00E12823"/>
    <w:rsid w:val="00E144A0"/>
    <w:rsid w:val="00E15AA8"/>
    <w:rsid w:val="00E15DFE"/>
    <w:rsid w:val="00E22012"/>
    <w:rsid w:val="00E22F66"/>
    <w:rsid w:val="00E243E1"/>
    <w:rsid w:val="00E24A0B"/>
    <w:rsid w:val="00E25135"/>
    <w:rsid w:val="00E309E5"/>
    <w:rsid w:val="00E30A39"/>
    <w:rsid w:val="00E32BB5"/>
    <w:rsid w:val="00E4118C"/>
    <w:rsid w:val="00E4191B"/>
    <w:rsid w:val="00E423E9"/>
    <w:rsid w:val="00E4400C"/>
    <w:rsid w:val="00E4538B"/>
    <w:rsid w:val="00E47755"/>
    <w:rsid w:val="00E54031"/>
    <w:rsid w:val="00E55A63"/>
    <w:rsid w:val="00E56969"/>
    <w:rsid w:val="00E574E0"/>
    <w:rsid w:val="00E61161"/>
    <w:rsid w:val="00E61A9C"/>
    <w:rsid w:val="00E61D04"/>
    <w:rsid w:val="00E70102"/>
    <w:rsid w:val="00E70E1C"/>
    <w:rsid w:val="00E7377C"/>
    <w:rsid w:val="00E74DF7"/>
    <w:rsid w:val="00E75B34"/>
    <w:rsid w:val="00E75B62"/>
    <w:rsid w:val="00E77659"/>
    <w:rsid w:val="00E81231"/>
    <w:rsid w:val="00E81450"/>
    <w:rsid w:val="00E823FD"/>
    <w:rsid w:val="00E847E5"/>
    <w:rsid w:val="00E862D2"/>
    <w:rsid w:val="00E8742C"/>
    <w:rsid w:val="00E9031A"/>
    <w:rsid w:val="00E9287D"/>
    <w:rsid w:val="00E93845"/>
    <w:rsid w:val="00E93CFD"/>
    <w:rsid w:val="00E94133"/>
    <w:rsid w:val="00E96C5C"/>
    <w:rsid w:val="00EA6EDA"/>
    <w:rsid w:val="00EB0CEB"/>
    <w:rsid w:val="00EB3863"/>
    <w:rsid w:val="00EB758B"/>
    <w:rsid w:val="00EC1F3D"/>
    <w:rsid w:val="00EC3012"/>
    <w:rsid w:val="00EC4690"/>
    <w:rsid w:val="00ED2F3A"/>
    <w:rsid w:val="00ED4A77"/>
    <w:rsid w:val="00EE17F8"/>
    <w:rsid w:val="00EE3C8C"/>
    <w:rsid w:val="00EF2D5B"/>
    <w:rsid w:val="00EF689F"/>
    <w:rsid w:val="00EF7FB3"/>
    <w:rsid w:val="00F05BB5"/>
    <w:rsid w:val="00F061C0"/>
    <w:rsid w:val="00F11637"/>
    <w:rsid w:val="00F12439"/>
    <w:rsid w:val="00F12B4D"/>
    <w:rsid w:val="00F220A8"/>
    <w:rsid w:val="00F23495"/>
    <w:rsid w:val="00F24ECD"/>
    <w:rsid w:val="00F26353"/>
    <w:rsid w:val="00F27205"/>
    <w:rsid w:val="00F27766"/>
    <w:rsid w:val="00F31D07"/>
    <w:rsid w:val="00F3684C"/>
    <w:rsid w:val="00F40571"/>
    <w:rsid w:val="00F41707"/>
    <w:rsid w:val="00F432DC"/>
    <w:rsid w:val="00F4400B"/>
    <w:rsid w:val="00F444B9"/>
    <w:rsid w:val="00F446A8"/>
    <w:rsid w:val="00F45547"/>
    <w:rsid w:val="00F5042D"/>
    <w:rsid w:val="00F55045"/>
    <w:rsid w:val="00F571F9"/>
    <w:rsid w:val="00F605EF"/>
    <w:rsid w:val="00F72978"/>
    <w:rsid w:val="00F72A71"/>
    <w:rsid w:val="00F75388"/>
    <w:rsid w:val="00F80253"/>
    <w:rsid w:val="00F861DD"/>
    <w:rsid w:val="00F86678"/>
    <w:rsid w:val="00F90D3B"/>
    <w:rsid w:val="00F91129"/>
    <w:rsid w:val="00F92915"/>
    <w:rsid w:val="00F97217"/>
    <w:rsid w:val="00F97BD9"/>
    <w:rsid w:val="00FA1993"/>
    <w:rsid w:val="00FA3926"/>
    <w:rsid w:val="00FA3E8A"/>
    <w:rsid w:val="00FA46E9"/>
    <w:rsid w:val="00FB1D3A"/>
    <w:rsid w:val="00FB3950"/>
    <w:rsid w:val="00FB395B"/>
    <w:rsid w:val="00FB6589"/>
    <w:rsid w:val="00FC14CA"/>
    <w:rsid w:val="00FC2772"/>
    <w:rsid w:val="00FC2E9E"/>
    <w:rsid w:val="00FC3B2A"/>
    <w:rsid w:val="00FC3B53"/>
    <w:rsid w:val="00FD0735"/>
    <w:rsid w:val="00FD07CE"/>
    <w:rsid w:val="00FD51E9"/>
    <w:rsid w:val="00FD6FE7"/>
    <w:rsid w:val="00FD7520"/>
    <w:rsid w:val="00FE12EE"/>
    <w:rsid w:val="00FE37DC"/>
    <w:rsid w:val="00FE3F7D"/>
    <w:rsid w:val="00FE51C2"/>
    <w:rsid w:val="00FE5F7B"/>
    <w:rsid w:val="00FE716E"/>
    <w:rsid w:val="00FF1B95"/>
    <w:rsid w:val="00FF51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778689FF-9107-44C3-AD00-D6872F7CA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08776">
      <w:bodyDiv w:val="1"/>
      <w:marLeft w:val="0"/>
      <w:marRight w:val="0"/>
      <w:marTop w:val="0"/>
      <w:marBottom w:val="0"/>
      <w:divBdr>
        <w:top w:val="none" w:sz="0" w:space="0" w:color="auto"/>
        <w:left w:val="none" w:sz="0" w:space="0" w:color="auto"/>
        <w:bottom w:val="none" w:sz="0" w:space="0" w:color="auto"/>
        <w:right w:val="none" w:sz="0" w:space="0" w:color="auto"/>
      </w:divBdr>
      <w:divsChild>
        <w:div w:id="685208411">
          <w:marLeft w:val="0"/>
          <w:marRight w:val="0"/>
          <w:marTop w:val="0"/>
          <w:marBottom w:val="0"/>
          <w:divBdr>
            <w:top w:val="none" w:sz="0" w:space="0" w:color="auto"/>
            <w:left w:val="none" w:sz="0" w:space="0" w:color="auto"/>
            <w:bottom w:val="none" w:sz="0" w:space="0" w:color="auto"/>
            <w:right w:val="none" w:sz="0" w:space="0" w:color="auto"/>
          </w:divBdr>
        </w:div>
      </w:divsChild>
    </w:div>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66961210">
      <w:bodyDiv w:val="1"/>
      <w:marLeft w:val="0"/>
      <w:marRight w:val="0"/>
      <w:marTop w:val="0"/>
      <w:marBottom w:val="0"/>
      <w:divBdr>
        <w:top w:val="none" w:sz="0" w:space="0" w:color="auto"/>
        <w:left w:val="none" w:sz="0" w:space="0" w:color="auto"/>
        <w:bottom w:val="none" w:sz="0" w:space="0" w:color="auto"/>
        <w:right w:val="none" w:sz="0" w:space="0" w:color="auto"/>
      </w:divBdr>
      <w:divsChild>
        <w:div w:id="355276569">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592667231">
      <w:bodyDiv w:val="1"/>
      <w:marLeft w:val="0"/>
      <w:marRight w:val="0"/>
      <w:marTop w:val="0"/>
      <w:marBottom w:val="0"/>
      <w:divBdr>
        <w:top w:val="none" w:sz="0" w:space="0" w:color="auto"/>
        <w:left w:val="none" w:sz="0" w:space="0" w:color="auto"/>
        <w:bottom w:val="none" w:sz="0" w:space="0" w:color="auto"/>
        <w:right w:val="none" w:sz="0" w:space="0" w:color="auto"/>
      </w:divBdr>
      <w:divsChild>
        <w:div w:id="1662998448">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976034715">
      <w:bodyDiv w:val="1"/>
      <w:marLeft w:val="0"/>
      <w:marRight w:val="0"/>
      <w:marTop w:val="0"/>
      <w:marBottom w:val="0"/>
      <w:divBdr>
        <w:top w:val="none" w:sz="0" w:space="0" w:color="auto"/>
        <w:left w:val="none" w:sz="0" w:space="0" w:color="auto"/>
        <w:bottom w:val="none" w:sz="0" w:space="0" w:color="auto"/>
        <w:right w:val="none" w:sz="0" w:space="0" w:color="auto"/>
      </w:divBdr>
      <w:divsChild>
        <w:div w:id="1628782217">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300259255">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587376539">
      <w:bodyDiv w:val="1"/>
      <w:marLeft w:val="0"/>
      <w:marRight w:val="0"/>
      <w:marTop w:val="0"/>
      <w:marBottom w:val="0"/>
      <w:divBdr>
        <w:top w:val="none" w:sz="0" w:space="0" w:color="auto"/>
        <w:left w:val="none" w:sz="0" w:space="0" w:color="auto"/>
        <w:bottom w:val="none" w:sz="0" w:space="0" w:color="auto"/>
        <w:right w:val="none" w:sz="0" w:space="0" w:color="auto"/>
      </w:divBdr>
      <w:divsChild>
        <w:div w:id="1980450233">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782266208">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AB7F6F-3D96-4E7C-8346-A0C74BFBE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2025</TotalTime>
  <Pages>10</Pages>
  <Words>3910</Words>
  <Characters>21511</Characters>
  <Application>Microsoft Office Word</Application>
  <DocSecurity>0</DocSecurity>
  <Lines>179</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sala 1</cp:lastModifiedBy>
  <cp:revision>75</cp:revision>
  <cp:lastPrinted>2019-12-09T18:09:00Z</cp:lastPrinted>
  <dcterms:created xsi:type="dcterms:W3CDTF">2020-09-30T20:33:00Z</dcterms:created>
  <dcterms:modified xsi:type="dcterms:W3CDTF">2023-04-18T20:05:00Z</dcterms:modified>
</cp:coreProperties>
</file>