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2474" w:rsidRPr="007B0581" w:rsidRDefault="006B2474" w:rsidP="006B2474">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6B2474" w:rsidRPr="007B0581" w:rsidRDefault="006B2474" w:rsidP="006B2474">
      <w:pPr>
        <w:pStyle w:val="corte4fondo"/>
        <w:spacing w:line="276" w:lineRule="auto"/>
        <w:ind w:left="3544" w:right="-521" w:firstLine="0"/>
        <w:rPr>
          <w:rFonts w:cs="Arial"/>
          <w:b/>
          <w:sz w:val="24"/>
          <w:szCs w:val="24"/>
        </w:rPr>
      </w:pPr>
    </w:p>
    <w:p w:rsidR="006B2474" w:rsidRPr="007B0581" w:rsidRDefault="006B2474" w:rsidP="006B2474">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Pr="007B0581">
        <w:rPr>
          <w:rFonts w:cs="Arial"/>
          <w:b/>
          <w:bCs/>
          <w:sz w:val="24"/>
          <w:szCs w:val="24"/>
        </w:rPr>
        <w:t>0</w:t>
      </w:r>
      <w:r>
        <w:rPr>
          <w:rFonts w:cs="Arial"/>
          <w:b/>
          <w:bCs/>
          <w:sz w:val="24"/>
          <w:szCs w:val="24"/>
        </w:rPr>
        <w:t>076</w:t>
      </w:r>
      <w:r w:rsidRPr="007B0581">
        <w:rPr>
          <w:rFonts w:cs="Arial"/>
          <w:b/>
          <w:bCs/>
          <w:sz w:val="24"/>
          <w:szCs w:val="24"/>
        </w:rPr>
        <w:t>/202</w:t>
      </w:r>
      <w:r>
        <w:rPr>
          <w:rFonts w:cs="Arial"/>
          <w:b/>
          <w:bCs/>
          <w:sz w:val="24"/>
          <w:szCs w:val="24"/>
        </w:rPr>
        <w:t>2</w:t>
      </w:r>
      <w:r w:rsidRPr="007B0581">
        <w:rPr>
          <w:rFonts w:cs="Arial"/>
          <w:sz w:val="24"/>
          <w:szCs w:val="24"/>
        </w:rPr>
        <w:t xml:space="preserve">. </w:t>
      </w:r>
    </w:p>
    <w:p w:rsidR="006B2474" w:rsidRPr="007B0581" w:rsidRDefault="006B2474" w:rsidP="006B2474">
      <w:pPr>
        <w:pStyle w:val="corte4fondo"/>
        <w:spacing w:line="276" w:lineRule="auto"/>
        <w:ind w:left="3544" w:right="-521" w:firstLine="0"/>
        <w:rPr>
          <w:rFonts w:cs="Arial"/>
          <w:sz w:val="24"/>
          <w:szCs w:val="24"/>
        </w:rPr>
      </w:pPr>
    </w:p>
    <w:p w:rsidR="006B2474" w:rsidRPr="007B0581" w:rsidRDefault="006B2474" w:rsidP="006B2474">
      <w:pPr>
        <w:pStyle w:val="corte4fondo"/>
        <w:spacing w:line="276" w:lineRule="auto"/>
        <w:ind w:left="3544" w:right="51" w:firstLine="0"/>
        <w:rPr>
          <w:rFonts w:cs="Arial"/>
          <w:sz w:val="24"/>
          <w:szCs w:val="24"/>
        </w:rPr>
      </w:pPr>
      <w:r w:rsidRPr="007B0581">
        <w:rPr>
          <w:rFonts w:cs="Arial"/>
          <w:b/>
          <w:sz w:val="24"/>
          <w:szCs w:val="24"/>
        </w:rPr>
        <w:t>ACTOR</w:t>
      </w:r>
      <w:r>
        <w:rPr>
          <w:rFonts w:cs="Arial"/>
          <w:b/>
          <w:sz w:val="24"/>
          <w:szCs w:val="24"/>
        </w:rPr>
        <w:t>A</w:t>
      </w:r>
      <w:r w:rsidRPr="007B0581">
        <w:rPr>
          <w:rFonts w:cs="Arial"/>
          <w:b/>
          <w:sz w:val="24"/>
          <w:szCs w:val="24"/>
        </w:rPr>
        <w:t xml:space="preserve">: </w:t>
      </w:r>
      <w:r w:rsidR="00730ED1">
        <w:rPr>
          <w:rFonts w:cs="Arial"/>
          <w:b/>
          <w:sz w:val="24"/>
          <w:szCs w:val="24"/>
        </w:rPr>
        <w:t>**********</w:t>
      </w:r>
      <w:r>
        <w:rPr>
          <w:rFonts w:cs="Arial"/>
          <w:b/>
          <w:sz w:val="24"/>
          <w:szCs w:val="24"/>
        </w:rPr>
        <w:t>.</w:t>
      </w:r>
    </w:p>
    <w:p w:rsidR="006B2474" w:rsidRPr="007B0581" w:rsidRDefault="006B2474" w:rsidP="006B2474">
      <w:pPr>
        <w:pStyle w:val="corte4fondo"/>
        <w:spacing w:line="276" w:lineRule="auto"/>
        <w:ind w:left="3544" w:right="-521" w:firstLine="0"/>
        <w:rPr>
          <w:rFonts w:cs="Arial"/>
          <w:b/>
          <w:i/>
          <w:sz w:val="24"/>
          <w:szCs w:val="24"/>
        </w:rPr>
      </w:pPr>
      <w:r w:rsidRPr="007B0581">
        <w:rPr>
          <w:rFonts w:cs="Arial"/>
          <w:b/>
          <w:i/>
          <w:sz w:val="24"/>
          <w:szCs w:val="24"/>
        </w:rPr>
        <w:t xml:space="preserve"> </w:t>
      </w:r>
    </w:p>
    <w:p w:rsidR="006B2474" w:rsidRPr="007B0581" w:rsidRDefault="006B2474" w:rsidP="006B2474">
      <w:pPr>
        <w:pStyle w:val="corte4fondo"/>
        <w:spacing w:line="276" w:lineRule="auto"/>
        <w:ind w:left="3544" w:right="51" w:firstLine="0"/>
        <w:rPr>
          <w:rFonts w:cs="Arial"/>
          <w:bCs/>
          <w:sz w:val="24"/>
          <w:szCs w:val="24"/>
        </w:rPr>
      </w:pPr>
      <w:r w:rsidRPr="007B0581">
        <w:rPr>
          <w:rFonts w:cs="Arial"/>
          <w:b/>
          <w:sz w:val="24"/>
          <w:szCs w:val="24"/>
        </w:rPr>
        <w:t>AUTORIDAD</w:t>
      </w:r>
      <w:r>
        <w:rPr>
          <w:rFonts w:cs="Arial"/>
          <w:b/>
          <w:sz w:val="24"/>
          <w:szCs w:val="24"/>
        </w:rPr>
        <w:t>ES</w:t>
      </w:r>
      <w:r w:rsidRPr="007B0581">
        <w:rPr>
          <w:rFonts w:cs="Arial"/>
          <w:b/>
          <w:sz w:val="24"/>
          <w:szCs w:val="24"/>
        </w:rPr>
        <w:t xml:space="preserve"> DEMANDADA</w:t>
      </w:r>
      <w:r>
        <w:rPr>
          <w:rFonts w:cs="Arial"/>
          <w:b/>
          <w:sz w:val="24"/>
          <w:szCs w:val="24"/>
        </w:rPr>
        <w:t>S</w:t>
      </w:r>
      <w:r w:rsidRPr="007B0581">
        <w:rPr>
          <w:rFonts w:cs="Arial"/>
          <w:b/>
          <w:sz w:val="24"/>
          <w:szCs w:val="24"/>
        </w:rPr>
        <w:t>:</w:t>
      </w:r>
      <w:r>
        <w:rPr>
          <w:rFonts w:cs="Arial"/>
          <w:b/>
          <w:sz w:val="24"/>
          <w:szCs w:val="24"/>
        </w:rPr>
        <w:t xml:space="preserve"> DIRECTOR GENERAL DE LA OFICINA DE PENSIONES Y</w:t>
      </w:r>
      <w:r w:rsidRPr="007B0581">
        <w:rPr>
          <w:rFonts w:cs="Arial"/>
          <w:b/>
          <w:sz w:val="24"/>
          <w:szCs w:val="24"/>
        </w:rPr>
        <w:t xml:space="preserve"> CONSEJO DIRECTIVO DE PENSIONES DEL ESTADO DE OAXACA</w:t>
      </w:r>
      <w:r w:rsidRPr="007B0581">
        <w:rPr>
          <w:rFonts w:cs="Arial"/>
          <w:bCs/>
          <w:sz w:val="24"/>
          <w:szCs w:val="24"/>
        </w:rPr>
        <w:t>.</w:t>
      </w:r>
    </w:p>
    <w:p w:rsidR="006B2474" w:rsidRPr="007B0581" w:rsidRDefault="006B2474" w:rsidP="006B2474">
      <w:pPr>
        <w:pStyle w:val="corte4fondo"/>
        <w:spacing w:line="276" w:lineRule="auto"/>
        <w:ind w:left="3544" w:right="51" w:firstLine="0"/>
        <w:rPr>
          <w:rFonts w:cs="Arial"/>
          <w:bCs/>
          <w:sz w:val="24"/>
          <w:szCs w:val="24"/>
        </w:rPr>
      </w:pPr>
    </w:p>
    <w:p w:rsidR="006B2474" w:rsidRPr="007B0581" w:rsidRDefault="006B2474" w:rsidP="006B2474">
      <w:pPr>
        <w:pStyle w:val="corte4fondo"/>
        <w:spacing w:line="276" w:lineRule="auto"/>
        <w:ind w:left="3544" w:right="51" w:firstLine="0"/>
        <w:rPr>
          <w:rFonts w:cs="Arial"/>
          <w:bCs/>
          <w:sz w:val="24"/>
          <w:szCs w:val="24"/>
        </w:rPr>
      </w:pPr>
    </w:p>
    <w:p w:rsidR="006B2474" w:rsidRDefault="006B2474" w:rsidP="006B2474">
      <w:pPr>
        <w:spacing w:line="360" w:lineRule="auto"/>
        <w:jc w:val="both"/>
        <w:rPr>
          <w:rFonts w:ascii="Arial" w:hAnsi="Arial" w:cs="Arial"/>
          <w:b/>
          <w:sz w:val="24"/>
          <w:szCs w:val="24"/>
        </w:rPr>
      </w:pPr>
      <w:r w:rsidRPr="007B0581">
        <w:rPr>
          <w:rFonts w:ascii="Arial" w:hAnsi="Arial" w:cs="Arial"/>
          <w:b/>
          <w:sz w:val="24"/>
          <w:szCs w:val="24"/>
        </w:rPr>
        <w:t>OAXACA DE JUAREZ, OAXACA</w:t>
      </w:r>
      <w:r>
        <w:rPr>
          <w:rFonts w:ascii="Arial" w:hAnsi="Arial" w:cs="Arial"/>
          <w:b/>
          <w:sz w:val="24"/>
          <w:szCs w:val="24"/>
        </w:rPr>
        <w:t>,</w:t>
      </w:r>
      <w:r w:rsidRPr="007B0581">
        <w:rPr>
          <w:rFonts w:ascii="Arial" w:hAnsi="Arial" w:cs="Arial"/>
          <w:b/>
          <w:sz w:val="24"/>
          <w:szCs w:val="24"/>
        </w:rPr>
        <w:t xml:space="preserve"> A </w:t>
      </w:r>
      <w:r>
        <w:rPr>
          <w:rFonts w:ascii="Arial" w:hAnsi="Arial" w:cs="Arial"/>
          <w:b/>
          <w:sz w:val="24"/>
          <w:szCs w:val="24"/>
        </w:rPr>
        <w:t>TREINTA DE NOVIEMBRE</w:t>
      </w:r>
      <w:r w:rsidRPr="007B0581">
        <w:rPr>
          <w:rFonts w:ascii="Arial" w:hAnsi="Arial" w:cs="Arial"/>
          <w:b/>
          <w:sz w:val="24"/>
          <w:szCs w:val="24"/>
        </w:rPr>
        <w:t xml:space="preserve"> DE DOS MIL </w:t>
      </w:r>
      <w:r>
        <w:rPr>
          <w:rFonts w:ascii="Arial" w:hAnsi="Arial" w:cs="Arial"/>
          <w:b/>
          <w:sz w:val="24"/>
          <w:szCs w:val="24"/>
        </w:rPr>
        <w:t>VEINTIDÓS</w:t>
      </w:r>
      <w:r w:rsidRPr="007B0581">
        <w:rPr>
          <w:rFonts w:ascii="Arial" w:hAnsi="Arial" w:cs="Arial"/>
          <w:b/>
          <w:sz w:val="24"/>
          <w:szCs w:val="24"/>
        </w:rPr>
        <w:t xml:space="preserve">. </w:t>
      </w:r>
    </w:p>
    <w:p w:rsidR="006B2474" w:rsidRDefault="006B2474" w:rsidP="006B2474">
      <w:pPr>
        <w:spacing w:line="360" w:lineRule="auto"/>
        <w:jc w:val="both"/>
        <w:rPr>
          <w:rFonts w:ascii="Arial" w:hAnsi="Arial" w:cs="Arial"/>
          <w:b/>
          <w:sz w:val="24"/>
          <w:szCs w:val="24"/>
        </w:rPr>
      </w:pPr>
      <w:r w:rsidRPr="007B0581">
        <w:rPr>
          <w:rFonts w:ascii="Arial" w:hAnsi="Arial" w:cs="Arial"/>
          <w:b/>
          <w:sz w:val="24"/>
          <w:szCs w:val="24"/>
        </w:rPr>
        <w:t xml:space="preserve"> </w:t>
      </w:r>
    </w:p>
    <w:p w:rsidR="006B2474" w:rsidRPr="007B0581" w:rsidRDefault="006B2474" w:rsidP="006B2474">
      <w:pPr>
        <w:contextualSpacing/>
        <w:jc w:val="both"/>
        <w:rPr>
          <w:rFonts w:ascii="Arial" w:hAnsi="Arial" w:cs="Arial"/>
          <w:b/>
          <w:sz w:val="24"/>
          <w:szCs w:val="24"/>
        </w:rPr>
      </w:pPr>
    </w:p>
    <w:p w:rsidR="006B2474" w:rsidRPr="007B0581" w:rsidRDefault="006B2474" w:rsidP="006B2474">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número 0</w:t>
      </w:r>
      <w:r>
        <w:rPr>
          <w:rFonts w:ascii="Arial" w:hAnsi="Arial" w:cs="Arial"/>
          <w:sz w:val="24"/>
          <w:szCs w:val="24"/>
        </w:rPr>
        <w:t>076</w:t>
      </w:r>
      <w:r w:rsidRPr="007B0581">
        <w:rPr>
          <w:rFonts w:ascii="Arial" w:hAnsi="Arial" w:cs="Arial"/>
          <w:sz w:val="24"/>
          <w:szCs w:val="24"/>
        </w:rPr>
        <w:t>/202</w:t>
      </w:r>
      <w:r>
        <w:rPr>
          <w:rFonts w:ascii="Arial" w:hAnsi="Arial" w:cs="Arial"/>
          <w:sz w:val="24"/>
          <w:szCs w:val="24"/>
        </w:rPr>
        <w:t>2</w:t>
      </w:r>
      <w:r w:rsidRPr="007B0581">
        <w:rPr>
          <w:rFonts w:ascii="Arial" w:hAnsi="Arial" w:cs="Arial"/>
          <w:sz w:val="24"/>
          <w:szCs w:val="24"/>
        </w:rPr>
        <w:t xml:space="preserve">, promovido por </w:t>
      </w:r>
      <w:r w:rsidR="00730ED1">
        <w:rPr>
          <w:rFonts w:cs="Arial"/>
          <w:b/>
          <w:sz w:val="24"/>
          <w:szCs w:val="24"/>
        </w:rPr>
        <w:t>**********</w:t>
      </w:r>
      <w:r w:rsidRPr="007B0581">
        <w:rPr>
          <w:rFonts w:ascii="Arial" w:hAnsi="Arial" w:cs="Arial"/>
          <w:sz w:val="24"/>
          <w:szCs w:val="24"/>
        </w:rPr>
        <w:t>, en contra de la resolución</w:t>
      </w:r>
      <w:r>
        <w:rPr>
          <w:rFonts w:ascii="Arial" w:hAnsi="Arial" w:cs="Arial"/>
          <w:sz w:val="24"/>
          <w:szCs w:val="24"/>
        </w:rPr>
        <w:t xml:space="preserve"> emitida por el Consejo Directivo de Pensiones del Estado de Oaxaca,</w:t>
      </w:r>
      <w:r w:rsidRPr="007B0581">
        <w:rPr>
          <w:rFonts w:ascii="Arial" w:hAnsi="Arial" w:cs="Arial"/>
          <w:sz w:val="24"/>
          <w:szCs w:val="24"/>
        </w:rPr>
        <w:t xml:space="preserve"> contenida en el oficio </w:t>
      </w:r>
      <w:bookmarkStart w:id="0" w:name="_Hlk83640314"/>
      <w:r>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cinco de octubre de dos mil veintiuno</w:t>
      </w:r>
      <w:r w:rsidRPr="007B0581">
        <w:rPr>
          <w:rFonts w:ascii="Arial" w:hAnsi="Arial" w:cs="Arial"/>
          <w:sz w:val="24"/>
          <w:szCs w:val="24"/>
        </w:rPr>
        <w:t xml:space="preserve">, </w:t>
      </w:r>
      <w:bookmarkStart w:id="1" w:name="_Hlk84505151"/>
      <w:r w:rsidRPr="007B0581">
        <w:rPr>
          <w:rFonts w:ascii="Arial" w:hAnsi="Arial" w:cs="Arial"/>
          <w:sz w:val="24"/>
          <w:szCs w:val="24"/>
        </w:rPr>
        <w:t xml:space="preserve">signado por el </w:t>
      </w:r>
      <w:r>
        <w:rPr>
          <w:rFonts w:ascii="Arial" w:hAnsi="Arial" w:cs="Arial"/>
          <w:sz w:val="24"/>
          <w:szCs w:val="24"/>
        </w:rPr>
        <w:t>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eneral de la Oficina de Pensiones</w:t>
      </w:r>
      <w:r>
        <w:rPr>
          <w:rFonts w:ascii="Arial" w:hAnsi="Arial" w:cs="Arial"/>
          <w:sz w:val="24"/>
          <w:szCs w:val="24"/>
        </w:rPr>
        <w:t xml:space="preserve"> del Estado de Oaxaca</w:t>
      </w:r>
      <w:r w:rsidRPr="007B0581">
        <w:rPr>
          <w:rFonts w:ascii="Arial" w:hAnsi="Arial" w:cs="Arial"/>
          <w:sz w:val="24"/>
          <w:szCs w:val="24"/>
        </w:rPr>
        <w:t xml:space="preserve">, </w:t>
      </w:r>
      <w:bookmarkEnd w:id="0"/>
      <w:r w:rsidRPr="007B0581">
        <w:rPr>
          <w:rFonts w:ascii="Arial" w:hAnsi="Arial" w:cs="Arial"/>
          <w:sz w:val="24"/>
          <w:szCs w:val="24"/>
        </w:rPr>
        <w:t>y;</w:t>
      </w:r>
      <w:r w:rsidRPr="007B0581">
        <w:rPr>
          <w:rFonts w:ascii="Arial" w:hAnsi="Arial" w:cs="Arial"/>
          <w:b/>
          <w:bCs/>
          <w:sz w:val="24"/>
          <w:szCs w:val="24"/>
        </w:rPr>
        <w:t xml:space="preserve"> </w:t>
      </w:r>
    </w:p>
    <w:bookmarkEnd w:id="1"/>
    <w:p w:rsidR="006B2474" w:rsidRDefault="006B2474" w:rsidP="006B2474">
      <w:pPr>
        <w:contextualSpacing/>
        <w:jc w:val="both"/>
        <w:rPr>
          <w:rFonts w:ascii="Arial" w:hAnsi="Arial" w:cs="Arial"/>
          <w:sz w:val="24"/>
          <w:szCs w:val="24"/>
        </w:rPr>
      </w:pPr>
    </w:p>
    <w:p w:rsidR="006B2474" w:rsidRPr="007B0581" w:rsidRDefault="006B2474" w:rsidP="006B2474">
      <w:pPr>
        <w:contextualSpacing/>
        <w:jc w:val="both"/>
        <w:rPr>
          <w:rFonts w:ascii="Arial" w:hAnsi="Arial" w:cs="Arial"/>
          <w:sz w:val="24"/>
          <w:szCs w:val="24"/>
        </w:rPr>
      </w:pPr>
    </w:p>
    <w:p w:rsidR="006B2474" w:rsidRDefault="006B2474" w:rsidP="006B2474">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rsidR="006B2474" w:rsidRPr="007B0581" w:rsidRDefault="006B2474" w:rsidP="006B2474">
      <w:pPr>
        <w:spacing w:line="360" w:lineRule="auto"/>
        <w:ind w:firstLine="708"/>
        <w:jc w:val="center"/>
        <w:rPr>
          <w:rFonts w:ascii="Arial" w:hAnsi="Arial" w:cs="Arial"/>
          <w:b/>
          <w:spacing w:val="-3"/>
          <w:sz w:val="24"/>
          <w:szCs w:val="24"/>
          <w:lang w:val="es-ES_tradnl"/>
        </w:rPr>
      </w:pPr>
    </w:p>
    <w:p w:rsidR="006B2474" w:rsidRPr="007B0581" w:rsidRDefault="006B2474" w:rsidP="006B2474">
      <w:pPr>
        <w:contextualSpacing/>
        <w:jc w:val="both"/>
        <w:rPr>
          <w:rFonts w:ascii="Arial" w:hAnsi="Arial" w:cs="Arial"/>
          <w:b/>
          <w:spacing w:val="-3"/>
          <w:sz w:val="24"/>
          <w:szCs w:val="24"/>
          <w:lang w:val="es-ES_tradnl"/>
        </w:rPr>
      </w:pPr>
    </w:p>
    <w:p w:rsidR="006B2474" w:rsidRPr="007B0581" w:rsidRDefault="006B2474" w:rsidP="006B2474">
      <w:pPr>
        <w:spacing w:line="360" w:lineRule="auto"/>
        <w:jc w:val="both"/>
        <w:rPr>
          <w:rFonts w:ascii="Arial" w:hAnsi="Arial" w:cs="Arial"/>
          <w:sz w:val="24"/>
          <w:szCs w:val="24"/>
        </w:rPr>
      </w:pPr>
      <w:r w:rsidRPr="007B0581">
        <w:rPr>
          <w:rFonts w:ascii="Arial" w:hAnsi="Arial" w:cs="Arial"/>
          <w:b/>
          <w:spacing w:val="-3"/>
          <w:sz w:val="24"/>
          <w:szCs w:val="24"/>
          <w:lang w:val="es-ES_tradnl"/>
        </w:rPr>
        <w:tab/>
        <w:t>PRIMERO. -</w:t>
      </w:r>
      <w:r w:rsidRPr="007B0581">
        <w:rPr>
          <w:rFonts w:ascii="Arial" w:hAnsi="Arial" w:cs="Arial"/>
          <w:sz w:val="24"/>
          <w:szCs w:val="24"/>
        </w:rPr>
        <w:t xml:space="preserve"> Mediante escrito recibido el </w:t>
      </w:r>
      <w:r>
        <w:rPr>
          <w:rFonts w:ascii="Arial" w:hAnsi="Arial" w:cs="Arial"/>
          <w:sz w:val="24"/>
          <w:szCs w:val="24"/>
        </w:rPr>
        <w:t>uno de septiembre de dos mil veintidós</w:t>
      </w:r>
      <w:r w:rsidRPr="007B0581">
        <w:rPr>
          <w:rFonts w:ascii="Arial" w:hAnsi="Arial" w:cs="Arial"/>
          <w:sz w:val="24"/>
          <w:szCs w:val="24"/>
        </w:rPr>
        <w:t xml:space="preserve">, </w:t>
      </w:r>
      <w:r w:rsidR="00730ED1">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 xml:space="preserve">por su propio derecho, </w:t>
      </w:r>
      <w:r w:rsidRPr="007B0581">
        <w:rPr>
          <w:rFonts w:ascii="Arial" w:hAnsi="Arial" w:cs="Arial"/>
          <w:sz w:val="24"/>
          <w:szCs w:val="24"/>
        </w:rPr>
        <w:t xml:space="preserve">demandó la nulidad de la resolución </w:t>
      </w:r>
      <w:bookmarkStart w:id="2" w:name="_Hlk83725409"/>
      <w:r>
        <w:rPr>
          <w:rFonts w:ascii="Arial" w:hAnsi="Arial" w:cs="Arial"/>
          <w:sz w:val="24"/>
          <w:szCs w:val="24"/>
        </w:rPr>
        <w:t>emitida por el Consejo Directivo de Pensiones del Estado de Oaxaca,</w:t>
      </w:r>
      <w:r w:rsidRPr="007B0581">
        <w:rPr>
          <w:rFonts w:ascii="Arial" w:hAnsi="Arial" w:cs="Arial"/>
          <w:sz w:val="24"/>
          <w:szCs w:val="24"/>
        </w:rPr>
        <w:t xml:space="preserve"> contenida en el oficio </w:t>
      </w:r>
      <w:r>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cinco de octubre de dos mil veintiuno</w:t>
      </w:r>
      <w:r w:rsidRPr="007B0581">
        <w:rPr>
          <w:rFonts w:ascii="Arial" w:hAnsi="Arial" w:cs="Arial"/>
          <w:sz w:val="24"/>
          <w:szCs w:val="24"/>
        </w:rPr>
        <w:t xml:space="preserve">, signado por el </w:t>
      </w:r>
      <w:r>
        <w:rPr>
          <w:rFonts w:ascii="Arial" w:hAnsi="Arial" w:cs="Arial"/>
          <w:sz w:val="24"/>
          <w:szCs w:val="24"/>
        </w:rPr>
        <w:t>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eneral de la Oficina de Pensiones</w:t>
      </w:r>
      <w:r>
        <w:rPr>
          <w:rFonts w:ascii="Arial" w:hAnsi="Arial" w:cs="Arial"/>
          <w:sz w:val="24"/>
          <w:szCs w:val="24"/>
        </w:rPr>
        <w:t xml:space="preserve"> del Estado de Oaxaca</w:t>
      </w:r>
      <w:r w:rsidRPr="007B0581">
        <w:rPr>
          <w:rFonts w:ascii="Arial" w:hAnsi="Arial" w:cs="Arial"/>
          <w:sz w:val="24"/>
          <w:szCs w:val="24"/>
        </w:rPr>
        <w:t xml:space="preserve">. </w:t>
      </w:r>
    </w:p>
    <w:bookmarkEnd w:id="2"/>
    <w:p w:rsidR="006B2474" w:rsidRPr="007B0581" w:rsidRDefault="006B2474" w:rsidP="006B2474">
      <w:pPr>
        <w:contextualSpacing/>
        <w:jc w:val="both"/>
        <w:rPr>
          <w:rFonts w:ascii="Arial" w:hAnsi="Arial" w:cs="Arial"/>
          <w:sz w:val="24"/>
          <w:szCs w:val="24"/>
        </w:rPr>
      </w:pPr>
    </w:p>
    <w:p w:rsidR="006B2474" w:rsidRPr="007B0581" w:rsidRDefault="006B2474" w:rsidP="006B2474">
      <w:pPr>
        <w:spacing w:line="360" w:lineRule="auto"/>
        <w:ind w:firstLine="567"/>
        <w:jc w:val="both"/>
        <w:rPr>
          <w:rFonts w:ascii="Arial" w:hAnsi="Arial" w:cs="Arial"/>
          <w:sz w:val="24"/>
          <w:szCs w:val="24"/>
        </w:rPr>
      </w:pPr>
      <w:r w:rsidRPr="007B0581">
        <w:rPr>
          <w:rFonts w:ascii="Arial" w:hAnsi="Arial" w:cs="Arial"/>
          <w:b/>
          <w:sz w:val="24"/>
          <w:szCs w:val="24"/>
        </w:rPr>
        <w:t>SEGUNDO. -</w:t>
      </w:r>
      <w:r w:rsidRPr="007B0581">
        <w:rPr>
          <w:rFonts w:ascii="Arial" w:hAnsi="Arial" w:cs="Arial"/>
          <w:sz w:val="24"/>
          <w:szCs w:val="24"/>
        </w:rPr>
        <w:t xml:space="preserve"> Por acuerdo de </w:t>
      </w:r>
      <w:r>
        <w:rPr>
          <w:rFonts w:ascii="Arial" w:hAnsi="Arial" w:cs="Arial"/>
          <w:sz w:val="24"/>
          <w:szCs w:val="24"/>
        </w:rPr>
        <w:t>dos de septiembre de dos mil veintidós</w:t>
      </w:r>
      <w:r w:rsidRPr="007B0581">
        <w:rPr>
          <w:rFonts w:ascii="Arial" w:hAnsi="Arial" w:cs="Arial"/>
          <w:sz w:val="24"/>
          <w:szCs w:val="24"/>
        </w:rPr>
        <w:t>, se admitió a trámite la demanda, ordenándose notificar, emplazar y correr traslado a la</w:t>
      </w:r>
      <w:r>
        <w:rPr>
          <w:rFonts w:ascii="Arial" w:hAnsi="Arial" w:cs="Arial"/>
          <w:sz w:val="24"/>
          <w:szCs w:val="24"/>
        </w:rPr>
        <w:t>s</w:t>
      </w:r>
      <w:r w:rsidRPr="007B0581">
        <w:rPr>
          <w:rFonts w:ascii="Arial" w:hAnsi="Arial" w:cs="Arial"/>
          <w:sz w:val="24"/>
          <w:szCs w:val="24"/>
        </w:rPr>
        <w:t xml:space="preserve"> autoridad</w:t>
      </w:r>
      <w:r>
        <w:rPr>
          <w:rFonts w:ascii="Arial" w:hAnsi="Arial" w:cs="Arial"/>
          <w:sz w:val="24"/>
          <w:szCs w:val="24"/>
        </w:rPr>
        <w:t>es</w:t>
      </w:r>
      <w:r w:rsidRPr="007B0581">
        <w:rPr>
          <w:rFonts w:ascii="Arial" w:hAnsi="Arial" w:cs="Arial"/>
          <w:sz w:val="24"/>
          <w:szCs w:val="24"/>
        </w:rPr>
        <w:t xml:space="preserve"> demandada</w:t>
      </w:r>
      <w:r>
        <w:rPr>
          <w:rFonts w:ascii="Arial" w:hAnsi="Arial" w:cs="Arial"/>
          <w:sz w:val="24"/>
          <w:szCs w:val="24"/>
        </w:rPr>
        <w:t>s</w:t>
      </w:r>
      <w:r w:rsidRPr="007B0581">
        <w:rPr>
          <w:rFonts w:ascii="Arial" w:hAnsi="Arial" w:cs="Arial"/>
          <w:sz w:val="24"/>
          <w:szCs w:val="24"/>
        </w:rPr>
        <w:t>, para que produjera</w:t>
      </w:r>
      <w:r>
        <w:rPr>
          <w:rFonts w:ascii="Arial" w:hAnsi="Arial" w:cs="Arial"/>
          <w:sz w:val="24"/>
          <w:szCs w:val="24"/>
        </w:rPr>
        <w:t>n</w:t>
      </w:r>
      <w:r w:rsidRPr="007B0581">
        <w:rPr>
          <w:rFonts w:ascii="Arial" w:hAnsi="Arial" w:cs="Arial"/>
          <w:sz w:val="24"/>
          <w:szCs w:val="24"/>
        </w:rPr>
        <w:t xml:space="preserve"> su contestación en los términos de ley. </w:t>
      </w:r>
    </w:p>
    <w:p w:rsidR="006B2474" w:rsidRPr="007B0581" w:rsidRDefault="006B2474" w:rsidP="006B2474">
      <w:pPr>
        <w:pStyle w:val="corte4fondo"/>
        <w:spacing w:line="240" w:lineRule="auto"/>
        <w:ind w:right="51" w:firstLine="567"/>
        <w:contextualSpacing/>
        <w:rPr>
          <w:rFonts w:cs="Arial"/>
          <w:bCs/>
          <w:sz w:val="24"/>
          <w:szCs w:val="24"/>
        </w:rPr>
      </w:pPr>
      <w:r w:rsidRPr="007B0581">
        <w:rPr>
          <w:rFonts w:cs="Arial"/>
          <w:bCs/>
          <w:sz w:val="24"/>
          <w:szCs w:val="24"/>
        </w:rPr>
        <w:tab/>
      </w:r>
    </w:p>
    <w:p w:rsidR="006B2474" w:rsidRDefault="006B2474" w:rsidP="006B2474">
      <w:pPr>
        <w:pStyle w:val="corte4fondo"/>
        <w:ind w:right="51" w:firstLine="567"/>
        <w:rPr>
          <w:rFonts w:cs="Arial"/>
          <w:sz w:val="24"/>
          <w:szCs w:val="24"/>
        </w:rPr>
      </w:pPr>
      <w:r w:rsidRPr="007B0581">
        <w:rPr>
          <w:rFonts w:cs="Arial"/>
          <w:b/>
          <w:bCs/>
          <w:sz w:val="24"/>
          <w:szCs w:val="24"/>
        </w:rPr>
        <w:t>TERCERO</w:t>
      </w:r>
      <w:r w:rsidRPr="007B0581">
        <w:rPr>
          <w:rFonts w:cs="Arial"/>
          <w:bCs/>
          <w:sz w:val="24"/>
          <w:szCs w:val="24"/>
        </w:rPr>
        <w:t xml:space="preserve">. </w:t>
      </w:r>
      <w:r>
        <w:rPr>
          <w:rFonts w:cs="Arial"/>
          <w:bCs/>
          <w:sz w:val="24"/>
          <w:szCs w:val="24"/>
        </w:rPr>
        <w:t>-</w:t>
      </w:r>
      <w:r w:rsidRPr="007B0581">
        <w:rPr>
          <w:rFonts w:cs="Arial"/>
          <w:bCs/>
          <w:sz w:val="24"/>
          <w:szCs w:val="24"/>
        </w:rPr>
        <w:t xml:space="preserve"> Por acuerdo de </w:t>
      </w:r>
      <w:r>
        <w:rPr>
          <w:rFonts w:cs="Arial"/>
          <w:bCs/>
          <w:sz w:val="24"/>
          <w:szCs w:val="24"/>
        </w:rPr>
        <w:t>cuatro de octubre de dos mil veintidós</w:t>
      </w:r>
      <w:r w:rsidRPr="007B0581">
        <w:rPr>
          <w:rFonts w:cs="Arial"/>
          <w:bCs/>
          <w:sz w:val="24"/>
          <w:szCs w:val="24"/>
        </w:rPr>
        <w:t>,</w:t>
      </w:r>
      <w:r>
        <w:rPr>
          <w:rFonts w:cs="Arial"/>
          <w:bCs/>
          <w:sz w:val="24"/>
          <w:szCs w:val="24"/>
        </w:rPr>
        <w:t xml:space="preserve"> se tuvo al Director General de la Oficina de Pensiones, por sí y en representación legal del Consejo Directivo de la Oficina de Pensiones del Estado de Oaxaca</w:t>
      </w:r>
      <w:r>
        <w:rPr>
          <w:rFonts w:cs="Arial"/>
          <w:sz w:val="24"/>
          <w:szCs w:val="24"/>
        </w:rPr>
        <w:t>,</w:t>
      </w:r>
      <w:r w:rsidRPr="007B0581">
        <w:rPr>
          <w:rFonts w:cs="Arial"/>
          <w:bCs/>
          <w:sz w:val="24"/>
          <w:szCs w:val="24"/>
        </w:rPr>
        <w:t xml:space="preserve"> </w:t>
      </w:r>
      <w:r w:rsidRPr="007B0581">
        <w:rPr>
          <w:rFonts w:cs="Arial"/>
          <w:sz w:val="24"/>
          <w:szCs w:val="24"/>
        </w:rPr>
        <w:t>dando contestación a la demanda en tiempo y forma</w:t>
      </w:r>
      <w:r>
        <w:rPr>
          <w:rFonts w:cs="Arial"/>
          <w:sz w:val="24"/>
          <w:szCs w:val="24"/>
        </w:rPr>
        <w:t xml:space="preserve">, </w:t>
      </w:r>
      <w:r w:rsidRPr="007B0581">
        <w:rPr>
          <w:rFonts w:cs="Arial"/>
          <w:sz w:val="24"/>
          <w:szCs w:val="24"/>
        </w:rPr>
        <w:t xml:space="preserve">por acreditada la personalidad con </w:t>
      </w:r>
      <w:r w:rsidRPr="007B0581">
        <w:rPr>
          <w:rFonts w:cs="Arial"/>
          <w:sz w:val="24"/>
          <w:szCs w:val="24"/>
        </w:rPr>
        <w:lastRenderedPageBreak/>
        <w:t>la que comparec</w:t>
      </w:r>
      <w:r>
        <w:rPr>
          <w:rFonts w:cs="Arial"/>
          <w:sz w:val="24"/>
          <w:szCs w:val="24"/>
        </w:rPr>
        <w:t>ió</w:t>
      </w:r>
      <w:r w:rsidRPr="007B0581">
        <w:rPr>
          <w:rFonts w:cs="Arial"/>
          <w:sz w:val="24"/>
          <w:szCs w:val="24"/>
        </w:rPr>
        <w:t>, haciendo valer sus excepciones</w:t>
      </w:r>
      <w:r>
        <w:rPr>
          <w:rFonts w:cs="Arial"/>
          <w:sz w:val="24"/>
          <w:szCs w:val="24"/>
        </w:rPr>
        <w:t xml:space="preserve"> y</w:t>
      </w:r>
      <w:r w:rsidRPr="007B0581">
        <w:rPr>
          <w:rFonts w:cs="Arial"/>
          <w:sz w:val="24"/>
          <w:szCs w:val="24"/>
        </w:rPr>
        <w:t xml:space="preserve"> defensas</w:t>
      </w:r>
      <w:r>
        <w:rPr>
          <w:rFonts w:cs="Arial"/>
          <w:sz w:val="24"/>
          <w:szCs w:val="24"/>
        </w:rPr>
        <w:t>,</w:t>
      </w:r>
      <w:r w:rsidRPr="007B0581">
        <w:rPr>
          <w:rFonts w:cs="Arial"/>
          <w:sz w:val="24"/>
          <w:szCs w:val="24"/>
        </w:rPr>
        <w:t xml:space="preserve"> por admitidas las pruebas ofrecidas, ordenándose correr traslado a la parte actora para</w:t>
      </w:r>
      <w:r>
        <w:rPr>
          <w:rFonts w:cs="Arial"/>
          <w:sz w:val="24"/>
          <w:szCs w:val="24"/>
        </w:rPr>
        <w:t xml:space="preserve"> los efectos legales correspondientes. Asimismo se señalaron las ONCE HORAS del día VEINTICUATRO DE OCTUBRE DE DOS MIL VEINTIDÓS, para la celebración de la audiencia final.</w:t>
      </w:r>
    </w:p>
    <w:p w:rsidR="006B2474" w:rsidRDefault="006B2474" w:rsidP="006B2474">
      <w:pPr>
        <w:pStyle w:val="corte4fondo"/>
        <w:ind w:right="51" w:firstLine="567"/>
        <w:rPr>
          <w:rFonts w:cs="Arial"/>
          <w:sz w:val="24"/>
          <w:szCs w:val="24"/>
        </w:rPr>
      </w:pPr>
    </w:p>
    <w:p w:rsidR="006B2474" w:rsidRPr="007B0581" w:rsidRDefault="006B2474" w:rsidP="006B2474">
      <w:pPr>
        <w:pStyle w:val="corte4fondo"/>
        <w:ind w:right="51" w:firstLine="567"/>
        <w:rPr>
          <w:rFonts w:cs="Arial"/>
          <w:b/>
          <w:bCs/>
          <w:sz w:val="24"/>
          <w:szCs w:val="24"/>
        </w:rPr>
      </w:pPr>
      <w:r>
        <w:rPr>
          <w:rFonts w:cs="Arial"/>
          <w:sz w:val="24"/>
          <w:szCs w:val="24"/>
        </w:rPr>
        <w:tab/>
      </w:r>
      <w:r>
        <w:rPr>
          <w:rFonts w:cs="Arial"/>
          <w:b/>
          <w:bCs/>
          <w:sz w:val="24"/>
          <w:szCs w:val="24"/>
        </w:rPr>
        <w:t>CUARTO</w:t>
      </w:r>
      <w:r w:rsidRPr="00142CF4">
        <w:rPr>
          <w:rFonts w:cs="Arial"/>
          <w:b/>
          <w:bCs/>
          <w:sz w:val="24"/>
          <w:szCs w:val="24"/>
        </w:rPr>
        <w:t xml:space="preserve">. </w:t>
      </w:r>
      <w:r>
        <w:rPr>
          <w:rFonts w:cs="Arial"/>
          <w:b/>
          <w:bCs/>
          <w:sz w:val="24"/>
          <w:szCs w:val="24"/>
        </w:rPr>
        <w:t>-</w:t>
      </w:r>
      <w:r>
        <w:rPr>
          <w:rFonts w:cs="Arial"/>
          <w:sz w:val="24"/>
          <w:szCs w:val="24"/>
        </w:rPr>
        <w:t xml:space="preserve"> </w:t>
      </w:r>
      <w:r w:rsidRPr="007B0581">
        <w:rPr>
          <w:rFonts w:cs="Arial"/>
          <w:sz w:val="24"/>
          <w:szCs w:val="24"/>
          <w:lang w:val="es-ES"/>
        </w:rPr>
        <w:t xml:space="preserve">El </w:t>
      </w:r>
      <w:r>
        <w:rPr>
          <w:rFonts w:cs="Arial"/>
          <w:sz w:val="24"/>
          <w:szCs w:val="24"/>
          <w:lang w:val="es-ES"/>
        </w:rPr>
        <w:t>veinticuatro de octubre de dos mil veintidós</w:t>
      </w:r>
      <w:r w:rsidRPr="007B0581">
        <w:rPr>
          <w:rFonts w:cs="Arial"/>
          <w:bCs/>
          <w:sz w:val="24"/>
          <w:szCs w:val="24"/>
          <w:lang w:val="es-ES"/>
        </w:rPr>
        <w:t xml:space="preserve">, se llevó a cabo la audiencia final, </w:t>
      </w:r>
      <w:r w:rsidRPr="007B0581">
        <w:rPr>
          <w:rFonts w:cs="Arial"/>
          <w:sz w:val="24"/>
          <w:szCs w:val="24"/>
          <w:lang w:val="es-ES"/>
        </w:rPr>
        <w:t>sin la asistencia de las partes, ni persona alguna que legalmente las representara</w:t>
      </w:r>
      <w:r w:rsidRPr="007B0581">
        <w:rPr>
          <w:rFonts w:cs="Arial"/>
          <w:bCs/>
          <w:sz w:val="24"/>
          <w:szCs w:val="24"/>
          <w:lang w:val="es-ES"/>
        </w:rPr>
        <w:t>,</w:t>
      </w:r>
      <w:r>
        <w:rPr>
          <w:rFonts w:cs="Arial"/>
          <w:bCs/>
          <w:sz w:val="24"/>
          <w:szCs w:val="24"/>
          <w:lang w:val="es-ES"/>
        </w:rPr>
        <w:t xml:space="preserve"> </w:t>
      </w:r>
      <w:r w:rsidRPr="00402863">
        <w:rPr>
          <w:rFonts w:cs="Arial"/>
          <w:sz w:val="24"/>
          <w:szCs w:val="24"/>
        </w:rPr>
        <w:t>asentando la Secretaria de Acuerdos de esta Sala, que</w:t>
      </w:r>
      <w:r>
        <w:rPr>
          <w:rFonts w:cs="Arial"/>
          <w:sz w:val="24"/>
          <w:szCs w:val="24"/>
        </w:rPr>
        <w:t xml:space="preserve"> la actora formuló alegatos por escrito</w:t>
      </w:r>
      <w:r w:rsidRPr="00402863">
        <w:rPr>
          <w:rFonts w:cs="Arial"/>
          <w:sz w:val="24"/>
          <w:szCs w:val="24"/>
        </w:rPr>
        <w:t xml:space="preserve">, por lo que </w:t>
      </w:r>
      <w:r w:rsidRPr="00466BDA">
        <w:rPr>
          <w:rFonts w:cs="Arial"/>
          <w:sz w:val="24"/>
          <w:szCs w:val="24"/>
        </w:rPr>
        <w:t>se ordenó</w:t>
      </w:r>
      <w:r w:rsidRPr="00402863">
        <w:rPr>
          <w:rFonts w:cs="Arial"/>
          <w:sz w:val="24"/>
          <w:szCs w:val="24"/>
        </w:rPr>
        <w:t xml:space="preserve"> citar a las partes a oír sentencia dentro del término de ley</w:t>
      </w:r>
      <w:r>
        <w:rPr>
          <w:rFonts w:cs="Arial"/>
          <w:sz w:val="24"/>
          <w:szCs w:val="24"/>
        </w:rPr>
        <w:t>, misma que ahora se pronuncia</w:t>
      </w:r>
      <w:r w:rsidRPr="007B0581">
        <w:rPr>
          <w:rFonts w:cs="Arial"/>
          <w:sz w:val="24"/>
          <w:szCs w:val="24"/>
        </w:rPr>
        <w:t>, y;</w:t>
      </w:r>
      <w:r w:rsidRPr="007B0581">
        <w:rPr>
          <w:rFonts w:cs="Arial"/>
          <w:bCs/>
          <w:sz w:val="24"/>
          <w:szCs w:val="24"/>
          <w:lang w:val="es-ES"/>
        </w:rPr>
        <w:t xml:space="preserve"> </w:t>
      </w:r>
    </w:p>
    <w:p w:rsidR="006B2474" w:rsidRDefault="006B2474" w:rsidP="006B2474">
      <w:pPr>
        <w:pStyle w:val="corte4fondo"/>
        <w:ind w:right="51" w:firstLine="567"/>
        <w:rPr>
          <w:rFonts w:cs="Arial"/>
          <w:b/>
          <w:spacing w:val="-3"/>
          <w:sz w:val="24"/>
          <w:szCs w:val="24"/>
        </w:rPr>
      </w:pPr>
    </w:p>
    <w:p w:rsidR="006B2474" w:rsidRPr="007B0581" w:rsidRDefault="006B2474" w:rsidP="006B2474">
      <w:pPr>
        <w:pStyle w:val="corte4fondo"/>
        <w:ind w:right="51" w:firstLine="567"/>
        <w:rPr>
          <w:rFonts w:cs="Arial"/>
          <w:b/>
          <w:spacing w:val="-3"/>
          <w:sz w:val="24"/>
          <w:szCs w:val="24"/>
        </w:rPr>
      </w:pPr>
    </w:p>
    <w:p w:rsidR="006B2474" w:rsidRDefault="006B2474" w:rsidP="006B2474">
      <w:pPr>
        <w:pStyle w:val="corte4fondo"/>
        <w:ind w:right="51" w:firstLine="567"/>
        <w:jc w:val="center"/>
        <w:rPr>
          <w:rFonts w:cs="Arial"/>
          <w:b/>
          <w:spacing w:val="-3"/>
          <w:sz w:val="24"/>
          <w:szCs w:val="24"/>
        </w:rPr>
      </w:pPr>
      <w:r w:rsidRPr="007B0581">
        <w:rPr>
          <w:rFonts w:cs="Arial"/>
          <w:b/>
          <w:spacing w:val="-3"/>
          <w:sz w:val="24"/>
          <w:szCs w:val="24"/>
        </w:rPr>
        <w:t>C O N S I D E R A N D O</w:t>
      </w:r>
    </w:p>
    <w:p w:rsidR="006B2474" w:rsidRPr="007B0581" w:rsidRDefault="006B2474" w:rsidP="006B2474">
      <w:pPr>
        <w:pStyle w:val="corte4fondo"/>
        <w:ind w:right="51" w:firstLine="567"/>
        <w:jc w:val="center"/>
        <w:rPr>
          <w:rFonts w:cs="Arial"/>
          <w:b/>
          <w:spacing w:val="-3"/>
          <w:sz w:val="24"/>
          <w:szCs w:val="24"/>
        </w:rPr>
      </w:pPr>
    </w:p>
    <w:p w:rsidR="006B2474" w:rsidRPr="007B0581" w:rsidRDefault="006B2474" w:rsidP="006B2474">
      <w:pPr>
        <w:pStyle w:val="corte4fondo"/>
        <w:spacing w:line="240" w:lineRule="auto"/>
        <w:ind w:right="51" w:firstLine="567"/>
        <w:contextualSpacing/>
        <w:rPr>
          <w:rFonts w:cs="Arial"/>
          <w:bCs/>
          <w:sz w:val="24"/>
          <w:szCs w:val="24"/>
        </w:rPr>
      </w:pPr>
    </w:p>
    <w:p w:rsidR="006B2474" w:rsidRPr="007B0581" w:rsidRDefault="006B2474" w:rsidP="006B2474">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t xml:space="preserve">PRIMERO.- </w:t>
      </w:r>
      <w:r w:rsidRPr="007B0581">
        <w:rPr>
          <w:rFonts w:ascii="Arial" w:hAnsi="Arial" w:cs="Arial"/>
          <w:sz w:val="24"/>
          <w:szCs w:val="24"/>
        </w:rPr>
        <w:t xml:space="preserve">Esta Quinta Sala Unitaria de Primera Instancia del Tribunal de Justicia Administrativa del Estado de Oaxaca, es competente para conocer y resolver el presente juicio de nulidad, con fundamento en el artículo 114 QUATER, párrafo primero, inciso B, </w:t>
      </w:r>
      <w:r w:rsidRPr="00843A48">
        <w:rPr>
          <w:rFonts w:ascii="Arial" w:hAnsi="Arial" w:cs="Arial"/>
          <w:sz w:val="24"/>
          <w:szCs w:val="24"/>
        </w:rPr>
        <w:t>fracción VI</w:t>
      </w:r>
      <w:r w:rsidRPr="007B0581">
        <w:rPr>
          <w:rFonts w:ascii="Arial" w:hAnsi="Arial" w:cs="Arial"/>
          <w:sz w:val="24"/>
          <w:szCs w:val="24"/>
        </w:rPr>
        <w:t xml:space="preserve"> de la Constitución Política del Estado Libre y Soberano de Oaxaca; 120, fracción I, 132 </w:t>
      </w:r>
      <w:r w:rsidRPr="00D374B1">
        <w:rPr>
          <w:rFonts w:ascii="Arial" w:hAnsi="Arial" w:cs="Arial"/>
          <w:sz w:val="24"/>
          <w:szCs w:val="24"/>
        </w:rPr>
        <w:t>fracciones I y II, 133</w:t>
      </w:r>
      <w:r w:rsidRPr="007B0581">
        <w:rPr>
          <w:rFonts w:ascii="Arial" w:hAnsi="Arial" w:cs="Arial"/>
          <w:sz w:val="24"/>
          <w:szCs w:val="24"/>
        </w:rPr>
        <w:t xml:space="preserve"> fracción </w:t>
      </w:r>
      <w:r w:rsidRPr="00D31F5F">
        <w:rPr>
          <w:rFonts w:ascii="Arial" w:hAnsi="Arial" w:cs="Arial"/>
          <w:sz w:val="24"/>
          <w:szCs w:val="24"/>
        </w:rPr>
        <w:t>I,</w:t>
      </w:r>
      <w:r w:rsidRPr="007B0581">
        <w:rPr>
          <w:rFonts w:ascii="Arial" w:hAnsi="Arial" w:cs="Arial"/>
          <w:sz w:val="24"/>
          <w:szCs w:val="24"/>
        </w:rPr>
        <w:t xml:space="preserve"> 146 y 147 de la Ley de Procedimiento y Justicia Administrativa para el Estado de Oaxaca. </w:t>
      </w:r>
    </w:p>
    <w:p w:rsidR="006B2474" w:rsidRPr="007B0581" w:rsidRDefault="006B2474" w:rsidP="006B2474">
      <w:pPr>
        <w:spacing w:line="360" w:lineRule="auto"/>
        <w:jc w:val="both"/>
        <w:rPr>
          <w:rFonts w:ascii="Arial" w:hAnsi="Arial" w:cs="Arial"/>
          <w:sz w:val="24"/>
          <w:szCs w:val="24"/>
        </w:rPr>
      </w:pPr>
      <w:r w:rsidRPr="007B0581">
        <w:rPr>
          <w:rFonts w:ascii="Arial" w:hAnsi="Arial" w:cs="Arial"/>
          <w:sz w:val="24"/>
          <w:szCs w:val="24"/>
        </w:rPr>
        <w:t xml:space="preserve"> </w:t>
      </w:r>
    </w:p>
    <w:p w:rsidR="006B2474" w:rsidRPr="007B0581" w:rsidRDefault="006B2474" w:rsidP="006B2474">
      <w:pPr>
        <w:spacing w:line="360" w:lineRule="auto"/>
        <w:ind w:right="51" w:firstLine="709"/>
        <w:jc w:val="both"/>
        <w:rPr>
          <w:rFonts w:ascii="Arial" w:hAnsi="Arial" w:cs="Arial"/>
          <w:sz w:val="24"/>
          <w:szCs w:val="24"/>
        </w:rPr>
      </w:pPr>
      <w:r w:rsidRPr="007B0581">
        <w:rPr>
          <w:rFonts w:ascii="Arial" w:hAnsi="Arial" w:cs="Arial"/>
          <w:b/>
          <w:snapToGrid w:val="0"/>
          <w:sz w:val="24"/>
          <w:szCs w:val="24"/>
        </w:rPr>
        <w:t xml:space="preserve">SEGUNDO. - </w:t>
      </w:r>
      <w:r w:rsidRPr="007B0581">
        <w:rPr>
          <w:rFonts w:ascii="Arial" w:hAnsi="Arial" w:cs="Arial"/>
          <w:sz w:val="24"/>
          <w:szCs w:val="24"/>
        </w:rPr>
        <w:t xml:space="preserve">La personalidad jurídica de las partes quedó acreditada en autos, en virtud que </w:t>
      </w:r>
      <w:r>
        <w:rPr>
          <w:rFonts w:ascii="Arial" w:hAnsi="Arial" w:cs="Arial"/>
          <w:sz w:val="24"/>
          <w:szCs w:val="24"/>
        </w:rPr>
        <w:t>la</w:t>
      </w:r>
      <w:r w:rsidRPr="007B0581">
        <w:rPr>
          <w:rFonts w:ascii="Arial" w:hAnsi="Arial" w:cs="Arial"/>
          <w:sz w:val="24"/>
          <w:szCs w:val="24"/>
        </w:rPr>
        <w:t xml:space="preserve"> actor</w:t>
      </w:r>
      <w:r>
        <w:rPr>
          <w:rFonts w:ascii="Arial" w:hAnsi="Arial" w:cs="Arial"/>
          <w:sz w:val="24"/>
          <w:szCs w:val="24"/>
        </w:rPr>
        <w:t>a</w:t>
      </w:r>
      <w:r w:rsidRPr="007B0581">
        <w:rPr>
          <w:rFonts w:ascii="Arial" w:hAnsi="Arial" w:cs="Arial"/>
          <w:sz w:val="24"/>
          <w:szCs w:val="24"/>
        </w:rPr>
        <w:t xml:space="preserve"> promueve por su propio derecho </w:t>
      </w:r>
      <w:r>
        <w:rPr>
          <w:rFonts w:ascii="Arial" w:hAnsi="Arial" w:cs="Arial"/>
          <w:sz w:val="24"/>
          <w:szCs w:val="24"/>
        </w:rPr>
        <w:t>y la de la</w:t>
      </w:r>
      <w:r w:rsidRPr="00455261">
        <w:rPr>
          <w:rFonts w:ascii="Arial" w:hAnsi="Arial" w:cs="Arial"/>
          <w:sz w:val="24"/>
          <w:szCs w:val="24"/>
        </w:rPr>
        <w:t xml:space="preserve"> autoridad demandada,</w:t>
      </w:r>
      <w:r>
        <w:rPr>
          <w:rFonts w:ascii="Arial" w:hAnsi="Arial" w:cs="Arial"/>
          <w:sz w:val="24"/>
          <w:szCs w:val="24"/>
        </w:rPr>
        <w:t xml:space="preserve"> de conformidad con el instrumento notarial 2437, volumen 58, pasado ante la fe del Notario Público número noventa en el Estado y</w:t>
      </w:r>
      <w:r w:rsidRPr="007B0581">
        <w:rPr>
          <w:rFonts w:ascii="Arial" w:hAnsi="Arial" w:cs="Arial"/>
          <w:sz w:val="24"/>
          <w:szCs w:val="24"/>
        </w:rPr>
        <w:t xml:space="preserve"> </w:t>
      </w:r>
      <w:r>
        <w:rPr>
          <w:rFonts w:ascii="Arial" w:hAnsi="Arial" w:cs="Arial"/>
          <w:sz w:val="24"/>
          <w:szCs w:val="24"/>
        </w:rPr>
        <w:t>de conformidad con los artículos 148</w:t>
      </w:r>
      <w:r w:rsidRPr="007B0581">
        <w:rPr>
          <w:rFonts w:ascii="Arial" w:hAnsi="Arial" w:cs="Arial"/>
          <w:sz w:val="24"/>
          <w:szCs w:val="24"/>
        </w:rPr>
        <w:t xml:space="preserve"> </w:t>
      </w:r>
      <w:r>
        <w:rPr>
          <w:rFonts w:ascii="Arial" w:hAnsi="Arial" w:cs="Arial"/>
          <w:sz w:val="24"/>
          <w:szCs w:val="24"/>
        </w:rPr>
        <w:t>y 151</w:t>
      </w:r>
      <w:r w:rsidRPr="007B0581">
        <w:rPr>
          <w:rFonts w:ascii="Arial" w:hAnsi="Arial" w:cs="Arial"/>
          <w:sz w:val="24"/>
          <w:szCs w:val="24"/>
        </w:rPr>
        <w:t xml:space="preserve"> </w:t>
      </w:r>
      <w:r w:rsidRPr="007B0581">
        <w:rPr>
          <w:rFonts w:ascii="Arial" w:hAnsi="Arial" w:cs="Arial"/>
          <w:snapToGrid w:val="0"/>
          <w:sz w:val="24"/>
          <w:szCs w:val="24"/>
        </w:rPr>
        <w:t>de la Ley de Procedimiento y Justicia Administrativa para el Estado de Oaxaca.</w:t>
      </w:r>
    </w:p>
    <w:p w:rsidR="006B2474" w:rsidRPr="007B0581" w:rsidRDefault="006B2474" w:rsidP="006B2474">
      <w:pPr>
        <w:ind w:right="51" w:firstLine="709"/>
        <w:contextualSpacing/>
        <w:jc w:val="both"/>
        <w:rPr>
          <w:rFonts w:ascii="Arial" w:hAnsi="Arial" w:cs="Arial"/>
          <w:sz w:val="24"/>
          <w:szCs w:val="24"/>
        </w:rPr>
      </w:pPr>
      <w:r w:rsidRPr="007B0581">
        <w:rPr>
          <w:rFonts w:ascii="Arial" w:hAnsi="Arial" w:cs="Arial"/>
          <w:sz w:val="24"/>
          <w:szCs w:val="24"/>
        </w:rPr>
        <w:t xml:space="preserve"> </w:t>
      </w:r>
    </w:p>
    <w:p w:rsidR="006B2474" w:rsidRDefault="006B2474" w:rsidP="006B2474">
      <w:pPr>
        <w:pStyle w:val="corte4fondo"/>
        <w:ind w:right="51" w:firstLine="567"/>
        <w:rPr>
          <w:rFonts w:cs="Arial"/>
          <w:sz w:val="24"/>
          <w:szCs w:val="24"/>
        </w:rPr>
      </w:pPr>
      <w:r w:rsidRPr="007B0581">
        <w:rPr>
          <w:rFonts w:cs="Arial"/>
          <w:sz w:val="24"/>
          <w:szCs w:val="24"/>
        </w:rPr>
        <w:tab/>
      </w:r>
      <w:r w:rsidRPr="00254D6D">
        <w:rPr>
          <w:rFonts w:cs="Arial"/>
          <w:b/>
          <w:sz w:val="24"/>
          <w:szCs w:val="24"/>
        </w:rPr>
        <w:t>TERCERO</w:t>
      </w:r>
      <w:r w:rsidRPr="00BA4761">
        <w:rPr>
          <w:rFonts w:cs="Arial"/>
          <w:b/>
          <w:sz w:val="24"/>
          <w:szCs w:val="24"/>
        </w:rPr>
        <w:t>. -</w:t>
      </w:r>
      <w:r w:rsidRPr="007B0581">
        <w:rPr>
          <w:rFonts w:cs="Arial"/>
          <w:sz w:val="24"/>
          <w:szCs w:val="24"/>
        </w:rPr>
        <w:t xml:space="preserve"> </w:t>
      </w:r>
      <w:r>
        <w:rPr>
          <w:rFonts w:cs="Arial"/>
          <w:sz w:val="24"/>
          <w:szCs w:val="24"/>
        </w:rPr>
        <w:t>Previo al estudio de fondo del asunto, esta Sala procede a analizar la causal de improcedencia vertida por la autoridad demandada consistente en las fracciones IX, del artículo 161 y V y VI del numeral 162 de la Ley de Procedimiento y Justicia Administrativa para el Estado de Oaxaca, que establecen lo siguiente:</w:t>
      </w:r>
    </w:p>
    <w:p w:rsidR="006B2474" w:rsidRDefault="006B2474" w:rsidP="006B2474">
      <w:pPr>
        <w:pStyle w:val="corte4fondo"/>
        <w:ind w:right="51" w:firstLine="567"/>
        <w:rPr>
          <w:rFonts w:cs="Arial"/>
          <w:sz w:val="24"/>
          <w:szCs w:val="24"/>
        </w:rPr>
      </w:pPr>
    </w:p>
    <w:p w:rsidR="006B2474" w:rsidRDefault="006B2474" w:rsidP="006B2474">
      <w:pPr>
        <w:pStyle w:val="corte4fondo"/>
        <w:ind w:right="51" w:firstLine="567"/>
        <w:rPr>
          <w:rFonts w:cs="Arial"/>
          <w:sz w:val="24"/>
          <w:szCs w:val="24"/>
        </w:rPr>
      </w:pPr>
      <w:r w:rsidRPr="00994F3C">
        <w:rPr>
          <w:rFonts w:cs="Arial"/>
          <w:sz w:val="24"/>
          <w:szCs w:val="24"/>
        </w:rPr>
        <w:t>ARTÍCULO 161.- Es improcedente el juicio ante el Tribunal contra actos:</w:t>
      </w:r>
    </w:p>
    <w:p w:rsidR="006B2474" w:rsidRDefault="006B2474" w:rsidP="006B2474">
      <w:pPr>
        <w:pStyle w:val="corte4fondo"/>
        <w:ind w:right="51" w:firstLine="567"/>
        <w:rPr>
          <w:rFonts w:cs="Arial"/>
          <w:sz w:val="24"/>
          <w:szCs w:val="24"/>
        </w:rPr>
      </w:pPr>
      <w:r w:rsidRPr="00994F3C">
        <w:rPr>
          <w:rFonts w:cs="Arial"/>
          <w:sz w:val="24"/>
          <w:szCs w:val="24"/>
        </w:rPr>
        <w:t>IX. Cuando de las constancias de autos apareciere claramente que no existe el acto</w:t>
      </w:r>
      <w:r>
        <w:rPr>
          <w:rFonts w:cs="Arial"/>
          <w:sz w:val="24"/>
          <w:szCs w:val="24"/>
        </w:rPr>
        <w:t xml:space="preserve"> </w:t>
      </w:r>
      <w:r w:rsidRPr="00994F3C">
        <w:rPr>
          <w:rFonts w:cs="Arial"/>
          <w:sz w:val="24"/>
          <w:szCs w:val="24"/>
        </w:rPr>
        <w:t>reclamado o cuando no se probare su existencia; y</w:t>
      </w:r>
    </w:p>
    <w:p w:rsidR="006B2474" w:rsidRDefault="006B2474" w:rsidP="006B2474">
      <w:pPr>
        <w:pStyle w:val="corte4fondo"/>
        <w:ind w:right="51" w:firstLine="567"/>
        <w:rPr>
          <w:rFonts w:cs="Arial"/>
          <w:sz w:val="24"/>
          <w:szCs w:val="24"/>
        </w:rPr>
      </w:pPr>
    </w:p>
    <w:p w:rsidR="006B2474" w:rsidRDefault="006B2474" w:rsidP="006B2474">
      <w:pPr>
        <w:pStyle w:val="corte4fondo"/>
        <w:ind w:right="51" w:firstLine="567"/>
        <w:rPr>
          <w:rFonts w:cs="Arial"/>
          <w:sz w:val="24"/>
          <w:szCs w:val="24"/>
        </w:rPr>
      </w:pPr>
      <w:r w:rsidRPr="00994F3C">
        <w:rPr>
          <w:rFonts w:cs="Arial"/>
          <w:sz w:val="24"/>
          <w:szCs w:val="24"/>
        </w:rPr>
        <w:t>ARTÍCULO 162.- Procede el sobreseimiento del juicio:</w:t>
      </w:r>
    </w:p>
    <w:p w:rsidR="006B2474" w:rsidRDefault="006B2474" w:rsidP="006B2474">
      <w:pPr>
        <w:pStyle w:val="corte4fondo"/>
        <w:ind w:right="51" w:firstLine="567"/>
        <w:rPr>
          <w:rFonts w:cs="Arial"/>
          <w:sz w:val="24"/>
          <w:szCs w:val="24"/>
        </w:rPr>
      </w:pPr>
    </w:p>
    <w:p w:rsidR="006B2474" w:rsidRPr="00994F3C" w:rsidRDefault="006B2474" w:rsidP="006B2474">
      <w:pPr>
        <w:pStyle w:val="corte4fondo"/>
        <w:ind w:right="51" w:firstLine="567"/>
        <w:rPr>
          <w:rFonts w:cs="Arial"/>
          <w:sz w:val="24"/>
          <w:szCs w:val="24"/>
        </w:rPr>
      </w:pPr>
      <w:r w:rsidRPr="00994F3C">
        <w:rPr>
          <w:rFonts w:cs="Arial"/>
          <w:sz w:val="24"/>
          <w:szCs w:val="24"/>
        </w:rPr>
        <w:t>V. Cuando de las constancias de autos apareciere claramente que no existe el acto o</w:t>
      </w:r>
      <w:r>
        <w:rPr>
          <w:rFonts w:cs="Arial"/>
          <w:sz w:val="24"/>
          <w:szCs w:val="24"/>
        </w:rPr>
        <w:t xml:space="preserve"> </w:t>
      </w:r>
      <w:r w:rsidRPr="00994F3C">
        <w:rPr>
          <w:rFonts w:cs="Arial"/>
          <w:sz w:val="24"/>
          <w:szCs w:val="24"/>
        </w:rPr>
        <w:t>resolución impugnada;</w:t>
      </w:r>
    </w:p>
    <w:p w:rsidR="006B2474" w:rsidRPr="00994F3C" w:rsidRDefault="006B2474" w:rsidP="006B2474">
      <w:pPr>
        <w:pStyle w:val="corte4fondo"/>
        <w:ind w:right="51" w:firstLine="567"/>
        <w:rPr>
          <w:rFonts w:cs="Arial"/>
          <w:sz w:val="24"/>
          <w:szCs w:val="24"/>
        </w:rPr>
      </w:pPr>
    </w:p>
    <w:p w:rsidR="006B2474" w:rsidRPr="00994F3C" w:rsidRDefault="006B2474" w:rsidP="006B2474">
      <w:pPr>
        <w:pStyle w:val="corte4fondo"/>
        <w:ind w:right="51" w:firstLine="567"/>
        <w:rPr>
          <w:rFonts w:cs="Arial"/>
          <w:sz w:val="24"/>
          <w:szCs w:val="24"/>
        </w:rPr>
      </w:pPr>
      <w:r w:rsidRPr="00994F3C">
        <w:rPr>
          <w:rFonts w:cs="Arial"/>
          <w:sz w:val="24"/>
          <w:szCs w:val="24"/>
        </w:rPr>
        <w:t>VI. En los demás casos en los que por disposición legal exista impedimento para emitir</w:t>
      </w:r>
      <w:r>
        <w:rPr>
          <w:rFonts w:cs="Arial"/>
          <w:sz w:val="24"/>
          <w:szCs w:val="24"/>
        </w:rPr>
        <w:t xml:space="preserve"> </w:t>
      </w:r>
      <w:r w:rsidRPr="00994F3C">
        <w:rPr>
          <w:rFonts w:cs="Arial"/>
          <w:sz w:val="24"/>
          <w:szCs w:val="24"/>
        </w:rPr>
        <w:t>resoluciones en cuanto al fondo; y</w:t>
      </w:r>
    </w:p>
    <w:p w:rsidR="006B2474" w:rsidRPr="00994F3C" w:rsidRDefault="006B2474" w:rsidP="006B2474">
      <w:pPr>
        <w:pStyle w:val="corte4fondo"/>
        <w:ind w:right="51" w:firstLine="567"/>
        <w:rPr>
          <w:rFonts w:cs="Arial"/>
          <w:sz w:val="24"/>
          <w:szCs w:val="24"/>
        </w:rPr>
      </w:pPr>
    </w:p>
    <w:p w:rsidR="006B2474" w:rsidRPr="007B0581" w:rsidRDefault="006B2474" w:rsidP="006B2474">
      <w:pPr>
        <w:pStyle w:val="corte4fondo"/>
        <w:ind w:right="51" w:firstLine="567"/>
        <w:rPr>
          <w:rFonts w:cs="Arial"/>
          <w:sz w:val="24"/>
          <w:szCs w:val="24"/>
        </w:rPr>
      </w:pPr>
      <w:r>
        <w:rPr>
          <w:rFonts w:cs="Arial"/>
          <w:sz w:val="24"/>
          <w:szCs w:val="24"/>
        </w:rPr>
        <w:t xml:space="preserve">En atención a lo anterior, se advierte que a foja 12 de los presentes autos obra agregado el oficio </w:t>
      </w:r>
      <w:r>
        <w:rPr>
          <w:rFonts w:cs="Arial"/>
          <w:b/>
          <w:sz w:val="24"/>
          <w:szCs w:val="24"/>
        </w:rPr>
        <w:t>**********</w:t>
      </w:r>
      <w:r>
        <w:rPr>
          <w:rFonts w:cs="Arial"/>
          <w:sz w:val="24"/>
          <w:szCs w:val="24"/>
        </w:rPr>
        <w:t xml:space="preserve">, de cinco de octubre de dos mil veintiuno, signado por el Director General de la Oficina de Pensiones del Estado de Oaxaca, que contiene el dictamen de pensión por jubilación de la </w:t>
      </w:r>
      <w:r w:rsidRPr="00254D6D">
        <w:rPr>
          <w:rFonts w:cs="Arial"/>
          <w:sz w:val="24"/>
          <w:szCs w:val="24"/>
        </w:rPr>
        <w:t>aquí actora</w:t>
      </w:r>
      <w:r>
        <w:rPr>
          <w:rFonts w:cs="Arial"/>
          <w:sz w:val="24"/>
          <w:szCs w:val="24"/>
        </w:rPr>
        <w:t xml:space="preserve"> aprobado por el Consejo Directivo de Pensiones del Estado de Oaxaca, resolución en contra de la cual la administrada promovió juicio de nulidad pues refirió que le causa agravio, en virtud que no se le integraron las prestaciones que establece la fracción I, del artículo 54 de la Ley de Pensiones para los Trabajadores del Gobierno del Estado de Oaxaca y que serán motivo de estudio por formar parte de la </w:t>
      </w:r>
      <w:proofErr w:type="spellStart"/>
      <w:r>
        <w:rPr>
          <w:rFonts w:cs="Arial"/>
          <w:sz w:val="24"/>
          <w:szCs w:val="24"/>
        </w:rPr>
        <w:t>litis</w:t>
      </w:r>
      <w:proofErr w:type="spellEnd"/>
      <w:r>
        <w:rPr>
          <w:rFonts w:cs="Arial"/>
          <w:sz w:val="24"/>
          <w:szCs w:val="24"/>
        </w:rPr>
        <w:t xml:space="preserve"> en el presente asunto. Por lo tanto, si existe y obra agregado el acto reclamado por la administrada, asimismo no existe impedimento para emitir resolución en cuanto al fondo, por lo que no se configura la causal de improcedencia que refirió la demandada.  En consecuencia, </w:t>
      </w:r>
      <w:r>
        <w:rPr>
          <w:rFonts w:cs="Arial"/>
          <w:b/>
          <w:bCs/>
          <w:sz w:val="24"/>
          <w:szCs w:val="24"/>
        </w:rPr>
        <w:t xml:space="preserve">NO SE SOBRESEE </w:t>
      </w:r>
      <w:r>
        <w:rPr>
          <w:rFonts w:cs="Arial"/>
          <w:sz w:val="24"/>
          <w:szCs w:val="24"/>
        </w:rPr>
        <w:t>el presente juicio.</w:t>
      </w:r>
    </w:p>
    <w:p w:rsidR="006B2474" w:rsidRPr="007B0581" w:rsidRDefault="006B2474" w:rsidP="006B2474">
      <w:pPr>
        <w:pStyle w:val="corte4fondo"/>
        <w:ind w:right="51" w:firstLine="708"/>
        <w:rPr>
          <w:rFonts w:cs="Arial"/>
          <w:sz w:val="24"/>
          <w:szCs w:val="24"/>
        </w:rPr>
      </w:pPr>
    </w:p>
    <w:p w:rsidR="006B2474" w:rsidRPr="007B0581" w:rsidRDefault="006B2474" w:rsidP="006B2474">
      <w:pPr>
        <w:spacing w:line="360" w:lineRule="auto"/>
        <w:jc w:val="both"/>
        <w:rPr>
          <w:rFonts w:ascii="Arial" w:hAnsi="Arial" w:cs="Arial"/>
          <w:sz w:val="24"/>
          <w:szCs w:val="24"/>
        </w:rPr>
      </w:pPr>
      <w:r w:rsidRPr="007B0581">
        <w:rPr>
          <w:rFonts w:ascii="Arial" w:hAnsi="Arial" w:cs="Arial"/>
          <w:sz w:val="24"/>
          <w:szCs w:val="24"/>
        </w:rPr>
        <w:tab/>
      </w:r>
      <w:r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la parte actora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Pr>
          <w:rFonts w:ascii="Arial" w:hAnsi="Arial" w:cs="Arial"/>
          <w:bCs/>
          <w:sz w:val="24"/>
          <w:szCs w:val="24"/>
        </w:rPr>
        <w:t>la</w:t>
      </w:r>
      <w:r w:rsidRPr="007B0581">
        <w:rPr>
          <w:rFonts w:ascii="Arial" w:hAnsi="Arial" w:cs="Arial"/>
          <w:bCs/>
          <w:sz w:val="24"/>
          <w:szCs w:val="24"/>
        </w:rPr>
        <w:t xml:space="preserve"> actor</w:t>
      </w:r>
      <w:r>
        <w:rPr>
          <w:rFonts w:ascii="Arial" w:hAnsi="Arial" w:cs="Arial"/>
          <w:bCs/>
          <w:sz w:val="24"/>
          <w:szCs w:val="24"/>
        </w:rPr>
        <w:t>a</w:t>
      </w:r>
      <w:r w:rsidRPr="007B0581">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obstante ello, serán valorados en el cuerpo de esta sentencia. </w:t>
      </w:r>
    </w:p>
    <w:p w:rsidR="006B2474" w:rsidRPr="007B0581" w:rsidRDefault="006B2474" w:rsidP="006B2474">
      <w:pPr>
        <w:spacing w:line="360" w:lineRule="auto"/>
        <w:jc w:val="both"/>
        <w:rPr>
          <w:rFonts w:ascii="Arial" w:hAnsi="Arial" w:cs="Arial"/>
          <w:sz w:val="24"/>
          <w:szCs w:val="24"/>
        </w:rPr>
      </w:pPr>
    </w:p>
    <w:p w:rsidR="006B2474" w:rsidRDefault="006B2474" w:rsidP="006B2474">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rsidR="006B2474" w:rsidRDefault="006B2474" w:rsidP="006B2474">
      <w:pPr>
        <w:pStyle w:val="Textonotapie"/>
        <w:widowControl w:val="0"/>
        <w:spacing w:line="360" w:lineRule="auto"/>
        <w:ind w:firstLine="708"/>
        <w:jc w:val="both"/>
        <w:rPr>
          <w:rFonts w:ascii="Arial" w:hAnsi="Arial" w:cs="Arial"/>
          <w:sz w:val="24"/>
          <w:szCs w:val="24"/>
          <w:lang w:eastAsia="es-MX"/>
        </w:rPr>
      </w:pPr>
    </w:p>
    <w:p w:rsidR="006B2474" w:rsidRDefault="006B2474" w:rsidP="006B2474">
      <w:pPr>
        <w:pStyle w:val="Textonotapie"/>
        <w:widowControl w:val="0"/>
        <w:spacing w:line="360" w:lineRule="auto"/>
        <w:ind w:firstLine="708"/>
        <w:jc w:val="both"/>
        <w:rPr>
          <w:rFonts w:ascii="Arial" w:hAnsi="Arial" w:cs="Arial"/>
          <w:sz w:val="24"/>
          <w:szCs w:val="24"/>
          <w:lang w:eastAsia="es-MX"/>
        </w:rPr>
      </w:pPr>
    </w:p>
    <w:p w:rsidR="006B2474" w:rsidRDefault="006B2474" w:rsidP="006B2474">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rsidR="006B2474" w:rsidRPr="007B0581" w:rsidRDefault="006B2474" w:rsidP="006B2474">
      <w:pPr>
        <w:pStyle w:val="Textonotapie"/>
        <w:widowControl w:val="0"/>
        <w:spacing w:line="360" w:lineRule="auto"/>
        <w:ind w:left="1701" w:right="1469"/>
        <w:jc w:val="both"/>
        <w:rPr>
          <w:rFonts w:ascii="Arial" w:hAnsi="Arial" w:cs="Arial"/>
          <w:b/>
          <w:sz w:val="24"/>
          <w:szCs w:val="24"/>
          <w:lang w:eastAsia="es-MX"/>
        </w:rPr>
      </w:pPr>
    </w:p>
    <w:p w:rsidR="00730ED1" w:rsidRDefault="006B2474" w:rsidP="006B2474">
      <w:pPr>
        <w:spacing w:line="360" w:lineRule="auto"/>
        <w:ind w:firstLine="708"/>
        <w:jc w:val="both"/>
        <w:rPr>
          <w:rFonts w:ascii="Arial" w:hAnsi="Arial" w:cs="Arial"/>
          <w:sz w:val="24"/>
          <w:szCs w:val="24"/>
        </w:rPr>
      </w:pPr>
      <w:r>
        <w:rPr>
          <w:rFonts w:ascii="Arial" w:hAnsi="Arial" w:cs="Arial"/>
          <w:sz w:val="24"/>
          <w:szCs w:val="24"/>
        </w:rPr>
        <w:t>La</w:t>
      </w:r>
      <w:r w:rsidRPr="007B0581">
        <w:rPr>
          <w:rFonts w:ascii="Arial" w:hAnsi="Arial" w:cs="Arial"/>
          <w:sz w:val="24"/>
          <w:szCs w:val="24"/>
        </w:rPr>
        <w:t xml:space="preserve"> </w:t>
      </w:r>
      <w:bookmarkStart w:id="3" w:name="_GoBack"/>
      <w:r w:rsidRPr="007B0581">
        <w:rPr>
          <w:rFonts w:ascii="Arial" w:hAnsi="Arial" w:cs="Arial"/>
          <w:sz w:val="24"/>
          <w:szCs w:val="24"/>
        </w:rPr>
        <w:t>actor</w:t>
      </w:r>
      <w:r>
        <w:rPr>
          <w:rFonts w:ascii="Arial" w:hAnsi="Arial" w:cs="Arial"/>
          <w:sz w:val="24"/>
          <w:szCs w:val="24"/>
        </w:rPr>
        <w:t>a</w:t>
      </w:r>
      <w:bookmarkEnd w:id="3"/>
      <w:r w:rsidRPr="007B0581">
        <w:rPr>
          <w:rFonts w:ascii="Arial" w:hAnsi="Arial" w:cs="Arial"/>
          <w:sz w:val="24"/>
          <w:szCs w:val="24"/>
        </w:rPr>
        <w:t xml:space="preserve"> </w:t>
      </w:r>
      <w:r w:rsidR="00730ED1">
        <w:rPr>
          <w:rFonts w:cs="Arial"/>
          <w:b/>
          <w:sz w:val="24"/>
          <w:szCs w:val="24"/>
        </w:rPr>
        <w:t>**********</w:t>
      </w:r>
      <w:r w:rsidRPr="007B0581">
        <w:rPr>
          <w:rFonts w:ascii="Arial" w:hAnsi="Arial" w:cs="Arial"/>
          <w:sz w:val="24"/>
          <w:szCs w:val="24"/>
        </w:rPr>
        <w:t xml:space="preserve">, demandó la nulidad de la resolución </w:t>
      </w:r>
      <w:r>
        <w:rPr>
          <w:rFonts w:ascii="Arial" w:hAnsi="Arial" w:cs="Arial"/>
          <w:sz w:val="24"/>
          <w:szCs w:val="24"/>
        </w:rPr>
        <w:t>emitida por el Consejo Directivo de Pensiones del Estado de Oaxaca,</w:t>
      </w:r>
      <w:r w:rsidRPr="007B0581">
        <w:rPr>
          <w:rFonts w:ascii="Arial" w:hAnsi="Arial" w:cs="Arial"/>
          <w:sz w:val="24"/>
          <w:szCs w:val="24"/>
        </w:rPr>
        <w:t xml:space="preserve"> contenida en el oficio </w:t>
      </w:r>
      <w:r>
        <w:rPr>
          <w:rFonts w:cs="Arial"/>
          <w:b/>
          <w:sz w:val="24"/>
          <w:szCs w:val="24"/>
        </w:rPr>
        <w:t>**********</w:t>
      </w:r>
      <w:r w:rsidRPr="007B0581">
        <w:rPr>
          <w:rFonts w:ascii="Arial" w:hAnsi="Arial" w:cs="Arial"/>
          <w:sz w:val="24"/>
          <w:szCs w:val="24"/>
        </w:rPr>
        <w:t xml:space="preserve"> de </w:t>
      </w:r>
      <w:r>
        <w:rPr>
          <w:rFonts w:ascii="Arial" w:hAnsi="Arial" w:cs="Arial"/>
          <w:sz w:val="24"/>
          <w:szCs w:val="24"/>
        </w:rPr>
        <w:t>cinco de octubre de dos mil veintiuno</w:t>
      </w:r>
      <w:r w:rsidRPr="007B0581">
        <w:rPr>
          <w:rFonts w:ascii="Arial" w:hAnsi="Arial" w:cs="Arial"/>
          <w:sz w:val="24"/>
          <w:szCs w:val="24"/>
        </w:rPr>
        <w:t xml:space="preserve">, signado por el </w:t>
      </w:r>
      <w:r>
        <w:rPr>
          <w:rFonts w:ascii="Arial" w:hAnsi="Arial" w:cs="Arial"/>
          <w:sz w:val="24"/>
          <w:szCs w:val="24"/>
        </w:rPr>
        <w:t>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eneral de la Oficina de Pensiones</w:t>
      </w:r>
      <w:r>
        <w:rPr>
          <w:rFonts w:ascii="Arial" w:hAnsi="Arial" w:cs="Arial"/>
          <w:sz w:val="24"/>
          <w:szCs w:val="24"/>
        </w:rPr>
        <w:t xml:space="preserve"> del </w:t>
      </w:r>
      <w:r w:rsidRPr="00956D00">
        <w:rPr>
          <w:rFonts w:ascii="Arial" w:hAnsi="Arial" w:cs="Arial"/>
          <w:sz w:val="24"/>
          <w:szCs w:val="24"/>
        </w:rPr>
        <w:t>Estado de Oaxaca</w:t>
      </w:r>
      <w:r w:rsidRPr="007B0581">
        <w:rPr>
          <w:rFonts w:ascii="Arial" w:hAnsi="Arial" w:cs="Arial"/>
          <w:b/>
          <w:bCs/>
          <w:sz w:val="24"/>
          <w:szCs w:val="24"/>
        </w:rPr>
        <w:t xml:space="preserve">, </w:t>
      </w:r>
      <w:r w:rsidRPr="007B0581">
        <w:rPr>
          <w:rFonts w:ascii="Arial" w:hAnsi="Arial" w:cs="Arial"/>
          <w:sz w:val="24"/>
          <w:szCs w:val="24"/>
        </w:rPr>
        <w:t>por</w:t>
      </w:r>
      <w:r>
        <w:rPr>
          <w:rFonts w:ascii="Arial" w:hAnsi="Arial" w:cs="Arial"/>
          <w:sz w:val="24"/>
          <w:szCs w:val="24"/>
        </w:rPr>
        <w:t xml:space="preserve"> considerar que se encuentra indebidamente fundada y motivada en razón que no expresa los argumentos que tuvo en consideración para concluir que eran </w:t>
      </w:r>
    </w:p>
    <w:p w:rsidR="006B2474" w:rsidRDefault="006B2474" w:rsidP="006B2474">
      <w:pPr>
        <w:spacing w:line="360" w:lineRule="auto"/>
        <w:ind w:firstLine="708"/>
        <w:jc w:val="both"/>
        <w:rPr>
          <w:rFonts w:ascii="Arial" w:hAnsi="Arial" w:cs="Arial"/>
          <w:sz w:val="24"/>
          <w:szCs w:val="24"/>
        </w:rPr>
      </w:pPr>
      <w:r>
        <w:rPr>
          <w:rFonts w:ascii="Arial" w:hAnsi="Arial" w:cs="Arial"/>
          <w:sz w:val="24"/>
          <w:szCs w:val="24"/>
        </w:rPr>
        <w:t>aplicables los artículos citados en el acto impugnado resultando violatorio de los artículos 1, 2, 14 y 16 de la Constitución Política de los Estados Unidos Mexicanos. Asimismo solicita que a su pensión por jubilación se le integren las prestaciones de la fracción I, del artículo 54 de la Ley de Pensiones para los Trabajadores del Gobierno del Estado de Oaxaca. Así también en su escrito de alegatos sustancialmente manifestó un trato discriminatorio, en virtud que no se le integraron a su pensión por jubilación las prestaciones a las que tiene derecho consistentes en previsión social múltiple, despensa, vida cara, quinquenios, aguinaldo, estímulo del día del jubilado y canasta nav</w:t>
      </w:r>
      <w:r w:rsidRPr="008438D5">
        <w:rPr>
          <w:rFonts w:ascii="Arial" w:hAnsi="Arial" w:cs="Arial"/>
          <w:sz w:val="24"/>
          <w:szCs w:val="24"/>
        </w:rPr>
        <w:t>ideñ</w:t>
      </w:r>
      <w:r>
        <w:rPr>
          <w:rFonts w:ascii="Arial" w:hAnsi="Arial" w:cs="Arial"/>
          <w:sz w:val="24"/>
          <w:szCs w:val="24"/>
        </w:rPr>
        <w:t>a.</w:t>
      </w:r>
    </w:p>
    <w:p w:rsidR="006B2474" w:rsidRDefault="006B2474" w:rsidP="006B2474">
      <w:pPr>
        <w:spacing w:line="360" w:lineRule="auto"/>
        <w:ind w:firstLine="708"/>
        <w:jc w:val="both"/>
        <w:rPr>
          <w:rFonts w:ascii="Arial" w:hAnsi="Arial" w:cs="Arial"/>
          <w:sz w:val="24"/>
          <w:szCs w:val="24"/>
        </w:rPr>
      </w:pPr>
    </w:p>
    <w:p w:rsidR="006B2474" w:rsidRDefault="006B2474" w:rsidP="006B2474">
      <w:pPr>
        <w:spacing w:line="360" w:lineRule="auto"/>
        <w:ind w:firstLine="708"/>
        <w:jc w:val="both"/>
        <w:rPr>
          <w:rFonts w:ascii="Arial" w:hAnsi="Arial" w:cs="Arial"/>
          <w:sz w:val="24"/>
          <w:szCs w:val="24"/>
        </w:rPr>
      </w:pPr>
      <w:r w:rsidRPr="00956D00">
        <w:rPr>
          <w:rFonts w:ascii="Arial" w:hAnsi="Arial" w:cs="Arial"/>
          <w:sz w:val="24"/>
          <w:szCs w:val="24"/>
        </w:rPr>
        <w:t>Por su p</w:t>
      </w:r>
      <w:r w:rsidRPr="007B0581">
        <w:rPr>
          <w:rFonts w:ascii="Arial" w:hAnsi="Arial" w:cs="Arial"/>
          <w:sz w:val="24"/>
          <w:szCs w:val="24"/>
        </w:rPr>
        <w:t>arte,</w:t>
      </w:r>
      <w:r>
        <w:rPr>
          <w:rFonts w:ascii="Arial" w:hAnsi="Arial" w:cs="Arial"/>
          <w:sz w:val="24"/>
          <w:szCs w:val="24"/>
        </w:rPr>
        <w:t xml:space="preserve"> la autoridad demandada Director General, por sí y en representación legal del </w:t>
      </w:r>
      <w:r w:rsidRPr="007B0581">
        <w:rPr>
          <w:rFonts w:ascii="Arial" w:hAnsi="Arial" w:cs="Arial"/>
          <w:sz w:val="24"/>
          <w:szCs w:val="24"/>
        </w:rPr>
        <w:t xml:space="preserve">Consejo Directivo de Pensiones del Estado de Oaxaca, </w:t>
      </w:r>
      <w:r>
        <w:rPr>
          <w:rFonts w:ascii="Arial" w:hAnsi="Arial" w:cs="Arial"/>
          <w:sz w:val="24"/>
          <w:szCs w:val="24"/>
        </w:rPr>
        <w:t>refirió que el acto administrativo cumple cabalmente con los elementos y requisitos que la ley prevé, de conformidad con lo dispuesto por el artículo 17 de la Ley de Procedimiento y Justicia Administrativa para el Estado de Oaxaca.</w:t>
      </w:r>
    </w:p>
    <w:p w:rsidR="006B2474" w:rsidRDefault="006B2474" w:rsidP="006B2474">
      <w:pPr>
        <w:spacing w:line="360" w:lineRule="auto"/>
        <w:ind w:firstLine="708"/>
        <w:jc w:val="both"/>
        <w:rPr>
          <w:rFonts w:ascii="Arial" w:hAnsi="Arial" w:cs="Arial"/>
          <w:sz w:val="24"/>
          <w:szCs w:val="24"/>
        </w:rPr>
      </w:pPr>
      <w:r>
        <w:rPr>
          <w:rFonts w:ascii="Arial" w:hAnsi="Arial" w:cs="Arial"/>
          <w:sz w:val="24"/>
          <w:szCs w:val="24"/>
        </w:rPr>
        <w:t xml:space="preserve"> </w:t>
      </w:r>
    </w:p>
    <w:p w:rsidR="006B2474" w:rsidRDefault="006B2474" w:rsidP="006B2474">
      <w:pPr>
        <w:spacing w:line="360" w:lineRule="auto"/>
        <w:ind w:firstLine="708"/>
        <w:jc w:val="both"/>
        <w:rPr>
          <w:rFonts w:ascii="Arial" w:hAnsi="Arial" w:cs="Arial"/>
          <w:sz w:val="24"/>
          <w:szCs w:val="24"/>
        </w:rPr>
      </w:pPr>
      <w:r w:rsidRPr="007B0581">
        <w:rPr>
          <w:rFonts w:ascii="Arial" w:hAnsi="Arial" w:cs="Arial"/>
          <w:color w:val="FF0000"/>
          <w:sz w:val="24"/>
          <w:szCs w:val="24"/>
        </w:rPr>
        <w:t xml:space="preserve"> </w:t>
      </w:r>
      <w:r w:rsidRPr="007B0581">
        <w:rPr>
          <w:rFonts w:ascii="Arial" w:hAnsi="Arial" w:cs="Arial"/>
          <w:sz w:val="24"/>
          <w:szCs w:val="24"/>
        </w:rPr>
        <w:t xml:space="preserve">Ahora bien, esta juzgadora </w:t>
      </w:r>
      <w:r>
        <w:rPr>
          <w:rFonts w:ascii="Arial" w:hAnsi="Arial" w:cs="Arial"/>
          <w:sz w:val="24"/>
          <w:szCs w:val="24"/>
        </w:rPr>
        <w:t>después de haber realizado el estudio</w:t>
      </w:r>
      <w:r w:rsidRPr="007B0581">
        <w:rPr>
          <w:rFonts w:ascii="Arial" w:hAnsi="Arial" w:cs="Arial"/>
          <w:sz w:val="24"/>
          <w:szCs w:val="24"/>
        </w:rPr>
        <w:t xml:space="preserve"> al contenido del oficio </w:t>
      </w:r>
      <w:r>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cinco de octubre de dos mil veintiuno</w:t>
      </w:r>
      <w:r w:rsidRPr="007B0581">
        <w:rPr>
          <w:rFonts w:ascii="Arial" w:hAnsi="Arial" w:cs="Arial"/>
          <w:sz w:val="24"/>
          <w:szCs w:val="24"/>
        </w:rPr>
        <w:t xml:space="preserve">, signado por el </w:t>
      </w:r>
      <w:r>
        <w:rPr>
          <w:rFonts w:ascii="Arial" w:hAnsi="Arial" w:cs="Arial"/>
          <w:sz w:val="24"/>
          <w:szCs w:val="24"/>
        </w:rPr>
        <w:t>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eneral de la Oficina de Pensiones</w:t>
      </w:r>
      <w:r>
        <w:rPr>
          <w:rFonts w:ascii="Arial" w:hAnsi="Arial" w:cs="Arial"/>
          <w:sz w:val="24"/>
          <w:szCs w:val="24"/>
        </w:rPr>
        <w:t xml:space="preserve"> del Estado de Oaxaca</w:t>
      </w:r>
      <w:r w:rsidRPr="007B0581">
        <w:rPr>
          <w:rFonts w:ascii="Arial" w:hAnsi="Arial" w:cs="Arial"/>
          <w:sz w:val="24"/>
          <w:szCs w:val="24"/>
        </w:rPr>
        <w:t xml:space="preserve">, mismo que contiene el </w:t>
      </w:r>
      <w:r>
        <w:rPr>
          <w:rFonts w:ascii="Arial" w:hAnsi="Arial" w:cs="Arial"/>
          <w:sz w:val="24"/>
          <w:szCs w:val="24"/>
        </w:rPr>
        <w:t>d</w:t>
      </w:r>
      <w:r w:rsidRPr="007B0581">
        <w:rPr>
          <w:rFonts w:ascii="Arial" w:hAnsi="Arial" w:cs="Arial"/>
          <w:sz w:val="24"/>
          <w:szCs w:val="24"/>
        </w:rPr>
        <w:t xml:space="preserve">ictamen de </w:t>
      </w:r>
      <w:r>
        <w:rPr>
          <w:rFonts w:ascii="Arial" w:hAnsi="Arial" w:cs="Arial"/>
          <w:sz w:val="24"/>
          <w:szCs w:val="24"/>
        </w:rPr>
        <w:t>p</w:t>
      </w:r>
      <w:r w:rsidRPr="007B0581">
        <w:rPr>
          <w:rFonts w:ascii="Arial" w:hAnsi="Arial" w:cs="Arial"/>
          <w:sz w:val="24"/>
          <w:szCs w:val="24"/>
        </w:rPr>
        <w:t>ensión</w:t>
      </w:r>
      <w:r>
        <w:rPr>
          <w:rFonts w:ascii="Arial" w:hAnsi="Arial" w:cs="Arial"/>
          <w:sz w:val="24"/>
          <w:szCs w:val="24"/>
        </w:rPr>
        <w:t xml:space="preserve"> por jubilación</w:t>
      </w:r>
      <w:r w:rsidRPr="007B0581">
        <w:rPr>
          <w:rFonts w:ascii="Arial" w:hAnsi="Arial" w:cs="Arial"/>
          <w:sz w:val="24"/>
          <w:szCs w:val="24"/>
        </w:rPr>
        <w:t xml:space="preserve"> aprobado por el</w:t>
      </w:r>
      <w:r w:rsidRPr="007B0581">
        <w:rPr>
          <w:rFonts w:ascii="Arial" w:hAnsi="Arial" w:cs="Arial"/>
          <w:b/>
          <w:bCs/>
          <w:sz w:val="24"/>
          <w:szCs w:val="24"/>
        </w:rPr>
        <w:t xml:space="preserve"> </w:t>
      </w:r>
      <w:r w:rsidRPr="007B0581">
        <w:rPr>
          <w:rFonts w:ascii="Arial" w:hAnsi="Arial" w:cs="Arial"/>
          <w:sz w:val="24"/>
          <w:szCs w:val="24"/>
        </w:rPr>
        <w:t>Consejo Directivo de Pensiones del Estado de Oaxaca</w:t>
      </w:r>
      <w:r>
        <w:rPr>
          <w:rFonts w:ascii="Arial" w:hAnsi="Arial" w:cs="Arial"/>
          <w:b/>
          <w:bCs/>
          <w:sz w:val="24"/>
          <w:szCs w:val="24"/>
        </w:rPr>
        <w:t xml:space="preserve">, </w:t>
      </w:r>
      <w:r w:rsidRPr="007B0581">
        <w:rPr>
          <w:rFonts w:ascii="Arial" w:hAnsi="Arial" w:cs="Arial"/>
          <w:sz w:val="24"/>
          <w:szCs w:val="24"/>
        </w:rPr>
        <w:t>advierte que</w:t>
      </w:r>
      <w:r>
        <w:rPr>
          <w:rFonts w:ascii="Arial" w:hAnsi="Arial" w:cs="Arial"/>
          <w:sz w:val="24"/>
          <w:szCs w:val="24"/>
        </w:rPr>
        <w:t xml:space="preserve"> </w:t>
      </w:r>
      <w:bookmarkStart w:id="4" w:name="_Hlk84507799"/>
      <w:r>
        <w:rPr>
          <w:rFonts w:ascii="Arial" w:hAnsi="Arial" w:cs="Arial"/>
          <w:sz w:val="24"/>
          <w:szCs w:val="24"/>
        </w:rPr>
        <w:t xml:space="preserve">son </w:t>
      </w:r>
      <w:r w:rsidRPr="00723C1D">
        <w:rPr>
          <w:rFonts w:ascii="Arial" w:hAnsi="Arial" w:cs="Arial"/>
          <w:b/>
          <w:bCs/>
          <w:sz w:val="24"/>
          <w:szCs w:val="24"/>
        </w:rPr>
        <w:t>fun</w:t>
      </w:r>
      <w:r w:rsidRPr="00455261">
        <w:rPr>
          <w:rFonts w:ascii="Arial" w:hAnsi="Arial" w:cs="Arial"/>
          <w:b/>
          <w:bCs/>
          <w:sz w:val="24"/>
          <w:szCs w:val="24"/>
        </w:rPr>
        <w:t>dado</w:t>
      </w:r>
      <w:r>
        <w:rPr>
          <w:rFonts w:ascii="Arial" w:hAnsi="Arial" w:cs="Arial"/>
          <w:b/>
          <w:bCs/>
          <w:sz w:val="24"/>
          <w:szCs w:val="24"/>
        </w:rPr>
        <w:t>s</w:t>
      </w:r>
      <w:r>
        <w:rPr>
          <w:rFonts w:ascii="Arial" w:hAnsi="Arial" w:cs="Arial"/>
          <w:sz w:val="24"/>
          <w:szCs w:val="24"/>
        </w:rPr>
        <w:t xml:space="preserve"> los agravio hechos valer por la actora. Se dice lo anterior en razón que, el acto impugnado carece de una debida fundamentación y motivación en virtud que la demandada fue omisa en invocar el artículo 54, fracción I de la Ley de Pensiones para los Trabajadores del Gobierno del Estado de Oaxaca; asimismo no expresó los motivos por los cuáles consideró que no le eran aplicables a la administrada las prestaciones de </w:t>
      </w:r>
      <w:r w:rsidRPr="007B0581">
        <w:rPr>
          <w:rFonts w:ascii="Arial" w:hAnsi="Arial" w:cs="Arial"/>
          <w:sz w:val="24"/>
          <w:szCs w:val="24"/>
        </w:rPr>
        <w:t>previsión social múltiple, despensa, vida cara, quinquenios, aguinaldo, est</w:t>
      </w:r>
      <w:r>
        <w:rPr>
          <w:rFonts w:ascii="Arial" w:hAnsi="Arial" w:cs="Arial"/>
          <w:sz w:val="24"/>
          <w:szCs w:val="24"/>
        </w:rPr>
        <w:t>í</w:t>
      </w:r>
      <w:r w:rsidRPr="007B0581">
        <w:rPr>
          <w:rFonts w:ascii="Arial" w:hAnsi="Arial" w:cs="Arial"/>
          <w:sz w:val="24"/>
          <w:szCs w:val="24"/>
        </w:rPr>
        <w:t>mulo del día del jubi</w:t>
      </w:r>
      <w:r>
        <w:rPr>
          <w:rFonts w:ascii="Arial" w:hAnsi="Arial" w:cs="Arial"/>
          <w:sz w:val="24"/>
          <w:szCs w:val="24"/>
        </w:rPr>
        <w:t>lado, día de las madres y canasta navideña.</w:t>
      </w:r>
    </w:p>
    <w:p w:rsidR="006B2474" w:rsidRDefault="006B2474" w:rsidP="006B2474">
      <w:pPr>
        <w:spacing w:line="360" w:lineRule="auto"/>
        <w:ind w:firstLine="708"/>
        <w:jc w:val="both"/>
        <w:rPr>
          <w:rFonts w:ascii="Arial" w:hAnsi="Arial" w:cs="Arial"/>
          <w:sz w:val="24"/>
          <w:szCs w:val="24"/>
        </w:rPr>
      </w:pPr>
    </w:p>
    <w:p w:rsidR="006B2474" w:rsidRDefault="006B2474" w:rsidP="006B2474">
      <w:pPr>
        <w:spacing w:line="360" w:lineRule="auto"/>
        <w:ind w:firstLine="708"/>
        <w:jc w:val="both"/>
        <w:rPr>
          <w:rFonts w:ascii="Arial" w:hAnsi="Arial" w:cs="Arial"/>
          <w:i/>
          <w:sz w:val="24"/>
          <w:szCs w:val="24"/>
        </w:rPr>
      </w:pPr>
      <w:r>
        <w:rPr>
          <w:rFonts w:ascii="Arial" w:hAnsi="Arial" w:cs="Arial"/>
          <w:sz w:val="24"/>
          <w:szCs w:val="24"/>
        </w:rPr>
        <w:t>Es de señalar que el artículo 54, fracción I de la Ley en cita contempla que las citadas prestaciones se integrarán a j</w:t>
      </w:r>
      <w:r w:rsidRPr="00395B83">
        <w:rPr>
          <w:rFonts w:ascii="Arial" w:hAnsi="Arial" w:cs="Arial"/>
          <w:sz w:val="24"/>
          <w:szCs w:val="24"/>
        </w:rPr>
        <w:t>ubilados tratándose solo de aquéllos que fueron trabajadores de base</w:t>
      </w:r>
      <w:r>
        <w:rPr>
          <w:rFonts w:ascii="Arial" w:hAnsi="Arial" w:cs="Arial"/>
          <w:sz w:val="24"/>
          <w:szCs w:val="24"/>
        </w:rPr>
        <w:t xml:space="preserve">, lo cierto es que, tal distinción entre personal de base y de confianza, </w:t>
      </w:r>
      <w:r w:rsidRPr="00326A7E">
        <w:rPr>
          <w:rFonts w:ascii="Arial" w:hAnsi="Arial" w:cs="Arial"/>
          <w:sz w:val="24"/>
          <w:szCs w:val="24"/>
        </w:rPr>
        <w:t>contraviene el principio</w:t>
      </w:r>
      <w:r>
        <w:rPr>
          <w:rFonts w:ascii="Arial" w:hAnsi="Arial" w:cs="Arial"/>
          <w:sz w:val="24"/>
          <w:szCs w:val="24"/>
        </w:rPr>
        <w:t xml:space="preserve"> de igualdad que tiene un carácter fundamental adjetivo o procedimental mismo que debe ser observado acorde a lo establecido con el artículo 1 de la Constitución Política de los Estados Unidos Mexicanos</w:t>
      </w:r>
      <w:r w:rsidRPr="003823D9">
        <w:rPr>
          <w:rFonts w:ascii="Arial" w:hAnsi="Arial" w:cs="Arial"/>
          <w:sz w:val="24"/>
          <w:szCs w:val="24"/>
        </w:rPr>
        <w:t>.</w:t>
      </w:r>
      <w:r>
        <w:rPr>
          <w:rFonts w:ascii="Arial" w:hAnsi="Arial" w:cs="Arial"/>
          <w:sz w:val="24"/>
          <w:szCs w:val="24"/>
        </w:rPr>
        <w:t xml:space="preserve"> </w:t>
      </w:r>
      <w:r w:rsidRPr="007B0581">
        <w:rPr>
          <w:rFonts w:ascii="Arial" w:hAnsi="Arial" w:cs="Arial"/>
          <w:sz w:val="24"/>
          <w:szCs w:val="24"/>
        </w:rPr>
        <w:t>Sirv</w:t>
      </w:r>
      <w:r>
        <w:rPr>
          <w:rFonts w:ascii="Arial" w:hAnsi="Arial" w:cs="Arial"/>
          <w:sz w:val="24"/>
          <w:szCs w:val="24"/>
        </w:rPr>
        <w:t>e</w:t>
      </w:r>
      <w:r w:rsidRPr="007B0581">
        <w:rPr>
          <w:rFonts w:ascii="Arial" w:hAnsi="Arial" w:cs="Arial"/>
          <w:sz w:val="24"/>
          <w:szCs w:val="24"/>
        </w:rPr>
        <w:t xml:space="preserve"> de apoyo a lo antes vertido la Jurisprudencia en materia Constitucional y Laboral, Novena Época, registro electrónico 170892 de rubro: </w:t>
      </w:r>
      <w:r w:rsidRPr="007B0581">
        <w:rPr>
          <w:rFonts w:ascii="Arial" w:hAnsi="Arial" w:cs="Arial"/>
          <w:i/>
          <w:sz w:val="24"/>
          <w:szCs w:val="24"/>
        </w:rPr>
        <w:t>“TRABAJADORES DE CONFIANZA AL SERVICIO DEL ESTADO. AUNQUE NO GOZAN DEL DERECHO A LA ESTABILIDAD EN EL EMPLEO, EL ARTÍCULO 123, APARTADO B, FRACCIÓN XIV, DE LA CONSTITUCIÓN DE LOS ESTADOS UNIDOS MEXICANOS, LES OTORGA DERECHOS DE PROTECCIÓN AL SALARIO Y DE SEGURIDAD SOCIAL”</w:t>
      </w:r>
      <w:r>
        <w:rPr>
          <w:rFonts w:ascii="Arial" w:hAnsi="Arial" w:cs="Arial"/>
          <w:i/>
          <w:sz w:val="24"/>
          <w:szCs w:val="24"/>
        </w:rPr>
        <w:t>.</w:t>
      </w:r>
    </w:p>
    <w:p w:rsidR="006B2474" w:rsidRDefault="006B2474" w:rsidP="006B2474">
      <w:pPr>
        <w:spacing w:line="360" w:lineRule="auto"/>
        <w:ind w:firstLine="708"/>
        <w:jc w:val="both"/>
        <w:rPr>
          <w:rFonts w:ascii="Arial" w:hAnsi="Arial" w:cs="Arial"/>
          <w:i/>
          <w:sz w:val="24"/>
          <w:szCs w:val="24"/>
        </w:rPr>
      </w:pPr>
    </w:p>
    <w:p w:rsidR="006B2474" w:rsidRPr="0074641C" w:rsidRDefault="006B2474" w:rsidP="006B2474">
      <w:pPr>
        <w:pStyle w:val="NormalWeb"/>
        <w:spacing w:before="0" w:beforeAutospacing="0" w:after="0" w:afterAutospacing="0" w:line="375" w:lineRule="atLeast"/>
        <w:ind w:firstLine="708"/>
        <w:jc w:val="both"/>
        <w:rPr>
          <w:rFonts w:ascii="Calibri" w:hAnsi="Calibri" w:cs="Calibri"/>
          <w:color w:val="212529"/>
          <w:sz w:val="26"/>
          <w:szCs w:val="26"/>
        </w:rPr>
      </w:pPr>
      <w:bookmarkStart w:id="5" w:name="_Hlk84507605"/>
      <w:r w:rsidRPr="007B0581">
        <w:rPr>
          <w:rFonts w:ascii="Arial" w:hAnsi="Arial" w:cs="Arial"/>
        </w:rPr>
        <w:t>El derecho a la No Discriminación reconocido en el artículo 1</w:t>
      </w:r>
      <w:r>
        <w:rPr>
          <w:rFonts w:ascii="Arial" w:hAnsi="Arial" w:cs="Arial"/>
        </w:rPr>
        <w:t>º</w:t>
      </w:r>
      <w:r w:rsidRPr="007B0581">
        <w:rPr>
          <w:rFonts w:ascii="Arial" w:hAnsi="Arial" w:cs="Arial"/>
        </w:rPr>
        <w:t xml:space="preserve"> de la Constitución Política de los Estados Unidos Mexicanos, </w:t>
      </w:r>
      <w:r>
        <w:rPr>
          <w:rFonts w:ascii="Arial" w:hAnsi="Arial" w:cs="Arial"/>
        </w:rPr>
        <w:t>prohíbe</w:t>
      </w:r>
      <w:r w:rsidRPr="007B0581">
        <w:rPr>
          <w:rFonts w:ascii="Arial" w:hAnsi="Arial" w:cs="Arial"/>
        </w:rPr>
        <w:t xml:space="preserve"> la distinción contra la dignidad humana, cuando tenga por objeto anular o menoscabar los derechos y libertades de las personas, en este caso en particular la igualdad de oportunidades, pues si bien es cierto, existen distinciones legales entre los trabajadores de base y los de confianza, también lo es que los requisitos para que se les otorgue la pensión y determinar su cálculo no deben ser distintas, porque aun cuando el artículo </w:t>
      </w:r>
      <w:r w:rsidRPr="008867E7">
        <w:rPr>
          <w:rFonts w:ascii="Arial" w:hAnsi="Arial" w:cs="Arial"/>
        </w:rPr>
        <w:t>123 Constitucional</w:t>
      </w:r>
      <w:r w:rsidRPr="007B0581">
        <w:rPr>
          <w:rFonts w:ascii="Arial" w:hAnsi="Arial" w:cs="Arial"/>
        </w:rPr>
        <w:t xml:space="preserve"> divide a los trabajadores en apartados, lo cierto es que en el caso en particular, se debe atender a la premisa de que la transgresión a esos derechos, surge cuando en condiciones semejantes, el beneficio a la obtención de la pensión se establece un trato desigual, situación que se advierte en el presente cas</w:t>
      </w:r>
      <w:r w:rsidRPr="00270EE2">
        <w:rPr>
          <w:rFonts w:ascii="Arial" w:hAnsi="Arial" w:cs="Arial"/>
        </w:rPr>
        <w:t>o</w:t>
      </w:r>
      <w:r>
        <w:rPr>
          <w:rFonts w:ascii="Arial" w:hAnsi="Arial" w:cs="Arial"/>
        </w:rPr>
        <w:t xml:space="preserve">, </w:t>
      </w:r>
      <w:r w:rsidRPr="007B0581">
        <w:rPr>
          <w:rFonts w:ascii="Arial" w:hAnsi="Arial" w:cs="Arial"/>
        </w:rPr>
        <w:t xml:space="preserve">pues se redujeron los beneficios a que tiene derecho </w:t>
      </w:r>
      <w:r>
        <w:rPr>
          <w:rFonts w:ascii="Arial" w:hAnsi="Arial" w:cs="Arial"/>
        </w:rPr>
        <w:t>la</w:t>
      </w:r>
      <w:r w:rsidRPr="007B0581">
        <w:rPr>
          <w:rFonts w:ascii="Arial" w:hAnsi="Arial" w:cs="Arial"/>
        </w:rPr>
        <w:t xml:space="preserve"> actor</w:t>
      </w:r>
      <w:r>
        <w:rPr>
          <w:rFonts w:ascii="Arial" w:hAnsi="Arial" w:cs="Arial"/>
        </w:rPr>
        <w:t>a,  asimismo se deja de observar que las autoridades del Estado Mexicano en el ámbito de sus competencias deben garantizar el respeto, protección y garantizar sus derechos, esto es, realizar la interpretación conforme en sentido amplio, lo que significa que las autoridades del Estado Mexicano, deben interpretar el orden jurídico a la luz y conforme a los derechos reconocidos en la Constitución Política de los Estados Unidos Mexicanos y en los tratados internacionales en los cuales el Estado mexicano sea parte, favoreciendo en todo tiempo a las personas con la protección más amplia; interpretación conforme en sentido estricto, lo que significa que cuando hay varias interpretaciones jurídicamente válidas, las autoridades deben, partiendo de la presunción de constitucionalidad de las leyes, prefiriendo aquéllas que hacen a la ley acorde a los derechos humanos reconocidos en nuestra carta magna y en los tratados internacionales en los que el Estado mexicano sea parte, para evitar incidir o vulnerar el contenido esencial de estos derechos</w:t>
      </w:r>
      <w:r w:rsidRPr="007B0581">
        <w:rPr>
          <w:rFonts w:ascii="Arial" w:hAnsi="Arial" w:cs="Arial"/>
        </w:rPr>
        <w:t xml:space="preserve">; resultando evidente la </w:t>
      </w:r>
      <w:proofErr w:type="spellStart"/>
      <w:r w:rsidRPr="007B0581">
        <w:rPr>
          <w:rFonts w:ascii="Arial" w:hAnsi="Arial" w:cs="Arial"/>
        </w:rPr>
        <w:t>inconvencionalidad</w:t>
      </w:r>
      <w:proofErr w:type="spellEnd"/>
      <w:r w:rsidRPr="007B0581">
        <w:rPr>
          <w:rFonts w:ascii="Arial" w:hAnsi="Arial" w:cs="Arial"/>
        </w:rPr>
        <w:t xml:space="preserve"> de la no aplicación de lo establecido en el artículo 54, fracción I de la Ley de Pensiones para los Trabajadores del Gobierno del Estado de Oaxaca, al violentar el Principio de Igualdad jurídica contenido en el artículo 1</w:t>
      </w:r>
      <w:r>
        <w:rPr>
          <w:rFonts w:ascii="Arial" w:hAnsi="Arial" w:cs="Arial"/>
        </w:rPr>
        <w:t>º</w:t>
      </w:r>
      <w:r w:rsidRPr="007B0581">
        <w:rPr>
          <w:rFonts w:ascii="Arial" w:hAnsi="Arial" w:cs="Arial"/>
        </w:rPr>
        <w:t xml:space="preserve"> de nuestra Carga Magna, pues establece un trato desigual al otorgar la pensión</w:t>
      </w:r>
      <w:r>
        <w:rPr>
          <w:rFonts w:ascii="Arial" w:hAnsi="Arial" w:cs="Arial"/>
        </w:rPr>
        <w:t xml:space="preserve"> con todas sus prestaciones</w:t>
      </w:r>
      <w:r w:rsidRPr="007B0581">
        <w:rPr>
          <w:rFonts w:ascii="Arial" w:hAnsi="Arial" w:cs="Arial"/>
        </w:rPr>
        <w:t xml:space="preserve"> a un trabajador de base</w:t>
      </w:r>
      <w:r>
        <w:rPr>
          <w:rFonts w:ascii="Arial" w:hAnsi="Arial" w:cs="Arial"/>
        </w:rPr>
        <w:t>,</w:t>
      </w:r>
      <w:r w:rsidRPr="007B0581">
        <w:rPr>
          <w:rFonts w:ascii="Arial" w:hAnsi="Arial" w:cs="Arial"/>
        </w:rPr>
        <w:t xml:space="preserve"> </w:t>
      </w:r>
      <w:r>
        <w:rPr>
          <w:rFonts w:ascii="Arial" w:hAnsi="Arial" w:cs="Arial"/>
        </w:rPr>
        <w:t>no así a</w:t>
      </w:r>
      <w:r w:rsidRPr="007B0581">
        <w:rPr>
          <w:rFonts w:ascii="Arial" w:hAnsi="Arial" w:cs="Arial"/>
        </w:rPr>
        <w:t xml:space="preserve"> uno de confianza, desconociendo la igualdad de</w:t>
      </w:r>
      <w:r>
        <w:rPr>
          <w:rFonts w:ascii="Arial" w:hAnsi="Arial" w:cs="Arial"/>
        </w:rPr>
        <w:t xml:space="preserve"> derechos de</w:t>
      </w:r>
      <w:r w:rsidRPr="007B0581">
        <w:rPr>
          <w:rFonts w:ascii="Arial" w:hAnsi="Arial" w:cs="Arial"/>
        </w:rPr>
        <w:t xml:space="preserve"> todas las personas.</w:t>
      </w:r>
      <w:r>
        <w:rPr>
          <w:rFonts w:ascii="Arial" w:hAnsi="Arial" w:cs="Arial"/>
        </w:rPr>
        <w:t xml:space="preserve"> Sirva de apoyo la tesis con número de registro 160525 emitida por el pleno de la Suprema Corte de Justicia de la Nación, Décima Época, Libro III, tomo 1, diciembre 2011, página 552, de </w:t>
      </w:r>
      <w:r w:rsidRPr="00435AE1">
        <w:rPr>
          <w:rFonts w:ascii="Arial" w:hAnsi="Arial" w:cs="Arial"/>
        </w:rPr>
        <w:t>texto y rubro</w:t>
      </w:r>
      <w:r>
        <w:rPr>
          <w:rFonts w:ascii="Arial" w:hAnsi="Arial" w:cs="Arial"/>
        </w:rPr>
        <w:t xml:space="preserve"> siguiente: </w:t>
      </w:r>
      <w:r w:rsidRPr="0074641C">
        <w:rPr>
          <w:rFonts w:ascii="Arial" w:hAnsi="Arial" w:cs="Arial"/>
          <w:i/>
          <w:iCs/>
        </w:rPr>
        <w:t xml:space="preserve">“PASOS A SEGUIR EN EL CONTROL DE CONSTITUCIONALIDAD Y CONVENCIONALIDAD EX OFFICIO EN MATERIA DE DERECHOS HUMANOS. </w:t>
      </w:r>
      <w:r w:rsidRPr="0074641C">
        <w:rPr>
          <w:rFonts w:ascii="Arial" w:hAnsi="Arial" w:cs="Arial"/>
          <w:i/>
          <w:iCs/>
          <w:color w:val="212529"/>
        </w:rPr>
        <w:t xml:space="preserve">La posibilidad de inaplicación de leyes por los jueces del país, en ningún momento supone la eliminación o el desconocimiento de la presunción de constitucionalidad de ellas, sino que, precisamente, parte de esta presunción al permitir hacer el contraste previo a su aplicación. En ese orden de ideas, el Poder Judicial al ejercer un control de convencionalidad ex </w:t>
      </w:r>
      <w:proofErr w:type="spellStart"/>
      <w:r w:rsidRPr="0074641C">
        <w:rPr>
          <w:rFonts w:ascii="Arial" w:hAnsi="Arial" w:cs="Arial"/>
          <w:i/>
          <w:iCs/>
          <w:color w:val="212529"/>
        </w:rPr>
        <w:t>officio</w:t>
      </w:r>
      <w:proofErr w:type="spellEnd"/>
      <w:r w:rsidRPr="0074641C">
        <w:rPr>
          <w:rFonts w:ascii="Arial" w:hAnsi="Arial" w:cs="Arial"/>
          <w:i/>
          <w:iCs/>
          <w:color w:val="212529"/>
        </w:rPr>
        <w:t xml:space="preserve"> en materia de derechos humanos, deberá realizar los siguientes pasos: a) Interpretación conforme en sentido amplio, lo que significa que los jueces del país -al igual que todas las demás autoridades del Estado Mexicano-, deben interpretar el orden jurídico a la luz y conforme a los derechos humanos reconocidos en la Constitución y en los tratados internacionales en los cuales el Estado Mexicano sea parte, favoreciendo en todo tiempo a las personas con la protección más amplia; b) Interpretación conforme en sentido estricto, lo que significa que cuando hay varias interpretaciones jurídicamente válidas, los jueces deben, partiendo de la presunción de constitucionalidad de las leyes, preferir aquella que hace a la ley acorde a los derechos humanos reconocidos en la Constitución y en los tratados internacionales en los que el Estado Mexicano sea parte, para evitar incidir o vulnerar el contenido esencial de estos derechos; y, c) Inaplicación de la ley cuando las alternativas anteriores no son posibles. Lo anterior no afecta o rompe con la lógica de los principios de división de poderes y de federalismo, sino que fortalece el papel de los jueces al ser el último recurso para asegurar la primacía y aplicación efectiva de los derechos humanos establecidos en la Constitución y en los tratados internacionales de los cuales el Estado Mexicano es parte.”</w:t>
      </w:r>
      <w:r w:rsidRPr="0074641C">
        <w:rPr>
          <w:rFonts w:ascii="Calibri" w:hAnsi="Calibri" w:cs="Calibri"/>
          <w:i/>
          <w:iCs/>
          <w:color w:val="212529"/>
          <w:sz w:val="26"/>
          <w:szCs w:val="26"/>
        </w:rPr>
        <w:t xml:space="preserve"> </w:t>
      </w:r>
    </w:p>
    <w:p w:rsidR="006B2474" w:rsidRDefault="006B2474" w:rsidP="006B2474">
      <w:pPr>
        <w:spacing w:line="360" w:lineRule="auto"/>
        <w:ind w:firstLine="708"/>
        <w:jc w:val="both"/>
        <w:rPr>
          <w:rFonts w:ascii="Arial" w:hAnsi="Arial" w:cs="Arial"/>
          <w:sz w:val="24"/>
          <w:szCs w:val="24"/>
        </w:rPr>
      </w:pPr>
      <w:r>
        <w:rPr>
          <w:rFonts w:ascii="Arial" w:hAnsi="Arial" w:cs="Arial"/>
          <w:sz w:val="24"/>
          <w:szCs w:val="24"/>
        </w:rPr>
        <w:t xml:space="preserve"> </w:t>
      </w:r>
    </w:p>
    <w:bookmarkEnd w:id="4"/>
    <w:bookmarkEnd w:id="5"/>
    <w:p w:rsidR="006B2474" w:rsidRDefault="006B2474" w:rsidP="006B2474">
      <w:pPr>
        <w:spacing w:line="360" w:lineRule="auto"/>
        <w:ind w:firstLine="708"/>
        <w:jc w:val="both"/>
        <w:rPr>
          <w:rFonts w:ascii="Arial" w:hAnsi="Arial" w:cs="Arial"/>
          <w:sz w:val="24"/>
          <w:szCs w:val="24"/>
        </w:rPr>
      </w:pPr>
      <w:r w:rsidRPr="007B0581">
        <w:rPr>
          <w:rFonts w:ascii="Arial" w:hAnsi="Arial" w:cs="Arial"/>
          <w:sz w:val="24"/>
          <w:szCs w:val="24"/>
        </w:rPr>
        <w:t>De lo antes expuesto, al</w:t>
      </w:r>
      <w:r>
        <w:rPr>
          <w:rFonts w:ascii="Arial" w:hAnsi="Arial" w:cs="Arial"/>
          <w:sz w:val="24"/>
          <w:szCs w:val="24"/>
        </w:rPr>
        <w:t xml:space="preserve"> no encontrarse debidamente fundada ni motivada la resolución combatida y</w:t>
      </w:r>
      <w:r w:rsidRPr="007B0581">
        <w:rPr>
          <w:rFonts w:ascii="Arial" w:hAnsi="Arial" w:cs="Arial"/>
          <w:sz w:val="24"/>
          <w:szCs w:val="24"/>
        </w:rPr>
        <w:t xml:space="preserve"> aplica</w:t>
      </w:r>
      <w:r>
        <w:rPr>
          <w:rFonts w:ascii="Arial" w:hAnsi="Arial" w:cs="Arial"/>
          <w:sz w:val="24"/>
          <w:szCs w:val="24"/>
        </w:rPr>
        <w:t>r</w:t>
      </w:r>
      <w:r w:rsidRPr="007B0581">
        <w:rPr>
          <w:rFonts w:ascii="Arial" w:hAnsi="Arial" w:cs="Arial"/>
          <w:sz w:val="24"/>
          <w:szCs w:val="24"/>
        </w:rPr>
        <w:t xml:space="preserve"> la autoridad demandada</w:t>
      </w:r>
      <w:r>
        <w:rPr>
          <w:rFonts w:ascii="Arial" w:hAnsi="Arial" w:cs="Arial"/>
          <w:sz w:val="24"/>
          <w:szCs w:val="24"/>
        </w:rPr>
        <w:t xml:space="preserve"> de manera tácita</w:t>
      </w:r>
      <w:r w:rsidRPr="007B0581">
        <w:rPr>
          <w:rFonts w:ascii="Arial" w:hAnsi="Arial" w:cs="Arial"/>
          <w:sz w:val="24"/>
          <w:szCs w:val="24"/>
        </w:rPr>
        <w:t xml:space="preserve"> un criterio discriminatorio entre los trabajadores de base y los de confianza,</w:t>
      </w:r>
      <w:r>
        <w:rPr>
          <w:rFonts w:ascii="Arial" w:hAnsi="Arial" w:cs="Arial"/>
          <w:sz w:val="24"/>
          <w:szCs w:val="24"/>
        </w:rPr>
        <w:t xml:space="preserve"> dado que no le otorgó a la pensión por jubilación de la actora las prestaciones contempladas en la fracción I del artículo 54 de la Ley de Pensiones para los Trabajadores del Gobierno del Estado de Oaxaca, consistentes en</w:t>
      </w:r>
      <w:r w:rsidRPr="007B0581">
        <w:rPr>
          <w:rFonts w:ascii="Arial" w:hAnsi="Arial" w:cs="Arial"/>
          <w:sz w:val="24"/>
          <w:szCs w:val="24"/>
        </w:rPr>
        <w:t xml:space="preserve"> previsión social múltiple, despensa, vida cara, quinquenios, aguinaldo, estimulo del día del jubilado</w:t>
      </w:r>
      <w:r>
        <w:rPr>
          <w:rFonts w:ascii="Arial" w:hAnsi="Arial" w:cs="Arial"/>
          <w:sz w:val="24"/>
          <w:szCs w:val="24"/>
        </w:rPr>
        <w:t xml:space="preserve">, día de las madres </w:t>
      </w:r>
      <w:r w:rsidRPr="007B0581">
        <w:rPr>
          <w:rFonts w:ascii="Arial" w:hAnsi="Arial" w:cs="Arial"/>
          <w:sz w:val="24"/>
          <w:szCs w:val="24"/>
        </w:rPr>
        <w:t>y canasta navideña,</w:t>
      </w:r>
      <w:r>
        <w:rPr>
          <w:rFonts w:ascii="Arial" w:hAnsi="Arial" w:cs="Arial"/>
          <w:sz w:val="24"/>
          <w:szCs w:val="24"/>
        </w:rPr>
        <w:t xml:space="preserve"> </w:t>
      </w:r>
      <w:r w:rsidRPr="007B0581">
        <w:rPr>
          <w:rFonts w:ascii="Arial" w:hAnsi="Arial" w:cs="Arial"/>
          <w:sz w:val="24"/>
          <w:szCs w:val="24"/>
        </w:rPr>
        <w:t>vulnerando con</w:t>
      </w:r>
      <w:r>
        <w:rPr>
          <w:rFonts w:ascii="Arial" w:hAnsi="Arial" w:cs="Arial"/>
          <w:sz w:val="24"/>
          <w:szCs w:val="24"/>
        </w:rPr>
        <w:t xml:space="preserve"> ello el derecho de igualdad de la</w:t>
      </w:r>
      <w:r w:rsidRPr="007B0581">
        <w:rPr>
          <w:rFonts w:ascii="Arial" w:hAnsi="Arial" w:cs="Arial"/>
          <w:sz w:val="24"/>
          <w:szCs w:val="24"/>
        </w:rPr>
        <w:t xml:space="preserve"> a</w:t>
      </w:r>
      <w:r>
        <w:rPr>
          <w:rFonts w:ascii="Arial" w:hAnsi="Arial" w:cs="Arial"/>
          <w:sz w:val="24"/>
          <w:szCs w:val="24"/>
        </w:rPr>
        <w:t xml:space="preserve">dministrada, </w:t>
      </w:r>
      <w:r w:rsidRPr="007B0581">
        <w:rPr>
          <w:rFonts w:ascii="Arial" w:hAnsi="Arial" w:cs="Arial"/>
          <w:sz w:val="24"/>
          <w:szCs w:val="24"/>
        </w:rPr>
        <w:t xml:space="preserve">lo </w:t>
      </w:r>
      <w:r>
        <w:rPr>
          <w:rFonts w:ascii="Arial" w:hAnsi="Arial" w:cs="Arial"/>
          <w:sz w:val="24"/>
          <w:szCs w:val="24"/>
        </w:rPr>
        <w:t>procedente</w:t>
      </w:r>
      <w:r w:rsidRPr="007B0581">
        <w:rPr>
          <w:rFonts w:ascii="Arial" w:hAnsi="Arial" w:cs="Arial"/>
          <w:sz w:val="24"/>
          <w:szCs w:val="24"/>
        </w:rPr>
        <w:t xml:space="preserve"> es declarar la </w:t>
      </w:r>
      <w:r w:rsidRPr="007B0581">
        <w:rPr>
          <w:rFonts w:ascii="Arial" w:hAnsi="Arial" w:cs="Arial"/>
          <w:b/>
          <w:bCs/>
          <w:sz w:val="24"/>
          <w:szCs w:val="24"/>
        </w:rPr>
        <w:t xml:space="preserve">NULIDAD </w:t>
      </w:r>
      <w:r w:rsidRPr="007B0581">
        <w:rPr>
          <w:rFonts w:ascii="Arial" w:hAnsi="Arial" w:cs="Arial"/>
          <w:sz w:val="24"/>
          <w:szCs w:val="24"/>
        </w:rPr>
        <w:t xml:space="preserve">del oficio </w:t>
      </w:r>
      <w:r>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cinco de octubre de dos mil veintiuno</w:t>
      </w:r>
      <w:r w:rsidRPr="007B0581">
        <w:rPr>
          <w:rFonts w:ascii="Arial" w:hAnsi="Arial" w:cs="Arial"/>
          <w:sz w:val="24"/>
          <w:szCs w:val="24"/>
        </w:rPr>
        <w:t xml:space="preserve">, signado por el </w:t>
      </w:r>
      <w:r>
        <w:rPr>
          <w:rFonts w:ascii="Arial" w:hAnsi="Arial" w:cs="Arial"/>
          <w:sz w:val="24"/>
          <w:szCs w:val="24"/>
        </w:rPr>
        <w:t>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eneral de la Oficina de Pensiones</w:t>
      </w:r>
      <w:r>
        <w:rPr>
          <w:rFonts w:ascii="Arial" w:hAnsi="Arial" w:cs="Arial"/>
          <w:sz w:val="24"/>
          <w:szCs w:val="24"/>
        </w:rPr>
        <w:t xml:space="preserve"> del Estado de Oaxaca, el cual contiene el dictamen de </w:t>
      </w:r>
      <w:r w:rsidRPr="00FB0F8B">
        <w:rPr>
          <w:rFonts w:ascii="Arial" w:hAnsi="Arial" w:cs="Arial"/>
          <w:sz w:val="24"/>
          <w:szCs w:val="24"/>
        </w:rPr>
        <w:t>pensión por jubilación emitido por el Consejo Directivo de Pensiones del Estado de Oaxaca</w:t>
      </w:r>
      <w:r w:rsidRPr="007B0581">
        <w:rPr>
          <w:rFonts w:ascii="Arial" w:hAnsi="Arial" w:cs="Arial"/>
          <w:sz w:val="24"/>
          <w:szCs w:val="24"/>
        </w:rPr>
        <w:t xml:space="preserve">, </w:t>
      </w:r>
      <w:r w:rsidRPr="007B0581">
        <w:rPr>
          <w:rFonts w:ascii="Arial" w:hAnsi="Arial" w:cs="Arial"/>
          <w:b/>
          <w:bCs/>
          <w:sz w:val="24"/>
          <w:szCs w:val="24"/>
        </w:rPr>
        <w:t xml:space="preserve">PARA EL EFECTO </w:t>
      </w:r>
      <w:bookmarkStart w:id="6" w:name="_Hlk84507859"/>
      <w:r>
        <w:rPr>
          <w:rFonts w:ascii="Arial" w:hAnsi="Arial" w:cs="Arial"/>
          <w:sz w:val="24"/>
          <w:szCs w:val="24"/>
        </w:rPr>
        <w:t xml:space="preserve">de </w:t>
      </w:r>
      <w:r w:rsidRPr="007B0581">
        <w:rPr>
          <w:rFonts w:ascii="Arial" w:hAnsi="Arial" w:cs="Arial"/>
          <w:sz w:val="24"/>
          <w:szCs w:val="24"/>
        </w:rPr>
        <w:t>que una vez que cause estado la presente resolución, el C</w:t>
      </w:r>
      <w:r>
        <w:rPr>
          <w:rFonts w:ascii="Arial" w:hAnsi="Arial" w:cs="Arial"/>
          <w:sz w:val="24"/>
          <w:szCs w:val="24"/>
        </w:rPr>
        <w:t>onsejo</w:t>
      </w:r>
      <w:r w:rsidRPr="007B0581">
        <w:rPr>
          <w:rFonts w:ascii="Arial" w:hAnsi="Arial" w:cs="Arial"/>
          <w:sz w:val="24"/>
          <w:szCs w:val="24"/>
        </w:rPr>
        <w:t xml:space="preserve">  D</w:t>
      </w:r>
      <w:r>
        <w:rPr>
          <w:rFonts w:ascii="Arial" w:hAnsi="Arial" w:cs="Arial"/>
          <w:sz w:val="24"/>
          <w:szCs w:val="24"/>
        </w:rPr>
        <w:t>irectivo de la Oficina de Pensiones del Estado de Oaxaca dicte otro, en el</w:t>
      </w:r>
      <w:r w:rsidRPr="007B0581">
        <w:rPr>
          <w:rFonts w:ascii="Arial" w:hAnsi="Arial" w:cs="Arial"/>
          <w:sz w:val="24"/>
          <w:szCs w:val="24"/>
        </w:rPr>
        <w:t xml:space="preserve"> que aunado a la pensión concedida a</w:t>
      </w:r>
      <w:r>
        <w:rPr>
          <w:rFonts w:ascii="Arial" w:hAnsi="Arial" w:cs="Arial"/>
          <w:sz w:val="24"/>
          <w:szCs w:val="24"/>
        </w:rPr>
        <w:t xml:space="preserve"> la</w:t>
      </w:r>
      <w:r w:rsidRPr="007B0581">
        <w:rPr>
          <w:rFonts w:ascii="Arial" w:hAnsi="Arial" w:cs="Arial"/>
          <w:sz w:val="24"/>
          <w:szCs w:val="24"/>
        </w:rPr>
        <w:t xml:space="preserve"> actor</w:t>
      </w:r>
      <w:r>
        <w:rPr>
          <w:rFonts w:ascii="Arial" w:hAnsi="Arial" w:cs="Arial"/>
          <w:sz w:val="24"/>
          <w:szCs w:val="24"/>
        </w:rPr>
        <w:t>a</w:t>
      </w:r>
      <w:r w:rsidRPr="007B0581">
        <w:rPr>
          <w:rFonts w:ascii="Arial" w:hAnsi="Arial" w:cs="Arial"/>
          <w:sz w:val="24"/>
          <w:szCs w:val="24"/>
        </w:rPr>
        <w:t>, incorpore a la misma las prestaciones</w:t>
      </w:r>
      <w:r>
        <w:rPr>
          <w:rFonts w:ascii="Arial" w:hAnsi="Arial" w:cs="Arial"/>
          <w:sz w:val="24"/>
          <w:szCs w:val="24"/>
        </w:rPr>
        <w:t xml:space="preserve"> ya precisadas.</w:t>
      </w:r>
      <w:r w:rsidRPr="007B0581">
        <w:rPr>
          <w:rFonts w:ascii="Arial" w:hAnsi="Arial" w:cs="Arial"/>
          <w:sz w:val="24"/>
          <w:szCs w:val="24"/>
        </w:rPr>
        <w:t xml:space="preserve"> </w:t>
      </w:r>
    </w:p>
    <w:p w:rsidR="006B2474" w:rsidRDefault="006B2474" w:rsidP="006B2474">
      <w:pPr>
        <w:spacing w:line="360" w:lineRule="auto"/>
        <w:ind w:firstLine="708"/>
        <w:jc w:val="both"/>
        <w:rPr>
          <w:rFonts w:ascii="Arial" w:hAnsi="Arial" w:cs="Arial"/>
          <w:sz w:val="24"/>
          <w:szCs w:val="24"/>
        </w:rPr>
      </w:pPr>
    </w:p>
    <w:bookmarkEnd w:id="6"/>
    <w:p w:rsidR="006B2474" w:rsidRPr="007B0581" w:rsidRDefault="006B2474" w:rsidP="006B2474">
      <w:pPr>
        <w:spacing w:line="360" w:lineRule="auto"/>
        <w:ind w:firstLine="708"/>
        <w:jc w:val="both"/>
        <w:rPr>
          <w:rFonts w:ascii="Arial" w:hAnsi="Arial" w:cs="Arial"/>
          <w:color w:val="FF0000"/>
          <w:sz w:val="24"/>
          <w:szCs w:val="24"/>
        </w:rPr>
      </w:pPr>
      <w:r w:rsidRPr="00944D0D">
        <w:rPr>
          <w:rFonts w:ascii="Arial" w:hAnsi="Arial" w:cs="Arial"/>
          <w:sz w:val="24"/>
          <w:szCs w:val="24"/>
        </w:rPr>
        <w:t>Lo anterior</w:t>
      </w:r>
      <w:r>
        <w:rPr>
          <w:rFonts w:ascii="Arial" w:hAnsi="Arial" w:cs="Arial"/>
          <w:sz w:val="24"/>
          <w:szCs w:val="24"/>
        </w:rPr>
        <w:t xml:space="preserve"> </w:t>
      </w:r>
      <w:r w:rsidRPr="007B0581">
        <w:rPr>
          <w:rFonts w:ascii="Arial" w:hAnsi="Arial" w:cs="Arial"/>
          <w:sz w:val="24"/>
          <w:szCs w:val="24"/>
        </w:rPr>
        <w:t>en el entendido que, para tener por cumplida</w:t>
      </w:r>
      <w:r>
        <w:rPr>
          <w:rFonts w:ascii="Arial" w:hAnsi="Arial" w:cs="Arial"/>
          <w:sz w:val="24"/>
          <w:szCs w:val="24"/>
        </w:rPr>
        <w:t xml:space="preserve"> en su totalidad</w:t>
      </w:r>
      <w:r w:rsidRPr="007B0581">
        <w:rPr>
          <w:rFonts w:ascii="Arial" w:hAnsi="Arial" w:cs="Arial"/>
          <w:sz w:val="24"/>
          <w:szCs w:val="24"/>
        </w:rPr>
        <w:t xml:space="preserve"> la </w:t>
      </w:r>
      <w:r>
        <w:rPr>
          <w:rFonts w:ascii="Arial" w:hAnsi="Arial" w:cs="Arial"/>
          <w:sz w:val="24"/>
          <w:szCs w:val="24"/>
        </w:rPr>
        <w:t>presente resolución</w:t>
      </w:r>
      <w:r w:rsidRPr="007B0581">
        <w:rPr>
          <w:rFonts w:ascii="Arial" w:hAnsi="Arial" w:cs="Arial"/>
          <w:sz w:val="24"/>
          <w:szCs w:val="24"/>
        </w:rPr>
        <w:t xml:space="preserve"> deberá </w:t>
      </w:r>
      <w:r>
        <w:rPr>
          <w:rFonts w:ascii="Arial" w:hAnsi="Arial" w:cs="Arial"/>
          <w:sz w:val="24"/>
          <w:szCs w:val="24"/>
        </w:rPr>
        <w:t>realizar</w:t>
      </w:r>
      <w:r w:rsidRPr="007B0581">
        <w:rPr>
          <w:rFonts w:ascii="Arial" w:hAnsi="Arial" w:cs="Arial"/>
          <w:sz w:val="24"/>
          <w:szCs w:val="24"/>
        </w:rPr>
        <w:t xml:space="preserve"> el pago de las prestaciones</w:t>
      </w:r>
      <w:r>
        <w:rPr>
          <w:rFonts w:ascii="Arial" w:hAnsi="Arial" w:cs="Arial"/>
          <w:sz w:val="24"/>
          <w:szCs w:val="24"/>
        </w:rPr>
        <w:t xml:space="preserve"> correspondientes no otorgadas y</w:t>
      </w:r>
      <w:r w:rsidRPr="007B0581">
        <w:rPr>
          <w:rFonts w:ascii="Arial" w:hAnsi="Arial" w:cs="Arial"/>
          <w:sz w:val="24"/>
          <w:szCs w:val="24"/>
        </w:rPr>
        <w:t xml:space="preserve"> que se declararon procedentes en el presente fallo</w:t>
      </w:r>
      <w:r>
        <w:rPr>
          <w:rFonts w:ascii="Arial" w:hAnsi="Arial" w:cs="Arial"/>
          <w:sz w:val="24"/>
          <w:szCs w:val="24"/>
        </w:rPr>
        <w:t xml:space="preserve">, esto es, a partir de que se materializó la pensión por jubilación de la actora, de conformidad con lo dispuesto en los artículos 207, 208, fracciones II y VI, y 209 de la Ley de Procedimiento y Justicia Administrativa para el Estado de Oaxaca. </w:t>
      </w:r>
    </w:p>
    <w:p w:rsidR="006B2474" w:rsidRPr="007B0581" w:rsidRDefault="006B2474" w:rsidP="006B2474">
      <w:pPr>
        <w:spacing w:line="360" w:lineRule="auto"/>
        <w:ind w:right="-93" w:firstLine="708"/>
        <w:jc w:val="both"/>
        <w:rPr>
          <w:rFonts w:ascii="Arial" w:hAnsi="Arial" w:cs="Arial"/>
          <w:color w:val="FF0000"/>
          <w:sz w:val="24"/>
          <w:szCs w:val="24"/>
        </w:rPr>
      </w:pPr>
      <w:r w:rsidRPr="007B0581">
        <w:rPr>
          <w:rFonts w:ascii="Arial" w:hAnsi="Arial" w:cs="Arial"/>
          <w:color w:val="FF0000"/>
          <w:sz w:val="24"/>
          <w:szCs w:val="24"/>
        </w:rPr>
        <w:t>.</w:t>
      </w:r>
    </w:p>
    <w:p w:rsidR="006B2474" w:rsidRPr="007B0581" w:rsidRDefault="006B2474" w:rsidP="006B2474">
      <w:pPr>
        <w:spacing w:line="360" w:lineRule="auto"/>
        <w:ind w:right="-93" w:firstLine="708"/>
        <w:jc w:val="both"/>
        <w:rPr>
          <w:rFonts w:ascii="Arial" w:hAnsi="Arial" w:cs="Arial"/>
          <w:sz w:val="24"/>
          <w:szCs w:val="24"/>
        </w:rPr>
      </w:pPr>
      <w:r w:rsidRPr="00516A40">
        <w:rPr>
          <w:rFonts w:ascii="Arial" w:hAnsi="Arial" w:cs="Arial"/>
          <w:b/>
          <w:sz w:val="24"/>
          <w:szCs w:val="24"/>
        </w:rPr>
        <w:t>QUINTO.-</w:t>
      </w:r>
      <w:r w:rsidRPr="007B0581">
        <w:rPr>
          <w:rFonts w:ascii="Arial" w:hAnsi="Arial" w:cs="Arial"/>
          <w:sz w:val="24"/>
          <w:szCs w:val="24"/>
        </w:rPr>
        <w:t xml:space="preserve"> Como la parte actora en el presente juicio,</w:t>
      </w:r>
      <w:r w:rsidRPr="007B0581">
        <w:rPr>
          <w:rFonts w:ascii="Arial" w:hAnsi="Arial" w:cs="Arial"/>
          <w:b/>
          <w:sz w:val="24"/>
          <w:szCs w:val="24"/>
        </w:rPr>
        <w:t xml:space="preserve"> no se opuso a la publicación de sus datos personales</w:t>
      </w:r>
      <w:r w:rsidRPr="007B0581">
        <w:rPr>
          <w:rFonts w:ascii="Arial" w:hAnsi="Arial" w:cs="Arial"/>
          <w:sz w:val="24"/>
          <w:szCs w:val="24"/>
        </w:rPr>
        <w:t xml:space="preserve"> y al encontrarse obligad</w:t>
      </w:r>
      <w:r>
        <w:rPr>
          <w:rFonts w:ascii="Arial" w:hAnsi="Arial" w:cs="Arial"/>
          <w:sz w:val="24"/>
          <w:szCs w:val="24"/>
        </w:rPr>
        <w:t>a</w:t>
      </w:r>
      <w:r w:rsidRPr="007B0581">
        <w:rPr>
          <w:rFonts w:ascii="Arial" w:hAnsi="Arial" w:cs="Arial"/>
          <w:sz w:val="24"/>
          <w:szCs w:val="24"/>
        </w:rPr>
        <w:t xml:space="preserve"> est</w:t>
      </w:r>
      <w:r>
        <w:rPr>
          <w:rFonts w:ascii="Arial" w:hAnsi="Arial" w:cs="Arial"/>
          <w:sz w:val="24"/>
          <w:szCs w:val="24"/>
        </w:rPr>
        <w:t>a</w:t>
      </w:r>
      <w:r w:rsidRPr="007B0581">
        <w:rPr>
          <w:rFonts w:ascii="Arial" w:hAnsi="Arial" w:cs="Arial"/>
          <w:sz w:val="24"/>
          <w:szCs w:val="24"/>
        </w:rPr>
        <w:t xml:space="preserve"> juzgador</w:t>
      </w:r>
      <w:r>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 xml:space="preserve">con la supresión de datos personales identificables, procurándose que no se impida conocer el criterio sostenido por este órgano jurisdiccional. </w:t>
      </w:r>
    </w:p>
    <w:p w:rsidR="006B2474" w:rsidRPr="007B0581" w:rsidRDefault="006B2474" w:rsidP="006B2474">
      <w:pPr>
        <w:spacing w:line="360" w:lineRule="auto"/>
        <w:ind w:right="-93" w:firstLine="708"/>
        <w:jc w:val="both"/>
        <w:rPr>
          <w:rFonts w:ascii="Arial" w:eastAsia="Calibri" w:hAnsi="Arial" w:cs="Arial"/>
          <w:color w:val="000000"/>
          <w:sz w:val="24"/>
          <w:szCs w:val="24"/>
          <w:lang w:val="es-MX" w:eastAsia="en-US"/>
        </w:rPr>
      </w:pPr>
    </w:p>
    <w:p w:rsidR="006B2474" w:rsidRDefault="006B2474" w:rsidP="006B2474">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 xml:space="preserve">Por lo expuesto y con fundamento en los artículos 207, 208, fracciones II y VI, y 209, de la Ley de Procedimiento y Justicia Administrativa para el Estado de Oaxaca, se; </w:t>
      </w:r>
    </w:p>
    <w:p w:rsidR="006B2474" w:rsidRDefault="006B2474" w:rsidP="006B2474">
      <w:pPr>
        <w:spacing w:line="360" w:lineRule="auto"/>
        <w:ind w:firstLine="708"/>
        <w:jc w:val="both"/>
        <w:rPr>
          <w:rFonts w:ascii="Arial" w:eastAsia="Calibri" w:hAnsi="Arial" w:cs="Arial"/>
          <w:color w:val="000000"/>
          <w:sz w:val="24"/>
          <w:szCs w:val="24"/>
          <w:lang w:val="es-MX" w:eastAsia="en-US"/>
        </w:rPr>
      </w:pPr>
    </w:p>
    <w:p w:rsidR="006B2474" w:rsidRDefault="006B2474" w:rsidP="006B2474">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Pr="007B0581">
        <w:rPr>
          <w:rFonts w:ascii="Arial" w:hAnsi="Arial" w:cs="Arial"/>
          <w:b/>
          <w:sz w:val="24"/>
          <w:szCs w:val="24"/>
        </w:rPr>
        <w:t>R E S U E L V E</w:t>
      </w:r>
    </w:p>
    <w:p w:rsidR="006B2474" w:rsidRDefault="006B2474" w:rsidP="006B2474">
      <w:pPr>
        <w:tabs>
          <w:tab w:val="left" w:pos="3786"/>
        </w:tabs>
        <w:spacing w:line="360" w:lineRule="auto"/>
        <w:ind w:firstLine="708"/>
        <w:jc w:val="both"/>
        <w:rPr>
          <w:rFonts w:ascii="Arial" w:hAnsi="Arial" w:cs="Arial"/>
          <w:b/>
          <w:sz w:val="24"/>
          <w:szCs w:val="24"/>
        </w:rPr>
      </w:pPr>
    </w:p>
    <w:p w:rsidR="006B2474" w:rsidRPr="007B0581" w:rsidRDefault="006B2474" w:rsidP="006B2474">
      <w:pPr>
        <w:tabs>
          <w:tab w:val="left" w:pos="3932"/>
        </w:tabs>
        <w:jc w:val="both"/>
        <w:rPr>
          <w:rFonts w:ascii="Arial" w:hAnsi="Arial" w:cs="Arial"/>
          <w:b/>
          <w:sz w:val="24"/>
          <w:szCs w:val="24"/>
        </w:rPr>
      </w:pPr>
      <w:r w:rsidRPr="007B0581">
        <w:rPr>
          <w:rFonts w:ascii="Arial" w:hAnsi="Arial" w:cs="Arial"/>
          <w:b/>
          <w:sz w:val="24"/>
          <w:szCs w:val="24"/>
        </w:rPr>
        <w:tab/>
      </w:r>
    </w:p>
    <w:p w:rsidR="006B2474" w:rsidRPr="007B0581" w:rsidRDefault="006B2474" w:rsidP="006B2474">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6B2474" w:rsidRPr="007B0581" w:rsidRDefault="006B2474" w:rsidP="006B2474">
      <w:pPr>
        <w:pStyle w:val="Textoindependiente"/>
        <w:ind w:firstLine="709"/>
        <w:contextualSpacing/>
        <w:jc w:val="both"/>
        <w:rPr>
          <w:rFonts w:ascii="Arial" w:hAnsi="Arial" w:cs="Arial"/>
          <w:b/>
          <w:sz w:val="24"/>
          <w:szCs w:val="24"/>
        </w:rPr>
      </w:pPr>
    </w:p>
    <w:p w:rsidR="006B2474" w:rsidRDefault="006B2474" w:rsidP="006B2474">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Pr="007B0581">
        <w:rPr>
          <w:rFonts w:ascii="Arial" w:eastAsia="Arial Unicode MS" w:hAnsi="Arial" w:cs="Arial"/>
          <w:kern w:val="1"/>
          <w:sz w:val="24"/>
          <w:szCs w:val="24"/>
          <w:lang w:val="es-MX" w:eastAsia="ar-SA"/>
        </w:rPr>
        <w:t xml:space="preserve"> </w:t>
      </w:r>
    </w:p>
    <w:p w:rsidR="006B2474" w:rsidRPr="007B0581" w:rsidRDefault="006B2474" w:rsidP="006B2474">
      <w:pPr>
        <w:spacing w:line="360" w:lineRule="auto"/>
        <w:ind w:right="51" w:firstLine="567"/>
        <w:contextualSpacing/>
        <w:jc w:val="both"/>
        <w:rPr>
          <w:rFonts w:ascii="Arial" w:hAnsi="Arial" w:cs="Arial"/>
          <w:sz w:val="24"/>
          <w:szCs w:val="24"/>
          <w:lang w:val="es-MX"/>
        </w:rPr>
      </w:pPr>
      <w:r w:rsidRPr="007B0581">
        <w:rPr>
          <w:rFonts w:ascii="Arial" w:hAnsi="Arial" w:cs="Arial"/>
          <w:b/>
          <w:sz w:val="24"/>
          <w:szCs w:val="24"/>
        </w:rPr>
        <w:t>TERCERO. -</w:t>
      </w:r>
      <w:r w:rsidRPr="007B0581">
        <w:rPr>
          <w:rFonts w:ascii="Arial" w:hAnsi="Arial" w:cs="Arial"/>
          <w:b/>
          <w:sz w:val="24"/>
          <w:szCs w:val="24"/>
          <w:lang w:val="es-MX"/>
        </w:rPr>
        <w:t xml:space="preserve"> </w:t>
      </w:r>
      <w:r w:rsidRPr="007B0581">
        <w:rPr>
          <w:rFonts w:ascii="Arial" w:eastAsia="Calibri" w:hAnsi="Arial" w:cs="Arial"/>
          <w:color w:val="000000"/>
          <w:sz w:val="24"/>
          <w:szCs w:val="24"/>
          <w:lang w:val="es-MX" w:eastAsia="en-US"/>
        </w:rPr>
        <w:t xml:space="preserve">No se actualizó ninguna causal de improcedencia </w:t>
      </w:r>
      <w:r>
        <w:rPr>
          <w:rFonts w:ascii="Arial" w:eastAsia="Calibri" w:hAnsi="Arial" w:cs="Arial"/>
          <w:color w:val="000000"/>
          <w:sz w:val="24"/>
          <w:szCs w:val="24"/>
          <w:lang w:val="es-MX" w:eastAsia="en-US"/>
        </w:rPr>
        <w:t xml:space="preserve">en </w:t>
      </w:r>
      <w:r w:rsidRPr="007B0581">
        <w:rPr>
          <w:rFonts w:ascii="Arial" w:eastAsia="Calibri" w:hAnsi="Arial" w:cs="Arial"/>
          <w:color w:val="000000"/>
          <w:sz w:val="24"/>
          <w:szCs w:val="24"/>
          <w:lang w:val="es-MX" w:eastAsia="en-US"/>
        </w:rPr>
        <w:t xml:space="preserve">el juicio, en consecuencia, </w:t>
      </w:r>
      <w:r w:rsidRPr="00DE6826">
        <w:rPr>
          <w:rFonts w:ascii="Arial" w:eastAsia="Calibri" w:hAnsi="Arial" w:cs="Arial"/>
          <w:b/>
          <w:bCs/>
          <w:color w:val="000000"/>
          <w:sz w:val="24"/>
          <w:szCs w:val="24"/>
          <w:lang w:val="es-MX" w:eastAsia="en-US"/>
        </w:rPr>
        <w:t>NO SE SOBRESEE</w:t>
      </w:r>
      <w:r w:rsidRPr="007B0581">
        <w:rPr>
          <w:rFonts w:ascii="Arial" w:eastAsia="Calibri" w:hAnsi="Arial" w:cs="Arial"/>
          <w:color w:val="000000"/>
          <w:sz w:val="24"/>
          <w:szCs w:val="24"/>
          <w:lang w:val="es-MX" w:eastAsia="en-US"/>
        </w:rPr>
        <w:t>.</w:t>
      </w:r>
    </w:p>
    <w:p w:rsidR="006B2474" w:rsidRPr="007B0581" w:rsidRDefault="006B2474" w:rsidP="006B2474">
      <w:pPr>
        <w:ind w:right="51"/>
        <w:contextualSpacing/>
        <w:jc w:val="both"/>
        <w:rPr>
          <w:rFonts w:ascii="Arial" w:hAnsi="Arial" w:cs="Arial"/>
          <w:sz w:val="24"/>
          <w:szCs w:val="24"/>
          <w:lang w:val="es-MX"/>
        </w:rPr>
      </w:pPr>
    </w:p>
    <w:p w:rsidR="006B2474" w:rsidRPr="007B0581" w:rsidRDefault="006B2474" w:rsidP="006B2474">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Pr="007B0581">
        <w:rPr>
          <w:rFonts w:ascii="Arial" w:hAnsi="Arial" w:cs="Arial"/>
          <w:sz w:val="24"/>
          <w:szCs w:val="24"/>
          <w:lang w:val="es-MX"/>
        </w:rPr>
        <w:t xml:space="preserve"> </w:t>
      </w:r>
      <w:r w:rsidRPr="007B0581">
        <w:rPr>
          <w:rFonts w:ascii="Arial" w:hAnsi="Arial" w:cs="Arial"/>
          <w:sz w:val="24"/>
          <w:szCs w:val="24"/>
        </w:rPr>
        <w:t xml:space="preserve">Se declara </w:t>
      </w:r>
      <w:r w:rsidRPr="007B0581">
        <w:rPr>
          <w:rFonts w:ascii="Arial" w:hAnsi="Arial" w:cs="Arial"/>
          <w:b/>
          <w:bCs/>
          <w:sz w:val="24"/>
          <w:szCs w:val="24"/>
        </w:rPr>
        <w:t>LA NULIDAD</w:t>
      </w:r>
      <w:r w:rsidRPr="007B0581">
        <w:rPr>
          <w:rFonts w:ascii="Arial" w:hAnsi="Arial" w:cs="Arial"/>
          <w:sz w:val="24"/>
          <w:szCs w:val="24"/>
        </w:rPr>
        <w:t xml:space="preserve"> </w:t>
      </w:r>
      <w:r>
        <w:rPr>
          <w:rFonts w:ascii="Arial" w:hAnsi="Arial" w:cs="Arial"/>
          <w:sz w:val="24"/>
          <w:szCs w:val="24"/>
        </w:rPr>
        <w:t xml:space="preserve">del </w:t>
      </w:r>
      <w:r w:rsidRPr="007B0581">
        <w:rPr>
          <w:rFonts w:ascii="Arial" w:hAnsi="Arial" w:cs="Arial"/>
          <w:sz w:val="24"/>
          <w:szCs w:val="24"/>
        </w:rPr>
        <w:t>oficio</w:t>
      </w:r>
      <w:r w:rsidRPr="007B0581">
        <w:rPr>
          <w:rFonts w:ascii="Arial" w:hAnsi="Arial" w:cs="Arial"/>
          <w:b/>
          <w:bCs/>
          <w:sz w:val="24"/>
          <w:szCs w:val="24"/>
        </w:rPr>
        <w:t xml:space="preserve"> </w:t>
      </w:r>
      <w:r>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cinco de octubre de dos mil veintiuno</w:t>
      </w:r>
      <w:r w:rsidRPr="007B0581">
        <w:rPr>
          <w:rFonts w:ascii="Arial" w:hAnsi="Arial" w:cs="Arial"/>
          <w:sz w:val="24"/>
          <w:szCs w:val="24"/>
        </w:rPr>
        <w:t xml:space="preserve">, signado por el </w:t>
      </w:r>
      <w:r>
        <w:rPr>
          <w:rFonts w:ascii="Arial" w:hAnsi="Arial" w:cs="Arial"/>
          <w:sz w:val="24"/>
          <w:szCs w:val="24"/>
        </w:rPr>
        <w:t>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eneral de la Oficina de Pensiones</w:t>
      </w:r>
      <w:r>
        <w:rPr>
          <w:rFonts w:ascii="Arial" w:hAnsi="Arial" w:cs="Arial"/>
          <w:sz w:val="24"/>
          <w:szCs w:val="24"/>
        </w:rPr>
        <w:t xml:space="preserve"> del Estado de Oaxaca, el cual contiene el dictamen de </w:t>
      </w:r>
      <w:r w:rsidRPr="000A17D9">
        <w:rPr>
          <w:rFonts w:ascii="Arial" w:hAnsi="Arial" w:cs="Arial"/>
          <w:sz w:val="24"/>
          <w:szCs w:val="24"/>
        </w:rPr>
        <w:t>pensión por jubilación emitido por el Consejo Directivo de Pensiones del Estado de Oaxaca</w:t>
      </w:r>
      <w:r w:rsidRPr="007B0581">
        <w:rPr>
          <w:rFonts w:ascii="Arial" w:hAnsi="Arial" w:cs="Arial"/>
          <w:sz w:val="24"/>
          <w:szCs w:val="24"/>
        </w:rPr>
        <w:t xml:space="preserve">, </w:t>
      </w:r>
      <w:r w:rsidRPr="007B0581">
        <w:rPr>
          <w:rFonts w:ascii="Arial" w:hAnsi="Arial" w:cs="Arial"/>
          <w:b/>
          <w:bCs/>
          <w:sz w:val="24"/>
          <w:szCs w:val="24"/>
        </w:rPr>
        <w:t xml:space="preserve">PARA EL EFECTO </w:t>
      </w:r>
      <w:r w:rsidRPr="007B0581">
        <w:rPr>
          <w:rFonts w:ascii="Arial" w:hAnsi="Arial" w:cs="Arial"/>
          <w:sz w:val="24"/>
          <w:szCs w:val="24"/>
        </w:rPr>
        <w:t xml:space="preserve">de que dicte otro en los términos indicados en la parte final del considerando </w:t>
      </w:r>
      <w:r w:rsidRPr="00866195">
        <w:rPr>
          <w:rFonts w:ascii="Arial" w:hAnsi="Arial" w:cs="Arial"/>
          <w:b/>
          <w:bCs/>
          <w:sz w:val="24"/>
          <w:szCs w:val="24"/>
        </w:rPr>
        <w:t>CUARTO</w:t>
      </w:r>
      <w:r w:rsidRPr="007B0581">
        <w:rPr>
          <w:rFonts w:ascii="Arial" w:hAnsi="Arial" w:cs="Arial"/>
          <w:sz w:val="24"/>
          <w:szCs w:val="24"/>
        </w:rPr>
        <w:t xml:space="preserve"> de la presente </w:t>
      </w:r>
      <w:r>
        <w:rPr>
          <w:rFonts w:ascii="Arial" w:hAnsi="Arial" w:cs="Arial"/>
          <w:sz w:val="24"/>
          <w:szCs w:val="24"/>
        </w:rPr>
        <w:t>resolución</w:t>
      </w:r>
      <w:r w:rsidRPr="007B0581">
        <w:rPr>
          <w:rFonts w:ascii="Arial" w:hAnsi="Arial" w:cs="Arial"/>
          <w:sz w:val="24"/>
          <w:szCs w:val="24"/>
        </w:rPr>
        <w:t xml:space="preserve">. </w:t>
      </w:r>
    </w:p>
    <w:p w:rsidR="006B2474" w:rsidRPr="007B0581" w:rsidRDefault="006B2474" w:rsidP="006B2474">
      <w:pPr>
        <w:ind w:right="51" w:firstLine="567"/>
        <w:contextualSpacing/>
        <w:jc w:val="both"/>
        <w:rPr>
          <w:rFonts w:ascii="Arial" w:hAnsi="Arial" w:cs="Arial"/>
          <w:sz w:val="24"/>
          <w:szCs w:val="24"/>
        </w:rPr>
      </w:pPr>
    </w:p>
    <w:p w:rsidR="006B2474" w:rsidRDefault="006B2474" w:rsidP="006B2474">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 xml:space="preserve">QUINTO. - </w:t>
      </w:r>
      <w:r w:rsidRPr="007B0581">
        <w:rPr>
          <w:rFonts w:ascii="Arial" w:eastAsia="Calibri" w:hAnsi="Arial" w:cs="Arial"/>
          <w:color w:val="000000"/>
          <w:sz w:val="24"/>
          <w:szCs w:val="24"/>
          <w:lang w:val="es-MX" w:eastAsia="en-US"/>
        </w:rPr>
        <w:t xml:space="preserve">Con fundamento en lo dispuesto por los artículos 170, 172, y 173 de la Ley de Procedimiento y Justicia Administrativa para el Estado de Oaxaca, </w:t>
      </w:r>
      <w:r w:rsidRPr="007B0581">
        <w:rPr>
          <w:rFonts w:ascii="Arial" w:eastAsia="Calibri" w:hAnsi="Arial" w:cs="Arial"/>
          <w:b/>
          <w:color w:val="000000"/>
          <w:sz w:val="24"/>
          <w:szCs w:val="24"/>
          <w:lang w:val="es-MX" w:eastAsia="en-US"/>
        </w:rPr>
        <w:t>NOTIFÍQUESE</w:t>
      </w:r>
      <w:r w:rsidRPr="007B0581">
        <w:rPr>
          <w:rFonts w:ascii="Arial" w:eastAsia="Calibri" w:hAnsi="Arial" w:cs="Arial"/>
          <w:color w:val="000000"/>
          <w:sz w:val="24"/>
          <w:szCs w:val="24"/>
          <w:lang w:val="es-MX" w:eastAsia="en-US"/>
        </w:rPr>
        <w:t xml:space="preserve"> personalmente a la parte actora y por oficio a la autoridad demandada. -  </w:t>
      </w:r>
      <w:r w:rsidRPr="007B0581">
        <w:rPr>
          <w:rFonts w:ascii="Arial" w:eastAsia="Calibri" w:hAnsi="Arial" w:cs="Arial"/>
          <w:b/>
          <w:color w:val="000000"/>
          <w:sz w:val="24"/>
          <w:szCs w:val="24"/>
          <w:lang w:val="es-MX" w:eastAsia="en-US"/>
        </w:rPr>
        <w:t>CÚMPLASE.</w:t>
      </w:r>
    </w:p>
    <w:p w:rsidR="006B2474" w:rsidRDefault="006B2474" w:rsidP="006B2474">
      <w:pPr>
        <w:spacing w:line="360" w:lineRule="auto"/>
        <w:ind w:right="51" w:firstLine="567"/>
        <w:jc w:val="both"/>
        <w:rPr>
          <w:rFonts w:ascii="Arial" w:eastAsia="Calibri" w:hAnsi="Arial" w:cs="Arial"/>
          <w:b/>
          <w:color w:val="000000"/>
          <w:sz w:val="24"/>
          <w:szCs w:val="24"/>
          <w:lang w:val="es-MX" w:eastAsia="en-US"/>
        </w:rPr>
      </w:pPr>
    </w:p>
    <w:p w:rsidR="006B2474" w:rsidRDefault="006B2474" w:rsidP="006B2474">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Pr="007B0581">
        <w:rPr>
          <w:rFonts w:ascii="Arial" w:hAnsi="Arial" w:cs="Arial"/>
          <w:sz w:val="24"/>
          <w:szCs w:val="24"/>
          <w:lang w:val="es-MX"/>
        </w:rPr>
        <w:t xml:space="preserve"> </w:t>
      </w:r>
      <w:r w:rsidRPr="007B0581">
        <w:rPr>
          <w:rFonts w:ascii="Arial" w:hAnsi="Arial" w:cs="Arial"/>
          <w:sz w:val="24"/>
          <w:szCs w:val="24"/>
          <w:lang w:eastAsia="es-ES"/>
        </w:rPr>
        <w:t xml:space="preserve">Así lo resolvió y firma la Magistrada Virginia Hernández </w:t>
      </w:r>
      <w:proofErr w:type="spellStart"/>
      <w:r w:rsidRPr="007B0581">
        <w:rPr>
          <w:rFonts w:ascii="Arial" w:hAnsi="Arial" w:cs="Arial"/>
          <w:sz w:val="24"/>
          <w:szCs w:val="24"/>
          <w:lang w:eastAsia="es-ES"/>
        </w:rPr>
        <w:t>Hernández</w:t>
      </w:r>
      <w:proofErr w:type="spellEnd"/>
      <w:r w:rsidRPr="007B0581">
        <w:rPr>
          <w:rFonts w:ascii="Arial" w:hAnsi="Arial" w:cs="Arial"/>
          <w:sz w:val="24"/>
          <w:szCs w:val="24"/>
          <w:lang w:eastAsia="es-ES"/>
        </w:rPr>
        <w:t xml:space="preserve">, </w:t>
      </w:r>
      <w:r>
        <w:rPr>
          <w:rFonts w:ascii="Arial" w:hAnsi="Arial" w:cs="Arial"/>
          <w:sz w:val="24"/>
          <w:szCs w:val="24"/>
          <w:lang w:eastAsia="es-ES"/>
        </w:rPr>
        <w:t>T</w:t>
      </w:r>
      <w:r w:rsidRPr="007B0581">
        <w:rPr>
          <w:rFonts w:ascii="Arial" w:hAnsi="Arial" w:cs="Arial"/>
          <w:sz w:val="24"/>
          <w:szCs w:val="24"/>
          <w:lang w:eastAsia="es-ES"/>
        </w:rPr>
        <w:t>itular de la Quinta Sala Unitaria de Primera Instancia del Tribunal de Justicia Administrativa del Estado de Oaxaca, quien actúa con la Licenciada Marissa Ignacio Valencia, secretaria de Acuerdos</w:t>
      </w:r>
      <w:r>
        <w:rPr>
          <w:rFonts w:ascii="Arial" w:hAnsi="Arial" w:cs="Arial"/>
          <w:sz w:val="24"/>
          <w:szCs w:val="24"/>
          <w:lang w:eastAsia="es-ES"/>
        </w:rPr>
        <w:t>, que autoriza y da fe.</w:t>
      </w:r>
    </w:p>
    <w:p w:rsidR="00294EC6" w:rsidRDefault="00294EC6"/>
    <w:sectPr w:rsidR="00294EC6" w:rsidSect="0003697E">
      <w:headerReference w:type="default" r:id="rId6"/>
      <w:footerReference w:type="default" r:id="rId7"/>
      <w:headerReference w:type="first" r:id="rId8"/>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2474" w:rsidRDefault="006B2474" w:rsidP="006B2474">
      <w:r>
        <w:separator/>
      </w:r>
    </w:p>
  </w:endnote>
  <w:endnote w:type="continuationSeparator" w:id="0">
    <w:p w:rsidR="006B2474" w:rsidRDefault="006B2474" w:rsidP="006B2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rsidR="002144D3" w:rsidRDefault="006B2474">
        <w:pPr>
          <w:pStyle w:val="Piedepgina"/>
          <w:jc w:val="center"/>
        </w:pPr>
        <w:r>
          <w:fldChar w:fldCharType="begin"/>
        </w:r>
        <w:r>
          <w:instrText>PAGE   \* MERGEFORMAT</w:instrText>
        </w:r>
        <w:r>
          <w:fldChar w:fldCharType="separate"/>
        </w:r>
        <w:r w:rsidR="008C1827">
          <w:rPr>
            <w:noProof/>
          </w:rPr>
          <w:t>8</w:t>
        </w:r>
        <w:r>
          <w:fldChar w:fldCharType="end"/>
        </w:r>
      </w:p>
    </w:sdtContent>
  </w:sdt>
  <w:p w:rsidR="002144D3" w:rsidRDefault="008C182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2474" w:rsidRDefault="006B2474" w:rsidP="006B2474">
      <w:r>
        <w:separator/>
      </w:r>
    </w:p>
  </w:footnote>
  <w:footnote w:type="continuationSeparator" w:id="0">
    <w:p w:rsidR="006B2474" w:rsidRDefault="006B2474" w:rsidP="006B24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4D3" w:rsidRPr="00A73AD7" w:rsidRDefault="006B2474" w:rsidP="00A73AD7">
    <w:pPr>
      <w:pStyle w:val="Encabezado"/>
      <w:jc w:val="right"/>
      <w:rPr>
        <w:rFonts w:ascii="Arial" w:hAnsi="Arial" w:cs="Arial"/>
      </w:rPr>
    </w:pPr>
    <w:r w:rsidRPr="00C847F0">
      <w:rPr>
        <w:rFonts w:eastAsia="Calibri"/>
        <w:noProof/>
        <w:lang w:val="es-MX"/>
      </w:rPr>
      <mc:AlternateContent>
        <mc:Choice Requires="wps">
          <w:drawing>
            <wp:anchor distT="45720" distB="45720" distL="114300" distR="114300" simplePos="0" relativeHeight="251663360" behindDoc="1" locked="0" layoutInCell="1" allowOverlap="1" wp14:anchorId="37E985B6" wp14:editId="14BB6844">
              <wp:simplePos x="0" y="0"/>
              <wp:positionH relativeFrom="leftMargin">
                <wp:posOffset>276398</wp:posOffset>
              </wp:positionH>
              <wp:positionV relativeFrom="paragraph">
                <wp:posOffset>3405802</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6B2474" w:rsidRDefault="006B2474" w:rsidP="006B2474">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7E985B6" id="_x0000_t202" coordsize="21600,21600" o:spt="202" path="m,l,21600r21600,l21600,xe">
              <v:stroke joinstyle="miter"/>
              <v:path gradientshapeok="t" o:connecttype="rect"/>
            </v:shapetype>
            <v:shape id="Cuadro de texto 4" o:spid="_x0000_s1026" type="#_x0000_t202" style="position:absolute;left:0;text-align:left;margin-left:21.75pt;margin-top:268.15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2fILwIAAFgEAAAOAAAAZHJzL2Uyb0RvYy54bWysVNtu2zAMfR+wfxD0vtgJnK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">
              <v:textbox>
                <w:txbxContent>
                  <w:p w:rsidR="006B2474" w:rsidRDefault="006B2474" w:rsidP="006B2474">
                    <w:pPr>
                      <w:jc w:val="center"/>
                    </w:pPr>
                    <w:r>
                      <w:t>DATOS PERSONALES PROTEGIDOS POR EL ART.- 116 DE LA LGTAIP Y EL ART.- 61 DE LA LTAIPEO</w:t>
                    </w:r>
                  </w:p>
                </w:txbxContent>
              </v:textbox>
              <w10:wrap anchorx="margin"/>
            </v:shape>
          </w:pict>
        </mc:Fallback>
      </mc:AlternateContent>
    </w:r>
    <w:r w:rsidRPr="00A73AD7">
      <w:rPr>
        <w:rFonts w:ascii="Arial" w:hAnsi="Arial" w:cs="Arial"/>
        <w:noProof/>
        <w:sz w:val="18"/>
        <w:szCs w:val="18"/>
        <w:lang w:val="es-MX"/>
      </w:rPr>
      <w:drawing>
        <wp:anchor distT="0" distB="0" distL="114300" distR="114300" simplePos="0" relativeHeight="251659264" behindDoc="1" locked="0" layoutInCell="1" allowOverlap="1" wp14:anchorId="282D4847" wp14:editId="6C3AA39B">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rPr>
      <w:t>0076</w:t>
    </w:r>
    <w:r w:rsidRPr="00A73AD7">
      <w:rPr>
        <w:rFonts w:ascii="Arial" w:hAnsi="Arial" w:cs="Arial"/>
      </w:rPr>
      <w:t>/20</w:t>
    </w:r>
    <w:r>
      <w:rPr>
        <w:rFonts w:ascii="Arial" w:hAnsi="Arial" w:cs="Arial"/>
      </w:rPr>
      <w:t>22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44D3" w:rsidRDefault="006B2474">
    <w:pPr>
      <w:pStyle w:val="Encabezado"/>
    </w:pPr>
    <w:r w:rsidRPr="00C847F0">
      <w:rPr>
        <w:rFonts w:eastAsia="Calibri"/>
        <w:noProof/>
        <w:lang w:val="es-MX"/>
      </w:rPr>
      <mc:AlternateContent>
        <mc:Choice Requires="wps">
          <w:drawing>
            <wp:anchor distT="45720" distB="45720" distL="114300" distR="114300" simplePos="0" relativeHeight="251665408" behindDoc="1" locked="0" layoutInCell="1" allowOverlap="1" wp14:anchorId="521DCB40" wp14:editId="5C0B449E">
              <wp:simplePos x="0" y="0"/>
              <wp:positionH relativeFrom="leftMargin">
                <wp:posOffset>312025</wp:posOffset>
              </wp:positionH>
              <wp:positionV relativeFrom="paragraph">
                <wp:posOffset>5543360</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6B2474" w:rsidRDefault="006B2474" w:rsidP="006B2474">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21DCB40" id="_x0000_t202" coordsize="21600,21600" o:spt="202" path="m,l,21600r21600,l21600,xe">
              <v:stroke joinstyle="miter"/>
              <v:path gradientshapeok="t" o:connecttype="rect"/>
            </v:shapetype>
            <v:shape id="Cuadro de texto 5" o:spid="_x0000_s1027" type="#_x0000_t202" style="position:absolute;margin-left:24.55pt;margin-top:436.5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RC2MAIAAF8EAAAOAAAAZHJzL2Uyb0RvYy54bWysVFFv0zAQfkfiP1h+Z0mrZq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">
              <v:textbox>
                <w:txbxContent>
                  <w:p w:rsidR="006B2474" w:rsidRDefault="006B2474" w:rsidP="006B2474">
                    <w:pPr>
                      <w:jc w:val="center"/>
                    </w:pPr>
                    <w:r>
                      <w:t>DATOS PERSONALES PROTEGIDOS POR EL ART.- 116 DE LA LGTAIP Y EL ART.- 61 DE LA LTAIPEO</w:t>
                    </w:r>
                  </w:p>
                </w:txbxContent>
              </v:textbox>
              <w10:wrap anchorx="margin"/>
            </v:shape>
          </w:pict>
        </mc:Fallback>
      </mc:AlternateContent>
    </w:r>
    <w:r>
      <w:rPr>
        <w:noProof/>
        <w:lang w:val="es-MX"/>
      </w:rPr>
      <w:drawing>
        <wp:anchor distT="0" distB="0" distL="114300" distR="114300" simplePos="0" relativeHeight="251661312" behindDoc="1" locked="0" layoutInCell="1" allowOverlap="1" wp14:anchorId="1194B359" wp14:editId="10B11F6C">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60288" behindDoc="1" locked="0" layoutInCell="1" allowOverlap="1" wp14:anchorId="760F2DA6" wp14:editId="3F573B15">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2474"/>
    <w:rsid w:val="00294EC6"/>
    <w:rsid w:val="004B1DB0"/>
    <w:rsid w:val="005223BF"/>
    <w:rsid w:val="00685BC3"/>
    <w:rsid w:val="006B2474"/>
    <w:rsid w:val="00730ED1"/>
    <w:rsid w:val="008C1827"/>
    <w:rsid w:val="00AC77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BF24DA83-6E00-47AC-A56C-4380B8777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2474"/>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B2474"/>
    <w:pPr>
      <w:spacing w:after="120"/>
    </w:pPr>
    <w:rPr>
      <w:lang w:val="x-none"/>
    </w:rPr>
  </w:style>
  <w:style w:type="character" w:customStyle="1" w:styleId="TextoindependienteCar">
    <w:name w:val="Texto independiente Car"/>
    <w:basedOn w:val="Fuentedeprrafopredeter"/>
    <w:link w:val="Textoindependiente"/>
    <w:uiPriority w:val="99"/>
    <w:rsid w:val="006B2474"/>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B2474"/>
    <w:pPr>
      <w:autoSpaceDE w:val="0"/>
      <w:autoSpaceDN w:val="0"/>
    </w:pPr>
    <w:rPr>
      <w:lang w:eastAsia="es-ES"/>
    </w:rPr>
  </w:style>
  <w:style w:type="character" w:customStyle="1" w:styleId="TextonotapieCar">
    <w:name w:val="Texto nota pie Car"/>
    <w:basedOn w:val="Fuentedeprrafopredeter"/>
    <w:link w:val="Textonotapie"/>
    <w:uiPriority w:val="99"/>
    <w:rsid w:val="006B2474"/>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B2474"/>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B2474"/>
    <w:rPr>
      <w:rFonts w:ascii="Arial" w:eastAsia="Times New Roman" w:hAnsi="Arial" w:cs="Times New Roman"/>
      <w:sz w:val="30"/>
      <w:szCs w:val="20"/>
      <w:lang w:val="es-ES_tradnl" w:eastAsia="es-ES"/>
    </w:rPr>
  </w:style>
  <w:style w:type="paragraph" w:styleId="Encabezado">
    <w:name w:val="header"/>
    <w:basedOn w:val="Normal"/>
    <w:link w:val="EncabezadoCar"/>
    <w:uiPriority w:val="99"/>
    <w:unhideWhenUsed/>
    <w:rsid w:val="006B2474"/>
    <w:pPr>
      <w:tabs>
        <w:tab w:val="center" w:pos="4419"/>
        <w:tab w:val="right" w:pos="8838"/>
      </w:tabs>
    </w:pPr>
  </w:style>
  <w:style w:type="character" w:customStyle="1" w:styleId="EncabezadoCar">
    <w:name w:val="Encabezado Car"/>
    <w:basedOn w:val="Fuentedeprrafopredeter"/>
    <w:link w:val="Encabezado"/>
    <w:uiPriority w:val="99"/>
    <w:rsid w:val="006B2474"/>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6B2474"/>
    <w:pPr>
      <w:tabs>
        <w:tab w:val="center" w:pos="4419"/>
        <w:tab w:val="right" w:pos="8838"/>
      </w:tabs>
    </w:pPr>
  </w:style>
  <w:style w:type="character" w:customStyle="1" w:styleId="PiedepginaCar">
    <w:name w:val="Pie de página Car"/>
    <w:basedOn w:val="Fuentedeprrafopredeter"/>
    <w:link w:val="Piedepgina"/>
    <w:uiPriority w:val="99"/>
    <w:rsid w:val="006B2474"/>
    <w:rPr>
      <w:rFonts w:ascii="Times New Roman" w:eastAsia="Times New Roman" w:hAnsi="Times New Roman" w:cs="Times New Roman"/>
      <w:sz w:val="20"/>
      <w:szCs w:val="20"/>
      <w:lang w:val="es-ES" w:eastAsia="es-MX"/>
    </w:rPr>
  </w:style>
  <w:style w:type="paragraph" w:styleId="NormalWeb">
    <w:name w:val="Normal (Web)"/>
    <w:basedOn w:val="Normal"/>
    <w:uiPriority w:val="99"/>
    <w:unhideWhenUsed/>
    <w:rsid w:val="006B2474"/>
    <w:pPr>
      <w:spacing w:before="100" w:beforeAutospacing="1" w:after="100" w:afterAutospacing="1"/>
    </w:pPr>
    <w:rPr>
      <w:sz w:val="24"/>
      <w:szCs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2748</Words>
  <Characters>15119</Characters>
  <Application>Microsoft Office Word</Application>
  <DocSecurity>0</DocSecurity>
  <Lines>125</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17832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2</cp:revision>
  <dcterms:created xsi:type="dcterms:W3CDTF">2023-04-14T15:25:00Z</dcterms:created>
  <dcterms:modified xsi:type="dcterms:W3CDTF">2023-04-14T15:25:00Z</dcterms:modified>
</cp:coreProperties>
</file>