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bookmarkStart w:id="0" w:name="_GoBack"/>
      <w:bookmarkEnd w:id="0"/>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494A326B" w:rsidR="001540EC" w:rsidRPr="00523E37"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03372D">
        <w:rPr>
          <w:rFonts w:ascii="Arial" w:eastAsia="Arial" w:hAnsi="Arial" w:cs="Arial"/>
          <w:b/>
          <w:color w:val="000000"/>
          <w:sz w:val="24"/>
          <w:szCs w:val="24"/>
        </w:rPr>
        <w:t>0118/2018</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435B4B92" w:rsidR="001540EC" w:rsidRPr="00523E37" w:rsidRDefault="00BE3F92" w:rsidP="00DD6DD6">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523E37">
        <w:rPr>
          <w:rFonts w:ascii="Arial" w:eastAsia="Arial" w:hAnsi="Arial" w:cs="Arial"/>
          <w:b/>
          <w:color w:val="000000"/>
          <w:sz w:val="24"/>
          <w:szCs w:val="24"/>
        </w:rPr>
        <w:t xml:space="preserve">: </w:t>
      </w:r>
      <w:r w:rsidR="001A7F2B" w:rsidRPr="00DD6DD6">
        <w:rPr>
          <w:rFonts w:ascii="Arial" w:eastAsia="Arial" w:hAnsi="Arial" w:cs="Arial"/>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8" w14:textId="416AA39E" w:rsidR="001540EC" w:rsidRDefault="00BE3F92"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657D49">
        <w:rPr>
          <w:rFonts w:ascii="Arial" w:eastAsia="Arial" w:hAnsi="Arial" w:cs="Arial"/>
          <w:color w:val="000000"/>
          <w:sz w:val="24"/>
          <w:szCs w:val="24"/>
        </w:rPr>
        <w:t>DIRECTOR DE NORMATIVIDAD Y CONTROL DE VÍA PUBLICA, UNIDAD DE INSPECCIÓN Y VIGILANCIA, E INSPECTOR MUNICIPAL ADSCRITO A LA DIRECCIÓN DE NORMATIVIDAD Y CONTROL DE VÍA PÚBLICA, TODAS DE</w:t>
      </w:r>
      <w:r w:rsidR="00003E14">
        <w:rPr>
          <w:rFonts w:ascii="Arial" w:eastAsia="Arial" w:hAnsi="Arial" w:cs="Arial"/>
          <w:color w:val="000000"/>
          <w:sz w:val="24"/>
          <w:szCs w:val="24"/>
        </w:rPr>
        <w:t>L MUNICIPIO DE OAXACA DE JUÁREZ, Y OTRAS AUTORIDADES.</w:t>
      </w:r>
    </w:p>
    <w:p w14:paraId="61E5BBFB" w14:textId="77777777" w:rsidR="009019A6" w:rsidRDefault="009019A6"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9" w14:textId="7947600A"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036F72DF" w:rsidR="001540EC" w:rsidRDefault="00BE3F92" w:rsidP="004D7165">
      <w:pPr>
        <w:pBdr>
          <w:top w:val="nil"/>
          <w:left w:val="nil"/>
          <w:bottom w:val="nil"/>
          <w:right w:val="nil"/>
          <w:between w:val="nil"/>
        </w:pBdr>
        <w:tabs>
          <w:tab w:val="center" w:pos="4419"/>
          <w:tab w:val="right" w:pos="8838"/>
        </w:tabs>
        <w:spacing w:before="240"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695132">
        <w:rPr>
          <w:rFonts w:ascii="Arial" w:eastAsia="Arial" w:hAnsi="Arial" w:cs="Arial"/>
          <w:b/>
          <w:color w:val="000000"/>
          <w:sz w:val="24"/>
          <w:szCs w:val="24"/>
        </w:rPr>
        <w:t>QUINCE DE DICIEMBRE</w:t>
      </w:r>
      <w:r w:rsidR="00A97723">
        <w:rPr>
          <w:rFonts w:ascii="Arial" w:eastAsia="Arial" w:hAnsi="Arial" w:cs="Arial"/>
          <w:b/>
          <w:color w:val="000000"/>
          <w:sz w:val="24"/>
          <w:szCs w:val="24"/>
        </w:rPr>
        <w:t xml:space="preserve"> </w:t>
      </w:r>
      <w:r>
        <w:rPr>
          <w:rFonts w:ascii="Arial" w:eastAsia="Arial" w:hAnsi="Arial" w:cs="Arial"/>
          <w:b/>
          <w:color w:val="000000"/>
          <w:sz w:val="24"/>
          <w:szCs w:val="24"/>
        </w:rPr>
        <w:t xml:space="preserve">DE DOS MIL VEINTIDÓS. - - - - - - - - - - - - - - - - - - - - - - - - - - - - - - - - </w:t>
      </w:r>
      <w:r w:rsidR="00A97723">
        <w:rPr>
          <w:rFonts w:ascii="Arial" w:eastAsia="Arial" w:hAnsi="Arial" w:cs="Arial"/>
          <w:b/>
          <w:color w:val="000000"/>
          <w:sz w:val="24"/>
          <w:szCs w:val="24"/>
        </w:rPr>
        <w:t xml:space="preserve">- - - - - - - </w:t>
      </w:r>
      <w:r w:rsidR="00695132">
        <w:rPr>
          <w:rFonts w:ascii="Arial" w:eastAsia="Arial" w:hAnsi="Arial" w:cs="Arial"/>
          <w:b/>
          <w:color w:val="000000"/>
          <w:sz w:val="24"/>
          <w:szCs w:val="24"/>
        </w:rPr>
        <w:t xml:space="preserve">- - - - - </w:t>
      </w:r>
    </w:p>
    <w:p w14:paraId="0000000E" w14:textId="71D9275A" w:rsidR="001540EC" w:rsidRDefault="00BE3F92"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657D49">
        <w:rPr>
          <w:rFonts w:ascii="Arial" w:hAnsi="Arial" w:cs="Arial"/>
          <w:b/>
          <w:sz w:val="24"/>
          <w:szCs w:val="24"/>
          <w:lang w:eastAsia="es-ES"/>
        </w:rPr>
        <w:t>0118/2018</w:t>
      </w:r>
      <w:r w:rsidR="00D2481D">
        <w:rPr>
          <w:rFonts w:ascii="Arial" w:hAnsi="Arial" w:cs="Arial"/>
          <w:b/>
          <w:sz w:val="24"/>
          <w:szCs w:val="24"/>
          <w:lang w:eastAsia="es-ES"/>
        </w:rPr>
        <w:t xml:space="preserve">, </w:t>
      </w:r>
      <w:r w:rsidR="00D2481D">
        <w:rPr>
          <w:rFonts w:ascii="Arial" w:hAnsi="Arial" w:cs="Arial"/>
          <w:sz w:val="24"/>
          <w:szCs w:val="24"/>
          <w:lang w:eastAsia="es-ES"/>
        </w:rPr>
        <w:t>del índice de esta Sala Unitaria,</w:t>
      </w:r>
      <w:r w:rsidR="00D2481D">
        <w:rPr>
          <w:rFonts w:ascii="Arial" w:eastAsia="Arial" w:hAnsi="Arial" w:cs="Arial"/>
          <w:sz w:val="24"/>
          <w:szCs w:val="24"/>
        </w:rPr>
        <w:t xml:space="preserve"> promovido</w:t>
      </w:r>
      <w:r w:rsidR="002D7A6B">
        <w:rPr>
          <w:rFonts w:ascii="Arial" w:eastAsia="Arial" w:hAnsi="Arial" w:cs="Arial"/>
          <w:sz w:val="24"/>
          <w:szCs w:val="24"/>
        </w:rPr>
        <w:t xml:space="preserve"> </w:t>
      </w:r>
      <w:r>
        <w:rPr>
          <w:rFonts w:ascii="Arial" w:eastAsia="Arial" w:hAnsi="Arial" w:cs="Arial"/>
          <w:sz w:val="24"/>
          <w:szCs w:val="24"/>
        </w:rPr>
        <w:t xml:space="preserve">por </w:t>
      </w:r>
      <w:r w:rsidR="00DD6DD6" w:rsidRPr="00DD6DD6">
        <w:rPr>
          <w:rFonts w:ascii="Arial" w:eastAsia="Arial" w:hAnsi="Arial" w:cs="Arial"/>
          <w:sz w:val="24"/>
          <w:szCs w:val="24"/>
        </w:rPr>
        <w:t>**********</w:t>
      </w:r>
      <w:r w:rsidR="00715F75" w:rsidRPr="00715F75">
        <w:rPr>
          <w:rFonts w:ascii="Arial" w:eastAsia="Arial" w:hAnsi="Arial" w:cs="Arial"/>
          <w:sz w:val="24"/>
          <w:szCs w:val="24"/>
        </w:rPr>
        <w:t xml:space="preserve">a través </w:t>
      </w:r>
      <w:r w:rsidR="00715F75">
        <w:rPr>
          <w:rFonts w:ascii="Arial" w:eastAsia="Arial" w:hAnsi="Arial" w:cs="Arial"/>
          <w:sz w:val="24"/>
          <w:szCs w:val="24"/>
        </w:rPr>
        <w:t xml:space="preserve">de su apoderado legal </w:t>
      </w:r>
      <w:r>
        <w:rPr>
          <w:rFonts w:ascii="Arial" w:eastAsia="Arial" w:hAnsi="Arial" w:cs="Arial"/>
          <w:sz w:val="24"/>
          <w:szCs w:val="24"/>
        </w:rPr>
        <w:t>en contra de</w:t>
      </w:r>
      <w:r w:rsidR="00715F75">
        <w:rPr>
          <w:rFonts w:ascii="Arial" w:eastAsia="Arial" w:hAnsi="Arial" w:cs="Arial"/>
          <w:sz w:val="24"/>
          <w:szCs w:val="24"/>
        </w:rPr>
        <w:t xml:space="preserve">l </w:t>
      </w:r>
      <w:r w:rsidR="00905A9B">
        <w:rPr>
          <w:rFonts w:ascii="Arial" w:eastAsia="Arial" w:hAnsi="Arial" w:cs="Arial"/>
          <w:sz w:val="24"/>
          <w:szCs w:val="24"/>
        </w:rPr>
        <w:t xml:space="preserve">Acta de Infracción con número de folio </w:t>
      </w:r>
      <w:r w:rsidR="00DD6DD6">
        <w:rPr>
          <w:rFonts w:ascii="Arial" w:eastAsia="Arial" w:hAnsi="Arial" w:cs="Arial"/>
          <w:sz w:val="24"/>
          <w:szCs w:val="24"/>
        </w:rPr>
        <w:t>**********</w:t>
      </w:r>
      <w:r w:rsidR="00905A9B">
        <w:rPr>
          <w:rFonts w:ascii="Arial" w:eastAsia="Arial" w:hAnsi="Arial" w:cs="Arial"/>
          <w:sz w:val="24"/>
          <w:szCs w:val="24"/>
        </w:rPr>
        <w:t xml:space="preserve"> de dieciocho de octubre de dos mil dieciocho, </w:t>
      </w:r>
      <w:r w:rsidR="00771652">
        <w:rPr>
          <w:rFonts w:ascii="Arial" w:eastAsia="Arial" w:hAnsi="Arial" w:cs="Arial"/>
          <w:sz w:val="24"/>
          <w:szCs w:val="24"/>
        </w:rPr>
        <w:t>mediante la</w:t>
      </w:r>
      <w:r w:rsidR="00F151B1">
        <w:rPr>
          <w:rFonts w:ascii="Arial" w:eastAsia="Arial" w:hAnsi="Arial" w:cs="Arial"/>
          <w:sz w:val="24"/>
          <w:szCs w:val="24"/>
        </w:rPr>
        <w:t xml:space="preserve"> cual el Inspector adscrito a la Dirección de Normatividad y Control de Vía Pública del Municipio de Oaxaca de Juárez</w:t>
      </w:r>
      <w:r w:rsidR="00771652">
        <w:rPr>
          <w:rFonts w:ascii="Arial" w:eastAsia="Arial" w:hAnsi="Arial" w:cs="Arial"/>
          <w:sz w:val="24"/>
          <w:szCs w:val="24"/>
        </w:rPr>
        <w:t xml:space="preserve"> le impone una multa prevista en el artículo 86 fracción II del Reglamento para el Funcionamiento de Establecimientos Comerciales,</w:t>
      </w:r>
      <w:r w:rsidR="00E7657A">
        <w:rPr>
          <w:rFonts w:ascii="Arial" w:eastAsia="Arial" w:hAnsi="Arial" w:cs="Arial"/>
          <w:sz w:val="24"/>
          <w:szCs w:val="24"/>
        </w:rPr>
        <w:t xml:space="preserve"> en el Municipio de Oaxaca de Juárez</w:t>
      </w:r>
      <w:r w:rsidR="00771652">
        <w:rPr>
          <w:rFonts w:ascii="Arial" w:eastAsia="Arial" w:hAnsi="Arial" w:cs="Arial"/>
          <w:sz w:val="24"/>
          <w:szCs w:val="24"/>
        </w:rPr>
        <w:t xml:space="preserve"> </w:t>
      </w:r>
      <w:r w:rsidR="00715F75">
        <w:rPr>
          <w:rFonts w:ascii="Arial" w:eastAsia="Arial" w:hAnsi="Arial" w:cs="Arial"/>
          <w:sz w:val="24"/>
          <w:szCs w:val="24"/>
        </w:rPr>
        <w:t>.</w:t>
      </w:r>
      <w:r>
        <w:rPr>
          <w:rFonts w:ascii="Arial" w:eastAsia="Arial" w:hAnsi="Arial" w:cs="Arial"/>
          <w:sz w:val="24"/>
          <w:szCs w:val="24"/>
        </w:rPr>
        <w:t xml:space="preserve">- - - </w:t>
      </w:r>
      <w:r w:rsidR="00D8318A">
        <w:rPr>
          <w:rFonts w:ascii="Arial" w:eastAsia="Arial" w:hAnsi="Arial" w:cs="Arial"/>
          <w:sz w:val="24"/>
          <w:szCs w:val="24"/>
        </w:rPr>
        <w:t>-</w:t>
      </w:r>
      <w:r w:rsidR="00DE0EC4">
        <w:rPr>
          <w:rFonts w:ascii="Arial" w:eastAsia="Arial" w:hAnsi="Arial" w:cs="Arial"/>
          <w:sz w:val="24"/>
          <w:szCs w:val="24"/>
        </w:rPr>
        <w:t xml:space="preserve"> - -</w:t>
      </w:r>
      <w:r w:rsidR="00DD6DD6">
        <w:rPr>
          <w:rFonts w:ascii="Arial" w:eastAsia="Arial" w:hAnsi="Arial" w:cs="Arial"/>
          <w:sz w:val="24"/>
          <w:szCs w:val="24"/>
        </w:rPr>
        <w:t xml:space="preserve"> - - - - - - - - - - - - - - - - - - - - - - - - - - - -</w:t>
      </w:r>
      <w:r w:rsidR="00DE0EC4">
        <w:rPr>
          <w:rFonts w:ascii="Arial" w:eastAsia="Arial" w:hAnsi="Arial" w:cs="Arial"/>
          <w:sz w:val="24"/>
          <w:szCs w:val="24"/>
        </w:rPr>
        <w:t xml:space="preserve">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7D25271" w14:textId="5B3CCD7F" w:rsidR="00D65A22" w:rsidRDefault="00D2481D"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PRIMERO</w:t>
      </w:r>
      <w:r w:rsidR="00F22223">
        <w:rPr>
          <w:rFonts w:ascii="Arial" w:eastAsia="Times New Roman" w:hAnsi="Arial" w:cs="Arial"/>
          <w:b/>
          <w:bCs/>
          <w:sz w:val="24"/>
          <w:szCs w:val="24"/>
          <w:lang w:val="es-ES" w:eastAsia="es-ES"/>
        </w:rPr>
        <w:t>.</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w:t>
      </w:r>
      <w:r w:rsidR="00022C4B">
        <w:rPr>
          <w:rFonts w:ascii="Arial" w:eastAsia="Arial" w:hAnsi="Arial" w:cs="Arial"/>
          <w:sz w:val="24"/>
          <w:szCs w:val="24"/>
        </w:rPr>
        <w:t>veintinueve de noviembre</w:t>
      </w:r>
      <w:r w:rsidR="001C4C17">
        <w:rPr>
          <w:rFonts w:ascii="Arial" w:eastAsia="Arial" w:hAnsi="Arial" w:cs="Arial"/>
          <w:sz w:val="24"/>
          <w:szCs w:val="24"/>
        </w:rPr>
        <w:t xml:space="preserve"> de dos mil dieciocho</w:t>
      </w:r>
      <w:r w:rsidR="00D05BD7">
        <w:rPr>
          <w:rFonts w:ascii="Arial" w:eastAsia="Arial" w:hAnsi="Arial" w:cs="Arial"/>
          <w:sz w:val="24"/>
          <w:szCs w:val="24"/>
        </w:rPr>
        <w:t xml:space="preserve">, </w:t>
      </w:r>
      <w:r w:rsidR="001E141C">
        <w:rPr>
          <w:rFonts w:ascii="Arial" w:eastAsia="Arial" w:hAnsi="Arial" w:cs="Arial"/>
          <w:sz w:val="24"/>
          <w:szCs w:val="24"/>
        </w:rPr>
        <w:t xml:space="preserve">se admitió a </w:t>
      </w:r>
      <w:r w:rsidR="00A25B3B">
        <w:rPr>
          <w:rFonts w:ascii="Arial" w:eastAsia="Arial" w:hAnsi="Arial" w:cs="Arial"/>
          <w:sz w:val="24"/>
          <w:szCs w:val="24"/>
        </w:rPr>
        <w:t>trámite la de</w:t>
      </w:r>
      <w:r w:rsidR="00AC4810">
        <w:rPr>
          <w:rFonts w:ascii="Arial" w:eastAsia="Arial" w:hAnsi="Arial" w:cs="Arial"/>
          <w:sz w:val="24"/>
          <w:szCs w:val="24"/>
        </w:rPr>
        <w:t xml:space="preserve">manda de nulidad </w:t>
      </w:r>
      <w:r w:rsidR="0013432E">
        <w:rPr>
          <w:rFonts w:ascii="Arial" w:eastAsia="Arial" w:hAnsi="Arial" w:cs="Arial"/>
          <w:sz w:val="24"/>
          <w:szCs w:val="24"/>
        </w:rPr>
        <w:t>interpuesta por</w:t>
      </w:r>
      <w:r w:rsidR="00AC4810">
        <w:rPr>
          <w:rFonts w:ascii="Arial" w:eastAsia="Arial" w:hAnsi="Arial" w:cs="Arial"/>
          <w:sz w:val="24"/>
          <w:szCs w:val="24"/>
        </w:rPr>
        <w:t xml:space="preserve"> </w:t>
      </w:r>
      <w:r w:rsidR="00DD6DD6" w:rsidRPr="00DD6DD6">
        <w:rPr>
          <w:rFonts w:ascii="Arial" w:eastAsia="Arial" w:hAnsi="Arial" w:cs="Arial"/>
          <w:sz w:val="24"/>
          <w:szCs w:val="24"/>
        </w:rPr>
        <w:t>**********</w:t>
      </w:r>
      <w:r w:rsidR="00715F75" w:rsidRPr="00715F75">
        <w:rPr>
          <w:rFonts w:ascii="Arial" w:eastAsia="Arial" w:hAnsi="Arial" w:cs="Arial"/>
          <w:sz w:val="24"/>
          <w:szCs w:val="24"/>
        </w:rPr>
        <w:t xml:space="preserve">a través </w:t>
      </w:r>
      <w:r w:rsidR="00715F75">
        <w:rPr>
          <w:rFonts w:ascii="Arial" w:eastAsia="Arial" w:hAnsi="Arial" w:cs="Arial"/>
          <w:sz w:val="24"/>
          <w:szCs w:val="24"/>
        </w:rPr>
        <w:t>de su apoderado legal</w:t>
      </w:r>
      <w:r>
        <w:rPr>
          <w:rFonts w:ascii="Arial" w:eastAsia="Arial" w:hAnsi="Arial" w:cs="Arial"/>
          <w:color w:val="FF0000"/>
          <w:sz w:val="24"/>
          <w:szCs w:val="24"/>
        </w:rPr>
        <w:t xml:space="preserve"> </w:t>
      </w:r>
      <w:r>
        <w:rPr>
          <w:rFonts w:ascii="Arial" w:eastAsia="Arial" w:hAnsi="Arial" w:cs="Arial"/>
          <w:sz w:val="24"/>
          <w:szCs w:val="24"/>
        </w:rPr>
        <w:t>en contra</w:t>
      </w:r>
      <w:r w:rsidR="00343B1B">
        <w:rPr>
          <w:rFonts w:ascii="Arial" w:eastAsia="Arial" w:hAnsi="Arial" w:cs="Arial"/>
          <w:sz w:val="24"/>
          <w:szCs w:val="24"/>
        </w:rPr>
        <w:t xml:space="preserve"> de</w:t>
      </w:r>
      <w:r w:rsidR="0013432E">
        <w:rPr>
          <w:rFonts w:ascii="Arial" w:eastAsia="Arial" w:hAnsi="Arial" w:cs="Arial"/>
          <w:sz w:val="24"/>
          <w:szCs w:val="24"/>
        </w:rPr>
        <w:t>l</w:t>
      </w:r>
      <w:r w:rsidR="001C4C17">
        <w:rPr>
          <w:rFonts w:ascii="Arial" w:eastAsia="Arial" w:hAnsi="Arial" w:cs="Arial"/>
          <w:sz w:val="24"/>
          <w:szCs w:val="24"/>
        </w:rPr>
        <w:t xml:space="preserve"> </w:t>
      </w:r>
      <w:r w:rsidR="001C4C17" w:rsidRPr="001C4C17">
        <w:rPr>
          <w:rFonts w:ascii="Arial" w:eastAsia="Arial" w:hAnsi="Arial" w:cs="Arial"/>
          <w:sz w:val="24"/>
          <w:szCs w:val="24"/>
        </w:rPr>
        <w:t xml:space="preserve">Acta de Infracción con número de folio </w:t>
      </w:r>
      <w:r w:rsidR="00DD6DD6">
        <w:rPr>
          <w:rFonts w:ascii="Arial" w:eastAsia="Arial" w:hAnsi="Arial" w:cs="Arial"/>
          <w:sz w:val="24"/>
          <w:szCs w:val="24"/>
        </w:rPr>
        <w:t>**********</w:t>
      </w:r>
      <w:r w:rsidR="001C4C17" w:rsidRPr="001C4C17">
        <w:rPr>
          <w:rFonts w:ascii="Arial" w:eastAsia="Arial" w:hAnsi="Arial" w:cs="Arial"/>
          <w:sz w:val="24"/>
          <w:szCs w:val="24"/>
        </w:rPr>
        <w:t>de dieciocho de octubre de dos mil dieciocho, mediante el cual el Inspector adscrito a la Dirección de Normatividad y Control de Vía Pública del Municipio de Oaxaca de Juárez</w:t>
      </w:r>
      <w:r w:rsidR="003A661F" w:rsidRPr="003A661F">
        <w:rPr>
          <w:rFonts w:ascii="Arial" w:eastAsia="Arial" w:hAnsi="Arial" w:cs="Arial"/>
          <w:sz w:val="24"/>
          <w:szCs w:val="24"/>
        </w:rPr>
        <w:t xml:space="preserve"> le impone una multa prevista en el artículo 86 fracción II del Reglamento para el Funcionamiento de Establecimientos Comerciales, en el Municipio de Oaxaca de Juárez</w:t>
      </w:r>
      <w:r w:rsidR="00932578">
        <w:rPr>
          <w:rFonts w:ascii="Arial" w:eastAsia="Arial" w:hAnsi="Arial" w:cs="Arial"/>
          <w:sz w:val="24"/>
          <w:szCs w:val="24"/>
        </w:rPr>
        <w:t>.</w:t>
      </w:r>
    </w:p>
    <w:p w14:paraId="003F64D1" w14:textId="61C2B8F9" w:rsidR="00D57268" w:rsidRDefault="00D57268"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SEGUNDO. </w:t>
      </w:r>
      <w:r>
        <w:rPr>
          <w:rFonts w:ascii="Arial" w:eastAsia="Arial" w:hAnsi="Arial" w:cs="Arial"/>
          <w:sz w:val="24"/>
          <w:szCs w:val="24"/>
        </w:rPr>
        <w:t xml:space="preserve">Mediante </w:t>
      </w:r>
      <w:r w:rsidR="00B034A2">
        <w:rPr>
          <w:rFonts w:ascii="Arial" w:eastAsia="Arial" w:hAnsi="Arial" w:cs="Arial"/>
          <w:sz w:val="24"/>
          <w:szCs w:val="24"/>
        </w:rPr>
        <w:t>oficio</w:t>
      </w:r>
      <w:r w:rsidR="001C4C17">
        <w:rPr>
          <w:rFonts w:ascii="Arial" w:eastAsia="Arial" w:hAnsi="Arial" w:cs="Arial"/>
          <w:sz w:val="24"/>
          <w:szCs w:val="24"/>
        </w:rPr>
        <w:t>s</w:t>
      </w:r>
      <w:r w:rsidR="00B034A2">
        <w:rPr>
          <w:rFonts w:ascii="Arial" w:eastAsia="Arial" w:hAnsi="Arial" w:cs="Arial"/>
          <w:sz w:val="24"/>
          <w:szCs w:val="24"/>
        </w:rPr>
        <w:t xml:space="preserve"> </w:t>
      </w:r>
      <w:r w:rsidR="001C4C17">
        <w:rPr>
          <w:rFonts w:ascii="Arial" w:eastAsia="Arial" w:hAnsi="Arial" w:cs="Arial"/>
          <w:sz w:val="24"/>
          <w:szCs w:val="24"/>
        </w:rPr>
        <w:t xml:space="preserve">sin </w:t>
      </w:r>
      <w:r w:rsidR="00B034A2">
        <w:rPr>
          <w:rFonts w:ascii="Arial" w:eastAsia="Arial" w:hAnsi="Arial" w:cs="Arial"/>
          <w:sz w:val="24"/>
          <w:szCs w:val="24"/>
        </w:rPr>
        <w:t>número</w:t>
      </w:r>
      <w:r w:rsidR="001C4C17">
        <w:rPr>
          <w:rFonts w:ascii="Arial" w:eastAsia="Arial" w:hAnsi="Arial" w:cs="Arial"/>
          <w:sz w:val="24"/>
          <w:szCs w:val="24"/>
        </w:rPr>
        <w:t>s</w:t>
      </w:r>
      <w:r w:rsidR="008C78EA">
        <w:rPr>
          <w:rFonts w:ascii="Arial" w:eastAsia="Arial" w:hAnsi="Arial" w:cs="Arial"/>
          <w:sz w:val="24"/>
          <w:szCs w:val="24"/>
        </w:rPr>
        <w:t xml:space="preserve"> presentado en la Oficialía de</w:t>
      </w:r>
      <w:r w:rsidR="001C4C17">
        <w:rPr>
          <w:rFonts w:ascii="Arial" w:eastAsia="Arial" w:hAnsi="Arial" w:cs="Arial"/>
          <w:sz w:val="24"/>
          <w:szCs w:val="24"/>
        </w:rPr>
        <w:t xml:space="preserve"> Partes de este Tribunal el trece de diciembre de dos mil dieciocho, el Inspector Municipal adscrito a la Dirección de Normatividad y Control de Vía Pública, y el Director de Normatividad y Control de Vía Pública, ambos </w:t>
      </w:r>
      <w:r w:rsidR="008C78EA">
        <w:rPr>
          <w:rFonts w:ascii="Arial" w:eastAsia="Arial" w:hAnsi="Arial" w:cs="Arial"/>
          <w:sz w:val="24"/>
          <w:szCs w:val="24"/>
        </w:rPr>
        <w:t>del Municipio de Oaxaca de Juárez Oaxaca</w:t>
      </w:r>
      <w:r w:rsidR="001C4C17">
        <w:rPr>
          <w:rFonts w:ascii="Arial" w:eastAsia="Arial" w:hAnsi="Arial" w:cs="Arial"/>
          <w:sz w:val="24"/>
          <w:szCs w:val="24"/>
        </w:rPr>
        <w:t>,</w:t>
      </w:r>
      <w:r w:rsidR="008C78EA">
        <w:rPr>
          <w:rFonts w:ascii="Arial" w:eastAsia="Arial" w:hAnsi="Arial" w:cs="Arial"/>
          <w:sz w:val="24"/>
          <w:szCs w:val="24"/>
        </w:rPr>
        <w:t xml:space="preserve"> </w:t>
      </w:r>
      <w:r w:rsidR="00763DDE">
        <w:rPr>
          <w:rFonts w:ascii="Arial" w:eastAsia="Arial" w:hAnsi="Arial" w:cs="Arial"/>
          <w:sz w:val="24"/>
          <w:szCs w:val="24"/>
        </w:rPr>
        <w:t>produj</w:t>
      </w:r>
      <w:r w:rsidR="001C4C17">
        <w:rPr>
          <w:rFonts w:ascii="Arial" w:eastAsia="Arial" w:hAnsi="Arial" w:cs="Arial"/>
          <w:sz w:val="24"/>
          <w:szCs w:val="24"/>
        </w:rPr>
        <w:t>eron</w:t>
      </w:r>
      <w:r w:rsidR="00763DDE">
        <w:rPr>
          <w:rFonts w:ascii="Arial" w:eastAsia="Arial" w:hAnsi="Arial" w:cs="Arial"/>
          <w:sz w:val="24"/>
          <w:szCs w:val="24"/>
        </w:rPr>
        <w:t xml:space="preserve"> su</w:t>
      </w:r>
      <w:r w:rsidR="001C4C17">
        <w:rPr>
          <w:rFonts w:ascii="Arial" w:eastAsia="Arial" w:hAnsi="Arial" w:cs="Arial"/>
          <w:sz w:val="24"/>
          <w:szCs w:val="24"/>
        </w:rPr>
        <w:t>s contestacio</w:t>
      </w:r>
      <w:r w:rsidR="00763DDE">
        <w:rPr>
          <w:rFonts w:ascii="Arial" w:eastAsia="Arial" w:hAnsi="Arial" w:cs="Arial"/>
          <w:sz w:val="24"/>
          <w:szCs w:val="24"/>
        </w:rPr>
        <w:t>n</w:t>
      </w:r>
      <w:r w:rsidR="001C4C17">
        <w:rPr>
          <w:rFonts w:ascii="Arial" w:eastAsia="Arial" w:hAnsi="Arial" w:cs="Arial"/>
          <w:sz w:val="24"/>
          <w:szCs w:val="24"/>
        </w:rPr>
        <w:t>es</w:t>
      </w:r>
      <w:r w:rsidR="00763DDE">
        <w:rPr>
          <w:rFonts w:ascii="Arial" w:eastAsia="Arial" w:hAnsi="Arial" w:cs="Arial"/>
          <w:sz w:val="24"/>
          <w:szCs w:val="24"/>
        </w:rPr>
        <w:t xml:space="preserve"> de demanda.</w:t>
      </w:r>
    </w:p>
    <w:p w14:paraId="274A1E56" w14:textId="7C56EF4B" w:rsidR="006721CF" w:rsidRPr="00ED78F6" w:rsidRDefault="0087243F"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T</w:t>
      </w:r>
      <w:r w:rsidR="008C78EA">
        <w:rPr>
          <w:rFonts w:ascii="Arial" w:eastAsia="Arial" w:hAnsi="Arial" w:cs="Arial"/>
          <w:b/>
          <w:sz w:val="24"/>
          <w:szCs w:val="24"/>
        </w:rPr>
        <w:t>ERCERO</w:t>
      </w:r>
      <w:r w:rsidR="002E3453">
        <w:rPr>
          <w:rFonts w:ascii="Arial" w:eastAsia="Arial" w:hAnsi="Arial" w:cs="Arial"/>
          <w:b/>
          <w:sz w:val="24"/>
          <w:szCs w:val="24"/>
        </w:rPr>
        <w:t xml:space="preserve">. </w:t>
      </w:r>
      <w:r w:rsidR="002E3453">
        <w:rPr>
          <w:rFonts w:ascii="Arial" w:eastAsia="Arial" w:hAnsi="Arial" w:cs="Arial"/>
          <w:sz w:val="24"/>
          <w:szCs w:val="24"/>
        </w:rPr>
        <w:t xml:space="preserve">Por auto de </w:t>
      </w:r>
      <w:r w:rsidR="004341EB">
        <w:rPr>
          <w:rFonts w:ascii="Arial" w:eastAsia="Arial" w:hAnsi="Arial" w:cs="Arial"/>
          <w:sz w:val="24"/>
          <w:szCs w:val="24"/>
        </w:rPr>
        <w:t>treinta y uno de enero de dos mil diecinueve</w:t>
      </w:r>
      <w:r w:rsidR="002E3453">
        <w:rPr>
          <w:rFonts w:ascii="Arial" w:eastAsia="Arial" w:hAnsi="Arial" w:cs="Arial"/>
          <w:sz w:val="24"/>
          <w:szCs w:val="24"/>
        </w:rPr>
        <w:t>,</w:t>
      </w:r>
      <w:r w:rsidR="00C829DC">
        <w:rPr>
          <w:rFonts w:ascii="Arial" w:eastAsia="Arial" w:hAnsi="Arial" w:cs="Arial"/>
          <w:sz w:val="24"/>
          <w:szCs w:val="24"/>
        </w:rPr>
        <w:t xml:space="preserve"> se</w:t>
      </w:r>
      <w:r w:rsidR="00C016CF">
        <w:rPr>
          <w:rFonts w:ascii="Arial" w:eastAsia="Arial" w:hAnsi="Arial" w:cs="Arial"/>
          <w:sz w:val="24"/>
          <w:szCs w:val="24"/>
        </w:rPr>
        <w:t xml:space="preserve"> </w:t>
      </w:r>
      <w:r w:rsidR="00B01FE8">
        <w:rPr>
          <w:rFonts w:ascii="Arial" w:eastAsia="Arial" w:hAnsi="Arial" w:cs="Arial"/>
          <w:sz w:val="24"/>
          <w:szCs w:val="24"/>
        </w:rPr>
        <w:t>tuvieron</w:t>
      </w:r>
      <w:r w:rsidR="003D5583">
        <w:rPr>
          <w:rFonts w:ascii="Arial" w:eastAsia="Arial" w:hAnsi="Arial" w:cs="Arial"/>
          <w:sz w:val="24"/>
          <w:szCs w:val="24"/>
        </w:rPr>
        <w:t xml:space="preserve"> por contestada</w:t>
      </w:r>
      <w:r w:rsidR="00B01FE8">
        <w:rPr>
          <w:rFonts w:ascii="Arial" w:eastAsia="Arial" w:hAnsi="Arial" w:cs="Arial"/>
          <w:sz w:val="24"/>
          <w:szCs w:val="24"/>
        </w:rPr>
        <w:t>s</w:t>
      </w:r>
      <w:r w:rsidR="003D5583">
        <w:rPr>
          <w:rFonts w:ascii="Arial" w:eastAsia="Arial" w:hAnsi="Arial" w:cs="Arial"/>
          <w:sz w:val="24"/>
          <w:szCs w:val="24"/>
        </w:rPr>
        <w:t xml:space="preserve"> la</w:t>
      </w:r>
      <w:r w:rsidR="00B01FE8">
        <w:rPr>
          <w:rFonts w:ascii="Arial" w:eastAsia="Arial" w:hAnsi="Arial" w:cs="Arial"/>
          <w:sz w:val="24"/>
          <w:szCs w:val="24"/>
        </w:rPr>
        <w:t>s</w:t>
      </w:r>
      <w:r w:rsidR="003D5583">
        <w:rPr>
          <w:rFonts w:ascii="Arial" w:eastAsia="Arial" w:hAnsi="Arial" w:cs="Arial"/>
          <w:sz w:val="24"/>
          <w:szCs w:val="24"/>
        </w:rPr>
        <w:t xml:space="preserve"> demanda</w:t>
      </w:r>
      <w:r w:rsidR="00B01FE8">
        <w:rPr>
          <w:rFonts w:ascii="Arial" w:eastAsia="Arial" w:hAnsi="Arial" w:cs="Arial"/>
          <w:sz w:val="24"/>
          <w:szCs w:val="24"/>
        </w:rPr>
        <w:t>s</w:t>
      </w:r>
      <w:r w:rsidR="00C016CF">
        <w:rPr>
          <w:rFonts w:ascii="Arial" w:eastAsia="Arial" w:hAnsi="Arial" w:cs="Arial"/>
          <w:sz w:val="24"/>
          <w:szCs w:val="24"/>
        </w:rPr>
        <w:t>, y por admitidas las pruebas ofrecidas</w:t>
      </w:r>
      <w:r w:rsidR="004341EB">
        <w:rPr>
          <w:rFonts w:ascii="Arial" w:eastAsia="Arial" w:hAnsi="Arial" w:cs="Arial"/>
          <w:sz w:val="24"/>
          <w:szCs w:val="24"/>
        </w:rPr>
        <w:t xml:space="preserve"> respecto del </w:t>
      </w:r>
      <w:r w:rsidR="004341EB" w:rsidRPr="004341EB">
        <w:rPr>
          <w:rFonts w:ascii="Arial" w:eastAsia="Arial" w:hAnsi="Arial" w:cs="Arial"/>
          <w:sz w:val="24"/>
          <w:szCs w:val="24"/>
        </w:rPr>
        <w:t>Inspector Municipal adscrito a la Dirección de Normatividad y Control de Vía Pública, y el Director de Normatividad y Control de Vía Pública, ambos del Municipio de Oaxaca de Juárez Oaxaca,</w:t>
      </w:r>
      <w:r w:rsidR="004341EB">
        <w:rPr>
          <w:rFonts w:ascii="Arial" w:eastAsia="Arial" w:hAnsi="Arial" w:cs="Arial"/>
          <w:sz w:val="24"/>
          <w:szCs w:val="24"/>
        </w:rPr>
        <w:t xml:space="preserve"> asimismo se declaró precluido el derecho de </w:t>
      </w:r>
      <w:r w:rsidR="00695132">
        <w:rPr>
          <w:rFonts w:ascii="Arial" w:eastAsia="Arial" w:hAnsi="Arial" w:cs="Arial"/>
          <w:sz w:val="24"/>
          <w:szCs w:val="24"/>
        </w:rPr>
        <w:t xml:space="preserve">la </w:t>
      </w:r>
      <w:r w:rsidR="004341EB">
        <w:rPr>
          <w:rFonts w:ascii="Arial" w:eastAsia="Arial" w:hAnsi="Arial" w:cs="Arial"/>
          <w:sz w:val="24"/>
          <w:szCs w:val="24"/>
        </w:rPr>
        <w:t>Unidad de Inspección y</w:t>
      </w:r>
      <w:r w:rsidR="00695132">
        <w:rPr>
          <w:rFonts w:ascii="Arial" w:eastAsia="Arial" w:hAnsi="Arial" w:cs="Arial"/>
          <w:sz w:val="24"/>
          <w:szCs w:val="24"/>
        </w:rPr>
        <w:t xml:space="preserve"> Vigilancia de dicho Municipio para dar contestación al escrito de demanda, y se concedió plazo a la parte actora para que ampliara su escrito de demanda.</w:t>
      </w:r>
    </w:p>
    <w:p w14:paraId="6981E084" w14:textId="37F35B0E" w:rsidR="00AA193A" w:rsidRDefault="003D5583"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CUAR</w:t>
      </w:r>
      <w:r w:rsidR="006A7E9B">
        <w:rPr>
          <w:rFonts w:ascii="Arial" w:eastAsia="Arial" w:hAnsi="Arial" w:cs="Arial"/>
          <w:b/>
          <w:sz w:val="24"/>
          <w:szCs w:val="24"/>
        </w:rPr>
        <w:t>TO.</w:t>
      </w:r>
      <w:r w:rsidR="006A7E9B">
        <w:rPr>
          <w:rFonts w:ascii="Arial" w:eastAsia="Arial" w:hAnsi="Arial" w:cs="Arial"/>
          <w:sz w:val="24"/>
          <w:szCs w:val="24"/>
        </w:rPr>
        <w:t xml:space="preserve"> </w:t>
      </w:r>
      <w:r w:rsidR="00AA193A">
        <w:rPr>
          <w:rFonts w:ascii="Arial" w:eastAsia="Arial" w:hAnsi="Arial" w:cs="Arial"/>
          <w:sz w:val="24"/>
          <w:szCs w:val="24"/>
        </w:rPr>
        <w:t>Mediante auto de veintisiete de mayo de dos mil diecinueve se admitió la ampliació</w:t>
      </w:r>
      <w:r w:rsidR="00020F84">
        <w:rPr>
          <w:rFonts w:ascii="Arial" w:eastAsia="Arial" w:hAnsi="Arial" w:cs="Arial"/>
          <w:sz w:val="24"/>
          <w:szCs w:val="24"/>
        </w:rPr>
        <w:t>n de demanda, y se ordenó</w:t>
      </w:r>
      <w:r w:rsidR="00572144">
        <w:rPr>
          <w:rFonts w:ascii="Arial" w:eastAsia="Arial" w:hAnsi="Arial" w:cs="Arial"/>
          <w:sz w:val="24"/>
          <w:szCs w:val="24"/>
        </w:rPr>
        <w:t xml:space="preserve"> correr traslado de la misma</w:t>
      </w:r>
      <w:r w:rsidR="00AA193A">
        <w:rPr>
          <w:rFonts w:ascii="Arial" w:eastAsia="Arial" w:hAnsi="Arial" w:cs="Arial"/>
          <w:sz w:val="24"/>
          <w:szCs w:val="24"/>
        </w:rPr>
        <w:t xml:space="preserve"> a las </w:t>
      </w:r>
      <w:r w:rsidR="00572144">
        <w:rPr>
          <w:rFonts w:ascii="Arial" w:eastAsia="Arial" w:hAnsi="Arial" w:cs="Arial"/>
          <w:sz w:val="24"/>
          <w:szCs w:val="24"/>
        </w:rPr>
        <w:t>a</w:t>
      </w:r>
      <w:r w:rsidR="00AA193A">
        <w:rPr>
          <w:rFonts w:ascii="Arial" w:eastAsia="Arial" w:hAnsi="Arial" w:cs="Arial"/>
          <w:sz w:val="24"/>
          <w:szCs w:val="24"/>
        </w:rPr>
        <w:t>utoridades demandadas para que produjeran sus contestaciones respectivas.</w:t>
      </w:r>
    </w:p>
    <w:p w14:paraId="101877E0" w14:textId="0ADD0969" w:rsidR="00572144" w:rsidRDefault="00AA193A" w:rsidP="004D7165">
      <w:pPr>
        <w:spacing w:before="240" w:after="0" w:line="360" w:lineRule="auto"/>
        <w:ind w:firstLine="567"/>
        <w:jc w:val="both"/>
        <w:rPr>
          <w:rFonts w:ascii="Arial" w:eastAsia="Arial" w:hAnsi="Arial" w:cs="Arial"/>
          <w:sz w:val="24"/>
          <w:szCs w:val="24"/>
        </w:rPr>
      </w:pPr>
      <w:r w:rsidRPr="00572144">
        <w:rPr>
          <w:rFonts w:ascii="Arial" w:eastAsia="Arial" w:hAnsi="Arial" w:cs="Arial"/>
          <w:b/>
          <w:sz w:val="24"/>
          <w:szCs w:val="24"/>
        </w:rPr>
        <w:t>QUINTO.</w:t>
      </w:r>
      <w:r>
        <w:rPr>
          <w:rFonts w:ascii="Arial" w:eastAsia="Arial" w:hAnsi="Arial" w:cs="Arial"/>
          <w:sz w:val="24"/>
          <w:szCs w:val="24"/>
        </w:rPr>
        <w:t xml:space="preserve"> </w:t>
      </w:r>
      <w:r w:rsidR="00020F84">
        <w:rPr>
          <w:rFonts w:ascii="Arial" w:eastAsia="Arial" w:hAnsi="Arial" w:cs="Arial"/>
          <w:sz w:val="24"/>
          <w:szCs w:val="24"/>
        </w:rPr>
        <w:t>Mediante oficios sin número</w:t>
      </w:r>
      <w:r w:rsidR="00264910">
        <w:rPr>
          <w:rFonts w:ascii="Arial" w:eastAsia="Arial" w:hAnsi="Arial" w:cs="Arial"/>
          <w:sz w:val="24"/>
          <w:szCs w:val="24"/>
        </w:rPr>
        <w:t>,</w:t>
      </w:r>
      <w:r w:rsidR="00020F84">
        <w:rPr>
          <w:rFonts w:ascii="Arial" w:eastAsia="Arial" w:hAnsi="Arial" w:cs="Arial"/>
          <w:sz w:val="24"/>
          <w:szCs w:val="24"/>
        </w:rPr>
        <w:t xml:space="preserve"> el Inspector Municipal adscrito a la Subdirección de Regulación de la Actividad Empresarial</w:t>
      </w:r>
      <w:r w:rsidR="00264910">
        <w:rPr>
          <w:rFonts w:ascii="Arial" w:eastAsia="Arial" w:hAnsi="Arial" w:cs="Arial"/>
          <w:sz w:val="24"/>
          <w:szCs w:val="24"/>
        </w:rPr>
        <w:t xml:space="preserve">, la Subdirectora de Ingresos, el Subdirector de Regulación de la Actividad Empresarial, la Regidora de Salud, Sanidad y Asistencia Social, </w:t>
      </w:r>
      <w:r w:rsidR="002B1DCF">
        <w:rPr>
          <w:rFonts w:ascii="Arial" w:eastAsia="Arial" w:hAnsi="Arial" w:cs="Arial"/>
          <w:sz w:val="24"/>
          <w:szCs w:val="24"/>
        </w:rPr>
        <w:t xml:space="preserve">el Director de Gobierno, </w:t>
      </w:r>
      <w:r w:rsidR="00264910">
        <w:rPr>
          <w:rFonts w:ascii="Arial" w:eastAsia="Arial" w:hAnsi="Arial" w:cs="Arial"/>
          <w:sz w:val="24"/>
          <w:szCs w:val="24"/>
        </w:rPr>
        <w:t xml:space="preserve">todas </w:t>
      </w:r>
      <w:r w:rsidR="00020F84">
        <w:rPr>
          <w:rFonts w:ascii="Arial" w:eastAsia="Arial" w:hAnsi="Arial" w:cs="Arial"/>
          <w:sz w:val="24"/>
          <w:szCs w:val="24"/>
        </w:rPr>
        <w:t>del Municipio de Oaxaca de Juárez</w:t>
      </w:r>
      <w:r w:rsidR="002B1DCF">
        <w:rPr>
          <w:rFonts w:ascii="Arial" w:eastAsia="Arial" w:hAnsi="Arial" w:cs="Arial"/>
          <w:sz w:val="24"/>
          <w:szCs w:val="24"/>
        </w:rPr>
        <w:t xml:space="preserve">, produjeron sus contestaciones de demanda, mismas que se admitieron por autos de trece de enero y once de marzo, ambos de dos mil veinte, excepto por lo que hace al Director de Gobierno, </w:t>
      </w:r>
      <w:r w:rsidR="00FD0077">
        <w:rPr>
          <w:rFonts w:ascii="Arial" w:eastAsia="Arial" w:hAnsi="Arial" w:cs="Arial"/>
          <w:sz w:val="24"/>
          <w:szCs w:val="24"/>
        </w:rPr>
        <w:t>que en el último de los proveídos se desechó por extemporánea.</w:t>
      </w:r>
    </w:p>
    <w:p w14:paraId="00000017" w14:textId="05397F2E" w:rsidR="001540EC" w:rsidRDefault="00572144" w:rsidP="004D7165">
      <w:pPr>
        <w:spacing w:before="240" w:after="0" w:line="360" w:lineRule="auto"/>
        <w:ind w:firstLine="567"/>
        <w:jc w:val="both"/>
        <w:rPr>
          <w:rFonts w:ascii="Arial" w:eastAsia="Arial" w:hAnsi="Arial" w:cs="Arial"/>
          <w:sz w:val="24"/>
          <w:szCs w:val="24"/>
        </w:rPr>
      </w:pPr>
      <w:r w:rsidRPr="00572144">
        <w:rPr>
          <w:rFonts w:ascii="Arial" w:eastAsia="Arial" w:hAnsi="Arial" w:cs="Arial"/>
          <w:b/>
          <w:sz w:val="24"/>
          <w:szCs w:val="24"/>
        </w:rPr>
        <w:t>SEXTO.</w:t>
      </w:r>
      <w:r>
        <w:rPr>
          <w:rFonts w:ascii="Arial" w:eastAsia="Arial" w:hAnsi="Arial" w:cs="Arial"/>
          <w:sz w:val="24"/>
          <w:szCs w:val="24"/>
        </w:rPr>
        <w:t xml:space="preserve"> </w:t>
      </w:r>
      <w:r w:rsidR="00BE3F92" w:rsidRPr="008F57A3">
        <w:rPr>
          <w:rFonts w:ascii="Arial" w:eastAsia="Arial" w:hAnsi="Arial" w:cs="Arial"/>
          <w:sz w:val="24"/>
          <w:szCs w:val="24"/>
        </w:rPr>
        <w:t>Finalmente</w:t>
      </w:r>
      <w:r w:rsidR="00BE3F92">
        <w:rPr>
          <w:rFonts w:ascii="Arial" w:eastAsia="Arial" w:hAnsi="Arial" w:cs="Arial"/>
          <w:sz w:val="24"/>
          <w:szCs w:val="24"/>
        </w:rPr>
        <w:t xml:space="preserve">, el </w:t>
      </w:r>
      <w:r w:rsidR="001A1712">
        <w:rPr>
          <w:rFonts w:ascii="Arial" w:eastAsia="Arial" w:hAnsi="Arial" w:cs="Arial"/>
          <w:sz w:val="24"/>
          <w:szCs w:val="24"/>
        </w:rPr>
        <w:t>veintinueve de noviembre de dos mil veintiuno</w:t>
      </w:r>
      <w:r w:rsidR="00642145">
        <w:rPr>
          <w:rFonts w:ascii="Arial" w:eastAsia="Arial" w:hAnsi="Arial" w:cs="Arial"/>
          <w:sz w:val="24"/>
          <w:szCs w:val="24"/>
        </w:rPr>
        <w:t xml:space="preserve">, se </w:t>
      </w:r>
      <w:r w:rsidR="00854C60">
        <w:rPr>
          <w:rFonts w:ascii="Arial" w:eastAsia="Arial" w:hAnsi="Arial" w:cs="Arial"/>
          <w:sz w:val="24"/>
          <w:szCs w:val="24"/>
        </w:rPr>
        <w:t xml:space="preserve">llevó acabo la </w:t>
      </w:r>
      <w:r w:rsidR="00BA2EA7">
        <w:rPr>
          <w:rFonts w:ascii="Arial" w:eastAsia="Arial" w:hAnsi="Arial" w:cs="Arial"/>
          <w:sz w:val="24"/>
          <w:szCs w:val="24"/>
        </w:rPr>
        <w:t>audiencia final</w:t>
      </w:r>
      <w:r w:rsidR="00835562">
        <w:rPr>
          <w:rFonts w:ascii="Arial" w:eastAsia="Arial" w:hAnsi="Arial" w:cs="Arial"/>
          <w:sz w:val="24"/>
          <w:szCs w:val="24"/>
        </w:rPr>
        <w:t>.</w:t>
      </w:r>
    </w:p>
    <w:p w14:paraId="1D010FAD" w14:textId="4CC31EF0" w:rsidR="00B853A5" w:rsidRDefault="00BE3F92" w:rsidP="004D7165">
      <w:pPr>
        <w:pBdr>
          <w:top w:val="nil"/>
          <w:left w:val="nil"/>
          <w:bottom w:val="nil"/>
          <w:right w:val="nil"/>
          <w:between w:val="nil"/>
        </w:pBdr>
        <w:tabs>
          <w:tab w:val="center" w:pos="4419"/>
          <w:tab w:val="right" w:pos="8838"/>
        </w:tabs>
        <w:spacing w:before="240" w:after="0" w:line="36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2F78A4A9" w:rsidR="001540EC" w:rsidRPr="00FF4C4F" w:rsidRDefault="00BE3F92" w:rsidP="004D7165">
      <w:pPr>
        <w:spacing w:before="240" w:after="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w:t>
      </w:r>
      <w:r w:rsidR="000F1B4C">
        <w:rPr>
          <w:rFonts w:ascii="Arial" w:eastAsia="Arial" w:hAnsi="Arial" w:cs="Arial"/>
          <w:color w:val="000000"/>
          <w:sz w:val="24"/>
          <w:szCs w:val="24"/>
        </w:rPr>
        <w:t xml:space="preserve"> 4 fracción VIII, 33, 35 fraccio</w:t>
      </w:r>
      <w:r>
        <w:rPr>
          <w:rFonts w:ascii="Arial" w:eastAsia="Arial" w:hAnsi="Arial" w:cs="Arial"/>
          <w:color w:val="000000"/>
          <w:sz w:val="24"/>
          <w:szCs w:val="24"/>
        </w:rPr>
        <w:t>n</w:t>
      </w:r>
      <w:r w:rsidR="000F1B4C">
        <w:rPr>
          <w:rFonts w:ascii="Arial" w:eastAsia="Arial" w:hAnsi="Arial" w:cs="Arial"/>
          <w:color w:val="000000"/>
          <w:sz w:val="24"/>
          <w:szCs w:val="24"/>
        </w:rPr>
        <w:t>es</w:t>
      </w:r>
      <w:r>
        <w:rPr>
          <w:rFonts w:ascii="Arial" w:eastAsia="Arial" w:hAnsi="Arial" w:cs="Arial"/>
          <w:color w:val="000000"/>
          <w:sz w:val="24"/>
          <w:szCs w:val="24"/>
        </w:rPr>
        <w:t xml:space="preserve"> I</w:t>
      </w:r>
      <w:r w:rsidR="000F1B4C">
        <w:rPr>
          <w:rFonts w:ascii="Arial" w:eastAsia="Arial" w:hAnsi="Arial" w:cs="Arial"/>
          <w:color w:val="000000"/>
          <w:sz w:val="24"/>
          <w:szCs w:val="24"/>
        </w:rPr>
        <w:t xml:space="preserve"> y II, y 36 fraccio</w:t>
      </w:r>
      <w:r>
        <w:rPr>
          <w:rFonts w:ascii="Arial" w:eastAsia="Arial" w:hAnsi="Arial" w:cs="Arial"/>
          <w:color w:val="000000"/>
          <w:sz w:val="24"/>
          <w:szCs w:val="24"/>
        </w:rPr>
        <w:t>n</w:t>
      </w:r>
      <w:r w:rsidR="000F1B4C">
        <w:rPr>
          <w:rFonts w:ascii="Arial" w:eastAsia="Arial" w:hAnsi="Arial" w:cs="Arial"/>
          <w:color w:val="000000"/>
          <w:sz w:val="24"/>
          <w:szCs w:val="24"/>
        </w:rPr>
        <w:t>es</w:t>
      </w:r>
      <w:r>
        <w:rPr>
          <w:rFonts w:ascii="Arial" w:eastAsia="Arial" w:hAnsi="Arial" w:cs="Arial"/>
          <w:color w:val="000000"/>
          <w:sz w:val="24"/>
          <w:szCs w:val="24"/>
        </w:rPr>
        <w:t xml:space="preserve"> I</w:t>
      </w:r>
      <w:r w:rsidR="000F1B4C">
        <w:rPr>
          <w:rFonts w:ascii="Arial" w:eastAsia="Arial" w:hAnsi="Arial" w:cs="Arial"/>
          <w:color w:val="000000"/>
          <w:sz w:val="24"/>
          <w:szCs w:val="24"/>
        </w:rPr>
        <w:t xml:space="preserve"> y II</w:t>
      </w:r>
      <w:r>
        <w:rPr>
          <w:rFonts w:ascii="Arial" w:eastAsia="Arial" w:hAnsi="Arial" w:cs="Arial"/>
          <w:color w:val="000000"/>
          <w:sz w:val="24"/>
          <w:szCs w:val="24"/>
        </w:rPr>
        <w:t xml:space="preserve"> de la Ley Orgánica del Tribunal de Justicia Administrativa del Estado de Oaxaca, publicada en el Periódico Oficial del Estado de Oaxaca, el siete de noviembre de dos mil diecinueve; así </w:t>
      </w:r>
      <w:r>
        <w:rPr>
          <w:rFonts w:ascii="Arial" w:eastAsia="Arial" w:hAnsi="Arial" w:cs="Arial"/>
          <w:color w:val="000000"/>
          <w:sz w:val="24"/>
          <w:szCs w:val="24"/>
        </w:rPr>
        <w:lastRenderedPageBreak/>
        <w:t xml:space="preserve">como los diversos </w:t>
      </w:r>
      <w:r w:rsidR="00FF4C4F" w:rsidRPr="00DD0F0D">
        <w:rPr>
          <w:rFonts w:ascii="Arial" w:hAnsi="Arial" w:cs="Arial"/>
          <w:color w:val="000000"/>
          <w:sz w:val="24"/>
          <w:szCs w:val="26"/>
        </w:rPr>
        <w:t>118, 119, 120 fracción I y 133 fracción I de la Ley de Procedimiento y Justicia Administrativa para el Estado de Oaxaca</w:t>
      </w:r>
      <w:r>
        <w:rPr>
          <w:rFonts w:ascii="Arial" w:eastAsia="Arial" w:hAnsi="Arial" w:cs="Arial"/>
          <w:sz w:val="24"/>
          <w:szCs w:val="24"/>
        </w:rPr>
        <w:t>.</w:t>
      </w:r>
    </w:p>
    <w:p w14:paraId="58DA8BCC" w14:textId="77777777" w:rsidR="00074697" w:rsidRDefault="00BE3F92" w:rsidP="004D7165">
      <w:pPr>
        <w:tabs>
          <w:tab w:val="left" w:pos="6946"/>
        </w:tabs>
        <w:spacing w:before="240" w:after="0" w:line="360" w:lineRule="auto"/>
        <w:ind w:right="-93" w:firstLine="567"/>
        <w:jc w:val="both"/>
        <w:rPr>
          <w:rFonts w:ascii="Arial" w:hAnsi="Arial" w:cs="Arial"/>
          <w:bCs/>
          <w:sz w:val="24"/>
          <w:szCs w:val="26"/>
        </w:rPr>
      </w:pPr>
      <w:r>
        <w:rPr>
          <w:rFonts w:ascii="Arial" w:eastAsia="Arial" w:hAnsi="Arial" w:cs="Arial"/>
          <w:b/>
          <w:sz w:val="24"/>
          <w:szCs w:val="24"/>
        </w:rPr>
        <w:t xml:space="preserve">SEGUNDO. Personalidad. </w:t>
      </w:r>
      <w:r w:rsidR="00BA2EA7" w:rsidRPr="00BA2EA7">
        <w:rPr>
          <w:rFonts w:ascii="Arial" w:hAnsi="Arial" w:cs="Arial"/>
          <w:bCs/>
          <w:sz w:val="24"/>
          <w:szCs w:val="26"/>
        </w:rPr>
        <w:t>La personalidad de las partes quedó acreditada en autos en términos de los artículos 148 y 151 de la Ley de Procedimiento y Justicia Administrativa para el Estado de Oaxaca.</w:t>
      </w:r>
    </w:p>
    <w:p w14:paraId="5D72B24C" w14:textId="74DB8727" w:rsidR="00550087" w:rsidRPr="00F11E33" w:rsidRDefault="00BE3F92" w:rsidP="004D7165">
      <w:pPr>
        <w:spacing w:before="240" w:after="0" w:line="360" w:lineRule="auto"/>
        <w:ind w:firstLine="567"/>
        <w:jc w:val="both"/>
        <w:rPr>
          <w:rFonts w:ascii="Arial" w:eastAsia="Times New Roman" w:hAnsi="Arial" w:cs="Arial"/>
          <w:sz w:val="24"/>
          <w:szCs w:val="24"/>
          <w:lang w:val="es-ES_tradnl" w:eastAsia="es-ES"/>
        </w:rPr>
      </w:pPr>
      <w:r w:rsidRPr="00F11E33">
        <w:rPr>
          <w:rFonts w:ascii="Arial" w:eastAsia="Arial" w:hAnsi="Arial" w:cs="Arial"/>
          <w:b/>
          <w:sz w:val="24"/>
          <w:szCs w:val="24"/>
        </w:rPr>
        <w:t xml:space="preserve">TERCERO. </w:t>
      </w:r>
      <w:r w:rsidR="00550087" w:rsidRPr="00F11E33">
        <w:rPr>
          <w:rFonts w:ascii="Arial" w:eastAsia="Arial" w:hAnsi="Arial" w:cs="Arial"/>
          <w:b/>
          <w:sz w:val="24"/>
          <w:szCs w:val="24"/>
        </w:rPr>
        <w:t>Acreditación del acto impugnado.</w:t>
      </w:r>
      <w:r w:rsidR="00F11E33" w:rsidRPr="00F11E33">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w:t>
      </w:r>
      <w:r w:rsidR="0087243F">
        <w:rPr>
          <w:rFonts w:ascii="Arial" w:eastAsia="Times New Roman" w:hAnsi="Arial" w:cs="Arial"/>
          <w:sz w:val="24"/>
          <w:szCs w:val="24"/>
          <w:lang w:val="es-ES_tradnl" w:eastAsia="es-ES"/>
        </w:rPr>
        <w:t>toria en términos del artículo 147</w:t>
      </w:r>
      <w:r w:rsidR="00F11E33" w:rsidRPr="00F11E33">
        <w:rPr>
          <w:rFonts w:ascii="Arial" w:eastAsia="Times New Roman" w:hAnsi="Arial" w:cs="Arial"/>
          <w:sz w:val="24"/>
          <w:szCs w:val="24"/>
          <w:lang w:val="es-ES_tradnl" w:eastAsia="es-ES"/>
        </w:rPr>
        <w:t xml:space="preserve"> de la Ley de Procedimiento y Justicia Administrativa para el Estado de Oaxaca, con la exhibición </w:t>
      </w:r>
      <w:r w:rsidR="0087243F">
        <w:rPr>
          <w:rFonts w:ascii="Arial" w:eastAsia="Times New Roman" w:hAnsi="Arial" w:cs="Arial"/>
          <w:sz w:val="24"/>
          <w:szCs w:val="24"/>
          <w:lang w:val="es-ES_tradnl" w:eastAsia="es-ES"/>
        </w:rPr>
        <w:t xml:space="preserve">que hizo la accionante </w:t>
      </w:r>
      <w:r w:rsidR="00F11E33" w:rsidRPr="00F11E33">
        <w:rPr>
          <w:rFonts w:ascii="Arial" w:eastAsia="Times New Roman" w:hAnsi="Arial" w:cs="Arial"/>
          <w:sz w:val="24"/>
          <w:szCs w:val="24"/>
          <w:lang w:val="es-ES_tradnl" w:eastAsia="es-ES"/>
        </w:rPr>
        <w:t>del oficio</w:t>
      </w:r>
      <w:r w:rsidR="00804444">
        <w:rPr>
          <w:rFonts w:ascii="Arial" w:eastAsia="Times New Roman" w:hAnsi="Arial" w:cs="Arial"/>
          <w:sz w:val="24"/>
          <w:szCs w:val="24"/>
          <w:lang w:val="es-ES_tradnl" w:eastAsia="es-ES"/>
        </w:rPr>
        <w:t xml:space="preserve"> que la contiene,</w:t>
      </w:r>
      <w:r w:rsidR="0087243F">
        <w:rPr>
          <w:rFonts w:ascii="Arial" w:eastAsia="Times New Roman" w:hAnsi="Arial" w:cs="Arial"/>
          <w:sz w:val="24"/>
          <w:szCs w:val="24"/>
          <w:lang w:val="es-ES_tradnl" w:eastAsia="es-ES"/>
        </w:rPr>
        <w:t xml:space="preserve"> y</w:t>
      </w:r>
      <w:r w:rsidR="00804444">
        <w:rPr>
          <w:rFonts w:ascii="Arial" w:eastAsia="Times New Roman" w:hAnsi="Arial" w:cs="Arial"/>
          <w:sz w:val="24"/>
          <w:szCs w:val="24"/>
          <w:lang w:val="es-ES_tradnl" w:eastAsia="es-ES"/>
        </w:rPr>
        <w:t xml:space="preserve"> </w:t>
      </w:r>
      <w:r w:rsidR="00F11E33" w:rsidRPr="00F11E33">
        <w:rPr>
          <w:rFonts w:ascii="Arial" w:eastAsia="Times New Roman" w:hAnsi="Arial" w:cs="Arial"/>
          <w:sz w:val="24"/>
          <w:szCs w:val="24"/>
          <w:lang w:val="es-ES_tradnl" w:eastAsia="es-ES"/>
        </w:rPr>
        <w:t>el reconocimiento de su emisión</w:t>
      </w:r>
      <w:r w:rsidR="0087243F">
        <w:rPr>
          <w:rFonts w:ascii="Arial" w:eastAsia="Times New Roman" w:hAnsi="Arial" w:cs="Arial"/>
          <w:sz w:val="24"/>
          <w:szCs w:val="24"/>
          <w:lang w:val="es-ES_tradnl" w:eastAsia="es-ES"/>
        </w:rPr>
        <w:t xml:space="preserve"> por parte de la demandada</w:t>
      </w:r>
      <w:r w:rsidR="00F11E33" w:rsidRPr="00F11E33">
        <w:rPr>
          <w:rFonts w:ascii="Arial" w:eastAsia="Times New Roman" w:hAnsi="Arial" w:cs="Arial"/>
          <w:sz w:val="24"/>
          <w:szCs w:val="24"/>
          <w:lang w:val="es-ES_tradnl" w:eastAsia="es-ES"/>
        </w:rPr>
        <w:t>.</w:t>
      </w:r>
    </w:p>
    <w:p w14:paraId="0000001B" w14:textId="0F99F624" w:rsidR="001540EC" w:rsidRDefault="008C786E"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BE3F92">
        <w:rPr>
          <w:rFonts w:ascii="Arial" w:eastAsia="Arial" w:hAnsi="Arial" w:cs="Arial"/>
          <w:b/>
          <w:sz w:val="24"/>
          <w:szCs w:val="24"/>
        </w:rPr>
        <w:t>Causales de</w:t>
      </w:r>
      <w:r w:rsidR="00BE3F92">
        <w:rPr>
          <w:rFonts w:ascii="Arial" w:eastAsia="Arial" w:hAnsi="Arial" w:cs="Arial"/>
          <w:sz w:val="24"/>
          <w:szCs w:val="24"/>
        </w:rPr>
        <w:t xml:space="preserve"> </w:t>
      </w:r>
      <w:r w:rsidR="00BE3F92">
        <w:rPr>
          <w:rFonts w:ascii="Arial" w:eastAsia="Arial" w:hAnsi="Arial" w:cs="Arial"/>
          <w:b/>
          <w:sz w:val="24"/>
          <w:szCs w:val="24"/>
        </w:rPr>
        <w:t xml:space="preserve">improcedencia y sobreseimiento. </w:t>
      </w:r>
      <w:r w:rsidR="00DE17F5" w:rsidRPr="00DE17F5">
        <w:rPr>
          <w:rFonts w:ascii="Arial" w:eastAsia="Arial" w:hAnsi="Arial" w:cs="Arial"/>
          <w:sz w:val="24"/>
          <w:szCs w:val="24"/>
        </w:rPr>
        <w:t>L</w:t>
      </w:r>
      <w:r w:rsidR="00BE3F92">
        <w:rPr>
          <w:rFonts w:ascii="Arial" w:eastAsia="Arial" w:hAnsi="Arial" w:cs="Arial"/>
          <w:sz w:val="24"/>
          <w:szCs w:val="24"/>
        </w:rPr>
        <w:t>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BE3F92">
        <w:rPr>
          <w:rFonts w:ascii="Arial" w:eastAsia="Arial" w:hAnsi="Arial" w:cs="Arial"/>
          <w:sz w:val="24"/>
          <w:szCs w:val="24"/>
          <w:vertAlign w:val="superscript"/>
        </w:rPr>
        <w:footnoteReference w:id="1"/>
      </w:r>
      <w:r w:rsidR="00BE3F92">
        <w:rPr>
          <w:rFonts w:ascii="Arial" w:eastAsia="Arial" w:hAnsi="Arial" w:cs="Arial"/>
          <w:sz w:val="24"/>
          <w:szCs w:val="24"/>
        </w:rPr>
        <w:t>, es el deber de las autoridades ajustarse a los mecanismos jurídicos establecidos por el legislador para el ejercicio de jurisdicción.</w:t>
      </w:r>
    </w:p>
    <w:p w14:paraId="0000001C" w14:textId="531214D8" w:rsidR="001540EC" w:rsidRDefault="00BE3F92"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w:t>
      </w:r>
      <w:r w:rsidR="00DE17F5">
        <w:rPr>
          <w:rFonts w:ascii="Arial" w:eastAsia="Arial" w:hAnsi="Arial" w:cs="Arial"/>
          <w:sz w:val="24"/>
          <w:szCs w:val="24"/>
        </w:rPr>
        <w:t>son de estudio preferente</w:t>
      </w:r>
      <w:r>
        <w:rPr>
          <w:rFonts w:ascii="Arial" w:eastAsia="Arial" w:hAnsi="Arial" w:cs="Arial"/>
          <w:sz w:val="24"/>
          <w:szCs w:val="24"/>
        </w:rPr>
        <w:t>, ya que, de actualizarse las hipótesis normativas, ello impide la resolución de fondo del asunto y deberá decretarse su sobreseimiento,</w:t>
      </w:r>
      <w:r w:rsidR="00780887">
        <w:rPr>
          <w:rFonts w:ascii="Arial" w:eastAsia="Arial" w:hAnsi="Arial" w:cs="Arial"/>
          <w:sz w:val="24"/>
          <w:szCs w:val="24"/>
        </w:rPr>
        <w:t xml:space="preserve"> en términos de los artículos 161 y 16</w:t>
      </w:r>
      <w:r>
        <w:rPr>
          <w:rFonts w:ascii="Arial" w:eastAsia="Arial" w:hAnsi="Arial" w:cs="Arial"/>
          <w:sz w:val="24"/>
          <w:szCs w:val="24"/>
        </w:rPr>
        <w:t>2, de la Ley de la materia.</w:t>
      </w:r>
    </w:p>
    <w:p w14:paraId="19F5FA08" w14:textId="0E1A1DA9" w:rsidR="00A078E5" w:rsidRDefault="00A078E5"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Así tenemos que la</w:t>
      </w:r>
      <w:r w:rsidR="0087191C">
        <w:rPr>
          <w:rFonts w:ascii="Arial" w:eastAsia="Arial" w:hAnsi="Arial" w:cs="Arial"/>
          <w:sz w:val="24"/>
          <w:szCs w:val="24"/>
        </w:rPr>
        <w:t>s</w:t>
      </w:r>
      <w:r>
        <w:rPr>
          <w:rFonts w:ascii="Arial" w:eastAsia="Arial" w:hAnsi="Arial" w:cs="Arial"/>
          <w:sz w:val="24"/>
          <w:szCs w:val="24"/>
        </w:rPr>
        <w:t xml:space="preserve"> autoridad</w:t>
      </w:r>
      <w:r w:rsidR="0087191C">
        <w:rPr>
          <w:rFonts w:ascii="Arial" w:eastAsia="Arial" w:hAnsi="Arial" w:cs="Arial"/>
          <w:sz w:val="24"/>
          <w:szCs w:val="24"/>
        </w:rPr>
        <w:t>es</w:t>
      </w:r>
      <w:r>
        <w:rPr>
          <w:rFonts w:ascii="Arial" w:eastAsia="Arial" w:hAnsi="Arial" w:cs="Arial"/>
          <w:sz w:val="24"/>
          <w:szCs w:val="24"/>
        </w:rPr>
        <w:t xml:space="preserve"> demandada</w:t>
      </w:r>
      <w:r w:rsidR="0087191C">
        <w:rPr>
          <w:rFonts w:ascii="Arial" w:eastAsia="Arial" w:hAnsi="Arial" w:cs="Arial"/>
          <w:sz w:val="24"/>
          <w:szCs w:val="24"/>
        </w:rPr>
        <w:t>s</w:t>
      </w:r>
      <w:r>
        <w:rPr>
          <w:rFonts w:ascii="Arial" w:eastAsia="Arial" w:hAnsi="Arial" w:cs="Arial"/>
          <w:sz w:val="24"/>
          <w:szCs w:val="24"/>
        </w:rPr>
        <w:t xml:space="preserve"> en su</w:t>
      </w:r>
      <w:r w:rsidR="0087191C">
        <w:rPr>
          <w:rFonts w:ascii="Arial" w:eastAsia="Arial" w:hAnsi="Arial" w:cs="Arial"/>
          <w:sz w:val="24"/>
          <w:szCs w:val="24"/>
        </w:rPr>
        <w:t>s</w:t>
      </w:r>
      <w:r>
        <w:rPr>
          <w:rFonts w:ascii="Arial" w:eastAsia="Arial" w:hAnsi="Arial" w:cs="Arial"/>
          <w:sz w:val="24"/>
          <w:szCs w:val="24"/>
        </w:rPr>
        <w:t xml:space="preserve"> oficio</w:t>
      </w:r>
      <w:r w:rsidR="0087191C">
        <w:rPr>
          <w:rFonts w:ascii="Arial" w:eastAsia="Arial" w:hAnsi="Arial" w:cs="Arial"/>
          <w:sz w:val="24"/>
          <w:szCs w:val="24"/>
        </w:rPr>
        <w:t>s</w:t>
      </w:r>
      <w:r>
        <w:rPr>
          <w:rFonts w:ascii="Arial" w:eastAsia="Arial" w:hAnsi="Arial" w:cs="Arial"/>
          <w:sz w:val="24"/>
          <w:szCs w:val="24"/>
        </w:rPr>
        <w:t xml:space="preserve"> de contestación refiere</w:t>
      </w:r>
      <w:r w:rsidR="0087191C">
        <w:rPr>
          <w:rFonts w:ascii="Arial" w:eastAsia="Arial" w:hAnsi="Arial" w:cs="Arial"/>
          <w:sz w:val="24"/>
          <w:szCs w:val="24"/>
        </w:rPr>
        <w:t>n</w:t>
      </w:r>
      <w:r>
        <w:rPr>
          <w:rFonts w:ascii="Arial" w:eastAsia="Arial" w:hAnsi="Arial" w:cs="Arial"/>
          <w:sz w:val="24"/>
          <w:szCs w:val="24"/>
        </w:rPr>
        <w:t xml:space="preserve"> que no se afecta el interés jurídico del actor, ya que</w:t>
      </w:r>
      <w:r w:rsidR="0087191C">
        <w:rPr>
          <w:rFonts w:ascii="Arial" w:eastAsia="Arial" w:hAnsi="Arial" w:cs="Arial"/>
          <w:sz w:val="24"/>
          <w:szCs w:val="24"/>
        </w:rPr>
        <w:t xml:space="preserve"> no exhibe los documentos que acrediten su legal operación, como lo señala la Jurisprudencia de rubro: “</w:t>
      </w:r>
      <w:r w:rsidR="0087191C" w:rsidRPr="0087191C">
        <w:rPr>
          <w:rFonts w:ascii="Arial" w:eastAsia="Arial" w:hAnsi="Arial" w:cs="Arial"/>
          <w:i/>
          <w:sz w:val="24"/>
          <w:szCs w:val="24"/>
        </w:rPr>
        <w:t xml:space="preserve">JUICIO CONTENCIOSO ADMINISTRATIVO. TRATÁNDOSE DE ACTIVIDADES REGLAMENTADAS, PARA QUE EL PARTICULAR IMPUGNE LAS VIOLACIONES QUE CON MOTIVO DE ELLAS </w:t>
      </w:r>
      <w:r w:rsidR="0087191C" w:rsidRPr="0087191C">
        <w:rPr>
          <w:rFonts w:ascii="Arial" w:eastAsia="Arial" w:hAnsi="Arial" w:cs="Arial"/>
          <w:i/>
          <w:sz w:val="24"/>
          <w:szCs w:val="24"/>
        </w:rPr>
        <w:lastRenderedPageBreak/>
        <w:t>RESIENTA, ES NECESARIO ACREDITAR NO SÓLO EL INTERÉS LEGÍTIMO SINO TAMBIÉN EL JURÍDICO Y EXHIBIR LA LICENCIA, PERMISO O MANIFESTACIÓN QUE SE EXIJA PARA REALIZAR AQUÉLLAS (LEGISLACIÓN DEL DISTRITO FEDERAL)</w:t>
      </w:r>
      <w:r>
        <w:rPr>
          <w:rFonts w:ascii="Arial" w:eastAsia="Arial" w:hAnsi="Arial" w:cs="Arial"/>
          <w:sz w:val="24"/>
          <w:szCs w:val="24"/>
        </w:rPr>
        <w:t>.</w:t>
      </w:r>
      <w:r w:rsidR="0087191C">
        <w:rPr>
          <w:rFonts w:ascii="Arial" w:eastAsia="Arial" w:hAnsi="Arial" w:cs="Arial"/>
          <w:sz w:val="24"/>
          <w:szCs w:val="24"/>
        </w:rPr>
        <w:t>”</w:t>
      </w:r>
    </w:p>
    <w:p w14:paraId="490430C7" w14:textId="521F477B" w:rsidR="00A078E5" w:rsidRDefault="00F01032"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 xml:space="preserve">Dándose el supuesto de improcedencia que </w:t>
      </w:r>
      <w:r w:rsidR="00A078E5">
        <w:rPr>
          <w:rFonts w:ascii="Arial" w:eastAsia="Arial" w:hAnsi="Arial" w:cs="Arial"/>
          <w:sz w:val="24"/>
          <w:szCs w:val="24"/>
        </w:rPr>
        <w:t>establece el artículo 161 de la Ley de Procedimiento y Justicia Administrativa para el Estado de Oaxaca, al establecer la fracción</w:t>
      </w:r>
      <w:r w:rsidR="009A6EA2">
        <w:rPr>
          <w:rFonts w:ascii="Arial" w:eastAsia="Arial" w:hAnsi="Arial" w:cs="Arial"/>
          <w:sz w:val="24"/>
          <w:szCs w:val="24"/>
        </w:rPr>
        <w:t xml:space="preserve"> II, que es improcedente el juicio ante el Tribunal contra actos que no afecten los intereses jurídicos o legítimos del actor</w:t>
      </w:r>
      <w:r w:rsidR="00BC7BF5">
        <w:rPr>
          <w:rFonts w:ascii="Arial" w:eastAsia="Arial" w:hAnsi="Arial" w:cs="Arial"/>
          <w:sz w:val="24"/>
          <w:szCs w:val="24"/>
        </w:rPr>
        <w:t>.</w:t>
      </w:r>
    </w:p>
    <w:p w14:paraId="14D4CE7D"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De este modo, es necesario precisar, en primer término, qué debe entenderse por interés jurídico, el cual puede ser definido como el derecho subjetivo conferido a favor de un particular, que se traduce en una facultad o potestad de exigencia, cuya institución consigna la norma objetiva de derecho. En este sentido, el interés jurídico supone la existencia de dos elementos, por un lado, la facultad de exigir conferida a favor del particular; y por el otro, la correlativa obligación de cumplir dicha exigencia por parte de otro particular (derecho subjetivo privado), o por parte de una autoridad (derecho subjetivo público).</w:t>
      </w:r>
    </w:p>
    <w:p w14:paraId="4302555F"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En efecto el interés jurídico, se traduce en la pretensión que se encuentra reconocida por las normas de derecho, que tienden a satisfacer las necesidades fundamentales de los individuos y que están referidos a la titularidad de los derechos afectados con el acto impugnado, de manera que sólo el sujeto de esos derechos puede ocurrir al juicio y no otra persona.</w:t>
      </w:r>
    </w:p>
    <w:p w14:paraId="4B91EDAF"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Así pues, la demostración del interés jurídico es una carga que pesa sobre la parte actora, quien debe acreditarla en forma indubitable, por lo que no puede ser inferido con base en presunciones.</w:t>
      </w:r>
    </w:p>
    <w:p w14:paraId="38583A0D"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En estas condiciones, podemos concluir que el interés jurídico para los efectos del juicio de nulidad, quedará comprobado si el acto impugnado fue dictado en contra del promovente, o bien, sin haber sido dictado en su contra, se pretende ejecutar o fue ejecutado sobre bienes que conforman su esfera jurídica, de ahí que el promovente debe demostrar que tiene interés jurídico ya sea porque el acto fue emitido a su nombre y la ley le concede el derecho para oponerse al mismo, o bien, de no haber sido emitido a su nombre demuestre que se ejecutó sobre su esfera jurídica.</w:t>
      </w:r>
    </w:p>
    <w:p w14:paraId="2BB7D8A5" w14:textId="33A5E001"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Siendo que en el caso, contrario a lo aducido por la</w:t>
      </w:r>
      <w:r w:rsidR="009656F0">
        <w:rPr>
          <w:rFonts w:ascii="Arial" w:eastAsia="Arial" w:hAnsi="Arial" w:cs="Arial"/>
          <w:sz w:val="24"/>
          <w:szCs w:val="24"/>
        </w:rPr>
        <w:t>s</w:t>
      </w:r>
      <w:r w:rsidRPr="000A49C0">
        <w:rPr>
          <w:rFonts w:ascii="Arial" w:eastAsia="Arial" w:hAnsi="Arial" w:cs="Arial"/>
          <w:sz w:val="24"/>
          <w:szCs w:val="24"/>
        </w:rPr>
        <w:t xml:space="preserve"> autoridad</w:t>
      </w:r>
      <w:r w:rsidR="009656F0">
        <w:rPr>
          <w:rFonts w:ascii="Arial" w:eastAsia="Arial" w:hAnsi="Arial" w:cs="Arial"/>
          <w:sz w:val="24"/>
          <w:szCs w:val="24"/>
        </w:rPr>
        <w:t>es</w:t>
      </w:r>
      <w:r w:rsidRPr="000A49C0">
        <w:rPr>
          <w:rFonts w:ascii="Arial" w:eastAsia="Arial" w:hAnsi="Arial" w:cs="Arial"/>
          <w:sz w:val="24"/>
          <w:szCs w:val="24"/>
        </w:rPr>
        <w:t xml:space="preserve"> con el acto que se impugna, sí se están afectado los intereses jurídicos del actor, en razón de que </w:t>
      </w:r>
      <w:r w:rsidR="00A70825">
        <w:rPr>
          <w:rFonts w:ascii="Arial" w:eastAsia="Arial" w:hAnsi="Arial" w:cs="Arial"/>
          <w:sz w:val="24"/>
          <w:szCs w:val="24"/>
        </w:rPr>
        <w:t xml:space="preserve">con la emisión del Acta de Infracción </w:t>
      </w:r>
      <w:r w:rsidR="00DD6DD6">
        <w:rPr>
          <w:rFonts w:ascii="Arial" w:eastAsia="Arial" w:hAnsi="Arial" w:cs="Arial"/>
          <w:sz w:val="24"/>
          <w:szCs w:val="24"/>
        </w:rPr>
        <w:t>**********</w:t>
      </w:r>
      <w:r w:rsidR="00A70825">
        <w:rPr>
          <w:rFonts w:ascii="Arial" w:eastAsia="Arial" w:hAnsi="Arial" w:cs="Arial"/>
          <w:sz w:val="24"/>
          <w:szCs w:val="24"/>
        </w:rPr>
        <w:t xml:space="preserve"> de dieciocho de octubre de dos mil dieciocho, el Inspector Adscrito a la Dirección de </w:t>
      </w:r>
      <w:r w:rsidR="00A70825">
        <w:rPr>
          <w:rFonts w:ascii="Arial" w:eastAsia="Arial" w:hAnsi="Arial" w:cs="Arial"/>
          <w:sz w:val="24"/>
          <w:szCs w:val="24"/>
        </w:rPr>
        <w:lastRenderedPageBreak/>
        <w:t>Normatividad y Control de Vía P</w:t>
      </w:r>
      <w:r w:rsidR="00F62D02">
        <w:rPr>
          <w:rFonts w:ascii="Arial" w:eastAsia="Arial" w:hAnsi="Arial" w:cs="Arial"/>
          <w:sz w:val="24"/>
          <w:szCs w:val="24"/>
        </w:rPr>
        <w:t>ública</w:t>
      </w:r>
      <w:r w:rsidR="00A70825">
        <w:rPr>
          <w:rFonts w:ascii="Arial" w:eastAsia="Arial" w:hAnsi="Arial" w:cs="Arial"/>
          <w:sz w:val="24"/>
          <w:szCs w:val="24"/>
        </w:rPr>
        <w:t>, impuso a la hoy actora una multa establecida en el artículo 86 fracción II del Re</w:t>
      </w:r>
      <w:r w:rsidR="00F62D02">
        <w:rPr>
          <w:rFonts w:ascii="Arial" w:eastAsia="Arial" w:hAnsi="Arial" w:cs="Arial"/>
          <w:sz w:val="24"/>
          <w:szCs w:val="24"/>
        </w:rPr>
        <w:t>gl</w:t>
      </w:r>
      <w:r w:rsidR="00A70825">
        <w:rPr>
          <w:rFonts w:ascii="Arial" w:eastAsia="Arial" w:hAnsi="Arial" w:cs="Arial"/>
          <w:sz w:val="24"/>
          <w:szCs w:val="24"/>
        </w:rPr>
        <w:t xml:space="preserve">amento para el Funcionamiento de Establecimientos Comerciales en el Municipio de Oaxaca de </w:t>
      </w:r>
      <w:r w:rsidR="00F62D02">
        <w:rPr>
          <w:rFonts w:ascii="Arial" w:eastAsia="Arial" w:hAnsi="Arial" w:cs="Arial"/>
          <w:sz w:val="24"/>
          <w:szCs w:val="24"/>
        </w:rPr>
        <w:t>Juárez</w:t>
      </w:r>
      <w:r w:rsidR="00A70825">
        <w:rPr>
          <w:rFonts w:ascii="Arial" w:eastAsia="Arial" w:hAnsi="Arial" w:cs="Arial"/>
          <w:sz w:val="24"/>
          <w:szCs w:val="24"/>
        </w:rPr>
        <w:t>, Oaxaca</w:t>
      </w:r>
      <w:r w:rsidR="001709C7">
        <w:rPr>
          <w:rFonts w:ascii="Arial" w:eastAsia="Arial" w:hAnsi="Arial" w:cs="Arial"/>
          <w:sz w:val="24"/>
          <w:szCs w:val="24"/>
        </w:rPr>
        <w:t>.</w:t>
      </w:r>
    </w:p>
    <w:p w14:paraId="7DAB15B9" w14:textId="6D2FF1E4" w:rsidR="009D0D7F" w:rsidRDefault="00260D48"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 xml:space="preserve">Creando </w:t>
      </w:r>
      <w:r w:rsidR="003C47B5">
        <w:rPr>
          <w:rFonts w:ascii="Arial" w:eastAsia="Arial" w:hAnsi="Arial" w:cs="Arial"/>
          <w:sz w:val="24"/>
          <w:szCs w:val="24"/>
        </w:rPr>
        <w:t>con su declaración unilateral de voluntad, externa y de carácter individual, una situación jurídica concreta</w:t>
      </w:r>
      <w:r w:rsidR="009D0D7F">
        <w:rPr>
          <w:rFonts w:ascii="Arial" w:eastAsia="Arial" w:hAnsi="Arial" w:cs="Arial"/>
          <w:sz w:val="24"/>
          <w:szCs w:val="24"/>
        </w:rPr>
        <w:t xml:space="preserve">; resultando en consecuencia un acto administrativo impugnable ante este Tribunal de conformidad con los artículos 2 fracción I y 133 fracción I, ambos de </w:t>
      </w:r>
      <w:r w:rsidR="009D0D7F" w:rsidRPr="009D0D7F">
        <w:rPr>
          <w:rFonts w:ascii="Arial" w:eastAsia="Arial" w:hAnsi="Arial" w:cs="Arial"/>
          <w:sz w:val="24"/>
          <w:szCs w:val="24"/>
        </w:rPr>
        <w:t>la Ley de Procedimiento y Justicia Administrativa para el Estado de Oaxaca</w:t>
      </w:r>
      <w:r w:rsidR="009D0D7F">
        <w:rPr>
          <w:rFonts w:ascii="Arial" w:eastAsia="Arial" w:hAnsi="Arial" w:cs="Arial"/>
          <w:sz w:val="24"/>
          <w:szCs w:val="24"/>
        </w:rPr>
        <w:t>.</w:t>
      </w:r>
    </w:p>
    <w:p w14:paraId="0C3FE133" w14:textId="56DFA18B" w:rsidR="00BE70CB" w:rsidRDefault="00BE70CB"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Sin que obste la jurisprudencia a la que hace</w:t>
      </w:r>
      <w:r w:rsidR="009656F0">
        <w:rPr>
          <w:rFonts w:ascii="Arial" w:eastAsia="Arial" w:hAnsi="Arial" w:cs="Arial"/>
          <w:sz w:val="24"/>
          <w:szCs w:val="24"/>
        </w:rPr>
        <w:t>n</w:t>
      </w:r>
      <w:r>
        <w:rPr>
          <w:rFonts w:ascii="Arial" w:eastAsia="Arial" w:hAnsi="Arial" w:cs="Arial"/>
          <w:sz w:val="24"/>
          <w:szCs w:val="24"/>
        </w:rPr>
        <w:t xml:space="preserve"> cita las demandadas, cuyos datos de identificación, rubro y contenido son del tenor siguiente:</w:t>
      </w:r>
    </w:p>
    <w:p w14:paraId="5C45372C" w14:textId="77777777" w:rsidR="009656F0" w:rsidRDefault="009656F0" w:rsidP="00BE70CB">
      <w:pPr>
        <w:shd w:val="clear" w:color="auto" w:fill="FFFFFF"/>
        <w:spacing w:after="0" w:line="240" w:lineRule="auto"/>
        <w:ind w:left="567" w:right="425"/>
        <w:rPr>
          <w:rFonts w:ascii="Arial" w:eastAsia="Times New Roman" w:hAnsi="Arial" w:cs="Arial"/>
          <w:b/>
          <w:bCs/>
          <w:color w:val="212529"/>
        </w:rPr>
      </w:pPr>
    </w:p>
    <w:p w14:paraId="599647F0" w14:textId="77777777" w:rsidR="00BE70CB" w:rsidRPr="00BE70CB" w:rsidRDefault="00BE70CB" w:rsidP="00BE70CB">
      <w:pPr>
        <w:shd w:val="clear" w:color="auto" w:fill="FFFFFF"/>
        <w:spacing w:after="0" w:line="240" w:lineRule="auto"/>
        <w:ind w:left="567" w:right="425"/>
        <w:rPr>
          <w:rFonts w:ascii="Arial" w:eastAsia="Times New Roman" w:hAnsi="Arial" w:cs="Arial"/>
          <w:color w:val="212529"/>
        </w:rPr>
      </w:pPr>
      <w:r w:rsidRPr="00BE70CB">
        <w:rPr>
          <w:rFonts w:ascii="Arial" w:eastAsia="Times New Roman" w:hAnsi="Arial" w:cs="Arial"/>
          <w:b/>
          <w:bCs/>
          <w:color w:val="212529"/>
        </w:rPr>
        <w:t>Registro digital: </w:t>
      </w:r>
      <w:r w:rsidRPr="00BE70CB">
        <w:rPr>
          <w:rFonts w:ascii="Arial" w:eastAsia="Times New Roman" w:hAnsi="Arial" w:cs="Arial"/>
          <w:color w:val="212529"/>
        </w:rPr>
        <w:t>172000</w:t>
      </w:r>
    </w:p>
    <w:p w14:paraId="7552A40A" w14:textId="77777777" w:rsidR="00BE70CB" w:rsidRPr="00BE70CB" w:rsidRDefault="00BE70CB" w:rsidP="00BE70CB">
      <w:pPr>
        <w:shd w:val="clear" w:color="auto" w:fill="FFFFFF"/>
        <w:spacing w:after="0" w:line="240" w:lineRule="auto"/>
        <w:ind w:left="567" w:right="425"/>
        <w:rPr>
          <w:rFonts w:ascii="Arial" w:eastAsia="Times New Roman" w:hAnsi="Arial" w:cs="Arial"/>
          <w:color w:val="212529"/>
        </w:rPr>
      </w:pPr>
      <w:r w:rsidRPr="00BE70CB">
        <w:rPr>
          <w:rFonts w:ascii="Arial" w:eastAsia="Times New Roman" w:hAnsi="Arial" w:cs="Arial"/>
          <w:b/>
          <w:bCs/>
          <w:color w:val="212529"/>
        </w:rPr>
        <w:t>Instancia: </w:t>
      </w:r>
      <w:r w:rsidRPr="00BE70CB">
        <w:rPr>
          <w:rFonts w:ascii="Arial" w:eastAsia="Times New Roman" w:hAnsi="Arial" w:cs="Arial"/>
          <w:color w:val="212529"/>
        </w:rPr>
        <w:t>Tribunales Colegiados de Circuito</w:t>
      </w:r>
    </w:p>
    <w:p w14:paraId="7E6C1C60" w14:textId="77777777" w:rsidR="00BE70CB" w:rsidRPr="00BE70CB" w:rsidRDefault="00BE70CB" w:rsidP="00BE70CB">
      <w:pPr>
        <w:shd w:val="clear" w:color="auto" w:fill="FFFFFF"/>
        <w:spacing w:after="0" w:line="240" w:lineRule="auto"/>
        <w:ind w:left="567" w:right="425"/>
        <w:rPr>
          <w:rFonts w:ascii="Arial" w:eastAsia="Times New Roman" w:hAnsi="Arial" w:cs="Arial"/>
          <w:color w:val="212529"/>
        </w:rPr>
      </w:pPr>
      <w:r w:rsidRPr="00BE70CB">
        <w:rPr>
          <w:rFonts w:ascii="Arial" w:eastAsia="Times New Roman" w:hAnsi="Arial" w:cs="Arial"/>
          <w:b/>
          <w:bCs/>
          <w:color w:val="212529"/>
        </w:rPr>
        <w:t>Novena Época</w:t>
      </w:r>
    </w:p>
    <w:p w14:paraId="14897BC0" w14:textId="77777777" w:rsidR="00BE70CB" w:rsidRPr="00BE70CB" w:rsidRDefault="00BE70CB" w:rsidP="00BE70CB">
      <w:pPr>
        <w:shd w:val="clear" w:color="auto" w:fill="FFFFFF"/>
        <w:spacing w:after="0" w:line="240" w:lineRule="auto"/>
        <w:ind w:left="567" w:right="425"/>
        <w:rPr>
          <w:rFonts w:ascii="Arial" w:eastAsia="Times New Roman" w:hAnsi="Arial" w:cs="Arial"/>
          <w:color w:val="212529"/>
        </w:rPr>
      </w:pPr>
      <w:r w:rsidRPr="00BE70CB">
        <w:rPr>
          <w:rFonts w:ascii="Arial" w:eastAsia="Times New Roman" w:hAnsi="Arial" w:cs="Arial"/>
          <w:b/>
          <w:bCs/>
          <w:color w:val="212529"/>
        </w:rPr>
        <w:t>Materia(s): </w:t>
      </w:r>
      <w:r w:rsidRPr="00BE70CB">
        <w:rPr>
          <w:rFonts w:ascii="Arial" w:eastAsia="Times New Roman" w:hAnsi="Arial" w:cs="Arial"/>
          <w:color w:val="212529"/>
        </w:rPr>
        <w:t>Administrativa</w:t>
      </w:r>
    </w:p>
    <w:p w14:paraId="795D2560" w14:textId="77777777" w:rsidR="00BE70CB" w:rsidRPr="00BE70CB" w:rsidRDefault="00BE70CB" w:rsidP="00BE70CB">
      <w:pPr>
        <w:shd w:val="clear" w:color="auto" w:fill="FFFFFF"/>
        <w:spacing w:after="0" w:line="240" w:lineRule="auto"/>
        <w:ind w:left="567" w:right="425"/>
        <w:rPr>
          <w:rFonts w:ascii="Arial" w:eastAsia="Times New Roman" w:hAnsi="Arial" w:cs="Arial"/>
          <w:color w:val="212529"/>
        </w:rPr>
      </w:pPr>
      <w:r w:rsidRPr="00BE70CB">
        <w:rPr>
          <w:rFonts w:ascii="Arial" w:eastAsia="Times New Roman" w:hAnsi="Arial" w:cs="Arial"/>
          <w:b/>
          <w:bCs/>
          <w:color w:val="212529"/>
        </w:rPr>
        <w:t>Tesis: </w:t>
      </w:r>
      <w:r w:rsidRPr="00BE70CB">
        <w:rPr>
          <w:rFonts w:ascii="Arial" w:eastAsia="Times New Roman" w:hAnsi="Arial" w:cs="Arial"/>
          <w:color w:val="212529"/>
        </w:rPr>
        <w:t>I.7o.A. J/36</w:t>
      </w:r>
    </w:p>
    <w:p w14:paraId="056FCFA9" w14:textId="77777777" w:rsidR="00BE70CB" w:rsidRPr="00BE70CB" w:rsidRDefault="00BE70CB" w:rsidP="00BE70CB">
      <w:pPr>
        <w:shd w:val="clear" w:color="auto" w:fill="FFFFFF"/>
        <w:spacing w:after="0" w:line="240" w:lineRule="auto"/>
        <w:ind w:left="567" w:right="425"/>
        <w:rPr>
          <w:rFonts w:ascii="Arial" w:eastAsia="Times New Roman" w:hAnsi="Arial" w:cs="Arial"/>
          <w:color w:val="212529"/>
        </w:rPr>
      </w:pPr>
      <w:r w:rsidRPr="00BE70CB">
        <w:rPr>
          <w:rFonts w:ascii="Arial" w:eastAsia="Times New Roman" w:hAnsi="Arial" w:cs="Arial"/>
          <w:b/>
          <w:bCs/>
          <w:color w:val="212529"/>
        </w:rPr>
        <w:t>Fuente: </w:t>
      </w:r>
      <w:r w:rsidRPr="00BE70CB">
        <w:rPr>
          <w:rFonts w:ascii="Arial" w:eastAsia="Times New Roman" w:hAnsi="Arial" w:cs="Arial"/>
          <w:color w:val="212529"/>
        </w:rPr>
        <w:t>Semanario Judicial de la Federación y su Gaceta.</w:t>
      </w:r>
      <w:r w:rsidRPr="00BE70CB">
        <w:rPr>
          <w:rFonts w:ascii="Arial" w:eastAsia="Times New Roman" w:hAnsi="Arial" w:cs="Arial"/>
          <w:color w:val="212529"/>
        </w:rPr>
        <w:br/>
        <w:t>Tomo XXVI, Julio de 2007, página 2331</w:t>
      </w:r>
    </w:p>
    <w:p w14:paraId="2D7E3C92" w14:textId="2047F299" w:rsidR="00BE70CB" w:rsidRPr="00BE70CB" w:rsidRDefault="00BE70CB" w:rsidP="00BE70CB">
      <w:pPr>
        <w:shd w:val="clear" w:color="auto" w:fill="FFFFFF"/>
        <w:spacing w:after="0" w:line="240" w:lineRule="auto"/>
        <w:ind w:left="567" w:right="425"/>
        <w:rPr>
          <w:rFonts w:ascii="Arial" w:eastAsia="Times New Roman" w:hAnsi="Arial" w:cs="Arial"/>
          <w:color w:val="212529"/>
        </w:rPr>
      </w:pPr>
      <w:r>
        <w:rPr>
          <w:rFonts w:ascii="Arial" w:eastAsia="Times New Roman" w:hAnsi="Arial" w:cs="Arial"/>
          <w:b/>
          <w:bCs/>
          <w:color w:val="212529"/>
        </w:rPr>
        <w:t xml:space="preserve">Tipo: </w:t>
      </w:r>
      <w:r w:rsidRPr="00BE70CB">
        <w:rPr>
          <w:rFonts w:ascii="Arial" w:eastAsia="Times New Roman" w:hAnsi="Arial" w:cs="Arial"/>
          <w:color w:val="212529"/>
        </w:rPr>
        <w:t>Jurisprudencia</w:t>
      </w:r>
    </w:p>
    <w:p w14:paraId="742AAFF4" w14:textId="77777777" w:rsidR="00BE70CB" w:rsidRDefault="00BE70CB" w:rsidP="00BE70CB">
      <w:pPr>
        <w:spacing w:after="0" w:line="240" w:lineRule="auto"/>
        <w:ind w:left="567" w:right="425"/>
        <w:jc w:val="both"/>
        <w:rPr>
          <w:rFonts w:ascii="Arial" w:eastAsia="Arial" w:hAnsi="Arial" w:cs="Arial"/>
          <w:b/>
          <w:bCs/>
        </w:rPr>
      </w:pPr>
    </w:p>
    <w:p w14:paraId="0F64A314" w14:textId="3A56117B" w:rsidR="00BE70CB" w:rsidRPr="00BE70CB" w:rsidRDefault="00BE70CB" w:rsidP="00BE70CB">
      <w:pPr>
        <w:spacing w:after="0" w:line="240" w:lineRule="auto"/>
        <w:ind w:left="567" w:right="425"/>
        <w:jc w:val="both"/>
        <w:rPr>
          <w:rFonts w:ascii="Arial" w:eastAsia="Arial" w:hAnsi="Arial" w:cs="Arial"/>
        </w:rPr>
      </w:pPr>
      <w:r w:rsidRPr="00BE70CB">
        <w:rPr>
          <w:rFonts w:ascii="Arial" w:eastAsia="Arial" w:hAnsi="Arial" w:cs="Arial"/>
          <w:b/>
          <w:bCs/>
        </w:rPr>
        <w:t>JUICIO CONTENCIOSO ADMINISTRATIVO. TRATÁNDOSE DE ACTIVID</w:t>
      </w:r>
      <w:r>
        <w:rPr>
          <w:rFonts w:ascii="Arial" w:eastAsia="Arial" w:hAnsi="Arial" w:cs="Arial"/>
          <w:b/>
          <w:bCs/>
        </w:rPr>
        <w:t xml:space="preserve">ADES REGLAMENTADAS, PARA QUE EL </w:t>
      </w:r>
      <w:r w:rsidRPr="00BE70CB">
        <w:rPr>
          <w:rFonts w:ascii="Arial" w:eastAsia="Arial" w:hAnsi="Arial" w:cs="Arial"/>
          <w:b/>
          <w:bCs/>
        </w:rPr>
        <w:t>PARTICULAR IMPUGNE LAS VIOLACIONES QUE CON MOTIVO DE ELLAS</w:t>
      </w:r>
      <w:r>
        <w:rPr>
          <w:rFonts w:ascii="Arial" w:eastAsia="Arial" w:hAnsi="Arial" w:cs="Arial"/>
          <w:b/>
          <w:bCs/>
        </w:rPr>
        <w:t xml:space="preserve"> </w:t>
      </w:r>
      <w:r w:rsidRPr="00BE70CB">
        <w:rPr>
          <w:rFonts w:ascii="Arial" w:eastAsia="Arial" w:hAnsi="Arial" w:cs="Arial"/>
          <w:b/>
          <w:bCs/>
        </w:rPr>
        <w:t>RESIENTA, ES NECESARIO ACREDITAR NO SÓLO EL INTERÉS LEGÍTIMO SINO TAMBIÉN EL JURÍDICO Y EXHIBIR LA LICENCIA, PERMISO O MANIFESTACIÓN QUE SE EXIJA PARA REALIZAR AQUÉLLAS (LEGISLACIÓN DEL DISTRITO FEDERAL).</w:t>
      </w:r>
    </w:p>
    <w:p w14:paraId="12E96C3C" w14:textId="77777777" w:rsidR="00BE70CB" w:rsidRDefault="00BE70CB" w:rsidP="00BE70CB">
      <w:pPr>
        <w:shd w:val="clear" w:color="auto" w:fill="FFFFFF"/>
        <w:spacing w:after="0" w:line="240" w:lineRule="auto"/>
        <w:ind w:left="567" w:right="425"/>
        <w:jc w:val="both"/>
        <w:rPr>
          <w:rFonts w:ascii="Arial" w:eastAsia="Times New Roman" w:hAnsi="Arial" w:cs="Arial"/>
          <w:color w:val="212529"/>
        </w:rPr>
      </w:pPr>
    </w:p>
    <w:p w14:paraId="48F85B18" w14:textId="2B813FED" w:rsidR="00BE70CB" w:rsidRPr="00BE70CB" w:rsidRDefault="00BE70CB" w:rsidP="00BE70CB">
      <w:pPr>
        <w:shd w:val="clear" w:color="auto" w:fill="FFFFFF"/>
        <w:spacing w:after="0" w:line="240" w:lineRule="auto"/>
        <w:ind w:left="567" w:right="425"/>
        <w:jc w:val="both"/>
        <w:rPr>
          <w:rFonts w:ascii="Arial" w:eastAsia="Times New Roman" w:hAnsi="Arial" w:cs="Arial"/>
          <w:color w:val="212529"/>
        </w:rPr>
      </w:pPr>
      <w:r w:rsidRPr="00BE70CB">
        <w:rPr>
          <w:rFonts w:ascii="Arial" w:eastAsia="Times New Roman" w:hAnsi="Arial" w:cs="Arial"/>
          <w:color w:val="212529"/>
        </w:rPr>
        <w:t>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w:t>
      </w:r>
      <w:r w:rsidR="003C3B90">
        <w:rPr>
          <w:rFonts w:ascii="Arial" w:eastAsia="Times New Roman" w:hAnsi="Arial" w:cs="Arial"/>
          <w:color w:val="212529"/>
        </w:rPr>
        <w:t xml:space="preserve">s jurídico como lo establece el </w:t>
      </w:r>
      <w:hyperlink r:id="rId9" w:history="1">
        <w:r w:rsidRPr="00BE70CB">
          <w:rPr>
            <w:rFonts w:ascii="Arial" w:eastAsia="Times New Roman" w:hAnsi="Arial" w:cs="Arial"/>
            <w:b/>
            <w:bCs/>
            <w:color w:val="007BFF"/>
            <w:u w:val="single"/>
          </w:rPr>
          <w:t>párrafo segundo del artículo 34 de la Ley del Tribunal de lo Contencioso Administrativo del Distrito Federal</w:t>
        </w:r>
      </w:hyperlink>
      <w:r w:rsidRPr="00BE70CB">
        <w:rPr>
          <w:rFonts w:ascii="Arial" w:eastAsia="Times New Roman" w:hAnsi="Arial" w:cs="Arial"/>
          <w:color w:val="212529"/>
        </w:rPr>
        <w:t>.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14:paraId="7ACB84C7" w14:textId="78C8A285" w:rsidR="00BE70CB" w:rsidRPr="00BE70CB" w:rsidRDefault="00BE70CB" w:rsidP="00BE70CB">
      <w:pPr>
        <w:spacing w:after="0" w:line="240" w:lineRule="auto"/>
        <w:ind w:left="567" w:right="425"/>
        <w:rPr>
          <w:rFonts w:ascii="Arial" w:eastAsia="Times New Roman" w:hAnsi="Arial" w:cs="Arial"/>
        </w:rPr>
      </w:pPr>
    </w:p>
    <w:p w14:paraId="6CB1B70F" w14:textId="77777777" w:rsidR="00BE70CB" w:rsidRPr="00BE70CB" w:rsidRDefault="00BE70CB" w:rsidP="00BE70CB">
      <w:pPr>
        <w:shd w:val="clear" w:color="auto" w:fill="FFFFFF"/>
        <w:spacing w:after="0" w:line="240" w:lineRule="auto"/>
        <w:ind w:left="567" w:right="425"/>
        <w:jc w:val="both"/>
        <w:rPr>
          <w:rFonts w:ascii="Arial" w:eastAsia="Times New Roman" w:hAnsi="Arial" w:cs="Arial"/>
          <w:color w:val="212529"/>
        </w:rPr>
      </w:pPr>
      <w:r w:rsidRPr="00BE70CB">
        <w:rPr>
          <w:rFonts w:ascii="Arial" w:eastAsia="Times New Roman" w:hAnsi="Arial" w:cs="Arial"/>
          <w:color w:val="212529"/>
        </w:rPr>
        <w:t>SÉPTIMO TRIBUNAL COLEGIADO EN MATERIA ADMINISTRATIVA DEL PRIMER CIRCUITO.</w:t>
      </w:r>
    </w:p>
    <w:p w14:paraId="09AF0C3D" w14:textId="0ECF46A9" w:rsidR="00BE70CB" w:rsidRDefault="00BE70CB"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 xml:space="preserve">De conformidad con dicha jurisprudencia, </w:t>
      </w:r>
      <w:r w:rsidR="00475CFB">
        <w:rPr>
          <w:rFonts w:ascii="Arial" w:eastAsia="Arial" w:hAnsi="Arial" w:cs="Arial"/>
          <w:sz w:val="24"/>
          <w:szCs w:val="24"/>
        </w:rPr>
        <w:t xml:space="preserve">en los casos que se pretenda una sentencia en la que se permita la realización de actividades reglamentarias, se debe de acreditar no solo la titularidad de un derecho, </w:t>
      </w:r>
      <w:r w:rsidR="00C54B8C" w:rsidRPr="00C54B8C">
        <w:rPr>
          <w:rFonts w:ascii="Arial" w:eastAsia="Arial" w:hAnsi="Arial" w:cs="Arial"/>
          <w:sz w:val="24"/>
          <w:szCs w:val="24"/>
        </w:rPr>
        <w:t xml:space="preserve">sino que se requiere la exhibición de la licencia, permiso o manifestación que se exija para la realización de tales </w:t>
      </w:r>
      <w:r w:rsidR="00C54B8C">
        <w:rPr>
          <w:rFonts w:ascii="Arial" w:eastAsia="Arial" w:hAnsi="Arial" w:cs="Arial"/>
          <w:sz w:val="24"/>
          <w:szCs w:val="24"/>
        </w:rPr>
        <w:t>actividades (interés jurídico); sin embargo</w:t>
      </w:r>
      <w:r w:rsidR="00654987">
        <w:rPr>
          <w:rFonts w:ascii="Arial" w:eastAsia="Arial" w:hAnsi="Arial" w:cs="Arial"/>
          <w:sz w:val="24"/>
          <w:szCs w:val="24"/>
        </w:rPr>
        <w:t>,</w:t>
      </w:r>
      <w:r w:rsidR="00C54B8C">
        <w:rPr>
          <w:rFonts w:ascii="Arial" w:eastAsia="Arial" w:hAnsi="Arial" w:cs="Arial"/>
          <w:sz w:val="24"/>
          <w:szCs w:val="24"/>
        </w:rPr>
        <w:t xml:space="preserve"> en </w:t>
      </w:r>
      <w:r w:rsidR="00C54B8C">
        <w:rPr>
          <w:rFonts w:ascii="Arial" w:eastAsia="Arial" w:hAnsi="Arial" w:cs="Arial"/>
          <w:sz w:val="24"/>
          <w:szCs w:val="24"/>
        </w:rPr>
        <w:lastRenderedPageBreak/>
        <w:t xml:space="preserve">el caso en concreto, el accionante, no pretende </w:t>
      </w:r>
      <w:r w:rsidR="009656F0">
        <w:rPr>
          <w:rFonts w:ascii="Arial" w:eastAsia="Arial" w:hAnsi="Arial" w:cs="Arial"/>
          <w:sz w:val="24"/>
          <w:szCs w:val="24"/>
        </w:rPr>
        <w:t xml:space="preserve">que </w:t>
      </w:r>
      <w:r w:rsidR="00C54B8C">
        <w:rPr>
          <w:rFonts w:ascii="Arial" w:eastAsia="Arial" w:hAnsi="Arial" w:cs="Arial"/>
          <w:sz w:val="24"/>
          <w:szCs w:val="24"/>
        </w:rPr>
        <w:t>con la sentencia que</w:t>
      </w:r>
      <w:r w:rsidR="009656F0">
        <w:rPr>
          <w:rFonts w:ascii="Arial" w:eastAsia="Arial" w:hAnsi="Arial" w:cs="Arial"/>
          <w:sz w:val="24"/>
          <w:szCs w:val="24"/>
        </w:rPr>
        <w:t xml:space="preserve"> se dicte por esta Juzgadora, </w:t>
      </w:r>
      <w:r w:rsidR="00C54B8C">
        <w:rPr>
          <w:rFonts w:ascii="Arial" w:eastAsia="Arial" w:hAnsi="Arial" w:cs="Arial"/>
          <w:sz w:val="24"/>
          <w:szCs w:val="24"/>
        </w:rPr>
        <w:t>se le permita la realización de actividades reglamentarias, sino la nulidad de una acto emitido en su contra el cual considera ilegal, lo que es precisamente lo que le concede el interés jurídico para acudir a juicio.</w:t>
      </w:r>
      <w:r w:rsidR="00654987">
        <w:rPr>
          <w:rFonts w:ascii="Arial" w:eastAsia="Arial" w:hAnsi="Arial" w:cs="Arial"/>
          <w:sz w:val="24"/>
          <w:szCs w:val="24"/>
        </w:rPr>
        <w:t xml:space="preserve"> De ahí que la jurisprudencia de referencia no sea aplicable al caso en concreto.</w:t>
      </w:r>
    </w:p>
    <w:p w14:paraId="0FC9069A" w14:textId="7D88099B" w:rsidR="00506991" w:rsidRPr="00506991" w:rsidRDefault="00260D48" w:rsidP="00506991">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 xml:space="preserve">Por lo que respecta a la </w:t>
      </w:r>
      <w:r w:rsidR="00506991" w:rsidRPr="00506991">
        <w:rPr>
          <w:rFonts w:ascii="Arial" w:eastAsia="Arial" w:hAnsi="Arial" w:cs="Arial"/>
          <w:sz w:val="24"/>
          <w:szCs w:val="24"/>
        </w:rPr>
        <w:t>causal de improcedencia</w:t>
      </w:r>
      <w:r w:rsidR="00506991">
        <w:rPr>
          <w:rFonts w:ascii="Arial" w:eastAsia="Arial" w:hAnsi="Arial" w:cs="Arial"/>
          <w:sz w:val="24"/>
          <w:szCs w:val="24"/>
        </w:rPr>
        <w:t xml:space="preserve"> que establece</w:t>
      </w:r>
      <w:r w:rsidR="00506991" w:rsidRPr="00506991">
        <w:rPr>
          <w:rFonts w:ascii="Arial" w:eastAsia="Arial" w:hAnsi="Arial" w:cs="Arial"/>
          <w:sz w:val="24"/>
          <w:szCs w:val="24"/>
        </w:rPr>
        <w:t xml:space="preserve"> </w:t>
      </w:r>
      <w:r w:rsidR="00506991">
        <w:rPr>
          <w:rFonts w:ascii="Arial" w:eastAsia="Arial" w:hAnsi="Arial" w:cs="Arial"/>
          <w:sz w:val="24"/>
          <w:szCs w:val="24"/>
        </w:rPr>
        <w:t>e</w:t>
      </w:r>
      <w:r w:rsidR="00506991" w:rsidRPr="00506991">
        <w:rPr>
          <w:rFonts w:ascii="Arial" w:eastAsia="Arial" w:hAnsi="Arial" w:cs="Arial"/>
          <w:sz w:val="24"/>
          <w:szCs w:val="24"/>
        </w:rPr>
        <w:t>l art</w:t>
      </w:r>
      <w:r w:rsidR="00506991">
        <w:rPr>
          <w:rFonts w:ascii="Arial" w:eastAsia="Arial" w:hAnsi="Arial" w:cs="Arial"/>
          <w:sz w:val="24"/>
          <w:szCs w:val="24"/>
        </w:rPr>
        <w:t>ículo 161 fracción</w:t>
      </w:r>
      <w:r w:rsidR="00506991" w:rsidRPr="00506991">
        <w:rPr>
          <w:rFonts w:ascii="Arial" w:eastAsia="Arial" w:hAnsi="Arial" w:cs="Arial"/>
          <w:sz w:val="24"/>
          <w:szCs w:val="24"/>
        </w:rPr>
        <w:t xml:space="preserve"> IX de Ley de Procedimiento y Justicia Administrativa para el Estado de Oaxaca, que hace valer la</w:t>
      </w:r>
      <w:r w:rsidR="00506991">
        <w:rPr>
          <w:rFonts w:ascii="Arial" w:eastAsia="Arial" w:hAnsi="Arial" w:cs="Arial"/>
          <w:sz w:val="24"/>
          <w:szCs w:val="24"/>
        </w:rPr>
        <w:t>s</w:t>
      </w:r>
      <w:r w:rsidR="00506991" w:rsidRPr="00506991">
        <w:rPr>
          <w:rFonts w:ascii="Arial" w:eastAsia="Arial" w:hAnsi="Arial" w:cs="Arial"/>
          <w:sz w:val="24"/>
          <w:szCs w:val="24"/>
        </w:rPr>
        <w:t xml:space="preserve"> autoridad</w:t>
      </w:r>
      <w:r w:rsidR="00506991">
        <w:rPr>
          <w:rFonts w:ascii="Arial" w:eastAsia="Arial" w:hAnsi="Arial" w:cs="Arial"/>
          <w:sz w:val="24"/>
          <w:szCs w:val="24"/>
        </w:rPr>
        <w:t>es</w:t>
      </w:r>
      <w:r w:rsidR="00506991" w:rsidRPr="00506991">
        <w:rPr>
          <w:rFonts w:ascii="Arial" w:eastAsia="Arial" w:hAnsi="Arial" w:cs="Arial"/>
          <w:sz w:val="24"/>
          <w:szCs w:val="24"/>
        </w:rPr>
        <w:t xml:space="preserve"> demandada</w:t>
      </w:r>
      <w:r w:rsidR="00506991">
        <w:rPr>
          <w:rFonts w:ascii="Arial" w:eastAsia="Arial" w:hAnsi="Arial" w:cs="Arial"/>
          <w:sz w:val="24"/>
          <w:szCs w:val="24"/>
        </w:rPr>
        <w:t>s</w:t>
      </w:r>
      <w:r w:rsidR="00506991" w:rsidRPr="00506991">
        <w:rPr>
          <w:rFonts w:ascii="Arial" w:eastAsia="Arial" w:hAnsi="Arial" w:cs="Arial"/>
          <w:sz w:val="24"/>
          <w:szCs w:val="24"/>
        </w:rPr>
        <w:t xml:space="preserve"> con su</w:t>
      </w:r>
      <w:r w:rsidR="009656F0">
        <w:rPr>
          <w:rFonts w:ascii="Arial" w:eastAsia="Arial" w:hAnsi="Arial" w:cs="Arial"/>
          <w:sz w:val="24"/>
          <w:szCs w:val="24"/>
        </w:rPr>
        <w:t>s</w:t>
      </w:r>
      <w:r w:rsidR="00506991" w:rsidRPr="00506991">
        <w:rPr>
          <w:rFonts w:ascii="Arial" w:eastAsia="Arial" w:hAnsi="Arial" w:cs="Arial"/>
          <w:sz w:val="24"/>
          <w:szCs w:val="24"/>
        </w:rPr>
        <w:t xml:space="preserve"> oficio</w:t>
      </w:r>
      <w:r w:rsidR="009656F0">
        <w:rPr>
          <w:rFonts w:ascii="Arial" w:eastAsia="Arial" w:hAnsi="Arial" w:cs="Arial"/>
          <w:sz w:val="24"/>
          <w:szCs w:val="24"/>
        </w:rPr>
        <w:t>s</w:t>
      </w:r>
      <w:r w:rsidR="00506991" w:rsidRPr="00506991">
        <w:rPr>
          <w:rFonts w:ascii="Arial" w:eastAsia="Arial" w:hAnsi="Arial" w:cs="Arial"/>
          <w:sz w:val="24"/>
          <w:szCs w:val="24"/>
        </w:rPr>
        <w:t xml:space="preserve"> de contestación</w:t>
      </w:r>
      <w:r w:rsidR="00506991">
        <w:rPr>
          <w:rFonts w:ascii="Arial" w:eastAsia="Arial" w:hAnsi="Arial" w:cs="Arial"/>
          <w:sz w:val="24"/>
          <w:szCs w:val="24"/>
        </w:rPr>
        <w:t>, ordenamiento que establece</w:t>
      </w:r>
      <w:r w:rsidR="00506991" w:rsidRPr="00506991">
        <w:rPr>
          <w:rFonts w:ascii="Arial" w:eastAsia="Arial" w:hAnsi="Arial" w:cs="Arial"/>
          <w:sz w:val="24"/>
          <w:szCs w:val="24"/>
        </w:rPr>
        <w:t>:</w:t>
      </w:r>
    </w:p>
    <w:p w14:paraId="2E0EF366" w14:textId="77777777" w:rsidR="00506991" w:rsidRPr="00506991" w:rsidRDefault="00506991" w:rsidP="00506991">
      <w:pPr>
        <w:spacing w:after="0" w:line="240" w:lineRule="auto"/>
        <w:ind w:left="567" w:right="425"/>
        <w:jc w:val="both"/>
        <w:rPr>
          <w:rFonts w:ascii="Arial" w:hAnsi="Arial" w:cs="Arial"/>
          <w:b/>
        </w:rPr>
      </w:pPr>
    </w:p>
    <w:p w14:paraId="0E9C6567" w14:textId="77777777" w:rsidR="00506991" w:rsidRPr="00506991" w:rsidRDefault="00506991" w:rsidP="00506991">
      <w:pPr>
        <w:spacing w:after="0" w:line="240" w:lineRule="auto"/>
        <w:ind w:left="567" w:right="425"/>
        <w:jc w:val="both"/>
        <w:rPr>
          <w:rFonts w:ascii="Arial" w:eastAsia="Arial" w:hAnsi="Arial" w:cs="Arial"/>
        </w:rPr>
      </w:pPr>
      <w:r w:rsidRPr="00506991">
        <w:rPr>
          <w:rFonts w:ascii="Arial" w:hAnsi="Arial" w:cs="Arial"/>
          <w:b/>
        </w:rPr>
        <w:t>ARTÍCULO 161</w:t>
      </w:r>
      <w:r w:rsidRPr="00506991">
        <w:rPr>
          <w:rFonts w:ascii="Arial" w:hAnsi="Arial" w:cs="Arial"/>
        </w:rPr>
        <w:t>.- Es improcedente el juicio ante el Tribunal contra actos:</w:t>
      </w:r>
    </w:p>
    <w:p w14:paraId="20EACFA0" w14:textId="77777777" w:rsidR="00506991" w:rsidRPr="00506991" w:rsidRDefault="00506991" w:rsidP="00506991">
      <w:pPr>
        <w:spacing w:after="0" w:line="240" w:lineRule="auto"/>
        <w:ind w:left="567" w:right="425"/>
        <w:jc w:val="both"/>
        <w:rPr>
          <w:rFonts w:ascii="Arial" w:eastAsia="Arial" w:hAnsi="Arial" w:cs="Arial"/>
        </w:rPr>
      </w:pPr>
    </w:p>
    <w:p w14:paraId="6B2BF13C" w14:textId="77777777" w:rsidR="00506991" w:rsidRPr="00506991" w:rsidRDefault="00506991" w:rsidP="00506991">
      <w:pPr>
        <w:spacing w:after="0" w:line="240" w:lineRule="auto"/>
        <w:ind w:left="567" w:right="425"/>
        <w:jc w:val="both"/>
        <w:rPr>
          <w:rFonts w:ascii="Arial" w:eastAsia="Arial" w:hAnsi="Arial" w:cs="Arial"/>
        </w:rPr>
      </w:pPr>
      <w:r w:rsidRPr="00506991">
        <w:rPr>
          <w:rFonts w:ascii="Arial" w:eastAsia="Arial" w:hAnsi="Arial" w:cs="Arial"/>
          <w:b/>
        </w:rPr>
        <w:t>IX.</w:t>
      </w:r>
      <w:r w:rsidRPr="00506991">
        <w:rPr>
          <w:rFonts w:ascii="Arial" w:eastAsia="Arial" w:hAnsi="Arial" w:cs="Arial"/>
        </w:rPr>
        <w:t xml:space="preserve"> Cuando de las constancias de autos apareciere claramente que no existe el acto reclamado o cuando no se probare su existencia; y </w:t>
      </w:r>
    </w:p>
    <w:p w14:paraId="363E3C8B" w14:textId="005C3DBA" w:rsidR="00506991" w:rsidRPr="00506991" w:rsidRDefault="00506991" w:rsidP="00506991">
      <w:pPr>
        <w:spacing w:after="0" w:line="240" w:lineRule="auto"/>
        <w:ind w:left="567" w:right="425"/>
        <w:jc w:val="both"/>
        <w:rPr>
          <w:rFonts w:ascii="Arial" w:eastAsia="Arial" w:hAnsi="Arial" w:cs="Arial"/>
        </w:rPr>
      </w:pPr>
    </w:p>
    <w:p w14:paraId="0CA58128" w14:textId="6770D815" w:rsidR="00506991" w:rsidRPr="00506991" w:rsidRDefault="00506991" w:rsidP="00506991">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C</w:t>
      </w:r>
      <w:r w:rsidRPr="00506991">
        <w:rPr>
          <w:rFonts w:ascii="Arial" w:eastAsia="Arial" w:hAnsi="Arial" w:cs="Arial"/>
          <w:sz w:val="24"/>
          <w:szCs w:val="24"/>
        </w:rPr>
        <w:t xml:space="preserve">omo se ha establecido en el Considerando Tercero de la presente resolución, la </w:t>
      </w:r>
      <w:r>
        <w:rPr>
          <w:rFonts w:ascii="Arial" w:eastAsia="Arial" w:hAnsi="Arial" w:cs="Arial"/>
          <w:sz w:val="24"/>
          <w:szCs w:val="24"/>
        </w:rPr>
        <w:t xml:space="preserve">existencia de la resolución impugnada </w:t>
      </w:r>
      <w:r w:rsidRPr="00506991">
        <w:rPr>
          <w:rFonts w:ascii="Arial" w:eastAsia="Arial" w:hAnsi="Arial" w:cs="Arial"/>
          <w:sz w:val="24"/>
          <w:szCs w:val="24"/>
        </w:rPr>
        <w:t>ha quedado acreditada con la exhibici</w:t>
      </w:r>
      <w:r>
        <w:rPr>
          <w:rFonts w:ascii="Arial" w:eastAsia="Arial" w:hAnsi="Arial" w:cs="Arial"/>
          <w:sz w:val="24"/>
          <w:szCs w:val="24"/>
        </w:rPr>
        <w:t>ón del</w:t>
      </w:r>
      <w:r w:rsidRPr="00506991">
        <w:rPr>
          <w:rFonts w:ascii="Arial" w:eastAsia="Arial" w:hAnsi="Arial" w:cs="Arial"/>
          <w:sz w:val="24"/>
          <w:szCs w:val="24"/>
        </w:rPr>
        <w:t xml:space="preserve"> oficio</w:t>
      </w:r>
      <w:r>
        <w:rPr>
          <w:rFonts w:ascii="Arial" w:eastAsia="Arial" w:hAnsi="Arial" w:cs="Arial"/>
          <w:sz w:val="24"/>
          <w:szCs w:val="24"/>
        </w:rPr>
        <w:t xml:space="preserve"> combatido</w:t>
      </w:r>
      <w:r w:rsidRPr="00506991">
        <w:rPr>
          <w:rFonts w:ascii="Arial" w:eastAsia="Arial" w:hAnsi="Arial" w:cs="Arial"/>
          <w:sz w:val="24"/>
          <w:szCs w:val="24"/>
        </w:rPr>
        <w:t xml:space="preserve"> y con el reconocimiento de su emisión por parte de la autoridad demandada.</w:t>
      </w:r>
    </w:p>
    <w:p w14:paraId="292F0E61" w14:textId="28661C09" w:rsidR="008121A1" w:rsidRPr="004720FE" w:rsidRDefault="009D0D7F"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En consecuencia, en el presente caso no se da el supuesto que refiere la autoridad</w:t>
      </w:r>
      <w:r w:rsidR="004720FE">
        <w:rPr>
          <w:rFonts w:ascii="Arial" w:eastAsia="Arial" w:hAnsi="Arial" w:cs="Arial"/>
          <w:sz w:val="24"/>
          <w:szCs w:val="24"/>
        </w:rPr>
        <w:t>, ni ningún otro,</w:t>
      </w:r>
      <w:r>
        <w:rPr>
          <w:rFonts w:ascii="Arial" w:eastAsia="Arial" w:hAnsi="Arial" w:cs="Arial"/>
          <w:sz w:val="24"/>
          <w:szCs w:val="24"/>
        </w:rPr>
        <w:t xml:space="preserve"> a efecto de sobreseer el juicio</w:t>
      </w:r>
      <w:r w:rsidR="00056A3F">
        <w:rPr>
          <w:rFonts w:ascii="Arial" w:eastAsia="Arial" w:hAnsi="Arial" w:cs="Arial"/>
          <w:sz w:val="24"/>
          <w:szCs w:val="24"/>
        </w:rPr>
        <w:t xml:space="preserve">, por lo que </w:t>
      </w:r>
      <w:r w:rsidR="00056A3F">
        <w:rPr>
          <w:rFonts w:ascii="Arial" w:eastAsia="Arial" w:hAnsi="Arial" w:cs="Arial"/>
          <w:b/>
          <w:sz w:val="24"/>
          <w:szCs w:val="24"/>
        </w:rPr>
        <w:t>NO SE SOBRESEE EL JUICIO.</w:t>
      </w:r>
    </w:p>
    <w:p w14:paraId="60423F61" w14:textId="4F8CBDEB" w:rsidR="002B0A5A" w:rsidRPr="00926325" w:rsidRDefault="00361A42" w:rsidP="004D7165">
      <w:pPr>
        <w:spacing w:before="240" w:after="0" w:line="360" w:lineRule="auto"/>
        <w:ind w:firstLine="567"/>
        <w:jc w:val="both"/>
        <w:rPr>
          <w:rFonts w:ascii="Arial" w:eastAsia="Arial" w:hAnsi="Arial" w:cs="Arial"/>
          <w:b/>
          <w:sz w:val="24"/>
          <w:szCs w:val="24"/>
        </w:rPr>
      </w:pPr>
      <w:r>
        <w:rPr>
          <w:rFonts w:ascii="Arial" w:eastAsia="Arial" w:hAnsi="Arial" w:cs="Arial"/>
          <w:b/>
          <w:sz w:val="24"/>
          <w:szCs w:val="24"/>
        </w:rPr>
        <w:t>QUINTO</w:t>
      </w:r>
      <w:r w:rsidR="008121A1">
        <w:rPr>
          <w:rFonts w:ascii="Arial" w:eastAsia="Arial" w:hAnsi="Arial" w:cs="Arial"/>
          <w:b/>
          <w:sz w:val="24"/>
          <w:szCs w:val="24"/>
        </w:rPr>
        <w:t xml:space="preserve">. </w:t>
      </w:r>
      <w:r w:rsidR="003D64BD">
        <w:rPr>
          <w:rFonts w:ascii="Arial" w:eastAsia="Arial" w:hAnsi="Arial" w:cs="Arial"/>
          <w:b/>
          <w:sz w:val="24"/>
          <w:szCs w:val="24"/>
        </w:rPr>
        <w:t>Fijación de los puntos controvertidos.</w:t>
      </w:r>
      <w:r w:rsidR="00D2518A">
        <w:rPr>
          <w:rFonts w:ascii="Arial" w:eastAsia="Arial" w:hAnsi="Arial" w:cs="Arial"/>
          <w:b/>
          <w:sz w:val="24"/>
          <w:szCs w:val="24"/>
        </w:rPr>
        <w:t xml:space="preserve"> </w:t>
      </w:r>
      <w:r w:rsidR="00D2518A" w:rsidRPr="00BF7EC7">
        <w:rPr>
          <w:rFonts w:ascii="Arial" w:eastAsia="Times New Roman" w:hAnsi="Arial" w:cs="Arial"/>
          <w:bCs/>
          <w:sz w:val="24"/>
          <w:szCs w:val="26"/>
          <w:lang w:eastAsia="es-ES"/>
        </w:rPr>
        <w:t xml:space="preserve">De conformidad con lo establecido en el artículo 207 fracción I de la Ley </w:t>
      </w:r>
      <w:r w:rsidR="002F4FF2">
        <w:rPr>
          <w:rFonts w:ascii="Arial" w:eastAsia="Times New Roman" w:hAnsi="Arial" w:cs="Arial"/>
          <w:bCs/>
          <w:sz w:val="24"/>
          <w:szCs w:val="26"/>
          <w:lang w:eastAsia="es-ES"/>
        </w:rPr>
        <w:t>de la m</w:t>
      </w:r>
      <w:r w:rsidR="00D2518A" w:rsidRPr="00BF7EC7">
        <w:rPr>
          <w:rFonts w:ascii="Arial" w:eastAsia="Times New Roman" w:hAnsi="Arial" w:cs="Arial"/>
          <w:bCs/>
          <w:sz w:val="24"/>
          <w:szCs w:val="26"/>
          <w:lang w:eastAsia="es-ES"/>
        </w:rPr>
        <w:t xml:space="preserve">ateria, al </w:t>
      </w:r>
      <w:r w:rsidR="00B36FEF">
        <w:rPr>
          <w:rFonts w:ascii="Arial" w:eastAsia="Times New Roman" w:hAnsi="Arial" w:cs="Arial"/>
          <w:bCs/>
          <w:sz w:val="24"/>
          <w:szCs w:val="26"/>
          <w:lang w:eastAsia="es-ES"/>
        </w:rPr>
        <w:t>momento de dictarse sentencia la</w:t>
      </w:r>
      <w:r w:rsidR="00B7534A">
        <w:rPr>
          <w:rFonts w:ascii="Arial" w:eastAsia="Times New Roman" w:hAnsi="Arial" w:cs="Arial"/>
          <w:bCs/>
          <w:sz w:val="24"/>
          <w:szCs w:val="26"/>
          <w:lang w:eastAsia="es-ES"/>
        </w:rPr>
        <w:t xml:space="preserve"> </w:t>
      </w:r>
      <w:r w:rsidR="00D2518A" w:rsidRPr="00BF7EC7">
        <w:rPr>
          <w:rFonts w:ascii="Arial" w:eastAsia="Times New Roman" w:hAnsi="Arial" w:cs="Arial"/>
          <w:bCs/>
          <w:sz w:val="24"/>
          <w:szCs w:val="26"/>
          <w:lang w:eastAsia="es-ES"/>
        </w:rPr>
        <w:t>Juzgador</w:t>
      </w:r>
      <w:r w:rsidR="00B36FEF">
        <w:rPr>
          <w:rFonts w:ascii="Arial" w:eastAsia="Times New Roman" w:hAnsi="Arial" w:cs="Arial"/>
          <w:bCs/>
          <w:sz w:val="24"/>
          <w:szCs w:val="26"/>
          <w:lang w:eastAsia="es-ES"/>
        </w:rPr>
        <w:t>a</w:t>
      </w:r>
      <w:r w:rsidR="00D2518A" w:rsidRPr="00BF7EC7">
        <w:rPr>
          <w:rFonts w:ascii="Arial" w:eastAsia="Times New Roman" w:hAnsi="Arial" w:cs="Arial"/>
          <w:bCs/>
          <w:sz w:val="24"/>
          <w:szCs w:val="26"/>
          <w:lang w:eastAsia="es-ES"/>
        </w:rPr>
        <w:t xml:space="preserve"> deberá hacer una fijación clara y precisa de los punto</w:t>
      </w:r>
      <w:r w:rsidR="00D2518A">
        <w:rPr>
          <w:rFonts w:ascii="Arial" w:eastAsia="Times New Roman" w:hAnsi="Arial" w:cs="Arial"/>
          <w:bCs/>
          <w:sz w:val="24"/>
          <w:szCs w:val="26"/>
          <w:lang w:eastAsia="es-ES"/>
        </w:rPr>
        <w:t>s controvertidos por las partes.</w:t>
      </w:r>
    </w:p>
    <w:p w14:paraId="69D95B87" w14:textId="015BF1B4" w:rsidR="00530CF3" w:rsidRDefault="00B36FEF"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En ese sentido, l</w:t>
      </w:r>
      <w:r w:rsidR="002B0A5A">
        <w:rPr>
          <w:rFonts w:ascii="Arial" w:eastAsia="Times New Roman" w:hAnsi="Arial" w:cs="Arial"/>
          <w:bCs/>
          <w:sz w:val="24"/>
          <w:szCs w:val="26"/>
          <w:lang w:eastAsia="es-ES"/>
        </w:rPr>
        <w:t xml:space="preserve">a </w:t>
      </w:r>
      <w:r w:rsidR="002B0A5A" w:rsidRPr="00B36FEF">
        <w:rPr>
          <w:rFonts w:ascii="Arial" w:eastAsia="Times New Roman" w:hAnsi="Arial" w:cs="Arial"/>
          <w:b/>
          <w:bCs/>
          <w:sz w:val="24"/>
          <w:szCs w:val="26"/>
          <w:lang w:eastAsia="es-ES"/>
        </w:rPr>
        <w:t>parte actora</w:t>
      </w:r>
      <w:r w:rsidR="002B0A5A">
        <w:rPr>
          <w:rFonts w:ascii="Arial" w:eastAsia="Times New Roman" w:hAnsi="Arial" w:cs="Arial"/>
          <w:bCs/>
          <w:sz w:val="24"/>
          <w:szCs w:val="26"/>
          <w:lang w:eastAsia="es-ES"/>
        </w:rPr>
        <w:t xml:space="preserve"> impu</w:t>
      </w:r>
      <w:r w:rsidR="00E93FC3">
        <w:rPr>
          <w:rFonts w:ascii="Arial" w:eastAsia="Times New Roman" w:hAnsi="Arial" w:cs="Arial"/>
          <w:bCs/>
          <w:sz w:val="24"/>
          <w:szCs w:val="26"/>
          <w:lang w:eastAsia="es-ES"/>
        </w:rPr>
        <w:t>gnó en su escrito de demanda el</w:t>
      </w:r>
      <w:r w:rsidR="00E6218D">
        <w:rPr>
          <w:rFonts w:ascii="Arial" w:eastAsia="Times New Roman" w:hAnsi="Arial" w:cs="Arial"/>
          <w:bCs/>
          <w:sz w:val="24"/>
          <w:szCs w:val="26"/>
          <w:lang w:eastAsia="es-ES"/>
        </w:rPr>
        <w:t xml:space="preserve"> </w:t>
      </w:r>
      <w:r w:rsidR="00E93FC3" w:rsidRPr="00E93FC3">
        <w:rPr>
          <w:rFonts w:ascii="Arial" w:eastAsia="Arial" w:hAnsi="Arial" w:cs="Arial"/>
          <w:sz w:val="24"/>
          <w:szCs w:val="24"/>
        </w:rPr>
        <w:t xml:space="preserve">Acta de Infracción con número de folio </w:t>
      </w:r>
      <w:r w:rsidR="00DD6DD6">
        <w:rPr>
          <w:rFonts w:ascii="Arial" w:eastAsia="Arial" w:hAnsi="Arial" w:cs="Arial"/>
          <w:sz w:val="24"/>
          <w:szCs w:val="24"/>
        </w:rPr>
        <w:t>**********</w:t>
      </w:r>
      <w:r w:rsidR="00E93FC3" w:rsidRPr="00E93FC3">
        <w:rPr>
          <w:rFonts w:ascii="Arial" w:eastAsia="Arial" w:hAnsi="Arial" w:cs="Arial"/>
          <w:sz w:val="24"/>
          <w:szCs w:val="24"/>
        </w:rPr>
        <w:t xml:space="preserve"> de dieciocho de octubre d</w:t>
      </w:r>
      <w:r w:rsidR="00771652">
        <w:rPr>
          <w:rFonts w:ascii="Arial" w:eastAsia="Arial" w:hAnsi="Arial" w:cs="Arial"/>
          <w:sz w:val="24"/>
          <w:szCs w:val="24"/>
        </w:rPr>
        <w:t>e dos mil dieciocho, mediante la</w:t>
      </w:r>
      <w:r w:rsidR="00E93FC3" w:rsidRPr="00E93FC3">
        <w:rPr>
          <w:rFonts w:ascii="Arial" w:eastAsia="Arial" w:hAnsi="Arial" w:cs="Arial"/>
          <w:sz w:val="24"/>
          <w:szCs w:val="24"/>
        </w:rPr>
        <w:t xml:space="preserve"> cual el Inspector adscrito a la Dirección de Normatividad y Control de Vía Pública del Municipio de Oaxaca de Juárez</w:t>
      </w:r>
      <w:r w:rsidR="005D0633" w:rsidRPr="005D0633">
        <w:rPr>
          <w:rFonts w:ascii="Arial" w:eastAsia="Arial" w:hAnsi="Arial" w:cs="Arial"/>
          <w:sz w:val="24"/>
          <w:szCs w:val="24"/>
        </w:rPr>
        <w:t xml:space="preserve"> le impone una multa prevista en el artículo 86 fracción II del Reglamento para el Funcionamiento de Establecimientos Comerciales, en el Municipio de Oaxaca de Juárez</w:t>
      </w:r>
      <w:r w:rsidR="005D0633">
        <w:rPr>
          <w:rFonts w:ascii="Arial" w:eastAsia="Arial" w:hAnsi="Arial" w:cs="Arial"/>
          <w:sz w:val="24"/>
          <w:szCs w:val="24"/>
        </w:rPr>
        <w:t>.</w:t>
      </w:r>
    </w:p>
    <w:p w14:paraId="66AD28ED" w14:textId="01017300" w:rsidR="00667804" w:rsidRDefault="00667804"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Manifestando como pretensión del juicio, que se declare la nulidad de la resolución impugnada</w:t>
      </w:r>
      <w:r w:rsidR="009941B6">
        <w:rPr>
          <w:rFonts w:ascii="Arial" w:eastAsia="Times New Roman" w:hAnsi="Arial" w:cs="Arial"/>
          <w:bCs/>
          <w:sz w:val="24"/>
          <w:szCs w:val="26"/>
          <w:lang w:eastAsia="es-ES"/>
        </w:rPr>
        <w:t xml:space="preserve"> y sus antecedentes al ser ilegales</w:t>
      </w:r>
      <w:r>
        <w:rPr>
          <w:rFonts w:ascii="Arial" w:eastAsia="Times New Roman" w:hAnsi="Arial" w:cs="Arial"/>
          <w:bCs/>
          <w:sz w:val="24"/>
          <w:szCs w:val="26"/>
          <w:lang w:eastAsia="es-ES"/>
        </w:rPr>
        <w:t>.</w:t>
      </w:r>
    </w:p>
    <w:p w14:paraId="30A68CD1" w14:textId="0F97B180" w:rsidR="001C5F89" w:rsidRDefault="00667804"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Por su parte </w:t>
      </w:r>
      <w:r w:rsidR="00933636">
        <w:rPr>
          <w:rFonts w:ascii="Arial" w:eastAsia="Times New Roman" w:hAnsi="Arial" w:cs="Arial"/>
          <w:bCs/>
          <w:sz w:val="24"/>
          <w:szCs w:val="26"/>
          <w:lang w:eastAsia="es-ES"/>
        </w:rPr>
        <w:t>la</w:t>
      </w:r>
      <w:r w:rsidR="009941B6">
        <w:rPr>
          <w:rFonts w:ascii="Arial" w:eastAsia="Times New Roman" w:hAnsi="Arial" w:cs="Arial"/>
          <w:bCs/>
          <w:sz w:val="24"/>
          <w:szCs w:val="26"/>
          <w:lang w:eastAsia="es-ES"/>
        </w:rPr>
        <w:t>s</w:t>
      </w:r>
      <w:r w:rsidR="00933636">
        <w:rPr>
          <w:rFonts w:ascii="Arial" w:eastAsia="Times New Roman" w:hAnsi="Arial" w:cs="Arial"/>
          <w:bCs/>
          <w:sz w:val="24"/>
          <w:szCs w:val="26"/>
          <w:lang w:eastAsia="es-ES"/>
        </w:rPr>
        <w:t xml:space="preserve"> autoridad</w:t>
      </w:r>
      <w:r w:rsidR="009941B6">
        <w:rPr>
          <w:rFonts w:ascii="Arial" w:eastAsia="Times New Roman" w:hAnsi="Arial" w:cs="Arial"/>
          <w:bCs/>
          <w:sz w:val="24"/>
          <w:szCs w:val="26"/>
          <w:lang w:eastAsia="es-ES"/>
        </w:rPr>
        <w:t>es</w:t>
      </w:r>
      <w:r w:rsidR="00933636">
        <w:rPr>
          <w:rFonts w:ascii="Arial" w:eastAsia="Times New Roman" w:hAnsi="Arial" w:cs="Arial"/>
          <w:bCs/>
          <w:sz w:val="24"/>
          <w:szCs w:val="26"/>
          <w:lang w:eastAsia="es-ES"/>
        </w:rPr>
        <w:t xml:space="preserve"> demandada</w:t>
      </w:r>
      <w:r w:rsidR="009941B6">
        <w:rPr>
          <w:rFonts w:ascii="Arial" w:eastAsia="Times New Roman" w:hAnsi="Arial" w:cs="Arial"/>
          <w:bCs/>
          <w:sz w:val="24"/>
          <w:szCs w:val="26"/>
          <w:lang w:eastAsia="es-ES"/>
        </w:rPr>
        <w:t>s</w:t>
      </w:r>
      <w:r w:rsidR="00933636">
        <w:rPr>
          <w:rFonts w:ascii="Arial" w:eastAsia="Times New Roman" w:hAnsi="Arial" w:cs="Arial"/>
          <w:bCs/>
          <w:sz w:val="24"/>
          <w:szCs w:val="26"/>
          <w:lang w:eastAsia="es-ES"/>
        </w:rPr>
        <w:t xml:space="preserve"> </w:t>
      </w:r>
      <w:r w:rsidR="009941B6">
        <w:rPr>
          <w:rFonts w:ascii="Arial" w:eastAsia="Times New Roman" w:hAnsi="Arial" w:cs="Arial"/>
          <w:bCs/>
          <w:sz w:val="24"/>
          <w:szCs w:val="26"/>
          <w:lang w:eastAsia="es-ES"/>
        </w:rPr>
        <w:t>sostuvieron</w:t>
      </w:r>
      <w:r w:rsidR="00933636">
        <w:rPr>
          <w:rFonts w:ascii="Arial" w:eastAsia="Times New Roman" w:hAnsi="Arial" w:cs="Arial"/>
          <w:bCs/>
          <w:sz w:val="24"/>
          <w:szCs w:val="26"/>
          <w:lang w:eastAsia="es-ES"/>
        </w:rPr>
        <w:t xml:space="preserve"> en su contestación de demand</w:t>
      </w:r>
      <w:r w:rsidR="001C5F89">
        <w:rPr>
          <w:rFonts w:ascii="Arial" w:eastAsia="Times New Roman" w:hAnsi="Arial" w:cs="Arial"/>
          <w:bCs/>
          <w:sz w:val="24"/>
          <w:szCs w:val="26"/>
          <w:lang w:eastAsia="es-ES"/>
        </w:rPr>
        <w:t>a la legalidad y validez de la resolución impugnada</w:t>
      </w:r>
      <w:r w:rsidR="001C5F89">
        <w:rPr>
          <w:rFonts w:ascii="Arial" w:eastAsia="Arial" w:hAnsi="Arial" w:cs="Arial"/>
          <w:sz w:val="24"/>
          <w:szCs w:val="24"/>
        </w:rPr>
        <w:t>.</w:t>
      </w:r>
    </w:p>
    <w:p w14:paraId="235C2332" w14:textId="6753CEDC" w:rsidR="004A6067" w:rsidRPr="00F72C4A" w:rsidRDefault="004A6067"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lastRenderedPageBreak/>
        <w:t>Por lo</w:t>
      </w:r>
      <w:r w:rsidR="00780FFE">
        <w:rPr>
          <w:rFonts w:ascii="Arial" w:eastAsia="Times New Roman" w:hAnsi="Arial" w:cs="Arial"/>
          <w:bCs/>
          <w:sz w:val="24"/>
          <w:szCs w:val="26"/>
          <w:lang w:eastAsia="es-ES"/>
        </w:rPr>
        <w:t xml:space="preserve"> que, la presente </w:t>
      </w:r>
      <w:r w:rsidR="000405F9">
        <w:rPr>
          <w:rFonts w:ascii="Arial" w:eastAsia="Times New Roman" w:hAnsi="Arial" w:cs="Arial"/>
          <w:bCs/>
          <w:sz w:val="24"/>
          <w:szCs w:val="26"/>
          <w:lang w:eastAsia="es-ES"/>
        </w:rPr>
        <w:t xml:space="preserve">sentencia </w:t>
      </w:r>
      <w:r>
        <w:rPr>
          <w:rFonts w:ascii="Arial" w:eastAsia="Times New Roman" w:hAnsi="Arial" w:cs="Arial"/>
          <w:bCs/>
          <w:sz w:val="24"/>
          <w:szCs w:val="26"/>
          <w:lang w:eastAsia="es-ES"/>
        </w:rPr>
        <w:t xml:space="preserve">tendrá por objeto analizar </w:t>
      </w:r>
      <w:r w:rsidR="00B06C2F">
        <w:rPr>
          <w:rFonts w:ascii="Arial" w:eastAsia="Times New Roman" w:hAnsi="Arial" w:cs="Arial"/>
          <w:bCs/>
          <w:sz w:val="24"/>
          <w:szCs w:val="26"/>
          <w:lang w:eastAsia="es-ES"/>
        </w:rPr>
        <w:t xml:space="preserve">si </w:t>
      </w:r>
      <w:r w:rsidR="0024244D">
        <w:rPr>
          <w:rFonts w:ascii="Arial" w:eastAsia="Times New Roman" w:hAnsi="Arial" w:cs="Arial"/>
          <w:bCs/>
          <w:sz w:val="24"/>
          <w:szCs w:val="26"/>
          <w:lang w:eastAsia="es-ES"/>
        </w:rPr>
        <w:t>resulta</w:t>
      </w:r>
      <w:r w:rsidR="001C5F89">
        <w:rPr>
          <w:rFonts w:ascii="Arial" w:eastAsia="Times New Roman" w:hAnsi="Arial" w:cs="Arial"/>
          <w:bCs/>
          <w:sz w:val="24"/>
          <w:szCs w:val="26"/>
          <w:lang w:eastAsia="es-ES"/>
        </w:rPr>
        <w:t>n</w:t>
      </w:r>
      <w:r w:rsidR="0024244D">
        <w:rPr>
          <w:rFonts w:ascii="Arial" w:eastAsia="Times New Roman" w:hAnsi="Arial" w:cs="Arial"/>
          <w:bCs/>
          <w:sz w:val="24"/>
          <w:szCs w:val="26"/>
          <w:lang w:eastAsia="es-ES"/>
        </w:rPr>
        <w:t xml:space="preserve"> </w:t>
      </w:r>
      <w:r w:rsidR="00BF114A">
        <w:rPr>
          <w:rFonts w:ascii="Arial" w:eastAsia="Times New Roman" w:hAnsi="Arial" w:cs="Arial"/>
          <w:bCs/>
          <w:sz w:val="24"/>
          <w:szCs w:val="26"/>
          <w:lang w:eastAsia="es-ES"/>
        </w:rPr>
        <w:t>fundados</w:t>
      </w:r>
      <w:r w:rsidR="001C5F89">
        <w:rPr>
          <w:rFonts w:ascii="Arial" w:eastAsia="Times New Roman" w:hAnsi="Arial" w:cs="Arial"/>
          <w:bCs/>
          <w:sz w:val="24"/>
          <w:szCs w:val="26"/>
          <w:lang w:eastAsia="es-ES"/>
        </w:rPr>
        <w:t xml:space="preserve"> los argumentos hechos valer por la parte actora a efecto de declarar la nulidad del acto impugnado, o en su defecto, reconocer la validez del mismo.</w:t>
      </w:r>
      <w:r>
        <w:rPr>
          <w:rFonts w:ascii="Arial" w:eastAsia="Times New Roman" w:hAnsi="Arial" w:cs="Arial"/>
          <w:bCs/>
          <w:sz w:val="24"/>
          <w:szCs w:val="26"/>
          <w:lang w:eastAsia="es-ES"/>
        </w:rPr>
        <w:t xml:space="preserve"> </w:t>
      </w:r>
    </w:p>
    <w:p w14:paraId="5830B8B5" w14:textId="77777777" w:rsidR="00C5115D" w:rsidRDefault="00361A42" w:rsidP="004D7165">
      <w:pPr>
        <w:spacing w:before="240" w:after="0" w:line="360" w:lineRule="auto"/>
        <w:ind w:firstLine="567"/>
        <w:jc w:val="both"/>
        <w:rPr>
          <w:rFonts w:ascii="Arial" w:eastAsiaTheme="minorHAnsi" w:hAnsi="Arial" w:cs="Arial"/>
          <w:sz w:val="24"/>
          <w:szCs w:val="24"/>
          <w:lang w:eastAsia="en-US"/>
        </w:rPr>
      </w:pPr>
      <w:r>
        <w:rPr>
          <w:rFonts w:ascii="Arial" w:eastAsia="Times New Roman" w:hAnsi="Arial" w:cs="Arial"/>
          <w:b/>
          <w:bCs/>
          <w:sz w:val="24"/>
          <w:szCs w:val="24"/>
          <w:lang w:eastAsia="es-ES"/>
        </w:rPr>
        <w:t>SEXTO</w:t>
      </w:r>
      <w:r w:rsidR="00214FD6">
        <w:rPr>
          <w:rFonts w:ascii="Arial" w:eastAsia="Times New Roman" w:hAnsi="Arial" w:cs="Arial"/>
          <w:b/>
          <w:bCs/>
          <w:sz w:val="24"/>
          <w:szCs w:val="24"/>
          <w:lang w:eastAsia="es-ES"/>
        </w:rPr>
        <w:t>.</w:t>
      </w:r>
      <w:r w:rsidR="00C5115D">
        <w:rPr>
          <w:rFonts w:ascii="Arial" w:eastAsia="Times New Roman" w:hAnsi="Arial" w:cs="Arial"/>
          <w:b/>
          <w:bCs/>
          <w:sz w:val="24"/>
          <w:szCs w:val="24"/>
          <w:lang w:eastAsia="es-ES"/>
        </w:rPr>
        <w:t xml:space="preserve"> Conceptos de Impugnación. </w:t>
      </w:r>
      <w:r w:rsidR="00A64994" w:rsidRPr="00BF7EC7">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E0B7F38" w14:textId="602ACD78" w:rsidR="00F11E33" w:rsidRPr="00C5115D" w:rsidRDefault="00F11E33" w:rsidP="004D7165">
      <w:pPr>
        <w:spacing w:before="240" w:after="0" w:line="360" w:lineRule="auto"/>
        <w:ind w:firstLine="567"/>
        <w:jc w:val="both"/>
        <w:rPr>
          <w:rFonts w:ascii="Arial" w:eastAsiaTheme="minorHAnsi" w:hAnsi="Arial" w:cs="Arial"/>
          <w:sz w:val="24"/>
          <w:szCs w:val="24"/>
          <w:lang w:eastAsia="en-US"/>
        </w:rPr>
      </w:pPr>
      <w:r>
        <w:rPr>
          <w:rFonts w:ascii="Arial" w:eastAsia="Arial" w:hAnsi="Arial" w:cs="Arial"/>
          <w:color w:val="000000"/>
          <w:sz w:val="24"/>
          <w:szCs w:val="24"/>
        </w:rPr>
        <w:t xml:space="preserve">Sirve de apoyo a lo anterior la jurisprudencia de datos, </w:t>
      </w:r>
      <w:r w:rsidRPr="001B4717">
        <w:rPr>
          <w:rFonts w:ascii="Arial" w:eastAsia="Arial" w:hAnsi="Arial" w:cs="Arial"/>
          <w:color w:val="000000"/>
          <w:sz w:val="24"/>
          <w:szCs w:val="24"/>
        </w:rPr>
        <w:t>rubro y texto siguientes:</w:t>
      </w:r>
    </w:p>
    <w:p w14:paraId="3C2AD394" w14:textId="77777777" w:rsidR="004D7165" w:rsidRDefault="004D7165" w:rsidP="00F11E33">
      <w:pPr>
        <w:spacing w:after="0" w:line="240" w:lineRule="auto"/>
        <w:ind w:left="567" w:right="332"/>
        <w:jc w:val="both"/>
        <w:rPr>
          <w:rFonts w:ascii="Arial" w:eastAsia="Arial" w:hAnsi="Arial" w:cs="Arial"/>
          <w:b/>
          <w:bCs/>
          <w:color w:val="000000"/>
        </w:rPr>
      </w:pPr>
    </w:p>
    <w:p w14:paraId="31C86BB5"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0D8CF00"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488A2172" w14:textId="77777777" w:rsidR="00F11E33" w:rsidRPr="000C2A2F"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b/>
          <w:bCs/>
          <w:color w:val="000000"/>
        </w:rPr>
        <w:t>Novena Época</w:t>
      </w:r>
    </w:p>
    <w:p w14:paraId="7631E25C"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72C5DC5A"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2BA36F7E"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37F905EC" w14:textId="77777777" w:rsidR="00F11E33" w:rsidRDefault="00F11E33" w:rsidP="004D7165">
      <w:pPr>
        <w:spacing w:after="0" w:line="240" w:lineRule="auto"/>
        <w:ind w:left="567" w:right="335"/>
        <w:jc w:val="both"/>
        <w:rPr>
          <w:rFonts w:ascii="Arial" w:eastAsia="Arial" w:hAnsi="Arial" w:cs="Arial"/>
          <w:color w:val="000000"/>
        </w:rPr>
      </w:pPr>
    </w:p>
    <w:p w14:paraId="6764FDB5" w14:textId="77777777" w:rsidR="00F11E33" w:rsidRDefault="00F11E33" w:rsidP="004D7165">
      <w:pPr>
        <w:spacing w:after="0" w:line="240" w:lineRule="auto"/>
        <w:ind w:left="567" w:right="335"/>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2865F3D4" w14:textId="77777777" w:rsidR="00F11E33" w:rsidRDefault="00F11E33" w:rsidP="004D7165">
      <w:pPr>
        <w:spacing w:after="0" w:line="240" w:lineRule="auto"/>
        <w:ind w:left="567" w:right="335"/>
        <w:jc w:val="both"/>
        <w:rPr>
          <w:rFonts w:ascii="Arial" w:eastAsia="Arial" w:hAnsi="Arial" w:cs="Arial"/>
          <w:b/>
          <w:bCs/>
          <w:color w:val="000000"/>
        </w:rPr>
      </w:pPr>
    </w:p>
    <w:p w14:paraId="6A47D525" w14:textId="77777777" w:rsidR="00F11E33"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C8D112" w14:textId="77777777" w:rsidR="00F11E33" w:rsidRDefault="00F11E33" w:rsidP="004D7165">
      <w:pPr>
        <w:spacing w:after="0" w:line="240" w:lineRule="auto"/>
        <w:ind w:left="567" w:right="335"/>
        <w:jc w:val="both"/>
        <w:rPr>
          <w:rFonts w:ascii="Arial" w:eastAsia="Arial" w:hAnsi="Arial" w:cs="Arial"/>
          <w:color w:val="000000"/>
        </w:rPr>
      </w:pPr>
    </w:p>
    <w:p w14:paraId="13097735" w14:textId="77777777" w:rsidR="00F11E33" w:rsidRPr="000C2A2F"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D2EF3A8" w14:textId="77777777" w:rsidR="00F11E33" w:rsidRPr="000C2A2F" w:rsidRDefault="00F11E33" w:rsidP="004D7165">
      <w:pPr>
        <w:spacing w:after="0" w:line="240" w:lineRule="auto"/>
        <w:ind w:left="567" w:right="335"/>
        <w:jc w:val="both"/>
        <w:rPr>
          <w:rFonts w:ascii="Arial" w:eastAsia="Arial" w:hAnsi="Arial" w:cs="Arial"/>
          <w:color w:val="000000"/>
        </w:rPr>
      </w:pPr>
    </w:p>
    <w:p w14:paraId="3D467835" w14:textId="77777777" w:rsidR="00F11E33"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37E4C9D" w14:textId="77777777" w:rsidR="00F11E33" w:rsidRPr="000C2A2F" w:rsidRDefault="00F11E33" w:rsidP="00F11E33">
      <w:pPr>
        <w:spacing w:after="0" w:line="240" w:lineRule="auto"/>
        <w:ind w:left="567" w:right="332"/>
        <w:jc w:val="both"/>
        <w:rPr>
          <w:rFonts w:ascii="Arial" w:eastAsia="Arial" w:hAnsi="Arial" w:cs="Arial"/>
          <w:color w:val="000000"/>
        </w:rPr>
      </w:pPr>
    </w:p>
    <w:p w14:paraId="120CFE70" w14:textId="16670718" w:rsidR="004F2DC1" w:rsidRDefault="00361A42"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
          <w:sz w:val="24"/>
          <w:szCs w:val="26"/>
          <w:lang w:eastAsia="en-US"/>
        </w:rPr>
        <w:t>SÉPTIMO</w:t>
      </w:r>
      <w:r w:rsidR="00A64994">
        <w:rPr>
          <w:rFonts w:ascii="Arial" w:eastAsiaTheme="minorHAnsi" w:hAnsi="Arial" w:cs="Arial"/>
          <w:b/>
          <w:sz w:val="24"/>
          <w:szCs w:val="26"/>
          <w:lang w:eastAsia="en-US"/>
        </w:rPr>
        <w:t xml:space="preserve">. </w:t>
      </w:r>
      <w:r w:rsidR="004F2DC1">
        <w:rPr>
          <w:rFonts w:ascii="Arial" w:eastAsiaTheme="minorHAnsi" w:hAnsi="Arial" w:cs="Arial"/>
          <w:b/>
          <w:sz w:val="24"/>
          <w:szCs w:val="26"/>
          <w:lang w:eastAsia="en-US"/>
        </w:rPr>
        <w:t>Análisis de</w:t>
      </w:r>
      <w:r w:rsidR="0058332F">
        <w:rPr>
          <w:rFonts w:ascii="Arial" w:eastAsiaTheme="minorHAnsi" w:hAnsi="Arial" w:cs="Arial"/>
          <w:b/>
          <w:sz w:val="24"/>
          <w:szCs w:val="26"/>
          <w:lang w:eastAsia="en-US"/>
        </w:rPr>
        <w:t xml:space="preserve"> los </w:t>
      </w:r>
      <w:r w:rsidR="00A64994" w:rsidRPr="00BF7EC7">
        <w:rPr>
          <w:rFonts w:ascii="Arial" w:eastAsiaTheme="minorHAnsi" w:hAnsi="Arial" w:cs="Arial"/>
          <w:b/>
          <w:sz w:val="24"/>
          <w:szCs w:val="26"/>
          <w:lang w:eastAsia="en-US"/>
        </w:rPr>
        <w:t>concepto</w:t>
      </w:r>
      <w:r w:rsidR="0058332F">
        <w:rPr>
          <w:rFonts w:ascii="Arial" w:eastAsiaTheme="minorHAnsi" w:hAnsi="Arial" w:cs="Arial"/>
          <w:b/>
          <w:sz w:val="24"/>
          <w:szCs w:val="26"/>
          <w:lang w:eastAsia="en-US"/>
        </w:rPr>
        <w:t>s</w:t>
      </w:r>
      <w:r w:rsidR="00A64994" w:rsidRPr="00BF7EC7">
        <w:rPr>
          <w:rFonts w:ascii="Arial" w:eastAsiaTheme="minorHAnsi" w:hAnsi="Arial" w:cs="Arial"/>
          <w:b/>
          <w:sz w:val="24"/>
          <w:szCs w:val="26"/>
          <w:lang w:eastAsia="en-US"/>
        </w:rPr>
        <w:t xml:space="preserve"> de impugnación. </w:t>
      </w:r>
      <w:r w:rsidR="00A64994">
        <w:rPr>
          <w:rFonts w:ascii="Arial" w:eastAsiaTheme="minorHAnsi" w:hAnsi="Arial" w:cs="Arial"/>
          <w:bCs/>
          <w:sz w:val="24"/>
          <w:szCs w:val="26"/>
          <w:lang w:eastAsia="en-US"/>
        </w:rPr>
        <w:t>Esta</w:t>
      </w:r>
      <w:r w:rsidR="00A64994" w:rsidRPr="00BF7EC7">
        <w:rPr>
          <w:rFonts w:ascii="Arial" w:eastAsiaTheme="minorHAnsi" w:hAnsi="Arial" w:cs="Arial"/>
          <w:bCs/>
          <w:sz w:val="24"/>
          <w:szCs w:val="26"/>
          <w:lang w:eastAsia="en-US"/>
        </w:rPr>
        <w:t xml:space="preserve"> Juzgador</w:t>
      </w:r>
      <w:r w:rsidR="00A64994">
        <w:rPr>
          <w:rFonts w:ascii="Arial" w:eastAsiaTheme="minorHAnsi" w:hAnsi="Arial" w:cs="Arial"/>
          <w:bCs/>
          <w:sz w:val="24"/>
          <w:szCs w:val="26"/>
          <w:lang w:eastAsia="en-US"/>
        </w:rPr>
        <w:t>a</w:t>
      </w:r>
      <w:r w:rsidR="007B1883">
        <w:rPr>
          <w:rFonts w:ascii="Arial" w:eastAsiaTheme="minorHAnsi" w:hAnsi="Arial" w:cs="Arial"/>
          <w:bCs/>
          <w:sz w:val="24"/>
          <w:szCs w:val="26"/>
          <w:lang w:eastAsia="en-US"/>
        </w:rPr>
        <w:t xml:space="preserve"> </w:t>
      </w:r>
      <w:r w:rsidR="00A64994" w:rsidRPr="00BF7EC7">
        <w:rPr>
          <w:rFonts w:ascii="Arial" w:eastAsiaTheme="minorHAnsi" w:hAnsi="Arial" w:cs="Arial"/>
          <w:bCs/>
          <w:sz w:val="24"/>
          <w:szCs w:val="26"/>
          <w:lang w:eastAsia="en-US"/>
        </w:rPr>
        <w:t>procede al estudio</w:t>
      </w:r>
      <w:r w:rsidR="007B1883">
        <w:rPr>
          <w:rFonts w:ascii="Arial" w:eastAsiaTheme="minorHAnsi" w:hAnsi="Arial" w:cs="Arial"/>
          <w:bCs/>
          <w:sz w:val="24"/>
          <w:szCs w:val="26"/>
          <w:lang w:eastAsia="en-US"/>
        </w:rPr>
        <w:t xml:space="preserve"> </w:t>
      </w:r>
      <w:r w:rsidR="00413FD0">
        <w:rPr>
          <w:rFonts w:ascii="Arial" w:eastAsiaTheme="minorHAnsi" w:hAnsi="Arial" w:cs="Arial"/>
          <w:bCs/>
          <w:sz w:val="24"/>
          <w:szCs w:val="26"/>
          <w:lang w:eastAsia="en-US"/>
        </w:rPr>
        <w:t>del agravio</w:t>
      </w:r>
      <w:r w:rsidR="00511852">
        <w:rPr>
          <w:rFonts w:ascii="Arial" w:eastAsiaTheme="minorHAnsi" w:hAnsi="Arial" w:cs="Arial"/>
          <w:bCs/>
          <w:sz w:val="24"/>
          <w:szCs w:val="26"/>
          <w:lang w:eastAsia="en-US"/>
        </w:rPr>
        <w:t xml:space="preserve"> SEXTO </w:t>
      </w:r>
      <w:r w:rsidR="00CF5009">
        <w:rPr>
          <w:rFonts w:ascii="Arial" w:eastAsiaTheme="minorHAnsi" w:hAnsi="Arial" w:cs="Arial"/>
          <w:bCs/>
          <w:sz w:val="24"/>
          <w:szCs w:val="26"/>
          <w:lang w:eastAsia="en-US"/>
        </w:rPr>
        <w:t>del escrito de demanda</w:t>
      </w:r>
      <w:r w:rsidR="00C55CBC">
        <w:rPr>
          <w:rFonts w:ascii="Arial" w:eastAsiaTheme="minorHAnsi" w:hAnsi="Arial" w:cs="Arial"/>
          <w:bCs/>
          <w:sz w:val="24"/>
          <w:szCs w:val="26"/>
          <w:lang w:eastAsia="en-US"/>
        </w:rPr>
        <w:t>,</w:t>
      </w:r>
      <w:r w:rsidR="00413FD0">
        <w:rPr>
          <w:rFonts w:ascii="Arial" w:eastAsiaTheme="minorHAnsi" w:hAnsi="Arial" w:cs="Arial"/>
          <w:bCs/>
          <w:sz w:val="24"/>
          <w:szCs w:val="26"/>
          <w:lang w:eastAsia="en-US"/>
        </w:rPr>
        <w:t xml:space="preserve"> </w:t>
      </w:r>
      <w:r w:rsidR="007B1883">
        <w:rPr>
          <w:rFonts w:ascii="Arial" w:eastAsiaTheme="minorHAnsi" w:hAnsi="Arial" w:cs="Arial"/>
          <w:bCs/>
          <w:sz w:val="24"/>
          <w:szCs w:val="26"/>
          <w:lang w:eastAsia="en-US"/>
        </w:rPr>
        <w:t xml:space="preserve">en </w:t>
      </w:r>
      <w:r w:rsidR="00413FD0">
        <w:rPr>
          <w:rFonts w:ascii="Arial" w:eastAsiaTheme="minorHAnsi" w:hAnsi="Arial" w:cs="Arial"/>
          <w:bCs/>
          <w:sz w:val="24"/>
          <w:szCs w:val="26"/>
          <w:lang w:eastAsia="en-US"/>
        </w:rPr>
        <w:t>e</w:t>
      </w:r>
      <w:r w:rsidR="007B1883">
        <w:rPr>
          <w:rFonts w:ascii="Arial" w:eastAsiaTheme="minorHAnsi" w:hAnsi="Arial" w:cs="Arial"/>
          <w:bCs/>
          <w:sz w:val="24"/>
          <w:szCs w:val="26"/>
          <w:lang w:eastAsia="en-US"/>
        </w:rPr>
        <w:t>l</w:t>
      </w:r>
      <w:r w:rsidR="00413FD0">
        <w:rPr>
          <w:rFonts w:ascii="Arial" w:eastAsiaTheme="minorHAnsi" w:hAnsi="Arial" w:cs="Arial"/>
          <w:bCs/>
          <w:sz w:val="24"/>
          <w:szCs w:val="26"/>
          <w:lang w:eastAsia="en-US"/>
        </w:rPr>
        <w:t xml:space="preserve"> </w:t>
      </w:r>
      <w:r w:rsidR="004F2DC1">
        <w:rPr>
          <w:rFonts w:ascii="Arial" w:eastAsiaTheme="minorHAnsi" w:hAnsi="Arial" w:cs="Arial"/>
          <w:bCs/>
          <w:sz w:val="24"/>
          <w:szCs w:val="26"/>
          <w:lang w:eastAsia="en-US"/>
        </w:rPr>
        <w:t>que</w:t>
      </w:r>
      <w:r w:rsidR="007B1883">
        <w:rPr>
          <w:rFonts w:ascii="Arial" w:eastAsiaTheme="minorHAnsi" w:hAnsi="Arial" w:cs="Arial"/>
          <w:bCs/>
          <w:sz w:val="24"/>
          <w:szCs w:val="26"/>
          <w:lang w:eastAsia="en-US"/>
        </w:rPr>
        <w:t xml:space="preserve"> la</w:t>
      </w:r>
      <w:r w:rsidR="000D1420">
        <w:rPr>
          <w:rFonts w:ascii="Arial" w:eastAsiaTheme="minorHAnsi" w:hAnsi="Arial" w:cs="Arial"/>
          <w:bCs/>
          <w:sz w:val="24"/>
          <w:szCs w:val="26"/>
          <w:lang w:eastAsia="en-US"/>
        </w:rPr>
        <w:t xml:space="preserve"> accionante</w:t>
      </w:r>
      <w:r w:rsidR="004F2DC1">
        <w:rPr>
          <w:rFonts w:ascii="Arial" w:eastAsiaTheme="minorHAnsi" w:hAnsi="Arial" w:cs="Arial"/>
          <w:bCs/>
          <w:sz w:val="24"/>
          <w:szCs w:val="26"/>
          <w:lang w:eastAsia="en-US"/>
        </w:rPr>
        <w:t xml:space="preserve"> argumentó</w:t>
      </w:r>
      <w:r w:rsidR="00413FD0">
        <w:rPr>
          <w:rFonts w:ascii="Arial" w:eastAsiaTheme="minorHAnsi" w:hAnsi="Arial" w:cs="Arial"/>
          <w:bCs/>
          <w:sz w:val="24"/>
          <w:szCs w:val="26"/>
          <w:lang w:eastAsia="en-US"/>
        </w:rPr>
        <w:t xml:space="preserve"> </w:t>
      </w:r>
      <w:r w:rsidR="00511852">
        <w:rPr>
          <w:rFonts w:ascii="Arial" w:eastAsiaTheme="minorHAnsi" w:hAnsi="Arial" w:cs="Arial"/>
          <w:bCs/>
          <w:sz w:val="24"/>
          <w:szCs w:val="26"/>
          <w:lang w:eastAsia="en-US"/>
        </w:rPr>
        <w:t xml:space="preserve">que es ilegal la orden de visita en que se sustenta la resolución impugnada, pues no se dio cumplimiento al artículo 46 de la Ley de </w:t>
      </w:r>
      <w:r w:rsidR="00511852">
        <w:rPr>
          <w:rFonts w:ascii="Arial" w:eastAsiaTheme="minorHAnsi" w:hAnsi="Arial" w:cs="Arial"/>
          <w:bCs/>
          <w:sz w:val="24"/>
          <w:szCs w:val="26"/>
          <w:lang w:eastAsia="en-US"/>
        </w:rPr>
        <w:lastRenderedPageBreak/>
        <w:t>Justicia Administrativa para el Estado de Oaxaca, en cuanto a que en la misma la autoridad no precisó el alcance de la visita, entendido como tal el señalamiento que permita al inspeccionado conocer de manera cierta el alcance temporal material del lugar, y circunstancial de la misma, además constriñe a los visitadores o inspectores a sujetarse y con ello verificar el cumplimiento de obligaciones a cargo del inspeccionado, que fue previamente determinado por la autoridad ordenadora, de lo contrario se violaría el principio de seguridad consagrado en el artículo 16 Constitucional, al dejar al arbitrio de los inspectores determinar sobre que supuestos debe realizarse la visita</w:t>
      </w:r>
      <w:r w:rsidR="00413FD0">
        <w:rPr>
          <w:rFonts w:ascii="Arial" w:eastAsiaTheme="minorHAnsi" w:hAnsi="Arial" w:cs="Arial"/>
          <w:bCs/>
          <w:sz w:val="24"/>
          <w:szCs w:val="26"/>
          <w:lang w:eastAsia="en-US"/>
        </w:rPr>
        <w:t>.</w:t>
      </w:r>
    </w:p>
    <w:p w14:paraId="1785FEF5" w14:textId="3DE09323" w:rsidR="00906CFE" w:rsidRDefault="00906CFE"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Por</w:t>
      </w:r>
      <w:r w:rsidR="003B4397">
        <w:rPr>
          <w:rFonts w:ascii="Arial" w:eastAsiaTheme="minorHAnsi" w:hAnsi="Arial" w:cs="Arial"/>
          <w:bCs/>
          <w:sz w:val="24"/>
          <w:szCs w:val="26"/>
          <w:lang w:eastAsia="en-US"/>
        </w:rPr>
        <w:t xml:space="preserve"> </w:t>
      </w:r>
      <w:r>
        <w:rPr>
          <w:rFonts w:ascii="Arial" w:eastAsiaTheme="minorHAnsi" w:hAnsi="Arial" w:cs="Arial"/>
          <w:bCs/>
          <w:sz w:val="24"/>
          <w:szCs w:val="26"/>
          <w:lang w:eastAsia="en-US"/>
        </w:rPr>
        <w:t>su parte la autoridad en su oficio de contestación de demanda, sostuvo la legalidad y validez del acto impugnado.</w:t>
      </w:r>
    </w:p>
    <w:p w14:paraId="555814C4" w14:textId="3B3E4678" w:rsidR="00FB2D11" w:rsidRPr="00FB2D11" w:rsidRDefault="00FB2D11" w:rsidP="00FB2D11">
      <w:pPr>
        <w:tabs>
          <w:tab w:val="left" w:pos="1276"/>
        </w:tabs>
        <w:spacing w:before="240" w:after="0" w:line="360" w:lineRule="auto"/>
        <w:ind w:firstLine="567"/>
        <w:jc w:val="both"/>
        <w:rPr>
          <w:rFonts w:ascii="Arial" w:eastAsiaTheme="minorHAnsi" w:hAnsi="Arial" w:cs="Arial"/>
          <w:bCs/>
          <w:sz w:val="24"/>
          <w:szCs w:val="26"/>
          <w:lang w:val="es-ES" w:eastAsia="en-US"/>
        </w:rPr>
      </w:pPr>
      <w:r w:rsidRPr="00FB2D11">
        <w:rPr>
          <w:rFonts w:ascii="Arial" w:eastAsiaTheme="minorHAnsi" w:hAnsi="Arial" w:cs="Arial"/>
          <w:bCs/>
          <w:sz w:val="24"/>
          <w:szCs w:val="26"/>
          <w:lang w:val="es-ES" w:eastAsia="en-US"/>
        </w:rPr>
        <w:t xml:space="preserve">Ahora bien, la resolución </w:t>
      </w:r>
      <w:r>
        <w:rPr>
          <w:rFonts w:ascii="Arial" w:eastAsiaTheme="minorHAnsi" w:hAnsi="Arial" w:cs="Arial"/>
          <w:bCs/>
          <w:sz w:val="24"/>
          <w:szCs w:val="26"/>
          <w:lang w:val="es-ES" w:eastAsia="en-US"/>
        </w:rPr>
        <w:t>impugnada</w:t>
      </w:r>
      <w:r w:rsidRPr="00FB2D11">
        <w:rPr>
          <w:rFonts w:ascii="Arial" w:eastAsiaTheme="minorHAnsi" w:hAnsi="Arial" w:cs="Arial"/>
          <w:bCs/>
          <w:sz w:val="24"/>
          <w:szCs w:val="26"/>
          <w:lang w:val="es-ES" w:eastAsia="en-US"/>
        </w:rPr>
        <w:t xml:space="preserve"> es fruto de un procedimiento de inspección pa</w:t>
      </w:r>
      <w:r>
        <w:rPr>
          <w:rFonts w:ascii="Arial" w:eastAsiaTheme="minorHAnsi" w:hAnsi="Arial" w:cs="Arial"/>
          <w:bCs/>
          <w:sz w:val="24"/>
          <w:szCs w:val="26"/>
          <w:lang w:val="es-ES" w:eastAsia="en-US"/>
        </w:rPr>
        <w:t>ra verificar el cumplimiento de</w:t>
      </w:r>
      <w:r w:rsidR="009656F0">
        <w:rPr>
          <w:rFonts w:ascii="Arial" w:eastAsiaTheme="minorHAnsi" w:hAnsi="Arial" w:cs="Arial"/>
          <w:bCs/>
          <w:sz w:val="24"/>
          <w:szCs w:val="26"/>
          <w:lang w:val="es-ES" w:eastAsia="en-US"/>
        </w:rPr>
        <w:t xml:space="preserve"> lo regulado por el</w:t>
      </w:r>
      <w:r>
        <w:rPr>
          <w:rFonts w:ascii="Arial" w:eastAsiaTheme="minorHAnsi" w:hAnsi="Arial" w:cs="Arial"/>
          <w:bCs/>
          <w:sz w:val="24"/>
          <w:szCs w:val="26"/>
          <w:lang w:val="es-ES" w:eastAsia="en-US"/>
        </w:rPr>
        <w:t xml:space="preserve"> artículo 16 fracción XVII del Reglamento para el Funcionamiento de Establecimientos Comerciales en el Municipio de Oaxaca de Juárez</w:t>
      </w:r>
      <w:r w:rsidR="00CC4857">
        <w:rPr>
          <w:rFonts w:ascii="Arial" w:eastAsiaTheme="minorHAnsi" w:hAnsi="Arial" w:cs="Arial"/>
          <w:bCs/>
          <w:sz w:val="24"/>
          <w:szCs w:val="26"/>
          <w:lang w:val="es-ES" w:eastAsia="en-US"/>
        </w:rPr>
        <w:t>,</w:t>
      </w:r>
      <w:r w:rsidRPr="00FB2D11">
        <w:rPr>
          <w:rFonts w:ascii="Arial" w:eastAsiaTheme="minorHAnsi" w:hAnsi="Arial" w:cs="Arial"/>
          <w:bCs/>
          <w:sz w:val="24"/>
          <w:szCs w:val="26"/>
          <w:lang w:val="es-ES" w:eastAsia="en-US"/>
        </w:rPr>
        <w:t xml:space="preserve"> que tiene su origen en la orden contenida en el oficio </w:t>
      </w:r>
      <w:r w:rsidR="00DB57C1">
        <w:rPr>
          <w:rFonts w:ascii="Arial" w:eastAsiaTheme="minorHAnsi" w:hAnsi="Arial" w:cs="Arial"/>
          <w:bCs/>
          <w:sz w:val="24"/>
          <w:szCs w:val="26"/>
          <w:lang w:val="es-ES" w:eastAsia="en-US"/>
        </w:rPr>
        <w:t>**********</w:t>
      </w:r>
      <w:r w:rsidR="00CC4857">
        <w:rPr>
          <w:rFonts w:ascii="Arial" w:eastAsiaTheme="minorHAnsi" w:hAnsi="Arial" w:cs="Arial"/>
          <w:bCs/>
          <w:sz w:val="24"/>
          <w:szCs w:val="26"/>
          <w:lang w:val="es-ES" w:eastAsia="en-US"/>
        </w:rPr>
        <w:t xml:space="preserve"> con número de folio </w:t>
      </w:r>
      <w:r w:rsidR="00DB57C1">
        <w:rPr>
          <w:rFonts w:ascii="Arial" w:eastAsiaTheme="minorHAnsi" w:hAnsi="Arial" w:cs="Arial"/>
          <w:bCs/>
          <w:sz w:val="24"/>
          <w:szCs w:val="26"/>
          <w:lang w:val="es-ES" w:eastAsia="en-US"/>
        </w:rPr>
        <w:t>**********</w:t>
      </w:r>
      <w:r w:rsidR="00CC4857">
        <w:rPr>
          <w:rFonts w:ascii="Arial" w:eastAsiaTheme="minorHAnsi" w:hAnsi="Arial" w:cs="Arial"/>
          <w:bCs/>
          <w:sz w:val="24"/>
          <w:szCs w:val="26"/>
          <w:lang w:val="es-ES" w:eastAsia="en-US"/>
        </w:rPr>
        <w:t>, de dieciocho de octubre de dos mil dieciocho</w:t>
      </w:r>
      <w:r w:rsidRPr="00FB2D11">
        <w:rPr>
          <w:rFonts w:ascii="Arial" w:eastAsiaTheme="minorHAnsi" w:hAnsi="Arial" w:cs="Arial"/>
          <w:bCs/>
          <w:sz w:val="24"/>
          <w:szCs w:val="26"/>
          <w:lang w:val="es-ES" w:eastAsia="en-US"/>
        </w:rPr>
        <w:t xml:space="preserve">, suscrita por el C. Director </w:t>
      </w:r>
      <w:r w:rsidR="00CC4857">
        <w:rPr>
          <w:rFonts w:ascii="Arial" w:eastAsiaTheme="minorHAnsi" w:hAnsi="Arial" w:cs="Arial"/>
          <w:bCs/>
          <w:sz w:val="24"/>
          <w:szCs w:val="26"/>
          <w:lang w:val="es-ES" w:eastAsia="en-US"/>
        </w:rPr>
        <w:t xml:space="preserve">de </w:t>
      </w:r>
      <w:r w:rsidR="002C29C7">
        <w:rPr>
          <w:rFonts w:ascii="Arial" w:eastAsiaTheme="minorHAnsi" w:hAnsi="Arial" w:cs="Arial"/>
          <w:bCs/>
          <w:sz w:val="24"/>
          <w:szCs w:val="26"/>
          <w:lang w:val="es-ES" w:eastAsia="en-US"/>
        </w:rPr>
        <w:t>Normatividad y Control de Vía Pú</w:t>
      </w:r>
      <w:r w:rsidR="00CC4857">
        <w:rPr>
          <w:rFonts w:ascii="Arial" w:eastAsiaTheme="minorHAnsi" w:hAnsi="Arial" w:cs="Arial"/>
          <w:bCs/>
          <w:sz w:val="24"/>
          <w:szCs w:val="26"/>
          <w:lang w:val="es-ES" w:eastAsia="en-US"/>
        </w:rPr>
        <w:t>blica de la Unidad de Inspección y Vigilancia del Municipio de Oaxaca de Juárez Oaxaca (foja 98 de auto)</w:t>
      </w:r>
      <w:r w:rsidRPr="00FB2D11">
        <w:rPr>
          <w:rFonts w:ascii="Arial" w:eastAsiaTheme="minorHAnsi" w:hAnsi="Arial" w:cs="Arial"/>
          <w:bCs/>
          <w:sz w:val="24"/>
          <w:szCs w:val="26"/>
          <w:lang w:val="es-ES" w:eastAsia="en-US"/>
        </w:rPr>
        <w:t>.</w:t>
      </w:r>
    </w:p>
    <w:p w14:paraId="34EBE7F8" w14:textId="2B6A3BBC" w:rsidR="00FB2D11" w:rsidRPr="00FB2D11" w:rsidRDefault="00CC4857" w:rsidP="00FB2D11">
      <w:pPr>
        <w:tabs>
          <w:tab w:val="left" w:pos="1276"/>
        </w:tabs>
        <w:spacing w:before="240" w:after="0" w:line="360" w:lineRule="auto"/>
        <w:ind w:firstLine="567"/>
        <w:jc w:val="both"/>
        <w:rPr>
          <w:rFonts w:ascii="Arial" w:eastAsiaTheme="minorHAnsi" w:hAnsi="Arial" w:cs="Arial"/>
          <w:bCs/>
          <w:sz w:val="24"/>
          <w:szCs w:val="26"/>
          <w:lang w:val="es-ES" w:eastAsia="en-US"/>
        </w:rPr>
      </w:pPr>
      <w:r>
        <w:rPr>
          <w:rFonts w:ascii="Arial" w:eastAsiaTheme="minorHAnsi" w:hAnsi="Arial" w:cs="Arial"/>
          <w:bCs/>
          <w:sz w:val="24"/>
          <w:szCs w:val="26"/>
          <w:lang w:val="es-ES" w:eastAsia="en-US"/>
        </w:rPr>
        <w:t>En tal virtud, de acuerdo al argumento expuesto por la accionante, y que se analiza en el presente considerando</w:t>
      </w:r>
      <w:r w:rsidR="00247665">
        <w:rPr>
          <w:rFonts w:ascii="Arial" w:eastAsiaTheme="minorHAnsi" w:hAnsi="Arial" w:cs="Arial"/>
          <w:bCs/>
          <w:sz w:val="24"/>
          <w:szCs w:val="26"/>
          <w:lang w:val="es-ES" w:eastAsia="en-US"/>
        </w:rPr>
        <w:t>, l</w:t>
      </w:r>
      <w:r w:rsidR="00FB2D11" w:rsidRPr="00FB2D11">
        <w:rPr>
          <w:rFonts w:ascii="Arial" w:eastAsiaTheme="minorHAnsi" w:hAnsi="Arial" w:cs="Arial"/>
          <w:bCs/>
          <w:sz w:val="24"/>
          <w:szCs w:val="26"/>
          <w:lang w:val="es-ES" w:eastAsia="en-US"/>
        </w:rPr>
        <w:t xml:space="preserve">a litis consiste en determinar si al emitir la orden de inspección de fecha </w:t>
      </w:r>
      <w:r w:rsidR="00247665" w:rsidRPr="00247665">
        <w:rPr>
          <w:rFonts w:ascii="Arial" w:eastAsiaTheme="minorHAnsi" w:hAnsi="Arial" w:cs="Arial"/>
          <w:bCs/>
          <w:sz w:val="24"/>
          <w:szCs w:val="26"/>
          <w:lang w:val="es-ES" w:eastAsia="en-US"/>
        </w:rPr>
        <w:t>de dieciocho de octubre de dos mil dieciocho</w:t>
      </w:r>
      <w:r w:rsidR="00FB2D11" w:rsidRPr="00FB2D11">
        <w:rPr>
          <w:rFonts w:ascii="Arial" w:eastAsiaTheme="minorHAnsi" w:hAnsi="Arial" w:cs="Arial"/>
          <w:bCs/>
          <w:sz w:val="24"/>
          <w:szCs w:val="26"/>
          <w:lang w:val="es-ES" w:eastAsia="en-US"/>
        </w:rPr>
        <w:t>, fue precisado el límite temporal de la diligencia.</w:t>
      </w:r>
    </w:p>
    <w:p w14:paraId="75861B8A" w14:textId="5E147B30" w:rsidR="00FB2D11" w:rsidRPr="00FB2D11" w:rsidRDefault="00FB2D11" w:rsidP="00FB2D11">
      <w:pPr>
        <w:tabs>
          <w:tab w:val="left" w:pos="1276"/>
        </w:tabs>
        <w:spacing w:before="240" w:after="0" w:line="360" w:lineRule="auto"/>
        <w:ind w:firstLine="567"/>
        <w:jc w:val="both"/>
        <w:rPr>
          <w:rFonts w:ascii="Arial" w:eastAsiaTheme="minorHAnsi" w:hAnsi="Arial" w:cs="Arial"/>
          <w:bCs/>
          <w:sz w:val="24"/>
          <w:szCs w:val="26"/>
          <w:lang w:val="es-ES_tradnl" w:eastAsia="en-US"/>
        </w:rPr>
      </w:pPr>
      <w:r w:rsidRPr="00FB2D11">
        <w:rPr>
          <w:rFonts w:ascii="Arial" w:eastAsiaTheme="minorHAnsi" w:hAnsi="Arial" w:cs="Arial"/>
          <w:bCs/>
          <w:sz w:val="24"/>
          <w:szCs w:val="26"/>
          <w:lang w:val="es-ES_tradnl" w:eastAsia="en-US"/>
        </w:rPr>
        <w:t>Dicho</w:t>
      </w:r>
      <w:r w:rsidR="00247665">
        <w:rPr>
          <w:rFonts w:ascii="Arial" w:eastAsiaTheme="minorHAnsi" w:hAnsi="Arial" w:cs="Arial"/>
          <w:bCs/>
          <w:sz w:val="24"/>
          <w:szCs w:val="26"/>
          <w:lang w:val="es-ES_tradnl" w:eastAsia="en-US"/>
        </w:rPr>
        <w:t xml:space="preserve"> lo anterior, a juicio de esta Juzgadora</w:t>
      </w:r>
      <w:r w:rsidRPr="00FB2D11">
        <w:rPr>
          <w:rFonts w:ascii="Arial" w:eastAsiaTheme="minorHAnsi" w:hAnsi="Arial" w:cs="Arial"/>
          <w:bCs/>
          <w:sz w:val="24"/>
          <w:szCs w:val="26"/>
          <w:lang w:val="es-ES_tradnl" w:eastAsia="en-US"/>
        </w:rPr>
        <w:t xml:space="preserve">, los argumentos de la parte actora resultan </w:t>
      </w:r>
      <w:r w:rsidRPr="00247665">
        <w:rPr>
          <w:rFonts w:ascii="Arial" w:eastAsiaTheme="minorHAnsi" w:hAnsi="Arial" w:cs="Arial"/>
          <w:b/>
          <w:bCs/>
          <w:sz w:val="24"/>
          <w:szCs w:val="26"/>
          <w:lang w:val="es-ES_tradnl" w:eastAsia="en-US"/>
        </w:rPr>
        <w:t>fundados y suficientes</w:t>
      </w:r>
      <w:r w:rsidRPr="00FB2D11">
        <w:rPr>
          <w:rFonts w:ascii="Arial" w:eastAsiaTheme="minorHAnsi" w:hAnsi="Arial" w:cs="Arial"/>
          <w:bCs/>
          <w:sz w:val="24"/>
          <w:szCs w:val="26"/>
          <w:lang w:val="es-ES_tradnl" w:eastAsia="en-US"/>
        </w:rPr>
        <w:t xml:space="preserve"> para declarar la nulidad de la resolución impugnada.</w:t>
      </w:r>
    </w:p>
    <w:p w14:paraId="493F9009" w14:textId="3FFAB113" w:rsidR="00DA0C3F" w:rsidRDefault="00FB2D11" w:rsidP="004D7165">
      <w:pPr>
        <w:tabs>
          <w:tab w:val="left" w:pos="1276"/>
        </w:tabs>
        <w:spacing w:before="240" w:after="0" w:line="360" w:lineRule="auto"/>
        <w:ind w:firstLine="567"/>
        <w:jc w:val="both"/>
        <w:rPr>
          <w:rFonts w:ascii="Arial" w:eastAsiaTheme="minorHAnsi" w:hAnsi="Arial" w:cs="Arial"/>
          <w:bCs/>
          <w:sz w:val="24"/>
          <w:szCs w:val="26"/>
          <w:lang w:val="es-ES" w:eastAsia="en-US"/>
        </w:rPr>
      </w:pPr>
      <w:r w:rsidRPr="00FB2D11">
        <w:rPr>
          <w:rFonts w:ascii="Arial" w:eastAsiaTheme="minorHAnsi" w:hAnsi="Arial" w:cs="Arial"/>
          <w:bCs/>
          <w:sz w:val="24"/>
          <w:szCs w:val="26"/>
          <w:lang w:val="es-ES_tradnl" w:eastAsia="en-US"/>
        </w:rPr>
        <w:t xml:space="preserve">En efecto, resulta fundado y suficiente el agravio de la parte actora, toda vez que la orden de inspección contenida en el oficio </w:t>
      </w:r>
      <w:r w:rsidR="00DB57C1">
        <w:rPr>
          <w:rFonts w:ascii="Arial" w:eastAsiaTheme="minorHAnsi" w:hAnsi="Arial" w:cs="Arial"/>
          <w:bCs/>
          <w:sz w:val="24"/>
          <w:szCs w:val="26"/>
          <w:lang w:val="es-ES" w:eastAsia="en-US"/>
        </w:rPr>
        <w:t>**********</w:t>
      </w:r>
      <w:r w:rsidR="00247665" w:rsidRPr="00247665">
        <w:rPr>
          <w:rFonts w:ascii="Arial" w:eastAsiaTheme="minorHAnsi" w:hAnsi="Arial" w:cs="Arial"/>
          <w:bCs/>
          <w:sz w:val="24"/>
          <w:szCs w:val="26"/>
          <w:lang w:val="es-ES" w:eastAsia="en-US"/>
        </w:rPr>
        <w:t xml:space="preserve"> con número de folio 0056, de dieciocho de octubre de dos mil dieciocho, suscrita por el C. Director de Normativ</w:t>
      </w:r>
      <w:r w:rsidR="002C29C7">
        <w:rPr>
          <w:rFonts w:ascii="Arial" w:eastAsiaTheme="minorHAnsi" w:hAnsi="Arial" w:cs="Arial"/>
          <w:bCs/>
          <w:sz w:val="24"/>
          <w:szCs w:val="26"/>
          <w:lang w:val="es-ES" w:eastAsia="en-US"/>
        </w:rPr>
        <w:t>idad y Control de Vía Pú</w:t>
      </w:r>
      <w:r w:rsidR="00247665" w:rsidRPr="00247665">
        <w:rPr>
          <w:rFonts w:ascii="Arial" w:eastAsiaTheme="minorHAnsi" w:hAnsi="Arial" w:cs="Arial"/>
          <w:bCs/>
          <w:sz w:val="24"/>
          <w:szCs w:val="26"/>
          <w:lang w:val="es-ES" w:eastAsia="en-US"/>
        </w:rPr>
        <w:t>blica de la Unidad de Inspección y Vigilancia del Municipio de Oaxaca de Juárez Oaxaca</w:t>
      </w:r>
      <w:r w:rsidRPr="00FB2D11">
        <w:rPr>
          <w:rFonts w:ascii="Arial" w:eastAsiaTheme="minorHAnsi" w:hAnsi="Arial" w:cs="Arial"/>
          <w:bCs/>
          <w:sz w:val="24"/>
          <w:szCs w:val="26"/>
          <w:lang w:val="es-ES_tradnl" w:eastAsia="en-US"/>
        </w:rPr>
        <w:t>,</w:t>
      </w:r>
      <w:r w:rsidRPr="00FB2D11">
        <w:rPr>
          <w:rFonts w:ascii="Arial" w:eastAsiaTheme="minorHAnsi" w:hAnsi="Arial" w:cs="Arial"/>
          <w:bCs/>
          <w:sz w:val="24"/>
          <w:szCs w:val="26"/>
          <w:lang w:val="es-ES" w:eastAsia="en-US"/>
        </w:rPr>
        <w:t xml:space="preserve"> </w:t>
      </w:r>
      <w:r w:rsidR="00247665">
        <w:rPr>
          <w:rFonts w:ascii="Arial" w:eastAsiaTheme="minorHAnsi" w:hAnsi="Arial" w:cs="Arial"/>
          <w:bCs/>
          <w:sz w:val="24"/>
          <w:szCs w:val="26"/>
          <w:lang w:val="es-ES" w:eastAsia="en-US"/>
        </w:rPr>
        <w:t>es violatoria de los artículos 17, fracción V, 18</w:t>
      </w:r>
      <w:r w:rsidR="00DC2BA1">
        <w:rPr>
          <w:rFonts w:ascii="Arial" w:eastAsiaTheme="minorHAnsi" w:hAnsi="Arial" w:cs="Arial"/>
          <w:bCs/>
          <w:sz w:val="24"/>
          <w:szCs w:val="26"/>
          <w:lang w:val="es-ES" w:eastAsia="en-US"/>
        </w:rPr>
        <w:t>,</w:t>
      </w:r>
      <w:r w:rsidRPr="00FB2D11">
        <w:rPr>
          <w:rFonts w:ascii="Arial" w:eastAsiaTheme="minorHAnsi" w:hAnsi="Arial" w:cs="Arial"/>
          <w:bCs/>
          <w:sz w:val="24"/>
          <w:szCs w:val="26"/>
          <w:lang w:val="es-ES" w:eastAsia="en-US"/>
        </w:rPr>
        <w:t xml:space="preserve"> </w:t>
      </w:r>
      <w:r w:rsidR="00DA0C3F">
        <w:rPr>
          <w:rFonts w:ascii="Arial" w:eastAsiaTheme="minorHAnsi" w:hAnsi="Arial" w:cs="Arial"/>
          <w:bCs/>
          <w:sz w:val="24"/>
          <w:szCs w:val="26"/>
          <w:lang w:val="es-ES" w:eastAsia="en-US"/>
        </w:rPr>
        <w:t>43</w:t>
      </w:r>
      <w:r w:rsidR="00DC2BA1">
        <w:rPr>
          <w:rFonts w:ascii="Arial" w:eastAsiaTheme="minorHAnsi" w:hAnsi="Arial" w:cs="Arial"/>
          <w:bCs/>
          <w:sz w:val="24"/>
          <w:szCs w:val="26"/>
          <w:lang w:val="es-ES" w:eastAsia="en-US"/>
        </w:rPr>
        <w:t xml:space="preserve"> y 78</w:t>
      </w:r>
      <w:r w:rsidRPr="00FB2D11">
        <w:rPr>
          <w:rFonts w:ascii="Arial" w:eastAsiaTheme="minorHAnsi" w:hAnsi="Arial" w:cs="Arial"/>
          <w:bCs/>
          <w:sz w:val="24"/>
          <w:szCs w:val="26"/>
          <w:lang w:val="es-ES" w:eastAsia="en-US"/>
        </w:rPr>
        <w:t xml:space="preserve"> de la </w:t>
      </w:r>
      <w:r w:rsidR="00247665">
        <w:rPr>
          <w:rFonts w:ascii="Arial" w:eastAsiaTheme="minorHAnsi" w:hAnsi="Arial" w:cs="Arial"/>
          <w:bCs/>
          <w:sz w:val="24"/>
          <w:szCs w:val="26"/>
          <w:lang w:eastAsia="en-US"/>
        </w:rPr>
        <w:t>Ley de Procedimiento y</w:t>
      </w:r>
      <w:r w:rsidR="00247665" w:rsidRPr="00247665">
        <w:rPr>
          <w:rFonts w:ascii="Arial" w:eastAsiaTheme="minorHAnsi" w:hAnsi="Arial" w:cs="Arial"/>
          <w:bCs/>
          <w:sz w:val="24"/>
          <w:szCs w:val="26"/>
          <w:lang w:eastAsia="en-US"/>
        </w:rPr>
        <w:t xml:space="preserve"> Justicia Administrativa</w:t>
      </w:r>
      <w:r w:rsidR="00247665">
        <w:rPr>
          <w:rFonts w:ascii="Arial" w:eastAsiaTheme="minorHAnsi" w:hAnsi="Arial" w:cs="Arial"/>
          <w:bCs/>
          <w:sz w:val="24"/>
          <w:szCs w:val="26"/>
          <w:lang w:eastAsia="en-US"/>
        </w:rPr>
        <w:t xml:space="preserve"> para el Estado d</w:t>
      </w:r>
      <w:r w:rsidR="00247665" w:rsidRPr="00247665">
        <w:rPr>
          <w:rFonts w:ascii="Arial" w:eastAsiaTheme="minorHAnsi" w:hAnsi="Arial" w:cs="Arial"/>
          <w:bCs/>
          <w:sz w:val="24"/>
          <w:szCs w:val="26"/>
          <w:lang w:eastAsia="en-US"/>
        </w:rPr>
        <w:t>e Oaxaca</w:t>
      </w:r>
      <w:r w:rsidRPr="00FB2D11">
        <w:rPr>
          <w:rFonts w:ascii="Arial" w:eastAsiaTheme="minorHAnsi" w:hAnsi="Arial" w:cs="Arial"/>
          <w:bCs/>
          <w:sz w:val="24"/>
          <w:szCs w:val="26"/>
          <w:lang w:val="es-ES" w:eastAsia="en-US"/>
        </w:rPr>
        <w:t>, cuyo contenido se reproduce a continuación:</w:t>
      </w:r>
    </w:p>
    <w:p w14:paraId="6E1CF726" w14:textId="77777777" w:rsidR="00DA0C3F" w:rsidRDefault="00DA0C3F" w:rsidP="00DA0C3F">
      <w:pPr>
        <w:tabs>
          <w:tab w:val="left" w:pos="1276"/>
        </w:tabs>
        <w:spacing w:after="0" w:line="240" w:lineRule="auto"/>
        <w:ind w:left="567" w:right="425"/>
        <w:jc w:val="both"/>
        <w:rPr>
          <w:rFonts w:ascii="Arial" w:eastAsiaTheme="minorHAnsi" w:hAnsi="Arial" w:cs="Arial"/>
          <w:b/>
          <w:bCs/>
          <w:lang w:eastAsia="en-US"/>
        </w:rPr>
      </w:pPr>
    </w:p>
    <w:p w14:paraId="055991C8" w14:textId="54379F0A" w:rsidR="00FB2D11" w:rsidRPr="00DA0C3F" w:rsidRDefault="00247665" w:rsidP="00DA0C3F">
      <w:pPr>
        <w:tabs>
          <w:tab w:val="left" w:pos="1276"/>
        </w:tabs>
        <w:spacing w:after="0" w:line="240" w:lineRule="auto"/>
        <w:ind w:left="567" w:right="425"/>
        <w:jc w:val="both"/>
        <w:rPr>
          <w:rFonts w:ascii="Arial" w:eastAsiaTheme="minorHAnsi" w:hAnsi="Arial" w:cs="Arial"/>
          <w:bCs/>
          <w:lang w:eastAsia="en-US"/>
        </w:rPr>
      </w:pPr>
      <w:r w:rsidRPr="00DA0C3F">
        <w:rPr>
          <w:rFonts w:ascii="Arial" w:eastAsiaTheme="minorHAnsi" w:hAnsi="Arial" w:cs="Arial"/>
          <w:b/>
          <w:bCs/>
          <w:lang w:eastAsia="en-US"/>
        </w:rPr>
        <w:t xml:space="preserve">ARTÍCULO 17.- </w:t>
      </w:r>
      <w:r w:rsidRPr="00DA0C3F">
        <w:rPr>
          <w:rFonts w:ascii="Arial" w:eastAsiaTheme="minorHAnsi" w:hAnsi="Arial" w:cs="Arial"/>
          <w:bCs/>
          <w:lang w:eastAsia="en-US"/>
        </w:rPr>
        <w:t>Son elementos y requisitos de validez del acto administrativo:</w:t>
      </w:r>
    </w:p>
    <w:p w14:paraId="6D35D772" w14:textId="1BAF5F0A" w:rsidR="00247665" w:rsidRPr="00DA0C3F" w:rsidRDefault="00247665" w:rsidP="00DA0C3F">
      <w:pPr>
        <w:tabs>
          <w:tab w:val="left" w:pos="1276"/>
        </w:tabs>
        <w:spacing w:after="0" w:line="240" w:lineRule="auto"/>
        <w:ind w:left="567" w:right="425"/>
        <w:jc w:val="both"/>
        <w:rPr>
          <w:rFonts w:ascii="Arial" w:eastAsiaTheme="minorHAnsi" w:hAnsi="Arial" w:cs="Arial"/>
          <w:bCs/>
          <w:lang w:val="es-ES" w:eastAsia="en-US"/>
        </w:rPr>
      </w:pPr>
      <w:r w:rsidRPr="00DA0C3F">
        <w:rPr>
          <w:rFonts w:ascii="Arial" w:eastAsiaTheme="minorHAnsi" w:hAnsi="Arial" w:cs="Arial"/>
          <w:bCs/>
          <w:lang w:eastAsia="en-US"/>
        </w:rPr>
        <w:t>(…)</w:t>
      </w:r>
    </w:p>
    <w:p w14:paraId="583A5B3B" w14:textId="72A92CED" w:rsidR="00FB2D11" w:rsidRPr="00DA0C3F" w:rsidRDefault="00247665" w:rsidP="00DA0C3F">
      <w:pPr>
        <w:tabs>
          <w:tab w:val="left" w:pos="1276"/>
        </w:tabs>
        <w:spacing w:after="0" w:line="240" w:lineRule="auto"/>
        <w:ind w:left="567" w:right="425"/>
        <w:jc w:val="both"/>
        <w:rPr>
          <w:rFonts w:ascii="Arial" w:eastAsiaTheme="minorHAnsi" w:hAnsi="Arial" w:cs="Arial"/>
          <w:bCs/>
          <w:lang w:val="es-ES" w:eastAsia="en-US"/>
        </w:rPr>
      </w:pPr>
      <w:r w:rsidRPr="00DA0C3F">
        <w:rPr>
          <w:rFonts w:ascii="Arial" w:eastAsiaTheme="minorHAnsi" w:hAnsi="Arial" w:cs="Arial"/>
          <w:b/>
          <w:bCs/>
          <w:lang w:eastAsia="en-US"/>
        </w:rPr>
        <w:t>V.</w:t>
      </w:r>
      <w:r w:rsidRPr="00DA0C3F">
        <w:rPr>
          <w:rFonts w:ascii="Arial" w:eastAsiaTheme="minorHAnsi" w:hAnsi="Arial" w:cs="Arial"/>
          <w:bCs/>
          <w:lang w:eastAsia="en-US"/>
        </w:rPr>
        <w:t xml:space="preserve"> Estar fundado y motivado;</w:t>
      </w:r>
    </w:p>
    <w:p w14:paraId="5BE39F60" w14:textId="77777777" w:rsidR="00247665" w:rsidRPr="00DA0C3F" w:rsidRDefault="00247665" w:rsidP="00DA0C3F">
      <w:pPr>
        <w:autoSpaceDE w:val="0"/>
        <w:autoSpaceDN w:val="0"/>
        <w:adjustRightInd w:val="0"/>
        <w:spacing w:after="0" w:line="240" w:lineRule="auto"/>
        <w:ind w:left="567" w:right="425"/>
        <w:jc w:val="both"/>
        <w:rPr>
          <w:rFonts w:ascii="Arial" w:hAnsi="Arial" w:cs="Arial"/>
          <w:b/>
          <w:bCs/>
        </w:rPr>
      </w:pPr>
    </w:p>
    <w:p w14:paraId="332CD1A1" w14:textId="70C385CF" w:rsidR="00247665" w:rsidRPr="00DA0C3F" w:rsidRDefault="00247665" w:rsidP="00DA0C3F">
      <w:pPr>
        <w:autoSpaceDE w:val="0"/>
        <w:autoSpaceDN w:val="0"/>
        <w:adjustRightInd w:val="0"/>
        <w:spacing w:after="0" w:line="240" w:lineRule="auto"/>
        <w:ind w:left="567" w:right="425"/>
        <w:jc w:val="both"/>
        <w:rPr>
          <w:rFonts w:ascii="Arial" w:hAnsi="Arial" w:cs="Arial"/>
        </w:rPr>
      </w:pPr>
      <w:r w:rsidRPr="00DA0C3F">
        <w:rPr>
          <w:rFonts w:ascii="Arial" w:hAnsi="Arial" w:cs="Arial"/>
          <w:b/>
          <w:bCs/>
        </w:rPr>
        <w:t xml:space="preserve">ARTÍCULO 18.- </w:t>
      </w:r>
      <w:r w:rsidRPr="00DA0C3F">
        <w:rPr>
          <w:rFonts w:ascii="Arial" w:hAnsi="Arial" w:cs="Arial"/>
        </w:rPr>
        <w:t>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28665016" w14:textId="206CE084" w:rsidR="00247665" w:rsidRPr="00DA0C3F" w:rsidRDefault="00247665" w:rsidP="00DA0C3F">
      <w:pPr>
        <w:autoSpaceDE w:val="0"/>
        <w:autoSpaceDN w:val="0"/>
        <w:adjustRightInd w:val="0"/>
        <w:spacing w:after="0" w:line="240" w:lineRule="auto"/>
        <w:ind w:left="567" w:right="425"/>
        <w:jc w:val="both"/>
        <w:rPr>
          <w:rFonts w:ascii="Arial" w:hAnsi="Arial" w:cs="Arial"/>
          <w:bCs/>
          <w:sz w:val="20"/>
          <w:szCs w:val="20"/>
        </w:rPr>
      </w:pPr>
      <w:r w:rsidRPr="00DA0C3F">
        <w:rPr>
          <w:rFonts w:ascii="Arial" w:hAnsi="Arial" w:cs="Arial"/>
          <w:bCs/>
          <w:sz w:val="20"/>
          <w:szCs w:val="20"/>
        </w:rPr>
        <w:t>(Párrafo reformado mediante decreto número 1464, aprobado por la LXIII Legislatura el 15 de abril del 2018 y publicado en el Periódico Oficial número 25, Décimo Segunda Sección el 23 de junio del 2018)</w:t>
      </w:r>
    </w:p>
    <w:p w14:paraId="0BEDE1F3" w14:textId="77777777" w:rsidR="00247665" w:rsidRPr="00DA0C3F" w:rsidRDefault="00247665" w:rsidP="00DA0C3F">
      <w:pPr>
        <w:autoSpaceDE w:val="0"/>
        <w:autoSpaceDN w:val="0"/>
        <w:adjustRightInd w:val="0"/>
        <w:spacing w:after="0" w:line="240" w:lineRule="auto"/>
        <w:ind w:left="567" w:right="425"/>
        <w:jc w:val="both"/>
        <w:rPr>
          <w:rFonts w:ascii="Arial" w:hAnsi="Arial" w:cs="Arial"/>
          <w:b/>
          <w:bCs/>
        </w:rPr>
      </w:pPr>
    </w:p>
    <w:p w14:paraId="625F0453" w14:textId="1278BDAE" w:rsidR="00247665" w:rsidRPr="00DA0C3F" w:rsidRDefault="00247665" w:rsidP="00DA0C3F">
      <w:pPr>
        <w:autoSpaceDE w:val="0"/>
        <w:autoSpaceDN w:val="0"/>
        <w:adjustRightInd w:val="0"/>
        <w:spacing w:after="0" w:line="240" w:lineRule="auto"/>
        <w:ind w:left="567" w:right="425"/>
        <w:jc w:val="both"/>
        <w:rPr>
          <w:rFonts w:ascii="Arial" w:hAnsi="Arial" w:cs="Arial"/>
        </w:rPr>
      </w:pPr>
      <w:r w:rsidRPr="00DA0C3F">
        <w:rPr>
          <w:rFonts w:ascii="Arial" w:hAnsi="Arial" w:cs="Arial"/>
          <w:b/>
        </w:rPr>
        <w:t>I.</w:t>
      </w:r>
      <w:r w:rsidRPr="00DA0C3F">
        <w:rPr>
          <w:rFonts w:ascii="Arial" w:hAnsi="Arial" w:cs="Arial"/>
        </w:rPr>
        <w:t xml:space="preserve">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w:t>
      </w:r>
      <w:r w:rsidR="00001A68" w:rsidRPr="00DA0C3F">
        <w:rPr>
          <w:rFonts w:ascii="Arial" w:hAnsi="Arial" w:cs="Arial"/>
        </w:rPr>
        <w:t xml:space="preserve"> </w:t>
      </w:r>
      <w:r w:rsidRPr="00DA0C3F">
        <w:rPr>
          <w:rFonts w:ascii="Arial" w:hAnsi="Arial" w:cs="Arial"/>
        </w:rPr>
        <w:t>caso, la nulidad será declarada por el Tribunal. En caso de que el superior se niegue</w:t>
      </w:r>
      <w:r w:rsidR="00001A68" w:rsidRPr="00DA0C3F">
        <w:rPr>
          <w:rFonts w:ascii="Arial" w:hAnsi="Arial" w:cs="Arial"/>
        </w:rPr>
        <w:t xml:space="preserve"> </w:t>
      </w:r>
      <w:r w:rsidRPr="00DA0C3F">
        <w:rPr>
          <w:rFonts w:ascii="Arial" w:hAnsi="Arial" w:cs="Arial"/>
        </w:rPr>
        <w:t>a declarar dicha nulidad, la declaración sea imperfecta o no proceda conforme a la</w:t>
      </w:r>
      <w:r w:rsidR="00001A68" w:rsidRPr="00DA0C3F">
        <w:rPr>
          <w:rFonts w:ascii="Arial" w:hAnsi="Arial" w:cs="Arial"/>
        </w:rPr>
        <w:t xml:space="preserve"> </w:t>
      </w:r>
      <w:r w:rsidRPr="00DA0C3F">
        <w:rPr>
          <w:rFonts w:ascii="Arial" w:hAnsi="Arial" w:cs="Arial"/>
        </w:rPr>
        <w:t>presente Ley, la nulidad deberá ser declarada por el Tribunal;</w:t>
      </w:r>
    </w:p>
    <w:p w14:paraId="3D117681" w14:textId="77777777" w:rsidR="00001A68" w:rsidRPr="00DA0C3F" w:rsidRDefault="00001A68" w:rsidP="00DA0C3F">
      <w:pPr>
        <w:autoSpaceDE w:val="0"/>
        <w:autoSpaceDN w:val="0"/>
        <w:adjustRightInd w:val="0"/>
        <w:spacing w:after="0" w:line="240" w:lineRule="auto"/>
        <w:ind w:left="567" w:right="425"/>
        <w:jc w:val="both"/>
        <w:rPr>
          <w:rFonts w:ascii="Arial" w:hAnsi="Arial" w:cs="Arial"/>
        </w:rPr>
      </w:pPr>
    </w:p>
    <w:p w14:paraId="31F7C849" w14:textId="597431B7" w:rsidR="00247665" w:rsidRDefault="00247665" w:rsidP="00DA0C3F">
      <w:pPr>
        <w:autoSpaceDE w:val="0"/>
        <w:autoSpaceDN w:val="0"/>
        <w:adjustRightInd w:val="0"/>
        <w:spacing w:after="0" w:line="240" w:lineRule="auto"/>
        <w:ind w:left="567" w:right="425"/>
        <w:jc w:val="both"/>
        <w:rPr>
          <w:rFonts w:ascii="Arial" w:hAnsi="Arial" w:cs="Arial"/>
        </w:rPr>
      </w:pPr>
      <w:r w:rsidRPr="00DA0C3F">
        <w:rPr>
          <w:rFonts w:ascii="Arial" w:hAnsi="Arial" w:cs="Arial"/>
          <w:b/>
        </w:rPr>
        <w:t>II</w:t>
      </w:r>
      <w:r w:rsidRPr="00DA0C3F">
        <w:rPr>
          <w:rFonts w:ascii="Arial" w:hAnsi="Arial" w:cs="Arial"/>
        </w:rPr>
        <w:t>. El acto administrativo que se declare jurídicamente nulo será inválido; no se presumirá</w:t>
      </w:r>
      <w:r w:rsidR="00001A68" w:rsidRPr="00DA0C3F">
        <w:rPr>
          <w:rFonts w:ascii="Arial" w:hAnsi="Arial" w:cs="Arial"/>
        </w:rPr>
        <w:t xml:space="preserve"> </w:t>
      </w:r>
      <w:r w:rsidRPr="00DA0C3F">
        <w:rPr>
          <w:rFonts w:ascii="Arial" w:hAnsi="Arial" w:cs="Arial"/>
        </w:rPr>
        <w:t>legítimo ni ejecutable; será subsanable, sin perjuicio de que pueda expedirse un nuevo</w:t>
      </w:r>
      <w:r w:rsidR="00001A68" w:rsidRPr="00DA0C3F">
        <w:rPr>
          <w:rFonts w:ascii="Arial" w:hAnsi="Arial" w:cs="Arial"/>
        </w:rPr>
        <w:t xml:space="preserve"> </w:t>
      </w:r>
      <w:r w:rsidRPr="00DA0C3F">
        <w:rPr>
          <w:rFonts w:ascii="Arial" w:hAnsi="Arial" w:cs="Arial"/>
        </w:rPr>
        <w:t>acto. Los particulares no tendrán obligación de cumplirlo y los servidores públicos</w:t>
      </w:r>
      <w:r w:rsidR="00001A68" w:rsidRPr="00DA0C3F">
        <w:rPr>
          <w:rFonts w:ascii="Arial" w:hAnsi="Arial" w:cs="Arial"/>
        </w:rPr>
        <w:t xml:space="preserve"> </w:t>
      </w:r>
      <w:r w:rsidRPr="00DA0C3F">
        <w:rPr>
          <w:rFonts w:ascii="Arial" w:hAnsi="Arial" w:cs="Arial"/>
        </w:rPr>
        <w:t>deberán hacer constar su oposición a ejecutar el acto, fundando y motivando tal</w:t>
      </w:r>
      <w:r w:rsidR="00001A68" w:rsidRPr="00DA0C3F">
        <w:rPr>
          <w:rFonts w:ascii="Arial" w:hAnsi="Arial" w:cs="Arial"/>
        </w:rPr>
        <w:t xml:space="preserve"> </w:t>
      </w:r>
      <w:r w:rsidRPr="00DA0C3F">
        <w:rPr>
          <w:rFonts w:ascii="Arial" w:hAnsi="Arial" w:cs="Arial"/>
        </w:rPr>
        <w:t>negativa. La declaración de nulidad producirá efectos retroactivos;</w:t>
      </w:r>
    </w:p>
    <w:p w14:paraId="684253AE" w14:textId="77777777" w:rsidR="00DA0C3F" w:rsidRPr="00DA0C3F" w:rsidRDefault="00DA0C3F" w:rsidP="00DA0C3F">
      <w:pPr>
        <w:autoSpaceDE w:val="0"/>
        <w:autoSpaceDN w:val="0"/>
        <w:adjustRightInd w:val="0"/>
        <w:spacing w:after="0" w:line="240" w:lineRule="auto"/>
        <w:ind w:left="567" w:right="425"/>
        <w:jc w:val="both"/>
        <w:rPr>
          <w:rFonts w:ascii="Arial" w:hAnsi="Arial" w:cs="Arial"/>
        </w:rPr>
      </w:pPr>
    </w:p>
    <w:p w14:paraId="0266AD0F" w14:textId="75055B2B" w:rsidR="00247665" w:rsidRPr="00DA0C3F" w:rsidRDefault="00247665" w:rsidP="00DA0C3F">
      <w:pPr>
        <w:tabs>
          <w:tab w:val="left" w:pos="1276"/>
        </w:tabs>
        <w:spacing w:after="0" w:line="240" w:lineRule="auto"/>
        <w:ind w:left="567" w:right="425"/>
        <w:jc w:val="both"/>
        <w:rPr>
          <w:rFonts w:ascii="Arial" w:hAnsi="Arial" w:cs="Arial"/>
        </w:rPr>
      </w:pPr>
      <w:r w:rsidRPr="00DA0C3F">
        <w:rPr>
          <w:rFonts w:ascii="Arial" w:hAnsi="Arial" w:cs="Arial"/>
          <w:b/>
        </w:rPr>
        <w:t>III.</w:t>
      </w:r>
      <w:r w:rsidRPr="00DA0C3F">
        <w:rPr>
          <w:rFonts w:ascii="Arial" w:hAnsi="Arial" w:cs="Arial"/>
        </w:rPr>
        <w:t xml:space="preserve"> En caso de que el acto se hubiera consumado, o bien, sea imposible de hecho o de</w:t>
      </w:r>
      <w:r w:rsidR="00001A68" w:rsidRPr="00DA0C3F">
        <w:rPr>
          <w:rFonts w:ascii="Arial" w:hAnsi="Arial" w:cs="Arial"/>
        </w:rPr>
        <w:t xml:space="preserve"> </w:t>
      </w:r>
      <w:r w:rsidRPr="00DA0C3F">
        <w:rPr>
          <w:rFonts w:ascii="Arial" w:hAnsi="Arial" w:cs="Arial"/>
        </w:rPr>
        <w:t>derecho retrotraer sus efectos, sólo dará lugar a la responsabilidad del servidor público</w:t>
      </w:r>
      <w:r w:rsidR="00001A68" w:rsidRPr="00DA0C3F">
        <w:rPr>
          <w:rFonts w:ascii="Arial" w:hAnsi="Arial" w:cs="Arial"/>
        </w:rPr>
        <w:t xml:space="preserve"> </w:t>
      </w:r>
      <w:r w:rsidRPr="00DA0C3F">
        <w:rPr>
          <w:rFonts w:ascii="Arial" w:hAnsi="Arial" w:cs="Arial"/>
        </w:rPr>
        <w:t>que lo hubiere emitido u ordenado; y</w:t>
      </w:r>
    </w:p>
    <w:p w14:paraId="5391232F" w14:textId="77777777" w:rsidR="00DA0C3F" w:rsidRDefault="00DA0C3F" w:rsidP="00DA0C3F">
      <w:pPr>
        <w:tabs>
          <w:tab w:val="left" w:pos="1276"/>
        </w:tabs>
        <w:spacing w:after="0" w:line="240" w:lineRule="auto"/>
        <w:ind w:left="567" w:right="425"/>
        <w:jc w:val="both"/>
        <w:rPr>
          <w:rFonts w:ascii="Arial" w:hAnsi="Arial" w:cs="Arial"/>
        </w:rPr>
      </w:pPr>
    </w:p>
    <w:p w14:paraId="33EBB60C" w14:textId="6E7DBD7B" w:rsidR="00247665" w:rsidRPr="00DA0C3F" w:rsidRDefault="00247665" w:rsidP="00DA0C3F">
      <w:pPr>
        <w:tabs>
          <w:tab w:val="left" w:pos="1276"/>
        </w:tabs>
        <w:spacing w:after="0" w:line="240" w:lineRule="auto"/>
        <w:ind w:left="567" w:right="425"/>
        <w:jc w:val="both"/>
        <w:rPr>
          <w:rFonts w:ascii="Arial" w:hAnsi="Arial" w:cs="Arial"/>
        </w:rPr>
      </w:pPr>
      <w:r w:rsidRPr="00DA0C3F">
        <w:rPr>
          <w:rFonts w:ascii="Arial" w:hAnsi="Arial" w:cs="Arial"/>
          <w:b/>
        </w:rPr>
        <w:t>IV.</w:t>
      </w:r>
      <w:r w:rsidRPr="00DA0C3F">
        <w:rPr>
          <w:rFonts w:ascii="Arial" w:hAnsi="Arial" w:cs="Arial"/>
        </w:rPr>
        <w:t xml:space="preserve"> La omisión o irregularidad en los elementos y requisitos señalados en las fracciones</w:t>
      </w:r>
      <w:r w:rsidR="00001A68" w:rsidRPr="00DA0C3F">
        <w:rPr>
          <w:rFonts w:ascii="Arial" w:hAnsi="Arial" w:cs="Arial"/>
        </w:rPr>
        <w:t xml:space="preserve"> </w:t>
      </w:r>
      <w:r w:rsidRPr="00DA0C3F">
        <w:rPr>
          <w:rFonts w:ascii="Arial" w:hAnsi="Arial" w:cs="Arial"/>
        </w:rPr>
        <w:t>XI a la XV del artículo 17 producirá la nulidad del acto administrativo y dará acción al</w:t>
      </w:r>
      <w:r w:rsidR="00001A68" w:rsidRPr="00DA0C3F">
        <w:rPr>
          <w:rFonts w:ascii="Arial" w:hAnsi="Arial" w:cs="Arial"/>
        </w:rPr>
        <w:t xml:space="preserve"> </w:t>
      </w:r>
      <w:r w:rsidRPr="00DA0C3F">
        <w:rPr>
          <w:rFonts w:ascii="Arial" w:hAnsi="Arial" w:cs="Arial"/>
        </w:rPr>
        <w:t>administrado para demandar ésta ante el Tribunal.</w:t>
      </w:r>
    </w:p>
    <w:p w14:paraId="01FFAE46" w14:textId="77777777" w:rsidR="00DA0C3F" w:rsidRDefault="00DA0C3F" w:rsidP="00DA0C3F">
      <w:pPr>
        <w:tabs>
          <w:tab w:val="left" w:pos="1276"/>
        </w:tabs>
        <w:spacing w:after="0" w:line="240" w:lineRule="auto"/>
        <w:ind w:left="567" w:right="425"/>
        <w:jc w:val="both"/>
        <w:rPr>
          <w:rFonts w:ascii="Arial" w:eastAsiaTheme="minorHAnsi" w:hAnsi="Arial" w:cs="Arial"/>
          <w:b/>
          <w:bCs/>
          <w:lang w:eastAsia="en-US"/>
        </w:rPr>
      </w:pPr>
    </w:p>
    <w:p w14:paraId="74B3AA1F" w14:textId="7A750A7E" w:rsidR="00247665" w:rsidRDefault="00DA0C3F" w:rsidP="00DC2BA1">
      <w:pPr>
        <w:tabs>
          <w:tab w:val="left" w:pos="1276"/>
        </w:tabs>
        <w:spacing w:after="0" w:line="240" w:lineRule="auto"/>
        <w:ind w:left="567" w:right="425"/>
        <w:jc w:val="both"/>
        <w:rPr>
          <w:rFonts w:ascii="Arial" w:eastAsiaTheme="minorHAnsi" w:hAnsi="Arial" w:cs="Arial"/>
          <w:bCs/>
          <w:lang w:eastAsia="en-US"/>
        </w:rPr>
      </w:pPr>
      <w:r w:rsidRPr="00DA0C3F">
        <w:rPr>
          <w:rFonts w:ascii="Arial" w:eastAsiaTheme="minorHAnsi" w:hAnsi="Arial" w:cs="Arial"/>
          <w:b/>
          <w:bCs/>
          <w:lang w:eastAsia="en-US"/>
        </w:rPr>
        <w:t xml:space="preserve">ARTÍCULO 43.- </w:t>
      </w:r>
      <w:r w:rsidRPr="00DA0C3F">
        <w:rPr>
          <w:rFonts w:ascii="Arial" w:eastAsiaTheme="minorHAnsi" w:hAnsi="Arial" w:cs="Arial"/>
          <w:bCs/>
          <w:lang w:eastAsia="en-US"/>
        </w:rPr>
        <w:t xml:space="preserve">Para efectos de las notificaciones, citaciones, emplazamientos, requerimientos, visitas e informes, a falta de términos o plazos establecidos en las leyes administrativas para la realización de </w:t>
      </w:r>
      <w:r w:rsidRPr="00DC2BA1">
        <w:rPr>
          <w:rFonts w:ascii="Arial" w:eastAsiaTheme="minorHAnsi" w:hAnsi="Arial" w:cs="Arial"/>
          <w:bCs/>
          <w:lang w:eastAsia="en-US"/>
        </w:rPr>
        <w:t>trámites, aquellos no excederán de diez días. El órgano administrativo deberá hacer del conocimiento del interesado dicho plazo.</w:t>
      </w:r>
    </w:p>
    <w:p w14:paraId="25D904DD" w14:textId="77777777" w:rsidR="00DC2BA1" w:rsidRPr="00DC2BA1" w:rsidRDefault="00DC2BA1" w:rsidP="00DC2BA1">
      <w:pPr>
        <w:tabs>
          <w:tab w:val="left" w:pos="1276"/>
        </w:tabs>
        <w:spacing w:after="0" w:line="240" w:lineRule="auto"/>
        <w:ind w:left="567" w:right="425"/>
        <w:jc w:val="both"/>
        <w:rPr>
          <w:rFonts w:ascii="Arial" w:eastAsiaTheme="minorHAnsi" w:hAnsi="Arial" w:cs="Arial"/>
          <w:bCs/>
          <w:lang w:val="es-ES" w:eastAsia="en-US"/>
        </w:rPr>
      </w:pPr>
    </w:p>
    <w:p w14:paraId="69843781" w14:textId="43EE4F53" w:rsidR="00FB2D11" w:rsidRPr="00DC2BA1" w:rsidRDefault="00DC2BA1" w:rsidP="00DC2BA1">
      <w:pPr>
        <w:tabs>
          <w:tab w:val="left" w:pos="1276"/>
        </w:tabs>
        <w:spacing w:after="0" w:line="240" w:lineRule="auto"/>
        <w:ind w:left="567" w:right="425"/>
        <w:jc w:val="both"/>
        <w:rPr>
          <w:rFonts w:ascii="Arial" w:eastAsiaTheme="minorHAnsi" w:hAnsi="Arial" w:cs="Arial"/>
          <w:bCs/>
          <w:lang w:val="es-ES" w:eastAsia="en-US"/>
        </w:rPr>
      </w:pPr>
      <w:r w:rsidRPr="00DC2BA1">
        <w:rPr>
          <w:rFonts w:ascii="Arial" w:eastAsiaTheme="minorHAnsi" w:hAnsi="Arial" w:cs="Arial"/>
          <w:b/>
          <w:bCs/>
          <w:lang w:eastAsia="en-US"/>
        </w:rPr>
        <w:t xml:space="preserve">ARTÍCULO 78.- </w:t>
      </w:r>
      <w:r w:rsidRPr="00DC2BA1">
        <w:rPr>
          <w:rFonts w:ascii="Arial" w:eastAsiaTheme="minorHAnsi" w:hAnsi="Arial" w:cs="Arial"/>
          <w:bCs/>
          <w:lang w:eastAsia="en-US"/>
        </w:rPr>
        <w:t>Los verificadores, para practicar visitas, deberán estar provistos de orden escrita con firma autógrafa expedida por la autoridad competente, en la que deberá precisarse el lugar o zona que ha de verificarse, el objeto de la visita, el alcance que deba tener y las disposiciones legales que lo fundamenten.</w:t>
      </w:r>
    </w:p>
    <w:p w14:paraId="224D9BC7" w14:textId="2F59EE6B" w:rsidR="00A84775" w:rsidRPr="00A84775" w:rsidRDefault="00A84775" w:rsidP="00A84775">
      <w:pPr>
        <w:tabs>
          <w:tab w:val="left" w:pos="1276"/>
        </w:tabs>
        <w:spacing w:before="240" w:after="0" w:line="360" w:lineRule="auto"/>
        <w:ind w:firstLine="567"/>
        <w:jc w:val="both"/>
        <w:rPr>
          <w:rFonts w:ascii="Arial" w:eastAsiaTheme="minorHAnsi" w:hAnsi="Arial" w:cs="Arial"/>
          <w:bCs/>
          <w:sz w:val="24"/>
          <w:szCs w:val="26"/>
          <w:lang w:val="es-ES" w:eastAsia="en-US"/>
        </w:rPr>
      </w:pPr>
      <w:r w:rsidRPr="00A84775">
        <w:rPr>
          <w:rFonts w:ascii="Arial" w:eastAsiaTheme="minorHAnsi" w:hAnsi="Arial" w:cs="Arial"/>
          <w:bCs/>
          <w:sz w:val="24"/>
          <w:szCs w:val="26"/>
          <w:lang w:val="es-ES" w:eastAsia="en-US"/>
        </w:rPr>
        <w:t>Los preceptos legales y reglamentarios reproducidos le imponen e</w:t>
      </w:r>
      <w:r w:rsidR="00361706">
        <w:rPr>
          <w:rFonts w:ascii="Arial" w:eastAsiaTheme="minorHAnsi" w:hAnsi="Arial" w:cs="Arial"/>
          <w:bCs/>
          <w:sz w:val="24"/>
          <w:szCs w:val="26"/>
          <w:lang w:val="es-ES" w:eastAsia="en-US"/>
        </w:rPr>
        <w:t>l deber a las autoridades de</w:t>
      </w:r>
      <w:r w:rsidRPr="00A84775">
        <w:rPr>
          <w:rFonts w:ascii="Arial" w:eastAsiaTheme="minorHAnsi" w:hAnsi="Arial" w:cs="Arial"/>
          <w:bCs/>
          <w:sz w:val="24"/>
          <w:szCs w:val="26"/>
          <w:lang w:val="es-ES" w:eastAsia="en-US"/>
        </w:rPr>
        <w:t xml:space="preserve"> fundar y motivar sus actos, como lo es la orden de inspección.</w:t>
      </w:r>
    </w:p>
    <w:p w14:paraId="2D69E52E" w14:textId="6338303B" w:rsidR="00A84775" w:rsidRPr="00A84775" w:rsidRDefault="00A84775" w:rsidP="00A84775">
      <w:pPr>
        <w:tabs>
          <w:tab w:val="left" w:pos="1276"/>
        </w:tabs>
        <w:spacing w:before="240" w:after="0" w:line="360" w:lineRule="auto"/>
        <w:ind w:firstLine="567"/>
        <w:jc w:val="both"/>
        <w:rPr>
          <w:rFonts w:ascii="Arial" w:eastAsiaTheme="minorHAnsi" w:hAnsi="Arial" w:cs="Arial"/>
          <w:bCs/>
          <w:sz w:val="24"/>
          <w:szCs w:val="26"/>
          <w:lang w:val="es-ES" w:eastAsia="en-US"/>
        </w:rPr>
      </w:pPr>
      <w:r w:rsidRPr="00A84775">
        <w:rPr>
          <w:rFonts w:ascii="Arial" w:eastAsiaTheme="minorHAnsi" w:hAnsi="Arial" w:cs="Arial"/>
          <w:bCs/>
          <w:sz w:val="24"/>
          <w:szCs w:val="26"/>
          <w:lang w:val="es-ES" w:eastAsia="en-US"/>
        </w:rPr>
        <w:t>Además, para cumplir con el principio de seguridad jurídica, los preceptos reproducidos con antelación disponen que el personal autorizado, al realizar las visitas de inspección, deberá presentar la orden escrita</w:t>
      </w:r>
      <w:r w:rsidR="00361706">
        <w:rPr>
          <w:rFonts w:ascii="Arial" w:eastAsiaTheme="minorHAnsi" w:hAnsi="Arial" w:cs="Arial"/>
          <w:bCs/>
          <w:sz w:val="24"/>
          <w:szCs w:val="26"/>
          <w:lang w:val="es-ES" w:eastAsia="en-US"/>
        </w:rPr>
        <w:t xml:space="preserve"> con firma autógrafa </w:t>
      </w:r>
      <w:r w:rsidRPr="00A84775">
        <w:rPr>
          <w:rFonts w:ascii="Arial" w:eastAsiaTheme="minorHAnsi" w:hAnsi="Arial" w:cs="Arial"/>
          <w:bCs/>
          <w:sz w:val="24"/>
          <w:szCs w:val="26"/>
          <w:lang w:val="es-ES" w:eastAsia="en-US"/>
        </w:rPr>
        <w:t xml:space="preserve">expedida por autoridad competente, en la que se precisará el lugar o </w:t>
      </w:r>
      <w:r w:rsidR="00361706">
        <w:rPr>
          <w:rFonts w:ascii="Arial" w:eastAsiaTheme="minorHAnsi" w:hAnsi="Arial" w:cs="Arial"/>
          <w:bCs/>
          <w:sz w:val="24"/>
          <w:szCs w:val="26"/>
          <w:lang w:val="es-ES" w:eastAsia="en-US"/>
        </w:rPr>
        <w:t>zona que habrá de verificarse</w:t>
      </w:r>
      <w:r w:rsidRPr="00A84775">
        <w:rPr>
          <w:rFonts w:ascii="Arial" w:eastAsiaTheme="minorHAnsi" w:hAnsi="Arial" w:cs="Arial"/>
          <w:bCs/>
          <w:sz w:val="24"/>
          <w:szCs w:val="26"/>
          <w:lang w:val="es-ES" w:eastAsia="en-US"/>
        </w:rPr>
        <w:t xml:space="preserve">, el objeto de la </w:t>
      </w:r>
      <w:r w:rsidR="00361706">
        <w:rPr>
          <w:rFonts w:ascii="Arial" w:eastAsiaTheme="minorHAnsi" w:hAnsi="Arial" w:cs="Arial"/>
          <w:bCs/>
          <w:sz w:val="24"/>
          <w:szCs w:val="26"/>
          <w:lang w:val="es-ES" w:eastAsia="en-US"/>
        </w:rPr>
        <w:t>visita</w:t>
      </w:r>
      <w:r w:rsidRPr="00A84775">
        <w:rPr>
          <w:rFonts w:ascii="Arial" w:eastAsiaTheme="minorHAnsi" w:hAnsi="Arial" w:cs="Arial"/>
          <w:bCs/>
          <w:sz w:val="24"/>
          <w:szCs w:val="26"/>
          <w:lang w:val="es-ES" w:eastAsia="en-US"/>
        </w:rPr>
        <w:t xml:space="preserve"> y alcance de ésta; </w:t>
      </w:r>
      <w:r w:rsidR="00361706">
        <w:rPr>
          <w:rFonts w:ascii="Arial" w:eastAsiaTheme="minorHAnsi" w:hAnsi="Arial" w:cs="Arial"/>
          <w:bCs/>
          <w:sz w:val="24"/>
          <w:szCs w:val="26"/>
          <w:lang w:val="es-ES" w:eastAsia="en-US"/>
        </w:rPr>
        <w:t>asimismo disponen dichos ordenamientos que</w:t>
      </w:r>
      <w:r w:rsidRPr="00A84775">
        <w:rPr>
          <w:rFonts w:ascii="Arial" w:eastAsiaTheme="minorHAnsi" w:hAnsi="Arial" w:cs="Arial"/>
          <w:bCs/>
          <w:sz w:val="24"/>
          <w:szCs w:val="26"/>
          <w:lang w:val="es-ES" w:eastAsia="en-US"/>
        </w:rPr>
        <w:t xml:space="preserve"> a falta de términos o plazos establecidos en las leyes </w:t>
      </w:r>
      <w:r w:rsidRPr="00A84775">
        <w:rPr>
          <w:rFonts w:ascii="Arial" w:eastAsiaTheme="minorHAnsi" w:hAnsi="Arial" w:cs="Arial"/>
          <w:bCs/>
          <w:sz w:val="24"/>
          <w:szCs w:val="26"/>
          <w:lang w:val="es-ES" w:eastAsia="en-US"/>
        </w:rPr>
        <w:lastRenderedPageBreak/>
        <w:t>administrativas para la realización de trámites, que aquéllos no deben exceder de diez días.</w:t>
      </w:r>
    </w:p>
    <w:p w14:paraId="11364035" w14:textId="3C8476BB" w:rsidR="00A84775" w:rsidRPr="00A84775" w:rsidRDefault="00A84775" w:rsidP="00A84775">
      <w:pPr>
        <w:tabs>
          <w:tab w:val="left" w:pos="1276"/>
        </w:tabs>
        <w:spacing w:before="240" w:after="0" w:line="360" w:lineRule="auto"/>
        <w:ind w:firstLine="567"/>
        <w:jc w:val="both"/>
        <w:rPr>
          <w:rFonts w:ascii="Arial" w:eastAsiaTheme="minorHAnsi" w:hAnsi="Arial" w:cs="Arial"/>
          <w:bCs/>
          <w:sz w:val="24"/>
          <w:szCs w:val="26"/>
          <w:lang w:val="es-ES" w:eastAsia="en-US"/>
        </w:rPr>
      </w:pPr>
      <w:r w:rsidRPr="00A84775">
        <w:rPr>
          <w:rFonts w:ascii="Arial" w:eastAsiaTheme="minorHAnsi" w:hAnsi="Arial" w:cs="Arial"/>
          <w:bCs/>
          <w:sz w:val="24"/>
          <w:szCs w:val="26"/>
          <w:lang w:val="es-ES" w:eastAsia="en-US"/>
        </w:rPr>
        <w:t>De esta guisa, entre la fundamentación y motivación que debe contener la orden de inspección, al constituir el primer acto del cual tiene conocimiento el inspeccionado, se encuentra el señalamiento del término o plazo establecido en la ley para la realización de la inspección, y como en materia de inspección y vigilancia para verif</w:t>
      </w:r>
      <w:r w:rsidR="00361706">
        <w:rPr>
          <w:rFonts w:ascii="Arial" w:eastAsiaTheme="minorHAnsi" w:hAnsi="Arial" w:cs="Arial"/>
          <w:bCs/>
          <w:sz w:val="24"/>
          <w:szCs w:val="26"/>
          <w:lang w:val="es-ES" w:eastAsia="en-US"/>
        </w:rPr>
        <w:t>icar, el debido cumplimiento del Reglamento para el Funcionamiento de Establecimientos Comerciales en el Municipio de Oaxaca de Juárez</w:t>
      </w:r>
      <w:r w:rsidRPr="00A84775">
        <w:rPr>
          <w:rFonts w:ascii="Arial" w:eastAsiaTheme="minorHAnsi" w:hAnsi="Arial" w:cs="Arial"/>
          <w:bCs/>
          <w:sz w:val="24"/>
          <w:szCs w:val="26"/>
          <w:lang w:val="es-ES" w:eastAsia="en-US"/>
        </w:rPr>
        <w:t>, no existe algún precepto que determine el plazo que debe durar la inspección, debe aplicarse de manera supletoria el plazo de diez días previs</w:t>
      </w:r>
      <w:r w:rsidR="00361706">
        <w:rPr>
          <w:rFonts w:ascii="Arial" w:eastAsiaTheme="minorHAnsi" w:hAnsi="Arial" w:cs="Arial"/>
          <w:bCs/>
          <w:sz w:val="24"/>
          <w:szCs w:val="26"/>
          <w:lang w:val="es-ES" w:eastAsia="en-US"/>
        </w:rPr>
        <w:t>to por el mencionado artículo 43</w:t>
      </w:r>
      <w:r w:rsidRPr="00A84775">
        <w:rPr>
          <w:rFonts w:ascii="Arial" w:eastAsiaTheme="minorHAnsi" w:hAnsi="Arial" w:cs="Arial"/>
          <w:bCs/>
          <w:sz w:val="24"/>
          <w:szCs w:val="26"/>
          <w:lang w:val="es-ES" w:eastAsia="en-US"/>
        </w:rPr>
        <w:t xml:space="preserve"> de la Ley </w:t>
      </w:r>
      <w:r w:rsidR="00361706">
        <w:rPr>
          <w:rFonts w:ascii="Arial" w:eastAsiaTheme="minorHAnsi" w:hAnsi="Arial" w:cs="Arial"/>
          <w:bCs/>
          <w:sz w:val="24"/>
          <w:szCs w:val="26"/>
          <w:lang w:val="es-ES" w:eastAsia="en-US"/>
        </w:rPr>
        <w:t>de Procedimiento y Justicia Administrativa para el Estado de Oaxaca</w:t>
      </w:r>
      <w:r w:rsidRPr="00A84775">
        <w:rPr>
          <w:rFonts w:ascii="Arial" w:eastAsiaTheme="minorHAnsi" w:hAnsi="Arial" w:cs="Arial"/>
          <w:bCs/>
          <w:sz w:val="24"/>
          <w:szCs w:val="26"/>
          <w:lang w:val="es-ES" w:eastAsia="en-US"/>
        </w:rPr>
        <w:t xml:space="preserve">, sin que en la orden de inspección </w:t>
      </w:r>
      <w:r w:rsidR="00361706">
        <w:rPr>
          <w:rFonts w:ascii="Arial" w:eastAsiaTheme="minorHAnsi" w:hAnsi="Arial" w:cs="Arial"/>
          <w:bCs/>
          <w:sz w:val="24"/>
          <w:szCs w:val="26"/>
          <w:lang w:val="es-ES" w:eastAsia="en-US"/>
        </w:rPr>
        <w:t xml:space="preserve">con número de folio 0056 </w:t>
      </w:r>
      <w:r w:rsidRPr="00A84775">
        <w:rPr>
          <w:rFonts w:ascii="Arial" w:eastAsiaTheme="minorHAnsi" w:hAnsi="Arial" w:cs="Arial"/>
          <w:bCs/>
          <w:sz w:val="24"/>
          <w:szCs w:val="26"/>
          <w:lang w:val="es-ES" w:eastAsia="en-US"/>
        </w:rPr>
        <w:t xml:space="preserve">de fecha </w:t>
      </w:r>
      <w:r w:rsidR="00361706">
        <w:rPr>
          <w:rFonts w:ascii="Arial" w:eastAsiaTheme="minorHAnsi" w:hAnsi="Arial" w:cs="Arial"/>
          <w:bCs/>
          <w:sz w:val="24"/>
          <w:szCs w:val="26"/>
          <w:lang w:val="es-ES_tradnl" w:eastAsia="en-US"/>
        </w:rPr>
        <w:t xml:space="preserve">dieciocho de octubre de dos mil dieciocho, </w:t>
      </w:r>
      <w:r w:rsidRPr="00A84775">
        <w:rPr>
          <w:rFonts w:ascii="Arial" w:eastAsiaTheme="minorHAnsi" w:hAnsi="Arial" w:cs="Arial"/>
          <w:bCs/>
          <w:sz w:val="24"/>
          <w:szCs w:val="26"/>
          <w:lang w:val="es-ES_tradnl" w:eastAsia="en-US"/>
        </w:rPr>
        <w:t>visible a foj</w:t>
      </w:r>
      <w:r w:rsidR="00361706">
        <w:rPr>
          <w:rFonts w:ascii="Arial" w:eastAsiaTheme="minorHAnsi" w:hAnsi="Arial" w:cs="Arial"/>
          <w:bCs/>
          <w:sz w:val="24"/>
          <w:szCs w:val="26"/>
          <w:lang w:val="es-ES_tradnl" w:eastAsia="en-US"/>
        </w:rPr>
        <w:t>a 98</w:t>
      </w:r>
      <w:r w:rsidRPr="00A84775">
        <w:rPr>
          <w:rFonts w:ascii="Arial" w:eastAsiaTheme="minorHAnsi" w:hAnsi="Arial" w:cs="Arial"/>
          <w:bCs/>
          <w:sz w:val="24"/>
          <w:szCs w:val="26"/>
          <w:lang w:val="es-ES_tradnl" w:eastAsia="en-US"/>
        </w:rPr>
        <w:t xml:space="preserve"> </w:t>
      </w:r>
      <w:r w:rsidR="00361706">
        <w:rPr>
          <w:rFonts w:ascii="Arial" w:eastAsiaTheme="minorHAnsi" w:hAnsi="Arial" w:cs="Arial"/>
          <w:bCs/>
          <w:sz w:val="24"/>
          <w:szCs w:val="26"/>
          <w:lang w:val="es-ES_tradnl" w:eastAsia="en-US"/>
        </w:rPr>
        <w:t>de autos</w:t>
      </w:r>
      <w:r w:rsidRPr="00A84775">
        <w:rPr>
          <w:rFonts w:ascii="Arial" w:eastAsiaTheme="minorHAnsi" w:hAnsi="Arial" w:cs="Arial"/>
          <w:bCs/>
          <w:sz w:val="24"/>
          <w:szCs w:val="26"/>
          <w:lang w:val="es-ES" w:eastAsia="en-US"/>
        </w:rPr>
        <w:t>, el C</w:t>
      </w:r>
      <w:r w:rsidR="00361706">
        <w:rPr>
          <w:rFonts w:ascii="Arial" w:eastAsiaTheme="minorHAnsi" w:hAnsi="Arial" w:cs="Arial"/>
          <w:bCs/>
          <w:sz w:val="24"/>
          <w:szCs w:val="26"/>
          <w:lang w:val="es-ES_tradnl" w:eastAsia="en-US"/>
        </w:rPr>
        <w:t>. Director de Normatividad y Control de Vía Pública</w:t>
      </w:r>
      <w:r w:rsidRPr="00A84775">
        <w:rPr>
          <w:rFonts w:ascii="Arial" w:eastAsiaTheme="minorHAnsi" w:hAnsi="Arial" w:cs="Arial"/>
          <w:bCs/>
          <w:sz w:val="24"/>
          <w:szCs w:val="26"/>
          <w:lang w:val="es-ES" w:eastAsia="en-US"/>
        </w:rPr>
        <w:t>, hubiera hecho esta última precisión, como se aprecia en la imagen que a continuación se reproduce:</w:t>
      </w:r>
    </w:p>
    <w:p w14:paraId="2667940B" w14:textId="3A9FC3D4" w:rsidR="00D8448D" w:rsidRDefault="00E80954" w:rsidP="00D8448D">
      <w:pPr>
        <w:tabs>
          <w:tab w:val="left" w:pos="1276"/>
        </w:tabs>
        <w:spacing w:before="240" w:after="0" w:line="360" w:lineRule="auto"/>
        <w:ind w:left="567"/>
        <w:jc w:val="both"/>
        <w:rPr>
          <w:rFonts w:ascii="Arial" w:eastAsiaTheme="minorHAnsi" w:hAnsi="Arial" w:cs="Arial"/>
          <w:bCs/>
          <w:sz w:val="24"/>
          <w:szCs w:val="26"/>
          <w:lang w:val="es-ES" w:eastAsia="en-US"/>
        </w:rPr>
      </w:pPr>
      <w:r>
        <w:rPr>
          <w:noProof/>
        </w:rPr>
        <mc:AlternateContent>
          <mc:Choice Requires="wps">
            <w:drawing>
              <wp:anchor distT="0" distB="0" distL="114300" distR="114300" simplePos="0" relativeHeight="251667456" behindDoc="0" locked="0" layoutInCell="1" allowOverlap="1" wp14:anchorId="44A8ACA3" wp14:editId="05906691">
                <wp:simplePos x="0" y="0"/>
                <wp:positionH relativeFrom="column">
                  <wp:posOffset>1636395</wp:posOffset>
                </wp:positionH>
                <wp:positionV relativeFrom="paragraph">
                  <wp:posOffset>3072765</wp:posOffset>
                </wp:positionV>
                <wp:extent cx="1457325" cy="209550"/>
                <wp:effectExtent l="0" t="0" r="28575" b="19050"/>
                <wp:wrapNone/>
                <wp:docPr id="9" name="Cuadro de texto 9"/>
                <wp:cNvGraphicFramePr/>
                <a:graphic xmlns:a="http://schemas.openxmlformats.org/drawingml/2006/main">
                  <a:graphicData uri="http://schemas.microsoft.com/office/word/2010/wordprocessingShape">
                    <wps:wsp>
                      <wps:cNvSpPr txBox="1"/>
                      <wps:spPr>
                        <a:xfrm>
                          <a:off x="0" y="0"/>
                          <a:ext cx="1457325" cy="209550"/>
                        </a:xfrm>
                        <a:prstGeom prst="rect">
                          <a:avLst/>
                        </a:prstGeom>
                        <a:solidFill>
                          <a:sysClr val="window" lastClr="FFFFFF"/>
                        </a:solidFill>
                        <a:ln w="6350">
                          <a:solidFill>
                            <a:prstClr val="black"/>
                          </a:solidFill>
                        </a:ln>
                        <a:effectLst/>
                      </wps:spPr>
                      <wps:txbx>
                        <w:txbxContent>
                          <w:p w14:paraId="08883507" w14:textId="757C330F" w:rsidR="00E80954" w:rsidRPr="00DB57C1" w:rsidRDefault="00E80954" w:rsidP="00E80954">
                            <w:pPr>
                              <w:rPr>
                                <w:b/>
                              </w:rPr>
                            </w:pPr>
                            <w:r>
                              <w:rPr>
                                <w:b/>
                              </w:rPr>
                              <w:t xml:space="preserve">       </w:t>
                            </w:r>
                            <w:r w:rsidRPr="00DB57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A8ACA3" id="_x0000_t202" coordsize="21600,21600" o:spt="202" path="m,l,21600r21600,l21600,xe">
                <v:stroke joinstyle="miter"/>
                <v:path gradientshapeok="t" o:connecttype="rect"/>
              </v:shapetype>
              <v:shape id="Cuadro de texto 9" o:spid="_x0000_s1026" type="#_x0000_t202" style="position:absolute;left:0;text-align:left;margin-left:128.85pt;margin-top:241.95pt;width:114.7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" fillcolor="window" strokeweight=".5pt">
                <v:textbox>
                  <w:txbxContent>
                    <w:p w14:paraId="08883507" w14:textId="757C330F" w:rsidR="00E80954" w:rsidRPr="00DB57C1" w:rsidRDefault="00E80954" w:rsidP="00E80954">
                      <w:pPr>
                        <w:rPr>
                          <w:b/>
                        </w:rPr>
                      </w:pPr>
                      <w:r>
                        <w:rPr>
                          <w:b/>
                        </w:rPr>
                        <w:t xml:space="preserve">       </w:t>
                      </w:r>
                      <w:r w:rsidRPr="00DB57C1">
                        <w:rPr>
                          <w:b/>
                        </w:rPr>
                        <w:t>**********</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29D03294" wp14:editId="2C1172F5">
                <wp:simplePos x="0" y="0"/>
                <wp:positionH relativeFrom="column">
                  <wp:posOffset>426720</wp:posOffset>
                </wp:positionH>
                <wp:positionV relativeFrom="paragraph">
                  <wp:posOffset>2774315</wp:posOffset>
                </wp:positionV>
                <wp:extent cx="1657350" cy="222250"/>
                <wp:effectExtent l="0" t="0" r="19050" b="25400"/>
                <wp:wrapNone/>
                <wp:docPr id="8" name="Cuadro de texto 8"/>
                <wp:cNvGraphicFramePr/>
                <a:graphic xmlns:a="http://schemas.openxmlformats.org/drawingml/2006/main">
                  <a:graphicData uri="http://schemas.microsoft.com/office/word/2010/wordprocessingShape">
                    <wps:wsp>
                      <wps:cNvSpPr txBox="1"/>
                      <wps:spPr>
                        <a:xfrm>
                          <a:off x="0" y="0"/>
                          <a:ext cx="1657350" cy="222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7CE2DC" w14:textId="77777777" w:rsidR="00E80954" w:rsidRPr="00DB57C1" w:rsidRDefault="00E80954" w:rsidP="00E80954">
                            <w:pPr>
                              <w:rPr>
                                <w:b/>
                              </w:rPr>
                            </w:pPr>
                            <w:r>
                              <w:rPr>
                                <w:b/>
                              </w:rPr>
                              <w:t xml:space="preserve">            </w:t>
                            </w:r>
                            <w:r w:rsidRPr="00DB57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03294" id="Cuadro de texto 8" o:spid="_x0000_s1027" type="#_x0000_t202" style="position:absolute;left:0;text-align:left;margin-left:33.6pt;margin-top:218.45pt;width:130.5pt;height: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" fillcolor="white [3201]" strokeweight=".5pt">
                <v:textbox>
                  <w:txbxContent>
                    <w:p w14:paraId="317CE2DC" w14:textId="77777777" w:rsidR="00E80954" w:rsidRPr="00DB57C1" w:rsidRDefault="00E80954" w:rsidP="00E80954">
                      <w:pPr>
                        <w:rPr>
                          <w:b/>
                        </w:rPr>
                      </w:pPr>
                      <w:r>
                        <w:rPr>
                          <w:b/>
                        </w:rPr>
                        <w:t xml:space="preserve">            </w:t>
                      </w:r>
                      <w:r w:rsidRPr="00DB57C1">
                        <w:rPr>
                          <w:b/>
                        </w:rPr>
                        <w:t>**********</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DEF753B" wp14:editId="1D1774FE">
                <wp:simplePos x="0" y="0"/>
                <wp:positionH relativeFrom="column">
                  <wp:posOffset>3417570</wp:posOffset>
                </wp:positionH>
                <wp:positionV relativeFrom="paragraph">
                  <wp:posOffset>2663190</wp:posOffset>
                </wp:positionV>
                <wp:extent cx="1657350" cy="222250"/>
                <wp:effectExtent l="0" t="0" r="19050" b="25400"/>
                <wp:wrapNone/>
                <wp:docPr id="7" name="Cuadro de texto 7"/>
                <wp:cNvGraphicFramePr/>
                <a:graphic xmlns:a="http://schemas.openxmlformats.org/drawingml/2006/main">
                  <a:graphicData uri="http://schemas.microsoft.com/office/word/2010/wordprocessingShape">
                    <wps:wsp>
                      <wps:cNvSpPr txBox="1"/>
                      <wps:spPr>
                        <a:xfrm>
                          <a:off x="0" y="0"/>
                          <a:ext cx="1657350" cy="222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454BEE" w14:textId="27EFF2B1" w:rsidR="00E80954" w:rsidRPr="00DB57C1" w:rsidRDefault="00E80954" w:rsidP="00E80954">
                            <w:pPr>
                              <w:rPr>
                                <w:b/>
                              </w:rPr>
                            </w:pPr>
                            <w:r>
                              <w:rPr>
                                <w:b/>
                              </w:rPr>
                              <w:t xml:space="preserve">            </w:t>
                            </w:r>
                            <w:r w:rsidRPr="00DB57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F753B" id="Cuadro de texto 7" o:spid="_x0000_s1028" type="#_x0000_t202" style="position:absolute;left:0;text-align:left;margin-left:269.1pt;margin-top:209.7pt;width:130.5pt;height: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" fillcolor="white [3201]" strokeweight=".5pt">
                <v:textbox>
                  <w:txbxContent>
                    <w:p w14:paraId="38454BEE" w14:textId="27EFF2B1" w:rsidR="00E80954" w:rsidRPr="00DB57C1" w:rsidRDefault="00E80954" w:rsidP="00E80954">
                      <w:pPr>
                        <w:rPr>
                          <w:b/>
                        </w:rPr>
                      </w:pPr>
                      <w:r>
                        <w:rPr>
                          <w:b/>
                        </w:rPr>
                        <w:t xml:space="preserve">            </w:t>
                      </w:r>
                      <w:r w:rsidRPr="00DB57C1">
                        <w:rPr>
                          <w:b/>
                        </w:rPr>
                        <w:t>**********</w:t>
                      </w:r>
                    </w:p>
                  </w:txbxContent>
                </v:textbox>
              </v:shape>
            </w:pict>
          </mc:Fallback>
        </mc:AlternateContent>
      </w:r>
      <w:r w:rsidR="00DB57C1">
        <w:rPr>
          <w:noProof/>
        </w:rPr>
        <mc:AlternateContent>
          <mc:Choice Requires="wps">
            <w:drawing>
              <wp:anchor distT="0" distB="0" distL="114300" distR="114300" simplePos="0" relativeHeight="251661312" behindDoc="0" locked="0" layoutInCell="1" allowOverlap="1" wp14:anchorId="767C5113" wp14:editId="65C456DD">
                <wp:simplePos x="0" y="0"/>
                <wp:positionH relativeFrom="column">
                  <wp:posOffset>2131695</wp:posOffset>
                </wp:positionH>
                <wp:positionV relativeFrom="paragraph">
                  <wp:posOffset>2634615</wp:posOffset>
                </wp:positionV>
                <wp:extent cx="1238250" cy="250825"/>
                <wp:effectExtent l="0" t="0" r="19050" b="15875"/>
                <wp:wrapNone/>
                <wp:docPr id="6" name="Cuadro de texto 6"/>
                <wp:cNvGraphicFramePr/>
                <a:graphic xmlns:a="http://schemas.openxmlformats.org/drawingml/2006/main">
                  <a:graphicData uri="http://schemas.microsoft.com/office/word/2010/wordprocessingShape">
                    <wps:wsp>
                      <wps:cNvSpPr txBox="1"/>
                      <wps:spPr>
                        <a:xfrm>
                          <a:off x="0" y="0"/>
                          <a:ext cx="1238250" cy="250825"/>
                        </a:xfrm>
                        <a:prstGeom prst="rect">
                          <a:avLst/>
                        </a:prstGeom>
                        <a:solidFill>
                          <a:sysClr val="window" lastClr="FFFFFF"/>
                        </a:solidFill>
                        <a:ln w="6350">
                          <a:solidFill>
                            <a:prstClr val="black"/>
                          </a:solidFill>
                        </a:ln>
                        <a:effectLst/>
                      </wps:spPr>
                      <wps:txbx>
                        <w:txbxContent>
                          <w:p w14:paraId="426CFF71" w14:textId="734E1666" w:rsidR="00DB57C1" w:rsidRPr="00DB57C1" w:rsidRDefault="00E80954" w:rsidP="00DB57C1">
                            <w:pPr>
                              <w:rPr>
                                <w:b/>
                              </w:rPr>
                            </w:pPr>
                            <w:r>
                              <w:rPr>
                                <w:b/>
                              </w:rPr>
                              <w:t xml:space="preserve">     </w:t>
                            </w:r>
                            <w:r w:rsidR="00DB57C1" w:rsidRPr="00DB57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5113" id="Cuadro de texto 6" o:spid="_x0000_s1029" type="#_x0000_t202" style="position:absolute;left:0;text-align:left;margin-left:167.85pt;margin-top:207.45pt;width:97.5pt;height:1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" fillcolor="window" strokeweight=".5pt">
                <v:textbox>
                  <w:txbxContent>
                    <w:p w14:paraId="426CFF71" w14:textId="734E1666" w:rsidR="00DB57C1" w:rsidRPr="00DB57C1" w:rsidRDefault="00E80954" w:rsidP="00DB57C1">
                      <w:pPr>
                        <w:rPr>
                          <w:b/>
                        </w:rPr>
                      </w:pPr>
                      <w:r>
                        <w:rPr>
                          <w:b/>
                        </w:rPr>
                        <w:t xml:space="preserve">     </w:t>
                      </w:r>
                      <w:r w:rsidR="00DB57C1" w:rsidRPr="00DB57C1">
                        <w:rPr>
                          <w:b/>
                        </w:rPr>
                        <w:t>**********</w:t>
                      </w:r>
                    </w:p>
                  </w:txbxContent>
                </v:textbox>
              </v:shape>
            </w:pict>
          </mc:Fallback>
        </mc:AlternateContent>
      </w:r>
      <w:r w:rsidR="00DB57C1">
        <w:rPr>
          <w:noProof/>
        </w:rPr>
        <mc:AlternateContent>
          <mc:Choice Requires="wps">
            <w:drawing>
              <wp:anchor distT="0" distB="0" distL="114300" distR="114300" simplePos="0" relativeHeight="251659264" behindDoc="0" locked="0" layoutInCell="1" allowOverlap="1" wp14:anchorId="3C87B83E" wp14:editId="1D7C3DFF">
                <wp:simplePos x="0" y="0"/>
                <wp:positionH relativeFrom="column">
                  <wp:posOffset>4436745</wp:posOffset>
                </wp:positionH>
                <wp:positionV relativeFrom="paragraph">
                  <wp:posOffset>939165</wp:posOffset>
                </wp:positionV>
                <wp:extent cx="857250" cy="219075"/>
                <wp:effectExtent l="0" t="0" r="19050" b="28575"/>
                <wp:wrapNone/>
                <wp:docPr id="5" name="Cuadro de texto 5"/>
                <wp:cNvGraphicFramePr/>
                <a:graphic xmlns:a="http://schemas.openxmlformats.org/drawingml/2006/main">
                  <a:graphicData uri="http://schemas.microsoft.com/office/word/2010/wordprocessingShape">
                    <wps:wsp>
                      <wps:cNvSpPr txBox="1"/>
                      <wps:spPr>
                        <a:xfrm>
                          <a:off x="0" y="0"/>
                          <a:ext cx="8572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77AA90" w14:textId="36AE23E7" w:rsidR="00DB57C1" w:rsidRPr="00DB57C1" w:rsidRDefault="00DB57C1">
                            <w:pPr>
                              <w:rPr>
                                <w:b/>
                              </w:rPr>
                            </w:pPr>
                            <w:r w:rsidRPr="00DB57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7B83E" id="Cuadro de texto 5" o:spid="_x0000_s1030" type="#_x0000_t202" style="position:absolute;left:0;text-align:left;margin-left:349.35pt;margin-top:73.95pt;width:67.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" fillcolor="white [3201]" strokeweight=".5pt">
                <v:textbox>
                  <w:txbxContent>
                    <w:p w14:paraId="1D77AA90" w14:textId="36AE23E7" w:rsidR="00DB57C1" w:rsidRPr="00DB57C1" w:rsidRDefault="00DB57C1">
                      <w:pPr>
                        <w:rPr>
                          <w:b/>
                        </w:rPr>
                      </w:pPr>
                      <w:r w:rsidRPr="00DB57C1">
                        <w:rPr>
                          <w:b/>
                        </w:rPr>
                        <w:t>**********</w:t>
                      </w:r>
                    </w:p>
                  </w:txbxContent>
                </v:textbox>
              </v:shape>
            </w:pict>
          </mc:Fallback>
        </mc:AlternateContent>
      </w:r>
      <w:r w:rsidR="00D8448D">
        <w:rPr>
          <w:noProof/>
        </w:rPr>
        <w:drawing>
          <wp:inline distT="0" distB="0" distL="0" distR="0" wp14:anchorId="47694F97" wp14:editId="1E285CFB">
            <wp:extent cx="4827905" cy="2737262"/>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1199" t="24659" r="12429" b="21821"/>
                    <a:stretch/>
                  </pic:blipFill>
                  <pic:spPr bwMode="auto">
                    <a:xfrm>
                      <a:off x="0" y="0"/>
                      <a:ext cx="4883290" cy="2768664"/>
                    </a:xfrm>
                    <a:prstGeom prst="rect">
                      <a:avLst/>
                    </a:prstGeom>
                    <a:ln>
                      <a:noFill/>
                    </a:ln>
                    <a:extLst>
                      <a:ext uri="{53640926-AAD7-44D8-BBD7-CCE9431645EC}">
                        <a14:shadowObscured xmlns:a14="http://schemas.microsoft.com/office/drawing/2010/main"/>
                      </a:ext>
                    </a:extLst>
                  </pic:spPr>
                </pic:pic>
              </a:graphicData>
            </a:graphic>
          </wp:inline>
        </w:drawing>
      </w:r>
      <w:r w:rsidR="00D8448D">
        <w:rPr>
          <w:noProof/>
        </w:rPr>
        <w:drawing>
          <wp:inline distT="0" distB="0" distL="0" distR="0" wp14:anchorId="26A85148" wp14:editId="2B437686">
            <wp:extent cx="4762779" cy="131816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750" t="37387" r="13339" b="38143"/>
                    <a:stretch/>
                  </pic:blipFill>
                  <pic:spPr bwMode="auto">
                    <a:xfrm>
                      <a:off x="0" y="0"/>
                      <a:ext cx="4864886" cy="1346420"/>
                    </a:xfrm>
                    <a:prstGeom prst="rect">
                      <a:avLst/>
                    </a:prstGeom>
                    <a:ln>
                      <a:noFill/>
                    </a:ln>
                    <a:extLst>
                      <a:ext uri="{53640926-AAD7-44D8-BBD7-CCE9431645EC}">
                        <a14:shadowObscured xmlns:a14="http://schemas.microsoft.com/office/drawing/2010/main"/>
                      </a:ext>
                    </a:extLst>
                  </pic:spPr>
                </pic:pic>
              </a:graphicData>
            </a:graphic>
          </wp:inline>
        </w:drawing>
      </w:r>
      <w:r w:rsidR="00D8448D">
        <w:rPr>
          <w:noProof/>
        </w:rPr>
        <w:drawing>
          <wp:inline distT="0" distB="0" distL="0" distR="0" wp14:anchorId="5FF4296D" wp14:editId="323DE410">
            <wp:extent cx="4802996" cy="1270660"/>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649" t="61650" r="13230" b="18848"/>
                    <a:stretch/>
                  </pic:blipFill>
                  <pic:spPr bwMode="auto">
                    <a:xfrm>
                      <a:off x="0" y="0"/>
                      <a:ext cx="4944455" cy="1308084"/>
                    </a:xfrm>
                    <a:prstGeom prst="rect">
                      <a:avLst/>
                    </a:prstGeom>
                    <a:ln>
                      <a:noFill/>
                    </a:ln>
                    <a:extLst>
                      <a:ext uri="{53640926-AAD7-44D8-BBD7-CCE9431645EC}">
                        <a14:shadowObscured xmlns:a14="http://schemas.microsoft.com/office/drawing/2010/main"/>
                      </a:ext>
                    </a:extLst>
                  </pic:spPr>
                </pic:pic>
              </a:graphicData>
            </a:graphic>
          </wp:inline>
        </w:drawing>
      </w:r>
    </w:p>
    <w:p w14:paraId="6EA72350" w14:textId="29540F21" w:rsidR="00D8448D" w:rsidRDefault="00E80954" w:rsidP="004D7165">
      <w:pPr>
        <w:tabs>
          <w:tab w:val="left" w:pos="1276"/>
        </w:tabs>
        <w:spacing w:before="240" w:after="0" w:line="360" w:lineRule="auto"/>
        <w:ind w:firstLine="567"/>
        <w:jc w:val="both"/>
        <w:rPr>
          <w:rFonts w:ascii="Arial" w:eastAsiaTheme="minorHAnsi" w:hAnsi="Arial" w:cs="Arial"/>
          <w:bCs/>
          <w:sz w:val="24"/>
          <w:szCs w:val="26"/>
          <w:lang w:val="es-ES" w:eastAsia="en-US"/>
        </w:rPr>
      </w:pPr>
      <w:r>
        <w:rPr>
          <w:noProof/>
        </w:rPr>
        <w:lastRenderedPageBreak/>
        <mc:AlternateContent>
          <mc:Choice Requires="wps">
            <w:drawing>
              <wp:anchor distT="0" distB="0" distL="114300" distR="114300" simplePos="0" relativeHeight="251669504" behindDoc="0" locked="0" layoutInCell="1" allowOverlap="1" wp14:anchorId="52B661ED" wp14:editId="2304853D">
                <wp:simplePos x="0" y="0"/>
                <wp:positionH relativeFrom="column">
                  <wp:posOffset>1457325</wp:posOffset>
                </wp:positionH>
                <wp:positionV relativeFrom="paragraph">
                  <wp:posOffset>800100</wp:posOffset>
                </wp:positionV>
                <wp:extent cx="1657350" cy="222250"/>
                <wp:effectExtent l="0" t="0" r="19050" b="25400"/>
                <wp:wrapNone/>
                <wp:docPr id="10" name="Cuadro de texto 10"/>
                <wp:cNvGraphicFramePr/>
                <a:graphic xmlns:a="http://schemas.openxmlformats.org/drawingml/2006/main">
                  <a:graphicData uri="http://schemas.microsoft.com/office/word/2010/wordprocessingShape">
                    <wps:wsp>
                      <wps:cNvSpPr txBox="1"/>
                      <wps:spPr>
                        <a:xfrm>
                          <a:off x="0" y="0"/>
                          <a:ext cx="1657350" cy="222250"/>
                        </a:xfrm>
                        <a:prstGeom prst="rect">
                          <a:avLst/>
                        </a:prstGeom>
                        <a:solidFill>
                          <a:sysClr val="window" lastClr="FFFFFF"/>
                        </a:solidFill>
                        <a:ln w="6350">
                          <a:solidFill>
                            <a:prstClr val="black"/>
                          </a:solidFill>
                        </a:ln>
                        <a:effectLst/>
                      </wps:spPr>
                      <wps:txbx>
                        <w:txbxContent>
                          <w:p w14:paraId="0FBB6AFF" w14:textId="77777777" w:rsidR="00E80954" w:rsidRPr="00DB57C1" w:rsidRDefault="00E80954" w:rsidP="00E80954">
                            <w:pPr>
                              <w:rPr>
                                <w:b/>
                              </w:rPr>
                            </w:pPr>
                            <w:r>
                              <w:rPr>
                                <w:b/>
                              </w:rPr>
                              <w:t xml:space="preserve">            </w:t>
                            </w:r>
                            <w:r w:rsidRPr="00DB57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661ED" id="Cuadro de texto 10" o:spid="_x0000_s1031" type="#_x0000_t202" style="position:absolute;left:0;text-align:left;margin-left:114.75pt;margin-top:63pt;width:130.5pt;height: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" fillcolor="window" strokeweight=".5pt">
                <v:textbox>
                  <w:txbxContent>
                    <w:p w14:paraId="0FBB6AFF" w14:textId="77777777" w:rsidR="00E80954" w:rsidRPr="00DB57C1" w:rsidRDefault="00E80954" w:rsidP="00E80954">
                      <w:pPr>
                        <w:rPr>
                          <w:b/>
                        </w:rPr>
                      </w:pPr>
                      <w:r>
                        <w:rPr>
                          <w:b/>
                        </w:rPr>
                        <w:t xml:space="preserve">            </w:t>
                      </w:r>
                      <w:r w:rsidRPr="00DB57C1">
                        <w:rPr>
                          <w:b/>
                        </w:rPr>
                        <w:t>**********</w:t>
                      </w:r>
                    </w:p>
                  </w:txbxContent>
                </v:textbox>
              </v:shape>
            </w:pict>
          </mc:Fallback>
        </mc:AlternateContent>
      </w:r>
      <w:r w:rsidR="00D8448D">
        <w:rPr>
          <w:noProof/>
        </w:rPr>
        <w:drawing>
          <wp:inline distT="0" distB="0" distL="0" distR="0" wp14:anchorId="3050F883" wp14:editId="18D52056">
            <wp:extent cx="3984171" cy="1167854"/>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1862" t="53108" r="13458" b="21443"/>
                    <a:stretch/>
                  </pic:blipFill>
                  <pic:spPr bwMode="auto">
                    <a:xfrm>
                      <a:off x="0" y="0"/>
                      <a:ext cx="4085529" cy="1197564"/>
                    </a:xfrm>
                    <a:prstGeom prst="rect">
                      <a:avLst/>
                    </a:prstGeom>
                    <a:ln>
                      <a:noFill/>
                    </a:ln>
                    <a:extLst>
                      <a:ext uri="{53640926-AAD7-44D8-BBD7-CCE9431645EC}">
                        <a14:shadowObscured xmlns:a14="http://schemas.microsoft.com/office/drawing/2010/main"/>
                      </a:ext>
                    </a:extLst>
                  </pic:spPr>
                </pic:pic>
              </a:graphicData>
            </a:graphic>
          </wp:inline>
        </w:drawing>
      </w:r>
    </w:p>
    <w:p w14:paraId="2B23F931" w14:textId="0A75BFD3" w:rsidR="00365594" w:rsidRPr="00365594" w:rsidRDefault="00365594" w:rsidP="00365594">
      <w:pPr>
        <w:tabs>
          <w:tab w:val="left" w:pos="1276"/>
        </w:tabs>
        <w:spacing w:before="240" w:after="0" w:line="360" w:lineRule="auto"/>
        <w:ind w:firstLine="567"/>
        <w:jc w:val="both"/>
        <w:rPr>
          <w:rFonts w:ascii="Arial" w:eastAsiaTheme="minorHAnsi" w:hAnsi="Arial" w:cs="Arial"/>
          <w:bCs/>
          <w:sz w:val="24"/>
          <w:szCs w:val="26"/>
          <w:lang w:val="es-ES" w:eastAsia="en-US"/>
        </w:rPr>
      </w:pPr>
      <w:r w:rsidRPr="00365594">
        <w:rPr>
          <w:rFonts w:ascii="Arial" w:eastAsiaTheme="minorHAnsi" w:hAnsi="Arial" w:cs="Arial"/>
          <w:bCs/>
          <w:sz w:val="24"/>
          <w:szCs w:val="26"/>
          <w:lang w:val="es-ES" w:eastAsia="en-US"/>
        </w:rPr>
        <w:t xml:space="preserve">Tal como se afirmó con antelación, en la orden de inspección que se analiza, no se precisó el plazo durante el cual </w:t>
      </w:r>
      <w:r w:rsidR="00757477">
        <w:rPr>
          <w:rFonts w:ascii="Arial" w:eastAsiaTheme="minorHAnsi" w:hAnsi="Arial" w:cs="Arial"/>
          <w:bCs/>
          <w:sz w:val="24"/>
          <w:szCs w:val="26"/>
          <w:lang w:val="es-ES" w:eastAsia="en-US"/>
        </w:rPr>
        <w:t>el</w:t>
      </w:r>
      <w:r w:rsidRPr="00365594">
        <w:rPr>
          <w:rFonts w:ascii="Arial" w:eastAsiaTheme="minorHAnsi" w:hAnsi="Arial" w:cs="Arial"/>
          <w:bCs/>
          <w:sz w:val="24"/>
          <w:szCs w:val="26"/>
          <w:lang w:val="es-ES" w:eastAsia="en-US"/>
        </w:rPr>
        <w:t xml:space="preserve"> inspector designado </w:t>
      </w:r>
      <w:r w:rsidR="00757477">
        <w:rPr>
          <w:rFonts w:ascii="Arial" w:eastAsiaTheme="minorHAnsi" w:hAnsi="Arial" w:cs="Arial"/>
          <w:bCs/>
          <w:sz w:val="24"/>
          <w:szCs w:val="26"/>
          <w:lang w:val="es-ES" w:eastAsia="en-US"/>
        </w:rPr>
        <w:t>actuaría</w:t>
      </w:r>
      <w:r w:rsidRPr="00365594">
        <w:rPr>
          <w:rFonts w:ascii="Arial" w:eastAsiaTheme="minorHAnsi" w:hAnsi="Arial" w:cs="Arial"/>
          <w:bCs/>
          <w:sz w:val="24"/>
          <w:szCs w:val="26"/>
          <w:lang w:val="es-ES" w:eastAsia="en-US"/>
        </w:rPr>
        <w:t xml:space="preserve"> para verificar el cumplimiento de </w:t>
      </w:r>
      <w:r w:rsidR="00757477">
        <w:rPr>
          <w:rFonts w:ascii="Arial" w:eastAsiaTheme="minorHAnsi" w:hAnsi="Arial" w:cs="Arial"/>
          <w:bCs/>
          <w:sz w:val="24"/>
          <w:szCs w:val="26"/>
          <w:lang w:val="es-ES" w:eastAsia="en-US"/>
        </w:rPr>
        <w:t>l</w:t>
      </w:r>
      <w:r w:rsidRPr="00365594">
        <w:rPr>
          <w:rFonts w:ascii="Arial" w:eastAsiaTheme="minorHAnsi" w:hAnsi="Arial" w:cs="Arial"/>
          <w:bCs/>
          <w:sz w:val="24"/>
          <w:szCs w:val="26"/>
          <w:lang w:val="es-ES" w:eastAsia="en-US"/>
        </w:rPr>
        <w:t xml:space="preserve">as obligaciones previstas por </w:t>
      </w:r>
      <w:r w:rsidR="00757477">
        <w:rPr>
          <w:rFonts w:ascii="Arial" w:eastAsiaTheme="minorHAnsi" w:hAnsi="Arial" w:cs="Arial"/>
          <w:bCs/>
          <w:sz w:val="24"/>
          <w:szCs w:val="26"/>
          <w:lang w:val="es-ES" w:eastAsia="en-US"/>
        </w:rPr>
        <w:t>en el artículo 16 fracción XVII del Reglamento para el Funcionamiento de Establecimientos Comerciales en el Municipio de Oaxaca de Juárez</w:t>
      </w:r>
      <w:r w:rsidRPr="00365594">
        <w:rPr>
          <w:rFonts w:ascii="Arial" w:eastAsiaTheme="minorHAnsi" w:hAnsi="Arial" w:cs="Arial"/>
          <w:bCs/>
          <w:sz w:val="24"/>
          <w:szCs w:val="26"/>
          <w:lang w:val="es-ES" w:eastAsia="en-US"/>
        </w:rPr>
        <w:t>, lo cual debía haberse precisado en atención a lo expresa</w:t>
      </w:r>
      <w:r w:rsidR="00757477">
        <w:rPr>
          <w:rFonts w:ascii="Arial" w:eastAsiaTheme="minorHAnsi" w:hAnsi="Arial" w:cs="Arial"/>
          <w:bCs/>
          <w:sz w:val="24"/>
          <w:szCs w:val="26"/>
          <w:lang w:val="es-ES" w:eastAsia="en-US"/>
        </w:rPr>
        <w:t>mente previsto en el artículo 78</w:t>
      </w:r>
      <w:r w:rsidRPr="00365594">
        <w:rPr>
          <w:rFonts w:ascii="Arial" w:eastAsiaTheme="minorHAnsi" w:hAnsi="Arial" w:cs="Arial"/>
          <w:bCs/>
          <w:sz w:val="24"/>
          <w:szCs w:val="26"/>
          <w:lang w:val="es-ES" w:eastAsia="en-US"/>
        </w:rPr>
        <w:t xml:space="preserve"> de la Ley </w:t>
      </w:r>
      <w:r w:rsidR="00757477">
        <w:rPr>
          <w:rFonts w:ascii="Arial" w:eastAsiaTheme="minorHAnsi" w:hAnsi="Arial" w:cs="Arial"/>
          <w:bCs/>
          <w:sz w:val="24"/>
          <w:szCs w:val="26"/>
          <w:lang w:val="es-ES" w:eastAsia="en-US"/>
        </w:rPr>
        <w:t>de Procedimiento y Justicia Administrativa para el Estado de Oaxaca</w:t>
      </w:r>
      <w:r w:rsidRPr="00365594">
        <w:rPr>
          <w:rFonts w:ascii="Arial" w:eastAsiaTheme="minorHAnsi" w:hAnsi="Arial" w:cs="Arial"/>
          <w:bCs/>
          <w:sz w:val="24"/>
          <w:szCs w:val="26"/>
          <w:lang w:val="es-ES" w:eastAsia="en-US"/>
        </w:rPr>
        <w:t>, y al omitir dicho requisito, indudablemente nos encontramos ante una orden que no está debidamente fundada y motivada, incumpliendo a</w:t>
      </w:r>
      <w:r w:rsidR="00CF2C25">
        <w:rPr>
          <w:rFonts w:ascii="Arial" w:eastAsiaTheme="minorHAnsi" w:hAnsi="Arial" w:cs="Arial"/>
          <w:bCs/>
          <w:sz w:val="24"/>
          <w:szCs w:val="26"/>
          <w:lang w:val="es-ES" w:eastAsia="en-US"/>
        </w:rPr>
        <w:t>sí lo ordenado por el artículo 17</w:t>
      </w:r>
      <w:r w:rsidRPr="00365594">
        <w:rPr>
          <w:rFonts w:ascii="Arial" w:eastAsiaTheme="minorHAnsi" w:hAnsi="Arial" w:cs="Arial"/>
          <w:bCs/>
          <w:sz w:val="24"/>
          <w:szCs w:val="26"/>
          <w:lang w:val="es-ES" w:eastAsia="en-US"/>
        </w:rPr>
        <w:t>, fracción V, de</w:t>
      </w:r>
      <w:r w:rsidR="00CF2C25">
        <w:rPr>
          <w:rFonts w:ascii="Arial" w:eastAsiaTheme="minorHAnsi" w:hAnsi="Arial" w:cs="Arial"/>
          <w:bCs/>
          <w:sz w:val="24"/>
          <w:szCs w:val="26"/>
          <w:lang w:val="es-ES" w:eastAsia="en-US"/>
        </w:rPr>
        <w:t>l mismo ordenamiento, y ello acorde al artículo18</w:t>
      </w:r>
      <w:r w:rsidRPr="00365594">
        <w:rPr>
          <w:rFonts w:ascii="Arial" w:eastAsiaTheme="minorHAnsi" w:hAnsi="Arial" w:cs="Arial"/>
          <w:bCs/>
          <w:sz w:val="24"/>
          <w:szCs w:val="26"/>
          <w:lang w:val="es-ES" w:eastAsia="en-US"/>
        </w:rPr>
        <w:t>, primer párrafo</w:t>
      </w:r>
      <w:r w:rsidR="00CF2C25">
        <w:rPr>
          <w:rFonts w:ascii="Arial" w:eastAsiaTheme="minorHAnsi" w:hAnsi="Arial" w:cs="Arial"/>
          <w:bCs/>
          <w:sz w:val="24"/>
          <w:szCs w:val="26"/>
          <w:lang w:val="es-ES" w:eastAsia="en-US"/>
        </w:rPr>
        <w:t xml:space="preserve"> fracción I</w:t>
      </w:r>
      <w:r w:rsidRPr="00365594">
        <w:rPr>
          <w:rFonts w:ascii="Arial" w:eastAsiaTheme="minorHAnsi" w:hAnsi="Arial" w:cs="Arial"/>
          <w:bCs/>
          <w:sz w:val="24"/>
          <w:szCs w:val="26"/>
          <w:lang w:val="es-ES" w:eastAsia="en-US"/>
        </w:rPr>
        <w:t xml:space="preserve"> del ordenamiento legal en cita, produce la nulidad del acto administrativo.</w:t>
      </w:r>
    </w:p>
    <w:p w14:paraId="24F47D57" w14:textId="74A77425" w:rsidR="00365594" w:rsidRPr="00365594" w:rsidRDefault="00365594" w:rsidP="00365594">
      <w:pPr>
        <w:tabs>
          <w:tab w:val="left" w:pos="1276"/>
        </w:tabs>
        <w:spacing w:before="240" w:after="0" w:line="360" w:lineRule="auto"/>
        <w:ind w:firstLine="567"/>
        <w:jc w:val="both"/>
        <w:rPr>
          <w:rFonts w:ascii="Arial" w:eastAsiaTheme="minorHAnsi" w:hAnsi="Arial" w:cs="Arial"/>
          <w:bCs/>
          <w:sz w:val="24"/>
          <w:szCs w:val="26"/>
          <w:lang w:val="es-ES" w:eastAsia="en-US"/>
        </w:rPr>
      </w:pPr>
      <w:r w:rsidRPr="00365594">
        <w:rPr>
          <w:rFonts w:ascii="Arial" w:eastAsiaTheme="minorHAnsi" w:hAnsi="Arial" w:cs="Arial"/>
          <w:bCs/>
          <w:sz w:val="24"/>
          <w:szCs w:val="26"/>
          <w:lang w:val="es-ES" w:eastAsia="en-US"/>
        </w:rPr>
        <w:t xml:space="preserve">Por tales motivos, asiste la razón a la accionante en cuanto se duele que la autoridad demandada debió precisar la temporalidad en que </w:t>
      </w:r>
      <w:r w:rsidR="00CF2C25">
        <w:rPr>
          <w:rFonts w:ascii="Arial" w:eastAsiaTheme="minorHAnsi" w:hAnsi="Arial" w:cs="Arial"/>
          <w:bCs/>
          <w:sz w:val="24"/>
          <w:szCs w:val="26"/>
          <w:lang w:val="es-ES" w:eastAsia="en-US"/>
        </w:rPr>
        <w:t>el visitador realizaría la visita</w:t>
      </w:r>
      <w:r w:rsidRPr="00365594">
        <w:rPr>
          <w:rFonts w:ascii="Arial" w:eastAsiaTheme="minorHAnsi" w:hAnsi="Arial" w:cs="Arial"/>
          <w:bCs/>
          <w:sz w:val="24"/>
          <w:szCs w:val="26"/>
          <w:lang w:val="es-ES" w:eastAsia="en-US"/>
        </w:rPr>
        <w:t>, ya que de lo contrario se violenta su garantía de seguridad, ello para que estuviera en aptitud de conocer los alcances temporales del acto de molestia,</w:t>
      </w:r>
      <w:r w:rsidR="00CF2C25">
        <w:rPr>
          <w:rFonts w:ascii="Arial" w:eastAsiaTheme="minorHAnsi" w:hAnsi="Arial" w:cs="Arial"/>
          <w:bCs/>
          <w:sz w:val="24"/>
          <w:szCs w:val="26"/>
          <w:lang w:val="es-ES" w:eastAsia="en-US"/>
        </w:rPr>
        <w:t xml:space="preserve"> y para no dejar al arbitrio del</w:t>
      </w:r>
      <w:r w:rsidRPr="00365594">
        <w:rPr>
          <w:rFonts w:ascii="Arial" w:eastAsiaTheme="minorHAnsi" w:hAnsi="Arial" w:cs="Arial"/>
          <w:bCs/>
          <w:sz w:val="24"/>
          <w:szCs w:val="26"/>
          <w:lang w:val="es-ES" w:eastAsia="en-US"/>
        </w:rPr>
        <w:t xml:space="preserve"> inspecto</w:t>
      </w:r>
      <w:r w:rsidR="00CF2C25">
        <w:rPr>
          <w:rFonts w:ascii="Arial" w:eastAsiaTheme="minorHAnsi" w:hAnsi="Arial" w:cs="Arial"/>
          <w:bCs/>
          <w:sz w:val="24"/>
          <w:szCs w:val="26"/>
          <w:lang w:val="es-ES" w:eastAsia="en-US"/>
        </w:rPr>
        <w:t>r</w:t>
      </w:r>
      <w:r w:rsidRPr="00365594">
        <w:rPr>
          <w:rFonts w:ascii="Arial" w:eastAsiaTheme="minorHAnsi" w:hAnsi="Arial" w:cs="Arial"/>
          <w:bCs/>
          <w:sz w:val="24"/>
          <w:szCs w:val="26"/>
          <w:lang w:val="es-ES" w:eastAsia="en-US"/>
        </w:rPr>
        <w:t xml:space="preserve"> el tiempo que duraría la inspección, ya que dicha precisión es un derecho a favor de los gobernados que</w:t>
      </w:r>
      <w:r w:rsidR="00CF2C25">
        <w:rPr>
          <w:rFonts w:ascii="Arial" w:eastAsiaTheme="minorHAnsi" w:hAnsi="Arial" w:cs="Arial"/>
          <w:bCs/>
          <w:sz w:val="24"/>
          <w:szCs w:val="26"/>
          <w:lang w:val="es-ES" w:eastAsia="en-US"/>
        </w:rPr>
        <w:t xml:space="preserve"> está previsto en el artículo 78</w:t>
      </w:r>
      <w:r w:rsidRPr="00365594">
        <w:rPr>
          <w:rFonts w:ascii="Arial" w:eastAsiaTheme="minorHAnsi" w:hAnsi="Arial" w:cs="Arial"/>
          <w:bCs/>
          <w:sz w:val="24"/>
          <w:szCs w:val="26"/>
          <w:lang w:val="es-ES" w:eastAsia="en-US"/>
        </w:rPr>
        <w:t xml:space="preserve"> de la </w:t>
      </w:r>
      <w:r w:rsidR="00CF2C25" w:rsidRPr="00CF2C25">
        <w:rPr>
          <w:rFonts w:ascii="Arial" w:eastAsiaTheme="minorHAnsi" w:hAnsi="Arial" w:cs="Arial"/>
          <w:bCs/>
          <w:sz w:val="24"/>
          <w:szCs w:val="26"/>
          <w:lang w:val="es-ES" w:eastAsia="en-US"/>
        </w:rPr>
        <w:t>de la Ley de Procedimiento y Justicia Administrativa para el Estado de Oaxaca</w:t>
      </w:r>
      <w:r w:rsidR="00CF2C25">
        <w:rPr>
          <w:rFonts w:ascii="Arial" w:eastAsiaTheme="minorHAnsi" w:hAnsi="Arial" w:cs="Arial"/>
          <w:bCs/>
          <w:sz w:val="24"/>
          <w:szCs w:val="26"/>
          <w:lang w:val="es-ES" w:eastAsia="en-US"/>
        </w:rPr>
        <w:t>.</w:t>
      </w:r>
    </w:p>
    <w:p w14:paraId="5E4B3F03" w14:textId="31C7CF1C" w:rsidR="00B11D80" w:rsidRPr="00B11D80" w:rsidRDefault="00B11D80" w:rsidP="00B11D80">
      <w:pPr>
        <w:tabs>
          <w:tab w:val="left" w:pos="1276"/>
        </w:tabs>
        <w:spacing w:before="240" w:after="0" w:line="360" w:lineRule="auto"/>
        <w:ind w:firstLine="567"/>
        <w:jc w:val="both"/>
        <w:rPr>
          <w:rFonts w:ascii="Arial" w:eastAsiaTheme="minorHAnsi" w:hAnsi="Arial" w:cs="Arial"/>
          <w:bCs/>
          <w:sz w:val="24"/>
          <w:szCs w:val="26"/>
          <w:lang w:val="es-ES_tradnl" w:eastAsia="en-US"/>
        </w:rPr>
      </w:pPr>
      <w:r>
        <w:rPr>
          <w:rFonts w:ascii="Arial" w:eastAsiaTheme="minorHAnsi" w:hAnsi="Arial" w:cs="Arial"/>
          <w:bCs/>
          <w:sz w:val="24"/>
          <w:szCs w:val="26"/>
          <w:lang w:val="es-ES_tradnl" w:eastAsia="en-US"/>
        </w:rPr>
        <w:t>E</w:t>
      </w:r>
      <w:r w:rsidR="0026164B">
        <w:rPr>
          <w:rFonts w:ascii="Arial" w:eastAsiaTheme="minorHAnsi" w:hAnsi="Arial" w:cs="Arial"/>
          <w:bCs/>
          <w:sz w:val="24"/>
          <w:szCs w:val="26"/>
          <w:lang w:val="es-ES_tradnl" w:eastAsia="en-US"/>
        </w:rPr>
        <w:t xml:space="preserve">n el caso, </w:t>
      </w:r>
      <w:r w:rsidR="002C29C7">
        <w:rPr>
          <w:rFonts w:ascii="Arial" w:eastAsiaTheme="minorHAnsi" w:hAnsi="Arial" w:cs="Arial"/>
          <w:bCs/>
          <w:sz w:val="24"/>
          <w:szCs w:val="26"/>
          <w:lang w:val="es-ES_tradnl" w:eastAsia="en-US"/>
        </w:rPr>
        <w:t>si bien en la orden que se analiza, se precisó</w:t>
      </w:r>
      <w:r w:rsidR="00977361">
        <w:rPr>
          <w:rFonts w:ascii="Arial" w:eastAsiaTheme="minorHAnsi" w:hAnsi="Arial" w:cs="Arial"/>
          <w:bCs/>
          <w:sz w:val="24"/>
          <w:szCs w:val="26"/>
          <w:lang w:val="es-ES_tradnl" w:eastAsia="en-US"/>
        </w:rPr>
        <w:t xml:space="preserve"> que</w:t>
      </w:r>
      <w:r w:rsidR="002C29C7">
        <w:rPr>
          <w:rFonts w:ascii="Arial" w:eastAsiaTheme="minorHAnsi" w:hAnsi="Arial" w:cs="Arial"/>
          <w:bCs/>
          <w:sz w:val="24"/>
          <w:szCs w:val="26"/>
          <w:lang w:val="es-ES_tradnl" w:eastAsia="en-US"/>
        </w:rPr>
        <w:t xml:space="preserve"> el objeto de la misma </w:t>
      </w:r>
      <w:r w:rsidR="0026164B">
        <w:rPr>
          <w:rFonts w:ascii="Arial" w:eastAsiaTheme="minorHAnsi" w:hAnsi="Arial" w:cs="Arial"/>
          <w:bCs/>
          <w:sz w:val="24"/>
          <w:szCs w:val="26"/>
          <w:lang w:val="es-ES_tradnl" w:eastAsia="en-US"/>
        </w:rPr>
        <w:t>e</w:t>
      </w:r>
      <w:r w:rsidR="00977361">
        <w:rPr>
          <w:rFonts w:ascii="Arial" w:eastAsiaTheme="minorHAnsi" w:hAnsi="Arial" w:cs="Arial"/>
          <w:bCs/>
          <w:sz w:val="24"/>
          <w:szCs w:val="26"/>
          <w:lang w:val="es-ES_tradnl" w:eastAsia="en-US"/>
        </w:rPr>
        <w:t>ra el cumplimiento de lo dispuesto a la reforma del artículo 16 fracción XVII del Reglamento para el Funcionamiento de Establecimientos Comerciales en el Municipio de Oaxaca de Juárez, resulta</w:t>
      </w:r>
      <w:r>
        <w:rPr>
          <w:rFonts w:ascii="Arial" w:eastAsiaTheme="minorHAnsi" w:hAnsi="Arial" w:cs="Arial"/>
          <w:bCs/>
          <w:sz w:val="24"/>
          <w:szCs w:val="26"/>
          <w:lang w:val="es-ES_tradnl" w:eastAsia="en-US"/>
        </w:rPr>
        <w:t xml:space="preserve"> menester hacer una distinción entre el </w:t>
      </w:r>
      <w:r w:rsidRPr="00B11D80">
        <w:rPr>
          <w:rFonts w:ascii="Arial" w:eastAsiaTheme="minorHAnsi" w:hAnsi="Arial" w:cs="Arial"/>
          <w:b/>
          <w:bCs/>
          <w:sz w:val="24"/>
          <w:szCs w:val="26"/>
          <w:lang w:val="es-ES_tradnl" w:eastAsia="en-US"/>
        </w:rPr>
        <w:t>objeto</w:t>
      </w:r>
      <w:r w:rsidRPr="00B11D80">
        <w:rPr>
          <w:rFonts w:ascii="Arial" w:eastAsiaTheme="minorHAnsi" w:hAnsi="Arial" w:cs="Arial"/>
          <w:bCs/>
          <w:sz w:val="24"/>
          <w:szCs w:val="26"/>
          <w:lang w:val="es-ES_tradnl" w:eastAsia="en-US"/>
        </w:rPr>
        <w:t xml:space="preserve"> de la inspección, </w:t>
      </w:r>
      <w:r>
        <w:rPr>
          <w:rFonts w:ascii="Arial" w:eastAsiaTheme="minorHAnsi" w:hAnsi="Arial" w:cs="Arial"/>
          <w:bCs/>
          <w:sz w:val="24"/>
          <w:szCs w:val="26"/>
          <w:lang w:val="es-ES_tradnl" w:eastAsia="en-US"/>
        </w:rPr>
        <w:t xml:space="preserve">y el </w:t>
      </w:r>
      <w:r w:rsidRPr="00B11D80">
        <w:rPr>
          <w:rFonts w:ascii="Arial" w:eastAsiaTheme="minorHAnsi" w:hAnsi="Arial" w:cs="Arial"/>
          <w:b/>
          <w:bCs/>
          <w:sz w:val="24"/>
          <w:szCs w:val="26"/>
          <w:lang w:val="es-ES_tradnl" w:eastAsia="en-US"/>
        </w:rPr>
        <w:t>límite temporal</w:t>
      </w:r>
      <w:r w:rsidRPr="00B11D80">
        <w:rPr>
          <w:rFonts w:ascii="Arial" w:eastAsiaTheme="minorHAnsi" w:hAnsi="Arial" w:cs="Arial"/>
          <w:bCs/>
          <w:sz w:val="24"/>
          <w:szCs w:val="26"/>
          <w:lang w:val="es-ES_tradnl" w:eastAsia="en-US"/>
        </w:rPr>
        <w:t xml:space="preserve"> durante el cual el personal designado en la orden podría actuar.</w:t>
      </w:r>
    </w:p>
    <w:p w14:paraId="7FAB11B7" w14:textId="77777777" w:rsidR="00B11D80" w:rsidRPr="00B11D80" w:rsidRDefault="00B11D80" w:rsidP="00B11D80">
      <w:pPr>
        <w:tabs>
          <w:tab w:val="left" w:pos="1276"/>
        </w:tabs>
        <w:spacing w:before="240" w:after="0" w:line="360" w:lineRule="auto"/>
        <w:ind w:firstLine="567"/>
        <w:jc w:val="both"/>
        <w:rPr>
          <w:rFonts w:ascii="Arial" w:eastAsiaTheme="minorHAnsi" w:hAnsi="Arial" w:cs="Arial"/>
          <w:bCs/>
          <w:sz w:val="24"/>
          <w:szCs w:val="26"/>
          <w:lang w:eastAsia="en-US"/>
        </w:rPr>
      </w:pPr>
      <w:r w:rsidRPr="00B11D80">
        <w:rPr>
          <w:rFonts w:ascii="Arial" w:eastAsiaTheme="minorHAnsi" w:hAnsi="Arial" w:cs="Arial"/>
          <w:bCs/>
          <w:sz w:val="24"/>
          <w:szCs w:val="26"/>
          <w:lang w:val="es-ES_tradnl" w:eastAsia="en-US"/>
        </w:rPr>
        <w:t xml:space="preserve">En efecto, por </w:t>
      </w:r>
      <w:r w:rsidRPr="00B11D80">
        <w:rPr>
          <w:rFonts w:ascii="Arial" w:eastAsiaTheme="minorHAnsi" w:hAnsi="Arial" w:cs="Arial"/>
          <w:b/>
          <w:bCs/>
          <w:sz w:val="24"/>
          <w:szCs w:val="26"/>
          <w:lang w:val="es-ES_tradnl" w:eastAsia="en-US"/>
        </w:rPr>
        <w:t>objeto</w:t>
      </w:r>
      <w:r w:rsidRPr="00B11D80">
        <w:rPr>
          <w:rFonts w:ascii="Arial" w:eastAsiaTheme="minorHAnsi" w:hAnsi="Arial" w:cs="Arial"/>
          <w:bCs/>
          <w:sz w:val="24"/>
          <w:szCs w:val="26"/>
          <w:lang w:val="es-ES_tradnl" w:eastAsia="en-US"/>
        </w:rPr>
        <w:t xml:space="preserve"> debemos entender el propósito, intención, fin o designio, que dé lugar a la facultad que tienen las autoridades correspondientes, así como a la cosa, elemento, tema o materia que va a ser sujeta a inspección, </w:t>
      </w:r>
      <w:r w:rsidRPr="00B11D80">
        <w:rPr>
          <w:rFonts w:ascii="Arial" w:eastAsiaTheme="minorHAnsi" w:hAnsi="Arial" w:cs="Arial"/>
          <w:bCs/>
          <w:sz w:val="24"/>
          <w:szCs w:val="26"/>
          <w:lang w:eastAsia="en-US"/>
        </w:rPr>
        <w:t xml:space="preserve">e implica también la obligación a cargo de la autoridad de precisar el alcance temporal en relación con la materia a inspeccionar, ya sea que se trate de verificar el cumplimiento de deberes que se rigen por periodos determinados o indeterminados, toda vez que tal señalamiento permite que el </w:t>
      </w:r>
      <w:r w:rsidRPr="00B11D80">
        <w:rPr>
          <w:rFonts w:ascii="Arial" w:eastAsiaTheme="minorHAnsi" w:hAnsi="Arial" w:cs="Arial"/>
          <w:bCs/>
          <w:sz w:val="24"/>
          <w:szCs w:val="26"/>
          <w:lang w:eastAsia="en-US"/>
        </w:rPr>
        <w:lastRenderedPageBreak/>
        <w:t>visitado conozca de manera cierta el periodo de tiempo respecto del cual se verificará el cumplimiento de sus deberes ya sean pasados o presentes, e incluso futuros a la fecha de emisión de la orden respectiva, con tal de que se precise con exactitud el lapso de tiempo desde la emisión de la orden, pues sólo así se sujetaría al personal actuante a revisar el cumplimiento de deberes relativos al espacio temporal que fue previamente determinado por la autoridad ordenadora.</w:t>
      </w:r>
    </w:p>
    <w:p w14:paraId="3184D745" w14:textId="77777777" w:rsidR="00B11D80" w:rsidRDefault="00B11D80" w:rsidP="00B11D80">
      <w:pPr>
        <w:tabs>
          <w:tab w:val="left" w:pos="1276"/>
        </w:tabs>
        <w:spacing w:before="240" w:after="0" w:line="360" w:lineRule="auto"/>
        <w:ind w:firstLine="567"/>
        <w:jc w:val="both"/>
        <w:rPr>
          <w:rFonts w:ascii="Arial" w:eastAsiaTheme="minorHAnsi" w:hAnsi="Arial" w:cs="Arial"/>
          <w:bCs/>
          <w:sz w:val="24"/>
          <w:szCs w:val="26"/>
          <w:lang w:val="es-ES_tradnl" w:eastAsia="en-US"/>
        </w:rPr>
      </w:pPr>
      <w:r w:rsidRPr="00B11D80">
        <w:rPr>
          <w:rFonts w:ascii="Arial" w:eastAsiaTheme="minorHAnsi" w:hAnsi="Arial" w:cs="Arial"/>
          <w:bCs/>
          <w:sz w:val="24"/>
          <w:szCs w:val="26"/>
          <w:lang w:eastAsia="en-US"/>
        </w:rPr>
        <w:t xml:space="preserve">Por su carácter ilustrativo en relación a lo que debemos entender por objeto, a continuación se transcribe el rubro y texto de las jurisprudencias </w:t>
      </w:r>
      <w:r w:rsidRPr="00B11D80">
        <w:rPr>
          <w:rFonts w:ascii="Arial" w:eastAsiaTheme="minorHAnsi" w:hAnsi="Arial" w:cs="Arial"/>
          <w:b/>
          <w:bCs/>
          <w:sz w:val="24"/>
          <w:szCs w:val="26"/>
          <w:lang w:val="es-ES_tradnl" w:eastAsia="en-US"/>
        </w:rPr>
        <w:t xml:space="preserve">2a./J. 59/97, </w:t>
      </w:r>
      <w:r w:rsidRPr="00B11D80">
        <w:rPr>
          <w:rFonts w:ascii="Arial" w:eastAsiaTheme="minorHAnsi" w:hAnsi="Arial" w:cs="Arial"/>
          <w:b/>
          <w:bCs/>
          <w:sz w:val="24"/>
          <w:szCs w:val="26"/>
          <w:lang w:eastAsia="en-US"/>
        </w:rPr>
        <w:t xml:space="preserve">2a./J. 57/99, y </w:t>
      </w:r>
      <w:r w:rsidRPr="00B11D80">
        <w:rPr>
          <w:rFonts w:ascii="Arial" w:eastAsiaTheme="minorHAnsi" w:hAnsi="Arial" w:cs="Arial"/>
          <w:b/>
          <w:bCs/>
          <w:sz w:val="24"/>
          <w:szCs w:val="26"/>
          <w:lang w:val="es-ES_tradnl" w:eastAsia="en-US"/>
        </w:rPr>
        <w:t xml:space="preserve">2a./J. 7/2002, </w:t>
      </w:r>
      <w:r w:rsidRPr="00B11D80">
        <w:rPr>
          <w:rFonts w:ascii="Arial" w:eastAsiaTheme="minorHAnsi" w:hAnsi="Arial" w:cs="Arial"/>
          <w:bCs/>
          <w:sz w:val="24"/>
          <w:szCs w:val="26"/>
          <w:lang w:val="es-ES_tradnl" w:eastAsia="en-US"/>
        </w:rPr>
        <w:t xml:space="preserve">publicadas en el Semanario Judicial de </w:t>
      </w:r>
      <w:smartTag w:uri="urn:schemas-microsoft-com:office:smarttags" w:element="PersonName">
        <w:smartTagPr>
          <w:attr w:name="ProductID" w:val="la Federaci￳n"/>
        </w:smartTagPr>
        <w:r w:rsidRPr="00B11D80">
          <w:rPr>
            <w:rFonts w:ascii="Arial" w:eastAsiaTheme="minorHAnsi" w:hAnsi="Arial" w:cs="Arial"/>
            <w:bCs/>
            <w:sz w:val="24"/>
            <w:szCs w:val="26"/>
            <w:lang w:val="es-ES_tradnl" w:eastAsia="en-US"/>
          </w:rPr>
          <w:t>la Federación</w:t>
        </w:r>
      </w:smartTag>
      <w:r w:rsidRPr="00B11D80">
        <w:rPr>
          <w:rFonts w:ascii="Arial" w:eastAsiaTheme="minorHAnsi" w:hAnsi="Arial" w:cs="Arial"/>
          <w:bCs/>
          <w:sz w:val="24"/>
          <w:szCs w:val="26"/>
          <w:lang w:val="es-ES_tradnl" w:eastAsia="en-US"/>
        </w:rPr>
        <w:t xml:space="preserve"> y su Gaceta, Novena Época, </w:t>
      </w:r>
      <w:r w:rsidRPr="00B11D80">
        <w:rPr>
          <w:rFonts w:ascii="Arial" w:eastAsiaTheme="minorHAnsi" w:hAnsi="Arial" w:cs="Arial"/>
          <w:b/>
          <w:bCs/>
          <w:sz w:val="24"/>
          <w:szCs w:val="26"/>
          <w:lang w:val="es-ES_tradnl" w:eastAsia="en-US"/>
        </w:rPr>
        <w:t>Tomos VI, IX, y XV,</w:t>
      </w:r>
      <w:r w:rsidRPr="00B11D80">
        <w:rPr>
          <w:rFonts w:ascii="Arial" w:eastAsiaTheme="minorHAnsi" w:hAnsi="Arial" w:cs="Arial"/>
          <w:bCs/>
          <w:sz w:val="24"/>
          <w:szCs w:val="26"/>
          <w:lang w:val="es-ES_tradnl" w:eastAsia="en-US"/>
        </w:rPr>
        <w:t xml:space="preserve"> correspondientes a los meses de diciembre de 1997, junio de 1999, y febrero de 2002, páginas 333, 343 y 66, respectivamente.</w:t>
      </w:r>
    </w:p>
    <w:p w14:paraId="2D996539" w14:textId="77777777" w:rsidR="00B11D80" w:rsidRPr="00B11D80" w:rsidRDefault="00B11D80" w:rsidP="00B11D80">
      <w:pPr>
        <w:tabs>
          <w:tab w:val="left" w:pos="1276"/>
        </w:tabs>
        <w:spacing w:before="240" w:after="0" w:line="360" w:lineRule="auto"/>
        <w:ind w:firstLine="567"/>
        <w:jc w:val="both"/>
        <w:rPr>
          <w:rFonts w:ascii="Arial" w:eastAsiaTheme="minorHAnsi" w:hAnsi="Arial" w:cs="Arial"/>
          <w:bCs/>
          <w:sz w:val="24"/>
          <w:szCs w:val="26"/>
          <w:lang w:val="es-ES_tradnl" w:eastAsia="en-US"/>
        </w:rPr>
      </w:pPr>
    </w:p>
    <w:p w14:paraId="409D743F" w14:textId="77777777" w:rsidR="00B11D80" w:rsidRPr="00B11D80" w:rsidRDefault="00B11D80" w:rsidP="00B11D80">
      <w:pPr>
        <w:tabs>
          <w:tab w:val="left" w:pos="1276"/>
        </w:tabs>
        <w:spacing w:after="0" w:line="240" w:lineRule="auto"/>
        <w:ind w:left="567" w:right="425"/>
        <w:jc w:val="both"/>
        <w:rPr>
          <w:rFonts w:ascii="Arial" w:eastAsiaTheme="minorHAnsi" w:hAnsi="Arial" w:cs="Arial"/>
          <w:bCs/>
          <w:lang w:val="es-ES_tradnl" w:eastAsia="en-US"/>
        </w:rPr>
      </w:pPr>
      <w:r w:rsidRPr="00B11D80">
        <w:rPr>
          <w:rFonts w:ascii="Arial" w:eastAsiaTheme="minorHAnsi" w:hAnsi="Arial" w:cs="Arial"/>
          <w:bCs/>
          <w:lang w:val="es-ES_tradnl" w:eastAsia="en-US"/>
        </w:rPr>
        <w:t>“</w:t>
      </w:r>
      <w:r w:rsidRPr="00B11D80">
        <w:rPr>
          <w:rFonts w:ascii="Arial" w:eastAsiaTheme="minorHAnsi" w:hAnsi="Arial" w:cs="Arial"/>
          <w:b/>
          <w:bCs/>
          <w:lang w:val="es-ES_tradnl" w:eastAsia="en-US"/>
        </w:rPr>
        <w:t>ORDEN DE VISITA DOMICILIARIA, SU OBJETO.</w:t>
      </w:r>
      <w:r w:rsidRPr="00B11D80">
        <w:rPr>
          <w:rFonts w:ascii="Arial" w:eastAsiaTheme="minorHAnsi" w:hAnsi="Arial" w:cs="Arial"/>
          <w:bCs/>
          <w:lang w:val="es-ES_tradnl" w:eastAsia="en-US"/>
        </w:rPr>
        <w:t xml:space="preserve"> Acorde con lo previsto en el artículo 16 constitucional, así como con su interpretación realizada por esta Suprema Corte en las tesis jurisprudenciales cuyos rubros son: "VISITA DOMICILIARIA, ORDEN DE. REQUISITOS QUE DEBE SATISFACER." (tesis 183, página 126, Tomo III, Segunda Sala, compilación de 1995) y "ÓRDENES DE VISITA DOMICILIARIA, REQUISITOS QUE DEBEN CONTENER LAS." (tesis 509, página 367, Tomo III, Segunda Sala, compilación de 1995), que toman en consideración la tutela de la inviolabilidad del domicilio y la similitud establecida por el Constituyente, entre una orden de cateo y una de visita domiciliaria, cabe concluir que el objeto no sólo debe concebirse como propósito, intención, fin o designio, que dé lugar a la facultad comprobatoria que tienen las autoridades correspondientes, sino también debe entenderse como cosa, elemento, tema o materia, esto es, lo que produce certidumbre en lo que se revisa; con base en esto último, el objeto de la orden de que se trata no debe ser general, sino determinado, para así dar seguridad al gobernado y, por ende, no dejarlo en estado de indefensión. Por tanto, la orden que realiza un listado de contribuciones o cualquier otro tipo de deberes fiscales que nada tenga que ver con la situación del contribuyente a quien va dirigida, la torna genérica, puesto que deja al arbitrio de los visitadores las facultades de comprobación, situación que puede dar pauta a abusos de autoridad, sin que obste a lo anterior la circunstancia de que el visitador únicamente revise las contribuciones a cargo del contribuyente como obligado tributario directo, porque en ese momento ya no se trata del contenido de la orden, sino del desarrollo de la visita, en la inteligencia de que la práctica de ésta debe sujetarse únicamente a lo señalado en la orden y no a la inversa. Esta conclusión, sin embargo, no debe llevarse al extremo de exigir a la autoridad que pormenorice o detalle el capitulado o las disposiciones de las leyes tributarias correspondientes, porque tal exageración provocaría que con una sola circunstancia que faltara, el objeto de la visita se considerara impreciso, lo cual restringiría ilegalmente el uso de la facultad comprobatoria, situación que tampoco es la pretendida por esta Sala de </w:t>
      </w:r>
      <w:smartTag w:uri="urn:schemas-microsoft-com:office:smarttags" w:element="PersonName">
        <w:smartTagPr>
          <w:attr w:name="ProductID" w:val="la Suprema Corte"/>
        </w:smartTagPr>
        <w:r w:rsidRPr="00B11D80">
          <w:rPr>
            <w:rFonts w:ascii="Arial" w:eastAsiaTheme="minorHAnsi" w:hAnsi="Arial" w:cs="Arial"/>
            <w:bCs/>
            <w:lang w:val="es-ES_tradnl" w:eastAsia="en-US"/>
          </w:rPr>
          <w:t>la Suprema Corte</w:t>
        </w:r>
      </w:smartTag>
      <w:r w:rsidRPr="00B11D80">
        <w:rPr>
          <w:rFonts w:ascii="Arial" w:eastAsiaTheme="minorHAnsi" w:hAnsi="Arial" w:cs="Arial"/>
          <w:bCs/>
          <w:lang w:val="es-ES_tradnl" w:eastAsia="en-US"/>
        </w:rPr>
        <w:t xml:space="preserve"> de Justicia de </w:t>
      </w:r>
      <w:smartTag w:uri="urn:schemas-microsoft-com:office:smarttags" w:element="PersonName">
        <w:smartTagPr>
          <w:attr w:name="ProductID" w:val="la Naci￳n. Es"/>
        </w:smartTagPr>
        <w:r w:rsidRPr="00B11D80">
          <w:rPr>
            <w:rFonts w:ascii="Arial" w:eastAsiaTheme="minorHAnsi" w:hAnsi="Arial" w:cs="Arial"/>
            <w:bCs/>
            <w:lang w:val="es-ES_tradnl" w:eastAsia="en-US"/>
          </w:rPr>
          <w:t>la Nación. Es</w:t>
        </w:r>
      </w:smartTag>
      <w:r w:rsidRPr="00B11D80">
        <w:rPr>
          <w:rFonts w:ascii="Arial" w:eastAsiaTheme="minorHAnsi" w:hAnsi="Arial" w:cs="Arial"/>
          <w:bCs/>
          <w:lang w:val="es-ES_tradnl" w:eastAsia="en-US"/>
        </w:rPr>
        <w:t xml:space="preserve"> necesario precisar que las anteriores consideraciones únicamente son válidas tratándose de órdenes de visita para contribuyentes registrados, pues sólo de ellos </w:t>
      </w:r>
      <w:smartTag w:uri="urn:schemas-microsoft-com:office:smarttags" w:element="PersonName">
        <w:smartTagPr>
          <w:attr w:name="ProductID" w:val="la Secretar￭a"/>
        </w:smartTagPr>
        <w:r w:rsidRPr="00B11D80">
          <w:rPr>
            <w:rFonts w:ascii="Arial" w:eastAsiaTheme="minorHAnsi" w:hAnsi="Arial" w:cs="Arial"/>
            <w:bCs/>
            <w:lang w:val="es-ES_tradnl" w:eastAsia="en-US"/>
          </w:rPr>
          <w:t>la Secretaría</w:t>
        </w:r>
      </w:smartTag>
      <w:r w:rsidRPr="00B11D80">
        <w:rPr>
          <w:rFonts w:ascii="Arial" w:eastAsiaTheme="minorHAnsi" w:hAnsi="Arial" w:cs="Arial"/>
          <w:bCs/>
          <w:lang w:val="es-ES_tradnl" w:eastAsia="en-US"/>
        </w:rPr>
        <w:t xml:space="preserve"> de Hacienda y Crédito Público, de acuerdo con su registro de alta, sabe qué contribuciones están a su cargo, situación que es distinta de los casos de contribuyentes clandestinos, es decir, aquellos que no están inscritos en el Registro Federal de Contribuyentes porque, en estos casos, la orden necesariamente debe ser general, pues no se sabe qué contribuciones están a cargo del destinatario de la orden. También debe señalarse que las contribuciones a cargo del </w:t>
      </w:r>
      <w:r w:rsidRPr="00B11D80">
        <w:rPr>
          <w:rFonts w:ascii="Arial" w:eastAsiaTheme="minorHAnsi" w:hAnsi="Arial" w:cs="Arial"/>
          <w:bCs/>
          <w:lang w:val="es-ES_tradnl" w:eastAsia="en-US"/>
        </w:rPr>
        <w:lastRenderedPageBreak/>
        <w:t>sujeto pasivo, no sólo conciernen a las materiales o de pago, sino igualmente a las formales o cualquier otro tipo de deber tributario y, por tanto, debe entenderse por obligado tributario, no solamente al causante o contribuyente propiamente dicho, sino también a los retenedores, responsables solidarios y cualquier otro sujeto que a virtud de las normas tributarias tenga que rendir cuentas al fisco.”</w:t>
      </w:r>
    </w:p>
    <w:p w14:paraId="738158EB" w14:textId="77777777" w:rsidR="00B11D80" w:rsidRPr="00B11D80" w:rsidRDefault="00B11D80" w:rsidP="00B11D80">
      <w:pPr>
        <w:tabs>
          <w:tab w:val="left" w:pos="1276"/>
        </w:tabs>
        <w:spacing w:after="0" w:line="240" w:lineRule="auto"/>
        <w:ind w:left="567" w:right="425"/>
        <w:jc w:val="both"/>
        <w:rPr>
          <w:rFonts w:ascii="Arial" w:eastAsiaTheme="minorHAnsi" w:hAnsi="Arial" w:cs="Arial"/>
          <w:bCs/>
          <w:lang w:val="es-ES_tradnl" w:eastAsia="en-US"/>
        </w:rPr>
      </w:pPr>
    </w:p>
    <w:p w14:paraId="443D2CE0" w14:textId="77777777" w:rsidR="00B11D80" w:rsidRPr="00B11D80" w:rsidRDefault="00B11D80" w:rsidP="00B11D80">
      <w:pPr>
        <w:tabs>
          <w:tab w:val="left" w:pos="1276"/>
        </w:tabs>
        <w:spacing w:after="0" w:line="240" w:lineRule="auto"/>
        <w:ind w:left="567" w:right="425"/>
        <w:jc w:val="both"/>
        <w:rPr>
          <w:rFonts w:ascii="Arial" w:eastAsiaTheme="minorHAnsi" w:hAnsi="Arial" w:cs="Arial"/>
          <w:bCs/>
          <w:lang w:val="es-ES_tradnl" w:eastAsia="en-US"/>
        </w:rPr>
      </w:pPr>
    </w:p>
    <w:p w14:paraId="79EF70CD" w14:textId="77777777" w:rsidR="00B11D80" w:rsidRPr="00B11D80" w:rsidRDefault="00B11D80" w:rsidP="00B11D80">
      <w:pPr>
        <w:tabs>
          <w:tab w:val="left" w:pos="1276"/>
        </w:tabs>
        <w:spacing w:after="0" w:line="240" w:lineRule="auto"/>
        <w:ind w:left="567" w:right="425"/>
        <w:jc w:val="both"/>
        <w:rPr>
          <w:rFonts w:ascii="Arial" w:eastAsiaTheme="minorHAnsi" w:hAnsi="Arial" w:cs="Arial"/>
          <w:bCs/>
          <w:lang w:val="es-ES" w:eastAsia="en-US"/>
        </w:rPr>
      </w:pPr>
      <w:r w:rsidRPr="00B11D80">
        <w:rPr>
          <w:rFonts w:ascii="Arial" w:eastAsiaTheme="minorHAnsi" w:hAnsi="Arial" w:cs="Arial"/>
          <w:bCs/>
          <w:lang w:eastAsia="en-US"/>
        </w:rPr>
        <w:t>“</w:t>
      </w:r>
      <w:r w:rsidRPr="00B11D80">
        <w:rPr>
          <w:rFonts w:ascii="Arial" w:eastAsiaTheme="minorHAnsi" w:hAnsi="Arial" w:cs="Arial"/>
          <w:b/>
          <w:bCs/>
          <w:lang w:eastAsia="en-US"/>
        </w:rPr>
        <w:t xml:space="preserve">VISITA DOMICILIARIA. </w:t>
      </w:r>
      <w:smartTag w:uri="urn:schemas-microsoft-com:office:smarttags" w:element="PersonName">
        <w:smartTagPr>
          <w:attr w:name="ProductID" w:val="LA ORDEN EMITIDA"/>
        </w:smartTagPr>
        <w:r w:rsidRPr="00B11D80">
          <w:rPr>
            <w:rFonts w:ascii="Arial" w:eastAsiaTheme="minorHAnsi" w:hAnsi="Arial" w:cs="Arial"/>
            <w:b/>
            <w:bCs/>
            <w:lang w:eastAsia="en-US"/>
          </w:rPr>
          <w:t>LA ORDEN EMITIDA</w:t>
        </w:r>
      </w:smartTag>
      <w:r w:rsidRPr="00B11D80">
        <w:rPr>
          <w:rFonts w:ascii="Arial" w:eastAsiaTheme="minorHAnsi" w:hAnsi="Arial" w:cs="Arial"/>
          <w:b/>
          <w:bCs/>
          <w:lang w:eastAsia="en-US"/>
        </w:rPr>
        <w:t xml:space="preserve"> PARA VERIFICAR EL CUMPLIMIENTO DE LAS OBLIGACIONES EN RELACIÓN CON </w:t>
      </w:r>
      <w:smartTag w:uri="urn:schemas-microsoft-com:office:smarttags" w:element="PersonName">
        <w:smartTagPr>
          <w:attr w:name="ProductID" w:val="LA EXPEDICIￓN DE"/>
        </w:smartTagPr>
        <w:r w:rsidRPr="00B11D80">
          <w:rPr>
            <w:rFonts w:ascii="Arial" w:eastAsiaTheme="minorHAnsi" w:hAnsi="Arial" w:cs="Arial"/>
            <w:b/>
            <w:bCs/>
            <w:lang w:eastAsia="en-US"/>
          </w:rPr>
          <w:t>LA EXPEDICIÓN DE</w:t>
        </w:r>
      </w:smartTag>
      <w:r w:rsidRPr="00B11D80">
        <w:rPr>
          <w:rFonts w:ascii="Arial" w:eastAsiaTheme="minorHAnsi" w:hAnsi="Arial" w:cs="Arial"/>
          <w:b/>
          <w:bCs/>
          <w:lang w:eastAsia="en-US"/>
        </w:rPr>
        <w:t xml:space="preserve"> COMPROBANTES FISCALES, DEBE PRECISAR EL PERIODO SUJETO A REVISIÓN.</w:t>
      </w:r>
      <w:r w:rsidRPr="00B11D80">
        <w:rPr>
          <w:rFonts w:ascii="Arial" w:eastAsiaTheme="minorHAnsi" w:hAnsi="Arial" w:cs="Arial"/>
          <w:bCs/>
          <w:lang w:eastAsia="en-US"/>
        </w:rPr>
        <w:t xml:space="preserve"> El análisis relacionado de los artículos 29, 29-A, 43 y 49 del Código Fiscal de </w:t>
      </w:r>
      <w:smartTag w:uri="urn:schemas-microsoft-com:office:smarttags" w:element="PersonName">
        <w:smartTagPr>
          <w:attr w:name="ProductID" w:val="la Federaci￳n"/>
        </w:smartTagPr>
        <w:r w:rsidRPr="00B11D80">
          <w:rPr>
            <w:rFonts w:ascii="Arial" w:eastAsiaTheme="minorHAnsi" w:hAnsi="Arial" w:cs="Arial"/>
            <w:bCs/>
            <w:lang w:eastAsia="en-US"/>
          </w:rPr>
          <w:t>la Federación</w:t>
        </w:r>
      </w:smartTag>
      <w:r w:rsidRPr="00B11D80">
        <w:rPr>
          <w:rFonts w:ascii="Arial" w:eastAsiaTheme="minorHAnsi" w:hAnsi="Arial" w:cs="Arial"/>
          <w:bCs/>
          <w:lang w:eastAsia="en-US"/>
        </w:rPr>
        <w:t xml:space="preserve">, permite advertir que aun cuando la visita domiciliaria para comprobar el cumplimiento del contribuyente a las obligaciones en materia de expedición de comprobantes fiscales, tiene sus particularidades y debe sujetarse a reglas específicas en su realización, en realidad no constituye más que una modalidad en el ejercicio de las facultades de comprobación que, como potestad del Estado, se otorga a las autoridades fiscales en el ordenamiento mencionado; en estas condiciones, la orden relativa para la práctica de esta clase de visitas, también debe sujetarse a los requisitos que prevé el numeral 38 del citado código, así como a los que el Constituyente estableció en el artículo 16 de </w:t>
      </w:r>
      <w:smartTag w:uri="urn:schemas-microsoft-com:office:smarttags" w:element="PersonName">
        <w:smartTagPr>
          <w:attr w:name="ProductID" w:val="la Ley Suprema"/>
        </w:smartTagPr>
        <w:r w:rsidRPr="00B11D80">
          <w:rPr>
            <w:rFonts w:ascii="Arial" w:eastAsiaTheme="minorHAnsi" w:hAnsi="Arial" w:cs="Arial"/>
            <w:bCs/>
            <w:lang w:eastAsia="en-US"/>
          </w:rPr>
          <w:t>la Ley Suprema</w:t>
        </w:r>
      </w:smartTag>
      <w:r w:rsidRPr="00B11D80">
        <w:rPr>
          <w:rFonts w:ascii="Arial" w:eastAsiaTheme="minorHAnsi" w:hAnsi="Arial" w:cs="Arial"/>
          <w:bCs/>
          <w:lang w:eastAsia="en-US"/>
        </w:rPr>
        <w:t xml:space="preserve">, de cuyo contenido se desprende que la inviolabilidad del domicilio constituye un derecho subjetivo del gobernado, elevada a garantía individual y sólo se autoriza mediante el cumplimiento de determinadas formalidades y requisitos, entre ellos, que la orden de visita domiciliaria, a similitud de los cateos, como acto de molestia debe constar en mandamiento escrito de autoridad competente, en el que se exprese el nombre del sujeto pasivo visitado, el domicilio en el que debe llevarse a cabo la visita, los fundamentos y motivos de la orden respectiva, su objeto, que es a lo que debe limitarse la diligencia respectiva y que al concluirla se levante acta debidamente circunstanciada en presencia de dos testigos propuestos por el sujeto visitado, o en su ausencia o negativa, por la autoridad que practique dicha diligencia, como en reiteradas ocasiones lo ha considerado </w:t>
      </w:r>
      <w:smartTag w:uri="urn:schemas-microsoft-com:office:smarttags" w:element="PersonName">
        <w:smartTagPr>
          <w:attr w:name="ProductID" w:val="la Segunda Sala"/>
        </w:smartTagPr>
        <w:r w:rsidRPr="00B11D80">
          <w:rPr>
            <w:rFonts w:ascii="Arial" w:eastAsiaTheme="minorHAnsi" w:hAnsi="Arial" w:cs="Arial"/>
            <w:bCs/>
            <w:lang w:eastAsia="en-US"/>
          </w:rPr>
          <w:t>la Segunda Sala</w:t>
        </w:r>
      </w:smartTag>
      <w:r w:rsidRPr="00B11D80">
        <w:rPr>
          <w:rFonts w:ascii="Arial" w:eastAsiaTheme="minorHAnsi" w:hAnsi="Arial" w:cs="Arial"/>
          <w:bCs/>
          <w:lang w:eastAsia="en-US"/>
        </w:rPr>
        <w:t xml:space="preserve"> de este Alto Tribunal. Así, al exigir el artículo 16 de </w:t>
      </w:r>
      <w:smartTag w:uri="urn:schemas-microsoft-com:office:smarttags" w:element="PersonName">
        <w:smartTagPr>
          <w:attr w:name="ProductID" w:val="LA CONSTITUCIￓN FEDERAL"/>
        </w:smartTagPr>
        <w:r w:rsidRPr="00B11D80">
          <w:rPr>
            <w:rFonts w:ascii="Arial" w:eastAsiaTheme="minorHAnsi" w:hAnsi="Arial" w:cs="Arial"/>
            <w:bCs/>
            <w:lang w:eastAsia="en-US"/>
          </w:rPr>
          <w:t>la Constitución Federal</w:t>
        </w:r>
      </w:smartTag>
      <w:r w:rsidRPr="00B11D80">
        <w:rPr>
          <w:rFonts w:ascii="Arial" w:eastAsiaTheme="minorHAnsi" w:hAnsi="Arial" w:cs="Arial"/>
          <w:bCs/>
          <w:lang w:eastAsia="en-US"/>
        </w:rPr>
        <w:t>, que el objeto, como elemento fundamental de la orden de visita, se encuentre expresamente determinado, implica también la obligación a cargo de la autoridad que la emite, de precisar su alcance temporal, ya sea que se trate de verificar el cumplimiento de obligaciones fiscales que se rigen por periodos determinados o en relación con la expedición de comprobantes fiscales debidamente requisitados, toda vez que tal señalamiento permite que el visitado conozca de manera cierta el periodo en el cual se practicará esa verificación y, además, constriñe a los visitadores a sujetarse a ese espacio temporal que fue previamente determinado por la autoridad ordenadora, dado que acorde con lo que prevé el mismo código tributario federal, la actividad fiscalizadora bien puede recaer en hechos actuales o pasados y, por tanto, se violaría el principio de seguridad jurídica consagrado en el artículo 16 constitucional, si se dejara al arbitrio de los visitadores determinar el periodo sobre el cual debe recaer la verificación del cumplimiento de las obligaciones que en materia de  expedición de comprobantes fiscales se establecen a cargo de los contribuyentes, con el consecuente estado de inseguridad jurídica del visitado. Debe agregarse que esta determinación no limita la actuación de la autoridad, pues no le impide señalar, con apego a la ley, como periodo a verificar en una orden de visita, fechas actuales o anteriores.”</w:t>
      </w:r>
    </w:p>
    <w:p w14:paraId="71C76A19" w14:textId="77777777" w:rsidR="00B11D80" w:rsidRPr="00B11D80" w:rsidRDefault="00B11D80" w:rsidP="00B11D80">
      <w:pPr>
        <w:tabs>
          <w:tab w:val="left" w:pos="1276"/>
        </w:tabs>
        <w:spacing w:after="0" w:line="240" w:lineRule="auto"/>
        <w:ind w:left="567" w:right="425"/>
        <w:jc w:val="both"/>
        <w:rPr>
          <w:rFonts w:ascii="Arial" w:eastAsiaTheme="minorHAnsi" w:hAnsi="Arial" w:cs="Arial"/>
          <w:bCs/>
          <w:lang w:val="es-ES" w:eastAsia="en-US"/>
        </w:rPr>
      </w:pPr>
    </w:p>
    <w:p w14:paraId="0A3E2437" w14:textId="77777777" w:rsidR="00B11D80" w:rsidRPr="00B11D80" w:rsidRDefault="00B11D80" w:rsidP="00B11D80">
      <w:pPr>
        <w:tabs>
          <w:tab w:val="left" w:pos="1276"/>
        </w:tabs>
        <w:spacing w:after="0" w:line="240" w:lineRule="auto"/>
        <w:ind w:left="567" w:right="425"/>
        <w:jc w:val="both"/>
        <w:rPr>
          <w:rFonts w:ascii="Arial" w:eastAsiaTheme="minorHAnsi" w:hAnsi="Arial" w:cs="Arial"/>
          <w:bCs/>
          <w:lang w:val="es-ES" w:eastAsia="en-US"/>
        </w:rPr>
      </w:pPr>
    </w:p>
    <w:p w14:paraId="0D001173" w14:textId="77777777" w:rsidR="00B11D80" w:rsidRPr="00B11D80" w:rsidRDefault="00B11D80" w:rsidP="00B11D80">
      <w:pPr>
        <w:tabs>
          <w:tab w:val="left" w:pos="1276"/>
        </w:tabs>
        <w:spacing w:after="0" w:line="240" w:lineRule="auto"/>
        <w:ind w:left="567" w:right="425"/>
        <w:jc w:val="both"/>
        <w:rPr>
          <w:rFonts w:ascii="Arial" w:eastAsiaTheme="minorHAnsi" w:hAnsi="Arial" w:cs="Arial"/>
          <w:bCs/>
          <w:lang w:val="es-ES" w:eastAsia="en-US"/>
        </w:rPr>
      </w:pPr>
      <w:r w:rsidRPr="00B11D80">
        <w:rPr>
          <w:rFonts w:ascii="Arial" w:eastAsiaTheme="minorHAnsi" w:hAnsi="Arial" w:cs="Arial"/>
          <w:bCs/>
          <w:lang w:val="es-ES" w:eastAsia="en-US"/>
        </w:rPr>
        <w:t>“</w:t>
      </w:r>
      <w:r w:rsidRPr="00B11D80">
        <w:rPr>
          <w:rFonts w:ascii="Arial" w:eastAsiaTheme="minorHAnsi" w:hAnsi="Arial" w:cs="Arial"/>
          <w:b/>
          <w:bCs/>
          <w:lang w:val="es-ES" w:eastAsia="en-US"/>
        </w:rPr>
        <w:t xml:space="preserve">VISITA DOMICILIARIA PARA VERIFICAR EL CUMPLIMIENTO DE OBLIGACIONES FISCALES. AL PRECISAR EL PERIODO QUE DEBE SER REVISADO, </w:t>
      </w:r>
      <w:smartTag w:uri="urn:schemas-microsoft-com:office:smarttags" w:element="PersonName">
        <w:smartTagPr>
          <w:attr w:name="ProductID" w:val="LA ORDEN RESPECTIVA"/>
        </w:smartTagPr>
        <w:r w:rsidRPr="00B11D80">
          <w:rPr>
            <w:rFonts w:ascii="Arial" w:eastAsiaTheme="minorHAnsi" w:hAnsi="Arial" w:cs="Arial"/>
            <w:b/>
            <w:bCs/>
            <w:lang w:val="es-ES" w:eastAsia="en-US"/>
          </w:rPr>
          <w:t>LA ORDEN RESPECTIVA</w:t>
        </w:r>
      </w:smartTag>
      <w:r w:rsidRPr="00B11D80">
        <w:rPr>
          <w:rFonts w:ascii="Arial" w:eastAsiaTheme="minorHAnsi" w:hAnsi="Arial" w:cs="Arial"/>
          <w:b/>
          <w:bCs/>
          <w:lang w:val="es-ES" w:eastAsia="en-US"/>
        </w:rPr>
        <w:t xml:space="preserve"> DEBE ESTABLECER CON CLARIDAD LAS FECHAS DE INICIACIÓN Y DE TERMINACIÓN DEL REFERIDO PERIODO, RESULTANDO VIOLATORIO DE </w:t>
      </w:r>
      <w:smartTag w:uri="urn:schemas-microsoft-com:office:smarttags" w:element="PersonName">
        <w:smartTagPr>
          <w:attr w:name="ProductID" w:val="LA GARANTￍA DE"/>
        </w:smartTagPr>
        <w:r w:rsidRPr="00B11D80">
          <w:rPr>
            <w:rFonts w:ascii="Arial" w:eastAsiaTheme="minorHAnsi" w:hAnsi="Arial" w:cs="Arial"/>
            <w:b/>
            <w:bCs/>
            <w:lang w:val="es-ES" w:eastAsia="en-US"/>
          </w:rPr>
          <w:t>LA GARANTÍA DE</w:t>
        </w:r>
      </w:smartTag>
      <w:r w:rsidRPr="00B11D80">
        <w:rPr>
          <w:rFonts w:ascii="Arial" w:eastAsiaTheme="minorHAnsi" w:hAnsi="Arial" w:cs="Arial"/>
          <w:b/>
          <w:bCs/>
          <w:lang w:val="es-ES" w:eastAsia="en-US"/>
        </w:rPr>
        <w:t xml:space="preserve"> SEGURIDAD JURÍDICA ESTABLECIDA EN EL ARTÍCULO 16 DE </w:t>
      </w:r>
      <w:smartTag w:uri="urn:schemas-microsoft-com:office:smarttags" w:element="PersonName">
        <w:smartTagPr>
          <w:attr w:name="ProductID" w:val="LA CONSTITUCIￓN FEDERAL"/>
        </w:smartTagPr>
        <w:r w:rsidRPr="00B11D80">
          <w:rPr>
            <w:rFonts w:ascii="Arial" w:eastAsiaTheme="minorHAnsi" w:hAnsi="Arial" w:cs="Arial"/>
            <w:b/>
            <w:bCs/>
            <w:lang w:val="es-ES" w:eastAsia="en-US"/>
          </w:rPr>
          <w:t>LA CONSTITUCIÓN FEDERAL</w:t>
        </w:r>
      </w:smartTag>
      <w:r w:rsidRPr="00B11D80">
        <w:rPr>
          <w:rFonts w:ascii="Arial" w:eastAsiaTheme="minorHAnsi" w:hAnsi="Arial" w:cs="Arial"/>
          <w:b/>
          <w:bCs/>
          <w:lang w:val="es-ES" w:eastAsia="en-US"/>
        </w:rPr>
        <w:t xml:space="preserve"> DEJAR </w:t>
      </w:r>
      <w:smartTag w:uri="urn:schemas-microsoft-com:office:smarttags" w:element="PersonName">
        <w:smartTagPr>
          <w:attr w:name="ProductID" w:val="LA DETERMINACIￓN DE"/>
        </w:smartTagPr>
        <w:r w:rsidRPr="00B11D80">
          <w:rPr>
            <w:rFonts w:ascii="Arial" w:eastAsiaTheme="minorHAnsi" w:hAnsi="Arial" w:cs="Arial"/>
            <w:b/>
            <w:bCs/>
            <w:lang w:val="es-ES" w:eastAsia="en-US"/>
          </w:rPr>
          <w:t>LA DETERMINACIÓN DE</w:t>
        </w:r>
      </w:smartTag>
      <w:r w:rsidRPr="00B11D80">
        <w:rPr>
          <w:rFonts w:ascii="Arial" w:eastAsiaTheme="minorHAnsi" w:hAnsi="Arial" w:cs="Arial"/>
          <w:b/>
          <w:bCs/>
          <w:lang w:val="es-ES" w:eastAsia="en-US"/>
        </w:rPr>
        <w:t xml:space="preserve"> LA ÚLTIMA FECHA AL ARBITRIO DEL VISITADOR.</w:t>
      </w:r>
      <w:r w:rsidRPr="00B11D80">
        <w:rPr>
          <w:rFonts w:ascii="Arial" w:eastAsiaTheme="minorHAnsi" w:hAnsi="Arial" w:cs="Arial"/>
          <w:bCs/>
          <w:lang w:val="es-ES" w:eastAsia="en-US"/>
        </w:rPr>
        <w:t xml:space="preserve"> De conformidad con la interpretación realizada por </w:t>
      </w:r>
      <w:smartTag w:uri="urn:schemas-microsoft-com:office:smarttags" w:element="PersonName">
        <w:smartTagPr>
          <w:attr w:name="ProductID" w:val="la Suprema Corte"/>
        </w:smartTagPr>
        <w:r w:rsidRPr="00B11D80">
          <w:rPr>
            <w:rFonts w:ascii="Arial" w:eastAsiaTheme="minorHAnsi" w:hAnsi="Arial" w:cs="Arial"/>
            <w:bCs/>
            <w:lang w:val="es-ES" w:eastAsia="en-US"/>
          </w:rPr>
          <w:t>la Suprema Corte</w:t>
        </w:r>
      </w:smartTag>
      <w:r w:rsidRPr="00B11D80">
        <w:rPr>
          <w:rFonts w:ascii="Arial" w:eastAsiaTheme="minorHAnsi" w:hAnsi="Arial" w:cs="Arial"/>
          <w:bCs/>
          <w:lang w:val="es-ES" w:eastAsia="en-US"/>
        </w:rPr>
        <w:t xml:space="preserve"> de Justicia de </w:t>
      </w:r>
      <w:smartTag w:uri="urn:schemas-microsoft-com:office:smarttags" w:element="PersonName">
        <w:smartTagPr>
          <w:attr w:name="ProductID" w:val="la Naci￳n"/>
        </w:smartTagPr>
        <w:r w:rsidRPr="00B11D80">
          <w:rPr>
            <w:rFonts w:ascii="Arial" w:eastAsiaTheme="minorHAnsi" w:hAnsi="Arial" w:cs="Arial"/>
            <w:bCs/>
            <w:lang w:val="es-ES" w:eastAsia="en-US"/>
          </w:rPr>
          <w:t>la Nación</w:t>
        </w:r>
      </w:smartTag>
      <w:r w:rsidRPr="00B11D80">
        <w:rPr>
          <w:rFonts w:ascii="Arial" w:eastAsiaTheme="minorHAnsi" w:hAnsi="Arial" w:cs="Arial"/>
          <w:bCs/>
          <w:lang w:val="es-ES" w:eastAsia="en-US"/>
        </w:rPr>
        <w:t xml:space="preserve"> en la </w:t>
      </w:r>
      <w:r w:rsidRPr="00B11D80">
        <w:rPr>
          <w:rFonts w:ascii="Arial" w:eastAsiaTheme="minorHAnsi" w:hAnsi="Arial" w:cs="Arial"/>
          <w:bCs/>
          <w:lang w:val="es-ES" w:eastAsia="en-US"/>
        </w:rPr>
        <w:lastRenderedPageBreak/>
        <w:t xml:space="preserve">tesis de jurisprudencia 2a./J. 59/97, visible a fojas 333, Tomo VI, diciembre de 1997, Novena Época, contenida en el Semanario Judicial de </w:t>
      </w:r>
      <w:smartTag w:uri="urn:schemas-microsoft-com:office:smarttags" w:element="PersonName">
        <w:smartTagPr>
          <w:attr w:name="ProductID" w:val="la Federaci￳n"/>
        </w:smartTagPr>
        <w:r w:rsidRPr="00B11D80">
          <w:rPr>
            <w:rFonts w:ascii="Arial" w:eastAsiaTheme="minorHAnsi" w:hAnsi="Arial" w:cs="Arial"/>
            <w:bCs/>
            <w:lang w:val="es-ES" w:eastAsia="en-US"/>
          </w:rPr>
          <w:t>la Federación</w:t>
        </w:r>
      </w:smartTag>
      <w:r w:rsidRPr="00B11D80">
        <w:rPr>
          <w:rFonts w:ascii="Arial" w:eastAsiaTheme="minorHAnsi" w:hAnsi="Arial" w:cs="Arial"/>
          <w:bCs/>
          <w:lang w:val="es-ES" w:eastAsia="en-US"/>
        </w:rPr>
        <w:t xml:space="preserve"> y su Gaceta, de rubro: "ORDEN DE VISITA DOMICILIARIA, SU OBJETO.", la orden de visita domiciliaria debe contener, entre otros requisitos, el objeto o propósito de que se trate, entendiendo al objeto como cosa, elemento, tema o materia, esto es, lo que produce certidumbre en lo que se revisa; con base en esto último, cuando en una orden de visita se especifica que el periodo que debe investigarse inicia en una fecha cierta y determinada, indicando el día, el mes y el año, y como fecha de terminación del propio periodo sólo se hace referencia a la fecha en que se entregue la orden al visitado, sin especificar el día, el mes y el año, dejándose su determinación al arbitrio del visitador, no se respeta la garantía de seguridad jurídica consignada en el artículo 16 de </w:t>
      </w:r>
      <w:smartTag w:uri="urn:schemas-microsoft-com:office:smarttags" w:element="PersonName">
        <w:smartTagPr>
          <w:attr w:name="ProductID" w:val="LA CONSTITUCIￓN FEDERAL"/>
        </w:smartTagPr>
        <w:r w:rsidRPr="00B11D80">
          <w:rPr>
            <w:rFonts w:ascii="Arial" w:eastAsiaTheme="minorHAnsi" w:hAnsi="Arial" w:cs="Arial"/>
            <w:bCs/>
            <w:lang w:val="es-ES" w:eastAsia="en-US"/>
          </w:rPr>
          <w:t>la Constitución Federal</w:t>
        </w:r>
      </w:smartTag>
      <w:r w:rsidRPr="00B11D80">
        <w:rPr>
          <w:rFonts w:ascii="Arial" w:eastAsiaTheme="minorHAnsi" w:hAnsi="Arial" w:cs="Arial"/>
          <w:bCs/>
          <w:lang w:val="es-ES" w:eastAsia="en-US"/>
        </w:rPr>
        <w:t xml:space="preserve"> y especificada por el artículo 38 del Código Fiscal de </w:t>
      </w:r>
      <w:smartTag w:uri="urn:schemas-microsoft-com:office:smarttags" w:element="PersonName">
        <w:smartTagPr>
          <w:attr w:name="ProductID" w:val="la Federaci￳n"/>
        </w:smartTagPr>
        <w:r w:rsidRPr="00B11D80">
          <w:rPr>
            <w:rFonts w:ascii="Arial" w:eastAsiaTheme="minorHAnsi" w:hAnsi="Arial" w:cs="Arial"/>
            <w:bCs/>
            <w:lang w:val="es-ES" w:eastAsia="en-US"/>
          </w:rPr>
          <w:t>la Federación</w:t>
        </w:r>
      </w:smartTag>
      <w:r w:rsidRPr="00B11D80">
        <w:rPr>
          <w:rFonts w:ascii="Arial" w:eastAsiaTheme="minorHAnsi" w:hAnsi="Arial" w:cs="Arial"/>
          <w:bCs/>
          <w:lang w:val="es-ES" w:eastAsia="en-US"/>
        </w:rPr>
        <w:t xml:space="preserve">, puesto que en dicha orden no se precisa uno de los elementos fundamentales del objeto de la visita que se traduce en la obligación a cargo de la autoridad que la emite de precisar su alcance temporal, de acuerdo con el criterio definido por </w:t>
      </w:r>
      <w:smartTag w:uri="urn:schemas-microsoft-com:office:smarttags" w:element="PersonName">
        <w:smartTagPr>
          <w:attr w:name="ProductID" w:val="la Suprema Corte"/>
        </w:smartTagPr>
        <w:r w:rsidRPr="00B11D80">
          <w:rPr>
            <w:rFonts w:ascii="Arial" w:eastAsiaTheme="minorHAnsi" w:hAnsi="Arial" w:cs="Arial"/>
            <w:bCs/>
            <w:lang w:val="es-ES" w:eastAsia="en-US"/>
          </w:rPr>
          <w:t>la Suprema Corte</w:t>
        </w:r>
      </w:smartTag>
      <w:r w:rsidRPr="00B11D80">
        <w:rPr>
          <w:rFonts w:ascii="Arial" w:eastAsiaTheme="minorHAnsi" w:hAnsi="Arial" w:cs="Arial"/>
          <w:bCs/>
          <w:lang w:val="es-ES" w:eastAsia="en-US"/>
        </w:rPr>
        <w:t xml:space="preserve"> de Justicia de </w:t>
      </w:r>
      <w:smartTag w:uri="urn:schemas-microsoft-com:office:smarttags" w:element="PersonName">
        <w:smartTagPr>
          <w:attr w:name="ProductID" w:val="la Naci￳n"/>
        </w:smartTagPr>
        <w:r w:rsidRPr="00B11D80">
          <w:rPr>
            <w:rFonts w:ascii="Arial" w:eastAsiaTheme="minorHAnsi" w:hAnsi="Arial" w:cs="Arial"/>
            <w:bCs/>
            <w:lang w:val="es-ES" w:eastAsia="en-US"/>
          </w:rPr>
          <w:t>la Nación</w:t>
        </w:r>
      </w:smartTag>
      <w:r w:rsidRPr="00B11D80">
        <w:rPr>
          <w:rFonts w:ascii="Arial" w:eastAsiaTheme="minorHAnsi" w:hAnsi="Arial" w:cs="Arial"/>
          <w:bCs/>
          <w:lang w:val="es-ES" w:eastAsia="en-US"/>
        </w:rPr>
        <w:t xml:space="preserve"> en la tesis de jurisprudencia 2a./J. 57/99, visible a fojas 343, Tomo IX, junio de 1999, Novena Época, compilada en el Semanario Judicial de </w:t>
      </w:r>
      <w:smartTag w:uri="urn:schemas-microsoft-com:office:smarttags" w:element="PersonName">
        <w:smartTagPr>
          <w:attr w:name="ProductID" w:val="la Federaci￳n"/>
        </w:smartTagPr>
        <w:r w:rsidRPr="00B11D80">
          <w:rPr>
            <w:rFonts w:ascii="Arial" w:eastAsiaTheme="minorHAnsi" w:hAnsi="Arial" w:cs="Arial"/>
            <w:bCs/>
            <w:lang w:val="es-ES" w:eastAsia="en-US"/>
          </w:rPr>
          <w:t>la Federación</w:t>
        </w:r>
      </w:smartTag>
      <w:r w:rsidRPr="00B11D80">
        <w:rPr>
          <w:rFonts w:ascii="Arial" w:eastAsiaTheme="minorHAnsi" w:hAnsi="Arial" w:cs="Arial"/>
          <w:bCs/>
          <w:lang w:val="es-ES" w:eastAsia="en-US"/>
        </w:rPr>
        <w:t xml:space="preserve"> y su Gaceta, de rubro: "VISITA DOMICILIARIA. </w:t>
      </w:r>
      <w:smartTag w:uri="urn:schemas-microsoft-com:office:smarttags" w:element="PersonName">
        <w:smartTagPr>
          <w:attr w:name="ProductID" w:val="LA ORDEN EMITIDA"/>
        </w:smartTagPr>
        <w:r w:rsidRPr="00B11D80">
          <w:rPr>
            <w:rFonts w:ascii="Arial" w:eastAsiaTheme="minorHAnsi" w:hAnsi="Arial" w:cs="Arial"/>
            <w:bCs/>
            <w:lang w:val="es-ES" w:eastAsia="en-US"/>
          </w:rPr>
          <w:t>LA ORDEN EMITIDA</w:t>
        </w:r>
      </w:smartTag>
      <w:r w:rsidRPr="00B11D80">
        <w:rPr>
          <w:rFonts w:ascii="Arial" w:eastAsiaTheme="minorHAnsi" w:hAnsi="Arial" w:cs="Arial"/>
          <w:bCs/>
          <w:lang w:val="es-ES" w:eastAsia="en-US"/>
        </w:rPr>
        <w:t xml:space="preserve"> PARA VERIFICAR EL CUMPLIMIENTO DE LAS OBLIGACIONES EN RELACIÓN CON </w:t>
      </w:r>
      <w:smartTag w:uri="urn:schemas-microsoft-com:office:smarttags" w:element="PersonName">
        <w:smartTagPr>
          <w:attr w:name="ProductID" w:val="LA EXPEDICIￓN DE"/>
        </w:smartTagPr>
        <w:r w:rsidRPr="00B11D80">
          <w:rPr>
            <w:rFonts w:ascii="Arial" w:eastAsiaTheme="minorHAnsi" w:hAnsi="Arial" w:cs="Arial"/>
            <w:bCs/>
            <w:lang w:val="es-ES" w:eastAsia="en-US"/>
          </w:rPr>
          <w:t>LA EXPEDICIÓN DE</w:t>
        </w:r>
      </w:smartTag>
      <w:r w:rsidRPr="00B11D80">
        <w:rPr>
          <w:rFonts w:ascii="Arial" w:eastAsiaTheme="minorHAnsi" w:hAnsi="Arial" w:cs="Arial"/>
          <w:bCs/>
          <w:lang w:val="es-ES" w:eastAsia="en-US"/>
        </w:rPr>
        <w:t xml:space="preserve"> COMPROBANTES FISCALES, DEBE PRECISAR EL PERIODO SUJETO A REVISIÓN.", dicha precisión debe hacerse en términos claros por la autoridad ordenadora, tanto para que el visitador conozca el periodo que debe revisar así como para el visitado que conocerá cuál es el periodo que debe revisarse de acuerdo con lo determinado por la ordenadora y no por el visitador.”</w:t>
      </w:r>
    </w:p>
    <w:p w14:paraId="2CC6B73F" w14:textId="3A3CF5FF" w:rsidR="00463CAE" w:rsidRDefault="00463CAE" w:rsidP="003E2198">
      <w:pPr>
        <w:tabs>
          <w:tab w:val="left" w:pos="1276"/>
        </w:tabs>
        <w:spacing w:before="240" w:after="0" w:line="360" w:lineRule="auto"/>
        <w:ind w:firstLine="567"/>
        <w:jc w:val="both"/>
        <w:rPr>
          <w:rFonts w:ascii="Arial" w:eastAsiaTheme="minorHAnsi" w:hAnsi="Arial" w:cs="Arial"/>
          <w:bCs/>
          <w:sz w:val="24"/>
          <w:szCs w:val="26"/>
          <w:lang w:val="es-ES_tradnl" w:eastAsia="en-US"/>
        </w:rPr>
      </w:pPr>
      <w:r>
        <w:rPr>
          <w:rFonts w:ascii="Arial" w:eastAsiaTheme="minorHAnsi" w:hAnsi="Arial" w:cs="Arial"/>
          <w:bCs/>
          <w:sz w:val="24"/>
          <w:szCs w:val="26"/>
          <w:lang w:val="es-ES_tradnl" w:eastAsia="en-US"/>
        </w:rPr>
        <w:t>Así mismo es aplicable el siguiente criterio:</w:t>
      </w:r>
    </w:p>
    <w:p w14:paraId="5FFE1B47" w14:textId="77777777" w:rsidR="009E32C1" w:rsidRPr="009E32C1" w:rsidRDefault="009E32C1" w:rsidP="009E32C1">
      <w:pPr>
        <w:pStyle w:val="temp"/>
        <w:shd w:val="clear" w:color="auto" w:fill="FFFFFF"/>
        <w:spacing w:before="0" w:beforeAutospacing="0" w:after="0" w:afterAutospacing="0"/>
        <w:ind w:left="567" w:right="425"/>
        <w:jc w:val="both"/>
        <w:rPr>
          <w:rFonts w:ascii="Arial" w:hAnsi="Arial" w:cs="Arial"/>
          <w:color w:val="212529"/>
          <w:sz w:val="22"/>
          <w:szCs w:val="22"/>
        </w:rPr>
      </w:pPr>
      <w:r w:rsidRPr="009E32C1">
        <w:rPr>
          <w:rStyle w:val="bold"/>
          <w:rFonts w:ascii="Arial" w:hAnsi="Arial" w:cs="Arial"/>
          <w:b/>
          <w:bCs/>
          <w:color w:val="212529"/>
          <w:sz w:val="22"/>
          <w:szCs w:val="22"/>
        </w:rPr>
        <w:t>Registro digital: </w:t>
      </w:r>
      <w:r w:rsidRPr="009E32C1">
        <w:rPr>
          <w:rFonts w:ascii="Arial" w:hAnsi="Arial" w:cs="Arial"/>
          <w:color w:val="212529"/>
          <w:sz w:val="22"/>
          <w:szCs w:val="22"/>
        </w:rPr>
        <w:t>160386</w:t>
      </w:r>
    </w:p>
    <w:p w14:paraId="32694C7C" w14:textId="77777777" w:rsidR="009E32C1" w:rsidRPr="009E32C1" w:rsidRDefault="009E32C1" w:rsidP="009E32C1">
      <w:pPr>
        <w:pStyle w:val="temp"/>
        <w:shd w:val="clear" w:color="auto" w:fill="FFFFFF"/>
        <w:spacing w:before="0" w:beforeAutospacing="0" w:after="0" w:afterAutospacing="0"/>
        <w:ind w:left="567" w:right="425"/>
        <w:jc w:val="both"/>
        <w:rPr>
          <w:rFonts w:ascii="Arial" w:hAnsi="Arial" w:cs="Arial"/>
          <w:color w:val="212529"/>
          <w:sz w:val="22"/>
          <w:szCs w:val="22"/>
        </w:rPr>
      </w:pPr>
      <w:r w:rsidRPr="009E32C1">
        <w:rPr>
          <w:rStyle w:val="bold"/>
          <w:rFonts w:ascii="Arial" w:hAnsi="Arial" w:cs="Arial"/>
          <w:b/>
          <w:bCs/>
          <w:color w:val="212529"/>
          <w:sz w:val="22"/>
          <w:szCs w:val="22"/>
        </w:rPr>
        <w:t>Instancia: </w:t>
      </w:r>
      <w:r w:rsidRPr="009E32C1">
        <w:rPr>
          <w:rFonts w:ascii="Arial" w:hAnsi="Arial" w:cs="Arial"/>
          <w:color w:val="212529"/>
          <w:sz w:val="22"/>
          <w:szCs w:val="22"/>
        </w:rPr>
        <w:t>Segunda Sala</w:t>
      </w:r>
    </w:p>
    <w:p w14:paraId="0CA7F4C9" w14:textId="77777777" w:rsidR="009E32C1" w:rsidRPr="009E32C1" w:rsidRDefault="009E32C1" w:rsidP="009E32C1">
      <w:pPr>
        <w:pStyle w:val="temp"/>
        <w:shd w:val="clear" w:color="auto" w:fill="FFFFFF"/>
        <w:spacing w:before="0" w:beforeAutospacing="0" w:after="0" w:afterAutospacing="0"/>
        <w:ind w:left="567" w:right="425"/>
        <w:jc w:val="both"/>
        <w:rPr>
          <w:rFonts w:ascii="Arial" w:hAnsi="Arial" w:cs="Arial"/>
          <w:color w:val="212529"/>
          <w:sz w:val="22"/>
          <w:szCs w:val="22"/>
        </w:rPr>
      </w:pPr>
      <w:r w:rsidRPr="009E32C1">
        <w:rPr>
          <w:rStyle w:val="bold"/>
          <w:rFonts w:ascii="Arial" w:hAnsi="Arial" w:cs="Arial"/>
          <w:b/>
          <w:bCs/>
          <w:color w:val="212529"/>
          <w:sz w:val="22"/>
          <w:szCs w:val="22"/>
        </w:rPr>
        <w:t>Décima Época</w:t>
      </w:r>
    </w:p>
    <w:p w14:paraId="22667E4A" w14:textId="77777777" w:rsidR="009E32C1" w:rsidRPr="009E32C1" w:rsidRDefault="009E32C1" w:rsidP="009E32C1">
      <w:pPr>
        <w:pStyle w:val="temp"/>
        <w:shd w:val="clear" w:color="auto" w:fill="FFFFFF"/>
        <w:spacing w:before="0" w:beforeAutospacing="0" w:after="0" w:afterAutospacing="0"/>
        <w:ind w:left="567" w:right="425"/>
        <w:jc w:val="both"/>
        <w:rPr>
          <w:rFonts w:ascii="Arial" w:hAnsi="Arial" w:cs="Arial"/>
          <w:color w:val="212529"/>
          <w:sz w:val="22"/>
          <w:szCs w:val="22"/>
        </w:rPr>
      </w:pPr>
      <w:r w:rsidRPr="009E32C1">
        <w:rPr>
          <w:rStyle w:val="bold"/>
          <w:rFonts w:ascii="Arial" w:hAnsi="Arial" w:cs="Arial"/>
          <w:b/>
          <w:bCs/>
          <w:color w:val="212529"/>
          <w:sz w:val="22"/>
          <w:szCs w:val="22"/>
        </w:rPr>
        <w:t>Materia(s): </w:t>
      </w:r>
      <w:r w:rsidRPr="009E32C1">
        <w:rPr>
          <w:rFonts w:ascii="Arial" w:hAnsi="Arial" w:cs="Arial"/>
          <w:color w:val="212529"/>
          <w:sz w:val="22"/>
          <w:szCs w:val="22"/>
        </w:rPr>
        <w:t>Administrativa, Constitucional</w:t>
      </w:r>
    </w:p>
    <w:p w14:paraId="5107AA5C" w14:textId="77777777" w:rsidR="009E32C1" w:rsidRPr="009E32C1" w:rsidRDefault="009E32C1" w:rsidP="009E32C1">
      <w:pPr>
        <w:pStyle w:val="temp"/>
        <w:shd w:val="clear" w:color="auto" w:fill="FFFFFF"/>
        <w:spacing w:before="0" w:beforeAutospacing="0" w:after="0" w:afterAutospacing="0"/>
        <w:ind w:left="567" w:right="425"/>
        <w:jc w:val="both"/>
        <w:rPr>
          <w:rFonts w:ascii="Arial" w:hAnsi="Arial" w:cs="Arial"/>
          <w:color w:val="212529"/>
          <w:sz w:val="22"/>
          <w:szCs w:val="22"/>
        </w:rPr>
      </w:pPr>
      <w:r w:rsidRPr="009E32C1">
        <w:rPr>
          <w:rStyle w:val="bold"/>
          <w:rFonts w:ascii="Arial" w:hAnsi="Arial" w:cs="Arial"/>
          <w:b/>
          <w:bCs/>
          <w:color w:val="212529"/>
          <w:sz w:val="22"/>
          <w:szCs w:val="22"/>
        </w:rPr>
        <w:t>Tesis: </w:t>
      </w:r>
      <w:r w:rsidRPr="009E32C1">
        <w:rPr>
          <w:rFonts w:ascii="Arial" w:hAnsi="Arial" w:cs="Arial"/>
          <w:color w:val="212529"/>
          <w:sz w:val="22"/>
          <w:szCs w:val="22"/>
        </w:rPr>
        <w:t>2a./J. 175/2011 (9a.)</w:t>
      </w:r>
    </w:p>
    <w:p w14:paraId="2E1F5E38" w14:textId="77777777" w:rsidR="009E32C1" w:rsidRPr="009E32C1" w:rsidRDefault="009E32C1" w:rsidP="009E32C1">
      <w:pPr>
        <w:pStyle w:val="temp"/>
        <w:shd w:val="clear" w:color="auto" w:fill="FFFFFF"/>
        <w:spacing w:before="0" w:beforeAutospacing="0" w:after="0" w:afterAutospacing="0"/>
        <w:ind w:left="567" w:right="425"/>
        <w:jc w:val="both"/>
        <w:rPr>
          <w:rFonts w:ascii="Arial" w:hAnsi="Arial" w:cs="Arial"/>
          <w:color w:val="212529"/>
          <w:sz w:val="22"/>
          <w:szCs w:val="22"/>
        </w:rPr>
      </w:pPr>
      <w:r w:rsidRPr="009E32C1">
        <w:rPr>
          <w:rStyle w:val="bold"/>
          <w:rFonts w:ascii="Arial" w:hAnsi="Arial" w:cs="Arial"/>
          <w:b/>
          <w:bCs/>
          <w:color w:val="212529"/>
          <w:sz w:val="22"/>
          <w:szCs w:val="22"/>
        </w:rPr>
        <w:t>Fuente: </w:t>
      </w:r>
      <w:r w:rsidRPr="009E32C1">
        <w:rPr>
          <w:rFonts w:ascii="Arial" w:hAnsi="Arial" w:cs="Arial"/>
          <w:color w:val="212529"/>
          <w:sz w:val="22"/>
          <w:szCs w:val="22"/>
        </w:rPr>
        <w:t>Semanario Judicial de la Federación y su Gaceta.</w:t>
      </w:r>
      <w:r w:rsidRPr="009E32C1">
        <w:rPr>
          <w:rFonts w:ascii="Arial" w:hAnsi="Arial" w:cs="Arial"/>
          <w:color w:val="212529"/>
          <w:sz w:val="22"/>
          <w:szCs w:val="22"/>
        </w:rPr>
        <w:br/>
      </w:r>
      <w:r w:rsidRPr="009E32C1">
        <w:rPr>
          <w:rStyle w:val="ng-star-inserted"/>
          <w:rFonts w:ascii="Arial" w:hAnsi="Arial" w:cs="Arial"/>
          <w:color w:val="212529"/>
          <w:sz w:val="22"/>
          <w:szCs w:val="22"/>
        </w:rPr>
        <w:t>Libro IV, Enero de 2012, Tomo 4, página 3545</w:t>
      </w:r>
    </w:p>
    <w:p w14:paraId="046E592C" w14:textId="77777777" w:rsidR="009E32C1" w:rsidRPr="009E32C1" w:rsidRDefault="009E32C1" w:rsidP="009E32C1">
      <w:pPr>
        <w:pStyle w:val="temp"/>
        <w:shd w:val="clear" w:color="auto" w:fill="FFFFFF"/>
        <w:spacing w:before="0" w:beforeAutospacing="0" w:after="0" w:afterAutospacing="0"/>
        <w:ind w:left="567" w:right="425"/>
        <w:jc w:val="both"/>
        <w:rPr>
          <w:rFonts w:ascii="Arial" w:hAnsi="Arial" w:cs="Arial"/>
          <w:color w:val="212529"/>
          <w:sz w:val="22"/>
          <w:szCs w:val="22"/>
        </w:rPr>
      </w:pPr>
      <w:r w:rsidRPr="009E32C1">
        <w:rPr>
          <w:rStyle w:val="bold"/>
          <w:rFonts w:ascii="Arial" w:hAnsi="Arial" w:cs="Arial"/>
          <w:b/>
          <w:bCs/>
          <w:color w:val="212529"/>
          <w:sz w:val="22"/>
          <w:szCs w:val="22"/>
        </w:rPr>
        <w:t>Tipo: </w:t>
      </w:r>
      <w:r w:rsidRPr="009E32C1">
        <w:rPr>
          <w:rFonts w:ascii="Arial" w:hAnsi="Arial" w:cs="Arial"/>
          <w:color w:val="212529"/>
          <w:sz w:val="22"/>
          <w:szCs w:val="22"/>
        </w:rPr>
        <w:t>Jurisprudencia</w:t>
      </w:r>
    </w:p>
    <w:p w14:paraId="5771197E" w14:textId="77777777" w:rsidR="009E32C1" w:rsidRDefault="009E32C1" w:rsidP="009E32C1">
      <w:pPr>
        <w:tabs>
          <w:tab w:val="left" w:pos="1276"/>
        </w:tabs>
        <w:spacing w:after="0" w:line="240" w:lineRule="auto"/>
        <w:ind w:left="567" w:right="425"/>
        <w:jc w:val="both"/>
        <w:rPr>
          <w:rFonts w:ascii="Arial" w:eastAsiaTheme="minorHAnsi" w:hAnsi="Arial" w:cs="Arial"/>
          <w:b/>
          <w:bCs/>
          <w:lang w:eastAsia="en-US"/>
        </w:rPr>
      </w:pPr>
    </w:p>
    <w:p w14:paraId="64BB7FC9" w14:textId="77777777" w:rsidR="009E32C1" w:rsidRPr="009E32C1" w:rsidRDefault="009E32C1" w:rsidP="009E32C1">
      <w:pPr>
        <w:tabs>
          <w:tab w:val="left" w:pos="1276"/>
        </w:tabs>
        <w:spacing w:after="0" w:line="240" w:lineRule="auto"/>
        <w:ind w:left="567" w:right="425"/>
        <w:jc w:val="both"/>
        <w:rPr>
          <w:rFonts w:ascii="Arial" w:eastAsiaTheme="minorHAnsi" w:hAnsi="Arial" w:cs="Arial"/>
          <w:b/>
          <w:bCs/>
          <w:lang w:eastAsia="en-US"/>
        </w:rPr>
      </w:pPr>
      <w:r w:rsidRPr="009E32C1">
        <w:rPr>
          <w:rFonts w:ascii="Arial" w:eastAsiaTheme="minorHAnsi" w:hAnsi="Arial" w:cs="Arial"/>
          <w:b/>
          <w:bCs/>
          <w:lang w:eastAsia="en-US"/>
        </w:rPr>
        <w:t>ORDEN DE VERIFICACIÓN. SU OBJETO.</w:t>
      </w:r>
    </w:p>
    <w:p w14:paraId="28EBE8E4" w14:textId="77777777" w:rsidR="009E32C1" w:rsidRDefault="009E32C1" w:rsidP="009E32C1">
      <w:pPr>
        <w:tabs>
          <w:tab w:val="left" w:pos="1276"/>
        </w:tabs>
        <w:spacing w:after="0" w:line="240" w:lineRule="auto"/>
        <w:ind w:left="567" w:right="425"/>
        <w:jc w:val="both"/>
        <w:rPr>
          <w:rFonts w:ascii="Arial" w:eastAsiaTheme="minorHAnsi" w:hAnsi="Arial" w:cs="Arial"/>
          <w:bCs/>
          <w:lang w:eastAsia="en-US"/>
        </w:rPr>
      </w:pPr>
    </w:p>
    <w:p w14:paraId="1B1036C1" w14:textId="77777777" w:rsidR="009E32C1" w:rsidRPr="009E32C1" w:rsidRDefault="009E32C1" w:rsidP="009E32C1">
      <w:pPr>
        <w:tabs>
          <w:tab w:val="left" w:pos="1276"/>
        </w:tabs>
        <w:spacing w:after="0" w:line="240" w:lineRule="auto"/>
        <w:ind w:left="567" w:right="425"/>
        <w:jc w:val="both"/>
        <w:rPr>
          <w:rFonts w:ascii="Arial" w:eastAsiaTheme="minorHAnsi" w:hAnsi="Arial" w:cs="Arial"/>
          <w:bCs/>
          <w:lang w:eastAsia="en-US"/>
        </w:rPr>
      </w:pPr>
      <w:r w:rsidRPr="009E32C1">
        <w:rPr>
          <w:rFonts w:ascii="Arial" w:eastAsiaTheme="minorHAnsi" w:hAnsi="Arial" w:cs="Arial"/>
          <w:bCs/>
          <w:lang w:eastAsia="en-US"/>
        </w:rPr>
        <w:t>En concordancia con lo que esta Segunda Sala de la Suprema Corte de Justicia de la Nación sustentó en la jurisprudencia 2a./J. 59/97, de rubro: "</w:t>
      </w:r>
      <w:hyperlink r:id="rId13" w:tgtFrame="_blank" w:history="1">
        <w:r w:rsidRPr="009E32C1">
          <w:rPr>
            <w:rStyle w:val="Hipervnculo"/>
            <w:rFonts w:ascii="Arial" w:eastAsiaTheme="minorHAnsi" w:hAnsi="Arial" w:cs="Arial"/>
            <w:b/>
            <w:bCs/>
            <w:lang w:eastAsia="en-US"/>
          </w:rPr>
          <w:t>ORDEN DE VISITA DOMICILIARIA, SU OBJETO</w:t>
        </w:r>
      </w:hyperlink>
      <w:r w:rsidRPr="009E32C1">
        <w:rPr>
          <w:rFonts w:ascii="Arial" w:eastAsiaTheme="minorHAnsi" w:hAnsi="Arial" w:cs="Arial"/>
          <w:bCs/>
          <w:lang w:eastAsia="en-US"/>
        </w:rPr>
        <w:t>."; se afirma que como la orden de verificación es un acto de molestia, para llevarla a cabo debe satisfacer los requisitos propios de la orden de visita domiciliaria, de entre los que destaca el relativo a la precisión de su objeto, el cual ha de entenderse no sólo como un propósito o un fin que da lugar a la facultad verificadora de la autoridad correspondiente, sino también como una cosa, elemento, tema o materia; es decir, el objeto de una orden de verificación constituye la delimitación del actuar de la autoridad, a fin de determinar dónde empezarán y dónde terminarán las actividades que ha de realizar durante la verificación correspondiente, dado que la determinación del objeto configura un acto esencial para la ejecución de las facultades de inspección de la autoridad fiscalizadora, pues tiende a especificar la materia de los actos que ejecutará; luego, para que la autoridad hacendaria cumpla ese deber, es necesario que en la orden de verificación respectiva precise el rubro a inspeccionar y su fundamento legal, a fin de que la persona verificada conozca las obligaciones a su cargo que van a revisarse, en acatamiento a la garantía de seguridad jurídica prevista en el artículo </w:t>
      </w:r>
      <w:hyperlink r:id="rId14" w:history="1">
        <w:r w:rsidRPr="009E32C1">
          <w:rPr>
            <w:rStyle w:val="Hipervnculo"/>
            <w:rFonts w:ascii="Arial" w:eastAsiaTheme="minorHAnsi" w:hAnsi="Arial" w:cs="Arial"/>
            <w:b/>
            <w:bCs/>
            <w:lang w:eastAsia="en-US"/>
          </w:rPr>
          <w:t>16 de la Constitución Política de los Estados Unidos Mexicanos</w:t>
        </w:r>
      </w:hyperlink>
      <w:r w:rsidRPr="009E32C1">
        <w:rPr>
          <w:rFonts w:ascii="Arial" w:eastAsiaTheme="minorHAnsi" w:hAnsi="Arial" w:cs="Arial"/>
          <w:bCs/>
          <w:lang w:eastAsia="en-US"/>
        </w:rPr>
        <w:t>.</w:t>
      </w:r>
    </w:p>
    <w:p w14:paraId="58115437" w14:textId="77777777" w:rsidR="009E32C1" w:rsidRPr="009E32C1" w:rsidRDefault="009E32C1" w:rsidP="009E32C1">
      <w:pPr>
        <w:tabs>
          <w:tab w:val="left" w:pos="1276"/>
        </w:tabs>
        <w:spacing w:after="0" w:line="240" w:lineRule="auto"/>
        <w:ind w:left="567" w:right="425"/>
        <w:jc w:val="both"/>
        <w:rPr>
          <w:rFonts w:ascii="Arial" w:eastAsiaTheme="minorHAnsi" w:hAnsi="Arial" w:cs="Arial"/>
          <w:bCs/>
          <w:lang w:eastAsia="en-US"/>
        </w:rPr>
      </w:pPr>
    </w:p>
    <w:p w14:paraId="2BD8B479" w14:textId="77777777" w:rsidR="009E32C1" w:rsidRPr="009E32C1" w:rsidRDefault="009E32C1" w:rsidP="009E32C1">
      <w:pPr>
        <w:tabs>
          <w:tab w:val="left" w:pos="1276"/>
        </w:tabs>
        <w:spacing w:after="0" w:line="240" w:lineRule="auto"/>
        <w:ind w:left="567" w:right="425"/>
        <w:jc w:val="both"/>
        <w:rPr>
          <w:rFonts w:ascii="Arial" w:eastAsiaTheme="minorHAnsi" w:hAnsi="Arial" w:cs="Arial"/>
          <w:bCs/>
          <w:lang w:eastAsia="en-US"/>
        </w:rPr>
      </w:pPr>
      <w:r w:rsidRPr="009E32C1">
        <w:rPr>
          <w:rFonts w:ascii="Arial" w:eastAsiaTheme="minorHAnsi" w:hAnsi="Arial" w:cs="Arial"/>
          <w:bCs/>
          <w:lang w:eastAsia="en-US"/>
        </w:rPr>
        <w:t xml:space="preserve">Contradicción de tesis 198/2011. Entre las sustentadas por el Séptimo Tribunal Colegiado en Materia Administrativa del Primer Circuito y los Tribunales Colegiados Primero y Segundo, ambos del Trigésimo Circuito. 22 </w:t>
      </w:r>
      <w:r w:rsidRPr="009E32C1">
        <w:rPr>
          <w:rFonts w:ascii="Arial" w:eastAsiaTheme="minorHAnsi" w:hAnsi="Arial" w:cs="Arial"/>
          <w:bCs/>
          <w:lang w:eastAsia="en-US"/>
        </w:rPr>
        <w:lastRenderedPageBreak/>
        <w:t>de junio de 2011. Cinco votos. Ponente: Sergio Salvador Aguirre Anguiano. Secretario: Eduardo Delgado Durán.</w:t>
      </w:r>
    </w:p>
    <w:p w14:paraId="2D3CA6B9" w14:textId="77777777" w:rsidR="003E2198" w:rsidRPr="003E2198" w:rsidRDefault="003E2198" w:rsidP="003E2198">
      <w:pPr>
        <w:tabs>
          <w:tab w:val="left" w:pos="1276"/>
        </w:tabs>
        <w:spacing w:before="240" w:after="0" w:line="360" w:lineRule="auto"/>
        <w:ind w:firstLine="567"/>
        <w:jc w:val="both"/>
        <w:rPr>
          <w:rFonts w:ascii="Arial" w:eastAsiaTheme="minorHAnsi" w:hAnsi="Arial" w:cs="Arial"/>
          <w:bCs/>
          <w:sz w:val="24"/>
          <w:szCs w:val="26"/>
          <w:lang w:val="es-ES_tradnl" w:eastAsia="en-US"/>
        </w:rPr>
      </w:pPr>
      <w:r w:rsidRPr="003E2198">
        <w:rPr>
          <w:rFonts w:ascii="Arial" w:eastAsiaTheme="minorHAnsi" w:hAnsi="Arial" w:cs="Arial"/>
          <w:bCs/>
          <w:sz w:val="24"/>
          <w:szCs w:val="26"/>
          <w:lang w:val="es-ES_tradnl" w:eastAsia="en-US"/>
        </w:rPr>
        <w:t>Como se aprecia, el objeto se encuentra íntimamente relacionado con la cosa, tema o materia que pretende inspeccionar la autoridad, así como con el lapso de tiempo durante el cual los particulares debieron cumplir con dichos deberes que van a ser inspeccionados, por lo que la precisión del objeto tiende a proteger derechos sustantivos del particular.</w:t>
      </w:r>
    </w:p>
    <w:p w14:paraId="245A1491" w14:textId="6458A5D6" w:rsidR="003E2198" w:rsidRDefault="003E2198" w:rsidP="003E2198">
      <w:pPr>
        <w:tabs>
          <w:tab w:val="left" w:pos="1276"/>
        </w:tabs>
        <w:spacing w:before="240" w:after="0" w:line="360" w:lineRule="auto"/>
        <w:ind w:firstLine="567"/>
        <w:jc w:val="both"/>
        <w:rPr>
          <w:rFonts w:ascii="Arial" w:eastAsiaTheme="minorHAnsi" w:hAnsi="Arial" w:cs="Arial"/>
          <w:bCs/>
          <w:sz w:val="24"/>
          <w:szCs w:val="26"/>
          <w:lang w:eastAsia="en-US"/>
        </w:rPr>
      </w:pPr>
      <w:r w:rsidRPr="003E2198">
        <w:rPr>
          <w:rFonts w:ascii="Arial" w:eastAsiaTheme="minorHAnsi" w:hAnsi="Arial" w:cs="Arial"/>
          <w:b/>
          <w:bCs/>
          <w:sz w:val="24"/>
          <w:szCs w:val="26"/>
          <w:u w:val="single"/>
          <w:lang w:val="es-ES_tradnl" w:eastAsia="en-US"/>
        </w:rPr>
        <w:t>En cambio, el periodo de tiempo durante</w:t>
      </w:r>
      <w:r w:rsidRPr="003E2198">
        <w:rPr>
          <w:rFonts w:ascii="Arial" w:eastAsiaTheme="minorHAnsi" w:hAnsi="Arial" w:cs="Arial"/>
          <w:bCs/>
          <w:sz w:val="24"/>
          <w:szCs w:val="26"/>
          <w:lang w:val="es-ES_tradnl" w:eastAsia="en-US"/>
        </w:rPr>
        <w:t xml:space="preserve"> el cual las autoridades pueden ejercer sus atribuciones está regido por las reglas del procedimiento previstas por la ley o reglamento respectivos, por lo que constituyen imperativos dirigidos a la autoridad para sustanciar sus actuaciones; consecuentemente, nos encontramos ante normas de derecho adjetivo o procedimental</w:t>
      </w:r>
      <w:r w:rsidRPr="003E2198">
        <w:rPr>
          <w:rFonts w:ascii="Arial" w:eastAsiaTheme="minorHAnsi" w:hAnsi="Arial" w:cs="Arial"/>
          <w:bCs/>
          <w:sz w:val="24"/>
          <w:szCs w:val="26"/>
          <w:lang w:eastAsia="en-US"/>
        </w:rPr>
        <w:t>.</w:t>
      </w:r>
    </w:p>
    <w:p w14:paraId="574045B8" w14:textId="244879EF" w:rsidR="009E32C1" w:rsidRDefault="009E32C1" w:rsidP="003E2198">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Es aplicable el siguiente criterio:</w:t>
      </w:r>
    </w:p>
    <w:p w14:paraId="387C529B" w14:textId="289A582D"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Pr>
          <w:rFonts w:ascii="Arial" w:eastAsiaTheme="minorHAnsi" w:hAnsi="Arial" w:cs="Arial"/>
          <w:b/>
          <w:bCs/>
          <w:lang w:eastAsia="en-US"/>
        </w:rPr>
        <w:t xml:space="preserve">Registro digital: </w:t>
      </w:r>
      <w:r w:rsidRPr="0078052E">
        <w:rPr>
          <w:rFonts w:ascii="Arial" w:eastAsiaTheme="minorHAnsi" w:hAnsi="Arial" w:cs="Arial"/>
          <w:bCs/>
          <w:lang w:eastAsia="en-US"/>
        </w:rPr>
        <w:t>170417</w:t>
      </w:r>
    </w:p>
    <w:p w14:paraId="1479E592" w14:textId="55EC32FB"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Pr>
          <w:rFonts w:ascii="Arial" w:eastAsiaTheme="minorHAnsi" w:hAnsi="Arial" w:cs="Arial"/>
          <w:b/>
          <w:bCs/>
          <w:lang w:eastAsia="en-US"/>
        </w:rPr>
        <w:t xml:space="preserve">Instancia: </w:t>
      </w:r>
      <w:r w:rsidRPr="0078052E">
        <w:rPr>
          <w:rFonts w:ascii="Arial" w:eastAsiaTheme="minorHAnsi" w:hAnsi="Arial" w:cs="Arial"/>
          <w:bCs/>
          <w:lang w:eastAsia="en-US"/>
        </w:rPr>
        <w:t>Tribunales Colegiados de Circuito</w:t>
      </w:r>
    </w:p>
    <w:p w14:paraId="2368BCAD" w14:textId="77777777"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sidRPr="0078052E">
        <w:rPr>
          <w:rFonts w:ascii="Arial" w:eastAsiaTheme="minorHAnsi" w:hAnsi="Arial" w:cs="Arial"/>
          <w:b/>
          <w:bCs/>
          <w:lang w:eastAsia="en-US"/>
        </w:rPr>
        <w:t>Novena Época</w:t>
      </w:r>
    </w:p>
    <w:p w14:paraId="041AF9E4" w14:textId="1EBADCBE"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Pr>
          <w:rFonts w:ascii="Arial" w:eastAsiaTheme="minorHAnsi" w:hAnsi="Arial" w:cs="Arial"/>
          <w:b/>
          <w:bCs/>
          <w:lang w:eastAsia="en-US"/>
        </w:rPr>
        <w:t xml:space="preserve">Materia(s): </w:t>
      </w:r>
      <w:r w:rsidRPr="0078052E">
        <w:rPr>
          <w:rFonts w:ascii="Arial" w:eastAsiaTheme="minorHAnsi" w:hAnsi="Arial" w:cs="Arial"/>
          <w:bCs/>
          <w:lang w:eastAsia="en-US"/>
        </w:rPr>
        <w:t>Administrativa</w:t>
      </w:r>
    </w:p>
    <w:p w14:paraId="19F1466B" w14:textId="51DBF459"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Pr>
          <w:rFonts w:ascii="Arial" w:eastAsiaTheme="minorHAnsi" w:hAnsi="Arial" w:cs="Arial"/>
          <w:b/>
          <w:bCs/>
          <w:lang w:eastAsia="en-US"/>
        </w:rPr>
        <w:t xml:space="preserve">Tesis: </w:t>
      </w:r>
      <w:r w:rsidRPr="0078052E">
        <w:rPr>
          <w:rFonts w:ascii="Arial" w:eastAsiaTheme="minorHAnsi" w:hAnsi="Arial" w:cs="Arial"/>
          <w:bCs/>
          <w:lang w:eastAsia="en-US"/>
        </w:rPr>
        <w:t>XXI.2o.P.A.67 A</w:t>
      </w:r>
    </w:p>
    <w:p w14:paraId="58273F40" w14:textId="0CE39546"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Pr>
          <w:rFonts w:ascii="Arial" w:eastAsiaTheme="minorHAnsi" w:hAnsi="Arial" w:cs="Arial"/>
          <w:b/>
          <w:bCs/>
          <w:lang w:eastAsia="en-US"/>
        </w:rPr>
        <w:t xml:space="preserve">Fuente: </w:t>
      </w:r>
      <w:r w:rsidRPr="0078052E">
        <w:rPr>
          <w:rFonts w:ascii="Arial" w:eastAsiaTheme="minorHAnsi" w:hAnsi="Arial" w:cs="Arial"/>
          <w:bCs/>
          <w:lang w:eastAsia="en-US"/>
        </w:rPr>
        <w:t>Semanario Judicial de la Federación y su Gaceta.</w:t>
      </w:r>
      <w:r w:rsidRPr="0078052E">
        <w:rPr>
          <w:rFonts w:ascii="Arial" w:eastAsiaTheme="minorHAnsi" w:hAnsi="Arial" w:cs="Arial"/>
          <w:bCs/>
          <w:lang w:eastAsia="en-US"/>
        </w:rPr>
        <w:br/>
        <w:t>Tomo XXVII, Enero de 2008, página 2839</w:t>
      </w:r>
    </w:p>
    <w:p w14:paraId="74B265EB" w14:textId="323F0506"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Pr>
          <w:rFonts w:ascii="Arial" w:eastAsiaTheme="minorHAnsi" w:hAnsi="Arial" w:cs="Arial"/>
          <w:b/>
          <w:bCs/>
          <w:lang w:eastAsia="en-US"/>
        </w:rPr>
        <w:t xml:space="preserve">Tipo: </w:t>
      </w:r>
      <w:r w:rsidRPr="0078052E">
        <w:rPr>
          <w:rFonts w:ascii="Arial" w:eastAsiaTheme="minorHAnsi" w:hAnsi="Arial" w:cs="Arial"/>
          <w:bCs/>
          <w:lang w:eastAsia="en-US"/>
        </w:rPr>
        <w:t>Aislada</w:t>
      </w:r>
    </w:p>
    <w:p w14:paraId="36B085C8" w14:textId="77777777" w:rsidR="0078052E" w:rsidRDefault="0078052E" w:rsidP="0078052E">
      <w:pPr>
        <w:tabs>
          <w:tab w:val="left" w:pos="1276"/>
        </w:tabs>
        <w:spacing w:after="0" w:line="240" w:lineRule="auto"/>
        <w:ind w:left="567" w:right="425"/>
        <w:jc w:val="both"/>
        <w:rPr>
          <w:rFonts w:ascii="Arial" w:eastAsiaTheme="minorHAnsi" w:hAnsi="Arial" w:cs="Arial"/>
          <w:b/>
          <w:bCs/>
          <w:lang w:eastAsia="en-US"/>
        </w:rPr>
      </w:pPr>
    </w:p>
    <w:p w14:paraId="0B7A79D4" w14:textId="14644B83" w:rsidR="009E32C1"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sidRPr="0078052E">
        <w:rPr>
          <w:rFonts w:ascii="Arial" w:eastAsiaTheme="minorHAnsi" w:hAnsi="Arial" w:cs="Arial"/>
          <w:b/>
          <w:bCs/>
          <w:lang w:eastAsia="en-US"/>
        </w:rPr>
        <w:t>VISITA DOMICILIARIA PARA COMPROBAR EL CUMPLIMIENTO DE LAS OBLIGACIONES EN MATERIA DE EXPEDICIÓN DE COMPROBANTES FISCALES. LA ORDEN RELATIVA DEBE PRECISAR SU ALCANCE TEMPORAL EN TÉRMINOS CLAROS, INDICANDO EL DÍA, MES Y AÑO EN QUE INICIA Y EN QUE CONCLUYE.</w:t>
      </w:r>
    </w:p>
    <w:p w14:paraId="2D0911E3" w14:textId="77777777" w:rsidR="0078052E" w:rsidRDefault="0078052E" w:rsidP="0078052E">
      <w:pPr>
        <w:tabs>
          <w:tab w:val="left" w:pos="1276"/>
        </w:tabs>
        <w:spacing w:after="0" w:line="240" w:lineRule="auto"/>
        <w:ind w:left="567" w:right="425"/>
        <w:jc w:val="both"/>
        <w:rPr>
          <w:rFonts w:ascii="Arial" w:eastAsiaTheme="minorHAnsi" w:hAnsi="Arial" w:cs="Arial"/>
          <w:bCs/>
          <w:lang w:eastAsia="en-US"/>
        </w:rPr>
      </w:pPr>
    </w:p>
    <w:p w14:paraId="046D3901" w14:textId="77777777"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sidRPr="0078052E">
        <w:rPr>
          <w:rFonts w:ascii="Arial" w:eastAsiaTheme="minorHAnsi" w:hAnsi="Arial" w:cs="Arial"/>
          <w:bCs/>
          <w:lang w:eastAsia="en-US"/>
        </w:rPr>
        <w:t>De conformidad con la jurisprudencia 2a./J. 7/2002, publicada en el Semanario Judicial de la Federación y su Gaceta, Novena Época, Tomo XV, febrero de 2002, página 66, de rubro: "</w:t>
      </w:r>
      <w:hyperlink r:id="rId15" w:tgtFrame="_blank" w:history="1">
        <w:r w:rsidRPr="0078052E">
          <w:rPr>
            <w:rStyle w:val="Hipervnculo"/>
            <w:rFonts w:ascii="Arial" w:eastAsiaTheme="minorHAnsi" w:hAnsi="Arial" w:cs="Arial"/>
            <w:b/>
            <w:bCs/>
            <w:lang w:eastAsia="en-US"/>
          </w:rPr>
          <w:t>VISITA DOMICILIARIA PARA VERIFICAR EL CUMPLIMIENTO DE OBLIGACIONES FISCALES. AL PRECISAR EL PERIODO QUE DEBE SER REVISADO, LA ORDEN RESPECTIVA DEBE ESTABLECER CON CLARIDAD LAS FECHAS DE INICIACIÓN Y DE TERMINACIÓN DEL REFERIDO PERIODO, RESULTANDO VIOLATORIO DE LA GARANTÍA DE SEGURIDAD JURÍDICA ESTABLECIDA EN EL ARTÍCULO 16 DE LA CONSTITUCIÓN FEDERAL DEJAR LA DETERMINACIÓN DE LA ÚLTIMA FECHA AL ARBITRIO DEL VISITADOR</w:t>
        </w:r>
      </w:hyperlink>
      <w:r w:rsidRPr="0078052E">
        <w:rPr>
          <w:rFonts w:ascii="Arial" w:eastAsiaTheme="minorHAnsi" w:hAnsi="Arial" w:cs="Arial"/>
          <w:bCs/>
          <w:lang w:eastAsia="en-US"/>
        </w:rPr>
        <w:t>.", la orden de visita domiciliaria para comprobar el cumplimiento de las obligaciones en materia de expedición de comprobantes fiscales debe contener, entre otros requisitos, el objeto o propósito de que se trate, entendiéndose por ello a la cosa, elemento, tema o materia, esto es, lo que produce certidumbre en lo que se revisa; con base en esto último, cuando en una orden de visita se especifica que el periodo que debe investigarse inicia en una fecha incierta, imprecisa o indeterminada, pues sólo se indica el día y el mes, pero no el año, dejándose su determinación al arbitrio del visitador, se infringe la garantía de seguridad jurídica prevista en el artículo </w:t>
      </w:r>
      <w:hyperlink r:id="rId16" w:history="1">
        <w:r w:rsidRPr="0078052E">
          <w:rPr>
            <w:rStyle w:val="Hipervnculo"/>
            <w:rFonts w:ascii="Arial" w:eastAsiaTheme="minorHAnsi" w:hAnsi="Arial" w:cs="Arial"/>
            <w:b/>
            <w:bCs/>
            <w:lang w:eastAsia="en-US"/>
          </w:rPr>
          <w:t>16 de la Constitución Política de los Estados Unidos Mexicanos</w:t>
        </w:r>
      </w:hyperlink>
      <w:r w:rsidRPr="0078052E">
        <w:rPr>
          <w:rFonts w:ascii="Arial" w:eastAsiaTheme="minorHAnsi" w:hAnsi="Arial" w:cs="Arial"/>
          <w:bCs/>
          <w:lang w:eastAsia="en-US"/>
        </w:rPr>
        <w:t> y especificada por el artículo </w:t>
      </w:r>
      <w:hyperlink r:id="rId17" w:history="1">
        <w:r w:rsidRPr="0078052E">
          <w:rPr>
            <w:rStyle w:val="Hipervnculo"/>
            <w:rFonts w:ascii="Arial" w:eastAsiaTheme="minorHAnsi" w:hAnsi="Arial" w:cs="Arial"/>
            <w:b/>
            <w:bCs/>
            <w:lang w:eastAsia="en-US"/>
          </w:rPr>
          <w:t>38 del Código Fiscal de la Federación</w:t>
        </w:r>
      </w:hyperlink>
      <w:r w:rsidRPr="0078052E">
        <w:rPr>
          <w:rFonts w:ascii="Arial" w:eastAsiaTheme="minorHAnsi" w:hAnsi="Arial" w:cs="Arial"/>
          <w:bCs/>
          <w:lang w:eastAsia="en-US"/>
        </w:rPr>
        <w:t xml:space="preserve">, puesto que en dicha orden se omite precisar uno de los elementos fundamentales del objeto de la visita que se traduce en la obligación a cargo de la autoridad ordenadora de precisar su alcance temporal, precisión que debe hacerse en términos claros, indicando el día, mes y año en que inicia y en que concluye, tanto para que el visitador conozca el periodo que debe revisar, como para que el visitado </w:t>
      </w:r>
      <w:r w:rsidRPr="0078052E">
        <w:rPr>
          <w:rFonts w:ascii="Arial" w:eastAsiaTheme="minorHAnsi" w:hAnsi="Arial" w:cs="Arial"/>
          <w:bCs/>
          <w:lang w:eastAsia="en-US"/>
        </w:rPr>
        <w:lastRenderedPageBreak/>
        <w:t>se entere de cuál es éste, de acuerdo con lo determinado por la autoridad ordenadora y no por el visitador.</w:t>
      </w:r>
    </w:p>
    <w:p w14:paraId="50000F33" w14:textId="77777777" w:rsidR="0078052E" w:rsidRDefault="0078052E" w:rsidP="0078052E">
      <w:pPr>
        <w:tabs>
          <w:tab w:val="left" w:pos="1276"/>
        </w:tabs>
        <w:spacing w:after="0" w:line="240" w:lineRule="auto"/>
        <w:ind w:left="567" w:right="425"/>
        <w:jc w:val="both"/>
        <w:rPr>
          <w:rFonts w:ascii="Arial" w:eastAsiaTheme="minorHAnsi" w:hAnsi="Arial" w:cs="Arial"/>
          <w:bCs/>
          <w:lang w:eastAsia="en-US"/>
        </w:rPr>
      </w:pPr>
    </w:p>
    <w:p w14:paraId="7C856D06" w14:textId="77777777" w:rsidR="0078052E" w:rsidRPr="0078052E" w:rsidRDefault="0078052E" w:rsidP="0078052E">
      <w:pPr>
        <w:tabs>
          <w:tab w:val="left" w:pos="1276"/>
        </w:tabs>
        <w:spacing w:after="0" w:line="240" w:lineRule="auto"/>
        <w:ind w:left="567" w:right="425"/>
        <w:jc w:val="both"/>
        <w:rPr>
          <w:rFonts w:ascii="Arial" w:eastAsiaTheme="minorHAnsi" w:hAnsi="Arial" w:cs="Arial"/>
          <w:bCs/>
          <w:lang w:eastAsia="en-US"/>
        </w:rPr>
      </w:pPr>
      <w:r w:rsidRPr="0078052E">
        <w:rPr>
          <w:rFonts w:ascii="Arial" w:eastAsiaTheme="minorHAnsi" w:hAnsi="Arial" w:cs="Arial"/>
          <w:bCs/>
          <w:lang w:eastAsia="en-US"/>
        </w:rPr>
        <w:t>SEGUNDO TRIBUNAL COLEGIADO EN MATERIAS PENAL Y ADMINISTRATIVA DEL VIGÉSIMO PRIMER CIRCUITO.</w:t>
      </w:r>
    </w:p>
    <w:p w14:paraId="3195EDF2" w14:textId="658B3118" w:rsidR="003E2198" w:rsidRPr="003E2198" w:rsidRDefault="003E2198" w:rsidP="003E2198">
      <w:pPr>
        <w:tabs>
          <w:tab w:val="left" w:pos="1276"/>
        </w:tabs>
        <w:spacing w:before="240" w:after="0" w:line="360" w:lineRule="auto"/>
        <w:ind w:firstLine="567"/>
        <w:jc w:val="both"/>
        <w:rPr>
          <w:rFonts w:ascii="Arial" w:eastAsiaTheme="minorHAnsi" w:hAnsi="Arial" w:cs="Arial"/>
          <w:bCs/>
          <w:sz w:val="24"/>
          <w:szCs w:val="26"/>
          <w:lang w:val="es-ES_tradnl" w:eastAsia="en-US"/>
        </w:rPr>
      </w:pPr>
      <w:r w:rsidRPr="003E2198">
        <w:rPr>
          <w:rFonts w:ascii="Arial" w:eastAsiaTheme="minorHAnsi" w:hAnsi="Arial" w:cs="Arial"/>
          <w:bCs/>
          <w:sz w:val="24"/>
          <w:szCs w:val="26"/>
          <w:lang w:val="es-ES_tradnl" w:eastAsia="en-US"/>
        </w:rPr>
        <w:t>En consecuencia, al resultar fundados los argumentos de la parte actora y darse el supuesto de anulación previsto en</w:t>
      </w:r>
      <w:r>
        <w:rPr>
          <w:rFonts w:ascii="Arial" w:eastAsiaTheme="minorHAnsi" w:hAnsi="Arial" w:cs="Arial"/>
          <w:bCs/>
          <w:sz w:val="24"/>
          <w:szCs w:val="26"/>
          <w:lang w:val="es-ES_tradnl" w:eastAsia="en-US"/>
        </w:rPr>
        <w:t xml:space="preserve"> la fracción II, del artículo 208</w:t>
      </w:r>
      <w:r w:rsidRPr="003E2198">
        <w:rPr>
          <w:rFonts w:ascii="Arial" w:eastAsiaTheme="minorHAnsi" w:hAnsi="Arial" w:cs="Arial"/>
          <w:bCs/>
          <w:sz w:val="24"/>
          <w:szCs w:val="26"/>
          <w:lang w:val="es-ES_tradnl" w:eastAsia="en-US"/>
        </w:rPr>
        <w:t xml:space="preserve">, de la Ley </w:t>
      </w:r>
      <w:r>
        <w:rPr>
          <w:rFonts w:ascii="Arial" w:eastAsiaTheme="minorHAnsi" w:hAnsi="Arial" w:cs="Arial"/>
          <w:bCs/>
          <w:sz w:val="24"/>
          <w:szCs w:val="26"/>
          <w:lang w:val="es-ES_tradnl" w:eastAsia="en-US"/>
        </w:rPr>
        <w:t>de Procedimiento y Justicia Administrativa para el Estado de Oaxaca</w:t>
      </w:r>
      <w:r w:rsidRPr="003E2198">
        <w:rPr>
          <w:rFonts w:ascii="Arial" w:eastAsiaTheme="minorHAnsi" w:hAnsi="Arial" w:cs="Arial"/>
          <w:bCs/>
          <w:sz w:val="24"/>
          <w:szCs w:val="26"/>
          <w:lang w:val="es-ES_tradnl" w:eastAsia="en-US"/>
        </w:rPr>
        <w:t>, procede declarar la nulidad de la resolución impugnada</w:t>
      </w:r>
      <w:r>
        <w:rPr>
          <w:rFonts w:ascii="Arial" w:eastAsiaTheme="minorHAnsi" w:hAnsi="Arial" w:cs="Arial"/>
          <w:bCs/>
          <w:sz w:val="24"/>
          <w:szCs w:val="26"/>
          <w:lang w:val="es-ES_tradnl" w:eastAsia="en-US"/>
        </w:rPr>
        <w:t>,</w:t>
      </w:r>
      <w:r w:rsidRPr="003E2198">
        <w:rPr>
          <w:rFonts w:ascii="Arial" w:eastAsiaTheme="minorHAnsi" w:hAnsi="Arial" w:cs="Arial"/>
          <w:bCs/>
          <w:sz w:val="24"/>
          <w:szCs w:val="26"/>
          <w:lang w:val="es-ES_tradnl" w:eastAsia="en-US"/>
        </w:rPr>
        <w:t xml:space="preserve"> la cual es fruto de </w:t>
      </w:r>
      <w:r>
        <w:rPr>
          <w:rFonts w:ascii="Arial" w:eastAsiaTheme="minorHAnsi" w:hAnsi="Arial" w:cs="Arial"/>
          <w:bCs/>
          <w:sz w:val="24"/>
          <w:szCs w:val="26"/>
          <w:lang w:val="es-ES_tradnl" w:eastAsia="en-US"/>
        </w:rPr>
        <w:t>un acto viciado desde su origen</w:t>
      </w:r>
      <w:r w:rsidRPr="003E2198">
        <w:rPr>
          <w:rFonts w:ascii="Arial" w:eastAsiaTheme="minorHAnsi" w:hAnsi="Arial" w:cs="Arial"/>
          <w:bCs/>
          <w:sz w:val="24"/>
          <w:szCs w:val="26"/>
          <w:lang w:val="es-ES_tradnl" w:eastAsia="en-US"/>
        </w:rPr>
        <w:t>.</w:t>
      </w:r>
    </w:p>
    <w:p w14:paraId="09E91D8D" w14:textId="77777777" w:rsidR="003E2198" w:rsidRPr="003E2198" w:rsidRDefault="003E2198" w:rsidP="003E2198">
      <w:pPr>
        <w:tabs>
          <w:tab w:val="left" w:pos="1276"/>
        </w:tabs>
        <w:spacing w:before="240" w:after="0" w:line="360" w:lineRule="auto"/>
        <w:ind w:firstLine="567"/>
        <w:jc w:val="both"/>
        <w:rPr>
          <w:rFonts w:ascii="Arial" w:eastAsiaTheme="minorHAnsi" w:hAnsi="Arial" w:cs="Arial"/>
          <w:bCs/>
          <w:sz w:val="24"/>
          <w:szCs w:val="26"/>
          <w:lang w:val="es-ES_tradnl" w:eastAsia="en-US"/>
        </w:rPr>
      </w:pPr>
      <w:r w:rsidRPr="003E2198">
        <w:rPr>
          <w:rFonts w:ascii="Arial" w:eastAsiaTheme="minorHAnsi" w:hAnsi="Arial" w:cs="Arial"/>
          <w:bCs/>
          <w:sz w:val="24"/>
          <w:szCs w:val="26"/>
          <w:lang w:val="es-ES_tradnl" w:eastAsia="en-US"/>
        </w:rPr>
        <w:t xml:space="preserve">Por su carácter ilustrativo esta Juzgadora se apoya en las Jurisprudencias </w:t>
      </w:r>
      <w:r w:rsidRPr="003E2198">
        <w:rPr>
          <w:rFonts w:ascii="Arial" w:eastAsiaTheme="minorHAnsi" w:hAnsi="Arial" w:cs="Arial"/>
          <w:b/>
          <w:bCs/>
          <w:sz w:val="24"/>
          <w:szCs w:val="26"/>
          <w:lang w:val="es-ES_tradnl" w:eastAsia="en-US"/>
        </w:rPr>
        <w:t>2a./J. 88/99 y 2a./J. 89/99</w:t>
      </w:r>
      <w:r w:rsidRPr="003E2198">
        <w:rPr>
          <w:rFonts w:ascii="Arial" w:eastAsiaTheme="minorHAnsi" w:hAnsi="Arial" w:cs="Arial"/>
          <w:bCs/>
          <w:sz w:val="24"/>
          <w:szCs w:val="26"/>
          <w:lang w:val="es-ES_tradnl" w:eastAsia="en-US"/>
        </w:rPr>
        <w:t xml:space="preserve">, publicadas en el Semanario y época antes referidos, </w:t>
      </w:r>
      <w:r w:rsidRPr="003E2198">
        <w:rPr>
          <w:rFonts w:ascii="Arial" w:eastAsiaTheme="minorHAnsi" w:hAnsi="Arial" w:cs="Arial"/>
          <w:b/>
          <w:bCs/>
          <w:sz w:val="24"/>
          <w:szCs w:val="26"/>
          <w:lang w:val="es-ES_tradnl" w:eastAsia="en-US"/>
        </w:rPr>
        <w:t>Tomo X,</w:t>
      </w:r>
      <w:r w:rsidRPr="003E2198">
        <w:rPr>
          <w:rFonts w:ascii="Arial" w:eastAsiaTheme="minorHAnsi" w:hAnsi="Arial" w:cs="Arial"/>
          <w:bCs/>
          <w:sz w:val="24"/>
          <w:szCs w:val="26"/>
          <w:lang w:val="es-ES_tradnl" w:eastAsia="en-US"/>
        </w:rPr>
        <w:t xml:space="preserve"> correspondiente al mes de agosto de agosto de 1999, páginas 132 y 185, cuyos rubros y textos se indican a continuación: </w:t>
      </w:r>
    </w:p>
    <w:p w14:paraId="5E2CD646" w14:textId="77777777" w:rsidR="003E2198" w:rsidRDefault="003E2198" w:rsidP="003E2198">
      <w:pPr>
        <w:widowControl w:val="0"/>
        <w:spacing w:after="0" w:line="240" w:lineRule="auto"/>
        <w:ind w:left="567" w:right="425"/>
        <w:jc w:val="both"/>
        <w:rPr>
          <w:rFonts w:ascii="Arial" w:eastAsia="Times New Roman" w:hAnsi="Arial" w:cs="Arial"/>
          <w:lang w:val="es-ES_tradnl" w:eastAsia="es-ES"/>
        </w:rPr>
      </w:pPr>
    </w:p>
    <w:p w14:paraId="38B04C6C" w14:textId="77777777" w:rsidR="003E2198" w:rsidRPr="003E2198" w:rsidRDefault="003E2198" w:rsidP="003E2198">
      <w:pPr>
        <w:widowControl w:val="0"/>
        <w:spacing w:after="0" w:line="240" w:lineRule="auto"/>
        <w:ind w:left="567" w:right="425"/>
        <w:jc w:val="both"/>
        <w:rPr>
          <w:rFonts w:ascii="Arial" w:eastAsia="Times New Roman" w:hAnsi="Arial" w:cs="Arial"/>
          <w:lang w:val="es-ES_tradnl" w:eastAsia="es-ES"/>
        </w:rPr>
      </w:pPr>
      <w:r w:rsidRPr="003E2198">
        <w:rPr>
          <w:rFonts w:ascii="Arial" w:eastAsia="Times New Roman" w:hAnsi="Arial" w:cs="Arial"/>
          <w:lang w:val="es-ES_tradnl" w:eastAsia="es-ES"/>
        </w:rPr>
        <w:t>“</w:t>
      </w:r>
      <w:r w:rsidRPr="003E2198">
        <w:rPr>
          <w:rFonts w:ascii="Arial" w:eastAsia="Times New Roman" w:hAnsi="Arial" w:cs="Arial"/>
          <w:b/>
          <w:lang w:val="es-ES_tradnl" w:eastAsia="es-ES"/>
        </w:rPr>
        <w:t xml:space="preserve">ORDENES DE VISITA DOMICILIARIA. </w:t>
      </w:r>
      <w:smartTag w:uri="urn:schemas-microsoft-com:office:smarttags" w:element="PersonName">
        <w:smartTagPr>
          <w:attr w:name="ProductID" w:val="LA FALTA DE"/>
        </w:smartTagPr>
        <w:r w:rsidRPr="003E2198">
          <w:rPr>
            <w:rFonts w:ascii="Arial" w:eastAsia="Times New Roman" w:hAnsi="Arial" w:cs="Arial"/>
            <w:b/>
            <w:lang w:val="es-ES_tradnl" w:eastAsia="es-ES"/>
          </w:rPr>
          <w:t>LA FALTA DE</w:t>
        </w:r>
      </w:smartTag>
      <w:r w:rsidRPr="003E2198">
        <w:rPr>
          <w:rFonts w:ascii="Arial" w:eastAsia="Times New Roman" w:hAnsi="Arial" w:cs="Arial"/>
          <w:b/>
          <w:lang w:val="es-ES_tradnl" w:eastAsia="es-ES"/>
        </w:rPr>
        <w:t xml:space="preserve"> ALGÚN REQUISITO FORMAL EN </w:t>
      </w:r>
      <w:smartTag w:uri="urn:schemas-microsoft-com:office:smarttags" w:element="PersonName">
        <w:smartTagPr>
          <w:attr w:name="ProductID" w:val="LA EMISIￓN DE"/>
        </w:smartTagPr>
        <w:r w:rsidRPr="003E2198">
          <w:rPr>
            <w:rFonts w:ascii="Arial" w:eastAsia="Times New Roman" w:hAnsi="Arial" w:cs="Arial"/>
            <w:b/>
            <w:lang w:val="es-ES_tradnl" w:eastAsia="es-ES"/>
          </w:rPr>
          <w:t>LA EMISIÓN DE</w:t>
        </w:r>
      </w:smartTag>
      <w:r w:rsidRPr="003E2198">
        <w:rPr>
          <w:rFonts w:ascii="Arial" w:eastAsia="Times New Roman" w:hAnsi="Arial" w:cs="Arial"/>
          <w:b/>
          <w:lang w:val="es-ES_tradnl" w:eastAsia="es-ES"/>
        </w:rPr>
        <w:t xml:space="preserve"> LA. ENCUADRA EN </w:t>
      </w:r>
      <w:smartTag w:uri="urn:schemas-microsoft-com:office:smarttags" w:element="PersonName">
        <w:smartTagPr>
          <w:attr w:name="ProductID" w:val="LA VIOLACIￓN PREVISTA"/>
        </w:smartTagPr>
        <w:r w:rsidRPr="003E2198">
          <w:rPr>
            <w:rFonts w:ascii="Arial" w:eastAsia="Times New Roman" w:hAnsi="Arial" w:cs="Arial"/>
            <w:b/>
            <w:lang w:val="es-ES_tradnl" w:eastAsia="es-ES"/>
          </w:rPr>
          <w:t>LA VIOLACIÓN PREVISTA</w:t>
        </w:r>
      </w:smartTag>
      <w:r w:rsidRPr="003E2198">
        <w:rPr>
          <w:rFonts w:ascii="Arial" w:eastAsia="Times New Roman" w:hAnsi="Arial" w:cs="Arial"/>
          <w:b/>
          <w:lang w:val="es-ES_tradnl" w:eastAsia="es-ES"/>
        </w:rPr>
        <w:t xml:space="preserve"> EN </w:t>
      </w:r>
      <w:smartTag w:uri="urn:schemas-microsoft-com:office:smarttags" w:element="PersonName">
        <w:smartTagPr>
          <w:attr w:name="ProductID" w:val="LA FRACCIￓN II"/>
        </w:smartTagPr>
        <w:r w:rsidRPr="003E2198">
          <w:rPr>
            <w:rFonts w:ascii="Arial" w:eastAsia="Times New Roman" w:hAnsi="Arial" w:cs="Arial"/>
            <w:b/>
            <w:lang w:val="es-ES_tradnl" w:eastAsia="es-ES"/>
          </w:rPr>
          <w:t>LA FRACCIÓN II</w:t>
        </w:r>
      </w:smartTag>
      <w:r w:rsidRPr="003E2198">
        <w:rPr>
          <w:rFonts w:ascii="Arial" w:eastAsia="Times New Roman" w:hAnsi="Arial" w:cs="Arial"/>
          <w:b/>
          <w:lang w:val="es-ES_tradnl" w:eastAsia="es-ES"/>
        </w:rPr>
        <w:t xml:space="preserve"> DEL ARTÍCULO 238 DEL CÓDIGO FISCAL DE </w:t>
      </w:r>
      <w:smartTag w:uri="urn:schemas-microsoft-com:office:smarttags" w:element="PersonName">
        <w:smartTagPr>
          <w:attr w:name="ProductID" w:val="LA FEDERACIￓN. El"/>
        </w:smartTagPr>
        <w:r w:rsidRPr="003E2198">
          <w:rPr>
            <w:rFonts w:ascii="Arial" w:eastAsia="Times New Roman" w:hAnsi="Arial" w:cs="Arial"/>
            <w:b/>
            <w:lang w:val="es-ES_tradnl" w:eastAsia="es-ES"/>
          </w:rPr>
          <w:t xml:space="preserve">LA FEDERACIÓN. </w:t>
        </w:r>
        <w:r w:rsidRPr="003E2198">
          <w:rPr>
            <w:rFonts w:ascii="Arial" w:eastAsia="Times New Roman" w:hAnsi="Arial" w:cs="Arial"/>
            <w:lang w:val="es-ES_tradnl" w:eastAsia="es-ES"/>
          </w:rPr>
          <w:t>El</w:t>
        </w:r>
      </w:smartTag>
      <w:r w:rsidRPr="003E2198">
        <w:rPr>
          <w:rFonts w:ascii="Arial" w:eastAsia="Times New Roman" w:hAnsi="Arial" w:cs="Arial"/>
          <w:lang w:val="es-ES_tradnl" w:eastAsia="es-ES"/>
        </w:rPr>
        <w:t xml:space="preserve"> procedimiento de auditoria encuentra su origen en la orden de visita que, con fundamento en el artículo 16 Constitucional, tiene por objeto verificar el cumplimiento de las obligaciones fiscales. Dicho procedimiento se inicia, de conformidad con el artículo 42, último párrafo del Código Fiscal de </w:t>
      </w:r>
      <w:smartTag w:uri="urn:schemas-microsoft-com:office:smarttags" w:element="PersonName">
        <w:smartTagPr>
          <w:attr w:name="ProductID" w:val="la Federaci￳n"/>
        </w:smartTagPr>
        <w:r w:rsidRPr="003E2198">
          <w:rPr>
            <w:rFonts w:ascii="Arial" w:eastAsia="Times New Roman" w:hAnsi="Arial" w:cs="Arial"/>
            <w:lang w:val="es-ES_tradnl" w:eastAsia="es-ES"/>
          </w:rPr>
          <w:t>la Federación</w:t>
        </w:r>
      </w:smartTag>
      <w:r w:rsidRPr="003E2198">
        <w:rPr>
          <w:rFonts w:ascii="Arial" w:eastAsia="Times New Roman" w:hAnsi="Arial" w:cs="Arial"/>
          <w:lang w:val="es-ES_tradnl" w:eastAsia="es-ES"/>
        </w:rPr>
        <w:t xml:space="preserve">, con la notificación de dicha orden y culmina con la decisión de la autoridad fiscal en la que se determinan las consecuencias legales de los hechos u omisiones que se advirtieron en la auditoría, por tanto, si la nulidad de la resolución impugnada se suscitó a consecuencia de que la referida orden de vista contiene vicios formales, tal violación debe quedar encuadrada en la fracción II del artículo 238 del Código Fiscal de </w:t>
      </w:r>
      <w:smartTag w:uri="urn:schemas-microsoft-com:office:smarttags" w:element="PersonName">
        <w:smartTagPr>
          <w:attr w:name="ProductID" w:val="la Federaci￳n"/>
        </w:smartTagPr>
        <w:r w:rsidRPr="003E2198">
          <w:rPr>
            <w:rFonts w:ascii="Arial" w:eastAsia="Times New Roman" w:hAnsi="Arial" w:cs="Arial"/>
            <w:lang w:val="es-ES_tradnl" w:eastAsia="es-ES"/>
          </w:rPr>
          <w:t>la Federación</w:t>
        </w:r>
      </w:smartTag>
      <w:r w:rsidRPr="003E2198">
        <w:rPr>
          <w:rFonts w:ascii="Arial" w:eastAsia="Times New Roman" w:hAnsi="Arial" w:cs="Arial"/>
          <w:lang w:val="es-ES_tradnl" w:eastAsia="es-ES"/>
        </w:rPr>
        <w:t>, ya que se trata de una omisión de los requisitos formales exigidos por la leyes, que afectó la defensa de los particulares y trascendió al sentido de la resolución impugnada, porque fue emitida sin fundamentación y motivación.</w:t>
      </w:r>
    </w:p>
    <w:p w14:paraId="5E709C4E" w14:textId="77777777" w:rsidR="003E2198" w:rsidRPr="003E2198" w:rsidRDefault="003E2198" w:rsidP="003E2198">
      <w:pPr>
        <w:widowControl w:val="0"/>
        <w:spacing w:after="0" w:line="240" w:lineRule="auto"/>
        <w:ind w:left="567" w:right="425"/>
        <w:jc w:val="both"/>
        <w:rPr>
          <w:rFonts w:ascii="Arial" w:eastAsia="Times New Roman" w:hAnsi="Arial" w:cs="Arial"/>
          <w:lang w:val="es-ES_tradnl" w:eastAsia="es-ES"/>
        </w:rPr>
      </w:pPr>
    </w:p>
    <w:p w14:paraId="21294AB5" w14:textId="77777777" w:rsidR="003E2198" w:rsidRPr="003E2198" w:rsidRDefault="003E2198" w:rsidP="003E2198">
      <w:pPr>
        <w:widowControl w:val="0"/>
        <w:spacing w:after="0" w:line="240" w:lineRule="auto"/>
        <w:ind w:left="567" w:right="425"/>
        <w:jc w:val="both"/>
        <w:rPr>
          <w:rFonts w:ascii="Arial" w:eastAsia="Times New Roman" w:hAnsi="Arial" w:cs="Arial"/>
          <w:lang w:val="es-ES_tradnl" w:eastAsia="es-ES"/>
        </w:rPr>
      </w:pPr>
    </w:p>
    <w:p w14:paraId="4823CA96" w14:textId="77777777" w:rsidR="003E2198" w:rsidRPr="003E2198" w:rsidRDefault="003E2198" w:rsidP="003E2198">
      <w:pPr>
        <w:widowControl w:val="0"/>
        <w:spacing w:after="0" w:line="240" w:lineRule="auto"/>
        <w:ind w:left="567" w:right="425"/>
        <w:jc w:val="both"/>
        <w:rPr>
          <w:rFonts w:ascii="Arial" w:eastAsia="Times New Roman" w:hAnsi="Arial" w:cs="Arial"/>
          <w:lang w:val="es-ES_tradnl" w:eastAsia="es-ES"/>
        </w:rPr>
      </w:pPr>
      <w:r w:rsidRPr="003E2198">
        <w:rPr>
          <w:rFonts w:ascii="Arial" w:eastAsia="Times New Roman" w:hAnsi="Arial" w:cs="Arial"/>
          <w:lang w:val="es-ES_tradnl" w:eastAsia="es-ES"/>
        </w:rPr>
        <w:t>“</w:t>
      </w:r>
      <w:r w:rsidRPr="003E2198">
        <w:rPr>
          <w:rFonts w:ascii="Arial" w:eastAsia="Times New Roman" w:hAnsi="Arial" w:cs="Arial"/>
          <w:b/>
          <w:lang w:val="es-ES_tradnl" w:eastAsia="es-ES"/>
        </w:rPr>
        <w:t xml:space="preserve">ORDENES DE VISITA DOMICILIARIA. </w:t>
      </w:r>
      <w:smartTag w:uri="urn:schemas-microsoft-com:office:smarttags" w:element="PersonName">
        <w:smartTagPr>
          <w:attr w:name="ProductID" w:val="LA NULIDAD DECRETADA"/>
        </w:smartTagPr>
        <w:r w:rsidRPr="003E2198">
          <w:rPr>
            <w:rFonts w:ascii="Arial" w:eastAsia="Times New Roman" w:hAnsi="Arial" w:cs="Arial"/>
            <w:b/>
            <w:lang w:val="es-ES_tradnl" w:eastAsia="es-ES"/>
          </w:rPr>
          <w:t>LA NULIDAD DECRETADA</w:t>
        </w:r>
      </w:smartTag>
      <w:r w:rsidRPr="003E2198">
        <w:rPr>
          <w:rFonts w:ascii="Arial" w:eastAsia="Times New Roman" w:hAnsi="Arial" w:cs="Arial"/>
          <w:b/>
          <w:lang w:val="es-ES_tradnl" w:eastAsia="es-ES"/>
        </w:rPr>
        <w:t xml:space="preserve"> POR VICIOS FORMALES EN SU EMISIÓN. DEBE SER DECLARADA CON FUNDAMENTO EN </w:t>
      </w:r>
      <w:smartTag w:uri="urn:schemas-microsoft-com:office:smarttags" w:element="PersonName">
        <w:smartTagPr>
          <w:attr w:name="ProductID" w:val="LA PARTE FINAL"/>
        </w:smartTagPr>
        <w:r w:rsidRPr="003E2198">
          <w:rPr>
            <w:rFonts w:ascii="Arial" w:eastAsia="Times New Roman" w:hAnsi="Arial" w:cs="Arial"/>
            <w:b/>
            <w:lang w:val="es-ES_tradnl" w:eastAsia="es-ES"/>
          </w:rPr>
          <w:t>LA PARTE FINAL</w:t>
        </w:r>
      </w:smartTag>
      <w:r w:rsidRPr="003E2198">
        <w:rPr>
          <w:rFonts w:ascii="Arial" w:eastAsia="Times New Roman" w:hAnsi="Arial" w:cs="Arial"/>
          <w:b/>
          <w:lang w:val="es-ES_tradnl" w:eastAsia="es-ES"/>
        </w:rPr>
        <w:t xml:space="preserve"> DE </w:t>
      </w:r>
      <w:smartTag w:uri="urn:schemas-microsoft-com:office:smarttags" w:element="PersonName">
        <w:smartTagPr>
          <w:attr w:name="ProductID" w:val="LA FRACCIￓN III"/>
        </w:smartTagPr>
        <w:r w:rsidRPr="003E2198">
          <w:rPr>
            <w:rFonts w:ascii="Arial" w:eastAsia="Times New Roman" w:hAnsi="Arial" w:cs="Arial"/>
            <w:b/>
            <w:lang w:val="es-ES_tradnl" w:eastAsia="es-ES"/>
          </w:rPr>
          <w:t>LA FRACCIÓN III</w:t>
        </w:r>
      </w:smartTag>
      <w:r w:rsidRPr="003E2198">
        <w:rPr>
          <w:rFonts w:ascii="Arial" w:eastAsia="Times New Roman" w:hAnsi="Arial" w:cs="Arial"/>
          <w:b/>
          <w:lang w:val="es-ES_tradnl" w:eastAsia="es-ES"/>
        </w:rPr>
        <w:t xml:space="preserve"> DEL ARTÍCULO 239, DEL CÓDIGO FISCAL DE </w:t>
      </w:r>
      <w:smartTag w:uri="urn:schemas-microsoft-com:office:smarttags" w:element="PersonName">
        <w:smartTagPr>
          <w:attr w:name="ProductID" w:val="LA FEDERACIￓN. Si"/>
        </w:smartTagPr>
        <w:r w:rsidRPr="003E2198">
          <w:rPr>
            <w:rFonts w:ascii="Arial" w:eastAsia="Times New Roman" w:hAnsi="Arial" w:cs="Arial"/>
            <w:b/>
            <w:lang w:val="es-ES_tradnl" w:eastAsia="es-ES"/>
          </w:rPr>
          <w:t xml:space="preserve">LA FEDERACIÓN. </w:t>
        </w:r>
        <w:r w:rsidRPr="003E2198">
          <w:rPr>
            <w:rFonts w:ascii="Arial" w:eastAsia="Times New Roman" w:hAnsi="Arial" w:cs="Arial"/>
            <w:lang w:val="es-ES_tradnl" w:eastAsia="es-ES"/>
          </w:rPr>
          <w:t>Si</w:t>
        </w:r>
      </w:smartTag>
      <w:r w:rsidRPr="003E2198">
        <w:rPr>
          <w:rFonts w:ascii="Arial" w:eastAsia="Times New Roman" w:hAnsi="Arial" w:cs="Arial"/>
          <w:lang w:val="es-ES_tradnl" w:eastAsia="es-ES"/>
        </w:rPr>
        <w:t xml:space="preserve"> bien las violaciones de tipo formal existentes en un acto administrativo, encuadran en el supuesto previsto en la fracción II del artículo 238 del Código Fiscal de </w:t>
      </w:r>
      <w:smartTag w:uri="urn:schemas-microsoft-com:office:smarttags" w:element="PersonName">
        <w:smartTagPr>
          <w:attr w:name="ProductID" w:val="la Federaci￳n"/>
        </w:smartTagPr>
        <w:r w:rsidRPr="003E2198">
          <w:rPr>
            <w:rFonts w:ascii="Arial" w:eastAsia="Times New Roman" w:hAnsi="Arial" w:cs="Arial"/>
            <w:lang w:val="es-ES_tradnl" w:eastAsia="es-ES"/>
          </w:rPr>
          <w:t>la Federación</w:t>
        </w:r>
      </w:smartTag>
      <w:r w:rsidRPr="003E2198">
        <w:rPr>
          <w:rFonts w:ascii="Arial" w:eastAsia="Times New Roman" w:hAnsi="Arial" w:cs="Arial"/>
          <w:lang w:val="es-ES_tradnl" w:eastAsia="es-ES"/>
        </w:rPr>
        <w:t>, lo que trae aparejada la declaratoria de nulidad para efectos, en términos de lo establecido en la fracción III del artículo 239 del mencionado ordenamiento legal, ello no ocurre, en el caso de las órdenes de visita domiciliaria. En efecto, no debe perderse de visita que debido a la naturaleza de las resoluciones impugnadas, las que derivaron de la emisión de órdenes de visita domiciliaria, expedidas con base en la facultad discrecional que a las autoridades fiscalizadoras les otorga el artículo 16 Constitucional, surte el caso de excepción previsto en la parte final del precepto citado en el último término y, por tanto, aunque originariamente deba ser declarada la nulidad para efectos, lo cierto es que la nulidad decretada en este supuesto excepcional no puede tener efecto alguno que no sea el que la autoridad anule el acto impugnado y, actuando dentro del límite de sus facultades discrecionales, si así lo estima conveniente y se encuentra en posibilidad de hacerlo, emita un nuevo acto administrativo.”</w:t>
      </w:r>
    </w:p>
    <w:p w14:paraId="201FA540" w14:textId="77777777" w:rsidR="003E2198" w:rsidRPr="003E2198" w:rsidRDefault="003E2198" w:rsidP="003E2198">
      <w:pPr>
        <w:widowControl w:val="0"/>
        <w:spacing w:after="0" w:line="240" w:lineRule="auto"/>
        <w:ind w:left="1134" w:right="1185"/>
        <w:jc w:val="both"/>
        <w:rPr>
          <w:rFonts w:ascii="Verdana" w:eastAsia="Times New Roman" w:hAnsi="Verdana" w:cs="Arial"/>
          <w:lang w:val="es-ES_tradnl" w:eastAsia="es-ES"/>
        </w:rPr>
      </w:pPr>
    </w:p>
    <w:p w14:paraId="0FCD8E94" w14:textId="77777777" w:rsidR="003E2198" w:rsidRPr="003E2198" w:rsidRDefault="003E2198" w:rsidP="003E2198">
      <w:pPr>
        <w:tabs>
          <w:tab w:val="left" w:pos="1276"/>
        </w:tabs>
        <w:spacing w:before="240" w:after="0" w:line="360" w:lineRule="auto"/>
        <w:ind w:firstLine="567"/>
        <w:jc w:val="both"/>
        <w:rPr>
          <w:rFonts w:ascii="Arial" w:eastAsiaTheme="minorHAnsi" w:hAnsi="Arial" w:cs="Arial"/>
          <w:bCs/>
          <w:sz w:val="24"/>
          <w:szCs w:val="26"/>
          <w:lang w:val="es-ES_tradnl" w:eastAsia="en-US"/>
        </w:rPr>
      </w:pPr>
      <w:r w:rsidRPr="003E2198">
        <w:rPr>
          <w:rFonts w:ascii="Arial" w:eastAsiaTheme="minorHAnsi" w:hAnsi="Arial" w:cs="Arial"/>
          <w:bCs/>
          <w:sz w:val="24"/>
          <w:szCs w:val="26"/>
          <w:lang w:val="es-ES_tradnl" w:eastAsia="en-US"/>
        </w:rPr>
        <w:lastRenderedPageBreak/>
        <w:t>Así las cosas, resulta innecesario el estudio de los restantes conceptos de impugnación que se formularon, toda vez que cualquiera que fuera el resultado de su análisis en nada variaría el sentido de la presente resolución.</w:t>
      </w:r>
    </w:p>
    <w:p w14:paraId="40A1945A" w14:textId="77777777" w:rsidR="003E2198" w:rsidRDefault="003E2198" w:rsidP="003E2198">
      <w:pPr>
        <w:tabs>
          <w:tab w:val="left" w:pos="1276"/>
        </w:tabs>
        <w:spacing w:before="240" w:after="0" w:line="360" w:lineRule="auto"/>
        <w:ind w:firstLine="567"/>
        <w:jc w:val="both"/>
        <w:rPr>
          <w:rFonts w:ascii="Arial" w:eastAsiaTheme="minorHAnsi" w:hAnsi="Arial" w:cs="Arial"/>
          <w:bCs/>
          <w:sz w:val="24"/>
          <w:szCs w:val="26"/>
          <w:lang w:val="es-ES_tradnl" w:eastAsia="en-US"/>
        </w:rPr>
      </w:pPr>
      <w:r w:rsidRPr="003E2198">
        <w:rPr>
          <w:rFonts w:ascii="Arial" w:eastAsiaTheme="minorHAnsi" w:hAnsi="Arial" w:cs="Arial"/>
          <w:bCs/>
          <w:sz w:val="24"/>
          <w:szCs w:val="26"/>
          <w:lang w:val="es-ES_tradnl" w:eastAsia="en-US"/>
        </w:rPr>
        <w:t xml:space="preserve">Apoya la anterior determinación la jurisprudencia número 68 sustentada por </w:t>
      </w:r>
      <w:smartTag w:uri="urn:schemas-microsoft-com:office:smarttags" w:element="PersonName">
        <w:smartTagPr>
          <w:attr w:name="ProductID" w:val="la Sala Superior"/>
        </w:smartTagPr>
        <w:smartTag w:uri="urn:schemas-microsoft-com:office:smarttags" w:element="PersonName">
          <w:smartTagPr>
            <w:attr w:name="ProductID" w:val="la Sala"/>
          </w:smartTagPr>
          <w:r w:rsidRPr="003E2198">
            <w:rPr>
              <w:rFonts w:ascii="Arial" w:eastAsiaTheme="minorHAnsi" w:hAnsi="Arial" w:cs="Arial"/>
              <w:bCs/>
              <w:sz w:val="24"/>
              <w:szCs w:val="26"/>
              <w:lang w:val="es-ES_tradnl" w:eastAsia="en-US"/>
            </w:rPr>
            <w:t>la Sala</w:t>
          </w:r>
        </w:smartTag>
        <w:r w:rsidRPr="003E2198">
          <w:rPr>
            <w:rFonts w:ascii="Arial" w:eastAsiaTheme="minorHAnsi" w:hAnsi="Arial" w:cs="Arial"/>
            <w:bCs/>
            <w:sz w:val="24"/>
            <w:szCs w:val="26"/>
            <w:lang w:val="es-ES_tradnl" w:eastAsia="en-US"/>
          </w:rPr>
          <w:t xml:space="preserve"> Superior</w:t>
        </w:r>
      </w:smartTag>
      <w:r w:rsidRPr="003E2198">
        <w:rPr>
          <w:rFonts w:ascii="Arial" w:eastAsiaTheme="minorHAnsi" w:hAnsi="Arial" w:cs="Arial"/>
          <w:bCs/>
          <w:sz w:val="24"/>
          <w:szCs w:val="26"/>
          <w:lang w:val="es-ES_tradnl" w:eastAsia="en-US"/>
        </w:rPr>
        <w:t xml:space="preserve"> de este Tribunal, publicada a foja 352 de la obra Jurisprudencia del Tribunal Fiscal de </w:t>
      </w:r>
      <w:smartTag w:uri="urn:schemas-microsoft-com:office:smarttags" w:element="PersonName">
        <w:smartTagPr>
          <w:attr w:name="ProductID" w:val="la Federaci￳n"/>
        </w:smartTagPr>
        <w:r w:rsidRPr="003E2198">
          <w:rPr>
            <w:rFonts w:ascii="Arial" w:eastAsiaTheme="minorHAnsi" w:hAnsi="Arial" w:cs="Arial"/>
            <w:bCs/>
            <w:sz w:val="24"/>
            <w:szCs w:val="26"/>
            <w:lang w:val="es-ES_tradnl" w:eastAsia="en-US"/>
          </w:rPr>
          <w:t>la Federación</w:t>
        </w:r>
      </w:smartTag>
      <w:r w:rsidRPr="003E2198">
        <w:rPr>
          <w:rFonts w:ascii="Arial" w:eastAsiaTheme="minorHAnsi" w:hAnsi="Arial" w:cs="Arial"/>
          <w:bCs/>
          <w:sz w:val="24"/>
          <w:szCs w:val="26"/>
          <w:lang w:val="es-ES_tradnl" w:eastAsia="en-US"/>
        </w:rPr>
        <w:t xml:space="preserve"> 1937-1993, que a continuación se transcribe:</w:t>
      </w:r>
    </w:p>
    <w:p w14:paraId="7D523ECD" w14:textId="77777777" w:rsidR="009E32C1" w:rsidRDefault="009E32C1" w:rsidP="003E2198">
      <w:pPr>
        <w:tabs>
          <w:tab w:val="left" w:pos="1276"/>
        </w:tabs>
        <w:spacing w:after="0" w:line="240" w:lineRule="auto"/>
        <w:ind w:left="567" w:right="425"/>
        <w:jc w:val="both"/>
        <w:rPr>
          <w:rFonts w:ascii="Arial" w:eastAsiaTheme="minorHAnsi" w:hAnsi="Arial" w:cs="Arial"/>
          <w:bCs/>
          <w:lang w:val="es-ES" w:eastAsia="en-US"/>
        </w:rPr>
      </w:pPr>
    </w:p>
    <w:p w14:paraId="64EA90B2" w14:textId="77777777" w:rsidR="003E2198" w:rsidRDefault="003E2198" w:rsidP="003E2198">
      <w:pPr>
        <w:tabs>
          <w:tab w:val="left" w:pos="1276"/>
        </w:tabs>
        <w:spacing w:after="0" w:line="240" w:lineRule="auto"/>
        <w:ind w:left="567" w:right="425"/>
        <w:jc w:val="both"/>
        <w:rPr>
          <w:rFonts w:ascii="Arial" w:eastAsiaTheme="minorHAnsi" w:hAnsi="Arial" w:cs="Arial"/>
          <w:bCs/>
          <w:lang w:val="es-ES" w:eastAsia="en-US"/>
        </w:rPr>
      </w:pPr>
      <w:r w:rsidRPr="003E2198">
        <w:rPr>
          <w:rFonts w:ascii="Arial" w:eastAsiaTheme="minorHAnsi" w:hAnsi="Arial" w:cs="Arial"/>
          <w:bCs/>
          <w:lang w:val="es-ES" w:eastAsia="en-US"/>
        </w:rPr>
        <w:t>“</w:t>
      </w:r>
      <w:r w:rsidRPr="003E2198">
        <w:rPr>
          <w:rFonts w:ascii="Arial" w:eastAsiaTheme="minorHAnsi" w:hAnsi="Arial" w:cs="Arial"/>
          <w:b/>
          <w:bCs/>
          <w:lang w:val="es-ES" w:eastAsia="en-US"/>
        </w:rPr>
        <w:t>SENTENCIAS DEL TRIBUNAL FISCAL.- CASO EN EL QUE NO CONTRAVIENEN LO DISPUESTO POR EL ARTÍCULO 229 DEL CÓDIGO FISCAL DE LA FEDERACIÓN.-</w:t>
      </w:r>
      <w:r w:rsidRPr="003E2198">
        <w:rPr>
          <w:rFonts w:ascii="Arial" w:eastAsiaTheme="minorHAnsi" w:hAnsi="Arial" w:cs="Arial"/>
          <w:bCs/>
          <w:lang w:val="es-ES" w:eastAsia="en-US"/>
        </w:rPr>
        <w:t xml:space="preserve"> Si bien es cierto que las Salas del Tribunal deben examinar todos los puntos controvertidos de la resolución impugnada, de la demanda y de la contestación de acuerdo con lo dispuesto por el artículo 229 del Código Fiscal de </w:t>
      </w:r>
      <w:smartTag w:uri="urn:schemas-microsoft-com:office:smarttags" w:element="PersonName">
        <w:smartTagPr>
          <w:attr w:name="ProductID" w:val="la Federaci￳n"/>
        </w:smartTagPr>
        <w:r w:rsidRPr="003E2198">
          <w:rPr>
            <w:rFonts w:ascii="Arial" w:eastAsiaTheme="minorHAnsi" w:hAnsi="Arial" w:cs="Arial"/>
            <w:bCs/>
            <w:lang w:val="es-ES" w:eastAsia="en-US"/>
          </w:rPr>
          <w:t>la Federación</w:t>
        </w:r>
      </w:smartTag>
      <w:r w:rsidRPr="003E2198">
        <w:rPr>
          <w:rFonts w:ascii="Arial" w:eastAsiaTheme="minorHAnsi" w:hAnsi="Arial" w:cs="Arial"/>
          <w:bCs/>
          <w:lang w:val="es-ES" w:eastAsia="en-US"/>
        </w:rPr>
        <w:t>, también lo es que pueden abstenerse de estudiar todas las cuestiones planteadas cuando encuentren un concepto de anulación fundado y suficiente para declarar la nulidad de la resolución impugnada; pues siendo así resultaría innecesario analizar las demás argumentaciones de la actora y de la demandada, ya que cualquiera que fuere el resultado de ese estudio, en nada se variaría la anterior conclusión.”</w:t>
      </w:r>
    </w:p>
    <w:p w14:paraId="27A62CDA" w14:textId="77777777" w:rsidR="003E2198" w:rsidRPr="003E2198" w:rsidRDefault="003E2198" w:rsidP="003E2198">
      <w:pPr>
        <w:tabs>
          <w:tab w:val="left" w:pos="1276"/>
        </w:tabs>
        <w:spacing w:after="0" w:line="240" w:lineRule="auto"/>
        <w:ind w:left="567" w:right="425"/>
        <w:jc w:val="both"/>
        <w:rPr>
          <w:rFonts w:ascii="Arial" w:eastAsiaTheme="minorHAnsi" w:hAnsi="Arial" w:cs="Arial"/>
          <w:bCs/>
          <w:lang w:val="es-ES" w:eastAsia="en-US"/>
        </w:rPr>
      </w:pPr>
    </w:p>
    <w:p w14:paraId="798B30DE" w14:textId="7C1CD6AC" w:rsidR="00214FD6" w:rsidRPr="00926325" w:rsidRDefault="00926325" w:rsidP="004D7165">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color w:val="000000"/>
          <w:sz w:val="24"/>
          <w:szCs w:val="24"/>
          <w:lang w:eastAsia="en-US"/>
        </w:rPr>
        <w:t>Por lo expuesto y con fundame</w:t>
      </w:r>
      <w:r w:rsidR="00AA2755">
        <w:rPr>
          <w:rFonts w:ascii="Arial" w:eastAsia="Arial" w:hAnsi="Arial" w:cs="Arial"/>
          <w:color w:val="000000"/>
          <w:sz w:val="24"/>
          <w:szCs w:val="24"/>
          <w:lang w:eastAsia="en-US"/>
        </w:rPr>
        <w:t xml:space="preserve">nto en los artículos 207, 208 </w:t>
      </w:r>
      <w:r w:rsidR="0023668C">
        <w:rPr>
          <w:rFonts w:ascii="Arial" w:eastAsia="Arial" w:hAnsi="Arial" w:cs="Arial"/>
          <w:color w:val="000000"/>
          <w:sz w:val="24"/>
          <w:szCs w:val="24"/>
          <w:lang w:eastAsia="en-US"/>
        </w:rPr>
        <w:t>fracción II</w:t>
      </w:r>
      <w:r w:rsidRPr="00926325">
        <w:rPr>
          <w:rFonts w:ascii="Arial" w:eastAsia="Arial" w:hAnsi="Arial" w:cs="Arial"/>
          <w:color w:val="000000"/>
          <w:sz w:val="24"/>
          <w:szCs w:val="24"/>
          <w:lang w:eastAsia="en-US"/>
        </w:rPr>
        <w:t xml:space="preserve"> y 209 de Ley de Procedimiento y Justicia Administrativa para el Estado de Oaxaca, se; - </w:t>
      </w:r>
      <w:r>
        <w:rPr>
          <w:rFonts w:ascii="Arial" w:eastAsia="Arial" w:hAnsi="Arial" w:cs="Arial"/>
          <w:color w:val="000000"/>
          <w:sz w:val="24"/>
          <w:szCs w:val="24"/>
          <w:lang w:eastAsia="en-US"/>
        </w:rPr>
        <w:t>- - - - - - - - - - - - - - - - - - - - - - - - - - - - - - -</w:t>
      </w:r>
      <w:r w:rsidR="00AA2755">
        <w:rPr>
          <w:rFonts w:ascii="Arial" w:eastAsia="Arial" w:hAnsi="Arial" w:cs="Arial"/>
          <w:color w:val="000000"/>
          <w:sz w:val="24"/>
          <w:szCs w:val="24"/>
          <w:lang w:eastAsia="en-US"/>
        </w:rPr>
        <w:t xml:space="preserve"> - - - - - - - - - - - - - </w:t>
      </w:r>
      <w:r w:rsidR="0023668C">
        <w:rPr>
          <w:rFonts w:ascii="Arial" w:eastAsia="Arial" w:hAnsi="Arial" w:cs="Arial"/>
          <w:color w:val="000000"/>
          <w:sz w:val="24"/>
          <w:szCs w:val="24"/>
          <w:lang w:eastAsia="en-US"/>
        </w:rPr>
        <w:t xml:space="preserve">-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796485E2" w:rsidR="001540EC" w:rsidRDefault="00BE3F92" w:rsidP="005D488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r w:rsidR="0023668C">
        <w:rPr>
          <w:rFonts w:ascii="Arial" w:eastAsia="Arial" w:hAnsi="Arial" w:cs="Arial"/>
          <w:sz w:val="24"/>
          <w:szCs w:val="24"/>
        </w:rPr>
        <w:t xml:space="preserve">- </w:t>
      </w:r>
    </w:p>
    <w:p w14:paraId="5A1F8D17" w14:textId="7361086F"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SEGUNDO.</w:t>
      </w:r>
      <w:r w:rsidRPr="00926325">
        <w:rPr>
          <w:rFonts w:ascii="Arial" w:eastAsia="Arial" w:hAnsi="Arial" w:cs="Arial"/>
          <w:color w:val="000000"/>
          <w:sz w:val="24"/>
          <w:szCs w:val="24"/>
          <w:lang w:eastAsia="en-US"/>
        </w:rPr>
        <w:t xml:space="preserve"> La personalidad de las partes quedó acreditada en autos.</w:t>
      </w:r>
      <w:r>
        <w:rPr>
          <w:rFonts w:ascii="Arial" w:eastAsia="Arial" w:hAnsi="Arial" w:cs="Arial"/>
          <w:color w:val="000000"/>
          <w:sz w:val="24"/>
          <w:szCs w:val="24"/>
          <w:lang w:eastAsia="en-US"/>
        </w:rPr>
        <w:t>-</w:t>
      </w:r>
      <w:r w:rsidR="00BF4636">
        <w:rPr>
          <w:rFonts w:ascii="Arial" w:eastAsia="Arial" w:hAnsi="Arial" w:cs="Arial"/>
          <w:color w:val="000000"/>
          <w:sz w:val="24"/>
          <w:szCs w:val="24"/>
          <w:lang w:eastAsia="en-US"/>
        </w:rPr>
        <w:t xml:space="preserve"> - </w:t>
      </w:r>
    </w:p>
    <w:p w14:paraId="07748E44" w14:textId="49E1733C"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TERCERO.</w:t>
      </w:r>
      <w:r w:rsidRPr="00926325">
        <w:rPr>
          <w:rFonts w:ascii="Arial" w:eastAsia="Arial" w:hAnsi="Arial" w:cs="Arial"/>
          <w:color w:val="000000"/>
          <w:sz w:val="24"/>
          <w:szCs w:val="24"/>
          <w:lang w:eastAsia="en-US"/>
        </w:rPr>
        <w:t xml:space="preserve"> No se actualizaron causales de improcedencia y sobreseimiento en el presente asunto, por lo que </w:t>
      </w:r>
      <w:r w:rsidR="0023668C" w:rsidRPr="00926325">
        <w:rPr>
          <w:rFonts w:ascii="Arial" w:eastAsia="Arial" w:hAnsi="Arial" w:cs="Arial"/>
          <w:b/>
          <w:color w:val="000000"/>
          <w:sz w:val="24"/>
          <w:szCs w:val="24"/>
          <w:lang w:eastAsia="en-US"/>
        </w:rPr>
        <w:t>NO SE SOBRESEE</w:t>
      </w:r>
      <w:r w:rsidRPr="00926325">
        <w:rPr>
          <w:rFonts w:ascii="Arial" w:eastAsia="Arial" w:hAnsi="Arial" w:cs="Arial"/>
          <w:color w:val="000000"/>
          <w:sz w:val="24"/>
          <w:szCs w:val="24"/>
          <w:lang w:eastAsia="en-US"/>
        </w:rPr>
        <w:t xml:space="preserve"> el juicio.- - </w:t>
      </w:r>
      <w:r w:rsidR="00BF4636">
        <w:rPr>
          <w:rFonts w:ascii="Arial" w:eastAsia="Arial" w:hAnsi="Arial" w:cs="Arial"/>
          <w:color w:val="000000"/>
          <w:sz w:val="24"/>
          <w:szCs w:val="24"/>
          <w:lang w:eastAsia="en-US"/>
        </w:rPr>
        <w:t xml:space="preserve">- - - - - - - - - - - - - - - - - - - - - - - - - - - - - - - - - - - - - - - - - - - - - - - - - - - </w:t>
      </w:r>
    </w:p>
    <w:p w14:paraId="1D827131" w14:textId="00B6360B"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sz w:val="24"/>
          <w:szCs w:val="24"/>
          <w:lang w:eastAsia="en-US"/>
        </w:rPr>
      </w:pPr>
      <w:r w:rsidRPr="00926325">
        <w:rPr>
          <w:rFonts w:ascii="Arial" w:eastAsia="Arial" w:hAnsi="Arial" w:cs="Arial"/>
          <w:b/>
          <w:sz w:val="24"/>
          <w:szCs w:val="24"/>
          <w:lang w:eastAsia="en-US"/>
        </w:rPr>
        <w:t xml:space="preserve">CUARTO. </w:t>
      </w:r>
      <w:r w:rsidRPr="00926325">
        <w:rPr>
          <w:rFonts w:ascii="Arial" w:eastAsia="Arial" w:hAnsi="Arial" w:cs="Arial"/>
          <w:sz w:val="24"/>
          <w:szCs w:val="24"/>
          <w:lang w:eastAsia="en-US"/>
        </w:rPr>
        <w:t xml:space="preserve">Se </w:t>
      </w:r>
      <w:r w:rsidR="00C95878">
        <w:rPr>
          <w:rFonts w:ascii="Arial" w:eastAsia="Arial" w:hAnsi="Arial" w:cs="Arial"/>
          <w:sz w:val="24"/>
          <w:szCs w:val="24"/>
          <w:lang w:eastAsia="en-US"/>
        </w:rPr>
        <w:t>declara</w:t>
      </w:r>
      <w:r w:rsidR="00AA2755">
        <w:rPr>
          <w:rFonts w:ascii="Arial" w:eastAsia="Arial" w:hAnsi="Arial" w:cs="Arial"/>
          <w:sz w:val="24"/>
          <w:szCs w:val="24"/>
          <w:lang w:eastAsia="en-US"/>
        </w:rPr>
        <w:t xml:space="preserve"> </w:t>
      </w:r>
      <w:r w:rsidRPr="00926325">
        <w:rPr>
          <w:rFonts w:ascii="Arial" w:eastAsia="Arial" w:hAnsi="Arial" w:cs="Arial"/>
          <w:sz w:val="24"/>
          <w:szCs w:val="24"/>
          <w:lang w:eastAsia="en-US"/>
        </w:rPr>
        <w:t xml:space="preserve">la </w:t>
      </w:r>
      <w:r w:rsidR="00C95878">
        <w:rPr>
          <w:rFonts w:ascii="Arial" w:eastAsia="Arial" w:hAnsi="Arial" w:cs="Arial"/>
          <w:b/>
          <w:sz w:val="24"/>
          <w:szCs w:val="24"/>
          <w:lang w:eastAsia="en-US"/>
        </w:rPr>
        <w:t>NULIDAD</w:t>
      </w:r>
      <w:r w:rsidR="00D630BE" w:rsidRPr="00926325">
        <w:rPr>
          <w:rFonts w:ascii="Arial" w:eastAsia="Arial" w:hAnsi="Arial" w:cs="Arial"/>
          <w:sz w:val="24"/>
          <w:szCs w:val="24"/>
          <w:lang w:eastAsia="en-US"/>
        </w:rPr>
        <w:t xml:space="preserve"> </w:t>
      </w:r>
      <w:r w:rsidR="003E2198" w:rsidRPr="003E2198">
        <w:rPr>
          <w:rFonts w:ascii="Arial" w:hAnsi="Arial" w:cs="Arial"/>
          <w:sz w:val="24"/>
          <w:szCs w:val="24"/>
        </w:rPr>
        <w:t xml:space="preserve">del Acta de Infracción con número de folio </w:t>
      </w:r>
      <w:r w:rsidR="00E80954">
        <w:rPr>
          <w:rFonts w:ascii="Arial" w:hAnsi="Arial" w:cs="Arial"/>
          <w:sz w:val="24"/>
          <w:szCs w:val="24"/>
        </w:rPr>
        <w:t>**********</w:t>
      </w:r>
      <w:r w:rsidR="003E2198" w:rsidRPr="003E2198">
        <w:rPr>
          <w:rFonts w:ascii="Arial" w:hAnsi="Arial" w:cs="Arial"/>
          <w:sz w:val="24"/>
          <w:szCs w:val="24"/>
        </w:rPr>
        <w:t xml:space="preserve"> de dieciocho de octubre de dos mil dieciocho, mediante el cual el Inspector adscrito a la Dirección de Normatividad y Control de Vía Pública del Municipio de Oaxaca de Juárez le impone una multa prevista en el artículo 86 fracción II del Reglamento para el Funcionamiento de Establecimientos Comerciales, en el Municipio de Oaxaca de Juárez</w:t>
      </w:r>
      <w:r w:rsidR="00DE76F4">
        <w:rPr>
          <w:rFonts w:ascii="Arial" w:hAnsi="Arial" w:cs="Arial"/>
          <w:sz w:val="24"/>
          <w:szCs w:val="24"/>
        </w:rPr>
        <w:t>.</w:t>
      </w:r>
      <w:r w:rsidRPr="00926325">
        <w:rPr>
          <w:rFonts w:ascii="Arial" w:eastAsia="Arial" w:hAnsi="Arial" w:cs="Arial"/>
          <w:sz w:val="24"/>
          <w:szCs w:val="24"/>
          <w:lang w:eastAsia="en-US"/>
        </w:rPr>
        <w:t xml:space="preserve">- - </w:t>
      </w:r>
      <w:r w:rsidR="00DE76F4">
        <w:rPr>
          <w:rFonts w:ascii="Arial" w:eastAsia="Arial" w:hAnsi="Arial" w:cs="Arial"/>
          <w:sz w:val="24"/>
          <w:szCs w:val="24"/>
          <w:lang w:eastAsia="en-US"/>
        </w:rPr>
        <w:t xml:space="preserve">- - - </w:t>
      </w:r>
      <w:r w:rsidR="003E2198">
        <w:rPr>
          <w:rFonts w:ascii="Arial" w:eastAsia="Arial" w:hAnsi="Arial" w:cs="Arial"/>
          <w:sz w:val="24"/>
          <w:szCs w:val="24"/>
          <w:lang w:eastAsia="en-US"/>
        </w:rPr>
        <w:t xml:space="preserve">- - - - - - - - - - - - - - - </w:t>
      </w:r>
    </w:p>
    <w:p w14:paraId="303D17E7" w14:textId="64CF7033"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 xml:space="preserve">QUINTO. </w:t>
      </w:r>
      <w:r w:rsidRPr="00926325">
        <w:rPr>
          <w:rFonts w:ascii="Arial" w:eastAsia="Arial" w:hAnsi="Arial" w:cs="Arial"/>
          <w:color w:val="000000"/>
          <w:sz w:val="24"/>
          <w:szCs w:val="24"/>
          <w:lang w:eastAsia="en-US"/>
        </w:rPr>
        <w:t xml:space="preserve">Con fundamento en los artículos 172 fracción I y 173 fracciones I y II, de la Ley de Procedimiento y Justicia Administrativa para el Estado de Oaxaca, </w:t>
      </w:r>
      <w:r w:rsidRPr="00926325">
        <w:rPr>
          <w:rFonts w:ascii="Arial" w:eastAsia="Arial" w:hAnsi="Arial" w:cs="Arial"/>
          <w:b/>
          <w:color w:val="000000"/>
          <w:sz w:val="24"/>
          <w:szCs w:val="24"/>
          <w:lang w:eastAsia="en-US"/>
        </w:rPr>
        <w:t>notifíquese personalmente al actor y por oficio a la autoridad demandada</w:t>
      </w:r>
      <w:r w:rsidRPr="00926325">
        <w:rPr>
          <w:rFonts w:ascii="Arial" w:eastAsia="Arial" w:hAnsi="Arial" w:cs="Arial"/>
          <w:color w:val="000000"/>
          <w:sz w:val="24"/>
          <w:szCs w:val="24"/>
          <w:lang w:eastAsia="en-US"/>
        </w:rPr>
        <w:t>, cúmplase. - - - - - - - - - - - - - - - - - - - - - - - - - - - - - - -</w:t>
      </w:r>
      <w:r w:rsidR="004B6D11">
        <w:rPr>
          <w:rFonts w:ascii="Arial" w:eastAsia="Arial" w:hAnsi="Arial" w:cs="Arial"/>
          <w:color w:val="000000"/>
          <w:sz w:val="24"/>
          <w:szCs w:val="24"/>
          <w:lang w:eastAsia="en-US"/>
        </w:rPr>
        <w:t xml:space="preserve"> - - - - - - - - </w:t>
      </w:r>
      <w:r w:rsidRPr="00926325">
        <w:rPr>
          <w:rFonts w:ascii="Arial" w:eastAsia="Arial" w:hAnsi="Arial" w:cs="Arial"/>
          <w:color w:val="000000"/>
          <w:sz w:val="24"/>
          <w:szCs w:val="24"/>
          <w:lang w:eastAsia="en-US"/>
        </w:rPr>
        <w:t xml:space="preserve"> </w:t>
      </w:r>
    </w:p>
    <w:p w14:paraId="32CACE1D" w14:textId="76213102" w:rsidR="00926325" w:rsidRPr="00926325" w:rsidRDefault="00926325" w:rsidP="005D4882">
      <w:pPr>
        <w:spacing w:before="240" w:line="360" w:lineRule="auto"/>
        <w:ind w:right="49" w:firstLine="567"/>
        <w:jc w:val="both"/>
        <w:rPr>
          <w:rFonts w:ascii="Arial" w:eastAsiaTheme="minorHAnsi" w:hAnsi="Arial" w:cs="Arial"/>
          <w:sz w:val="24"/>
          <w:lang w:eastAsia="en-US"/>
        </w:rPr>
      </w:pPr>
      <w:r w:rsidRPr="00926325">
        <w:rPr>
          <w:rFonts w:ascii="Arial" w:eastAsiaTheme="minorHAnsi" w:hAnsi="Arial" w:cs="Arial"/>
          <w:sz w:val="24"/>
          <w:lang w:eastAsia="en-US"/>
        </w:rPr>
        <w:lastRenderedPageBreak/>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w:t>
      </w:r>
      <w:r>
        <w:rPr>
          <w:rFonts w:ascii="Arial" w:eastAsiaTheme="minorHAnsi" w:hAnsi="Arial" w:cs="Arial"/>
          <w:sz w:val="24"/>
          <w:lang w:eastAsia="en-US"/>
        </w:rPr>
        <w:t xml:space="preserve"> - - - - - - - - - - - - - - - - - - - - - - - - - - - - - - - - - - - - </w:t>
      </w:r>
      <w:r w:rsidR="00622C00">
        <w:rPr>
          <w:rFonts w:ascii="Arial" w:eastAsiaTheme="minorHAnsi" w:hAnsi="Arial" w:cs="Arial"/>
          <w:sz w:val="24"/>
          <w:lang w:eastAsia="en-US"/>
        </w:rPr>
        <w:t xml:space="preserve">- - - - - - - - - - - - - - - </w:t>
      </w:r>
      <w:r w:rsidR="00FA54E1">
        <w:rPr>
          <w:rFonts w:ascii="Arial" w:eastAsiaTheme="minorHAnsi" w:hAnsi="Arial" w:cs="Arial"/>
          <w:sz w:val="24"/>
          <w:lang w:eastAsia="en-US"/>
        </w:rPr>
        <w:t xml:space="preserve">- </w:t>
      </w:r>
    </w:p>
    <w:sectPr w:rsidR="00926325" w:rsidRPr="00926325" w:rsidSect="007203C7">
      <w:headerReference w:type="default" r:id="rId18"/>
      <w:pgSz w:w="12240" w:h="20160"/>
      <w:pgMar w:top="1276" w:right="1608" w:bottom="1701" w:left="2268" w:header="709" w:footer="141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9B97D7" w14:textId="77777777" w:rsidR="00771705" w:rsidRDefault="00771705">
      <w:pPr>
        <w:spacing w:after="0" w:line="240" w:lineRule="auto"/>
      </w:pPr>
      <w:r>
        <w:separator/>
      </w:r>
    </w:p>
  </w:endnote>
  <w:endnote w:type="continuationSeparator" w:id="0">
    <w:p w14:paraId="7F9D3953" w14:textId="77777777" w:rsidR="00771705" w:rsidRDefault="00771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F6835" w14:textId="77777777" w:rsidR="00771705" w:rsidRDefault="00771705">
      <w:pPr>
        <w:spacing w:after="0" w:line="240" w:lineRule="auto"/>
      </w:pPr>
      <w:r>
        <w:separator/>
      </w:r>
    </w:p>
  </w:footnote>
  <w:footnote w:type="continuationSeparator" w:id="0">
    <w:p w14:paraId="77B5E93D" w14:textId="77777777" w:rsidR="00771705" w:rsidRDefault="00771705">
      <w:pPr>
        <w:spacing w:after="0" w:line="240" w:lineRule="auto"/>
      </w:pPr>
      <w:r>
        <w:continuationSeparator/>
      </w:r>
    </w:p>
  </w:footnote>
  <w:footnote w:id="1">
    <w:p w14:paraId="0000006A" w14:textId="77777777" w:rsidR="00C11111" w:rsidRDefault="00C11111">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C11111" w:rsidRDefault="00C11111">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C" w14:textId="77777777" w:rsidR="00C11111" w:rsidRDefault="00C1111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E5412">
      <w:rPr>
        <w:noProof/>
        <w:color w:val="000000"/>
      </w:rPr>
      <w:t>1</w:t>
    </w:r>
    <w:r>
      <w:rPr>
        <w:color w:val="000000"/>
      </w:rPr>
      <w:fldChar w:fldCharType="end"/>
    </w:r>
  </w:p>
  <w:p w14:paraId="75B9FA0B" w14:textId="77777777" w:rsidR="005C7DA6" w:rsidRDefault="00771705" w:rsidP="005C7DA6">
    <w:pPr>
      <w:pStyle w:val="Encabezado"/>
      <w:jc w:val="center"/>
    </w:pPr>
    <w:sdt>
      <w:sdtPr>
        <w:id w:val="1700360081"/>
        <w:docPartObj>
          <w:docPartGallery w:val="Page Numbers (Top of Page)"/>
          <w:docPartUnique/>
        </w:docPartObj>
      </w:sdtPr>
      <w:sdtEndPr/>
      <w:sdtContent>
        <w:r w:rsidR="005C7DA6">
          <w:rPr>
            <w:rFonts w:ascii="Arial" w:hAnsi="Arial" w:cs="Arial"/>
            <w:b/>
            <w:color w:val="0070C0"/>
          </w:rPr>
          <w:t xml:space="preserve">DATOS PERSONALES PROTEGIDOS POR EL ARTÍCULO 116 DE LA LGTAIP Y ARTÍCULO 61 DE LA LTAIPBGEO </w:t>
        </w:r>
      </w:sdtContent>
    </w:sdt>
  </w:p>
  <w:p w14:paraId="126D5B3A" w14:textId="77777777" w:rsidR="005C7DA6" w:rsidRDefault="005C7DA6">
    <w:pPr>
      <w:pBdr>
        <w:top w:val="nil"/>
        <w:left w:val="nil"/>
        <w:bottom w:val="nil"/>
        <w:right w:val="nil"/>
        <w:between w:val="nil"/>
      </w:pBdr>
      <w:tabs>
        <w:tab w:val="center" w:pos="4419"/>
        <w:tab w:val="right" w:pos="8838"/>
      </w:tabs>
      <w:spacing w:after="0" w:line="240" w:lineRule="auto"/>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32B90"/>
    <w:multiLevelType w:val="hybridMultilevel"/>
    <w:tmpl w:val="706C7BF0"/>
    <w:lvl w:ilvl="0" w:tplc="0F9EA65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A817DEC"/>
    <w:multiLevelType w:val="hybridMultilevel"/>
    <w:tmpl w:val="A39ABBB2"/>
    <w:lvl w:ilvl="0" w:tplc="5BC62BF4">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0621250"/>
    <w:multiLevelType w:val="hybridMultilevel"/>
    <w:tmpl w:val="0E789826"/>
    <w:lvl w:ilvl="0" w:tplc="E8C68D38">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399D059C"/>
    <w:multiLevelType w:val="hybridMultilevel"/>
    <w:tmpl w:val="48B6C4D2"/>
    <w:lvl w:ilvl="0" w:tplc="C798BCD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3AC71108"/>
    <w:multiLevelType w:val="hybridMultilevel"/>
    <w:tmpl w:val="99F00C3E"/>
    <w:lvl w:ilvl="0" w:tplc="4EC406A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497B2F5E"/>
    <w:multiLevelType w:val="hybridMultilevel"/>
    <w:tmpl w:val="E0465A32"/>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nsid w:val="4BAF4BF5"/>
    <w:multiLevelType w:val="hybridMultilevel"/>
    <w:tmpl w:val="2F205B62"/>
    <w:lvl w:ilvl="0" w:tplc="24C2936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4F926AA0"/>
    <w:multiLevelType w:val="hybridMultilevel"/>
    <w:tmpl w:val="2BD047F0"/>
    <w:lvl w:ilvl="0" w:tplc="F69074A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68316466"/>
    <w:multiLevelType w:val="hybridMultilevel"/>
    <w:tmpl w:val="B6DCA90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nsid w:val="72AC0B8E"/>
    <w:multiLevelType w:val="hybridMultilevel"/>
    <w:tmpl w:val="DF986A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6"/>
  </w:num>
  <w:num w:numId="2">
    <w:abstractNumId w:val="9"/>
  </w:num>
  <w:num w:numId="3">
    <w:abstractNumId w:val="1"/>
  </w:num>
  <w:num w:numId="4">
    <w:abstractNumId w:val="4"/>
  </w:num>
  <w:num w:numId="5">
    <w:abstractNumId w:val="2"/>
  </w:num>
  <w:num w:numId="6">
    <w:abstractNumId w:val="8"/>
  </w:num>
  <w:num w:numId="7">
    <w:abstractNumId w:val="3"/>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EC"/>
    <w:rsid w:val="0000153D"/>
    <w:rsid w:val="00001A68"/>
    <w:rsid w:val="00001C64"/>
    <w:rsid w:val="00003E14"/>
    <w:rsid w:val="000056E1"/>
    <w:rsid w:val="00007010"/>
    <w:rsid w:val="00007241"/>
    <w:rsid w:val="0001271E"/>
    <w:rsid w:val="00012E36"/>
    <w:rsid w:val="00013085"/>
    <w:rsid w:val="000142AA"/>
    <w:rsid w:val="0001666D"/>
    <w:rsid w:val="000172B9"/>
    <w:rsid w:val="00017515"/>
    <w:rsid w:val="00017CE4"/>
    <w:rsid w:val="00020F84"/>
    <w:rsid w:val="00021FE6"/>
    <w:rsid w:val="00022C4B"/>
    <w:rsid w:val="00025EAC"/>
    <w:rsid w:val="00027D7F"/>
    <w:rsid w:val="00030745"/>
    <w:rsid w:val="00032707"/>
    <w:rsid w:val="0003372D"/>
    <w:rsid w:val="000405F9"/>
    <w:rsid w:val="00040E8A"/>
    <w:rsid w:val="0004460E"/>
    <w:rsid w:val="0004658C"/>
    <w:rsid w:val="000518CF"/>
    <w:rsid w:val="00055D56"/>
    <w:rsid w:val="0005632D"/>
    <w:rsid w:val="00056A3F"/>
    <w:rsid w:val="00061786"/>
    <w:rsid w:val="00067560"/>
    <w:rsid w:val="00074697"/>
    <w:rsid w:val="00081457"/>
    <w:rsid w:val="00081C11"/>
    <w:rsid w:val="00084A5B"/>
    <w:rsid w:val="00086753"/>
    <w:rsid w:val="00086B58"/>
    <w:rsid w:val="000919C7"/>
    <w:rsid w:val="00093413"/>
    <w:rsid w:val="00093C6D"/>
    <w:rsid w:val="000959F5"/>
    <w:rsid w:val="000A05D9"/>
    <w:rsid w:val="000A16D8"/>
    <w:rsid w:val="000A1A16"/>
    <w:rsid w:val="000A1CA9"/>
    <w:rsid w:val="000A4654"/>
    <w:rsid w:val="000A4CF6"/>
    <w:rsid w:val="000B121D"/>
    <w:rsid w:val="000B5026"/>
    <w:rsid w:val="000C002A"/>
    <w:rsid w:val="000C0E8A"/>
    <w:rsid w:val="000C0EBB"/>
    <w:rsid w:val="000C1A74"/>
    <w:rsid w:val="000C5E46"/>
    <w:rsid w:val="000C6305"/>
    <w:rsid w:val="000C79AB"/>
    <w:rsid w:val="000D1420"/>
    <w:rsid w:val="000D5B98"/>
    <w:rsid w:val="000D699A"/>
    <w:rsid w:val="000E590D"/>
    <w:rsid w:val="000E5E4B"/>
    <w:rsid w:val="000F1B4C"/>
    <w:rsid w:val="000F1C5A"/>
    <w:rsid w:val="000F1D28"/>
    <w:rsid w:val="000F39C4"/>
    <w:rsid w:val="000F3ED8"/>
    <w:rsid w:val="000F40A5"/>
    <w:rsid w:val="000F4D52"/>
    <w:rsid w:val="000F6909"/>
    <w:rsid w:val="000F6DD5"/>
    <w:rsid w:val="0010021B"/>
    <w:rsid w:val="0010770D"/>
    <w:rsid w:val="00111E1B"/>
    <w:rsid w:val="001150B2"/>
    <w:rsid w:val="00117742"/>
    <w:rsid w:val="00123D08"/>
    <w:rsid w:val="0012455A"/>
    <w:rsid w:val="001247F1"/>
    <w:rsid w:val="00124B9A"/>
    <w:rsid w:val="00131557"/>
    <w:rsid w:val="00131AF4"/>
    <w:rsid w:val="001327D9"/>
    <w:rsid w:val="00132F3B"/>
    <w:rsid w:val="0013432E"/>
    <w:rsid w:val="0013477D"/>
    <w:rsid w:val="00135687"/>
    <w:rsid w:val="00142ADF"/>
    <w:rsid w:val="001446EC"/>
    <w:rsid w:val="00144B75"/>
    <w:rsid w:val="00146D0B"/>
    <w:rsid w:val="00147852"/>
    <w:rsid w:val="00147FE6"/>
    <w:rsid w:val="001510FA"/>
    <w:rsid w:val="001512C3"/>
    <w:rsid w:val="001540EC"/>
    <w:rsid w:val="00154D58"/>
    <w:rsid w:val="001566E2"/>
    <w:rsid w:val="00160F92"/>
    <w:rsid w:val="0016236B"/>
    <w:rsid w:val="00163390"/>
    <w:rsid w:val="00163B27"/>
    <w:rsid w:val="00164A80"/>
    <w:rsid w:val="0016609E"/>
    <w:rsid w:val="00166CA3"/>
    <w:rsid w:val="001709C7"/>
    <w:rsid w:val="001713B2"/>
    <w:rsid w:val="00174DE3"/>
    <w:rsid w:val="00180CCD"/>
    <w:rsid w:val="001A0653"/>
    <w:rsid w:val="001A1124"/>
    <w:rsid w:val="001A1712"/>
    <w:rsid w:val="001A17AF"/>
    <w:rsid w:val="001A4E28"/>
    <w:rsid w:val="001A6743"/>
    <w:rsid w:val="001A6BEB"/>
    <w:rsid w:val="001A7F2B"/>
    <w:rsid w:val="001B1D58"/>
    <w:rsid w:val="001B2780"/>
    <w:rsid w:val="001B3586"/>
    <w:rsid w:val="001B4F52"/>
    <w:rsid w:val="001C0704"/>
    <w:rsid w:val="001C3BB3"/>
    <w:rsid w:val="001C4C17"/>
    <w:rsid w:val="001C5F89"/>
    <w:rsid w:val="001C6766"/>
    <w:rsid w:val="001C754D"/>
    <w:rsid w:val="001D1255"/>
    <w:rsid w:val="001D1933"/>
    <w:rsid w:val="001D3B16"/>
    <w:rsid w:val="001D40CC"/>
    <w:rsid w:val="001D45E5"/>
    <w:rsid w:val="001D4B0A"/>
    <w:rsid w:val="001E08F5"/>
    <w:rsid w:val="001E1044"/>
    <w:rsid w:val="001E141C"/>
    <w:rsid w:val="001E2754"/>
    <w:rsid w:val="001E4585"/>
    <w:rsid w:val="001E5412"/>
    <w:rsid w:val="001E62EB"/>
    <w:rsid w:val="001E6F69"/>
    <w:rsid w:val="001F0437"/>
    <w:rsid w:val="001F0E1A"/>
    <w:rsid w:val="00200BFA"/>
    <w:rsid w:val="0020184C"/>
    <w:rsid w:val="00202327"/>
    <w:rsid w:val="002041AF"/>
    <w:rsid w:val="00205855"/>
    <w:rsid w:val="00205CE1"/>
    <w:rsid w:val="00214208"/>
    <w:rsid w:val="00214FD6"/>
    <w:rsid w:val="00215069"/>
    <w:rsid w:val="00217644"/>
    <w:rsid w:val="00221386"/>
    <w:rsid w:val="0022765F"/>
    <w:rsid w:val="002329C7"/>
    <w:rsid w:val="00232D41"/>
    <w:rsid w:val="00234144"/>
    <w:rsid w:val="002346B8"/>
    <w:rsid w:val="00235D4F"/>
    <w:rsid w:val="0023668C"/>
    <w:rsid w:val="00237DA7"/>
    <w:rsid w:val="00241083"/>
    <w:rsid w:val="0024244D"/>
    <w:rsid w:val="00247665"/>
    <w:rsid w:val="00250CA4"/>
    <w:rsid w:val="00260D48"/>
    <w:rsid w:val="002612BB"/>
    <w:rsid w:val="0026164B"/>
    <w:rsid w:val="00261759"/>
    <w:rsid w:val="0026441C"/>
    <w:rsid w:val="00264910"/>
    <w:rsid w:val="00265652"/>
    <w:rsid w:val="00280E8F"/>
    <w:rsid w:val="00281C3C"/>
    <w:rsid w:val="002823EA"/>
    <w:rsid w:val="00282A6A"/>
    <w:rsid w:val="002904A2"/>
    <w:rsid w:val="00293184"/>
    <w:rsid w:val="00295A2D"/>
    <w:rsid w:val="00295E21"/>
    <w:rsid w:val="002A2DCC"/>
    <w:rsid w:val="002A7170"/>
    <w:rsid w:val="002A783D"/>
    <w:rsid w:val="002B0A5A"/>
    <w:rsid w:val="002B156F"/>
    <w:rsid w:val="002B1589"/>
    <w:rsid w:val="002B1DCF"/>
    <w:rsid w:val="002B40A4"/>
    <w:rsid w:val="002B60E8"/>
    <w:rsid w:val="002B730F"/>
    <w:rsid w:val="002C1F97"/>
    <w:rsid w:val="002C29C7"/>
    <w:rsid w:val="002C5620"/>
    <w:rsid w:val="002C742D"/>
    <w:rsid w:val="002D0508"/>
    <w:rsid w:val="002D4DE8"/>
    <w:rsid w:val="002D6349"/>
    <w:rsid w:val="002D7A6B"/>
    <w:rsid w:val="002E1D76"/>
    <w:rsid w:val="002E33D3"/>
    <w:rsid w:val="002E3453"/>
    <w:rsid w:val="002F1A7E"/>
    <w:rsid w:val="002F491D"/>
    <w:rsid w:val="002F4D9B"/>
    <w:rsid w:val="002F4FF2"/>
    <w:rsid w:val="002F65D9"/>
    <w:rsid w:val="003004FD"/>
    <w:rsid w:val="00300C7A"/>
    <w:rsid w:val="003011E7"/>
    <w:rsid w:val="00301340"/>
    <w:rsid w:val="0030139A"/>
    <w:rsid w:val="0030480D"/>
    <w:rsid w:val="00312DF7"/>
    <w:rsid w:val="00313103"/>
    <w:rsid w:val="0031405C"/>
    <w:rsid w:val="00314544"/>
    <w:rsid w:val="0031533D"/>
    <w:rsid w:val="00317B72"/>
    <w:rsid w:val="00320B80"/>
    <w:rsid w:val="003216A9"/>
    <w:rsid w:val="003259ED"/>
    <w:rsid w:val="00325DFA"/>
    <w:rsid w:val="00333EF2"/>
    <w:rsid w:val="0033577B"/>
    <w:rsid w:val="003377B7"/>
    <w:rsid w:val="00340A82"/>
    <w:rsid w:val="00340C0B"/>
    <w:rsid w:val="00342B37"/>
    <w:rsid w:val="00343B1B"/>
    <w:rsid w:val="003456D9"/>
    <w:rsid w:val="003530F0"/>
    <w:rsid w:val="00357158"/>
    <w:rsid w:val="00361706"/>
    <w:rsid w:val="00361A42"/>
    <w:rsid w:val="00362F59"/>
    <w:rsid w:val="00364137"/>
    <w:rsid w:val="00365594"/>
    <w:rsid w:val="003852AE"/>
    <w:rsid w:val="003854B1"/>
    <w:rsid w:val="00392DC3"/>
    <w:rsid w:val="003A454A"/>
    <w:rsid w:val="003A661F"/>
    <w:rsid w:val="003A6A85"/>
    <w:rsid w:val="003A7A86"/>
    <w:rsid w:val="003B1859"/>
    <w:rsid w:val="003B3A16"/>
    <w:rsid w:val="003B4397"/>
    <w:rsid w:val="003B5DDB"/>
    <w:rsid w:val="003C1E58"/>
    <w:rsid w:val="003C3A0E"/>
    <w:rsid w:val="003C3B90"/>
    <w:rsid w:val="003C3CB7"/>
    <w:rsid w:val="003C3F02"/>
    <w:rsid w:val="003C47B5"/>
    <w:rsid w:val="003C5A66"/>
    <w:rsid w:val="003C6B4E"/>
    <w:rsid w:val="003D2802"/>
    <w:rsid w:val="003D3503"/>
    <w:rsid w:val="003D5583"/>
    <w:rsid w:val="003D64BD"/>
    <w:rsid w:val="003E189B"/>
    <w:rsid w:val="003E2198"/>
    <w:rsid w:val="003E45D5"/>
    <w:rsid w:val="003E4866"/>
    <w:rsid w:val="003E506B"/>
    <w:rsid w:val="003E5421"/>
    <w:rsid w:val="003F0DD8"/>
    <w:rsid w:val="003F3651"/>
    <w:rsid w:val="003F7CDB"/>
    <w:rsid w:val="00401987"/>
    <w:rsid w:val="00413FD0"/>
    <w:rsid w:val="00416C8A"/>
    <w:rsid w:val="004200BD"/>
    <w:rsid w:val="00423577"/>
    <w:rsid w:val="004238C6"/>
    <w:rsid w:val="00424613"/>
    <w:rsid w:val="00425374"/>
    <w:rsid w:val="004254DF"/>
    <w:rsid w:val="00426D88"/>
    <w:rsid w:val="00427366"/>
    <w:rsid w:val="004341EB"/>
    <w:rsid w:val="00437017"/>
    <w:rsid w:val="00442B10"/>
    <w:rsid w:val="004464FD"/>
    <w:rsid w:val="00446733"/>
    <w:rsid w:val="00450853"/>
    <w:rsid w:val="0045089E"/>
    <w:rsid w:val="00451FC6"/>
    <w:rsid w:val="00452310"/>
    <w:rsid w:val="004537F5"/>
    <w:rsid w:val="0045513E"/>
    <w:rsid w:val="004603A5"/>
    <w:rsid w:val="00462DE8"/>
    <w:rsid w:val="00463CAE"/>
    <w:rsid w:val="0047113E"/>
    <w:rsid w:val="00471B39"/>
    <w:rsid w:val="004720FE"/>
    <w:rsid w:val="00473284"/>
    <w:rsid w:val="00474621"/>
    <w:rsid w:val="00475CFB"/>
    <w:rsid w:val="00483575"/>
    <w:rsid w:val="004836C9"/>
    <w:rsid w:val="00483765"/>
    <w:rsid w:val="00484CEC"/>
    <w:rsid w:val="0048554D"/>
    <w:rsid w:val="004864AE"/>
    <w:rsid w:val="004875FC"/>
    <w:rsid w:val="0049344F"/>
    <w:rsid w:val="004A11CF"/>
    <w:rsid w:val="004A11EB"/>
    <w:rsid w:val="004A2080"/>
    <w:rsid w:val="004A5717"/>
    <w:rsid w:val="004A6067"/>
    <w:rsid w:val="004B0547"/>
    <w:rsid w:val="004B1797"/>
    <w:rsid w:val="004B39BA"/>
    <w:rsid w:val="004B6D11"/>
    <w:rsid w:val="004C1DE3"/>
    <w:rsid w:val="004C2E59"/>
    <w:rsid w:val="004D2E23"/>
    <w:rsid w:val="004D3D77"/>
    <w:rsid w:val="004D46D5"/>
    <w:rsid w:val="004D7165"/>
    <w:rsid w:val="004E494E"/>
    <w:rsid w:val="004E5B06"/>
    <w:rsid w:val="004E6419"/>
    <w:rsid w:val="004E6F26"/>
    <w:rsid w:val="004E7126"/>
    <w:rsid w:val="004E7F03"/>
    <w:rsid w:val="004F2DC1"/>
    <w:rsid w:val="004F4959"/>
    <w:rsid w:val="004F5537"/>
    <w:rsid w:val="0050066C"/>
    <w:rsid w:val="00504C10"/>
    <w:rsid w:val="00504F02"/>
    <w:rsid w:val="005053D1"/>
    <w:rsid w:val="00506991"/>
    <w:rsid w:val="00511852"/>
    <w:rsid w:val="00514ECA"/>
    <w:rsid w:val="00515BF2"/>
    <w:rsid w:val="00516007"/>
    <w:rsid w:val="00517E12"/>
    <w:rsid w:val="00523E37"/>
    <w:rsid w:val="00524B52"/>
    <w:rsid w:val="005275EE"/>
    <w:rsid w:val="00530CF3"/>
    <w:rsid w:val="005369E3"/>
    <w:rsid w:val="0054272B"/>
    <w:rsid w:val="00543772"/>
    <w:rsid w:val="005446E7"/>
    <w:rsid w:val="00550087"/>
    <w:rsid w:val="00550D57"/>
    <w:rsid w:val="00553B34"/>
    <w:rsid w:val="00554382"/>
    <w:rsid w:val="00554633"/>
    <w:rsid w:val="00555809"/>
    <w:rsid w:val="00555A4B"/>
    <w:rsid w:val="00566357"/>
    <w:rsid w:val="00570EB8"/>
    <w:rsid w:val="00572144"/>
    <w:rsid w:val="00574616"/>
    <w:rsid w:val="00575BE3"/>
    <w:rsid w:val="005766F6"/>
    <w:rsid w:val="00577CFB"/>
    <w:rsid w:val="005815D6"/>
    <w:rsid w:val="0058332F"/>
    <w:rsid w:val="00584E44"/>
    <w:rsid w:val="005866F9"/>
    <w:rsid w:val="00593F84"/>
    <w:rsid w:val="00596096"/>
    <w:rsid w:val="005A06CA"/>
    <w:rsid w:val="005A54D8"/>
    <w:rsid w:val="005A6FF6"/>
    <w:rsid w:val="005B1A1C"/>
    <w:rsid w:val="005B34E6"/>
    <w:rsid w:val="005B4619"/>
    <w:rsid w:val="005B7C26"/>
    <w:rsid w:val="005C00FD"/>
    <w:rsid w:val="005C0158"/>
    <w:rsid w:val="005C10D0"/>
    <w:rsid w:val="005C43C6"/>
    <w:rsid w:val="005C6A45"/>
    <w:rsid w:val="005C7DA6"/>
    <w:rsid w:val="005D0633"/>
    <w:rsid w:val="005D1A1A"/>
    <w:rsid w:val="005D4882"/>
    <w:rsid w:val="005D4B1E"/>
    <w:rsid w:val="005D4BFB"/>
    <w:rsid w:val="005D63B4"/>
    <w:rsid w:val="005D6804"/>
    <w:rsid w:val="005D7CB6"/>
    <w:rsid w:val="005E38B4"/>
    <w:rsid w:val="005E3B48"/>
    <w:rsid w:val="005E430E"/>
    <w:rsid w:val="005E5CC5"/>
    <w:rsid w:val="005E7B04"/>
    <w:rsid w:val="005F15C4"/>
    <w:rsid w:val="005F194B"/>
    <w:rsid w:val="005F314C"/>
    <w:rsid w:val="005F48EA"/>
    <w:rsid w:val="005F6832"/>
    <w:rsid w:val="0060198C"/>
    <w:rsid w:val="0060254D"/>
    <w:rsid w:val="00602C1F"/>
    <w:rsid w:val="0060570C"/>
    <w:rsid w:val="00606351"/>
    <w:rsid w:val="00607B6D"/>
    <w:rsid w:val="00611BF1"/>
    <w:rsid w:val="00613F01"/>
    <w:rsid w:val="006166A0"/>
    <w:rsid w:val="006173B8"/>
    <w:rsid w:val="00622C00"/>
    <w:rsid w:val="00631CB5"/>
    <w:rsid w:val="00634FDE"/>
    <w:rsid w:val="006350E6"/>
    <w:rsid w:val="00636425"/>
    <w:rsid w:val="00637A8F"/>
    <w:rsid w:val="00642145"/>
    <w:rsid w:val="00642FC6"/>
    <w:rsid w:val="00645384"/>
    <w:rsid w:val="00645605"/>
    <w:rsid w:val="00646021"/>
    <w:rsid w:val="00646A73"/>
    <w:rsid w:val="006470F5"/>
    <w:rsid w:val="0065034A"/>
    <w:rsid w:val="00652D73"/>
    <w:rsid w:val="00654987"/>
    <w:rsid w:val="00657D49"/>
    <w:rsid w:val="00661381"/>
    <w:rsid w:val="00662936"/>
    <w:rsid w:val="00667804"/>
    <w:rsid w:val="0067074F"/>
    <w:rsid w:val="006721CF"/>
    <w:rsid w:val="00672957"/>
    <w:rsid w:val="00672A3D"/>
    <w:rsid w:val="00672A41"/>
    <w:rsid w:val="006776DA"/>
    <w:rsid w:val="0068500D"/>
    <w:rsid w:val="0068713F"/>
    <w:rsid w:val="00695132"/>
    <w:rsid w:val="006959DC"/>
    <w:rsid w:val="00695C98"/>
    <w:rsid w:val="006A14B4"/>
    <w:rsid w:val="006A4DF3"/>
    <w:rsid w:val="006A53D3"/>
    <w:rsid w:val="006A685E"/>
    <w:rsid w:val="006A7E9B"/>
    <w:rsid w:val="006B3F93"/>
    <w:rsid w:val="006B43D4"/>
    <w:rsid w:val="006B4729"/>
    <w:rsid w:val="006C302A"/>
    <w:rsid w:val="006D0310"/>
    <w:rsid w:val="006D324B"/>
    <w:rsid w:val="006D4E1C"/>
    <w:rsid w:val="006D61FF"/>
    <w:rsid w:val="006D79CA"/>
    <w:rsid w:val="006E38B8"/>
    <w:rsid w:val="006E6ED5"/>
    <w:rsid w:val="006F4492"/>
    <w:rsid w:val="006F44E6"/>
    <w:rsid w:val="006F4D0C"/>
    <w:rsid w:val="006F6B73"/>
    <w:rsid w:val="006F7D7A"/>
    <w:rsid w:val="00702003"/>
    <w:rsid w:val="00706679"/>
    <w:rsid w:val="00710DB6"/>
    <w:rsid w:val="00711617"/>
    <w:rsid w:val="00711B6F"/>
    <w:rsid w:val="00712B1F"/>
    <w:rsid w:val="00714355"/>
    <w:rsid w:val="0071454A"/>
    <w:rsid w:val="00714C42"/>
    <w:rsid w:val="00714E03"/>
    <w:rsid w:val="00715F75"/>
    <w:rsid w:val="007169BD"/>
    <w:rsid w:val="007203C7"/>
    <w:rsid w:val="00720769"/>
    <w:rsid w:val="00720E85"/>
    <w:rsid w:val="00721B1C"/>
    <w:rsid w:val="00721DB3"/>
    <w:rsid w:val="00722D1B"/>
    <w:rsid w:val="00724FF8"/>
    <w:rsid w:val="00725D95"/>
    <w:rsid w:val="00727A8A"/>
    <w:rsid w:val="00732ADB"/>
    <w:rsid w:val="00732D0C"/>
    <w:rsid w:val="00734132"/>
    <w:rsid w:val="00740381"/>
    <w:rsid w:val="0074230B"/>
    <w:rsid w:val="0074586D"/>
    <w:rsid w:val="00747966"/>
    <w:rsid w:val="00752307"/>
    <w:rsid w:val="00752561"/>
    <w:rsid w:val="00757477"/>
    <w:rsid w:val="00763DDE"/>
    <w:rsid w:val="00765640"/>
    <w:rsid w:val="00765DA7"/>
    <w:rsid w:val="00771652"/>
    <w:rsid w:val="00771705"/>
    <w:rsid w:val="00773D57"/>
    <w:rsid w:val="0078028A"/>
    <w:rsid w:val="0078052E"/>
    <w:rsid w:val="00780887"/>
    <w:rsid w:val="00780F50"/>
    <w:rsid w:val="00780FFE"/>
    <w:rsid w:val="00782CA6"/>
    <w:rsid w:val="00792EDF"/>
    <w:rsid w:val="00793180"/>
    <w:rsid w:val="00794BB5"/>
    <w:rsid w:val="007A14EA"/>
    <w:rsid w:val="007A2F7C"/>
    <w:rsid w:val="007A3DFD"/>
    <w:rsid w:val="007A5020"/>
    <w:rsid w:val="007A77C7"/>
    <w:rsid w:val="007B0154"/>
    <w:rsid w:val="007B0366"/>
    <w:rsid w:val="007B1883"/>
    <w:rsid w:val="007B2BA5"/>
    <w:rsid w:val="007B3FCE"/>
    <w:rsid w:val="007C0CC0"/>
    <w:rsid w:val="007C4815"/>
    <w:rsid w:val="007C66E4"/>
    <w:rsid w:val="007D5914"/>
    <w:rsid w:val="007E72E4"/>
    <w:rsid w:val="007E7572"/>
    <w:rsid w:val="007F2A7A"/>
    <w:rsid w:val="007F2D8D"/>
    <w:rsid w:val="007F7AD3"/>
    <w:rsid w:val="008010A3"/>
    <w:rsid w:val="00801941"/>
    <w:rsid w:val="00801AA9"/>
    <w:rsid w:val="00804444"/>
    <w:rsid w:val="00804CCE"/>
    <w:rsid w:val="008067FB"/>
    <w:rsid w:val="0080715F"/>
    <w:rsid w:val="00811F3A"/>
    <w:rsid w:val="008121A1"/>
    <w:rsid w:val="00815BF6"/>
    <w:rsid w:val="00817B48"/>
    <w:rsid w:val="00830CF9"/>
    <w:rsid w:val="00832071"/>
    <w:rsid w:val="00832F18"/>
    <w:rsid w:val="0083483B"/>
    <w:rsid w:val="00835562"/>
    <w:rsid w:val="00836108"/>
    <w:rsid w:val="00840E39"/>
    <w:rsid w:val="00842812"/>
    <w:rsid w:val="00843E99"/>
    <w:rsid w:val="008457A8"/>
    <w:rsid w:val="008474D1"/>
    <w:rsid w:val="008503FB"/>
    <w:rsid w:val="008511DD"/>
    <w:rsid w:val="00854C60"/>
    <w:rsid w:val="00855357"/>
    <w:rsid w:val="00860544"/>
    <w:rsid w:val="00863C5F"/>
    <w:rsid w:val="00867354"/>
    <w:rsid w:val="00870E7D"/>
    <w:rsid w:val="0087191C"/>
    <w:rsid w:val="0087243F"/>
    <w:rsid w:val="0087320B"/>
    <w:rsid w:val="00873F4E"/>
    <w:rsid w:val="00874D53"/>
    <w:rsid w:val="00882E28"/>
    <w:rsid w:val="00886F6B"/>
    <w:rsid w:val="00890A34"/>
    <w:rsid w:val="008921CF"/>
    <w:rsid w:val="00894EA4"/>
    <w:rsid w:val="008976AE"/>
    <w:rsid w:val="008A03FC"/>
    <w:rsid w:val="008A6D14"/>
    <w:rsid w:val="008B023B"/>
    <w:rsid w:val="008B0B36"/>
    <w:rsid w:val="008B10D5"/>
    <w:rsid w:val="008B1120"/>
    <w:rsid w:val="008B2AC1"/>
    <w:rsid w:val="008B4F30"/>
    <w:rsid w:val="008C0B73"/>
    <w:rsid w:val="008C1568"/>
    <w:rsid w:val="008C27C4"/>
    <w:rsid w:val="008C4F03"/>
    <w:rsid w:val="008C5CDF"/>
    <w:rsid w:val="008C60AA"/>
    <w:rsid w:val="008C786E"/>
    <w:rsid w:val="008C78EA"/>
    <w:rsid w:val="008D142C"/>
    <w:rsid w:val="008D2F90"/>
    <w:rsid w:val="008D345E"/>
    <w:rsid w:val="008D38E7"/>
    <w:rsid w:val="008D57FC"/>
    <w:rsid w:val="008D7DAF"/>
    <w:rsid w:val="008E5F9A"/>
    <w:rsid w:val="008E6701"/>
    <w:rsid w:val="008F1C6F"/>
    <w:rsid w:val="008F21FF"/>
    <w:rsid w:val="008F2AB5"/>
    <w:rsid w:val="008F56A4"/>
    <w:rsid w:val="008F57A3"/>
    <w:rsid w:val="008F5D09"/>
    <w:rsid w:val="009016C7"/>
    <w:rsid w:val="009019A6"/>
    <w:rsid w:val="009030BB"/>
    <w:rsid w:val="00905A9B"/>
    <w:rsid w:val="00906CFE"/>
    <w:rsid w:val="00912FB9"/>
    <w:rsid w:val="009138BF"/>
    <w:rsid w:val="00913CC0"/>
    <w:rsid w:val="00921407"/>
    <w:rsid w:val="00926325"/>
    <w:rsid w:val="00926AE7"/>
    <w:rsid w:val="00927F89"/>
    <w:rsid w:val="00930156"/>
    <w:rsid w:val="00932578"/>
    <w:rsid w:val="0093264C"/>
    <w:rsid w:val="00933636"/>
    <w:rsid w:val="00936145"/>
    <w:rsid w:val="00943644"/>
    <w:rsid w:val="009449EA"/>
    <w:rsid w:val="00945362"/>
    <w:rsid w:val="009514FD"/>
    <w:rsid w:val="00951C62"/>
    <w:rsid w:val="00951CB4"/>
    <w:rsid w:val="00954BF9"/>
    <w:rsid w:val="009572BC"/>
    <w:rsid w:val="0096080F"/>
    <w:rsid w:val="009629FA"/>
    <w:rsid w:val="00964721"/>
    <w:rsid w:val="0096528A"/>
    <w:rsid w:val="009656F0"/>
    <w:rsid w:val="009723E3"/>
    <w:rsid w:val="009748C7"/>
    <w:rsid w:val="00977361"/>
    <w:rsid w:val="00977F09"/>
    <w:rsid w:val="009820B3"/>
    <w:rsid w:val="00982753"/>
    <w:rsid w:val="00985093"/>
    <w:rsid w:val="0098640C"/>
    <w:rsid w:val="0098796E"/>
    <w:rsid w:val="00987C0E"/>
    <w:rsid w:val="009941B6"/>
    <w:rsid w:val="009970E5"/>
    <w:rsid w:val="009A211E"/>
    <w:rsid w:val="009A5767"/>
    <w:rsid w:val="009A6EA2"/>
    <w:rsid w:val="009B249F"/>
    <w:rsid w:val="009C7F7B"/>
    <w:rsid w:val="009D0D7F"/>
    <w:rsid w:val="009E32C1"/>
    <w:rsid w:val="009E32FF"/>
    <w:rsid w:val="009E7F43"/>
    <w:rsid w:val="009F2C42"/>
    <w:rsid w:val="009F6FF6"/>
    <w:rsid w:val="00A00A61"/>
    <w:rsid w:val="00A0257D"/>
    <w:rsid w:val="00A04A99"/>
    <w:rsid w:val="00A067A0"/>
    <w:rsid w:val="00A078E5"/>
    <w:rsid w:val="00A10623"/>
    <w:rsid w:val="00A13404"/>
    <w:rsid w:val="00A1389A"/>
    <w:rsid w:val="00A21CCA"/>
    <w:rsid w:val="00A22332"/>
    <w:rsid w:val="00A24485"/>
    <w:rsid w:val="00A24CE8"/>
    <w:rsid w:val="00A25B3B"/>
    <w:rsid w:val="00A25BFB"/>
    <w:rsid w:val="00A302CF"/>
    <w:rsid w:val="00A30678"/>
    <w:rsid w:val="00A3137A"/>
    <w:rsid w:val="00A32D06"/>
    <w:rsid w:val="00A3384E"/>
    <w:rsid w:val="00A33D51"/>
    <w:rsid w:val="00A33D91"/>
    <w:rsid w:val="00A35808"/>
    <w:rsid w:val="00A36B5B"/>
    <w:rsid w:val="00A36C64"/>
    <w:rsid w:val="00A4039E"/>
    <w:rsid w:val="00A447EE"/>
    <w:rsid w:val="00A47528"/>
    <w:rsid w:val="00A57174"/>
    <w:rsid w:val="00A60D7E"/>
    <w:rsid w:val="00A6467F"/>
    <w:rsid w:val="00A64994"/>
    <w:rsid w:val="00A677F8"/>
    <w:rsid w:val="00A70825"/>
    <w:rsid w:val="00A72657"/>
    <w:rsid w:val="00A733B8"/>
    <w:rsid w:val="00A73B80"/>
    <w:rsid w:val="00A752F0"/>
    <w:rsid w:val="00A77A1C"/>
    <w:rsid w:val="00A77A28"/>
    <w:rsid w:val="00A81074"/>
    <w:rsid w:val="00A82786"/>
    <w:rsid w:val="00A84775"/>
    <w:rsid w:val="00A87020"/>
    <w:rsid w:val="00A87776"/>
    <w:rsid w:val="00A87B29"/>
    <w:rsid w:val="00A919F8"/>
    <w:rsid w:val="00A97723"/>
    <w:rsid w:val="00A97AA3"/>
    <w:rsid w:val="00AA193A"/>
    <w:rsid w:val="00AA2755"/>
    <w:rsid w:val="00AA64B2"/>
    <w:rsid w:val="00AA7821"/>
    <w:rsid w:val="00AB1B06"/>
    <w:rsid w:val="00AB231C"/>
    <w:rsid w:val="00AB2D9B"/>
    <w:rsid w:val="00AC1B99"/>
    <w:rsid w:val="00AC3F9C"/>
    <w:rsid w:val="00AC4648"/>
    <w:rsid w:val="00AC4810"/>
    <w:rsid w:val="00AC6522"/>
    <w:rsid w:val="00AC7F50"/>
    <w:rsid w:val="00AD0DF1"/>
    <w:rsid w:val="00AD1D3B"/>
    <w:rsid w:val="00AD4CCD"/>
    <w:rsid w:val="00AD5612"/>
    <w:rsid w:val="00AE53BC"/>
    <w:rsid w:val="00AE5BB4"/>
    <w:rsid w:val="00AE6B4C"/>
    <w:rsid w:val="00AE7E77"/>
    <w:rsid w:val="00AF0BFD"/>
    <w:rsid w:val="00AF387F"/>
    <w:rsid w:val="00AF6F29"/>
    <w:rsid w:val="00B0038A"/>
    <w:rsid w:val="00B0142E"/>
    <w:rsid w:val="00B01FE8"/>
    <w:rsid w:val="00B020B0"/>
    <w:rsid w:val="00B034A2"/>
    <w:rsid w:val="00B03F9F"/>
    <w:rsid w:val="00B06471"/>
    <w:rsid w:val="00B06C2F"/>
    <w:rsid w:val="00B11D80"/>
    <w:rsid w:val="00B132BE"/>
    <w:rsid w:val="00B140F5"/>
    <w:rsid w:val="00B14771"/>
    <w:rsid w:val="00B16D13"/>
    <w:rsid w:val="00B20482"/>
    <w:rsid w:val="00B20B47"/>
    <w:rsid w:val="00B24092"/>
    <w:rsid w:val="00B314D3"/>
    <w:rsid w:val="00B33605"/>
    <w:rsid w:val="00B36FEF"/>
    <w:rsid w:val="00B46F09"/>
    <w:rsid w:val="00B512AD"/>
    <w:rsid w:val="00B54CD2"/>
    <w:rsid w:val="00B56EF9"/>
    <w:rsid w:val="00B60079"/>
    <w:rsid w:val="00B62C5A"/>
    <w:rsid w:val="00B63365"/>
    <w:rsid w:val="00B6473F"/>
    <w:rsid w:val="00B67850"/>
    <w:rsid w:val="00B7534A"/>
    <w:rsid w:val="00B81585"/>
    <w:rsid w:val="00B81FAC"/>
    <w:rsid w:val="00B853A5"/>
    <w:rsid w:val="00B920B9"/>
    <w:rsid w:val="00B92123"/>
    <w:rsid w:val="00B94C16"/>
    <w:rsid w:val="00BA2EA7"/>
    <w:rsid w:val="00BA4F85"/>
    <w:rsid w:val="00BB2751"/>
    <w:rsid w:val="00BB6205"/>
    <w:rsid w:val="00BB66B6"/>
    <w:rsid w:val="00BC3FA2"/>
    <w:rsid w:val="00BC61E5"/>
    <w:rsid w:val="00BC64EB"/>
    <w:rsid w:val="00BC7BF5"/>
    <w:rsid w:val="00BD39EF"/>
    <w:rsid w:val="00BE3F92"/>
    <w:rsid w:val="00BE523B"/>
    <w:rsid w:val="00BE5E7A"/>
    <w:rsid w:val="00BE70CB"/>
    <w:rsid w:val="00BF114A"/>
    <w:rsid w:val="00BF2B90"/>
    <w:rsid w:val="00BF3F9F"/>
    <w:rsid w:val="00BF4636"/>
    <w:rsid w:val="00BF6929"/>
    <w:rsid w:val="00BF770B"/>
    <w:rsid w:val="00C0094F"/>
    <w:rsid w:val="00C016CF"/>
    <w:rsid w:val="00C030E6"/>
    <w:rsid w:val="00C11111"/>
    <w:rsid w:val="00C13B65"/>
    <w:rsid w:val="00C16104"/>
    <w:rsid w:val="00C16979"/>
    <w:rsid w:val="00C1701D"/>
    <w:rsid w:val="00C17B30"/>
    <w:rsid w:val="00C20A87"/>
    <w:rsid w:val="00C22642"/>
    <w:rsid w:val="00C27CA5"/>
    <w:rsid w:val="00C3042B"/>
    <w:rsid w:val="00C3089E"/>
    <w:rsid w:val="00C32498"/>
    <w:rsid w:val="00C360E4"/>
    <w:rsid w:val="00C40B2F"/>
    <w:rsid w:val="00C46155"/>
    <w:rsid w:val="00C464D3"/>
    <w:rsid w:val="00C470D8"/>
    <w:rsid w:val="00C50D8F"/>
    <w:rsid w:val="00C5115D"/>
    <w:rsid w:val="00C524DD"/>
    <w:rsid w:val="00C529DB"/>
    <w:rsid w:val="00C52FD5"/>
    <w:rsid w:val="00C53472"/>
    <w:rsid w:val="00C54B8C"/>
    <w:rsid w:val="00C55CBC"/>
    <w:rsid w:val="00C64382"/>
    <w:rsid w:val="00C64EBE"/>
    <w:rsid w:val="00C7461F"/>
    <w:rsid w:val="00C757D6"/>
    <w:rsid w:val="00C7659A"/>
    <w:rsid w:val="00C772AB"/>
    <w:rsid w:val="00C80F8A"/>
    <w:rsid w:val="00C829DC"/>
    <w:rsid w:val="00C84A0D"/>
    <w:rsid w:val="00C91236"/>
    <w:rsid w:val="00C93EF1"/>
    <w:rsid w:val="00C94D6B"/>
    <w:rsid w:val="00C95878"/>
    <w:rsid w:val="00C97E78"/>
    <w:rsid w:val="00CA0393"/>
    <w:rsid w:val="00CA0919"/>
    <w:rsid w:val="00CA21E0"/>
    <w:rsid w:val="00CA689A"/>
    <w:rsid w:val="00CB2845"/>
    <w:rsid w:val="00CB361C"/>
    <w:rsid w:val="00CB5993"/>
    <w:rsid w:val="00CB677E"/>
    <w:rsid w:val="00CC4857"/>
    <w:rsid w:val="00CC50BB"/>
    <w:rsid w:val="00CC6537"/>
    <w:rsid w:val="00CC690F"/>
    <w:rsid w:val="00CD270E"/>
    <w:rsid w:val="00CD5534"/>
    <w:rsid w:val="00CE0118"/>
    <w:rsid w:val="00CE2FAC"/>
    <w:rsid w:val="00CE322E"/>
    <w:rsid w:val="00CE6B28"/>
    <w:rsid w:val="00CF2B2B"/>
    <w:rsid w:val="00CF2C25"/>
    <w:rsid w:val="00CF5009"/>
    <w:rsid w:val="00CF75A7"/>
    <w:rsid w:val="00CF79EA"/>
    <w:rsid w:val="00D04FEC"/>
    <w:rsid w:val="00D05BD7"/>
    <w:rsid w:val="00D06B6D"/>
    <w:rsid w:val="00D0738E"/>
    <w:rsid w:val="00D1057D"/>
    <w:rsid w:val="00D11C19"/>
    <w:rsid w:val="00D14737"/>
    <w:rsid w:val="00D1640A"/>
    <w:rsid w:val="00D16B40"/>
    <w:rsid w:val="00D1705B"/>
    <w:rsid w:val="00D2481D"/>
    <w:rsid w:val="00D2518A"/>
    <w:rsid w:val="00D318FB"/>
    <w:rsid w:val="00D32208"/>
    <w:rsid w:val="00D33301"/>
    <w:rsid w:val="00D33694"/>
    <w:rsid w:val="00D37AE1"/>
    <w:rsid w:val="00D37BD0"/>
    <w:rsid w:val="00D41285"/>
    <w:rsid w:val="00D42D10"/>
    <w:rsid w:val="00D44077"/>
    <w:rsid w:val="00D467BA"/>
    <w:rsid w:val="00D46E32"/>
    <w:rsid w:val="00D55D50"/>
    <w:rsid w:val="00D55E33"/>
    <w:rsid w:val="00D57268"/>
    <w:rsid w:val="00D630BE"/>
    <w:rsid w:val="00D6310E"/>
    <w:rsid w:val="00D64797"/>
    <w:rsid w:val="00D65A22"/>
    <w:rsid w:val="00D667F9"/>
    <w:rsid w:val="00D73517"/>
    <w:rsid w:val="00D75C91"/>
    <w:rsid w:val="00D8063B"/>
    <w:rsid w:val="00D818EA"/>
    <w:rsid w:val="00D8318A"/>
    <w:rsid w:val="00D843AE"/>
    <w:rsid w:val="00D8448D"/>
    <w:rsid w:val="00D84963"/>
    <w:rsid w:val="00D85E99"/>
    <w:rsid w:val="00D866E4"/>
    <w:rsid w:val="00D867CA"/>
    <w:rsid w:val="00D91454"/>
    <w:rsid w:val="00D93E1C"/>
    <w:rsid w:val="00D94937"/>
    <w:rsid w:val="00D953B4"/>
    <w:rsid w:val="00D95926"/>
    <w:rsid w:val="00D972C8"/>
    <w:rsid w:val="00D97860"/>
    <w:rsid w:val="00D97890"/>
    <w:rsid w:val="00DA0C3F"/>
    <w:rsid w:val="00DA0F9E"/>
    <w:rsid w:val="00DA194E"/>
    <w:rsid w:val="00DA536A"/>
    <w:rsid w:val="00DA53C5"/>
    <w:rsid w:val="00DA6AF5"/>
    <w:rsid w:val="00DB4329"/>
    <w:rsid w:val="00DB57C1"/>
    <w:rsid w:val="00DB6D20"/>
    <w:rsid w:val="00DB7F5C"/>
    <w:rsid w:val="00DC0AAD"/>
    <w:rsid w:val="00DC1D08"/>
    <w:rsid w:val="00DC2BA1"/>
    <w:rsid w:val="00DC63D3"/>
    <w:rsid w:val="00DC6BB6"/>
    <w:rsid w:val="00DC6F35"/>
    <w:rsid w:val="00DD275F"/>
    <w:rsid w:val="00DD6664"/>
    <w:rsid w:val="00DD67E7"/>
    <w:rsid w:val="00DD690C"/>
    <w:rsid w:val="00DD6DD6"/>
    <w:rsid w:val="00DE0778"/>
    <w:rsid w:val="00DE0A1E"/>
    <w:rsid w:val="00DE0EC4"/>
    <w:rsid w:val="00DE17F5"/>
    <w:rsid w:val="00DE3F38"/>
    <w:rsid w:val="00DE4171"/>
    <w:rsid w:val="00DE4D96"/>
    <w:rsid w:val="00DE76F4"/>
    <w:rsid w:val="00DE7EE1"/>
    <w:rsid w:val="00DF2DC7"/>
    <w:rsid w:val="00DF34C7"/>
    <w:rsid w:val="00DF3DEC"/>
    <w:rsid w:val="00DF6461"/>
    <w:rsid w:val="00E02DA2"/>
    <w:rsid w:val="00E04D26"/>
    <w:rsid w:val="00E05F1B"/>
    <w:rsid w:val="00E10776"/>
    <w:rsid w:val="00E10CA0"/>
    <w:rsid w:val="00E11148"/>
    <w:rsid w:val="00E13473"/>
    <w:rsid w:val="00E15CB2"/>
    <w:rsid w:val="00E16EA4"/>
    <w:rsid w:val="00E17112"/>
    <w:rsid w:val="00E179E9"/>
    <w:rsid w:val="00E24E21"/>
    <w:rsid w:val="00E300C6"/>
    <w:rsid w:val="00E30EB5"/>
    <w:rsid w:val="00E3191C"/>
    <w:rsid w:val="00E3193D"/>
    <w:rsid w:val="00E34178"/>
    <w:rsid w:val="00E34FE8"/>
    <w:rsid w:val="00E367D9"/>
    <w:rsid w:val="00E41BFA"/>
    <w:rsid w:val="00E422F6"/>
    <w:rsid w:val="00E460FF"/>
    <w:rsid w:val="00E461D2"/>
    <w:rsid w:val="00E46EB9"/>
    <w:rsid w:val="00E478D5"/>
    <w:rsid w:val="00E54658"/>
    <w:rsid w:val="00E611DE"/>
    <w:rsid w:val="00E6218D"/>
    <w:rsid w:val="00E67662"/>
    <w:rsid w:val="00E71168"/>
    <w:rsid w:val="00E72078"/>
    <w:rsid w:val="00E7301E"/>
    <w:rsid w:val="00E7395B"/>
    <w:rsid w:val="00E740B2"/>
    <w:rsid w:val="00E7657A"/>
    <w:rsid w:val="00E76AD7"/>
    <w:rsid w:val="00E77826"/>
    <w:rsid w:val="00E77ED3"/>
    <w:rsid w:val="00E80954"/>
    <w:rsid w:val="00E81D42"/>
    <w:rsid w:val="00E82256"/>
    <w:rsid w:val="00E82CDA"/>
    <w:rsid w:val="00E83317"/>
    <w:rsid w:val="00E856E2"/>
    <w:rsid w:val="00E85E48"/>
    <w:rsid w:val="00E90AF0"/>
    <w:rsid w:val="00E92846"/>
    <w:rsid w:val="00E938C6"/>
    <w:rsid w:val="00E93FC3"/>
    <w:rsid w:val="00E947E9"/>
    <w:rsid w:val="00E956EC"/>
    <w:rsid w:val="00E96831"/>
    <w:rsid w:val="00EA00CE"/>
    <w:rsid w:val="00EA23E9"/>
    <w:rsid w:val="00EA2899"/>
    <w:rsid w:val="00EA4A32"/>
    <w:rsid w:val="00EA6EB9"/>
    <w:rsid w:val="00EB1917"/>
    <w:rsid w:val="00EC0083"/>
    <w:rsid w:val="00EC1D90"/>
    <w:rsid w:val="00EC5FE8"/>
    <w:rsid w:val="00EC7DCA"/>
    <w:rsid w:val="00ED49E6"/>
    <w:rsid w:val="00ED765C"/>
    <w:rsid w:val="00ED78F6"/>
    <w:rsid w:val="00EE0048"/>
    <w:rsid w:val="00EE3862"/>
    <w:rsid w:val="00EE3B8F"/>
    <w:rsid w:val="00EF0A4D"/>
    <w:rsid w:val="00EF0AE1"/>
    <w:rsid w:val="00EF5DE7"/>
    <w:rsid w:val="00EF604E"/>
    <w:rsid w:val="00EF6B5D"/>
    <w:rsid w:val="00EF7A23"/>
    <w:rsid w:val="00EF7B28"/>
    <w:rsid w:val="00F01032"/>
    <w:rsid w:val="00F01270"/>
    <w:rsid w:val="00F03D56"/>
    <w:rsid w:val="00F04F72"/>
    <w:rsid w:val="00F07537"/>
    <w:rsid w:val="00F07F5A"/>
    <w:rsid w:val="00F11E33"/>
    <w:rsid w:val="00F14010"/>
    <w:rsid w:val="00F151B1"/>
    <w:rsid w:val="00F1713D"/>
    <w:rsid w:val="00F22223"/>
    <w:rsid w:val="00F22448"/>
    <w:rsid w:val="00F22AFB"/>
    <w:rsid w:val="00F2425B"/>
    <w:rsid w:val="00F24AF7"/>
    <w:rsid w:val="00F270E2"/>
    <w:rsid w:val="00F31742"/>
    <w:rsid w:val="00F31964"/>
    <w:rsid w:val="00F3302C"/>
    <w:rsid w:val="00F34C62"/>
    <w:rsid w:val="00F35A8E"/>
    <w:rsid w:val="00F36725"/>
    <w:rsid w:val="00F40068"/>
    <w:rsid w:val="00F41E2A"/>
    <w:rsid w:val="00F41EE3"/>
    <w:rsid w:val="00F4313C"/>
    <w:rsid w:val="00F44DB0"/>
    <w:rsid w:val="00F501C5"/>
    <w:rsid w:val="00F507C9"/>
    <w:rsid w:val="00F522E7"/>
    <w:rsid w:val="00F55F79"/>
    <w:rsid w:val="00F5682A"/>
    <w:rsid w:val="00F6118F"/>
    <w:rsid w:val="00F6138E"/>
    <w:rsid w:val="00F624AE"/>
    <w:rsid w:val="00F62D02"/>
    <w:rsid w:val="00F63843"/>
    <w:rsid w:val="00F63BFD"/>
    <w:rsid w:val="00F656FC"/>
    <w:rsid w:val="00F65A73"/>
    <w:rsid w:val="00F6771C"/>
    <w:rsid w:val="00F70C24"/>
    <w:rsid w:val="00F7291D"/>
    <w:rsid w:val="00F72C4A"/>
    <w:rsid w:val="00F76527"/>
    <w:rsid w:val="00F77349"/>
    <w:rsid w:val="00F80041"/>
    <w:rsid w:val="00F85D77"/>
    <w:rsid w:val="00F869EB"/>
    <w:rsid w:val="00FA0812"/>
    <w:rsid w:val="00FA1229"/>
    <w:rsid w:val="00FA4274"/>
    <w:rsid w:val="00FA4815"/>
    <w:rsid w:val="00FA54E1"/>
    <w:rsid w:val="00FB2D11"/>
    <w:rsid w:val="00FB5C12"/>
    <w:rsid w:val="00FC3711"/>
    <w:rsid w:val="00FC64DA"/>
    <w:rsid w:val="00FC70BF"/>
    <w:rsid w:val="00FD0077"/>
    <w:rsid w:val="00FD0D8A"/>
    <w:rsid w:val="00FD17DC"/>
    <w:rsid w:val="00FD2BA5"/>
    <w:rsid w:val="00FD31E2"/>
    <w:rsid w:val="00FD4051"/>
    <w:rsid w:val="00FD748A"/>
    <w:rsid w:val="00FD7602"/>
    <w:rsid w:val="00FE104F"/>
    <w:rsid w:val="00FE1488"/>
    <w:rsid w:val="00FE23B9"/>
    <w:rsid w:val="00FE2AE2"/>
    <w:rsid w:val="00FE58E8"/>
    <w:rsid w:val="00FF1172"/>
    <w:rsid w:val="00FF164F"/>
    <w:rsid w:val="00FF2AB2"/>
    <w:rsid w:val="00FF4C4F"/>
    <w:rsid w:val="00FF4E72"/>
    <w:rsid w:val="00FF5DFD"/>
    <w:rsid w:val="00FF645A"/>
    <w:rsid w:val="00FF70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C24F374C-7ED7-47F6-B00A-E9ED0BE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07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 w:type="paragraph" w:customStyle="1" w:styleId="lead">
    <w:name w:val="lead"/>
    <w:basedOn w:val="Normal"/>
    <w:rsid w:val="009A211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11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A211E"/>
    <w:rPr>
      <w:b/>
      <w:bCs/>
    </w:rPr>
  </w:style>
  <w:style w:type="paragraph" w:customStyle="1" w:styleId="BodyText31">
    <w:name w:val="Body Text 31"/>
    <w:basedOn w:val="Normal"/>
    <w:rsid w:val="00A6467F"/>
    <w:pPr>
      <w:widowControl w:val="0"/>
      <w:spacing w:after="0" w:line="240" w:lineRule="auto"/>
      <w:ind w:right="616"/>
      <w:jc w:val="both"/>
    </w:pPr>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semiHidden/>
    <w:unhideWhenUsed/>
    <w:rsid w:val="00AC3F9C"/>
    <w:pPr>
      <w:spacing w:after="120"/>
      <w:ind w:left="283"/>
    </w:pPr>
  </w:style>
  <w:style w:type="character" w:customStyle="1" w:styleId="SangradetextonormalCar">
    <w:name w:val="Sangría de texto normal Car"/>
    <w:basedOn w:val="Fuentedeprrafopredeter"/>
    <w:link w:val="Sangradetextonormal"/>
    <w:uiPriority w:val="99"/>
    <w:semiHidden/>
    <w:rsid w:val="00AC3F9C"/>
  </w:style>
  <w:style w:type="paragraph" w:styleId="Sangra3detindependiente">
    <w:name w:val="Body Text Indent 3"/>
    <w:basedOn w:val="Normal"/>
    <w:link w:val="Sangra3detindependienteCar"/>
    <w:uiPriority w:val="99"/>
    <w:semiHidden/>
    <w:unhideWhenUsed/>
    <w:rsid w:val="00AC3F9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C3F9C"/>
    <w:rPr>
      <w:sz w:val="16"/>
      <w:szCs w:val="16"/>
    </w:rPr>
  </w:style>
  <w:style w:type="paragraph" w:customStyle="1" w:styleId="BodyText22">
    <w:name w:val="Body Text 22"/>
    <w:basedOn w:val="Normal"/>
    <w:rsid w:val="00AC3F9C"/>
    <w:pPr>
      <w:tabs>
        <w:tab w:val="left" w:pos="8789"/>
      </w:tabs>
      <w:overflowPunct w:val="0"/>
      <w:autoSpaceDE w:val="0"/>
      <w:autoSpaceDN w:val="0"/>
      <w:adjustRightInd w:val="0"/>
      <w:spacing w:after="0" w:line="480" w:lineRule="auto"/>
      <w:ind w:right="51" w:firstLine="1134"/>
      <w:jc w:val="both"/>
      <w:textAlignment w:val="baseline"/>
    </w:pPr>
    <w:rPr>
      <w:rFonts w:ascii="Courier New" w:eastAsia="Times New Roman" w:hAnsi="Courier New" w:cs="Times New Roman"/>
      <w:sz w:val="24"/>
      <w:szCs w:val="20"/>
      <w:lang w:val="es-ES_tradnl" w:eastAsia="es-ES"/>
    </w:rPr>
  </w:style>
  <w:style w:type="paragraph" w:customStyle="1" w:styleId="BodyTextIndent22">
    <w:name w:val="Body Text Indent 22"/>
    <w:basedOn w:val="Normal"/>
    <w:rsid w:val="00AC3F9C"/>
    <w:pPr>
      <w:overflowPunct w:val="0"/>
      <w:autoSpaceDE w:val="0"/>
      <w:autoSpaceDN w:val="0"/>
      <w:adjustRightInd w:val="0"/>
      <w:spacing w:after="0" w:line="480" w:lineRule="auto"/>
      <w:ind w:right="2011" w:firstLine="1134"/>
      <w:jc w:val="both"/>
      <w:textAlignment w:val="baseline"/>
    </w:pPr>
    <w:rPr>
      <w:rFonts w:ascii="Courier New" w:eastAsia="Times New Roman" w:hAnsi="Courier New" w:cs="Times New Roman"/>
      <w:noProof/>
      <w:sz w:val="24"/>
      <w:szCs w:val="20"/>
      <w:lang w:val="es-ES_tradnl" w:eastAsia="es-ES"/>
    </w:rPr>
  </w:style>
  <w:style w:type="paragraph" w:customStyle="1" w:styleId="temp">
    <w:name w:val="temp"/>
    <w:basedOn w:val="Normal"/>
    <w:rsid w:val="00F5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5682A"/>
  </w:style>
  <w:style w:type="character" w:customStyle="1" w:styleId="ng-star-inserted">
    <w:name w:val="ng-star-inserted"/>
    <w:basedOn w:val="Fuentedeprrafopredeter"/>
    <w:rsid w:val="00F5682A"/>
  </w:style>
  <w:style w:type="paragraph" w:customStyle="1" w:styleId="Textoindependiente21">
    <w:name w:val="Texto independiente 21"/>
    <w:basedOn w:val="Normal"/>
    <w:rsid w:val="00C772AB"/>
    <w:pPr>
      <w:spacing w:after="0" w:line="480" w:lineRule="auto"/>
      <w:jc w:val="both"/>
    </w:pPr>
    <w:rPr>
      <w:rFonts w:ascii="Tahoma" w:eastAsia="Times New Roman" w:hAnsi="Tahoma" w:cs="Times New Roman"/>
      <w:sz w:val="24"/>
      <w:szCs w:val="20"/>
      <w:lang w:val="es-ES_tradnl" w:eastAsia="es-ES"/>
    </w:rPr>
  </w:style>
  <w:style w:type="paragraph" w:styleId="Sangra2detindependiente">
    <w:name w:val="Body Text Indent 2"/>
    <w:basedOn w:val="Normal"/>
    <w:link w:val="Sangra2detindependienteCar"/>
    <w:uiPriority w:val="99"/>
    <w:semiHidden/>
    <w:unhideWhenUsed/>
    <w:rsid w:val="003E219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3E2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31063">
      <w:bodyDiv w:val="1"/>
      <w:marLeft w:val="0"/>
      <w:marRight w:val="0"/>
      <w:marTop w:val="0"/>
      <w:marBottom w:val="0"/>
      <w:divBdr>
        <w:top w:val="none" w:sz="0" w:space="0" w:color="auto"/>
        <w:left w:val="none" w:sz="0" w:space="0" w:color="auto"/>
        <w:bottom w:val="none" w:sz="0" w:space="0" w:color="auto"/>
        <w:right w:val="none" w:sz="0" w:space="0" w:color="auto"/>
      </w:divBdr>
    </w:div>
    <w:div w:id="285432821">
      <w:bodyDiv w:val="1"/>
      <w:marLeft w:val="0"/>
      <w:marRight w:val="0"/>
      <w:marTop w:val="0"/>
      <w:marBottom w:val="0"/>
      <w:divBdr>
        <w:top w:val="none" w:sz="0" w:space="0" w:color="auto"/>
        <w:left w:val="none" w:sz="0" w:space="0" w:color="auto"/>
        <w:bottom w:val="none" w:sz="0" w:space="0" w:color="auto"/>
        <w:right w:val="none" w:sz="0" w:space="0" w:color="auto"/>
      </w:divBdr>
    </w:div>
    <w:div w:id="289409025">
      <w:bodyDiv w:val="1"/>
      <w:marLeft w:val="0"/>
      <w:marRight w:val="0"/>
      <w:marTop w:val="0"/>
      <w:marBottom w:val="0"/>
      <w:divBdr>
        <w:top w:val="none" w:sz="0" w:space="0" w:color="auto"/>
        <w:left w:val="none" w:sz="0" w:space="0" w:color="auto"/>
        <w:bottom w:val="none" w:sz="0" w:space="0" w:color="auto"/>
        <w:right w:val="none" w:sz="0" w:space="0" w:color="auto"/>
      </w:divBdr>
    </w:div>
    <w:div w:id="417363357">
      <w:bodyDiv w:val="1"/>
      <w:marLeft w:val="0"/>
      <w:marRight w:val="0"/>
      <w:marTop w:val="0"/>
      <w:marBottom w:val="0"/>
      <w:divBdr>
        <w:top w:val="none" w:sz="0" w:space="0" w:color="auto"/>
        <w:left w:val="none" w:sz="0" w:space="0" w:color="auto"/>
        <w:bottom w:val="none" w:sz="0" w:space="0" w:color="auto"/>
        <w:right w:val="none" w:sz="0" w:space="0" w:color="auto"/>
      </w:divBdr>
      <w:divsChild>
        <w:div w:id="872768933">
          <w:marLeft w:val="0"/>
          <w:marRight w:val="0"/>
          <w:marTop w:val="0"/>
          <w:marBottom w:val="0"/>
          <w:divBdr>
            <w:top w:val="none" w:sz="0" w:space="0" w:color="auto"/>
            <w:left w:val="none" w:sz="0" w:space="0" w:color="auto"/>
            <w:bottom w:val="none" w:sz="0" w:space="0" w:color="auto"/>
            <w:right w:val="none" w:sz="0" w:space="0" w:color="auto"/>
          </w:divBdr>
        </w:div>
        <w:div w:id="25913509">
          <w:marLeft w:val="0"/>
          <w:marRight w:val="0"/>
          <w:marTop w:val="0"/>
          <w:marBottom w:val="0"/>
          <w:divBdr>
            <w:top w:val="none" w:sz="0" w:space="0" w:color="auto"/>
            <w:left w:val="none" w:sz="0" w:space="0" w:color="auto"/>
            <w:bottom w:val="none" w:sz="0" w:space="0" w:color="auto"/>
            <w:right w:val="none" w:sz="0" w:space="0" w:color="auto"/>
          </w:divBdr>
        </w:div>
        <w:div w:id="652026509">
          <w:marLeft w:val="0"/>
          <w:marRight w:val="0"/>
          <w:marTop w:val="0"/>
          <w:marBottom w:val="0"/>
          <w:divBdr>
            <w:top w:val="none" w:sz="0" w:space="0" w:color="auto"/>
            <w:left w:val="none" w:sz="0" w:space="0" w:color="auto"/>
            <w:bottom w:val="none" w:sz="0" w:space="0" w:color="auto"/>
            <w:right w:val="none" w:sz="0" w:space="0" w:color="auto"/>
          </w:divBdr>
        </w:div>
        <w:div w:id="111826976">
          <w:marLeft w:val="0"/>
          <w:marRight w:val="0"/>
          <w:marTop w:val="0"/>
          <w:marBottom w:val="0"/>
          <w:divBdr>
            <w:top w:val="none" w:sz="0" w:space="0" w:color="auto"/>
            <w:left w:val="none" w:sz="0" w:space="0" w:color="auto"/>
            <w:bottom w:val="none" w:sz="0" w:space="0" w:color="auto"/>
            <w:right w:val="none" w:sz="0" w:space="0" w:color="auto"/>
          </w:divBdr>
        </w:div>
        <w:div w:id="1978341601">
          <w:marLeft w:val="0"/>
          <w:marRight w:val="0"/>
          <w:marTop w:val="0"/>
          <w:marBottom w:val="0"/>
          <w:divBdr>
            <w:top w:val="none" w:sz="0" w:space="0" w:color="auto"/>
            <w:left w:val="none" w:sz="0" w:space="0" w:color="auto"/>
            <w:bottom w:val="none" w:sz="0" w:space="0" w:color="auto"/>
            <w:right w:val="none" w:sz="0" w:space="0" w:color="auto"/>
          </w:divBdr>
        </w:div>
        <w:div w:id="1968583990">
          <w:marLeft w:val="0"/>
          <w:marRight w:val="0"/>
          <w:marTop w:val="0"/>
          <w:marBottom w:val="0"/>
          <w:divBdr>
            <w:top w:val="none" w:sz="0" w:space="0" w:color="auto"/>
            <w:left w:val="none" w:sz="0" w:space="0" w:color="auto"/>
            <w:bottom w:val="none" w:sz="0" w:space="0" w:color="auto"/>
            <w:right w:val="none" w:sz="0" w:space="0" w:color="auto"/>
          </w:divBdr>
        </w:div>
        <w:div w:id="1685281569">
          <w:marLeft w:val="0"/>
          <w:marRight w:val="0"/>
          <w:marTop w:val="0"/>
          <w:marBottom w:val="0"/>
          <w:divBdr>
            <w:top w:val="none" w:sz="0" w:space="0" w:color="auto"/>
            <w:left w:val="none" w:sz="0" w:space="0" w:color="auto"/>
            <w:bottom w:val="none" w:sz="0" w:space="0" w:color="auto"/>
            <w:right w:val="none" w:sz="0" w:space="0" w:color="auto"/>
          </w:divBdr>
        </w:div>
      </w:divsChild>
    </w:div>
    <w:div w:id="429550892">
      <w:bodyDiv w:val="1"/>
      <w:marLeft w:val="0"/>
      <w:marRight w:val="0"/>
      <w:marTop w:val="0"/>
      <w:marBottom w:val="0"/>
      <w:divBdr>
        <w:top w:val="none" w:sz="0" w:space="0" w:color="auto"/>
        <w:left w:val="none" w:sz="0" w:space="0" w:color="auto"/>
        <w:bottom w:val="none" w:sz="0" w:space="0" w:color="auto"/>
        <w:right w:val="none" w:sz="0" w:space="0" w:color="auto"/>
      </w:divBdr>
    </w:div>
    <w:div w:id="477846406">
      <w:bodyDiv w:val="1"/>
      <w:marLeft w:val="0"/>
      <w:marRight w:val="0"/>
      <w:marTop w:val="0"/>
      <w:marBottom w:val="0"/>
      <w:divBdr>
        <w:top w:val="none" w:sz="0" w:space="0" w:color="auto"/>
        <w:left w:val="none" w:sz="0" w:space="0" w:color="auto"/>
        <w:bottom w:val="none" w:sz="0" w:space="0" w:color="auto"/>
        <w:right w:val="none" w:sz="0" w:space="0" w:color="auto"/>
      </w:divBdr>
    </w:div>
    <w:div w:id="539366441">
      <w:bodyDiv w:val="1"/>
      <w:marLeft w:val="0"/>
      <w:marRight w:val="0"/>
      <w:marTop w:val="0"/>
      <w:marBottom w:val="0"/>
      <w:divBdr>
        <w:top w:val="none" w:sz="0" w:space="0" w:color="auto"/>
        <w:left w:val="none" w:sz="0" w:space="0" w:color="auto"/>
        <w:bottom w:val="none" w:sz="0" w:space="0" w:color="auto"/>
        <w:right w:val="none" w:sz="0" w:space="0" w:color="auto"/>
      </w:divBdr>
      <w:divsChild>
        <w:div w:id="686298284">
          <w:marLeft w:val="0"/>
          <w:marRight w:val="0"/>
          <w:marTop w:val="0"/>
          <w:marBottom w:val="0"/>
          <w:divBdr>
            <w:top w:val="none" w:sz="0" w:space="0" w:color="auto"/>
            <w:left w:val="none" w:sz="0" w:space="0" w:color="auto"/>
            <w:bottom w:val="none" w:sz="0" w:space="0" w:color="auto"/>
            <w:right w:val="none" w:sz="0" w:space="0" w:color="auto"/>
          </w:divBdr>
        </w:div>
        <w:div w:id="261496697">
          <w:marLeft w:val="0"/>
          <w:marRight w:val="0"/>
          <w:marTop w:val="0"/>
          <w:marBottom w:val="0"/>
          <w:divBdr>
            <w:top w:val="none" w:sz="0" w:space="0" w:color="auto"/>
            <w:left w:val="none" w:sz="0" w:space="0" w:color="auto"/>
            <w:bottom w:val="none" w:sz="0" w:space="0" w:color="auto"/>
            <w:right w:val="none" w:sz="0" w:space="0" w:color="auto"/>
          </w:divBdr>
        </w:div>
        <w:div w:id="1953852071">
          <w:marLeft w:val="0"/>
          <w:marRight w:val="0"/>
          <w:marTop w:val="0"/>
          <w:marBottom w:val="0"/>
          <w:divBdr>
            <w:top w:val="none" w:sz="0" w:space="0" w:color="auto"/>
            <w:left w:val="none" w:sz="0" w:space="0" w:color="auto"/>
            <w:bottom w:val="none" w:sz="0" w:space="0" w:color="auto"/>
            <w:right w:val="none" w:sz="0" w:space="0" w:color="auto"/>
          </w:divBdr>
        </w:div>
        <w:div w:id="793525698">
          <w:marLeft w:val="0"/>
          <w:marRight w:val="0"/>
          <w:marTop w:val="0"/>
          <w:marBottom w:val="0"/>
          <w:divBdr>
            <w:top w:val="none" w:sz="0" w:space="0" w:color="auto"/>
            <w:left w:val="none" w:sz="0" w:space="0" w:color="auto"/>
            <w:bottom w:val="none" w:sz="0" w:space="0" w:color="auto"/>
            <w:right w:val="none" w:sz="0" w:space="0" w:color="auto"/>
          </w:divBdr>
        </w:div>
        <w:div w:id="1309282719">
          <w:marLeft w:val="0"/>
          <w:marRight w:val="0"/>
          <w:marTop w:val="0"/>
          <w:marBottom w:val="0"/>
          <w:divBdr>
            <w:top w:val="none" w:sz="0" w:space="0" w:color="auto"/>
            <w:left w:val="none" w:sz="0" w:space="0" w:color="auto"/>
            <w:bottom w:val="none" w:sz="0" w:space="0" w:color="auto"/>
            <w:right w:val="none" w:sz="0" w:space="0" w:color="auto"/>
          </w:divBdr>
        </w:div>
        <w:div w:id="124811957">
          <w:marLeft w:val="0"/>
          <w:marRight w:val="0"/>
          <w:marTop w:val="0"/>
          <w:marBottom w:val="0"/>
          <w:divBdr>
            <w:top w:val="none" w:sz="0" w:space="0" w:color="auto"/>
            <w:left w:val="none" w:sz="0" w:space="0" w:color="auto"/>
            <w:bottom w:val="none" w:sz="0" w:space="0" w:color="auto"/>
            <w:right w:val="none" w:sz="0" w:space="0" w:color="auto"/>
          </w:divBdr>
        </w:div>
        <w:div w:id="450322009">
          <w:marLeft w:val="0"/>
          <w:marRight w:val="0"/>
          <w:marTop w:val="0"/>
          <w:marBottom w:val="0"/>
          <w:divBdr>
            <w:top w:val="none" w:sz="0" w:space="0" w:color="auto"/>
            <w:left w:val="none" w:sz="0" w:space="0" w:color="auto"/>
            <w:bottom w:val="none" w:sz="0" w:space="0" w:color="auto"/>
            <w:right w:val="none" w:sz="0" w:space="0" w:color="auto"/>
          </w:divBdr>
        </w:div>
      </w:divsChild>
    </w:div>
    <w:div w:id="632829834">
      <w:bodyDiv w:val="1"/>
      <w:marLeft w:val="0"/>
      <w:marRight w:val="0"/>
      <w:marTop w:val="0"/>
      <w:marBottom w:val="0"/>
      <w:divBdr>
        <w:top w:val="none" w:sz="0" w:space="0" w:color="auto"/>
        <w:left w:val="none" w:sz="0" w:space="0" w:color="auto"/>
        <w:bottom w:val="none" w:sz="0" w:space="0" w:color="auto"/>
        <w:right w:val="none" w:sz="0" w:space="0" w:color="auto"/>
      </w:divBdr>
    </w:div>
    <w:div w:id="735516877">
      <w:bodyDiv w:val="1"/>
      <w:marLeft w:val="0"/>
      <w:marRight w:val="0"/>
      <w:marTop w:val="0"/>
      <w:marBottom w:val="0"/>
      <w:divBdr>
        <w:top w:val="none" w:sz="0" w:space="0" w:color="auto"/>
        <w:left w:val="none" w:sz="0" w:space="0" w:color="auto"/>
        <w:bottom w:val="none" w:sz="0" w:space="0" w:color="auto"/>
        <w:right w:val="none" w:sz="0" w:space="0" w:color="auto"/>
      </w:divBdr>
      <w:divsChild>
        <w:div w:id="1668284857">
          <w:marLeft w:val="0"/>
          <w:marRight w:val="0"/>
          <w:marTop w:val="0"/>
          <w:marBottom w:val="0"/>
          <w:divBdr>
            <w:top w:val="none" w:sz="0" w:space="0" w:color="auto"/>
            <w:left w:val="none" w:sz="0" w:space="0" w:color="auto"/>
            <w:bottom w:val="none" w:sz="0" w:space="0" w:color="auto"/>
            <w:right w:val="none" w:sz="0" w:space="0" w:color="auto"/>
          </w:divBdr>
        </w:div>
        <w:div w:id="375816031">
          <w:marLeft w:val="0"/>
          <w:marRight w:val="0"/>
          <w:marTop w:val="0"/>
          <w:marBottom w:val="0"/>
          <w:divBdr>
            <w:top w:val="none" w:sz="0" w:space="0" w:color="auto"/>
            <w:left w:val="none" w:sz="0" w:space="0" w:color="auto"/>
            <w:bottom w:val="none" w:sz="0" w:space="0" w:color="auto"/>
            <w:right w:val="none" w:sz="0" w:space="0" w:color="auto"/>
          </w:divBdr>
        </w:div>
        <w:div w:id="384986130">
          <w:marLeft w:val="0"/>
          <w:marRight w:val="0"/>
          <w:marTop w:val="0"/>
          <w:marBottom w:val="0"/>
          <w:divBdr>
            <w:top w:val="none" w:sz="0" w:space="0" w:color="auto"/>
            <w:left w:val="none" w:sz="0" w:space="0" w:color="auto"/>
            <w:bottom w:val="none" w:sz="0" w:space="0" w:color="auto"/>
            <w:right w:val="none" w:sz="0" w:space="0" w:color="auto"/>
          </w:divBdr>
        </w:div>
        <w:div w:id="628245852">
          <w:marLeft w:val="0"/>
          <w:marRight w:val="0"/>
          <w:marTop w:val="0"/>
          <w:marBottom w:val="0"/>
          <w:divBdr>
            <w:top w:val="none" w:sz="0" w:space="0" w:color="auto"/>
            <w:left w:val="none" w:sz="0" w:space="0" w:color="auto"/>
            <w:bottom w:val="none" w:sz="0" w:space="0" w:color="auto"/>
            <w:right w:val="none" w:sz="0" w:space="0" w:color="auto"/>
          </w:divBdr>
        </w:div>
        <w:div w:id="1681816432">
          <w:marLeft w:val="0"/>
          <w:marRight w:val="0"/>
          <w:marTop w:val="0"/>
          <w:marBottom w:val="0"/>
          <w:divBdr>
            <w:top w:val="none" w:sz="0" w:space="0" w:color="auto"/>
            <w:left w:val="none" w:sz="0" w:space="0" w:color="auto"/>
            <w:bottom w:val="none" w:sz="0" w:space="0" w:color="auto"/>
            <w:right w:val="none" w:sz="0" w:space="0" w:color="auto"/>
          </w:divBdr>
        </w:div>
        <w:div w:id="404452972">
          <w:marLeft w:val="0"/>
          <w:marRight w:val="0"/>
          <w:marTop w:val="0"/>
          <w:marBottom w:val="0"/>
          <w:divBdr>
            <w:top w:val="none" w:sz="0" w:space="0" w:color="auto"/>
            <w:left w:val="none" w:sz="0" w:space="0" w:color="auto"/>
            <w:bottom w:val="none" w:sz="0" w:space="0" w:color="auto"/>
            <w:right w:val="none" w:sz="0" w:space="0" w:color="auto"/>
          </w:divBdr>
        </w:div>
        <w:div w:id="1261598816">
          <w:marLeft w:val="0"/>
          <w:marRight w:val="0"/>
          <w:marTop w:val="0"/>
          <w:marBottom w:val="0"/>
          <w:divBdr>
            <w:top w:val="none" w:sz="0" w:space="0" w:color="auto"/>
            <w:left w:val="none" w:sz="0" w:space="0" w:color="auto"/>
            <w:bottom w:val="none" w:sz="0" w:space="0" w:color="auto"/>
            <w:right w:val="none" w:sz="0" w:space="0" w:color="auto"/>
          </w:divBdr>
        </w:div>
      </w:divsChild>
    </w:div>
    <w:div w:id="748965774">
      <w:bodyDiv w:val="1"/>
      <w:marLeft w:val="0"/>
      <w:marRight w:val="0"/>
      <w:marTop w:val="0"/>
      <w:marBottom w:val="0"/>
      <w:divBdr>
        <w:top w:val="none" w:sz="0" w:space="0" w:color="auto"/>
        <w:left w:val="none" w:sz="0" w:space="0" w:color="auto"/>
        <w:bottom w:val="none" w:sz="0" w:space="0" w:color="auto"/>
        <w:right w:val="none" w:sz="0" w:space="0" w:color="auto"/>
      </w:divBdr>
    </w:div>
    <w:div w:id="841316362">
      <w:bodyDiv w:val="1"/>
      <w:marLeft w:val="0"/>
      <w:marRight w:val="0"/>
      <w:marTop w:val="0"/>
      <w:marBottom w:val="0"/>
      <w:divBdr>
        <w:top w:val="none" w:sz="0" w:space="0" w:color="auto"/>
        <w:left w:val="none" w:sz="0" w:space="0" w:color="auto"/>
        <w:bottom w:val="none" w:sz="0" w:space="0" w:color="auto"/>
        <w:right w:val="none" w:sz="0" w:space="0" w:color="auto"/>
      </w:divBdr>
    </w:div>
    <w:div w:id="933633506">
      <w:bodyDiv w:val="1"/>
      <w:marLeft w:val="0"/>
      <w:marRight w:val="0"/>
      <w:marTop w:val="0"/>
      <w:marBottom w:val="0"/>
      <w:divBdr>
        <w:top w:val="none" w:sz="0" w:space="0" w:color="auto"/>
        <w:left w:val="none" w:sz="0" w:space="0" w:color="auto"/>
        <w:bottom w:val="none" w:sz="0" w:space="0" w:color="auto"/>
        <w:right w:val="none" w:sz="0" w:space="0" w:color="auto"/>
      </w:divBdr>
    </w:div>
    <w:div w:id="962076290">
      <w:bodyDiv w:val="1"/>
      <w:marLeft w:val="0"/>
      <w:marRight w:val="0"/>
      <w:marTop w:val="0"/>
      <w:marBottom w:val="0"/>
      <w:divBdr>
        <w:top w:val="none" w:sz="0" w:space="0" w:color="auto"/>
        <w:left w:val="none" w:sz="0" w:space="0" w:color="auto"/>
        <w:bottom w:val="none" w:sz="0" w:space="0" w:color="auto"/>
        <w:right w:val="none" w:sz="0" w:space="0" w:color="auto"/>
      </w:divBdr>
    </w:div>
    <w:div w:id="977803924">
      <w:bodyDiv w:val="1"/>
      <w:marLeft w:val="0"/>
      <w:marRight w:val="0"/>
      <w:marTop w:val="0"/>
      <w:marBottom w:val="0"/>
      <w:divBdr>
        <w:top w:val="none" w:sz="0" w:space="0" w:color="auto"/>
        <w:left w:val="none" w:sz="0" w:space="0" w:color="auto"/>
        <w:bottom w:val="none" w:sz="0" w:space="0" w:color="auto"/>
        <w:right w:val="none" w:sz="0" w:space="0" w:color="auto"/>
      </w:divBdr>
    </w:div>
    <w:div w:id="1132216117">
      <w:bodyDiv w:val="1"/>
      <w:marLeft w:val="0"/>
      <w:marRight w:val="0"/>
      <w:marTop w:val="0"/>
      <w:marBottom w:val="0"/>
      <w:divBdr>
        <w:top w:val="none" w:sz="0" w:space="0" w:color="auto"/>
        <w:left w:val="none" w:sz="0" w:space="0" w:color="auto"/>
        <w:bottom w:val="none" w:sz="0" w:space="0" w:color="auto"/>
        <w:right w:val="none" w:sz="0" w:space="0" w:color="auto"/>
      </w:divBdr>
      <w:divsChild>
        <w:div w:id="392966413">
          <w:marLeft w:val="0"/>
          <w:marRight w:val="0"/>
          <w:marTop w:val="0"/>
          <w:marBottom w:val="0"/>
          <w:divBdr>
            <w:top w:val="none" w:sz="0" w:space="0" w:color="auto"/>
            <w:left w:val="none" w:sz="0" w:space="0" w:color="auto"/>
            <w:bottom w:val="none" w:sz="0" w:space="0" w:color="auto"/>
            <w:right w:val="none" w:sz="0" w:space="0" w:color="auto"/>
          </w:divBdr>
        </w:div>
      </w:divsChild>
    </w:div>
    <w:div w:id="1156723995">
      <w:bodyDiv w:val="1"/>
      <w:marLeft w:val="0"/>
      <w:marRight w:val="0"/>
      <w:marTop w:val="0"/>
      <w:marBottom w:val="0"/>
      <w:divBdr>
        <w:top w:val="none" w:sz="0" w:space="0" w:color="auto"/>
        <w:left w:val="none" w:sz="0" w:space="0" w:color="auto"/>
        <w:bottom w:val="none" w:sz="0" w:space="0" w:color="auto"/>
        <w:right w:val="none" w:sz="0" w:space="0" w:color="auto"/>
      </w:divBdr>
    </w:div>
    <w:div w:id="1165516709">
      <w:bodyDiv w:val="1"/>
      <w:marLeft w:val="0"/>
      <w:marRight w:val="0"/>
      <w:marTop w:val="0"/>
      <w:marBottom w:val="0"/>
      <w:divBdr>
        <w:top w:val="none" w:sz="0" w:space="0" w:color="auto"/>
        <w:left w:val="none" w:sz="0" w:space="0" w:color="auto"/>
        <w:bottom w:val="none" w:sz="0" w:space="0" w:color="auto"/>
        <w:right w:val="none" w:sz="0" w:space="0" w:color="auto"/>
      </w:divBdr>
    </w:div>
    <w:div w:id="1186871645">
      <w:bodyDiv w:val="1"/>
      <w:marLeft w:val="0"/>
      <w:marRight w:val="0"/>
      <w:marTop w:val="0"/>
      <w:marBottom w:val="0"/>
      <w:divBdr>
        <w:top w:val="none" w:sz="0" w:space="0" w:color="auto"/>
        <w:left w:val="none" w:sz="0" w:space="0" w:color="auto"/>
        <w:bottom w:val="none" w:sz="0" w:space="0" w:color="auto"/>
        <w:right w:val="none" w:sz="0" w:space="0" w:color="auto"/>
      </w:divBdr>
    </w:div>
    <w:div w:id="1257397782">
      <w:bodyDiv w:val="1"/>
      <w:marLeft w:val="0"/>
      <w:marRight w:val="0"/>
      <w:marTop w:val="0"/>
      <w:marBottom w:val="0"/>
      <w:divBdr>
        <w:top w:val="none" w:sz="0" w:space="0" w:color="auto"/>
        <w:left w:val="none" w:sz="0" w:space="0" w:color="auto"/>
        <w:bottom w:val="none" w:sz="0" w:space="0" w:color="auto"/>
        <w:right w:val="none" w:sz="0" w:space="0" w:color="auto"/>
      </w:divBdr>
      <w:divsChild>
        <w:div w:id="1571041528">
          <w:marLeft w:val="0"/>
          <w:marRight w:val="0"/>
          <w:marTop w:val="0"/>
          <w:marBottom w:val="0"/>
          <w:divBdr>
            <w:top w:val="none" w:sz="0" w:space="0" w:color="auto"/>
            <w:left w:val="none" w:sz="0" w:space="0" w:color="auto"/>
            <w:bottom w:val="none" w:sz="0" w:space="0" w:color="auto"/>
            <w:right w:val="none" w:sz="0" w:space="0" w:color="auto"/>
          </w:divBdr>
        </w:div>
        <w:div w:id="933628199">
          <w:marLeft w:val="0"/>
          <w:marRight w:val="0"/>
          <w:marTop w:val="0"/>
          <w:marBottom w:val="0"/>
          <w:divBdr>
            <w:top w:val="none" w:sz="0" w:space="0" w:color="auto"/>
            <w:left w:val="none" w:sz="0" w:space="0" w:color="auto"/>
            <w:bottom w:val="none" w:sz="0" w:space="0" w:color="auto"/>
            <w:right w:val="none" w:sz="0" w:space="0" w:color="auto"/>
          </w:divBdr>
        </w:div>
        <w:div w:id="559752609">
          <w:marLeft w:val="0"/>
          <w:marRight w:val="0"/>
          <w:marTop w:val="0"/>
          <w:marBottom w:val="0"/>
          <w:divBdr>
            <w:top w:val="none" w:sz="0" w:space="0" w:color="auto"/>
            <w:left w:val="none" w:sz="0" w:space="0" w:color="auto"/>
            <w:bottom w:val="none" w:sz="0" w:space="0" w:color="auto"/>
            <w:right w:val="none" w:sz="0" w:space="0" w:color="auto"/>
          </w:divBdr>
        </w:div>
        <w:div w:id="632061414">
          <w:marLeft w:val="0"/>
          <w:marRight w:val="0"/>
          <w:marTop w:val="0"/>
          <w:marBottom w:val="0"/>
          <w:divBdr>
            <w:top w:val="none" w:sz="0" w:space="0" w:color="auto"/>
            <w:left w:val="none" w:sz="0" w:space="0" w:color="auto"/>
            <w:bottom w:val="none" w:sz="0" w:space="0" w:color="auto"/>
            <w:right w:val="none" w:sz="0" w:space="0" w:color="auto"/>
          </w:divBdr>
        </w:div>
        <w:div w:id="223374004">
          <w:marLeft w:val="0"/>
          <w:marRight w:val="0"/>
          <w:marTop w:val="0"/>
          <w:marBottom w:val="0"/>
          <w:divBdr>
            <w:top w:val="none" w:sz="0" w:space="0" w:color="auto"/>
            <w:left w:val="none" w:sz="0" w:space="0" w:color="auto"/>
            <w:bottom w:val="none" w:sz="0" w:space="0" w:color="auto"/>
            <w:right w:val="none" w:sz="0" w:space="0" w:color="auto"/>
          </w:divBdr>
        </w:div>
        <w:div w:id="875239472">
          <w:marLeft w:val="0"/>
          <w:marRight w:val="0"/>
          <w:marTop w:val="0"/>
          <w:marBottom w:val="0"/>
          <w:divBdr>
            <w:top w:val="none" w:sz="0" w:space="0" w:color="auto"/>
            <w:left w:val="none" w:sz="0" w:space="0" w:color="auto"/>
            <w:bottom w:val="none" w:sz="0" w:space="0" w:color="auto"/>
            <w:right w:val="none" w:sz="0" w:space="0" w:color="auto"/>
          </w:divBdr>
        </w:div>
        <w:div w:id="1827429201">
          <w:marLeft w:val="0"/>
          <w:marRight w:val="0"/>
          <w:marTop w:val="0"/>
          <w:marBottom w:val="0"/>
          <w:divBdr>
            <w:top w:val="none" w:sz="0" w:space="0" w:color="auto"/>
            <w:left w:val="none" w:sz="0" w:space="0" w:color="auto"/>
            <w:bottom w:val="none" w:sz="0" w:space="0" w:color="auto"/>
            <w:right w:val="none" w:sz="0" w:space="0" w:color="auto"/>
          </w:divBdr>
        </w:div>
      </w:divsChild>
    </w:div>
    <w:div w:id="1272472759">
      <w:bodyDiv w:val="1"/>
      <w:marLeft w:val="0"/>
      <w:marRight w:val="0"/>
      <w:marTop w:val="0"/>
      <w:marBottom w:val="0"/>
      <w:divBdr>
        <w:top w:val="none" w:sz="0" w:space="0" w:color="auto"/>
        <w:left w:val="none" w:sz="0" w:space="0" w:color="auto"/>
        <w:bottom w:val="none" w:sz="0" w:space="0" w:color="auto"/>
        <w:right w:val="none" w:sz="0" w:space="0" w:color="auto"/>
      </w:divBdr>
    </w:div>
    <w:div w:id="1284464946">
      <w:bodyDiv w:val="1"/>
      <w:marLeft w:val="0"/>
      <w:marRight w:val="0"/>
      <w:marTop w:val="0"/>
      <w:marBottom w:val="0"/>
      <w:divBdr>
        <w:top w:val="none" w:sz="0" w:space="0" w:color="auto"/>
        <w:left w:val="none" w:sz="0" w:space="0" w:color="auto"/>
        <w:bottom w:val="none" w:sz="0" w:space="0" w:color="auto"/>
        <w:right w:val="none" w:sz="0" w:space="0" w:color="auto"/>
      </w:divBdr>
      <w:divsChild>
        <w:div w:id="1452162698">
          <w:marLeft w:val="0"/>
          <w:marRight w:val="0"/>
          <w:marTop w:val="0"/>
          <w:marBottom w:val="0"/>
          <w:divBdr>
            <w:top w:val="none" w:sz="0" w:space="0" w:color="auto"/>
            <w:left w:val="none" w:sz="0" w:space="0" w:color="auto"/>
            <w:bottom w:val="none" w:sz="0" w:space="0" w:color="auto"/>
            <w:right w:val="none" w:sz="0" w:space="0" w:color="auto"/>
          </w:divBdr>
        </w:div>
        <w:div w:id="1034190656">
          <w:marLeft w:val="0"/>
          <w:marRight w:val="0"/>
          <w:marTop w:val="0"/>
          <w:marBottom w:val="0"/>
          <w:divBdr>
            <w:top w:val="none" w:sz="0" w:space="0" w:color="auto"/>
            <w:left w:val="none" w:sz="0" w:space="0" w:color="auto"/>
            <w:bottom w:val="none" w:sz="0" w:space="0" w:color="auto"/>
            <w:right w:val="none" w:sz="0" w:space="0" w:color="auto"/>
          </w:divBdr>
        </w:div>
        <w:div w:id="1769043091">
          <w:marLeft w:val="0"/>
          <w:marRight w:val="0"/>
          <w:marTop w:val="0"/>
          <w:marBottom w:val="0"/>
          <w:divBdr>
            <w:top w:val="none" w:sz="0" w:space="0" w:color="auto"/>
            <w:left w:val="none" w:sz="0" w:space="0" w:color="auto"/>
            <w:bottom w:val="none" w:sz="0" w:space="0" w:color="auto"/>
            <w:right w:val="none" w:sz="0" w:space="0" w:color="auto"/>
          </w:divBdr>
        </w:div>
        <w:div w:id="1346514801">
          <w:marLeft w:val="0"/>
          <w:marRight w:val="0"/>
          <w:marTop w:val="0"/>
          <w:marBottom w:val="0"/>
          <w:divBdr>
            <w:top w:val="none" w:sz="0" w:space="0" w:color="auto"/>
            <w:left w:val="none" w:sz="0" w:space="0" w:color="auto"/>
            <w:bottom w:val="none" w:sz="0" w:space="0" w:color="auto"/>
            <w:right w:val="none" w:sz="0" w:space="0" w:color="auto"/>
          </w:divBdr>
        </w:div>
        <w:div w:id="508787390">
          <w:marLeft w:val="0"/>
          <w:marRight w:val="0"/>
          <w:marTop w:val="0"/>
          <w:marBottom w:val="0"/>
          <w:divBdr>
            <w:top w:val="none" w:sz="0" w:space="0" w:color="auto"/>
            <w:left w:val="none" w:sz="0" w:space="0" w:color="auto"/>
            <w:bottom w:val="none" w:sz="0" w:space="0" w:color="auto"/>
            <w:right w:val="none" w:sz="0" w:space="0" w:color="auto"/>
          </w:divBdr>
        </w:div>
        <w:div w:id="2080668122">
          <w:marLeft w:val="0"/>
          <w:marRight w:val="0"/>
          <w:marTop w:val="0"/>
          <w:marBottom w:val="0"/>
          <w:divBdr>
            <w:top w:val="none" w:sz="0" w:space="0" w:color="auto"/>
            <w:left w:val="none" w:sz="0" w:space="0" w:color="auto"/>
            <w:bottom w:val="none" w:sz="0" w:space="0" w:color="auto"/>
            <w:right w:val="none" w:sz="0" w:space="0" w:color="auto"/>
          </w:divBdr>
        </w:div>
        <w:div w:id="1310593921">
          <w:marLeft w:val="0"/>
          <w:marRight w:val="0"/>
          <w:marTop w:val="0"/>
          <w:marBottom w:val="0"/>
          <w:divBdr>
            <w:top w:val="none" w:sz="0" w:space="0" w:color="auto"/>
            <w:left w:val="none" w:sz="0" w:space="0" w:color="auto"/>
            <w:bottom w:val="none" w:sz="0" w:space="0" w:color="auto"/>
            <w:right w:val="none" w:sz="0" w:space="0" w:color="auto"/>
          </w:divBdr>
        </w:div>
      </w:divsChild>
    </w:div>
    <w:div w:id="1429156258">
      <w:bodyDiv w:val="1"/>
      <w:marLeft w:val="0"/>
      <w:marRight w:val="0"/>
      <w:marTop w:val="0"/>
      <w:marBottom w:val="0"/>
      <w:divBdr>
        <w:top w:val="none" w:sz="0" w:space="0" w:color="auto"/>
        <w:left w:val="none" w:sz="0" w:space="0" w:color="auto"/>
        <w:bottom w:val="none" w:sz="0" w:space="0" w:color="auto"/>
        <w:right w:val="none" w:sz="0" w:space="0" w:color="auto"/>
      </w:divBdr>
      <w:divsChild>
        <w:div w:id="2013409898">
          <w:marLeft w:val="0"/>
          <w:marRight w:val="0"/>
          <w:marTop w:val="0"/>
          <w:marBottom w:val="0"/>
          <w:divBdr>
            <w:top w:val="none" w:sz="0" w:space="0" w:color="auto"/>
            <w:left w:val="none" w:sz="0" w:space="0" w:color="auto"/>
            <w:bottom w:val="none" w:sz="0" w:space="0" w:color="auto"/>
            <w:right w:val="none" w:sz="0" w:space="0" w:color="auto"/>
          </w:divBdr>
        </w:div>
        <w:div w:id="298266146">
          <w:marLeft w:val="0"/>
          <w:marRight w:val="0"/>
          <w:marTop w:val="0"/>
          <w:marBottom w:val="0"/>
          <w:divBdr>
            <w:top w:val="none" w:sz="0" w:space="0" w:color="auto"/>
            <w:left w:val="none" w:sz="0" w:space="0" w:color="auto"/>
            <w:bottom w:val="none" w:sz="0" w:space="0" w:color="auto"/>
            <w:right w:val="none" w:sz="0" w:space="0" w:color="auto"/>
          </w:divBdr>
        </w:div>
        <w:div w:id="1364476465">
          <w:marLeft w:val="0"/>
          <w:marRight w:val="0"/>
          <w:marTop w:val="0"/>
          <w:marBottom w:val="0"/>
          <w:divBdr>
            <w:top w:val="none" w:sz="0" w:space="0" w:color="auto"/>
            <w:left w:val="none" w:sz="0" w:space="0" w:color="auto"/>
            <w:bottom w:val="none" w:sz="0" w:space="0" w:color="auto"/>
            <w:right w:val="none" w:sz="0" w:space="0" w:color="auto"/>
          </w:divBdr>
        </w:div>
        <w:div w:id="1548952442">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448159526">
          <w:marLeft w:val="0"/>
          <w:marRight w:val="0"/>
          <w:marTop w:val="0"/>
          <w:marBottom w:val="0"/>
          <w:divBdr>
            <w:top w:val="none" w:sz="0" w:space="0" w:color="auto"/>
            <w:left w:val="none" w:sz="0" w:space="0" w:color="auto"/>
            <w:bottom w:val="none" w:sz="0" w:space="0" w:color="auto"/>
            <w:right w:val="none" w:sz="0" w:space="0" w:color="auto"/>
          </w:divBdr>
        </w:div>
        <w:div w:id="1418165406">
          <w:marLeft w:val="0"/>
          <w:marRight w:val="0"/>
          <w:marTop w:val="0"/>
          <w:marBottom w:val="0"/>
          <w:divBdr>
            <w:top w:val="none" w:sz="0" w:space="0" w:color="auto"/>
            <w:left w:val="none" w:sz="0" w:space="0" w:color="auto"/>
            <w:bottom w:val="none" w:sz="0" w:space="0" w:color="auto"/>
            <w:right w:val="none" w:sz="0" w:space="0" w:color="auto"/>
          </w:divBdr>
        </w:div>
      </w:divsChild>
    </w:div>
    <w:div w:id="1436710005">
      <w:bodyDiv w:val="1"/>
      <w:marLeft w:val="0"/>
      <w:marRight w:val="0"/>
      <w:marTop w:val="0"/>
      <w:marBottom w:val="0"/>
      <w:divBdr>
        <w:top w:val="none" w:sz="0" w:space="0" w:color="auto"/>
        <w:left w:val="none" w:sz="0" w:space="0" w:color="auto"/>
        <w:bottom w:val="none" w:sz="0" w:space="0" w:color="auto"/>
        <w:right w:val="none" w:sz="0" w:space="0" w:color="auto"/>
      </w:divBdr>
    </w:div>
    <w:div w:id="1438327380">
      <w:bodyDiv w:val="1"/>
      <w:marLeft w:val="0"/>
      <w:marRight w:val="0"/>
      <w:marTop w:val="0"/>
      <w:marBottom w:val="0"/>
      <w:divBdr>
        <w:top w:val="none" w:sz="0" w:space="0" w:color="auto"/>
        <w:left w:val="none" w:sz="0" w:space="0" w:color="auto"/>
        <w:bottom w:val="none" w:sz="0" w:space="0" w:color="auto"/>
        <w:right w:val="none" w:sz="0" w:space="0" w:color="auto"/>
      </w:divBdr>
    </w:div>
    <w:div w:id="1730298783">
      <w:bodyDiv w:val="1"/>
      <w:marLeft w:val="0"/>
      <w:marRight w:val="0"/>
      <w:marTop w:val="0"/>
      <w:marBottom w:val="0"/>
      <w:divBdr>
        <w:top w:val="none" w:sz="0" w:space="0" w:color="auto"/>
        <w:left w:val="none" w:sz="0" w:space="0" w:color="auto"/>
        <w:bottom w:val="none" w:sz="0" w:space="0" w:color="auto"/>
        <w:right w:val="none" w:sz="0" w:space="0" w:color="auto"/>
      </w:divBdr>
      <w:divsChild>
        <w:div w:id="982470846">
          <w:marLeft w:val="0"/>
          <w:marRight w:val="0"/>
          <w:marTop w:val="0"/>
          <w:marBottom w:val="0"/>
          <w:divBdr>
            <w:top w:val="none" w:sz="0" w:space="0" w:color="auto"/>
            <w:left w:val="none" w:sz="0" w:space="0" w:color="auto"/>
            <w:bottom w:val="none" w:sz="0" w:space="0" w:color="auto"/>
            <w:right w:val="none" w:sz="0" w:space="0" w:color="auto"/>
          </w:divBdr>
        </w:div>
        <w:div w:id="774399058">
          <w:marLeft w:val="0"/>
          <w:marRight w:val="0"/>
          <w:marTop w:val="0"/>
          <w:marBottom w:val="0"/>
          <w:divBdr>
            <w:top w:val="none" w:sz="0" w:space="0" w:color="auto"/>
            <w:left w:val="none" w:sz="0" w:space="0" w:color="auto"/>
            <w:bottom w:val="none" w:sz="0" w:space="0" w:color="auto"/>
            <w:right w:val="none" w:sz="0" w:space="0" w:color="auto"/>
          </w:divBdr>
        </w:div>
        <w:div w:id="1362785737">
          <w:marLeft w:val="0"/>
          <w:marRight w:val="0"/>
          <w:marTop w:val="0"/>
          <w:marBottom w:val="0"/>
          <w:divBdr>
            <w:top w:val="none" w:sz="0" w:space="0" w:color="auto"/>
            <w:left w:val="none" w:sz="0" w:space="0" w:color="auto"/>
            <w:bottom w:val="none" w:sz="0" w:space="0" w:color="auto"/>
            <w:right w:val="none" w:sz="0" w:space="0" w:color="auto"/>
          </w:divBdr>
        </w:div>
        <w:div w:id="987634069">
          <w:marLeft w:val="0"/>
          <w:marRight w:val="0"/>
          <w:marTop w:val="0"/>
          <w:marBottom w:val="0"/>
          <w:divBdr>
            <w:top w:val="none" w:sz="0" w:space="0" w:color="auto"/>
            <w:left w:val="none" w:sz="0" w:space="0" w:color="auto"/>
            <w:bottom w:val="none" w:sz="0" w:space="0" w:color="auto"/>
            <w:right w:val="none" w:sz="0" w:space="0" w:color="auto"/>
          </w:divBdr>
        </w:div>
        <w:div w:id="2102096293">
          <w:marLeft w:val="0"/>
          <w:marRight w:val="0"/>
          <w:marTop w:val="0"/>
          <w:marBottom w:val="0"/>
          <w:divBdr>
            <w:top w:val="none" w:sz="0" w:space="0" w:color="auto"/>
            <w:left w:val="none" w:sz="0" w:space="0" w:color="auto"/>
            <w:bottom w:val="none" w:sz="0" w:space="0" w:color="auto"/>
            <w:right w:val="none" w:sz="0" w:space="0" w:color="auto"/>
          </w:divBdr>
        </w:div>
        <w:div w:id="2121753563">
          <w:marLeft w:val="0"/>
          <w:marRight w:val="0"/>
          <w:marTop w:val="0"/>
          <w:marBottom w:val="0"/>
          <w:divBdr>
            <w:top w:val="none" w:sz="0" w:space="0" w:color="auto"/>
            <w:left w:val="none" w:sz="0" w:space="0" w:color="auto"/>
            <w:bottom w:val="none" w:sz="0" w:space="0" w:color="auto"/>
            <w:right w:val="none" w:sz="0" w:space="0" w:color="auto"/>
          </w:divBdr>
        </w:div>
        <w:div w:id="1531412411">
          <w:marLeft w:val="0"/>
          <w:marRight w:val="0"/>
          <w:marTop w:val="0"/>
          <w:marBottom w:val="0"/>
          <w:divBdr>
            <w:top w:val="none" w:sz="0" w:space="0" w:color="auto"/>
            <w:left w:val="none" w:sz="0" w:space="0" w:color="auto"/>
            <w:bottom w:val="none" w:sz="0" w:space="0" w:color="auto"/>
            <w:right w:val="none" w:sz="0" w:space="0" w:color="auto"/>
          </w:divBdr>
        </w:div>
      </w:divsChild>
    </w:div>
    <w:div w:id="1823237235">
      <w:bodyDiv w:val="1"/>
      <w:marLeft w:val="0"/>
      <w:marRight w:val="0"/>
      <w:marTop w:val="0"/>
      <w:marBottom w:val="0"/>
      <w:divBdr>
        <w:top w:val="none" w:sz="0" w:space="0" w:color="auto"/>
        <w:left w:val="none" w:sz="0" w:space="0" w:color="auto"/>
        <w:bottom w:val="none" w:sz="0" w:space="0" w:color="auto"/>
        <w:right w:val="none" w:sz="0" w:space="0" w:color="auto"/>
      </w:divBdr>
    </w:div>
    <w:div w:id="1980114599">
      <w:bodyDiv w:val="1"/>
      <w:marLeft w:val="0"/>
      <w:marRight w:val="0"/>
      <w:marTop w:val="0"/>
      <w:marBottom w:val="0"/>
      <w:divBdr>
        <w:top w:val="none" w:sz="0" w:space="0" w:color="auto"/>
        <w:left w:val="none" w:sz="0" w:space="0" w:color="auto"/>
        <w:bottom w:val="none" w:sz="0" w:space="0" w:color="auto"/>
        <w:right w:val="none" w:sz="0" w:space="0" w:color="auto"/>
      </w:divBdr>
      <w:divsChild>
        <w:div w:id="651369336">
          <w:marLeft w:val="0"/>
          <w:marRight w:val="0"/>
          <w:marTop w:val="0"/>
          <w:marBottom w:val="0"/>
          <w:divBdr>
            <w:top w:val="none" w:sz="0" w:space="0" w:color="auto"/>
            <w:left w:val="none" w:sz="0" w:space="0" w:color="auto"/>
            <w:bottom w:val="none" w:sz="0" w:space="0" w:color="auto"/>
            <w:right w:val="none" w:sz="0" w:space="0" w:color="auto"/>
          </w:divBdr>
        </w:div>
        <w:div w:id="1469712059">
          <w:marLeft w:val="0"/>
          <w:marRight w:val="0"/>
          <w:marTop w:val="0"/>
          <w:marBottom w:val="0"/>
          <w:divBdr>
            <w:top w:val="none" w:sz="0" w:space="0" w:color="auto"/>
            <w:left w:val="none" w:sz="0" w:space="0" w:color="auto"/>
            <w:bottom w:val="none" w:sz="0" w:space="0" w:color="auto"/>
            <w:right w:val="none" w:sz="0" w:space="0" w:color="auto"/>
          </w:divBdr>
        </w:div>
        <w:div w:id="1218006375">
          <w:marLeft w:val="0"/>
          <w:marRight w:val="0"/>
          <w:marTop w:val="0"/>
          <w:marBottom w:val="0"/>
          <w:divBdr>
            <w:top w:val="none" w:sz="0" w:space="0" w:color="auto"/>
            <w:left w:val="none" w:sz="0" w:space="0" w:color="auto"/>
            <w:bottom w:val="none" w:sz="0" w:space="0" w:color="auto"/>
            <w:right w:val="none" w:sz="0" w:space="0" w:color="auto"/>
          </w:divBdr>
        </w:div>
        <w:div w:id="103773962">
          <w:marLeft w:val="0"/>
          <w:marRight w:val="0"/>
          <w:marTop w:val="0"/>
          <w:marBottom w:val="0"/>
          <w:divBdr>
            <w:top w:val="none" w:sz="0" w:space="0" w:color="auto"/>
            <w:left w:val="none" w:sz="0" w:space="0" w:color="auto"/>
            <w:bottom w:val="none" w:sz="0" w:space="0" w:color="auto"/>
            <w:right w:val="none" w:sz="0" w:space="0" w:color="auto"/>
          </w:divBdr>
        </w:div>
        <w:div w:id="1421634395">
          <w:marLeft w:val="0"/>
          <w:marRight w:val="0"/>
          <w:marTop w:val="0"/>
          <w:marBottom w:val="0"/>
          <w:divBdr>
            <w:top w:val="none" w:sz="0" w:space="0" w:color="auto"/>
            <w:left w:val="none" w:sz="0" w:space="0" w:color="auto"/>
            <w:bottom w:val="none" w:sz="0" w:space="0" w:color="auto"/>
            <w:right w:val="none" w:sz="0" w:space="0" w:color="auto"/>
          </w:divBdr>
        </w:div>
        <w:div w:id="385377054">
          <w:marLeft w:val="0"/>
          <w:marRight w:val="0"/>
          <w:marTop w:val="0"/>
          <w:marBottom w:val="0"/>
          <w:divBdr>
            <w:top w:val="none" w:sz="0" w:space="0" w:color="auto"/>
            <w:left w:val="none" w:sz="0" w:space="0" w:color="auto"/>
            <w:bottom w:val="none" w:sz="0" w:space="0" w:color="auto"/>
            <w:right w:val="none" w:sz="0" w:space="0" w:color="auto"/>
          </w:divBdr>
        </w:div>
        <w:div w:id="164706354">
          <w:marLeft w:val="0"/>
          <w:marRight w:val="0"/>
          <w:marTop w:val="0"/>
          <w:marBottom w:val="0"/>
          <w:divBdr>
            <w:top w:val="none" w:sz="0" w:space="0" w:color="auto"/>
            <w:left w:val="none" w:sz="0" w:space="0" w:color="auto"/>
            <w:bottom w:val="none" w:sz="0" w:space="0" w:color="auto"/>
            <w:right w:val="none" w:sz="0" w:space="0" w:color="auto"/>
          </w:divBdr>
        </w:div>
      </w:divsChild>
    </w:div>
    <w:div w:id="1999192898">
      <w:bodyDiv w:val="1"/>
      <w:marLeft w:val="0"/>
      <w:marRight w:val="0"/>
      <w:marTop w:val="0"/>
      <w:marBottom w:val="0"/>
      <w:divBdr>
        <w:top w:val="none" w:sz="0" w:space="0" w:color="auto"/>
        <w:left w:val="none" w:sz="0" w:space="0" w:color="auto"/>
        <w:bottom w:val="none" w:sz="0" w:space="0" w:color="auto"/>
        <w:right w:val="none" w:sz="0" w:space="0" w:color="auto"/>
      </w:divBdr>
    </w:div>
    <w:div w:id="2054620251">
      <w:bodyDiv w:val="1"/>
      <w:marLeft w:val="0"/>
      <w:marRight w:val="0"/>
      <w:marTop w:val="0"/>
      <w:marBottom w:val="0"/>
      <w:divBdr>
        <w:top w:val="none" w:sz="0" w:space="0" w:color="auto"/>
        <w:left w:val="none" w:sz="0" w:space="0" w:color="auto"/>
        <w:bottom w:val="none" w:sz="0" w:space="0" w:color="auto"/>
        <w:right w:val="none" w:sz="0" w:space="0" w:color="auto"/>
      </w:divBdr>
      <w:divsChild>
        <w:div w:id="1992830280">
          <w:marLeft w:val="0"/>
          <w:marRight w:val="0"/>
          <w:marTop w:val="0"/>
          <w:marBottom w:val="0"/>
          <w:divBdr>
            <w:top w:val="none" w:sz="0" w:space="0" w:color="auto"/>
            <w:left w:val="none" w:sz="0" w:space="0" w:color="auto"/>
            <w:bottom w:val="none" w:sz="0" w:space="0" w:color="auto"/>
            <w:right w:val="none" w:sz="0" w:space="0" w:color="auto"/>
          </w:divBdr>
        </w:div>
        <w:div w:id="1133984962">
          <w:marLeft w:val="0"/>
          <w:marRight w:val="0"/>
          <w:marTop w:val="0"/>
          <w:marBottom w:val="0"/>
          <w:divBdr>
            <w:top w:val="none" w:sz="0" w:space="0" w:color="auto"/>
            <w:left w:val="none" w:sz="0" w:space="0" w:color="auto"/>
            <w:bottom w:val="none" w:sz="0" w:space="0" w:color="auto"/>
            <w:right w:val="none" w:sz="0" w:space="0" w:color="auto"/>
          </w:divBdr>
        </w:div>
        <w:div w:id="89857573">
          <w:marLeft w:val="0"/>
          <w:marRight w:val="0"/>
          <w:marTop w:val="0"/>
          <w:marBottom w:val="0"/>
          <w:divBdr>
            <w:top w:val="none" w:sz="0" w:space="0" w:color="auto"/>
            <w:left w:val="none" w:sz="0" w:space="0" w:color="auto"/>
            <w:bottom w:val="none" w:sz="0" w:space="0" w:color="auto"/>
            <w:right w:val="none" w:sz="0" w:space="0" w:color="auto"/>
          </w:divBdr>
        </w:div>
        <w:div w:id="1953247248">
          <w:marLeft w:val="0"/>
          <w:marRight w:val="0"/>
          <w:marTop w:val="0"/>
          <w:marBottom w:val="0"/>
          <w:divBdr>
            <w:top w:val="none" w:sz="0" w:space="0" w:color="auto"/>
            <w:left w:val="none" w:sz="0" w:space="0" w:color="auto"/>
            <w:bottom w:val="none" w:sz="0" w:space="0" w:color="auto"/>
            <w:right w:val="none" w:sz="0" w:space="0" w:color="auto"/>
          </w:divBdr>
        </w:div>
        <w:div w:id="1724016625">
          <w:marLeft w:val="0"/>
          <w:marRight w:val="0"/>
          <w:marTop w:val="0"/>
          <w:marBottom w:val="0"/>
          <w:divBdr>
            <w:top w:val="none" w:sz="0" w:space="0" w:color="auto"/>
            <w:left w:val="none" w:sz="0" w:space="0" w:color="auto"/>
            <w:bottom w:val="none" w:sz="0" w:space="0" w:color="auto"/>
            <w:right w:val="none" w:sz="0" w:space="0" w:color="auto"/>
          </w:divBdr>
        </w:div>
        <w:div w:id="1089236132">
          <w:marLeft w:val="0"/>
          <w:marRight w:val="0"/>
          <w:marTop w:val="0"/>
          <w:marBottom w:val="0"/>
          <w:divBdr>
            <w:top w:val="none" w:sz="0" w:space="0" w:color="auto"/>
            <w:left w:val="none" w:sz="0" w:space="0" w:color="auto"/>
            <w:bottom w:val="none" w:sz="0" w:space="0" w:color="auto"/>
            <w:right w:val="none" w:sz="0" w:space="0" w:color="auto"/>
          </w:divBdr>
        </w:div>
        <w:div w:id="9771865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jf2.scjn.gob.mx/detalle/tesis/197273"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hyperlink" Target="javascript:voi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jf2.scjn.gob.mx/detalle/tesis/187649"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C4EC9D-1366-45B3-9F7D-5FB85D414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7589</Words>
  <Characters>41742</Characters>
  <Application>Microsoft Office Word</Application>
  <DocSecurity>0</DocSecurity>
  <Lines>347</Lines>
  <Paragraphs>98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2</cp:revision>
  <cp:lastPrinted>2022-06-14T16:11:00Z</cp:lastPrinted>
  <dcterms:created xsi:type="dcterms:W3CDTF">2023-10-23T23:53:00Z</dcterms:created>
  <dcterms:modified xsi:type="dcterms:W3CDTF">2023-10-23T23:53:00Z</dcterms:modified>
</cp:coreProperties>
</file>