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22EC2">
        <w:rPr>
          <w:rFonts w:ascii="Arial" w:hAnsi="Arial" w:cs="Arial"/>
          <w:b/>
          <w:sz w:val="26"/>
          <w:szCs w:val="26"/>
        </w:rPr>
        <w:t>081</w:t>
      </w:r>
      <w:r w:rsidRPr="00CB6405">
        <w:rPr>
          <w:rFonts w:ascii="Arial" w:hAnsi="Arial" w:cs="Arial"/>
          <w:b/>
          <w:sz w:val="26"/>
          <w:szCs w:val="26"/>
        </w:rPr>
        <w:t>/201</w:t>
      </w:r>
      <w:r w:rsidR="001E2D44">
        <w:rPr>
          <w:rFonts w:ascii="Arial" w:hAnsi="Arial" w:cs="Arial"/>
          <w:b/>
          <w:sz w:val="26"/>
          <w:szCs w:val="26"/>
        </w:rPr>
        <w:t>9</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822EC2">
        <w:rPr>
          <w:rFonts w:ascii="Arial" w:hAnsi="Arial" w:cs="Arial"/>
          <w:b/>
          <w:sz w:val="26"/>
          <w:szCs w:val="26"/>
        </w:rPr>
        <w:t>0494</w:t>
      </w:r>
      <w:r>
        <w:rPr>
          <w:rFonts w:ascii="Arial" w:hAnsi="Arial" w:cs="Arial"/>
          <w:b/>
          <w:sz w:val="26"/>
          <w:szCs w:val="26"/>
        </w:rPr>
        <w:t>/</w:t>
      </w:r>
      <w:r w:rsidRPr="00CB6405">
        <w:rPr>
          <w:rFonts w:ascii="Arial" w:hAnsi="Arial" w:cs="Arial"/>
          <w:b/>
          <w:sz w:val="26"/>
          <w:szCs w:val="26"/>
        </w:rPr>
        <w:t>201</w:t>
      </w:r>
      <w:r w:rsidR="00822EC2">
        <w:rPr>
          <w:rFonts w:ascii="Arial" w:hAnsi="Arial" w:cs="Arial"/>
          <w:b/>
          <w:sz w:val="26"/>
          <w:szCs w:val="26"/>
        </w:rPr>
        <w:t>6</w:t>
      </w:r>
      <w:r w:rsidRPr="00CB6405">
        <w:rPr>
          <w:rFonts w:ascii="Arial" w:hAnsi="Arial" w:cs="Arial"/>
          <w:b/>
          <w:sz w:val="26"/>
          <w:szCs w:val="26"/>
        </w:rPr>
        <w:t xml:space="preserve"> </w:t>
      </w:r>
      <w:r w:rsidR="00822EC2">
        <w:rPr>
          <w:rFonts w:ascii="Arial" w:hAnsi="Arial" w:cs="Arial"/>
          <w:b/>
          <w:sz w:val="26"/>
          <w:szCs w:val="26"/>
        </w:rPr>
        <w:t>SÉPTIMA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1E2D44" w:rsidRDefault="001E2D44" w:rsidP="00C06661">
      <w:pPr>
        <w:spacing w:line="240" w:lineRule="auto"/>
        <w:ind w:left="2124"/>
        <w:jc w:val="both"/>
        <w:rPr>
          <w:rFonts w:ascii="Arial" w:hAnsi="Arial" w:cs="Arial"/>
          <w:b/>
          <w:sz w:val="26"/>
          <w:szCs w:val="26"/>
        </w:rPr>
      </w:pPr>
    </w:p>
    <w:p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OAXACA DE JUÁREZ, OAXACA</w:t>
      </w:r>
      <w:r w:rsidR="006F4E8B">
        <w:rPr>
          <w:rFonts w:ascii="Arial" w:hAnsi="Arial" w:cs="Arial"/>
          <w:b/>
          <w:sz w:val="26"/>
          <w:szCs w:val="26"/>
        </w:rPr>
        <w:t>, QUINCE DE ENERO DE DOS MIL VEINTE</w:t>
      </w:r>
      <w:r>
        <w:rPr>
          <w:rFonts w:ascii="Arial" w:hAnsi="Arial" w:cs="Arial"/>
          <w:b/>
          <w:sz w:val="26"/>
          <w:szCs w:val="26"/>
        </w:rPr>
        <w:t xml:space="preserve">. </w:t>
      </w:r>
    </w:p>
    <w:p w:rsidR="00FA302C" w:rsidRPr="00CB6405" w:rsidRDefault="001213C8" w:rsidP="00C977E3">
      <w:pPr>
        <w:spacing w:line="360" w:lineRule="auto"/>
        <w:ind w:firstLine="567"/>
        <w:jc w:val="both"/>
        <w:rPr>
          <w:rFonts w:ascii="Arial" w:hAnsi="Arial" w:cs="Arial"/>
          <w:sz w:val="26"/>
          <w:szCs w:val="26"/>
        </w:rPr>
      </w:pPr>
      <w:r>
        <w:rPr>
          <w:rFonts w:ascii="Arial" w:hAnsi="Arial" w:cs="Arial"/>
          <w:sz w:val="26"/>
          <w:szCs w:val="26"/>
        </w:rPr>
        <w:t>Se tiene por recibido el cuaderno de recurso de r</w:t>
      </w:r>
      <w:r w:rsidR="00C06661" w:rsidRPr="00CB6405">
        <w:rPr>
          <w:rFonts w:ascii="Arial" w:hAnsi="Arial" w:cs="Arial"/>
          <w:sz w:val="26"/>
          <w:szCs w:val="26"/>
        </w:rPr>
        <w:t xml:space="preserve">evisión </w:t>
      </w:r>
      <w:r w:rsidR="00C06661" w:rsidRPr="00CB6405">
        <w:rPr>
          <w:rFonts w:ascii="Arial" w:hAnsi="Arial" w:cs="Arial"/>
          <w:b/>
          <w:sz w:val="26"/>
          <w:szCs w:val="26"/>
        </w:rPr>
        <w:t>0</w:t>
      </w:r>
      <w:r w:rsidR="00637275">
        <w:rPr>
          <w:rFonts w:ascii="Arial" w:hAnsi="Arial" w:cs="Arial"/>
          <w:b/>
          <w:sz w:val="26"/>
          <w:szCs w:val="26"/>
        </w:rPr>
        <w:t>081</w:t>
      </w:r>
      <w:r w:rsidR="00C06661" w:rsidRPr="00CB6405">
        <w:rPr>
          <w:rFonts w:ascii="Arial" w:hAnsi="Arial" w:cs="Arial"/>
          <w:b/>
          <w:sz w:val="26"/>
          <w:szCs w:val="26"/>
        </w:rPr>
        <w:t>/201</w:t>
      </w:r>
      <w:r w:rsidR="001E2D44">
        <w:rPr>
          <w:rFonts w:ascii="Arial" w:hAnsi="Arial" w:cs="Arial"/>
          <w:b/>
          <w:sz w:val="26"/>
          <w:szCs w:val="26"/>
        </w:rPr>
        <w:t>9</w:t>
      </w:r>
      <w:r w:rsidR="00C06661" w:rsidRPr="00CB6405">
        <w:rPr>
          <w:rFonts w:ascii="Arial" w:hAnsi="Arial" w:cs="Arial"/>
          <w:sz w:val="26"/>
          <w:szCs w:val="26"/>
        </w:rPr>
        <w:t xml:space="preserve">, </w:t>
      </w:r>
      <w:r>
        <w:rPr>
          <w:rFonts w:ascii="Arial" w:hAnsi="Arial" w:cs="Arial"/>
          <w:sz w:val="26"/>
          <w:szCs w:val="26"/>
        </w:rPr>
        <w:t>remitido</w:t>
      </w:r>
      <w:r w:rsidR="00C06661" w:rsidRPr="00CB6405">
        <w:rPr>
          <w:rFonts w:ascii="Arial" w:hAnsi="Arial" w:cs="Arial"/>
          <w:sz w:val="26"/>
          <w:szCs w:val="26"/>
        </w:rPr>
        <w:t xml:space="preserve"> </w:t>
      </w:r>
      <w:r w:rsidR="003C1E07">
        <w:rPr>
          <w:rFonts w:ascii="Arial" w:hAnsi="Arial" w:cs="Arial"/>
          <w:sz w:val="26"/>
          <w:szCs w:val="26"/>
        </w:rPr>
        <w:t xml:space="preserve">por </w:t>
      </w:r>
      <w:r w:rsidR="00C06661" w:rsidRPr="00CB6405">
        <w:rPr>
          <w:rFonts w:ascii="Arial" w:hAnsi="Arial" w:cs="Arial"/>
          <w:sz w:val="26"/>
          <w:szCs w:val="26"/>
        </w:rPr>
        <w:t>la Secretaría General de Acuerdos, con motivo del recurso de revisión interpuesto por</w:t>
      </w:r>
      <w:r w:rsidR="003C1E07" w:rsidRPr="003C1E07">
        <w:t xml:space="preserve"> </w:t>
      </w:r>
      <w:r w:rsidR="00637275">
        <w:rPr>
          <w:rFonts w:ascii="Arial" w:hAnsi="Arial" w:cs="Arial"/>
          <w:sz w:val="26"/>
          <w:szCs w:val="26"/>
        </w:rPr>
        <w:t>el ciudadano</w:t>
      </w:r>
      <w:r w:rsidR="00160F33">
        <w:rPr>
          <w:rFonts w:ascii="Arial" w:hAnsi="Arial" w:cs="Arial"/>
          <w:sz w:val="26"/>
          <w:szCs w:val="26"/>
        </w:rPr>
        <w:t xml:space="preserve"> *********</w:t>
      </w:r>
      <w:r w:rsidR="00637275">
        <w:rPr>
          <w:rFonts w:ascii="Arial" w:hAnsi="Arial" w:cs="Arial"/>
          <w:sz w:val="26"/>
          <w:szCs w:val="26"/>
        </w:rPr>
        <w:t xml:space="preserve">, en su carácter de apoderado legal para pleitos y cobranzas de la persona moral denominada </w:t>
      </w:r>
      <w:r w:rsidR="00160F33">
        <w:rPr>
          <w:rFonts w:ascii="Arial" w:hAnsi="Arial" w:cs="Arial"/>
          <w:sz w:val="26"/>
          <w:szCs w:val="26"/>
        </w:rPr>
        <w:t xml:space="preserve">********* </w:t>
      </w:r>
      <w:r w:rsidR="00C06661" w:rsidRPr="00CB6405">
        <w:rPr>
          <w:rFonts w:ascii="Arial" w:hAnsi="Arial" w:cs="Arial"/>
          <w:sz w:val="26"/>
          <w:szCs w:val="26"/>
        </w:rPr>
        <w:t>en contra de</w:t>
      </w:r>
      <w:bookmarkStart w:id="0" w:name="_Hlk22901911"/>
      <w:r w:rsidR="00E51600">
        <w:rPr>
          <w:rFonts w:ascii="Arial" w:hAnsi="Arial" w:cs="Arial"/>
          <w:sz w:val="26"/>
          <w:szCs w:val="26"/>
        </w:rPr>
        <w:t xml:space="preserve"> la sentencia de</w:t>
      </w:r>
      <w:bookmarkEnd w:id="0"/>
      <w:r w:rsidR="00B80642">
        <w:rPr>
          <w:rFonts w:ascii="Arial" w:hAnsi="Arial" w:cs="Arial"/>
          <w:sz w:val="26"/>
          <w:szCs w:val="26"/>
        </w:rPr>
        <w:t xml:space="preserve"> fecha diecisiete de enero de dos mil diecinueve</w:t>
      </w:r>
      <w:r w:rsidR="00C06661">
        <w:rPr>
          <w:rFonts w:ascii="Arial" w:hAnsi="Arial" w:cs="Arial"/>
          <w:sz w:val="26"/>
          <w:szCs w:val="26"/>
        </w:rPr>
        <w:t>, dictada</w:t>
      </w:r>
      <w:r w:rsidR="00C06661" w:rsidRPr="00CB6405">
        <w:rPr>
          <w:rFonts w:ascii="Arial" w:hAnsi="Arial" w:cs="Arial"/>
          <w:sz w:val="26"/>
          <w:szCs w:val="26"/>
        </w:rPr>
        <w:t xml:space="preserve"> en el expediente </w:t>
      </w:r>
      <w:r w:rsidR="002D3239">
        <w:rPr>
          <w:rFonts w:ascii="Arial" w:hAnsi="Arial" w:cs="Arial"/>
          <w:b/>
          <w:sz w:val="26"/>
          <w:szCs w:val="26"/>
        </w:rPr>
        <w:t>0</w:t>
      </w:r>
      <w:r w:rsidR="00390E48">
        <w:rPr>
          <w:rFonts w:ascii="Arial" w:hAnsi="Arial" w:cs="Arial"/>
          <w:b/>
          <w:sz w:val="26"/>
          <w:szCs w:val="26"/>
        </w:rPr>
        <w:t>494/2016</w:t>
      </w:r>
      <w:r w:rsidR="00C06661" w:rsidRPr="00CB6405">
        <w:rPr>
          <w:rFonts w:ascii="Arial" w:hAnsi="Arial" w:cs="Arial"/>
          <w:sz w:val="26"/>
          <w:szCs w:val="26"/>
        </w:rPr>
        <w:t xml:space="preserve"> de</w:t>
      </w:r>
      <w:r w:rsidR="00A40DD5">
        <w:rPr>
          <w:rFonts w:ascii="Arial" w:hAnsi="Arial" w:cs="Arial"/>
          <w:sz w:val="26"/>
          <w:szCs w:val="26"/>
        </w:rPr>
        <w:t>l índice de</w:t>
      </w:r>
      <w:r w:rsidR="00390E48">
        <w:rPr>
          <w:rFonts w:ascii="Arial" w:hAnsi="Arial" w:cs="Arial"/>
          <w:sz w:val="26"/>
          <w:szCs w:val="26"/>
        </w:rPr>
        <w:t xml:space="preserve"> la Séptima</w:t>
      </w:r>
      <w:r w:rsidR="00A40DD5">
        <w:rPr>
          <w:rFonts w:ascii="Arial" w:hAnsi="Arial" w:cs="Arial"/>
          <w:sz w:val="26"/>
          <w:szCs w:val="26"/>
        </w:rPr>
        <w:t xml:space="preserve"> </w:t>
      </w:r>
      <w:r w:rsidR="00C06661"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390E48">
        <w:rPr>
          <w:rFonts w:ascii="Arial" w:hAnsi="Arial" w:cs="Arial"/>
          <w:b/>
          <w:sz w:val="26"/>
          <w:szCs w:val="26"/>
        </w:rPr>
        <w:t xml:space="preserve"> </w:t>
      </w:r>
      <w:r w:rsidR="00390E48" w:rsidRPr="00696E31">
        <w:rPr>
          <w:rFonts w:ascii="Arial" w:hAnsi="Arial" w:cs="Arial"/>
          <w:sz w:val="26"/>
          <w:szCs w:val="26"/>
        </w:rPr>
        <w:t>el propio recurrente</w:t>
      </w:r>
      <w:r w:rsidR="001E5FC7">
        <w:rPr>
          <w:rFonts w:ascii="Arial" w:hAnsi="Arial" w:cs="Arial"/>
          <w:b/>
          <w:sz w:val="26"/>
          <w:szCs w:val="26"/>
        </w:rPr>
        <w:t>,</w:t>
      </w:r>
      <w:r w:rsidR="006B6D39">
        <w:rPr>
          <w:rFonts w:ascii="Arial" w:hAnsi="Arial" w:cs="Arial"/>
          <w:b/>
          <w:sz w:val="26"/>
          <w:szCs w:val="26"/>
        </w:rPr>
        <w:t xml:space="preserve"> </w:t>
      </w:r>
      <w:r w:rsidR="006B6D39" w:rsidRPr="006B6D39">
        <w:rPr>
          <w:rFonts w:ascii="Arial" w:hAnsi="Arial" w:cs="Arial"/>
          <w:sz w:val="26"/>
          <w:szCs w:val="26"/>
        </w:rPr>
        <w:t>en contra del</w:t>
      </w:r>
      <w:r w:rsidR="006B6D39">
        <w:rPr>
          <w:rFonts w:ascii="Arial" w:hAnsi="Arial" w:cs="Arial"/>
          <w:b/>
          <w:sz w:val="26"/>
          <w:szCs w:val="26"/>
        </w:rPr>
        <w:t xml:space="preserve"> </w:t>
      </w:r>
      <w:r w:rsidR="00B80642">
        <w:rPr>
          <w:rFonts w:ascii="Arial" w:hAnsi="Arial" w:cs="Arial"/>
          <w:b/>
          <w:sz w:val="26"/>
          <w:szCs w:val="26"/>
        </w:rPr>
        <w:t xml:space="preserve">INSTITUTO ESTATAL DE EDUCACIÓN PÚBLICA </w:t>
      </w:r>
      <w:r w:rsidR="00FA302C">
        <w:rPr>
          <w:rFonts w:ascii="Arial" w:hAnsi="Arial" w:cs="Arial"/>
          <w:b/>
          <w:sz w:val="26"/>
          <w:szCs w:val="26"/>
        </w:rPr>
        <w:t>DE OAXACA</w:t>
      </w:r>
      <w:r w:rsidR="00C06661" w:rsidRPr="006B3BEA">
        <w:rPr>
          <w:rFonts w:ascii="Arial" w:hAnsi="Arial" w:cs="Arial"/>
          <w:sz w:val="26"/>
          <w:szCs w:val="26"/>
        </w:rPr>
        <w:t>;</w:t>
      </w:r>
      <w:r w:rsidR="00C06661" w:rsidRPr="00CB6405">
        <w:rPr>
          <w:rFonts w:ascii="Arial" w:hAnsi="Arial" w:cs="Arial"/>
          <w:b/>
          <w:sz w:val="26"/>
          <w:szCs w:val="26"/>
        </w:rPr>
        <w:t xml:space="preserve"> </w:t>
      </w:r>
      <w:r w:rsidR="00FA302C" w:rsidRPr="00CB6405">
        <w:rPr>
          <w:rFonts w:ascii="Arial" w:hAnsi="Arial" w:cs="Arial"/>
          <w:sz w:val="26"/>
          <w:szCs w:val="26"/>
        </w:rPr>
        <w:t>por lo que con fundamento en los artículos 2</w:t>
      </w:r>
      <w:r w:rsidR="00FA302C">
        <w:rPr>
          <w:rFonts w:ascii="Arial" w:hAnsi="Arial" w:cs="Arial"/>
          <w:sz w:val="26"/>
          <w:szCs w:val="26"/>
        </w:rPr>
        <w:t>0</w:t>
      </w:r>
      <w:r w:rsidR="00FA302C" w:rsidRPr="00CB6405">
        <w:rPr>
          <w:rFonts w:ascii="Arial" w:hAnsi="Arial" w:cs="Arial"/>
          <w:sz w:val="26"/>
          <w:szCs w:val="26"/>
        </w:rPr>
        <w:t>7 y 2</w:t>
      </w:r>
      <w:r w:rsidR="00FA302C">
        <w:rPr>
          <w:rFonts w:ascii="Arial" w:hAnsi="Arial" w:cs="Arial"/>
          <w:sz w:val="26"/>
          <w:szCs w:val="26"/>
        </w:rPr>
        <w:t>0</w:t>
      </w:r>
      <w:r w:rsidR="00FA302C" w:rsidRPr="00CB6405">
        <w:rPr>
          <w:rFonts w:ascii="Arial" w:hAnsi="Arial" w:cs="Arial"/>
          <w:sz w:val="26"/>
          <w:szCs w:val="26"/>
        </w:rPr>
        <w:t>8 de la Ley de Justicia Administrativa para el Estado de Oaxaca,</w:t>
      </w:r>
      <w:r w:rsidR="00FA302C">
        <w:rPr>
          <w:rFonts w:ascii="Arial" w:hAnsi="Arial" w:cs="Arial"/>
          <w:sz w:val="26"/>
          <w:szCs w:val="26"/>
        </w:rPr>
        <w:t xml:space="preserve"> aplicable por ser la que se encontraba vigente al inicio del juicio natu</w:t>
      </w:r>
      <w:r w:rsidR="00AB7A20">
        <w:rPr>
          <w:rFonts w:ascii="Arial" w:hAnsi="Arial" w:cs="Arial"/>
          <w:sz w:val="26"/>
          <w:szCs w:val="26"/>
        </w:rPr>
        <w:t xml:space="preserve">ral en el mes de </w:t>
      </w:r>
      <w:r w:rsidR="00B80642">
        <w:rPr>
          <w:rFonts w:ascii="Arial" w:hAnsi="Arial" w:cs="Arial"/>
          <w:sz w:val="26"/>
          <w:szCs w:val="26"/>
        </w:rPr>
        <w:t xml:space="preserve">noviembre </w:t>
      </w:r>
      <w:r w:rsidR="00AB7A20">
        <w:rPr>
          <w:rFonts w:ascii="Arial" w:hAnsi="Arial" w:cs="Arial"/>
          <w:sz w:val="26"/>
          <w:szCs w:val="26"/>
        </w:rPr>
        <w:t>de</w:t>
      </w:r>
      <w:r w:rsidR="00FA302C" w:rsidRPr="00CB6405">
        <w:rPr>
          <w:rFonts w:ascii="Arial" w:hAnsi="Arial" w:cs="Arial"/>
          <w:sz w:val="26"/>
          <w:szCs w:val="26"/>
        </w:rPr>
        <w:t xml:space="preserve"> </w:t>
      </w:r>
      <w:r w:rsidR="00FA302C">
        <w:rPr>
          <w:rFonts w:ascii="Arial" w:hAnsi="Arial" w:cs="Arial"/>
          <w:sz w:val="26"/>
          <w:szCs w:val="26"/>
        </w:rPr>
        <w:t>dos mil</w:t>
      </w:r>
      <w:r w:rsidR="00304F82">
        <w:rPr>
          <w:rFonts w:ascii="Arial" w:hAnsi="Arial" w:cs="Arial"/>
          <w:sz w:val="26"/>
          <w:szCs w:val="26"/>
        </w:rPr>
        <w:t xml:space="preserve"> dieciséis</w:t>
      </w:r>
      <w:r w:rsidR="00FA302C">
        <w:rPr>
          <w:rFonts w:ascii="Arial" w:hAnsi="Arial" w:cs="Arial"/>
          <w:sz w:val="26"/>
          <w:szCs w:val="26"/>
        </w:rPr>
        <w:t xml:space="preserve">, </w:t>
      </w:r>
      <w:r w:rsidR="00FA302C" w:rsidRPr="00CB6405">
        <w:rPr>
          <w:rFonts w:ascii="Arial" w:hAnsi="Arial" w:cs="Arial"/>
          <w:sz w:val="26"/>
          <w:szCs w:val="26"/>
        </w:rPr>
        <w:t>se admite.</w:t>
      </w:r>
      <w:r w:rsidR="00FA302C">
        <w:rPr>
          <w:rFonts w:ascii="Arial" w:hAnsi="Arial" w:cs="Arial"/>
          <w:sz w:val="26"/>
          <w:szCs w:val="26"/>
        </w:rPr>
        <w:t xml:space="preserve"> Por consiguiente</w:t>
      </w:r>
      <w:r w:rsidR="00FA302C" w:rsidRPr="00CB6405">
        <w:rPr>
          <w:rFonts w:ascii="Arial" w:hAnsi="Arial" w:cs="Arial"/>
          <w:sz w:val="26"/>
          <w:szCs w:val="26"/>
        </w:rPr>
        <w:t>, se procede a dictar resolución en los siguientes términos:</w:t>
      </w:r>
    </w:p>
    <w:p w:rsidR="00C06661" w:rsidRPr="00CB6405" w:rsidRDefault="00C06661" w:rsidP="00994A85">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C7B6E" w:rsidRPr="00CB6405" w:rsidRDefault="00C06661" w:rsidP="002C7B6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w:t>
      </w:r>
      <w:r w:rsidR="0042585D">
        <w:rPr>
          <w:rFonts w:ascii="Arial" w:hAnsi="Arial" w:cs="Arial"/>
          <w:sz w:val="26"/>
          <w:szCs w:val="26"/>
        </w:rPr>
        <w:t xml:space="preserve"> de </w:t>
      </w:r>
      <w:r w:rsidR="007E38E7">
        <w:rPr>
          <w:rFonts w:ascii="Arial" w:hAnsi="Arial" w:cs="Arial"/>
          <w:sz w:val="26"/>
          <w:szCs w:val="26"/>
        </w:rPr>
        <w:t xml:space="preserve">fecha diecisiete de enero </w:t>
      </w:r>
      <w:r w:rsidR="00FA302C">
        <w:rPr>
          <w:rFonts w:ascii="Arial" w:hAnsi="Arial" w:cs="Arial"/>
          <w:sz w:val="26"/>
          <w:szCs w:val="26"/>
        </w:rPr>
        <w:t xml:space="preserve">de </w:t>
      </w:r>
      <w:r w:rsidR="00FA302C" w:rsidRPr="00CB6405">
        <w:rPr>
          <w:rFonts w:ascii="Arial" w:hAnsi="Arial" w:cs="Arial"/>
          <w:sz w:val="26"/>
          <w:szCs w:val="26"/>
        </w:rPr>
        <w:t>dos mil dieci</w:t>
      </w:r>
      <w:r w:rsidR="007E38E7">
        <w:rPr>
          <w:rFonts w:ascii="Arial" w:hAnsi="Arial" w:cs="Arial"/>
          <w:sz w:val="26"/>
          <w:szCs w:val="26"/>
        </w:rPr>
        <w:t>nueve</w:t>
      </w:r>
      <w:r w:rsidR="00FA302C">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7E38E7">
        <w:rPr>
          <w:rFonts w:ascii="Arial" w:hAnsi="Arial" w:cs="Arial"/>
          <w:sz w:val="26"/>
          <w:szCs w:val="26"/>
        </w:rPr>
        <w:t xml:space="preserve">Séptima </w:t>
      </w:r>
      <w:r w:rsidRPr="00CB6405">
        <w:rPr>
          <w:rFonts w:ascii="Arial" w:hAnsi="Arial" w:cs="Arial"/>
          <w:sz w:val="26"/>
          <w:szCs w:val="26"/>
        </w:rPr>
        <w:t xml:space="preserve">Sala Unitaria de Primera Instancia, </w:t>
      </w:r>
      <w:r w:rsidR="003924CC">
        <w:rPr>
          <w:rFonts w:ascii="Arial" w:hAnsi="Arial" w:cs="Arial"/>
          <w:sz w:val="26"/>
          <w:szCs w:val="26"/>
        </w:rPr>
        <w:t>el apoderado legal de la empresa</w:t>
      </w:r>
      <w:r w:rsidR="00160F33">
        <w:rPr>
          <w:rFonts w:ascii="Arial" w:hAnsi="Arial" w:cs="Arial"/>
          <w:sz w:val="26"/>
          <w:szCs w:val="26"/>
        </w:rPr>
        <w:t xml:space="preserve"> **********</w:t>
      </w:r>
      <w:r w:rsidR="00AF5538">
        <w:rPr>
          <w:rFonts w:ascii="Arial" w:hAnsi="Arial" w:cs="Arial"/>
          <w:b/>
          <w:sz w:val="26"/>
          <w:szCs w:val="26"/>
        </w:rPr>
        <w:t xml:space="preserve"> </w:t>
      </w:r>
      <w:r w:rsidRPr="00CB6405">
        <w:rPr>
          <w:rFonts w:ascii="Arial" w:hAnsi="Arial" w:cs="Arial"/>
          <w:sz w:val="26"/>
          <w:szCs w:val="26"/>
        </w:rPr>
        <w:t>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B80642" w:rsidRPr="00C977E3" w:rsidRDefault="00B80642" w:rsidP="00B80642">
      <w:pPr>
        <w:spacing w:after="0" w:line="360" w:lineRule="auto"/>
        <w:ind w:left="567" w:right="333"/>
        <w:jc w:val="both"/>
        <w:rPr>
          <w:rFonts w:ascii="Arial" w:hAnsi="Arial" w:cs="Arial"/>
          <w:bCs/>
          <w:i/>
          <w:szCs w:val="24"/>
        </w:rPr>
      </w:pPr>
      <w:r w:rsidRPr="00C977E3">
        <w:rPr>
          <w:rFonts w:ascii="Arial" w:hAnsi="Arial" w:cs="Arial"/>
          <w:bCs/>
          <w:i/>
          <w:szCs w:val="24"/>
        </w:rPr>
        <w:t>“</w:t>
      </w:r>
      <w:r w:rsidRPr="00C977E3">
        <w:rPr>
          <w:rFonts w:ascii="Arial" w:hAnsi="Arial" w:cs="Arial"/>
          <w:b/>
          <w:bCs/>
          <w:i/>
          <w:szCs w:val="24"/>
        </w:rPr>
        <w:t>PRIMERO. -</w:t>
      </w:r>
      <w:r w:rsidRPr="00C977E3">
        <w:rPr>
          <w:rFonts w:ascii="Arial" w:hAnsi="Arial" w:cs="Arial"/>
          <w:bCs/>
          <w:i/>
          <w:szCs w:val="24"/>
        </w:rPr>
        <w:t xml:space="preserve"> Esta Séptima Sala de Primera Instancia del Tribunal de Justicia Administrativa del Estado de Oaxaca, es legalmente competente para conocer y resolver del presente Juicio de Nulidad. </w:t>
      </w:r>
      <w:r w:rsidR="00C977E3">
        <w:rPr>
          <w:rFonts w:ascii="Arial" w:hAnsi="Arial" w:cs="Arial"/>
          <w:bCs/>
          <w:i/>
          <w:szCs w:val="24"/>
        </w:rPr>
        <w:t>- - - - - - - - - - - - - - -</w:t>
      </w:r>
    </w:p>
    <w:p w:rsidR="00B80642" w:rsidRPr="00C977E3" w:rsidRDefault="00B80642" w:rsidP="00B80642">
      <w:pPr>
        <w:spacing w:after="0" w:line="360" w:lineRule="auto"/>
        <w:ind w:left="567" w:right="333"/>
        <w:jc w:val="both"/>
        <w:rPr>
          <w:rFonts w:ascii="Arial" w:hAnsi="Arial" w:cs="Arial"/>
          <w:bCs/>
          <w:i/>
          <w:szCs w:val="24"/>
        </w:rPr>
      </w:pPr>
      <w:r w:rsidRPr="00C977E3">
        <w:rPr>
          <w:rFonts w:ascii="Arial" w:hAnsi="Arial" w:cs="Arial"/>
          <w:bCs/>
          <w:i/>
          <w:szCs w:val="24"/>
        </w:rPr>
        <w:t xml:space="preserve">     </w:t>
      </w:r>
      <w:r w:rsidRPr="00C977E3">
        <w:rPr>
          <w:rFonts w:ascii="Arial" w:hAnsi="Arial" w:cs="Arial"/>
          <w:b/>
          <w:bCs/>
          <w:i/>
          <w:szCs w:val="24"/>
        </w:rPr>
        <w:t>SEGUNDO. -</w:t>
      </w:r>
      <w:r w:rsidRPr="00C977E3">
        <w:rPr>
          <w:rFonts w:ascii="Arial" w:hAnsi="Arial" w:cs="Arial"/>
          <w:bCs/>
          <w:i/>
          <w:szCs w:val="24"/>
        </w:rPr>
        <w:t xml:space="preserve"> Se actualizo la causal de IMPROCEDENCIA prevista en la fracción VII del artículo 131 de la Ley de Justicia Administrativa para el </w:t>
      </w:r>
      <w:r w:rsidRPr="00C977E3">
        <w:rPr>
          <w:rFonts w:ascii="Arial" w:hAnsi="Arial" w:cs="Arial"/>
          <w:bCs/>
          <w:i/>
          <w:szCs w:val="24"/>
        </w:rPr>
        <w:lastRenderedPageBreak/>
        <w:t xml:space="preserve">Estado de Oaxaca, y como consecuencia SE SOBRESEE EL JUICIO, en términos del considerando QUINTO de esta resolución. </w:t>
      </w:r>
      <w:r w:rsidR="00C977E3">
        <w:rPr>
          <w:rFonts w:ascii="Arial" w:hAnsi="Arial" w:cs="Arial"/>
          <w:bCs/>
          <w:i/>
          <w:szCs w:val="24"/>
        </w:rPr>
        <w:t>- - - - - - - - - - - - - -</w:t>
      </w:r>
    </w:p>
    <w:p w:rsidR="00AE398D" w:rsidRDefault="00B80642" w:rsidP="00B80642">
      <w:pPr>
        <w:spacing w:after="0" w:line="360" w:lineRule="auto"/>
        <w:ind w:left="567" w:right="333"/>
        <w:jc w:val="both"/>
        <w:rPr>
          <w:rFonts w:ascii="Arial" w:hAnsi="Arial" w:cs="Arial"/>
          <w:bCs/>
          <w:i/>
          <w:szCs w:val="24"/>
        </w:rPr>
      </w:pPr>
      <w:r w:rsidRPr="00C977E3">
        <w:rPr>
          <w:rFonts w:ascii="Arial" w:hAnsi="Arial" w:cs="Arial"/>
          <w:bCs/>
          <w:i/>
          <w:szCs w:val="24"/>
        </w:rPr>
        <w:t xml:space="preserve">       </w:t>
      </w:r>
    </w:p>
    <w:p w:rsidR="00DA3538" w:rsidRDefault="00B80642" w:rsidP="00B80642">
      <w:pPr>
        <w:spacing w:after="0" w:line="360" w:lineRule="auto"/>
        <w:ind w:left="567" w:right="333"/>
        <w:jc w:val="both"/>
        <w:rPr>
          <w:rFonts w:ascii="Arial" w:hAnsi="Arial" w:cs="Arial"/>
          <w:bCs/>
          <w:i/>
          <w:szCs w:val="24"/>
        </w:rPr>
      </w:pPr>
      <w:r w:rsidRPr="00C977E3">
        <w:rPr>
          <w:rFonts w:ascii="Arial" w:hAnsi="Arial" w:cs="Arial"/>
          <w:b/>
          <w:bCs/>
          <w:i/>
          <w:szCs w:val="24"/>
        </w:rPr>
        <w:t>TERCERO. -</w:t>
      </w:r>
      <w:r w:rsidRPr="00C977E3">
        <w:rPr>
          <w:rFonts w:ascii="Arial" w:hAnsi="Arial" w:cs="Arial"/>
          <w:bCs/>
          <w:i/>
          <w:szCs w:val="24"/>
        </w:rPr>
        <w:t xml:space="preserve"> Conforme a lo dispuesto en el artículo 142 fracción I y 143 fracciones I y II, de la Ley de Justicia Administrativa para el Estado, NOTIFÍQUESE PERSONALMENTE A LA PARTE ACTORA Y POR OFICIO A LA AUTORIDAD DEMANDADA. CÚMPLASE. - - - - </w:t>
      </w:r>
      <w:r w:rsidR="00C977E3">
        <w:rPr>
          <w:rFonts w:ascii="Arial" w:hAnsi="Arial" w:cs="Arial"/>
          <w:bCs/>
          <w:i/>
          <w:szCs w:val="24"/>
        </w:rPr>
        <w:t>- - - - - - - - - - - - - - -“</w:t>
      </w:r>
    </w:p>
    <w:p w:rsidR="00AE398D" w:rsidRPr="00C977E3" w:rsidRDefault="00AE398D" w:rsidP="00B80642">
      <w:pPr>
        <w:spacing w:after="0" w:line="360" w:lineRule="auto"/>
        <w:ind w:left="567" w:right="333"/>
        <w:jc w:val="both"/>
        <w:rPr>
          <w:rFonts w:ascii="Arial" w:hAnsi="Arial" w:cs="Arial"/>
          <w:bCs/>
          <w:i/>
          <w:szCs w:val="24"/>
        </w:rPr>
      </w:pP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AE398D" w:rsidRDefault="00130877" w:rsidP="00015E75">
      <w:pPr>
        <w:spacing w:before="240" w:line="360" w:lineRule="auto"/>
        <w:ind w:firstLine="708"/>
        <w:jc w:val="both"/>
        <w:rPr>
          <w:rFonts w:ascii="Arial" w:hAnsi="Arial" w:cs="Arial"/>
          <w:b/>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383AA4" w:rsidRPr="00624207">
        <w:rPr>
          <w:rFonts w:ascii="Arial" w:hAnsi="Arial" w:cs="Arial"/>
          <w:bCs/>
          <w:iCs/>
          <w:sz w:val="26"/>
          <w:szCs w:val="26"/>
        </w:rPr>
        <w:t xml:space="preserve">QUÁTER </w:t>
      </w:r>
      <w:r w:rsidRPr="00624207">
        <w:rPr>
          <w:rFonts w:ascii="Arial" w:hAnsi="Arial" w:cs="Arial"/>
          <w:bCs/>
          <w:iCs/>
          <w:sz w:val="26"/>
          <w:szCs w:val="26"/>
        </w:rPr>
        <w:t>de la Constitución Política del Estado Libre y Soberano de Oaxaca;</w:t>
      </w:r>
      <w:r w:rsidR="0091344E">
        <w:rPr>
          <w:rFonts w:ascii="Arial" w:hAnsi="Arial" w:cs="Arial"/>
          <w:bCs/>
          <w:iCs/>
          <w:sz w:val="26"/>
          <w:szCs w:val="26"/>
        </w:rPr>
        <w:t xml:space="preserve"> </w:t>
      </w:r>
      <w:r w:rsidR="006F63DF">
        <w:rPr>
          <w:rFonts w:ascii="Arial" w:hAnsi="Arial" w:cs="Arial"/>
          <w:bCs/>
          <w:iCs/>
          <w:sz w:val="26"/>
          <w:szCs w:val="26"/>
        </w:rPr>
        <w:t>artículo 1, párrafo segundo, artículo 2, párrafos primero y cuarto, artículo 4, fracción VIII</w:t>
      </w:r>
      <w:r w:rsidR="0091344E">
        <w:rPr>
          <w:rFonts w:ascii="Arial" w:hAnsi="Arial" w:cs="Arial"/>
          <w:bCs/>
          <w:iCs/>
          <w:sz w:val="26"/>
          <w:szCs w:val="26"/>
        </w:rPr>
        <w:t>,</w:t>
      </w:r>
      <w:r w:rsidRPr="00624207">
        <w:rPr>
          <w:rFonts w:ascii="Arial" w:hAnsi="Arial" w:cs="Arial"/>
          <w:bCs/>
          <w:iCs/>
          <w:sz w:val="26"/>
          <w:szCs w:val="26"/>
          <w:lang w:eastAsia="es-ES"/>
        </w:rPr>
        <w:t xml:space="preserve"> </w:t>
      </w:r>
      <w:r w:rsidR="009B667B">
        <w:rPr>
          <w:rFonts w:ascii="Arial" w:hAnsi="Arial" w:cs="Arial"/>
          <w:bCs/>
          <w:iCs/>
          <w:sz w:val="26"/>
          <w:szCs w:val="26"/>
          <w:lang w:eastAsia="es-ES"/>
        </w:rPr>
        <w:t xml:space="preserve">23, 24 fracción I, </w:t>
      </w:r>
      <w:r w:rsidR="00B37EF4">
        <w:rPr>
          <w:rFonts w:ascii="Arial" w:hAnsi="Arial" w:cs="Arial"/>
          <w:bCs/>
          <w:iCs/>
          <w:sz w:val="26"/>
          <w:szCs w:val="26"/>
          <w:lang w:eastAsia="es-ES"/>
        </w:rPr>
        <w:t>25 fracción I y</w:t>
      </w:r>
      <w:r w:rsidR="00DA4782">
        <w:rPr>
          <w:rFonts w:ascii="Arial" w:hAnsi="Arial" w:cs="Arial"/>
          <w:bCs/>
          <w:iCs/>
          <w:sz w:val="26"/>
          <w:szCs w:val="26"/>
          <w:lang w:eastAsia="es-ES"/>
        </w:rPr>
        <w:t xml:space="preserve"> </w:t>
      </w:r>
      <w:r w:rsidR="00383AA4">
        <w:rPr>
          <w:rFonts w:ascii="Arial" w:hAnsi="Arial" w:cs="Arial"/>
          <w:bCs/>
          <w:iCs/>
          <w:sz w:val="26"/>
          <w:szCs w:val="26"/>
          <w:lang w:eastAsia="es-ES"/>
        </w:rPr>
        <w:t xml:space="preserve">27 de la Ley Orgánica del Tribunal de </w:t>
      </w:r>
      <w:r w:rsidR="00383AA4" w:rsidRPr="00624207">
        <w:rPr>
          <w:rFonts w:ascii="Arial" w:hAnsi="Arial" w:cs="Arial"/>
          <w:bCs/>
          <w:iCs/>
          <w:sz w:val="26"/>
          <w:szCs w:val="26"/>
        </w:rPr>
        <w:t>Ju</w:t>
      </w:r>
      <w:r w:rsidR="00383AA4">
        <w:rPr>
          <w:rFonts w:ascii="Arial" w:hAnsi="Arial" w:cs="Arial"/>
          <w:bCs/>
          <w:iCs/>
          <w:sz w:val="26"/>
          <w:szCs w:val="26"/>
        </w:rPr>
        <w:t>sticia Administrativa de</w:t>
      </w:r>
      <w:r w:rsidR="00383AA4" w:rsidRPr="00624207">
        <w:rPr>
          <w:rFonts w:ascii="Arial" w:hAnsi="Arial" w:cs="Arial"/>
          <w:bCs/>
          <w:iCs/>
          <w:sz w:val="26"/>
          <w:szCs w:val="26"/>
        </w:rPr>
        <w:t>l Estado de Oaxaca</w:t>
      </w:r>
      <w:r w:rsidR="00383AA4">
        <w:rPr>
          <w:rFonts w:ascii="Arial" w:hAnsi="Arial" w:cs="Arial"/>
          <w:bCs/>
          <w:iCs/>
          <w:sz w:val="26"/>
          <w:szCs w:val="26"/>
        </w:rPr>
        <w:t xml:space="preserve">, publicada en el Periódico Oficial del Estado </w:t>
      </w:r>
      <w:r w:rsidR="00383AA4" w:rsidRPr="00624207">
        <w:rPr>
          <w:rFonts w:ascii="Arial" w:hAnsi="Arial" w:cs="Arial"/>
          <w:bCs/>
          <w:iCs/>
          <w:sz w:val="26"/>
          <w:szCs w:val="26"/>
        </w:rPr>
        <w:t>de Oaxaca</w:t>
      </w:r>
      <w:r w:rsidR="00383AA4">
        <w:rPr>
          <w:rFonts w:ascii="Arial" w:hAnsi="Arial" w:cs="Arial"/>
          <w:bCs/>
          <w:iCs/>
          <w:sz w:val="26"/>
          <w:szCs w:val="26"/>
        </w:rPr>
        <w:t xml:space="preserve"> el siete de noviembre de dos mil diecinueve; </w:t>
      </w:r>
      <w:r w:rsidRPr="00624207">
        <w:rPr>
          <w:rFonts w:ascii="Arial" w:hAnsi="Arial" w:cs="Arial"/>
          <w:bCs/>
          <w:iCs/>
          <w:sz w:val="26"/>
          <w:szCs w:val="26"/>
          <w:lang w:eastAsia="es-ES"/>
        </w:rPr>
        <w:t xml:space="preserve">86, 88, 92, 93 fracción I, 94, 201, 206 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 </w:t>
      </w:r>
      <w:r w:rsidR="00AF5538">
        <w:rPr>
          <w:rFonts w:ascii="Arial" w:hAnsi="Arial" w:cs="Arial"/>
          <w:bCs/>
          <w:iCs/>
          <w:sz w:val="26"/>
          <w:szCs w:val="26"/>
        </w:rPr>
        <w:t xml:space="preserve">noviembre </w:t>
      </w:r>
      <w:r w:rsidR="00B37EF4">
        <w:rPr>
          <w:rFonts w:ascii="Arial" w:hAnsi="Arial" w:cs="Arial"/>
          <w:bCs/>
          <w:iCs/>
          <w:sz w:val="26"/>
          <w:szCs w:val="26"/>
        </w:rPr>
        <w:t xml:space="preserve">de </w:t>
      </w:r>
      <w:r w:rsidRPr="00624207">
        <w:rPr>
          <w:rFonts w:ascii="Arial" w:hAnsi="Arial" w:cs="Arial"/>
          <w:bCs/>
          <w:iCs/>
          <w:sz w:val="26"/>
          <w:szCs w:val="26"/>
        </w:rPr>
        <w:t>dos mil</w:t>
      </w:r>
      <w:r w:rsidR="00624207">
        <w:rPr>
          <w:rFonts w:ascii="Arial" w:hAnsi="Arial" w:cs="Arial"/>
          <w:bCs/>
          <w:iCs/>
          <w:sz w:val="26"/>
          <w:szCs w:val="26"/>
        </w:rPr>
        <w:t xml:space="preserve"> diecisiete, al tratarse de un recurso de r</w:t>
      </w:r>
      <w:r w:rsidRPr="00624207">
        <w:rPr>
          <w:rFonts w:ascii="Arial" w:hAnsi="Arial" w:cs="Arial"/>
          <w:bCs/>
          <w:iCs/>
          <w:sz w:val="26"/>
          <w:szCs w:val="26"/>
        </w:rPr>
        <w:t xml:space="preserve">evisión interpuesto en contra de la sentencia de </w:t>
      </w:r>
      <w:r w:rsidR="00383AA4">
        <w:rPr>
          <w:rFonts w:ascii="Arial" w:hAnsi="Arial" w:cs="Arial"/>
          <w:bCs/>
          <w:iCs/>
          <w:sz w:val="26"/>
          <w:szCs w:val="26"/>
        </w:rPr>
        <w:t>fecha</w:t>
      </w:r>
      <w:r w:rsidR="00AF5538">
        <w:rPr>
          <w:rFonts w:ascii="Arial" w:hAnsi="Arial" w:cs="Arial"/>
          <w:bCs/>
          <w:iCs/>
          <w:sz w:val="26"/>
          <w:szCs w:val="26"/>
        </w:rPr>
        <w:t xml:space="preserve"> </w:t>
      </w:r>
      <w:r w:rsidR="00AF5538">
        <w:rPr>
          <w:rFonts w:ascii="Arial" w:hAnsi="Arial" w:cs="Arial"/>
          <w:sz w:val="26"/>
          <w:szCs w:val="26"/>
        </w:rPr>
        <w:t xml:space="preserve">diecisiete de enero de dos mil diecinueve, </w:t>
      </w:r>
      <w:r w:rsidR="00624207">
        <w:rPr>
          <w:rFonts w:ascii="Arial" w:hAnsi="Arial" w:cs="Arial"/>
          <w:bCs/>
          <w:iCs/>
          <w:sz w:val="26"/>
          <w:szCs w:val="26"/>
        </w:rPr>
        <w:t xml:space="preserve">dictada por la </w:t>
      </w:r>
      <w:r w:rsidR="00304F82">
        <w:rPr>
          <w:rFonts w:ascii="Arial" w:hAnsi="Arial" w:cs="Arial"/>
          <w:bCs/>
          <w:iCs/>
          <w:sz w:val="26"/>
          <w:szCs w:val="26"/>
        </w:rPr>
        <w:t xml:space="preserve">Séptima </w:t>
      </w:r>
      <w:r w:rsidRPr="00624207">
        <w:rPr>
          <w:rFonts w:ascii="Arial" w:hAnsi="Arial" w:cs="Arial"/>
          <w:bCs/>
          <w:iCs/>
          <w:sz w:val="26"/>
          <w:szCs w:val="26"/>
        </w:rPr>
        <w:t xml:space="preserve">Sala Unitaria de Primera Instancia de este Tribunal, en el expediente </w:t>
      </w:r>
      <w:r w:rsidR="00304F82">
        <w:rPr>
          <w:rFonts w:ascii="Arial" w:hAnsi="Arial" w:cs="Arial"/>
          <w:b/>
          <w:bCs/>
          <w:iCs/>
          <w:sz w:val="26"/>
          <w:szCs w:val="26"/>
        </w:rPr>
        <w:t>0494</w:t>
      </w:r>
      <w:r w:rsidRPr="00C36C68">
        <w:rPr>
          <w:rFonts w:ascii="Arial" w:hAnsi="Arial" w:cs="Arial"/>
          <w:b/>
          <w:iCs/>
          <w:sz w:val="26"/>
          <w:szCs w:val="26"/>
        </w:rPr>
        <w:t>/</w:t>
      </w:r>
      <w:r w:rsidR="00304F82">
        <w:rPr>
          <w:rFonts w:ascii="Arial" w:hAnsi="Arial" w:cs="Arial"/>
          <w:b/>
          <w:iCs/>
          <w:sz w:val="26"/>
          <w:szCs w:val="26"/>
        </w:rPr>
        <w:t>2016</w:t>
      </w:r>
      <w:r w:rsidRPr="00624207">
        <w:rPr>
          <w:rFonts w:ascii="Arial" w:hAnsi="Arial" w:cs="Arial"/>
          <w:b/>
          <w:iCs/>
          <w:sz w:val="26"/>
          <w:szCs w:val="26"/>
        </w:rPr>
        <w:t>.</w:t>
      </w:r>
    </w:p>
    <w:p w:rsidR="00015E75" w:rsidRPr="00AE398D" w:rsidRDefault="00015E75" w:rsidP="00015E75">
      <w:pPr>
        <w:spacing w:before="240" w:line="360" w:lineRule="auto"/>
        <w:ind w:firstLine="708"/>
        <w:jc w:val="both"/>
        <w:rPr>
          <w:rFonts w:ascii="Arial" w:hAnsi="Arial" w:cs="Arial"/>
          <w:b/>
          <w:iCs/>
          <w:sz w:val="26"/>
          <w:szCs w:val="26"/>
        </w:rPr>
      </w:pPr>
    </w:p>
    <w:p w:rsidR="002C7B6E" w:rsidRDefault="00712FE1" w:rsidP="00015E75">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AE398D" w:rsidRDefault="00712FE1" w:rsidP="00AE398D">
      <w:pPr>
        <w:widowControl w:val="0"/>
        <w:tabs>
          <w:tab w:val="left" w:pos="7938"/>
        </w:tabs>
        <w:spacing w:after="0" w:line="360" w:lineRule="auto"/>
        <w:ind w:right="18" w:firstLine="709"/>
        <w:jc w:val="both"/>
        <w:rPr>
          <w:rFonts w:ascii="Arial" w:hAnsi="Arial" w:cs="Arial"/>
          <w:bCs/>
          <w:color w:val="000000"/>
          <w:sz w:val="26"/>
          <w:szCs w:val="26"/>
          <w:lang w:val="es-MX"/>
        </w:rPr>
      </w:pPr>
      <w:r>
        <w:rPr>
          <w:rFonts w:ascii="Arial" w:hAnsi="Arial" w:cs="Arial"/>
          <w:sz w:val="26"/>
          <w:szCs w:val="26"/>
        </w:rPr>
        <w:t>En apoyo a lo anterior, se invoca la t</w:t>
      </w:r>
      <w:r>
        <w:rPr>
          <w:rFonts w:ascii="Arial" w:hAnsi="Arial" w:cs="Arial"/>
          <w:bCs/>
          <w:color w:val="000000"/>
          <w:sz w:val="26"/>
          <w:szCs w:val="26"/>
          <w:lang w:val="es-MX"/>
        </w:rPr>
        <w:t>esis emitida por los Tribunales Colegiados de Circuito, con número de registro 254280, publicada en la Gaceta del Semanario Judicial de la Federación, Volumen 81, Sexta Parte, Séptima Época, pagina 23, bajo el rubro y texto siguiente:</w:t>
      </w:r>
    </w:p>
    <w:p w:rsidR="002C7B6E" w:rsidRPr="00AE398D" w:rsidRDefault="002C7B6E" w:rsidP="00AE398D">
      <w:pPr>
        <w:widowControl w:val="0"/>
        <w:tabs>
          <w:tab w:val="left" w:pos="7938"/>
        </w:tabs>
        <w:spacing w:after="0" w:line="360" w:lineRule="auto"/>
        <w:ind w:right="18" w:firstLine="709"/>
        <w:jc w:val="both"/>
        <w:rPr>
          <w:rFonts w:ascii="Arial" w:hAnsi="Arial" w:cs="Arial"/>
          <w:bCs/>
          <w:color w:val="000000"/>
          <w:sz w:val="26"/>
          <w:szCs w:val="26"/>
          <w:lang w:val="es-MX"/>
        </w:rPr>
      </w:pPr>
    </w:p>
    <w:p w:rsidR="00712FE1" w:rsidRDefault="00712FE1" w:rsidP="00712FE1">
      <w:pPr>
        <w:widowControl w:val="0"/>
        <w:tabs>
          <w:tab w:val="left" w:pos="7938"/>
        </w:tabs>
        <w:spacing w:after="0" w:line="360" w:lineRule="auto"/>
        <w:ind w:right="18" w:firstLine="709"/>
        <w:jc w:val="both"/>
        <w:rPr>
          <w:rFonts w:ascii="Arial" w:hAnsi="Arial" w:cs="Arial"/>
          <w:sz w:val="26"/>
          <w:szCs w:val="26"/>
        </w:rPr>
      </w:pPr>
    </w:p>
    <w:p w:rsidR="00015E75" w:rsidRDefault="00015E75" w:rsidP="00712FE1">
      <w:pPr>
        <w:widowControl w:val="0"/>
        <w:tabs>
          <w:tab w:val="left" w:pos="7938"/>
        </w:tabs>
        <w:spacing w:after="0" w:line="360" w:lineRule="auto"/>
        <w:ind w:right="18" w:firstLine="709"/>
        <w:jc w:val="both"/>
        <w:rPr>
          <w:rFonts w:ascii="Arial" w:hAnsi="Arial" w:cs="Arial"/>
          <w:sz w:val="26"/>
          <w:szCs w:val="26"/>
        </w:rPr>
      </w:pPr>
    </w:p>
    <w:p w:rsidR="00712FE1" w:rsidRDefault="00712FE1" w:rsidP="00C977E3">
      <w:pPr>
        <w:spacing w:line="240" w:lineRule="auto"/>
        <w:ind w:left="1134" w:right="900"/>
        <w:jc w:val="both"/>
        <w:rPr>
          <w:rFonts w:ascii="Arial" w:eastAsia="Times New Roman" w:hAnsi="Arial" w:cs="Arial"/>
          <w:szCs w:val="26"/>
          <w:lang w:val="es-MX" w:eastAsia="es-MX"/>
        </w:rPr>
      </w:pPr>
      <w:r w:rsidRPr="00C977E3">
        <w:rPr>
          <w:rFonts w:ascii="Arial" w:eastAsia="Times New Roman" w:hAnsi="Arial" w:cs="Arial"/>
          <w:b/>
          <w:bCs/>
          <w:szCs w:val="26"/>
          <w:lang w:val="es-MX" w:eastAsia="es-MX"/>
        </w:rPr>
        <w:lastRenderedPageBreak/>
        <w:t>“</w:t>
      </w:r>
      <w:r w:rsidRPr="00C977E3">
        <w:rPr>
          <w:rFonts w:ascii="Arial" w:eastAsia="Times New Roman" w:hAnsi="Arial" w:cs="Arial"/>
          <w:b/>
          <w:i/>
          <w:szCs w:val="26"/>
          <w:lang w:val="es-MX" w:eastAsia="es-MX"/>
        </w:rPr>
        <w:t xml:space="preserve">CONCEPTOS DE VIOLACIÓN. NO ES OBLIGATORIO TRANSCRIBIRLOS EN LA SENTENCIA. </w:t>
      </w:r>
      <w:r w:rsidRPr="00C977E3">
        <w:rPr>
          <w:rFonts w:ascii="Arial" w:eastAsia="Times New Roman" w:hAnsi="Arial" w:cs="Arial"/>
          <w:i/>
          <w:szCs w:val="26"/>
          <w:lang w:val="es-MX" w:eastAsia="es-MX"/>
        </w:rPr>
        <w:t>Aun cuando sea verdad que el juzgador no transcriba en su integridad los conceptos de violación externados por la quejosa en su demanda de garantías, a pesar de indicarlo así en su sentencia, también lo </w:t>
      </w:r>
      <w:r w:rsidRPr="00C977E3">
        <w:rPr>
          <w:rFonts w:ascii="Arial" w:eastAsia="Times New Roman" w:hAnsi="Arial" w:cs="Arial"/>
          <w:bCs/>
          <w:i/>
          <w:szCs w:val="26"/>
          <w:bdr w:val="none" w:sz="0" w:space="0" w:color="auto" w:frame="1"/>
          <w:lang w:val="es-MX" w:eastAsia="es-MX"/>
        </w:rPr>
        <w:t>es</w:t>
      </w:r>
      <w:r w:rsidRPr="00C977E3">
        <w:rPr>
          <w:rFonts w:ascii="Arial" w:eastAsia="Times New Roman" w:hAnsi="Arial" w:cs="Arial"/>
          <w:i/>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977E3">
        <w:rPr>
          <w:rFonts w:ascii="Arial" w:eastAsia="Times New Roman" w:hAnsi="Arial" w:cs="Arial"/>
          <w:szCs w:val="26"/>
          <w:lang w:val="es-MX" w:eastAsia="es-MX"/>
        </w:rPr>
        <w:t>(sic).”</w:t>
      </w:r>
    </w:p>
    <w:p w:rsidR="00AE398D" w:rsidRPr="00C977E3" w:rsidRDefault="00AE398D" w:rsidP="00C977E3">
      <w:pPr>
        <w:spacing w:line="240" w:lineRule="auto"/>
        <w:ind w:left="1134" w:right="900"/>
        <w:jc w:val="both"/>
        <w:rPr>
          <w:rFonts w:ascii="Arial" w:eastAsia="Times New Roman" w:hAnsi="Arial" w:cs="Arial"/>
          <w:szCs w:val="26"/>
          <w:lang w:val="es-MX" w:eastAsia="es-MX"/>
        </w:rPr>
      </w:pPr>
    </w:p>
    <w:p w:rsidR="002C7B6E" w:rsidRDefault="00712FE1" w:rsidP="00015E75">
      <w:pPr>
        <w:spacing w:line="360" w:lineRule="auto"/>
        <w:ind w:firstLine="709"/>
        <w:jc w:val="both"/>
        <w:rPr>
          <w:rFonts w:ascii="Arial" w:hAnsi="Arial" w:cs="Arial"/>
          <w:bCs/>
          <w:sz w:val="26"/>
          <w:szCs w:val="26"/>
          <w:lang w:val="es-MX"/>
        </w:rPr>
      </w:pPr>
      <w:r w:rsidRPr="009F4761">
        <w:rPr>
          <w:rFonts w:ascii="Arial" w:eastAsia="Times New Roman" w:hAnsi="Arial" w:cs="Arial"/>
          <w:b/>
          <w:sz w:val="26"/>
          <w:szCs w:val="26"/>
          <w:lang w:val="es-MX" w:eastAsia="es-MX"/>
        </w:rPr>
        <w:t>TERCERO.-</w:t>
      </w:r>
      <w:r>
        <w:rPr>
          <w:rFonts w:ascii="Arial" w:eastAsia="Times New Roman" w:hAnsi="Arial" w:cs="Arial"/>
          <w:b/>
          <w:sz w:val="26"/>
          <w:szCs w:val="26"/>
          <w:lang w:val="es-MX" w:eastAsia="es-MX"/>
        </w:rPr>
        <w:t xml:space="preserve"> </w:t>
      </w:r>
      <w:r w:rsidR="006B4E73" w:rsidRPr="006B4E73">
        <w:rPr>
          <w:rFonts w:ascii="Arial" w:eastAsia="Times New Roman" w:hAnsi="Arial" w:cs="Arial"/>
          <w:sz w:val="26"/>
          <w:szCs w:val="26"/>
          <w:lang w:val="es-MX" w:eastAsia="es-MX"/>
        </w:rPr>
        <w:t>E</w:t>
      </w:r>
      <w:r w:rsidR="006B4E73">
        <w:rPr>
          <w:rFonts w:ascii="Arial" w:hAnsi="Arial" w:cs="Arial"/>
          <w:bCs/>
          <w:sz w:val="26"/>
          <w:szCs w:val="26"/>
          <w:lang w:val="es-MX"/>
        </w:rPr>
        <w:t xml:space="preserve">l recurrente </w:t>
      </w:r>
      <w:r w:rsidR="00F26A06">
        <w:rPr>
          <w:rFonts w:ascii="Arial" w:hAnsi="Arial" w:cs="Arial"/>
          <w:bCs/>
          <w:sz w:val="26"/>
          <w:szCs w:val="26"/>
          <w:lang w:val="es-MX"/>
        </w:rPr>
        <w:t xml:space="preserve">vierte en su único agravio el argumento consistente en </w:t>
      </w:r>
      <w:r w:rsidR="006B4E73">
        <w:rPr>
          <w:rFonts w:ascii="Arial" w:hAnsi="Arial" w:cs="Arial"/>
          <w:bCs/>
          <w:sz w:val="26"/>
          <w:szCs w:val="26"/>
          <w:lang w:val="es-MX"/>
        </w:rPr>
        <w:t xml:space="preserve">que la sentencia recurrida que determinó el sobreseimiento que se combate, trasgrede lo dispuesto por el artículo 177 de la Ley de Justicia Administrativa para el Estado de Oaxaca puesto que no fijó de manera clara y precisa los puntos controvertidos; que la validez, vigencia y sobre todo la existencia del contrato básico de la acción no formó parte de la Litis; que dicha resolución no funda ni motiva adecuadamente la consideración de sobreseer el juicio puesto que para hacerlo se basa en hechos falsos y no es congruente con la Litis, violando dicho principio que toda resolución debe tener. </w:t>
      </w:r>
    </w:p>
    <w:p w:rsidR="002C7B6E" w:rsidRDefault="00C97117" w:rsidP="00015E75">
      <w:pPr>
        <w:spacing w:line="360" w:lineRule="auto"/>
        <w:ind w:firstLine="709"/>
        <w:jc w:val="both"/>
        <w:rPr>
          <w:rFonts w:ascii="Arial" w:hAnsi="Arial" w:cs="Arial"/>
          <w:bCs/>
          <w:sz w:val="26"/>
          <w:szCs w:val="26"/>
          <w:lang w:val="es-MX"/>
        </w:rPr>
      </w:pPr>
      <w:r>
        <w:rPr>
          <w:rFonts w:ascii="Arial" w:eastAsia="Times New Roman" w:hAnsi="Arial" w:cs="Arial"/>
          <w:sz w:val="26"/>
          <w:szCs w:val="26"/>
          <w:lang w:val="es-MX" w:eastAsia="es-MX"/>
        </w:rPr>
        <w:t xml:space="preserve">Continúa manifestando el recurrente </w:t>
      </w:r>
      <w:r w:rsidR="00696E31">
        <w:rPr>
          <w:rFonts w:ascii="Arial" w:hAnsi="Arial" w:cs="Arial"/>
          <w:bCs/>
          <w:sz w:val="26"/>
          <w:szCs w:val="26"/>
          <w:lang w:val="es-MX"/>
        </w:rPr>
        <w:t xml:space="preserve">que la sentencia </w:t>
      </w:r>
      <w:r>
        <w:rPr>
          <w:rFonts w:ascii="Arial" w:hAnsi="Arial" w:cs="Arial"/>
          <w:bCs/>
          <w:sz w:val="26"/>
          <w:szCs w:val="26"/>
          <w:lang w:val="es-MX"/>
        </w:rPr>
        <w:t xml:space="preserve">impugnada </w:t>
      </w:r>
      <w:r w:rsidR="00696E31">
        <w:rPr>
          <w:rFonts w:ascii="Arial" w:hAnsi="Arial" w:cs="Arial"/>
          <w:bCs/>
          <w:sz w:val="26"/>
          <w:szCs w:val="26"/>
          <w:lang w:val="es-MX"/>
        </w:rPr>
        <w:t xml:space="preserve">trasgrede </w:t>
      </w:r>
      <w:r>
        <w:rPr>
          <w:rFonts w:ascii="Arial" w:hAnsi="Arial" w:cs="Arial"/>
          <w:bCs/>
          <w:sz w:val="26"/>
          <w:szCs w:val="26"/>
          <w:lang w:val="es-MX"/>
        </w:rPr>
        <w:t>el</w:t>
      </w:r>
      <w:r w:rsidR="00696E31">
        <w:rPr>
          <w:rFonts w:ascii="Arial" w:hAnsi="Arial" w:cs="Arial"/>
          <w:bCs/>
          <w:sz w:val="26"/>
          <w:szCs w:val="26"/>
          <w:lang w:val="es-MX"/>
        </w:rPr>
        <w:t xml:space="preserve"> </w:t>
      </w:r>
      <w:r w:rsidR="00696E31" w:rsidRPr="00C97117">
        <w:rPr>
          <w:rFonts w:ascii="Arial" w:hAnsi="Arial" w:cs="Arial"/>
          <w:bCs/>
          <w:i/>
          <w:sz w:val="26"/>
          <w:szCs w:val="26"/>
          <w:lang w:val="es-MX"/>
        </w:rPr>
        <w:t>principio</w:t>
      </w:r>
      <w:r w:rsidRPr="00C97117">
        <w:rPr>
          <w:rFonts w:ascii="Arial" w:hAnsi="Arial" w:cs="Arial"/>
          <w:bCs/>
          <w:i/>
          <w:sz w:val="26"/>
          <w:szCs w:val="26"/>
          <w:lang w:val="es-MX"/>
        </w:rPr>
        <w:t xml:space="preserve"> de</w:t>
      </w:r>
      <w:r w:rsidR="00696E31" w:rsidRPr="00C97117">
        <w:rPr>
          <w:rFonts w:ascii="Arial" w:hAnsi="Arial" w:cs="Arial"/>
          <w:bCs/>
          <w:i/>
          <w:sz w:val="26"/>
          <w:szCs w:val="26"/>
          <w:lang w:val="es-MX"/>
        </w:rPr>
        <w:t xml:space="preserve"> congruencia</w:t>
      </w:r>
      <w:r w:rsidR="00696E31">
        <w:rPr>
          <w:rFonts w:ascii="Arial" w:hAnsi="Arial" w:cs="Arial"/>
          <w:bCs/>
          <w:sz w:val="26"/>
          <w:szCs w:val="26"/>
          <w:lang w:val="es-MX"/>
        </w:rPr>
        <w:t xml:space="preserve">, porque la </w:t>
      </w:r>
      <w:r w:rsidR="00696E31" w:rsidRPr="004E0773">
        <w:rPr>
          <w:rFonts w:ascii="Arial" w:hAnsi="Arial" w:cs="Arial"/>
          <w:bCs/>
          <w:i/>
          <w:sz w:val="26"/>
          <w:szCs w:val="26"/>
          <w:lang w:val="es-MX"/>
        </w:rPr>
        <w:t>A quo</w:t>
      </w:r>
      <w:r w:rsidR="00696E31">
        <w:rPr>
          <w:rFonts w:ascii="Arial" w:hAnsi="Arial" w:cs="Arial"/>
          <w:bCs/>
          <w:sz w:val="26"/>
          <w:szCs w:val="26"/>
          <w:lang w:val="es-MX"/>
        </w:rPr>
        <w:t xml:space="preserve"> introdujo hechos falsos en </w:t>
      </w:r>
      <w:r w:rsidR="00D813DD">
        <w:rPr>
          <w:rFonts w:ascii="Arial" w:hAnsi="Arial" w:cs="Arial"/>
          <w:bCs/>
          <w:sz w:val="26"/>
          <w:szCs w:val="26"/>
          <w:lang w:val="es-MX"/>
        </w:rPr>
        <w:t>la misma en la parte relativa del</w:t>
      </w:r>
      <w:r w:rsidR="00696E31">
        <w:rPr>
          <w:rFonts w:ascii="Arial" w:hAnsi="Arial" w:cs="Arial"/>
          <w:bCs/>
          <w:sz w:val="26"/>
          <w:szCs w:val="26"/>
          <w:lang w:val="es-MX"/>
        </w:rPr>
        <w:t xml:space="preserve"> con</w:t>
      </w:r>
      <w:r w:rsidR="004C350E">
        <w:rPr>
          <w:rFonts w:ascii="Arial" w:hAnsi="Arial" w:cs="Arial"/>
          <w:bCs/>
          <w:sz w:val="26"/>
          <w:szCs w:val="26"/>
          <w:lang w:val="es-MX"/>
        </w:rPr>
        <w:t>siderando quinto en el que se determin</w:t>
      </w:r>
      <w:r w:rsidR="00D813DD">
        <w:rPr>
          <w:rFonts w:ascii="Arial" w:hAnsi="Arial" w:cs="Arial"/>
          <w:bCs/>
          <w:sz w:val="26"/>
          <w:szCs w:val="26"/>
          <w:lang w:val="es-MX"/>
        </w:rPr>
        <w:t xml:space="preserve">ó sobreseer el juicio, porque la primera instancia decidió unilateralmente declarar rescindido el contrato básico de la acción, lo anterior en base a </w:t>
      </w:r>
      <w:r w:rsidR="003B0795">
        <w:rPr>
          <w:rFonts w:ascii="Arial" w:hAnsi="Arial" w:cs="Arial"/>
          <w:bCs/>
          <w:sz w:val="26"/>
          <w:szCs w:val="26"/>
          <w:lang w:val="es-MX"/>
        </w:rPr>
        <w:t>la aplicación de la cláusula décimo cuarta del mismo contrato que establece la facultad potestativa de la dependencia demandada para aplicar la rescisión administrativa en determinados supuestos, que en la especie no se actualizaron ni fueron alegados por las partes ni como acción ni como excepci</w:t>
      </w:r>
      <w:r w:rsidR="0030277A">
        <w:rPr>
          <w:rFonts w:ascii="Arial" w:hAnsi="Arial" w:cs="Arial"/>
          <w:bCs/>
          <w:sz w:val="26"/>
          <w:szCs w:val="26"/>
          <w:lang w:val="es-MX"/>
        </w:rPr>
        <w:t>ón, y que de ahí la incongruencia de la sentencia recurrida, al haber resue</w:t>
      </w:r>
      <w:r w:rsidR="00AE398D">
        <w:rPr>
          <w:rFonts w:ascii="Arial" w:hAnsi="Arial" w:cs="Arial"/>
          <w:bCs/>
          <w:sz w:val="26"/>
          <w:szCs w:val="26"/>
          <w:lang w:val="es-MX"/>
        </w:rPr>
        <w:t xml:space="preserve">lto en base a algo que no forma </w:t>
      </w:r>
      <w:r w:rsidR="0030277A">
        <w:rPr>
          <w:rFonts w:ascii="Arial" w:hAnsi="Arial" w:cs="Arial"/>
          <w:bCs/>
          <w:sz w:val="26"/>
          <w:szCs w:val="26"/>
          <w:lang w:val="es-MX"/>
        </w:rPr>
        <w:t>parte de la litis.</w:t>
      </w:r>
    </w:p>
    <w:p w:rsidR="00440F85" w:rsidRDefault="006537AB" w:rsidP="003B0795">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Prosigue </w:t>
      </w:r>
      <w:r w:rsidR="003C16E0">
        <w:rPr>
          <w:rFonts w:ascii="Arial" w:hAnsi="Arial" w:cs="Arial"/>
          <w:bCs/>
          <w:sz w:val="26"/>
          <w:szCs w:val="26"/>
          <w:lang w:val="es-MX"/>
        </w:rPr>
        <w:t>el recurrente</w:t>
      </w:r>
      <w:r>
        <w:rPr>
          <w:rFonts w:ascii="Arial" w:hAnsi="Arial" w:cs="Arial"/>
          <w:bCs/>
          <w:sz w:val="26"/>
          <w:szCs w:val="26"/>
          <w:lang w:val="es-MX"/>
        </w:rPr>
        <w:t xml:space="preserve"> expresando</w:t>
      </w:r>
      <w:r w:rsidR="003C16E0">
        <w:rPr>
          <w:rFonts w:ascii="Arial" w:hAnsi="Arial" w:cs="Arial"/>
          <w:bCs/>
          <w:sz w:val="26"/>
          <w:szCs w:val="26"/>
          <w:lang w:val="es-MX"/>
        </w:rPr>
        <w:t xml:space="preserve"> que la Primera Instancia determinó la rescisión del contrato a partir de la cesión de derechos litigiosos que realizó su representada en abril de dos mil diecisiete, </w:t>
      </w:r>
      <w:r w:rsidR="007E0A56">
        <w:rPr>
          <w:rFonts w:ascii="Arial" w:hAnsi="Arial" w:cs="Arial"/>
          <w:bCs/>
          <w:sz w:val="26"/>
          <w:szCs w:val="26"/>
          <w:lang w:val="es-MX"/>
        </w:rPr>
        <w:t>y que con base en ello, afirmó que en términos de la fracción VII del artículo 131 de la Ley de Justicia Administrativa para el Estado de Oaxaca el acto impugnado dejó de existir y por ende determinó el sobreseimiento.</w:t>
      </w:r>
    </w:p>
    <w:p w:rsidR="00015E75" w:rsidRDefault="00294010" w:rsidP="00015E75">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lastRenderedPageBreak/>
        <w:t>Esta Sala Superior considera que s</w:t>
      </w:r>
      <w:r w:rsidR="001F0D5A">
        <w:rPr>
          <w:rFonts w:ascii="Arial" w:eastAsia="Times New Roman" w:hAnsi="Arial" w:cs="Arial"/>
          <w:sz w:val="26"/>
          <w:szCs w:val="26"/>
          <w:lang w:val="es-MX" w:eastAsia="es-MX"/>
        </w:rPr>
        <w:t xml:space="preserve">on </w:t>
      </w:r>
      <w:r w:rsidR="001F0D5A" w:rsidRPr="00337DD7">
        <w:rPr>
          <w:rFonts w:ascii="Arial" w:eastAsia="Times New Roman" w:hAnsi="Arial" w:cs="Arial"/>
          <w:b/>
          <w:sz w:val="26"/>
          <w:szCs w:val="26"/>
          <w:lang w:val="es-MX" w:eastAsia="es-MX"/>
        </w:rPr>
        <w:t>fundados</w:t>
      </w:r>
      <w:r w:rsidR="001F0D5A">
        <w:rPr>
          <w:rFonts w:ascii="Arial" w:eastAsia="Times New Roman" w:hAnsi="Arial" w:cs="Arial"/>
          <w:sz w:val="26"/>
          <w:szCs w:val="26"/>
          <w:lang w:val="es-MX" w:eastAsia="es-MX"/>
        </w:rPr>
        <w:t xml:space="preserve"> los argumentos hechos valer por el recurrente.</w:t>
      </w:r>
    </w:p>
    <w:p w:rsidR="00015E75" w:rsidRDefault="00015E75" w:rsidP="00015E75">
      <w:pPr>
        <w:spacing w:line="360" w:lineRule="auto"/>
        <w:ind w:right="49" w:firstLine="709"/>
        <w:jc w:val="both"/>
        <w:rPr>
          <w:rFonts w:ascii="Arial" w:eastAsia="Times New Roman" w:hAnsi="Arial" w:cs="Arial"/>
          <w:sz w:val="26"/>
          <w:szCs w:val="26"/>
          <w:lang w:val="es-MX" w:eastAsia="es-MX"/>
        </w:rPr>
      </w:pPr>
    </w:p>
    <w:p w:rsidR="00AE398D" w:rsidRDefault="00FF5F77" w:rsidP="00AE398D">
      <w:pPr>
        <w:spacing w:line="360" w:lineRule="auto"/>
        <w:ind w:right="49" w:firstLine="709"/>
        <w:jc w:val="both"/>
        <w:rPr>
          <w:rFonts w:ascii="Arial" w:hAnsi="Arial" w:cs="Arial"/>
          <w:bCs/>
          <w:color w:val="000000"/>
          <w:sz w:val="26"/>
          <w:szCs w:val="26"/>
          <w:lang w:val="es-MX"/>
        </w:rPr>
      </w:pPr>
      <w:r>
        <w:rPr>
          <w:rFonts w:ascii="Arial" w:hAnsi="Arial" w:cs="Arial"/>
          <w:bCs/>
          <w:color w:val="000000"/>
          <w:sz w:val="26"/>
          <w:szCs w:val="26"/>
          <w:lang w:val="es-MX"/>
        </w:rPr>
        <w:t>Al efecto</w:t>
      </w:r>
      <w:r w:rsidR="001F0D5A">
        <w:rPr>
          <w:rFonts w:ascii="Arial" w:eastAsia="Times New Roman" w:hAnsi="Arial" w:cs="Arial"/>
          <w:sz w:val="26"/>
          <w:szCs w:val="26"/>
          <w:lang w:val="es-MX" w:eastAsia="es-MX"/>
        </w:rPr>
        <w:t xml:space="preserve">, </w:t>
      </w:r>
      <w:r w:rsidR="00D61AE5">
        <w:rPr>
          <w:rFonts w:ascii="Arial" w:eastAsia="Times New Roman" w:hAnsi="Arial" w:cs="Arial"/>
          <w:sz w:val="26"/>
          <w:szCs w:val="26"/>
          <w:lang w:val="es-MX" w:eastAsia="es-MX"/>
        </w:rPr>
        <w:t xml:space="preserve">del análisis integral realizado a la sentencia, en relación con </w:t>
      </w:r>
      <w:r w:rsidR="0068145D">
        <w:rPr>
          <w:rFonts w:ascii="Arial" w:eastAsia="Times New Roman" w:hAnsi="Arial" w:cs="Arial"/>
          <w:sz w:val="26"/>
          <w:szCs w:val="26"/>
          <w:lang w:val="es-MX" w:eastAsia="es-MX"/>
        </w:rPr>
        <w:t>el</w:t>
      </w:r>
      <w:r w:rsidR="00D61AE5">
        <w:rPr>
          <w:rFonts w:ascii="Arial" w:eastAsia="Times New Roman" w:hAnsi="Arial" w:cs="Arial"/>
          <w:sz w:val="26"/>
          <w:szCs w:val="26"/>
          <w:lang w:val="es-MX" w:eastAsia="es-MX"/>
        </w:rPr>
        <w:t xml:space="preserve"> escrito de demanda, </w:t>
      </w:r>
      <w:r>
        <w:rPr>
          <w:rFonts w:ascii="Arial" w:hAnsi="Arial" w:cs="Arial"/>
          <w:bCs/>
          <w:color w:val="000000"/>
          <w:sz w:val="26"/>
          <w:szCs w:val="26"/>
          <w:lang w:val="es-MX"/>
        </w:rPr>
        <w:t xml:space="preserve">se </w:t>
      </w:r>
      <w:r w:rsidR="001F0D5A" w:rsidRPr="004D398B">
        <w:rPr>
          <w:rFonts w:ascii="Arial" w:hAnsi="Arial" w:cs="Arial"/>
          <w:bCs/>
          <w:color w:val="000000"/>
          <w:sz w:val="26"/>
          <w:szCs w:val="26"/>
          <w:lang w:val="es-MX"/>
        </w:rPr>
        <w:t>advierte que</w:t>
      </w:r>
      <w:r w:rsidR="001F0D5A">
        <w:rPr>
          <w:rFonts w:ascii="Arial" w:hAnsi="Arial" w:cs="Arial"/>
          <w:bCs/>
          <w:color w:val="000000"/>
          <w:sz w:val="26"/>
          <w:szCs w:val="26"/>
          <w:lang w:val="es-MX"/>
        </w:rPr>
        <w:t xml:space="preserve"> la </w:t>
      </w:r>
      <w:r w:rsidR="001D7A9A">
        <w:rPr>
          <w:rFonts w:ascii="Arial" w:hAnsi="Arial" w:cs="Arial"/>
          <w:bCs/>
          <w:color w:val="000000"/>
          <w:sz w:val="26"/>
          <w:szCs w:val="26"/>
          <w:lang w:val="es-MX"/>
        </w:rPr>
        <w:t>Primera I</w:t>
      </w:r>
      <w:r w:rsidR="001F0D5A">
        <w:rPr>
          <w:rFonts w:ascii="Arial" w:hAnsi="Arial" w:cs="Arial"/>
          <w:bCs/>
          <w:color w:val="000000"/>
          <w:sz w:val="26"/>
          <w:szCs w:val="26"/>
          <w:lang w:val="es-MX"/>
        </w:rPr>
        <w:t>nstancia</w:t>
      </w:r>
      <w:r w:rsidR="001F0D5A" w:rsidRPr="004D398B">
        <w:rPr>
          <w:rFonts w:ascii="Arial" w:hAnsi="Arial" w:cs="Arial"/>
          <w:bCs/>
          <w:color w:val="000000"/>
          <w:sz w:val="26"/>
          <w:szCs w:val="26"/>
          <w:lang w:val="es-MX"/>
        </w:rPr>
        <w:t xml:space="preserve"> </w:t>
      </w:r>
      <w:r w:rsidR="004242CE">
        <w:rPr>
          <w:rFonts w:ascii="Arial" w:hAnsi="Arial" w:cs="Arial"/>
          <w:bCs/>
          <w:color w:val="000000"/>
          <w:sz w:val="26"/>
          <w:szCs w:val="26"/>
          <w:lang w:val="es-MX"/>
        </w:rPr>
        <w:t xml:space="preserve">contravino el artículo </w:t>
      </w:r>
      <w:r w:rsidR="001D7A9A">
        <w:rPr>
          <w:rFonts w:ascii="Arial" w:hAnsi="Arial" w:cs="Arial"/>
          <w:bCs/>
          <w:color w:val="000000"/>
          <w:sz w:val="26"/>
          <w:szCs w:val="26"/>
          <w:lang w:val="es-MX"/>
        </w:rPr>
        <w:t>177</w:t>
      </w:r>
      <w:r w:rsidR="001D7A9A">
        <w:rPr>
          <w:rStyle w:val="Refdenotaalpie"/>
          <w:rFonts w:ascii="Arial" w:hAnsi="Arial" w:cs="Arial"/>
          <w:bCs/>
          <w:color w:val="000000"/>
          <w:sz w:val="26"/>
          <w:szCs w:val="26"/>
          <w:lang w:val="es-MX"/>
        </w:rPr>
        <w:footnoteReference w:id="1"/>
      </w:r>
      <w:r w:rsidR="001D7A9A">
        <w:rPr>
          <w:rFonts w:ascii="Arial" w:hAnsi="Arial" w:cs="Arial"/>
          <w:bCs/>
          <w:color w:val="000000"/>
          <w:sz w:val="26"/>
          <w:szCs w:val="26"/>
          <w:lang w:val="es-MX"/>
        </w:rPr>
        <w:t xml:space="preserve"> </w:t>
      </w:r>
      <w:r w:rsidR="0057760D">
        <w:rPr>
          <w:rFonts w:ascii="Arial" w:hAnsi="Arial" w:cs="Arial"/>
          <w:bCs/>
          <w:color w:val="000000"/>
          <w:sz w:val="26"/>
          <w:szCs w:val="26"/>
          <w:lang w:val="es-MX"/>
        </w:rPr>
        <w:t xml:space="preserve">fracción I </w:t>
      </w:r>
      <w:r w:rsidR="001D7A9A">
        <w:rPr>
          <w:rFonts w:ascii="Arial" w:hAnsi="Arial" w:cs="Arial"/>
          <w:bCs/>
          <w:color w:val="000000"/>
          <w:sz w:val="26"/>
          <w:szCs w:val="26"/>
          <w:lang w:val="es-MX"/>
        </w:rPr>
        <w:t xml:space="preserve">de la Ley de Justicia Administrativa para el Estado de Oaxaca, </w:t>
      </w:r>
      <w:r w:rsidR="00DB3853">
        <w:rPr>
          <w:rFonts w:ascii="Arial" w:hAnsi="Arial" w:cs="Arial"/>
          <w:bCs/>
          <w:color w:val="000000"/>
          <w:sz w:val="26"/>
          <w:szCs w:val="26"/>
          <w:lang w:val="es-MX"/>
        </w:rPr>
        <w:t>que dispone que las sentencias deberán contener la fijación clara y precisa de los puntos controvertidos,</w:t>
      </w:r>
      <w:r w:rsidR="0068145D">
        <w:rPr>
          <w:rFonts w:ascii="Arial" w:hAnsi="Arial" w:cs="Arial"/>
          <w:bCs/>
          <w:color w:val="000000"/>
          <w:sz w:val="26"/>
          <w:szCs w:val="26"/>
          <w:lang w:val="es-MX"/>
        </w:rPr>
        <w:t xml:space="preserve"> lo cual soslayó la A quo, pues determinó sobreseer en el juicio basando su determinación en hechos que no formaron parte de la Litis y que no fueron invocados por las partes, con lo que viola </w:t>
      </w:r>
      <w:r w:rsidR="00A00B3C">
        <w:rPr>
          <w:rFonts w:ascii="Arial" w:hAnsi="Arial" w:cs="Arial"/>
          <w:bCs/>
          <w:color w:val="000000"/>
          <w:sz w:val="26"/>
          <w:szCs w:val="26"/>
          <w:lang w:val="es-MX"/>
        </w:rPr>
        <w:t xml:space="preserve">el </w:t>
      </w:r>
      <w:r w:rsidR="00A00B3C" w:rsidRPr="00DB3853">
        <w:rPr>
          <w:rFonts w:ascii="Arial" w:hAnsi="Arial" w:cs="Arial"/>
          <w:bCs/>
          <w:i/>
          <w:color w:val="000000"/>
          <w:sz w:val="26"/>
          <w:szCs w:val="26"/>
          <w:lang w:val="es-MX"/>
        </w:rPr>
        <w:t>principio de</w:t>
      </w:r>
      <w:r w:rsidR="00A00B3C" w:rsidRPr="00E04C6C">
        <w:rPr>
          <w:rFonts w:ascii="Arial" w:hAnsi="Arial" w:cs="Arial"/>
          <w:bCs/>
          <w:color w:val="000000"/>
          <w:sz w:val="26"/>
          <w:szCs w:val="26"/>
          <w:lang w:val="es-MX"/>
        </w:rPr>
        <w:t xml:space="preserve"> </w:t>
      </w:r>
      <w:r w:rsidR="00A00B3C" w:rsidRPr="00E04C6C">
        <w:rPr>
          <w:rFonts w:ascii="Arial" w:hAnsi="Arial" w:cs="Arial"/>
          <w:bCs/>
          <w:i/>
          <w:color w:val="000000"/>
          <w:sz w:val="26"/>
          <w:szCs w:val="26"/>
          <w:lang w:val="es-MX"/>
        </w:rPr>
        <w:t>congruencia</w:t>
      </w:r>
      <w:r w:rsidR="00A00B3C" w:rsidRPr="00AA4F9D">
        <w:rPr>
          <w:rFonts w:ascii="Arial" w:hAnsi="Arial" w:cs="Arial"/>
          <w:bCs/>
          <w:color w:val="000000"/>
          <w:sz w:val="26"/>
          <w:szCs w:val="26"/>
          <w:lang w:val="es-MX"/>
        </w:rPr>
        <w:t xml:space="preserve"> </w:t>
      </w:r>
      <w:r w:rsidR="00A00B3C">
        <w:rPr>
          <w:rFonts w:ascii="Arial" w:hAnsi="Arial" w:cs="Arial"/>
          <w:bCs/>
          <w:color w:val="000000"/>
          <w:sz w:val="26"/>
          <w:szCs w:val="26"/>
          <w:lang w:val="es-MX"/>
        </w:rPr>
        <w:t xml:space="preserve">consistente en que </w:t>
      </w:r>
      <w:r w:rsidR="00A00B3C" w:rsidRPr="001D7A9A">
        <w:rPr>
          <w:rFonts w:ascii="Arial" w:hAnsi="Arial" w:cs="Arial"/>
          <w:bCs/>
          <w:color w:val="000000"/>
          <w:sz w:val="26"/>
          <w:szCs w:val="26"/>
          <w:lang w:val="es-MX"/>
        </w:rPr>
        <w:t>una sen</w:t>
      </w:r>
      <w:r w:rsidR="00A00B3C">
        <w:rPr>
          <w:rFonts w:ascii="Arial" w:hAnsi="Arial" w:cs="Arial"/>
          <w:bCs/>
          <w:color w:val="000000"/>
          <w:sz w:val="26"/>
          <w:szCs w:val="26"/>
          <w:lang w:val="es-MX"/>
        </w:rPr>
        <w:t xml:space="preserve">tencia de primer grado </w:t>
      </w:r>
      <w:r w:rsidR="00A00B3C" w:rsidRPr="001D7A9A">
        <w:rPr>
          <w:rFonts w:ascii="Arial" w:hAnsi="Arial" w:cs="Arial"/>
          <w:bCs/>
          <w:color w:val="000000"/>
          <w:sz w:val="26"/>
          <w:szCs w:val="26"/>
          <w:lang w:val="es-MX"/>
        </w:rPr>
        <w:t>debe dictarse en concordancia con lo reclamado en la demanda y la contestación</w:t>
      </w:r>
      <w:r w:rsidR="009C2281">
        <w:rPr>
          <w:rStyle w:val="Refdenotaalpie"/>
          <w:rFonts w:ascii="Arial" w:hAnsi="Arial" w:cs="Arial"/>
          <w:bCs/>
          <w:color w:val="000000"/>
          <w:sz w:val="26"/>
          <w:szCs w:val="26"/>
          <w:lang w:val="es-MX"/>
        </w:rPr>
        <w:footnoteReference w:id="2"/>
      </w:r>
      <w:r w:rsidR="00A00B3C">
        <w:rPr>
          <w:rFonts w:ascii="Arial" w:hAnsi="Arial" w:cs="Arial"/>
          <w:bCs/>
          <w:color w:val="000000"/>
          <w:sz w:val="26"/>
          <w:szCs w:val="26"/>
          <w:lang w:val="es-MX"/>
        </w:rPr>
        <w:t xml:space="preserve">, </w:t>
      </w:r>
      <w:r w:rsidR="0068145D">
        <w:rPr>
          <w:rFonts w:ascii="Arial" w:hAnsi="Arial" w:cs="Arial"/>
          <w:bCs/>
          <w:color w:val="000000"/>
          <w:sz w:val="26"/>
          <w:szCs w:val="26"/>
          <w:lang w:val="es-MX"/>
        </w:rPr>
        <w:t xml:space="preserve">mismo que debió observar al resolver la cuestión planteada. </w:t>
      </w:r>
    </w:p>
    <w:p w:rsidR="002C7B6E" w:rsidRDefault="002C7B6E" w:rsidP="002C7B6E">
      <w:pPr>
        <w:spacing w:line="240" w:lineRule="auto"/>
        <w:ind w:right="49" w:firstLine="709"/>
        <w:jc w:val="both"/>
        <w:rPr>
          <w:rFonts w:ascii="Arial" w:hAnsi="Arial" w:cs="Arial"/>
          <w:bCs/>
          <w:color w:val="000000"/>
          <w:sz w:val="26"/>
          <w:szCs w:val="26"/>
          <w:lang w:val="es-MX"/>
        </w:rPr>
      </w:pPr>
    </w:p>
    <w:p w:rsidR="00AE398D" w:rsidRPr="0068145D" w:rsidRDefault="0068145D" w:rsidP="00C90C11">
      <w:pPr>
        <w:spacing w:line="360" w:lineRule="auto"/>
        <w:ind w:right="49"/>
        <w:jc w:val="both"/>
        <w:rPr>
          <w:rFonts w:ascii="Arial" w:hAnsi="Arial" w:cs="Arial"/>
          <w:bCs/>
          <w:color w:val="000000"/>
          <w:sz w:val="26"/>
          <w:szCs w:val="26"/>
          <w:lang w:val="es-MX"/>
        </w:rPr>
      </w:pPr>
      <w:r>
        <w:rPr>
          <w:rFonts w:ascii="Arial" w:hAnsi="Arial" w:cs="Arial"/>
          <w:bCs/>
          <w:color w:val="000000"/>
          <w:sz w:val="26"/>
          <w:szCs w:val="26"/>
          <w:lang w:val="es-MX"/>
        </w:rPr>
        <w:t xml:space="preserve">En apoyo a lo anterior se invoca </w:t>
      </w:r>
      <w:r w:rsidR="00C90C11">
        <w:rPr>
          <w:rFonts w:ascii="Arial" w:hAnsi="Arial" w:cs="Arial"/>
          <w:bCs/>
          <w:color w:val="000000"/>
          <w:sz w:val="26"/>
          <w:szCs w:val="26"/>
          <w:lang w:val="es-MX"/>
        </w:rPr>
        <w:t xml:space="preserve">la </w:t>
      </w:r>
      <w:r w:rsidR="00C90C11" w:rsidRPr="0068145D">
        <w:rPr>
          <w:rFonts w:ascii="Arial" w:hAnsi="Arial" w:cs="Arial"/>
          <w:bCs/>
          <w:color w:val="000000"/>
          <w:sz w:val="26"/>
          <w:szCs w:val="26"/>
          <w:lang w:val="es-MX"/>
        </w:rPr>
        <w:t xml:space="preserve">Jurisprudencia </w:t>
      </w:r>
      <w:r w:rsidR="00C90C11">
        <w:rPr>
          <w:rFonts w:ascii="Arial" w:hAnsi="Arial" w:cs="Arial"/>
          <w:bCs/>
          <w:color w:val="000000"/>
          <w:sz w:val="26"/>
          <w:szCs w:val="26"/>
          <w:lang w:val="es-MX"/>
        </w:rPr>
        <w:t>con número de registro 194838, perteneciente a la Novena Época, emitida por los</w:t>
      </w:r>
      <w:r w:rsidRPr="0068145D">
        <w:rPr>
          <w:rFonts w:ascii="Arial" w:hAnsi="Arial" w:cs="Arial"/>
          <w:bCs/>
          <w:color w:val="000000"/>
          <w:sz w:val="26"/>
          <w:szCs w:val="26"/>
          <w:lang w:val="es-MX"/>
        </w:rPr>
        <w:t xml:space="preserve"> Tr</w:t>
      </w:r>
      <w:r w:rsidR="00C90C11">
        <w:rPr>
          <w:rFonts w:ascii="Arial" w:hAnsi="Arial" w:cs="Arial"/>
          <w:bCs/>
          <w:color w:val="000000"/>
          <w:sz w:val="26"/>
          <w:szCs w:val="26"/>
          <w:lang w:val="es-MX"/>
        </w:rPr>
        <w:t xml:space="preserve">ibunales Colegiados de Circuito, visible en el </w:t>
      </w:r>
      <w:r w:rsidRPr="0068145D">
        <w:rPr>
          <w:rFonts w:ascii="Arial" w:hAnsi="Arial" w:cs="Arial"/>
          <w:bCs/>
          <w:color w:val="000000"/>
          <w:sz w:val="26"/>
          <w:szCs w:val="26"/>
          <w:lang w:val="es-MX"/>
        </w:rPr>
        <w:t>Semanario Judici</w:t>
      </w:r>
      <w:r w:rsidR="00C90C11">
        <w:rPr>
          <w:rFonts w:ascii="Arial" w:hAnsi="Arial" w:cs="Arial"/>
          <w:bCs/>
          <w:color w:val="000000"/>
          <w:sz w:val="26"/>
          <w:szCs w:val="26"/>
          <w:lang w:val="es-MX"/>
        </w:rPr>
        <w:t xml:space="preserve">al de la Federación y su Gaceta, Tomo IX, Enero de 1999, </w:t>
      </w:r>
      <w:r w:rsidRPr="0068145D">
        <w:rPr>
          <w:rFonts w:ascii="Arial" w:hAnsi="Arial" w:cs="Arial"/>
          <w:bCs/>
          <w:color w:val="000000"/>
          <w:sz w:val="26"/>
          <w:szCs w:val="26"/>
          <w:lang w:val="es-MX"/>
        </w:rPr>
        <w:t>Materia</w:t>
      </w:r>
      <w:r w:rsidR="00C90C11">
        <w:rPr>
          <w:rFonts w:ascii="Arial" w:hAnsi="Arial" w:cs="Arial"/>
          <w:bCs/>
          <w:color w:val="000000"/>
          <w:sz w:val="26"/>
          <w:szCs w:val="26"/>
          <w:lang w:val="es-MX"/>
        </w:rPr>
        <w:t xml:space="preserve"> Administrativa, Tesis: I.3o.A J/30, Página: 638, de rubro y texto siguientes: </w:t>
      </w:r>
    </w:p>
    <w:p w:rsidR="00C90C11" w:rsidRPr="00C977E3" w:rsidRDefault="00C90C11" w:rsidP="00C977E3">
      <w:pPr>
        <w:spacing w:line="360" w:lineRule="auto"/>
        <w:ind w:left="567" w:right="900"/>
        <w:jc w:val="both"/>
        <w:rPr>
          <w:rFonts w:ascii="Arial" w:hAnsi="Arial" w:cs="Arial"/>
          <w:b/>
          <w:bCs/>
          <w:i/>
          <w:color w:val="000000"/>
          <w:szCs w:val="24"/>
          <w:lang w:val="es-MX"/>
        </w:rPr>
      </w:pPr>
      <w:r w:rsidRPr="00C977E3">
        <w:rPr>
          <w:rFonts w:ascii="Arial" w:hAnsi="Arial" w:cs="Arial"/>
          <w:b/>
          <w:bCs/>
          <w:i/>
          <w:color w:val="000000"/>
          <w:szCs w:val="24"/>
          <w:lang w:val="es-MX"/>
        </w:rPr>
        <w:t>“</w:t>
      </w:r>
      <w:r w:rsidR="0068145D" w:rsidRPr="00C977E3">
        <w:rPr>
          <w:rFonts w:ascii="Arial" w:hAnsi="Arial" w:cs="Arial"/>
          <w:b/>
          <w:bCs/>
          <w:i/>
          <w:color w:val="000000"/>
          <w:szCs w:val="24"/>
          <w:lang w:val="es-MX"/>
        </w:rPr>
        <w:t>CONGRUENCIA, PRINCIPIO DE. SUS ASPECTOS. EL ARTÍCULO 229 DEL CÓDIGO FISCAL DE LA FEDERACIÓN ES EL QUE LO CONTIENE.</w:t>
      </w:r>
      <w:r w:rsidRPr="00C977E3">
        <w:rPr>
          <w:rFonts w:ascii="Arial" w:hAnsi="Arial" w:cs="Arial"/>
          <w:b/>
          <w:bCs/>
          <w:i/>
          <w:color w:val="000000"/>
          <w:szCs w:val="24"/>
          <w:lang w:val="es-MX"/>
        </w:rPr>
        <w:t xml:space="preserve"> </w:t>
      </w:r>
    </w:p>
    <w:p w:rsidR="00C90C11" w:rsidRPr="00C977E3" w:rsidRDefault="0068145D" w:rsidP="00C977E3">
      <w:pPr>
        <w:spacing w:line="360" w:lineRule="auto"/>
        <w:ind w:left="567" w:right="900"/>
        <w:jc w:val="both"/>
        <w:rPr>
          <w:rFonts w:ascii="Arial" w:hAnsi="Arial" w:cs="Arial"/>
          <w:bCs/>
          <w:i/>
          <w:color w:val="000000"/>
          <w:szCs w:val="24"/>
          <w:lang w:val="es-MX"/>
        </w:rPr>
      </w:pPr>
      <w:r w:rsidRPr="00C977E3">
        <w:rPr>
          <w:rFonts w:ascii="Arial" w:hAnsi="Arial" w:cs="Arial"/>
          <w:bCs/>
          <w:i/>
          <w:color w:val="000000"/>
          <w:szCs w:val="24"/>
          <w:lang w:val="es-MX"/>
        </w:rPr>
        <w:t xml:space="preserve">El principio de congruencia (consistentemente respetado en materia civil), resulta igualmente utilizado y aplicado en todos los procesos judiciales y jurisdiccionales y en su esencia está referido a que las sentencias deben ser congruentes no sólo consigo mismas, sino también con la litis tal y como quedó formulada por medio de los escritos de demanda y contestación. Sostienen los jurisconsultos que </w:t>
      </w:r>
      <w:r w:rsidRPr="00C977E3">
        <w:rPr>
          <w:rFonts w:ascii="Arial" w:hAnsi="Arial" w:cs="Arial"/>
          <w:bCs/>
          <w:i/>
          <w:color w:val="000000"/>
          <w:szCs w:val="24"/>
          <w:lang w:val="es-MX"/>
        </w:rPr>
        <w:lastRenderedPageBreak/>
        <w:t xml:space="preserve">hay dos clases de congruencia, la interna y la externa. La primera consiste en que la sentencia no contenga resoluciones ni afirmaciones que se contradigan entre sí o con los puntos resolutivos. La congruencia externa exige que la sentencia haga ecuación con los términos de la litis. Ambas congruencias se contemplan en el artículo 229 del Código Fiscal de la Federación, al establecer: "Las sentencias del Tribunal Fiscal de la Federación se fundarán en derecho y examinarán todos y cada uno de los puntos controvertidos de la 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deben observar en toda sentencia el principio de congruencia, lo cual estriba en que al resolver la controversia lo hagan atentas a lo planteado por las partes respecto de la resolución, la demanda y la contestación, sin omitir nada, ni añadir cuestiones no hechas valer por los que controvierten; además, sus sentencias no deben contener consideraciones contrarias entre sí o con los puntos resolutivos. </w:t>
      </w:r>
    </w:p>
    <w:p w:rsidR="00AE398D" w:rsidRDefault="0068145D" w:rsidP="00AE398D">
      <w:pPr>
        <w:spacing w:line="360" w:lineRule="auto"/>
        <w:ind w:left="567" w:right="900"/>
        <w:jc w:val="both"/>
        <w:rPr>
          <w:rFonts w:ascii="Arial" w:hAnsi="Arial" w:cs="Arial"/>
          <w:bCs/>
          <w:i/>
          <w:color w:val="000000"/>
          <w:szCs w:val="24"/>
          <w:lang w:val="es-MX"/>
        </w:rPr>
      </w:pPr>
      <w:r w:rsidRPr="00C977E3">
        <w:rPr>
          <w:rFonts w:ascii="Arial" w:hAnsi="Arial" w:cs="Arial"/>
          <w:bCs/>
          <w:i/>
          <w:color w:val="000000"/>
          <w:szCs w:val="24"/>
          <w:lang w:val="es-MX"/>
        </w:rPr>
        <w:t>TERCER TRIBUNAL COLEGIADO EN MATERIA ADMINISTRATIVA DEL PRIMER CIRCUITO.</w:t>
      </w:r>
      <w:r w:rsidR="00C90C11" w:rsidRPr="00C977E3">
        <w:rPr>
          <w:rFonts w:ascii="Arial" w:hAnsi="Arial" w:cs="Arial"/>
          <w:bCs/>
          <w:i/>
          <w:color w:val="000000"/>
          <w:szCs w:val="24"/>
          <w:lang w:val="es-MX"/>
        </w:rPr>
        <w:t>”</w:t>
      </w:r>
    </w:p>
    <w:p w:rsidR="00015E75" w:rsidRPr="00C977E3" w:rsidRDefault="00015E75" w:rsidP="00AE398D">
      <w:pPr>
        <w:spacing w:line="360" w:lineRule="auto"/>
        <w:ind w:left="567" w:right="900"/>
        <w:jc w:val="both"/>
        <w:rPr>
          <w:rFonts w:ascii="Arial" w:hAnsi="Arial" w:cs="Arial"/>
          <w:bCs/>
          <w:i/>
          <w:color w:val="000000"/>
          <w:szCs w:val="24"/>
          <w:lang w:val="es-MX"/>
        </w:rPr>
      </w:pPr>
    </w:p>
    <w:p w:rsidR="00AA2685" w:rsidRDefault="00AA2685" w:rsidP="00AA2685">
      <w:pPr>
        <w:spacing w:after="0" w:line="360" w:lineRule="auto"/>
        <w:ind w:left="-284" w:firstLine="568"/>
        <w:jc w:val="both"/>
        <w:rPr>
          <w:rFonts w:ascii="Arial" w:eastAsia="Times New Roman" w:hAnsi="Arial" w:cs="Arial"/>
          <w:color w:val="000000" w:themeColor="text1"/>
          <w:sz w:val="26"/>
          <w:szCs w:val="26"/>
          <w:lang w:eastAsia="es-ES"/>
        </w:rPr>
      </w:pPr>
      <w:r w:rsidRPr="00AA2685">
        <w:rPr>
          <w:rFonts w:ascii="Arial" w:eastAsia="Times New Roman" w:hAnsi="Arial" w:cs="Arial"/>
          <w:color w:val="000000" w:themeColor="text1"/>
          <w:sz w:val="26"/>
          <w:szCs w:val="26"/>
          <w:lang w:eastAsia="es-ES"/>
        </w:rPr>
        <w:t xml:space="preserve">En el caso, como lo sostiene la parte </w:t>
      </w:r>
      <w:r w:rsidR="00873D05">
        <w:rPr>
          <w:rFonts w:ascii="Arial" w:eastAsia="Times New Roman" w:hAnsi="Arial" w:cs="Arial"/>
          <w:color w:val="000000" w:themeColor="text1"/>
          <w:sz w:val="26"/>
          <w:szCs w:val="26"/>
          <w:lang w:eastAsia="es-ES"/>
        </w:rPr>
        <w:t>actora</w:t>
      </w:r>
      <w:r w:rsidRPr="00AA2685">
        <w:rPr>
          <w:rFonts w:ascii="Arial" w:eastAsia="Times New Roman" w:hAnsi="Arial" w:cs="Arial"/>
          <w:color w:val="000000" w:themeColor="text1"/>
          <w:sz w:val="26"/>
          <w:szCs w:val="26"/>
          <w:lang w:eastAsia="es-ES"/>
        </w:rPr>
        <w:t xml:space="preserve">, la </w:t>
      </w:r>
      <w:r w:rsidR="00873D05" w:rsidRPr="00873D05">
        <w:rPr>
          <w:rFonts w:ascii="Arial" w:eastAsia="Times New Roman" w:hAnsi="Arial" w:cs="Arial"/>
          <w:i/>
          <w:color w:val="000000" w:themeColor="text1"/>
          <w:sz w:val="26"/>
          <w:szCs w:val="26"/>
          <w:lang w:eastAsia="es-ES"/>
        </w:rPr>
        <w:t>A quo</w:t>
      </w:r>
      <w:r w:rsidRPr="00AA2685">
        <w:rPr>
          <w:rFonts w:ascii="Arial" w:eastAsia="Times New Roman" w:hAnsi="Arial" w:cs="Arial"/>
          <w:color w:val="000000" w:themeColor="text1"/>
          <w:sz w:val="26"/>
          <w:szCs w:val="26"/>
          <w:lang w:eastAsia="es-ES"/>
        </w:rPr>
        <w:t xml:space="preserve"> al emitir la sentencia que impugna, contravino el </w:t>
      </w:r>
      <w:r w:rsidRPr="00AA2685">
        <w:rPr>
          <w:rFonts w:ascii="Arial" w:eastAsia="Times New Roman" w:hAnsi="Arial" w:cs="Arial"/>
          <w:i/>
          <w:color w:val="000000" w:themeColor="text1"/>
          <w:sz w:val="26"/>
          <w:szCs w:val="26"/>
          <w:lang w:eastAsia="es-ES"/>
        </w:rPr>
        <w:t>principio de congruencia</w:t>
      </w:r>
      <w:r w:rsidRPr="00AA2685">
        <w:rPr>
          <w:rFonts w:ascii="Arial" w:eastAsia="Times New Roman" w:hAnsi="Arial" w:cs="Arial"/>
          <w:color w:val="000000" w:themeColor="text1"/>
          <w:sz w:val="26"/>
          <w:szCs w:val="26"/>
          <w:lang w:eastAsia="es-ES"/>
        </w:rPr>
        <w:t xml:space="preserve">, habida cuenta que dejó de tomar en consideración lo realmente </w:t>
      </w:r>
      <w:r w:rsidR="00116B50">
        <w:rPr>
          <w:rFonts w:ascii="Arial" w:eastAsia="Times New Roman" w:hAnsi="Arial" w:cs="Arial"/>
          <w:color w:val="000000" w:themeColor="text1"/>
          <w:sz w:val="26"/>
          <w:szCs w:val="26"/>
          <w:lang w:eastAsia="es-ES"/>
        </w:rPr>
        <w:t>argumentado por la parte actora.</w:t>
      </w:r>
    </w:p>
    <w:p w:rsidR="002C7B6E" w:rsidRPr="00AA2685" w:rsidRDefault="002C7B6E" w:rsidP="00AA2685">
      <w:pPr>
        <w:spacing w:after="0" w:line="360" w:lineRule="auto"/>
        <w:ind w:left="-284" w:firstLine="568"/>
        <w:jc w:val="both"/>
        <w:rPr>
          <w:rFonts w:ascii="Arial" w:eastAsia="Times New Roman" w:hAnsi="Arial" w:cs="Arial"/>
          <w:color w:val="000000" w:themeColor="text1"/>
          <w:sz w:val="26"/>
          <w:szCs w:val="26"/>
          <w:lang w:eastAsia="es-ES"/>
        </w:rPr>
      </w:pPr>
    </w:p>
    <w:p w:rsidR="00AA2685" w:rsidRDefault="00AA2685" w:rsidP="002A736B">
      <w:pPr>
        <w:spacing w:after="0" w:line="360" w:lineRule="auto"/>
        <w:ind w:left="-284" w:firstLine="568"/>
        <w:jc w:val="both"/>
        <w:rPr>
          <w:rFonts w:ascii="Arial" w:eastAsia="Times New Roman" w:hAnsi="Arial" w:cs="Arial"/>
          <w:color w:val="000000" w:themeColor="text1"/>
          <w:sz w:val="26"/>
          <w:szCs w:val="26"/>
          <w:lang w:eastAsia="es-ES"/>
        </w:rPr>
      </w:pPr>
      <w:r w:rsidRPr="00AA2685">
        <w:rPr>
          <w:rFonts w:ascii="Arial" w:eastAsia="Times New Roman" w:hAnsi="Arial" w:cs="Arial"/>
          <w:color w:val="000000" w:themeColor="text1"/>
          <w:sz w:val="26"/>
          <w:szCs w:val="26"/>
          <w:lang w:eastAsia="es-ES"/>
        </w:rPr>
        <w:t xml:space="preserve">Ciertamente, en el punto </w:t>
      </w:r>
      <w:r w:rsidR="002A736B">
        <w:rPr>
          <w:rFonts w:ascii="Arial" w:eastAsia="Times New Roman" w:hAnsi="Arial" w:cs="Arial"/>
          <w:color w:val="000000" w:themeColor="text1"/>
          <w:sz w:val="26"/>
          <w:szCs w:val="26"/>
          <w:lang w:eastAsia="es-ES"/>
        </w:rPr>
        <w:t>relativo a las pretensiones</w:t>
      </w:r>
      <w:r w:rsidRPr="00AA2685">
        <w:rPr>
          <w:rFonts w:ascii="Arial" w:eastAsia="Times New Roman" w:hAnsi="Arial" w:cs="Arial"/>
          <w:color w:val="000000" w:themeColor="text1"/>
          <w:sz w:val="26"/>
          <w:szCs w:val="26"/>
          <w:lang w:eastAsia="es-ES"/>
        </w:rPr>
        <w:t xml:space="preserve"> </w:t>
      </w:r>
      <w:r w:rsidR="002A736B">
        <w:rPr>
          <w:rFonts w:ascii="Arial" w:eastAsia="Times New Roman" w:hAnsi="Arial" w:cs="Arial"/>
          <w:color w:val="000000" w:themeColor="text1"/>
          <w:sz w:val="26"/>
          <w:szCs w:val="26"/>
          <w:lang w:eastAsia="es-ES"/>
        </w:rPr>
        <w:t>expresadas</w:t>
      </w:r>
      <w:r w:rsidRPr="00AA2685">
        <w:rPr>
          <w:rFonts w:ascii="Arial" w:eastAsia="Times New Roman" w:hAnsi="Arial" w:cs="Arial"/>
          <w:color w:val="000000" w:themeColor="text1"/>
          <w:sz w:val="26"/>
          <w:szCs w:val="26"/>
          <w:lang w:eastAsia="es-ES"/>
        </w:rPr>
        <w:t xml:space="preserve"> por </w:t>
      </w:r>
      <w:r w:rsidR="00FD4BBE">
        <w:rPr>
          <w:rFonts w:ascii="Arial" w:eastAsia="Times New Roman" w:hAnsi="Arial" w:cs="Arial"/>
          <w:color w:val="000000" w:themeColor="text1"/>
          <w:sz w:val="26"/>
          <w:szCs w:val="26"/>
          <w:lang w:eastAsia="es-ES"/>
        </w:rPr>
        <w:t>la parte actora en su demanda, é</w:t>
      </w:r>
      <w:r w:rsidRPr="00AA2685">
        <w:rPr>
          <w:rFonts w:ascii="Arial" w:eastAsia="Times New Roman" w:hAnsi="Arial" w:cs="Arial"/>
          <w:color w:val="000000" w:themeColor="text1"/>
          <w:sz w:val="26"/>
          <w:szCs w:val="26"/>
          <w:lang w:eastAsia="es-ES"/>
        </w:rPr>
        <w:t>sta adujo lo siguiente:</w:t>
      </w:r>
    </w:p>
    <w:p w:rsidR="00015E75" w:rsidRDefault="00015E75" w:rsidP="002A736B">
      <w:pPr>
        <w:spacing w:after="0" w:line="360" w:lineRule="auto"/>
        <w:ind w:left="-284" w:firstLine="568"/>
        <w:jc w:val="both"/>
        <w:rPr>
          <w:rFonts w:ascii="Arial" w:eastAsia="Times New Roman" w:hAnsi="Arial" w:cs="Arial"/>
          <w:color w:val="000000" w:themeColor="text1"/>
          <w:sz w:val="26"/>
          <w:szCs w:val="26"/>
          <w:lang w:eastAsia="es-ES"/>
        </w:rPr>
      </w:pPr>
    </w:p>
    <w:p w:rsidR="002A736B" w:rsidRPr="00C977E3" w:rsidRDefault="002A736B" w:rsidP="00C977E3">
      <w:pPr>
        <w:spacing w:after="0" w:line="240" w:lineRule="auto"/>
        <w:ind w:left="567" w:right="333"/>
        <w:jc w:val="both"/>
        <w:rPr>
          <w:rFonts w:ascii="Arial" w:eastAsia="Times New Roman" w:hAnsi="Arial" w:cs="Arial"/>
          <w:i/>
          <w:color w:val="000000" w:themeColor="text1"/>
          <w:szCs w:val="24"/>
          <w:lang w:eastAsia="es-ES"/>
        </w:rPr>
      </w:pPr>
      <w:r w:rsidRPr="00C977E3">
        <w:rPr>
          <w:rFonts w:ascii="Arial" w:eastAsia="Times New Roman" w:hAnsi="Arial" w:cs="Arial"/>
          <w:i/>
          <w:color w:val="000000" w:themeColor="text1"/>
          <w:szCs w:val="24"/>
          <w:lang w:eastAsia="es-ES"/>
        </w:rPr>
        <w:t xml:space="preserve">“A) </w:t>
      </w:r>
      <w:r w:rsidR="003E3AF9" w:rsidRPr="00C977E3">
        <w:rPr>
          <w:rFonts w:ascii="Arial" w:eastAsia="Times New Roman" w:hAnsi="Arial" w:cs="Arial"/>
          <w:i/>
          <w:color w:val="000000" w:themeColor="text1"/>
          <w:szCs w:val="24"/>
          <w:lang w:eastAsia="es-ES"/>
        </w:rPr>
        <w:t xml:space="preserve">El cumplimiento del contrato administrativo celebrado con mi representada el día 28 de agosto del año 2014 relativo a los servicios de consultoría y asesoría consistentes en gestión, trámite de beneficios, compensaciones y ahorros en las obligaciones fiscales derivadas de las retenciones de impuesto sobre la renta por concepto de pago de sueldos y salarios de la nómina del </w:t>
      </w:r>
      <w:r w:rsidR="003E3AF9" w:rsidRPr="00C977E3">
        <w:rPr>
          <w:rFonts w:ascii="Arial" w:eastAsia="Times New Roman" w:hAnsi="Arial" w:cs="Arial"/>
          <w:b/>
          <w:i/>
          <w:color w:val="000000" w:themeColor="text1"/>
          <w:szCs w:val="24"/>
          <w:lang w:eastAsia="es-ES"/>
        </w:rPr>
        <w:t>INSTITUTO ESTATAL DE EDUCACIÓN PÚBLICA EN EL ESTADO DE OAXACA,</w:t>
      </w:r>
      <w:r w:rsidR="003E3AF9" w:rsidRPr="00C977E3">
        <w:rPr>
          <w:rFonts w:ascii="Arial" w:eastAsia="Times New Roman" w:hAnsi="Arial" w:cs="Arial"/>
          <w:i/>
          <w:color w:val="000000" w:themeColor="text1"/>
          <w:szCs w:val="24"/>
          <w:lang w:eastAsia="es-ES"/>
        </w:rPr>
        <w:t xml:space="preserve"> del ejercicio fiscal 2014, así como asesoría integral, atención y seguimiento respecto de auditorías que la Secretaría de Hacienda y Crédito Público lleve a cabo por los ejercicios 2014 y anteriores.</w:t>
      </w:r>
    </w:p>
    <w:p w:rsidR="003E3AF9" w:rsidRPr="00C977E3" w:rsidRDefault="003E3AF9" w:rsidP="00C977E3">
      <w:pPr>
        <w:spacing w:after="0" w:line="240" w:lineRule="auto"/>
        <w:ind w:left="567" w:right="333"/>
        <w:jc w:val="both"/>
        <w:rPr>
          <w:rFonts w:ascii="Arial" w:eastAsia="Times New Roman" w:hAnsi="Arial" w:cs="Arial"/>
          <w:i/>
          <w:color w:val="000000" w:themeColor="text1"/>
          <w:szCs w:val="24"/>
          <w:lang w:eastAsia="es-ES"/>
        </w:rPr>
      </w:pPr>
      <w:r w:rsidRPr="00C977E3">
        <w:rPr>
          <w:rFonts w:ascii="Arial" w:eastAsia="Times New Roman" w:hAnsi="Arial" w:cs="Arial"/>
          <w:i/>
          <w:color w:val="000000" w:themeColor="text1"/>
          <w:szCs w:val="24"/>
          <w:lang w:eastAsia="es-ES"/>
        </w:rPr>
        <w:t xml:space="preserve">B) Como consecuencia del cumplimiento de contrato a que se refiere la prestación identificada anteriormente como inciso A), demando el pago de la cantidad de </w:t>
      </w:r>
      <w:r w:rsidR="00160F33">
        <w:rPr>
          <w:rFonts w:ascii="Arial" w:hAnsi="Arial" w:cs="Arial"/>
          <w:sz w:val="26"/>
          <w:szCs w:val="26"/>
        </w:rPr>
        <w:t>**********</w:t>
      </w:r>
      <w:r w:rsidR="00160F33">
        <w:rPr>
          <w:rFonts w:ascii="Arial" w:eastAsia="Times New Roman" w:hAnsi="Arial" w:cs="Arial"/>
          <w:b/>
          <w:i/>
          <w:color w:val="000000" w:themeColor="text1"/>
          <w:szCs w:val="24"/>
          <w:lang w:eastAsia="es-ES"/>
        </w:rPr>
        <w:t xml:space="preserve"> </w:t>
      </w:r>
      <w:r w:rsidRPr="00C977E3">
        <w:rPr>
          <w:rFonts w:ascii="Arial" w:eastAsia="Times New Roman" w:hAnsi="Arial" w:cs="Arial"/>
          <w:b/>
          <w:i/>
          <w:color w:val="000000" w:themeColor="text1"/>
          <w:szCs w:val="24"/>
          <w:lang w:eastAsia="es-ES"/>
        </w:rPr>
        <w:t xml:space="preserve">incluido el impuesto al valor agregado </w:t>
      </w:r>
      <w:r w:rsidRPr="00C977E3">
        <w:rPr>
          <w:rFonts w:ascii="Arial" w:eastAsia="Times New Roman" w:hAnsi="Arial" w:cs="Arial"/>
          <w:i/>
          <w:color w:val="000000" w:themeColor="text1"/>
          <w:szCs w:val="24"/>
          <w:lang w:eastAsia="es-ES"/>
        </w:rPr>
        <w:t xml:space="preserve">por concepto de servicios otorgados por mi representada en favor del organismo </w:t>
      </w:r>
      <w:r w:rsidRPr="00C977E3">
        <w:rPr>
          <w:rFonts w:ascii="Arial" w:eastAsia="Times New Roman" w:hAnsi="Arial" w:cs="Arial"/>
          <w:i/>
          <w:color w:val="000000" w:themeColor="text1"/>
          <w:szCs w:val="24"/>
          <w:lang w:eastAsia="es-ES"/>
        </w:rPr>
        <w:lastRenderedPageBreak/>
        <w:t>demandado, reclamación que se formula y que deberá liquidar la demandada en estricto y obligatorio cumplimiento a las cláusulas PRIMERA, TERCERA Y QUINTA del contrato celebrado con mi representada cuyo objeto principal se describe en el inciso anterior.</w:t>
      </w:r>
    </w:p>
    <w:p w:rsidR="003E3AF9" w:rsidRPr="00C977E3" w:rsidRDefault="003E3AF9" w:rsidP="00C977E3">
      <w:pPr>
        <w:spacing w:after="0" w:line="240" w:lineRule="auto"/>
        <w:ind w:left="567" w:right="333"/>
        <w:jc w:val="both"/>
        <w:rPr>
          <w:rFonts w:ascii="Arial" w:eastAsia="Times New Roman" w:hAnsi="Arial" w:cs="Arial"/>
          <w:i/>
          <w:color w:val="000000" w:themeColor="text1"/>
          <w:szCs w:val="24"/>
          <w:lang w:eastAsia="es-ES"/>
        </w:rPr>
      </w:pPr>
      <w:r w:rsidRPr="00C977E3">
        <w:rPr>
          <w:rFonts w:ascii="Arial" w:eastAsia="Times New Roman" w:hAnsi="Arial" w:cs="Arial"/>
          <w:i/>
          <w:color w:val="000000" w:themeColor="text1"/>
          <w:szCs w:val="24"/>
          <w:lang w:eastAsia="es-ES"/>
        </w:rPr>
        <w:t xml:space="preserve">C) El pago de los intereses legales </w:t>
      </w:r>
      <w:r w:rsidR="00126163" w:rsidRPr="00C977E3">
        <w:rPr>
          <w:rFonts w:ascii="Arial" w:eastAsia="Times New Roman" w:hAnsi="Arial" w:cs="Arial"/>
          <w:i/>
          <w:color w:val="000000" w:themeColor="text1"/>
          <w:szCs w:val="24"/>
          <w:lang w:eastAsia="es-ES"/>
        </w:rPr>
        <w:t>a razón del 9% anual sobre la cantidad reclamada en el inciso anterior, por todo el plazo que dure el incumplimiento de pago reclamado, computado desde la fecha que debería haber pagado los servicios que se le reclaman y hasta la total solución del adeudo en términos de lo dispuesto por el artículo 2270 del Código Civil para el Estado de Oaxaca.</w:t>
      </w:r>
    </w:p>
    <w:p w:rsidR="00126163" w:rsidRPr="00C977E3" w:rsidRDefault="00126163" w:rsidP="00C977E3">
      <w:pPr>
        <w:spacing w:after="0" w:line="240" w:lineRule="auto"/>
        <w:ind w:left="567" w:right="333"/>
        <w:jc w:val="both"/>
        <w:rPr>
          <w:rFonts w:ascii="Arial" w:eastAsia="Times New Roman" w:hAnsi="Arial" w:cs="Arial"/>
          <w:i/>
          <w:color w:val="000000" w:themeColor="text1"/>
          <w:szCs w:val="24"/>
          <w:lang w:eastAsia="es-ES"/>
        </w:rPr>
      </w:pPr>
      <w:r w:rsidRPr="00C977E3">
        <w:rPr>
          <w:rFonts w:ascii="Arial" w:eastAsia="Times New Roman" w:hAnsi="Arial" w:cs="Arial"/>
          <w:i/>
          <w:color w:val="000000" w:themeColor="text1"/>
          <w:szCs w:val="24"/>
          <w:lang w:eastAsia="es-ES"/>
        </w:rPr>
        <w:t>D) El pago de los gastos judiciales en términos del artículo 129 del Código de Procedimientos Civiles del Estado de Oaxaca, de aplicación supletoria a la Ley para Adquisiciones, Arrendamientos y Servicios del Estado de Oaxaca</w:t>
      </w:r>
      <w:r w:rsidR="00AB7D58" w:rsidRPr="00C977E3">
        <w:rPr>
          <w:rFonts w:ascii="Arial" w:eastAsia="Times New Roman" w:hAnsi="Arial" w:cs="Arial"/>
          <w:i/>
          <w:color w:val="000000" w:themeColor="text1"/>
          <w:szCs w:val="24"/>
          <w:lang w:eastAsia="es-ES"/>
        </w:rPr>
        <w:t>.</w:t>
      </w:r>
    </w:p>
    <w:p w:rsidR="003E3AF9" w:rsidRPr="00AA2685" w:rsidRDefault="003E3AF9" w:rsidP="00AB7D58">
      <w:pPr>
        <w:spacing w:after="0" w:line="360" w:lineRule="auto"/>
        <w:ind w:left="567" w:right="333"/>
        <w:jc w:val="both"/>
        <w:rPr>
          <w:rFonts w:ascii="Arial" w:eastAsia="Times New Roman" w:hAnsi="Arial" w:cs="Arial"/>
          <w:i/>
          <w:color w:val="000000" w:themeColor="text1"/>
          <w:sz w:val="24"/>
          <w:szCs w:val="24"/>
          <w:lang w:eastAsia="es-ES"/>
        </w:rPr>
      </w:pPr>
    </w:p>
    <w:p w:rsidR="0068145D" w:rsidRDefault="00AB7D58" w:rsidP="008B26FD">
      <w:pPr>
        <w:spacing w:line="360" w:lineRule="auto"/>
        <w:ind w:right="-93" w:firstLine="567"/>
        <w:jc w:val="both"/>
        <w:rPr>
          <w:rFonts w:ascii="Arial" w:hAnsi="Arial" w:cs="Arial"/>
          <w:color w:val="000000" w:themeColor="text1"/>
          <w:sz w:val="26"/>
          <w:szCs w:val="26"/>
        </w:rPr>
      </w:pPr>
      <w:r w:rsidRPr="00AB7D58">
        <w:rPr>
          <w:rFonts w:ascii="Arial" w:hAnsi="Arial" w:cs="Arial"/>
          <w:color w:val="000000" w:themeColor="text1"/>
          <w:sz w:val="26"/>
          <w:szCs w:val="26"/>
        </w:rPr>
        <w:t xml:space="preserve">Como puede advertirse, lo que la parte actora impugnó </w:t>
      </w:r>
      <w:r>
        <w:rPr>
          <w:rFonts w:ascii="Arial" w:hAnsi="Arial" w:cs="Arial"/>
          <w:color w:val="000000" w:themeColor="text1"/>
          <w:sz w:val="26"/>
          <w:szCs w:val="26"/>
        </w:rPr>
        <w:t xml:space="preserve">fue el </w:t>
      </w:r>
      <w:r w:rsidR="008B26FD">
        <w:rPr>
          <w:rFonts w:ascii="Arial" w:hAnsi="Arial" w:cs="Arial"/>
          <w:color w:val="000000" w:themeColor="text1"/>
          <w:sz w:val="26"/>
          <w:szCs w:val="26"/>
        </w:rPr>
        <w:t>in</w:t>
      </w:r>
      <w:r>
        <w:rPr>
          <w:rFonts w:ascii="Arial" w:hAnsi="Arial" w:cs="Arial"/>
          <w:color w:val="000000" w:themeColor="text1"/>
          <w:sz w:val="26"/>
          <w:szCs w:val="26"/>
        </w:rPr>
        <w:t xml:space="preserve">cumplimiento de pago del contrato administrativo que celebró con el </w:t>
      </w:r>
      <w:r w:rsidRPr="00FC1CC2">
        <w:rPr>
          <w:rFonts w:ascii="Arial" w:hAnsi="Arial" w:cs="Arial"/>
          <w:b/>
          <w:color w:val="000000" w:themeColor="text1"/>
          <w:sz w:val="26"/>
          <w:szCs w:val="26"/>
        </w:rPr>
        <w:t>INSTITUTO ESTATAL DE EDUCACIÓN</w:t>
      </w:r>
      <w:r w:rsidR="008B26FD" w:rsidRPr="00FC1CC2">
        <w:rPr>
          <w:rFonts w:ascii="Arial" w:hAnsi="Arial" w:cs="Arial"/>
          <w:b/>
          <w:color w:val="000000" w:themeColor="text1"/>
          <w:sz w:val="26"/>
          <w:szCs w:val="26"/>
        </w:rPr>
        <w:t xml:space="preserve"> PÚBLICA EN EL ESTADO DE OAXACA,</w:t>
      </w:r>
      <w:r w:rsidR="008B26FD">
        <w:rPr>
          <w:rFonts w:ascii="Arial" w:hAnsi="Arial" w:cs="Arial"/>
          <w:color w:val="000000" w:themeColor="text1"/>
          <w:sz w:val="26"/>
          <w:szCs w:val="26"/>
        </w:rPr>
        <w:t xml:space="preserve"> por la prestación de diversos servicios.</w:t>
      </w:r>
    </w:p>
    <w:p w:rsidR="00AE398D" w:rsidRDefault="00260BF9" w:rsidP="00AE398D">
      <w:pPr>
        <w:spacing w:line="360" w:lineRule="auto"/>
        <w:ind w:right="-93" w:firstLine="567"/>
        <w:jc w:val="both"/>
        <w:rPr>
          <w:rFonts w:ascii="Arial" w:hAnsi="Arial" w:cs="Arial"/>
          <w:color w:val="000000" w:themeColor="text1"/>
          <w:sz w:val="26"/>
          <w:szCs w:val="26"/>
        </w:rPr>
      </w:pPr>
      <w:r w:rsidRPr="00260BF9">
        <w:rPr>
          <w:rFonts w:ascii="Arial" w:hAnsi="Arial" w:cs="Arial"/>
          <w:color w:val="000000" w:themeColor="text1"/>
          <w:sz w:val="26"/>
          <w:szCs w:val="26"/>
        </w:rPr>
        <w:t xml:space="preserve">Por su parte, la Sala responsable al </w:t>
      </w:r>
      <w:r w:rsidR="003C55E3">
        <w:rPr>
          <w:rFonts w:ascii="Arial" w:hAnsi="Arial" w:cs="Arial"/>
          <w:color w:val="000000" w:themeColor="text1"/>
          <w:sz w:val="26"/>
          <w:szCs w:val="26"/>
        </w:rPr>
        <w:t xml:space="preserve">tratar de </w:t>
      </w:r>
      <w:r w:rsidRPr="00260BF9">
        <w:rPr>
          <w:rFonts w:ascii="Arial" w:hAnsi="Arial" w:cs="Arial"/>
          <w:color w:val="000000" w:themeColor="text1"/>
          <w:sz w:val="26"/>
          <w:szCs w:val="26"/>
        </w:rPr>
        <w:t>resolver el juicio de nulidad, en el considerando quinto de la sentenci</w:t>
      </w:r>
      <w:r w:rsidR="00AE398D">
        <w:rPr>
          <w:rFonts w:ascii="Arial" w:hAnsi="Arial" w:cs="Arial"/>
          <w:color w:val="000000" w:themeColor="text1"/>
          <w:sz w:val="26"/>
          <w:szCs w:val="26"/>
        </w:rPr>
        <w:t>a recurrida señaló lo siguiente:</w:t>
      </w:r>
    </w:p>
    <w:p w:rsidR="00260BF9" w:rsidRPr="00C977E3" w:rsidRDefault="00260BF9" w:rsidP="00C977E3">
      <w:pPr>
        <w:spacing w:line="240" w:lineRule="auto"/>
        <w:ind w:left="567" w:right="616"/>
        <w:jc w:val="both"/>
        <w:rPr>
          <w:rFonts w:ascii="Arial" w:hAnsi="Arial" w:cs="Arial"/>
          <w:bCs/>
          <w:i/>
          <w:color w:val="000000"/>
          <w:szCs w:val="24"/>
          <w:lang w:val="es-MX"/>
        </w:rPr>
      </w:pPr>
      <w:r w:rsidRPr="00C977E3">
        <w:rPr>
          <w:rFonts w:ascii="Arial" w:hAnsi="Arial" w:cs="Arial"/>
          <w:bCs/>
          <w:i/>
          <w:color w:val="000000"/>
          <w:szCs w:val="24"/>
          <w:lang w:val="es-MX"/>
        </w:rPr>
        <w:t xml:space="preserve">      </w:t>
      </w:r>
      <w:r w:rsidRPr="00C977E3">
        <w:rPr>
          <w:rFonts w:ascii="Arial" w:hAnsi="Arial" w:cs="Arial"/>
          <w:b/>
          <w:bCs/>
          <w:i/>
          <w:color w:val="000000"/>
          <w:szCs w:val="24"/>
          <w:lang w:val="es-MX"/>
        </w:rPr>
        <w:t xml:space="preserve">“QUINTO.- </w:t>
      </w:r>
      <w:r w:rsidRPr="00C977E3">
        <w:rPr>
          <w:rFonts w:ascii="Arial" w:hAnsi="Arial" w:cs="Arial"/>
          <w:bCs/>
          <w:i/>
          <w:color w:val="000000"/>
          <w:szCs w:val="24"/>
          <w:lang w:val="es-MX"/>
        </w:rPr>
        <w:t xml:space="preserve">Las causales de improcedencia y sobreseimiento 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131 y 132, de la ley de la materia. </w:t>
      </w:r>
    </w:p>
    <w:p w:rsidR="00260BF9" w:rsidRPr="00C977E3" w:rsidRDefault="00260BF9" w:rsidP="00C977E3">
      <w:pPr>
        <w:spacing w:line="240" w:lineRule="auto"/>
        <w:ind w:left="567" w:right="616"/>
        <w:jc w:val="both"/>
        <w:rPr>
          <w:rFonts w:ascii="Arial" w:hAnsi="Arial" w:cs="Arial"/>
          <w:bCs/>
          <w:i/>
          <w:color w:val="000000"/>
          <w:szCs w:val="24"/>
          <w:lang w:val="es-MX"/>
        </w:rPr>
      </w:pPr>
      <w:r w:rsidRPr="00C977E3">
        <w:rPr>
          <w:rFonts w:ascii="Arial" w:hAnsi="Arial" w:cs="Arial"/>
          <w:bCs/>
          <w:i/>
          <w:color w:val="000000"/>
          <w:szCs w:val="24"/>
          <w:lang w:val="es-MX"/>
        </w:rPr>
        <w:t xml:space="preserve">     Esta juzgadora considera que en el presente asunto se actualiza la causal de </w:t>
      </w:r>
      <w:r w:rsidRPr="00C977E3">
        <w:rPr>
          <w:rFonts w:ascii="Arial" w:hAnsi="Arial" w:cs="Arial"/>
          <w:b/>
          <w:bCs/>
          <w:i/>
          <w:color w:val="000000"/>
          <w:szCs w:val="24"/>
          <w:lang w:val="es-MX"/>
        </w:rPr>
        <w:t xml:space="preserve">IMPROCEDENCIA </w:t>
      </w:r>
      <w:r w:rsidRPr="00C977E3">
        <w:rPr>
          <w:rFonts w:ascii="Arial" w:hAnsi="Arial" w:cs="Arial"/>
          <w:bCs/>
          <w:i/>
          <w:color w:val="000000"/>
          <w:szCs w:val="24"/>
          <w:lang w:val="es-MX"/>
        </w:rPr>
        <w:t>prevista en la fracción VII del artículo 131 de la Ley de Justicia Administrativa del Estado de Oaxaca, que a la letra dice: “ARTICULO 131.- Es improcedente el juicio ante el Tribunal de lo Contenciosos Administrativo contra actos: I, II, III, IV, V, VI, VII.- Contra actos cuyos efectos legales o materiales hayan cesado o que no puedan surtirse efectos por haber dejado de existir el objeto o materia del mismo;…”</w:t>
      </w:r>
    </w:p>
    <w:p w:rsidR="00260BF9" w:rsidRPr="00C977E3" w:rsidRDefault="00260BF9" w:rsidP="00C977E3">
      <w:pPr>
        <w:spacing w:line="240" w:lineRule="auto"/>
        <w:ind w:left="567" w:right="616"/>
        <w:jc w:val="both"/>
        <w:rPr>
          <w:rFonts w:ascii="Arial" w:hAnsi="Arial" w:cs="Arial"/>
          <w:bCs/>
          <w:i/>
          <w:color w:val="000000"/>
          <w:szCs w:val="24"/>
          <w:lang w:val="es-MX"/>
        </w:rPr>
      </w:pPr>
      <w:r w:rsidRPr="00C977E3">
        <w:rPr>
          <w:rFonts w:ascii="Arial" w:hAnsi="Arial" w:cs="Arial"/>
          <w:bCs/>
          <w:i/>
          <w:color w:val="000000"/>
          <w:szCs w:val="24"/>
          <w:lang w:val="es-MX"/>
        </w:rPr>
        <w:t xml:space="preserve">      En efecto se toma en cuenta  que la parte actora </w:t>
      </w:r>
      <w:r w:rsidR="00160F33">
        <w:rPr>
          <w:rFonts w:ascii="Arial" w:hAnsi="Arial" w:cs="Arial"/>
          <w:bCs/>
          <w:i/>
          <w:color w:val="000000"/>
          <w:szCs w:val="24"/>
          <w:lang w:val="es-MX"/>
        </w:rPr>
        <w:t xml:space="preserve"> </w:t>
      </w:r>
      <w:r w:rsidR="00160F33">
        <w:rPr>
          <w:rFonts w:ascii="Arial" w:hAnsi="Arial" w:cs="Arial"/>
          <w:sz w:val="26"/>
          <w:szCs w:val="26"/>
        </w:rPr>
        <w:t>**********</w:t>
      </w:r>
      <w:r w:rsidR="00160F33">
        <w:rPr>
          <w:rFonts w:ascii="Arial" w:hAnsi="Arial" w:cs="Arial"/>
          <w:sz w:val="26"/>
          <w:szCs w:val="26"/>
        </w:rPr>
        <w:t xml:space="preserve"> </w:t>
      </w:r>
      <w:r w:rsidRPr="00C977E3">
        <w:rPr>
          <w:rFonts w:ascii="Arial" w:hAnsi="Arial" w:cs="Arial"/>
          <w:bCs/>
          <w:i/>
          <w:color w:val="000000"/>
          <w:szCs w:val="24"/>
          <w:lang w:val="es-MX"/>
        </w:rPr>
        <w:t xml:space="preserve">señalo como acto impugnado, el cumplimiento del contrato de prestación de servicios </w:t>
      </w:r>
      <w:r w:rsidR="00160F33">
        <w:rPr>
          <w:rFonts w:ascii="Arial" w:hAnsi="Arial" w:cs="Arial"/>
          <w:bCs/>
          <w:i/>
          <w:color w:val="000000"/>
          <w:szCs w:val="24"/>
          <w:lang w:val="es-MX"/>
        </w:rPr>
        <w:t xml:space="preserve">número </w:t>
      </w:r>
      <w:r w:rsidR="00160F33">
        <w:rPr>
          <w:rFonts w:ascii="Arial" w:hAnsi="Arial" w:cs="Arial"/>
          <w:sz w:val="26"/>
          <w:szCs w:val="26"/>
        </w:rPr>
        <w:t>**********</w:t>
      </w:r>
      <w:r w:rsidRPr="00C977E3">
        <w:rPr>
          <w:rFonts w:ascii="Arial" w:hAnsi="Arial" w:cs="Arial"/>
          <w:bCs/>
          <w:i/>
          <w:color w:val="000000"/>
          <w:szCs w:val="24"/>
          <w:lang w:val="es-MX"/>
        </w:rPr>
        <w:t xml:space="preserve">, celebrado con la fecha veintiocho de agosto de dos mil catorce (28/08/2014), con el INSTITUTO DE EDUCACIÓN PUBLICA DEL ESTADO DE OAXACA  (IEEPO), mismo que fue agregado a la demanda estableciéndose en el diversas clausulas, detectándose el contenido de la segunda, que a la letra dice: SEGUNDA. CESIÓN DE DERECHOS Y OBLIGACIONES: este contrato es personal e intransferible para “EL DESPACHO” por lo que se obliga a no ceder los derechos y obligaciones del presente contrato a terceras personas físicas y morales, excepto que medie autorización por escrito de “EL INSTITUTO”, “; así como de la decimo cuarta, inciso d) en la que estableció: “DECIMO CUARTA.- CAUSAS DE RESCISIÓN: Las partes convienen expresamente que este contrato podrá darse por terminado sin responsabilidad para “EL INSTITUTO”, en cualquiera de los siguientes casos: a)…, b)…, c)…, d) Cuando “EL DESPACHO” transmita total o parcialmente bajo cualquier titulo de los derechos y obligaciones a que se refiere este contrato, a terceras personas físicas o morales…” </w:t>
      </w:r>
    </w:p>
    <w:p w:rsidR="00260BF9" w:rsidRPr="00C977E3" w:rsidRDefault="00260BF9" w:rsidP="00C977E3">
      <w:pPr>
        <w:spacing w:line="240" w:lineRule="auto"/>
        <w:ind w:left="567" w:right="616"/>
        <w:jc w:val="both"/>
        <w:rPr>
          <w:rFonts w:ascii="Arial" w:hAnsi="Arial" w:cs="Arial"/>
          <w:bCs/>
          <w:i/>
          <w:color w:val="000000"/>
          <w:szCs w:val="24"/>
          <w:lang w:val="es-MX"/>
        </w:rPr>
      </w:pPr>
      <w:r w:rsidRPr="00C977E3">
        <w:rPr>
          <w:rFonts w:ascii="Arial" w:hAnsi="Arial" w:cs="Arial"/>
          <w:bCs/>
          <w:i/>
          <w:color w:val="000000"/>
          <w:szCs w:val="24"/>
          <w:lang w:val="es-MX"/>
        </w:rPr>
        <w:t xml:space="preserve">      Ahora bien, tomando en consideración que las cláusulas de los contratos son declaraciones de voluntad de las partes contratantes, del contenido de las clausulas transcritas, se puede establecer que es una </w:t>
      </w:r>
      <w:r w:rsidRPr="00C977E3">
        <w:rPr>
          <w:rFonts w:ascii="Arial" w:hAnsi="Arial" w:cs="Arial"/>
          <w:bCs/>
          <w:i/>
          <w:color w:val="000000"/>
          <w:szCs w:val="24"/>
          <w:lang w:val="es-MX"/>
        </w:rPr>
        <w:lastRenderedPageBreak/>
        <w:t xml:space="preserve">causa de rescisión del contrato, el hecho de  que “EL DESPACHO” (parte actora) transmita los derechos a que se refiere este contrato a terceras personas fiscas o morales, y en el presente asunto, se advierte que con fecha veintiséis de abril de dos mil diecisiete (26/04/2017), la persona moral </w:t>
      </w:r>
      <w:r w:rsidR="00160F33">
        <w:rPr>
          <w:rFonts w:ascii="Arial" w:hAnsi="Arial" w:cs="Arial"/>
          <w:sz w:val="26"/>
          <w:szCs w:val="26"/>
        </w:rPr>
        <w:t>**********</w:t>
      </w:r>
      <w:r w:rsidR="00160F33">
        <w:rPr>
          <w:rFonts w:ascii="Arial" w:hAnsi="Arial" w:cs="Arial"/>
          <w:sz w:val="26"/>
          <w:szCs w:val="26"/>
        </w:rPr>
        <w:t xml:space="preserve"> </w:t>
      </w:r>
      <w:r w:rsidRPr="00C977E3">
        <w:rPr>
          <w:rFonts w:ascii="Arial" w:hAnsi="Arial" w:cs="Arial"/>
          <w:bCs/>
          <w:i/>
          <w:color w:val="000000"/>
          <w:szCs w:val="24"/>
          <w:lang w:val="es-MX"/>
        </w:rPr>
        <w:t xml:space="preserve">cedió la totalidad de los derechos derivados del contrato, materia del presente juicio a la persona moral </w:t>
      </w:r>
      <w:r w:rsidR="00160F33">
        <w:rPr>
          <w:rFonts w:ascii="Arial" w:hAnsi="Arial" w:cs="Arial"/>
          <w:sz w:val="26"/>
          <w:szCs w:val="26"/>
        </w:rPr>
        <w:t>**********</w:t>
      </w:r>
      <w:r w:rsidR="00160F33">
        <w:rPr>
          <w:rFonts w:ascii="Arial" w:hAnsi="Arial" w:cs="Arial"/>
          <w:sz w:val="26"/>
          <w:szCs w:val="26"/>
        </w:rPr>
        <w:t xml:space="preserve"> </w:t>
      </w:r>
      <w:r w:rsidRPr="00C977E3">
        <w:rPr>
          <w:rFonts w:ascii="Arial" w:hAnsi="Arial" w:cs="Arial"/>
          <w:bCs/>
          <w:i/>
          <w:color w:val="000000"/>
          <w:szCs w:val="24"/>
          <w:lang w:val="es-MX"/>
        </w:rPr>
        <w:t xml:space="preserve">como consta en el original de sesión de derechos exhibido por el actor y que obra en la foja 256 de autos, contrato que incluso fue ratificado ante Notario Público, aunado a que en dicho documento, no se aprecia que haya  existido autorización previa del Instituto Estatal de Educación Pública (IEEPO) para dicha sesión, tal y como se dispuso en la </w:t>
      </w:r>
      <w:r w:rsidR="00160F33" w:rsidRPr="00C977E3">
        <w:rPr>
          <w:rFonts w:ascii="Arial" w:hAnsi="Arial" w:cs="Arial"/>
          <w:bCs/>
          <w:i/>
          <w:color w:val="000000"/>
          <w:szCs w:val="24"/>
          <w:lang w:val="es-MX"/>
        </w:rPr>
        <w:t>cláusula</w:t>
      </w:r>
      <w:r w:rsidRPr="00C977E3">
        <w:rPr>
          <w:rFonts w:ascii="Arial" w:hAnsi="Arial" w:cs="Arial"/>
          <w:bCs/>
          <w:i/>
          <w:color w:val="000000"/>
          <w:szCs w:val="24"/>
          <w:lang w:val="es-MX"/>
        </w:rPr>
        <w:t xml:space="preserve"> segunda del contrato en estudio, por lo anterior, se considera que con dicho actuar de la empresa </w:t>
      </w:r>
      <w:r w:rsidR="00160F33">
        <w:rPr>
          <w:rFonts w:ascii="Arial" w:hAnsi="Arial" w:cs="Arial"/>
          <w:sz w:val="26"/>
          <w:szCs w:val="26"/>
        </w:rPr>
        <w:t>**********</w:t>
      </w:r>
      <w:r w:rsidR="00160F33">
        <w:rPr>
          <w:rFonts w:ascii="Arial" w:hAnsi="Arial" w:cs="Arial"/>
          <w:sz w:val="26"/>
          <w:szCs w:val="26"/>
        </w:rPr>
        <w:t xml:space="preserve"> </w:t>
      </w:r>
      <w:r w:rsidRPr="00C977E3">
        <w:rPr>
          <w:rFonts w:ascii="Arial" w:hAnsi="Arial" w:cs="Arial"/>
          <w:bCs/>
          <w:i/>
          <w:color w:val="000000"/>
          <w:szCs w:val="24"/>
          <w:lang w:val="es-MX"/>
        </w:rPr>
        <w:t xml:space="preserve">cesaron los efectos del contrato, precisamente por actualizarse la cláusula Décimo Cuarta, inciso d), del contrato de prestación de servicios, anulando así el derecho a reclamar su cumplimiento, circunstancias por las que esta autoridad se encuentra impedida para analizar las pretensiones planteadas en la demanda. </w:t>
      </w:r>
    </w:p>
    <w:p w:rsidR="00260BF9" w:rsidRDefault="00260BF9" w:rsidP="00C977E3">
      <w:pPr>
        <w:spacing w:line="240" w:lineRule="auto"/>
        <w:ind w:left="567" w:right="616"/>
        <w:jc w:val="both"/>
        <w:rPr>
          <w:rFonts w:ascii="Arial" w:hAnsi="Arial" w:cs="Arial"/>
          <w:bCs/>
          <w:i/>
          <w:color w:val="000000"/>
          <w:szCs w:val="24"/>
          <w:lang w:val="es-MX"/>
        </w:rPr>
      </w:pPr>
      <w:r w:rsidRPr="00C977E3">
        <w:rPr>
          <w:rFonts w:ascii="Arial" w:hAnsi="Arial" w:cs="Arial"/>
          <w:bCs/>
          <w:i/>
          <w:color w:val="000000"/>
          <w:szCs w:val="24"/>
          <w:lang w:val="es-MX"/>
        </w:rPr>
        <w:t>Habiéndose actualizado una causal de improcedencia del juicio, como consecuencia se SOBRESEE el presente juicio, de conformidad con lo dispuesto en el artículo 132 fracción II de la Ley de Justicia Administrativa para el Estado de Oaxaca, sirve de apoyo a lo anterior, la jurisprudencia con datos de identificación: Gaceta del Semanario Judicial de la Federación. Núm. 77, Mayo de 1994, Octava Época, pág. 77, registro 212468, Jurisprudencia Administrativa, Tribunales Colegiados de Circuito, y de rubro: “SOBRESEIMIENTO DEL JUICIO CONTENCIOSOS-ADMINISTRATIVO, NO PERMITE ENTRAR AL ESTUDIO DE LAS CUESTIONES DE FONDO.” (…)</w:t>
      </w:r>
    </w:p>
    <w:p w:rsidR="00AE398D" w:rsidRPr="00C977E3" w:rsidRDefault="00AE398D" w:rsidP="00C977E3">
      <w:pPr>
        <w:spacing w:line="240" w:lineRule="auto"/>
        <w:ind w:left="567" w:right="616"/>
        <w:jc w:val="both"/>
        <w:rPr>
          <w:rFonts w:ascii="Arial" w:hAnsi="Arial" w:cs="Arial"/>
          <w:bCs/>
          <w:i/>
          <w:color w:val="000000"/>
          <w:szCs w:val="24"/>
          <w:lang w:val="es-MX"/>
        </w:rPr>
      </w:pPr>
    </w:p>
    <w:p w:rsidR="00260BF9" w:rsidRPr="00260BF9" w:rsidRDefault="00D00E8E" w:rsidP="00603468">
      <w:pPr>
        <w:spacing w:line="360" w:lineRule="auto"/>
        <w:ind w:right="-93" w:firstLine="709"/>
        <w:jc w:val="both"/>
        <w:rPr>
          <w:rFonts w:ascii="Arial" w:hAnsi="Arial" w:cs="Arial"/>
          <w:color w:val="000000" w:themeColor="text1"/>
          <w:sz w:val="26"/>
          <w:szCs w:val="26"/>
        </w:rPr>
      </w:pPr>
      <w:r w:rsidRPr="00AE398D">
        <w:rPr>
          <w:rFonts w:ascii="Arial" w:hAnsi="Arial" w:cs="Arial"/>
          <w:color w:val="000000" w:themeColor="text1"/>
          <w:sz w:val="26"/>
          <w:szCs w:val="26"/>
        </w:rPr>
        <w:t xml:space="preserve">Como puede observarse de </w:t>
      </w:r>
      <w:r w:rsidR="00B84B7D" w:rsidRPr="00AE398D">
        <w:rPr>
          <w:rFonts w:ascii="Arial" w:hAnsi="Arial" w:cs="Arial"/>
          <w:color w:val="000000" w:themeColor="text1"/>
          <w:sz w:val="26"/>
          <w:szCs w:val="26"/>
        </w:rPr>
        <w:t>la anterior transcr</w:t>
      </w:r>
      <w:r w:rsidR="00603468" w:rsidRPr="00AE398D">
        <w:rPr>
          <w:rFonts w:ascii="Arial" w:hAnsi="Arial" w:cs="Arial"/>
          <w:color w:val="000000" w:themeColor="text1"/>
          <w:sz w:val="26"/>
          <w:szCs w:val="26"/>
        </w:rPr>
        <w:t xml:space="preserve">ipción, </w:t>
      </w:r>
      <w:r w:rsidRPr="00AE398D">
        <w:rPr>
          <w:rFonts w:ascii="Arial" w:hAnsi="Arial" w:cs="Arial"/>
          <w:color w:val="000000" w:themeColor="text1"/>
          <w:sz w:val="26"/>
          <w:szCs w:val="26"/>
        </w:rPr>
        <w:t xml:space="preserve">la Sala de Primera Instancia </w:t>
      </w:r>
      <w:r w:rsidR="00CB7EB1" w:rsidRPr="00AE398D">
        <w:rPr>
          <w:rFonts w:ascii="Arial" w:hAnsi="Arial" w:cs="Arial"/>
          <w:color w:val="000000" w:themeColor="text1"/>
          <w:sz w:val="26"/>
          <w:szCs w:val="26"/>
        </w:rPr>
        <w:t>no examinó en sus términos los</w:t>
      </w:r>
      <w:r w:rsidRPr="00AE398D">
        <w:rPr>
          <w:rFonts w:ascii="Arial" w:hAnsi="Arial" w:cs="Arial"/>
          <w:color w:val="000000" w:themeColor="text1"/>
          <w:sz w:val="26"/>
          <w:szCs w:val="26"/>
        </w:rPr>
        <w:t xml:space="preserve"> planteamiento</w:t>
      </w:r>
      <w:r w:rsidR="00CB7EB1" w:rsidRPr="00AE398D">
        <w:rPr>
          <w:rFonts w:ascii="Arial" w:hAnsi="Arial" w:cs="Arial"/>
          <w:color w:val="000000" w:themeColor="text1"/>
          <w:sz w:val="26"/>
          <w:szCs w:val="26"/>
        </w:rPr>
        <w:t>s</w:t>
      </w:r>
      <w:r w:rsidRPr="00AE398D">
        <w:rPr>
          <w:rFonts w:ascii="Arial" w:hAnsi="Arial" w:cs="Arial"/>
          <w:color w:val="000000" w:themeColor="text1"/>
          <w:sz w:val="26"/>
          <w:szCs w:val="26"/>
        </w:rPr>
        <w:t xml:space="preserve"> propuesto</w:t>
      </w:r>
      <w:r w:rsidR="00CB7EB1" w:rsidRPr="00AE398D">
        <w:rPr>
          <w:rFonts w:ascii="Arial" w:hAnsi="Arial" w:cs="Arial"/>
          <w:color w:val="000000" w:themeColor="text1"/>
          <w:sz w:val="26"/>
          <w:szCs w:val="26"/>
        </w:rPr>
        <w:t>s</w:t>
      </w:r>
      <w:r w:rsidR="00A455FF" w:rsidRPr="00AE398D">
        <w:rPr>
          <w:rFonts w:ascii="Arial" w:hAnsi="Arial" w:cs="Arial"/>
          <w:color w:val="000000" w:themeColor="text1"/>
          <w:sz w:val="26"/>
          <w:szCs w:val="26"/>
        </w:rPr>
        <w:t xml:space="preserve"> en la demanda</w:t>
      </w:r>
      <w:r w:rsidRPr="00AE398D">
        <w:rPr>
          <w:rFonts w:ascii="Arial" w:hAnsi="Arial" w:cs="Arial"/>
          <w:color w:val="000000" w:themeColor="text1"/>
          <w:sz w:val="26"/>
          <w:szCs w:val="26"/>
        </w:rPr>
        <w:t>, en razón de que lo que debió analizar era si efectivamente le asiste raz</w:t>
      </w:r>
      <w:r w:rsidR="00A455FF" w:rsidRPr="00AE398D">
        <w:rPr>
          <w:rFonts w:ascii="Arial" w:hAnsi="Arial" w:cs="Arial"/>
          <w:color w:val="000000" w:themeColor="text1"/>
          <w:sz w:val="26"/>
          <w:szCs w:val="26"/>
        </w:rPr>
        <w:t>ón al actor para reclamar</w:t>
      </w:r>
      <w:r w:rsidRPr="00AE398D">
        <w:rPr>
          <w:rFonts w:ascii="Arial" w:hAnsi="Arial" w:cs="Arial"/>
          <w:color w:val="000000" w:themeColor="text1"/>
          <w:sz w:val="26"/>
          <w:szCs w:val="26"/>
        </w:rPr>
        <w:t xml:space="preserve"> </w:t>
      </w:r>
      <w:r w:rsidR="00A455FF" w:rsidRPr="00AE398D">
        <w:rPr>
          <w:rFonts w:ascii="Arial" w:hAnsi="Arial" w:cs="Arial"/>
          <w:color w:val="000000" w:themeColor="text1"/>
          <w:sz w:val="26"/>
          <w:szCs w:val="26"/>
        </w:rPr>
        <w:t>las</w:t>
      </w:r>
      <w:r w:rsidRPr="00AE398D">
        <w:rPr>
          <w:rFonts w:ascii="Arial" w:hAnsi="Arial" w:cs="Arial"/>
          <w:color w:val="000000" w:themeColor="text1"/>
          <w:sz w:val="26"/>
          <w:szCs w:val="26"/>
        </w:rPr>
        <w:t xml:space="preserve"> prestaciones </w:t>
      </w:r>
      <w:r w:rsidR="00A455FF" w:rsidRPr="00AE398D">
        <w:rPr>
          <w:rFonts w:ascii="Arial" w:hAnsi="Arial" w:cs="Arial"/>
          <w:color w:val="000000" w:themeColor="text1"/>
          <w:sz w:val="26"/>
          <w:szCs w:val="26"/>
        </w:rPr>
        <w:t>relativas al</w:t>
      </w:r>
      <w:r w:rsidR="00AE43B1" w:rsidRPr="00AE398D">
        <w:rPr>
          <w:rFonts w:ascii="Arial" w:hAnsi="Arial" w:cs="Arial"/>
          <w:color w:val="000000" w:themeColor="text1"/>
          <w:sz w:val="26"/>
          <w:szCs w:val="26"/>
        </w:rPr>
        <w:t xml:space="preserve"> </w:t>
      </w:r>
      <w:r w:rsidR="00A455FF" w:rsidRPr="00AE398D">
        <w:rPr>
          <w:rFonts w:ascii="Arial" w:hAnsi="Arial" w:cs="Arial"/>
          <w:color w:val="000000" w:themeColor="text1"/>
          <w:sz w:val="26"/>
          <w:szCs w:val="26"/>
        </w:rPr>
        <w:t>in</w:t>
      </w:r>
      <w:r w:rsidR="00CB7EB1" w:rsidRPr="00AE398D">
        <w:rPr>
          <w:rFonts w:ascii="Arial" w:hAnsi="Arial" w:cs="Arial"/>
          <w:color w:val="000000" w:themeColor="text1"/>
          <w:sz w:val="26"/>
          <w:szCs w:val="26"/>
        </w:rPr>
        <w:t xml:space="preserve">cumplimiento del </w:t>
      </w:r>
      <w:r w:rsidR="00AE43B1" w:rsidRPr="00AE398D">
        <w:rPr>
          <w:rFonts w:ascii="Arial" w:hAnsi="Arial" w:cs="Arial"/>
          <w:color w:val="000000" w:themeColor="text1"/>
          <w:sz w:val="26"/>
          <w:szCs w:val="26"/>
        </w:rPr>
        <w:t xml:space="preserve">contrato administrativo </w:t>
      </w:r>
      <w:r w:rsidR="00160F33">
        <w:rPr>
          <w:rFonts w:ascii="Arial" w:hAnsi="Arial" w:cs="Arial"/>
          <w:sz w:val="26"/>
          <w:szCs w:val="26"/>
        </w:rPr>
        <w:t>**********</w:t>
      </w:r>
      <w:r w:rsidR="00160F33">
        <w:rPr>
          <w:rFonts w:ascii="Arial" w:hAnsi="Arial" w:cs="Arial"/>
          <w:sz w:val="26"/>
          <w:szCs w:val="26"/>
        </w:rPr>
        <w:t xml:space="preserve"> </w:t>
      </w:r>
      <w:r w:rsidR="00AE43B1" w:rsidRPr="00AE398D">
        <w:rPr>
          <w:rFonts w:ascii="Arial" w:hAnsi="Arial" w:cs="Arial"/>
          <w:color w:val="000000" w:themeColor="text1"/>
          <w:sz w:val="26"/>
          <w:szCs w:val="26"/>
        </w:rPr>
        <w:t xml:space="preserve">celebrado con el </w:t>
      </w:r>
      <w:r w:rsidR="00AE43B1" w:rsidRPr="00AE398D">
        <w:rPr>
          <w:rFonts w:ascii="Arial" w:hAnsi="Arial" w:cs="Arial"/>
          <w:b/>
          <w:color w:val="000000" w:themeColor="text1"/>
          <w:sz w:val="26"/>
          <w:szCs w:val="26"/>
        </w:rPr>
        <w:t>Instituto Estatal de Educación Pública de Oaxaca</w:t>
      </w:r>
      <w:r w:rsidRPr="00AE398D">
        <w:rPr>
          <w:rFonts w:ascii="Arial" w:hAnsi="Arial" w:cs="Arial"/>
          <w:b/>
          <w:color w:val="000000" w:themeColor="text1"/>
          <w:sz w:val="26"/>
          <w:szCs w:val="26"/>
        </w:rPr>
        <w:t xml:space="preserve">, </w:t>
      </w:r>
      <w:r w:rsidRPr="00AE398D">
        <w:rPr>
          <w:rFonts w:ascii="Arial" w:hAnsi="Arial" w:cs="Arial"/>
          <w:color w:val="000000" w:themeColor="text1"/>
          <w:sz w:val="26"/>
          <w:szCs w:val="26"/>
        </w:rPr>
        <w:t xml:space="preserve">aspecto que </w:t>
      </w:r>
      <w:r w:rsidR="00A455FF" w:rsidRPr="00AE398D">
        <w:rPr>
          <w:rFonts w:ascii="Arial" w:hAnsi="Arial" w:cs="Arial"/>
          <w:color w:val="000000" w:themeColor="text1"/>
          <w:sz w:val="26"/>
          <w:szCs w:val="26"/>
        </w:rPr>
        <w:t>no fue estudiado</w:t>
      </w:r>
      <w:r w:rsidRPr="00AE398D">
        <w:rPr>
          <w:rFonts w:ascii="Arial" w:hAnsi="Arial" w:cs="Arial"/>
          <w:color w:val="000000" w:themeColor="text1"/>
          <w:sz w:val="26"/>
          <w:szCs w:val="26"/>
        </w:rPr>
        <w:t xml:space="preserve"> por la </w:t>
      </w:r>
      <w:r w:rsidRPr="00AE398D">
        <w:rPr>
          <w:rFonts w:ascii="Arial" w:hAnsi="Arial" w:cs="Arial"/>
          <w:i/>
          <w:color w:val="000000" w:themeColor="text1"/>
          <w:sz w:val="26"/>
          <w:szCs w:val="26"/>
        </w:rPr>
        <w:t>A quo</w:t>
      </w:r>
      <w:r w:rsidRPr="00AE398D">
        <w:rPr>
          <w:rFonts w:ascii="Arial" w:hAnsi="Arial" w:cs="Arial"/>
          <w:color w:val="000000" w:themeColor="text1"/>
          <w:sz w:val="26"/>
          <w:szCs w:val="26"/>
        </w:rPr>
        <w:t>, ya que en lugar de concretarse a examinar el argumento propuesto, determinó sobreseer el juicio al estimar que se actualiza la</w:t>
      </w:r>
      <w:r w:rsidR="00745F88" w:rsidRPr="00AE398D">
        <w:rPr>
          <w:rFonts w:ascii="Arial" w:hAnsi="Arial" w:cs="Arial"/>
          <w:color w:val="000000" w:themeColor="text1"/>
          <w:sz w:val="26"/>
          <w:szCs w:val="26"/>
        </w:rPr>
        <w:t xml:space="preserve"> c</w:t>
      </w:r>
      <w:r w:rsidR="00603468" w:rsidRPr="00AE398D">
        <w:rPr>
          <w:rFonts w:ascii="Arial" w:hAnsi="Arial" w:cs="Arial"/>
          <w:color w:val="000000" w:themeColor="text1"/>
          <w:sz w:val="26"/>
          <w:szCs w:val="26"/>
        </w:rPr>
        <w:t>ausal de improcedencia prevista en el artículo 131 fracción VII</w:t>
      </w:r>
      <w:r w:rsidR="00603468" w:rsidRPr="00AE398D">
        <w:rPr>
          <w:rStyle w:val="Refdenotaalpie"/>
          <w:rFonts w:ascii="Arial" w:hAnsi="Arial" w:cs="Arial"/>
          <w:color w:val="000000" w:themeColor="text1"/>
          <w:sz w:val="26"/>
          <w:szCs w:val="26"/>
        </w:rPr>
        <w:footnoteReference w:id="3"/>
      </w:r>
      <w:r w:rsidR="00603468" w:rsidRPr="00AE398D">
        <w:rPr>
          <w:rFonts w:ascii="Arial" w:hAnsi="Arial" w:cs="Arial"/>
          <w:color w:val="000000" w:themeColor="text1"/>
          <w:sz w:val="26"/>
          <w:szCs w:val="26"/>
        </w:rPr>
        <w:t xml:space="preserve"> de la Ley de Justicia Administrativa del Estado de Oaxaca, consistente en que el juicio de nulidad es improcedente contra actos cuyos efectos legales o materiales hayan cesado o que no puedan surtirse efectos por haber dejado de existir el objeto o materia del mismo, por existir una cesión de la titularidad de los derechos litigiosos por parte de la actora, y que por el</w:t>
      </w:r>
      <w:r w:rsidR="00603468">
        <w:rPr>
          <w:rFonts w:ascii="Arial" w:hAnsi="Arial" w:cs="Arial"/>
          <w:color w:val="000000" w:themeColor="text1"/>
          <w:sz w:val="26"/>
          <w:szCs w:val="26"/>
        </w:rPr>
        <w:t xml:space="preserve"> mismo motivo determinó la rescisión del contrato </w:t>
      </w:r>
      <w:r w:rsidR="00603468">
        <w:rPr>
          <w:rFonts w:ascii="Arial" w:hAnsi="Arial" w:cs="Arial"/>
          <w:color w:val="000000" w:themeColor="text1"/>
          <w:sz w:val="26"/>
          <w:szCs w:val="26"/>
        </w:rPr>
        <w:lastRenderedPageBreak/>
        <w:t xml:space="preserve">cuyo cumplimiento fue sometido a su conocimiento, </w:t>
      </w:r>
      <w:r w:rsidR="004F090C">
        <w:rPr>
          <w:rFonts w:ascii="Arial" w:hAnsi="Arial" w:cs="Arial"/>
          <w:color w:val="000000" w:themeColor="text1"/>
          <w:sz w:val="26"/>
          <w:szCs w:val="26"/>
        </w:rPr>
        <w:t xml:space="preserve">lo que no debió ser </w:t>
      </w:r>
      <w:r w:rsidR="00B84B7D" w:rsidRPr="00B84B7D">
        <w:rPr>
          <w:rFonts w:ascii="Arial" w:hAnsi="Arial" w:cs="Arial"/>
          <w:color w:val="000000" w:themeColor="text1"/>
          <w:sz w:val="26"/>
          <w:szCs w:val="26"/>
        </w:rPr>
        <w:t>de esa manera.</w:t>
      </w:r>
      <w:r w:rsidR="007E52A8">
        <w:rPr>
          <w:rFonts w:ascii="Arial" w:hAnsi="Arial" w:cs="Arial"/>
          <w:color w:val="000000" w:themeColor="text1"/>
          <w:sz w:val="26"/>
          <w:szCs w:val="26"/>
        </w:rPr>
        <w:t xml:space="preserve"> </w:t>
      </w:r>
    </w:p>
    <w:p w:rsidR="0069756E" w:rsidRDefault="00CB7EB1" w:rsidP="0069756E">
      <w:pPr>
        <w:autoSpaceDE w:val="0"/>
        <w:autoSpaceDN w:val="0"/>
        <w:adjustRightInd w:val="0"/>
        <w:spacing w:after="0" w:line="360" w:lineRule="auto"/>
        <w:ind w:firstLine="709"/>
        <w:jc w:val="both"/>
        <w:rPr>
          <w:rFonts w:ascii="Arial" w:hAnsi="Arial" w:cs="Arial"/>
          <w:sz w:val="26"/>
          <w:szCs w:val="26"/>
        </w:rPr>
      </w:pPr>
      <w:r>
        <w:rPr>
          <w:rFonts w:ascii="Arial" w:hAnsi="Arial" w:cs="Arial"/>
          <w:bCs/>
          <w:color w:val="000000"/>
          <w:sz w:val="26"/>
          <w:szCs w:val="26"/>
          <w:lang w:val="es-MX"/>
        </w:rPr>
        <w:t>En ese tenor, resulta im</w:t>
      </w:r>
      <w:r w:rsidR="00305A39">
        <w:rPr>
          <w:rFonts w:ascii="Arial" w:hAnsi="Arial" w:cs="Arial"/>
          <w:bCs/>
          <w:color w:val="000000"/>
          <w:sz w:val="26"/>
          <w:szCs w:val="26"/>
          <w:lang w:val="es-MX"/>
        </w:rPr>
        <w:t xml:space="preserve">procedente que </w:t>
      </w:r>
      <w:r w:rsidR="00F225D3">
        <w:rPr>
          <w:rFonts w:ascii="Arial" w:hAnsi="Arial" w:cs="Arial"/>
          <w:bCs/>
          <w:color w:val="000000"/>
          <w:sz w:val="26"/>
          <w:szCs w:val="26"/>
          <w:lang w:val="es-MX"/>
        </w:rPr>
        <w:t xml:space="preserve">la primera instancia </w:t>
      </w:r>
      <w:r w:rsidR="007503C4">
        <w:rPr>
          <w:rFonts w:ascii="Arial" w:hAnsi="Arial" w:cs="Arial"/>
          <w:bCs/>
          <w:color w:val="000000"/>
          <w:sz w:val="26"/>
          <w:szCs w:val="26"/>
          <w:lang w:val="es-MX"/>
        </w:rPr>
        <w:t>rescindiera</w:t>
      </w:r>
      <w:r w:rsidR="00305A39">
        <w:rPr>
          <w:rFonts w:ascii="Arial" w:hAnsi="Arial" w:cs="Arial"/>
          <w:bCs/>
          <w:color w:val="000000"/>
          <w:sz w:val="26"/>
          <w:szCs w:val="26"/>
          <w:lang w:val="es-MX"/>
        </w:rPr>
        <w:t xml:space="preserve"> el contrato administrativo</w:t>
      </w:r>
      <w:r w:rsidR="00305A39" w:rsidRPr="00305A39">
        <w:rPr>
          <w:rFonts w:ascii="Arial" w:hAnsi="Arial" w:cs="Arial"/>
          <w:color w:val="000000"/>
          <w:sz w:val="26"/>
          <w:szCs w:val="26"/>
        </w:rPr>
        <w:t xml:space="preserve"> </w:t>
      </w:r>
      <w:r w:rsidR="00160F33">
        <w:rPr>
          <w:rFonts w:ascii="Arial" w:hAnsi="Arial" w:cs="Arial"/>
          <w:sz w:val="26"/>
          <w:szCs w:val="26"/>
        </w:rPr>
        <w:t>**********</w:t>
      </w:r>
      <w:r w:rsidR="00160F33">
        <w:rPr>
          <w:rFonts w:ascii="Arial" w:hAnsi="Arial" w:cs="Arial"/>
          <w:sz w:val="26"/>
          <w:szCs w:val="26"/>
        </w:rPr>
        <w:t xml:space="preserve"> </w:t>
      </w:r>
      <w:bookmarkStart w:id="1" w:name="_GoBack"/>
      <w:bookmarkEnd w:id="1"/>
      <w:r w:rsidR="00F225D3">
        <w:rPr>
          <w:rFonts w:ascii="Arial" w:hAnsi="Arial" w:cs="Arial"/>
          <w:bCs/>
          <w:color w:val="000000"/>
          <w:sz w:val="26"/>
          <w:szCs w:val="26"/>
          <w:lang w:val="es-MX"/>
        </w:rPr>
        <w:t xml:space="preserve">en la sentencia recurrida a causa de la cesión de los </w:t>
      </w:r>
      <w:r w:rsidR="00A71739">
        <w:rPr>
          <w:rFonts w:ascii="Arial" w:hAnsi="Arial" w:cs="Arial"/>
          <w:bCs/>
          <w:color w:val="000000"/>
          <w:sz w:val="26"/>
          <w:szCs w:val="26"/>
          <w:lang w:val="es-MX"/>
        </w:rPr>
        <w:t>derechos litigiosos derivados del juicio contencioso administrativo</w:t>
      </w:r>
      <w:r w:rsidR="00F818CF">
        <w:rPr>
          <w:rFonts w:ascii="Arial" w:hAnsi="Arial" w:cs="Arial"/>
          <w:bCs/>
          <w:color w:val="000000"/>
          <w:sz w:val="26"/>
          <w:szCs w:val="26"/>
          <w:lang w:val="es-MX"/>
        </w:rPr>
        <w:t xml:space="preserve"> </w:t>
      </w:r>
      <w:r w:rsidR="00F225D3">
        <w:rPr>
          <w:rFonts w:ascii="Arial" w:hAnsi="Arial" w:cs="Arial"/>
          <w:bCs/>
          <w:color w:val="000000"/>
          <w:sz w:val="26"/>
          <w:szCs w:val="26"/>
          <w:lang w:val="es-MX"/>
        </w:rPr>
        <w:t xml:space="preserve">que efectuó la actora, porque </w:t>
      </w:r>
      <w:r w:rsidR="00854E06">
        <w:rPr>
          <w:rFonts w:ascii="Arial" w:hAnsi="Arial" w:cs="Arial"/>
          <w:bCs/>
          <w:color w:val="000000"/>
          <w:sz w:val="26"/>
          <w:szCs w:val="26"/>
          <w:lang w:val="es-MX"/>
        </w:rPr>
        <w:t xml:space="preserve">no es competente para tal efecto, ya que el artículo 96 fracción IV de la Ley de Justicia Administrativa para el Estado de Oaxaca, establece claramente que las Salas Unitarias son competentes para </w:t>
      </w:r>
      <w:r w:rsidR="0069756E">
        <w:rPr>
          <w:rFonts w:ascii="Arial" w:hAnsi="Arial" w:cs="Arial"/>
          <w:bCs/>
          <w:color w:val="000000"/>
          <w:sz w:val="26"/>
          <w:szCs w:val="26"/>
          <w:lang w:val="es-MX"/>
        </w:rPr>
        <w:t>conocer y resolver sobre los juicios promovidos en contra de l</w:t>
      </w:r>
      <w:r w:rsidR="0069756E" w:rsidRPr="0069756E">
        <w:rPr>
          <w:rFonts w:ascii="Arial" w:hAnsi="Arial" w:cs="Arial"/>
          <w:sz w:val="26"/>
          <w:szCs w:val="26"/>
        </w:rPr>
        <w:t>as resoluciones que se dicten sobre interpretación y cumplimiento de contratos celebrado</w:t>
      </w:r>
      <w:r w:rsidR="004334D8">
        <w:rPr>
          <w:rFonts w:ascii="Arial" w:hAnsi="Arial" w:cs="Arial"/>
          <w:sz w:val="26"/>
          <w:szCs w:val="26"/>
        </w:rPr>
        <w:t>s con la administración pública, como es el caso planteado a través de la demanda de nulidad que dio origen al juicio natural. En respaldo a lo anterior, se cita la disposición legal mencionada:</w:t>
      </w:r>
    </w:p>
    <w:p w:rsidR="004334D8" w:rsidRDefault="004334D8" w:rsidP="00854E06">
      <w:pPr>
        <w:autoSpaceDE w:val="0"/>
        <w:autoSpaceDN w:val="0"/>
        <w:adjustRightInd w:val="0"/>
        <w:spacing w:after="0" w:line="240" w:lineRule="auto"/>
        <w:rPr>
          <w:rFonts w:ascii="Arial" w:hAnsi="Arial" w:cs="Arial"/>
          <w:b/>
          <w:bCs/>
        </w:rPr>
      </w:pPr>
    </w:p>
    <w:p w:rsidR="00854E06" w:rsidRPr="00C977E3" w:rsidRDefault="004334D8" w:rsidP="00C977E3">
      <w:pPr>
        <w:autoSpaceDE w:val="0"/>
        <w:autoSpaceDN w:val="0"/>
        <w:adjustRightInd w:val="0"/>
        <w:spacing w:after="0" w:line="360" w:lineRule="auto"/>
        <w:ind w:left="426" w:right="758"/>
        <w:jc w:val="both"/>
        <w:rPr>
          <w:rFonts w:ascii="Arial" w:hAnsi="Arial" w:cs="Arial"/>
          <w:i/>
          <w:szCs w:val="24"/>
        </w:rPr>
      </w:pPr>
      <w:r w:rsidRPr="00C977E3">
        <w:rPr>
          <w:rFonts w:ascii="Arial" w:hAnsi="Arial" w:cs="Arial"/>
          <w:b/>
          <w:bCs/>
          <w:i/>
          <w:szCs w:val="24"/>
        </w:rPr>
        <w:t>“</w:t>
      </w:r>
      <w:r w:rsidR="00854E06" w:rsidRPr="00C977E3">
        <w:rPr>
          <w:rFonts w:ascii="Arial" w:hAnsi="Arial" w:cs="Arial"/>
          <w:b/>
          <w:bCs/>
          <w:i/>
          <w:szCs w:val="24"/>
        </w:rPr>
        <w:t xml:space="preserve">ARTÍCULO 96.- </w:t>
      </w:r>
      <w:r w:rsidR="00854E06" w:rsidRPr="00C977E3">
        <w:rPr>
          <w:rFonts w:ascii="Arial" w:hAnsi="Arial" w:cs="Arial"/>
          <w:i/>
          <w:szCs w:val="24"/>
        </w:rPr>
        <w:t>Las Salas Unitarias del Tribunal Contencioso Administrativo y de Cuentas son competentes para conocer y resolver de los juicios que se promuevan en contra de:</w:t>
      </w:r>
      <w:r w:rsidRPr="00C977E3">
        <w:rPr>
          <w:rFonts w:ascii="Arial" w:hAnsi="Arial" w:cs="Arial"/>
          <w:i/>
          <w:szCs w:val="24"/>
        </w:rPr>
        <w:t xml:space="preserve"> (…)</w:t>
      </w:r>
    </w:p>
    <w:p w:rsidR="00854E06" w:rsidRPr="00C977E3" w:rsidRDefault="00854E06" w:rsidP="00C977E3">
      <w:pPr>
        <w:autoSpaceDE w:val="0"/>
        <w:autoSpaceDN w:val="0"/>
        <w:adjustRightInd w:val="0"/>
        <w:spacing w:after="0" w:line="360" w:lineRule="auto"/>
        <w:ind w:left="426" w:right="758"/>
        <w:jc w:val="both"/>
        <w:rPr>
          <w:rFonts w:ascii="Arial" w:hAnsi="Arial" w:cs="Arial"/>
          <w:i/>
          <w:szCs w:val="24"/>
        </w:rPr>
      </w:pPr>
    </w:p>
    <w:p w:rsidR="00854E06" w:rsidRPr="00C977E3" w:rsidRDefault="00854E06" w:rsidP="00C977E3">
      <w:pPr>
        <w:autoSpaceDE w:val="0"/>
        <w:autoSpaceDN w:val="0"/>
        <w:adjustRightInd w:val="0"/>
        <w:spacing w:after="0" w:line="360" w:lineRule="auto"/>
        <w:ind w:left="426" w:right="758"/>
        <w:jc w:val="both"/>
        <w:rPr>
          <w:rFonts w:ascii="Arial" w:hAnsi="Arial" w:cs="Arial"/>
          <w:i/>
          <w:szCs w:val="24"/>
        </w:rPr>
      </w:pPr>
      <w:r w:rsidRPr="00C977E3">
        <w:rPr>
          <w:rFonts w:ascii="Arial" w:hAnsi="Arial" w:cs="Arial"/>
          <w:i/>
          <w:szCs w:val="24"/>
        </w:rPr>
        <w:t>IV. Las resoluciones que se dicten sobre interpretación y cumplimiento de contratos</w:t>
      </w:r>
      <w:r w:rsidR="004334D8" w:rsidRPr="00C977E3">
        <w:rPr>
          <w:rFonts w:ascii="Arial" w:hAnsi="Arial" w:cs="Arial"/>
          <w:i/>
          <w:szCs w:val="24"/>
        </w:rPr>
        <w:t xml:space="preserve"> </w:t>
      </w:r>
      <w:r w:rsidRPr="00C977E3">
        <w:rPr>
          <w:rFonts w:ascii="Arial" w:hAnsi="Arial" w:cs="Arial"/>
          <w:i/>
          <w:szCs w:val="24"/>
        </w:rPr>
        <w:t>celebrados con la administración pública;</w:t>
      </w:r>
      <w:r w:rsidR="004334D8" w:rsidRPr="00C977E3">
        <w:rPr>
          <w:rFonts w:ascii="Arial" w:hAnsi="Arial" w:cs="Arial"/>
          <w:i/>
          <w:szCs w:val="24"/>
        </w:rPr>
        <w:t>” (…)</w:t>
      </w:r>
    </w:p>
    <w:p w:rsidR="00DC01AE" w:rsidRPr="00DC01AE" w:rsidRDefault="00DC01AE" w:rsidP="00DC01AE">
      <w:pPr>
        <w:autoSpaceDE w:val="0"/>
        <w:autoSpaceDN w:val="0"/>
        <w:adjustRightInd w:val="0"/>
        <w:spacing w:after="0" w:line="240" w:lineRule="auto"/>
        <w:rPr>
          <w:rFonts w:ascii="Arial" w:hAnsi="Arial" w:cs="Arial"/>
          <w:bCs/>
          <w:color w:val="000000"/>
          <w:sz w:val="26"/>
          <w:szCs w:val="26"/>
          <w:lang w:val="es-MX"/>
        </w:rPr>
      </w:pPr>
    </w:p>
    <w:p w:rsidR="00DC01AE" w:rsidRDefault="004334D8" w:rsidP="003A50F1">
      <w:pPr>
        <w:autoSpaceDE w:val="0"/>
        <w:autoSpaceDN w:val="0"/>
        <w:adjustRightInd w:val="0"/>
        <w:spacing w:after="0" w:line="360" w:lineRule="auto"/>
        <w:ind w:right="-93" w:firstLine="567"/>
        <w:jc w:val="both"/>
        <w:rPr>
          <w:rFonts w:ascii="Arial" w:hAnsi="Arial" w:cs="Arial"/>
          <w:bCs/>
          <w:color w:val="000000" w:themeColor="text1"/>
          <w:sz w:val="26"/>
          <w:szCs w:val="26"/>
        </w:rPr>
      </w:pPr>
      <w:r w:rsidRPr="00DC01AE">
        <w:rPr>
          <w:rFonts w:ascii="Arial" w:hAnsi="Arial" w:cs="Arial"/>
          <w:bCs/>
          <w:color w:val="000000"/>
          <w:sz w:val="26"/>
          <w:szCs w:val="26"/>
        </w:rPr>
        <w:t xml:space="preserve">A mayor abundamiento, </w:t>
      </w:r>
      <w:r w:rsidR="00DC01AE" w:rsidRPr="00DC01AE">
        <w:rPr>
          <w:rFonts w:ascii="Arial" w:hAnsi="Arial" w:cs="Arial"/>
          <w:bCs/>
          <w:color w:val="000000"/>
          <w:sz w:val="26"/>
          <w:szCs w:val="26"/>
        </w:rPr>
        <w:t>en cuanto al procedimiento de rescisión de contrato administrativo, el artículo 63 de la Ley de Adquisiciones Ena</w:t>
      </w:r>
      <w:r w:rsidR="00DC01AE" w:rsidRPr="00DC01AE">
        <w:rPr>
          <w:rFonts w:ascii="Arial" w:hAnsi="Arial" w:cs="Arial"/>
          <w:bCs/>
          <w:color w:val="000000" w:themeColor="text1"/>
          <w:sz w:val="26"/>
          <w:szCs w:val="26"/>
        </w:rPr>
        <w:t>jenaciones, Arrendamientos, Prestación de Servicios y Administración de Bienes Muebles e Inmuebles del Estado de</w:t>
      </w:r>
      <w:r w:rsidR="00DC01AE">
        <w:rPr>
          <w:rFonts w:ascii="Arial" w:hAnsi="Arial" w:cs="Arial"/>
          <w:bCs/>
          <w:color w:val="000000" w:themeColor="text1"/>
          <w:sz w:val="26"/>
          <w:szCs w:val="26"/>
        </w:rPr>
        <w:t xml:space="preserve"> </w:t>
      </w:r>
      <w:r w:rsidR="00DC01AE" w:rsidRPr="00DC01AE">
        <w:rPr>
          <w:rFonts w:ascii="Arial" w:hAnsi="Arial" w:cs="Arial"/>
          <w:bCs/>
          <w:color w:val="000000" w:themeColor="text1"/>
          <w:sz w:val="26"/>
          <w:szCs w:val="26"/>
        </w:rPr>
        <w:t>Oaxaca</w:t>
      </w:r>
      <w:r w:rsidR="00DC01AE">
        <w:rPr>
          <w:rFonts w:ascii="Arial" w:hAnsi="Arial" w:cs="Arial"/>
          <w:bCs/>
          <w:color w:val="000000" w:themeColor="text1"/>
          <w:sz w:val="26"/>
          <w:szCs w:val="26"/>
        </w:rPr>
        <w:t xml:space="preserve"> dispone que serán las dependencias y entidades de la administración pública del estado las que tienen la facultad para rescindir un contrato de esa naturaleza.</w:t>
      </w:r>
      <w:r w:rsidR="00376D9D">
        <w:rPr>
          <w:rFonts w:ascii="Arial" w:hAnsi="Arial" w:cs="Arial"/>
          <w:bCs/>
          <w:color w:val="000000" w:themeColor="text1"/>
          <w:sz w:val="26"/>
          <w:szCs w:val="26"/>
        </w:rPr>
        <w:t xml:space="preserve"> Se invoca </w:t>
      </w:r>
      <w:r w:rsidR="00845B53">
        <w:rPr>
          <w:rFonts w:ascii="Arial" w:hAnsi="Arial" w:cs="Arial"/>
          <w:bCs/>
          <w:color w:val="000000" w:themeColor="text1"/>
          <w:sz w:val="26"/>
          <w:szCs w:val="26"/>
        </w:rPr>
        <w:t xml:space="preserve">el precepto legal </w:t>
      </w:r>
      <w:r w:rsidR="00376D9D">
        <w:rPr>
          <w:rFonts w:ascii="Arial" w:hAnsi="Arial" w:cs="Arial"/>
          <w:bCs/>
          <w:color w:val="000000" w:themeColor="text1"/>
          <w:sz w:val="26"/>
          <w:szCs w:val="26"/>
        </w:rPr>
        <w:t>en comento:</w:t>
      </w:r>
    </w:p>
    <w:p w:rsidR="00DC01AE" w:rsidRPr="00DC01AE" w:rsidRDefault="00DC01AE" w:rsidP="00DC01AE">
      <w:pPr>
        <w:autoSpaceDE w:val="0"/>
        <w:autoSpaceDN w:val="0"/>
        <w:adjustRightInd w:val="0"/>
        <w:spacing w:after="0" w:line="240" w:lineRule="auto"/>
        <w:ind w:left="-567" w:right="333"/>
        <w:jc w:val="both"/>
        <w:rPr>
          <w:rFonts w:ascii="Arial" w:hAnsi="Arial" w:cs="Arial"/>
          <w:bCs/>
          <w:color w:val="000000" w:themeColor="text1"/>
          <w:sz w:val="26"/>
          <w:szCs w:val="26"/>
        </w:rPr>
      </w:pPr>
    </w:p>
    <w:p w:rsidR="00845B53" w:rsidRPr="00C977E3" w:rsidRDefault="00A60CC8" w:rsidP="00C977E3">
      <w:pPr>
        <w:autoSpaceDE w:val="0"/>
        <w:autoSpaceDN w:val="0"/>
        <w:adjustRightInd w:val="0"/>
        <w:spacing w:after="0" w:line="240" w:lineRule="auto"/>
        <w:ind w:left="567" w:right="758"/>
        <w:jc w:val="both"/>
        <w:rPr>
          <w:rFonts w:ascii="Arial" w:hAnsi="Arial" w:cs="Arial"/>
          <w:i/>
          <w:szCs w:val="24"/>
        </w:rPr>
      </w:pPr>
      <w:r w:rsidRPr="00C977E3">
        <w:rPr>
          <w:rFonts w:ascii="Arial" w:hAnsi="Arial" w:cs="Arial"/>
          <w:b/>
          <w:bCs/>
          <w:i/>
          <w:szCs w:val="24"/>
        </w:rPr>
        <w:t>“</w:t>
      </w:r>
      <w:r w:rsidR="00DC01AE" w:rsidRPr="00C977E3">
        <w:rPr>
          <w:rFonts w:ascii="Arial" w:hAnsi="Arial" w:cs="Arial"/>
          <w:b/>
          <w:bCs/>
          <w:i/>
          <w:szCs w:val="24"/>
        </w:rPr>
        <w:t xml:space="preserve">Artículo 63. </w:t>
      </w:r>
      <w:r w:rsidR="00DC01AE" w:rsidRPr="00C977E3">
        <w:rPr>
          <w:rFonts w:ascii="Arial" w:hAnsi="Arial" w:cs="Arial"/>
          <w:i/>
          <w:szCs w:val="24"/>
        </w:rPr>
        <w:t>Las Dependencias y Entidades podrán rescindir administrativamente los contratos en caso de incumplimiento de las obligaciones a cargo del Proveedor, en cuyo caso, el procedimiento deberá iniciarse dentro de los quince días naturales siguientes a aquél en que se hubiere agotado el monto límite de aplicación de las penas convencionales. Si previamente a la determinación de dar por rescindido el contrato, se hiciere entrega de los bienes o se prestaren los servicios, el procedimiento iniciado quedará sin efecto.</w:t>
      </w:r>
    </w:p>
    <w:p w:rsidR="00A60CC8" w:rsidRPr="00C977E3" w:rsidRDefault="00A60CC8" w:rsidP="00C977E3">
      <w:pPr>
        <w:autoSpaceDE w:val="0"/>
        <w:autoSpaceDN w:val="0"/>
        <w:adjustRightInd w:val="0"/>
        <w:spacing w:after="0" w:line="240" w:lineRule="auto"/>
        <w:ind w:left="567" w:right="758"/>
        <w:jc w:val="both"/>
        <w:rPr>
          <w:rFonts w:ascii="Arial" w:hAnsi="Arial" w:cs="Arial"/>
          <w:i/>
          <w:szCs w:val="24"/>
        </w:rPr>
      </w:pPr>
    </w:p>
    <w:p w:rsidR="00A60CC8" w:rsidRPr="00C977E3" w:rsidRDefault="00A60CC8" w:rsidP="00C977E3">
      <w:pPr>
        <w:pStyle w:val="Textonotapie"/>
        <w:ind w:left="567" w:right="758"/>
        <w:jc w:val="both"/>
        <w:rPr>
          <w:rFonts w:ascii="Arial" w:hAnsi="Arial" w:cs="Arial"/>
          <w:i/>
          <w:sz w:val="22"/>
          <w:szCs w:val="24"/>
        </w:rPr>
      </w:pPr>
      <w:r w:rsidRPr="00C977E3">
        <w:rPr>
          <w:rFonts w:ascii="Arial" w:hAnsi="Arial" w:cs="Arial"/>
          <w:i/>
          <w:sz w:val="22"/>
          <w:szCs w:val="24"/>
        </w:rPr>
        <w:t>El procedimiento de rescisión se llevará a cabo conforme a lo siguiente:</w:t>
      </w:r>
    </w:p>
    <w:p w:rsidR="00A60CC8" w:rsidRPr="00C977E3" w:rsidRDefault="00A60CC8" w:rsidP="00C977E3">
      <w:pPr>
        <w:pStyle w:val="Textonotapie"/>
        <w:ind w:left="567" w:right="758"/>
        <w:jc w:val="both"/>
        <w:rPr>
          <w:rFonts w:ascii="Arial" w:hAnsi="Arial" w:cs="Arial"/>
          <w:i/>
          <w:sz w:val="22"/>
          <w:szCs w:val="24"/>
        </w:rPr>
      </w:pPr>
    </w:p>
    <w:p w:rsidR="00A60CC8" w:rsidRPr="00C977E3" w:rsidRDefault="00A60CC8" w:rsidP="00C977E3">
      <w:pPr>
        <w:pStyle w:val="Textonotapie"/>
        <w:ind w:left="567" w:right="758"/>
        <w:jc w:val="both"/>
        <w:rPr>
          <w:rFonts w:ascii="Arial" w:hAnsi="Arial" w:cs="Arial"/>
          <w:i/>
          <w:sz w:val="22"/>
          <w:szCs w:val="24"/>
        </w:rPr>
      </w:pPr>
      <w:r w:rsidRPr="00C977E3">
        <w:rPr>
          <w:rFonts w:ascii="Arial" w:hAnsi="Arial" w:cs="Arial"/>
          <w:i/>
          <w:sz w:val="22"/>
          <w:szCs w:val="24"/>
        </w:rPr>
        <w:t>I. Se iniciará a partir de que al Proveedor le sea comunicado por escrito el incumplimiento en que haya incurrido, para que en un término de diez días hábiles exponga lo que a su derecho convenga y aporte, en su caso, las pruebas que estime pertinentes;</w:t>
      </w:r>
    </w:p>
    <w:p w:rsidR="00A60CC8" w:rsidRPr="00C977E3" w:rsidRDefault="00A60CC8" w:rsidP="00C977E3">
      <w:pPr>
        <w:pStyle w:val="Textonotapie"/>
        <w:ind w:left="567" w:right="758"/>
        <w:jc w:val="both"/>
        <w:rPr>
          <w:rFonts w:ascii="Arial" w:hAnsi="Arial" w:cs="Arial"/>
          <w:i/>
          <w:sz w:val="22"/>
          <w:szCs w:val="24"/>
        </w:rPr>
      </w:pPr>
    </w:p>
    <w:p w:rsidR="00A60CC8" w:rsidRPr="00C977E3" w:rsidRDefault="00A60CC8" w:rsidP="00C977E3">
      <w:pPr>
        <w:pStyle w:val="Textonotapie"/>
        <w:ind w:left="567" w:right="758"/>
        <w:jc w:val="both"/>
        <w:rPr>
          <w:rFonts w:ascii="Arial" w:hAnsi="Arial" w:cs="Arial"/>
          <w:i/>
          <w:sz w:val="22"/>
          <w:szCs w:val="24"/>
        </w:rPr>
      </w:pPr>
      <w:r w:rsidRPr="00C977E3">
        <w:rPr>
          <w:rFonts w:ascii="Arial" w:hAnsi="Arial" w:cs="Arial"/>
          <w:i/>
          <w:sz w:val="22"/>
          <w:szCs w:val="24"/>
        </w:rPr>
        <w:lastRenderedPageBreak/>
        <w:t>II. Transcurrido el término a que se refiere la fracción anterior, se resolverá considerando los argumentos y pruebas que hubiere hecho valer, y</w:t>
      </w:r>
    </w:p>
    <w:p w:rsidR="00A60CC8" w:rsidRPr="00C977E3" w:rsidRDefault="00A60CC8" w:rsidP="00C977E3">
      <w:pPr>
        <w:pStyle w:val="Textonotapie"/>
        <w:ind w:left="567" w:right="758"/>
        <w:jc w:val="both"/>
        <w:rPr>
          <w:rFonts w:ascii="Arial" w:hAnsi="Arial" w:cs="Arial"/>
          <w:i/>
          <w:sz w:val="22"/>
          <w:szCs w:val="24"/>
        </w:rPr>
      </w:pPr>
    </w:p>
    <w:p w:rsidR="00A60CC8" w:rsidRPr="00C977E3" w:rsidRDefault="00A60CC8" w:rsidP="00C977E3">
      <w:pPr>
        <w:pStyle w:val="Textonotapie"/>
        <w:ind w:left="567" w:right="758"/>
        <w:jc w:val="both"/>
        <w:rPr>
          <w:rFonts w:ascii="Arial" w:hAnsi="Arial" w:cs="Arial"/>
          <w:i/>
          <w:sz w:val="22"/>
          <w:szCs w:val="24"/>
        </w:rPr>
      </w:pPr>
      <w:r w:rsidRPr="00C977E3">
        <w:rPr>
          <w:rFonts w:ascii="Arial" w:hAnsi="Arial" w:cs="Arial"/>
          <w:i/>
          <w:sz w:val="22"/>
          <w:szCs w:val="24"/>
        </w:rPr>
        <w:t>III. La determinación de dar o no por rescindido el contrato deberá ser debidamente fundada, motivada y comunicada al Proveedor dentro de los quince días hábiles siguientes a lo señalado</w:t>
      </w:r>
    </w:p>
    <w:p w:rsidR="00A60CC8" w:rsidRPr="00C977E3" w:rsidRDefault="00A60CC8" w:rsidP="00C977E3">
      <w:pPr>
        <w:pStyle w:val="Textonotapie"/>
        <w:ind w:left="567" w:right="758"/>
        <w:jc w:val="both"/>
        <w:rPr>
          <w:rFonts w:ascii="Arial" w:hAnsi="Arial" w:cs="Arial"/>
          <w:i/>
          <w:sz w:val="22"/>
          <w:szCs w:val="24"/>
        </w:rPr>
      </w:pPr>
      <w:r w:rsidRPr="00C977E3">
        <w:rPr>
          <w:rFonts w:ascii="Arial" w:hAnsi="Arial" w:cs="Arial"/>
          <w:i/>
          <w:sz w:val="22"/>
          <w:szCs w:val="24"/>
        </w:rPr>
        <w:t>en la fracción I de este artículo.</w:t>
      </w:r>
    </w:p>
    <w:p w:rsidR="00A60CC8" w:rsidRPr="00C977E3" w:rsidRDefault="00A60CC8" w:rsidP="00C977E3">
      <w:pPr>
        <w:autoSpaceDE w:val="0"/>
        <w:autoSpaceDN w:val="0"/>
        <w:adjustRightInd w:val="0"/>
        <w:spacing w:after="0" w:line="240" w:lineRule="auto"/>
        <w:ind w:left="567" w:right="758"/>
        <w:jc w:val="both"/>
        <w:rPr>
          <w:rFonts w:ascii="Arial" w:hAnsi="Arial" w:cs="Arial"/>
          <w:i/>
          <w:szCs w:val="24"/>
        </w:rPr>
      </w:pPr>
    </w:p>
    <w:p w:rsidR="00A60CC8" w:rsidRPr="00C977E3" w:rsidRDefault="00A60CC8" w:rsidP="00C977E3">
      <w:pPr>
        <w:autoSpaceDE w:val="0"/>
        <w:autoSpaceDN w:val="0"/>
        <w:adjustRightInd w:val="0"/>
        <w:spacing w:after="0" w:line="240" w:lineRule="auto"/>
        <w:ind w:left="567" w:right="758"/>
        <w:jc w:val="both"/>
        <w:rPr>
          <w:rFonts w:ascii="Arial" w:hAnsi="Arial" w:cs="Arial"/>
          <w:i/>
          <w:szCs w:val="24"/>
        </w:rPr>
      </w:pPr>
      <w:r w:rsidRPr="00C977E3">
        <w:rPr>
          <w:rFonts w:ascii="Arial" w:hAnsi="Arial" w:cs="Arial"/>
          <w:i/>
          <w:szCs w:val="24"/>
        </w:rPr>
        <w:t>Asimismo, podrán dar por terminados anticipadamente los contratos cuando concurran razones de interés general, o bien, cuando por causas justificadas se extinga la necesidad de requerir los bienes o servicios originalmente contratados, y se demuestre que de continuar con el cumplimiento de las obligaciones pactadas, se ocasionaría algún daño o perjuicio al Estado. En estos supuestos la Dependencia o Entidad reembolsará al Proveedor los gastos no recuperables en que haya incurrido, siempre que éstos sean razonables, estén debidamente comprobados y se relacionen directamente con el contrato correspondiente.”</w:t>
      </w:r>
    </w:p>
    <w:p w:rsidR="00845B53" w:rsidRDefault="00845B53" w:rsidP="00376D9D">
      <w:pPr>
        <w:autoSpaceDE w:val="0"/>
        <w:autoSpaceDN w:val="0"/>
        <w:adjustRightInd w:val="0"/>
        <w:spacing w:after="0"/>
        <w:ind w:left="567" w:right="616"/>
        <w:jc w:val="both"/>
        <w:rPr>
          <w:rFonts w:ascii="Arial" w:hAnsi="Arial" w:cs="Arial"/>
          <w:i/>
          <w:sz w:val="24"/>
          <w:szCs w:val="24"/>
        </w:rPr>
      </w:pPr>
    </w:p>
    <w:p w:rsidR="00AE398D" w:rsidRPr="00A60CC8" w:rsidRDefault="00AE398D" w:rsidP="00376D9D">
      <w:pPr>
        <w:autoSpaceDE w:val="0"/>
        <w:autoSpaceDN w:val="0"/>
        <w:adjustRightInd w:val="0"/>
        <w:spacing w:after="0"/>
        <w:ind w:left="567" w:right="616"/>
        <w:jc w:val="both"/>
        <w:rPr>
          <w:rFonts w:ascii="Arial" w:hAnsi="Arial" w:cs="Arial"/>
          <w:i/>
          <w:sz w:val="24"/>
          <w:szCs w:val="24"/>
        </w:rPr>
      </w:pPr>
    </w:p>
    <w:p w:rsidR="00DC01AE" w:rsidRDefault="00845B53" w:rsidP="00A60CC8">
      <w:pPr>
        <w:autoSpaceDE w:val="0"/>
        <w:autoSpaceDN w:val="0"/>
        <w:adjustRightInd w:val="0"/>
        <w:spacing w:after="0" w:line="360" w:lineRule="auto"/>
        <w:ind w:right="-93" w:firstLine="567"/>
        <w:jc w:val="both"/>
        <w:rPr>
          <w:rFonts w:ascii="Arial" w:hAnsi="Arial" w:cs="Arial"/>
          <w:sz w:val="26"/>
          <w:szCs w:val="26"/>
        </w:rPr>
      </w:pPr>
      <w:r w:rsidRPr="00845B53">
        <w:rPr>
          <w:rFonts w:ascii="Arial" w:hAnsi="Arial" w:cs="Arial"/>
          <w:sz w:val="26"/>
          <w:szCs w:val="26"/>
        </w:rPr>
        <w:t xml:space="preserve">De la norma invocada, se desprende que los entes pertenecientes a la administración pública estatal, </w:t>
      </w:r>
      <w:r w:rsidR="00A60CC8">
        <w:rPr>
          <w:rFonts w:ascii="Arial" w:hAnsi="Arial" w:cs="Arial"/>
          <w:sz w:val="26"/>
          <w:szCs w:val="26"/>
        </w:rPr>
        <w:t xml:space="preserve">serán quienes deban tramitar, al interior de la dependencia, el procedimiento de rescisión de contrato, que va desde la notificación al proveedor, con el cual le da a conocer el inicio del procedimiento, hasta la emisión de la resolución en que se da por concluido el procedimiento, sin que en ninguna parte se encuentre previsto, dar intervención al órgano jurisdiccional en el procedimiento descrito, como erróneamente lo consideró la primera instancia. </w:t>
      </w:r>
    </w:p>
    <w:p w:rsidR="00AE398D" w:rsidRDefault="00AE398D" w:rsidP="00A60CC8">
      <w:pPr>
        <w:autoSpaceDE w:val="0"/>
        <w:autoSpaceDN w:val="0"/>
        <w:adjustRightInd w:val="0"/>
        <w:spacing w:after="0" w:line="360" w:lineRule="auto"/>
        <w:ind w:right="-93" w:firstLine="567"/>
        <w:jc w:val="both"/>
        <w:rPr>
          <w:rFonts w:ascii="Arial" w:hAnsi="Arial" w:cs="Arial"/>
        </w:rPr>
      </w:pPr>
    </w:p>
    <w:p w:rsidR="00DC01AE" w:rsidRDefault="00DC01AE" w:rsidP="00DC01AE">
      <w:pPr>
        <w:autoSpaceDE w:val="0"/>
        <w:autoSpaceDN w:val="0"/>
        <w:adjustRightInd w:val="0"/>
        <w:spacing w:after="0" w:line="240" w:lineRule="auto"/>
        <w:rPr>
          <w:rFonts w:ascii="Arial" w:hAnsi="Arial" w:cs="Arial"/>
          <w:bCs/>
          <w:color w:val="000000"/>
          <w:sz w:val="26"/>
          <w:szCs w:val="26"/>
        </w:rPr>
      </w:pPr>
    </w:p>
    <w:p w:rsidR="00AE398D" w:rsidRPr="00AE398D" w:rsidRDefault="00376D9D" w:rsidP="00015E75">
      <w:pPr>
        <w:spacing w:line="360" w:lineRule="auto"/>
        <w:ind w:firstLine="708"/>
        <w:jc w:val="both"/>
        <w:rPr>
          <w:rFonts w:ascii="Arial" w:eastAsia="Calibri" w:hAnsi="Arial" w:cs="Arial"/>
          <w:sz w:val="26"/>
          <w:szCs w:val="26"/>
        </w:rPr>
      </w:pPr>
      <w:r w:rsidRPr="00AE398D">
        <w:rPr>
          <w:rFonts w:ascii="Arial" w:eastAsia="Calibri" w:hAnsi="Arial"/>
          <w:sz w:val="26"/>
          <w:szCs w:val="26"/>
        </w:rPr>
        <w:t>Por las consideraciones anteriores, la Sala Unitaria d</w:t>
      </w:r>
      <w:r w:rsidRPr="00AE398D">
        <w:rPr>
          <w:rFonts w:ascii="Arial" w:hAnsi="Arial" w:cs="Arial"/>
          <w:sz w:val="26"/>
          <w:szCs w:val="26"/>
        </w:rPr>
        <w:t>ejó de analizar el fondo del asunto planteado;</w:t>
      </w:r>
      <w:r w:rsidRPr="00AE398D">
        <w:rPr>
          <w:rFonts w:ascii="Arial" w:eastAsia="Calibri" w:hAnsi="Arial"/>
          <w:sz w:val="26"/>
          <w:szCs w:val="26"/>
        </w:rPr>
        <w:t xml:space="preserve"> por lo que a </w:t>
      </w:r>
      <w:r w:rsidRPr="00AE398D">
        <w:rPr>
          <w:rFonts w:ascii="Arial" w:hAnsi="Arial" w:cs="Arial"/>
          <w:sz w:val="26"/>
          <w:szCs w:val="26"/>
        </w:rPr>
        <w:t xml:space="preserve">fin de reparar el agravio cometido al actor, lo procedente es  </w:t>
      </w:r>
      <w:r w:rsidRPr="00AE398D">
        <w:rPr>
          <w:rFonts w:ascii="Arial" w:hAnsi="Arial" w:cs="Arial"/>
          <w:b/>
          <w:sz w:val="26"/>
          <w:szCs w:val="26"/>
        </w:rPr>
        <w:t xml:space="preserve">REVOCAR </w:t>
      </w:r>
      <w:r w:rsidRPr="00AE398D">
        <w:rPr>
          <w:rFonts w:ascii="Arial" w:hAnsi="Arial" w:cs="Arial"/>
          <w:sz w:val="26"/>
          <w:szCs w:val="26"/>
        </w:rPr>
        <w:t xml:space="preserve">la resolución de diecisiete de enero de dos mil diecinueve, </w:t>
      </w:r>
      <w:r w:rsidRPr="00AE398D">
        <w:rPr>
          <w:rFonts w:ascii="Arial" w:hAnsi="Arial" w:cs="Arial"/>
          <w:bCs/>
          <w:color w:val="000000"/>
          <w:sz w:val="26"/>
          <w:szCs w:val="26"/>
        </w:rPr>
        <w:t xml:space="preserve">devolviéndose los autos a la Sala de origen, a fin de que </w:t>
      </w:r>
      <w:r w:rsidRPr="00AE398D">
        <w:rPr>
          <w:rFonts w:ascii="Arial" w:hAnsi="Arial" w:cs="Arial"/>
          <w:b/>
          <w:bCs/>
          <w:color w:val="000000"/>
          <w:sz w:val="26"/>
          <w:szCs w:val="26"/>
        </w:rPr>
        <w:t>agote su jurisdicción</w:t>
      </w:r>
      <w:r w:rsidRPr="00AE398D">
        <w:rPr>
          <w:rFonts w:ascii="Arial" w:hAnsi="Arial" w:cs="Arial"/>
          <w:bCs/>
          <w:color w:val="000000"/>
          <w:sz w:val="26"/>
          <w:szCs w:val="26"/>
        </w:rPr>
        <w:t>, conforme a las consideraciones expuestas por esta Sala Superior, debiendo realizar el estudio del fondo del asunto</w:t>
      </w:r>
      <w:r w:rsidRPr="00AE398D">
        <w:rPr>
          <w:rFonts w:ascii="Arial" w:hAnsi="Arial" w:cs="Arial"/>
          <w:sz w:val="26"/>
          <w:szCs w:val="26"/>
        </w:rPr>
        <w:t>, a fin de resolver sobre las pretensiones planteadas por la actora, sin que ello implique reenvió, virtud a que este órgano revisor no tiene facultades para pronunciarse de un asunto, donde la juzgadora no agotó la obligación que le impone la ley para resolver acerca de todas las cuestiones sometidas a su consideración</w:t>
      </w:r>
      <w:r w:rsidRPr="00AE398D">
        <w:rPr>
          <w:rFonts w:ascii="Arial" w:eastAsia="Calibri" w:hAnsi="Arial" w:cs="Arial"/>
          <w:sz w:val="26"/>
          <w:szCs w:val="26"/>
        </w:rPr>
        <w:t>, como lo establece el artículo 177 de la Ley de Justicia Administrativa para el Estado de Oaxaca.</w:t>
      </w:r>
    </w:p>
    <w:p w:rsidR="00AE398D" w:rsidRPr="000C0C86" w:rsidRDefault="00376D9D" w:rsidP="00AE398D">
      <w:pPr>
        <w:spacing w:line="360" w:lineRule="auto"/>
        <w:ind w:firstLine="708"/>
        <w:jc w:val="both"/>
        <w:rPr>
          <w:rFonts w:ascii="Arial" w:eastAsia="Times New Roman" w:hAnsi="Arial" w:cs="Times New Roman"/>
          <w:color w:val="000000"/>
          <w:sz w:val="26"/>
          <w:szCs w:val="26"/>
        </w:rPr>
      </w:pPr>
      <w:r w:rsidRPr="00F850FC">
        <w:rPr>
          <w:rFonts w:ascii="Arial" w:eastAsia="Calibri" w:hAnsi="Arial" w:cs="Arial"/>
          <w:bCs/>
          <w:sz w:val="26"/>
          <w:szCs w:val="26"/>
        </w:rPr>
        <w:t xml:space="preserve">Tiene aplicación el criterio emitido por la Sala Superior de este Tribunal, Tesis TCASS0008/2011TO.1AD, Número de Registro 8, </w:t>
      </w:r>
      <w:r w:rsidRPr="00F850FC">
        <w:rPr>
          <w:rFonts w:ascii="Arial" w:eastAsia="Calibri" w:hAnsi="Arial" w:cs="Arial"/>
          <w:bCs/>
          <w:sz w:val="26"/>
          <w:szCs w:val="26"/>
        </w:rPr>
        <w:lastRenderedPageBreak/>
        <w:t xml:space="preserve">Primera </w:t>
      </w:r>
      <w:r w:rsidRPr="00F850FC">
        <w:rPr>
          <w:rFonts w:ascii="Arial" w:eastAsia="Times New Roman" w:hAnsi="Arial" w:cs="Arial"/>
          <w:color w:val="000000"/>
          <w:sz w:val="26"/>
          <w:szCs w:val="26"/>
        </w:rPr>
        <w:t xml:space="preserve">Época, fuente Boletín número 1 </w:t>
      </w:r>
      <w:r w:rsidRPr="00F850FC">
        <w:rPr>
          <w:rFonts w:ascii="Arial" w:eastAsia="Times New Roman" w:hAnsi="Arial" w:cs="Times New Roman"/>
          <w:color w:val="000000"/>
          <w:sz w:val="26"/>
          <w:szCs w:val="26"/>
        </w:rPr>
        <w:t>del Tribunal de lo Contencioso Administrativo para el Estado de Oaxaca, Tomo I, Enero de 2011, visible a página 8,</w:t>
      </w:r>
      <w:r>
        <w:rPr>
          <w:rFonts w:ascii="Arial" w:eastAsia="Times New Roman" w:hAnsi="Arial" w:cs="Times New Roman"/>
          <w:color w:val="000000"/>
          <w:sz w:val="26"/>
          <w:szCs w:val="26"/>
        </w:rPr>
        <w:t xml:space="preserve"> de rubro y texto, siguientes:</w:t>
      </w:r>
    </w:p>
    <w:p w:rsidR="00AE398D" w:rsidRPr="00E06E23" w:rsidRDefault="00376D9D" w:rsidP="00015E75">
      <w:pPr>
        <w:spacing w:line="240" w:lineRule="auto"/>
        <w:ind w:left="851" w:right="616"/>
        <w:jc w:val="both"/>
        <w:rPr>
          <w:rFonts w:ascii="Arial" w:hAnsi="Arial" w:cs="Arial"/>
          <w:bCs/>
          <w:i/>
        </w:rPr>
      </w:pPr>
      <w:r w:rsidRPr="00FE237A">
        <w:rPr>
          <w:rFonts w:ascii="Arial" w:hAnsi="Arial" w:cs="Arial"/>
          <w:b/>
          <w:bCs/>
          <w:i/>
        </w:rPr>
        <w:t xml:space="preserve"> “SENTENCIA PARA EFECTOS. LA SALA SUPERIOR AL RESOLVER EL RECURSO DE REVISIÓN NO PUEDE DICTARLA CUANDO LA PRIMERA INSTANCIA NO AGOTÓ SU JURISDICCIÓN.</w:t>
      </w:r>
      <w:r w:rsidRPr="00FE237A">
        <w:rPr>
          <w:rFonts w:ascii="Arial" w:hAnsi="Arial" w:cs="Arial"/>
          <w:bCs/>
          <w:i/>
        </w:rPr>
        <w:t xml:space="preserve"> </w:t>
      </w:r>
      <w:r w:rsidRPr="00E06E23">
        <w:rPr>
          <w:rFonts w:ascii="Arial" w:hAnsi="Arial" w:cs="Arial"/>
          <w:bCs/>
          <w:i/>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pronuncie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Pr>
          <w:rFonts w:ascii="Arial" w:hAnsi="Arial" w:cs="Arial"/>
          <w:bCs/>
          <w:i/>
        </w:rPr>
        <w:t>.</w:t>
      </w:r>
    </w:p>
    <w:p w:rsidR="00015E75" w:rsidRDefault="00376D9D" w:rsidP="00015E75">
      <w:pPr>
        <w:spacing w:before="240" w:line="360" w:lineRule="auto"/>
        <w:ind w:firstLine="708"/>
        <w:jc w:val="both"/>
        <w:rPr>
          <w:rFonts w:ascii="Arial" w:eastAsia="Calibri" w:hAnsi="Arial" w:cs="Arial"/>
          <w:sz w:val="26"/>
          <w:szCs w:val="26"/>
        </w:rPr>
      </w:pPr>
      <w:r w:rsidRPr="00F850FC">
        <w:rPr>
          <w:rFonts w:ascii="Arial" w:eastAsia="Times New Roman" w:hAnsi="Arial" w:cs="Times New Roman"/>
          <w:color w:val="000000"/>
          <w:sz w:val="26"/>
          <w:szCs w:val="26"/>
        </w:rPr>
        <w:t xml:space="preserve"> </w:t>
      </w:r>
      <w:r w:rsidRPr="00F850FC">
        <w:rPr>
          <w:rFonts w:ascii="Arial" w:eastAsia="Calibri" w:hAnsi="Arial" w:cs="Arial"/>
          <w:sz w:val="26"/>
          <w:szCs w:val="26"/>
        </w:rPr>
        <w:t>Ante tales consideraciones, con fundamento en los artículos 207 y 208 de la Ley de Justicia Administrativa para el Estad</w:t>
      </w:r>
      <w:r>
        <w:rPr>
          <w:rFonts w:ascii="Arial" w:eastAsia="Calibri" w:hAnsi="Arial" w:cs="Arial"/>
          <w:sz w:val="26"/>
          <w:szCs w:val="26"/>
        </w:rPr>
        <w:t>o, vigente hasta el veinte de octubre de dos mil diecisiete, se:</w:t>
      </w:r>
    </w:p>
    <w:p w:rsidR="00376D9D" w:rsidRDefault="00376D9D" w:rsidP="00376D9D">
      <w:pPr>
        <w:spacing w:before="240" w:line="360" w:lineRule="auto"/>
        <w:ind w:firstLine="708"/>
        <w:jc w:val="center"/>
        <w:rPr>
          <w:rFonts w:ascii="Arial" w:eastAsia="Calibri" w:hAnsi="Arial" w:cs="Arial"/>
          <w:b/>
          <w:sz w:val="26"/>
          <w:szCs w:val="26"/>
        </w:rPr>
      </w:pPr>
      <w:r>
        <w:rPr>
          <w:rFonts w:ascii="Arial" w:eastAsia="Calibri" w:hAnsi="Arial" w:cs="Arial"/>
          <w:b/>
          <w:sz w:val="26"/>
          <w:szCs w:val="26"/>
        </w:rPr>
        <w:t>R E S U E L V E</w:t>
      </w:r>
    </w:p>
    <w:p w:rsidR="002C7B6E" w:rsidRDefault="00376D9D" w:rsidP="002C7B6E">
      <w:pPr>
        <w:spacing w:before="240" w:line="360" w:lineRule="auto"/>
        <w:ind w:firstLine="708"/>
        <w:jc w:val="both"/>
        <w:rPr>
          <w:rFonts w:ascii="Arial" w:eastAsia="Calibri" w:hAnsi="Arial" w:cs="Arial"/>
          <w:sz w:val="26"/>
          <w:szCs w:val="26"/>
        </w:rPr>
      </w:pPr>
      <w:r w:rsidRPr="00F850FC">
        <w:rPr>
          <w:rFonts w:ascii="Arial" w:eastAsia="Calibri" w:hAnsi="Arial" w:cs="Arial"/>
          <w:b/>
          <w:sz w:val="26"/>
          <w:szCs w:val="26"/>
        </w:rPr>
        <w:t>PRIMERO</w:t>
      </w:r>
      <w:r w:rsidRPr="00F850FC">
        <w:rPr>
          <w:rFonts w:ascii="Arial" w:eastAsia="Calibri" w:hAnsi="Arial" w:cs="Arial"/>
          <w:sz w:val="26"/>
          <w:szCs w:val="26"/>
        </w:rPr>
        <w:t xml:space="preserve">. Se </w:t>
      </w:r>
      <w:r w:rsidRPr="00F850FC">
        <w:rPr>
          <w:rFonts w:ascii="Arial" w:eastAsia="Calibri" w:hAnsi="Arial" w:cs="Arial"/>
          <w:b/>
          <w:sz w:val="26"/>
          <w:szCs w:val="26"/>
        </w:rPr>
        <w:t xml:space="preserve">REVOCA </w:t>
      </w:r>
      <w:r w:rsidRPr="00F850FC">
        <w:rPr>
          <w:rFonts w:ascii="Arial" w:eastAsia="Calibri" w:hAnsi="Arial" w:cs="Arial"/>
          <w:sz w:val="26"/>
          <w:szCs w:val="26"/>
        </w:rPr>
        <w:t xml:space="preserve">la resolución </w:t>
      </w:r>
      <w:r>
        <w:rPr>
          <w:rFonts w:ascii="Arial" w:eastAsia="Calibri" w:hAnsi="Arial" w:cs="Arial"/>
          <w:sz w:val="26"/>
          <w:szCs w:val="26"/>
        </w:rPr>
        <w:t>de diecisiete de enero de dos mil diecinueve</w:t>
      </w:r>
      <w:r w:rsidRPr="00F850FC">
        <w:rPr>
          <w:rFonts w:ascii="Arial" w:eastAsia="Calibri" w:hAnsi="Arial" w:cs="Arial"/>
          <w:sz w:val="26"/>
          <w:szCs w:val="26"/>
        </w:rPr>
        <w:t xml:space="preserve">, </w:t>
      </w:r>
      <w:r w:rsidRPr="00F850FC">
        <w:rPr>
          <w:rFonts w:ascii="Arial" w:eastAsia="Calibri" w:hAnsi="Arial" w:cs="Arial"/>
          <w:color w:val="000000"/>
          <w:sz w:val="26"/>
          <w:szCs w:val="26"/>
        </w:rPr>
        <w:t xml:space="preserve">y se ordena la devolución </w:t>
      </w:r>
      <w:r w:rsidRPr="00F850FC">
        <w:rPr>
          <w:rFonts w:ascii="Arial" w:eastAsia="Calibri" w:hAnsi="Arial" w:cs="Arial"/>
          <w:sz w:val="26"/>
          <w:szCs w:val="26"/>
        </w:rPr>
        <w:t xml:space="preserve">de los autos a la primera instancia, sin que ello implique reenvió, virtud que este órgano revisor no tiene facultades para pronunciarse de un asunto, donde la juzgadora no agotó la obligación que le impone la Ley para resolver acerca de todas las cuestiones sometidas a su consideración, como quedó precisado en la última </w:t>
      </w:r>
      <w:r>
        <w:rPr>
          <w:rFonts w:ascii="Arial" w:eastAsia="Calibri" w:hAnsi="Arial" w:cs="Arial"/>
          <w:sz w:val="26"/>
          <w:szCs w:val="26"/>
        </w:rPr>
        <w:t>parte del considerando Tercero.</w:t>
      </w:r>
    </w:p>
    <w:p w:rsidR="002C7B6E" w:rsidRPr="0097694C" w:rsidRDefault="00376D9D" w:rsidP="00015E75">
      <w:pPr>
        <w:spacing w:before="240" w:line="360" w:lineRule="auto"/>
        <w:ind w:firstLine="708"/>
        <w:jc w:val="both"/>
        <w:rPr>
          <w:rFonts w:ascii="Arial" w:eastAsia="Calibri" w:hAnsi="Arial" w:cs="Arial"/>
          <w:bCs/>
          <w:sz w:val="26"/>
          <w:szCs w:val="26"/>
        </w:rPr>
      </w:pPr>
      <w:r w:rsidRPr="00F850FC">
        <w:rPr>
          <w:rFonts w:ascii="Arial" w:eastAsia="Calibri" w:hAnsi="Arial" w:cs="Arial"/>
          <w:b/>
          <w:sz w:val="26"/>
          <w:szCs w:val="26"/>
        </w:rPr>
        <w:t xml:space="preserve">SEGUNDO. </w:t>
      </w:r>
      <w:r w:rsidRPr="00F850FC">
        <w:rPr>
          <w:rFonts w:ascii="Arial" w:eastAsia="Calibri" w:hAnsi="Arial" w:cs="Arial"/>
          <w:b/>
          <w:bCs/>
          <w:sz w:val="26"/>
          <w:szCs w:val="26"/>
        </w:rPr>
        <w:t>NOTIFÍQUESE Y CÚMPLASE;</w:t>
      </w:r>
      <w:r w:rsidRPr="00F850FC">
        <w:rPr>
          <w:rFonts w:ascii="Arial" w:eastAsia="Calibri" w:hAnsi="Arial" w:cs="Arial"/>
          <w:bCs/>
          <w:sz w:val="26"/>
          <w:szCs w:val="26"/>
        </w:rPr>
        <w:t xml:space="preserve"> con copia certificada de la presente resolución, vuelvan</w:t>
      </w:r>
      <w:r w:rsidRPr="00F850FC">
        <w:rPr>
          <w:rFonts w:ascii="Arial" w:eastAsia="Calibri" w:hAnsi="Arial" w:cs="Arial"/>
          <w:b/>
          <w:bCs/>
          <w:sz w:val="26"/>
          <w:szCs w:val="26"/>
        </w:rPr>
        <w:t xml:space="preserve"> </w:t>
      </w:r>
      <w:r w:rsidRPr="00F850FC">
        <w:rPr>
          <w:rFonts w:ascii="Arial" w:eastAsia="Calibri" w:hAnsi="Arial" w:cs="Arial"/>
          <w:bCs/>
          <w:sz w:val="26"/>
          <w:szCs w:val="26"/>
        </w:rPr>
        <w:t xml:space="preserve">las constancias remitidas a la </w:t>
      </w:r>
      <w:r>
        <w:rPr>
          <w:rFonts w:ascii="Arial" w:eastAsia="Calibri" w:hAnsi="Arial" w:cs="Arial"/>
          <w:bCs/>
          <w:sz w:val="26"/>
          <w:szCs w:val="26"/>
        </w:rPr>
        <w:t xml:space="preserve">Séptima </w:t>
      </w:r>
      <w:r w:rsidRPr="00F850FC">
        <w:rPr>
          <w:rFonts w:ascii="Arial" w:eastAsia="Calibri" w:hAnsi="Arial" w:cs="Arial"/>
          <w:bCs/>
          <w:sz w:val="26"/>
          <w:szCs w:val="26"/>
        </w:rPr>
        <w:t>Sala Unitaria de este Tribunal, y en su oportunidad archívese el cuaderno de revisión como asunt</w:t>
      </w:r>
      <w:r>
        <w:rPr>
          <w:rFonts w:ascii="Arial" w:eastAsia="Calibri" w:hAnsi="Arial" w:cs="Arial"/>
          <w:bCs/>
          <w:sz w:val="26"/>
          <w:szCs w:val="26"/>
        </w:rPr>
        <w:t>o concluido.</w:t>
      </w:r>
    </w:p>
    <w:p w:rsidR="00015E75" w:rsidRDefault="00C977E3" w:rsidP="00015E75">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15E75" w:rsidRPr="00015E75" w:rsidRDefault="00015E75" w:rsidP="00015E75">
      <w:pPr>
        <w:pStyle w:val="corte4fondo"/>
        <w:tabs>
          <w:tab w:val="left" w:pos="0"/>
        </w:tabs>
        <w:ind w:left="1" w:right="51" w:firstLineChars="216" w:firstLine="562"/>
        <w:rPr>
          <w:sz w:val="26"/>
          <w:szCs w:val="26"/>
        </w:rPr>
      </w:pPr>
    </w:p>
    <w:p w:rsidR="002C7B6E" w:rsidRDefault="002C7B6E" w:rsidP="002C7B6E">
      <w:pPr>
        <w:spacing w:line="360" w:lineRule="auto"/>
        <w:jc w:val="center"/>
        <w:rPr>
          <w:rFonts w:ascii="Arial" w:hAnsi="Arial" w:cs="Arial"/>
          <w:b/>
          <w:sz w:val="14"/>
          <w:szCs w:val="26"/>
        </w:rPr>
      </w:pPr>
    </w:p>
    <w:p w:rsidR="00015E75" w:rsidRDefault="00015E75" w:rsidP="009613C5">
      <w:pPr>
        <w:spacing w:line="360" w:lineRule="auto"/>
        <w:jc w:val="center"/>
        <w:rPr>
          <w:rFonts w:ascii="Arial" w:hAnsi="Arial" w:cs="Arial"/>
          <w:b/>
          <w:sz w:val="14"/>
          <w:szCs w:val="26"/>
        </w:rPr>
      </w:pPr>
      <w:r>
        <w:rPr>
          <w:rFonts w:ascii="Arial" w:hAnsi="Arial" w:cs="Arial"/>
          <w:b/>
          <w:sz w:val="14"/>
          <w:szCs w:val="26"/>
        </w:rPr>
        <w:t>LAS PRESENTES FIRMAS CORRESPONDEN AL RECURSO DE REVISIÓN 81/2019</w:t>
      </w:r>
    </w:p>
    <w:p w:rsidR="00015E75" w:rsidRDefault="00015E75" w:rsidP="002C7B6E">
      <w:pPr>
        <w:spacing w:line="360" w:lineRule="auto"/>
        <w:jc w:val="center"/>
        <w:rPr>
          <w:rFonts w:ascii="Arial" w:hAnsi="Arial" w:cs="Arial"/>
          <w:sz w:val="26"/>
          <w:szCs w:val="26"/>
        </w:rPr>
      </w:pPr>
    </w:p>
    <w:p w:rsidR="00015E75" w:rsidRDefault="00015E75" w:rsidP="002C7B6E">
      <w:pPr>
        <w:spacing w:line="360" w:lineRule="auto"/>
        <w:jc w:val="center"/>
        <w:rPr>
          <w:rFonts w:ascii="Arial" w:hAnsi="Arial" w:cs="Arial"/>
          <w:sz w:val="26"/>
          <w:szCs w:val="26"/>
        </w:rPr>
      </w:pPr>
    </w:p>
    <w:p w:rsidR="00015E75" w:rsidRDefault="00015E75" w:rsidP="002C7B6E">
      <w:pPr>
        <w:spacing w:line="360" w:lineRule="auto"/>
        <w:jc w:val="center"/>
        <w:rPr>
          <w:rFonts w:ascii="Arial" w:hAnsi="Arial" w:cs="Arial"/>
          <w:sz w:val="26"/>
          <w:szCs w:val="26"/>
        </w:rPr>
      </w:pPr>
    </w:p>
    <w:p w:rsidR="00C977E3" w:rsidRDefault="00C977E3" w:rsidP="002C7B6E">
      <w:pPr>
        <w:spacing w:after="0" w:line="240" w:lineRule="auto"/>
        <w:ind w:left="1" w:hanging="3"/>
        <w:jc w:val="center"/>
        <w:rPr>
          <w:rFonts w:ascii="Arial" w:hAnsi="Arial" w:cs="Arial"/>
          <w:sz w:val="26"/>
          <w:szCs w:val="26"/>
        </w:rPr>
      </w:pPr>
      <w:r>
        <w:rPr>
          <w:rFonts w:ascii="Arial" w:hAnsi="Arial" w:cs="Arial"/>
          <w:sz w:val="26"/>
          <w:szCs w:val="26"/>
        </w:rPr>
        <w:t>MAGISTRADA MARÍA ELENA VILLA DE JARQUÍN</w:t>
      </w:r>
    </w:p>
    <w:p w:rsidR="00C977E3" w:rsidRDefault="00C977E3" w:rsidP="002C7B6E">
      <w:pPr>
        <w:spacing w:after="0" w:line="240" w:lineRule="auto"/>
        <w:ind w:left="1" w:hanging="3"/>
        <w:jc w:val="center"/>
        <w:rPr>
          <w:rFonts w:ascii="Arial" w:hAnsi="Arial" w:cs="Arial"/>
          <w:sz w:val="26"/>
          <w:szCs w:val="26"/>
        </w:rPr>
      </w:pPr>
      <w:r>
        <w:rPr>
          <w:rFonts w:ascii="Arial" w:hAnsi="Arial" w:cs="Arial"/>
          <w:sz w:val="26"/>
          <w:szCs w:val="26"/>
        </w:rPr>
        <w:t>PRESIDENTA</w:t>
      </w:r>
    </w:p>
    <w:p w:rsidR="00C977E3" w:rsidRDefault="00C977E3" w:rsidP="00AE398D">
      <w:pPr>
        <w:spacing w:after="0" w:line="240" w:lineRule="auto"/>
        <w:ind w:left="1" w:hanging="3"/>
        <w:rPr>
          <w:rFonts w:ascii="Arial" w:hAnsi="Arial" w:cs="Arial"/>
          <w:sz w:val="26"/>
          <w:szCs w:val="26"/>
        </w:rPr>
      </w:pPr>
    </w:p>
    <w:p w:rsidR="00AE398D" w:rsidRDefault="00AE398D" w:rsidP="00AE398D">
      <w:pPr>
        <w:spacing w:line="360" w:lineRule="auto"/>
        <w:rPr>
          <w:rFonts w:ascii="Arial" w:hAnsi="Arial" w:cs="Arial"/>
          <w:sz w:val="26"/>
          <w:szCs w:val="26"/>
        </w:rPr>
      </w:pPr>
    </w:p>
    <w:p w:rsidR="00015E75" w:rsidRDefault="00015E75" w:rsidP="00AE398D">
      <w:pPr>
        <w:spacing w:after="0" w:line="240" w:lineRule="auto"/>
        <w:ind w:left="1" w:hanging="3"/>
        <w:rPr>
          <w:rFonts w:ascii="Arial" w:hAnsi="Arial" w:cs="Arial"/>
          <w:sz w:val="26"/>
          <w:szCs w:val="26"/>
        </w:rPr>
      </w:pPr>
    </w:p>
    <w:p w:rsidR="00015E75" w:rsidRDefault="00015E75" w:rsidP="00AE398D">
      <w:pPr>
        <w:spacing w:after="0" w:line="240" w:lineRule="auto"/>
        <w:ind w:left="1" w:hanging="3"/>
        <w:rPr>
          <w:rFonts w:ascii="Arial" w:hAnsi="Arial" w:cs="Arial"/>
          <w:sz w:val="26"/>
          <w:szCs w:val="26"/>
        </w:rPr>
      </w:pPr>
    </w:p>
    <w:p w:rsidR="00C977E3" w:rsidRDefault="00C977E3" w:rsidP="00AE398D">
      <w:pPr>
        <w:spacing w:after="0" w:line="240" w:lineRule="auto"/>
        <w:ind w:left="1" w:hanging="3"/>
        <w:rPr>
          <w:rFonts w:ascii="Arial" w:hAnsi="Arial" w:cs="Arial"/>
          <w:sz w:val="26"/>
          <w:szCs w:val="26"/>
        </w:rPr>
      </w:pPr>
    </w:p>
    <w:p w:rsidR="00C977E3" w:rsidRDefault="00C977E3" w:rsidP="00AE398D">
      <w:pPr>
        <w:spacing w:after="0" w:line="240" w:lineRule="auto"/>
        <w:ind w:left="1" w:hanging="3"/>
        <w:rPr>
          <w:rFonts w:ascii="Arial" w:hAnsi="Arial" w:cs="Arial"/>
          <w:sz w:val="26"/>
          <w:szCs w:val="26"/>
        </w:rPr>
      </w:pPr>
    </w:p>
    <w:p w:rsidR="00C977E3" w:rsidRDefault="00C977E3" w:rsidP="002C7B6E">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C977E3" w:rsidRDefault="00C977E3" w:rsidP="002C7B6E">
      <w:pPr>
        <w:spacing w:line="360" w:lineRule="auto"/>
        <w:ind w:left="1" w:hanging="3"/>
        <w:jc w:val="center"/>
        <w:rPr>
          <w:rFonts w:ascii="Arial" w:eastAsia="Times New Roman" w:hAnsi="Arial" w:cs="Arial"/>
          <w:sz w:val="26"/>
          <w:szCs w:val="26"/>
          <w:lang w:eastAsia="es-MX"/>
        </w:rPr>
      </w:pPr>
    </w:p>
    <w:p w:rsidR="00C977E3" w:rsidRDefault="00C977E3" w:rsidP="002C7B6E">
      <w:pPr>
        <w:spacing w:after="0" w:line="240" w:lineRule="auto"/>
        <w:ind w:left="1" w:hanging="3"/>
        <w:jc w:val="center"/>
        <w:rPr>
          <w:rFonts w:ascii="Arial" w:hAnsi="Arial" w:cs="Arial"/>
          <w:sz w:val="26"/>
          <w:szCs w:val="26"/>
        </w:rPr>
      </w:pPr>
    </w:p>
    <w:p w:rsidR="00C977E3" w:rsidRDefault="00C977E3" w:rsidP="00015E75">
      <w:pPr>
        <w:spacing w:line="360" w:lineRule="auto"/>
        <w:ind w:left="1" w:hanging="3"/>
        <w:rPr>
          <w:rFonts w:ascii="Arial" w:eastAsia="Times New Roman" w:hAnsi="Arial" w:cs="Arial"/>
          <w:sz w:val="26"/>
          <w:szCs w:val="26"/>
          <w:lang w:eastAsia="es-MX"/>
        </w:rPr>
      </w:pPr>
    </w:p>
    <w:p w:rsidR="00C977E3" w:rsidRDefault="00C977E3" w:rsidP="002C7B6E">
      <w:pPr>
        <w:spacing w:line="360" w:lineRule="auto"/>
        <w:jc w:val="center"/>
        <w:rPr>
          <w:rFonts w:ascii="Arial" w:hAnsi="Arial" w:cs="Arial"/>
          <w:b/>
          <w:sz w:val="14"/>
          <w:szCs w:val="26"/>
        </w:rPr>
      </w:pPr>
    </w:p>
    <w:p w:rsidR="00C977E3" w:rsidRDefault="00C977E3" w:rsidP="002C7B6E">
      <w:pPr>
        <w:ind w:left="1" w:hanging="3"/>
        <w:jc w:val="center"/>
        <w:rPr>
          <w:rFonts w:ascii="Arial" w:hAnsi="Arial" w:cs="Arial"/>
          <w:sz w:val="26"/>
          <w:szCs w:val="26"/>
        </w:rPr>
      </w:pPr>
      <w:r>
        <w:rPr>
          <w:rFonts w:ascii="Arial" w:hAnsi="Arial" w:cs="Arial"/>
          <w:sz w:val="26"/>
          <w:szCs w:val="26"/>
        </w:rPr>
        <w:t>MAGISTRADO RAÚL PALOMARES PALOMINO</w:t>
      </w:r>
    </w:p>
    <w:p w:rsidR="00C977E3" w:rsidRDefault="00C977E3" w:rsidP="002C7B6E">
      <w:pPr>
        <w:ind w:left="1" w:hanging="3"/>
        <w:jc w:val="center"/>
        <w:rPr>
          <w:rFonts w:ascii="Arial" w:hAnsi="Arial" w:cs="Arial"/>
          <w:sz w:val="26"/>
          <w:szCs w:val="26"/>
        </w:rPr>
      </w:pPr>
    </w:p>
    <w:p w:rsidR="00AE398D" w:rsidRDefault="00AE398D" w:rsidP="002C7B6E">
      <w:pPr>
        <w:ind w:left="1" w:hanging="3"/>
        <w:jc w:val="center"/>
        <w:rPr>
          <w:rFonts w:ascii="Arial" w:hAnsi="Arial" w:cs="Arial"/>
          <w:sz w:val="26"/>
          <w:szCs w:val="26"/>
        </w:rPr>
      </w:pPr>
    </w:p>
    <w:p w:rsidR="002C7B6E" w:rsidRDefault="002C7B6E" w:rsidP="002C7B6E">
      <w:pPr>
        <w:ind w:left="1" w:hanging="3"/>
        <w:jc w:val="center"/>
        <w:rPr>
          <w:rFonts w:ascii="Arial" w:hAnsi="Arial" w:cs="Arial"/>
          <w:sz w:val="26"/>
          <w:szCs w:val="26"/>
        </w:rPr>
      </w:pPr>
    </w:p>
    <w:p w:rsidR="00C977E3" w:rsidRDefault="00C977E3" w:rsidP="002C7B6E">
      <w:pPr>
        <w:ind w:left="1" w:hanging="3"/>
        <w:jc w:val="center"/>
        <w:rPr>
          <w:rFonts w:ascii="Arial" w:hAnsi="Arial" w:cs="Arial"/>
          <w:sz w:val="26"/>
          <w:szCs w:val="26"/>
        </w:rPr>
      </w:pPr>
    </w:p>
    <w:p w:rsidR="00C977E3" w:rsidRDefault="00C977E3" w:rsidP="00015E75">
      <w:pPr>
        <w:ind w:left="1" w:hanging="3"/>
        <w:jc w:val="center"/>
        <w:rPr>
          <w:rFonts w:ascii="Arial" w:hAnsi="Arial" w:cs="Arial"/>
          <w:sz w:val="26"/>
          <w:szCs w:val="26"/>
        </w:rPr>
      </w:pPr>
      <w:r>
        <w:rPr>
          <w:rFonts w:ascii="Arial" w:hAnsi="Arial" w:cs="Arial"/>
          <w:sz w:val="26"/>
          <w:szCs w:val="26"/>
        </w:rPr>
        <w:t>MAG</w:t>
      </w:r>
      <w:r w:rsidR="00015E75">
        <w:rPr>
          <w:rFonts w:ascii="Arial" w:hAnsi="Arial" w:cs="Arial"/>
          <w:sz w:val="26"/>
          <w:szCs w:val="26"/>
        </w:rPr>
        <w:t>ISTRADO ABRAHAM SANTIAGO SORIANO</w:t>
      </w:r>
    </w:p>
    <w:p w:rsidR="002C7B6E" w:rsidRDefault="002C7B6E" w:rsidP="002C7B6E">
      <w:pPr>
        <w:ind w:left="1" w:hanging="3"/>
        <w:jc w:val="center"/>
        <w:rPr>
          <w:rFonts w:ascii="Arial" w:hAnsi="Arial" w:cs="Arial"/>
          <w:sz w:val="26"/>
          <w:szCs w:val="26"/>
        </w:rPr>
      </w:pPr>
    </w:p>
    <w:p w:rsidR="002C7B6E" w:rsidRDefault="002C7B6E" w:rsidP="002C7B6E">
      <w:pPr>
        <w:ind w:left="1" w:hanging="3"/>
        <w:jc w:val="center"/>
        <w:rPr>
          <w:rFonts w:ascii="Arial" w:hAnsi="Arial" w:cs="Arial"/>
          <w:sz w:val="26"/>
          <w:szCs w:val="26"/>
        </w:rPr>
      </w:pPr>
    </w:p>
    <w:p w:rsidR="00015E75" w:rsidRDefault="00015E75" w:rsidP="002C7B6E">
      <w:pPr>
        <w:ind w:left="1" w:hanging="3"/>
        <w:jc w:val="center"/>
        <w:rPr>
          <w:rFonts w:ascii="Arial" w:hAnsi="Arial" w:cs="Arial"/>
          <w:sz w:val="26"/>
          <w:szCs w:val="26"/>
        </w:rPr>
      </w:pPr>
    </w:p>
    <w:p w:rsidR="002C7B6E" w:rsidRPr="008B167B" w:rsidRDefault="002C7B6E" w:rsidP="002C7B6E">
      <w:pPr>
        <w:ind w:left="1" w:hanging="3"/>
        <w:jc w:val="center"/>
        <w:rPr>
          <w:rFonts w:ascii="Arial" w:hAnsi="Arial" w:cs="Arial"/>
          <w:sz w:val="26"/>
          <w:szCs w:val="26"/>
        </w:rPr>
      </w:pPr>
    </w:p>
    <w:p w:rsidR="00C977E3" w:rsidRDefault="00C977E3" w:rsidP="002C7B6E">
      <w:pPr>
        <w:spacing w:after="0"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C977E3" w:rsidRDefault="00C977E3" w:rsidP="002C7B6E">
      <w:pPr>
        <w:spacing w:after="0" w:line="360" w:lineRule="auto"/>
        <w:ind w:left="1" w:right="49" w:hanging="3"/>
        <w:jc w:val="center"/>
        <w:rPr>
          <w:rFonts w:ascii="Arial" w:hAnsi="Arial" w:cs="Arial"/>
          <w:sz w:val="26"/>
          <w:szCs w:val="26"/>
        </w:rPr>
      </w:pPr>
    </w:p>
    <w:p w:rsidR="00C977E3" w:rsidRDefault="00C977E3" w:rsidP="00AE398D">
      <w:pPr>
        <w:tabs>
          <w:tab w:val="left" w:pos="1680"/>
          <w:tab w:val="center" w:pos="4277"/>
        </w:tabs>
        <w:spacing w:line="360" w:lineRule="auto"/>
        <w:ind w:left="1" w:hanging="3"/>
        <w:jc w:val="center"/>
        <w:rPr>
          <w:rFonts w:ascii="Arial" w:hAnsi="Arial" w:cs="Arial"/>
          <w:sz w:val="26"/>
          <w:szCs w:val="26"/>
        </w:rPr>
      </w:pPr>
    </w:p>
    <w:p w:rsidR="00015E75" w:rsidRDefault="00015E75" w:rsidP="00AE398D">
      <w:pPr>
        <w:tabs>
          <w:tab w:val="left" w:pos="1680"/>
          <w:tab w:val="center" w:pos="4277"/>
        </w:tabs>
        <w:spacing w:line="360" w:lineRule="auto"/>
        <w:ind w:left="1" w:hanging="3"/>
        <w:jc w:val="center"/>
        <w:rPr>
          <w:rFonts w:ascii="Arial" w:hAnsi="Arial" w:cs="Arial"/>
          <w:sz w:val="26"/>
          <w:szCs w:val="26"/>
        </w:rPr>
      </w:pPr>
    </w:p>
    <w:p w:rsidR="002C7B6E" w:rsidRDefault="002C7B6E" w:rsidP="00015E75">
      <w:pPr>
        <w:tabs>
          <w:tab w:val="left" w:pos="1680"/>
          <w:tab w:val="center" w:pos="4277"/>
        </w:tabs>
        <w:spacing w:line="360" w:lineRule="auto"/>
        <w:rPr>
          <w:rFonts w:ascii="Arial" w:hAnsi="Arial" w:cs="Arial"/>
          <w:sz w:val="26"/>
          <w:szCs w:val="26"/>
        </w:rPr>
      </w:pPr>
    </w:p>
    <w:p w:rsidR="00C977E3" w:rsidRDefault="00C977E3" w:rsidP="00AE398D">
      <w:pPr>
        <w:tabs>
          <w:tab w:val="left" w:pos="1680"/>
          <w:tab w:val="center" w:pos="4277"/>
        </w:tabs>
        <w:spacing w:after="0" w:line="240" w:lineRule="auto"/>
        <w:ind w:left="1" w:hanging="3"/>
        <w:jc w:val="center"/>
        <w:rPr>
          <w:rFonts w:ascii="Arial" w:hAnsi="Arial" w:cs="Arial"/>
          <w:sz w:val="26"/>
          <w:szCs w:val="26"/>
        </w:rPr>
      </w:pPr>
      <w:r>
        <w:rPr>
          <w:rFonts w:ascii="Arial" w:hAnsi="Arial" w:cs="Arial"/>
          <w:sz w:val="26"/>
          <w:szCs w:val="26"/>
        </w:rPr>
        <w:t>LICENCIADA FELICITAS DÍAZ VÁZQUEZ</w:t>
      </w:r>
    </w:p>
    <w:p w:rsidR="00C977E3" w:rsidRDefault="00C977E3" w:rsidP="00AE398D">
      <w:pPr>
        <w:pStyle w:val="Sinespaciado"/>
        <w:ind w:left="1" w:hanging="3"/>
        <w:jc w:val="center"/>
        <w:rPr>
          <w:sz w:val="26"/>
          <w:szCs w:val="26"/>
        </w:rPr>
      </w:pPr>
      <w:r>
        <w:rPr>
          <w:rFonts w:ascii="Arial" w:hAnsi="Arial" w:cs="Arial"/>
          <w:sz w:val="26"/>
          <w:szCs w:val="26"/>
        </w:rPr>
        <w:t>SECRETARIA GENERAL DE ACUERDOS</w:t>
      </w:r>
    </w:p>
    <w:p w:rsidR="003B0795" w:rsidRDefault="003B0795" w:rsidP="00015E75">
      <w:pPr>
        <w:spacing w:line="360" w:lineRule="auto"/>
        <w:jc w:val="both"/>
        <w:rPr>
          <w:rFonts w:ascii="Arial" w:hAnsi="Arial" w:cs="Arial"/>
          <w:sz w:val="26"/>
          <w:szCs w:val="26"/>
        </w:rPr>
      </w:pPr>
    </w:p>
    <w:sectPr w:rsidR="003B0795" w:rsidSect="00E83067">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479" w:rsidRDefault="00F10479">
      <w:pPr>
        <w:spacing w:after="0" w:line="240" w:lineRule="auto"/>
      </w:pPr>
      <w:r>
        <w:separator/>
      </w:r>
    </w:p>
  </w:endnote>
  <w:endnote w:type="continuationSeparator" w:id="0">
    <w:p w:rsidR="00F10479" w:rsidRDefault="00F104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0F33" w:rsidRDefault="00160F33">
    <w:pPr>
      <w:pStyle w:val="Piedepgina"/>
    </w:pPr>
    <w:r>
      <w:rPr>
        <w:noProof/>
        <w:lang w:val="es-MX" w:eastAsia="es-MX"/>
      </w:rPr>
      <mc:AlternateContent>
        <mc:Choice Requires="wps">
          <w:drawing>
            <wp:anchor distT="45720" distB="45720" distL="114300" distR="114300" simplePos="0" relativeHeight="251663360" behindDoc="0" locked="0" layoutInCell="1" allowOverlap="1" wp14:anchorId="3666A7B3" wp14:editId="1B3C3E9E">
              <wp:simplePos x="0" y="0"/>
              <wp:positionH relativeFrom="column">
                <wp:posOffset>5585460</wp:posOffset>
              </wp:positionH>
              <wp:positionV relativeFrom="paragraph">
                <wp:posOffset>-4123055</wp:posOffset>
              </wp:positionV>
              <wp:extent cx="1196340" cy="1171575"/>
              <wp:effectExtent l="0" t="0" r="22860" b="28575"/>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1171575"/>
                      </a:xfrm>
                      <a:prstGeom prst="rect">
                        <a:avLst/>
                      </a:prstGeom>
                      <a:solidFill>
                        <a:srgbClr val="FFFFFF"/>
                      </a:solidFill>
                      <a:ln w="9525">
                        <a:solidFill>
                          <a:srgbClr val="000000"/>
                        </a:solidFill>
                        <a:miter lim="800000"/>
                        <a:headEnd/>
                        <a:tailEnd/>
                      </a:ln>
                    </wps:spPr>
                    <wps:txbx>
                      <w:txbxContent>
                        <w:p w:rsidR="00160F33" w:rsidRPr="00A458C7" w:rsidRDefault="00160F33" w:rsidP="00160F33">
                          <w:pPr>
                            <w:jc w:val="both"/>
                            <w:rPr>
                              <w:sz w:val="18"/>
                              <w:szCs w:val="18"/>
                              <w:lang w:val="es-MX"/>
                            </w:rPr>
                          </w:pPr>
                          <w:r w:rsidRPr="00A458C7">
                            <w:rPr>
                              <w:sz w:val="18"/>
                              <w:szCs w:val="18"/>
                              <w:lang w:val="es-MX"/>
                            </w:rPr>
                            <w:t>DATOS PERSONALES PROTEGIDOS, DE CONFORMIDAD CON LO DISPUESTO POR LOS ARTICULOS 116 DE LA L.G.T.A.I.P Y 56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66A7B3" id="_x0000_t202" coordsize="21600,21600" o:spt="202" path="m,l,21600r21600,l21600,xe">
              <v:stroke joinstyle="miter"/>
              <v:path gradientshapeok="t" o:connecttype="rect"/>
            </v:shapetype>
            <v:shape id="Cuadro de texto 1" o:spid="_x0000_s1027" type="#_x0000_t202" style="position:absolute;margin-left:439.8pt;margin-top:-324.65pt;width:94.2pt;height:9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">
              <v:textbox>
                <w:txbxContent>
                  <w:p w:rsidR="00160F33" w:rsidRPr="00A458C7" w:rsidRDefault="00160F33" w:rsidP="00160F33">
                    <w:pPr>
                      <w:jc w:val="both"/>
                      <w:rPr>
                        <w:sz w:val="18"/>
                        <w:szCs w:val="18"/>
                        <w:lang w:val="es-MX"/>
                      </w:rPr>
                    </w:pPr>
                    <w:r w:rsidRPr="00A458C7">
                      <w:rPr>
                        <w:sz w:val="18"/>
                        <w:szCs w:val="18"/>
                        <w:lang w:val="es-MX"/>
                      </w:rPr>
                      <w:t>DATOS PERSONALES PROTEGIDOS, DE CONFORMIDAD CON LO DISPUESTO POR LOS ARTICULOS 116 DE LA L.G.T.A.I.P Y 56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479" w:rsidRDefault="00F10479">
      <w:pPr>
        <w:spacing w:after="0" w:line="240" w:lineRule="auto"/>
      </w:pPr>
      <w:r>
        <w:separator/>
      </w:r>
    </w:p>
  </w:footnote>
  <w:footnote w:type="continuationSeparator" w:id="0">
    <w:p w:rsidR="00F10479" w:rsidRDefault="00F10479">
      <w:pPr>
        <w:spacing w:after="0" w:line="240" w:lineRule="auto"/>
      </w:pPr>
      <w:r>
        <w:continuationSeparator/>
      </w:r>
    </w:p>
  </w:footnote>
  <w:footnote w:id="1">
    <w:p w:rsidR="00DC01AE" w:rsidRPr="009C2281" w:rsidRDefault="00DC01AE" w:rsidP="001D7A9A">
      <w:pPr>
        <w:pStyle w:val="Textonotapie"/>
        <w:ind w:right="-518"/>
        <w:jc w:val="both"/>
        <w:rPr>
          <w:rFonts w:ascii="Arial" w:hAnsi="Arial" w:cs="Arial"/>
          <w:i/>
        </w:rPr>
      </w:pPr>
      <w:r>
        <w:rPr>
          <w:rStyle w:val="Refdenotaalpie"/>
        </w:rPr>
        <w:footnoteRef/>
      </w:r>
      <w:r>
        <w:t xml:space="preserve"> </w:t>
      </w:r>
      <w:r w:rsidRPr="009C2281">
        <w:rPr>
          <w:rFonts w:ascii="Arial" w:hAnsi="Arial" w:cs="Arial"/>
          <w:i/>
        </w:rPr>
        <w:t>ARTICULO 177.- Las sentencias que emita el Tribunal, deberán de contener:</w:t>
      </w:r>
    </w:p>
    <w:p w:rsidR="00DC01AE" w:rsidRPr="009C2281" w:rsidRDefault="00DC01AE" w:rsidP="001D7A9A">
      <w:pPr>
        <w:pStyle w:val="Textonotapie"/>
        <w:ind w:right="-518"/>
        <w:jc w:val="both"/>
        <w:rPr>
          <w:rFonts w:ascii="Arial" w:hAnsi="Arial" w:cs="Arial"/>
          <w:i/>
        </w:rPr>
      </w:pPr>
      <w:r w:rsidRPr="009C2281">
        <w:rPr>
          <w:rFonts w:ascii="Arial" w:hAnsi="Arial" w:cs="Arial"/>
          <w:i/>
        </w:rPr>
        <w:t>I. La fijación clara y precisa de los puntos controvertidos, la exposición de las razones por las que, en su caso, se haga uso de la facultad para suplir la deficiencia de la queja, así como el examen y valoración de las pruebas que se haya rendido;</w:t>
      </w:r>
    </w:p>
    <w:p w:rsidR="00DC01AE" w:rsidRPr="009C2281" w:rsidRDefault="00DC01AE" w:rsidP="001D7A9A">
      <w:pPr>
        <w:pStyle w:val="Textonotapie"/>
        <w:ind w:right="-518"/>
        <w:jc w:val="both"/>
        <w:rPr>
          <w:rFonts w:ascii="Arial" w:hAnsi="Arial" w:cs="Arial"/>
          <w:i/>
        </w:rPr>
      </w:pPr>
      <w:r w:rsidRPr="009C2281">
        <w:rPr>
          <w:rFonts w:ascii="Arial" w:hAnsi="Arial" w:cs="Arial"/>
          <w:i/>
        </w:rPr>
        <w:t>II. La exposición debidamente fundada y motivada de las consideraciones en que se basa la resolución, y</w:t>
      </w:r>
    </w:p>
    <w:p w:rsidR="00DC01AE" w:rsidRPr="009C2281" w:rsidRDefault="00DC01AE" w:rsidP="001D7A9A">
      <w:pPr>
        <w:pStyle w:val="Textonotapie"/>
        <w:ind w:right="-518"/>
        <w:jc w:val="both"/>
        <w:rPr>
          <w:rFonts w:ascii="Arial" w:hAnsi="Arial" w:cs="Arial"/>
          <w:i/>
        </w:rPr>
      </w:pPr>
      <w:r w:rsidRPr="009C2281">
        <w:rPr>
          <w:rFonts w:ascii="Arial" w:hAnsi="Arial" w:cs="Arial"/>
          <w:i/>
        </w:rPr>
        <w:t>III. Los puntos resolutivos, los que expresarán los actos o resoluciones cuya validez se reconozca o cuya nulidad se declare.</w:t>
      </w:r>
    </w:p>
  </w:footnote>
  <w:footnote w:id="2">
    <w:p w:rsidR="00DC01AE" w:rsidRPr="009C2281" w:rsidRDefault="00DC01AE" w:rsidP="009C2281">
      <w:pPr>
        <w:pStyle w:val="Textonotapie"/>
        <w:ind w:right="-518"/>
        <w:jc w:val="both"/>
        <w:rPr>
          <w:rFonts w:ascii="Arial" w:hAnsi="Arial" w:cs="Arial"/>
          <w:i/>
        </w:rPr>
      </w:pPr>
      <w:r w:rsidRPr="009C2281">
        <w:rPr>
          <w:rStyle w:val="Refdenotaalpie"/>
          <w:rFonts w:ascii="Arial" w:hAnsi="Arial" w:cs="Arial"/>
        </w:rPr>
        <w:footnoteRef/>
      </w:r>
      <w:r w:rsidRPr="009C2281">
        <w:rPr>
          <w:rFonts w:ascii="Arial" w:hAnsi="Arial" w:cs="Arial"/>
        </w:rPr>
        <w:t xml:space="preserve"> Tesis: VI.2o.C. J/218, Registro: 187909, Rubro: </w:t>
      </w:r>
      <w:r w:rsidRPr="009C2281">
        <w:rPr>
          <w:rFonts w:ascii="Arial" w:hAnsi="Arial" w:cs="Arial"/>
          <w:i/>
        </w:rPr>
        <w:t>SENTENCIA INCONGRUENTE. ES AQUELLA QUE INTRODUCE CUESTIONES AJENAS A LA LITIS PLANTEADA O A LOS AGRAVIOS EXPRESADOS EN LA APELACIÓN.</w:t>
      </w:r>
    </w:p>
  </w:footnote>
  <w:footnote w:id="3">
    <w:p w:rsidR="00DC01AE" w:rsidRPr="00F13DC1" w:rsidRDefault="00DC01AE" w:rsidP="00603468">
      <w:pPr>
        <w:pStyle w:val="Textonotapie"/>
        <w:rPr>
          <w:rFonts w:ascii="Arial" w:hAnsi="Arial" w:cs="Arial"/>
          <w:i/>
        </w:rPr>
      </w:pPr>
      <w:r>
        <w:rPr>
          <w:rStyle w:val="Refdenotaalpie"/>
        </w:rPr>
        <w:footnoteRef/>
      </w:r>
      <w:r>
        <w:t xml:space="preserve"> “</w:t>
      </w:r>
      <w:r w:rsidRPr="00F13DC1">
        <w:rPr>
          <w:rFonts w:ascii="Arial" w:hAnsi="Arial" w:cs="Arial"/>
          <w:b/>
          <w:i/>
        </w:rPr>
        <w:t>ARTICULO 131.-</w:t>
      </w:r>
      <w:r w:rsidRPr="00F13DC1">
        <w:rPr>
          <w:rFonts w:ascii="Arial" w:hAnsi="Arial" w:cs="Arial"/>
          <w:i/>
        </w:rPr>
        <w:t xml:space="preserve"> Es improcedente el juicio ante el Tribunal Contencioso Administrativo y de</w:t>
      </w:r>
      <w:r>
        <w:rPr>
          <w:rFonts w:ascii="Arial" w:hAnsi="Arial" w:cs="Arial"/>
          <w:i/>
        </w:rPr>
        <w:t xml:space="preserve"> </w:t>
      </w:r>
      <w:r w:rsidRPr="00F13DC1">
        <w:rPr>
          <w:rFonts w:ascii="Arial" w:hAnsi="Arial" w:cs="Arial"/>
          <w:i/>
        </w:rPr>
        <w:t>Cuentas contra actos: (…)</w:t>
      </w:r>
    </w:p>
    <w:p w:rsidR="00DC01AE" w:rsidRPr="00F13DC1" w:rsidRDefault="00DC01AE" w:rsidP="00603468">
      <w:pPr>
        <w:pStyle w:val="Textonotapie"/>
        <w:rPr>
          <w:rFonts w:ascii="Arial" w:hAnsi="Arial" w:cs="Arial"/>
          <w:i/>
        </w:rPr>
      </w:pPr>
      <w:r w:rsidRPr="00F13DC1">
        <w:rPr>
          <w:rFonts w:ascii="Arial" w:hAnsi="Arial" w:cs="Arial"/>
          <w:i/>
        </w:rPr>
        <w:t>VII.- Contra actos cuyos efectos legales o materiales hayan cesado o que no puedan surtirse</w:t>
      </w:r>
    </w:p>
    <w:p w:rsidR="00DC01AE" w:rsidRPr="00F13DC1" w:rsidRDefault="00DC01AE" w:rsidP="00603468">
      <w:pPr>
        <w:pStyle w:val="Textonotapie"/>
        <w:rPr>
          <w:rFonts w:ascii="Arial" w:hAnsi="Arial" w:cs="Arial"/>
          <w:i/>
        </w:rPr>
      </w:pPr>
      <w:r w:rsidRPr="00F13DC1">
        <w:rPr>
          <w:rFonts w:ascii="Arial" w:hAnsi="Arial" w:cs="Arial"/>
          <w:i/>
        </w:rPr>
        <w:t>efectos por haber dejado de existir el objeto o materia del mismo;</w:t>
      </w:r>
      <w:r>
        <w:rPr>
          <w:rFonts w:ascii="Arial" w:hAnsi="Arial" w:cs="Arial"/>
          <w:i/>
        </w:rPr>
        <w:t>”</w:t>
      </w:r>
    </w:p>
    <w:p w:rsidR="00DC01AE" w:rsidRDefault="00DC01AE" w:rsidP="00603468">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C01AE" w:rsidRDefault="00DC01AE">
        <w:pPr>
          <w:pStyle w:val="Encabezado"/>
          <w:jc w:val="center"/>
        </w:pPr>
        <w:r>
          <w:fldChar w:fldCharType="begin"/>
        </w:r>
        <w:r>
          <w:instrText>PAGE   \* MERGEFORMAT</w:instrText>
        </w:r>
        <w:r>
          <w:fldChar w:fldCharType="separate"/>
        </w:r>
        <w:r w:rsidR="00160F33">
          <w:rPr>
            <w:noProof/>
          </w:rPr>
          <w:t>10</w:t>
        </w:r>
        <w:r>
          <w:fldChar w:fldCharType="end"/>
        </w:r>
      </w:p>
    </w:sdtContent>
  </w:sdt>
  <w:p w:rsidR="00DC01AE" w:rsidRDefault="00DC01AE">
    <w:pPr>
      <w:pStyle w:val="Encabezado"/>
    </w:pPr>
  </w:p>
  <w:p w:rsidR="00DC01AE" w:rsidRDefault="00DC01A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C01AE" w:rsidRDefault="00DC01AE" w:rsidP="00206B99">
        <w:pPr>
          <w:pStyle w:val="Encabezado"/>
          <w:jc w:val="center"/>
          <w:rPr>
            <w:noProof/>
          </w:rPr>
        </w:pPr>
        <w:r>
          <w:fldChar w:fldCharType="begin"/>
        </w:r>
        <w:r>
          <w:instrText xml:space="preserve"> PAGE   \* MERGEFORMAT </w:instrText>
        </w:r>
        <w:r>
          <w:fldChar w:fldCharType="separate"/>
        </w:r>
        <w:r w:rsidR="00160F33">
          <w:rPr>
            <w:noProof/>
          </w:rPr>
          <w:t>1</w:t>
        </w:r>
        <w:r>
          <w:rPr>
            <w:noProof/>
          </w:rPr>
          <w:fldChar w:fldCharType="end"/>
        </w:r>
      </w:p>
      <w:p w:rsidR="00160F33" w:rsidRDefault="00F10479" w:rsidP="00206B99">
        <w:pPr>
          <w:pStyle w:val="Encabezado"/>
          <w:jc w:val="center"/>
        </w:pPr>
      </w:p>
    </w:sdtContent>
  </w:sdt>
  <w:p w:rsidR="00DC01AE" w:rsidRDefault="00DC01AE" w:rsidP="00206B99">
    <w:pPr>
      <w:pStyle w:val="Encabezado"/>
      <w:jc w:val="center"/>
    </w:pPr>
  </w:p>
  <w:p w:rsidR="00DC01AE" w:rsidRDefault="00DC01AE" w:rsidP="00927607">
    <w:pPr>
      <w:pStyle w:val="Encabezado"/>
      <w:tabs>
        <w:tab w:val="left" w:pos="142"/>
      </w:tabs>
      <w:ind w:left="284"/>
    </w:pPr>
  </w:p>
  <w:p w:rsidR="00DC01AE" w:rsidRDefault="00160F33">
    <w:r>
      <w:rPr>
        <w:noProof/>
        <w:lang w:val="es-MX" w:eastAsia="es-MX"/>
      </w:rPr>
      <mc:AlternateContent>
        <mc:Choice Requires="wps">
          <w:drawing>
            <wp:anchor distT="45720" distB="45720" distL="114300" distR="114300" simplePos="0" relativeHeight="251661312" behindDoc="0" locked="0" layoutInCell="1" allowOverlap="1" wp14:anchorId="42E33F9C" wp14:editId="230C0F3D">
              <wp:simplePos x="0" y="0"/>
              <wp:positionH relativeFrom="column">
                <wp:posOffset>-1476375</wp:posOffset>
              </wp:positionH>
              <wp:positionV relativeFrom="paragraph">
                <wp:posOffset>3315970</wp:posOffset>
              </wp:positionV>
              <wp:extent cx="1181100" cy="1200150"/>
              <wp:effectExtent l="0" t="0" r="19050"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200150"/>
                      </a:xfrm>
                      <a:prstGeom prst="rect">
                        <a:avLst/>
                      </a:prstGeom>
                      <a:solidFill>
                        <a:srgbClr val="FFFFFF"/>
                      </a:solidFill>
                      <a:ln w="9525">
                        <a:solidFill>
                          <a:srgbClr val="000000"/>
                        </a:solidFill>
                        <a:miter lim="800000"/>
                        <a:headEnd/>
                        <a:tailEnd/>
                      </a:ln>
                    </wps:spPr>
                    <wps:txbx>
                      <w:txbxContent>
                        <w:p w:rsidR="00160F33" w:rsidRPr="00A458C7" w:rsidRDefault="00160F33" w:rsidP="00160F33">
                          <w:pPr>
                            <w:jc w:val="both"/>
                            <w:rPr>
                              <w:sz w:val="18"/>
                              <w:szCs w:val="18"/>
                              <w:lang w:val="es-MX"/>
                            </w:rPr>
                          </w:pPr>
                          <w:r w:rsidRPr="00A458C7">
                            <w:rPr>
                              <w:sz w:val="18"/>
                              <w:szCs w:val="18"/>
                              <w:lang w:val="es-MX"/>
                            </w:rPr>
                            <w:t>DATOS PERSONALES PROTEGIDOS, DE CONFORMIDAD CON LO DISPUESTO POR LOS ARTICULOS 116 DE LA L.G.T.A.I.P Y 56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E33F9C" id="_x0000_t202" coordsize="21600,21600" o:spt="202" path="m,l,21600r21600,l21600,xe">
              <v:stroke joinstyle="miter"/>
              <v:path gradientshapeok="t" o:connecttype="rect"/>
            </v:shapetype>
            <v:shape id="Cuadro de texto 2" o:spid="_x0000_s1026" type="#_x0000_t202" style="position:absolute;margin-left:-116.25pt;margin-top:261.1pt;width:93pt;height:9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">
              <v:textbox>
                <w:txbxContent>
                  <w:p w:rsidR="00160F33" w:rsidRPr="00A458C7" w:rsidRDefault="00160F33" w:rsidP="00160F33">
                    <w:pPr>
                      <w:jc w:val="both"/>
                      <w:rPr>
                        <w:sz w:val="18"/>
                        <w:szCs w:val="18"/>
                        <w:lang w:val="es-MX"/>
                      </w:rPr>
                    </w:pPr>
                    <w:r w:rsidRPr="00A458C7">
                      <w:rPr>
                        <w:sz w:val="18"/>
                        <w:szCs w:val="18"/>
                        <w:lang w:val="es-MX"/>
                      </w:rPr>
                      <w:t>DATOS PERSONALES PROTEGIDOS, DE CONFORMIDAD CON LO DISPUESTO POR LOS ARTICULOS 116 DE LA L.G.T.A.I.P Y 56 L.T.A.I.P.E.O</w:t>
                    </w:r>
                  </w:p>
                </w:txbxContent>
              </v:textbox>
              <w10:wrap type="square"/>
            </v:shape>
          </w:pict>
        </mc:Fallback>
      </mc:AlternateContent>
    </w:r>
    <w:r w:rsidR="00E83067" w:rsidRPr="003E6AD7">
      <w:rPr>
        <w:noProof/>
        <w:lang w:val="es-MX" w:eastAsia="es-MX"/>
      </w:rPr>
      <w:drawing>
        <wp:anchor distT="0" distB="0" distL="114300" distR="114300" simplePos="0" relativeHeight="251659264" behindDoc="0" locked="0" layoutInCell="1" allowOverlap="1" wp14:anchorId="02ECD4C3" wp14:editId="52AAE287">
          <wp:simplePos x="0" y="0"/>
          <wp:positionH relativeFrom="page">
            <wp:posOffset>428327</wp:posOffset>
          </wp:positionH>
          <wp:positionV relativeFrom="paragraph">
            <wp:posOffset>4940381</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FED"/>
    <w:rsid w:val="00002F5A"/>
    <w:rsid w:val="00004A31"/>
    <w:rsid w:val="00004E58"/>
    <w:rsid w:val="000053E5"/>
    <w:rsid w:val="0000725B"/>
    <w:rsid w:val="00007717"/>
    <w:rsid w:val="00011594"/>
    <w:rsid w:val="000124FA"/>
    <w:rsid w:val="00015E75"/>
    <w:rsid w:val="000169A3"/>
    <w:rsid w:val="00017C09"/>
    <w:rsid w:val="00021DF1"/>
    <w:rsid w:val="0002236D"/>
    <w:rsid w:val="0002434D"/>
    <w:rsid w:val="00026C11"/>
    <w:rsid w:val="00026F79"/>
    <w:rsid w:val="000330FB"/>
    <w:rsid w:val="00035047"/>
    <w:rsid w:val="00035379"/>
    <w:rsid w:val="000353A6"/>
    <w:rsid w:val="00036D01"/>
    <w:rsid w:val="000410A1"/>
    <w:rsid w:val="00041D15"/>
    <w:rsid w:val="0004237C"/>
    <w:rsid w:val="0004575F"/>
    <w:rsid w:val="00045A11"/>
    <w:rsid w:val="00053617"/>
    <w:rsid w:val="00053C13"/>
    <w:rsid w:val="0005701D"/>
    <w:rsid w:val="00057174"/>
    <w:rsid w:val="00057817"/>
    <w:rsid w:val="000612E4"/>
    <w:rsid w:val="000616B5"/>
    <w:rsid w:val="00061B56"/>
    <w:rsid w:val="00063493"/>
    <w:rsid w:val="00063E97"/>
    <w:rsid w:val="000652F0"/>
    <w:rsid w:val="00070777"/>
    <w:rsid w:val="000737BF"/>
    <w:rsid w:val="0007458B"/>
    <w:rsid w:val="00076CEA"/>
    <w:rsid w:val="000803AB"/>
    <w:rsid w:val="000807B4"/>
    <w:rsid w:val="000822AF"/>
    <w:rsid w:val="00083BEB"/>
    <w:rsid w:val="00085132"/>
    <w:rsid w:val="00085F69"/>
    <w:rsid w:val="000865B7"/>
    <w:rsid w:val="00086E43"/>
    <w:rsid w:val="00087231"/>
    <w:rsid w:val="000941A4"/>
    <w:rsid w:val="00094546"/>
    <w:rsid w:val="0009618C"/>
    <w:rsid w:val="000961D2"/>
    <w:rsid w:val="000A1494"/>
    <w:rsid w:val="000A4E40"/>
    <w:rsid w:val="000A6360"/>
    <w:rsid w:val="000A6EC7"/>
    <w:rsid w:val="000A7BA9"/>
    <w:rsid w:val="000B0AA0"/>
    <w:rsid w:val="000B0E70"/>
    <w:rsid w:val="000B1A06"/>
    <w:rsid w:val="000B1E26"/>
    <w:rsid w:val="000B24CB"/>
    <w:rsid w:val="000B3B3B"/>
    <w:rsid w:val="000B4122"/>
    <w:rsid w:val="000C1F7C"/>
    <w:rsid w:val="000C313C"/>
    <w:rsid w:val="000C3DBF"/>
    <w:rsid w:val="000C4CD3"/>
    <w:rsid w:val="000C5E06"/>
    <w:rsid w:val="000D0E1D"/>
    <w:rsid w:val="000D1BD0"/>
    <w:rsid w:val="000D2FDE"/>
    <w:rsid w:val="000D4150"/>
    <w:rsid w:val="000E12D3"/>
    <w:rsid w:val="000E2133"/>
    <w:rsid w:val="000E218B"/>
    <w:rsid w:val="000E2E24"/>
    <w:rsid w:val="000E322A"/>
    <w:rsid w:val="000F018A"/>
    <w:rsid w:val="000F27AC"/>
    <w:rsid w:val="000F54B0"/>
    <w:rsid w:val="000F5D12"/>
    <w:rsid w:val="000F62C3"/>
    <w:rsid w:val="000F7CF6"/>
    <w:rsid w:val="001006E8"/>
    <w:rsid w:val="00103FE7"/>
    <w:rsid w:val="001058D3"/>
    <w:rsid w:val="0010644A"/>
    <w:rsid w:val="00111B33"/>
    <w:rsid w:val="00111BFC"/>
    <w:rsid w:val="001144A1"/>
    <w:rsid w:val="00114AC5"/>
    <w:rsid w:val="00116292"/>
    <w:rsid w:val="00116579"/>
    <w:rsid w:val="001168FF"/>
    <w:rsid w:val="00116B50"/>
    <w:rsid w:val="001208F4"/>
    <w:rsid w:val="001213C8"/>
    <w:rsid w:val="00121600"/>
    <w:rsid w:val="0012217B"/>
    <w:rsid w:val="00122F5E"/>
    <w:rsid w:val="00126163"/>
    <w:rsid w:val="00126F80"/>
    <w:rsid w:val="00127839"/>
    <w:rsid w:val="00127D14"/>
    <w:rsid w:val="00130500"/>
    <w:rsid w:val="00130877"/>
    <w:rsid w:val="001308D4"/>
    <w:rsid w:val="00131CDF"/>
    <w:rsid w:val="00133C57"/>
    <w:rsid w:val="00133D64"/>
    <w:rsid w:val="00136897"/>
    <w:rsid w:val="0014067A"/>
    <w:rsid w:val="00141175"/>
    <w:rsid w:val="00142174"/>
    <w:rsid w:val="00142893"/>
    <w:rsid w:val="001438A5"/>
    <w:rsid w:val="001441D3"/>
    <w:rsid w:val="0014484E"/>
    <w:rsid w:val="00146509"/>
    <w:rsid w:val="00146540"/>
    <w:rsid w:val="00147A8B"/>
    <w:rsid w:val="00151D48"/>
    <w:rsid w:val="00152A17"/>
    <w:rsid w:val="00152D3F"/>
    <w:rsid w:val="00152EF4"/>
    <w:rsid w:val="0015351E"/>
    <w:rsid w:val="0015410B"/>
    <w:rsid w:val="00154584"/>
    <w:rsid w:val="00160F33"/>
    <w:rsid w:val="00164061"/>
    <w:rsid w:val="0016419C"/>
    <w:rsid w:val="00164BAD"/>
    <w:rsid w:val="001657E9"/>
    <w:rsid w:val="00167AA3"/>
    <w:rsid w:val="00171831"/>
    <w:rsid w:val="00172205"/>
    <w:rsid w:val="00175034"/>
    <w:rsid w:val="001761CB"/>
    <w:rsid w:val="00180F55"/>
    <w:rsid w:val="00182289"/>
    <w:rsid w:val="001827CF"/>
    <w:rsid w:val="001843E8"/>
    <w:rsid w:val="00184B23"/>
    <w:rsid w:val="0019007D"/>
    <w:rsid w:val="00190DE9"/>
    <w:rsid w:val="00191A27"/>
    <w:rsid w:val="00192287"/>
    <w:rsid w:val="00193DFA"/>
    <w:rsid w:val="00194A88"/>
    <w:rsid w:val="00194C5C"/>
    <w:rsid w:val="0019600D"/>
    <w:rsid w:val="00197CEC"/>
    <w:rsid w:val="00197DD0"/>
    <w:rsid w:val="001A1057"/>
    <w:rsid w:val="001A2DD1"/>
    <w:rsid w:val="001A3755"/>
    <w:rsid w:val="001A5951"/>
    <w:rsid w:val="001A5B4D"/>
    <w:rsid w:val="001A608E"/>
    <w:rsid w:val="001B1297"/>
    <w:rsid w:val="001B40F8"/>
    <w:rsid w:val="001B469D"/>
    <w:rsid w:val="001B5774"/>
    <w:rsid w:val="001C0740"/>
    <w:rsid w:val="001C3488"/>
    <w:rsid w:val="001C4AAC"/>
    <w:rsid w:val="001C5D6C"/>
    <w:rsid w:val="001C6A1B"/>
    <w:rsid w:val="001C77A4"/>
    <w:rsid w:val="001D0A5A"/>
    <w:rsid w:val="001D27A6"/>
    <w:rsid w:val="001D3B81"/>
    <w:rsid w:val="001D6065"/>
    <w:rsid w:val="001D694C"/>
    <w:rsid w:val="001D730F"/>
    <w:rsid w:val="001D7A9A"/>
    <w:rsid w:val="001E1758"/>
    <w:rsid w:val="001E2D44"/>
    <w:rsid w:val="001E2FC2"/>
    <w:rsid w:val="001E3B11"/>
    <w:rsid w:val="001E503D"/>
    <w:rsid w:val="001E5FC7"/>
    <w:rsid w:val="001E631B"/>
    <w:rsid w:val="001E680E"/>
    <w:rsid w:val="001F03C6"/>
    <w:rsid w:val="001F0D5A"/>
    <w:rsid w:val="001F2EF7"/>
    <w:rsid w:val="001F5841"/>
    <w:rsid w:val="001F72DF"/>
    <w:rsid w:val="001F759D"/>
    <w:rsid w:val="00200843"/>
    <w:rsid w:val="0020247E"/>
    <w:rsid w:val="00203FD3"/>
    <w:rsid w:val="00206222"/>
    <w:rsid w:val="00206B99"/>
    <w:rsid w:val="002075C8"/>
    <w:rsid w:val="002103CD"/>
    <w:rsid w:val="002113FA"/>
    <w:rsid w:val="00211AEE"/>
    <w:rsid w:val="00211DEF"/>
    <w:rsid w:val="00212CDB"/>
    <w:rsid w:val="00212D0A"/>
    <w:rsid w:val="0021340C"/>
    <w:rsid w:val="002142F8"/>
    <w:rsid w:val="00214B69"/>
    <w:rsid w:val="00216474"/>
    <w:rsid w:val="00216595"/>
    <w:rsid w:val="0022058C"/>
    <w:rsid w:val="00220A65"/>
    <w:rsid w:val="002214CB"/>
    <w:rsid w:val="0022196F"/>
    <w:rsid w:val="00223F75"/>
    <w:rsid w:val="0022443A"/>
    <w:rsid w:val="00226A03"/>
    <w:rsid w:val="0023003B"/>
    <w:rsid w:val="0023095D"/>
    <w:rsid w:val="002310A8"/>
    <w:rsid w:val="002327AF"/>
    <w:rsid w:val="00233034"/>
    <w:rsid w:val="00233214"/>
    <w:rsid w:val="00236064"/>
    <w:rsid w:val="002366C4"/>
    <w:rsid w:val="002375AF"/>
    <w:rsid w:val="002378DE"/>
    <w:rsid w:val="002422D2"/>
    <w:rsid w:val="00242891"/>
    <w:rsid w:val="00243181"/>
    <w:rsid w:val="00244208"/>
    <w:rsid w:val="0024497C"/>
    <w:rsid w:val="00245BAC"/>
    <w:rsid w:val="00246862"/>
    <w:rsid w:val="00246915"/>
    <w:rsid w:val="00246F70"/>
    <w:rsid w:val="00247875"/>
    <w:rsid w:val="00247D11"/>
    <w:rsid w:val="00254ED2"/>
    <w:rsid w:val="002573D5"/>
    <w:rsid w:val="002579D3"/>
    <w:rsid w:val="00260BF9"/>
    <w:rsid w:val="00262666"/>
    <w:rsid w:val="0026327D"/>
    <w:rsid w:val="00263720"/>
    <w:rsid w:val="002660AE"/>
    <w:rsid w:val="00267A88"/>
    <w:rsid w:val="00271D24"/>
    <w:rsid w:val="002729E4"/>
    <w:rsid w:val="00273171"/>
    <w:rsid w:val="00275B9F"/>
    <w:rsid w:val="002772AA"/>
    <w:rsid w:val="002802EC"/>
    <w:rsid w:val="002805AC"/>
    <w:rsid w:val="002811D0"/>
    <w:rsid w:val="00283967"/>
    <w:rsid w:val="00283A16"/>
    <w:rsid w:val="00283B3F"/>
    <w:rsid w:val="002844AF"/>
    <w:rsid w:val="00286D00"/>
    <w:rsid w:val="002870CA"/>
    <w:rsid w:val="002908C0"/>
    <w:rsid w:val="00291333"/>
    <w:rsid w:val="00292316"/>
    <w:rsid w:val="00294010"/>
    <w:rsid w:val="0029497E"/>
    <w:rsid w:val="0029542B"/>
    <w:rsid w:val="00296748"/>
    <w:rsid w:val="00297342"/>
    <w:rsid w:val="002A0B1C"/>
    <w:rsid w:val="002A28E5"/>
    <w:rsid w:val="002A2985"/>
    <w:rsid w:val="002A4088"/>
    <w:rsid w:val="002A411F"/>
    <w:rsid w:val="002A5510"/>
    <w:rsid w:val="002A6EF0"/>
    <w:rsid w:val="002A72DF"/>
    <w:rsid w:val="002A72EA"/>
    <w:rsid w:val="002A736B"/>
    <w:rsid w:val="002B12B5"/>
    <w:rsid w:val="002B23D7"/>
    <w:rsid w:val="002B2AF4"/>
    <w:rsid w:val="002B5C82"/>
    <w:rsid w:val="002B6942"/>
    <w:rsid w:val="002B73F3"/>
    <w:rsid w:val="002B7422"/>
    <w:rsid w:val="002B79C4"/>
    <w:rsid w:val="002C01EA"/>
    <w:rsid w:val="002C0324"/>
    <w:rsid w:val="002C7363"/>
    <w:rsid w:val="002C7B6E"/>
    <w:rsid w:val="002D1979"/>
    <w:rsid w:val="002D2BC6"/>
    <w:rsid w:val="002D3239"/>
    <w:rsid w:val="002D4CD8"/>
    <w:rsid w:val="002D7BCE"/>
    <w:rsid w:val="002E796C"/>
    <w:rsid w:val="002F104E"/>
    <w:rsid w:val="002F19AF"/>
    <w:rsid w:val="002F45B6"/>
    <w:rsid w:val="002F4F72"/>
    <w:rsid w:val="002F69D0"/>
    <w:rsid w:val="002F7173"/>
    <w:rsid w:val="002F7484"/>
    <w:rsid w:val="00301312"/>
    <w:rsid w:val="00302511"/>
    <w:rsid w:val="0030277A"/>
    <w:rsid w:val="00302C57"/>
    <w:rsid w:val="00303020"/>
    <w:rsid w:val="003032E2"/>
    <w:rsid w:val="00304999"/>
    <w:rsid w:val="00304F82"/>
    <w:rsid w:val="00305A39"/>
    <w:rsid w:val="003076B0"/>
    <w:rsid w:val="00307E06"/>
    <w:rsid w:val="00312470"/>
    <w:rsid w:val="003124A7"/>
    <w:rsid w:val="003139C0"/>
    <w:rsid w:val="00313EC0"/>
    <w:rsid w:val="003140FD"/>
    <w:rsid w:val="00315C76"/>
    <w:rsid w:val="003171AC"/>
    <w:rsid w:val="0031730E"/>
    <w:rsid w:val="00321AAB"/>
    <w:rsid w:val="00321C10"/>
    <w:rsid w:val="00321DCC"/>
    <w:rsid w:val="003253CA"/>
    <w:rsid w:val="0032787B"/>
    <w:rsid w:val="00331836"/>
    <w:rsid w:val="0033218D"/>
    <w:rsid w:val="0033426E"/>
    <w:rsid w:val="00335EF4"/>
    <w:rsid w:val="00337128"/>
    <w:rsid w:val="00337583"/>
    <w:rsid w:val="00340F8C"/>
    <w:rsid w:val="00341440"/>
    <w:rsid w:val="0034180B"/>
    <w:rsid w:val="00342CE5"/>
    <w:rsid w:val="003462AA"/>
    <w:rsid w:val="003505C2"/>
    <w:rsid w:val="00355E72"/>
    <w:rsid w:val="0036088A"/>
    <w:rsid w:val="00360A0B"/>
    <w:rsid w:val="00360CA9"/>
    <w:rsid w:val="003633B9"/>
    <w:rsid w:val="0036360A"/>
    <w:rsid w:val="00363BE4"/>
    <w:rsid w:val="003646B9"/>
    <w:rsid w:val="00365A43"/>
    <w:rsid w:val="00366DF9"/>
    <w:rsid w:val="003708D3"/>
    <w:rsid w:val="0037222F"/>
    <w:rsid w:val="003729C4"/>
    <w:rsid w:val="003731F5"/>
    <w:rsid w:val="00375176"/>
    <w:rsid w:val="00376CDE"/>
    <w:rsid w:val="00376D9D"/>
    <w:rsid w:val="0037704F"/>
    <w:rsid w:val="00380BAC"/>
    <w:rsid w:val="00381DC3"/>
    <w:rsid w:val="003829A7"/>
    <w:rsid w:val="00382FD0"/>
    <w:rsid w:val="003830A5"/>
    <w:rsid w:val="00383AA4"/>
    <w:rsid w:val="00387C97"/>
    <w:rsid w:val="00390E48"/>
    <w:rsid w:val="003924CC"/>
    <w:rsid w:val="00395633"/>
    <w:rsid w:val="003965ED"/>
    <w:rsid w:val="003A0ACC"/>
    <w:rsid w:val="003A1804"/>
    <w:rsid w:val="003A1F55"/>
    <w:rsid w:val="003A2589"/>
    <w:rsid w:val="003A3A38"/>
    <w:rsid w:val="003A50F1"/>
    <w:rsid w:val="003B0795"/>
    <w:rsid w:val="003B20F0"/>
    <w:rsid w:val="003B2E9F"/>
    <w:rsid w:val="003B2FF4"/>
    <w:rsid w:val="003B373B"/>
    <w:rsid w:val="003B4BAF"/>
    <w:rsid w:val="003B596E"/>
    <w:rsid w:val="003B68EA"/>
    <w:rsid w:val="003B6C7E"/>
    <w:rsid w:val="003B7C7A"/>
    <w:rsid w:val="003C0AC1"/>
    <w:rsid w:val="003C16E0"/>
    <w:rsid w:val="003C1E07"/>
    <w:rsid w:val="003C1F53"/>
    <w:rsid w:val="003C4A93"/>
    <w:rsid w:val="003C55E3"/>
    <w:rsid w:val="003C63BE"/>
    <w:rsid w:val="003C6839"/>
    <w:rsid w:val="003C7EA9"/>
    <w:rsid w:val="003D1EF2"/>
    <w:rsid w:val="003D35FA"/>
    <w:rsid w:val="003D5E2A"/>
    <w:rsid w:val="003D707F"/>
    <w:rsid w:val="003D7F85"/>
    <w:rsid w:val="003E0B3C"/>
    <w:rsid w:val="003E0F2A"/>
    <w:rsid w:val="003E15CF"/>
    <w:rsid w:val="003E2B2E"/>
    <w:rsid w:val="003E2C06"/>
    <w:rsid w:val="003E3AF9"/>
    <w:rsid w:val="003E4484"/>
    <w:rsid w:val="003E4EE2"/>
    <w:rsid w:val="003E52CC"/>
    <w:rsid w:val="003E5B1E"/>
    <w:rsid w:val="003E7801"/>
    <w:rsid w:val="003E7C91"/>
    <w:rsid w:val="003F09E7"/>
    <w:rsid w:val="003F47AD"/>
    <w:rsid w:val="003F5E8A"/>
    <w:rsid w:val="003F6843"/>
    <w:rsid w:val="00400164"/>
    <w:rsid w:val="00402AA1"/>
    <w:rsid w:val="0040457E"/>
    <w:rsid w:val="00407B2F"/>
    <w:rsid w:val="00410A06"/>
    <w:rsid w:val="00411707"/>
    <w:rsid w:val="0041349D"/>
    <w:rsid w:val="004138D3"/>
    <w:rsid w:val="0041573D"/>
    <w:rsid w:val="00415DE1"/>
    <w:rsid w:val="0041760B"/>
    <w:rsid w:val="00422B8C"/>
    <w:rsid w:val="00423A9D"/>
    <w:rsid w:val="00424229"/>
    <w:rsid w:val="004242CE"/>
    <w:rsid w:val="0042585D"/>
    <w:rsid w:val="00427081"/>
    <w:rsid w:val="004334D8"/>
    <w:rsid w:val="00433FAD"/>
    <w:rsid w:val="004407BC"/>
    <w:rsid w:val="00440F85"/>
    <w:rsid w:val="00441788"/>
    <w:rsid w:val="00441869"/>
    <w:rsid w:val="004426E6"/>
    <w:rsid w:val="00444733"/>
    <w:rsid w:val="0044548C"/>
    <w:rsid w:val="00446238"/>
    <w:rsid w:val="004503A6"/>
    <w:rsid w:val="0045055C"/>
    <w:rsid w:val="0045239D"/>
    <w:rsid w:val="00452CCE"/>
    <w:rsid w:val="00454494"/>
    <w:rsid w:val="004567C7"/>
    <w:rsid w:val="00457CC7"/>
    <w:rsid w:val="004633DC"/>
    <w:rsid w:val="004715AF"/>
    <w:rsid w:val="00472E19"/>
    <w:rsid w:val="00474C79"/>
    <w:rsid w:val="00474E30"/>
    <w:rsid w:val="0047534A"/>
    <w:rsid w:val="0047763B"/>
    <w:rsid w:val="004804E9"/>
    <w:rsid w:val="00480A0D"/>
    <w:rsid w:val="00483C46"/>
    <w:rsid w:val="00485388"/>
    <w:rsid w:val="004870D8"/>
    <w:rsid w:val="00491DA5"/>
    <w:rsid w:val="004961AD"/>
    <w:rsid w:val="00497B02"/>
    <w:rsid w:val="00497E3B"/>
    <w:rsid w:val="004A2326"/>
    <w:rsid w:val="004A250E"/>
    <w:rsid w:val="004A319F"/>
    <w:rsid w:val="004A364E"/>
    <w:rsid w:val="004A4ECC"/>
    <w:rsid w:val="004A73FA"/>
    <w:rsid w:val="004A7A36"/>
    <w:rsid w:val="004B2C2A"/>
    <w:rsid w:val="004B3A33"/>
    <w:rsid w:val="004B3D2E"/>
    <w:rsid w:val="004B483F"/>
    <w:rsid w:val="004B6F87"/>
    <w:rsid w:val="004B6FEB"/>
    <w:rsid w:val="004B748E"/>
    <w:rsid w:val="004B74CE"/>
    <w:rsid w:val="004B7A3D"/>
    <w:rsid w:val="004B7E67"/>
    <w:rsid w:val="004C10F3"/>
    <w:rsid w:val="004C20AC"/>
    <w:rsid w:val="004C2491"/>
    <w:rsid w:val="004C350E"/>
    <w:rsid w:val="004C3D7C"/>
    <w:rsid w:val="004C3E7C"/>
    <w:rsid w:val="004C3F7B"/>
    <w:rsid w:val="004C4306"/>
    <w:rsid w:val="004C456C"/>
    <w:rsid w:val="004C489E"/>
    <w:rsid w:val="004C519F"/>
    <w:rsid w:val="004C553C"/>
    <w:rsid w:val="004C57A9"/>
    <w:rsid w:val="004D316A"/>
    <w:rsid w:val="004D3ADD"/>
    <w:rsid w:val="004D4428"/>
    <w:rsid w:val="004D5713"/>
    <w:rsid w:val="004D5934"/>
    <w:rsid w:val="004D7564"/>
    <w:rsid w:val="004E06FC"/>
    <w:rsid w:val="004E0773"/>
    <w:rsid w:val="004E154D"/>
    <w:rsid w:val="004E16A4"/>
    <w:rsid w:val="004E6320"/>
    <w:rsid w:val="004E661E"/>
    <w:rsid w:val="004F03BE"/>
    <w:rsid w:val="004F090C"/>
    <w:rsid w:val="004F2DB8"/>
    <w:rsid w:val="004F3B6D"/>
    <w:rsid w:val="004F452D"/>
    <w:rsid w:val="004F4970"/>
    <w:rsid w:val="004F4B8D"/>
    <w:rsid w:val="004F5821"/>
    <w:rsid w:val="004F5EDB"/>
    <w:rsid w:val="004F674E"/>
    <w:rsid w:val="00501DFC"/>
    <w:rsid w:val="00501EAB"/>
    <w:rsid w:val="005027CE"/>
    <w:rsid w:val="005043E1"/>
    <w:rsid w:val="005068F2"/>
    <w:rsid w:val="00510956"/>
    <w:rsid w:val="00510C9F"/>
    <w:rsid w:val="005115C3"/>
    <w:rsid w:val="00512FF2"/>
    <w:rsid w:val="0051428C"/>
    <w:rsid w:val="00515E05"/>
    <w:rsid w:val="00516F56"/>
    <w:rsid w:val="00520000"/>
    <w:rsid w:val="0052109E"/>
    <w:rsid w:val="00522814"/>
    <w:rsid w:val="00526DC4"/>
    <w:rsid w:val="005300DF"/>
    <w:rsid w:val="00530203"/>
    <w:rsid w:val="00531A5A"/>
    <w:rsid w:val="00531A6D"/>
    <w:rsid w:val="00531B0F"/>
    <w:rsid w:val="00531B2A"/>
    <w:rsid w:val="00531DE3"/>
    <w:rsid w:val="00534567"/>
    <w:rsid w:val="00534C95"/>
    <w:rsid w:val="0053715D"/>
    <w:rsid w:val="00537244"/>
    <w:rsid w:val="00541B18"/>
    <w:rsid w:val="00542671"/>
    <w:rsid w:val="005443FC"/>
    <w:rsid w:val="00544A76"/>
    <w:rsid w:val="00545D35"/>
    <w:rsid w:val="00547862"/>
    <w:rsid w:val="005478F9"/>
    <w:rsid w:val="0055129D"/>
    <w:rsid w:val="00551897"/>
    <w:rsid w:val="00553578"/>
    <w:rsid w:val="00557727"/>
    <w:rsid w:val="005609AA"/>
    <w:rsid w:val="00563B9C"/>
    <w:rsid w:val="00565465"/>
    <w:rsid w:val="00567E8E"/>
    <w:rsid w:val="005707BD"/>
    <w:rsid w:val="00571B02"/>
    <w:rsid w:val="005720EB"/>
    <w:rsid w:val="00572894"/>
    <w:rsid w:val="005770F4"/>
    <w:rsid w:val="0057760D"/>
    <w:rsid w:val="005776B9"/>
    <w:rsid w:val="00580698"/>
    <w:rsid w:val="00580F64"/>
    <w:rsid w:val="005817AB"/>
    <w:rsid w:val="005854E1"/>
    <w:rsid w:val="005864C3"/>
    <w:rsid w:val="005903F7"/>
    <w:rsid w:val="005913ED"/>
    <w:rsid w:val="00593333"/>
    <w:rsid w:val="00594670"/>
    <w:rsid w:val="00595186"/>
    <w:rsid w:val="00597C5A"/>
    <w:rsid w:val="005A0A32"/>
    <w:rsid w:val="005A0D5F"/>
    <w:rsid w:val="005A2260"/>
    <w:rsid w:val="005A3800"/>
    <w:rsid w:val="005A415D"/>
    <w:rsid w:val="005A493F"/>
    <w:rsid w:val="005B13A7"/>
    <w:rsid w:val="005B1411"/>
    <w:rsid w:val="005B2365"/>
    <w:rsid w:val="005B2F27"/>
    <w:rsid w:val="005B5E89"/>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18B0"/>
    <w:rsid w:val="005E3275"/>
    <w:rsid w:val="005E40A8"/>
    <w:rsid w:val="005E5273"/>
    <w:rsid w:val="005E5B9F"/>
    <w:rsid w:val="005E76E1"/>
    <w:rsid w:val="005F07A9"/>
    <w:rsid w:val="005F0B76"/>
    <w:rsid w:val="005F1575"/>
    <w:rsid w:val="005F201C"/>
    <w:rsid w:val="005F3137"/>
    <w:rsid w:val="005F3355"/>
    <w:rsid w:val="005F35AE"/>
    <w:rsid w:val="005F48E0"/>
    <w:rsid w:val="005F6121"/>
    <w:rsid w:val="005F6EEE"/>
    <w:rsid w:val="00600290"/>
    <w:rsid w:val="006012BD"/>
    <w:rsid w:val="00602086"/>
    <w:rsid w:val="006031E8"/>
    <w:rsid w:val="00603468"/>
    <w:rsid w:val="0060423E"/>
    <w:rsid w:val="00605407"/>
    <w:rsid w:val="00605D2B"/>
    <w:rsid w:val="006062DA"/>
    <w:rsid w:val="00607309"/>
    <w:rsid w:val="00607F3D"/>
    <w:rsid w:val="006105BC"/>
    <w:rsid w:val="00610C46"/>
    <w:rsid w:val="00611349"/>
    <w:rsid w:val="00611746"/>
    <w:rsid w:val="00611DD6"/>
    <w:rsid w:val="00613F93"/>
    <w:rsid w:val="006150FB"/>
    <w:rsid w:val="00621035"/>
    <w:rsid w:val="00621070"/>
    <w:rsid w:val="00623FAD"/>
    <w:rsid w:val="00624207"/>
    <w:rsid w:val="00630C62"/>
    <w:rsid w:val="0063368D"/>
    <w:rsid w:val="00633FA0"/>
    <w:rsid w:val="006345EE"/>
    <w:rsid w:val="00634C52"/>
    <w:rsid w:val="006361ED"/>
    <w:rsid w:val="00637275"/>
    <w:rsid w:val="006418C8"/>
    <w:rsid w:val="00641ABB"/>
    <w:rsid w:val="006422F6"/>
    <w:rsid w:val="0064256C"/>
    <w:rsid w:val="006427D9"/>
    <w:rsid w:val="00643498"/>
    <w:rsid w:val="00644BEF"/>
    <w:rsid w:val="00645439"/>
    <w:rsid w:val="00645602"/>
    <w:rsid w:val="00645E2A"/>
    <w:rsid w:val="00646E72"/>
    <w:rsid w:val="0065279D"/>
    <w:rsid w:val="00653354"/>
    <w:rsid w:val="006537AB"/>
    <w:rsid w:val="00654D58"/>
    <w:rsid w:val="00655BA3"/>
    <w:rsid w:val="00655D87"/>
    <w:rsid w:val="00661E08"/>
    <w:rsid w:val="00661E9E"/>
    <w:rsid w:val="0066306B"/>
    <w:rsid w:val="0066335A"/>
    <w:rsid w:val="0066407D"/>
    <w:rsid w:val="006640C5"/>
    <w:rsid w:val="006703C0"/>
    <w:rsid w:val="0067355E"/>
    <w:rsid w:val="00675661"/>
    <w:rsid w:val="00681173"/>
    <w:rsid w:val="0068145D"/>
    <w:rsid w:val="00681F17"/>
    <w:rsid w:val="00682164"/>
    <w:rsid w:val="006826DA"/>
    <w:rsid w:val="0068325D"/>
    <w:rsid w:val="00683DC9"/>
    <w:rsid w:val="00683EDB"/>
    <w:rsid w:val="00685A2A"/>
    <w:rsid w:val="00687B92"/>
    <w:rsid w:val="0069198F"/>
    <w:rsid w:val="0069217A"/>
    <w:rsid w:val="006921D8"/>
    <w:rsid w:val="00692778"/>
    <w:rsid w:val="00696616"/>
    <w:rsid w:val="00696E31"/>
    <w:rsid w:val="00696F11"/>
    <w:rsid w:val="0069756E"/>
    <w:rsid w:val="00697ECB"/>
    <w:rsid w:val="006A141D"/>
    <w:rsid w:val="006A2BEC"/>
    <w:rsid w:val="006A4C24"/>
    <w:rsid w:val="006A5F24"/>
    <w:rsid w:val="006A6FE7"/>
    <w:rsid w:val="006A7D96"/>
    <w:rsid w:val="006B0915"/>
    <w:rsid w:val="006B0B08"/>
    <w:rsid w:val="006B10A8"/>
    <w:rsid w:val="006B119B"/>
    <w:rsid w:val="006B2334"/>
    <w:rsid w:val="006B26D3"/>
    <w:rsid w:val="006B3BEA"/>
    <w:rsid w:val="006B47CC"/>
    <w:rsid w:val="006B4E73"/>
    <w:rsid w:val="006B4FD6"/>
    <w:rsid w:val="006B52CD"/>
    <w:rsid w:val="006B6D39"/>
    <w:rsid w:val="006B78C5"/>
    <w:rsid w:val="006C04CB"/>
    <w:rsid w:val="006C2F23"/>
    <w:rsid w:val="006C31AF"/>
    <w:rsid w:val="006C3540"/>
    <w:rsid w:val="006C4EE7"/>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4E8B"/>
    <w:rsid w:val="006F5760"/>
    <w:rsid w:val="006F63DF"/>
    <w:rsid w:val="006F6BE0"/>
    <w:rsid w:val="00700013"/>
    <w:rsid w:val="00701FA5"/>
    <w:rsid w:val="00702862"/>
    <w:rsid w:val="00702D97"/>
    <w:rsid w:val="00703F64"/>
    <w:rsid w:val="00704CD1"/>
    <w:rsid w:val="007057EA"/>
    <w:rsid w:val="00705BF0"/>
    <w:rsid w:val="00706631"/>
    <w:rsid w:val="0070679D"/>
    <w:rsid w:val="00707019"/>
    <w:rsid w:val="00707245"/>
    <w:rsid w:val="00712EE0"/>
    <w:rsid w:val="00712FE1"/>
    <w:rsid w:val="00713539"/>
    <w:rsid w:val="0071716F"/>
    <w:rsid w:val="0072215B"/>
    <w:rsid w:val="0072271C"/>
    <w:rsid w:val="00723286"/>
    <w:rsid w:val="00727C09"/>
    <w:rsid w:val="00733866"/>
    <w:rsid w:val="00735D1B"/>
    <w:rsid w:val="007372AF"/>
    <w:rsid w:val="007372F0"/>
    <w:rsid w:val="007402AF"/>
    <w:rsid w:val="00742461"/>
    <w:rsid w:val="00742758"/>
    <w:rsid w:val="0074315B"/>
    <w:rsid w:val="00745F88"/>
    <w:rsid w:val="00745F93"/>
    <w:rsid w:val="00747AB7"/>
    <w:rsid w:val="007503C4"/>
    <w:rsid w:val="00751540"/>
    <w:rsid w:val="00752B02"/>
    <w:rsid w:val="00754235"/>
    <w:rsid w:val="00755251"/>
    <w:rsid w:val="007568F4"/>
    <w:rsid w:val="0075724E"/>
    <w:rsid w:val="00757B5C"/>
    <w:rsid w:val="0076494C"/>
    <w:rsid w:val="00766389"/>
    <w:rsid w:val="00772029"/>
    <w:rsid w:val="0077311D"/>
    <w:rsid w:val="0077356E"/>
    <w:rsid w:val="007737E8"/>
    <w:rsid w:val="00773DC9"/>
    <w:rsid w:val="007758EE"/>
    <w:rsid w:val="00776666"/>
    <w:rsid w:val="00776E5E"/>
    <w:rsid w:val="00777151"/>
    <w:rsid w:val="0077739D"/>
    <w:rsid w:val="007806D4"/>
    <w:rsid w:val="0078132A"/>
    <w:rsid w:val="00782019"/>
    <w:rsid w:val="0078202A"/>
    <w:rsid w:val="00785325"/>
    <w:rsid w:val="007905C3"/>
    <w:rsid w:val="00790C1A"/>
    <w:rsid w:val="00790E52"/>
    <w:rsid w:val="00792E46"/>
    <w:rsid w:val="00795CE3"/>
    <w:rsid w:val="007A0DD5"/>
    <w:rsid w:val="007A1ABA"/>
    <w:rsid w:val="007A25A8"/>
    <w:rsid w:val="007A2B3C"/>
    <w:rsid w:val="007A3ECB"/>
    <w:rsid w:val="007A493D"/>
    <w:rsid w:val="007A4CC0"/>
    <w:rsid w:val="007B0E0D"/>
    <w:rsid w:val="007B29E4"/>
    <w:rsid w:val="007B448D"/>
    <w:rsid w:val="007B5637"/>
    <w:rsid w:val="007B6958"/>
    <w:rsid w:val="007C4D7C"/>
    <w:rsid w:val="007C4FC7"/>
    <w:rsid w:val="007C5134"/>
    <w:rsid w:val="007C5CE4"/>
    <w:rsid w:val="007C6CD3"/>
    <w:rsid w:val="007C7AD1"/>
    <w:rsid w:val="007D1055"/>
    <w:rsid w:val="007D2543"/>
    <w:rsid w:val="007D2B45"/>
    <w:rsid w:val="007D4645"/>
    <w:rsid w:val="007D48BE"/>
    <w:rsid w:val="007D4E0F"/>
    <w:rsid w:val="007D512B"/>
    <w:rsid w:val="007D55DA"/>
    <w:rsid w:val="007D6D8D"/>
    <w:rsid w:val="007D74A4"/>
    <w:rsid w:val="007D7972"/>
    <w:rsid w:val="007D7A34"/>
    <w:rsid w:val="007E0A56"/>
    <w:rsid w:val="007E1BC3"/>
    <w:rsid w:val="007E32FC"/>
    <w:rsid w:val="007E38E7"/>
    <w:rsid w:val="007E3C2A"/>
    <w:rsid w:val="007E503E"/>
    <w:rsid w:val="007E52A8"/>
    <w:rsid w:val="007E52F1"/>
    <w:rsid w:val="007E6F05"/>
    <w:rsid w:val="007E7DD4"/>
    <w:rsid w:val="007F1451"/>
    <w:rsid w:val="007F3488"/>
    <w:rsid w:val="007F4057"/>
    <w:rsid w:val="007F43B4"/>
    <w:rsid w:val="007F4ED0"/>
    <w:rsid w:val="007F566C"/>
    <w:rsid w:val="007F64F9"/>
    <w:rsid w:val="007F7B65"/>
    <w:rsid w:val="007F7F91"/>
    <w:rsid w:val="0080036B"/>
    <w:rsid w:val="00801F35"/>
    <w:rsid w:val="0080399F"/>
    <w:rsid w:val="00805C67"/>
    <w:rsid w:val="00807736"/>
    <w:rsid w:val="00807D70"/>
    <w:rsid w:val="00810840"/>
    <w:rsid w:val="00815878"/>
    <w:rsid w:val="0082010D"/>
    <w:rsid w:val="008216AB"/>
    <w:rsid w:val="00821C04"/>
    <w:rsid w:val="008226E8"/>
    <w:rsid w:val="00822EC2"/>
    <w:rsid w:val="00824B18"/>
    <w:rsid w:val="0083002A"/>
    <w:rsid w:val="00830884"/>
    <w:rsid w:val="00832757"/>
    <w:rsid w:val="00832BFA"/>
    <w:rsid w:val="00832FE5"/>
    <w:rsid w:val="00837149"/>
    <w:rsid w:val="0084114B"/>
    <w:rsid w:val="00841573"/>
    <w:rsid w:val="00841CA9"/>
    <w:rsid w:val="00842ED4"/>
    <w:rsid w:val="00844358"/>
    <w:rsid w:val="00845B53"/>
    <w:rsid w:val="00845EA4"/>
    <w:rsid w:val="00847A1D"/>
    <w:rsid w:val="00850EC3"/>
    <w:rsid w:val="00854E06"/>
    <w:rsid w:val="008550F0"/>
    <w:rsid w:val="00855650"/>
    <w:rsid w:val="00856608"/>
    <w:rsid w:val="00857BD3"/>
    <w:rsid w:val="00857CFE"/>
    <w:rsid w:val="00860037"/>
    <w:rsid w:val="00860FEF"/>
    <w:rsid w:val="008618D9"/>
    <w:rsid w:val="00861DA1"/>
    <w:rsid w:val="0086361E"/>
    <w:rsid w:val="00863B79"/>
    <w:rsid w:val="008649E5"/>
    <w:rsid w:val="00864F72"/>
    <w:rsid w:val="00870753"/>
    <w:rsid w:val="00873308"/>
    <w:rsid w:val="008738A1"/>
    <w:rsid w:val="00873D05"/>
    <w:rsid w:val="00873D60"/>
    <w:rsid w:val="00874D05"/>
    <w:rsid w:val="00875CD2"/>
    <w:rsid w:val="0088061E"/>
    <w:rsid w:val="00881FFB"/>
    <w:rsid w:val="00882634"/>
    <w:rsid w:val="00883E64"/>
    <w:rsid w:val="0088403D"/>
    <w:rsid w:val="008850E5"/>
    <w:rsid w:val="00885C97"/>
    <w:rsid w:val="00885CDE"/>
    <w:rsid w:val="00886977"/>
    <w:rsid w:val="00886C62"/>
    <w:rsid w:val="00890B51"/>
    <w:rsid w:val="008924B6"/>
    <w:rsid w:val="008946EA"/>
    <w:rsid w:val="008947B5"/>
    <w:rsid w:val="00894D4A"/>
    <w:rsid w:val="00896165"/>
    <w:rsid w:val="00897C9D"/>
    <w:rsid w:val="00897E5B"/>
    <w:rsid w:val="008A20F1"/>
    <w:rsid w:val="008A2A09"/>
    <w:rsid w:val="008A47B2"/>
    <w:rsid w:val="008A5670"/>
    <w:rsid w:val="008A6B4E"/>
    <w:rsid w:val="008B1D4F"/>
    <w:rsid w:val="008B26FD"/>
    <w:rsid w:val="008B2E64"/>
    <w:rsid w:val="008B2FDE"/>
    <w:rsid w:val="008B4B2E"/>
    <w:rsid w:val="008B4EBC"/>
    <w:rsid w:val="008B5E35"/>
    <w:rsid w:val="008C0580"/>
    <w:rsid w:val="008C2EFE"/>
    <w:rsid w:val="008C380D"/>
    <w:rsid w:val="008C4660"/>
    <w:rsid w:val="008C508D"/>
    <w:rsid w:val="008C7542"/>
    <w:rsid w:val="008C79CC"/>
    <w:rsid w:val="008D04B8"/>
    <w:rsid w:val="008D1236"/>
    <w:rsid w:val="008D66A5"/>
    <w:rsid w:val="008E215F"/>
    <w:rsid w:val="008E4231"/>
    <w:rsid w:val="008E586E"/>
    <w:rsid w:val="008E6BFB"/>
    <w:rsid w:val="008E7F15"/>
    <w:rsid w:val="008F05C2"/>
    <w:rsid w:val="008F52F4"/>
    <w:rsid w:val="008F5FD8"/>
    <w:rsid w:val="008F66F1"/>
    <w:rsid w:val="008F6A42"/>
    <w:rsid w:val="008F7D31"/>
    <w:rsid w:val="009007FC"/>
    <w:rsid w:val="0090282D"/>
    <w:rsid w:val="00903B8F"/>
    <w:rsid w:val="00903BE5"/>
    <w:rsid w:val="009049BE"/>
    <w:rsid w:val="009073DD"/>
    <w:rsid w:val="009111EA"/>
    <w:rsid w:val="0091170B"/>
    <w:rsid w:val="00912837"/>
    <w:rsid w:val="0091304F"/>
    <w:rsid w:val="009133A9"/>
    <w:rsid w:val="0091344E"/>
    <w:rsid w:val="009159DA"/>
    <w:rsid w:val="009164CA"/>
    <w:rsid w:val="00917A79"/>
    <w:rsid w:val="00920D15"/>
    <w:rsid w:val="009210A6"/>
    <w:rsid w:val="00926FCD"/>
    <w:rsid w:val="00927607"/>
    <w:rsid w:val="00930D67"/>
    <w:rsid w:val="00931E3D"/>
    <w:rsid w:val="0094005B"/>
    <w:rsid w:val="00943709"/>
    <w:rsid w:val="00943B62"/>
    <w:rsid w:val="00945E62"/>
    <w:rsid w:val="0094607A"/>
    <w:rsid w:val="00947785"/>
    <w:rsid w:val="0095018D"/>
    <w:rsid w:val="00951960"/>
    <w:rsid w:val="00952A49"/>
    <w:rsid w:val="00956CD1"/>
    <w:rsid w:val="0095710B"/>
    <w:rsid w:val="009613C5"/>
    <w:rsid w:val="009623FA"/>
    <w:rsid w:val="00964969"/>
    <w:rsid w:val="00964A87"/>
    <w:rsid w:val="00965794"/>
    <w:rsid w:val="00965870"/>
    <w:rsid w:val="00965CC2"/>
    <w:rsid w:val="00970BC4"/>
    <w:rsid w:val="0097210D"/>
    <w:rsid w:val="00973D8D"/>
    <w:rsid w:val="009752F6"/>
    <w:rsid w:val="009758DB"/>
    <w:rsid w:val="009768B5"/>
    <w:rsid w:val="0097768E"/>
    <w:rsid w:val="00983201"/>
    <w:rsid w:val="00983C89"/>
    <w:rsid w:val="00984197"/>
    <w:rsid w:val="00986534"/>
    <w:rsid w:val="00987A39"/>
    <w:rsid w:val="009907D4"/>
    <w:rsid w:val="00994A85"/>
    <w:rsid w:val="00995692"/>
    <w:rsid w:val="00996B6C"/>
    <w:rsid w:val="00997F96"/>
    <w:rsid w:val="009A2453"/>
    <w:rsid w:val="009A31D3"/>
    <w:rsid w:val="009A33AC"/>
    <w:rsid w:val="009A33BE"/>
    <w:rsid w:val="009A4855"/>
    <w:rsid w:val="009A5AE2"/>
    <w:rsid w:val="009A5D8D"/>
    <w:rsid w:val="009A6A2A"/>
    <w:rsid w:val="009B04EE"/>
    <w:rsid w:val="009B1106"/>
    <w:rsid w:val="009B1EAF"/>
    <w:rsid w:val="009B38C8"/>
    <w:rsid w:val="009B3FAA"/>
    <w:rsid w:val="009B6198"/>
    <w:rsid w:val="009B667B"/>
    <w:rsid w:val="009C2281"/>
    <w:rsid w:val="009C4221"/>
    <w:rsid w:val="009D14FC"/>
    <w:rsid w:val="009D1C54"/>
    <w:rsid w:val="009D1ED8"/>
    <w:rsid w:val="009D4A0A"/>
    <w:rsid w:val="009D6659"/>
    <w:rsid w:val="009D6A01"/>
    <w:rsid w:val="009D7058"/>
    <w:rsid w:val="009E0336"/>
    <w:rsid w:val="009E10EC"/>
    <w:rsid w:val="009E3A9A"/>
    <w:rsid w:val="009E5841"/>
    <w:rsid w:val="009E7852"/>
    <w:rsid w:val="009F25A5"/>
    <w:rsid w:val="009F448C"/>
    <w:rsid w:val="009F50FA"/>
    <w:rsid w:val="009F54B4"/>
    <w:rsid w:val="00A00B3C"/>
    <w:rsid w:val="00A022D9"/>
    <w:rsid w:val="00A033BB"/>
    <w:rsid w:val="00A0357E"/>
    <w:rsid w:val="00A043A1"/>
    <w:rsid w:val="00A045F4"/>
    <w:rsid w:val="00A05B4F"/>
    <w:rsid w:val="00A06A36"/>
    <w:rsid w:val="00A06ED7"/>
    <w:rsid w:val="00A10387"/>
    <w:rsid w:val="00A152AF"/>
    <w:rsid w:val="00A21B13"/>
    <w:rsid w:val="00A22285"/>
    <w:rsid w:val="00A2305E"/>
    <w:rsid w:val="00A2508C"/>
    <w:rsid w:val="00A2572E"/>
    <w:rsid w:val="00A25FC0"/>
    <w:rsid w:val="00A262B6"/>
    <w:rsid w:val="00A26D41"/>
    <w:rsid w:val="00A27138"/>
    <w:rsid w:val="00A33123"/>
    <w:rsid w:val="00A3359F"/>
    <w:rsid w:val="00A33A89"/>
    <w:rsid w:val="00A3728F"/>
    <w:rsid w:val="00A40DD5"/>
    <w:rsid w:val="00A4105D"/>
    <w:rsid w:val="00A42994"/>
    <w:rsid w:val="00A442A4"/>
    <w:rsid w:val="00A4466C"/>
    <w:rsid w:val="00A455FF"/>
    <w:rsid w:val="00A4628E"/>
    <w:rsid w:val="00A47221"/>
    <w:rsid w:val="00A51216"/>
    <w:rsid w:val="00A516EF"/>
    <w:rsid w:val="00A5314A"/>
    <w:rsid w:val="00A57366"/>
    <w:rsid w:val="00A57537"/>
    <w:rsid w:val="00A57F60"/>
    <w:rsid w:val="00A60CC8"/>
    <w:rsid w:val="00A65B8D"/>
    <w:rsid w:val="00A67424"/>
    <w:rsid w:val="00A700C1"/>
    <w:rsid w:val="00A703CE"/>
    <w:rsid w:val="00A70EED"/>
    <w:rsid w:val="00A71739"/>
    <w:rsid w:val="00A7188F"/>
    <w:rsid w:val="00A7216C"/>
    <w:rsid w:val="00A73A3B"/>
    <w:rsid w:val="00A73E13"/>
    <w:rsid w:val="00A743C6"/>
    <w:rsid w:val="00A7622C"/>
    <w:rsid w:val="00A77949"/>
    <w:rsid w:val="00A8007D"/>
    <w:rsid w:val="00A80B43"/>
    <w:rsid w:val="00A8244C"/>
    <w:rsid w:val="00A83D36"/>
    <w:rsid w:val="00A8485B"/>
    <w:rsid w:val="00A85B97"/>
    <w:rsid w:val="00A85C35"/>
    <w:rsid w:val="00A85F64"/>
    <w:rsid w:val="00A86899"/>
    <w:rsid w:val="00A87174"/>
    <w:rsid w:val="00A90714"/>
    <w:rsid w:val="00A91632"/>
    <w:rsid w:val="00A923D9"/>
    <w:rsid w:val="00A93E11"/>
    <w:rsid w:val="00A93F22"/>
    <w:rsid w:val="00A94E2C"/>
    <w:rsid w:val="00A96340"/>
    <w:rsid w:val="00A977D1"/>
    <w:rsid w:val="00AA0100"/>
    <w:rsid w:val="00AA0A4A"/>
    <w:rsid w:val="00AA2685"/>
    <w:rsid w:val="00AA27AB"/>
    <w:rsid w:val="00AA29E9"/>
    <w:rsid w:val="00AA3331"/>
    <w:rsid w:val="00AA38C5"/>
    <w:rsid w:val="00AA3BC6"/>
    <w:rsid w:val="00AA3DF2"/>
    <w:rsid w:val="00AA4F9D"/>
    <w:rsid w:val="00AB00F1"/>
    <w:rsid w:val="00AB0764"/>
    <w:rsid w:val="00AB10A6"/>
    <w:rsid w:val="00AB19C6"/>
    <w:rsid w:val="00AB1E7B"/>
    <w:rsid w:val="00AB420D"/>
    <w:rsid w:val="00AB628D"/>
    <w:rsid w:val="00AB641E"/>
    <w:rsid w:val="00AB7A20"/>
    <w:rsid w:val="00AB7D58"/>
    <w:rsid w:val="00AC1530"/>
    <w:rsid w:val="00AC1D64"/>
    <w:rsid w:val="00AD1E25"/>
    <w:rsid w:val="00AD38ED"/>
    <w:rsid w:val="00AD4282"/>
    <w:rsid w:val="00AD4FA0"/>
    <w:rsid w:val="00AD67C6"/>
    <w:rsid w:val="00AD77FD"/>
    <w:rsid w:val="00AE1A7A"/>
    <w:rsid w:val="00AE2379"/>
    <w:rsid w:val="00AE398D"/>
    <w:rsid w:val="00AE43B1"/>
    <w:rsid w:val="00AE4894"/>
    <w:rsid w:val="00AE5AC8"/>
    <w:rsid w:val="00AE77F1"/>
    <w:rsid w:val="00AF5538"/>
    <w:rsid w:val="00AF61DE"/>
    <w:rsid w:val="00AF6F6A"/>
    <w:rsid w:val="00B00877"/>
    <w:rsid w:val="00B049EC"/>
    <w:rsid w:val="00B04DD6"/>
    <w:rsid w:val="00B066EB"/>
    <w:rsid w:val="00B06D51"/>
    <w:rsid w:val="00B078A6"/>
    <w:rsid w:val="00B10264"/>
    <w:rsid w:val="00B10FF6"/>
    <w:rsid w:val="00B1166B"/>
    <w:rsid w:val="00B1212B"/>
    <w:rsid w:val="00B14213"/>
    <w:rsid w:val="00B15800"/>
    <w:rsid w:val="00B16A48"/>
    <w:rsid w:val="00B173E2"/>
    <w:rsid w:val="00B177F2"/>
    <w:rsid w:val="00B20636"/>
    <w:rsid w:val="00B216FE"/>
    <w:rsid w:val="00B26CCB"/>
    <w:rsid w:val="00B27C5D"/>
    <w:rsid w:val="00B31114"/>
    <w:rsid w:val="00B31B5C"/>
    <w:rsid w:val="00B34D98"/>
    <w:rsid w:val="00B35503"/>
    <w:rsid w:val="00B37C1A"/>
    <w:rsid w:val="00B37E5F"/>
    <w:rsid w:val="00B37EF4"/>
    <w:rsid w:val="00B408F8"/>
    <w:rsid w:val="00B45AA5"/>
    <w:rsid w:val="00B461BE"/>
    <w:rsid w:val="00B47C52"/>
    <w:rsid w:val="00B5088E"/>
    <w:rsid w:val="00B517B3"/>
    <w:rsid w:val="00B51C23"/>
    <w:rsid w:val="00B51D39"/>
    <w:rsid w:val="00B53176"/>
    <w:rsid w:val="00B54FDE"/>
    <w:rsid w:val="00B55C20"/>
    <w:rsid w:val="00B61D3E"/>
    <w:rsid w:val="00B61F76"/>
    <w:rsid w:val="00B626F5"/>
    <w:rsid w:val="00B66885"/>
    <w:rsid w:val="00B677AD"/>
    <w:rsid w:val="00B7058E"/>
    <w:rsid w:val="00B70873"/>
    <w:rsid w:val="00B70EC1"/>
    <w:rsid w:val="00B7103E"/>
    <w:rsid w:val="00B71315"/>
    <w:rsid w:val="00B7173A"/>
    <w:rsid w:val="00B72FDD"/>
    <w:rsid w:val="00B73144"/>
    <w:rsid w:val="00B73D18"/>
    <w:rsid w:val="00B73E27"/>
    <w:rsid w:val="00B758E5"/>
    <w:rsid w:val="00B76F62"/>
    <w:rsid w:val="00B77B2E"/>
    <w:rsid w:val="00B80642"/>
    <w:rsid w:val="00B8098C"/>
    <w:rsid w:val="00B81724"/>
    <w:rsid w:val="00B83381"/>
    <w:rsid w:val="00B8390D"/>
    <w:rsid w:val="00B84B7D"/>
    <w:rsid w:val="00B860B7"/>
    <w:rsid w:val="00B87E94"/>
    <w:rsid w:val="00B909B2"/>
    <w:rsid w:val="00B90D57"/>
    <w:rsid w:val="00B90ED9"/>
    <w:rsid w:val="00B9119F"/>
    <w:rsid w:val="00B939A8"/>
    <w:rsid w:val="00B95F1A"/>
    <w:rsid w:val="00BA0DB3"/>
    <w:rsid w:val="00BA0E31"/>
    <w:rsid w:val="00BA2A4E"/>
    <w:rsid w:val="00BA2FEE"/>
    <w:rsid w:val="00BA42E0"/>
    <w:rsid w:val="00BA4D25"/>
    <w:rsid w:val="00BB1EC2"/>
    <w:rsid w:val="00BB2686"/>
    <w:rsid w:val="00BB465F"/>
    <w:rsid w:val="00BB62D7"/>
    <w:rsid w:val="00BB7167"/>
    <w:rsid w:val="00BB7D6B"/>
    <w:rsid w:val="00BC0C9A"/>
    <w:rsid w:val="00BC1DA3"/>
    <w:rsid w:val="00BC5BAA"/>
    <w:rsid w:val="00BC7BD0"/>
    <w:rsid w:val="00BD1406"/>
    <w:rsid w:val="00BD249F"/>
    <w:rsid w:val="00BD2702"/>
    <w:rsid w:val="00BD3D52"/>
    <w:rsid w:val="00BD59AD"/>
    <w:rsid w:val="00BD5CAE"/>
    <w:rsid w:val="00BD7C52"/>
    <w:rsid w:val="00BE01B0"/>
    <w:rsid w:val="00BE08EF"/>
    <w:rsid w:val="00BE1BBE"/>
    <w:rsid w:val="00BE32C7"/>
    <w:rsid w:val="00BE32E2"/>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27AD"/>
    <w:rsid w:val="00C33CFB"/>
    <w:rsid w:val="00C35B04"/>
    <w:rsid w:val="00C35CE7"/>
    <w:rsid w:val="00C36C68"/>
    <w:rsid w:val="00C37A09"/>
    <w:rsid w:val="00C412FF"/>
    <w:rsid w:val="00C41357"/>
    <w:rsid w:val="00C414B4"/>
    <w:rsid w:val="00C4233C"/>
    <w:rsid w:val="00C42EFC"/>
    <w:rsid w:val="00C446B2"/>
    <w:rsid w:val="00C45315"/>
    <w:rsid w:val="00C4592A"/>
    <w:rsid w:val="00C45CA6"/>
    <w:rsid w:val="00C46937"/>
    <w:rsid w:val="00C46DE0"/>
    <w:rsid w:val="00C52510"/>
    <w:rsid w:val="00C52BB8"/>
    <w:rsid w:val="00C55168"/>
    <w:rsid w:val="00C56885"/>
    <w:rsid w:val="00C56DAD"/>
    <w:rsid w:val="00C57680"/>
    <w:rsid w:val="00C57997"/>
    <w:rsid w:val="00C57DE8"/>
    <w:rsid w:val="00C607C9"/>
    <w:rsid w:val="00C6230B"/>
    <w:rsid w:val="00C625C8"/>
    <w:rsid w:val="00C669B9"/>
    <w:rsid w:val="00C6794B"/>
    <w:rsid w:val="00C71340"/>
    <w:rsid w:val="00C72D55"/>
    <w:rsid w:val="00C732C5"/>
    <w:rsid w:val="00C7383B"/>
    <w:rsid w:val="00C80261"/>
    <w:rsid w:val="00C80513"/>
    <w:rsid w:val="00C80FE1"/>
    <w:rsid w:val="00C8246A"/>
    <w:rsid w:val="00C830CA"/>
    <w:rsid w:val="00C83120"/>
    <w:rsid w:val="00C84197"/>
    <w:rsid w:val="00C85F8C"/>
    <w:rsid w:val="00C904A0"/>
    <w:rsid w:val="00C90C11"/>
    <w:rsid w:val="00C9115E"/>
    <w:rsid w:val="00C9167C"/>
    <w:rsid w:val="00C926A1"/>
    <w:rsid w:val="00C92DFE"/>
    <w:rsid w:val="00C9405A"/>
    <w:rsid w:val="00C94210"/>
    <w:rsid w:val="00C94AA0"/>
    <w:rsid w:val="00C95207"/>
    <w:rsid w:val="00C962CF"/>
    <w:rsid w:val="00C97117"/>
    <w:rsid w:val="00C977E3"/>
    <w:rsid w:val="00CA05EE"/>
    <w:rsid w:val="00CA1B76"/>
    <w:rsid w:val="00CA4E8C"/>
    <w:rsid w:val="00CA6573"/>
    <w:rsid w:val="00CA7887"/>
    <w:rsid w:val="00CB27A4"/>
    <w:rsid w:val="00CB3969"/>
    <w:rsid w:val="00CB621B"/>
    <w:rsid w:val="00CB65EC"/>
    <w:rsid w:val="00CB6E8A"/>
    <w:rsid w:val="00CB7EB1"/>
    <w:rsid w:val="00CC1DB1"/>
    <w:rsid w:val="00CC7CEF"/>
    <w:rsid w:val="00CD0468"/>
    <w:rsid w:val="00CD1491"/>
    <w:rsid w:val="00CD1F47"/>
    <w:rsid w:val="00CD61C8"/>
    <w:rsid w:val="00CD64DE"/>
    <w:rsid w:val="00CD7D3E"/>
    <w:rsid w:val="00CE50AD"/>
    <w:rsid w:val="00CE5195"/>
    <w:rsid w:val="00CE51E4"/>
    <w:rsid w:val="00CF01A6"/>
    <w:rsid w:val="00CF10FC"/>
    <w:rsid w:val="00CF1E45"/>
    <w:rsid w:val="00CF2392"/>
    <w:rsid w:val="00CF393F"/>
    <w:rsid w:val="00CF5631"/>
    <w:rsid w:val="00CF6971"/>
    <w:rsid w:val="00CF7993"/>
    <w:rsid w:val="00D00AC1"/>
    <w:rsid w:val="00D00BCA"/>
    <w:rsid w:val="00D00E8E"/>
    <w:rsid w:val="00D014AF"/>
    <w:rsid w:val="00D03B93"/>
    <w:rsid w:val="00D06090"/>
    <w:rsid w:val="00D11D99"/>
    <w:rsid w:val="00D12214"/>
    <w:rsid w:val="00D12D3B"/>
    <w:rsid w:val="00D13AB6"/>
    <w:rsid w:val="00D14593"/>
    <w:rsid w:val="00D16225"/>
    <w:rsid w:val="00D16547"/>
    <w:rsid w:val="00D16655"/>
    <w:rsid w:val="00D2010F"/>
    <w:rsid w:val="00D20368"/>
    <w:rsid w:val="00D22035"/>
    <w:rsid w:val="00D24260"/>
    <w:rsid w:val="00D2489A"/>
    <w:rsid w:val="00D24BE6"/>
    <w:rsid w:val="00D26DB5"/>
    <w:rsid w:val="00D30936"/>
    <w:rsid w:val="00D309C0"/>
    <w:rsid w:val="00D33C66"/>
    <w:rsid w:val="00D34A5A"/>
    <w:rsid w:val="00D35BF1"/>
    <w:rsid w:val="00D3635F"/>
    <w:rsid w:val="00D378CF"/>
    <w:rsid w:val="00D41F67"/>
    <w:rsid w:val="00D44218"/>
    <w:rsid w:val="00D4494B"/>
    <w:rsid w:val="00D44CB0"/>
    <w:rsid w:val="00D44F0C"/>
    <w:rsid w:val="00D44F2F"/>
    <w:rsid w:val="00D45843"/>
    <w:rsid w:val="00D50F7C"/>
    <w:rsid w:val="00D5482F"/>
    <w:rsid w:val="00D55E29"/>
    <w:rsid w:val="00D566F5"/>
    <w:rsid w:val="00D56752"/>
    <w:rsid w:val="00D56F54"/>
    <w:rsid w:val="00D60B03"/>
    <w:rsid w:val="00D61AE5"/>
    <w:rsid w:val="00D62375"/>
    <w:rsid w:val="00D63A6F"/>
    <w:rsid w:val="00D63E6B"/>
    <w:rsid w:val="00D6431A"/>
    <w:rsid w:val="00D70AB8"/>
    <w:rsid w:val="00D7104A"/>
    <w:rsid w:val="00D718E2"/>
    <w:rsid w:val="00D724DF"/>
    <w:rsid w:val="00D72D61"/>
    <w:rsid w:val="00D73B5B"/>
    <w:rsid w:val="00D74FDC"/>
    <w:rsid w:val="00D75DC7"/>
    <w:rsid w:val="00D762D8"/>
    <w:rsid w:val="00D810E4"/>
    <w:rsid w:val="00D813DD"/>
    <w:rsid w:val="00D82506"/>
    <w:rsid w:val="00D871A9"/>
    <w:rsid w:val="00D9154A"/>
    <w:rsid w:val="00D91AF2"/>
    <w:rsid w:val="00D93271"/>
    <w:rsid w:val="00D94B0A"/>
    <w:rsid w:val="00D96319"/>
    <w:rsid w:val="00D96F2F"/>
    <w:rsid w:val="00DA0CA2"/>
    <w:rsid w:val="00DA158D"/>
    <w:rsid w:val="00DA2C39"/>
    <w:rsid w:val="00DA3538"/>
    <w:rsid w:val="00DA4782"/>
    <w:rsid w:val="00DA4B87"/>
    <w:rsid w:val="00DB0766"/>
    <w:rsid w:val="00DB225F"/>
    <w:rsid w:val="00DB31F5"/>
    <w:rsid w:val="00DB3853"/>
    <w:rsid w:val="00DB4D86"/>
    <w:rsid w:val="00DB53F2"/>
    <w:rsid w:val="00DB55B5"/>
    <w:rsid w:val="00DB5D12"/>
    <w:rsid w:val="00DC01AE"/>
    <w:rsid w:val="00DC0207"/>
    <w:rsid w:val="00DC1DD2"/>
    <w:rsid w:val="00DC3857"/>
    <w:rsid w:val="00DC638A"/>
    <w:rsid w:val="00DC68E2"/>
    <w:rsid w:val="00DC691A"/>
    <w:rsid w:val="00DC6A6C"/>
    <w:rsid w:val="00DC6CDC"/>
    <w:rsid w:val="00DC6D72"/>
    <w:rsid w:val="00DC71EE"/>
    <w:rsid w:val="00DC76BD"/>
    <w:rsid w:val="00DC7E64"/>
    <w:rsid w:val="00DD12E2"/>
    <w:rsid w:val="00DD1BAF"/>
    <w:rsid w:val="00DD4CC6"/>
    <w:rsid w:val="00DD4E98"/>
    <w:rsid w:val="00DD58B8"/>
    <w:rsid w:val="00DD664B"/>
    <w:rsid w:val="00DE06FD"/>
    <w:rsid w:val="00DE2129"/>
    <w:rsid w:val="00DE28BF"/>
    <w:rsid w:val="00DE3FFC"/>
    <w:rsid w:val="00DE5048"/>
    <w:rsid w:val="00DE6690"/>
    <w:rsid w:val="00DE69D1"/>
    <w:rsid w:val="00DE7637"/>
    <w:rsid w:val="00DF09B8"/>
    <w:rsid w:val="00DF15EE"/>
    <w:rsid w:val="00DF2313"/>
    <w:rsid w:val="00DF5733"/>
    <w:rsid w:val="00DF6F92"/>
    <w:rsid w:val="00E006B6"/>
    <w:rsid w:val="00E013E9"/>
    <w:rsid w:val="00E02840"/>
    <w:rsid w:val="00E02932"/>
    <w:rsid w:val="00E02F3A"/>
    <w:rsid w:val="00E04007"/>
    <w:rsid w:val="00E04C6C"/>
    <w:rsid w:val="00E0698A"/>
    <w:rsid w:val="00E076A7"/>
    <w:rsid w:val="00E1020C"/>
    <w:rsid w:val="00E1033E"/>
    <w:rsid w:val="00E10F14"/>
    <w:rsid w:val="00E11F28"/>
    <w:rsid w:val="00E11FCF"/>
    <w:rsid w:val="00E12B19"/>
    <w:rsid w:val="00E14744"/>
    <w:rsid w:val="00E154AB"/>
    <w:rsid w:val="00E164E7"/>
    <w:rsid w:val="00E16654"/>
    <w:rsid w:val="00E21CDD"/>
    <w:rsid w:val="00E22360"/>
    <w:rsid w:val="00E23669"/>
    <w:rsid w:val="00E23E89"/>
    <w:rsid w:val="00E25139"/>
    <w:rsid w:val="00E25B8B"/>
    <w:rsid w:val="00E25C3E"/>
    <w:rsid w:val="00E26D0E"/>
    <w:rsid w:val="00E31D43"/>
    <w:rsid w:val="00E32EEE"/>
    <w:rsid w:val="00E33520"/>
    <w:rsid w:val="00E3623E"/>
    <w:rsid w:val="00E37775"/>
    <w:rsid w:val="00E40BC0"/>
    <w:rsid w:val="00E41A8D"/>
    <w:rsid w:val="00E427DF"/>
    <w:rsid w:val="00E43435"/>
    <w:rsid w:val="00E44A1E"/>
    <w:rsid w:val="00E51600"/>
    <w:rsid w:val="00E52305"/>
    <w:rsid w:val="00E53669"/>
    <w:rsid w:val="00E5612D"/>
    <w:rsid w:val="00E57493"/>
    <w:rsid w:val="00E61CDE"/>
    <w:rsid w:val="00E65459"/>
    <w:rsid w:val="00E67D3C"/>
    <w:rsid w:val="00E7006D"/>
    <w:rsid w:val="00E705F5"/>
    <w:rsid w:val="00E75BB5"/>
    <w:rsid w:val="00E765F9"/>
    <w:rsid w:val="00E76D7F"/>
    <w:rsid w:val="00E80E37"/>
    <w:rsid w:val="00E8257C"/>
    <w:rsid w:val="00E83067"/>
    <w:rsid w:val="00E83450"/>
    <w:rsid w:val="00E8389D"/>
    <w:rsid w:val="00E839DB"/>
    <w:rsid w:val="00E85EF1"/>
    <w:rsid w:val="00E86739"/>
    <w:rsid w:val="00E90E54"/>
    <w:rsid w:val="00E9110A"/>
    <w:rsid w:val="00E91628"/>
    <w:rsid w:val="00E91FF2"/>
    <w:rsid w:val="00E94201"/>
    <w:rsid w:val="00E94929"/>
    <w:rsid w:val="00E94FF3"/>
    <w:rsid w:val="00E9514D"/>
    <w:rsid w:val="00E97A74"/>
    <w:rsid w:val="00EA0061"/>
    <w:rsid w:val="00EA0F7F"/>
    <w:rsid w:val="00EA2C19"/>
    <w:rsid w:val="00EA379C"/>
    <w:rsid w:val="00EA37E1"/>
    <w:rsid w:val="00EA3E29"/>
    <w:rsid w:val="00EA46EC"/>
    <w:rsid w:val="00EA4780"/>
    <w:rsid w:val="00EA4997"/>
    <w:rsid w:val="00EA4DC3"/>
    <w:rsid w:val="00EA4F63"/>
    <w:rsid w:val="00EA5167"/>
    <w:rsid w:val="00EA7123"/>
    <w:rsid w:val="00EB21EB"/>
    <w:rsid w:val="00EB37B1"/>
    <w:rsid w:val="00EC2DA8"/>
    <w:rsid w:val="00EC45FC"/>
    <w:rsid w:val="00EC4A4E"/>
    <w:rsid w:val="00EC6A8E"/>
    <w:rsid w:val="00EC6BCB"/>
    <w:rsid w:val="00ED073E"/>
    <w:rsid w:val="00ED2E55"/>
    <w:rsid w:val="00ED54D9"/>
    <w:rsid w:val="00ED5DDA"/>
    <w:rsid w:val="00ED7D48"/>
    <w:rsid w:val="00EE1352"/>
    <w:rsid w:val="00EE3E2A"/>
    <w:rsid w:val="00EE4538"/>
    <w:rsid w:val="00EE480B"/>
    <w:rsid w:val="00EE695C"/>
    <w:rsid w:val="00EF2713"/>
    <w:rsid w:val="00EF7436"/>
    <w:rsid w:val="00F02DE0"/>
    <w:rsid w:val="00F053FC"/>
    <w:rsid w:val="00F06CB3"/>
    <w:rsid w:val="00F079CC"/>
    <w:rsid w:val="00F07FC2"/>
    <w:rsid w:val="00F10479"/>
    <w:rsid w:val="00F11B29"/>
    <w:rsid w:val="00F11C46"/>
    <w:rsid w:val="00F123A4"/>
    <w:rsid w:val="00F13891"/>
    <w:rsid w:val="00F13DC1"/>
    <w:rsid w:val="00F1519C"/>
    <w:rsid w:val="00F16161"/>
    <w:rsid w:val="00F16359"/>
    <w:rsid w:val="00F21698"/>
    <w:rsid w:val="00F225D3"/>
    <w:rsid w:val="00F24A07"/>
    <w:rsid w:val="00F2514D"/>
    <w:rsid w:val="00F26A06"/>
    <w:rsid w:val="00F27F68"/>
    <w:rsid w:val="00F3568E"/>
    <w:rsid w:val="00F35DBE"/>
    <w:rsid w:val="00F35E40"/>
    <w:rsid w:val="00F37880"/>
    <w:rsid w:val="00F42116"/>
    <w:rsid w:val="00F4377C"/>
    <w:rsid w:val="00F4491E"/>
    <w:rsid w:val="00F466A1"/>
    <w:rsid w:val="00F469C7"/>
    <w:rsid w:val="00F46C66"/>
    <w:rsid w:val="00F50690"/>
    <w:rsid w:val="00F512B9"/>
    <w:rsid w:val="00F530D1"/>
    <w:rsid w:val="00F54463"/>
    <w:rsid w:val="00F54E38"/>
    <w:rsid w:val="00F551B0"/>
    <w:rsid w:val="00F559E3"/>
    <w:rsid w:val="00F606D0"/>
    <w:rsid w:val="00F62D24"/>
    <w:rsid w:val="00F6398A"/>
    <w:rsid w:val="00F6573E"/>
    <w:rsid w:val="00F762D5"/>
    <w:rsid w:val="00F76381"/>
    <w:rsid w:val="00F7668F"/>
    <w:rsid w:val="00F81765"/>
    <w:rsid w:val="00F8183F"/>
    <w:rsid w:val="00F818CF"/>
    <w:rsid w:val="00F832FA"/>
    <w:rsid w:val="00F83C99"/>
    <w:rsid w:val="00F841EA"/>
    <w:rsid w:val="00F8426B"/>
    <w:rsid w:val="00F8623A"/>
    <w:rsid w:val="00F8652F"/>
    <w:rsid w:val="00F90B7E"/>
    <w:rsid w:val="00F90CCF"/>
    <w:rsid w:val="00F92334"/>
    <w:rsid w:val="00FA0211"/>
    <w:rsid w:val="00FA0F1F"/>
    <w:rsid w:val="00FA186B"/>
    <w:rsid w:val="00FA26F7"/>
    <w:rsid w:val="00FA302C"/>
    <w:rsid w:val="00FA3C84"/>
    <w:rsid w:val="00FA4E53"/>
    <w:rsid w:val="00FA6B90"/>
    <w:rsid w:val="00FB0E2A"/>
    <w:rsid w:val="00FB166C"/>
    <w:rsid w:val="00FB1E09"/>
    <w:rsid w:val="00FB3BC4"/>
    <w:rsid w:val="00FB4039"/>
    <w:rsid w:val="00FB409B"/>
    <w:rsid w:val="00FB4892"/>
    <w:rsid w:val="00FB5017"/>
    <w:rsid w:val="00FB6C65"/>
    <w:rsid w:val="00FC0ED3"/>
    <w:rsid w:val="00FC1289"/>
    <w:rsid w:val="00FC15D5"/>
    <w:rsid w:val="00FC1CC2"/>
    <w:rsid w:val="00FC4278"/>
    <w:rsid w:val="00FC7940"/>
    <w:rsid w:val="00FD0CFA"/>
    <w:rsid w:val="00FD0F89"/>
    <w:rsid w:val="00FD36AB"/>
    <w:rsid w:val="00FD41C0"/>
    <w:rsid w:val="00FD46BA"/>
    <w:rsid w:val="00FD4BBE"/>
    <w:rsid w:val="00FD5D4A"/>
    <w:rsid w:val="00FD7489"/>
    <w:rsid w:val="00FE09B0"/>
    <w:rsid w:val="00FE0F9D"/>
    <w:rsid w:val="00FE10E6"/>
    <w:rsid w:val="00FE42ED"/>
    <w:rsid w:val="00FE48CB"/>
    <w:rsid w:val="00FE6F33"/>
    <w:rsid w:val="00FF1D19"/>
    <w:rsid w:val="00FF24FD"/>
    <w:rsid w:val="00FF31BF"/>
    <w:rsid w:val="00FF481A"/>
    <w:rsid w:val="00FF4A4A"/>
    <w:rsid w:val="00FF52B2"/>
    <w:rsid w:val="00FF541A"/>
    <w:rsid w:val="00FF5F7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parrafo">
    <w:name w:val="parrafo"/>
    <w:basedOn w:val="Normal"/>
    <w:rsid w:val="00AA268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te4fondo">
    <w:name w:val="corte4 fondo"/>
    <w:basedOn w:val="Normal"/>
    <w:link w:val="corte4fondoCar"/>
    <w:qFormat/>
    <w:rsid w:val="00C977E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C977E3"/>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15589655">
      <w:bodyDiv w:val="1"/>
      <w:marLeft w:val="0"/>
      <w:marRight w:val="0"/>
      <w:marTop w:val="0"/>
      <w:marBottom w:val="0"/>
      <w:divBdr>
        <w:top w:val="none" w:sz="0" w:space="0" w:color="auto"/>
        <w:left w:val="none" w:sz="0" w:space="0" w:color="auto"/>
        <w:bottom w:val="none" w:sz="0" w:space="0" w:color="auto"/>
        <w:right w:val="none" w:sz="0" w:space="0" w:color="auto"/>
      </w:divBdr>
    </w:div>
    <w:div w:id="1540702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7A36B-EB18-4097-98B6-CDB5E5428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3839</Words>
  <Characters>21116</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cp:revision>
  <cp:lastPrinted>2020-01-22T20:19:00Z</cp:lastPrinted>
  <dcterms:created xsi:type="dcterms:W3CDTF">2020-03-19T15:11:00Z</dcterms:created>
  <dcterms:modified xsi:type="dcterms:W3CDTF">2020-03-19T15:11:00Z</dcterms:modified>
</cp:coreProperties>
</file>