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3AC17355"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w:t>
            </w:r>
            <w:r w:rsidR="003B6E21">
              <w:rPr>
                <w:rFonts w:ascii="Arial" w:eastAsia="PMingLiU" w:hAnsi="Arial" w:cs="Arial"/>
                <w:b/>
                <w:iCs/>
                <w:caps/>
                <w:sz w:val="26"/>
                <w:szCs w:val="26"/>
                <w:lang w:val="es-PE" w:eastAsia="zh-TW"/>
              </w:rPr>
              <w:t>00</w:t>
            </w:r>
            <w:r w:rsidR="00FB385B">
              <w:rPr>
                <w:rFonts w:ascii="Arial" w:eastAsia="PMingLiU" w:hAnsi="Arial" w:cs="Arial"/>
                <w:b/>
                <w:iCs/>
                <w:caps/>
                <w:sz w:val="26"/>
                <w:szCs w:val="26"/>
                <w:lang w:val="es-PE" w:eastAsia="zh-TW"/>
              </w:rPr>
              <w:t>81</w:t>
            </w:r>
            <w:r w:rsidR="001A4A0D">
              <w:rPr>
                <w:rFonts w:ascii="Arial" w:eastAsia="PMingLiU" w:hAnsi="Arial" w:cs="Arial"/>
                <w:b/>
                <w:iCs/>
                <w:caps/>
                <w:sz w:val="26"/>
                <w:szCs w:val="26"/>
                <w:lang w:val="es-PE" w:eastAsia="zh-TW"/>
              </w:rPr>
              <w:t>/202</w:t>
            </w:r>
            <w:r w:rsidR="003B6E21">
              <w:rPr>
                <w:rFonts w:ascii="Arial" w:eastAsia="PMingLiU" w:hAnsi="Arial" w:cs="Arial"/>
                <w:b/>
                <w:iCs/>
                <w:caps/>
                <w:sz w:val="26"/>
                <w:szCs w:val="26"/>
                <w:lang w:val="es-PE" w:eastAsia="zh-TW"/>
              </w:rPr>
              <w:t>1</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6B535B78"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3B6E21">
              <w:rPr>
                <w:rFonts w:ascii="Arial" w:eastAsia="PMingLiU" w:hAnsi="Arial" w:cs="Arial"/>
                <w:b/>
                <w:iCs/>
                <w:caps/>
                <w:sz w:val="26"/>
                <w:szCs w:val="26"/>
                <w:lang w:val="es-PE" w:eastAsia="zh-TW"/>
              </w:rPr>
              <w:t>01</w:t>
            </w:r>
            <w:r w:rsidR="00FB385B">
              <w:rPr>
                <w:rFonts w:ascii="Arial" w:eastAsia="PMingLiU" w:hAnsi="Arial" w:cs="Arial"/>
                <w:b/>
                <w:iCs/>
                <w:caps/>
                <w:sz w:val="26"/>
                <w:szCs w:val="26"/>
                <w:lang w:val="es-PE" w:eastAsia="zh-TW"/>
              </w:rPr>
              <w:t>71</w:t>
            </w:r>
            <w:r w:rsidR="00D12C55">
              <w:rPr>
                <w:rFonts w:ascii="Arial" w:eastAsia="PMingLiU" w:hAnsi="Arial" w:cs="Arial"/>
                <w:b/>
                <w:iCs/>
                <w:caps/>
                <w:sz w:val="26"/>
                <w:szCs w:val="26"/>
                <w:lang w:val="es-PE" w:eastAsia="zh-TW"/>
              </w:rPr>
              <w:t>/20</w:t>
            </w:r>
            <w:r w:rsidR="00FB385B">
              <w:rPr>
                <w:rFonts w:ascii="Arial" w:eastAsia="PMingLiU" w:hAnsi="Arial" w:cs="Arial"/>
                <w:b/>
                <w:iCs/>
                <w:caps/>
                <w:sz w:val="26"/>
                <w:szCs w:val="26"/>
                <w:lang w:val="es-PE" w:eastAsia="zh-TW"/>
              </w:rPr>
              <w:t>20</w:t>
            </w:r>
            <w:r>
              <w:rPr>
                <w:rFonts w:ascii="Arial" w:eastAsia="PMingLiU" w:hAnsi="Arial" w:cs="Arial"/>
                <w:b/>
                <w:iCs/>
                <w:caps/>
                <w:sz w:val="26"/>
                <w:szCs w:val="26"/>
                <w:lang w:val="es-PE" w:eastAsia="zh-TW"/>
              </w:rPr>
              <w:t xml:space="preserve"> de la </w:t>
            </w:r>
            <w:r w:rsidR="00FB385B">
              <w:rPr>
                <w:rFonts w:ascii="Arial" w:eastAsia="PMingLiU" w:hAnsi="Arial" w:cs="Arial"/>
                <w:b/>
                <w:iCs/>
                <w:caps/>
                <w:sz w:val="26"/>
                <w:szCs w:val="26"/>
                <w:lang w:val="es-PE" w:eastAsia="zh-TW"/>
              </w:rPr>
              <w:t>TERCERA</w:t>
            </w:r>
            <w:r w:rsidR="00D12C55">
              <w:rPr>
                <w:rFonts w:ascii="Arial" w:eastAsia="PMingLiU" w:hAnsi="Arial" w:cs="Arial"/>
                <w:b/>
                <w:iCs/>
                <w:caps/>
                <w:sz w:val="26"/>
                <w:szCs w:val="26"/>
                <w:lang w:val="es-PE" w:eastAsia="zh-TW"/>
              </w:rPr>
              <w:t xml:space="preserve"> </w:t>
            </w:r>
            <w:r>
              <w:rPr>
                <w:rFonts w:ascii="Arial" w:eastAsia="PMingLiU" w:hAnsi="Arial" w:cs="Arial"/>
                <w:b/>
                <w:iCs/>
                <w:caps/>
                <w:sz w:val="26"/>
                <w:szCs w:val="26"/>
                <w:lang w:val="es-PE" w:eastAsia="zh-TW"/>
              </w:rPr>
              <w:t>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150F9D26" w:rsidR="00571114" w:rsidRDefault="00571114" w:rsidP="00D12C55">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B43574">
              <w:rPr>
                <w:rFonts w:ascii="Arial" w:eastAsia="PMingLiU" w:hAnsi="Arial" w:cs="Arial"/>
                <w:b/>
                <w:iCs/>
                <w:caps/>
                <w:sz w:val="26"/>
                <w:szCs w:val="26"/>
                <w:lang w:val="es-PE" w:eastAsia="zh-TW"/>
              </w:rPr>
              <w:t xml:space="preserve">MAGISTRADA </w:t>
            </w:r>
            <w:r w:rsidR="00D12C55">
              <w:rPr>
                <w:rFonts w:ascii="Arial" w:eastAsia="PMingLiU" w:hAnsi="Arial" w:cs="Arial"/>
                <w:b/>
                <w:iCs/>
                <w:caps/>
                <w:sz w:val="26"/>
                <w:szCs w:val="26"/>
                <w:lang w:val="es-PE" w:eastAsia="zh-TW"/>
              </w:rPr>
              <w:t>gloria del carmen camacho meza.</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7FD15EC1" w14:textId="77777777" w:rsidR="008A1C0A" w:rsidRDefault="008A1C0A" w:rsidP="00C4450E">
      <w:pPr>
        <w:spacing w:after="0" w:line="360" w:lineRule="auto"/>
        <w:ind w:firstLine="708"/>
        <w:jc w:val="both"/>
        <w:rPr>
          <w:rFonts w:ascii="Arial" w:hAnsi="Arial" w:cs="Arial"/>
          <w:b/>
          <w:sz w:val="26"/>
          <w:szCs w:val="26"/>
          <w:lang w:val="es-ES"/>
        </w:rPr>
      </w:pPr>
    </w:p>
    <w:p w14:paraId="43BCACCF" w14:textId="53F7DE7B" w:rsidR="008A1C0A" w:rsidRDefault="00571114" w:rsidP="007773A6">
      <w:pPr>
        <w:spacing w:after="0" w:line="360" w:lineRule="auto"/>
        <w:jc w:val="both"/>
        <w:rPr>
          <w:rFonts w:ascii="Arial" w:hAnsi="Arial" w:cs="Arial"/>
          <w:b/>
          <w:sz w:val="26"/>
          <w:szCs w:val="26"/>
          <w:lang w:val="es-ES"/>
        </w:rPr>
      </w:pPr>
      <w:r>
        <w:rPr>
          <w:rFonts w:ascii="Arial" w:hAnsi="Arial" w:cs="Arial"/>
          <w:b/>
          <w:sz w:val="26"/>
          <w:szCs w:val="26"/>
          <w:lang w:val="es-ES"/>
        </w:rPr>
        <w:t>OAXACA DE JUÁREZ, OAXACA</w:t>
      </w:r>
      <w:r w:rsidR="007773A6">
        <w:rPr>
          <w:rFonts w:ascii="Arial" w:hAnsi="Arial" w:cs="Arial"/>
          <w:b/>
          <w:sz w:val="26"/>
          <w:szCs w:val="26"/>
          <w:lang w:val="es-ES"/>
        </w:rPr>
        <w:t xml:space="preserve">, A SIETE DE OCTUBRE </w:t>
      </w:r>
      <w:r>
        <w:rPr>
          <w:rFonts w:ascii="Arial" w:hAnsi="Arial" w:cs="Arial"/>
          <w:b/>
          <w:sz w:val="26"/>
          <w:szCs w:val="26"/>
          <w:lang w:val="es-ES"/>
        </w:rPr>
        <w:t xml:space="preserve">DE DOS MIL </w:t>
      </w:r>
      <w:r w:rsidR="007773A6">
        <w:rPr>
          <w:rFonts w:ascii="Arial" w:hAnsi="Arial" w:cs="Arial"/>
          <w:b/>
          <w:sz w:val="26"/>
          <w:szCs w:val="26"/>
          <w:lang w:val="es-ES"/>
        </w:rPr>
        <w:t>VEINTIUNO. -</w:t>
      </w:r>
      <w:r>
        <w:rPr>
          <w:rFonts w:ascii="Arial" w:hAnsi="Arial" w:cs="Arial"/>
          <w:b/>
          <w:sz w:val="26"/>
          <w:szCs w:val="26"/>
          <w:lang w:val="es-ES"/>
        </w:rPr>
        <w:t xml:space="preserve"> - - - - - - - - - - - - - - - - - - - - - - - - - - - - - - - - </w:t>
      </w:r>
      <w:r w:rsidR="007773A6">
        <w:rPr>
          <w:rFonts w:ascii="Arial" w:hAnsi="Arial" w:cs="Arial"/>
          <w:b/>
          <w:sz w:val="26"/>
          <w:szCs w:val="26"/>
          <w:lang w:val="es-ES"/>
        </w:rPr>
        <w:t xml:space="preserve">- - - - - - </w:t>
      </w:r>
    </w:p>
    <w:p w14:paraId="5E9E54EF" w14:textId="77777777" w:rsidR="007773A6" w:rsidRPr="002F0520" w:rsidRDefault="007773A6" w:rsidP="007773A6">
      <w:pPr>
        <w:spacing w:after="0" w:line="360" w:lineRule="auto"/>
        <w:jc w:val="both"/>
        <w:rPr>
          <w:rFonts w:ascii="Arial" w:hAnsi="Arial" w:cs="Arial"/>
          <w:b/>
          <w:sz w:val="26"/>
          <w:szCs w:val="26"/>
          <w:lang w:val="es-ES"/>
        </w:rPr>
      </w:pPr>
    </w:p>
    <w:p w14:paraId="19F15A14" w14:textId="70DB7ED1" w:rsidR="008A1C0A"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el </w:t>
      </w:r>
      <w:r w:rsidR="00093AB5" w:rsidRPr="00A62264">
        <w:rPr>
          <w:rFonts w:ascii="Arial" w:eastAsia="Calibri" w:hAnsi="Arial" w:cs="Arial"/>
          <w:sz w:val="26"/>
          <w:szCs w:val="26"/>
        </w:rPr>
        <w:t>c</w:t>
      </w:r>
      <w:r w:rsidRPr="00A62264">
        <w:rPr>
          <w:rFonts w:ascii="Arial" w:eastAsia="Calibri" w:hAnsi="Arial" w:cs="Arial"/>
          <w:sz w:val="26"/>
          <w:szCs w:val="26"/>
        </w:rPr>
        <w:t xml:space="preserve">uaderno de </w:t>
      </w:r>
      <w:r w:rsidR="00093AB5" w:rsidRPr="00A62264">
        <w:rPr>
          <w:rFonts w:ascii="Arial" w:eastAsia="Calibri" w:hAnsi="Arial" w:cs="Arial"/>
          <w:sz w:val="26"/>
          <w:szCs w:val="26"/>
        </w:rPr>
        <w:t>r</w:t>
      </w:r>
      <w:r w:rsidRPr="00A62264">
        <w:rPr>
          <w:rFonts w:ascii="Arial" w:eastAsia="Calibri" w:hAnsi="Arial" w:cs="Arial"/>
          <w:sz w:val="26"/>
          <w:szCs w:val="26"/>
        </w:rPr>
        <w:t>evisión</w:t>
      </w:r>
      <w:r>
        <w:rPr>
          <w:rFonts w:ascii="Arial" w:eastAsia="Calibri" w:hAnsi="Arial" w:cs="Arial"/>
          <w:sz w:val="26"/>
          <w:szCs w:val="26"/>
        </w:rPr>
        <w:t xml:space="preserve"> </w:t>
      </w:r>
      <w:r w:rsidR="003B6E21">
        <w:rPr>
          <w:rFonts w:ascii="Arial" w:eastAsia="PMingLiU" w:hAnsi="Arial" w:cs="Arial"/>
          <w:b/>
          <w:iCs/>
          <w:caps/>
          <w:sz w:val="26"/>
          <w:szCs w:val="26"/>
          <w:lang w:val="es-PE" w:eastAsia="zh-TW"/>
        </w:rPr>
        <w:t>00</w:t>
      </w:r>
      <w:r w:rsidR="00FB385B">
        <w:rPr>
          <w:rFonts w:ascii="Arial" w:eastAsia="PMingLiU" w:hAnsi="Arial" w:cs="Arial"/>
          <w:b/>
          <w:iCs/>
          <w:caps/>
          <w:sz w:val="26"/>
          <w:szCs w:val="26"/>
          <w:lang w:val="es-PE" w:eastAsia="zh-TW"/>
        </w:rPr>
        <w:t>81</w:t>
      </w:r>
      <w:r>
        <w:rPr>
          <w:rFonts w:ascii="Arial" w:eastAsia="PMingLiU" w:hAnsi="Arial" w:cs="Arial"/>
          <w:b/>
          <w:iCs/>
          <w:caps/>
          <w:sz w:val="26"/>
          <w:szCs w:val="26"/>
          <w:lang w:val="es-PE" w:eastAsia="zh-TW"/>
        </w:rPr>
        <w:t>/202</w:t>
      </w:r>
      <w:r w:rsidR="003B6E21">
        <w:rPr>
          <w:rFonts w:ascii="Arial" w:eastAsia="PMingLiU" w:hAnsi="Arial" w:cs="Arial"/>
          <w:b/>
          <w:iCs/>
          <w:caps/>
          <w:sz w:val="26"/>
          <w:szCs w:val="26"/>
          <w:lang w:val="es-PE" w:eastAsia="zh-TW"/>
        </w:rPr>
        <w:t>1</w:t>
      </w:r>
      <w:r>
        <w:rPr>
          <w:rFonts w:ascii="Arial" w:eastAsia="PMingLiU" w:hAnsi="Arial" w:cs="Arial"/>
          <w:b/>
          <w:iCs/>
          <w:caps/>
          <w:sz w:val="26"/>
          <w:szCs w:val="26"/>
          <w:lang w:val="es-PE" w:eastAsia="zh-TW"/>
        </w:rPr>
        <w:t xml:space="preserve"> </w:t>
      </w:r>
      <w:r>
        <w:rPr>
          <w:rFonts w:ascii="Arial" w:eastAsia="Calibri" w:hAnsi="Arial" w:cs="Arial"/>
          <w:sz w:val="26"/>
          <w:szCs w:val="26"/>
        </w:rPr>
        <w:t xml:space="preserve">que remite la Secretaría General de Acuerdos, con motivo del recurso de revisión interpuesto por </w:t>
      </w:r>
      <w:bookmarkStart w:id="0" w:name="_Hlk75265204"/>
      <w:bookmarkStart w:id="1" w:name="_Hlk76991229"/>
      <w:r w:rsidR="00FB385B">
        <w:rPr>
          <w:rFonts w:ascii="Arial" w:eastAsia="Calibri" w:hAnsi="Arial" w:cs="Arial"/>
          <w:b/>
          <w:sz w:val="26"/>
          <w:szCs w:val="26"/>
        </w:rPr>
        <w:t>JUAN SEBASTIÁN FLORENCIO</w:t>
      </w:r>
      <w:r w:rsidR="000B0B21">
        <w:rPr>
          <w:rFonts w:ascii="Arial" w:eastAsia="Calibri" w:hAnsi="Arial" w:cs="Arial"/>
          <w:b/>
          <w:sz w:val="26"/>
          <w:szCs w:val="26"/>
        </w:rPr>
        <w:t xml:space="preserve"> </w:t>
      </w:r>
      <w:r w:rsidR="000B0B21" w:rsidRPr="004416B5">
        <w:rPr>
          <w:rFonts w:ascii="Arial" w:eastAsia="Calibri" w:hAnsi="Arial" w:cs="Arial"/>
          <w:b/>
          <w:sz w:val="26"/>
          <w:szCs w:val="26"/>
        </w:rPr>
        <w:t>(SIC)</w:t>
      </w:r>
      <w:r w:rsidR="00FB385B">
        <w:rPr>
          <w:rFonts w:ascii="Arial" w:eastAsia="Calibri" w:hAnsi="Arial" w:cs="Arial"/>
          <w:b/>
          <w:sz w:val="26"/>
          <w:szCs w:val="26"/>
        </w:rPr>
        <w:t xml:space="preserve"> GALLEGOS</w:t>
      </w:r>
      <w:r w:rsidR="003B6E21">
        <w:rPr>
          <w:rFonts w:ascii="Arial" w:hAnsi="Arial" w:cs="Arial"/>
          <w:b/>
          <w:sz w:val="26"/>
          <w:szCs w:val="26"/>
        </w:rPr>
        <w:t>, POLICÍA VIAL CON NÚMERO ESTADÍSTICO PV-1</w:t>
      </w:r>
      <w:r w:rsidR="00FB385B">
        <w:rPr>
          <w:rFonts w:ascii="Arial" w:hAnsi="Arial" w:cs="Arial"/>
          <w:b/>
          <w:sz w:val="26"/>
          <w:szCs w:val="26"/>
        </w:rPr>
        <w:t>18</w:t>
      </w:r>
      <w:r w:rsidR="003B6E21">
        <w:rPr>
          <w:rFonts w:ascii="Arial" w:hAnsi="Arial" w:cs="Arial"/>
          <w:b/>
          <w:sz w:val="26"/>
          <w:szCs w:val="26"/>
        </w:rPr>
        <w:t xml:space="preserve">, </w:t>
      </w:r>
      <w:r w:rsidR="00C4450E">
        <w:rPr>
          <w:rFonts w:ascii="Arial" w:hAnsi="Arial" w:cs="Arial"/>
          <w:b/>
          <w:sz w:val="26"/>
          <w:szCs w:val="26"/>
        </w:rPr>
        <w:t xml:space="preserve"> </w:t>
      </w:r>
      <w:bookmarkEnd w:id="0"/>
      <w:r w:rsidR="00D9190E">
        <w:rPr>
          <w:rFonts w:ascii="Arial" w:hAnsi="Arial" w:cs="Arial"/>
          <w:b/>
          <w:sz w:val="26"/>
          <w:szCs w:val="26"/>
        </w:rPr>
        <w:t>ADSCRIT</w:t>
      </w:r>
      <w:r w:rsidR="00FB385B">
        <w:rPr>
          <w:rFonts w:ascii="Arial" w:hAnsi="Arial" w:cs="Arial"/>
          <w:b/>
          <w:sz w:val="26"/>
          <w:szCs w:val="26"/>
        </w:rPr>
        <w:t>O</w:t>
      </w:r>
      <w:r w:rsidR="00D9190E">
        <w:rPr>
          <w:rFonts w:ascii="Arial" w:hAnsi="Arial" w:cs="Arial"/>
          <w:b/>
          <w:sz w:val="26"/>
          <w:szCs w:val="26"/>
        </w:rPr>
        <w:t xml:space="preserve"> A LA SUBDIRECCIÓN DE TRÁNSITO Y MOVILIDAD DEL MUNICIPIO DE OAXACA DE JUÁREZ, OAXACA</w:t>
      </w:r>
      <w:bookmarkEnd w:id="1"/>
      <w:r w:rsidR="00D9190E">
        <w:rPr>
          <w:rFonts w:ascii="Arial" w:hAnsi="Arial" w:cs="Arial"/>
          <w:b/>
          <w:bCs/>
          <w:color w:val="000000"/>
          <w:sz w:val="26"/>
          <w:szCs w:val="26"/>
        </w:rPr>
        <w:t>,</w:t>
      </w:r>
      <w:r>
        <w:rPr>
          <w:rFonts w:ascii="Arial" w:hAnsi="Arial" w:cs="Arial"/>
          <w:b/>
          <w:bCs/>
          <w:color w:val="000000"/>
          <w:sz w:val="26"/>
          <w:szCs w:val="26"/>
        </w:rPr>
        <w:t xml:space="preserve"> </w:t>
      </w:r>
      <w:r>
        <w:rPr>
          <w:rFonts w:ascii="Arial" w:eastAsia="Calibri" w:hAnsi="Arial" w:cs="Arial"/>
          <w:sz w:val="26"/>
          <w:szCs w:val="26"/>
        </w:rPr>
        <w:t xml:space="preserve">en contra de la sentencia de </w:t>
      </w:r>
      <w:r w:rsidR="00FB385B">
        <w:rPr>
          <w:rFonts w:ascii="Arial" w:eastAsia="Calibri" w:hAnsi="Arial" w:cs="Arial"/>
          <w:sz w:val="26"/>
          <w:szCs w:val="26"/>
        </w:rPr>
        <w:t>veintiséis de febrero de dos mil veintiuno,</w:t>
      </w:r>
      <w:r>
        <w:rPr>
          <w:rFonts w:ascii="Arial" w:eastAsia="Calibri" w:hAnsi="Arial" w:cs="Arial"/>
          <w:sz w:val="26"/>
          <w:szCs w:val="26"/>
        </w:rPr>
        <w:t xml:space="preserve"> dictada por </w:t>
      </w:r>
      <w:r w:rsidR="00FB385B">
        <w:rPr>
          <w:rFonts w:ascii="Arial" w:eastAsia="Calibri" w:hAnsi="Arial" w:cs="Arial"/>
          <w:sz w:val="26"/>
          <w:szCs w:val="26"/>
        </w:rPr>
        <w:t>la Tercera Sala Unitaria de</w:t>
      </w:r>
      <w:r>
        <w:rPr>
          <w:rFonts w:ascii="Arial" w:eastAsia="Calibri" w:hAnsi="Arial" w:cs="Arial"/>
          <w:sz w:val="26"/>
          <w:szCs w:val="26"/>
        </w:rPr>
        <w:t xml:space="preserve"> Primera Instancia de este Tribunal, en el juicio de nulidad </w:t>
      </w:r>
      <w:r w:rsidR="00BD5B0D">
        <w:rPr>
          <w:rFonts w:ascii="Arial" w:eastAsia="Calibri" w:hAnsi="Arial" w:cs="Arial"/>
          <w:b/>
          <w:sz w:val="26"/>
          <w:szCs w:val="26"/>
        </w:rPr>
        <w:t>0</w:t>
      </w:r>
      <w:r w:rsidR="00CC3DE1">
        <w:rPr>
          <w:rFonts w:ascii="Arial" w:eastAsia="Calibri" w:hAnsi="Arial" w:cs="Arial"/>
          <w:b/>
          <w:sz w:val="26"/>
          <w:szCs w:val="26"/>
        </w:rPr>
        <w:t>1</w:t>
      </w:r>
      <w:r w:rsidR="00FB385B">
        <w:rPr>
          <w:rFonts w:ascii="Arial" w:eastAsia="Calibri" w:hAnsi="Arial" w:cs="Arial"/>
          <w:b/>
          <w:sz w:val="26"/>
          <w:szCs w:val="26"/>
        </w:rPr>
        <w:t>71</w:t>
      </w:r>
      <w:r w:rsidR="00BD5B0D">
        <w:rPr>
          <w:rFonts w:ascii="Arial" w:eastAsia="Calibri" w:hAnsi="Arial" w:cs="Arial"/>
          <w:b/>
          <w:sz w:val="26"/>
          <w:szCs w:val="26"/>
        </w:rPr>
        <w:t>/20</w:t>
      </w:r>
      <w:r w:rsidR="00FB385B">
        <w:rPr>
          <w:rFonts w:ascii="Arial" w:eastAsia="Calibri" w:hAnsi="Arial" w:cs="Arial"/>
          <w:b/>
          <w:sz w:val="26"/>
          <w:szCs w:val="26"/>
        </w:rPr>
        <w:t>20</w:t>
      </w:r>
      <w:r>
        <w:rPr>
          <w:rFonts w:ascii="Arial" w:eastAsia="Calibri" w:hAnsi="Arial" w:cs="Arial"/>
          <w:b/>
          <w:sz w:val="26"/>
          <w:szCs w:val="26"/>
        </w:rPr>
        <w:t xml:space="preserve"> </w:t>
      </w:r>
      <w:r>
        <w:rPr>
          <w:rFonts w:ascii="Arial" w:eastAsia="Calibri" w:hAnsi="Arial" w:cs="Arial"/>
          <w:sz w:val="26"/>
          <w:szCs w:val="26"/>
        </w:rPr>
        <w:t xml:space="preserve">promovido por </w:t>
      </w:r>
      <w:r w:rsidR="00841FF8">
        <w:rPr>
          <w:rFonts w:ascii="Arial" w:hAnsi="Arial" w:cs="Arial"/>
          <w:b/>
          <w:sz w:val="26"/>
          <w:szCs w:val="26"/>
        </w:rPr>
        <w:t>***********</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FB385B">
        <w:rPr>
          <w:rFonts w:ascii="Arial" w:eastAsia="Calibri" w:hAnsi="Arial" w:cs="Arial"/>
          <w:sz w:val="26"/>
          <w:szCs w:val="26"/>
        </w:rPr>
        <w:t>l</w:t>
      </w:r>
      <w:r w:rsidR="00CC3DE1">
        <w:rPr>
          <w:rFonts w:ascii="Arial" w:eastAsia="Calibri" w:hAnsi="Arial" w:cs="Arial"/>
          <w:sz w:val="26"/>
          <w:szCs w:val="26"/>
        </w:rPr>
        <w:t xml:space="preserve"> hoy</w:t>
      </w:r>
      <w:r w:rsidR="0008342F">
        <w:rPr>
          <w:rFonts w:ascii="Arial" w:eastAsia="Calibri" w:hAnsi="Arial" w:cs="Arial"/>
          <w:sz w:val="26"/>
          <w:szCs w:val="26"/>
        </w:rPr>
        <w:t xml:space="preserve"> </w:t>
      </w:r>
      <w:r w:rsidR="00CC3DE1">
        <w:rPr>
          <w:rFonts w:ascii="Arial" w:eastAsia="Calibri" w:hAnsi="Arial" w:cs="Arial"/>
          <w:b/>
          <w:sz w:val="26"/>
          <w:szCs w:val="26"/>
        </w:rPr>
        <w:t>RECURRENTE</w:t>
      </w:r>
      <w:r>
        <w:rPr>
          <w:rFonts w:ascii="Arial" w:eastAsia="Calibri" w:hAnsi="Arial" w:cs="Arial"/>
          <w:b/>
          <w:sz w:val="26"/>
          <w:szCs w:val="26"/>
        </w:rPr>
        <w:t xml:space="preserve">, </w:t>
      </w:r>
      <w:r>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r w:rsidR="00B02F70">
        <w:rPr>
          <w:rFonts w:ascii="Arial" w:hAnsi="Arial" w:cs="Arial"/>
          <w:sz w:val="26"/>
          <w:szCs w:val="26"/>
        </w:rPr>
        <w:t xml:space="preserve">- - - - - - - - - - - </w:t>
      </w:r>
      <w:r w:rsidR="00822758">
        <w:rPr>
          <w:rFonts w:ascii="Arial" w:hAnsi="Arial" w:cs="Arial"/>
          <w:sz w:val="26"/>
          <w:szCs w:val="26"/>
        </w:rPr>
        <w:t>- - - - - - - - -</w:t>
      </w:r>
      <w:r w:rsidR="00FB385B">
        <w:rPr>
          <w:rFonts w:ascii="Arial" w:hAnsi="Arial" w:cs="Arial"/>
          <w:sz w:val="26"/>
          <w:szCs w:val="26"/>
        </w:rPr>
        <w:t xml:space="preserve"> - - - - -</w:t>
      </w:r>
      <w:r w:rsidR="00FA2114">
        <w:rPr>
          <w:rFonts w:ascii="Arial" w:hAnsi="Arial" w:cs="Arial"/>
          <w:sz w:val="26"/>
          <w:szCs w:val="26"/>
        </w:rPr>
        <w:t xml:space="preserve"> </w:t>
      </w:r>
      <w:r w:rsidR="00805250">
        <w:rPr>
          <w:rFonts w:ascii="Arial" w:hAnsi="Arial" w:cs="Arial"/>
          <w:sz w:val="26"/>
          <w:szCs w:val="26"/>
        </w:rPr>
        <w:t>- - - - - - - -</w:t>
      </w:r>
      <w:r w:rsidR="00841FF8">
        <w:rPr>
          <w:rFonts w:ascii="Arial" w:hAnsi="Arial" w:cs="Arial"/>
          <w:sz w:val="26"/>
          <w:szCs w:val="26"/>
        </w:rPr>
        <w:t xml:space="preserve"> - - - - - </w:t>
      </w:r>
    </w:p>
    <w:p w14:paraId="29919244" w14:textId="77777777" w:rsidR="007773A6" w:rsidRDefault="007773A6" w:rsidP="007773A6">
      <w:pPr>
        <w:pStyle w:val="Sinespaciado"/>
      </w:pPr>
    </w:p>
    <w:p w14:paraId="751FB8A8" w14:textId="72DBC866" w:rsidR="00571114" w:rsidRPr="00B02F70" w:rsidRDefault="00571114" w:rsidP="007773A6">
      <w:pPr>
        <w:spacing w:after="120" w:line="360" w:lineRule="auto"/>
        <w:jc w:val="center"/>
        <w:rPr>
          <w:rFonts w:ascii="Arial" w:hAnsi="Arial" w:cs="Arial"/>
          <w:sz w:val="26"/>
          <w:szCs w:val="26"/>
        </w:rPr>
      </w:pPr>
      <w:r w:rsidRPr="00B02F70">
        <w:rPr>
          <w:rFonts w:ascii="Arial" w:hAnsi="Arial" w:cs="Arial"/>
          <w:b/>
          <w:bCs/>
          <w:sz w:val="26"/>
          <w:szCs w:val="26"/>
          <w:lang w:val="es-ES"/>
        </w:rPr>
        <w:t>R E S U L T A N D O</w:t>
      </w:r>
    </w:p>
    <w:p w14:paraId="4995B53C" w14:textId="732118AD" w:rsidR="00571114" w:rsidRDefault="00571114" w:rsidP="008A1C0A">
      <w:pPr>
        <w:spacing w:after="12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la sentencia de </w:t>
      </w:r>
      <w:r w:rsidR="00FB385B">
        <w:rPr>
          <w:rFonts w:ascii="Arial" w:eastAsia="Calibri" w:hAnsi="Arial" w:cs="Arial"/>
          <w:sz w:val="26"/>
          <w:szCs w:val="26"/>
        </w:rPr>
        <w:t>veintiséis de febrero de dos mil veintiuno</w:t>
      </w:r>
      <w:r>
        <w:rPr>
          <w:rFonts w:ascii="Arial" w:hAnsi="Arial" w:cs="Arial"/>
          <w:sz w:val="26"/>
          <w:szCs w:val="26"/>
          <w:lang w:val="es-ES"/>
        </w:rPr>
        <w:t xml:space="preserve">, dictada por </w:t>
      </w:r>
      <w:r w:rsidR="00FB385B">
        <w:rPr>
          <w:rFonts w:ascii="Arial" w:hAnsi="Arial" w:cs="Arial"/>
          <w:sz w:val="26"/>
          <w:szCs w:val="26"/>
          <w:lang w:val="es-ES"/>
        </w:rPr>
        <w:t>la Tercera</w:t>
      </w:r>
      <w:r w:rsidR="00A81C86">
        <w:rPr>
          <w:rFonts w:ascii="Arial" w:eastAsia="Calibri" w:hAnsi="Arial" w:cs="Arial"/>
          <w:sz w:val="26"/>
          <w:szCs w:val="26"/>
        </w:rPr>
        <w:t xml:space="preserve"> </w:t>
      </w:r>
      <w:r>
        <w:rPr>
          <w:rFonts w:ascii="Arial" w:hAnsi="Arial" w:cs="Arial"/>
          <w:sz w:val="26"/>
          <w:szCs w:val="26"/>
          <w:lang w:val="es-ES"/>
        </w:rPr>
        <w:t>Sala Unitaria de Primera Instancia</w:t>
      </w:r>
      <w:r w:rsidR="008814C1">
        <w:rPr>
          <w:rFonts w:ascii="Arial" w:hAnsi="Arial" w:cs="Arial"/>
          <w:sz w:val="26"/>
          <w:szCs w:val="26"/>
          <w:lang w:val="es-ES"/>
        </w:rPr>
        <w:t>,</w:t>
      </w:r>
      <w:r w:rsidR="009904ED">
        <w:rPr>
          <w:rFonts w:ascii="Arial" w:hAnsi="Arial" w:cs="Arial"/>
          <w:sz w:val="26"/>
          <w:szCs w:val="26"/>
          <w:lang w:val="es-ES"/>
        </w:rPr>
        <w:t xml:space="preserve"> </w:t>
      </w:r>
      <w:r w:rsidR="00FB385B">
        <w:rPr>
          <w:rFonts w:ascii="Arial" w:eastAsia="Calibri" w:hAnsi="Arial" w:cs="Arial"/>
          <w:b/>
          <w:sz w:val="26"/>
          <w:szCs w:val="26"/>
        </w:rPr>
        <w:t>JUAN SEBASTIÁN FLORENCIO</w:t>
      </w:r>
      <w:r w:rsidR="00FA2114">
        <w:rPr>
          <w:rFonts w:ascii="Arial" w:eastAsia="Calibri" w:hAnsi="Arial" w:cs="Arial"/>
          <w:b/>
          <w:sz w:val="26"/>
          <w:szCs w:val="26"/>
        </w:rPr>
        <w:t xml:space="preserve"> </w:t>
      </w:r>
      <w:r w:rsidR="00FA2114" w:rsidRPr="00FB7D1C">
        <w:rPr>
          <w:rFonts w:ascii="Arial" w:eastAsia="Calibri" w:hAnsi="Arial" w:cs="Arial"/>
          <w:b/>
          <w:sz w:val="26"/>
          <w:szCs w:val="26"/>
        </w:rPr>
        <w:t>(SIC)</w:t>
      </w:r>
      <w:r w:rsidR="00FB385B">
        <w:rPr>
          <w:rFonts w:ascii="Arial" w:eastAsia="Calibri" w:hAnsi="Arial" w:cs="Arial"/>
          <w:b/>
          <w:sz w:val="26"/>
          <w:szCs w:val="26"/>
        </w:rPr>
        <w:t xml:space="preserve"> GALLEGOS</w:t>
      </w:r>
      <w:r w:rsidR="00FB385B">
        <w:rPr>
          <w:rFonts w:ascii="Arial" w:hAnsi="Arial" w:cs="Arial"/>
          <w:b/>
          <w:sz w:val="26"/>
          <w:szCs w:val="26"/>
        </w:rPr>
        <w:t>, POLICÍA VIAL CON NÚMERO ESTADÍSTICO PV-118, ADSCRITO A LA SUBDIRECCIÓN DE TRÁNSITO Y MOVILIDAD DEL MUNICIPIO DE OAXACA DE JUÁREZ, OAXACA</w:t>
      </w:r>
      <w:r>
        <w:rPr>
          <w:rFonts w:ascii="Arial" w:hAnsi="Arial" w:cs="Arial"/>
          <w:b/>
          <w:bCs/>
          <w:color w:val="000000"/>
          <w:sz w:val="26"/>
          <w:szCs w:val="26"/>
        </w:rPr>
        <w:t xml:space="preserve">, </w:t>
      </w:r>
      <w:r>
        <w:rPr>
          <w:rFonts w:ascii="Arial" w:hAnsi="Arial" w:cs="Arial"/>
          <w:sz w:val="26"/>
          <w:szCs w:val="26"/>
          <w:lang w:val="es-ES"/>
        </w:rPr>
        <w:t>interpuso en su contra recurso de revisión.</w:t>
      </w:r>
      <w:r w:rsidR="00B02F70">
        <w:rPr>
          <w:rFonts w:ascii="Arial" w:hAnsi="Arial" w:cs="Arial"/>
          <w:sz w:val="26"/>
          <w:szCs w:val="26"/>
          <w:lang w:val="es-ES"/>
        </w:rPr>
        <w:t>- - - - -</w:t>
      </w:r>
      <w:r w:rsidR="00FB385B">
        <w:rPr>
          <w:rFonts w:ascii="Arial" w:hAnsi="Arial" w:cs="Arial"/>
          <w:sz w:val="26"/>
          <w:szCs w:val="26"/>
          <w:lang w:val="es-ES"/>
        </w:rPr>
        <w:t xml:space="preserve"> - - - - - - - - - - - - - - - - - - - - - - - - - - - - - - - - - - - - - - -</w:t>
      </w:r>
      <w:r w:rsidR="00805250">
        <w:rPr>
          <w:rFonts w:ascii="Arial" w:hAnsi="Arial" w:cs="Arial"/>
          <w:sz w:val="26"/>
          <w:szCs w:val="26"/>
          <w:lang w:val="es-ES"/>
        </w:rPr>
        <w:t xml:space="preserve"> - - </w:t>
      </w:r>
      <w:r w:rsidR="00FB385B">
        <w:rPr>
          <w:rFonts w:ascii="Arial" w:hAnsi="Arial" w:cs="Arial"/>
          <w:sz w:val="26"/>
          <w:szCs w:val="26"/>
          <w:lang w:val="es-ES"/>
        </w:rPr>
        <w:t xml:space="preserve"> </w:t>
      </w:r>
    </w:p>
    <w:p w14:paraId="0F56A65A" w14:textId="56FFE6EC"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r w:rsidR="00B02F70">
        <w:rPr>
          <w:rFonts w:ascii="Arial" w:hAnsi="Arial" w:cs="Arial"/>
          <w:sz w:val="26"/>
          <w:szCs w:val="26"/>
        </w:rPr>
        <w:t xml:space="preserve">- - - - - - - - - - - - - - - - - - - - - - - - - - - - - - - - - - - - - - - - - - </w:t>
      </w:r>
    </w:p>
    <w:p w14:paraId="1BD9B02C" w14:textId="77777777" w:rsidR="008A1C0A" w:rsidRDefault="008A1C0A" w:rsidP="00635B8D">
      <w:pPr>
        <w:spacing w:after="0" w:line="360" w:lineRule="auto"/>
        <w:ind w:left="1134" w:right="900" w:firstLine="282"/>
        <w:jc w:val="both"/>
        <w:rPr>
          <w:rFonts w:ascii="Arial" w:eastAsia="Calibri" w:hAnsi="Arial" w:cs="Arial"/>
          <w:bCs/>
          <w:color w:val="000000" w:themeColor="text1"/>
        </w:rPr>
      </w:pPr>
    </w:p>
    <w:p w14:paraId="043AA6DF" w14:textId="2F9CF969" w:rsidR="00635B8D" w:rsidRDefault="00635B8D" w:rsidP="00635B8D">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Cs/>
          <w:color w:val="000000" w:themeColor="text1"/>
        </w:rPr>
        <w:lastRenderedPageBreak/>
        <w:t>“</w:t>
      </w:r>
      <w:r w:rsidR="009E19D2">
        <w:rPr>
          <w:rFonts w:ascii="Arial" w:eastAsia="Calibri" w:hAnsi="Arial" w:cs="Arial"/>
          <w:b/>
          <w:bCs/>
          <w:i/>
          <w:color w:val="000000" w:themeColor="text1"/>
        </w:rPr>
        <w:t>PRIMERO.-</w:t>
      </w:r>
      <w:r>
        <w:rPr>
          <w:rFonts w:ascii="Arial" w:eastAsia="Calibri" w:hAnsi="Arial" w:cs="Arial"/>
          <w:b/>
          <w:bCs/>
          <w:i/>
          <w:color w:val="000000" w:themeColor="text1"/>
        </w:rPr>
        <w:t xml:space="preserve"> </w:t>
      </w:r>
      <w:r w:rsidR="009D791B">
        <w:rPr>
          <w:rFonts w:ascii="Arial" w:eastAsia="Calibri" w:hAnsi="Arial" w:cs="Arial"/>
          <w:bCs/>
          <w:i/>
          <w:color w:val="000000" w:themeColor="text1"/>
        </w:rPr>
        <w:t xml:space="preserve">Esta </w:t>
      </w:r>
      <w:r w:rsidR="00FB385B">
        <w:rPr>
          <w:rFonts w:ascii="Arial" w:eastAsia="Calibri" w:hAnsi="Arial" w:cs="Arial"/>
          <w:bCs/>
          <w:i/>
          <w:color w:val="000000" w:themeColor="text1"/>
        </w:rPr>
        <w:t>Tercera</w:t>
      </w:r>
      <w:r w:rsidR="009D791B">
        <w:rPr>
          <w:rFonts w:ascii="Arial" w:eastAsia="Calibri" w:hAnsi="Arial" w:cs="Arial"/>
          <w:bCs/>
          <w:i/>
          <w:color w:val="000000" w:themeColor="text1"/>
        </w:rPr>
        <w:t xml:space="preserve"> Sala</w:t>
      </w:r>
      <w:r w:rsidR="00FB385B">
        <w:rPr>
          <w:rFonts w:ascii="Arial" w:eastAsia="Calibri" w:hAnsi="Arial" w:cs="Arial"/>
          <w:bCs/>
          <w:i/>
          <w:color w:val="000000" w:themeColor="text1"/>
        </w:rPr>
        <w:t xml:space="preserve"> de Primera Instancia del Tribunal de</w:t>
      </w:r>
      <w:r w:rsidR="009D791B">
        <w:rPr>
          <w:rFonts w:ascii="Arial" w:eastAsia="Calibri" w:hAnsi="Arial" w:cs="Arial"/>
          <w:bCs/>
          <w:i/>
          <w:color w:val="000000" w:themeColor="text1"/>
        </w:rPr>
        <w:t xml:space="preserve"> Justicia Administrativa </w:t>
      </w:r>
      <w:r w:rsidR="003069E9">
        <w:rPr>
          <w:rFonts w:ascii="Arial" w:eastAsia="Calibri" w:hAnsi="Arial" w:cs="Arial"/>
          <w:bCs/>
          <w:i/>
          <w:color w:val="000000" w:themeColor="text1"/>
        </w:rPr>
        <w:t xml:space="preserve">del </w:t>
      </w:r>
      <w:r w:rsidR="009D791B">
        <w:rPr>
          <w:rFonts w:ascii="Arial" w:eastAsia="Calibri" w:hAnsi="Arial" w:cs="Arial"/>
          <w:bCs/>
          <w:i/>
          <w:color w:val="000000" w:themeColor="text1"/>
        </w:rPr>
        <w:t xml:space="preserve">Estado de Oaxaca, </w:t>
      </w:r>
      <w:r w:rsidR="00FB385B">
        <w:rPr>
          <w:rFonts w:ascii="Arial" w:eastAsia="Calibri" w:hAnsi="Arial" w:cs="Arial"/>
          <w:bCs/>
          <w:i/>
          <w:color w:val="000000" w:themeColor="text1"/>
        </w:rPr>
        <w:t>es legalmente competente para conocer y resolver del presente Juicio de Nulidad</w:t>
      </w:r>
      <w:r>
        <w:rPr>
          <w:rFonts w:ascii="Arial" w:eastAsia="Calibri" w:hAnsi="Arial" w:cs="Arial"/>
          <w:bCs/>
          <w:i/>
          <w:color w:val="000000" w:themeColor="text1"/>
        </w:rPr>
        <w:t>.- - - - -</w:t>
      </w:r>
      <w:r w:rsidR="00FB385B">
        <w:rPr>
          <w:rFonts w:ascii="Arial" w:eastAsia="Calibri" w:hAnsi="Arial" w:cs="Arial"/>
          <w:bCs/>
          <w:i/>
          <w:color w:val="000000" w:themeColor="text1"/>
        </w:rPr>
        <w:t xml:space="preserve"> - - - - - - - - - - - - - - - - - - - - - - </w:t>
      </w:r>
      <w:r w:rsidR="00841FF8">
        <w:rPr>
          <w:rFonts w:ascii="Arial" w:eastAsia="Calibri" w:hAnsi="Arial" w:cs="Arial"/>
          <w:bCs/>
          <w:i/>
          <w:color w:val="000000" w:themeColor="text1"/>
        </w:rPr>
        <w:t xml:space="preserve">- - - - - - </w:t>
      </w:r>
    </w:p>
    <w:p w14:paraId="29D8615A" w14:textId="59C739AE" w:rsidR="008814C1" w:rsidRDefault="00635B8D" w:rsidP="008814C1">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sidR="008814C1" w:rsidRPr="00B43574">
        <w:rPr>
          <w:rFonts w:ascii="Arial" w:eastAsia="Calibri" w:hAnsi="Arial" w:cs="Arial"/>
          <w:bCs/>
          <w:i/>
          <w:color w:val="000000" w:themeColor="text1"/>
        </w:rPr>
        <w:t xml:space="preserve">No se </w:t>
      </w:r>
      <w:r w:rsidR="00FB385B">
        <w:rPr>
          <w:rFonts w:ascii="Arial" w:eastAsia="Calibri" w:hAnsi="Arial" w:cs="Arial"/>
          <w:bCs/>
          <w:i/>
          <w:color w:val="000000" w:themeColor="text1"/>
        </w:rPr>
        <w:t>actualizó causal de improcedencia alguna, por lo que NO SE SOBRESEE EL JUICIO, en términos del considerando QUINTO</w:t>
      </w:r>
      <w:r w:rsidR="008814C1" w:rsidRPr="00B43574">
        <w:rPr>
          <w:rFonts w:ascii="Arial" w:eastAsia="Calibri" w:hAnsi="Arial" w:cs="Arial"/>
          <w:bCs/>
          <w:i/>
          <w:color w:val="000000" w:themeColor="text1"/>
        </w:rPr>
        <w:t xml:space="preserve">.- - - - - - - - - - - - - - - - - - - - - - - - - - - </w:t>
      </w:r>
    </w:p>
    <w:p w14:paraId="36A2D583" w14:textId="087F5081" w:rsidR="00635B8D" w:rsidRDefault="00FB385B" w:rsidP="00635B8D">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TERCERO</w:t>
      </w:r>
      <w:r w:rsidR="00635B8D">
        <w:rPr>
          <w:rFonts w:ascii="Arial" w:eastAsia="Calibri" w:hAnsi="Arial" w:cs="Arial"/>
          <w:b/>
          <w:bCs/>
          <w:i/>
          <w:color w:val="000000" w:themeColor="text1"/>
        </w:rPr>
        <w:t xml:space="preserve">.- </w:t>
      </w:r>
      <w:r w:rsidR="00635B8D">
        <w:rPr>
          <w:rFonts w:ascii="Arial" w:eastAsia="Calibri" w:hAnsi="Arial" w:cs="Arial"/>
          <w:bCs/>
          <w:i/>
          <w:color w:val="000000" w:themeColor="text1"/>
        </w:rPr>
        <w:t xml:space="preserve">Se declara la </w:t>
      </w:r>
      <w:r w:rsidR="00635B8D">
        <w:rPr>
          <w:rFonts w:ascii="Arial" w:eastAsia="Calibri" w:hAnsi="Arial" w:cs="Arial"/>
          <w:b/>
          <w:bCs/>
          <w:i/>
          <w:color w:val="000000" w:themeColor="text1"/>
        </w:rPr>
        <w:t>NULIDAD LISA Y LLANA</w:t>
      </w:r>
      <w:r w:rsidR="00635B8D">
        <w:rPr>
          <w:rFonts w:ascii="Arial" w:eastAsia="Calibri" w:hAnsi="Arial" w:cs="Arial"/>
          <w:bCs/>
          <w:i/>
          <w:color w:val="000000" w:themeColor="text1"/>
        </w:rPr>
        <w:t xml:space="preserve"> </w:t>
      </w:r>
      <w:r w:rsidR="00635B8D" w:rsidRPr="00391BD8">
        <w:rPr>
          <w:rFonts w:ascii="Arial" w:eastAsia="Calibri" w:hAnsi="Arial" w:cs="Arial"/>
          <w:b/>
          <w:i/>
          <w:color w:val="000000" w:themeColor="text1"/>
        </w:rPr>
        <w:t>del</w:t>
      </w:r>
      <w:r w:rsidR="00254C10" w:rsidRPr="00391BD8">
        <w:rPr>
          <w:rFonts w:ascii="Arial" w:eastAsia="Calibri" w:hAnsi="Arial" w:cs="Arial"/>
          <w:b/>
          <w:i/>
          <w:color w:val="000000" w:themeColor="text1"/>
        </w:rPr>
        <w:t xml:space="preserve"> acta</w:t>
      </w:r>
      <w:r w:rsidR="00635B8D" w:rsidRPr="00391BD8">
        <w:rPr>
          <w:rFonts w:ascii="Arial" w:eastAsia="Calibri" w:hAnsi="Arial" w:cs="Arial"/>
          <w:b/>
          <w:i/>
          <w:color w:val="000000" w:themeColor="text1"/>
        </w:rPr>
        <w:t xml:space="preserve"> de infracción </w:t>
      </w:r>
      <w:r w:rsidR="00391BD8">
        <w:rPr>
          <w:rFonts w:ascii="Arial" w:eastAsia="Calibri" w:hAnsi="Arial" w:cs="Arial"/>
          <w:b/>
          <w:i/>
          <w:color w:val="000000" w:themeColor="text1"/>
        </w:rPr>
        <w:t xml:space="preserve">con número de folio </w:t>
      </w:r>
      <w:r w:rsidR="00841FF8">
        <w:rPr>
          <w:rFonts w:ascii="Arial" w:hAnsi="Arial" w:cs="Arial"/>
          <w:b/>
          <w:sz w:val="26"/>
          <w:szCs w:val="26"/>
        </w:rPr>
        <w:t>***********</w:t>
      </w:r>
      <w:r w:rsidR="00391BD8">
        <w:rPr>
          <w:rFonts w:ascii="Arial" w:eastAsia="Calibri" w:hAnsi="Arial" w:cs="Arial"/>
          <w:b/>
          <w:i/>
          <w:color w:val="000000" w:themeColor="text1"/>
        </w:rPr>
        <w:t xml:space="preserve">, de diez de noviembre de dos mil veinte (10/11/2020), </w:t>
      </w:r>
      <w:r w:rsidR="00391BD8">
        <w:rPr>
          <w:rFonts w:ascii="Arial" w:eastAsia="Calibri" w:hAnsi="Arial" w:cs="Arial"/>
          <w:bCs/>
          <w:i/>
          <w:color w:val="000000" w:themeColor="text1"/>
        </w:rPr>
        <w:t xml:space="preserve">relacionada al automóvil de uso particular, marca </w:t>
      </w:r>
      <w:r w:rsidR="00841FF8">
        <w:rPr>
          <w:rFonts w:ascii="Arial" w:hAnsi="Arial" w:cs="Arial"/>
          <w:b/>
          <w:sz w:val="26"/>
          <w:szCs w:val="26"/>
        </w:rPr>
        <w:t>***********</w:t>
      </w:r>
      <w:r w:rsidR="00841FF8">
        <w:rPr>
          <w:rFonts w:ascii="Arial" w:eastAsia="Calibri" w:hAnsi="Arial" w:cs="Arial"/>
          <w:bCs/>
          <w:i/>
          <w:color w:val="000000" w:themeColor="text1"/>
        </w:rPr>
        <w:t xml:space="preserve">, </w:t>
      </w:r>
      <w:r w:rsidR="00841FF8">
        <w:rPr>
          <w:rFonts w:ascii="Arial" w:hAnsi="Arial" w:cs="Arial"/>
          <w:b/>
          <w:sz w:val="26"/>
          <w:szCs w:val="26"/>
        </w:rPr>
        <w:t>***********</w:t>
      </w:r>
      <w:r w:rsidR="00391BD8">
        <w:rPr>
          <w:rFonts w:ascii="Arial" w:eastAsia="Calibri" w:hAnsi="Arial" w:cs="Arial"/>
          <w:bCs/>
          <w:i/>
          <w:color w:val="000000" w:themeColor="text1"/>
        </w:rPr>
        <w:t xml:space="preserve">, color </w:t>
      </w:r>
      <w:r w:rsidR="00841FF8">
        <w:rPr>
          <w:rFonts w:ascii="Arial" w:hAnsi="Arial" w:cs="Arial"/>
          <w:b/>
          <w:sz w:val="26"/>
          <w:szCs w:val="26"/>
        </w:rPr>
        <w:t>***********</w:t>
      </w:r>
      <w:r w:rsidR="00391BD8">
        <w:rPr>
          <w:rFonts w:ascii="Arial" w:eastAsia="Calibri" w:hAnsi="Arial" w:cs="Arial"/>
          <w:bCs/>
          <w:i/>
          <w:color w:val="000000" w:themeColor="text1"/>
        </w:rPr>
        <w:t xml:space="preserve">, con placas de circulación </w:t>
      </w:r>
      <w:r w:rsidR="00841FF8">
        <w:rPr>
          <w:rFonts w:ascii="Arial" w:hAnsi="Arial" w:cs="Arial"/>
          <w:b/>
          <w:sz w:val="26"/>
          <w:szCs w:val="26"/>
        </w:rPr>
        <w:t>***********</w:t>
      </w:r>
      <w:r w:rsidR="00391BD8">
        <w:rPr>
          <w:rFonts w:ascii="Arial" w:eastAsia="Calibri" w:hAnsi="Arial" w:cs="Arial"/>
          <w:bCs/>
          <w:i/>
          <w:color w:val="000000" w:themeColor="text1"/>
        </w:rPr>
        <w:t xml:space="preserve"> del</w:t>
      </w:r>
      <w:r w:rsidR="007308F7">
        <w:rPr>
          <w:rFonts w:ascii="Arial" w:eastAsia="Calibri" w:hAnsi="Arial" w:cs="Arial"/>
          <w:bCs/>
          <w:i/>
          <w:color w:val="000000" w:themeColor="text1"/>
        </w:rPr>
        <w:t xml:space="preserve"> Estado de </w:t>
      </w:r>
      <w:r w:rsidR="00841FF8">
        <w:rPr>
          <w:rFonts w:ascii="Arial" w:hAnsi="Arial" w:cs="Arial"/>
          <w:b/>
          <w:sz w:val="26"/>
          <w:szCs w:val="26"/>
        </w:rPr>
        <w:t>***********</w:t>
      </w:r>
      <w:r w:rsidR="007308F7">
        <w:rPr>
          <w:rFonts w:ascii="Arial" w:eastAsia="Calibri" w:hAnsi="Arial" w:cs="Arial"/>
          <w:bCs/>
          <w:i/>
          <w:color w:val="000000" w:themeColor="text1"/>
        </w:rPr>
        <w:t xml:space="preserve">, emitida por JUAN SEBASTIAN </w:t>
      </w:r>
      <w:r w:rsidR="007308F7" w:rsidRPr="00FA2114">
        <w:rPr>
          <w:rFonts w:ascii="Arial" w:eastAsia="Calibri" w:hAnsi="Arial" w:cs="Arial"/>
          <w:bCs/>
          <w:i/>
          <w:color w:val="000000" w:themeColor="text1"/>
        </w:rPr>
        <w:t>FLORENTINO</w:t>
      </w:r>
      <w:r w:rsidR="007308F7">
        <w:rPr>
          <w:rFonts w:ascii="Arial" w:eastAsia="Calibri" w:hAnsi="Arial" w:cs="Arial"/>
          <w:bCs/>
          <w:i/>
          <w:color w:val="000000" w:themeColor="text1"/>
        </w:rPr>
        <w:t xml:space="preserve"> GALLEGOS, Policía Vial con número estadístico 118, de la Comisaría de Vialidad del Municipio de Oaxaca de Juárez, Oaxaca; y por ello, se ordena a la citada autoridad demandada dar de baja del sistema informático con que cuenta la Dirección de Seguridad, Vialidad y Protección Ciudadana del Municipio de Oaxaca de Juárez, Oaxaca, el acta de infracción </w:t>
      </w:r>
      <w:r w:rsidR="008171D5">
        <w:rPr>
          <w:rFonts w:ascii="Arial" w:eastAsia="Calibri" w:hAnsi="Arial" w:cs="Arial"/>
          <w:bCs/>
          <w:i/>
          <w:color w:val="000000" w:themeColor="text1"/>
        </w:rPr>
        <w:t xml:space="preserve">aquí declarada ilegal; lo anterior en términos precisados en el considerando SEXTO de esta resolución.- - - - - - - - - - - - - - - - </w:t>
      </w:r>
      <w:r w:rsidR="00805250">
        <w:rPr>
          <w:rFonts w:ascii="Arial" w:eastAsia="Calibri" w:hAnsi="Arial" w:cs="Arial"/>
          <w:bCs/>
          <w:i/>
          <w:color w:val="000000" w:themeColor="text1"/>
        </w:rPr>
        <w:t xml:space="preserve">- </w:t>
      </w:r>
    </w:p>
    <w:p w14:paraId="1FE5E19A" w14:textId="0857A560" w:rsidR="00635B8D" w:rsidRDefault="008171D5" w:rsidP="008A1C0A">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635B8D">
        <w:rPr>
          <w:rFonts w:ascii="Arial" w:eastAsia="Calibri" w:hAnsi="Arial" w:cs="Arial"/>
          <w:b/>
          <w:bCs/>
          <w:i/>
          <w:color w:val="000000" w:themeColor="text1"/>
        </w:rPr>
        <w:t xml:space="preserve">.- </w:t>
      </w:r>
      <w:r w:rsidR="00635B8D">
        <w:rPr>
          <w:rFonts w:ascii="Arial" w:eastAsia="Calibri" w:hAnsi="Arial" w:cs="Arial"/>
          <w:bCs/>
          <w:i/>
          <w:color w:val="000000" w:themeColor="text1"/>
        </w:rPr>
        <w:t>Con</w:t>
      </w:r>
      <w:r>
        <w:rPr>
          <w:rFonts w:ascii="Arial" w:eastAsia="Calibri" w:hAnsi="Arial" w:cs="Arial"/>
          <w:bCs/>
          <w:i/>
          <w:color w:val="000000" w:themeColor="text1"/>
        </w:rPr>
        <w:t xml:space="preserve">forme a lo dispuesto en el artículo 172 fracción I y 173 fracciones I y II, de la Ley de Procedimiento y Justicia </w:t>
      </w:r>
      <w:r w:rsidR="006738B8">
        <w:rPr>
          <w:rFonts w:ascii="Arial" w:eastAsia="Calibri" w:hAnsi="Arial" w:cs="Arial"/>
          <w:bCs/>
          <w:i/>
          <w:color w:val="000000" w:themeColor="text1"/>
        </w:rPr>
        <w:t xml:space="preserve">Administrativa para el Estado de Oaxaca, </w:t>
      </w:r>
      <w:r w:rsidR="006738B8">
        <w:rPr>
          <w:rFonts w:ascii="Arial" w:eastAsia="Calibri" w:hAnsi="Arial" w:cs="Arial"/>
          <w:b/>
          <w:i/>
          <w:color w:val="000000" w:themeColor="text1"/>
        </w:rPr>
        <w:t>NOTIFÍQUESE PERSONALMENTE A LA PARTE ACTORA Y POR OFICIO A LA AUTORIDAD DEMANDADA. CÚMPLASE.</w:t>
      </w:r>
      <w:r w:rsidR="001D6F56">
        <w:rPr>
          <w:rFonts w:ascii="Arial" w:eastAsia="Calibri" w:hAnsi="Arial" w:cs="Arial"/>
          <w:b/>
          <w:i/>
          <w:color w:val="000000" w:themeColor="text1"/>
        </w:rPr>
        <w:t>”</w:t>
      </w:r>
      <w:r w:rsidR="006738B8">
        <w:rPr>
          <w:rFonts w:ascii="Arial" w:eastAsia="Calibri" w:hAnsi="Arial" w:cs="Arial"/>
          <w:bCs/>
          <w:i/>
          <w:color w:val="000000" w:themeColor="text1"/>
        </w:rPr>
        <w:t xml:space="preserve">- - - - - - - - - - - - - - - - - - - - - - - - - - - - - - - - - - - - </w:t>
      </w:r>
    </w:p>
    <w:p w14:paraId="510C90B5" w14:textId="3AB66F3A" w:rsidR="00635B8D" w:rsidRPr="00183EE9" w:rsidRDefault="00635B8D" w:rsidP="007773A6">
      <w:pPr>
        <w:spacing w:after="12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6A185FB2" w14:textId="2F7D1FDB" w:rsidR="00635B8D" w:rsidRDefault="00635B8D" w:rsidP="008A1C0A">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w:t>
      </w:r>
      <w:r w:rsidR="00064247">
        <w:rPr>
          <w:rFonts w:ascii="Arial" w:hAnsi="Arial" w:cs="Arial"/>
          <w:bCs/>
          <w:iCs/>
          <w:sz w:val="26"/>
          <w:szCs w:val="26"/>
        </w:rPr>
        <w:t xml:space="preserve"> de fecha  siete de noviembre de dos mil diecinueve</w:t>
      </w:r>
      <w:r>
        <w:rPr>
          <w:rFonts w:ascii="Arial" w:hAnsi="Arial" w:cs="Arial"/>
          <w:bCs/>
          <w:iCs/>
          <w:sz w:val="26"/>
          <w:szCs w:val="26"/>
        </w:rPr>
        <w:t>;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w:t>
      </w:r>
      <w:r w:rsidR="00E47B51" w:rsidRPr="00A62264">
        <w:rPr>
          <w:rFonts w:ascii="Arial" w:hAnsi="Arial" w:cs="Arial"/>
          <w:bCs/>
          <w:iCs/>
          <w:sz w:val="26"/>
          <w:szCs w:val="26"/>
          <w:lang w:eastAsia="es-ES"/>
        </w:rPr>
        <w:t>r</w:t>
      </w:r>
      <w:r w:rsidRPr="00A62264">
        <w:rPr>
          <w:rFonts w:ascii="Arial" w:hAnsi="Arial" w:cs="Arial"/>
          <w:bCs/>
          <w:iCs/>
          <w:sz w:val="26"/>
          <w:szCs w:val="26"/>
          <w:lang w:eastAsia="es-ES"/>
        </w:rPr>
        <w:t xml:space="preserve">ecurso de </w:t>
      </w:r>
      <w:r w:rsidR="00E47B51" w:rsidRPr="00A62264">
        <w:rPr>
          <w:rFonts w:ascii="Arial" w:hAnsi="Arial" w:cs="Arial"/>
          <w:bCs/>
          <w:iCs/>
          <w:sz w:val="26"/>
          <w:szCs w:val="26"/>
          <w:lang w:eastAsia="es-ES"/>
        </w:rPr>
        <w:t>r</w:t>
      </w:r>
      <w:r w:rsidRPr="00A62264">
        <w:rPr>
          <w:rFonts w:ascii="Arial" w:hAnsi="Arial" w:cs="Arial"/>
          <w:bCs/>
          <w:iCs/>
          <w:sz w:val="26"/>
          <w:szCs w:val="26"/>
          <w:lang w:eastAsia="es-ES"/>
        </w:rPr>
        <w:t>evisión</w:t>
      </w:r>
      <w:r>
        <w:rPr>
          <w:rFonts w:ascii="Arial" w:hAnsi="Arial" w:cs="Arial"/>
          <w:bCs/>
          <w:iCs/>
          <w:sz w:val="26"/>
          <w:szCs w:val="26"/>
          <w:lang w:eastAsia="es-ES"/>
        </w:rPr>
        <w:t xml:space="preserve"> interpuesto en contra de la sentencia de </w:t>
      </w:r>
      <w:r w:rsidR="00BD2262">
        <w:rPr>
          <w:rFonts w:ascii="Arial" w:eastAsia="Calibri" w:hAnsi="Arial" w:cs="Arial"/>
          <w:sz w:val="26"/>
          <w:szCs w:val="26"/>
        </w:rPr>
        <w:t xml:space="preserve">veintiséis de febrero de </w:t>
      </w:r>
      <w:r w:rsidR="009B117A">
        <w:rPr>
          <w:rFonts w:ascii="Arial" w:eastAsia="Calibri" w:hAnsi="Arial" w:cs="Arial"/>
          <w:sz w:val="26"/>
          <w:szCs w:val="26"/>
        </w:rPr>
        <w:t>dos mil veintiuno</w:t>
      </w:r>
      <w:r>
        <w:rPr>
          <w:rFonts w:ascii="Arial" w:eastAsia="Calibri" w:hAnsi="Arial" w:cs="Arial"/>
          <w:sz w:val="26"/>
          <w:szCs w:val="26"/>
        </w:rPr>
        <w:t xml:space="preserve">, </w:t>
      </w:r>
      <w:r>
        <w:rPr>
          <w:rFonts w:ascii="Arial" w:eastAsia="Calibri" w:hAnsi="Arial" w:cs="Arial"/>
          <w:sz w:val="26"/>
          <w:szCs w:val="26"/>
        </w:rPr>
        <w:lastRenderedPageBreak/>
        <w:t xml:space="preserve">dictada </w:t>
      </w:r>
      <w:r w:rsidR="009B117A">
        <w:rPr>
          <w:rFonts w:ascii="Arial" w:eastAsia="Calibri" w:hAnsi="Arial" w:cs="Arial"/>
          <w:sz w:val="26"/>
          <w:szCs w:val="26"/>
        </w:rPr>
        <w:t>por la Tercera</w:t>
      </w:r>
      <w:r>
        <w:rPr>
          <w:rFonts w:ascii="Arial" w:eastAsia="Calibri" w:hAnsi="Arial" w:cs="Arial"/>
          <w:sz w:val="26"/>
          <w:szCs w:val="26"/>
        </w:rPr>
        <w:t xml:space="preserve"> Sala Unitaria de Primera Instancia de este Tribunal,</w:t>
      </w:r>
      <w:r>
        <w:rPr>
          <w:rFonts w:ascii="Arial" w:hAnsi="Arial" w:cs="Arial"/>
          <w:bCs/>
          <w:iCs/>
          <w:sz w:val="26"/>
          <w:szCs w:val="26"/>
          <w:lang w:eastAsia="es-ES"/>
        </w:rPr>
        <w:t xml:space="preserve"> en el juicio de nulidad </w:t>
      </w:r>
      <w:r>
        <w:rPr>
          <w:rFonts w:ascii="Arial" w:hAnsi="Arial" w:cs="Arial"/>
          <w:b/>
          <w:bCs/>
          <w:iCs/>
          <w:sz w:val="26"/>
          <w:szCs w:val="26"/>
          <w:lang w:eastAsia="es-ES"/>
        </w:rPr>
        <w:t>0</w:t>
      </w:r>
      <w:r w:rsidR="00646982">
        <w:rPr>
          <w:rFonts w:ascii="Arial" w:hAnsi="Arial" w:cs="Arial"/>
          <w:b/>
          <w:bCs/>
          <w:iCs/>
          <w:sz w:val="26"/>
          <w:szCs w:val="26"/>
          <w:lang w:eastAsia="es-ES"/>
        </w:rPr>
        <w:t>1</w:t>
      </w:r>
      <w:r w:rsidR="009B117A">
        <w:rPr>
          <w:rFonts w:ascii="Arial" w:hAnsi="Arial" w:cs="Arial"/>
          <w:b/>
          <w:bCs/>
          <w:iCs/>
          <w:sz w:val="26"/>
          <w:szCs w:val="26"/>
          <w:lang w:eastAsia="es-ES"/>
        </w:rPr>
        <w:t>71</w:t>
      </w:r>
      <w:r>
        <w:rPr>
          <w:rFonts w:ascii="Arial" w:hAnsi="Arial" w:cs="Arial"/>
          <w:b/>
          <w:bCs/>
          <w:iCs/>
          <w:sz w:val="26"/>
          <w:szCs w:val="26"/>
          <w:lang w:eastAsia="es-ES"/>
        </w:rPr>
        <w:t>/20</w:t>
      </w:r>
      <w:r w:rsidR="009B117A">
        <w:rPr>
          <w:rFonts w:ascii="Arial" w:hAnsi="Arial" w:cs="Arial"/>
          <w:b/>
          <w:bCs/>
          <w:iCs/>
          <w:sz w:val="26"/>
          <w:szCs w:val="26"/>
          <w:lang w:eastAsia="es-ES"/>
        </w:rPr>
        <w:t>20</w:t>
      </w:r>
      <w:r>
        <w:rPr>
          <w:rFonts w:ascii="Arial" w:hAnsi="Arial" w:cs="Arial"/>
          <w:bCs/>
          <w:iCs/>
          <w:sz w:val="26"/>
          <w:szCs w:val="26"/>
          <w:lang w:eastAsia="es-ES"/>
        </w:rPr>
        <w:t xml:space="preserve">.- - </w:t>
      </w:r>
      <w:r w:rsidR="00064247">
        <w:rPr>
          <w:rFonts w:ascii="Arial" w:hAnsi="Arial" w:cs="Arial"/>
          <w:bCs/>
          <w:iCs/>
          <w:sz w:val="26"/>
          <w:szCs w:val="26"/>
          <w:lang w:eastAsia="es-ES"/>
        </w:rPr>
        <w:t>- -</w:t>
      </w:r>
      <w:r w:rsidR="00A62264">
        <w:rPr>
          <w:rFonts w:ascii="Arial" w:hAnsi="Arial" w:cs="Arial"/>
          <w:bCs/>
          <w:iCs/>
          <w:sz w:val="26"/>
          <w:szCs w:val="26"/>
          <w:lang w:eastAsia="es-ES"/>
        </w:rPr>
        <w:t xml:space="preserve"> </w:t>
      </w:r>
      <w:r w:rsidR="00064247">
        <w:rPr>
          <w:rFonts w:ascii="Arial" w:hAnsi="Arial" w:cs="Arial"/>
          <w:bCs/>
          <w:iCs/>
          <w:sz w:val="26"/>
          <w:szCs w:val="26"/>
          <w:lang w:eastAsia="es-ES"/>
        </w:rPr>
        <w:t>- - - -</w:t>
      </w:r>
      <w:r w:rsidR="009B117A">
        <w:rPr>
          <w:rFonts w:ascii="Arial" w:hAnsi="Arial" w:cs="Arial"/>
          <w:bCs/>
          <w:iCs/>
          <w:sz w:val="26"/>
          <w:szCs w:val="26"/>
          <w:lang w:eastAsia="es-ES"/>
        </w:rPr>
        <w:t xml:space="preserve"> - - - - - - - - - - - - - </w:t>
      </w:r>
      <w:r w:rsidR="00064247">
        <w:rPr>
          <w:rFonts w:ascii="Arial" w:hAnsi="Arial" w:cs="Arial"/>
          <w:bCs/>
          <w:iCs/>
          <w:sz w:val="26"/>
          <w:szCs w:val="26"/>
          <w:lang w:eastAsia="es-ES"/>
        </w:rPr>
        <w:t xml:space="preserve"> </w:t>
      </w:r>
    </w:p>
    <w:p w14:paraId="441C17BD" w14:textId="73814607" w:rsidR="00635B8D" w:rsidRDefault="00635B8D" w:rsidP="00635B8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B43574">
        <w:rPr>
          <w:rFonts w:ascii="Arial" w:hAnsi="Arial" w:cs="Arial"/>
          <w:bCs/>
          <w:sz w:val="26"/>
          <w:szCs w:val="26"/>
        </w:rPr>
        <w:t>El a</w:t>
      </w:r>
      <w:r>
        <w:rPr>
          <w:rFonts w:ascii="Arial" w:hAnsi="Arial" w:cs="Arial"/>
          <w:bCs/>
          <w:sz w:val="26"/>
          <w:szCs w:val="26"/>
        </w:rPr>
        <w:t xml:space="preserve">gravio hecho valer se </w:t>
      </w:r>
      <w:r w:rsidRPr="00B43574">
        <w:rPr>
          <w:rFonts w:ascii="Arial" w:hAnsi="Arial" w:cs="Arial"/>
          <w:bCs/>
          <w:sz w:val="26"/>
          <w:szCs w:val="26"/>
        </w:rPr>
        <w:t xml:space="preserve">encuentra </w:t>
      </w:r>
      <w:r w:rsidR="008814C1" w:rsidRPr="00B43574">
        <w:rPr>
          <w:rFonts w:ascii="Arial" w:hAnsi="Arial" w:cs="Arial"/>
          <w:bCs/>
          <w:sz w:val="26"/>
          <w:szCs w:val="26"/>
        </w:rPr>
        <w:t>señalado</w:t>
      </w:r>
      <w:r w:rsidR="008814C1">
        <w:rPr>
          <w:rFonts w:ascii="Arial" w:hAnsi="Arial" w:cs="Arial"/>
          <w:bCs/>
          <w:sz w:val="26"/>
          <w:szCs w:val="26"/>
        </w:rPr>
        <w:t xml:space="preserve"> </w:t>
      </w:r>
      <w:r>
        <w:rPr>
          <w:rFonts w:ascii="Arial" w:hAnsi="Arial" w:cs="Arial"/>
          <w:bCs/>
          <w:sz w:val="26"/>
          <w:szCs w:val="26"/>
        </w:rPr>
        <w:t>en el escrito de la autoridad</w:t>
      </w:r>
      <w:r w:rsidR="00B43574">
        <w:rPr>
          <w:rFonts w:ascii="Arial" w:hAnsi="Arial" w:cs="Arial"/>
          <w:bCs/>
          <w:sz w:val="26"/>
          <w:szCs w:val="26"/>
        </w:rPr>
        <w:t xml:space="preserve"> recurrente,</w:t>
      </w:r>
      <w:r>
        <w:rPr>
          <w:rFonts w:ascii="Arial" w:hAnsi="Arial" w:cs="Arial"/>
          <w:bCs/>
          <w:sz w:val="26"/>
          <w:szCs w:val="26"/>
        </w:rPr>
        <w:t xml:space="preserve"> por lo que no existe necesidad de transcribirlo, virtud a que ello no implica transgresión a derecho alguno del recurrente,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w:t>
      </w:r>
      <w:r w:rsidR="00082CE7">
        <w:rPr>
          <w:rFonts w:ascii="Arial" w:hAnsi="Arial" w:cs="Arial"/>
          <w:bCs/>
          <w:color w:val="000000"/>
          <w:sz w:val="26"/>
          <w:szCs w:val="26"/>
        </w:rPr>
        <w:t>o</w:t>
      </w:r>
      <w:r>
        <w:rPr>
          <w:rFonts w:ascii="Arial" w:hAnsi="Arial" w:cs="Arial"/>
          <w:bCs/>
          <w:color w:val="000000"/>
          <w:sz w:val="26"/>
          <w:szCs w:val="26"/>
        </w:rPr>
        <w:t xml:space="preserve"> por la Segunda Sala de la Suprema Corte de Justicia de la Nación, con número de registro 164618, publicad</w:t>
      </w:r>
      <w:r w:rsidR="00FE0544">
        <w:rPr>
          <w:rFonts w:ascii="Arial" w:hAnsi="Arial" w:cs="Arial"/>
          <w:bCs/>
          <w:color w:val="000000"/>
          <w:sz w:val="26"/>
          <w:szCs w:val="26"/>
        </w:rPr>
        <w:t>o</w:t>
      </w:r>
      <w:r>
        <w:rPr>
          <w:rFonts w:ascii="Arial" w:hAnsi="Arial" w:cs="Arial"/>
          <w:bCs/>
          <w:color w:val="000000"/>
          <w:sz w:val="26"/>
          <w:szCs w:val="26"/>
        </w:rPr>
        <w:t xml:space="preserve"> en la Gaceta del Semanario Judicial de la Federación, Tomo XXXI, Mayo de 2010, visible a página 830, Novena Época, bajo el rubro y texto siguiente:- - -  - - - - - - - - - - - - - - - - - - - - - </w:t>
      </w:r>
      <w:r w:rsidR="00805250">
        <w:rPr>
          <w:rFonts w:ascii="Arial" w:hAnsi="Arial" w:cs="Arial"/>
          <w:bCs/>
          <w:color w:val="000000"/>
          <w:sz w:val="26"/>
          <w:szCs w:val="26"/>
        </w:rPr>
        <w:t xml:space="preserve">- - - - - - - - - - - - - - - - </w:t>
      </w:r>
    </w:p>
    <w:p w14:paraId="04C792F8" w14:textId="7E8ED146" w:rsidR="00635B8D" w:rsidRDefault="00635B8D" w:rsidP="008A1C0A">
      <w:pPr>
        <w:spacing w:after="240" w:line="36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 </w:t>
      </w:r>
      <w:r w:rsidR="00805250">
        <w:rPr>
          <w:rFonts w:ascii="Arial" w:eastAsia="Calibri" w:hAnsi="Arial" w:cs="Arial"/>
          <w:bCs/>
          <w:i/>
        </w:rPr>
        <w:t>- - - - - - - - - - - - - - - - - - - - - - - - - -</w:t>
      </w:r>
    </w:p>
    <w:p w14:paraId="2587E869" w14:textId="6A913830" w:rsidR="00D72EB0" w:rsidRDefault="007F6B75" w:rsidP="00D72EB0">
      <w:pPr>
        <w:shd w:val="clear" w:color="auto" w:fill="FFFFFF" w:themeFill="background1"/>
        <w:spacing w:after="120" w:line="360" w:lineRule="auto"/>
        <w:ind w:right="51" w:firstLine="709"/>
        <w:jc w:val="both"/>
        <w:rPr>
          <w:rFonts w:ascii="Arial" w:eastAsia="Calibri" w:hAnsi="Arial" w:cs="Arial"/>
          <w:sz w:val="26"/>
          <w:szCs w:val="26"/>
        </w:rPr>
      </w:pPr>
      <w:r w:rsidRPr="007F6B75">
        <w:rPr>
          <w:rFonts w:ascii="Arial" w:eastAsia="Calibri" w:hAnsi="Arial" w:cs="Arial"/>
          <w:b/>
          <w:bCs/>
          <w:sz w:val="26"/>
          <w:szCs w:val="26"/>
        </w:rPr>
        <w:t>TERCERO.</w:t>
      </w:r>
      <w:r>
        <w:rPr>
          <w:rFonts w:ascii="Arial" w:eastAsia="Calibri" w:hAnsi="Arial" w:cs="Arial"/>
          <w:sz w:val="26"/>
          <w:szCs w:val="26"/>
        </w:rPr>
        <w:t xml:space="preserve"> </w:t>
      </w:r>
      <w:r w:rsidR="008A7DBD" w:rsidRPr="00CD7C4E">
        <w:rPr>
          <w:rFonts w:ascii="Arial" w:eastAsia="Calibri" w:hAnsi="Arial" w:cs="Arial"/>
          <w:sz w:val="26"/>
          <w:szCs w:val="26"/>
        </w:rPr>
        <w:t xml:space="preserve">Previo al estudio del agravio expuesto, se precisa que el nombre correcto del </w:t>
      </w:r>
      <w:r w:rsidR="008A7DBD" w:rsidRPr="00CD7C4E">
        <w:rPr>
          <w:rFonts w:ascii="Arial" w:eastAsia="Calibri" w:hAnsi="Arial" w:cs="Arial"/>
          <w:b/>
          <w:sz w:val="26"/>
          <w:szCs w:val="26"/>
        </w:rPr>
        <w:t>POLICÍA VIAL CON NÚMERO ESTADÍSTICO PV-118,</w:t>
      </w:r>
      <w:r w:rsidR="00CD6BA8">
        <w:rPr>
          <w:rFonts w:ascii="Arial" w:eastAsia="Calibri" w:hAnsi="Arial" w:cs="Arial"/>
          <w:b/>
          <w:sz w:val="26"/>
          <w:szCs w:val="26"/>
        </w:rPr>
        <w:t xml:space="preserve"> </w:t>
      </w:r>
      <w:r w:rsidR="008A7DBD" w:rsidRPr="00CD7C4E">
        <w:rPr>
          <w:rFonts w:ascii="Arial" w:eastAsia="Calibri" w:hAnsi="Arial" w:cs="Arial"/>
          <w:b/>
          <w:sz w:val="26"/>
          <w:szCs w:val="26"/>
        </w:rPr>
        <w:t xml:space="preserve">ADSCRITO A LA SUBDIRECCIÓN DE TRÁNSITO Y MOVILIDAD DEL MUNICIPIO DE OAXACA DE JUÁREZ, OAXACA, </w:t>
      </w:r>
      <w:r w:rsidR="008A7DBD" w:rsidRPr="00CD7C4E">
        <w:rPr>
          <w:rFonts w:ascii="Arial" w:eastAsia="Calibri" w:hAnsi="Arial" w:cs="Arial"/>
          <w:sz w:val="26"/>
          <w:szCs w:val="26"/>
        </w:rPr>
        <w:t xml:space="preserve">es </w:t>
      </w:r>
      <w:r w:rsidR="008A7DBD" w:rsidRPr="00CD7C4E">
        <w:rPr>
          <w:rFonts w:ascii="Arial" w:eastAsia="Calibri" w:hAnsi="Arial" w:cs="Arial"/>
          <w:b/>
          <w:sz w:val="26"/>
          <w:szCs w:val="26"/>
        </w:rPr>
        <w:t>JUAN SEBASTIÁN FLORENTINO GALLEGOS</w:t>
      </w:r>
      <w:r w:rsidR="001958D4" w:rsidRPr="00CD7C4E">
        <w:rPr>
          <w:rFonts w:ascii="Arial" w:eastAsia="Calibri" w:hAnsi="Arial" w:cs="Arial"/>
          <w:b/>
          <w:sz w:val="26"/>
          <w:szCs w:val="26"/>
        </w:rPr>
        <w:t>,</w:t>
      </w:r>
      <w:r w:rsidR="008A7DBD" w:rsidRPr="00CD7C4E">
        <w:rPr>
          <w:rFonts w:ascii="Arial" w:eastAsia="Calibri" w:hAnsi="Arial" w:cs="Arial"/>
          <w:b/>
          <w:sz w:val="26"/>
          <w:szCs w:val="26"/>
        </w:rPr>
        <w:t xml:space="preserve"> </w:t>
      </w:r>
      <w:r w:rsidR="00695E17" w:rsidRPr="00CD7C4E">
        <w:rPr>
          <w:rFonts w:ascii="Arial" w:eastAsia="Calibri" w:hAnsi="Arial" w:cs="Arial"/>
          <w:sz w:val="26"/>
          <w:szCs w:val="26"/>
        </w:rPr>
        <w:t xml:space="preserve">tal </w:t>
      </w:r>
      <w:r w:rsidR="008A7DBD" w:rsidRPr="00CD7C4E">
        <w:rPr>
          <w:rFonts w:ascii="Arial" w:eastAsia="Calibri" w:hAnsi="Arial" w:cs="Arial"/>
          <w:sz w:val="26"/>
          <w:szCs w:val="26"/>
        </w:rPr>
        <w:t>como se advierte de los autos del expediente</w:t>
      </w:r>
      <w:r w:rsidR="000B5B01" w:rsidRPr="00CD7C4E">
        <w:rPr>
          <w:rFonts w:ascii="Arial" w:eastAsia="Calibri" w:hAnsi="Arial" w:cs="Arial"/>
          <w:sz w:val="26"/>
          <w:szCs w:val="26"/>
        </w:rPr>
        <w:t xml:space="preserve"> principal</w:t>
      </w:r>
      <w:r w:rsidR="008A7DBD" w:rsidRPr="00CD7C4E">
        <w:rPr>
          <w:rFonts w:ascii="Arial" w:eastAsia="Calibri" w:hAnsi="Arial" w:cs="Arial"/>
          <w:sz w:val="26"/>
          <w:szCs w:val="26"/>
        </w:rPr>
        <w:t xml:space="preserve"> </w:t>
      </w:r>
      <w:r w:rsidR="001958D4" w:rsidRPr="00CD7C4E">
        <w:rPr>
          <w:rFonts w:ascii="Arial" w:hAnsi="Arial" w:cs="Arial"/>
          <w:bCs/>
          <w:iCs/>
          <w:sz w:val="26"/>
          <w:szCs w:val="26"/>
          <w:lang w:eastAsia="es-ES"/>
        </w:rPr>
        <w:t>0171/2020</w:t>
      </w:r>
      <w:r w:rsidR="001958D4" w:rsidRPr="00CD7C4E">
        <w:rPr>
          <w:rFonts w:ascii="Arial" w:eastAsia="Calibri" w:hAnsi="Arial" w:cs="Arial"/>
          <w:sz w:val="26"/>
          <w:szCs w:val="26"/>
        </w:rPr>
        <w:t xml:space="preserve">, y de la copia certificada del </w:t>
      </w:r>
      <w:r w:rsidR="001958D4" w:rsidRPr="00CD7C4E">
        <w:rPr>
          <w:rFonts w:ascii="Arial" w:hAnsi="Arial" w:cs="Arial"/>
          <w:bCs/>
          <w:color w:val="000000"/>
          <w:sz w:val="26"/>
          <w:szCs w:val="26"/>
        </w:rPr>
        <w:t>documento relativo al nombramiento que le fue conferido</w:t>
      </w:r>
      <w:r w:rsidR="000B5B01" w:rsidRPr="00CD7C4E">
        <w:rPr>
          <w:rFonts w:ascii="Arial" w:hAnsi="Arial" w:cs="Arial"/>
          <w:bCs/>
          <w:color w:val="000000"/>
          <w:sz w:val="26"/>
          <w:szCs w:val="26"/>
        </w:rPr>
        <w:t xml:space="preserve">, </w:t>
      </w:r>
      <w:r w:rsidR="00966E32" w:rsidRPr="00CD7C4E">
        <w:rPr>
          <w:rFonts w:ascii="Arial" w:hAnsi="Arial" w:cs="Arial"/>
          <w:bCs/>
          <w:color w:val="000000"/>
          <w:sz w:val="26"/>
          <w:szCs w:val="26"/>
        </w:rPr>
        <w:lastRenderedPageBreak/>
        <w:t xml:space="preserve">la cual </w:t>
      </w:r>
      <w:r w:rsidR="005952AE" w:rsidRPr="00CD7C4E">
        <w:rPr>
          <w:rFonts w:ascii="Arial" w:hAnsi="Arial" w:cs="Arial"/>
          <w:bCs/>
          <w:color w:val="000000"/>
          <w:sz w:val="26"/>
          <w:szCs w:val="26"/>
        </w:rPr>
        <w:t>consta</w:t>
      </w:r>
      <w:r w:rsidR="00966E32" w:rsidRPr="00CD7C4E">
        <w:rPr>
          <w:rFonts w:ascii="Arial" w:hAnsi="Arial" w:cs="Arial"/>
          <w:bCs/>
          <w:color w:val="000000"/>
          <w:sz w:val="26"/>
          <w:szCs w:val="26"/>
        </w:rPr>
        <w:t xml:space="preserve"> agregada</w:t>
      </w:r>
      <w:r w:rsidR="0056296C" w:rsidRPr="00CD7C4E">
        <w:rPr>
          <w:rFonts w:ascii="Arial" w:hAnsi="Arial" w:cs="Arial"/>
          <w:bCs/>
          <w:color w:val="000000"/>
          <w:sz w:val="26"/>
          <w:szCs w:val="26"/>
        </w:rPr>
        <w:t xml:space="preserve"> en la foja </w:t>
      </w:r>
      <w:r w:rsidR="00966E32" w:rsidRPr="00CD7C4E">
        <w:rPr>
          <w:rFonts w:ascii="Arial" w:hAnsi="Arial" w:cs="Arial"/>
          <w:bCs/>
          <w:color w:val="000000"/>
          <w:sz w:val="26"/>
          <w:szCs w:val="26"/>
        </w:rPr>
        <w:t xml:space="preserve">4 </w:t>
      </w:r>
      <w:r w:rsidR="0056296C" w:rsidRPr="00CD7C4E">
        <w:rPr>
          <w:rFonts w:ascii="Arial" w:hAnsi="Arial" w:cs="Arial"/>
          <w:bCs/>
          <w:color w:val="000000"/>
          <w:sz w:val="26"/>
          <w:szCs w:val="26"/>
        </w:rPr>
        <w:t>del presente cuaderno de</w:t>
      </w:r>
      <w:r w:rsidR="00D72EB0" w:rsidRPr="00CD7C4E">
        <w:rPr>
          <w:rFonts w:ascii="Arial" w:hAnsi="Arial" w:cs="Arial"/>
          <w:bCs/>
          <w:color w:val="000000"/>
          <w:sz w:val="26"/>
          <w:szCs w:val="26"/>
        </w:rPr>
        <w:t xml:space="preserve"> recurso de</w:t>
      </w:r>
      <w:r w:rsidR="0056296C" w:rsidRPr="00CD7C4E">
        <w:rPr>
          <w:rFonts w:ascii="Arial" w:hAnsi="Arial" w:cs="Arial"/>
          <w:bCs/>
          <w:color w:val="000000"/>
          <w:sz w:val="26"/>
          <w:szCs w:val="26"/>
        </w:rPr>
        <w:t xml:space="preserve"> revisión</w:t>
      </w:r>
      <w:r w:rsidR="000B5B01" w:rsidRPr="00CD7C4E">
        <w:rPr>
          <w:rFonts w:ascii="Arial" w:hAnsi="Arial" w:cs="Arial"/>
          <w:bCs/>
          <w:color w:val="000000"/>
          <w:sz w:val="26"/>
          <w:szCs w:val="26"/>
        </w:rPr>
        <w:t xml:space="preserve"> 0081/2021</w:t>
      </w:r>
      <w:r w:rsidR="0056296C" w:rsidRPr="00CD7C4E">
        <w:rPr>
          <w:rFonts w:ascii="Arial" w:hAnsi="Arial" w:cs="Arial"/>
          <w:bCs/>
          <w:color w:val="000000"/>
          <w:sz w:val="26"/>
          <w:szCs w:val="26"/>
        </w:rPr>
        <w:t>, y no</w:t>
      </w:r>
      <w:r w:rsidR="001958D4" w:rsidRPr="00CD7C4E">
        <w:rPr>
          <w:rFonts w:ascii="Arial" w:eastAsia="Calibri" w:hAnsi="Arial" w:cs="Arial"/>
          <w:sz w:val="26"/>
          <w:szCs w:val="26"/>
        </w:rPr>
        <w:t xml:space="preserve"> </w:t>
      </w:r>
      <w:r w:rsidR="001958D4" w:rsidRPr="00CD7C4E">
        <w:rPr>
          <w:rFonts w:ascii="Arial" w:eastAsia="Calibri" w:hAnsi="Arial" w:cs="Arial"/>
          <w:b/>
          <w:sz w:val="26"/>
          <w:szCs w:val="26"/>
        </w:rPr>
        <w:t>JUAN SEBASTIÁN FLORENCIO GALLEGOS</w:t>
      </w:r>
      <w:r w:rsidR="001958D4" w:rsidRPr="00CD7C4E">
        <w:rPr>
          <w:rFonts w:ascii="Arial" w:eastAsia="Calibri" w:hAnsi="Arial" w:cs="Arial"/>
          <w:sz w:val="26"/>
          <w:szCs w:val="26"/>
        </w:rPr>
        <w:t xml:space="preserve">, </w:t>
      </w:r>
      <w:r w:rsidR="00D72EB0" w:rsidRPr="00CD7C4E">
        <w:rPr>
          <w:rFonts w:ascii="Arial" w:eastAsia="Calibri" w:hAnsi="Arial" w:cs="Arial"/>
          <w:sz w:val="26"/>
          <w:szCs w:val="26"/>
        </w:rPr>
        <w:t>como lo señaló</w:t>
      </w:r>
      <w:r w:rsidR="001958D4" w:rsidRPr="00CD7C4E">
        <w:rPr>
          <w:rFonts w:ascii="Arial" w:eastAsia="Calibri" w:hAnsi="Arial" w:cs="Arial"/>
          <w:sz w:val="26"/>
          <w:szCs w:val="26"/>
        </w:rPr>
        <w:t xml:space="preserve"> </w:t>
      </w:r>
      <w:r w:rsidR="00D72EB0" w:rsidRPr="00CD7C4E">
        <w:rPr>
          <w:rFonts w:ascii="Arial" w:eastAsia="Calibri" w:hAnsi="Arial" w:cs="Arial"/>
          <w:sz w:val="26"/>
          <w:szCs w:val="26"/>
        </w:rPr>
        <w:t xml:space="preserve">el recurrente en su </w:t>
      </w:r>
      <w:r w:rsidR="00D72EB0" w:rsidRPr="00CD7C4E">
        <w:rPr>
          <w:rFonts w:ascii="Arial" w:hAnsi="Arial" w:cs="Arial"/>
          <w:bCs/>
          <w:color w:val="000000"/>
          <w:sz w:val="26"/>
          <w:szCs w:val="26"/>
        </w:rPr>
        <w:t>escrito de inconformidades</w:t>
      </w:r>
      <w:r w:rsidR="0056296C" w:rsidRPr="00CD7C4E">
        <w:rPr>
          <w:rFonts w:ascii="Arial" w:eastAsia="Calibri" w:hAnsi="Arial" w:cs="Arial"/>
          <w:sz w:val="26"/>
          <w:szCs w:val="26"/>
        </w:rPr>
        <w:t>.-</w:t>
      </w:r>
      <w:r w:rsidR="000B5B01" w:rsidRPr="00CD7C4E">
        <w:rPr>
          <w:rFonts w:ascii="Arial" w:eastAsia="Calibri" w:hAnsi="Arial" w:cs="Arial"/>
          <w:sz w:val="26"/>
          <w:szCs w:val="26"/>
        </w:rPr>
        <w:t xml:space="preserve"> - - - - - - - - - - - - - - - - - - - - </w:t>
      </w:r>
      <w:r w:rsidR="005952AE" w:rsidRPr="00CD7C4E">
        <w:rPr>
          <w:rFonts w:ascii="Arial" w:eastAsia="Calibri" w:hAnsi="Arial" w:cs="Arial"/>
          <w:sz w:val="26"/>
          <w:szCs w:val="26"/>
        </w:rPr>
        <w:t>- - - - - -</w:t>
      </w:r>
      <w:r w:rsidR="00805250">
        <w:rPr>
          <w:rFonts w:ascii="Arial" w:eastAsia="Calibri" w:hAnsi="Arial" w:cs="Arial"/>
          <w:sz w:val="26"/>
          <w:szCs w:val="26"/>
        </w:rPr>
        <w:t xml:space="preserve"> - - - - - - - - - - - - </w:t>
      </w:r>
      <w:r w:rsidR="005952AE">
        <w:rPr>
          <w:rFonts w:ascii="Arial" w:eastAsia="Calibri" w:hAnsi="Arial" w:cs="Arial"/>
          <w:sz w:val="26"/>
          <w:szCs w:val="26"/>
        </w:rPr>
        <w:t xml:space="preserve"> </w:t>
      </w:r>
    </w:p>
    <w:p w14:paraId="4CEA9E39" w14:textId="436C751D" w:rsidR="00E53692" w:rsidRDefault="00D72EB0" w:rsidP="00E53692">
      <w:pPr>
        <w:shd w:val="clear" w:color="auto" w:fill="FFFFFF" w:themeFill="background1"/>
        <w:spacing w:after="120" w:line="360" w:lineRule="auto"/>
        <w:ind w:right="51" w:firstLine="709"/>
        <w:jc w:val="both"/>
        <w:rPr>
          <w:rFonts w:ascii="Arial" w:eastAsia="Calibri" w:hAnsi="Arial" w:cs="Arial"/>
          <w:b/>
          <w:sz w:val="26"/>
          <w:szCs w:val="26"/>
        </w:rPr>
      </w:pPr>
      <w:r>
        <w:rPr>
          <w:rFonts w:ascii="Arial" w:eastAsia="Calibri" w:hAnsi="Arial" w:cs="Arial"/>
          <w:sz w:val="26"/>
          <w:szCs w:val="26"/>
        </w:rPr>
        <w:t>Manifiesta</w:t>
      </w:r>
      <w:r w:rsidR="00E53692">
        <w:rPr>
          <w:rFonts w:ascii="Arial" w:eastAsia="Calibri" w:hAnsi="Arial" w:cs="Arial"/>
          <w:sz w:val="26"/>
          <w:szCs w:val="26"/>
        </w:rPr>
        <w:t xml:space="preserve"> </w:t>
      </w:r>
      <w:r w:rsidR="00E53692" w:rsidRPr="00E53692">
        <w:rPr>
          <w:rFonts w:ascii="Arial" w:eastAsia="Calibri" w:hAnsi="Arial" w:cs="Arial"/>
          <w:b/>
          <w:sz w:val="26"/>
          <w:szCs w:val="26"/>
        </w:rPr>
        <w:t xml:space="preserve">JUAN SEBASTIÁN </w:t>
      </w:r>
      <w:r w:rsidR="00CE47B2">
        <w:rPr>
          <w:rFonts w:ascii="Arial" w:eastAsia="Calibri" w:hAnsi="Arial" w:cs="Arial"/>
          <w:b/>
          <w:sz w:val="26"/>
          <w:szCs w:val="26"/>
        </w:rPr>
        <w:t>FLORENTINO</w:t>
      </w:r>
      <w:r w:rsidR="00E53692" w:rsidRPr="00E53692">
        <w:rPr>
          <w:rFonts w:ascii="Arial" w:eastAsia="Calibri" w:hAnsi="Arial" w:cs="Arial"/>
          <w:b/>
          <w:sz w:val="26"/>
          <w:szCs w:val="26"/>
        </w:rPr>
        <w:t xml:space="preserve"> GALLEGOS, POLICÍA VIAL CON NÚMERO ESTADÍSTICO PV-118, ADSCRITO A LA SUBDIRECCIÓN DE TRÁNSITO Y MOVILIDAD DEL MUNICIPIO DE OAXACA DE JUÁREZ, OAXACA</w:t>
      </w:r>
      <w:r w:rsidR="00E53692">
        <w:rPr>
          <w:rFonts w:ascii="Arial" w:hAnsi="Arial" w:cs="Arial"/>
          <w:b/>
          <w:bCs/>
          <w:color w:val="000000"/>
          <w:sz w:val="26"/>
          <w:szCs w:val="26"/>
        </w:rPr>
        <w:t xml:space="preserve">, </w:t>
      </w:r>
      <w:r w:rsidR="00E53692" w:rsidRPr="00D4524C">
        <w:rPr>
          <w:rFonts w:ascii="Arial" w:eastAsia="Calibri" w:hAnsi="Arial" w:cs="Arial"/>
          <w:bCs/>
          <w:sz w:val="26"/>
          <w:szCs w:val="26"/>
        </w:rPr>
        <w:t>al inicio de</w:t>
      </w:r>
      <w:r w:rsidR="00E53692">
        <w:rPr>
          <w:rFonts w:ascii="Arial" w:hAnsi="Arial" w:cs="Arial"/>
          <w:bCs/>
          <w:sz w:val="26"/>
          <w:szCs w:val="26"/>
        </w:rPr>
        <w:t xml:space="preserve"> su escrito de recurso de revisión,</w:t>
      </w:r>
      <w:r w:rsidR="00E53692">
        <w:rPr>
          <w:rFonts w:ascii="Arial" w:eastAsia="Calibri" w:hAnsi="Arial" w:cs="Arial"/>
          <w:b/>
          <w:sz w:val="26"/>
          <w:szCs w:val="26"/>
        </w:rPr>
        <w:t xml:space="preserve"> </w:t>
      </w:r>
      <w:r w:rsidR="00E53692">
        <w:rPr>
          <w:rFonts w:ascii="Arial" w:hAnsi="Arial" w:cs="Arial"/>
          <w:bCs/>
          <w:sz w:val="26"/>
          <w:szCs w:val="26"/>
        </w:rPr>
        <w:t xml:space="preserve">que se viola en su perjuicio el artículo </w:t>
      </w:r>
      <w:r w:rsidR="00E53692">
        <w:rPr>
          <w:rFonts w:ascii="Arial" w:eastAsia="Calibri" w:hAnsi="Arial" w:cs="Arial"/>
          <w:sz w:val="26"/>
          <w:szCs w:val="26"/>
        </w:rPr>
        <w:t xml:space="preserve">179 de la Ley de Procedimiento y Justicia Administrativa para el Estado de Oaxaca.- - - - </w:t>
      </w:r>
    </w:p>
    <w:p w14:paraId="5FC4DEA0" w14:textId="636BE385" w:rsidR="00E53692" w:rsidRDefault="00E53692" w:rsidP="00E53692">
      <w:pPr>
        <w:spacing w:after="120" w:line="360" w:lineRule="auto"/>
        <w:ind w:right="51" w:firstLine="709"/>
        <w:jc w:val="both"/>
        <w:rPr>
          <w:rFonts w:ascii="Arial" w:eastAsia="Calibri" w:hAnsi="Arial" w:cs="Arial"/>
          <w:sz w:val="26"/>
          <w:szCs w:val="26"/>
        </w:rPr>
      </w:pPr>
      <w:r>
        <w:rPr>
          <w:rFonts w:ascii="Arial" w:eastAsia="Calibri" w:hAnsi="Arial" w:cs="Arial"/>
          <w:bCs/>
          <w:sz w:val="26"/>
          <w:szCs w:val="26"/>
        </w:rPr>
        <w:t>Argumento que resulta</w:t>
      </w:r>
      <w:r w:rsidRPr="00B43574">
        <w:rPr>
          <w:rFonts w:ascii="Arial" w:eastAsia="Calibri" w:hAnsi="Arial" w:cs="Arial"/>
          <w:b/>
          <w:sz w:val="26"/>
          <w:szCs w:val="26"/>
        </w:rPr>
        <w:t xml:space="preserve"> </w:t>
      </w:r>
      <w:r>
        <w:rPr>
          <w:rFonts w:ascii="Arial" w:eastAsia="Calibri" w:hAnsi="Arial" w:cs="Arial"/>
          <w:b/>
          <w:sz w:val="26"/>
          <w:szCs w:val="26"/>
        </w:rPr>
        <w:t>INFUNDADO</w:t>
      </w:r>
      <w:r>
        <w:rPr>
          <w:rFonts w:ascii="Arial" w:eastAsia="Calibri" w:hAnsi="Arial" w:cs="Arial"/>
          <w:bCs/>
          <w:sz w:val="26"/>
          <w:szCs w:val="26"/>
        </w:rPr>
        <w:t xml:space="preserve">, porque </w:t>
      </w:r>
      <w:r w:rsidRPr="00D304A3">
        <w:rPr>
          <w:rFonts w:ascii="Arial" w:eastAsia="Calibri" w:hAnsi="Arial" w:cs="Arial"/>
          <w:bCs/>
          <w:sz w:val="26"/>
          <w:szCs w:val="26"/>
        </w:rPr>
        <w:t>del análisis efectuado al texto de la sentencia en revisión, no se advierte en ninguna parte, la cita del artículo 179</w:t>
      </w:r>
      <w:r>
        <w:rPr>
          <w:rStyle w:val="Refdenotaalpie"/>
          <w:rFonts w:ascii="Arial" w:eastAsia="Calibri" w:hAnsi="Arial" w:cs="Arial"/>
          <w:sz w:val="26"/>
          <w:szCs w:val="26"/>
        </w:rPr>
        <w:footnoteReference w:id="1"/>
      </w:r>
      <w:r w:rsidRPr="00D304A3">
        <w:rPr>
          <w:rFonts w:ascii="Arial" w:eastAsia="Calibri" w:hAnsi="Arial" w:cs="Arial"/>
          <w:bCs/>
          <w:sz w:val="26"/>
          <w:szCs w:val="26"/>
        </w:rPr>
        <w:t xml:space="preserve"> de la Ley de Procedimiento y Justicia Administrativa</w:t>
      </w:r>
      <w:r>
        <w:rPr>
          <w:rFonts w:ascii="Arial" w:eastAsia="Calibri" w:hAnsi="Arial" w:cs="Arial"/>
          <w:bCs/>
          <w:sz w:val="26"/>
          <w:szCs w:val="26"/>
        </w:rPr>
        <w:t xml:space="preserve"> para el Estado de Oaxaca, auna</w:t>
      </w:r>
      <w:r w:rsidRPr="00D304A3">
        <w:rPr>
          <w:rFonts w:ascii="Arial" w:eastAsia="Calibri" w:hAnsi="Arial" w:cs="Arial"/>
          <w:bCs/>
          <w:sz w:val="26"/>
          <w:szCs w:val="26"/>
        </w:rPr>
        <w:t>do a que el contenido de ese precepto legal, no es atinente al sentido de las sentencias</w:t>
      </w:r>
      <w:r>
        <w:rPr>
          <w:rFonts w:ascii="Arial" w:eastAsia="Calibri" w:hAnsi="Arial" w:cs="Arial"/>
          <w:bCs/>
          <w:sz w:val="26"/>
          <w:szCs w:val="26"/>
        </w:rPr>
        <w:t xml:space="preserve"> sino que se </w:t>
      </w:r>
      <w:r>
        <w:rPr>
          <w:rFonts w:ascii="Arial" w:eastAsia="Calibri" w:hAnsi="Arial" w:cs="Arial"/>
          <w:sz w:val="26"/>
          <w:szCs w:val="26"/>
        </w:rPr>
        <w:t>refiere al requerimiento que efectúa el Magistrado de Primera Instancia a la parte actora, cuando no se cumpla alguno de los requisitos de la demanda, cuando ésta fuere obscura o imprecisa, o cuando no se anexen los documentos a que se refieren los artículos 177</w:t>
      </w:r>
      <w:r>
        <w:rPr>
          <w:rStyle w:val="Refdenotaalpie"/>
          <w:rFonts w:ascii="Arial" w:eastAsia="Calibri" w:hAnsi="Arial" w:cs="Arial"/>
          <w:sz w:val="26"/>
          <w:szCs w:val="26"/>
        </w:rPr>
        <w:footnoteReference w:id="2"/>
      </w:r>
      <w:r>
        <w:rPr>
          <w:rFonts w:ascii="Arial" w:eastAsia="Calibri" w:hAnsi="Arial" w:cs="Arial"/>
          <w:sz w:val="26"/>
          <w:szCs w:val="26"/>
        </w:rPr>
        <w:t xml:space="preserve"> y 178</w:t>
      </w:r>
      <w:r>
        <w:rPr>
          <w:rStyle w:val="Refdenotaalpie"/>
          <w:rFonts w:ascii="Arial" w:eastAsia="Calibri" w:hAnsi="Arial" w:cs="Arial"/>
          <w:sz w:val="26"/>
          <w:szCs w:val="26"/>
        </w:rPr>
        <w:footnoteReference w:id="3"/>
      </w:r>
      <w:r>
        <w:rPr>
          <w:rFonts w:ascii="Arial" w:eastAsia="Calibri" w:hAnsi="Arial" w:cs="Arial"/>
          <w:sz w:val="26"/>
          <w:szCs w:val="26"/>
        </w:rPr>
        <w:t xml:space="preserve"> de la de la Ley de Procedimiento y Justicia Administrativa para el Estado de Oaxaca.- - - - - - - - - - - - - - - - </w:t>
      </w:r>
      <w:r w:rsidR="00805250">
        <w:rPr>
          <w:rFonts w:ascii="Arial" w:eastAsia="Calibri" w:hAnsi="Arial" w:cs="Arial"/>
          <w:sz w:val="26"/>
          <w:szCs w:val="26"/>
        </w:rPr>
        <w:t>- - - - - - - - - - - - - - - - - - - - - - - - - - - - - -</w:t>
      </w:r>
    </w:p>
    <w:p w14:paraId="1E9D8BE0" w14:textId="22CBEF88" w:rsidR="00E53692" w:rsidRPr="007F6B75" w:rsidRDefault="00E53692" w:rsidP="00E53692">
      <w:pPr>
        <w:spacing w:after="120" w:line="360" w:lineRule="auto"/>
        <w:ind w:right="51" w:firstLine="709"/>
        <w:jc w:val="both"/>
        <w:rPr>
          <w:rFonts w:ascii="Arial" w:eastAsia="Calibri" w:hAnsi="Arial" w:cs="Arial"/>
          <w:sz w:val="26"/>
          <w:szCs w:val="26"/>
        </w:rPr>
      </w:pPr>
      <w:r>
        <w:rPr>
          <w:rFonts w:ascii="Arial" w:eastAsia="Calibri" w:hAnsi="Arial" w:cs="Arial"/>
          <w:sz w:val="26"/>
          <w:szCs w:val="26"/>
        </w:rPr>
        <w:lastRenderedPageBreak/>
        <w:t xml:space="preserve">Por tanto, en ningún momento se viola en perjuicio de la autoridad recurrente, el artículo 179 de la Ley de Procedimiento y Justicia Administrativa para el Estado de Oaxaca, puesto que dicho precepto solo se aplica a la parte actora, al momento de que el Magistrado de Primera Instancia, revisa el escrito de demanda y determina que se cumplieron con los requisitos para su admisión, sin que dicho precepto se aplique en el dictado de la sentencia que resuelve el juicio de nulidad; en consecuencia, no le causa ningún perjuicio lo dispuesto en el citado precepto legal.- - - - - - - - - - - - - - - - </w:t>
      </w:r>
      <w:r w:rsidR="00805250">
        <w:rPr>
          <w:rFonts w:ascii="Arial" w:eastAsia="Calibri" w:hAnsi="Arial" w:cs="Arial"/>
          <w:sz w:val="26"/>
          <w:szCs w:val="26"/>
        </w:rPr>
        <w:t xml:space="preserve">- - - - - - - - - - - - - - - - - - - - - - - - - </w:t>
      </w:r>
    </w:p>
    <w:p w14:paraId="0C413720" w14:textId="683E455F" w:rsidR="00635B8D" w:rsidRPr="00E53692" w:rsidRDefault="00E53692" w:rsidP="00E53692">
      <w:pPr>
        <w:spacing w:after="240" w:line="360" w:lineRule="auto"/>
        <w:ind w:firstLine="709"/>
        <w:jc w:val="both"/>
        <w:rPr>
          <w:rFonts w:ascii="Arial" w:eastAsia="Calibri" w:hAnsi="Arial" w:cs="Arial"/>
          <w:sz w:val="26"/>
          <w:szCs w:val="26"/>
        </w:rPr>
      </w:pPr>
      <w:r w:rsidRPr="00E53692">
        <w:rPr>
          <w:rFonts w:ascii="Arial" w:eastAsia="Calibri" w:hAnsi="Arial" w:cs="Arial"/>
          <w:sz w:val="26"/>
          <w:szCs w:val="26"/>
        </w:rPr>
        <w:t>Por otra parte,</w:t>
      </w:r>
      <w:r>
        <w:rPr>
          <w:rFonts w:ascii="Arial" w:eastAsia="Calibri" w:hAnsi="Arial" w:cs="Arial"/>
          <w:sz w:val="26"/>
          <w:szCs w:val="26"/>
        </w:rPr>
        <w:t xml:space="preserve"> manifiesta</w:t>
      </w:r>
      <w:r w:rsidR="007F6B75">
        <w:rPr>
          <w:rFonts w:ascii="Arial" w:eastAsia="Calibri" w:hAnsi="Arial" w:cs="Arial"/>
          <w:sz w:val="26"/>
          <w:szCs w:val="26"/>
        </w:rPr>
        <w:t xml:space="preserve"> </w:t>
      </w:r>
      <w:r w:rsidR="009E52EB">
        <w:rPr>
          <w:rFonts w:ascii="Arial" w:eastAsia="Calibri" w:hAnsi="Arial" w:cs="Arial"/>
          <w:sz w:val="26"/>
          <w:szCs w:val="26"/>
        </w:rPr>
        <w:t>el</w:t>
      </w:r>
      <w:r w:rsidR="007F6B75">
        <w:rPr>
          <w:rFonts w:ascii="Arial" w:eastAsia="Calibri" w:hAnsi="Arial" w:cs="Arial"/>
          <w:sz w:val="26"/>
          <w:szCs w:val="26"/>
        </w:rPr>
        <w:t xml:space="preserve"> recurrente que </w:t>
      </w:r>
      <w:r w:rsidR="00635B8D">
        <w:rPr>
          <w:rFonts w:ascii="Arial" w:eastAsia="Calibri" w:hAnsi="Arial" w:cs="Arial"/>
          <w:bCs/>
          <w:sz w:val="26"/>
          <w:szCs w:val="26"/>
        </w:rPr>
        <w:t xml:space="preserve">la sentencia de fecha </w:t>
      </w:r>
      <w:r w:rsidR="009E52EB">
        <w:rPr>
          <w:rFonts w:ascii="Arial" w:eastAsia="Calibri" w:hAnsi="Arial" w:cs="Arial"/>
          <w:bCs/>
          <w:sz w:val="26"/>
          <w:szCs w:val="26"/>
        </w:rPr>
        <w:t>veintiséis de febrero de dos mil veintiuno</w:t>
      </w:r>
      <w:r w:rsidR="00635B8D">
        <w:rPr>
          <w:rFonts w:ascii="Arial" w:eastAsia="Calibri" w:hAnsi="Arial" w:cs="Arial"/>
          <w:bCs/>
          <w:sz w:val="26"/>
          <w:szCs w:val="26"/>
        </w:rPr>
        <w:t xml:space="preserve">, </w:t>
      </w:r>
      <w:r w:rsidR="00E23CF2" w:rsidRPr="00D4524C">
        <w:rPr>
          <w:rFonts w:ascii="Arial" w:eastAsia="Calibri" w:hAnsi="Arial" w:cs="Arial"/>
          <w:bCs/>
          <w:sz w:val="26"/>
          <w:szCs w:val="26"/>
        </w:rPr>
        <w:t xml:space="preserve">le causa </w:t>
      </w:r>
      <w:r w:rsidR="008F2877" w:rsidRPr="00D4524C">
        <w:rPr>
          <w:rFonts w:ascii="Arial" w:eastAsia="Calibri" w:hAnsi="Arial" w:cs="Arial"/>
          <w:bCs/>
          <w:sz w:val="26"/>
          <w:szCs w:val="26"/>
        </w:rPr>
        <w:t xml:space="preserve">perjuicio al </w:t>
      </w:r>
      <w:r w:rsidR="00635B8D" w:rsidRPr="00D4524C">
        <w:rPr>
          <w:rFonts w:ascii="Arial" w:eastAsia="Calibri" w:hAnsi="Arial" w:cs="Arial"/>
          <w:bCs/>
          <w:sz w:val="26"/>
          <w:szCs w:val="26"/>
        </w:rPr>
        <w:t xml:space="preserve">no </w:t>
      </w:r>
      <w:r w:rsidR="004D41DD" w:rsidRPr="00D4524C">
        <w:rPr>
          <w:rFonts w:ascii="Arial" w:eastAsia="Calibri" w:hAnsi="Arial" w:cs="Arial"/>
          <w:bCs/>
          <w:sz w:val="26"/>
          <w:szCs w:val="26"/>
        </w:rPr>
        <w:t>estar debidamente</w:t>
      </w:r>
      <w:r w:rsidR="00635B8D" w:rsidRPr="00D4524C">
        <w:rPr>
          <w:rFonts w:ascii="Arial" w:eastAsia="Calibri" w:hAnsi="Arial" w:cs="Arial"/>
          <w:bCs/>
          <w:sz w:val="26"/>
          <w:szCs w:val="26"/>
        </w:rPr>
        <w:t xml:space="preserve"> fundada y motivada, </w:t>
      </w:r>
      <w:r w:rsidR="008F2877" w:rsidRPr="00D4524C">
        <w:rPr>
          <w:rFonts w:ascii="Arial" w:eastAsia="Calibri" w:hAnsi="Arial" w:cs="Arial"/>
          <w:bCs/>
          <w:sz w:val="26"/>
          <w:szCs w:val="26"/>
        </w:rPr>
        <w:t xml:space="preserve">además de </w:t>
      </w:r>
      <w:r w:rsidR="00635B8D" w:rsidRPr="00D4524C">
        <w:rPr>
          <w:rFonts w:ascii="Arial" w:eastAsia="Calibri" w:hAnsi="Arial" w:cs="Arial"/>
          <w:bCs/>
          <w:sz w:val="26"/>
          <w:szCs w:val="26"/>
        </w:rPr>
        <w:t>que decret</w:t>
      </w:r>
      <w:r w:rsidR="00247799">
        <w:rPr>
          <w:rFonts w:ascii="Arial" w:eastAsia="Calibri" w:hAnsi="Arial" w:cs="Arial"/>
          <w:bCs/>
          <w:sz w:val="26"/>
          <w:szCs w:val="26"/>
        </w:rPr>
        <w:t>a</w:t>
      </w:r>
      <w:r w:rsidR="00635B8D" w:rsidRPr="00D4524C">
        <w:rPr>
          <w:rFonts w:ascii="Arial" w:eastAsia="Calibri" w:hAnsi="Arial" w:cs="Arial"/>
          <w:bCs/>
          <w:sz w:val="26"/>
          <w:szCs w:val="26"/>
        </w:rPr>
        <w:t xml:space="preserve"> la nulidad del acta de infracción </w:t>
      </w:r>
      <w:r w:rsidR="00841FF8">
        <w:rPr>
          <w:rFonts w:ascii="Arial" w:hAnsi="Arial" w:cs="Arial"/>
          <w:b/>
          <w:sz w:val="26"/>
          <w:szCs w:val="26"/>
        </w:rPr>
        <w:t>***********</w:t>
      </w:r>
      <w:r w:rsidR="004A75F8">
        <w:rPr>
          <w:rFonts w:ascii="Arial" w:eastAsia="Calibri" w:hAnsi="Arial" w:cs="Arial"/>
          <w:bCs/>
          <w:sz w:val="26"/>
          <w:szCs w:val="26"/>
        </w:rPr>
        <w:t xml:space="preserve">, </w:t>
      </w:r>
      <w:r w:rsidR="005251C5">
        <w:rPr>
          <w:rFonts w:ascii="Arial" w:eastAsia="Calibri" w:hAnsi="Arial" w:cs="Arial"/>
          <w:bCs/>
          <w:sz w:val="26"/>
          <w:szCs w:val="26"/>
        </w:rPr>
        <w:t xml:space="preserve">de fecha </w:t>
      </w:r>
      <w:r w:rsidR="009E52EB">
        <w:rPr>
          <w:rFonts w:ascii="Arial" w:eastAsia="Calibri" w:hAnsi="Arial" w:cs="Arial"/>
          <w:bCs/>
          <w:sz w:val="26"/>
          <w:szCs w:val="26"/>
        </w:rPr>
        <w:t>diez de noviembre</w:t>
      </w:r>
      <w:r w:rsidR="005251C5">
        <w:rPr>
          <w:rFonts w:ascii="Arial" w:eastAsia="Calibri" w:hAnsi="Arial" w:cs="Arial"/>
          <w:bCs/>
          <w:sz w:val="26"/>
          <w:szCs w:val="26"/>
        </w:rPr>
        <w:t xml:space="preserve"> de dos mil </w:t>
      </w:r>
      <w:r w:rsidR="009E52EB">
        <w:rPr>
          <w:rFonts w:ascii="Arial" w:eastAsia="Calibri" w:hAnsi="Arial" w:cs="Arial"/>
          <w:bCs/>
          <w:sz w:val="26"/>
          <w:szCs w:val="26"/>
        </w:rPr>
        <w:t>veinte</w:t>
      </w:r>
      <w:r w:rsidR="00635B8D" w:rsidRPr="00D4524C">
        <w:rPr>
          <w:rFonts w:ascii="Arial" w:eastAsia="Calibri" w:hAnsi="Arial" w:cs="Arial"/>
          <w:bCs/>
          <w:sz w:val="26"/>
          <w:szCs w:val="26"/>
        </w:rPr>
        <w:t>, vulnerando</w:t>
      </w:r>
      <w:r w:rsidR="00635B8D">
        <w:rPr>
          <w:rFonts w:ascii="Arial" w:eastAsia="Calibri" w:hAnsi="Arial" w:cs="Arial"/>
          <w:bCs/>
          <w:sz w:val="26"/>
          <w:szCs w:val="26"/>
        </w:rPr>
        <w:t xml:space="preserve"> los artículos 14 y 16 Constitucionales.- - - - - - -</w:t>
      </w:r>
      <w:r w:rsidR="009E52EB">
        <w:rPr>
          <w:rFonts w:ascii="Arial" w:eastAsia="Calibri" w:hAnsi="Arial" w:cs="Arial"/>
          <w:bCs/>
          <w:sz w:val="26"/>
          <w:szCs w:val="26"/>
        </w:rPr>
        <w:t xml:space="preserve"> - - - -</w:t>
      </w:r>
      <w:r w:rsidR="00635B8D">
        <w:rPr>
          <w:rFonts w:ascii="Arial" w:eastAsia="Calibri" w:hAnsi="Arial" w:cs="Arial"/>
          <w:bCs/>
          <w:sz w:val="26"/>
          <w:szCs w:val="26"/>
        </w:rPr>
        <w:t xml:space="preserve"> </w:t>
      </w:r>
    </w:p>
    <w:p w14:paraId="7E1C9C83" w14:textId="7503D940" w:rsidR="00635B8D" w:rsidRDefault="00B46A0D" w:rsidP="00635B8D">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También, refiere que</w:t>
      </w:r>
      <w:r w:rsidR="00A65731">
        <w:rPr>
          <w:rFonts w:ascii="Arial" w:eastAsia="Calibri" w:hAnsi="Arial" w:cs="Arial"/>
          <w:bCs/>
          <w:sz w:val="26"/>
          <w:szCs w:val="26"/>
        </w:rPr>
        <w:t xml:space="preserve"> el A quo deb</w:t>
      </w:r>
      <w:r w:rsidR="00B51EB8">
        <w:rPr>
          <w:rFonts w:ascii="Arial" w:eastAsia="Calibri" w:hAnsi="Arial" w:cs="Arial"/>
          <w:bCs/>
          <w:sz w:val="26"/>
          <w:szCs w:val="26"/>
        </w:rPr>
        <w:t>ió</w:t>
      </w:r>
      <w:r w:rsidR="00A65731">
        <w:rPr>
          <w:rFonts w:ascii="Arial" w:eastAsia="Calibri" w:hAnsi="Arial" w:cs="Arial"/>
          <w:bCs/>
          <w:sz w:val="26"/>
          <w:szCs w:val="26"/>
        </w:rPr>
        <w:t xml:space="preserve"> valorar al momento de resolver la procedencia de nulidad de la boleta de </w:t>
      </w:r>
      <w:bookmarkStart w:id="2" w:name="_Hlk71056553"/>
      <w:r w:rsidR="00A65731">
        <w:rPr>
          <w:rFonts w:ascii="Arial" w:eastAsia="Calibri" w:hAnsi="Arial" w:cs="Arial"/>
          <w:bCs/>
          <w:sz w:val="26"/>
          <w:szCs w:val="26"/>
        </w:rPr>
        <w:t xml:space="preserve">infracción de folio </w:t>
      </w:r>
      <w:r w:rsidR="00841FF8">
        <w:rPr>
          <w:rFonts w:ascii="Arial" w:hAnsi="Arial" w:cs="Arial"/>
          <w:b/>
          <w:sz w:val="26"/>
          <w:szCs w:val="26"/>
        </w:rPr>
        <w:t>***********</w:t>
      </w:r>
      <w:r w:rsidR="004A75F8">
        <w:rPr>
          <w:rFonts w:ascii="Arial" w:eastAsia="Calibri" w:hAnsi="Arial" w:cs="Arial"/>
          <w:bCs/>
          <w:sz w:val="26"/>
          <w:szCs w:val="26"/>
        </w:rPr>
        <w:t xml:space="preserve">, </w:t>
      </w:r>
      <w:r w:rsidR="009E52EB">
        <w:rPr>
          <w:rFonts w:ascii="Arial" w:eastAsia="Calibri" w:hAnsi="Arial" w:cs="Arial"/>
          <w:bCs/>
          <w:sz w:val="26"/>
          <w:szCs w:val="26"/>
        </w:rPr>
        <w:t>de fecha diez de noviembre de dos mil veinte</w:t>
      </w:r>
      <w:r w:rsidR="00A65731">
        <w:rPr>
          <w:rFonts w:ascii="Arial" w:eastAsia="Calibri" w:hAnsi="Arial" w:cs="Arial"/>
          <w:bCs/>
          <w:sz w:val="26"/>
          <w:szCs w:val="26"/>
        </w:rPr>
        <w:t>,</w:t>
      </w:r>
      <w:bookmarkEnd w:id="2"/>
      <w:r w:rsidR="009E52EB">
        <w:rPr>
          <w:rFonts w:ascii="Arial" w:eastAsia="Calibri" w:hAnsi="Arial" w:cs="Arial"/>
          <w:bCs/>
          <w:sz w:val="26"/>
          <w:szCs w:val="26"/>
        </w:rPr>
        <w:t xml:space="preserve"> </w:t>
      </w:r>
      <w:r>
        <w:rPr>
          <w:rFonts w:ascii="Arial" w:eastAsia="Calibri" w:hAnsi="Arial" w:cs="Arial"/>
          <w:bCs/>
          <w:sz w:val="26"/>
          <w:szCs w:val="26"/>
        </w:rPr>
        <w:t xml:space="preserve">que </w:t>
      </w:r>
      <w:r w:rsidR="00F01CB8" w:rsidRPr="00FA2114">
        <w:rPr>
          <w:rFonts w:ascii="Arial" w:eastAsia="Calibri" w:hAnsi="Arial" w:cs="Arial"/>
          <w:bCs/>
          <w:sz w:val="26"/>
          <w:szCs w:val="26"/>
        </w:rPr>
        <w:t>é</w:t>
      </w:r>
      <w:r w:rsidRPr="00FA2114">
        <w:rPr>
          <w:rFonts w:ascii="Arial" w:eastAsia="Calibri" w:hAnsi="Arial" w:cs="Arial"/>
          <w:bCs/>
          <w:sz w:val="26"/>
          <w:szCs w:val="26"/>
        </w:rPr>
        <w:t>sta f</w:t>
      </w:r>
      <w:r>
        <w:rPr>
          <w:rFonts w:ascii="Arial" w:eastAsia="Calibri" w:hAnsi="Arial" w:cs="Arial"/>
          <w:bCs/>
          <w:sz w:val="26"/>
          <w:szCs w:val="26"/>
        </w:rPr>
        <w:t xml:space="preserve">ue realizada </w:t>
      </w:r>
      <w:r w:rsidR="00A65731">
        <w:rPr>
          <w:rFonts w:ascii="Arial" w:eastAsia="Calibri" w:hAnsi="Arial" w:cs="Arial"/>
          <w:bCs/>
          <w:sz w:val="26"/>
          <w:szCs w:val="26"/>
        </w:rPr>
        <w:t xml:space="preserve">a  </w:t>
      </w:r>
      <w:r w:rsidR="009E52EB">
        <w:rPr>
          <w:rFonts w:ascii="Arial" w:eastAsia="Calibri" w:hAnsi="Arial" w:cs="Arial"/>
          <w:bCs/>
          <w:sz w:val="26"/>
          <w:szCs w:val="26"/>
        </w:rPr>
        <w:t>Alaciel Sánchez López</w:t>
      </w:r>
      <w:r w:rsidR="00A65731">
        <w:rPr>
          <w:rFonts w:ascii="Arial" w:eastAsia="Calibri" w:hAnsi="Arial" w:cs="Arial"/>
          <w:bCs/>
          <w:sz w:val="26"/>
          <w:szCs w:val="26"/>
        </w:rPr>
        <w:t xml:space="preserve">, que </w:t>
      </w:r>
      <w:r w:rsidR="006C1707">
        <w:rPr>
          <w:rFonts w:ascii="Arial" w:eastAsia="Calibri" w:hAnsi="Arial" w:cs="Arial"/>
          <w:bCs/>
          <w:sz w:val="26"/>
          <w:szCs w:val="26"/>
        </w:rPr>
        <w:t>el Policía Vial</w:t>
      </w:r>
      <w:r w:rsidR="00030E77">
        <w:rPr>
          <w:rFonts w:ascii="Arial" w:eastAsia="Calibri" w:hAnsi="Arial" w:cs="Arial"/>
          <w:bCs/>
          <w:sz w:val="26"/>
          <w:szCs w:val="26"/>
        </w:rPr>
        <w:t xml:space="preserve"> </w:t>
      </w:r>
      <w:r w:rsidR="00E80BD1">
        <w:rPr>
          <w:rFonts w:ascii="Arial" w:eastAsia="Calibri" w:hAnsi="Arial" w:cs="Arial"/>
          <w:bCs/>
          <w:sz w:val="26"/>
          <w:szCs w:val="26"/>
        </w:rPr>
        <w:t xml:space="preserve">se  fundamentó  en  </w:t>
      </w:r>
      <w:r w:rsidR="008F2877">
        <w:rPr>
          <w:rFonts w:ascii="Arial" w:eastAsia="Calibri" w:hAnsi="Arial" w:cs="Arial"/>
          <w:bCs/>
          <w:sz w:val="26"/>
          <w:szCs w:val="26"/>
        </w:rPr>
        <w:t>los</w:t>
      </w:r>
      <w:r w:rsidR="00E80BD1">
        <w:rPr>
          <w:rFonts w:ascii="Arial" w:eastAsia="Calibri" w:hAnsi="Arial" w:cs="Arial"/>
          <w:bCs/>
          <w:sz w:val="26"/>
          <w:szCs w:val="26"/>
        </w:rPr>
        <w:t xml:space="preserve"> </w:t>
      </w:r>
      <w:r w:rsidR="00E80BD1" w:rsidRPr="008452FB">
        <w:rPr>
          <w:rFonts w:ascii="Arial" w:eastAsia="Calibri" w:hAnsi="Arial" w:cs="Arial"/>
          <w:bCs/>
          <w:sz w:val="26"/>
          <w:szCs w:val="26"/>
        </w:rPr>
        <w:t>artículo</w:t>
      </w:r>
      <w:r w:rsidR="008F2877">
        <w:rPr>
          <w:rFonts w:ascii="Arial" w:eastAsia="Calibri" w:hAnsi="Arial" w:cs="Arial"/>
          <w:bCs/>
          <w:sz w:val="26"/>
          <w:szCs w:val="26"/>
        </w:rPr>
        <w:t>s</w:t>
      </w:r>
      <w:r w:rsidR="00A65731" w:rsidRPr="008452FB">
        <w:rPr>
          <w:rFonts w:ascii="Arial" w:eastAsia="Calibri" w:hAnsi="Arial" w:cs="Arial"/>
          <w:bCs/>
          <w:sz w:val="26"/>
          <w:szCs w:val="26"/>
        </w:rPr>
        <w:t xml:space="preserve"> </w:t>
      </w:r>
      <w:r w:rsidR="009E52EB">
        <w:rPr>
          <w:rFonts w:ascii="Arial" w:eastAsia="Calibri" w:hAnsi="Arial" w:cs="Arial"/>
          <w:bCs/>
          <w:sz w:val="26"/>
          <w:szCs w:val="26"/>
        </w:rPr>
        <w:t xml:space="preserve">85 y 86 </w:t>
      </w:r>
      <w:r w:rsidR="00DB7A0C">
        <w:rPr>
          <w:rFonts w:ascii="Arial" w:eastAsia="Calibri" w:hAnsi="Arial" w:cs="Arial"/>
          <w:bCs/>
          <w:sz w:val="26"/>
          <w:szCs w:val="26"/>
        </w:rPr>
        <w:t xml:space="preserve">fracción </w:t>
      </w:r>
      <w:r w:rsidR="009E52EB">
        <w:rPr>
          <w:rFonts w:ascii="Arial" w:eastAsia="Calibri" w:hAnsi="Arial" w:cs="Arial"/>
          <w:bCs/>
          <w:sz w:val="26"/>
          <w:szCs w:val="26"/>
        </w:rPr>
        <w:t>XXXIII</w:t>
      </w:r>
      <w:r w:rsidR="00DB7A0C">
        <w:rPr>
          <w:rFonts w:ascii="Arial" w:eastAsia="Calibri" w:hAnsi="Arial" w:cs="Arial"/>
          <w:bCs/>
          <w:sz w:val="26"/>
          <w:szCs w:val="26"/>
        </w:rPr>
        <w:t xml:space="preserve">, 130 fracciones V y VII </w:t>
      </w:r>
      <w:r w:rsidR="00A65731">
        <w:rPr>
          <w:rFonts w:ascii="Arial" w:eastAsia="Calibri" w:hAnsi="Arial" w:cs="Arial"/>
          <w:bCs/>
          <w:sz w:val="26"/>
          <w:szCs w:val="26"/>
        </w:rPr>
        <w:t>del Reglamento de Vialidad</w:t>
      </w:r>
      <w:r w:rsidR="00E80BD1">
        <w:rPr>
          <w:rFonts w:ascii="Arial" w:eastAsia="Calibri" w:hAnsi="Arial" w:cs="Arial"/>
          <w:bCs/>
          <w:sz w:val="26"/>
          <w:szCs w:val="26"/>
        </w:rPr>
        <w:t xml:space="preserve"> </w:t>
      </w:r>
      <w:r w:rsidR="00A65731">
        <w:rPr>
          <w:rFonts w:ascii="Arial" w:eastAsia="Calibri" w:hAnsi="Arial" w:cs="Arial"/>
          <w:bCs/>
          <w:sz w:val="26"/>
          <w:szCs w:val="26"/>
        </w:rPr>
        <w:t xml:space="preserve"> para</w:t>
      </w:r>
      <w:r w:rsidR="00E80BD1">
        <w:rPr>
          <w:rFonts w:ascii="Arial" w:eastAsia="Calibri" w:hAnsi="Arial" w:cs="Arial"/>
          <w:bCs/>
          <w:sz w:val="26"/>
          <w:szCs w:val="26"/>
        </w:rPr>
        <w:t xml:space="preserve"> </w:t>
      </w:r>
      <w:r w:rsidR="00A65731">
        <w:rPr>
          <w:rFonts w:ascii="Arial" w:eastAsia="Calibri" w:hAnsi="Arial" w:cs="Arial"/>
          <w:bCs/>
          <w:sz w:val="26"/>
          <w:szCs w:val="26"/>
        </w:rPr>
        <w:t xml:space="preserve"> el </w:t>
      </w:r>
      <w:r w:rsidR="00E80BD1">
        <w:rPr>
          <w:rFonts w:ascii="Arial" w:eastAsia="Calibri" w:hAnsi="Arial" w:cs="Arial"/>
          <w:bCs/>
          <w:sz w:val="26"/>
          <w:szCs w:val="26"/>
        </w:rPr>
        <w:t xml:space="preserve"> </w:t>
      </w:r>
      <w:r w:rsidR="008F2877">
        <w:rPr>
          <w:rFonts w:ascii="Arial" w:eastAsia="Calibri" w:hAnsi="Arial" w:cs="Arial"/>
          <w:bCs/>
          <w:sz w:val="26"/>
          <w:szCs w:val="26"/>
        </w:rPr>
        <w:t>Municipio de Oaxaca de Juárez,</w:t>
      </w:r>
      <w:r w:rsidR="00A65731">
        <w:rPr>
          <w:rFonts w:ascii="Arial" w:eastAsia="Calibri" w:hAnsi="Arial" w:cs="Arial"/>
          <w:bCs/>
          <w:sz w:val="26"/>
          <w:szCs w:val="26"/>
        </w:rPr>
        <w:t xml:space="preserve"> </w:t>
      </w:r>
      <w:r w:rsidR="00E23CF2">
        <w:rPr>
          <w:rFonts w:ascii="Arial" w:eastAsia="Calibri" w:hAnsi="Arial" w:cs="Arial"/>
          <w:bCs/>
          <w:sz w:val="26"/>
          <w:szCs w:val="26"/>
        </w:rPr>
        <w:t xml:space="preserve"> </w:t>
      </w:r>
      <w:r w:rsidR="00A65731">
        <w:rPr>
          <w:rFonts w:ascii="Arial" w:eastAsia="Calibri" w:hAnsi="Arial" w:cs="Arial"/>
          <w:bCs/>
          <w:sz w:val="26"/>
          <w:szCs w:val="26"/>
        </w:rPr>
        <w:t>vigente, 11 del</w:t>
      </w:r>
      <w:r w:rsidR="008F2877">
        <w:rPr>
          <w:rFonts w:ascii="Arial" w:eastAsia="Calibri" w:hAnsi="Arial" w:cs="Arial"/>
          <w:bCs/>
          <w:sz w:val="26"/>
          <w:szCs w:val="26"/>
        </w:rPr>
        <w:t xml:space="preserve"> </w:t>
      </w:r>
      <w:r w:rsidR="00A65731">
        <w:rPr>
          <w:rFonts w:ascii="Arial" w:eastAsia="Calibri" w:hAnsi="Arial" w:cs="Arial"/>
          <w:bCs/>
          <w:sz w:val="26"/>
          <w:szCs w:val="26"/>
        </w:rPr>
        <w:t xml:space="preserve">Bando </w:t>
      </w:r>
      <w:r w:rsidR="00A65731" w:rsidRPr="00B43574">
        <w:rPr>
          <w:rFonts w:ascii="Arial" w:eastAsia="Calibri" w:hAnsi="Arial" w:cs="Arial"/>
          <w:bCs/>
          <w:sz w:val="26"/>
          <w:szCs w:val="26"/>
        </w:rPr>
        <w:t>de Policía y Gobierno</w:t>
      </w:r>
      <w:r w:rsidR="00822758" w:rsidRPr="00B43574">
        <w:rPr>
          <w:rFonts w:ascii="Arial" w:eastAsia="Calibri" w:hAnsi="Arial" w:cs="Arial"/>
          <w:bCs/>
          <w:sz w:val="26"/>
          <w:szCs w:val="26"/>
        </w:rPr>
        <w:t xml:space="preserve"> </w:t>
      </w:r>
      <w:r w:rsidR="00A65731" w:rsidRPr="00B43574">
        <w:rPr>
          <w:rFonts w:ascii="Arial" w:eastAsia="Calibri" w:hAnsi="Arial" w:cs="Arial"/>
          <w:bCs/>
          <w:sz w:val="26"/>
          <w:szCs w:val="26"/>
        </w:rPr>
        <w:t xml:space="preserve">del Municipio de Oaxaca de Juárez y 7 fracción VIII del Reglamento de Vialidad del citado Municipio, </w:t>
      </w:r>
      <w:r w:rsidR="00D76FEA">
        <w:rPr>
          <w:rFonts w:ascii="Arial" w:eastAsia="Calibri" w:hAnsi="Arial" w:cs="Arial"/>
          <w:bCs/>
          <w:sz w:val="26"/>
          <w:szCs w:val="26"/>
        </w:rPr>
        <w:t xml:space="preserve">tal como se desprende de la boleta de infracción que fue notificada </w:t>
      </w:r>
      <w:r w:rsidR="00D76FEA" w:rsidRPr="001E6586">
        <w:rPr>
          <w:rFonts w:ascii="Arial" w:eastAsia="Calibri" w:hAnsi="Arial" w:cs="Arial"/>
          <w:bCs/>
          <w:sz w:val="26"/>
          <w:szCs w:val="26"/>
        </w:rPr>
        <w:t>a</w:t>
      </w:r>
      <w:r w:rsidR="00BA6573" w:rsidRPr="001E6586">
        <w:rPr>
          <w:rFonts w:ascii="Arial" w:eastAsia="Calibri" w:hAnsi="Arial" w:cs="Arial"/>
          <w:bCs/>
          <w:sz w:val="26"/>
          <w:szCs w:val="26"/>
        </w:rPr>
        <w:t xml:space="preserve"> </w:t>
      </w:r>
      <w:r w:rsidR="00D76FEA" w:rsidRPr="001E6586">
        <w:rPr>
          <w:rFonts w:ascii="Arial" w:eastAsia="Calibri" w:hAnsi="Arial" w:cs="Arial"/>
          <w:bCs/>
          <w:sz w:val="26"/>
          <w:szCs w:val="26"/>
        </w:rPr>
        <w:t>l</w:t>
      </w:r>
      <w:r w:rsidR="00BA6573" w:rsidRPr="001E6586">
        <w:rPr>
          <w:rFonts w:ascii="Arial" w:eastAsia="Calibri" w:hAnsi="Arial" w:cs="Arial"/>
          <w:bCs/>
          <w:sz w:val="26"/>
          <w:szCs w:val="26"/>
        </w:rPr>
        <w:t>a</w:t>
      </w:r>
      <w:r w:rsidR="00D76FEA" w:rsidRPr="001E6586">
        <w:rPr>
          <w:rFonts w:ascii="Arial" w:eastAsia="Calibri" w:hAnsi="Arial" w:cs="Arial"/>
          <w:bCs/>
          <w:sz w:val="26"/>
          <w:szCs w:val="26"/>
        </w:rPr>
        <w:t xml:space="preserve"> administrad</w:t>
      </w:r>
      <w:r w:rsidR="00BA6573" w:rsidRPr="001E6586">
        <w:rPr>
          <w:rFonts w:ascii="Arial" w:eastAsia="Calibri" w:hAnsi="Arial" w:cs="Arial"/>
          <w:bCs/>
          <w:sz w:val="26"/>
          <w:szCs w:val="26"/>
        </w:rPr>
        <w:t>a</w:t>
      </w:r>
      <w:r w:rsidR="00D76FEA">
        <w:rPr>
          <w:rFonts w:ascii="Arial" w:eastAsia="Calibri" w:hAnsi="Arial" w:cs="Arial"/>
          <w:bCs/>
          <w:sz w:val="26"/>
          <w:szCs w:val="26"/>
        </w:rPr>
        <w:t xml:space="preserve"> el día </w:t>
      </w:r>
      <w:r w:rsidR="009E52EB">
        <w:rPr>
          <w:rFonts w:ascii="Arial" w:eastAsia="Calibri" w:hAnsi="Arial" w:cs="Arial"/>
          <w:bCs/>
          <w:sz w:val="26"/>
          <w:szCs w:val="26"/>
        </w:rPr>
        <w:t>diez</w:t>
      </w:r>
      <w:r w:rsidR="00DB7A0C">
        <w:rPr>
          <w:rFonts w:ascii="Arial" w:eastAsia="Calibri" w:hAnsi="Arial" w:cs="Arial"/>
          <w:bCs/>
          <w:sz w:val="26"/>
          <w:szCs w:val="26"/>
        </w:rPr>
        <w:t xml:space="preserve"> de noviembre de dos mil </w:t>
      </w:r>
      <w:r w:rsidR="009E52EB">
        <w:rPr>
          <w:rFonts w:ascii="Arial" w:eastAsia="Calibri" w:hAnsi="Arial" w:cs="Arial"/>
          <w:bCs/>
          <w:sz w:val="26"/>
          <w:szCs w:val="26"/>
        </w:rPr>
        <w:t>veinte</w:t>
      </w:r>
      <w:r w:rsidR="00DB6BB1">
        <w:rPr>
          <w:rFonts w:ascii="Arial" w:eastAsia="Calibri" w:hAnsi="Arial" w:cs="Arial"/>
          <w:bCs/>
          <w:sz w:val="26"/>
          <w:szCs w:val="26"/>
        </w:rPr>
        <w:t>;</w:t>
      </w:r>
      <w:r w:rsidR="00D76FEA">
        <w:rPr>
          <w:rFonts w:ascii="Arial" w:eastAsia="Calibri" w:hAnsi="Arial" w:cs="Arial"/>
          <w:bCs/>
          <w:sz w:val="26"/>
          <w:szCs w:val="26"/>
        </w:rPr>
        <w:t xml:space="preserve"> por lo que refiere</w:t>
      </w:r>
      <w:r w:rsidR="008814C1">
        <w:rPr>
          <w:rFonts w:ascii="Arial" w:eastAsia="Calibri" w:hAnsi="Arial" w:cs="Arial"/>
          <w:bCs/>
          <w:sz w:val="26"/>
          <w:szCs w:val="26"/>
        </w:rPr>
        <w:t xml:space="preserve"> que</w:t>
      </w:r>
      <w:r w:rsidR="00D76FEA">
        <w:rPr>
          <w:rFonts w:ascii="Arial" w:eastAsia="Calibri" w:hAnsi="Arial" w:cs="Arial"/>
          <w:bCs/>
          <w:sz w:val="26"/>
          <w:szCs w:val="26"/>
        </w:rPr>
        <w:t xml:space="preserve"> </w:t>
      </w:r>
      <w:r w:rsidR="00D76FEA" w:rsidRPr="00B43574">
        <w:rPr>
          <w:rFonts w:ascii="Arial" w:eastAsia="Calibri" w:hAnsi="Arial" w:cs="Arial"/>
          <w:bCs/>
          <w:sz w:val="26"/>
          <w:szCs w:val="26"/>
        </w:rPr>
        <w:t xml:space="preserve">la sentencia </w:t>
      </w:r>
      <w:r w:rsidR="00D76FEA" w:rsidRPr="005D6BC9">
        <w:rPr>
          <w:rFonts w:ascii="Arial" w:eastAsia="Calibri" w:hAnsi="Arial" w:cs="Arial"/>
          <w:bCs/>
          <w:sz w:val="26"/>
          <w:szCs w:val="26"/>
        </w:rPr>
        <w:t>recurrida</w:t>
      </w:r>
      <w:r w:rsidR="008814C1" w:rsidRPr="005D6BC9">
        <w:rPr>
          <w:rFonts w:ascii="Arial" w:eastAsia="Calibri" w:hAnsi="Arial" w:cs="Arial"/>
          <w:bCs/>
          <w:sz w:val="26"/>
          <w:szCs w:val="26"/>
        </w:rPr>
        <w:t xml:space="preserve"> no</w:t>
      </w:r>
      <w:r w:rsidR="008814C1" w:rsidRPr="00B43574">
        <w:rPr>
          <w:rFonts w:ascii="Arial" w:eastAsia="Calibri" w:hAnsi="Arial" w:cs="Arial"/>
          <w:bCs/>
          <w:sz w:val="26"/>
          <w:szCs w:val="26"/>
        </w:rPr>
        <w:t xml:space="preserve"> </w:t>
      </w:r>
      <w:r w:rsidR="00D76FEA" w:rsidRPr="00B43574">
        <w:rPr>
          <w:rFonts w:ascii="Arial" w:eastAsia="Calibri" w:hAnsi="Arial" w:cs="Arial"/>
          <w:bCs/>
          <w:sz w:val="26"/>
          <w:szCs w:val="26"/>
        </w:rPr>
        <w:t xml:space="preserve"> se</w:t>
      </w:r>
      <w:r w:rsidR="00D76FEA">
        <w:rPr>
          <w:rFonts w:ascii="Arial" w:eastAsia="Calibri" w:hAnsi="Arial" w:cs="Arial"/>
          <w:bCs/>
          <w:sz w:val="26"/>
          <w:szCs w:val="26"/>
        </w:rPr>
        <w:t xml:space="preserve"> emitió apegada a derecho</w:t>
      </w:r>
      <w:r w:rsidR="008814C1">
        <w:rPr>
          <w:rFonts w:ascii="Arial" w:eastAsia="Calibri" w:hAnsi="Arial" w:cs="Arial"/>
          <w:bCs/>
          <w:sz w:val="26"/>
          <w:szCs w:val="26"/>
        </w:rPr>
        <w:t xml:space="preserve"> y tampoco está fundada y motivada</w:t>
      </w:r>
      <w:r w:rsidR="00D76FEA">
        <w:rPr>
          <w:rFonts w:ascii="Arial" w:eastAsia="Calibri" w:hAnsi="Arial" w:cs="Arial"/>
          <w:bCs/>
          <w:sz w:val="26"/>
          <w:szCs w:val="26"/>
        </w:rPr>
        <w:t xml:space="preserve">.- - - - - </w:t>
      </w:r>
      <w:r w:rsidR="00EB6405">
        <w:rPr>
          <w:rFonts w:ascii="Arial" w:eastAsia="Calibri" w:hAnsi="Arial" w:cs="Arial"/>
          <w:bCs/>
          <w:sz w:val="26"/>
          <w:szCs w:val="26"/>
        </w:rPr>
        <w:t>-</w:t>
      </w:r>
      <w:r w:rsidR="009E52EB">
        <w:rPr>
          <w:rFonts w:ascii="Arial" w:eastAsia="Calibri" w:hAnsi="Arial" w:cs="Arial"/>
          <w:bCs/>
          <w:sz w:val="26"/>
          <w:szCs w:val="26"/>
        </w:rPr>
        <w:t xml:space="preserve"> - - - - - - - - - - - - -</w:t>
      </w:r>
      <w:r w:rsidR="00805250">
        <w:rPr>
          <w:rFonts w:ascii="Arial" w:eastAsia="Calibri" w:hAnsi="Arial" w:cs="Arial"/>
          <w:bCs/>
          <w:sz w:val="26"/>
          <w:szCs w:val="26"/>
        </w:rPr>
        <w:t xml:space="preserve"> - - - - - - - -</w:t>
      </w:r>
      <w:r w:rsidR="009E52EB">
        <w:rPr>
          <w:rFonts w:ascii="Arial" w:eastAsia="Calibri" w:hAnsi="Arial" w:cs="Arial"/>
          <w:bCs/>
          <w:sz w:val="26"/>
          <w:szCs w:val="26"/>
        </w:rPr>
        <w:t xml:space="preserve"> </w:t>
      </w:r>
    </w:p>
    <w:p w14:paraId="0687F87E" w14:textId="27E599D7" w:rsidR="008452FB" w:rsidRDefault="006C1707" w:rsidP="008A1C0A">
      <w:pPr>
        <w:spacing w:after="120" w:line="360" w:lineRule="auto"/>
        <w:ind w:firstLine="709"/>
        <w:jc w:val="both"/>
        <w:rPr>
          <w:rFonts w:ascii="Arial" w:hAnsi="Arial" w:cs="Arial"/>
          <w:bCs/>
          <w:iCs/>
          <w:sz w:val="26"/>
          <w:szCs w:val="26"/>
          <w:lang w:eastAsia="es-ES"/>
        </w:rPr>
      </w:pPr>
      <w:r>
        <w:rPr>
          <w:rFonts w:ascii="Arial" w:eastAsia="Calibri" w:hAnsi="Arial" w:cs="Arial"/>
          <w:bCs/>
          <w:sz w:val="26"/>
          <w:szCs w:val="26"/>
        </w:rPr>
        <w:t xml:space="preserve">El agravio que hace valer </w:t>
      </w:r>
      <w:r w:rsidR="002F633F">
        <w:rPr>
          <w:rFonts w:ascii="Arial" w:eastAsia="Calibri" w:hAnsi="Arial" w:cs="Arial"/>
          <w:bCs/>
          <w:sz w:val="26"/>
          <w:szCs w:val="26"/>
        </w:rPr>
        <w:t>el</w:t>
      </w:r>
      <w:r>
        <w:rPr>
          <w:rFonts w:ascii="Arial" w:eastAsia="Calibri" w:hAnsi="Arial" w:cs="Arial"/>
          <w:bCs/>
          <w:sz w:val="26"/>
          <w:szCs w:val="26"/>
        </w:rPr>
        <w:t xml:space="preserve"> recurrente resulta</w:t>
      </w:r>
      <w:r w:rsidR="0060461A">
        <w:rPr>
          <w:rFonts w:ascii="Arial" w:eastAsia="Calibri" w:hAnsi="Arial" w:cs="Arial"/>
          <w:bCs/>
          <w:sz w:val="26"/>
          <w:szCs w:val="26"/>
        </w:rPr>
        <w:t xml:space="preserve"> </w:t>
      </w:r>
      <w:r w:rsidR="0060461A">
        <w:rPr>
          <w:rFonts w:ascii="Arial" w:eastAsia="Calibri" w:hAnsi="Arial" w:cs="Arial"/>
          <w:b/>
          <w:bCs/>
          <w:sz w:val="26"/>
          <w:szCs w:val="26"/>
        </w:rPr>
        <w:t xml:space="preserve">INFUNDADO, </w:t>
      </w:r>
      <w:r w:rsidR="0060461A">
        <w:rPr>
          <w:rFonts w:ascii="Arial" w:eastAsia="Calibri" w:hAnsi="Arial" w:cs="Arial"/>
          <w:bCs/>
          <w:sz w:val="26"/>
          <w:szCs w:val="26"/>
        </w:rPr>
        <w:t xml:space="preserve"> porque la Primera Instancia, para declarar la Nulidad Lisa y Llana del acta de infracción con número de folio </w:t>
      </w:r>
      <w:r w:rsidR="00841FF8">
        <w:rPr>
          <w:rFonts w:ascii="Arial" w:hAnsi="Arial" w:cs="Arial"/>
          <w:b/>
          <w:sz w:val="26"/>
          <w:szCs w:val="26"/>
        </w:rPr>
        <w:t>***********</w:t>
      </w:r>
      <w:r w:rsidR="004A75F8">
        <w:rPr>
          <w:rFonts w:ascii="Arial" w:eastAsia="Calibri" w:hAnsi="Arial" w:cs="Arial"/>
          <w:bCs/>
          <w:sz w:val="26"/>
          <w:szCs w:val="26"/>
        </w:rPr>
        <w:t xml:space="preserve">, </w:t>
      </w:r>
      <w:r w:rsidR="009E52EB">
        <w:rPr>
          <w:rFonts w:ascii="Arial" w:eastAsia="Calibri" w:hAnsi="Arial" w:cs="Arial"/>
          <w:bCs/>
          <w:sz w:val="26"/>
          <w:szCs w:val="26"/>
        </w:rPr>
        <w:t>de fecha diez de noviembre de dos mil veinte</w:t>
      </w:r>
      <w:r w:rsidR="0060461A">
        <w:rPr>
          <w:rFonts w:ascii="Arial" w:eastAsia="Calibri" w:hAnsi="Arial" w:cs="Arial"/>
          <w:bCs/>
          <w:sz w:val="26"/>
          <w:szCs w:val="26"/>
        </w:rPr>
        <w:t>, realizó</w:t>
      </w:r>
      <w:r w:rsidR="009E52EB">
        <w:rPr>
          <w:rFonts w:ascii="Arial" w:eastAsia="Calibri" w:hAnsi="Arial" w:cs="Arial"/>
          <w:bCs/>
          <w:sz w:val="26"/>
          <w:szCs w:val="26"/>
        </w:rPr>
        <w:t xml:space="preserve"> </w:t>
      </w:r>
      <w:r w:rsidR="0060461A">
        <w:rPr>
          <w:rFonts w:ascii="Arial" w:eastAsia="Calibri" w:hAnsi="Arial" w:cs="Arial"/>
          <w:bCs/>
          <w:sz w:val="26"/>
          <w:szCs w:val="26"/>
        </w:rPr>
        <w:t>precisamente un análisis y valoración de dicho act</w:t>
      </w:r>
      <w:r w:rsidR="00D4524C">
        <w:rPr>
          <w:rFonts w:ascii="Arial" w:eastAsia="Calibri" w:hAnsi="Arial" w:cs="Arial"/>
          <w:bCs/>
          <w:sz w:val="26"/>
          <w:szCs w:val="26"/>
        </w:rPr>
        <w:t>o,</w:t>
      </w:r>
      <w:r w:rsidR="0060461A">
        <w:rPr>
          <w:rFonts w:ascii="Arial" w:eastAsia="Calibri" w:hAnsi="Arial" w:cs="Arial"/>
          <w:bCs/>
          <w:sz w:val="26"/>
          <w:szCs w:val="26"/>
        </w:rPr>
        <w:t xml:space="preserve"> para llegar a la conclusión que no contenía una </w:t>
      </w:r>
      <w:r w:rsidR="00D1389D">
        <w:rPr>
          <w:rFonts w:ascii="Arial" w:eastAsia="Calibri" w:hAnsi="Arial" w:cs="Arial"/>
          <w:bCs/>
          <w:sz w:val="26"/>
          <w:szCs w:val="26"/>
        </w:rPr>
        <w:t>adecuada</w:t>
      </w:r>
      <w:r w:rsidR="0060461A">
        <w:rPr>
          <w:rFonts w:ascii="Arial" w:eastAsia="Calibri" w:hAnsi="Arial" w:cs="Arial"/>
          <w:bCs/>
          <w:sz w:val="26"/>
          <w:szCs w:val="26"/>
        </w:rPr>
        <w:t xml:space="preserve"> motivación y fundamentación </w:t>
      </w:r>
      <w:r w:rsidR="00D1389D">
        <w:rPr>
          <w:rFonts w:ascii="Arial" w:eastAsia="Calibri" w:hAnsi="Arial" w:cs="Arial"/>
          <w:bCs/>
          <w:sz w:val="26"/>
          <w:szCs w:val="26"/>
        </w:rPr>
        <w:t>incumpliendo con lo estatuido por el artículo 17 fracción V</w:t>
      </w:r>
      <w:r w:rsidR="00D1389D">
        <w:rPr>
          <w:rStyle w:val="Refdenotaalpie"/>
          <w:rFonts w:ascii="Arial" w:eastAsia="Calibri" w:hAnsi="Arial" w:cs="Arial"/>
          <w:bCs/>
          <w:sz w:val="26"/>
          <w:szCs w:val="26"/>
        </w:rPr>
        <w:footnoteReference w:id="4"/>
      </w:r>
      <w:r w:rsidR="00D1389D">
        <w:rPr>
          <w:rFonts w:ascii="Arial" w:eastAsia="Calibri" w:hAnsi="Arial" w:cs="Arial"/>
          <w:bCs/>
          <w:sz w:val="26"/>
          <w:szCs w:val="26"/>
        </w:rPr>
        <w:t xml:space="preserve"> de la Ley de Procedimiento y Justicia Administrativa para el Estado de Oaxaca</w:t>
      </w:r>
      <w:r w:rsidR="0060461A">
        <w:rPr>
          <w:rFonts w:ascii="Arial" w:eastAsia="Calibri" w:hAnsi="Arial" w:cs="Arial"/>
          <w:bCs/>
          <w:sz w:val="26"/>
          <w:szCs w:val="26"/>
        </w:rPr>
        <w:t xml:space="preserve">, tal como se advierte del contenido de la sentencia de </w:t>
      </w:r>
      <w:r w:rsidR="004A75F8">
        <w:rPr>
          <w:rFonts w:ascii="Arial" w:hAnsi="Arial" w:cs="Arial"/>
          <w:bCs/>
          <w:iCs/>
          <w:sz w:val="26"/>
          <w:szCs w:val="26"/>
          <w:lang w:eastAsia="es-ES"/>
        </w:rPr>
        <w:t>veintiséis de febrero de dos mil veintiuno</w:t>
      </w:r>
      <w:r w:rsidR="00185402">
        <w:rPr>
          <w:rFonts w:ascii="Arial" w:hAnsi="Arial" w:cs="Arial"/>
          <w:bCs/>
          <w:iCs/>
          <w:sz w:val="26"/>
          <w:szCs w:val="26"/>
          <w:lang w:eastAsia="es-ES"/>
        </w:rPr>
        <w:t>,</w:t>
      </w:r>
      <w:r w:rsidR="0060461A">
        <w:rPr>
          <w:rFonts w:ascii="Arial" w:hAnsi="Arial" w:cs="Arial"/>
          <w:bCs/>
          <w:iCs/>
          <w:sz w:val="26"/>
          <w:szCs w:val="26"/>
          <w:lang w:eastAsia="es-ES"/>
        </w:rPr>
        <w:t xml:space="preserve"> </w:t>
      </w:r>
      <w:r w:rsidR="00A83C47">
        <w:rPr>
          <w:rFonts w:ascii="Arial" w:hAnsi="Arial" w:cs="Arial"/>
          <w:bCs/>
          <w:iCs/>
          <w:sz w:val="26"/>
          <w:szCs w:val="26"/>
          <w:lang w:eastAsia="es-ES"/>
        </w:rPr>
        <w:lastRenderedPageBreak/>
        <w:t>con valor probatorio pleno por tratarse de actuaciones procesales</w:t>
      </w:r>
      <w:r w:rsidR="008452FB">
        <w:rPr>
          <w:rFonts w:ascii="Arial" w:hAnsi="Arial" w:cs="Arial"/>
          <w:color w:val="000000"/>
          <w:sz w:val="26"/>
          <w:szCs w:val="26"/>
        </w:rPr>
        <w:t>, conforme a lo dispuesto por el artículo 203</w:t>
      </w:r>
      <w:r w:rsidR="005A73F1">
        <w:rPr>
          <w:rStyle w:val="Refdenotaalpie"/>
          <w:rFonts w:ascii="Arial" w:hAnsi="Arial" w:cs="Arial"/>
          <w:color w:val="000000"/>
          <w:sz w:val="26"/>
          <w:szCs w:val="26"/>
        </w:rPr>
        <w:footnoteReference w:id="5"/>
      </w:r>
      <w:r w:rsidR="008452FB">
        <w:rPr>
          <w:rFonts w:ascii="Arial" w:hAnsi="Arial" w:cs="Arial"/>
          <w:color w:val="000000"/>
          <w:sz w:val="26"/>
          <w:szCs w:val="26"/>
        </w:rPr>
        <w:t xml:space="preserve"> fracción I de la Ley </w:t>
      </w:r>
      <w:r w:rsidR="00D1389D">
        <w:rPr>
          <w:rFonts w:ascii="Arial" w:hAnsi="Arial" w:cs="Arial"/>
          <w:color w:val="000000"/>
          <w:sz w:val="26"/>
          <w:szCs w:val="26"/>
        </w:rPr>
        <w:t>en comento</w:t>
      </w:r>
      <w:r w:rsidR="008452FB">
        <w:rPr>
          <w:rFonts w:ascii="Arial" w:hAnsi="Arial" w:cs="Arial"/>
          <w:color w:val="000000"/>
          <w:sz w:val="26"/>
          <w:szCs w:val="26"/>
        </w:rPr>
        <w:t xml:space="preserve">, </w:t>
      </w:r>
      <w:r w:rsidR="008452FB">
        <w:rPr>
          <w:rFonts w:ascii="Arial" w:hAnsi="Arial" w:cs="Arial"/>
          <w:bCs/>
          <w:iCs/>
          <w:sz w:val="26"/>
          <w:szCs w:val="26"/>
          <w:lang w:eastAsia="es-ES"/>
        </w:rPr>
        <w:t xml:space="preserve">en la que se </w:t>
      </w:r>
      <w:r w:rsidR="0060461A">
        <w:rPr>
          <w:rFonts w:ascii="Arial" w:hAnsi="Arial" w:cs="Arial"/>
          <w:bCs/>
          <w:iCs/>
          <w:sz w:val="26"/>
          <w:szCs w:val="26"/>
          <w:lang w:eastAsia="es-ES"/>
        </w:rPr>
        <w:t xml:space="preserve">señaló en el considerando </w:t>
      </w:r>
      <w:r w:rsidR="004A75F8">
        <w:rPr>
          <w:rFonts w:ascii="Arial" w:hAnsi="Arial" w:cs="Arial"/>
          <w:bCs/>
          <w:iCs/>
          <w:sz w:val="26"/>
          <w:szCs w:val="26"/>
          <w:lang w:eastAsia="es-ES"/>
        </w:rPr>
        <w:t>SEXTO</w:t>
      </w:r>
      <w:r w:rsidR="0060461A">
        <w:rPr>
          <w:rFonts w:ascii="Arial" w:hAnsi="Arial" w:cs="Arial"/>
          <w:bCs/>
          <w:iCs/>
          <w:sz w:val="26"/>
          <w:szCs w:val="26"/>
          <w:lang w:eastAsia="es-ES"/>
        </w:rPr>
        <w:t>, lo siguiente</w:t>
      </w:r>
      <w:r w:rsidR="008452FB">
        <w:rPr>
          <w:rFonts w:ascii="Arial" w:hAnsi="Arial" w:cs="Arial"/>
          <w:bCs/>
          <w:iCs/>
          <w:sz w:val="26"/>
          <w:szCs w:val="26"/>
          <w:lang w:eastAsia="es-ES"/>
        </w:rPr>
        <w:t xml:space="preserve">:- </w:t>
      </w:r>
    </w:p>
    <w:p w14:paraId="0E6B8CC7" w14:textId="79253032" w:rsidR="006F6585" w:rsidRDefault="00710550" w:rsidP="008A1C0A">
      <w:pPr>
        <w:spacing w:after="120" w:line="360" w:lineRule="auto"/>
        <w:ind w:left="709" w:right="1041" w:firstLine="425"/>
        <w:jc w:val="both"/>
        <w:rPr>
          <w:rFonts w:ascii="Arial" w:hAnsi="Arial" w:cs="Arial"/>
          <w:bCs/>
          <w:i/>
          <w:lang w:eastAsia="es-ES"/>
        </w:rPr>
      </w:pPr>
      <w:r w:rsidRPr="00710550">
        <w:rPr>
          <w:rFonts w:ascii="Arial" w:hAnsi="Arial" w:cs="Arial"/>
          <w:bCs/>
          <w:i/>
          <w:lang w:eastAsia="es-ES"/>
        </w:rPr>
        <w:t>“</w:t>
      </w:r>
      <w:r w:rsidR="00D1389D">
        <w:rPr>
          <w:rFonts w:ascii="Arial" w:hAnsi="Arial" w:cs="Arial"/>
          <w:bCs/>
          <w:i/>
          <w:lang w:eastAsia="es-ES"/>
        </w:rPr>
        <w:t>…</w:t>
      </w:r>
      <w:r w:rsidR="004A75F8">
        <w:rPr>
          <w:rFonts w:ascii="Arial" w:hAnsi="Arial" w:cs="Arial"/>
          <w:bCs/>
          <w:i/>
          <w:lang w:eastAsia="es-ES"/>
        </w:rPr>
        <w:t xml:space="preserve">Este </w:t>
      </w:r>
      <w:r w:rsidR="00830A96">
        <w:rPr>
          <w:rFonts w:ascii="Arial" w:hAnsi="Arial" w:cs="Arial"/>
          <w:bCs/>
          <w:i/>
          <w:lang w:eastAsia="es-ES"/>
        </w:rPr>
        <w:t>Juzgador toma en cuenta las manifestaciones de ambas partes, advirtiendo que la autoridad demandada efectivamente elaboró un acta de infracción, en ejercicio de la potestad pública conferida y actuando para que los conductores no infrinjan el Reglamento de Vialidad para el Municipio de Oaxaca de Juárez, tal y como lo dispone el artículo 16 fracción II de dicho ordenamiento legal; sin embargo, dicho acto administrativo, como se verá en líneas siguientes, violenta las disposiciones contenidas en los artículos 14 y 16 de la Carta Magna, que imponen a toda autoridad la obligación de fundar y motivar sus determinaciones, lo que implica que en las actas de infracción se deben señalar cuáles son las circunstancias de hecho y de derecho, inmediatas anteriores al acto administrativo que lo originaron (motivación), y el fundamento legal en que se apoyen (fundamentación).</w:t>
      </w:r>
    </w:p>
    <w:p w14:paraId="1BBC7812" w14:textId="77777777" w:rsidR="006254DF" w:rsidRDefault="006254DF" w:rsidP="006254DF">
      <w:pPr>
        <w:spacing w:line="360" w:lineRule="auto"/>
        <w:ind w:left="709" w:right="1041" w:firstLine="425"/>
        <w:jc w:val="both"/>
        <w:rPr>
          <w:rFonts w:ascii="Arial" w:hAnsi="Arial" w:cs="Arial"/>
          <w:bCs/>
          <w:i/>
          <w:lang w:eastAsia="es-ES"/>
        </w:rPr>
      </w:pPr>
      <w:r>
        <w:rPr>
          <w:rFonts w:ascii="Arial" w:hAnsi="Arial" w:cs="Arial"/>
          <w:bCs/>
          <w:i/>
          <w:lang w:eastAsia="es-ES"/>
        </w:rPr>
        <w:t>[…]</w:t>
      </w:r>
    </w:p>
    <w:p w14:paraId="08AF916D" w14:textId="09C52609" w:rsidR="00830A96" w:rsidRDefault="00830A96" w:rsidP="008A1C0A">
      <w:pPr>
        <w:spacing w:after="120" w:line="360" w:lineRule="auto"/>
        <w:ind w:left="709" w:right="1041" w:firstLine="425"/>
        <w:jc w:val="both"/>
        <w:rPr>
          <w:rFonts w:ascii="Arial" w:hAnsi="Arial" w:cs="Arial"/>
          <w:bCs/>
          <w:i/>
          <w:lang w:eastAsia="es-ES"/>
        </w:rPr>
      </w:pPr>
      <w:r>
        <w:rPr>
          <w:rFonts w:ascii="Arial" w:hAnsi="Arial" w:cs="Arial"/>
          <w:bCs/>
          <w:i/>
          <w:lang w:eastAsia="es-ES"/>
        </w:rPr>
        <w:t>Ahora bien, el formato del acta de infracción en estudio, contempla dos rubros específicos, uno para la fundamentación y otro para la motivación</w:t>
      </w:r>
      <w:r w:rsidR="0052435D">
        <w:rPr>
          <w:rFonts w:ascii="Arial" w:hAnsi="Arial" w:cs="Arial"/>
          <w:bCs/>
          <w:i/>
          <w:lang w:eastAsia="es-ES"/>
        </w:rPr>
        <w:t xml:space="preserve">, observándose que en el apartado correspondiente a la </w:t>
      </w:r>
      <w:r w:rsidR="0052435D">
        <w:rPr>
          <w:rFonts w:ascii="Arial" w:hAnsi="Arial" w:cs="Arial"/>
          <w:b/>
          <w:i/>
          <w:u w:val="single"/>
          <w:lang w:eastAsia="es-ES"/>
        </w:rPr>
        <w:t xml:space="preserve">fundamentación, </w:t>
      </w:r>
      <w:r w:rsidR="0052435D">
        <w:rPr>
          <w:rFonts w:ascii="Arial" w:hAnsi="Arial" w:cs="Arial"/>
          <w:bCs/>
          <w:i/>
          <w:lang w:eastAsia="es-ES"/>
        </w:rPr>
        <w:t xml:space="preserve">la demandada no plasmó artículo alguno; y en el apartado correspondiente a la </w:t>
      </w:r>
      <w:r w:rsidR="0052435D">
        <w:rPr>
          <w:rFonts w:ascii="Arial" w:hAnsi="Arial" w:cs="Arial"/>
          <w:bCs/>
          <w:i/>
          <w:u w:val="single"/>
          <w:lang w:eastAsia="es-ES"/>
        </w:rPr>
        <w:t xml:space="preserve">motivación </w:t>
      </w:r>
      <w:r w:rsidR="0052435D">
        <w:rPr>
          <w:rFonts w:ascii="Arial" w:hAnsi="Arial" w:cs="Arial"/>
          <w:bCs/>
          <w:i/>
          <w:lang w:eastAsia="es-ES"/>
        </w:rPr>
        <w:t>asentó: “Por estacionarse en lugar Prohibido, Artículo 86 fracción XXXIII”</w:t>
      </w:r>
    </w:p>
    <w:p w14:paraId="6B50E90E" w14:textId="629FF56D" w:rsidR="0052435D" w:rsidRDefault="0052435D" w:rsidP="008A1C0A">
      <w:pPr>
        <w:spacing w:after="120" w:line="360" w:lineRule="auto"/>
        <w:ind w:left="709" w:right="1041" w:firstLine="425"/>
        <w:jc w:val="both"/>
        <w:rPr>
          <w:rFonts w:ascii="Arial" w:hAnsi="Arial" w:cs="Arial"/>
          <w:bCs/>
          <w:i/>
          <w:lang w:eastAsia="es-ES"/>
        </w:rPr>
      </w:pPr>
      <w:r>
        <w:rPr>
          <w:rFonts w:ascii="Arial" w:hAnsi="Arial" w:cs="Arial"/>
          <w:bCs/>
          <w:i/>
          <w:lang w:eastAsia="es-ES"/>
        </w:rPr>
        <w:t>El artículo 86 fracción XXXIII del Reglamento de Vialidad para el Municipio de Oaxaca de Juárez, Oaxaca, dispone:</w:t>
      </w:r>
    </w:p>
    <w:p w14:paraId="2D97438B" w14:textId="19F93FF2" w:rsidR="0052435D" w:rsidRPr="003B2943" w:rsidRDefault="0052435D" w:rsidP="008A1C0A">
      <w:pPr>
        <w:spacing w:after="120" w:line="360" w:lineRule="auto"/>
        <w:ind w:left="709" w:right="1041" w:firstLine="425"/>
        <w:jc w:val="both"/>
        <w:rPr>
          <w:rFonts w:ascii="Arial" w:hAnsi="Arial" w:cs="Arial"/>
          <w:bCs/>
          <w:i/>
          <w:sz w:val="20"/>
          <w:szCs w:val="20"/>
          <w:lang w:eastAsia="es-ES"/>
        </w:rPr>
      </w:pPr>
      <w:r w:rsidRPr="003B2943">
        <w:rPr>
          <w:rFonts w:ascii="Arial" w:hAnsi="Arial" w:cs="Arial"/>
          <w:bCs/>
          <w:i/>
          <w:sz w:val="20"/>
          <w:szCs w:val="20"/>
          <w:lang w:eastAsia="es-ES"/>
        </w:rPr>
        <w:t>“</w:t>
      </w:r>
      <w:r w:rsidRPr="003B2943">
        <w:rPr>
          <w:rFonts w:ascii="Arial" w:hAnsi="Arial" w:cs="Arial"/>
          <w:b/>
          <w:i/>
          <w:sz w:val="20"/>
          <w:szCs w:val="20"/>
          <w:lang w:eastAsia="es-ES"/>
        </w:rPr>
        <w:t xml:space="preserve">ARTÍCULO 86.- </w:t>
      </w:r>
      <w:r w:rsidRPr="003B2943">
        <w:rPr>
          <w:rFonts w:ascii="Arial" w:hAnsi="Arial" w:cs="Arial"/>
          <w:bCs/>
          <w:i/>
          <w:sz w:val="20"/>
          <w:szCs w:val="20"/>
          <w:lang w:eastAsia="es-ES"/>
        </w:rPr>
        <w:t>Queda prohibido el estacionamiento:</w:t>
      </w:r>
    </w:p>
    <w:p w14:paraId="0A16F6B7" w14:textId="1C1A3645" w:rsidR="0052435D" w:rsidRPr="003B2943" w:rsidRDefault="0052435D" w:rsidP="008A1C0A">
      <w:pPr>
        <w:spacing w:after="120" w:line="360" w:lineRule="auto"/>
        <w:ind w:left="709" w:right="1041" w:firstLine="425"/>
        <w:jc w:val="both"/>
        <w:rPr>
          <w:rFonts w:ascii="Arial" w:hAnsi="Arial" w:cs="Arial"/>
          <w:bCs/>
          <w:i/>
          <w:sz w:val="20"/>
          <w:szCs w:val="20"/>
          <w:lang w:eastAsia="es-ES"/>
        </w:rPr>
      </w:pPr>
      <w:r w:rsidRPr="003B2943">
        <w:rPr>
          <w:rFonts w:ascii="Arial" w:hAnsi="Arial" w:cs="Arial"/>
          <w:bCs/>
          <w:i/>
          <w:sz w:val="20"/>
          <w:szCs w:val="20"/>
          <w:lang w:eastAsia="es-ES"/>
        </w:rPr>
        <w:t>…</w:t>
      </w:r>
    </w:p>
    <w:p w14:paraId="34A0B26F" w14:textId="33458FBB" w:rsidR="0052435D" w:rsidRPr="003B2943" w:rsidRDefault="0052435D" w:rsidP="008A1C0A">
      <w:pPr>
        <w:spacing w:after="120" w:line="360" w:lineRule="auto"/>
        <w:ind w:left="709" w:right="1041" w:firstLine="425"/>
        <w:jc w:val="both"/>
        <w:rPr>
          <w:rFonts w:ascii="Arial" w:hAnsi="Arial" w:cs="Arial"/>
          <w:bCs/>
          <w:i/>
          <w:sz w:val="20"/>
          <w:szCs w:val="20"/>
          <w:lang w:eastAsia="es-ES"/>
        </w:rPr>
      </w:pPr>
      <w:r w:rsidRPr="003B2943">
        <w:rPr>
          <w:rFonts w:ascii="Arial" w:hAnsi="Arial" w:cs="Arial"/>
          <w:bCs/>
          <w:i/>
          <w:sz w:val="20"/>
          <w:szCs w:val="20"/>
          <w:lang w:eastAsia="es-ES"/>
        </w:rPr>
        <w:t>XXXIII.- En los demás lugares que determine la Comisaría de Vialidad y donde exista señalamiento restrictivo.”</w:t>
      </w:r>
    </w:p>
    <w:p w14:paraId="4C5BF667" w14:textId="77777777" w:rsidR="00BE664C" w:rsidRDefault="003B2943" w:rsidP="00855551">
      <w:pPr>
        <w:tabs>
          <w:tab w:val="left" w:pos="1215"/>
        </w:tabs>
        <w:spacing w:after="120" w:line="360" w:lineRule="auto"/>
        <w:ind w:left="709" w:right="1041"/>
        <w:jc w:val="both"/>
        <w:rPr>
          <w:rFonts w:ascii="Arial" w:hAnsi="Arial" w:cs="Arial"/>
          <w:bCs/>
          <w:i/>
          <w:lang w:eastAsia="es-ES"/>
        </w:rPr>
      </w:pPr>
      <w:r>
        <w:rPr>
          <w:rFonts w:ascii="Arial" w:hAnsi="Arial" w:cs="Arial"/>
          <w:bCs/>
          <w:i/>
          <w:lang w:eastAsia="es-ES"/>
        </w:rPr>
        <w:tab/>
        <w:t xml:space="preserve">De lo transcrito se advierte, que efectivamente, dicho numeral establece una prohibición de estacionarse en determinados lugares, a decir, aquellos que estén así identificados por la Comisaría de Vialidad y donde exista el señalamiento respectivo, sin embargo, en el acta de infracción impugnada, el Policía Vial demandado omitió expresar las circunstancias de hecho y derecho, inmediatas anteriores al acto administrativo que lo originaron, es decir, las razones que hayan considerando para estimar que el caso </w:t>
      </w:r>
      <w:r>
        <w:rPr>
          <w:rFonts w:ascii="Arial" w:hAnsi="Arial" w:cs="Arial"/>
          <w:bCs/>
          <w:i/>
          <w:lang w:eastAsia="es-ES"/>
        </w:rPr>
        <w:lastRenderedPageBreak/>
        <w:t>puede subsumirse en la hipótesis prevista en esa norma jurídica, y ante tal omisión, se impide que se actualice la hipótesis normativa, pues el Policía Vial demandado, únicamente se concretó a reproducir la prohibición contenida en la norma, cuando lo realmente importante, para tener debidamente motivada el acta de infracción en estudio, era señalar cual era el señalamiento restrictivo determinado por la Comisaría de Vialidad, que impedía a los conductores estacionarse sus vehículos en el lugar en que se encontró estacionado el vehículo de la actora</w:t>
      </w:r>
      <w:r w:rsidR="00245DB3">
        <w:rPr>
          <w:rFonts w:ascii="Arial" w:hAnsi="Arial" w:cs="Arial"/>
          <w:bCs/>
          <w:i/>
          <w:lang w:eastAsia="es-ES"/>
        </w:rPr>
        <w:t>, pues de conformidad con el artículo 100 fracción I, inciso b) del Reglamento de Vialidad para el Municipio de Oaxaca de Juárez, Oaxaca, las señales, marcas, semáforos, y cualquier otro dispositivo adyacente a las carreteras, son dispositivos para el control del tránsito, por lo que la falta de descripción del señalamiento existente en el lugar en que se encontró estacionado el vehículo de la actora, implica que solo se haya invocado el fundamento, más no que ello implique la motivación, y tomando en cuenta que ha sido criterio del máximo Tribunal del País, que la sola cita, en una resolución, de un artículo de una ley, constituye un dato que, por sí solo, resulta insuficiente para acreditar tal cuestión, pues lo relevante para ello consiste en demostrar que, en el caso concreto, fueron aplicadas las consecuencias jurídicas que siguen a la</w:t>
      </w:r>
      <w:r w:rsidR="00855551">
        <w:rPr>
          <w:rFonts w:ascii="Arial" w:hAnsi="Arial" w:cs="Arial"/>
          <w:bCs/>
          <w:i/>
          <w:lang w:eastAsia="es-ES"/>
        </w:rPr>
        <w:t xml:space="preserve"> configuración de la hipótesis normativa descrita en la ley, lo que en el presente asunto no ocurrió, de ahí la ilegalidad del acta de infracción en estudio, pues violenta lo dispuesto en la fracción V del artículo 17 de la Ley de Procedimiento y Justicia Administrativa para el Estado de Oaxaca, que impone a las autoridades fundar y motivar sus actos, máxime que en el presente Juicio la suplencia de la deficiencia de la queja únicamente se encuentra prevista en favor del administrado, conforme al artículo 149 de la Ley de Procedimiento y Justicia Administrativa para el Estado de Oaxaca. Sirve de apoyo a lo anterior, la Jurisprudencia con datos de identificación: Semanario Judicial de la Federación y su Gaceta, Libro XIII, Octubre de 2012, Tomo 2, página 812, Décima Época, registro digital 159</w:t>
      </w:r>
      <w:r w:rsidR="00693E9C">
        <w:rPr>
          <w:rFonts w:ascii="Arial" w:hAnsi="Arial" w:cs="Arial"/>
          <w:bCs/>
          <w:i/>
          <w:lang w:eastAsia="es-ES"/>
        </w:rPr>
        <w:t>929, Jurisprudencia Común, Primera Sala, de rubro: “LEYES. SU SOLA CITA NO CONSTITUYE UN ACTO DE APLICACIÓN.”</w:t>
      </w:r>
    </w:p>
    <w:p w14:paraId="6DC1EA61" w14:textId="14C0EC6E" w:rsidR="0052435D" w:rsidRPr="0052435D" w:rsidRDefault="00BE664C" w:rsidP="00855551">
      <w:pPr>
        <w:tabs>
          <w:tab w:val="left" w:pos="1215"/>
        </w:tabs>
        <w:spacing w:after="120" w:line="360" w:lineRule="auto"/>
        <w:ind w:left="709" w:right="1041"/>
        <w:jc w:val="both"/>
        <w:rPr>
          <w:rFonts w:ascii="Arial" w:hAnsi="Arial" w:cs="Arial"/>
          <w:bCs/>
          <w:i/>
          <w:lang w:eastAsia="es-ES"/>
        </w:rPr>
      </w:pPr>
      <w:r>
        <w:rPr>
          <w:rFonts w:ascii="Arial" w:hAnsi="Arial" w:cs="Arial"/>
          <w:bCs/>
          <w:i/>
          <w:lang w:eastAsia="es-ES"/>
        </w:rPr>
        <w:tab/>
        <w:t xml:space="preserve">Ante tales omisiones, sin duda dejó en estado de indefensión a la actora, al impedirle la oportunidad de alegar en su defensa, violentando lo dispuesto en la fracción II del artículo 16 del Reglamento de Vialidad para el Municipio de Oaxaca de Juárez, el cual dispone </w:t>
      </w:r>
      <w:r w:rsidRPr="00BE664C">
        <w:rPr>
          <w:rFonts w:ascii="Arial" w:hAnsi="Arial" w:cs="Arial"/>
          <w:bCs/>
          <w:i/>
          <w:sz w:val="20"/>
          <w:szCs w:val="20"/>
          <w:lang w:eastAsia="es-ES"/>
        </w:rPr>
        <w:t>“</w:t>
      </w:r>
      <w:r w:rsidRPr="00BE664C">
        <w:rPr>
          <w:rFonts w:ascii="Arial" w:hAnsi="Arial" w:cs="Arial"/>
          <w:b/>
          <w:i/>
          <w:sz w:val="20"/>
          <w:szCs w:val="20"/>
          <w:lang w:eastAsia="es-ES"/>
        </w:rPr>
        <w:t xml:space="preserve">ARTÍCULO 16.- </w:t>
      </w:r>
      <w:r w:rsidRPr="00BE664C">
        <w:rPr>
          <w:rFonts w:ascii="Arial" w:hAnsi="Arial" w:cs="Arial"/>
          <w:bCs/>
          <w:i/>
          <w:sz w:val="20"/>
          <w:szCs w:val="20"/>
          <w:lang w:eastAsia="es-ES"/>
        </w:rPr>
        <w:t xml:space="preserve">independientemente de las obligaciones y atribuciones que contempla el presente Ordenamiento y el Reglamento de la Comisión, son atribuciones y obligaciones de los Policías Viales:… II. Formular las actas de infracción cometidas por los conductores que </w:t>
      </w:r>
      <w:r w:rsidRPr="00BE664C">
        <w:rPr>
          <w:rFonts w:ascii="Arial" w:hAnsi="Arial" w:cs="Arial"/>
          <w:bCs/>
          <w:i/>
          <w:sz w:val="20"/>
          <w:szCs w:val="20"/>
          <w:lang w:eastAsia="es-ES"/>
        </w:rPr>
        <w:lastRenderedPageBreak/>
        <w:t xml:space="preserve">infrinjan el presente Reglamento, </w:t>
      </w:r>
      <w:r w:rsidRPr="00BE664C">
        <w:rPr>
          <w:rFonts w:ascii="Arial" w:hAnsi="Arial" w:cs="Arial"/>
          <w:b/>
          <w:i/>
          <w:sz w:val="20"/>
          <w:szCs w:val="20"/>
          <w:lang w:eastAsia="es-ES"/>
        </w:rPr>
        <w:t>fundándolas y motivándolas correctamente, evitando abreviaturas o signos que impidan la comprensión del contenido;</w:t>
      </w:r>
      <w:r w:rsidRPr="00BE664C">
        <w:rPr>
          <w:rFonts w:ascii="Arial" w:hAnsi="Arial" w:cs="Arial"/>
          <w:bCs/>
          <w:i/>
          <w:sz w:val="20"/>
          <w:szCs w:val="20"/>
          <w:lang w:eastAsia="es-ES"/>
        </w:rPr>
        <w:t>…”</w:t>
      </w:r>
      <w:r>
        <w:rPr>
          <w:rFonts w:ascii="Arial" w:hAnsi="Arial" w:cs="Arial"/>
          <w:b/>
          <w:i/>
          <w:lang w:eastAsia="es-ES"/>
        </w:rPr>
        <w:t xml:space="preserve"> </w:t>
      </w:r>
      <w:r w:rsidR="00693E9C">
        <w:rPr>
          <w:rFonts w:ascii="Arial" w:hAnsi="Arial" w:cs="Arial"/>
          <w:bCs/>
          <w:i/>
          <w:lang w:eastAsia="es-ES"/>
        </w:rPr>
        <w:t xml:space="preserve"> </w:t>
      </w:r>
      <w:r w:rsidR="00245DB3">
        <w:rPr>
          <w:rFonts w:ascii="Arial" w:hAnsi="Arial" w:cs="Arial"/>
          <w:bCs/>
          <w:i/>
          <w:lang w:eastAsia="es-ES"/>
        </w:rPr>
        <w:t xml:space="preserve"> </w:t>
      </w:r>
      <w:r w:rsidR="003B2943">
        <w:rPr>
          <w:rFonts w:ascii="Arial" w:hAnsi="Arial" w:cs="Arial"/>
          <w:bCs/>
          <w:i/>
          <w:lang w:eastAsia="es-ES"/>
        </w:rPr>
        <w:t xml:space="preserve">   </w:t>
      </w:r>
    </w:p>
    <w:p w14:paraId="47D9DE13" w14:textId="27B812F3" w:rsidR="00F21104" w:rsidRDefault="006254DF" w:rsidP="00F21104">
      <w:pPr>
        <w:spacing w:line="360" w:lineRule="auto"/>
        <w:ind w:left="709" w:right="1041" w:firstLine="425"/>
        <w:jc w:val="both"/>
        <w:rPr>
          <w:rFonts w:ascii="Arial" w:hAnsi="Arial" w:cs="Arial"/>
          <w:bCs/>
          <w:i/>
          <w:lang w:eastAsia="es-ES"/>
        </w:rPr>
      </w:pPr>
      <w:r>
        <w:rPr>
          <w:rFonts w:ascii="Arial" w:hAnsi="Arial" w:cs="Arial"/>
          <w:bCs/>
          <w:i/>
          <w:lang w:eastAsia="es-ES"/>
        </w:rPr>
        <w:t xml:space="preserve"> </w:t>
      </w:r>
      <w:bookmarkStart w:id="3" w:name="_Hlk77064882"/>
      <w:r w:rsidR="00F21104">
        <w:rPr>
          <w:rFonts w:ascii="Arial" w:hAnsi="Arial" w:cs="Arial"/>
          <w:bCs/>
          <w:i/>
          <w:lang w:eastAsia="es-ES"/>
        </w:rPr>
        <w:t>[…]</w:t>
      </w:r>
    </w:p>
    <w:bookmarkEnd w:id="3"/>
    <w:p w14:paraId="4A6825FA" w14:textId="5475FFD9" w:rsidR="00FF3AD9" w:rsidRPr="00FF3AD9" w:rsidRDefault="00F21104" w:rsidP="008A1C0A">
      <w:pPr>
        <w:spacing w:after="240" w:line="360" w:lineRule="auto"/>
        <w:ind w:left="709" w:right="1041" w:firstLine="425"/>
        <w:jc w:val="both"/>
        <w:rPr>
          <w:rFonts w:ascii="Arial" w:hAnsi="Arial" w:cs="Arial"/>
          <w:bCs/>
          <w:i/>
          <w:sz w:val="20"/>
          <w:szCs w:val="20"/>
          <w:lang w:eastAsia="es-ES"/>
        </w:rPr>
      </w:pPr>
      <w:r>
        <w:rPr>
          <w:rFonts w:ascii="Arial" w:hAnsi="Arial" w:cs="Arial"/>
          <w:bCs/>
          <w:i/>
          <w:lang w:eastAsia="es-ES"/>
        </w:rPr>
        <w:t xml:space="preserve">   </w:t>
      </w:r>
      <w:r w:rsidR="006254DF">
        <w:rPr>
          <w:rFonts w:ascii="Arial" w:hAnsi="Arial" w:cs="Arial"/>
          <w:bCs/>
          <w:i/>
          <w:lang w:eastAsia="es-ES"/>
        </w:rPr>
        <w:t xml:space="preserve">Una vez declarado inconstitucional el acto impugnado, lo procedente es conforme a la fracción II del artículo 208 de la Ley que rige a este Tribunal, declarar </w:t>
      </w:r>
      <w:r w:rsidR="006254DF">
        <w:rPr>
          <w:rFonts w:ascii="Arial" w:hAnsi="Arial" w:cs="Arial"/>
          <w:b/>
          <w:i/>
          <w:lang w:eastAsia="es-ES"/>
        </w:rPr>
        <w:t xml:space="preserve">la NULIDAD LISA Y LLANA del acta de infracción con número de folio </w:t>
      </w:r>
      <w:r w:rsidR="00841FF8">
        <w:rPr>
          <w:rFonts w:ascii="Arial" w:hAnsi="Arial" w:cs="Arial"/>
          <w:b/>
          <w:sz w:val="26"/>
          <w:szCs w:val="26"/>
        </w:rPr>
        <w:t>***********</w:t>
      </w:r>
      <w:r w:rsidR="006254DF">
        <w:rPr>
          <w:rFonts w:ascii="Arial" w:hAnsi="Arial" w:cs="Arial"/>
          <w:b/>
          <w:i/>
          <w:lang w:eastAsia="es-ES"/>
        </w:rPr>
        <w:t xml:space="preserve">, de diez de noviembre de dos mil veinte (10/11/2020), </w:t>
      </w:r>
      <w:r w:rsidR="006254DF">
        <w:rPr>
          <w:rFonts w:ascii="Arial" w:hAnsi="Arial" w:cs="Arial"/>
          <w:bCs/>
          <w:i/>
          <w:lang w:eastAsia="es-ES"/>
        </w:rPr>
        <w:t xml:space="preserve">relacionada al automóvil de uso particular, marca </w:t>
      </w:r>
      <w:r w:rsidR="00841FF8">
        <w:rPr>
          <w:rFonts w:ascii="Arial" w:hAnsi="Arial" w:cs="Arial"/>
          <w:b/>
          <w:sz w:val="26"/>
          <w:szCs w:val="26"/>
        </w:rPr>
        <w:t>***********</w:t>
      </w:r>
      <w:r w:rsidR="006254DF">
        <w:rPr>
          <w:rFonts w:ascii="Arial" w:hAnsi="Arial" w:cs="Arial"/>
          <w:bCs/>
          <w:i/>
          <w:lang w:eastAsia="es-ES"/>
        </w:rPr>
        <w:t xml:space="preserve">, </w:t>
      </w:r>
      <w:r w:rsidR="00841FF8">
        <w:rPr>
          <w:rFonts w:ascii="Arial" w:hAnsi="Arial" w:cs="Arial"/>
          <w:b/>
          <w:sz w:val="26"/>
          <w:szCs w:val="26"/>
        </w:rPr>
        <w:t>***********</w:t>
      </w:r>
      <w:r w:rsidR="006254DF">
        <w:rPr>
          <w:rFonts w:ascii="Arial" w:hAnsi="Arial" w:cs="Arial"/>
          <w:bCs/>
          <w:i/>
          <w:lang w:eastAsia="es-ES"/>
        </w:rPr>
        <w:t xml:space="preserve">, color </w:t>
      </w:r>
      <w:r w:rsidR="00841FF8">
        <w:rPr>
          <w:rFonts w:ascii="Arial" w:hAnsi="Arial" w:cs="Arial"/>
          <w:b/>
          <w:sz w:val="26"/>
          <w:szCs w:val="26"/>
        </w:rPr>
        <w:t>***********</w:t>
      </w:r>
      <w:r w:rsidR="006254DF">
        <w:rPr>
          <w:rFonts w:ascii="Arial" w:hAnsi="Arial" w:cs="Arial"/>
          <w:bCs/>
          <w:i/>
          <w:lang w:eastAsia="es-ES"/>
        </w:rPr>
        <w:t xml:space="preserve">, con placas de circulación </w:t>
      </w:r>
      <w:r w:rsidR="00841FF8">
        <w:rPr>
          <w:rFonts w:ascii="Arial" w:hAnsi="Arial" w:cs="Arial"/>
          <w:b/>
          <w:sz w:val="26"/>
          <w:szCs w:val="26"/>
        </w:rPr>
        <w:t>***********</w:t>
      </w:r>
      <w:r w:rsidR="006254DF">
        <w:rPr>
          <w:rFonts w:ascii="Arial" w:hAnsi="Arial" w:cs="Arial"/>
          <w:bCs/>
          <w:i/>
          <w:lang w:eastAsia="es-ES"/>
        </w:rPr>
        <w:t xml:space="preserve"> del Estado de Puebla, emitida por JUAN </w:t>
      </w:r>
      <w:r w:rsidR="006254DF" w:rsidRPr="001E6586">
        <w:rPr>
          <w:rFonts w:ascii="Arial" w:hAnsi="Arial" w:cs="Arial"/>
          <w:bCs/>
          <w:i/>
          <w:lang w:eastAsia="es-ES"/>
        </w:rPr>
        <w:t>SEBASTIAN FLORENTINO GALLEGOS</w:t>
      </w:r>
      <w:r w:rsidR="006254DF">
        <w:rPr>
          <w:rFonts w:ascii="Arial" w:hAnsi="Arial" w:cs="Arial"/>
          <w:bCs/>
          <w:i/>
          <w:lang w:eastAsia="es-ES"/>
        </w:rPr>
        <w:t xml:space="preserve">, Policía Vial con número estadístico 118, de la Comisaría de Vialidad del Municipio de Oaxaca de Juárez, Oaxaca; y por ello, </w:t>
      </w:r>
      <w:r w:rsidR="006254DF">
        <w:rPr>
          <w:rFonts w:ascii="Arial" w:hAnsi="Arial" w:cs="Arial"/>
          <w:b/>
          <w:i/>
          <w:lang w:eastAsia="es-ES"/>
        </w:rPr>
        <w:t>se ordena a la citada a</w:t>
      </w:r>
      <w:bookmarkStart w:id="4" w:name="_GoBack"/>
      <w:bookmarkEnd w:id="4"/>
      <w:r w:rsidR="006254DF">
        <w:rPr>
          <w:rFonts w:ascii="Arial" w:hAnsi="Arial" w:cs="Arial"/>
          <w:b/>
          <w:i/>
          <w:lang w:eastAsia="es-ES"/>
        </w:rPr>
        <w:t xml:space="preserve">utoridad demandada </w:t>
      </w:r>
      <w:r w:rsidR="006254DF">
        <w:rPr>
          <w:rFonts w:ascii="Arial" w:hAnsi="Arial" w:cs="Arial"/>
          <w:bCs/>
          <w:i/>
          <w:lang w:eastAsia="es-ES"/>
        </w:rPr>
        <w:t xml:space="preserve">dar de baja del sistema informático con que cuenta la Dirección de Seguridad, Vialidad y Protección Ciudadana del Municipio de Oaxaca de Juárez, Oaxaca, el acta de infracción aquí decretada ilegal, lo cual deberá realizarse en los plazos </w:t>
      </w:r>
      <w:r w:rsidR="00D2708F">
        <w:rPr>
          <w:rFonts w:ascii="Arial" w:hAnsi="Arial" w:cs="Arial"/>
          <w:bCs/>
          <w:i/>
          <w:lang w:eastAsia="es-ES"/>
        </w:rPr>
        <w:t>que establecen los artículos 212 y 213 de la Ley de Procedimiento y Justicia Administrativa para el Estado de Oaxaca, en el entendido</w:t>
      </w:r>
      <w:r w:rsidR="00981A74">
        <w:rPr>
          <w:rFonts w:ascii="Arial" w:hAnsi="Arial" w:cs="Arial"/>
          <w:bCs/>
          <w:i/>
          <w:lang w:eastAsia="es-ES"/>
        </w:rPr>
        <w:t>, que si el acto interviene alguna otra autoridad ligada de cualquier forma con la responsable, ésta no deberá de asumir una actitud pasiva, sino ejecutar todos aquellos actos que sean necesarios para el cumplimiento de lo aquí ordenado, de conformidad con lo dispuesto en el artículo 222 de la Ley de Procedimiento y Justicia Administrativa para el Estado de Oaxaca..</w:t>
      </w:r>
      <w:r w:rsidR="004B316D">
        <w:rPr>
          <w:rFonts w:ascii="Arial" w:hAnsi="Arial" w:cs="Arial"/>
          <w:bCs/>
          <w:i/>
          <w:lang w:eastAsia="es-ES"/>
        </w:rPr>
        <w:t>.</w:t>
      </w:r>
      <w:r w:rsidR="00981A74">
        <w:rPr>
          <w:rFonts w:ascii="Arial" w:hAnsi="Arial" w:cs="Arial"/>
          <w:bCs/>
          <w:i/>
          <w:lang w:eastAsia="es-ES"/>
        </w:rPr>
        <w:t>”</w:t>
      </w:r>
      <w:r w:rsidR="004B316D">
        <w:rPr>
          <w:rFonts w:ascii="Arial" w:hAnsi="Arial" w:cs="Arial"/>
          <w:bCs/>
          <w:i/>
          <w:lang w:eastAsia="es-ES"/>
        </w:rPr>
        <w:t xml:space="preserve">- - - - - - - - - - - - - - - - - </w:t>
      </w:r>
      <w:r w:rsidR="00805250">
        <w:rPr>
          <w:rFonts w:ascii="Arial" w:hAnsi="Arial" w:cs="Arial"/>
          <w:bCs/>
          <w:i/>
          <w:lang w:eastAsia="es-ES"/>
        </w:rPr>
        <w:t xml:space="preserve">- - - - - - - - - - - - - - - - - - - - - - - - </w:t>
      </w:r>
    </w:p>
    <w:p w14:paraId="497457F3" w14:textId="7D1352D9" w:rsidR="007F6B75" w:rsidRDefault="003F1DB4" w:rsidP="008A1C0A">
      <w:pPr>
        <w:spacing w:after="240" w:line="360" w:lineRule="auto"/>
        <w:ind w:firstLine="709"/>
        <w:jc w:val="both"/>
        <w:rPr>
          <w:rFonts w:ascii="Arial" w:eastAsia="Calibri" w:hAnsi="Arial" w:cs="Arial"/>
          <w:bCs/>
          <w:sz w:val="26"/>
          <w:szCs w:val="26"/>
        </w:rPr>
      </w:pPr>
      <w:r w:rsidRPr="003F1DB4">
        <w:rPr>
          <w:rFonts w:ascii="Arial" w:eastAsia="Calibri" w:hAnsi="Arial" w:cs="Arial"/>
          <w:color w:val="000000" w:themeColor="text1"/>
          <w:sz w:val="26"/>
          <w:szCs w:val="26"/>
        </w:rPr>
        <w:t>Por tanto,</w:t>
      </w:r>
      <w:r>
        <w:rPr>
          <w:rFonts w:ascii="Arial" w:eastAsia="Calibri" w:hAnsi="Arial" w:cs="Arial"/>
          <w:bCs/>
          <w:color w:val="000000" w:themeColor="text1"/>
          <w:sz w:val="26"/>
          <w:szCs w:val="26"/>
        </w:rPr>
        <w:t xml:space="preserve"> </w:t>
      </w:r>
      <w:r>
        <w:rPr>
          <w:rFonts w:ascii="Arial" w:eastAsia="Calibri" w:hAnsi="Arial" w:cs="Arial"/>
          <w:bCs/>
          <w:sz w:val="26"/>
          <w:szCs w:val="26"/>
        </w:rPr>
        <w:t>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por lo que su determinación fue realizada conforme a lo planteado por las partes, cumpliendo así con lo dispuesto en el artículo 16</w:t>
      </w:r>
      <w:r w:rsidR="005A73F1">
        <w:rPr>
          <w:rStyle w:val="Refdenotaalpie"/>
          <w:rFonts w:ascii="Arial" w:eastAsia="Calibri" w:hAnsi="Arial" w:cs="Arial"/>
          <w:bCs/>
          <w:sz w:val="26"/>
          <w:szCs w:val="26"/>
        </w:rPr>
        <w:footnoteReference w:id="6"/>
      </w:r>
      <w:r>
        <w:rPr>
          <w:rFonts w:ascii="Arial" w:eastAsia="Calibri" w:hAnsi="Arial" w:cs="Arial"/>
          <w:bCs/>
          <w:sz w:val="26"/>
          <w:szCs w:val="26"/>
        </w:rPr>
        <w:t xml:space="preserve"> </w:t>
      </w:r>
      <w:r w:rsidR="005A73F1">
        <w:rPr>
          <w:rFonts w:ascii="Arial" w:eastAsia="Calibri" w:hAnsi="Arial" w:cs="Arial"/>
          <w:bCs/>
          <w:sz w:val="26"/>
          <w:szCs w:val="26"/>
        </w:rPr>
        <w:t xml:space="preserve">primer párrafo </w:t>
      </w:r>
      <w:r>
        <w:rPr>
          <w:rFonts w:ascii="Arial" w:eastAsia="Calibri" w:hAnsi="Arial" w:cs="Arial"/>
          <w:bCs/>
          <w:sz w:val="26"/>
          <w:szCs w:val="26"/>
        </w:rPr>
        <w:t>de la Constitución Federal, así como los preceptos</w:t>
      </w:r>
      <w:r w:rsidR="004B1F81">
        <w:rPr>
          <w:rFonts w:ascii="Arial" w:eastAsia="Calibri" w:hAnsi="Arial" w:cs="Arial"/>
          <w:bCs/>
          <w:sz w:val="26"/>
          <w:szCs w:val="26"/>
        </w:rPr>
        <w:t xml:space="preserve"> </w:t>
      </w:r>
      <w:r>
        <w:rPr>
          <w:rFonts w:ascii="Arial" w:eastAsia="Calibri" w:hAnsi="Arial" w:cs="Arial"/>
          <w:bCs/>
          <w:sz w:val="26"/>
          <w:szCs w:val="26"/>
        </w:rPr>
        <w:lastRenderedPageBreak/>
        <w:t>207</w:t>
      </w:r>
      <w:r w:rsidR="005A73F1">
        <w:rPr>
          <w:rFonts w:ascii="Arial" w:eastAsia="Calibri" w:hAnsi="Arial" w:cs="Arial"/>
          <w:bCs/>
          <w:sz w:val="26"/>
          <w:szCs w:val="26"/>
        </w:rPr>
        <w:t xml:space="preserve"> </w:t>
      </w:r>
      <w:r w:rsidR="005A73F1">
        <w:rPr>
          <w:rStyle w:val="Refdenotaalpie"/>
          <w:rFonts w:ascii="Arial" w:eastAsia="Calibri" w:hAnsi="Arial" w:cs="Arial"/>
          <w:bCs/>
          <w:sz w:val="26"/>
          <w:szCs w:val="26"/>
        </w:rPr>
        <w:footnoteReference w:id="7"/>
      </w:r>
      <w:r>
        <w:rPr>
          <w:rFonts w:ascii="Arial" w:eastAsia="Calibri" w:hAnsi="Arial" w:cs="Arial"/>
          <w:bCs/>
          <w:sz w:val="26"/>
          <w:szCs w:val="26"/>
        </w:rPr>
        <w:t>,</w:t>
      </w:r>
      <w:r w:rsidR="005A73F1">
        <w:rPr>
          <w:rFonts w:ascii="Arial" w:eastAsia="Calibri" w:hAnsi="Arial" w:cs="Arial"/>
          <w:bCs/>
          <w:sz w:val="26"/>
          <w:szCs w:val="26"/>
        </w:rPr>
        <w:t xml:space="preserve"> fracciones I y II,</w:t>
      </w:r>
      <w:r>
        <w:rPr>
          <w:rFonts w:ascii="Arial" w:eastAsia="Calibri" w:hAnsi="Arial" w:cs="Arial"/>
          <w:bCs/>
          <w:sz w:val="26"/>
          <w:szCs w:val="26"/>
        </w:rPr>
        <w:t xml:space="preserve"> 208</w:t>
      </w:r>
      <w:r w:rsidR="005A73F1">
        <w:rPr>
          <w:rStyle w:val="Refdenotaalpie"/>
          <w:rFonts w:ascii="Arial" w:eastAsia="Calibri" w:hAnsi="Arial" w:cs="Arial"/>
          <w:bCs/>
          <w:sz w:val="26"/>
          <w:szCs w:val="26"/>
        </w:rPr>
        <w:footnoteReference w:id="8"/>
      </w:r>
      <w:r>
        <w:rPr>
          <w:rFonts w:ascii="Arial" w:eastAsia="Calibri" w:hAnsi="Arial" w:cs="Arial"/>
          <w:bCs/>
          <w:sz w:val="26"/>
          <w:szCs w:val="26"/>
        </w:rPr>
        <w:t>, fracción II y 209</w:t>
      </w:r>
      <w:r w:rsidR="00C9121C">
        <w:rPr>
          <w:rStyle w:val="Refdenotaalpie"/>
          <w:rFonts w:ascii="Arial" w:eastAsia="Calibri" w:hAnsi="Arial" w:cs="Arial"/>
          <w:bCs/>
          <w:sz w:val="26"/>
          <w:szCs w:val="26"/>
        </w:rPr>
        <w:footnoteReference w:id="9"/>
      </w:r>
      <w:r>
        <w:rPr>
          <w:rFonts w:ascii="Arial" w:eastAsia="Calibri" w:hAnsi="Arial" w:cs="Arial"/>
          <w:bCs/>
          <w:sz w:val="26"/>
          <w:szCs w:val="26"/>
        </w:rPr>
        <w:t xml:space="preserve"> de la Ley de Procedimiento y Justicia Administrativa para el Estado de Oaxaca. - - - - - - - - - - - - - - - </w:t>
      </w:r>
    </w:p>
    <w:p w14:paraId="1C50FC93" w14:textId="35EF720F" w:rsidR="00A56E8D" w:rsidRPr="00A56E8D" w:rsidRDefault="00E53692" w:rsidP="00A56E8D">
      <w:pPr>
        <w:spacing w:after="120" w:line="360" w:lineRule="auto"/>
        <w:ind w:right="51" w:firstLine="708"/>
        <w:jc w:val="both"/>
        <w:rPr>
          <w:rFonts w:ascii="Arial" w:hAnsi="Arial" w:cs="Arial"/>
          <w:sz w:val="26"/>
          <w:szCs w:val="26"/>
        </w:rPr>
      </w:pPr>
      <w:r>
        <w:rPr>
          <w:rFonts w:ascii="Arial" w:eastAsia="Calibri" w:hAnsi="Arial" w:cs="Arial"/>
          <w:bCs/>
          <w:sz w:val="26"/>
          <w:szCs w:val="26"/>
        </w:rPr>
        <w:t>En consecuencia, ante</w:t>
      </w:r>
      <w:r w:rsidR="00D4619D">
        <w:rPr>
          <w:rFonts w:ascii="Arial" w:eastAsia="Calibri" w:hAnsi="Arial" w:cs="Arial"/>
          <w:bCs/>
          <w:sz w:val="26"/>
          <w:szCs w:val="26"/>
        </w:rPr>
        <w:t xml:space="preserve"> lo </w:t>
      </w:r>
      <w:r w:rsidR="00D4619D">
        <w:rPr>
          <w:rFonts w:ascii="Arial" w:eastAsia="Calibri" w:hAnsi="Arial" w:cs="Arial"/>
          <w:b/>
          <w:sz w:val="26"/>
          <w:szCs w:val="26"/>
        </w:rPr>
        <w:t xml:space="preserve">INFUNDADO </w:t>
      </w:r>
      <w:r w:rsidR="00D4619D">
        <w:rPr>
          <w:rFonts w:ascii="Arial" w:eastAsia="Calibri" w:hAnsi="Arial" w:cs="Arial"/>
          <w:bCs/>
          <w:sz w:val="26"/>
          <w:szCs w:val="26"/>
        </w:rPr>
        <w:t>del agravio de</w:t>
      </w:r>
      <w:r>
        <w:rPr>
          <w:rFonts w:ascii="Arial" w:eastAsia="Calibri" w:hAnsi="Arial" w:cs="Arial"/>
          <w:bCs/>
          <w:sz w:val="26"/>
          <w:szCs w:val="26"/>
        </w:rPr>
        <w:t xml:space="preserve">l </w:t>
      </w:r>
      <w:r w:rsidR="00D4619D">
        <w:rPr>
          <w:rFonts w:ascii="Arial" w:eastAsia="Calibri" w:hAnsi="Arial" w:cs="Arial"/>
          <w:bCs/>
          <w:sz w:val="26"/>
          <w:szCs w:val="26"/>
        </w:rPr>
        <w:t>recurrente</w:t>
      </w:r>
      <w:r w:rsidR="004B1F81">
        <w:rPr>
          <w:rFonts w:ascii="Arial" w:eastAsia="Calibri" w:hAnsi="Arial" w:cs="Arial"/>
          <w:bCs/>
          <w:sz w:val="26"/>
          <w:szCs w:val="26"/>
        </w:rPr>
        <w:t xml:space="preserve">, </w:t>
      </w:r>
      <w:r w:rsidR="00571114" w:rsidRPr="005D6BC9">
        <w:rPr>
          <w:rFonts w:ascii="Arial" w:eastAsia="Calibri" w:hAnsi="Arial" w:cs="Arial"/>
          <w:bCs/>
          <w:sz w:val="26"/>
          <w:szCs w:val="26"/>
        </w:rPr>
        <w:t>lo procedente e</w:t>
      </w:r>
      <w:r w:rsidR="004B1F81">
        <w:rPr>
          <w:rFonts w:ascii="Arial" w:eastAsia="Calibri" w:hAnsi="Arial" w:cs="Arial"/>
          <w:bCs/>
          <w:sz w:val="26"/>
          <w:szCs w:val="26"/>
        </w:rPr>
        <w:t xml:space="preserve">s </w:t>
      </w:r>
      <w:r w:rsidR="006C1707" w:rsidRPr="006C1707">
        <w:rPr>
          <w:rFonts w:ascii="Arial" w:eastAsia="Calibri" w:hAnsi="Arial" w:cs="Arial"/>
          <w:b/>
          <w:sz w:val="26"/>
          <w:szCs w:val="26"/>
        </w:rPr>
        <w:t>CONFIRMAR</w:t>
      </w:r>
      <w:r w:rsidR="006C1707">
        <w:rPr>
          <w:rFonts w:ascii="Arial" w:eastAsia="Calibri" w:hAnsi="Arial" w:cs="Arial"/>
          <w:bCs/>
          <w:sz w:val="26"/>
          <w:szCs w:val="26"/>
        </w:rPr>
        <w:t xml:space="preserve"> </w:t>
      </w:r>
      <w:r w:rsidR="00571114" w:rsidRPr="005D6BC9">
        <w:rPr>
          <w:rFonts w:ascii="Arial" w:eastAsia="Calibri" w:hAnsi="Arial" w:cs="Arial"/>
          <w:bCs/>
          <w:sz w:val="26"/>
          <w:szCs w:val="26"/>
        </w:rPr>
        <w:t>la sentencia</w:t>
      </w:r>
      <w:r w:rsidR="00422629" w:rsidRPr="005D6BC9">
        <w:rPr>
          <w:rFonts w:ascii="Arial" w:eastAsia="Calibri" w:hAnsi="Arial" w:cs="Arial"/>
          <w:bCs/>
          <w:sz w:val="26"/>
          <w:szCs w:val="26"/>
        </w:rPr>
        <w:t xml:space="preserve"> de</w:t>
      </w:r>
      <w:r w:rsidR="00571114" w:rsidRPr="005D6BC9">
        <w:rPr>
          <w:rFonts w:ascii="Arial" w:eastAsia="Calibri" w:hAnsi="Arial" w:cs="Arial"/>
          <w:bCs/>
          <w:sz w:val="26"/>
          <w:szCs w:val="26"/>
        </w:rPr>
        <w:t xml:space="preserve"> alzada; </w:t>
      </w:r>
      <w:r w:rsidR="00380738" w:rsidRPr="005D6BC9">
        <w:rPr>
          <w:rFonts w:ascii="Arial" w:eastAsia="Calibri" w:hAnsi="Arial" w:cs="Arial"/>
          <w:bCs/>
          <w:sz w:val="26"/>
          <w:szCs w:val="26"/>
        </w:rPr>
        <w:t xml:space="preserve">por lo que, </w:t>
      </w:r>
      <w:r w:rsidR="00571114" w:rsidRPr="005D6BC9">
        <w:rPr>
          <w:rFonts w:ascii="Arial" w:hAnsi="Arial" w:cs="Arial"/>
          <w:sz w:val="26"/>
          <w:szCs w:val="26"/>
        </w:rPr>
        <w:t>con fundamento en los en los artículos 237 y 238 de la Ley de Procedimiento y Justicia Administrativa para el Estado de Oaxaca, se:</w:t>
      </w:r>
      <w:r w:rsidR="00380738" w:rsidRPr="005D6BC9">
        <w:rPr>
          <w:rFonts w:ascii="Arial" w:hAnsi="Arial" w:cs="Arial"/>
          <w:sz w:val="26"/>
          <w:szCs w:val="26"/>
        </w:rPr>
        <w:t>-</w:t>
      </w:r>
      <w:r w:rsidR="004C3BF5">
        <w:rPr>
          <w:rFonts w:ascii="Arial" w:hAnsi="Arial" w:cs="Arial"/>
          <w:sz w:val="26"/>
          <w:szCs w:val="26"/>
        </w:rPr>
        <w:t xml:space="preserve"> </w:t>
      </w:r>
      <w:r w:rsidR="007B6826">
        <w:rPr>
          <w:rFonts w:ascii="Arial" w:hAnsi="Arial" w:cs="Arial"/>
          <w:sz w:val="26"/>
          <w:szCs w:val="26"/>
        </w:rPr>
        <w:t xml:space="preserve">- - - - - - - - - - - </w:t>
      </w:r>
    </w:p>
    <w:p w14:paraId="593EEA04" w14:textId="77777777" w:rsidR="00CD6BA8" w:rsidRDefault="00CD6BA8" w:rsidP="007773A6">
      <w:pPr>
        <w:spacing w:after="0" w:line="360" w:lineRule="auto"/>
        <w:ind w:right="51"/>
        <w:jc w:val="center"/>
        <w:rPr>
          <w:rFonts w:ascii="Arial" w:hAnsi="Arial" w:cs="Arial"/>
          <w:b/>
          <w:sz w:val="26"/>
          <w:szCs w:val="26"/>
        </w:rPr>
      </w:pPr>
    </w:p>
    <w:p w14:paraId="5241002E" w14:textId="37B942A8" w:rsidR="007773A6" w:rsidRPr="00CD6BA8" w:rsidRDefault="00571114" w:rsidP="007773A6">
      <w:pPr>
        <w:spacing w:after="0" w:line="360" w:lineRule="auto"/>
        <w:ind w:right="51"/>
        <w:jc w:val="center"/>
        <w:rPr>
          <w:rFonts w:ascii="Arial" w:hAnsi="Arial" w:cs="Arial"/>
          <w:b/>
          <w:sz w:val="26"/>
          <w:szCs w:val="26"/>
        </w:rPr>
      </w:pPr>
      <w:r w:rsidRPr="00CD6BA8">
        <w:rPr>
          <w:rFonts w:ascii="Arial" w:hAnsi="Arial" w:cs="Arial"/>
          <w:b/>
          <w:sz w:val="26"/>
          <w:szCs w:val="26"/>
        </w:rPr>
        <w:t>R E S U E L V E</w:t>
      </w:r>
    </w:p>
    <w:p w14:paraId="5DBCC28D" w14:textId="77777777" w:rsidR="007773A6" w:rsidRDefault="007773A6" w:rsidP="007773A6">
      <w:pPr>
        <w:spacing w:after="0" w:line="360" w:lineRule="auto"/>
        <w:ind w:right="51"/>
        <w:jc w:val="center"/>
        <w:rPr>
          <w:rFonts w:ascii="Arial" w:hAnsi="Arial" w:cs="Arial"/>
          <w:b/>
          <w:sz w:val="26"/>
          <w:szCs w:val="26"/>
        </w:rPr>
      </w:pPr>
    </w:p>
    <w:p w14:paraId="0BEA7766" w14:textId="4EEFDFF2" w:rsidR="007773A6" w:rsidRDefault="00422629" w:rsidP="007773A6">
      <w:pPr>
        <w:spacing w:after="0" w:line="360" w:lineRule="auto"/>
        <w:ind w:right="51"/>
        <w:jc w:val="both"/>
        <w:rPr>
          <w:rFonts w:ascii="Arial" w:hAnsi="Arial" w:cs="Arial"/>
          <w:sz w:val="26"/>
          <w:szCs w:val="26"/>
        </w:rPr>
      </w:pPr>
      <w:r>
        <w:rPr>
          <w:rFonts w:ascii="Arial" w:hAnsi="Arial" w:cs="Arial"/>
          <w:b/>
          <w:sz w:val="24"/>
          <w:szCs w:val="24"/>
        </w:rPr>
        <w:tab/>
      </w:r>
      <w:r w:rsidR="00571114">
        <w:rPr>
          <w:rFonts w:ascii="Arial" w:hAnsi="Arial" w:cs="Arial"/>
          <w:b/>
          <w:sz w:val="26"/>
          <w:szCs w:val="26"/>
        </w:rPr>
        <w:t>PRIMERO.</w:t>
      </w:r>
      <w:r w:rsidR="00571114">
        <w:rPr>
          <w:rFonts w:ascii="Arial" w:hAnsi="Arial" w:cs="Arial"/>
          <w:sz w:val="26"/>
          <w:szCs w:val="26"/>
        </w:rPr>
        <w:t xml:space="preserve"> Se </w:t>
      </w:r>
      <w:r w:rsidR="00571114">
        <w:rPr>
          <w:rFonts w:ascii="Arial" w:hAnsi="Arial" w:cs="Arial"/>
          <w:b/>
          <w:sz w:val="26"/>
          <w:szCs w:val="26"/>
        </w:rPr>
        <w:t xml:space="preserve">CONFIRMA </w:t>
      </w:r>
      <w:r w:rsidR="00571114">
        <w:rPr>
          <w:rFonts w:ascii="Arial" w:hAnsi="Arial" w:cs="Arial"/>
          <w:sz w:val="26"/>
          <w:szCs w:val="26"/>
        </w:rPr>
        <w:t xml:space="preserve">la sentencia de </w:t>
      </w:r>
      <w:r w:rsidR="00E53692">
        <w:rPr>
          <w:rFonts w:ascii="Arial" w:hAnsi="Arial" w:cs="Arial"/>
          <w:sz w:val="26"/>
          <w:szCs w:val="26"/>
        </w:rPr>
        <w:t>veintiséis de febrero de dos mil veintiuno</w:t>
      </w:r>
      <w:r w:rsidR="00571114">
        <w:rPr>
          <w:rFonts w:ascii="Arial" w:hAnsi="Arial" w:cs="Arial"/>
          <w:bCs/>
          <w:iCs/>
          <w:sz w:val="26"/>
          <w:szCs w:val="26"/>
          <w:lang w:eastAsia="es-ES"/>
        </w:rPr>
        <w:t>,</w:t>
      </w:r>
      <w:r w:rsidR="00571114">
        <w:rPr>
          <w:rFonts w:ascii="Arial" w:hAnsi="Arial" w:cs="Arial"/>
          <w:sz w:val="26"/>
          <w:szCs w:val="26"/>
        </w:rPr>
        <w:t xml:space="preserve"> por las </w:t>
      </w:r>
      <w:r w:rsidR="008F2877">
        <w:rPr>
          <w:rFonts w:ascii="Arial" w:hAnsi="Arial" w:cs="Arial"/>
          <w:sz w:val="26"/>
          <w:szCs w:val="26"/>
        </w:rPr>
        <w:t xml:space="preserve">razones señaladas </w:t>
      </w:r>
      <w:r w:rsidR="00571114">
        <w:rPr>
          <w:rFonts w:ascii="Arial" w:hAnsi="Arial" w:cs="Arial"/>
          <w:sz w:val="26"/>
          <w:szCs w:val="26"/>
        </w:rPr>
        <w:t>en el considerando tercero de esta resolución.</w:t>
      </w:r>
      <w:r>
        <w:rPr>
          <w:rFonts w:ascii="Arial" w:hAnsi="Arial" w:cs="Arial"/>
          <w:sz w:val="26"/>
          <w:szCs w:val="26"/>
        </w:rPr>
        <w:t xml:space="preserve"> </w:t>
      </w:r>
      <w:r w:rsidR="007773A6">
        <w:rPr>
          <w:rFonts w:ascii="Arial" w:hAnsi="Arial" w:cs="Arial"/>
          <w:sz w:val="26"/>
          <w:szCs w:val="26"/>
        </w:rPr>
        <w:t>- - - - - - - - - - - - -  - - - - - - - - - - - - - - - - - - -</w:t>
      </w:r>
    </w:p>
    <w:p w14:paraId="5CCB09DE" w14:textId="77777777" w:rsidR="007773A6" w:rsidRDefault="007773A6" w:rsidP="007773A6">
      <w:pPr>
        <w:pStyle w:val="Sinespaciado"/>
      </w:pPr>
    </w:p>
    <w:p w14:paraId="36F99D22" w14:textId="3CF34C83" w:rsidR="00422629" w:rsidRPr="007773A6" w:rsidRDefault="007773A6" w:rsidP="007773A6">
      <w:pPr>
        <w:spacing w:after="0" w:line="360" w:lineRule="auto"/>
        <w:ind w:right="51" w:firstLine="708"/>
        <w:jc w:val="both"/>
        <w:rPr>
          <w:rFonts w:ascii="Arial" w:hAnsi="Arial" w:cs="Arial"/>
          <w:b/>
          <w:sz w:val="26"/>
          <w:szCs w:val="26"/>
        </w:rPr>
      </w:pPr>
      <w:r>
        <w:rPr>
          <w:rFonts w:ascii="Arial" w:hAnsi="Arial" w:cs="Arial"/>
          <w:b/>
          <w:sz w:val="26"/>
          <w:szCs w:val="26"/>
        </w:rPr>
        <w:t>S</w:t>
      </w:r>
      <w:r w:rsidR="00571114">
        <w:rPr>
          <w:rFonts w:ascii="Arial" w:eastAsia="Calibri" w:hAnsi="Arial" w:cs="Arial"/>
          <w:b/>
          <w:sz w:val="26"/>
          <w:szCs w:val="26"/>
        </w:rPr>
        <w:t xml:space="preserve">EGUNDO. </w:t>
      </w:r>
      <w:r w:rsidR="00571114">
        <w:rPr>
          <w:rFonts w:ascii="Arial" w:hAnsi="Arial" w:cs="Arial"/>
          <w:b/>
          <w:sz w:val="26"/>
          <w:szCs w:val="26"/>
        </w:rPr>
        <w:t xml:space="preserve">NOTIFÍQUESE Y CÚMPLASE, </w:t>
      </w:r>
      <w:r w:rsidR="00571114">
        <w:rPr>
          <w:rFonts w:ascii="Arial" w:hAnsi="Arial" w:cs="Arial"/>
          <w:sz w:val="26"/>
          <w:szCs w:val="26"/>
        </w:rPr>
        <w:t xml:space="preserve">remítase copia certificada de la presente resolución a la </w:t>
      </w:r>
      <w:r w:rsidR="00E53692">
        <w:rPr>
          <w:rFonts w:ascii="Arial" w:hAnsi="Arial" w:cs="Arial"/>
          <w:sz w:val="26"/>
          <w:szCs w:val="26"/>
        </w:rPr>
        <w:t>Tercera</w:t>
      </w:r>
      <w:r w:rsidR="00571114">
        <w:rPr>
          <w:rFonts w:ascii="Arial" w:hAnsi="Arial" w:cs="Arial"/>
          <w:sz w:val="26"/>
          <w:szCs w:val="26"/>
        </w:rPr>
        <w:t xml:space="preserve"> Sala Unitaria de Primera Instancia de este Tribunal y en su oportunidad</w:t>
      </w:r>
      <w:r w:rsidR="004F68BF">
        <w:rPr>
          <w:rFonts w:ascii="Arial" w:hAnsi="Arial" w:cs="Arial"/>
          <w:sz w:val="26"/>
          <w:szCs w:val="26"/>
        </w:rPr>
        <w:t>,</w:t>
      </w:r>
      <w:r w:rsidR="00571114">
        <w:rPr>
          <w:rFonts w:ascii="Arial" w:hAnsi="Arial" w:cs="Arial"/>
          <w:sz w:val="26"/>
          <w:szCs w:val="26"/>
        </w:rPr>
        <w:t xml:space="preserve"> archívese el presente cuaderno de revisión como asunto </w:t>
      </w:r>
      <w:r w:rsidR="00B944B7">
        <w:rPr>
          <w:rFonts w:ascii="Arial" w:hAnsi="Arial" w:cs="Arial"/>
          <w:sz w:val="26"/>
          <w:szCs w:val="26"/>
        </w:rPr>
        <w:t>concluido. -</w:t>
      </w:r>
      <w:r w:rsidR="00422629">
        <w:rPr>
          <w:rFonts w:ascii="Arial" w:hAnsi="Arial" w:cs="Arial"/>
          <w:sz w:val="26"/>
          <w:szCs w:val="26"/>
        </w:rPr>
        <w:t xml:space="preserve"> - - - - - - - - - - -</w:t>
      </w:r>
      <w:r w:rsidR="007A2561">
        <w:rPr>
          <w:rFonts w:ascii="Arial" w:hAnsi="Arial" w:cs="Arial"/>
          <w:sz w:val="26"/>
          <w:szCs w:val="26"/>
        </w:rPr>
        <w:t xml:space="preserve"> </w:t>
      </w:r>
    </w:p>
    <w:p w14:paraId="6090A4BC" w14:textId="77777777" w:rsidR="002B0C32" w:rsidRDefault="002B0C32" w:rsidP="002B0C32">
      <w:pPr>
        <w:pStyle w:val="Sinespaciado"/>
        <w:spacing w:before="240" w:line="360" w:lineRule="auto"/>
        <w:ind w:right="-376" w:firstLine="708"/>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Pr>
          <w:rFonts w:ascii="Arial" w:hAnsi="Arial" w:cs="Arial"/>
          <w:b/>
          <w:bCs/>
          <w:sz w:val="26"/>
          <w:szCs w:val="26"/>
        </w:rPr>
        <w:t>(ponente)</w:t>
      </w:r>
      <w:r>
        <w:rPr>
          <w:rFonts w:ascii="Arial" w:hAnsi="Arial" w:cs="Arial"/>
          <w:sz w:val="26"/>
          <w:szCs w:val="26"/>
        </w:rPr>
        <w:t xml:space="preserve">, y Paulo José Luis Tapia Palacios, quienes actúan con el Licenciado Juan Edy García Coronado, Secretario General de Acuerdos de este Tribunal, que autoriza y da fe. - - - - - - - - - - - - - - - - - - - - - - - - - - - - - </w:t>
      </w:r>
    </w:p>
    <w:p w14:paraId="280CA4ED" w14:textId="77777777" w:rsidR="002B0C32" w:rsidRDefault="002B0C32" w:rsidP="002B0C32">
      <w:pPr>
        <w:spacing w:after="0" w:line="360" w:lineRule="auto"/>
        <w:ind w:right="51" w:firstLine="567"/>
        <w:jc w:val="center"/>
        <w:rPr>
          <w:rFonts w:ascii="Arial" w:eastAsia="Calibri" w:hAnsi="Arial" w:cs="Arial"/>
          <w:b/>
          <w:sz w:val="18"/>
          <w:szCs w:val="18"/>
        </w:rPr>
      </w:pPr>
    </w:p>
    <w:p w14:paraId="009DB37C" w14:textId="77777777" w:rsidR="002B0C32" w:rsidRDefault="002B0C32" w:rsidP="002B0C32">
      <w:pPr>
        <w:spacing w:after="0" w:line="240" w:lineRule="auto"/>
        <w:rPr>
          <w:rFonts w:ascii="Arial" w:eastAsia="Times New Roman" w:hAnsi="Arial" w:cs="Arial"/>
          <w:sz w:val="26"/>
          <w:szCs w:val="26"/>
        </w:rPr>
      </w:pPr>
    </w:p>
    <w:p w14:paraId="3CFB5F68" w14:textId="340C477B" w:rsidR="002B0C32" w:rsidRDefault="002B0C32" w:rsidP="002B0C32">
      <w:pPr>
        <w:spacing w:after="0" w:line="240" w:lineRule="auto"/>
        <w:ind w:firstLine="567"/>
        <w:jc w:val="center"/>
        <w:rPr>
          <w:rFonts w:ascii="Arial" w:eastAsia="Times New Roman" w:hAnsi="Arial" w:cs="Arial"/>
          <w:sz w:val="26"/>
          <w:szCs w:val="26"/>
        </w:rPr>
      </w:pPr>
    </w:p>
    <w:p w14:paraId="561F0C1B" w14:textId="00203A29" w:rsidR="002B0C32" w:rsidRDefault="002B0C32" w:rsidP="002B0C32">
      <w:pPr>
        <w:spacing w:after="0" w:line="240" w:lineRule="auto"/>
        <w:ind w:firstLine="567"/>
        <w:jc w:val="center"/>
        <w:rPr>
          <w:rFonts w:ascii="Arial" w:eastAsia="Times New Roman" w:hAnsi="Arial" w:cs="Arial"/>
          <w:sz w:val="26"/>
          <w:szCs w:val="26"/>
        </w:rPr>
      </w:pPr>
    </w:p>
    <w:p w14:paraId="6F63DBE8" w14:textId="64F84925" w:rsidR="002B0C32" w:rsidRDefault="002B0C32" w:rsidP="002B0C32">
      <w:pPr>
        <w:spacing w:after="0" w:line="240" w:lineRule="auto"/>
        <w:ind w:firstLine="567"/>
        <w:jc w:val="center"/>
        <w:rPr>
          <w:rFonts w:ascii="Arial" w:eastAsia="Times New Roman" w:hAnsi="Arial" w:cs="Arial"/>
          <w:sz w:val="26"/>
          <w:szCs w:val="26"/>
        </w:rPr>
      </w:pPr>
    </w:p>
    <w:p w14:paraId="241AEE07" w14:textId="382A575D" w:rsidR="002B0C32" w:rsidRDefault="002B0C32" w:rsidP="002B0C32">
      <w:pPr>
        <w:spacing w:after="0" w:line="240" w:lineRule="auto"/>
        <w:ind w:firstLine="567"/>
        <w:jc w:val="center"/>
        <w:rPr>
          <w:rFonts w:ascii="Arial" w:eastAsia="Times New Roman" w:hAnsi="Arial" w:cs="Arial"/>
          <w:sz w:val="26"/>
          <w:szCs w:val="26"/>
        </w:rPr>
      </w:pPr>
    </w:p>
    <w:p w14:paraId="4B6655F0" w14:textId="77777777" w:rsidR="002B0C32" w:rsidRDefault="002B0C32" w:rsidP="002B0C32">
      <w:pPr>
        <w:spacing w:after="0" w:line="240" w:lineRule="auto"/>
        <w:ind w:firstLine="567"/>
        <w:jc w:val="center"/>
        <w:rPr>
          <w:rFonts w:ascii="Arial" w:eastAsia="Times New Roman" w:hAnsi="Arial" w:cs="Arial"/>
          <w:sz w:val="26"/>
          <w:szCs w:val="26"/>
        </w:rPr>
      </w:pPr>
    </w:p>
    <w:p w14:paraId="1287FDF0" w14:textId="77777777" w:rsidR="002B0C32" w:rsidRDefault="002B0C32" w:rsidP="002B0C32">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lastRenderedPageBreak/>
        <w:t>MAGISTRADO MANUEL VELASCO ALCÁNTARA</w:t>
      </w:r>
    </w:p>
    <w:p w14:paraId="0625A760" w14:textId="5E96EAD5" w:rsidR="002B0C32" w:rsidRDefault="002B0C32" w:rsidP="002B0C32">
      <w:pPr>
        <w:spacing w:after="0" w:line="240" w:lineRule="auto"/>
        <w:ind w:firstLine="567"/>
        <w:jc w:val="center"/>
        <w:rPr>
          <w:rFonts w:ascii="Arial" w:hAnsi="Arial" w:cs="Arial"/>
          <w:sz w:val="26"/>
          <w:szCs w:val="26"/>
        </w:rPr>
      </w:pPr>
      <w:r>
        <w:rPr>
          <w:rFonts w:ascii="Arial" w:hAnsi="Arial" w:cs="Arial"/>
          <w:sz w:val="26"/>
          <w:szCs w:val="26"/>
        </w:rPr>
        <w:t>PRESIDENTE</w:t>
      </w:r>
    </w:p>
    <w:p w14:paraId="5EBBE2CA" w14:textId="68F8516C" w:rsidR="00224840" w:rsidRDefault="00224840" w:rsidP="002B0C32">
      <w:pPr>
        <w:spacing w:after="0" w:line="240" w:lineRule="auto"/>
        <w:ind w:firstLine="567"/>
        <w:jc w:val="center"/>
        <w:rPr>
          <w:rFonts w:ascii="Arial" w:hAnsi="Arial" w:cs="Arial"/>
          <w:sz w:val="26"/>
          <w:szCs w:val="26"/>
        </w:rPr>
      </w:pPr>
    </w:p>
    <w:p w14:paraId="1958879C" w14:textId="77777777" w:rsidR="00224840" w:rsidRDefault="00224840" w:rsidP="002B0C32">
      <w:pPr>
        <w:spacing w:after="0" w:line="240" w:lineRule="auto"/>
        <w:ind w:firstLine="567"/>
        <w:jc w:val="center"/>
        <w:rPr>
          <w:rFonts w:ascii="Arial" w:hAnsi="Arial" w:cs="Arial"/>
          <w:sz w:val="26"/>
          <w:szCs w:val="26"/>
        </w:rPr>
      </w:pPr>
    </w:p>
    <w:p w14:paraId="2F86C899" w14:textId="2231765F" w:rsidR="002B0C32" w:rsidRPr="00224840" w:rsidRDefault="00224840" w:rsidP="00B22A32">
      <w:pPr>
        <w:jc w:val="center"/>
        <w:rPr>
          <w:rFonts w:ascii="Arial" w:hAnsi="Arial" w:cs="Arial"/>
          <w:b/>
          <w:bCs/>
          <w:sz w:val="18"/>
          <w:szCs w:val="18"/>
        </w:rPr>
      </w:pPr>
      <w:r w:rsidRPr="00224840">
        <w:rPr>
          <w:rFonts w:ascii="Arial" w:hAnsi="Arial" w:cs="Arial"/>
          <w:b/>
          <w:bCs/>
          <w:sz w:val="18"/>
          <w:szCs w:val="18"/>
        </w:rPr>
        <w:t>LAS PRESENTES FIRMAS CORRESPONDEN AL RECURSO DE REVISIÓN 0081/2021</w:t>
      </w:r>
    </w:p>
    <w:p w14:paraId="66FA9BED" w14:textId="6D1E42DB" w:rsidR="002B0C32" w:rsidRDefault="002B0C32" w:rsidP="002B0C32">
      <w:pPr>
        <w:rPr>
          <w:rFonts w:ascii="Arial" w:hAnsi="Arial" w:cs="Arial"/>
          <w:sz w:val="26"/>
          <w:szCs w:val="26"/>
        </w:rPr>
      </w:pPr>
    </w:p>
    <w:p w14:paraId="3CF7CCF6" w14:textId="097EC785" w:rsidR="00B22A32" w:rsidRDefault="00B22A32" w:rsidP="002B0C32">
      <w:pPr>
        <w:rPr>
          <w:rFonts w:ascii="Arial" w:hAnsi="Arial" w:cs="Arial"/>
          <w:sz w:val="26"/>
          <w:szCs w:val="26"/>
        </w:rPr>
      </w:pPr>
    </w:p>
    <w:p w14:paraId="5FB8FE19" w14:textId="77777777" w:rsidR="00B22A32" w:rsidRDefault="00B22A32" w:rsidP="002B0C32">
      <w:pPr>
        <w:rPr>
          <w:rFonts w:ascii="Arial" w:hAnsi="Arial" w:cs="Arial"/>
          <w:sz w:val="26"/>
          <w:szCs w:val="26"/>
        </w:rPr>
      </w:pPr>
    </w:p>
    <w:p w14:paraId="60CA533F" w14:textId="77777777" w:rsidR="002B0C32" w:rsidRDefault="002B0C32" w:rsidP="002B0C32">
      <w:pPr>
        <w:jc w:val="center"/>
        <w:rPr>
          <w:rFonts w:ascii="Arial" w:hAnsi="Arial" w:cs="Arial"/>
          <w:sz w:val="26"/>
          <w:szCs w:val="26"/>
        </w:rPr>
      </w:pPr>
    </w:p>
    <w:p w14:paraId="4CE88488" w14:textId="77777777" w:rsidR="002B0C32" w:rsidRDefault="002B0C32" w:rsidP="002B0C32">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F313DC9" w14:textId="77777777" w:rsidR="002B0C32" w:rsidRDefault="002B0C32" w:rsidP="002B0C32">
      <w:pPr>
        <w:jc w:val="center"/>
        <w:rPr>
          <w:rFonts w:ascii="Arial" w:hAnsi="Arial" w:cs="Arial"/>
          <w:sz w:val="26"/>
          <w:szCs w:val="26"/>
        </w:rPr>
      </w:pPr>
      <w:r>
        <w:rPr>
          <w:rFonts w:ascii="Arial" w:hAnsi="Arial" w:cs="Arial"/>
          <w:sz w:val="26"/>
          <w:szCs w:val="26"/>
        </w:rPr>
        <w:t xml:space="preserve">       </w:t>
      </w:r>
    </w:p>
    <w:p w14:paraId="6F1BFC77" w14:textId="373CCAFC" w:rsidR="002B0C32" w:rsidRDefault="002B0C32" w:rsidP="002B0C32">
      <w:pPr>
        <w:rPr>
          <w:rFonts w:ascii="Arial" w:hAnsi="Arial" w:cs="Arial"/>
          <w:sz w:val="26"/>
          <w:szCs w:val="26"/>
        </w:rPr>
      </w:pPr>
    </w:p>
    <w:p w14:paraId="3243F100" w14:textId="77777777" w:rsidR="002B0C32" w:rsidRDefault="002B0C32" w:rsidP="002B0C32">
      <w:pPr>
        <w:rPr>
          <w:rFonts w:ascii="Arial" w:hAnsi="Arial" w:cs="Arial"/>
          <w:sz w:val="26"/>
          <w:szCs w:val="26"/>
        </w:rPr>
      </w:pPr>
    </w:p>
    <w:p w14:paraId="1FB16721" w14:textId="77777777" w:rsidR="002B0C32" w:rsidRDefault="002B0C32" w:rsidP="002B0C32">
      <w:pPr>
        <w:rPr>
          <w:rFonts w:ascii="Arial" w:hAnsi="Arial" w:cs="Arial"/>
          <w:sz w:val="26"/>
          <w:szCs w:val="26"/>
        </w:rPr>
      </w:pPr>
    </w:p>
    <w:p w14:paraId="73CE273D" w14:textId="0C895365" w:rsidR="002B0C32" w:rsidRDefault="00B22A32" w:rsidP="002B0C32">
      <w:pPr>
        <w:jc w:val="center"/>
        <w:rPr>
          <w:rFonts w:ascii="Arial" w:hAnsi="Arial" w:cs="Arial"/>
          <w:sz w:val="26"/>
          <w:szCs w:val="26"/>
        </w:rPr>
      </w:pPr>
      <w:r>
        <w:rPr>
          <w:rFonts w:ascii="Arial" w:hAnsi="Arial" w:cs="Arial"/>
          <w:sz w:val="26"/>
          <w:szCs w:val="26"/>
        </w:rPr>
        <w:t xml:space="preserve">        </w:t>
      </w:r>
      <w:r w:rsidR="002B0C32">
        <w:rPr>
          <w:rFonts w:ascii="Arial" w:hAnsi="Arial" w:cs="Arial"/>
          <w:sz w:val="26"/>
          <w:szCs w:val="26"/>
        </w:rPr>
        <w:t>MAGISTRADO RAÚL PALOMARES PALOMINO</w:t>
      </w:r>
    </w:p>
    <w:p w14:paraId="46C44F96" w14:textId="77777777" w:rsidR="002B0C32" w:rsidRDefault="002B0C32" w:rsidP="002B0C32">
      <w:pPr>
        <w:jc w:val="center"/>
        <w:rPr>
          <w:rFonts w:ascii="Arial" w:hAnsi="Arial" w:cs="Arial"/>
          <w:sz w:val="26"/>
          <w:szCs w:val="26"/>
        </w:rPr>
      </w:pPr>
    </w:p>
    <w:p w14:paraId="742E1437" w14:textId="77777777" w:rsidR="002B0C32" w:rsidRDefault="002B0C32" w:rsidP="002B0C32">
      <w:pPr>
        <w:jc w:val="center"/>
        <w:rPr>
          <w:rFonts w:ascii="Arial" w:hAnsi="Arial" w:cs="Arial"/>
          <w:sz w:val="26"/>
          <w:szCs w:val="26"/>
        </w:rPr>
      </w:pPr>
    </w:p>
    <w:p w14:paraId="26CA834F" w14:textId="77777777" w:rsidR="002B0C32" w:rsidRDefault="002B0C32" w:rsidP="002B0C32">
      <w:pPr>
        <w:jc w:val="center"/>
        <w:rPr>
          <w:rFonts w:ascii="Arial" w:hAnsi="Arial" w:cs="Arial"/>
          <w:sz w:val="26"/>
          <w:szCs w:val="26"/>
        </w:rPr>
      </w:pPr>
    </w:p>
    <w:p w14:paraId="421C34F5" w14:textId="77777777" w:rsidR="002B0C32" w:rsidRDefault="002B0C32" w:rsidP="002B0C32">
      <w:pPr>
        <w:jc w:val="center"/>
        <w:rPr>
          <w:rFonts w:ascii="Arial" w:hAnsi="Arial" w:cs="Arial"/>
          <w:sz w:val="26"/>
          <w:szCs w:val="26"/>
        </w:rPr>
      </w:pPr>
    </w:p>
    <w:p w14:paraId="4F286AE0" w14:textId="6081C41F" w:rsidR="002B0C32" w:rsidRDefault="002B0C32" w:rsidP="002B0C32">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w:t>
      </w:r>
      <w:r w:rsidR="00377A9E">
        <w:rPr>
          <w:rFonts w:ascii="Arial" w:hAnsi="Arial" w:cs="Arial"/>
          <w:sz w:val="26"/>
          <w:szCs w:val="26"/>
        </w:rPr>
        <w:t xml:space="preserve">   </w:t>
      </w:r>
      <w:r>
        <w:rPr>
          <w:rFonts w:ascii="Arial" w:hAnsi="Arial" w:cs="Arial"/>
          <w:sz w:val="26"/>
          <w:szCs w:val="26"/>
        </w:rPr>
        <w:t>MAGISTRADA GLORIA DEL CARMEN CAMACHO MEZA</w:t>
      </w:r>
    </w:p>
    <w:p w14:paraId="756EBF02" w14:textId="77777777" w:rsidR="002B0C32" w:rsidRDefault="002B0C32" w:rsidP="002B0C32">
      <w:pPr>
        <w:tabs>
          <w:tab w:val="left" w:pos="1680"/>
          <w:tab w:val="center" w:pos="4277"/>
        </w:tabs>
        <w:spacing w:line="360" w:lineRule="auto"/>
        <w:rPr>
          <w:rFonts w:ascii="Arial" w:hAnsi="Arial" w:cs="Arial"/>
          <w:sz w:val="26"/>
          <w:szCs w:val="26"/>
        </w:rPr>
      </w:pPr>
    </w:p>
    <w:p w14:paraId="5CCEB70A" w14:textId="1A6369AE" w:rsidR="002B0C32" w:rsidRDefault="002B0C32" w:rsidP="002B0C32">
      <w:pPr>
        <w:tabs>
          <w:tab w:val="left" w:pos="1680"/>
          <w:tab w:val="center" w:pos="4277"/>
        </w:tabs>
        <w:spacing w:line="360" w:lineRule="auto"/>
        <w:rPr>
          <w:rFonts w:ascii="Arial" w:hAnsi="Arial" w:cs="Arial"/>
          <w:sz w:val="26"/>
          <w:szCs w:val="26"/>
        </w:rPr>
      </w:pPr>
    </w:p>
    <w:p w14:paraId="72D9FC8B" w14:textId="77777777" w:rsidR="002B0C32" w:rsidRDefault="002B0C32" w:rsidP="002B0C32">
      <w:pPr>
        <w:tabs>
          <w:tab w:val="left" w:pos="1680"/>
          <w:tab w:val="center" w:pos="4277"/>
        </w:tabs>
        <w:spacing w:line="360" w:lineRule="auto"/>
        <w:rPr>
          <w:rFonts w:ascii="Arial" w:hAnsi="Arial" w:cs="Arial"/>
          <w:sz w:val="26"/>
          <w:szCs w:val="26"/>
        </w:rPr>
      </w:pPr>
    </w:p>
    <w:p w14:paraId="0150DE4B" w14:textId="77777777" w:rsidR="002B0C32" w:rsidRDefault="002B0C32" w:rsidP="002B0C32">
      <w:pPr>
        <w:tabs>
          <w:tab w:val="left" w:pos="1680"/>
          <w:tab w:val="center" w:pos="4277"/>
        </w:tabs>
        <w:spacing w:line="360" w:lineRule="auto"/>
        <w:rPr>
          <w:rFonts w:ascii="Arial" w:hAnsi="Arial" w:cs="Arial"/>
          <w:sz w:val="26"/>
          <w:szCs w:val="26"/>
        </w:rPr>
      </w:pPr>
    </w:p>
    <w:p w14:paraId="166C86B1" w14:textId="77777777" w:rsidR="002B0C32" w:rsidRDefault="002B0C32" w:rsidP="002B0C3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5D1BD99" w14:textId="77777777" w:rsidR="002B0C32" w:rsidRDefault="002B0C32" w:rsidP="002B0C32">
      <w:pPr>
        <w:tabs>
          <w:tab w:val="left" w:pos="1680"/>
          <w:tab w:val="center" w:pos="4277"/>
        </w:tabs>
        <w:spacing w:line="360" w:lineRule="auto"/>
        <w:jc w:val="center"/>
        <w:rPr>
          <w:rFonts w:ascii="Arial" w:hAnsi="Arial" w:cs="Arial"/>
          <w:sz w:val="26"/>
          <w:szCs w:val="26"/>
        </w:rPr>
      </w:pPr>
    </w:p>
    <w:p w14:paraId="4275E602" w14:textId="77777777" w:rsidR="002B0C32" w:rsidRDefault="002B0C32" w:rsidP="002B0C32">
      <w:pPr>
        <w:spacing w:after="0" w:line="240" w:lineRule="auto"/>
        <w:jc w:val="center"/>
        <w:rPr>
          <w:rFonts w:ascii="Arial" w:hAnsi="Arial" w:cs="Arial"/>
          <w:sz w:val="26"/>
          <w:szCs w:val="26"/>
        </w:rPr>
      </w:pPr>
    </w:p>
    <w:p w14:paraId="4005B012" w14:textId="77777777" w:rsidR="002B0C32" w:rsidRDefault="002B0C32" w:rsidP="002B0C32">
      <w:pPr>
        <w:spacing w:after="0" w:line="240" w:lineRule="auto"/>
        <w:jc w:val="center"/>
        <w:rPr>
          <w:rFonts w:ascii="Arial" w:hAnsi="Arial" w:cs="Arial"/>
          <w:sz w:val="26"/>
          <w:szCs w:val="26"/>
        </w:rPr>
      </w:pPr>
    </w:p>
    <w:p w14:paraId="3540781C" w14:textId="77777777" w:rsidR="002B0C32" w:rsidRDefault="002B0C32" w:rsidP="002B0C32">
      <w:pPr>
        <w:spacing w:after="0" w:line="240" w:lineRule="auto"/>
        <w:jc w:val="center"/>
        <w:rPr>
          <w:rFonts w:ascii="Arial" w:hAnsi="Arial" w:cs="Arial"/>
          <w:sz w:val="26"/>
          <w:szCs w:val="26"/>
        </w:rPr>
      </w:pPr>
      <w:r>
        <w:rPr>
          <w:rFonts w:ascii="Arial" w:hAnsi="Arial" w:cs="Arial"/>
          <w:sz w:val="26"/>
          <w:szCs w:val="26"/>
        </w:rPr>
        <w:t>LIC. JUAN EDY GARCÍA CORONADO.</w:t>
      </w:r>
    </w:p>
    <w:p w14:paraId="054C8E49" w14:textId="77777777" w:rsidR="002B0C32" w:rsidRDefault="002B0C32" w:rsidP="002B0C32">
      <w:pPr>
        <w:spacing w:after="0" w:line="240" w:lineRule="auto"/>
        <w:jc w:val="center"/>
      </w:pPr>
      <w:r>
        <w:rPr>
          <w:rFonts w:ascii="Arial" w:hAnsi="Arial" w:cs="Arial"/>
          <w:sz w:val="26"/>
          <w:szCs w:val="26"/>
        </w:rPr>
        <w:t>SECRETARIO GENERAL DE ACUERDOS</w:t>
      </w:r>
    </w:p>
    <w:p w14:paraId="50453FE0" w14:textId="27143247" w:rsidR="00BA258A" w:rsidRPr="000338EE" w:rsidRDefault="00BA258A" w:rsidP="00F5063A">
      <w:pPr>
        <w:spacing w:after="0" w:line="360" w:lineRule="auto"/>
        <w:ind w:right="51" w:firstLine="567"/>
        <w:jc w:val="both"/>
        <w:rPr>
          <w:lang w:val="es-ES"/>
        </w:rPr>
      </w:pPr>
    </w:p>
    <w:sectPr w:rsidR="00BA258A" w:rsidRPr="000338EE" w:rsidSect="00224840">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C71C6" w14:textId="77777777" w:rsidR="002D20D6" w:rsidRDefault="002D20D6">
      <w:pPr>
        <w:spacing w:after="0" w:line="240" w:lineRule="auto"/>
      </w:pPr>
      <w:r>
        <w:separator/>
      </w:r>
    </w:p>
  </w:endnote>
  <w:endnote w:type="continuationSeparator" w:id="0">
    <w:p w14:paraId="08038FF8" w14:textId="77777777" w:rsidR="002D20D6" w:rsidRDefault="002D2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19343F" w:rsidRDefault="0019343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9343F" w:rsidRDefault="0019343F">
    <w:pPr>
      <w:pStyle w:val="Piedepgina"/>
      <w:jc w:val="center"/>
    </w:pPr>
  </w:p>
  <w:p w14:paraId="195FF414" w14:textId="77777777" w:rsidR="0019343F" w:rsidRDefault="0019343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B8285" w14:textId="77777777" w:rsidR="002D20D6" w:rsidRDefault="002D20D6">
      <w:pPr>
        <w:spacing w:after="0" w:line="240" w:lineRule="auto"/>
      </w:pPr>
      <w:r>
        <w:separator/>
      </w:r>
    </w:p>
  </w:footnote>
  <w:footnote w:type="continuationSeparator" w:id="0">
    <w:p w14:paraId="606B6844" w14:textId="77777777" w:rsidR="002D20D6" w:rsidRDefault="002D20D6">
      <w:pPr>
        <w:spacing w:after="0" w:line="240" w:lineRule="auto"/>
      </w:pPr>
      <w:r>
        <w:continuationSeparator/>
      </w:r>
    </w:p>
  </w:footnote>
  <w:footnote w:id="1">
    <w:p w14:paraId="688A86AC" w14:textId="77777777" w:rsidR="00E53692" w:rsidRPr="00D304A3" w:rsidRDefault="00E53692" w:rsidP="00E53692">
      <w:pPr>
        <w:pStyle w:val="Textonotapie"/>
        <w:rPr>
          <w:lang w:val="es-ES"/>
        </w:rPr>
      </w:pPr>
      <w:r w:rsidRPr="00D304A3">
        <w:rPr>
          <w:rStyle w:val="Refdenotaalpie"/>
        </w:rPr>
        <w:footnoteRef/>
      </w:r>
      <w:r w:rsidRPr="00D304A3">
        <w:t xml:space="preserve"> </w:t>
      </w:r>
      <w:r w:rsidRPr="00D304A3">
        <w:rPr>
          <w:b/>
          <w:bCs/>
        </w:rPr>
        <w:t>ARTÍCULO 179.-</w:t>
      </w:r>
      <w:r w:rsidRPr="00D304A3">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r>
        <w:t xml:space="preserve"> </w:t>
      </w:r>
    </w:p>
  </w:footnote>
  <w:footnote w:id="2">
    <w:p w14:paraId="255D75E3" w14:textId="77777777" w:rsidR="00E53692" w:rsidRPr="00D304A3" w:rsidRDefault="00E53692" w:rsidP="00E53692">
      <w:pPr>
        <w:pStyle w:val="Textonotapie"/>
      </w:pPr>
      <w:r w:rsidRPr="00D304A3">
        <w:rPr>
          <w:rStyle w:val="Refdenotaalpie"/>
          <w:b/>
          <w:bCs/>
        </w:rPr>
        <w:footnoteRef/>
      </w:r>
      <w:r w:rsidRPr="00D304A3">
        <w:rPr>
          <w:b/>
          <w:bCs/>
        </w:rPr>
        <w:t xml:space="preserve"> ARTÍCULO 177.-</w:t>
      </w:r>
      <w:r w:rsidRPr="00D304A3">
        <w:t xml:space="preserve"> El escrito de demanda deberá contener: </w:t>
      </w:r>
    </w:p>
    <w:p w14:paraId="0D80538B" w14:textId="77777777" w:rsidR="00E53692" w:rsidRPr="00D304A3" w:rsidRDefault="00E53692" w:rsidP="00E53692">
      <w:pPr>
        <w:pStyle w:val="Textonotapie"/>
      </w:pPr>
      <w:r w:rsidRPr="00D304A3">
        <w:t xml:space="preserve">I. El nombre y domicilio del actor; </w:t>
      </w:r>
    </w:p>
    <w:p w14:paraId="0F11B951" w14:textId="77777777" w:rsidR="00E53692" w:rsidRPr="00D304A3" w:rsidRDefault="00E53692" w:rsidP="00E53692">
      <w:pPr>
        <w:pStyle w:val="Textonotapie"/>
      </w:pPr>
      <w:r w:rsidRPr="00D304A3">
        <w:t xml:space="preserve">II. La autoridad o autoridades demandadas y su domicilio; </w:t>
      </w:r>
    </w:p>
    <w:p w14:paraId="35FF0648" w14:textId="77777777" w:rsidR="00E53692" w:rsidRPr="00D304A3" w:rsidRDefault="00E53692" w:rsidP="00E53692">
      <w:pPr>
        <w:pStyle w:val="Textonotapie"/>
      </w:pPr>
      <w:r w:rsidRPr="00D304A3">
        <w:t xml:space="preserve">III. El nombre y domicilio del tercero afectado si lo hubiere; </w:t>
      </w:r>
    </w:p>
    <w:p w14:paraId="13A0D84B" w14:textId="77777777" w:rsidR="00E53692" w:rsidRPr="00D304A3" w:rsidRDefault="00E53692" w:rsidP="00E53692">
      <w:pPr>
        <w:pStyle w:val="Textonotapie"/>
      </w:pPr>
      <w:r w:rsidRPr="00D304A3">
        <w:t>IV. La resolución o acto administrativo que se impugna;</w:t>
      </w:r>
    </w:p>
    <w:p w14:paraId="1C966A73" w14:textId="77777777" w:rsidR="00E53692" w:rsidRPr="00D304A3" w:rsidRDefault="00E53692" w:rsidP="00E53692">
      <w:pPr>
        <w:pStyle w:val="Textonotapie"/>
      </w:pPr>
      <w:r w:rsidRPr="00D304A3">
        <w:t xml:space="preserve"> V. El señalamiento de la fecha en que se tuvo conocimiento de la resolución o acto combatido;</w:t>
      </w:r>
    </w:p>
    <w:p w14:paraId="517E6FE7" w14:textId="77777777" w:rsidR="00E53692" w:rsidRPr="00D304A3" w:rsidRDefault="00E53692" w:rsidP="00E53692">
      <w:pPr>
        <w:pStyle w:val="Textonotapie"/>
      </w:pPr>
      <w:r w:rsidRPr="00D304A3">
        <w:t xml:space="preserve">VI. La pretensión que se deduce en juicio, siempre que corresponda a la competencia del Tribunal; VII. Una relación clara y sucinta de los hechos que constituyen los antecedentes de la demanda; </w:t>
      </w:r>
    </w:p>
    <w:p w14:paraId="7A97DE9C" w14:textId="77777777" w:rsidR="00E53692" w:rsidRPr="00D304A3" w:rsidRDefault="00E53692" w:rsidP="00E53692">
      <w:pPr>
        <w:pStyle w:val="Textonotapie"/>
      </w:pPr>
      <w:r w:rsidRPr="00D304A3">
        <w:t xml:space="preserve">VIII. La expresión de los conceptos de impugnación; IX. Las pruebas que se ofrezcan relacionándolas con los hechos de la demanda; y </w:t>
      </w:r>
    </w:p>
    <w:p w14:paraId="2F4403E1" w14:textId="77777777" w:rsidR="00E53692" w:rsidRPr="00D304A3" w:rsidRDefault="00E53692" w:rsidP="00E53692">
      <w:pPr>
        <w:pStyle w:val="Textonotapie"/>
        <w:rPr>
          <w:lang w:val="es-ES"/>
        </w:rPr>
      </w:pPr>
      <w:r w:rsidRPr="00D304A3">
        <w:t>X. La firma del interesado. En caso de que no pueda o no sepa firmar, el interesado estampará sus huellas digitales, firmando a su ruego un testigo de conocimiento.</w:t>
      </w:r>
    </w:p>
  </w:footnote>
  <w:footnote w:id="3">
    <w:p w14:paraId="5F55964B" w14:textId="77777777" w:rsidR="00E53692" w:rsidRPr="00D304A3" w:rsidRDefault="00E53692" w:rsidP="00E53692">
      <w:pPr>
        <w:pStyle w:val="Textonotapie"/>
      </w:pPr>
      <w:r w:rsidRPr="00D304A3">
        <w:rPr>
          <w:rStyle w:val="Refdenotaalpie"/>
        </w:rPr>
        <w:footnoteRef/>
      </w:r>
      <w:r w:rsidRPr="00D304A3">
        <w:t xml:space="preserve"> </w:t>
      </w:r>
      <w:r w:rsidRPr="00D304A3">
        <w:rPr>
          <w:b/>
          <w:bCs/>
        </w:rPr>
        <w:t>ARTÍCULO 178.-</w:t>
      </w:r>
      <w:r w:rsidRPr="00D304A3">
        <w:t xml:space="preserve"> A la demanda deberán anexarse: </w:t>
      </w:r>
    </w:p>
    <w:p w14:paraId="7173A6FE" w14:textId="77777777" w:rsidR="00E53692" w:rsidRPr="00D304A3" w:rsidRDefault="00E53692" w:rsidP="00E53692">
      <w:pPr>
        <w:pStyle w:val="Textonotapie"/>
      </w:pPr>
      <w:r w:rsidRPr="00D304A3">
        <w:t xml:space="preserve">I. El documento que justifique la personalidad cuando no se promueva en nombre propio; </w:t>
      </w:r>
    </w:p>
    <w:p w14:paraId="7CDA3FC0" w14:textId="77777777" w:rsidR="00E53692" w:rsidRPr="00D304A3" w:rsidRDefault="00E53692" w:rsidP="00E53692">
      <w:pPr>
        <w:pStyle w:val="Textonotapie"/>
      </w:pPr>
      <w:r w:rsidRPr="00D304A3">
        <w:t xml:space="preserve">II. Los documentos en que conste el acto impugnado y su notificación, cuando los tenga a su disposición el actor; o bien, señalar el lugar donde se encuentren, si no pudiera obtener copias certificadas de los mismos; </w:t>
      </w:r>
    </w:p>
    <w:p w14:paraId="5BCCB517" w14:textId="77777777" w:rsidR="00E53692" w:rsidRPr="00D304A3" w:rsidRDefault="00E53692" w:rsidP="00E53692">
      <w:pPr>
        <w:pStyle w:val="Textonotapie"/>
      </w:pPr>
      <w:r w:rsidRPr="00D304A3">
        <w:t>III. Una copia de la demanda y de los documentos anexos, para cada una de las partes;</w:t>
      </w:r>
    </w:p>
    <w:p w14:paraId="574C156F" w14:textId="77777777" w:rsidR="00E53692" w:rsidRPr="00D304A3" w:rsidRDefault="00E53692" w:rsidP="00E53692">
      <w:pPr>
        <w:pStyle w:val="Textonotapie"/>
      </w:pPr>
      <w:r w:rsidRPr="00D304A3">
        <w:t xml:space="preserve">IV. El interrogatorio o cuestionario respectivo firmados por el oferente, en caso de que se ofrezca prueba testimonial, pericial o inspección ocular; y </w:t>
      </w:r>
    </w:p>
    <w:p w14:paraId="1CDF3A9D" w14:textId="77777777" w:rsidR="00E53692" w:rsidRPr="00C9121C" w:rsidRDefault="00E53692" w:rsidP="00E53692">
      <w:pPr>
        <w:pStyle w:val="Textonotapie"/>
        <w:rPr>
          <w:lang w:val="es-ES"/>
        </w:rPr>
      </w:pPr>
      <w:r w:rsidRPr="00D304A3">
        <w:t>V. Las demás pruebas documentales que se ofrezcan</w:t>
      </w:r>
    </w:p>
  </w:footnote>
  <w:footnote w:id="4">
    <w:p w14:paraId="79D302DA" w14:textId="538849D6" w:rsidR="00D1389D" w:rsidRDefault="00D1389D" w:rsidP="00D1389D">
      <w:pPr>
        <w:pStyle w:val="Textonotapie"/>
      </w:pPr>
      <w:r>
        <w:rPr>
          <w:rStyle w:val="Refdenotaalpie"/>
        </w:rPr>
        <w:footnoteRef/>
      </w:r>
      <w:r>
        <w:t xml:space="preserve"> “</w:t>
      </w:r>
      <w:r w:rsidRPr="00D1389D">
        <w:rPr>
          <w:b/>
          <w:bCs/>
        </w:rPr>
        <w:t>ARTÍCULO 17.-</w:t>
      </w:r>
      <w:r>
        <w:t xml:space="preserve"> Son elementos y requisitos de validez del acto administrativo:</w:t>
      </w:r>
    </w:p>
    <w:p w14:paraId="0844948E" w14:textId="0F80504B" w:rsidR="00D1389D" w:rsidRPr="00D1389D" w:rsidRDefault="00D1389D" w:rsidP="00D1389D">
      <w:pPr>
        <w:rPr>
          <w:sz w:val="20"/>
          <w:szCs w:val="20"/>
        </w:rPr>
      </w:pPr>
      <w:r w:rsidRPr="00D1389D">
        <w:rPr>
          <w:sz w:val="20"/>
          <w:szCs w:val="20"/>
        </w:rPr>
        <w:t>V. Estar fundado y motivado;</w:t>
      </w:r>
      <w:r>
        <w:rPr>
          <w:sz w:val="20"/>
          <w:szCs w:val="20"/>
        </w:rPr>
        <w:t>…”</w:t>
      </w:r>
    </w:p>
  </w:footnote>
  <w:footnote w:id="5">
    <w:p w14:paraId="2E3578F0" w14:textId="2CBEB32B" w:rsidR="005A73F1" w:rsidRPr="00D304A3" w:rsidRDefault="005A73F1" w:rsidP="005A73F1">
      <w:pPr>
        <w:pStyle w:val="Textonotapie"/>
        <w:jc w:val="both"/>
        <w:rPr>
          <w:lang w:val="es-ES"/>
        </w:rPr>
      </w:pPr>
      <w:r w:rsidRPr="00D304A3">
        <w:rPr>
          <w:rStyle w:val="Refdenotaalpie"/>
        </w:rPr>
        <w:footnoteRef/>
      </w:r>
      <w:r w:rsidRPr="00D304A3">
        <w:t xml:space="preserve"> </w:t>
      </w:r>
      <w:r w:rsidRPr="00D304A3">
        <w:rPr>
          <w:b/>
          <w:bCs/>
          <w:lang w:val="es-ES"/>
        </w:rPr>
        <w:t xml:space="preserve">ARTÍCULO 203.- </w:t>
      </w:r>
      <w:r w:rsidRPr="00D304A3">
        <w:rPr>
          <w:lang w:val="es-ES"/>
        </w:rPr>
        <w:t>La valoración de las pruebas se hará de acuerdo con las siguientes reglas:</w:t>
      </w:r>
    </w:p>
    <w:p w14:paraId="2AEC3491" w14:textId="5059C34E" w:rsidR="005A73F1" w:rsidRPr="005A73F1" w:rsidRDefault="005A73F1" w:rsidP="005A73F1">
      <w:pPr>
        <w:pStyle w:val="Textonotapie"/>
        <w:jc w:val="both"/>
        <w:rPr>
          <w:lang w:val="es-ES"/>
        </w:rPr>
      </w:pPr>
      <w:r w:rsidRPr="00D304A3">
        <w:rPr>
          <w:lang w:val="es-ES"/>
        </w:rPr>
        <w:t>I.- Harán prueba plena la confesión expresa de las partes y los actos cometidos en documentos públicos, si en éstos últimos se contienen declaraciones de verdad o manifestaciones de hechos de particulares.”</w:t>
      </w:r>
    </w:p>
  </w:footnote>
  <w:footnote w:id="6">
    <w:p w14:paraId="6E3E8049" w14:textId="6508CF88" w:rsidR="005A73F1" w:rsidRPr="00D304A3" w:rsidRDefault="005A73F1">
      <w:pPr>
        <w:pStyle w:val="Textonotapie"/>
        <w:rPr>
          <w:lang w:val="es-ES"/>
        </w:rPr>
      </w:pPr>
      <w:r w:rsidRPr="00D304A3">
        <w:rPr>
          <w:rStyle w:val="Refdenotaalpie"/>
          <w:b/>
          <w:bCs/>
        </w:rPr>
        <w:footnoteRef/>
      </w:r>
      <w:r w:rsidRPr="00D304A3">
        <w:rPr>
          <w:b/>
          <w:bCs/>
        </w:rPr>
        <w:t xml:space="preserve"> Artículo 16.</w:t>
      </w:r>
      <w:r w:rsidRPr="00D304A3">
        <w:t xml:space="preserve"> 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w:t>
      </w:r>
    </w:p>
  </w:footnote>
  <w:footnote w:id="7">
    <w:p w14:paraId="2B1ED865" w14:textId="4087750B" w:rsidR="005A73F1" w:rsidRPr="00D304A3" w:rsidRDefault="005A73F1" w:rsidP="00C9121C">
      <w:pPr>
        <w:pStyle w:val="Textonotapie"/>
        <w:jc w:val="both"/>
        <w:rPr>
          <w:lang w:val="es-ES"/>
        </w:rPr>
      </w:pPr>
      <w:r w:rsidRPr="00D304A3">
        <w:rPr>
          <w:rStyle w:val="Refdenotaalpie"/>
          <w:b/>
          <w:bCs/>
        </w:rPr>
        <w:footnoteRef/>
      </w:r>
      <w:r w:rsidRPr="00D304A3">
        <w:rPr>
          <w:b/>
          <w:bCs/>
        </w:rPr>
        <w:t xml:space="preserve"> ARTÍCULO 207</w:t>
      </w:r>
      <w:r w:rsidRPr="00D304A3">
        <w:t>.- Las sentencias que emita el Tribunal, deberán de contener: I. La fijación clara y precisa de los puntos controvertidos, la exposición de las razones por las que, en su caso, se haga uso de la facultad para suplir la deficiencia de la queja, así como el examen y valoración de las pruebas que se hayan rendido; II. La exposición debidamente fundada y motivada de las consideraciones en que se basa la resolución; y</w:t>
      </w:r>
    </w:p>
  </w:footnote>
  <w:footnote w:id="8">
    <w:p w14:paraId="06686993" w14:textId="4BBF4D7A" w:rsidR="00C9121C" w:rsidRPr="00D304A3" w:rsidRDefault="005A73F1" w:rsidP="00C9121C">
      <w:pPr>
        <w:pStyle w:val="Textonotapie"/>
        <w:jc w:val="both"/>
      </w:pPr>
      <w:r w:rsidRPr="00D304A3">
        <w:rPr>
          <w:rStyle w:val="Refdenotaalpie"/>
        </w:rPr>
        <w:footnoteRef/>
      </w:r>
      <w:r w:rsidRPr="00D304A3">
        <w:t xml:space="preserve"> </w:t>
      </w:r>
      <w:r w:rsidR="00C9121C" w:rsidRPr="00D304A3">
        <w:rPr>
          <w:b/>
          <w:bCs/>
        </w:rPr>
        <w:t>ARTÍCULO 208</w:t>
      </w:r>
      <w:r w:rsidR="00C9121C" w:rsidRPr="00D304A3">
        <w:t>.- Se declarará que un acto administrativo es ilegal si de esa ilegalidad nace su nulidad relativa o absoluta, cuando se demuestre alguna de las siguientes causales:</w:t>
      </w:r>
    </w:p>
    <w:p w14:paraId="3487F4A6" w14:textId="050C2355" w:rsidR="005A73F1" w:rsidRPr="00D304A3" w:rsidRDefault="00C9121C" w:rsidP="00C9121C">
      <w:pPr>
        <w:pStyle w:val="Textonotapie"/>
        <w:jc w:val="both"/>
        <w:rPr>
          <w:lang w:val="es-ES"/>
        </w:rPr>
      </w:pPr>
      <w:r w:rsidRPr="00D304A3">
        <w:t xml:space="preserve"> </w:t>
      </w:r>
      <w:r w:rsidRPr="00D304A3">
        <w:rPr>
          <w:b/>
          <w:bCs/>
        </w:rPr>
        <w:t>II.</w:t>
      </w:r>
      <w:r w:rsidRPr="00D304A3">
        <w:t xml:space="preserve"> Omisión de los requisitos formales exigidos por las leyes que afecten las defensas del particular y trasciendan al sentido de la resolución impugnada, inclusive la ausencia de fundamento o motivación, en su caso;</w:t>
      </w:r>
    </w:p>
  </w:footnote>
  <w:footnote w:id="9">
    <w:p w14:paraId="1961492D" w14:textId="119B27AD" w:rsidR="00C9121C" w:rsidRPr="00D304A3" w:rsidRDefault="00C9121C" w:rsidP="00C9121C">
      <w:pPr>
        <w:pStyle w:val="Textonotapie"/>
        <w:jc w:val="both"/>
        <w:rPr>
          <w:lang w:val="es-ES"/>
        </w:rPr>
      </w:pPr>
      <w:r w:rsidRPr="00D304A3">
        <w:rPr>
          <w:rStyle w:val="Refdenotaalpie"/>
        </w:rPr>
        <w:footnoteRef/>
      </w:r>
      <w:r w:rsidRPr="00D304A3">
        <w:t xml:space="preserve"> </w:t>
      </w:r>
      <w:r w:rsidRPr="00D304A3">
        <w:rPr>
          <w:b/>
          <w:bCs/>
        </w:rPr>
        <w:t>ARTÍCULO 209</w:t>
      </w:r>
      <w:r w:rsidRPr="00D304A3">
        <w:t>.-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841FF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Pr="00841FF8">
          <w:rPr>
            <w:noProof/>
            <w:lang w:val="es-ES"/>
          </w:rPr>
          <w:t>10</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841FF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Pr="00841FF8">
          <w:rPr>
            <w:noProof/>
            <w:lang w:val="es-ES"/>
          </w:rPr>
          <w:t>9</w:t>
        </w:r>
        <w:r w:rsidR="0019343F">
          <w:fldChar w:fldCharType="end"/>
        </w:r>
      </w:sdtContent>
    </w:sdt>
  </w:p>
  <w:p w14:paraId="51E22156" w14:textId="78C081E3"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49403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841FF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0E77"/>
    <w:rsid w:val="00031F8E"/>
    <w:rsid w:val="000324B9"/>
    <w:rsid w:val="000329BA"/>
    <w:rsid w:val="00032D83"/>
    <w:rsid w:val="000330FB"/>
    <w:rsid w:val="000338EE"/>
    <w:rsid w:val="000346FA"/>
    <w:rsid w:val="00034B85"/>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247"/>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2CE7"/>
    <w:rsid w:val="00083375"/>
    <w:rsid w:val="0008342F"/>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AB5"/>
    <w:rsid w:val="00093C95"/>
    <w:rsid w:val="00094EB2"/>
    <w:rsid w:val="00095419"/>
    <w:rsid w:val="0009635F"/>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0B21"/>
    <w:rsid w:val="000B1A06"/>
    <w:rsid w:val="000B1F22"/>
    <w:rsid w:val="000B21BD"/>
    <w:rsid w:val="000B2866"/>
    <w:rsid w:val="000B31B3"/>
    <w:rsid w:val="000B35EE"/>
    <w:rsid w:val="000B36E5"/>
    <w:rsid w:val="000B39C8"/>
    <w:rsid w:val="000B3B3B"/>
    <w:rsid w:val="000B40FA"/>
    <w:rsid w:val="000B5281"/>
    <w:rsid w:val="000B584E"/>
    <w:rsid w:val="000B5B01"/>
    <w:rsid w:val="000B5EC8"/>
    <w:rsid w:val="000B5FE3"/>
    <w:rsid w:val="000B625D"/>
    <w:rsid w:val="000B674B"/>
    <w:rsid w:val="000B6B86"/>
    <w:rsid w:val="000B6EF2"/>
    <w:rsid w:val="000B71FE"/>
    <w:rsid w:val="000B77B4"/>
    <w:rsid w:val="000B7A3A"/>
    <w:rsid w:val="000C02A9"/>
    <w:rsid w:val="000C0569"/>
    <w:rsid w:val="000C1E6B"/>
    <w:rsid w:val="000C238B"/>
    <w:rsid w:val="000C2764"/>
    <w:rsid w:val="000C3DC9"/>
    <w:rsid w:val="000C4139"/>
    <w:rsid w:val="000C4625"/>
    <w:rsid w:val="000C47B5"/>
    <w:rsid w:val="000C5414"/>
    <w:rsid w:val="000C5BCE"/>
    <w:rsid w:val="000C5DC1"/>
    <w:rsid w:val="000C6670"/>
    <w:rsid w:val="000C6E8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4CFB"/>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0E9F"/>
    <w:rsid w:val="00111BFC"/>
    <w:rsid w:val="00111CBB"/>
    <w:rsid w:val="0011210D"/>
    <w:rsid w:val="00112765"/>
    <w:rsid w:val="00112BF7"/>
    <w:rsid w:val="00113361"/>
    <w:rsid w:val="00113A46"/>
    <w:rsid w:val="00114AC5"/>
    <w:rsid w:val="00115481"/>
    <w:rsid w:val="001162E0"/>
    <w:rsid w:val="00116579"/>
    <w:rsid w:val="00116C7F"/>
    <w:rsid w:val="0011786C"/>
    <w:rsid w:val="00121DE8"/>
    <w:rsid w:val="00122E48"/>
    <w:rsid w:val="00122F5E"/>
    <w:rsid w:val="001237B4"/>
    <w:rsid w:val="001239B6"/>
    <w:rsid w:val="001244EC"/>
    <w:rsid w:val="00126EEE"/>
    <w:rsid w:val="00126EEF"/>
    <w:rsid w:val="00126F80"/>
    <w:rsid w:val="00127248"/>
    <w:rsid w:val="00127B1F"/>
    <w:rsid w:val="00127BEA"/>
    <w:rsid w:val="00127C05"/>
    <w:rsid w:val="00130500"/>
    <w:rsid w:val="0013065F"/>
    <w:rsid w:val="001312BC"/>
    <w:rsid w:val="00131562"/>
    <w:rsid w:val="00131911"/>
    <w:rsid w:val="00131CDF"/>
    <w:rsid w:val="00132391"/>
    <w:rsid w:val="00133BFB"/>
    <w:rsid w:val="00133DCC"/>
    <w:rsid w:val="001344D5"/>
    <w:rsid w:val="00134892"/>
    <w:rsid w:val="00134A68"/>
    <w:rsid w:val="00134AB5"/>
    <w:rsid w:val="00135132"/>
    <w:rsid w:val="0013555E"/>
    <w:rsid w:val="00135B0C"/>
    <w:rsid w:val="00136897"/>
    <w:rsid w:val="0013695E"/>
    <w:rsid w:val="00136FB8"/>
    <w:rsid w:val="0014043C"/>
    <w:rsid w:val="0014047D"/>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976"/>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B55"/>
    <w:rsid w:val="00183EE9"/>
    <w:rsid w:val="0018454F"/>
    <w:rsid w:val="001846BB"/>
    <w:rsid w:val="00185402"/>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958D4"/>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B5C"/>
    <w:rsid w:val="001B6E63"/>
    <w:rsid w:val="001B78AC"/>
    <w:rsid w:val="001B7EF3"/>
    <w:rsid w:val="001C0151"/>
    <w:rsid w:val="001C0C36"/>
    <w:rsid w:val="001C0D8E"/>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54C"/>
    <w:rsid w:val="001C7EC3"/>
    <w:rsid w:val="001D07F6"/>
    <w:rsid w:val="001D0DCF"/>
    <w:rsid w:val="001D31A6"/>
    <w:rsid w:val="001D3B81"/>
    <w:rsid w:val="001D40CC"/>
    <w:rsid w:val="001D4D61"/>
    <w:rsid w:val="001D4D8C"/>
    <w:rsid w:val="001D5282"/>
    <w:rsid w:val="001D529D"/>
    <w:rsid w:val="001D577C"/>
    <w:rsid w:val="001D694C"/>
    <w:rsid w:val="001D6F56"/>
    <w:rsid w:val="001D754A"/>
    <w:rsid w:val="001E288A"/>
    <w:rsid w:val="001E2A02"/>
    <w:rsid w:val="001E2B84"/>
    <w:rsid w:val="001E338B"/>
    <w:rsid w:val="001E3B11"/>
    <w:rsid w:val="001E4893"/>
    <w:rsid w:val="001E4C02"/>
    <w:rsid w:val="001E593B"/>
    <w:rsid w:val="001E6586"/>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5FF3"/>
    <w:rsid w:val="00206222"/>
    <w:rsid w:val="0020694D"/>
    <w:rsid w:val="00206B99"/>
    <w:rsid w:val="002073D2"/>
    <w:rsid w:val="002078AA"/>
    <w:rsid w:val="00210261"/>
    <w:rsid w:val="0021074F"/>
    <w:rsid w:val="00210E8E"/>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40"/>
    <w:rsid w:val="002248E9"/>
    <w:rsid w:val="00225069"/>
    <w:rsid w:val="00225542"/>
    <w:rsid w:val="002256A3"/>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DB3"/>
    <w:rsid w:val="00245F41"/>
    <w:rsid w:val="002466CD"/>
    <w:rsid w:val="0024672A"/>
    <w:rsid w:val="00246915"/>
    <w:rsid w:val="002476CF"/>
    <w:rsid w:val="00247799"/>
    <w:rsid w:val="00247875"/>
    <w:rsid w:val="00247B10"/>
    <w:rsid w:val="00247D11"/>
    <w:rsid w:val="00247E15"/>
    <w:rsid w:val="00247ECF"/>
    <w:rsid w:val="00250E2D"/>
    <w:rsid w:val="00251957"/>
    <w:rsid w:val="00251BCC"/>
    <w:rsid w:val="00252528"/>
    <w:rsid w:val="002530F3"/>
    <w:rsid w:val="00253130"/>
    <w:rsid w:val="00253A1C"/>
    <w:rsid w:val="002541B3"/>
    <w:rsid w:val="00254C10"/>
    <w:rsid w:val="00255C0E"/>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860"/>
    <w:rsid w:val="00286C13"/>
    <w:rsid w:val="00286D80"/>
    <w:rsid w:val="00287888"/>
    <w:rsid w:val="00291333"/>
    <w:rsid w:val="00291341"/>
    <w:rsid w:val="002926B1"/>
    <w:rsid w:val="00292CA5"/>
    <w:rsid w:val="002937DD"/>
    <w:rsid w:val="00293B1D"/>
    <w:rsid w:val="00293E41"/>
    <w:rsid w:val="00296748"/>
    <w:rsid w:val="0029713B"/>
    <w:rsid w:val="00297709"/>
    <w:rsid w:val="00297C79"/>
    <w:rsid w:val="002A0081"/>
    <w:rsid w:val="002A0713"/>
    <w:rsid w:val="002A18E6"/>
    <w:rsid w:val="002A1AAC"/>
    <w:rsid w:val="002A2172"/>
    <w:rsid w:val="002A2985"/>
    <w:rsid w:val="002A4088"/>
    <w:rsid w:val="002A4403"/>
    <w:rsid w:val="002A4AD1"/>
    <w:rsid w:val="002A4AE9"/>
    <w:rsid w:val="002A4B47"/>
    <w:rsid w:val="002A5750"/>
    <w:rsid w:val="002A657D"/>
    <w:rsid w:val="002A6B3D"/>
    <w:rsid w:val="002A6E86"/>
    <w:rsid w:val="002A6EF0"/>
    <w:rsid w:val="002B0967"/>
    <w:rsid w:val="002B0C32"/>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73DF"/>
    <w:rsid w:val="002C7DEA"/>
    <w:rsid w:val="002D0290"/>
    <w:rsid w:val="002D0C9B"/>
    <w:rsid w:val="002D1979"/>
    <w:rsid w:val="002D20D6"/>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0520"/>
    <w:rsid w:val="002F19AF"/>
    <w:rsid w:val="002F1B7B"/>
    <w:rsid w:val="002F1C6A"/>
    <w:rsid w:val="002F1FCB"/>
    <w:rsid w:val="002F282F"/>
    <w:rsid w:val="002F2BC5"/>
    <w:rsid w:val="002F32F4"/>
    <w:rsid w:val="002F3B18"/>
    <w:rsid w:val="002F3DC5"/>
    <w:rsid w:val="002F4F72"/>
    <w:rsid w:val="002F511C"/>
    <w:rsid w:val="002F5E12"/>
    <w:rsid w:val="002F5F9B"/>
    <w:rsid w:val="002F633F"/>
    <w:rsid w:val="002F67C7"/>
    <w:rsid w:val="002F6EC3"/>
    <w:rsid w:val="002F7173"/>
    <w:rsid w:val="002F7484"/>
    <w:rsid w:val="002F77C3"/>
    <w:rsid w:val="00301CB4"/>
    <w:rsid w:val="00302960"/>
    <w:rsid w:val="0030330D"/>
    <w:rsid w:val="00304999"/>
    <w:rsid w:val="00304F25"/>
    <w:rsid w:val="003056B2"/>
    <w:rsid w:val="00305D48"/>
    <w:rsid w:val="00306940"/>
    <w:rsid w:val="003069E9"/>
    <w:rsid w:val="00307353"/>
    <w:rsid w:val="00307E06"/>
    <w:rsid w:val="00310588"/>
    <w:rsid w:val="0031096E"/>
    <w:rsid w:val="00311560"/>
    <w:rsid w:val="00311708"/>
    <w:rsid w:val="00311BB1"/>
    <w:rsid w:val="00312470"/>
    <w:rsid w:val="0031285C"/>
    <w:rsid w:val="003130C8"/>
    <w:rsid w:val="00313A44"/>
    <w:rsid w:val="00314EF0"/>
    <w:rsid w:val="00315060"/>
    <w:rsid w:val="003150CD"/>
    <w:rsid w:val="003154AB"/>
    <w:rsid w:val="003155CF"/>
    <w:rsid w:val="00315BA3"/>
    <w:rsid w:val="00316707"/>
    <w:rsid w:val="00316B6D"/>
    <w:rsid w:val="00317A31"/>
    <w:rsid w:val="00317B07"/>
    <w:rsid w:val="00317BDE"/>
    <w:rsid w:val="00317DC3"/>
    <w:rsid w:val="00320422"/>
    <w:rsid w:val="0032088F"/>
    <w:rsid w:val="00321643"/>
    <w:rsid w:val="00321A91"/>
    <w:rsid w:val="00322486"/>
    <w:rsid w:val="00323295"/>
    <w:rsid w:val="00323848"/>
    <w:rsid w:val="003239B4"/>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A65"/>
    <w:rsid w:val="003357CC"/>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4B5B"/>
    <w:rsid w:val="003652A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A9E"/>
    <w:rsid w:val="003804A7"/>
    <w:rsid w:val="00380738"/>
    <w:rsid w:val="00381DC3"/>
    <w:rsid w:val="00381F89"/>
    <w:rsid w:val="0038228C"/>
    <w:rsid w:val="00382894"/>
    <w:rsid w:val="00382BDE"/>
    <w:rsid w:val="003859C4"/>
    <w:rsid w:val="00385EA5"/>
    <w:rsid w:val="00386F92"/>
    <w:rsid w:val="003874C3"/>
    <w:rsid w:val="00387725"/>
    <w:rsid w:val="00387C65"/>
    <w:rsid w:val="0039022E"/>
    <w:rsid w:val="00390CDE"/>
    <w:rsid w:val="00391BD8"/>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943"/>
    <w:rsid w:val="003B2F00"/>
    <w:rsid w:val="003B354A"/>
    <w:rsid w:val="003B3575"/>
    <w:rsid w:val="003B3697"/>
    <w:rsid w:val="003B373B"/>
    <w:rsid w:val="003B3A74"/>
    <w:rsid w:val="003B4BAF"/>
    <w:rsid w:val="003B5111"/>
    <w:rsid w:val="003B57C3"/>
    <w:rsid w:val="003B609E"/>
    <w:rsid w:val="003B6581"/>
    <w:rsid w:val="003B6C7E"/>
    <w:rsid w:val="003B6E21"/>
    <w:rsid w:val="003B79F9"/>
    <w:rsid w:val="003C0293"/>
    <w:rsid w:val="003C0DF1"/>
    <w:rsid w:val="003C1936"/>
    <w:rsid w:val="003C268F"/>
    <w:rsid w:val="003C2A42"/>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DB4"/>
    <w:rsid w:val="003F1FC5"/>
    <w:rsid w:val="003F3E65"/>
    <w:rsid w:val="003F42FC"/>
    <w:rsid w:val="003F4833"/>
    <w:rsid w:val="003F4B68"/>
    <w:rsid w:val="003F532D"/>
    <w:rsid w:val="003F7591"/>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6B5"/>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6B9B"/>
    <w:rsid w:val="004673D5"/>
    <w:rsid w:val="0047274B"/>
    <w:rsid w:val="00472B3D"/>
    <w:rsid w:val="00472D90"/>
    <w:rsid w:val="00473EB5"/>
    <w:rsid w:val="0047647A"/>
    <w:rsid w:val="004771E5"/>
    <w:rsid w:val="00477357"/>
    <w:rsid w:val="00477E07"/>
    <w:rsid w:val="004804CF"/>
    <w:rsid w:val="00480A69"/>
    <w:rsid w:val="004813E0"/>
    <w:rsid w:val="0048306E"/>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5F8"/>
    <w:rsid w:val="004A770C"/>
    <w:rsid w:val="004A781C"/>
    <w:rsid w:val="004A7ECD"/>
    <w:rsid w:val="004B05CE"/>
    <w:rsid w:val="004B0EF8"/>
    <w:rsid w:val="004B117E"/>
    <w:rsid w:val="004B17F7"/>
    <w:rsid w:val="004B1E33"/>
    <w:rsid w:val="004B1F81"/>
    <w:rsid w:val="004B243A"/>
    <w:rsid w:val="004B316D"/>
    <w:rsid w:val="004B4654"/>
    <w:rsid w:val="004B5540"/>
    <w:rsid w:val="004B5F62"/>
    <w:rsid w:val="004B6800"/>
    <w:rsid w:val="004B69CB"/>
    <w:rsid w:val="004B6B98"/>
    <w:rsid w:val="004B748E"/>
    <w:rsid w:val="004B7C5E"/>
    <w:rsid w:val="004C05E4"/>
    <w:rsid w:val="004C1578"/>
    <w:rsid w:val="004C1927"/>
    <w:rsid w:val="004C2276"/>
    <w:rsid w:val="004C3A42"/>
    <w:rsid w:val="004C3BF5"/>
    <w:rsid w:val="004C4721"/>
    <w:rsid w:val="004C4B13"/>
    <w:rsid w:val="004C4B5E"/>
    <w:rsid w:val="004C5064"/>
    <w:rsid w:val="004C513B"/>
    <w:rsid w:val="004C537F"/>
    <w:rsid w:val="004C54F2"/>
    <w:rsid w:val="004C566E"/>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1DD"/>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8BF"/>
    <w:rsid w:val="004F6C74"/>
    <w:rsid w:val="005001E5"/>
    <w:rsid w:val="00500A0B"/>
    <w:rsid w:val="00500C4C"/>
    <w:rsid w:val="005016CA"/>
    <w:rsid w:val="00502093"/>
    <w:rsid w:val="00502177"/>
    <w:rsid w:val="0050345B"/>
    <w:rsid w:val="00504E19"/>
    <w:rsid w:val="00505E6E"/>
    <w:rsid w:val="005063B6"/>
    <w:rsid w:val="00506A1C"/>
    <w:rsid w:val="0050734D"/>
    <w:rsid w:val="00507AB3"/>
    <w:rsid w:val="00510956"/>
    <w:rsid w:val="00510F23"/>
    <w:rsid w:val="0051133B"/>
    <w:rsid w:val="0051135E"/>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35D"/>
    <w:rsid w:val="00524D42"/>
    <w:rsid w:val="005251C5"/>
    <w:rsid w:val="00526D7B"/>
    <w:rsid w:val="00526DC4"/>
    <w:rsid w:val="00527324"/>
    <w:rsid w:val="005274E0"/>
    <w:rsid w:val="00527F7B"/>
    <w:rsid w:val="005300DF"/>
    <w:rsid w:val="00531ADC"/>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47B3A"/>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96C"/>
    <w:rsid w:val="00562C19"/>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40AB"/>
    <w:rsid w:val="005952AE"/>
    <w:rsid w:val="005960D3"/>
    <w:rsid w:val="005973A7"/>
    <w:rsid w:val="005A0825"/>
    <w:rsid w:val="005A09A3"/>
    <w:rsid w:val="005A10FD"/>
    <w:rsid w:val="005A1FEE"/>
    <w:rsid w:val="005A273F"/>
    <w:rsid w:val="005A2E22"/>
    <w:rsid w:val="005A3583"/>
    <w:rsid w:val="005A4118"/>
    <w:rsid w:val="005A453F"/>
    <w:rsid w:val="005A493F"/>
    <w:rsid w:val="005A6A9E"/>
    <w:rsid w:val="005A73F1"/>
    <w:rsid w:val="005A752F"/>
    <w:rsid w:val="005A777D"/>
    <w:rsid w:val="005B1E40"/>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1BD1"/>
    <w:rsid w:val="005C21B5"/>
    <w:rsid w:val="005C265F"/>
    <w:rsid w:val="005C3179"/>
    <w:rsid w:val="005C464F"/>
    <w:rsid w:val="005C565F"/>
    <w:rsid w:val="005C5B71"/>
    <w:rsid w:val="005C639C"/>
    <w:rsid w:val="005C7062"/>
    <w:rsid w:val="005C714B"/>
    <w:rsid w:val="005C795A"/>
    <w:rsid w:val="005D293A"/>
    <w:rsid w:val="005D2CDE"/>
    <w:rsid w:val="005D2DDC"/>
    <w:rsid w:val="005D341C"/>
    <w:rsid w:val="005D3A26"/>
    <w:rsid w:val="005D3C96"/>
    <w:rsid w:val="005D4EDA"/>
    <w:rsid w:val="005D58F0"/>
    <w:rsid w:val="005D60DE"/>
    <w:rsid w:val="005D65FC"/>
    <w:rsid w:val="005D6747"/>
    <w:rsid w:val="005D6918"/>
    <w:rsid w:val="005D6BC9"/>
    <w:rsid w:val="005E08EE"/>
    <w:rsid w:val="005E2A01"/>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39CC"/>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461A"/>
    <w:rsid w:val="00605582"/>
    <w:rsid w:val="00605720"/>
    <w:rsid w:val="00605C0C"/>
    <w:rsid w:val="00605C57"/>
    <w:rsid w:val="00605C73"/>
    <w:rsid w:val="0060626C"/>
    <w:rsid w:val="006065FF"/>
    <w:rsid w:val="00607309"/>
    <w:rsid w:val="00607F3D"/>
    <w:rsid w:val="00610C46"/>
    <w:rsid w:val="00614079"/>
    <w:rsid w:val="00614188"/>
    <w:rsid w:val="00614B3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3E83"/>
    <w:rsid w:val="00624802"/>
    <w:rsid w:val="00624F20"/>
    <w:rsid w:val="006254DF"/>
    <w:rsid w:val="00625F4E"/>
    <w:rsid w:val="006279BE"/>
    <w:rsid w:val="006304BB"/>
    <w:rsid w:val="0063071F"/>
    <w:rsid w:val="00630C62"/>
    <w:rsid w:val="00631207"/>
    <w:rsid w:val="00631467"/>
    <w:rsid w:val="0063273E"/>
    <w:rsid w:val="00633242"/>
    <w:rsid w:val="00633FA0"/>
    <w:rsid w:val="00634534"/>
    <w:rsid w:val="00634EF5"/>
    <w:rsid w:val="00635B8D"/>
    <w:rsid w:val="00636401"/>
    <w:rsid w:val="00636905"/>
    <w:rsid w:val="00636A93"/>
    <w:rsid w:val="00637474"/>
    <w:rsid w:val="0063772A"/>
    <w:rsid w:val="006418C8"/>
    <w:rsid w:val="006427D9"/>
    <w:rsid w:val="00642BAE"/>
    <w:rsid w:val="00642CAD"/>
    <w:rsid w:val="00643498"/>
    <w:rsid w:val="00643D25"/>
    <w:rsid w:val="00644683"/>
    <w:rsid w:val="006448DB"/>
    <w:rsid w:val="00644D3E"/>
    <w:rsid w:val="00645AB9"/>
    <w:rsid w:val="00645E2A"/>
    <w:rsid w:val="006460CB"/>
    <w:rsid w:val="00646267"/>
    <w:rsid w:val="00646982"/>
    <w:rsid w:val="00646D5C"/>
    <w:rsid w:val="00646DD7"/>
    <w:rsid w:val="006473BA"/>
    <w:rsid w:val="006475F4"/>
    <w:rsid w:val="00647D90"/>
    <w:rsid w:val="006502D1"/>
    <w:rsid w:val="006504FE"/>
    <w:rsid w:val="00650FE9"/>
    <w:rsid w:val="00651275"/>
    <w:rsid w:val="00652231"/>
    <w:rsid w:val="0065228A"/>
    <w:rsid w:val="006539F1"/>
    <w:rsid w:val="00654244"/>
    <w:rsid w:val="006546B6"/>
    <w:rsid w:val="006547BB"/>
    <w:rsid w:val="006555CA"/>
    <w:rsid w:val="00655BA3"/>
    <w:rsid w:val="006560E3"/>
    <w:rsid w:val="006564ED"/>
    <w:rsid w:val="00656C6E"/>
    <w:rsid w:val="0066116D"/>
    <w:rsid w:val="006621D9"/>
    <w:rsid w:val="00662EBD"/>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8B8"/>
    <w:rsid w:val="00673B33"/>
    <w:rsid w:val="006747AB"/>
    <w:rsid w:val="00676465"/>
    <w:rsid w:val="006775C4"/>
    <w:rsid w:val="0068056E"/>
    <w:rsid w:val="00681AC1"/>
    <w:rsid w:val="00681E5F"/>
    <w:rsid w:val="00681EE7"/>
    <w:rsid w:val="006820FB"/>
    <w:rsid w:val="00682165"/>
    <w:rsid w:val="00683178"/>
    <w:rsid w:val="0068325D"/>
    <w:rsid w:val="00684F50"/>
    <w:rsid w:val="00685785"/>
    <w:rsid w:val="00685E24"/>
    <w:rsid w:val="00686F6A"/>
    <w:rsid w:val="00687828"/>
    <w:rsid w:val="00687BEB"/>
    <w:rsid w:val="00690738"/>
    <w:rsid w:val="00691515"/>
    <w:rsid w:val="00691ADA"/>
    <w:rsid w:val="00692778"/>
    <w:rsid w:val="00692B2A"/>
    <w:rsid w:val="00692F10"/>
    <w:rsid w:val="006937A1"/>
    <w:rsid w:val="00693CC2"/>
    <w:rsid w:val="00693E9C"/>
    <w:rsid w:val="00693F50"/>
    <w:rsid w:val="00694688"/>
    <w:rsid w:val="006947EF"/>
    <w:rsid w:val="00694863"/>
    <w:rsid w:val="006948AC"/>
    <w:rsid w:val="00694C91"/>
    <w:rsid w:val="00694D2F"/>
    <w:rsid w:val="00695D24"/>
    <w:rsid w:val="00695E17"/>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707"/>
    <w:rsid w:val="006C1F9E"/>
    <w:rsid w:val="006C2D65"/>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2CC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585"/>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550"/>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02FC"/>
    <w:rsid w:val="00721CC2"/>
    <w:rsid w:val="0072215B"/>
    <w:rsid w:val="00722B88"/>
    <w:rsid w:val="0072304C"/>
    <w:rsid w:val="0072368F"/>
    <w:rsid w:val="00723EC1"/>
    <w:rsid w:val="00724552"/>
    <w:rsid w:val="00724C1C"/>
    <w:rsid w:val="00726782"/>
    <w:rsid w:val="00727C09"/>
    <w:rsid w:val="00727D9C"/>
    <w:rsid w:val="00727F60"/>
    <w:rsid w:val="00730089"/>
    <w:rsid w:val="00730250"/>
    <w:rsid w:val="00730453"/>
    <w:rsid w:val="007308F7"/>
    <w:rsid w:val="00730AC8"/>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0E0D"/>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3A6"/>
    <w:rsid w:val="007779BF"/>
    <w:rsid w:val="00777B9A"/>
    <w:rsid w:val="00777CFA"/>
    <w:rsid w:val="00777F6C"/>
    <w:rsid w:val="007806D4"/>
    <w:rsid w:val="00781E84"/>
    <w:rsid w:val="00781EFF"/>
    <w:rsid w:val="00782019"/>
    <w:rsid w:val="007841D1"/>
    <w:rsid w:val="0078525B"/>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2561"/>
    <w:rsid w:val="007A367E"/>
    <w:rsid w:val="007A3AF8"/>
    <w:rsid w:val="007A43A0"/>
    <w:rsid w:val="007A47F2"/>
    <w:rsid w:val="007A48A6"/>
    <w:rsid w:val="007A490A"/>
    <w:rsid w:val="007A530A"/>
    <w:rsid w:val="007A65AF"/>
    <w:rsid w:val="007A6D52"/>
    <w:rsid w:val="007A719C"/>
    <w:rsid w:val="007A726F"/>
    <w:rsid w:val="007A757A"/>
    <w:rsid w:val="007B08F4"/>
    <w:rsid w:val="007B0A40"/>
    <w:rsid w:val="007B14D2"/>
    <w:rsid w:val="007B34BC"/>
    <w:rsid w:val="007B38A6"/>
    <w:rsid w:val="007B452B"/>
    <w:rsid w:val="007B4EEE"/>
    <w:rsid w:val="007B5EBB"/>
    <w:rsid w:val="007B65D2"/>
    <w:rsid w:val="007B6826"/>
    <w:rsid w:val="007B6AD5"/>
    <w:rsid w:val="007B6B01"/>
    <w:rsid w:val="007C04A2"/>
    <w:rsid w:val="007C1271"/>
    <w:rsid w:val="007C1273"/>
    <w:rsid w:val="007C313D"/>
    <w:rsid w:val="007C3B2E"/>
    <w:rsid w:val="007C405D"/>
    <w:rsid w:val="007C4D7C"/>
    <w:rsid w:val="007C5545"/>
    <w:rsid w:val="007C587A"/>
    <w:rsid w:val="007C5FD2"/>
    <w:rsid w:val="007C7687"/>
    <w:rsid w:val="007C79F5"/>
    <w:rsid w:val="007C7A6B"/>
    <w:rsid w:val="007D0A0F"/>
    <w:rsid w:val="007D131D"/>
    <w:rsid w:val="007D1719"/>
    <w:rsid w:val="007D1EF3"/>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2EB7"/>
    <w:rsid w:val="007F35C6"/>
    <w:rsid w:val="007F3BF0"/>
    <w:rsid w:val="007F4049"/>
    <w:rsid w:val="007F4460"/>
    <w:rsid w:val="007F4946"/>
    <w:rsid w:val="007F4B42"/>
    <w:rsid w:val="007F5B11"/>
    <w:rsid w:val="007F6B75"/>
    <w:rsid w:val="007F7CB7"/>
    <w:rsid w:val="007F7F91"/>
    <w:rsid w:val="00801A10"/>
    <w:rsid w:val="00801F35"/>
    <w:rsid w:val="00803391"/>
    <w:rsid w:val="00803D63"/>
    <w:rsid w:val="00805250"/>
    <w:rsid w:val="00805B95"/>
    <w:rsid w:val="008061D6"/>
    <w:rsid w:val="008068C9"/>
    <w:rsid w:val="00806D14"/>
    <w:rsid w:val="0080728A"/>
    <w:rsid w:val="00807D76"/>
    <w:rsid w:val="00810C01"/>
    <w:rsid w:val="00811182"/>
    <w:rsid w:val="00811407"/>
    <w:rsid w:val="00811B44"/>
    <w:rsid w:val="008122E4"/>
    <w:rsid w:val="00812B26"/>
    <w:rsid w:val="00812D5A"/>
    <w:rsid w:val="00813494"/>
    <w:rsid w:val="00813755"/>
    <w:rsid w:val="00814521"/>
    <w:rsid w:val="008161D5"/>
    <w:rsid w:val="008171D5"/>
    <w:rsid w:val="00817A06"/>
    <w:rsid w:val="0082001A"/>
    <w:rsid w:val="008205D0"/>
    <w:rsid w:val="0082070E"/>
    <w:rsid w:val="00820D99"/>
    <w:rsid w:val="00820E06"/>
    <w:rsid w:val="008211F5"/>
    <w:rsid w:val="00822758"/>
    <w:rsid w:val="00823863"/>
    <w:rsid w:val="008240AB"/>
    <w:rsid w:val="008241FC"/>
    <w:rsid w:val="00824B51"/>
    <w:rsid w:val="00825DF2"/>
    <w:rsid w:val="00826417"/>
    <w:rsid w:val="00826459"/>
    <w:rsid w:val="008264A3"/>
    <w:rsid w:val="00826F27"/>
    <w:rsid w:val="008270BC"/>
    <w:rsid w:val="0082789D"/>
    <w:rsid w:val="008309C8"/>
    <w:rsid w:val="008309F3"/>
    <w:rsid w:val="00830A96"/>
    <w:rsid w:val="008312B3"/>
    <w:rsid w:val="0083287B"/>
    <w:rsid w:val="0083298A"/>
    <w:rsid w:val="00832A83"/>
    <w:rsid w:val="00832D2B"/>
    <w:rsid w:val="00833114"/>
    <w:rsid w:val="00835668"/>
    <w:rsid w:val="008357D2"/>
    <w:rsid w:val="008370CF"/>
    <w:rsid w:val="00837CEF"/>
    <w:rsid w:val="00840C89"/>
    <w:rsid w:val="0084114B"/>
    <w:rsid w:val="00841D66"/>
    <w:rsid w:val="00841FF8"/>
    <w:rsid w:val="00842756"/>
    <w:rsid w:val="008430AD"/>
    <w:rsid w:val="008433AE"/>
    <w:rsid w:val="0084355F"/>
    <w:rsid w:val="00843D17"/>
    <w:rsid w:val="008452FB"/>
    <w:rsid w:val="00846DD0"/>
    <w:rsid w:val="0084703C"/>
    <w:rsid w:val="008473A8"/>
    <w:rsid w:val="00847424"/>
    <w:rsid w:val="00847B25"/>
    <w:rsid w:val="00850061"/>
    <w:rsid w:val="00850259"/>
    <w:rsid w:val="008504C8"/>
    <w:rsid w:val="00851000"/>
    <w:rsid w:val="00851789"/>
    <w:rsid w:val="00854886"/>
    <w:rsid w:val="00855029"/>
    <w:rsid w:val="0085507C"/>
    <w:rsid w:val="00855551"/>
    <w:rsid w:val="0085563E"/>
    <w:rsid w:val="00860053"/>
    <w:rsid w:val="008601DA"/>
    <w:rsid w:val="00861653"/>
    <w:rsid w:val="00861978"/>
    <w:rsid w:val="008625C0"/>
    <w:rsid w:val="00863418"/>
    <w:rsid w:val="008634C5"/>
    <w:rsid w:val="00863FB1"/>
    <w:rsid w:val="00864F72"/>
    <w:rsid w:val="00865B42"/>
    <w:rsid w:val="00866CE0"/>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4C1"/>
    <w:rsid w:val="00881527"/>
    <w:rsid w:val="00881759"/>
    <w:rsid w:val="00883058"/>
    <w:rsid w:val="0088412E"/>
    <w:rsid w:val="00884613"/>
    <w:rsid w:val="00884F71"/>
    <w:rsid w:val="0088509D"/>
    <w:rsid w:val="00885A50"/>
    <w:rsid w:val="008866BD"/>
    <w:rsid w:val="00886D84"/>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1C0A"/>
    <w:rsid w:val="008A23DD"/>
    <w:rsid w:val="008A249E"/>
    <w:rsid w:val="008A4EE6"/>
    <w:rsid w:val="008A6544"/>
    <w:rsid w:val="008A65C4"/>
    <w:rsid w:val="008A7DBD"/>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877"/>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CAC"/>
    <w:rsid w:val="00905D8A"/>
    <w:rsid w:val="009064B4"/>
    <w:rsid w:val="0090696C"/>
    <w:rsid w:val="00907C15"/>
    <w:rsid w:val="0091170B"/>
    <w:rsid w:val="00911817"/>
    <w:rsid w:val="00912F68"/>
    <w:rsid w:val="009133A9"/>
    <w:rsid w:val="00913418"/>
    <w:rsid w:val="009137F9"/>
    <w:rsid w:val="00913C08"/>
    <w:rsid w:val="00914372"/>
    <w:rsid w:val="00915282"/>
    <w:rsid w:val="0091567A"/>
    <w:rsid w:val="00920287"/>
    <w:rsid w:val="00920947"/>
    <w:rsid w:val="0092099A"/>
    <w:rsid w:val="00920C90"/>
    <w:rsid w:val="00921428"/>
    <w:rsid w:val="00921E9D"/>
    <w:rsid w:val="009220E0"/>
    <w:rsid w:val="0092244D"/>
    <w:rsid w:val="00922FD0"/>
    <w:rsid w:val="0092321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D23"/>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66E32"/>
    <w:rsid w:val="009700BB"/>
    <w:rsid w:val="0097040A"/>
    <w:rsid w:val="00971321"/>
    <w:rsid w:val="00972B61"/>
    <w:rsid w:val="009730F2"/>
    <w:rsid w:val="00974250"/>
    <w:rsid w:val="00974F50"/>
    <w:rsid w:val="009756EC"/>
    <w:rsid w:val="009757EE"/>
    <w:rsid w:val="0097584C"/>
    <w:rsid w:val="00976FCC"/>
    <w:rsid w:val="0097768E"/>
    <w:rsid w:val="009818A2"/>
    <w:rsid w:val="00981A74"/>
    <w:rsid w:val="009829E2"/>
    <w:rsid w:val="00983525"/>
    <w:rsid w:val="009844CE"/>
    <w:rsid w:val="00984590"/>
    <w:rsid w:val="00984F92"/>
    <w:rsid w:val="00984FB7"/>
    <w:rsid w:val="009855CB"/>
    <w:rsid w:val="00985932"/>
    <w:rsid w:val="00985F5F"/>
    <w:rsid w:val="009868FC"/>
    <w:rsid w:val="00986D58"/>
    <w:rsid w:val="00986D6A"/>
    <w:rsid w:val="00990013"/>
    <w:rsid w:val="009904ED"/>
    <w:rsid w:val="00990D44"/>
    <w:rsid w:val="00991E94"/>
    <w:rsid w:val="00992712"/>
    <w:rsid w:val="00993358"/>
    <w:rsid w:val="00993E4C"/>
    <w:rsid w:val="00993E7E"/>
    <w:rsid w:val="0099690A"/>
    <w:rsid w:val="00997136"/>
    <w:rsid w:val="009971A7"/>
    <w:rsid w:val="00997965"/>
    <w:rsid w:val="00997BBE"/>
    <w:rsid w:val="009A143B"/>
    <w:rsid w:val="009A33BE"/>
    <w:rsid w:val="009A3F67"/>
    <w:rsid w:val="009B0C38"/>
    <w:rsid w:val="009B1120"/>
    <w:rsid w:val="009B117A"/>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4B5F"/>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91B"/>
    <w:rsid w:val="009E01AF"/>
    <w:rsid w:val="009E0336"/>
    <w:rsid w:val="009E08CA"/>
    <w:rsid w:val="009E10EC"/>
    <w:rsid w:val="009E10F6"/>
    <w:rsid w:val="009E1628"/>
    <w:rsid w:val="009E19D2"/>
    <w:rsid w:val="009E2622"/>
    <w:rsid w:val="009E2B95"/>
    <w:rsid w:val="009E2F5D"/>
    <w:rsid w:val="009E34FA"/>
    <w:rsid w:val="009E3D69"/>
    <w:rsid w:val="009E3DB9"/>
    <w:rsid w:val="009E4B0C"/>
    <w:rsid w:val="009E4B72"/>
    <w:rsid w:val="009E52E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B53"/>
    <w:rsid w:val="00A164A6"/>
    <w:rsid w:val="00A165FE"/>
    <w:rsid w:val="00A16EFC"/>
    <w:rsid w:val="00A17A7F"/>
    <w:rsid w:val="00A20FD0"/>
    <w:rsid w:val="00A21357"/>
    <w:rsid w:val="00A215C1"/>
    <w:rsid w:val="00A218EB"/>
    <w:rsid w:val="00A21B13"/>
    <w:rsid w:val="00A22381"/>
    <w:rsid w:val="00A23061"/>
    <w:rsid w:val="00A23D23"/>
    <w:rsid w:val="00A243B5"/>
    <w:rsid w:val="00A24A17"/>
    <w:rsid w:val="00A24B73"/>
    <w:rsid w:val="00A257A4"/>
    <w:rsid w:val="00A258BB"/>
    <w:rsid w:val="00A27138"/>
    <w:rsid w:val="00A30D30"/>
    <w:rsid w:val="00A31158"/>
    <w:rsid w:val="00A31363"/>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2A95"/>
    <w:rsid w:val="00A537AD"/>
    <w:rsid w:val="00A54A2D"/>
    <w:rsid w:val="00A54AAC"/>
    <w:rsid w:val="00A55915"/>
    <w:rsid w:val="00A55A68"/>
    <w:rsid w:val="00A56094"/>
    <w:rsid w:val="00A5698E"/>
    <w:rsid w:val="00A56B70"/>
    <w:rsid w:val="00A56E8D"/>
    <w:rsid w:val="00A5700F"/>
    <w:rsid w:val="00A575B4"/>
    <w:rsid w:val="00A608CD"/>
    <w:rsid w:val="00A60A4A"/>
    <w:rsid w:val="00A62264"/>
    <w:rsid w:val="00A64280"/>
    <w:rsid w:val="00A64C7D"/>
    <w:rsid w:val="00A64E0F"/>
    <w:rsid w:val="00A654A2"/>
    <w:rsid w:val="00A654DF"/>
    <w:rsid w:val="00A655E9"/>
    <w:rsid w:val="00A65731"/>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C47"/>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1B6D"/>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57F"/>
    <w:rsid w:val="00AB3569"/>
    <w:rsid w:val="00AB511E"/>
    <w:rsid w:val="00AB5C16"/>
    <w:rsid w:val="00AB5C8E"/>
    <w:rsid w:val="00AB628D"/>
    <w:rsid w:val="00AB73B7"/>
    <w:rsid w:val="00AC00B1"/>
    <w:rsid w:val="00AC0229"/>
    <w:rsid w:val="00AC0894"/>
    <w:rsid w:val="00AC12CF"/>
    <w:rsid w:val="00AC154D"/>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E6FC4"/>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705"/>
    <w:rsid w:val="00B13E8D"/>
    <w:rsid w:val="00B15165"/>
    <w:rsid w:val="00B15852"/>
    <w:rsid w:val="00B161B4"/>
    <w:rsid w:val="00B16887"/>
    <w:rsid w:val="00B176C8"/>
    <w:rsid w:val="00B20379"/>
    <w:rsid w:val="00B2074B"/>
    <w:rsid w:val="00B211BD"/>
    <w:rsid w:val="00B21544"/>
    <w:rsid w:val="00B21AB1"/>
    <w:rsid w:val="00B228FA"/>
    <w:rsid w:val="00B22A32"/>
    <w:rsid w:val="00B2361C"/>
    <w:rsid w:val="00B23719"/>
    <w:rsid w:val="00B2459C"/>
    <w:rsid w:val="00B25FA6"/>
    <w:rsid w:val="00B26009"/>
    <w:rsid w:val="00B26215"/>
    <w:rsid w:val="00B26918"/>
    <w:rsid w:val="00B26C44"/>
    <w:rsid w:val="00B30025"/>
    <w:rsid w:val="00B30193"/>
    <w:rsid w:val="00B304E1"/>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416"/>
    <w:rsid w:val="00B40B0C"/>
    <w:rsid w:val="00B40B73"/>
    <w:rsid w:val="00B41312"/>
    <w:rsid w:val="00B417BF"/>
    <w:rsid w:val="00B42215"/>
    <w:rsid w:val="00B43574"/>
    <w:rsid w:val="00B438BE"/>
    <w:rsid w:val="00B453AD"/>
    <w:rsid w:val="00B45776"/>
    <w:rsid w:val="00B462D1"/>
    <w:rsid w:val="00B46A0D"/>
    <w:rsid w:val="00B46D2B"/>
    <w:rsid w:val="00B50446"/>
    <w:rsid w:val="00B514A0"/>
    <w:rsid w:val="00B51B10"/>
    <w:rsid w:val="00B51EB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4B7"/>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73"/>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2262"/>
    <w:rsid w:val="00BD3693"/>
    <w:rsid w:val="00BD438C"/>
    <w:rsid w:val="00BD4843"/>
    <w:rsid w:val="00BD492B"/>
    <w:rsid w:val="00BD4F9A"/>
    <w:rsid w:val="00BD5489"/>
    <w:rsid w:val="00BD5B0D"/>
    <w:rsid w:val="00BD5E19"/>
    <w:rsid w:val="00BD6D4E"/>
    <w:rsid w:val="00BD71F1"/>
    <w:rsid w:val="00BD74CF"/>
    <w:rsid w:val="00BE1BBE"/>
    <w:rsid w:val="00BE2C9F"/>
    <w:rsid w:val="00BE36D5"/>
    <w:rsid w:val="00BE38E1"/>
    <w:rsid w:val="00BE4FDC"/>
    <w:rsid w:val="00BE5D9E"/>
    <w:rsid w:val="00BE6056"/>
    <w:rsid w:val="00BE6217"/>
    <w:rsid w:val="00BE664C"/>
    <w:rsid w:val="00BE7C10"/>
    <w:rsid w:val="00BF01B9"/>
    <w:rsid w:val="00BF0D7C"/>
    <w:rsid w:val="00BF1235"/>
    <w:rsid w:val="00BF1F39"/>
    <w:rsid w:val="00BF2AD9"/>
    <w:rsid w:val="00BF2FDA"/>
    <w:rsid w:val="00BF42C3"/>
    <w:rsid w:val="00BF5877"/>
    <w:rsid w:val="00BF68A1"/>
    <w:rsid w:val="00C006E1"/>
    <w:rsid w:val="00C013E9"/>
    <w:rsid w:val="00C01536"/>
    <w:rsid w:val="00C0185C"/>
    <w:rsid w:val="00C01AE5"/>
    <w:rsid w:val="00C0372A"/>
    <w:rsid w:val="00C045C0"/>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FF"/>
    <w:rsid w:val="00C24B6B"/>
    <w:rsid w:val="00C25A02"/>
    <w:rsid w:val="00C26147"/>
    <w:rsid w:val="00C268F6"/>
    <w:rsid w:val="00C26F23"/>
    <w:rsid w:val="00C27D1A"/>
    <w:rsid w:val="00C31200"/>
    <w:rsid w:val="00C31A08"/>
    <w:rsid w:val="00C31BE7"/>
    <w:rsid w:val="00C32229"/>
    <w:rsid w:val="00C32DE7"/>
    <w:rsid w:val="00C32F73"/>
    <w:rsid w:val="00C32FD3"/>
    <w:rsid w:val="00C341CB"/>
    <w:rsid w:val="00C3542E"/>
    <w:rsid w:val="00C35B5E"/>
    <w:rsid w:val="00C370A0"/>
    <w:rsid w:val="00C3726D"/>
    <w:rsid w:val="00C4017A"/>
    <w:rsid w:val="00C404FF"/>
    <w:rsid w:val="00C40770"/>
    <w:rsid w:val="00C41357"/>
    <w:rsid w:val="00C41799"/>
    <w:rsid w:val="00C41B56"/>
    <w:rsid w:val="00C4244D"/>
    <w:rsid w:val="00C42C2F"/>
    <w:rsid w:val="00C43B8F"/>
    <w:rsid w:val="00C4450E"/>
    <w:rsid w:val="00C44980"/>
    <w:rsid w:val="00C45268"/>
    <w:rsid w:val="00C455CD"/>
    <w:rsid w:val="00C45AF8"/>
    <w:rsid w:val="00C45BBF"/>
    <w:rsid w:val="00C46708"/>
    <w:rsid w:val="00C474EF"/>
    <w:rsid w:val="00C500D2"/>
    <w:rsid w:val="00C50922"/>
    <w:rsid w:val="00C51061"/>
    <w:rsid w:val="00C51440"/>
    <w:rsid w:val="00C52089"/>
    <w:rsid w:val="00C53E87"/>
    <w:rsid w:val="00C55CDE"/>
    <w:rsid w:val="00C56885"/>
    <w:rsid w:val="00C56AE3"/>
    <w:rsid w:val="00C56D20"/>
    <w:rsid w:val="00C57069"/>
    <w:rsid w:val="00C57680"/>
    <w:rsid w:val="00C57997"/>
    <w:rsid w:val="00C60F3A"/>
    <w:rsid w:val="00C6124E"/>
    <w:rsid w:val="00C61320"/>
    <w:rsid w:val="00C613CF"/>
    <w:rsid w:val="00C6230B"/>
    <w:rsid w:val="00C6257D"/>
    <w:rsid w:val="00C632FA"/>
    <w:rsid w:val="00C635D0"/>
    <w:rsid w:val="00C64273"/>
    <w:rsid w:val="00C647F8"/>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24"/>
    <w:rsid w:val="00C83651"/>
    <w:rsid w:val="00C83754"/>
    <w:rsid w:val="00C83F2B"/>
    <w:rsid w:val="00C843FD"/>
    <w:rsid w:val="00C84998"/>
    <w:rsid w:val="00C855DB"/>
    <w:rsid w:val="00C85611"/>
    <w:rsid w:val="00C9111E"/>
    <w:rsid w:val="00C9121C"/>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1D1"/>
    <w:rsid w:val="00CB4885"/>
    <w:rsid w:val="00CB638D"/>
    <w:rsid w:val="00CB6900"/>
    <w:rsid w:val="00CB6EB4"/>
    <w:rsid w:val="00CB7439"/>
    <w:rsid w:val="00CB748E"/>
    <w:rsid w:val="00CB7C3A"/>
    <w:rsid w:val="00CC0FC3"/>
    <w:rsid w:val="00CC1406"/>
    <w:rsid w:val="00CC154C"/>
    <w:rsid w:val="00CC1DB2"/>
    <w:rsid w:val="00CC367C"/>
    <w:rsid w:val="00CC3DE1"/>
    <w:rsid w:val="00CC3FEE"/>
    <w:rsid w:val="00CC416D"/>
    <w:rsid w:val="00CC45E5"/>
    <w:rsid w:val="00CC466F"/>
    <w:rsid w:val="00CC55E8"/>
    <w:rsid w:val="00CC5DF0"/>
    <w:rsid w:val="00CC5EF4"/>
    <w:rsid w:val="00CC71C6"/>
    <w:rsid w:val="00CC727C"/>
    <w:rsid w:val="00CC7E7D"/>
    <w:rsid w:val="00CD0968"/>
    <w:rsid w:val="00CD0CF8"/>
    <w:rsid w:val="00CD1491"/>
    <w:rsid w:val="00CD2580"/>
    <w:rsid w:val="00CD3739"/>
    <w:rsid w:val="00CD3AE0"/>
    <w:rsid w:val="00CD3B16"/>
    <w:rsid w:val="00CD4B83"/>
    <w:rsid w:val="00CD5020"/>
    <w:rsid w:val="00CD58BA"/>
    <w:rsid w:val="00CD6145"/>
    <w:rsid w:val="00CD64DE"/>
    <w:rsid w:val="00CD6BA8"/>
    <w:rsid w:val="00CD6D50"/>
    <w:rsid w:val="00CD7638"/>
    <w:rsid w:val="00CD7C4E"/>
    <w:rsid w:val="00CD7E95"/>
    <w:rsid w:val="00CE049D"/>
    <w:rsid w:val="00CE123E"/>
    <w:rsid w:val="00CE140B"/>
    <w:rsid w:val="00CE2476"/>
    <w:rsid w:val="00CE25CA"/>
    <w:rsid w:val="00CE2CBA"/>
    <w:rsid w:val="00CE302C"/>
    <w:rsid w:val="00CE31BD"/>
    <w:rsid w:val="00CE449A"/>
    <w:rsid w:val="00CE4619"/>
    <w:rsid w:val="00CE47B2"/>
    <w:rsid w:val="00CE4BF2"/>
    <w:rsid w:val="00CE5E91"/>
    <w:rsid w:val="00CE69A9"/>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C55"/>
    <w:rsid w:val="00D12D84"/>
    <w:rsid w:val="00D1389D"/>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08F"/>
    <w:rsid w:val="00D2737B"/>
    <w:rsid w:val="00D3007F"/>
    <w:rsid w:val="00D301BE"/>
    <w:rsid w:val="00D30447"/>
    <w:rsid w:val="00D304A3"/>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24C"/>
    <w:rsid w:val="00D45359"/>
    <w:rsid w:val="00D4619D"/>
    <w:rsid w:val="00D47AB6"/>
    <w:rsid w:val="00D507D9"/>
    <w:rsid w:val="00D50BC3"/>
    <w:rsid w:val="00D52E63"/>
    <w:rsid w:val="00D53E86"/>
    <w:rsid w:val="00D545A8"/>
    <w:rsid w:val="00D548A5"/>
    <w:rsid w:val="00D548E5"/>
    <w:rsid w:val="00D55BD9"/>
    <w:rsid w:val="00D56163"/>
    <w:rsid w:val="00D566F5"/>
    <w:rsid w:val="00D56BF3"/>
    <w:rsid w:val="00D56DAA"/>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2EB0"/>
    <w:rsid w:val="00D73167"/>
    <w:rsid w:val="00D7322F"/>
    <w:rsid w:val="00D73481"/>
    <w:rsid w:val="00D73C07"/>
    <w:rsid w:val="00D743AB"/>
    <w:rsid w:val="00D74799"/>
    <w:rsid w:val="00D74FDC"/>
    <w:rsid w:val="00D7536B"/>
    <w:rsid w:val="00D75AD5"/>
    <w:rsid w:val="00D76FEA"/>
    <w:rsid w:val="00D81033"/>
    <w:rsid w:val="00D81136"/>
    <w:rsid w:val="00D82C07"/>
    <w:rsid w:val="00D82CE9"/>
    <w:rsid w:val="00D8317A"/>
    <w:rsid w:val="00D832F2"/>
    <w:rsid w:val="00D84AEE"/>
    <w:rsid w:val="00D8502A"/>
    <w:rsid w:val="00D850ED"/>
    <w:rsid w:val="00D85E53"/>
    <w:rsid w:val="00D865D9"/>
    <w:rsid w:val="00D86B99"/>
    <w:rsid w:val="00D9154A"/>
    <w:rsid w:val="00D9190E"/>
    <w:rsid w:val="00D91C1E"/>
    <w:rsid w:val="00D923F4"/>
    <w:rsid w:val="00D93271"/>
    <w:rsid w:val="00D93F15"/>
    <w:rsid w:val="00D9475D"/>
    <w:rsid w:val="00D96319"/>
    <w:rsid w:val="00D964D8"/>
    <w:rsid w:val="00DA020A"/>
    <w:rsid w:val="00DA07B6"/>
    <w:rsid w:val="00DA0CA2"/>
    <w:rsid w:val="00DA158D"/>
    <w:rsid w:val="00DA1A82"/>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5A23"/>
    <w:rsid w:val="00DB6A81"/>
    <w:rsid w:val="00DB6BB1"/>
    <w:rsid w:val="00DB77AF"/>
    <w:rsid w:val="00DB7A0C"/>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087"/>
    <w:rsid w:val="00DD32BB"/>
    <w:rsid w:val="00DD3AC7"/>
    <w:rsid w:val="00DD3C71"/>
    <w:rsid w:val="00DD3CB3"/>
    <w:rsid w:val="00DD3CC4"/>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68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3CF2"/>
    <w:rsid w:val="00E24415"/>
    <w:rsid w:val="00E24D01"/>
    <w:rsid w:val="00E25521"/>
    <w:rsid w:val="00E25917"/>
    <w:rsid w:val="00E261E0"/>
    <w:rsid w:val="00E26580"/>
    <w:rsid w:val="00E2721C"/>
    <w:rsid w:val="00E27B4B"/>
    <w:rsid w:val="00E3028E"/>
    <w:rsid w:val="00E3098E"/>
    <w:rsid w:val="00E311CE"/>
    <w:rsid w:val="00E31D2B"/>
    <w:rsid w:val="00E31E30"/>
    <w:rsid w:val="00E31E40"/>
    <w:rsid w:val="00E32A99"/>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2A3"/>
    <w:rsid w:val="00E43435"/>
    <w:rsid w:val="00E447FF"/>
    <w:rsid w:val="00E44850"/>
    <w:rsid w:val="00E455A1"/>
    <w:rsid w:val="00E45DF0"/>
    <w:rsid w:val="00E45F05"/>
    <w:rsid w:val="00E47A30"/>
    <w:rsid w:val="00E47B51"/>
    <w:rsid w:val="00E50E09"/>
    <w:rsid w:val="00E51F55"/>
    <w:rsid w:val="00E531FE"/>
    <w:rsid w:val="00E53692"/>
    <w:rsid w:val="00E540CA"/>
    <w:rsid w:val="00E54462"/>
    <w:rsid w:val="00E54583"/>
    <w:rsid w:val="00E55F46"/>
    <w:rsid w:val="00E5633C"/>
    <w:rsid w:val="00E56E97"/>
    <w:rsid w:val="00E56EE4"/>
    <w:rsid w:val="00E57504"/>
    <w:rsid w:val="00E60A17"/>
    <w:rsid w:val="00E621FE"/>
    <w:rsid w:val="00E6280D"/>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56"/>
    <w:rsid w:val="00E801F8"/>
    <w:rsid w:val="00E80BD1"/>
    <w:rsid w:val="00E8167D"/>
    <w:rsid w:val="00E81BCF"/>
    <w:rsid w:val="00E81D41"/>
    <w:rsid w:val="00E8217A"/>
    <w:rsid w:val="00E82708"/>
    <w:rsid w:val="00E8399A"/>
    <w:rsid w:val="00E839A4"/>
    <w:rsid w:val="00E839CE"/>
    <w:rsid w:val="00E83AB6"/>
    <w:rsid w:val="00E83EE2"/>
    <w:rsid w:val="00E84828"/>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976"/>
    <w:rsid w:val="00E97BE5"/>
    <w:rsid w:val="00EA2148"/>
    <w:rsid w:val="00EA2C19"/>
    <w:rsid w:val="00EA3031"/>
    <w:rsid w:val="00EA3072"/>
    <w:rsid w:val="00EA3B39"/>
    <w:rsid w:val="00EA3B87"/>
    <w:rsid w:val="00EA3BBF"/>
    <w:rsid w:val="00EA3EA7"/>
    <w:rsid w:val="00EA4F63"/>
    <w:rsid w:val="00EA5703"/>
    <w:rsid w:val="00EA5851"/>
    <w:rsid w:val="00EA689E"/>
    <w:rsid w:val="00EA778B"/>
    <w:rsid w:val="00EA7C5F"/>
    <w:rsid w:val="00EA7FAC"/>
    <w:rsid w:val="00EB0480"/>
    <w:rsid w:val="00EB0E25"/>
    <w:rsid w:val="00EB1BF9"/>
    <w:rsid w:val="00EB1D2C"/>
    <w:rsid w:val="00EB2497"/>
    <w:rsid w:val="00EB2A4F"/>
    <w:rsid w:val="00EB2ACC"/>
    <w:rsid w:val="00EB2D9B"/>
    <w:rsid w:val="00EB2F4D"/>
    <w:rsid w:val="00EB3C52"/>
    <w:rsid w:val="00EB4A96"/>
    <w:rsid w:val="00EB51C7"/>
    <w:rsid w:val="00EB5858"/>
    <w:rsid w:val="00EB5DEF"/>
    <w:rsid w:val="00EB61E5"/>
    <w:rsid w:val="00EB6405"/>
    <w:rsid w:val="00EB67AA"/>
    <w:rsid w:val="00EB70B5"/>
    <w:rsid w:val="00EB7232"/>
    <w:rsid w:val="00EB780C"/>
    <w:rsid w:val="00EC443A"/>
    <w:rsid w:val="00EC45ED"/>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CC8"/>
    <w:rsid w:val="00EE22F1"/>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377"/>
    <w:rsid w:val="00EF14D1"/>
    <w:rsid w:val="00EF1DD2"/>
    <w:rsid w:val="00EF58F2"/>
    <w:rsid w:val="00EF60C8"/>
    <w:rsid w:val="00EF6733"/>
    <w:rsid w:val="00EF6AD7"/>
    <w:rsid w:val="00EF78F1"/>
    <w:rsid w:val="00F006A9"/>
    <w:rsid w:val="00F009EB"/>
    <w:rsid w:val="00F017FB"/>
    <w:rsid w:val="00F01CB8"/>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10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84"/>
    <w:rsid w:val="00F40094"/>
    <w:rsid w:val="00F40646"/>
    <w:rsid w:val="00F42591"/>
    <w:rsid w:val="00F426C8"/>
    <w:rsid w:val="00F4377C"/>
    <w:rsid w:val="00F44809"/>
    <w:rsid w:val="00F45459"/>
    <w:rsid w:val="00F459C0"/>
    <w:rsid w:val="00F46D5A"/>
    <w:rsid w:val="00F47305"/>
    <w:rsid w:val="00F5036E"/>
    <w:rsid w:val="00F5063A"/>
    <w:rsid w:val="00F519A9"/>
    <w:rsid w:val="00F51AA4"/>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3E9C"/>
    <w:rsid w:val="00F74615"/>
    <w:rsid w:val="00F74CF0"/>
    <w:rsid w:val="00F75115"/>
    <w:rsid w:val="00F75B44"/>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744"/>
    <w:rsid w:val="00F96B6E"/>
    <w:rsid w:val="00F971CA"/>
    <w:rsid w:val="00F97B8D"/>
    <w:rsid w:val="00FA001C"/>
    <w:rsid w:val="00FA0211"/>
    <w:rsid w:val="00FA197C"/>
    <w:rsid w:val="00FA1B8A"/>
    <w:rsid w:val="00FA2114"/>
    <w:rsid w:val="00FA39AD"/>
    <w:rsid w:val="00FA3C84"/>
    <w:rsid w:val="00FA46ED"/>
    <w:rsid w:val="00FA4A5E"/>
    <w:rsid w:val="00FA4B22"/>
    <w:rsid w:val="00FA5829"/>
    <w:rsid w:val="00FA746C"/>
    <w:rsid w:val="00FA7B8D"/>
    <w:rsid w:val="00FB0C83"/>
    <w:rsid w:val="00FB1043"/>
    <w:rsid w:val="00FB19D9"/>
    <w:rsid w:val="00FB20F3"/>
    <w:rsid w:val="00FB226D"/>
    <w:rsid w:val="00FB385B"/>
    <w:rsid w:val="00FB3F4F"/>
    <w:rsid w:val="00FB43AC"/>
    <w:rsid w:val="00FB47EA"/>
    <w:rsid w:val="00FB567E"/>
    <w:rsid w:val="00FB7C38"/>
    <w:rsid w:val="00FB7D1C"/>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44"/>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AD9"/>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86F7CE72-56CB-B64D-B590-89755A05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28559331">
      <w:bodyDiv w:val="1"/>
      <w:marLeft w:val="0"/>
      <w:marRight w:val="0"/>
      <w:marTop w:val="0"/>
      <w:marBottom w:val="0"/>
      <w:divBdr>
        <w:top w:val="none" w:sz="0" w:space="0" w:color="auto"/>
        <w:left w:val="none" w:sz="0" w:space="0" w:color="auto"/>
        <w:bottom w:val="none" w:sz="0" w:space="0" w:color="auto"/>
        <w:right w:val="none" w:sz="0" w:space="0" w:color="auto"/>
      </w:divBdr>
    </w:div>
    <w:div w:id="65472379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71138010">
      <w:bodyDiv w:val="1"/>
      <w:marLeft w:val="0"/>
      <w:marRight w:val="0"/>
      <w:marTop w:val="0"/>
      <w:marBottom w:val="0"/>
      <w:divBdr>
        <w:top w:val="none" w:sz="0" w:space="0" w:color="auto"/>
        <w:left w:val="none" w:sz="0" w:space="0" w:color="auto"/>
        <w:bottom w:val="none" w:sz="0" w:space="0" w:color="auto"/>
        <w:right w:val="none" w:sz="0" w:space="0" w:color="auto"/>
      </w:divBdr>
    </w:div>
    <w:div w:id="1178302183">
      <w:bodyDiv w:val="1"/>
      <w:marLeft w:val="0"/>
      <w:marRight w:val="0"/>
      <w:marTop w:val="0"/>
      <w:marBottom w:val="0"/>
      <w:divBdr>
        <w:top w:val="none" w:sz="0" w:space="0" w:color="auto"/>
        <w:left w:val="none" w:sz="0" w:space="0" w:color="auto"/>
        <w:bottom w:val="none" w:sz="0" w:space="0" w:color="auto"/>
        <w:right w:val="none" w:sz="0" w:space="0" w:color="auto"/>
      </w:divBdr>
    </w:div>
    <w:div w:id="118844356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43446066">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310AE0-2DAC-43CD-B2D2-749AC877F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3094</Words>
  <Characters>17020</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20</cp:revision>
  <cp:lastPrinted>2021-10-13T20:23:00Z</cp:lastPrinted>
  <dcterms:created xsi:type="dcterms:W3CDTF">2021-08-27T20:59:00Z</dcterms:created>
  <dcterms:modified xsi:type="dcterms:W3CDTF">2022-02-03T20:32:00Z</dcterms:modified>
</cp:coreProperties>
</file>