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F283D" w14:textId="0BA4EA06" w:rsidR="000802F9" w:rsidRPr="00E66467" w:rsidRDefault="000802F9" w:rsidP="00C20E51">
      <w:pPr>
        <w:spacing w:after="0"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A42B87">
        <w:rPr>
          <w:rFonts w:ascii="Arial" w:hAnsi="Arial" w:cs="Arial"/>
          <w:b/>
          <w:sz w:val="24"/>
          <w:szCs w:val="24"/>
        </w:rPr>
        <w:t xml:space="preserve">TREINTA Y UNO DE MARZO </w:t>
      </w:r>
      <w:r w:rsidR="00DF686C">
        <w:rPr>
          <w:rFonts w:ascii="Arial" w:hAnsi="Arial" w:cs="Arial"/>
          <w:b/>
          <w:sz w:val="24"/>
          <w:szCs w:val="24"/>
        </w:rPr>
        <w:t>DE DOS MIL VEINTIDOS</w:t>
      </w:r>
      <w:r w:rsidR="003166ED" w:rsidRPr="00E66467">
        <w:rPr>
          <w:rFonts w:ascii="Arial" w:hAnsi="Arial" w:cs="Arial"/>
          <w:sz w:val="24"/>
          <w:szCs w:val="24"/>
        </w:rPr>
        <w:t xml:space="preserve">. - </w:t>
      </w:r>
      <w:r w:rsidR="00CA07F5">
        <w:rPr>
          <w:rFonts w:ascii="Arial" w:hAnsi="Arial" w:cs="Arial"/>
          <w:sz w:val="24"/>
          <w:szCs w:val="24"/>
        </w:rPr>
        <w:t>- - - - - - - - - - - - - - - - - - - - - - - - - - - - - - - - - - - - - - - - - - - - - - - - - - -</w:t>
      </w:r>
    </w:p>
    <w:p w14:paraId="3C01F2B2" w14:textId="1ACD69ED" w:rsidR="00A04743" w:rsidRDefault="000802F9" w:rsidP="00A04743">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A04743" w:rsidRPr="00627D54">
        <w:rPr>
          <w:rFonts w:ascii="Arial" w:hAnsi="Arial" w:cs="Arial"/>
          <w:sz w:val="24"/>
          <w:szCs w:val="24"/>
          <w:lang w:eastAsia="es-ES"/>
        </w:rPr>
        <w:t>081/2021</w:t>
      </w:r>
      <w:r w:rsidRPr="00627D54">
        <w:rPr>
          <w:rFonts w:ascii="Arial" w:hAnsi="Arial" w:cs="Arial"/>
          <w:sz w:val="24"/>
          <w:szCs w:val="24"/>
          <w:lang w:eastAsia="es-ES"/>
        </w:rPr>
        <w:t>,</w:t>
      </w:r>
      <w:r w:rsidRPr="009E202F">
        <w:rPr>
          <w:rFonts w:ascii="Arial" w:hAnsi="Arial" w:cs="Arial"/>
          <w:sz w:val="24"/>
          <w:szCs w:val="24"/>
          <w:lang w:eastAsia="es-ES"/>
        </w:rPr>
        <w:t xml:space="preserve"> promovido por</w:t>
      </w:r>
      <w:r w:rsidR="003C206A">
        <w:rPr>
          <w:rFonts w:ascii="Arial" w:hAnsi="Arial" w:cs="Arial"/>
          <w:sz w:val="24"/>
          <w:szCs w:val="24"/>
          <w:lang w:eastAsia="es-ES"/>
        </w:rPr>
        <w:t xml:space="preserve"> </w:t>
      </w:r>
      <w:r w:rsidR="00DC4876">
        <w:rPr>
          <w:rFonts w:ascii="Arial" w:eastAsia="Times New Roman" w:hAnsi="Arial" w:cs="Arial"/>
          <w:bCs/>
          <w:iCs/>
          <w:caps/>
          <w:kern w:val="2"/>
          <w:sz w:val="24"/>
          <w:szCs w:val="24"/>
          <w:lang w:val="es-ES_tradnl" w:eastAsia="es-ES"/>
        </w:rPr>
        <w:t>**********</w:t>
      </w:r>
      <w:r w:rsidR="00DC4876">
        <w:rPr>
          <w:rFonts w:ascii="Arial" w:eastAsia="Times New Roman" w:hAnsi="Arial" w:cs="Arial"/>
          <w:bCs/>
          <w:iCs/>
          <w:caps/>
          <w:kern w:val="2"/>
          <w:sz w:val="24"/>
          <w:szCs w:val="24"/>
          <w:lang w:val="es-ES_tradnl" w:eastAsia="es-ES"/>
        </w:rPr>
        <w:t xml:space="preserve"> </w:t>
      </w:r>
      <w:r w:rsidR="00A04743">
        <w:rPr>
          <w:rFonts w:ascii="Arial" w:hAnsi="Arial" w:cs="Arial"/>
          <w:sz w:val="24"/>
          <w:szCs w:val="24"/>
          <w:lang w:eastAsia="es-ES"/>
        </w:rPr>
        <w:t xml:space="preserve">en </w:t>
      </w:r>
      <w:r w:rsidR="00A04743">
        <w:rPr>
          <w:rFonts w:ascii="Arial" w:eastAsia="Times New Roman" w:hAnsi="Arial" w:cs="Arial"/>
          <w:bCs/>
          <w:iCs/>
          <w:kern w:val="2"/>
          <w:sz w:val="24"/>
          <w:szCs w:val="24"/>
          <w:lang w:val="es-ES_tradnl" w:eastAsia="es-ES"/>
        </w:rPr>
        <w:t xml:space="preserve">contra </w:t>
      </w:r>
      <w:r w:rsidR="00A04743" w:rsidRPr="00A04743">
        <w:rPr>
          <w:rFonts w:ascii="Arial" w:eastAsia="Times New Roman" w:hAnsi="Arial" w:cs="Arial"/>
          <w:bCs/>
          <w:iCs/>
          <w:kern w:val="2"/>
          <w:sz w:val="24"/>
          <w:szCs w:val="24"/>
          <w:lang w:val="es-ES_tradnl" w:eastAsia="es-ES"/>
        </w:rPr>
        <w:t xml:space="preserve">del: </w:t>
      </w:r>
      <w:r w:rsidR="00A04743" w:rsidRPr="00A04743">
        <w:rPr>
          <w:rFonts w:ascii="Arial" w:hAnsi="Arial" w:cs="Arial"/>
          <w:bCs/>
          <w:sz w:val="24"/>
          <w:szCs w:val="24"/>
        </w:rPr>
        <w:t xml:space="preserve">a) </w:t>
      </w:r>
      <w:r w:rsidR="001937A3">
        <w:rPr>
          <w:rFonts w:ascii="Arial" w:hAnsi="Arial" w:cs="Arial"/>
          <w:bCs/>
          <w:sz w:val="24"/>
          <w:szCs w:val="24"/>
        </w:rPr>
        <w:t>O</w:t>
      </w:r>
      <w:r w:rsidR="00A04743" w:rsidRPr="00A04743">
        <w:rPr>
          <w:rFonts w:ascii="Arial" w:hAnsi="Arial" w:cs="Arial"/>
          <w:sz w:val="24"/>
          <w:szCs w:val="24"/>
        </w:rPr>
        <w:t xml:space="preserve">ficio número </w:t>
      </w:r>
      <w:r w:rsidR="00DC4876">
        <w:rPr>
          <w:rFonts w:ascii="Arial" w:eastAsia="Times New Roman" w:hAnsi="Arial" w:cs="Arial"/>
          <w:bCs/>
          <w:iCs/>
          <w:caps/>
          <w:kern w:val="2"/>
          <w:sz w:val="24"/>
          <w:szCs w:val="24"/>
          <w:lang w:val="es-ES_tradnl" w:eastAsia="es-ES"/>
        </w:rPr>
        <w:t>**********</w:t>
      </w:r>
      <w:r w:rsidR="00A04743" w:rsidRPr="00A04743">
        <w:rPr>
          <w:rFonts w:ascii="Arial" w:hAnsi="Arial" w:cs="Arial"/>
          <w:sz w:val="24"/>
          <w:szCs w:val="24"/>
        </w:rPr>
        <w:t xml:space="preserve">, de veintiocho de septiembre del presente año, emitido por la </w:t>
      </w:r>
      <w:r w:rsidR="001937A3" w:rsidRPr="00A04743">
        <w:rPr>
          <w:rFonts w:ascii="Arial" w:hAnsi="Arial" w:cs="Arial"/>
          <w:sz w:val="24"/>
          <w:szCs w:val="24"/>
        </w:rPr>
        <w:t xml:space="preserve">Dirección General </w:t>
      </w:r>
      <w:r w:rsidR="00A04743" w:rsidRPr="00A04743">
        <w:rPr>
          <w:rFonts w:ascii="Arial" w:hAnsi="Arial" w:cs="Arial"/>
          <w:sz w:val="24"/>
          <w:szCs w:val="24"/>
        </w:rPr>
        <w:t xml:space="preserve">de </w:t>
      </w:r>
      <w:r w:rsidR="001937A3">
        <w:rPr>
          <w:rFonts w:ascii="Arial" w:hAnsi="Arial" w:cs="Arial"/>
          <w:sz w:val="24"/>
          <w:szCs w:val="24"/>
        </w:rPr>
        <w:t>la</w:t>
      </w:r>
      <w:r w:rsidR="001937A3" w:rsidRPr="00A04743">
        <w:rPr>
          <w:rFonts w:ascii="Arial" w:hAnsi="Arial" w:cs="Arial"/>
          <w:sz w:val="24"/>
          <w:szCs w:val="24"/>
        </w:rPr>
        <w:t xml:space="preserve"> Policía Vial Estatal</w:t>
      </w:r>
      <w:r w:rsidR="00A04743" w:rsidRPr="00A04743">
        <w:rPr>
          <w:rFonts w:ascii="Arial" w:hAnsi="Arial" w:cs="Arial"/>
          <w:sz w:val="24"/>
          <w:szCs w:val="24"/>
        </w:rPr>
        <w:t xml:space="preserve">; y </w:t>
      </w:r>
      <w:r w:rsidR="00A04743" w:rsidRPr="00A04743">
        <w:rPr>
          <w:rFonts w:ascii="Arial" w:hAnsi="Arial" w:cs="Arial"/>
          <w:bCs/>
          <w:sz w:val="24"/>
          <w:szCs w:val="24"/>
        </w:rPr>
        <w:t>b)</w:t>
      </w:r>
      <w:r w:rsidR="001937A3">
        <w:rPr>
          <w:rFonts w:ascii="Arial" w:hAnsi="Arial" w:cs="Arial"/>
          <w:sz w:val="24"/>
          <w:szCs w:val="24"/>
        </w:rPr>
        <w:t xml:space="preserve"> A</w:t>
      </w:r>
      <w:r w:rsidR="00A04743" w:rsidRPr="00A04743">
        <w:rPr>
          <w:rFonts w:ascii="Arial" w:hAnsi="Arial" w:cs="Arial"/>
          <w:sz w:val="24"/>
          <w:szCs w:val="24"/>
        </w:rPr>
        <w:t xml:space="preserve">cta de infracción con número de folio </w:t>
      </w:r>
      <w:r w:rsidR="00DC4876">
        <w:rPr>
          <w:rFonts w:ascii="Arial" w:eastAsia="Times New Roman" w:hAnsi="Arial" w:cs="Arial"/>
          <w:bCs/>
          <w:iCs/>
          <w:caps/>
          <w:kern w:val="2"/>
          <w:sz w:val="24"/>
          <w:szCs w:val="24"/>
          <w:lang w:val="es-ES_tradnl" w:eastAsia="es-ES"/>
        </w:rPr>
        <w:t>**********</w:t>
      </w:r>
      <w:r w:rsidR="00A04743" w:rsidRPr="00A04743">
        <w:rPr>
          <w:rFonts w:ascii="Arial" w:hAnsi="Arial" w:cs="Arial"/>
          <w:sz w:val="24"/>
          <w:szCs w:val="24"/>
        </w:rPr>
        <w:t>, de cuatro de septiembre de</w:t>
      </w:r>
      <w:r w:rsidR="001937A3">
        <w:rPr>
          <w:rFonts w:ascii="Arial" w:hAnsi="Arial" w:cs="Arial"/>
          <w:sz w:val="24"/>
          <w:szCs w:val="24"/>
        </w:rPr>
        <w:t xml:space="preserve"> dos mil veintiuno, </w:t>
      </w:r>
      <w:r w:rsidR="00A04743">
        <w:rPr>
          <w:rFonts w:ascii="Arial" w:eastAsia="Times New Roman" w:hAnsi="Arial" w:cs="Arial"/>
          <w:sz w:val="24"/>
          <w:szCs w:val="24"/>
          <w:lang w:val="es-ES" w:eastAsia="es-ES"/>
        </w:rPr>
        <w:t xml:space="preserve">levantada por </w:t>
      </w:r>
      <w:r w:rsidR="002E3E60">
        <w:rPr>
          <w:rFonts w:ascii="Arial" w:eastAsia="Arial" w:hAnsi="Arial" w:cs="Arial"/>
          <w:sz w:val="24"/>
          <w:szCs w:val="24"/>
        </w:rPr>
        <w:t xml:space="preserve">el  </w:t>
      </w:r>
      <w:r w:rsidR="002E3E60" w:rsidRPr="002E3E60">
        <w:rPr>
          <w:rFonts w:ascii="Arial" w:eastAsia="Arial" w:hAnsi="Arial" w:cs="Arial"/>
          <w:bCs/>
          <w:sz w:val="24"/>
          <w:szCs w:val="24"/>
        </w:rPr>
        <w:t xml:space="preserve">Policía Vial con número estadístico PV-511, </w:t>
      </w:r>
      <w:r w:rsidR="002E3E60" w:rsidRPr="002E3E60">
        <w:rPr>
          <w:rFonts w:ascii="Arial" w:hAnsi="Arial" w:cs="Arial"/>
          <w:bCs/>
          <w:sz w:val="24"/>
          <w:szCs w:val="24"/>
        </w:rPr>
        <w:t>adscrito a la Dirección General de la Policía Vial Estatal,</w:t>
      </w:r>
      <w:r w:rsidR="002E3E60">
        <w:rPr>
          <w:rFonts w:ascii="Arial" w:hAnsi="Arial" w:cs="Arial"/>
          <w:b/>
          <w:bCs/>
          <w:sz w:val="24"/>
          <w:szCs w:val="24"/>
        </w:rPr>
        <w:t xml:space="preserve"> </w:t>
      </w:r>
      <w:r w:rsidR="00A04743">
        <w:rPr>
          <w:rFonts w:ascii="Arial" w:hAnsi="Arial" w:cs="Arial"/>
          <w:sz w:val="24"/>
          <w:szCs w:val="24"/>
        </w:rPr>
        <w:t xml:space="preserve">y; - - - - </w:t>
      </w:r>
    </w:p>
    <w:p w14:paraId="31C866FD" w14:textId="77777777" w:rsidR="00A04743" w:rsidRDefault="00A04743" w:rsidP="00A04743">
      <w:pPr>
        <w:pStyle w:val="Sinespaciado"/>
        <w:spacing w:after="240" w:line="360" w:lineRule="auto"/>
        <w:ind w:firstLine="709"/>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7023D26C" w14:textId="561B57FC" w:rsidR="00A04743" w:rsidRDefault="00A04743" w:rsidP="00A0474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Por auto de</w:t>
      </w:r>
      <w:r w:rsidR="00627D54">
        <w:rPr>
          <w:rFonts w:ascii="Arial" w:eastAsia="Times New Roman" w:hAnsi="Arial" w:cs="Arial"/>
          <w:sz w:val="24"/>
          <w:szCs w:val="24"/>
          <w:lang w:val="es-ES" w:eastAsia="es-ES"/>
        </w:rPr>
        <w:t xml:space="preserve"> veintidós de octubre de dos mil veintiuno, </w:t>
      </w:r>
      <w:r>
        <w:rPr>
          <w:rFonts w:ascii="Arial" w:eastAsia="Times New Roman" w:hAnsi="Arial" w:cs="Arial"/>
          <w:b/>
          <w:sz w:val="24"/>
          <w:szCs w:val="24"/>
          <w:lang w:val="es-ES" w:eastAsia="es-ES"/>
        </w:rPr>
        <w:t xml:space="preserve">se admitió a trámite la demanda de nulidad </w:t>
      </w:r>
      <w:r>
        <w:rPr>
          <w:rFonts w:ascii="Arial" w:eastAsia="Times New Roman" w:hAnsi="Arial" w:cs="Arial"/>
          <w:sz w:val="24"/>
          <w:szCs w:val="24"/>
          <w:lang w:val="es-ES" w:eastAsia="es-ES"/>
        </w:rPr>
        <w:t xml:space="preserve">de la parte actora, ordenándose </w:t>
      </w:r>
      <w:r>
        <w:rPr>
          <w:rFonts w:ascii="Arial" w:eastAsia="Times New Roman" w:hAnsi="Arial" w:cs="Arial"/>
          <w:sz w:val="24"/>
          <w:szCs w:val="24"/>
          <w:lang w:val="es-ES_tradnl" w:eastAsia="es-ES"/>
        </w:rPr>
        <w:t>notificar, emplazar y correr traslado a la</w:t>
      </w:r>
      <w:r w:rsidR="00627D5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autoridad</w:t>
      </w:r>
      <w:r w:rsidR="00627D54">
        <w:rPr>
          <w:rFonts w:ascii="Arial" w:eastAsia="Times New Roman" w:hAnsi="Arial" w:cs="Arial"/>
          <w:b/>
          <w:sz w:val="24"/>
          <w:szCs w:val="24"/>
          <w:lang w:val="es-ES_tradnl" w:eastAsia="es-ES"/>
        </w:rPr>
        <w:t>es</w:t>
      </w:r>
      <w:r>
        <w:rPr>
          <w:rFonts w:ascii="Arial" w:eastAsia="Times New Roman" w:hAnsi="Arial" w:cs="Arial"/>
          <w:b/>
          <w:sz w:val="24"/>
          <w:szCs w:val="24"/>
          <w:lang w:val="es-ES_tradnl" w:eastAsia="es-ES"/>
        </w:rPr>
        <w:t xml:space="preserve"> demandada</w:t>
      </w:r>
      <w:r w:rsidR="00627D54">
        <w:rPr>
          <w:rFonts w:ascii="Arial" w:eastAsia="Times New Roman" w:hAnsi="Arial" w:cs="Arial"/>
          <w:b/>
          <w:sz w:val="24"/>
          <w:szCs w:val="24"/>
          <w:lang w:val="es-ES_tradnl" w:eastAsia="es-ES"/>
        </w:rPr>
        <w:t>s</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para que dentro del término de ley la contestara; apercibida</w:t>
      </w:r>
      <w:r w:rsidR="00627D54">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que para el caso de no hacerlo se </w:t>
      </w:r>
      <w:r w:rsidR="00627D54">
        <w:rPr>
          <w:rFonts w:ascii="Arial" w:eastAsia="Times New Roman" w:hAnsi="Arial" w:cs="Arial"/>
          <w:sz w:val="24"/>
          <w:szCs w:val="24"/>
          <w:lang w:val="es-ES_tradnl" w:eastAsia="es-ES"/>
        </w:rPr>
        <w:t xml:space="preserve">les </w:t>
      </w:r>
      <w:r>
        <w:rPr>
          <w:rFonts w:ascii="Arial" w:eastAsia="Times New Roman" w:hAnsi="Arial" w:cs="Arial"/>
          <w:sz w:val="24"/>
          <w:szCs w:val="24"/>
          <w:lang w:val="es-ES_tradnl" w:eastAsia="es-ES"/>
        </w:rPr>
        <w:t xml:space="preserve">tendría por precluído su derecho y por contestada la demanda en sentido afirmativo, salvo prueba en contrario (fojas </w:t>
      </w:r>
      <w:r w:rsidR="00627D54">
        <w:rPr>
          <w:rFonts w:ascii="Arial" w:eastAsia="Times New Roman" w:hAnsi="Arial" w:cs="Arial"/>
          <w:sz w:val="24"/>
          <w:szCs w:val="24"/>
          <w:lang w:val="es-ES_tradnl" w:eastAsia="es-ES"/>
        </w:rPr>
        <w:t>10 y 11</w:t>
      </w:r>
      <w:r>
        <w:rPr>
          <w:rFonts w:ascii="Arial" w:eastAsia="Times New Roman" w:hAnsi="Arial" w:cs="Arial"/>
          <w:sz w:val="24"/>
          <w:szCs w:val="24"/>
          <w:lang w:val="es-ES_tradnl" w:eastAsia="es-ES"/>
        </w:rPr>
        <w:t>).</w:t>
      </w:r>
    </w:p>
    <w:p w14:paraId="294C6342" w14:textId="5CA4BC4F" w:rsidR="00A04743" w:rsidRDefault="00A04743" w:rsidP="00A0474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Por acuerdo de</w:t>
      </w:r>
      <w:r w:rsidR="009F2B34">
        <w:rPr>
          <w:rFonts w:ascii="Arial" w:eastAsia="Times New Roman" w:hAnsi="Arial" w:cs="Arial"/>
          <w:sz w:val="24"/>
          <w:szCs w:val="24"/>
          <w:lang w:val="es-ES" w:eastAsia="es-ES"/>
        </w:rPr>
        <w:t xml:space="preserve"> dos de diciembre de dos mil veintiuno, </w:t>
      </w:r>
      <w:r>
        <w:rPr>
          <w:rFonts w:ascii="Arial" w:eastAsia="Times New Roman" w:hAnsi="Arial" w:cs="Arial"/>
          <w:sz w:val="24"/>
          <w:szCs w:val="24"/>
          <w:lang w:val="es-ES" w:eastAsia="es-ES"/>
        </w:rPr>
        <w:t>se tuvo a la</w:t>
      </w:r>
      <w:r w:rsidR="009F2B34">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autoridad</w:t>
      </w:r>
      <w:r w:rsidR="009F2B34">
        <w:rPr>
          <w:rFonts w:ascii="Arial" w:eastAsia="Times New Roman" w:hAnsi="Arial" w:cs="Arial"/>
          <w:sz w:val="24"/>
          <w:szCs w:val="24"/>
          <w:lang w:val="es-ES" w:eastAsia="es-ES"/>
        </w:rPr>
        <w:t>es</w:t>
      </w:r>
      <w:r>
        <w:rPr>
          <w:rFonts w:ascii="Arial" w:eastAsia="Times New Roman" w:hAnsi="Arial" w:cs="Arial"/>
          <w:sz w:val="24"/>
          <w:szCs w:val="24"/>
          <w:lang w:val="es-ES" w:eastAsia="es-ES"/>
        </w:rPr>
        <w:t xml:space="preserve"> demandada</w:t>
      </w:r>
      <w:r w:rsidR="009F2B34">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en tiempo</w:t>
      </w:r>
      <w:r>
        <w:rPr>
          <w:rFonts w:ascii="Arial" w:eastAsia="Times New Roman" w:hAnsi="Arial" w:cs="Arial"/>
          <w:sz w:val="24"/>
          <w:szCs w:val="24"/>
          <w:lang w:val="es-ES" w:eastAsia="es-ES"/>
        </w:rPr>
        <w:t xml:space="preserve"> </w:t>
      </w:r>
      <w:r>
        <w:rPr>
          <w:rFonts w:ascii="Arial" w:hAnsi="Arial" w:cs="Arial"/>
          <w:b/>
          <w:sz w:val="24"/>
          <w:szCs w:val="24"/>
        </w:rPr>
        <w:t>contestando la demanda de nulidad interpuesta por la parte actora</w:t>
      </w:r>
      <w:r>
        <w:rPr>
          <w:rFonts w:ascii="Arial" w:eastAsia="Times New Roman" w:hAnsi="Arial" w:cs="Arial"/>
          <w:sz w:val="24"/>
          <w:szCs w:val="24"/>
          <w:lang w:val="es-ES" w:eastAsia="es-ES"/>
        </w:rPr>
        <w:t xml:space="preserve">, haciendo valer sus excepciones y defensas, </w:t>
      </w:r>
      <w:r>
        <w:rPr>
          <w:rFonts w:ascii="Arial" w:eastAsia="Times New Roman" w:hAnsi="Arial" w:cs="Arial"/>
          <w:sz w:val="24"/>
          <w:szCs w:val="24"/>
          <w:lang w:val="es-ES_tradnl" w:eastAsia="es-ES"/>
        </w:rPr>
        <w:t>por ofrecidas y admitidas sus pruebas, ordenándose correr traslado a la parte actora para los efectos legales correspondientes; por lo que, se fijó día y hora para que tuviera verifica</w:t>
      </w:r>
      <w:r w:rsidR="009F2B34">
        <w:rPr>
          <w:rFonts w:ascii="Arial" w:eastAsia="Times New Roman" w:hAnsi="Arial" w:cs="Arial"/>
          <w:sz w:val="24"/>
          <w:szCs w:val="24"/>
          <w:lang w:val="es-ES_tradnl" w:eastAsia="es-ES"/>
        </w:rPr>
        <w:t>tivo la audiencia de Ley (foja 29</w:t>
      </w:r>
      <w:r>
        <w:rPr>
          <w:rFonts w:ascii="Arial" w:eastAsia="Times New Roman" w:hAnsi="Arial" w:cs="Arial"/>
          <w:sz w:val="24"/>
          <w:szCs w:val="24"/>
          <w:lang w:val="es-ES_tradnl" w:eastAsia="es-ES"/>
        </w:rPr>
        <w:t>).</w:t>
      </w:r>
    </w:p>
    <w:p w14:paraId="7288B5B6" w14:textId="12566149" w:rsidR="00A04743" w:rsidRDefault="00A04743" w:rsidP="00A04743">
      <w:pPr>
        <w:spacing w:after="0"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TERCERO. </w:t>
      </w:r>
      <w:r>
        <w:rPr>
          <w:rFonts w:ascii="Arial" w:eastAsia="Times New Roman" w:hAnsi="Arial" w:cs="Arial"/>
          <w:sz w:val="24"/>
          <w:szCs w:val="24"/>
          <w:lang w:val="es-ES" w:eastAsia="es-ES"/>
        </w:rPr>
        <w:t xml:space="preserve">Mediante proveído de </w:t>
      </w:r>
      <w:r w:rsidR="009F2B34">
        <w:rPr>
          <w:rFonts w:ascii="Arial" w:eastAsia="Times New Roman" w:hAnsi="Arial" w:cs="Arial"/>
          <w:sz w:val="24"/>
          <w:szCs w:val="24"/>
          <w:lang w:val="es-ES" w:eastAsia="es-ES"/>
        </w:rPr>
        <w:t xml:space="preserve">veintiocho </w:t>
      </w:r>
      <w:r>
        <w:rPr>
          <w:rFonts w:ascii="Arial" w:eastAsia="Times New Roman" w:hAnsi="Arial" w:cs="Arial"/>
          <w:sz w:val="24"/>
          <w:szCs w:val="24"/>
          <w:lang w:val="es-ES" w:eastAsia="es-ES"/>
        </w:rPr>
        <w:t xml:space="preserve">de febrero de dos mil veintidós, se ordenó regularizar el procedimiento respectivo, con base en los Acuerdos Generales AG/TJAO/11/2021, AG/TJAO/1/2022, AG/TJAO/2/2022 y AG/TJAO/3/2022, del Pleno del Tribunal de Justicia Administrativa del Estado de Oaxaca, relativos a la suspensión y prórroga de las labores de este Tribunal, por la contingencia sanitaria generada por el SARS-Cov-2 (COVID- 19), sin que corrieran </w:t>
      </w:r>
      <w:r>
        <w:rPr>
          <w:rFonts w:ascii="Arial" w:eastAsia="Times New Roman" w:hAnsi="Arial" w:cs="Arial"/>
          <w:sz w:val="24"/>
          <w:szCs w:val="24"/>
          <w:lang w:val="es-ES" w:eastAsia="es-ES"/>
        </w:rPr>
        <w:lastRenderedPageBreak/>
        <w:t xml:space="preserve">plazos y términos. Conforme a ello se fijó nuevamente hora y fecha para la celebración de la Audiencia de Ley (foja </w:t>
      </w:r>
      <w:r w:rsidR="009F2B34">
        <w:rPr>
          <w:rFonts w:ascii="Arial" w:eastAsia="Times New Roman" w:hAnsi="Arial" w:cs="Arial"/>
          <w:sz w:val="24"/>
          <w:szCs w:val="24"/>
          <w:lang w:val="es-ES" w:eastAsia="es-ES"/>
        </w:rPr>
        <w:t>30</w:t>
      </w:r>
      <w:r>
        <w:rPr>
          <w:rFonts w:ascii="Arial" w:eastAsia="Times New Roman" w:hAnsi="Arial" w:cs="Arial"/>
          <w:sz w:val="24"/>
          <w:szCs w:val="24"/>
          <w:lang w:val="es-ES" w:eastAsia="es-ES"/>
        </w:rPr>
        <w:t>).</w:t>
      </w:r>
    </w:p>
    <w:p w14:paraId="01B0060D" w14:textId="77777777" w:rsidR="00A04743" w:rsidRDefault="00A04743" w:rsidP="00A04743">
      <w:pPr>
        <w:spacing w:after="0" w:line="240" w:lineRule="auto"/>
        <w:ind w:right="51" w:firstLine="567"/>
        <w:jc w:val="both"/>
        <w:rPr>
          <w:rFonts w:ascii="Arial" w:eastAsia="Times New Roman" w:hAnsi="Arial" w:cs="Arial"/>
          <w:sz w:val="24"/>
          <w:szCs w:val="24"/>
          <w:lang w:val="es-ES" w:eastAsia="es-ES"/>
        </w:rPr>
      </w:pPr>
    </w:p>
    <w:p w14:paraId="58E4C8CF" w14:textId="43651022" w:rsidR="00A04743" w:rsidRDefault="00A04743" w:rsidP="00A04743">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CUARTO.</w:t>
      </w:r>
      <w:r w:rsidR="009F2B34">
        <w:rPr>
          <w:rFonts w:ascii="Arial" w:eastAsia="Times New Roman" w:hAnsi="Arial" w:cs="Arial"/>
          <w:sz w:val="24"/>
          <w:szCs w:val="24"/>
          <w:lang w:val="es-ES" w:eastAsia="es-ES"/>
        </w:rPr>
        <w:t xml:space="preserve"> El treinta y uno</w:t>
      </w:r>
      <w:r>
        <w:rPr>
          <w:rFonts w:ascii="Arial" w:eastAsia="Times New Roman" w:hAnsi="Arial" w:cs="Arial"/>
          <w:sz w:val="24"/>
          <w:szCs w:val="24"/>
          <w:lang w:val="es-ES" w:eastAsia="es-ES"/>
        </w:rPr>
        <w:t xml:space="preserve"> de marzo de dos mil veintidós, </w:t>
      </w:r>
      <w:r>
        <w:rPr>
          <w:rFonts w:ascii="Arial" w:eastAsia="Times New Roman" w:hAnsi="Arial" w:cs="Arial"/>
          <w:snapToGrid w:val="0"/>
          <w:sz w:val="24"/>
          <w:szCs w:val="24"/>
          <w:lang w:val="es-ES_tradnl" w:eastAsia="es-ES"/>
        </w:rPr>
        <w:t xml:space="preserve">se llevó a cabo la Audiencia de Ley, </w:t>
      </w:r>
      <w:r>
        <w:rPr>
          <w:rFonts w:ascii="Arial" w:eastAsia="Times New Roman" w:hAnsi="Arial" w:cs="Arial"/>
          <w:sz w:val="24"/>
          <w:szCs w:val="24"/>
          <w:lang w:eastAsia="es-ES"/>
        </w:rPr>
        <w:t>en la que no comparecieron las partes ni persona alguna que legalmente las representara; ninguna de las partes</w:t>
      </w:r>
      <w:r>
        <w:rPr>
          <w:rFonts w:ascii="Arial" w:hAnsi="Arial" w:cs="Arial"/>
          <w:sz w:val="24"/>
          <w:szCs w:val="24"/>
        </w:rPr>
        <w:t xml:space="preserve"> formuló alegatos, por lo que </w:t>
      </w:r>
      <w:r>
        <w:rPr>
          <w:rFonts w:ascii="Arial" w:eastAsia="Times New Roman" w:hAnsi="Arial" w:cs="Arial"/>
          <w:sz w:val="24"/>
          <w:szCs w:val="24"/>
          <w:lang w:val="es-ES_tradnl" w:eastAsia="es-ES"/>
        </w:rPr>
        <w:t>se citó para oír sentencia, misma que ahora se dicta dentro del término que establece el artículo 205, de la Ley de Procedimiento y Justicia Administrativa para el Estado</w:t>
      </w:r>
      <w:r>
        <w:rPr>
          <w:rFonts w:ascii="Arial" w:hAnsi="Arial" w:cs="Arial"/>
          <w:color w:val="000000"/>
          <w:sz w:val="24"/>
          <w:szCs w:val="24"/>
        </w:rPr>
        <w:t>, y; - - - - - - - - - - - - - - - - - - - - - - - - - - - - - - - - - - - - - - - - - - - - - - - - - - - - - - - - - - - -</w:t>
      </w:r>
    </w:p>
    <w:p w14:paraId="2928795A" w14:textId="77777777" w:rsidR="009F2B34" w:rsidRDefault="009F2B34" w:rsidP="009F2B34">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14:paraId="10C43FC6" w14:textId="77777777" w:rsidR="009F2B34" w:rsidRDefault="009F2B34" w:rsidP="009F2B34">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
          <w:sz w:val="24"/>
          <w:szCs w:val="24"/>
          <w:lang w:val="es-ES" w:eastAsia="es-ES"/>
        </w:rPr>
        <w:t>es competente</w:t>
      </w:r>
      <w:r>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w:t>
      </w:r>
    </w:p>
    <w:p w14:paraId="53CF4CBF" w14:textId="77777777" w:rsidR="009F2B34" w:rsidRDefault="009F2B34" w:rsidP="009F2B3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En virtud que la </w:t>
      </w:r>
      <w:r>
        <w:rPr>
          <w:rFonts w:ascii="Arial" w:eastAsia="Times New Roman" w:hAnsi="Arial" w:cs="Arial"/>
          <w:b/>
          <w:sz w:val="24"/>
          <w:szCs w:val="24"/>
          <w:lang w:val="es-ES_tradnl" w:eastAsia="es-ES"/>
        </w:rPr>
        <w:t>competencia de la autoridad demandada</w:t>
      </w:r>
      <w:r>
        <w:rPr>
          <w:rFonts w:ascii="Arial" w:eastAsia="Times New Roman" w:hAnsi="Arial" w:cs="Arial"/>
          <w:sz w:val="24"/>
          <w:szCs w:val="24"/>
          <w:lang w:val="es-ES_tradnl" w:eastAsia="es-ES"/>
        </w:rPr>
        <w:t xml:space="preserve"> es el primer presupuesto para la emisión del acto de molestia, esta Sala procede a su estudio por ser preferente, de orden público y de análisis oficioso.</w:t>
      </w:r>
    </w:p>
    <w:p w14:paraId="52C00F9B" w14:textId="77777777" w:rsidR="009F2B34" w:rsidRDefault="009F2B34" w:rsidP="009F2B34">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Pr>
          <w:rFonts w:ascii="Arial" w:hAnsi="Arial" w:cs="Arial"/>
          <w:sz w:val="24"/>
          <w:szCs w:val="24"/>
        </w:rPr>
        <w:t>visible en el Semanario Judicial de la Federación y su Gaceta, Tomo XXVI, diciembre de 2007, página 154, con el texto y rubro siguientes:</w:t>
      </w:r>
    </w:p>
    <w:p w14:paraId="2D238D71" w14:textId="77777777" w:rsidR="009F2B34" w:rsidRDefault="009F2B34" w:rsidP="00DC4876">
      <w:pPr>
        <w:spacing w:after="0" w:line="240" w:lineRule="auto"/>
        <w:ind w:left="851" w:right="425"/>
        <w:jc w:val="both"/>
        <w:rPr>
          <w:rFonts w:ascii="Arial" w:hAnsi="Arial" w:cs="Arial"/>
          <w:i/>
          <w:sz w:val="21"/>
          <w:szCs w:val="21"/>
        </w:rPr>
      </w:pPr>
      <w:r>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w:t>
      </w:r>
      <w:r>
        <w:rPr>
          <w:rFonts w:ascii="Arial" w:hAnsi="Arial" w:cs="Arial"/>
          <w:i/>
          <w:sz w:val="21"/>
          <w:szCs w:val="21"/>
        </w:rPr>
        <w:lastRenderedPageBreak/>
        <w:t>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47F6039D" w14:textId="77777777" w:rsidR="009F2B34" w:rsidRDefault="009F2B34" w:rsidP="009F2B34">
      <w:pPr>
        <w:tabs>
          <w:tab w:val="left" w:pos="8505"/>
        </w:tabs>
        <w:spacing w:after="0" w:line="240" w:lineRule="auto"/>
        <w:ind w:left="851" w:right="425"/>
        <w:jc w:val="both"/>
        <w:rPr>
          <w:rFonts w:ascii="Arial" w:hAnsi="Arial" w:cs="Arial"/>
          <w:i/>
          <w:sz w:val="21"/>
          <w:szCs w:val="21"/>
        </w:rPr>
      </w:pPr>
    </w:p>
    <w:p w14:paraId="43F57687" w14:textId="77777777" w:rsidR="009F2B34" w:rsidRDefault="009F2B34" w:rsidP="009F2B34">
      <w:pPr>
        <w:tabs>
          <w:tab w:val="left" w:pos="8505"/>
        </w:tabs>
        <w:spacing w:after="0" w:line="240" w:lineRule="auto"/>
        <w:ind w:left="851" w:right="425"/>
        <w:jc w:val="both"/>
        <w:rPr>
          <w:rFonts w:ascii="Arial" w:hAnsi="Arial" w:cs="Arial"/>
          <w:i/>
          <w:sz w:val="21"/>
          <w:szCs w:val="21"/>
        </w:rPr>
      </w:pPr>
    </w:p>
    <w:p w14:paraId="3AD0E060" w14:textId="2CB45B0B" w:rsidR="009F2B34" w:rsidRPr="00F024DF" w:rsidRDefault="009F2B34" w:rsidP="009F2B34">
      <w:pPr>
        <w:spacing w:line="360" w:lineRule="auto"/>
        <w:ind w:right="51" w:firstLine="567"/>
        <w:jc w:val="both"/>
        <w:rPr>
          <w:rFonts w:ascii="Arial" w:hAnsi="Arial" w:cs="Arial"/>
          <w:sz w:val="24"/>
          <w:szCs w:val="24"/>
        </w:rPr>
      </w:pPr>
      <w:r>
        <w:rPr>
          <w:rFonts w:ascii="Arial" w:hAnsi="Arial" w:cs="Arial"/>
          <w:sz w:val="24"/>
          <w:szCs w:val="24"/>
        </w:rPr>
        <w:t xml:space="preserve">En cumplimiento a la jurisprudencia citada, este órgano jurisdiccional procede al análisis del acto impugnado, consistente en el acta de infracción con número de folio </w:t>
      </w:r>
      <w:r w:rsidR="00DC4876">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DA11A5">
        <w:rPr>
          <w:rFonts w:ascii="Arial" w:hAnsi="Arial" w:cs="Arial"/>
          <w:sz w:val="24"/>
          <w:szCs w:val="24"/>
        </w:rPr>
        <w:t xml:space="preserve">cuatro de septiembre </w:t>
      </w:r>
      <w:r>
        <w:rPr>
          <w:rFonts w:ascii="Arial" w:hAnsi="Arial" w:cs="Arial"/>
          <w:sz w:val="24"/>
          <w:szCs w:val="24"/>
        </w:rPr>
        <w:t>de dos mil veintiuno</w:t>
      </w:r>
      <w:r>
        <w:rPr>
          <w:rFonts w:ascii="Arial" w:eastAsia="Times New Roman" w:hAnsi="Arial" w:cs="Arial"/>
          <w:sz w:val="24"/>
          <w:szCs w:val="24"/>
          <w:lang w:val="es-ES" w:eastAsia="es-ES"/>
        </w:rPr>
        <w:t xml:space="preserve">, </w:t>
      </w:r>
      <w:r>
        <w:rPr>
          <w:rFonts w:ascii="Arial" w:hAnsi="Arial" w:cs="Arial"/>
          <w:sz w:val="24"/>
          <w:szCs w:val="24"/>
        </w:rPr>
        <w:t xml:space="preserve">en la que la </w:t>
      </w:r>
      <w:r>
        <w:rPr>
          <w:rFonts w:ascii="Arial" w:hAnsi="Arial" w:cs="Arial"/>
          <w:b/>
          <w:sz w:val="24"/>
          <w:szCs w:val="24"/>
        </w:rPr>
        <w:t xml:space="preserve">autoridad demandada </w:t>
      </w:r>
      <w:r>
        <w:rPr>
          <w:rFonts w:ascii="Arial" w:hAnsi="Arial" w:cs="Arial"/>
          <w:sz w:val="24"/>
          <w:szCs w:val="24"/>
        </w:rPr>
        <w:t xml:space="preserve">fundó su competencia en </w:t>
      </w:r>
      <w:r>
        <w:rPr>
          <w:rFonts w:ascii="Arial" w:hAnsi="Arial" w:cs="Arial"/>
          <w:i/>
          <w:sz w:val="24"/>
          <w:szCs w:val="24"/>
        </w:rPr>
        <w:t xml:space="preserve">“…los artículos 21, párrafos cuarto y octavo de la Constitución Política del Estado Libre y Soberano de Oaxaca; 1, 2, 3, 6 y 47, fracción XXXI de la Ley del Sistema Estatal de Seguridad Pública de Oaxaca; </w:t>
      </w:r>
      <w:r>
        <w:rPr>
          <w:rFonts w:ascii="Arial" w:hAnsi="Arial" w:cs="Arial"/>
          <w:b/>
          <w:i/>
          <w:sz w:val="24"/>
          <w:szCs w:val="24"/>
        </w:rPr>
        <w:t>1, 2, 3, 8 fracciones I y VIII; 9 fracción I; 10, fracciones I, V y VI; 11 fracciones II, III y IV: 12 fracciones III y IV; y 30 fracciones I, II, III y V, de la Ley de Tránsito Reformada</w:t>
      </w:r>
      <w:r>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r w:rsidR="00F024DF">
        <w:rPr>
          <w:rFonts w:ascii="Arial" w:hAnsi="Arial" w:cs="Arial"/>
          <w:i/>
          <w:sz w:val="24"/>
          <w:szCs w:val="24"/>
        </w:rPr>
        <w:t xml:space="preserve"> </w:t>
      </w:r>
      <w:r w:rsidR="00F024DF">
        <w:rPr>
          <w:rFonts w:ascii="Arial" w:hAnsi="Arial" w:cs="Arial"/>
          <w:sz w:val="24"/>
          <w:szCs w:val="24"/>
        </w:rPr>
        <w:t xml:space="preserve"> Énfasis añadido.</w:t>
      </w:r>
    </w:p>
    <w:p w14:paraId="7A3C99B7" w14:textId="77777777" w:rsidR="009F2B34" w:rsidRDefault="009F2B34" w:rsidP="009F2B34">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sin embargo</w:t>
      </w:r>
      <w:r>
        <w:rPr>
          <w:rFonts w:ascii="Arial" w:eastAsia="Times New Roman" w:hAnsi="Arial" w:cs="Arial"/>
          <w:bCs/>
          <w:sz w:val="24"/>
          <w:szCs w:val="24"/>
          <w:lang w:val="es-ES"/>
        </w:rPr>
        <w:t>, los artículos primero y segundo transitorios de la Ley de Tránsito, Movilidad y Vialidad del Estado de Oaxaca, publicada en el Periódico Oficial del Estado, el once de abril de dos mil dieciséis, establecen:</w:t>
      </w:r>
    </w:p>
    <w:p w14:paraId="01E1EF54" w14:textId="77777777" w:rsidR="009F2B34" w:rsidRDefault="009F2B34" w:rsidP="009F2B34">
      <w:pPr>
        <w:ind w:left="851" w:right="283"/>
        <w:jc w:val="both"/>
        <w:rPr>
          <w:rFonts w:ascii="Arial" w:eastAsia="Times New Roman" w:hAnsi="Arial" w:cs="Arial"/>
          <w:i/>
          <w:color w:val="000000"/>
        </w:rPr>
      </w:pPr>
      <w:r>
        <w:rPr>
          <w:rFonts w:ascii="Arial" w:eastAsia="Times New Roman" w:hAnsi="Arial" w:cs="Arial"/>
          <w:b/>
          <w:i/>
          <w:color w:val="000000"/>
        </w:rPr>
        <w:t>“…PRIMERO.</w:t>
      </w:r>
      <w:r>
        <w:rPr>
          <w:rFonts w:ascii="Arial" w:eastAsia="Times New Roman" w:hAnsi="Arial" w:cs="Arial"/>
          <w:i/>
          <w:color w:val="000000"/>
        </w:rPr>
        <w:t xml:space="preserve"> La presente Ley entrará en vigor al día siguiente de su publicación en el Periódico Oficial del Gobierno del Estado.</w:t>
      </w:r>
    </w:p>
    <w:p w14:paraId="53A72814" w14:textId="77777777" w:rsidR="009F2B34" w:rsidRDefault="009F2B34" w:rsidP="009F2B34">
      <w:pPr>
        <w:ind w:left="851" w:right="283"/>
        <w:jc w:val="both"/>
        <w:rPr>
          <w:rFonts w:ascii="Arial" w:eastAsia="Times New Roman" w:hAnsi="Arial" w:cs="Arial"/>
          <w:i/>
          <w:color w:val="000000"/>
        </w:rPr>
      </w:pPr>
      <w:r>
        <w:rPr>
          <w:rFonts w:ascii="Arial" w:eastAsia="Times New Roman" w:hAnsi="Arial" w:cs="Arial"/>
          <w:b/>
          <w:i/>
          <w:color w:val="000000"/>
        </w:rPr>
        <w:t>SEGUNDO.</w:t>
      </w:r>
      <w:r>
        <w:rPr>
          <w:rFonts w:ascii="Arial" w:eastAsia="Times New Roman" w:hAnsi="Arial" w:cs="Arial"/>
          <w:i/>
          <w:color w:val="000000"/>
        </w:rPr>
        <w:t xml:space="preserve"> </w:t>
      </w:r>
      <w:r>
        <w:rPr>
          <w:rFonts w:ascii="Arial" w:eastAsia="Times New Roman" w:hAnsi="Arial" w:cs="Arial"/>
          <w:b/>
          <w:i/>
          <w:color w:val="000000"/>
        </w:rPr>
        <w:t>Se abroga la Ley de Tránsito Reformada</w:t>
      </w:r>
      <w:r>
        <w:rPr>
          <w:rFonts w:ascii="Arial" w:eastAsia="Times New Roman" w:hAnsi="Arial" w:cs="Arial"/>
          <w:i/>
          <w:color w:val="000000"/>
        </w:rPr>
        <w:t>, publicada en el Periódico Oficial Órgano del Gobierno Constitucional del Estado Libre y Soberano de Oaxaca, con fecha 5 de julio de 1969…”</w:t>
      </w:r>
    </w:p>
    <w:p w14:paraId="4EB97ACF" w14:textId="77777777" w:rsidR="009F2B34" w:rsidRPr="002F771C" w:rsidRDefault="009F2B34" w:rsidP="009F2B34">
      <w:pPr>
        <w:spacing w:after="0"/>
        <w:ind w:left="851" w:right="283"/>
        <w:jc w:val="both"/>
        <w:rPr>
          <w:rFonts w:ascii="Arial" w:eastAsia="Times New Roman" w:hAnsi="Arial" w:cs="Arial"/>
          <w:color w:val="000000"/>
          <w:sz w:val="21"/>
          <w:szCs w:val="21"/>
        </w:rPr>
      </w:pPr>
      <w:r w:rsidRPr="002F771C">
        <w:rPr>
          <w:rFonts w:ascii="Arial" w:eastAsia="Times New Roman" w:hAnsi="Arial" w:cs="Arial"/>
          <w:color w:val="000000"/>
          <w:sz w:val="21"/>
          <w:szCs w:val="21"/>
        </w:rPr>
        <w:t>(Énfasis añadido)</w:t>
      </w:r>
    </w:p>
    <w:p w14:paraId="3CA92520" w14:textId="77777777" w:rsidR="009F2B34" w:rsidRDefault="009F2B34" w:rsidP="009F2B34">
      <w:pPr>
        <w:spacing w:after="0"/>
        <w:ind w:left="851" w:right="283"/>
        <w:jc w:val="both"/>
        <w:rPr>
          <w:rFonts w:ascii="Arial" w:eastAsia="Times New Roman" w:hAnsi="Arial" w:cs="Arial"/>
          <w:b/>
          <w:i/>
          <w:color w:val="000000"/>
          <w:sz w:val="21"/>
          <w:szCs w:val="21"/>
        </w:rPr>
      </w:pPr>
    </w:p>
    <w:p w14:paraId="400212DE" w14:textId="77777777" w:rsidR="009F2B34" w:rsidRDefault="009F2B34" w:rsidP="009F2B34">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De los artículos transcritos, se advierte que la Ley de Tránsito, Movilidad y Vialidad del Estado de Oaxaca, entró</w:t>
      </w:r>
      <w:r>
        <w:rPr>
          <w:rFonts w:ascii="Arial" w:eastAsia="Times New Roman" w:hAnsi="Arial" w:cs="Arial"/>
          <w:bCs/>
          <w:sz w:val="24"/>
          <w:szCs w:val="24"/>
          <w:lang w:val="es-ES"/>
        </w:rPr>
        <w:t xml:space="preserve"> en vigor al día siguiente de su publicación en el periódico oficial del Gobierno del Estado, esto es, el doce de abril de dos mil dieciséis; 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 xml:space="preserve">la Ley de Tránsito Reformada. </w:t>
      </w:r>
    </w:p>
    <w:p w14:paraId="2A9AAB1D" w14:textId="77777777" w:rsidR="009F2B34" w:rsidRDefault="009F2B34" w:rsidP="009F2B34">
      <w:pPr>
        <w:spacing w:line="360" w:lineRule="auto"/>
        <w:ind w:firstLine="567"/>
        <w:jc w:val="both"/>
        <w:rPr>
          <w:rFonts w:ascii="Arial" w:eastAsia="Times New Roman" w:hAnsi="Arial" w:cs="Arial"/>
          <w:bCs/>
          <w:color w:val="000000"/>
          <w:sz w:val="24"/>
          <w:szCs w:val="24"/>
          <w:lang w:val="es-ES"/>
        </w:rPr>
      </w:pPr>
      <w:r>
        <w:rPr>
          <w:rFonts w:ascii="Arial" w:eastAsia="Times New Roman" w:hAnsi="Arial" w:cs="Arial"/>
          <w:bCs/>
          <w:sz w:val="24"/>
          <w:szCs w:val="24"/>
          <w:lang w:val="es-ES"/>
        </w:rPr>
        <w:t>Al respecto, cabe precisar</w:t>
      </w:r>
      <w:r>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 xml:space="preserve">que, de conformidad con el Diccionario Jurídico Mexicano, del Instituto de Investigaciones Jurídicas, </w:t>
      </w:r>
      <w:r>
        <w:rPr>
          <w:rFonts w:ascii="Arial" w:eastAsia="Times New Roman" w:hAnsi="Arial" w:cs="Arial"/>
          <w:b/>
          <w:bCs/>
          <w:color w:val="000000"/>
          <w:sz w:val="24"/>
          <w:szCs w:val="24"/>
          <w:lang w:val="es-ES"/>
        </w:rPr>
        <w:t>abrogación</w:t>
      </w:r>
      <w:r>
        <w:rPr>
          <w:rFonts w:ascii="Arial" w:eastAsia="Times New Roman" w:hAnsi="Arial" w:cs="Arial"/>
          <w:bCs/>
          <w:color w:val="000000"/>
          <w:sz w:val="24"/>
          <w:szCs w:val="24"/>
          <w:lang w:val="es-ES"/>
        </w:rPr>
        <w:t xml:space="preserve"> es: “</w:t>
      </w:r>
      <w:r>
        <w:rPr>
          <w:rFonts w:ascii="Arial" w:eastAsia="Times New Roman" w:hAnsi="Arial" w:cs="Arial"/>
          <w:bCs/>
          <w:i/>
          <w:color w:val="000000"/>
          <w:sz w:val="24"/>
          <w:szCs w:val="24"/>
          <w:lang w:val="es-ES"/>
        </w:rPr>
        <w:t>la supresión total de la vigencia y, por tanto, de la obligatoriedad de una ley</w:t>
      </w:r>
      <w:r>
        <w:rPr>
          <w:rFonts w:ascii="Arial" w:eastAsia="Times New Roman" w:hAnsi="Arial" w:cs="Arial"/>
          <w:bCs/>
          <w:color w:val="000000"/>
          <w:sz w:val="24"/>
          <w:szCs w:val="24"/>
          <w:lang w:val="es-ES"/>
        </w:rPr>
        <w:t>”.</w:t>
      </w:r>
    </w:p>
    <w:p w14:paraId="0AA3308F" w14:textId="77777777" w:rsidR="009F2B34" w:rsidRDefault="009F2B34" w:rsidP="009F2B34">
      <w:pPr>
        <w:spacing w:line="360" w:lineRule="auto"/>
        <w:ind w:firstLine="567"/>
        <w:jc w:val="both"/>
        <w:rPr>
          <w:rFonts w:ascii="Arial" w:eastAsia="Times New Roman" w:hAnsi="Arial" w:cs="Arial"/>
          <w:bCs/>
          <w:color w:val="000000"/>
          <w:sz w:val="24"/>
          <w:szCs w:val="24"/>
          <w:lang w:val="es-ES"/>
        </w:rPr>
      </w:pPr>
      <w:r>
        <w:rPr>
          <w:rFonts w:ascii="Arial" w:eastAsia="Times New Roman" w:hAnsi="Arial" w:cs="Arial"/>
          <w:bCs/>
          <w:color w:val="000000"/>
          <w:sz w:val="24"/>
          <w:szCs w:val="24"/>
          <w:lang w:val="es-ES"/>
        </w:rPr>
        <w:t xml:space="preserve">Por lo tanto, si el artículo transitorio segundo de la Ley de Tránsito, Movilidad y Vialidad del Estado de Oaxaca, expresamente </w:t>
      </w:r>
      <w:r>
        <w:rPr>
          <w:rFonts w:ascii="Arial" w:eastAsia="Times New Roman" w:hAnsi="Arial" w:cs="Arial"/>
          <w:b/>
          <w:bCs/>
          <w:color w:val="000000"/>
          <w:sz w:val="24"/>
          <w:szCs w:val="24"/>
          <w:lang w:val="es-ES"/>
        </w:rPr>
        <w:t>abrogó</w:t>
      </w:r>
      <w:r>
        <w:rPr>
          <w:rFonts w:ascii="Arial" w:eastAsia="Times New Roman" w:hAnsi="Arial" w:cs="Arial"/>
          <w:bCs/>
          <w:color w:val="000000"/>
          <w:sz w:val="24"/>
          <w:szCs w:val="24"/>
          <w:lang w:val="es-ES"/>
        </w:rPr>
        <w:t xml:space="preserve"> la Ley Tránsito Reformada, esto es, suprimió totalmente la vigencia de este último ordenamiento legal;</w:t>
      </w:r>
      <w:r>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 xml:space="preserve">resulta </w:t>
      </w:r>
      <w:r>
        <w:rPr>
          <w:rFonts w:ascii="Arial" w:eastAsia="Times New Roman" w:hAnsi="Arial" w:cs="Arial"/>
          <w:bCs/>
          <w:color w:val="000000"/>
          <w:sz w:val="24"/>
          <w:szCs w:val="24"/>
          <w:lang w:val="es-ES"/>
        </w:rPr>
        <w:lastRenderedPageBreak/>
        <w:t>inconcuso que con la entrada en vigor la Ley de Tránsito, Movilidad y Vialidad del Estado de Oaxaca -la cual mediante decreto publicado en el Periódico Oficial del Estado, de fecha 15 de febrero del año dos mil veinte fue reformado su nombre, siendo ahora la denominación: “Ley de Tránsito y Vialidad de Estado de Oaxaca”-, dejó de estar vigente la</w:t>
      </w:r>
      <w:r>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p>
    <w:p w14:paraId="318A9A31" w14:textId="3AC524BF" w:rsidR="009F2B34" w:rsidRDefault="009F2B34" w:rsidP="009F2B34">
      <w:pPr>
        <w:spacing w:line="360" w:lineRule="auto"/>
        <w:ind w:firstLine="567"/>
        <w:jc w:val="both"/>
        <w:rPr>
          <w:rFonts w:ascii="Arial" w:eastAsia="Times New Roman" w:hAnsi="Arial" w:cs="Arial"/>
          <w:bCs/>
          <w:color w:val="000000"/>
          <w:sz w:val="24"/>
          <w:szCs w:val="24"/>
          <w:lang w:val="es-ES"/>
        </w:rPr>
      </w:pPr>
      <w:r>
        <w:rPr>
          <w:rFonts w:ascii="Arial" w:eastAsia="Times New Roman" w:hAnsi="Arial" w:cs="Arial"/>
          <w:bCs/>
          <w:color w:val="000000"/>
          <w:sz w:val="24"/>
          <w:szCs w:val="24"/>
          <w:lang w:val="es-ES"/>
        </w:rPr>
        <w:t xml:space="preserve">En ese orden de ideas, y de una interpretación a contrario sensu del artículo segundo transitorio de la entonces Ley de Tránsito, Movilidad y Vialidad del Estado de Oaxaca, </w:t>
      </w:r>
      <w:r>
        <w:rPr>
          <w:rFonts w:ascii="Arial" w:eastAsia="Times New Roman" w:hAnsi="Arial" w:cs="Arial"/>
          <w:b/>
          <w:bCs/>
          <w:color w:val="000000"/>
          <w:sz w:val="24"/>
          <w:szCs w:val="24"/>
          <w:lang w:val="es-ES"/>
        </w:rPr>
        <w:t>no podía seguirse aplicando</w:t>
      </w:r>
      <w:r>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 -así como su reforma a la denominación, especificada en el párrafo anterior-, </w:t>
      </w:r>
      <w:r>
        <w:rPr>
          <w:rFonts w:ascii="Arial" w:eastAsia="Times New Roman" w:hAnsi="Arial" w:cs="Arial"/>
          <w:b/>
          <w:color w:val="000000"/>
          <w:sz w:val="24"/>
          <w:szCs w:val="24"/>
          <w:lang w:val="es-ES"/>
        </w:rPr>
        <w:t xml:space="preserve">y el </w:t>
      </w:r>
      <w:bookmarkStart w:id="0" w:name="_GoBack"/>
      <w:r>
        <w:rPr>
          <w:rFonts w:ascii="Arial" w:eastAsia="Times New Roman" w:hAnsi="Arial" w:cs="Arial"/>
          <w:b/>
          <w:color w:val="000000"/>
          <w:sz w:val="24"/>
          <w:szCs w:val="24"/>
          <w:lang w:val="es-ES"/>
        </w:rPr>
        <w:t>acta</w:t>
      </w:r>
      <w:bookmarkEnd w:id="0"/>
      <w:r>
        <w:rPr>
          <w:rFonts w:ascii="Arial" w:eastAsia="Times New Roman" w:hAnsi="Arial" w:cs="Arial"/>
          <w:b/>
          <w:color w:val="000000"/>
          <w:sz w:val="24"/>
          <w:szCs w:val="24"/>
          <w:lang w:val="es-ES"/>
        </w:rPr>
        <w:t xml:space="preserve"> de infracción fue emitida </w:t>
      </w:r>
      <w:bookmarkStart w:id="1" w:name="_Hlk98340146"/>
      <w:r>
        <w:rPr>
          <w:rFonts w:ascii="Arial" w:eastAsia="Times New Roman" w:hAnsi="Arial" w:cs="Arial"/>
          <w:b/>
          <w:color w:val="000000"/>
          <w:sz w:val="24"/>
          <w:szCs w:val="24"/>
          <w:lang w:val="es-ES"/>
        </w:rPr>
        <w:t>el</w:t>
      </w:r>
      <w:r>
        <w:rPr>
          <w:rFonts w:ascii="Arial" w:eastAsia="Times New Roman" w:hAnsi="Arial" w:cs="Arial"/>
          <w:b/>
          <w:bCs/>
          <w:color w:val="000000"/>
          <w:sz w:val="24"/>
          <w:szCs w:val="24"/>
          <w:lang w:val="es-ES"/>
        </w:rPr>
        <w:t xml:space="preserve"> </w:t>
      </w:r>
      <w:r w:rsidR="0085345F">
        <w:rPr>
          <w:rFonts w:ascii="Arial" w:eastAsia="Times New Roman" w:hAnsi="Arial" w:cs="Arial"/>
          <w:b/>
          <w:bCs/>
          <w:color w:val="000000"/>
          <w:sz w:val="24"/>
          <w:szCs w:val="24"/>
          <w:lang w:val="es-ES"/>
        </w:rPr>
        <w:t>cuatro de septiembre</w:t>
      </w:r>
      <w:r>
        <w:rPr>
          <w:rFonts w:ascii="Arial" w:eastAsia="Times New Roman" w:hAnsi="Arial" w:cs="Arial"/>
          <w:b/>
          <w:bCs/>
          <w:color w:val="000000"/>
          <w:sz w:val="24"/>
          <w:szCs w:val="24"/>
          <w:lang w:val="es-ES"/>
        </w:rPr>
        <w:t xml:space="preserve"> </w:t>
      </w:r>
      <w:r>
        <w:rPr>
          <w:rFonts w:ascii="Arial" w:eastAsia="Times New Roman" w:hAnsi="Arial" w:cs="Arial"/>
          <w:b/>
          <w:color w:val="000000"/>
          <w:sz w:val="24"/>
          <w:szCs w:val="24"/>
          <w:lang w:val="es-ES"/>
        </w:rPr>
        <w:t>de dos mil veintiuno</w:t>
      </w:r>
      <w:bookmarkEnd w:id="1"/>
      <w:r>
        <w:rPr>
          <w:rFonts w:ascii="Arial" w:eastAsia="Times New Roman" w:hAnsi="Arial" w:cs="Arial"/>
          <w:b/>
          <w:color w:val="000000"/>
          <w:sz w:val="24"/>
          <w:szCs w:val="24"/>
          <w:lang w:val="es-ES"/>
        </w:rPr>
        <w:t>.</w:t>
      </w:r>
    </w:p>
    <w:p w14:paraId="2D4A2524" w14:textId="58F844A8" w:rsidR="009F2B34" w:rsidRDefault="009F2B34" w:rsidP="009F2B34">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Pr>
          <w:rFonts w:ascii="Arial" w:eastAsia="Times New Roman" w:hAnsi="Arial" w:cs="Arial"/>
          <w:color w:val="000000"/>
          <w:sz w:val="24"/>
          <w:szCs w:val="24"/>
        </w:rPr>
        <w:t xml:space="preserve">, se advierte que el </w:t>
      </w:r>
      <w:r>
        <w:rPr>
          <w:rFonts w:ascii="Arial" w:eastAsia="Times New Roman" w:hAnsi="Arial" w:cs="Arial"/>
          <w:b/>
          <w:sz w:val="24"/>
          <w:szCs w:val="24"/>
          <w:lang w:val="es-ES_tradnl" w:eastAsia="es-ES"/>
        </w:rPr>
        <w:t>Policía Vial Estatal adscrito a la Dirección General de la Policía Vial Estatal</w:t>
      </w:r>
      <w:r>
        <w:rPr>
          <w:rFonts w:ascii="Arial" w:eastAsia="Times New Roman" w:hAnsi="Arial" w:cs="Arial"/>
          <w:bCs/>
          <w:sz w:val="24"/>
          <w:szCs w:val="24"/>
          <w:lang w:val="es-ES_tradnl" w:eastAsia="es-ES"/>
        </w:rPr>
        <w:t>,</w:t>
      </w:r>
      <w:r>
        <w:rPr>
          <w:rFonts w:ascii="Arial" w:eastAsia="Times New Roman" w:hAnsi="Arial" w:cs="Arial"/>
          <w:color w:val="000000"/>
          <w:sz w:val="24"/>
          <w:szCs w:val="24"/>
          <w:lang w:val="es-ES_tradnl"/>
        </w:rPr>
        <w:t xml:space="preserve"> </w:t>
      </w:r>
      <w:r>
        <w:rPr>
          <w:rFonts w:ascii="Arial" w:eastAsia="Times New Roman" w:hAnsi="Arial" w:cs="Arial"/>
          <w:color w:val="000000"/>
          <w:sz w:val="24"/>
          <w:szCs w:val="24"/>
        </w:rPr>
        <w:t xml:space="preserve">al levantar el acta de infracción con número de folio </w:t>
      </w:r>
      <w:r w:rsidR="00AD4CAA">
        <w:rPr>
          <w:rFonts w:ascii="Arial" w:eastAsia="Times New Roman" w:hAnsi="Arial" w:cs="Arial"/>
          <w:bCs/>
          <w:iCs/>
          <w:caps/>
          <w:kern w:val="2"/>
          <w:sz w:val="24"/>
          <w:szCs w:val="24"/>
          <w:lang w:val="es-ES_tradnl" w:eastAsia="es-ES"/>
        </w:rPr>
        <w:t>**********</w:t>
      </w:r>
      <w:r>
        <w:rPr>
          <w:rFonts w:ascii="Arial" w:eastAsia="Times New Roman" w:hAnsi="Arial" w:cs="Arial"/>
          <w:color w:val="000000"/>
          <w:sz w:val="24"/>
          <w:szCs w:val="24"/>
        </w:rPr>
        <w:t xml:space="preserve">, citó como sustento legal de su competencia los artículos </w:t>
      </w:r>
      <w:r>
        <w:rPr>
          <w:rFonts w:ascii="Arial" w:hAnsi="Arial" w:cs="Arial"/>
          <w:b/>
          <w:i/>
          <w:sz w:val="24"/>
          <w:szCs w:val="24"/>
        </w:rPr>
        <w:t>1, 2, 3, 8 fracciones I y VIII; 9 fracción I; 10, fracciones I, V y VI; 11 fracciones II, III y IV; 12 fracciones III y IV; y 30 fracciones I, II, III y V, de la Ley de Tránsito Reformada</w:t>
      </w:r>
      <w:r>
        <w:rPr>
          <w:rFonts w:ascii="Arial" w:eastAsia="Times New Roman" w:hAnsi="Arial" w:cs="Arial"/>
          <w:color w:val="000000"/>
          <w:sz w:val="24"/>
          <w:szCs w:val="24"/>
        </w:rPr>
        <w:t xml:space="preserve">, cuando éstos </w:t>
      </w:r>
      <w:r>
        <w:rPr>
          <w:rFonts w:ascii="Arial" w:eastAsia="Times New Roman" w:hAnsi="Arial" w:cs="Arial"/>
          <w:b/>
          <w:bCs/>
          <w:color w:val="000000"/>
          <w:sz w:val="24"/>
          <w:szCs w:val="24"/>
        </w:rPr>
        <w:t xml:space="preserve">ya no se encontraban vigentes. </w:t>
      </w:r>
    </w:p>
    <w:p w14:paraId="107F99AB" w14:textId="619B5ED9" w:rsidR="009F2B34" w:rsidRDefault="009F2B34" w:rsidP="009F2B34">
      <w:pPr>
        <w:spacing w:line="360" w:lineRule="auto"/>
        <w:ind w:right="51" w:firstLine="567"/>
        <w:jc w:val="both"/>
        <w:rPr>
          <w:rFonts w:ascii="Arial" w:hAnsi="Arial" w:cs="Arial"/>
          <w:bCs/>
          <w:sz w:val="24"/>
          <w:szCs w:val="24"/>
        </w:rPr>
      </w:pPr>
      <w:r>
        <w:rPr>
          <w:rFonts w:ascii="Arial" w:hAnsi="Arial" w:cs="Arial"/>
          <w:bCs/>
          <w:sz w:val="24"/>
          <w:szCs w:val="24"/>
        </w:rPr>
        <w:t xml:space="preserve">Esto es así, porque como ya se dijo, el acta de infracción fue emitida el </w:t>
      </w:r>
      <w:r w:rsidR="003A6BD5">
        <w:rPr>
          <w:rFonts w:ascii="Arial" w:eastAsia="Times New Roman" w:hAnsi="Arial" w:cs="Arial"/>
          <w:b/>
          <w:bCs/>
          <w:color w:val="000000"/>
          <w:sz w:val="24"/>
          <w:szCs w:val="24"/>
          <w:lang w:val="es-ES"/>
        </w:rPr>
        <w:t xml:space="preserve">cuatro de septiembre </w:t>
      </w:r>
      <w:r>
        <w:rPr>
          <w:rFonts w:ascii="Arial" w:eastAsia="Times New Roman" w:hAnsi="Arial" w:cs="Arial"/>
          <w:b/>
          <w:color w:val="000000"/>
          <w:sz w:val="24"/>
          <w:szCs w:val="24"/>
          <w:lang w:val="es-ES"/>
        </w:rPr>
        <w:t>de dos mil veintiuno</w:t>
      </w:r>
      <w:r>
        <w:rPr>
          <w:rFonts w:ascii="Arial" w:hAnsi="Arial" w:cs="Arial"/>
          <w:bCs/>
          <w:sz w:val="24"/>
          <w:szCs w:val="24"/>
        </w:rPr>
        <w:t xml:space="preserve">, cuando ya había sido </w:t>
      </w:r>
      <w:r>
        <w:rPr>
          <w:rFonts w:ascii="Arial" w:hAnsi="Arial" w:cs="Arial"/>
          <w:b/>
          <w:sz w:val="24"/>
          <w:szCs w:val="24"/>
        </w:rPr>
        <w:t>abrogada</w:t>
      </w:r>
      <w:r>
        <w:rPr>
          <w:rFonts w:ascii="Arial" w:hAnsi="Arial" w:cs="Arial"/>
          <w:bCs/>
          <w:sz w:val="24"/>
          <w:szCs w:val="24"/>
        </w:rPr>
        <w:t xml:space="preserve"> Ley de Tránsito Reformada, esto es, desde el </w:t>
      </w:r>
      <w:r>
        <w:rPr>
          <w:rFonts w:ascii="Arial" w:hAnsi="Arial" w:cs="Arial"/>
          <w:b/>
          <w:bCs/>
          <w:sz w:val="24"/>
          <w:szCs w:val="24"/>
        </w:rPr>
        <w:t>doce de abril de dos mil dieciséis</w:t>
      </w:r>
      <w:r>
        <w:rPr>
          <w:rFonts w:ascii="Arial" w:hAnsi="Arial" w:cs="Arial"/>
          <w:bCs/>
          <w:sz w:val="24"/>
          <w:szCs w:val="24"/>
        </w:rPr>
        <w:t xml:space="preserve">; de este modo, </w:t>
      </w:r>
      <w:r>
        <w:rPr>
          <w:rFonts w:ascii="Arial" w:hAnsi="Arial" w:cs="Arial"/>
          <w:sz w:val="24"/>
          <w:szCs w:val="24"/>
        </w:rPr>
        <w:t xml:space="preserve">se hace evidente que el acto de autoridad que se analiza, </w:t>
      </w:r>
      <w:r>
        <w:rPr>
          <w:rFonts w:ascii="Arial" w:hAnsi="Arial" w:cs="Arial"/>
          <w:b/>
          <w:sz w:val="24"/>
          <w:szCs w:val="24"/>
        </w:rPr>
        <w:t xml:space="preserve">incumple </w:t>
      </w:r>
      <w:r>
        <w:rPr>
          <w:rFonts w:ascii="Arial" w:hAnsi="Arial" w:cs="Arial"/>
          <w:sz w:val="24"/>
          <w:szCs w:val="24"/>
        </w:rPr>
        <w:t>con el requisito formal de una correcta fundamentación y motivación, en cuanto a la competencia de la autoridad que lo emitió.</w:t>
      </w:r>
    </w:p>
    <w:p w14:paraId="0CC1929F" w14:textId="3CD64ED3" w:rsidR="00A15315" w:rsidRDefault="009F2B34" w:rsidP="009F2B34">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procede con fundamento en el artículo 208 fracción I, de la Ley de Procedimiento y Justicia Administrativa para el Estado</w:t>
      </w:r>
      <w:r>
        <w:rPr>
          <w:rFonts w:ascii="Arial" w:eastAsia="Times New Roman" w:hAnsi="Arial" w:cs="Arial"/>
          <w:color w:val="000000"/>
          <w:sz w:val="24"/>
          <w:szCs w:val="24"/>
        </w:rPr>
        <w:t xml:space="preserve">, declarar la </w:t>
      </w:r>
      <w:r>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folio </w:t>
      </w:r>
      <w:r w:rsidR="00202B6A">
        <w:rPr>
          <w:rFonts w:ascii="Arial" w:eastAsia="Times New Roman" w:hAnsi="Arial" w:cs="Arial"/>
          <w:bCs/>
          <w:iCs/>
          <w:caps/>
          <w:kern w:val="2"/>
          <w:sz w:val="24"/>
          <w:szCs w:val="24"/>
          <w:lang w:val="es-ES_tradnl" w:eastAsia="es-ES"/>
        </w:rPr>
        <w:t>**********</w:t>
      </w:r>
      <w:r>
        <w:rPr>
          <w:rFonts w:ascii="Arial" w:eastAsia="Times New Roman" w:hAnsi="Arial" w:cs="Arial"/>
          <w:color w:val="000000"/>
          <w:sz w:val="24"/>
          <w:szCs w:val="24"/>
        </w:rPr>
        <w:t xml:space="preserve">, de </w:t>
      </w:r>
      <w:r w:rsidR="00365FBC">
        <w:rPr>
          <w:rFonts w:ascii="Arial" w:eastAsia="Times New Roman" w:hAnsi="Arial" w:cs="Arial"/>
          <w:bCs/>
          <w:color w:val="000000"/>
          <w:sz w:val="24"/>
          <w:szCs w:val="24"/>
          <w:lang w:val="es-ES"/>
        </w:rPr>
        <w:t xml:space="preserve">cuatro de septiembre </w:t>
      </w:r>
      <w:r>
        <w:rPr>
          <w:rFonts w:ascii="Arial" w:eastAsia="Times New Roman" w:hAnsi="Arial" w:cs="Arial"/>
          <w:bCs/>
          <w:color w:val="000000"/>
          <w:sz w:val="24"/>
          <w:szCs w:val="24"/>
          <w:lang w:val="es-ES"/>
        </w:rPr>
        <w:t>de dos mil veintiuno</w:t>
      </w:r>
      <w:r>
        <w:rPr>
          <w:rFonts w:ascii="Arial" w:hAnsi="Arial" w:cs="Arial"/>
          <w:bCs/>
          <w:sz w:val="24"/>
          <w:szCs w:val="24"/>
        </w:rPr>
        <w:t>,</w:t>
      </w:r>
      <w:r>
        <w:rPr>
          <w:rFonts w:ascii="Arial" w:eastAsia="Times New Roman" w:hAnsi="Arial" w:cs="Arial"/>
          <w:bCs/>
          <w:color w:val="000000"/>
          <w:sz w:val="24"/>
          <w:szCs w:val="24"/>
        </w:rPr>
        <w:t xml:space="preserve"> </w:t>
      </w:r>
      <w:r>
        <w:rPr>
          <w:rFonts w:ascii="Arial" w:eastAsia="Times New Roman" w:hAnsi="Arial" w:cs="Arial"/>
          <w:color w:val="000000"/>
          <w:sz w:val="24"/>
          <w:szCs w:val="24"/>
        </w:rPr>
        <w:t xml:space="preserve">levantada por el </w:t>
      </w:r>
      <w:r w:rsidR="008D68FE" w:rsidRPr="002E3E60">
        <w:rPr>
          <w:rFonts w:ascii="Arial" w:eastAsia="Arial" w:hAnsi="Arial" w:cs="Arial"/>
          <w:bCs/>
          <w:sz w:val="24"/>
          <w:szCs w:val="24"/>
        </w:rPr>
        <w:t xml:space="preserve">Policía Vial con número estadístico PV-511, </w:t>
      </w:r>
      <w:r w:rsidR="008D68FE" w:rsidRPr="002E3E60">
        <w:rPr>
          <w:rFonts w:ascii="Arial" w:hAnsi="Arial" w:cs="Arial"/>
          <w:bCs/>
          <w:sz w:val="24"/>
          <w:szCs w:val="24"/>
        </w:rPr>
        <w:t>adscrito a la Dirección General de la Policía Vial Estatal</w:t>
      </w:r>
      <w:r w:rsidR="008D68FE">
        <w:rPr>
          <w:rFonts w:ascii="Arial" w:hAnsi="Arial" w:cs="Arial"/>
          <w:bCs/>
          <w:sz w:val="24"/>
          <w:szCs w:val="24"/>
        </w:rPr>
        <w:t>.</w:t>
      </w:r>
    </w:p>
    <w:p w14:paraId="769A51DB" w14:textId="77777777" w:rsidR="009F2B34" w:rsidRDefault="009F2B34" w:rsidP="009F2B34">
      <w:pPr>
        <w:spacing w:line="360" w:lineRule="auto"/>
        <w:ind w:firstLine="567"/>
        <w:jc w:val="both"/>
        <w:rPr>
          <w:rFonts w:ascii="Arial" w:eastAsia="Times New Roman" w:hAnsi="Arial" w:cs="Arial"/>
          <w:bCs/>
          <w:sz w:val="24"/>
          <w:szCs w:val="24"/>
          <w:lang w:val="es-ES_tradnl"/>
        </w:rPr>
      </w:pPr>
      <w:r>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14:paraId="194336F9" w14:textId="77777777" w:rsidR="009F2B34" w:rsidRDefault="009F2B34" w:rsidP="009F2B34">
      <w:pPr>
        <w:tabs>
          <w:tab w:val="left" w:pos="6946"/>
        </w:tabs>
        <w:spacing w:after="0" w:line="240" w:lineRule="auto"/>
        <w:ind w:left="851" w:right="283"/>
        <w:jc w:val="both"/>
        <w:rPr>
          <w:rFonts w:ascii="Arial" w:hAnsi="Arial"/>
          <w:color w:val="000000"/>
          <w:sz w:val="21"/>
          <w:szCs w:val="21"/>
        </w:rPr>
      </w:pPr>
      <w:r>
        <w:rPr>
          <w:rFonts w:ascii="Arial" w:hAnsi="Arial"/>
          <w:i/>
          <w:color w:val="000000"/>
          <w:sz w:val="21"/>
          <w:szCs w:val="21"/>
        </w:rPr>
        <w:t>“</w:t>
      </w:r>
      <w:r>
        <w:rPr>
          <w:rFonts w:ascii="Arial" w:hAnsi="Arial"/>
          <w:b/>
          <w:i/>
          <w:color w:val="000000"/>
          <w:sz w:val="21"/>
          <w:szCs w:val="21"/>
        </w:rPr>
        <w:t xml:space="preserve">NULIDAD. LA DECRETADA POR INSUFICIENCIA EN LA FUNDAMENTACIÓN DE LA COMPETENCIA DE LA AUTORIDAD ADMINISTRATIVA, DEBE SER LISA Y LLANA. </w:t>
      </w:r>
      <w:r>
        <w:rPr>
          <w:rFonts w:ascii="Arial" w:hAnsi="Arial"/>
          <w:i/>
          <w:color w:val="000000"/>
          <w:sz w:val="21"/>
          <w:szCs w:val="21"/>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w:t>
      </w:r>
      <w:r>
        <w:rPr>
          <w:rFonts w:ascii="Arial" w:hAnsi="Arial"/>
          <w:i/>
          <w:color w:val="000000"/>
          <w:sz w:val="21"/>
          <w:szCs w:val="21"/>
        </w:rPr>
        <w:lastRenderedPageBreak/>
        <w:t>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olor w:val="000000"/>
          <w:sz w:val="21"/>
          <w:szCs w:val="21"/>
        </w:rPr>
        <w:t>.</w:t>
      </w:r>
    </w:p>
    <w:p w14:paraId="42A09E09" w14:textId="77777777" w:rsidR="009F2B34" w:rsidRDefault="009F2B34" w:rsidP="009F2B34">
      <w:pPr>
        <w:tabs>
          <w:tab w:val="left" w:pos="6946"/>
        </w:tabs>
        <w:spacing w:after="0"/>
        <w:ind w:left="851" w:right="283"/>
        <w:jc w:val="both"/>
        <w:rPr>
          <w:rFonts w:ascii="Arial" w:hAnsi="Arial"/>
          <w:color w:val="000000"/>
          <w:sz w:val="21"/>
          <w:szCs w:val="21"/>
        </w:rPr>
      </w:pPr>
    </w:p>
    <w:p w14:paraId="26DBA639" w14:textId="77777777" w:rsidR="009F2B34" w:rsidRDefault="009F2B34" w:rsidP="009F2B34">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se </w:t>
      </w:r>
      <w:r>
        <w:rPr>
          <w:rFonts w:ascii="Arial" w:hAnsi="Arial" w:cs="Arial"/>
          <w:b/>
          <w:bCs/>
          <w:sz w:val="24"/>
          <w:szCs w:val="24"/>
        </w:rPr>
        <w:t xml:space="preserve">ordena a la autoridad demandada </w:t>
      </w:r>
      <w:r>
        <w:rPr>
          <w:rFonts w:ascii="Arial" w:hAnsi="Arial" w:cs="Arial"/>
          <w:sz w:val="24"/>
          <w:szCs w:val="24"/>
        </w:rPr>
        <w:t xml:space="preserve">para que una vez que cause ejecutoria la presente sentencia, </w:t>
      </w:r>
      <w:r>
        <w:rPr>
          <w:rFonts w:ascii="Arial" w:eastAsia="Times New Roman" w:hAnsi="Arial" w:cs="Arial"/>
          <w:sz w:val="24"/>
          <w:szCs w:val="24"/>
          <w:lang w:val="es-ES" w:eastAsia="es-ES"/>
        </w:rPr>
        <w:t xml:space="preserve">efectué la baja del acta de infracción impugnada del sistema digital que al efecto lleve la Dirección General de la Policía Vial Estatal. </w:t>
      </w:r>
    </w:p>
    <w:p w14:paraId="5384A236" w14:textId="508F8763" w:rsidR="009F2B34" w:rsidRDefault="009F2B34" w:rsidP="009F2B34">
      <w:pPr>
        <w:spacing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w:t>
      </w:r>
      <w:r w:rsidR="00727885">
        <w:rPr>
          <w:rFonts w:ascii="Arial" w:hAnsi="Arial" w:cs="Arial"/>
          <w:sz w:val="24"/>
          <w:szCs w:val="24"/>
        </w:rPr>
        <w:t xml:space="preserve"> - - - - - - </w:t>
      </w:r>
    </w:p>
    <w:p w14:paraId="224FD2BA" w14:textId="77777777" w:rsidR="009F2B34" w:rsidRDefault="009F2B34" w:rsidP="009F2B34">
      <w:pPr>
        <w:spacing w:line="360" w:lineRule="auto"/>
        <w:ind w:right="-1"/>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6B53ECA1" w14:textId="5282A3E8" w:rsidR="009F2B34" w:rsidRDefault="009F2B34" w:rsidP="009F2B34">
      <w:pPr>
        <w:widowControl w:val="0"/>
        <w:suppressAutoHyphens/>
        <w:spacing w:before="24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w:t>
      </w:r>
      <w:r w:rsidR="008B2C1F">
        <w:rPr>
          <w:rFonts w:ascii="Arial" w:eastAsia="Arial Unicode MS" w:hAnsi="Arial" w:cs="Arial"/>
          <w:kern w:val="2"/>
          <w:sz w:val="24"/>
          <w:szCs w:val="24"/>
          <w:lang w:eastAsia="ar-SA"/>
        </w:rPr>
        <w:t xml:space="preserve"> - - - - - - - - </w:t>
      </w:r>
    </w:p>
    <w:p w14:paraId="0DA9CC23" w14:textId="3B776087" w:rsidR="009F2B34" w:rsidRDefault="009F2B34" w:rsidP="009F2B34">
      <w:pPr>
        <w:spacing w:line="360" w:lineRule="auto"/>
        <w:ind w:firstLine="567"/>
        <w:jc w:val="both"/>
        <w:rPr>
          <w:rFonts w:ascii="Arial" w:eastAsia="Times New Roman" w:hAnsi="Arial" w:cs="Arial"/>
          <w:color w:val="000000"/>
          <w:sz w:val="24"/>
          <w:szCs w:val="24"/>
        </w:rPr>
      </w:pPr>
      <w:r>
        <w:rPr>
          <w:rFonts w:ascii="Arial" w:hAnsi="Arial" w:cs="Arial"/>
          <w:b/>
          <w:color w:val="000000"/>
          <w:sz w:val="24"/>
          <w:szCs w:val="24"/>
        </w:rPr>
        <w:t>SEGUNDO.</w:t>
      </w:r>
      <w:r>
        <w:rPr>
          <w:rFonts w:ascii="Arial" w:hAnsi="Arial" w:cs="Arial"/>
          <w:sz w:val="24"/>
          <w:szCs w:val="24"/>
        </w:rPr>
        <w:t xml:space="preserve"> Al acreditarse la incompetencia de la autoridad demandada, se declara la </w:t>
      </w:r>
      <w:r>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folio </w:t>
      </w:r>
      <w:r w:rsidR="00DC4876">
        <w:rPr>
          <w:rFonts w:ascii="Arial" w:eastAsia="Times New Roman" w:hAnsi="Arial" w:cs="Arial"/>
          <w:bCs/>
          <w:iCs/>
          <w:caps/>
          <w:kern w:val="2"/>
          <w:sz w:val="24"/>
          <w:szCs w:val="24"/>
          <w:lang w:val="es-ES_tradnl" w:eastAsia="es-ES"/>
        </w:rPr>
        <w:t>**********</w:t>
      </w:r>
      <w:r>
        <w:rPr>
          <w:rFonts w:ascii="Arial" w:eastAsia="Times New Roman" w:hAnsi="Arial" w:cs="Arial"/>
          <w:color w:val="000000"/>
          <w:sz w:val="24"/>
          <w:szCs w:val="24"/>
        </w:rPr>
        <w:t xml:space="preserve">, de </w:t>
      </w:r>
      <w:r w:rsidR="00B639AD">
        <w:rPr>
          <w:rFonts w:ascii="Arial" w:eastAsia="Times New Roman" w:hAnsi="Arial" w:cs="Arial"/>
          <w:color w:val="000000"/>
          <w:sz w:val="24"/>
          <w:szCs w:val="24"/>
        </w:rPr>
        <w:t xml:space="preserve">cuatro de septiembre </w:t>
      </w:r>
      <w:r>
        <w:rPr>
          <w:rFonts w:ascii="Arial" w:eastAsia="Times New Roman" w:hAnsi="Arial" w:cs="Arial"/>
          <w:color w:val="000000"/>
          <w:sz w:val="24"/>
          <w:szCs w:val="24"/>
        </w:rPr>
        <w:t xml:space="preserve">de dos mil veintiuno, levantada por el </w:t>
      </w:r>
      <w:r w:rsidR="004E6731" w:rsidRPr="002E3E60">
        <w:rPr>
          <w:rFonts w:ascii="Arial" w:eastAsia="Arial" w:hAnsi="Arial" w:cs="Arial"/>
          <w:bCs/>
          <w:sz w:val="24"/>
          <w:szCs w:val="24"/>
        </w:rPr>
        <w:t xml:space="preserve">Policía Vial con número estadístico PV-511, </w:t>
      </w:r>
      <w:r w:rsidR="004E6731" w:rsidRPr="002E3E60">
        <w:rPr>
          <w:rFonts w:ascii="Arial" w:hAnsi="Arial" w:cs="Arial"/>
          <w:bCs/>
          <w:sz w:val="24"/>
          <w:szCs w:val="24"/>
        </w:rPr>
        <w:t>adscrito a la Dirección General de la Policía Vial Estatal</w:t>
      </w:r>
      <w:r w:rsidR="004E6731">
        <w:rPr>
          <w:rFonts w:ascii="Arial" w:hAnsi="Arial" w:cs="Arial"/>
          <w:sz w:val="24"/>
          <w:szCs w:val="24"/>
        </w:rPr>
        <w:t xml:space="preserve">, </w:t>
      </w:r>
      <w:r>
        <w:rPr>
          <w:rFonts w:ascii="Arial" w:hAnsi="Arial" w:cs="Arial"/>
          <w:sz w:val="24"/>
          <w:szCs w:val="24"/>
        </w:rPr>
        <w:t>como quedo precisado en el considerando segundo</w:t>
      </w:r>
      <w:r>
        <w:rPr>
          <w:rFonts w:ascii="Arial" w:hAnsi="Arial" w:cs="Arial"/>
          <w:b/>
          <w:sz w:val="24"/>
          <w:szCs w:val="24"/>
        </w:rPr>
        <w:t xml:space="preserve"> </w:t>
      </w:r>
      <w:r>
        <w:rPr>
          <w:rFonts w:ascii="Arial" w:hAnsi="Arial" w:cs="Arial"/>
          <w:sz w:val="24"/>
          <w:szCs w:val="24"/>
        </w:rPr>
        <w:t xml:space="preserve">de esta sentencia. - - - - </w:t>
      </w:r>
    </w:p>
    <w:p w14:paraId="460900B4" w14:textId="1676B8B8" w:rsidR="009F2B34" w:rsidRDefault="009F2B34" w:rsidP="009F2B34">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TERCERO. NOTIFÍQUESE PERSONALMENTE AL ACTOR Y MEDIANTE OFICIO A LA AUTORIDAD DEMANDADA</w:t>
      </w:r>
      <w:r>
        <w:rPr>
          <w:rFonts w:ascii="Arial" w:eastAsia="Arial Unicode MS" w:hAnsi="Arial" w:cs="Arial"/>
          <w:bCs/>
          <w:kern w:val="2"/>
          <w:sz w:val="24"/>
          <w:szCs w:val="24"/>
          <w:lang w:eastAsia="ar-SA"/>
        </w:rPr>
        <w:t xml:space="preserve">, </w:t>
      </w:r>
      <w:r>
        <w:rPr>
          <w:rFonts w:ascii="Arial" w:eastAsia="Arial Unicode MS" w:hAnsi="Arial" w:cs="Arial"/>
          <w:kern w:val="2"/>
          <w:sz w:val="24"/>
          <w:szCs w:val="24"/>
          <w:lang w:eastAsia="ar-SA"/>
        </w:rPr>
        <w:t xml:space="preserve">con fundamento en los artículos 172 fracción I y 173 fracciones I y II de la Ley de Procedimiento y Justicia Administrativa para el Estado de Oaxaca. - - - - - - - - - - - - - - - - - - - - - - - - - - - - - </w:t>
      </w:r>
      <w:r w:rsidR="004E6731">
        <w:rPr>
          <w:rFonts w:ascii="Arial" w:eastAsia="Arial Unicode MS" w:hAnsi="Arial" w:cs="Arial"/>
          <w:kern w:val="2"/>
          <w:sz w:val="24"/>
          <w:szCs w:val="24"/>
          <w:lang w:eastAsia="ar-SA"/>
        </w:rPr>
        <w:t xml:space="preserve">- - - - - - - - - - - - - </w:t>
      </w:r>
    </w:p>
    <w:p w14:paraId="6DBEF0E9" w14:textId="69B4D923" w:rsidR="00DC4876" w:rsidRDefault="009F2B34" w:rsidP="009F2B34">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Alejandra Georgina Villacaña Abascal, </w:t>
      </w:r>
      <w:r>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231BD5">
        <w:rPr>
          <w:rFonts w:ascii="Arial" w:eastAsia="Calibri" w:hAnsi="Arial" w:cs="Arial"/>
          <w:sz w:val="24"/>
          <w:szCs w:val="24"/>
        </w:rPr>
        <w:t xml:space="preserve">- - - </w:t>
      </w:r>
    </w:p>
    <w:sectPr w:rsidR="00DC4876"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559ED" w14:textId="77777777" w:rsidR="00B11B87" w:rsidRDefault="00B11B87" w:rsidP="000802F9">
      <w:pPr>
        <w:spacing w:after="0" w:line="240" w:lineRule="auto"/>
      </w:pPr>
      <w:r>
        <w:separator/>
      </w:r>
    </w:p>
  </w:endnote>
  <w:endnote w:type="continuationSeparator" w:id="0">
    <w:p w14:paraId="14436129" w14:textId="77777777" w:rsidR="00B11B87" w:rsidRDefault="00B11B87"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96E12B" w14:textId="77777777" w:rsidR="00B11B87" w:rsidRDefault="00B11B87" w:rsidP="000802F9">
      <w:pPr>
        <w:spacing w:after="0" w:line="240" w:lineRule="auto"/>
      </w:pPr>
      <w:r>
        <w:separator/>
      </w:r>
    </w:p>
  </w:footnote>
  <w:footnote w:type="continuationSeparator" w:id="0">
    <w:p w14:paraId="0D49BA64" w14:textId="77777777" w:rsidR="00B11B87" w:rsidRDefault="00B11B87"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874773"/>
      <w:docPartObj>
        <w:docPartGallery w:val="Page Numbers (Top of Page)"/>
        <w:docPartUnique/>
      </w:docPartObj>
    </w:sdtPr>
    <w:sdtEndPr/>
    <w:sdtContent>
      <w:p w14:paraId="461711B2" w14:textId="61EC11ED" w:rsidR="009C2D10" w:rsidRDefault="009C2D10">
        <w:pPr>
          <w:pStyle w:val="Encabezado"/>
          <w:jc w:val="center"/>
        </w:pPr>
        <w:r>
          <w:fldChar w:fldCharType="begin"/>
        </w:r>
        <w:r>
          <w:instrText>PAGE   \* MERGEFORMAT</w:instrText>
        </w:r>
        <w:r>
          <w:fldChar w:fldCharType="separate"/>
        </w:r>
        <w:r w:rsidR="00202B6A" w:rsidRPr="00202B6A">
          <w:rPr>
            <w:noProof/>
            <w:lang w:val="es-ES"/>
          </w:rPr>
          <w:t>2</w:t>
        </w:r>
        <w:r>
          <w:fldChar w:fldCharType="end"/>
        </w:r>
        <w:r w:rsidR="00767D7C">
          <w:t xml:space="preserve"> </w:t>
        </w:r>
      </w:p>
    </w:sdtContent>
  </w:sdt>
  <w:p w14:paraId="7E0EC6AE" w14:textId="387894AE" w:rsidR="00573637" w:rsidRDefault="00767D7C">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33AD968C" wp14:editId="1F7A724A">
              <wp:simplePos x="0" y="0"/>
              <wp:positionH relativeFrom="column">
                <wp:posOffset>-1024890</wp:posOffset>
              </wp:positionH>
              <wp:positionV relativeFrom="paragraph">
                <wp:posOffset>4277360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575369A" w14:textId="77777777" w:rsidR="00767D7C" w:rsidRDefault="00767D7C" w:rsidP="00767D7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AD968C" id="_x0000_t202" coordsize="21600,21600" o:spt="202" path="m,l,21600r21600,l21600,xe">
              <v:stroke joinstyle="miter"/>
              <v:path gradientshapeok="t" o:connecttype="rect"/>
            </v:shapetype>
            <v:shape id="Cuadro de texto 1" o:spid="_x0000_s1026" type="#_x0000_t202" style="position:absolute;left:0;text-align:left;margin-left:-80.7pt;margin-top:336.8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">
              <v:textbox>
                <w:txbxContent>
                  <w:p w14:paraId="2575369A" w14:textId="77777777" w:rsidR="00767D7C" w:rsidRDefault="00767D7C" w:rsidP="00767D7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569" w:type="dxa"/>
      <w:tblInd w:w="2313" w:type="dxa"/>
      <w:tblLayout w:type="fixed"/>
      <w:tblLook w:val="04A0" w:firstRow="1" w:lastRow="0" w:firstColumn="1" w:lastColumn="0" w:noHBand="0" w:noVBand="1"/>
    </w:tblPr>
    <w:tblGrid>
      <w:gridCol w:w="2432"/>
      <w:gridCol w:w="4577"/>
      <w:gridCol w:w="1134"/>
      <w:gridCol w:w="426"/>
    </w:tblGrid>
    <w:tr w:rsidR="00C51C01" w:rsidRPr="00B814D3" w14:paraId="3A91F442" w14:textId="77777777" w:rsidTr="00A42B87">
      <w:trPr>
        <w:gridAfter w:val="2"/>
        <w:wAfter w:w="1560" w:type="dxa"/>
        <w:trHeight w:val="714"/>
      </w:trPr>
      <w:tc>
        <w:tcPr>
          <w:tcW w:w="7009" w:type="dxa"/>
          <w:gridSpan w:val="2"/>
        </w:tcPr>
        <w:p w14:paraId="628E9E51" w14:textId="77777777" w:rsidR="00C51C01" w:rsidRPr="00B814D3" w:rsidRDefault="00C51C01" w:rsidP="00025839">
          <w:pPr>
            <w:pStyle w:val="Encabezado"/>
            <w:spacing w:line="276" w:lineRule="auto"/>
            <w:ind w:left="56" w:firstLine="34"/>
            <w:jc w:val="both"/>
            <w:rPr>
              <w:rFonts w:ascii="Arial" w:hAnsi="Arial" w:cs="Arial"/>
              <w:b/>
              <w:sz w:val="24"/>
              <w:szCs w:val="24"/>
            </w:rPr>
          </w:pPr>
          <w:r w:rsidRPr="00B814D3">
            <w:rPr>
              <w:rFonts w:ascii="Arial" w:hAnsi="Arial" w:cs="Arial"/>
              <w:b/>
              <w:sz w:val="24"/>
              <w:szCs w:val="24"/>
            </w:rPr>
            <w:t xml:space="preserve">CUARTA SALA UNITARIA DE PRIMERA INSTANCIA DEL TRIBUNAL DE JUSTICIA ADMINISTRATIVA </w:t>
          </w:r>
          <w:r w:rsidRPr="00B814D3">
            <w:rPr>
              <w:rFonts w:ascii="Arial" w:eastAsia="Times New Roman" w:hAnsi="Arial" w:cs="Arial"/>
              <w:b/>
              <w:iCs/>
              <w:kern w:val="2"/>
              <w:sz w:val="24"/>
              <w:szCs w:val="24"/>
              <w:lang w:val="es-ES_tradnl" w:eastAsia="es-ES"/>
            </w:rPr>
            <w:t>DEL ESTADO DE OAXACA</w:t>
          </w:r>
        </w:p>
        <w:p w14:paraId="145C78C6" w14:textId="0AAB3FAF" w:rsidR="00C51C01" w:rsidRPr="00B814D3"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B814D3" w14:paraId="76A6CD1A" w14:textId="77777777" w:rsidTr="00A42B87">
      <w:trPr>
        <w:gridAfter w:val="1"/>
        <w:wAfter w:w="426" w:type="dxa"/>
        <w:trHeight w:val="426"/>
      </w:trPr>
      <w:tc>
        <w:tcPr>
          <w:tcW w:w="2432" w:type="dxa"/>
          <w:hideMark/>
        </w:tcPr>
        <w:p w14:paraId="0C5467E3" w14:textId="4AC997B2" w:rsidR="00C51C01" w:rsidRPr="00B814D3" w:rsidRDefault="00B814D3" w:rsidP="00B814D3">
          <w:pPr>
            <w:tabs>
              <w:tab w:val="center" w:pos="4419"/>
              <w:tab w:val="right" w:pos="8838"/>
            </w:tabs>
            <w:suppressAutoHyphens/>
            <w:spacing w:after="0" w:line="100" w:lineRule="atLeast"/>
            <w:ind w:left="-45" w:right="-433" w:firstLine="34"/>
            <w:jc w:val="both"/>
            <w:rPr>
              <w:rFonts w:ascii="Arial" w:eastAsia="Times New Roman" w:hAnsi="Arial" w:cs="Arial"/>
              <w:b/>
              <w:iCs/>
              <w:kern w:val="2"/>
              <w:sz w:val="24"/>
              <w:szCs w:val="24"/>
              <w:lang w:val="es-ES_tradnl" w:eastAsia="es-ES"/>
            </w:rPr>
          </w:pPr>
          <w:r>
            <w:rPr>
              <w:rFonts w:ascii="Arial" w:eastAsia="Times New Roman" w:hAnsi="Arial" w:cs="Arial"/>
              <w:b/>
              <w:iCs/>
              <w:caps/>
              <w:kern w:val="2"/>
              <w:sz w:val="24"/>
              <w:szCs w:val="24"/>
              <w:lang w:val="es-ES_tradnl" w:eastAsia="es-ES"/>
            </w:rPr>
            <w:t>JUICIO DE NULIDAD</w:t>
          </w:r>
          <w:r w:rsidR="00C51C01" w:rsidRPr="00B814D3">
            <w:rPr>
              <w:rFonts w:ascii="Arial" w:eastAsia="Times New Roman" w:hAnsi="Arial" w:cs="Arial"/>
              <w:b/>
              <w:iCs/>
              <w:caps/>
              <w:kern w:val="2"/>
              <w:sz w:val="24"/>
              <w:szCs w:val="24"/>
              <w:lang w:val="es-ES_tradnl" w:eastAsia="es-ES"/>
            </w:rPr>
            <w:t>:</w:t>
          </w:r>
        </w:p>
      </w:tc>
      <w:tc>
        <w:tcPr>
          <w:tcW w:w="5711" w:type="dxa"/>
          <w:gridSpan w:val="2"/>
          <w:hideMark/>
        </w:tcPr>
        <w:p w14:paraId="1D223620" w14:textId="6BD9B3DE" w:rsidR="00C51C01" w:rsidRPr="00B814D3" w:rsidRDefault="00B814D3" w:rsidP="00DC38B8">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 </w:t>
          </w:r>
          <w:r w:rsidRPr="00B814D3">
            <w:rPr>
              <w:rFonts w:ascii="Arial" w:eastAsia="Times New Roman" w:hAnsi="Arial" w:cs="Arial"/>
              <w:bCs/>
              <w:iCs/>
              <w:caps/>
              <w:kern w:val="2"/>
              <w:sz w:val="24"/>
              <w:szCs w:val="24"/>
              <w:lang w:val="es-ES_tradnl" w:eastAsia="es-ES"/>
            </w:rPr>
            <w:t>0</w:t>
          </w:r>
          <w:r w:rsidR="00D15C8C">
            <w:rPr>
              <w:rFonts w:ascii="Arial" w:eastAsia="Times New Roman" w:hAnsi="Arial" w:cs="Arial"/>
              <w:bCs/>
              <w:iCs/>
              <w:caps/>
              <w:kern w:val="2"/>
              <w:sz w:val="24"/>
              <w:szCs w:val="24"/>
              <w:lang w:val="es-ES_tradnl" w:eastAsia="es-ES"/>
            </w:rPr>
            <w:t>8</w:t>
          </w:r>
          <w:r w:rsidRPr="00B814D3">
            <w:rPr>
              <w:rFonts w:ascii="Arial" w:eastAsia="Times New Roman" w:hAnsi="Arial" w:cs="Arial"/>
              <w:bCs/>
              <w:iCs/>
              <w:caps/>
              <w:kern w:val="2"/>
              <w:sz w:val="24"/>
              <w:szCs w:val="24"/>
              <w:lang w:val="es-ES_tradnl" w:eastAsia="es-ES"/>
            </w:rPr>
            <w:t>1</w:t>
          </w:r>
          <w:r w:rsidR="001E294D" w:rsidRPr="00B814D3">
            <w:rPr>
              <w:rFonts w:ascii="Arial" w:eastAsia="Times New Roman" w:hAnsi="Arial" w:cs="Arial"/>
              <w:bCs/>
              <w:iCs/>
              <w:caps/>
              <w:kern w:val="2"/>
              <w:sz w:val="24"/>
              <w:szCs w:val="24"/>
              <w:lang w:val="es-ES_tradnl" w:eastAsia="es-ES"/>
            </w:rPr>
            <w:t>/20</w:t>
          </w:r>
          <w:r w:rsidR="00D15C8C">
            <w:rPr>
              <w:rFonts w:ascii="Arial" w:eastAsia="Times New Roman" w:hAnsi="Arial" w:cs="Arial"/>
              <w:bCs/>
              <w:iCs/>
              <w:caps/>
              <w:kern w:val="2"/>
              <w:sz w:val="24"/>
              <w:szCs w:val="24"/>
              <w:lang w:val="es-ES_tradnl" w:eastAsia="es-ES"/>
            </w:rPr>
            <w:t>21</w:t>
          </w:r>
        </w:p>
        <w:p w14:paraId="4483281E" w14:textId="77777777" w:rsidR="00C51C01" w:rsidRPr="00B814D3"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3EB0323E" w14:textId="77777777" w:rsidTr="00A42B87">
      <w:trPr>
        <w:trHeight w:val="74"/>
      </w:trPr>
      <w:tc>
        <w:tcPr>
          <w:tcW w:w="2432" w:type="dxa"/>
          <w:hideMark/>
        </w:tcPr>
        <w:p w14:paraId="78176636" w14:textId="77777777" w:rsidR="00C51C01" w:rsidRPr="00B814D3"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B814D3">
            <w:rPr>
              <w:rFonts w:ascii="Arial" w:eastAsia="Times New Roman" w:hAnsi="Arial" w:cs="Arial"/>
              <w:b/>
              <w:iCs/>
              <w:caps/>
              <w:kern w:val="2"/>
              <w:sz w:val="24"/>
              <w:szCs w:val="24"/>
              <w:lang w:val="es-ES_tradnl" w:eastAsia="es-ES"/>
            </w:rPr>
            <w:t>ACTOR:</w:t>
          </w:r>
        </w:p>
      </w:tc>
      <w:tc>
        <w:tcPr>
          <w:tcW w:w="6137" w:type="dxa"/>
          <w:gridSpan w:val="3"/>
        </w:tcPr>
        <w:p w14:paraId="34B92AEA" w14:textId="2DD8085F" w:rsidR="00C51C01" w:rsidRPr="00B814D3" w:rsidRDefault="00DC4876" w:rsidP="008B392C">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34A14D88" w14:textId="77777777" w:rsidTr="00A42B87">
      <w:trPr>
        <w:trHeight w:val="939"/>
      </w:trPr>
      <w:tc>
        <w:tcPr>
          <w:tcW w:w="2432" w:type="dxa"/>
        </w:tcPr>
        <w:p w14:paraId="08844932" w14:textId="77777777" w:rsidR="00C51C01" w:rsidRPr="00B814D3"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5F8C061" w14:textId="77777777" w:rsidR="00C51C01" w:rsidRPr="00B814D3"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B814D3">
            <w:rPr>
              <w:rFonts w:ascii="Arial" w:eastAsia="Times New Roman" w:hAnsi="Arial" w:cs="Arial"/>
              <w:b/>
              <w:bCs/>
              <w:iCs/>
              <w:caps/>
              <w:kern w:val="2"/>
              <w:sz w:val="24"/>
              <w:szCs w:val="24"/>
              <w:lang w:val="es-ES_tradnl" w:eastAsia="es-ES"/>
            </w:rPr>
            <w:t>demandado:</w:t>
          </w:r>
        </w:p>
        <w:p w14:paraId="42F93270" w14:textId="77777777" w:rsidR="00C51C01" w:rsidRPr="00B814D3"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6D10CD6C" w14:textId="77777777" w:rsidR="00C51C01" w:rsidRPr="00B814D3"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38A5A72A" w14:textId="77777777" w:rsidR="00C51C01" w:rsidRPr="00B814D3"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60AC4B5" w14:textId="77777777"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CC8620" w14:textId="77777777" w:rsidR="007C46C2" w:rsidRPr="00B814D3" w:rsidRDefault="00DF686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B814D3">
            <w:rPr>
              <w:rFonts w:ascii="Arial" w:eastAsia="Times New Roman" w:hAnsi="Arial" w:cs="Arial"/>
              <w:b/>
              <w:bCs/>
              <w:iCs/>
              <w:caps/>
              <w:kern w:val="2"/>
              <w:sz w:val="24"/>
              <w:szCs w:val="24"/>
              <w:lang w:val="es-ES_tradnl" w:eastAsia="es-ES"/>
            </w:rPr>
            <w:t>MAGISTRADA:</w:t>
          </w:r>
        </w:p>
        <w:p w14:paraId="62423544" w14:textId="77777777" w:rsidR="00DF686C" w:rsidRPr="00B814D3" w:rsidRDefault="00DF686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C518B86" w14:textId="77777777" w:rsidR="00AA16D3" w:rsidRDefault="00AA16D3"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3773E5E" w14:textId="77777777" w:rsidR="00C51C01" w:rsidRPr="00B814D3"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B814D3">
            <w:rPr>
              <w:rFonts w:ascii="Arial" w:eastAsia="Times New Roman" w:hAnsi="Arial" w:cs="Arial"/>
              <w:b/>
              <w:bCs/>
              <w:iCs/>
              <w:caps/>
              <w:kern w:val="2"/>
              <w:sz w:val="24"/>
              <w:szCs w:val="24"/>
              <w:lang w:val="es-ES_tradnl" w:eastAsia="es-ES"/>
            </w:rPr>
            <w:t>SECRETARIa:</w:t>
          </w:r>
        </w:p>
        <w:p w14:paraId="40A09336" w14:textId="77777777" w:rsidR="00C51C01" w:rsidRPr="00B814D3"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6137" w:type="dxa"/>
          <w:gridSpan w:val="3"/>
        </w:tcPr>
        <w:p w14:paraId="6B3C4A38" w14:textId="77777777" w:rsidR="00C51C01" w:rsidRPr="00B814D3"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2F82AC0" w14:textId="19BFB3BD" w:rsidR="00DF686C" w:rsidRPr="00B814D3" w:rsidRDefault="00AA16D3"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hAnsi="Arial" w:cs="Arial"/>
              <w:sz w:val="24"/>
              <w:szCs w:val="24"/>
            </w:rPr>
            <w:t>POLICIA VIAL CON NÚMERO ESTADÍSTICO PV-511 Y DIRECCIÓN DE LA POLICÍA VIAL, AUTORIDADES DEL GOBIERNO DEL ESTADO</w:t>
          </w:r>
        </w:p>
        <w:p w14:paraId="058CCA84" w14:textId="77777777" w:rsidR="00DF686C" w:rsidRPr="00B814D3" w:rsidRDefault="00DF686C"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49EFD81A" w14:textId="517FD60B" w:rsidR="00DF686C" w:rsidRDefault="00DF686C"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sidRPr="00B814D3">
            <w:rPr>
              <w:rFonts w:ascii="Arial" w:eastAsia="Times New Roman" w:hAnsi="Arial" w:cs="Arial"/>
              <w:bCs/>
              <w:iCs/>
              <w:caps/>
              <w:kern w:val="2"/>
              <w:sz w:val="24"/>
              <w:szCs w:val="24"/>
              <w:lang w:val="es-ES_tradnl" w:eastAsia="es-ES"/>
            </w:rPr>
            <w:t>lICENCIADA ALEJA</w:t>
          </w:r>
          <w:r w:rsidR="006638E4">
            <w:rPr>
              <w:rFonts w:ascii="Arial" w:eastAsia="Times New Roman" w:hAnsi="Arial" w:cs="Arial"/>
              <w:bCs/>
              <w:iCs/>
              <w:caps/>
              <w:kern w:val="2"/>
              <w:sz w:val="24"/>
              <w:szCs w:val="24"/>
              <w:lang w:val="es-ES_tradnl" w:eastAsia="es-ES"/>
            </w:rPr>
            <w:t>N</w:t>
          </w:r>
          <w:r w:rsidRPr="00B814D3">
            <w:rPr>
              <w:rFonts w:ascii="Arial" w:eastAsia="Times New Roman" w:hAnsi="Arial" w:cs="Arial"/>
              <w:bCs/>
              <w:iCs/>
              <w:caps/>
              <w:kern w:val="2"/>
              <w:sz w:val="24"/>
              <w:szCs w:val="24"/>
              <w:lang w:val="es-ES_tradnl" w:eastAsia="es-ES"/>
            </w:rPr>
            <w:t xml:space="preserve">DRA GEORGINA </w:t>
          </w:r>
          <w:r w:rsidR="00AA16D3">
            <w:rPr>
              <w:rFonts w:ascii="Arial" w:eastAsia="Times New Roman" w:hAnsi="Arial" w:cs="Arial"/>
              <w:bCs/>
              <w:iCs/>
              <w:caps/>
              <w:kern w:val="2"/>
              <w:sz w:val="24"/>
              <w:szCs w:val="24"/>
              <w:lang w:val="es-ES_tradnl" w:eastAsia="es-ES"/>
            </w:rPr>
            <w:t>VILLACAÑA ABASCAL</w:t>
          </w:r>
        </w:p>
        <w:p w14:paraId="66EA207A" w14:textId="77777777" w:rsidR="00AA16D3" w:rsidRPr="00B814D3" w:rsidRDefault="00AA16D3"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1142396A" w14:textId="2659EF64" w:rsidR="00DF686C" w:rsidRPr="00B814D3" w:rsidRDefault="00DF686C"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sidRPr="00B814D3">
            <w:rPr>
              <w:rFonts w:ascii="Arial" w:eastAsia="Times New Roman" w:hAnsi="Arial" w:cs="Arial"/>
              <w:bCs/>
              <w:iCs/>
              <w:caps/>
              <w:kern w:val="2"/>
              <w:sz w:val="24"/>
              <w:szCs w:val="24"/>
              <w:lang w:val="es-ES_tradnl" w:eastAsia="es-ES"/>
            </w:rPr>
            <w:t>lICENCI</w:t>
          </w:r>
          <w:r w:rsidR="00AA16D3">
            <w:rPr>
              <w:rFonts w:ascii="Arial" w:eastAsia="Times New Roman" w:hAnsi="Arial" w:cs="Arial"/>
              <w:bCs/>
              <w:iCs/>
              <w:caps/>
              <w:kern w:val="2"/>
              <w:sz w:val="24"/>
              <w:szCs w:val="24"/>
              <w:lang w:val="es-ES_tradnl" w:eastAsia="es-ES"/>
            </w:rPr>
            <w:t>ADA monserrat garcía altamirano</w:t>
          </w:r>
        </w:p>
      </w:tc>
    </w:tr>
  </w:tbl>
  <w:p w14:paraId="2B2832D3" w14:textId="66B6D3CB" w:rsidR="00C51C01" w:rsidRDefault="00767D7C" w:rsidP="00B814D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5D0A18CB" wp14:editId="1D840EB4">
              <wp:simplePos x="0" y="0"/>
              <wp:positionH relativeFrom="column">
                <wp:posOffset>-1081070</wp:posOffset>
              </wp:positionH>
              <wp:positionV relativeFrom="paragraph">
                <wp:posOffset>2551731</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7661676" w14:textId="77777777" w:rsidR="00767D7C" w:rsidRDefault="00767D7C" w:rsidP="00767D7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0A18CB" id="_x0000_t202" coordsize="21600,21600" o:spt="202" path="m,l,21600r21600,l21600,xe">
              <v:stroke joinstyle="miter"/>
              <v:path gradientshapeok="t" o:connecttype="rect"/>
            </v:shapetype>
            <v:shape id="Cuadro de texto 6" o:spid="_x0000_s1027" type="#_x0000_t202" style="position:absolute;margin-left:-85.1pt;margin-top:200.9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">
              <v:textbox>
                <w:txbxContent>
                  <w:p w14:paraId="67661676" w14:textId="77777777" w:rsidR="00767D7C" w:rsidRDefault="00767D7C" w:rsidP="00767D7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07F00"/>
    <w:rsid w:val="00010B2C"/>
    <w:rsid w:val="000119D6"/>
    <w:rsid w:val="000140AA"/>
    <w:rsid w:val="00015198"/>
    <w:rsid w:val="00017F8D"/>
    <w:rsid w:val="000213B5"/>
    <w:rsid w:val="00022A3D"/>
    <w:rsid w:val="000238BE"/>
    <w:rsid w:val="00025839"/>
    <w:rsid w:val="00032C60"/>
    <w:rsid w:val="000429DB"/>
    <w:rsid w:val="000451DD"/>
    <w:rsid w:val="00045EE2"/>
    <w:rsid w:val="00046574"/>
    <w:rsid w:val="00050022"/>
    <w:rsid w:val="000501BE"/>
    <w:rsid w:val="000510BD"/>
    <w:rsid w:val="00051F13"/>
    <w:rsid w:val="00056B11"/>
    <w:rsid w:val="000607F6"/>
    <w:rsid w:val="00063134"/>
    <w:rsid w:val="00077067"/>
    <w:rsid w:val="000802F9"/>
    <w:rsid w:val="000A0137"/>
    <w:rsid w:val="000A2695"/>
    <w:rsid w:val="000A30AF"/>
    <w:rsid w:val="000A75CF"/>
    <w:rsid w:val="000B09F3"/>
    <w:rsid w:val="000B4F01"/>
    <w:rsid w:val="000B7918"/>
    <w:rsid w:val="000E0F50"/>
    <w:rsid w:val="000E689C"/>
    <w:rsid w:val="000F774F"/>
    <w:rsid w:val="00103A7B"/>
    <w:rsid w:val="001063DF"/>
    <w:rsid w:val="001165E6"/>
    <w:rsid w:val="001217D0"/>
    <w:rsid w:val="00124111"/>
    <w:rsid w:val="0013280F"/>
    <w:rsid w:val="00135490"/>
    <w:rsid w:val="00142F14"/>
    <w:rsid w:val="001510A8"/>
    <w:rsid w:val="00151E8B"/>
    <w:rsid w:val="00155266"/>
    <w:rsid w:val="0016257F"/>
    <w:rsid w:val="00164349"/>
    <w:rsid w:val="00165DB6"/>
    <w:rsid w:val="00172BBF"/>
    <w:rsid w:val="001803E6"/>
    <w:rsid w:val="0018179A"/>
    <w:rsid w:val="00185746"/>
    <w:rsid w:val="00192C35"/>
    <w:rsid w:val="001937A3"/>
    <w:rsid w:val="001A6C41"/>
    <w:rsid w:val="001A74A3"/>
    <w:rsid w:val="001B3873"/>
    <w:rsid w:val="001D19D7"/>
    <w:rsid w:val="001D6088"/>
    <w:rsid w:val="001E0301"/>
    <w:rsid w:val="001E183A"/>
    <w:rsid w:val="001E294D"/>
    <w:rsid w:val="001E382B"/>
    <w:rsid w:val="001E57CA"/>
    <w:rsid w:val="001E5AF1"/>
    <w:rsid w:val="001F321F"/>
    <w:rsid w:val="00202B6A"/>
    <w:rsid w:val="002031AF"/>
    <w:rsid w:val="00205B72"/>
    <w:rsid w:val="002076A8"/>
    <w:rsid w:val="002124A6"/>
    <w:rsid w:val="002146CF"/>
    <w:rsid w:val="00217C56"/>
    <w:rsid w:val="00221F75"/>
    <w:rsid w:val="00231BD5"/>
    <w:rsid w:val="00236FB1"/>
    <w:rsid w:val="002444E2"/>
    <w:rsid w:val="00254463"/>
    <w:rsid w:val="0025463B"/>
    <w:rsid w:val="002743B5"/>
    <w:rsid w:val="0028014E"/>
    <w:rsid w:val="0028019C"/>
    <w:rsid w:val="002801BB"/>
    <w:rsid w:val="00282970"/>
    <w:rsid w:val="00286CA4"/>
    <w:rsid w:val="002901A1"/>
    <w:rsid w:val="00293549"/>
    <w:rsid w:val="0029490C"/>
    <w:rsid w:val="002B3AB9"/>
    <w:rsid w:val="002C2317"/>
    <w:rsid w:val="002C5092"/>
    <w:rsid w:val="002E3E60"/>
    <w:rsid w:val="002F17BE"/>
    <w:rsid w:val="002F771C"/>
    <w:rsid w:val="00302FD0"/>
    <w:rsid w:val="00304279"/>
    <w:rsid w:val="003166ED"/>
    <w:rsid w:val="00320009"/>
    <w:rsid w:val="003202F3"/>
    <w:rsid w:val="00331BD9"/>
    <w:rsid w:val="00336248"/>
    <w:rsid w:val="00352A14"/>
    <w:rsid w:val="00356466"/>
    <w:rsid w:val="00365FBC"/>
    <w:rsid w:val="003858AA"/>
    <w:rsid w:val="003858E2"/>
    <w:rsid w:val="00394B9F"/>
    <w:rsid w:val="0039522E"/>
    <w:rsid w:val="003A0F00"/>
    <w:rsid w:val="003A1408"/>
    <w:rsid w:val="003A51C6"/>
    <w:rsid w:val="003A6BD5"/>
    <w:rsid w:val="003A7580"/>
    <w:rsid w:val="003B6D0C"/>
    <w:rsid w:val="003B71DF"/>
    <w:rsid w:val="003C206A"/>
    <w:rsid w:val="003C3330"/>
    <w:rsid w:val="003C523A"/>
    <w:rsid w:val="003D0754"/>
    <w:rsid w:val="003D4270"/>
    <w:rsid w:val="003E08C9"/>
    <w:rsid w:val="003E196E"/>
    <w:rsid w:val="003E2089"/>
    <w:rsid w:val="003E3732"/>
    <w:rsid w:val="004015FF"/>
    <w:rsid w:val="004040DC"/>
    <w:rsid w:val="00405BA3"/>
    <w:rsid w:val="00406B16"/>
    <w:rsid w:val="0041288B"/>
    <w:rsid w:val="004140E0"/>
    <w:rsid w:val="0041661F"/>
    <w:rsid w:val="00417A3D"/>
    <w:rsid w:val="00437F61"/>
    <w:rsid w:val="0044143A"/>
    <w:rsid w:val="00450F4F"/>
    <w:rsid w:val="00452662"/>
    <w:rsid w:val="004543E0"/>
    <w:rsid w:val="00471A59"/>
    <w:rsid w:val="004762B8"/>
    <w:rsid w:val="00486123"/>
    <w:rsid w:val="004922E9"/>
    <w:rsid w:val="00492764"/>
    <w:rsid w:val="0049671F"/>
    <w:rsid w:val="004A1D58"/>
    <w:rsid w:val="004A2E31"/>
    <w:rsid w:val="004B14AA"/>
    <w:rsid w:val="004C4514"/>
    <w:rsid w:val="004C70FA"/>
    <w:rsid w:val="004D6471"/>
    <w:rsid w:val="004E6731"/>
    <w:rsid w:val="004E6F16"/>
    <w:rsid w:val="004F08B7"/>
    <w:rsid w:val="004F4791"/>
    <w:rsid w:val="004F638E"/>
    <w:rsid w:val="004F765E"/>
    <w:rsid w:val="00511112"/>
    <w:rsid w:val="00516272"/>
    <w:rsid w:val="005168C6"/>
    <w:rsid w:val="0051797B"/>
    <w:rsid w:val="00520EB3"/>
    <w:rsid w:val="00535D60"/>
    <w:rsid w:val="00552029"/>
    <w:rsid w:val="00553581"/>
    <w:rsid w:val="00555E26"/>
    <w:rsid w:val="00556011"/>
    <w:rsid w:val="005666BA"/>
    <w:rsid w:val="00570D25"/>
    <w:rsid w:val="0057251E"/>
    <w:rsid w:val="00573637"/>
    <w:rsid w:val="0058238C"/>
    <w:rsid w:val="005901D1"/>
    <w:rsid w:val="0059292E"/>
    <w:rsid w:val="00592E7A"/>
    <w:rsid w:val="005A1DA5"/>
    <w:rsid w:val="005A5E2C"/>
    <w:rsid w:val="005A5EE2"/>
    <w:rsid w:val="005B19D7"/>
    <w:rsid w:val="005B2297"/>
    <w:rsid w:val="005C37EE"/>
    <w:rsid w:val="005C6E5A"/>
    <w:rsid w:val="005D0E58"/>
    <w:rsid w:val="005D55DB"/>
    <w:rsid w:val="005E230C"/>
    <w:rsid w:val="005F65DB"/>
    <w:rsid w:val="005F6B3F"/>
    <w:rsid w:val="006042A6"/>
    <w:rsid w:val="00612DF2"/>
    <w:rsid w:val="00612E24"/>
    <w:rsid w:val="0061798C"/>
    <w:rsid w:val="00627D54"/>
    <w:rsid w:val="00651996"/>
    <w:rsid w:val="00652F4A"/>
    <w:rsid w:val="00654C1F"/>
    <w:rsid w:val="006564E8"/>
    <w:rsid w:val="006604AA"/>
    <w:rsid w:val="00661008"/>
    <w:rsid w:val="006638E4"/>
    <w:rsid w:val="00663E51"/>
    <w:rsid w:val="00674B21"/>
    <w:rsid w:val="006852B3"/>
    <w:rsid w:val="00687B74"/>
    <w:rsid w:val="006927B6"/>
    <w:rsid w:val="0069365D"/>
    <w:rsid w:val="00697EA8"/>
    <w:rsid w:val="006B4AA5"/>
    <w:rsid w:val="006B5B01"/>
    <w:rsid w:val="006B6223"/>
    <w:rsid w:val="006B6C7A"/>
    <w:rsid w:val="006C24F2"/>
    <w:rsid w:val="006C7765"/>
    <w:rsid w:val="006D1746"/>
    <w:rsid w:val="006D1D26"/>
    <w:rsid w:val="006E1187"/>
    <w:rsid w:val="006E34BD"/>
    <w:rsid w:val="006E45AE"/>
    <w:rsid w:val="006F122D"/>
    <w:rsid w:val="00700293"/>
    <w:rsid w:val="00710383"/>
    <w:rsid w:val="007220A8"/>
    <w:rsid w:val="00727885"/>
    <w:rsid w:val="00730000"/>
    <w:rsid w:val="007329EE"/>
    <w:rsid w:val="00734CC5"/>
    <w:rsid w:val="00736E29"/>
    <w:rsid w:val="00744C47"/>
    <w:rsid w:val="00744DC5"/>
    <w:rsid w:val="00746A4B"/>
    <w:rsid w:val="007529A5"/>
    <w:rsid w:val="00755D73"/>
    <w:rsid w:val="007664FA"/>
    <w:rsid w:val="00767D7C"/>
    <w:rsid w:val="007803ED"/>
    <w:rsid w:val="00781F5F"/>
    <w:rsid w:val="00786C82"/>
    <w:rsid w:val="0079562B"/>
    <w:rsid w:val="007A4BC5"/>
    <w:rsid w:val="007A749A"/>
    <w:rsid w:val="007B0078"/>
    <w:rsid w:val="007C2537"/>
    <w:rsid w:val="007C25A4"/>
    <w:rsid w:val="007C3561"/>
    <w:rsid w:val="007C46C2"/>
    <w:rsid w:val="007D00DF"/>
    <w:rsid w:val="007D2C57"/>
    <w:rsid w:val="007D6B2B"/>
    <w:rsid w:val="007E73B7"/>
    <w:rsid w:val="007F393B"/>
    <w:rsid w:val="00823C0A"/>
    <w:rsid w:val="00823D7B"/>
    <w:rsid w:val="008442E1"/>
    <w:rsid w:val="00845625"/>
    <w:rsid w:val="00847815"/>
    <w:rsid w:val="00852518"/>
    <w:rsid w:val="0085345F"/>
    <w:rsid w:val="00855E38"/>
    <w:rsid w:val="0086057A"/>
    <w:rsid w:val="00865C92"/>
    <w:rsid w:val="00873728"/>
    <w:rsid w:val="00876B4A"/>
    <w:rsid w:val="0089415A"/>
    <w:rsid w:val="008A1649"/>
    <w:rsid w:val="008B2C1F"/>
    <w:rsid w:val="008B37A9"/>
    <w:rsid w:val="008B392C"/>
    <w:rsid w:val="008B423A"/>
    <w:rsid w:val="008B6E8B"/>
    <w:rsid w:val="008C19CD"/>
    <w:rsid w:val="008C65DF"/>
    <w:rsid w:val="008D005F"/>
    <w:rsid w:val="008D68FE"/>
    <w:rsid w:val="008E3EE2"/>
    <w:rsid w:val="008F03AE"/>
    <w:rsid w:val="00900625"/>
    <w:rsid w:val="00906E1E"/>
    <w:rsid w:val="00907B40"/>
    <w:rsid w:val="009218C6"/>
    <w:rsid w:val="00921E17"/>
    <w:rsid w:val="00922AF1"/>
    <w:rsid w:val="00931791"/>
    <w:rsid w:val="0093464F"/>
    <w:rsid w:val="00954574"/>
    <w:rsid w:val="00956CE7"/>
    <w:rsid w:val="009622B2"/>
    <w:rsid w:val="0096500F"/>
    <w:rsid w:val="00967B8C"/>
    <w:rsid w:val="00972EA7"/>
    <w:rsid w:val="00983E3B"/>
    <w:rsid w:val="00985798"/>
    <w:rsid w:val="00986503"/>
    <w:rsid w:val="009945C3"/>
    <w:rsid w:val="0099509F"/>
    <w:rsid w:val="009954D2"/>
    <w:rsid w:val="00996106"/>
    <w:rsid w:val="009974B4"/>
    <w:rsid w:val="009A24E4"/>
    <w:rsid w:val="009B2F59"/>
    <w:rsid w:val="009B3276"/>
    <w:rsid w:val="009C25F3"/>
    <w:rsid w:val="009C2D10"/>
    <w:rsid w:val="009C2F56"/>
    <w:rsid w:val="009C3C6E"/>
    <w:rsid w:val="009C4DCA"/>
    <w:rsid w:val="009E0C32"/>
    <w:rsid w:val="009E14D7"/>
    <w:rsid w:val="009E1DCB"/>
    <w:rsid w:val="009E221D"/>
    <w:rsid w:val="009E4536"/>
    <w:rsid w:val="009E5A07"/>
    <w:rsid w:val="009F251B"/>
    <w:rsid w:val="009F2B34"/>
    <w:rsid w:val="009F533D"/>
    <w:rsid w:val="00A00189"/>
    <w:rsid w:val="00A04743"/>
    <w:rsid w:val="00A121D1"/>
    <w:rsid w:val="00A12548"/>
    <w:rsid w:val="00A15315"/>
    <w:rsid w:val="00A21E57"/>
    <w:rsid w:val="00A23E01"/>
    <w:rsid w:val="00A30B39"/>
    <w:rsid w:val="00A34600"/>
    <w:rsid w:val="00A34992"/>
    <w:rsid w:val="00A34F6D"/>
    <w:rsid w:val="00A42B87"/>
    <w:rsid w:val="00A44221"/>
    <w:rsid w:val="00A44C10"/>
    <w:rsid w:val="00A503A2"/>
    <w:rsid w:val="00A54AEA"/>
    <w:rsid w:val="00A5591B"/>
    <w:rsid w:val="00A623D8"/>
    <w:rsid w:val="00A62F50"/>
    <w:rsid w:val="00A72008"/>
    <w:rsid w:val="00A72894"/>
    <w:rsid w:val="00A7360A"/>
    <w:rsid w:val="00A76356"/>
    <w:rsid w:val="00A808D6"/>
    <w:rsid w:val="00A8536C"/>
    <w:rsid w:val="00A87BE9"/>
    <w:rsid w:val="00A90B4A"/>
    <w:rsid w:val="00AA16D3"/>
    <w:rsid w:val="00AA467A"/>
    <w:rsid w:val="00AB1E25"/>
    <w:rsid w:val="00AB377E"/>
    <w:rsid w:val="00AB4447"/>
    <w:rsid w:val="00AB639F"/>
    <w:rsid w:val="00AB6D04"/>
    <w:rsid w:val="00AD4CAA"/>
    <w:rsid w:val="00AD6B65"/>
    <w:rsid w:val="00B056F5"/>
    <w:rsid w:val="00B11B87"/>
    <w:rsid w:val="00B204DD"/>
    <w:rsid w:val="00B36B7F"/>
    <w:rsid w:val="00B3705C"/>
    <w:rsid w:val="00B37299"/>
    <w:rsid w:val="00B42A87"/>
    <w:rsid w:val="00B45A99"/>
    <w:rsid w:val="00B55A86"/>
    <w:rsid w:val="00B639AD"/>
    <w:rsid w:val="00B64F2B"/>
    <w:rsid w:val="00B70FC2"/>
    <w:rsid w:val="00B774E6"/>
    <w:rsid w:val="00B814D3"/>
    <w:rsid w:val="00B84530"/>
    <w:rsid w:val="00B94A85"/>
    <w:rsid w:val="00BA387B"/>
    <w:rsid w:val="00BB7783"/>
    <w:rsid w:val="00BC06CE"/>
    <w:rsid w:val="00BD15F4"/>
    <w:rsid w:val="00BD4021"/>
    <w:rsid w:val="00BD4ABC"/>
    <w:rsid w:val="00BD5990"/>
    <w:rsid w:val="00BF5042"/>
    <w:rsid w:val="00BF57C2"/>
    <w:rsid w:val="00C00BE5"/>
    <w:rsid w:val="00C02416"/>
    <w:rsid w:val="00C02D7E"/>
    <w:rsid w:val="00C068C1"/>
    <w:rsid w:val="00C16941"/>
    <w:rsid w:val="00C20E51"/>
    <w:rsid w:val="00C24CA7"/>
    <w:rsid w:val="00C268C2"/>
    <w:rsid w:val="00C31DA0"/>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5528"/>
    <w:rsid w:val="00CB17A6"/>
    <w:rsid w:val="00CB2036"/>
    <w:rsid w:val="00CB4FCF"/>
    <w:rsid w:val="00CC7332"/>
    <w:rsid w:val="00CD2153"/>
    <w:rsid w:val="00CD21F3"/>
    <w:rsid w:val="00CD4E04"/>
    <w:rsid w:val="00CF5069"/>
    <w:rsid w:val="00CF5C60"/>
    <w:rsid w:val="00CF6C9A"/>
    <w:rsid w:val="00D00256"/>
    <w:rsid w:val="00D01C42"/>
    <w:rsid w:val="00D04FE1"/>
    <w:rsid w:val="00D15C8C"/>
    <w:rsid w:val="00D164F6"/>
    <w:rsid w:val="00D1699D"/>
    <w:rsid w:val="00D26F06"/>
    <w:rsid w:val="00D33B1F"/>
    <w:rsid w:val="00D33FB8"/>
    <w:rsid w:val="00D3777D"/>
    <w:rsid w:val="00D5077E"/>
    <w:rsid w:val="00D60711"/>
    <w:rsid w:val="00D64D7D"/>
    <w:rsid w:val="00D678FC"/>
    <w:rsid w:val="00D861F0"/>
    <w:rsid w:val="00D9348D"/>
    <w:rsid w:val="00D96257"/>
    <w:rsid w:val="00DA11A5"/>
    <w:rsid w:val="00DB2C1E"/>
    <w:rsid w:val="00DB46DA"/>
    <w:rsid w:val="00DC1873"/>
    <w:rsid w:val="00DC38B8"/>
    <w:rsid w:val="00DC4876"/>
    <w:rsid w:val="00DC6B8F"/>
    <w:rsid w:val="00DD2C32"/>
    <w:rsid w:val="00DE1928"/>
    <w:rsid w:val="00DE5543"/>
    <w:rsid w:val="00DF4880"/>
    <w:rsid w:val="00DF686C"/>
    <w:rsid w:val="00E076BB"/>
    <w:rsid w:val="00E12707"/>
    <w:rsid w:val="00E16427"/>
    <w:rsid w:val="00E3495D"/>
    <w:rsid w:val="00E4007C"/>
    <w:rsid w:val="00E4496F"/>
    <w:rsid w:val="00E47EEB"/>
    <w:rsid w:val="00E5391E"/>
    <w:rsid w:val="00E54166"/>
    <w:rsid w:val="00E66467"/>
    <w:rsid w:val="00E667D8"/>
    <w:rsid w:val="00E720B2"/>
    <w:rsid w:val="00E73EB2"/>
    <w:rsid w:val="00E77281"/>
    <w:rsid w:val="00E87191"/>
    <w:rsid w:val="00E87359"/>
    <w:rsid w:val="00EA7FB3"/>
    <w:rsid w:val="00EB234F"/>
    <w:rsid w:val="00EB48B4"/>
    <w:rsid w:val="00EC2630"/>
    <w:rsid w:val="00EE0507"/>
    <w:rsid w:val="00EE220A"/>
    <w:rsid w:val="00EE329C"/>
    <w:rsid w:val="00EE5DF0"/>
    <w:rsid w:val="00EF0A3A"/>
    <w:rsid w:val="00EF1670"/>
    <w:rsid w:val="00EF4FF0"/>
    <w:rsid w:val="00F024DF"/>
    <w:rsid w:val="00F157AF"/>
    <w:rsid w:val="00F1640B"/>
    <w:rsid w:val="00F16BBC"/>
    <w:rsid w:val="00F16DA3"/>
    <w:rsid w:val="00F359EC"/>
    <w:rsid w:val="00F46AB8"/>
    <w:rsid w:val="00F500C3"/>
    <w:rsid w:val="00F517A5"/>
    <w:rsid w:val="00F54DF3"/>
    <w:rsid w:val="00F56D77"/>
    <w:rsid w:val="00F61833"/>
    <w:rsid w:val="00F71DEC"/>
    <w:rsid w:val="00F82CC5"/>
    <w:rsid w:val="00FA1432"/>
    <w:rsid w:val="00FA583E"/>
    <w:rsid w:val="00FA5F9A"/>
    <w:rsid w:val="00FB41A7"/>
    <w:rsid w:val="00FB6D07"/>
    <w:rsid w:val="00FC3A41"/>
    <w:rsid w:val="00FD084C"/>
    <w:rsid w:val="00FD7317"/>
    <w:rsid w:val="00FE05D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A9C5333"/>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939601008">
      <w:bodyDiv w:val="1"/>
      <w:marLeft w:val="0"/>
      <w:marRight w:val="0"/>
      <w:marTop w:val="0"/>
      <w:marBottom w:val="0"/>
      <w:divBdr>
        <w:top w:val="none" w:sz="0" w:space="0" w:color="auto"/>
        <w:left w:val="none" w:sz="0" w:space="0" w:color="auto"/>
        <w:bottom w:val="none" w:sz="0" w:space="0" w:color="auto"/>
        <w:right w:val="none" w:sz="0" w:space="0" w:color="auto"/>
      </w:divBdr>
    </w:div>
    <w:div w:id="1015808381">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EB820-B2B6-4DD7-BC44-D2977FD6E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1831</TotalTime>
  <Pages>5</Pages>
  <Words>2251</Words>
  <Characters>12384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410</cp:revision>
  <cp:lastPrinted>2022-06-21T14:43:00Z</cp:lastPrinted>
  <dcterms:created xsi:type="dcterms:W3CDTF">2018-05-14T18:33:00Z</dcterms:created>
  <dcterms:modified xsi:type="dcterms:W3CDTF">2022-06-21T14:44:00Z</dcterms:modified>
</cp:coreProperties>
</file>