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7C7A1C">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 xml:space="preserve">PRIMERA SALA UNITARIA DE PRIMERA INSTANCIA DEL TRIBUNAL DE JUSTICIA ADMINISTRATIVA DEL ESTADO DE </w:t>
      </w:r>
      <w:bookmarkStart w:id="0" w:name="_GoBack"/>
      <w:bookmarkEnd w:id="0"/>
      <w:r w:rsidRPr="00512412">
        <w:rPr>
          <w:rFonts w:ascii="Arial" w:eastAsia="Times New Roman" w:hAnsi="Arial" w:cs="Arial"/>
          <w:b/>
          <w:bCs/>
          <w:color w:val="000000"/>
          <w:spacing w:val="15"/>
          <w:sz w:val="24"/>
          <w:szCs w:val="24"/>
          <w:lang w:eastAsia="en-US"/>
        </w:rPr>
        <w:t>OAXACA.</w:t>
      </w:r>
    </w:p>
    <w:p w14:paraId="0F3D2D5C" w14:textId="77777777" w:rsidR="007C7A1C" w:rsidRPr="00512412" w:rsidRDefault="007C7A1C" w:rsidP="007C7A1C">
      <w:pPr>
        <w:tabs>
          <w:tab w:val="left" w:pos="6480"/>
        </w:tabs>
        <w:spacing w:after="160" w:line="360" w:lineRule="auto"/>
        <w:jc w:val="right"/>
        <w:rPr>
          <w:rFonts w:ascii="Calibri" w:eastAsia="Calibri" w:hAnsi="Calibri" w:cs="Times New Roman"/>
          <w:sz w:val="24"/>
          <w:szCs w:val="24"/>
          <w:lang w:eastAsia="en-US"/>
        </w:rPr>
      </w:pPr>
    </w:p>
    <w:p w14:paraId="3901E82E" w14:textId="663ED9F4" w:rsidR="007C7A1C" w:rsidRPr="00512412" w:rsidRDefault="007C7A1C" w:rsidP="007C7A1C">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Pr>
          <w:rFonts w:ascii="Arial" w:eastAsia="Calibri" w:hAnsi="Arial" w:cs="Arial"/>
          <w:b/>
          <w:bCs/>
          <w:sz w:val="24"/>
          <w:szCs w:val="24"/>
          <w:lang w:eastAsia="en-US"/>
        </w:rPr>
        <w:t>24</w:t>
      </w:r>
      <w:r w:rsidRPr="00512412">
        <w:rPr>
          <w:rFonts w:ascii="Arial" w:eastAsia="Calibri" w:hAnsi="Arial" w:cs="Arial"/>
          <w:b/>
          <w:bCs/>
          <w:sz w:val="24"/>
          <w:szCs w:val="24"/>
          <w:lang w:eastAsia="en-US"/>
        </w:rPr>
        <w:t xml:space="preserve"> de octubre 2022.</w:t>
      </w:r>
    </w:p>
    <w:p w14:paraId="19350AAC" w14:textId="77777777" w:rsidR="007C7A1C" w:rsidRPr="00512412" w:rsidRDefault="007C7A1C" w:rsidP="00773EE8">
      <w:pPr>
        <w:pStyle w:val="Sinespaciado"/>
        <w:rPr>
          <w:rFonts w:eastAsia="Calibri"/>
          <w:lang w:eastAsia="en-US"/>
        </w:rPr>
      </w:pPr>
    </w:p>
    <w:p w14:paraId="22E739C9" w14:textId="77777777" w:rsidR="007C7A1C" w:rsidRPr="00512412" w:rsidRDefault="007C7A1C" w:rsidP="007C7A1C">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4ECB8A94" w:rsidR="007C7A1C" w:rsidRDefault="007C7A1C" w:rsidP="007C7A1C">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Pr>
          <w:rFonts w:ascii="Arial" w:hAnsi="Arial" w:cs="Arial"/>
          <w:b/>
          <w:sz w:val="24"/>
          <w:szCs w:val="24"/>
        </w:rPr>
        <w:t>0084</w:t>
      </w:r>
      <w:r w:rsidRPr="00512412">
        <w:rPr>
          <w:rFonts w:ascii="Arial" w:hAnsi="Arial" w:cs="Arial"/>
          <w:b/>
          <w:sz w:val="24"/>
          <w:szCs w:val="24"/>
        </w:rPr>
        <w:t>/20</w:t>
      </w:r>
      <w:r>
        <w:rPr>
          <w:rFonts w:ascii="Arial" w:hAnsi="Arial" w:cs="Arial"/>
          <w:b/>
          <w:sz w:val="24"/>
          <w:szCs w:val="24"/>
        </w:rPr>
        <w:t>19</w:t>
      </w:r>
      <w:r w:rsidRPr="00512412">
        <w:rPr>
          <w:rFonts w:ascii="Arial" w:hAnsi="Arial" w:cs="Arial"/>
          <w:sz w:val="24"/>
          <w:szCs w:val="24"/>
        </w:rPr>
        <w:t>, promovido por</w:t>
      </w:r>
      <w:r w:rsidRPr="00512412">
        <w:rPr>
          <w:rFonts w:ascii="Arial" w:hAnsi="Arial" w:cs="Arial"/>
          <w:b/>
          <w:sz w:val="24"/>
          <w:szCs w:val="24"/>
        </w:rPr>
        <w:t xml:space="preserve"> </w:t>
      </w:r>
      <w:r w:rsidR="00A503B3">
        <w:rPr>
          <w:rFonts w:ascii="Arial" w:hAnsi="Arial" w:cs="Arial"/>
          <w:b/>
          <w:sz w:val="24"/>
          <w:szCs w:val="24"/>
        </w:rPr>
        <w:t>**********</w:t>
      </w:r>
      <w:r w:rsidRPr="00512412">
        <w:rPr>
          <w:rFonts w:ascii="Arial" w:hAnsi="Arial" w:cs="Arial"/>
          <w:sz w:val="24"/>
          <w:szCs w:val="24"/>
        </w:rPr>
        <w:t xml:space="preserve">, en contra del </w:t>
      </w:r>
      <w:r w:rsidR="003A730F">
        <w:rPr>
          <w:rFonts w:ascii="Arial" w:hAnsi="Arial" w:cs="Arial"/>
          <w:b/>
          <w:bCs/>
          <w:sz w:val="24"/>
          <w:szCs w:val="24"/>
        </w:rPr>
        <w:t>SUBDIRECTOR GENERAL DE SERVICIOS EDUCATIVOS DEPENDIENTE DEL INSTITUTO ESTATAL DE EDUCACIÓN PÚBLICA DE OAXACA</w:t>
      </w:r>
      <w:r w:rsidRPr="00512412">
        <w:rPr>
          <w:rFonts w:ascii="Arial" w:hAnsi="Arial" w:cs="Arial"/>
          <w:b/>
          <w:sz w:val="24"/>
          <w:szCs w:val="24"/>
        </w:rPr>
        <w:t xml:space="preserve">. </w:t>
      </w:r>
    </w:p>
    <w:p w14:paraId="475056CC" w14:textId="77777777" w:rsidR="003A730F" w:rsidRDefault="003A730F" w:rsidP="007C7A1C">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3A730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081FAE7F" w:rsidR="003A730F" w:rsidRPr="00512412"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513C70">
        <w:rPr>
          <w:rFonts w:ascii="Arial" w:eastAsia="Calibri" w:hAnsi="Arial" w:cs="Arial"/>
          <w:sz w:val="24"/>
          <w:szCs w:val="24"/>
          <w:lang w:eastAsia="en-US"/>
        </w:rPr>
        <w:t xml:space="preserve">veintiséis de agosto </w:t>
      </w:r>
      <w:r>
        <w:rPr>
          <w:rFonts w:ascii="Arial" w:eastAsia="Calibri" w:hAnsi="Arial" w:cs="Arial"/>
          <w:sz w:val="24"/>
          <w:szCs w:val="24"/>
          <w:lang w:eastAsia="en-US"/>
        </w:rPr>
        <w:t>de dos mil diecinueve</w:t>
      </w:r>
      <w:r w:rsidR="00513C70">
        <w:rPr>
          <w:rFonts w:ascii="Arial" w:eastAsia="Calibri" w:hAnsi="Arial" w:cs="Arial"/>
          <w:sz w:val="24"/>
          <w:szCs w:val="24"/>
          <w:lang w:eastAsia="en-US"/>
        </w:rPr>
        <w:t xml:space="preserve">, </w:t>
      </w:r>
      <w:r w:rsidR="00271F98">
        <w:rPr>
          <w:rFonts w:ascii="Arial" w:eastAsia="Calibri" w:hAnsi="Arial" w:cs="Arial"/>
          <w:sz w:val="24"/>
          <w:szCs w:val="24"/>
          <w:lang w:eastAsia="en-US"/>
        </w:rPr>
        <w:t>**********</w:t>
      </w:r>
      <w:r>
        <w:rPr>
          <w:rFonts w:ascii="Arial" w:eastAsia="Calibri" w:hAnsi="Arial" w:cs="Arial"/>
          <w:sz w:val="24"/>
          <w:szCs w:val="24"/>
          <w:lang w:eastAsia="en-US"/>
        </w:rPr>
        <w:t xml:space="preserve">, demandó </w:t>
      </w:r>
      <w:r w:rsidRPr="006E6EB1">
        <w:rPr>
          <w:rFonts w:ascii="Arial" w:eastAsia="Calibri" w:hAnsi="Arial" w:cs="Arial"/>
          <w:sz w:val="24"/>
          <w:szCs w:val="24"/>
          <w:lang w:eastAsia="en-US"/>
        </w:rPr>
        <w:t>la nulidad de</w:t>
      </w:r>
      <w:r w:rsidR="00513C70">
        <w:rPr>
          <w:rFonts w:ascii="Arial" w:eastAsia="Calibri" w:hAnsi="Arial" w:cs="Arial"/>
          <w:sz w:val="24"/>
          <w:szCs w:val="24"/>
          <w:lang w:eastAsia="en-US"/>
        </w:rPr>
        <w:t xml:space="preserve"> la resolución con número de oficio SGSE/651/2019 de fecha once de julio de dos mil diecinueve</w:t>
      </w:r>
      <w:r w:rsidRPr="006E6EB1">
        <w:rPr>
          <w:rFonts w:ascii="Arial" w:eastAsia="Calibri" w:hAnsi="Arial" w:cs="Arial"/>
          <w:sz w:val="24"/>
          <w:szCs w:val="24"/>
          <w:lang w:eastAsia="en-US"/>
        </w:rPr>
        <w:t xml:space="preserve"> </w:t>
      </w:r>
      <w:r w:rsidR="00513C70">
        <w:rPr>
          <w:rFonts w:ascii="Arial" w:eastAsia="Calibri" w:hAnsi="Arial" w:cs="Arial"/>
          <w:sz w:val="24"/>
          <w:szCs w:val="24"/>
          <w:lang w:eastAsia="en-US"/>
        </w:rPr>
        <w:t xml:space="preserve">emitida por el </w:t>
      </w:r>
      <w:r w:rsidR="00513C70" w:rsidRPr="00513C70">
        <w:rPr>
          <w:rFonts w:ascii="Arial" w:eastAsia="Calibri" w:hAnsi="Arial" w:cs="Arial"/>
          <w:sz w:val="24"/>
          <w:szCs w:val="24"/>
          <w:lang w:eastAsia="en-US"/>
        </w:rPr>
        <w:t xml:space="preserve">Subdirector General </w:t>
      </w:r>
      <w:r w:rsidR="00513C70">
        <w:rPr>
          <w:rFonts w:ascii="Arial" w:eastAsia="Calibri" w:hAnsi="Arial" w:cs="Arial"/>
          <w:sz w:val="24"/>
          <w:szCs w:val="24"/>
          <w:lang w:eastAsia="en-US"/>
        </w:rPr>
        <w:t>d</w:t>
      </w:r>
      <w:r w:rsidR="00513C70" w:rsidRPr="00513C70">
        <w:rPr>
          <w:rFonts w:ascii="Arial" w:eastAsia="Calibri" w:hAnsi="Arial" w:cs="Arial"/>
          <w:sz w:val="24"/>
          <w:szCs w:val="24"/>
          <w:lang w:eastAsia="en-US"/>
        </w:rPr>
        <w:t xml:space="preserve">e Servicios Educativos </w:t>
      </w:r>
      <w:r w:rsidR="00513C70">
        <w:rPr>
          <w:rFonts w:ascii="Arial" w:eastAsia="Calibri" w:hAnsi="Arial" w:cs="Arial"/>
          <w:sz w:val="24"/>
          <w:szCs w:val="24"/>
          <w:lang w:eastAsia="en-US"/>
        </w:rPr>
        <w:t>d</w:t>
      </w:r>
      <w:r w:rsidR="00513C70" w:rsidRPr="00513C70">
        <w:rPr>
          <w:rFonts w:ascii="Arial" w:eastAsia="Calibri" w:hAnsi="Arial" w:cs="Arial"/>
          <w:sz w:val="24"/>
          <w:szCs w:val="24"/>
          <w:lang w:eastAsia="en-US"/>
        </w:rPr>
        <w:t xml:space="preserve">el Instituto Estatal </w:t>
      </w:r>
      <w:r w:rsidR="00513C70">
        <w:rPr>
          <w:rFonts w:ascii="Arial" w:eastAsia="Calibri" w:hAnsi="Arial" w:cs="Arial"/>
          <w:sz w:val="24"/>
          <w:szCs w:val="24"/>
          <w:lang w:eastAsia="en-US"/>
        </w:rPr>
        <w:t>d</w:t>
      </w:r>
      <w:r w:rsidR="00513C70" w:rsidRPr="00513C70">
        <w:rPr>
          <w:rFonts w:ascii="Arial" w:eastAsia="Calibri" w:hAnsi="Arial" w:cs="Arial"/>
          <w:sz w:val="24"/>
          <w:szCs w:val="24"/>
          <w:lang w:eastAsia="en-US"/>
        </w:rPr>
        <w:t xml:space="preserve">e Educación Pública </w:t>
      </w:r>
      <w:r w:rsidR="00513C70">
        <w:rPr>
          <w:rFonts w:ascii="Arial" w:eastAsia="Calibri" w:hAnsi="Arial" w:cs="Arial"/>
          <w:sz w:val="24"/>
          <w:szCs w:val="24"/>
          <w:lang w:eastAsia="en-US"/>
        </w:rPr>
        <w:t>de</w:t>
      </w:r>
      <w:r w:rsidR="00513C70" w:rsidRPr="00513C70">
        <w:rPr>
          <w:rFonts w:ascii="Arial" w:eastAsia="Calibri" w:hAnsi="Arial" w:cs="Arial"/>
          <w:sz w:val="24"/>
          <w:szCs w:val="24"/>
          <w:lang w:eastAsia="en-US"/>
        </w:rPr>
        <w:t xml:space="preserve"> Oaxaca</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3FD36F2F"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513C70">
        <w:rPr>
          <w:rFonts w:ascii="Arial" w:eastAsia="Calibri" w:hAnsi="Arial" w:cs="Arial"/>
          <w:sz w:val="24"/>
          <w:szCs w:val="24"/>
          <w:lang w:eastAsia="en-US"/>
        </w:rPr>
        <w:t>quince de diciembre de dos mil veinte y derivado de la resolución al recurso de revisión 0317/2019 emitida por la Sala Superior del Tribunal de Justicia Administrativa del Estado de Oaxaca</w:t>
      </w:r>
      <w:r w:rsidRPr="00512412">
        <w:rPr>
          <w:rFonts w:ascii="Arial" w:eastAsia="Calibri" w:hAnsi="Arial" w:cs="Arial"/>
          <w:sz w:val="24"/>
          <w:szCs w:val="24"/>
          <w:lang w:eastAsia="en-US"/>
        </w:rPr>
        <w:t>, se admitió a trámite  la demanda en comentó, ordenándose  correr traslado a la autorida</w:t>
      </w:r>
      <w:r w:rsidR="00513C70">
        <w:rPr>
          <w:rFonts w:ascii="Arial" w:eastAsia="Calibri" w:hAnsi="Arial" w:cs="Arial"/>
          <w:sz w:val="24"/>
          <w:szCs w:val="24"/>
          <w:lang w:eastAsia="en-US"/>
        </w:rPr>
        <w:t>d</w:t>
      </w:r>
      <w:r w:rsidRPr="00512412">
        <w:rPr>
          <w:rFonts w:ascii="Arial" w:eastAsia="Calibri" w:hAnsi="Arial" w:cs="Arial"/>
          <w:sz w:val="24"/>
          <w:szCs w:val="24"/>
          <w:lang w:eastAsia="en-US"/>
        </w:rPr>
        <w:t xml:space="preserve"> enjuiciada para que diera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 en otro aspecto y de las pruebas ofrecidas se  tuvieron por admitidas las señaladas en el acuerdo mencionado.</w:t>
      </w:r>
    </w:p>
    <w:p w14:paraId="6B6BCA49" w14:textId="0D7C71F7"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513C70">
        <w:rPr>
          <w:rFonts w:ascii="Arial" w:eastAsia="Calibri" w:hAnsi="Arial" w:cs="Arial"/>
          <w:sz w:val="24"/>
          <w:szCs w:val="24"/>
          <w:lang w:eastAsia="en-US"/>
        </w:rPr>
        <w:t>treinta de abril de dos mil veintiuno</w:t>
      </w:r>
      <w:r w:rsidRPr="00512412">
        <w:rPr>
          <w:rFonts w:ascii="Arial" w:eastAsia="Calibri" w:hAnsi="Arial" w:cs="Arial"/>
          <w:sz w:val="24"/>
          <w:szCs w:val="24"/>
          <w:lang w:eastAsia="en-US"/>
        </w:rPr>
        <w:t xml:space="preserve"> se tuvo </w:t>
      </w:r>
      <w:r w:rsidRPr="00171708">
        <w:rPr>
          <w:rFonts w:ascii="Arial" w:eastAsia="Calibri" w:hAnsi="Arial" w:cs="Arial"/>
          <w:sz w:val="24"/>
          <w:szCs w:val="24"/>
          <w:lang w:eastAsia="en-US"/>
        </w:rPr>
        <w:t>a</w:t>
      </w:r>
      <w:r w:rsidR="00513C70">
        <w:rPr>
          <w:rFonts w:ascii="Arial" w:eastAsia="Calibri" w:hAnsi="Arial" w:cs="Arial"/>
          <w:sz w:val="24"/>
          <w:szCs w:val="24"/>
          <w:lang w:eastAsia="en-US"/>
        </w:rPr>
        <w:t xml:space="preserve">l </w:t>
      </w:r>
      <w:r w:rsidR="00513C70" w:rsidRPr="00513C70">
        <w:rPr>
          <w:rFonts w:ascii="Arial" w:eastAsia="Calibri" w:hAnsi="Arial" w:cs="Arial"/>
          <w:sz w:val="24"/>
          <w:szCs w:val="24"/>
          <w:lang w:eastAsia="en-US"/>
        </w:rPr>
        <w:t xml:space="preserve">Subdirector General </w:t>
      </w:r>
      <w:r w:rsidR="00513C70">
        <w:rPr>
          <w:rFonts w:ascii="Arial" w:eastAsia="Calibri" w:hAnsi="Arial" w:cs="Arial"/>
          <w:sz w:val="24"/>
          <w:szCs w:val="24"/>
          <w:lang w:eastAsia="en-US"/>
        </w:rPr>
        <w:t>d</w:t>
      </w:r>
      <w:r w:rsidR="00513C70" w:rsidRPr="00513C70">
        <w:rPr>
          <w:rFonts w:ascii="Arial" w:eastAsia="Calibri" w:hAnsi="Arial" w:cs="Arial"/>
          <w:sz w:val="24"/>
          <w:szCs w:val="24"/>
          <w:lang w:eastAsia="en-US"/>
        </w:rPr>
        <w:t xml:space="preserve">e Servicios Educativos </w:t>
      </w:r>
      <w:r w:rsidR="00513C70">
        <w:rPr>
          <w:rFonts w:ascii="Arial" w:eastAsia="Calibri" w:hAnsi="Arial" w:cs="Arial"/>
          <w:sz w:val="24"/>
          <w:szCs w:val="24"/>
          <w:lang w:eastAsia="en-US"/>
        </w:rPr>
        <w:t>d</w:t>
      </w:r>
      <w:r w:rsidR="00513C70" w:rsidRPr="00513C70">
        <w:rPr>
          <w:rFonts w:ascii="Arial" w:eastAsia="Calibri" w:hAnsi="Arial" w:cs="Arial"/>
          <w:sz w:val="24"/>
          <w:szCs w:val="24"/>
          <w:lang w:eastAsia="en-US"/>
        </w:rPr>
        <w:t xml:space="preserve">el Instituto Estatal </w:t>
      </w:r>
      <w:r w:rsidR="00513C70">
        <w:rPr>
          <w:rFonts w:ascii="Arial" w:eastAsia="Calibri" w:hAnsi="Arial" w:cs="Arial"/>
          <w:sz w:val="24"/>
          <w:szCs w:val="24"/>
          <w:lang w:eastAsia="en-US"/>
        </w:rPr>
        <w:t>d</w:t>
      </w:r>
      <w:r w:rsidR="00513C70" w:rsidRPr="00513C70">
        <w:rPr>
          <w:rFonts w:ascii="Arial" w:eastAsia="Calibri" w:hAnsi="Arial" w:cs="Arial"/>
          <w:sz w:val="24"/>
          <w:szCs w:val="24"/>
          <w:lang w:eastAsia="en-US"/>
        </w:rPr>
        <w:t xml:space="preserve">e Educación Pública </w:t>
      </w:r>
      <w:r w:rsidR="00513C70">
        <w:rPr>
          <w:rFonts w:ascii="Arial" w:eastAsia="Calibri" w:hAnsi="Arial" w:cs="Arial"/>
          <w:sz w:val="24"/>
          <w:szCs w:val="24"/>
          <w:lang w:eastAsia="en-US"/>
        </w:rPr>
        <w:t>de</w:t>
      </w:r>
      <w:r w:rsidR="00513C70" w:rsidRPr="00513C70">
        <w:rPr>
          <w:rFonts w:ascii="Arial" w:eastAsia="Calibri" w:hAnsi="Arial" w:cs="Arial"/>
          <w:sz w:val="24"/>
          <w:szCs w:val="24"/>
          <w:lang w:eastAsia="en-US"/>
        </w:rPr>
        <w:t xml:space="preserve"> Oaxaca</w:t>
      </w:r>
      <w:r w:rsidRPr="00171708">
        <w:rPr>
          <w:rFonts w:ascii="Arial" w:eastAsia="Calibri" w:hAnsi="Arial" w:cs="Arial"/>
          <w:sz w:val="24"/>
          <w:szCs w:val="24"/>
          <w:lang w:eastAsia="en-US"/>
        </w:rPr>
        <w:t>, contestando la demanda de nulidad y se tuvieron por admitidas las pruebas ofrecidas por la autoridad demandada.</w:t>
      </w:r>
      <w:r w:rsidR="00513C70">
        <w:rPr>
          <w:rFonts w:ascii="Arial" w:eastAsia="Calibri" w:hAnsi="Arial" w:cs="Arial"/>
          <w:sz w:val="24"/>
          <w:szCs w:val="24"/>
          <w:lang w:eastAsia="en-US"/>
        </w:rPr>
        <w:t xml:space="preserve"> </w:t>
      </w:r>
    </w:p>
    <w:p w14:paraId="219A7C67" w14:textId="0D36B1A5"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lastRenderedPageBreak/>
        <w:t>4°.</w:t>
      </w:r>
      <w:r w:rsidRPr="00512412">
        <w:rPr>
          <w:rFonts w:ascii="Arial" w:eastAsia="Calibri" w:hAnsi="Arial" w:cs="Arial"/>
          <w:sz w:val="24"/>
          <w:szCs w:val="24"/>
          <w:lang w:eastAsia="en-US"/>
        </w:rPr>
        <w:t xml:space="preserve"> </w:t>
      </w:r>
      <w:r>
        <w:rPr>
          <w:rFonts w:ascii="Arial" w:eastAsia="Calibri" w:hAnsi="Arial" w:cs="Arial"/>
          <w:sz w:val="24"/>
          <w:szCs w:val="24"/>
          <w:lang w:eastAsia="en-US"/>
        </w:rPr>
        <w:t xml:space="preserve">Por proveído de fecha </w:t>
      </w:r>
      <w:r w:rsidR="00513C70">
        <w:rPr>
          <w:rFonts w:ascii="Arial" w:eastAsia="Calibri" w:hAnsi="Arial" w:cs="Arial"/>
          <w:sz w:val="24"/>
          <w:szCs w:val="24"/>
          <w:lang w:eastAsia="en-US"/>
        </w:rPr>
        <w:t xml:space="preserve">veintiocho de septiembre de dos mil veintiuno se fijaron las once horas del día uno de marzo de dos mil veintidós para </w:t>
      </w:r>
      <w:r w:rsidR="0085386F">
        <w:rPr>
          <w:rFonts w:ascii="Arial" w:eastAsia="Calibri" w:hAnsi="Arial" w:cs="Arial"/>
          <w:sz w:val="24"/>
          <w:szCs w:val="24"/>
          <w:lang w:eastAsia="en-US"/>
        </w:rPr>
        <w:t>que tuviera</w:t>
      </w:r>
      <w:r>
        <w:rPr>
          <w:rFonts w:ascii="Arial" w:eastAsia="Calibri" w:hAnsi="Arial" w:cs="Arial"/>
          <w:sz w:val="24"/>
          <w:szCs w:val="24"/>
          <w:lang w:eastAsia="en-US"/>
        </w:rPr>
        <w:t xml:space="preserve"> verificativo la Audiencia Final, la cual se celebró</w:t>
      </w:r>
      <w:r w:rsidRPr="00512412">
        <w:rPr>
          <w:rFonts w:ascii="Arial" w:eastAsia="Calibri" w:hAnsi="Arial" w:cs="Arial"/>
          <w:sz w:val="24"/>
          <w:szCs w:val="24"/>
          <w:lang w:eastAsia="en-US"/>
        </w:rPr>
        <w:t xml:space="preserve"> </w:t>
      </w:r>
      <w:r w:rsidR="0085386F">
        <w:rPr>
          <w:rFonts w:ascii="Arial" w:eastAsia="Calibri" w:hAnsi="Arial" w:cs="Arial"/>
          <w:sz w:val="24"/>
          <w:szCs w:val="24"/>
          <w:lang w:eastAsia="en-US"/>
        </w:rPr>
        <w:t xml:space="preserve">el día señalado donde </w:t>
      </w:r>
      <w:r>
        <w:rPr>
          <w:rFonts w:ascii="Arial" w:eastAsia="Calibri" w:hAnsi="Arial" w:cs="Arial"/>
          <w:sz w:val="24"/>
          <w:szCs w:val="24"/>
          <w:lang w:eastAsia="en-US"/>
        </w:rPr>
        <w:t>se hizo constar</w:t>
      </w:r>
      <w:r w:rsidR="0085386F">
        <w:rPr>
          <w:rFonts w:ascii="Arial" w:eastAsia="Calibri" w:hAnsi="Arial" w:cs="Arial"/>
          <w:sz w:val="24"/>
          <w:szCs w:val="24"/>
          <w:lang w:eastAsia="en-US"/>
        </w:rPr>
        <w:t xml:space="preserve"> que no se encontraron presentes las partes ni persona alguna que legalmente las representara</w:t>
      </w:r>
      <w:r w:rsidRPr="00512412">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85386F">
        <w:rPr>
          <w:rFonts w:ascii="Arial" w:eastAsia="Calibri" w:hAnsi="Arial" w:cs="Arial"/>
          <w:sz w:val="24"/>
          <w:szCs w:val="24"/>
          <w:lang w:eastAsia="en-US"/>
        </w:rPr>
        <w:t>que las partes no presentaron escritos de alegatos</w:t>
      </w:r>
      <w:r>
        <w:rPr>
          <w:rFonts w:ascii="Arial" w:eastAsia="Calibri" w:hAnsi="Arial" w:cs="Arial"/>
          <w:sz w:val="24"/>
          <w:szCs w:val="24"/>
          <w:lang w:eastAsia="en-US"/>
        </w:rPr>
        <w:t xml:space="preserve"> por lo que se les tuvo por perdido su derecho </w:t>
      </w:r>
      <w:r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29BF9846" w14:textId="2CC18242" w:rsidR="0085386F" w:rsidRPr="00773EE8" w:rsidRDefault="0085386F" w:rsidP="00773EE8">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364191BE" w14:textId="77777777" w:rsidR="0085386F" w:rsidRPr="00512412" w:rsidRDefault="0085386F" w:rsidP="0085386F">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0C80F779" w14:textId="77777777" w:rsidR="0085386F" w:rsidRPr="00512412" w:rsidRDefault="0085386F" w:rsidP="0085386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p>
    <w:p w14:paraId="1D9EEE29" w14:textId="1B46A7BD" w:rsidR="00D83CC1" w:rsidRDefault="00D83CC1" w:rsidP="00D83CC1">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 el </w:t>
      </w:r>
      <w:r>
        <w:rPr>
          <w:rFonts w:ascii="Arial" w:eastAsia="Calibri" w:hAnsi="Arial" w:cs="Arial"/>
          <w:sz w:val="24"/>
          <w:szCs w:val="24"/>
          <w:lang w:eastAsia="en-US"/>
        </w:rPr>
        <w:t>oficio SGSE/651/2019 de fecha once de julio de dos mil diecinueve</w:t>
      </w:r>
      <w:r w:rsidRPr="006E6EB1">
        <w:rPr>
          <w:rFonts w:ascii="Arial" w:eastAsia="Calibri" w:hAnsi="Arial" w:cs="Arial"/>
          <w:sz w:val="24"/>
          <w:szCs w:val="24"/>
          <w:lang w:eastAsia="en-US"/>
        </w:rPr>
        <w:t xml:space="preserve"> </w:t>
      </w:r>
      <w:r>
        <w:rPr>
          <w:rFonts w:ascii="Arial" w:eastAsia="Calibri" w:hAnsi="Arial" w:cs="Arial"/>
          <w:sz w:val="24"/>
          <w:szCs w:val="24"/>
          <w:lang w:eastAsia="en-US"/>
        </w:rPr>
        <w:t xml:space="preserve">emitida por el </w:t>
      </w:r>
      <w:r w:rsidRPr="00513C70">
        <w:rPr>
          <w:rFonts w:ascii="Arial" w:eastAsia="Calibri" w:hAnsi="Arial" w:cs="Arial"/>
          <w:sz w:val="24"/>
          <w:szCs w:val="24"/>
          <w:lang w:eastAsia="en-US"/>
        </w:rPr>
        <w:t xml:space="preserve">Subdirector General </w:t>
      </w:r>
      <w:r>
        <w:rPr>
          <w:rFonts w:ascii="Arial" w:eastAsia="Calibri" w:hAnsi="Arial" w:cs="Arial"/>
          <w:sz w:val="24"/>
          <w:szCs w:val="24"/>
          <w:lang w:eastAsia="en-US"/>
        </w:rPr>
        <w:t>d</w:t>
      </w:r>
      <w:r w:rsidRPr="00513C70">
        <w:rPr>
          <w:rFonts w:ascii="Arial" w:eastAsia="Calibri" w:hAnsi="Arial" w:cs="Arial"/>
          <w:sz w:val="24"/>
          <w:szCs w:val="24"/>
          <w:lang w:eastAsia="en-US"/>
        </w:rPr>
        <w:t xml:space="preserve">e Servicios Educativos </w:t>
      </w:r>
      <w:r>
        <w:rPr>
          <w:rFonts w:ascii="Arial" w:eastAsia="Calibri" w:hAnsi="Arial" w:cs="Arial"/>
          <w:sz w:val="24"/>
          <w:szCs w:val="24"/>
          <w:lang w:eastAsia="en-US"/>
        </w:rPr>
        <w:t>d</w:t>
      </w:r>
      <w:r w:rsidRPr="00513C70">
        <w:rPr>
          <w:rFonts w:ascii="Arial" w:eastAsia="Calibri" w:hAnsi="Arial" w:cs="Arial"/>
          <w:sz w:val="24"/>
          <w:szCs w:val="24"/>
          <w:lang w:eastAsia="en-US"/>
        </w:rPr>
        <w:t xml:space="preserve">el Instituto Estatal </w:t>
      </w:r>
      <w:r>
        <w:rPr>
          <w:rFonts w:ascii="Arial" w:eastAsia="Calibri" w:hAnsi="Arial" w:cs="Arial"/>
          <w:sz w:val="24"/>
          <w:szCs w:val="24"/>
          <w:lang w:eastAsia="en-US"/>
        </w:rPr>
        <w:t>d</w:t>
      </w:r>
      <w:r w:rsidRPr="00513C70">
        <w:rPr>
          <w:rFonts w:ascii="Arial" w:eastAsia="Calibri" w:hAnsi="Arial" w:cs="Arial"/>
          <w:sz w:val="24"/>
          <w:szCs w:val="24"/>
          <w:lang w:eastAsia="en-US"/>
        </w:rPr>
        <w:t xml:space="preserve">e Educación Pública </w:t>
      </w:r>
      <w:r>
        <w:rPr>
          <w:rFonts w:ascii="Arial" w:eastAsia="Calibri" w:hAnsi="Arial" w:cs="Arial"/>
          <w:sz w:val="24"/>
          <w:szCs w:val="24"/>
          <w:lang w:eastAsia="en-US"/>
        </w:rPr>
        <w:t>de</w:t>
      </w:r>
      <w:r w:rsidRPr="00513C70">
        <w:rPr>
          <w:rFonts w:ascii="Arial" w:eastAsia="Calibri" w:hAnsi="Arial" w:cs="Arial"/>
          <w:sz w:val="24"/>
          <w:szCs w:val="24"/>
          <w:lang w:eastAsia="en-US"/>
        </w:rPr>
        <w:t xml:space="preserve"> Oaxaca</w:t>
      </w:r>
      <w:r w:rsidRPr="00163663">
        <w:rPr>
          <w:rFonts w:ascii="Arial" w:hAnsi="Arial" w:cs="Arial"/>
          <w:sz w:val="24"/>
          <w:szCs w:val="24"/>
        </w:rPr>
        <w:t xml:space="preserve">, que obra </w:t>
      </w:r>
      <w:r>
        <w:rPr>
          <w:rFonts w:ascii="Arial" w:hAnsi="Arial" w:cs="Arial"/>
          <w:sz w:val="24"/>
          <w:szCs w:val="24"/>
        </w:rPr>
        <w:t xml:space="preserve">de </w:t>
      </w:r>
      <w:r w:rsidR="00BA14C6">
        <w:rPr>
          <w:rFonts w:ascii="Arial" w:hAnsi="Arial" w:cs="Arial"/>
          <w:sz w:val="24"/>
          <w:szCs w:val="24"/>
        </w:rPr>
        <w:t>foja catorce</w:t>
      </w:r>
      <w:r w:rsidRPr="00163663">
        <w:rPr>
          <w:rFonts w:ascii="Arial" w:hAnsi="Arial" w:cs="Arial"/>
          <w:sz w:val="24"/>
          <w:szCs w:val="24"/>
        </w:rPr>
        <w:t xml:space="preserve"> del expediente en que</w:t>
      </w:r>
      <w:r w:rsidRPr="006D319D">
        <w:rPr>
          <w:rFonts w:ascii="Arial" w:hAnsi="Arial" w:cs="Arial"/>
          <w:sz w:val="24"/>
          <w:szCs w:val="24"/>
        </w:rPr>
        <w:t xml:space="preserve"> se actúa, aportada por la parte actora, a la cual se le concede valor probatorio pleno de conformidad con el artículo 203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 xml:space="preserve">Justicia Administrativa para el Estado de Oaxaca, al ser </w:t>
      </w:r>
      <w:r w:rsidRPr="006D319D">
        <w:rPr>
          <w:rFonts w:ascii="Arial" w:hAnsi="Arial" w:cs="Arial"/>
          <w:sz w:val="24"/>
          <w:szCs w:val="24"/>
        </w:rPr>
        <w:lastRenderedPageBreak/>
        <w:t xml:space="preserve">expedida por una autoridad, en la que constan manifestaciones expresas de haberla emitido al contestar la demanda, en el expediente natural y relacionándola con la totalidad de sus </w:t>
      </w:r>
      <w:r>
        <w:rPr>
          <w:rFonts w:ascii="Arial" w:hAnsi="Arial" w:cs="Arial"/>
          <w:sz w:val="24"/>
          <w:szCs w:val="24"/>
        </w:rPr>
        <w:t>expresiones. De manera que dicha</w:t>
      </w:r>
      <w:r w:rsidRPr="006D319D">
        <w:rPr>
          <w:rFonts w:ascii="Arial" w:hAnsi="Arial" w:cs="Arial"/>
          <w:sz w:val="24"/>
          <w:szCs w:val="24"/>
        </w:rPr>
        <w:t xml:space="preserve"> documental pública es el medio de convicción, que se tiene por acreditada la existencia del acto impugnado. </w:t>
      </w:r>
    </w:p>
    <w:p w14:paraId="0649BB8B" w14:textId="6CB042A0" w:rsidR="0085386F" w:rsidRDefault="00D83CC1" w:rsidP="003A730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en relación a la falta de trámite por parte de la demandada respecto al recurso administrativo interpuesto en contra del oficio SGSE/UEIP/1321/2019 de fecha siete de mayo de dos mil diecinueve, lo que le causa agravio pues la resolución que desecha el recurso por improcedente no se encuentra fundado y motivado máxime que no existe impedimento para que sea tramitado el recurso en los términos que lo solicita. </w:t>
      </w:r>
    </w:p>
    <w:p w14:paraId="31534ACF" w14:textId="1A1953A6" w:rsidR="0085386F" w:rsidRPr="00512412" w:rsidRDefault="0085386F" w:rsidP="003A730F">
      <w:pPr>
        <w:spacing w:after="160" w:line="360" w:lineRule="auto"/>
        <w:ind w:firstLine="567"/>
        <w:jc w:val="both"/>
        <w:rPr>
          <w:rFonts w:ascii="Arial" w:eastAsia="Calibri" w:hAnsi="Arial" w:cs="Arial"/>
          <w:sz w:val="24"/>
          <w:szCs w:val="24"/>
          <w:lang w:eastAsia="en-US"/>
        </w:rPr>
      </w:pPr>
      <w:r>
        <w:rPr>
          <w:rFonts w:ascii="Arial" w:hAnsi="Arial" w:cs="Arial"/>
          <w:sz w:val="24"/>
          <w:szCs w:val="24"/>
        </w:rPr>
        <w:t xml:space="preserve">Por su parte la autoridad demandada alega que es improcedente el presente juicio toda vez que la naturaleza que rige la </w:t>
      </w:r>
      <w:r w:rsidR="00D83CC1">
        <w:rPr>
          <w:rFonts w:ascii="Arial" w:hAnsi="Arial" w:cs="Arial"/>
          <w:sz w:val="24"/>
          <w:szCs w:val="24"/>
        </w:rPr>
        <w:t xml:space="preserve">relación entre la </w:t>
      </w:r>
      <w:r>
        <w:rPr>
          <w:rFonts w:ascii="Arial" w:hAnsi="Arial" w:cs="Arial"/>
          <w:sz w:val="24"/>
          <w:szCs w:val="24"/>
        </w:rPr>
        <w:t xml:space="preserve">dependencia </w:t>
      </w:r>
      <w:r w:rsidR="00D83CC1">
        <w:rPr>
          <w:rFonts w:ascii="Arial" w:hAnsi="Arial" w:cs="Arial"/>
          <w:sz w:val="24"/>
          <w:szCs w:val="24"/>
        </w:rPr>
        <w:t xml:space="preserve">que representa y la hoy actora es de carácter laboral por lo que procede el sobreseimiento del presente juicio. </w:t>
      </w:r>
    </w:p>
    <w:p w14:paraId="1D668CDD" w14:textId="2A883C22" w:rsidR="00BA14C6" w:rsidRDefault="00BA14C6" w:rsidP="00BA14C6">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w:t>
      </w:r>
    </w:p>
    <w:p w14:paraId="124A7A65" w14:textId="52E5C5F9" w:rsidR="00BA14C6" w:rsidRDefault="00BA14C6" w:rsidP="00BA14C6">
      <w:pPr>
        <w:spacing w:after="160" w:line="360" w:lineRule="auto"/>
        <w:ind w:firstLine="567"/>
        <w:jc w:val="both"/>
        <w:rPr>
          <w:rFonts w:ascii="Arial" w:hAnsi="Arial" w:cs="Arial"/>
          <w:sz w:val="24"/>
          <w:szCs w:val="24"/>
        </w:rPr>
      </w:pPr>
      <w:r>
        <w:rPr>
          <w:rFonts w:ascii="Arial" w:hAnsi="Arial" w:cs="Arial"/>
          <w:sz w:val="24"/>
          <w:szCs w:val="24"/>
        </w:rPr>
        <w:t>Ello a pesar de las causales de improcedencia argumentadas por la autoridad demandada la cual sostiene que no procede el presente juicio en atención a que la pretensión de la accionante lo es la reinstalación a su centro de trabajo y que en atención a lo anterior es que se deduce que la naturaleza de lo pretendido es laboral lo cual torna improcedente el presente juicio.</w:t>
      </w:r>
    </w:p>
    <w:p w14:paraId="53E8B84C" w14:textId="36DCE3E2" w:rsidR="00BA14C6" w:rsidRDefault="00BA14C6" w:rsidP="00BA14C6">
      <w:pPr>
        <w:spacing w:after="160" w:line="360" w:lineRule="auto"/>
        <w:ind w:firstLine="567"/>
        <w:jc w:val="both"/>
        <w:rPr>
          <w:rFonts w:ascii="Arial" w:hAnsi="Arial" w:cs="Arial"/>
          <w:sz w:val="24"/>
          <w:szCs w:val="24"/>
        </w:rPr>
      </w:pPr>
      <w:r>
        <w:rPr>
          <w:rFonts w:ascii="Arial" w:hAnsi="Arial" w:cs="Arial"/>
          <w:sz w:val="24"/>
          <w:szCs w:val="24"/>
        </w:rPr>
        <w:t xml:space="preserve">Sin embargo, ello no es así toda vez que </w:t>
      </w:r>
      <w:r w:rsidR="003F5A16">
        <w:rPr>
          <w:rFonts w:ascii="Arial" w:hAnsi="Arial" w:cs="Arial"/>
          <w:sz w:val="24"/>
          <w:szCs w:val="24"/>
        </w:rPr>
        <w:t>el presente juicio versa sobre la procedencia del recurso de revisión en sede administrativa interpuesto por la actora y no así sobre la procedencia de sus pretensiones, las cuales se encuentran circunscriptas a la competencia de la autoridad revisora.</w:t>
      </w:r>
    </w:p>
    <w:p w14:paraId="102C49D9" w14:textId="44353B8E" w:rsidR="003F5A16" w:rsidRDefault="003F5A16" w:rsidP="004546D7">
      <w:pPr>
        <w:spacing w:after="160" w:line="360" w:lineRule="auto"/>
        <w:ind w:firstLine="567"/>
        <w:jc w:val="both"/>
        <w:rPr>
          <w:rFonts w:ascii="Arial" w:hAnsi="Arial" w:cs="Arial"/>
          <w:sz w:val="24"/>
          <w:szCs w:val="24"/>
        </w:rPr>
      </w:pPr>
      <w:r>
        <w:rPr>
          <w:rFonts w:ascii="Arial" w:hAnsi="Arial" w:cs="Arial"/>
          <w:sz w:val="24"/>
          <w:szCs w:val="24"/>
        </w:rPr>
        <w:t xml:space="preserve">Luego entonces, toda vez que los procedimientos administrativos se encuentran regulados por la Ley de Procedimiento y Justicia Administrativa para el Estado de Oaxaca, y que el desechamiento de un recurso constituye una expresión unilateral de la voluntad de la autoridad aquí demandada, es que se concluye que se trata de un acto que causa agravios en materia administrativa y por lo tanto procede el estudio del juicio en términos del </w:t>
      </w:r>
      <w:r>
        <w:rPr>
          <w:rFonts w:ascii="Arial" w:hAnsi="Arial" w:cs="Arial"/>
          <w:sz w:val="24"/>
          <w:szCs w:val="24"/>
        </w:rPr>
        <w:lastRenderedPageBreak/>
        <w:t xml:space="preserve">artículo 133 fracción I de la Ley que rige a este Tribunal misma que se transcribe: </w:t>
      </w:r>
    </w:p>
    <w:p w14:paraId="4C752D1C" w14:textId="77777777" w:rsidR="003F5A16" w:rsidRPr="003F5A16" w:rsidRDefault="003F5A16" w:rsidP="003F5A16">
      <w:pPr>
        <w:spacing w:after="160" w:line="360" w:lineRule="auto"/>
        <w:ind w:left="1134"/>
        <w:jc w:val="both"/>
        <w:rPr>
          <w:rFonts w:ascii="Arial Narrow" w:hAnsi="Arial Narrow"/>
          <w:sz w:val="24"/>
          <w:szCs w:val="24"/>
        </w:rPr>
      </w:pPr>
      <w:r w:rsidRPr="003F5A16">
        <w:rPr>
          <w:rFonts w:ascii="Arial Narrow" w:hAnsi="Arial Narrow"/>
          <w:b/>
          <w:bCs/>
          <w:sz w:val="24"/>
          <w:szCs w:val="24"/>
        </w:rPr>
        <w:t>ARTÍCULO 133.-</w:t>
      </w:r>
      <w:r w:rsidRPr="003F5A16">
        <w:rPr>
          <w:rFonts w:ascii="Arial Narrow" w:hAnsi="Arial Narrow"/>
          <w:sz w:val="24"/>
          <w:szCs w:val="24"/>
        </w:rPr>
        <w:t xml:space="preserve"> Las Salas Unitarias del Tribunal son competentes para conocer y resolver los juicios que se promuevan en contra de: </w:t>
      </w:r>
    </w:p>
    <w:p w14:paraId="0DBC8326" w14:textId="46507006" w:rsidR="003F5A16" w:rsidRPr="003F5A16" w:rsidRDefault="003F5A16" w:rsidP="003F5A16">
      <w:pPr>
        <w:spacing w:after="160" w:line="360" w:lineRule="auto"/>
        <w:ind w:left="1134"/>
        <w:jc w:val="both"/>
        <w:rPr>
          <w:rFonts w:ascii="Arial Narrow" w:hAnsi="Arial Narrow"/>
          <w:sz w:val="24"/>
          <w:szCs w:val="24"/>
        </w:rPr>
      </w:pPr>
      <w:r w:rsidRPr="003F5A16">
        <w:rPr>
          <w:rFonts w:ascii="Arial Narrow" w:hAnsi="Arial Narrow"/>
          <w:sz w:val="24"/>
          <w:szCs w:val="24"/>
        </w:rPr>
        <w:t>I.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w:t>
      </w:r>
    </w:p>
    <w:p w14:paraId="16E682C1" w14:textId="1620E6ED" w:rsidR="003F5A16" w:rsidRPr="003F5A16" w:rsidRDefault="003F5A16" w:rsidP="003F5A16">
      <w:pPr>
        <w:spacing w:after="160" w:line="360" w:lineRule="auto"/>
        <w:ind w:left="1134"/>
        <w:jc w:val="both"/>
        <w:rPr>
          <w:rFonts w:ascii="Arial Narrow" w:hAnsi="Arial Narrow" w:cs="Arial"/>
          <w:sz w:val="24"/>
          <w:szCs w:val="24"/>
        </w:rPr>
      </w:pPr>
      <w:r w:rsidRPr="003F5A16">
        <w:rPr>
          <w:rFonts w:ascii="Arial Narrow" w:hAnsi="Arial Narrow" w:cs="Arial"/>
          <w:sz w:val="24"/>
          <w:szCs w:val="24"/>
        </w:rPr>
        <w:t>(…)</w:t>
      </w:r>
    </w:p>
    <w:p w14:paraId="68EA0764" w14:textId="6CB89656" w:rsidR="003A730F" w:rsidRDefault="003A730F" w:rsidP="00773EE8">
      <w:pPr>
        <w:pStyle w:val="Sinespaciado"/>
      </w:pPr>
    </w:p>
    <w:p w14:paraId="006C41E7" w14:textId="4DE75DD5" w:rsidR="003F5A16" w:rsidRDefault="003F5A16" w:rsidP="007C7A1C">
      <w:pPr>
        <w:tabs>
          <w:tab w:val="left" w:pos="284"/>
          <w:tab w:val="left" w:pos="426"/>
          <w:tab w:val="right" w:pos="9072"/>
        </w:tabs>
        <w:spacing w:after="0" w:line="360" w:lineRule="auto"/>
        <w:ind w:right="-234" w:firstLine="567"/>
        <w:jc w:val="both"/>
        <w:rPr>
          <w:rFonts w:ascii="Arial" w:hAnsi="Arial" w:cs="Arial"/>
          <w:bCs/>
          <w:sz w:val="24"/>
          <w:szCs w:val="24"/>
        </w:rPr>
      </w:pPr>
      <w:r>
        <w:rPr>
          <w:rFonts w:ascii="Arial" w:hAnsi="Arial" w:cs="Arial"/>
          <w:bCs/>
          <w:sz w:val="24"/>
          <w:szCs w:val="24"/>
        </w:rPr>
        <w:t xml:space="preserve">Consecuentemente no se sobresee el presente juicio. </w:t>
      </w:r>
    </w:p>
    <w:p w14:paraId="40078993" w14:textId="7C359408" w:rsidR="003F5A16" w:rsidRDefault="003F5A16" w:rsidP="007C7A1C">
      <w:pPr>
        <w:tabs>
          <w:tab w:val="left" w:pos="284"/>
          <w:tab w:val="left" w:pos="426"/>
          <w:tab w:val="right" w:pos="9072"/>
        </w:tabs>
        <w:spacing w:after="0" w:line="360" w:lineRule="auto"/>
        <w:ind w:right="-234" w:firstLine="567"/>
        <w:jc w:val="both"/>
        <w:rPr>
          <w:rFonts w:ascii="Arial" w:hAnsi="Arial" w:cs="Arial"/>
          <w:bCs/>
          <w:sz w:val="24"/>
          <w:szCs w:val="24"/>
        </w:rPr>
      </w:pPr>
    </w:p>
    <w:p w14:paraId="2E7CE99F" w14:textId="101D126A" w:rsidR="003F5A16" w:rsidRDefault="003F5A16"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Pr="00AE3452">
        <w:rPr>
          <w:rFonts w:ascii="Arial" w:hAnsi="Arial" w:cs="Arial"/>
          <w:sz w:val="24"/>
          <w:szCs w:val="24"/>
        </w:rPr>
        <w:t xml:space="preserve">Son </w:t>
      </w:r>
      <w:r w:rsidRPr="00AE3452">
        <w:rPr>
          <w:rFonts w:ascii="Arial" w:hAnsi="Arial" w:cs="Arial"/>
          <w:b/>
          <w:bCs/>
          <w:sz w:val="24"/>
          <w:szCs w:val="24"/>
        </w:rPr>
        <w:t>fundados</w:t>
      </w:r>
      <w:r w:rsidRPr="00AE3452">
        <w:rPr>
          <w:rFonts w:ascii="Arial" w:hAnsi="Arial" w:cs="Arial"/>
          <w:sz w:val="24"/>
          <w:szCs w:val="24"/>
        </w:rPr>
        <w:t xml:space="preserve"> los conceptos de impugnación esgrimidos por la parte actora, </w:t>
      </w:r>
      <w:r>
        <w:rPr>
          <w:rFonts w:ascii="Arial" w:hAnsi="Arial" w:cs="Arial"/>
          <w:sz w:val="24"/>
          <w:szCs w:val="24"/>
        </w:rPr>
        <w:t xml:space="preserve">respecto a la ilegalidad del </w:t>
      </w:r>
      <w:r>
        <w:rPr>
          <w:rFonts w:ascii="Arial" w:eastAsia="Calibri" w:hAnsi="Arial" w:cs="Arial"/>
          <w:sz w:val="24"/>
          <w:szCs w:val="24"/>
          <w:lang w:eastAsia="en-US"/>
        </w:rPr>
        <w:t>oficio SGSE/651/2019 de fecha once de julio de dos mil diecinueve</w:t>
      </w:r>
      <w:r w:rsidRPr="006E6EB1">
        <w:rPr>
          <w:rFonts w:ascii="Arial" w:eastAsia="Calibri" w:hAnsi="Arial" w:cs="Arial"/>
          <w:sz w:val="24"/>
          <w:szCs w:val="24"/>
          <w:lang w:eastAsia="en-US"/>
        </w:rPr>
        <w:t xml:space="preserve"> </w:t>
      </w:r>
      <w:r>
        <w:rPr>
          <w:rFonts w:ascii="Arial" w:eastAsia="Calibri" w:hAnsi="Arial" w:cs="Arial"/>
          <w:sz w:val="24"/>
          <w:szCs w:val="24"/>
          <w:lang w:eastAsia="en-US"/>
        </w:rPr>
        <w:t xml:space="preserve">emitida por el </w:t>
      </w:r>
      <w:r w:rsidRPr="00513C70">
        <w:rPr>
          <w:rFonts w:ascii="Arial" w:eastAsia="Calibri" w:hAnsi="Arial" w:cs="Arial"/>
          <w:sz w:val="24"/>
          <w:szCs w:val="24"/>
          <w:lang w:eastAsia="en-US"/>
        </w:rPr>
        <w:t xml:space="preserve">Subdirector General </w:t>
      </w:r>
      <w:r>
        <w:rPr>
          <w:rFonts w:ascii="Arial" w:eastAsia="Calibri" w:hAnsi="Arial" w:cs="Arial"/>
          <w:sz w:val="24"/>
          <w:szCs w:val="24"/>
          <w:lang w:eastAsia="en-US"/>
        </w:rPr>
        <w:t>d</w:t>
      </w:r>
      <w:r w:rsidRPr="00513C70">
        <w:rPr>
          <w:rFonts w:ascii="Arial" w:eastAsia="Calibri" w:hAnsi="Arial" w:cs="Arial"/>
          <w:sz w:val="24"/>
          <w:szCs w:val="24"/>
          <w:lang w:eastAsia="en-US"/>
        </w:rPr>
        <w:t xml:space="preserve">e Servicios Educativos </w:t>
      </w:r>
      <w:r>
        <w:rPr>
          <w:rFonts w:ascii="Arial" w:eastAsia="Calibri" w:hAnsi="Arial" w:cs="Arial"/>
          <w:sz w:val="24"/>
          <w:szCs w:val="24"/>
          <w:lang w:eastAsia="en-US"/>
        </w:rPr>
        <w:t>d</w:t>
      </w:r>
      <w:r w:rsidRPr="00513C70">
        <w:rPr>
          <w:rFonts w:ascii="Arial" w:eastAsia="Calibri" w:hAnsi="Arial" w:cs="Arial"/>
          <w:sz w:val="24"/>
          <w:szCs w:val="24"/>
          <w:lang w:eastAsia="en-US"/>
        </w:rPr>
        <w:t xml:space="preserve">el Instituto Estatal </w:t>
      </w:r>
      <w:r>
        <w:rPr>
          <w:rFonts w:ascii="Arial" w:eastAsia="Calibri" w:hAnsi="Arial" w:cs="Arial"/>
          <w:sz w:val="24"/>
          <w:szCs w:val="24"/>
          <w:lang w:eastAsia="en-US"/>
        </w:rPr>
        <w:t>d</w:t>
      </w:r>
      <w:r w:rsidRPr="00513C70">
        <w:rPr>
          <w:rFonts w:ascii="Arial" w:eastAsia="Calibri" w:hAnsi="Arial" w:cs="Arial"/>
          <w:sz w:val="24"/>
          <w:szCs w:val="24"/>
          <w:lang w:eastAsia="en-US"/>
        </w:rPr>
        <w:t xml:space="preserve">e Educación Pública </w:t>
      </w:r>
      <w:r>
        <w:rPr>
          <w:rFonts w:ascii="Arial" w:eastAsia="Calibri" w:hAnsi="Arial" w:cs="Arial"/>
          <w:sz w:val="24"/>
          <w:szCs w:val="24"/>
          <w:lang w:eastAsia="en-US"/>
        </w:rPr>
        <w:t>de</w:t>
      </w:r>
      <w:r w:rsidRPr="00513C70">
        <w:rPr>
          <w:rFonts w:ascii="Arial" w:eastAsia="Calibri" w:hAnsi="Arial" w:cs="Arial"/>
          <w:sz w:val="24"/>
          <w:szCs w:val="24"/>
          <w:lang w:eastAsia="en-US"/>
        </w:rPr>
        <w:t xml:space="preserve"> Oaxaca</w:t>
      </w:r>
      <w:r>
        <w:rPr>
          <w:rFonts w:ascii="Arial" w:eastAsia="Calibri" w:hAnsi="Arial" w:cs="Arial"/>
          <w:sz w:val="24"/>
          <w:szCs w:val="24"/>
          <w:lang w:eastAsia="en-US"/>
        </w:rPr>
        <w:t xml:space="preserve"> y que para efectos prácticos se sintetiza de la siguiente manera: </w:t>
      </w:r>
    </w:p>
    <w:p w14:paraId="465838C9" w14:textId="41874D69" w:rsidR="003F5A16" w:rsidRDefault="003F5A16"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7EB19F8A" w14:textId="37340F05" w:rsidR="003F5A16" w:rsidRPr="00DF7F94" w:rsidRDefault="003F5A16" w:rsidP="003F5A16">
      <w:pPr>
        <w:pStyle w:val="Prrafodelista"/>
        <w:numPr>
          <w:ilvl w:val="0"/>
          <w:numId w:val="17"/>
        </w:numPr>
        <w:tabs>
          <w:tab w:val="left" w:pos="284"/>
          <w:tab w:val="left" w:pos="426"/>
          <w:tab w:val="right" w:pos="9072"/>
        </w:tabs>
        <w:spacing w:after="0" w:line="360" w:lineRule="auto"/>
        <w:ind w:right="-234"/>
        <w:jc w:val="both"/>
        <w:rPr>
          <w:rFonts w:ascii="Arial" w:hAnsi="Arial" w:cs="Arial"/>
          <w:b/>
          <w:sz w:val="24"/>
          <w:szCs w:val="24"/>
        </w:rPr>
      </w:pPr>
      <w:r>
        <w:rPr>
          <w:rFonts w:ascii="Arial" w:hAnsi="Arial" w:cs="Arial"/>
          <w:bCs/>
          <w:sz w:val="24"/>
          <w:szCs w:val="24"/>
        </w:rPr>
        <w:t xml:space="preserve">Por oficio 0128 de fecha diecinueve de marzo de dos mil diecinueve la hoy actora hizo del conocimiento de la demandada de diversos actos que transgredieron su esfera jurídica. </w:t>
      </w:r>
    </w:p>
    <w:p w14:paraId="63310755" w14:textId="77777777" w:rsidR="00DF7F94" w:rsidRPr="003F5A16" w:rsidRDefault="00DF7F94" w:rsidP="00DF7F94">
      <w:pPr>
        <w:pStyle w:val="Prrafodelista"/>
        <w:tabs>
          <w:tab w:val="left" w:pos="284"/>
          <w:tab w:val="left" w:pos="426"/>
          <w:tab w:val="right" w:pos="9072"/>
        </w:tabs>
        <w:spacing w:after="0" w:line="360" w:lineRule="auto"/>
        <w:ind w:left="1287" w:right="-234"/>
        <w:jc w:val="both"/>
        <w:rPr>
          <w:rFonts w:ascii="Arial" w:hAnsi="Arial" w:cs="Arial"/>
          <w:b/>
          <w:sz w:val="24"/>
          <w:szCs w:val="24"/>
        </w:rPr>
      </w:pPr>
    </w:p>
    <w:p w14:paraId="1AA60E02" w14:textId="6AF343E2" w:rsidR="003F5A16" w:rsidRPr="00DF7F94" w:rsidRDefault="003F5A16" w:rsidP="003F5A16">
      <w:pPr>
        <w:pStyle w:val="Prrafodelista"/>
        <w:numPr>
          <w:ilvl w:val="0"/>
          <w:numId w:val="17"/>
        </w:numPr>
        <w:tabs>
          <w:tab w:val="left" w:pos="284"/>
          <w:tab w:val="left" w:pos="426"/>
          <w:tab w:val="right" w:pos="9072"/>
        </w:tabs>
        <w:spacing w:after="0" w:line="360" w:lineRule="auto"/>
        <w:ind w:right="-234"/>
        <w:jc w:val="both"/>
        <w:rPr>
          <w:rFonts w:ascii="Arial" w:hAnsi="Arial" w:cs="Arial"/>
          <w:b/>
          <w:sz w:val="24"/>
          <w:szCs w:val="24"/>
        </w:rPr>
      </w:pPr>
      <w:r>
        <w:rPr>
          <w:rFonts w:ascii="Arial" w:hAnsi="Arial" w:cs="Arial"/>
          <w:bCs/>
          <w:sz w:val="24"/>
          <w:szCs w:val="24"/>
        </w:rPr>
        <w:t xml:space="preserve">Por oficio SGSE/UIEP/1321/2019 de fecha siete de mayo de dos mil diecinueve, la hoy autoridad demandada emitió respuesta </w:t>
      </w:r>
      <w:r w:rsidR="00DF7F94">
        <w:rPr>
          <w:rFonts w:ascii="Arial" w:hAnsi="Arial" w:cs="Arial"/>
          <w:bCs/>
          <w:sz w:val="24"/>
          <w:szCs w:val="24"/>
        </w:rPr>
        <w:t>en atención al escrito presentado por la actora.</w:t>
      </w:r>
    </w:p>
    <w:p w14:paraId="7C537CA2" w14:textId="77777777" w:rsidR="00DF7F94" w:rsidRPr="00DF7F94" w:rsidRDefault="00DF7F94" w:rsidP="00DF7F94">
      <w:pPr>
        <w:pStyle w:val="Prrafodelista"/>
        <w:rPr>
          <w:rFonts w:ascii="Arial" w:hAnsi="Arial" w:cs="Arial"/>
          <w:b/>
          <w:sz w:val="24"/>
          <w:szCs w:val="24"/>
        </w:rPr>
      </w:pPr>
    </w:p>
    <w:p w14:paraId="129B079D" w14:textId="3F42BC00" w:rsidR="00DF7F94" w:rsidRPr="00DF7F94" w:rsidRDefault="00DF7F94" w:rsidP="003F5A16">
      <w:pPr>
        <w:pStyle w:val="Prrafodelista"/>
        <w:numPr>
          <w:ilvl w:val="0"/>
          <w:numId w:val="17"/>
        </w:numPr>
        <w:tabs>
          <w:tab w:val="left" w:pos="284"/>
          <w:tab w:val="left" w:pos="426"/>
          <w:tab w:val="right" w:pos="9072"/>
        </w:tabs>
        <w:spacing w:after="0" w:line="360" w:lineRule="auto"/>
        <w:ind w:right="-234"/>
        <w:jc w:val="both"/>
        <w:rPr>
          <w:rFonts w:ascii="Arial" w:hAnsi="Arial" w:cs="Arial"/>
          <w:b/>
          <w:sz w:val="24"/>
          <w:szCs w:val="24"/>
        </w:rPr>
      </w:pPr>
      <w:r>
        <w:rPr>
          <w:rFonts w:ascii="Arial" w:hAnsi="Arial" w:cs="Arial"/>
          <w:bCs/>
          <w:sz w:val="24"/>
          <w:szCs w:val="24"/>
        </w:rPr>
        <w:t xml:space="preserve">Inconforme con dicha determinación los días trece de junio y primero de julio la hoy actora interpuso recurso de revisión. </w:t>
      </w:r>
    </w:p>
    <w:p w14:paraId="0AF79E04" w14:textId="77777777" w:rsidR="00DF7F94" w:rsidRPr="00DF7F94" w:rsidRDefault="00DF7F94" w:rsidP="00DF7F94">
      <w:pPr>
        <w:pStyle w:val="Prrafodelista"/>
        <w:rPr>
          <w:rFonts w:ascii="Arial" w:hAnsi="Arial" w:cs="Arial"/>
          <w:b/>
          <w:sz w:val="24"/>
          <w:szCs w:val="24"/>
        </w:rPr>
      </w:pPr>
    </w:p>
    <w:p w14:paraId="5A6CDE1E" w14:textId="0878CDC0" w:rsidR="00DF7F94" w:rsidRPr="00DF7F94" w:rsidRDefault="00DF7F94" w:rsidP="003F5A16">
      <w:pPr>
        <w:pStyle w:val="Prrafodelista"/>
        <w:numPr>
          <w:ilvl w:val="0"/>
          <w:numId w:val="17"/>
        </w:numPr>
        <w:tabs>
          <w:tab w:val="left" w:pos="284"/>
          <w:tab w:val="left" w:pos="426"/>
          <w:tab w:val="right" w:pos="9072"/>
        </w:tabs>
        <w:spacing w:after="0" w:line="360" w:lineRule="auto"/>
        <w:ind w:right="-234"/>
        <w:jc w:val="both"/>
        <w:rPr>
          <w:rFonts w:ascii="Arial" w:hAnsi="Arial" w:cs="Arial"/>
          <w:b/>
          <w:sz w:val="24"/>
          <w:szCs w:val="24"/>
        </w:rPr>
      </w:pPr>
      <w:r>
        <w:rPr>
          <w:rFonts w:ascii="Arial" w:hAnsi="Arial" w:cs="Arial"/>
          <w:bCs/>
          <w:sz w:val="24"/>
          <w:szCs w:val="24"/>
        </w:rPr>
        <w:t>Por oficio SGSE/651/2019 de fecha once de julio de dos mil diecinueve la hoy demandada emitió una respuesta determinando la improcedencia del recurso de revisión interpuesto por la actora.</w:t>
      </w:r>
    </w:p>
    <w:p w14:paraId="6CE66EDE" w14:textId="77777777" w:rsidR="00DF7F94" w:rsidRPr="00DF7F94" w:rsidRDefault="00DF7F94" w:rsidP="00DF7F94">
      <w:pPr>
        <w:pStyle w:val="Prrafodelista"/>
        <w:rPr>
          <w:rFonts w:ascii="Arial" w:hAnsi="Arial" w:cs="Arial"/>
          <w:b/>
          <w:sz w:val="24"/>
          <w:szCs w:val="24"/>
        </w:rPr>
      </w:pPr>
    </w:p>
    <w:p w14:paraId="1D7A0389" w14:textId="7CAAFB19" w:rsidR="00DF7F94" w:rsidRPr="00712BC1" w:rsidRDefault="00DF7F94" w:rsidP="003F5A16">
      <w:pPr>
        <w:pStyle w:val="Prrafodelista"/>
        <w:numPr>
          <w:ilvl w:val="0"/>
          <w:numId w:val="17"/>
        </w:numPr>
        <w:tabs>
          <w:tab w:val="left" w:pos="284"/>
          <w:tab w:val="left" w:pos="426"/>
          <w:tab w:val="right" w:pos="9072"/>
        </w:tabs>
        <w:spacing w:after="0" w:line="360" w:lineRule="auto"/>
        <w:ind w:right="-234"/>
        <w:jc w:val="both"/>
        <w:rPr>
          <w:rFonts w:ascii="Arial" w:hAnsi="Arial" w:cs="Arial"/>
          <w:b/>
          <w:sz w:val="24"/>
          <w:szCs w:val="24"/>
        </w:rPr>
      </w:pPr>
      <w:r>
        <w:rPr>
          <w:rFonts w:ascii="Arial" w:hAnsi="Arial" w:cs="Arial"/>
          <w:bCs/>
          <w:sz w:val="24"/>
          <w:szCs w:val="24"/>
        </w:rPr>
        <w:t>En contra de tal determinación la actora promovió el presente juicio contencioso administrativo.</w:t>
      </w:r>
    </w:p>
    <w:p w14:paraId="4FA211DB" w14:textId="77777777" w:rsidR="00712BC1" w:rsidRPr="00712BC1" w:rsidRDefault="00712BC1" w:rsidP="00773EE8">
      <w:pPr>
        <w:pStyle w:val="Sinespaciado"/>
      </w:pPr>
    </w:p>
    <w:p w14:paraId="466FF1F5" w14:textId="3AB1243D" w:rsidR="00712BC1" w:rsidRDefault="00712BC1" w:rsidP="00712BC1">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hAnsi="Arial" w:cs="Arial"/>
          <w:bCs/>
          <w:sz w:val="24"/>
          <w:szCs w:val="24"/>
        </w:rPr>
        <w:t xml:space="preserve">Luego, lo procedente es verificar la viabilidad </w:t>
      </w:r>
      <w:r w:rsidR="00417002">
        <w:rPr>
          <w:rFonts w:ascii="Arial" w:hAnsi="Arial" w:cs="Arial"/>
          <w:bCs/>
          <w:sz w:val="24"/>
          <w:szCs w:val="24"/>
        </w:rPr>
        <w:t>y procedencia de</w:t>
      </w:r>
      <w:r>
        <w:rPr>
          <w:rFonts w:ascii="Arial" w:hAnsi="Arial" w:cs="Arial"/>
          <w:bCs/>
          <w:sz w:val="24"/>
          <w:szCs w:val="24"/>
        </w:rPr>
        <w:t xml:space="preserve"> un recurso administrativo de revisión</w:t>
      </w:r>
      <w:r w:rsidR="00417002">
        <w:rPr>
          <w:rFonts w:ascii="Arial" w:hAnsi="Arial" w:cs="Arial"/>
          <w:bCs/>
          <w:sz w:val="24"/>
          <w:szCs w:val="24"/>
        </w:rPr>
        <w:t xml:space="preserve">, como el interpuesto por la actora, </w:t>
      </w:r>
      <w:r>
        <w:rPr>
          <w:rFonts w:ascii="Arial" w:hAnsi="Arial" w:cs="Arial"/>
          <w:bCs/>
          <w:sz w:val="24"/>
          <w:szCs w:val="24"/>
        </w:rPr>
        <w:t xml:space="preserve">respecto a actos </w:t>
      </w:r>
      <w:r>
        <w:rPr>
          <w:rFonts w:ascii="Arial" w:hAnsi="Arial" w:cs="Arial"/>
          <w:bCs/>
          <w:sz w:val="24"/>
          <w:szCs w:val="24"/>
        </w:rPr>
        <w:lastRenderedPageBreak/>
        <w:t xml:space="preserve">derivados del </w:t>
      </w:r>
      <w:r w:rsidRPr="00513C70">
        <w:rPr>
          <w:rFonts w:ascii="Arial" w:eastAsia="Calibri" w:hAnsi="Arial" w:cs="Arial"/>
          <w:sz w:val="24"/>
          <w:szCs w:val="24"/>
          <w:lang w:eastAsia="en-US"/>
        </w:rPr>
        <w:t xml:space="preserve">Subdirector General </w:t>
      </w:r>
      <w:r>
        <w:rPr>
          <w:rFonts w:ascii="Arial" w:eastAsia="Calibri" w:hAnsi="Arial" w:cs="Arial"/>
          <w:sz w:val="24"/>
          <w:szCs w:val="24"/>
          <w:lang w:eastAsia="en-US"/>
        </w:rPr>
        <w:t>d</w:t>
      </w:r>
      <w:r w:rsidRPr="00513C70">
        <w:rPr>
          <w:rFonts w:ascii="Arial" w:eastAsia="Calibri" w:hAnsi="Arial" w:cs="Arial"/>
          <w:sz w:val="24"/>
          <w:szCs w:val="24"/>
          <w:lang w:eastAsia="en-US"/>
        </w:rPr>
        <w:t xml:space="preserve">e Servicios Educativos </w:t>
      </w:r>
      <w:r>
        <w:rPr>
          <w:rFonts w:ascii="Arial" w:eastAsia="Calibri" w:hAnsi="Arial" w:cs="Arial"/>
          <w:sz w:val="24"/>
          <w:szCs w:val="24"/>
          <w:lang w:eastAsia="en-US"/>
        </w:rPr>
        <w:t>d</w:t>
      </w:r>
      <w:r w:rsidRPr="00513C70">
        <w:rPr>
          <w:rFonts w:ascii="Arial" w:eastAsia="Calibri" w:hAnsi="Arial" w:cs="Arial"/>
          <w:sz w:val="24"/>
          <w:szCs w:val="24"/>
          <w:lang w:eastAsia="en-US"/>
        </w:rPr>
        <w:t xml:space="preserve">el Instituto Estatal </w:t>
      </w:r>
      <w:r>
        <w:rPr>
          <w:rFonts w:ascii="Arial" w:eastAsia="Calibri" w:hAnsi="Arial" w:cs="Arial"/>
          <w:sz w:val="24"/>
          <w:szCs w:val="24"/>
          <w:lang w:eastAsia="en-US"/>
        </w:rPr>
        <w:t>d</w:t>
      </w:r>
      <w:r w:rsidRPr="00513C70">
        <w:rPr>
          <w:rFonts w:ascii="Arial" w:eastAsia="Calibri" w:hAnsi="Arial" w:cs="Arial"/>
          <w:sz w:val="24"/>
          <w:szCs w:val="24"/>
          <w:lang w:eastAsia="en-US"/>
        </w:rPr>
        <w:t xml:space="preserve">e Educación Pública </w:t>
      </w:r>
      <w:r>
        <w:rPr>
          <w:rFonts w:ascii="Arial" w:eastAsia="Calibri" w:hAnsi="Arial" w:cs="Arial"/>
          <w:sz w:val="24"/>
          <w:szCs w:val="24"/>
          <w:lang w:eastAsia="en-US"/>
        </w:rPr>
        <w:t>de</w:t>
      </w:r>
      <w:r w:rsidRPr="00513C70">
        <w:rPr>
          <w:rFonts w:ascii="Arial" w:eastAsia="Calibri" w:hAnsi="Arial" w:cs="Arial"/>
          <w:sz w:val="24"/>
          <w:szCs w:val="24"/>
          <w:lang w:eastAsia="en-US"/>
        </w:rPr>
        <w:t xml:space="preserve"> Oaxaca</w:t>
      </w:r>
      <w:r>
        <w:rPr>
          <w:rFonts w:ascii="Arial" w:eastAsia="Calibri" w:hAnsi="Arial" w:cs="Arial"/>
          <w:sz w:val="24"/>
          <w:szCs w:val="24"/>
          <w:lang w:eastAsia="en-US"/>
        </w:rPr>
        <w:t>.</w:t>
      </w:r>
    </w:p>
    <w:p w14:paraId="71E196EA" w14:textId="79D6B96B" w:rsidR="00712BC1" w:rsidRDefault="00712BC1" w:rsidP="00712BC1">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Para verificar lo anterior es menester invocar </w:t>
      </w:r>
      <w:r w:rsidR="003B46A3">
        <w:rPr>
          <w:rFonts w:ascii="Arial" w:eastAsia="Calibri" w:hAnsi="Arial" w:cs="Arial"/>
          <w:sz w:val="24"/>
          <w:szCs w:val="24"/>
          <w:lang w:eastAsia="en-US"/>
        </w:rPr>
        <w:t xml:space="preserve">el artículo 99 de la Ley de Educación para el Estado Libre y Soberano de Oaxaca que a la letra dispone: </w:t>
      </w:r>
    </w:p>
    <w:p w14:paraId="3D942679" w14:textId="77777777" w:rsidR="003B46A3" w:rsidRDefault="003B46A3" w:rsidP="00712BC1">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778CD7AC" w14:textId="77777777" w:rsidR="003B46A3" w:rsidRPr="003B46A3" w:rsidRDefault="003B46A3" w:rsidP="003B46A3">
      <w:pPr>
        <w:tabs>
          <w:tab w:val="left" w:pos="284"/>
          <w:tab w:val="right" w:pos="9072"/>
        </w:tabs>
        <w:spacing w:after="0" w:line="360" w:lineRule="auto"/>
        <w:ind w:left="1134" w:right="-234"/>
        <w:jc w:val="both"/>
        <w:rPr>
          <w:rFonts w:ascii="Arial Narrow" w:hAnsi="Arial Narrow"/>
          <w:sz w:val="24"/>
          <w:szCs w:val="24"/>
        </w:rPr>
      </w:pPr>
      <w:r w:rsidRPr="003B46A3">
        <w:rPr>
          <w:rFonts w:ascii="Arial Narrow" w:hAnsi="Arial Narrow"/>
          <w:sz w:val="24"/>
          <w:szCs w:val="24"/>
        </w:rPr>
        <w:t xml:space="preserve">Artículo 99. El recurso administrativo comprenderá los recursos de revisión y de queja. </w:t>
      </w:r>
    </w:p>
    <w:p w14:paraId="45AC2C44" w14:textId="713AC776" w:rsidR="003B46A3" w:rsidRPr="003B46A3" w:rsidRDefault="003B46A3" w:rsidP="003B46A3">
      <w:pPr>
        <w:tabs>
          <w:tab w:val="left" w:pos="284"/>
          <w:tab w:val="right" w:pos="9072"/>
        </w:tabs>
        <w:spacing w:after="0" w:line="360" w:lineRule="auto"/>
        <w:ind w:left="1134" w:right="-234"/>
        <w:jc w:val="both"/>
        <w:rPr>
          <w:rFonts w:ascii="Arial Narrow" w:hAnsi="Arial Narrow"/>
          <w:sz w:val="24"/>
          <w:szCs w:val="24"/>
        </w:rPr>
      </w:pPr>
      <w:r w:rsidRPr="003B46A3">
        <w:rPr>
          <w:rFonts w:ascii="Arial Narrow" w:hAnsi="Arial Narrow"/>
          <w:sz w:val="24"/>
          <w:szCs w:val="24"/>
        </w:rPr>
        <w:t xml:space="preserve">I. El </w:t>
      </w:r>
      <w:r w:rsidRPr="000A65DB">
        <w:rPr>
          <w:rFonts w:ascii="Arial Narrow" w:hAnsi="Arial Narrow"/>
          <w:sz w:val="24"/>
          <w:szCs w:val="24"/>
          <w:u w:val="single"/>
        </w:rPr>
        <w:t xml:space="preserve">recurso de revisión </w:t>
      </w:r>
      <w:r w:rsidRPr="003B46A3">
        <w:rPr>
          <w:rFonts w:ascii="Arial Narrow" w:hAnsi="Arial Narrow"/>
          <w:sz w:val="24"/>
          <w:szCs w:val="24"/>
        </w:rPr>
        <w:t xml:space="preserve">procederá </w:t>
      </w:r>
      <w:r w:rsidRPr="000A65DB">
        <w:rPr>
          <w:rFonts w:ascii="Arial Narrow" w:hAnsi="Arial Narrow"/>
          <w:sz w:val="24"/>
          <w:szCs w:val="24"/>
          <w:u w:val="single"/>
        </w:rPr>
        <w:t>contra resoluciones de autoridades educativas</w:t>
      </w:r>
      <w:r w:rsidRPr="003B46A3">
        <w:rPr>
          <w:rFonts w:ascii="Arial Narrow" w:hAnsi="Arial Narrow"/>
          <w:sz w:val="24"/>
          <w:szCs w:val="24"/>
        </w:rPr>
        <w:t>, dictadas con apego a la presente Ley y disposiciones derivadas de ésta, y</w:t>
      </w:r>
    </w:p>
    <w:p w14:paraId="7702DBF2" w14:textId="3DEDBEDF" w:rsidR="003B46A3" w:rsidRPr="003B46A3" w:rsidRDefault="003B46A3" w:rsidP="003B46A3">
      <w:pPr>
        <w:tabs>
          <w:tab w:val="left" w:pos="284"/>
          <w:tab w:val="right" w:pos="9072"/>
        </w:tabs>
        <w:spacing w:after="0" w:line="360" w:lineRule="auto"/>
        <w:ind w:left="1134" w:right="-234"/>
        <w:jc w:val="both"/>
        <w:rPr>
          <w:rFonts w:ascii="Arial Narrow" w:hAnsi="Arial Narrow" w:cs="Arial"/>
          <w:bCs/>
          <w:sz w:val="24"/>
          <w:szCs w:val="24"/>
        </w:rPr>
      </w:pPr>
      <w:r w:rsidRPr="003B46A3">
        <w:rPr>
          <w:rFonts w:ascii="Arial Narrow" w:hAnsi="Arial Narrow" w:cs="Arial"/>
          <w:bCs/>
          <w:sz w:val="24"/>
          <w:szCs w:val="24"/>
        </w:rPr>
        <w:t>(…)</w:t>
      </w:r>
    </w:p>
    <w:p w14:paraId="00B31960" w14:textId="71E11B93" w:rsidR="003B46A3" w:rsidRDefault="003B46A3" w:rsidP="00773EE8">
      <w:pPr>
        <w:pStyle w:val="Sinespaciado"/>
        <w:rPr>
          <w:rFonts w:eastAsia="Calibri"/>
          <w:lang w:eastAsia="en-US"/>
        </w:rPr>
      </w:pPr>
    </w:p>
    <w:p w14:paraId="63EBD897" w14:textId="1770E005" w:rsidR="003B46A3" w:rsidRDefault="00417002"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De su lectura se advierte que la propia Ley de Educación para el Estado Libre y Soberano de Oaxaca prevé la procedencia de un recurso de revisión contra actos emitidos por autoridades educativas tal y como la aquí demandada. </w:t>
      </w:r>
    </w:p>
    <w:p w14:paraId="781B8DB1" w14:textId="639B3793" w:rsidR="003B46A3" w:rsidRDefault="00445F77"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Por lo tanto, en atención a que la naturaleza del recurso administrativo lo es la de verificar de manera interna la legalidad de una actuación emitida por una autoridad administrativa y en atención a que también constituye un medio en que los particulares puedan defender sus intereses, se debe tener como que la omisión </w:t>
      </w:r>
      <w:r w:rsidR="00CF04E4">
        <w:rPr>
          <w:rFonts w:ascii="Arial" w:eastAsia="Calibri" w:hAnsi="Arial" w:cs="Arial"/>
          <w:sz w:val="24"/>
          <w:szCs w:val="24"/>
          <w:lang w:eastAsia="en-US"/>
        </w:rPr>
        <w:t xml:space="preserve">de parte de la autoridad demandada, pese a que la ley aplicable, es decir, la Ley de Educación para el Estado Libre y Soberano de Oaxaca, sí prevé la procedencia del recurso de revisión, de trata de una transgresión a los principios que rigen el recurso administrativo, de conformidad con la Tesis </w:t>
      </w:r>
      <w:r w:rsidR="00CF04E4" w:rsidRPr="00CF04E4">
        <w:rPr>
          <w:rFonts w:ascii="Arial" w:eastAsia="Calibri" w:hAnsi="Arial" w:cs="Arial"/>
          <w:sz w:val="24"/>
          <w:szCs w:val="24"/>
          <w:lang w:eastAsia="en-US"/>
        </w:rPr>
        <w:t>I.8o.A.144 A (9a.)</w:t>
      </w:r>
      <w:r w:rsidR="00CF04E4">
        <w:rPr>
          <w:rFonts w:ascii="Arial" w:eastAsia="Calibri" w:hAnsi="Arial" w:cs="Arial"/>
          <w:sz w:val="24"/>
          <w:szCs w:val="24"/>
          <w:lang w:eastAsia="en-US"/>
        </w:rPr>
        <w:t xml:space="preserve">, publicada en el </w:t>
      </w:r>
      <w:r w:rsidR="00CF04E4" w:rsidRPr="00CF04E4">
        <w:rPr>
          <w:rFonts w:ascii="Arial" w:eastAsia="Calibri" w:hAnsi="Arial" w:cs="Arial"/>
          <w:sz w:val="24"/>
          <w:szCs w:val="24"/>
          <w:lang w:eastAsia="en-US"/>
        </w:rPr>
        <w:t>Semanario Judicial de la Federación y su Gaceta</w:t>
      </w:r>
      <w:r w:rsidR="00CF04E4">
        <w:rPr>
          <w:rFonts w:ascii="Arial" w:eastAsia="Calibri" w:hAnsi="Arial" w:cs="Arial"/>
          <w:sz w:val="24"/>
          <w:szCs w:val="24"/>
          <w:lang w:eastAsia="en-US"/>
        </w:rPr>
        <w:t xml:space="preserve"> </w:t>
      </w:r>
      <w:r w:rsidR="00CF04E4" w:rsidRPr="00CF04E4">
        <w:rPr>
          <w:rFonts w:ascii="Arial" w:eastAsia="Calibri" w:hAnsi="Arial" w:cs="Arial"/>
          <w:sz w:val="24"/>
          <w:szCs w:val="24"/>
          <w:lang w:eastAsia="en-US"/>
        </w:rPr>
        <w:t>Libro XI, Agosto de 2012, Tomo 2, página 1964</w:t>
      </w:r>
      <w:r w:rsidR="00CF04E4">
        <w:rPr>
          <w:rFonts w:ascii="Arial" w:eastAsia="Calibri" w:hAnsi="Arial" w:cs="Arial"/>
          <w:sz w:val="24"/>
          <w:szCs w:val="24"/>
          <w:lang w:eastAsia="en-US"/>
        </w:rPr>
        <w:t>. Décima Época de rubro y texto siguientes</w:t>
      </w:r>
      <w:r w:rsidR="003255CF">
        <w:rPr>
          <w:rFonts w:ascii="Arial" w:eastAsia="Calibri" w:hAnsi="Arial" w:cs="Arial"/>
          <w:sz w:val="24"/>
          <w:szCs w:val="24"/>
          <w:lang w:eastAsia="en-US"/>
        </w:rPr>
        <w:t xml:space="preserve"> invocada por identidad jurídica</w:t>
      </w:r>
      <w:r w:rsidR="00CF04E4">
        <w:rPr>
          <w:rFonts w:ascii="Arial" w:eastAsia="Calibri" w:hAnsi="Arial" w:cs="Arial"/>
          <w:sz w:val="24"/>
          <w:szCs w:val="24"/>
          <w:lang w:eastAsia="en-US"/>
        </w:rPr>
        <w:t xml:space="preserve">: </w:t>
      </w:r>
    </w:p>
    <w:p w14:paraId="40E08873" w14:textId="00DF6FC2" w:rsidR="00CF04E4" w:rsidRPr="00CF04E4" w:rsidRDefault="00CF04E4" w:rsidP="00CF04E4">
      <w:pPr>
        <w:tabs>
          <w:tab w:val="left" w:pos="284"/>
          <w:tab w:val="left" w:pos="426"/>
          <w:tab w:val="right" w:pos="9072"/>
        </w:tabs>
        <w:spacing w:after="0" w:line="360" w:lineRule="auto"/>
        <w:ind w:right="-234" w:firstLine="567"/>
        <w:jc w:val="both"/>
        <w:rPr>
          <w:rFonts w:ascii="Arial" w:eastAsia="Calibri" w:hAnsi="Arial" w:cs="Arial"/>
          <w:b/>
          <w:bCs/>
          <w:sz w:val="24"/>
          <w:szCs w:val="24"/>
          <w:lang w:eastAsia="en-US"/>
        </w:rPr>
      </w:pPr>
    </w:p>
    <w:p w14:paraId="16CF2000" w14:textId="35F089C1" w:rsidR="00CF04E4" w:rsidRPr="00773EE8" w:rsidRDefault="00773EE8" w:rsidP="00773EE8">
      <w:pPr>
        <w:tabs>
          <w:tab w:val="left" w:pos="284"/>
          <w:tab w:val="left" w:pos="709"/>
          <w:tab w:val="right" w:pos="9072"/>
        </w:tabs>
        <w:spacing w:after="0"/>
        <w:ind w:left="851" w:right="333"/>
        <w:jc w:val="both"/>
        <w:rPr>
          <w:rFonts w:ascii="Calibri Light" w:eastAsia="Calibri" w:hAnsi="Calibri Light" w:cs="Arial"/>
          <w:b/>
          <w:bCs/>
          <w:lang w:eastAsia="en-US"/>
        </w:rPr>
      </w:pPr>
      <w:r>
        <w:rPr>
          <w:rFonts w:ascii="Calibri Light" w:eastAsia="Calibri" w:hAnsi="Calibri Light" w:cs="Arial"/>
          <w:b/>
          <w:bCs/>
          <w:lang w:eastAsia="en-US"/>
        </w:rPr>
        <w:t>“</w:t>
      </w:r>
      <w:r w:rsidR="00CF04E4" w:rsidRPr="00773EE8">
        <w:rPr>
          <w:rFonts w:ascii="Calibri Light" w:eastAsia="Calibri" w:hAnsi="Calibri Light" w:cs="Arial"/>
          <w:b/>
          <w:bCs/>
          <w:lang w:eastAsia="en-US"/>
        </w:rPr>
        <w:t>RECURSO EN SEDE ADMINISTRATIVA. CUANDO LA AUTORIDAD SEÑALA CIERTO PLAZO PARA SU INTERPOSICIÓN Y LUEGO LO DESCONOCE Y DESECHA POR EXTEMPORÁNEO, VIOLA EL PRINCIPIO DE BUENA FE QUE RIGE SU ACTIVIDAD.</w:t>
      </w:r>
      <w:r>
        <w:rPr>
          <w:rFonts w:ascii="Calibri Light" w:eastAsia="Calibri" w:hAnsi="Calibri Light" w:cs="Arial"/>
          <w:b/>
          <w:bCs/>
          <w:lang w:eastAsia="en-US"/>
        </w:rPr>
        <w:t xml:space="preserve"> </w:t>
      </w:r>
      <w:r w:rsidR="00CF04E4" w:rsidRPr="00773EE8">
        <w:rPr>
          <w:rFonts w:ascii="Calibri Light" w:eastAsia="Calibri" w:hAnsi="Calibri Light" w:cs="Arial"/>
          <w:lang w:eastAsia="en-US"/>
        </w:rPr>
        <w:t>Cuando la autoridad señala en sus actos que el afectado por ellos tiene cierto plazo para interponer el recurso en sede administrativa y luego lo desconoce y desecha por extemporáneo el medio de impugnación, viola el principio de buena fe que rige su actividad, considerando que los recursos administrativos deben ser herramientas efectivas para que los particulares resuelvan sus controversias o defiendan sus intereses, y de tolerarse esta práctica se vulneraría también el derecho que toda persona tiene a un recurso efectivo, tutelado por el artículo 25 de la Convención Americana sobre Derechos Humanos.</w:t>
      </w:r>
      <w:r>
        <w:rPr>
          <w:rFonts w:ascii="Calibri Light" w:eastAsia="Calibri" w:hAnsi="Calibri Light" w:cs="Arial"/>
          <w:lang w:eastAsia="en-US"/>
        </w:rPr>
        <w:t>”</w:t>
      </w:r>
    </w:p>
    <w:p w14:paraId="03C235AE" w14:textId="4C920793" w:rsidR="00CF04E4" w:rsidRDefault="00CF04E4"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19396CCE" w14:textId="08E18D51" w:rsidR="00CF04E4" w:rsidRDefault="003255CF"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En tal sentido es procedente que la autoridad aquí demandada inicie el trámite del recurso de revisión interpuesto por la hoy actora, pues este se trata de un ejercicio de control jurídico interno de legalidad que, se reitera, se encuentra previsto por su propia Ley, de donde resulta procedente su estudio, </w:t>
      </w:r>
      <w:r>
        <w:rPr>
          <w:rFonts w:ascii="Arial" w:eastAsia="Calibri" w:hAnsi="Arial" w:cs="Arial"/>
          <w:sz w:val="24"/>
          <w:szCs w:val="24"/>
          <w:lang w:eastAsia="en-US"/>
        </w:rPr>
        <w:lastRenderedPageBreak/>
        <w:t xml:space="preserve">con independencia de que del resultado de los agravios expuestos por la actora, se arribe a la conclusión que la pretensión no resulta procedente, pues tal situación corresponde al estudio de fondo de la cuestión planteada. </w:t>
      </w:r>
    </w:p>
    <w:p w14:paraId="4FF71EA9" w14:textId="0F5BFFD0" w:rsidR="003255CF" w:rsidRDefault="003255CF" w:rsidP="002B375F">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Lo anterior con base en la Tesis </w:t>
      </w:r>
      <w:r w:rsidRPr="003255CF">
        <w:rPr>
          <w:rFonts w:ascii="Arial" w:eastAsia="Calibri" w:hAnsi="Arial" w:cs="Arial"/>
          <w:sz w:val="24"/>
          <w:szCs w:val="24"/>
          <w:lang w:eastAsia="en-US"/>
        </w:rPr>
        <w:t>2a. LI/2002</w:t>
      </w:r>
      <w:r w:rsidR="002B375F">
        <w:rPr>
          <w:rFonts w:ascii="Arial" w:eastAsia="Calibri" w:hAnsi="Arial" w:cs="Arial"/>
          <w:sz w:val="24"/>
          <w:szCs w:val="24"/>
          <w:lang w:eastAsia="en-US"/>
        </w:rPr>
        <w:t xml:space="preserve"> publicada en el </w:t>
      </w:r>
      <w:r w:rsidR="002B375F" w:rsidRPr="002B375F">
        <w:rPr>
          <w:rFonts w:ascii="Arial" w:eastAsia="Calibri" w:hAnsi="Arial" w:cs="Arial"/>
          <w:sz w:val="24"/>
          <w:szCs w:val="24"/>
          <w:lang w:eastAsia="en-US"/>
        </w:rPr>
        <w:t>Semanario Judicial de la Federación y su Gaceta</w:t>
      </w:r>
      <w:r w:rsidR="002B375F">
        <w:rPr>
          <w:rFonts w:ascii="Arial" w:eastAsia="Calibri" w:hAnsi="Arial" w:cs="Arial"/>
          <w:sz w:val="24"/>
          <w:szCs w:val="24"/>
          <w:lang w:eastAsia="en-US"/>
        </w:rPr>
        <w:t xml:space="preserve"> </w:t>
      </w:r>
      <w:r w:rsidR="002B375F" w:rsidRPr="002B375F">
        <w:rPr>
          <w:rFonts w:ascii="Arial" w:eastAsia="Calibri" w:hAnsi="Arial" w:cs="Arial"/>
          <w:sz w:val="24"/>
          <w:szCs w:val="24"/>
          <w:lang w:eastAsia="en-US"/>
        </w:rPr>
        <w:t>Tomo XV, Mayo de 2002, página 303</w:t>
      </w:r>
      <w:r w:rsidR="002B375F">
        <w:rPr>
          <w:rFonts w:ascii="Arial" w:eastAsia="Calibri" w:hAnsi="Arial" w:cs="Arial"/>
          <w:sz w:val="24"/>
          <w:szCs w:val="24"/>
          <w:lang w:eastAsia="en-US"/>
        </w:rPr>
        <w:t xml:space="preserve">, Novena Época de rubro y texto siguientes: </w:t>
      </w:r>
    </w:p>
    <w:p w14:paraId="577196DE" w14:textId="3BB5A75A" w:rsidR="002B375F" w:rsidRDefault="002B375F" w:rsidP="002B375F">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2E20654" w14:textId="44F613E9" w:rsidR="002B375F" w:rsidRPr="00773EE8" w:rsidRDefault="00773EE8" w:rsidP="00773EE8">
      <w:pPr>
        <w:tabs>
          <w:tab w:val="left" w:pos="284"/>
          <w:tab w:val="left" w:pos="851"/>
          <w:tab w:val="right" w:pos="9072"/>
        </w:tabs>
        <w:spacing w:after="0"/>
        <w:ind w:left="1134" w:right="49"/>
        <w:jc w:val="both"/>
        <w:rPr>
          <w:rFonts w:ascii="Calibri Light" w:eastAsia="Calibri" w:hAnsi="Calibri Light" w:cs="Arial"/>
          <w:b/>
          <w:bCs/>
          <w:lang w:eastAsia="en-US"/>
        </w:rPr>
      </w:pPr>
      <w:r w:rsidRPr="00773EE8">
        <w:rPr>
          <w:rFonts w:ascii="Calibri Light" w:eastAsia="Calibri" w:hAnsi="Calibri Light" w:cs="Arial"/>
          <w:b/>
          <w:bCs/>
          <w:lang w:eastAsia="en-US"/>
        </w:rPr>
        <w:t>“</w:t>
      </w:r>
      <w:r w:rsidR="002B375F" w:rsidRPr="00773EE8">
        <w:rPr>
          <w:rFonts w:ascii="Calibri Light" w:eastAsia="Calibri" w:hAnsi="Calibri Light" w:cs="Arial"/>
          <w:b/>
          <w:bCs/>
          <w:lang w:eastAsia="en-US"/>
        </w:rPr>
        <w:t>RECURSOS EN SEDE ADMINISTRATIVA. LOS PRINCIPIOS DE IMPARTICIÓN DE JUSTICIA, ESTABLECIDOS EN EL ARTÍCULO 17 CONSTITUCIONAL DEBEN ADECUARSE A LA NATURALEZA DE INTERÉS PÚBLICO DE AQUÉLLOS.</w:t>
      </w:r>
      <w:r>
        <w:rPr>
          <w:rFonts w:ascii="Calibri Light" w:eastAsia="Calibri" w:hAnsi="Calibri Light" w:cs="Arial"/>
          <w:b/>
          <w:bCs/>
          <w:lang w:eastAsia="en-US"/>
        </w:rPr>
        <w:t xml:space="preserve"> </w:t>
      </w:r>
      <w:r w:rsidR="002B375F" w:rsidRPr="00773EE8">
        <w:rPr>
          <w:rFonts w:ascii="Calibri Light" w:eastAsia="Calibri" w:hAnsi="Calibri Light" w:cs="Arial"/>
          <w:lang w:eastAsia="en-US"/>
        </w:rPr>
        <w:t>El recurso administrativo, en razón de su naturaleza, no implica la realización de una función jurisdiccional en tanto que en él no existe un órgano independiente ante el que se dirima una controversia, sino que se trata de un mero control interno de legalidad de la propia administración responsable de los actos impugnados, en ejercicio de un control jurídico que tiende más a la eficacia de su actuación, que es de orden público, que a la tutela de intereses particulares, de manera que dentro de los procedimientos recursales generalmente no rigen los principios de igualdad de las partes, ni de contradicción, puesto que no hay demandado, ni existe un Juez imparcial. En congruencia con lo anterior, se concluye que en los recursos administrativos rige, en lo esencial, la garantía individual de impartición de justicia pronta y completa que consagra el artículo 17 de la Constitución Política de los Estados Unidos Mexicanos, lo que implica que los principios que conforman ese derecho subjetivo público, deberán adecuarse a las diversas finalidades de esos medios de defensa.</w:t>
      </w:r>
      <w:r w:rsidRPr="00773EE8">
        <w:rPr>
          <w:rFonts w:ascii="Calibri Light" w:eastAsia="Calibri" w:hAnsi="Calibri Light" w:cs="Arial"/>
          <w:lang w:eastAsia="en-US"/>
        </w:rPr>
        <w:t>”</w:t>
      </w:r>
    </w:p>
    <w:p w14:paraId="3C27D9AB" w14:textId="5FD65747" w:rsidR="00CF04E4" w:rsidRDefault="00CF04E4"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2DE5BCEA" w14:textId="088A0F5D" w:rsidR="00CF04E4" w:rsidRDefault="002B375F" w:rsidP="00CF04E4">
      <w:pPr>
        <w:tabs>
          <w:tab w:val="left" w:pos="284"/>
          <w:tab w:val="left" w:pos="426"/>
          <w:tab w:val="right" w:pos="9072"/>
        </w:tabs>
        <w:spacing w:after="0" w:line="360" w:lineRule="auto"/>
        <w:ind w:right="-234" w:firstLine="567"/>
        <w:jc w:val="both"/>
        <w:rPr>
          <w:rFonts w:ascii="Arial" w:hAnsi="Arial" w:cs="Arial"/>
          <w:bCs/>
          <w:sz w:val="24"/>
          <w:szCs w:val="24"/>
        </w:rPr>
      </w:pPr>
      <w:r>
        <w:rPr>
          <w:rFonts w:ascii="Arial" w:eastAsia="Calibri" w:hAnsi="Arial" w:cs="Arial"/>
          <w:sz w:val="24"/>
          <w:szCs w:val="24"/>
          <w:lang w:eastAsia="en-US"/>
        </w:rPr>
        <w:t xml:space="preserve">Consecuentemente procede declarar la </w:t>
      </w:r>
      <w:r>
        <w:rPr>
          <w:rFonts w:ascii="Arial" w:eastAsia="Calibri" w:hAnsi="Arial" w:cs="Arial"/>
          <w:b/>
          <w:bCs/>
          <w:sz w:val="24"/>
          <w:szCs w:val="24"/>
          <w:lang w:eastAsia="en-US"/>
        </w:rPr>
        <w:t xml:space="preserve">NULIDAD </w:t>
      </w:r>
      <w:r>
        <w:rPr>
          <w:rFonts w:ascii="Arial" w:eastAsia="Calibri" w:hAnsi="Arial" w:cs="Arial"/>
          <w:sz w:val="24"/>
          <w:szCs w:val="24"/>
          <w:lang w:eastAsia="en-US"/>
        </w:rPr>
        <w:t xml:space="preserve">del </w:t>
      </w:r>
      <w:r>
        <w:rPr>
          <w:rFonts w:ascii="Arial" w:hAnsi="Arial" w:cs="Arial"/>
          <w:bCs/>
          <w:sz w:val="24"/>
          <w:szCs w:val="24"/>
        </w:rPr>
        <w:t xml:space="preserve">oficio SGSE/651/2019 de fecha once de julio de dos mil diecinueve, </w:t>
      </w:r>
      <w:r>
        <w:rPr>
          <w:rFonts w:ascii="Arial" w:hAnsi="Arial" w:cs="Arial"/>
          <w:b/>
          <w:sz w:val="24"/>
          <w:szCs w:val="24"/>
        </w:rPr>
        <w:t xml:space="preserve">PARA EL EFECTO </w:t>
      </w:r>
      <w:r>
        <w:rPr>
          <w:rFonts w:ascii="Arial" w:hAnsi="Arial" w:cs="Arial"/>
          <w:bCs/>
          <w:sz w:val="24"/>
          <w:szCs w:val="24"/>
        </w:rPr>
        <w:t xml:space="preserve">de que la demandada dicte otro en donde le dé trámite al recurso de revisión interpuesto por la actora y con base en su jurisdicción y competencia resuelva de forma fundada y motivada los planteamientos esgrimidos por la recurrente. </w:t>
      </w:r>
    </w:p>
    <w:p w14:paraId="3C0147E8" w14:textId="77777777" w:rsidR="002B375F" w:rsidRPr="00512412" w:rsidRDefault="002B375F" w:rsidP="002B375F">
      <w:pPr>
        <w:spacing w:after="0" w:line="360" w:lineRule="auto"/>
        <w:ind w:right="49" w:firstLine="567"/>
        <w:jc w:val="both"/>
        <w:rPr>
          <w:rFonts w:ascii="Arial" w:hAnsi="Arial" w:cs="Arial"/>
          <w:sz w:val="24"/>
          <w:szCs w:val="24"/>
        </w:rPr>
      </w:pPr>
    </w:p>
    <w:p w14:paraId="1830672D" w14:textId="77777777" w:rsidR="002B375F" w:rsidRPr="00512412" w:rsidRDefault="002B375F" w:rsidP="002B375F">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773EE8">
      <w:pPr>
        <w:pStyle w:val="Sinespaciado"/>
      </w:pPr>
    </w:p>
    <w:p w14:paraId="676D380E" w14:textId="77777777" w:rsidR="002B375F" w:rsidRPr="00512412" w:rsidRDefault="002B375F" w:rsidP="002B375F">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2B375F">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p>
    <w:p w14:paraId="5A6E4C73" w14:textId="1CA4DF6B" w:rsidR="002B375F" w:rsidRDefault="002B375F" w:rsidP="002B375F">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Pr>
          <w:rFonts w:ascii="Arial" w:hAnsi="Arial" w:cs="Arial"/>
          <w:b/>
          <w:bCs/>
          <w:sz w:val="24"/>
          <w:szCs w:val="24"/>
        </w:rPr>
        <w:t>NULIDAD</w:t>
      </w:r>
      <w:r w:rsidRPr="00512412">
        <w:rPr>
          <w:rFonts w:ascii="Arial" w:hAnsi="Arial" w:cs="Arial"/>
          <w:b/>
          <w:bCs/>
          <w:sz w:val="24"/>
          <w:szCs w:val="24"/>
        </w:rPr>
        <w:t xml:space="preserve"> </w:t>
      </w:r>
      <w:r>
        <w:rPr>
          <w:rFonts w:ascii="Arial" w:eastAsia="Calibri" w:hAnsi="Arial" w:cs="Arial"/>
          <w:sz w:val="24"/>
          <w:szCs w:val="24"/>
          <w:lang w:eastAsia="en-US"/>
        </w:rPr>
        <w:t xml:space="preserve">del </w:t>
      </w:r>
      <w:r>
        <w:rPr>
          <w:rFonts w:ascii="Arial" w:hAnsi="Arial" w:cs="Arial"/>
          <w:bCs/>
          <w:sz w:val="24"/>
          <w:szCs w:val="24"/>
        </w:rPr>
        <w:t>oficio SGSE/651/2019 de fecha once de julio de dos mil diecinueve para los efectos precisados en el considerando SEXTO de la presente resolución.</w:t>
      </w:r>
    </w:p>
    <w:p w14:paraId="7C1BBEAB" w14:textId="77777777" w:rsidR="002B375F" w:rsidRPr="00512412" w:rsidRDefault="002B375F" w:rsidP="002B375F">
      <w:pPr>
        <w:spacing w:after="0" w:line="360" w:lineRule="auto"/>
        <w:ind w:firstLine="567"/>
        <w:jc w:val="both"/>
        <w:rPr>
          <w:rFonts w:ascii="Arial" w:hAnsi="Arial" w:cs="Arial"/>
          <w:sz w:val="24"/>
          <w:szCs w:val="24"/>
        </w:rPr>
      </w:pPr>
    </w:p>
    <w:p w14:paraId="4F70F251" w14:textId="0EE25A0A" w:rsidR="002B375F" w:rsidRPr="00512412" w:rsidRDefault="002B375F" w:rsidP="002B375F">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t>CUARTO. Notifíquese personalmente a la parte actora y por oficio a la autoridad demandada</w:t>
      </w:r>
      <w:r w:rsidRPr="00512412">
        <w:rPr>
          <w:rFonts w:ascii="Arial" w:eastAsia="Times New Roman" w:hAnsi="Arial" w:cs="Arial"/>
          <w:sz w:val="24"/>
          <w:szCs w:val="24"/>
        </w:rPr>
        <w:t>, con fundamento en los artículos 172 fracción I y 173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2B375F">
      <w:pPr>
        <w:spacing w:after="0" w:line="360" w:lineRule="auto"/>
        <w:ind w:right="49" w:firstLine="567"/>
        <w:jc w:val="both"/>
        <w:rPr>
          <w:rFonts w:ascii="Arial" w:eastAsia="Times New Roman" w:hAnsi="Arial" w:cs="Arial"/>
          <w:b/>
          <w:sz w:val="24"/>
          <w:szCs w:val="24"/>
        </w:rPr>
      </w:pPr>
    </w:p>
    <w:p w14:paraId="7964499F" w14:textId="361B6314" w:rsidR="002B375F" w:rsidRPr="00512412" w:rsidRDefault="002B375F" w:rsidP="002B375F">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r w:rsidR="00773EE8">
        <w:rPr>
          <w:rFonts w:ascii="Arial" w:eastAsia="Times New Roman" w:hAnsi="Arial" w:cs="Arial"/>
          <w:sz w:val="24"/>
          <w:szCs w:val="24"/>
        </w:rPr>
        <w:t xml:space="preserve"> - - - - - - - - - - - - - - - - - - - - - - - - - - - - - - - - - - - - - - - - - - - - - - - - - - - -</w:t>
      </w:r>
    </w:p>
    <w:p w14:paraId="337C20C0" w14:textId="77777777" w:rsidR="002B375F" w:rsidRPr="002B375F" w:rsidRDefault="002B375F" w:rsidP="00CF04E4">
      <w:pPr>
        <w:tabs>
          <w:tab w:val="left" w:pos="284"/>
          <w:tab w:val="left" w:pos="426"/>
          <w:tab w:val="right" w:pos="9072"/>
        </w:tabs>
        <w:spacing w:after="0" w:line="360" w:lineRule="auto"/>
        <w:ind w:right="-234" w:firstLine="567"/>
        <w:jc w:val="both"/>
        <w:rPr>
          <w:rFonts w:ascii="Arial" w:eastAsia="Calibri" w:hAnsi="Arial" w:cs="Arial"/>
          <w:bCs/>
          <w:sz w:val="24"/>
          <w:szCs w:val="24"/>
          <w:lang w:val="es-ES" w:eastAsia="en-US"/>
        </w:rPr>
      </w:pPr>
    </w:p>
    <w:p w14:paraId="7E4AB95C" w14:textId="13B5EF6B" w:rsidR="00CF04E4" w:rsidRDefault="00CF04E4"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5AE8C0D" w14:textId="77777777" w:rsidR="00CF04E4" w:rsidRPr="00445F77" w:rsidRDefault="00CF04E4"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2D4B92EC" w14:textId="47503DE7"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6C639C69" w14:textId="44744BA6"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3C870189" w14:textId="2252C3A2"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5C27CFAD" w14:textId="7E571807"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6E41D23B" w14:textId="6E2B0DDA"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04BF5E1C" w14:textId="3C89F9AA"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143BD005" w14:textId="55A7FA73"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283FF52E" w14:textId="38ADB2AA"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7AABEC23" w14:textId="308EE663"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75293E8D" w14:textId="4A519837"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37494C86" w14:textId="120982A8"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11E60F92" w14:textId="41F011C8"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31E6F2E9" w14:textId="0401928A"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B5F6CF5" w14:textId="26E3CF05"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0C89A865" w14:textId="180DD94D"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665611B2" w14:textId="0EF1D8BF"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6F14CD42" w14:textId="0C134DD2"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5B9D3A0B" w14:textId="77777777" w:rsidR="003B46A3" w:rsidRDefault="003B46A3" w:rsidP="003B46A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78F0BF81" w14:textId="77777777" w:rsidR="007C7A1C" w:rsidRPr="00512412" w:rsidRDefault="007C7A1C" w:rsidP="007C7A1C">
      <w:pPr>
        <w:spacing w:after="160" w:line="360" w:lineRule="auto"/>
        <w:rPr>
          <w:rFonts w:ascii="Calibri" w:eastAsia="Calibri" w:hAnsi="Calibri" w:cs="Times New Roman"/>
          <w:sz w:val="24"/>
          <w:szCs w:val="24"/>
          <w:lang w:eastAsia="en-US"/>
        </w:rPr>
      </w:pPr>
    </w:p>
    <w:p w14:paraId="50453FE0" w14:textId="197A691C" w:rsidR="00BA258A" w:rsidRPr="00BC59CF" w:rsidRDefault="00BA258A" w:rsidP="00BC59CF"/>
    <w:sectPr w:rsidR="00BA258A" w:rsidRPr="00BC59CF" w:rsidSect="00666724">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DEAEC2" w14:textId="77777777" w:rsidR="00EF2736" w:rsidRDefault="00EF2736">
      <w:pPr>
        <w:spacing w:after="0" w:line="240" w:lineRule="auto"/>
      </w:pPr>
      <w:r>
        <w:separator/>
      </w:r>
    </w:p>
  </w:endnote>
  <w:endnote w:type="continuationSeparator" w:id="0">
    <w:p w14:paraId="133E766A" w14:textId="77777777" w:rsidR="00EF2736" w:rsidRDefault="00EF2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51DC81" w14:textId="77777777" w:rsidR="00EF2736" w:rsidRDefault="00EF2736">
      <w:pPr>
        <w:spacing w:after="0" w:line="240" w:lineRule="auto"/>
      </w:pPr>
      <w:r>
        <w:separator/>
      </w:r>
    </w:p>
  </w:footnote>
  <w:footnote w:type="continuationSeparator" w:id="0">
    <w:p w14:paraId="09090602" w14:textId="77777777" w:rsidR="00EF2736" w:rsidRDefault="00EF2736">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EF273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666724" w:rsidRPr="00666724">
          <w:rPr>
            <w:noProof/>
            <w:lang w:val="es-ES"/>
          </w:rPr>
          <w:t>6</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5AC96BA" w:rsidR="00A360DF" w:rsidRDefault="00EF2736" w:rsidP="00A503B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666724" w:rsidRPr="00666724">
          <w:rPr>
            <w:noProof/>
            <w:lang w:val="es-ES"/>
          </w:rPr>
          <w:t>1</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7C7A1C">
          <w:rPr>
            <w:rFonts w:ascii="Century Schoolbook" w:hAnsi="Century Schoolbook" w:cs="Arial"/>
            <w:b/>
            <w:bCs/>
          </w:rPr>
          <w:t xml:space="preserve">0084/2019 </w:t>
        </w:r>
        <w:r w:rsidR="00A503B3">
          <w:t xml:space="preserve">                      </w:t>
        </w:r>
        <w:sdt>
          <w:sdtPr>
            <w:rPr>
              <w:color w:val="00B0F0"/>
            </w:rPr>
            <w:id w:val="1700360081"/>
            <w:docPartObj>
              <w:docPartGallery w:val="Page Numbers (Top of Page)"/>
              <w:docPartUnique/>
            </w:docPartObj>
          </w:sdtPr>
          <w:sdtEndPr/>
          <w:sdtContent>
            <w:r w:rsidR="00A503B3" w:rsidRPr="00666724">
              <w:rPr>
                <w:rFonts w:ascii="Arial" w:hAnsi="Arial" w:cs="Arial"/>
                <w:b/>
                <w:color w:val="00B0F0"/>
              </w:rPr>
              <w:t xml:space="preserve">DATOS PERSONALES PROTEGIDOS POR EL ARTÍCULO 116 DE LA LGTAIP Y ARTÍCULO 61 DE LA LTAIPBGEO </w:t>
            </w:r>
          </w:sdtContent>
        </w:sdt>
        <w:r w:rsidR="00A503B3" w:rsidRPr="00666724">
          <w:rPr>
            <w:color w:val="00B0F0"/>
          </w:rPr>
          <w:t xml:space="preserve">                                                 </w:t>
        </w:r>
        <w:r w:rsidR="00A503B3" w:rsidRPr="00666724">
          <w:rPr>
            <w:rFonts w:ascii="Century Schoolbook" w:hAnsi="Century Schoolbook" w:cs="Arial"/>
            <w:color w:val="00B0F0"/>
          </w:rPr>
          <w:t xml:space="preserve"> </w:t>
        </w:r>
      </w:sdtContent>
    </w:sdt>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EF273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1F98"/>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0FF0"/>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49"/>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5F77"/>
    <w:rsid w:val="004468EC"/>
    <w:rsid w:val="00446A05"/>
    <w:rsid w:val="00446B69"/>
    <w:rsid w:val="004502C5"/>
    <w:rsid w:val="004509CE"/>
    <w:rsid w:val="00451498"/>
    <w:rsid w:val="004515BE"/>
    <w:rsid w:val="00452B43"/>
    <w:rsid w:val="004546D7"/>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2C4B"/>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724"/>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3EE8"/>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3C0"/>
    <w:rsid w:val="007C3B2E"/>
    <w:rsid w:val="007C405D"/>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03B3"/>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0E95"/>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736"/>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25193516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F2CB1-ACA3-4A1D-A36D-1DE5997C8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7</Pages>
  <Words>2261</Words>
  <Characters>12438</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9</cp:revision>
  <cp:lastPrinted>2022-10-26T15:29:00Z</cp:lastPrinted>
  <dcterms:created xsi:type="dcterms:W3CDTF">2022-10-26T15:31:00Z</dcterms:created>
  <dcterms:modified xsi:type="dcterms:W3CDTF">2023-10-23T21:11:00Z</dcterms:modified>
</cp:coreProperties>
</file>