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6B2626">
      <w:pPr>
        <w:spacing w:after="0"/>
        <w:ind w:left="3686" w:right="51"/>
        <w:jc w:val="both"/>
        <w:rPr>
          <w:rFonts w:ascii="Arial" w:eastAsia="Times New Roman" w:hAnsi="Arial" w:cs="Arial"/>
          <w:b/>
          <w:sz w:val="24"/>
          <w:szCs w:val="27"/>
          <w:lang w:val="es-ES_tradnl" w:eastAsia="es-ES"/>
        </w:rPr>
      </w:pPr>
    </w:p>
    <w:p w14:paraId="313147ED" w14:textId="3EF9D09E" w:rsidR="001658D6" w:rsidRPr="009C0C09" w:rsidRDefault="009C0C09" w:rsidP="006B2626">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r w:rsidR="005261EF">
        <w:rPr>
          <w:rFonts w:ascii="Arial" w:eastAsia="Times New Roman" w:hAnsi="Arial" w:cs="Arial"/>
          <w:b/>
          <w:sz w:val="24"/>
          <w:szCs w:val="27"/>
          <w:lang w:val="es-ES_tradnl" w:eastAsia="es-ES"/>
        </w:rPr>
        <w:t>.</w:t>
      </w:r>
    </w:p>
    <w:p w14:paraId="4621834D" w14:textId="0EB70707" w:rsidR="00140805" w:rsidRPr="009C0C09" w:rsidRDefault="00140805" w:rsidP="006B2626">
      <w:pPr>
        <w:spacing w:after="0"/>
        <w:ind w:left="3686" w:right="51"/>
        <w:jc w:val="both"/>
        <w:rPr>
          <w:rFonts w:ascii="Arial" w:eastAsia="Times New Roman" w:hAnsi="Arial" w:cs="Arial"/>
          <w:b/>
          <w:sz w:val="24"/>
          <w:szCs w:val="27"/>
          <w:lang w:val="es-ES_tradnl" w:eastAsia="es-ES"/>
        </w:rPr>
      </w:pPr>
    </w:p>
    <w:p w14:paraId="1E955A28" w14:textId="247E2421" w:rsidR="00140805" w:rsidRPr="009C0C09" w:rsidRDefault="00140805" w:rsidP="006B2626">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JUICIO DE NULIDAD:</w:t>
      </w:r>
      <w:r w:rsidR="005064AC">
        <w:rPr>
          <w:rFonts w:ascii="Arial" w:eastAsia="Times New Roman" w:hAnsi="Arial" w:cs="Arial"/>
          <w:b/>
          <w:sz w:val="24"/>
          <w:szCs w:val="27"/>
          <w:lang w:val="es-ES_tradnl" w:eastAsia="es-ES"/>
        </w:rPr>
        <w:t xml:space="preserve"> </w:t>
      </w:r>
      <w:r w:rsidR="005064AC" w:rsidRPr="005064AC">
        <w:rPr>
          <w:rFonts w:ascii="Arial" w:eastAsia="Times New Roman" w:hAnsi="Arial" w:cs="Arial"/>
          <w:bCs/>
          <w:sz w:val="24"/>
          <w:szCs w:val="27"/>
          <w:lang w:val="es-ES_tradnl" w:eastAsia="es-ES"/>
        </w:rPr>
        <w:t>84</w:t>
      </w:r>
      <w:r w:rsidR="006D5592">
        <w:rPr>
          <w:rFonts w:ascii="Arial" w:eastAsia="Times New Roman" w:hAnsi="Arial" w:cs="Arial"/>
          <w:bCs/>
          <w:sz w:val="24"/>
          <w:szCs w:val="27"/>
          <w:lang w:val="es-ES_tradnl" w:eastAsia="es-ES"/>
        </w:rPr>
        <w:t>/202</w:t>
      </w:r>
      <w:r w:rsidR="005064AC">
        <w:rPr>
          <w:rFonts w:ascii="Arial" w:eastAsia="Times New Roman" w:hAnsi="Arial" w:cs="Arial"/>
          <w:bCs/>
          <w:sz w:val="24"/>
          <w:szCs w:val="27"/>
          <w:lang w:val="es-ES_tradnl" w:eastAsia="es-ES"/>
        </w:rPr>
        <w:t>1</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p>
    <w:p w14:paraId="4AE0D200" w14:textId="7C51EC88" w:rsidR="003569E3" w:rsidRPr="009C0C09" w:rsidRDefault="003569E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5064AC">
        <w:rPr>
          <w:rFonts w:ascii="Arial" w:eastAsia="Times New Roman" w:hAnsi="Arial" w:cs="Arial"/>
          <w:b/>
          <w:sz w:val="24"/>
          <w:szCs w:val="27"/>
          <w:lang w:val="es-ES_tradnl" w:eastAsia="es-ES"/>
        </w:rPr>
        <w:t xml:space="preserve"> </w:t>
      </w:r>
      <w:r w:rsidR="00054178">
        <w:rPr>
          <w:rFonts w:ascii="Arial" w:eastAsia="Times New Roman" w:hAnsi="Arial" w:cs="Arial"/>
          <w:bCs/>
          <w:sz w:val="24"/>
          <w:szCs w:val="27"/>
          <w:lang w:val="es-ES_tradnl" w:eastAsia="es-ES"/>
        </w:rPr>
        <w:t>*****</w:t>
      </w:r>
      <w:r w:rsidR="00B44B6A">
        <w:rPr>
          <w:rFonts w:ascii="Arial" w:eastAsia="Times New Roman" w:hAnsi="Arial" w:cs="Arial"/>
          <w:bCs/>
          <w:sz w:val="24"/>
          <w:szCs w:val="27"/>
          <w:lang w:val="es-ES_tradnl" w:eastAsia="es-ES"/>
        </w:rPr>
        <w:t xml:space="preserve"> </w:t>
      </w:r>
      <w:r w:rsidR="00054178">
        <w:rPr>
          <w:rFonts w:ascii="Arial" w:eastAsia="Times New Roman" w:hAnsi="Arial" w:cs="Arial"/>
          <w:bCs/>
          <w:sz w:val="24"/>
          <w:szCs w:val="27"/>
          <w:lang w:val="es-ES_tradnl" w:eastAsia="es-ES"/>
        </w:rPr>
        <w:t>**** *****</w:t>
      </w:r>
      <w:r w:rsidR="00B44B6A">
        <w:rPr>
          <w:rFonts w:ascii="Arial" w:eastAsia="Times New Roman" w:hAnsi="Arial" w:cs="Arial"/>
          <w:bCs/>
          <w:sz w:val="24"/>
          <w:szCs w:val="27"/>
          <w:lang w:val="es-ES_tradnl" w:eastAsia="es-ES"/>
        </w:rPr>
        <w:t xml:space="preserve"> </w:t>
      </w:r>
      <w:r w:rsidR="00054178">
        <w:rPr>
          <w:rFonts w:ascii="Arial" w:eastAsia="Times New Roman" w:hAnsi="Arial" w:cs="Arial"/>
          <w:bCs/>
          <w:sz w:val="24"/>
          <w:szCs w:val="27"/>
          <w:lang w:val="es-ES_tradnl" w:eastAsia="es-ES"/>
        </w:rPr>
        <w:t>*****</w:t>
      </w:r>
      <w:r w:rsidR="005064AC">
        <w:rPr>
          <w:rFonts w:ascii="Arial" w:eastAsia="Times New Roman" w:hAnsi="Arial" w:cs="Arial"/>
          <w:bCs/>
          <w:sz w:val="24"/>
          <w:szCs w:val="27"/>
          <w:lang w:val="es-ES_tradnl" w:eastAsia="es-ES"/>
        </w:rPr>
        <w:t xml:space="preserve"> </w:t>
      </w:r>
      <w:r w:rsidR="00054178">
        <w:rPr>
          <w:rFonts w:ascii="Arial" w:eastAsia="Times New Roman" w:hAnsi="Arial" w:cs="Arial"/>
          <w:bCs/>
          <w:sz w:val="24"/>
          <w:szCs w:val="27"/>
          <w:lang w:val="es-ES_tradnl" w:eastAsia="es-ES"/>
        </w:rPr>
        <w:t>*****</w:t>
      </w:r>
      <w:r w:rsidR="00963E41">
        <w:rPr>
          <w:rFonts w:ascii="Arial" w:eastAsia="Times New Roman" w:hAnsi="Arial" w:cs="Arial"/>
          <w:sz w:val="24"/>
          <w:szCs w:val="27"/>
          <w:lang w:val="es-ES_tradnl" w:eastAsia="es-ES"/>
        </w:rPr>
        <w:t>.</w:t>
      </w:r>
      <w:r w:rsidR="00E9031A" w:rsidRPr="00C96EE7">
        <w:rPr>
          <w:rFonts w:ascii="Arial" w:eastAsia="Times New Roman" w:hAnsi="Arial" w:cs="Arial"/>
          <w:sz w:val="24"/>
          <w:szCs w:val="27"/>
          <w:lang w:val="es-ES_tradnl" w:eastAsia="es-ES"/>
        </w:rPr>
        <w:t xml:space="preserve"> </w:t>
      </w:r>
    </w:p>
    <w:p w14:paraId="2DE53633" w14:textId="77777777" w:rsidR="003569E3" w:rsidRPr="009C0C09" w:rsidRDefault="003569E3" w:rsidP="006B2626">
      <w:pPr>
        <w:spacing w:after="0"/>
        <w:ind w:left="3686" w:right="51"/>
        <w:jc w:val="both"/>
        <w:rPr>
          <w:rFonts w:ascii="Arial" w:eastAsia="Times New Roman" w:hAnsi="Arial" w:cs="Arial"/>
          <w:sz w:val="24"/>
          <w:szCs w:val="27"/>
          <w:lang w:val="es-ES_tradnl" w:eastAsia="es-ES"/>
        </w:rPr>
      </w:pPr>
    </w:p>
    <w:p w14:paraId="1570B435" w14:textId="761E58D5" w:rsidR="00C96EE7" w:rsidRDefault="00C07F53" w:rsidP="0001413A">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DEMANDADA:</w:t>
      </w:r>
      <w:r w:rsidR="00EB5EE2">
        <w:rPr>
          <w:rFonts w:ascii="Arial" w:eastAsia="Times New Roman" w:hAnsi="Arial" w:cs="Arial"/>
          <w:sz w:val="24"/>
          <w:szCs w:val="27"/>
          <w:lang w:val="es-ES_tradnl" w:eastAsia="es-ES"/>
        </w:rPr>
        <w:t xml:space="preserve"> </w:t>
      </w:r>
      <w:bookmarkStart w:id="0" w:name="_Hlk125551487"/>
      <w:r w:rsidR="0001413A">
        <w:rPr>
          <w:rFonts w:ascii="Arial" w:eastAsia="Times New Roman" w:hAnsi="Arial" w:cs="Arial"/>
          <w:sz w:val="24"/>
          <w:szCs w:val="27"/>
          <w:lang w:val="es-ES_tradnl" w:eastAsia="es-ES"/>
        </w:rPr>
        <w:t xml:space="preserve">CONSEJO DIRECTIVO DE PENSIONES DEL ESTADO, A TRAVÉS DE SU REPRESENTANTE EL </w:t>
      </w:r>
      <w:r w:rsidR="0001413A" w:rsidRPr="00A730CB">
        <w:rPr>
          <w:rFonts w:ascii="Arial" w:eastAsia="Times New Roman" w:hAnsi="Arial" w:cs="Arial"/>
          <w:sz w:val="24"/>
          <w:szCs w:val="27"/>
          <w:lang w:val="es-ES_tradnl" w:eastAsia="es-ES"/>
        </w:rPr>
        <w:t>DIRECTOR GENERAL DE LA OFICINA DE PENSIONES DEL ESTADO DE OAXACA</w:t>
      </w:r>
      <w:bookmarkEnd w:id="0"/>
      <w:r w:rsidR="0001413A" w:rsidRPr="00B32722">
        <w:rPr>
          <w:rFonts w:ascii="Arial" w:eastAsia="Times New Roman" w:hAnsi="Arial" w:cs="Arial"/>
          <w:sz w:val="24"/>
          <w:szCs w:val="27"/>
          <w:lang w:val="es-ES_tradnl" w:eastAsia="es-ES"/>
        </w:rPr>
        <w:t>.</w:t>
      </w:r>
      <w:r w:rsidR="0001413A">
        <w:rPr>
          <w:rFonts w:ascii="Arial" w:eastAsia="Times New Roman" w:hAnsi="Arial" w:cs="Arial"/>
          <w:sz w:val="24"/>
          <w:szCs w:val="27"/>
          <w:lang w:val="es-ES_tradnl" w:eastAsia="es-ES"/>
        </w:rPr>
        <w:t xml:space="preserve"> </w:t>
      </w:r>
    </w:p>
    <w:p w14:paraId="03FFC2E6" w14:textId="2784630A" w:rsidR="003569E3" w:rsidRDefault="00DE03B3" w:rsidP="007D03EB">
      <w:pPr>
        <w:tabs>
          <w:tab w:val="right" w:pos="8786"/>
        </w:tabs>
        <w:ind w:left="3686" w:right="51"/>
        <w:jc w:val="both"/>
        <w:rPr>
          <w:rFonts w:ascii="Arial" w:eastAsia="Times New Roman" w:hAnsi="Arial" w:cs="Arial"/>
          <w:sz w:val="24"/>
          <w:szCs w:val="27"/>
          <w:lang w:val="es-ES_tradnl" w:eastAsia="es-ES"/>
        </w:rPr>
      </w:pPr>
      <w:r>
        <w:rPr>
          <w:rFonts w:ascii="Arial" w:eastAsia="Times New Roman" w:hAnsi="Arial" w:cs="Arial"/>
          <w:sz w:val="24"/>
          <w:szCs w:val="27"/>
          <w:lang w:val="es-ES_tradnl" w:eastAsia="es-ES"/>
        </w:rPr>
        <w:t xml:space="preserve">                      </w:t>
      </w:r>
      <w:r w:rsidR="007D03EB">
        <w:rPr>
          <w:rFonts w:ascii="Arial" w:eastAsia="Times New Roman" w:hAnsi="Arial" w:cs="Arial"/>
          <w:sz w:val="24"/>
          <w:szCs w:val="27"/>
          <w:lang w:val="es-ES_tradnl" w:eastAsia="es-ES"/>
        </w:rPr>
        <w:tab/>
      </w:r>
    </w:p>
    <w:p w14:paraId="0E5182EB" w14:textId="2F600C7C" w:rsidR="007D03EB" w:rsidRPr="009C0C09" w:rsidRDefault="007D03EB" w:rsidP="007D03EB">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w:t>
      </w:r>
      <w:r>
        <w:rPr>
          <w:rFonts w:ascii="Arial" w:eastAsia="Times New Roman" w:hAnsi="Arial" w:cs="Arial"/>
          <w:b/>
          <w:sz w:val="24"/>
          <w:szCs w:val="27"/>
          <w:lang w:val="es-ES" w:eastAsia="es-ES"/>
        </w:rPr>
        <w:t xml:space="preserve"> A VEINTISÉIS DE</w:t>
      </w:r>
      <w:r w:rsidR="00167B31">
        <w:rPr>
          <w:rFonts w:ascii="Arial" w:eastAsia="Times New Roman" w:hAnsi="Arial" w:cs="Arial"/>
          <w:b/>
          <w:sz w:val="24"/>
          <w:szCs w:val="27"/>
          <w:lang w:val="es-ES" w:eastAsia="es-ES"/>
        </w:rPr>
        <w:t xml:space="preserve"> ENERO</w:t>
      </w:r>
      <w:r w:rsidRPr="009C0C09">
        <w:rPr>
          <w:rFonts w:ascii="Arial" w:eastAsia="Times New Roman" w:hAnsi="Arial" w:cs="Arial"/>
          <w:b/>
          <w:sz w:val="24"/>
          <w:szCs w:val="27"/>
          <w:lang w:val="es-ES" w:eastAsia="es-ES"/>
        </w:rPr>
        <w:t xml:space="preserve"> DE DOS MIL </w:t>
      </w:r>
      <w:r>
        <w:rPr>
          <w:rFonts w:ascii="Arial" w:eastAsia="Times New Roman" w:hAnsi="Arial" w:cs="Arial"/>
          <w:b/>
          <w:sz w:val="24"/>
          <w:szCs w:val="27"/>
          <w:lang w:val="es-ES" w:eastAsia="es-ES"/>
        </w:rPr>
        <w:t>VEINTI</w:t>
      </w:r>
      <w:r w:rsidR="00167B31">
        <w:rPr>
          <w:rFonts w:ascii="Arial" w:eastAsia="Times New Roman" w:hAnsi="Arial" w:cs="Arial"/>
          <w:b/>
          <w:sz w:val="24"/>
          <w:szCs w:val="27"/>
          <w:lang w:val="es-ES" w:eastAsia="es-ES"/>
        </w:rPr>
        <w:t>TRÉS</w:t>
      </w:r>
      <w:r w:rsidRPr="009C0C09">
        <w:rPr>
          <w:rFonts w:ascii="Arial" w:eastAsia="Times New Roman" w:hAnsi="Arial" w:cs="Arial"/>
          <w:b/>
          <w:sz w:val="24"/>
          <w:szCs w:val="27"/>
          <w:lang w:val="es-ES" w:eastAsia="es-ES"/>
        </w:rPr>
        <w:t>.</w:t>
      </w:r>
      <w:r w:rsidRPr="009C0C09">
        <w:rPr>
          <w:sz w:val="24"/>
          <w:szCs w:val="27"/>
        </w:rPr>
        <w:t xml:space="preserve"> </w:t>
      </w:r>
    </w:p>
    <w:p w14:paraId="6818297E" w14:textId="0CBC9D92" w:rsidR="007D03EB" w:rsidRPr="009C0C09" w:rsidRDefault="007D03EB" w:rsidP="007D03EB">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 xml:space="preserve">para resolver los autos del juicio de nulidad número </w:t>
      </w:r>
      <w:r>
        <w:rPr>
          <w:rFonts w:ascii="Arial" w:eastAsia="Times New Roman" w:hAnsi="Arial" w:cs="Arial"/>
          <w:b/>
          <w:bCs/>
          <w:sz w:val="24"/>
          <w:szCs w:val="27"/>
          <w:lang w:val="es-ES_tradnl" w:eastAsia="es-ES"/>
        </w:rPr>
        <w:t>84/2021</w:t>
      </w:r>
      <w:r w:rsidRPr="009C0C09">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promovido</w:t>
      </w:r>
      <w:r w:rsidRPr="009C0C09">
        <w:rPr>
          <w:rFonts w:ascii="Arial" w:eastAsia="Times New Roman" w:hAnsi="Arial" w:cs="Arial"/>
          <w:sz w:val="24"/>
          <w:szCs w:val="27"/>
          <w:lang w:val="es-ES_tradnl" w:eastAsia="es-ES"/>
        </w:rPr>
        <w:t xml:space="preserve"> por</w:t>
      </w:r>
      <w:r>
        <w:rPr>
          <w:rFonts w:ascii="Arial" w:eastAsia="Times New Roman" w:hAnsi="Arial" w:cs="Arial"/>
          <w:sz w:val="24"/>
          <w:szCs w:val="27"/>
          <w:lang w:val="es-ES_tradnl" w:eastAsia="es-ES"/>
        </w:rPr>
        <w:t xml:space="preserve"> </w:t>
      </w:r>
      <w:r w:rsidR="00054178">
        <w:rPr>
          <w:rFonts w:ascii="Arial" w:eastAsia="Times New Roman" w:hAnsi="Arial" w:cs="Arial"/>
          <w:b/>
          <w:bCs/>
          <w:sz w:val="24"/>
          <w:szCs w:val="27"/>
          <w:lang w:val="es-ES_tradnl" w:eastAsia="es-ES"/>
        </w:rPr>
        <w:t>***** *****</w:t>
      </w:r>
      <w:r w:rsidR="00B44B6A">
        <w:rPr>
          <w:rFonts w:ascii="Arial" w:eastAsia="Times New Roman" w:hAnsi="Arial" w:cs="Arial"/>
          <w:b/>
          <w:bCs/>
          <w:sz w:val="24"/>
          <w:szCs w:val="27"/>
          <w:lang w:val="es-ES_tradnl" w:eastAsia="es-ES"/>
        </w:rPr>
        <w:t xml:space="preserve"> </w:t>
      </w:r>
      <w:r w:rsidR="00054178">
        <w:rPr>
          <w:rFonts w:ascii="Arial" w:eastAsia="Times New Roman" w:hAnsi="Arial" w:cs="Arial"/>
          <w:b/>
          <w:bCs/>
          <w:sz w:val="24"/>
          <w:szCs w:val="27"/>
          <w:lang w:val="es-ES_tradnl" w:eastAsia="es-ES"/>
        </w:rPr>
        <w:t>*****</w:t>
      </w:r>
      <w:r w:rsidRPr="005D089B">
        <w:rPr>
          <w:rFonts w:ascii="Arial" w:eastAsia="Times New Roman" w:hAnsi="Arial" w:cs="Arial"/>
          <w:b/>
          <w:bCs/>
          <w:sz w:val="24"/>
          <w:szCs w:val="27"/>
          <w:lang w:val="es-ES_tradnl" w:eastAsia="es-ES"/>
        </w:rPr>
        <w:t xml:space="preserve"> </w:t>
      </w:r>
      <w:r w:rsidR="00054178">
        <w:rPr>
          <w:rFonts w:ascii="Arial" w:eastAsia="Times New Roman" w:hAnsi="Arial" w:cs="Arial"/>
          <w:b/>
          <w:bCs/>
          <w:sz w:val="24"/>
          <w:szCs w:val="27"/>
          <w:lang w:val="es-ES_tradnl" w:eastAsia="es-ES"/>
        </w:rPr>
        <w:t>*****</w:t>
      </w:r>
      <w:r w:rsidRPr="005D089B">
        <w:rPr>
          <w:rFonts w:ascii="Arial" w:eastAsia="Times New Roman" w:hAnsi="Arial" w:cs="Arial"/>
          <w:b/>
          <w:bCs/>
          <w:sz w:val="24"/>
          <w:szCs w:val="27"/>
          <w:lang w:val="es-ES_tradnl" w:eastAsia="es-ES"/>
        </w:rPr>
        <w:t xml:space="preserve"> </w:t>
      </w:r>
      <w:r w:rsidR="00054178">
        <w:rPr>
          <w:rFonts w:ascii="Arial" w:eastAsia="Times New Roman" w:hAnsi="Arial" w:cs="Arial"/>
          <w:b/>
          <w:bCs/>
          <w:sz w:val="24"/>
          <w:szCs w:val="27"/>
          <w:lang w:val="es-ES_tradnl" w:eastAsia="es-ES"/>
        </w:rPr>
        <w:t>*****</w:t>
      </w:r>
      <w:r w:rsidRPr="009C0C09">
        <w:rPr>
          <w:rFonts w:ascii="Arial" w:eastAsia="Times New Roman" w:hAnsi="Arial" w:cs="Arial"/>
          <w:sz w:val="24"/>
          <w:szCs w:val="27"/>
          <w:lang w:val="es-ES_tradnl" w:eastAsia="es-ES"/>
        </w:rPr>
        <w:t>, en contra de</w:t>
      </w:r>
      <w:r>
        <w:rPr>
          <w:rFonts w:ascii="Arial" w:eastAsia="Times New Roman" w:hAnsi="Arial" w:cs="Arial"/>
          <w:sz w:val="24"/>
          <w:szCs w:val="27"/>
          <w:lang w:val="es-ES_tradnl" w:eastAsia="es-ES"/>
        </w:rPr>
        <w:t>l</w:t>
      </w:r>
      <w:r w:rsidR="0001413A">
        <w:rPr>
          <w:rFonts w:ascii="Arial" w:eastAsia="Times New Roman" w:hAnsi="Arial" w:cs="Arial"/>
          <w:b/>
          <w:sz w:val="24"/>
          <w:szCs w:val="27"/>
          <w:lang w:val="es-ES_tradnl" w:eastAsia="es-ES"/>
        </w:rPr>
        <w:t xml:space="preserve"> </w:t>
      </w:r>
      <w:r w:rsidR="0001413A" w:rsidRPr="0001413A">
        <w:rPr>
          <w:rFonts w:ascii="Arial" w:eastAsia="Times New Roman" w:hAnsi="Arial" w:cs="Arial"/>
          <w:b/>
          <w:bCs/>
          <w:sz w:val="24"/>
          <w:szCs w:val="27"/>
          <w:lang w:val="es-ES_tradnl" w:eastAsia="es-ES"/>
        </w:rPr>
        <w:t>CONSEJO DIRECTIVO DE PENSIONES DEL ESTADO, A TRAVÉS DE SU REPRESENTANTE EL DIRECTOR GENERAL DE LA OFICINA DE PENSIONES DEL ESTADO DE OAXACA</w:t>
      </w:r>
      <w:r w:rsidR="0001413A">
        <w:rPr>
          <w:rFonts w:ascii="Arial" w:eastAsia="Times New Roman" w:hAnsi="Arial" w:cs="Arial"/>
          <w:b/>
          <w:sz w:val="24"/>
          <w:szCs w:val="27"/>
          <w:lang w:val="es-ES_tradnl" w:eastAsia="es-ES"/>
        </w:rPr>
        <w:t>,</w:t>
      </w:r>
      <w:r w:rsidRPr="009C0C09">
        <w:rPr>
          <w:rFonts w:ascii="Arial" w:eastAsia="Times New Roman" w:hAnsi="Arial" w:cs="Arial"/>
          <w:sz w:val="24"/>
          <w:szCs w:val="27"/>
          <w:lang w:val="es-ES_tradnl" w:eastAsia="es-ES"/>
        </w:rPr>
        <w:t xml:space="preserve"> y;</w:t>
      </w:r>
    </w:p>
    <w:p w14:paraId="01FCA27D" w14:textId="77777777" w:rsidR="007D03EB" w:rsidRPr="009C0C09" w:rsidRDefault="007D03EB" w:rsidP="007D03EB">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53F25579" w14:textId="47CBEC61" w:rsidR="007D03EB" w:rsidRDefault="007D03EB" w:rsidP="007D03EB">
      <w:pPr>
        <w:spacing w:line="360" w:lineRule="auto"/>
        <w:ind w:firstLine="567"/>
        <w:jc w:val="both"/>
        <w:rPr>
          <w:rFonts w:ascii="Arial" w:hAnsi="Arial" w:cs="Arial"/>
          <w:bCs/>
          <w:spacing w:val="-3"/>
          <w:sz w:val="24"/>
          <w:szCs w:val="27"/>
          <w:lang w:val="es-ES_tradnl"/>
        </w:rPr>
      </w:pPr>
      <w:r w:rsidRPr="009C0C09">
        <w:rPr>
          <w:rFonts w:ascii="Arial" w:hAnsi="Arial" w:cs="Arial"/>
          <w:b/>
          <w:spacing w:val="-3"/>
          <w:sz w:val="24"/>
          <w:szCs w:val="27"/>
          <w:lang w:val="es-ES_tradnl"/>
        </w:rPr>
        <w:t>PRIMERO.</w:t>
      </w:r>
      <w:r w:rsidRPr="009C0C09">
        <w:rPr>
          <w:rFonts w:ascii="Arial" w:hAnsi="Arial" w:cs="Arial"/>
          <w:bCs/>
          <w:spacing w:val="-3"/>
          <w:sz w:val="24"/>
          <w:szCs w:val="27"/>
          <w:lang w:val="es-ES_tradnl"/>
        </w:rPr>
        <w:t xml:space="preserve"> </w:t>
      </w:r>
      <w:r w:rsidRPr="00DB4C41">
        <w:rPr>
          <w:rFonts w:ascii="Arial" w:hAnsi="Arial" w:cs="Arial"/>
          <w:bCs/>
          <w:spacing w:val="-3"/>
          <w:sz w:val="24"/>
          <w:szCs w:val="27"/>
          <w:lang w:val="es-ES_tradnl"/>
        </w:rPr>
        <w:t>Con fecha</w:t>
      </w:r>
      <w:r>
        <w:rPr>
          <w:rFonts w:ascii="Arial" w:hAnsi="Arial" w:cs="Arial"/>
          <w:bCs/>
          <w:spacing w:val="-3"/>
          <w:sz w:val="24"/>
          <w:szCs w:val="27"/>
          <w:lang w:val="es-ES_tradnl"/>
        </w:rPr>
        <w:t xml:space="preserve"> dieciocho de octubre de dos mil veintiuno, </w:t>
      </w:r>
      <w:r w:rsidR="005839E1">
        <w:rPr>
          <w:rFonts w:ascii="Arial" w:hAnsi="Arial" w:cs="Arial"/>
          <w:bCs/>
          <w:spacing w:val="-3"/>
          <w:sz w:val="24"/>
          <w:szCs w:val="27"/>
          <w:lang w:val="es-ES_tradnl"/>
        </w:rPr>
        <w:t>****</w:t>
      </w:r>
      <w:r w:rsidR="003144B7">
        <w:rPr>
          <w:rFonts w:ascii="Arial" w:hAnsi="Arial" w:cs="Arial"/>
          <w:bCs/>
          <w:spacing w:val="-3"/>
          <w:sz w:val="24"/>
          <w:szCs w:val="27"/>
          <w:lang w:val="es-ES_tradnl"/>
        </w:rPr>
        <w:t xml:space="preserve"> </w:t>
      </w:r>
      <w:r w:rsidR="005839E1">
        <w:rPr>
          <w:rFonts w:ascii="Arial" w:hAnsi="Arial" w:cs="Arial"/>
          <w:bCs/>
          <w:spacing w:val="-3"/>
          <w:sz w:val="24"/>
          <w:szCs w:val="27"/>
          <w:lang w:val="es-ES_tradnl"/>
        </w:rPr>
        <w:t>****</w:t>
      </w:r>
      <w:r w:rsidR="003144B7">
        <w:rPr>
          <w:rFonts w:ascii="Arial" w:hAnsi="Arial" w:cs="Arial"/>
          <w:bCs/>
          <w:spacing w:val="-3"/>
          <w:sz w:val="24"/>
          <w:szCs w:val="27"/>
          <w:lang w:val="es-ES_tradnl"/>
        </w:rPr>
        <w:t xml:space="preserve"> </w:t>
      </w:r>
      <w:r w:rsidR="005839E1">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5839E1">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5839E1">
        <w:rPr>
          <w:rFonts w:ascii="Arial" w:hAnsi="Arial" w:cs="Arial"/>
          <w:bCs/>
          <w:spacing w:val="-3"/>
          <w:sz w:val="24"/>
          <w:szCs w:val="27"/>
          <w:lang w:val="es-ES_tradnl"/>
        </w:rPr>
        <w:t>*****</w:t>
      </w:r>
      <w:r>
        <w:rPr>
          <w:rFonts w:ascii="Arial" w:hAnsi="Arial" w:cs="Arial"/>
          <w:bCs/>
          <w:spacing w:val="-3"/>
          <w:sz w:val="24"/>
          <w:szCs w:val="27"/>
          <w:lang w:val="es-ES_tradnl"/>
        </w:rPr>
        <w:t>, presentó en la Oficialía de Partes común de este Tribunal, la demanda</w:t>
      </w:r>
      <w:r w:rsidRPr="00DB4C41">
        <w:rPr>
          <w:rFonts w:ascii="Arial" w:hAnsi="Arial" w:cs="Arial"/>
          <w:bCs/>
          <w:spacing w:val="-3"/>
          <w:sz w:val="24"/>
          <w:szCs w:val="27"/>
          <w:lang w:val="es-ES_tradnl"/>
        </w:rPr>
        <w:t xml:space="preserve"> quien por su propio derecho</w:t>
      </w:r>
      <w:r>
        <w:rPr>
          <w:rFonts w:ascii="Arial" w:hAnsi="Arial" w:cs="Arial"/>
          <w:bCs/>
          <w:spacing w:val="-3"/>
          <w:sz w:val="24"/>
          <w:szCs w:val="27"/>
          <w:lang w:val="es-ES_tradnl"/>
        </w:rPr>
        <w:t>,</w:t>
      </w:r>
      <w:r w:rsidRPr="00DB4C41">
        <w:rPr>
          <w:rFonts w:ascii="Arial" w:hAnsi="Arial" w:cs="Arial"/>
          <w:bCs/>
          <w:spacing w:val="-3"/>
          <w:sz w:val="24"/>
          <w:szCs w:val="27"/>
          <w:lang w:val="es-ES_tradnl"/>
        </w:rPr>
        <w:t xml:space="preserve"> demandó la nuli</w:t>
      </w:r>
      <w:r>
        <w:rPr>
          <w:rFonts w:ascii="Arial" w:hAnsi="Arial" w:cs="Arial"/>
          <w:bCs/>
          <w:spacing w:val="-3"/>
          <w:sz w:val="24"/>
          <w:szCs w:val="27"/>
          <w:lang w:val="es-ES_tradnl"/>
        </w:rPr>
        <w:t>dad de los oficios número OP/DG/</w:t>
      </w:r>
      <w:r w:rsidR="005839E1">
        <w:rPr>
          <w:rFonts w:ascii="Arial" w:hAnsi="Arial" w:cs="Arial"/>
          <w:bCs/>
          <w:spacing w:val="-3"/>
          <w:sz w:val="24"/>
          <w:szCs w:val="27"/>
          <w:lang w:val="es-ES_tradnl"/>
        </w:rPr>
        <w:t>*****</w:t>
      </w:r>
      <w:r>
        <w:rPr>
          <w:rFonts w:ascii="Arial" w:hAnsi="Arial" w:cs="Arial"/>
          <w:bCs/>
          <w:spacing w:val="-3"/>
          <w:sz w:val="24"/>
          <w:szCs w:val="27"/>
          <w:lang w:val="es-ES_tradnl"/>
        </w:rPr>
        <w:t>/</w:t>
      </w:r>
      <w:r w:rsidR="005839E1">
        <w:rPr>
          <w:rFonts w:ascii="Arial" w:hAnsi="Arial" w:cs="Arial"/>
          <w:bCs/>
          <w:spacing w:val="-3"/>
          <w:sz w:val="24"/>
          <w:szCs w:val="27"/>
          <w:lang w:val="es-ES_tradnl"/>
        </w:rPr>
        <w:t>*****</w:t>
      </w:r>
      <w:r>
        <w:rPr>
          <w:rFonts w:ascii="Arial" w:hAnsi="Arial" w:cs="Arial"/>
          <w:bCs/>
          <w:spacing w:val="-3"/>
          <w:sz w:val="24"/>
          <w:szCs w:val="27"/>
          <w:lang w:val="es-ES_tradnl"/>
        </w:rPr>
        <w:t xml:space="preserve">, de fecha </w:t>
      </w:r>
      <w:r w:rsidR="005839E1">
        <w:rPr>
          <w:rFonts w:ascii="Arial" w:hAnsi="Arial" w:cs="Arial"/>
          <w:bCs/>
          <w:spacing w:val="-3"/>
          <w:sz w:val="24"/>
          <w:szCs w:val="27"/>
          <w:lang w:val="es-ES_tradnl"/>
        </w:rPr>
        <w:t>*****</w:t>
      </w:r>
      <w:r>
        <w:rPr>
          <w:rFonts w:ascii="Arial" w:hAnsi="Arial" w:cs="Arial"/>
          <w:bCs/>
          <w:spacing w:val="-3"/>
          <w:sz w:val="24"/>
          <w:szCs w:val="27"/>
          <w:lang w:val="es-ES_tradnl"/>
        </w:rPr>
        <w:t xml:space="preserve"> de</w:t>
      </w:r>
      <w:r w:rsidR="005839E1">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de dos mil </w:t>
      </w:r>
      <w:r w:rsidR="005839E1">
        <w:rPr>
          <w:rFonts w:ascii="Arial" w:hAnsi="Arial" w:cs="Arial"/>
          <w:bCs/>
          <w:spacing w:val="-3"/>
          <w:sz w:val="24"/>
          <w:szCs w:val="27"/>
          <w:lang w:val="es-ES_tradnl"/>
        </w:rPr>
        <w:t>*****</w:t>
      </w:r>
      <w:r>
        <w:rPr>
          <w:rFonts w:ascii="Arial" w:hAnsi="Arial" w:cs="Arial"/>
          <w:bCs/>
          <w:spacing w:val="-3"/>
          <w:sz w:val="24"/>
          <w:szCs w:val="27"/>
          <w:lang w:val="es-ES_tradnl"/>
        </w:rPr>
        <w:t xml:space="preserve"> y el oficio número OP/DG/</w:t>
      </w:r>
      <w:r w:rsidR="005839E1">
        <w:rPr>
          <w:rFonts w:ascii="Arial" w:hAnsi="Arial" w:cs="Arial"/>
          <w:bCs/>
          <w:spacing w:val="-3"/>
          <w:sz w:val="24"/>
          <w:szCs w:val="27"/>
          <w:lang w:val="es-ES_tradnl"/>
        </w:rPr>
        <w:t>****</w:t>
      </w:r>
      <w:r>
        <w:rPr>
          <w:rFonts w:ascii="Arial" w:hAnsi="Arial" w:cs="Arial"/>
          <w:bCs/>
          <w:spacing w:val="-3"/>
          <w:sz w:val="24"/>
          <w:szCs w:val="27"/>
          <w:lang w:val="es-ES_tradnl"/>
        </w:rPr>
        <w:t>/</w:t>
      </w:r>
      <w:r w:rsidR="005839E1">
        <w:rPr>
          <w:rFonts w:ascii="Arial" w:hAnsi="Arial" w:cs="Arial"/>
          <w:bCs/>
          <w:spacing w:val="-3"/>
          <w:sz w:val="24"/>
          <w:szCs w:val="27"/>
          <w:lang w:val="es-ES_tradnl"/>
        </w:rPr>
        <w:t>****</w:t>
      </w:r>
      <w:r>
        <w:rPr>
          <w:rFonts w:ascii="Arial" w:hAnsi="Arial" w:cs="Arial"/>
          <w:bCs/>
          <w:spacing w:val="-3"/>
          <w:sz w:val="24"/>
          <w:szCs w:val="27"/>
          <w:lang w:val="es-ES_tradnl"/>
        </w:rPr>
        <w:t xml:space="preserve">, de fecha </w:t>
      </w:r>
      <w:r w:rsidR="005839E1">
        <w:rPr>
          <w:rFonts w:ascii="Arial" w:hAnsi="Arial" w:cs="Arial"/>
          <w:bCs/>
          <w:spacing w:val="-3"/>
          <w:sz w:val="24"/>
          <w:szCs w:val="27"/>
          <w:lang w:val="es-ES_tradnl"/>
        </w:rPr>
        <w:t>****</w:t>
      </w:r>
      <w:r>
        <w:rPr>
          <w:rFonts w:ascii="Arial" w:hAnsi="Arial" w:cs="Arial"/>
          <w:bCs/>
          <w:spacing w:val="-3"/>
          <w:sz w:val="24"/>
          <w:szCs w:val="27"/>
          <w:lang w:val="es-ES_tradnl"/>
        </w:rPr>
        <w:t xml:space="preserve"> de </w:t>
      </w:r>
      <w:r w:rsidR="005839E1">
        <w:rPr>
          <w:rFonts w:ascii="Arial" w:hAnsi="Arial" w:cs="Arial"/>
          <w:bCs/>
          <w:spacing w:val="-3"/>
          <w:sz w:val="24"/>
          <w:szCs w:val="27"/>
          <w:lang w:val="es-ES_tradnl"/>
        </w:rPr>
        <w:t>*****</w:t>
      </w:r>
      <w:r>
        <w:rPr>
          <w:rFonts w:ascii="Arial" w:hAnsi="Arial" w:cs="Arial"/>
          <w:bCs/>
          <w:spacing w:val="-3"/>
          <w:sz w:val="24"/>
          <w:szCs w:val="27"/>
          <w:lang w:val="es-ES_tradnl"/>
        </w:rPr>
        <w:t xml:space="preserve"> de dos mil </w:t>
      </w:r>
      <w:r w:rsidR="005839E1">
        <w:rPr>
          <w:rFonts w:ascii="Arial" w:hAnsi="Arial" w:cs="Arial"/>
          <w:bCs/>
          <w:spacing w:val="-3"/>
          <w:sz w:val="24"/>
          <w:szCs w:val="27"/>
          <w:lang w:val="es-ES_tradnl"/>
        </w:rPr>
        <w:t>*****</w:t>
      </w:r>
      <w:r w:rsidRPr="00DB4C41">
        <w:rPr>
          <w:rFonts w:ascii="Arial" w:hAnsi="Arial" w:cs="Arial"/>
          <w:bCs/>
          <w:spacing w:val="-3"/>
          <w:sz w:val="24"/>
          <w:szCs w:val="27"/>
          <w:lang w:val="es-ES_tradnl"/>
        </w:rPr>
        <w:t xml:space="preserve">, </w:t>
      </w:r>
      <w:r w:rsidR="00A604CE">
        <w:rPr>
          <w:rFonts w:ascii="Arial" w:hAnsi="Arial" w:cs="Arial"/>
          <w:bCs/>
          <w:spacing w:val="-3"/>
          <w:sz w:val="24"/>
          <w:szCs w:val="27"/>
          <w:lang w:val="es-ES_tradnl"/>
        </w:rPr>
        <w:t xml:space="preserve">ambos </w:t>
      </w:r>
      <w:r w:rsidRPr="00DB4C41">
        <w:rPr>
          <w:rFonts w:ascii="Arial" w:hAnsi="Arial" w:cs="Arial"/>
          <w:bCs/>
          <w:spacing w:val="-3"/>
          <w:sz w:val="24"/>
          <w:szCs w:val="27"/>
          <w:lang w:val="es-ES_tradnl"/>
        </w:rPr>
        <w:t>emitido</w:t>
      </w:r>
      <w:r>
        <w:rPr>
          <w:rFonts w:ascii="Arial" w:hAnsi="Arial" w:cs="Arial"/>
          <w:bCs/>
          <w:spacing w:val="-3"/>
          <w:sz w:val="24"/>
          <w:szCs w:val="27"/>
          <w:lang w:val="es-ES_tradnl"/>
        </w:rPr>
        <w:t>s</w:t>
      </w:r>
      <w:r w:rsidRPr="00DB4C41">
        <w:rPr>
          <w:rFonts w:ascii="Arial" w:hAnsi="Arial" w:cs="Arial"/>
          <w:bCs/>
          <w:spacing w:val="-3"/>
          <w:sz w:val="24"/>
          <w:szCs w:val="27"/>
          <w:lang w:val="es-ES_tradnl"/>
        </w:rPr>
        <w:t xml:space="preserve"> por el Director General de la Oficina de Pensiones del Estado de Oaxaca</w:t>
      </w:r>
      <w:r>
        <w:rPr>
          <w:rFonts w:ascii="Arial" w:hAnsi="Arial" w:cs="Arial"/>
          <w:bCs/>
          <w:spacing w:val="-3"/>
          <w:sz w:val="24"/>
          <w:szCs w:val="27"/>
          <w:lang w:val="es-ES_tradnl"/>
        </w:rPr>
        <w:t>;</w:t>
      </w:r>
      <w:r w:rsidRPr="00DB4C41">
        <w:rPr>
          <w:rFonts w:ascii="Arial" w:hAnsi="Arial" w:cs="Arial"/>
          <w:bCs/>
          <w:spacing w:val="-3"/>
          <w:sz w:val="24"/>
          <w:szCs w:val="27"/>
          <w:lang w:val="es-ES_tradnl"/>
        </w:rPr>
        <w:t xml:space="preserve"> por lo que mediante acuerdo de fecha</w:t>
      </w:r>
      <w:r>
        <w:rPr>
          <w:rFonts w:ascii="Arial" w:hAnsi="Arial" w:cs="Arial"/>
          <w:bCs/>
          <w:spacing w:val="-3"/>
          <w:sz w:val="24"/>
          <w:szCs w:val="27"/>
          <w:lang w:val="es-ES_tradnl"/>
        </w:rPr>
        <w:t xml:space="preserve"> diecinueve de octubre de dos mil veintiuno,</w:t>
      </w:r>
      <w:r w:rsidRPr="00DB4C41">
        <w:rPr>
          <w:rFonts w:ascii="Arial" w:hAnsi="Arial" w:cs="Arial"/>
          <w:bCs/>
          <w:spacing w:val="-3"/>
          <w:sz w:val="24"/>
          <w:szCs w:val="27"/>
          <w:lang w:val="es-ES_tradnl"/>
        </w:rPr>
        <w:t xml:space="preserve"> </w:t>
      </w:r>
      <w:r>
        <w:rPr>
          <w:rFonts w:ascii="Arial" w:hAnsi="Arial" w:cs="Arial"/>
          <w:bCs/>
          <w:spacing w:val="-3"/>
          <w:sz w:val="24"/>
          <w:szCs w:val="27"/>
          <w:lang w:val="es-ES_tradnl"/>
        </w:rPr>
        <w:t>se admitió a trámite la demanda interpuesta,</w:t>
      </w:r>
      <w:r w:rsidR="00E0095F">
        <w:rPr>
          <w:rFonts w:ascii="Arial" w:hAnsi="Arial" w:cs="Arial"/>
          <w:bCs/>
          <w:spacing w:val="-3"/>
          <w:sz w:val="24"/>
          <w:szCs w:val="27"/>
          <w:lang w:val="es-ES_tradnl"/>
        </w:rPr>
        <w:t xml:space="preserve"> ordenándose</w:t>
      </w:r>
      <w:r>
        <w:rPr>
          <w:rFonts w:ascii="Arial" w:hAnsi="Arial" w:cs="Arial"/>
          <w:bCs/>
          <w:spacing w:val="-3"/>
          <w:sz w:val="24"/>
          <w:szCs w:val="27"/>
          <w:lang w:val="es-ES_tradnl"/>
        </w:rPr>
        <w:t xml:space="preserve"> notificar, emplazar y correr traslado a la autoridad demandada para que realizara la contestación a la misma. </w:t>
      </w:r>
    </w:p>
    <w:p w14:paraId="12C5E86A" w14:textId="28753F94" w:rsidR="007D03EB" w:rsidRDefault="007D03EB" w:rsidP="007D03EB">
      <w:pPr>
        <w:spacing w:line="360" w:lineRule="auto"/>
        <w:ind w:firstLine="567"/>
        <w:jc w:val="both"/>
        <w:rPr>
          <w:rFonts w:ascii="Arial" w:hAnsi="Arial" w:cs="Arial"/>
          <w:bCs/>
          <w:spacing w:val="-3"/>
          <w:sz w:val="24"/>
          <w:szCs w:val="27"/>
          <w:lang w:val="es-ES_tradnl"/>
        </w:rPr>
      </w:pPr>
      <w:r w:rsidRPr="003172C1">
        <w:rPr>
          <w:rFonts w:ascii="Arial" w:hAnsi="Arial" w:cs="Arial"/>
          <w:b/>
          <w:bCs/>
          <w:spacing w:val="-3"/>
          <w:sz w:val="24"/>
          <w:szCs w:val="27"/>
          <w:lang w:val="es-ES_tradnl"/>
        </w:rPr>
        <w:t>SEGUNDO.</w:t>
      </w:r>
      <w:r>
        <w:rPr>
          <w:rFonts w:ascii="Arial" w:hAnsi="Arial" w:cs="Arial"/>
          <w:bCs/>
          <w:spacing w:val="-3"/>
          <w:sz w:val="24"/>
          <w:szCs w:val="27"/>
          <w:lang w:val="es-ES_tradnl"/>
        </w:rPr>
        <w:t xml:space="preserve"> Mediante proveído de fecha nueve de marzo de dos mil veintidós,</w:t>
      </w:r>
      <w:r w:rsidR="00B44B6A">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la autoridad demandada Jesús Parada Parada, </w:t>
      </w:r>
      <w:r w:rsidR="00A52C9E">
        <w:rPr>
          <w:rFonts w:ascii="Arial" w:hAnsi="Arial" w:cs="Arial"/>
          <w:bCs/>
          <w:spacing w:val="-3"/>
          <w:sz w:val="24"/>
          <w:szCs w:val="27"/>
          <w:lang w:val="es-ES_tradnl"/>
        </w:rPr>
        <w:t>a</w:t>
      </w:r>
      <w:r>
        <w:rPr>
          <w:rFonts w:ascii="Arial" w:hAnsi="Arial" w:cs="Arial"/>
          <w:bCs/>
          <w:spacing w:val="-3"/>
          <w:sz w:val="24"/>
          <w:szCs w:val="27"/>
          <w:lang w:val="es-ES_tradnl"/>
        </w:rPr>
        <w:t xml:space="preserve">poderado </w:t>
      </w:r>
      <w:r w:rsidR="00A52C9E">
        <w:rPr>
          <w:rFonts w:ascii="Arial" w:hAnsi="Arial" w:cs="Arial"/>
          <w:bCs/>
          <w:spacing w:val="-3"/>
          <w:sz w:val="24"/>
          <w:szCs w:val="27"/>
          <w:lang w:val="es-ES_tradnl"/>
        </w:rPr>
        <w:t>l</w:t>
      </w:r>
      <w:r>
        <w:rPr>
          <w:rFonts w:ascii="Arial" w:hAnsi="Arial" w:cs="Arial"/>
          <w:bCs/>
          <w:spacing w:val="-3"/>
          <w:sz w:val="24"/>
          <w:szCs w:val="27"/>
          <w:lang w:val="es-ES_tradnl"/>
        </w:rPr>
        <w:t xml:space="preserve">egal del Consejo Directivo de la Oficina de Pensiones del Estado, </w:t>
      </w:r>
      <w:r w:rsidR="0092479D">
        <w:rPr>
          <w:rFonts w:ascii="Arial" w:hAnsi="Arial" w:cs="Arial"/>
          <w:bCs/>
          <w:spacing w:val="-3"/>
          <w:sz w:val="24"/>
          <w:szCs w:val="27"/>
          <w:lang w:val="es-ES_tradnl"/>
        </w:rPr>
        <w:t>se le tuvo</w:t>
      </w:r>
      <w:r w:rsidR="001121F9">
        <w:rPr>
          <w:rFonts w:ascii="Arial" w:hAnsi="Arial" w:cs="Arial"/>
          <w:bCs/>
          <w:spacing w:val="-3"/>
          <w:sz w:val="24"/>
          <w:szCs w:val="27"/>
          <w:lang w:val="es-ES_tradnl"/>
        </w:rPr>
        <w:t xml:space="preserve"> por</w:t>
      </w:r>
      <w:r w:rsidR="0092479D">
        <w:rPr>
          <w:rFonts w:ascii="Arial" w:hAnsi="Arial" w:cs="Arial"/>
          <w:bCs/>
          <w:spacing w:val="-3"/>
          <w:sz w:val="24"/>
          <w:szCs w:val="27"/>
          <w:lang w:val="es-ES_tradnl"/>
        </w:rPr>
        <w:t xml:space="preserve"> </w:t>
      </w:r>
      <w:r w:rsidR="00C22A6D">
        <w:rPr>
          <w:rFonts w:ascii="Arial" w:hAnsi="Arial" w:cs="Arial"/>
          <w:bCs/>
          <w:spacing w:val="-3"/>
          <w:sz w:val="24"/>
          <w:szCs w:val="27"/>
          <w:lang w:val="es-ES_tradnl"/>
        </w:rPr>
        <w:t>objeta</w:t>
      </w:r>
      <w:r w:rsidR="00A52C9E">
        <w:rPr>
          <w:rFonts w:ascii="Arial" w:hAnsi="Arial" w:cs="Arial"/>
          <w:bCs/>
          <w:spacing w:val="-3"/>
          <w:sz w:val="24"/>
          <w:szCs w:val="27"/>
          <w:lang w:val="es-ES_tradnl"/>
        </w:rPr>
        <w:t>da</w:t>
      </w:r>
      <w:r>
        <w:rPr>
          <w:rFonts w:ascii="Arial" w:hAnsi="Arial" w:cs="Arial"/>
          <w:bCs/>
          <w:spacing w:val="-3"/>
          <w:sz w:val="24"/>
          <w:szCs w:val="27"/>
          <w:lang w:val="es-ES_tradnl"/>
        </w:rPr>
        <w:t xml:space="preserve"> la prueba</w:t>
      </w:r>
      <w:r w:rsidR="008A7320">
        <w:rPr>
          <w:rFonts w:ascii="Arial" w:hAnsi="Arial" w:cs="Arial"/>
          <w:bCs/>
          <w:spacing w:val="-3"/>
          <w:sz w:val="24"/>
          <w:szCs w:val="27"/>
          <w:lang w:val="es-ES_tradnl"/>
        </w:rPr>
        <w:t xml:space="preserve"> documental</w:t>
      </w:r>
      <w:r>
        <w:rPr>
          <w:rFonts w:ascii="Arial" w:hAnsi="Arial" w:cs="Arial"/>
          <w:bCs/>
          <w:spacing w:val="-3"/>
          <w:sz w:val="24"/>
          <w:szCs w:val="27"/>
          <w:lang w:val="es-ES_tradnl"/>
        </w:rPr>
        <w:t xml:space="preserve"> ofrecida por el actor, marcada con el número 2, de su escrito de demanda.</w:t>
      </w:r>
    </w:p>
    <w:p w14:paraId="4D71F2BD" w14:textId="776BC697" w:rsidR="007D03EB" w:rsidRDefault="002F3B0D" w:rsidP="007D03EB">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De igual forma</w:t>
      </w:r>
      <w:r w:rsidR="007D03EB">
        <w:rPr>
          <w:rFonts w:ascii="Arial" w:hAnsi="Arial" w:cs="Arial"/>
          <w:bCs/>
          <w:spacing w:val="-3"/>
          <w:sz w:val="24"/>
          <w:szCs w:val="27"/>
          <w:lang w:val="es-ES_tradnl"/>
        </w:rPr>
        <w:t>, se tuvo a</w:t>
      </w:r>
      <w:r w:rsidR="00B44B6A">
        <w:rPr>
          <w:rFonts w:ascii="Arial" w:hAnsi="Arial" w:cs="Arial"/>
          <w:bCs/>
          <w:spacing w:val="-3"/>
          <w:sz w:val="24"/>
          <w:szCs w:val="27"/>
          <w:lang w:val="es-ES_tradnl"/>
        </w:rPr>
        <w:t xml:space="preserve"> esa misma autoridad demandada</w:t>
      </w:r>
      <w:r w:rsidR="007D03EB" w:rsidRPr="00295A03">
        <w:rPr>
          <w:rFonts w:ascii="Arial" w:hAnsi="Arial" w:cs="Arial"/>
          <w:bCs/>
          <w:spacing w:val="-3"/>
          <w:sz w:val="24"/>
          <w:szCs w:val="27"/>
          <w:lang w:val="es-ES_tradnl"/>
        </w:rPr>
        <w:t>, contestando en tiempo y forma la demanda</w:t>
      </w:r>
      <w:r w:rsidR="001850C6">
        <w:rPr>
          <w:rFonts w:ascii="Arial" w:hAnsi="Arial" w:cs="Arial"/>
          <w:bCs/>
          <w:spacing w:val="-3"/>
          <w:sz w:val="24"/>
          <w:szCs w:val="27"/>
          <w:lang w:val="es-ES_tradnl"/>
        </w:rPr>
        <w:t>,</w:t>
      </w:r>
      <w:r w:rsidR="007D03EB" w:rsidRPr="00295A03">
        <w:rPr>
          <w:rFonts w:ascii="Arial" w:hAnsi="Arial" w:cs="Arial"/>
          <w:bCs/>
          <w:spacing w:val="-3"/>
          <w:sz w:val="24"/>
          <w:szCs w:val="27"/>
          <w:lang w:val="es-ES_tradnl"/>
        </w:rPr>
        <w:t xml:space="preserve"> y por admitidas las pruebas ofrecidas</w:t>
      </w:r>
      <w:r w:rsidR="007D03EB">
        <w:rPr>
          <w:rFonts w:ascii="Arial" w:hAnsi="Arial" w:cs="Arial"/>
          <w:bCs/>
          <w:spacing w:val="-3"/>
          <w:sz w:val="24"/>
          <w:szCs w:val="27"/>
          <w:lang w:val="es-ES_tradnl"/>
        </w:rPr>
        <w:t>, ordenándose correr traslado a la parte actora para los efectos legales correspondientes.</w:t>
      </w:r>
    </w:p>
    <w:p w14:paraId="277A1A66" w14:textId="43E46104" w:rsidR="007D03EB" w:rsidRDefault="005443AA" w:rsidP="007D03EB">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Por otra parte</w:t>
      </w:r>
      <w:r w:rsidR="007D03EB">
        <w:rPr>
          <w:rFonts w:ascii="Arial" w:hAnsi="Arial" w:cs="Arial"/>
          <w:bCs/>
          <w:spacing w:val="-3"/>
          <w:sz w:val="24"/>
          <w:szCs w:val="27"/>
          <w:lang w:val="es-ES_tradnl"/>
        </w:rPr>
        <w:t xml:space="preserve">, se requirió al promovente para que en el plazo ahí señalado, mediante diligencia formal manifestara su nombre correcto.  </w:t>
      </w:r>
    </w:p>
    <w:p w14:paraId="12537773" w14:textId="77777777" w:rsidR="007D03EB" w:rsidRDefault="007D03EB" w:rsidP="007D03EB">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Finalmente, se señaló fecha y hora para la celebración de la audiencia final.</w:t>
      </w:r>
    </w:p>
    <w:p w14:paraId="271A39B1" w14:textId="4DFBAEF1" w:rsidR="007D03EB" w:rsidRDefault="007D03EB" w:rsidP="007D03EB">
      <w:pPr>
        <w:spacing w:line="360" w:lineRule="auto"/>
        <w:ind w:firstLine="567"/>
        <w:jc w:val="both"/>
        <w:rPr>
          <w:rFonts w:ascii="Arial" w:hAnsi="Arial" w:cs="Arial"/>
          <w:bCs/>
          <w:spacing w:val="-3"/>
          <w:sz w:val="24"/>
          <w:szCs w:val="27"/>
          <w:lang w:val="es-ES_tradnl"/>
        </w:rPr>
      </w:pPr>
      <w:r w:rsidRPr="003172C1">
        <w:rPr>
          <w:rFonts w:ascii="Arial" w:hAnsi="Arial" w:cs="Arial"/>
          <w:b/>
          <w:bCs/>
          <w:spacing w:val="-3"/>
          <w:sz w:val="24"/>
          <w:szCs w:val="27"/>
          <w:lang w:val="es-ES_tradnl"/>
        </w:rPr>
        <w:t>TERCERO.</w:t>
      </w:r>
      <w:r>
        <w:rPr>
          <w:rFonts w:ascii="Arial" w:hAnsi="Arial" w:cs="Arial"/>
          <w:bCs/>
          <w:spacing w:val="-3"/>
          <w:sz w:val="24"/>
          <w:szCs w:val="27"/>
          <w:lang w:val="es-ES_tradnl"/>
        </w:rPr>
        <w:t xml:space="preserve"> El veintitrés de junio de dos mil veintidós, se llevó a cabo la audiencia final, sin la asistencia de las partes ni de persona que legalmente las representara, desahogándose las pruebas ahí mencionadas, asentándose que el actor formuló alegatos, por lo que se citó a las mismas para oír sentencia dentro del término de ley, y;</w:t>
      </w:r>
    </w:p>
    <w:p w14:paraId="3423F6A5" w14:textId="77777777" w:rsidR="007D03EB" w:rsidRPr="009C0C09" w:rsidRDefault="007D03EB" w:rsidP="007D03EB">
      <w:pPr>
        <w:spacing w:line="360" w:lineRule="auto"/>
        <w:jc w:val="center"/>
        <w:rPr>
          <w:rFonts w:ascii="Arial" w:hAnsi="Arial" w:cs="Arial"/>
          <w:b/>
          <w:spacing w:val="-3"/>
          <w:sz w:val="24"/>
          <w:szCs w:val="27"/>
          <w:lang w:val="es-ES_tradnl"/>
        </w:rPr>
      </w:pPr>
      <w:r w:rsidRPr="009C0C09">
        <w:rPr>
          <w:rFonts w:ascii="Arial" w:hAnsi="Arial" w:cs="Arial"/>
          <w:b/>
          <w:spacing w:val="-3"/>
          <w:sz w:val="24"/>
          <w:szCs w:val="27"/>
          <w:lang w:val="es-ES_tradnl"/>
        </w:rPr>
        <w:t>C O N S I D E R A N D O:</w:t>
      </w:r>
    </w:p>
    <w:p w14:paraId="62B9EC62" w14:textId="6BA95888" w:rsidR="007D03EB" w:rsidRPr="009C0C09" w:rsidRDefault="007D03EB" w:rsidP="007D03EB">
      <w:pPr>
        <w:spacing w:line="360" w:lineRule="auto"/>
        <w:ind w:firstLine="567"/>
        <w:jc w:val="both"/>
        <w:rPr>
          <w:rFonts w:ascii="Arial" w:hAnsi="Arial" w:cs="Arial"/>
          <w:sz w:val="24"/>
          <w:szCs w:val="27"/>
        </w:rPr>
      </w:pPr>
      <w:r w:rsidRPr="009C0C09">
        <w:rPr>
          <w:rFonts w:ascii="Arial" w:hAnsi="Arial" w:cs="Arial"/>
          <w:b/>
          <w:sz w:val="24"/>
          <w:szCs w:val="27"/>
        </w:rPr>
        <w:t>PRIMERO.</w:t>
      </w:r>
      <w:r w:rsidR="001E445E">
        <w:rPr>
          <w:rFonts w:ascii="Arial" w:hAnsi="Arial" w:cs="Arial"/>
          <w:b/>
          <w:sz w:val="24"/>
          <w:szCs w:val="27"/>
        </w:rPr>
        <w:t xml:space="preserve"> COMPETENCIA LEGAL.</w:t>
      </w:r>
      <w:r w:rsidRPr="009C0C09">
        <w:rPr>
          <w:rFonts w:ascii="Arial" w:hAnsi="Arial" w:cs="Arial"/>
          <w:b/>
          <w:sz w:val="24"/>
          <w:szCs w:val="27"/>
        </w:rPr>
        <w:t xml:space="preserve"> </w:t>
      </w:r>
      <w:r w:rsidRPr="004901A3">
        <w:rPr>
          <w:rFonts w:ascii="Arial" w:hAnsi="Arial" w:cs="Arial"/>
          <w:sz w:val="24"/>
          <w:szCs w:val="24"/>
        </w:rPr>
        <w:t>Esta Segunda Sala Unitaria</w:t>
      </w:r>
      <w:r>
        <w:rPr>
          <w:rFonts w:ascii="Arial" w:hAnsi="Arial" w:cs="Arial"/>
          <w:sz w:val="24"/>
          <w:szCs w:val="24"/>
        </w:rPr>
        <w:t xml:space="preserve"> </w:t>
      </w:r>
      <w:r w:rsidRPr="004901A3">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w:t>
      </w:r>
      <w:r>
        <w:rPr>
          <w:rFonts w:ascii="Arial" w:hAnsi="Arial" w:cs="Arial"/>
          <w:sz w:val="24"/>
          <w:szCs w:val="24"/>
        </w:rPr>
        <w:t xml:space="preserve"> </w:t>
      </w:r>
      <w:r w:rsidRPr="004901A3">
        <w:rPr>
          <w:rFonts w:ascii="Arial" w:hAnsi="Arial" w:cs="Arial"/>
          <w:sz w:val="24"/>
          <w:szCs w:val="24"/>
        </w:rPr>
        <w:t>133</w:t>
      </w:r>
      <w:r>
        <w:rPr>
          <w:rFonts w:ascii="Arial" w:hAnsi="Arial" w:cs="Arial"/>
          <w:sz w:val="24"/>
          <w:szCs w:val="24"/>
        </w:rPr>
        <w:t xml:space="preserve"> fracción I</w:t>
      </w:r>
      <w:r w:rsidRPr="004901A3">
        <w:rPr>
          <w:rFonts w:ascii="Arial" w:hAnsi="Arial" w:cs="Arial"/>
          <w:sz w:val="24"/>
          <w:szCs w:val="24"/>
        </w:rPr>
        <w:t>, 146 y 147 de la Ley de Procedimiento y Justicia Administrativa para el Estado de Oaxaca</w:t>
      </w:r>
      <w:r w:rsidR="001E445E">
        <w:rPr>
          <w:rFonts w:ascii="Arial" w:hAnsi="Arial" w:cs="Arial"/>
          <w:sz w:val="24"/>
          <w:szCs w:val="27"/>
        </w:rPr>
        <w:t>,</w:t>
      </w:r>
      <w:r w:rsidRPr="009C0C09">
        <w:rPr>
          <w:rFonts w:ascii="Arial" w:hAnsi="Arial" w:cs="Arial"/>
          <w:sz w:val="24"/>
          <w:szCs w:val="27"/>
        </w:rPr>
        <w:t xml:space="preserve"> </w:t>
      </w:r>
      <w:r w:rsidR="001E445E" w:rsidRPr="003F5678">
        <w:rPr>
          <w:rFonts w:ascii="Arial" w:hAnsi="Arial" w:cs="Arial"/>
          <w:sz w:val="24"/>
          <w:szCs w:val="24"/>
        </w:rPr>
        <w:t>por tratarse de determinaciones atribuidas a una autoridad cuya competencia corresponde al ámbito territorial y material en que este Tribunal ejerce su jurisdicción.</w:t>
      </w:r>
    </w:p>
    <w:p w14:paraId="11AE60A5" w14:textId="7F2A6697" w:rsidR="007D03EB" w:rsidRDefault="007D03EB" w:rsidP="0040298F">
      <w:pPr>
        <w:pStyle w:val="Textonotapie"/>
        <w:spacing w:line="360" w:lineRule="auto"/>
        <w:ind w:firstLine="708"/>
        <w:jc w:val="both"/>
        <w:rPr>
          <w:rFonts w:ascii="Arial" w:hAnsi="Arial" w:cs="Arial"/>
          <w:sz w:val="24"/>
          <w:szCs w:val="24"/>
        </w:rPr>
      </w:pPr>
      <w:r w:rsidRPr="009C0C09">
        <w:rPr>
          <w:rFonts w:ascii="Arial" w:hAnsi="Arial" w:cs="Arial"/>
          <w:b/>
          <w:snapToGrid w:val="0"/>
          <w:sz w:val="24"/>
          <w:szCs w:val="27"/>
        </w:rPr>
        <w:t>SEGUNDO.</w:t>
      </w:r>
      <w:r w:rsidR="001E445E">
        <w:rPr>
          <w:rFonts w:ascii="Arial" w:hAnsi="Arial" w:cs="Arial"/>
          <w:b/>
          <w:snapToGrid w:val="0"/>
          <w:sz w:val="24"/>
          <w:szCs w:val="27"/>
        </w:rPr>
        <w:t xml:space="preserve"> PERSONALIDAD.</w:t>
      </w:r>
      <w:r w:rsidR="0040298F">
        <w:rPr>
          <w:rFonts w:ascii="Arial" w:hAnsi="Arial" w:cs="Arial"/>
          <w:b/>
          <w:snapToGrid w:val="0"/>
          <w:sz w:val="24"/>
          <w:szCs w:val="27"/>
        </w:rPr>
        <w:t xml:space="preserve"> </w:t>
      </w:r>
      <w:r w:rsidRPr="002779CB">
        <w:rPr>
          <w:rFonts w:ascii="Arial" w:hAnsi="Arial" w:cs="Arial"/>
          <w:bCs/>
          <w:snapToGrid w:val="0"/>
          <w:sz w:val="24"/>
          <w:szCs w:val="24"/>
        </w:rPr>
        <w:t xml:space="preserve">La personalidad </w:t>
      </w:r>
      <w:r>
        <w:rPr>
          <w:rFonts w:ascii="Arial" w:hAnsi="Arial" w:cs="Arial"/>
          <w:bCs/>
          <w:snapToGrid w:val="0"/>
          <w:sz w:val="24"/>
          <w:szCs w:val="24"/>
        </w:rPr>
        <w:t>de las partes quedó acreditada en autos, en términos de</w:t>
      </w:r>
      <w:r w:rsidRPr="00F30404">
        <w:rPr>
          <w:rFonts w:ascii="Arial" w:hAnsi="Arial" w:cs="Arial"/>
          <w:bCs/>
          <w:snapToGrid w:val="0"/>
          <w:sz w:val="24"/>
          <w:szCs w:val="24"/>
        </w:rPr>
        <w:t xml:space="preserve"> los artículos 1</w:t>
      </w:r>
      <w:r>
        <w:rPr>
          <w:rFonts w:ascii="Arial" w:hAnsi="Arial" w:cs="Arial"/>
          <w:bCs/>
          <w:snapToGrid w:val="0"/>
          <w:sz w:val="24"/>
          <w:szCs w:val="24"/>
        </w:rPr>
        <w:t>48 y 151</w:t>
      </w:r>
      <w:r w:rsidRPr="00F30404">
        <w:rPr>
          <w:rFonts w:ascii="Arial" w:hAnsi="Arial" w:cs="Arial"/>
          <w:bCs/>
          <w:snapToGrid w:val="0"/>
          <w:sz w:val="24"/>
          <w:szCs w:val="24"/>
        </w:rPr>
        <w:t xml:space="preserve"> de la Ley de </w:t>
      </w:r>
      <w:r>
        <w:rPr>
          <w:rFonts w:ascii="Arial" w:hAnsi="Arial" w:cs="Arial"/>
          <w:bCs/>
          <w:snapToGrid w:val="0"/>
          <w:sz w:val="24"/>
          <w:szCs w:val="24"/>
        </w:rPr>
        <w:t xml:space="preserve">Procedimiento y </w:t>
      </w:r>
      <w:r w:rsidRPr="00F30404">
        <w:rPr>
          <w:rFonts w:ascii="Arial" w:hAnsi="Arial" w:cs="Arial"/>
          <w:bCs/>
          <w:snapToGrid w:val="0"/>
          <w:sz w:val="24"/>
          <w:szCs w:val="24"/>
        </w:rPr>
        <w:t>Justicia Administrativa para el Estado de Oaxaca</w:t>
      </w:r>
      <w:r w:rsidR="0040298F">
        <w:rPr>
          <w:rFonts w:ascii="Arial" w:hAnsi="Arial" w:cs="Arial"/>
          <w:bCs/>
          <w:snapToGrid w:val="0"/>
          <w:sz w:val="24"/>
          <w:szCs w:val="24"/>
        </w:rPr>
        <w:t xml:space="preserve">, </w:t>
      </w:r>
      <w:r w:rsidR="0040298F" w:rsidRPr="003F5678">
        <w:rPr>
          <w:rFonts w:ascii="Arial" w:hAnsi="Arial" w:cs="Arial"/>
          <w:sz w:val="24"/>
          <w:szCs w:val="24"/>
        </w:rPr>
        <w:t>dado que la parte actora compareció por su propio derecho, en tanto que la autoridad demandada compareció por conducto de su apoderado legal.</w:t>
      </w:r>
    </w:p>
    <w:p w14:paraId="18AEB97A" w14:textId="77777777" w:rsidR="0040298F" w:rsidRPr="0040298F" w:rsidRDefault="0040298F" w:rsidP="0040298F">
      <w:pPr>
        <w:pStyle w:val="Textonotapie"/>
        <w:spacing w:line="360" w:lineRule="auto"/>
        <w:ind w:firstLine="708"/>
        <w:jc w:val="both"/>
        <w:rPr>
          <w:rFonts w:ascii="Arial" w:hAnsi="Arial" w:cs="Arial"/>
          <w:sz w:val="24"/>
          <w:szCs w:val="24"/>
        </w:rPr>
      </w:pPr>
    </w:p>
    <w:p w14:paraId="34F222C8" w14:textId="14B5A163" w:rsidR="00DC0992" w:rsidRDefault="007D03EB" w:rsidP="00DC0992">
      <w:pPr>
        <w:spacing w:line="360" w:lineRule="auto"/>
        <w:ind w:firstLine="567"/>
        <w:jc w:val="both"/>
        <w:rPr>
          <w:rFonts w:ascii="Arial" w:hAnsi="Arial" w:cs="Arial"/>
          <w:bCs/>
          <w:sz w:val="24"/>
          <w:szCs w:val="24"/>
        </w:rPr>
      </w:pPr>
      <w:r>
        <w:rPr>
          <w:rFonts w:ascii="Arial" w:hAnsi="Arial" w:cs="Arial"/>
          <w:b/>
          <w:snapToGrid w:val="0"/>
          <w:sz w:val="24"/>
          <w:szCs w:val="27"/>
        </w:rPr>
        <w:t>TERCERO</w:t>
      </w:r>
      <w:r>
        <w:rPr>
          <w:rFonts w:ascii="Arial" w:hAnsi="Arial" w:cs="Arial"/>
          <w:b/>
          <w:sz w:val="24"/>
          <w:szCs w:val="24"/>
        </w:rPr>
        <w:t>.</w:t>
      </w:r>
      <w:r w:rsidRPr="00A9241D">
        <w:rPr>
          <w:rFonts w:ascii="Arial" w:hAnsi="Arial" w:cs="Arial"/>
          <w:b/>
          <w:sz w:val="24"/>
          <w:szCs w:val="24"/>
        </w:rPr>
        <w:t xml:space="preserve"> </w:t>
      </w:r>
      <w:r w:rsidR="00DC0992" w:rsidRPr="007B3E39">
        <w:rPr>
          <w:rFonts w:ascii="Arial" w:hAnsi="Arial" w:cs="Arial"/>
          <w:b/>
          <w:sz w:val="24"/>
          <w:szCs w:val="24"/>
        </w:rPr>
        <w:t>CAUSA</w:t>
      </w:r>
      <w:r w:rsidR="00DC0992">
        <w:rPr>
          <w:rFonts w:ascii="Arial" w:hAnsi="Arial" w:cs="Arial"/>
          <w:b/>
          <w:sz w:val="24"/>
          <w:szCs w:val="24"/>
        </w:rPr>
        <w:t>LES</w:t>
      </w:r>
      <w:r w:rsidR="00DC0992" w:rsidRPr="007B3E39">
        <w:rPr>
          <w:rFonts w:ascii="Arial" w:hAnsi="Arial" w:cs="Arial"/>
          <w:b/>
          <w:sz w:val="24"/>
          <w:szCs w:val="24"/>
        </w:rPr>
        <w:t xml:space="preserve"> DE IMPROCEDENCIA. </w:t>
      </w:r>
      <w:r w:rsidR="00DC0992" w:rsidRPr="007B3E39">
        <w:rPr>
          <w:rFonts w:ascii="Arial" w:hAnsi="Arial" w:cs="Arial"/>
          <w:bCs/>
          <w:sz w:val="24"/>
          <w:szCs w:val="24"/>
        </w:rPr>
        <w:t>La autoridad demandada en su contestación de demanda (fojas</w:t>
      </w:r>
      <w:r w:rsidR="00DC0992">
        <w:rPr>
          <w:rFonts w:ascii="Arial" w:hAnsi="Arial" w:cs="Arial"/>
          <w:bCs/>
          <w:sz w:val="24"/>
          <w:szCs w:val="24"/>
        </w:rPr>
        <w:t xml:space="preserve"> 34 </w:t>
      </w:r>
      <w:r w:rsidR="00DC0992" w:rsidRPr="007B3E39">
        <w:rPr>
          <w:rFonts w:ascii="Arial" w:hAnsi="Arial" w:cs="Arial"/>
          <w:bCs/>
          <w:sz w:val="24"/>
          <w:szCs w:val="24"/>
        </w:rPr>
        <w:t>a</w:t>
      </w:r>
      <w:r w:rsidR="00DC0992">
        <w:rPr>
          <w:rFonts w:ascii="Arial" w:hAnsi="Arial" w:cs="Arial"/>
          <w:bCs/>
          <w:sz w:val="24"/>
          <w:szCs w:val="24"/>
        </w:rPr>
        <w:t xml:space="preserve"> 42</w:t>
      </w:r>
      <w:r w:rsidR="00DC0992" w:rsidRPr="007B3E39">
        <w:rPr>
          <w:rFonts w:ascii="Arial" w:hAnsi="Arial" w:cs="Arial"/>
          <w:bCs/>
          <w:sz w:val="24"/>
          <w:szCs w:val="24"/>
        </w:rPr>
        <w:t xml:space="preserve">), en </w:t>
      </w:r>
      <w:r w:rsidR="00DC0992">
        <w:rPr>
          <w:rFonts w:ascii="Arial" w:hAnsi="Arial" w:cs="Arial"/>
          <w:bCs/>
          <w:sz w:val="24"/>
          <w:szCs w:val="24"/>
        </w:rPr>
        <w:t>el apartado</w:t>
      </w:r>
      <w:r w:rsidR="00DC0992" w:rsidRPr="007B3E39">
        <w:rPr>
          <w:rFonts w:ascii="Arial" w:hAnsi="Arial" w:cs="Arial"/>
          <w:bCs/>
          <w:sz w:val="24"/>
          <w:szCs w:val="24"/>
        </w:rPr>
        <w:t xml:space="preserve"> denominado EXCEPCIONES Y DEFENSAS, a</w:t>
      </w:r>
      <w:r w:rsidR="00DC0992">
        <w:rPr>
          <w:rFonts w:ascii="Arial" w:hAnsi="Arial" w:cs="Arial"/>
          <w:bCs/>
          <w:sz w:val="24"/>
          <w:szCs w:val="24"/>
        </w:rPr>
        <w:t xml:space="preserve">lega las </w:t>
      </w:r>
      <w:r w:rsidR="00DC0992" w:rsidRPr="007B3E39">
        <w:rPr>
          <w:rFonts w:ascii="Arial" w:hAnsi="Arial" w:cs="Arial"/>
          <w:bCs/>
          <w:sz w:val="24"/>
          <w:szCs w:val="24"/>
        </w:rPr>
        <w:t>siguientes: a). La falta de acción y derecho; y, b). La de falsedad de los hechos en que funda</w:t>
      </w:r>
      <w:r w:rsidR="00DC0992">
        <w:rPr>
          <w:rFonts w:ascii="Arial" w:hAnsi="Arial" w:cs="Arial"/>
          <w:bCs/>
          <w:sz w:val="24"/>
          <w:szCs w:val="24"/>
        </w:rPr>
        <w:t xml:space="preserve"> su demanda la parte actora</w:t>
      </w:r>
      <w:r w:rsidR="004A64AF">
        <w:rPr>
          <w:rFonts w:ascii="Arial" w:hAnsi="Arial" w:cs="Arial"/>
          <w:bCs/>
          <w:sz w:val="24"/>
          <w:szCs w:val="24"/>
        </w:rPr>
        <w:t>;</w:t>
      </w:r>
      <w:r w:rsidR="00DC0992">
        <w:rPr>
          <w:rFonts w:ascii="Arial" w:hAnsi="Arial" w:cs="Arial"/>
          <w:bCs/>
          <w:sz w:val="24"/>
          <w:szCs w:val="24"/>
        </w:rPr>
        <w:t xml:space="preserve"> c). Prescripción de la acción</w:t>
      </w:r>
      <w:r w:rsidR="004A64AF">
        <w:rPr>
          <w:rFonts w:ascii="Arial" w:hAnsi="Arial" w:cs="Arial"/>
          <w:bCs/>
          <w:sz w:val="24"/>
          <w:szCs w:val="24"/>
        </w:rPr>
        <w:t>;</w:t>
      </w:r>
      <w:r w:rsidR="00DC0992">
        <w:rPr>
          <w:rFonts w:ascii="Arial" w:hAnsi="Arial" w:cs="Arial"/>
          <w:bCs/>
          <w:sz w:val="24"/>
          <w:szCs w:val="24"/>
        </w:rPr>
        <w:t xml:space="preserve"> y</w:t>
      </w:r>
      <w:r w:rsidR="004A64AF">
        <w:rPr>
          <w:rFonts w:ascii="Arial" w:hAnsi="Arial" w:cs="Arial"/>
          <w:bCs/>
          <w:sz w:val="24"/>
          <w:szCs w:val="24"/>
        </w:rPr>
        <w:t>,</w:t>
      </w:r>
      <w:r w:rsidR="00DC0992">
        <w:rPr>
          <w:rFonts w:ascii="Arial" w:hAnsi="Arial" w:cs="Arial"/>
          <w:bCs/>
          <w:sz w:val="24"/>
          <w:szCs w:val="24"/>
        </w:rPr>
        <w:t xml:space="preserve"> d). La de cosa juzgada refleja.</w:t>
      </w:r>
    </w:p>
    <w:p w14:paraId="482D2899" w14:textId="5204FB07" w:rsidR="00DC0992" w:rsidRDefault="00DC0992" w:rsidP="00DC0992">
      <w:pPr>
        <w:spacing w:line="360" w:lineRule="auto"/>
        <w:ind w:firstLine="567"/>
        <w:jc w:val="both"/>
        <w:rPr>
          <w:rFonts w:ascii="Arial" w:hAnsi="Arial" w:cs="Arial"/>
          <w:bCs/>
          <w:sz w:val="24"/>
          <w:szCs w:val="24"/>
        </w:rPr>
      </w:pPr>
      <w:r>
        <w:rPr>
          <w:rFonts w:ascii="Arial" w:hAnsi="Arial" w:cs="Arial"/>
          <w:bCs/>
          <w:sz w:val="24"/>
          <w:szCs w:val="24"/>
        </w:rPr>
        <w:t>A es</w:t>
      </w:r>
      <w:r w:rsidR="00CE704D">
        <w:rPr>
          <w:rFonts w:ascii="Arial" w:hAnsi="Arial" w:cs="Arial"/>
          <w:bCs/>
          <w:sz w:val="24"/>
          <w:szCs w:val="24"/>
        </w:rPr>
        <w:t>t</w:t>
      </w:r>
      <w:r>
        <w:rPr>
          <w:rFonts w:ascii="Arial" w:hAnsi="Arial" w:cs="Arial"/>
          <w:bCs/>
          <w:sz w:val="24"/>
          <w:szCs w:val="24"/>
        </w:rPr>
        <w:t>e respecto, de la lectura hecha a las excepciones y defensas marcadas con los incisos a) y b) se advierte que las mismas</w:t>
      </w:r>
      <w:r w:rsidR="00114836">
        <w:rPr>
          <w:rFonts w:ascii="Arial" w:hAnsi="Arial" w:cs="Arial"/>
          <w:bCs/>
          <w:sz w:val="24"/>
          <w:szCs w:val="24"/>
        </w:rPr>
        <w:t xml:space="preserve"> están vinculadas</w:t>
      </w:r>
      <w:r>
        <w:rPr>
          <w:rFonts w:ascii="Arial" w:hAnsi="Arial" w:cs="Arial"/>
          <w:bCs/>
          <w:sz w:val="24"/>
          <w:szCs w:val="24"/>
        </w:rPr>
        <w:t xml:space="preserve"> al estudio de</w:t>
      </w:r>
      <w:r w:rsidR="00114836">
        <w:rPr>
          <w:rFonts w:ascii="Arial" w:hAnsi="Arial" w:cs="Arial"/>
          <w:bCs/>
          <w:sz w:val="24"/>
          <w:szCs w:val="24"/>
        </w:rPr>
        <w:t>l</w:t>
      </w:r>
      <w:r>
        <w:rPr>
          <w:rFonts w:ascii="Arial" w:hAnsi="Arial" w:cs="Arial"/>
          <w:bCs/>
          <w:sz w:val="24"/>
          <w:szCs w:val="24"/>
        </w:rPr>
        <w:t xml:space="preserve"> fondo del acto impugnado, por lo que esta Sala Unitaria analizará dichas excepciones y defensas al momento de realizar el estudio de fondo, dado que de la legalidad o ilegalidad del acto impugnado que en su caso se estudie, se analizará si son fundadas o infundadas las excepciones y defensas hechas</w:t>
      </w:r>
      <w:r w:rsidR="002E7024">
        <w:rPr>
          <w:rFonts w:ascii="Arial" w:hAnsi="Arial" w:cs="Arial"/>
          <w:bCs/>
          <w:sz w:val="24"/>
          <w:szCs w:val="24"/>
        </w:rPr>
        <w:t xml:space="preserve"> valer</w:t>
      </w:r>
      <w:r>
        <w:rPr>
          <w:rFonts w:ascii="Arial" w:hAnsi="Arial" w:cs="Arial"/>
          <w:bCs/>
          <w:sz w:val="24"/>
          <w:szCs w:val="24"/>
        </w:rPr>
        <w:t xml:space="preserve"> por la autoridad demandada.</w:t>
      </w:r>
    </w:p>
    <w:p w14:paraId="077B5C8A" w14:textId="7DDC77BD" w:rsidR="00DC0992" w:rsidRDefault="00DC0992" w:rsidP="00DC0992">
      <w:pPr>
        <w:spacing w:line="360" w:lineRule="auto"/>
        <w:ind w:firstLine="567"/>
        <w:jc w:val="both"/>
        <w:rPr>
          <w:rFonts w:ascii="Arial" w:hAnsi="Arial" w:cs="Arial"/>
          <w:bCs/>
          <w:sz w:val="24"/>
          <w:szCs w:val="24"/>
        </w:rPr>
      </w:pPr>
      <w:r>
        <w:rPr>
          <w:rFonts w:ascii="Arial" w:hAnsi="Arial" w:cs="Arial"/>
          <w:bCs/>
          <w:sz w:val="24"/>
          <w:szCs w:val="24"/>
        </w:rPr>
        <w:lastRenderedPageBreak/>
        <w:t>Por lo que hace a la excepción marcada con el inciso d), se advierte que la misma va ligada con la causal de improcedencia marcada en el artículo 161 fracción IV de la Ley de Procedimiento y Justicia Administrativa para el Estado de Oaxaca, misma que a la letra dice:</w:t>
      </w:r>
    </w:p>
    <w:p w14:paraId="2299BD47" w14:textId="77777777" w:rsidR="00DC0992" w:rsidRPr="00640882" w:rsidRDefault="00DC0992" w:rsidP="00DC0992">
      <w:pPr>
        <w:ind w:left="567"/>
        <w:jc w:val="both"/>
        <w:rPr>
          <w:rFonts w:ascii="Arial" w:hAnsi="Arial" w:cs="Arial"/>
          <w:bCs/>
          <w:i/>
          <w:iCs/>
          <w:sz w:val="24"/>
          <w:szCs w:val="24"/>
        </w:rPr>
      </w:pPr>
      <w:r>
        <w:rPr>
          <w:rFonts w:ascii="Arial" w:hAnsi="Arial" w:cs="Arial"/>
          <w:bCs/>
          <w:i/>
          <w:iCs/>
          <w:sz w:val="24"/>
          <w:szCs w:val="24"/>
        </w:rPr>
        <w:t>“</w:t>
      </w:r>
      <w:r w:rsidRPr="00640882">
        <w:rPr>
          <w:rFonts w:ascii="Arial" w:hAnsi="Arial" w:cs="Arial"/>
          <w:b/>
          <w:i/>
          <w:iCs/>
          <w:sz w:val="24"/>
          <w:szCs w:val="24"/>
        </w:rPr>
        <w:t>ARTÍCULO 161.-</w:t>
      </w:r>
      <w:r w:rsidRPr="00640882">
        <w:rPr>
          <w:rFonts w:ascii="Arial" w:hAnsi="Arial" w:cs="Arial"/>
          <w:bCs/>
          <w:i/>
          <w:iCs/>
          <w:sz w:val="24"/>
          <w:szCs w:val="24"/>
        </w:rPr>
        <w:t xml:space="preserve"> Es improcedente el juicio ante el Tribunal contra actos:</w:t>
      </w:r>
    </w:p>
    <w:p w14:paraId="7EFF0789" w14:textId="77777777" w:rsidR="00DC0992" w:rsidRPr="00640882" w:rsidRDefault="00DC0992" w:rsidP="00DC0992">
      <w:pPr>
        <w:ind w:left="567"/>
        <w:jc w:val="both"/>
        <w:rPr>
          <w:rFonts w:ascii="Arial" w:hAnsi="Arial" w:cs="Arial"/>
          <w:bCs/>
          <w:i/>
          <w:iCs/>
          <w:sz w:val="24"/>
          <w:szCs w:val="24"/>
        </w:rPr>
      </w:pPr>
      <w:r w:rsidRPr="00640882">
        <w:rPr>
          <w:rFonts w:ascii="Arial" w:hAnsi="Arial" w:cs="Arial"/>
          <w:bCs/>
          <w:i/>
          <w:iCs/>
          <w:sz w:val="24"/>
          <w:szCs w:val="24"/>
        </w:rPr>
        <w:t>[…]</w:t>
      </w:r>
    </w:p>
    <w:p w14:paraId="18D0FC32" w14:textId="77777777" w:rsidR="00DC0992" w:rsidRPr="00640882" w:rsidRDefault="00DC0992" w:rsidP="00DC0992">
      <w:pPr>
        <w:ind w:left="567"/>
        <w:jc w:val="both"/>
        <w:rPr>
          <w:rFonts w:ascii="Arial" w:hAnsi="Arial" w:cs="Arial"/>
          <w:bCs/>
          <w:i/>
          <w:iCs/>
          <w:sz w:val="24"/>
          <w:szCs w:val="24"/>
        </w:rPr>
      </w:pPr>
      <w:r w:rsidRPr="00640882">
        <w:rPr>
          <w:rFonts w:ascii="Arial" w:hAnsi="Arial" w:cs="Arial"/>
          <w:bCs/>
          <w:i/>
          <w:iCs/>
          <w:sz w:val="24"/>
          <w:szCs w:val="24"/>
        </w:rPr>
        <w:t>IV. Que hayan sido materia de otro juicio contencioso administrativo, en el que exista identidad de partes y se trate del mismo acto impugnado, aunque las violaciones alegadas sean distintas;</w:t>
      </w:r>
    </w:p>
    <w:p w14:paraId="2467D385" w14:textId="77777777" w:rsidR="00DC0992" w:rsidRPr="00640882" w:rsidRDefault="00DC0992" w:rsidP="00DC0992">
      <w:pPr>
        <w:ind w:left="567"/>
        <w:jc w:val="both"/>
        <w:rPr>
          <w:rFonts w:ascii="Arial" w:hAnsi="Arial" w:cs="Arial"/>
          <w:bCs/>
          <w:i/>
          <w:iCs/>
          <w:sz w:val="24"/>
          <w:szCs w:val="24"/>
        </w:rPr>
      </w:pPr>
      <w:r w:rsidRPr="00640882">
        <w:rPr>
          <w:rFonts w:ascii="Arial" w:hAnsi="Arial" w:cs="Arial"/>
          <w:bCs/>
          <w:i/>
          <w:iCs/>
          <w:sz w:val="24"/>
          <w:szCs w:val="24"/>
        </w:rPr>
        <w:t>[…]</w:t>
      </w:r>
      <w:r>
        <w:rPr>
          <w:rFonts w:ascii="Arial" w:hAnsi="Arial" w:cs="Arial"/>
          <w:bCs/>
          <w:i/>
          <w:iCs/>
          <w:sz w:val="24"/>
          <w:szCs w:val="24"/>
        </w:rPr>
        <w:t>”</w:t>
      </w:r>
    </w:p>
    <w:p w14:paraId="3E2A687D" w14:textId="0A0EF84D" w:rsidR="00DC0992" w:rsidRDefault="00DC0992" w:rsidP="00DC0992">
      <w:pPr>
        <w:spacing w:line="360" w:lineRule="auto"/>
        <w:ind w:firstLine="567"/>
        <w:jc w:val="both"/>
        <w:rPr>
          <w:rFonts w:ascii="Arial" w:hAnsi="Arial" w:cs="Arial"/>
          <w:bCs/>
          <w:spacing w:val="-3"/>
          <w:sz w:val="24"/>
          <w:szCs w:val="27"/>
          <w:lang w:val="es-ES_tradnl"/>
        </w:rPr>
      </w:pPr>
      <w:r>
        <w:rPr>
          <w:rFonts w:ascii="Arial" w:hAnsi="Arial" w:cs="Arial"/>
          <w:bCs/>
          <w:sz w:val="24"/>
          <w:szCs w:val="24"/>
        </w:rPr>
        <w:t xml:space="preserve">Luego, si bien la autoridad demandada opone dicha causal de improcedencia y sobreseimiento como </w:t>
      </w:r>
      <w:r w:rsidRPr="00DF4162">
        <w:rPr>
          <w:rFonts w:ascii="Arial" w:hAnsi="Arial" w:cs="Arial"/>
          <w:b/>
          <w:spacing w:val="-3"/>
          <w:sz w:val="24"/>
          <w:szCs w:val="27"/>
          <w:lang w:val="es-ES_tradnl"/>
        </w:rPr>
        <w:t>excepción</w:t>
      </w:r>
      <w:r>
        <w:rPr>
          <w:rFonts w:ascii="Arial" w:hAnsi="Arial" w:cs="Arial"/>
          <w:b/>
          <w:spacing w:val="-3"/>
          <w:sz w:val="24"/>
          <w:szCs w:val="27"/>
          <w:lang w:val="es-ES_tradnl"/>
        </w:rPr>
        <w:t xml:space="preserve"> perentoria</w:t>
      </w:r>
      <w:r w:rsidRPr="00DF4162">
        <w:rPr>
          <w:rFonts w:ascii="Arial" w:hAnsi="Arial" w:cs="Arial"/>
          <w:b/>
          <w:spacing w:val="-3"/>
          <w:sz w:val="24"/>
          <w:szCs w:val="27"/>
          <w:lang w:val="es-ES_tradnl"/>
        </w:rPr>
        <w:t xml:space="preserve"> de cosa juzgada</w:t>
      </w:r>
      <w:r>
        <w:rPr>
          <w:rFonts w:ascii="Arial" w:hAnsi="Arial" w:cs="Arial"/>
          <w:b/>
          <w:spacing w:val="-3"/>
          <w:sz w:val="24"/>
          <w:szCs w:val="27"/>
          <w:lang w:val="es-ES_tradnl"/>
        </w:rPr>
        <w:t xml:space="preserve"> refleja</w:t>
      </w:r>
      <w:r>
        <w:rPr>
          <w:rFonts w:ascii="Arial" w:hAnsi="Arial" w:cs="Arial"/>
          <w:bCs/>
          <w:spacing w:val="-3"/>
          <w:sz w:val="24"/>
          <w:szCs w:val="27"/>
          <w:lang w:val="es-ES_tradnl"/>
        </w:rPr>
        <w:t xml:space="preserve">, esta Sala Unitaria analizará dicha excepción, toda vez que manifiesta que lo pretendido por el actor ya fue objeto de análisis, estudio y resolución dentro del juicio de nulidad </w:t>
      </w:r>
      <w:r w:rsidR="00E13433">
        <w:rPr>
          <w:rFonts w:ascii="Arial" w:hAnsi="Arial" w:cs="Arial"/>
          <w:b/>
          <w:spacing w:val="-3"/>
          <w:sz w:val="24"/>
          <w:szCs w:val="27"/>
          <w:lang w:val="es-ES_tradnl"/>
        </w:rPr>
        <w:t>*****</w:t>
      </w:r>
      <w:r>
        <w:rPr>
          <w:rFonts w:ascii="Arial" w:hAnsi="Arial" w:cs="Arial"/>
          <w:bCs/>
          <w:spacing w:val="-3"/>
          <w:sz w:val="24"/>
          <w:szCs w:val="27"/>
          <w:lang w:val="es-ES_tradnl"/>
        </w:rPr>
        <w:t>, radicado en la</w:t>
      </w:r>
      <w:r w:rsidR="00402FFF">
        <w:rPr>
          <w:rFonts w:ascii="Arial" w:hAnsi="Arial" w:cs="Arial"/>
          <w:bCs/>
          <w:spacing w:val="-3"/>
          <w:sz w:val="24"/>
          <w:szCs w:val="27"/>
          <w:lang w:val="es-ES_tradnl"/>
        </w:rPr>
        <w:t xml:space="preserve"> entonces </w:t>
      </w:r>
      <w:r>
        <w:rPr>
          <w:rFonts w:ascii="Arial" w:hAnsi="Arial" w:cs="Arial"/>
          <w:bCs/>
          <w:spacing w:val="-3"/>
          <w:sz w:val="24"/>
          <w:szCs w:val="27"/>
          <w:lang w:val="es-ES_tradnl"/>
        </w:rPr>
        <w:t>Segunda Sala Unitaria del Tribunal de lo Contencioso Administrativo para el Estado de Oaxaca, interpuesto por el actor.</w:t>
      </w:r>
    </w:p>
    <w:p w14:paraId="7BF74EB6" w14:textId="623769AB" w:rsidR="00DC0992" w:rsidRDefault="00DC0992" w:rsidP="00DC0992">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Ahora, de las constancias que obran en autos, se advierte que la autoridad demandada anexó lo siguiente: </w:t>
      </w:r>
      <w:r w:rsidRPr="00E474EF">
        <w:rPr>
          <w:rFonts w:ascii="Arial" w:hAnsi="Arial" w:cs="Arial"/>
          <w:b/>
          <w:spacing w:val="-3"/>
          <w:sz w:val="24"/>
          <w:szCs w:val="27"/>
          <w:lang w:val="es-ES_tradnl"/>
        </w:rPr>
        <w:t>a).</w:t>
      </w:r>
      <w:r>
        <w:rPr>
          <w:rFonts w:ascii="Arial" w:hAnsi="Arial" w:cs="Arial"/>
          <w:bCs/>
          <w:spacing w:val="-3"/>
          <w:sz w:val="24"/>
          <w:szCs w:val="27"/>
          <w:lang w:val="es-ES_tradnl"/>
        </w:rPr>
        <w:t xml:space="preserve"> </w:t>
      </w:r>
      <w:r w:rsidR="005031A3">
        <w:rPr>
          <w:rFonts w:ascii="Arial" w:hAnsi="Arial" w:cs="Arial"/>
          <w:bCs/>
          <w:spacing w:val="-3"/>
          <w:sz w:val="24"/>
          <w:szCs w:val="27"/>
          <w:lang w:val="es-ES_tradnl"/>
        </w:rPr>
        <w:t xml:space="preserve">Escrito de demanda de fecha </w:t>
      </w:r>
      <w:r w:rsidR="00E13433">
        <w:rPr>
          <w:rFonts w:ascii="Arial" w:hAnsi="Arial" w:cs="Arial"/>
          <w:bCs/>
          <w:spacing w:val="-3"/>
          <w:sz w:val="24"/>
          <w:szCs w:val="27"/>
          <w:lang w:val="es-ES_tradnl"/>
        </w:rPr>
        <w:t>***** ****</w:t>
      </w:r>
      <w:r w:rsidR="005031A3">
        <w:rPr>
          <w:rFonts w:ascii="Arial" w:hAnsi="Arial" w:cs="Arial"/>
          <w:bCs/>
          <w:spacing w:val="-3"/>
          <w:sz w:val="24"/>
          <w:szCs w:val="27"/>
          <w:lang w:val="es-ES_tradnl"/>
        </w:rPr>
        <w:t xml:space="preserve"> de </w:t>
      </w:r>
      <w:r w:rsidR="00E13433">
        <w:rPr>
          <w:rFonts w:ascii="Arial" w:hAnsi="Arial" w:cs="Arial"/>
          <w:bCs/>
          <w:spacing w:val="-3"/>
          <w:sz w:val="24"/>
          <w:szCs w:val="27"/>
          <w:lang w:val="es-ES_tradnl"/>
        </w:rPr>
        <w:t>*****</w:t>
      </w:r>
      <w:r w:rsidR="005031A3">
        <w:rPr>
          <w:rFonts w:ascii="Arial" w:hAnsi="Arial" w:cs="Arial"/>
          <w:bCs/>
          <w:spacing w:val="-3"/>
          <w:sz w:val="24"/>
          <w:szCs w:val="27"/>
          <w:lang w:val="es-ES_tradnl"/>
        </w:rPr>
        <w:t xml:space="preserve"> de dos mil </w:t>
      </w:r>
      <w:r w:rsidR="00E13433">
        <w:rPr>
          <w:rFonts w:ascii="Arial" w:hAnsi="Arial" w:cs="Arial"/>
          <w:bCs/>
          <w:spacing w:val="-3"/>
          <w:sz w:val="24"/>
          <w:szCs w:val="27"/>
          <w:lang w:val="es-ES_tradnl"/>
        </w:rPr>
        <w:t>****</w:t>
      </w:r>
      <w:r>
        <w:rPr>
          <w:rFonts w:ascii="Arial" w:hAnsi="Arial" w:cs="Arial"/>
          <w:bCs/>
          <w:spacing w:val="-3"/>
          <w:sz w:val="24"/>
          <w:szCs w:val="27"/>
          <w:lang w:val="es-ES_tradnl"/>
        </w:rPr>
        <w:t xml:space="preserve"> (fojas </w:t>
      </w:r>
      <w:r w:rsidR="005031A3">
        <w:rPr>
          <w:rFonts w:ascii="Arial" w:hAnsi="Arial" w:cs="Arial"/>
          <w:bCs/>
          <w:spacing w:val="-3"/>
          <w:sz w:val="24"/>
          <w:szCs w:val="27"/>
          <w:lang w:val="es-ES_tradnl"/>
        </w:rPr>
        <w:t>60</w:t>
      </w:r>
      <w:r>
        <w:rPr>
          <w:rFonts w:ascii="Arial" w:hAnsi="Arial" w:cs="Arial"/>
          <w:bCs/>
          <w:spacing w:val="-3"/>
          <w:sz w:val="24"/>
          <w:szCs w:val="27"/>
          <w:lang w:val="es-ES_tradnl"/>
        </w:rPr>
        <w:t xml:space="preserve"> a </w:t>
      </w:r>
      <w:r w:rsidR="005031A3">
        <w:rPr>
          <w:rFonts w:ascii="Arial" w:hAnsi="Arial" w:cs="Arial"/>
          <w:bCs/>
          <w:spacing w:val="-3"/>
          <w:sz w:val="24"/>
          <w:szCs w:val="27"/>
          <w:lang w:val="es-ES_tradnl"/>
        </w:rPr>
        <w:t>70</w:t>
      </w:r>
      <w:r>
        <w:rPr>
          <w:rFonts w:ascii="Arial" w:hAnsi="Arial" w:cs="Arial"/>
          <w:bCs/>
          <w:spacing w:val="-3"/>
          <w:sz w:val="24"/>
          <w:szCs w:val="27"/>
          <w:lang w:val="es-ES_tradnl"/>
        </w:rPr>
        <w:t xml:space="preserve">), </w:t>
      </w:r>
      <w:r w:rsidRPr="00E474EF">
        <w:rPr>
          <w:rFonts w:ascii="Arial" w:hAnsi="Arial" w:cs="Arial"/>
          <w:b/>
          <w:spacing w:val="-3"/>
          <w:sz w:val="24"/>
          <w:szCs w:val="27"/>
          <w:lang w:val="es-ES_tradnl"/>
        </w:rPr>
        <w:t>b).</w:t>
      </w:r>
      <w:r>
        <w:rPr>
          <w:rFonts w:ascii="Arial" w:hAnsi="Arial" w:cs="Arial"/>
          <w:bCs/>
          <w:spacing w:val="-3"/>
          <w:sz w:val="24"/>
          <w:szCs w:val="27"/>
          <w:lang w:val="es-ES_tradnl"/>
        </w:rPr>
        <w:t xml:space="preserve"> Copia de la </w:t>
      </w:r>
      <w:r w:rsidR="00E13433">
        <w:rPr>
          <w:rFonts w:ascii="Arial" w:hAnsi="Arial" w:cs="Arial"/>
          <w:bCs/>
          <w:spacing w:val="-3"/>
          <w:sz w:val="24"/>
          <w:szCs w:val="27"/>
          <w:lang w:val="es-ES_tradnl"/>
        </w:rPr>
        <w:t>*****</w:t>
      </w:r>
      <w:r>
        <w:rPr>
          <w:rFonts w:ascii="Arial" w:hAnsi="Arial" w:cs="Arial"/>
          <w:bCs/>
          <w:spacing w:val="-3"/>
          <w:sz w:val="24"/>
          <w:szCs w:val="27"/>
          <w:lang w:val="es-ES_tradnl"/>
        </w:rPr>
        <w:t xml:space="preserve"> de fecha </w:t>
      </w:r>
      <w:r w:rsidR="00E13433">
        <w:rPr>
          <w:rFonts w:ascii="Arial" w:hAnsi="Arial" w:cs="Arial"/>
          <w:bCs/>
          <w:spacing w:val="-3"/>
          <w:sz w:val="24"/>
          <w:szCs w:val="27"/>
          <w:lang w:val="es-ES_tradnl"/>
        </w:rPr>
        <w:t>*****</w:t>
      </w:r>
      <w:r w:rsidR="005031A3">
        <w:rPr>
          <w:rFonts w:ascii="Arial" w:hAnsi="Arial" w:cs="Arial"/>
          <w:bCs/>
          <w:spacing w:val="-3"/>
          <w:sz w:val="24"/>
          <w:szCs w:val="27"/>
          <w:lang w:val="es-ES_tradnl"/>
        </w:rPr>
        <w:t xml:space="preserve"> de </w:t>
      </w:r>
      <w:r w:rsidR="00E13433">
        <w:rPr>
          <w:rFonts w:ascii="Arial" w:hAnsi="Arial" w:cs="Arial"/>
          <w:bCs/>
          <w:spacing w:val="-3"/>
          <w:sz w:val="24"/>
          <w:szCs w:val="27"/>
          <w:lang w:val="es-ES_tradnl"/>
        </w:rPr>
        <w:t>*****</w:t>
      </w:r>
      <w:r w:rsidR="005031A3">
        <w:rPr>
          <w:rFonts w:ascii="Arial" w:hAnsi="Arial" w:cs="Arial"/>
          <w:bCs/>
          <w:spacing w:val="-3"/>
          <w:sz w:val="24"/>
          <w:szCs w:val="27"/>
          <w:lang w:val="es-ES_tradnl"/>
        </w:rPr>
        <w:t xml:space="preserve"> de dos mil </w:t>
      </w:r>
      <w:r w:rsidR="00E13433">
        <w:rPr>
          <w:rFonts w:ascii="Arial" w:hAnsi="Arial" w:cs="Arial"/>
          <w:bCs/>
          <w:spacing w:val="-3"/>
          <w:sz w:val="24"/>
          <w:szCs w:val="27"/>
          <w:lang w:val="es-ES_tradnl"/>
        </w:rPr>
        <w:t>****</w:t>
      </w:r>
      <w:r>
        <w:rPr>
          <w:rFonts w:ascii="Arial" w:hAnsi="Arial" w:cs="Arial"/>
          <w:bCs/>
          <w:spacing w:val="-3"/>
          <w:sz w:val="24"/>
          <w:szCs w:val="27"/>
          <w:lang w:val="es-ES_tradnl"/>
        </w:rPr>
        <w:t xml:space="preserve"> (fojas 7</w:t>
      </w:r>
      <w:r w:rsidR="005031A3">
        <w:rPr>
          <w:rFonts w:ascii="Arial" w:hAnsi="Arial" w:cs="Arial"/>
          <w:bCs/>
          <w:spacing w:val="-3"/>
          <w:sz w:val="24"/>
          <w:szCs w:val="27"/>
          <w:lang w:val="es-ES_tradnl"/>
        </w:rPr>
        <w:t>2</w:t>
      </w:r>
      <w:r>
        <w:rPr>
          <w:rFonts w:ascii="Arial" w:hAnsi="Arial" w:cs="Arial"/>
          <w:bCs/>
          <w:spacing w:val="-3"/>
          <w:sz w:val="24"/>
          <w:szCs w:val="27"/>
          <w:lang w:val="es-ES_tradnl"/>
        </w:rPr>
        <w:t xml:space="preserve"> a 7</w:t>
      </w:r>
      <w:r w:rsidR="005031A3">
        <w:rPr>
          <w:rFonts w:ascii="Arial" w:hAnsi="Arial" w:cs="Arial"/>
          <w:bCs/>
          <w:spacing w:val="-3"/>
          <w:sz w:val="24"/>
          <w:szCs w:val="27"/>
          <w:lang w:val="es-ES_tradnl"/>
        </w:rPr>
        <w:t>6</w:t>
      </w:r>
      <w:r>
        <w:rPr>
          <w:rFonts w:ascii="Arial" w:hAnsi="Arial" w:cs="Arial"/>
          <w:bCs/>
          <w:spacing w:val="-3"/>
          <w:sz w:val="24"/>
          <w:szCs w:val="27"/>
          <w:lang w:val="es-ES_tradnl"/>
        </w:rPr>
        <w:t xml:space="preserve">), </w:t>
      </w:r>
      <w:r w:rsidRPr="00E474EF">
        <w:rPr>
          <w:rFonts w:ascii="Arial" w:hAnsi="Arial" w:cs="Arial"/>
          <w:b/>
          <w:spacing w:val="-3"/>
          <w:sz w:val="24"/>
          <w:szCs w:val="27"/>
          <w:lang w:val="es-ES_tradnl"/>
        </w:rPr>
        <w:t>c).</w:t>
      </w:r>
      <w:r>
        <w:rPr>
          <w:rFonts w:ascii="Arial" w:hAnsi="Arial" w:cs="Arial"/>
          <w:bCs/>
          <w:spacing w:val="-3"/>
          <w:sz w:val="24"/>
          <w:szCs w:val="27"/>
          <w:lang w:val="es-ES_tradnl"/>
        </w:rPr>
        <w:t xml:space="preserve"> </w:t>
      </w:r>
      <w:r w:rsidR="00E13433">
        <w:rPr>
          <w:rFonts w:ascii="Arial" w:hAnsi="Arial" w:cs="Arial"/>
          <w:bCs/>
          <w:spacing w:val="-3"/>
          <w:sz w:val="24"/>
          <w:szCs w:val="27"/>
          <w:lang w:val="es-ES_tradnl"/>
        </w:rPr>
        <w:t>*****</w:t>
      </w:r>
      <w:r w:rsidR="005031A3">
        <w:rPr>
          <w:rFonts w:ascii="Arial" w:hAnsi="Arial" w:cs="Arial"/>
          <w:bCs/>
          <w:spacing w:val="-3"/>
          <w:sz w:val="24"/>
          <w:szCs w:val="27"/>
          <w:lang w:val="es-ES_tradnl"/>
        </w:rPr>
        <w:t xml:space="preserve"> de amparo dentro del juicio de amparo indirecto </w:t>
      </w:r>
      <w:r w:rsidR="00E13433">
        <w:rPr>
          <w:rFonts w:ascii="Arial" w:hAnsi="Arial" w:cs="Arial"/>
          <w:bCs/>
          <w:spacing w:val="-3"/>
          <w:sz w:val="24"/>
          <w:szCs w:val="27"/>
          <w:lang w:val="es-ES_tradnl"/>
        </w:rPr>
        <w:t>*****</w:t>
      </w:r>
      <w:r w:rsidR="006701F2">
        <w:rPr>
          <w:rFonts w:ascii="Arial" w:hAnsi="Arial" w:cs="Arial"/>
          <w:bCs/>
          <w:spacing w:val="-3"/>
          <w:sz w:val="24"/>
          <w:szCs w:val="27"/>
          <w:lang w:val="es-ES_tradnl"/>
        </w:rPr>
        <w:t>,</w:t>
      </w:r>
      <w:r w:rsidR="005031A3">
        <w:rPr>
          <w:rFonts w:ascii="Arial" w:hAnsi="Arial" w:cs="Arial"/>
          <w:bCs/>
          <w:spacing w:val="-3"/>
          <w:sz w:val="24"/>
          <w:szCs w:val="27"/>
          <w:lang w:val="es-ES_tradnl"/>
        </w:rPr>
        <w:t xml:space="preserve"> del índice del Juzgado</w:t>
      </w:r>
      <w:r w:rsidR="00E13433">
        <w:rPr>
          <w:rFonts w:ascii="Arial" w:hAnsi="Arial" w:cs="Arial"/>
          <w:bCs/>
          <w:spacing w:val="-3"/>
          <w:sz w:val="24"/>
          <w:szCs w:val="27"/>
          <w:lang w:val="es-ES_tradnl"/>
        </w:rPr>
        <w:t xml:space="preserve"> *****</w:t>
      </w:r>
      <w:r w:rsidR="005031A3">
        <w:rPr>
          <w:rFonts w:ascii="Arial" w:hAnsi="Arial" w:cs="Arial"/>
          <w:bCs/>
          <w:spacing w:val="-3"/>
          <w:sz w:val="24"/>
          <w:szCs w:val="27"/>
          <w:lang w:val="es-ES_tradnl"/>
        </w:rPr>
        <w:t xml:space="preserve"> de </w:t>
      </w:r>
      <w:r w:rsidR="00E13433">
        <w:rPr>
          <w:rFonts w:ascii="Arial" w:hAnsi="Arial" w:cs="Arial"/>
          <w:bCs/>
          <w:spacing w:val="-3"/>
          <w:sz w:val="24"/>
          <w:szCs w:val="27"/>
          <w:lang w:val="es-ES_tradnl"/>
        </w:rPr>
        <w:t>*****</w:t>
      </w:r>
      <w:r w:rsidR="005031A3">
        <w:rPr>
          <w:rFonts w:ascii="Arial" w:hAnsi="Arial" w:cs="Arial"/>
          <w:bCs/>
          <w:spacing w:val="-3"/>
          <w:sz w:val="24"/>
          <w:szCs w:val="27"/>
          <w:lang w:val="es-ES_tradnl"/>
        </w:rPr>
        <w:t xml:space="preserve"> en el Estado de Oaxaca (fojas 77 a 80)</w:t>
      </w:r>
      <w:r w:rsidR="00E46C13">
        <w:rPr>
          <w:rFonts w:ascii="Arial" w:hAnsi="Arial" w:cs="Arial"/>
          <w:bCs/>
          <w:spacing w:val="-3"/>
          <w:sz w:val="24"/>
          <w:szCs w:val="27"/>
          <w:lang w:val="es-ES_tradnl"/>
        </w:rPr>
        <w:t xml:space="preserve"> y</w:t>
      </w:r>
      <w:r>
        <w:rPr>
          <w:rFonts w:ascii="Arial" w:hAnsi="Arial" w:cs="Arial"/>
          <w:bCs/>
          <w:spacing w:val="-3"/>
          <w:sz w:val="24"/>
          <w:szCs w:val="27"/>
          <w:lang w:val="es-ES_tradnl"/>
        </w:rPr>
        <w:t xml:space="preserve"> </w:t>
      </w:r>
      <w:r w:rsidRPr="00E474EF">
        <w:rPr>
          <w:rFonts w:ascii="Arial" w:hAnsi="Arial" w:cs="Arial"/>
          <w:b/>
          <w:spacing w:val="-3"/>
          <w:sz w:val="24"/>
          <w:szCs w:val="27"/>
          <w:lang w:val="es-ES_tradnl"/>
        </w:rPr>
        <w:t>d).</w:t>
      </w:r>
      <w:r>
        <w:rPr>
          <w:rFonts w:ascii="Arial" w:hAnsi="Arial" w:cs="Arial"/>
          <w:bCs/>
          <w:spacing w:val="-3"/>
          <w:sz w:val="24"/>
          <w:szCs w:val="27"/>
          <w:lang w:val="es-ES_tradnl"/>
        </w:rPr>
        <w:t xml:space="preserve"> Copia de</w:t>
      </w:r>
      <w:r w:rsidR="005031A3">
        <w:rPr>
          <w:rFonts w:ascii="Arial" w:hAnsi="Arial" w:cs="Arial"/>
          <w:bCs/>
          <w:spacing w:val="-3"/>
          <w:sz w:val="24"/>
          <w:szCs w:val="27"/>
          <w:lang w:val="es-ES_tradnl"/>
        </w:rPr>
        <w:t xml:space="preserve"> la resolución al recurso de revisión </w:t>
      </w:r>
      <w:r w:rsidR="00546B2F">
        <w:rPr>
          <w:rFonts w:ascii="Arial" w:hAnsi="Arial" w:cs="Arial"/>
          <w:bCs/>
          <w:spacing w:val="-3"/>
          <w:sz w:val="24"/>
          <w:szCs w:val="27"/>
          <w:lang w:val="es-ES_tradnl"/>
        </w:rPr>
        <w:t>******</w:t>
      </w:r>
      <w:r w:rsidR="006701F2">
        <w:rPr>
          <w:rFonts w:ascii="Arial" w:hAnsi="Arial" w:cs="Arial"/>
          <w:bCs/>
          <w:spacing w:val="-3"/>
          <w:sz w:val="24"/>
          <w:szCs w:val="27"/>
          <w:lang w:val="es-ES_tradnl"/>
        </w:rPr>
        <w:t>,</w:t>
      </w:r>
      <w:r w:rsidR="005031A3">
        <w:rPr>
          <w:rFonts w:ascii="Arial" w:hAnsi="Arial" w:cs="Arial"/>
          <w:bCs/>
          <w:spacing w:val="-3"/>
          <w:sz w:val="24"/>
          <w:szCs w:val="27"/>
          <w:lang w:val="es-ES_tradnl"/>
        </w:rPr>
        <w:t xml:space="preserve"> del índice de la Sala Superior del Tribunal de lo Contencioso Administrativo y de Cuentas del Poder Judicial del Estado de Oaxaca</w:t>
      </w:r>
      <w:r>
        <w:rPr>
          <w:rFonts w:ascii="Arial" w:hAnsi="Arial" w:cs="Arial"/>
          <w:bCs/>
          <w:spacing w:val="-3"/>
          <w:sz w:val="24"/>
          <w:szCs w:val="27"/>
          <w:lang w:val="es-ES_tradnl"/>
        </w:rPr>
        <w:t xml:space="preserve"> (foja</w:t>
      </w:r>
      <w:r w:rsidR="005031A3">
        <w:rPr>
          <w:rFonts w:ascii="Arial" w:hAnsi="Arial" w:cs="Arial"/>
          <w:bCs/>
          <w:spacing w:val="-3"/>
          <w:sz w:val="24"/>
          <w:szCs w:val="27"/>
          <w:lang w:val="es-ES_tradnl"/>
        </w:rPr>
        <w:t>s</w:t>
      </w:r>
      <w:r>
        <w:rPr>
          <w:rFonts w:ascii="Arial" w:hAnsi="Arial" w:cs="Arial"/>
          <w:bCs/>
          <w:spacing w:val="-3"/>
          <w:sz w:val="24"/>
          <w:szCs w:val="27"/>
          <w:lang w:val="es-ES_tradnl"/>
        </w:rPr>
        <w:t xml:space="preserve"> </w:t>
      </w:r>
      <w:r w:rsidR="005031A3">
        <w:rPr>
          <w:rFonts w:ascii="Arial" w:hAnsi="Arial" w:cs="Arial"/>
          <w:bCs/>
          <w:spacing w:val="-3"/>
          <w:sz w:val="24"/>
          <w:szCs w:val="27"/>
          <w:lang w:val="es-ES_tradnl"/>
        </w:rPr>
        <w:t>82 a 85</w:t>
      </w:r>
      <w:r>
        <w:rPr>
          <w:rFonts w:ascii="Arial" w:hAnsi="Arial" w:cs="Arial"/>
          <w:bCs/>
          <w:spacing w:val="-3"/>
          <w:sz w:val="24"/>
          <w:szCs w:val="27"/>
          <w:lang w:val="es-ES_tradnl"/>
        </w:rPr>
        <w:t>), documentales que adquieren valor probatorio pleno en términos del artículo 203 fracción I de la Ley de Procedimiento y Justicia Administrativa para el Estado de Oaxaca.</w:t>
      </w:r>
    </w:p>
    <w:p w14:paraId="59938B03" w14:textId="63959B24" w:rsidR="00DC0992" w:rsidRDefault="00DC0992" w:rsidP="00DC0992">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Derivado de lo anterior, al realizar un análisis a las pruebas señaladas en el párrafo que antecede, se advierte que como lo refiere la autoridad demandada, exist</w:t>
      </w:r>
      <w:r w:rsidR="003D6843">
        <w:rPr>
          <w:rFonts w:ascii="Arial" w:hAnsi="Arial" w:cs="Arial"/>
          <w:bCs/>
          <w:spacing w:val="-3"/>
          <w:sz w:val="24"/>
          <w:szCs w:val="27"/>
          <w:lang w:val="es-ES_tradnl"/>
        </w:rPr>
        <w:t>e</w:t>
      </w:r>
      <w:r>
        <w:rPr>
          <w:rFonts w:ascii="Arial" w:hAnsi="Arial" w:cs="Arial"/>
          <w:bCs/>
          <w:spacing w:val="-3"/>
          <w:sz w:val="24"/>
          <w:szCs w:val="27"/>
          <w:lang w:val="es-ES_tradnl"/>
        </w:rPr>
        <w:t xml:space="preserve"> un juicio tramitado ante la</w:t>
      </w:r>
      <w:r w:rsidR="00D147AE">
        <w:rPr>
          <w:rFonts w:ascii="Arial" w:hAnsi="Arial" w:cs="Arial"/>
          <w:bCs/>
          <w:spacing w:val="-3"/>
          <w:sz w:val="24"/>
          <w:szCs w:val="27"/>
          <w:lang w:val="es-ES_tradnl"/>
        </w:rPr>
        <w:t xml:space="preserve"> entonces </w:t>
      </w:r>
      <w:r w:rsidR="00A44688">
        <w:rPr>
          <w:rFonts w:ascii="Arial" w:hAnsi="Arial" w:cs="Arial"/>
          <w:bCs/>
          <w:spacing w:val="-3"/>
          <w:sz w:val="24"/>
          <w:szCs w:val="27"/>
          <w:lang w:val="es-ES_tradnl"/>
        </w:rPr>
        <w:t xml:space="preserve">Segunda Sala Unitaria del Tribunal de lo Contencioso Administrativo para el Estado de Oaxaca (que posteriormente por cambio de denominación y reasignación de expedientes quedó radicado en el expediente </w:t>
      </w:r>
      <w:r w:rsidR="00546B2F">
        <w:rPr>
          <w:rFonts w:ascii="Arial" w:hAnsi="Arial" w:cs="Arial"/>
          <w:b/>
          <w:spacing w:val="-3"/>
          <w:sz w:val="24"/>
          <w:szCs w:val="27"/>
          <w:lang w:val="es-ES_tradnl"/>
        </w:rPr>
        <w:t>*****</w:t>
      </w:r>
      <w:r w:rsidR="00A11795">
        <w:rPr>
          <w:rFonts w:ascii="Arial" w:hAnsi="Arial" w:cs="Arial"/>
          <w:b/>
          <w:spacing w:val="-3"/>
          <w:sz w:val="24"/>
          <w:szCs w:val="27"/>
          <w:lang w:val="es-ES_tradnl"/>
        </w:rPr>
        <w:t>,</w:t>
      </w:r>
      <w:r w:rsidR="00A44688">
        <w:rPr>
          <w:rFonts w:ascii="Arial" w:hAnsi="Arial" w:cs="Arial"/>
          <w:bCs/>
          <w:spacing w:val="-3"/>
          <w:sz w:val="24"/>
          <w:szCs w:val="27"/>
          <w:lang w:val="es-ES_tradnl"/>
        </w:rPr>
        <w:t xml:space="preserve"> del índice de la Sexta Sala Unitaria de Primera Instancia del Tribunal de lo Contencioso Administrativo y de Cuentas del Poder Judicial del Estado de Oaxaca)</w:t>
      </w:r>
      <w:r>
        <w:rPr>
          <w:rFonts w:ascii="Arial" w:hAnsi="Arial" w:cs="Arial"/>
          <w:bCs/>
          <w:spacing w:val="-3"/>
          <w:sz w:val="24"/>
          <w:szCs w:val="27"/>
          <w:lang w:val="es-ES_tradnl"/>
        </w:rPr>
        <w:t>, así como ante la presentada en esta Sala Unitaria</w:t>
      </w:r>
      <w:r w:rsidR="00A11795">
        <w:rPr>
          <w:rFonts w:ascii="Arial" w:hAnsi="Arial" w:cs="Arial"/>
          <w:bCs/>
          <w:spacing w:val="-3"/>
          <w:sz w:val="24"/>
          <w:szCs w:val="27"/>
          <w:lang w:val="es-ES_tradnl"/>
        </w:rPr>
        <w:t>;</w:t>
      </w:r>
      <w:r>
        <w:rPr>
          <w:rFonts w:ascii="Arial" w:hAnsi="Arial" w:cs="Arial"/>
          <w:bCs/>
          <w:spacing w:val="-3"/>
          <w:sz w:val="24"/>
          <w:szCs w:val="27"/>
          <w:lang w:val="es-ES_tradnl"/>
        </w:rPr>
        <w:t xml:space="preserve"> donde se llega al conocimiento que en ambos juicios, la parte actora es el accionante </w:t>
      </w:r>
      <w:r w:rsidR="00546B2F">
        <w:rPr>
          <w:rFonts w:ascii="Arial" w:hAnsi="Arial" w:cs="Arial"/>
          <w:b/>
          <w:spacing w:val="-3"/>
          <w:sz w:val="24"/>
          <w:szCs w:val="27"/>
          <w:lang w:val="es-ES_tradnl"/>
        </w:rPr>
        <w:t>***** *****</w:t>
      </w:r>
      <w:r w:rsidR="002473EC">
        <w:rPr>
          <w:rFonts w:ascii="Arial" w:hAnsi="Arial" w:cs="Arial"/>
          <w:b/>
          <w:spacing w:val="-3"/>
          <w:sz w:val="24"/>
          <w:szCs w:val="27"/>
          <w:lang w:val="es-ES_tradnl"/>
        </w:rPr>
        <w:t xml:space="preserve"> </w:t>
      </w:r>
      <w:r w:rsidR="00546B2F">
        <w:rPr>
          <w:rFonts w:ascii="Arial" w:hAnsi="Arial" w:cs="Arial"/>
          <w:b/>
          <w:spacing w:val="-3"/>
          <w:sz w:val="24"/>
          <w:szCs w:val="27"/>
          <w:lang w:val="es-ES_tradnl"/>
        </w:rPr>
        <w:t>*****</w:t>
      </w:r>
      <w:r w:rsidR="00202CD9">
        <w:rPr>
          <w:rFonts w:ascii="Arial" w:hAnsi="Arial" w:cs="Arial"/>
          <w:b/>
          <w:spacing w:val="-3"/>
          <w:sz w:val="24"/>
          <w:szCs w:val="27"/>
          <w:lang w:val="es-ES_tradnl"/>
        </w:rPr>
        <w:t xml:space="preserve"> </w:t>
      </w:r>
      <w:r w:rsidR="00546B2F">
        <w:rPr>
          <w:rFonts w:ascii="Arial" w:hAnsi="Arial" w:cs="Arial"/>
          <w:b/>
          <w:spacing w:val="-3"/>
          <w:sz w:val="24"/>
          <w:szCs w:val="27"/>
          <w:lang w:val="es-ES_tradnl"/>
        </w:rPr>
        <w:t>*****</w:t>
      </w:r>
      <w:r w:rsidR="00202CD9">
        <w:rPr>
          <w:rFonts w:ascii="Arial" w:hAnsi="Arial" w:cs="Arial"/>
          <w:b/>
          <w:spacing w:val="-3"/>
          <w:sz w:val="24"/>
          <w:szCs w:val="27"/>
          <w:lang w:val="es-ES_tradnl"/>
        </w:rPr>
        <w:t xml:space="preserve"> </w:t>
      </w:r>
      <w:r w:rsidR="00546B2F">
        <w:rPr>
          <w:rFonts w:ascii="Arial" w:hAnsi="Arial" w:cs="Arial"/>
          <w:b/>
          <w:spacing w:val="-3"/>
          <w:sz w:val="24"/>
          <w:szCs w:val="27"/>
          <w:lang w:val="es-ES_tradnl"/>
        </w:rPr>
        <w:t>*****</w:t>
      </w:r>
      <w:r>
        <w:rPr>
          <w:rFonts w:ascii="Arial" w:hAnsi="Arial" w:cs="Arial"/>
          <w:bCs/>
          <w:spacing w:val="-3"/>
          <w:sz w:val="24"/>
          <w:szCs w:val="27"/>
          <w:lang w:val="es-ES_tradnl"/>
        </w:rPr>
        <w:t xml:space="preserve">, y como autoridad demandada el </w:t>
      </w:r>
      <w:bookmarkStart w:id="1" w:name="_Hlk124883800"/>
      <w:r w:rsidRPr="00FE1D72">
        <w:rPr>
          <w:rFonts w:ascii="Arial" w:eastAsia="Times New Roman" w:hAnsi="Arial" w:cs="Arial"/>
          <w:b/>
          <w:bCs/>
          <w:sz w:val="24"/>
          <w:szCs w:val="27"/>
          <w:lang w:val="es-ES_tradnl" w:eastAsia="es-ES"/>
        </w:rPr>
        <w:t>CONSEJO DIRECTIVO DE PENSIONES DEL ESTADO</w:t>
      </w:r>
      <w:r w:rsidR="00D11AE8">
        <w:rPr>
          <w:rFonts w:ascii="Arial" w:eastAsia="Times New Roman" w:hAnsi="Arial" w:cs="Arial"/>
          <w:b/>
          <w:bCs/>
          <w:sz w:val="24"/>
          <w:szCs w:val="27"/>
          <w:lang w:val="es-ES_tradnl" w:eastAsia="es-ES"/>
        </w:rPr>
        <w:t xml:space="preserve"> DE OAXACA</w:t>
      </w:r>
      <w:r w:rsidRPr="00FE1D72">
        <w:rPr>
          <w:rFonts w:ascii="Arial" w:eastAsia="Times New Roman" w:hAnsi="Arial" w:cs="Arial"/>
          <w:b/>
          <w:bCs/>
          <w:sz w:val="24"/>
          <w:szCs w:val="27"/>
          <w:lang w:val="es-ES_tradnl" w:eastAsia="es-ES"/>
        </w:rPr>
        <w:t xml:space="preserve">, </w:t>
      </w:r>
      <w:r w:rsidR="00D11AE8">
        <w:rPr>
          <w:rFonts w:ascii="Arial" w:eastAsia="Times New Roman" w:hAnsi="Arial" w:cs="Arial"/>
          <w:b/>
          <w:bCs/>
          <w:sz w:val="24"/>
          <w:szCs w:val="27"/>
          <w:lang w:val="es-ES_tradnl" w:eastAsia="es-ES"/>
        </w:rPr>
        <w:t>A TRAVÉS DE SU REPRESENTANTE EL</w:t>
      </w:r>
      <w:r w:rsidRPr="00FE1D72">
        <w:rPr>
          <w:rFonts w:ascii="Arial" w:eastAsia="Times New Roman" w:hAnsi="Arial" w:cs="Arial"/>
          <w:b/>
          <w:bCs/>
          <w:sz w:val="24"/>
          <w:szCs w:val="27"/>
          <w:lang w:val="es-ES_tradnl" w:eastAsia="es-ES"/>
        </w:rPr>
        <w:t xml:space="preserve"> DIRECTOR GENERAL DE LA OFICINA DE PENSIONES</w:t>
      </w:r>
      <w:bookmarkEnd w:id="1"/>
      <w:r w:rsidR="0023226F">
        <w:rPr>
          <w:rFonts w:ascii="Arial" w:eastAsia="Times New Roman" w:hAnsi="Arial" w:cs="Arial"/>
          <w:b/>
          <w:bCs/>
          <w:sz w:val="24"/>
          <w:szCs w:val="27"/>
          <w:lang w:val="es-ES_tradnl" w:eastAsia="es-ES"/>
        </w:rPr>
        <w:t xml:space="preserve"> y DIRECTOR GENERAL DE LA OFICINA DE </w:t>
      </w:r>
      <w:r w:rsidR="0023226F">
        <w:rPr>
          <w:rFonts w:ascii="Arial" w:eastAsia="Times New Roman" w:hAnsi="Arial" w:cs="Arial"/>
          <w:b/>
          <w:bCs/>
          <w:sz w:val="24"/>
          <w:szCs w:val="27"/>
          <w:lang w:val="es-ES_tradnl" w:eastAsia="es-ES"/>
        </w:rPr>
        <w:lastRenderedPageBreak/>
        <w:t>PENSIONES Y MIEMBROS DEL CONSEJO DIRECTIVO, AUTORIDADES DE LA OFICINA DE PENSIONES DEL GOBIERNO DEL ESTADO DE OAXACA</w:t>
      </w:r>
      <w:r>
        <w:rPr>
          <w:rFonts w:ascii="Arial" w:hAnsi="Arial" w:cs="Arial"/>
          <w:bCs/>
          <w:spacing w:val="-3"/>
          <w:sz w:val="24"/>
          <w:szCs w:val="27"/>
          <w:lang w:val="es-ES_tradnl"/>
        </w:rPr>
        <w:t xml:space="preserve"> por lo que de forma comparativa, se desprenden los siguientes datos:</w:t>
      </w:r>
    </w:p>
    <w:tbl>
      <w:tblPr>
        <w:tblStyle w:val="Tablaconcuadrcula"/>
        <w:tblW w:w="0" w:type="auto"/>
        <w:tblLook w:val="04A0" w:firstRow="1" w:lastRow="0" w:firstColumn="1" w:lastColumn="0" w:noHBand="0" w:noVBand="1"/>
      </w:tblPr>
      <w:tblGrid>
        <w:gridCol w:w="4413"/>
        <w:gridCol w:w="4414"/>
      </w:tblGrid>
      <w:tr w:rsidR="00DC0992" w14:paraId="1DE8FA5D" w14:textId="77777777" w:rsidTr="00BF56B1">
        <w:tc>
          <w:tcPr>
            <w:tcW w:w="4413" w:type="dxa"/>
            <w:shd w:val="clear" w:color="auto" w:fill="F2F2F2" w:themeFill="background1" w:themeFillShade="F2"/>
            <w:vAlign w:val="center"/>
          </w:tcPr>
          <w:p w14:paraId="0C48C557" w14:textId="71D92523" w:rsidR="00DC0992" w:rsidRPr="00945944" w:rsidRDefault="00FE4E4F" w:rsidP="00BF56B1">
            <w:pPr>
              <w:spacing w:line="360" w:lineRule="auto"/>
              <w:jc w:val="center"/>
              <w:rPr>
                <w:rFonts w:ascii="Arial" w:hAnsi="Arial" w:cs="Arial"/>
                <w:b/>
                <w:spacing w:val="-3"/>
                <w:sz w:val="24"/>
                <w:szCs w:val="27"/>
                <w:lang w:val="es-ES_tradnl"/>
              </w:rPr>
            </w:pPr>
            <w:r>
              <w:rPr>
                <w:rFonts w:ascii="Arial" w:hAnsi="Arial" w:cs="Arial"/>
                <w:b/>
                <w:spacing w:val="-3"/>
                <w:sz w:val="24"/>
                <w:szCs w:val="27"/>
                <w:lang w:val="es-ES_tradnl"/>
              </w:rPr>
              <w:t xml:space="preserve">Juicio </w:t>
            </w:r>
            <w:r w:rsidR="00546B2F">
              <w:rPr>
                <w:rFonts w:ascii="Arial" w:hAnsi="Arial" w:cs="Arial"/>
                <w:b/>
                <w:spacing w:val="-3"/>
                <w:sz w:val="24"/>
                <w:szCs w:val="27"/>
                <w:lang w:val="es-ES_tradnl"/>
              </w:rPr>
              <w:t>*****</w:t>
            </w:r>
            <w:r w:rsidRPr="00FE4E4F">
              <w:rPr>
                <w:rFonts w:ascii="Arial" w:hAnsi="Arial" w:cs="Arial"/>
                <w:b/>
                <w:spacing w:val="-3"/>
                <w:sz w:val="24"/>
                <w:szCs w:val="27"/>
                <w:lang w:val="es-ES_tradnl"/>
              </w:rPr>
              <w:t xml:space="preserve"> del índice de la Sexta Sala Unitaria de Primera Instancia del Tribunal de lo Contencioso Administrativo y de Cuentas del Poder Judicial del Estado de Oaxaca</w:t>
            </w:r>
            <w:r w:rsidR="001B6278">
              <w:rPr>
                <w:rFonts w:ascii="Arial" w:hAnsi="Arial" w:cs="Arial"/>
                <w:b/>
                <w:spacing w:val="-3"/>
                <w:sz w:val="24"/>
                <w:szCs w:val="27"/>
                <w:lang w:val="es-ES_tradnl"/>
              </w:rPr>
              <w:t xml:space="preserve"> (antes </w:t>
            </w:r>
            <w:r w:rsidR="00546B2F">
              <w:rPr>
                <w:rFonts w:ascii="Arial" w:hAnsi="Arial" w:cs="Arial"/>
                <w:b/>
                <w:spacing w:val="-3"/>
                <w:sz w:val="24"/>
                <w:szCs w:val="27"/>
                <w:lang w:val="es-ES_tradnl"/>
              </w:rPr>
              <w:t>*****</w:t>
            </w:r>
            <w:r w:rsidR="001B6278" w:rsidRPr="001B6278">
              <w:rPr>
                <w:rFonts w:ascii="Arial" w:hAnsi="Arial" w:cs="Arial"/>
                <w:b/>
                <w:spacing w:val="-3"/>
                <w:sz w:val="24"/>
                <w:szCs w:val="27"/>
                <w:lang w:val="es-ES_tradnl"/>
              </w:rPr>
              <w:t>, radicado en la otra Segunda Sala Unitaria del Tribunal de lo Contencioso Administrativo para el Estado de Oaxaca</w:t>
            </w:r>
            <w:r w:rsidR="001B6278">
              <w:rPr>
                <w:rFonts w:ascii="Arial" w:hAnsi="Arial" w:cs="Arial"/>
                <w:b/>
                <w:spacing w:val="-3"/>
                <w:sz w:val="24"/>
                <w:szCs w:val="27"/>
                <w:lang w:val="es-ES_tradnl"/>
              </w:rPr>
              <w:t>)</w:t>
            </w:r>
          </w:p>
        </w:tc>
        <w:tc>
          <w:tcPr>
            <w:tcW w:w="4414" w:type="dxa"/>
            <w:shd w:val="clear" w:color="auto" w:fill="F2F2F2" w:themeFill="background1" w:themeFillShade="F2"/>
          </w:tcPr>
          <w:p w14:paraId="5EC74683" w14:textId="2CDE897C" w:rsidR="00DC0992" w:rsidRPr="00945944" w:rsidRDefault="00DC0992" w:rsidP="00BF56B1">
            <w:pPr>
              <w:spacing w:line="360" w:lineRule="auto"/>
              <w:jc w:val="center"/>
              <w:rPr>
                <w:rFonts w:ascii="Arial" w:hAnsi="Arial" w:cs="Arial"/>
                <w:b/>
                <w:spacing w:val="-3"/>
                <w:sz w:val="24"/>
                <w:szCs w:val="27"/>
                <w:lang w:val="es-ES_tradnl"/>
              </w:rPr>
            </w:pPr>
            <w:r w:rsidRPr="00945944">
              <w:rPr>
                <w:rFonts w:ascii="Arial" w:hAnsi="Arial" w:cs="Arial"/>
                <w:b/>
                <w:spacing w:val="-3"/>
                <w:sz w:val="24"/>
                <w:szCs w:val="27"/>
                <w:lang w:val="es-ES_tradnl"/>
              </w:rPr>
              <w:t xml:space="preserve">Juicio </w:t>
            </w:r>
            <w:r w:rsidR="00546B2F">
              <w:rPr>
                <w:rFonts w:ascii="Arial" w:hAnsi="Arial" w:cs="Arial"/>
                <w:b/>
                <w:spacing w:val="-3"/>
                <w:sz w:val="24"/>
                <w:szCs w:val="27"/>
                <w:lang w:val="es-ES_tradnl"/>
              </w:rPr>
              <w:t>*****</w:t>
            </w:r>
            <w:r>
              <w:rPr>
                <w:rFonts w:ascii="Arial" w:hAnsi="Arial" w:cs="Arial"/>
                <w:b/>
                <w:spacing w:val="-3"/>
                <w:sz w:val="24"/>
                <w:szCs w:val="27"/>
                <w:lang w:val="es-ES_tradnl"/>
              </w:rPr>
              <w:t xml:space="preserve">, del índice de la </w:t>
            </w:r>
            <w:r w:rsidRPr="00945944">
              <w:rPr>
                <w:rFonts w:ascii="Arial" w:hAnsi="Arial" w:cs="Arial"/>
                <w:b/>
                <w:spacing w:val="-3"/>
                <w:sz w:val="24"/>
                <w:szCs w:val="27"/>
                <w:lang w:val="es-ES_tradnl"/>
              </w:rPr>
              <w:t>Segunda Sala Unitaria del Tribunal de Justicia Administrativa del Estado de Oaxaca</w:t>
            </w:r>
          </w:p>
        </w:tc>
      </w:tr>
      <w:tr w:rsidR="00DC0992" w14:paraId="59208893" w14:textId="77777777" w:rsidTr="00AA7004">
        <w:tc>
          <w:tcPr>
            <w:tcW w:w="4413" w:type="dxa"/>
          </w:tcPr>
          <w:p w14:paraId="0DD99569" w14:textId="3106A927" w:rsidR="00DC0992" w:rsidRDefault="00DC0992" w:rsidP="00AA7004">
            <w:pPr>
              <w:spacing w:line="360" w:lineRule="auto"/>
              <w:jc w:val="both"/>
              <w:rPr>
                <w:rFonts w:ascii="Arial" w:hAnsi="Arial" w:cs="Arial"/>
                <w:bCs/>
                <w:spacing w:val="-3"/>
                <w:sz w:val="24"/>
                <w:szCs w:val="27"/>
                <w:lang w:val="es-ES_tradnl"/>
              </w:rPr>
            </w:pPr>
            <w:r w:rsidRPr="00616192">
              <w:rPr>
                <w:rFonts w:ascii="Arial" w:hAnsi="Arial" w:cs="Arial"/>
                <w:b/>
                <w:spacing w:val="-3"/>
                <w:sz w:val="24"/>
                <w:szCs w:val="27"/>
                <w:lang w:val="es-ES_tradnl"/>
              </w:rPr>
              <w:t>Acto reclamado</w:t>
            </w:r>
            <w:r>
              <w:rPr>
                <w:rFonts w:ascii="Arial" w:hAnsi="Arial" w:cs="Arial"/>
                <w:bCs/>
                <w:spacing w:val="-3"/>
                <w:sz w:val="24"/>
                <w:szCs w:val="27"/>
                <w:lang w:val="es-ES_tradnl"/>
              </w:rPr>
              <w:t xml:space="preserve">: De la lectura hecha a la </w:t>
            </w:r>
            <w:r w:rsidR="00FE4E4F">
              <w:rPr>
                <w:rFonts w:ascii="Arial" w:hAnsi="Arial" w:cs="Arial"/>
                <w:bCs/>
                <w:spacing w:val="-3"/>
                <w:sz w:val="24"/>
                <w:szCs w:val="27"/>
                <w:lang w:val="es-ES_tradnl"/>
              </w:rPr>
              <w:t>demanda de fecha treinta y uno de mayo de dos mil trece (fojas 60 a 70)</w:t>
            </w:r>
            <w:r>
              <w:rPr>
                <w:rFonts w:ascii="Arial" w:hAnsi="Arial" w:cs="Arial"/>
                <w:bCs/>
                <w:spacing w:val="-3"/>
                <w:sz w:val="24"/>
                <w:szCs w:val="27"/>
                <w:lang w:val="es-ES_tradnl"/>
              </w:rPr>
              <w:t>, el promovente señala como acto reclamado el oficio OP/</w:t>
            </w:r>
            <w:r w:rsidR="00546B2F">
              <w:rPr>
                <w:rFonts w:ascii="Arial" w:hAnsi="Arial" w:cs="Arial"/>
                <w:bCs/>
                <w:spacing w:val="-3"/>
                <w:sz w:val="24"/>
                <w:szCs w:val="27"/>
                <w:lang w:val="es-ES_tradnl"/>
              </w:rPr>
              <w:t>****</w:t>
            </w:r>
            <w:r>
              <w:rPr>
                <w:rFonts w:ascii="Arial" w:hAnsi="Arial" w:cs="Arial"/>
                <w:bCs/>
                <w:spacing w:val="-3"/>
                <w:sz w:val="24"/>
                <w:szCs w:val="27"/>
                <w:lang w:val="es-ES_tradnl"/>
              </w:rPr>
              <w:t>//</w:t>
            </w:r>
            <w:r w:rsidR="00546B2F">
              <w:rPr>
                <w:rFonts w:ascii="Arial" w:hAnsi="Arial" w:cs="Arial"/>
                <w:bCs/>
                <w:spacing w:val="-3"/>
                <w:sz w:val="24"/>
                <w:szCs w:val="27"/>
                <w:lang w:val="es-ES_tradnl"/>
              </w:rPr>
              <w:t>****</w:t>
            </w:r>
            <w:r>
              <w:rPr>
                <w:rFonts w:ascii="Arial" w:hAnsi="Arial" w:cs="Arial"/>
                <w:bCs/>
                <w:spacing w:val="-3"/>
                <w:sz w:val="24"/>
                <w:szCs w:val="27"/>
                <w:lang w:val="es-ES_tradnl"/>
              </w:rPr>
              <w:t xml:space="preserve">, de fecha </w:t>
            </w:r>
            <w:r w:rsidR="00546B2F">
              <w:rPr>
                <w:rFonts w:ascii="Arial" w:hAnsi="Arial" w:cs="Arial"/>
                <w:bCs/>
                <w:spacing w:val="-3"/>
                <w:sz w:val="24"/>
                <w:szCs w:val="27"/>
                <w:lang w:val="es-ES_tradnl"/>
              </w:rPr>
              <w:t>****</w:t>
            </w:r>
            <w:r w:rsidR="00FE4E4F">
              <w:rPr>
                <w:rFonts w:ascii="Arial" w:hAnsi="Arial" w:cs="Arial"/>
                <w:bCs/>
                <w:spacing w:val="-3"/>
                <w:sz w:val="24"/>
                <w:szCs w:val="27"/>
                <w:lang w:val="es-ES_tradnl"/>
              </w:rPr>
              <w:t xml:space="preserve"> de </w:t>
            </w:r>
            <w:r w:rsidR="00546B2F">
              <w:rPr>
                <w:rFonts w:ascii="Arial" w:hAnsi="Arial" w:cs="Arial"/>
                <w:bCs/>
                <w:spacing w:val="-3"/>
                <w:sz w:val="24"/>
                <w:szCs w:val="27"/>
                <w:lang w:val="es-ES_tradnl"/>
              </w:rPr>
              <w:t>****</w:t>
            </w:r>
            <w:r w:rsidR="00FE4E4F">
              <w:rPr>
                <w:rFonts w:ascii="Arial" w:hAnsi="Arial" w:cs="Arial"/>
                <w:bCs/>
                <w:spacing w:val="-3"/>
                <w:sz w:val="24"/>
                <w:szCs w:val="27"/>
                <w:lang w:val="es-ES_tradnl"/>
              </w:rPr>
              <w:t xml:space="preserve"> de dos mil </w:t>
            </w:r>
            <w:r w:rsidR="00546B2F">
              <w:rPr>
                <w:rFonts w:ascii="Arial" w:hAnsi="Arial" w:cs="Arial"/>
                <w:bCs/>
                <w:spacing w:val="-3"/>
                <w:sz w:val="24"/>
                <w:szCs w:val="27"/>
                <w:lang w:val="es-ES_tradnl"/>
              </w:rPr>
              <w:t>****</w:t>
            </w:r>
            <w:r>
              <w:rPr>
                <w:rFonts w:ascii="Arial" w:hAnsi="Arial" w:cs="Arial"/>
                <w:bCs/>
                <w:spacing w:val="-3"/>
                <w:sz w:val="24"/>
                <w:szCs w:val="27"/>
                <w:lang w:val="es-ES_tradnl"/>
              </w:rPr>
              <w:t>, emitido por el Director General de la Oficina de Pensiones del Estado de Oaxaca.</w:t>
            </w:r>
          </w:p>
        </w:tc>
        <w:tc>
          <w:tcPr>
            <w:tcW w:w="4414" w:type="dxa"/>
          </w:tcPr>
          <w:p w14:paraId="6F458587" w14:textId="3F3EE36E" w:rsidR="00DC0992" w:rsidRDefault="00DC0992" w:rsidP="00AA7004">
            <w:pPr>
              <w:spacing w:line="360" w:lineRule="auto"/>
              <w:jc w:val="both"/>
              <w:rPr>
                <w:rFonts w:ascii="Arial" w:hAnsi="Arial" w:cs="Arial"/>
                <w:bCs/>
                <w:spacing w:val="-3"/>
                <w:sz w:val="24"/>
                <w:szCs w:val="27"/>
                <w:lang w:val="es-ES_tradnl"/>
              </w:rPr>
            </w:pPr>
            <w:r w:rsidRPr="00AB184C">
              <w:rPr>
                <w:rFonts w:ascii="Arial" w:hAnsi="Arial" w:cs="Arial"/>
                <w:b/>
                <w:spacing w:val="-3"/>
                <w:sz w:val="24"/>
                <w:szCs w:val="27"/>
                <w:lang w:val="es-ES_tradnl"/>
              </w:rPr>
              <w:t>Acto</w:t>
            </w:r>
            <w:r w:rsidR="006A001E">
              <w:rPr>
                <w:rFonts w:ascii="Arial" w:hAnsi="Arial" w:cs="Arial"/>
                <w:b/>
                <w:spacing w:val="-3"/>
                <w:sz w:val="24"/>
                <w:szCs w:val="27"/>
                <w:lang w:val="es-ES_tradnl"/>
              </w:rPr>
              <w:t>s</w:t>
            </w:r>
            <w:r w:rsidRPr="00AB184C">
              <w:rPr>
                <w:rFonts w:ascii="Arial" w:hAnsi="Arial" w:cs="Arial"/>
                <w:b/>
                <w:spacing w:val="-3"/>
                <w:sz w:val="24"/>
                <w:szCs w:val="27"/>
                <w:lang w:val="es-ES_tradnl"/>
              </w:rPr>
              <w:t xml:space="preserve"> reclamado</w:t>
            </w:r>
            <w:r w:rsidR="006A001E">
              <w:rPr>
                <w:rFonts w:ascii="Arial" w:hAnsi="Arial" w:cs="Arial"/>
                <w:b/>
                <w:spacing w:val="-3"/>
                <w:sz w:val="24"/>
                <w:szCs w:val="27"/>
                <w:lang w:val="es-ES_tradnl"/>
              </w:rPr>
              <w:t>s</w:t>
            </w:r>
            <w:r>
              <w:rPr>
                <w:rFonts w:ascii="Arial" w:hAnsi="Arial" w:cs="Arial"/>
                <w:bCs/>
                <w:spacing w:val="-3"/>
                <w:sz w:val="24"/>
                <w:szCs w:val="27"/>
                <w:lang w:val="es-ES_tradnl"/>
              </w:rPr>
              <w:t>: El acuerdo contenido en el oficio número OP/DG/</w:t>
            </w:r>
            <w:r w:rsidR="00546B2F">
              <w:rPr>
                <w:rFonts w:ascii="Arial" w:hAnsi="Arial" w:cs="Arial"/>
                <w:bCs/>
                <w:spacing w:val="-3"/>
                <w:sz w:val="24"/>
                <w:szCs w:val="27"/>
                <w:lang w:val="es-ES_tradnl"/>
              </w:rPr>
              <w:t>****</w:t>
            </w:r>
            <w:r>
              <w:rPr>
                <w:rFonts w:ascii="Arial" w:hAnsi="Arial" w:cs="Arial"/>
                <w:bCs/>
                <w:spacing w:val="-3"/>
                <w:sz w:val="24"/>
                <w:szCs w:val="27"/>
                <w:lang w:val="es-ES_tradnl"/>
              </w:rPr>
              <w:t>/</w:t>
            </w:r>
            <w:r w:rsidR="00546B2F">
              <w:rPr>
                <w:rFonts w:ascii="Arial" w:hAnsi="Arial" w:cs="Arial"/>
                <w:bCs/>
                <w:spacing w:val="-3"/>
                <w:sz w:val="24"/>
                <w:szCs w:val="27"/>
                <w:lang w:val="es-ES_tradnl"/>
              </w:rPr>
              <w:t>*****</w:t>
            </w:r>
            <w:r>
              <w:rPr>
                <w:rFonts w:ascii="Arial" w:hAnsi="Arial" w:cs="Arial"/>
                <w:bCs/>
                <w:spacing w:val="-3"/>
                <w:sz w:val="24"/>
                <w:szCs w:val="27"/>
                <w:lang w:val="es-ES_tradnl"/>
              </w:rPr>
              <w:t xml:space="preserve">, de fecha </w:t>
            </w:r>
            <w:r w:rsidR="00546B2F">
              <w:rPr>
                <w:rFonts w:ascii="Arial" w:hAnsi="Arial" w:cs="Arial"/>
                <w:bCs/>
                <w:spacing w:val="-3"/>
                <w:sz w:val="24"/>
                <w:szCs w:val="27"/>
                <w:lang w:val="es-ES_tradnl"/>
              </w:rPr>
              <w:t>***</w:t>
            </w:r>
            <w:r w:rsidR="00266306">
              <w:rPr>
                <w:rFonts w:ascii="Arial" w:hAnsi="Arial" w:cs="Arial"/>
                <w:bCs/>
                <w:spacing w:val="-3"/>
                <w:sz w:val="24"/>
                <w:szCs w:val="27"/>
                <w:lang w:val="es-ES_tradnl"/>
              </w:rPr>
              <w:t xml:space="preserve"> de </w:t>
            </w:r>
            <w:r w:rsidR="00546B2F">
              <w:rPr>
                <w:rFonts w:ascii="Arial" w:hAnsi="Arial" w:cs="Arial"/>
                <w:bCs/>
                <w:spacing w:val="-3"/>
                <w:sz w:val="24"/>
                <w:szCs w:val="27"/>
                <w:lang w:val="es-ES_tradnl"/>
              </w:rPr>
              <w:t>*****</w:t>
            </w:r>
            <w:r>
              <w:rPr>
                <w:rFonts w:ascii="Arial" w:hAnsi="Arial" w:cs="Arial"/>
                <w:bCs/>
                <w:spacing w:val="-3"/>
                <w:sz w:val="24"/>
                <w:szCs w:val="27"/>
                <w:lang w:val="es-ES_tradnl"/>
              </w:rPr>
              <w:t xml:space="preserve"> de dos mil </w:t>
            </w:r>
            <w:r w:rsidR="00546B2F">
              <w:rPr>
                <w:rFonts w:ascii="Arial" w:hAnsi="Arial" w:cs="Arial"/>
                <w:bCs/>
                <w:spacing w:val="-3"/>
                <w:sz w:val="24"/>
                <w:szCs w:val="27"/>
                <w:lang w:val="es-ES_tradnl"/>
              </w:rPr>
              <w:t>*****</w:t>
            </w:r>
            <w:r>
              <w:rPr>
                <w:rFonts w:ascii="Arial" w:hAnsi="Arial" w:cs="Arial"/>
                <w:bCs/>
                <w:spacing w:val="-3"/>
                <w:sz w:val="24"/>
                <w:szCs w:val="27"/>
                <w:lang w:val="es-ES_tradnl"/>
              </w:rPr>
              <w:t xml:space="preserve"> (foja 1</w:t>
            </w:r>
            <w:r w:rsidR="00266306">
              <w:rPr>
                <w:rFonts w:ascii="Arial" w:hAnsi="Arial" w:cs="Arial"/>
                <w:bCs/>
                <w:spacing w:val="-3"/>
                <w:sz w:val="24"/>
                <w:szCs w:val="27"/>
                <w:lang w:val="es-ES_tradnl"/>
              </w:rPr>
              <w:t>1</w:t>
            </w:r>
            <w:r>
              <w:rPr>
                <w:rFonts w:ascii="Arial" w:hAnsi="Arial" w:cs="Arial"/>
                <w:bCs/>
                <w:spacing w:val="-3"/>
                <w:sz w:val="24"/>
                <w:szCs w:val="27"/>
                <w:lang w:val="es-ES_tradnl"/>
              </w:rPr>
              <w:t xml:space="preserve">), emitido por el Director General </w:t>
            </w:r>
            <w:r w:rsidR="00266306">
              <w:rPr>
                <w:rFonts w:ascii="Arial" w:hAnsi="Arial" w:cs="Arial"/>
                <w:bCs/>
                <w:spacing w:val="-3"/>
                <w:sz w:val="24"/>
                <w:szCs w:val="27"/>
                <w:lang w:val="es-ES_tradnl"/>
              </w:rPr>
              <w:t xml:space="preserve">y Apoderado Legal </w:t>
            </w:r>
            <w:r>
              <w:rPr>
                <w:rFonts w:ascii="Arial" w:hAnsi="Arial" w:cs="Arial"/>
                <w:bCs/>
                <w:spacing w:val="-3"/>
                <w:sz w:val="24"/>
                <w:szCs w:val="27"/>
                <w:lang w:val="es-ES_tradnl"/>
              </w:rPr>
              <w:t>de la Oficina de Pensiones del Estado de Oaxaca</w:t>
            </w:r>
            <w:r w:rsidR="00266306">
              <w:rPr>
                <w:rFonts w:ascii="Arial" w:hAnsi="Arial" w:cs="Arial"/>
                <w:bCs/>
                <w:spacing w:val="-3"/>
                <w:sz w:val="24"/>
                <w:szCs w:val="27"/>
                <w:lang w:val="es-ES_tradnl"/>
              </w:rPr>
              <w:t xml:space="preserve"> y </w:t>
            </w:r>
            <w:r w:rsidR="006A001E">
              <w:rPr>
                <w:rFonts w:ascii="Arial" w:hAnsi="Arial" w:cs="Arial"/>
                <w:bCs/>
                <w:spacing w:val="-3"/>
                <w:sz w:val="24"/>
                <w:szCs w:val="27"/>
                <w:lang w:val="es-ES_tradnl"/>
              </w:rPr>
              <w:t>el oficio OP/</w:t>
            </w:r>
            <w:r w:rsidR="00546B2F">
              <w:rPr>
                <w:rFonts w:ascii="Arial" w:hAnsi="Arial" w:cs="Arial"/>
                <w:bCs/>
                <w:spacing w:val="-3"/>
                <w:sz w:val="24"/>
                <w:szCs w:val="27"/>
                <w:lang w:val="es-ES_tradnl"/>
              </w:rPr>
              <w:t>****</w:t>
            </w:r>
            <w:r w:rsidR="006A001E">
              <w:rPr>
                <w:rFonts w:ascii="Arial" w:hAnsi="Arial" w:cs="Arial"/>
                <w:bCs/>
                <w:spacing w:val="-3"/>
                <w:sz w:val="24"/>
                <w:szCs w:val="27"/>
                <w:lang w:val="es-ES_tradnl"/>
              </w:rPr>
              <w:t>/</w:t>
            </w:r>
            <w:r w:rsidR="00546B2F">
              <w:rPr>
                <w:rFonts w:ascii="Arial" w:hAnsi="Arial" w:cs="Arial"/>
                <w:bCs/>
                <w:spacing w:val="-3"/>
                <w:sz w:val="24"/>
                <w:szCs w:val="27"/>
                <w:lang w:val="es-ES_tradnl"/>
              </w:rPr>
              <w:t>****</w:t>
            </w:r>
            <w:r w:rsidR="006A001E">
              <w:rPr>
                <w:rFonts w:ascii="Arial" w:hAnsi="Arial" w:cs="Arial"/>
                <w:bCs/>
                <w:spacing w:val="-3"/>
                <w:sz w:val="24"/>
                <w:szCs w:val="27"/>
                <w:lang w:val="es-ES_tradnl"/>
              </w:rPr>
              <w:t>/</w:t>
            </w:r>
            <w:r w:rsidR="00546B2F">
              <w:rPr>
                <w:rFonts w:ascii="Arial" w:hAnsi="Arial" w:cs="Arial"/>
                <w:bCs/>
                <w:spacing w:val="-3"/>
                <w:sz w:val="24"/>
                <w:szCs w:val="27"/>
                <w:lang w:val="es-ES_tradnl"/>
              </w:rPr>
              <w:t>****</w:t>
            </w:r>
            <w:r w:rsidR="006A001E">
              <w:rPr>
                <w:rFonts w:ascii="Arial" w:hAnsi="Arial" w:cs="Arial"/>
                <w:bCs/>
                <w:spacing w:val="-3"/>
                <w:sz w:val="24"/>
                <w:szCs w:val="27"/>
                <w:lang w:val="es-ES_tradnl"/>
              </w:rPr>
              <w:t xml:space="preserve">, de fecha </w:t>
            </w:r>
            <w:r w:rsidR="00546B2F">
              <w:rPr>
                <w:rFonts w:ascii="Arial" w:hAnsi="Arial" w:cs="Arial"/>
                <w:bCs/>
                <w:spacing w:val="-3"/>
                <w:sz w:val="24"/>
                <w:szCs w:val="27"/>
                <w:lang w:val="es-ES_tradnl"/>
              </w:rPr>
              <w:t>****</w:t>
            </w:r>
            <w:r w:rsidR="006A001E">
              <w:rPr>
                <w:rFonts w:ascii="Arial" w:hAnsi="Arial" w:cs="Arial"/>
                <w:bCs/>
                <w:spacing w:val="-3"/>
                <w:sz w:val="24"/>
                <w:szCs w:val="27"/>
                <w:lang w:val="es-ES_tradnl"/>
              </w:rPr>
              <w:t xml:space="preserve"> de </w:t>
            </w:r>
            <w:r w:rsidR="00546B2F">
              <w:rPr>
                <w:rFonts w:ascii="Arial" w:hAnsi="Arial" w:cs="Arial"/>
                <w:bCs/>
                <w:spacing w:val="-3"/>
                <w:sz w:val="24"/>
                <w:szCs w:val="27"/>
                <w:lang w:val="es-ES_tradnl"/>
              </w:rPr>
              <w:t>*****</w:t>
            </w:r>
            <w:r w:rsidR="006A001E">
              <w:rPr>
                <w:rFonts w:ascii="Arial" w:hAnsi="Arial" w:cs="Arial"/>
                <w:bCs/>
                <w:spacing w:val="-3"/>
                <w:sz w:val="24"/>
                <w:szCs w:val="27"/>
                <w:lang w:val="es-ES_tradnl"/>
              </w:rPr>
              <w:t xml:space="preserve"> de dos mil </w:t>
            </w:r>
            <w:r w:rsidR="00546B2F">
              <w:rPr>
                <w:rFonts w:ascii="Arial" w:hAnsi="Arial" w:cs="Arial"/>
                <w:bCs/>
                <w:spacing w:val="-3"/>
                <w:sz w:val="24"/>
                <w:szCs w:val="27"/>
                <w:lang w:val="es-ES_tradnl"/>
              </w:rPr>
              <w:t>****</w:t>
            </w:r>
            <w:r w:rsidR="006A001E">
              <w:rPr>
                <w:rFonts w:ascii="Arial" w:hAnsi="Arial" w:cs="Arial"/>
                <w:bCs/>
                <w:spacing w:val="-3"/>
                <w:sz w:val="24"/>
                <w:szCs w:val="27"/>
                <w:lang w:val="es-ES_tradnl"/>
              </w:rPr>
              <w:t xml:space="preserve"> (foja 15), emitido por el Director de la Oficina de Pensiones del Estado de Oaxaca.</w:t>
            </w:r>
          </w:p>
        </w:tc>
      </w:tr>
    </w:tbl>
    <w:p w14:paraId="5024450B" w14:textId="77777777" w:rsidR="00DC0992" w:rsidRDefault="00DC0992" w:rsidP="00DC0992">
      <w:pPr>
        <w:spacing w:line="360" w:lineRule="auto"/>
        <w:ind w:firstLine="567"/>
        <w:jc w:val="both"/>
        <w:rPr>
          <w:rFonts w:ascii="Arial" w:hAnsi="Arial" w:cs="Arial"/>
          <w:bCs/>
          <w:spacing w:val="-3"/>
          <w:sz w:val="24"/>
          <w:szCs w:val="27"/>
          <w:lang w:val="es-ES_tradnl"/>
        </w:rPr>
      </w:pPr>
    </w:p>
    <w:p w14:paraId="1A79A871" w14:textId="3BC07AF6" w:rsidR="00DC0992" w:rsidRDefault="00DC0992" w:rsidP="00DC0992">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De la lectura realizada al cuadro antes expuesto, se advierte que los juicios promovidos por la parte actora, son en contra del </w:t>
      </w:r>
      <w:r w:rsidR="002F48ED" w:rsidRPr="002F48ED">
        <w:rPr>
          <w:rFonts w:ascii="Arial" w:hAnsi="Arial" w:cs="Arial"/>
          <w:bCs/>
          <w:spacing w:val="-3"/>
          <w:sz w:val="24"/>
          <w:szCs w:val="27"/>
          <w:lang w:val="es-ES_tradnl"/>
        </w:rPr>
        <w:t>CONSEJO DIRECTIVO DE PENSIONES DEL ESTADO DE OAXACA, A TRAVÉS DE SU REPRESENTANTE EL DIRECTOR GENERAL DE LA OFICINA DE PENSIONES y DIRECTOR GENERAL DE LA OFICINA DE PENSIONES Y MIEMBROS DEL CONSEJO DIRECTIVO, AUTORIDADES DE LA OFICINA DE PENSIONES DEL GOBIERNO DEL ESTADO DE OAXACA</w:t>
      </w:r>
      <w:r>
        <w:rPr>
          <w:rFonts w:ascii="Arial" w:hAnsi="Arial" w:cs="Arial"/>
          <w:bCs/>
          <w:spacing w:val="-3"/>
          <w:sz w:val="24"/>
          <w:szCs w:val="27"/>
          <w:lang w:val="es-ES_tradnl"/>
        </w:rPr>
        <w:t>, ambos promovidos ante el Tribunal de Justicia Administrativa del Estado de Oaxaca</w:t>
      </w:r>
      <w:r w:rsidR="00D00506">
        <w:rPr>
          <w:rFonts w:ascii="Arial" w:hAnsi="Arial" w:cs="Arial"/>
          <w:bCs/>
          <w:spacing w:val="-3"/>
          <w:sz w:val="24"/>
          <w:szCs w:val="27"/>
          <w:lang w:val="es-ES_tradnl"/>
        </w:rPr>
        <w:t xml:space="preserve"> (sin importar la denominación que en su momento tuvo)</w:t>
      </w:r>
      <w:r>
        <w:rPr>
          <w:rFonts w:ascii="Arial" w:hAnsi="Arial" w:cs="Arial"/>
          <w:bCs/>
          <w:spacing w:val="-3"/>
          <w:sz w:val="24"/>
          <w:szCs w:val="27"/>
          <w:lang w:val="es-ES_tradnl"/>
        </w:rPr>
        <w:t xml:space="preserve">; sin embargo, las actos impugnados no son los mismos, toda vez que en el primer juicio radicado ante la </w:t>
      </w:r>
      <w:r w:rsidR="00D00506">
        <w:rPr>
          <w:rFonts w:ascii="Arial" w:hAnsi="Arial" w:cs="Arial"/>
          <w:bCs/>
          <w:spacing w:val="-3"/>
          <w:sz w:val="24"/>
          <w:szCs w:val="27"/>
          <w:lang w:val="es-ES_tradnl"/>
        </w:rPr>
        <w:t>otrora Segunda Sala</w:t>
      </w:r>
      <w:r>
        <w:rPr>
          <w:rFonts w:ascii="Arial" w:hAnsi="Arial" w:cs="Arial"/>
          <w:bCs/>
          <w:spacing w:val="-3"/>
          <w:sz w:val="24"/>
          <w:szCs w:val="27"/>
          <w:lang w:val="es-ES_tradnl"/>
        </w:rPr>
        <w:t xml:space="preserve">, el acto fue el acuerdo contenido en el </w:t>
      </w:r>
      <w:r w:rsidR="00D00506">
        <w:rPr>
          <w:rFonts w:ascii="Arial" w:hAnsi="Arial" w:cs="Arial"/>
          <w:bCs/>
          <w:spacing w:val="-3"/>
          <w:sz w:val="24"/>
          <w:szCs w:val="27"/>
          <w:lang w:val="es-ES_tradnl"/>
        </w:rPr>
        <w:t>oficio OP/</w:t>
      </w:r>
      <w:r w:rsidR="009337EF">
        <w:rPr>
          <w:rFonts w:ascii="Arial" w:hAnsi="Arial" w:cs="Arial"/>
          <w:bCs/>
          <w:spacing w:val="-3"/>
          <w:sz w:val="24"/>
          <w:szCs w:val="27"/>
          <w:lang w:val="es-ES_tradnl"/>
        </w:rPr>
        <w:t>*****</w:t>
      </w:r>
      <w:r w:rsidR="00D00506">
        <w:rPr>
          <w:rFonts w:ascii="Arial" w:hAnsi="Arial" w:cs="Arial"/>
          <w:bCs/>
          <w:spacing w:val="-3"/>
          <w:sz w:val="24"/>
          <w:szCs w:val="27"/>
          <w:lang w:val="es-ES_tradnl"/>
        </w:rPr>
        <w:t>//</w:t>
      </w:r>
      <w:r w:rsidR="009337EF">
        <w:rPr>
          <w:rFonts w:ascii="Arial" w:hAnsi="Arial" w:cs="Arial"/>
          <w:bCs/>
          <w:spacing w:val="-3"/>
          <w:sz w:val="24"/>
          <w:szCs w:val="27"/>
          <w:lang w:val="es-ES_tradnl"/>
        </w:rPr>
        <w:t>****</w:t>
      </w:r>
      <w:r w:rsidR="00D00506">
        <w:rPr>
          <w:rFonts w:ascii="Arial" w:hAnsi="Arial" w:cs="Arial"/>
          <w:bCs/>
          <w:spacing w:val="-3"/>
          <w:sz w:val="24"/>
          <w:szCs w:val="27"/>
          <w:lang w:val="es-ES_tradnl"/>
        </w:rPr>
        <w:t xml:space="preserve">, de fecha </w:t>
      </w:r>
      <w:r w:rsidR="009337EF">
        <w:rPr>
          <w:rFonts w:ascii="Arial" w:hAnsi="Arial" w:cs="Arial"/>
          <w:bCs/>
          <w:spacing w:val="-3"/>
          <w:sz w:val="24"/>
          <w:szCs w:val="27"/>
          <w:lang w:val="es-ES_tradnl"/>
        </w:rPr>
        <w:t>*****</w:t>
      </w:r>
      <w:r w:rsidR="00D00506">
        <w:rPr>
          <w:rFonts w:ascii="Arial" w:hAnsi="Arial" w:cs="Arial"/>
          <w:bCs/>
          <w:spacing w:val="-3"/>
          <w:sz w:val="24"/>
          <w:szCs w:val="27"/>
          <w:lang w:val="es-ES_tradnl"/>
        </w:rPr>
        <w:t xml:space="preserve"> de </w:t>
      </w:r>
      <w:r w:rsidR="009337EF">
        <w:rPr>
          <w:rFonts w:ascii="Arial" w:hAnsi="Arial" w:cs="Arial"/>
          <w:bCs/>
          <w:spacing w:val="-3"/>
          <w:sz w:val="24"/>
          <w:szCs w:val="27"/>
          <w:lang w:val="es-ES_tradnl"/>
        </w:rPr>
        <w:t>*****</w:t>
      </w:r>
      <w:r w:rsidR="00D00506">
        <w:rPr>
          <w:rFonts w:ascii="Arial" w:hAnsi="Arial" w:cs="Arial"/>
          <w:bCs/>
          <w:spacing w:val="-3"/>
          <w:sz w:val="24"/>
          <w:szCs w:val="27"/>
          <w:lang w:val="es-ES_tradnl"/>
        </w:rPr>
        <w:t xml:space="preserve"> de dos mil </w:t>
      </w:r>
      <w:r w:rsidR="009337EF">
        <w:rPr>
          <w:rFonts w:ascii="Arial" w:hAnsi="Arial" w:cs="Arial"/>
          <w:bCs/>
          <w:spacing w:val="-3"/>
          <w:sz w:val="24"/>
          <w:szCs w:val="27"/>
          <w:lang w:val="es-ES_tradnl"/>
        </w:rPr>
        <w:t>*****</w:t>
      </w:r>
      <w:r>
        <w:rPr>
          <w:rFonts w:ascii="Arial" w:hAnsi="Arial" w:cs="Arial"/>
          <w:bCs/>
          <w:spacing w:val="-3"/>
          <w:sz w:val="24"/>
          <w:szCs w:val="27"/>
          <w:lang w:val="es-ES_tradnl"/>
        </w:rPr>
        <w:t>, donde la pretensión del actor era que s</w:t>
      </w:r>
      <w:r w:rsidR="00D00506">
        <w:rPr>
          <w:rFonts w:ascii="Arial" w:hAnsi="Arial" w:cs="Arial"/>
          <w:bCs/>
          <w:spacing w:val="-3"/>
          <w:sz w:val="24"/>
          <w:szCs w:val="27"/>
          <w:lang w:val="es-ES_tradnl"/>
        </w:rPr>
        <w:t xml:space="preserve">e admitiera a trámite la revisión de los conceptos que integraban su pensión mensual por jubilación que recibía, toda vez que el mismo fue desechado por extemporánea, </w:t>
      </w:r>
      <w:r w:rsidR="00D00506">
        <w:rPr>
          <w:rFonts w:ascii="Arial" w:hAnsi="Arial" w:cs="Arial"/>
          <w:sz w:val="24"/>
          <w:szCs w:val="24"/>
        </w:rPr>
        <w:t xml:space="preserve">mientras que en el juicio que nos ocupa, los actos impugnados es </w:t>
      </w:r>
      <w:r w:rsidR="00D00506">
        <w:rPr>
          <w:rFonts w:ascii="Arial" w:hAnsi="Arial" w:cs="Arial"/>
          <w:bCs/>
          <w:spacing w:val="-3"/>
          <w:sz w:val="24"/>
          <w:szCs w:val="27"/>
          <w:lang w:val="es-ES_tradnl"/>
        </w:rPr>
        <w:t>el oficio número OP/DG/</w:t>
      </w:r>
      <w:r w:rsidR="009337EF">
        <w:rPr>
          <w:rFonts w:ascii="Arial" w:hAnsi="Arial" w:cs="Arial"/>
          <w:bCs/>
          <w:spacing w:val="-3"/>
          <w:sz w:val="24"/>
          <w:szCs w:val="27"/>
          <w:lang w:val="es-ES_tradnl"/>
        </w:rPr>
        <w:t>*****</w:t>
      </w:r>
      <w:r w:rsidR="00D00506">
        <w:rPr>
          <w:rFonts w:ascii="Arial" w:hAnsi="Arial" w:cs="Arial"/>
          <w:bCs/>
          <w:spacing w:val="-3"/>
          <w:sz w:val="24"/>
          <w:szCs w:val="27"/>
          <w:lang w:val="es-ES_tradnl"/>
        </w:rPr>
        <w:t>/</w:t>
      </w:r>
      <w:r w:rsidR="009337EF">
        <w:rPr>
          <w:rFonts w:ascii="Arial" w:hAnsi="Arial" w:cs="Arial"/>
          <w:bCs/>
          <w:spacing w:val="-3"/>
          <w:sz w:val="24"/>
          <w:szCs w:val="27"/>
          <w:lang w:val="es-ES_tradnl"/>
        </w:rPr>
        <w:t>****</w:t>
      </w:r>
      <w:r w:rsidR="00D00506">
        <w:rPr>
          <w:rFonts w:ascii="Arial" w:hAnsi="Arial" w:cs="Arial"/>
          <w:bCs/>
          <w:spacing w:val="-3"/>
          <w:sz w:val="24"/>
          <w:szCs w:val="27"/>
          <w:lang w:val="es-ES_tradnl"/>
        </w:rPr>
        <w:t>, de fecha</w:t>
      </w:r>
      <w:r w:rsidR="009337EF">
        <w:rPr>
          <w:rFonts w:ascii="Arial" w:hAnsi="Arial" w:cs="Arial"/>
          <w:bCs/>
          <w:spacing w:val="-3"/>
          <w:sz w:val="24"/>
          <w:szCs w:val="27"/>
          <w:lang w:val="es-ES_tradnl"/>
        </w:rPr>
        <w:t xml:space="preserve"> *****</w:t>
      </w:r>
      <w:r w:rsidR="00D00506">
        <w:rPr>
          <w:rFonts w:ascii="Arial" w:hAnsi="Arial" w:cs="Arial"/>
          <w:bCs/>
          <w:spacing w:val="-3"/>
          <w:sz w:val="24"/>
          <w:szCs w:val="27"/>
          <w:lang w:val="es-ES_tradnl"/>
        </w:rPr>
        <w:t xml:space="preserve"> de </w:t>
      </w:r>
      <w:r w:rsidR="009337EF">
        <w:rPr>
          <w:rFonts w:ascii="Arial" w:hAnsi="Arial" w:cs="Arial"/>
          <w:bCs/>
          <w:spacing w:val="-3"/>
          <w:sz w:val="24"/>
          <w:szCs w:val="27"/>
          <w:lang w:val="es-ES_tradnl"/>
        </w:rPr>
        <w:t>*****</w:t>
      </w:r>
      <w:r w:rsidR="00D00506">
        <w:rPr>
          <w:rFonts w:ascii="Arial" w:hAnsi="Arial" w:cs="Arial"/>
          <w:bCs/>
          <w:spacing w:val="-3"/>
          <w:sz w:val="24"/>
          <w:szCs w:val="27"/>
          <w:lang w:val="es-ES_tradnl"/>
        </w:rPr>
        <w:t xml:space="preserve"> de dos mil </w:t>
      </w:r>
      <w:r w:rsidR="009337EF">
        <w:rPr>
          <w:rFonts w:ascii="Arial" w:hAnsi="Arial" w:cs="Arial"/>
          <w:bCs/>
          <w:spacing w:val="-3"/>
          <w:sz w:val="24"/>
          <w:szCs w:val="27"/>
          <w:lang w:val="es-ES_tradnl"/>
        </w:rPr>
        <w:t>*****</w:t>
      </w:r>
      <w:r w:rsidR="00D00506">
        <w:rPr>
          <w:rFonts w:ascii="Arial" w:hAnsi="Arial" w:cs="Arial"/>
          <w:bCs/>
          <w:spacing w:val="-3"/>
          <w:sz w:val="24"/>
          <w:szCs w:val="27"/>
          <w:lang w:val="es-ES_tradnl"/>
        </w:rPr>
        <w:t>, y el oficio OP/DG/</w:t>
      </w:r>
      <w:r w:rsidR="009337EF">
        <w:rPr>
          <w:rFonts w:ascii="Arial" w:hAnsi="Arial" w:cs="Arial"/>
          <w:bCs/>
          <w:spacing w:val="-3"/>
          <w:sz w:val="24"/>
          <w:szCs w:val="27"/>
          <w:lang w:val="es-ES_tradnl"/>
        </w:rPr>
        <w:t>*****</w:t>
      </w:r>
      <w:r w:rsidR="00D00506">
        <w:rPr>
          <w:rFonts w:ascii="Arial" w:hAnsi="Arial" w:cs="Arial"/>
          <w:bCs/>
          <w:spacing w:val="-3"/>
          <w:sz w:val="24"/>
          <w:szCs w:val="27"/>
          <w:lang w:val="es-ES_tradnl"/>
        </w:rPr>
        <w:t>/</w:t>
      </w:r>
      <w:r w:rsidR="009337EF">
        <w:rPr>
          <w:rFonts w:ascii="Arial" w:hAnsi="Arial" w:cs="Arial"/>
          <w:bCs/>
          <w:spacing w:val="-3"/>
          <w:sz w:val="24"/>
          <w:szCs w:val="27"/>
          <w:lang w:val="es-ES_tradnl"/>
        </w:rPr>
        <w:t>*****</w:t>
      </w:r>
      <w:r w:rsidR="00D00506">
        <w:rPr>
          <w:rFonts w:ascii="Arial" w:hAnsi="Arial" w:cs="Arial"/>
          <w:bCs/>
          <w:spacing w:val="-3"/>
          <w:sz w:val="24"/>
          <w:szCs w:val="27"/>
          <w:lang w:val="es-ES_tradnl"/>
        </w:rPr>
        <w:t xml:space="preserve">, de fecha </w:t>
      </w:r>
      <w:r w:rsidR="009337EF">
        <w:rPr>
          <w:rFonts w:ascii="Arial" w:hAnsi="Arial" w:cs="Arial"/>
          <w:bCs/>
          <w:spacing w:val="-3"/>
          <w:sz w:val="24"/>
          <w:szCs w:val="27"/>
          <w:lang w:val="es-ES_tradnl"/>
        </w:rPr>
        <w:t>*****</w:t>
      </w:r>
      <w:r w:rsidR="00D00506">
        <w:rPr>
          <w:rFonts w:ascii="Arial" w:hAnsi="Arial" w:cs="Arial"/>
          <w:bCs/>
          <w:spacing w:val="-3"/>
          <w:sz w:val="24"/>
          <w:szCs w:val="27"/>
          <w:lang w:val="es-ES_tradnl"/>
        </w:rPr>
        <w:t xml:space="preserve"> de </w:t>
      </w:r>
      <w:r w:rsidR="009337EF">
        <w:rPr>
          <w:rFonts w:ascii="Arial" w:hAnsi="Arial" w:cs="Arial"/>
          <w:bCs/>
          <w:spacing w:val="-3"/>
          <w:sz w:val="24"/>
          <w:szCs w:val="27"/>
          <w:lang w:val="es-ES_tradnl"/>
        </w:rPr>
        <w:t>*****</w:t>
      </w:r>
      <w:r w:rsidR="00D00506">
        <w:rPr>
          <w:rFonts w:ascii="Arial" w:hAnsi="Arial" w:cs="Arial"/>
          <w:bCs/>
          <w:spacing w:val="-3"/>
          <w:sz w:val="24"/>
          <w:szCs w:val="27"/>
          <w:lang w:val="es-ES_tradnl"/>
        </w:rPr>
        <w:t xml:space="preserve"> de dos mil </w:t>
      </w:r>
      <w:r w:rsidR="009337EF">
        <w:rPr>
          <w:rFonts w:ascii="Arial" w:hAnsi="Arial" w:cs="Arial"/>
          <w:bCs/>
          <w:spacing w:val="-3"/>
          <w:sz w:val="24"/>
          <w:szCs w:val="27"/>
          <w:lang w:val="es-ES_tradnl"/>
        </w:rPr>
        <w:t>*****</w:t>
      </w:r>
      <w:r w:rsidR="00545F87">
        <w:rPr>
          <w:rFonts w:ascii="Arial" w:hAnsi="Arial" w:cs="Arial"/>
          <w:bCs/>
          <w:spacing w:val="-3"/>
          <w:sz w:val="24"/>
          <w:szCs w:val="27"/>
          <w:lang w:val="es-ES_tradnl"/>
        </w:rPr>
        <w:t>,</w:t>
      </w:r>
      <w:r w:rsidR="00D00506">
        <w:rPr>
          <w:rFonts w:ascii="Arial" w:hAnsi="Arial" w:cs="Arial"/>
          <w:bCs/>
          <w:spacing w:val="-3"/>
          <w:sz w:val="24"/>
          <w:szCs w:val="27"/>
          <w:lang w:val="es-ES_tradnl"/>
        </w:rPr>
        <w:t xml:space="preserve"> donde la pretensión del actor es que se le pague </w:t>
      </w:r>
      <w:r w:rsidR="00D00506">
        <w:rPr>
          <w:rFonts w:ascii="Arial" w:hAnsi="Arial" w:cs="Arial"/>
          <w:bCs/>
          <w:spacing w:val="-3"/>
          <w:sz w:val="24"/>
          <w:szCs w:val="27"/>
          <w:lang w:val="es-ES_tradnl"/>
        </w:rPr>
        <w:lastRenderedPageBreak/>
        <w:t>su pensión</w:t>
      </w:r>
      <w:r w:rsidR="00545F87">
        <w:rPr>
          <w:rFonts w:ascii="Arial" w:hAnsi="Arial" w:cs="Arial"/>
          <w:bCs/>
          <w:spacing w:val="-3"/>
          <w:sz w:val="24"/>
          <w:szCs w:val="27"/>
          <w:lang w:val="es-ES_tradnl"/>
        </w:rPr>
        <w:t xml:space="preserve"> por jubilación </w:t>
      </w:r>
      <w:r>
        <w:rPr>
          <w:rFonts w:ascii="Arial" w:hAnsi="Arial" w:cs="Arial"/>
          <w:bCs/>
          <w:spacing w:val="-3"/>
          <w:sz w:val="24"/>
          <w:szCs w:val="27"/>
          <w:lang w:val="es-ES_tradnl"/>
        </w:rPr>
        <w:t xml:space="preserve">conforme a las prestaciones del artículo 54 fracción I de la Ley de </w:t>
      </w:r>
      <w:r w:rsidRPr="00857786">
        <w:rPr>
          <w:rFonts w:ascii="Arial" w:hAnsi="Arial" w:cs="Arial"/>
          <w:sz w:val="24"/>
          <w:szCs w:val="24"/>
        </w:rPr>
        <w:t>Pensiones para los trabajadores del Gobierno del Estado de Oaxaca</w:t>
      </w:r>
      <w:r>
        <w:rPr>
          <w:rFonts w:ascii="Arial" w:hAnsi="Arial" w:cs="Arial"/>
          <w:sz w:val="24"/>
          <w:szCs w:val="24"/>
        </w:rPr>
        <w:t xml:space="preserve">, </w:t>
      </w:r>
      <w:r w:rsidR="00CE05B3">
        <w:rPr>
          <w:rFonts w:ascii="Arial" w:hAnsi="Arial" w:cs="Arial"/>
          <w:sz w:val="24"/>
          <w:szCs w:val="24"/>
        </w:rPr>
        <w:t>así como de manera retroactiva.</w:t>
      </w:r>
    </w:p>
    <w:p w14:paraId="483FAAAD" w14:textId="77777777" w:rsidR="00DC0992" w:rsidRDefault="00DC0992" w:rsidP="00DC0992">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Derivado de lo anterior, se advierte que los actos y las pretensiones, resultan evidentemente diferentes, de modo que para la configuración de la COSA JUZGADA se requiere que sea una identidad tripartida en ambos juicios, que son: </w:t>
      </w:r>
      <w:r w:rsidRPr="00492E4C">
        <w:rPr>
          <w:rFonts w:ascii="Arial" w:hAnsi="Arial" w:cs="Arial"/>
          <w:bCs/>
          <w:spacing w:val="-3"/>
          <w:sz w:val="24"/>
          <w:szCs w:val="27"/>
          <w:lang w:val="es-ES_tradnl"/>
        </w:rPr>
        <w:t>a)</w:t>
      </w:r>
      <w:r>
        <w:rPr>
          <w:rFonts w:ascii="Arial" w:hAnsi="Arial" w:cs="Arial"/>
          <w:bCs/>
          <w:spacing w:val="-3"/>
          <w:sz w:val="24"/>
          <w:szCs w:val="27"/>
          <w:lang w:val="es-ES_tradnl"/>
        </w:rPr>
        <w:t>.</w:t>
      </w:r>
      <w:r w:rsidRPr="00492E4C">
        <w:rPr>
          <w:rFonts w:ascii="Arial" w:hAnsi="Arial" w:cs="Arial"/>
          <w:bCs/>
          <w:spacing w:val="-3"/>
          <w:sz w:val="24"/>
          <w:szCs w:val="27"/>
          <w:lang w:val="es-ES_tradnl"/>
        </w:rPr>
        <w:t xml:space="preserve"> Identidad de las personas que intervinieron en los dos juicios; b)</w:t>
      </w:r>
      <w:r>
        <w:rPr>
          <w:rFonts w:ascii="Arial" w:hAnsi="Arial" w:cs="Arial"/>
          <w:bCs/>
          <w:spacing w:val="-3"/>
          <w:sz w:val="24"/>
          <w:szCs w:val="27"/>
          <w:lang w:val="es-ES_tradnl"/>
        </w:rPr>
        <w:t>.</w:t>
      </w:r>
      <w:r w:rsidRPr="00492E4C">
        <w:rPr>
          <w:rFonts w:ascii="Arial" w:hAnsi="Arial" w:cs="Arial"/>
          <w:bCs/>
          <w:spacing w:val="-3"/>
          <w:sz w:val="24"/>
          <w:szCs w:val="27"/>
          <w:lang w:val="es-ES_tradnl"/>
        </w:rPr>
        <w:t xml:space="preserve"> Identidad en las cosas que se demandan en los juicios; y, c)</w:t>
      </w:r>
      <w:r>
        <w:rPr>
          <w:rFonts w:ascii="Arial" w:hAnsi="Arial" w:cs="Arial"/>
          <w:bCs/>
          <w:spacing w:val="-3"/>
          <w:sz w:val="24"/>
          <w:szCs w:val="27"/>
          <w:lang w:val="es-ES_tradnl"/>
        </w:rPr>
        <w:t>.</w:t>
      </w:r>
      <w:r w:rsidRPr="00492E4C">
        <w:rPr>
          <w:rFonts w:ascii="Arial" w:hAnsi="Arial" w:cs="Arial"/>
          <w:bCs/>
          <w:spacing w:val="-3"/>
          <w:sz w:val="24"/>
          <w:szCs w:val="27"/>
          <w:lang w:val="es-ES_tradnl"/>
        </w:rPr>
        <w:t xml:space="preserve"> Identidad de las causas en que se fundan las dos demandas</w:t>
      </w:r>
      <w:r>
        <w:rPr>
          <w:rFonts w:ascii="Arial" w:hAnsi="Arial" w:cs="Arial"/>
          <w:bCs/>
          <w:spacing w:val="-3"/>
          <w:sz w:val="24"/>
          <w:szCs w:val="27"/>
          <w:lang w:val="es-ES_tradnl"/>
        </w:rPr>
        <w:t>, luego, como se dijo en el párrafo que antecede, se satisface el primer requisito, es decir, existe una coincidencia de partes, pero el acto impugnado, así como las causas en que se fundan ambas no son las mismas, puesto que las pretensiones y naturaleza de lo reclamado es diferente.</w:t>
      </w:r>
    </w:p>
    <w:p w14:paraId="4D838E75" w14:textId="77777777" w:rsidR="00DC0992" w:rsidRDefault="00DC0992" w:rsidP="00DC0992">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Sirve de sustento a lo anterior la jurisprudencia</w:t>
      </w:r>
      <w:r>
        <w:rPr>
          <w:rStyle w:val="Refdenotaalpie"/>
          <w:rFonts w:ascii="Arial" w:hAnsi="Arial" w:cs="Arial"/>
          <w:bCs/>
          <w:spacing w:val="-3"/>
          <w:sz w:val="24"/>
          <w:szCs w:val="27"/>
          <w:lang w:val="es-ES_tradnl"/>
        </w:rPr>
        <w:footnoteReference w:id="1"/>
      </w:r>
      <w:r>
        <w:rPr>
          <w:rFonts w:ascii="Arial" w:hAnsi="Arial" w:cs="Arial"/>
          <w:bCs/>
          <w:spacing w:val="-3"/>
          <w:sz w:val="24"/>
          <w:szCs w:val="27"/>
          <w:lang w:val="es-ES_tradnl"/>
        </w:rPr>
        <w:t xml:space="preserve"> de rubro y texto siguiente</w:t>
      </w:r>
    </w:p>
    <w:p w14:paraId="4AFCEFA7" w14:textId="77777777" w:rsidR="00DC0992" w:rsidRPr="00D75962" w:rsidRDefault="00DC0992" w:rsidP="00DC0992">
      <w:pPr>
        <w:ind w:left="567"/>
        <w:jc w:val="both"/>
        <w:rPr>
          <w:rFonts w:ascii="Arial" w:hAnsi="Arial" w:cs="Arial"/>
          <w:bCs/>
          <w:i/>
          <w:iCs/>
          <w:spacing w:val="-3"/>
          <w:sz w:val="24"/>
          <w:szCs w:val="27"/>
          <w:lang w:val="es-ES_tradnl"/>
        </w:rPr>
      </w:pPr>
      <w:r>
        <w:rPr>
          <w:rFonts w:ascii="Arial" w:hAnsi="Arial" w:cs="Arial"/>
          <w:bCs/>
          <w:i/>
          <w:iCs/>
          <w:spacing w:val="-3"/>
          <w:sz w:val="24"/>
          <w:szCs w:val="27"/>
          <w:lang w:val="es-ES_tradnl"/>
        </w:rPr>
        <w:t>“</w:t>
      </w:r>
      <w:r w:rsidRPr="00D75962">
        <w:rPr>
          <w:rFonts w:ascii="Arial" w:hAnsi="Arial" w:cs="Arial"/>
          <w:b/>
          <w:i/>
          <w:iCs/>
          <w:spacing w:val="-3"/>
          <w:sz w:val="24"/>
          <w:szCs w:val="27"/>
          <w:lang w:val="es-ES_tradnl"/>
        </w:rPr>
        <w:t>COSA JUZGADA. REQUISITOS PARA QUE SE CONFIGURE</w:t>
      </w:r>
      <w:r w:rsidRPr="00D75962">
        <w:rPr>
          <w:rFonts w:ascii="Arial" w:hAnsi="Arial" w:cs="Arial"/>
          <w:bCs/>
          <w:i/>
          <w:iCs/>
          <w:spacing w:val="-3"/>
          <w:sz w:val="24"/>
          <w:szCs w:val="27"/>
          <w:lang w:val="es-ES_tradnl"/>
        </w:rPr>
        <w:t>. De los criterios sostenidos por la H. Suprema Corte de Justicia de la Nación respecto del concepto de cosa juzgada, se pueden establecer los supuestos que deben verificarse a fin de determinar su existencia en un juicio, los que son: a) Identidad de las personas que intervinieron en los dos juicios; b) Identidad en las cosas que se demandan en los juicios; y, c) Identidad de las causas en que se fundan las dos demandas; sin embargo, se advierte un cuarto elemento de convicción que requiere verificar el juzgador a fin de actualizar la institución de la cosa juzgada y que se refiere a que en la primera sentencia se haya procedido al análisis del fondo de las pretensiones propuestas. Este último requisito cobra relevancia, pues debe considerarse que para que la excepción de cosa juzgada surta efectos, es necesario que entre el caso resuelto por la sentencia que ha causado ejecutoria y aquel asunto en el que dicha excepción sea invocada, concurra identidad en las cosas, en las causas, en las personas de los litigantes, en la calidad con la que intervinieron y, por supuesto, que en el primer juicio se hubiere analizado en su totalidad el fondo de las prestaciones reclamadas, en razón a que de no concurrir este último no podría considerarse que se está ante la figura de la cosa juzgada, pues lo contrario, llevaría al absurdo de propiciar una denegación de justicia al gobernado, al no darle la oportunidad de que lo demandado sea resuelto en alguna instancia.</w:t>
      </w:r>
      <w:r>
        <w:rPr>
          <w:rFonts w:ascii="Arial" w:hAnsi="Arial" w:cs="Arial"/>
          <w:bCs/>
          <w:i/>
          <w:iCs/>
          <w:spacing w:val="-3"/>
          <w:sz w:val="24"/>
          <w:szCs w:val="27"/>
          <w:lang w:val="es-ES_tradnl"/>
        </w:rPr>
        <w:t>”</w:t>
      </w:r>
    </w:p>
    <w:p w14:paraId="6482A8A4" w14:textId="356CEC45" w:rsidR="00DC0992" w:rsidRDefault="00DC0992" w:rsidP="00DC0992">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Luego, en el presente asunto no se actualiza la </w:t>
      </w:r>
      <w:r w:rsidRPr="002C7DDB">
        <w:rPr>
          <w:rFonts w:ascii="Arial" w:hAnsi="Arial" w:cs="Arial"/>
          <w:b/>
          <w:spacing w:val="-3"/>
          <w:sz w:val="24"/>
          <w:szCs w:val="27"/>
          <w:lang w:val="es-ES_tradnl"/>
        </w:rPr>
        <w:t>COSA JUZGADA</w:t>
      </w:r>
      <w:r>
        <w:rPr>
          <w:rFonts w:ascii="Arial" w:hAnsi="Arial" w:cs="Arial"/>
          <w:bCs/>
          <w:spacing w:val="-3"/>
          <w:sz w:val="24"/>
          <w:szCs w:val="27"/>
          <w:lang w:val="es-ES_tradnl"/>
        </w:rPr>
        <w:t>, dado que como se expuso, no se satisfacen la totalidad de los requisitos exigidos para que en el presente asunto</w:t>
      </w:r>
      <w:r w:rsidR="00B711AC">
        <w:rPr>
          <w:rFonts w:ascii="Arial" w:hAnsi="Arial" w:cs="Arial"/>
          <w:bCs/>
          <w:spacing w:val="-3"/>
          <w:sz w:val="24"/>
          <w:szCs w:val="27"/>
          <w:lang w:val="es-ES_tradnl"/>
        </w:rPr>
        <w:t>,</w:t>
      </w:r>
      <w:r>
        <w:rPr>
          <w:rFonts w:ascii="Arial" w:hAnsi="Arial" w:cs="Arial"/>
          <w:bCs/>
          <w:spacing w:val="-3"/>
          <w:sz w:val="24"/>
          <w:szCs w:val="27"/>
          <w:lang w:val="es-ES_tradnl"/>
        </w:rPr>
        <w:t xml:space="preserve"> también se actualice la causal de improcedencia contenida en el artículo 161 fracción IV de la Ley de Procedimiento y Justicia Administrativa para el Estado de Oaxaca.</w:t>
      </w:r>
    </w:p>
    <w:p w14:paraId="038C86A8" w14:textId="4EC7C9D8" w:rsidR="00DC0992" w:rsidRDefault="00DC0992" w:rsidP="00DC0992">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No obstante</w:t>
      </w:r>
      <w:r w:rsidR="00C64CF2">
        <w:rPr>
          <w:rFonts w:ascii="Arial" w:hAnsi="Arial" w:cs="Arial"/>
          <w:bCs/>
          <w:spacing w:val="-3"/>
          <w:sz w:val="24"/>
          <w:szCs w:val="27"/>
          <w:lang w:val="es-ES_tradnl"/>
        </w:rPr>
        <w:t xml:space="preserve"> lo anterior</w:t>
      </w:r>
      <w:r>
        <w:rPr>
          <w:rFonts w:ascii="Arial" w:hAnsi="Arial" w:cs="Arial"/>
          <w:bCs/>
          <w:spacing w:val="-3"/>
          <w:sz w:val="24"/>
          <w:szCs w:val="27"/>
          <w:lang w:val="es-ES_tradnl"/>
        </w:rPr>
        <w:t xml:space="preserve">, la autoridad demandada manifiesta que se actualiza la excepción de </w:t>
      </w:r>
      <w:r w:rsidRPr="002C7DDB">
        <w:rPr>
          <w:rFonts w:ascii="Arial" w:hAnsi="Arial" w:cs="Arial"/>
          <w:b/>
          <w:spacing w:val="-3"/>
          <w:sz w:val="24"/>
          <w:szCs w:val="27"/>
          <w:lang w:val="es-ES_tradnl"/>
        </w:rPr>
        <w:t>COSA JUZGADA REFLEJA</w:t>
      </w:r>
      <w:r>
        <w:rPr>
          <w:rFonts w:ascii="Arial" w:hAnsi="Arial" w:cs="Arial"/>
          <w:bCs/>
          <w:spacing w:val="-3"/>
          <w:sz w:val="24"/>
          <w:szCs w:val="27"/>
          <w:lang w:val="es-ES_tradnl"/>
        </w:rPr>
        <w:t xml:space="preserve">, toda vez que </w:t>
      </w:r>
      <w:r w:rsidR="000D118E">
        <w:rPr>
          <w:rFonts w:ascii="Arial" w:hAnsi="Arial" w:cs="Arial"/>
          <w:bCs/>
          <w:spacing w:val="-3"/>
          <w:sz w:val="24"/>
          <w:szCs w:val="27"/>
          <w:lang w:val="es-ES_tradnl"/>
        </w:rPr>
        <w:t xml:space="preserve">mediante </w:t>
      </w:r>
      <w:r w:rsidR="00834D2F">
        <w:rPr>
          <w:rFonts w:ascii="Arial" w:hAnsi="Arial" w:cs="Arial"/>
          <w:bCs/>
          <w:spacing w:val="-3"/>
          <w:sz w:val="24"/>
          <w:szCs w:val="27"/>
          <w:lang w:val="es-ES_tradnl"/>
        </w:rPr>
        <w:t>j</w:t>
      </w:r>
      <w:r w:rsidR="000D118E" w:rsidRPr="000D118E">
        <w:rPr>
          <w:rFonts w:ascii="Arial" w:hAnsi="Arial" w:cs="Arial"/>
          <w:bCs/>
          <w:spacing w:val="-3"/>
          <w:sz w:val="24"/>
          <w:szCs w:val="27"/>
          <w:lang w:val="es-ES_tradnl"/>
        </w:rPr>
        <w:t>uicio</w:t>
      </w:r>
      <w:r w:rsidR="000D118E">
        <w:rPr>
          <w:rFonts w:ascii="Arial" w:hAnsi="Arial" w:cs="Arial"/>
          <w:bCs/>
          <w:spacing w:val="-3"/>
          <w:sz w:val="24"/>
          <w:szCs w:val="27"/>
          <w:lang w:val="es-ES_tradnl"/>
        </w:rPr>
        <w:t xml:space="preserve"> número</w:t>
      </w:r>
      <w:r w:rsidR="000D118E" w:rsidRPr="000D118E">
        <w:rPr>
          <w:rFonts w:ascii="Arial" w:hAnsi="Arial" w:cs="Arial"/>
          <w:bCs/>
          <w:spacing w:val="-3"/>
          <w:sz w:val="24"/>
          <w:szCs w:val="27"/>
          <w:lang w:val="es-ES_tradnl"/>
        </w:rPr>
        <w:t xml:space="preserve"> </w:t>
      </w:r>
      <w:r w:rsidR="005A21D5">
        <w:rPr>
          <w:rFonts w:ascii="Arial" w:hAnsi="Arial" w:cs="Arial"/>
          <w:bCs/>
          <w:spacing w:val="-3"/>
          <w:sz w:val="24"/>
          <w:szCs w:val="27"/>
          <w:lang w:val="es-ES_tradnl"/>
        </w:rPr>
        <w:t>*****</w:t>
      </w:r>
      <w:r w:rsidR="000D118E" w:rsidRPr="000D118E">
        <w:rPr>
          <w:rFonts w:ascii="Arial" w:hAnsi="Arial" w:cs="Arial"/>
          <w:bCs/>
          <w:spacing w:val="-3"/>
          <w:sz w:val="24"/>
          <w:szCs w:val="27"/>
          <w:lang w:val="es-ES_tradnl"/>
        </w:rPr>
        <w:t xml:space="preserve"> del índice de la Sexta Sala Unitaria de Primera Instancia del Tribunal de lo Contencioso Administrativo y de Cuentas del Poder Judicial del Estado de Oaxaca (antes </w:t>
      </w:r>
      <w:r w:rsidR="005A21D5">
        <w:rPr>
          <w:rFonts w:ascii="Arial" w:hAnsi="Arial" w:cs="Arial"/>
          <w:bCs/>
          <w:spacing w:val="-3"/>
          <w:sz w:val="24"/>
          <w:szCs w:val="27"/>
          <w:lang w:val="es-ES_tradnl"/>
        </w:rPr>
        <w:t>*****</w:t>
      </w:r>
      <w:r w:rsidR="000D118E" w:rsidRPr="000D118E">
        <w:rPr>
          <w:rFonts w:ascii="Arial" w:hAnsi="Arial" w:cs="Arial"/>
          <w:bCs/>
          <w:spacing w:val="-3"/>
          <w:sz w:val="24"/>
          <w:szCs w:val="27"/>
          <w:lang w:val="es-ES_tradnl"/>
        </w:rPr>
        <w:t>, radicado en la</w:t>
      </w:r>
      <w:r w:rsidR="00F91877">
        <w:rPr>
          <w:rFonts w:ascii="Arial" w:hAnsi="Arial" w:cs="Arial"/>
          <w:bCs/>
          <w:spacing w:val="-3"/>
          <w:sz w:val="24"/>
          <w:szCs w:val="27"/>
          <w:lang w:val="es-ES_tradnl"/>
        </w:rPr>
        <w:t xml:space="preserve"> entonces</w:t>
      </w:r>
      <w:r w:rsidR="000D118E" w:rsidRPr="000D118E">
        <w:rPr>
          <w:rFonts w:ascii="Arial" w:hAnsi="Arial" w:cs="Arial"/>
          <w:bCs/>
          <w:spacing w:val="-3"/>
          <w:sz w:val="24"/>
          <w:szCs w:val="27"/>
          <w:lang w:val="es-ES_tradnl"/>
        </w:rPr>
        <w:t xml:space="preserve"> Segunda Sala Unitaria del Tribunal de lo Contencioso Administrativo para el Estado de Oaxaca)</w:t>
      </w:r>
      <w:r>
        <w:rPr>
          <w:rFonts w:ascii="Arial" w:hAnsi="Arial" w:cs="Arial"/>
          <w:bCs/>
          <w:spacing w:val="-3"/>
          <w:sz w:val="24"/>
          <w:szCs w:val="27"/>
          <w:lang w:val="es-ES_tradnl"/>
        </w:rPr>
        <w:t xml:space="preserve">, </w:t>
      </w:r>
      <w:r w:rsidR="000D118E">
        <w:rPr>
          <w:rFonts w:ascii="Arial" w:hAnsi="Arial" w:cs="Arial"/>
          <w:bCs/>
          <w:spacing w:val="-3"/>
          <w:sz w:val="24"/>
          <w:szCs w:val="27"/>
          <w:lang w:val="es-ES_tradnl"/>
        </w:rPr>
        <w:t>se ordenó a esa autoridad demandada para que hiciera la revisión a la pensión otorgada al accionante, mismo que fue c</w:t>
      </w:r>
      <w:r w:rsidR="00580748">
        <w:rPr>
          <w:rFonts w:ascii="Arial" w:hAnsi="Arial" w:cs="Arial"/>
          <w:bCs/>
          <w:spacing w:val="-3"/>
          <w:sz w:val="24"/>
          <w:szCs w:val="27"/>
          <w:lang w:val="es-ES_tradnl"/>
        </w:rPr>
        <w:t>orrectamente cumplido</w:t>
      </w:r>
      <w:r w:rsidR="00F77A06">
        <w:rPr>
          <w:rFonts w:ascii="Arial" w:hAnsi="Arial" w:cs="Arial"/>
          <w:bCs/>
          <w:spacing w:val="-3"/>
          <w:sz w:val="24"/>
          <w:szCs w:val="27"/>
          <w:lang w:val="es-ES_tradnl"/>
        </w:rPr>
        <w:t xml:space="preserve"> mediante acuerdo de fecha </w:t>
      </w:r>
      <w:r w:rsidR="0024414A">
        <w:rPr>
          <w:rFonts w:ascii="Arial" w:hAnsi="Arial" w:cs="Arial"/>
          <w:bCs/>
          <w:spacing w:val="-3"/>
          <w:sz w:val="24"/>
          <w:szCs w:val="27"/>
          <w:lang w:val="es-ES_tradnl"/>
        </w:rPr>
        <w:t xml:space="preserve">****** </w:t>
      </w:r>
      <w:r w:rsidR="00F77A06">
        <w:rPr>
          <w:rFonts w:ascii="Arial" w:hAnsi="Arial" w:cs="Arial"/>
          <w:bCs/>
          <w:spacing w:val="-3"/>
          <w:sz w:val="24"/>
          <w:szCs w:val="27"/>
          <w:lang w:val="es-ES_tradnl"/>
        </w:rPr>
        <w:t xml:space="preserve">de </w:t>
      </w:r>
      <w:r w:rsidR="0024414A">
        <w:rPr>
          <w:rFonts w:ascii="Arial" w:hAnsi="Arial" w:cs="Arial"/>
          <w:bCs/>
          <w:spacing w:val="-3"/>
          <w:sz w:val="24"/>
          <w:szCs w:val="27"/>
          <w:lang w:val="es-ES_tradnl"/>
        </w:rPr>
        <w:t>*****</w:t>
      </w:r>
      <w:r w:rsidR="00F77A06">
        <w:rPr>
          <w:rFonts w:ascii="Arial" w:hAnsi="Arial" w:cs="Arial"/>
          <w:bCs/>
          <w:spacing w:val="-3"/>
          <w:sz w:val="24"/>
          <w:szCs w:val="27"/>
          <w:lang w:val="es-ES_tradnl"/>
        </w:rPr>
        <w:t xml:space="preserve"> de dos mil </w:t>
      </w:r>
      <w:r w:rsidR="0024414A">
        <w:rPr>
          <w:rFonts w:ascii="Arial" w:hAnsi="Arial" w:cs="Arial"/>
          <w:bCs/>
          <w:spacing w:val="-3"/>
          <w:sz w:val="24"/>
          <w:szCs w:val="27"/>
          <w:lang w:val="es-ES_tradnl"/>
        </w:rPr>
        <w:t>*****</w:t>
      </w:r>
      <w:r w:rsidR="00F77A06">
        <w:rPr>
          <w:rFonts w:ascii="Arial" w:hAnsi="Arial" w:cs="Arial"/>
          <w:bCs/>
          <w:spacing w:val="-3"/>
          <w:sz w:val="24"/>
          <w:szCs w:val="27"/>
          <w:lang w:val="es-ES_tradnl"/>
        </w:rPr>
        <w:t>, dictado en el expediente número</w:t>
      </w:r>
      <w:r w:rsidR="0024414A">
        <w:rPr>
          <w:rFonts w:ascii="Arial" w:hAnsi="Arial" w:cs="Arial"/>
          <w:bCs/>
          <w:spacing w:val="-3"/>
          <w:sz w:val="24"/>
          <w:szCs w:val="27"/>
          <w:lang w:val="es-ES_tradnl"/>
        </w:rPr>
        <w:t xml:space="preserve"> *****</w:t>
      </w:r>
      <w:r w:rsidR="00F91877">
        <w:rPr>
          <w:rFonts w:ascii="Arial" w:hAnsi="Arial" w:cs="Arial"/>
          <w:bCs/>
          <w:spacing w:val="-3"/>
          <w:sz w:val="24"/>
          <w:szCs w:val="27"/>
          <w:lang w:val="es-ES_tradnl"/>
        </w:rPr>
        <w:t>,</w:t>
      </w:r>
      <w:r w:rsidR="00F77A06" w:rsidRPr="000D118E">
        <w:rPr>
          <w:rFonts w:ascii="Arial" w:hAnsi="Arial" w:cs="Arial"/>
          <w:bCs/>
          <w:spacing w:val="-3"/>
          <w:sz w:val="24"/>
          <w:szCs w:val="27"/>
          <w:lang w:val="es-ES_tradnl"/>
        </w:rPr>
        <w:t xml:space="preserve"> del índice de la Sexta Sala Unitaria de Primera Instancia del Tribunal</w:t>
      </w:r>
      <w:r w:rsidR="00F77A06">
        <w:rPr>
          <w:rFonts w:ascii="Arial" w:hAnsi="Arial" w:cs="Arial"/>
          <w:bCs/>
          <w:spacing w:val="-3"/>
          <w:sz w:val="24"/>
          <w:szCs w:val="27"/>
          <w:lang w:val="es-ES_tradnl"/>
        </w:rPr>
        <w:t xml:space="preserve"> de Justicia Administrativa para el Estado de Oaxaca</w:t>
      </w:r>
      <w:r>
        <w:rPr>
          <w:rFonts w:ascii="Arial" w:hAnsi="Arial" w:cs="Arial"/>
          <w:bCs/>
          <w:spacing w:val="-3"/>
          <w:sz w:val="24"/>
          <w:szCs w:val="27"/>
          <w:lang w:val="es-ES_tradnl"/>
        </w:rPr>
        <w:t>.</w:t>
      </w:r>
    </w:p>
    <w:p w14:paraId="65682D53" w14:textId="328E9744" w:rsidR="00DC0992" w:rsidRDefault="00447534" w:rsidP="00DC0992">
      <w:pPr>
        <w:spacing w:line="360" w:lineRule="auto"/>
        <w:ind w:firstLine="567"/>
        <w:jc w:val="both"/>
        <w:rPr>
          <w:rFonts w:ascii="Arial" w:hAnsi="Arial" w:cs="Arial"/>
          <w:sz w:val="24"/>
          <w:szCs w:val="24"/>
        </w:rPr>
      </w:pPr>
      <w:r>
        <w:rPr>
          <w:rFonts w:ascii="Arial" w:hAnsi="Arial" w:cs="Arial"/>
          <w:bCs/>
          <w:spacing w:val="-3"/>
          <w:sz w:val="24"/>
          <w:szCs w:val="27"/>
          <w:lang w:val="es-ES_tradnl"/>
        </w:rPr>
        <w:t xml:space="preserve">Por ello, </w:t>
      </w:r>
      <w:r w:rsidR="008B2723">
        <w:rPr>
          <w:rFonts w:ascii="Arial" w:hAnsi="Arial" w:cs="Arial"/>
          <w:bCs/>
          <w:spacing w:val="-3"/>
          <w:sz w:val="24"/>
          <w:szCs w:val="27"/>
          <w:lang w:val="es-ES_tradnl"/>
        </w:rPr>
        <w:t xml:space="preserve">si la pretensión perseguida en ese juicio era que se le admitiera a revisión el monto por el que se le estaba pagado en ese momento su pensión, dicha pretensión fue satisfecha, dado que como lo manifiesta el acuerdo antes referido, la autoridad demandada le dio una respuesta fundada y motivada a su petición, por así haberse condenado mediante sentencia de fecha </w:t>
      </w:r>
      <w:r w:rsidR="0024414A">
        <w:rPr>
          <w:rFonts w:ascii="Arial" w:hAnsi="Arial" w:cs="Arial"/>
          <w:bCs/>
          <w:spacing w:val="-3"/>
          <w:sz w:val="24"/>
          <w:szCs w:val="27"/>
          <w:lang w:val="es-ES_tradnl"/>
        </w:rPr>
        <w:t xml:space="preserve">****** </w:t>
      </w:r>
      <w:r w:rsidR="008B2723">
        <w:rPr>
          <w:rFonts w:ascii="Arial" w:hAnsi="Arial" w:cs="Arial"/>
          <w:bCs/>
          <w:spacing w:val="-3"/>
          <w:sz w:val="24"/>
          <w:szCs w:val="27"/>
          <w:lang w:val="es-ES_tradnl"/>
        </w:rPr>
        <w:t xml:space="preserve">de </w:t>
      </w:r>
      <w:r w:rsidR="0024414A">
        <w:rPr>
          <w:rFonts w:ascii="Arial" w:hAnsi="Arial" w:cs="Arial"/>
          <w:bCs/>
          <w:spacing w:val="-3"/>
          <w:sz w:val="24"/>
          <w:szCs w:val="27"/>
          <w:lang w:val="es-ES_tradnl"/>
        </w:rPr>
        <w:t>*****</w:t>
      </w:r>
      <w:r w:rsidR="008B2723">
        <w:rPr>
          <w:rFonts w:ascii="Arial" w:hAnsi="Arial" w:cs="Arial"/>
          <w:bCs/>
          <w:spacing w:val="-3"/>
          <w:sz w:val="24"/>
          <w:szCs w:val="27"/>
          <w:lang w:val="es-ES_tradnl"/>
        </w:rPr>
        <w:t xml:space="preserve"> de dos mil </w:t>
      </w:r>
      <w:r w:rsidR="0024414A">
        <w:rPr>
          <w:rFonts w:ascii="Arial" w:hAnsi="Arial" w:cs="Arial"/>
          <w:bCs/>
          <w:spacing w:val="-3"/>
          <w:sz w:val="24"/>
          <w:szCs w:val="27"/>
          <w:lang w:val="es-ES_tradnl"/>
        </w:rPr>
        <w:t>*****</w:t>
      </w:r>
      <w:r w:rsidR="000708E8">
        <w:rPr>
          <w:rFonts w:ascii="Arial" w:hAnsi="Arial" w:cs="Arial"/>
          <w:bCs/>
          <w:spacing w:val="-3"/>
          <w:sz w:val="24"/>
          <w:szCs w:val="27"/>
          <w:lang w:val="es-ES_tradnl"/>
        </w:rPr>
        <w:t>,</w:t>
      </w:r>
      <w:r w:rsidR="008B2723">
        <w:rPr>
          <w:rFonts w:ascii="Arial" w:hAnsi="Arial" w:cs="Arial"/>
          <w:bCs/>
          <w:spacing w:val="-3"/>
          <w:sz w:val="24"/>
          <w:szCs w:val="27"/>
          <w:lang w:val="es-ES_tradnl"/>
        </w:rPr>
        <w:t xml:space="preserve"> dictada en el juicio </w:t>
      </w:r>
      <w:r w:rsidR="0024414A">
        <w:rPr>
          <w:rFonts w:ascii="Arial" w:hAnsi="Arial" w:cs="Arial"/>
          <w:bCs/>
          <w:spacing w:val="-3"/>
          <w:sz w:val="24"/>
          <w:szCs w:val="27"/>
          <w:lang w:val="es-ES_tradnl"/>
        </w:rPr>
        <w:t>*****</w:t>
      </w:r>
      <w:r w:rsidR="008B2723" w:rsidRPr="000D118E">
        <w:rPr>
          <w:rFonts w:ascii="Arial" w:hAnsi="Arial" w:cs="Arial"/>
          <w:bCs/>
          <w:spacing w:val="-3"/>
          <w:sz w:val="24"/>
          <w:szCs w:val="27"/>
          <w:lang w:val="es-ES_tradnl"/>
        </w:rPr>
        <w:t>, radicado en la</w:t>
      </w:r>
      <w:r w:rsidR="00F91877">
        <w:rPr>
          <w:rFonts w:ascii="Arial" w:hAnsi="Arial" w:cs="Arial"/>
          <w:bCs/>
          <w:spacing w:val="-3"/>
          <w:sz w:val="24"/>
          <w:szCs w:val="27"/>
          <w:lang w:val="es-ES_tradnl"/>
        </w:rPr>
        <w:t xml:space="preserve"> entonces </w:t>
      </w:r>
      <w:r w:rsidR="008B2723" w:rsidRPr="000D118E">
        <w:rPr>
          <w:rFonts w:ascii="Arial" w:hAnsi="Arial" w:cs="Arial"/>
          <w:bCs/>
          <w:spacing w:val="-3"/>
          <w:sz w:val="24"/>
          <w:szCs w:val="27"/>
          <w:lang w:val="es-ES_tradnl"/>
        </w:rPr>
        <w:t>Segunda Sala Unitaria del Tribunal de lo Contencioso Administrativo para el Estado de Oaxaca</w:t>
      </w:r>
      <w:r w:rsidR="008B2723">
        <w:rPr>
          <w:rFonts w:ascii="Arial" w:hAnsi="Arial" w:cs="Arial"/>
          <w:sz w:val="24"/>
          <w:szCs w:val="24"/>
        </w:rPr>
        <w:t>, que en su punto resolutivo CUARTO mencionó lo siguiente:</w:t>
      </w:r>
    </w:p>
    <w:p w14:paraId="07D02110" w14:textId="6B102B6A" w:rsidR="008B2723" w:rsidRPr="004950C2" w:rsidRDefault="004950C2" w:rsidP="004950C2">
      <w:pPr>
        <w:ind w:left="567"/>
        <w:jc w:val="both"/>
        <w:rPr>
          <w:rFonts w:ascii="Arial" w:hAnsi="Arial" w:cs="Arial"/>
          <w:i/>
          <w:iCs/>
          <w:sz w:val="24"/>
          <w:szCs w:val="24"/>
        </w:rPr>
      </w:pPr>
      <w:r w:rsidRPr="004950C2">
        <w:rPr>
          <w:rFonts w:ascii="Arial" w:hAnsi="Arial" w:cs="Arial"/>
          <w:i/>
          <w:iCs/>
          <w:sz w:val="24"/>
          <w:szCs w:val="24"/>
        </w:rPr>
        <w:t>“</w:t>
      </w:r>
      <w:r w:rsidRPr="004950C2">
        <w:rPr>
          <w:rFonts w:ascii="Arial" w:hAnsi="Arial" w:cs="Arial"/>
          <w:b/>
          <w:bCs/>
          <w:i/>
          <w:iCs/>
          <w:sz w:val="24"/>
          <w:szCs w:val="24"/>
        </w:rPr>
        <w:t>CUARTO</w:t>
      </w:r>
      <w:r w:rsidRPr="004950C2">
        <w:rPr>
          <w:rFonts w:ascii="Arial" w:hAnsi="Arial" w:cs="Arial"/>
          <w:i/>
          <w:iCs/>
          <w:sz w:val="24"/>
          <w:szCs w:val="24"/>
        </w:rPr>
        <w:t xml:space="preserve">. Se declara la </w:t>
      </w:r>
      <w:r w:rsidRPr="004950C2">
        <w:rPr>
          <w:rFonts w:ascii="Arial" w:hAnsi="Arial" w:cs="Arial"/>
          <w:b/>
          <w:bCs/>
          <w:i/>
          <w:iCs/>
          <w:sz w:val="24"/>
          <w:szCs w:val="24"/>
        </w:rPr>
        <w:t>NULIDAD</w:t>
      </w:r>
      <w:r w:rsidRPr="004950C2">
        <w:rPr>
          <w:rFonts w:ascii="Arial" w:hAnsi="Arial" w:cs="Arial"/>
          <w:i/>
          <w:iCs/>
          <w:sz w:val="24"/>
          <w:szCs w:val="24"/>
        </w:rPr>
        <w:t xml:space="preserve"> del contenido del oficio </w:t>
      </w:r>
      <w:r w:rsidRPr="004950C2">
        <w:rPr>
          <w:rFonts w:ascii="Arial" w:hAnsi="Arial" w:cs="Arial"/>
          <w:b/>
          <w:bCs/>
          <w:i/>
          <w:iCs/>
          <w:sz w:val="24"/>
          <w:szCs w:val="24"/>
        </w:rPr>
        <w:t>OP/DG/</w:t>
      </w:r>
      <w:r w:rsidR="0024414A">
        <w:rPr>
          <w:rFonts w:ascii="Arial" w:hAnsi="Arial" w:cs="Arial"/>
          <w:b/>
          <w:bCs/>
          <w:i/>
          <w:iCs/>
          <w:sz w:val="24"/>
          <w:szCs w:val="24"/>
        </w:rPr>
        <w:t>*****</w:t>
      </w:r>
      <w:r w:rsidRPr="004950C2">
        <w:rPr>
          <w:rFonts w:ascii="Arial" w:hAnsi="Arial" w:cs="Arial"/>
          <w:i/>
          <w:iCs/>
          <w:sz w:val="24"/>
          <w:szCs w:val="24"/>
        </w:rPr>
        <w:t xml:space="preserve">, de </w:t>
      </w:r>
      <w:r w:rsidR="0024414A">
        <w:rPr>
          <w:rFonts w:ascii="Arial" w:hAnsi="Arial" w:cs="Arial"/>
          <w:i/>
          <w:iCs/>
          <w:sz w:val="24"/>
          <w:szCs w:val="24"/>
        </w:rPr>
        <w:t>****</w:t>
      </w:r>
      <w:r w:rsidRPr="004950C2">
        <w:rPr>
          <w:rFonts w:ascii="Arial" w:hAnsi="Arial" w:cs="Arial"/>
          <w:i/>
          <w:iCs/>
          <w:sz w:val="24"/>
          <w:szCs w:val="24"/>
        </w:rPr>
        <w:t xml:space="preserve"> </w:t>
      </w:r>
      <w:r w:rsidR="0024414A">
        <w:rPr>
          <w:rFonts w:ascii="Arial" w:hAnsi="Arial" w:cs="Arial"/>
          <w:i/>
          <w:iCs/>
          <w:sz w:val="24"/>
          <w:szCs w:val="24"/>
        </w:rPr>
        <w:t>*****</w:t>
      </w:r>
      <w:r w:rsidRPr="004950C2">
        <w:rPr>
          <w:rFonts w:ascii="Arial" w:hAnsi="Arial" w:cs="Arial"/>
          <w:i/>
          <w:iCs/>
          <w:sz w:val="24"/>
          <w:szCs w:val="24"/>
        </w:rPr>
        <w:t xml:space="preserve"> de </w:t>
      </w:r>
      <w:r w:rsidR="0024414A">
        <w:rPr>
          <w:rFonts w:ascii="Arial" w:hAnsi="Arial" w:cs="Arial"/>
          <w:i/>
          <w:iCs/>
          <w:sz w:val="24"/>
          <w:szCs w:val="24"/>
        </w:rPr>
        <w:t>*****</w:t>
      </w:r>
      <w:r w:rsidRPr="004950C2">
        <w:rPr>
          <w:rFonts w:ascii="Arial" w:hAnsi="Arial" w:cs="Arial"/>
          <w:i/>
          <w:iCs/>
          <w:sz w:val="24"/>
          <w:szCs w:val="24"/>
        </w:rPr>
        <w:t xml:space="preserve"> de </w:t>
      </w:r>
      <w:r w:rsidR="0024414A">
        <w:rPr>
          <w:rFonts w:ascii="Arial" w:hAnsi="Arial" w:cs="Arial"/>
          <w:i/>
          <w:iCs/>
          <w:sz w:val="24"/>
          <w:szCs w:val="24"/>
        </w:rPr>
        <w:t>****</w:t>
      </w:r>
      <w:r w:rsidRPr="004950C2">
        <w:rPr>
          <w:rFonts w:ascii="Arial" w:hAnsi="Arial" w:cs="Arial"/>
          <w:i/>
          <w:iCs/>
          <w:sz w:val="24"/>
          <w:szCs w:val="24"/>
        </w:rPr>
        <w:t xml:space="preserve"> dos mil </w:t>
      </w:r>
      <w:r w:rsidR="0024414A">
        <w:rPr>
          <w:rFonts w:ascii="Arial" w:hAnsi="Arial" w:cs="Arial"/>
          <w:i/>
          <w:iCs/>
          <w:sz w:val="24"/>
          <w:szCs w:val="24"/>
        </w:rPr>
        <w:t>****</w:t>
      </w:r>
      <w:r w:rsidRPr="004950C2">
        <w:rPr>
          <w:rFonts w:ascii="Arial" w:hAnsi="Arial" w:cs="Arial"/>
          <w:i/>
          <w:iCs/>
          <w:sz w:val="24"/>
          <w:szCs w:val="24"/>
        </w:rPr>
        <w:t xml:space="preserve">, </w:t>
      </w:r>
      <w:r w:rsidRPr="004950C2">
        <w:rPr>
          <w:rFonts w:ascii="Arial" w:hAnsi="Arial" w:cs="Arial"/>
          <w:b/>
          <w:bCs/>
          <w:i/>
          <w:iCs/>
          <w:sz w:val="24"/>
          <w:szCs w:val="24"/>
        </w:rPr>
        <w:t>PARA EL EFECTO</w:t>
      </w:r>
      <w:r w:rsidRPr="004950C2">
        <w:rPr>
          <w:rFonts w:ascii="Arial" w:hAnsi="Arial" w:cs="Arial"/>
          <w:i/>
          <w:iCs/>
          <w:sz w:val="24"/>
          <w:szCs w:val="24"/>
        </w:rPr>
        <w:t xml:space="preserve"> de que la autoridad demandada la</w:t>
      </w:r>
      <w:r w:rsidR="000708E8">
        <w:rPr>
          <w:rFonts w:ascii="Arial" w:hAnsi="Arial" w:cs="Arial"/>
          <w:i/>
          <w:iCs/>
          <w:sz w:val="24"/>
          <w:szCs w:val="24"/>
        </w:rPr>
        <w:t xml:space="preserve"> </w:t>
      </w:r>
      <w:r w:rsidRPr="004950C2">
        <w:rPr>
          <w:rFonts w:ascii="Arial" w:hAnsi="Arial" w:cs="Arial"/>
          <w:i/>
          <w:iCs/>
          <w:sz w:val="24"/>
          <w:szCs w:val="24"/>
        </w:rPr>
        <w:t>deje</w:t>
      </w:r>
      <w:r w:rsidR="000708E8">
        <w:rPr>
          <w:rFonts w:ascii="Arial" w:hAnsi="Arial" w:cs="Arial"/>
          <w:i/>
          <w:iCs/>
          <w:sz w:val="24"/>
          <w:szCs w:val="24"/>
        </w:rPr>
        <w:t xml:space="preserve"> </w:t>
      </w:r>
      <w:r w:rsidRPr="004950C2">
        <w:rPr>
          <w:rFonts w:ascii="Arial" w:hAnsi="Arial" w:cs="Arial"/>
          <w:i/>
          <w:iCs/>
          <w:sz w:val="24"/>
          <w:szCs w:val="24"/>
        </w:rPr>
        <w:t>insubsistente; admita la revisión de los conceptos que integran la pensión mensual por jubilación y seguido el procedimiento, dicte la resolución que en derecho corresponda debidamente fundada y motivada, en los términos precisados en la parte última del considerando cuarto de esa sentencia”.</w:t>
      </w:r>
    </w:p>
    <w:p w14:paraId="2BABDFE6" w14:textId="1FAF8CDC" w:rsidR="00B607C2" w:rsidRDefault="00DC0992" w:rsidP="00DC0992">
      <w:pPr>
        <w:spacing w:line="360" w:lineRule="auto"/>
        <w:ind w:firstLine="567"/>
        <w:jc w:val="both"/>
        <w:rPr>
          <w:rFonts w:ascii="Arial" w:hAnsi="Arial" w:cs="Arial"/>
          <w:sz w:val="24"/>
          <w:szCs w:val="24"/>
        </w:rPr>
      </w:pPr>
      <w:r>
        <w:rPr>
          <w:rFonts w:ascii="Arial" w:hAnsi="Arial" w:cs="Arial"/>
          <w:sz w:val="24"/>
          <w:szCs w:val="24"/>
        </w:rPr>
        <w:t xml:space="preserve">Sin embargo, </w:t>
      </w:r>
      <w:r w:rsidR="00B607C2">
        <w:rPr>
          <w:rFonts w:ascii="Arial" w:hAnsi="Arial" w:cs="Arial"/>
          <w:sz w:val="24"/>
          <w:szCs w:val="24"/>
        </w:rPr>
        <w:t xml:space="preserve">cuando </w:t>
      </w:r>
      <w:r>
        <w:rPr>
          <w:rFonts w:ascii="Arial" w:hAnsi="Arial" w:cs="Arial"/>
          <w:sz w:val="24"/>
          <w:szCs w:val="24"/>
        </w:rPr>
        <w:t xml:space="preserve">el actor posteriormente presentó escrito ante la autoridad demandada en la que solicitó </w:t>
      </w:r>
      <w:r w:rsidR="00B607C2">
        <w:rPr>
          <w:rFonts w:ascii="Arial" w:hAnsi="Arial" w:cs="Arial"/>
          <w:sz w:val="24"/>
          <w:szCs w:val="24"/>
        </w:rPr>
        <w:t xml:space="preserve">que se le informara el motivo </w:t>
      </w:r>
      <w:r w:rsidR="00447F15">
        <w:rPr>
          <w:rFonts w:ascii="Arial" w:hAnsi="Arial" w:cs="Arial"/>
          <w:sz w:val="24"/>
          <w:szCs w:val="24"/>
        </w:rPr>
        <w:t>y fundamento por cual el monto de su pensión equivale únicamente al sueldo base y no se le incluyó las prestaciones que contempla el artículo 54 de la Ley de Pensiones para los Trabajadores del Gobierno del Estado de Oaxaca, dicha pretensión a grandes rasgos es la misma por la cual solicitó en el juicio</w:t>
      </w:r>
      <w:r w:rsidR="00B83EC7">
        <w:rPr>
          <w:rFonts w:ascii="Arial" w:hAnsi="Arial" w:cs="Arial"/>
          <w:sz w:val="24"/>
          <w:szCs w:val="24"/>
        </w:rPr>
        <w:t xml:space="preserve"> *****</w:t>
      </w:r>
      <w:r w:rsidR="00447F15" w:rsidRPr="000D118E">
        <w:rPr>
          <w:rFonts w:ascii="Arial" w:hAnsi="Arial" w:cs="Arial"/>
          <w:bCs/>
          <w:spacing w:val="-3"/>
          <w:sz w:val="24"/>
          <w:szCs w:val="27"/>
          <w:lang w:val="es-ES_tradnl"/>
        </w:rPr>
        <w:t>, radicado en la</w:t>
      </w:r>
      <w:r w:rsidR="005A3680">
        <w:rPr>
          <w:rFonts w:ascii="Arial" w:hAnsi="Arial" w:cs="Arial"/>
          <w:bCs/>
          <w:spacing w:val="-3"/>
          <w:sz w:val="24"/>
          <w:szCs w:val="27"/>
          <w:lang w:val="es-ES_tradnl"/>
        </w:rPr>
        <w:t xml:space="preserve"> entonces</w:t>
      </w:r>
      <w:r w:rsidR="00447F15" w:rsidRPr="000D118E">
        <w:rPr>
          <w:rFonts w:ascii="Arial" w:hAnsi="Arial" w:cs="Arial"/>
          <w:bCs/>
          <w:spacing w:val="-3"/>
          <w:sz w:val="24"/>
          <w:szCs w:val="27"/>
          <w:lang w:val="es-ES_tradnl"/>
        </w:rPr>
        <w:t xml:space="preserve"> Segunda Sala Unitaria del Tribunal de lo Contencioso Administrativo para el Estado de Oaxaca</w:t>
      </w:r>
      <w:r w:rsidR="00447F15">
        <w:rPr>
          <w:rFonts w:ascii="Arial" w:hAnsi="Arial" w:cs="Arial"/>
          <w:bCs/>
          <w:spacing w:val="-3"/>
          <w:sz w:val="24"/>
          <w:szCs w:val="27"/>
          <w:lang w:val="es-ES_tradnl"/>
        </w:rPr>
        <w:t>, que se revisara su pensión, de modo que al haber un pronunciamiento, mismo que se declaró como válido, resulta ser que su pretensión ya fue atendida, situación que le hizo del conocimiento la autoridad demandada mediante oficio OP/DG/</w:t>
      </w:r>
      <w:r w:rsidR="00B83EC7">
        <w:rPr>
          <w:rFonts w:ascii="Arial" w:hAnsi="Arial" w:cs="Arial"/>
          <w:bCs/>
          <w:spacing w:val="-3"/>
          <w:sz w:val="24"/>
          <w:szCs w:val="27"/>
          <w:lang w:val="es-ES_tradnl"/>
        </w:rPr>
        <w:t>*****</w:t>
      </w:r>
      <w:r w:rsidR="00447F15">
        <w:rPr>
          <w:rFonts w:ascii="Arial" w:hAnsi="Arial" w:cs="Arial"/>
          <w:bCs/>
          <w:spacing w:val="-3"/>
          <w:sz w:val="24"/>
          <w:szCs w:val="27"/>
          <w:lang w:val="es-ES_tradnl"/>
        </w:rPr>
        <w:t>/</w:t>
      </w:r>
      <w:r w:rsidR="00B83EC7">
        <w:rPr>
          <w:rFonts w:ascii="Arial" w:hAnsi="Arial" w:cs="Arial"/>
          <w:bCs/>
          <w:spacing w:val="-3"/>
          <w:sz w:val="24"/>
          <w:szCs w:val="27"/>
          <w:lang w:val="es-ES_tradnl"/>
        </w:rPr>
        <w:t>*****</w:t>
      </w:r>
      <w:r w:rsidR="00447F15">
        <w:rPr>
          <w:rFonts w:ascii="Arial" w:hAnsi="Arial" w:cs="Arial"/>
          <w:bCs/>
          <w:spacing w:val="-3"/>
          <w:sz w:val="24"/>
          <w:szCs w:val="27"/>
          <w:lang w:val="es-ES_tradnl"/>
        </w:rPr>
        <w:t xml:space="preserve">, de fecha </w:t>
      </w:r>
      <w:r w:rsidR="00B83EC7">
        <w:rPr>
          <w:rFonts w:ascii="Arial" w:hAnsi="Arial" w:cs="Arial"/>
          <w:bCs/>
          <w:spacing w:val="-3"/>
          <w:sz w:val="24"/>
          <w:szCs w:val="27"/>
          <w:lang w:val="es-ES_tradnl"/>
        </w:rPr>
        <w:t>*****</w:t>
      </w:r>
      <w:r w:rsidR="00447F15">
        <w:rPr>
          <w:rFonts w:ascii="Arial" w:hAnsi="Arial" w:cs="Arial"/>
          <w:bCs/>
          <w:spacing w:val="-3"/>
          <w:sz w:val="24"/>
          <w:szCs w:val="27"/>
          <w:lang w:val="es-ES_tradnl"/>
        </w:rPr>
        <w:t xml:space="preserve"> de </w:t>
      </w:r>
      <w:r w:rsidR="00B83EC7">
        <w:rPr>
          <w:rFonts w:ascii="Arial" w:hAnsi="Arial" w:cs="Arial"/>
          <w:bCs/>
          <w:spacing w:val="-3"/>
          <w:sz w:val="24"/>
          <w:szCs w:val="27"/>
          <w:lang w:val="es-ES_tradnl"/>
        </w:rPr>
        <w:t>*****</w:t>
      </w:r>
      <w:r w:rsidR="00447F15">
        <w:rPr>
          <w:rFonts w:ascii="Arial" w:hAnsi="Arial" w:cs="Arial"/>
          <w:bCs/>
          <w:spacing w:val="-3"/>
          <w:sz w:val="24"/>
          <w:szCs w:val="27"/>
          <w:lang w:val="es-ES_tradnl"/>
        </w:rPr>
        <w:t xml:space="preserve"> de dos mil </w:t>
      </w:r>
      <w:r w:rsidR="00B83EC7">
        <w:rPr>
          <w:rFonts w:ascii="Arial" w:hAnsi="Arial" w:cs="Arial"/>
          <w:bCs/>
          <w:spacing w:val="-3"/>
          <w:sz w:val="24"/>
          <w:szCs w:val="27"/>
          <w:lang w:val="es-ES_tradnl"/>
        </w:rPr>
        <w:t>*****</w:t>
      </w:r>
      <w:r w:rsidR="00447F15">
        <w:rPr>
          <w:rFonts w:ascii="Arial" w:hAnsi="Arial" w:cs="Arial"/>
          <w:bCs/>
          <w:spacing w:val="-3"/>
          <w:sz w:val="24"/>
          <w:szCs w:val="27"/>
          <w:lang w:val="es-ES_tradnl"/>
        </w:rPr>
        <w:t xml:space="preserve">. </w:t>
      </w:r>
    </w:p>
    <w:p w14:paraId="1BBA00BC" w14:textId="229CEC5E" w:rsidR="00DC0992" w:rsidRDefault="00DC0992" w:rsidP="00DC0992">
      <w:pPr>
        <w:spacing w:line="360" w:lineRule="auto"/>
        <w:ind w:firstLine="567"/>
        <w:jc w:val="both"/>
        <w:rPr>
          <w:rFonts w:ascii="Arial" w:hAnsi="Arial" w:cs="Arial"/>
          <w:sz w:val="24"/>
          <w:szCs w:val="24"/>
        </w:rPr>
      </w:pPr>
      <w:r>
        <w:rPr>
          <w:rFonts w:ascii="Arial" w:hAnsi="Arial" w:cs="Arial"/>
          <w:sz w:val="24"/>
          <w:szCs w:val="24"/>
        </w:rPr>
        <w:t xml:space="preserve">Luego, al acudir al juicio que nos ocupa, resulta jurídicamente incorrecto que esta Sala Unitaria se pronuncie respecto de una </w:t>
      </w:r>
      <w:r w:rsidR="000C43A6">
        <w:rPr>
          <w:rFonts w:ascii="Arial" w:hAnsi="Arial" w:cs="Arial"/>
          <w:sz w:val="24"/>
          <w:szCs w:val="24"/>
        </w:rPr>
        <w:t>pretensión</w:t>
      </w:r>
      <w:r>
        <w:rPr>
          <w:rFonts w:ascii="Arial" w:hAnsi="Arial" w:cs="Arial"/>
          <w:sz w:val="24"/>
          <w:szCs w:val="24"/>
        </w:rPr>
        <w:t xml:space="preserve"> </w:t>
      </w:r>
      <w:r w:rsidR="000C43A6">
        <w:rPr>
          <w:rFonts w:ascii="Arial" w:hAnsi="Arial" w:cs="Arial"/>
          <w:sz w:val="24"/>
          <w:szCs w:val="24"/>
        </w:rPr>
        <w:t xml:space="preserve">perseguida que ya fue satisfecha al dictarse sentencia </w:t>
      </w:r>
      <w:r w:rsidR="00385C23">
        <w:rPr>
          <w:rFonts w:ascii="Arial" w:hAnsi="Arial" w:cs="Arial"/>
          <w:sz w:val="24"/>
          <w:szCs w:val="24"/>
        </w:rPr>
        <w:t>en</w:t>
      </w:r>
      <w:r w:rsidR="000C43A6">
        <w:rPr>
          <w:rFonts w:ascii="Arial" w:hAnsi="Arial" w:cs="Arial"/>
          <w:sz w:val="24"/>
          <w:szCs w:val="24"/>
        </w:rPr>
        <w:t xml:space="preserve"> el juicio </w:t>
      </w:r>
      <w:r w:rsidR="000E101F">
        <w:rPr>
          <w:rFonts w:ascii="Arial" w:hAnsi="Arial" w:cs="Arial"/>
          <w:bCs/>
          <w:spacing w:val="-3"/>
          <w:sz w:val="24"/>
          <w:szCs w:val="27"/>
          <w:lang w:val="es-ES_tradnl"/>
        </w:rPr>
        <w:t>*****</w:t>
      </w:r>
      <w:r w:rsidR="000C43A6" w:rsidRPr="000D118E">
        <w:rPr>
          <w:rFonts w:ascii="Arial" w:hAnsi="Arial" w:cs="Arial"/>
          <w:bCs/>
          <w:spacing w:val="-3"/>
          <w:sz w:val="24"/>
          <w:szCs w:val="27"/>
          <w:lang w:val="es-ES_tradnl"/>
        </w:rPr>
        <w:t xml:space="preserve">, radicado en la otra Segunda Sala </w:t>
      </w:r>
      <w:r w:rsidR="000C43A6" w:rsidRPr="000D118E">
        <w:rPr>
          <w:rFonts w:ascii="Arial" w:hAnsi="Arial" w:cs="Arial"/>
          <w:bCs/>
          <w:spacing w:val="-3"/>
          <w:sz w:val="24"/>
          <w:szCs w:val="27"/>
          <w:lang w:val="es-ES_tradnl"/>
        </w:rPr>
        <w:lastRenderedPageBreak/>
        <w:t>Unitaria del Tribunal de lo Contencioso Administrativo para el Estado de Oaxaca</w:t>
      </w:r>
      <w:r>
        <w:rPr>
          <w:rFonts w:ascii="Arial" w:hAnsi="Arial" w:cs="Arial"/>
          <w:sz w:val="24"/>
          <w:szCs w:val="24"/>
        </w:rPr>
        <w:t xml:space="preserve">, de modo que sería contradictorio dado que ya hubo pronunciamiento previo por la diversa Cuarta Sala Unitaria, </w:t>
      </w:r>
      <w:r w:rsidR="000C43A6">
        <w:rPr>
          <w:rFonts w:ascii="Arial" w:hAnsi="Arial" w:cs="Arial"/>
          <w:sz w:val="24"/>
          <w:szCs w:val="24"/>
        </w:rPr>
        <w:t>por lo que su pronunciamiento sería jurídicamente innecesario</w:t>
      </w:r>
      <w:r>
        <w:rPr>
          <w:rFonts w:ascii="Arial" w:hAnsi="Arial" w:cs="Arial"/>
          <w:sz w:val="24"/>
          <w:szCs w:val="24"/>
        </w:rPr>
        <w:t>.</w:t>
      </w:r>
    </w:p>
    <w:p w14:paraId="49BAF50D" w14:textId="0503A906" w:rsidR="00DC0992" w:rsidRDefault="00DC0992" w:rsidP="00DC0992">
      <w:pPr>
        <w:spacing w:line="360" w:lineRule="auto"/>
        <w:ind w:firstLine="567"/>
        <w:jc w:val="both"/>
        <w:rPr>
          <w:rFonts w:ascii="Arial" w:hAnsi="Arial" w:cs="Arial"/>
          <w:bCs/>
          <w:spacing w:val="-3"/>
          <w:sz w:val="24"/>
          <w:szCs w:val="27"/>
          <w:lang w:val="es-ES_tradnl"/>
        </w:rPr>
      </w:pPr>
      <w:r>
        <w:rPr>
          <w:rFonts w:ascii="Arial" w:hAnsi="Arial" w:cs="Arial"/>
          <w:sz w:val="24"/>
          <w:szCs w:val="24"/>
        </w:rPr>
        <w:t xml:space="preserve">Por ello, esta Sala Unitaria concluye que </w:t>
      </w:r>
      <w:r w:rsidRPr="00053960">
        <w:rPr>
          <w:rFonts w:ascii="Arial" w:hAnsi="Arial" w:cs="Arial"/>
          <w:b/>
          <w:bCs/>
          <w:sz w:val="24"/>
          <w:szCs w:val="24"/>
        </w:rPr>
        <w:t>SE ACTUALIZA</w:t>
      </w:r>
      <w:r>
        <w:rPr>
          <w:rFonts w:ascii="Arial" w:hAnsi="Arial" w:cs="Arial"/>
          <w:sz w:val="24"/>
          <w:szCs w:val="24"/>
        </w:rPr>
        <w:t xml:space="preserve"> la excepción consistente en la </w:t>
      </w:r>
      <w:r w:rsidRPr="00053960">
        <w:rPr>
          <w:rFonts w:ascii="Arial" w:hAnsi="Arial" w:cs="Arial"/>
          <w:b/>
          <w:bCs/>
          <w:sz w:val="24"/>
          <w:szCs w:val="24"/>
        </w:rPr>
        <w:t>COSA JUZGADA REFLEJA</w:t>
      </w:r>
      <w:r>
        <w:rPr>
          <w:rFonts w:ascii="Arial" w:hAnsi="Arial" w:cs="Arial"/>
          <w:sz w:val="24"/>
          <w:szCs w:val="24"/>
        </w:rPr>
        <w:t>, toda vez que</w:t>
      </w:r>
      <w:r w:rsidRPr="00053960">
        <w:t xml:space="preserve"> </w:t>
      </w:r>
      <w:r w:rsidRPr="00053960">
        <w:rPr>
          <w:rFonts w:ascii="Arial" w:hAnsi="Arial" w:cs="Arial"/>
          <w:sz w:val="24"/>
          <w:szCs w:val="24"/>
        </w:rPr>
        <w:t>aun cuando no</w:t>
      </w:r>
      <w:r>
        <w:rPr>
          <w:rFonts w:ascii="Arial" w:hAnsi="Arial" w:cs="Arial"/>
          <w:sz w:val="24"/>
          <w:szCs w:val="24"/>
        </w:rPr>
        <w:t xml:space="preserve"> </w:t>
      </w:r>
      <w:r w:rsidRPr="00053960">
        <w:rPr>
          <w:rFonts w:ascii="Arial" w:hAnsi="Arial" w:cs="Arial"/>
          <w:sz w:val="24"/>
          <w:szCs w:val="24"/>
        </w:rPr>
        <w:t>exist</w:t>
      </w:r>
      <w:r>
        <w:rPr>
          <w:rFonts w:ascii="Arial" w:hAnsi="Arial" w:cs="Arial"/>
          <w:sz w:val="24"/>
          <w:szCs w:val="24"/>
        </w:rPr>
        <w:t>e</w:t>
      </w:r>
      <w:r w:rsidRPr="00053960">
        <w:rPr>
          <w:rFonts w:ascii="Arial" w:hAnsi="Arial" w:cs="Arial"/>
          <w:sz w:val="24"/>
          <w:szCs w:val="24"/>
        </w:rPr>
        <w:t xml:space="preserve"> </w:t>
      </w:r>
      <w:r>
        <w:rPr>
          <w:rFonts w:ascii="Arial" w:hAnsi="Arial" w:cs="Arial"/>
          <w:sz w:val="24"/>
          <w:szCs w:val="24"/>
        </w:rPr>
        <w:t xml:space="preserve">la </w:t>
      </w:r>
      <w:r w:rsidRPr="00053960">
        <w:rPr>
          <w:rFonts w:ascii="Arial" w:hAnsi="Arial" w:cs="Arial"/>
          <w:sz w:val="24"/>
          <w:szCs w:val="24"/>
        </w:rPr>
        <w:t xml:space="preserve">identidad </w:t>
      </w:r>
      <w:r>
        <w:rPr>
          <w:rFonts w:ascii="Arial" w:hAnsi="Arial" w:cs="Arial"/>
          <w:sz w:val="24"/>
          <w:szCs w:val="24"/>
        </w:rPr>
        <w:t>del acto impugnado, dicha</w:t>
      </w:r>
      <w:r w:rsidRPr="00053960">
        <w:rPr>
          <w:rFonts w:ascii="Arial" w:hAnsi="Arial" w:cs="Arial"/>
          <w:sz w:val="24"/>
          <w:szCs w:val="24"/>
        </w:rPr>
        <w:t xml:space="preserve"> situación, </w:t>
      </w:r>
      <w:r>
        <w:rPr>
          <w:rFonts w:ascii="Arial" w:hAnsi="Arial" w:cs="Arial"/>
          <w:sz w:val="24"/>
          <w:szCs w:val="24"/>
        </w:rPr>
        <w:t xml:space="preserve">se encuentra </w:t>
      </w:r>
      <w:r w:rsidRPr="00053960">
        <w:rPr>
          <w:rFonts w:ascii="Arial" w:hAnsi="Arial" w:cs="Arial"/>
          <w:sz w:val="24"/>
          <w:szCs w:val="24"/>
        </w:rPr>
        <w:t>influye</w:t>
      </w:r>
      <w:r>
        <w:rPr>
          <w:rFonts w:ascii="Arial" w:hAnsi="Arial" w:cs="Arial"/>
          <w:sz w:val="24"/>
          <w:szCs w:val="24"/>
        </w:rPr>
        <w:t>ndo</w:t>
      </w:r>
      <w:r w:rsidRPr="00053960">
        <w:rPr>
          <w:rFonts w:ascii="Arial" w:hAnsi="Arial" w:cs="Arial"/>
          <w:sz w:val="24"/>
          <w:szCs w:val="24"/>
        </w:rPr>
        <w:t xml:space="preserve"> </w:t>
      </w:r>
      <w:r>
        <w:rPr>
          <w:rFonts w:ascii="Arial" w:hAnsi="Arial" w:cs="Arial"/>
          <w:sz w:val="24"/>
          <w:szCs w:val="24"/>
        </w:rPr>
        <w:t>el efecto de un juicio</w:t>
      </w:r>
      <w:r w:rsidRPr="00053960">
        <w:rPr>
          <w:rFonts w:ascii="Arial" w:hAnsi="Arial" w:cs="Arial"/>
          <w:sz w:val="24"/>
          <w:szCs w:val="24"/>
        </w:rPr>
        <w:t xml:space="preserve"> anterior</w:t>
      </w:r>
      <w:r>
        <w:rPr>
          <w:rFonts w:ascii="Arial" w:hAnsi="Arial" w:cs="Arial"/>
          <w:sz w:val="24"/>
          <w:szCs w:val="24"/>
        </w:rPr>
        <w:t xml:space="preserve"> (</w:t>
      </w:r>
      <w:r w:rsidR="00AC33D7" w:rsidRPr="000D118E">
        <w:rPr>
          <w:rFonts w:ascii="Arial" w:hAnsi="Arial" w:cs="Arial"/>
          <w:bCs/>
          <w:spacing w:val="-3"/>
          <w:sz w:val="24"/>
          <w:szCs w:val="27"/>
          <w:lang w:val="es-ES_tradnl"/>
        </w:rPr>
        <w:t>Juicio</w:t>
      </w:r>
      <w:r w:rsidR="00AC33D7">
        <w:rPr>
          <w:rFonts w:ascii="Arial" w:hAnsi="Arial" w:cs="Arial"/>
          <w:bCs/>
          <w:spacing w:val="-3"/>
          <w:sz w:val="24"/>
          <w:szCs w:val="27"/>
          <w:lang w:val="es-ES_tradnl"/>
        </w:rPr>
        <w:t xml:space="preserve"> número</w:t>
      </w:r>
      <w:r w:rsidR="00AC33D7" w:rsidRPr="000D118E">
        <w:rPr>
          <w:rFonts w:ascii="Arial" w:hAnsi="Arial" w:cs="Arial"/>
          <w:bCs/>
          <w:spacing w:val="-3"/>
          <w:sz w:val="24"/>
          <w:szCs w:val="27"/>
          <w:lang w:val="es-ES_tradnl"/>
        </w:rPr>
        <w:t xml:space="preserve"> </w:t>
      </w:r>
      <w:r w:rsidR="000E101F">
        <w:rPr>
          <w:rFonts w:ascii="Arial" w:hAnsi="Arial" w:cs="Arial"/>
          <w:bCs/>
          <w:spacing w:val="-3"/>
          <w:sz w:val="24"/>
          <w:szCs w:val="27"/>
          <w:lang w:val="es-ES_tradnl"/>
        </w:rPr>
        <w:t>*****</w:t>
      </w:r>
      <w:r w:rsidR="00BF1CFC">
        <w:rPr>
          <w:rFonts w:ascii="Arial" w:hAnsi="Arial" w:cs="Arial"/>
          <w:bCs/>
          <w:spacing w:val="-3"/>
          <w:sz w:val="24"/>
          <w:szCs w:val="27"/>
          <w:lang w:val="es-ES_tradnl"/>
        </w:rPr>
        <w:t>,</w:t>
      </w:r>
      <w:r w:rsidR="00AC33D7" w:rsidRPr="000D118E">
        <w:rPr>
          <w:rFonts w:ascii="Arial" w:hAnsi="Arial" w:cs="Arial"/>
          <w:bCs/>
          <w:spacing w:val="-3"/>
          <w:sz w:val="24"/>
          <w:szCs w:val="27"/>
          <w:lang w:val="es-ES_tradnl"/>
        </w:rPr>
        <w:t xml:space="preserve"> del índice de la Sexta Sala Unitaria de Primera Instancia del Tribunal de lo Contencioso Administrativo y de Cuentas del Poder Judicial del Estado de Oaxaca</w:t>
      </w:r>
      <w:r w:rsidR="00AC33D7">
        <w:rPr>
          <w:rFonts w:ascii="Arial" w:hAnsi="Arial" w:cs="Arial"/>
          <w:bCs/>
          <w:spacing w:val="-3"/>
          <w:sz w:val="24"/>
          <w:szCs w:val="27"/>
          <w:lang w:val="es-ES_tradnl"/>
        </w:rPr>
        <w:t xml:space="preserve">, </w:t>
      </w:r>
      <w:r w:rsidR="00AC33D7" w:rsidRPr="000D118E">
        <w:rPr>
          <w:rFonts w:ascii="Arial" w:hAnsi="Arial" w:cs="Arial"/>
          <w:bCs/>
          <w:spacing w:val="-3"/>
          <w:sz w:val="24"/>
          <w:szCs w:val="27"/>
          <w:lang w:val="es-ES_tradnl"/>
        </w:rPr>
        <w:t xml:space="preserve">antes </w:t>
      </w:r>
      <w:r w:rsidR="000E101F">
        <w:rPr>
          <w:rFonts w:ascii="Arial" w:hAnsi="Arial" w:cs="Arial"/>
          <w:bCs/>
          <w:spacing w:val="-3"/>
          <w:sz w:val="24"/>
          <w:szCs w:val="27"/>
          <w:lang w:val="es-ES_tradnl"/>
        </w:rPr>
        <w:t>*****</w:t>
      </w:r>
      <w:r w:rsidR="00AC33D7" w:rsidRPr="000D118E">
        <w:rPr>
          <w:rFonts w:ascii="Arial" w:hAnsi="Arial" w:cs="Arial"/>
          <w:bCs/>
          <w:spacing w:val="-3"/>
          <w:sz w:val="24"/>
          <w:szCs w:val="27"/>
          <w:lang w:val="es-ES_tradnl"/>
        </w:rPr>
        <w:t>, radicado en la</w:t>
      </w:r>
      <w:r w:rsidR="00BF1CFC">
        <w:rPr>
          <w:rFonts w:ascii="Arial" w:hAnsi="Arial" w:cs="Arial"/>
          <w:bCs/>
          <w:spacing w:val="-3"/>
          <w:sz w:val="24"/>
          <w:szCs w:val="27"/>
          <w:lang w:val="es-ES_tradnl"/>
        </w:rPr>
        <w:t xml:space="preserve"> entonces</w:t>
      </w:r>
      <w:r w:rsidR="00AC33D7" w:rsidRPr="000D118E">
        <w:rPr>
          <w:rFonts w:ascii="Arial" w:hAnsi="Arial" w:cs="Arial"/>
          <w:bCs/>
          <w:spacing w:val="-3"/>
          <w:sz w:val="24"/>
          <w:szCs w:val="27"/>
          <w:lang w:val="es-ES_tradnl"/>
        </w:rPr>
        <w:t xml:space="preserve"> Segunda Sala Unitaria del Tribunal de lo Contencioso Administrativo para el Estado de Oaxaca)</w:t>
      </w:r>
      <w:r>
        <w:rPr>
          <w:rFonts w:ascii="Arial" w:hAnsi="Arial" w:cs="Arial"/>
          <w:bCs/>
          <w:spacing w:val="-3"/>
          <w:sz w:val="24"/>
          <w:szCs w:val="27"/>
          <w:lang w:val="es-ES_tradnl"/>
        </w:rPr>
        <w:t>,</w:t>
      </w:r>
      <w:r w:rsidRPr="00053960">
        <w:rPr>
          <w:rFonts w:ascii="Arial" w:hAnsi="Arial" w:cs="Arial"/>
          <w:sz w:val="24"/>
          <w:szCs w:val="24"/>
        </w:rPr>
        <w:t xml:space="preserve"> en </w:t>
      </w:r>
      <w:r>
        <w:rPr>
          <w:rFonts w:ascii="Arial" w:hAnsi="Arial" w:cs="Arial"/>
          <w:sz w:val="24"/>
          <w:szCs w:val="24"/>
        </w:rPr>
        <w:t>el presente juicio de nulidad</w:t>
      </w:r>
      <w:r w:rsidRPr="00053960">
        <w:rPr>
          <w:rFonts w:ascii="Arial" w:hAnsi="Arial" w:cs="Arial"/>
          <w:sz w:val="24"/>
          <w:szCs w:val="24"/>
        </w:rPr>
        <w:t xml:space="preserve">, </w:t>
      </w:r>
      <w:r>
        <w:rPr>
          <w:rFonts w:ascii="Arial" w:hAnsi="Arial" w:cs="Arial"/>
          <w:sz w:val="24"/>
          <w:szCs w:val="24"/>
        </w:rPr>
        <w:t>toda vez que</w:t>
      </w:r>
      <w:r w:rsidRPr="00053960">
        <w:rPr>
          <w:rFonts w:ascii="Arial" w:hAnsi="Arial" w:cs="Arial"/>
          <w:sz w:val="24"/>
          <w:szCs w:val="24"/>
        </w:rPr>
        <w:t>, el primer</w:t>
      </w:r>
      <w:r>
        <w:rPr>
          <w:rFonts w:ascii="Arial" w:hAnsi="Arial" w:cs="Arial"/>
          <w:sz w:val="24"/>
          <w:szCs w:val="24"/>
        </w:rPr>
        <w:t xml:space="preserve"> juicio</w:t>
      </w:r>
      <w:r w:rsidRPr="00053960">
        <w:rPr>
          <w:rFonts w:ascii="Arial" w:hAnsi="Arial" w:cs="Arial"/>
          <w:sz w:val="24"/>
          <w:szCs w:val="24"/>
        </w:rPr>
        <w:t xml:space="preserve"> </w:t>
      </w:r>
      <w:r>
        <w:rPr>
          <w:rFonts w:ascii="Arial" w:hAnsi="Arial" w:cs="Arial"/>
          <w:sz w:val="24"/>
          <w:szCs w:val="24"/>
        </w:rPr>
        <w:t>sirve de</w:t>
      </w:r>
      <w:r w:rsidRPr="00053960">
        <w:rPr>
          <w:rFonts w:ascii="Arial" w:hAnsi="Arial" w:cs="Arial"/>
          <w:sz w:val="24"/>
          <w:szCs w:val="24"/>
        </w:rPr>
        <w:t xml:space="preserve"> sustento al </w:t>
      </w:r>
      <w:r w:rsidR="009F2F77">
        <w:rPr>
          <w:rFonts w:ascii="Arial" w:hAnsi="Arial" w:cs="Arial"/>
          <w:sz w:val="24"/>
          <w:szCs w:val="24"/>
        </w:rPr>
        <w:t>juicio que nos ocupa</w:t>
      </w:r>
      <w:r w:rsidRPr="00053960">
        <w:rPr>
          <w:rFonts w:ascii="Arial" w:hAnsi="Arial" w:cs="Arial"/>
          <w:sz w:val="24"/>
          <w:szCs w:val="24"/>
        </w:rPr>
        <w:t xml:space="preserve"> para resolver,</w:t>
      </w:r>
      <w:r w:rsidR="009F2F77">
        <w:rPr>
          <w:rFonts w:ascii="Arial" w:hAnsi="Arial" w:cs="Arial"/>
          <w:sz w:val="24"/>
          <w:szCs w:val="24"/>
        </w:rPr>
        <w:t xml:space="preserve"> esto</w:t>
      </w:r>
      <w:r>
        <w:rPr>
          <w:rFonts w:ascii="Arial" w:hAnsi="Arial" w:cs="Arial"/>
          <w:sz w:val="24"/>
          <w:szCs w:val="24"/>
        </w:rPr>
        <w:t xml:space="preserve"> </w:t>
      </w:r>
      <w:r w:rsidRPr="00053960">
        <w:rPr>
          <w:rFonts w:ascii="Arial" w:hAnsi="Arial" w:cs="Arial"/>
          <w:sz w:val="24"/>
          <w:szCs w:val="24"/>
        </w:rPr>
        <w:t>con la finalidad de impedir sentencias</w:t>
      </w:r>
      <w:r>
        <w:rPr>
          <w:rFonts w:ascii="Arial" w:hAnsi="Arial" w:cs="Arial"/>
          <w:sz w:val="24"/>
          <w:szCs w:val="24"/>
        </w:rPr>
        <w:t xml:space="preserve"> </w:t>
      </w:r>
      <w:r w:rsidRPr="00053960">
        <w:rPr>
          <w:rFonts w:ascii="Arial" w:hAnsi="Arial" w:cs="Arial"/>
          <w:sz w:val="24"/>
          <w:szCs w:val="24"/>
        </w:rPr>
        <w:t>contradictorias</w:t>
      </w:r>
      <w:r>
        <w:rPr>
          <w:rFonts w:ascii="Arial" w:hAnsi="Arial" w:cs="Arial"/>
          <w:sz w:val="24"/>
          <w:szCs w:val="24"/>
        </w:rPr>
        <w:t xml:space="preserve">, </w:t>
      </w:r>
      <w:r w:rsidR="00185070">
        <w:rPr>
          <w:rFonts w:ascii="Arial" w:hAnsi="Arial" w:cs="Arial"/>
          <w:sz w:val="24"/>
          <w:szCs w:val="24"/>
        </w:rPr>
        <w:t xml:space="preserve">dado que en el presente juicio, se pretende la nulidad del acto impugnado y como pretensión que se le haga del conocimiento </w:t>
      </w:r>
      <w:r w:rsidR="00290C16">
        <w:rPr>
          <w:rFonts w:ascii="Arial" w:hAnsi="Arial" w:cs="Arial"/>
          <w:sz w:val="24"/>
          <w:szCs w:val="24"/>
        </w:rPr>
        <w:t>motivos y fundamentos legales, mismos que como se ha corroborado, el actor ya conoce</w:t>
      </w:r>
      <w:r w:rsidR="00185070">
        <w:rPr>
          <w:rFonts w:ascii="Arial" w:hAnsi="Arial" w:cs="Arial"/>
          <w:sz w:val="24"/>
          <w:szCs w:val="24"/>
        </w:rPr>
        <w:t xml:space="preserve">, </w:t>
      </w:r>
      <w:r w:rsidR="00290C16">
        <w:rPr>
          <w:rFonts w:ascii="Arial" w:hAnsi="Arial" w:cs="Arial"/>
          <w:sz w:val="24"/>
          <w:szCs w:val="24"/>
        </w:rPr>
        <w:t>de ahí</w:t>
      </w:r>
      <w:r w:rsidR="00185070">
        <w:rPr>
          <w:rFonts w:ascii="Arial" w:hAnsi="Arial" w:cs="Arial"/>
          <w:sz w:val="24"/>
          <w:szCs w:val="24"/>
        </w:rPr>
        <w:t xml:space="preserve"> que la pretensión resulta idéntica</w:t>
      </w:r>
      <w:r>
        <w:rPr>
          <w:rFonts w:ascii="Arial" w:hAnsi="Arial" w:cs="Arial"/>
          <w:bCs/>
          <w:spacing w:val="-3"/>
          <w:sz w:val="24"/>
          <w:szCs w:val="27"/>
          <w:lang w:val="es-ES_tradnl"/>
        </w:rPr>
        <w:t xml:space="preserve">. </w:t>
      </w:r>
    </w:p>
    <w:p w14:paraId="2457DBE0" w14:textId="77777777" w:rsidR="00DC0992" w:rsidRDefault="00DC0992" w:rsidP="00DC0992">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Sirve de sustento la jurisprudencia</w:t>
      </w:r>
      <w:r>
        <w:rPr>
          <w:rStyle w:val="Refdenotaalpie"/>
          <w:rFonts w:ascii="Arial" w:hAnsi="Arial" w:cs="Arial"/>
          <w:bCs/>
          <w:spacing w:val="-3"/>
          <w:sz w:val="24"/>
          <w:szCs w:val="27"/>
          <w:lang w:val="es-ES_tradnl"/>
        </w:rPr>
        <w:footnoteReference w:id="2"/>
      </w:r>
      <w:r>
        <w:rPr>
          <w:rFonts w:ascii="Arial" w:hAnsi="Arial" w:cs="Arial"/>
          <w:bCs/>
          <w:spacing w:val="-3"/>
          <w:sz w:val="24"/>
          <w:szCs w:val="27"/>
          <w:lang w:val="es-ES_tradnl"/>
        </w:rPr>
        <w:t xml:space="preserve"> de rubro y texto siguiente:</w:t>
      </w:r>
    </w:p>
    <w:p w14:paraId="599AE648" w14:textId="77777777" w:rsidR="00DC0992" w:rsidRPr="006024D6" w:rsidRDefault="00DC0992" w:rsidP="00DC0992">
      <w:pPr>
        <w:ind w:left="567"/>
        <w:jc w:val="both"/>
        <w:rPr>
          <w:rFonts w:ascii="Arial" w:hAnsi="Arial" w:cs="Arial"/>
          <w:bCs/>
          <w:i/>
          <w:iCs/>
          <w:spacing w:val="-3"/>
          <w:sz w:val="24"/>
          <w:szCs w:val="27"/>
          <w:lang w:val="es-ES_tradnl"/>
        </w:rPr>
      </w:pPr>
      <w:r w:rsidRPr="006024D6">
        <w:rPr>
          <w:rFonts w:ascii="Arial" w:hAnsi="Arial" w:cs="Arial"/>
          <w:bCs/>
          <w:i/>
          <w:iCs/>
          <w:spacing w:val="-3"/>
          <w:sz w:val="24"/>
          <w:szCs w:val="27"/>
          <w:lang w:val="es-ES_tradnl"/>
        </w:rPr>
        <w:t>“</w:t>
      </w:r>
      <w:r w:rsidRPr="006024D6">
        <w:rPr>
          <w:rFonts w:ascii="Arial" w:hAnsi="Arial" w:cs="Arial"/>
          <w:b/>
          <w:i/>
          <w:iCs/>
          <w:spacing w:val="-3"/>
          <w:sz w:val="24"/>
          <w:szCs w:val="27"/>
          <w:lang w:val="es-ES_tradnl"/>
        </w:rPr>
        <w:t>COSA JUZGADA REFLEJA.</w:t>
      </w:r>
      <w:r w:rsidRPr="006024D6">
        <w:rPr>
          <w:rFonts w:ascii="Arial" w:hAnsi="Arial" w:cs="Arial"/>
          <w:bCs/>
          <w:i/>
          <w:iCs/>
          <w:spacing w:val="-3"/>
          <w:sz w:val="24"/>
          <w:szCs w:val="27"/>
          <w:lang w:val="es-ES_tradnl"/>
        </w:rPr>
        <w:t xml:space="preserve"> Se da la cosa juzgada refleja, cuando existen circunstancias extraordinarias que, aun cuando no sería posible oponer la excepción de cosa juzgada a pesar de existir identidad de objeto en un contrato, así como de las partes en dos juicios, no ocurre la identidad de acciones en los litigios; pero que no obstante esa situación, influye la cosa juzgada de un pleito anterior en otro futuro, es decir, el primero sirve de sustento al siguiente para resolver, con la finalidad de impedir sentencias contradictorias, creando efectos en esta última, ya sean de manera positiva o negativa, pero siempre reflejantes.”</w:t>
      </w:r>
    </w:p>
    <w:p w14:paraId="2681440E" w14:textId="77777777" w:rsidR="00DC0992" w:rsidRDefault="00DC0992" w:rsidP="00DC0992">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Luego, al haberse actualizado la excepción de </w:t>
      </w:r>
      <w:r w:rsidRPr="00174E07">
        <w:rPr>
          <w:rFonts w:ascii="Arial" w:hAnsi="Arial" w:cs="Arial"/>
          <w:b/>
          <w:spacing w:val="-3"/>
          <w:sz w:val="24"/>
          <w:szCs w:val="27"/>
          <w:lang w:val="es-ES_tradnl"/>
        </w:rPr>
        <w:t>COSA JUZGADA REFLEJA</w:t>
      </w:r>
      <w:r>
        <w:rPr>
          <w:rFonts w:ascii="Arial" w:hAnsi="Arial" w:cs="Arial"/>
          <w:bCs/>
          <w:spacing w:val="-3"/>
          <w:sz w:val="24"/>
          <w:szCs w:val="27"/>
          <w:lang w:val="es-ES_tradnl"/>
        </w:rPr>
        <w:t>, esta Sala Unitaria se advierte que va estrechamente relacionada con las causales de improcedencia y sobreseimiento contenidas en los artículos 161 fracción V y 162 fracción II de la Ley de Procedimiento y Justicia Administrativa para el Estado de Oaxaca, que a la letra dicen:</w:t>
      </w:r>
    </w:p>
    <w:p w14:paraId="481C9624" w14:textId="77777777" w:rsidR="00DC0992" w:rsidRPr="006C4D58" w:rsidRDefault="00DC0992" w:rsidP="00DC0992">
      <w:pPr>
        <w:ind w:left="567"/>
        <w:jc w:val="both"/>
        <w:rPr>
          <w:rFonts w:ascii="Arial" w:hAnsi="Arial" w:cs="Arial"/>
          <w:bCs/>
          <w:i/>
          <w:iCs/>
          <w:spacing w:val="-3"/>
          <w:sz w:val="24"/>
          <w:szCs w:val="27"/>
          <w:lang w:val="es-ES_tradnl"/>
        </w:rPr>
      </w:pPr>
      <w:r>
        <w:rPr>
          <w:rFonts w:ascii="Arial" w:hAnsi="Arial" w:cs="Arial"/>
          <w:bCs/>
          <w:i/>
          <w:iCs/>
          <w:spacing w:val="-3"/>
          <w:sz w:val="24"/>
          <w:szCs w:val="27"/>
          <w:lang w:val="es-ES_tradnl"/>
        </w:rPr>
        <w:t>“</w:t>
      </w:r>
      <w:r w:rsidRPr="006C4D58">
        <w:rPr>
          <w:rFonts w:ascii="Arial" w:hAnsi="Arial" w:cs="Arial"/>
          <w:b/>
          <w:i/>
          <w:iCs/>
          <w:spacing w:val="-3"/>
          <w:sz w:val="24"/>
          <w:szCs w:val="27"/>
          <w:lang w:val="es-ES_tradnl"/>
        </w:rPr>
        <w:t>ARTÍCULO 161.-</w:t>
      </w:r>
      <w:r w:rsidRPr="006C4D58">
        <w:rPr>
          <w:rFonts w:ascii="Arial" w:hAnsi="Arial" w:cs="Arial"/>
          <w:bCs/>
          <w:i/>
          <w:iCs/>
          <w:spacing w:val="-3"/>
          <w:sz w:val="24"/>
          <w:szCs w:val="27"/>
          <w:lang w:val="es-ES_tradnl"/>
        </w:rPr>
        <w:t xml:space="preserve"> Es improcedente el juicio ante el Tribunal contra actos:</w:t>
      </w:r>
    </w:p>
    <w:p w14:paraId="0BB8C0BE" w14:textId="77777777" w:rsidR="00DC0992" w:rsidRPr="006C4D58" w:rsidRDefault="00DC0992" w:rsidP="00DC0992">
      <w:pPr>
        <w:ind w:left="567"/>
        <w:jc w:val="both"/>
        <w:rPr>
          <w:rFonts w:ascii="Arial" w:hAnsi="Arial" w:cs="Arial"/>
          <w:bCs/>
          <w:i/>
          <w:iCs/>
          <w:spacing w:val="-3"/>
          <w:sz w:val="24"/>
          <w:szCs w:val="27"/>
          <w:lang w:val="es-ES_tradnl"/>
        </w:rPr>
      </w:pPr>
      <w:r w:rsidRPr="006C4D58">
        <w:rPr>
          <w:rFonts w:ascii="Arial" w:hAnsi="Arial" w:cs="Arial"/>
          <w:bCs/>
          <w:i/>
          <w:iCs/>
          <w:spacing w:val="-3"/>
          <w:sz w:val="24"/>
          <w:szCs w:val="27"/>
          <w:lang w:val="es-ES_tradnl"/>
        </w:rPr>
        <w:t>[…]</w:t>
      </w:r>
    </w:p>
    <w:p w14:paraId="49C6EE72" w14:textId="77777777" w:rsidR="00DC0992" w:rsidRPr="006C4D58" w:rsidRDefault="00DC0992" w:rsidP="00DC0992">
      <w:pPr>
        <w:ind w:left="567"/>
        <w:jc w:val="both"/>
        <w:rPr>
          <w:rFonts w:ascii="Arial" w:hAnsi="Arial" w:cs="Arial"/>
          <w:bCs/>
          <w:i/>
          <w:iCs/>
          <w:spacing w:val="-3"/>
          <w:sz w:val="24"/>
          <w:szCs w:val="27"/>
          <w:lang w:val="es-ES_tradnl"/>
        </w:rPr>
      </w:pPr>
      <w:r w:rsidRPr="006C4D58">
        <w:rPr>
          <w:rFonts w:ascii="Arial" w:hAnsi="Arial" w:cs="Arial"/>
          <w:bCs/>
          <w:i/>
          <w:iCs/>
          <w:spacing w:val="-3"/>
          <w:sz w:val="24"/>
          <w:szCs w:val="27"/>
          <w:lang w:val="es-ES_tradnl"/>
        </w:rPr>
        <w:t>V. Contra actos consumados de un modo irreparable;</w:t>
      </w:r>
    </w:p>
    <w:p w14:paraId="6FB678CF" w14:textId="77777777" w:rsidR="00DC0992" w:rsidRPr="006C4D58" w:rsidRDefault="00DC0992" w:rsidP="00DC0992">
      <w:pPr>
        <w:ind w:left="567"/>
        <w:jc w:val="both"/>
        <w:rPr>
          <w:rFonts w:ascii="Arial" w:hAnsi="Arial" w:cs="Arial"/>
          <w:bCs/>
          <w:i/>
          <w:iCs/>
          <w:spacing w:val="-3"/>
          <w:sz w:val="24"/>
          <w:szCs w:val="27"/>
          <w:lang w:val="es-ES_tradnl"/>
        </w:rPr>
      </w:pPr>
      <w:r w:rsidRPr="006C4D58">
        <w:rPr>
          <w:rFonts w:ascii="Arial" w:hAnsi="Arial" w:cs="Arial"/>
          <w:bCs/>
          <w:i/>
          <w:iCs/>
          <w:spacing w:val="-3"/>
          <w:sz w:val="24"/>
          <w:szCs w:val="27"/>
          <w:lang w:val="es-ES_tradnl"/>
        </w:rPr>
        <w:t>[…]</w:t>
      </w:r>
    </w:p>
    <w:p w14:paraId="46457E88" w14:textId="77777777" w:rsidR="00DC0992" w:rsidRPr="006C4D58" w:rsidRDefault="00DC0992" w:rsidP="00DC0992">
      <w:pPr>
        <w:ind w:left="567"/>
        <w:jc w:val="both"/>
        <w:rPr>
          <w:rFonts w:ascii="Arial" w:hAnsi="Arial" w:cs="Arial"/>
          <w:bCs/>
          <w:i/>
          <w:iCs/>
          <w:spacing w:val="-3"/>
          <w:sz w:val="24"/>
          <w:szCs w:val="27"/>
          <w:lang w:val="es-ES_tradnl"/>
        </w:rPr>
      </w:pPr>
      <w:r w:rsidRPr="006C4D58">
        <w:rPr>
          <w:rFonts w:ascii="Arial" w:hAnsi="Arial" w:cs="Arial"/>
          <w:b/>
          <w:i/>
          <w:iCs/>
          <w:spacing w:val="-3"/>
          <w:sz w:val="24"/>
          <w:szCs w:val="27"/>
          <w:lang w:val="es-ES_tradnl"/>
        </w:rPr>
        <w:lastRenderedPageBreak/>
        <w:t>ARTÍCULO 162.-</w:t>
      </w:r>
      <w:r w:rsidRPr="006C4D58">
        <w:rPr>
          <w:rFonts w:ascii="Arial" w:hAnsi="Arial" w:cs="Arial"/>
          <w:bCs/>
          <w:i/>
          <w:iCs/>
          <w:spacing w:val="-3"/>
          <w:sz w:val="24"/>
          <w:szCs w:val="27"/>
          <w:lang w:val="es-ES_tradnl"/>
        </w:rPr>
        <w:t xml:space="preserve"> Procede el sobreseimiento del juicio:</w:t>
      </w:r>
    </w:p>
    <w:p w14:paraId="7313FF72" w14:textId="77777777" w:rsidR="00DC0992" w:rsidRPr="006C4D58" w:rsidRDefault="00DC0992" w:rsidP="00DC0992">
      <w:pPr>
        <w:ind w:left="567"/>
        <w:jc w:val="both"/>
        <w:rPr>
          <w:rFonts w:ascii="Arial" w:hAnsi="Arial" w:cs="Arial"/>
          <w:bCs/>
          <w:i/>
          <w:iCs/>
          <w:spacing w:val="-3"/>
          <w:sz w:val="24"/>
          <w:szCs w:val="27"/>
          <w:lang w:val="es-ES_tradnl"/>
        </w:rPr>
      </w:pPr>
      <w:r w:rsidRPr="006C4D58">
        <w:rPr>
          <w:rFonts w:ascii="Arial" w:hAnsi="Arial" w:cs="Arial"/>
          <w:bCs/>
          <w:i/>
          <w:iCs/>
          <w:spacing w:val="-3"/>
          <w:sz w:val="24"/>
          <w:szCs w:val="27"/>
          <w:lang w:val="es-ES_tradnl"/>
        </w:rPr>
        <w:t>[…]</w:t>
      </w:r>
    </w:p>
    <w:p w14:paraId="613BA2A9" w14:textId="77777777" w:rsidR="00DC0992" w:rsidRPr="006C4D58" w:rsidRDefault="00DC0992" w:rsidP="00DC0992">
      <w:pPr>
        <w:ind w:left="567"/>
        <w:jc w:val="both"/>
        <w:rPr>
          <w:rFonts w:ascii="Arial" w:hAnsi="Arial" w:cs="Arial"/>
          <w:bCs/>
          <w:i/>
          <w:iCs/>
          <w:spacing w:val="-3"/>
          <w:sz w:val="24"/>
          <w:szCs w:val="27"/>
          <w:lang w:val="es-ES_tradnl"/>
        </w:rPr>
      </w:pPr>
      <w:r w:rsidRPr="006C4D58">
        <w:rPr>
          <w:rFonts w:ascii="Arial" w:hAnsi="Arial" w:cs="Arial"/>
          <w:bCs/>
          <w:i/>
          <w:iCs/>
          <w:spacing w:val="-3"/>
          <w:sz w:val="24"/>
          <w:szCs w:val="27"/>
          <w:lang w:val="es-ES_tradnl"/>
        </w:rPr>
        <w:t>II. Cuando durante la tramitación del procedimiento sobreviniere alguna de las causas de improcedencia a que se refiere el artículo anterior;</w:t>
      </w:r>
    </w:p>
    <w:p w14:paraId="47DC1D1D" w14:textId="77777777" w:rsidR="00DC0992" w:rsidRPr="006C4D58" w:rsidRDefault="00DC0992" w:rsidP="00DC0992">
      <w:pPr>
        <w:ind w:left="567"/>
        <w:jc w:val="both"/>
        <w:rPr>
          <w:rFonts w:ascii="Arial" w:hAnsi="Arial" w:cs="Arial"/>
          <w:bCs/>
          <w:i/>
          <w:iCs/>
          <w:spacing w:val="-3"/>
          <w:sz w:val="24"/>
          <w:szCs w:val="27"/>
          <w:lang w:val="es-ES_tradnl"/>
        </w:rPr>
      </w:pPr>
      <w:r w:rsidRPr="006C4D58">
        <w:rPr>
          <w:rFonts w:ascii="Arial" w:hAnsi="Arial" w:cs="Arial"/>
          <w:bCs/>
          <w:i/>
          <w:iCs/>
          <w:spacing w:val="-3"/>
          <w:sz w:val="24"/>
          <w:szCs w:val="27"/>
          <w:lang w:val="es-ES_tradnl"/>
        </w:rPr>
        <w:t>[…]</w:t>
      </w:r>
      <w:r>
        <w:rPr>
          <w:rFonts w:ascii="Arial" w:hAnsi="Arial" w:cs="Arial"/>
          <w:bCs/>
          <w:i/>
          <w:iCs/>
          <w:spacing w:val="-3"/>
          <w:sz w:val="24"/>
          <w:szCs w:val="27"/>
          <w:lang w:val="es-ES_tradnl"/>
        </w:rPr>
        <w:t>”</w:t>
      </w:r>
    </w:p>
    <w:p w14:paraId="6255B4B4" w14:textId="4D63DD9D" w:rsidR="00DC0992" w:rsidRDefault="00DC0992" w:rsidP="00DC0992">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Lo anterior es así, dado que como se expuesto en párrafos anteriores, </w:t>
      </w:r>
      <w:r w:rsidR="00EB7BBB">
        <w:rPr>
          <w:rFonts w:ascii="Arial" w:hAnsi="Arial" w:cs="Arial"/>
          <w:bCs/>
          <w:spacing w:val="-3"/>
          <w:sz w:val="24"/>
          <w:szCs w:val="27"/>
          <w:lang w:val="es-ES_tradnl"/>
        </w:rPr>
        <w:t xml:space="preserve">la pretensión que se busca en el presente juicio, ya fue anteriormente satisfecha mediante sentencia de fecha </w:t>
      </w:r>
      <w:r w:rsidR="000E101F">
        <w:rPr>
          <w:rFonts w:ascii="Arial" w:hAnsi="Arial" w:cs="Arial"/>
          <w:bCs/>
          <w:spacing w:val="-3"/>
          <w:sz w:val="24"/>
          <w:szCs w:val="27"/>
          <w:lang w:val="es-ES_tradnl"/>
        </w:rPr>
        <w:t>*****</w:t>
      </w:r>
      <w:r w:rsidR="00EB7BBB">
        <w:rPr>
          <w:rFonts w:ascii="Arial" w:hAnsi="Arial" w:cs="Arial"/>
          <w:bCs/>
          <w:spacing w:val="-3"/>
          <w:sz w:val="24"/>
          <w:szCs w:val="27"/>
          <w:lang w:val="es-ES_tradnl"/>
        </w:rPr>
        <w:t xml:space="preserve"> de </w:t>
      </w:r>
      <w:r w:rsidR="000E101F">
        <w:rPr>
          <w:rFonts w:ascii="Arial" w:hAnsi="Arial" w:cs="Arial"/>
          <w:bCs/>
          <w:spacing w:val="-3"/>
          <w:sz w:val="24"/>
          <w:szCs w:val="27"/>
          <w:lang w:val="es-ES_tradnl"/>
        </w:rPr>
        <w:t>****</w:t>
      </w:r>
      <w:r w:rsidR="00EB7BBB">
        <w:rPr>
          <w:rFonts w:ascii="Arial" w:hAnsi="Arial" w:cs="Arial"/>
          <w:bCs/>
          <w:spacing w:val="-3"/>
          <w:sz w:val="24"/>
          <w:szCs w:val="27"/>
          <w:lang w:val="es-ES_tradnl"/>
        </w:rPr>
        <w:t xml:space="preserve"> de dos mil </w:t>
      </w:r>
      <w:r w:rsidR="000E101F">
        <w:rPr>
          <w:rFonts w:ascii="Arial" w:hAnsi="Arial" w:cs="Arial"/>
          <w:bCs/>
          <w:spacing w:val="-3"/>
          <w:sz w:val="24"/>
          <w:szCs w:val="27"/>
          <w:lang w:val="es-ES_tradnl"/>
        </w:rPr>
        <w:t>****</w:t>
      </w:r>
      <w:r w:rsidR="005C7D67">
        <w:rPr>
          <w:rFonts w:ascii="Arial" w:hAnsi="Arial" w:cs="Arial"/>
          <w:bCs/>
          <w:spacing w:val="-3"/>
          <w:sz w:val="24"/>
          <w:szCs w:val="27"/>
          <w:lang w:val="es-ES_tradnl"/>
        </w:rPr>
        <w:t>,</w:t>
      </w:r>
      <w:r w:rsidR="00EB7BBB">
        <w:rPr>
          <w:rFonts w:ascii="Arial" w:hAnsi="Arial" w:cs="Arial"/>
          <w:bCs/>
          <w:spacing w:val="-3"/>
          <w:sz w:val="24"/>
          <w:szCs w:val="27"/>
          <w:lang w:val="es-ES_tradnl"/>
        </w:rPr>
        <w:t xml:space="preserve"> dictada en el </w:t>
      </w:r>
      <w:r w:rsidR="00EB7BBB" w:rsidRPr="000D118E">
        <w:rPr>
          <w:rFonts w:ascii="Arial" w:hAnsi="Arial" w:cs="Arial"/>
          <w:bCs/>
          <w:spacing w:val="-3"/>
          <w:sz w:val="24"/>
          <w:szCs w:val="27"/>
          <w:lang w:val="es-ES_tradnl"/>
        </w:rPr>
        <w:t>Juicio</w:t>
      </w:r>
      <w:r w:rsidR="00EB7BBB">
        <w:rPr>
          <w:rFonts w:ascii="Arial" w:hAnsi="Arial" w:cs="Arial"/>
          <w:bCs/>
          <w:spacing w:val="-3"/>
          <w:sz w:val="24"/>
          <w:szCs w:val="27"/>
          <w:lang w:val="es-ES_tradnl"/>
        </w:rPr>
        <w:t xml:space="preserve"> número</w:t>
      </w:r>
      <w:r w:rsidR="000E101F">
        <w:rPr>
          <w:rFonts w:ascii="Arial" w:hAnsi="Arial" w:cs="Arial"/>
          <w:bCs/>
          <w:spacing w:val="-3"/>
          <w:sz w:val="24"/>
          <w:szCs w:val="27"/>
          <w:lang w:val="es-ES_tradnl"/>
        </w:rPr>
        <w:t xml:space="preserve"> *****</w:t>
      </w:r>
      <w:r w:rsidR="005C7D67">
        <w:rPr>
          <w:rFonts w:ascii="Arial" w:hAnsi="Arial" w:cs="Arial"/>
          <w:bCs/>
          <w:spacing w:val="-3"/>
          <w:sz w:val="24"/>
          <w:szCs w:val="27"/>
          <w:lang w:val="es-ES_tradnl"/>
        </w:rPr>
        <w:t>,</w:t>
      </w:r>
      <w:r w:rsidR="00EB7BBB" w:rsidRPr="000D118E">
        <w:rPr>
          <w:rFonts w:ascii="Arial" w:hAnsi="Arial" w:cs="Arial"/>
          <w:bCs/>
          <w:spacing w:val="-3"/>
          <w:sz w:val="24"/>
          <w:szCs w:val="27"/>
          <w:lang w:val="es-ES_tradnl"/>
        </w:rPr>
        <w:t xml:space="preserve"> del índice de la Sexta Sala Unitaria de Primera Instancia del Tribunal de lo Contencioso Administrativo y de Cuentas del Poder Judicial del Estado de Oaxaca (antes </w:t>
      </w:r>
      <w:r w:rsidR="000E101F">
        <w:rPr>
          <w:rFonts w:ascii="Arial" w:hAnsi="Arial" w:cs="Arial"/>
          <w:bCs/>
          <w:spacing w:val="-3"/>
          <w:sz w:val="24"/>
          <w:szCs w:val="27"/>
          <w:lang w:val="es-ES_tradnl"/>
        </w:rPr>
        <w:t>*****</w:t>
      </w:r>
      <w:r w:rsidR="00EB7BBB" w:rsidRPr="000D118E">
        <w:rPr>
          <w:rFonts w:ascii="Arial" w:hAnsi="Arial" w:cs="Arial"/>
          <w:bCs/>
          <w:spacing w:val="-3"/>
          <w:sz w:val="24"/>
          <w:szCs w:val="27"/>
          <w:lang w:val="es-ES_tradnl"/>
        </w:rPr>
        <w:t>, radicado en la</w:t>
      </w:r>
      <w:r w:rsidR="005C7D67">
        <w:rPr>
          <w:rFonts w:ascii="Arial" w:hAnsi="Arial" w:cs="Arial"/>
          <w:bCs/>
          <w:spacing w:val="-3"/>
          <w:sz w:val="24"/>
          <w:szCs w:val="27"/>
          <w:lang w:val="es-ES_tradnl"/>
        </w:rPr>
        <w:t xml:space="preserve"> entonces </w:t>
      </w:r>
      <w:r w:rsidR="00EB7BBB" w:rsidRPr="000D118E">
        <w:rPr>
          <w:rFonts w:ascii="Arial" w:hAnsi="Arial" w:cs="Arial"/>
          <w:bCs/>
          <w:spacing w:val="-3"/>
          <w:sz w:val="24"/>
          <w:szCs w:val="27"/>
          <w:lang w:val="es-ES_tradnl"/>
        </w:rPr>
        <w:t>Segunda Sala Unitaria del Tribunal de lo Contencioso Administrativo para el Estado de Oaxaca)</w:t>
      </w:r>
      <w:r>
        <w:rPr>
          <w:rFonts w:ascii="Arial" w:hAnsi="Arial" w:cs="Arial"/>
          <w:bCs/>
          <w:spacing w:val="-3"/>
          <w:sz w:val="24"/>
          <w:szCs w:val="27"/>
          <w:lang w:val="es-ES_tradnl"/>
        </w:rPr>
        <w:t xml:space="preserve">, de modo que conforme a la actualización de la </w:t>
      </w:r>
      <w:r w:rsidRPr="00A20335">
        <w:rPr>
          <w:rFonts w:ascii="Arial" w:hAnsi="Arial" w:cs="Arial"/>
          <w:b/>
          <w:spacing w:val="-3"/>
          <w:sz w:val="24"/>
          <w:szCs w:val="27"/>
          <w:lang w:val="es-ES_tradnl"/>
        </w:rPr>
        <w:t>COSA JUZGADA REFLEJA</w:t>
      </w:r>
      <w:r>
        <w:rPr>
          <w:rFonts w:ascii="Arial" w:hAnsi="Arial" w:cs="Arial"/>
          <w:bCs/>
          <w:spacing w:val="-3"/>
          <w:sz w:val="24"/>
          <w:szCs w:val="27"/>
          <w:lang w:val="es-ES_tradnl"/>
        </w:rPr>
        <w:t>, esta Sala Unitaria se encuentra impedida para entrar al análisis del fondo de lo planteado.</w:t>
      </w:r>
    </w:p>
    <w:p w14:paraId="0D024F0F" w14:textId="2C6ECDF7" w:rsidR="00DC0992" w:rsidRDefault="00DC0992" w:rsidP="00DC0992">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En consecuencia</w:t>
      </w:r>
      <w:r w:rsidR="00AA61C0">
        <w:rPr>
          <w:rFonts w:ascii="Arial" w:hAnsi="Arial" w:cs="Arial"/>
          <w:bCs/>
          <w:spacing w:val="-3"/>
          <w:sz w:val="24"/>
          <w:szCs w:val="27"/>
          <w:lang w:val="es-ES_tradnl"/>
        </w:rPr>
        <w:t>,</w:t>
      </w:r>
      <w:r>
        <w:rPr>
          <w:rFonts w:ascii="Arial" w:hAnsi="Arial" w:cs="Arial"/>
          <w:bCs/>
          <w:spacing w:val="-3"/>
          <w:sz w:val="24"/>
          <w:szCs w:val="27"/>
          <w:lang w:val="es-ES_tradnl"/>
        </w:rPr>
        <w:t xml:space="preserve"> esta Sala Unitaria determina que se actualizan </w:t>
      </w:r>
      <w:r>
        <w:rPr>
          <w:rFonts w:ascii="Arial" w:hAnsi="Arial" w:cs="Arial"/>
          <w:sz w:val="24"/>
          <w:szCs w:val="24"/>
        </w:rPr>
        <w:t xml:space="preserve">las causales de improcedencia y sobreseimiento contenidas en los artículos </w:t>
      </w:r>
      <w:r>
        <w:rPr>
          <w:rFonts w:ascii="Arial" w:hAnsi="Arial" w:cs="Arial"/>
          <w:bCs/>
          <w:spacing w:val="-3"/>
          <w:sz w:val="24"/>
          <w:szCs w:val="27"/>
          <w:lang w:val="es-ES_tradnl"/>
        </w:rPr>
        <w:t>161 fracción V y 162 fracción II de la Ley de Procedimiento y Justicia Administrativa para el Estado de Oaxaca</w:t>
      </w:r>
      <w:r w:rsidR="00AA61C0">
        <w:rPr>
          <w:rFonts w:ascii="Arial" w:hAnsi="Arial" w:cs="Arial"/>
          <w:sz w:val="24"/>
          <w:szCs w:val="24"/>
        </w:rPr>
        <w:t>;</w:t>
      </w:r>
      <w:r>
        <w:rPr>
          <w:rFonts w:ascii="Arial" w:hAnsi="Arial" w:cs="Arial"/>
          <w:sz w:val="24"/>
          <w:szCs w:val="24"/>
        </w:rPr>
        <w:t xml:space="preserve"> por tanto,</w:t>
      </w:r>
      <w:r>
        <w:rPr>
          <w:rFonts w:ascii="Arial" w:hAnsi="Arial" w:cs="Arial"/>
          <w:bCs/>
          <w:spacing w:val="-3"/>
          <w:sz w:val="24"/>
          <w:szCs w:val="27"/>
          <w:lang w:val="es-ES_tradnl"/>
        </w:rPr>
        <w:t xml:space="preserve"> </w:t>
      </w:r>
      <w:bookmarkStart w:id="2" w:name="_Hlk125576789"/>
      <w:r>
        <w:rPr>
          <w:rFonts w:ascii="Arial" w:hAnsi="Arial" w:cs="Arial"/>
          <w:bCs/>
          <w:spacing w:val="-3"/>
          <w:sz w:val="24"/>
          <w:szCs w:val="27"/>
          <w:lang w:val="es-ES_tradnl"/>
        </w:rPr>
        <w:t xml:space="preserve">se </w:t>
      </w:r>
      <w:r w:rsidRPr="0050060C">
        <w:rPr>
          <w:rFonts w:ascii="Arial" w:hAnsi="Arial" w:cs="Arial"/>
          <w:b/>
          <w:spacing w:val="-3"/>
          <w:sz w:val="24"/>
          <w:szCs w:val="27"/>
          <w:lang w:val="es-ES_tradnl"/>
        </w:rPr>
        <w:t>SOBRESEE</w:t>
      </w:r>
      <w:r>
        <w:rPr>
          <w:rFonts w:ascii="Arial" w:hAnsi="Arial" w:cs="Arial"/>
          <w:bCs/>
          <w:spacing w:val="-3"/>
          <w:sz w:val="24"/>
          <w:szCs w:val="27"/>
          <w:lang w:val="es-ES_tradnl"/>
        </w:rPr>
        <w:t xml:space="preserve"> </w:t>
      </w:r>
      <w:r w:rsidRPr="009058BF">
        <w:rPr>
          <w:rFonts w:ascii="Arial" w:hAnsi="Arial" w:cs="Arial"/>
          <w:b/>
          <w:spacing w:val="-3"/>
          <w:sz w:val="24"/>
          <w:szCs w:val="27"/>
          <w:lang w:val="es-ES_tradnl"/>
        </w:rPr>
        <w:t>EL PRESENTE JUICIO</w:t>
      </w:r>
      <w:r>
        <w:rPr>
          <w:rFonts w:ascii="Arial" w:hAnsi="Arial" w:cs="Arial"/>
          <w:bCs/>
          <w:spacing w:val="-3"/>
          <w:sz w:val="24"/>
          <w:szCs w:val="27"/>
          <w:lang w:val="es-ES_tradnl"/>
        </w:rPr>
        <w:t xml:space="preserve">, respecto del acto impugnado consistente en </w:t>
      </w:r>
      <w:r>
        <w:rPr>
          <w:rFonts w:ascii="Arial" w:hAnsi="Arial" w:cs="Arial"/>
          <w:sz w:val="24"/>
          <w:szCs w:val="24"/>
        </w:rPr>
        <w:t xml:space="preserve">el </w:t>
      </w:r>
      <w:r w:rsidR="008C625B">
        <w:rPr>
          <w:rFonts w:ascii="Arial" w:hAnsi="Arial" w:cs="Arial"/>
          <w:bCs/>
          <w:spacing w:val="-3"/>
          <w:sz w:val="24"/>
          <w:szCs w:val="27"/>
          <w:lang w:val="es-ES_tradnl"/>
        </w:rPr>
        <w:t>oficio número OP/</w:t>
      </w:r>
      <w:r w:rsidR="004D41B7">
        <w:rPr>
          <w:rFonts w:ascii="Arial" w:hAnsi="Arial" w:cs="Arial"/>
          <w:bCs/>
          <w:spacing w:val="-3"/>
          <w:sz w:val="24"/>
          <w:szCs w:val="27"/>
          <w:lang w:val="es-ES_tradnl"/>
        </w:rPr>
        <w:t>****</w:t>
      </w:r>
      <w:r w:rsidR="008C625B">
        <w:rPr>
          <w:rFonts w:ascii="Arial" w:hAnsi="Arial" w:cs="Arial"/>
          <w:bCs/>
          <w:spacing w:val="-3"/>
          <w:sz w:val="24"/>
          <w:szCs w:val="27"/>
          <w:lang w:val="es-ES_tradnl"/>
        </w:rPr>
        <w:t>/</w:t>
      </w:r>
      <w:r w:rsidR="004D41B7">
        <w:rPr>
          <w:rFonts w:ascii="Arial" w:hAnsi="Arial" w:cs="Arial"/>
          <w:bCs/>
          <w:spacing w:val="-3"/>
          <w:sz w:val="24"/>
          <w:szCs w:val="27"/>
          <w:lang w:val="es-ES_tradnl"/>
        </w:rPr>
        <w:t>****</w:t>
      </w:r>
      <w:r w:rsidR="008C625B">
        <w:rPr>
          <w:rFonts w:ascii="Arial" w:hAnsi="Arial" w:cs="Arial"/>
          <w:bCs/>
          <w:spacing w:val="-3"/>
          <w:sz w:val="24"/>
          <w:szCs w:val="27"/>
          <w:lang w:val="es-ES_tradnl"/>
        </w:rPr>
        <w:t>/</w:t>
      </w:r>
      <w:r w:rsidR="004D41B7">
        <w:rPr>
          <w:rFonts w:ascii="Arial" w:hAnsi="Arial" w:cs="Arial"/>
          <w:bCs/>
          <w:spacing w:val="-3"/>
          <w:sz w:val="24"/>
          <w:szCs w:val="27"/>
          <w:lang w:val="es-ES_tradnl"/>
        </w:rPr>
        <w:t>****</w:t>
      </w:r>
      <w:r w:rsidR="008C625B">
        <w:rPr>
          <w:rFonts w:ascii="Arial" w:hAnsi="Arial" w:cs="Arial"/>
          <w:bCs/>
          <w:spacing w:val="-3"/>
          <w:sz w:val="24"/>
          <w:szCs w:val="27"/>
          <w:lang w:val="es-ES_tradnl"/>
        </w:rPr>
        <w:t xml:space="preserve">, de fecha </w:t>
      </w:r>
      <w:r w:rsidR="004D41B7">
        <w:rPr>
          <w:rFonts w:ascii="Arial" w:hAnsi="Arial" w:cs="Arial"/>
          <w:bCs/>
          <w:spacing w:val="-3"/>
          <w:sz w:val="24"/>
          <w:szCs w:val="27"/>
          <w:lang w:val="es-ES_tradnl"/>
        </w:rPr>
        <w:t>*****</w:t>
      </w:r>
      <w:r w:rsidR="008C625B">
        <w:rPr>
          <w:rFonts w:ascii="Arial" w:hAnsi="Arial" w:cs="Arial"/>
          <w:bCs/>
          <w:spacing w:val="-3"/>
          <w:sz w:val="24"/>
          <w:szCs w:val="27"/>
          <w:lang w:val="es-ES_tradnl"/>
        </w:rPr>
        <w:t xml:space="preserve"> de </w:t>
      </w:r>
      <w:r w:rsidR="004D41B7">
        <w:rPr>
          <w:rFonts w:ascii="Arial" w:hAnsi="Arial" w:cs="Arial"/>
          <w:bCs/>
          <w:spacing w:val="-3"/>
          <w:sz w:val="24"/>
          <w:szCs w:val="27"/>
          <w:lang w:val="es-ES_tradnl"/>
        </w:rPr>
        <w:t>*****</w:t>
      </w:r>
      <w:r w:rsidR="008C625B">
        <w:rPr>
          <w:rFonts w:ascii="Arial" w:hAnsi="Arial" w:cs="Arial"/>
          <w:bCs/>
          <w:spacing w:val="-3"/>
          <w:sz w:val="24"/>
          <w:szCs w:val="27"/>
          <w:lang w:val="es-ES_tradnl"/>
        </w:rPr>
        <w:t xml:space="preserve"> de dos mil </w:t>
      </w:r>
      <w:r w:rsidR="004D41B7">
        <w:rPr>
          <w:rFonts w:ascii="Arial" w:hAnsi="Arial" w:cs="Arial"/>
          <w:bCs/>
          <w:spacing w:val="-3"/>
          <w:sz w:val="24"/>
          <w:szCs w:val="27"/>
          <w:lang w:val="es-ES_tradnl"/>
        </w:rPr>
        <w:t>*****</w:t>
      </w:r>
      <w:r w:rsidRPr="00DB4C41">
        <w:rPr>
          <w:rFonts w:ascii="Arial" w:hAnsi="Arial" w:cs="Arial"/>
          <w:bCs/>
          <w:spacing w:val="-3"/>
          <w:sz w:val="24"/>
          <w:szCs w:val="27"/>
          <w:lang w:val="es-ES_tradnl"/>
        </w:rPr>
        <w:t>, emitido por el Director General de la Oficina de Pensiones del Estado de Oaxaca</w:t>
      </w:r>
      <w:bookmarkEnd w:id="2"/>
      <w:r w:rsidR="00A764A1">
        <w:rPr>
          <w:rFonts w:ascii="Arial" w:hAnsi="Arial" w:cs="Arial"/>
          <w:bCs/>
          <w:spacing w:val="-3"/>
          <w:sz w:val="24"/>
          <w:szCs w:val="27"/>
          <w:lang w:val="es-ES_tradnl"/>
        </w:rPr>
        <w:t>.</w:t>
      </w:r>
    </w:p>
    <w:p w14:paraId="7184F7D7" w14:textId="46FDC3C6" w:rsidR="009375E8" w:rsidRDefault="009375E8" w:rsidP="00DC0992">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Ahora, por lo que hace al acto impugnado consistente </w:t>
      </w:r>
      <w:r w:rsidR="005B70C8">
        <w:rPr>
          <w:rFonts w:ascii="Arial" w:hAnsi="Arial" w:cs="Arial"/>
          <w:bCs/>
          <w:spacing w:val="-3"/>
          <w:sz w:val="24"/>
          <w:szCs w:val="27"/>
          <w:lang w:val="es-ES_tradnl"/>
        </w:rPr>
        <w:t>en el oficio número OP/DG/</w:t>
      </w:r>
      <w:r w:rsidR="00B81A75">
        <w:rPr>
          <w:rFonts w:ascii="Arial" w:hAnsi="Arial" w:cs="Arial"/>
          <w:bCs/>
          <w:spacing w:val="-3"/>
          <w:sz w:val="24"/>
          <w:szCs w:val="27"/>
          <w:lang w:val="es-ES_tradnl"/>
        </w:rPr>
        <w:t>*****</w:t>
      </w:r>
      <w:r w:rsidR="005B70C8">
        <w:rPr>
          <w:rFonts w:ascii="Arial" w:hAnsi="Arial" w:cs="Arial"/>
          <w:bCs/>
          <w:spacing w:val="-3"/>
          <w:sz w:val="24"/>
          <w:szCs w:val="27"/>
          <w:lang w:val="es-ES_tradnl"/>
        </w:rPr>
        <w:t>/</w:t>
      </w:r>
      <w:r w:rsidR="00B81A75">
        <w:rPr>
          <w:rFonts w:ascii="Arial" w:hAnsi="Arial" w:cs="Arial"/>
          <w:bCs/>
          <w:spacing w:val="-3"/>
          <w:sz w:val="24"/>
          <w:szCs w:val="27"/>
          <w:lang w:val="es-ES_tradnl"/>
        </w:rPr>
        <w:t>****</w:t>
      </w:r>
      <w:r w:rsidR="005B70C8">
        <w:rPr>
          <w:rFonts w:ascii="Arial" w:hAnsi="Arial" w:cs="Arial"/>
          <w:bCs/>
          <w:spacing w:val="-3"/>
          <w:sz w:val="24"/>
          <w:szCs w:val="27"/>
          <w:lang w:val="es-ES_tradnl"/>
        </w:rPr>
        <w:t xml:space="preserve">, de fecha </w:t>
      </w:r>
      <w:r w:rsidR="00B81A75">
        <w:rPr>
          <w:rFonts w:ascii="Arial" w:hAnsi="Arial" w:cs="Arial"/>
          <w:bCs/>
          <w:spacing w:val="-3"/>
          <w:sz w:val="24"/>
          <w:szCs w:val="27"/>
          <w:lang w:val="es-ES_tradnl"/>
        </w:rPr>
        <w:t>*****</w:t>
      </w:r>
      <w:r w:rsidR="005B70C8">
        <w:rPr>
          <w:rFonts w:ascii="Arial" w:hAnsi="Arial" w:cs="Arial"/>
          <w:bCs/>
          <w:spacing w:val="-3"/>
          <w:sz w:val="24"/>
          <w:szCs w:val="27"/>
          <w:lang w:val="es-ES_tradnl"/>
        </w:rPr>
        <w:t xml:space="preserve"> de </w:t>
      </w:r>
      <w:r w:rsidR="00B81A75">
        <w:rPr>
          <w:rFonts w:ascii="Arial" w:hAnsi="Arial" w:cs="Arial"/>
          <w:bCs/>
          <w:spacing w:val="-3"/>
          <w:sz w:val="24"/>
          <w:szCs w:val="27"/>
          <w:lang w:val="es-ES_tradnl"/>
        </w:rPr>
        <w:t>*****</w:t>
      </w:r>
      <w:r w:rsidR="005B70C8">
        <w:rPr>
          <w:rFonts w:ascii="Arial" w:hAnsi="Arial" w:cs="Arial"/>
          <w:bCs/>
          <w:spacing w:val="-3"/>
          <w:sz w:val="24"/>
          <w:szCs w:val="27"/>
          <w:lang w:val="es-ES_tradnl"/>
        </w:rPr>
        <w:t xml:space="preserve"> de dos mil </w:t>
      </w:r>
      <w:r w:rsidR="00B81A75">
        <w:rPr>
          <w:rFonts w:ascii="Arial" w:hAnsi="Arial" w:cs="Arial"/>
          <w:bCs/>
          <w:spacing w:val="-3"/>
          <w:sz w:val="24"/>
          <w:szCs w:val="27"/>
          <w:lang w:val="es-ES_tradnl"/>
        </w:rPr>
        <w:t>*****</w:t>
      </w:r>
      <w:r w:rsidR="005B70C8" w:rsidRPr="00DB4C41">
        <w:rPr>
          <w:rFonts w:ascii="Arial" w:hAnsi="Arial" w:cs="Arial"/>
          <w:bCs/>
          <w:spacing w:val="-3"/>
          <w:sz w:val="24"/>
          <w:szCs w:val="27"/>
          <w:lang w:val="es-ES_tradnl"/>
        </w:rPr>
        <w:t>, emitido por el Director General de la Oficina de Pensiones del Estado de Oaxaca</w:t>
      </w:r>
      <w:r w:rsidR="005B70C8">
        <w:rPr>
          <w:rFonts w:ascii="Arial" w:hAnsi="Arial" w:cs="Arial"/>
          <w:bCs/>
          <w:spacing w:val="-3"/>
          <w:sz w:val="24"/>
          <w:szCs w:val="27"/>
          <w:lang w:val="es-ES_tradnl"/>
        </w:rPr>
        <w:t xml:space="preserve">, la autoridad demandada manifiesta que se actualiza la excepción de prescripción, toda vez que dicho acto impugnado fue notificado al actor el día </w:t>
      </w:r>
      <w:r w:rsidR="00B81A75">
        <w:rPr>
          <w:rFonts w:ascii="Arial" w:hAnsi="Arial" w:cs="Arial"/>
          <w:bCs/>
          <w:spacing w:val="-3"/>
          <w:sz w:val="24"/>
          <w:szCs w:val="27"/>
          <w:lang w:val="es-ES_tradnl"/>
        </w:rPr>
        <w:t>*****</w:t>
      </w:r>
      <w:r w:rsidR="005B70C8">
        <w:rPr>
          <w:rFonts w:ascii="Arial" w:hAnsi="Arial" w:cs="Arial"/>
          <w:bCs/>
          <w:spacing w:val="-3"/>
          <w:sz w:val="24"/>
          <w:szCs w:val="27"/>
          <w:lang w:val="es-ES_tradnl"/>
        </w:rPr>
        <w:t xml:space="preserve"> de </w:t>
      </w:r>
      <w:r w:rsidR="00B81A75">
        <w:rPr>
          <w:rFonts w:ascii="Arial" w:hAnsi="Arial" w:cs="Arial"/>
          <w:bCs/>
          <w:spacing w:val="-3"/>
          <w:sz w:val="24"/>
          <w:szCs w:val="27"/>
          <w:lang w:val="es-ES_tradnl"/>
        </w:rPr>
        <w:t>****</w:t>
      </w:r>
      <w:r w:rsidR="005B70C8">
        <w:rPr>
          <w:rFonts w:ascii="Arial" w:hAnsi="Arial" w:cs="Arial"/>
          <w:bCs/>
          <w:spacing w:val="-3"/>
          <w:sz w:val="24"/>
          <w:szCs w:val="27"/>
          <w:lang w:val="es-ES_tradnl"/>
        </w:rPr>
        <w:t xml:space="preserve"> de dos mil </w:t>
      </w:r>
      <w:r w:rsidR="00B81A75">
        <w:rPr>
          <w:rFonts w:ascii="Arial" w:hAnsi="Arial" w:cs="Arial"/>
          <w:bCs/>
          <w:spacing w:val="-3"/>
          <w:sz w:val="24"/>
          <w:szCs w:val="27"/>
          <w:lang w:val="es-ES_tradnl"/>
        </w:rPr>
        <w:t>*****</w:t>
      </w:r>
      <w:r w:rsidR="005B70C8">
        <w:rPr>
          <w:rFonts w:ascii="Arial" w:hAnsi="Arial" w:cs="Arial"/>
          <w:bCs/>
          <w:spacing w:val="-3"/>
          <w:sz w:val="24"/>
          <w:szCs w:val="27"/>
          <w:lang w:val="es-ES_tradnl"/>
        </w:rPr>
        <w:t>, por lo que a consideración de la demandada, el plazo que dispone el artículo 166 de la Ley de Procedimiento y Justicia Administrativa para el Estado de Oaxaca</w:t>
      </w:r>
      <w:r w:rsidR="00E93CF0">
        <w:rPr>
          <w:rFonts w:ascii="Arial" w:hAnsi="Arial" w:cs="Arial"/>
          <w:bCs/>
          <w:spacing w:val="-3"/>
          <w:sz w:val="24"/>
          <w:szCs w:val="27"/>
          <w:lang w:val="es-ES_tradnl"/>
        </w:rPr>
        <w:t>.</w:t>
      </w:r>
    </w:p>
    <w:p w14:paraId="48AF9BD5" w14:textId="56D10A8D" w:rsidR="00E93CF0" w:rsidRDefault="00E93CF0" w:rsidP="00DC0992">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A ese respecto, bajo una interpretación literal del texto del artículo 166 de la Ley de Procedimiento y Justicia Administrativa para el Estado de Oaxaca, establece textualmente el plazo de treinta días hábiles posteriores al día en que surta efectos la notificación del acto impugnado para interponer el juicio de nulidad ante el Tribunal de Justicia Administrativa del Estado de Oaxaca, por lo </w:t>
      </w:r>
      <w:r w:rsidR="001121F9">
        <w:rPr>
          <w:rFonts w:ascii="Arial" w:hAnsi="Arial" w:cs="Arial"/>
          <w:bCs/>
          <w:spacing w:val="-3"/>
          <w:sz w:val="24"/>
          <w:szCs w:val="27"/>
          <w:lang w:val="es-ES_tradnl"/>
        </w:rPr>
        <w:t>que,</w:t>
      </w:r>
      <w:r>
        <w:rPr>
          <w:rFonts w:ascii="Arial" w:hAnsi="Arial" w:cs="Arial"/>
          <w:bCs/>
          <w:spacing w:val="-3"/>
          <w:sz w:val="24"/>
          <w:szCs w:val="27"/>
          <w:lang w:val="es-ES_tradnl"/>
        </w:rPr>
        <w:t xml:space="preserve"> en un primer momento, la aseveración de la autoridad demandada resultaría ser cierta y procedente.</w:t>
      </w:r>
    </w:p>
    <w:p w14:paraId="078A1D86" w14:textId="15456352" w:rsidR="00E93CF0" w:rsidRDefault="00E93CF0" w:rsidP="00DC0992">
      <w:pPr>
        <w:spacing w:line="360" w:lineRule="auto"/>
        <w:ind w:firstLine="567"/>
        <w:jc w:val="both"/>
        <w:rPr>
          <w:rFonts w:ascii="Arial" w:hAnsi="Arial" w:cs="Arial"/>
          <w:sz w:val="24"/>
          <w:szCs w:val="24"/>
        </w:rPr>
      </w:pPr>
      <w:r>
        <w:rPr>
          <w:rFonts w:ascii="Arial" w:hAnsi="Arial" w:cs="Arial"/>
          <w:bCs/>
          <w:spacing w:val="-3"/>
          <w:sz w:val="24"/>
          <w:szCs w:val="27"/>
          <w:lang w:val="es-ES_tradnl"/>
        </w:rPr>
        <w:t xml:space="preserve">Sin embargo, en un segundo momento, atendiendo a la naturaleza del acto impugnado que es el dictamen de pensión por jubilación y la pretensión perseguida por el actor, consistente en que se le cuantifique correctamente su pensión de </w:t>
      </w:r>
      <w:r>
        <w:rPr>
          <w:rFonts w:ascii="Arial" w:hAnsi="Arial" w:cs="Arial"/>
          <w:bCs/>
          <w:spacing w:val="-3"/>
          <w:sz w:val="24"/>
          <w:szCs w:val="27"/>
          <w:lang w:val="es-ES_tradnl"/>
        </w:rPr>
        <w:lastRenderedPageBreak/>
        <w:t xml:space="preserve">jubilación, añadiéndole los conceptos estipulados en el artículo 54 fracción I de la </w:t>
      </w:r>
      <w:r w:rsidRPr="00857786">
        <w:rPr>
          <w:rFonts w:ascii="Arial" w:hAnsi="Arial" w:cs="Arial"/>
          <w:sz w:val="24"/>
          <w:szCs w:val="24"/>
        </w:rPr>
        <w:t>Ley de Pensiones para los trabajadores del Gobierno del Estado de Oaxaca</w:t>
      </w:r>
      <w:r w:rsidR="008B27E2">
        <w:rPr>
          <w:rFonts w:ascii="Arial" w:hAnsi="Arial" w:cs="Arial"/>
          <w:sz w:val="24"/>
          <w:szCs w:val="24"/>
        </w:rPr>
        <w:t xml:space="preserve">, conforme al criterio sustentado por la Suprema Corte de Justicia de la Nación, dicha cuantificación resulta </w:t>
      </w:r>
      <w:r w:rsidR="008B27E2" w:rsidRPr="008B27E2">
        <w:rPr>
          <w:rFonts w:ascii="Arial" w:hAnsi="Arial" w:cs="Arial"/>
          <w:b/>
          <w:bCs/>
          <w:sz w:val="24"/>
          <w:szCs w:val="24"/>
        </w:rPr>
        <w:t>imprescriptible</w:t>
      </w:r>
      <w:r w:rsidR="008B27E2">
        <w:rPr>
          <w:rFonts w:ascii="Arial" w:hAnsi="Arial" w:cs="Arial"/>
          <w:sz w:val="24"/>
          <w:szCs w:val="24"/>
        </w:rPr>
        <w:t>.</w:t>
      </w:r>
    </w:p>
    <w:p w14:paraId="220008A6" w14:textId="77F9E86B" w:rsidR="008B27E2" w:rsidRDefault="008B27E2" w:rsidP="00DC0992">
      <w:pPr>
        <w:spacing w:line="360" w:lineRule="auto"/>
        <w:ind w:firstLine="567"/>
        <w:jc w:val="both"/>
        <w:rPr>
          <w:rFonts w:ascii="Arial" w:hAnsi="Arial" w:cs="Arial"/>
          <w:sz w:val="24"/>
          <w:szCs w:val="24"/>
        </w:rPr>
      </w:pPr>
      <w:r>
        <w:rPr>
          <w:rFonts w:ascii="Arial" w:hAnsi="Arial" w:cs="Arial"/>
          <w:sz w:val="24"/>
          <w:szCs w:val="24"/>
        </w:rPr>
        <w:t>Sirve de sustento la jurisprudencia</w:t>
      </w:r>
      <w:r w:rsidR="007C385A">
        <w:rPr>
          <w:rStyle w:val="Refdenotaalpie"/>
          <w:rFonts w:ascii="Arial" w:hAnsi="Arial" w:cs="Arial"/>
          <w:sz w:val="24"/>
          <w:szCs w:val="24"/>
        </w:rPr>
        <w:footnoteReference w:id="3"/>
      </w:r>
      <w:r>
        <w:rPr>
          <w:rFonts w:ascii="Arial" w:hAnsi="Arial" w:cs="Arial"/>
          <w:sz w:val="24"/>
          <w:szCs w:val="24"/>
        </w:rPr>
        <w:t xml:space="preserve"> de rubro y texto siguiente:</w:t>
      </w:r>
    </w:p>
    <w:p w14:paraId="22A76A8A" w14:textId="05BB7B94" w:rsidR="008B27E2" w:rsidRPr="007C385A" w:rsidRDefault="007C385A" w:rsidP="007C385A">
      <w:pPr>
        <w:ind w:left="567"/>
        <w:jc w:val="both"/>
        <w:rPr>
          <w:rFonts w:ascii="Arial" w:hAnsi="Arial" w:cs="Arial"/>
          <w:i/>
          <w:iCs/>
          <w:sz w:val="24"/>
          <w:szCs w:val="24"/>
        </w:rPr>
      </w:pPr>
      <w:r w:rsidRPr="007C385A">
        <w:rPr>
          <w:rFonts w:ascii="Arial" w:hAnsi="Arial" w:cs="Arial"/>
          <w:i/>
          <w:iCs/>
          <w:sz w:val="24"/>
          <w:szCs w:val="24"/>
        </w:rPr>
        <w:t>“</w:t>
      </w:r>
      <w:r w:rsidRPr="007C385A">
        <w:rPr>
          <w:rFonts w:ascii="Arial" w:hAnsi="Arial" w:cs="Arial"/>
          <w:b/>
          <w:bCs/>
          <w:i/>
          <w:iCs/>
          <w:sz w:val="24"/>
          <w:szCs w:val="24"/>
        </w:rPr>
        <w:t>JUBILACION, MONTO DE LA. EL DERECHO A QUE SE CUANTIFIQUE CORRECTAMENTE, ES IMPRESCRIPTIBLE.</w:t>
      </w:r>
      <w:r w:rsidRPr="007C385A">
        <w:rPr>
          <w:rFonts w:ascii="Arial" w:hAnsi="Arial" w:cs="Arial"/>
          <w:i/>
          <w:iCs/>
          <w:sz w:val="24"/>
          <w:szCs w:val="24"/>
        </w:rPr>
        <w:t xml:space="preserve"> La jubilación constituye la obligación derivada de lo estipulado en un contrato colectivo de trabajo, por la que los patrones deben otorgar una pensión a los trabajadores que les han servido durante los lapsos y con las condiciones que se estipulan en dicho contrato. Esta prestación debe entenderse como una compensación por el desgaste orgánico sufrido a través de los años por los trabajadores; así como la disminución de facultades que a los mismos les ha producido el transcurso del tiempo. Satisfechas las condiciones establecidas en el contrato, el trabajador adquiere el derecho de que se le pague las pensiones relativas precisamente conforme a lo pactado, pasando a formar parte de su patrimonio el derecho a percibirlas. A su vez, los patrones tienen la obligación de cubrírselas o, en otras palabras, como ya lo ha sostenido en numerosas ejecutorias esta Cuarta Sala, la pensión se equipara a la renta vitalicia; de ahí que, cuando los patrones cuantifiquen la pensión en cantidad inferior a la que se estableció contractualmente, y los trabajadores la acepten en esa forma, no quiere decir eso que los trabajadores carezcan de acción para exigir en cualquier tiempo la modificación de la cuantía, ya que tales pensiones son de tracto sucesivo debido a su vencimiento periódico. En tal virtud, no serán procedentes las acciones para exigir diferencias que no se hicieron valer dentro del término de un año, por operar la prescripción, pero sí lo son aquéllas comprendidas dentro de este período; y, además las subsiguientes que aún no se hubiesen vencido, por lo que pueden ser motivo de acción por parte del trabajador.”</w:t>
      </w:r>
    </w:p>
    <w:p w14:paraId="523BA85D" w14:textId="2317FD99" w:rsidR="008B27E2" w:rsidRDefault="008B27E2" w:rsidP="00DC0992">
      <w:pPr>
        <w:spacing w:line="360" w:lineRule="auto"/>
        <w:ind w:firstLine="567"/>
        <w:jc w:val="both"/>
        <w:rPr>
          <w:rFonts w:ascii="Arial" w:hAnsi="Arial" w:cs="Arial"/>
          <w:sz w:val="24"/>
          <w:szCs w:val="24"/>
        </w:rPr>
      </w:pPr>
      <w:r>
        <w:rPr>
          <w:rFonts w:ascii="Arial" w:hAnsi="Arial" w:cs="Arial"/>
          <w:sz w:val="24"/>
          <w:szCs w:val="24"/>
        </w:rPr>
        <w:t>De igual forma, sirve de sustento</w:t>
      </w:r>
      <w:r w:rsidR="007C385A">
        <w:rPr>
          <w:rFonts w:ascii="Arial" w:hAnsi="Arial" w:cs="Arial"/>
          <w:sz w:val="24"/>
          <w:szCs w:val="24"/>
        </w:rPr>
        <w:t xml:space="preserve"> por analogía</w:t>
      </w:r>
      <w:r>
        <w:rPr>
          <w:rFonts w:ascii="Arial" w:hAnsi="Arial" w:cs="Arial"/>
          <w:sz w:val="24"/>
          <w:szCs w:val="24"/>
        </w:rPr>
        <w:t xml:space="preserve"> la jurisprudencia</w:t>
      </w:r>
      <w:r w:rsidR="00A22153">
        <w:rPr>
          <w:rStyle w:val="Refdenotaalpie"/>
          <w:rFonts w:ascii="Arial" w:hAnsi="Arial" w:cs="Arial"/>
          <w:sz w:val="24"/>
          <w:szCs w:val="24"/>
        </w:rPr>
        <w:footnoteReference w:id="4"/>
      </w:r>
      <w:r>
        <w:rPr>
          <w:rFonts w:ascii="Arial" w:hAnsi="Arial" w:cs="Arial"/>
          <w:sz w:val="24"/>
          <w:szCs w:val="24"/>
        </w:rPr>
        <w:t xml:space="preserve"> de rubro y texto siguiente:</w:t>
      </w:r>
    </w:p>
    <w:p w14:paraId="7D512136" w14:textId="55A759BA" w:rsidR="008B27E2" w:rsidRPr="007C385A" w:rsidRDefault="007C385A" w:rsidP="007C385A">
      <w:pPr>
        <w:ind w:left="567"/>
        <w:jc w:val="both"/>
        <w:rPr>
          <w:rFonts w:ascii="Arial" w:hAnsi="Arial" w:cs="Arial"/>
          <w:i/>
          <w:iCs/>
          <w:sz w:val="24"/>
          <w:szCs w:val="24"/>
        </w:rPr>
      </w:pPr>
      <w:r w:rsidRPr="007C385A">
        <w:rPr>
          <w:rFonts w:ascii="Arial" w:hAnsi="Arial" w:cs="Arial"/>
          <w:i/>
          <w:iCs/>
          <w:sz w:val="24"/>
          <w:szCs w:val="24"/>
        </w:rPr>
        <w:t>“</w:t>
      </w:r>
      <w:r w:rsidRPr="007C385A">
        <w:rPr>
          <w:rFonts w:ascii="Arial" w:hAnsi="Arial" w:cs="Arial"/>
          <w:b/>
          <w:bCs/>
          <w:i/>
          <w:iCs/>
          <w:sz w:val="24"/>
          <w:szCs w:val="24"/>
        </w:rPr>
        <w:t>PENSIÓN Y JUBILACIÓN. LA RESOLUCIÓN DEFINITIVA DICTADA POR EL INSTITUTO DE SEGURIDAD Y SERVICIOS SOCIALES DE LOS TRABAJADORES DEL ESTADO, EN LA CUAL SE FIJA INCORRECTAMENTE AQUÉLLA O EL SALARIO BASE PARA CALCULARLA, PODRÁ IMPUGNARSE EN CUALQUIER TIEMPO EN EL JUICIO CONTENCIOSO ADMINISTRATIVO.</w:t>
      </w:r>
      <w:r w:rsidRPr="007C385A">
        <w:rPr>
          <w:rFonts w:ascii="Arial" w:hAnsi="Arial" w:cs="Arial"/>
          <w:i/>
          <w:iCs/>
          <w:sz w:val="24"/>
          <w:szCs w:val="24"/>
        </w:rPr>
        <w:t xml:space="preserve"> Conforme al artículo 186 de la Ley del Instituto de Seguridad y Servicios Sociales de los Trabajadores del Estado vigente hasta el 31 de marzo de 2007, el derecho a la jubilación y a la pensión es imprescriptible, por lo que en atención al principio elemental de la ciencia jurídica, consistente en que las acciones duran el mismo tiempo que </w:t>
      </w:r>
      <w:r w:rsidRPr="007C385A">
        <w:rPr>
          <w:rFonts w:ascii="Arial" w:hAnsi="Arial" w:cs="Arial"/>
          <w:i/>
          <w:iCs/>
          <w:sz w:val="24"/>
          <w:szCs w:val="24"/>
        </w:rPr>
        <w:lastRenderedPageBreak/>
        <w:t>los derechos de donde dimanan, se considera que es también imprescriptible la acción por medio de la cual se tutela el estricto cumplimiento de ese derecho, motivo por el que podrá promoverse en cualquier tiempo la demanda en la cual se impugne la resolución definitiva en la que se afirme que se fijó incorrectamente la pensión jubilatoria o la cuota diaria para calcularla, y no en el plazo de 45 días previsto en el artículo 207 del Código Fiscal de la Federación vigente hasta el 31 de diciembre de 2005, porque la norma contenida en el indicado numeral 186 es especial y por ello debe prevalecer sobre la regla general instituida en el precepto citado.”</w:t>
      </w:r>
    </w:p>
    <w:p w14:paraId="793BF178" w14:textId="03A7D6B4" w:rsidR="008B27E2" w:rsidRDefault="008B27E2" w:rsidP="00DC0992">
      <w:pPr>
        <w:spacing w:line="360" w:lineRule="auto"/>
        <w:ind w:firstLine="567"/>
        <w:jc w:val="both"/>
        <w:rPr>
          <w:rFonts w:ascii="Arial" w:hAnsi="Arial" w:cs="Arial"/>
          <w:sz w:val="24"/>
          <w:szCs w:val="24"/>
        </w:rPr>
      </w:pPr>
      <w:r>
        <w:rPr>
          <w:rFonts w:ascii="Arial" w:hAnsi="Arial" w:cs="Arial"/>
          <w:sz w:val="24"/>
          <w:szCs w:val="24"/>
        </w:rPr>
        <w:t>Por ello, en atención a los criterios antes citados, si bien es cierto que el acto impugnado fue presentando fuera del plazo de treinta días que establece el numeral 166 de la Ley de Procedimiento y Justicia Administrativa para el Estado de Oaxaca, nos encontramos que el acto por su naturaleza y en atención a lo pretendido por el actor resulta I</w:t>
      </w:r>
      <w:r w:rsidRPr="00D97378">
        <w:rPr>
          <w:rFonts w:ascii="Arial" w:hAnsi="Arial" w:cs="Arial"/>
          <w:b/>
          <w:bCs/>
          <w:sz w:val="24"/>
          <w:szCs w:val="24"/>
        </w:rPr>
        <w:t>MPRESCRIPTIBLE</w:t>
      </w:r>
      <w:r>
        <w:rPr>
          <w:rFonts w:ascii="Arial" w:hAnsi="Arial" w:cs="Arial"/>
          <w:sz w:val="24"/>
          <w:szCs w:val="24"/>
        </w:rPr>
        <w:t>, de modo que el actor puede interponer el juicio de nulidad en cualquier momento, sin estar sujeto a un plazo de prescripción.</w:t>
      </w:r>
    </w:p>
    <w:p w14:paraId="1CD83C52" w14:textId="05C0759A" w:rsidR="007D03EB" w:rsidRPr="007D03EB" w:rsidRDefault="008B27E2" w:rsidP="007D03EB">
      <w:pPr>
        <w:spacing w:line="360" w:lineRule="auto"/>
        <w:ind w:firstLine="567"/>
        <w:jc w:val="both"/>
        <w:rPr>
          <w:rFonts w:ascii="Arial" w:hAnsi="Arial" w:cs="Arial"/>
          <w:sz w:val="24"/>
          <w:szCs w:val="24"/>
        </w:rPr>
      </w:pPr>
      <w:r>
        <w:rPr>
          <w:rFonts w:ascii="Arial" w:hAnsi="Arial" w:cs="Arial"/>
          <w:sz w:val="24"/>
          <w:szCs w:val="24"/>
        </w:rPr>
        <w:t xml:space="preserve">En conclusión, la excepción de PRESCRIPCIÓN DE LA ACCIÓN hecha valer por la autoridad demandada resulta </w:t>
      </w:r>
      <w:r w:rsidRPr="00D97378">
        <w:rPr>
          <w:rFonts w:ascii="Arial" w:hAnsi="Arial" w:cs="Arial"/>
          <w:b/>
          <w:bCs/>
          <w:sz w:val="24"/>
          <w:szCs w:val="24"/>
        </w:rPr>
        <w:t>INFUNDADA;</w:t>
      </w:r>
      <w:r>
        <w:rPr>
          <w:rFonts w:ascii="Arial" w:hAnsi="Arial" w:cs="Arial"/>
          <w:sz w:val="24"/>
          <w:szCs w:val="24"/>
        </w:rPr>
        <w:t xml:space="preserve"> en consecuencia, esta Sala Unitaria advierte que respecto del acto impugnado </w:t>
      </w:r>
      <w:r>
        <w:rPr>
          <w:rFonts w:ascii="Arial" w:hAnsi="Arial" w:cs="Arial"/>
          <w:bCs/>
          <w:spacing w:val="-3"/>
          <w:sz w:val="24"/>
          <w:szCs w:val="27"/>
          <w:lang w:val="es-ES_tradnl"/>
        </w:rPr>
        <w:t>OP/DG/</w:t>
      </w:r>
      <w:r w:rsidR="00653F3F">
        <w:rPr>
          <w:rFonts w:ascii="Arial" w:hAnsi="Arial" w:cs="Arial"/>
          <w:bCs/>
          <w:spacing w:val="-3"/>
          <w:sz w:val="24"/>
          <w:szCs w:val="27"/>
          <w:lang w:val="es-ES_tradnl"/>
        </w:rPr>
        <w:t>*****</w:t>
      </w:r>
      <w:r>
        <w:rPr>
          <w:rFonts w:ascii="Arial" w:hAnsi="Arial" w:cs="Arial"/>
          <w:bCs/>
          <w:spacing w:val="-3"/>
          <w:sz w:val="24"/>
          <w:szCs w:val="27"/>
          <w:lang w:val="es-ES_tradnl"/>
        </w:rPr>
        <w:t>/</w:t>
      </w:r>
      <w:r w:rsidR="00653F3F">
        <w:rPr>
          <w:rFonts w:ascii="Arial" w:hAnsi="Arial" w:cs="Arial"/>
          <w:bCs/>
          <w:spacing w:val="-3"/>
          <w:sz w:val="24"/>
          <w:szCs w:val="27"/>
          <w:lang w:val="es-ES_tradnl"/>
        </w:rPr>
        <w:t>*****</w:t>
      </w:r>
      <w:r>
        <w:rPr>
          <w:rFonts w:ascii="Arial" w:hAnsi="Arial" w:cs="Arial"/>
          <w:bCs/>
          <w:spacing w:val="-3"/>
          <w:sz w:val="24"/>
          <w:szCs w:val="27"/>
          <w:lang w:val="es-ES_tradnl"/>
        </w:rPr>
        <w:t xml:space="preserve">, de fecha </w:t>
      </w:r>
      <w:r w:rsidR="00653F3F">
        <w:rPr>
          <w:rFonts w:ascii="Arial" w:hAnsi="Arial" w:cs="Arial"/>
          <w:bCs/>
          <w:spacing w:val="-3"/>
          <w:sz w:val="24"/>
          <w:szCs w:val="27"/>
          <w:lang w:val="es-ES_tradnl"/>
        </w:rPr>
        <w:t>*****</w:t>
      </w:r>
      <w:r>
        <w:rPr>
          <w:rFonts w:ascii="Arial" w:hAnsi="Arial" w:cs="Arial"/>
          <w:bCs/>
          <w:spacing w:val="-3"/>
          <w:sz w:val="24"/>
          <w:szCs w:val="27"/>
          <w:lang w:val="es-ES_tradnl"/>
        </w:rPr>
        <w:t xml:space="preserve"> de </w:t>
      </w:r>
      <w:r w:rsidR="00653F3F">
        <w:rPr>
          <w:rFonts w:ascii="Arial" w:hAnsi="Arial" w:cs="Arial"/>
          <w:bCs/>
          <w:spacing w:val="-3"/>
          <w:sz w:val="24"/>
          <w:szCs w:val="27"/>
          <w:lang w:val="es-ES_tradnl"/>
        </w:rPr>
        <w:t>****</w:t>
      </w:r>
      <w:r>
        <w:rPr>
          <w:rFonts w:ascii="Arial" w:hAnsi="Arial" w:cs="Arial"/>
          <w:bCs/>
          <w:spacing w:val="-3"/>
          <w:sz w:val="24"/>
          <w:szCs w:val="27"/>
          <w:lang w:val="es-ES_tradnl"/>
        </w:rPr>
        <w:t xml:space="preserve"> de dos mil </w:t>
      </w:r>
      <w:r w:rsidR="00653F3F">
        <w:rPr>
          <w:rFonts w:ascii="Arial" w:hAnsi="Arial" w:cs="Arial"/>
          <w:bCs/>
          <w:spacing w:val="-3"/>
          <w:sz w:val="24"/>
          <w:szCs w:val="27"/>
          <w:lang w:val="es-ES_tradnl"/>
        </w:rPr>
        <w:t>****</w:t>
      </w:r>
      <w:r w:rsidRPr="00DB4C41">
        <w:rPr>
          <w:rFonts w:ascii="Arial" w:hAnsi="Arial" w:cs="Arial"/>
          <w:bCs/>
          <w:spacing w:val="-3"/>
          <w:sz w:val="24"/>
          <w:szCs w:val="27"/>
          <w:lang w:val="es-ES_tradnl"/>
        </w:rPr>
        <w:t>, emitido por el Director General de la Oficina de Pensiones del Estado de Oaxaca</w:t>
      </w:r>
      <w:r w:rsidR="007E3E64">
        <w:rPr>
          <w:rFonts w:ascii="Arial" w:hAnsi="Arial" w:cs="Arial"/>
          <w:bCs/>
          <w:spacing w:val="-3"/>
          <w:sz w:val="24"/>
          <w:szCs w:val="27"/>
          <w:lang w:val="es-ES_tradnl"/>
        </w:rPr>
        <w:t>,</w:t>
      </w:r>
      <w:r w:rsidR="007D03EB" w:rsidRPr="008D693D">
        <w:rPr>
          <w:rFonts w:ascii="Arial" w:hAnsi="Arial" w:cs="Arial"/>
          <w:bCs/>
          <w:sz w:val="24"/>
          <w:szCs w:val="24"/>
        </w:rPr>
        <w:t xml:space="preserve"> no se configura alguna causal de improcedencia o sobreseimiento</w:t>
      </w:r>
      <w:r>
        <w:rPr>
          <w:rFonts w:ascii="Arial" w:hAnsi="Arial" w:cs="Arial"/>
          <w:bCs/>
          <w:sz w:val="24"/>
          <w:szCs w:val="24"/>
        </w:rPr>
        <w:t>,</w:t>
      </w:r>
      <w:r w:rsidR="007D03EB">
        <w:rPr>
          <w:rFonts w:ascii="Arial" w:hAnsi="Arial" w:cs="Arial"/>
          <w:bCs/>
          <w:sz w:val="24"/>
          <w:szCs w:val="24"/>
        </w:rPr>
        <w:t xml:space="preserve"> </w:t>
      </w:r>
      <w:r w:rsidR="007D03EB" w:rsidRPr="008D693D">
        <w:rPr>
          <w:rFonts w:ascii="Arial" w:hAnsi="Arial" w:cs="Arial"/>
          <w:bCs/>
          <w:sz w:val="24"/>
          <w:szCs w:val="24"/>
        </w:rPr>
        <w:t>por</w:t>
      </w:r>
      <w:r w:rsidR="007D03EB">
        <w:rPr>
          <w:rFonts w:ascii="Arial" w:hAnsi="Arial" w:cs="Arial"/>
          <w:bCs/>
          <w:sz w:val="24"/>
          <w:szCs w:val="24"/>
        </w:rPr>
        <w:t xml:space="preserve"> </w:t>
      </w:r>
      <w:r w:rsidR="007D03EB" w:rsidRPr="008D693D">
        <w:rPr>
          <w:rFonts w:ascii="Arial" w:hAnsi="Arial" w:cs="Arial"/>
          <w:bCs/>
          <w:sz w:val="24"/>
          <w:szCs w:val="24"/>
        </w:rPr>
        <w:t xml:space="preserve">tanto, </w:t>
      </w:r>
      <w:r w:rsidR="007D03EB" w:rsidRPr="008D693D">
        <w:rPr>
          <w:rFonts w:ascii="Arial" w:hAnsi="Arial" w:cs="Arial"/>
          <w:b/>
          <w:bCs/>
          <w:sz w:val="24"/>
          <w:szCs w:val="24"/>
        </w:rPr>
        <w:t>NO SE SOBRESEE EL PRESENTE JUICIO</w:t>
      </w:r>
      <w:r w:rsidR="007D03EB" w:rsidRPr="00F46B9B">
        <w:rPr>
          <w:rFonts w:ascii="Arial" w:hAnsi="Arial" w:cs="Arial"/>
          <w:sz w:val="24"/>
          <w:szCs w:val="24"/>
        </w:rPr>
        <w:t>.</w:t>
      </w:r>
    </w:p>
    <w:p w14:paraId="1C1CEE37" w14:textId="6AE0B00F" w:rsidR="001E445E" w:rsidRPr="003F5678" w:rsidRDefault="00D41CD7" w:rsidP="001E445E">
      <w:pPr>
        <w:pStyle w:val="Textonotapie"/>
        <w:spacing w:after="240" w:line="360" w:lineRule="auto"/>
        <w:ind w:firstLine="567"/>
        <w:jc w:val="both"/>
        <w:rPr>
          <w:rFonts w:ascii="Arial" w:hAnsi="Arial" w:cs="Arial"/>
          <w:sz w:val="24"/>
          <w:szCs w:val="24"/>
        </w:rPr>
      </w:pPr>
      <w:r w:rsidRPr="004B7BEB">
        <w:rPr>
          <w:rFonts w:ascii="Arial" w:hAnsi="Arial" w:cs="Arial"/>
          <w:b/>
          <w:sz w:val="24"/>
          <w:szCs w:val="24"/>
        </w:rPr>
        <w:t>CUARTO.</w:t>
      </w:r>
      <w:r w:rsidR="001E445E" w:rsidRPr="001E445E">
        <w:rPr>
          <w:rFonts w:ascii="Arial" w:hAnsi="Arial" w:cs="Arial"/>
          <w:b/>
          <w:sz w:val="24"/>
          <w:szCs w:val="24"/>
        </w:rPr>
        <w:t xml:space="preserve"> </w:t>
      </w:r>
      <w:r w:rsidR="001E445E" w:rsidRPr="003F5678">
        <w:rPr>
          <w:rFonts w:ascii="Arial" w:hAnsi="Arial" w:cs="Arial"/>
          <w:b/>
          <w:sz w:val="24"/>
          <w:szCs w:val="24"/>
        </w:rPr>
        <w:t>OBJECIÓN DE PRUEBAS.</w:t>
      </w:r>
      <w:r w:rsidR="001E445E" w:rsidRPr="003F5678">
        <w:rPr>
          <w:rFonts w:ascii="Arial" w:hAnsi="Arial" w:cs="Arial"/>
          <w:sz w:val="24"/>
          <w:szCs w:val="24"/>
        </w:rPr>
        <w:t xml:space="preserve"> La autoridad demandada objetó en cuanto a su alcance y valor probatorio la copia de</w:t>
      </w:r>
      <w:r w:rsidR="00BE7D09">
        <w:rPr>
          <w:rFonts w:ascii="Arial" w:hAnsi="Arial" w:cs="Arial"/>
          <w:sz w:val="24"/>
          <w:szCs w:val="24"/>
        </w:rPr>
        <w:t>l</w:t>
      </w:r>
      <w:r w:rsidR="001E445E" w:rsidRPr="003F5678">
        <w:rPr>
          <w:rFonts w:ascii="Arial" w:hAnsi="Arial" w:cs="Arial"/>
          <w:sz w:val="24"/>
          <w:szCs w:val="24"/>
        </w:rPr>
        <w:t xml:space="preserve"> comprobante de pago</w:t>
      </w:r>
      <w:r w:rsidR="00780194">
        <w:rPr>
          <w:rFonts w:ascii="Arial" w:hAnsi="Arial" w:cs="Arial"/>
          <w:sz w:val="24"/>
          <w:szCs w:val="24"/>
        </w:rPr>
        <w:t>,</w:t>
      </w:r>
      <w:r w:rsidR="001E445E" w:rsidRPr="003F5678">
        <w:rPr>
          <w:rFonts w:ascii="Arial" w:hAnsi="Arial" w:cs="Arial"/>
          <w:sz w:val="24"/>
          <w:szCs w:val="24"/>
        </w:rPr>
        <w:t xml:space="preserve"> correspondientes a la </w:t>
      </w:r>
      <w:r w:rsidR="00997027">
        <w:rPr>
          <w:rFonts w:ascii="Arial" w:hAnsi="Arial" w:cs="Arial"/>
          <w:sz w:val="24"/>
          <w:szCs w:val="24"/>
        </w:rPr>
        <w:t>*****</w:t>
      </w:r>
      <w:r w:rsidR="001E445E" w:rsidRPr="003F5678">
        <w:rPr>
          <w:rFonts w:ascii="Arial" w:hAnsi="Arial" w:cs="Arial"/>
          <w:sz w:val="24"/>
          <w:szCs w:val="24"/>
        </w:rPr>
        <w:t xml:space="preserve"> </w:t>
      </w:r>
      <w:r w:rsidR="00997027">
        <w:rPr>
          <w:rFonts w:ascii="Arial" w:hAnsi="Arial" w:cs="Arial"/>
          <w:sz w:val="24"/>
          <w:szCs w:val="24"/>
        </w:rPr>
        <w:t>*****</w:t>
      </w:r>
      <w:r w:rsidR="001E445E" w:rsidRPr="003F5678">
        <w:rPr>
          <w:rFonts w:ascii="Arial" w:hAnsi="Arial" w:cs="Arial"/>
          <w:sz w:val="24"/>
          <w:szCs w:val="24"/>
        </w:rPr>
        <w:t xml:space="preserve"> del </w:t>
      </w:r>
      <w:r w:rsidR="00997027">
        <w:rPr>
          <w:rFonts w:ascii="Arial" w:hAnsi="Arial" w:cs="Arial"/>
          <w:sz w:val="24"/>
          <w:szCs w:val="24"/>
        </w:rPr>
        <w:t>****</w:t>
      </w:r>
      <w:r w:rsidR="001E445E" w:rsidRPr="003F5678">
        <w:rPr>
          <w:rFonts w:ascii="Arial" w:hAnsi="Arial" w:cs="Arial"/>
          <w:sz w:val="24"/>
          <w:szCs w:val="24"/>
        </w:rPr>
        <w:t xml:space="preserve"> de </w:t>
      </w:r>
      <w:r w:rsidR="00997027">
        <w:rPr>
          <w:rFonts w:ascii="Arial" w:hAnsi="Arial" w:cs="Arial"/>
          <w:sz w:val="24"/>
          <w:szCs w:val="24"/>
        </w:rPr>
        <w:t>*****</w:t>
      </w:r>
      <w:r w:rsidR="00BE7D09">
        <w:rPr>
          <w:rFonts w:ascii="Arial" w:hAnsi="Arial" w:cs="Arial"/>
          <w:sz w:val="24"/>
          <w:szCs w:val="24"/>
        </w:rPr>
        <w:t xml:space="preserve"> </w:t>
      </w:r>
      <w:r w:rsidR="001E445E" w:rsidRPr="003F5678">
        <w:rPr>
          <w:rFonts w:ascii="Arial" w:hAnsi="Arial" w:cs="Arial"/>
          <w:sz w:val="24"/>
          <w:szCs w:val="24"/>
        </w:rPr>
        <w:t xml:space="preserve">de dos mil </w:t>
      </w:r>
      <w:r w:rsidR="00997027">
        <w:rPr>
          <w:rFonts w:ascii="Arial" w:hAnsi="Arial" w:cs="Arial"/>
          <w:sz w:val="24"/>
          <w:szCs w:val="24"/>
        </w:rPr>
        <w:t>****</w:t>
      </w:r>
      <w:r w:rsidR="001E445E" w:rsidRPr="003F5678">
        <w:rPr>
          <w:rFonts w:ascii="Arial" w:hAnsi="Arial" w:cs="Arial"/>
          <w:sz w:val="24"/>
          <w:szCs w:val="24"/>
        </w:rPr>
        <w:t xml:space="preserve">, </w:t>
      </w:r>
      <w:r w:rsidR="006C6115">
        <w:rPr>
          <w:rFonts w:ascii="Arial" w:hAnsi="Arial" w:cs="Arial"/>
          <w:sz w:val="24"/>
          <w:szCs w:val="24"/>
        </w:rPr>
        <w:t xml:space="preserve">documental pública </w:t>
      </w:r>
      <w:r w:rsidR="001E445E" w:rsidRPr="003F5678">
        <w:rPr>
          <w:rFonts w:ascii="Arial" w:hAnsi="Arial" w:cs="Arial"/>
          <w:sz w:val="24"/>
          <w:szCs w:val="24"/>
        </w:rPr>
        <w:t>ofrecida por la parte actora en su escrito de demanda, contenid</w:t>
      </w:r>
      <w:r w:rsidR="00B23207">
        <w:rPr>
          <w:rFonts w:ascii="Arial" w:hAnsi="Arial" w:cs="Arial"/>
          <w:sz w:val="24"/>
          <w:szCs w:val="24"/>
        </w:rPr>
        <w:t>a</w:t>
      </w:r>
      <w:r w:rsidR="001E445E" w:rsidRPr="003F5678">
        <w:rPr>
          <w:rFonts w:ascii="Arial" w:hAnsi="Arial" w:cs="Arial"/>
          <w:sz w:val="24"/>
          <w:szCs w:val="24"/>
        </w:rPr>
        <w:t xml:space="preserve"> en el apartado de pruebas, numeral 2 (foja 1</w:t>
      </w:r>
      <w:r w:rsidR="00AD24F9">
        <w:rPr>
          <w:rFonts w:ascii="Arial" w:hAnsi="Arial" w:cs="Arial"/>
          <w:sz w:val="24"/>
          <w:szCs w:val="24"/>
        </w:rPr>
        <w:t>3</w:t>
      </w:r>
      <w:r w:rsidR="001E445E" w:rsidRPr="003F5678">
        <w:rPr>
          <w:rFonts w:ascii="Arial" w:hAnsi="Arial" w:cs="Arial"/>
          <w:sz w:val="24"/>
          <w:szCs w:val="24"/>
        </w:rPr>
        <w:t>).</w:t>
      </w:r>
    </w:p>
    <w:p w14:paraId="1CEB69A2" w14:textId="3ABBE82D" w:rsidR="001E445E" w:rsidRPr="003F5678" w:rsidRDefault="001E445E" w:rsidP="001E445E">
      <w:pPr>
        <w:pStyle w:val="Textonotapie"/>
        <w:spacing w:after="240" w:line="360" w:lineRule="auto"/>
        <w:ind w:firstLine="567"/>
        <w:jc w:val="both"/>
        <w:rPr>
          <w:rFonts w:ascii="Arial" w:hAnsi="Arial" w:cs="Arial"/>
          <w:sz w:val="24"/>
          <w:szCs w:val="24"/>
        </w:rPr>
      </w:pPr>
      <w:r w:rsidRPr="003F5678">
        <w:rPr>
          <w:rFonts w:ascii="Arial" w:hAnsi="Arial" w:cs="Arial"/>
          <w:sz w:val="24"/>
          <w:szCs w:val="24"/>
        </w:rPr>
        <w:t>Previo a la calificación de la procedencia de la objeción de pruebas, es menester citar los artículos 193 y 194 de la Ley de Procedimiento y Justicia Administrativa para el Estado de Oaxaca, que dicen:</w:t>
      </w:r>
    </w:p>
    <w:p w14:paraId="0E40216E" w14:textId="77777777" w:rsidR="001E445E" w:rsidRPr="003F5678" w:rsidRDefault="001E445E" w:rsidP="001E445E">
      <w:pPr>
        <w:pStyle w:val="Textonotapie"/>
        <w:spacing w:after="240" w:line="276" w:lineRule="auto"/>
        <w:ind w:left="567"/>
        <w:jc w:val="both"/>
        <w:rPr>
          <w:rFonts w:ascii="Arial" w:hAnsi="Arial" w:cs="Arial"/>
          <w:i/>
          <w:iCs/>
          <w:sz w:val="24"/>
          <w:szCs w:val="24"/>
        </w:rPr>
      </w:pPr>
      <w:r w:rsidRPr="003F5678">
        <w:rPr>
          <w:rFonts w:ascii="Arial" w:hAnsi="Arial" w:cs="Arial"/>
          <w:i/>
          <w:iCs/>
          <w:sz w:val="24"/>
          <w:szCs w:val="24"/>
        </w:rPr>
        <w:t>“</w:t>
      </w:r>
      <w:r w:rsidRPr="003F5678">
        <w:rPr>
          <w:rFonts w:ascii="Arial" w:hAnsi="Arial" w:cs="Arial"/>
          <w:b/>
          <w:i/>
          <w:iCs/>
          <w:sz w:val="24"/>
          <w:szCs w:val="24"/>
        </w:rPr>
        <w:t>ARTÍCULO 193.-</w:t>
      </w:r>
      <w:r w:rsidRPr="003F5678">
        <w:rPr>
          <w:rFonts w:ascii="Arial" w:hAnsi="Arial" w:cs="Arial"/>
          <w:i/>
          <w:iCs/>
          <w:sz w:val="24"/>
          <w:szCs w:val="24"/>
        </w:rPr>
        <w:t xml:space="preserve"> Las partes podrán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p>
    <w:p w14:paraId="4D4F2791" w14:textId="77777777" w:rsidR="001E445E" w:rsidRDefault="001E445E" w:rsidP="001E445E">
      <w:pPr>
        <w:pStyle w:val="Textonotapie"/>
        <w:spacing w:after="240" w:line="276" w:lineRule="auto"/>
        <w:ind w:left="567"/>
        <w:jc w:val="both"/>
        <w:rPr>
          <w:rFonts w:ascii="Arial" w:hAnsi="Arial" w:cs="Arial"/>
          <w:i/>
          <w:iCs/>
          <w:sz w:val="24"/>
          <w:szCs w:val="24"/>
        </w:rPr>
      </w:pPr>
      <w:r w:rsidRPr="003F5678">
        <w:rPr>
          <w:rFonts w:ascii="Arial" w:hAnsi="Arial" w:cs="Arial"/>
          <w:b/>
          <w:i/>
          <w:iCs/>
          <w:sz w:val="24"/>
          <w:szCs w:val="24"/>
        </w:rPr>
        <w:t>ARTÍCULO 194.-</w:t>
      </w:r>
      <w:r w:rsidRPr="003F5678">
        <w:rPr>
          <w:rFonts w:ascii="Arial" w:hAnsi="Arial" w:cs="Arial"/>
          <w:i/>
          <w:iCs/>
          <w:sz w:val="24"/>
          <w:szCs w:val="24"/>
        </w:rPr>
        <w:t xml:space="preserve"> La objeción de la autenticidad de un documento, se resolverá en la sentencia definitiva.”</w:t>
      </w:r>
    </w:p>
    <w:p w14:paraId="70ADBEC3" w14:textId="77777777" w:rsidR="001E445E" w:rsidRPr="003F5678" w:rsidRDefault="001E445E" w:rsidP="001E445E">
      <w:pPr>
        <w:pStyle w:val="Textonotapie"/>
        <w:spacing w:after="240" w:line="360" w:lineRule="auto"/>
        <w:ind w:firstLine="567"/>
        <w:jc w:val="both"/>
        <w:rPr>
          <w:rFonts w:ascii="Arial" w:hAnsi="Arial" w:cs="Arial"/>
          <w:sz w:val="24"/>
          <w:szCs w:val="24"/>
        </w:rPr>
      </w:pPr>
      <w:r w:rsidRPr="003F5678">
        <w:rPr>
          <w:rFonts w:ascii="Arial" w:hAnsi="Arial" w:cs="Arial"/>
          <w:sz w:val="24"/>
          <w:szCs w:val="24"/>
        </w:rPr>
        <w:t xml:space="preserve">En este sentido, la objeción sobre la autenticación de un documento durante el juicio de nulidad ante este Tribunal, trae como consecuencia generar duda sobre la validez o identidad de un documento, es decir, impugnar su inexactitud o falsedad, por ello las manifestaciones realizadas por las partes al momento de objetar un </w:t>
      </w:r>
      <w:r w:rsidRPr="003F5678">
        <w:rPr>
          <w:rFonts w:ascii="Arial" w:hAnsi="Arial" w:cs="Arial"/>
          <w:sz w:val="24"/>
          <w:szCs w:val="24"/>
        </w:rPr>
        <w:lastRenderedPageBreak/>
        <w:t xml:space="preserve">documento deberán ir encaminadas a controvertir la autenticidad del mismo, no así su valor probatorio, toda vez que este es un proceso cognitivo realizado por el juzgador en donde se resolverá el grado de convicción que en él causan las pruebas ofrecidas por las partes. </w:t>
      </w:r>
    </w:p>
    <w:p w14:paraId="547C3DEB" w14:textId="77777777" w:rsidR="001E445E" w:rsidRPr="003F5678" w:rsidRDefault="001E445E" w:rsidP="001E445E">
      <w:pPr>
        <w:pStyle w:val="Textonotapie"/>
        <w:spacing w:after="240" w:line="360" w:lineRule="auto"/>
        <w:ind w:firstLine="567"/>
        <w:jc w:val="both"/>
        <w:rPr>
          <w:rFonts w:ascii="Arial" w:hAnsi="Arial" w:cs="Arial"/>
          <w:sz w:val="24"/>
          <w:szCs w:val="24"/>
        </w:rPr>
      </w:pPr>
      <w:r w:rsidRPr="003F5678">
        <w:rPr>
          <w:rFonts w:ascii="Arial" w:hAnsi="Arial" w:cs="Arial"/>
          <w:sz w:val="24"/>
          <w:szCs w:val="24"/>
        </w:rPr>
        <w:t>Por otra parte, el artículo 203 de la Ley de Procedimiento y Justicia Administrativa para el Estado, menciona:</w:t>
      </w:r>
    </w:p>
    <w:p w14:paraId="3D603C9C" w14:textId="77777777" w:rsidR="001E445E" w:rsidRPr="003F5678" w:rsidRDefault="001E445E" w:rsidP="001E445E">
      <w:pPr>
        <w:pStyle w:val="Textonotapie"/>
        <w:spacing w:after="240" w:line="276" w:lineRule="auto"/>
        <w:ind w:left="567"/>
        <w:jc w:val="both"/>
        <w:rPr>
          <w:rFonts w:ascii="Arial" w:hAnsi="Arial" w:cs="Arial"/>
          <w:i/>
          <w:iCs/>
          <w:sz w:val="24"/>
          <w:szCs w:val="24"/>
        </w:rPr>
      </w:pPr>
      <w:r w:rsidRPr="003F5678">
        <w:rPr>
          <w:rFonts w:ascii="Arial" w:hAnsi="Arial" w:cs="Arial"/>
          <w:b/>
          <w:i/>
          <w:iCs/>
          <w:sz w:val="24"/>
          <w:szCs w:val="24"/>
        </w:rPr>
        <w:t>“ARTÍCULO 203.-</w:t>
      </w:r>
      <w:r w:rsidRPr="003F5678">
        <w:rPr>
          <w:rFonts w:ascii="Arial" w:hAnsi="Arial" w:cs="Arial"/>
          <w:i/>
          <w:iCs/>
          <w:sz w:val="24"/>
          <w:szCs w:val="24"/>
        </w:rPr>
        <w:t xml:space="preserve"> La valoración de las pruebas se hará de acuerdo con las siguientes reglas:</w:t>
      </w:r>
    </w:p>
    <w:p w14:paraId="3001F727" w14:textId="77777777" w:rsidR="001E445E" w:rsidRPr="003F5678" w:rsidRDefault="001E445E" w:rsidP="001E445E">
      <w:pPr>
        <w:pStyle w:val="Textonotapie"/>
        <w:spacing w:after="240" w:line="276" w:lineRule="auto"/>
        <w:ind w:left="567"/>
        <w:jc w:val="both"/>
        <w:rPr>
          <w:rFonts w:ascii="Arial" w:hAnsi="Arial" w:cs="Arial"/>
          <w:i/>
          <w:iCs/>
          <w:sz w:val="24"/>
          <w:szCs w:val="24"/>
        </w:rPr>
      </w:pPr>
      <w:r w:rsidRPr="003F5678">
        <w:rPr>
          <w:rFonts w:ascii="Arial" w:hAnsi="Arial" w:cs="Arial"/>
          <w:b/>
          <w:i/>
          <w:iCs/>
          <w:sz w:val="24"/>
          <w:szCs w:val="24"/>
        </w:rPr>
        <w:t>I.</w:t>
      </w:r>
      <w:r w:rsidRPr="003F5678">
        <w:rPr>
          <w:rFonts w:ascii="Arial" w:hAnsi="Arial" w:cs="Arial"/>
          <w:i/>
          <w:iCs/>
          <w:sz w:val="24"/>
          <w:szCs w:val="24"/>
        </w:rPr>
        <w:t xml:space="preserve"> Harán prueba plena la confesión expresa de las partes y los actos contenidos en documentos públicos, si en éstos últimos se contienen declaraciones de verdad o manifestaciones de hechos de particulares; y</w:t>
      </w:r>
    </w:p>
    <w:p w14:paraId="56735BC6" w14:textId="77777777" w:rsidR="001E445E" w:rsidRPr="003F5678" w:rsidRDefault="001E445E" w:rsidP="001E445E">
      <w:pPr>
        <w:pStyle w:val="Textonotapie"/>
        <w:spacing w:after="240" w:line="276" w:lineRule="auto"/>
        <w:ind w:left="567"/>
        <w:jc w:val="both"/>
        <w:rPr>
          <w:rFonts w:ascii="Arial" w:hAnsi="Arial" w:cs="Arial"/>
          <w:i/>
          <w:iCs/>
          <w:sz w:val="24"/>
          <w:szCs w:val="24"/>
        </w:rPr>
      </w:pPr>
      <w:r w:rsidRPr="003F5678">
        <w:rPr>
          <w:rFonts w:ascii="Arial" w:hAnsi="Arial" w:cs="Arial"/>
          <w:b/>
          <w:i/>
          <w:iCs/>
          <w:sz w:val="24"/>
          <w:szCs w:val="24"/>
        </w:rPr>
        <w:t>II.</w:t>
      </w:r>
      <w:r w:rsidRPr="003F5678">
        <w:rPr>
          <w:rFonts w:ascii="Arial" w:hAnsi="Arial" w:cs="Arial"/>
          <w:i/>
          <w:iCs/>
          <w:sz w:val="24"/>
          <w:szCs w:val="24"/>
        </w:rPr>
        <w:t xml:space="preserve"> El valor de la pericial y testimonial, así como el de las demás pruebas, quedará a la prudente y razonada apreciación del Tribunal.”</w:t>
      </w:r>
    </w:p>
    <w:p w14:paraId="22949525" w14:textId="77777777" w:rsidR="001E445E" w:rsidRPr="003F5678" w:rsidRDefault="001E445E" w:rsidP="001E445E">
      <w:pPr>
        <w:pStyle w:val="Textonotapie"/>
        <w:spacing w:after="240" w:line="360" w:lineRule="auto"/>
        <w:ind w:firstLine="567"/>
        <w:jc w:val="both"/>
        <w:rPr>
          <w:rFonts w:ascii="Arial" w:hAnsi="Arial" w:cs="Arial"/>
          <w:sz w:val="24"/>
          <w:szCs w:val="24"/>
        </w:rPr>
      </w:pPr>
      <w:r w:rsidRPr="003F5678">
        <w:rPr>
          <w:rFonts w:ascii="Arial" w:hAnsi="Arial" w:cs="Arial"/>
          <w:sz w:val="24"/>
          <w:szCs w:val="24"/>
        </w:rPr>
        <w:t>El artículo anteriormente transcrito contempla el sistema de valoración probatorio que rige en este Tribunal, siendo un sistema de valoración mixto, en razón de que la fracción primera contempla una valoración tasada en donde es la propia ley la que le asigna un grado de convicción a determinados tipos de pruebas; por su parte la fracción II, contempla un sistema de libre valoración, en donde la ley confiere al Juzgador, la facultad de asignarle valor probatorio que considere pertinente a cierto tipo de pruebas, teniendo como parámetro las reglas de la lógica, los conocimientos científicos afianzados y las máximas de la experiencia; por lo que, esta Sala Unitaria procederá a asignarles el valor probatorio correspondiente, a las pruebas ofrecidas por las partes al momento de realizar el estudio de fondo respectivo.</w:t>
      </w:r>
    </w:p>
    <w:p w14:paraId="392A7A98" w14:textId="77777777" w:rsidR="001E445E" w:rsidRPr="00AB0828" w:rsidRDefault="001E445E" w:rsidP="001E445E">
      <w:pPr>
        <w:pStyle w:val="Textonotapie"/>
        <w:spacing w:after="240" w:line="360" w:lineRule="auto"/>
        <w:ind w:firstLine="567"/>
        <w:jc w:val="both"/>
        <w:rPr>
          <w:rFonts w:ascii="Arial" w:hAnsi="Arial" w:cs="Arial"/>
          <w:sz w:val="24"/>
          <w:szCs w:val="24"/>
        </w:rPr>
      </w:pPr>
      <w:r w:rsidRPr="003F5678">
        <w:rPr>
          <w:rFonts w:ascii="Arial" w:hAnsi="Arial" w:cs="Arial"/>
          <w:sz w:val="24"/>
          <w:szCs w:val="24"/>
        </w:rPr>
        <w:t xml:space="preserve">Por tanto, y siendo que las manifestaciones de la autoridad demandada, no van encaminadas a controvertir la autenticidad de la documental ofrecida por la parte actora, tan es así que no ofrece medio probatorio alguno por medio del cual se acredite la falsedad o inexactitud del documento, pues solo se limitó a indicar las razones por las cuales se le debería de restar valor probatorio, lo cual será materia de análisis de esta Sala Unitaria al momento de realizar el estudio de fondo, por tanto, se declaran </w:t>
      </w:r>
      <w:r w:rsidRPr="003F5678">
        <w:rPr>
          <w:rFonts w:ascii="Arial" w:hAnsi="Arial" w:cs="Arial"/>
          <w:b/>
          <w:sz w:val="24"/>
          <w:szCs w:val="24"/>
        </w:rPr>
        <w:t xml:space="preserve">IMPROCEDENTES </w:t>
      </w:r>
      <w:r w:rsidRPr="003F5678">
        <w:rPr>
          <w:rFonts w:ascii="Arial" w:hAnsi="Arial" w:cs="Arial"/>
          <w:sz w:val="24"/>
          <w:szCs w:val="24"/>
        </w:rPr>
        <w:t xml:space="preserve">las objeciones realizadas por la autoridad demandada. </w:t>
      </w:r>
    </w:p>
    <w:p w14:paraId="2DADDE01" w14:textId="3CF60DFB" w:rsidR="001E445E" w:rsidRDefault="001E445E" w:rsidP="001E445E">
      <w:pPr>
        <w:spacing w:line="360" w:lineRule="auto"/>
        <w:ind w:firstLine="567"/>
        <w:jc w:val="both"/>
        <w:rPr>
          <w:rFonts w:ascii="Arial" w:hAnsi="Arial" w:cs="Arial"/>
          <w:sz w:val="24"/>
          <w:szCs w:val="24"/>
        </w:rPr>
      </w:pPr>
      <w:r w:rsidRPr="00C101F9">
        <w:rPr>
          <w:rFonts w:ascii="Arial" w:hAnsi="Arial" w:cs="Arial"/>
          <w:b/>
          <w:bCs/>
          <w:sz w:val="24"/>
          <w:szCs w:val="24"/>
        </w:rPr>
        <w:t xml:space="preserve">QUINTO. ESTUDIO </w:t>
      </w:r>
      <w:r>
        <w:rPr>
          <w:rFonts w:ascii="Arial" w:hAnsi="Arial" w:cs="Arial"/>
          <w:b/>
          <w:bCs/>
          <w:sz w:val="24"/>
          <w:szCs w:val="24"/>
        </w:rPr>
        <w:t>DE FONDO</w:t>
      </w:r>
      <w:r w:rsidRPr="00C101F9">
        <w:rPr>
          <w:rFonts w:ascii="Arial" w:hAnsi="Arial" w:cs="Arial"/>
          <w:b/>
          <w:bCs/>
          <w:sz w:val="24"/>
          <w:szCs w:val="24"/>
        </w:rPr>
        <w:t>.</w:t>
      </w:r>
      <w:r>
        <w:rPr>
          <w:rFonts w:ascii="Arial" w:hAnsi="Arial" w:cs="Arial"/>
          <w:sz w:val="24"/>
          <w:szCs w:val="24"/>
        </w:rPr>
        <w:t xml:space="preserve"> </w:t>
      </w:r>
      <w:r w:rsidRPr="00BD4FC7">
        <w:rPr>
          <w:rFonts w:ascii="Arial" w:hAnsi="Arial" w:cs="Arial"/>
          <w:sz w:val="24"/>
          <w:szCs w:val="24"/>
        </w:rPr>
        <w:t xml:space="preserve">Esta Sala </w:t>
      </w:r>
      <w:r>
        <w:rPr>
          <w:rFonts w:ascii="Arial" w:hAnsi="Arial" w:cs="Arial"/>
          <w:sz w:val="24"/>
          <w:szCs w:val="24"/>
        </w:rPr>
        <w:t>Unitaria al</w:t>
      </w:r>
      <w:r w:rsidRPr="00BD4FC7">
        <w:rPr>
          <w:rFonts w:ascii="Arial" w:hAnsi="Arial" w:cs="Arial"/>
          <w:sz w:val="24"/>
          <w:szCs w:val="24"/>
        </w:rPr>
        <w:t xml:space="preserve"> realiza</w:t>
      </w:r>
      <w:r w:rsidR="002F47FD">
        <w:rPr>
          <w:rFonts w:ascii="Arial" w:hAnsi="Arial" w:cs="Arial"/>
          <w:sz w:val="24"/>
          <w:szCs w:val="24"/>
        </w:rPr>
        <w:t>r</w:t>
      </w:r>
      <w:r w:rsidRPr="00BD4FC7">
        <w:rPr>
          <w:rFonts w:ascii="Arial" w:hAnsi="Arial" w:cs="Arial"/>
          <w:sz w:val="24"/>
          <w:szCs w:val="24"/>
        </w:rPr>
        <w:t xml:space="preserve"> un estudio minucioso y pormenorizado del oficio número </w:t>
      </w:r>
      <w:bookmarkStart w:id="3" w:name="_Hlk124431091"/>
      <w:r>
        <w:rPr>
          <w:rFonts w:ascii="Arial" w:hAnsi="Arial" w:cs="Arial"/>
          <w:bCs/>
          <w:spacing w:val="-3"/>
          <w:sz w:val="24"/>
          <w:szCs w:val="27"/>
          <w:lang w:val="es-ES_tradnl"/>
        </w:rPr>
        <w:t>OP/DG/</w:t>
      </w:r>
      <w:r w:rsidR="009A165A">
        <w:rPr>
          <w:rFonts w:ascii="Arial" w:hAnsi="Arial" w:cs="Arial"/>
          <w:bCs/>
          <w:spacing w:val="-3"/>
          <w:sz w:val="24"/>
          <w:szCs w:val="27"/>
          <w:lang w:val="es-ES_tradnl"/>
        </w:rPr>
        <w:t>*****</w:t>
      </w:r>
      <w:r>
        <w:rPr>
          <w:rFonts w:ascii="Arial" w:hAnsi="Arial" w:cs="Arial"/>
          <w:bCs/>
          <w:spacing w:val="-3"/>
          <w:sz w:val="24"/>
          <w:szCs w:val="27"/>
          <w:lang w:val="es-ES_tradnl"/>
        </w:rPr>
        <w:t>/</w:t>
      </w:r>
      <w:r w:rsidR="009A165A">
        <w:rPr>
          <w:rFonts w:ascii="Arial" w:hAnsi="Arial" w:cs="Arial"/>
          <w:bCs/>
          <w:spacing w:val="-3"/>
          <w:sz w:val="24"/>
          <w:szCs w:val="27"/>
          <w:lang w:val="es-ES_tradnl"/>
        </w:rPr>
        <w:t>****</w:t>
      </w:r>
      <w:r>
        <w:rPr>
          <w:rFonts w:ascii="Arial" w:hAnsi="Arial" w:cs="Arial"/>
          <w:bCs/>
          <w:spacing w:val="-3"/>
          <w:sz w:val="24"/>
          <w:szCs w:val="27"/>
          <w:lang w:val="es-ES_tradnl"/>
        </w:rPr>
        <w:t xml:space="preserve">, de fecha </w:t>
      </w:r>
      <w:r w:rsidR="009A165A">
        <w:rPr>
          <w:rFonts w:ascii="Arial" w:hAnsi="Arial" w:cs="Arial"/>
          <w:bCs/>
          <w:spacing w:val="-3"/>
          <w:sz w:val="24"/>
          <w:szCs w:val="27"/>
          <w:lang w:val="es-ES_tradnl"/>
        </w:rPr>
        <w:t>*****</w:t>
      </w:r>
      <w:r w:rsidR="00872189">
        <w:rPr>
          <w:rFonts w:ascii="Arial" w:hAnsi="Arial" w:cs="Arial"/>
          <w:bCs/>
          <w:spacing w:val="-3"/>
          <w:sz w:val="24"/>
          <w:szCs w:val="27"/>
          <w:lang w:val="es-ES_tradnl"/>
        </w:rPr>
        <w:t xml:space="preserve"> </w:t>
      </w:r>
      <w:r>
        <w:rPr>
          <w:rFonts w:ascii="Arial" w:hAnsi="Arial" w:cs="Arial"/>
          <w:bCs/>
          <w:spacing w:val="-3"/>
          <w:sz w:val="24"/>
          <w:szCs w:val="27"/>
          <w:lang w:val="es-ES_tradnl"/>
        </w:rPr>
        <w:t>de</w:t>
      </w:r>
      <w:r w:rsidR="009A165A">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de dos mil </w:t>
      </w:r>
      <w:bookmarkEnd w:id="3"/>
      <w:r w:rsidR="009A165A">
        <w:rPr>
          <w:rFonts w:ascii="Arial" w:hAnsi="Arial" w:cs="Arial"/>
          <w:bCs/>
          <w:spacing w:val="-3"/>
          <w:sz w:val="24"/>
          <w:szCs w:val="27"/>
          <w:lang w:val="es-ES_tradnl"/>
        </w:rPr>
        <w:t>*****</w:t>
      </w:r>
      <w:r w:rsidRPr="00BD4FC7">
        <w:rPr>
          <w:rFonts w:ascii="Arial" w:hAnsi="Arial" w:cs="Arial"/>
          <w:sz w:val="24"/>
          <w:szCs w:val="24"/>
        </w:rPr>
        <w:t>, emitido por</w:t>
      </w:r>
      <w:r w:rsidR="00872189">
        <w:rPr>
          <w:rFonts w:ascii="Arial" w:hAnsi="Arial" w:cs="Arial"/>
          <w:sz w:val="24"/>
          <w:szCs w:val="24"/>
        </w:rPr>
        <w:t xml:space="preserve"> </w:t>
      </w:r>
      <w:r w:rsidR="001835B5">
        <w:rPr>
          <w:rFonts w:ascii="Arial" w:hAnsi="Arial" w:cs="Arial"/>
          <w:sz w:val="24"/>
          <w:szCs w:val="24"/>
        </w:rPr>
        <w:t>el</w:t>
      </w:r>
      <w:r w:rsidRPr="00BD4FC7">
        <w:rPr>
          <w:rFonts w:ascii="Arial" w:hAnsi="Arial" w:cs="Arial"/>
          <w:sz w:val="24"/>
          <w:szCs w:val="24"/>
        </w:rPr>
        <w:t xml:space="preserve"> Director General de la Oficina de Pensiones del Estado </w:t>
      </w:r>
      <w:r>
        <w:rPr>
          <w:rFonts w:ascii="Arial" w:hAnsi="Arial" w:cs="Arial"/>
          <w:sz w:val="24"/>
          <w:szCs w:val="24"/>
        </w:rPr>
        <w:t>de Oaxaca (foja 1</w:t>
      </w:r>
      <w:r w:rsidR="00872189">
        <w:rPr>
          <w:rFonts w:ascii="Arial" w:hAnsi="Arial" w:cs="Arial"/>
          <w:sz w:val="24"/>
          <w:szCs w:val="24"/>
        </w:rPr>
        <w:t>5</w:t>
      </w:r>
      <w:r>
        <w:rPr>
          <w:rFonts w:ascii="Arial" w:hAnsi="Arial" w:cs="Arial"/>
          <w:sz w:val="24"/>
          <w:szCs w:val="24"/>
        </w:rPr>
        <w:t>), en términos del artículo 20</w:t>
      </w:r>
      <w:r w:rsidRPr="00BD4FC7">
        <w:rPr>
          <w:rFonts w:ascii="Arial" w:hAnsi="Arial" w:cs="Arial"/>
          <w:sz w:val="24"/>
          <w:szCs w:val="24"/>
        </w:rPr>
        <w:t xml:space="preserve">3 fracción I de la Ley de </w:t>
      </w:r>
      <w:r>
        <w:rPr>
          <w:rFonts w:ascii="Arial" w:hAnsi="Arial" w:cs="Arial"/>
          <w:sz w:val="24"/>
          <w:szCs w:val="24"/>
        </w:rPr>
        <w:t xml:space="preserve">Procedimiento y </w:t>
      </w:r>
      <w:r w:rsidRPr="00BD4FC7">
        <w:rPr>
          <w:rFonts w:ascii="Arial" w:hAnsi="Arial" w:cs="Arial"/>
          <w:sz w:val="24"/>
          <w:szCs w:val="24"/>
        </w:rPr>
        <w:t>Justicia Administrativa para el Estado de Oaxaca,</w:t>
      </w:r>
      <w:r>
        <w:rPr>
          <w:rFonts w:ascii="Arial" w:hAnsi="Arial" w:cs="Arial"/>
          <w:sz w:val="24"/>
          <w:szCs w:val="24"/>
        </w:rPr>
        <w:t xml:space="preserve"> se le otorga</w:t>
      </w:r>
      <w:r w:rsidRPr="00BD4FC7">
        <w:rPr>
          <w:rFonts w:ascii="Arial" w:hAnsi="Arial" w:cs="Arial"/>
          <w:sz w:val="24"/>
          <w:szCs w:val="24"/>
        </w:rPr>
        <w:t xml:space="preserve"> valor </w:t>
      </w:r>
      <w:r w:rsidRPr="00BD4FC7">
        <w:rPr>
          <w:rFonts w:ascii="Arial" w:hAnsi="Arial" w:cs="Arial"/>
          <w:sz w:val="24"/>
          <w:szCs w:val="24"/>
        </w:rPr>
        <w:lastRenderedPageBreak/>
        <w:t>probatorio pleno al</w:t>
      </w:r>
      <w:r>
        <w:rPr>
          <w:rFonts w:ascii="Arial" w:hAnsi="Arial" w:cs="Arial"/>
          <w:sz w:val="24"/>
          <w:szCs w:val="24"/>
        </w:rPr>
        <w:t xml:space="preserve"> tratarse de un </w:t>
      </w:r>
      <w:r w:rsidRPr="00BD4FC7">
        <w:rPr>
          <w:rFonts w:ascii="Arial" w:hAnsi="Arial" w:cs="Arial"/>
          <w:sz w:val="24"/>
          <w:szCs w:val="24"/>
        </w:rPr>
        <w:t>documento público,</w:t>
      </w:r>
      <w:r>
        <w:rPr>
          <w:rFonts w:ascii="Arial" w:hAnsi="Arial" w:cs="Arial"/>
          <w:sz w:val="24"/>
          <w:szCs w:val="24"/>
        </w:rPr>
        <w:t xml:space="preserve"> </w:t>
      </w:r>
      <w:r w:rsidRPr="00BD4FC7">
        <w:rPr>
          <w:rFonts w:ascii="Arial" w:hAnsi="Arial" w:cs="Arial"/>
          <w:sz w:val="24"/>
          <w:szCs w:val="24"/>
        </w:rPr>
        <w:t>expedido por funcionario público en ejercici</w:t>
      </w:r>
      <w:r>
        <w:rPr>
          <w:rFonts w:ascii="Arial" w:hAnsi="Arial" w:cs="Arial"/>
          <w:sz w:val="24"/>
          <w:szCs w:val="24"/>
        </w:rPr>
        <w:t xml:space="preserve">o de sus funciones </w:t>
      </w:r>
      <w:r w:rsidRPr="00695463">
        <w:rPr>
          <w:rFonts w:ascii="Arial" w:hAnsi="Arial" w:cs="Arial"/>
          <w:sz w:val="24"/>
          <w:szCs w:val="24"/>
        </w:rPr>
        <w:t>y consta en copia certificada ante fedatario público</w:t>
      </w:r>
      <w:r>
        <w:rPr>
          <w:rFonts w:ascii="Arial" w:hAnsi="Arial" w:cs="Arial"/>
          <w:sz w:val="24"/>
          <w:szCs w:val="24"/>
        </w:rPr>
        <w:t>, el cual</w:t>
      </w:r>
      <w:r w:rsidRPr="00695463">
        <w:rPr>
          <w:rFonts w:ascii="Arial" w:hAnsi="Arial" w:cs="Arial"/>
          <w:sz w:val="24"/>
          <w:szCs w:val="24"/>
        </w:rPr>
        <w:t xml:space="preserve"> fue reconocido como</w:t>
      </w:r>
      <w:r>
        <w:rPr>
          <w:rFonts w:ascii="Arial" w:hAnsi="Arial" w:cs="Arial"/>
          <w:sz w:val="24"/>
          <w:szCs w:val="24"/>
        </w:rPr>
        <w:t xml:space="preserve"> auténtico </w:t>
      </w:r>
      <w:r w:rsidRPr="00695463">
        <w:rPr>
          <w:rFonts w:ascii="Arial" w:hAnsi="Arial" w:cs="Arial"/>
          <w:sz w:val="24"/>
          <w:szCs w:val="24"/>
        </w:rPr>
        <w:t>por las partes dentro del presente ju</w:t>
      </w:r>
      <w:r>
        <w:rPr>
          <w:rFonts w:ascii="Arial" w:hAnsi="Arial" w:cs="Arial"/>
          <w:sz w:val="24"/>
          <w:szCs w:val="24"/>
        </w:rPr>
        <w:t>icio</w:t>
      </w:r>
      <w:r w:rsidRPr="00BD4FC7">
        <w:rPr>
          <w:rFonts w:ascii="Arial" w:hAnsi="Arial" w:cs="Arial"/>
          <w:sz w:val="24"/>
          <w:szCs w:val="24"/>
        </w:rPr>
        <w:t xml:space="preserve">. </w:t>
      </w:r>
    </w:p>
    <w:p w14:paraId="46061D92" w14:textId="42EB67DE" w:rsidR="001E445E" w:rsidRDefault="001E445E" w:rsidP="001E445E">
      <w:pPr>
        <w:spacing w:line="360" w:lineRule="auto"/>
        <w:ind w:firstLine="567"/>
        <w:jc w:val="both"/>
        <w:rPr>
          <w:rFonts w:ascii="Arial" w:hAnsi="Arial" w:cs="Arial"/>
          <w:sz w:val="24"/>
          <w:szCs w:val="24"/>
        </w:rPr>
      </w:pPr>
      <w:r>
        <w:rPr>
          <w:rFonts w:ascii="Arial" w:hAnsi="Arial" w:cs="Arial"/>
          <w:bCs/>
          <w:spacing w:val="-3"/>
          <w:sz w:val="24"/>
          <w:szCs w:val="27"/>
          <w:lang w:val="es-ES_tradnl"/>
        </w:rPr>
        <w:t>Ahora, del análisis hecho al oficio impugnado, se advierte que la autoridad demandada autorizó la pensión por jubilación al actor, por</w:t>
      </w:r>
      <w:r>
        <w:rPr>
          <w:rFonts w:ascii="Arial" w:hAnsi="Arial" w:cs="Arial"/>
          <w:sz w:val="24"/>
          <w:szCs w:val="24"/>
        </w:rPr>
        <w:t xml:space="preserve"> </w:t>
      </w:r>
      <w:r w:rsidRPr="00BD4FC7">
        <w:rPr>
          <w:rFonts w:ascii="Arial" w:hAnsi="Arial" w:cs="Arial"/>
          <w:sz w:val="24"/>
          <w:szCs w:val="24"/>
        </w:rPr>
        <w:t>el 100% de</w:t>
      </w:r>
      <w:r>
        <w:rPr>
          <w:rFonts w:ascii="Arial" w:hAnsi="Arial" w:cs="Arial"/>
          <w:sz w:val="24"/>
          <w:szCs w:val="24"/>
        </w:rPr>
        <w:t xml:space="preserve"> su </w:t>
      </w:r>
      <w:r w:rsidRPr="00BD4FC7">
        <w:rPr>
          <w:rFonts w:ascii="Arial" w:hAnsi="Arial" w:cs="Arial"/>
          <w:sz w:val="24"/>
          <w:szCs w:val="24"/>
        </w:rPr>
        <w:t>sueldo base que percibía</w:t>
      </w:r>
      <w:r>
        <w:rPr>
          <w:rFonts w:ascii="Arial" w:hAnsi="Arial" w:cs="Arial"/>
          <w:sz w:val="24"/>
          <w:szCs w:val="24"/>
        </w:rPr>
        <w:t xml:space="preserve"> como</w:t>
      </w:r>
      <w:r w:rsidR="003747A9">
        <w:rPr>
          <w:rFonts w:ascii="Arial" w:hAnsi="Arial" w:cs="Arial"/>
          <w:sz w:val="24"/>
          <w:szCs w:val="24"/>
        </w:rPr>
        <w:t xml:space="preserve"> </w:t>
      </w:r>
      <w:r w:rsidR="009A165A">
        <w:rPr>
          <w:rFonts w:ascii="Arial" w:hAnsi="Arial" w:cs="Arial"/>
          <w:sz w:val="24"/>
          <w:szCs w:val="24"/>
        </w:rPr>
        <w:t>***** *****</w:t>
      </w:r>
      <w:r>
        <w:rPr>
          <w:rFonts w:ascii="Arial" w:hAnsi="Arial" w:cs="Arial"/>
          <w:sz w:val="24"/>
          <w:szCs w:val="24"/>
        </w:rPr>
        <w:t xml:space="preserve">, por la </w:t>
      </w:r>
      <w:r w:rsidRPr="00BD4FC7">
        <w:rPr>
          <w:rFonts w:ascii="Arial" w:hAnsi="Arial" w:cs="Arial"/>
          <w:sz w:val="24"/>
          <w:szCs w:val="24"/>
        </w:rPr>
        <w:t xml:space="preserve">cantidad de </w:t>
      </w:r>
      <w:r w:rsidR="009A165A">
        <w:rPr>
          <w:rFonts w:ascii="Arial" w:hAnsi="Arial" w:cs="Arial"/>
          <w:sz w:val="24"/>
          <w:szCs w:val="24"/>
        </w:rPr>
        <w:t>*****</w:t>
      </w:r>
      <w:r>
        <w:rPr>
          <w:rFonts w:ascii="Arial" w:hAnsi="Arial" w:cs="Arial"/>
          <w:sz w:val="24"/>
          <w:szCs w:val="24"/>
        </w:rPr>
        <w:t xml:space="preserve"> (</w:t>
      </w:r>
      <w:r w:rsidR="009A165A">
        <w:rPr>
          <w:rFonts w:ascii="Arial" w:hAnsi="Arial" w:cs="Arial"/>
          <w:sz w:val="24"/>
          <w:szCs w:val="24"/>
        </w:rPr>
        <w:t>****</w:t>
      </w:r>
      <w:r>
        <w:rPr>
          <w:rFonts w:ascii="Arial" w:hAnsi="Arial" w:cs="Arial"/>
          <w:sz w:val="24"/>
          <w:szCs w:val="24"/>
        </w:rPr>
        <w:t xml:space="preserve"> </w:t>
      </w:r>
      <w:r w:rsidR="009A165A">
        <w:rPr>
          <w:rFonts w:ascii="Arial" w:hAnsi="Arial" w:cs="Arial"/>
          <w:sz w:val="24"/>
          <w:szCs w:val="24"/>
        </w:rPr>
        <w:t>*****</w:t>
      </w:r>
      <w:r>
        <w:rPr>
          <w:rFonts w:ascii="Arial" w:hAnsi="Arial" w:cs="Arial"/>
          <w:sz w:val="24"/>
          <w:szCs w:val="24"/>
        </w:rPr>
        <w:t xml:space="preserve"> </w:t>
      </w:r>
      <w:r w:rsidR="009A165A">
        <w:rPr>
          <w:rFonts w:ascii="Arial" w:hAnsi="Arial" w:cs="Arial"/>
          <w:sz w:val="24"/>
          <w:szCs w:val="24"/>
        </w:rPr>
        <w:t>*****</w:t>
      </w:r>
      <w:r>
        <w:rPr>
          <w:rFonts w:ascii="Arial" w:hAnsi="Arial" w:cs="Arial"/>
          <w:sz w:val="24"/>
          <w:szCs w:val="24"/>
        </w:rPr>
        <w:t xml:space="preserve"> </w:t>
      </w:r>
      <w:r w:rsidR="009A165A">
        <w:rPr>
          <w:rFonts w:ascii="Arial" w:hAnsi="Arial" w:cs="Arial"/>
          <w:sz w:val="24"/>
          <w:szCs w:val="24"/>
        </w:rPr>
        <w:t>****</w:t>
      </w:r>
      <w:r>
        <w:rPr>
          <w:rFonts w:ascii="Arial" w:hAnsi="Arial" w:cs="Arial"/>
          <w:sz w:val="24"/>
          <w:szCs w:val="24"/>
        </w:rPr>
        <w:t xml:space="preserve"> pesos, 00/100, Moneda Nacional)</w:t>
      </w:r>
      <w:r>
        <w:rPr>
          <w:rStyle w:val="Refdenotaalpie"/>
          <w:rFonts w:ascii="Arial" w:hAnsi="Arial" w:cs="Arial"/>
          <w:sz w:val="24"/>
          <w:szCs w:val="24"/>
        </w:rPr>
        <w:footnoteReference w:id="5"/>
      </w:r>
      <w:r>
        <w:rPr>
          <w:rFonts w:ascii="Arial" w:hAnsi="Arial" w:cs="Arial"/>
          <w:sz w:val="24"/>
          <w:szCs w:val="24"/>
        </w:rPr>
        <w:t>.</w:t>
      </w:r>
    </w:p>
    <w:p w14:paraId="73A931D1" w14:textId="0E766396" w:rsidR="001E445E" w:rsidRPr="00BD4FC7" w:rsidRDefault="001E445E" w:rsidP="001E445E">
      <w:pPr>
        <w:spacing w:line="360" w:lineRule="auto"/>
        <w:ind w:firstLine="567"/>
        <w:jc w:val="both"/>
        <w:rPr>
          <w:rFonts w:ascii="Arial" w:hAnsi="Arial" w:cs="Arial"/>
          <w:sz w:val="24"/>
          <w:szCs w:val="24"/>
        </w:rPr>
      </w:pPr>
      <w:r>
        <w:rPr>
          <w:rFonts w:ascii="Arial" w:hAnsi="Arial" w:cs="Arial"/>
          <w:sz w:val="24"/>
          <w:szCs w:val="24"/>
        </w:rPr>
        <w:t xml:space="preserve">A este respecto, es oportuno mencionar que el acto impugnado </w:t>
      </w:r>
      <w:r w:rsidRPr="00BD4FC7">
        <w:rPr>
          <w:rFonts w:ascii="Arial" w:hAnsi="Arial" w:cs="Arial"/>
          <w:sz w:val="24"/>
          <w:szCs w:val="24"/>
        </w:rPr>
        <w:t xml:space="preserve">no cumple con el requisito de validez del acto administrativo previsto </w:t>
      </w:r>
      <w:r>
        <w:rPr>
          <w:rFonts w:ascii="Arial" w:hAnsi="Arial" w:cs="Arial"/>
          <w:sz w:val="24"/>
          <w:szCs w:val="24"/>
        </w:rPr>
        <w:t xml:space="preserve">en la fracción </w:t>
      </w:r>
      <w:r w:rsidRPr="00BD4FC7">
        <w:rPr>
          <w:rFonts w:ascii="Arial" w:hAnsi="Arial" w:cs="Arial"/>
          <w:sz w:val="24"/>
          <w:szCs w:val="24"/>
        </w:rPr>
        <w:t>V del artículo 17, en relación con el artículo 208 fracciones II y VI de la Ley de Procedimiento y Justicia Administrativa para el Estado de Oaxaca, vulnerándose</w:t>
      </w:r>
      <w:r>
        <w:rPr>
          <w:rFonts w:ascii="Arial" w:hAnsi="Arial" w:cs="Arial"/>
          <w:sz w:val="24"/>
          <w:szCs w:val="24"/>
        </w:rPr>
        <w:t xml:space="preserve"> </w:t>
      </w:r>
      <w:r w:rsidRPr="00BD4FC7">
        <w:rPr>
          <w:rFonts w:ascii="Arial" w:hAnsi="Arial" w:cs="Arial"/>
          <w:sz w:val="24"/>
          <w:szCs w:val="24"/>
        </w:rPr>
        <w:t>el derecho a la igualdad de</w:t>
      </w:r>
      <w:r>
        <w:rPr>
          <w:rFonts w:ascii="Arial" w:hAnsi="Arial" w:cs="Arial"/>
          <w:sz w:val="24"/>
          <w:szCs w:val="24"/>
        </w:rPr>
        <w:t>l</w:t>
      </w:r>
      <w:r w:rsidRPr="00BD4FC7">
        <w:rPr>
          <w:rFonts w:ascii="Arial" w:hAnsi="Arial" w:cs="Arial"/>
          <w:sz w:val="24"/>
          <w:szCs w:val="24"/>
        </w:rPr>
        <w:t xml:space="preserve"> actor, así como sus derechos adquiridos,</w:t>
      </w:r>
      <w:r>
        <w:rPr>
          <w:rFonts w:ascii="Arial" w:hAnsi="Arial" w:cs="Arial"/>
          <w:sz w:val="24"/>
          <w:szCs w:val="24"/>
        </w:rPr>
        <w:t xml:space="preserve"> dado </w:t>
      </w:r>
      <w:r w:rsidRPr="00BD4FC7">
        <w:rPr>
          <w:rFonts w:ascii="Arial" w:hAnsi="Arial" w:cs="Arial"/>
          <w:sz w:val="24"/>
          <w:szCs w:val="24"/>
        </w:rPr>
        <w:t>que la autoridad demandada</w:t>
      </w:r>
      <w:r w:rsidR="00910927">
        <w:rPr>
          <w:rFonts w:ascii="Arial" w:hAnsi="Arial" w:cs="Arial"/>
          <w:sz w:val="24"/>
          <w:szCs w:val="24"/>
        </w:rPr>
        <w:t xml:space="preserve"> menciona</w:t>
      </w:r>
      <w:r w:rsidRPr="00BD4FC7">
        <w:rPr>
          <w:rFonts w:ascii="Arial" w:hAnsi="Arial" w:cs="Arial"/>
          <w:sz w:val="24"/>
          <w:szCs w:val="24"/>
        </w:rPr>
        <w:t xml:space="preserve"> en su escrito de c</w:t>
      </w:r>
      <w:r>
        <w:rPr>
          <w:rFonts w:ascii="Arial" w:hAnsi="Arial" w:cs="Arial"/>
          <w:sz w:val="24"/>
          <w:szCs w:val="24"/>
        </w:rPr>
        <w:t xml:space="preserve">ontestación de demanda </w:t>
      </w:r>
      <w:r w:rsidRPr="0044789D">
        <w:rPr>
          <w:rFonts w:ascii="Arial" w:hAnsi="Arial" w:cs="Arial"/>
          <w:sz w:val="24"/>
          <w:szCs w:val="24"/>
        </w:rPr>
        <w:t xml:space="preserve">que, por tratarse de </w:t>
      </w:r>
      <w:r w:rsidRPr="00C92D12">
        <w:rPr>
          <w:rFonts w:ascii="Arial" w:hAnsi="Arial" w:cs="Arial"/>
          <w:sz w:val="24"/>
          <w:szCs w:val="24"/>
        </w:rPr>
        <w:t>un trabajador de confianza y no de base,</w:t>
      </w:r>
      <w:r w:rsidRPr="0044789D">
        <w:rPr>
          <w:rFonts w:ascii="Arial" w:hAnsi="Arial" w:cs="Arial"/>
          <w:sz w:val="24"/>
          <w:szCs w:val="24"/>
        </w:rPr>
        <w:t xml:space="preserve"> no se ubica en el supuesto que contempla el artículo 54 fracción I de la </w:t>
      </w:r>
      <w:bookmarkStart w:id="4" w:name="_Hlk121134684"/>
      <w:r w:rsidRPr="0044789D">
        <w:rPr>
          <w:rFonts w:ascii="Arial" w:hAnsi="Arial" w:cs="Arial"/>
          <w:sz w:val="24"/>
          <w:szCs w:val="24"/>
        </w:rPr>
        <w:t>Ley de Pensiones para los trabajadores del Gobierno del Estado de Oaxaca</w:t>
      </w:r>
      <w:bookmarkEnd w:id="4"/>
      <w:r>
        <w:rPr>
          <w:rFonts w:ascii="Arial" w:hAnsi="Arial" w:cs="Arial"/>
          <w:sz w:val="24"/>
          <w:szCs w:val="24"/>
        </w:rPr>
        <w:t xml:space="preserve"> vigente</w:t>
      </w:r>
      <w:r w:rsidRPr="0044789D">
        <w:rPr>
          <w:rFonts w:ascii="Arial" w:hAnsi="Arial" w:cs="Arial"/>
          <w:sz w:val="24"/>
          <w:szCs w:val="24"/>
        </w:rPr>
        <w:t>, el cual se transcribe para su mayor compresión:</w:t>
      </w:r>
    </w:p>
    <w:p w14:paraId="3CE91F94" w14:textId="77777777" w:rsidR="001E445E" w:rsidRPr="00D435FD" w:rsidRDefault="001E445E" w:rsidP="001E445E">
      <w:pPr>
        <w:ind w:left="567"/>
        <w:jc w:val="both"/>
        <w:rPr>
          <w:rFonts w:ascii="Arial" w:hAnsi="Arial" w:cs="Arial"/>
          <w:i/>
          <w:sz w:val="24"/>
          <w:szCs w:val="24"/>
        </w:rPr>
      </w:pPr>
      <w:r>
        <w:rPr>
          <w:rFonts w:ascii="Arial" w:hAnsi="Arial" w:cs="Arial"/>
          <w:b/>
          <w:i/>
          <w:sz w:val="24"/>
          <w:szCs w:val="24"/>
        </w:rPr>
        <w:t>“</w:t>
      </w:r>
      <w:r w:rsidRPr="00D435FD">
        <w:rPr>
          <w:rFonts w:ascii="Arial" w:hAnsi="Arial" w:cs="Arial"/>
          <w:b/>
          <w:i/>
          <w:sz w:val="24"/>
          <w:szCs w:val="24"/>
        </w:rPr>
        <w:t>Artículo 54.-</w:t>
      </w:r>
      <w:r w:rsidRPr="00D435FD">
        <w:rPr>
          <w:rFonts w:ascii="Arial" w:hAnsi="Arial" w:cs="Arial"/>
          <w:i/>
          <w:sz w:val="24"/>
          <w:szCs w:val="24"/>
        </w:rPr>
        <w:t xml:space="preserve"> Al monto resultante de la pensión señaladas en el artículo anterior, se integrarán las prestaciones siguientes:</w:t>
      </w:r>
    </w:p>
    <w:p w14:paraId="566D45F5" w14:textId="77777777" w:rsidR="001E445E" w:rsidRPr="00D435FD" w:rsidRDefault="001E445E" w:rsidP="001E445E">
      <w:pPr>
        <w:ind w:left="567"/>
        <w:jc w:val="both"/>
        <w:rPr>
          <w:rFonts w:ascii="Arial" w:hAnsi="Arial" w:cs="Arial"/>
          <w:i/>
          <w:sz w:val="24"/>
          <w:szCs w:val="24"/>
        </w:rPr>
      </w:pPr>
      <w:r w:rsidRPr="00D435FD">
        <w:rPr>
          <w:rFonts w:ascii="Arial" w:hAnsi="Arial" w:cs="Arial"/>
          <w:i/>
          <w:sz w:val="24"/>
          <w:szCs w:val="24"/>
        </w:rPr>
        <w:t>I. Jubilados: tratándose solo</w:t>
      </w:r>
      <w:r>
        <w:rPr>
          <w:rFonts w:ascii="Arial" w:hAnsi="Arial" w:cs="Arial"/>
          <w:i/>
          <w:sz w:val="24"/>
          <w:szCs w:val="24"/>
        </w:rPr>
        <w:t xml:space="preserve"> de</w:t>
      </w:r>
      <w:r w:rsidRPr="00D435FD">
        <w:rPr>
          <w:rFonts w:ascii="Arial" w:hAnsi="Arial" w:cs="Arial"/>
          <w:i/>
          <w:sz w:val="24"/>
          <w:szCs w:val="24"/>
        </w:rPr>
        <w:t xml:space="preserve"> aquellos que fueron trabajadores de base</w:t>
      </w:r>
      <w:r>
        <w:rPr>
          <w:rFonts w:ascii="Arial" w:hAnsi="Arial" w:cs="Arial"/>
          <w:i/>
          <w:sz w:val="24"/>
          <w:szCs w:val="24"/>
        </w:rPr>
        <w:t xml:space="preserve"> o confianza</w:t>
      </w:r>
      <w:r w:rsidRPr="00D435FD">
        <w:rPr>
          <w:rFonts w:ascii="Arial" w:hAnsi="Arial" w:cs="Arial"/>
          <w:i/>
          <w:sz w:val="24"/>
          <w:szCs w:val="24"/>
        </w:rPr>
        <w:t xml:space="preserve"> se integrarán la previsión social múltiple, despensa, vida cara, quinquenios, aguinaldo, estímulo</w:t>
      </w:r>
      <w:r>
        <w:rPr>
          <w:rFonts w:ascii="Arial" w:hAnsi="Arial" w:cs="Arial"/>
          <w:i/>
          <w:sz w:val="24"/>
          <w:szCs w:val="24"/>
        </w:rPr>
        <w:t xml:space="preserve"> del día</w:t>
      </w:r>
      <w:r w:rsidRPr="00D435FD">
        <w:rPr>
          <w:rFonts w:ascii="Arial" w:hAnsi="Arial" w:cs="Arial"/>
          <w:i/>
          <w:sz w:val="24"/>
          <w:szCs w:val="24"/>
        </w:rPr>
        <w:t xml:space="preserve"> del jubilado, día de las madres y canasta navideña.</w:t>
      </w:r>
      <w:r>
        <w:rPr>
          <w:rFonts w:ascii="Arial" w:hAnsi="Arial" w:cs="Arial"/>
          <w:i/>
          <w:sz w:val="24"/>
          <w:szCs w:val="24"/>
        </w:rPr>
        <w:t>”</w:t>
      </w:r>
    </w:p>
    <w:p w14:paraId="3921B600" w14:textId="27AF0F9C" w:rsidR="001E445E" w:rsidRPr="00BD4FC7" w:rsidRDefault="004366EC" w:rsidP="001E445E">
      <w:pPr>
        <w:spacing w:line="360" w:lineRule="auto"/>
        <w:ind w:firstLine="567"/>
        <w:jc w:val="both"/>
        <w:rPr>
          <w:rFonts w:ascii="Arial" w:hAnsi="Arial" w:cs="Arial"/>
          <w:sz w:val="24"/>
          <w:szCs w:val="24"/>
        </w:rPr>
      </w:pPr>
      <w:r>
        <w:rPr>
          <w:rFonts w:ascii="Arial" w:hAnsi="Arial" w:cs="Arial"/>
          <w:sz w:val="24"/>
          <w:szCs w:val="24"/>
        </w:rPr>
        <w:t>D</w:t>
      </w:r>
      <w:r w:rsidR="001E445E" w:rsidRPr="00AA6F98">
        <w:rPr>
          <w:rFonts w:ascii="Arial" w:hAnsi="Arial" w:cs="Arial"/>
          <w:sz w:val="24"/>
          <w:szCs w:val="24"/>
        </w:rPr>
        <w:t xml:space="preserve">el citado artículo se advierte que los jubilados de base y de confianza gozarán de la previsión social múltiple, así como de los demás conceptos que menciona dicha fracción; </w:t>
      </w:r>
      <w:r w:rsidR="001E445E" w:rsidRPr="00857786">
        <w:rPr>
          <w:rFonts w:ascii="Arial" w:hAnsi="Arial" w:cs="Arial"/>
          <w:sz w:val="24"/>
          <w:szCs w:val="24"/>
        </w:rPr>
        <w:t>también es verdad, que antes de la reforma de fecha veinti</w:t>
      </w:r>
      <w:r w:rsidR="001E445E">
        <w:rPr>
          <w:rFonts w:ascii="Arial" w:hAnsi="Arial" w:cs="Arial"/>
          <w:sz w:val="24"/>
          <w:szCs w:val="24"/>
        </w:rPr>
        <w:t>dós</w:t>
      </w:r>
      <w:r w:rsidR="001E445E" w:rsidRPr="00857786">
        <w:rPr>
          <w:rFonts w:ascii="Arial" w:hAnsi="Arial" w:cs="Arial"/>
          <w:sz w:val="24"/>
          <w:szCs w:val="24"/>
        </w:rPr>
        <w:t xml:space="preserve"> de septiembre de dos mil veintiuno, realizada a la Ley de Pensiones para los trabajadores del Gobierno del Estado de Oaxaca</w:t>
      </w:r>
      <w:r w:rsidR="001E445E" w:rsidRPr="00857786">
        <w:rPr>
          <w:rStyle w:val="Refdenotaalpie"/>
          <w:rFonts w:ascii="Arial" w:hAnsi="Arial" w:cs="Arial"/>
          <w:sz w:val="24"/>
          <w:szCs w:val="24"/>
        </w:rPr>
        <w:footnoteReference w:id="6"/>
      </w:r>
      <w:r w:rsidR="001E445E" w:rsidRPr="00857786">
        <w:rPr>
          <w:rFonts w:ascii="Arial" w:hAnsi="Arial" w:cs="Arial"/>
          <w:sz w:val="24"/>
          <w:szCs w:val="24"/>
        </w:rPr>
        <w:t>, que dio origen al actual texto, dicho precepto antes de la referida reforma, únicamente contemplaba a los trabajadores de base, y que le fue aplicado al momento de la emisión de su dictamen de jubilación, por lo que dicho precepto transgredía a lo dispuesto por los artículos 1° y 123, apartado B, fracción</w:t>
      </w:r>
      <w:r w:rsidR="001E445E" w:rsidRPr="00BD4FC7">
        <w:rPr>
          <w:rFonts w:ascii="Arial" w:hAnsi="Arial" w:cs="Arial"/>
          <w:sz w:val="24"/>
          <w:szCs w:val="24"/>
        </w:rPr>
        <w:t xml:space="preserve"> XIV</w:t>
      </w:r>
      <w:r w:rsidR="001E445E">
        <w:rPr>
          <w:rFonts w:ascii="Arial" w:hAnsi="Arial" w:cs="Arial"/>
          <w:sz w:val="24"/>
          <w:szCs w:val="24"/>
        </w:rPr>
        <w:t>,</w:t>
      </w:r>
      <w:r w:rsidR="001E445E" w:rsidRPr="00BD4FC7">
        <w:rPr>
          <w:rFonts w:ascii="Arial" w:hAnsi="Arial" w:cs="Arial"/>
          <w:sz w:val="24"/>
          <w:szCs w:val="24"/>
        </w:rPr>
        <w:t xml:space="preserve"> en relación con la fracción XI de la Constitución Política de los Estado Unidos Mexicanos, toda vez que el artículo 1</w:t>
      </w:r>
      <w:r w:rsidR="001E445E">
        <w:rPr>
          <w:rFonts w:ascii="Arial" w:hAnsi="Arial" w:cs="Arial"/>
          <w:sz w:val="24"/>
          <w:szCs w:val="24"/>
        </w:rPr>
        <w:t xml:space="preserve">° constitucional </w:t>
      </w:r>
      <w:r w:rsidR="001E445E" w:rsidRPr="00BD4FC7">
        <w:rPr>
          <w:rFonts w:ascii="Arial" w:hAnsi="Arial" w:cs="Arial"/>
          <w:sz w:val="24"/>
          <w:szCs w:val="24"/>
        </w:rPr>
        <w:lastRenderedPageBreak/>
        <w:t xml:space="preserve">dispone la no distinción motivada por razones de género, edad, condición social, religión u otra razón análoga que atente contra la dignidad humana y tenga por objeto anular o menoscabar los derechos y libertades de las personas. En cuanto al segundo numeral, </w:t>
      </w:r>
      <w:r w:rsidR="001E445E">
        <w:rPr>
          <w:rFonts w:ascii="Arial" w:hAnsi="Arial" w:cs="Arial"/>
          <w:sz w:val="24"/>
          <w:szCs w:val="24"/>
        </w:rPr>
        <w:t>é</w:t>
      </w:r>
      <w:r w:rsidR="001E445E" w:rsidRPr="00BD4FC7">
        <w:rPr>
          <w:rFonts w:ascii="Arial" w:hAnsi="Arial" w:cs="Arial"/>
          <w:sz w:val="24"/>
          <w:szCs w:val="24"/>
        </w:rPr>
        <w:t>ste establece las base</w:t>
      </w:r>
      <w:r w:rsidR="001E445E">
        <w:rPr>
          <w:rFonts w:ascii="Arial" w:hAnsi="Arial" w:cs="Arial"/>
          <w:sz w:val="24"/>
          <w:szCs w:val="24"/>
        </w:rPr>
        <w:t xml:space="preserve">s </w:t>
      </w:r>
      <w:r w:rsidR="001E445E" w:rsidRPr="00BD4FC7">
        <w:rPr>
          <w:rFonts w:ascii="Arial" w:hAnsi="Arial" w:cs="Arial"/>
          <w:sz w:val="24"/>
          <w:szCs w:val="24"/>
        </w:rPr>
        <w:t>mínimas de seguridad social para los trabajadores al servicio del Estado, abarcando de igual forma a los trabajadores de confianza, los cuales gozarán de las medidas de protección al salario y gozaran de los beneficios de la seguridad social, tal y como reza el principio de prevención social, el cual obliga a establecer un sistema integr</w:t>
      </w:r>
      <w:r w:rsidR="001E445E">
        <w:rPr>
          <w:rFonts w:ascii="Arial" w:hAnsi="Arial" w:cs="Arial"/>
          <w:sz w:val="24"/>
          <w:szCs w:val="24"/>
        </w:rPr>
        <w:t xml:space="preserve">al que </w:t>
      </w:r>
      <w:r w:rsidR="001E445E" w:rsidRPr="00BD4FC7">
        <w:rPr>
          <w:rFonts w:ascii="Arial" w:hAnsi="Arial" w:cs="Arial"/>
          <w:sz w:val="24"/>
          <w:szCs w:val="24"/>
        </w:rPr>
        <w:t xml:space="preserve">otorgue tranquilidad y bienestar personal a los trabajadores y a su familia, principio que contempla el derecho al disfrute de una pensión, cuya finalidad es garantizar al trabajador que ha laborado por un determinado número de años y llega a una edad de retirarse de su trabajo, se sienta con la confianza de que tendrá derecho a recibir todas las </w:t>
      </w:r>
      <w:r w:rsidR="001E445E" w:rsidRPr="00857786">
        <w:rPr>
          <w:rFonts w:ascii="Arial" w:hAnsi="Arial" w:cs="Arial"/>
          <w:sz w:val="24"/>
          <w:szCs w:val="24"/>
        </w:rPr>
        <w:t>prestaciones que venía generando y el cual le permita vivir de manera decorosa la</w:t>
      </w:r>
      <w:r w:rsidR="001E445E" w:rsidRPr="00BD4FC7">
        <w:rPr>
          <w:rFonts w:ascii="Arial" w:hAnsi="Arial" w:cs="Arial"/>
          <w:sz w:val="24"/>
          <w:szCs w:val="24"/>
        </w:rPr>
        <w:t xml:space="preserve"> etapa para la cual está encaminada la percepción de una pensión, garantía que tiene rango constitucional y que podrá amp</w:t>
      </w:r>
      <w:r w:rsidR="001E445E">
        <w:rPr>
          <w:rFonts w:ascii="Arial" w:hAnsi="Arial" w:cs="Arial"/>
          <w:sz w:val="24"/>
          <w:szCs w:val="24"/>
        </w:rPr>
        <w:t>liarse más nunca restringirse.</w:t>
      </w:r>
    </w:p>
    <w:p w14:paraId="5D4FEA5A" w14:textId="6C4D5314" w:rsidR="001E445E" w:rsidRDefault="001E445E" w:rsidP="001E445E">
      <w:pPr>
        <w:spacing w:line="360" w:lineRule="auto"/>
        <w:ind w:firstLine="567"/>
        <w:jc w:val="both"/>
        <w:rPr>
          <w:rFonts w:ascii="Arial" w:hAnsi="Arial" w:cs="Arial"/>
          <w:sz w:val="24"/>
          <w:szCs w:val="24"/>
        </w:rPr>
      </w:pPr>
      <w:r w:rsidRPr="00BD4FC7">
        <w:rPr>
          <w:rFonts w:ascii="Arial" w:hAnsi="Arial" w:cs="Arial"/>
          <w:sz w:val="24"/>
          <w:szCs w:val="24"/>
        </w:rPr>
        <w:t>En ese tenor,</w:t>
      </w:r>
      <w:r>
        <w:rPr>
          <w:rFonts w:ascii="Arial" w:hAnsi="Arial" w:cs="Arial"/>
          <w:sz w:val="24"/>
          <w:szCs w:val="24"/>
        </w:rPr>
        <w:t xml:space="preserve"> es dable afirmar </w:t>
      </w:r>
      <w:r w:rsidRPr="00BD4FC7">
        <w:rPr>
          <w:rFonts w:ascii="Arial" w:hAnsi="Arial" w:cs="Arial"/>
          <w:sz w:val="24"/>
          <w:szCs w:val="24"/>
        </w:rPr>
        <w:t xml:space="preserve">que la protección al </w:t>
      </w:r>
      <w:r w:rsidR="00D84364" w:rsidRPr="00BD4FC7">
        <w:rPr>
          <w:rFonts w:ascii="Arial" w:hAnsi="Arial" w:cs="Arial"/>
          <w:sz w:val="24"/>
          <w:szCs w:val="24"/>
        </w:rPr>
        <w:t>salario</w:t>
      </w:r>
      <w:r w:rsidRPr="00BD4FC7">
        <w:rPr>
          <w:rFonts w:ascii="Arial" w:hAnsi="Arial" w:cs="Arial"/>
          <w:sz w:val="24"/>
          <w:szCs w:val="24"/>
        </w:rPr>
        <w:t xml:space="preserve"> se encuentra dirigida a todos y cada uno de los trabajadores al servicio del Estado sin exclusión alguna, </w:t>
      </w:r>
      <w:r>
        <w:rPr>
          <w:rFonts w:ascii="Arial" w:hAnsi="Arial" w:cs="Arial"/>
          <w:sz w:val="24"/>
          <w:szCs w:val="24"/>
        </w:rPr>
        <w:t>dado</w:t>
      </w:r>
      <w:r w:rsidRPr="00BD4FC7">
        <w:rPr>
          <w:rFonts w:ascii="Arial" w:hAnsi="Arial" w:cs="Arial"/>
          <w:sz w:val="24"/>
          <w:szCs w:val="24"/>
        </w:rPr>
        <w:t xml:space="preserve"> que no solamente abarca a los trabajadores de base, sino que contempla</w:t>
      </w:r>
      <w:r>
        <w:rPr>
          <w:rFonts w:ascii="Arial" w:hAnsi="Arial" w:cs="Arial"/>
          <w:sz w:val="24"/>
          <w:szCs w:val="24"/>
        </w:rPr>
        <w:t xml:space="preserve"> también </w:t>
      </w:r>
      <w:r w:rsidRPr="00BD4FC7">
        <w:rPr>
          <w:rFonts w:ascii="Arial" w:hAnsi="Arial" w:cs="Arial"/>
          <w:sz w:val="24"/>
          <w:szCs w:val="24"/>
        </w:rPr>
        <w:t>a los de confianza</w:t>
      </w:r>
      <w:r>
        <w:rPr>
          <w:rFonts w:ascii="Arial" w:hAnsi="Arial" w:cs="Arial"/>
          <w:sz w:val="24"/>
          <w:szCs w:val="24"/>
        </w:rPr>
        <w:t xml:space="preserve">. </w:t>
      </w:r>
    </w:p>
    <w:p w14:paraId="5DDE5C0E" w14:textId="77777777" w:rsidR="001E445E" w:rsidRPr="00BD4FC7" w:rsidRDefault="001E445E" w:rsidP="001E445E">
      <w:pPr>
        <w:spacing w:line="360" w:lineRule="auto"/>
        <w:ind w:firstLine="567"/>
        <w:jc w:val="both"/>
        <w:rPr>
          <w:rFonts w:ascii="Arial" w:hAnsi="Arial" w:cs="Arial"/>
          <w:sz w:val="24"/>
          <w:szCs w:val="24"/>
        </w:rPr>
      </w:pPr>
      <w:r>
        <w:rPr>
          <w:rFonts w:ascii="Arial" w:hAnsi="Arial" w:cs="Arial"/>
          <w:sz w:val="24"/>
          <w:szCs w:val="24"/>
        </w:rPr>
        <w:t>S</w:t>
      </w:r>
      <w:r w:rsidRPr="00BD4FC7">
        <w:rPr>
          <w:rFonts w:ascii="Arial" w:hAnsi="Arial" w:cs="Arial"/>
          <w:sz w:val="24"/>
          <w:szCs w:val="24"/>
        </w:rPr>
        <w:t>irve de sustento la jurisprudencia</w:t>
      </w:r>
      <w:r>
        <w:rPr>
          <w:rStyle w:val="Refdenotaalpie"/>
          <w:rFonts w:ascii="Arial" w:hAnsi="Arial" w:cs="Arial"/>
          <w:sz w:val="24"/>
          <w:szCs w:val="24"/>
        </w:rPr>
        <w:footnoteReference w:id="7"/>
      </w:r>
      <w:r w:rsidRPr="00BD4FC7">
        <w:rPr>
          <w:rFonts w:ascii="Arial" w:hAnsi="Arial" w:cs="Arial"/>
          <w:sz w:val="24"/>
          <w:szCs w:val="24"/>
        </w:rPr>
        <w:t xml:space="preserve"> ba</w:t>
      </w:r>
      <w:r>
        <w:rPr>
          <w:rFonts w:ascii="Arial" w:hAnsi="Arial" w:cs="Arial"/>
          <w:sz w:val="24"/>
          <w:szCs w:val="24"/>
        </w:rPr>
        <w:t>jo el rubro y texto siguiente:</w:t>
      </w:r>
    </w:p>
    <w:p w14:paraId="367E6B5D" w14:textId="77777777" w:rsidR="001E445E" w:rsidRPr="007F5AFB" w:rsidRDefault="001E445E" w:rsidP="001E445E">
      <w:pPr>
        <w:ind w:left="567"/>
        <w:jc w:val="both"/>
        <w:rPr>
          <w:rFonts w:ascii="Arial" w:hAnsi="Arial" w:cs="Arial"/>
          <w:i/>
          <w:sz w:val="24"/>
          <w:szCs w:val="24"/>
        </w:rPr>
      </w:pPr>
      <w:r>
        <w:rPr>
          <w:rFonts w:ascii="Arial" w:hAnsi="Arial" w:cs="Arial"/>
          <w:b/>
          <w:i/>
          <w:sz w:val="24"/>
          <w:szCs w:val="24"/>
        </w:rPr>
        <w:t>“</w:t>
      </w:r>
      <w:r w:rsidRPr="007F5AFB">
        <w:rPr>
          <w:rFonts w:ascii="Arial" w:hAnsi="Arial" w:cs="Arial"/>
          <w:b/>
          <w:i/>
          <w:sz w:val="24"/>
          <w:szCs w:val="24"/>
        </w:rPr>
        <w:t>TRABAJADORES DE CONFIANZA AL SERVICIO DEL ESTADO. AUNQUE NO GOZAN DEL DERECHO A LA ESTABILIDAD EN EL EMPLEO, EL ARTÍCULO 123, APARTADO B, FRACCIÓN XIV, DE LA CONSTITUCIÓN DE LOS ESTADOS UNIDOS MEXICANOS, LES OTORGA DERECHOS DE PROTECCIÓN AL SALARIO Y DE SEGURIDAD SOCIAL.</w:t>
      </w:r>
      <w:r w:rsidRPr="007F5AFB">
        <w:rPr>
          <w:rFonts w:ascii="Arial" w:hAnsi="Arial" w:cs="Arial"/>
          <w:i/>
          <w:sz w:val="24"/>
          <w:szCs w:val="24"/>
        </w:rPr>
        <w:t xml:space="preserve"> El artículo 123, apartado B de la Constitución Política de los Estado Unidos Mexicanos establece, en sus diversas fracciones, los derechos que tienen los trabajadores al servicio del Estado, así como las normas básicas aplicables a las relaciones de trabajo que serán materia de regulación pormenorizada a través de la Ley reglamentaria correspondiente. Asimismo, clásica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 reconocidos sus derechos laborales en la aludida fracción XIV, conforme a la cual gozarán de los derechos derivados de los servicios que prestan en los cargos que ocupan, esto es, de la protección al salario, que no puede restringirse, así como la </w:t>
      </w:r>
      <w:r w:rsidRPr="007F5AFB">
        <w:rPr>
          <w:rFonts w:ascii="Arial" w:hAnsi="Arial" w:cs="Arial"/>
          <w:i/>
          <w:sz w:val="24"/>
          <w:szCs w:val="24"/>
        </w:rPr>
        <w:lastRenderedPageBreak/>
        <w:t>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r>
        <w:rPr>
          <w:rFonts w:ascii="Arial" w:hAnsi="Arial" w:cs="Arial"/>
          <w:i/>
          <w:sz w:val="24"/>
          <w:szCs w:val="24"/>
        </w:rPr>
        <w:t>”</w:t>
      </w:r>
    </w:p>
    <w:p w14:paraId="2AE9A64E" w14:textId="7F3F9A76" w:rsidR="001E445E" w:rsidRPr="00BD4FC7" w:rsidRDefault="001E445E" w:rsidP="001E445E">
      <w:pPr>
        <w:spacing w:line="360" w:lineRule="auto"/>
        <w:ind w:firstLine="567"/>
        <w:jc w:val="both"/>
        <w:rPr>
          <w:rFonts w:ascii="Arial" w:hAnsi="Arial" w:cs="Arial"/>
          <w:sz w:val="24"/>
          <w:szCs w:val="24"/>
        </w:rPr>
      </w:pPr>
      <w:r w:rsidRPr="002A0B11">
        <w:rPr>
          <w:rFonts w:ascii="Arial" w:hAnsi="Arial" w:cs="Arial"/>
          <w:sz w:val="24"/>
          <w:szCs w:val="24"/>
        </w:rPr>
        <w:t>Derivado de lo anterior, resulta que lo correcto es que a los trabajadores de confianza como a los de base les otorguen los conceptos que integran el salario integrado, como lo son los comprendidos en los artículos 50 fracción I, 52, 53 y 54</w:t>
      </w:r>
      <w:r>
        <w:rPr>
          <w:rFonts w:ascii="Arial" w:hAnsi="Arial" w:cs="Arial"/>
          <w:sz w:val="24"/>
          <w:szCs w:val="24"/>
        </w:rPr>
        <w:t xml:space="preserve"> fracción I de la Ley de</w:t>
      </w:r>
      <w:r w:rsidRPr="00BD4FC7">
        <w:rPr>
          <w:rFonts w:ascii="Arial" w:hAnsi="Arial" w:cs="Arial"/>
          <w:sz w:val="24"/>
          <w:szCs w:val="24"/>
        </w:rPr>
        <w:t xml:space="preserve"> Pensiones para los Trabajadores del Gobierno del Estado de Oaxaca</w:t>
      </w:r>
      <w:r>
        <w:rPr>
          <w:rFonts w:ascii="Arial" w:hAnsi="Arial" w:cs="Arial"/>
          <w:sz w:val="24"/>
          <w:szCs w:val="24"/>
        </w:rPr>
        <w:t>,</w:t>
      </w:r>
      <w:r w:rsidRPr="00BD4FC7">
        <w:rPr>
          <w:rFonts w:ascii="Arial" w:hAnsi="Arial" w:cs="Arial"/>
          <w:sz w:val="24"/>
          <w:szCs w:val="24"/>
        </w:rPr>
        <w:t xml:space="preserve"> esto es así</w:t>
      </w:r>
      <w:r>
        <w:rPr>
          <w:rFonts w:ascii="Arial" w:hAnsi="Arial" w:cs="Arial"/>
          <w:sz w:val="24"/>
          <w:szCs w:val="24"/>
        </w:rPr>
        <w:t>,</w:t>
      </w:r>
      <w:r w:rsidRPr="00BD4FC7">
        <w:rPr>
          <w:rFonts w:ascii="Arial" w:hAnsi="Arial" w:cs="Arial"/>
          <w:sz w:val="24"/>
          <w:szCs w:val="24"/>
        </w:rPr>
        <w:t xml:space="preserve"> en virtud</w:t>
      </w:r>
      <w:r>
        <w:rPr>
          <w:rFonts w:ascii="Arial" w:hAnsi="Arial" w:cs="Arial"/>
          <w:sz w:val="24"/>
          <w:szCs w:val="24"/>
        </w:rPr>
        <w:t xml:space="preserve"> </w:t>
      </w:r>
      <w:r w:rsidRPr="00BD4FC7">
        <w:rPr>
          <w:rFonts w:ascii="Arial" w:hAnsi="Arial" w:cs="Arial"/>
          <w:sz w:val="24"/>
          <w:szCs w:val="24"/>
        </w:rPr>
        <w:t xml:space="preserve">que de su comprobante de pago </w:t>
      </w:r>
      <w:r>
        <w:rPr>
          <w:rFonts w:ascii="Arial" w:hAnsi="Arial" w:cs="Arial"/>
          <w:sz w:val="24"/>
          <w:szCs w:val="24"/>
        </w:rPr>
        <w:t>(foja 1</w:t>
      </w:r>
      <w:r w:rsidR="00FE0D68">
        <w:rPr>
          <w:rFonts w:ascii="Arial" w:hAnsi="Arial" w:cs="Arial"/>
          <w:sz w:val="24"/>
          <w:szCs w:val="24"/>
        </w:rPr>
        <w:t>3</w:t>
      </w:r>
      <w:r>
        <w:rPr>
          <w:rFonts w:ascii="Arial" w:hAnsi="Arial" w:cs="Arial"/>
          <w:sz w:val="24"/>
          <w:szCs w:val="24"/>
        </w:rPr>
        <w:t>)</w:t>
      </w:r>
      <w:r w:rsidRPr="00BD4FC7">
        <w:rPr>
          <w:rFonts w:ascii="Arial" w:hAnsi="Arial" w:cs="Arial"/>
          <w:sz w:val="24"/>
          <w:szCs w:val="24"/>
        </w:rPr>
        <w:t xml:space="preserve">, documental que adquiere valor probatorio pleno en términos del artículo </w:t>
      </w:r>
      <w:r w:rsidRPr="00C17F71">
        <w:rPr>
          <w:rFonts w:ascii="Arial" w:hAnsi="Arial" w:cs="Arial"/>
          <w:sz w:val="24"/>
          <w:szCs w:val="24"/>
        </w:rPr>
        <w:t>203 fracción I</w:t>
      </w:r>
      <w:r>
        <w:rPr>
          <w:rFonts w:ascii="Arial" w:hAnsi="Arial" w:cs="Arial"/>
          <w:sz w:val="24"/>
          <w:szCs w:val="24"/>
        </w:rPr>
        <w:t xml:space="preserve"> </w:t>
      </w:r>
      <w:r w:rsidRPr="00BD4FC7">
        <w:rPr>
          <w:rFonts w:ascii="Arial" w:hAnsi="Arial" w:cs="Arial"/>
          <w:sz w:val="24"/>
          <w:szCs w:val="24"/>
        </w:rPr>
        <w:t xml:space="preserve">de la Ley de Procedimiento y Justicia Administrativa para el Estado de Oaxaca, por </w:t>
      </w:r>
      <w:r>
        <w:rPr>
          <w:rFonts w:ascii="Arial" w:hAnsi="Arial" w:cs="Arial"/>
          <w:sz w:val="24"/>
          <w:szCs w:val="24"/>
        </w:rPr>
        <w:t>obrar en copia certificada</w:t>
      </w:r>
      <w:r w:rsidRPr="00BD4FC7">
        <w:rPr>
          <w:rFonts w:ascii="Arial" w:hAnsi="Arial" w:cs="Arial"/>
          <w:sz w:val="24"/>
          <w:szCs w:val="24"/>
        </w:rPr>
        <w:t>, se advierte que</w:t>
      </w:r>
      <w:r>
        <w:rPr>
          <w:rFonts w:ascii="Arial" w:hAnsi="Arial" w:cs="Arial"/>
          <w:sz w:val="24"/>
          <w:szCs w:val="24"/>
        </w:rPr>
        <w:t xml:space="preserve"> la parte actora cuando era trabajador en activo,</w:t>
      </w:r>
      <w:r w:rsidRPr="00BD4FC7">
        <w:rPr>
          <w:rFonts w:ascii="Arial" w:hAnsi="Arial" w:cs="Arial"/>
          <w:sz w:val="24"/>
          <w:szCs w:val="24"/>
        </w:rPr>
        <w:t xml:space="preserve"> también percibía</w:t>
      </w:r>
      <w:r>
        <w:rPr>
          <w:rFonts w:ascii="Arial" w:hAnsi="Arial" w:cs="Arial"/>
          <w:sz w:val="24"/>
          <w:szCs w:val="24"/>
        </w:rPr>
        <w:t xml:space="preserve"> los </w:t>
      </w:r>
      <w:r w:rsidRPr="00BD4FC7">
        <w:rPr>
          <w:rFonts w:ascii="Arial" w:hAnsi="Arial" w:cs="Arial"/>
          <w:sz w:val="24"/>
          <w:szCs w:val="24"/>
        </w:rPr>
        <w:t>conceptos</w:t>
      </w:r>
      <w:r>
        <w:rPr>
          <w:rFonts w:ascii="Arial" w:hAnsi="Arial" w:cs="Arial"/>
          <w:sz w:val="24"/>
          <w:szCs w:val="24"/>
        </w:rPr>
        <w:t xml:space="preserve"> de</w:t>
      </w:r>
      <w:r w:rsidRPr="00BD4FC7">
        <w:rPr>
          <w:rFonts w:ascii="Arial" w:hAnsi="Arial" w:cs="Arial"/>
          <w:sz w:val="24"/>
          <w:szCs w:val="24"/>
        </w:rPr>
        <w:t>:</w:t>
      </w:r>
      <w:r>
        <w:rPr>
          <w:rFonts w:ascii="Arial" w:hAnsi="Arial" w:cs="Arial"/>
          <w:sz w:val="24"/>
          <w:szCs w:val="24"/>
        </w:rPr>
        <w:t xml:space="preserve"> </w:t>
      </w:r>
      <w:r w:rsidRPr="00BD4FC7">
        <w:rPr>
          <w:rFonts w:ascii="Arial" w:hAnsi="Arial" w:cs="Arial"/>
          <w:sz w:val="24"/>
          <w:szCs w:val="24"/>
        </w:rPr>
        <w:t>Canasta Básica (clave 42), Previsión Social</w:t>
      </w:r>
      <w:r>
        <w:rPr>
          <w:rFonts w:ascii="Arial" w:hAnsi="Arial" w:cs="Arial"/>
          <w:sz w:val="24"/>
          <w:szCs w:val="24"/>
        </w:rPr>
        <w:t xml:space="preserve"> Múltiple (P.S.M.) (clave 43), </w:t>
      </w:r>
      <w:r w:rsidRPr="00BD4FC7">
        <w:rPr>
          <w:rFonts w:ascii="Arial" w:hAnsi="Arial" w:cs="Arial"/>
          <w:sz w:val="24"/>
          <w:szCs w:val="24"/>
        </w:rPr>
        <w:t>Estí</w:t>
      </w:r>
      <w:r>
        <w:rPr>
          <w:rFonts w:ascii="Arial" w:hAnsi="Arial" w:cs="Arial"/>
          <w:sz w:val="24"/>
          <w:szCs w:val="24"/>
        </w:rPr>
        <w:t>mulo (clave 45), Quinquenios (</w:t>
      </w:r>
      <w:r w:rsidR="00FE0D68">
        <w:rPr>
          <w:rFonts w:ascii="Arial" w:hAnsi="Arial" w:cs="Arial"/>
          <w:sz w:val="24"/>
          <w:szCs w:val="24"/>
        </w:rPr>
        <w:t>6</w:t>
      </w:r>
      <w:r w:rsidRPr="00BD4FC7">
        <w:rPr>
          <w:rFonts w:ascii="Arial" w:hAnsi="Arial" w:cs="Arial"/>
          <w:sz w:val="24"/>
          <w:szCs w:val="24"/>
        </w:rPr>
        <w:t>) (clave 46)</w:t>
      </w:r>
      <w:r w:rsidR="001C5C93">
        <w:rPr>
          <w:rFonts w:ascii="Arial" w:hAnsi="Arial" w:cs="Arial"/>
          <w:sz w:val="24"/>
          <w:szCs w:val="24"/>
        </w:rPr>
        <w:t>; sin contemplar el concepto denominado</w:t>
      </w:r>
      <w:r w:rsidR="00FE0D68">
        <w:rPr>
          <w:rFonts w:ascii="Arial" w:hAnsi="Arial" w:cs="Arial"/>
          <w:sz w:val="24"/>
          <w:szCs w:val="24"/>
        </w:rPr>
        <w:t xml:space="preserve"> </w:t>
      </w:r>
      <w:bookmarkStart w:id="5" w:name="_Hlk125555769"/>
      <w:r w:rsidR="00FE0D68" w:rsidRPr="001C5C93">
        <w:rPr>
          <w:rFonts w:ascii="Arial" w:hAnsi="Arial" w:cs="Arial"/>
          <w:sz w:val="24"/>
          <w:szCs w:val="24"/>
        </w:rPr>
        <w:t>SUB.P/EL EMP. (clave 105)</w:t>
      </w:r>
      <w:r w:rsidR="001C5C93">
        <w:rPr>
          <w:rFonts w:ascii="Arial" w:hAnsi="Arial" w:cs="Arial"/>
          <w:sz w:val="24"/>
          <w:szCs w:val="24"/>
        </w:rPr>
        <w:t>, por no estar contemplado en el artículo 54 fracción I de la Ley de</w:t>
      </w:r>
      <w:r w:rsidR="001C5C93" w:rsidRPr="00BD4FC7">
        <w:rPr>
          <w:rFonts w:ascii="Arial" w:hAnsi="Arial" w:cs="Arial"/>
          <w:sz w:val="24"/>
          <w:szCs w:val="24"/>
        </w:rPr>
        <w:t xml:space="preserve"> Pensiones para los Trabajadores del Gobierno del Estado de Oaxaca</w:t>
      </w:r>
      <w:r w:rsidR="001C5C93">
        <w:rPr>
          <w:rFonts w:ascii="Arial" w:hAnsi="Arial" w:cs="Arial"/>
          <w:sz w:val="24"/>
          <w:szCs w:val="24"/>
        </w:rPr>
        <w:t>,</w:t>
      </w:r>
      <w:r>
        <w:rPr>
          <w:rFonts w:ascii="Arial" w:hAnsi="Arial" w:cs="Arial"/>
          <w:sz w:val="24"/>
          <w:szCs w:val="24"/>
        </w:rPr>
        <w:t xml:space="preserve"> </w:t>
      </w:r>
      <w:bookmarkEnd w:id="5"/>
      <w:r>
        <w:rPr>
          <w:rFonts w:ascii="Arial" w:hAnsi="Arial" w:cs="Arial"/>
          <w:sz w:val="24"/>
          <w:szCs w:val="24"/>
        </w:rPr>
        <w:t xml:space="preserve">por lo que sumando los conceptos antes referidos </w:t>
      </w:r>
      <w:r w:rsidRPr="00BD4FC7">
        <w:rPr>
          <w:rFonts w:ascii="Arial" w:hAnsi="Arial" w:cs="Arial"/>
          <w:sz w:val="24"/>
          <w:szCs w:val="24"/>
        </w:rPr>
        <w:t>con el salario</w:t>
      </w:r>
      <w:r>
        <w:rPr>
          <w:rFonts w:ascii="Arial" w:hAnsi="Arial" w:cs="Arial"/>
          <w:sz w:val="24"/>
          <w:szCs w:val="24"/>
        </w:rPr>
        <w:t xml:space="preserve"> base, daban su salario</w:t>
      </w:r>
      <w:r w:rsidRPr="00BD4FC7">
        <w:rPr>
          <w:rFonts w:ascii="Arial" w:hAnsi="Arial" w:cs="Arial"/>
          <w:sz w:val="24"/>
          <w:szCs w:val="24"/>
        </w:rPr>
        <w:t xml:space="preserve"> que recibía </w:t>
      </w:r>
      <w:r>
        <w:rPr>
          <w:rFonts w:ascii="Arial" w:hAnsi="Arial" w:cs="Arial"/>
          <w:sz w:val="24"/>
          <w:szCs w:val="24"/>
        </w:rPr>
        <w:t>quincenalmente</w:t>
      </w:r>
      <w:r w:rsidRPr="00BD4FC7">
        <w:rPr>
          <w:rFonts w:ascii="Arial" w:hAnsi="Arial" w:cs="Arial"/>
          <w:sz w:val="24"/>
          <w:szCs w:val="24"/>
        </w:rPr>
        <w:t xml:space="preserve"> (con excepción de las prestaciones que se otorgan de manera anual</w:t>
      </w:r>
      <w:r>
        <w:rPr>
          <w:rFonts w:ascii="Arial" w:hAnsi="Arial" w:cs="Arial"/>
          <w:sz w:val="24"/>
          <w:szCs w:val="24"/>
        </w:rPr>
        <w:t xml:space="preserve"> y previo descuentos que se configuraran</w:t>
      </w:r>
      <w:r w:rsidRPr="00BD4FC7">
        <w:rPr>
          <w:rFonts w:ascii="Arial" w:hAnsi="Arial" w:cs="Arial"/>
          <w:sz w:val="24"/>
          <w:szCs w:val="24"/>
        </w:rPr>
        <w:t xml:space="preserve">) hasta el día que prestó sus servicios </w:t>
      </w:r>
      <w:r>
        <w:rPr>
          <w:rFonts w:ascii="Arial" w:hAnsi="Arial" w:cs="Arial"/>
          <w:sz w:val="24"/>
          <w:szCs w:val="24"/>
        </w:rPr>
        <w:t>en activo,</w:t>
      </w:r>
      <w:r w:rsidRPr="00BD4FC7">
        <w:rPr>
          <w:rFonts w:ascii="Arial" w:hAnsi="Arial" w:cs="Arial"/>
          <w:sz w:val="24"/>
          <w:szCs w:val="24"/>
        </w:rPr>
        <w:t xml:space="preserve"> percepciones recibidas de manera periódica con motivo de su trabajo, configurándose con ello el concepto de salario integrado al que hace referencia el artículo 84 de la Ley Federal de</w:t>
      </w:r>
      <w:r>
        <w:rPr>
          <w:rFonts w:ascii="Arial" w:hAnsi="Arial" w:cs="Arial"/>
          <w:sz w:val="24"/>
          <w:szCs w:val="24"/>
        </w:rPr>
        <w:t xml:space="preserve">l Trabajo, que a la letra dice: </w:t>
      </w:r>
    </w:p>
    <w:p w14:paraId="609DB7CE" w14:textId="77777777" w:rsidR="001E445E" w:rsidRPr="00A422B8" w:rsidRDefault="001E445E" w:rsidP="001E445E">
      <w:pPr>
        <w:ind w:left="567"/>
        <w:jc w:val="both"/>
        <w:rPr>
          <w:rFonts w:ascii="Arial" w:hAnsi="Arial" w:cs="Arial"/>
          <w:i/>
          <w:sz w:val="24"/>
          <w:szCs w:val="24"/>
        </w:rPr>
      </w:pPr>
      <w:r>
        <w:rPr>
          <w:rFonts w:ascii="Arial" w:hAnsi="Arial" w:cs="Arial"/>
          <w:b/>
          <w:i/>
          <w:sz w:val="24"/>
          <w:szCs w:val="24"/>
        </w:rPr>
        <w:t>“</w:t>
      </w:r>
      <w:r w:rsidRPr="00A422B8">
        <w:rPr>
          <w:rFonts w:ascii="Arial" w:hAnsi="Arial" w:cs="Arial"/>
          <w:b/>
          <w:i/>
          <w:sz w:val="24"/>
          <w:szCs w:val="24"/>
        </w:rPr>
        <w:t>Artículo 84.-</w:t>
      </w:r>
      <w:r w:rsidRPr="00A422B8">
        <w:rPr>
          <w:rFonts w:ascii="Arial" w:hAnsi="Arial" w:cs="Arial"/>
          <w:i/>
          <w:sz w:val="24"/>
          <w:szCs w:val="24"/>
        </w:rPr>
        <w:t xml:space="preserve"> El salario se integra con los pagos hechos en efectivo por cuota diaria, gratificaciones, percepciones, habitación, primas, comisiones, prestaciones en especie y cualquiera otra cantidad o prestación que se entregue al trabajador por su trabajo.</w:t>
      </w:r>
      <w:r>
        <w:rPr>
          <w:rFonts w:ascii="Arial" w:hAnsi="Arial" w:cs="Arial"/>
          <w:i/>
          <w:sz w:val="24"/>
          <w:szCs w:val="24"/>
        </w:rPr>
        <w:t>”</w:t>
      </w:r>
    </w:p>
    <w:p w14:paraId="1DA13FE4" w14:textId="77777777" w:rsidR="001E445E" w:rsidRPr="00BD4FC7" w:rsidRDefault="001E445E" w:rsidP="001E445E">
      <w:pPr>
        <w:spacing w:line="360" w:lineRule="auto"/>
        <w:ind w:firstLine="567"/>
        <w:jc w:val="both"/>
        <w:rPr>
          <w:rFonts w:ascii="Arial" w:hAnsi="Arial" w:cs="Arial"/>
          <w:sz w:val="24"/>
          <w:szCs w:val="24"/>
        </w:rPr>
      </w:pPr>
      <w:r w:rsidRPr="00BD4FC7">
        <w:rPr>
          <w:rFonts w:ascii="Arial" w:hAnsi="Arial" w:cs="Arial"/>
          <w:sz w:val="24"/>
          <w:szCs w:val="24"/>
        </w:rPr>
        <w:t>De igual forma sirve de sustento la tesis</w:t>
      </w:r>
      <w:r>
        <w:rPr>
          <w:rStyle w:val="Refdenotaalpie"/>
          <w:rFonts w:ascii="Arial" w:hAnsi="Arial" w:cs="Arial"/>
          <w:sz w:val="24"/>
          <w:szCs w:val="24"/>
        </w:rPr>
        <w:footnoteReference w:id="8"/>
      </w:r>
      <w:r w:rsidRPr="00BD4FC7">
        <w:rPr>
          <w:rFonts w:ascii="Arial" w:hAnsi="Arial" w:cs="Arial"/>
          <w:sz w:val="24"/>
          <w:szCs w:val="24"/>
        </w:rPr>
        <w:t xml:space="preserve"> b</w:t>
      </w:r>
      <w:r>
        <w:rPr>
          <w:rFonts w:ascii="Arial" w:hAnsi="Arial" w:cs="Arial"/>
          <w:sz w:val="24"/>
          <w:szCs w:val="24"/>
        </w:rPr>
        <w:t>ajo el rubro y texto siguiente:</w:t>
      </w:r>
    </w:p>
    <w:p w14:paraId="4E1CD070" w14:textId="77777777" w:rsidR="001E445E" w:rsidRPr="00662EB6" w:rsidRDefault="001E445E" w:rsidP="001E445E">
      <w:pPr>
        <w:ind w:left="567"/>
        <w:jc w:val="both"/>
        <w:rPr>
          <w:rFonts w:ascii="Arial" w:hAnsi="Arial" w:cs="Arial"/>
          <w:i/>
          <w:sz w:val="24"/>
          <w:szCs w:val="24"/>
        </w:rPr>
      </w:pPr>
      <w:r>
        <w:rPr>
          <w:rFonts w:ascii="Arial" w:hAnsi="Arial" w:cs="Arial"/>
          <w:b/>
          <w:i/>
          <w:sz w:val="24"/>
          <w:szCs w:val="24"/>
        </w:rPr>
        <w:t>“</w:t>
      </w:r>
      <w:r w:rsidRPr="00662EB6">
        <w:rPr>
          <w:rFonts w:ascii="Arial" w:hAnsi="Arial" w:cs="Arial"/>
          <w:b/>
          <w:i/>
          <w:sz w:val="24"/>
          <w:szCs w:val="24"/>
        </w:rPr>
        <w:t>SALARIO INTEGRADO. CARACTERÍSTICAS QUE DEBEN REUNIR SUS COMPONENTES PARA QUE FORMEN PARTE DE AQUÉL.</w:t>
      </w:r>
      <w:r w:rsidRPr="00662EB6">
        <w:rPr>
          <w:rFonts w:ascii="Arial" w:hAnsi="Arial" w:cs="Arial"/>
          <w:i/>
          <w:sz w:val="24"/>
          <w:szCs w:val="24"/>
        </w:rPr>
        <w:t xml:space="preserve"> La Segunda Sala de la Suprema Corte de Justicia de la Nación, en diversos criterios jurisprudenciales, ha definido al salario integrado como el conjunto de componentes que, sumados a la cuota diaria percibida por un trabajador, ya sea en dinero o en especie, le significan un beneficio superior al señalado en la ley. Ahora bien, para determinar si un componente del salario es o no parte integrante de él, debe reunir las características siguientes: a) Que se entregue a cambio del trabajo y no para realizar éste; b) Que se perciba de manera ordinaria y permanentemente; c) Que a pesar de resarcir gastos extraordinarios, su pago no se encuentre condicionado a que se efectúen todos ellos, es decir, que la forma en que se encuentre pactado no impida su </w:t>
      </w:r>
      <w:r w:rsidRPr="00662EB6">
        <w:rPr>
          <w:rFonts w:ascii="Arial" w:hAnsi="Arial" w:cs="Arial"/>
          <w:i/>
          <w:sz w:val="24"/>
          <w:szCs w:val="24"/>
        </w:rPr>
        <w:lastRenderedPageBreak/>
        <w:t>libre disposición para formar parte del salario de los trabajadores; y, d) La variabilidad no es una característica distintiva en la determinación de integración salarial, esto es, pueden ser variables como las comisiones o gratificaciones. En esta tesitura, de no cumplirse las características anteriores no puede considerarse a la percepción como parte integrante del salario.</w:t>
      </w:r>
      <w:r>
        <w:rPr>
          <w:rFonts w:ascii="Arial" w:hAnsi="Arial" w:cs="Arial"/>
          <w:i/>
          <w:sz w:val="24"/>
          <w:szCs w:val="24"/>
        </w:rPr>
        <w:t>”</w:t>
      </w:r>
    </w:p>
    <w:p w14:paraId="427544E2" w14:textId="77777777" w:rsidR="001E445E" w:rsidRPr="00BD4FC7" w:rsidRDefault="001E445E" w:rsidP="001E445E">
      <w:pPr>
        <w:spacing w:line="360" w:lineRule="auto"/>
        <w:ind w:firstLine="567"/>
        <w:jc w:val="both"/>
        <w:rPr>
          <w:rFonts w:ascii="Arial" w:hAnsi="Arial" w:cs="Arial"/>
          <w:sz w:val="24"/>
          <w:szCs w:val="24"/>
        </w:rPr>
      </w:pPr>
      <w:r w:rsidRPr="00BD4FC7">
        <w:rPr>
          <w:rFonts w:ascii="Arial" w:hAnsi="Arial" w:cs="Arial"/>
          <w:sz w:val="24"/>
          <w:szCs w:val="24"/>
        </w:rPr>
        <w:t>De igual forma, por analogía sustancial</w:t>
      </w:r>
      <w:r>
        <w:rPr>
          <w:rFonts w:ascii="Arial" w:hAnsi="Arial" w:cs="Arial"/>
          <w:sz w:val="24"/>
          <w:szCs w:val="24"/>
        </w:rPr>
        <w:t xml:space="preserve"> sirve de apoyo</w:t>
      </w:r>
      <w:r w:rsidRPr="00BD4FC7">
        <w:rPr>
          <w:rFonts w:ascii="Arial" w:hAnsi="Arial" w:cs="Arial"/>
          <w:sz w:val="24"/>
          <w:szCs w:val="24"/>
        </w:rPr>
        <w:t xml:space="preserve"> la tesi</w:t>
      </w:r>
      <w:r>
        <w:rPr>
          <w:rFonts w:ascii="Arial" w:hAnsi="Arial" w:cs="Arial"/>
          <w:sz w:val="24"/>
          <w:szCs w:val="24"/>
        </w:rPr>
        <w:t>s</w:t>
      </w:r>
      <w:r>
        <w:rPr>
          <w:rStyle w:val="Refdenotaalpie"/>
          <w:rFonts w:ascii="Arial" w:hAnsi="Arial" w:cs="Arial"/>
          <w:sz w:val="24"/>
          <w:szCs w:val="24"/>
        </w:rPr>
        <w:footnoteReference w:id="9"/>
      </w:r>
      <w:r w:rsidRPr="00BD4FC7">
        <w:rPr>
          <w:rFonts w:ascii="Arial" w:hAnsi="Arial" w:cs="Arial"/>
          <w:sz w:val="24"/>
          <w:szCs w:val="24"/>
        </w:rPr>
        <w:t xml:space="preserve"> ba</w:t>
      </w:r>
      <w:r>
        <w:rPr>
          <w:rFonts w:ascii="Arial" w:hAnsi="Arial" w:cs="Arial"/>
          <w:sz w:val="24"/>
          <w:szCs w:val="24"/>
        </w:rPr>
        <w:t>jo el rubro y texto siguiente:</w:t>
      </w:r>
    </w:p>
    <w:p w14:paraId="27E07708" w14:textId="77777777" w:rsidR="001E445E" w:rsidRPr="00E40096" w:rsidRDefault="001E445E" w:rsidP="001E445E">
      <w:pPr>
        <w:ind w:left="567"/>
        <w:jc w:val="both"/>
        <w:rPr>
          <w:rFonts w:ascii="Arial" w:hAnsi="Arial" w:cs="Arial"/>
          <w:i/>
          <w:sz w:val="24"/>
          <w:szCs w:val="24"/>
        </w:rPr>
      </w:pPr>
      <w:r w:rsidRPr="00E40096">
        <w:rPr>
          <w:rFonts w:ascii="Arial" w:hAnsi="Arial" w:cs="Arial"/>
          <w:b/>
          <w:i/>
          <w:sz w:val="24"/>
          <w:szCs w:val="24"/>
        </w:rPr>
        <w:t>“BONOS O VALES DE DESPENSA. CUANDO SE ENTREGAN AL TRABAJADOR DE MANERA ORDINARIA Y PERMANENTE FORMAN PARTE DEL SALARIO CONFORME AL ARTÍCULO 84 DE LA LEY FEDERAL DEL TRABAJO.</w:t>
      </w:r>
      <w:r w:rsidRPr="00E40096">
        <w:rPr>
          <w:rFonts w:ascii="Arial" w:hAnsi="Arial" w:cs="Arial"/>
          <w:i/>
          <w:sz w:val="24"/>
          <w:szCs w:val="24"/>
        </w:rPr>
        <w:t xml:space="preserve"> El artículo 84 de la Ley Federal del Trabajo prevé que el salario no sólo se integra con el pago en efectivo, sino también por otros conceptos, entre ellos, cualquier cantidad o prestación (económica o en especie) que se entregue al trabajador por su trabajo. Por otra parte, la Segunda Sala de la Suprema Corte de Justicia de la Nación, al resolver la contradicción de tesis 86/2002-SS, de la que derivó la tesis 2a./J. 121/2002, publicada en el Semanario Judicial de la Federación y su Gaceta, Novena Época, Tomo XVI, diciembre de 2002, página 253, de rubro: "SEGURO SOCIAL. LA AYUDA PARA ACTIVIDADES CULTURALES Y RECREATIVAS, PREVISTA EN LA CLÁUSULA 47, PÁRRAFOS NOVENO Y DÉCIMO, DEL CONTRATO COLECTIVO DE TRABAJO DE ESE INSTITUTO, DEBE CONSIDERARSE COMO PARTE INTEGRANTE DEL SALARIO.", determinó que la acepción amplia de los conceptos integradores del salario tiene su origen en los antecedentes histórico-legislativos de la exposición de motivos de la Ley Federal del Trabajo, en especial, del referido artículo 84; en tal virtud, relacionando este precepto con la contradicción de tesis citada, se colige que si el trabajador, además del pago en efectivo, percibe de manera ordinaria y constante prestaciones en especie y cualquier otra cantidad derivada de su trabajo, deben considerarse parte integrante de su salario. Consecuentemente, si queda acreditado que el empleado, además del numerario en efectivo percibía como prestación ordinaria y constante el concepto denominado "bono de despensa", es incuestionable que tal prestación, en términos del artículo 84 de la legislación laboral, forma parte del salario.</w:t>
      </w:r>
      <w:r>
        <w:rPr>
          <w:rFonts w:ascii="Arial" w:hAnsi="Arial" w:cs="Arial"/>
          <w:i/>
          <w:sz w:val="24"/>
          <w:szCs w:val="24"/>
        </w:rPr>
        <w:t>”</w:t>
      </w:r>
    </w:p>
    <w:p w14:paraId="69433B15" w14:textId="77777777" w:rsidR="001E445E" w:rsidRDefault="001E445E" w:rsidP="001E445E">
      <w:pPr>
        <w:spacing w:line="360" w:lineRule="auto"/>
        <w:ind w:firstLine="567"/>
        <w:jc w:val="both"/>
        <w:rPr>
          <w:rFonts w:ascii="Arial" w:hAnsi="Arial" w:cs="Arial"/>
          <w:sz w:val="24"/>
          <w:szCs w:val="24"/>
        </w:rPr>
      </w:pPr>
      <w:r>
        <w:rPr>
          <w:rFonts w:ascii="Arial" w:hAnsi="Arial" w:cs="Arial"/>
          <w:sz w:val="24"/>
          <w:szCs w:val="24"/>
        </w:rPr>
        <w:t xml:space="preserve">Por tanto, </w:t>
      </w:r>
      <w:r w:rsidRPr="00BD4FC7">
        <w:rPr>
          <w:rFonts w:ascii="Arial" w:hAnsi="Arial" w:cs="Arial"/>
          <w:sz w:val="24"/>
          <w:szCs w:val="24"/>
        </w:rPr>
        <w:t>protegiendo la progresividad de los derechos humanos</w:t>
      </w:r>
      <w:r>
        <w:rPr>
          <w:rFonts w:ascii="Arial" w:hAnsi="Arial" w:cs="Arial"/>
          <w:sz w:val="24"/>
          <w:szCs w:val="24"/>
        </w:rPr>
        <w:t>,</w:t>
      </w:r>
      <w:r w:rsidRPr="00BD4FC7">
        <w:rPr>
          <w:rFonts w:ascii="Arial" w:hAnsi="Arial" w:cs="Arial"/>
          <w:sz w:val="24"/>
          <w:szCs w:val="24"/>
        </w:rPr>
        <w:t xml:space="preserve"> específicamente el derecho humano de igualdad consagrado en el artículo 1° de la Constitución Política de los Estados Unidos Mexicanos</w:t>
      </w:r>
      <w:r>
        <w:rPr>
          <w:rFonts w:ascii="Arial" w:hAnsi="Arial" w:cs="Arial"/>
          <w:sz w:val="24"/>
          <w:szCs w:val="24"/>
        </w:rPr>
        <w:t xml:space="preserve">, </w:t>
      </w:r>
      <w:r w:rsidRPr="00BD4FC7">
        <w:rPr>
          <w:rFonts w:ascii="Arial" w:hAnsi="Arial" w:cs="Arial"/>
          <w:sz w:val="24"/>
          <w:szCs w:val="24"/>
        </w:rPr>
        <w:t>así como el derecho humano a percibir un salario digno producto de un trabajo realizado contenido en los artículos 5</w:t>
      </w:r>
      <w:r>
        <w:rPr>
          <w:rFonts w:ascii="Arial" w:hAnsi="Arial" w:cs="Arial"/>
          <w:sz w:val="24"/>
          <w:szCs w:val="24"/>
        </w:rPr>
        <w:t>°</w:t>
      </w:r>
      <w:r w:rsidRPr="00BD4FC7">
        <w:rPr>
          <w:rFonts w:ascii="Arial" w:hAnsi="Arial" w:cs="Arial"/>
          <w:sz w:val="24"/>
          <w:szCs w:val="24"/>
        </w:rPr>
        <w:t xml:space="preserve"> primer y tercer párrafo, 123 apartado B y 127, de la Constitución Política de los Estados Unidos Mexicanos</w:t>
      </w:r>
      <w:r>
        <w:rPr>
          <w:rFonts w:ascii="Arial" w:hAnsi="Arial" w:cs="Arial"/>
          <w:sz w:val="24"/>
          <w:szCs w:val="24"/>
        </w:rPr>
        <w:t xml:space="preserve"> </w:t>
      </w:r>
      <w:r w:rsidRPr="00BD4FC7">
        <w:rPr>
          <w:rFonts w:ascii="Arial" w:hAnsi="Arial" w:cs="Arial"/>
          <w:sz w:val="24"/>
          <w:szCs w:val="24"/>
        </w:rPr>
        <w:t>y en el Convenio 102 de la Organización Internacional del Trabajo, relativo a la Norma Mínima de la Seguridad Social, es</w:t>
      </w:r>
      <w:r>
        <w:rPr>
          <w:rFonts w:ascii="Arial" w:hAnsi="Arial" w:cs="Arial"/>
          <w:sz w:val="24"/>
          <w:szCs w:val="24"/>
        </w:rPr>
        <w:t xml:space="preserve"> dable</w:t>
      </w:r>
      <w:r w:rsidRPr="00BD4FC7">
        <w:rPr>
          <w:rFonts w:ascii="Arial" w:hAnsi="Arial" w:cs="Arial"/>
          <w:sz w:val="24"/>
          <w:szCs w:val="24"/>
        </w:rPr>
        <w:t xml:space="preserve"> concluir que</w:t>
      </w:r>
      <w:r>
        <w:rPr>
          <w:rFonts w:ascii="Arial" w:hAnsi="Arial" w:cs="Arial"/>
          <w:sz w:val="24"/>
          <w:szCs w:val="24"/>
        </w:rPr>
        <w:t xml:space="preserve"> la </w:t>
      </w:r>
      <w:r w:rsidRPr="00BD4FC7">
        <w:rPr>
          <w:rFonts w:ascii="Arial" w:hAnsi="Arial" w:cs="Arial"/>
          <w:sz w:val="24"/>
          <w:szCs w:val="24"/>
        </w:rPr>
        <w:t>única diferencia</w:t>
      </w:r>
      <w:r>
        <w:rPr>
          <w:rFonts w:ascii="Arial" w:hAnsi="Arial" w:cs="Arial"/>
          <w:sz w:val="24"/>
          <w:szCs w:val="24"/>
        </w:rPr>
        <w:t xml:space="preserve"> que </w:t>
      </w:r>
      <w:r w:rsidRPr="00BD4FC7">
        <w:rPr>
          <w:rFonts w:ascii="Arial" w:hAnsi="Arial" w:cs="Arial"/>
          <w:sz w:val="24"/>
          <w:szCs w:val="24"/>
        </w:rPr>
        <w:t xml:space="preserve">existe entre los trabajadores de confianza y de base, es la estabilidad laboral y probablemente la percepción de otras </w:t>
      </w:r>
      <w:r w:rsidRPr="00BD4FC7">
        <w:rPr>
          <w:rFonts w:ascii="Arial" w:hAnsi="Arial" w:cs="Arial"/>
          <w:sz w:val="24"/>
          <w:szCs w:val="24"/>
        </w:rPr>
        <w:lastRenderedPageBreak/>
        <w:t>remuneraciones dentro de su salario integrado, pero que en el ámbito material de desempeño de labores, son idénticas, siendo aplicable el aforismo jurídico</w:t>
      </w:r>
      <w:r>
        <w:rPr>
          <w:rFonts w:ascii="Arial" w:hAnsi="Arial" w:cs="Arial"/>
          <w:sz w:val="24"/>
          <w:szCs w:val="24"/>
        </w:rPr>
        <w:t xml:space="preserve"> que reza</w:t>
      </w:r>
      <w:r w:rsidRPr="00BD4FC7">
        <w:rPr>
          <w:rFonts w:ascii="Arial" w:hAnsi="Arial" w:cs="Arial"/>
          <w:sz w:val="24"/>
          <w:szCs w:val="24"/>
        </w:rPr>
        <w:t xml:space="preserve">: </w:t>
      </w:r>
      <w:r w:rsidRPr="00065160">
        <w:rPr>
          <w:rFonts w:ascii="Arial" w:hAnsi="Arial" w:cs="Arial"/>
          <w:i/>
          <w:sz w:val="24"/>
          <w:szCs w:val="24"/>
        </w:rPr>
        <w:t>“a trabajo igual, salario igual”</w:t>
      </w:r>
      <w:r w:rsidRPr="00BD4FC7">
        <w:rPr>
          <w:rFonts w:ascii="Arial" w:hAnsi="Arial" w:cs="Arial"/>
          <w:sz w:val="24"/>
          <w:szCs w:val="24"/>
        </w:rPr>
        <w:t xml:space="preserve">. </w:t>
      </w:r>
    </w:p>
    <w:p w14:paraId="533E71EA" w14:textId="77777777" w:rsidR="001E445E" w:rsidRPr="00BD4FC7" w:rsidRDefault="001E445E" w:rsidP="001E445E">
      <w:pPr>
        <w:spacing w:line="360" w:lineRule="auto"/>
        <w:ind w:firstLine="567"/>
        <w:jc w:val="both"/>
        <w:rPr>
          <w:rFonts w:ascii="Arial" w:hAnsi="Arial" w:cs="Arial"/>
          <w:sz w:val="24"/>
          <w:szCs w:val="24"/>
        </w:rPr>
      </w:pPr>
      <w:r w:rsidRPr="00BD4FC7">
        <w:rPr>
          <w:rFonts w:ascii="Arial" w:hAnsi="Arial" w:cs="Arial"/>
          <w:sz w:val="24"/>
          <w:szCs w:val="24"/>
        </w:rPr>
        <w:t>Sirve de apoyo a lo anterior por analogía sustancial la tesis</w:t>
      </w:r>
      <w:r>
        <w:rPr>
          <w:rStyle w:val="Refdenotaalpie"/>
          <w:rFonts w:ascii="Arial" w:hAnsi="Arial" w:cs="Arial"/>
          <w:sz w:val="24"/>
          <w:szCs w:val="24"/>
        </w:rPr>
        <w:footnoteReference w:id="10"/>
      </w:r>
      <w:r w:rsidRPr="00BD4FC7">
        <w:rPr>
          <w:rFonts w:ascii="Arial" w:hAnsi="Arial" w:cs="Arial"/>
          <w:sz w:val="24"/>
          <w:szCs w:val="24"/>
        </w:rPr>
        <w:t xml:space="preserve"> ba</w:t>
      </w:r>
      <w:r>
        <w:rPr>
          <w:rFonts w:ascii="Arial" w:hAnsi="Arial" w:cs="Arial"/>
          <w:sz w:val="24"/>
          <w:szCs w:val="24"/>
        </w:rPr>
        <w:t>jo el rubro y texto siguiente:</w:t>
      </w:r>
    </w:p>
    <w:p w14:paraId="1DA4FD52" w14:textId="77777777" w:rsidR="001E445E" w:rsidRPr="00065160" w:rsidRDefault="001E445E" w:rsidP="001E445E">
      <w:pPr>
        <w:ind w:left="567"/>
        <w:jc w:val="both"/>
        <w:rPr>
          <w:rFonts w:ascii="Arial" w:hAnsi="Arial" w:cs="Arial"/>
          <w:i/>
          <w:sz w:val="24"/>
          <w:szCs w:val="24"/>
        </w:rPr>
      </w:pPr>
      <w:r w:rsidRPr="00065160">
        <w:rPr>
          <w:rFonts w:ascii="Arial" w:hAnsi="Arial" w:cs="Arial"/>
          <w:b/>
          <w:i/>
          <w:sz w:val="24"/>
          <w:szCs w:val="24"/>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Pr="00065160">
        <w:rPr>
          <w:rFonts w:ascii="Arial" w:hAnsi="Arial" w:cs="Arial"/>
          <w:i/>
          <w:sz w:val="24"/>
          <w:szCs w:val="24"/>
        </w:rPr>
        <w:t xml:space="preserve"> 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inconvencional,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w:t>
      </w:r>
      <w:r w:rsidRPr="00065160">
        <w:rPr>
          <w:rFonts w:ascii="Arial" w:hAnsi="Arial" w:cs="Arial"/>
          <w:i/>
          <w:sz w:val="24"/>
          <w:szCs w:val="24"/>
        </w:rPr>
        <w:lastRenderedPageBreak/>
        <w:t>sindicalizados, estableciendo un régimen de excepción y perjuicio, contrario a los derechos fundamentales de igualdad y no discriminación en relación con el derecho al trabajo.</w:t>
      </w:r>
      <w:r>
        <w:rPr>
          <w:rFonts w:ascii="Arial" w:hAnsi="Arial" w:cs="Arial"/>
          <w:i/>
          <w:sz w:val="24"/>
          <w:szCs w:val="24"/>
        </w:rPr>
        <w:t>”</w:t>
      </w:r>
    </w:p>
    <w:p w14:paraId="5D96E810" w14:textId="77777777" w:rsidR="001E445E" w:rsidRPr="00BD4FC7" w:rsidRDefault="001E445E" w:rsidP="001E445E">
      <w:pPr>
        <w:spacing w:line="360" w:lineRule="auto"/>
        <w:ind w:firstLine="567"/>
        <w:jc w:val="both"/>
        <w:rPr>
          <w:rFonts w:ascii="Arial" w:hAnsi="Arial" w:cs="Arial"/>
          <w:sz w:val="24"/>
          <w:szCs w:val="24"/>
        </w:rPr>
      </w:pPr>
      <w:r w:rsidRPr="00BD4FC7">
        <w:rPr>
          <w:rFonts w:ascii="Arial" w:hAnsi="Arial" w:cs="Arial"/>
          <w:sz w:val="24"/>
          <w:szCs w:val="24"/>
        </w:rPr>
        <w:t>Por ello, al momento de jubilarse, el monto que recibirá la persona jubilada no será un salario, sino una cantidad pecuniaria producto de los años de servicio prestados a un patrón y que cotizó determinada cantidad según la Ley de Pensiones previamente establecida,</w:t>
      </w:r>
      <w:r>
        <w:rPr>
          <w:rFonts w:ascii="Arial" w:hAnsi="Arial" w:cs="Arial"/>
          <w:sz w:val="24"/>
          <w:szCs w:val="24"/>
        </w:rPr>
        <w:t xml:space="preserve"> </w:t>
      </w:r>
      <w:r w:rsidRPr="00BD4FC7">
        <w:rPr>
          <w:rFonts w:ascii="Arial" w:hAnsi="Arial" w:cs="Arial"/>
          <w:sz w:val="24"/>
          <w:szCs w:val="24"/>
        </w:rPr>
        <w:t xml:space="preserve">el fin que persigue la jubilación es disfrutar de una vejez o bien de una etapa de vida posterior a la vida laboral con la seguridad de tener una cantidad pecuniaria segura para solventar gastos y necesidades derivadas del júbilo de ya haber dedicado gran parte de la vida humana al trabajo prestado, tal y como lo deduce la etimología de la palabra jubilación, misma que proviene del latín </w:t>
      </w:r>
      <w:r w:rsidRPr="00B51159">
        <w:rPr>
          <w:rFonts w:ascii="Arial" w:hAnsi="Arial" w:cs="Arial"/>
          <w:i/>
          <w:sz w:val="24"/>
          <w:szCs w:val="24"/>
        </w:rPr>
        <w:t>“iubilare”</w:t>
      </w:r>
      <w:r w:rsidRPr="00BD4FC7">
        <w:rPr>
          <w:rFonts w:ascii="Arial" w:hAnsi="Arial" w:cs="Arial"/>
          <w:sz w:val="24"/>
          <w:szCs w:val="24"/>
        </w:rPr>
        <w:t xml:space="preserve"> que significa </w:t>
      </w:r>
      <w:r w:rsidRPr="00B51159">
        <w:rPr>
          <w:rFonts w:ascii="Arial" w:hAnsi="Arial" w:cs="Arial"/>
          <w:i/>
          <w:sz w:val="24"/>
          <w:szCs w:val="24"/>
        </w:rPr>
        <w:t>“gritar de alegría”</w:t>
      </w:r>
      <w:r w:rsidRPr="00BD4FC7">
        <w:rPr>
          <w:rFonts w:ascii="Arial" w:hAnsi="Arial" w:cs="Arial"/>
          <w:sz w:val="24"/>
          <w:szCs w:val="24"/>
        </w:rPr>
        <w:t xml:space="preserve"> o </w:t>
      </w:r>
      <w:r w:rsidRPr="00B51159">
        <w:rPr>
          <w:rFonts w:ascii="Arial" w:hAnsi="Arial" w:cs="Arial"/>
          <w:i/>
          <w:sz w:val="24"/>
          <w:szCs w:val="24"/>
        </w:rPr>
        <w:t>“iubilatio”</w:t>
      </w:r>
      <w:r w:rsidRPr="00BD4FC7">
        <w:rPr>
          <w:rFonts w:ascii="Arial" w:hAnsi="Arial" w:cs="Arial"/>
          <w:sz w:val="24"/>
          <w:szCs w:val="24"/>
        </w:rPr>
        <w:t xml:space="preserve"> que significa </w:t>
      </w:r>
      <w:r w:rsidRPr="00B51159">
        <w:rPr>
          <w:rFonts w:ascii="Arial" w:hAnsi="Arial" w:cs="Arial"/>
          <w:i/>
          <w:sz w:val="24"/>
          <w:szCs w:val="24"/>
        </w:rPr>
        <w:t>“júbilo”</w:t>
      </w:r>
      <w:r>
        <w:rPr>
          <w:rFonts w:ascii="Arial" w:hAnsi="Arial" w:cs="Arial"/>
          <w:sz w:val="24"/>
          <w:szCs w:val="24"/>
        </w:rPr>
        <w:t>;</w:t>
      </w:r>
      <w:r w:rsidRPr="00BD4FC7">
        <w:rPr>
          <w:rFonts w:ascii="Arial" w:hAnsi="Arial" w:cs="Arial"/>
          <w:sz w:val="24"/>
          <w:szCs w:val="24"/>
        </w:rPr>
        <w:t xml:space="preserve"> en consecuencia, para que una persona dignamente pueda tener ese júbilo o alegría una vez concluida la etapa que dedicó a laborar, esta tiene derecho a recibir una pensi</w:t>
      </w:r>
      <w:r>
        <w:rPr>
          <w:rFonts w:ascii="Arial" w:hAnsi="Arial" w:cs="Arial"/>
          <w:sz w:val="24"/>
          <w:szCs w:val="24"/>
        </w:rPr>
        <w:t>ón para una jubilación exitosa.</w:t>
      </w:r>
    </w:p>
    <w:p w14:paraId="01518D46" w14:textId="397B3C97" w:rsidR="001E445E" w:rsidRDefault="001E445E" w:rsidP="001E445E">
      <w:pPr>
        <w:spacing w:line="360" w:lineRule="auto"/>
        <w:ind w:firstLine="567"/>
        <w:jc w:val="both"/>
        <w:rPr>
          <w:rFonts w:ascii="Arial" w:hAnsi="Arial" w:cs="Arial"/>
          <w:sz w:val="24"/>
          <w:szCs w:val="24"/>
        </w:rPr>
      </w:pPr>
      <w:r w:rsidRPr="00BD4FC7">
        <w:rPr>
          <w:rFonts w:ascii="Arial" w:hAnsi="Arial" w:cs="Arial"/>
          <w:sz w:val="24"/>
          <w:szCs w:val="24"/>
        </w:rPr>
        <w:t>Derivado de lo anterior, esta Sala</w:t>
      </w:r>
      <w:r>
        <w:rPr>
          <w:rFonts w:ascii="Arial" w:hAnsi="Arial" w:cs="Arial"/>
          <w:sz w:val="24"/>
          <w:szCs w:val="24"/>
        </w:rPr>
        <w:t xml:space="preserve"> Unitaria</w:t>
      </w:r>
      <w:r w:rsidRPr="00BD4FC7">
        <w:rPr>
          <w:rFonts w:ascii="Arial" w:hAnsi="Arial" w:cs="Arial"/>
          <w:sz w:val="24"/>
          <w:szCs w:val="24"/>
        </w:rPr>
        <w:t xml:space="preserve"> concluye que</w:t>
      </w:r>
      <w:r>
        <w:rPr>
          <w:rFonts w:ascii="Arial" w:hAnsi="Arial" w:cs="Arial"/>
          <w:sz w:val="24"/>
          <w:szCs w:val="24"/>
        </w:rPr>
        <w:t xml:space="preserve"> </w:t>
      </w:r>
      <w:r w:rsidRPr="00BD4FC7">
        <w:rPr>
          <w:rFonts w:ascii="Arial" w:hAnsi="Arial" w:cs="Arial"/>
          <w:sz w:val="24"/>
          <w:szCs w:val="24"/>
        </w:rPr>
        <w:t>el s</w:t>
      </w:r>
      <w:r>
        <w:rPr>
          <w:rFonts w:ascii="Arial" w:hAnsi="Arial" w:cs="Arial"/>
          <w:sz w:val="24"/>
          <w:szCs w:val="24"/>
        </w:rPr>
        <w:t>ueldo integrado percibido por la parte actora</w:t>
      </w:r>
      <w:r w:rsidR="00B741EF">
        <w:rPr>
          <w:rFonts w:ascii="Arial" w:hAnsi="Arial" w:cs="Arial"/>
          <w:sz w:val="24"/>
          <w:szCs w:val="24"/>
        </w:rPr>
        <w:t xml:space="preserve"> </w:t>
      </w:r>
      <w:r w:rsidR="007B20D3">
        <w:rPr>
          <w:rFonts w:ascii="Arial" w:hAnsi="Arial" w:cs="Arial"/>
          <w:sz w:val="24"/>
          <w:szCs w:val="24"/>
        </w:rPr>
        <w:t>*****</w:t>
      </w:r>
      <w:r w:rsidR="00B741EF">
        <w:rPr>
          <w:rFonts w:ascii="Arial" w:hAnsi="Arial" w:cs="Arial"/>
          <w:sz w:val="24"/>
          <w:szCs w:val="24"/>
        </w:rPr>
        <w:t xml:space="preserve"> </w:t>
      </w:r>
      <w:r w:rsidR="007B20D3">
        <w:rPr>
          <w:rFonts w:ascii="Arial" w:hAnsi="Arial" w:cs="Arial"/>
          <w:sz w:val="24"/>
          <w:szCs w:val="24"/>
        </w:rPr>
        <w:t>****</w:t>
      </w:r>
      <w:r w:rsidR="00B741EF">
        <w:rPr>
          <w:rFonts w:ascii="Arial" w:hAnsi="Arial" w:cs="Arial"/>
          <w:sz w:val="24"/>
          <w:szCs w:val="24"/>
        </w:rPr>
        <w:t xml:space="preserve"> </w:t>
      </w:r>
      <w:r w:rsidR="007B20D3">
        <w:rPr>
          <w:rFonts w:ascii="Arial" w:hAnsi="Arial" w:cs="Arial"/>
          <w:sz w:val="24"/>
          <w:szCs w:val="24"/>
        </w:rPr>
        <w:t>*****</w:t>
      </w:r>
      <w:r w:rsidR="00B741EF">
        <w:rPr>
          <w:rFonts w:ascii="Arial" w:hAnsi="Arial" w:cs="Arial"/>
          <w:sz w:val="24"/>
          <w:szCs w:val="24"/>
        </w:rPr>
        <w:t xml:space="preserve"> </w:t>
      </w:r>
      <w:r w:rsidR="007B20D3">
        <w:rPr>
          <w:rFonts w:ascii="Arial" w:hAnsi="Arial" w:cs="Arial"/>
          <w:sz w:val="24"/>
          <w:szCs w:val="24"/>
        </w:rPr>
        <w:t>*****</w:t>
      </w:r>
      <w:r w:rsidR="00B741EF">
        <w:rPr>
          <w:rFonts w:ascii="Arial" w:hAnsi="Arial" w:cs="Arial"/>
          <w:sz w:val="24"/>
          <w:szCs w:val="24"/>
        </w:rPr>
        <w:t xml:space="preserve"> </w:t>
      </w:r>
      <w:r w:rsidR="007B20D3">
        <w:rPr>
          <w:rFonts w:ascii="Arial" w:hAnsi="Arial" w:cs="Arial"/>
          <w:sz w:val="24"/>
          <w:szCs w:val="24"/>
        </w:rPr>
        <w:t>*****</w:t>
      </w:r>
      <w:r>
        <w:rPr>
          <w:rFonts w:ascii="Arial" w:hAnsi="Arial" w:cs="Arial"/>
          <w:sz w:val="24"/>
          <w:szCs w:val="24"/>
        </w:rPr>
        <w:t xml:space="preserve">, además de su salario base, también percibía otros conceptos consistentes en </w:t>
      </w:r>
      <w:r w:rsidRPr="00BD4FC7">
        <w:rPr>
          <w:rFonts w:ascii="Arial" w:hAnsi="Arial" w:cs="Arial"/>
          <w:sz w:val="24"/>
          <w:szCs w:val="24"/>
        </w:rPr>
        <w:t>Canasta Básica (clave 42), Previsión Social</w:t>
      </w:r>
      <w:r>
        <w:rPr>
          <w:rFonts w:ascii="Arial" w:hAnsi="Arial" w:cs="Arial"/>
          <w:sz w:val="24"/>
          <w:szCs w:val="24"/>
        </w:rPr>
        <w:t xml:space="preserve"> Múltiple (P.S.M.) (clave 43), </w:t>
      </w:r>
      <w:r w:rsidRPr="00BD4FC7">
        <w:rPr>
          <w:rFonts w:ascii="Arial" w:hAnsi="Arial" w:cs="Arial"/>
          <w:sz w:val="24"/>
          <w:szCs w:val="24"/>
        </w:rPr>
        <w:t>Estí</w:t>
      </w:r>
      <w:r>
        <w:rPr>
          <w:rFonts w:ascii="Arial" w:hAnsi="Arial" w:cs="Arial"/>
          <w:sz w:val="24"/>
          <w:szCs w:val="24"/>
        </w:rPr>
        <w:t>mulo (clave 45), Quinquenios (</w:t>
      </w:r>
      <w:r w:rsidR="006116A2">
        <w:rPr>
          <w:rFonts w:ascii="Arial" w:hAnsi="Arial" w:cs="Arial"/>
          <w:sz w:val="24"/>
          <w:szCs w:val="24"/>
        </w:rPr>
        <w:t>6</w:t>
      </w:r>
      <w:r w:rsidRPr="00BD4FC7">
        <w:rPr>
          <w:rFonts w:ascii="Arial" w:hAnsi="Arial" w:cs="Arial"/>
          <w:sz w:val="24"/>
          <w:szCs w:val="24"/>
        </w:rPr>
        <w:t>) (clave 46)</w:t>
      </w:r>
      <w:r w:rsidR="00710538">
        <w:rPr>
          <w:rFonts w:ascii="Arial" w:hAnsi="Arial" w:cs="Arial"/>
          <w:sz w:val="24"/>
          <w:szCs w:val="24"/>
        </w:rPr>
        <w:t xml:space="preserve">, </w:t>
      </w:r>
      <w:bookmarkStart w:id="6" w:name="_Hlk125557135"/>
      <w:r w:rsidR="00254324">
        <w:rPr>
          <w:rFonts w:ascii="Arial" w:hAnsi="Arial" w:cs="Arial"/>
          <w:sz w:val="24"/>
          <w:szCs w:val="24"/>
        </w:rPr>
        <w:t xml:space="preserve">sin contemplar el concepto denominado </w:t>
      </w:r>
      <w:r w:rsidR="00254324" w:rsidRPr="001C5C93">
        <w:rPr>
          <w:rFonts w:ascii="Arial" w:hAnsi="Arial" w:cs="Arial"/>
          <w:sz w:val="24"/>
          <w:szCs w:val="24"/>
        </w:rPr>
        <w:t>SUB.P/EL EMP. (clave 105)</w:t>
      </w:r>
      <w:r w:rsidR="00254324">
        <w:rPr>
          <w:rFonts w:ascii="Arial" w:hAnsi="Arial" w:cs="Arial"/>
          <w:sz w:val="24"/>
          <w:szCs w:val="24"/>
        </w:rPr>
        <w:t>, por no estar contemplado en el artículo 54 fracción I de la Ley de</w:t>
      </w:r>
      <w:r w:rsidR="00254324" w:rsidRPr="00BD4FC7">
        <w:rPr>
          <w:rFonts w:ascii="Arial" w:hAnsi="Arial" w:cs="Arial"/>
          <w:sz w:val="24"/>
          <w:szCs w:val="24"/>
        </w:rPr>
        <w:t xml:space="preserve"> Pensiones para los Trabajadores del Gobierno del Estado de Oaxaca</w:t>
      </w:r>
      <w:r>
        <w:rPr>
          <w:rFonts w:ascii="Arial" w:hAnsi="Arial" w:cs="Arial"/>
          <w:sz w:val="24"/>
          <w:szCs w:val="24"/>
        </w:rPr>
        <w:t xml:space="preserve">; </w:t>
      </w:r>
      <w:bookmarkEnd w:id="6"/>
      <w:r>
        <w:rPr>
          <w:rFonts w:ascii="Arial" w:hAnsi="Arial" w:cs="Arial"/>
          <w:sz w:val="24"/>
          <w:szCs w:val="24"/>
        </w:rPr>
        <w:t>por lo queda corroborado que su sueldo integrado lo constituyen otros conceptos adicionales a su sueldo base y que deberán ser considerados para el pago de su pensión.</w:t>
      </w:r>
    </w:p>
    <w:p w14:paraId="30A579A4" w14:textId="34E0BCC0" w:rsidR="001E445E" w:rsidRDefault="001E445E" w:rsidP="001E445E">
      <w:pPr>
        <w:spacing w:line="360" w:lineRule="auto"/>
        <w:ind w:firstLine="567"/>
        <w:jc w:val="both"/>
        <w:rPr>
          <w:rFonts w:ascii="Arial" w:hAnsi="Arial" w:cs="Arial"/>
          <w:sz w:val="24"/>
          <w:szCs w:val="24"/>
        </w:rPr>
      </w:pPr>
      <w:r>
        <w:rPr>
          <w:rFonts w:ascii="Arial" w:hAnsi="Arial" w:cs="Arial"/>
          <w:sz w:val="24"/>
          <w:szCs w:val="24"/>
        </w:rPr>
        <w:t xml:space="preserve">No pasa desapercibido que en los talones de pago exhibidos por el actor, se  advierte que se estipula un sueldo </w:t>
      </w:r>
      <w:r w:rsidRPr="00DC20FA">
        <w:rPr>
          <w:rFonts w:ascii="Arial" w:hAnsi="Arial" w:cs="Arial"/>
          <w:sz w:val="24"/>
          <w:szCs w:val="24"/>
        </w:rPr>
        <w:t>base</w:t>
      </w:r>
      <w:r>
        <w:rPr>
          <w:rFonts w:ascii="Arial" w:hAnsi="Arial" w:cs="Arial"/>
          <w:sz w:val="24"/>
          <w:szCs w:val="24"/>
        </w:rPr>
        <w:t xml:space="preserve"> quincenal de </w:t>
      </w:r>
      <w:r w:rsidR="007B20D3">
        <w:rPr>
          <w:rFonts w:ascii="Arial" w:hAnsi="Arial" w:cs="Arial"/>
          <w:sz w:val="24"/>
          <w:szCs w:val="24"/>
        </w:rPr>
        <w:t>*****</w:t>
      </w:r>
      <w:r>
        <w:rPr>
          <w:rFonts w:ascii="Arial" w:hAnsi="Arial" w:cs="Arial"/>
          <w:sz w:val="24"/>
          <w:szCs w:val="24"/>
        </w:rPr>
        <w:t xml:space="preserve"> (</w:t>
      </w:r>
      <w:r w:rsidR="007B20D3">
        <w:rPr>
          <w:rFonts w:ascii="Arial" w:hAnsi="Arial" w:cs="Arial"/>
          <w:sz w:val="24"/>
          <w:szCs w:val="24"/>
        </w:rPr>
        <w:t>*****</w:t>
      </w:r>
      <w:r w:rsidR="00614446">
        <w:rPr>
          <w:rFonts w:ascii="Arial" w:hAnsi="Arial" w:cs="Arial"/>
          <w:sz w:val="24"/>
          <w:szCs w:val="24"/>
        </w:rPr>
        <w:t xml:space="preserve"> </w:t>
      </w:r>
      <w:r w:rsidR="007B20D3">
        <w:rPr>
          <w:rFonts w:ascii="Arial" w:hAnsi="Arial" w:cs="Arial"/>
          <w:sz w:val="24"/>
          <w:szCs w:val="24"/>
        </w:rPr>
        <w:t>*****</w:t>
      </w:r>
      <w:r w:rsidR="00614446">
        <w:rPr>
          <w:rFonts w:ascii="Arial" w:hAnsi="Arial" w:cs="Arial"/>
          <w:sz w:val="24"/>
          <w:szCs w:val="24"/>
        </w:rPr>
        <w:t xml:space="preserve"> </w:t>
      </w:r>
      <w:r w:rsidR="007B20D3">
        <w:rPr>
          <w:rFonts w:ascii="Arial" w:hAnsi="Arial" w:cs="Arial"/>
          <w:sz w:val="24"/>
          <w:szCs w:val="24"/>
        </w:rPr>
        <w:t>*****</w:t>
      </w:r>
      <w:r w:rsidR="00614446">
        <w:rPr>
          <w:rFonts w:ascii="Arial" w:hAnsi="Arial" w:cs="Arial"/>
          <w:sz w:val="24"/>
          <w:szCs w:val="24"/>
        </w:rPr>
        <w:t xml:space="preserve"> </w:t>
      </w:r>
      <w:r w:rsidR="007B20D3">
        <w:rPr>
          <w:rFonts w:ascii="Arial" w:hAnsi="Arial" w:cs="Arial"/>
          <w:sz w:val="24"/>
          <w:szCs w:val="24"/>
        </w:rPr>
        <w:t>****</w:t>
      </w:r>
      <w:r>
        <w:rPr>
          <w:rFonts w:ascii="Arial" w:hAnsi="Arial" w:cs="Arial"/>
          <w:sz w:val="24"/>
          <w:szCs w:val="24"/>
        </w:rPr>
        <w:t xml:space="preserve"> pesos</w:t>
      </w:r>
      <w:r w:rsidR="00780194">
        <w:rPr>
          <w:rFonts w:ascii="Arial" w:hAnsi="Arial" w:cs="Arial"/>
          <w:sz w:val="24"/>
          <w:szCs w:val="24"/>
        </w:rPr>
        <w:t>,</w:t>
      </w:r>
      <w:r>
        <w:rPr>
          <w:rFonts w:ascii="Arial" w:hAnsi="Arial" w:cs="Arial"/>
          <w:sz w:val="24"/>
          <w:szCs w:val="24"/>
        </w:rPr>
        <w:t xml:space="preserve"> 00/100 Moneda Nacional), mientras que, en el dictamen de jubilación controvertido, hace referencia a un sueldo base mensual de </w:t>
      </w:r>
      <w:bookmarkStart w:id="7" w:name="_Hlk125556885"/>
      <w:r w:rsidR="007B20D3">
        <w:rPr>
          <w:rFonts w:ascii="Arial" w:hAnsi="Arial" w:cs="Arial"/>
          <w:sz w:val="24"/>
          <w:szCs w:val="24"/>
        </w:rPr>
        <w:t>*****</w:t>
      </w:r>
      <w:r>
        <w:rPr>
          <w:rFonts w:ascii="Arial" w:hAnsi="Arial" w:cs="Arial"/>
          <w:sz w:val="24"/>
          <w:szCs w:val="24"/>
        </w:rPr>
        <w:t xml:space="preserve"> (</w:t>
      </w:r>
      <w:r w:rsidR="007B20D3">
        <w:rPr>
          <w:rFonts w:ascii="Arial" w:hAnsi="Arial" w:cs="Arial"/>
          <w:sz w:val="24"/>
          <w:szCs w:val="24"/>
        </w:rPr>
        <w:t>*****</w:t>
      </w:r>
      <w:r>
        <w:rPr>
          <w:rFonts w:ascii="Arial" w:hAnsi="Arial" w:cs="Arial"/>
          <w:sz w:val="24"/>
          <w:szCs w:val="24"/>
        </w:rPr>
        <w:t xml:space="preserve"> </w:t>
      </w:r>
      <w:r w:rsidR="007B20D3">
        <w:rPr>
          <w:rFonts w:ascii="Arial" w:hAnsi="Arial" w:cs="Arial"/>
          <w:sz w:val="24"/>
          <w:szCs w:val="24"/>
        </w:rPr>
        <w:t>****</w:t>
      </w:r>
      <w:r w:rsidR="001A24F8">
        <w:rPr>
          <w:rFonts w:ascii="Arial" w:hAnsi="Arial" w:cs="Arial"/>
          <w:sz w:val="24"/>
          <w:szCs w:val="24"/>
        </w:rPr>
        <w:t xml:space="preserve"> </w:t>
      </w:r>
      <w:r w:rsidR="007B20D3">
        <w:rPr>
          <w:rFonts w:ascii="Arial" w:hAnsi="Arial" w:cs="Arial"/>
          <w:sz w:val="24"/>
          <w:szCs w:val="24"/>
        </w:rPr>
        <w:t>*****</w:t>
      </w:r>
      <w:r>
        <w:rPr>
          <w:rFonts w:ascii="Arial" w:hAnsi="Arial" w:cs="Arial"/>
          <w:sz w:val="24"/>
          <w:szCs w:val="24"/>
        </w:rPr>
        <w:t xml:space="preserve"> </w:t>
      </w:r>
      <w:r w:rsidR="007B20D3">
        <w:rPr>
          <w:rFonts w:ascii="Arial" w:hAnsi="Arial" w:cs="Arial"/>
          <w:sz w:val="24"/>
          <w:szCs w:val="24"/>
        </w:rPr>
        <w:t>****</w:t>
      </w:r>
      <w:r>
        <w:rPr>
          <w:rFonts w:ascii="Arial" w:hAnsi="Arial" w:cs="Arial"/>
          <w:sz w:val="24"/>
          <w:szCs w:val="24"/>
        </w:rPr>
        <w:t xml:space="preserve"> pesos</w:t>
      </w:r>
      <w:r w:rsidR="00780194">
        <w:rPr>
          <w:rFonts w:ascii="Arial" w:hAnsi="Arial" w:cs="Arial"/>
          <w:sz w:val="24"/>
          <w:szCs w:val="24"/>
        </w:rPr>
        <w:t>,</w:t>
      </w:r>
      <w:r>
        <w:rPr>
          <w:rFonts w:ascii="Arial" w:hAnsi="Arial" w:cs="Arial"/>
          <w:sz w:val="24"/>
          <w:szCs w:val="24"/>
        </w:rPr>
        <w:t xml:space="preserve"> 00/100 Moneda Nacional), </w:t>
      </w:r>
      <w:bookmarkEnd w:id="7"/>
      <w:r>
        <w:rPr>
          <w:rFonts w:ascii="Arial" w:hAnsi="Arial" w:cs="Arial"/>
          <w:sz w:val="24"/>
          <w:szCs w:val="24"/>
        </w:rPr>
        <w:t>mismo que viene inserto y reconocido en el</w:t>
      </w:r>
      <w:r w:rsidRPr="00A66736">
        <w:rPr>
          <w:rFonts w:ascii="Arial" w:hAnsi="Arial" w:cs="Arial"/>
          <w:sz w:val="24"/>
          <w:szCs w:val="24"/>
        </w:rPr>
        <w:t xml:space="preserve"> dictamen de jubilación, y que a su vez hace referencia que dicha cantidad fue autorizada en el nombramiento de confianza para efectos de jubilación</w:t>
      </w:r>
      <w:r>
        <w:rPr>
          <w:rFonts w:ascii="Arial" w:hAnsi="Arial" w:cs="Arial"/>
          <w:sz w:val="24"/>
          <w:szCs w:val="24"/>
        </w:rPr>
        <w:t xml:space="preserve"> número</w:t>
      </w:r>
      <w:r w:rsidRPr="00A66736">
        <w:rPr>
          <w:rFonts w:ascii="Arial" w:hAnsi="Arial" w:cs="Arial"/>
          <w:sz w:val="24"/>
          <w:szCs w:val="24"/>
        </w:rPr>
        <w:t xml:space="preserve"> </w:t>
      </w:r>
      <w:r w:rsidR="00E87538">
        <w:rPr>
          <w:rFonts w:ascii="Arial" w:hAnsi="Arial" w:cs="Arial"/>
          <w:sz w:val="24"/>
          <w:szCs w:val="24"/>
        </w:rPr>
        <w:t>*****</w:t>
      </w:r>
      <w:r w:rsidRPr="00A66736">
        <w:rPr>
          <w:rFonts w:ascii="Arial" w:hAnsi="Arial" w:cs="Arial"/>
          <w:sz w:val="24"/>
          <w:szCs w:val="24"/>
        </w:rPr>
        <w:t>, de fecha</w:t>
      </w:r>
      <w:r>
        <w:rPr>
          <w:rFonts w:ascii="Arial" w:hAnsi="Arial" w:cs="Arial"/>
          <w:sz w:val="24"/>
          <w:szCs w:val="24"/>
        </w:rPr>
        <w:t xml:space="preserve"> </w:t>
      </w:r>
      <w:r w:rsidR="00E87538">
        <w:rPr>
          <w:rFonts w:ascii="Arial" w:hAnsi="Arial" w:cs="Arial"/>
          <w:sz w:val="24"/>
          <w:szCs w:val="24"/>
        </w:rPr>
        <w:t>*****</w:t>
      </w:r>
      <w:r>
        <w:rPr>
          <w:rFonts w:ascii="Arial" w:hAnsi="Arial" w:cs="Arial"/>
          <w:sz w:val="24"/>
          <w:szCs w:val="24"/>
        </w:rPr>
        <w:t xml:space="preserve"> de </w:t>
      </w:r>
      <w:r w:rsidR="00E87538">
        <w:rPr>
          <w:rFonts w:ascii="Arial" w:hAnsi="Arial" w:cs="Arial"/>
          <w:sz w:val="24"/>
          <w:szCs w:val="24"/>
        </w:rPr>
        <w:t>*****</w:t>
      </w:r>
      <w:r>
        <w:rPr>
          <w:rFonts w:ascii="Arial" w:hAnsi="Arial" w:cs="Arial"/>
          <w:sz w:val="24"/>
          <w:szCs w:val="24"/>
        </w:rPr>
        <w:t xml:space="preserve"> de dos mil</w:t>
      </w:r>
      <w:r w:rsidR="00E87538">
        <w:rPr>
          <w:rFonts w:ascii="Arial" w:hAnsi="Arial" w:cs="Arial"/>
          <w:sz w:val="24"/>
          <w:szCs w:val="24"/>
        </w:rPr>
        <w:t xml:space="preserve"> *****</w:t>
      </w:r>
      <w:r>
        <w:rPr>
          <w:rFonts w:ascii="Arial" w:hAnsi="Arial" w:cs="Arial"/>
          <w:sz w:val="24"/>
          <w:szCs w:val="24"/>
        </w:rPr>
        <w:t xml:space="preserve">, mismo que fue exhibido por la autoridad demandada (foja </w:t>
      </w:r>
      <w:r w:rsidR="001A24F8">
        <w:rPr>
          <w:rFonts w:ascii="Arial" w:hAnsi="Arial" w:cs="Arial"/>
          <w:sz w:val="24"/>
          <w:szCs w:val="24"/>
        </w:rPr>
        <w:t>57</w:t>
      </w:r>
      <w:r>
        <w:rPr>
          <w:rFonts w:ascii="Arial" w:hAnsi="Arial" w:cs="Arial"/>
          <w:sz w:val="24"/>
          <w:szCs w:val="24"/>
        </w:rPr>
        <w:t>), documental que adquiere valor probatorio pleno en términos del artículo 203 fracción I de la Ley de Procedimiento y Justicia Administrativa para el Estado de Oaxaca, por lo que existe una variación de los sueldos base, sin embargo, atendiendo a que este último sueldo base no fue controvertido, será este último sueldo base el que se tomará en cuenta en la presente sentencia para efecto de hacer la correcta cuantificación de la pensión otorgada al accionante.</w:t>
      </w:r>
      <w:r w:rsidR="00614446">
        <w:rPr>
          <w:rFonts w:ascii="Arial" w:hAnsi="Arial" w:cs="Arial"/>
          <w:sz w:val="24"/>
          <w:szCs w:val="24"/>
        </w:rPr>
        <w:t xml:space="preserve"> </w:t>
      </w:r>
    </w:p>
    <w:p w14:paraId="57385FCB" w14:textId="28FE802B" w:rsidR="001E445E" w:rsidRDefault="001E445E" w:rsidP="001E445E">
      <w:pPr>
        <w:spacing w:line="360" w:lineRule="auto"/>
        <w:ind w:firstLine="567"/>
        <w:jc w:val="both"/>
        <w:rPr>
          <w:rFonts w:ascii="Arial" w:hAnsi="Arial" w:cs="Arial"/>
          <w:sz w:val="24"/>
          <w:szCs w:val="24"/>
        </w:rPr>
      </w:pPr>
      <w:r>
        <w:rPr>
          <w:rFonts w:ascii="Arial" w:hAnsi="Arial" w:cs="Arial"/>
          <w:sz w:val="24"/>
          <w:szCs w:val="24"/>
        </w:rPr>
        <w:lastRenderedPageBreak/>
        <w:t>Luego, concatenando lo dicho en párrafos anteriores, además de su sueldo base para efectos de jubilación por la cantidad de</w:t>
      </w:r>
      <w:r w:rsidR="00FF1112">
        <w:rPr>
          <w:rFonts w:ascii="Arial" w:hAnsi="Arial" w:cs="Arial"/>
          <w:sz w:val="24"/>
          <w:szCs w:val="24"/>
        </w:rPr>
        <w:t xml:space="preserve"> *****</w:t>
      </w:r>
      <w:r w:rsidR="001378D8">
        <w:rPr>
          <w:rFonts w:ascii="Arial" w:hAnsi="Arial" w:cs="Arial"/>
          <w:sz w:val="24"/>
          <w:szCs w:val="24"/>
        </w:rPr>
        <w:t xml:space="preserve"> (</w:t>
      </w:r>
      <w:r w:rsidR="00FF1112">
        <w:rPr>
          <w:rFonts w:ascii="Arial" w:hAnsi="Arial" w:cs="Arial"/>
          <w:sz w:val="24"/>
          <w:szCs w:val="24"/>
        </w:rPr>
        <w:t>*****</w:t>
      </w:r>
      <w:r w:rsidR="001378D8">
        <w:rPr>
          <w:rFonts w:ascii="Arial" w:hAnsi="Arial" w:cs="Arial"/>
          <w:sz w:val="24"/>
          <w:szCs w:val="24"/>
        </w:rPr>
        <w:t xml:space="preserve"> </w:t>
      </w:r>
      <w:r w:rsidR="00FF1112">
        <w:rPr>
          <w:rFonts w:ascii="Arial" w:hAnsi="Arial" w:cs="Arial"/>
          <w:sz w:val="24"/>
          <w:szCs w:val="24"/>
        </w:rPr>
        <w:t>*****</w:t>
      </w:r>
      <w:r w:rsidR="001378D8">
        <w:rPr>
          <w:rFonts w:ascii="Arial" w:hAnsi="Arial" w:cs="Arial"/>
          <w:sz w:val="24"/>
          <w:szCs w:val="24"/>
        </w:rPr>
        <w:t xml:space="preserve"> </w:t>
      </w:r>
      <w:r w:rsidR="00FF1112">
        <w:rPr>
          <w:rFonts w:ascii="Arial" w:hAnsi="Arial" w:cs="Arial"/>
          <w:sz w:val="24"/>
          <w:szCs w:val="24"/>
        </w:rPr>
        <w:t>*****</w:t>
      </w:r>
      <w:r w:rsidR="001378D8">
        <w:rPr>
          <w:rFonts w:ascii="Arial" w:hAnsi="Arial" w:cs="Arial"/>
          <w:sz w:val="24"/>
          <w:szCs w:val="24"/>
        </w:rPr>
        <w:t xml:space="preserve"> </w:t>
      </w:r>
      <w:r w:rsidR="00FF1112">
        <w:rPr>
          <w:rFonts w:ascii="Arial" w:hAnsi="Arial" w:cs="Arial"/>
          <w:sz w:val="24"/>
          <w:szCs w:val="24"/>
        </w:rPr>
        <w:t>*****</w:t>
      </w:r>
      <w:r w:rsidR="001378D8">
        <w:rPr>
          <w:rFonts w:ascii="Arial" w:hAnsi="Arial" w:cs="Arial"/>
          <w:sz w:val="24"/>
          <w:szCs w:val="24"/>
        </w:rPr>
        <w:t xml:space="preserve"> pesos</w:t>
      </w:r>
      <w:r w:rsidR="00F3637C">
        <w:rPr>
          <w:rFonts w:ascii="Arial" w:hAnsi="Arial" w:cs="Arial"/>
          <w:sz w:val="24"/>
          <w:szCs w:val="24"/>
        </w:rPr>
        <w:t>,</w:t>
      </w:r>
      <w:r w:rsidR="001378D8">
        <w:rPr>
          <w:rFonts w:ascii="Arial" w:hAnsi="Arial" w:cs="Arial"/>
          <w:sz w:val="24"/>
          <w:szCs w:val="24"/>
        </w:rPr>
        <w:t xml:space="preserve"> 00/100 Moneda Nacional), </w:t>
      </w:r>
      <w:r>
        <w:rPr>
          <w:rFonts w:ascii="Arial" w:hAnsi="Arial" w:cs="Arial"/>
          <w:sz w:val="24"/>
          <w:szCs w:val="24"/>
        </w:rPr>
        <w:t>se deberán integrar los conceptos del artículo 54 fracción I de la Ley de</w:t>
      </w:r>
      <w:r w:rsidRPr="00BD4FC7">
        <w:rPr>
          <w:rFonts w:ascii="Arial" w:hAnsi="Arial" w:cs="Arial"/>
          <w:sz w:val="24"/>
          <w:szCs w:val="24"/>
        </w:rPr>
        <w:t xml:space="preserve"> Pensiones para los Trabajadores del Gobierno del Estado de Oaxaca</w:t>
      </w:r>
      <w:r>
        <w:rPr>
          <w:rFonts w:ascii="Arial" w:hAnsi="Arial" w:cs="Arial"/>
          <w:sz w:val="24"/>
          <w:szCs w:val="24"/>
        </w:rPr>
        <w:t>, por haber corroborado que cuando se encontraba en vida laboral activa, percibía esos conceptos además de su sueldo base.</w:t>
      </w:r>
    </w:p>
    <w:p w14:paraId="28BFE493" w14:textId="77777777" w:rsidR="001E445E" w:rsidRDefault="001E445E" w:rsidP="001E445E">
      <w:pPr>
        <w:spacing w:line="360" w:lineRule="auto"/>
        <w:ind w:firstLine="567"/>
        <w:jc w:val="both"/>
        <w:rPr>
          <w:rFonts w:ascii="Arial" w:hAnsi="Arial" w:cs="Arial"/>
          <w:sz w:val="24"/>
          <w:szCs w:val="24"/>
        </w:rPr>
      </w:pPr>
      <w:r>
        <w:rPr>
          <w:rFonts w:ascii="Arial" w:hAnsi="Arial" w:cs="Arial"/>
          <w:sz w:val="24"/>
          <w:szCs w:val="24"/>
        </w:rPr>
        <w:t>S</w:t>
      </w:r>
      <w:r w:rsidRPr="00BD4FC7">
        <w:rPr>
          <w:rFonts w:ascii="Arial" w:hAnsi="Arial" w:cs="Arial"/>
          <w:sz w:val="24"/>
          <w:szCs w:val="24"/>
        </w:rPr>
        <w:t xml:space="preserve">in embargo, como lo indica el artículo 14 primer párrafo </w:t>
      </w:r>
      <w:r>
        <w:rPr>
          <w:rFonts w:ascii="Arial" w:hAnsi="Arial" w:cs="Arial"/>
          <w:sz w:val="24"/>
          <w:szCs w:val="24"/>
        </w:rPr>
        <w:t>de la Constitución Política de los Estados Unidos Mexicanos</w:t>
      </w:r>
      <w:r w:rsidRPr="00BD4FC7">
        <w:rPr>
          <w:rFonts w:ascii="Arial" w:hAnsi="Arial" w:cs="Arial"/>
          <w:sz w:val="24"/>
          <w:szCs w:val="24"/>
        </w:rPr>
        <w:t>, respecto del principio de la irretroactividad de la ley</w:t>
      </w:r>
      <w:r>
        <w:rPr>
          <w:rFonts w:ascii="Arial" w:hAnsi="Arial" w:cs="Arial"/>
          <w:sz w:val="24"/>
          <w:szCs w:val="24"/>
        </w:rPr>
        <w:t>, establece que</w:t>
      </w:r>
      <w:r w:rsidRPr="00BD4FC7">
        <w:rPr>
          <w:rFonts w:ascii="Arial" w:hAnsi="Arial" w:cs="Arial"/>
          <w:sz w:val="24"/>
          <w:szCs w:val="24"/>
        </w:rPr>
        <w:t xml:space="preserve"> ninguna disposición legal </w:t>
      </w:r>
      <w:r>
        <w:rPr>
          <w:rFonts w:ascii="Arial" w:hAnsi="Arial" w:cs="Arial"/>
          <w:sz w:val="24"/>
          <w:szCs w:val="24"/>
        </w:rPr>
        <w:t>puede ser aplicada</w:t>
      </w:r>
      <w:r w:rsidRPr="00BD4FC7">
        <w:rPr>
          <w:rFonts w:ascii="Arial" w:hAnsi="Arial" w:cs="Arial"/>
          <w:sz w:val="24"/>
          <w:szCs w:val="24"/>
        </w:rPr>
        <w:t xml:space="preserve"> de forma retroactiva en perjuicio de un gobernado, pero que, mediante un control difuso de constitucionalidad de derechos humanos, una disposición legal puede ser aplicada retroactivamente en beneficio de un gobernado</w:t>
      </w:r>
      <w:r>
        <w:rPr>
          <w:rFonts w:ascii="Arial" w:hAnsi="Arial" w:cs="Arial"/>
          <w:sz w:val="24"/>
          <w:szCs w:val="24"/>
        </w:rPr>
        <w:t>.</w:t>
      </w:r>
      <w:r w:rsidRPr="00BD4FC7">
        <w:rPr>
          <w:rFonts w:ascii="Arial" w:hAnsi="Arial" w:cs="Arial"/>
          <w:sz w:val="24"/>
          <w:szCs w:val="24"/>
        </w:rPr>
        <w:t xml:space="preserve"> </w:t>
      </w:r>
    </w:p>
    <w:p w14:paraId="64B093E5" w14:textId="2C412C03" w:rsidR="001E445E" w:rsidRPr="00BD4FC7" w:rsidRDefault="001E445E" w:rsidP="001E445E">
      <w:pPr>
        <w:spacing w:line="360" w:lineRule="auto"/>
        <w:ind w:firstLine="567"/>
        <w:jc w:val="both"/>
        <w:rPr>
          <w:rFonts w:ascii="Arial" w:hAnsi="Arial" w:cs="Arial"/>
          <w:sz w:val="24"/>
          <w:szCs w:val="24"/>
        </w:rPr>
      </w:pPr>
      <w:r>
        <w:rPr>
          <w:rFonts w:ascii="Arial" w:hAnsi="Arial" w:cs="Arial"/>
          <w:sz w:val="24"/>
          <w:szCs w:val="24"/>
        </w:rPr>
        <w:t xml:space="preserve">En las relatadas consideraciones, </w:t>
      </w:r>
      <w:r w:rsidRPr="00BD4FC7">
        <w:rPr>
          <w:rFonts w:ascii="Arial" w:hAnsi="Arial" w:cs="Arial"/>
          <w:sz w:val="24"/>
          <w:szCs w:val="24"/>
        </w:rPr>
        <w:t xml:space="preserve">la Oficina de Pensiones del </w:t>
      </w:r>
      <w:r>
        <w:rPr>
          <w:rFonts w:ascii="Arial" w:hAnsi="Arial" w:cs="Arial"/>
          <w:sz w:val="24"/>
          <w:szCs w:val="24"/>
        </w:rPr>
        <w:t xml:space="preserve">Gobierno del </w:t>
      </w:r>
      <w:r w:rsidRPr="00BD4FC7">
        <w:rPr>
          <w:rFonts w:ascii="Arial" w:hAnsi="Arial" w:cs="Arial"/>
          <w:sz w:val="24"/>
          <w:szCs w:val="24"/>
        </w:rPr>
        <w:t>Estado de Oaxaca, debe otorgar el mayor beneficio</w:t>
      </w:r>
      <w:r>
        <w:rPr>
          <w:rFonts w:ascii="Arial" w:hAnsi="Arial" w:cs="Arial"/>
          <w:sz w:val="24"/>
          <w:szCs w:val="24"/>
        </w:rPr>
        <w:t xml:space="preserve">, y por ende, </w:t>
      </w:r>
      <w:r w:rsidRPr="00BD4FC7">
        <w:rPr>
          <w:rFonts w:ascii="Arial" w:hAnsi="Arial" w:cs="Arial"/>
          <w:sz w:val="24"/>
          <w:szCs w:val="24"/>
        </w:rPr>
        <w:t>considera</w:t>
      </w:r>
      <w:r>
        <w:rPr>
          <w:rFonts w:ascii="Arial" w:hAnsi="Arial" w:cs="Arial"/>
          <w:sz w:val="24"/>
          <w:szCs w:val="24"/>
        </w:rPr>
        <w:t>r</w:t>
      </w:r>
      <w:r w:rsidRPr="00BD4FC7">
        <w:rPr>
          <w:rFonts w:ascii="Arial" w:hAnsi="Arial" w:cs="Arial"/>
          <w:sz w:val="24"/>
          <w:szCs w:val="24"/>
        </w:rPr>
        <w:t xml:space="preserve"> el salario integrado </w:t>
      </w:r>
      <w:r>
        <w:rPr>
          <w:rFonts w:ascii="Arial" w:hAnsi="Arial" w:cs="Arial"/>
          <w:sz w:val="24"/>
          <w:szCs w:val="24"/>
        </w:rPr>
        <w:t xml:space="preserve">para la cuantificación correcta de la pensión a otorgar, misma </w:t>
      </w:r>
      <w:r w:rsidRPr="00BD4FC7">
        <w:rPr>
          <w:rFonts w:ascii="Arial" w:hAnsi="Arial" w:cs="Arial"/>
          <w:sz w:val="24"/>
          <w:szCs w:val="24"/>
        </w:rPr>
        <w:t xml:space="preserve">que abarca todas y cada una de las prestaciones </w:t>
      </w:r>
      <w:r>
        <w:rPr>
          <w:rFonts w:ascii="Arial" w:hAnsi="Arial" w:cs="Arial"/>
          <w:sz w:val="24"/>
          <w:szCs w:val="24"/>
        </w:rPr>
        <w:t>que contempla el artículo 54 fracción I de la Ley de Pensiones para los Trabajadores del Gobierno del Estado de Oaxaca, a favor de</w:t>
      </w:r>
      <w:r w:rsidR="001378D8">
        <w:rPr>
          <w:rFonts w:ascii="Arial" w:hAnsi="Arial" w:cs="Arial"/>
          <w:sz w:val="24"/>
          <w:szCs w:val="24"/>
        </w:rPr>
        <w:t xml:space="preserve"> </w:t>
      </w:r>
      <w:r w:rsidR="00FF1112">
        <w:rPr>
          <w:rFonts w:ascii="Arial" w:hAnsi="Arial" w:cs="Arial"/>
          <w:sz w:val="24"/>
          <w:szCs w:val="24"/>
        </w:rPr>
        <w:t>*****</w:t>
      </w:r>
      <w:r w:rsidR="001378D8">
        <w:rPr>
          <w:rFonts w:ascii="Arial" w:hAnsi="Arial" w:cs="Arial"/>
          <w:sz w:val="24"/>
          <w:szCs w:val="24"/>
        </w:rPr>
        <w:t xml:space="preserve"> de </w:t>
      </w:r>
      <w:r w:rsidR="00FF1112">
        <w:rPr>
          <w:rFonts w:ascii="Arial" w:hAnsi="Arial" w:cs="Arial"/>
          <w:sz w:val="24"/>
          <w:szCs w:val="24"/>
        </w:rPr>
        <w:t>***** *****</w:t>
      </w:r>
      <w:r w:rsidR="001378D8">
        <w:rPr>
          <w:rFonts w:ascii="Arial" w:hAnsi="Arial" w:cs="Arial"/>
          <w:sz w:val="24"/>
          <w:szCs w:val="24"/>
        </w:rPr>
        <w:t xml:space="preserve"> </w:t>
      </w:r>
      <w:r w:rsidR="00FF1112">
        <w:rPr>
          <w:rFonts w:ascii="Arial" w:hAnsi="Arial" w:cs="Arial"/>
          <w:sz w:val="24"/>
          <w:szCs w:val="24"/>
        </w:rPr>
        <w:t>*****</w:t>
      </w:r>
      <w:r w:rsidRPr="00BD4FC7">
        <w:rPr>
          <w:rFonts w:ascii="Arial" w:hAnsi="Arial" w:cs="Arial"/>
          <w:sz w:val="24"/>
          <w:szCs w:val="24"/>
        </w:rPr>
        <w:t xml:space="preserve">, </w:t>
      </w:r>
      <w:r>
        <w:rPr>
          <w:rFonts w:ascii="Arial" w:hAnsi="Arial" w:cs="Arial"/>
          <w:sz w:val="24"/>
          <w:szCs w:val="24"/>
        </w:rPr>
        <w:t xml:space="preserve">por ello, </w:t>
      </w:r>
      <w:r w:rsidRPr="00F444D8">
        <w:rPr>
          <w:rFonts w:ascii="Arial" w:hAnsi="Arial" w:cs="Arial"/>
          <w:sz w:val="24"/>
          <w:szCs w:val="24"/>
        </w:rPr>
        <w:t>lo correcto es calcular la pensión con base al salario integrado mencionado anteriormente</w:t>
      </w:r>
      <w:r w:rsidRPr="00BD4FC7">
        <w:rPr>
          <w:rFonts w:ascii="Arial" w:hAnsi="Arial" w:cs="Arial"/>
          <w:sz w:val="24"/>
          <w:szCs w:val="24"/>
        </w:rPr>
        <w:t xml:space="preserve"> y </w:t>
      </w:r>
      <w:r>
        <w:rPr>
          <w:rFonts w:ascii="Arial" w:hAnsi="Arial" w:cs="Arial"/>
          <w:sz w:val="24"/>
          <w:szCs w:val="24"/>
        </w:rPr>
        <w:t>no únicamente con el</w:t>
      </w:r>
      <w:r w:rsidRPr="00BD4FC7">
        <w:rPr>
          <w:rFonts w:ascii="Arial" w:hAnsi="Arial" w:cs="Arial"/>
          <w:sz w:val="24"/>
          <w:szCs w:val="24"/>
        </w:rPr>
        <w:t xml:space="preserve"> salario base</w:t>
      </w:r>
      <w:r>
        <w:rPr>
          <w:rFonts w:ascii="Arial" w:hAnsi="Arial" w:cs="Arial"/>
          <w:sz w:val="24"/>
          <w:szCs w:val="24"/>
        </w:rPr>
        <w:t>,</w:t>
      </w:r>
      <w:r w:rsidRPr="00BD4FC7">
        <w:rPr>
          <w:rFonts w:ascii="Arial" w:hAnsi="Arial" w:cs="Arial"/>
          <w:sz w:val="24"/>
          <w:szCs w:val="24"/>
        </w:rPr>
        <w:t xml:space="preserve"> como erróneamente lo consideró la autoridad demandada</w:t>
      </w:r>
      <w:r>
        <w:rPr>
          <w:rFonts w:ascii="Arial" w:hAnsi="Arial" w:cs="Arial"/>
          <w:sz w:val="24"/>
          <w:szCs w:val="24"/>
        </w:rPr>
        <w:t>.</w:t>
      </w:r>
      <w:r w:rsidRPr="00BD4FC7">
        <w:rPr>
          <w:rFonts w:ascii="Arial" w:hAnsi="Arial" w:cs="Arial"/>
          <w:sz w:val="24"/>
          <w:szCs w:val="24"/>
        </w:rPr>
        <w:t xml:space="preserve"> </w:t>
      </w:r>
    </w:p>
    <w:p w14:paraId="6526B6BE" w14:textId="77777777" w:rsidR="001E445E" w:rsidRDefault="001E445E" w:rsidP="001E445E">
      <w:pPr>
        <w:spacing w:line="360" w:lineRule="auto"/>
        <w:ind w:firstLine="567"/>
        <w:jc w:val="both"/>
        <w:rPr>
          <w:rFonts w:ascii="Arial" w:hAnsi="Arial" w:cs="Arial"/>
          <w:sz w:val="24"/>
          <w:szCs w:val="24"/>
        </w:rPr>
      </w:pPr>
      <w:r w:rsidRPr="00BD4FC7">
        <w:rPr>
          <w:rFonts w:ascii="Arial" w:hAnsi="Arial" w:cs="Arial"/>
          <w:sz w:val="24"/>
          <w:szCs w:val="24"/>
        </w:rPr>
        <w:t xml:space="preserve">Por todo lo anteriormente expuesto, se concluye que el acto impugnado fue emitido de manera ilegal, al no cumplir con el requisito de validez del acto administrativo previsto </w:t>
      </w:r>
      <w:r>
        <w:rPr>
          <w:rFonts w:ascii="Arial" w:hAnsi="Arial" w:cs="Arial"/>
          <w:sz w:val="24"/>
          <w:szCs w:val="24"/>
        </w:rPr>
        <w:t xml:space="preserve">en la fracción </w:t>
      </w:r>
      <w:r w:rsidRPr="00BD4FC7">
        <w:rPr>
          <w:rFonts w:ascii="Arial" w:hAnsi="Arial" w:cs="Arial"/>
          <w:sz w:val="24"/>
          <w:szCs w:val="24"/>
        </w:rPr>
        <w:t>V del artículo 17</w:t>
      </w:r>
      <w:r>
        <w:rPr>
          <w:rFonts w:ascii="Arial" w:hAnsi="Arial" w:cs="Arial"/>
          <w:sz w:val="24"/>
          <w:szCs w:val="24"/>
        </w:rPr>
        <w:t>,</w:t>
      </w:r>
      <w:r w:rsidRPr="00BD4FC7">
        <w:rPr>
          <w:rFonts w:ascii="Arial" w:hAnsi="Arial" w:cs="Arial"/>
          <w:sz w:val="24"/>
          <w:szCs w:val="24"/>
        </w:rPr>
        <w:t xml:space="preserve"> en relación con el artículo 208 fracciones II y VI de la Ley de Procedimiento y Justicia Administrativa para el Estado de Oaxaca, vulnerando con ello el derecho de igualdad del administrad</w:t>
      </w:r>
      <w:r>
        <w:rPr>
          <w:rFonts w:ascii="Arial" w:hAnsi="Arial" w:cs="Arial"/>
          <w:sz w:val="24"/>
          <w:szCs w:val="24"/>
        </w:rPr>
        <w:t>o</w:t>
      </w:r>
      <w:r w:rsidRPr="00BD4FC7">
        <w:rPr>
          <w:rFonts w:ascii="Arial" w:hAnsi="Arial" w:cs="Arial"/>
          <w:sz w:val="24"/>
          <w:szCs w:val="24"/>
        </w:rPr>
        <w:t xml:space="preserve">, </w:t>
      </w:r>
      <w:r>
        <w:rPr>
          <w:rFonts w:ascii="Arial" w:hAnsi="Arial" w:cs="Arial"/>
          <w:sz w:val="24"/>
          <w:szCs w:val="24"/>
        </w:rPr>
        <w:t xml:space="preserve">dado </w:t>
      </w:r>
      <w:r w:rsidRPr="00BD4FC7">
        <w:rPr>
          <w:rFonts w:ascii="Arial" w:hAnsi="Arial" w:cs="Arial"/>
          <w:sz w:val="24"/>
          <w:szCs w:val="24"/>
        </w:rPr>
        <w:t>que no se pronunció respecto de las demás prestaciones a la que tenía derecho</w:t>
      </w:r>
      <w:r>
        <w:rPr>
          <w:rFonts w:ascii="Arial" w:hAnsi="Arial" w:cs="Arial"/>
          <w:sz w:val="24"/>
          <w:szCs w:val="24"/>
        </w:rPr>
        <w:t xml:space="preserve">. </w:t>
      </w:r>
    </w:p>
    <w:p w14:paraId="193D8F36" w14:textId="7A0F3139" w:rsidR="001E445E" w:rsidRPr="00BD4FC7" w:rsidRDefault="001E445E" w:rsidP="001E445E">
      <w:pPr>
        <w:spacing w:line="360" w:lineRule="auto"/>
        <w:ind w:firstLine="567"/>
        <w:jc w:val="both"/>
        <w:rPr>
          <w:rFonts w:ascii="Arial" w:hAnsi="Arial" w:cs="Arial"/>
          <w:sz w:val="24"/>
          <w:szCs w:val="24"/>
        </w:rPr>
      </w:pPr>
      <w:r w:rsidRPr="007C42BF">
        <w:rPr>
          <w:rFonts w:ascii="Arial" w:hAnsi="Arial" w:cs="Arial"/>
          <w:sz w:val="24"/>
          <w:szCs w:val="24"/>
        </w:rPr>
        <w:t xml:space="preserve">En congruencia con lo anterior, el acto controvertido se encuentra indebidamente fundado y motivado, por lo que lo procedente es declarar la </w:t>
      </w:r>
      <w:r w:rsidRPr="007C42BF">
        <w:rPr>
          <w:rFonts w:ascii="Arial" w:hAnsi="Arial" w:cs="Arial"/>
          <w:b/>
          <w:sz w:val="24"/>
          <w:szCs w:val="24"/>
        </w:rPr>
        <w:t>NULIDAD</w:t>
      </w:r>
      <w:r w:rsidRPr="007C42BF">
        <w:rPr>
          <w:rFonts w:ascii="Arial" w:hAnsi="Arial" w:cs="Arial"/>
          <w:sz w:val="24"/>
          <w:szCs w:val="24"/>
        </w:rPr>
        <w:t xml:space="preserve"> del oficio número</w:t>
      </w:r>
      <w:r w:rsidRPr="00F9364D">
        <w:rPr>
          <w:rFonts w:ascii="Arial" w:hAnsi="Arial" w:cs="Arial"/>
          <w:bCs/>
          <w:spacing w:val="-3"/>
          <w:sz w:val="24"/>
          <w:szCs w:val="27"/>
          <w:lang w:val="es-ES_tradnl"/>
        </w:rPr>
        <w:t xml:space="preserve"> </w:t>
      </w:r>
      <w:r>
        <w:rPr>
          <w:rFonts w:ascii="Arial" w:hAnsi="Arial" w:cs="Arial"/>
          <w:bCs/>
          <w:spacing w:val="-3"/>
          <w:sz w:val="24"/>
          <w:szCs w:val="27"/>
          <w:lang w:val="es-ES_tradnl"/>
        </w:rPr>
        <w:t>OP/DG/</w:t>
      </w:r>
      <w:r w:rsidR="002E0AD4">
        <w:rPr>
          <w:rFonts w:ascii="Arial" w:hAnsi="Arial" w:cs="Arial"/>
          <w:bCs/>
          <w:spacing w:val="-3"/>
          <w:sz w:val="24"/>
          <w:szCs w:val="27"/>
          <w:lang w:val="es-ES_tradnl"/>
        </w:rPr>
        <w:t>*****</w:t>
      </w:r>
      <w:r>
        <w:rPr>
          <w:rFonts w:ascii="Arial" w:hAnsi="Arial" w:cs="Arial"/>
          <w:bCs/>
          <w:spacing w:val="-3"/>
          <w:sz w:val="24"/>
          <w:szCs w:val="27"/>
          <w:lang w:val="es-ES_tradnl"/>
        </w:rPr>
        <w:t>/</w:t>
      </w:r>
      <w:r w:rsidR="002E0AD4">
        <w:rPr>
          <w:rFonts w:ascii="Arial" w:hAnsi="Arial" w:cs="Arial"/>
          <w:bCs/>
          <w:spacing w:val="-3"/>
          <w:sz w:val="24"/>
          <w:szCs w:val="27"/>
          <w:lang w:val="es-ES_tradnl"/>
        </w:rPr>
        <w:t>*****</w:t>
      </w:r>
      <w:r>
        <w:rPr>
          <w:rFonts w:ascii="Arial" w:hAnsi="Arial" w:cs="Arial"/>
          <w:bCs/>
          <w:spacing w:val="-3"/>
          <w:sz w:val="24"/>
          <w:szCs w:val="27"/>
          <w:lang w:val="es-ES_tradnl"/>
        </w:rPr>
        <w:t>, de fecha</w:t>
      </w:r>
      <w:r w:rsidR="006D1164">
        <w:rPr>
          <w:rFonts w:ascii="Arial" w:hAnsi="Arial" w:cs="Arial"/>
          <w:bCs/>
          <w:spacing w:val="-3"/>
          <w:sz w:val="24"/>
          <w:szCs w:val="27"/>
          <w:lang w:val="es-ES_tradnl"/>
        </w:rPr>
        <w:t xml:space="preserve"> </w:t>
      </w:r>
      <w:r w:rsidR="002E0AD4">
        <w:rPr>
          <w:rFonts w:ascii="Arial" w:hAnsi="Arial" w:cs="Arial"/>
          <w:bCs/>
          <w:spacing w:val="-3"/>
          <w:sz w:val="24"/>
          <w:szCs w:val="27"/>
          <w:lang w:val="es-ES_tradnl"/>
        </w:rPr>
        <w:t>*****</w:t>
      </w:r>
      <w:r>
        <w:rPr>
          <w:rFonts w:ascii="Arial" w:hAnsi="Arial" w:cs="Arial"/>
          <w:bCs/>
          <w:spacing w:val="-3"/>
          <w:sz w:val="24"/>
          <w:szCs w:val="27"/>
          <w:lang w:val="es-ES_tradnl"/>
        </w:rPr>
        <w:t xml:space="preserve"> de</w:t>
      </w:r>
      <w:r w:rsidR="002E0AD4">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de dos mil </w:t>
      </w:r>
      <w:r w:rsidR="002E0AD4">
        <w:rPr>
          <w:rFonts w:ascii="Arial" w:hAnsi="Arial" w:cs="Arial"/>
          <w:bCs/>
          <w:spacing w:val="-3"/>
          <w:sz w:val="24"/>
          <w:szCs w:val="27"/>
          <w:lang w:val="es-ES_tradnl"/>
        </w:rPr>
        <w:t>*****</w:t>
      </w:r>
      <w:r w:rsidRPr="007C42BF">
        <w:rPr>
          <w:rFonts w:ascii="Arial" w:hAnsi="Arial" w:cs="Arial"/>
          <w:sz w:val="24"/>
          <w:szCs w:val="24"/>
        </w:rPr>
        <w:t xml:space="preserve">, emitido por el Director General de la Oficina de Pensiones del Estado de Oaxaca, </w:t>
      </w:r>
      <w:r w:rsidRPr="007C42BF">
        <w:rPr>
          <w:rFonts w:ascii="Arial" w:hAnsi="Arial" w:cs="Arial"/>
          <w:b/>
          <w:sz w:val="24"/>
          <w:szCs w:val="24"/>
        </w:rPr>
        <w:t>PARA EL EFECTO</w:t>
      </w:r>
      <w:r w:rsidRPr="007C42BF">
        <w:rPr>
          <w:rFonts w:ascii="Arial" w:hAnsi="Arial" w:cs="Arial"/>
          <w:sz w:val="24"/>
          <w:szCs w:val="24"/>
        </w:rPr>
        <w:t xml:space="preserve"> de que </w:t>
      </w:r>
      <w:bookmarkStart w:id="8" w:name="_Hlk107517012"/>
      <w:r w:rsidRPr="007C42BF">
        <w:rPr>
          <w:rFonts w:ascii="Arial" w:hAnsi="Arial" w:cs="Arial"/>
          <w:sz w:val="24"/>
          <w:szCs w:val="24"/>
        </w:rPr>
        <w:t>la autoridad demandada deje sin efectos el oficio controvertido y en uno nuevo funde y motive su determinación, pronunciándose en los términos de la presente resolución, donde se haga el reajuste de pensión considerando el salario integrado para el efecto de que la pensión reclamada se integre por los conceptos de: Canasta Básica (clave 42), Previsión Social Múltiple (P.S.M.) (clave 43), Estímulo (clave 45), Quinquenios (</w:t>
      </w:r>
      <w:r w:rsidR="004F67B9">
        <w:rPr>
          <w:rFonts w:ascii="Arial" w:hAnsi="Arial" w:cs="Arial"/>
          <w:sz w:val="24"/>
          <w:szCs w:val="24"/>
        </w:rPr>
        <w:t>6</w:t>
      </w:r>
      <w:r w:rsidRPr="007C42BF">
        <w:rPr>
          <w:rFonts w:ascii="Arial" w:hAnsi="Arial" w:cs="Arial"/>
          <w:sz w:val="24"/>
          <w:szCs w:val="24"/>
        </w:rPr>
        <w:t>) (clave 46</w:t>
      </w:r>
      <w:r w:rsidR="00F00E3E" w:rsidRPr="00F00E3E">
        <w:rPr>
          <w:rFonts w:ascii="Arial" w:hAnsi="Arial" w:cs="Arial"/>
          <w:sz w:val="24"/>
          <w:szCs w:val="24"/>
        </w:rPr>
        <w:t xml:space="preserve"> </w:t>
      </w:r>
      <w:r w:rsidR="00F00E3E">
        <w:rPr>
          <w:rFonts w:ascii="Arial" w:hAnsi="Arial" w:cs="Arial"/>
          <w:sz w:val="24"/>
          <w:szCs w:val="24"/>
        </w:rPr>
        <w:t xml:space="preserve">sin contemplar el concepto denominado </w:t>
      </w:r>
      <w:r w:rsidR="00F00E3E" w:rsidRPr="001C5C93">
        <w:rPr>
          <w:rFonts w:ascii="Arial" w:hAnsi="Arial" w:cs="Arial"/>
          <w:sz w:val="24"/>
          <w:szCs w:val="24"/>
        </w:rPr>
        <w:t>SUB.P/EL EMP. (clave 105)</w:t>
      </w:r>
      <w:r w:rsidR="00F00E3E">
        <w:rPr>
          <w:rFonts w:ascii="Arial" w:hAnsi="Arial" w:cs="Arial"/>
          <w:sz w:val="24"/>
          <w:szCs w:val="24"/>
        </w:rPr>
        <w:t xml:space="preserve">, por no estar contemplado en </w:t>
      </w:r>
      <w:r w:rsidR="00F00E3E">
        <w:rPr>
          <w:rFonts w:ascii="Arial" w:hAnsi="Arial" w:cs="Arial"/>
          <w:sz w:val="24"/>
          <w:szCs w:val="24"/>
        </w:rPr>
        <w:lastRenderedPageBreak/>
        <w:t>el artículo 54 fracción I de la Ley de</w:t>
      </w:r>
      <w:r w:rsidR="00F00E3E" w:rsidRPr="00BD4FC7">
        <w:rPr>
          <w:rFonts w:ascii="Arial" w:hAnsi="Arial" w:cs="Arial"/>
          <w:sz w:val="24"/>
          <w:szCs w:val="24"/>
        </w:rPr>
        <w:t xml:space="preserve"> Pensiones para los Trabajadores del Gobierno del Estado de Oaxaca</w:t>
      </w:r>
      <w:r w:rsidRPr="007C42BF">
        <w:rPr>
          <w:rFonts w:ascii="Arial" w:hAnsi="Arial" w:cs="Arial"/>
          <w:sz w:val="24"/>
          <w:szCs w:val="24"/>
        </w:rPr>
        <w:t>; más el salario base señalado en el nombramiento de confianza para efectos de jubilación</w:t>
      </w:r>
      <w:r>
        <w:rPr>
          <w:rFonts w:ascii="Arial" w:hAnsi="Arial" w:cs="Arial"/>
          <w:sz w:val="24"/>
          <w:szCs w:val="24"/>
        </w:rPr>
        <w:t xml:space="preserve"> número</w:t>
      </w:r>
      <w:r w:rsidRPr="007C42BF">
        <w:rPr>
          <w:rFonts w:ascii="Arial" w:hAnsi="Arial" w:cs="Arial"/>
          <w:sz w:val="24"/>
          <w:szCs w:val="24"/>
        </w:rPr>
        <w:t xml:space="preserve"> </w:t>
      </w:r>
      <w:r w:rsidR="00BC4643">
        <w:rPr>
          <w:rFonts w:ascii="Arial" w:hAnsi="Arial" w:cs="Arial"/>
          <w:sz w:val="24"/>
          <w:szCs w:val="24"/>
        </w:rPr>
        <w:t>*****</w:t>
      </w:r>
      <w:r w:rsidRPr="007C42BF">
        <w:rPr>
          <w:rFonts w:ascii="Arial" w:hAnsi="Arial" w:cs="Arial"/>
          <w:sz w:val="24"/>
          <w:szCs w:val="24"/>
        </w:rPr>
        <w:t xml:space="preserve">, de fecha </w:t>
      </w:r>
      <w:r w:rsidR="00BC4643">
        <w:rPr>
          <w:rFonts w:ascii="Arial" w:hAnsi="Arial" w:cs="Arial"/>
          <w:sz w:val="24"/>
          <w:szCs w:val="24"/>
        </w:rPr>
        <w:t>*****</w:t>
      </w:r>
      <w:r w:rsidRPr="007C42BF">
        <w:rPr>
          <w:rFonts w:ascii="Arial" w:hAnsi="Arial" w:cs="Arial"/>
          <w:sz w:val="24"/>
          <w:szCs w:val="24"/>
        </w:rPr>
        <w:t xml:space="preserve"> de</w:t>
      </w:r>
      <w:r w:rsidR="00EC365D">
        <w:rPr>
          <w:rFonts w:ascii="Arial" w:hAnsi="Arial" w:cs="Arial"/>
          <w:sz w:val="24"/>
          <w:szCs w:val="24"/>
        </w:rPr>
        <w:t xml:space="preserve"> </w:t>
      </w:r>
      <w:r w:rsidR="00BC4643">
        <w:rPr>
          <w:rFonts w:ascii="Arial" w:hAnsi="Arial" w:cs="Arial"/>
          <w:sz w:val="24"/>
          <w:szCs w:val="24"/>
        </w:rPr>
        <w:t>*****</w:t>
      </w:r>
      <w:r w:rsidRPr="007C42BF">
        <w:rPr>
          <w:rFonts w:ascii="Arial" w:hAnsi="Arial" w:cs="Arial"/>
          <w:sz w:val="24"/>
          <w:szCs w:val="24"/>
        </w:rPr>
        <w:t xml:space="preserve"> de dos mil</w:t>
      </w:r>
      <w:r w:rsidR="00EC365D">
        <w:rPr>
          <w:rFonts w:ascii="Arial" w:hAnsi="Arial" w:cs="Arial"/>
          <w:sz w:val="24"/>
          <w:szCs w:val="24"/>
        </w:rPr>
        <w:t xml:space="preserve"> </w:t>
      </w:r>
      <w:r w:rsidR="00BC4643">
        <w:rPr>
          <w:rFonts w:ascii="Arial" w:hAnsi="Arial" w:cs="Arial"/>
          <w:sz w:val="24"/>
          <w:szCs w:val="24"/>
        </w:rPr>
        <w:t>****</w:t>
      </w:r>
      <w:r w:rsidRPr="007C42BF">
        <w:rPr>
          <w:rFonts w:ascii="Arial" w:hAnsi="Arial" w:cs="Arial"/>
          <w:sz w:val="24"/>
          <w:szCs w:val="24"/>
        </w:rPr>
        <w:t xml:space="preserve"> (con </w:t>
      </w:r>
      <w:r w:rsidRPr="00DF347E">
        <w:rPr>
          <w:rFonts w:ascii="Arial" w:hAnsi="Arial" w:cs="Arial"/>
          <w:sz w:val="24"/>
          <w:szCs w:val="24"/>
        </w:rPr>
        <w:t>excepción de aquellas prestaciones otorgadas de forma anual, o con motivo de ajuste de salario), mismas que igual deberán ser integradas al momento en que por ley deban de ser pagadas; debiendo igualmente hacer el ajuste a las cantidades que por concepto de pensión ya pagó, es decir, de forma retroactiva desde la fecha en que se inició a pagar la pensión mencionada; por ello, el dictamen deberá estar debidamente fundado y motivado cumpliendo los requisitos y elementos de validez del acto administrativo a los que hace referencia el artículo 17 de la Ley de Procedimiento y Justicia Administrativa para el Estado de Oaxaca</w:t>
      </w:r>
      <w:bookmarkEnd w:id="8"/>
      <w:r w:rsidRPr="00DF347E">
        <w:rPr>
          <w:rFonts w:ascii="Arial" w:hAnsi="Arial" w:cs="Arial"/>
          <w:sz w:val="24"/>
          <w:szCs w:val="24"/>
        </w:rPr>
        <w:t>.</w:t>
      </w:r>
    </w:p>
    <w:p w14:paraId="69ABCB94" w14:textId="77777777" w:rsidR="001E445E" w:rsidRPr="00BD4FC7" w:rsidRDefault="001E445E" w:rsidP="001E445E">
      <w:pPr>
        <w:spacing w:line="360" w:lineRule="auto"/>
        <w:ind w:firstLine="567"/>
        <w:jc w:val="both"/>
        <w:rPr>
          <w:rFonts w:ascii="Arial" w:hAnsi="Arial" w:cs="Arial"/>
          <w:sz w:val="24"/>
          <w:szCs w:val="24"/>
        </w:rPr>
      </w:pPr>
      <w:r w:rsidRPr="00BD4FC7">
        <w:rPr>
          <w:rFonts w:ascii="Arial" w:hAnsi="Arial" w:cs="Arial"/>
          <w:sz w:val="24"/>
          <w:szCs w:val="24"/>
        </w:rPr>
        <w:t>Sirve de apoyo</w:t>
      </w:r>
      <w:r>
        <w:rPr>
          <w:rFonts w:ascii="Arial" w:hAnsi="Arial" w:cs="Arial"/>
          <w:sz w:val="24"/>
          <w:szCs w:val="24"/>
        </w:rPr>
        <w:t xml:space="preserve"> a lo anterior la tesis</w:t>
      </w:r>
      <w:r>
        <w:rPr>
          <w:rStyle w:val="Refdenotaalpie"/>
          <w:rFonts w:ascii="Arial" w:hAnsi="Arial" w:cs="Arial"/>
          <w:sz w:val="24"/>
          <w:szCs w:val="24"/>
        </w:rPr>
        <w:footnoteReference w:id="11"/>
      </w:r>
      <w:r w:rsidRPr="00BD4FC7">
        <w:rPr>
          <w:rFonts w:ascii="Arial" w:hAnsi="Arial" w:cs="Arial"/>
          <w:sz w:val="24"/>
          <w:szCs w:val="24"/>
        </w:rPr>
        <w:t xml:space="preserve"> ba</w:t>
      </w:r>
      <w:r>
        <w:rPr>
          <w:rFonts w:ascii="Arial" w:hAnsi="Arial" w:cs="Arial"/>
          <w:sz w:val="24"/>
          <w:szCs w:val="24"/>
        </w:rPr>
        <w:t>jo el texto y rubro siguiente:</w:t>
      </w:r>
    </w:p>
    <w:p w14:paraId="7EADD91C" w14:textId="77777777" w:rsidR="001E445E" w:rsidRPr="00371D3E" w:rsidRDefault="001E445E" w:rsidP="001E445E">
      <w:pPr>
        <w:ind w:left="567"/>
        <w:jc w:val="both"/>
        <w:rPr>
          <w:rFonts w:ascii="Arial" w:hAnsi="Arial" w:cs="Arial"/>
          <w:i/>
          <w:sz w:val="24"/>
          <w:szCs w:val="24"/>
        </w:rPr>
      </w:pPr>
      <w:r w:rsidRPr="00371D3E">
        <w:rPr>
          <w:rFonts w:ascii="Arial" w:hAnsi="Arial" w:cs="Arial"/>
          <w:b/>
          <w:i/>
          <w:sz w:val="24"/>
          <w:szCs w:val="24"/>
        </w:rPr>
        <w:t>“FUNDAMENTACIÓN Y MOTIVACIÓN, FALTA O INDEBIDA. EN CUANTO SON DISTINTAS, UNAS GENERAN NULIDAD LISA Y LLANA Y OTRAS PARA EFECTOS.</w:t>
      </w:r>
      <w:r w:rsidRPr="00371D3E">
        <w:rPr>
          <w:rFonts w:ascii="Arial" w:hAnsi="Arial" w:cs="Arial"/>
          <w:i/>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w:t>
      </w:r>
      <w:r w:rsidRPr="00371D3E">
        <w:rPr>
          <w:rFonts w:ascii="Arial" w:hAnsi="Arial" w:cs="Arial"/>
          <w:i/>
          <w:sz w:val="24"/>
          <w:szCs w:val="24"/>
        </w:rPr>
        <w:lastRenderedPageBreak/>
        <w:t>el supuesto previsto en la fracción II del artículo 238 del Código Fiscal de la Federación y, por tanto, la nulidad debe ser para efectos, en términos de lo dispuesto en el párrafo final del numeral 239 del propio.”</w:t>
      </w:r>
    </w:p>
    <w:p w14:paraId="7ECD92D5" w14:textId="77777777" w:rsidR="001E445E" w:rsidRDefault="001E445E" w:rsidP="001E445E">
      <w:pPr>
        <w:spacing w:line="360" w:lineRule="auto"/>
        <w:ind w:right="51" w:firstLine="567"/>
        <w:jc w:val="both"/>
        <w:rPr>
          <w:rFonts w:ascii="Arial" w:hAnsi="Arial" w:cs="Arial"/>
          <w:bCs/>
          <w:snapToGrid w:val="0"/>
          <w:sz w:val="24"/>
          <w:szCs w:val="27"/>
        </w:rPr>
      </w:pPr>
      <w:r w:rsidRPr="00212E1F">
        <w:rPr>
          <w:rFonts w:ascii="Arial" w:hAnsi="Arial" w:cs="Arial"/>
          <w:sz w:val="24"/>
          <w:szCs w:val="24"/>
        </w:rPr>
        <w:t xml:space="preserve">Por lo anteriormente expuesto, fundado y motivado, en términos de los artículos </w:t>
      </w:r>
      <w:r w:rsidRPr="00BD4FC7">
        <w:rPr>
          <w:rFonts w:ascii="Arial" w:hAnsi="Arial" w:cs="Arial"/>
          <w:sz w:val="24"/>
          <w:szCs w:val="24"/>
        </w:rPr>
        <w:t>207, 208 fracciones II, IV, y VI, y 209 de la Ley de Procedimiento y Justicia Administrativa para el Estado de Oaxaca</w:t>
      </w:r>
      <w:r w:rsidRPr="00212E1F">
        <w:rPr>
          <w:rFonts w:ascii="Arial" w:hAnsi="Arial" w:cs="Arial"/>
          <w:sz w:val="24"/>
          <w:szCs w:val="24"/>
        </w:rPr>
        <w:t>, se</w:t>
      </w:r>
      <w:r>
        <w:rPr>
          <w:rFonts w:ascii="Arial" w:hAnsi="Arial" w:cs="Arial"/>
          <w:bCs/>
          <w:snapToGrid w:val="0"/>
          <w:sz w:val="24"/>
          <w:szCs w:val="27"/>
        </w:rPr>
        <w:t>;</w:t>
      </w:r>
    </w:p>
    <w:p w14:paraId="13FB9182" w14:textId="17D5C404" w:rsidR="001E445E" w:rsidRPr="009C0C09" w:rsidRDefault="001E445E" w:rsidP="001E445E">
      <w:pPr>
        <w:spacing w:line="360" w:lineRule="auto"/>
        <w:ind w:right="51" w:firstLine="567"/>
        <w:jc w:val="center"/>
        <w:rPr>
          <w:rFonts w:ascii="Arial" w:hAnsi="Arial" w:cs="Arial"/>
          <w:b/>
          <w:sz w:val="24"/>
          <w:szCs w:val="27"/>
        </w:rPr>
      </w:pPr>
      <w:r w:rsidRPr="001E445E">
        <w:rPr>
          <w:rFonts w:ascii="Arial" w:hAnsi="Arial" w:cs="Arial"/>
          <w:b/>
          <w:sz w:val="24"/>
          <w:szCs w:val="27"/>
        </w:rPr>
        <w:t xml:space="preserve"> </w:t>
      </w:r>
      <w:r w:rsidRPr="009C0C09">
        <w:rPr>
          <w:rFonts w:ascii="Arial" w:hAnsi="Arial" w:cs="Arial"/>
          <w:b/>
          <w:sz w:val="24"/>
          <w:szCs w:val="27"/>
        </w:rPr>
        <w:t>R E S U E L V E:</w:t>
      </w:r>
    </w:p>
    <w:p w14:paraId="3509E718" w14:textId="77777777" w:rsidR="001E445E" w:rsidRPr="009C0C09" w:rsidRDefault="001E445E" w:rsidP="001E445E">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57F34667" w14:textId="77777777" w:rsidR="001E445E" w:rsidRPr="009C0C09" w:rsidRDefault="001E445E" w:rsidP="001E445E">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 xml:space="preserve">La personalidad de las partes quedó </w:t>
      </w:r>
      <w:r>
        <w:rPr>
          <w:rFonts w:cs="Arial"/>
          <w:b w:val="0"/>
          <w:bCs/>
          <w:i w:val="0"/>
          <w:szCs w:val="27"/>
        </w:rPr>
        <w:t>acreditada</w:t>
      </w:r>
      <w:r w:rsidRPr="009C0C09">
        <w:rPr>
          <w:rFonts w:cs="Arial"/>
          <w:b w:val="0"/>
          <w:bCs/>
          <w:i w:val="0"/>
          <w:szCs w:val="27"/>
        </w:rPr>
        <w:t xml:space="preserve"> en autos</w:t>
      </w:r>
      <w:r>
        <w:rPr>
          <w:rFonts w:cs="Arial"/>
          <w:b w:val="0"/>
          <w:bCs/>
          <w:i w:val="0"/>
          <w:szCs w:val="27"/>
        </w:rPr>
        <w:t>.</w:t>
      </w:r>
      <w:r w:rsidRPr="009C0C09">
        <w:rPr>
          <w:sz w:val="22"/>
        </w:rPr>
        <w:t xml:space="preserve"> </w:t>
      </w:r>
    </w:p>
    <w:p w14:paraId="2BBE3FA9" w14:textId="65D61222" w:rsidR="00642378" w:rsidRDefault="001E445E" w:rsidP="001E445E">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w:t>
      </w:r>
      <w:r w:rsidR="00642378">
        <w:rPr>
          <w:rFonts w:cs="Arial"/>
          <w:b w:val="0"/>
          <w:bCs/>
          <w:i w:val="0"/>
          <w:szCs w:val="27"/>
        </w:rPr>
        <w:t>Se</w:t>
      </w:r>
      <w:r w:rsidR="00642378" w:rsidRPr="00642378">
        <w:rPr>
          <w:rFonts w:cs="Arial"/>
          <w:b w:val="0"/>
          <w:bCs/>
          <w:i w:val="0"/>
          <w:szCs w:val="27"/>
          <w:lang w:val="es-MX"/>
        </w:rPr>
        <w:t xml:space="preserve"> </w:t>
      </w:r>
      <w:r w:rsidR="00642378" w:rsidRPr="00642378">
        <w:rPr>
          <w:rFonts w:cs="Arial"/>
          <w:i w:val="0"/>
          <w:szCs w:val="27"/>
          <w:lang w:val="es-MX"/>
        </w:rPr>
        <w:t>SOBRESEE EL PRESENTE JUICIO</w:t>
      </w:r>
      <w:r w:rsidR="00642378" w:rsidRPr="00642378">
        <w:rPr>
          <w:rFonts w:cs="Arial"/>
          <w:b w:val="0"/>
          <w:bCs/>
          <w:i w:val="0"/>
          <w:szCs w:val="27"/>
          <w:lang w:val="es-MX"/>
        </w:rPr>
        <w:t>, respecto del acto impugnado consistente en el oficio número OP/DG/1679/2021, de fecha veintisiete de septiembre de dos mil veintiuno, emitido por el Director General de la Oficina de Pensiones del Estado de Oaxaca</w:t>
      </w:r>
      <w:r w:rsidR="00642378">
        <w:rPr>
          <w:rFonts w:cs="Arial"/>
          <w:b w:val="0"/>
          <w:bCs/>
          <w:i w:val="0"/>
          <w:szCs w:val="27"/>
          <w:lang w:val="es-MX"/>
        </w:rPr>
        <w:t>, por las razones expuestas en el considerando TERCERO de la presente resolución.</w:t>
      </w:r>
    </w:p>
    <w:p w14:paraId="4051D9C7" w14:textId="619DF219" w:rsidR="001E445E" w:rsidRPr="004F67B9" w:rsidRDefault="001E445E" w:rsidP="004F67B9">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w:t>
      </w:r>
      <w:r>
        <w:rPr>
          <w:rFonts w:cs="Arial"/>
          <w:b w:val="0"/>
          <w:bCs/>
          <w:i w:val="0"/>
          <w:szCs w:val="27"/>
        </w:rPr>
        <w:t xml:space="preserve">Se declara </w:t>
      </w:r>
      <w:r w:rsidRPr="00B43ACA">
        <w:rPr>
          <w:rFonts w:cs="Arial"/>
          <w:b w:val="0"/>
          <w:bCs/>
          <w:i w:val="0"/>
          <w:szCs w:val="27"/>
        </w:rPr>
        <w:t xml:space="preserve">la </w:t>
      </w:r>
      <w:r w:rsidRPr="00B43ACA">
        <w:rPr>
          <w:rFonts w:cs="Arial"/>
          <w:bCs/>
          <w:i w:val="0"/>
          <w:szCs w:val="27"/>
        </w:rPr>
        <w:t>NULIDAD</w:t>
      </w:r>
      <w:r w:rsidRPr="00B43ACA">
        <w:rPr>
          <w:rFonts w:cs="Arial"/>
          <w:b w:val="0"/>
          <w:bCs/>
          <w:i w:val="0"/>
          <w:szCs w:val="27"/>
        </w:rPr>
        <w:t xml:space="preserve"> del oficio número</w:t>
      </w:r>
      <w:r w:rsidRPr="00BB4E2C">
        <w:rPr>
          <w:rFonts w:eastAsiaTheme="minorHAnsi" w:cs="Arial"/>
          <w:b w:val="0"/>
          <w:bCs/>
          <w:i w:val="0"/>
          <w:spacing w:val="-3"/>
          <w:szCs w:val="27"/>
          <w:lang w:eastAsia="en-US"/>
        </w:rPr>
        <w:t xml:space="preserve"> </w:t>
      </w:r>
      <w:r w:rsidRPr="00BB4E2C">
        <w:rPr>
          <w:rFonts w:cs="Arial"/>
          <w:b w:val="0"/>
          <w:bCs/>
          <w:i w:val="0"/>
          <w:szCs w:val="27"/>
          <w:lang w:val="es-MX"/>
        </w:rPr>
        <w:t>OP/DG/</w:t>
      </w:r>
      <w:r w:rsidR="00BC4643">
        <w:rPr>
          <w:rFonts w:cs="Arial"/>
          <w:b w:val="0"/>
          <w:bCs/>
          <w:i w:val="0"/>
          <w:szCs w:val="27"/>
          <w:lang w:val="es-MX"/>
        </w:rPr>
        <w:t>*****</w:t>
      </w:r>
      <w:r w:rsidRPr="00BB4E2C">
        <w:rPr>
          <w:rFonts w:cs="Arial"/>
          <w:b w:val="0"/>
          <w:bCs/>
          <w:i w:val="0"/>
          <w:szCs w:val="27"/>
          <w:lang w:val="es-MX"/>
        </w:rPr>
        <w:t>/</w:t>
      </w:r>
      <w:r w:rsidR="00BC4643">
        <w:rPr>
          <w:rFonts w:cs="Arial"/>
          <w:b w:val="0"/>
          <w:bCs/>
          <w:i w:val="0"/>
          <w:szCs w:val="27"/>
          <w:lang w:val="es-MX"/>
        </w:rPr>
        <w:t>****</w:t>
      </w:r>
      <w:r w:rsidRPr="00BB4E2C">
        <w:rPr>
          <w:rFonts w:cs="Arial"/>
          <w:b w:val="0"/>
          <w:bCs/>
          <w:i w:val="0"/>
          <w:szCs w:val="27"/>
          <w:lang w:val="es-MX"/>
        </w:rPr>
        <w:t>, de fecha</w:t>
      </w:r>
      <w:r w:rsidR="00485AE4">
        <w:rPr>
          <w:rFonts w:cs="Arial"/>
          <w:b w:val="0"/>
          <w:bCs/>
          <w:i w:val="0"/>
          <w:szCs w:val="27"/>
          <w:lang w:val="es-MX"/>
        </w:rPr>
        <w:t xml:space="preserve"> </w:t>
      </w:r>
      <w:r w:rsidR="00BC4643">
        <w:rPr>
          <w:rFonts w:cs="Arial"/>
          <w:b w:val="0"/>
          <w:bCs/>
          <w:i w:val="0"/>
          <w:szCs w:val="27"/>
          <w:lang w:val="es-MX"/>
        </w:rPr>
        <w:t>*****</w:t>
      </w:r>
      <w:r w:rsidRPr="00BB4E2C">
        <w:rPr>
          <w:rFonts w:cs="Arial"/>
          <w:b w:val="0"/>
          <w:bCs/>
          <w:i w:val="0"/>
          <w:szCs w:val="27"/>
          <w:lang w:val="es-MX"/>
        </w:rPr>
        <w:t xml:space="preserve"> de </w:t>
      </w:r>
      <w:r w:rsidR="00BC4643">
        <w:rPr>
          <w:rFonts w:cs="Arial"/>
          <w:b w:val="0"/>
          <w:bCs/>
          <w:i w:val="0"/>
          <w:szCs w:val="27"/>
          <w:lang w:val="es-MX"/>
        </w:rPr>
        <w:t>****</w:t>
      </w:r>
      <w:r w:rsidRPr="00BB4E2C">
        <w:rPr>
          <w:rFonts w:cs="Arial"/>
          <w:b w:val="0"/>
          <w:bCs/>
          <w:i w:val="0"/>
          <w:szCs w:val="27"/>
          <w:lang w:val="es-MX"/>
        </w:rPr>
        <w:t xml:space="preserve"> de dos mil</w:t>
      </w:r>
      <w:r w:rsidR="00485AE4">
        <w:rPr>
          <w:rFonts w:cs="Arial"/>
          <w:b w:val="0"/>
          <w:bCs/>
          <w:i w:val="0"/>
          <w:szCs w:val="27"/>
          <w:lang w:val="es-MX"/>
        </w:rPr>
        <w:t xml:space="preserve"> </w:t>
      </w:r>
      <w:r w:rsidR="00BC4643">
        <w:rPr>
          <w:rFonts w:cs="Arial"/>
          <w:b w:val="0"/>
          <w:bCs/>
          <w:i w:val="0"/>
          <w:szCs w:val="27"/>
          <w:lang w:val="es-MX"/>
        </w:rPr>
        <w:t>****</w:t>
      </w:r>
      <w:r w:rsidRPr="00DB3567">
        <w:rPr>
          <w:rFonts w:cs="Arial"/>
          <w:b w:val="0"/>
          <w:bCs/>
          <w:i w:val="0"/>
          <w:szCs w:val="27"/>
        </w:rPr>
        <w:t>, emitido por el Director General de la Oficina de Pensiones del Estado de Oaxaca</w:t>
      </w:r>
      <w:r w:rsidRPr="00EB0644">
        <w:rPr>
          <w:rFonts w:cs="Arial"/>
          <w:b w:val="0"/>
          <w:bCs/>
          <w:i w:val="0"/>
          <w:szCs w:val="27"/>
        </w:rPr>
        <w:t xml:space="preserve">, </w:t>
      </w:r>
      <w:r w:rsidRPr="00EB0644">
        <w:rPr>
          <w:rFonts w:cs="Arial"/>
          <w:bCs/>
          <w:i w:val="0"/>
          <w:szCs w:val="27"/>
        </w:rPr>
        <w:t>PARA EL EFECTO</w:t>
      </w:r>
      <w:r w:rsidRPr="00EB0644">
        <w:rPr>
          <w:rFonts w:cs="Arial"/>
          <w:b w:val="0"/>
          <w:bCs/>
          <w:i w:val="0"/>
          <w:szCs w:val="27"/>
        </w:rPr>
        <w:t xml:space="preserve"> de que </w:t>
      </w:r>
      <w:r w:rsidRPr="00DB3567">
        <w:rPr>
          <w:rFonts w:cs="Arial"/>
          <w:b w:val="0"/>
          <w:bCs/>
          <w:i w:val="0"/>
          <w:szCs w:val="27"/>
        </w:rPr>
        <w:t>la autoridad demandada deje sin efectos el oficio controvertido y</w:t>
      </w:r>
      <w:r>
        <w:rPr>
          <w:rFonts w:cs="Arial"/>
          <w:b w:val="0"/>
          <w:bCs/>
          <w:i w:val="0"/>
          <w:szCs w:val="27"/>
        </w:rPr>
        <w:t xml:space="preserve"> en uno nuevo</w:t>
      </w:r>
      <w:r w:rsidRPr="00DB3567">
        <w:rPr>
          <w:rFonts w:cs="Arial"/>
          <w:b w:val="0"/>
          <w:bCs/>
          <w:i w:val="0"/>
          <w:szCs w:val="27"/>
        </w:rPr>
        <w:t xml:space="preserve"> funde y motive</w:t>
      </w:r>
      <w:r>
        <w:rPr>
          <w:rFonts w:cs="Arial"/>
          <w:b w:val="0"/>
          <w:bCs/>
          <w:i w:val="0"/>
          <w:szCs w:val="27"/>
        </w:rPr>
        <w:t xml:space="preserve"> su determinación, pronunciándose en</w:t>
      </w:r>
      <w:r w:rsidRPr="00DB3567">
        <w:rPr>
          <w:rFonts w:cs="Arial"/>
          <w:b w:val="0"/>
          <w:bCs/>
          <w:i w:val="0"/>
          <w:szCs w:val="27"/>
        </w:rPr>
        <w:t xml:space="preserve"> los términos de la presente resolución,</w:t>
      </w:r>
      <w:r>
        <w:rPr>
          <w:rFonts w:cs="Arial"/>
          <w:b w:val="0"/>
          <w:bCs/>
          <w:i w:val="0"/>
          <w:szCs w:val="27"/>
        </w:rPr>
        <w:t xml:space="preserve"> integrando </w:t>
      </w:r>
      <w:r w:rsidRPr="00DB3567">
        <w:rPr>
          <w:rFonts w:cs="Arial"/>
          <w:b w:val="0"/>
          <w:bCs/>
          <w:i w:val="0"/>
          <w:szCs w:val="27"/>
        </w:rPr>
        <w:t>los conceptos</w:t>
      </w:r>
      <w:r>
        <w:rPr>
          <w:rFonts w:cs="Arial"/>
          <w:b w:val="0"/>
          <w:bCs/>
          <w:i w:val="0"/>
          <w:szCs w:val="27"/>
        </w:rPr>
        <w:t xml:space="preserve"> de: </w:t>
      </w:r>
      <w:r w:rsidRPr="00F66423">
        <w:rPr>
          <w:rFonts w:cs="Arial"/>
          <w:b w:val="0"/>
          <w:bCs/>
          <w:i w:val="0"/>
          <w:szCs w:val="27"/>
        </w:rPr>
        <w:t>Canasta Básica (clave 42), Previsión Social Múltiple (P.S.M.) (clave 43), Estímulo (clave 45), Quinquenios (</w:t>
      </w:r>
      <w:r w:rsidR="003A3FF0">
        <w:rPr>
          <w:rFonts w:cs="Arial"/>
          <w:b w:val="0"/>
          <w:bCs/>
          <w:i w:val="0"/>
          <w:szCs w:val="27"/>
        </w:rPr>
        <w:t>6</w:t>
      </w:r>
      <w:r w:rsidRPr="00F66423">
        <w:rPr>
          <w:rFonts w:cs="Arial"/>
          <w:b w:val="0"/>
          <w:bCs/>
          <w:i w:val="0"/>
          <w:szCs w:val="27"/>
        </w:rPr>
        <w:t>) (clave 46</w:t>
      </w:r>
      <w:r w:rsidR="0080421E">
        <w:rPr>
          <w:rFonts w:cs="Arial"/>
          <w:b w:val="0"/>
          <w:bCs/>
          <w:i w:val="0"/>
          <w:szCs w:val="27"/>
        </w:rPr>
        <w:t>),</w:t>
      </w:r>
      <w:r w:rsidR="0080421E" w:rsidRPr="0080421E">
        <w:t xml:space="preserve"> </w:t>
      </w:r>
      <w:r w:rsidR="0080421E" w:rsidRPr="0080421E">
        <w:rPr>
          <w:rFonts w:cs="Arial"/>
          <w:b w:val="0"/>
          <w:bCs/>
          <w:i w:val="0"/>
          <w:szCs w:val="27"/>
        </w:rPr>
        <w:t>sin contemplar el concepto denominado SUB.P/EL EMP. (clave 105), por no estar contemplado en el artículo 54 fracción I de la Ley de Pensiones para los Trabajadores del Gobierno del Estado de Oaxaca</w:t>
      </w:r>
      <w:r w:rsidR="00527D33">
        <w:rPr>
          <w:rFonts w:cs="Arial"/>
          <w:b w:val="0"/>
          <w:bCs/>
          <w:i w:val="0"/>
          <w:szCs w:val="27"/>
        </w:rPr>
        <w:t>,</w:t>
      </w:r>
      <w:r w:rsidRPr="00F66423">
        <w:rPr>
          <w:rFonts w:cs="Arial"/>
          <w:b w:val="0"/>
          <w:bCs/>
          <w:i w:val="0"/>
          <w:szCs w:val="27"/>
        </w:rPr>
        <w:t xml:space="preserve"> más el salario base señalado en el nombramiento de confianza para efectos de jubilación</w:t>
      </w:r>
      <w:r>
        <w:rPr>
          <w:rFonts w:cs="Arial"/>
          <w:b w:val="0"/>
          <w:bCs/>
          <w:i w:val="0"/>
          <w:szCs w:val="27"/>
        </w:rPr>
        <w:t xml:space="preserve"> número </w:t>
      </w:r>
      <w:r w:rsidR="008C0AA1">
        <w:rPr>
          <w:rFonts w:cs="Arial"/>
          <w:b w:val="0"/>
          <w:bCs/>
          <w:i w:val="0"/>
          <w:szCs w:val="27"/>
        </w:rPr>
        <w:t>*****</w:t>
      </w:r>
      <w:r w:rsidRPr="00F66423">
        <w:rPr>
          <w:rFonts w:cs="Arial"/>
          <w:b w:val="0"/>
          <w:bCs/>
          <w:i w:val="0"/>
          <w:szCs w:val="27"/>
        </w:rPr>
        <w:t>, de fecha</w:t>
      </w:r>
      <w:r>
        <w:rPr>
          <w:rFonts w:cs="Arial"/>
          <w:b w:val="0"/>
          <w:bCs/>
          <w:i w:val="0"/>
          <w:szCs w:val="27"/>
        </w:rPr>
        <w:t xml:space="preserve"> </w:t>
      </w:r>
      <w:r w:rsidR="008C0AA1">
        <w:rPr>
          <w:rFonts w:cs="Arial"/>
          <w:b w:val="0"/>
          <w:bCs/>
          <w:i w:val="0"/>
          <w:szCs w:val="27"/>
        </w:rPr>
        <w:t>*****</w:t>
      </w:r>
      <w:r>
        <w:rPr>
          <w:rFonts w:cs="Arial"/>
          <w:b w:val="0"/>
          <w:bCs/>
          <w:i w:val="0"/>
          <w:szCs w:val="27"/>
        </w:rPr>
        <w:t xml:space="preserve"> </w:t>
      </w:r>
      <w:r w:rsidRPr="00F66423">
        <w:rPr>
          <w:rFonts w:cs="Arial"/>
          <w:b w:val="0"/>
          <w:bCs/>
          <w:i w:val="0"/>
          <w:szCs w:val="27"/>
        </w:rPr>
        <w:t>de</w:t>
      </w:r>
      <w:r w:rsidR="003A3FF0">
        <w:rPr>
          <w:rFonts w:cs="Arial"/>
          <w:b w:val="0"/>
          <w:bCs/>
          <w:i w:val="0"/>
          <w:szCs w:val="27"/>
        </w:rPr>
        <w:t xml:space="preserve"> </w:t>
      </w:r>
      <w:r w:rsidR="008C0AA1">
        <w:rPr>
          <w:rFonts w:cs="Arial"/>
          <w:b w:val="0"/>
          <w:bCs/>
          <w:i w:val="0"/>
          <w:szCs w:val="27"/>
        </w:rPr>
        <w:t>*****</w:t>
      </w:r>
      <w:r w:rsidRPr="00F66423">
        <w:rPr>
          <w:rFonts w:cs="Arial"/>
          <w:b w:val="0"/>
          <w:bCs/>
          <w:i w:val="0"/>
          <w:szCs w:val="27"/>
        </w:rPr>
        <w:t xml:space="preserve"> de </w:t>
      </w:r>
      <w:r>
        <w:rPr>
          <w:rFonts w:cs="Arial"/>
          <w:b w:val="0"/>
          <w:bCs/>
          <w:i w:val="0"/>
          <w:szCs w:val="27"/>
        </w:rPr>
        <w:t>dos mil</w:t>
      </w:r>
      <w:r w:rsidR="008C0AA1">
        <w:rPr>
          <w:rFonts w:cs="Arial"/>
          <w:b w:val="0"/>
          <w:bCs/>
          <w:i w:val="0"/>
          <w:szCs w:val="27"/>
        </w:rPr>
        <w:t xml:space="preserve"> ****</w:t>
      </w:r>
      <w:r>
        <w:rPr>
          <w:rFonts w:cs="Arial"/>
          <w:b w:val="0"/>
          <w:bCs/>
          <w:i w:val="0"/>
          <w:szCs w:val="27"/>
        </w:rPr>
        <w:t xml:space="preserve"> </w:t>
      </w:r>
      <w:r w:rsidRPr="00F66423">
        <w:rPr>
          <w:rFonts w:cs="Arial"/>
          <w:b w:val="0"/>
          <w:bCs/>
          <w:i w:val="0"/>
          <w:szCs w:val="27"/>
        </w:rPr>
        <w:t>(con excepción de aquellas prestaciones otorgadas de forma anual, o con motivo de ajuste de salario), mismas que igual deberán ser integradas al momento en que por ley deban de ser pagadas; debiendo igualmente hacer el ajuste a las cantidades que por concepto de pensión ya pagó, es decir, de forma retroactiva desde la fecha en que se inició a pagar la pensión mencionada;</w:t>
      </w:r>
      <w:r>
        <w:rPr>
          <w:rFonts w:cs="Arial"/>
          <w:b w:val="0"/>
          <w:bCs/>
          <w:i w:val="0"/>
          <w:szCs w:val="27"/>
        </w:rPr>
        <w:t xml:space="preserve"> </w:t>
      </w:r>
      <w:r w:rsidRPr="00F66423">
        <w:rPr>
          <w:rFonts w:cs="Arial"/>
          <w:b w:val="0"/>
          <w:bCs/>
          <w:i w:val="0"/>
          <w:szCs w:val="27"/>
        </w:rPr>
        <w:t>por ello, el dictamen deberá estar debidamente fundado y motivado cumpliendo los requisitos y elementos de validez del acto administrativo a los que hace referencia el artículo 17 de la Ley de Procedimiento y Justicia Administrativa para el Estado de Oaxaca</w:t>
      </w:r>
      <w:r>
        <w:rPr>
          <w:rFonts w:cs="Arial"/>
          <w:b w:val="0"/>
          <w:bCs/>
          <w:i w:val="0"/>
          <w:szCs w:val="27"/>
        </w:rPr>
        <w:t>,</w:t>
      </w:r>
      <w:r w:rsidRPr="006F0975">
        <w:rPr>
          <w:rFonts w:cs="Arial"/>
          <w:b w:val="0"/>
          <w:bCs/>
          <w:i w:val="0"/>
          <w:szCs w:val="27"/>
        </w:rPr>
        <w:t xml:space="preserve"> por las razones </w:t>
      </w:r>
      <w:r>
        <w:rPr>
          <w:rFonts w:cs="Arial"/>
          <w:b w:val="0"/>
          <w:bCs/>
          <w:i w:val="0"/>
          <w:szCs w:val="27"/>
        </w:rPr>
        <w:t>expuestas en el</w:t>
      </w:r>
      <w:r w:rsidRPr="006F0975">
        <w:rPr>
          <w:rFonts w:cs="Arial"/>
          <w:b w:val="0"/>
          <w:bCs/>
          <w:i w:val="0"/>
          <w:szCs w:val="27"/>
        </w:rPr>
        <w:t xml:space="preserve"> considerando </w:t>
      </w:r>
      <w:r>
        <w:rPr>
          <w:rFonts w:cs="Arial"/>
          <w:b w:val="0"/>
          <w:bCs/>
          <w:i w:val="0"/>
          <w:szCs w:val="27"/>
        </w:rPr>
        <w:t>QUIN</w:t>
      </w:r>
      <w:r w:rsidRPr="006F0975">
        <w:rPr>
          <w:rFonts w:cs="Arial"/>
          <w:b w:val="0"/>
          <w:bCs/>
          <w:i w:val="0"/>
          <w:szCs w:val="27"/>
        </w:rPr>
        <w:t xml:space="preserve">TO de la presente sentencia. </w:t>
      </w:r>
    </w:p>
    <w:p w14:paraId="139031D6" w14:textId="77777777" w:rsidR="00223969" w:rsidRPr="00223969" w:rsidRDefault="00D41CD7" w:rsidP="00223969">
      <w:pPr>
        <w:spacing w:line="360" w:lineRule="auto"/>
        <w:ind w:firstLine="567"/>
        <w:jc w:val="both"/>
        <w:rPr>
          <w:rFonts w:ascii="Arial" w:hAnsi="Arial" w:cs="Arial"/>
          <w:b/>
          <w:sz w:val="32"/>
          <w:szCs w:val="32"/>
        </w:rPr>
      </w:pPr>
      <w:r w:rsidRPr="00223969">
        <w:rPr>
          <w:rFonts w:ascii="Arial" w:hAnsi="Arial" w:cs="Arial"/>
          <w:b/>
          <w:sz w:val="24"/>
          <w:szCs w:val="28"/>
        </w:rPr>
        <w:t>QUINTO. NOTIFÍQUESE y CÚMPLASE.</w:t>
      </w:r>
    </w:p>
    <w:p w14:paraId="6BDA4216" w14:textId="77777777" w:rsidR="001F2CF6" w:rsidRDefault="00D41CD7" w:rsidP="001F2CF6">
      <w:pPr>
        <w:spacing w:line="360" w:lineRule="auto"/>
        <w:ind w:firstLine="567"/>
        <w:jc w:val="both"/>
        <w:rPr>
          <w:rFonts w:ascii="Arial" w:hAnsi="Arial" w:cs="Arial"/>
          <w:sz w:val="28"/>
          <w:szCs w:val="28"/>
        </w:rPr>
      </w:pPr>
      <w:r w:rsidRPr="00475463">
        <w:rPr>
          <w:rFonts w:ascii="Arial" w:hAnsi="Arial" w:cs="Arial"/>
          <w:sz w:val="24"/>
          <w:szCs w:val="24"/>
          <w:lang w:eastAsia="es-ES"/>
        </w:rPr>
        <w:lastRenderedPageBreak/>
        <w:t>Así lo resolvió y firma el Magistrado Titular de la Segunda Sala Unitaria del Tribunal de Justicia Administrativa del Estado de Oaxaca, quien actúa con el Secretario de Acuerdos, que autoriza y da fe.</w:t>
      </w:r>
    </w:p>
    <w:p w14:paraId="672F62A3" w14:textId="77777777" w:rsidR="001F2CF6" w:rsidRDefault="001F2CF6" w:rsidP="001F2CF6">
      <w:pPr>
        <w:spacing w:line="360" w:lineRule="auto"/>
        <w:jc w:val="both"/>
        <w:rPr>
          <w:rFonts w:ascii="Arial" w:hAnsi="Arial" w:cs="Arial"/>
          <w:sz w:val="28"/>
          <w:szCs w:val="28"/>
        </w:rPr>
      </w:pPr>
    </w:p>
    <w:p w14:paraId="2E86E42F" w14:textId="2F2630EB" w:rsidR="00D41CD7" w:rsidRPr="001F2CF6" w:rsidRDefault="00D41CD7" w:rsidP="001F2CF6">
      <w:pPr>
        <w:spacing w:line="360" w:lineRule="auto"/>
        <w:jc w:val="center"/>
        <w:rPr>
          <w:rFonts w:ascii="Arial" w:hAnsi="Arial" w:cs="Arial"/>
          <w:sz w:val="28"/>
          <w:szCs w:val="28"/>
        </w:rPr>
      </w:pPr>
      <w:r w:rsidRPr="00475463">
        <w:rPr>
          <w:rFonts w:ascii="Arial" w:hAnsi="Arial" w:cs="Arial"/>
          <w:b/>
          <w:sz w:val="24"/>
          <w:szCs w:val="24"/>
          <w:lang w:eastAsia="es-ES"/>
        </w:rPr>
        <w:t>MAGISTRADO TITULAR DE LA SEGUNDA SALA UNITARIA</w:t>
      </w:r>
    </w:p>
    <w:p w14:paraId="21971AE2" w14:textId="77777777" w:rsidR="001F2CF6" w:rsidRDefault="001F2CF6" w:rsidP="001F2CF6">
      <w:pPr>
        <w:widowControl w:val="0"/>
        <w:tabs>
          <w:tab w:val="left" w:pos="4536"/>
          <w:tab w:val="left" w:pos="9072"/>
        </w:tabs>
        <w:spacing w:line="360" w:lineRule="auto"/>
        <w:ind w:right="567"/>
        <w:jc w:val="center"/>
        <w:rPr>
          <w:rFonts w:ascii="Arial" w:hAnsi="Arial" w:cs="Arial"/>
          <w:b/>
          <w:sz w:val="24"/>
          <w:szCs w:val="24"/>
          <w:lang w:eastAsia="es-ES"/>
        </w:rPr>
      </w:pPr>
    </w:p>
    <w:p w14:paraId="3C82473C" w14:textId="77777777" w:rsidR="001F2CF6" w:rsidRDefault="001F2CF6" w:rsidP="001F2CF6">
      <w:pPr>
        <w:widowControl w:val="0"/>
        <w:tabs>
          <w:tab w:val="left" w:pos="4536"/>
          <w:tab w:val="left" w:pos="9072"/>
        </w:tabs>
        <w:spacing w:line="360" w:lineRule="auto"/>
        <w:ind w:right="567"/>
        <w:jc w:val="center"/>
        <w:rPr>
          <w:rFonts w:ascii="Arial" w:hAnsi="Arial" w:cs="Arial"/>
          <w:b/>
          <w:sz w:val="24"/>
          <w:szCs w:val="24"/>
          <w:lang w:eastAsia="es-ES"/>
        </w:rPr>
      </w:pPr>
    </w:p>
    <w:p w14:paraId="46C194CA" w14:textId="3CEF1EED" w:rsidR="00D41CD7" w:rsidRPr="00475463" w:rsidRDefault="00D41CD7" w:rsidP="001F2CF6">
      <w:pPr>
        <w:widowControl w:val="0"/>
        <w:tabs>
          <w:tab w:val="left" w:pos="4536"/>
          <w:tab w:val="left" w:pos="9072"/>
        </w:tabs>
        <w:spacing w:line="360" w:lineRule="auto"/>
        <w:ind w:right="567"/>
        <w:jc w:val="center"/>
        <w:rPr>
          <w:rFonts w:ascii="Arial" w:hAnsi="Arial" w:cs="Arial"/>
          <w:b/>
          <w:sz w:val="24"/>
          <w:szCs w:val="24"/>
          <w:lang w:eastAsia="es-ES"/>
        </w:rPr>
      </w:pPr>
      <w:r w:rsidRPr="00475463">
        <w:rPr>
          <w:rFonts w:ascii="Arial" w:hAnsi="Arial" w:cs="Arial"/>
          <w:b/>
          <w:sz w:val="24"/>
          <w:szCs w:val="24"/>
          <w:lang w:eastAsia="es-ES"/>
        </w:rPr>
        <w:t>LIC. JAVIER MARTIN VILLANUEVA HERNÁNDEZ</w:t>
      </w:r>
    </w:p>
    <w:p w14:paraId="0B75F50F" w14:textId="77777777" w:rsidR="00D41CD7" w:rsidRPr="00475463" w:rsidRDefault="00D41CD7" w:rsidP="00D41CD7">
      <w:pPr>
        <w:widowControl w:val="0"/>
        <w:tabs>
          <w:tab w:val="left" w:pos="4536"/>
          <w:tab w:val="left" w:pos="9072"/>
        </w:tabs>
        <w:spacing w:line="360" w:lineRule="auto"/>
        <w:ind w:right="567"/>
        <w:jc w:val="center"/>
        <w:rPr>
          <w:rFonts w:ascii="Arial" w:hAnsi="Arial" w:cs="Arial"/>
          <w:b/>
          <w:sz w:val="24"/>
          <w:szCs w:val="24"/>
          <w:lang w:eastAsia="es-ES"/>
        </w:rPr>
      </w:pPr>
    </w:p>
    <w:p w14:paraId="4746F499" w14:textId="77777777" w:rsidR="00D41CD7" w:rsidRPr="00475463" w:rsidRDefault="00D41CD7" w:rsidP="00B709D4">
      <w:pPr>
        <w:widowControl w:val="0"/>
        <w:tabs>
          <w:tab w:val="left" w:pos="4536"/>
          <w:tab w:val="left" w:pos="9072"/>
        </w:tabs>
        <w:spacing w:line="360" w:lineRule="auto"/>
        <w:ind w:right="567"/>
        <w:jc w:val="right"/>
        <w:rPr>
          <w:rFonts w:ascii="Arial" w:hAnsi="Arial" w:cs="Arial"/>
          <w:b/>
          <w:sz w:val="24"/>
          <w:szCs w:val="24"/>
          <w:lang w:eastAsia="es-ES"/>
        </w:rPr>
      </w:pPr>
    </w:p>
    <w:p w14:paraId="08227B9C" w14:textId="77777777" w:rsidR="00D41CD7" w:rsidRPr="00475463" w:rsidRDefault="00D41CD7" w:rsidP="00D41CD7">
      <w:pPr>
        <w:widowControl w:val="0"/>
        <w:tabs>
          <w:tab w:val="left" w:pos="4536"/>
          <w:tab w:val="left" w:pos="9072"/>
        </w:tabs>
        <w:spacing w:line="360" w:lineRule="auto"/>
        <w:ind w:right="567"/>
        <w:jc w:val="center"/>
        <w:rPr>
          <w:rFonts w:ascii="Arial" w:hAnsi="Arial" w:cs="Arial"/>
          <w:b/>
          <w:sz w:val="24"/>
          <w:szCs w:val="24"/>
          <w:lang w:eastAsia="es-ES"/>
        </w:rPr>
      </w:pPr>
    </w:p>
    <w:p w14:paraId="2DECC3F9" w14:textId="77777777" w:rsidR="00D41CD7" w:rsidRPr="00475463" w:rsidRDefault="00D41CD7" w:rsidP="00D41CD7">
      <w:pPr>
        <w:widowControl w:val="0"/>
        <w:tabs>
          <w:tab w:val="left" w:pos="4536"/>
          <w:tab w:val="left" w:pos="9072"/>
        </w:tabs>
        <w:spacing w:line="360" w:lineRule="auto"/>
        <w:ind w:right="567"/>
        <w:jc w:val="center"/>
        <w:rPr>
          <w:rFonts w:ascii="Arial" w:hAnsi="Arial" w:cs="Arial"/>
          <w:b/>
          <w:sz w:val="24"/>
          <w:szCs w:val="24"/>
          <w:lang w:eastAsia="es-ES"/>
        </w:rPr>
      </w:pPr>
      <w:r w:rsidRPr="00475463">
        <w:rPr>
          <w:rFonts w:ascii="Arial" w:hAnsi="Arial" w:cs="Arial"/>
          <w:b/>
          <w:sz w:val="24"/>
          <w:szCs w:val="24"/>
          <w:lang w:eastAsia="es-ES"/>
        </w:rPr>
        <w:t>SECRETARIO DE ACUERDOS</w:t>
      </w:r>
    </w:p>
    <w:p w14:paraId="6F26F90D" w14:textId="77777777" w:rsidR="00D41CD7" w:rsidRPr="00475463" w:rsidRDefault="00D41CD7" w:rsidP="00D41CD7">
      <w:pPr>
        <w:widowControl w:val="0"/>
        <w:tabs>
          <w:tab w:val="left" w:pos="4536"/>
          <w:tab w:val="left" w:pos="9072"/>
        </w:tabs>
        <w:spacing w:line="360" w:lineRule="auto"/>
        <w:ind w:right="567"/>
        <w:jc w:val="center"/>
        <w:rPr>
          <w:rFonts w:ascii="Arial" w:hAnsi="Arial" w:cs="Arial"/>
          <w:b/>
          <w:sz w:val="24"/>
          <w:szCs w:val="24"/>
          <w:lang w:eastAsia="es-ES"/>
        </w:rPr>
      </w:pPr>
    </w:p>
    <w:p w14:paraId="452D6082" w14:textId="77777777" w:rsidR="00D41CD7" w:rsidRPr="00475463" w:rsidRDefault="00D41CD7" w:rsidP="00D41CD7">
      <w:pPr>
        <w:widowControl w:val="0"/>
        <w:tabs>
          <w:tab w:val="left" w:pos="4536"/>
          <w:tab w:val="left" w:pos="9072"/>
        </w:tabs>
        <w:spacing w:line="360" w:lineRule="auto"/>
        <w:ind w:right="567"/>
        <w:jc w:val="center"/>
        <w:rPr>
          <w:rFonts w:ascii="Arial" w:hAnsi="Arial" w:cs="Arial"/>
          <w:b/>
          <w:sz w:val="24"/>
          <w:szCs w:val="24"/>
          <w:lang w:eastAsia="es-ES"/>
        </w:rPr>
      </w:pPr>
    </w:p>
    <w:p w14:paraId="78DC2D92" w14:textId="77777777" w:rsidR="00D41CD7" w:rsidRPr="00475463" w:rsidRDefault="00D41CD7" w:rsidP="00D41CD7">
      <w:pPr>
        <w:widowControl w:val="0"/>
        <w:tabs>
          <w:tab w:val="left" w:pos="4536"/>
          <w:tab w:val="left" w:pos="9072"/>
        </w:tabs>
        <w:spacing w:line="360" w:lineRule="auto"/>
        <w:ind w:right="567"/>
        <w:jc w:val="center"/>
        <w:rPr>
          <w:rFonts w:ascii="Arial" w:hAnsi="Arial" w:cs="Arial"/>
          <w:b/>
          <w:sz w:val="24"/>
          <w:szCs w:val="24"/>
          <w:lang w:eastAsia="es-ES"/>
        </w:rPr>
      </w:pPr>
      <w:r w:rsidRPr="00475463">
        <w:rPr>
          <w:rFonts w:ascii="Arial" w:hAnsi="Arial" w:cs="Arial"/>
          <w:b/>
          <w:sz w:val="24"/>
          <w:szCs w:val="24"/>
          <w:lang w:eastAsia="es-ES"/>
        </w:rPr>
        <w:t>LIC. ALAN DAVID VÁSQUEZ PULIDO</w:t>
      </w:r>
    </w:p>
    <w:p w14:paraId="7C4A7907" w14:textId="3536D057" w:rsidR="00102315" w:rsidRDefault="00102315" w:rsidP="006B2626">
      <w:pPr>
        <w:widowControl w:val="0"/>
        <w:spacing w:after="0" w:line="360" w:lineRule="auto"/>
        <w:ind w:right="51"/>
        <w:jc w:val="center"/>
        <w:rPr>
          <w:rFonts w:ascii="Arial" w:eastAsia="Times New Roman" w:hAnsi="Arial" w:cs="Arial"/>
          <w:b/>
          <w:sz w:val="24"/>
          <w:szCs w:val="24"/>
          <w:lang w:val="es-ES" w:eastAsia="es-ES"/>
        </w:rPr>
      </w:pPr>
    </w:p>
    <w:p w14:paraId="36A949E3" w14:textId="77777777" w:rsidR="00ED3850" w:rsidRPr="000E2FD3" w:rsidRDefault="00ED3850" w:rsidP="00C3470B">
      <w:pPr>
        <w:widowControl w:val="0"/>
        <w:spacing w:after="0" w:line="360" w:lineRule="auto"/>
        <w:ind w:right="51"/>
        <w:rPr>
          <w:rFonts w:ascii="Arial" w:eastAsia="Times New Roman" w:hAnsi="Arial" w:cs="Arial"/>
          <w:b/>
          <w:sz w:val="24"/>
          <w:szCs w:val="24"/>
          <w:lang w:val="es-ES" w:eastAsia="es-ES"/>
        </w:rPr>
      </w:pPr>
    </w:p>
    <w:sectPr w:rsidR="00ED3850" w:rsidRPr="000E2FD3" w:rsidSect="005839E1">
      <w:headerReference w:type="even" r:id="rId8"/>
      <w:headerReference w:type="default" r:id="rId9"/>
      <w:footerReference w:type="default" r:id="rId10"/>
      <w:headerReference w:type="first" r:id="rId11"/>
      <w:pgSz w:w="12240" w:h="20160" w:code="5"/>
      <w:pgMar w:top="1423"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AA998" w14:textId="77777777" w:rsidR="00C52573" w:rsidRDefault="00C52573" w:rsidP="00604752">
      <w:pPr>
        <w:spacing w:after="0" w:line="240" w:lineRule="auto"/>
      </w:pPr>
      <w:r>
        <w:separator/>
      </w:r>
    </w:p>
  </w:endnote>
  <w:endnote w:type="continuationSeparator" w:id="0">
    <w:p w14:paraId="10B0900D" w14:textId="77777777" w:rsidR="00C52573" w:rsidRDefault="00C52573"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22B11B8C"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5C6341" w:rsidRPr="005C6341">
          <w:rPr>
            <w:rFonts w:ascii="Arial" w:hAnsi="Arial" w:cs="Arial"/>
            <w:noProof/>
            <w:sz w:val="24"/>
            <w:szCs w:val="24"/>
            <w:lang w:val="es-ES"/>
          </w:rPr>
          <w:t>2</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EE964" w14:textId="77777777" w:rsidR="00C52573" w:rsidRDefault="00C52573" w:rsidP="00604752">
      <w:pPr>
        <w:spacing w:after="0" w:line="240" w:lineRule="auto"/>
      </w:pPr>
      <w:r>
        <w:separator/>
      </w:r>
    </w:p>
  </w:footnote>
  <w:footnote w:type="continuationSeparator" w:id="0">
    <w:p w14:paraId="2320FDAD" w14:textId="77777777" w:rsidR="00C52573" w:rsidRDefault="00C52573" w:rsidP="00604752">
      <w:pPr>
        <w:spacing w:after="0" w:line="240" w:lineRule="auto"/>
      </w:pPr>
      <w:r>
        <w:continuationSeparator/>
      </w:r>
    </w:p>
  </w:footnote>
  <w:footnote w:id="1">
    <w:p w14:paraId="06D5026F" w14:textId="77777777" w:rsidR="00DC0992" w:rsidRPr="00D75962" w:rsidRDefault="00DC0992" w:rsidP="00DC0992">
      <w:pPr>
        <w:pStyle w:val="Textonotapie"/>
        <w:jc w:val="both"/>
        <w:rPr>
          <w:rFonts w:ascii="Arial" w:hAnsi="Arial" w:cs="Arial"/>
        </w:rPr>
      </w:pPr>
      <w:r w:rsidRPr="00D75962">
        <w:rPr>
          <w:rStyle w:val="Refdenotaalpie"/>
          <w:rFonts w:ascii="Arial" w:hAnsi="Arial" w:cs="Arial"/>
          <w:sz w:val="18"/>
          <w:szCs w:val="18"/>
        </w:rPr>
        <w:footnoteRef/>
      </w:r>
      <w:r w:rsidRPr="00D75962">
        <w:rPr>
          <w:rFonts w:ascii="Arial" w:hAnsi="Arial" w:cs="Arial"/>
          <w:sz w:val="18"/>
          <w:szCs w:val="18"/>
        </w:rPr>
        <w:t xml:space="preserve"> Jurisprudencia número I.6o.T. J/40 (10a.), con número de registro 2014594, por los Tribunales Colegiados de Circuito, publicada en la Gaceta del Semanario Judicial de la Federación, Libro 43, Junio de 2017, Tomo IV, página 2471, Décima Época, Materia: Común.</w:t>
      </w:r>
    </w:p>
  </w:footnote>
  <w:footnote w:id="2">
    <w:p w14:paraId="34CB083C" w14:textId="77777777" w:rsidR="00DC0992" w:rsidRPr="000D6CC2" w:rsidRDefault="00DC0992" w:rsidP="00DC0992">
      <w:pPr>
        <w:pStyle w:val="Textonotapie"/>
        <w:jc w:val="both"/>
        <w:rPr>
          <w:rFonts w:ascii="Arial" w:hAnsi="Arial" w:cs="Arial"/>
        </w:rPr>
      </w:pPr>
      <w:r w:rsidRPr="000D6CC2">
        <w:rPr>
          <w:rStyle w:val="Refdenotaalpie"/>
          <w:rFonts w:ascii="Arial" w:hAnsi="Arial" w:cs="Arial"/>
          <w:sz w:val="18"/>
          <w:szCs w:val="18"/>
        </w:rPr>
        <w:footnoteRef/>
      </w:r>
      <w:r w:rsidRPr="000D6CC2">
        <w:rPr>
          <w:rFonts w:ascii="Arial" w:hAnsi="Arial" w:cs="Arial"/>
          <w:sz w:val="18"/>
          <w:szCs w:val="18"/>
        </w:rPr>
        <w:t xml:space="preserve"> Jurisprudencia número I.6o.C. J/43, con número de registro 182862, por los Tribunales Colegiados de Circuito, publicada en el Semanario Judicial de la Federación y su Gaceta, Tomo XVIII, Noviembre de 2003, página 803, Novena Época, Materia: Civil.</w:t>
      </w:r>
    </w:p>
  </w:footnote>
  <w:footnote w:id="3">
    <w:p w14:paraId="49563A25" w14:textId="2FC0D927" w:rsidR="007C385A" w:rsidRPr="007C385A" w:rsidRDefault="007C385A" w:rsidP="007C385A">
      <w:pPr>
        <w:pStyle w:val="Textonotapie"/>
        <w:jc w:val="both"/>
        <w:rPr>
          <w:rFonts w:ascii="Arial" w:hAnsi="Arial" w:cs="Arial"/>
        </w:rPr>
      </w:pPr>
      <w:r w:rsidRPr="007C385A">
        <w:rPr>
          <w:rStyle w:val="Refdenotaalpie"/>
          <w:rFonts w:ascii="Arial" w:hAnsi="Arial" w:cs="Arial"/>
          <w:sz w:val="18"/>
          <w:szCs w:val="18"/>
        </w:rPr>
        <w:footnoteRef/>
      </w:r>
      <w:r w:rsidRPr="007C385A">
        <w:rPr>
          <w:rFonts w:ascii="Arial" w:hAnsi="Arial" w:cs="Arial"/>
          <w:sz w:val="18"/>
          <w:szCs w:val="18"/>
        </w:rPr>
        <w:t xml:space="preserve"> Jurisprudencia con número de registro 243007, por la Cuarta Sala de la Suprema Corte de Justicia de la Nación, publicada en el Semanario Judicial de la Federación, Volumen 151-156, Quinta Parte, página 146, Séptima Época, Materia: Laboral.</w:t>
      </w:r>
    </w:p>
  </w:footnote>
  <w:footnote w:id="4">
    <w:p w14:paraId="751928F2" w14:textId="77777777" w:rsidR="00B95C51" w:rsidRDefault="00B95C51" w:rsidP="00A22153">
      <w:pPr>
        <w:pStyle w:val="Textonotapie"/>
        <w:jc w:val="both"/>
        <w:rPr>
          <w:rFonts w:ascii="Arial" w:hAnsi="Arial" w:cs="Arial"/>
          <w:sz w:val="18"/>
          <w:szCs w:val="18"/>
        </w:rPr>
      </w:pPr>
    </w:p>
    <w:p w14:paraId="6A68A09C" w14:textId="5A2268BE" w:rsidR="00A22153" w:rsidRPr="00B95C51" w:rsidRDefault="00A22153" w:rsidP="00A22153">
      <w:pPr>
        <w:pStyle w:val="Textonotapie"/>
        <w:jc w:val="both"/>
        <w:rPr>
          <w:rFonts w:ascii="Arial" w:hAnsi="Arial" w:cs="Arial"/>
        </w:rPr>
      </w:pPr>
      <w:r w:rsidRPr="00B95C51">
        <w:rPr>
          <w:rStyle w:val="Refdenotaalpie"/>
          <w:rFonts w:ascii="Arial" w:hAnsi="Arial" w:cs="Arial"/>
          <w:sz w:val="18"/>
          <w:szCs w:val="18"/>
        </w:rPr>
        <w:footnoteRef/>
      </w:r>
      <w:r w:rsidRPr="00B95C51">
        <w:rPr>
          <w:rFonts w:ascii="Arial" w:hAnsi="Arial" w:cs="Arial"/>
          <w:sz w:val="18"/>
          <w:szCs w:val="18"/>
        </w:rPr>
        <w:t xml:space="preserve"> Jurisprudencia número 2a./J. 115/2007, con número de registro 171969, por la Segunda Sala de la Suprema Corte de Justicia de la Nación, publicada en el Semanario Judicial de la Federación y su Gaceta, Tomo XXVI, Julio de 2007, página 343, Novena Época, Materia: Administrativa.</w:t>
      </w:r>
    </w:p>
  </w:footnote>
  <w:footnote w:id="5">
    <w:p w14:paraId="372076A8" w14:textId="5AC48E92" w:rsidR="001E445E" w:rsidRDefault="001E445E" w:rsidP="001E445E">
      <w:pPr>
        <w:pStyle w:val="Textonotapie"/>
        <w:jc w:val="both"/>
        <w:rPr>
          <w:rFonts w:ascii="Arial" w:hAnsi="Arial" w:cs="Arial"/>
          <w:sz w:val="18"/>
          <w:szCs w:val="18"/>
        </w:rPr>
      </w:pPr>
      <w:r w:rsidRPr="00826202">
        <w:rPr>
          <w:rStyle w:val="Refdenotaalpie"/>
          <w:rFonts w:ascii="Arial" w:hAnsi="Arial" w:cs="Arial"/>
          <w:sz w:val="18"/>
          <w:szCs w:val="18"/>
        </w:rPr>
        <w:footnoteRef/>
      </w:r>
      <w:r w:rsidRPr="00826202">
        <w:rPr>
          <w:rFonts w:ascii="Arial" w:hAnsi="Arial" w:cs="Arial"/>
          <w:sz w:val="18"/>
          <w:szCs w:val="18"/>
        </w:rPr>
        <w:t xml:space="preserve"> Cantidad que se advierte del dictamen de jubilación, y que a su vez hace referencia que dicha cantidad fue autorizada en el nombramiento de confianza para efectos de jubilación</w:t>
      </w:r>
      <w:r>
        <w:rPr>
          <w:rFonts w:ascii="Arial" w:hAnsi="Arial" w:cs="Arial"/>
          <w:sz w:val="18"/>
          <w:szCs w:val="18"/>
        </w:rPr>
        <w:t xml:space="preserve"> número</w:t>
      </w:r>
      <w:r w:rsidRPr="00826202">
        <w:rPr>
          <w:rFonts w:ascii="Arial" w:hAnsi="Arial" w:cs="Arial"/>
          <w:sz w:val="18"/>
          <w:szCs w:val="18"/>
        </w:rPr>
        <w:t xml:space="preserve"> </w:t>
      </w:r>
      <w:r w:rsidR="00D33EF9">
        <w:rPr>
          <w:rFonts w:ascii="Arial" w:hAnsi="Arial" w:cs="Arial"/>
          <w:sz w:val="18"/>
          <w:szCs w:val="18"/>
        </w:rPr>
        <w:t>*****</w:t>
      </w:r>
      <w:r w:rsidRPr="00826202">
        <w:rPr>
          <w:rFonts w:ascii="Arial" w:hAnsi="Arial" w:cs="Arial"/>
          <w:sz w:val="18"/>
          <w:szCs w:val="18"/>
        </w:rPr>
        <w:t>, de fecha</w:t>
      </w:r>
      <w:r>
        <w:rPr>
          <w:rFonts w:ascii="Arial" w:hAnsi="Arial" w:cs="Arial"/>
          <w:sz w:val="18"/>
          <w:szCs w:val="18"/>
        </w:rPr>
        <w:t xml:space="preserve"> </w:t>
      </w:r>
      <w:r w:rsidR="00D33EF9">
        <w:rPr>
          <w:rFonts w:ascii="Arial" w:hAnsi="Arial" w:cs="Arial"/>
          <w:sz w:val="18"/>
          <w:szCs w:val="18"/>
        </w:rPr>
        <w:t>****</w:t>
      </w:r>
      <w:r w:rsidRPr="00826202">
        <w:rPr>
          <w:rFonts w:ascii="Arial" w:hAnsi="Arial" w:cs="Arial"/>
          <w:sz w:val="18"/>
          <w:szCs w:val="18"/>
        </w:rPr>
        <w:t xml:space="preserve"> de</w:t>
      </w:r>
      <w:r>
        <w:rPr>
          <w:rFonts w:ascii="Arial" w:hAnsi="Arial" w:cs="Arial"/>
          <w:sz w:val="18"/>
          <w:szCs w:val="18"/>
        </w:rPr>
        <w:t xml:space="preserve"> </w:t>
      </w:r>
      <w:r w:rsidR="00D33EF9">
        <w:rPr>
          <w:rFonts w:ascii="Arial" w:hAnsi="Arial" w:cs="Arial"/>
          <w:sz w:val="18"/>
          <w:szCs w:val="18"/>
        </w:rPr>
        <w:t>*****</w:t>
      </w:r>
      <w:r w:rsidRPr="00826202">
        <w:rPr>
          <w:rFonts w:ascii="Arial" w:hAnsi="Arial" w:cs="Arial"/>
          <w:sz w:val="18"/>
          <w:szCs w:val="18"/>
        </w:rPr>
        <w:t xml:space="preserve"> de </w:t>
      </w:r>
      <w:r w:rsidR="00D33EF9">
        <w:rPr>
          <w:rFonts w:ascii="Arial" w:hAnsi="Arial" w:cs="Arial"/>
          <w:sz w:val="18"/>
          <w:szCs w:val="18"/>
        </w:rPr>
        <w:t>****</w:t>
      </w:r>
      <w:r w:rsidRPr="00826202">
        <w:rPr>
          <w:rFonts w:ascii="Arial" w:hAnsi="Arial" w:cs="Arial"/>
          <w:sz w:val="18"/>
          <w:szCs w:val="18"/>
        </w:rPr>
        <w:t>.</w:t>
      </w:r>
    </w:p>
    <w:p w14:paraId="685648C6" w14:textId="77777777" w:rsidR="0036311C" w:rsidRPr="00826202" w:rsidRDefault="0036311C" w:rsidP="001E445E">
      <w:pPr>
        <w:pStyle w:val="Textonotapie"/>
        <w:jc w:val="both"/>
        <w:rPr>
          <w:rFonts w:ascii="Arial" w:hAnsi="Arial" w:cs="Arial"/>
        </w:rPr>
      </w:pPr>
    </w:p>
  </w:footnote>
  <w:footnote w:id="6">
    <w:p w14:paraId="7374E624" w14:textId="77777777" w:rsidR="001E445E" w:rsidRPr="007D357D" w:rsidRDefault="001E445E" w:rsidP="001E445E">
      <w:pPr>
        <w:pStyle w:val="Textonotapie"/>
        <w:jc w:val="both"/>
        <w:rPr>
          <w:rFonts w:ascii="Arial" w:hAnsi="Arial" w:cs="Arial"/>
        </w:rPr>
      </w:pPr>
      <w:r w:rsidRPr="00857786">
        <w:rPr>
          <w:rStyle w:val="Refdenotaalpie"/>
          <w:rFonts w:ascii="Arial" w:hAnsi="Arial" w:cs="Arial"/>
          <w:sz w:val="18"/>
          <w:szCs w:val="18"/>
        </w:rPr>
        <w:footnoteRef/>
      </w:r>
      <w:r w:rsidRPr="00857786">
        <w:rPr>
          <w:rFonts w:ascii="Arial" w:hAnsi="Arial" w:cs="Arial"/>
          <w:sz w:val="18"/>
          <w:szCs w:val="18"/>
        </w:rPr>
        <w:t xml:space="preserve"> Artículo reformado mediante decreto número 2770, el veintidós de septiembre de dos mil veintiuno, publicada en el Periódico Oficial del Gobierno del Estado de Oaxaca el veintitrés de octubre de dos mil veintiuno. Consultable</w:t>
      </w:r>
      <w:r>
        <w:rPr>
          <w:rFonts w:ascii="Arial" w:hAnsi="Arial" w:cs="Arial"/>
          <w:sz w:val="18"/>
          <w:szCs w:val="18"/>
        </w:rPr>
        <w:t xml:space="preserve"> </w:t>
      </w:r>
      <w:r w:rsidRPr="00857786">
        <w:rPr>
          <w:rFonts w:ascii="Arial" w:hAnsi="Arial" w:cs="Arial"/>
          <w:sz w:val="18"/>
          <w:szCs w:val="18"/>
        </w:rPr>
        <w:t>en la página</w:t>
      </w:r>
      <w:r>
        <w:rPr>
          <w:rFonts w:ascii="Arial" w:hAnsi="Arial" w:cs="Arial"/>
          <w:sz w:val="18"/>
          <w:szCs w:val="18"/>
        </w:rPr>
        <w:t xml:space="preserve"> </w:t>
      </w:r>
      <w:r w:rsidRPr="00857786">
        <w:rPr>
          <w:rFonts w:ascii="Arial" w:hAnsi="Arial" w:cs="Arial"/>
          <w:sz w:val="18"/>
          <w:szCs w:val="18"/>
        </w:rPr>
        <w:t xml:space="preserve">siguiente: </w:t>
      </w:r>
      <w:hyperlink r:id="rId1" w:history="1">
        <w:r w:rsidRPr="00857786">
          <w:rPr>
            <w:rStyle w:val="Hipervnculo"/>
            <w:rFonts w:ascii="Arial" w:hAnsi="Arial" w:cs="Arial"/>
            <w:sz w:val="18"/>
            <w:szCs w:val="18"/>
          </w:rPr>
          <w:t>https://docs64.congresooaxaca.gob.mx/documents/decrets/DLXIV_2770.pdf</w:t>
        </w:r>
      </w:hyperlink>
      <w:r>
        <w:rPr>
          <w:rFonts w:ascii="Arial" w:hAnsi="Arial" w:cs="Arial"/>
          <w:sz w:val="18"/>
          <w:szCs w:val="18"/>
        </w:rPr>
        <w:t xml:space="preserve">. </w:t>
      </w:r>
    </w:p>
  </w:footnote>
  <w:footnote w:id="7">
    <w:p w14:paraId="39A2EB2E" w14:textId="77777777" w:rsidR="001E445E" w:rsidRPr="000E0AE6" w:rsidRDefault="001E445E" w:rsidP="001E445E">
      <w:pPr>
        <w:pStyle w:val="temp"/>
        <w:shd w:val="clear" w:color="auto" w:fill="FFFFFF"/>
        <w:spacing w:before="0" w:beforeAutospacing="0" w:after="0" w:afterAutospacing="0"/>
        <w:jc w:val="both"/>
        <w:rPr>
          <w:rFonts w:ascii="Arial" w:hAnsi="Arial" w:cs="Arial"/>
          <w:color w:val="212529"/>
          <w:sz w:val="18"/>
          <w:szCs w:val="18"/>
        </w:rPr>
      </w:pPr>
      <w:r w:rsidRPr="00C945E6">
        <w:rPr>
          <w:rStyle w:val="Refdenotaalpie"/>
          <w:rFonts w:ascii="Arial" w:hAnsi="Arial" w:cs="Arial"/>
          <w:sz w:val="18"/>
          <w:szCs w:val="18"/>
        </w:rPr>
        <w:footnoteRef/>
      </w:r>
      <w:r w:rsidRPr="00C945E6">
        <w:rPr>
          <w:rFonts w:ascii="Arial" w:hAnsi="Arial" w:cs="Arial"/>
          <w:sz w:val="18"/>
          <w:szCs w:val="18"/>
        </w:rPr>
        <w:t xml:space="preserve"> </w:t>
      </w:r>
      <w:r w:rsidRPr="000E0AE6">
        <w:rPr>
          <w:rFonts w:ascii="Arial" w:hAnsi="Arial" w:cs="Arial"/>
          <w:sz w:val="18"/>
          <w:szCs w:val="18"/>
        </w:rPr>
        <w:t>Jurisprudencia número 2a.</w:t>
      </w:r>
      <w:r w:rsidRPr="000E0AE6">
        <w:rPr>
          <w:rFonts w:ascii="Arial" w:hAnsi="Arial" w:cs="Arial"/>
          <w:color w:val="212529"/>
          <w:sz w:val="18"/>
          <w:szCs w:val="18"/>
        </w:rPr>
        <w:t xml:space="preserve">/J. 204/2007, con número de registro </w:t>
      </w:r>
      <w:r w:rsidRPr="000E0AE6">
        <w:rPr>
          <w:rFonts w:ascii="Arial" w:hAnsi="Arial" w:cs="Arial"/>
          <w:color w:val="212529"/>
          <w:sz w:val="18"/>
          <w:szCs w:val="18"/>
          <w:shd w:val="clear" w:color="auto" w:fill="FFFFFF"/>
        </w:rPr>
        <w:t>170892</w:t>
      </w:r>
      <w:r>
        <w:rPr>
          <w:rFonts w:ascii="Arial" w:hAnsi="Arial" w:cs="Arial"/>
          <w:color w:val="212529"/>
          <w:sz w:val="18"/>
          <w:szCs w:val="18"/>
          <w:shd w:val="clear" w:color="auto" w:fill="FFFFFF"/>
        </w:rPr>
        <w:t>,</w:t>
      </w:r>
      <w:r w:rsidRPr="000E0AE6">
        <w:rPr>
          <w:rFonts w:ascii="Arial" w:hAnsi="Arial" w:cs="Arial"/>
          <w:color w:val="212529"/>
          <w:sz w:val="18"/>
          <w:szCs w:val="18"/>
          <w:shd w:val="clear" w:color="auto" w:fill="FFFFFF"/>
        </w:rPr>
        <w:t xml:space="preserve"> publicada en el Semanario Judicial de la Federación y su Gaceta.</w:t>
      </w:r>
      <w:r w:rsidRPr="000E0AE6">
        <w:rPr>
          <w:rFonts w:ascii="Arial" w:hAnsi="Arial" w:cs="Arial"/>
          <w:color w:val="212529"/>
          <w:sz w:val="18"/>
          <w:szCs w:val="18"/>
        </w:rPr>
        <w:t xml:space="preserve"> </w:t>
      </w:r>
      <w:r w:rsidRPr="000E0AE6">
        <w:rPr>
          <w:rStyle w:val="ng-star-inserted"/>
          <w:rFonts w:ascii="Arial" w:hAnsi="Arial" w:cs="Arial"/>
          <w:color w:val="212529"/>
          <w:sz w:val="18"/>
          <w:szCs w:val="18"/>
          <w:shd w:val="clear" w:color="auto" w:fill="FFFFFF"/>
        </w:rPr>
        <w:t>Tomo XXVI, noviembre de 2007, página 205, novena época, Materia Constitucional Laboral.</w:t>
      </w:r>
    </w:p>
  </w:footnote>
  <w:footnote w:id="8">
    <w:p w14:paraId="3A251F46" w14:textId="77777777" w:rsidR="001E445E" w:rsidRPr="00A862AC" w:rsidRDefault="001E445E" w:rsidP="001E445E">
      <w:pPr>
        <w:pStyle w:val="Textonotapie"/>
        <w:jc w:val="both"/>
        <w:rPr>
          <w:rFonts w:ascii="Arial" w:hAnsi="Arial" w:cs="Arial"/>
        </w:rPr>
      </w:pPr>
      <w:r w:rsidRPr="00A862AC">
        <w:rPr>
          <w:rStyle w:val="Refdenotaalpie"/>
          <w:rFonts w:ascii="Arial" w:hAnsi="Arial" w:cs="Arial"/>
          <w:sz w:val="18"/>
          <w:szCs w:val="18"/>
        </w:rPr>
        <w:footnoteRef/>
      </w:r>
      <w:r w:rsidRPr="00A862AC">
        <w:rPr>
          <w:rFonts w:ascii="Arial" w:hAnsi="Arial" w:cs="Arial"/>
          <w:sz w:val="18"/>
          <w:szCs w:val="18"/>
        </w:rPr>
        <w:t xml:space="preserve"> Tesis número II.T.298 L, con número de registro 173176, por</w:t>
      </w:r>
      <w:r>
        <w:rPr>
          <w:rFonts w:ascii="Arial" w:hAnsi="Arial" w:cs="Arial"/>
          <w:sz w:val="18"/>
          <w:szCs w:val="18"/>
        </w:rPr>
        <w:t xml:space="preserve"> los</w:t>
      </w:r>
      <w:r w:rsidRPr="00A862AC">
        <w:rPr>
          <w:rFonts w:ascii="Arial" w:hAnsi="Arial" w:cs="Arial"/>
          <w:sz w:val="18"/>
          <w:szCs w:val="18"/>
        </w:rPr>
        <w:t xml:space="preserve"> Tribunales Colegiados de Circuito</w:t>
      </w:r>
      <w:r>
        <w:rPr>
          <w:rFonts w:ascii="Arial" w:hAnsi="Arial" w:cs="Arial"/>
          <w:sz w:val="18"/>
          <w:szCs w:val="18"/>
        </w:rPr>
        <w:t xml:space="preserve"> </w:t>
      </w:r>
      <w:r w:rsidRPr="00A862AC">
        <w:rPr>
          <w:rFonts w:ascii="Arial" w:hAnsi="Arial" w:cs="Arial"/>
          <w:sz w:val="18"/>
          <w:szCs w:val="18"/>
        </w:rPr>
        <w:t>en el Semanario Judicial de la Federación y su Gaceta, Tomo XXV, Página 1889, Novena Época, Febrero de 2007.</w:t>
      </w:r>
    </w:p>
  </w:footnote>
  <w:footnote w:id="9">
    <w:p w14:paraId="3D2D98EC" w14:textId="77777777" w:rsidR="001E445E" w:rsidRPr="00543372" w:rsidRDefault="001E445E" w:rsidP="001E445E">
      <w:pPr>
        <w:pStyle w:val="Textonotapie"/>
        <w:jc w:val="both"/>
        <w:rPr>
          <w:rFonts w:ascii="Arial" w:hAnsi="Arial" w:cs="Arial"/>
        </w:rPr>
      </w:pPr>
      <w:r w:rsidRPr="00543372">
        <w:rPr>
          <w:rStyle w:val="Refdenotaalpie"/>
          <w:rFonts w:ascii="Arial" w:hAnsi="Arial" w:cs="Arial"/>
          <w:sz w:val="18"/>
          <w:szCs w:val="18"/>
        </w:rPr>
        <w:footnoteRef/>
      </w:r>
      <w:r w:rsidRPr="00543372">
        <w:rPr>
          <w:rFonts w:ascii="Arial" w:hAnsi="Arial" w:cs="Arial"/>
          <w:sz w:val="18"/>
          <w:szCs w:val="18"/>
        </w:rPr>
        <w:t xml:space="preserve"> </w:t>
      </w:r>
      <w:r>
        <w:rPr>
          <w:rFonts w:ascii="Arial" w:hAnsi="Arial" w:cs="Arial"/>
          <w:sz w:val="18"/>
          <w:szCs w:val="18"/>
        </w:rPr>
        <w:t xml:space="preserve">Tesis </w:t>
      </w:r>
      <w:r w:rsidRPr="00543372">
        <w:rPr>
          <w:rFonts w:ascii="Arial" w:hAnsi="Arial" w:cs="Arial"/>
          <w:sz w:val="18"/>
          <w:szCs w:val="18"/>
        </w:rPr>
        <w:t>número IV.2o.T.101 L. con número de registro 178046</w:t>
      </w:r>
      <w:r>
        <w:rPr>
          <w:rFonts w:ascii="Arial" w:hAnsi="Arial" w:cs="Arial"/>
          <w:sz w:val="18"/>
          <w:szCs w:val="18"/>
        </w:rPr>
        <w:t>,</w:t>
      </w:r>
      <w:r w:rsidRPr="00543372">
        <w:rPr>
          <w:rFonts w:ascii="Arial" w:hAnsi="Arial" w:cs="Arial"/>
          <w:sz w:val="18"/>
          <w:szCs w:val="18"/>
        </w:rPr>
        <w:t xml:space="preserve"> por los Tribunales Colegiados de Circuito</w:t>
      </w:r>
      <w:r>
        <w:rPr>
          <w:rFonts w:ascii="Arial" w:hAnsi="Arial" w:cs="Arial"/>
          <w:sz w:val="18"/>
          <w:szCs w:val="18"/>
        </w:rPr>
        <w:t>, publicada</w:t>
      </w:r>
      <w:r w:rsidRPr="00543372">
        <w:rPr>
          <w:rFonts w:ascii="Arial" w:hAnsi="Arial" w:cs="Arial"/>
          <w:sz w:val="18"/>
          <w:szCs w:val="18"/>
        </w:rPr>
        <w:t xml:space="preserve"> en el Semanario Judicial de la Federación y su Gaceta Tomo XXII, Julio de 2005, Página 1389, Novena Época</w:t>
      </w:r>
      <w:r>
        <w:rPr>
          <w:rFonts w:ascii="Arial" w:hAnsi="Arial" w:cs="Arial"/>
          <w:sz w:val="18"/>
          <w:szCs w:val="18"/>
        </w:rPr>
        <w:t>.</w:t>
      </w:r>
    </w:p>
  </w:footnote>
  <w:footnote w:id="10">
    <w:p w14:paraId="19505D12" w14:textId="77777777" w:rsidR="001E445E" w:rsidRPr="00521AFD" w:rsidRDefault="001E445E" w:rsidP="001E445E">
      <w:pPr>
        <w:pStyle w:val="Textonotapie"/>
        <w:jc w:val="both"/>
        <w:rPr>
          <w:rFonts w:ascii="Arial" w:hAnsi="Arial" w:cs="Arial"/>
        </w:rPr>
      </w:pPr>
      <w:r w:rsidRPr="00521AFD">
        <w:rPr>
          <w:rStyle w:val="Refdenotaalpie"/>
          <w:rFonts w:ascii="Arial" w:hAnsi="Arial" w:cs="Arial"/>
          <w:sz w:val="18"/>
          <w:szCs w:val="18"/>
        </w:rPr>
        <w:footnoteRef/>
      </w:r>
      <w:r w:rsidRPr="00521AFD">
        <w:rPr>
          <w:rFonts w:ascii="Arial" w:hAnsi="Arial" w:cs="Arial"/>
          <w:sz w:val="18"/>
          <w:szCs w:val="18"/>
        </w:rPr>
        <w:t xml:space="preserve"> </w:t>
      </w:r>
      <w:r>
        <w:rPr>
          <w:rFonts w:ascii="Arial" w:hAnsi="Arial" w:cs="Arial"/>
          <w:sz w:val="18"/>
          <w:szCs w:val="18"/>
        </w:rPr>
        <w:t xml:space="preserve">Tesis </w:t>
      </w:r>
      <w:r w:rsidRPr="00521AFD">
        <w:rPr>
          <w:rFonts w:ascii="Arial" w:hAnsi="Arial" w:cs="Arial"/>
          <w:sz w:val="18"/>
          <w:szCs w:val="18"/>
        </w:rPr>
        <w:t xml:space="preserve">número III.4o.T.33 L (10a.), con número de registro 2015338, por los Tribunales Colegiados de Circuito </w:t>
      </w:r>
      <w:r>
        <w:rPr>
          <w:rFonts w:ascii="Arial" w:hAnsi="Arial" w:cs="Arial"/>
          <w:sz w:val="18"/>
          <w:szCs w:val="18"/>
        </w:rPr>
        <w:t xml:space="preserve">publicada </w:t>
      </w:r>
      <w:r w:rsidRPr="00521AFD">
        <w:rPr>
          <w:rFonts w:ascii="Arial" w:hAnsi="Arial" w:cs="Arial"/>
          <w:sz w:val="18"/>
          <w:szCs w:val="18"/>
        </w:rPr>
        <w:t>en el Semanario Judicial de la Federación, Libro 47, Octubre de 2017, Tomo IV, página 2418, Décima Época</w:t>
      </w:r>
      <w:r>
        <w:rPr>
          <w:rFonts w:ascii="Arial" w:hAnsi="Arial" w:cs="Arial"/>
          <w:sz w:val="18"/>
          <w:szCs w:val="18"/>
        </w:rPr>
        <w:t>.</w:t>
      </w:r>
    </w:p>
  </w:footnote>
  <w:footnote w:id="11">
    <w:p w14:paraId="3B0F2C05" w14:textId="77777777" w:rsidR="001E445E" w:rsidRPr="00303F0F" w:rsidRDefault="001E445E" w:rsidP="001E445E">
      <w:pPr>
        <w:pStyle w:val="Textonotapie"/>
        <w:jc w:val="both"/>
        <w:rPr>
          <w:rFonts w:ascii="Arial" w:hAnsi="Arial" w:cs="Arial"/>
        </w:rPr>
      </w:pPr>
      <w:r w:rsidRPr="00303F0F">
        <w:rPr>
          <w:rStyle w:val="Refdenotaalpie"/>
          <w:rFonts w:ascii="Arial" w:hAnsi="Arial" w:cs="Arial"/>
          <w:sz w:val="18"/>
          <w:szCs w:val="18"/>
        </w:rPr>
        <w:footnoteRef/>
      </w:r>
      <w:r w:rsidRPr="00303F0F">
        <w:rPr>
          <w:rFonts w:ascii="Arial" w:hAnsi="Arial" w:cs="Arial"/>
          <w:sz w:val="18"/>
          <w:szCs w:val="18"/>
        </w:rPr>
        <w:t xml:space="preserve"> Tesis número I.6oA.33 A, con número de registro 187531 por los Tribunales Colegiados de Circuito, en el Semanario Judicial de la Federación y su Gaceta</w:t>
      </w:r>
      <w:r>
        <w:rPr>
          <w:rFonts w:ascii="Arial" w:hAnsi="Arial" w:cs="Arial"/>
          <w:sz w:val="18"/>
          <w:szCs w:val="18"/>
        </w:rPr>
        <w:t>. Tomo XV, marzo de 2002,</w:t>
      </w:r>
      <w:r w:rsidRPr="00303F0F">
        <w:rPr>
          <w:rFonts w:ascii="Arial" w:hAnsi="Arial" w:cs="Arial"/>
          <w:sz w:val="18"/>
          <w:szCs w:val="18"/>
        </w:rPr>
        <w:t xml:space="preserve"> página 1350</w:t>
      </w:r>
      <w:r>
        <w:rPr>
          <w:rFonts w:ascii="Arial" w:hAnsi="Arial" w:cs="Arial"/>
          <w:sz w:val="18"/>
          <w:szCs w:val="18"/>
        </w:rPr>
        <w:t>.</w:t>
      </w:r>
      <w:r w:rsidRPr="00303F0F">
        <w:rPr>
          <w:rFonts w:ascii="Arial" w:hAnsi="Arial" w:cs="Arial"/>
          <w:sz w:val="18"/>
          <w:szCs w:val="18"/>
        </w:rPr>
        <w:t xml:space="preserve"> Novena Época.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0513D" w14:textId="1822BF82" w:rsidR="005839E1" w:rsidRDefault="005839E1">
    <w:pPr>
      <w:pStyle w:val="Encabezado"/>
    </w:pPr>
    <w:r w:rsidRPr="000D6BF5">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4DF003C1" wp14:editId="2E423988">
              <wp:simplePos x="0" y="0"/>
              <wp:positionH relativeFrom="rightMargin">
                <wp:align>left</wp:align>
              </wp:positionH>
              <wp:positionV relativeFrom="paragraph">
                <wp:posOffset>5226685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5516AC5" w14:textId="77777777" w:rsidR="005839E1" w:rsidRDefault="005839E1" w:rsidP="005839E1">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F003C1" id="_x0000_t202" coordsize="21600,21600" o:spt="202" path="m,l,21600r21600,l21600,xe">
              <v:stroke joinstyle="miter"/>
              <v:path gradientshapeok="t" o:connecttype="rect"/>
            </v:shapetype>
            <v:shape id="Cuadro de texto 1" o:spid="_x0000_s1026" type="#_x0000_t202" style="position:absolute;margin-left:0;margin-top:411.55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">
              <v:textbox>
                <w:txbxContent>
                  <w:p w14:paraId="75516AC5" w14:textId="77777777" w:rsidR="005839E1" w:rsidRDefault="005839E1" w:rsidP="005839E1">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6F52B9E2" w:rsidR="0076338B" w:rsidRDefault="005839E1">
    <w:pPr>
      <w:pStyle w:val="Encabezado"/>
    </w:pPr>
    <w:r>
      <w:rPr>
        <w:noProof/>
        <w:lang w:val="es-ES" w:eastAsia="es-ES"/>
      </w:rPr>
      <w:drawing>
        <wp:anchor distT="0" distB="0" distL="114300" distR="114300" simplePos="0" relativeHeight="251671552" behindDoc="1" locked="0" layoutInCell="1" allowOverlap="1" wp14:anchorId="20EB95F7" wp14:editId="226D47C9">
          <wp:simplePos x="0" y="0"/>
          <wp:positionH relativeFrom="page">
            <wp:align>right</wp:align>
          </wp:positionH>
          <wp:positionV relativeFrom="paragraph">
            <wp:posOffset>4142740</wp:posOffset>
          </wp:positionV>
          <wp:extent cx="7711312" cy="2869325"/>
          <wp:effectExtent l="0" t="0" r="4445" b="762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6BF5">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2CB6C3A1" wp14:editId="1D7BA279">
              <wp:simplePos x="0" y="0"/>
              <wp:positionH relativeFrom="leftMargin">
                <wp:align>right</wp:align>
              </wp:positionH>
              <wp:positionV relativeFrom="paragraph">
                <wp:posOffset>4893310</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2015693" w14:textId="77777777" w:rsidR="005839E1" w:rsidRDefault="005839E1" w:rsidP="005839E1">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9" w:name="_Hlk108096333"/>
                          <w:r>
                            <w:rPr>
                              <w:rFonts w:ascii="Arial" w:hAnsi="Arial" w:cs="Arial"/>
                              <w:b/>
                            </w:rPr>
                            <w:t>61 de la LTAIPBGEO.</w:t>
                          </w:r>
                          <w:bookmarkEnd w:id="9"/>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B6C3A1" id="_x0000_t202" coordsize="21600,21600" o:spt="202" path="m,l,21600r21600,l21600,xe">
              <v:stroke joinstyle="miter"/>
              <v:path gradientshapeok="t" o:connecttype="rect"/>
            </v:shapetype>
            <v:shape id="_x0000_s1027" type="#_x0000_t202" style="position:absolute;margin-left:41.8pt;margin-top:385.3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">
              <v:textbox>
                <w:txbxContent>
                  <w:p w14:paraId="72015693" w14:textId="77777777" w:rsidR="005839E1" w:rsidRDefault="005839E1" w:rsidP="005839E1">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0" w:name="_Hlk108096333"/>
                    <w:r>
                      <w:rPr>
                        <w:rFonts w:ascii="Arial" w:hAnsi="Arial" w:cs="Arial"/>
                        <w:b/>
                      </w:rPr>
                      <w:t>61 de la LTAIPBGEO.</w:t>
                    </w:r>
                    <w:bookmarkEnd w:id="10"/>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729A5721" w:rsidR="0076338B" w:rsidRDefault="005851EF">
    <w:pPr>
      <w:pStyle w:val="Encabezado"/>
    </w:pPr>
    <w:r>
      <w:rPr>
        <w:noProof/>
        <w:lang w:val="es-ES" w:eastAsia="es-ES"/>
      </w:rPr>
      <w:drawing>
        <wp:anchor distT="0" distB="0" distL="114300" distR="114300" simplePos="0" relativeHeight="251669504" behindDoc="1" locked="0" layoutInCell="1" allowOverlap="1" wp14:anchorId="260D7152" wp14:editId="1320FFC0">
          <wp:simplePos x="0" y="0"/>
          <wp:positionH relativeFrom="margin">
            <wp:posOffset>-1184910</wp:posOffset>
          </wp:positionH>
          <wp:positionV relativeFrom="paragraph">
            <wp:posOffset>4152265</wp:posOffset>
          </wp:positionV>
          <wp:extent cx="7711312" cy="2869325"/>
          <wp:effectExtent l="0" t="0" r="4445" b="762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3F672244">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63CC6"/>
    <w:multiLevelType w:val="hybridMultilevel"/>
    <w:tmpl w:val="3AD463F2"/>
    <w:lvl w:ilvl="0" w:tplc="3D2C41C2">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23EE17A0"/>
    <w:multiLevelType w:val="hybridMultilevel"/>
    <w:tmpl w:val="4DA2AEAA"/>
    <w:lvl w:ilvl="0" w:tplc="7DE2CAC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68004363">
    <w:abstractNumId w:val="4"/>
  </w:num>
  <w:num w:numId="2" w16cid:durableId="1675305896">
    <w:abstractNumId w:val="5"/>
  </w:num>
  <w:num w:numId="3" w16cid:durableId="297338535">
    <w:abstractNumId w:val="8"/>
  </w:num>
  <w:num w:numId="4" w16cid:durableId="1268584795">
    <w:abstractNumId w:val="2"/>
  </w:num>
  <w:num w:numId="5" w16cid:durableId="454719076">
    <w:abstractNumId w:val="6"/>
  </w:num>
  <w:num w:numId="6" w16cid:durableId="2019000050">
    <w:abstractNumId w:val="3"/>
  </w:num>
  <w:num w:numId="7" w16cid:durableId="1602375929">
    <w:abstractNumId w:val="7"/>
  </w:num>
  <w:num w:numId="8" w16cid:durableId="1875576089">
    <w:abstractNumId w:val="1"/>
  </w:num>
  <w:num w:numId="9" w16cid:durableId="1898128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378"/>
    <w:rsid w:val="00003214"/>
    <w:rsid w:val="0000564B"/>
    <w:rsid w:val="0001122D"/>
    <w:rsid w:val="00011258"/>
    <w:rsid w:val="00012B16"/>
    <w:rsid w:val="00012F54"/>
    <w:rsid w:val="00013BAD"/>
    <w:rsid w:val="0001413A"/>
    <w:rsid w:val="000203B2"/>
    <w:rsid w:val="00021165"/>
    <w:rsid w:val="000212A8"/>
    <w:rsid w:val="00023E0F"/>
    <w:rsid w:val="000248F2"/>
    <w:rsid w:val="00024B83"/>
    <w:rsid w:val="0002521A"/>
    <w:rsid w:val="00026BB2"/>
    <w:rsid w:val="00030491"/>
    <w:rsid w:val="0003281E"/>
    <w:rsid w:val="00032827"/>
    <w:rsid w:val="000337D1"/>
    <w:rsid w:val="00033F72"/>
    <w:rsid w:val="00035C7B"/>
    <w:rsid w:val="00035E01"/>
    <w:rsid w:val="000363E1"/>
    <w:rsid w:val="000368F7"/>
    <w:rsid w:val="00036A0C"/>
    <w:rsid w:val="0003743F"/>
    <w:rsid w:val="00043748"/>
    <w:rsid w:val="00045E11"/>
    <w:rsid w:val="00051177"/>
    <w:rsid w:val="000530A9"/>
    <w:rsid w:val="0005415A"/>
    <w:rsid w:val="00054178"/>
    <w:rsid w:val="00054863"/>
    <w:rsid w:val="00064B6B"/>
    <w:rsid w:val="00065160"/>
    <w:rsid w:val="000662B7"/>
    <w:rsid w:val="000708E8"/>
    <w:rsid w:val="00081134"/>
    <w:rsid w:val="00084DF1"/>
    <w:rsid w:val="000861BC"/>
    <w:rsid w:val="0008643C"/>
    <w:rsid w:val="00090CB5"/>
    <w:rsid w:val="00092E1F"/>
    <w:rsid w:val="00094E83"/>
    <w:rsid w:val="00094F89"/>
    <w:rsid w:val="000951F5"/>
    <w:rsid w:val="000968FD"/>
    <w:rsid w:val="000A0C4C"/>
    <w:rsid w:val="000A21C1"/>
    <w:rsid w:val="000A25F3"/>
    <w:rsid w:val="000A2814"/>
    <w:rsid w:val="000A2A86"/>
    <w:rsid w:val="000A3369"/>
    <w:rsid w:val="000A4C89"/>
    <w:rsid w:val="000A5644"/>
    <w:rsid w:val="000A5C47"/>
    <w:rsid w:val="000B1C0B"/>
    <w:rsid w:val="000B32AF"/>
    <w:rsid w:val="000B426C"/>
    <w:rsid w:val="000B48CB"/>
    <w:rsid w:val="000C1184"/>
    <w:rsid w:val="000C35D8"/>
    <w:rsid w:val="000C361C"/>
    <w:rsid w:val="000C43A6"/>
    <w:rsid w:val="000C4E6B"/>
    <w:rsid w:val="000C599F"/>
    <w:rsid w:val="000C6172"/>
    <w:rsid w:val="000C6FAD"/>
    <w:rsid w:val="000C7260"/>
    <w:rsid w:val="000D118E"/>
    <w:rsid w:val="000D1DC9"/>
    <w:rsid w:val="000D23FD"/>
    <w:rsid w:val="000D5ADC"/>
    <w:rsid w:val="000E101F"/>
    <w:rsid w:val="000E1601"/>
    <w:rsid w:val="000E2FD3"/>
    <w:rsid w:val="000E4A2F"/>
    <w:rsid w:val="000E53FC"/>
    <w:rsid w:val="000E5FA6"/>
    <w:rsid w:val="000E728E"/>
    <w:rsid w:val="000F3A4E"/>
    <w:rsid w:val="000F4967"/>
    <w:rsid w:val="000F7053"/>
    <w:rsid w:val="000F77BF"/>
    <w:rsid w:val="001009AB"/>
    <w:rsid w:val="00102315"/>
    <w:rsid w:val="0010375C"/>
    <w:rsid w:val="00106084"/>
    <w:rsid w:val="00106088"/>
    <w:rsid w:val="0010765A"/>
    <w:rsid w:val="001121F9"/>
    <w:rsid w:val="00114836"/>
    <w:rsid w:val="00115274"/>
    <w:rsid w:val="001206B0"/>
    <w:rsid w:val="00121D94"/>
    <w:rsid w:val="00125DC6"/>
    <w:rsid w:val="00127344"/>
    <w:rsid w:val="001275B8"/>
    <w:rsid w:val="00127F63"/>
    <w:rsid w:val="00130B07"/>
    <w:rsid w:val="001318F4"/>
    <w:rsid w:val="00131EDE"/>
    <w:rsid w:val="00132658"/>
    <w:rsid w:val="001350AA"/>
    <w:rsid w:val="001352D8"/>
    <w:rsid w:val="0013532F"/>
    <w:rsid w:val="001378D8"/>
    <w:rsid w:val="00140805"/>
    <w:rsid w:val="00144196"/>
    <w:rsid w:val="001473AC"/>
    <w:rsid w:val="00150C5F"/>
    <w:rsid w:val="00151127"/>
    <w:rsid w:val="001514E4"/>
    <w:rsid w:val="00152D38"/>
    <w:rsid w:val="001567BD"/>
    <w:rsid w:val="00156BE5"/>
    <w:rsid w:val="0015763C"/>
    <w:rsid w:val="001628B3"/>
    <w:rsid w:val="001658D6"/>
    <w:rsid w:val="0016783D"/>
    <w:rsid w:val="00167B31"/>
    <w:rsid w:val="00174085"/>
    <w:rsid w:val="00180130"/>
    <w:rsid w:val="001806DD"/>
    <w:rsid w:val="00180B18"/>
    <w:rsid w:val="00180D8D"/>
    <w:rsid w:val="00181533"/>
    <w:rsid w:val="00181BAB"/>
    <w:rsid w:val="001835B5"/>
    <w:rsid w:val="00184646"/>
    <w:rsid w:val="00185070"/>
    <w:rsid w:val="001850C6"/>
    <w:rsid w:val="00193422"/>
    <w:rsid w:val="0019467E"/>
    <w:rsid w:val="00196279"/>
    <w:rsid w:val="001A1FE9"/>
    <w:rsid w:val="001A24F8"/>
    <w:rsid w:val="001A2788"/>
    <w:rsid w:val="001A6E66"/>
    <w:rsid w:val="001A73BA"/>
    <w:rsid w:val="001B0663"/>
    <w:rsid w:val="001B5CF6"/>
    <w:rsid w:val="001B5DC7"/>
    <w:rsid w:val="001B6278"/>
    <w:rsid w:val="001B6A00"/>
    <w:rsid w:val="001B77BA"/>
    <w:rsid w:val="001C0F76"/>
    <w:rsid w:val="001C5C93"/>
    <w:rsid w:val="001C6514"/>
    <w:rsid w:val="001C69AB"/>
    <w:rsid w:val="001D267C"/>
    <w:rsid w:val="001D5414"/>
    <w:rsid w:val="001E1A1B"/>
    <w:rsid w:val="001E3C59"/>
    <w:rsid w:val="001E445E"/>
    <w:rsid w:val="001E49C1"/>
    <w:rsid w:val="001E4A0B"/>
    <w:rsid w:val="001E79B3"/>
    <w:rsid w:val="001F2CF6"/>
    <w:rsid w:val="001F2FF9"/>
    <w:rsid w:val="001F5B58"/>
    <w:rsid w:val="00202CD9"/>
    <w:rsid w:val="0020358E"/>
    <w:rsid w:val="00203B91"/>
    <w:rsid w:val="00204FE3"/>
    <w:rsid w:val="00205FF5"/>
    <w:rsid w:val="00212E1F"/>
    <w:rsid w:val="00220D6F"/>
    <w:rsid w:val="0022156A"/>
    <w:rsid w:val="00223969"/>
    <w:rsid w:val="00224120"/>
    <w:rsid w:val="002257D3"/>
    <w:rsid w:val="00226128"/>
    <w:rsid w:val="00230E4C"/>
    <w:rsid w:val="0023189F"/>
    <w:rsid w:val="002318D5"/>
    <w:rsid w:val="0023226F"/>
    <w:rsid w:val="00232B4E"/>
    <w:rsid w:val="00234271"/>
    <w:rsid w:val="002419CF"/>
    <w:rsid w:val="0024414A"/>
    <w:rsid w:val="00244A8E"/>
    <w:rsid w:val="00245075"/>
    <w:rsid w:val="002473EC"/>
    <w:rsid w:val="00247CFB"/>
    <w:rsid w:val="00251577"/>
    <w:rsid w:val="002524BD"/>
    <w:rsid w:val="00252E0F"/>
    <w:rsid w:val="00254324"/>
    <w:rsid w:val="002549C3"/>
    <w:rsid w:val="0025714F"/>
    <w:rsid w:val="00260EE4"/>
    <w:rsid w:val="00263E2D"/>
    <w:rsid w:val="002649F6"/>
    <w:rsid w:val="002649F9"/>
    <w:rsid w:val="002653F1"/>
    <w:rsid w:val="00265704"/>
    <w:rsid w:val="00266306"/>
    <w:rsid w:val="00266F67"/>
    <w:rsid w:val="00267C69"/>
    <w:rsid w:val="00267D41"/>
    <w:rsid w:val="0027164D"/>
    <w:rsid w:val="0027249E"/>
    <w:rsid w:val="00274498"/>
    <w:rsid w:val="002747AF"/>
    <w:rsid w:val="0027572E"/>
    <w:rsid w:val="002764F4"/>
    <w:rsid w:val="0027767F"/>
    <w:rsid w:val="002779CB"/>
    <w:rsid w:val="0028475A"/>
    <w:rsid w:val="00287DE5"/>
    <w:rsid w:val="00290C16"/>
    <w:rsid w:val="002914F2"/>
    <w:rsid w:val="00292144"/>
    <w:rsid w:val="0029479C"/>
    <w:rsid w:val="00295133"/>
    <w:rsid w:val="00295A03"/>
    <w:rsid w:val="002964C8"/>
    <w:rsid w:val="00296D02"/>
    <w:rsid w:val="002A566E"/>
    <w:rsid w:val="002A6281"/>
    <w:rsid w:val="002A7FE6"/>
    <w:rsid w:val="002B198B"/>
    <w:rsid w:val="002B245A"/>
    <w:rsid w:val="002B2C0E"/>
    <w:rsid w:val="002B36D5"/>
    <w:rsid w:val="002B4619"/>
    <w:rsid w:val="002B52BC"/>
    <w:rsid w:val="002B6DB8"/>
    <w:rsid w:val="002C0FD7"/>
    <w:rsid w:val="002C7465"/>
    <w:rsid w:val="002D21E8"/>
    <w:rsid w:val="002D696F"/>
    <w:rsid w:val="002E0AD4"/>
    <w:rsid w:val="002E0F64"/>
    <w:rsid w:val="002E7024"/>
    <w:rsid w:val="002E7581"/>
    <w:rsid w:val="002F08AA"/>
    <w:rsid w:val="002F2F88"/>
    <w:rsid w:val="002F3B0D"/>
    <w:rsid w:val="002F47FD"/>
    <w:rsid w:val="002F48ED"/>
    <w:rsid w:val="002F71C8"/>
    <w:rsid w:val="00301470"/>
    <w:rsid w:val="003039BE"/>
    <w:rsid w:val="00304F2A"/>
    <w:rsid w:val="003057ED"/>
    <w:rsid w:val="003063A5"/>
    <w:rsid w:val="0030747D"/>
    <w:rsid w:val="003119B9"/>
    <w:rsid w:val="00312A11"/>
    <w:rsid w:val="003144B7"/>
    <w:rsid w:val="00314C35"/>
    <w:rsid w:val="003172C1"/>
    <w:rsid w:val="003173F3"/>
    <w:rsid w:val="003176C4"/>
    <w:rsid w:val="00320CB4"/>
    <w:rsid w:val="003213D8"/>
    <w:rsid w:val="0032286E"/>
    <w:rsid w:val="00327322"/>
    <w:rsid w:val="00327ABE"/>
    <w:rsid w:val="00330516"/>
    <w:rsid w:val="00331255"/>
    <w:rsid w:val="00333268"/>
    <w:rsid w:val="003337E5"/>
    <w:rsid w:val="003355C2"/>
    <w:rsid w:val="003418BF"/>
    <w:rsid w:val="00344216"/>
    <w:rsid w:val="00345A4E"/>
    <w:rsid w:val="00346EA0"/>
    <w:rsid w:val="00350413"/>
    <w:rsid w:val="00351A21"/>
    <w:rsid w:val="00351DE2"/>
    <w:rsid w:val="00351DE3"/>
    <w:rsid w:val="00351EF2"/>
    <w:rsid w:val="00352A96"/>
    <w:rsid w:val="0035374B"/>
    <w:rsid w:val="00354B88"/>
    <w:rsid w:val="00356667"/>
    <w:rsid w:val="003569E3"/>
    <w:rsid w:val="003572E2"/>
    <w:rsid w:val="003620C9"/>
    <w:rsid w:val="0036311C"/>
    <w:rsid w:val="00363EFF"/>
    <w:rsid w:val="00364572"/>
    <w:rsid w:val="003667A1"/>
    <w:rsid w:val="00370E42"/>
    <w:rsid w:val="00371394"/>
    <w:rsid w:val="00371D3E"/>
    <w:rsid w:val="003747A9"/>
    <w:rsid w:val="00375C9A"/>
    <w:rsid w:val="00382EAF"/>
    <w:rsid w:val="00383693"/>
    <w:rsid w:val="003838AD"/>
    <w:rsid w:val="00385C23"/>
    <w:rsid w:val="00387165"/>
    <w:rsid w:val="00387930"/>
    <w:rsid w:val="00387B37"/>
    <w:rsid w:val="00387B42"/>
    <w:rsid w:val="003905EF"/>
    <w:rsid w:val="00395734"/>
    <w:rsid w:val="003A1D03"/>
    <w:rsid w:val="003A375F"/>
    <w:rsid w:val="003A3FF0"/>
    <w:rsid w:val="003A4ED3"/>
    <w:rsid w:val="003A5C6A"/>
    <w:rsid w:val="003B31C7"/>
    <w:rsid w:val="003C1032"/>
    <w:rsid w:val="003C1A76"/>
    <w:rsid w:val="003C37D1"/>
    <w:rsid w:val="003C3CAD"/>
    <w:rsid w:val="003C4ABB"/>
    <w:rsid w:val="003C7C99"/>
    <w:rsid w:val="003D12E3"/>
    <w:rsid w:val="003D2EAC"/>
    <w:rsid w:val="003D6843"/>
    <w:rsid w:val="003D6C41"/>
    <w:rsid w:val="003E040F"/>
    <w:rsid w:val="003E0CBC"/>
    <w:rsid w:val="003E3AB9"/>
    <w:rsid w:val="003E3CFA"/>
    <w:rsid w:val="003E604C"/>
    <w:rsid w:val="003E65D9"/>
    <w:rsid w:val="003E727C"/>
    <w:rsid w:val="003F2E0D"/>
    <w:rsid w:val="004018A4"/>
    <w:rsid w:val="00402772"/>
    <w:rsid w:val="0040298F"/>
    <w:rsid w:val="00402FFF"/>
    <w:rsid w:val="00403E20"/>
    <w:rsid w:val="004107AC"/>
    <w:rsid w:val="00410B01"/>
    <w:rsid w:val="0041104C"/>
    <w:rsid w:val="0041271E"/>
    <w:rsid w:val="00413551"/>
    <w:rsid w:val="00416DE0"/>
    <w:rsid w:val="00417ED6"/>
    <w:rsid w:val="00421E9B"/>
    <w:rsid w:val="00423C8C"/>
    <w:rsid w:val="00425036"/>
    <w:rsid w:val="00427278"/>
    <w:rsid w:val="00430B1C"/>
    <w:rsid w:val="0043159F"/>
    <w:rsid w:val="00432832"/>
    <w:rsid w:val="00434BDC"/>
    <w:rsid w:val="00435BA2"/>
    <w:rsid w:val="004366EC"/>
    <w:rsid w:val="00440813"/>
    <w:rsid w:val="00443701"/>
    <w:rsid w:val="00444572"/>
    <w:rsid w:val="004466E9"/>
    <w:rsid w:val="00446F3E"/>
    <w:rsid w:val="004471F8"/>
    <w:rsid w:val="00447534"/>
    <w:rsid w:val="00447F15"/>
    <w:rsid w:val="00450E23"/>
    <w:rsid w:val="00451CD2"/>
    <w:rsid w:val="00451D96"/>
    <w:rsid w:val="00453F70"/>
    <w:rsid w:val="00455FD5"/>
    <w:rsid w:val="00456EB9"/>
    <w:rsid w:val="00460CAD"/>
    <w:rsid w:val="00464066"/>
    <w:rsid w:val="004660BC"/>
    <w:rsid w:val="00471718"/>
    <w:rsid w:val="00471CEB"/>
    <w:rsid w:val="004723BF"/>
    <w:rsid w:val="00477558"/>
    <w:rsid w:val="00481380"/>
    <w:rsid w:val="00482919"/>
    <w:rsid w:val="0048308A"/>
    <w:rsid w:val="00485878"/>
    <w:rsid w:val="00485AE4"/>
    <w:rsid w:val="00485E2A"/>
    <w:rsid w:val="00492C2F"/>
    <w:rsid w:val="004950C2"/>
    <w:rsid w:val="00496CB5"/>
    <w:rsid w:val="004A0097"/>
    <w:rsid w:val="004A0EDA"/>
    <w:rsid w:val="004A23FF"/>
    <w:rsid w:val="004A2F62"/>
    <w:rsid w:val="004A3D3D"/>
    <w:rsid w:val="004A5965"/>
    <w:rsid w:val="004A64AF"/>
    <w:rsid w:val="004A718A"/>
    <w:rsid w:val="004B030F"/>
    <w:rsid w:val="004B0D7E"/>
    <w:rsid w:val="004B22DE"/>
    <w:rsid w:val="004B295F"/>
    <w:rsid w:val="004B4F62"/>
    <w:rsid w:val="004B7523"/>
    <w:rsid w:val="004C0019"/>
    <w:rsid w:val="004C1DE4"/>
    <w:rsid w:val="004C356D"/>
    <w:rsid w:val="004C414A"/>
    <w:rsid w:val="004C582E"/>
    <w:rsid w:val="004C7F4B"/>
    <w:rsid w:val="004D10D8"/>
    <w:rsid w:val="004D2B6D"/>
    <w:rsid w:val="004D3D70"/>
    <w:rsid w:val="004D40B5"/>
    <w:rsid w:val="004D41B7"/>
    <w:rsid w:val="004D4D80"/>
    <w:rsid w:val="004E02E9"/>
    <w:rsid w:val="004E4AAE"/>
    <w:rsid w:val="004E6267"/>
    <w:rsid w:val="004E6EA5"/>
    <w:rsid w:val="004F202C"/>
    <w:rsid w:val="004F3383"/>
    <w:rsid w:val="004F47A1"/>
    <w:rsid w:val="004F5EA4"/>
    <w:rsid w:val="004F67B9"/>
    <w:rsid w:val="004F71AA"/>
    <w:rsid w:val="00501D71"/>
    <w:rsid w:val="005031A3"/>
    <w:rsid w:val="005046B7"/>
    <w:rsid w:val="00504B18"/>
    <w:rsid w:val="00504C8D"/>
    <w:rsid w:val="00504CD6"/>
    <w:rsid w:val="005064AC"/>
    <w:rsid w:val="005117EA"/>
    <w:rsid w:val="00511877"/>
    <w:rsid w:val="00522225"/>
    <w:rsid w:val="005231EC"/>
    <w:rsid w:val="00524C59"/>
    <w:rsid w:val="00525F86"/>
    <w:rsid w:val="005261EF"/>
    <w:rsid w:val="005277D3"/>
    <w:rsid w:val="00527D33"/>
    <w:rsid w:val="00533365"/>
    <w:rsid w:val="0053425C"/>
    <w:rsid w:val="005357CD"/>
    <w:rsid w:val="005359BA"/>
    <w:rsid w:val="00540DC8"/>
    <w:rsid w:val="005428ED"/>
    <w:rsid w:val="00542DAE"/>
    <w:rsid w:val="005443AA"/>
    <w:rsid w:val="00545F87"/>
    <w:rsid w:val="00546B2F"/>
    <w:rsid w:val="00550601"/>
    <w:rsid w:val="00551613"/>
    <w:rsid w:val="00551C92"/>
    <w:rsid w:val="00554D73"/>
    <w:rsid w:val="00555D1C"/>
    <w:rsid w:val="0055660F"/>
    <w:rsid w:val="005579FF"/>
    <w:rsid w:val="00560A7D"/>
    <w:rsid w:val="00560E40"/>
    <w:rsid w:val="005610E3"/>
    <w:rsid w:val="00561E11"/>
    <w:rsid w:val="00564CE2"/>
    <w:rsid w:val="00566787"/>
    <w:rsid w:val="0057069D"/>
    <w:rsid w:val="00571F14"/>
    <w:rsid w:val="00571FEB"/>
    <w:rsid w:val="00573D74"/>
    <w:rsid w:val="00575696"/>
    <w:rsid w:val="00575B7F"/>
    <w:rsid w:val="00580748"/>
    <w:rsid w:val="00580814"/>
    <w:rsid w:val="005814E3"/>
    <w:rsid w:val="00581667"/>
    <w:rsid w:val="00581FBE"/>
    <w:rsid w:val="005839E1"/>
    <w:rsid w:val="00583B55"/>
    <w:rsid w:val="00583E3A"/>
    <w:rsid w:val="00584524"/>
    <w:rsid w:val="005851EF"/>
    <w:rsid w:val="00586E29"/>
    <w:rsid w:val="00591480"/>
    <w:rsid w:val="00591D82"/>
    <w:rsid w:val="005945AD"/>
    <w:rsid w:val="005953CC"/>
    <w:rsid w:val="005955CF"/>
    <w:rsid w:val="00597332"/>
    <w:rsid w:val="005A21D5"/>
    <w:rsid w:val="005A3680"/>
    <w:rsid w:val="005A3AE0"/>
    <w:rsid w:val="005A4A79"/>
    <w:rsid w:val="005B18A3"/>
    <w:rsid w:val="005B2116"/>
    <w:rsid w:val="005B4290"/>
    <w:rsid w:val="005B5933"/>
    <w:rsid w:val="005B5E0B"/>
    <w:rsid w:val="005B650F"/>
    <w:rsid w:val="005B6952"/>
    <w:rsid w:val="005B70C8"/>
    <w:rsid w:val="005C2325"/>
    <w:rsid w:val="005C3216"/>
    <w:rsid w:val="005C329C"/>
    <w:rsid w:val="005C3D00"/>
    <w:rsid w:val="005C3D34"/>
    <w:rsid w:val="005C444C"/>
    <w:rsid w:val="005C6341"/>
    <w:rsid w:val="005C7D67"/>
    <w:rsid w:val="005D12B2"/>
    <w:rsid w:val="005D1F10"/>
    <w:rsid w:val="005D28D8"/>
    <w:rsid w:val="005D3B58"/>
    <w:rsid w:val="005D48FC"/>
    <w:rsid w:val="005D495B"/>
    <w:rsid w:val="005E4182"/>
    <w:rsid w:val="005E6506"/>
    <w:rsid w:val="005E786C"/>
    <w:rsid w:val="005F239D"/>
    <w:rsid w:val="005F5334"/>
    <w:rsid w:val="005F6C33"/>
    <w:rsid w:val="006016B9"/>
    <w:rsid w:val="00603E8E"/>
    <w:rsid w:val="00604752"/>
    <w:rsid w:val="006073E9"/>
    <w:rsid w:val="00607B99"/>
    <w:rsid w:val="006116A2"/>
    <w:rsid w:val="00613F31"/>
    <w:rsid w:val="00614446"/>
    <w:rsid w:val="006170B7"/>
    <w:rsid w:val="00620928"/>
    <w:rsid w:val="00620938"/>
    <w:rsid w:val="0062129B"/>
    <w:rsid w:val="00621531"/>
    <w:rsid w:val="00623F3E"/>
    <w:rsid w:val="00625D3A"/>
    <w:rsid w:val="00625ECE"/>
    <w:rsid w:val="00630DBB"/>
    <w:rsid w:val="00633E37"/>
    <w:rsid w:val="0063728C"/>
    <w:rsid w:val="006408AE"/>
    <w:rsid w:val="00641215"/>
    <w:rsid w:val="00641CD0"/>
    <w:rsid w:val="0064220F"/>
    <w:rsid w:val="00642378"/>
    <w:rsid w:val="00642D22"/>
    <w:rsid w:val="00642DF7"/>
    <w:rsid w:val="00643516"/>
    <w:rsid w:val="006445C9"/>
    <w:rsid w:val="00645246"/>
    <w:rsid w:val="00652091"/>
    <w:rsid w:val="00653CF6"/>
    <w:rsid w:val="00653F3F"/>
    <w:rsid w:val="00655705"/>
    <w:rsid w:val="0066005E"/>
    <w:rsid w:val="00661409"/>
    <w:rsid w:val="00662EB6"/>
    <w:rsid w:val="00666DF0"/>
    <w:rsid w:val="006701F2"/>
    <w:rsid w:val="00670A60"/>
    <w:rsid w:val="006724FF"/>
    <w:rsid w:val="00674274"/>
    <w:rsid w:val="0067528E"/>
    <w:rsid w:val="00682168"/>
    <w:rsid w:val="0068271F"/>
    <w:rsid w:val="00685823"/>
    <w:rsid w:val="00687A9E"/>
    <w:rsid w:val="0069002D"/>
    <w:rsid w:val="006908BC"/>
    <w:rsid w:val="00694F98"/>
    <w:rsid w:val="00695463"/>
    <w:rsid w:val="00696743"/>
    <w:rsid w:val="006A001E"/>
    <w:rsid w:val="006A05A5"/>
    <w:rsid w:val="006A4F0F"/>
    <w:rsid w:val="006A5209"/>
    <w:rsid w:val="006A54B9"/>
    <w:rsid w:val="006B091C"/>
    <w:rsid w:val="006B2272"/>
    <w:rsid w:val="006B2626"/>
    <w:rsid w:val="006B2C6C"/>
    <w:rsid w:val="006B6EE7"/>
    <w:rsid w:val="006B7160"/>
    <w:rsid w:val="006B7E96"/>
    <w:rsid w:val="006C0743"/>
    <w:rsid w:val="006C0978"/>
    <w:rsid w:val="006C6115"/>
    <w:rsid w:val="006C63F7"/>
    <w:rsid w:val="006C66B7"/>
    <w:rsid w:val="006D026D"/>
    <w:rsid w:val="006D1164"/>
    <w:rsid w:val="006D29F5"/>
    <w:rsid w:val="006D5469"/>
    <w:rsid w:val="006D5592"/>
    <w:rsid w:val="006D6581"/>
    <w:rsid w:val="006D70AE"/>
    <w:rsid w:val="006D78D5"/>
    <w:rsid w:val="006E71B3"/>
    <w:rsid w:val="006F0975"/>
    <w:rsid w:val="006F3B8D"/>
    <w:rsid w:val="006F3FD9"/>
    <w:rsid w:val="006F4908"/>
    <w:rsid w:val="006F6144"/>
    <w:rsid w:val="00700A6E"/>
    <w:rsid w:val="00701933"/>
    <w:rsid w:val="00705168"/>
    <w:rsid w:val="00707CBD"/>
    <w:rsid w:val="00707CDB"/>
    <w:rsid w:val="00710538"/>
    <w:rsid w:val="00711DCC"/>
    <w:rsid w:val="00712201"/>
    <w:rsid w:val="0071478E"/>
    <w:rsid w:val="0071481E"/>
    <w:rsid w:val="00714C95"/>
    <w:rsid w:val="00714DB4"/>
    <w:rsid w:val="007150B1"/>
    <w:rsid w:val="0071655A"/>
    <w:rsid w:val="00720051"/>
    <w:rsid w:val="0072112F"/>
    <w:rsid w:val="007212E3"/>
    <w:rsid w:val="0072624D"/>
    <w:rsid w:val="0073025A"/>
    <w:rsid w:val="00730B7F"/>
    <w:rsid w:val="00731A17"/>
    <w:rsid w:val="00732F50"/>
    <w:rsid w:val="00734A25"/>
    <w:rsid w:val="00735F12"/>
    <w:rsid w:val="00736BE9"/>
    <w:rsid w:val="00742B73"/>
    <w:rsid w:val="00742C49"/>
    <w:rsid w:val="007457DC"/>
    <w:rsid w:val="00745FB0"/>
    <w:rsid w:val="00747EB3"/>
    <w:rsid w:val="00750212"/>
    <w:rsid w:val="00750B8A"/>
    <w:rsid w:val="0075198C"/>
    <w:rsid w:val="007543BC"/>
    <w:rsid w:val="00754B12"/>
    <w:rsid w:val="0076004E"/>
    <w:rsid w:val="0076119B"/>
    <w:rsid w:val="0076338B"/>
    <w:rsid w:val="00765C49"/>
    <w:rsid w:val="007746D0"/>
    <w:rsid w:val="00775EA3"/>
    <w:rsid w:val="00776924"/>
    <w:rsid w:val="00777359"/>
    <w:rsid w:val="00780194"/>
    <w:rsid w:val="00781B05"/>
    <w:rsid w:val="00783959"/>
    <w:rsid w:val="007840CE"/>
    <w:rsid w:val="007846EF"/>
    <w:rsid w:val="00785B67"/>
    <w:rsid w:val="007866EA"/>
    <w:rsid w:val="00787341"/>
    <w:rsid w:val="00787B79"/>
    <w:rsid w:val="007917DD"/>
    <w:rsid w:val="00793DA7"/>
    <w:rsid w:val="007960F5"/>
    <w:rsid w:val="007A14F2"/>
    <w:rsid w:val="007B20D3"/>
    <w:rsid w:val="007B2C4C"/>
    <w:rsid w:val="007B432D"/>
    <w:rsid w:val="007B5995"/>
    <w:rsid w:val="007B784C"/>
    <w:rsid w:val="007C0630"/>
    <w:rsid w:val="007C0ED9"/>
    <w:rsid w:val="007C385A"/>
    <w:rsid w:val="007C4592"/>
    <w:rsid w:val="007C4EBB"/>
    <w:rsid w:val="007C7071"/>
    <w:rsid w:val="007C7931"/>
    <w:rsid w:val="007D03EB"/>
    <w:rsid w:val="007D0F26"/>
    <w:rsid w:val="007D33DA"/>
    <w:rsid w:val="007D5781"/>
    <w:rsid w:val="007D64EC"/>
    <w:rsid w:val="007D64ED"/>
    <w:rsid w:val="007E112A"/>
    <w:rsid w:val="007E3BD0"/>
    <w:rsid w:val="007E3E64"/>
    <w:rsid w:val="007E60F1"/>
    <w:rsid w:val="007F03CD"/>
    <w:rsid w:val="007F54D9"/>
    <w:rsid w:val="007F5AFB"/>
    <w:rsid w:val="007F61FF"/>
    <w:rsid w:val="00800787"/>
    <w:rsid w:val="0080079E"/>
    <w:rsid w:val="00801C91"/>
    <w:rsid w:val="0080421E"/>
    <w:rsid w:val="00804B71"/>
    <w:rsid w:val="00805997"/>
    <w:rsid w:val="008067B1"/>
    <w:rsid w:val="00806EAC"/>
    <w:rsid w:val="008072E7"/>
    <w:rsid w:val="00807E34"/>
    <w:rsid w:val="0081484A"/>
    <w:rsid w:val="00817A5C"/>
    <w:rsid w:val="00820DC4"/>
    <w:rsid w:val="0082290F"/>
    <w:rsid w:val="00826681"/>
    <w:rsid w:val="00830200"/>
    <w:rsid w:val="0083186B"/>
    <w:rsid w:val="00831F26"/>
    <w:rsid w:val="00832B4F"/>
    <w:rsid w:val="00834D2F"/>
    <w:rsid w:val="00835131"/>
    <w:rsid w:val="0083641E"/>
    <w:rsid w:val="008450FE"/>
    <w:rsid w:val="00855326"/>
    <w:rsid w:val="00856627"/>
    <w:rsid w:val="00856D6D"/>
    <w:rsid w:val="00860A7F"/>
    <w:rsid w:val="00864317"/>
    <w:rsid w:val="00872189"/>
    <w:rsid w:val="00875B7C"/>
    <w:rsid w:val="00877292"/>
    <w:rsid w:val="0088558F"/>
    <w:rsid w:val="00885E7B"/>
    <w:rsid w:val="00891558"/>
    <w:rsid w:val="00893348"/>
    <w:rsid w:val="00894885"/>
    <w:rsid w:val="00895758"/>
    <w:rsid w:val="008A2064"/>
    <w:rsid w:val="008A2FD4"/>
    <w:rsid w:val="008A3073"/>
    <w:rsid w:val="008A3A19"/>
    <w:rsid w:val="008A4435"/>
    <w:rsid w:val="008A6975"/>
    <w:rsid w:val="008A7320"/>
    <w:rsid w:val="008B0405"/>
    <w:rsid w:val="008B0DBF"/>
    <w:rsid w:val="008B1503"/>
    <w:rsid w:val="008B2723"/>
    <w:rsid w:val="008B27E2"/>
    <w:rsid w:val="008B505B"/>
    <w:rsid w:val="008B54EA"/>
    <w:rsid w:val="008B7C4F"/>
    <w:rsid w:val="008C0AA1"/>
    <w:rsid w:val="008C0D59"/>
    <w:rsid w:val="008C0EF0"/>
    <w:rsid w:val="008C1725"/>
    <w:rsid w:val="008C1AC1"/>
    <w:rsid w:val="008C25FD"/>
    <w:rsid w:val="008C625B"/>
    <w:rsid w:val="008C6A3C"/>
    <w:rsid w:val="008C764E"/>
    <w:rsid w:val="008D013A"/>
    <w:rsid w:val="008D1A6D"/>
    <w:rsid w:val="008D2ED8"/>
    <w:rsid w:val="008D4B0C"/>
    <w:rsid w:val="008D693D"/>
    <w:rsid w:val="008D71C0"/>
    <w:rsid w:val="008D748B"/>
    <w:rsid w:val="008D7502"/>
    <w:rsid w:val="008E2D64"/>
    <w:rsid w:val="008E453F"/>
    <w:rsid w:val="008E45D0"/>
    <w:rsid w:val="008E6954"/>
    <w:rsid w:val="008E7EB0"/>
    <w:rsid w:val="008F0098"/>
    <w:rsid w:val="008F0BE4"/>
    <w:rsid w:val="008F29AE"/>
    <w:rsid w:val="008F2E3D"/>
    <w:rsid w:val="008F5029"/>
    <w:rsid w:val="008F531B"/>
    <w:rsid w:val="00900713"/>
    <w:rsid w:val="00903B51"/>
    <w:rsid w:val="00910927"/>
    <w:rsid w:val="00910E7B"/>
    <w:rsid w:val="0091257C"/>
    <w:rsid w:val="00920C87"/>
    <w:rsid w:val="009210BB"/>
    <w:rsid w:val="0092257E"/>
    <w:rsid w:val="0092479D"/>
    <w:rsid w:val="00925DEF"/>
    <w:rsid w:val="0093055C"/>
    <w:rsid w:val="00931BBE"/>
    <w:rsid w:val="00932ACC"/>
    <w:rsid w:val="009337EF"/>
    <w:rsid w:val="00933A70"/>
    <w:rsid w:val="00935A88"/>
    <w:rsid w:val="009375E8"/>
    <w:rsid w:val="00942F68"/>
    <w:rsid w:val="009441FE"/>
    <w:rsid w:val="00944977"/>
    <w:rsid w:val="00945BBA"/>
    <w:rsid w:val="00945DEA"/>
    <w:rsid w:val="00947D05"/>
    <w:rsid w:val="009518EB"/>
    <w:rsid w:val="00953FA6"/>
    <w:rsid w:val="009544F4"/>
    <w:rsid w:val="00954F8F"/>
    <w:rsid w:val="00956054"/>
    <w:rsid w:val="00960A43"/>
    <w:rsid w:val="00963E41"/>
    <w:rsid w:val="00964471"/>
    <w:rsid w:val="00964CD0"/>
    <w:rsid w:val="0096662B"/>
    <w:rsid w:val="00966F53"/>
    <w:rsid w:val="00975BD3"/>
    <w:rsid w:val="00975C4C"/>
    <w:rsid w:val="009814FC"/>
    <w:rsid w:val="00982481"/>
    <w:rsid w:val="009930D8"/>
    <w:rsid w:val="00997027"/>
    <w:rsid w:val="009A165A"/>
    <w:rsid w:val="009A26A3"/>
    <w:rsid w:val="009A2945"/>
    <w:rsid w:val="009A3A46"/>
    <w:rsid w:val="009A4EB1"/>
    <w:rsid w:val="009A5429"/>
    <w:rsid w:val="009A7918"/>
    <w:rsid w:val="009B34F0"/>
    <w:rsid w:val="009B4A88"/>
    <w:rsid w:val="009B575C"/>
    <w:rsid w:val="009B70EA"/>
    <w:rsid w:val="009B727A"/>
    <w:rsid w:val="009C0C09"/>
    <w:rsid w:val="009C3AB3"/>
    <w:rsid w:val="009C68FE"/>
    <w:rsid w:val="009D21F4"/>
    <w:rsid w:val="009D3AE7"/>
    <w:rsid w:val="009E3666"/>
    <w:rsid w:val="009E5B18"/>
    <w:rsid w:val="009E6F49"/>
    <w:rsid w:val="009F2F77"/>
    <w:rsid w:val="009F3E45"/>
    <w:rsid w:val="00A00256"/>
    <w:rsid w:val="00A02773"/>
    <w:rsid w:val="00A02B13"/>
    <w:rsid w:val="00A04B22"/>
    <w:rsid w:val="00A061F4"/>
    <w:rsid w:val="00A0793F"/>
    <w:rsid w:val="00A11795"/>
    <w:rsid w:val="00A118E3"/>
    <w:rsid w:val="00A11FD1"/>
    <w:rsid w:val="00A127E8"/>
    <w:rsid w:val="00A12CD4"/>
    <w:rsid w:val="00A14FB8"/>
    <w:rsid w:val="00A1542A"/>
    <w:rsid w:val="00A155F9"/>
    <w:rsid w:val="00A17D80"/>
    <w:rsid w:val="00A2171C"/>
    <w:rsid w:val="00A22153"/>
    <w:rsid w:val="00A25FB6"/>
    <w:rsid w:val="00A30C0B"/>
    <w:rsid w:val="00A368C9"/>
    <w:rsid w:val="00A40006"/>
    <w:rsid w:val="00A4179A"/>
    <w:rsid w:val="00A422B8"/>
    <w:rsid w:val="00A43413"/>
    <w:rsid w:val="00A44688"/>
    <w:rsid w:val="00A45C61"/>
    <w:rsid w:val="00A51CC9"/>
    <w:rsid w:val="00A52C9E"/>
    <w:rsid w:val="00A537F1"/>
    <w:rsid w:val="00A56DBD"/>
    <w:rsid w:val="00A57D9E"/>
    <w:rsid w:val="00A604CE"/>
    <w:rsid w:val="00A62AED"/>
    <w:rsid w:val="00A644DE"/>
    <w:rsid w:val="00A646F1"/>
    <w:rsid w:val="00A66CB3"/>
    <w:rsid w:val="00A71D30"/>
    <w:rsid w:val="00A730CB"/>
    <w:rsid w:val="00A742DE"/>
    <w:rsid w:val="00A74764"/>
    <w:rsid w:val="00A74BD5"/>
    <w:rsid w:val="00A75BA6"/>
    <w:rsid w:val="00A764A1"/>
    <w:rsid w:val="00A76F90"/>
    <w:rsid w:val="00A775C0"/>
    <w:rsid w:val="00A77769"/>
    <w:rsid w:val="00A8083D"/>
    <w:rsid w:val="00A82E30"/>
    <w:rsid w:val="00A834E0"/>
    <w:rsid w:val="00A853A8"/>
    <w:rsid w:val="00A86463"/>
    <w:rsid w:val="00A86917"/>
    <w:rsid w:val="00A87F32"/>
    <w:rsid w:val="00A9124C"/>
    <w:rsid w:val="00A92EC1"/>
    <w:rsid w:val="00A937C4"/>
    <w:rsid w:val="00A94B98"/>
    <w:rsid w:val="00A9514B"/>
    <w:rsid w:val="00A95C95"/>
    <w:rsid w:val="00AA5876"/>
    <w:rsid w:val="00AA5CAE"/>
    <w:rsid w:val="00AA61C0"/>
    <w:rsid w:val="00AA68B4"/>
    <w:rsid w:val="00AB0327"/>
    <w:rsid w:val="00AB34AE"/>
    <w:rsid w:val="00AC1EB0"/>
    <w:rsid w:val="00AC3190"/>
    <w:rsid w:val="00AC33D7"/>
    <w:rsid w:val="00AC3C34"/>
    <w:rsid w:val="00AC3E64"/>
    <w:rsid w:val="00AC6385"/>
    <w:rsid w:val="00AC6BE0"/>
    <w:rsid w:val="00AC7A12"/>
    <w:rsid w:val="00AD24F9"/>
    <w:rsid w:val="00AD2DBD"/>
    <w:rsid w:val="00AD32B1"/>
    <w:rsid w:val="00AD4F5A"/>
    <w:rsid w:val="00AE1A6F"/>
    <w:rsid w:val="00AE51B3"/>
    <w:rsid w:val="00AF418B"/>
    <w:rsid w:val="00AF4A41"/>
    <w:rsid w:val="00AF4B3A"/>
    <w:rsid w:val="00AF5241"/>
    <w:rsid w:val="00AF69FC"/>
    <w:rsid w:val="00B025B6"/>
    <w:rsid w:val="00B02718"/>
    <w:rsid w:val="00B027D1"/>
    <w:rsid w:val="00B058FC"/>
    <w:rsid w:val="00B10C7A"/>
    <w:rsid w:val="00B10D08"/>
    <w:rsid w:val="00B114EE"/>
    <w:rsid w:val="00B12B90"/>
    <w:rsid w:val="00B1512A"/>
    <w:rsid w:val="00B15B86"/>
    <w:rsid w:val="00B17526"/>
    <w:rsid w:val="00B200AD"/>
    <w:rsid w:val="00B20292"/>
    <w:rsid w:val="00B20491"/>
    <w:rsid w:val="00B23207"/>
    <w:rsid w:val="00B24018"/>
    <w:rsid w:val="00B24F16"/>
    <w:rsid w:val="00B26E5F"/>
    <w:rsid w:val="00B32722"/>
    <w:rsid w:val="00B3309D"/>
    <w:rsid w:val="00B36BAC"/>
    <w:rsid w:val="00B37957"/>
    <w:rsid w:val="00B416AA"/>
    <w:rsid w:val="00B41B7D"/>
    <w:rsid w:val="00B41EDC"/>
    <w:rsid w:val="00B43ACA"/>
    <w:rsid w:val="00B443A5"/>
    <w:rsid w:val="00B44B6A"/>
    <w:rsid w:val="00B47B63"/>
    <w:rsid w:val="00B51159"/>
    <w:rsid w:val="00B54D39"/>
    <w:rsid w:val="00B5518F"/>
    <w:rsid w:val="00B557AA"/>
    <w:rsid w:val="00B55A5E"/>
    <w:rsid w:val="00B605A5"/>
    <w:rsid w:val="00B607C2"/>
    <w:rsid w:val="00B6175C"/>
    <w:rsid w:val="00B66F8B"/>
    <w:rsid w:val="00B671AD"/>
    <w:rsid w:val="00B6737F"/>
    <w:rsid w:val="00B679E6"/>
    <w:rsid w:val="00B709D4"/>
    <w:rsid w:val="00B711AC"/>
    <w:rsid w:val="00B71AE2"/>
    <w:rsid w:val="00B7211E"/>
    <w:rsid w:val="00B741EF"/>
    <w:rsid w:val="00B7672E"/>
    <w:rsid w:val="00B8023E"/>
    <w:rsid w:val="00B81A75"/>
    <w:rsid w:val="00B82C06"/>
    <w:rsid w:val="00B83EC7"/>
    <w:rsid w:val="00B84660"/>
    <w:rsid w:val="00B8697C"/>
    <w:rsid w:val="00B90587"/>
    <w:rsid w:val="00B920A1"/>
    <w:rsid w:val="00B95C51"/>
    <w:rsid w:val="00B96063"/>
    <w:rsid w:val="00B96496"/>
    <w:rsid w:val="00BA097E"/>
    <w:rsid w:val="00BA126C"/>
    <w:rsid w:val="00BA244C"/>
    <w:rsid w:val="00BA3772"/>
    <w:rsid w:val="00BA466B"/>
    <w:rsid w:val="00BA64C1"/>
    <w:rsid w:val="00BA6B2D"/>
    <w:rsid w:val="00BA763A"/>
    <w:rsid w:val="00BB3CC3"/>
    <w:rsid w:val="00BB485D"/>
    <w:rsid w:val="00BB5FCE"/>
    <w:rsid w:val="00BC29FD"/>
    <w:rsid w:val="00BC4643"/>
    <w:rsid w:val="00BD0277"/>
    <w:rsid w:val="00BD4FC7"/>
    <w:rsid w:val="00BD5D6A"/>
    <w:rsid w:val="00BD5F16"/>
    <w:rsid w:val="00BD70D1"/>
    <w:rsid w:val="00BD71E4"/>
    <w:rsid w:val="00BD7643"/>
    <w:rsid w:val="00BE5002"/>
    <w:rsid w:val="00BE5B63"/>
    <w:rsid w:val="00BE617D"/>
    <w:rsid w:val="00BE7D09"/>
    <w:rsid w:val="00BF034F"/>
    <w:rsid w:val="00BF14A4"/>
    <w:rsid w:val="00BF1CFC"/>
    <w:rsid w:val="00BF1D3E"/>
    <w:rsid w:val="00BF2DEB"/>
    <w:rsid w:val="00BF56B1"/>
    <w:rsid w:val="00BF686B"/>
    <w:rsid w:val="00C033AE"/>
    <w:rsid w:val="00C03766"/>
    <w:rsid w:val="00C047E1"/>
    <w:rsid w:val="00C061E4"/>
    <w:rsid w:val="00C075FF"/>
    <w:rsid w:val="00C07985"/>
    <w:rsid w:val="00C07DAF"/>
    <w:rsid w:val="00C07F53"/>
    <w:rsid w:val="00C10B93"/>
    <w:rsid w:val="00C21B1E"/>
    <w:rsid w:val="00C2235D"/>
    <w:rsid w:val="00C22A6D"/>
    <w:rsid w:val="00C22BD2"/>
    <w:rsid w:val="00C25713"/>
    <w:rsid w:val="00C26A2D"/>
    <w:rsid w:val="00C2730B"/>
    <w:rsid w:val="00C3147A"/>
    <w:rsid w:val="00C33E0E"/>
    <w:rsid w:val="00C3470B"/>
    <w:rsid w:val="00C35AD9"/>
    <w:rsid w:val="00C3660B"/>
    <w:rsid w:val="00C36E94"/>
    <w:rsid w:val="00C372A6"/>
    <w:rsid w:val="00C372AB"/>
    <w:rsid w:val="00C40A6E"/>
    <w:rsid w:val="00C40F67"/>
    <w:rsid w:val="00C44636"/>
    <w:rsid w:val="00C51CBE"/>
    <w:rsid w:val="00C52573"/>
    <w:rsid w:val="00C53AEE"/>
    <w:rsid w:val="00C562F5"/>
    <w:rsid w:val="00C572E0"/>
    <w:rsid w:val="00C57303"/>
    <w:rsid w:val="00C57648"/>
    <w:rsid w:val="00C61D30"/>
    <w:rsid w:val="00C63285"/>
    <w:rsid w:val="00C6331F"/>
    <w:rsid w:val="00C64702"/>
    <w:rsid w:val="00C64CF2"/>
    <w:rsid w:val="00C656B1"/>
    <w:rsid w:val="00C659D1"/>
    <w:rsid w:val="00C65EF6"/>
    <w:rsid w:val="00C72E38"/>
    <w:rsid w:val="00C7360C"/>
    <w:rsid w:val="00C74048"/>
    <w:rsid w:val="00C760CB"/>
    <w:rsid w:val="00C77ABB"/>
    <w:rsid w:val="00C86257"/>
    <w:rsid w:val="00C879BE"/>
    <w:rsid w:val="00C908F5"/>
    <w:rsid w:val="00C934CE"/>
    <w:rsid w:val="00C93707"/>
    <w:rsid w:val="00C945E6"/>
    <w:rsid w:val="00C9497C"/>
    <w:rsid w:val="00C94C7B"/>
    <w:rsid w:val="00C9565B"/>
    <w:rsid w:val="00C9589B"/>
    <w:rsid w:val="00C96EE7"/>
    <w:rsid w:val="00CA0FC8"/>
    <w:rsid w:val="00CA18A3"/>
    <w:rsid w:val="00CA236E"/>
    <w:rsid w:val="00CA4A02"/>
    <w:rsid w:val="00CB2342"/>
    <w:rsid w:val="00CB43BB"/>
    <w:rsid w:val="00CB512D"/>
    <w:rsid w:val="00CB5F39"/>
    <w:rsid w:val="00CB5F66"/>
    <w:rsid w:val="00CC01DB"/>
    <w:rsid w:val="00CC10B7"/>
    <w:rsid w:val="00CC2844"/>
    <w:rsid w:val="00CC2AB5"/>
    <w:rsid w:val="00CC360A"/>
    <w:rsid w:val="00CC3A04"/>
    <w:rsid w:val="00CD00DE"/>
    <w:rsid w:val="00CD643E"/>
    <w:rsid w:val="00CD6AA0"/>
    <w:rsid w:val="00CE05B3"/>
    <w:rsid w:val="00CE19F5"/>
    <w:rsid w:val="00CE259C"/>
    <w:rsid w:val="00CE2657"/>
    <w:rsid w:val="00CE43E4"/>
    <w:rsid w:val="00CE704D"/>
    <w:rsid w:val="00CE7AA9"/>
    <w:rsid w:val="00CF102A"/>
    <w:rsid w:val="00CF31A1"/>
    <w:rsid w:val="00CF466A"/>
    <w:rsid w:val="00D00133"/>
    <w:rsid w:val="00D00506"/>
    <w:rsid w:val="00D03C91"/>
    <w:rsid w:val="00D05C45"/>
    <w:rsid w:val="00D06B45"/>
    <w:rsid w:val="00D07184"/>
    <w:rsid w:val="00D07EB1"/>
    <w:rsid w:val="00D11693"/>
    <w:rsid w:val="00D11AE8"/>
    <w:rsid w:val="00D147AE"/>
    <w:rsid w:val="00D20C3A"/>
    <w:rsid w:val="00D2224B"/>
    <w:rsid w:val="00D3372B"/>
    <w:rsid w:val="00D33EF9"/>
    <w:rsid w:val="00D34C2C"/>
    <w:rsid w:val="00D352E5"/>
    <w:rsid w:val="00D361A0"/>
    <w:rsid w:val="00D3679B"/>
    <w:rsid w:val="00D36828"/>
    <w:rsid w:val="00D40CCA"/>
    <w:rsid w:val="00D419D5"/>
    <w:rsid w:val="00D41CD7"/>
    <w:rsid w:val="00D435A6"/>
    <w:rsid w:val="00D435FD"/>
    <w:rsid w:val="00D4373E"/>
    <w:rsid w:val="00D4585C"/>
    <w:rsid w:val="00D45AE2"/>
    <w:rsid w:val="00D46647"/>
    <w:rsid w:val="00D46C7D"/>
    <w:rsid w:val="00D51838"/>
    <w:rsid w:val="00D52F55"/>
    <w:rsid w:val="00D568A9"/>
    <w:rsid w:val="00D604D6"/>
    <w:rsid w:val="00D61CFF"/>
    <w:rsid w:val="00D63CB2"/>
    <w:rsid w:val="00D70BA7"/>
    <w:rsid w:val="00D72301"/>
    <w:rsid w:val="00D7533E"/>
    <w:rsid w:val="00D75A2B"/>
    <w:rsid w:val="00D75BF4"/>
    <w:rsid w:val="00D75C8E"/>
    <w:rsid w:val="00D80AB3"/>
    <w:rsid w:val="00D81DB4"/>
    <w:rsid w:val="00D829B2"/>
    <w:rsid w:val="00D83D36"/>
    <w:rsid w:val="00D84364"/>
    <w:rsid w:val="00D87004"/>
    <w:rsid w:val="00D870CD"/>
    <w:rsid w:val="00D912EF"/>
    <w:rsid w:val="00D93CA4"/>
    <w:rsid w:val="00D96D29"/>
    <w:rsid w:val="00D96FCD"/>
    <w:rsid w:val="00D97378"/>
    <w:rsid w:val="00DA2F37"/>
    <w:rsid w:val="00DA364E"/>
    <w:rsid w:val="00DA6A9E"/>
    <w:rsid w:val="00DA7969"/>
    <w:rsid w:val="00DB0414"/>
    <w:rsid w:val="00DB1601"/>
    <w:rsid w:val="00DB2E20"/>
    <w:rsid w:val="00DB3BD6"/>
    <w:rsid w:val="00DB3CA1"/>
    <w:rsid w:val="00DB4C41"/>
    <w:rsid w:val="00DB7D73"/>
    <w:rsid w:val="00DC0992"/>
    <w:rsid w:val="00DC2B07"/>
    <w:rsid w:val="00DC47AE"/>
    <w:rsid w:val="00DC5F0E"/>
    <w:rsid w:val="00DC7145"/>
    <w:rsid w:val="00DD3C0D"/>
    <w:rsid w:val="00DD3FBD"/>
    <w:rsid w:val="00DD6510"/>
    <w:rsid w:val="00DD658D"/>
    <w:rsid w:val="00DD6947"/>
    <w:rsid w:val="00DE03B3"/>
    <w:rsid w:val="00DE09CC"/>
    <w:rsid w:val="00DE106D"/>
    <w:rsid w:val="00DE2449"/>
    <w:rsid w:val="00DE37D8"/>
    <w:rsid w:val="00DE59D1"/>
    <w:rsid w:val="00DF13FF"/>
    <w:rsid w:val="00DF1F3C"/>
    <w:rsid w:val="00DF473B"/>
    <w:rsid w:val="00DF63A3"/>
    <w:rsid w:val="00E0095F"/>
    <w:rsid w:val="00E01D43"/>
    <w:rsid w:val="00E0267B"/>
    <w:rsid w:val="00E03B6E"/>
    <w:rsid w:val="00E04F4C"/>
    <w:rsid w:val="00E06C2E"/>
    <w:rsid w:val="00E12343"/>
    <w:rsid w:val="00E12823"/>
    <w:rsid w:val="00E1283B"/>
    <w:rsid w:val="00E13433"/>
    <w:rsid w:val="00E24A0B"/>
    <w:rsid w:val="00E25135"/>
    <w:rsid w:val="00E255D6"/>
    <w:rsid w:val="00E25915"/>
    <w:rsid w:val="00E25C7F"/>
    <w:rsid w:val="00E309E5"/>
    <w:rsid w:val="00E30A39"/>
    <w:rsid w:val="00E32BB5"/>
    <w:rsid w:val="00E37AC0"/>
    <w:rsid w:val="00E37BF8"/>
    <w:rsid w:val="00E40096"/>
    <w:rsid w:val="00E4118C"/>
    <w:rsid w:val="00E4191B"/>
    <w:rsid w:val="00E423E9"/>
    <w:rsid w:val="00E4400C"/>
    <w:rsid w:val="00E44E01"/>
    <w:rsid w:val="00E44E70"/>
    <w:rsid w:val="00E4538B"/>
    <w:rsid w:val="00E45AD1"/>
    <w:rsid w:val="00E46293"/>
    <w:rsid w:val="00E46C13"/>
    <w:rsid w:val="00E46E9B"/>
    <w:rsid w:val="00E47755"/>
    <w:rsid w:val="00E518DF"/>
    <w:rsid w:val="00E573B4"/>
    <w:rsid w:val="00E61138"/>
    <w:rsid w:val="00E61252"/>
    <w:rsid w:val="00E67773"/>
    <w:rsid w:val="00E70102"/>
    <w:rsid w:val="00E706D3"/>
    <w:rsid w:val="00E70E1C"/>
    <w:rsid w:val="00E71076"/>
    <w:rsid w:val="00E7242C"/>
    <w:rsid w:val="00E7377C"/>
    <w:rsid w:val="00E75B34"/>
    <w:rsid w:val="00E75B62"/>
    <w:rsid w:val="00E81231"/>
    <w:rsid w:val="00E81450"/>
    <w:rsid w:val="00E823FD"/>
    <w:rsid w:val="00E83C19"/>
    <w:rsid w:val="00E87538"/>
    <w:rsid w:val="00E878B5"/>
    <w:rsid w:val="00E9031A"/>
    <w:rsid w:val="00E93845"/>
    <w:rsid w:val="00E93CF0"/>
    <w:rsid w:val="00E93CFD"/>
    <w:rsid w:val="00E94133"/>
    <w:rsid w:val="00E94CC6"/>
    <w:rsid w:val="00EA166D"/>
    <w:rsid w:val="00EA6EDA"/>
    <w:rsid w:val="00EB0644"/>
    <w:rsid w:val="00EB0CEB"/>
    <w:rsid w:val="00EB2DF0"/>
    <w:rsid w:val="00EB5EE2"/>
    <w:rsid w:val="00EB758B"/>
    <w:rsid w:val="00EB7BBB"/>
    <w:rsid w:val="00EC0581"/>
    <w:rsid w:val="00EC1F3D"/>
    <w:rsid w:val="00EC3012"/>
    <w:rsid w:val="00EC365D"/>
    <w:rsid w:val="00EC4690"/>
    <w:rsid w:val="00EC5863"/>
    <w:rsid w:val="00ED3850"/>
    <w:rsid w:val="00ED4497"/>
    <w:rsid w:val="00EE044B"/>
    <w:rsid w:val="00EE3E15"/>
    <w:rsid w:val="00EF689F"/>
    <w:rsid w:val="00EF697D"/>
    <w:rsid w:val="00F00523"/>
    <w:rsid w:val="00F00E3E"/>
    <w:rsid w:val="00F02EDF"/>
    <w:rsid w:val="00F071E3"/>
    <w:rsid w:val="00F07DE4"/>
    <w:rsid w:val="00F11637"/>
    <w:rsid w:val="00F12439"/>
    <w:rsid w:val="00F13EE3"/>
    <w:rsid w:val="00F14F93"/>
    <w:rsid w:val="00F16C8B"/>
    <w:rsid w:val="00F2067E"/>
    <w:rsid w:val="00F23495"/>
    <w:rsid w:val="00F255DA"/>
    <w:rsid w:val="00F27766"/>
    <w:rsid w:val="00F30404"/>
    <w:rsid w:val="00F30CB0"/>
    <w:rsid w:val="00F3604C"/>
    <w:rsid w:val="00F3637C"/>
    <w:rsid w:val="00F3684C"/>
    <w:rsid w:val="00F40571"/>
    <w:rsid w:val="00F41707"/>
    <w:rsid w:val="00F41782"/>
    <w:rsid w:val="00F426CB"/>
    <w:rsid w:val="00F43AB9"/>
    <w:rsid w:val="00F4400B"/>
    <w:rsid w:val="00F444B9"/>
    <w:rsid w:val="00F446A8"/>
    <w:rsid w:val="00F45547"/>
    <w:rsid w:val="00F4604B"/>
    <w:rsid w:val="00F46B9B"/>
    <w:rsid w:val="00F47011"/>
    <w:rsid w:val="00F50014"/>
    <w:rsid w:val="00F54006"/>
    <w:rsid w:val="00F55045"/>
    <w:rsid w:val="00F551A1"/>
    <w:rsid w:val="00F5528D"/>
    <w:rsid w:val="00F56497"/>
    <w:rsid w:val="00F571F9"/>
    <w:rsid w:val="00F57757"/>
    <w:rsid w:val="00F60CB0"/>
    <w:rsid w:val="00F63D64"/>
    <w:rsid w:val="00F669B5"/>
    <w:rsid w:val="00F67A75"/>
    <w:rsid w:val="00F71B76"/>
    <w:rsid w:val="00F72C7E"/>
    <w:rsid w:val="00F72E01"/>
    <w:rsid w:val="00F75388"/>
    <w:rsid w:val="00F77A06"/>
    <w:rsid w:val="00F80253"/>
    <w:rsid w:val="00F82D58"/>
    <w:rsid w:val="00F834A8"/>
    <w:rsid w:val="00F84CDB"/>
    <w:rsid w:val="00F86678"/>
    <w:rsid w:val="00F91877"/>
    <w:rsid w:val="00F92915"/>
    <w:rsid w:val="00F93828"/>
    <w:rsid w:val="00F953B6"/>
    <w:rsid w:val="00F97BD9"/>
    <w:rsid w:val="00FA3926"/>
    <w:rsid w:val="00FA3E8A"/>
    <w:rsid w:val="00FA4336"/>
    <w:rsid w:val="00FA46E9"/>
    <w:rsid w:val="00FA6A5C"/>
    <w:rsid w:val="00FB1D3A"/>
    <w:rsid w:val="00FB2281"/>
    <w:rsid w:val="00FB3950"/>
    <w:rsid w:val="00FB3D11"/>
    <w:rsid w:val="00FB6589"/>
    <w:rsid w:val="00FC14CA"/>
    <w:rsid w:val="00FC2772"/>
    <w:rsid w:val="00FC3B2A"/>
    <w:rsid w:val="00FC6A47"/>
    <w:rsid w:val="00FC7155"/>
    <w:rsid w:val="00FD0735"/>
    <w:rsid w:val="00FD15BB"/>
    <w:rsid w:val="00FD51E9"/>
    <w:rsid w:val="00FD59E5"/>
    <w:rsid w:val="00FD6FE7"/>
    <w:rsid w:val="00FE0D68"/>
    <w:rsid w:val="00FE3F7D"/>
    <w:rsid w:val="00FE4E4F"/>
    <w:rsid w:val="00FE4EB6"/>
    <w:rsid w:val="00FE5F7B"/>
    <w:rsid w:val="00FE7F99"/>
    <w:rsid w:val="00FF1112"/>
    <w:rsid w:val="00FF159C"/>
    <w:rsid w:val="00FF4708"/>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table" w:styleId="Tablaconcuadrcula">
    <w:name w:val="Table Grid"/>
    <w:basedOn w:val="Tablanormal"/>
    <w:uiPriority w:val="59"/>
    <w:rsid w:val="00DC09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
    <w:name w:val="temp"/>
    <w:basedOn w:val="Normal"/>
    <w:rsid w:val="001E445E"/>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1E4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325599436">
      <w:bodyDiv w:val="1"/>
      <w:marLeft w:val="0"/>
      <w:marRight w:val="0"/>
      <w:marTop w:val="0"/>
      <w:marBottom w:val="0"/>
      <w:divBdr>
        <w:top w:val="none" w:sz="0" w:space="0" w:color="auto"/>
        <w:left w:val="none" w:sz="0" w:space="0" w:color="auto"/>
        <w:bottom w:val="none" w:sz="0" w:space="0" w:color="auto"/>
        <w:right w:val="none" w:sz="0" w:space="0" w:color="auto"/>
      </w:divBdr>
      <w:divsChild>
        <w:div w:id="996884301">
          <w:marLeft w:val="0"/>
          <w:marRight w:val="0"/>
          <w:marTop w:val="0"/>
          <w:marBottom w:val="0"/>
          <w:divBdr>
            <w:top w:val="none" w:sz="0" w:space="0" w:color="auto"/>
            <w:left w:val="none" w:sz="0" w:space="0" w:color="auto"/>
            <w:bottom w:val="none" w:sz="0" w:space="0" w:color="auto"/>
            <w:right w:val="none" w:sz="0" w:space="0" w:color="auto"/>
          </w:divBdr>
        </w:div>
      </w:divsChild>
    </w:div>
    <w:div w:id="426390432">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0464418">
      <w:bodyDiv w:val="1"/>
      <w:marLeft w:val="0"/>
      <w:marRight w:val="0"/>
      <w:marTop w:val="0"/>
      <w:marBottom w:val="0"/>
      <w:divBdr>
        <w:top w:val="none" w:sz="0" w:space="0" w:color="auto"/>
        <w:left w:val="none" w:sz="0" w:space="0" w:color="auto"/>
        <w:bottom w:val="none" w:sz="0" w:space="0" w:color="auto"/>
        <w:right w:val="none" w:sz="0" w:space="0" w:color="auto"/>
      </w:divBdr>
      <w:divsChild>
        <w:div w:id="41641202">
          <w:marLeft w:val="0"/>
          <w:marRight w:val="0"/>
          <w:marTop w:val="0"/>
          <w:marBottom w:val="0"/>
          <w:divBdr>
            <w:top w:val="none" w:sz="0" w:space="0" w:color="auto"/>
            <w:left w:val="none" w:sz="0" w:space="0" w:color="auto"/>
            <w:bottom w:val="none" w:sz="0" w:space="0" w:color="auto"/>
            <w:right w:val="none" w:sz="0" w:space="0" w:color="auto"/>
          </w:divBdr>
        </w:div>
      </w:divsChild>
    </w:div>
    <w:div w:id="1176000622">
      <w:bodyDiv w:val="1"/>
      <w:marLeft w:val="0"/>
      <w:marRight w:val="0"/>
      <w:marTop w:val="0"/>
      <w:marBottom w:val="0"/>
      <w:divBdr>
        <w:top w:val="none" w:sz="0" w:space="0" w:color="auto"/>
        <w:left w:val="none" w:sz="0" w:space="0" w:color="auto"/>
        <w:bottom w:val="none" w:sz="0" w:space="0" w:color="auto"/>
        <w:right w:val="none" w:sz="0" w:space="0" w:color="auto"/>
      </w:divBdr>
    </w:div>
    <w:div w:id="1347169191">
      <w:bodyDiv w:val="1"/>
      <w:marLeft w:val="0"/>
      <w:marRight w:val="0"/>
      <w:marTop w:val="0"/>
      <w:marBottom w:val="0"/>
      <w:divBdr>
        <w:top w:val="none" w:sz="0" w:space="0" w:color="auto"/>
        <w:left w:val="none" w:sz="0" w:space="0" w:color="auto"/>
        <w:bottom w:val="none" w:sz="0" w:space="0" w:color="auto"/>
        <w:right w:val="none" w:sz="0" w:space="0" w:color="auto"/>
      </w:divBdr>
      <w:divsChild>
        <w:div w:id="116611577">
          <w:marLeft w:val="0"/>
          <w:marRight w:val="0"/>
          <w:marTop w:val="0"/>
          <w:marBottom w:val="0"/>
          <w:divBdr>
            <w:top w:val="none" w:sz="0" w:space="0" w:color="auto"/>
            <w:left w:val="none" w:sz="0" w:space="0" w:color="auto"/>
            <w:bottom w:val="none" w:sz="0" w:space="0" w:color="auto"/>
            <w:right w:val="none" w:sz="0" w:space="0" w:color="auto"/>
          </w:divBdr>
        </w:div>
      </w:divsChild>
    </w:div>
    <w:div w:id="1489710822">
      <w:bodyDiv w:val="1"/>
      <w:marLeft w:val="0"/>
      <w:marRight w:val="0"/>
      <w:marTop w:val="0"/>
      <w:marBottom w:val="0"/>
      <w:divBdr>
        <w:top w:val="none" w:sz="0" w:space="0" w:color="auto"/>
        <w:left w:val="none" w:sz="0" w:space="0" w:color="auto"/>
        <w:bottom w:val="none" w:sz="0" w:space="0" w:color="auto"/>
        <w:right w:val="none" w:sz="0" w:space="0" w:color="auto"/>
      </w:divBdr>
      <w:divsChild>
        <w:div w:id="688331109">
          <w:marLeft w:val="0"/>
          <w:marRight w:val="0"/>
          <w:marTop w:val="0"/>
          <w:marBottom w:val="0"/>
          <w:divBdr>
            <w:top w:val="none" w:sz="0" w:space="0" w:color="auto"/>
            <w:left w:val="none" w:sz="0" w:space="0" w:color="auto"/>
            <w:bottom w:val="none" w:sz="0" w:space="0" w:color="auto"/>
            <w:right w:val="none" w:sz="0" w:space="0" w:color="auto"/>
          </w:divBdr>
        </w:div>
      </w:divsChild>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91755569">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798598057">
      <w:bodyDiv w:val="1"/>
      <w:marLeft w:val="0"/>
      <w:marRight w:val="0"/>
      <w:marTop w:val="0"/>
      <w:marBottom w:val="0"/>
      <w:divBdr>
        <w:top w:val="none" w:sz="0" w:space="0" w:color="auto"/>
        <w:left w:val="none" w:sz="0" w:space="0" w:color="auto"/>
        <w:bottom w:val="none" w:sz="0" w:space="0" w:color="auto"/>
        <w:right w:val="none" w:sz="0" w:space="0" w:color="auto"/>
      </w:divBdr>
      <w:divsChild>
        <w:div w:id="600144827">
          <w:marLeft w:val="0"/>
          <w:marRight w:val="0"/>
          <w:marTop w:val="0"/>
          <w:marBottom w:val="0"/>
          <w:divBdr>
            <w:top w:val="none" w:sz="0" w:space="0" w:color="auto"/>
            <w:left w:val="none" w:sz="0" w:space="0" w:color="auto"/>
            <w:bottom w:val="none" w:sz="0" w:space="0" w:color="auto"/>
            <w:right w:val="none" w:sz="0" w:space="0" w:color="auto"/>
          </w:divBdr>
        </w:div>
      </w:divsChild>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docs64.congresooaxaca.gob.mx/documents/decrets/DLXIV_2770.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9627B-D1A1-4241-8D59-30986A19B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21</Pages>
  <Words>8595</Words>
  <Characters>47274</Characters>
  <Application>Microsoft Office Word</Application>
  <DocSecurity>0</DocSecurity>
  <Lines>393</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347</cp:revision>
  <cp:lastPrinted>2023-02-01T16:10:00Z</cp:lastPrinted>
  <dcterms:created xsi:type="dcterms:W3CDTF">2022-05-12T21:06:00Z</dcterms:created>
  <dcterms:modified xsi:type="dcterms:W3CDTF">2023-04-14T20:25:00Z</dcterms:modified>
</cp:coreProperties>
</file>