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CEA" w:rsidRPr="007B0581" w:rsidRDefault="00DC1CEA" w:rsidP="00DC1CEA">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DC1CEA" w:rsidRPr="007B0581" w:rsidRDefault="00DC1CEA" w:rsidP="00DC1CEA">
      <w:pPr>
        <w:pStyle w:val="corte4fondo"/>
        <w:spacing w:line="276" w:lineRule="auto"/>
        <w:ind w:left="3544" w:right="-521" w:firstLine="0"/>
        <w:rPr>
          <w:rFonts w:cs="Arial"/>
          <w:b/>
          <w:sz w:val="24"/>
          <w:szCs w:val="24"/>
        </w:rPr>
      </w:pPr>
    </w:p>
    <w:p w:rsidR="00DC1CEA" w:rsidRPr="007B0581" w:rsidRDefault="00DC1CEA" w:rsidP="00DC1CEA">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0086</w:t>
      </w:r>
      <w:r w:rsidRPr="007B0581">
        <w:rPr>
          <w:rFonts w:cs="Arial"/>
          <w:b/>
          <w:bCs/>
          <w:sz w:val="24"/>
          <w:szCs w:val="24"/>
        </w:rPr>
        <w:t>/20</w:t>
      </w:r>
      <w:r>
        <w:rPr>
          <w:rFonts w:cs="Arial"/>
          <w:b/>
          <w:bCs/>
          <w:sz w:val="24"/>
          <w:szCs w:val="24"/>
        </w:rPr>
        <w:t>22</w:t>
      </w:r>
      <w:r w:rsidRPr="007B0581">
        <w:rPr>
          <w:rFonts w:cs="Arial"/>
          <w:sz w:val="24"/>
          <w:szCs w:val="24"/>
        </w:rPr>
        <w:t xml:space="preserve">. </w:t>
      </w:r>
    </w:p>
    <w:p w:rsidR="00DC1CEA" w:rsidRPr="007B0581" w:rsidRDefault="00DC1CEA" w:rsidP="00DC1CEA">
      <w:pPr>
        <w:pStyle w:val="corte4fondo"/>
        <w:spacing w:line="276" w:lineRule="auto"/>
        <w:ind w:left="3544" w:right="-521" w:firstLine="0"/>
        <w:rPr>
          <w:rFonts w:cs="Arial"/>
          <w:sz w:val="24"/>
          <w:szCs w:val="24"/>
        </w:rPr>
      </w:pPr>
    </w:p>
    <w:p w:rsidR="00DC1CEA" w:rsidRPr="007B0581" w:rsidRDefault="00DC1CEA" w:rsidP="00DC1CEA">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DC1CEA" w:rsidRPr="007B0581" w:rsidRDefault="00DC1CEA" w:rsidP="00DC1CEA">
      <w:pPr>
        <w:pStyle w:val="corte4fondo"/>
        <w:spacing w:line="276" w:lineRule="auto"/>
        <w:ind w:left="3544" w:right="-521" w:firstLine="0"/>
        <w:rPr>
          <w:rFonts w:cs="Arial"/>
          <w:b/>
          <w:i/>
          <w:sz w:val="24"/>
          <w:szCs w:val="24"/>
        </w:rPr>
      </w:pPr>
      <w:r w:rsidRPr="007B0581">
        <w:rPr>
          <w:rFonts w:cs="Arial"/>
          <w:b/>
          <w:i/>
          <w:sz w:val="24"/>
          <w:szCs w:val="24"/>
        </w:rPr>
        <w:t xml:space="preserve"> </w:t>
      </w:r>
    </w:p>
    <w:p w:rsidR="00DC1CEA" w:rsidRPr="007B0581" w:rsidRDefault="00DC1CEA" w:rsidP="00DC1CEA">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MUNICIPAL ADSCRITA A LA DIRECCIÓN DE LA POLICÍA VIAL DEL MUNICIPIO DE SANTA LUCÍA DEL CAMINO, OAXACA, **********.</w:t>
      </w:r>
    </w:p>
    <w:p w:rsidR="00DC1CEA" w:rsidRPr="007B0581" w:rsidRDefault="00DC1CEA" w:rsidP="00DC1CEA">
      <w:pPr>
        <w:pStyle w:val="corte4fondo"/>
        <w:spacing w:line="276" w:lineRule="auto"/>
        <w:ind w:left="3544" w:right="51" w:firstLine="0"/>
        <w:rPr>
          <w:rFonts w:cs="Arial"/>
          <w:bCs/>
          <w:sz w:val="24"/>
          <w:szCs w:val="24"/>
        </w:rPr>
      </w:pPr>
    </w:p>
    <w:p w:rsidR="00DC1CEA" w:rsidRPr="007B0581" w:rsidRDefault="00DC1CEA" w:rsidP="00DC1CEA">
      <w:pPr>
        <w:pStyle w:val="corte4fondo"/>
        <w:spacing w:line="276" w:lineRule="auto"/>
        <w:ind w:left="3544" w:right="51" w:firstLine="0"/>
        <w:rPr>
          <w:rFonts w:cs="Arial"/>
          <w:bCs/>
          <w:sz w:val="24"/>
          <w:szCs w:val="24"/>
        </w:rPr>
      </w:pPr>
    </w:p>
    <w:p w:rsidR="00DC1CEA" w:rsidRDefault="00DC1CEA" w:rsidP="00DC1CEA">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TRECE DE DICIEMBRE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DC1CEA" w:rsidRDefault="00DC1CEA" w:rsidP="00DC1CEA">
      <w:pPr>
        <w:spacing w:line="360" w:lineRule="auto"/>
        <w:jc w:val="both"/>
        <w:rPr>
          <w:rFonts w:ascii="Arial" w:hAnsi="Arial" w:cs="Arial"/>
          <w:b/>
          <w:sz w:val="24"/>
          <w:szCs w:val="24"/>
        </w:rPr>
      </w:pPr>
      <w:r w:rsidRPr="007B0581">
        <w:rPr>
          <w:rFonts w:ascii="Arial" w:hAnsi="Arial" w:cs="Arial"/>
          <w:b/>
          <w:sz w:val="24"/>
          <w:szCs w:val="24"/>
        </w:rPr>
        <w:t xml:space="preserve"> </w:t>
      </w:r>
    </w:p>
    <w:p w:rsidR="00DC1CEA" w:rsidRPr="007B0581" w:rsidRDefault="00DC1CEA" w:rsidP="00DC1CEA">
      <w:pPr>
        <w:contextualSpacing/>
        <w:jc w:val="both"/>
        <w:rPr>
          <w:rFonts w:ascii="Arial" w:hAnsi="Arial" w:cs="Arial"/>
          <w:b/>
          <w:sz w:val="24"/>
          <w:szCs w:val="24"/>
        </w:rPr>
      </w:pPr>
    </w:p>
    <w:p w:rsidR="00DC1CEA" w:rsidRPr="007B0581" w:rsidRDefault="00DC1CEA" w:rsidP="00DC1CEA">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0086</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veintiocho de julio de dos mil veintidós</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Dirección de la Policía Vial del Municipio de Santa Lucía del Camino, Oaxaca, </w:t>
      </w:r>
      <w:r>
        <w:rPr>
          <w:rFonts w:cs="Arial"/>
          <w:b/>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1"/>
    <w:p w:rsidR="00DC1CEA" w:rsidRDefault="00DC1CEA" w:rsidP="00DC1CEA">
      <w:pPr>
        <w:contextualSpacing/>
        <w:jc w:val="both"/>
        <w:rPr>
          <w:rFonts w:ascii="Arial" w:hAnsi="Arial" w:cs="Arial"/>
          <w:sz w:val="24"/>
          <w:szCs w:val="24"/>
        </w:rPr>
      </w:pPr>
    </w:p>
    <w:p w:rsidR="00DC1CEA" w:rsidRDefault="00DC1CEA" w:rsidP="00DC1CEA">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DC1CEA" w:rsidRDefault="00DC1CEA" w:rsidP="00DC1CEA">
      <w:pPr>
        <w:spacing w:line="360" w:lineRule="auto"/>
        <w:ind w:firstLine="708"/>
        <w:jc w:val="center"/>
        <w:rPr>
          <w:rFonts w:ascii="Arial" w:hAnsi="Arial" w:cs="Arial"/>
          <w:b/>
          <w:spacing w:val="-3"/>
          <w:sz w:val="24"/>
          <w:szCs w:val="24"/>
          <w:lang w:val="es-ES_tradnl"/>
        </w:rPr>
      </w:pPr>
    </w:p>
    <w:p w:rsidR="00DC1CEA" w:rsidRDefault="00DC1CEA" w:rsidP="00DC1CEA">
      <w:pPr>
        <w:contextualSpacing/>
        <w:jc w:val="both"/>
        <w:rPr>
          <w:rFonts w:ascii="Arial" w:hAnsi="Arial" w:cs="Arial"/>
          <w:b/>
          <w:spacing w:val="-3"/>
          <w:sz w:val="24"/>
          <w:szCs w:val="24"/>
          <w:lang w:val="es-ES_tradnl"/>
        </w:rPr>
      </w:pPr>
    </w:p>
    <w:p w:rsidR="00DC1CEA" w:rsidRDefault="00DC1CEA" w:rsidP="00DC1CEA">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veintidós de septiembre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veintiocho de julio de dos mil veintidós</w:t>
      </w:r>
      <w:r w:rsidRPr="007B0581">
        <w:rPr>
          <w:rFonts w:ascii="Arial" w:hAnsi="Arial" w:cs="Arial"/>
          <w:sz w:val="24"/>
          <w:szCs w:val="24"/>
        </w:rPr>
        <w:t xml:space="preserve">, signado por </w:t>
      </w:r>
      <w:r>
        <w:rPr>
          <w:rFonts w:ascii="Arial" w:hAnsi="Arial" w:cs="Arial"/>
          <w:sz w:val="24"/>
          <w:szCs w:val="24"/>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Dirección de la Policía Vial del Municipio de Santa Lucía del Camino, Oaxaca, </w:t>
      </w:r>
      <w:r>
        <w:rPr>
          <w:rFonts w:cs="Arial"/>
          <w:b/>
          <w:sz w:val="24"/>
          <w:szCs w:val="24"/>
        </w:rPr>
        <w:t>**********</w:t>
      </w:r>
      <w:r w:rsidRPr="007B0581">
        <w:rPr>
          <w:rFonts w:ascii="Arial" w:hAnsi="Arial" w:cs="Arial"/>
          <w:sz w:val="24"/>
          <w:szCs w:val="24"/>
        </w:rPr>
        <w:t xml:space="preserve">. </w:t>
      </w:r>
    </w:p>
    <w:p w:rsidR="00DC1CEA" w:rsidRPr="007B0581" w:rsidRDefault="00DC1CEA" w:rsidP="00DC1CEA">
      <w:pPr>
        <w:spacing w:line="360" w:lineRule="auto"/>
        <w:jc w:val="both"/>
        <w:rPr>
          <w:rFonts w:ascii="Arial" w:hAnsi="Arial" w:cs="Arial"/>
          <w:sz w:val="24"/>
          <w:szCs w:val="24"/>
        </w:rPr>
      </w:pPr>
    </w:p>
    <w:bookmarkEnd w:id="2"/>
    <w:p w:rsidR="00DC1CEA" w:rsidRDefault="00DC1CEA" w:rsidP="00DC1CEA">
      <w:pPr>
        <w:spacing w:line="360" w:lineRule="auto"/>
        <w:ind w:firstLine="567"/>
        <w:jc w:val="both"/>
        <w:rPr>
          <w:rFonts w:cs="Arial"/>
          <w:bCs/>
          <w:sz w:val="24"/>
          <w:szCs w:val="24"/>
        </w:rPr>
      </w:pPr>
      <w:r w:rsidRPr="007B0581">
        <w:rPr>
          <w:rFonts w:ascii="Arial" w:hAnsi="Arial" w:cs="Arial"/>
          <w:b/>
          <w:sz w:val="24"/>
          <w:szCs w:val="24"/>
        </w:rPr>
        <w:t>SEGUNDO. -</w:t>
      </w:r>
      <w:r w:rsidRPr="007B0581">
        <w:rPr>
          <w:rFonts w:ascii="Arial" w:hAnsi="Arial" w:cs="Arial"/>
          <w:sz w:val="24"/>
          <w:szCs w:val="24"/>
        </w:rPr>
        <w:t xml:space="preserve"> </w:t>
      </w:r>
      <w:r>
        <w:rPr>
          <w:rFonts w:ascii="Arial" w:hAnsi="Arial" w:cs="Arial"/>
          <w:sz w:val="24"/>
          <w:szCs w:val="24"/>
        </w:rPr>
        <w:t>Por acuerdo de veintitrés de septiembre de dos mil veintidós,</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r w:rsidRPr="007B0581">
        <w:rPr>
          <w:rFonts w:cs="Arial"/>
          <w:bCs/>
          <w:sz w:val="24"/>
          <w:szCs w:val="24"/>
        </w:rPr>
        <w:tab/>
      </w:r>
    </w:p>
    <w:p w:rsidR="00DC1CEA" w:rsidRPr="007B0581" w:rsidRDefault="00DC1CEA" w:rsidP="00DC1CEA">
      <w:pPr>
        <w:spacing w:line="360" w:lineRule="auto"/>
        <w:ind w:firstLine="567"/>
        <w:jc w:val="both"/>
        <w:rPr>
          <w:rFonts w:cs="Arial"/>
          <w:bCs/>
          <w:sz w:val="24"/>
          <w:szCs w:val="24"/>
        </w:rPr>
      </w:pPr>
    </w:p>
    <w:p w:rsidR="00DC1CEA" w:rsidRDefault="00DC1CEA" w:rsidP="00DC1CEA">
      <w:pPr>
        <w:pStyle w:val="corte4fondo"/>
        <w:ind w:right="51" w:firstLine="567"/>
        <w:rPr>
          <w:rFonts w:cs="Arial"/>
          <w:sz w:val="24"/>
          <w:szCs w:val="24"/>
        </w:rPr>
      </w:pPr>
      <w:r>
        <w:rPr>
          <w:rFonts w:cs="Arial"/>
          <w:b/>
          <w:bCs/>
          <w:sz w:val="24"/>
          <w:szCs w:val="24"/>
        </w:rPr>
        <w:t>TERCERO</w:t>
      </w:r>
      <w:r w:rsidRPr="007B0581">
        <w:rPr>
          <w:rFonts w:cs="Arial"/>
          <w:bCs/>
          <w:sz w:val="24"/>
          <w:szCs w:val="24"/>
        </w:rPr>
        <w:t xml:space="preserve">. - Por acuerdo de </w:t>
      </w:r>
      <w:r>
        <w:rPr>
          <w:rFonts w:cs="Arial"/>
          <w:bCs/>
          <w:sz w:val="24"/>
          <w:szCs w:val="24"/>
        </w:rPr>
        <w:t>catorce de octubre de dos mil veintidós</w:t>
      </w:r>
      <w:r w:rsidRPr="007B0581">
        <w:rPr>
          <w:rFonts w:cs="Arial"/>
          <w:bCs/>
          <w:sz w:val="24"/>
          <w:szCs w:val="24"/>
        </w:rPr>
        <w:t xml:space="preserve">, </w:t>
      </w:r>
      <w:r>
        <w:rPr>
          <w:rFonts w:cs="Arial"/>
          <w:sz w:val="24"/>
          <w:szCs w:val="24"/>
        </w:rPr>
        <w:t xml:space="preserve">se tuvo a la autoridad demandada </w:t>
      </w:r>
      <w:r w:rsidRPr="00602B8E">
        <w:rPr>
          <w:rFonts w:cs="Arial"/>
          <w:bCs/>
          <w:sz w:val="24"/>
          <w:szCs w:val="24"/>
        </w:rPr>
        <w:t>Policía Vial</w:t>
      </w:r>
      <w:r>
        <w:rPr>
          <w:rFonts w:cs="Arial"/>
          <w:bCs/>
          <w:sz w:val="24"/>
          <w:szCs w:val="24"/>
        </w:rPr>
        <w:t xml:space="preserve"> Municipal,</w:t>
      </w:r>
      <w:r>
        <w:rPr>
          <w:rFonts w:cs="Arial"/>
          <w:b/>
          <w:bCs/>
          <w:sz w:val="24"/>
          <w:szCs w:val="24"/>
        </w:rPr>
        <w:t xml:space="preserve"> </w:t>
      </w:r>
      <w:r>
        <w:rPr>
          <w:rFonts w:cs="Arial"/>
          <w:b/>
          <w:sz w:val="24"/>
          <w:szCs w:val="24"/>
        </w:rPr>
        <w:t>**********</w:t>
      </w:r>
      <w:r>
        <w:rPr>
          <w:rFonts w:cs="Arial"/>
          <w:sz w:val="24"/>
          <w:szCs w:val="24"/>
        </w:rPr>
        <w:t>, adscrita a la Dirección de la Policía Vial del Municipio de Santa Lucía del Camino, Oaxaca</w:t>
      </w:r>
      <w:r w:rsidRPr="007B0581">
        <w:rPr>
          <w:rFonts w:cs="Arial"/>
          <w:bCs/>
          <w:sz w:val="24"/>
          <w:szCs w:val="24"/>
        </w:rPr>
        <w:t xml:space="preserve">, </w:t>
      </w:r>
      <w:r w:rsidRPr="007B0581">
        <w:rPr>
          <w:rFonts w:cs="Arial"/>
          <w:sz w:val="24"/>
          <w:szCs w:val="24"/>
        </w:rPr>
        <w:t xml:space="preserve">dando contestación a la demanda en tiempo y forma, por acreditada la </w:t>
      </w:r>
      <w:r w:rsidRPr="007B0581">
        <w:rPr>
          <w:rFonts w:cs="Arial"/>
          <w:sz w:val="24"/>
          <w:szCs w:val="24"/>
        </w:rPr>
        <w:lastRenderedPageBreak/>
        <w:t>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w:t>
      </w:r>
      <w:r>
        <w:rPr>
          <w:rFonts w:cs="Arial"/>
          <w:sz w:val="24"/>
          <w:szCs w:val="24"/>
        </w:rPr>
        <w:t>.</w:t>
      </w:r>
      <w:r w:rsidRPr="007B0581">
        <w:rPr>
          <w:rFonts w:cs="Arial"/>
          <w:sz w:val="24"/>
          <w:szCs w:val="24"/>
        </w:rPr>
        <w:t xml:space="preserve"> </w:t>
      </w:r>
      <w:r>
        <w:rPr>
          <w:rFonts w:cs="Arial"/>
          <w:sz w:val="24"/>
          <w:szCs w:val="24"/>
        </w:rPr>
        <w:t xml:space="preserve">Asimismo, se señalaron las ONCE HORAS del día DIECIOCHO DE NOVIEMBRE DE DOS MIL VEINTIDÓS, para la celebración de la audiencia final. </w:t>
      </w:r>
    </w:p>
    <w:p w:rsidR="00DC1CEA" w:rsidRDefault="00DC1CEA" w:rsidP="00DC1CEA">
      <w:pPr>
        <w:pStyle w:val="corte4fondo"/>
        <w:ind w:right="51" w:firstLine="567"/>
        <w:rPr>
          <w:rFonts w:cs="Arial"/>
          <w:sz w:val="24"/>
          <w:szCs w:val="24"/>
        </w:rPr>
      </w:pPr>
    </w:p>
    <w:p w:rsidR="00DC1CEA" w:rsidRPr="00664FA8" w:rsidRDefault="00DC1CEA" w:rsidP="00DC1CEA">
      <w:pPr>
        <w:pStyle w:val="corte4fondo"/>
        <w:ind w:right="51" w:firstLine="567"/>
        <w:rPr>
          <w:rFonts w:cs="Arial"/>
          <w:sz w:val="24"/>
          <w:szCs w:val="24"/>
          <w:lang w:val="es-ES"/>
        </w:rPr>
      </w:pPr>
      <w:r>
        <w:rPr>
          <w:rFonts w:cs="Arial"/>
          <w:b/>
          <w:sz w:val="24"/>
          <w:szCs w:val="24"/>
        </w:rPr>
        <w:t>CUARTO</w:t>
      </w:r>
      <w:r w:rsidRPr="003812EF">
        <w:rPr>
          <w:rFonts w:cs="Arial"/>
          <w:b/>
          <w:sz w:val="24"/>
          <w:szCs w:val="24"/>
        </w:rPr>
        <w:t>. -</w:t>
      </w:r>
      <w:r>
        <w:rPr>
          <w:rFonts w:cs="Arial"/>
          <w:sz w:val="24"/>
          <w:szCs w:val="24"/>
        </w:rPr>
        <w:t xml:space="preserve"> </w:t>
      </w:r>
      <w:r w:rsidRPr="007B0581">
        <w:rPr>
          <w:rFonts w:cs="Arial"/>
          <w:sz w:val="24"/>
          <w:szCs w:val="24"/>
          <w:lang w:val="es-ES"/>
        </w:rPr>
        <w:t xml:space="preserve">El </w:t>
      </w:r>
      <w:r>
        <w:rPr>
          <w:rFonts w:cs="Arial"/>
          <w:sz w:val="24"/>
          <w:szCs w:val="24"/>
          <w:lang w:val="es-ES"/>
        </w:rPr>
        <w:t>dieciocho de noviembre de dos mil veintidós</w:t>
      </w:r>
      <w:r w:rsidRPr="007B0581">
        <w:rPr>
          <w:rFonts w:cs="Arial"/>
          <w:bCs/>
          <w:sz w:val="24"/>
          <w:szCs w:val="24"/>
          <w:lang w:val="es-ES"/>
        </w:rPr>
        <w:t xml:space="preserve">, se llevó a cabo la audiencia final, </w:t>
      </w:r>
      <w:r w:rsidRPr="00F11AF4">
        <w:rPr>
          <w:rFonts w:cs="Arial"/>
          <w:sz w:val="24"/>
          <w:szCs w:val="24"/>
          <w:lang w:val="es-ES"/>
        </w:rPr>
        <w:t>sin la asistencia de las partes, ni persona alguna que legalmente las representara</w:t>
      </w:r>
      <w:r w:rsidRPr="00F11AF4">
        <w:rPr>
          <w:rFonts w:cs="Arial"/>
          <w:bCs/>
          <w:sz w:val="24"/>
          <w:szCs w:val="24"/>
          <w:lang w:val="es-ES"/>
        </w:rPr>
        <w:t xml:space="preserve">, </w:t>
      </w:r>
      <w:r w:rsidRPr="00F11AF4">
        <w:rPr>
          <w:rFonts w:cs="Arial"/>
          <w:sz w:val="24"/>
          <w:szCs w:val="24"/>
        </w:rPr>
        <w:t xml:space="preserve">asentando la Secretaria de Acuerdos de esta Sala, que </w:t>
      </w:r>
      <w:r>
        <w:rPr>
          <w:rFonts w:cs="Arial"/>
          <w:sz w:val="24"/>
          <w:szCs w:val="24"/>
        </w:rPr>
        <w:t>el actor formuló</w:t>
      </w:r>
      <w:r w:rsidRPr="00F11AF4">
        <w:rPr>
          <w:rFonts w:cs="Arial"/>
          <w:sz w:val="24"/>
          <w:szCs w:val="24"/>
        </w:rPr>
        <w:t xml:space="preserve"> alegatos por escrito</w:t>
      </w:r>
      <w:r>
        <w:rPr>
          <w:rFonts w:cs="Arial"/>
          <w:sz w:val="24"/>
          <w:szCs w:val="24"/>
        </w:rPr>
        <w:t>, por conducto de su autorizada legal</w:t>
      </w:r>
      <w:r w:rsidRPr="00F11AF4">
        <w:rPr>
          <w:rFonts w:cs="Arial"/>
          <w:sz w:val="24"/>
          <w:szCs w:val="24"/>
        </w:rPr>
        <w:t>,</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DC1CEA" w:rsidRPr="007B0581" w:rsidRDefault="00DC1CEA" w:rsidP="00DC1CEA">
      <w:pPr>
        <w:pStyle w:val="corte4fondo"/>
        <w:ind w:right="51" w:firstLine="567"/>
        <w:rPr>
          <w:rFonts w:cs="Arial"/>
          <w:b/>
          <w:spacing w:val="-3"/>
          <w:sz w:val="24"/>
          <w:szCs w:val="24"/>
        </w:rPr>
      </w:pPr>
    </w:p>
    <w:p w:rsidR="00DC1CEA" w:rsidRDefault="00DC1CEA" w:rsidP="00DC1CEA">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DC1CEA" w:rsidRPr="007B0581" w:rsidRDefault="00DC1CEA" w:rsidP="00DC1CEA">
      <w:pPr>
        <w:pStyle w:val="corte4fondo"/>
        <w:ind w:right="51" w:firstLine="567"/>
        <w:jc w:val="center"/>
        <w:rPr>
          <w:rFonts w:cs="Arial"/>
          <w:b/>
          <w:spacing w:val="-3"/>
          <w:sz w:val="24"/>
          <w:szCs w:val="24"/>
        </w:rPr>
      </w:pPr>
    </w:p>
    <w:p w:rsidR="00DC1CEA" w:rsidRDefault="00DC1CEA" w:rsidP="00DC1CEA">
      <w:pPr>
        <w:pStyle w:val="corte4fondo"/>
        <w:spacing w:line="240" w:lineRule="auto"/>
        <w:ind w:right="51" w:firstLine="567"/>
        <w:contextualSpacing/>
        <w:rPr>
          <w:rFonts w:cs="Arial"/>
          <w:bCs/>
          <w:sz w:val="24"/>
          <w:szCs w:val="24"/>
        </w:rPr>
      </w:pPr>
    </w:p>
    <w:p w:rsidR="00DC1CEA" w:rsidRDefault="00DC1CEA" w:rsidP="00DC1CEA">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con fundamento en el artículo 114 QUATER, párrafo primero, inciso B</w:t>
      </w:r>
      <w:r w:rsidRPr="004911BE">
        <w:rPr>
          <w:rFonts w:ascii="Arial" w:hAnsi="Arial" w:cs="Arial"/>
          <w:sz w:val="24"/>
          <w:szCs w:val="24"/>
        </w:rPr>
        <w:t>, fracción VII</w:t>
      </w:r>
      <w:r w:rsidRPr="00E85A31">
        <w:rPr>
          <w:rFonts w:ascii="Arial" w:hAnsi="Arial" w:cs="Arial"/>
          <w:sz w:val="24"/>
          <w:szCs w:val="24"/>
        </w:rPr>
        <w:t xml:space="preserve"> de</w:t>
      </w:r>
      <w:r w:rsidRPr="007B0581">
        <w:rPr>
          <w:rFonts w:ascii="Arial" w:hAnsi="Arial" w:cs="Arial"/>
          <w:sz w:val="24"/>
          <w:szCs w:val="24"/>
        </w:rPr>
        <w:t xml:space="preserve"> la Constitución Política del Estado Libre y Soberano de Oaxaca; 120, fracción I</w:t>
      </w:r>
      <w:r>
        <w:rPr>
          <w:rFonts w:ascii="Arial" w:hAnsi="Arial" w:cs="Arial"/>
          <w:sz w:val="24"/>
          <w:szCs w:val="24"/>
        </w:rPr>
        <w:t>V</w:t>
      </w:r>
      <w:r w:rsidRPr="007B0581">
        <w:rPr>
          <w:rFonts w:ascii="Arial" w:hAnsi="Arial" w:cs="Arial"/>
          <w:sz w:val="24"/>
          <w:szCs w:val="24"/>
        </w:rPr>
        <w:t>, 132 fraccion</w:t>
      </w:r>
      <w:r w:rsidRPr="00737D98">
        <w:rPr>
          <w:rFonts w:ascii="Arial" w:hAnsi="Arial" w:cs="Arial"/>
          <w:sz w:val="24"/>
          <w:szCs w:val="24"/>
        </w:rPr>
        <w:t>es I y II, 133 f</w:t>
      </w:r>
      <w:r w:rsidRPr="00F31EFC">
        <w:rPr>
          <w:rFonts w:ascii="Arial" w:hAnsi="Arial" w:cs="Arial"/>
          <w:sz w:val="24"/>
          <w:szCs w:val="24"/>
        </w:rPr>
        <w:t>racción I</w:t>
      </w:r>
      <w:r w:rsidRPr="007B0581">
        <w:rPr>
          <w:rFonts w:ascii="Arial" w:hAnsi="Arial" w:cs="Arial"/>
          <w:sz w:val="24"/>
          <w:szCs w:val="24"/>
        </w:rPr>
        <w:t xml:space="preserve">, 146 y 147 de la Ley de Procedimiento y Justicia Administrativa para el Estado de Oaxaca. </w:t>
      </w:r>
    </w:p>
    <w:p w:rsidR="00DC1CEA" w:rsidRPr="007B0581" w:rsidRDefault="00DC1CEA" w:rsidP="00DC1CEA">
      <w:pPr>
        <w:spacing w:line="360" w:lineRule="auto"/>
        <w:ind w:hanging="426"/>
        <w:jc w:val="both"/>
        <w:rPr>
          <w:rFonts w:ascii="Arial" w:hAnsi="Arial" w:cs="Arial"/>
          <w:sz w:val="24"/>
          <w:szCs w:val="24"/>
        </w:rPr>
      </w:pPr>
    </w:p>
    <w:p w:rsidR="00DC1CEA" w:rsidRPr="007B0581" w:rsidRDefault="00DC1CEA" w:rsidP="00DC1CEA">
      <w:pPr>
        <w:spacing w:line="360" w:lineRule="auto"/>
        <w:ind w:firstLine="567"/>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w:t>
      </w:r>
      <w:r>
        <w:rPr>
          <w:rFonts w:ascii="Arial" w:hAnsi="Arial" w:cs="Arial"/>
          <w:sz w:val="24"/>
          <w:szCs w:val="24"/>
        </w:rPr>
        <w:t xml:space="preserve"> por su propio derecho</w:t>
      </w:r>
      <w:r w:rsidRPr="007B0581">
        <w:rPr>
          <w:rFonts w:ascii="Arial" w:hAnsi="Arial" w:cs="Arial"/>
          <w:sz w:val="24"/>
          <w:szCs w:val="24"/>
        </w:rPr>
        <w:t xml:space="preserve"> y </w:t>
      </w:r>
      <w:r>
        <w:rPr>
          <w:rFonts w:ascii="Arial" w:hAnsi="Arial" w:cs="Arial"/>
          <w:sz w:val="24"/>
          <w:szCs w:val="24"/>
        </w:rPr>
        <w:t>la de la autoridad demandada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DC1CEA" w:rsidRPr="007B0581" w:rsidRDefault="00DC1CEA" w:rsidP="00DC1CEA">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DC1CEA" w:rsidRDefault="00DC1CEA" w:rsidP="00DC1CEA">
      <w:pPr>
        <w:pStyle w:val="corte4fondo"/>
        <w:ind w:right="51" w:firstLine="567"/>
        <w:rPr>
          <w:rFonts w:cs="Arial"/>
          <w:bCs/>
          <w:sz w:val="24"/>
          <w:szCs w:val="24"/>
        </w:rPr>
      </w:pPr>
      <w:r w:rsidRPr="007C5299">
        <w:rPr>
          <w:rFonts w:cs="Arial"/>
          <w:b/>
          <w:sz w:val="24"/>
          <w:szCs w:val="24"/>
        </w:rPr>
        <w:t>TERCE</w:t>
      </w:r>
      <w:r w:rsidRPr="009910A0">
        <w:rPr>
          <w:rFonts w:cs="Arial"/>
          <w:b/>
          <w:sz w:val="24"/>
          <w:szCs w:val="24"/>
        </w:rPr>
        <w:t>RO.</w:t>
      </w:r>
      <w:r>
        <w:rPr>
          <w:rFonts w:cs="Arial"/>
          <w:b/>
          <w:sz w:val="24"/>
          <w:szCs w:val="24"/>
        </w:rPr>
        <w:t xml:space="preserve"> </w:t>
      </w:r>
      <w:r w:rsidRPr="009910A0">
        <w:rPr>
          <w:rFonts w:cs="Arial"/>
          <w:b/>
          <w:sz w:val="24"/>
          <w:szCs w:val="24"/>
        </w:rPr>
        <w:t>-</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w:t>
      </w:r>
      <w:r>
        <w:rPr>
          <w:rFonts w:cs="Arial"/>
          <w:bCs/>
          <w:sz w:val="24"/>
          <w:szCs w:val="24"/>
        </w:rPr>
        <w:t xml:space="preserve"> la causal de improcedencia invocada por la autoridad demandada señalada en las fracciones II, del artículo 161, y II, del numeral 162, de la Ley de Procedimiento y Justicia Administrativa para el Estado de Oaxaca, que establecen:</w:t>
      </w:r>
    </w:p>
    <w:p w:rsidR="00DC1CEA" w:rsidRDefault="00DC1CEA" w:rsidP="00DC1CEA">
      <w:pPr>
        <w:pStyle w:val="corte4fondo"/>
        <w:ind w:right="51" w:firstLine="567"/>
        <w:rPr>
          <w:rFonts w:cs="Arial"/>
          <w:bCs/>
          <w:sz w:val="24"/>
          <w:szCs w:val="24"/>
        </w:rPr>
      </w:pPr>
    </w:p>
    <w:p w:rsidR="00DC1CEA" w:rsidRDefault="00DC1CEA" w:rsidP="00DC1CEA">
      <w:pPr>
        <w:pStyle w:val="corte4fondo"/>
        <w:ind w:right="51" w:firstLine="567"/>
        <w:rPr>
          <w:rFonts w:cs="Arial"/>
          <w:bCs/>
          <w:sz w:val="24"/>
          <w:szCs w:val="24"/>
        </w:rPr>
      </w:pPr>
      <w:r w:rsidRPr="000E555E">
        <w:rPr>
          <w:rFonts w:cs="Arial"/>
          <w:bCs/>
          <w:sz w:val="24"/>
          <w:szCs w:val="24"/>
        </w:rPr>
        <w:t>ARTÍCULO 161.- Es improcedente el juicio ante el Tribunal contra actos:</w:t>
      </w:r>
    </w:p>
    <w:p w:rsidR="00DC1CEA" w:rsidRDefault="00DC1CEA" w:rsidP="00DC1CEA">
      <w:pPr>
        <w:pStyle w:val="corte4fondo"/>
        <w:ind w:right="51" w:firstLine="567"/>
        <w:rPr>
          <w:rFonts w:cs="Arial"/>
          <w:bCs/>
          <w:sz w:val="24"/>
          <w:szCs w:val="24"/>
        </w:rPr>
      </w:pPr>
      <w:r w:rsidRPr="00AE22FA">
        <w:rPr>
          <w:rFonts w:cs="Arial"/>
          <w:bCs/>
          <w:sz w:val="24"/>
          <w:szCs w:val="24"/>
        </w:rPr>
        <w:t xml:space="preserve">II. Que no afecten los intereses jurídicos o legítimos del actor; </w:t>
      </w:r>
    </w:p>
    <w:p w:rsidR="00DC1CEA" w:rsidRDefault="00DC1CEA" w:rsidP="00DC1CEA">
      <w:pPr>
        <w:pStyle w:val="corte4fondo"/>
        <w:ind w:right="51" w:firstLine="567"/>
        <w:rPr>
          <w:rFonts w:cs="Arial"/>
          <w:bCs/>
          <w:sz w:val="24"/>
          <w:szCs w:val="24"/>
        </w:rPr>
      </w:pPr>
    </w:p>
    <w:p w:rsidR="00DC1CEA" w:rsidRDefault="00DC1CEA" w:rsidP="00DC1CEA">
      <w:pPr>
        <w:pStyle w:val="corte4fondo"/>
        <w:ind w:right="51" w:firstLine="567"/>
        <w:rPr>
          <w:rFonts w:cs="Arial"/>
          <w:bCs/>
          <w:sz w:val="24"/>
          <w:szCs w:val="24"/>
        </w:rPr>
      </w:pPr>
      <w:r w:rsidRPr="00AE22FA">
        <w:rPr>
          <w:rFonts w:cs="Arial"/>
          <w:bCs/>
          <w:sz w:val="24"/>
          <w:szCs w:val="24"/>
        </w:rPr>
        <w:t>ARTÍCULO 162.- Procede el sobreseimiento del juicio:</w:t>
      </w:r>
    </w:p>
    <w:p w:rsidR="00DC1CEA" w:rsidRDefault="00DC1CEA" w:rsidP="00DC1CEA">
      <w:pPr>
        <w:pStyle w:val="corte4fondo"/>
        <w:ind w:right="51" w:firstLine="567"/>
        <w:rPr>
          <w:rFonts w:cs="Arial"/>
          <w:bCs/>
          <w:sz w:val="24"/>
          <w:szCs w:val="24"/>
        </w:rPr>
      </w:pPr>
      <w:r w:rsidRPr="00AE22FA">
        <w:rPr>
          <w:rFonts w:cs="Arial"/>
          <w:bCs/>
          <w:sz w:val="24"/>
          <w:szCs w:val="24"/>
        </w:rPr>
        <w:t>II. Cuando durante la tramitación del procedimiento sobreviniere alguna de las causas</w:t>
      </w:r>
      <w:r>
        <w:rPr>
          <w:rFonts w:cs="Arial"/>
          <w:bCs/>
          <w:sz w:val="24"/>
          <w:szCs w:val="24"/>
        </w:rPr>
        <w:t xml:space="preserve"> </w:t>
      </w:r>
      <w:r w:rsidRPr="00AE22FA">
        <w:rPr>
          <w:rFonts w:cs="Arial"/>
          <w:bCs/>
          <w:sz w:val="24"/>
          <w:szCs w:val="24"/>
        </w:rPr>
        <w:t>de improcedencia a que se refiere el artículo anterior;</w:t>
      </w:r>
    </w:p>
    <w:p w:rsidR="00DC1CEA" w:rsidRPr="00E04420" w:rsidRDefault="00DC1CEA" w:rsidP="00DC1CEA">
      <w:pPr>
        <w:pStyle w:val="corte4fondo"/>
        <w:ind w:right="51" w:firstLine="567"/>
        <w:rPr>
          <w:rFonts w:cs="Arial"/>
          <w:i/>
          <w:iCs/>
          <w:sz w:val="24"/>
          <w:szCs w:val="24"/>
        </w:rPr>
      </w:pPr>
      <w:r>
        <w:rPr>
          <w:rFonts w:cs="Arial"/>
          <w:sz w:val="24"/>
          <w:szCs w:val="24"/>
        </w:rPr>
        <w:t xml:space="preserve">En ese sentido, la demandada manifestó la falta de interés jurídico o legitimo del actor. Es de señalar, que para acreditar el interés jurídico para la procedencia del juicio administrativo basta con que el acto de autoridad impugnado afecte la </w:t>
      </w:r>
      <w:r>
        <w:rPr>
          <w:rFonts w:cs="Arial"/>
          <w:sz w:val="24"/>
          <w:szCs w:val="24"/>
        </w:rPr>
        <w:lastRenderedPageBreak/>
        <w:t xml:space="preserve">esfera jurídica del actor, para que le asista un interés legítimo para demandar la nulidad de ese acto, resultando intrascendente, para este propósito, que sea, o no, titular del respectivo derecho subjetivo, pues el interés que debe justificar el accionante no es el relativo a acreditar su pretensión, sino el que le asiste para iniciar la acción, esto es, la legitimación para ejercer la acción, más no el deber del actor de acreditar el derecho que alegue que le asiste, pues esto último es cuestión que atañe al fondo del asunto. Sirva de apoyo a lo anteriormente vertido la jurisprudencia publicada en el Semanario Judicial de la Federación y su Gaceta, Tomo XVI, diciembre 2002, página 242, Novena Época, número de registro digital 185376, de rubro siguiente: </w:t>
      </w:r>
      <w:r w:rsidRPr="00E04420">
        <w:rPr>
          <w:rFonts w:cs="Arial"/>
          <w:i/>
          <w:iCs/>
          <w:sz w:val="24"/>
          <w:szCs w:val="24"/>
        </w:rPr>
        <w:t>“</w:t>
      </w:r>
      <w:r w:rsidRPr="00E04420">
        <w:rPr>
          <w:rFonts w:cs="Arial"/>
          <w:i/>
          <w:iCs/>
          <w:color w:val="212529"/>
          <w:sz w:val="24"/>
          <w:szCs w:val="24"/>
          <w:shd w:val="clear" w:color="auto" w:fill="FFFFFF"/>
        </w:rPr>
        <w:t>INTERÉS LEGÍTIMO, NOCIÓN DE, PARA LA PROCEDENCIA DEL JUICIO ANTE EL TRIBUNAL DE LO CONTENCIOSO ADMINISTRATIVO DEL DISTRITO FEDERAL”.</w:t>
      </w:r>
    </w:p>
    <w:p w:rsidR="00DC1CEA" w:rsidRDefault="00DC1CEA" w:rsidP="00DC1CEA">
      <w:pPr>
        <w:pStyle w:val="corte4fondo"/>
        <w:ind w:right="51" w:firstLine="567"/>
        <w:rPr>
          <w:rFonts w:cs="Arial"/>
          <w:sz w:val="24"/>
          <w:szCs w:val="24"/>
        </w:rPr>
      </w:pPr>
    </w:p>
    <w:p w:rsidR="00DC1CEA" w:rsidRDefault="00DC1CEA" w:rsidP="00DC1CEA">
      <w:pPr>
        <w:pStyle w:val="corte4fondo"/>
        <w:ind w:right="51" w:firstLine="567"/>
        <w:rPr>
          <w:rFonts w:cs="Arial"/>
          <w:sz w:val="24"/>
          <w:szCs w:val="24"/>
        </w:rPr>
      </w:pPr>
      <w:r>
        <w:rPr>
          <w:rFonts w:cs="Arial"/>
          <w:sz w:val="24"/>
          <w:szCs w:val="24"/>
        </w:rPr>
        <w:t>Por las consideraciones antes vertidas,</w:t>
      </w:r>
      <w:r w:rsidRPr="007B0581">
        <w:rPr>
          <w:rFonts w:cs="Arial"/>
          <w:sz w:val="24"/>
          <w:szCs w:val="24"/>
        </w:rPr>
        <w:t xml:space="preserv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DC1CEA" w:rsidRPr="007B0581" w:rsidRDefault="00DC1CEA" w:rsidP="00DC1CEA">
      <w:pPr>
        <w:pStyle w:val="corte4fondo"/>
        <w:ind w:right="51" w:firstLine="567"/>
        <w:rPr>
          <w:rFonts w:cs="Arial"/>
          <w:sz w:val="24"/>
          <w:szCs w:val="24"/>
        </w:rPr>
      </w:pPr>
    </w:p>
    <w:p w:rsidR="00DC1CEA" w:rsidRDefault="00DC1CEA" w:rsidP="00DC1CEA">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DC1CEA" w:rsidRPr="007B0581" w:rsidRDefault="00DC1CEA" w:rsidP="00DC1CEA">
      <w:pPr>
        <w:spacing w:line="360" w:lineRule="auto"/>
        <w:jc w:val="both"/>
        <w:rPr>
          <w:rFonts w:ascii="Arial" w:hAnsi="Arial" w:cs="Arial"/>
          <w:sz w:val="24"/>
          <w:szCs w:val="24"/>
        </w:rPr>
      </w:pPr>
    </w:p>
    <w:p w:rsidR="00DC1CEA" w:rsidRDefault="00DC1CEA" w:rsidP="00DC1CEA">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DC1CEA" w:rsidRPr="007B0581" w:rsidRDefault="00DC1CEA" w:rsidP="00DC1CEA">
      <w:pPr>
        <w:pStyle w:val="Textonotapie"/>
        <w:widowControl w:val="0"/>
        <w:spacing w:line="360" w:lineRule="auto"/>
        <w:ind w:firstLine="708"/>
        <w:jc w:val="both"/>
        <w:rPr>
          <w:rFonts w:ascii="Arial" w:hAnsi="Arial" w:cs="Arial"/>
          <w:sz w:val="24"/>
          <w:szCs w:val="24"/>
          <w:lang w:eastAsia="es-MX"/>
        </w:rPr>
      </w:pPr>
    </w:p>
    <w:p w:rsidR="00DC1CEA" w:rsidRDefault="00DC1CEA" w:rsidP="00DC1CEA">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DC1CEA" w:rsidRDefault="00DC1CEA" w:rsidP="00DC1CEA">
      <w:pPr>
        <w:pStyle w:val="Textonotapie"/>
        <w:widowControl w:val="0"/>
        <w:spacing w:line="360" w:lineRule="auto"/>
        <w:ind w:left="1701" w:right="1469"/>
        <w:jc w:val="both"/>
        <w:rPr>
          <w:rFonts w:ascii="Arial" w:hAnsi="Arial" w:cs="Arial"/>
          <w:b/>
          <w:sz w:val="24"/>
          <w:szCs w:val="24"/>
          <w:lang w:eastAsia="es-MX"/>
        </w:rPr>
      </w:pPr>
    </w:p>
    <w:p w:rsidR="00DC1CEA" w:rsidRDefault="00DC1CEA" w:rsidP="00DC1CEA">
      <w:pPr>
        <w:pStyle w:val="Textonotapie"/>
        <w:widowControl w:val="0"/>
        <w:spacing w:line="360" w:lineRule="auto"/>
        <w:ind w:left="1701" w:right="1469"/>
        <w:jc w:val="both"/>
        <w:rPr>
          <w:rFonts w:ascii="Arial" w:hAnsi="Arial" w:cs="Arial"/>
          <w:b/>
          <w:sz w:val="24"/>
          <w:szCs w:val="24"/>
          <w:lang w:eastAsia="es-MX"/>
        </w:rPr>
      </w:pPr>
    </w:p>
    <w:p w:rsidR="00DC1CEA" w:rsidRDefault="00DC1CEA" w:rsidP="00DC1CEA">
      <w:pPr>
        <w:pStyle w:val="Textonotapie"/>
        <w:widowControl w:val="0"/>
        <w:spacing w:line="360" w:lineRule="auto"/>
        <w:ind w:left="1701" w:right="1469"/>
        <w:jc w:val="both"/>
        <w:rPr>
          <w:rFonts w:ascii="Arial" w:hAnsi="Arial" w:cs="Arial"/>
          <w:b/>
          <w:sz w:val="24"/>
          <w:szCs w:val="24"/>
          <w:lang w:eastAsia="es-MX"/>
        </w:rPr>
      </w:pPr>
    </w:p>
    <w:p w:rsidR="00DC1CEA" w:rsidRDefault="00DC1CEA" w:rsidP="00DC1CEA">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 actor</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veintiocho de julio de dos mil veintidós</w:t>
      </w:r>
      <w:r w:rsidRPr="007B0581">
        <w:rPr>
          <w:rFonts w:ascii="Arial" w:hAnsi="Arial" w:cs="Arial"/>
          <w:sz w:val="24"/>
          <w:szCs w:val="24"/>
        </w:rPr>
        <w:t xml:space="preserve">, signado por </w:t>
      </w:r>
      <w:r>
        <w:rPr>
          <w:rFonts w:ascii="Arial" w:hAnsi="Arial" w:cs="Arial"/>
          <w:sz w:val="24"/>
          <w:szCs w:val="24"/>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Dirección de la Policía </w:t>
      </w:r>
      <w:r>
        <w:rPr>
          <w:rFonts w:ascii="Arial" w:hAnsi="Arial" w:cs="Arial"/>
          <w:sz w:val="24"/>
          <w:szCs w:val="24"/>
        </w:rPr>
        <w:lastRenderedPageBreak/>
        <w:t xml:space="preserve">Vial del Municipio de Santa Lucía del Camino, Oaxaca,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satisface los requisitos de debida fundamentación y motivación conforme a lo dispuesto por el artículo 16 de la Constitución Política de los Estados Unidos Mexicanos, pues para que una multa por infracción al Reglamento de Tránsito, Vialidad y Movilidad del Municipio de Santa Lucía del Camino, Oaxaca,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 Asimismo no reúne el elemento de validez que refiere la fracción V del artículo 17 de la Ley de Procedimiento y Justicia Administrativa para el Estado de Oaxaca.</w:t>
      </w:r>
    </w:p>
    <w:p w:rsidR="00DC1CEA" w:rsidRDefault="00DC1CEA" w:rsidP="00DC1CEA">
      <w:pPr>
        <w:pStyle w:val="Textonotapie"/>
        <w:widowControl w:val="0"/>
        <w:spacing w:line="360" w:lineRule="auto"/>
        <w:ind w:right="49" w:firstLine="708"/>
        <w:jc w:val="both"/>
        <w:rPr>
          <w:rFonts w:ascii="Arial" w:hAnsi="Arial" w:cs="Arial"/>
          <w:sz w:val="24"/>
          <w:szCs w:val="24"/>
        </w:rPr>
      </w:pPr>
    </w:p>
    <w:p w:rsidR="00DC1CEA" w:rsidRDefault="00DC1CEA" w:rsidP="00DC1CEA">
      <w:pPr>
        <w:pStyle w:val="Textonotapie"/>
        <w:widowControl w:val="0"/>
        <w:spacing w:line="360" w:lineRule="auto"/>
        <w:ind w:right="49"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4170B7">
        <w:rPr>
          <w:rFonts w:ascii="Arial" w:hAnsi="Arial" w:cs="Arial"/>
          <w:bCs/>
          <w:sz w:val="24"/>
          <w:szCs w:val="24"/>
        </w:rPr>
        <w:t>Policía</w:t>
      </w:r>
      <w:r w:rsidRPr="004170B7">
        <w:rPr>
          <w:rFonts w:cs="Arial"/>
          <w:bCs/>
          <w:sz w:val="24"/>
          <w:szCs w:val="24"/>
        </w:rPr>
        <w:t xml:space="preserve"> </w:t>
      </w:r>
      <w:r w:rsidRPr="004170B7">
        <w:rPr>
          <w:rFonts w:ascii="Arial" w:hAnsi="Arial" w:cs="Arial"/>
          <w:bCs/>
          <w:sz w:val="24"/>
          <w:szCs w:val="24"/>
        </w:rPr>
        <w:t>Vial</w:t>
      </w:r>
      <w:r w:rsidRPr="004170B7">
        <w:rPr>
          <w:rFonts w:cs="Arial"/>
          <w:bCs/>
          <w:sz w:val="24"/>
          <w:szCs w:val="24"/>
        </w:rPr>
        <w:t xml:space="preserve"> </w:t>
      </w:r>
      <w:r w:rsidRPr="004170B7">
        <w:rPr>
          <w:rFonts w:ascii="Arial" w:hAnsi="Arial" w:cs="Arial"/>
          <w:bCs/>
          <w:sz w:val="24"/>
          <w:szCs w:val="24"/>
        </w:rPr>
        <w:t>Municipal</w:t>
      </w:r>
      <w:r w:rsidRPr="00E508B9">
        <w:rPr>
          <w:rFonts w:cs="Arial"/>
          <w:sz w:val="24"/>
          <w:szCs w:val="24"/>
        </w:rPr>
        <w:t>,</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no controvirtió los conceptos de impugnación hechos valer por el actor.</w:t>
      </w:r>
    </w:p>
    <w:p w:rsidR="00DC1CEA" w:rsidRDefault="00DC1CEA" w:rsidP="00DC1CEA">
      <w:pPr>
        <w:pStyle w:val="Textonotapie"/>
        <w:widowControl w:val="0"/>
        <w:spacing w:line="360" w:lineRule="auto"/>
        <w:ind w:right="49" w:firstLine="708"/>
        <w:jc w:val="both"/>
        <w:rPr>
          <w:rFonts w:ascii="Arial" w:hAnsi="Arial" w:cs="Arial"/>
          <w:sz w:val="24"/>
          <w:szCs w:val="24"/>
        </w:rPr>
      </w:pPr>
    </w:p>
    <w:p w:rsidR="00DC1CEA" w:rsidRDefault="00DC1CEA" w:rsidP="00DC1CEA">
      <w:pPr>
        <w:spacing w:line="360" w:lineRule="auto"/>
        <w:ind w:firstLine="709"/>
        <w:contextualSpacing/>
        <w:jc w:val="both"/>
        <w:rPr>
          <w:rFonts w:ascii="Arial" w:hAnsi="Arial" w:cs="Arial"/>
          <w:bCs/>
          <w:sz w:val="24"/>
          <w:szCs w:val="24"/>
        </w:rPr>
      </w:pPr>
      <w:r w:rsidRPr="00EA2391">
        <w:rPr>
          <w:rFonts w:ascii="Arial" w:hAnsi="Arial" w:cs="Arial"/>
          <w:sz w:val="24"/>
          <w:szCs w:val="24"/>
        </w:rPr>
        <w:t>Ahora bien</w:t>
      </w:r>
      <w:r w:rsidRPr="007B0581">
        <w:rPr>
          <w:rFonts w:ascii="Arial" w:hAnsi="Arial" w:cs="Arial"/>
          <w:sz w:val="24"/>
          <w:szCs w:val="24"/>
        </w:rPr>
        <w:t xml:space="preserve">, esta juzgadora después de haber realizado </w:t>
      </w:r>
      <w:r>
        <w:rPr>
          <w:rFonts w:ascii="Arial" w:hAnsi="Arial" w:cs="Arial"/>
          <w:sz w:val="24"/>
          <w:szCs w:val="24"/>
        </w:rPr>
        <w:t>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veintiocho de julio de dos mil veintidós</w:t>
      </w:r>
      <w:r w:rsidRPr="007B0581">
        <w:rPr>
          <w:rFonts w:ascii="Arial" w:hAnsi="Arial" w:cs="Arial"/>
          <w:sz w:val="24"/>
          <w:szCs w:val="24"/>
        </w:rPr>
        <w:t xml:space="preserve">, signado por </w:t>
      </w:r>
      <w:r>
        <w:rPr>
          <w:rFonts w:ascii="Arial" w:hAnsi="Arial" w:cs="Arial"/>
          <w:sz w:val="24"/>
          <w:szCs w:val="24"/>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Dirección de la Policía Vial del Municipio de Santa Lucía del Camino, Oaxaca, </w:t>
      </w:r>
      <w:r>
        <w:rPr>
          <w:rFonts w:cs="Arial"/>
          <w:b/>
          <w:sz w:val="24"/>
          <w:szCs w:val="24"/>
        </w:rPr>
        <w:t>**********</w:t>
      </w:r>
      <w:r>
        <w:rPr>
          <w:rFonts w:ascii="Arial" w:hAnsi="Arial" w:cs="Arial"/>
          <w:sz w:val="24"/>
          <w:szCs w:val="24"/>
        </w:rPr>
        <w:t>,</w:t>
      </w:r>
      <w:r>
        <w:rPr>
          <w:rFonts w:ascii="Arial" w:hAnsi="Arial" w:cs="Arial"/>
          <w:b/>
          <w:bCs/>
          <w:sz w:val="24"/>
          <w:szCs w:val="24"/>
        </w:rPr>
        <w:t xml:space="preserve"> </w:t>
      </w:r>
      <w:r>
        <w:rPr>
          <w:rFonts w:ascii="Arial" w:hAnsi="Arial" w:cs="Arial"/>
          <w:sz w:val="24"/>
          <w:szCs w:val="24"/>
        </w:rPr>
        <w:t>a</w:t>
      </w:r>
      <w:r w:rsidRPr="00EA2391">
        <w:rPr>
          <w:rFonts w:ascii="Arial" w:hAnsi="Arial" w:cs="Arial"/>
          <w:sz w:val="24"/>
          <w:szCs w:val="24"/>
        </w:rPr>
        <w:t>dviert</w:t>
      </w:r>
      <w:r>
        <w:rPr>
          <w:rFonts w:ascii="Arial" w:hAnsi="Arial" w:cs="Arial"/>
          <w:sz w:val="24"/>
          <w:szCs w:val="24"/>
        </w:rPr>
        <w:t>e que son</w:t>
      </w:r>
      <w:r w:rsidRPr="007B0581">
        <w:rPr>
          <w:rFonts w:ascii="Arial" w:hAnsi="Arial" w:cs="Arial"/>
          <w:sz w:val="24"/>
          <w:szCs w:val="24"/>
        </w:rPr>
        <w:t xml:space="preserve"> </w:t>
      </w:r>
      <w:r w:rsidRPr="00007F1E">
        <w:rPr>
          <w:rFonts w:ascii="Arial" w:hAnsi="Arial" w:cs="Arial"/>
          <w:b/>
          <w:bCs/>
          <w:sz w:val="24"/>
          <w:szCs w:val="24"/>
        </w:rPr>
        <w:t>parcialmente</w:t>
      </w:r>
      <w:r>
        <w:rPr>
          <w:rFonts w:ascii="Arial" w:hAnsi="Arial" w:cs="Arial"/>
          <w:sz w:val="24"/>
          <w:szCs w:val="24"/>
        </w:rPr>
        <w:t xml:space="preserve"> </w:t>
      </w:r>
      <w:r>
        <w:rPr>
          <w:rFonts w:ascii="Arial" w:hAnsi="Arial" w:cs="Arial"/>
          <w:b/>
          <w:bCs/>
          <w:sz w:val="24"/>
          <w:szCs w:val="24"/>
        </w:rPr>
        <w:t>fundados</w:t>
      </w:r>
      <w:r w:rsidRPr="007B0581">
        <w:rPr>
          <w:rFonts w:ascii="Arial" w:hAnsi="Arial" w:cs="Arial"/>
          <w:sz w:val="24"/>
          <w:szCs w:val="24"/>
        </w:rPr>
        <w:t xml:space="preserve"> </w:t>
      </w:r>
      <w:r>
        <w:rPr>
          <w:rFonts w:ascii="Arial" w:hAnsi="Arial" w:cs="Arial"/>
          <w:sz w:val="24"/>
          <w:szCs w:val="24"/>
        </w:rPr>
        <w:t xml:space="preserve">los </w:t>
      </w:r>
      <w:r w:rsidRPr="007B0581">
        <w:rPr>
          <w:rFonts w:ascii="Arial" w:hAnsi="Arial" w:cs="Arial"/>
          <w:sz w:val="24"/>
          <w:szCs w:val="24"/>
        </w:rPr>
        <w:t>concepto</w:t>
      </w:r>
      <w:r>
        <w:rPr>
          <w:rFonts w:ascii="Arial" w:hAnsi="Arial" w:cs="Arial"/>
          <w:sz w:val="24"/>
          <w:szCs w:val="24"/>
        </w:rPr>
        <w:t>s</w:t>
      </w:r>
      <w:r w:rsidRPr="007B0581">
        <w:rPr>
          <w:rFonts w:ascii="Arial" w:hAnsi="Arial" w:cs="Arial"/>
          <w:sz w:val="24"/>
          <w:szCs w:val="24"/>
        </w:rPr>
        <w:t xml:space="preserve">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 xml:space="preserve">el actor </w:t>
      </w:r>
      <w:r w:rsidRPr="007B0581">
        <w:rPr>
          <w:rFonts w:ascii="Arial" w:hAnsi="Arial" w:cs="Arial"/>
          <w:sz w:val="24"/>
          <w:szCs w:val="24"/>
        </w:rPr>
        <w:t xml:space="preserve">en el sentido que </w:t>
      </w:r>
      <w:r w:rsidRPr="00402863">
        <w:rPr>
          <w:rFonts w:ascii="Arial" w:hAnsi="Arial" w:cs="Arial"/>
          <w:bCs/>
          <w:sz w:val="24"/>
          <w:szCs w:val="24"/>
        </w:rPr>
        <w:t>carece de la debida fundamentación</w:t>
      </w:r>
      <w:r>
        <w:rPr>
          <w:rFonts w:ascii="Arial" w:hAnsi="Arial" w:cs="Arial"/>
          <w:bCs/>
          <w:sz w:val="24"/>
          <w:szCs w:val="24"/>
        </w:rPr>
        <w:t xml:space="preserve">. Se dice lo anterior en razón que si bien es cierto que </w:t>
      </w:r>
      <w:r w:rsidRPr="00402863">
        <w:rPr>
          <w:rFonts w:ascii="Arial" w:hAnsi="Arial" w:cs="Arial"/>
          <w:bCs/>
          <w:sz w:val="24"/>
          <w:szCs w:val="24"/>
        </w:rPr>
        <w:t>la autoridad demandada</w:t>
      </w:r>
      <w:r>
        <w:rPr>
          <w:rFonts w:ascii="Arial" w:hAnsi="Arial" w:cs="Arial"/>
          <w:bCs/>
          <w:sz w:val="24"/>
          <w:szCs w:val="24"/>
        </w:rPr>
        <w:t xml:space="preserve"> para fundar su actuar plasmó el artículo 123, fracción I del Reglamento de Tránsito, Vialidad y Movilidad del Municipio de Santa Lucía del Camino, Oaxaca, también lo es, que la citada fracción contempla siete incisos, siendo imperioso para la autoridad el plasmar además del artículo, fracción, ley, el inciso aplicable al caso concreto cuando la norma contemple diversos supuestos, como lo es en el presente asunto, y toda vez que la demandada no citó el inciso que regula la supuesta conducta infractora del actor, </w:t>
      </w:r>
      <w:r w:rsidRPr="00B41498">
        <w:rPr>
          <w:rFonts w:ascii="Arial" w:hAnsi="Arial" w:cs="Arial"/>
          <w:bCs/>
          <w:sz w:val="24"/>
          <w:szCs w:val="24"/>
        </w:rPr>
        <w:t>dej</w:t>
      </w:r>
      <w:r>
        <w:rPr>
          <w:rFonts w:ascii="Arial" w:hAnsi="Arial" w:cs="Arial"/>
          <w:bCs/>
          <w:sz w:val="24"/>
          <w:szCs w:val="24"/>
        </w:rPr>
        <w:t>ó a éste en incertidumbre jurídica al no saber cuál de los siete supuesto que contempla la norma contenida en el Reglamento de Tránsito, Vialidad y Movilidad del Municipio de Santa Lucía del Camino, Oaxaca, fue el que supuestamente infringió, y en su oportunidad efectuar su de</w:t>
      </w:r>
      <w:r w:rsidRPr="0077380F">
        <w:rPr>
          <w:rFonts w:ascii="Arial" w:hAnsi="Arial" w:cs="Arial"/>
          <w:bCs/>
          <w:sz w:val="24"/>
          <w:szCs w:val="24"/>
        </w:rPr>
        <w:t>fensa</w:t>
      </w:r>
    </w:p>
    <w:p w:rsidR="00DC1CEA" w:rsidRDefault="00DC1CEA" w:rsidP="00DC1CEA">
      <w:pPr>
        <w:spacing w:line="360" w:lineRule="auto"/>
        <w:ind w:firstLine="709"/>
        <w:contextualSpacing/>
        <w:jc w:val="both"/>
        <w:rPr>
          <w:rFonts w:ascii="Arial" w:hAnsi="Arial" w:cs="Arial"/>
          <w:bCs/>
          <w:sz w:val="24"/>
          <w:szCs w:val="24"/>
        </w:rPr>
      </w:pPr>
    </w:p>
    <w:p w:rsidR="00DC1CEA" w:rsidRDefault="00DC1CEA" w:rsidP="00DC1CEA">
      <w:pPr>
        <w:pStyle w:val="NormalWeb"/>
        <w:spacing w:before="0" w:beforeAutospacing="0" w:after="0" w:afterAutospacing="0" w:line="360" w:lineRule="auto"/>
        <w:ind w:firstLine="567"/>
        <w:jc w:val="both"/>
        <w:rPr>
          <w:rFonts w:ascii="Arial" w:hAnsi="Arial" w:cs="Arial"/>
          <w:bCs/>
        </w:rPr>
      </w:pPr>
      <w:r>
        <w:rPr>
          <w:rFonts w:ascii="Arial" w:hAnsi="Arial" w:cs="Arial"/>
          <w:bCs/>
        </w:rPr>
        <w:t>En razón de lo antes expuesto y ante la ilegalidad del acto impugnado,</w:t>
      </w:r>
      <w:r w:rsidRPr="00A84B6D">
        <w:rPr>
          <w:rFonts w:ascii="Arial" w:hAnsi="Arial" w:cs="Arial"/>
        </w:rPr>
        <w:t xml:space="preserve"> con fundamento en lo dispuesto por el artículo 208 fracci</w:t>
      </w:r>
      <w:r>
        <w:rPr>
          <w:rFonts w:ascii="Arial" w:hAnsi="Arial" w:cs="Arial"/>
        </w:rPr>
        <w:t>ones II y</w:t>
      </w:r>
      <w:r w:rsidRPr="00A84B6D">
        <w:rPr>
          <w:rFonts w:ascii="Arial" w:hAnsi="Arial" w:cs="Arial"/>
        </w:rPr>
        <w:t xml:space="preserve"> VI, de la Ley de Procedimiento y Justicia Administrativa para el Estado de  Oaxaca, se declara la </w:t>
      </w:r>
      <w:r w:rsidRPr="00A84B6D">
        <w:rPr>
          <w:rFonts w:ascii="Arial" w:hAnsi="Arial" w:cs="Arial"/>
          <w:b/>
        </w:rPr>
        <w:t>NULIDAD LISA Y LLANA</w:t>
      </w:r>
      <w:r w:rsidRPr="00A84B6D">
        <w:rPr>
          <w:rFonts w:ascii="Arial" w:hAnsi="Arial" w:cs="Arial"/>
        </w:rPr>
        <w:t xml:space="preserve"> del acta de infracción con número de folio </w:t>
      </w:r>
      <w:r>
        <w:rPr>
          <w:rFonts w:cs="Arial"/>
          <w:b/>
        </w:rPr>
        <w:t>**********</w:t>
      </w:r>
      <w:r>
        <w:rPr>
          <w:rFonts w:cs="Arial"/>
          <w:b/>
        </w:rPr>
        <w:t xml:space="preserve"> </w:t>
      </w:r>
      <w:r w:rsidRPr="007B0581">
        <w:rPr>
          <w:rFonts w:ascii="Arial" w:hAnsi="Arial" w:cs="Arial"/>
        </w:rPr>
        <w:t xml:space="preserve"> de </w:t>
      </w:r>
      <w:r>
        <w:rPr>
          <w:rFonts w:ascii="Arial" w:hAnsi="Arial" w:cs="Arial"/>
        </w:rPr>
        <w:t>veintiocho de julio de dos mil veintidós</w:t>
      </w:r>
      <w:r w:rsidRPr="007B0581">
        <w:rPr>
          <w:rFonts w:ascii="Arial" w:hAnsi="Arial" w:cs="Arial"/>
        </w:rPr>
        <w:t xml:space="preserve">, signado por </w:t>
      </w:r>
      <w:r>
        <w:rPr>
          <w:rFonts w:ascii="Arial" w:hAnsi="Arial" w:cs="Arial"/>
        </w:rPr>
        <w:t xml:space="preserve">la </w:t>
      </w:r>
      <w:r w:rsidRPr="00AF5681">
        <w:rPr>
          <w:rFonts w:ascii="Arial" w:hAnsi="Arial" w:cs="Arial"/>
          <w:bCs/>
        </w:rPr>
        <w:t>Policía Vial</w:t>
      </w:r>
      <w:r>
        <w:rPr>
          <w:rFonts w:ascii="Arial" w:hAnsi="Arial" w:cs="Arial"/>
          <w:bCs/>
        </w:rPr>
        <w:t xml:space="preserve"> Municipal</w:t>
      </w:r>
      <w:r>
        <w:rPr>
          <w:rFonts w:ascii="Arial" w:hAnsi="Arial" w:cs="Arial"/>
        </w:rPr>
        <w:t xml:space="preserve">, adscrita </w:t>
      </w:r>
      <w:r>
        <w:rPr>
          <w:rFonts w:ascii="Arial" w:hAnsi="Arial" w:cs="Arial"/>
        </w:rPr>
        <w:lastRenderedPageBreak/>
        <w:t xml:space="preserve">a la Dirección de la Policía Vial del Municipio de Santa Lucía del Camino, Oaxaca, </w:t>
      </w:r>
      <w:r>
        <w:rPr>
          <w:rFonts w:cs="Arial"/>
          <w:b/>
        </w:rPr>
        <w:t>**********</w:t>
      </w:r>
      <w:r w:rsidRPr="00A84B6D">
        <w:rPr>
          <w:rFonts w:ascii="Arial" w:hAnsi="Arial" w:cs="Arial"/>
        </w:rPr>
        <w:t xml:space="preserve">, </w:t>
      </w:r>
      <w:r w:rsidRPr="00A84B6D">
        <w:rPr>
          <w:rFonts w:ascii="Arial" w:hAnsi="Arial" w:cs="Arial"/>
          <w:bCs/>
        </w:rPr>
        <w:t xml:space="preserve">ordenándose dar de baja el acto impugnado </w:t>
      </w:r>
      <w:r>
        <w:rPr>
          <w:rFonts w:ascii="Arial" w:hAnsi="Arial" w:cs="Arial"/>
          <w:bCs/>
        </w:rPr>
        <w:t>de</w:t>
      </w:r>
      <w:r w:rsidRPr="00A84B6D">
        <w:rPr>
          <w:rFonts w:ascii="Arial" w:hAnsi="Arial" w:cs="Arial"/>
          <w:bCs/>
        </w:rPr>
        <w:t xml:space="preserve"> los registros correspondientes de la autoridad demandada.</w:t>
      </w:r>
    </w:p>
    <w:p w:rsidR="00DC1CEA" w:rsidRDefault="00DC1CEA" w:rsidP="00DC1CEA">
      <w:pPr>
        <w:pStyle w:val="NormalWeb"/>
        <w:spacing w:before="0" w:beforeAutospacing="0" w:after="0" w:afterAutospacing="0" w:line="360" w:lineRule="auto"/>
        <w:ind w:firstLine="567"/>
        <w:jc w:val="both"/>
        <w:rPr>
          <w:rFonts w:ascii="Arial" w:hAnsi="Arial" w:cs="Arial"/>
          <w:bCs/>
        </w:rPr>
      </w:pPr>
    </w:p>
    <w:p w:rsidR="00DC1CEA" w:rsidRPr="007B0581" w:rsidRDefault="00DC1CEA" w:rsidP="00DC1CEA">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1339D3">
        <w:rPr>
          <w:rFonts w:ascii="Arial" w:hAnsi="Arial" w:cs="Arial"/>
          <w:b/>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DC1CEA" w:rsidRPr="007B0581" w:rsidRDefault="00DC1CEA" w:rsidP="00DC1CEA">
      <w:pPr>
        <w:spacing w:line="360" w:lineRule="auto"/>
        <w:ind w:right="-93" w:firstLine="708"/>
        <w:jc w:val="both"/>
        <w:rPr>
          <w:rFonts w:ascii="Arial" w:eastAsia="Calibri" w:hAnsi="Arial" w:cs="Arial"/>
          <w:color w:val="000000"/>
          <w:sz w:val="24"/>
          <w:szCs w:val="24"/>
          <w:lang w:val="es-MX" w:eastAsia="en-US"/>
        </w:rPr>
      </w:pPr>
    </w:p>
    <w:p w:rsidR="00DC1CEA" w:rsidRDefault="00DC1CEA" w:rsidP="00DC1CEA">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5655B3">
        <w:rPr>
          <w:rFonts w:ascii="Arial" w:eastAsia="Calibri" w:hAnsi="Arial" w:cs="Arial"/>
          <w:color w:val="000000"/>
          <w:sz w:val="24"/>
          <w:szCs w:val="24"/>
          <w:lang w:val="es-MX" w:eastAsia="en-US"/>
        </w:rPr>
        <w:t>207, 208, fracciones</w:t>
      </w:r>
      <w:r w:rsidRPr="007B0581">
        <w:rPr>
          <w:rFonts w:ascii="Arial" w:eastAsia="Calibri" w:hAnsi="Arial" w:cs="Arial"/>
          <w:color w:val="000000"/>
          <w:sz w:val="24"/>
          <w:szCs w:val="24"/>
          <w:lang w:val="es-MX" w:eastAsia="en-US"/>
        </w:rPr>
        <w:t xml:space="preserve"> II y VI, y 209, de la Ley de Procedimiento y Justicia Administrativa para el Estado de Oaxaca, se; </w:t>
      </w:r>
    </w:p>
    <w:p w:rsidR="00DC1CEA" w:rsidRDefault="00DC1CEA" w:rsidP="00DC1CEA">
      <w:pPr>
        <w:spacing w:line="360" w:lineRule="auto"/>
        <w:ind w:firstLine="708"/>
        <w:jc w:val="both"/>
        <w:rPr>
          <w:rFonts w:ascii="Arial" w:eastAsia="Calibri" w:hAnsi="Arial" w:cs="Arial"/>
          <w:color w:val="000000"/>
          <w:sz w:val="24"/>
          <w:szCs w:val="24"/>
          <w:lang w:val="es-MX" w:eastAsia="en-US"/>
        </w:rPr>
      </w:pPr>
    </w:p>
    <w:p w:rsidR="00DC1CEA" w:rsidRDefault="00DC1CEA" w:rsidP="00DC1CEA">
      <w:pPr>
        <w:spacing w:line="360" w:lineRule="auto"/>
        <w:ind w:firstLine="708"/>
        <w:jc w:val="both"/>
        <w:rPr>
          <w:rFonts w:ascii="Arial" w:eastAsia="Calibri" w:hAnsi="Arial" w:cs="Arial"/>
          <w:color w:val="000000"/>
          <w:sz w:val="24"/>
          <w:szCs w:val="24"/>
          <w:lang w:val="es-MX" w:eastAsia="en-US"/>
        </w:rPr>
      </w:pPr>
    </w:p>
    <w:p w:rsidR="00DC1CEA" w:rsidRDefault="00DC1CEA" w:rsidP="00DC1CEA">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DC1CEA" w:rsidRDefault="00DC1CEA" w:rsidP="00DC1CEA">
      <w:pPr>
        <w:tabs>
          <w:tab w:val="left" w:pos="3786"/>
        </w:tabs>
        <w:spacing w:line="360" w:lineRule="auto"/>
        <w:ind w:firstLine="708"/>
        <w:jc w:val="both"/>
        <w:rPr>
          <w:rFonts w:ascii="Arial" w:hAnsi="Arial" w:cs="Arial"/>
          <w:b/>
          <w:sz w:val="24"/>
          <w:szCs w:val="24"/>
        </w:rPr>
      </w:pPr>
    </w:p>
    <w:p w:rsidR="00DC1CEA" w:rsidRDefault="00DC1CEA" w:rsidP="00DC1CEA">
      <w:pPr>
        <w:tabs>
          <w:tab w:val="left" w:pos="3786"/>
        </w:tabs>
        <w:spacing w:line="360" w:lineRule="auto"/>
        <w:ind w:firstLine="708"/>
        <w:jc w:val="both"/>
        <w:rPr>
          <w:rFonts w:ascii="Arial" w:hAnsi="Arial" w:cs="Arial"/>
          <w:b/>
          <w:sz w:val="24"/>
          <w:szCs w:val="24"/>
        </w:rPr>
      </w:pPr>
    </w:p>
    <w:p w:rsidR="00DC1CEA" w:rsidRPr="007B0581" w:rsidRDefault="00DC1CEA" w:rsidP="00DC1CEA">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DC1CEA" w:rsidRPr="007B0581" w:rsidRDefault="00DC1CEA" w:rsidP="00DC1CEA">
      <w:pPr>
        <w:pStyle w:val="Textoindependiente"/>
        <w:ind w:firstLine="709"/>
        <w:contextualSpacing/>
        <w:jc w:val="both"/>
        <w:rPr>
          <w:rFonts w:ascii="Arial" w:hAnsi="Arial" w:cs="Arial"/>
          <w:b/>
          <w:sz w:val="24"/>
          <w:szCs w:val="24"/>
        </w:rPr>
      </w:pPr>
    </w:p>
    <w:p w:rsidR="00DC1CEA" w:rsidRPr="007B0581" w:rsidRDefault="00DC1CEA" w:rsidP="00DC1CEA">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DC1CEA" w:rsidRDefault="00DC1CEA" w:rsidP="00DC1CEA">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5655B3">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DC1CEA" w:rsidRPr="007B0581" w:rsidRDefault="00DC1CEA" w:rsidP="00DC1CEA">
      <w:pPr>
        <w:ind w:right="51"/>
        <w:contextualSpacing/>
        <w:jc w:val="both"/>
        <w:rPr>
          <w:rFonts w:ascii="Arial" w:hAnsi="Arial" w:cs="Arial"/>
          <w:sz w:val="24"/>
          <w:szCs w:val="24"/>
          <w:lang w:val="es-MX"/>
        </w:rPr>
      </w:pPr>
    </w:p>
    <w:p w:rsidR="00DC1CEA" w:rsidRDefault="00DC1CEA" w:rsidP="00DC1CEA">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veintiocho de julio de dos mil veintidós</w:t>
      </w:r>
      <w:r w:rsidRPr="007B0581">
        <w:rPr>
          <w:rFonts w:ascii="Arial" w:hAnsi="Arial" w:cs="Arial"/>
          <w:sz w:val="24"/>
          <w:szCs w:val="24"/>
        </w:rPr>
        <w:t xml:space="preserve">, signado por </w:t>
      </w:r>
      <w:r>
        <w:rPr>
          <w:rFonts w:ascii="Arial" w:hAnsi="Arial" w:cs="Arial"/>
          <w:sz w:val="24"/>
          <w:szCs w:val="24"/>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Dirección de la Policía Vial del Municipio de Santa Lucía del Camino, Oaxaca, </w:t>
      </w:r>
      <w:r>
        <w:rPr>
          <w:rFonts w:cs="Arial"/>
          <w:b/>
          <w:sz w:val="24"/>
          <w:szCs w:val="24"/>
        </w:rPr>
        <w:t>**********</w:t>
      </w:r>
      <w:bookmarkStart w:id="3" w:name="_GoBack"/>
      <w:bookmarkEnd w:id="3"/>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resolución.</w:t>
      </w:r>
      <w:r w:rsidRPr="007B0581">
        <w:rPr>
          <w:rFonts w:ascii="Arial" w:hAnsi="Arial" w:cs="Arial"/>
          <w:sz w:val="24"/>
          <w:szCs w:val="24"/>
        </w:rPr>
        <w:t xml:space="preserve"> </w:t>
      </w:r>
    </w:p>
    <w:p w:rsidR="00DC1CEA" w:rsidRDefault="00DC1CEA" w:rsidP="00DC1CEA">
      <w:pPr>
        <w:spacing w:line="360" w:lineRule="auto"/>
        <w:ind w:right="51" w:firstLine="567"/>
        <w:jc w:val="both"/>
        <w:rPr>
          <w:rFonts w:ascii="Arial" w:hAnsi="Arial" w:cs="Arial"/>
          <w:b/>
          <w:sz w:val="24"/>
          <w:szCs w:val="24"/>
        </w:rPr>
      </w:pPr>
    </w:p>
    <w:p w:rsidR="00DC1CEA" w:rsidRDefault="00DC1CEA" w:rsidP="00DC1CEA">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w:t>
      </w:r>
      <w:r w:rsidRPr="007B0581">
        <w:rPr>
          <w:rFonts w:ascii="Arial" w:eastAsia="Calibri" w:hAnsi="Arial" w:cs="Arial"/>
          <w:color w:val="000000"/>
          <w:sz w:val="24"/>
          <w:szCs w:val="24"/>
          <w:lang w:val="es-MX" w:eastAsia="en-US"/>
        </w:rPr>
        <w:lastRenderedPageBreak/>
        <w:t xml:space="preserve">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DC1CEA" w:rsidRDefault="00DC1CEA" w:rsidP="00DC1CEA">
      <w:pPr>
        <w:spacing w:line="360" w:lineRule="auto"/>
        <w:ind w:right="51" w:firstLine="567"/>
        <w:jc w:val="both"/>
        <w:rPr>
          <w:rFonts w:ascii="Arial" w:eastAsia="Calibri" w:hAnsi="Arial" w:cs="Arial"/>
          <w:b/>
          <w:color w:val="000000"/>
          <w:sz w:val="24"/>
          <w:szCs w:val="24"/>
          <w:lang w:val="es-MX" w:eastAsia="en-US"/>
        </w:rPr>
      </w:pPr>
    </w:p>
    <w:p w:rsidR="00DC1CEA" w:rsidRPr="007B0581" w:rsidRDefault="00DC1CEA" w:rsidP="00DC1CEA">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CEA" w:rsidRDefault="00DC1CEA" w:rsidP="00DC1CEA">
      <w:r>
        <w:separator/>
      </w:r>
    </w:p>
  </w:endnote>
  <w:endnote w:type="continuationSeparator" w:id="0">
    <w:p w:rsidR="00DC1CEA" w:rsidRDefault="00DC1CEA" w:rsidP="00DC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DC1CEA">
        <w:pPr>
          <w:pStyle w:val="Piedepgina"/>
          <w:jc w:val="center"/>
        </w:pPr>
        <w:r>
          <w:fldChar w:fldCharType="begin"/>
        </w:r>
        <w:r>
          <w:instrText>PAGE   \* MERGEFORMAT</w:instrText>
        </w:r>
        <w:r>
          <w:fldChar w:fldCharType="separate"/>
        </w:r>
        <w:r>
          <w:rPr>
            <w:noProof/>
          </w:rPr>
          <w:t>2</w:t>
        </w:r>
        <w:r>
          <w:fldChar w:fldCharType="end"/>
        </w:r>
      </w:p>
    </w:sdtContent>
  </w:sdt>
  <w:p w:rsidR="009525A3" w:rsidRDefault="00DC1CE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CEA" w:rsidRDefault="00DC1CEA">
    <w:pPr>
      <w:pStyle w:val="Piedepgina"/>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61D53461" wp14:editId="4B474EB9">
              <wp:simplePos x="0" y="0"/>
              <wp:positionH relativeFrom="leftMargin">
                <wp:posOffset>240772</wp:posOffset>
              </wp:positionH>
              <wp:positionV relativeFrom="paragraph">
                <wp:posOffset>-5525745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C1CEA" w:rsidRDefault="00DC1CEA" w:rsidP="00DC1CE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D53461" id="_x0000_t202" coordsize="21600,21600" o:spt="202" path="m,l,21600r21600,l21600,xe">
              <v:stroke joinstyle="miter"/>
              <v:path gradientshapeok="t" o:connecttype="rect"/>
            </v:shapetype>
            <v:shape id="Cuadro de texto 4" o:spid="_x0000_s1027" type="#_x0000_t202" style="position:absolute;margin-left:18.95pt;margin-top:-435.1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">
              <v:textbox>
                <w:txbxContent>
                  <w:p w:rsidR="00DC1CEA" w:rsidRDefault="00DC1CEA" w:rsidP="00DC1CEA">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CEA" w:rsidRDefault="00DC1CEA" w:rsidP="00DC1CEA">
      <w:r>
        <w:separator/>
      </w:r>
    </w:p>
  </w:footnote>
  <w:footnote w:type="continuationSeparator" w:id="0">
    <w:p w:rsidR="00DC1CEA" w:rsidRDefault="00DC1CEA" w:rsidP="00DC1C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DC1CEA"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35677818" wp14:editId="5D76F4C1">
              <wp:simplePos x="0" y="0"/>
              <wp:positionH relativeFrom="leftMargin">
                <wp:posOffset>252647</wp:posOffset>
              </wp:positionH>
              <wp:positionV relativeFrom="paragraph">
                <wp:posOffset>3619558</wp:posOffset>
              </wp:positionV>
              <wp:extent cx="1046480" cy="1504950"/>
              <wp:effectExtent l="0" t="0" r="2032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C1CEA" w:rsidRDefault="00DC1CEA" w:rsidP="00DC1CE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677818" id="_x0000_t202" coordsize="21600,21600" o:spt="202" path="m,l,21600r21600,l21600,xe">
              <v:stroke joinstyle="miter"/>
              <v:path gradientshapeok="t" o:connecttype="rect"/>
            </v:shapetype>
            <v:shape id="Cuadro de texto 6" o:spid="_x0000_s1026" type="#_x0000_t202" style="position:absolute;left:0;text-align:left;margin-left:19.9pt;margin-top:28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">
              <v:textbox>
                <w:txbxContent>
                  <w:p w:rsidR="00DC1CEA" w:rsidRDefault="00DC1CEA" w:rsidP="00DC1CEA">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7C837C32" wp14:editId="5B407B9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w:t>
    </w:r>
    <w:r>
      <w:rPr>
        <w:rFonts w:ascii="Arial" w:hAnsi="Arial" w:cs="Arial"/>
      </w:rPr>
      <w:t>86</w:t>
    </w:r>
    <w:r w:rsidRPr="00A73AD7">
      <w:rPr>
        <w:rFonts w:ascii="Arial" w:hAnsi="Arial" w:cs="Arial"/>
      </w:rPr>
      <w:t>/20</w:t>
    </w:r>
    <w:r>
      <w:rPr>
        <w:rFonts w:ascii="Arial" w:hAnsi="Arial" w:cs="Arial"/>
      </w:rPr>
      <w:t>2</w:t>
    </w:r>
    <w:r>
      <w:rPr>
        <w:rFonts w:ascii="Arial" w:hAnsi="Arial" w:cs="Arial"/>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DC1CEA">
    <w:pPr>
      <w:pStyle w:val="Encabezado"/>
    </w:pPr>
    <w:r>
      <w:rPr>
        <w:noProof/>
        <w:lang w:val="es-MX"/>
      </w:rPr>
      <w:drawing>
        <wp:anchor distT="0" distB="0" distL="114300" distR="114300" simplePos="0" relativeHeight="251661312" behindDoc="1" locked="0" layoutInCell="1" allowOverlap="1" wp14:anchorId="6F9E25B1" wp14:editId="2118DA22">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5175144E" wp14:editId="1398D8E5">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CEA"/>
    <w:rsid w:val="00294EC6"/>
    <w:rsid w:val="004B1DB0"/>
    <w:rsid w:val="005223BF"/>
    <w:rsid w:val="00685BC3"/>
    <w:rsid w:val="00AC77AC"/>
    <w:rsid w:val="00DC1C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BBB0007-A318-4F07-9C2C-6C90C0C82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CE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DC1CEA"/>
    <w:pPr>
      <w:spacing w:after="120"/>
    </w:pPr>
    <w:rPr>
      <w:lang w:val="x-none"/>
    </w:rPr>
  </w:style>
  <w:style w:type="character" w:customStyle="1" w:styleId="TextoindependienteCar">
    <w:name w:val="Texto independiente Car"/>
    <w:basedOn w:val="Fuentedeprrafopredeter"/>
    <w:link w:val="Textoindependiente"/>
    <w:uiPriority w:val="99"/>
    <w:rsid w:val="00DC1CEA"/>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DC1CEA"/>
    <w:pPr>
      <w:autoSpaceDE w:val="0"/>
      <w:autoSpaceDN w:val="0"/>
    </w:pPr>
    <w:rPr>
      <w:lang w:eastAsia="es-ES"/>
    </w:rPr>
  </w:style>
  <w:style w:type="character" w:customStyle="1" w:styleId="TextonotapieCar">
    <w:name w:val="Texto nota pie Car"/>
    <w:basedOn w:val="Fuentedeprrafopredeter"/>
    <w:link w:val="Textonotapie"/>
    <w:uiPriority w:val="99"/>
    <w:rsid w:val="00DC1CEA"/>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DC1CE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DC1CEA"/>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DC1CEA"/>
    <w:pPr>
      <w:tabs>
        <w:tab w:val="center" w:pos="4419"/>
        <w:tab w:val="right" w:pos="8838"/>
      </w:tabs>
    </w:pPr>
  </w:style>
  <w:style w:type="character" w:customStyle="1" w:styleId="EncabezadoCar">
    <w:name w:val="Encabezado Car"/>
    <w:basedOn w:val="Fuentedeprrafopredeter"/>
    <w:link w:val="Encabezado"/>
    <w:uiPriority w:val="99"/>
    <w:rsid w:val="00DC1CEA"/>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DC1CEA"/>
    <w:pPr>
      <w:tabs>
        <w:tab w:val="center" w:pos="4419"/>
        <w:tab w:val="right" w:pos="8838"/>
      </w:tabs>
    </w:pPr>
  </w:style>
  <w:style w:type="character" w:customStyle="1" w:styleId="PiedepginaCar">
    <w:name w:val="Pie de página Car"/>
    <w:basedOn w:val="Fuentedeprrafopredeter"/>
    <w:link w:val="Piedepgina"/>
    <w:uiPriority w:val="99"/>
    <w:rsid w:val="00DC1CEA"/>
    <w:rPr>
      <w:rFonts w:ascii="Times New Roman" w:eastAsia="Times New Roman" w:hAnsi="Times New Roman" w:cs="Times New Roman"/>
      <w:sz w:val="20"/>
      <w:szCs w:val="20"/>
      <w:lang w:val="es-ES" w:eastAsia="es-MX"/>
    </w:rPr>
  </w:style>
  <w:style w:type="paragraph" w:styleId="NormalWeb">
    <w:name w:val="Normal (Web)"/>
    <w:basedOn w:val="Normal"/>
    <w:uiPriority w:val="99"/>
    <w:unhideWhenUsed/>
    <w:rsid w:val="00DC1CEA"/>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CFC"/>
    <w:rsid w:val="007A0C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A484B01F1EB4405904F2AC26BB92AE6">
    <w:name w:val="0A484B01F1EB4405904F2AC26BB92AE6"/>
    <w:rsid w:val="007A0C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1737</Words>
  <Characters>9556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2023-04-14T15:53:00Z</dcterms:created>
  <dcterms:modified xsi:type="dcterms:W3CDTF">2023-04-14T16:02:00Z</dcterms:modified>
</cp:coreProperties>
</file>