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400" w:rsidRDefault="006C4400" w:rsidP="006C4400">
      <w:pPr>
        <w:pStyle w:val="corte4fondo"/>
        <w:spacing w:line="276" w:lineRule="auto"/>
        <w:ind w:left="4479" w:right="51" w:firstLine="0"/>
        <w:rPr>
          <w:b/>
          <w:sz w:val="24"/>
          <w:szCs w:val="24"/>
        </w:rPr>
      </w:pPr>
      <w:r>
        <w:rPr>
          <w:b/>
          <w:sz w:val="24"/>
          <w:szCs w:val="24"/>
        </w:rPr>
        <w:t>QUINTA SALA UNITARIA DE PRIMERA INSTANCIA DEL TRIBUNAL DE JUSTICIA ADMINISTRATIVA DEL ESTADO DE OAXACA.</w:t>
      </w:r>
    </w:p>
    <w:p w:rsidR="006C4400" w:rsidRDefault="006C4400" w:rsidP="006C4400">
      <w:pPr>
        <w:pStyle w:val="corte4fondo"/>
        <w:spacing w:line="276" w:lineRule="auto"/>
        <w:ind w:left="4395" w:right="-521" w:firstLine="0"/>
        <w:rPr>
          <w:b/>
          <w:sz w:val="24"/>
          <w:szCs w:val="24"/>
        </w:rPr>
      </w:pPr>
    </w:p>
    <w:p w:rsidR="006C4400" w:rsidRDefault="006C4400" w:rsidP="006C4400">
      <w:pPr>
        <w:pStyle w:val="corte4fondo"/>
        <w:spacing w:line="276" w:lineRule="auto"/>
        <w:ind w:left="4395" w:right="-521" w:firstLine="0"/>
        <w:rPr>
          <w:sz w:val="24"/>
          <w:szCs w:val="24"/>
        </w:rPr>
      </w:pPr>
      <w:r>
        <w:rPr>
          <w:b/>
          <w:sz w:val="24"/>
          <w:szCs w:val="24"/>
        </w:rPr>
        <w:t>JUICIO DE NULIDAD</w:t>
      </w:r>
      <w:r>
        <w:rPr>
          <w:sz w:val="24"/>
          <w:szCs w:val="24"/>
        </w:rPr>
        <w:t xml:space="preserve">: 0089/2018. </w:t>
      </w:r>
    </w:p>
    <w:p w:rsidR="006C4400" w:rsidRDefault="006C4400" w:rsidP="006C4400">
      <w:pPr>
        <w:pStyle w:val="corte4fondo"/>
        <w:spacing w:line="276" w:lineRule="auto"/>
        <w:ind w:left="4395" w:right="-521" w:firstLine="0"/>
        <w:rPr>
          <w:sz w:val="24"/>
          <w:szCs w:val="24"/>
        </w:rPr>
      </w:pPr>
    </w:p>
    <w:p w:rsidR="006C4400" w:rsidRDefault="006C4400" w:rsidP="006C4400">
      <w:pPr>
        <w:pStyle w:val="Textoindependiente21"/>
        <w:spacing w:line="360" w:lineRule="auto"/>
        <w:ind w:left="3540" w:firstLine="708"/>
        <w:rPr>
          <w:rFonts w:ascii="Arial" w:hAnsi="Arial" w:cs="Arial"/>
          <w:b/>
          <w:szCs w:val="24"/>
        </w:rPr>
      </w:pPr>
      <w:r>
        <w:rPr>
          <w:rFonts w:ascii="Arial" w:hAnsi="Arial" w:cs="Arial"/>
          <w:b/>
          <w:szCs w:val="24"/>
        </w:rPr>
        <w:t xml:space="preserve">   </w:t>
      </w:r>
      <w:r>
        <w:rPr>
          <w:rFonts w:ascii="Arial" w:hAnsi="Arial" w:cs="Arial"/>
          <w:b/>
          <w:szCs w:val="24"/>
        </w:rPr>
        <w:t>ACTOR: **********</w:t>
      </w:r>
    </w:p>
    <w:p w:rsidR="006C4400" w:rsidRDefault="006C4400" w:rsidP="006C4400">
      <w:pPr>
        <w:ind w:left="4395"/>
        <w:contextualSpacing/>
        <w:jc w:val="both"/>
        <w:rPr>
          <w:rFonts w:ascii="Arial" w:hAnsi="Arial" w:cs="Arial"/>
        </w:rPr>
      </w:pPr>
    </w:p>
    <w:p w:rsidR="006C4400" w:rsidRDefault="006C4400" w:rsidP="001C0800">
      <w:pPr>
        <w:pStyle w:val="corte4fondo"/>
        <w:spacing w:line="276" w:lineRule="auto"/>
        <w:ind w:left="4395" w:right="1253" w:firstLine="0"/>
        <w:rPr>
          <w:b/>
          <w:sz w:val="24"/>
          <w:szCs w:val="24"/>
        </w:rPr>
      </w:pPr>
      <w:r>
        <w:rPr>
          <w:b/>
          <w:i/>
          <w:sz w:val="24"/>
          <w:szCs w:val="24"/>
          <w:lang w:val="es-ES"/>
        </w:rPr>
        <w:t xml:space="preserve"> </w:t>
      </w:r>
    </w:p>
    <w:p w:rsidR="006C4400" w:rsidRDefault="006C4400" w:rsidP="006C4400">
      <w:pPr>
        <w:pStyle w:val="corte4fondo"/>
        <w:spacing w:line="276" w:lineRule="auto"/>
        <w:ind w:left="4395" w:right="51" w:firstLine="0"/>
        <w:rPr>
          <w:b/>
          <w:sz w:val="24"/>
          <w:szCs w:val="24"/>
        </w:rPr>
      </w:pPr>
      <w:r>
        <w:rPr>
          <w:b/>
          <w:sz w:val="24"/>
          <w:szCs w:val="24"/>
        </w:rPr>
        <w:t>AUTORIDADES DEMANDADAS: DIRECTORA DE INGRESOS Y RECAUDACIÓN DE LA SECRETARÍA DE FINANZAS DEL PODER EJECUTIVO DEL ESTADO DE OAXACA</w:t>
      </w:r>
      <w:r>
        <w:rPr>
          <w:sz w:val="24"/>
          <w:szCs w:val="24"/>
        </w:rPr>
        <w:t>.</w:t>
      </w:r>
    </w:p>
    <w:p w:rsidR="006C4400" w:rsidRDefault="006C4400" w:rsidP="006C4400">
      <w:pPr>
        <w:pStyle w:val="Textoindependiente21"/>
        <w:spacing w:line="360" w:lineRule="auto"/>
        <w:ind w:firstLine="0"/>
        <w:rPr>
          <w:rFonts w:ascii="Arial" w:hAnsi="Arial" w:cs="Arial"/>
          <w:b/>
          <w:szCs w:val="24"/>
        </w:rPr>
      </w:pPr>
    </w:p>
    <w:p w:rsidR="006C4400" w:rsidRDefault="006C4400" w:rsidP="006C4400">
      <w:pPr>
        <w:pStyle w:val="Textoindependiente21"/>
        <w:spacing w:line="360" w:lineRule="auto"/>
        <w:ind w:firstLine="0"/>
        <w:rPr>
          <w:rFonts w:ascii="Arial" w:hAnsi="Arial" w:cs="Arial"/>
          <w:szCs w:val="24"/>
        </w:rPr>
      </w:pPr>
      <w:r>
        <w:rPr>
          <w:rFonts w:ascii="Arial" w:hAnsi="Arial" w:cs="Arial"/>
          <w:b/>
          <w:szCs w:val="24"/>
        </w:rPr>
        <w:t xml:space="preserve">OAXACA DE JUÁREZ, OAXACA, DISTRITO DEL CENTRO A, CATORCE DE MAYO DE DOS MIL DIECINUEVE (14-05-2019). </w:t>
      </w:r>
      <w:r>
        <w:rPr>
          <w:rFonts w:ascii="Arial" w:hAnsi="Arial" w:cs="Arial"/>
          <w:szCs w:val="24"/>
        </w:rPr>
        <w:t xml:space="preserve">- - - - - - - - - - - - - - - - - - - - - - - - -   </w:t>
      </w:r>
    </w:p>
    <w:p w:rsidR="006C4400" w:rsidRDefault="006C4400" w:rsidP="006C4400">
      <w:pPr>
        <w:pStyle w:val="Textoindependiente21"/>
        <w:spacing w:line="360" w:lineRule="auto"/>
        <w:ind w:firstLine="0"/>
        <w:rPr>
          <w:rFonts w:ascii="Arial" w:hAnsi="Arial" w:cs="Arial"/>
          <w:szCs w:val="24"/>
        </w:rPr>
      </w:pPr>
    </w:p>
    <w:p w:rsidR="006C4400" w:rsidRDefault="006C4400" w:rsidP="006C4400">
      <w:pPr>
        <w:pStyle w:val="corte4fondo"/>
        <w:ind w:right="51" w:firstLine="708"/>
        <w:rPr>
          <w:sz w:val="24"/>
          <w:szCs w:val="24"/>
        </w:rPr>
      </w:pPr>
      <w:r>
        <w:rPr>
          <w:sz w:val="24"/>
          <w:szCs w:val="24"/>
        </w:rPr>
        <w:t>V I S T O S para resolver los autos del juicio de nulidad número 0089/2018, promovido por</w:t>
      </w:r>
      <w:r>
        <w:rPr>
          <w:b/>
          <w:sz w:val="24"/>
          <w:szCs w:val="24"/>
        </w:rPr>
        <w:t xml:space="preserve"> </w:t>
      </w:r>
      <w:r>
        <w:rPr>
          <w:b/>
          <w:szCs w:val="24"/>
        </w:rPr>
        <w:t>**********</w:t>
      </w:r>
      <w:r>
        <w:rPr>
          <w:b/>
          <w:caps/>
          <w:spacing w:val="-3"/>
          <w:sz w:val="24"/>
          <w:szCs w:val="24"/>
        </w:rPr>
        <w:t>.,</w:t>
      </w:r>
      <w:r>
        <w:rPr>
          <w:sz w:val="24"/>
          <w:szCs w:val="24"/>
        </w:rPr>
        <w:t xml:space="preserve"> en contra de la multa por infracción relacionada con la presentación de declaraciones a la obligación omitida del Impuesto Sobre Erogaciones por Remuneraciones al Trabajo Personal de fecha veintisiete de julio de dos mil dieciocho (27/07/2018), con número de control </w:t>
      </w:r>
      <w:r>
        <w:rPr>
          <w:b/>
          <w:szCs w:val="24"/>
        </w:rPr>
        <w:t>**********</w:t>
      </w:r>
      <w:r>
        <w:rPr>
          <w:b/>
          <w:szCs w:val="24"/>
        </w:rPr>
        <w:t xml:space="preserve"> </w:t>
      </w:r>
      <w:r>
        <w:rPr>
          <w:sz w:val="24"/>
          <w:szCs w:val="24"/>
        </w:rPr>
        <w:t xml:space="preserve">signada por la </w:t>
      </w:r>
      <w:r>
        <w:rPr>
          <w:b/>
          <w:sz w:val="24"/>
          <w:szCs w:val="24"/>
        </w:rPr>
        <w:t xml:space="preserve">DIRECTORA DE INGRESOS Y RECAUDACION  DE LA SECRETARÍA DE FINANZAS </w:t>
      </w:r>
      <w:r>
        <w:rPr>
          <w:b/>
          <w:caps/>
          <w:sz w:val="24"/>
          <w:szCs w:val="24"/>
        </w:rPr>
        <w:t>del Poder Ejecutivo del Estado de Oaxaca</w:t>
      </w:r>
      <w:r>
        <w:rPr>
          <w:sz w:val="24"/>
          <w:szCs w:val="24"/>
        </w:rPr>
        <w:t>,</w:t>
      </w:r>
      <w:r>
        <w:rPr>
          <w:b/>
          <w:sz w:val="24"/>
          <w:szCs w:val="24"/>
        </w:rPr>
        <w:t xml:space="preserve"> </w:t>
      </w:r>
      <w:r>
        <w:rPr>
          <w:sz w:val="24"/>
          <w:szCs w:val="24"/>
        </w:rPr>
        <w:t xml:space="preserve">y;- - - - - - - - - </w:t>
      </w:r>
    </w:p>
    <w:p w:rsidR="006C4400" w:rsidRDefault="006C4400" w:rsidP="006C4400">
      <w:pPr>
        <w:pStyle w:val="corte4fondo"/>
        <w:ind w:right="51" w:firstLine="0"/>
        <w:rPr>
          <w:sz w:val="24"/>
          <w:szCs w:val="24"/>
        </w:rPr>
      </w:pPr>
    </w:p>
    <w:p w:rsidR="006C4400" w:rsidRDefault="006C4400" w:rsidP="006C4400">
      <w:pPr>
        <w:spacing w:line="360" w:lineRule="auto"/>
        <w:rPr>
          <w:rFonts w:ascii="Arial" w:hAnsi="Arial" w:cs="Arial"/>
          <w:b/>
          <w:spacing w:val="-3"/>
          <w:sz w:val="24"/>
          <w:szCs w:val="24"/>
          <w:lang w:val="es-ES_tradnl"/>
        </w:rPr>
      </w:pPr>
      <w:r>
        <w:rPr>
          <w:rFonts w:ascii="Arial" w:hAnsi="Arial" w:cs="Arial"/>
          <w:sz w:val="24"/>
          <w:szCs w:val="24"/>
        </w:rPr>
        <w:t xml:space="preserve">                                         </w:t>
      </w:r>
      <w:r>
        <w:rPr>
          <w:rFonts w:ascii="Arial" w:hAnsi="Arial" w:cs="Arial"/>
          <w:b/>
          <w:sz w:val="24"/>
          <w:szCs w:val="24"/>
        </w:rPr>
        <w:t>R E</w:t>
      </w:r>
      <w:r>
        <w:rPr>
          <w:rFonts w:ascii="Arial" w:hAnsi="Arial" w:cs="Arial"/>
          <w:b/>
          <w:spacing w:val="-3"/>
          <w:sz w:val="24"/>
          <w:szCs w:val="24"/>
          <w:lang w:val="es-ES_tradnl"/>
        </w:rPr>
        <w:t xml:space="preserve"> S U L T A N D O:</w:t>
      </w:r>
    </w:p>
    <w:p w:rsidR="006C4400" w:rsidRDefault="006C4400" w:rsidP="006C4400">
      <w:pPr>
        <w:spacing w:line="360" w:lineRule="auto"/>
        <w:rPr>
          <w:rFonts w:ascii="Arial" w:hAnsi="Arial" w:cs="Arial"/>
          <w:sz w:val="24"/>
          <w:szCs w:val="24"/>
        </w:rPr>
      </w:pPr>
    </w:p>
    <w:p w:rsidR="006C4400" w:rsidRDefault="006C4400" w:rsidP="006C4400">
      <w:pPr>
        <w:spacing w:line="360" w:lineRule="auto"/>
        <w:jc w:val="both"/>
        <w:rPr>
          <w:rFonts w:ascii="Arial" w:hAnsi="Arial" w:cs="Arial"/>
          <w:sz w:val="24"/>
          <w:szCs w:val="24"/>
        </w:rPr>
      </w:pPr>
      <w:r>
        <w:rPr>
          <w:rFonts w:ascii="Arial" w:hAnsi="Arial" w:cs="Arial"/>
          <w:b/>
          <w:spacing w:val="-3"/>
          <w:sz w:val="24"/>
          <w:szCs w:val="24"/>
          <w:lang w:val="es-ES_tradnl"/>
        </w:rPr>
        <w:tab/>
        <w:t xml:space="preserve">PRIMERO.- </w:t>
      </w:r>
      <w:r>
        <w:rPr>
          <w:rFonts w:ascii="Arial" w:hAnsi="Arial" w:cs="Arial"/>
          <w:b/>
          <w:szCs w:val="24"/>
        </w:rPr>
        <w:t>**********</w:t>
      </w:r>
      <w:r>
        <w:rPr>
          <w:rFonts w:ascii="Arial" w:hAnsi="Arial" w:cs="Arial"/>
          <w:spacing w:val="-3"/>
          <w:sz w:val="24"/>
          <w:szCs w:val="24"/>
          <w:lang w:val="es-ES_tradnl"/>
        </w:rPr>
        <w:t xml:space="preserve"> por medio de su </w:t>
      </w:r>
      <w:r>
        <w:rPr>
          <w:rFonts w:ascii="Arial" w:hAnsi="Arial" w:cs="Arial"/>
          <w:sz w:val="24"/>
          <w:szCs w:val="24"/>
          <w:lang w:val="es-MX"/>
        </w:rPr>
        <w:t>escrito recibido el uno de octubre de dos mil dieciocho (01/10/2018), e</w:t>
      </w:r>
      <w:r>
        <w:rPr>
          <w:rFonts w:ascii="Arial" w:hAnsi="Arial" w:cs="Arial"/>
          <w:sz w:val="24"/>
          <w:szCs w:val="24"/>
        </w:rPr>
        <w:t>n la Oficialía de Partes Común de este Tribunal de Justicia Administrativa del Estado de Oaxaca</w:t>
      </w:r>
      <w:r>
        <w:rPr>
          <w:rFonts w:ascii="Arial" w:hAnsi="Arial" w:cs="Arial"/>
          <w:sz w:val="24"/>
          <w:szCs w:val="24"/>
          <w:lang w:val="es-MX"/>
        </w:rPr>
        <w:t>,</w:t>
      </w:r>
      <w:r>
        <w:rPr>
          <w:rFonts w:ascii="Arial" w:hAnsi="Arial" w:cs="Arial"/>
          <w:sz w:val="24"/>
          <w:szCs w:val="24"/>
        </w:rPr>
        <w:t xml:space="preserve"> demandó la nulidad de la multa por infracción relacionada con la presentación de declaraciones del Impuesto Sobre Erogaciones por Remuneraciones al Trabajo Personal, correspondientes a los bimestres 1° y 2° del año 2018, con número de control </w:t>
      </w:r>
      <w:r>
        <w:rPr>
          <w:rFonts w:ascii="Arial" w:hAnsi="Arial" w:cs="Arial"/>
          <w:b/>
          <w:szCs w:val="24"/>
        </w:rPr>
        <w:t>**********</w:t>
      </w:r>
      <w:r>
        <w:rPr>
          <w:rFonts w:ascii="Arial" w:hAnsi="Arial" w:cs="Arial"/>
          <w:b/>
          <w:szCs w:val="24"/>
        </w:rPr>
        <w:t xml:space="preserve"> </w:t>
      </w:r>
      <w:r>
        <w:rPr>
          <w:rFonts w:ascii="Arial" w:hAnsi="Arial" w:cs="Arial"/>
          <w:sz w:val="24"/>
          <w:szCs w:val="24"/>
        </w:rPr>
        <w:t xml:space="preserve">signada por la </w:t>
      </w:r>
      <w:r>
        <w:rPr>
          <w:rFonts w:ascii="Arial" w:hAnsi="Arial" w:cs="Arial"/>
          <w:b/>
          <w:sz w:val="24"/>
          <w:szCs w:val="24"/>
        </w:rPr>
        <w:t xml:space="preserve">DIRECTORA DE INGRESOS Y RECAUDACION  DE LA SECRETARÍA DE FINANZAS </w:t>
      </w:r>
      <w:r>
        <w:rPr>
          <w:rFonts w:ascii="Arial" w:hAnsi="Arial" w:cs="Arial"/>
          <w:b/>
          <w:caps/>
          <w:sz w:val="24"/>
          <w:szCs w:val="24"/>
        </w:rPr>
        <w:t>del Poder Ejecutivo del Estado de Oaxaca</w:t>
      </w:r>
      <w:r>
        <w:rPr>
          <w:rFonts w:ascii="Arial" w:hAnsi="Arial" w:cs="Arial"/>
          <w:sz w:val="24"/>
          <w:szCs w:val="24"/>
        </w:rPr>
        <w:t xml:space="preserve">. - - - - - - - - - - - - - - - - - - - - - - - - - - - - - - - - - - - - - - - </w:t>
      </w:r>
    </w:p>
    <w:p w:rsidR="006C4400" w:rsidRDefault="006C4400" w:rsidP="006C4400">
      <w:pPr>
        <w:spacing w:line="360" w:lineRule="auto"/>
        <w:jc w:val="both"/>
        <w:rPr>
          <w:rFonts w:ascii="Arial" w:hAnsi="Arial" w:cs="Arial"/>
          <w:sz w:val="24"/>
          <w:szCs w:val="24"/>
        </w:rPr>
      </w:pPr>
    </w:p>
    <w:p w:rsidR="006C4400" w:rsidRDefault="006C4400" w:rsidP="006C4400">
      <w:pPr>
        <w:spacing w:line="360" w:lineRule="auto"/>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Esta Quinta Sala Unitaria de Primera Instancia del Tribunal de Justicia Administrativa del Estado de Oaxaca, </w:t>
      </w:r>
      <w:r>
        <w:rPr>
          <w:rFonts w:ascii="Arial" w:hAnsi="Arial" w:cs="Arial"/>
          <w:bCs/>
          <w:sz w:val="24"/>
          <w:szCs w:val="24"/>
        </w:rPr>
        <w:t xml:space="preserve">por auto de fecha cuatro de octubre del año dos mil dieciocho (04/10/2018), </w:t>
      </w:r>
      <w:r>
        <w:rPr>
          <w:rFonts w:ascii="Arial" w:hAnsi="Arial" w:cs="Arial"/>
          <w:sz w:val="24"/>
          <w:szCs w:val="24"/>
        </w:rPr>
        <w:t xml:space="preserve">requirió al actor para  que exhibiera el original del instrumento notarial que le confiere la representación </w:t>
      </w:r>
      <w:r>
        <w:rPr>
          <w:rFonts w:ascii="Arial" w:hAnsi="Arial" w:cs="Arial"/>
          <w:sz w:val="24"/>
          <w:szCs w:val="24"/>
        </w:rPr>
        <w:lastRenderedPageBreak/>
        <w:t xml:space="preserve">legal que manifiesta y así acreditar su interés jurídico o legítimo en el juicio, así mismo señale el domicilio  exacto de la autoridad que pretende demandar ordenándose notificar personalmente al actor y emplazar y apercibir, para que produjera su contestación en los términos de ley. - - - - - - - - - - - - - - - - - - - - - - - - - - - - - - - - - - - - - - - - - - - - - - - - - - - - - - - - </w:t>
      </w:r>
    </w:p>
    <w:p w:rsidR="006C4400" w:rsidRDefault="006C4400" w:rsidP="006C4400">
      <w:pPr>
        <w:spacing w:line="360" w:lineRule="auto"/>
        <w:jc w:val="both"/>
        <w:rPr>
          <w:rFonts w:ascii="Arial" w:hAnsi="Arial" w:cs="Arial"/>
          <w:sz w:val="24"/>
          <w:szCs w:val="24"/>
        </w:rPr>
      </w:pPr>
    </w:p>
    <w:p w:rsidR="006C4400" w:rsidRDefault="006C4400" w:rsidP="006C4400">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Esta Quinta Sala Unitaria de Primera Instancia del Tribunal de Justicia Administrativa del Estado de Oaxaca, </w:t>
      </w:r>
      <w:r>
        <w:rPr>
          <w:rFonts w:ascii="Arial" w:hAnsi="Arial" w:cs="Arial"/>
          <w:bCs/>
          <w:sz w:val="24"/>
          <w:szCs w:val="24"/>
        </w:rPr>
        <w:t xml:space="preserve">por auto de fecha seis de noviembre del año dos mil dieciocho (06/11/2018) </w:t>
      </w:r>
      <w:r>
        <w:rPr>
          <w:rFonts w:ascii="Arial" w:hAnsi="Arial" w:cs="Arial"/>
          <w:sz w:val="24"/>
          <w:szCs w:val="24"/>
        </w:rPr>
        <w:t xml:space="preserve">se admitió a trámite la demanda interpuesta, ordenándose notificar, correr traslado, emplazar y apercibir a la autoridad demandada </w:t>
      </w:r>
      <w:r>
        <w:rPr>
          <w:rFonts w:ascii="Arial" w:hAnsi="Arial" w:cs="Arial"/>
          <w:b/>
          <w:sz w:val="24"/>
          <w:szCs w:val="24"/>
        </w:rPr>
        <w:t xml:space="preserve">DIRECTORA DE INGRESOS Y RECAUDACION  DE LA SECRETARÍA DE FINANZAS </w:t>
      </w:r>
      <w:r>
        <w:rPr>
          <w:rFonts w:ascii="Arial" w:hAnsi="Arial" w:cs="Arial"/>
          <w:b/>
          <w:caps/>
          <w:sz w:val="24"/>
          <w:szCs w:val="24"/>
        </w:rPr>
        <w:t>del Poder Ejecutivo del Estado de Oaxaca</w:t>
      </w:r>
      <w:r>
        <w:rPr>
          <w:rFonts w:ascii="Arial" w:hAnsi="Arial" w:cs="Arial"/>
          <w:sz w:val="24"/>
          <w:szCs w:val="24"/>
        </w:rPr>
        <w:t xml:space="preserve">, para que produjera su contestación en los términos de ley. - - - - - - - - - - - - - - - - - - - - - - - - - - </w:t>
      </w:r>
    </w:p>
    <w:p w:rsidR="006C4400" w:rsidRDefault="006C4400" w:rsidP="006C4400">
      <w:pPr>
        <w:spacing w:line="360" w:lineRule="auto"/>
        <w:jc w:val="both"/>
        <w:rPr>
          <w:rFonts w:ascii="Arial" w:hAnsi="Arial" w:cs="Arial"/>
          <w:sz w:val="24"/>
          <w:szCs w:val="24"/>
        </w:rPr>
      </w:pPr>
    </w:p>
    <w:p w:rsidR="006C4400" w:rsidRDefault="006C4400" w:rsidP="006C4400">
      <w:pPr>
        <w:spacing w:line="360" w:lineRule="auto"/>
        <w:ind w:right="51" w:firstLine="567"/>
        <w:jc w:val="both"/>
        <w:rPr>
          <w:rFonts w:ascii="Arial" w:hAnsi="Arial" w:cs="Arial"/>
          <w:bCs/>
          <w:sz w:val="24"/>
          <w:szCs w:val="24"/>
        </w:rPr>
      </w:pPr>
      <w:r>
        <w:rPr>
          <w:rFonts w:ascii="Arial" w:hAnsi="Arial" w:cs="Arial"/>
          <w:b/>
          <w:bCs/>
          <w:sz w:val="24"/>
          <w:szCs w:val="24"/>
        </w:rPr>
        <w:t xml:space="preserve">CUARTO.- </w:t>
      </w:r>
      <w:r>
        <w:rPr>
          <w:rFonts w:ascii="Arial" w:hAnsi="Arial" w:cs="Arial"/>
          <w:bCs/>
          <w:sz w:val="24"/>
          <w:szCs w:val="24"/>
        </w:rPr>
        <w:t xml:space="preserve">Por acuerdo de fecha cuatro de diciembre de dos mil dieciocho (04/12/2018), se tuvo a la </w:t>
      </w:r>
      <w:r>
        <w:rPr>
          <w:rFonts w:ascii="Arial" w:hAnsi="Arial" w:cs="Arial"/>
          <w:b/>
          <w:sz w:val="24"/>
          <w:szCs w:val="24"/>
        </w:rPr>
        <w:t>DIRECTORA DE LO CONTENCIOSO DE LA PROCURADURIA FISCAL DE LA SUBSECRETARÍA DE INGRESOS DE LA SECRETARÍA DE FINANZAS DEL PODER EJECUTIVO DEL ESTADO DE OAXACA,</w:t>
      </w:r>
      <w:r>
        <w:rPr>
          <w:rFonts w:ascii="Arial" w:hAnsi="Arial" w:cs="Arial"/>
          <w:bCs/>
          <w:sz w:val="24"/>
          <w:szCs w:val="24"/>
        </w:rPr>
        <w:t xml:space="preserve"> reconociéndole su personalidad en el juicio y por contestada la demanda, haciendo valer sus argumentos, defensas y ofreciendo pruebas, señalándose día y hora para que tuviera verificativo la audiencia final.- - - - - - - - - - - - - - - - - - - - - - - - </w:t>
      </w:r>
    </w:p>
    <w:p w:rsidR="006C4400" w:rsidRDefault="006C4400" w:rsidP="006C4400">
      <w:pPr>
        <w:spacing w:line="360" w:lineRule="auto"/>
        <w:ind w:right="51" w:firstLine="567"/>
        <w:jc w:val="both"/>
        <w:rPr>
          <w:rFonts w:ascii="Arial" w:hAnsi="Arial" w:cs="Arial"/>
          <w:bCs/>
          <w:sz w:val="24"/>
          <w:szCs w:val="24"/>
        </w:rPr>
      </w:pPr>
    </w:p>
    <w:p w:rsidR="006C4400" w:rsidRDefault="006C4400" w:rsidP="006C4400">
      <w:pPr>
        <w:spacing w:line="360" w:lineRule="auto"/>
        <w:ind w:right="51" w:firstLine="567"/>
        <w:jc w:val="both"/>
        <w:rPr>
          <w:rFonts w:ascii="Arial" w:hAnsi="Arial" w:cs="Arial"/>
          <w:bCs/>
          <w:sz w:val="24"/>
          <w:szCs w:val="24"/>
        </w:rPr>
      </w:pPr>
      <w:r>
        <w:rPr>
          <w:rFonts w:ascii="Arial" w:hAnsi="Arial" w:cs="Arial"/>
          <w:b/>
          <w:bCs/>
          <w:sz w:val="24"/>
          <w:szCs w:val="24"/>
        </w:rPr>
        <w:t>QUINTO.-</w:t>
      </w:r>
      <w:r>
        <w:rPr>
          <w:rFonts w:ascii="Arial" w:hAnsi="Arial" w:cs="Arial"/>
          <w:bCs/>
          <w:sz w:val="24"/>
          <w:szCs w:val="24"/>
        </w:rPr>
        <w:t xml:space="preserve"> El día veintinueve de enero de dos mil diecinueve (29/01/2019), se llevó a cabo la audiencia final, sin asistencia de las partes, ni persona alguna que legalmente las representara, en la cual se desahogaron las pruebas ofrecidas y admitidas en el juicio; dando cuenta la secretaria de acuerdos que ninguna de las partes formulo alegatos mismo y al no existir cuestión alguna pendiente por desahogar se ordenó turnar los autos para el dictado de la sentencia correspondiente, la que ahora se pronuncia, y.- - - - - - - - - - - - - - - - - - - - - - - - - - - </w:t>
      </w:r>
    </w:p>
    <w:p w:rsidR="006C4400" w:rsidRDefault="006C4400" w:rsidP="006C4400">
      <w:pPr>
        <w:spacing w:line="360" w:lineRule="auto"/>
        <w:ind w:right="51" w:firstLine="567"/>
        <w:jc w:val="both"/>
        <w:rPr>
          <w:rFonts w:ascii="Arial" w:hAnsi="Arial" w:cs="Arial"/>
          <w:bCs/>
          <w:sz w:val="24"/>
          <w:szCs w:val="24"/>
        </w:rPr>
      </w:pPr>
    </w:p>
    <w:p w:rsidR="006C4400" w:rsidRDefault="006C4400" w:rsidP="006C4400">
      <w:pPr>
        <w:spacing w:line="360" w:lineRule="auto"/>
        <w:jc w:val="both"/>
        <w:rPr>
          <w:rFonts w:ascii="Arial" w:hAnsi="Arial" w:cs="Arial"/>
          <w:b/>
          <w:spacing w:val="-3"/>
          <w:sz w:val="24"/>
          <w:szCs w:val="24"/>
          <w:lang w:val="es-ES_tradnl"/>
        </w:rPr>
      </w:pPr>
      <w:r>
        <w:rPr>
          <w:rFonts w:ascii="Arial" w:hAnsi="Arial" w:cs="Arial"/>
          <w:b/>
          <w:spacing w:val="-3"/>
          <w:sz w:val="24"/>
          <w:szCs w:val="24"/>
          <w:lang w:val="es-ES_tradnl"/>
        </w:rPr>
        <w:t xml:space="preserve"> </w:t>
      </w:r>
      <w:r>
        <w:rPr>
          <w:rFonts w:ascii="Arial" w:hAnsi="Arial" w:cs="Arial"/>
          <w:b/>
          <w:spacing w:val="-3"/>
          <w:sz w:val="24"/>
          <w:szCs w:val="24"/>
          <w:lang w:val="es-ES_tradnl"/>
        </w:rPr>
        <w:tab/>
      </w:r>
      <w:r>
        <w:rPr>
          <w:rFonts w:ascii="Arial" w:hAnsi="Arial" w:cs="Arial"/>
          <w:b/>
          <w:spacing w:val="-3"/>
          <w:sz w:val="24"/>
          <w:szCs w:val="24"/>
          <w:lang w:val="es-ES_tradnl"/>
        </w:rPr>
        <w:tab/>
      </w:r>
      <w:r>
        <w:rPr>
          <w:rFonts w:ascii="Arial" w:hAnsi="Arial" w:cs="Arial"/>
          <w:b/>
          <w:spacing w:val="-3"/>
          <w:sz w:val="24"/>
          <w:szCs w:val="24"/>
          <w:lang w:val="es-ES_tradnl"/>
        </w:rPr>
        <w:tab/>
      </w:r>
      <w:r>
        <w:rPr>
          <w:rFonts w:ascii="Arial" w:hAnsi="Arial" w:cs="Arial"/>
          <w:b/>
          <w:spacing w:val="-3"/>
          <w:sz w:val="24"/>
          <w:szCs w:val="24"/>
          <w:lang w:val="es-ES_tradnl"/>
        </w:rPr>
        <w:tab/>
        <w:t>C O N S I D E R A N D O:</w:t>
      </w:r>
    </w:p>
    <w:p w:rsidR="006C4400" w:rsidRDefault="006C4400" w:rsidP="006C4400">
      <w:pPr>
        <w:spacing w:line="360" w:lineRule="auto"/>
        <w:jc w:val="right"/>
        <w:rPr>
          <w:rFonts w:ascii="Arial" w:hAnsi="Arial" w:cs="Arial"/>
          <w:b/>
          <w:spacing w:val="-3"/>
          <w:sz w:val="24"/>
          <w:szCs w:val="24"/>
          <w:lang w:val="es-ES_tradnl"/>
        </w:rPr>
      </w:pPr>
    </w:p>
    <w:p w:rsidR="006C4400" w:rsidRDefault="006C4400" w:rsidP="006C4400">
      <w:pPr>
        <w:spacing w:line="360" w:lineRule="auto"/>
        <w:ind w:hanging="426"/>
        <w:jc w:val="both"/>
        <w:rPr>
          <w:rFonts w:ascii="Arial" w:hAnsi="Arial" w:cs="Arial"/>
          <w:sz w:val="24"/>
          <w:szCs w:val="24"/>
        </w:rPr>
      </w:pPr>
      <w:r>
        <w:rPr>
          <w:rFonts w:ascii="Arial" w:hAnsi="Arial" w:cs="Arial"/>
          <w:b/>
          <w:sz w:val="24"/>
          <w:szCs w:val="24"/>
          <w:lang w:val="es-ES_tradnl"/>
        </w:rPr>
        <w:tab/>
        <w:t xml:space="preserve">          </w:t>
      </w:r>
      <w:r>
        <w:rPr>
          <w:rFonts w:ascii="Arial" w:hAnsi="Arial" w:cs="Arial"/>
          <w:b/>
          <w:sz w:val="24"/>
          <w:szCs w:val="24"/>
        </w:rPr>
        <w:t xml:space="preserve">PRIMERO.- </w:t>
      </w:r>
      <w:r>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 - - - - - - - - - - - - - - - - - - - - - - - - - - - - - - - - - - - - - </w:t>
      </w:r>
    </w:p>
    <w:p w:rsidR="006C4400" w:rsidRDefault="006C4400" w:rsidP="006C4400">
      <w:pPr>
        <w:spacing w:line="360" w:lineRule="auto"/>
        <w:jc w:val="both"/>
        <w:rPr>
          <w:rFonts w:ascii="Arial" w:hAnsi="Arial" w:cs="Arial"/>
          <w:sz w:val="24"/>
          <w:szCs w:val="24"/>
        </w:rPr>
      </w:pPr>
      <w:r>
        <w:rPr>
          <w:rFonts w:ascii="Arial" w:hAnsi="Arial" w:cs="Arial"/>
          <w:b/>
          <w:snapToGrid w:val="0"/>
          <w:sz w:val="24"/>
          <w:szCs w:val="24"/>
        </w:rPr>
        <w:t xml:space="preserve">         SEGUNDO.- </w:t>
      </w:r>
      <w:r>
        <w:rPr>
          <w:rFonts w:ascii="Arial" w:hAnsi="Arial" w:cs="Arial"/>
          <w:sz w:val="24"/>
          <w:szCs w:val="24"/>
        </w:rPr>
        <w:t xml:space="preserve">La personalidad de las partes quedó acreditada en autos, en términos del artículo </w:t>
      </w:r>
      <w:r>
        <w:rPr>
          <w:rFonts w:ascii="Arial" w:hAnsi="Arial" w:cs="Arial"/>
          <w:snapToGrid w:val="0"/>
          <w:sz w:val="24"/>
          <w:szCs w:val="24"/>
        </w:rPr>
        <w:t xml:space="preserve">150 de la Ley de Procedimiento y Justicia Administrativa </w:t>
      </w:r>
      <w:r>
        <w:rPr>
          <w:rFonts w:ascii="Arial" w:hAnsi="Arial" w:cs="Arial"/>
          <w:snapToGrid w:val="0"/>
          <w:sz w:val="24"/>
          <w:szCs w:val="24"/>
        </w:rPr>
        <w:lastRenderedPageBreak/>
        <w:t>para el Estado de Oaxaca,</w:t>
      </w:r>
      <w:r>
        <w:rPr>
          <w:rFonts w:ascii="Arial" w:hAnsi="Arial" w:cs="Arial"/>
          <w:snapToGrid w:val="0"/>
          <w:sz w:val="23"/>
          <w:szCs w:val="23"/>
        </w:rPr>
        <w:t xml:space="preserve"> </w:t>
      </w:r>
      <w:r>
        <w:rPr>
          <w:rFonts w:ascii="Arial" w:hAnsi="Arial" w:cs="Arial"/>
          <w:sz w:val="24"/>
          <w:szCs w:val="24"/>
        </w:rPr>
        <w:t xml:space="preserve">ya que el actor </w:t>
      </w:r>
      <w:r>
        <w:rPr>
          <w:rFonts w:ascii="Arial" w:hAnsi="Arial" w:cs="Arial"/>
          <w:b/>
          <w:szCs w:val="24"/>
        </w:rPr>
        <w:t>**********</w:t>
      </w:r>
      <w:r>
        <w:rPr>
          <w:rFonts w:ascii="Arial" w:hAnsi="Arial" w:cs="Arial"/>
          <w:b/>
          <w:szCs w:val="24"/>
        </w:rPr>
        <w:t xml:space="preserve"> </w:t>
      </w:r>
      <w:r>
        <w:rPr>
          <w:rFonts w:ascii="Arial" w:hAnsi="Arial" w:cs="Arial"/>
          <w:sz w:val="24"/>
          <w:szCs w:val="24"/>
        </w:rPr>
        <w:t xml:space="preserve">y la autoridad demandada a través de la Directora de los Contencioso de la Procuraduría Fiscal de la Subsecretaria de Ingresos de la Secretaría de Finanzas, del Poder Ejecutivo del Estado de Oaxaca, y para lo cual exhibió copia debidamente certificada de su nombramiento, documentales que adquieren valor probatorio pleno en términos del artículo 203 fracción I, de la Ley que rige a este Tribunal, quedando  acreditada la personalidad de las partes dentro del presente juicio.- - - - - - - - - - - - - - - - - - - - - - -  - - - - - - - - - - </w:t>
      </w:r>
    </w:p>
    <w:p w:rsidR="006C4400" w:rsidRDefault="006C4400" w:rsidP="006C4400">
      <w:pPr>
        <w:pStyle w:val="corte4fondo"/>
        <w:ind w:right="51" w:firstLine="0"/>
        <w:rPr>
          <w:sz w:val="24"/>
          <w:szCs w:val="24"/>
        </w:rPr>
      </w:pPr>
      <w:r>
        <w:rPr>
          <w:b/>
          <w:snapToGrid w:val="0"/>
          <w:sz w:val="24"/>
          <w:szCs w:val="24"/>
        </w:rPr>
        <w:t xml:space="preserve">            </w:t>
      </w:r>
    </w:p>
    <w:p w:rsidR="006C4400" w:rsidRDefault="006C4400" w:rsidP="006C4400">
      <w:pPr>
        <w:pStyle w:val="corte4fondo"/>
        <w:ind w:right="51" w:firstLine="0"/>
        <w:rPr>
          <w:sz w:val="24"/>
          <w:szCs w:val="24"/>
        </w:rPr>
      </w:pPr>
      <w:r>
        <w:rPr>
          <w:b/>
          <w:sz w:val="24"/>
          <w:szCs w:val="24"/>
        </w:rPr>
        <w:t>TERCERO</w:t>
      </w:r>
      <w:r>
        <w:rPr>
          <w:sz w:val="24"/>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ES PROCEDENTE Y NO SE SOBRESEE EL PRESENTE JUICIO.- - - - - - - - - - - - - - - - - - - - - - - - - - - - - - - -</w:t>
      </w:r>
    </w:p>
    <w:p w:rsidR="006C4400" w:rsidRDefault="006C4400" w:rsidP="006C4400">
      <w:pPr>
        <w:pStyle w:val="corte4fondo"/>
        <w:ind w:right="51" w:firstLine="0"/>
        <w:rPr>
          <w:sz w:val="24"/>
          <w:szCs w:val="24"/>
        </w:rPr>
      </w:pPr>
    </w:p>
    <w:p w:rsidR="006C4400" w:rsidRDefault="006C4400" w:rsidP="006C4400">
      <w:pPr>
        <w:spacing w:line="360" w:lineRule="auto"/>
        <w:jc w:val="both"/>
        <w:rPr>
          <w:rFonts w:ascii="Arial" w:hAnsi="Arial" w:cs="Arial"/>
          <w:sz w:val="24"/>
          <w:szCs w:val="24"/>
        </w:rPr>
      </w:pPr>
      <w:r>
        <w:rPr>
          <w:rFonts w:ascii="Arial" w:hAnsi="Arial" w:cs="Arial"/>
          <w:b/>
          <w:sz w:val="24"/>
          <w:szCs w:val="24"/>
        </w:rPr>
        <w:t>CUARTO</w:t>
      </w:r>
      <w:r>
        <w:rPr>
          <w:rFonts w:ascii="Arial" w:hAnsi="Arial" w:cs="Arial"/>
          <w:sz w:val="24"/>
          <w:szCs w:val="24"/>
        </w:rPr>
        <w:t xml:space="preserve">.- </w:t>
      </w:r>
      <w:r>
        <w:rPr>
          <w:rFonts w:ascii="Arial" w:hAnsi="Arial" w:cs="Arial"/>
          <w:bCs/>
          <w:sz w:val="24"/>
          <w:szCs w:val="24"/>
        </w:rPr>
        <w:t>Estudio de los Conceptos de Impugnación y pruebas ofrecidas por la parte actora.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Pr>
          <w:rFonts w:ascii="Arial" w:hAnsi="Arial" w:cs="Arial"/>
          <w:sz w:val="24"/>
          <w:szCs w:val="24"/>
        </w:rPr>
        <w:t xml:space="preserve">; no obstante ello, serán valorados en el cuerpo de esta sentencia. - - - - - - - - - - - - - - -  - - - - - - - - - - - - - - - - - - - - - - - - - </w:t>
      </w:r>
    </w:p>
    <w:p w:rsidR="006C4400" w:rsidRDefault="006C4400" w:rsidP="006C4400">
      <w:pPr>
        <w:spacing w:line="360" w:lineRule="auto"/>
        <w:jc w:val="both"/>
        <w:rPr>
          <w:rFonts w:ascii="Arial" w:hAnsi="Arial" w:cs="Arial"/>
          <w:sz w:val="24"/>
          <w:szCs w:val="24"/>
        </w:rPr>
      </w:pPr>
    </w:p>
    <w:p w:rsidR="006C4400" w:rsidRDefault="006C4400" w:rsidP="006C4400">
      <w:pPr>
        <w:pStyle w:val="Textonotapie"/>
        <w:widowControl w:val="0"/>
        <w:spacing w:line="360" w:lineRule="auto"/>
        <w:ind w:firstLine="708"/>
        <w:jc w:val="both"/>
        <w:rPr>
          <w:rFonts w:ascii="Arial" w:hAnsi="Arial" w:cs="Arial"/>
          <w:sz w:val="24"/>
          <w:szCs w:val="24"/>
          <w:lang w:eastAsia="es-MX"/>
        </w:rPr>
      </w:pPr>
      <w:r>
        <w:rPr>
          <w:rFonts w:ascii="Arial" w:hAnsi="Arial" w:cs="Arial"/>
          <w:sz w:val="24"/>
          <w:szCs w:val="24"/>
          <w:lang w:val="es-MX" w:eastAsia="es-MX"/>
        </w:rPr>
        <w:t>Al respecto resulta aplicable</w:t>
      </w:r>
      <w:r>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Pr>
          <w:rFonts w:ascii="Arial" w:hAnsi="Arial" w:cs="Arial"/>
          <w:i/>
          <w:sz w:val="24"/>
          <w:szCs w:val="24"/>
          <w:lang w:eastAsia="es-MX"/>
        </w:rPr>
        <w:t>Semanario Judicial de la Federación y su Gaceta</w:t>
      </w:r>
      <w:r>
        <w:rPr>
          <w:rFonts w:ascii="Arial" w:hAnsi="Arial" w:cs="Arial"/>
          <w:sz w:val="24"/>
          <w:szCs w:val="24"/>
          <w:lang w:eastAsia="es-MX"/>
        </w:rPr>
        <w:t>, Tomo XXXI, mayo de 2010, página 830, de rubro:</w:t>
      </w:r>
    </w:p>
    <w:p w:rsidR="006C4400" w:rsidRDefault="006C4400" w:rsidP="006C4400">
      <w:pPr>
        <w:pStyle w:val="Textonotapie"/>
        <w:widowControl w:val="0"/>
        <w:spacing w:line="276" w:lineRule="auto"/>
        <w:ind w:firstLine="708"/>
        <w:jc w:val="both"/>
        <w:rPr>
          <w:rFonts w:ascii="Arial" w:hAnsi="Arial" w:cs="Arial"/>
          <w:sz w:val="24"/>
          <w:szCs w:val="24"/>
          <w:lang w:eastAsia="es-MX"/>
        </w:rPr>
      </w:pPr>
    </w:p>
    <w:p w:rsidR="006C4400" w:rsidRDefault="006C4400" w:rsidP="006C4400">
      <w:pPr>
        <w:pStyle w:val="Textonotapie"/>
        <w:widowControl w:val="0"/>
        <w:spacing w:line="360" w:lineRule="auto"/>
        <w:ind w:left="1701" w:right="1469"/>
        <w:jc w:val="both"/>
        <w:rPr>
          <w:rFonts w:ascii="Arial" w:hAnsi="Arial" w:cs="Arial"/>
          <w:b/>
          <w:sz w:val="18"/>
          <w:szCs w:val="18"/>
          <w:lang w:eastAsia="es-MX"/>
        </w:rPr>
      </w:pPr>
      <w:r>
        <w:rPr>
          <w:rFonts w:ascii="Arial" w:hAnsi="Arial" w:cs="Arial"/>
          <w:sz w:val="24"/>
          <w:szCs w:val="24"/>
          <w:lang w:eastAsia="es-MX"/>
        </w:rPr>
        <w:t xml:space="preserve"> </w:t>
      </w:r>
      <w:r>
        <w:rPr>
          <w:rFonts w:ascii="Arial" w:hAnsi="Arial" w:cs="Arial"/>
          <w:b/>
          <w:sz w:val="18"/>
          <w:szCs w:val="18"/>
          <w:lang w:eastAsia="es-MX"/>
        </w:rPr>
        <w:t>CONCEPTOS DE VIOLACIÓN O AGRAVIOS. PARA CUMPLIR CON LOS PRINCIPIOS DE CONGRUENCIA Y EXHAUSTIVIDAD EN LAS SENTENCIAS DE AMPARO ES INNECESARIA SU TRANSCRIPCIÓN.</w:t>
      </w:r>
    </w:p>
    <w:p w:rsidR="006C4400" w:rsidRDefault="006C4400" w:rsidP="006C4400">
      <w:pPr>
        <w:pStyle w:val="Textonotapie"/>
        <w:widowControl w:val="0"/>
        <w:spacing w:line="360" w:lineRule="auto"/>
        <w:ind w:left="1701" w:right="1469"/>
        <w:jc w:val="right"/>
        <w:rPr>
          <w:rFonts w:ascii="Arial" w:hAnsi="Arial" w:cs="Arial"/>
          <w:sz w:val="24"/>
          <w:szCs w:val="24"/>
        </w:rPr>
      </w:pPr>
    </w:p>
    <w:p w:rsidR="006C4400" w:rsidRDefault="006C4400" w:rsidP="006C4400">
      <w:pPr>
        <w:pStyle w:val="Textonotapie"/>
        <w:widowControl w:val="0"/>
        <w:spacing w:line="360" w:lineRule="auto"/>
        <w:ind w:left="1701" w:right="1469"/>
        <w:jc w:val="right"/>
        <w:rPr>
          <w:rFonts w:ascii="Arial" w:hAnsi="Arial" w:cs="Arial"/>
          <w:sz w:val="24"/>
          <w:szCs w:val="24"/>
        </w:rPr>
      </w:pPr>
    </w:p>
    <w:p w:rsidR="006C4400" w:rsidRDefault="006C4400" w:rsidP="006C4400">
      <w:pPr>
        <w:pStyle w:val="Textonotapie"/>
        <w:widowControl w:val="0"/>
        <w:spacing w:line="360" w:lineRule="auto"/>
        <w:ind w:left="1701" w:right="1469"/>
        <w:jc w:val="right"/>
        <w:rPr>
          <w:rFonts w:ascii="Arial" w:hAnsi="Arial" w:cs="Arial"/>
          <w:sz w:val="24"/>
          <w:szCs w:val="24"/>
        </w:rPr>
      </w:pPr>
    </w:p>
    <w:p w:rsidR="006C4400" w:rsidRDefault="006C4400" w:rsidP="006C4400">
      <w:pPr>
        <w:pStyle w:val="Textonotapie"/>
        <w:widowControl w:val="0"/>
        <w:spacing w:line="360" w:lineRule="auto"/>
        <w:ind w:left="1701" w:right="1469"/>
        <w:jc w:val="right"/>
        <w:rPr>
          <w:rFonts w:ascii="Arial" w:hAnsi="Arial" w:cs="Arial"/>
          <w:sz w:val="24"/>
          <w:szCs w:val="24"/>
        </w:rPr>
      </w:pPr>
    </w:p>
    <w:p w:rsidR="006C4400" w:rsidRDefault="006C4400" w:rsidP="006C4400">
      <w:pPr>
        <w:spacing w:line="360" w:lineRule="auto"/>
        <w:ind w:right="51" w:firstLine="708"/>
        <w:jc w:val="both"/>
        <w:rPr>
          <w:rFonts w:ascii="Arial" w:hAnsi="Arial" w:cs="Arial"/>
          <w:i/>
          <w:sz w:val="24"/>
          <w:szCs w:val="24"/>
          <w:lang w:eastAsia="es-ES"/>
        </w:rPr>
      </w:pPr>
      <w:r>
        <w:rPr>
          <w:rFonts w:ascii="Arial" w:hAnsi="Arial" w:cs="Arial"/>
          <w:sz w:val="24"/>
          <w:szCs w:val="24"/>
          <w:lang w:eastAsia="es-ES"/>
        </w:rPr>
        <w:t xml:space="preserve">Ahora bien, esta Sala después de haber analizado la MULTA POR INFRACCIÓN RELACIONADA CON LA PRESENTACIÓN DE DECLARACIONES DEL IMPUESTO SOBRE EROGACIONES POR REMUNERACIONES AL TRABAJO PERSONAL, contenida en el oficio con número </w:t>
      </w:r>
      <w:r>
        <w:rPr>
          <w:rFonts w:ascii="Arial" w:hAnsi="Arial" w:cs="Arial"/>
          <w:sz w:val="24"/>
          <w:szCs w:val="24"/>
        </w:rPr>
        <w:t xml:space="preserve">de control </w:t>
      </w:r>
      <w:r>
        <w:rPr>
          <w:rFonts w:ascii="Arial" w:hAnsi="Arial" w:cs="Arial"/>
          <w:b/>
          <w:szCs w:val="24"/>
        </w:rPr>
        <w:t>**********</w:t>
      </w:r>
      <w:r>
        <w:rPr>
          <w:rFonts w:ascii="Arial" w:hAnsi="Arial" w:cs="Arial"/>
          <w:b/>
          <w:szCs w:val="24"/>
        </w:rPr>
        <w:t xml:space="preserve"> </w:t>
      </w:r>
      <w:r>
        <w:rPr>
          <w:rFonts w:ascii="Arial" w:hAnsi="Arial" w:cs="Arial"/>
          <w:sz w:val="24"/>
          <w:szCs w:val="24"/>
        </w:rPr>
        <w:t xml:space="preserve">signada por la </w:t>
      </w:r>
      <w:r>
        <w:rPr>
          <w:rFonts w:ascii="Arial" w:hAnsi="Arial" w:cs="Arial"/>
          <w:b/>
          <w:sz w:val="24"/>
          <w:szCs w:val="24"/>
        </w:rPr>
        <w:t xml:space="preserve">DIRECTORA DE INGRESOS Y </w:t>
      </w:r>
      <w:r>
        <w:rPr>
          <w:rFonts w:ascii="Arial" w:hAnsi="Arial" w:cs="Arial"/>
          <w:b/>
          <w:sz w:val="24"/>
          <w:szCs w:val="24"/>
        </w:rPr>
        <w:lastRenderedPageBreak/>
        <w:t xml:space="preserve">RECAUDACION  DE LA SECRETARÍA DE FINANZAS </w:t>
      </w:r>
      <w:r>
        <w:rPr>
          <w:rFonts w:ascii="Arial" w:hAnsi="Arial" w:cs="Arial"/>
          <w:b/>
          <w:caps/>
          <w:sz w:val="24"/>
          <w:szCs w:val="24"/>
        </w:rPr>
        <w:t>del Poder Ejecutivo del Estado de Oaxaca</w:t>
      </w:r>
      <w:r>
        <w:rPr>
          <w:rFonts w:ascii="Arial" w:hAnsi="Arial" w:cs="Arial"/>
          <w:sz w:val="24"/>
          <w:szCs w:val="24"/>
          <w:lang w:eastAsia="es-ES"/>
        </w:rPr>
        <w:t xml:space="preserve"> y tomando en consideración los conceptos de impugnación hechos valer por el actor se advierte, que la enjuiciada señaló lo siguiente: </w:t>
      </w:r>
      <w:r>
        <w:rPr>
          <w:rFonts w:ascii="Arial" w:hAnsi="Arial" w:cs="Arial"/>
          <w:i/>
          <w:sz w:val="24"/>
          <w:szCs w:val="24"/>
          <w:lang w:eastAsia="es-ES"/>
        </w:rPr>
        <w:t>“Que en los artículos 61 párrafos primero y tercero del Código Fiscal para el Estado de Oaxaca vigente; 53,55 fracción I, II y III, y 56 fracción II del Reglamento del mismo ordenamiento legal, señalan que los contribuyentes que tengan obligación de presentar declaraciones periódicas de conformidad con las leyes fiscales respectivas, lo harán ante las autoridades fiscales y en las formas que siendo aprobadas y publicadas por la Secretaría de Finanzas, se expidan para tal efecto, mismas que deben realizarse dentro de los primeros 17 días del mes siguiente al periodo que se está declarando”</w:t>
      </w:r>
    </w:p>
    <w:p w:rsidR="006C4400" w:rsidRDefault="006C4400" w:rsidP="006C4400">
      <w:pPr>
        <w:spacing w:line="360" w:lineRule="auto"/>
        <w:ind w:right="51" w:firstLine="708"/>
        <w:jc w:val="both"/>
        <w:rPr>
          <w:rFonts w:ascii="Arial" w:hAnsi="Arial" w:cs="Arial"/>
          <w:i/>
          <w:sz w:val="24"/>
          <w:szCs w:val="24"/>
          <w:lang w:eastAsia="es-ES"/>
        </w:rPr>
      </w:pPr>
    </w:p>
    <w:p w:rsidR="006C4400" w:rsidRDefault="006C4400" w:rsidP="006C4400">
      <w:pPr>
        <w:spacing w:line="360" w:lineRule="auto"/>
        <w:ind w:right="51" w:firstLine="708"/>
        <w:jc w:val="both"/>
        <w:rPr>
          <w:rFonts w:ascii="Arial" w:hAnsi="Arial" w:cs="Arial"/>
          <w:i/>
          <w:sz w:val="24"/>
          <w:szCs w:val="24"/>
          <w:lang w:val="es-ES_tradnl" w:eastAsia="es-ES"/>
        </w:rPr>
      </w:pPr>
      <w:r>
        <w:rPr>
          <w:rFonts w:ascii="Arial" w:hAnsi="Arial" w:cs="Arial"/>
          <w:sz w:val="24"/>
          <w:szCs w:val="24"/>
          <w:lang w:eastAsia="es-ES"/>
        </w:rPr>
        <w:t>A</w:t>
      </w:r>
      <w:r>
        <w:rPr>
          <w:rFonts w:ascii="Arial" w:hAnsi="Arial" w:cs="Arial"/>
          <w:sz w:val="24"/>
          <w:szCs w:val="24"/>
          <w:lang w:val="es-ES_tradnl" w:eastAsia="es-ES"/>
        </w:rPr>
        <w:t xml:space="preserve">sí mismo, manifestó: </w:t>
      </w:r>
      <w:r>
        <w:rPr>
          <w:rFonts w:ascii="Arial" w:hAnsi="Arial" w:cs="Arial"/>
          <w:i/>
          <w:sz w:val="24"/>
          <w:szCs w:val="24"/>
          <w:lang w:val="es-ES_tradnl" w:eastAsia="es-ES"/>
        </w:rPr>
        <w:t>“</w:t>
      </w:r>
      <w:r>
        <w:rPr>
          <w:rFonts w:ascii="Arial" w:hAnsi="Arial" w:cs="Arial"/>
          <w:i/>
          <w:sz w:val="24"/>
          <w:szCs w:val="24"/>
          <w:lang w:eastAsia="es-ES"/>
        </w:rPr>
        <w:t xml:space="preserve">Atendiendo a lo anterior se realizó </w:t>
      </w:r>
      <w:r>
        <w:rPr>
          <w:rFonts w:ascii="Arial" w:hAnsi="Arial" w:cs="Arial"/>
          <w:i/>
          <w:sz w:val="24"/>
          <w:szCs w:val="24"/>
          <w:lang w:val="es-ES_tradnl" w:eastAsia="es-ES"/>
        </w:rPr>
        <w:t>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Ley de Estatal de Hacienda Vigente, para los ejercicios fiscales que se requieren, para la presentación de la(s) declaración(es) bimestral(es) definitiva(s) y enterar el impuesto que nos ocupa, conforme a lo siguiente:</w:t>
      </w:r>
    </w:p>
    <w:p w:rsidR="006C4400" w:rsidRDefault="006C4400" w:rsidP="006C4400">
      <w:pPr>
        <w:widowControl w:val="0"/>
        <w:spacing w:line="360" w:lineRule="auto"/>
        <w:ind w:firstLine="708"/>
        <w:jc w:val="both"/>
        <w:rPr>
          <w:rFonts w:ascii="Arial" w:hAnsi="Arial" w:cs="Arial"/>
          <w:sz w:val="24"/>
          <w:szCs w:val="24"/>
          <w:lang w:eastAsia="es-ES"/>
        </w:rPr>
      </w:pPr>
    </w:p>
    <w:tbl>
      <w:tblPr>
        <w:tblW w:w="833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97"/>
        <w:gridCol w:w="1164"/>
        <w:gridCol w:w="1681"/>
        <w:gridCol w:w="1552"/>
        <w:gridCol w:w="2336"/>
      </w:tblGrid>
      <w:tr w:rsidR="006C4400" w:rsidTr="006C4400">
        <w:trPr>
          <w:trHeight w:val="154"/>
        </w:trPr>
        <w:tc>
          <w:tcPr>
            <w:tcW w:w="1597"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OBLIGACIÓN OMITIDA</w:t>
            </w:r>
          </w:p>
        </w:tc>
        <w:tc>
          <w:tcPr>
            <w:tcW w:w="1164"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PERIODOS REQUERIDOS</w:t>
            </w:r>
          </w:p>
        </w:tc>
        <w:tc>
          <w:tcPr>
            <w:tcW w:w="1681"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PLAZO PARA LA PRESENTACIÓN DE LAS DECLARACIONES OMITIDAS</w:t>
            </w:r>
          </w:p>
        </w:tc>
        <w:tc>
          <w:tcPr>
            <w:tcW w:w="1552"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FECHA DE VENCIMIENTO</w:t>
            </w:r>
          </w:p>
        </w:tc>
        <w:tc>
          <w:tcPr>
            <w:tcW w:w="2336"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FUNDAMENTO LEGAL</w:t>
            </w:r>
          </w:p>
        </w:tc>
      </w:tr>
      <w:tr w:rsidR="006C4400" w:rsidTr="006C4400">
        <w:trPr>
          <w:trHeight w:val="1985"/>
        </w:trPr>
        <w:tc>
          <w:tcPr>
            <w:tcW w:w="1597"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Presentación de la (s) declaración(es) bimestral(es) definitiva(s) del Impuesto Sobre Erogaciones por Remuneraciones al Trabajo Personal.</w:t>
            </w:r>
          </w:p>
        </w:tc>
        <w:tc>
          <w:tcPr>
            <w:tcW w:w="1164" w:type="dxa"/>
            <w:tcBorders>
              <w:top w:val="single" w:sz="4" w:space="0" w:color="auto"/>
              <w:left w:val="single" w:sz="4" w:space="0" w:color="auto"/>
              <w:bottom w:val="single" w:sz="4" w:space="0" w:color="auto"/>
              <w:right w:val="single" w:sz="4" w:space="0" w:color="auto"/>
            </w:tcBorders>
          </w:tcPr>
          <w:p w:rsidR="006C4400" w:rsidRDefault="006C4400">
            <w:pPr>
              <w:spacing w:line="360" w:lineRule="auto"/>
              <w:ind w:right="51"/>
              <w:jc w:val="center"/>
              <w:rPr>
                <w:rFonts w:ascii="Arial" w:hAnsi="Arial" w:cs="Arial"/>
                <w:sz w:val="14"/>
                <w:szCs w:val="14"/>
                <w:lang w:val="es-ES_tradnl" w:eastAsia="es-ES"/>
              </w:rPr>
            </w:pPr>
          </w:p>
          <w:p w:rsidR="006C4400" w:rsidRDefault="006C4400">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 bimestre 2018</w:t>
            </w:r>
          </w:p>
          <w:p w:rsidR="006C4400" w:rsidRDefault="006C4400">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 bimestre 2018</w:t>
            </w:r>
          </w:p>
          <w:p w:rsidR="006C4400" w:rsidRDefault="006C4400">
            <w:pPr>
              <w:spacing w:line="360" w:lineRule="auto"/>
              <w:ind w:right="51"/>
              <w:jc w:val="center"/>
              <w:rPr>
                <w:rFonts w:ascii="Arial" w:hAnsi="Arial" w:cs="Arial"/>
                <w:sz w:val="14"/>
                <w:szCs w:val="14"/>
                <w:lang w:val="es-ES_tradnl" w:eastAsia="es-ES"/>
              </w:rPr>
            </w:pPr>
          </w:p>
        </w:tc>
        <w:tc>
          <w:tcPr>
            <w:tcW w:w="1681" w:type="dxa"/>
            <w:tcBorders>
              <w:top w:val="single" w:sz="4" w:space="0" w:color="auto"/>
              <w:left w:val="single" w:sz="4" w:space="0" w:color="auto"/>
              <w:bottom w:val="single" w:sz="4" w:space="0" w:color="auto"/>
              <w:right w:val="single" w:sz="4" w:space="0" w:color="auto"/>
            </w:tcBorders>
          </w:tcPr>
          <w:p w:rsidR="006C4400" w:rsidRDefault="006C4400">
            <w:pPr>
              <w:spacing w:line="360" w:lineRule="auto"/>
              <w:ind w:right="51"/>
              <w:rPr>
                <w:rFonts w:ascii="Arial" w:hAnsi="Arial" w:cs="Arial"/>
                <w:sz w:val="14"/>
                <w:szCs w:val="14"/>
                <w:lang w:val="es-ES_tradnl" w:eastAsia="es-ES"/>
              </w:rPr>
            </w:pPr>
          </w:p>
          <w:p w:rsidR="006C4400" w:rsidRDefault="006C4400">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Marzo del 2018</w:t>
            </w:r>
          </w:p>
          <w:p w:rsidR="006C4400" w:rsidRDefault="006C4400">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Mayo del 2018</w:t>
            </w:r>
          </w:p>
          <w:p w:rsidR="006C4400" w:rsidRDefault="006C4400">
            <w:pPr>
              <w:spacing w:line="360" w:lineRule="auto"/>
              <w:ind w:right="51"/>
              <w:rPr>
                <w:rFonts w:ascii="Arial" w:hAnsi="Arial" w:cs="Arial"/>
                <w:sz w:val="12"/>
                <w:szCs w:val="12"/>
                <w:lang w:val="es-ES_tradnl" w:eastAsia="es-ES"/>
              </w:rPr>
            </w:pPr>
          </w:p>
        </w:tc>
        <w:tc>
          <w:tcPr>
            <w:tcW w:w="1552" w:type="dxa"/>
            <w:tcBorders>
              <w:top w:val="single" w:sz="4" w:space="0" w:color="auto"/>
              <w:left w:val="single" w:sz="4" w:space="0" w:color="auto"/>
              <w:bottom w:val="single" w:sz="4" w:space="0" w:color="auto"/>
              <w:right w:val="single" w:sz="4" w:space="0" w:color="auto"/>
            </w:tcBorders>
          </w:tcPr>
          <w:p w:rsidR="006C4400" w:rsidRDefault="006C4400">
            <w:pPr>
              <w:spacing w:line="360" w:lineRule="auto"/>
              <w:ind w:right="51"/>
              <w:jc w:val="center"/>
              <w:rPr>
                <w:rFonts w:ascii="Arial" w:hAnsi="Arial" w:cs="Arial"/>
                <w:sz w:val="14"/>
                <w:szCs w:val="14"/>
                <w:lang w:val="es-ES_tradnl" w:eastAsia="es-ES"/>
              </w:rPr>
            </w:pPr>
          </w:p>
          <w:p w:rsidR="006C4400" w:rsidRDefault="006C4400">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20 de Marzo de 2018</w:t>
            </w:r>
          </w:p>
          <w:p w:rsidR="006C4400" w:rsidRDefault="006C4400">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17 de Mayo de 2018</w:t>
            </w:r>
          </w:p>
          <w:p w:rsidR="006C4400" w:rsidRDefault="006C4400">
            <w:pPr>
              <w:spacing w:line="360" w:lineRule="auto"/>
              <w:ind w:right="51"/>
              <w:jc w:val="center"/>
              <w:rPr>
                <w:rFonts w:ascii="Arial" w:hAnsi="Arial" w:cs="Arial"/>
                <w:sz w:val="12"/>
                <w:szCs w:val="12"/>
                <w:lang w:val="es-ES_tradnl" w:eastAsia="es-ES"/>
              </w:rPr>
            </w:pPr>
          </w:p>
        </w:tc>
        <w:tc>
          <w:tcPr>
            <w:tcW w:w="2336" w:type="dxa"/>
            <w:tcBorders>
              <w:top w:val="single" w:sz="4" w:space="0" w:color="auto"/>
              <w:left w:val="single" w:sz="4" w:space="0" w:color="auto"/>
              <w:bottom w:val="single" w:sz="4" w:space="0" w:color="auto"/>
              <w:right w:val="single" w:sz="4" w:space="0" w:color="auto"/>
            </w:tcBorders>
          </w:tcPr>
          <w:p w:rsidR="006C4400" w:rsidRDefault="006C4400">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66 de la Ley Estatal de Hacienda vigente, para los ejercicios fiscales que se requieren.</w:t>
            </w:r>
          </w:p>
          <w:p w:rsidR="006C4400" w:rsidRDefault="006C4400">
            <w:pPr>
              <w:spacing w:line="360" w:lineRule="auto"/>
              <w:ind w:right="51"/>
              <w:jc w:val="both"/>
              <w:rPr>
                <w:rFonts w:ascii="Arial" w:hAnsi="Arial" w:cs="Arial"/>
                <w:sz w:val="14"/>
                <w:szCs w:val="14"/>
                <w:lang w:val="es-ES_tradnl" w:eastAsia="es-ES"/>
              </w:rPr>
            </w:pPr>
          </w:p>
          <w:p w:rsidR="006C4400" w:rsidRDefault="006C4400">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123 párrafos segundo y último del Código Fiscal del estado de Oaxaca vigente, para los ejercicios fiscales que se requieren.</w:t>
            </w:r>
          </w:p>
        </w:tc>
      </w:tr>
    </w:tbl>
    <w:p w:rsidR="006C4400" w:rsidRDefault="006C4400" w:rsidP="006C4400">
      <w:pPr>
        <w:widowControl w:val="0"/>
        <w:spacing w:line="360" w:lineRule="auto"/>
        <w:ind w:firstLine="708"/>
        <w:jc w:val="both"/>
        <w:rPr>
          <w:rFonts w:ascii="Arial" w:hAnsi="Arial" w:cs="Arial"/>
          <w:sz w:val="24"/>
          <w:szCs w:val="24"/>
          <w:lang w:eastAsia="es-ES"/>
        </w:rPr>
      </w:pPr>
    </w:p>
    <w:p w:rsidR="006C4400" w:rsidRDefault="006C4400" w:rsidP="006C4400">
      <w:pPr>
        <w:widowControl w:val="0"/>
        <w:spacing w:line="360" w:lineRule="auto"/>
        <w:ind w:firstLine="708"/>
        <w:jc w:val="both"/>
        <w:rPr>
          <w:rFonts w:ascii="Arial" w:hAnsi="Arial" w:cs="Arial"/>
          <w:sz w:val="24"/>
          <w:szCs w:val="24"/>
          <w:lang w:eastAsia="es-ES"/>
        </w:rPr>
      </w:pPr>
    </w:p>
    <w:p w:rsidR="006C4400" w:rsidRDefault="006C4400" w:rsidP="006C4400">
      <w:pPr>
        <w:widowControl w:val="0"/>
        <w:spacing w:line="360" w:lineRule="auto"/>
        <w:ind w:firstLine="708"/>
        <w:jc w:val="both"/>
        <w:rPr>
          <w:rFonts w:ascii="Arial" w:hAnsi="Arial" w:cs="Arial"/>
          <w:sz w:val="24"/>
          <w:szCs w:val="24"/>
          <w:lang w:eastAsia="es-ES"/>
        </w:rPr>
      </w:pPr>
    </w:p>
    <w:p w:rsidR="006C4400" w:rsidRDefault="006C4400" w:rsidP="006C4400">
      <w:pPr>
        <w:widowControl w:val="0"/>
        <w:spacing w:line="360" w:lineRule="auto"/>
        <w:jc w:val="both"/>
        <w:rPr>
          <w:rFonts w:ascii="Arial" w:hAnsi="Arial" w:cs="Arial"/>
          <w:i/>
          <w:sz w:val="24"/>
          <w:szCs w:val="24"/>
          <w:lang w:val="es-ES_tradnl" w:eastAsia="es-ES"/>
        </w:rPr>
      </w:pPr>
      <w:r>
        <w:rPr>
          <w:rFonts w:ascii="Arial" w:hAnsi="Arial" w:cs="Arial"/>
          <w:sz w:val="24"/>
          <w:szCs w:val="24"/>
          <w:lang w:val="es-ES_tradnl" w:eastAsia="es-ES"/>
        </w:rPr>
        <w:t xml:space="preserve"> </w:t>
      </w:r>
      <w:r>
        <w:rPr>
          <w:rFonts w:ascii="Arial" w:hAnsi="Arial" w:cs="Arial"/>
          <w:i/>
          <w:sz w:val="24"/>
          <w:szCs w:val="24"/>
          <w:lang w:val="es-ES_tradnl" w:eastAsia="es-ES"/>
        </w:rPr>
        <w:t xml:space="preserve">Considerando que con fecha 1 de enero de 2013, usted presentó  ante la Delegación  o Subdelegación  Fiscal actualmente Centros Integrales de Atención a Contribuyentes correspondiente a su domicilio fiscal, formulario múltiple de Registro Estatal  de Contribuyentes a fin de quedar inscrito(a) con la obligación  del Sobre Erogaciones por Remuneraciones al Trabajo Personal; y a la fecha esta Secretaría de Finanzas no cuenta con documentales que acrediten el cumplimiento de la(s) obligación(es) por el(los) periodo(s) citados. Su conducta </w:t>
      </w:r>
      <w:r>
        <w:rPr>
          <w:rFonts w:ascii="Arial" w:hAnsi="Arial" w:cs="Arial"/>
          <w:i/>
          <w:sz w:val="24"/>
          <w:szCs w:val="24"/>
          <w:lang w:val="es-ES_tradnl" w:eastAsia="es-ES"/>
        </w:rPr>
        <w:lastRenderedPageBreak/>
        <w:t xml:space="preserve">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del 1 de febrero de 2018, por considerar que no existen agravantes ni antecedentes del contribuyente, en consecuencia se le impone la multa citada en los términos siguientes:                                                                         </w:t>
      </w:r>
    </w:p>
    <w:p w:rsidR="006C4400" w:rsidRDefault="006C4400" w:rsidP="006C4400">
      <w:pPr>
        <w:widowControl w:val="0"/>
        <w:spacing w:line="360" w:lineRule="auto"/>
        <w:jc w:val="right"/>
        <w:rPr>
          <w:rFonts w:ascii="Arial" w:hAnsi="Arial" w:cs="Arial"/>
          <w:i/>
          <w:sz w:val="24"/>
          <w:szCs w:val="24"/>
          <w:lang w:val="es-ES_tradnl" w:eastAsia="es-ES"/>
        </w:rPr>
      </w:pPr>
      <w:r>
        <w:rPr>
          <w:rFonts w:ascii="Arial" w:hAnsi="Arial" w:cs="Arial"/>
          <w:i/>
          <w:sz w:val="24"/>
          <w:szCs w:val="24"/>
          <w:lang w:val="es-ES_tradnl" w:eastAsia="es-ES"/>
        </w:rPr>
        <w:t>”</w:t>
      </w:r>
    </w:p>
    <w:tbl>
      <w:tblPr>
        <w:tblW w:w="7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2840"/>
        <w:gridCol w:w="1422"/>
        <w:gridCol w:w="1478"/>
      </w:tblGrid>
      <w:tr w:rsidR="006C4400" w:rsidTr="006C4400">
        <w:trPr>
          <w:trHeight w:val="153"/>
          <w:jc w:val="center"/>
        </w:trPr>
        <w:tc>
          <w:tcPr>
            <w:tcW w:w="1980"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40"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422"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6C4400" w:rsidTr="006C4400">
        <w:trPr>
          <w:trHeight w:val="639"/>
          <w:jc w:val="center"/>
        </w:trPr>
        <w:tc>
          <w:tcPr>
            <w:tcW w:w="1980"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 del Código Fiscal del Estado de Oaxaca vigente.</w:t>
            </w:r>
          </w:p>
        </w:tc>
        <w:tc>
          <w:tcPr>
            <w:tcW w:w="2840"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del Estado de Oaxaca vigente.</w:t>
            </w:r>
          </w:p>
        </w:tc>
        <w:tc>
          <w:tcPr>
            <w:tcW w:w="1422"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$ 80.60</w:t>
            </w:r>
          </w:p>
        </w:tc>
        <w:tc>
          <w:tcPr>
            <w:tcW w:w="1478" w:type="dxa"/>
            <w:tcBorders>
              <w:top w:val="single" w:sz="4" w:space="0" w:color="auto"/>
              <w:left w:val="single" w:sz="4" w:space="0" w:color="auto"/>
              <w:bottom w:val="single" w:sz="4" w:space="0" w:color="auto"/>
              <w:right w:val="single" w:sz="4" w:space="0" w:color="auto"/>
            </w:tcBorders>
            <w:hideMark/>
          </w:tcPr>
          <w:p w:rsidR="006C4400" w:rsidRDefault="006C4400">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$4,030.00</w:t>
            </w:r>
          </w:p>
        </w:tc>
      </w:tr>
    </w:tbl>
    <w:p w:rsidR="006C4400" w:rsidRDefault="006C4400" w:rsidP="006C4400">
      <w:pPr>
        <w:widowControl w:val="0"/>
        <w:spacing w:line="360" w:lineRule="auto"/>
        <w:jc w:val="both"/>
        <w:rPr>
          <w:rFonts w:ascii="Arial" w:hAnsi="Arial" w:cs="Arial"/>
          <w:sz w:val="24"/>
          <w:szCs w:val="24"/>
          <w:lang w:eastAsia="es-ES"/>
        </w:rPr>
      </w:pPr>
    </w:p>
    <w:p w:rsidR="006C4400" w:rsidRDefault="006C4400" w:rsidP="006C4400">
      <w:pPr>
        <w:widowControl w:val="0"/>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    Para determinar lo anterior, la enjuiciada señaló que la multa por infracción establecida en el artículo 269 fracción I, del Código Fiscal para el Estado de Oaxaca, impuesta a la aquí actora, surge de la revisión minuciosa  en el Registro Estatal de Contribuyentes con que cuenta la Secretaría de Finanzas del Gobierno del Estado de Oaxaca, advirtiéndose que no ha dado cumplimiento con la obligación fiscal, consistente en la presentación  de las declaraciones bimestrales  definitivas del I</w:t>
      </w:r>
      <w:proofErr w:type="spellStart"/>
      <w:r>
        <w:rPr>
          <w:rFonts w:ascii="Arial" w:hAnsi="Arial" w:cs="Arial"/>
          <w:sz w:val="24"/>
          <w:szCs w:val="24"/>
          <w:lang w:val="es-ES_tradnl" w:eastAsia="es-ES"/>
        </w:rPr>
        <w:t>mpuesto</w:t>
      </w:r>
      <w:proofErr w:type="spellEnd"/>
      <w:r>
        <w:rPr>
          <w:rFonts w:ascii="Arial" w:hAnsi="Arial" w:cs="Arial"/>
          <w:sz w:val="24"/>
          <w:szCs w:val="24"/>
          <w:lang w:val="es-ES_tradnl" w:eastAsia="es-ES"/>
        </w:rPr>
        <w:t xml:space="preserve"> Sobre Erogaciones por Remuneraciones al Trabajo Personal</w:t>
      </w:r>
      <w:r>
        <w:rPr>
          <w:rFonts w:ascii="Arial" w:hAnsi="Arial" w:cs="Arial"/>
          <w:sz w:val="24"/>
          <w:szCs w:val="24"/>
          <w:lang w:eastAsia="es-ES"/>
        </w:rPr>
        <w:t xml:space="preserve">. Así mismo, se encuentra citando los artículos 61 párrafos primero y tercero del Código Fiscal del Estado de Oaxaca y 53, 55 fracción I,II y III de su Reglamento del mismo ordenamiento legal, actualmente en vigor, los cuales establecen la obligación de </w:t>
      </w:r>
      <w:r>
        <w:rPr>
          <w:rFonts w:ascii="Arial" w:hAnsi="Arial" w:cs="Arial"/>
          <w:color w:val="000000"/>
          <w:sz w:val="24"/>
          <w:szCs w:val="24"/>
          <w:lang w:eastAsia="es-ES"/>
        </w:rPr>
        <w:t xml:space="preserve">pago </w:t>
      </w:r>
      <w:r>
        <w:rPr>
          <w:rFonts w:ascii="Arial" w:hAnsi="Arial" w:cs="Arial"/>
          <w:sz w:val="24"/>
          <w:szCs w:val="24"/>
          <w:lang w:eastAsia="es-ES"/>
        </w:rPr>
        <w:t>del Impuesto de referencia, a cargo de los contribuyentes que se coloquen en el supuesto jurídico. - - - - - - - - - - - - - - - - - - - - - - - - - - - - - - - - - - - - - - - - - - - - - - -</w:t>
      </w:r>
    </w:p>
    <w:p w:rsidR="006C4400" w:rsidRDefault="006C4400" w:rsidP="006C4400">
      <w:pPr>
        <w:widowControl w:val="0"/>
        <w:spacing w:line="360" w:lineRule="auto"/>
        <w:ind w:firstLine="567"/>
        <w:jc w:val="both"/>
        <w:rPr>
          <w:rFonts w:ascii="Arial" w:hAnsi="Arial" w:cs="Arial"/>
          <w:sz w:val="24"/>
          <w:szCs w:val="24"/>
          <w:lang w:eastAsia="es-ES"/>
        </w:rPr>
      </w:pPr>
    </w:p>
    <w:p w:rsidR="006C4400" w:rsidRDefault="006C4400" w:rsidP="006C4400">
      <w:pPr>
        <w:widowControl w:val="0"/>
        <w:spacing w:line="360" w:lineRule="auto"/>
        <w:ind w:firstLine="567"/>
        <w:jc w:val="both"/>
        <w:rPr>
          <w:rFonts w:ascii="Arial" w:hAnsi="Arial" w:cs="Arial"/>
          <w:sz w:val="24"/>
          <w:szCs w:val="24"/>
          <w:lang w:eastAsia="es-ES"/>
        </w:rPr>
      </w:pPr>
    </w:p>
    <w:p w:rsidR="006C4400" w:rsidRDefault="006C4400" w:rsidP="006C4400">
      <w:pPr>
        <w:widowControl w:val="0"/>
        <w:spacing w:line="360" w:lineRule="auto"/>
        <w:ind w:hanging="426"/>
        <w:jc w:val="both"/>
        <w:rPr>
          <w:rFonts w:ascii="Arial" w:hAnsi="Arial" w:cs="Arial"/>
          <w:sz w:val="24"/>
          <w:szCs w:val="24"/>
          <w:lang w:eastAsia="es-ES"/>
        </w:rPr>
      </w:pPr>
      <w:r>
        <w:rPr>
          <w:rFonts w:ascii="Arial" w:hAnsi="Arial" w:cs="Arial"/>
          <w:sz w:val="24"/>
          <w:szCs w:val="24"/>
          <w:lang w:eastAsia="es-ES"/>
        </w:rPr>
        <w:t xml:space="preserve">                 Así las cosas, se advierte que resultan fundados el tercero en relación con el quinto conceptos de impugnación, hechos valer por el actor ya que la enjuiciada omitió señalar en la multa impugnada las razones particulares, causas inmediatas y circunstancias especiales, de qué forma confirmó que el accionante era sujeto obligado al pago del </w:t>
      </w:r>
      <w:r>
        <w:rPr>
          <w:rFonts w:ascii="Arial" w:hAnsi="Arial" w:cs="Arial"/>
          <w:sz w:val="24"/>
          <w:szCs w:val="24"/>
          <w:lang w:val="es-ES_tradnl" w:eastAsia="es-ES"/>
        </w:rPr>
        <w:t>impuesto Sobre Erogaciones por Remuneraciones al Trabajo Personal</w:t>
      </w:r>
      <w:r>
        <w:rPr>
          <w:rFonts w:ascii="Arial" w:hAnsi="Arial" w:cs="Arial"/>
          <w:sz w:val="24"/>
          <w:szCs w:val="24"/>
          <w:lang w:eastAsia="es-ES"/>
        </w:rPr>
        <w:t xml:space="preserve">;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 - - - - - - - - - - - - - - - - - - - - - - - - - </w:t>
      </w:r>
    </w:p>
    <w:p w:rsidR="006C4400" w:rsidRDefault="006C4400" w:rsidP="006C4400">
      <w:pPr>
        <w:widowControl w:val="0"/>
        <w:spacing w:line="360" w:lineRule="auto"/>
        <w:ind w:hanging="426"/>
        <w:jc w:val="both"/>
        <w:rPr>
          <w:rFonts w:ascii="Arial" w:hAnsi="Arial" w:cs="Arial"/>
          <w:sz w:val="24"/>
          <w:szCs w:val="24"/>
          <w:lang w:eastAsia="es-ES"/>
        </w:rPr>
      </w:pPr>
    </w:p>
    <w:p w:rsidR="006C4400" w:rsidRDefault="006C4400" w:rsidP="006C4400">
      <w:pPr>
        <w:widowControl w:val="0"/>
        <w:spacing w:line="360" w:lineRule="auto"/>
        <w:jc w:val="both"/>
        <w:rPr>
          <w:rFonts w:ascii="Arial" w:hAnsi="Arial" w:cs="Arial"/>
          <w:sz w:val="24"/>
          <w:szCs w:val="24"/>
          <w:lang w:eastAsia="es-ES"/>
        </w:rPr>
      </w:pPr>
      <w:r>
        <w:rPr>
          <w:rFonts w:ascii="Arial" w:hAnsi="Arial" w:cs="Arial"/>
          <w:sz w:val="24"/>
          <w:szCs w:val="24"/>
          <w:lang w:eastAsia="es-ES"/>
        </w:rPr>
        <w:t xml:space="preserve">           En ese orden de ideas, la autoridad fiscalizadora en primer término, debió ubicar al actor como sujeto obligado, señalando los hechos o circunstancias que </w:t>
      </w:r>
      <w:r>
        <w:rPr>
          <w:rFonts w:ascii="Arial" w:hAnsi="Arial" w:cs="Arial"/>
          <w:sz w:val="24"/>
          <w:szCs w:val="24"/>
          <w:lang w:eastAsia="es-ES"/>
        </w:rPr>
        <w:lastRenderedPageBreak/>
        <w:t>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tuvo en su poder o a las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rsidR="006C4400" w:rsidRDefault="006C4400" w:rsidP="006C4400">
      <w:pPr>
        <w:widowControl w:val="0"/>
        <w:ind w:left="1134"/>
        <w:jc w:val="both"/>
        <w:rPr>
          <w:rFonts w:ascii="Arial" w:hAnsi="Arial" w:cs="Arial"/>
          <w:b/>
          <w:sz w:val="24"/>
          <w:szCs w:val="24"/>
          <w:lang w:eastAsia="es-ES"/>
        </w:rPr>
      </w:pPr>
    </w:p>
    <w:p w:rsidR="006C4400" w:rsidRDefault="006C4400" w:rsidP="006C4400">
      <w:pPr>
        <w:widowControl w:val="0"/>
        <w:ind w:left="1134"/>
        <w:jc w:val="both"/>
        <w:rPr>
          <w:rFonts w:ascii="Arial" w:hAnsi="Arial" w:cs="Arial"/>
          <w:b/>
          <w:lang w:eastAsia="es-ES"/>
        </w:rPr>
      </w:pPr>
      <w:r>
        <w:rPr>
          <w:rFonts w:ascii="Arial" w:hAnsi="Arial" w:cs="Arial"/>
          <w:b/>
          <w:sz w:val="24"/>
          <w:szCs w:val="24"/>
          <w:lang w:eastAsia="es-ES"/>
        </w:rPr>
        <w:t xml:space="preserve">        </w:t>
      </w:r>
      <w:r>
        <w:rPr>
          <w:rFonts w:ascii="Arial" w:hAnsi="Arial" w:cs="Arial"/>
          <w:b/>
          <w:lang w:eastAsia="es-ES"/>
        </w:rPr>
        <w:t>CÓDIGO FISCAL PARA EL ESTADO DE OAXACA.</w:t>
      </w:r>
    </w:p>
    <w:p w:rsidR="006C4400" w:rsidRDefault="006C4400" w:rsidP="006C4400">
      <w:pPr>
        <w:widowControl w:val="0"/>
        <w:ind w:left="1134"/>
        <w:jc w:val="both"/>
        <w:rPr>
          <w:rFonts w:ascii="Arial" w:hAnsi="Arial" w:cs="Arial"/>
          <w:b/>
          <w:lang w:eastAsia="es-ES"/>
        </w:rPr>
      </w:pPr>
    </w:p>
    <w:p w:rsidR="006C4400" w:rsidRDefault="006C4400" w:rsidP="006C4400">
      <w:pPr>
        <w:widowControl w:val="0"/>
        <w:ind w:left="1134" w:right="902"/>
        <w:jc w:val="center"/>
        <w:rPr>
          <w:rFonts w:ascii="Arial" w:hAnsi="Arial" w:cs="Arial"/>
          <w:b/>
          <w:lang w:eastAsia="es-ES"/>
        </w:rPr>
      </w:pPr>
      <w:r>
        <w:rPr>
          <w:rFonts w:ascii="Arial" w:hAnsi="Arial" w:cs="Arial"/>
          <w:b/>
          <w:lang w:eastAsia="es-ES"/>
        </w:rPr>
        <w:t>LIBRO TERCERO DE LAS FACULTADES DE LAS AUTORIDADES FISCALES TÍTULO ÚNICO.</w:t>
      </w:r>
    </w:p>
    <w:p w:rsidR="006C4400" w:rsidRDefault="006C4400" w:rsidP="006C4400">
      <w:pPr>
        <w:widowControl w:val="0"/>
        <w:spacing w:line="360" w:lineRule="auto"/>
        <w:ind w:right="1327"/>
        <w:jc w:val="both"/>
        <w:rPr>
          <w:rFonts w:ascii="Arial" w:hAnsi="Arial" w:cs="Arial"/>
          <w:lang w:eastAsia="es-ES"/>
        </w:rPr>
      </w:pPr>
    </w:p>
    <w:p w:rsidR="006C4400" w:rsidRDefault="006C4400" w:rsidP="006C4400">
      <w:pPr>
        <w:widowControl w:val="0"/>
        <w:spacing w:line="360" w:lineRule="auto"/>
        <w:ind w:left="1701" w:right="1327"/>
        <w:jc w:val="both"/>
        <w:rPr>
          <w:rFonts w:ascii="Arial" w:hAnsi="Arial" w:cs="Arial"/>
          <w:sz w:val="24"/>
          <w:szCs w:val="24"/>
          <w:lang w:eastAsia="es-ES"/>
        </w:rPr>
      </w:pPr>
      <w:r>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6C4400" w:rsidRDefault="006C4400" w:rsidP="006C4400">
      <w:pPr>
        <w:widowControl w:val="0"/>
        <w:spacing w:line="360" w:lineRule="auto"/>
        <w:ind w:right="1327"/>
        <w:jc w:val="both"/>
        <w:rPr>
          <w:rFonts w:ascii="Arial" w:hAnsi="Arial" w:cs="Arial"/>
          <w:sz w:val="24"/>
          <w:szCs w:val="24"/>
          <w:lang w:eastAsia="es-ES"/>
        </w:rPr>
      </w:pPr>
    </w:p>
    <w:p w:rsidR="006C4400" w:rsidRDefault="006C4400" w:rsidP="006C4400">
      <w:pPr>
        <w:spacing w:line="360" w:lineRule="auto"/>
        <w:ind w:left="360"/>
        <w:jc w:val="both"/>
        <w:rPr>
          <w:rFonts w:ascii="Arial" w:hAnsi="Arial" w:cs="Arial"/>
          <w:sz w:val="24"/>
          <w:szCs w:val="24"/>
          <w:highlight w:val="yellow"/>
          <w:lang w:eastAsia="es-ES"/>
        </w:rPr>
      </w:pPr>
      <w:r>
        <w:rPr>
          <w:rFonts w:ascii="Arial" w:hAnsi="Arial" w:cs="Arial"/>
          <w:sz w:val="24"/>
          <w:szCs w:val="24"/>
          <w:lang w:eastAsia="es-ES"/>
        </w:rPr>
        <w:t xml:space="preserve">        Así también,  la autoridad consideró que con fecha 1 de enero de 2013, el actor presentó ante la Delegación o Subdelegación Fiscal, formulario múltiple de Registro Estatal de Contribuyente  a fin de quedar inscrito con la obligación al pago del </w:t>
      </w:r>
      <w:r>
        <w:rPr>
          <w:rFonts w:ascii="Arial" w:hAnsi="Arial" w:cs="Arial"/>
          <w:sz w:val="24"/>
          <w:szCs w:val="24"/>
          <w:lang w:val="es-ES_tradnl" w:eastAsia="es-ES"/>
        </w:rPr>
        <w:t>Impuesto Sobre Erogaciones por Remuneraciones al Trabajo Personal</w:t>
      </w:r>
      <w:r>
        <w:rPr>
          <w:rFonts w:ascii="Arial" w:hAnsi="Arial" w:cs="Arial"/>
          <w:sz w:val="24"/>
          <w:szCs w:val="24"/>
          <w:lang w:eastAsia="es-ES"/>
        </w:rPr>
        <w:t xml:space="preserve">,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  </w:t>
      </w:r>
    </w:p>
    <w:p w:rsidR="006C4400" w:rsidRDefault="006C4400" w:rsidP="006C4400">
      <w:pPr>
        <w:spacing w:line="360" w:lineRule="auto"/>
        <w:ind w:left="360"/>
        <w:jc w:val="both"/>
        <w:rPr>
          <w:rFonts w:ascii="Arial" w:hAnsi="Arial" w:cs="Arial"/>
          <w:sz w:val="24"/>
          <w:szCs w:val="24"/>
          <w:lang w:eastAsia="es-ES"/>
        </w:rPr>
      </w:pPr>
    </w:p>
    <w:p w:rsidR="006C4400" w:rsidRDefault="006C4400" w:rsidP="006C4400">
      <w:pPr>
        <w:spacing w:line="360" w:lineRule="auto"/>
        <w:ind w:left="360"/>
        <w:jc w:val="both"/>
        <w:rPr>
          <w:rFonts w:ascii="Arial" w:hAnsi="Arial" w:cs="Arial"/>
          <w:sz w:val="24"/>
          <w:szCs w:val="24"/>
          <w:lang w:eastAsia="es-ES"/>
        </w:rPr>
      </w:pPr>
    </w:p>
    <w:p w:rsidR="006C4400" w:rsidRDefault="006C4400" w:rsidP="006C4400">
      <w:pPr>
        <w:spacing w:line="360" w:lineRule="auto"/>
        <w:ind w:left="360" w:firstLine="348"/>
        <w:jc w:val="both"/>
        <w:rPr>
          <w:rFonts w:ascii="Arial" w:hAnsi="Arial" w:cs="Arial"/>
          <w:sz w:val="24"/>
          <w:szCs w:val="24"/>
          <w:lang w:eastAsia="es-ES"/>
        </w:rPr>
      </w:pPr>
      <w:r>
        <w:rPr>
          <w:rFonts w:ascii="Arial" w:hAnsi="Arial" w:cs="Arial"/>
          <w:sz w:val="24"/>
          <w:szCs w:val="24"/>
          <w:lang w:eastAsia="es-ES"/>
        </w:rPr>
        <w:t>De lo anterior y del citado precepto se puede apreciar que la multicitada autoridad paso por alto el derecho de audiencia y del debido proceso, consagrado en el segundo párrafo del artículo 14 de la Constitución Política de los Estados Unidos Mexicanos, entendido este, el</w:t>
      </w:r>
      <w:r>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Pr>
          <w:rFonts w:ascii="Arial" w:hAnsi="Arial" w:cs="Arial"/>
          <w:sz w:val="24"/>
          <w:szCs w:val="24"/>
          <w:lang w:val="es-MX"/>
        </w:rPr>
        <w:t xml:space="preserve"> el cual deberá</w:t>
      </w:r>
      <w:r>
        <w:rPr>
          <w:rFonts w:ascii="Arial" w:hAnsi="Arial" w:cs="Arial"/>
          <w:sz w:val="24"/>
          <w:szCs w:val="24"/>
          <w:shd w:val="clear" w:color="auto" w:fill="FFFFFF"/>
          <w:lang w:val="es-MX"/>
        </w:rPr>
        <w:t xml:space="preserve"> contemplar las formalidades que garantizan una defensa adecuada, es decir: </w:t>
      </w:r>
      <w:r>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Pr>
          <w:rFonts w:ascii="Arial" w:hAnsi="Arial" w:cs="Arial"/>
          <w:sz w:val="24"/>
          <w:szCs w:val="24"/>
          <w:lang w:eastAsia="es-ES"/>
        </w:rPr>
        <w:t xml:space="preserve"> jurisprudencia P./J. 47/95, publicada en el Semanario </w:t>
      </w:r>
      <w:r>
        <w:rPr>
          <w:rFonts w:ascii="Arial" w:hAnsi="Arial" w:cs="Arial"/>
          <w:sz w:val="24"/>
          <w:szCs w:val="24"/>
          <w:lang w:eastAsia="es-ES"/>
        </w:rPr>
        <w:lastRenderedPageBreak/>
        <w:t xml:space="preserve">Judicial de la Federación y su Gaceta, Novena Época, Tomo II, diciembre de 1995, página 133, de rubro: </w:t>
      </w:r>
    </w:p>
    <w:p w:rsidR="006C4400" w:rsidRDefault="006C4400" w:rsidP="006C4400">
      <w:pPr>
        <w:spacing w:line="360" w:lineRule="auto"/>
        <w:ind w:left="360" w:firstLine="348"/>
        <w:jc w:val="both"/>
        <w:rPr>
          <w:rFonts w:ascii="Arial" w:hAnsi="Arial" w:cs="Arial"/>
          <w:sz w:val="24"/>
          <w:szCs w:val="24"/>
          <w:lang w:val="es-MX"/>
        </w:rPr>
      </w:pPr>
    </w:p>
    <w:p w:rsidR="006C4400" w:rsidRDefault="006C4400" w:rsidP="006C4400">
      <w:pPr>
        <w:spacing w:line="360" w:lineRule="auto"/>
        <w:ind w:left="1701" w:right="1469"/>
        <w:jc w:val="both"/>
        <w:rPr>
          <w:rFonts w:ascii="Arial" w:hAnsi="Arial" w:cs="Arial"/>
          <w:sz w:val="22"/>
          <w:szCs w:val="22"/>
          <w:lang w:eastAsia="es-ES"/>
        </w:rPr>
      </w:pPr>
      <w:r>
        <w:rPr>
          <w:rFonts w:ascii="Arial" w:hAnsi="Arial" w:cs="Arial"/>
          <w:b/>
          <w:sz w:val="22"/>
          <w:szCs w:val="22"/>
          <w:lang w:eastAsia="es-ES"/>
        </w:rPr>
        <w:t>FORMALIDADES ESENCIALES DEL PROCEDIMIENTO. SON LAS QUE GARANTIZAN UNA ADECUADA Y OPORTUNA DEFENSA PREVIA AL ACTO PRIVATIVO</w:t>
      </w:r>
      <w:r>
        <w:rPr>
          <w:rFonts w:ascii="Arial" w:hAnsi="Arial" w:cs="Arial"/>
          <w:sz w:val="22"/>
          <w:szCs w:val="22"/>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Pr>
          <w:rFonts w:ascii="Arial" w:hAnsi="Arial" w:cs="Arial"/>
          <w:b/>
          <w:sz w:val="22"/>
          <w:szCs w:val="22"/>
          <w:lang w:eastAsia="es-ES"/>
        </w:rPr>
        <w:t>De no respetarse estos requisitos, se dejaría de cumplir con el fin de la garantía de audiencia, que es evitar la indefensión del afectado</w:t>
      </w:r>
      <w:r>
        <w:rPr>
          <w:rFonts w:ascii="Arial" w:hAnsi="Arial" w:cs="Arial"/>
          <w:sz w:val="22"/>
          <w:szCs w:val="22"/>
          <w:lang w:eastAsia="es-ES"/>
        </w:rPr>
        <w:t>.</w:t>
      </w:r>
    </w:p>
    <w:p w:rsidR="006C4400" w:rsidRDefault="006C4400" w:rsidP="006C4400">
      <w:pPr>
        <w:spacing w:line="360" w:lineRule="auto"/>
        <w:ind w:right="1469"/>
        <w:jc w:val="both"/>
        <w:rPr>
          <w:rFonts w:ascii="Arial" w:hAnsi="Arial" w:cs="Arial"/>
          <w:sz w:val="24"/>
          <w:szCs w:val="24"/>
          <w:lang w:eastAsia="es-ES"/>
        </w:rPr>
      </w:pPr>
      <w:r>
        <w:rPr>
          <w:rFonts w:ascii="Arial" w:hAnsi="Arial" w:cs="Arial"/>
          <w:b/>
          <w:sz w:val="24"/>
          <w:szCs w:val="24"/>
          <w:lang w:eastAsia="es-ES"/>
        </w:rPr>
        <w:t xml:space="preserve"> </w:t>
      </w:r>
    </w:p>
    <w:p w:rsidR="006C4400" w:rsidRDefault="006C4400" w:rsidP="006C4400">
      <w:pPr>
        <w:spacing w:line="360" w:lineRule="auto"/>
        <w:ind w:right="51"/>
        <w:jc w:val="both"/>
        <w:rPr>
          <w:rFonts w:ascii="Arial" w:hAnsi="Arial" w:cs="Arial"/>
          <w:sz w:val="24"/>
          <w:szCs w:val="24"/>
          <w:lang w:eastAsia="es-ES"/>
        </w:rPr>
      </w:pPr>
      <w:r>
        <w:rPr>
          <w:rFonts w:ascii="Arial" w:hAnsi="Arial" w:cs="Arial"/>
          <w:b/>
          <w:sz w:val="24"/>
          <w:szCs w:val="24"/>
          <w:lang w:eastAsia="es-ES"/>
        </w:rPr>
        <w:t xml:space="preserve">          </w:t>
      </w:r>
      <w:r>
        <w:rPr>
          <w:rFonts w:ascii="Arial" w:hAnsi="Arial" w:cs="Arial"/>
          <w:sz w:val="24"/>
          <w:szCs w:val="24"/>
          <w:lang w:eastAsia="es-ES"/>
        </w:rPr>
        <w:t xml:space="preserve"> En ese orden de ideas, la enjuiciada una vez que hubiese identificado al actor en los registros contables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los expedientes, o la base datos y ubicación de la información recabada deja en estado de indefensión al actor,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p>
    <w:p w:rsidR="006C4400" w:rsidRDefault="006C4400" w:rsidP="006C4400">
      <w:pPr>
        <w:spacing w:line="360" w:lineRule="auto"/>
        <w:ind w:right="51"/>
        <w:jc w:val="both"/>
        <w:rPr>
          <w:rFonts w:ascii="Arial" w:hAnsi="Arial" w:cs="Arial"/>
          <w:sz w:val="24"/>
          <w:szCs w:val="24"/>
          <w:lang w:eastAsia="es-ES"/>
        </w:rPr>
      </w:pPr>
    </w:p>
    <w:p w:rsidR="006C4400" w:rsidRDefault="006C4400" w:rsidP="006C4400">
      <w:pPr>
        <w:spacing w:line="360" w:lineRule="auto"/>
        <w:ind w:left="1701" w:right="1469"/>
        <w:jc w:val="both"/>
        <w:rPr>
          <w:rFonts w:ascii="Arial" w:hAnsi="Arial" w:cs="Arial"/>
          <w:sz w:val="22"/>
          <w:szCs w:val="22"/>
          <w:lang w:eastAsia="es-ES"/>
        </w:rPr>
      </w:pPr>
      <w:r>
        <w:rPr>
          <w:rFonts w:ascii="Arial" w:hAnsi="Arial" w:cs="Arial"/>
          <w:b/>
          <w:sz w:val="22"/>
          <w:szCs w:val="22"/>
          <w:lang w:eastAsia="es-ES"/>
        </w:rPr>
        <w:t xml:space="preserve">CONTRIBUCIONES FEDERALES. PARA MOTIVAR LAS RESOLUCIONES QUE LAS AUTORIDADES FISCALES EMITAN EN ESA MATERIA, ES </w:t>
      </w:r>
      <w:r>
        <w:rPr>
          <w:rFonts w:ascii="Arial" w:hAnsi="Arial" w:cs="Arial"/>
          <w:b/>
          <w:sz w:val="22"/>
          <w:szCs w:val="22"/>
          <w:lang w:eastAsia="es-ES"/>
        </w:rPr>
        <w:lastRenderedPageBreak/>
        <w:t>MENESTER QUE PRECISEN CLARAMENTE CUÁLES SON LOS EXPEDIENTES Y DOCUMENTOS QUE TOMARON EN CUENTA Y LOS HECHOS DE ELLOS ADVERTIDOS</w:t>
      </w:r>
      <w:r>
        <w:rPr>
          <w:rFonts w:ascii="Arial" w:hAnsi="Arial" w:cs="Arial"/>
          <w:sz w:val="22"/>
          <w:szCs w:val="22"/>
          <w:lang w:eastAsia="es-ES"/>
        </w:rPr>
        <w:t xml:space="preserve">. Conforme a lo previsto en el </w:t>
      </w:r>
      <w:r>
        <w:rPr>
          <w:rFonts w:ascii="Arial" w:hAnsi="Arial" w:cs="Arial"/>
          <w:b/>
          <w:sz w:val="22"/>
          <w:szCs w:val="22"/>
          <w:lang w:eastAsia="es-ES"/>
        </w:rPr>
        <w:t>artículo 63 del Código Fiscal de la Federación,</w:t>
      </w:r>
      <w:r>
        <w:rPr>
          <w:rFonts w:ascii="Arial" w:hAnsi="Arial" w:cs="Arial"/>
          <w:sz w:val="22"/>
          <w:szCs w:val="22"/>
          <w:lang w:eastAsia="es-ES"/>
        </w:rPr>
        <w:t xml:space="preserve">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6C4400" w:rsidRDefault="006C4400" w:rsidP="006C4400">
      <w:pPr>
        <w:spacing w:line="360" w:lineRule="auto"/>
        <w:ind w:left="1701" w:right="1469"/>
        <w:jc w:val="both"/>
        <w:rPr>
          <w:rFonts w:ascii="Arial" w:hAnsi="Arial" w:cs="Arial"/>
          <w:sz w:val="22"/>
          <w:szCs w:val="22"/>
          <w:lang w:eastAsia="es-ES"/>
        </w:rPr>
      </w:pPr>
    </w:p>
    <w:p w:rsidR="006C4400" w:rsidRDefault="006C4400" w:rsidP="006C4400">
      <w:pPr>
        <w:widowControl w:val="0"/>
        <w:spacing w:line="360" w:lineRule="auto"/>
        <w:jc w:val="both"/>
        <w:rPr>
          <w:rFonts w:ascii="Arial" w:hAnsi="Arial" w:cs="Arial"/>
          <w:sz w:val="24"/>
          <w:szCs w:val="24"/>
          <w:lang w:eastAsia="es-ES"/>
        </w:rPr>
      </w:pPr>
    </w:p>
    <w:p w:rsidR="006C4400" w:rsidRDefault="006C4400" w:rsidP="006C4400">
      <w:pPr>
        <w:widowControl w:val="0"/>
        <w:spacing w:line="360" w:lineRule="auto"/>
        <w:jc w:val="both"/>
        <w:rPr>
          <w:rFonts w:ascii="Arial" w:hAnsi="Arial" w:cs="Arial"/>
          <w:sz w:val="24"/>
          <w:szCs w:val="24"/>
          <w:lang w:eastAsia="es-ES"/>
        </w:rPr>
      </w:pPr>
    </w:p>
    <w:p w:rsidR="006C4400" w:rsidRDefault="006C4400" w:rsidP="006C4400">
      <w:pPr>
        <w:widowControl w:val="0"/>
        <w:spacing w:line="360" w:lineRule="auto"/>
        <w:ind w:hanging="426"/>
        <w:jc w:val="both"/>
        <w:rPr>
          <w:rFonts w:ascii="Arial" w:hAnsi="Arial" w:cs="Arial"/>
          <w:sz w:val="24"/>
          <w:szCs w:val="24"/>
        </w:rPr>
      </w:pPr>
      <w:r>
        <w:rPr>
          <w:rFonts w:ascii="Arial" w:hAnsi="Arial" w:cs="Arial"/>
          <w:sz w:val="24"/>
          <w:szCs w:val="24"/>
          <w:lang w:eastAsia="es-ES"/>
        </w:rPr>
        <w:t xml:space="preserve">                     De lo anterior, se advierte que la demandada omitió señalar  en la multa impugnada las razones de qué forma confirmó fehacientemente que la administrada estaba obligada a  la Presentación de las Declaraciones Bimestrales  del </w:t>
      </w:r>
      <w:r>
        <w:rPr>
          <w:rFonts w:ascii="Arial" w:hAnsi="Arial" w:cs="Arial"/>
          <w:sz w:val="24"/>
          <w:szCs w:val="24"/>
          <w:lang w:val="es-ES_tradnl" w:eastAsia="es-ES"/>
        </w:rPr>
        <w:t>Impuesto Sobre Erogaciones por Remuneraciones al Trabajo Personal</w:t>
      </w:r>
      <w:r>
        <w:rPr>
          <w:rFonts w:ascii="Arial" w:hAnsi="Arial" w:cs="Arial"/>
          <w:sz w:val="24"/>
          <w:szCs w:val="24"/>
          <w:lang w:eastAsia="es-ES"/>
        </w:rPr>
        <w:t xml:space="preserve">, así como al no indicar los antecedentes específicos que se tenían para considerarlo sujeto de ese impuesto al no señalarlos en el cuerpo del acto de autoridad y al no darle la oportunidad de intervenir en el procedimiento previo provoca la ilegalidad de la resolución al confirmar un requerimiento realizado de manera incorrecta, al no acatarse a lo dispuesto por el artículo 17 fracción V, de la Ley de Procedimiento y Justicia Administrativa para el Estado de Oaxaca, por carecer de la debida fundamentación y motivación, de donde en términos del artículo </w:t>
      </w:r>
      <w:r>
        <w:rPr>
          <w:rFonts w:ascii="Arial" w:hAnsi="Arial" w:cs="Arial"/>
          <w:sz w:val="24"/>
          <w:szCs w:val="24"/>
        </w:rPr>
        <w:t>207, fracciones I, II y III, 208 fracción II, VI,</w:t>
      </w:r>
      <w:r>
        <w:rPr>
          <w:rFonts w:ascii="Arial" w:hAnsi="Arial" w:cs="Arial"/>
          <w:sz w:val="24"/>
          <w:szCs w:val="24"/>
          <w:lang w:eastAsia="es-ES"/>
        </w:rPr>
        <w:t xml:space="preserve"> de la Ley de la materia procede </w:t>
      </w:r>
      <w:r>
        <w:rPr>
          <w:rFonts w:ascii="Arial" w:hAnsi="Arial" w:cs="Arial"/>
          <w:b/>
          <w:sz w:val="24"/>
          <w:szCs w:val="24"/>
          <w:lang w:eastAsia="es-ES"/>
        </w:rPr>
        <w:t xml:space="preserve">DECLARAR SU NULIDAD LISA Y LLANA </w:t>
      </w:r>
      <w:r>
        <w:rPr>
          <w:rFonts w:ascii="Arial" w:hAnsi="Arial" w:cs="Arial"/>
          <w:sz w:val="24"/>
          <w:szCs w:val="24"/>
          <w:lang w:eastAsia="es-ES"/>
        </w:rPr>
        <w:t xml:space="preserve">de la multa emitida  por la no presentación de las Declaraciones Bimestrales  del </w:t>
      </w:r>
      <w:r>
        <w:rPr>
          <w:rFonts w:ascii="Arial" w:hAnsi="Arial" w:cs="Arial"/>
          <w:sz w:val="24"/>
          <w:szCs w:val="24"/>
          <w:lang w:val="es-ES_tradnl" w:eastAsia="es-ES"/>
        </w:rPr>
        <w:t xml:space="preserve">Impuesto Sobre </w:t>
      </w:r>
      <w:r>
        <w:rPr>
          <w:rFonts w:ascii="Arial" w:hAnsi="Arial" w:cs="Arial"/>
          <w:sz w:val="24"/>
          <w:szCs w:val="24"/>
          <w:lang w:val="es-ES_tradnl" w:eastAsia="es-ES"/>
        </w:rPr>
        <w:lastRenderedPageBreak/>
        <w:t>Erogaciones por Remuneraciones al Trabajo Personal</w:t>
      </w:r>
      <w:r>
        <w:rPr>
          <w:rFonts w:ascii="Arial" w:hAnsi="Arial" w:cs="Arial"/>
          <w:sz w:val="24"/>
          <w:szCs w:val="24"/>
          <w:lang w:eastAsia="es-ES"/>
        </w:rPr>
        <w:t xml:space="preserve"> contenida en el oficio </w:t>
      </w:r>
      <w:r>
        <w:rPr>
          <w:rFonts w:ascii="Arial" w:hAnsi="Arial" w:cs="Arial"/>
          <w:sz w:val="24"/>
          <w:szCs w:val="24"/>
        </w:rPr>
        <w:t xml:space="preserve">con número de control </w:t>
      </w:r>
      <w:r>
        <w:rPr>
          <w:rFonts w:ascii="Arial" w:hAnsi="Arial" w:cs="Arial"/>
          <w:b/>
          <w:szCs w:val="24"/>
        </w:rPr>
        <w:t>**********</w:t>
      </w:r>
      <w:r>
        <w:rPr>
          <w:rFonts w:ascii="Arial" w:hAnsi="Arial" w:cs="Arial"/>
          <w:b/>
          <w:szCs w:val="24"/>
        </w:rPr>
        <w:t xml:space="preserve">  </w:t>
      </w:r>
      <w:r>
        <w:rPr>
          <w:rFonts w:ascii="Arial" w:hAnsi="Arial" w:cs="Arial"/>
          <w:sz w:val="24"/>
          <w:szCs w:val="24"/>
        </w:rPr>
        <w:t xml:space="preserve">signada por la </w:t>
      </w:r>
      <w:r>
        <w:rPr>
          <w:rFonts w:ascii="Arial" w:hAnsi="Arial" w:cs="Arial"/>
          <w:b/>
          <w:sz w:val="24"/>
          <w:szCs w:val="24"/>
        </w:rPr>
        <w:t>DIRECTORA DE INGRESOS Y RECAUDACIÓN DE LA SECRETARÍA DE FINANZAS DEL PODER EJECUTIVO DEL ESTADO DE OAXACA</w:t>
      </w:r>
      <w:r>
        <w:rPr>
          <w:rFonts w:ascii="Arial" w:hAnsi="Arial" w:cs="Arial"/>
          <w:sz w:val="24"/>
          <w:szCs w:val="24"/>
        </w:rPr>
        <w:t xml:space="preserve">.- - - - - - - - - - - - - - - - - - - - - - - - - - - - - - - - - - - - - - - - </w:t>
      </w:r>
    </w:p>
    <w:p w:rsidR="006C4400" w:rsidRDefault="006C4400" w:rsidP="006C4400">
      <w:pPr>
        <w:widowControl w:val="0"/>
        <w:spacing w:line="360" w:lineRule="auto"/>
        <w:ind w:hanging="426"/>
        <w:jc w:val="both"/>
        <w:rPr>
          <w:rFonts w:ascii="Arial" w:hAnsi="Arial" w:cs="Arial"/>
          <w:sz w:val="24"/>
          <w:szCs w:val="24"/>
        </w:rPr>
      </w:pPr>
    </w:p>
    <w:p w:rsidR="006C4400" w:rsidRDefault="006C4400" w:rsidP="006C4400">
      <w:pPr>
        <w:widowControl w:val="0"/>
        <w:spacing w:line="360" w:lineRule="auto"/>
        <w:ind w:right="49"/>
        <w:jc w:val="both"/>
        <w:rPr>
          <w:rFonts w:ascii="Arial" w:hAnsi="Arial" w:cs="Arial"/>
          <w:sz w:val="24"/>
          <w:szCs w:val="24"/>
          <w:lang w:eastAsia="es-ES"/>
        </w:rPr>
      </w:pPr>
      <w:r>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6C4400" w:rsidRDefault="006C4400" w:rsidP="006C4400">
      <w:pPr>
        <w:widowControl w:val="0"/>
        <w:spacing w:line="360" w:lineRule="auto"/>
        <w:ind w:right="49"/>
        <w:jc w:val="both"/>
        <w:rPr>
          <w:rFonts w:ascii="Arial" w:hAnsi="Arial" w:cs="Arial"/>
          <w:sz w:val="24"/>
          <w:szCs w:val="24"/>
          <w:lang w:eastAsia="es-ES"/>
        </w:rPr>
      </w:pPr>
    </w:p>
    <w:p w:rsidR="006C4400" w:rsidRDefault="006C4400" w:rsidP="006C4400">
      <w:pPr>
        <w:widowControl w:val="0"/>
        <w:spacing w:line="360" w:lineRule="auto"/>
        <w:ind w:left="1701" w:right="1469"/>
        <w:jc w:val="both"/>
        <w:rPr>
          <w:rFonts w:ascii="Arial" w:hAnsi="Arial" w:cs="Arial"/>
          <w:sz w:val="22"/>
          <w:szCs w:val="22"/>
          <w:lang w:eastAsia="es-ES"/>
        </w:rPr>
      </w:pPr>
      <w:r>
        <w:rPr>
          <w:rFonts w:ascii="Arial" w:hAnsi="Arial" w:cs="Arial"/>
          <w:b/>
          <w:sz w:val="22"/>
          <w:szCs w:val="22"/>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Pr>
          <w:rFonts w:ascii="Arial" w:hAnsi="Arial" w:cs="Arial"/>
          <w:sz w:val="22"/>
          <w:szCs w:val="22"/>
          <w:lang w:eastAsia="es-ES"/>
        </w:rPr>
        <w:t xml:space="preserve">. </w:t>
      </w:r>
    </w:p>
    <w:p w:rsidR="006C4400" w:rsidRDefault="006C4400" w:rsidP="006C4400">
      <w:pPr>
        <w:widowControl w:val="0"/>
        <w:spacing w:line="360" w:lineRule="auto"/>
        <w:ind w:left="1701" w:right="1469"/>
        <w:jc w:val="both"/>
        <w:rPr>
          <w:rFonts w:ascii="Arial" w:hAnsi="Arial" w:cs="Arial"/>
          <w:sz w:val="24"/>
          <w:szCs w:val="24"/>
          <w:lang w:eastAsia="es-ES"/>
        </w:rPr>
      </w:pPr>
    </w:p>
    <w:p w:rsidR="006C4400" w:rsidRDefault="006C4400" w:rsidP="006C4400">
      <w:pPr>
        <w:pStyle w:val="corte4fondo"/>
        <w:ind w:firstLine="567"/>
        <w:rPr>
          <w:sz w:val="24"/>
          <w:szCs w:val="24"/>
        </w:rPr>
      </w:pPr>
      <w:r>
        <w:rPr>
          <w:bCs/>
          <w:color w:val="000000"/>
          <w:sz w:val="24"/>
          <w:szCs w:val="24"/>
          <w:lang w:val="es-ES"/>
        </w:rPr>
        <w:t xml:space="preserve">Cabe señalar, que si bien es cierto que, los Tribunales deben ocuparse de todos los planteamientos formulados por las partes; al haberse declarado la nulidad del acto impugnado, </w:t>
      </w:r>
      <w:r>
        <w:rPr>
          <w:sz w:val="24"/>
          <w:szCs w:val="24"/>
        </w:rPr>
        <w:t xml:space="preserve">resulta innecesario </w:t>
      </w:r>
      <w:r>
        <w:rPr>
          <w:bCs/>
          <w:color w:val="000000"/>
          <w:sz w:val="24"/>
          <w:szCs w:val="24"/>
          <w:lang w:val="es-ES"/>
        </w:rPr>
        <w:t>el análisis de los demás planteamientos formulados por el actor,</w:t>
      </w:r>
      <w:r>
        <w:rPr>
          <w:sz w:val="24"/>
          <w:szCs w:val="24"/>
        </w:rPr>
        <w:t xml:space="preserve"> virtud a que a nada práctico conduciría, toda vez que </w:t>
      </w:r>
      <w:r>
        <w:rPr>
          <w:bCs/>
          <w:color w:val="000000"/>
          <w:sz w:val="24"/>
          <w:szCs w:val="24"/>
          <w:lang w:val="es-ES"/>
        </w:rPr>
        <w:t>lo analizado fue suficiente para declarar la nulidad lisa y llana del mismo, pretensión principal de la accionante</w:t>
      </w:r>
      <w:r>
        <w:rPr>
          <w:sz w:val="24"/>
          <w:szCs w:val="24"/>
        </w:rPr>
        <w:t>. - - - - - - - - - - - - - - - - - - - - - - - - - - - - - - - - - - - - - - - - - - - - - - - - - - - - -</w:t>
      </w:r>
    </w:p>
    <w:p w:rsidR="006C4400" w:rsidRDefault="006C4400" w:rsidP="006C4400">
      <w:pPr>
        <w:pStyle w:val="corte4fondo"/>
        <w:ind w:firstLine="567"/>
        <w:rPr>
          <w:sz w:val="24"/>
          <w:szCs w:val="24"/>
        </w:rPr>
      </w:pPr>
      <w:r>
        <w:rPr>
          <w:sz w:val="24"/>
          <w:szCs w:val="24"/>
        </w:rPr>
        <w:t xml:space="preserve"> </w:t>
      </w:r>
    </w:p>
    <w:p w:rsidR="006C4400" w:rsidRDefault="006C4400" w:rsidP="006C4400">
      <w:pPr>
        <w:pStyle w:val="corte4fondo"/>
        <w:ind w:firstLine="567"/>
        <w:rPr>
          <w:sz w:val="24"/>
          <w:szCs w:val="24"/>
        </w:rPr>
      </w:pPr>
    </w:p>
    <w:p w:rsidR="006C4400" w:rsidRDefault="006C4400" w:rsidP="006C4400">
      <w:pPr>
        <w:pStyle w:val="corte4fondo"/>
        <w:ind w:firstLine="567"/>
        <w:rPr>
          <w:sz w:val="24"/>
          <w:szCs w:val="24"/>
        </w:rPr>
      </w:pPr>
    </w:p>
    <w:p w:rsidR="006C4400" w:rsidRDefault="006C4400" w:rsidP="006C4400">
      <w:pPr>
        <w:spacing w:line="360" w:lineRule="auto"/>
        <w:ind w:right="51" w:firstLine="567"/>
        <w:jc w:val="both"/>
        <w:rPr>
          <w:rFonts w:ascii="Arial" w:hAnsi="Arial" w:cs="Arial"/>
          <w:bCs/>
          <w:i/>
          <w:sz w:val="24"/>
          <w:szCs w:val="24"/>
        </w:rPr>
      </w:pPr>
      <w:r>
        <w:rPr>
          <w:rFonts w:ascii="Arial" w:hAnsi="Arial"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en la página 646, bajo el siguiente rubro</w:t>
      </w:r>
      <w:r>
        <w:rPr>
          <w:rFonts w:ascii="Arial" w:hAnsi="Arial" w:cs="Arial"/>
          <w:bCs/>
          <w:i/>
          <w:sz w:val="24"/>
          <w:szCs w:val="24"/>
        </w:rPr>
        <w:t>:</w:t>
      </w:r>
    </w:p>
    <w:p w:rsidR="006C4400" w:rsidRDefault="006C4400" w:rsidP="006C4400">
      <w:pPr>
        <w:spacing w:line="360" w:lineRule="auto"/>
        <w:ind w:right="51"/>
        <w:jc w:val="both"/>
        <w:rPr>
          <w:rFonts w:ascii="Arial" w:hAnsi="Arial" w:cs="Arial"/>
          <w:bCs/>
          <w:i/>
          <w:sz w:val="24"/>
          <w:szCs w:val="24"/>
        </w:rPr>
      </w:pPr>
    </w:p>
    <w:p w:rsidR="006C4400" w:rsidRDefault="006C4400" w:rsidP="006C4400">
      <w:pPr>
        <w:tabs>
          <w:tab w:val="left" w:pos="7371"/>
        </w:tabs>
        <w:spacing w:line="360" w:lineRule="auto"/>
        <w:ind w:left="1701" w:right="1469"/>
        <w:jc w:val="both"/>
        <w:rPr>
          <w:rFonts w:ascii="Arial" w:hAnsi="Arial" w:cs="Arial"/>
          <w:bCs/>
          <w:sz w:val="22"/>
          <w:szCs w:val="22"/>
        </w:rPr>
      </w:pPr>
      <w:r>
        <w:rPr>
          <w:rFonts w:ascii="Arial" w:hAnsi="Arial" w:cs="Arial"/>
          <w:b/>
          <w:bCs/>
          <w:sz w:val="22"/>
          <w:szCs w:val="22"/>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6C4400" w:rsidRDefault="006C4400" w:rsidP="006C4400">
      <w:pPr>
        <w:spacing w:line="360" w:lineRule="auto"/>
        <w:ind w:right="51"/>
        <w:jc w:val="both"/>
        <w:rPr>
          <w:rFonts w:ascii="Arial" w:hAnsi="Arial" w:cs="Arial"/>
          <w:b/>
          <w:color w:val="444444"/>
          <w:sz w:val="24"/>
          <w:szCs w:val="24"/>
        </w:rPr>
      </w:pPr>
    </w:p>
    <w:p w:rsidR="006C4400" w:rsidRDefault="006C4400" w:rsidP="006C4400">
      <w:pPr>
        <w:spacing w:line="360" w:lineRule="auto"/>
        <w:ind w:right="51" w:firstLine="708"/>
        <w:jc w:val="both"/>
        <w:rPr>
          <w:rFonts w:ascii="Arial" w:hAnsi="Arial" w:cs="Arial"/>
          <w:color w:val="444444"/>
          <w:sz w:val="24"/>
          <w:szCs w:val="24"/>
        </w:rPr>
      </w:pPr>
      <w:r>
        <w:rPr>
          <w:rFonts w:ascii="Arial" w:hAnsi="Arial" w:cs="Arial"/>
          <w:b/>
          <w:color w:val="444444"/>
          <w:sz w:val="24"/>
          <w:szCs w:val="24"/>
        </w:rPr>
        <w:lastRenderedPageBreak/>
        <w:t>QUINTO.-</w:t>
      </w:r>
      <w:r>
        <w:rPr>
          <w:rFonts w:ascii="Arial" w:hAnsi="Arial" w:cs="Arial"/>
          <w:color w:val="444444"/>
          <w:sz w:val="24"/>
          <w:szCs w:val="24"/>
        </w:rPr>
        <w:t xml:space="preserve"> Como la parte actora en el presente juicio, no</w:t>
      </w:r>
      <w:r>
        <w:rPr>
          <w:rFonts w:ascii="Arial" w:hAnsi="Arial" w:cs="Arial"/>
          <w:b/>
          <w:color w:val="444444"/>
          <w:sz w:val="24"/>
          <w:szCs w:val="24"/>
        </w:rPr>
        <w:t xml:space="preserve"> se opuso a la publicación de sus datos personales, </w:t>
      </w:r>
      <w:r>
        <w:rPr>
          <w:rFonts w:ascii="Arial" w:hAnsi="Arial" w:cs="Arial"/>
          <w:color w:val="444444"/>
          <w:sz w:val="24"/>
          <w:szCs w:val="24"/>
        </w:rPr>
        <w:t>aun cuando no haya ejercido ese derecho y al encontrarse obligado este juzgador a proteger dicha información</w:t>
      </w:r>
      <w:r>
        <w:rPr>
          <w:rFonts w:ascii="Arial" w:hAnsi="Arial" w:cs="Arial"/>
          <w:b/>
          <w:color w:val="444444"/>
          <w:sz w:val="24"/>
          <w:szCs w:val="24"/>
        </w:rPr>
        <w:t xml:space="preserve"> </w:t>
      </w:r>
      <w:r>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Pr>
          <w:rFonts w:ascii="Arial" w:hAnsi="Arial" w:cs="Arial"/>
          <w:b/>
          <w:color w:val="444444"/>
          <w:sz w:val="24"/>
          <w:szCs w:val="24"/>
        </w:rPr>
        <w:t xml:space="preserve">se ordena la publicación de la sentencia, </w:t>
      </w:r>
      <w:r>
        <w:rPr>
          <w:rFonts w:ascii="Arial" w:hAnsi="Arial" w:cs="Arial"/>
          <w:color w:val="444444"/>
          <w:sz w:val="24"/>
          <w:szCs w:val="24"/>
        </w:rPr>
        <w:t>con  la supresión de datos personales identificables, procurándose que no se impida conocer el criterio sostenido por este órgano jurisdiccional.- - - - - - - - - - - - - - - - - - -</w:t>
      </w:r>
    </w:p>
    <w:p w:rsidR="006C4400" w:rsidRDefault="006C4400" w:rsidP="006C4400">
      <w:pPr>
        <w:pStyle w:val="corte4fondo"/>
        <w:ind w:right="-516" w:firstLine="0"/>
        <w:rPr>
          <w:i/>
          <w:sz w:val="24"/>
          <w:szCs w:val="24"/>
          <w:lang w:val="es-ES"/>
        </w:rPr>
      </w:pPr>
    </w:p>
    <w:p w:rsidR="006C4400" w:rsidRDefault="006C4400" w:rsidP="006C4400">
      <w:pPr>
        <w:spacing w:line="360" w:lineRule="auto"/>
        <w:ind w:right="51"/>
        <w:jc w:val="both"/>
        <w:rPr>
          <w:rFonts w:ascii="Arial" w:hAnsi="Arial" w:cs="Arial"/>
          <w:sz w:val="24"/>
          <w:szCs w:val="24"/>
        </w:rPr>
      </w:pPr>
      <w:r>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 - - - - -  - - - - - - - - - -</w:t>
      </w:r>
    </w:p>
    <w:p w:rsidR="006C4400" w:rsidRDefault="006C4400" w:rsidP="006C4400">
      <w:pPr>
        <w:spacing w:line="360" w:lineRule="auto"/>
        <w:ind w:right="51"/>
        <w:jc w:val="both"/>
        <w:rPr>
          <w:rFonts w:ascii="Arial" w:hAnsi="Arial" w:cs="Arial"/>
          <w:sz w:val="24"/>
          <w:szCs w:val="24"/>
        </w:rPr>
      </w:pPr>
    </w:p>
    <w:p w:rsidR="006C4400" w:rsidRDefault="006C4400" w:rsidP="006C4400">
      <w:pPr>
        <w:spacing w:line="360" w:lineRule="auto"/>
        <w:ind w:right="51"/>
        <w:jc w:val="both"/>
        <w:rPr>
          <w:rFonts w:ascii="Arial" w:hAnsi="Arial" w:cs="Arial"/>
          <w:sz w:val="24"/>
          <w:szCs w:val="24"/>
        </w:rPr>
      </w:pPr>
    </w:p>
    <w:p w:rsidR="006C4400" w:rsidRDefault="006C4400" w:rsidP="006C4400">
      <w:pPr>
        <w:spacing w:line="360" w:lineRule="auto"/>
        <w:ind w:right="51"/>
        <w:jc w:val="both"/>
        <w:rPr>
          <w:rFonts w:ascii="Arial" w:hAnsi="Arial" w:cs="Arial"/>
          <w:sz w:val="24"/>
          <w:szCs w:val="24"/>
        </w:rPr>
      </w:pPr>
    </w:p>
    <w:p w:rsidR="006C4400" w:rsidRDefault="006C4400" w:rsidP="006C4400">
      <w:pPr>
        <w:spacing w:line="360" w:lineRule="auto"/>
        <w:jc w:val="center"/>
        <w:rPr>
          <w:rFonts w:ascii="Arial" w:hAnsi="Arial" w:cs="Arial"/>
          <w:b/>
          <w:sz w:val="24"/>
          <w:szCs w:val="24"/>
        </w:rPr>
      </w:pPr>
      <w:r>
        <w:rPr>
          <w:rFonts w:ascii="Arial" w:hAnsi="Arial" w:cs="Arial"/>
          <w:b/>
          <w:sz w:val="24"/>
          <w:szCs w:val="24"/>
        </w:rPr>
        <w:t>R E S U E L V E:</w:t>
      </w:r>
    </w:p>
    <w:p w:rsidR="006C4400" w:rsidRDefault="006C4400" w:rsidP="006C4400">
      <w:pPr>
        <w:spacing w:line="360" w:lineRule="auto"/>
        <w:jc w:val="center"/>
        <w:rPr>
          <w:rFonts w:ascii="Arial" w:hAnsi="Arial" w:cs="Arial"/>
          <w:b/>
          <w:sz w:val="24"/>
          <w:szCs w:val="24"/>
        </w:rPr>
      </w:pPr>
    </w:p>
    <w:p w:rsidR="006C4400" w:rsidRDefault="006C4400" w:rsidP="006C4400">
      <w:pPr>
        <w:spacing w:line="360" w:lineRule="auto"/>
        <w:ind w:firstLine="708"/>
        <w:jc w:val="both"/>
        <w:rPr>
          <w:rFonts w:ascii="Arial" w:hAnsi="Arial" w:cs="Arial"/>
          <w:sz w:val="24"/>
          <w:szCs w:val="24"/>
        </w:rPr>
      </w:pPr>
      <w:r>
        <w:rPr>
          <w:rFonts w:ascii="Arial" w:hAnsi="Arial" w:cs="Arial"/>
          <w:b/>
          <w:sz w:val="24"/>
          <w:szCs w:val="24"/>
        </w:rPr>
        <w:t>PRIMERO</w:t>
      </w:r>
      <w:r>
        <w:rPr>
          <w:rFonts w:ascii="Arial" w:hAnsi="Arial" w:cs="Arial"/>
          <w:sz w:val="24"/>
          <w:szCs w:val="24"/>
        </w:rPr>
        <w:t xml:space="preserve">.- Esta Quinta Sala Unitaria del Tribunal de Justicia Administrativa del Estado de Oaxaca, es competente para conocer y resolver el presente juicio. - - -   </w:t>
      </w:r>
    </w:p>
    <w:p w:rsidR="006C4400" w:rsidRDefault="006C4400" w:rsidP="006C4400">
      <w:pPr>
        <w:spacing w:line="360" w:lineRule="auto"/>
        <w:ind w:firstLine="708"/>
        <w:jc w:val="both"/>
        <w:rPr>
          <w:rFonts w:ascii="Arial" w:hAnsi="Arial" w:cs="Arial"/>
          <w:b/>
          <w:sz w:val="24"/>
          <w:szCs w:val="24"/>
        </w:rPr>
      </w:pPr>
    </w:p>
    <w:p w:rsidR="006C4400" w:rsidRDefault="006C4400" w:rsidP="006C4400">
      <w:pPr>
        <w:spacing w:line="360" w:lineRule="auto"/>
        <w:ind w:firstLine="708"/>
        <w:jc w:val="both"/>
        <w:rPr>
          <w:rFonts w:ascii="Arial" w:hAnsi="Arial" w:cs="Arial"/>
          <w:sz w:val="24"/>
          <w:szCs w:val="24"/>
        </w:rPr>
      </w:pPr>
      <w:r>
        <w:rPr>
          <w:rFonts w:ascii="Arial" w:hAnsi="Arial" w:cs="Arial"/>
          <w:b/>
          <w:sz w:val="24"/>
          <w:szCs w:val="24"/>
        </w:rPr>
        <w:t>SEGUNDO</w:t>
      </w:r>
      <w:r>
        <w:rPr>
          <w:rFonts w:ascii="Arial" w:hAnsi="Arial" w:cs="Arial"/>
          <w:sz w:val="24"/>
          <w:szCs w:val="24"/>
        </w:rPr>
        <w:t xml:space="preserve">.- La personalidad de las partes quedó asentada en autos. - - - - - - </w:t>
      </w:r>
    </w:p>
    <w:p w:rsidR="006C4400" w:rsidRDefault="006C4400" w:rsidP="006C4400">
      <w:pPr>
        <w:spacing w:line="360" w:lineRule="auto"/>
        <w:ind w:firstLine="708"/>
        <w:jc w:val="both"/>
        <w:rPr>
          <w:rFonts w:ascii="Arial" w:hAnsi="Arial" w:cs="Arial"/>
          <w:b/>
          <w:sz w:val="24"/>
          <w:szCs w:val="24"/>
        </w:rPr>
      </w:pPr>
    </w:p>
    <w:p w:rsidR="006C4400" w:rsidRDefault="006C4400" w:rsidP="006C4400">
      <w:pPr>
        <w:spacing w:line="360" w:lineRule="auto"/>
        <w:ind w:firstLine="708"/>
        <w:jc w:val="both"/>
        <w:rPr>
          <w:rFonts w:ascii="Arial" w:hAnsi="Arial" w:cs="Arial"/>
          <w:sz w:val="24"/>
          <w:szCs w:val="24"/>
          <w:lang w:val="es-MX"/>
        </w:rPr>
      </w:pPr>
      <w:r>
        <w:rPr>
          <w:rFonts w:ascii="Arial" w:hAnsi="Arial" w:cs="Arial"/>
          <w:b/>
          <w:sz w:val="24"/>
          <w:szCs w:val="24"/>
        </w:rPr>
        <w:t>TERCERO.</w:t>
      </w:r>
      <w:r>
        <w:rPr>
          <w:rFonts w:ascii="Arial" w:hAnsi="Arial" w:cs="Arial"/>
          <w:sz w:val="24"/>
          <w:szCs w:val="24"/>
        </w:rPr>
        <w:t>-</w:t>
      </w:r>
      <w:r>
        <w:rPr>
          <w:rFonts w:ascii="Arial" w:hAnsi="Arial" w:cs="Arial"/>
          <w:sz w:val="24"/>
          <w:szCs w:val="24"/>
          <w:lang w:val="es-MX"/>
        </w:rPr>
        <w:t xml:space="preserve"> Este Juzgador advierte que, en el presente juicio no se configura alguna causal de improcedencia o sobreseimiento, por tanto, </w:t>
      </w:r>
      <w:r>
        <w:rPr>
          <w:rFonts w:ascii="Arial" w:hAnsi="Arial" w:cs="Arial"/>
          <w:b/>
          <w:sz w:val="24"/>
          <w:szCs w:val="24"/>
          <w:lang w:val="es-MX"/>
        </w:rPr>
        <w:t>NO SE SOBRESEE</w:t>
      </w:r>
      <w:r>
        <w:rPr>
          <w:rFonts w:ascii="Arial" w:hAnsi="Arial" w:cs="Arial"/>
          <w:sz w:val="24"/>
          <w:szCs w:val="24"/>
          <w:lang w:val="es-MX"/>
        </w:rPr>
        <w:t xml:space="preserve">.- - </w:t>
      </w:r>
    </w:p>
    <w:p w:rsidR="006C4400" w:rsidRDefault="006C4400" w:rsidP="006C4400">
      <w:pPr>
        <w:spacing w:line="360" w:lineRule="auto"/>
        <w:ind w:firstLine="708"/>
        <w:jc w:val="both"/>
        <w:rPr>
          <w:rFonts w:ascii="Arial" w:hAnsi="Arial" w:cs="Arial"/>
          <w:sz w:val="24"/>
          <w:szCs w:val="24"/>
          <w:lang w:val="es-MX"/>
        </w:rPr>
      </w:pPr>
    </w:p>
    <w:p w:rsidR="006C4400" w:rsidRDefault="006C4400" w:rsidP="006C4400">
      <w:pPr>
        <w:widowControl w:val="0"/>
        <w:spacing w:line="360" w:lineRule="auto"/>
        <w:ind w:firstLine="708"/>
        <w:jc w:val="both"/>
        <w:rPr>
          <w:rFonts w:ascii="Arial" w:hAnsi="Arial" w:cs="Arial"/>
          <w:sz w:val="24"/>
          <w:szCs w:val="24"/>
        </w:rPr>
      </w:pPr>
      <w:r>
        <w:rPr>
          <w:rFonts w:ascii="Arial" w:hAnsi="Arial" w:cs="Arial"/>
          <w:b/>
          <w:bCs/>
          <w:sz w:val="24"/>
          <w:szCs w:val="24"/>
          <w:lang w:val="es-MX"/>
        </w:rPr>
        <w:t xml:space="preserve"> CUARTO</w:t>
      </w:r>
      <w:r>
        <w:rPr>
          <w:rFonts w:ascii="Arial" w:hAnsi="Arial" w:cs="Arial"/>
          <w:bCs/>
          <w:sz w:val="24"/>
          <w:szCs w:val="24"/>
          <w:lang w:val="es-MX"/>
        </w:rPr>
        <w:t xml:space="preserve">.- </w:t>
      </w:r>
      <w:r>
        <w:rPr>
          <w:rFonts w:ascii="Arial" w:hAnsi="Arial" w:cs="Arial"/>
          <w:sz w:val="24"/>
          <w:szCs w:val="24"/>
          <w:lang w:eastAsia="es-ES"/>
        </w:rPr>
        <w:t xml:space="preserve">Se </w:t>
      </w:r>
      <w:r>
        <w:rPr>
          <w:rFonts w:ascii="Arial" w:hAnsi="Arial" w:cs="Arial"/>
          <w:b/>
          <w:sz w:val="24"/>
          <w:szCs w:val="24"/>
          <w:lang w:eastAsia="es-ES"/>
        </w:rPr>
        <w:t xml:space="preserve">DECLARA LA NULIDAD LISA Y LLANA </w:t>
      </w:r>
      <w:r>
        <w:rPr>
          <w:rFonts w:ascii="Arial" w:hAnsi="Arial" w:cs="Arial"/>
          <w:sz w:val="24"/>
          <w:szCs w:val="24"/>
          <w:lang w:eastAsia="es-ES"/>
        </w:rPr>
        <w:t xml:space="preserve">de la multa emitida por la no presentación de las Declaraciones Bimestrales del </w:t>
      </w:r>
      <w:r>
        <w:rPr>
          <w:rFonts w:ascii="Arial" w:hAnsi="Arial" w:cs="Arial"/>
          <w:sz w:val="24"/>
          <w:szCs w:val="24"/>
          <w:lang w:val="es-ES_tradnl" w:eastAsia="es-ES"/>
        </w:rPr>
        <w:t xml:space="preserve">Impuesto Sobre Erogaciones por Remuneraciones al Trabajo Personal, </w:t>
      </w:r>
      <w:r>
        <w:rPr>
          <w:rFonts w:ascii="Arial" w:hAnsi="Arial" w:cs="Arial"/>
          <w:sz w:val="24"/>
          <w:szCs w:val="24"/>
          <w:lang w:eastAsia="es-ES"/>
        </w:rPr>
        <w:t xml:space="preserve">contenida en el oficio </w:t>
      </w:r>
      <w:r>
        <w:rPr>
          <w:rFonts w:ascii="Arial" w:hAnsi="Arial" w:cs="Arial"/>
          <w:sz w:val="24"/>
          <w:szCs w:val="24"/>
        </w:rPr>
        <w:t xml:space="preserve">con número de control </w:t>
      </w:r>
      <w:r>
        <w:rPr>
          <w:rFonts w:ascii="Arial" w:hAnsi="Arial" w:cs="Arial"/>
          <w:b/>
          <w:szCs w:val="24"/>
        </w:rPr>
        <w:t>**********</w:t>
      </w:r>
      <w:r>
        <w:rPr>
          <w:rFonts w:ascii="Arial" w:hAnsi="Arial" w:cs="Arial"/>
          <w:b/>
          <w:szCs w:val="24"/>
        </w:rPr>
        <w:t xml:space="preserve"> </w:t>
      </w:r>
      <w:r>
        <w:rPr>
          <w:rFonts w:ascii="Arial" w:hAnsi="Arial" w:cs="Arial"/>
          <w:sz w:val="24"/>
          <w:szCs w:val="24"/>
        </w:rPr>
        <w:t>signada por la DIRECTORA DE INGRESOS Y RECAUDACION  de la Secretarí</w:t>
      </w:r>
      <w:bookmarkStart w:id="0" w:name="_GoBack"/>
      <w:bookmarkEnd w:id="0"/>
      <w:r>
        <w:rPr>
          <w:rFonts w:ascii="Arial" w:hAnsi="Arial" w:cs="Arial"/>
          <w:sz w:val="24"/>
          <w:szCs w:val="24"/>
        </w:rPr>
        <w:t xml:space="preserve">a de Finanzas del Poder Ejecutivo del Estado de Oaxaca, </w:t>
      </w:r>
      <w:r>
        <w:rPr>
          <w:rFonts w:ascii="Arial" w:hAnsi="Arial" w:cs="Arial"/>
          <w:sz w:val="24"/>
          <w:szCs w:val="24"/>
          <w:lang w:eastAsia="es-ES"/>
        </w:rPr>
        <w:t>por las razones ya expuestas en el considerando CUARTO de esta sentencia. - - - - - - - - -  - - - - - - - - - - - - - - - - - - - - - - - - - - - - - - - - - - - - - - - - - - - -</w:t>
      </w:r>
    </w:p>
    <w:p w:rsidR="006C4400" w:rsidRDefault="006C4400" w:rsidP="006C4400">
      <w:pPr>
        <w:spacing w:line="360" w:lineRule="auto"/>
        <w:ind w:right="51"/>
        <w:jc w:val="both"/>
        <w:rPr>
          <w:rFonts w:ascii="Arial" w:hAnsi="Arial" w:cs="Arial"/>
          <w:b/>
          <w:sz w:val="24"/>
          <w:szCs w:val="24"/>
        </w:rPr>
      </w:pPr>
      <w:r>
        <w:rPr>
          <w:rFonts w:ascii="Arial" w:hAnsi="Arial" w:cs="Arial"/>
          <w:b/>
          <w:sz w:val="24"/>
          <w:szCs w:val="24"/>
        </w:rPr>
        <w:t xml:space="preserve">       </w:t>
      </w:r>
    </w:p>
    <w:p w:rsidR="006C4400" w:rsidRDefault="006C4400" w:rsidP="006C4400">
      <w:pPr>
        <w:spacing w:line="360" w:lineRule="auto"/>
        <w:ind w:right="51" w:firstLine="567"/>
        <w:jc w:val="both"/>
        <w:rPr>
          <w:rFonts w:ascii="Arial" w:hAnsi="Arial" w:cs="Arial"/>
          <w:sz w:val="24"/>
          <w:szCs w:val="24"/>
        </w:rPr>
      </w:pPr>
      <w:r>
        <w:rPr>
          <w:rFonts w:ascii="Arial" w:hAnsi="Arial" w:cs="Arial"/>
          <w:b/>
          <w:sz w:val="24"/>
          <w:szCs w:val="24"/>
        </w:rPr>
        <w:t>QUINTO</w:t>
      </w:r>
      <w:r>
        <w:rPr>
          <w:rFonts w:ascii="Arial" w:hAnsi="Arial" w:cs="Arial"/>
          <w:sz w:val="24"/>
          <w:szCs w:val="24"/>
        </w:rPr>
        <w:t xml:space="preserve">.- </w:t>
      </w:r>
      <w:r>
        <w:rPr>
          <w:rFonts w:ascii="Arial" w:hAnsi="Arial" w:cs="Arial"/>
          <w:sz w:val="24"/>
          <w:szCs w:val="24"/>
          <w:lang w:val="es-MX"/>
        </w:rPr>
        <w:t xml:space="preserve">Conforme a lo dispuesto en los artículos 172 y 173 </w:t>
      </w:r>
      <w:r>
        <w:rPr>
          <w:rFonts w:ascii="Arial" w:hAnsi="Arial" w:cs="Arial"/>
          <w:sz w:val="24"/>
          <w:szCs w:val="24"/>
        </w:rPr>
        <w:t>de la Ley de Procedimiento y Justicia Administrativa para el Estado de Oaxaca</w:t>
      </w:r>
      <w:r>
        <w:rPr>
          <w:rFonts w:ascii="Arial" w:hAnsi="Arial" w:cs="Arial"/>
          <w:b/>
          <w:sz w:val="24"/>
          <w:szCs w:val="24"/>
        </w:rPr>
        <w:t xml:space="preserve">, NOTIFÍQUESE </w:t>
      </w:r>
      <w:r>
        <w:rPr>
          <w:rFonts w:ascii="Arial" w:hAnsi="Arial" w:cs="Arial"/>
          <w:sz w:val="24"/>
          <w:szCs w:val="24"/>
        </w:rPr>
        <w:t xml:space="preserve">personalmente a la parte actora por oficio a la autoridad demandada y </w:t>
      </w:r>
      <w:r>
        <w:rPr>
          <w:rFonts w:ascii="Arial" w:hAnsi="Arial" w:cs="Arial"/>
          <w:b/>
          <w:sz w:val="24"/>
          <w:szCs w:val="24"/>
        </w:rPr>
        <w:t>CÚMPLASE</w:t>
      </w:r>
      <w:r>
        <w:rPr>
          <w:rFonts w:ascii="Arial" w:hAnsi="Arial" w:cs="Arial"/>
          <w:sz w:val="24"/>
          <w:szCs w:val="24"/>
        </w:rPr>
        <w:t xml:space="preserve">.- - - - - - - - - - - - - - - - - - - - - - - - - - - - - - - - - - - - - - - - - - - - - - - - - - - - - - - - - - - - - - </w:t>
      </w:r>
    </w:p>
    <w:p w:rsidR="006C4400" w:rsidRDefault="006C4400" w:rsidP="006C4400">
      <w:pPr>
        <w:spacing w:line="360" w:lineRule="auto"/>
        <w:ind w:right="51"/>
        <w:jc w:val="both"/>
        <w:rPr>
          <w:rFonts w:ascii="Arial" w:hAnsi="Arial" w:cs="Arial"/>
          <w:sz w:val="24"/>
          <w:szCs w:val="24"/>
        </w:rPr>
      </w:pPr>
    </w:p>
    <w:p w:rsidR="006C4400" w:rsidRDefault="006C4400" w:rsidP="006C4400">
      <w:pPr>
        <w:spacing w:line="360" w:lineRule="auto"/>
        <w:ind w:right="49" w:firstLine="567"/>
        <w:jc w:val="both"/>
        <w:rPr>
          <w:rFonts w:ascii="Arial" w:hAnsi="Arial" w:cs="Arial"/>
          <w:sz w:val="24"/>
          <w:szCs w:val="24"/>
        </w:rPr>
      </w:pPr>
      <w:r>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Pr>
          <w:rFonts w:ascii="Arial" w:hAnsi="Arial" w:cs="Arial"/>
          <w:sz w:val="24"/>
          <w:szCs w:val="24"/>
        </w:rPr>
        <w:t>Marissa</w:t>
      </w:r>
      <w:proofErr w:type="spellEnd"/>
      <w:r>
        <w:rPr>
          <w:rFonts w:ascii="Arial" w:hAnsi="Arial" w:cs="Arial"/>
          <w:sz w:val="24"/>
          <w:szCs w:val="24"/>
        </w:rPr>
        <w:t xml:space="preserve"> Ignacio Valencia, Secretaria de Acuerdos, que autoriza y da fe. - - - - - - - - - - - - - - - - - - - - - - - - - - -</w:t>
      </w:r>
    </w:p>
    <w:p w:rsidR="006C4400" w:rsidRDefault="006C4400" w:rsidP="006C4400">
      <w:pPr>
        <w:spacing w:line="360" w:lineRule="auto"/>
        <w:ind w:right="49" w:firstLine="567"/>
        <w:jc w:val="both"/>
        <w:rPr>
          <w:rFonts w:ascii="Arial" w:hAnsi="Arial" w:cs="Arial"/>
          <w:sz w:val="24"/>
          <w:szCs w:val="24"/>
        </w:rPr>
      </w:pPr>
    </w:p>
    <w:p w:rsidR="006C4400" w:rsidRDefault="006C4400" w:rsidP="006C4400">
      <w:pPr>
        <w:spacing w:line="360" w:lineRule="auto"/>
        <w:ind w:right="49" w:firstLine="567"/>
        <w:jc w:val="both"/>
        <w:rPr>
          <w:rFonts w:ascii="Arial" w:hAnsi="Arial" w:cs="Arial"/>
          <w:sz w:val="24"/>
          <w:szCs w:val="24"/>
        </w:rPr>
      </w:pPr>
    </w:p>
    <w:p w:rsidR="00410D8E" w:rsidRDefault="00410D8E"/>
    <w:sectPr w:rsidR="00410D8E" w:rsidSect="0087211A">
      <w:headerReference w:type="even" r:id="rId7"/>
      <w:headerReference w:type="default" r:id="rId8"/>
      <w:footerReference w:type="default" r:id="rId9"/>
      <w:pgSz w:w="12240" w:h="20160" w:code="5"/>
      <w:pgMar w:top="720" w:right="720" w:bottom="72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A71" w:rsidRDefault="00413A71" w:rsidP="001C0800">
      <w:r>
        <w:separator/>
      </w:r>
    </w:p>
  </w:endnote>
  <w:endnote w:type="continuationSeparator" w:id="0">
    <w:p w:rsidR="00413A71" w:rsidRDefault="00413A71" w:rsidP="001C0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11A" w:rsidRDefault="0087211A">
    <w:pPr>
      <w:pStyle w:val="Piedepgina"/>
    </w:pPr>
    <w:r>
      <w:rPr>
        <w:noProof/>
        <w:lang w:val="es-MX"/>
      </w:rPr>
      <mc:AlternateContent>
        <mc:Choice Requires="wps">
          <w:drawing>
            <wp:anchor distT="45720" distB="45720" distL="114300" distR="114300" simplePos="0" relativeHeight="251659264" behindDoc="0" locked="0" layoutInCell="1" allowOverlap="1" wp14:anchorId="32805830" wp14:editId="00C3ED40">
              <wp:simplePos x="0" y="0"/>
              <wp:positionH relativeFrom="page">
                <wp:posOffset>299085</wp:posOffset>
              </wp:positionH>
              <wp:positionV relativeFrom="paragraph">
                <wp:posOffset>-5767705</wp:posOffset>
              </wp:positionV>
              <wp:extent cx="1046480" cy="1504950"/>
              <wp:effectExtent l="0" t="0" r="20320" b="1905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A075A" w:rsidRDefault="00DA075A" w:rsidP="00DA075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3.55pt;margin-top:-454.15pt;width:82.4pt;height:118.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">
              <v:textbox>
                <w:txbxContent>
                  <w:p w:rsidR="00DA075A" w:rsidRDefault="00DA075A" w:rsidP="00DA075A">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A71" w:rsidRDefault="00413A71" w:rsidP="001C0800">
      <w:r>
        <w:separator/>
      </w:r>
    </w:p>
  </w:footnote>
  <w:footnote w:type="continuationSeparator" w:id="0">
    <w:p w:rsidR="00413A71" w:rsidRDefault="00413A71" w:rsidP="001C08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75A" w:rsidRDefault="00DA075A">
    <w:pPr>
      <w:pStyle w:val="Encabezado"/>
    </w:pPr>
    <w:r>
      <w:rPr>
        <w:noProof/>
        <w:lang w:val="es-MX"/>
      </w:rPr>
      <mc:AlternateContent>
        <mc:Choice Requires="wps">
          <w:drawing>
            <wp:anchor distT="45720" distB="45720" distL="114300" distR="114300" simplePos="0" relativeHeight="251661312" behindDoc="0" locked="0" layoutInCell="1" allowOverlap="1" wp14:anchorId="64B08453" wp14:editId="62D14E8C">
              <wp:simplePos x="0" y="0"/>
              <wp:positionH relativeFrom="page">
                <wp:posOffset>352425</wp:posOffset>
              </wp:positionH>
              <wp:positionV relativeFrom="paragraph">
                <wp:posOffset>4144010</wp:posOffset>
              </wp:positionV>
              <wp:extent cx="1046480" cy="1504950"/>
              <wp:effectExtent l="0" t="0" r="20320" b="19050"/>
              <wp:wrapSquare wrapText="bothSides"/>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A075A" w:rsidRDefault="00DA075A" w:rsidP="00DA075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27.75pt;margin-top:326.3pt;width:82.4pt;height:118.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">
              <v:textbox>
                <w:txbxContent>
                  <w:p w:rsidR="00DA075A" w:rsidRDefault="00DA075A" w:rsidP="00DA075A">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800" w:rsidRDefault="001C0800" w:rsidP="001C0800">
    <w:pPr>
      <w:pStyle w:val="Encabezado"/>
      <w:tabs>
        <w:tab w:val="clear" w:pos="8838"/>
        <w:tab w:val="left" w:pos="878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39B"/>
    <w:rsid w:val="001C0800"/>
    <w:rsid w:val="00410D8E"/>
    <w:rsid w:val="00413A71"/>
    <w:rsid w:val="004363F8"/>
    <w:rsid w:val="006C4400"/>
    <w:rsid w:val="0087211A"/>
    <w:rsid w:val="00D3239B"/>
    <w:rsid w:val="00DA07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4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C4400"/>
    <w:pPr>
      <w:autoSpaceDE w:val="0"/>
      <w:autoSpaceDN w:val="0"/>
    </w:pPr>
    <w:rPr>
      <w:lang w:eastAsia="es-ES"/>
    </w:rPr>
  </w:style>
  <w:style w:type="character" w:customStyle="1" w:styleId="TextonotapieCar">
    <w:name w:val="Texto nota pie Car"/>
    <w:basedOn w:val="Fuentedeprrafopredeter"/>
    <w:link w:val="Textonotapie"/>
    <w:uiPriority w:val="99"/>
    <w:semiHidden/>
    <w:rsid w:val="006C4400"/>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6C4400"/>
  </w:style>
  <w:style w:type="character" w:customStyle="1" w:styleId="TextocomentarioCar">
    <w:name w:val="Texto comentario Car"/>
    <w:basedOn w:val="Fuentedeprrafopredeter"/>
    <w:link w:val="Textocomentario"/>
    <w:uiPriority w:val="99"/>
    <w:semiHidden/>
    <w:rsid w:val="006C4400"/>
    <w:rPr>
      <w:rFonts w:ascii="Times New Roman" w:eastAsia="Times New Roman" w:hAnsi="Times New Roman" w:cs="Times New Roman"/>
      <w:sz w:val="20"/>
      <w:szCs w:val="20"/>
      <w:lang w:val="es-ES" w:eastAsia="es-MX"/>
    </w:rPr>
  </w:style>
  <w:style w:type="character" w:customStyle="1" w:styleId="corte4fondoCar">
    <w:name w:val="corte4 fondo Car"/>
    <w:link w:val="corte4fondo"/>
    <w:locked/>
    <w:rsid w:val="006C4400"/>
    <w:rPr>
      <w:rFonts w:ascii="Arial" w:eastAsia="Times New Roman" w:hAnsi="Arial" w:cs="Arial"/>
      <w:sz w:val="30"/>
      <w:lang w:val="es-ES_tradnl" w:eastAsia="es-ES"/>
    </w:rPr>
  </w:style>
  <w:style w:type="paragraph" w:customStyle="1" w:styleId="corte4fondo">
    <w:name w:val="corte4 fondo"/>
    <w:basedOn w:val="Normal"/>
    <w:link w:val="corte4fondoCar"/>
    <w:rsid w:val="006C4400"/>
    <w:pPr>
      <w:spacing w:line="360" w:lineRule="auto"/>
      <w:ind w:firstLine="709"/>
      <w:jc w:val="both"/>
    </w:pPr>
    <w:rPr>
      <w:rFonts w:ascii="Arial" w:hAnsi="Arial" w:cs="Arial"/>
      <w:sz w:val="30"/>
      <w:szCs w:val="22"/>
      <w:lang w:val="es-ES_tradnl" w:eastAsia="es-ES"/>
    </w:rPr>
  </w:style>
  <w:style w:type="paragraph" w:customStyle="1" w:styleId="Textoindependiente21">
    <w:name w:val="Texto independiente 21"/>
    <w:basedOn w:val="Normal"/>
    <w:rsid w:val="006C4400"/>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6C4400"/>
    <w:rPr>
      <w:sz w:val="16"/>
      <w:szCs w:val="16"/>
    </w:rPr>
  </w:style>
  <w:style w:type="paragraph" w:styleId="Textodeglobo">
    <w:name w:val="Balloon Text"/>
    <w:basedOn w:val="Normal"/>
    <w:link w:val="TextodegloboCar"/>
    <w:uiPriority w:val="99"/>
    <w:semiHidden/>
    <w:unhideWhenUsed/>
    <w:rsid w:val="006C4400"/>
    <w:rPr>
      <w:rFonts w:ascii="Tahoma" w:hAnsi="Tahoma" w:cs="Tahoma"/>
      <w:sz w:val="16"/>
      <w:szCs w:val="16"/>
    </w:rPr>
  </w:style>
  <w:style w:type="character" w:customStyle="1" w:styleId="TextodegloboCar">
    <w:name w:val="Texto de globo Car"/>
    <w:basedOn w:val="Fuentedeprrafopredeter"/>
    <w:link w:val="Textodeglobo"/>
    <w:uiPriority w:val="99"/>
    <w:semiHidden/>
    <w:rsid w:val="006C4400"/>
    <w:rPr>
      <w:rFonts w:ascii="Tahoma" w:eastAsia="Times New Roman" w:hAnsi="Tahoma" w:cs="Tahoma"/>
      <w:sz w:val="16"/>
      <w:szCs w:val="16"/>
      <w:lang w:val="es-ES" w:eastAsia="es-MX"/>
    </w:rPr>
  </w:style>
  <w:style w:type="paragraph" w:styleId="Encabezado">
    <w:name w:val="header"/>
    <w:basedOn w:val="Normal"/>
    <w:link w:val="EncabezadoCar"/>
    <w:uiPriority w:val="99"/>
    <w:unhideWhenUsed/>
    <w:rsid w:val="001C0800"/>
    <w:pPr>
      <w:tabs>
        <w:tab w:val="center" w:pos="4419"/>
        <w:tab w:val="right" w:pos="8838"/>
      </w:tabs>
    </w:pPr>
  </w:style>
  <w:style w:type="character" w:customStyle="1" w:styleId="EncabezadoCar">
    <w:name w:val="Encabezado Car"/>
    <w:basedOn w:val="Fuentedeprrafopredeter"/>
    <w:link w:val="Encabezado"/>
    <w:uiPriority w:val="99"/>
    <w:rsid w:val="001C0800"/>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1C0800"/>
    <w:pPr>
      <w:tabs>
        <w:tab w:val="center" w:pos="4419"/>
        <w:tab w:val="right" w:pos="8838"/>
      </w:tabs>
    </w:pPr>
  </w:style>
  <w:style w:type="character" w:customStyle="1" w:styleId="PiedepginaCar">
    <w:name w:val="Pie de página Car"/>
    <w:basedOn w:val="Fuentedeprrafopredeter"/>
    <w:link w:val="Piedepgina"/>
    <w:uiPriority w:val="99"/>
    <w:rsid w:val="001C0800"/>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4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C4400"/>
    <w:pPr>
      <w:autoSpaceDE w:val="0"/>
      <w:autoSpaceDN w:val="0"/>
    </w:pPr>
    <w:rPr>
      <w:lang w:eastAsia="es-ES"/>
    </w:rPr>
  </w:style>
  <w:style w:type="character" w:customStyle="1" w:styleId="TextonotapieCar">
    <w:name w:val="Texto nota pie Car"/>
    <w:basedOn w:val="Fuentedeprrafopredeter"/>
    <w:link w:val="Textonotapie"/>
    <w:uiPriority w:val="99"/>
    <w:semiHidden/>
    <w:rsid w:val="006C4400"/>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6C4400"/>
  </w:style>
  <w:style w:type="character" w:customStyle="1" w:styleId="TextocomentarioCar">
    <w:name w:val="Texto comentario Car"/>
    <w:basedOn w:val="Fuentedeprrafopredeter"/>
    <w:link w:val="Textocomentario"/>
    <w:uiPriority w:val="99"/>
    <w:semiHidden/>
    <w:rsid w:val="006C4400"/>
    <w:rPr>
      <w:rFonts w:ascii="Times New Roman" w:eastAsia="Times New Roman" w:hAnsi="Times New Roman" w:cs="Times New Roman"/>
      <w:sz w:val="20"/>
      <w:szCs w:val="20"/>
      <w:lang w:val="es-ES" w:eastAsia="es-MX"/>
    </w:rPr>
  </w:style>
  <w:style w:type="character" w:customStyle="1" w:styleId="corte4fondoCar">
    <w:name w:val="corte4 fondo Car"/>
    <w:link w:val="corte4fondo"/>
    <w:locked/>
    <w:rsid w:val="006C4400"/>
    <w:rPr>
      <w:rFonts w:ascii="Arial" w:eastAsia="Times New Roman" w:hAnsi="Arial" w:cs="Arial"/>
      <w:sz w:val="30"/>
      <w:lang w:val="es-ES_tradnl" w:eastAsia="es-ES"/>
    </w:rPr>
  </w:style>
  <w:style w:type="paragraph" w:customStyle="1" w:styleId="corte4fondo">
    <w:name w:val="corte4 fondo"/>
    <w:basedOn w:val="Normal"/>
    <w:link w:val="corte4fondoCar"/>
    <w:rsid w:val="006C4400"/>
    <w:pPr>
      <w:spacing w:line="360" w:lineRule="auto"/>
      <w:ind w:firstLine="709"/>
      <w:jc w:val="both"/>
    </w:pPr>
    <w:rPr>
      <w:rFonts w:ascii="Arial" w:hAnsi="Arial" w:cs="Arial"/>
      <w:sz w:val="30"/>
      <w:szCs w:val="22"/>
      <w:lang w:val="es-ES_tradnl" w:eastAsia="es-ES"/>
    </w:rPr>
  </w:style>
  <w:style w:type="paragraph" w:customStyle="1" w:styleId="Textoindependiente21">
    <w:name w:val="Texto independiente 21"/>
    <w:basedOn w:val="Normal"/>
    <w:rsid w:val="006C4400"/>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6C4400"/>
    <w:rPr>
      <w:sz w:val="16"/>
      <w:szCs w:val="16"/>
    </w:rPr>
  </w:style>
  <w:style w:type="paragraph" w:styleId="Textodeglobo">
    <w:name w:val="Balloon Text"/>
    <w:basedOn w:val="Normal"/>
    <w:link w:val="TextodegloboCar"/>
    <w:uiPriority w:val="99"/>
    <w:semiHidden/>
    <w:unhideWhenUsed/>
    <w:rsid w:val="006C4400"/>
    <w:rPr>
      <w:rFonts w:ascii="Tahoma" w:hAnsi="Tahoma" w:cs="Tahoma"/>
      <w:sz w:val="16"/>
      <w:szCs w:val="16"/>
    </w:rPr>
  </w:style>
  <w:style w:type="character" w:customStyle="1" w:styleId="TextodegloboCar">
    <w:name w:val="Texto de globo Car"/>
    <w:basedOn w:val="Fuentedeprrafopredeter"/>
    <w:link w:val="Textodeglobo"/>
    <w:uiPriority w:val="99"/>
    <w:semiHidden/>
    <w:rsid w:val="006C4400"/>
    <w:rPr>
      <w:rFonts w:ascii="Tahoma" w:eastAsia="Times New Roman" w:hAnsi="Tahoma" w:cs="Tahoma"/>
      <w:sz w:val="16"/>
      <w:szCs w:val="16"/>
      <w:lang w:val="es-ES" w:eastAsia="es-MX"/>
    </w:rPr>
  </w:style>
  <w:style w:type="paragraph" w:styleId="Encabezado">
    <w:name w:val="header"/>
    <w:basedOn w:val="Normal"/>
    <w:link w:val="EncabezadoCar"/>
    <w:uiPriority w:val="99"/>
    <w:unhideWhenUsed/>
    <w:rsid w:val="001C0800"/>
    <w:pPr>
      <w:tabs>
        <w:tab w:val="center" w:pos="4419"/>
        <w:tab w:val="right" w:pos="8838"/>
      </w:tabs>
    </w:pPr>
  </w:style>
  <w:style w:type="character" w:customStyle="1" w:styleId="EncabezadoCar">
    <w:name w:val="Encabezado Car"/>
    <w:basedOn w:val="Fuentedeprrafopredeter"/>
    <w:link w:val="Encabezado"/>
    <w:uiPriority w:val="99"/>
    <w:rsid w:val="001C0800"/>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1C0800"/>
    <w:pPr>
      <w:tabs>
        <w:tab w:val="center" w:pos="4419"/>
        <w:tab w:val="right" w:pos="8838"/>
      </w:tabs>
    </w:pPr>
  </w:style>
  <w:style w:type="character" w:customStyle="1" w:styleId="PiedepginaCar">
    <w:name w:val="Pie de página Car"/>
    <w:basedOn w:val="Fuentedeprrafopredeter"/>
    <w:link w:val="Piedepgina"/>
    <w:uiPriority w:val="99"/>
    <w:rsid w:val="001C0800"/>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232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4003</Words>
  <Characters>22020</Characters>
  <Application>Microsoft Office Word</Application>
  <DocSecurity>0</DocSecurity>
  <Lines>183</Lines>
  <Paragraphs>51</Paragraphs>
  <ScaleCrop>false</ScaleCrop>
  <Company/>
  <LinksUpToDate>false</LinksUpToDate>
  <CharactersWithSpaces>25972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13</cp:revision>
  <dcterms:created xsi:type="dcterms:W3CDTF">2020-01-14T22:37:00Z</dcterms:created>
  <dcterms:modified xsi:type="dcterms:W3CDTF">2020-01-14T22:50:00Z</dcterms:modified>
</cp:coreProperties>
</file>