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35ECBD" w14:textId="77777777" w:rsidR="00580245" w:rsidRPr="003509B6" w:rsidRDefault="00580245" w:rsidP="00580245">
      <w:pPr>
        <w:spacing w:line="240" w:lineRule="auto"/>
        <w:ind w:left="2124"/>
        <w:jc w:val="both"/>
        <w:rPr>
          <w:rFonts w:ascii="Arial" w:hAnsi="Arial" w:cs="Arial"/>
          <w:b/>
          <w:sz w:val="26"/>
          <w:szCs w:val="26"/>
        </w:rPr>
      </w:pPr>
      <w:r>
        <w:rPr>
          <w:rFonts w:ascii="Arial" w:hAnsi="Arial" w:cs="Arial"/>
          <w:b/>
          <w:sz w:val="26"/>
          <w:szCs w:val="26"/>
        </w:rPr>
        <w:t xml:space="preserve">SALA SUPERIOR DEL </w:t>
      </w:r>
      <w:r w:rsidRPr="003509B6">
        <w:rPr>
          <w:rFonts w:ascii="Arial" w:hAnsi="Arial" w:cs="Arial"/>
          <w:b/>
          <w:sz w:val="26"/>
          <w:szCs w:val="26"/>
        </w:rPr>
        <w:t xml:space="preserve">TRIBUNAL DE JUSTICIA ADMINISTRATIVA DEL ESTADO DE OAXACA. </w:t>
      </w:r>
    </w:p>
    <w:p w14:paraId="0AC7BEEB" w14:textId="77777777" w:rsidR="00580245" w:rsidRPr="003509B6" w:rsidRDefault="00580245" w:rsidP="00580245">
      <w:pPr>
        <w:spacing w:line="240" w:lineRule="auto"/>
        <w:ind w:left="2124"/>
        <w:jc w:val="both"/>
        <w:rPr>
          <w:rFonts w:ascii="Arial" w:hAnsi="Arial" w:cs="Arial"/>
          <w:b/>
          <w:sz w:val="26"/>
          <w:szCs w:val="26"/>
        </w:rPr>
      </w:pPr>
      <w:r w:rsidRPr="003509B6">
        <w:rPr>
          <w:rFonts w:ascii="Arial" w:hAnsi="Arial" w:cs="Arial"/>
          <w:b/>
          <w:sz w:val="26"/>
          <w:szCs w:val="26"/>
        </w:rPr>
        <w:t xml:space="preserve">RECURSO DE REVISIÓN: </w:t>
      </w:r>
      <w:r>
        <w:rPr>
          <w:rFonts w:ascii="Arial" w:hAnsi="Arial" w:cs="Arial"/>
          <w:b/>
          <w:sz w:val="26"/>
          <w:szCs w:val="26"/>
        </w:rPr>
        <w:t>89/2020.</w:t>
      </w:r>
    </w:p>
    <w:p w14:paraId="2BF3EFF3" w14:textId="77777777" w:rsidR="00580245" w:rsidRPr="003509B6" w:rsidRDefault="00580245" w:rsidP="00580245">
      <w:pPr>
        <w:spacing w:line="240" w:lineRule="auto"/>
        <w:ind w:left="2124"/>
        <w:jc w:val="both"/>
        <w:rPr>
          <w:rFonts w:ascii="Arial" w:hAnsi="Arial" w:cs="Arial"/>
          <w:b/>
          <w:sz w:val="26"/>
          <w:szCs w:val="26"/>
        </w:rPr>
      </w:pPr>
      <w:r w:rsidRPr="003509B6">
        <w:rPr>
          <w:rFonts w:ascii="Arial" w:hAnsi="Arial" w:cs="Arial"/>
          <w:b/>
          <w:sz w:val="26"/>
          <w:szCs w:val="26"/>
        </w:rPr>
        <w:t>EXPEDIENTE:</w:t>
      </w:r>
      <w:r w:rsidRPr="003509B6">
        <w:rPr>
          <w:rFonts w:ascii="Arial" w:hAnsi="Arial" w:cs="Arial"/>
          <w:b/>
          <w:sz w:val="26"/>
          <w:szCs w:val="26"/>
        </w:rPr>
        <w:tab/>
      </w:r>
      <w:r>
        <w:rPr>
          <w:rFonts w:ascii="Arial" w:hAnsi="Arial" w:cs="Arial"/>
          <w:b/>
          <w:sz w:val="26"/>
          <w:szCs w:val="26"/>
        </w:rPr>
        <w:t>10/2020</w:t>
      </w:r>
      <w:r w:rsidRPr="003509B6">
        <w:rPr>
          <w:rFonts w:ascii="Arial" w:hAnsi="Arial" w:cs="Arial"/>
          <w:b/>
          <w:sz w:val="26"/>
          <w:szCs w:val="26"/>
        </w:rPr>
        <w:t xml:space="preserve"> </w:t>
      </w:r>
      <w:r>
        <w:rPr>
          <w:rFonts w:ascii="Arial" w:hAnsi="Arial" w:cs="Arial"/>
          <w:b/>
          <w:sz w:val="26"/>
          <w:szCs w:val="26"/>
        </w:rPr>
        <w:t>CUARTA</w:t>
      </w:r>
      <w:r w:rsidRPr="003509B6">
        <w:rPr>
          <w:rFonts w:ascii="Arial" w:hAnsi="Arial" w:cs="Arial"/>
          <w:b/>
          <w:sz w:val="26"/>
          <w:szCs w:val="26"/>
        </w:rPr>
        <w:t xml:space="preserve"> SALA UNITARIA DE PRIMERA INSTANCIA</w:t>
      </w:r>
      <w:r>
        <w:rPr>
          <w:rFonts w:ascii="Arial" w:hAnsi="Arial" w:cs="Arial"/>
          <w:b/>
          <w:sz w:val="26"/>
          <w:szCs w:val="26"/>
        </w:rPr>
        <w:t>.</w:t>
      </w:r>
    </w:p>
    <w:p w14:paraId="4849080E" w14:textId="6053D36A" w:rsidR="00580245" w:rsidRDefault="00580245" w:rsidP="00580245">
      <w:pPr>
        <w:spacing w:line="240" w:lineRule="auto"/>
        <w:ind w:left="2124"/>
        <w:jc w:val="both"/>
        <w:rPr>
          <w:rFonts w:ascii="Arial" w:hAnsi="Arial" w:cs="Arial"/>
          <w:b/>
          <w:sz w:val="26"/>
          <w:szCs w:val="26"/>
        </w:rPr>
      </w:pPr>
      <w:r w:rsidRPr="003509B6">
        <w:rPr>
          <w:rFonts w:ascii="Arial" w:hAnsi="Arial" w:cs="Arial"/>
          <w:b/>
          <w:sz w:val="26"/>
          <w:szCs w:val="26"/>
        </w:rPr>
        <w:t>PONENTE: MAGISTRAD</w:t>
      </w:r>
      <w:r>
        <w:rPr>
          <w:rFonts w:ascii="Arial" w:hAnsi="Arial" w:cs="Arial"/>
          <w:b/>
          <w:sz w:val="26"/>
          <w:szCs w:val="26"/>
        </w:rPr>
        <w:t>O ABRAHAM SANTIAGO SORIANO.</w:t>
      </w:r>
    </w:p>
    <w:p w14:paraId="0AE27FE6" w14:textId="77777777" w:rsidR="00580245" w:rsidRPr="003509B6" w:rsidRDefault="00580245" w:rsidP="00580245">
      <w:pPr>
        <w:spacing w:line="240" w:lineRule="auto"/>
        <w:ind w:left="2124"/>
        <w:jc w:val="both"/>
        <w:rPr>
          <w:rFonts w:ascii="Arial" w:hAnsi="Arial" w:cs="Arial"/>
          <w:b/>
          <w:sz w:val="26"/>
          <w:szCs w:val="26"/>
        </w:rPr>
      </w:pPr>
    </w:p>
    <w:p w14:paraId="34C6E591" w14:textId="698B7A95" w:rsidR="00580245" w:rsidRDefault="00580245" w:rsidP="00580245">
      <w:pPr>
        <w:spacing w:line="360" w:lineRule="auto"/>
        <w:jc w:val="both"/>
        <w:rPr>
          <w:rFonts w:ascii="Arial" w:hAnsi="Arial" w:cs="Arial"/>
          <w:b/>
          <w:sz w:val="26"/>
          <w:szCs w:val="26"/>
        </w:rPr>
      </w:pPr>
      <w:r>
        <w:rPr>
          <w:rFonts w:ascii="Arial" w:hAnsi="Arial" w:cs="Arial"/>
          <w:b/>
          <w:sz w:val="26"/>
          <w:szCs w:val="26"/>
        </w:rPr>
        <w:t>OAXACA D</w:t>
      </w:r>
      <w:r w:rsidR="007B4ACC">
        <w:rPr>
          <w:rFonts w:ascii="Arial" w:hAnsi="Arial" w:cs="Arial"/>
          <w:b/>
          <w:sz w:val="26"/>
          <w:szCs w:val="26"/>
        </w:rPr>
        <w:t>E JUÁREZ, OAXACA, A VEINTISEIS</w:t>
      </w:r>
      <w:r w:rsidR="00200965">
        <w:rPr>
          <w:rFonts w:ascii="Arial" w:hAnsi="Arial" w:cs="Arial"/>
          <w:b/>
          <w:sz w:val="26"/>
          <w:szCs w:val="26"/>
        </w:rPr>
        <w:t xml:space="preserve"> DE NOVIEMBRE</w:t>
      </w:r>
      <w:r>
        <w:rPr>
          <w:rFonts w:ascii="Arial" w:hAnsi="Arial" w:cs="Arial"/>
          <w:b/>
          <w:sz w:val="26"/>
          <w:szCs w:val="26"/>
        </w:rPr>
        <w:t xml:space="preserve"> </w:t>
      </w:r>
      <w:r w:rsidRPr="003509B6">
        <w:rPr>
          <w:rFonts w:ascii="Arial" w:hAnsi="Arial" w:cs="Arial"/>
          <w:b/>
          <w:sz w:val="26"/>
          <w:szCs w:val="26"/>
        </w:rPr>
        <w:t xml:space="preserve">DE DOS MIL </w:t>
      </w:r>
      <w:r>
        <w:rPr>
          <w:rFonts w:ascii="Arial" w:hAnsi="Arial" w:cs="Arial"/>
          <w:b/>
          <w:sz w:val="26"/>
          <w:szCs w:val="26"/>
        </w:rPr>
        <w:t xml:space="preserve">VEINTE. - - - - - - - - - - - - - - - - - - - - - - - - - - - - - </w:t>
      </w:r>
      <w:r w:rsidR="007B4ACC">
        <w:rPr>
          <w:rFonts w:ascii="Arial" w:hAnsi="Arial" w:cs="Arial"/>
          <w:b/>
          <w:sz w:val="26"/>
          <w:szCs w:val="26"/>
        </w:rPr>
        <w:t xml:space="preserve"> - - - - - - - - - </w:t>
      </w:r>
    </w:p>
    <w:p w14:paraId="4D61B568" w14:textId="1139F01D" w:rsidR="00580245" w:rsidRDefault="00580245" w:rsidP="00580245">
      <w:pPr>
        <w:spacing w:line="360" w:lineRule="auto"/>
        <w:jc w:val="both"/>
        <w:rPr>
          <w:rFonts w:ascii="Arial" w:hAnsi="Arial" w:cs="Arial"/>
          <w:sz w:val="26"/>
          <w:szCs w:val="26"/>
        </w:rPr>
      </w:pPr>
      <w:r>
        <w:rPr>
          <w:rFonts w:ascii="Arial" w:hAnsi="Arial" w:cs="Arial"/>
          <w:b/>
          <w:sz w:val="26"/>
          <w:szCs w:val="26"/>
        </w:rPr>
        <w:t xml:space="preserve">   </w:t>
      </w:r>
      <w:r w:rsidRPr="003509B6">
        <w:rPr>
          <w:rFonts w:ascii="Arial" w:hAnsi="Arial" w:cs="Arial"/>
          <w:sz w:val="26"/>
          <w:szCs w:val="26"/>
        </w:rPr>
        <w:t xml:space="preserve">Por recibido el Cuaderno de Revisión </w:t>
      </w:r>
      <w:r>
        <w:rPr>
          <w:rFonts w:ascii="Arial" w:hAnsi="Arial" w:cs="Arial"/>
          <w:b/>
          <w:sz w:val="26"/>
          <w:szCs w:val="26"/>
        </w:rPr>
        <w:t>89/2020</w:t>
      </w:r>
      <w:r w:rsidRPr="003509B6">
        <w:rPr>
          <w:rFonts w:ascii="Arial" w:hAnsi="Arial" w:cs="Arial"/>
          <w:sz w:val="26"/>
          <w:szCs w:val="26"/>
        </w:rPr>
        <w:t xml:space="preserve">, que remite la Secretaría General de Acuerdos, con motivo del recurso de revisión interpuesto por </w:t>
      </w:r>
      <w:r w:rsidR="005E169C">
        <w:rPr>
          <w:rFonts w:ascii="Arial" w:hAnsi="Arial" w:cs="Arial"/>
          <w:b/>
          <w:sz w:val="26"/>
          <w:szCs w:val="26"/>
        </w:rPr>
        <w:t>************</w:t>
      </w:r>
      <w:r w:rsidRPr="003509B6">
        <w:rPr>
          <w:rFonts w:ascii="Arial" w:hAnsi="Arial" w:cs="Arial"/>
          <w:b/>
          <w:sz w:val="26"/>
          <w:szCs w:val="26"/>
        </w:rPr>
        <w:t xml:space="preserve">, </w:t>
      </w:r>
      <w:r w:rsidRPr="003509B6">
        <w:rPr>
          <w:rFonts w:ascii="Arial" w:hAnsi="Arial" w:cs="Arial"/>
          <w:sz w:val="26"/>
          <w:szCs w:val="26"/>
        </w:rPr>
        <w:t xml:space="preserve">en contra del acuerdo de </w:t>
      </w:r>
      <w:r>
        <w:rPr>
          <w:rFonts w:ascii="Arial" w:hAnsi="Arial" w:cs="Arial"/>
          <w:sz w:val="26"/>
          <w:szCs w:val="26"/>
        </w:rPr>
        <w:t>diecisiete de enero de dos mil veinte</w:t>
      </w:r>
      <w:r w:rsidRPr="003509B6">
        <w:rPr>
          <w:rFonts w:ascii="Arial" w:hAnsi="Arial" w:cs="Arial"/>
          <w:sz w:val="26"/>
          <w:szCs w:val="26"/>
        </w:rPr>
        <w:t xml:space="preserve">, dictado en el expediente </w:t>
      </w:r>
      <w:r>
        <w:rPr>
          <w:rFonts w:ascii="Arial" w:hAnsi="Arial" w:cs="Arial"/>
          <w:b/>
          <w:sz w:val="26"/>
          <w:szCs w:val="26"/>
        </w:rPr>
        <w:t>10/2020</w:t>
      </w:r>
      <w:r w:rsidRPr="003509B6">
        <w:rPr>
          <w:rFonts w:ascii="Arial" w:hAnsi="Arial" w:cs="Arial"/>
          <w:sz w:val="26"/>
          <w:szCs w:val="26"/>
        </w:rPr>
        <w:t xml:space="preserve"> de la </w:t>
      </w:r>
      <w:r>
        <w:rPr>
          <w:rFonts w:ascii="Arial" w:hAnsi="Arial" w:cs="Arial"/>
          <w:sz w:val="26"/>
          <w:szCs w:val="26"/>
        </w:rPr>
        <w:t>Cuarta</w:t>
      </w:r>
      <w:r w:rsidRPr="003509B6">
        <w:rPr>
          <w:rFonts w:ascii="Arial" w:hAnsi="Arial" w:cs="Arial"/>
          <w:sz w:val="26"/>
          <w:szCs w:val="26"/>
        </w:rPr>
        <w:t xml:space="preserve"> Sala Unitaria de Primera Instancia, relativo al juicio de nulidad promovido por el recurrente, </w:t>
      </w:r>
      <w:r>
        <w:rPr>
          <w:rFonts w:ascii="Arial" w:hAnsi="Arial" w:cs="Arial"/>
          <w:sz w:val="26"/>
          <w:szCs w:val="26"/>
        </w:rPr>
        <w:t xml:space="preserve">en </w:t>
      </w:r>
      <w:r w:rsidRPr="003509B6">
        <w:rPr>
          <w:rFonts w:ascii="Arial" w:hAnsi="Arial" w:cs="Arial"/>
          <w:sz w:val="26"/>
          <w:szCs w:val="26"/>
        </w:rPr>
        <w:t>contra</w:t>
      </w:r>
      <w:r w:rsidR="00200965">
        <w:rPr>
          <w:rFonts w:ascii="Arial" w:hAnsi="Arial" w:cs="Arial"/>
          <w:sz w:val="26"/>
          <w:szCs w:val="26"/>
        </w:rPr>
        <w:t xml:space="preserve"> </w:t>
      </w:r>
      <w:r w:rsidR="00200965" w:rsidRPr="00684F89">
        <w:rPr>
          <w:rFonts w:ascii="Arial" w:hAnsi="Arial" w:cs="Arial"/>
          <w:sz w:val="26"/>
          <w:szCs w:val="26"/>
        </w:rPr>
        <w:t>de</w:t>
      </w:r>
      <w:r w:rsidRPr="003509B6">
        <w:rPr>
          <w:rFonts w:ascii="Arial" w:hAnsi="Arial" w:cs="Arial"/>
          <w:sz w:val="26"/>
          <w:szCs w:val="26"/>
        </w:rPr>
        <w:t xml:space="preserve"> actos de</w:t>
      </w:r>
      <w:r>
        <w:rPr>
          <w:rFonts w:ascii="Arial" w:hAnsi="Arial" w:cs="Arial"/>
          <w:sz w:val="26"/>
          <w:szCs w:val="26"/>
        </w:rPr>
        <w:t xml:space="preserve"> </w:t>
      </w:r>
      <w:r w:rsidRPr="001623CB">
        <w:rPr>
          <w:rFonts w:ascii="Arial" w:hAnsi="Arial" w:cs="Arial"/>
          <w:bCs/>
          <w:sz w:val="26"/>
          <w:szCs w:val="26"/>
        </w:rPr>
        <w:t xml:space="preserve">la </w:t>
      </w:r>
      <w:r>
        <w:rPr>
          <w:rFonts w:ascii="Arial" w:hAnsi="Arial" w:cs="Arial"/>
          <w:b/>
          <w:bCs/>
          <w:sz w:val="26"/>
          <w:szCs w:val="26"/>
        </w:rPr>
        <w:t xml:space="preserve">COORDINADORA DE COBRO COACTIVO DE LA </w:t>
      </w:r>
      <w:r w:rsidRPr="00C62EEF">
        <w:rPr>
          <w:rFonts w:ascii="Arial" w:hAnsi="Arial" w:cs="Arial"/>
          <w:b/>
          <w:bCs/>
          <w:sz w:val="26"/>
          <w:szCs w:val="26"/>
        </w:rPr>
        <w:t>SECRETARÍA DE FINANZAS DEL PODER EJECUTIVO DEL ESTADO DE OAXAC</w:t>
      </w:r>
      <w:r>
        <w:rPr>
          <w:rFonts w:ascii="Arial" w:hAnsi="Arial" w:cs="Arial"/>
          <w:b/>
          <w:bCs/>
          <w:sz w:val="26"/>
          <w:szCs w:val="26"/>
        </w:rPr>
        <w:t>A</w:t>
      </w:r>
      <w:r>
        <w:rPr>
          <w:rFonts w:ascii="Arial" w:hAnsi="Arial" w:cs="Arial"/>
          <w:b/>
          <w:sz w:val="26"/>
          <w:szCs w:val="26"/>
        </w:rPr>
        <w:t xml:space="preserve">. </w:t>
      </w:r>
      <w:r w:rsidRPr="000C4EA3">
        <w:rPr>
          <w:rFonts w:ascii="Arial" w:hAnsi="Arial" w:cs="Arial"/>
          <w:sz w:val="26"/>
          <w:szCs w:val="26"/>
        </w:rPr>
        <w:t xml:space="preserve"> </w:t>
      </w:r>
      <w:r>
        <w:rPr>
          <w:rFonts w:ascii="Arial" w:hAnsi="Arial" w:cs="Arial"/>
          <w:sz w:val="26"/>
          <w:szCs w:val="26"/>
        </w:rPr>
        <w:t>Con</w:t>
      </w:r>
      <w:r w:rsidRPr="000C4EA3">
        <w:rPr>
          <w:rFonts w:ascii="Arial" w:hAnsi="Arial" w:cs="Arial"/>
          <w:sz w:val="26"/>
          <w:szCs w:val="26"/>
        </w:rPr>
        <w:t xml:space="preserve"> fundamento en los artículos 2</w:t>
      </w:r>
      <w:r>
        <w:rPr>
          <w:rFonts w:ascii="Arial" w:hAnsi="Arial" w:cs="Arial"/>
          <w:sz w:val="26"/>
          <w:szCs w:val="26"/>
        </w:rPr>
        <w:t>3</w:t>
      </w:r>
      <w:r w:rsidRPr="000C4EA3">
        <w:rPr>
          <w:rFonts w:ascii="Arial" w:hAnsi="Arial" w:cs="Arial"/>
          <w:sz w:val="26"/>
          <w:szCs w:val="26"/>
        </w:rPr>
        <w:t>7 y 2</w:t>
      </w:r>
      <w:r>
        <w:rPr>
          <w:rFonts w:ascii="Arial" w:hAnsi="Arial" w:cs="Arial"/>
          <w:sz w:val="26"/>
          <w:szCs w:val="26"/>
        </w:rPr>
        <w:t>3</w:t>
      </w:r>
      <w:r w:rsidRPr="000C4EA3">
        <w:rPr>
          <w:rFonts w:ascii="Arial" w:hAnsi="Arial" w:cs="Arial"/>
          <w:sz w:val="26"/>
          <w:szCs w:val="26"/>
        </w:rPr>
        <w:t xml:space="preserve">8 de la Ley de </w:t>
      </w:r>
      <w:r>
        <w:rPr>
          <w:rFonts w:ascii="Arial" w:hAnsi="Arial" w:cs="Arial"/>
          <w:sz w:val="26"/>
          <w:szCs w:val="26"/>
        </w:rPr>
        <w:t xml:space="preserve">Procedimiento y </w:t>
      </w:r>
      <w:r w:rsidRPr="000C4EA3">
        <w:rPr>
          <w:rFonts w:ascii="Arial" w:hAnsi="Arial" w:cs="Arial"/>
          <w:sz w:val="26"/>
          <w:szCs w:val="26"/>
        </w:rPr>
        <w:t>Justicia Administrativa para</w:t>
      </w:r>
      <w:r>
        <w:rPr>
          <w:rFonts w:ascii="Arial" w:hAnsi="Arial" w:cs="Arial"/>
          <w:sz w:val="26"/>
          <w:szCs w:val="26"/>
        </w:rPr>
        <w:t xml:space="preserve"> el Estado de Oaxaca</w:t>
      </w:r>
      <w:r w:rsidR="00200965">
        <w:rPr>
          <w:rFonts w:ascii="Arial" w:hAnsi="Arial" w:cs="Arial"/>
          <w:sz w:val="26"/>
          <w:szCs w:val="26"/>
        </w:rPr>
        <w:t>, se admite el presente recurs</w:t>
      </w:r>
      <w:r w:rsidR="00200965" w:rsidRPr="00684F89">
        <w:rPr>
          <w:rFonts w:ascii="Arial" w:hAnsi="Arial" w:cs="Arial"/>
          <w:sz w:val="26"/>
          <w:szCs w:val="26"/>
        </w:rPr>
        <w:t>o</w:t>
      </w:r>
      <w:r>
        <w:rPr>
          <w:rFonts w:ascii="Arial" w:hAnsi="Arial" w:cs="Arial"/>
          <w:sz w:val="26"/>
          <w:szCs w:val="26"/>
        </w:rPr>
        <w:t xml:space="preserve"> de revisión y, en</w:t>
      </w:r>
      <w:r w:rsidRPr="003509B6">
        <w:rPr>
          <w:rFonts w:ascii="Arial" w:hAnsi="Arial" w:cs="Arial"/>
          <w:sz w:val="26"/>
          <w:szCs w:val="26"/>
        </w:rPr>
        <w:t xml:space="preserve"> consecuencia, se procede a dictar resolución en los siguientes términos:</w:t>
      </w:r>
      <w:r w:rsidR="00144D35">
        <w:rPr>
          <w:rFonts w:ascii="Arial" w:hAnsi="Arial" w:cs="Arial"/>
          <w:sz w:val="26"/>
          <w:szCs w:val="26"/>
        </w:rPr>
        <w:t xml:space="preserve"> - - - - - - - - - - - - - - - - - - - - - - - - - </w:t>
      </w:r>
    </w:p>
    <w:p w14:paraId="3879266E" w14:textId="77777777" w:rsidR="00580245" w:rsidRDefault="00580245" w:rsidP="00580245">
      <w:pPr>
        <w:spacing w:line="360" w:lineRule="auto"/>
        <w:jc w:val="center"/>
        <w:rPr>
          <w:rFonts w:ascii="Arial" w:hAnsi="Arial" w:cs="Arial"/>
          <w:b/>
          <w:bCs/>
          <w:sz w:val="26"/>
          <w:szCs w:val="26"/>
        </w:rPr>
      </w:pPr>
      <w:r>
        <w:rPr>
          <w:rFonts w:ascii="Arial" w:hAnsi="Arial" w:cs="Arial"/>
          <w:b/>
          <w:bCs/>
          <w:sz w:val="26"/>
          <w:szCs w:val="26"/>
        </w:rPr>
        <w:t>R E S U L T A N D OS</w:t>
      </w:r>
    </w:p>
    <w:p w14:paraId="1AC42706" w14:textId="1D52806F" w:rsidR="00580245" w:rsidRDefault="00580245" w:rsidP="00580245">
      <w:pPr>
        <w:spacing w:line="360" w:lineRule="auto"/>
        <w:jc w:val="both"/>
        <w:rPr>
          <w:rFonts w:ascii="Arial" w:hAnsi="Arial" w:cs="Arial"/>
          <w:sz w:val="26"/>
          <w:szCs w:val="26"/>
        </w:rPr>
      </w:pPr>
      <w:r>
        <w:rPr>
          <w:rFonts w:ascii="Arial" w:hAnsi="Arial" w:cs="Arial"/>
          <w:b/>
          <w:bCs/>
          <w:sz w:val="26"/>
          <w:szCs w:val="26"/>
        </w:rPr>
        <w:t xml:space="preserve">    </w:t>
      </w:r>
      <w:r w:rsidRPr="003509B6">
        <w:rPr>
          <w:rFonts w:ascii="Arial" w:hAnsi="Arial" w:cs="Arial"/>
          <w:b/>
          <w:bCs/>
          <w:sz w:val="26"/>
          <w:szCs w:val="26"/>
        </w:rPr>
        <w:t xml:space="preserve">PRIMERO. </w:t>
      </w:r>
      <w:r w:rsidRPr="003509B6">
        <w:rPr>
          <w:rFonts w:ascii="Arial" w:hAnsi="Arial" w:cs="Arial"/>
          <w:sz w:val="26"/>
          <w:szCs w:val="26"/>
        </w:rPr>
        <w:t>Inconforme con el acuerdo de</w:t>
      </w:r>
      <w:r>
        <w:rPr>
          <w:rFonts w:ascii="Arial" w:hAnsi="Arial" w:cs="Arial"/>
          <w:sz w:val="26"/>
          <w:szCs w:val="26"/>
        </w:rPr>
        <w:t xml:space="preserve"> diecisiete de enero de dos mil veinte, </w:t>
      </w:r>
      <w:r w:rsidRPr="003509B6">
        <w:rPr>
          <w:rFonts w:ascii="Arial" w:hAnsi="Arial" w:cs="Arial"/>
          <w:sz w:val="26"/>
          <w:szCs w:val="26"/>
        </w:rPr>
        <w:t xml:space="preserve">dictado por </w:t>
      </w:r>
      <w:r>
        <w:rPr>
          <w:rFonts w:ascii="Arial" w:hAnsi="Arial" w:cs="Arial"/>
          <w:sz w:val="26"/>
          <w:szCs w:val="26"/>
        </w:rPr>
        <w:t xml:space="preserve">el resolutor de </w:t>
      </w:r>
      <w:r w:rsidRPr="003509B6">
        <w:rPr>
          <w:rFonts w:ascii="Arial" w:hAnsi="Arial" w:cs="Arial"/>
          <w:sz w:val="26"/>
          <w:szCs w:val="26"/>
        </w:rPr>
        <w:t xml:space="preserve">la </w:t>
      </w:r>
      <w:r>
        <w:rPr>
          <w:rFonts w:ascii="Arial" w:hAnsi="Arial" w:cs="Arial"/>
          <w:sz w:val="26"/>
          <w:szCs w:val="26"/>
        </w:rPr>
        <w:t xml:space="preserve">Cuarta </w:t>
      </w:r>
      <w:r w:rsidRPr="003509B6">
        <w:rPr>
          <w:rFonts w:ascii="Arial" w:hAnsi="Arial" w:cs="Arial"/>
          <w:sz w:val="26"/>
          <w:szCs w:val="26"/>
        </w:rPr>
        <w:t xml:space="preserve">Sala Unitaria de Primera Instancia, </w:t>
      </w:r>
      <w:r w:rsidR="005E169C">
        <w:rPr>
          <w:rFonts w:ascii="Arial" w:hAnsi="Arial" w:cs="Arial"/>
          <w:b/>
          <w:sz w:val="26"/>
          <w:szCs w:val="26"/>
        </w:rPr>
        <w:t>************</w:t>
      </w:r>
      <w:r w:rsidR="005E169C">
        <w:rPr>
          <w:rFonts w:ascii="Arial" w:hAnsi="Arial" w:cs="Arial"/>
          <w:b/>
          <w:sz w:val="26"/>
          <w:szCs w:val="26"/>
        </w:rPr>
        <w:t xml:space="preserve"> </w:t>
      </w:r>
      <w:r w:rsidRPr="003509B6">
        <w:rPr>
          <w:rFonts w:ascii="Arial" w:hAnsi="Arial" w:cs="Arial"/>
          <w:sz w:val="26"/>
          <w:szCs w:val="26"/>
        </w:rPr>
        <w:t>interpuso e</w:t>
      </w:r>
      <w:r>
        <w:rPr>
          <w:rFonts w:ascii="Arial" w:hAnsi="Arial" w:cs="Arial"/>
          <w:sz w:val="26"/>
          <w:szCs w:val="26"/>
        </w:rPr>
        <w:t>n su contra recurso de revisión.</w:t>
      </w:r>
      <w:r w:rsidR="00144D35">
        <w:rPr>
          <w:rFonts w:ascii="Arial" w:hAnsi="Arial" w:cs="Arial"/>
          <w:sz w:val="26"/>
          <w:szCs w:val="26"/>
        </w:rPr>
        <w:t xml:space="preserve"> - - - - - - - - - - - - - - - - - - - - - - - - - - - - - - - - - - - - - - </w:t>
      </w:r>
    </w:p>
    <w:p w14:paraId="7219DB95" w14:textId="77777777" w:rsidR="00580245" w:rsidRPr="003509B6" w:rsidRDefault="00580245" w:rsidP="00580245">
      <w:pPr>
        <w:spacing w:line="360" w:lineRule="auto"/>
        <w:jc w:val="both"/>
        <w:rPr>
          <w:rFonts w:ascii="Arial" w:hAnsi="Arial" w:cs="Arial"/>
          <w:sz w:val="26"/>
          <w:szCs w:val="26"/>
        </w:rPr>
      </w:pPr>
      <w:r>
        <w:rPr>
          <w:rFonts w:ascii="Arial" w:hAnsi="Arial" w:cs="Arial"/>
          <w:sz w:val="26"/>
          <w:szCs w:val="26"/>
        </w:rPr>
        <w:t xml:space="preserve">     </w:t>
      </w:r>
      <w:r w:rsidRPr="003509B6">
        <w:rPr>
          <w:rFonts w:ascii="Arial" w:hAnsi="Arial" w:cs="Arial"/>
          <w:b/>
          <w:bCs/>
          <w:sz w:val="26"/>
          <w:szCs w:val="26"/>
        </w:rPr>
        <w:t xml:space="preserve">SEGUNDO. </w:t>
      </w:r>
      <w:r w:rsidRPr="003509B6">
        <w:rPr>
          <w:rFonts w:ascii="Arial" w:hAnsi="Arial" w:cs="Arial"/>
          <w:bCs/>
          <w:sz w:val="26"/>
          <w:szCs w:val="26"/>
        </w:rPr>
        <w:t>El</w:t>
      </w:r>
      <w:r w:rsidRPr="003509B6">
        <w:rPr>
          <w:rFonts w:ascii="Arial" w:hAnsi="Arial" w:cs="Arial"/>
          <w:b/>
          <w:bCs/>
          <w:sz w:val="26"/>
          <w:szCs w:val="26"/>
        </w:rPr>
        <w:t xml:space="preserve"> </w:t>
      </w:r>
      <w:r w:rsidRPr="003509B6">
        <w:rPr>
          <w:rFonts w:ascii="Arial" w:hAnsi="Arial" w:cs="Arial"/>
          <w:bCs/>
          <w:sz w:val="26"/>
          <w:szCs w:val="26"/>
        </w:rPr>
        <w:t xml:space="preserve">contenido del acuerdo </w:t>
      </w:r>
      <w:r>
        <w:rPr>
          <w:rFonts w:ascii="Arial" w:hAnsi="Arial" w:cs="Arial"/>
          <w:bCs/>
          <w:sz w:val="26"/>
          <w:szCs w:val="26"/>
        </w:rPr>
        <w:t xml:space="preserve">recurrido </w:t>
      </w:r>
      <w:r w:rsidRPr="003509B6">
        <w:rPr>
          <w:rFonts w:ascii="Arial" w:hAnsi="Arial" w:cs="Arial"/>
          <w:sz w:val="26"/>
          <w:szCs w:val="26"/>
        </w:rPr>
        <w:t>es</w:t>
      </w:r>
      <w:r>
        <w:rPr>
          <w:rFonts w:ascii="Arial" w:hAnsi="Arial" w:cs="Arial"/>
          <w:sz w:val="26"/>
          <w:szCs w:val="26"/>
        </w:rPr>
        <w:t xml:space="preserve"> el siguiente</w:t>
      </w:r>
      <w:r w:rsidRPr="003509B6">
        <w:rPr>
          <w:rFonts w:ascii="Arial" w:hAnsi="Arial" w:cs="Arial"/>
          <w:sz w:val="26"/>
          <w:szCs w:val="26"/>
        </w:rPr>
        <w:t>:</w:t>
      </w:r>
    </w:p>
    <w:p w14:paraId="6509CB21" w14:textId="15143B93" w:rsidR="00580245" w:rsidRDefault="00580245" w:rsidP="00580245">
      <w:pPr>
        <w:spacing w:after="0" w:line="360" w:lineRule="auto"/>
        <w:ind w:left="284" w:right="1041"/>
        <w:jc w:val="both"/>
        <w:rPr>
          <w:rFonts w:ascii="Arial" w:hAnsi="Arial" w:cs="Arial"/>
          <w:i/>
        </w:rPr>
      </w:pPr>
      <w:r>
        <w:rPr>
          <w:rFonts w:ascii="Arial" w:hAnsi="Arial" w:cs="Arial"/>
          <w:i/>
        </w:rPr>
        <w:t xml:space="preserve">“Se da cuenta con el escrito de </w:t>
      </w:r>
      <w:r w:rsidR="005E169C">
        <w:rPr>
          <w:rFonts w:ascii="Arial" w:hAnsi="Arial" w:cs="Arial"/>
          <w:b/>
          <w:sz w:val="26"/>
          <w:szCs w:val="26"/>
        </w:rPr>
        <w:t>************</w:t>
      </w:r>
      <w:r>
        <w:rPr>
          <w:rFonts w:ascii="Arial" w:hAnsi="Arial" w:cs="Arial"/>
          <w:i/>
        </w:rPr>
        <w:t xml:space="preserve">, recibido en la Oficialía de Partes en Términos del Primera y Segunda Instancia de este Tribunal, el día dieciséis de enero del año en curso, quien por su propio derecho demanda la nulidad del mandamiento de ejecución número </w:t>
      </w:r>
      <w:r w:rsidR="005E169C">
        <w:rPr>
          <w:rFonts w:ascii="Arial" w:hAnsi="Arial" w:cs="Arial"/>
          <w:b/>
          <w:sz w:val="26"/>
          <w:szCs w:val="26"/>
        </w:rPr>
        <w:t>************</w:t>
      </w:r>
      <w:r>
        <w:rPr>
          <w:rFonts w:ascii="Arial" w:hAnsi="Arial" w:cs="Arial"/>
          <w:i/>
        </w:rPr>
        <w:t xml:space="preserve">, respecto del crédito no fiscal </w:t>
      </w:r>
      <w:r w:rsidR="005E169C">
        <w:rPr>
          <w:rFonts w:ascii="Arial" w:hAnsi="Arial" w:cs="Arial"/>
          <w:b/>
          <w:sz w:val="26"/>
          <w:szCs w:val="26"/>
        </w:rPr>
        <w:t>************</w:t>
      </w:r>
      <w:r>
        <w:rPr>
          <w:rFonts w:ascii="Arial" w:hAnsi="Arial" w:cs="Arial"/>
          <w:i/>
        </w:rPr>
        <w:t xml:space="preserve">, de ocho de noviembre de </w:t>
      </w:r>
      <w:r w:rsidR="00684F89">
        <w:rPr>
          <w:rFonts w:ascii="Arial" w:hAnsi="Arial" w:cs="Arial"/>
          <w:i/>
        </w:rPr>
        <w:t>dos mil diecinueve, determinado</w:t>
      </w:r>
      <w:r>
        <w:rPr>
          <w:rFonts w:ascii="Arial" w:hAnsi="Arial" w:cs="Arial"/>
          <w:i/>
        </w:rPr>
        <w:t xml:space="preserve"> en la resolución número </w:t>
      </w:r>
      <w:r w:rsidR="005E169C">
        <w:rPr>
          <w:rFonts w:ascii="Arial" w:hAnsi="Arial" w:cs="Arial"/>
          <w:b/>
          <w:i/>
        </w:rPr>
        <w:t>***********</w:t>
      </w:r>
      <w:r>
        <w:rPr>
          <w:rFonts w:ascii="Arial" w:hAnsi="Arial" w:cs="Arial"/>
          <w:i/>
        </w:rPr>
        <w:t xml:space="preserve">, en base a la resolución emitida por el Tribunal Estatal Electoral del Poder Judicial del Estado de Oaxaca, derivado de una multa por incumplimiento a lo ordenado mediante acuerdo plenario de </w:t>
      </w:r>
      <w:r>
        <w:rPr>
          <w:rFonts w:ascii="Arial" w:hAnsi="Arial" w:cs="Arial"/>
          <w:i/>
        </w:rPr>
        <w:lastRenderedPageBreak/>
        <w:t>veintinueve de marzo del año próximo pasado, misma que asciende a la cantidad de</w:t>
      </w:r>
      <w:r w:rsidR="005E169C">
        <w:rPr>
          <w:rFonts w:ascii="Arial" w:hAnsi="Arial" w:cs="Arial"/>
          <w:i/>
        </w:rPr>
        <w:t xml:space="preserve"> ***********</w:t>
      </w:r>
      <w:r>
        <w:rPr>
          <w:rFonts w:ascii="Arial" w:hAnsi="Arial" w:cs="Arial"/>
          <w:i/>
        </w:rPr>
        <w:t xml:space="preserve">; y el acta de </w:t>
      </w:r>
      <w:r w:rsidRPr="001D1465">
        <w:rPr>
          <w:rFonts w:ascii="Arial" w:hAnsi="Arial" w:cs="Arial"/>
          <w:b/>
          <w:i/>
        </w:rPr>
        <w:t>requerimiento de pago y embargo</w:t>
      </w:r>
      <w:r>
        <w:rPr>
          <w:rFonts w:ascii="Arial" w:hAnsi="Arial" w:cs="Arial"/>
          <w:i/>
        </w:rPr>
        <w:t xml:space="preserve">, determinado mediante resolución número </w:t>
      </w:r>
      <w:r w:rsidR="005E169C">
        <w:rPr>
          <w:rFonts w:ascii="Arial" w:hAnsi="Arial" w:cs="Arial"/>
          <w:i/>
        </w:rPr>
        <w:t>***********</w:t>
      </w:r>
      <w:r>
        <w:rPr>
          <w:rFonts w:ascii="Arial" w:hAnsi="Arial" w:cs="Arial"/>
          <w:i/>
        </w:rPr>
        <w:t>, de veintinueve de marzo de dos mil diecinueve, en base a la resolución  emitida por el Tribunal Estatal Electoral del Poder Judicial del Estado; quien manifiesta que tuvo conocimiento de los actos impugnados el día diecinueve de noviembre de dos mil diecinueve.</w:t>
      </w:r>
    </w:p>
    <w:p w14:paraId="43C28F53" w14:textId="77777777" w:rsidR="00580245" w:rsidRDefault="00580245" w:rsidP="00580245">
      <w:pPr>
        <w:spacing w:after="0" w:line="360" w:lineRule="auto"/>
        <w:ind w:left="284" w:right="1041"/>
        <w:jc w:val="both"/>
        <w:rPr>
          <w:rFonts w:ascii="Arial" w:hAnsi="Arial" w:cs="Arial"/>
          <w:i/>
        </w:rPr>
      </w:pPr>
      <w:r>
        <w:rPr>
          <w:rFonts w:ascii="Arial" w:hAnsi="Arial" w:cs="Arial"/>
          <w:i/>
        </w:rPr>
        <w:t xml:space="preserve">    Del escrito de demanda y anexos no consta que las autoridades demandadas hubiesen </w:t>
      </w:r>
      <w:r w:rsidRPr="001D1465">
        <w:rPr>
          <w:rFonts w:ascii="Arial" w:hAnsi="Arial" w:cs="Arial"/>
          <w:b/>
          <w:i/>
        </w:rPr>
        <w:t>embargado</w:t>
      </w:r>
      <w:r>
        <w:rPr>
          <w:rFonts w:ascii="Arial" w:hAnsi="Arial" w:cs="Arial"/>
          <w:i/>
        </w:rPr>
        <w:t xml:space="preserve"> bienes propiedad de la actora para garantizar el crédito no fiscal que se reclama y menos consta la resolución que apruebe el remate, para promover el juicio ante este Tribunal, como lo establece el artículo 133 fracción VIII inciso d), de la Ley de Procedimiento y Justicia Administrativa para el Estado, que para su mejor comprensión se transcribe: (…)</w:t>
      </w:r>
    </w:p>
    <w:p w14:paraId="1A0130EE" w14:textId="1EE67420" w:rsidR="00580245" w:rsidRDefault="00580245" w:rsidP="00580245">
      <w:pPr>
        <w:spacing w:after="0" w:line="360" w:lineRule="auto"/>
        <w:ind w:left="284" w:right="1041"/>
        <w:jc w:val="both"/>
        <w:rPr>
          <w:rFonts w:ascii="Arial" w:hAnsi="Arial" w:cs="Arial"/>
          <w:i/>
        </w:rPr>
      </w:pPr>
      <w:r>
        <w:rPr>
          <w:rFonts w:ascii="Arial" w:hAnsi="Arial" w:cs="Arial"/>
          <w:i/>
        </w:rPr>
        <w:t xml:space="preserve">    Luego, para que la actora tenga derecho a impugnar el pr</w:t>
      </w:r>
      <w:r w:rsidR="00200965">
        <w:rPr>
          <w:rFonts w:ascii="Arial" w:hAnsi="Arial" w:cs="Arial"/>
          <w:i/>
        </w:rPr>
        <w:t xml:space="preserve">ocedimiento coactivo del </w:t>
      </w:r>
      <w:r w:rsidR="00200965" w:rsidRPr="00684F89">
        <w:rPr>
          <w:rFonts w:ascii="Arial" w:hAnsi="Arial" w:cs="Arial"/>
          <w:i/>
        </w:rPr>
        <w:t>crédito</w:t>
      </w:r>
      <w:r w:rsidRPr="00684F89">
        <w:rPr>
          <w:rFonts w:ascii="Arial" w:hAnsi="Arial" w:cs="Arial"/>
          <w:i/>
        </w:rPr>
        <w:t xml:space="preserve"> no fiscal debe hacerlo contra la resolución que aprueba el remate y de las constancias que se acompañan no se justicia</w:t>
      </w:r>
      <w:r w:rsidR="00200965" w:rsidRPr="00684F89">
        <w:rPr>
          <w:rFonts w:ascii="Arial" w:hAnsi="Arial" w:cs="Arial"/>
          <w:i/>
        </w:rPr>
        <w:t xml:space="preserve"> (sic) ello.</w:t>
      </w:r>
    </w:p>
    <w:p w14:paraId="3ABEE2C4" w14:textId="3460FD91" w:rsidR="00580245" w:rsidRDefault="00580245" w:rsidP="00580245">
      <w:pPr>
        <w:spacing w:after="0" w:line="360" w:lineRule="auto"/>
        <w:ind w:left="284" w:right="1041"/>
        <w:jc w:val="both"/>
        <w:rPr>
          <w:rFonts w:ascii="Arial" w:hAnsi="Arial" w:cs="Arial"/>
          <w:i/>
        </w:rPr>
      </w:pPr>
      <w:r>
        <w:rPr>
          <w:rFonts w:ascii="Arial" w:hAnsi="Arial" w:cs="Arial"/>
          <w:i/>
        </w:rPr>
        <w:t xml:space="preserve">  Por lo anteriormente señalado, </w:t>
      </w:r>
      <w:r w:rsidRPr="001D1465">
        <w:rPr>
          <w:rFonts w:ascii="Arial" w:hAnsi="Arial" w:cs="Arial"/>
          <w:b/>
          <w:i/>
        </w:rPr>
        <w:t>SE DESECHA LA DEMANDA DE NULIDAD</w:t>
      </w:r>
      <w:r>
        <w:rPr>
          <w:rFonts w:ascii="Arial" w:hAnsi="Arial" w:cs="Arial"/>
          <w:i/>
        </w:rPr>
        <w:t xml:space="preserve"> interpuesta por </w:t>
      </w:r>
      <w:r w:rsidR="005E169C">
        <w:rPr>
          <w:rFonts w:ascii="Arial" w:hAnsi="Arial" w:cs="Arial"/>
          <w:i/>
        </w:rPr>
        <w:t>***********</w:t>
      </w:r>
      <w:r w:rsidR="005E169C">
        <w:rPr>
          <w:rFonts w:ascii="Arial" w:hAnsi="Arial" w:cs="Arial"/>
          <w:i/>
        </w:rPr>
        <w:t xml:space="preserve"> </w:t>
      </w:r>
      <w:r>
        <w:rPr>
          <w:rFonts w:ascii="Arial" w:hAnsi="Arial" w:cs="Arial"/>
          <w:i/>
        </w:rPr>
        <w:t xml:space="preserve">por </w:t>
      </w:r>
      <w:r w:rsidRPr="001D1465">
        <w:rPr>
          <w:rFonts w:ascii="Arial" w:hAnsi="Arial" w:cs="Arial"/>
          <w:b/>
          <w:i/>
        </w:rPr>
        <w:t>NOTORIAMENTE IMPROCEDENTE</w:t>
      </w:r>
      <w:r>
        <w:rPr>
          <w:rFonts w:ascii="Arial" w:hAnsi="Arial" w:cs="Arial"/>
          <w:i/>
        </w:rPr>
        <w:t>, por encontrarse motivo manifiesto e indudable de improcedencia, conforme a lo establecido por los artículos 161 fracciones IX y X, 162 fracciones VI, y 182 fracción I, de la Ley de Procedimiento y Justicia Administrativa para el Estado de Oaxaca.</w:t>
      </w:r>
    </w:p>
    <w:p w14:paraId="480E5DE8" w14:textId="15DD2B09" w:rsidR="00580245" w:rsidRDefault="00580245" w:rsidP="00580245">
      <w:pPr>
        <w:spacing w:after="0" w:line="360" w:lineRule="auto"/>
        <w:ind w:left="284" w:right="1041"/>
        <w:jc w:val="both"/>
        <w:rPr>
          <w:rFonts w:ascii="Arial" w:hAnsi="Arial" w:cs="Arial"/>
          <w:i/>
        </w:rPr>
      </w:pPr>
      <w:r>
        <w:rPr>
          <w:rFonts w:ascii="Arial" w:hAnsi="Arial" w:cs="Arial"/>
          <w:i/>
        </w:rPr>
        <w:t xml:space="preserve">     Con fundamento en el artículo 171, de la Ley de la Materia, se tiene al </w:t>
      </w:r>
      <w:r w:rsidRPr="001D1465">
        <w:rPr>
          <w:rFonts w:ascii="Arial" w:hAnsi="Arial" w:cs="Arial"/>
          <w:b/>
          <w:i/>
        </w:rPr>
        <w:t>promovente</w:t>
      </w:r>
      <w:r>
        <w:rPr>
          <w:rFonts w:ascii="Arial" w:hAnsi="Arial" w:cs="Arial"/>
          <w:i/>
        </w:rPr>
        <w:t xml:space="preserve"> </w:t>
      </w:r>
      <w:r w:rsidR="005E169C">
        <w:rPr>
          <w:rFonts w:ascii="Arial" w:hAnsi="Arial" w:cs="Arial"/>
          <w:i/>
        </w:rPr>
        <w:t>***********</w:t>
      </w:r>
      <w:r>
        <w:rPr>
          <w:rFonts w:ascii="Arial" w:hAnsi="Arial" w:cs="Arial"/>
          <w:i/>
        </w:rPr>
        <w:t xml:space="preserve">, señalando domicilio para oír y recibir notificaciones en el Palacio Municipal de la Villa de Zaachila, ubicado  en la calle de </w:t>
      </w:r>
      <w:proofErr w:type="spellStart"/>
      <w:r>
        <w:rPr>
          <w:rFonts w:ascii="Arial" w:hAnsi="Arial" w:cs="Arial"/>
          <w:i/>
        </w:rPr>
        <w:t>Pezelao</w:t>
      </w:r>
      <w:proofErr w:type="spellEnd"/>
      <w:r>
        <w:rPr>
          <w:rFonts w:ascii="Arial" w:hAnsi="Arial" w:cs="Arial"/>
          <w:i/>
        </w:rPr>
        <w:t xml:space="preserve">, sin número, Barrio San Jacinto, Villa de Zaachila, Oaxaca; y autorizando </w:t>
      </w:r>
      <w:r w:rsidRPr="001D1465">
        <w:rPr>
          <w:rFonts w:ascii="Arial" w:hAnsi="Arial" w:cs="Arial"/>
          <w:b/>
          <w:i/>
        </w:rPr>
        <w:t>únicamente</w:t>
      </w:r>
      <w:r>
        <w:rPr>
          <w:rFonts w:ascii="Arial" w:hAnsi="Arial" w:cs="Arial"/>
          <w:i/>
        </w:rPr>
        <w:t xml:space="preserve"> para imponerse de los autos y recibir notificaciones a las personas que para tal efecto faculta, toda vez, que no acreditan contar  con cédula de licenciado en Derecho, de la Secretaría General de Acuerdos de este Tribunal, lo anterior, conforme a lo dispuesto en el artículo 148, último párrafo de la Ley de Procedimiento y Justicia Administrativa para el Estado de Oaxaca.</w:t>
      </w:r>
    </w:p>
    <w:p w14:paraId="6A356BEA" w14:textId="77777777" w:rsidR="00580245" w:rsidRDefault="00580245" w:rsidP="00580245">
      <w:pPr>
        <w:spacing w:after="0" w:line="360" w:lineRule="auto"/>
        <w:ind w:left="284" w:right="1041"/>
        <w:jc w:val="both"/>
        <w:rPr>
          <w:rFonts w:ascii="Arial" w:hAnsi="Arial" w:cs="Arial"/>
          <w:i/>
        </w:rPr>
      </w:pPr>
      <w:r>
        <w:rPr>
          <w:rFonts w:ascii="Arial" w:hAnsi="Arial" w:cs="Arial"/>
          <w:i/>
        </w:rPr>
        <w:t xml:space="preserve">     Por último, una vez que cause estado el presente auto, </w:t>
      </w:r>
      <w:r w:rsidRPr="001D1465">
        <w:rPr>
          <w:rFonts w:ascii="Arial" w:hAnsi="Arial" w:cs="Arial"/>
          <w:b/>
          <w:i/>
        </w:rPr>
        <w:t>se ordenara</w:t>
      </w:r>
      <w:r>
        <w:rPr>
          <w:rFonts w:ascii="Arial" w:hAnsi="Arial" w:cs="Arial"/>
          <w:i/>
        </w:rPr>
        <w:t xml:space="preserve"> (sic) </w:t>
      </w:r>
      <w:r w:rsidRPr="001D1465">
        <w:rPr>
          <w:rFonts w:ascii="Arial" w:hAnsi="Arial" w:cs="Arial"/>
          <w:b/>
          <w:i/>
        </w:rPr>
        <w:t>dar de baja del libro de control de expedientes de esta Sala Unitaria</w:t>
      </w:r>
      <w:r>
        <w:rPr>
          <w:rFonts w:ascii="Arial" w:hAnsi="Arial" w:cs="Arial"/>
          <w:i/>
        </w:rPr>
        <w:t xml:space="preserve"> y en consecuencia </w:t>
      </w:r>
      <w:r w:rsidRPr="001D1465">
        <w:rPr>
          <w:rFonts w:ascii="Arial" w:hAnsi="Arial" w:cs="Arial"/>
          <w:b/>
          <w:i/>
        </w:rPr>
        <w:t>su archivo</w:t>
      </w:r>
      <w:r>
        <w:rPr>
          <w:rFonts w:ascii="Arial" w:hAnsi="Arial" w:cs="Arial"/>
          <w:i/>
        </w:rPr>
        <w:t>, y mediante oficio  que se gire a la Secretaría General de Acuerdos de este Tribunal, remítase el original del expediente al Archivo General de este Tribunal, de conformidad con lo dispuesto por el artículo 55, fracción X, de la Ley Orgánica del Tribunal de Justicia Administrativa del Estado, en relación con los diversos 57, 58, 59 y 62 del Reglamento Interno del Tribunal de Justicia Administrativa del Estado de Oaxaca, aprobado.</w:t>
      </w:r>
    </w:p>
    <w:p w14:paraId="1E79D9A9" w14:textId="77777777" w:rsidR="00580245" w:rsidRDefault="00580245" w:rsidP="00580245">
      <w:pPr>
        <w:spacing w:after="0" w:line="360" w:lineRule="auto"/>
        <w:ind w:left="284" w:right="1041"/>
        <w:jc w:val="both"/>
        <w:rPr>
          <w:rFonts w:ascii="Arial" w:hAnsi="Arial" w:cs="Arial"/>
          <w:i/>
        </w:rPr>
      </w:pPr>
      <w:r>
        <w:rPr>
          <w:rFonts w:ascii="Arial" w:hAnsi="Arial" w:cs="Arial"/>
          <w:i/>
        </w:rPr>
        <w:lastRenderedPageBreak/>
        <w:t xml:space="preserve">    </w:t>
      </w:r>
      <w:r w:rsidRPr="001D1465">
        <w:rPr>
          <w:rFonts w:ascii="Arial" w:hAnsi="Arial" w:cs="Arial"/>
          <w:b/>
          <w:i/>
        </w:rPr>
        <w:t>Notifíquese personalmente al promovente</w:t>
      </w:r>
      <w:r>
        <w:rPr>
          <w:rFonts w:ascii="Arial" w:hAnsi="Arial" w:cs="Arial"/>
          <w:i/>
        </w:rPr>
        <w:t>, en términos de los artículos 172 fracción I y 173 fracción I, de la Ley de Procedimiento y Justicia Administrativa para el Estado de Oaxaca.” (…)</w:t>
      </w:r>
    </w:p>
    <w:p w14:paraId="439FE037" w14:textId="77777777" w:rsidR="00580245" w:rsidRPr="009536D4" w:rsidRDefault="00580245" w:rsidP="00580245">
      <w:pPr>
        <w:spacing w:after="0" w:line="360" w:lineRule="auto"/>
        <w:ind w:right="902"/>
        <w:jc w:val="both"/>
        <w:rPr>
          <w:rFonts w:ascii="Arial" w:hAnsi="Arial" w:cs="Arial"/>
          <w:i/>
        </w:rPr>
      </w:pPr>
    </w:p>
    <w:p w14:paraId="6769842E" w14:textId="77777777" w:rsidR="00580245" w:rsidRDefault="00580245" w:rsidP="00580245">
      <w:pPr>
        <w:spacing w:after="120" w:line="360" w:lineRule="auto"/>
        <w:ind w:right="49"/>
        <w:jc w:val="center"/>
        <w:rPr>
          <w:rFonts w:ascii="Arial" w:hAnsi="Arial" w:cs="Arial"/>
          <w:b/>
          <w:bCs/>
          <w:iCs/>
          <w:sz w:val="26"/>
          <w:szCs w:val="26"/>
        </w:rPr>
      </w:pPr>
      <w:r>
        <w:rPr>
          <w:rFonts w:ascii="Arial" w:hAnsi="Arial" w:cs="Arial"/>
          <w:b/>
          <w:bCs/>
          <w:iCs/>
          <w:sz w:val="26"/>
          <w:szCs w:val="26"/>
        </w:rPr>
        <w:t>CONSIDERANDOS</w:t>
      </w:r>
    </w:p>
    <w:p w14:paraId="5600CF9F" w14:textId="1D2030F8" w:rsidR="00580245" w:rsidRPr="00051C6F" w:rsidRDefault="00580245" w:rsidP="00580245">
      <w:pPr>
        <w:spacing w:line="360" w:lineRule="auto"/>
        <w:ind w:firstLine="426"/>
        <w:jc w:val="both"/>
        <w:rPr>
          <w:rFonts w:ascii="Arial" w:hAnsi="Arial" w:cs="Arial"/>
          <w:b/>
          <w:bCs/>
          <w:sz w:val="26"/>
          <w:szCs w:val="26"/>
        </w:rPr>
      </w:pPr>
      <w:r>
        <w:rPr>
          <w:rFonts w:ascii="Arial" w:hAnsi="Arial" w:cs="Arial"/>
          <w:b/>
          <w:bCs/>
          <w:iCs/>
          <w:sz w:val="26"/>
          <w:szCs w:val="26"/>
        </w:rPr>
        <w:t xml:space="preserve">    </w:t>
      </w: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w:t>
      </w:r>
      <w:r w:rsidR="00474E5F">
        <w:rPr>
          <w:rFonts w:ascii="Arial" w:hAnsi="Arial" w:cs="Arial"/>
          <w:bCs/>
          <w:iCs/>
          <w:sz w:val="26"/>
          <w:szCs w:val="26"/>
        </w:rPr>
        <w:t>,</w:t>
      </w:r>
      <w:r>
        <w:rPr>
          <w:rFonts w:ascii="Arial" w:hAnsi="Arial" w:cs="Arial"/>
          <w:bCs/>
          <w:iCs/>
          <w:sz w:val="26"/>
          <w:szCs w:val="26"/>
        </w:rPr>
        <w:t xml:space="preserve"> párrafo segundo, 2</w:t>
      </w:r>
      <w:r w:rsidR="00474E5F">
        <w:rPr>
          <w:rFonts w:ascii="Arial" w:hAnsi="Arial" w:cs="Arial"/>
          <w:bCs/>
          <w:iCs/>
          <w:sz w:val="26"/>
          <w:szCs w:val="26"/>
        </w:rPr>
        <w:t>,</w:t>
      </w:r>
      <w:r>
        <w:rPr>
          <w:rFonts w:ascii="Arial" w:hAnsi="Arial" w:cs="Arial"/>
          <w:bCs/>
          <w:iCs/>
          <w:sz w:val="26"/>
          <w:szCs w:val="26"/>
        </w:rPr>
        <w:t xml:space="preserve"> párrafos primero y cuarto, 4</w:t>
      </w:r>
      <w:r w:rsidR="00474E5F">
        <w:rPr>
          <w:rFonts w:ascii="Arial" w:hAnsi="Arial" w:cs="Arial"/>
          <w:bCs/>
          <w:iCs/>
          <w:sz w:val="26"/>
          <w:szCs w:val="26"/>
        </w:rPr>
        <w:t>,</w:t>
      </w:r>
      <w:r>
        <w:rPr>
          <w:rFonts w:ascii="Arial" w:hAnsi="Arial" w:cs="Arial"/>
          <w:bCs/>
          <w:iCs/>
          <w:sz w:val="26"/>
          <w:szCs w:val="26"/>
        </w:rPr>
        <w:t xml:space="preserve"> fracción VIII, 23, 24 fracción I, 25 fracción I y 27 de la Ley Orgánica del Tribunal de Justicia Administrativa del Estado de Oaxaca, publicada en el Periódico Oficial del Estado de Oaxaca, el siete de noviembre de dos mil diecinueve; así como los diversos </w:t>
      </w:r>
      <w:r>
        <w:rPr>
          <w:rFonts w:ascii="Arial" w:hAnsi="Arial" w:cs="Arial"/>
          <w:bCs/>
          <w:iCs/>
          <w:sz w:val="26"/>
          <w:szCs w:val="26"/>
          <w:lang w:eastAsia="es-ES"/>
        </w:rPr>
        <w:t>125</w:t>
      </w:r>
      <w:r>
        <w:rPr>
          <w:rFonts w:ascii="Arial" w:hAnsi="Arial" w:cs="Arial"/>
          <w:bCs/>
          <w:iCs/>
          <w:sz w:val="26"/>
          <w:szCs w:val="26"/>
        </w:rPr>
        <w:t xml:space="preserve">, 127, 129, 130, fracción I, 131, 231, 236 y 238 de la Ley de Procedimiento y Justicia Administrativa para el Estado de Oaxaca. Recurso de Revisión interpuesto en contra de la resolución de desechamiento de fecha diecisiete de enero de dos mil veinte, dictado en la Cuarta Sala Unitaria de Primera Instancia de este Tribunal, en el expediente </w:t>
      </w:r>
      <w:r>
        <w:rPr>
          <w:rFonts w:ascii="Arial" w:hAnsi="Arial" w:cs="Arial"/>
          <w:b/>
          <w:bCs/>
          <w:iCs/>
          <w:sz w:val="26"/>
          <w:szCs w:val="26"/>
        </w:rPr>
        <w:t>10/2020</w:t>
      </w:r>
      <w:r>
        <w:rPr>
          <w:rFonts w:ascii="Arial" w:hAnsi="Arial" w:cs="Arial"/>
          <w:sz w:val="26"/>
          <w:szCs w:val="26"/>
        </w:rPr>
        <w:t>. - - - - - - - - - - - - - - - - - - - - - - - - -  -</w:t>
      </w:r>
    </w:p>
    <w:p w14:paraId="7829EAB7" w14:textId="60C44DBB" w:rsidR="00580245" w:rsidRDefault="00580245" w:rsidP="00580245">
      <w:pPr>
        <w:spacing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w:t>
      </w:r>
      <w:r>
        <w:rPr>
          <w:rFonts w:ascii="Arial" w:hAnsi="Arial" w:cs="Arial"/>
          <w:bCs/>
          <w:sz w:val="26"/>
          <w:szCs w:val="26"/>
        </w:rPr>
        <w:t>Los agravios hechos valer se encuentran expuestos en el escrito respectivo de la recurrente, por lo que no existe necesidad de transcribirlos, al no transgredirse derecho alguno, como tampoco se vulnera disposición expresa que imponga tal obligación</w:t>
      </w:r>
      <w:r>
        <w:rPr>
          <w:rFonts w:ascii="Arial" w:hAnsi="Arial" w:cs="Arial"/>
          <w:sz w:val="26"/>
          <w:szCs w:val="26"/>
        </w:rPr>
        <w:t>. En apoyo a lo anterior, se invoca el criterio Jurisprudencial</w:t>
      </w:r>
      <w:r>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w:t>
      </w:r>
      <w:proofErr w:type="gramStart"/>
      <w:r>
        <w:rPr>
          <w:rFonts w:ascii="Arial" w:hAnsi="Arial" w:cs="Arial"/>
          <w:bCs/>
          <w:color w:val="000000"/>
          <w:sz w:val="26"/>
          <w:szCs w:val="26"/>
        </w:rPr>
        <w:t>Mayo</w:t>
      </w:r>
      <w:proofErr w:type="gramEnd"/>
      <w:r>
        <w:rPr>
          <w:rFonts w:ascii="Arial" w:hAnsi="Arial" w:cs="Arial"/>
          <w:bCs/>
          <w:color w:val="000000"/>
          <w:sz w:val="26"/>
          <w:szCs w:val="26"/>
        </w:rPr>
        <w:t xml:space="preserve"> de 2010, visible a página 830, Novena Época, bajo el rubro y texto siguiente:</w:t>
      </w:r>
      <w:r w:rsidR="00144D35">
        <w:rPr>
          <w:rFonts w:ascii="Arial" w:hAnsi="Arial" w:cs="Arial"/>
          <w:bCs/>
          <w:color w:val="000000"/>
          <w:sz w:val="26"/>
          <w:szCs w:val="26"/>
        </w:rPr>
        <w:t xml:space="preserve"> - - - - - - - - - - - - - - - </w:t>
      </w:r>
    </w:p>
    <w:p w14:paraId="7B1E5428" w14:textId="77777777" w:rsidR="00580245" w:rsidRPr="00051C6F" w:rsidRDefault="00580245" w:rsidP="00580245">
      <w:pPr>
        <w:spacing w:before="240" w:line="360" w:lineRule="auto"/>
        <w:ind w:left="567" w:right="900"/>
        <w:jc w:val="both"/>
        <w:rPr>
          <w:rFonts w:ascii="Arial" w:eastAsia="Calibri" w:hAnsi="Arial" w:cs="Arial"/>
          <w:b/>
          <w:bCs/>
          <w:i/>
        </w:rPr>
      </w:pPr>
      <w:r>
        <w:rPr>
          <w:rFonts w:ascii="Arial" w:eastAsia="Calibri" w:hAnsi="Arial" w:cs="Arial"/>
          <w:b/>
          <w:bCs/>
          <w:i/>
        </w:rPr>
        <w:t xml:space="preserve">“CONCEPTOS DE VIOLACIÓN O AGRAVIOS. PARA CUMPLIR CON LOS PRINCIPIOS DE CONGRUENCIA Y EXHAUSTIVIDAD EN LAS SENTENCIAS DE AMPARO ES INNECESARIA SU TRANSCRIPCIÓN. </w:t>
      </w:r>
      <w:r>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w:t>
      </w:r>
      <w:r>
        <w:rPr>
          <w:rFonts w:ascii="Arial" w:eastAsia="Calibri" w:hAnsi="Arial" w:cs="Arial"/>
          <w:bCs/>
          <w:i/>
        </w:rPr>
        <w:lastRenderedPageBreak/>
        <w:t>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58F6F1A" w14:textId="11371693" w:rsidR="00580245" w:rsidRDefault="00580245" w:rsidP="00580245">
      <w:pPr>
        <w:pStyle w:val="Textoindependiente"/>
        <w:spacing w:line="360" w:lineRule="auto"/>
        <w:jc w:val="both"/>
        <w:rPr>
          <w:rFonts w:ascii="Arial" w:eastAsia="Calibri" w:hAnsi="Arial" w:cs="Arial"/>
          <w:sz w:val="26"/>
          <w:szCs w:val="26"/>
        </w:rPr>
      </w:pPr>
      <w:r>
        <w:rPr>
          <w:rFonts w:ascii="Arial" w:eastAsia="Calibri" w:hAnsi="Arial" w:cs="Arial"/>
          <w:b/>
          <w:sz w:val="26"/>
          <w:szCs w:val="26"/>
        </w:rPr>
        <w:t xml:space="preserve">      </w:t>
      </w:r>
      <w:r w:rsidRPr="007D72FD">
        <w:rPr>
          <w:rFonts w:ascii="Arial" w:eastAsia="Calibri" w:hAnsi="Arial" w:cs="Arial"/>
          <w:b/>
          <w:sz w:val="26"/>
          <w:szCs w:val="26"/>
        </w:rPr>
        <w:t xml:space="preserve">TERCERO. </w:t>
      </w:r>
      <w:r w:rsidRPr="007D72FD">
        <w:rPr>
          <w:rFonts w:ascii="Arial" w:eastAsia="Calibri" w:hAnsi="Arial" w:cs="Arial"/>
          <w:sz w:val="26"/>
          <w:szCs w:val="26"/>
        </w:rPr>
        <w:t xml:space="preserve">Expone el revisionista </w:t>
      </w:r>
      <w:r>
        <w:rPr>
          <w:rFonts w:ascii="Arial" w:eastAsia="Calibri" w:hAnsi="Arial" w:cs="Arial"/>
          <w:sz w:val="26"/>
          <w:szCs w:val="26"/>
        </w:rPr>
        <w:t>que le agravia el acuerdo recurrido, por carecer de la debida fundamentación y motivación en términos de los artículos 14 y 16 de la Constitución Política de los Estados Unidos Mexicanos, al sustentarse en los artículos 133, fracción VIII, incisos d), 161, fracciones IX y X, 162, fracción VI y 182, fracción I, de la Ley de Procedimiento y Justicia Administrativa para el Estado de Oaxaca, siendo que no existe o no se actualiza el motivo de indudable</w:t>
      </w:r>
      <w:r w:rsidR="00200965">
        <w:rPr>
          <w:rFonts w:ascii="Arial" w:eastAsia="Calibri" w:hAnsi="Arial" w:cs="Arial"/>
          <w:sz w:val="26"/>
          <w:szCs w:val="26"/>
        </w:rPr>
        <w:t xml:space="preserve"> </w:t>
      </w:r>
      <w:r w:rsidR="00200965" w:rsidRPr="00684F89">
        <w:rPr>
          <w:rFonts w:ascii="Arial" w:eastAsia="Calibri" w:hAnsi="Arial" w:cs="Arial"/>
          <w:sz w:val="26"/>
          <w:szCs w:val="26"/>
        </w:rPr>
        <w:t>improcedencia</w:t>
      </w:r>
      <w:r w:rsidRPr="00684F89">
        <w:rPr>
          <w:rFonts w:ascii="Arial" w:eastAsia="Calibri" w:hAnsi="Arial" w:cs="Arial"/>
          <w:sz w:val="26"/>
          <w:szCs w:val="26"/>
        </w:rPr>
        <w:t xml:space="preserve"> p</w:t>
      </w:r>
      <w:r>
        <w:rPr>
          <w:rFonts w:ascii="Arial" w:eastAsia="Calibri" w:hAnsi="Arial" w:cs="Arial"/>
          <w:sz w:val="26"/>
          <w:szCs w:val="26"/>
        </w:rPr>
        <w:t xml:space="preserve">ara que se deseche la demanda de nulidad, en virtud de que la parte actora se encuentra legitimada para demandar cualquier acto administrativo de carácter fiscal emitido por cualquier autoridad  estatal, como lo es la Secretaría de Finanzas del Estado de Oaxaca, ya que el Magistrado A quo al desecharla no realizó el estudio de los conceptos de impugnación que reclama. - - - - - - - - - - - - - - </w:t>
      </w:r>
      <w:r w:rsidR="00200965">
        <w:rPr>
          <w:rFonts w:ascii="Arial" w:eastAsia="Calibri" w:hAnsi="Arial" w:cs="Arial"/>
          <w:sz w:val="26"/>
          <w:szCs w:val="26"/>
        </w:rPr>
        <w:t xml:space="preserve">- - - - - - - - - </w:t>
      </w:r>
    </w:p>
    <w:p w14:paraId="7AA619EC" w14:textId="33536E37" w:rsidR="00580245" w:rsidRDefault="00580245" w:rsidP="00580245">
      <w:pPr>
        <w:pStyle w:val="Textoindependiente"/>
        <w:spacing w:line="360" w:lineRule="auto"/>
        <w:jc w:val="both"/>
        <w:rPr>
          <w:rFonts w:ascii="Arial" w:eastAsia="Calibri" w:hAnsi="Arial" w:cs="Arial"/>
          <w:sz w:val="26"/>
          <w:szCs w:val="26"/>
        </w:rPr>
      </w:pPr>
      <w:r>
        <w:rPr>
          <w:rFonts w:ascii="Arial" w:eastAsia="Calibri" w:hAnsi="Arial" w:cs="Arial"/>
          <w:sz w:val="26"/>
          <w:szCs w:val="26"/>
        </w:rPr>
        <w:t xml:space="preserve">       Por lo que argumenta que se configura la procedencia de su demanda, al actualizarse la calidad de autoridad fiscal estatal de las autoridades demandadas, en términos del artículo 133, fracción I, de la Ley de Procedimiento y Justicia Administrativa para el Estado de Oaxaca, en relación con los artículos 2, 3 y 27, fracción XII, de la Ley Orgánica del Poder Ejecutivo del Estado de Oaxaca, 7 fracciones II y VI, del Código Fiscal para el Estado de Oaxaca, esto es, demanda a las áreas administrativas de la Secretaría de Finanzas del Estado de Oaxaca. - - - - - - - - - - - - - - - - - - - - - - - - - - - - - - - - - - - - - - - - - - - - - -</w:t>
      </w:r>
    </w:p>
    <w:p w14:paraId="513D7F00" w14:textId="3BA8FF23" w:rsidR="00580245" w:rsidRDefault="00580245" w:rsidP="00580245">
      <w:pPr>
        <w:pStyle w:val="Textoindependiente"/>
        <w:spacing w:line="360" w:lineRule="auto"/>
        <w:jc w:val="both"/>
        <w:rPr>
          <w:rFonts w:ascii="Arial" w:eastAsia="Calibri" w:hAnsi="Arial" w:cs="Arial"/>
          <w:sz w:val="26"/>
          <w:szCs w:val="26"/>
        </w:rPr>
      </w:pPr>
      <w:r>
        <w:rPr>
          <w:rFonts w:ascii="Arial" w:eastAsia="Calibri" w:hAnsi="Arial" w:cs="Arial"/>
          <w:sz w:val="26"/>
          <w:szCs w:val="26"/>
        </w:rPr>
        <w:t xml:space="preserve">     Señalando también, que lo que impugna es la nulidad del mandamiento de ejecución que se le pretende ejecutar para exigir un crédito fiscal con actualizaciones y recargos, por la falta de fundamentación y motivación, porque no se le ha notificado el inicio del mandamiento de ejecución y la determinación</w:t>
      </w:r>
      <w:r w:rsidR="00200965">
        <w:rPr>
          <w:rFonts w:ascii="Arial" w:eastAsia="Calibri" w:hAnsi="Arial" w:cs="Arial"/>
          <w:sz w:val="26"/>
          <w:szCs w:val="26"/>
        </w:rPr>
        <w:t xml:space="preserve"> de cantidad liquida del </w:t>
      </w:r>
      <w:r w:rsidR="00200965" w:rsidRPr="00684F89">
        <w:rPr>
          <w:rFonts w:ascii="Arial" w:eastAsia="Calibri" w:hAnsi="Arial" w:cs="Arial"/>
          <w:sz w:val="26"/>
          <w:szCs w:val="26"/>
        </w:rPr>
        <w:t>crédito</w:t>
      </w:r>
      <w:r w:rsidRPr="00684F89">
        <w:rPr>
          <w:rFonts w:ascii="Arial" w:eastAsia="Calibri" w:hAnsi="Arial" w:cs="Arial"/>
          <w:sz w:val="26"/>
          <w:szCs w:val="26"/>
        </w:rPr>
        <w:t xml:space="preserve"> fiscal</w:t>
      </w:r>
      <w:r>
        <w:rPr>
          <w:rFonts w:ascii="Arial" w:eastAsia="Calibri" w:hAnsi="Arial" w:cs="Arial"/>
          <w:sz w:val="26"/>
          <w:szCs w:val="26"/>
        </w:rPr>
        <w:t xml:space="preserve"> y requerido previamente sin las actualizaciones y recargos, por existir errores de hecho y derecho dentro de</w:t>
      </w:r>
      <w:r w:rsidR="00200965">
        <w:rPr>
          <w:rFonts w:ascii="Arial" w:eastAsia="Calibri" w:hAnsi="Arial" w:cs="Arial"/>
          <w:sz w:val="26"/>
          <w:szCs w:val="26"/>
        </w:rPr>
        <w:t>l</w:t>
      </w:r>
      <w:r>
        <w:rPr>
          <w:rFonts w:ascii="Arial" w:eastAsia="Calibri" w:hAnsi="Arial" w:cs="Arial"/>
          <w:sz w:val="26"/>
          <w:szCs w:val="26"/>
        </w:rPr>
        <w:t xml:space="preserve"> citado mandamiento de ejecución, conforme a las fracciones I, II, IV, V y VII, del artículo 17 de la </w:t>
      </w:r>
      <w:r>
        <w:rPr>
          <w:rFonts w:ascii="Arial" w:eastAsia="Calibri" w:hAnsi="Arial" w:cs="Arial"/>
          <w:sz w:val="26"/>
          <w:szCs w:val="26"/>
        </w:rPr>
        <w:lastRenderedPageBreak/>
        <w:t>Ley de Procedimiento y Justicia Administrativa para el Estado de Oaxaca, al tratar de ejecutar un mandamiento de ejecución para exhibirle un crédito fiscal, sin el inicio formal del procedimiento  administrativo de ejecución o procedimiento económico coactivo, careciendo de la debida fundamentación y motivación, como acto de autoridad que se debe cumplir. - - - - - - - - - - - - - - - - - - - - - - - - - - - - -</w:t>
      </w:r>
    </w:p>
    <w:p w14:paraId="3F3DFE0A" w14:textId="2CCF6B6C" w:rsidR="00580245" w:rsidRDefault="00580245" w:rsidP="00580245">
      <w:pPr>
        <w:pStyle w:val="Textoindependiente"/>
        <w:spacing w:line="360" w:lineRule="auto"/>
        <w:jc w:val="both"/>
        <w:rPr>
          <w:rFonts w:ascii="Arial" w:eastAsia="Calibri" w:hAnsi="Arial" w:cs="Arial"/>
          <w:sz w:val="26"/>
          <w:szCs w:val="26"/>
        </w:rPr>
      </w:pPr>
      <w:r>
        <w:rPr>
          <w:rFonts w:ascii="Arial" w:eastAsia="Calibri" w:hAnsi="Arial" w:cs="Arial"/>
          <w:sz w:val="26"/>
          <w:szCs w:val="26"/>
        </w:rPr>
        <w:t xml:space="preserve">     Asimismo, alega que no se actualiza el motivo manifiesto e indudable improcedencia, ya que no impugna el Procedimiento Administrativo de Ejecución o Procedimiento Económico Coactivo, ya que no se puede impugnar algo que no existe, ya que no se le ha notificado su inicio, ni tampoco el requerimiento de pago, sino por el contrario, se le pretende ejecutar un crédito fiscal con actualizaciones y recargos, violentando la Secretaría de Finanzas el debido proceso, por lo que demanda la nulidad del mandamiento de ejecución en términos del artículo 133, fracciones I y II, de la Ley de Procedimiento y Justicia Administrativa para el Estado de Oaxaca; aunando que las autoridades que emiten el acto impugnado  carecen de facultades para emitirlo. - - - - - - - - - - - - - - - - - - - - - - - - - -</w:t>
      </w:r>
    </w:p>
    <w:p w14:paraId="484793B5" w14:textId="6193DB72" w:rsidR="00580245" w:rsidRDefault="00580245" w:rsidP="00580245">
      <w:pPr>
        <w:pStyle w:val="Textoindependiente"/>
        <w:spacing w:line="360" w:lineRule="auto"/>
        <w:jc w:val="both"/>
        <w:rPr>
          <w:rFonts w:ascii="Arial" w:eastAsia="Calibri" w:hAnsi="Arial" w:cs="Arial"/>
          <w:sz w:val="26"/>
          <w:szCs w:val="26"/>
        </w:rPr>
      </w:pPr>
      <w:r>
        <w:rPr>
          <w:rFonts w:ascii="Arial" w:eastAsia="Calibri" w:hAnsi="Arial" w:cs="Arial"/>
          <w:sz w:val="26"/>
          <w:szCs w:val="26"/>
        </w:rPr>
        <w:t xml:space="preserve">    Continúa alegando el recurrente, que el resolutor de primera instancia presupone la existencia del procedimiento administrativo de ejecución o mandamiento económico coactivo, el cual no acompaña ni impugna, en razón que desconoce su existencia, por lo que a juicio del </w:t>
      </w:r>
      <w:proofErr w:type="spellStart"/>
      <w:r>
        <w:rPr>
          <w:rFonts w:ascii="Arial" w:eastAsia="Calibri" w:hAnsi="Arial" w:cs="Arial"/>
          <w:sz w:val="26"/>
          <w:szCs w:val="26"/>
        </w:rPr>
        <w:t>juzgador</w:t>
      </w:r>
      <w:proofErr w:type="spellEnd"/>
      <w:r>
        <w:rPr>
          <w:rFonts w:ascii="Arial" w:eastAsia="Calibri" w:hAnsi="Arial" w:cs="Arial"/>
          <w:sz w:val="26"/>
          <w:szCs w:val="26"/>
        </w:rPr>
        <w:t xml:space="preserve"> de primera instancia el aquí recurrente está reclamando y por el hecho que no se embargaron bienes, conforme lo previene el artículo 133, fracción VIII, inciso d), de la Ley de Procedimiento y Justicia Administrativa para el Estado de Oaxaca y desecha la demanda, dejándolo en estado de indefensión acorde a los principios de legalidad, certeza jurídica y pro persona. - - - - - - - - - - - - - - - - - - - - - - - - - - - - - - - - - - - - - - - - - - - - -</w:t>
      </w:r>
    </w:p>
    <w:p w14:paraId="7CFA6AEE" w14:textId="4CA65244" w:rsidR="00580245" w:rsidRDefault="00580245" w:rsidP="00580245">
      <w:pPr>
        <w:pStyle w:val="Textoindependiente"/>
        <w:spacing w:line="360" w:lineRule="auto"/>
        <w:jc w:val="both"/>
        <w:rPr>
          <w:rFonts w:ascii="Arial" w:eastAsia="Calibri" w:hAnsi="Arial" w:cs="Arial"/>
          <w:sz w:val="26"/>
          <w:szCs w:val="26"/>
        </w:rPr>
      </w:pPr>
      <w:r>
        <w:rPr>
          <w:rFonts w:ascii="Arial" w:eastAsia="Calibri" w:hAnsi="Arial" w:cs="Arial"/>
          <w:sz w:val="26"/>
          <w:szCs w:val="26"/>
        </w:rPr>
        <w:t xml:space="preserve">    Señala también la recurrente qué, ejercita su demanda porque se advierten violaciones al debido proceso, al violentar sus derechos como contribuyente, al no darle a conocer de manera anticipada sus derechos fiscales y el inicio del procedimiento administrativo de ejecución; asimismo, resalta la recurrente que en dos Salas diversas de este mismo Tribunal se admitieron juicios en contra de actos similares a los que impugna, por lo que se debe aplicar el principio pro persona  previsto en el artículo 1 de la Constitución Política de los Estados Unidos Mexicanos  que se sujete al criterio que más favorezca a la parte actora para mejor proveer de sus derechos fundamentales. - - - - - - - - - - - - - - - - - - - - - -</w:t>
      </w:r>
    </w:p>
    <w:p w14:paraId="2DE5270C" w14:textId="7D68F3D9" w:rsidR="00580245" w:rsidRDefault="00580245" w:rsidP="00580245">
      <w:pPr>
        <w:pStyle w:val="Textoindependiente"/>
        <w:spacing w:line="360" w:lineRule="auto"/>
        <w:jc w:val="both"/>
        <w:rPr>
          <w:rFonts w:ascii="Arial" w:eastAsia="Calibri" w:hAnsi="Arial" w:cs="Arial"/>
          <w:sz w:val="26"/>
          <w:szCs w:val="26"/>
        </w:rPr>
      </w:pPr>
      <w:r>
        <w:rPr>
          <w:rFonts w:ascii="Arial" w:eastAsia="Calibri" w:hAnsi="Arial" w:cs="Arial"/>
          <w:sz w:val="26"/>
          <w:szCs w:val="26"/>
        </w:rPr>
        <w:lastRenderedPageBreak/>
        <w:t xml:space="preserve">    De igual manera argumenta que el acuerdo que recurre le causa agravio por carecer de la debida fundamentación y motivación, al considerar que impugnan un crédito no fiscal, fundándose en lo establecido por los artículos 161, fracciones IX y X, 162, fracciones VI y 181, fracción I, de la Ley de Procedimiento y Justicia Administrativa para el Estado de Oaxaca. - - - - - - - - - - - - - - - - - - - - - - - - - - - - - - - - - - - - </w:t>
      </w:r>
    </w:p>
    <w:p w14:paraId="4B17B121" w14:textId="6CA68D1E" w:rsidR="00580245" w:rsidRDefault="00580245" w:rsidP="00580245">
      <w:pPr>
        <w:pStyle w:val="Textoindependiente"/>
        <w:spacing w:line="360" w:lineRule="auto"/>
        <w:jc w:val="both"/>
        <w:rPr>
          <w:rFonts w:ascii="Arial" w:hAnsi="Arial" w:cs="Arial"/>
          <w:color w:val="000000"/>
          <w:sz w:val="26"/>
          <w:szCs w:val="26"/>
        </w:rPr>
      </w:pPr>
      <w:r>
        <w:rPr>
          <w:rFonts w:ascii="Arial" w:eastAsia="Calibri" w:hAnsi="Arial" w:cs="Arial"/>
          <w:b/>
          <w:sz w:val="26"/>
          <w:szCs w:val="26"/>
        </w:rPr>
        <w:t xml:space="preserve">     Ahora bien,</w:t>
      </w:r>
      <w:r w:rsidRPr="00410800">
        <w:rPr>
          <w:rFonts w:ascii="Arial" w:eastAsia="Calibri" w:hAnsi="Arial" w:cs="Arial"/>
          <w:bCs/>
          <w:sz w:val="26"/>
          <w:szCs w:val="26"/>
        </w:rPr>
        <w:t xml:space="preserve"> </w:t>
      </w:r>
      <w:r>
        <w:rPr>
          <w:rFonts w:ascii="Arial" w:eastAsia="Calibri" w:hAnsi="Arial" w:cs="Arial"/>
          <w:bCs/>
          <w:sz w:val="26"/>
          <w:szCs w:val="26"/>
        </w:rPr>
        <w:t>antes de iniciar con el estudio de los agravios expuestos por el recurrente, es necesario precisar que, de las constancias que obran en el expediente natural</w:t>
      </w:r>
      <w:r w:rsidRPr="0092061C">
        <w:rPr>
          <w:rFonts w:ascii="Arial" w:hAnsi="Arial" w:cs="Arial"/>
          <w:color w:val="000000"/>
          <w:sz w:val="26"/>
          <w:szCs w:val="26"/>
        </w:rPr>
        <w:t>, con valor probatorio pleno de conformidad con el artículo 203 fracción I de la Ley de Procedimiento y Justicia Administrativa para el Estado, al tr</w:t>
      </w:r>
      <w:r>
        <w:rPr>
          <w:rFonts w:ascii="Arial" w:hAnsi="Arial" w:cs="Arial"/>
          <w:color w:val="000000"/>
          <w:sz w:val="26"/>
          <w:szCs w:val="26"/>
        </w:rPr>
        <w:t>atarse de actuaciones contenidas en documentos públicos, se advierte</w:t>
      </w:r>
      <w:r w:rsidRPr="0092061C">
        <w:rPr>
          <w:rFonts w:ascii="Arial" w:hAnsi="Arial" w:cs="Arial"/>
          <w:color w:val="000000"/>
          <w:sz w:val="26"/>
          <w:szCs w:val="26"/>
        </w:rPr>
        <w:t xml:space="preserve"> </w:t>
      </w:r>
      <w:r>
        <w:rPr>
          <w:rFonts w:ascii="Arial" w:hAnsi="Arial" w:cs="Arial"/>
          <w:color w:val="000000"/>
          <w:sz w:val="26"/>
          <w:szCs w:val="26"/>
        </w:rPr>
        <w:t>que el recurrente, impugna textualmente los siguientes actos:</w:t>
      </w:r>
      <w:r w:rsidR="00144D35">
        <w:rPr>
          <w:rFonts w:ascii="Arial" w:hAnsi="Arial" w:cs="Arial"/>
          <w:color w:val="000000"/>
          <w:sz w:val="26"/>
          <w:szCs w:val="26"/>
        </w:rPr>
        <w:t xml:space="preserve"> - - - - - - - - - - - - - - - - - - - - - </w:t>
      </w:r>
    </w:p>
    <w:p w14:paraId="66F31A8C" w14:textId="5364173E" w:rsidR="00580245" w:rsidRPr="00D152B6" w:rsidRDefault="00580245" w:rsidP="00580245">
      <w:pPr>
        <w:pStyle w:val="Textoindependiente"/>
        <w:spacing w:line="360" w:lineRule="auto"/>
        <w:ind w:left="284" w:right="191"/>
        <w:jc w:val="both"/>
        <w:rPr>
          <w:rFonts w:ascii="Arial" w:hAnsi="Arial" w:cs="Arial"/>
          <w:i/>
          <w:color w:val="000000"/>
          <w:sz w:val="24"/>
          <w:szCs w:val="24"/>
        </w:rPr>
      </w:pPr>
      <w:r w:rsidRPr="00D152B6">
        <w:rPr>
          <w:rFonts w:ascii="Arial" w:hAnsi="Arial" w:cs="Arial"/>
          <w:i/>
          <w:color w:val="000000"/>
          <w:sz w:val="24"/>
          <w:szCs w:val="24"/>
        </w:rPr>
        <w:t xml:space="preserve">“a) El Mandamiento de Ejecución número </w:t>
      </w:r>
      <w:r w:rsidR="005E169C">
        <w:rPr>
          <w:rFonts w:ascii="Arial" w:hAnsi="Arial" w:cs="Arial"/>
          <w:i/>
        </w:rPr>
        <w:t>***********</w:t>
      </w:r>
      <w:r w:rsidR="005E169C">
        <w:rPr>
          <w:rFonts w:ascii="Arial" w:hAnsi="Arial" w:cs="Arial"/>
          <w:i/>
        </w:rPr>
        <w:t xml:space="preserve"> </w:t>
      </w:r>
      <w:r w:rsidRPr="00D152B6">
        <w:rPr>
          <w:rFonts w:ascii="Arial" w:hAnsi="Arial" w:cs="Arial"/>
          <w:i/>
          <w:color w:val="000000"/>
          <w:sz w:val="24"/>
          <w:szCs w:val="24"/>
        </w:rPr>
        <w:t xml:space="preserve">respecto al crédito fiscal número </w:t>
      </w:r>
      <w:r w:rsidR="005E169C">
        <w:rPr>
          <w:rFonts w:ascii="Arial" w:hAnsi="Arial" w:cs="Arial"/>
          <w:i/>
        </w:rPr>
        <w:t>***********</w:t>
      </w:r>
      <w:r w:rsidRPr="00D152B6">
        <w:rPr>
          <w:rFonts w:ascii="Arial" w:hAnsi="Arial" w:cs="Arial"/>
          <w:i/>
          <w:color w:val="000000"/>
          <w:sz w:val="24"/>
          <w:szCs w:val="24"/>
        </w:rPr>
        <w:t xml:space="preserve">, de fecha 8 de noviembre de 2019, determinado mediante resolución número </w:t>
      </w:r>
      <w:r w:rsidR="005E169C">
        <w:rPr>
          <w:rFonts w:ascii="Arial" w:hAnsi="Arial" w:cs="Arial"/>
          <w:i/>
        </w:rPr>
        <w:t>***********</w:t>
      </w:r>
      <w:r w:rsidR="005E169C">
        <w:rPr>
          <w:rFonts w:ascii="Arial" w:hAnsi="Arial" w:cs="Arial"/>
          <w:i/>
        </w:rPr>
        <w:t xml:space="preserve"> </w:t>
      </w:r>
      <w:r w:rsidRPr="00D152B6">
        <w:rPr>
          <w:rFonts w:ascii="Arial" w:hAnsi="Arial" w:cs="Arial"/>
          <w:i/>
          <w:color w:val="000000"/>
          <w:sz w:val="24"/>
          <w:szCs w:val="24"/>
        </w:rPr>
        <w:t xml:space="preserve">de fecha 29 de marzo de 2019, con base en la resolución emitida por el Tribunal Estatal Electoral del Poder Judicial de Oaxaca, proveniente de una supuesta multa impuesta por incumplimiento a lo ordenado mediante Acuerdo Plenario de Veintinueve de marzo de dos mil diecinueve, por un importe de </w:t>
      </w:r>
      <w:r w:rsidR="00DB2363">
        <w:rPr>
          <w:rFonts w:ascii="Arial" w:hAnsi="Arial" w:cs="Arial"/>
          <w:i/>
        </w:rPr>
        <w:t>***********</w:t>
      </w:r>
      <w:r w:rsidRPr="00D152B6">
        <w:rPr>
          <w:rFonts w:ascii="Arial" w:hAnsi="Arial" w:cs="Arial"/>
          <w:i/>
          <w:color w:val="000000"/>
          <w:sz w:val="24"/>
          <w:szCs w:val="24"/>
        </w:rPr>
        <w:t xml:space="preserve"> y demás gastos de actualización y gastos de ejecución.</w:t>
      </w:r>
    </w:p>
    <w:p w14:paraId="174E6BB7" w14:textId="4E7416A8" w:rsidR="00580245" w:rsidRPr="00D152B6" w:rsidRDefault="00580245" w:rsidP="00580245">
      <w:pPr>
        <w:pStyle w:val="Textoindependiente"/>
        <w:spacing w:line="360" w:lineRule="auto"/>
        <w:ind w:left="284" w:right="191"/>
        <w:jc w:val="both"/>
        <w:rPr>
          <w:rFonts w:ascii="Arial" w:hAnsi="Arial" w:cs="Arial"/>
          <w:i/>
          <w:color w:val="000000"/>
          <w:sz w:val="24"/>
          <w:szCs w:val="24"/>
        </w:rPr>
      </w:pPr>
      <w:r w:rsidRPr="00D152B6">
        <w:rPr>
          <w:rFonts w:ascii="Arial" w:hAnsi="Arial" w:cs="Arial"/>
          <w:i/>
          <w:color w:val="000000"/>
          <w:sz w:val="24"/>
          <w:szCs w:val="24"/>
        </w:rPr>
        <w:t>b) El Acta de</w:t>
      </w:r>
      <w:r w:rsidR="00200965">
        <w:rPr>
          <w:rFonts w:ascii="Arial" w:hAnsi="Arial" w:cs="Arial"/>
          <w:i/>
          <w:color w:val="000000"/>
          <w:sz w:val="24"/>
          <w:szCs w:val="24"/>
        </w:rPr>
        <w:t xml:space="preserve"> requerimiento de pago y </w:t>
      </w:r>
      <w:r w:rsidR="00200965" w:rsidRPr="00684F89">
        <w:rPr>
          <w:rFonts w:ascii="Arial" w:hAnsi="Arial" w:cs="Arial"/>
          <w:i/>
          <w:color w:val="000000"/>
          <w:sz w:val="24"/>
          <w:szCs w:val="24"/>
        </w:rPr>
        <w:t>embargo</w:t>
      </w:r>
      <w:r w:rsidRPr="00D152B6">
        <w:rPr>
          <w:rFonts w:ascii="Arial" w:hAnsi="Arial" w:cs="Arial"/>
          <w:i/>
          <w:color w:val="000000"/>
          <w:sz w:val="24"/>
          <w:szCs w:val="24"/>
        </w:rPr>
        <w:t xml:space="preserve"> efectuado respecto al crédito fiscal número </w:t>
      </w:r>
      <w:r w:rsidR="00DB2363">
        <w:rPr>
          <w:rFonts w:ascii="Arial" w:hAnsi="Arial" w:cs="Arial"/>
          <w:i/>
        </w:rPr>
        <w:t>***********</w:t>
      </w:r>
      <w:r w:rsidRPr="00D152B6">
        <w:rPr>
          <w:rFonts w:ascii="Arial" w:hAnsi="Arial" w:cs="Arial"/>
          <w:i/>
          <w:color w:val="000000"/>
          <w:sz w:val="24"/>
          <w:szCs w:val="24"/>
        </w:rPr>
        <w:t xml:space="preserve">, determinado mediante resolución número </w:t>
      </w:r>
      <w:r w:rsidR="00DB2363">
        <w:rPr>
          <w:rFonts w:ascii="Arial" w:hAnsi="Arial" w:cs="Arial"/>
          <w:i/>
        </w:rPr>
        <w:t>***********</w:t>
      </w:r>
      <w:r w:rsidR="00DB2363">
        <w:rPr>
          <w:rFonts w:ascii="Arial" w:hAnsi="Arial" w:cs="Arial"/>
          <w:i/>
        </w:rPr>
        <w:t xml:space="preserve"> </w:t>
      </w:r>
      <w:r w:rsidRPr="00D152B6">
        <w:rPr>
          <w:rFonts w:ascii="Arial" w:hAnsi="Arial" w:cs="Arial"/>
          <w:i/>
          <w:color w:val="000000"/>
          <w:sz w:val="24"/>
          <w:szCs w:val="24"/>
        </w:rPr>
        <w:t>de fecha 29 de marzo de 2019, con base en la resolución emitida por el Tribunal Estatal Electoral del Poder Judicial de Oaxaca.</w:t>
      </w:r>
    </w:p>
    <w:p w14:paraId="368712D0" w14:textId="77777777" w:rsidR="00580245" w:rsidRPr="00D152B6" w:rsidRDefault="00580245" w:rsidP="00580245">
      <w:pPr>
        <w:pStyle w:val="Textoindependiente"/>
        <w:spacing w:line="360" w:lineRule="auto"/>
        <w:ind w:left="284" w:right="191"/>
        <w:jc w:val="both"/>
        <w:rPr>
          <w:rFonts w:ascii="Arial" w:hAnsi="Arial" w:cs="Arial"/>
          <w:i/>
          <w:color w:val="000000"/>
          <w:sz w:val="24"/>
          <w:szCs w:val="24"/>
        </w:rPr>
      </w:pPr>
      <w:r w:rsidRPr="00D152B6">
        <w:rPr>
          <w:rFonts w:ascii="Arial" w:hAnsi="Arial" w:cs="Arial"/>
          <w:i/>
          <w:color w:val="000000"/>
          <w:sz w:val="24"/>
          <w:szCs w:val="24"/>
        </w:rPr>
        <w:t>c) La notificación del Mandamiento de Ejecución del Crédito Fiscal.”</w:t>
      </w:r>
    </w:p>
    <w:p w14:paraId="76E98C67" w14:textId="3DC60E14" w:rsidR="00580245" w:rsidRDefault="00580245" w:rsidP="00580245">
      <w:pPr>
        <w:pStyle w:val="Textoindependiente"/>
        <w:spacing w:line="360" w:lineRule="auto"/>
        <w:jc w:val="both"/>
        <w:rPr>
          <w:rFonts w:ascii="Arial" w:hAnsi="Arial" w:cs="Arial"/>
          <w:color w:val="000000"/>
          <w:sz w:val="26"/>
          <w:szCs w:val="26"/>
        </w:rPr>
      </w:pPr>
      <w:r>
        <w:rPr>
          <w:rFonts w:ascii="Arial" w:hAnsi="Arial" w:cs="Arial"/>
          <w:color w:val="000000"/>
          <w:sz w:val="26"/>
          <w:szCs w:val="26"/>
        </w:rPr>
        <w:t xml:space="preserve">    </w:t>
      </w:r>
      <w:r w:rsidR="00B10971">
        <w:rPr>
          <w:rFonts w:ascii="Arial" w:hAnsi="Arial" w:cs="Arial"/>
          <w:color w:val="000000"/>
          <w:sz w:val="26"/>
          <w:szCs w:val="26"/>
        </w:rPr>
        <w:t xml:space="preserve">  </w:t>
      </w:r>
      <w:r>
        <w:rPr>
          <w:rFonts w:ascii="Arial" w:hAnsi="Arial" w:cs="Arial"/>
          <w:color w:val="000000"/>
          <w:sz w:val="26"/>
          <w:szCs w:val="26"/>
        </w:rPr>
        <w:t xml:space="preserve"> </w:t>
      </w:r>
      <w:r w:rsidRPr="0088121A">
        <w:rPr>
          <w:rFonts w:ascii="Arial" w:hAnsi="Arial" w:cs="Arial"/>
          <w:b/>
          <w:color w:val="000000"/>
          <w:sz w:val="26"/>
          <w:szCs w:val="26"/>
        </w:rPr>
        <w:t>Asimismo</w:t>
      </w:r>
      <w:r>
        <w:rPr>
          <w:rFonts w:ascii="Arial" w:hAnsi="Arial" w:cs="Arial"/>
          <w:color w:val="000000"/>
          <w:sz w:val="26"/>
          <w:szCs w:val="26"/>
        </w:rPr>
        <w:t xml:space="preserve">, se desprende que el crédito fiscal del que requiere su pago la Coordinadora de Cobro Coactivo de la Secretaría de Finanzas del Estado, deviene de una multa no fiscal impuesta por el Tribunal Electoral del Poder Judicial del Estado de Oaxaca y, no como consecuencia de impuestos o contribuciones a que está obligado todo contribuyente. </w:t>
      </w:r>
      <w:r w:rsidR="005D0A0D">
        <w:rPr>
          <w:rFonts w:ascii="Arial" w:hAnsi="Arial" w:cs="Arial"/>
          <w:color w:val="000000"/>
          <w:sz w:val="26"/>
          <w:szCs w:val="26"/>
        </w:rPr>
        <w:t>Sirve de orientación la Tesis Aislada 2a. XVII/97, publicada en el Semanario Judicial de la Federación y su Gaceta, Tomo V, marzo de 1997, visible a página 489, Novena Época</w:t>
      </w:r>
      <w:r w:rsidR="005D0A0D">
        <w:rPr>
          <w:rStyle w:val="Refdenotaalpie"/>
          <w:rFonts w:ascii="Arial" w:hAnsi="Arial" w:cs="Arial"/>
          <w:color w:val="000000"/>
          <w:sz w:val="26"/>
          <w:szCs w:val="26"/>
        </w:rPr>
        <w:footnoteReference w:id="1"/>
      </w:r>
      <w:r w:rsidR="005D0A0D">
        <w:rPr>
          <w:rFonts w:ascii="Arial" w:hAnsi="Arial" w:cs="Arial"/>
          <w:color w:val="000000"/>
          <w:sz w:val="26"/>
          <w:szCs w:val="26"/>
        </w:rPr>
        <w:t>. -</w:t>
      </w:r>
      <w:r>
        <w:rPr>
          <w:rFonts w:ascii="Arial" w:hAnsi="Arial" w:cs="Arial"/>
          <w:color w:val="000000"/>
          <w:sz w:val="26"/>
          <w:szCs w:val="26"/>
        </w:rPr>
        <w:t xml:space="preserve"> - - - - - - - - - -</w:t>
      </w:r>
    </w:p>
    <w:p w14:paraId="78BC3942" w14:textId="018E5439" w:rsidR="00580245" w:rsidRPr="002935FC" w:rsidRDefault="00580245" w:rsidP="00580245">
      <w:pPr>
        <w:pStyle w:val="Textoindependiente"/>
        <w:spacing w:line="360" w:lineRule="auto"/>
        <w:jc w:val="both"/>
        <w:rPr>
          <w:rFonts w:ascii="Arial" w:hAnsi="Arial" w:cs="Arial"/>
          <w:color w:val="000000"/>
          <w:sz w:val="26"/>
          <w:szCs w:val="26"/>
        </w:rPr>
      </w:pPr>
      <w:r w:rsidRPr="002935FC">
        <w:rPr>
          <w:rFonts w:ascii="Arial" w:hAnsi="Arial" w:cs="Arial"/>
          <w:color w:val="000000"/>
          <w:sz w:val="26"/>
          <w:szCs w:val="26"/>
        </w:rPr>
        <w:lastRenderedPageBreak/>
        <w:t xml:space="preserve">    </w:t>
      </w:r>
      <w:r w:rsidR="00E8267A">
        <w:rPr>
          <w:rFonts w:ascii="Arial" w:hAnsi="Arial" w:cs="Arial"/>
          <w:color w:val="000000"/>
          <w:sz w:val="26"/>
          <w:szCs w:val="26"/>
        </w:rPr>
        <w:t xml:space="preserve"> Como resultado del estudio integral de los </w:t>
      </w:r>
      <w:r w:rsidR="00E8267A" w:rsidRPr="001C3B04">
        <w:rPr>
          <w:rFonts w:ascii="Arial" w:hAnsi="Arial" w:cs="Arial"/>
          <w:b/>
          <w:color w:val="000000"/>
          <w:sz w:val="26"/>
          <w:szCs w:val="26"/>
        </w:rPr>
        <w:t>agravios esgrimidos por el recurrent</w:t>
      </w:r>
      <w:r w:rsidR="00E8267A">
        <w:rPr>
          <w:rFonts w:ascii="Arial" w:hAnsi="Arial" w:cs="Arial"/>
          <w:b/>
          <w:color w:val="000000"/>
          <w:sz w:val="26"/>
          <w:szCs w:val="26"/>
        </w:rPr>
        <w:t>e,</w:t>
      </w:r>
      <w:r w:rsidR="00E8267A">
        <w:rPr>
          <w:rFonts w:ascii="Arial" w:hAnsi="Arial" w:cs="Arial"/>
          <w:color w:val="000000"/>
          <w:sz w:val="26"/>
          <w:szCs w:val="26"/>
        </w:rPr>
        <w:t xml:space="preserve"> e</w:t>
      </w:r>
      <w:r w:rsidRPr="002935FC">
        <w:rPr>
          <w:rFonts w:ascii="Arial" w:hAnsi="Arial" w:cs="Arial"/>
          <w:color w:val="000000"/>
          <w:sz w:val="26"/>
          <w:szCs w:val="26"/>
        </w:rPr>
        <w:t xml:space="preserve">sta Sala Superior </w:t>
      </w:r>
      <w:r w:rsidR="00E8267A">
        <w:rPr>
          <w:rFonts w:ascii="Arial" w:hAnsi="Arial" w:cs="Arial"/>
          <w:color w:val="000000"/>
          <w:sz w:val="26"/>
          <w:szCs w:val="26"/>
        </w:rPr>
        <w:t xml:space="preserve">los </w:t>
      </w:r>
      <w:r w:rsidRPr="002935FC">
        <w:rPr>
          <w:rFonts w:ascii="Arial" w:hAnsi="Arial" w:cs="Arial"/>
          <w:color w:val="000000"/>
          <w:sz w:val="26"/>
          <w:szCs w:val="26"/>
        </w:rPr>
        <w:t>califica de</w:t>
      </w:r>
      <w:r w:rsidRPr="001C3B04">
        <w:rPr>
          <w:rFonts w:ascii="Arial" w:hAnsi="Arial" w:cs="Arial"/>
          <w:b/>
          <w:color w:val="000000"/>
          <w:sz w:val="26"/>
          <w:szCs w:val="26"/>
        </w:rPr>
        <w:t xml:space="preserve"> infundados</w:t>
      </w:r>
      <w:r>
        <w:rPr>
          <w:rFonts w:ascii="Arial" w:hAnsi="Arial" w:cs="Arial"/>
          <w:b/>
          <w:color w:val="000000"/>
          <w:sz w:val="26"/>
          <w:szCs w:val="26"/>
        </w:rPr>
        <w:t xml:space="preserve">, </w:t>
      </w:r>
      <w:r w:rsidRPr="002935FC">
        <w:rPr>
          <w:rFonts w:ascii="Arial" w:hAnsi="Arial" w:cs="Arial"/>
          <w:color w:val="000000"/>
          <w:sz w:val="26"/>
          <w:szCs w:val="26"/>
        </w:rPr>
        <w:t xml:space="preserve">por las siguientes consideraciones. </w:t>
      </w:r>
      <w:r>
        <w:rPr>
          <w:rFonts w:ascii="Arial" w:hAnsi="Arial" w:cs="Arial"/>
          <w:color w:val="000000"/>
          <w:sz w:val="26"/>
          <w:szCs w:val="26"/>
        </w:rPr>
        <w:t>- - - - - - - - - - - - -</w:t>
      </w:r>
      <w:r w:rsidR="00E8267A">
        <w:rPr>
          <w:rFonts w:ascii="Arial" w:hAnsi="Arial" w:cs="Arial"/>
          <w:color w:val="000000"/>
          <w:sz w:val="26"/>
          <w:szCs w:val="26"/>
        </w:rPr>
        <w:t xml:space="preserve"> - - - - - - - - - - - - - - - - - - -</w:t>
      </w:r>
    </w:p>
    <w:p w14:paraId="67EDA444" w14:textId="418C06B0" w:rsidR="00580245" w:rsidRDefault="00580245" w:rsidP="00580245">
      <w:pPr>
        <w:pStyle w:val="Textoindependiente"/>
        <w:spacing w:line="360" w:lineRule="auto"/>
        <w:jc w:val="both"/>
        <w:rPr>
          <w:rFonts w:ascii="Arial" w:hAnsi="Arial" w:cs="Arial"/>
          <w:sz w:val="26"/>
          <w:szCs w:val="26"/>
        </w:rPr>
      </w:pPr>
      <w:r>
        <w:rPr>
          <w:rFonts w:ascii="Arial" w:hAnsi="Arial" w:cs="Arial"/>
          <w:color w:val="000000"/>
          <w:sz w:val="26"/>
          <w:szCs w:val="26"/>
        </w:rPr>
        <w:t xml:space="preserve">    </w:t>
      </w:r>
      <w:r w:rsidR="00980860">
        <w:rPr>
          <w:rFonts w:ascii="Arial" w:hAnsi="Arial" w:cs="Arial"/>
          <w:color w:val="000000"/>
          <w:sz w:val="26"/>
          <w:szCs w:val="26"/>
        </w:rPr>
        <w:t xml:space="preserve">   </w:t>
      </w:r>
      <w:r>
        <w:rPr>
          <w:rFonts w:ascii="Arial" w:hAnsi="Arial" w:cs="Arial"/>
          <w:color w:val="000000"/>
          <w:sz w:val="26"/>
          <w:szCs w:val="26"/>
        </w:rPr>
        <w:t xml:space="preserve">Contrario a lo aducido por el recurrente en sus </w:t>
      </w:r>
      <w:r w:rsidR="00B10971">
        <w:rPr>
          <w:rFonts w:ascii="Arial" w:hAnsi="Arial" w:cs="Arial"/>
          <w:color w:val="000000"/>
          <w:sz w:val="26"/>
          <w:szCs w:val="26"/>
        </w:rPr>
        <w:t>motivos de inconformidad</w:t>
      </w:r>
      <w:r>
        <w:rPr>
          <w:rFonts w:ascii="Arial" w:hAnsi="Arial" w:cs="Arial"/>
          <w:color w:val="000000"/>
          <w:sz w:val="26"/>
          <w:szCs w:val="26"/>
        </w:rPr>
        <w:t>,</w:t>
      </w:r>
      <w:r w:rsidR="00B10971">
        <w:rPr>
          <w:rFonts w:ascii="Arial" w:eastAsia="Calibri" w:hAnsi="Arial" w:cs="Arial"/>
          <w:sz w:val="26"/>
          <w:szCs w:val="26"/>
        </w:rPr>
        <w:t xml:space="preserve"> </w:t>
      </w:r>
      <w:r w:rsidR="00474E5F">
        <w:rPr>
          <w:rFonts w:ascii="Arial" w:eastAsia="Calibri" w:hAnsi="Arial" w:cs="Arial"/>
          <w:sz w:val="26"/>
          <w:szCs w:val="26"/>
        </w:rPr>
        <w:t>el artículo 98, párrafo primer</w:t>
      </w:r>
      <w:r>
        <w:rPr>
          <w:rStyle w:val="Refdenotaalpie"/>
          <w:rFonts w:ascii="Arial" w:eastAsia="Calibri" w:hAnsi="Arial" w:cs="Arial"/>
          <w:sz w:val="26"/>
          <w:szCs w:val="26"/>
        </w:rPr>
        <w:footnoteReference w:id="2"/>
      </w:r>
      <w:r>
        <w:rPr>
          <w:rFonts w:ascii="Arial" w:eastAsia="Calibri" w:hAnsi="Arial" w:cs="Arial"/>
          <w:sz w:val="26"/>
          <w:szCs w:val="26"/>
        </w:rPr>
        <w:t>, de la Ley de Procedimiento y Justicia Administrativa para el Estado de Oaxaca, establece que sólo pueden ser impugnables mediante el juicio contencioso administrativo, los actos o resoluciones que determinen poner fin al procedimiento administrativo, a una instancia o resuelvan un expediente o que l</w:t>
      </w:r>
      <w:r w:rsidR="00474E5F">
        <w:rPr>
          <w:rFonts w:ascii="Arial" w:eastAsia="Calibri" w:hAnsi="Arial" w:cs="Arial"/>
          <w:sz w:val="26"/>
          <w:szCs w:val="26"/>
        </w:rPr>
        <w:t>e causen agravio al particular;</w:t>
      </w:r>
      <w:r>
        <w:rPr>
          <w:rFonts w:ascii="Arial" w:eastAsia="Calibri" w:hAnsi="Arial" w:cs="Arial"/>
          <w:sz w:val="26"/>
          <w:szCs w:val="26"/>
        </w:rPr>
        <w:t xml:space="preserve"> </w:t>
      </w:r>
      <w:r w:rsidR="00980860">
        <w:rPr>
          <w:rFonts w:ascii="Arial" w:eastAsia="Calibri" w:hAnsi="Arial" w:cs="Arial"/>
          <w:sz w:val="26"/>
          <w:szCs w:val="26"/>
        </w:rPr>
        <w:t xml:space="preserve">entonces, del análisis de </w:t>
      </w:r>
      <w:r>
        <w:rPr>
          <w:rFonts w:ascii="Arial" w:eastAsia="Calibri" w:hAnsi="Arial" w:cs="Arial"/>
          <w:sz w:val="26"/>
          <w:szCs w:val="26"/>
        </w:rPr>
        <w:t>los actos que impugna el actor</w:t>
      </w:r>
      <w:r w:rsidR="00980860">
        <w:rPr>
          <w:rFonts w:ascii="Arial" w:eastAsia="Calibri" w:hAnsi="Arial" w:cs="Arial"/>
          <w:sz w:val="26"/>
          <w:szCs w:val="26"/>
        </w:rPr>
        <w:t>,</w:t>
      </w:r>
      <w:r>
        <w:rPr>
          <w:rFonts w:ascii="Arial" w:eastAsia="Calibri" w:hAnsi="Arial" w:cs="Arial"/>
          <w:sz w:val="26"/>
          <w:szCs w:val="26"/>
        </w:rPr>
        <w:t xml:space="preserve"> consistentes en</w:t>
      </w:r>
      <w:r>
        <w:rPr>
          <w:rFonts w:ascii="Arial" w:hAnsi="Arial" w:cs="Arial"/>
          <w:sz w:val="26"/>
          <w:szCs w:val="26"/>
        </w:rPr>
        <w:t xml:space="preserve">  la ilegalidad del: </w:t>
      </w:r>
      <w:r w:rsidR="00980860">
        <w:rPr>
          <w:rFonts w:ascii="Arial" w:hAnsi="Arial" w:cs="Arial"/>
          <w:sz w:val="26"/>
          <w:szCs w:val="26"/>
        </w:rPr>
        <w:t xml:space="preserve">  </w:t>
      </w:r>
      <w:r w:rsidRPr="001B1D7F">
        <w:rPr>
          <w:rFonts w:ascii="Arial" w:hAnsi="Arial" w:cs="Arial"/>
          <w:b/>
          <w:sz w:val="26"/>
          <w:szCs w:val="26"/>
        </w:rPr>
        <w:t>a)</w:t>
      </w:r>
      <w:r>
        <w:rPr>
          <w:rFonts w:ascii="Arial" w:hAnsi="Arial" w:cs="Arial"/>
          <w:sz w:val="26"/>
          <w:szCs w:val="26"/>
        </w:rPr>
        <w:t xml:space="preserve"> mandamiento de ejecución con número de control </w:t>
      </w:r>
      <w:r w:rsidR="00DB2363">
        <w:rPr>
          <w:rFonts w:ascii="Arial" w:hAnsi="Arial" w:cs="Arial"/>
          <w:i/>
        </w:rPr>
        <w:t>***********</w:t>
      </w:r>
      <w:r w:rsidR="00DB2363">
        <w:rPr>
          <w:rFonts w:ascii="Arial" w:hAnsi="Arial" w:cs="Arial"/>
          <w:i/>
        </w:rPr>
        <w:t xml:space="preserve"> </w:t>
      </w:r>
      <w:r w:rsidRPr="001B1D7F">
        <w:rPr>
          <w:rFonts w:ascii="Arial" w:hAnsi="Arial" w:cs="Arial"/>
          <w:color w:val="000000"/>
          <w:sz w:val="26"/>
          <w:szCs w:val="26"/>
        </w:rPr>
        <w:t>respecto al crédito fiscal</w:t>
      </w:r>
      <w:r>
        <w:rPr>
          <w:rFonts w:ascii="Arial" w:hAnsi="Arial" w:cs="Arial"/>
          <w:color w:val="000000"/>
          <w:sz w:val="26"/>
          <w:szCs w:val="26"/>
        </w:rPr>
        <w:t xml:space="preserve"> número </w:t>
      </w:r>
      <w:r w:rsidR="00DB2363">
        <w:rPr>
          <w:rFonts w:ascii="Arial" w:hAnsi="Arial" w:cs="Arial"/>
          <w:i/>
        </w:rPr>
        <w:t>***********</w:t>
      </w:r>
      <w:r w:rsidR="00DB2363">
        <w:rPr>
          <w:rFonts w:ascii="Arial" w:hAnsi="Arial" w:cs="Arial"/>
          <w:i/>
        </w:rPr>
        <w:t xml:space="preserve"> </w:t>
      </w:r>
      <w:r>
        <w:rPr>
          <w:rFonts w:ascii="Arial" w:hAnsi="Arial" w:cs="Arial"/>
          <w:color w:val="000000"/>
          <w:sz w:val="26"/>
          <w:szCs w:val="26"/>
        </w:rPr>
        <w:t xml:space="preserve">, de fecha ocho de noviembre de dos mil diecinueve, </w:t>
      </w:r>
      <w:r w:rsidRPr="001B1D7F">
        <w:rPr>
          <w:rFonts w:ascii="Arial" w:hAnsi="Arial" w:cs="Arial"/>
          <w:b/>
          <w:color w:val="000000"/>
          <w:sz w:val="26"/>
          <w:szCs w:val="26"/>
        </w:rPr>
        <w:t>b)</w:t>
      </w:r>
      <w:r>
        <w:rPr>
          <w:rFonts w:ascii="Arial" w:hAnsi="Arial" w:cs="Arial"/>
          <w:color w:val="000000"/>
          <w:sz w:val="26"/>
          <w:szCs w:val="26"/>
        </w:rPr>
        <w:t xml:space="preserve"> Acta de Requerimiento de Pago y Embargo y, </w:t>
      </w:r>
      <w:r w:rsidRPr="001B1D7F">
        <w:rPr>
          <w:rFonts w:ascii="Arial" w:hAnsi="Arial" w:cs="Arial"/>
          <w:b/>
          <w:color w:val="000000"/>
          <w:sz w:val="26"/>
          <w:szCs w:val="26"/>
        </w:rPr>
        <w:t>c)</w:t>
      </w:r>
      <w:r>
        <w:rPr>
          <w:rFonts w:ascii="Arial" w:hAnsi="Arial" w:cs="Arial"/>
          <w:color w:val="000000"/>
          <w:sz w:val="26"/>
          <w:szCs w:val="26"/>
        </w:rPr>
        <w:t xml:space="preserve"> Notificación del Mandamiento de Ejecución</w:t>
      </w:r>
      <w:r>
        <w:rPr>
          <w:rFonts w:ascii="Arial" w:hAnsi="Arial" w:cs="Arial"/>
          <w:sz w:val="26"/>
          <w:szCs w:val="26"/>
        </w:rPr>
        <w:t>, signados por la Coordinadora de Cobro Coactivo de la Secretaría de Finanzas del Poder Ejecutivo del Estado</w:t>
      </w:r>
      <w:r w:rsidRPr="00C34DF2">
        <w:rPr>
          <w:rFonts w:ascii="Arial" w:hAnsi="Arial" w:cs="Arial"/>
          <w:sz w:val="26"/>
          <w:szCs w:val="26"/>
        </w:rPr>
        <w:t xml:space="preserve">, </w:t>
      </w:r>
      <w:r w:rsidR="003F1C99">
        <w:rPr>
          <w:rFonts w:ascii="Arial" w:hAnsi="Arial" w:cs="Arial"/>
          <w:sz w:val="26"/>
          <w:szCs w:val="26"/>
        </w:rPr>
        <w:t xml:space="preserve">se advierte que con estos actos se </w:t>
      </w:r>
      <w:r w:rsidR="00980860">
        <w:rPr>
          <w:rFonts w:ascii="Arial" w:hAnsi="Arial" w:cs="Arial"/>
          <w:sz w:val="26"/>
          <w:szCs w:val="26"/>
        </w:rPr>
        <w:t>inicia</w:t>
      </w:r>
      <w:r w:rsidRPr="004064C4">
        <w:rPr>
          <w:rFonts w:ascii="Arial" w:eastAsia="Calibri" w:hAnsi="Arial" w:cs="Arial"/>
          <w:sz w:val="26"/>
          <w:szCs w:val="26"/>
        </w:rPr>
        <w:t xml:space="preserve"> el procedimiento administrativo de ejecución</w:t>
      </w:r>
      <w:r w:rsidR="00980860">
        <w:rPr>
          <w:rFonts w:ascii="Arial" w:hAnsi="Arial" w:cs="Arial"/>
          <w:sz w:val="26"/>
          <w:szCs w:val="26"/>
        </w:rPr>
        <w:t>,</w:t>
      </w:r>
      <w:r w:rsidRPr="00C34DF2">
        <w:rPr>
          <w:rFonts w:ascii="Arial" w:hAnsi="Arial" w:cs="Arial"/>
          <w:sz w:val="26"/>
          <w:szCs w:val="26"/>
        </w:rPr>
        <w:t xml:space="preserve"> por tanto, no es un acto definitivo y no le causa agravio</w:t>
      </w:r>
      <w:r w:rsidR="003F1C99">
        <w:rPr>
          <w:rFonts w:ascii="Arial" w:hAnsi="Arial" w:cs="Arial"/>
          <w:sz w:val="26"/>
          <w:szCs w:val="26"/>
        </w:rPr>
        <w:t xml:space="preserve"> al administrado</w:t>
      </w:r>
      <w:r>
        <w:rPr>
          <w:rFonts w:ascii="Arial" w:hAnsi="Arial" w:cs="Arial"/>
          <w:sz w:val="26"/>
          <w:szCs w:val="26"/>
        </w:rPr>
        <w:t xml:space="preserve">. - - - - </w:t>
      </w:r>
      <w:r w:rsidR="00474E5F">
        <w:rPr>
          <w:rFonts w:ascii="Arial" w:hAnsi="Arial" w:cs="Arial"/>
          <w:sz w:val="26"/>
          <w:szCs w:val="26"/>
        </w:rPr>
        <w:t>- - - - - - - - - - - - - - -  - - - - - - - - -  - - - - - - - - -  - - - -</w:t>
      </w:r>
    </w:p>
    <w:p w14:paraId="22C3B852" w14:textId="6DDA65AC" w:rsidR="00580245" w:rsidRDefault="00580245" w:rsidP="00580245">
      <w:pPr>
        <w:pStyle w:val="Textoindependiente"/>
        <w:spacing w:line="360" w:lineRule="auto"/>
        <w:jc w:val="both"/>
        <w:rPr>
          <w:rFonts w:ascii="Arial" w:eastAsia="Calibri" w:hAnsi="Arial" w:cs="Arial"/>
          <w:sz w:val="26"/>
          <w:szCs w:val="26"/>
        </w:rPr>
      </w:pPr>
      <w:r>
        <w:rPr>
          <w:rFonts w:ascii="Arial" w:hAnsi="Arial" w:cs="Arial"/>
          <w:b/>
          <w:sz w:val="26"/>
          <w:szCs w:val="26"/>
        </w:rPr>
        <w:t xml:space="preserve">      </w:t>
      </w:r>
      <w:r w:rsidRPr="00C34DF2">
        <w:rPr>
          <w:rFonts w:ascii="Arial" w:hAnsi="Arial" w:cs="Arial"/>
          <w:b/>
          <w:sz w:val="26"/>
          <w:szCs w:val="26"/>
        </w:rPr>
        <w:t>Ahora</w:t>
      </w:r>
      <w:r>
        <w:rPr>
          <w:rFonts w:ascii="Arial" w:hAnsi="Arial" w:cs="Arial"/>
          <w:sz w:val="26"/>
          <w:szCs w:val="26"/>
        </w:rPr>
        <w:t>,</w:t>
      </w:r>
      <w:r>
        <w:rPr>
          <w:rFonts w:ascii="Arial" w:eastAsia="Calibri" w:hAnsi="Arial" w:cs="Arial"/>
          <w:sz w:val="26"/>
          <w:szCs w:val="26"/>
        </w:rPr>
        <w:t xml:space="preserve"> el citado procedimiento administrativo es de naturaleza ejecutiva en términos de los artículos 184, 188 y 192 del Código Fiscal para el Estado de Oaxaca, ya que se integra por una serie de actos administrativos que buscan hacer efectivo un crédito fiscal, cuya existencia esté demostrada en un documento auténtico o título ejecutivo, el cual es indispensable para que se intente la vía en cuestión; pues dicho título se encuentra constituido en este caso en concreto por una resolución de autoridad judicial, la cual cuenta con la presunción de legalidad y certeza, de conformidad con el artículo 40</w:t>
      </w:r>
      <w:r>
        <w:rPr>
          <w:rStyle w:val="Refdenotaalpie"/>
          <w:rFonts w:ascii="Arial" w:eastAsia="Calibri" w:hAnsi="Arial" w:cs="Arial"/>
          <w:sz w:val="26"/>
          <w:szCs w:val="26"/>
        </w:rPr>
        <w:footnoteReference w:id="3"/>
      </w:r>
      <w:r>
        <w:rPr>
          <w:rFonts w:ascii="Arial" w:eastAsia="Calibri" w:hAnsi="Arial" w:cs="Arial"/>
          <w:sz w:val="26"/>
          <w:szCs w:val="26"/>
        </w:rPr>
        <w:t xml:space="preserve">, de la Ley del </w:t>
      </w:r>
      <w:r>
        <w:rPr>
          <w:rFonts w:ascii="Arial" w:eastAsia="Calibri" w:hAnsi="Arial" w:cs="Arial"/>
          <w:sz w:val="26"/>
          <w:szCs w:val="26"/>
        </w:rPr>
        <w:lastRenderedPageBreak/>
        <w:t>Sistema de Medios de Impugnación en Materia Electoral y de Participación Ciudadana para el Estado de Oaxaca; por consiguiente, al tratarse de un crédito fiscal proveniente de una multa judicial, la autoridad exactora iniciará el procedimiento de ejecución respectivo, únicamente con el oficio girado por el Presidente del Tribunal Electoral del Poder Judicial del Estado de Oaxaca, caso contrario, sucede cuando la exactora inicia el procedimiento de ejecución del crédito fiscal correspondiente cuando se origina de la facultad de comprobación del cumplimiento de obligaciones fiscales de la Secretaría de Finanzas del Poder Ejecutivo del Estado; consecuentemente, el desechamiento de la demanda no transgrede la esfera jurídica del administrado. - - - - - - - - -</w:t>
      </w:r>
    </w:p>
    <w:p w14:paraId="4982DFAE" w14:textId="6EDD059A" w:rsidR="00580245" w:rsidRDefault="00580245" w:rsidP="00580245">
      <w:pPr>
        <w:pStyle w:val="Textoindependiente"/>
        <w:spacing w:line="360" w:lineRule="auto"/>
        <w:jc w:val="both"/>
        <w:rPr>
          <w:rFonts w:ascii="Arial" w:hAnsi="Arial" w:cs="Arial"/>
          <w:i/>
          <w:color w:val="000000"/>
          <w:sz w:val="24"/>
          <w:szCs w:val="24"/>
        </w:rPr>
      </w:pPr>
      <w:r>
        <w:rPr>
          <w:rFonts w:ascii="Arial" w:eastAsia="Calibri" w:hAnsi="Arial" w:cs="Arial"/>
          <w:sz w:val="26"/>
          <w:szCs w:val="26"/>
        </w:rPr>
        <w:t xml:space="preserve">     </w:t>
      </w:r>
      <w:r w:rsidRPr="00213DED">
        <w:rPr>
          <w:rFonts w:ascii="Arial" w:eastAsia="Calibri" w:hAnsi="Arial" w:cs="Arial"/>
          <w:sz w:val="26"/>
          <w:szCs w:val="26"/>
        </w:rPr>
        <w:t xml:space="preserve">Sirve </w:t>
      </w:r>
      <w:r>
        <w:rPr>
          <w:rFonts w:ascii="Arial" w:eastAsia="Calibri" w:hAnsi="Arial" w:cs="Arial"/>
          <w:sz w:val="26"/>
          <w:szCs w:val="26"/>
        </w:rPr>
        <w:t>de apoyo a las anteriores consideraciones</w:t>
      </w:r>
      <w:r w:rsidRPr="00C50C95">
        <w:rPr>
          <w:rFonts w:ascii="Arial" w:eastAsia="Calibri" w:hAnsi="Arial" w:cs="Arial"/>
          <w:sz w:val="26"/>
          <w:szCs w:val="26"/>
        </w:rPr>
        <w:t xml:space="preserve"> </w:t>
      </w:r>
      <w:r>
        <w:rPr>
          <w:rFonts w:ascii="Arial" w:eastAsia="Calibri" w:hAnsi="Arial" w:cs="Arial"/>
          <w:sz w:val="26"/>
          <w:szCs w:val="26"/>
        </w:rPr>
        <w:t xml:space="preserve">la </w:t>
      </w:r>
      <w:r w:rsidRPr="00C50C95">
        <w:rPr>
          <w:rFonts w:ascii="Arial" w:hAnsi="Arial" w:cs="Arial"/>
          <w:color w:val="000000"/>
          <w:sz w:val="26"/>
          <w:szCs w:val="26"/>
        </w:rPr>
        <w:t>Tesis: IV.2o.A.132 A</w:t>
      </w:r>
      <w:r>
        <w:rPr>
          <w:rFonts w:ascii="Arial" w:hAnsi="Arial" w:cs="Arial"/>
          <w:color w:val="000000"/>
          <w:sz w:val="26"/>
          <w:szCs w:val="26"/>
        </w:rPr>
        <w:t>,</w:t>
      </w:r>
      <w:r w:rsidRPr="00C50C95">
        <w:rPr>
          <w:rFonts w:ascii="Arial" w:hAnsi="Arial" w:cs="Arial"/>
          <w:color w:val="000000"/>
          <w:sz w:val="26"/>
          <w:szCs w:val="26"/>
        </w:rPr>
        <w:t xml:space="preserve"> </w:t>
      </w:r>
      <w:r w:rsidRPr="00A859F2">
        <w:rPr>
          <w:rFonts w:ascii="Arial" w:hAnsi="Arial" w:cs="Arial"/>
          <w:color w:val="000000"/>
          <w:sz w:val="26"/>
          <w:szCs w:val="26"/>
        </w:rPr>
        <w:t>Tribunales Colegiados de Circuito</w:t>
      </w:r>
      <w:r>
        <w:rPr>
          <w:rFonts w:ascii="Arial" w:hAnsi="Arial" w:cs="Arial"/>
          <w:color w:val="000000"/>
          <w:sz w:val="26"/>
          <w:szCs w:val="26"/>
        </w:rPr>
        <w:t>,</w:t>
      </w:r>
      <w:r w:rsidRPr="00C50C95">
        <w:rPr>
          <w:rFonts w:ascii="Arial" w:hAnsi="Arial" w:cs="Arial"/>
          <w:color w:val="000000"/>
          <w:sz w:val="26"/>
          <w:szCs w:val="26"/>
        </w:rPr>
        <w:t xml:space="preserve"> Semanario Judicial de la Federación y su Gaceta </w:t>
      </w:r>
      <w:r w:rsidRPr="00A859F2">
        <w:rPr>
          <w:rFonts w:ascii="Arial" w:hAnsi="Arial" w:cs="Arial"/>
          <w:color w:val="000000"/>
          <w:sz w:val="26"/>
          <w:szCs w:val="26"/>
        </w:rPr>
        <w:t xml:space="preserve">Tomo XXI, </w:t>
      </w:r>
      <w:proofErr w:type="gramStart"/>
      <w:r w:rsidRPr="00A859F2">
        <w:rPr>
          <w:rFonts w:ascii="Arial" w:hAnsi="Arial" w:cs="Arial"/>
          <w:color w:val="000000"/>
          <w:sz w:val="26"/>
          <w:szCs w:val="26"/>
        </w:rPr>
        <w:t>Febrero</w:t>
      </w:r>
      <w:proofErr w:type="gramEnd"/>
      <w:r w:rsidRPr="00A859F2">
        <w:rPr>
          <w:rFonts w:ascii="Arial" w:hAnsi="Arial" w:cs="Arial"/>
          <w:color w:val="000000"/>
          <w:sz w:val="26"/>
          <w:szCs w:val="26"/>
        </w:rPr>
        <w:t xml:space="preserve"> de 2005</w:t>
      </w:r>
      <w:r w:rsidRPr="00C50C95">
        <w:rPr>
          <w:rFonts w:ascii="Arial" w:hAnsi="Arial" w:cs="Arial"/>
          <w:color w:val="000000"/>
          <w:sz w:val="26"/>
          <w:szCs w:val="26"/>
        </w:rPr>
        <w:t xml:space="preserve"> Novena Época</w:t>
      </w:r>
      <w:r>
        <w:rPr>
          <w:rFonts w:ascii="Arial" w:hAnsi="Arial" w:cs="Arial"/>
          <w:color w:val="000000"/>
          <w:sz w:val="26"/>
          <w:szCs w:val="26"/>
        </w:rPr>
        <w:t>,</w:t>
      </w:r>
      <w:r w:rsidRPr="00C50C95">
        <w:rPr>
          <w:rFonts w:ascii="Arial" w:hAnsi="Arial" w:cs="Arial"/>
          <w:color w:val="000000"/>
          <w:sz w:val="26"/>
          <w:szCs w:val="26"/>
        </w:rPr>
        <w:t xml:space="preserve"> </w:t>
      </w:r>
      <w:r w:rsidRPr="00A859F2">
        <w:rPr>
          <w:rFonts w:ascii="Arial" w:hAnsi="Arial" w:cs="Arial"/>
          <w:color w:val="000000"/>
          <w:sz w:val="26"/>
          <w:szCs w:val="26"/>
        </w:rPr>
        <w:t>Pág. 1722</w:t>
      </w:r>
      <w:r>
        <w:rPr>
          <w:rFonts w:ascii="Arial" w:hAnsi="Arial" w:cs="Arial"/>
          <w:color w:val="000000"/>
          <w:sz w:val="26"/>
          <w:szCs w:val="26"/>
        </w:rPr>
        <w:t xml:space="preserve">, de rubro: </w:t>
      </w:r>
      <w:r w:rsidR="00144D35">
        <w:rPr>
          <w:rFonts w:ascii="Arial" w:hAnsi="Arial" w:cs="Arial"/>
          <w:color w:val="000000"/>
          <w:sz w:val="26"/>
          <w:szCs w:val="26"/>
        </w:rPr>
        <w:t>- - - - - - - - - - - - - - - - - - - - - - - - - - - - - - - - - - - - -</w:t>
      </w:r>
    </w:p>
    <w:p w14:paraId="3CCBF166" w14:textId="77777777" w:rsidR="00580245" w:rsidRPr="00474E5F" w:rsidRDefault="00580245" w:rsidP="00580245">
      <w:pPr>
        <w:pStyle w:val="Textoindependiente"/>
        <w:spacing w:line="276" w:lineRule="auto"/>
        <w:ind w:left="426" w:right="333"/>
        <w:jc w:val="both"/>
        <w:rPr>
          <w:rFonts w:ascii="Calibri" w:hAnsi="Calibri"/>
          <w:bCs/>
          <w:color w:val="000000"/>
          <w:sz w:val="24"/>
          <w:szCs w:val="24"/>
        </w:rPr>
      </w:pPr>
      <w:r w:rsidRPr="00474E5F">
        <w:rPr>
          <w:rFonts w:ascii="Calibri" w:hAnsi="Calibri"/>
          <w:b/>
          <w:bCs/>
          <w:color w:val="000000"/>
          <w:sz w:val="24"/>
          <w:szCs w:val="24"/>
        </w:rPr>
        <w:t xml:space="preserve">“MULTAS JUDICIALES. LOS CRÉDITOS FISCALES RELATIVOS NACEN CUANDO LA SENTENCIA CAUSA EJECUTORIA, PERO PARA HACERLAS EFECTIVAS ES NECESARIO EL REQUERIMIENTO DE PAGO DE LA AUTORIDAD EXACTORA, QUE PUEDE SER IMPUGNADO EN EL JUICIO DE NULIDAD. </w:t>
      </w:r>
      <w:r w:rsidRPr="00474E5F">
        <w:rPr>
          <w:rFonts w:ascii="Calibri" w:hAnsi="Calibri"/>
          <w:bCs/>
          <w:color w:val="000000"/>
          <w:sz w:val="24"/>
          <w:szCs w:val="24"/>
        </w:rPr>
        <w:t xml:space="preserve">De acuerdo con los artículos 35, último párrafo y 37 del Código Penal Federal, la multa impuesta como sanción por la autoridad judicial en la sentencia de condena, se mandará hacer efectiva a través de la autoridad fiscal una vez que la sentencia que la imponga cause ejecutoria, para lo cual se remitirá de inmediato copia certificada de tal resolución a la ejecutora, y ésta, dentro de los tres días siguientes a la recepción de esa información, iniciará el procedimiento económico coactivo; por tanto, tratándose de dichas multas, surge la facultad de hacerlas efectivas una vez que la sentencia ha causado ejecutoria, es decir, la multa judicial se convierte en un crédito fiscal exigible desde el momento en que la sentencia relativa queda firme, sin que ello implique estado de indefensión para el sujeto pasivo, pues es claro que para el momento en que el crédito fiscal derivado de la multa nace y se hace exigible, el particular ha contado con la oportunidad de defenderse a través de los medios de impugnación que la ley le concede tanto dentro del proceso penal respectivo, como mediante el juicio de amparo. Ahora bien, el procedimiento administrativo encaminado al cobro de la multa es de naturaleza ejecutiva, en términos de los artículos 145 a 151 del Código Fiscal de la Federación, ya que se integra con una serie de actos administrativos que buscan hacer efectivo un derecho a favor del fisco, cuya existencia esté demostrada en un documento auténtico o título ejecutivo, por lo que éste es indispensable para que se intente la vía en cuestión; dicho título se encuentra constituido necesariamente por una resolución de la autoridad fiscal, pues sus actos </w:t>
      </w:r>
      <w:r w:rsidRPr="00474E5F">
        <w:rPr>
          <w:rFonts w:ascii="Calibri" w:hAnsi="Calibri"/>
          <w:bCs/>
          <w:color w:val="000000"/>
          <w:sz w:val="24"/>
          <w:szCs w:val="24"/>
        </w:rPr>
        <w:lastRenderedPageBreak/>
        <w:t>cuentan con la presunción de legalidad y certeza en términos del artículo 68 del citado código, de ahí que la legitimen para hacer exigible el crédito; consecuentemente, la resolución administrativa de que se trata (título que trae aparejada ejecución), no se constriñe a la que da nacimiento al crédito fiscal, representada por la sentencia en que se impuso la multa por cantidad determinada, sino que se integra por el acto de la autoridad exactora que da certeza o define una situación legal o administrativa, esto es, la que determina la existencia de un crédito fiscal y da inicio al procedimiento administrativo de ejecución, la cual se configura a través del requerimiento de pago que debe notificarse al contribuyente, como requisito formal previo al referido procedimiento y conforme al artículo 151 del ordenamiento tributario federal. Así, si conforme al artículo 11 de la Ley Orgánica del Tribunal Federal de Justicia Fiscal y Administrativa, el juicio de nulidad de que conoce tal órgano, procede contra las resoluciones de las autoridades fiscales federales que determinen la existencia de una obligación fiscal, como lo es el requerimiento de pago, dicho acto puede ser impugnado en el juicio de nulidad, sin que sea óbice para ello que se relacione con un crédito fiscal surgido de la imposición de una multa judicial; sin embargo, si bien dentro del juicio de nulidad pueden ser objeto de impugnación y, por ende, tema de estudio para dicho tribunal, todos los actos que se realicen dentro del procedimiento administrativo de ejecución, encaminado al cobro de un crédito fiscal derivado de la imposición de una multa judicial, desde la actuación de la autoridad exactora que determina la existencia del crédito (requerimiento de pago), hasta la resolución que finque el remate de bienes embargados y ordene la aplicación del producto de la enajenación a favor del fisco federal; en ningún caso podrá ser punto de análisis por parte de la Sala Fiscal, el acto que representa el nacimiento del crédito (que no su determinación fiscal), constituido por la resolución judicial que impuso la multa en cantidad líquida al gobernado, dado que ésta no es discutible dentro del juicio de nulidad.”</w:t>
      </w:r>
    </w:p>
    <w:p w14:paraId="76F8B210" w14:textId="3E2B620A" w:rsidR="00580245" w:rsidRPr="00865005" w:rsidRDefault="00580245" w:rsidP="00580245">
      <w:pPr>
        <w:spacing w:after="120" w:line="360" w:lineRule="auto"/>
        <w:jc w:val="both"/>
        <w:rPr>
          <w:rFonts w:ascii="Arial" w:hAnsi="Arial" w:cs="Arial"/>
          <w:b/>
          <w:sz w:val="26"/>
          <w:szCs w:val="26"/>
        </w:rPr>
      </w:pPr>
      <w:r w:rsidRPr="00865005">
        <w:rPr>
          <w:rFonts w:ascii="Arial" w:eastAsia="Times New Roman" w:hAnsi="Arial" w:cs="Arial"/>
          <w:b/>
          <w:bCs/>
          <w:color w:val="000000"/>
          <w:sz w:val="26"/>
          <w:szCs w:val="26"/>
          <w:lang w:eastAsia="es-ES"/>
        </w:rPr>
        <w:t xml:space="preserve">    </w:t>
      </w:r>
      <w:r>
        <w:rPr>
          <w:rFonts w:ascii="Arial" w:eastAsia="Times New Roman" w:hAnsi="Arial" w:cs="Arial"/>
          <w:b/>
          <w:bCs/>
          <w:color w:val="000000"/>
          <w:sz w:val="26"/>
          <w:szCs w:val="26"/>
          <w:lang w:eastAsia="es-ES"/>
        </w:rPr>
        <w:t xml:space="preserve">  </w:t>
      </w:r>
      <w:r w:rsidRPr="00865005">
        <w:rPr>
          <w:rFonts w:ascii="Arial" w:eastAsia="Times New Roman" w:hAnsi="Arial" w:cs="Arial"/>
          <w:b/>
          <w:bCs/>
          <w:color w:val="000000"/>
          <w:sz w:val="26"/>
          <w:szCs w:val="26"/>
          <w:lang w:eastAsia="es-ES"/>
        </w:rPr>
        <w:t xml:space="preserve"> </w:t>
      </w:r>
      <w:r w:rsidRPr="00865005">
        <w:rPr>
          <w:rFonts w:ascii="Arial" w:eastAsia="Times New Roman" w:hAnsi="Arial" w:cs="Arial"/>
          <w:bCs/>
          <w:color w:val="000000"/>
          <w:sz w:val="26"/>
          <w:szCs w:val="26"/>
          <w:lang w:eastAsia="es-ES"/>
        </w:rPr>
        <w:t>En este mismo contexto,</w:t>
      </w:r>
      <w:r>
        <w:rPr>
          <w:rFonts w:ascii="Calibri" w:eastAsia="Times New Roman" w:hAnsi="Calibri" w:cs="Times New Roman"/>
          <w:b/>
          <w:bCs/>
          <w:color w:val="000000"/>
          <w:lang w:eastAsia="es-ES"/>
        </w:rPr>
        <w:t xml:space="preserve"> </w:t>
      </w:r>
      <w:r>
        <w:rPr>
          <w:rFonts w:ascii="Arial" w:eastAsia="Times New Roman" w:hAnsi="Arial" w:cs="Arial"/>
          <w:bCs/>
          <w:color w:val="000000"/>
          <w:sz w:val="26"/>
          <w:szCs w:val="26"/>
          <w:lang w:eastAsia="es-ES"/>
        </w:rPr>
        <w:t>al aducir el recurrente que le</w:t>
      </w:r>
      <w:r w:rsidRPr="00865005">
        <w:rPr>
          <w:rFonts w:ascii="Arial" w:hAnsi="Arial" w:cs="Arial"/>
          <w:bCs/>
          <w:sz w:val="26"/>
          <w:szCs w:val="26"/>
        </w:rPr>
        <w:t xml:space="preserve"> </w:t>
      </w:r>
      <w:r>
        <w:rPr>
          <w:rFonts w:ascii="Arial" w:hAnsi="Arial" w:cs="Arial"/>
          <w:bCs/>
          <w:sz w:val="26"/>
          <w:szCs w:val="26"/>
        </w:rPr>
        <w:t xml:space="preserve">causa perjuicio el cobro de actualización de la multa y gastos de ejecución, </w:t>
      </w:r>
      <w:r w:rsidRPr="00684F89">
        <w:rPr>
          <w:rFonts w:ascii="Arial" w:hAnsi="Arial" w:cs="Arial"/>
          <w:bCs/>
          <w:sz w:val="26"/>
          <w:szCs w:val="26"/>
        </w:rPr>
        <w:t>dicho</w:t>
      </w:r>
      <w:r w:rsidR="00200965" w:rsidRPr="00684F89">
        <w:rPr>
          <w:rFonts w:ascii="Arial" w:hAnsi="Arial" w:cs="Arial"/>
          <w:bCs/>
          <w:sz w:val="26"/>
          <w:szCs w:val="26"/>
        </w:rPr>
        <w:t>s</w:t>
      </w:r>
      <w:r>
        <w:rPr>
          <w:rFonts w:ascii="Arial" w:hAnsi="Arial" w:cs="Arial"/>
          <w:bCs/>
          <w:sz w:val="26"/>
          <w:szCs w:val="26"/>
        </w:rPr>
        <w:t xml:space="preserve"> actos tampoco pueden ser materia de estudio en el juicio de nulidad, pues de las documentales que adjunta a su escrito de demanda no se advierte la conclusión del procedimiento administrativo de ejecución, ni se ha emitido la resolución que aprueba el remate, a efecto de que pueda acudir ante este Tribunal de Justicia Administrativa del Estado, y promover el juicio en contra de dicha resolución y argumentar las violaciones que a su juicio se cometieron durante el procedimiento administrativo de ejecución, conforme lo establece el artículo 133, fracción VIII de la Ley de Procedimiento y Justicia Administrativa para el Estado de Oaxaca. - - - - - - - - - - - - - - - - - - - - - - - - - - - - - - - - - - - - - -</w:t>
      </w:r>
    </w:p>
    <w:p w14:paraId="3DD4121D" w14:textId="6B458249" w:rsidR="00580245" w:rsidRDefault="00580245" w:rsidP="00580245">
      <w:pPr>
        <w:spacing w:line="360" w:lineRule="auto"/>
        <w:jc w:val="both"/>
        <w:rPr>
          <w:rFonts w:ascii="Arial" w:hAnsi="Arial" w:cs="Arial"/>
          <w:sz w:val="26"/>
          <w:szCs w:val="26"/>
        </w:rPr>
      </w:pPr>
      <w:r w:rsidRPr="00865005">
        <w:rPr>
          <w:rFonts w:ascii="Arial" w:hAnsi="Arial" w:cs="Arial"/>
          <w:sz w:val="26"/>
          <w:szCs w:val="26"/>
        </w:rPr>
        <w:t xml:space="preserve">    </w:t>
      </w:r>
      <w:r>
        <w:rPr>
          <w:rFonts w:ascii="Arial" w:hAnsi="Arial" w:cs="Arial"/>
          <w:sz w:val="26"/>
          <w:szCs w:val="26"/>
        </w:rPr>
        <w:t xml:space="preserve"> </w:t>
      </w:r>
      <w:r w:rsidRPr="00865005">
        <w:rPr>
          <w:rFonts w:ascii="Arial" w:hAnsi="Arial" w:cs="Arial"/>
          <w:sz w:val="26"/>
          <w:szCs w:val="26"/>
        </w:rPr>
        <w:t xml:space="preserve"> </w:t>
      </w:r>
      <w:r w:rsidRPr="009F56E4">
        <w:rPr>
          <w:rFonts w:ascii="Arial" w:hAnsi="Arial" w:cs="Arial"/>
          <w:b/>
          <w:sz w:val="26"/>
          <w:szCs w:val="26"/>
        </w:rPr>
        <w:t>En esas condiciones</w:t>
      </w:r>
      <w:r w:rsidR="003F1C99">
        <w:rPr>
          <w:rFonts w:ascii="Arial" w:hAnsi="Arial" w:cs="Arial"/>
          <w:sz w:val="26"/>
          <w:szCs w:val="26"/>
        </w:rPr>
        <w:t xml:space="preserve"> y,</w:t>
      </w:r>
      <w:r>
        <w:rPr>
          <w:rFonts w:ascii="Arial" w:hAnsi="Arial" w:cs="Arial"/>
          <w:sz w:val="26"/>
          <w:szCs w:val="26"/>
        </w:rPr>
        <w:t xml:space="preserve"> contrario a lo manifestado por el recurrente, esta Sala Superior advierte que al impugnarse actos contenidos en el </w:t>
      </w:r>
      <w:r>
        <w:rPr>
          <w:rFonts w:ascii="Arial" w:hAnsi="Arial" w:cs="Arial"/>
          <w:sz w:val="26"/>
          <w:szCs w:val="26"/>
        </w:rPr>
        <w:lastRenderedPageBreak/>
        <w:t>procedimiento administrativo de ejecución, no se actualiza lo dispuesto en la fracción I, del artículo 133</w:t>
      </w:r>
      <w:r>
        <w:rPr>
          <w:rStyle w:val="Refdenotaalpie"/>
          <w:rFonts w:ascii="Arial" w:hAnsi="Arial" w:cs="Arial"/>
          <w:sz w:val="26"/>
          <w:szCs w:val="26"/>
        </w:rPr>
        <w:footnoteReference w:id="4"/>
      </w:r>
      <w:r>
        <w:rPr>
          <w:rFonts w:ascii="Arial" w:hAnsi="Arial" w:cs="Arial"/>
          <w:sz w:val="26"/>
          <w:szCs w:val="26"/>
        </w:rPr>
        <w:t>, de la Ley de Procedimiento y Justicia Administrativa para el Estado de Oaxaca; sino que, la procedencia del juicio deviene en todo caso, de la actualización de</w:t>
      </w:r>
      <w:r w:rsidRPr="009C7CB6">
        <w:rPr>
          <w:rFonts w:ascii="Arial" w:hAnsi="Arial" w:cs="Arial"/>
          <w:sz w:val="26"/>
          <w:szCs w:val="26"/>
        </w:rPr>
        <w:t xml:space="preserve"> las hipótesis previstas en los incisos a), b) y c)</w:t>
      </w:r>
      <w:r>
        <w:rPr>
          <w:rFonts w:ascii="Arial" w:hAnsi="Arial" w:cs="Arial"/>
          <w:sz w:val="26"/>
          <w:szCs w:val="26"/>
        </w:rPr>
        <w:t>,</w:t>
      </w:r>
      <w:r w:rsidRPr="009C7CB6">
        <w:rPr>
          <w:rFonts w:ascii="Arial" w:hAnsi="Arial" w:cs="Arial"/>
          <w:sz w:val="26"/>
          <w:szCs w:val="26"/>
        </w:rPr>
        <w:t xml:space="preserve"> fracción VIII del artículo 133</w:t>
      </w:r>
      <w:r w:rsidRPr="00405658">
        <w:rPr>
          <w:rFonts w:ascii="Arial" w:hAnsi="Arial" w:cs="Arial"/>
          <w:b/>
          <w:sz w:val="26"/>
          <w:szCs w:val="26"/>
        </w:rPr>
        <w:t xml:space="preserve"> </w:t>
      </w:r>
      <w:r w:rsidRPr="00405658">
        <w:rPr>
          <w:rFonts w:ascii="Arial" w:hAnsi="Arial" w:cs="Arial"/>
          <w:sz w:val="26"/>
          <w:szCs w:val="26"/>
        </w:rPr>
        <w:t>de la Ley de Procedimiento y Justicia Administrativa para el Estado de Oaxaca</w:t>
      </w:r>
      <w:r>
        <w:rPr>
          <w:rFonts w:ascii="Arial" w:hAnsi="Arial" w:cs="Arial"/>
          <w:sz w:val="26"/>
          <w:szCs w:val="26"/>
        </w:rPr>
        <w:t>, lo que aquí no acontece.  (se transcribe parte relativa de artículo)</w:t>
      </w:r>
      <w:r w:rsidR="00144D35">
        <w:rPr>
          <w:rFonts w:ascii="Arial" w:hAnsi="Arial" w:cs="Arial"/>
          <w:sz w:val="26"/>
          <w:szCs w:val="26"/>
        </w:rPr>
        <w:t xml:space="preserve"> - - - - - - - - - -</w:t>
      </w:r>
    </w:p>
    <w:p w14:paraId="0BC7B795" w14:textId="77777777" w:rsidR="00580245" w:rsidRPr="00F21A7E" w:rsidRDefault="00580245" w:rsidP="00580245">
      <w:pPr>
        <w:spacing w:after="0" w:line="360" w:lineRule="auto"/>
        <w:ind w:left="992" w:right="1185"/>
        <w:jc w:val="both"/>
        <w:rPr>
          <w:rFonts w:ascii="Arial" w:eastAsia="Calibri" w:hAnsi="Arial" w:cs="Arial"/>
          <w:i/>
        </w:rPr>
      </w:pPr>
      <w:r w:rsidRPr="00F21A7E">
        <w:rPr>
          <w:rFonts w:ascii="Arial" w:eastAsia="Calibri" w:hAnsi="Arial" w:cs="Arial"/>
          <w:b/>
          <w:i/>
        </w:rPr>
        <w:t xml:space="preserve">“ARTÍCULO </w:t>
      </w:r>
      <w:r>
        <w:rPr>
          <w:rFonts w:ascii="Arial" w:eastAsia="Calibri" w:hAnsi="Arial" w:cs="Arial"/>
          <w:b/>
          <w:i/>
        </w:rPr>
        <w:t>133</w:t>
      </w:r>
      <w:r w:rsidRPr="00F21A7E">
        <w:rPr>
          <w:rFonts w:ascii="Arial" w:eastAsia="Calibri" w:hAnsi="Arial" w:cs="Arial"/>
          <w:b/>
          <w:i/>
        </w:rPr>
        <w:t xml:space="preserve">.- </w:t>
      </w:r>
      <w:r w:rsidRPr="00F21A7E">
        <w:rPr>
          <w:rFonts w:ascii="Arial" w:eastAsia="Calibri" w:hAnsi="Arial" w:cs="Arial"/>
          <w:i/>
        </w:rPr>
        <w:t>Las Salas de primera instancia del Tribunal son competentes para conocer y resolver los juicios que se promuevan en contra de:</w:t>
      </w:r>
    </w:p>
    <w:p w14:paraId="07DA88D4" w14:textId="77777777" w:rsidR="00580245" w:rsidRPr="00F21A7E" w:rsidRDefault="00580245" w:rsidP="00580245">
      <w:pPr>
        <w:spacing w:after="0" w:line="360" w:lineRule="auto"/>
        <w:ind w:left="992" w:right="1185"/>
        <w:jc w:val="both"/>
        <w:rPr>
          <w:rFonts w:ascii="Arial" w:eastAsia="Calibri" w:hAnsi="Arial" w:cs="Arial"/>
          <w:i/>
        </w:rPr>
      </w:pPr>
      <w:r w:rsidRPr="00F21A7E">
        <w:rPr>
          <w:rFonts w:ascii="Arial" w:eastAsia="Calibri" w:hAnsi="Arial" w:cs="Arial"/>
          <w:i/>
        </w:rPr>
        <w:t>(…)</w:t>
      </w:r>
    </w:p>
    <w:p w14:paraId="65BFDB3F" w14:textId="77777777" w:rsidR="00580245" w:rsidRPr="00F21A7E" w:rsidRDefault="00580245" w:rsidP="00580245">
      <w:pPr>
        <w:spacing w:after="0" w:line="360" w:lineRule="auto"/>
        <w:ind w:left="992" w:right="1185"/>
        <w:jc w:val="both"/>
        <w:rPr>
          <w:rFonts w:ascii="Arial" w:eastAsia="Calibri" w:hAnsi="Arial" w:cs="Arial"/>
          <w:i/>
        </w:rPr>
      </w:pPr>
      <w:r w:rsidRPr="00F21A7E">
        <w:rPr>
          <w:rFonts w:ascii="Arial" w:eastAsia="Calibri" w:hAnsi="Arial" w:cs="Arial"/>
          <w:b/>
        </w:rPr>
        <w:t xml:space="preserve"> </w:t>
      </w:r>
      <w:r w:rsidRPr="00F21A7E">
        <w:rPr>
          <w:rFonts w:ascii="Arial" w:eastAsia="Calibri" w:hAnsi="Arial" w:cs="Arial"/>
          <w:b/>
          <w:i/>
        </w:rPr>
        <w:t>VIII.-</w:t>
      </w:r>
      <w:r w:rsidRPr="00F21A7E">
        <w:rPr>
          <w:rFonts w:ascii="Arial" w:eastAsia="Calibri" w:hAnsi="Arial" w:cs="Arial"/>
          <w:i/>
        </w:rPr>
        <w:t xml:space="preserve"> El procedimiento administrativo de ejecución cuando el afectado en dicho procedimiento opte por no interponer el recurso ordinario ante las autoridades competentes y cuando afirme:</w:t>
      </w:r>
    </w:p>
    <w:p w14:paraId="0C4ADC80" w14:textId="77777777" w:rsidR="00580245" w:rsidRPr="00F21A7E" w:rsidRDefault="00580245" w:rsidP="00580245">
      <w:pPr>
        <w:spacing w:after="0" w:line="360" w:lineRule="auto"/>
        <w:ind w:left="992" w:right="1185"/>
        <w:jc w:val="both"/>
        <w:rPr>
          <w:rFonts w:ascii="Arial" w:eastAsia="Calibri" w:hAnsi="Arial" w:cs="Arial"/>
          <w:i/>
        </w:rPr>
      </w:pPr>
      <w:r w:rsidRPr="00F21A7E">
        <w:rPr>
          <w:rFonts w:ascii="Arial" w:eastAsia="Calibri" w:hAnsi="Arial" w:cs="Arial"/>
          <w:i/>
        </w:rPr>
        <w:t>a). Que el crédito que le exige se ha extinguido legalmente;</w:t>
      </w:r>
    </w:p>
    <w:p w14:paraId="2EF9E175" w14:textId="77777777" w:rsidR="00580245" w:rsidRPr="00F21A7E" w:rsidRDefault="00580245" w:rsidP="00580245">
      <w:pPr>
        <w:spacing w:after="0" w:line="360" w:lineRule="auto"/>
        <w:ind w:left="992" w:right="1185"/>
        <w:jc w:val="both"/>
        <w:rPr>
          <w:rFonts w:ascii="Arial" w:eastAsia="Calibri" w:hAnsi="Arial" w:cs="Arial"/>
          <w:i/>
        </w:rPr>
      </w:pPr>
      <w:r w:rsidRPr="00F21A7E">
        <w:rPr>
          <w:rFonts w:ascii="Arial" w:eastAsia="Calibri" w:hAnsi="Arial" w:cs="Arial"/>
          <w:i/>
        </w:rPr>
        <w:t>b). Que el monto del crédito es inferior al exigible;</w:t>
      </w:r>
    </w:p>
    <w:p w14:paraId="434B1FDE" w14:textId="77777777" w:rsidR="00580245" w:rsidRPr="00F21A7E" w:rsidRDefault="00580245" w:rsidP="00580245">
      <w:pPr>
        <w:spacing w:after="0" w:line="360" w:lineRule="auto"/>
        <w:ind w:left="851" w:right="1185" w:firstLine="141"/>
        <w:jc w:val="both"/>
        <w:rPr>
          <w:rFonts w:ascii="Arial" w:eastAsia="Calibri" w:hAnsi="Arial" w:cs="Arial"/>
          <w:i/>
        </w:rPr>
      </w:pPr>
      <w:r w:rsidRPr="00F21A7E">
        <w:rPr>
          <w:rFonts w:ascii="Arial" w:eastAsia="Calibri" w:hAnsi="Arial" w:cs="Arial"/>
          <w:i/>
        </w:rPr>
        <w:t>c). Que es poseedor, a título de propietario del bien embargado</w:t>
      </w:r>
    </w:p>
    <w:p w14:paraId="341263BD" w14:textId="77777777" w:rsidR="00580245" w:rsidRPr="00F21A7E" w:rsidRDefault="00580245" w:rsidP="00580245">
      <w:pPr>
        <w:spacing w:after="0" w:line="360" w:lineRule="auto"/>
        <w:ind w:left="992" w:right="1185"/>
        <w:jc w:val="both"/>
        <w:rPr>
          <w:rFonts w:ascii="Arial" w:eastAsia="Calibri" w:hAnsi="Arial" w:cs="Arial"/>
          <w:i/>
        </w:rPr>
      </w:pPr>
      <w:r w:rsidRPr="00F21A7E">
        <w:rPr>
          <w:rFonts w:ascii="Arial" w:eastAsia="Calibri" w:hAnsi="Arial" w:cs="Arial"/>
          <w:i/>
        </w:rPr>
        <w:t>d). Que el procedimiento coactivo no se ajuste a la ley.</w:t>
      </w:r>
    </w:p>
    <w:p w14:paraId="40890634" w14:textId="77777777" w:rsidR="00580245" w:rsidRPr="00F21A7E" w:rsidRDefault="00580245" w:rsidP="00580245">
      <w:pPr>
        <w:spacing w:after="0" w:line="360" w:lineRule="auto"/>
        <w:ind w:left="992" w:right="1185"/>
        <w:jc w:val="both"/>
        <w:rPr>
          <w:rFonts w:ascii="Arial" w:eastAsia="Calibri" w:hAnsi="Arial" w:cs="Arial"/>
          <w:b/>
          <w:i/>
        </w:rPr>
      </w:pPr>
      <w:r w:rsidRPr="00F21A7E">
        <w:rPr>
          <w:rFonts w:ascii="Arial" w:eastAsia="Calibri" w:hAnsi="Arial" w:cs="Arial"/>
          <w:i/>
        </w:rPr>
        <w:t>En este caso, la oposición no se podrá hacer valer, sino contra la resolución que apruebe el remate; salvo que se trate resoluciones cuya ejecución mate</w:t>
      </w:r>
      <w:r>
        <w:rPr>
          <w:rFonts w:ascii="Arial" w:eastAsia="Calibri" w:hAnsi="Arial" w:cs="Arial"/>
          <w:i/>
        </w:rPr>
        <w:t xml:space="preserve">rial sea imposible reparación. </w:t>
      </w:r>
    </w:p>
    <w:p w14:paraId="63BFC9BD" w14:textId="77777777" w:rsidR="00580245" w:rsidRPr="00A244E4" w:rsidRDefault="00580245" w:rsidP="00580245">
      <w:pPr>
        <w:spacing w:after="0" w:line="360" w:lineRule="auto"/>
        <w:ind w:left="992" w:right="1185"/>
        <w:jc w:val="both"/>
        <w:rPr>
          <w:rFonts w:ascii="Arial" w:eastAsia="Calibri" w:hAnsi="Arial" w:cs="Arial"/>
          <w:i/>
        </w:rPr>
      </w:pPr>
      <w:r w:rsidRPr="00A244E4">
        <w:rPr>
          <w:rFonts w:ascii="Arial" w:eastAsia="Calibri" w:hAnsi="Arial" w:cs="Arial"/>
          <w:i/>
        </w:rPr>
        <w:t>(…)”</w:t>
      </w:r>
    </w:p>
    <w:p w14:paraId="4FAB3120" w14:textId="77777777" w:rsidR="00580245" w:rsidRPr="0065470A" w:rsidRDefault="00580245" w:rsidP="00580245">
      <w:pPr>
        <w:spacing w:after="0" w:line="360" w:lineRule="auto"/>
        <w:ind w:left="992" w:right="1185"/>
        <w:jc w:val="both"/>
        <w:rPr>
          <w:rFonts w:ascii="Arial" w:eastAsia="Calibri" w:hAnsi="Arial" w:cs="Arial"/>
          <w:b/>
          <w:i/>
        </w:rPr>
      </w:pPr>
    </w:p>
    <w:p w14:paraId="75886DD1" w14:textId="63261EF4" w:rsidR="00580245" w:rsidRDefault="00580245" w:rsidP="00580245">
      <w:pPr>
        <w:spacing w:after="120" w:line="360" w:lineRule="auto"/>
        <w:jc w:val="both"/>
        <w:rPr>
          <w:rFonts w:ascii="Arial" w:hAnsi="Arial" w:cs="Arial"/>
          <w:sz w:val="26"/>
          <w:szCs w:val="26"/>
        </w:rPr>
      </w:pPr>
      <w:r>
        <w:rPr>
          <w:rFonts w:ascii="Arial" w:hAnsi="Arial" w:cs="Arial"/>
          <w:sz w:val="26"/>
          <w:szCs w:val="26"/>
        </w:rPr>
        <w:t xml:space="preserve">       E</w:t>
      </w:r>
      <w:r w:rsidRPr="00405658">
        <w:rPr>
          <w:rFonts w:ascii="Arial" w:hAnsi="Arial" w:cs="Arial"/>
          <w:sz w:val="26"/>
          <w:szCs w:val="26"/>
        </w:rPr>
        <w:t xml:space="preserve">sto es así, en virtud de que </w:t>
      </w:r>
      <w:r w:rsidRPr="00405658">
        <w:rPr>
          <w:rFonts w:ascii="Arial" w:eastAsia="Calibri" w:hAnsi="Arial" w:cs="Arial"/>
          <w:sz w:val="26"/>
          <w:szCs w:val="26"/>
        </w:rPr>
        <w:t>no alegó que el cr</w:t>
      </w:r>
      <w:r>
        <w:rPr>
          <w:rFonts w:ascii="Arial" w:eastAsia="Calibri" w:hAnsi="Arial" w:cs="Arial"/>
          <w:sz w:val="26"/>
          <w:szCs w:val="26"/>
        </w:rPr>
        <w:t>édito fiscal se haya extinguido,</w:t>
      </w:r>
      <w:r w:rsidRPr="00405658">
        <w:rPr>
          <w:rFonts w:ascii="Arial" w:eastAsia="Calibri" w:hAnsi="Arial" w:cs="Arial"/>
          <w:sz w:val="26"/>
          <w:szCs w:val="26"/>
        </w:rPr>
        <w:t xml:space="preserve"> el</w:t>
      </w:r>
      <w:r>
        <w:rPr>
          <w:rFonts w:ascii="Arial" w:eastAsia="Calibri" w:hAnsi="Arial" w:cs="Arial"/>
          <w:sz w:val="26"/>
          <w:szCs w:val="26"/>
        </w:rPr>
        <w:t xml:space="preserve"> monto sea inferior al exigible,</w:t>
      </w:r>
      <w:r w:rsidRPr="00405658">
        <w:rPr>
          <w:rFonts w:ascii="Arial" w:eastAsia="Calibri" w:hAnsi="Arial" w:cs="Arial"/>
          <w:sz w:val="26"/>
          <w:szCs w:val="26"/>
        </w:rPr>
        <w:t xml:space="preserve"> que es poseedor a título de propietario de algún bien embargado con </w:t>
      </w:r>
      <w:r>
        <w:rPr>
          <w:rFonts w:ascii="Arial" w:eastAsia="Calibri" w:hAnsi="Arial" w:cs="Arial"/>
          <w:sz w:val="26"/>
          <w:szCs w:val="26"/>
        </w:rPr>
        <w:t xml:space="preserve">motivo de dicho crédito fiscal, </w:t>
      </w:r>
      <w:r w:rsidRPr="00405658">
        <w:rPr>
          <w:rFonts w:ascii="Arial" w:eastAsia="Calibri" w:hAnsi="Arial" w:cs="Arial"/>
          <w:sz w:val="26"/>
          <w:szCs w:val="26"/>
        </w:rPr>
        <w:t>que el proc</w:t>
      </w:r>
      <w:r>
        <w:rPr>
          <w:rFonts w:ascii="Arial" w:eastAsia="Calibri" w:hAnsi="Arial" w:cs="Arial"/>
          <w:sz w:val="26"/>
          <w:szCs w:val="26"/>
        </w:rPr>
        <w:t>edimiento no se ajuste a la ley,</w:t>
      </w:r>
      <w:r w:rsidRPr="00405658">
        <w:rPr>
          <w:rFonts w:ascii="Arial" w:eastAsia="Calibri" w:hAnsi="Arial" w:cs="Arial"/>
          <w:sz w:val="26"/>
          <w:szCs w:val="26"/>
        </w:rPr>
        <w:t xml:space="preserve"> o que se trate de resoluciones cuya ejecución material sea de </w:t>
      </w:r>
      <w:r>
        <w:rPr>
          <w:rFonts w:ascii="Arial" w:eastAsia="Calibri" w:hAnsi="Arial" w:cs="Arial"/>
          <w:sz w:val="26"/>
          <w:szCs w:val="26"/>
        </w:rPr>
        <w:t>imposible reparación; lo cual só</w:t>
      </w:r>
      <w:r w:rsidRPr="00405658">
        <w:rPr>
          <w:rFonts w:ascii="Arial" w:eastAsia="Calibri" w:hAnsi="Arial" w:cs="Arial"/>
          <w:sz w:val="26"/>
          <w:szCs w:val="26"/>
        </w:rPr>
        <w:t xml:space="preserve">lo se podrá hacer valer hasta que se dicte  la  resolución que apruebe el remate </w:t>
      </w:r>
      <w:r w:rsidRPr="00405658">
        <w:rPr>
          <w:rFonts w:ascii="Arial" w:hAnsi="Arial" w:cs="Arial"/>
          <w:sz w:val="26"/>
          <w:szCs w:val="26"/>
        </w:rPr>
        <w:t>de un bien embargado, salvo que este sea de imposib</w:t>
      </w:r>
      <w:r>
        <w:rPr>
          <w:rFonts w:ascii="Arial" w:hAnsi="Arial" w:cs="Arial"/>
          <w:sz w:val="26"/>
          <w:szCs w:val="26"/>
        </w:rPr>
        <w:t>le reparación. - - - - - - - - - - - - - - - - - - - - - - - - - - - - - - - - - - - - - - - - - - - -</w:t>
      </w:r>
    </w:p>
    <w:p w14:paraId="0DE9D8ED" w14:textId="57CB22D6" w:rsidR="00580245" w:rsidRPr="00D94AD2" w:rsidRDefault="00580245" w:rsidP="00580245">
      <w:pPr>
        <w:spacing w:after="0" w:line="360" w:lineRule="auto"/>
        <w:jc w:val="both"/>
        <w:rPr>
          <w:rFonts w:ascii="Arial" w:hAnsi="Arial" w:cs="Arial"/>
          <w:sz w:val="26"/>
          <w:szCs w:val="26"/>
        </w:rPr>
      </w:pPr>
      <w:r>
        <w:rPr>
          <w:rFonts w:ascii="Arial" w:eastAsia="Calibri" w:hAnsi="Arial" w:cs="Arial"/>
          <w:b/>
          <w:sz w:val="26"/>
          <w:szCs w:val="26"/>
        </w:rPr>
        <w:t xml:space="preserve">     </w:t>
      </w:r>
      <w:r w:rsidRPr="008D1C49">
        <w:rPr>
          <w:rFonts w:ascii="Arial" w:eastAsia="Calibri" w:hAnsi="Arial" w:cs="Arial"/>
          <w:sz w:val="26"/>
          <w:szCs w:val="26"/>
        </w:rPr>
        <w:t xml:space="preserve"> </w:t>
      </w:r>
      <w:r w:rsidRPr="00A244E4">
        <w:rPr>
          <w:rFonts w:ascii="Arial" w:eastAsia="Calibri" w:hAnsi="Arial" w:cs="Arial"/>
          <w:b/>
          <w:sz w:val="26"/>
          <w:szCs w:val="26"/>
        </w:rPr>
        <w:t>En ese tenor</w:t>
      </w:r>
      <w:r w:rsidRPr="00D82C07">
        <w:rPr>
          <w:rFonts w:ascii="Arial" w:eastAsia="Calibri" w:hAnsi="Arial" w:cs="Arial"/>
          <w:sz w:val="26"/>
          <w:szCs w:val="26"/>
        </w:rPr>
        <w:t>, la</w:t>
      </w:r>
      <w:r>
        <w:rPr>
          <w:rFonts w:ascii="Arial" w:eastAsia="Calibri" w:hAnsi="Arial" w:cs="Arial"/>
          <w:sz w:val="26"/>
          <w:szCs w:val="26"/>
        </w:rPr>
        <w:t>s</w:t>
      </w:r>
      <w:r w:rsidRPr="00D82C07">
        <w:rPr>
          <w:rFonts w:ascii="Arial" w:eastAsia="Calibri" w:hAnsi="Arial" w:cs="Arial"/>
          <w:sz w:val="26"/>
          <w:szCs w:val="26"/>
        </w:rPr>
        <w:t xml:space="preserve"> Sala</w:t>
      </w:r>
      <w:r>
        <w:rPr>
          <w:rFonts w:ascii="Arial" w:eastAsia="Calibri" w:hAnsi="Arial" w:cs="Arial"/>
          <w:sz w:val="26"/>
          <w:szCs w:val="26"/>
        </w:rPr>
        <w:t>s</w:t>
      </w:r>
      <w:r w:rsidRPr="00D82C07">
        <w:rPr>
          <w:rFonts w:ascii="Arial" w:eastAsia="Calibri" w:hAnsi="Arial" w:cs="Arial"/>
          <w:sz w:val="26"/>
          <w:szCs w:val="26"/>
        </w:rPr>
        <w:t xml:space="preserve"> Unitaria</w:t>
      </w:r>
      <w:r>
        <w:rPr>
          <w:rFonts w:ascii="Arial" w:eastAsia="Calibri" w:hAnsi="Arial" w:cs="Arial"/>
          <w:sz w:val="26"/>
          <w:szCs w:val="26"/>
        </w:rPr>
        <w:t>s de este Tribunal son</w:t>
      </w:r>
      <w:r w:rsidRPr="00D82C07">
        <w:rPr>
          <w:rFonts w:ascii="Arial" w:eastAsia="Calibri" w:hAnsi="Arial" w:cs="Arial"/>
          <w:sz w:val="26"/>
          <w:szCs w:val="26"/>
        </w:rPr>
        <w:t xml:space="preserve"> incompetente</w:t>
      </w:r>
      <w:r>
        <w:rPr>
          <w:rFonts w:ascii="Arial" w:eastAsia="Calibri" w:hAnsi="Arial" w:cs="Arial"/>
          <w:sz w:val="26"/>
          <w:szCs w:val="26"/>
        </w:rPr>
        <w:t>s</w:t>
      </w:r>
      <w:r w:rsidRPr="00D82C07">
        <w:rPr>
          <w:rFonts w:ascii="Arial" w:eastAsia="Calibri" w:hAnsi="Arial" w:cs="Arial"/>
          <w:sz w:val="26"/>
          <w:szCs w:val="26"/>
        </w:rPr>
        <w:t xml:space="preserve"> para conocer, tramitar y</w:t>
      </w:r>
      <w:r w:rsidR="003F1C99">
        <w:rPr>
          <w:rFonts w:ascii="Arial" w:eastAsia="Calibri" w:hAnsi="Arial" w:cs="Arial"/>
          <w:sz w:val="26"/>
          <w:szCs w:val="26"/>
        </w:rPr>
        <w:t>,</w:t>
      </w:r>
      <w:r w:rsidRPr="00D82C07">
        <w:rPr>
          <w:rFonts w:ascii="Arial" w:eastAsia="Calibri" w:hAnsi="Arial" w:cs="Arial"/>
          <w:sz w:val="26"/>
          <w:szCs w:val="26"/>
        </w:rPr>
        <w:t xml:space="preserve"> resolver la demanda de nulidad </w:t>
      </w:r>
      <w:r>
        <w:rPr>
          <w:rFonts w:ascii="Arial" w:eastAsia="Calibri" w:hAnsi="Arial" w:cs="Arial"/>
          <w:sz w:val="26"/>
          <w:szCs w:val="26"/>
        </w:rPr>
        <w:t xml:space="preserve">promovida en contra de </w:t>
      </w:r>
      <w:r>
        <w:rPr>
          <w:rFonts w:ascii="Arial" w:hAnsi="Arial" w:cs="Arial"/>
          <w:sz w:val="26"/>
          <w:szCs w:val="26"/>
        </w:rPr>
        <w:t xml:space="preserve">la ilegalidad del mandamiento de ejecución y el </w:t>
      </w:r>
      <w:r>
        <w:rPr>
          <w:rFonts w:ascii="Arial" w:hAnsi="Arial" w:cs="Arial"/>
          <w:sz w:val="26"/>
          <w:szCs w:val="26"/>
        </w:rPr>
        <w:lastRenderedPageBreak/>
        <w:t>requerimiento de pago emitidos por la Coordinadora de Cobro Coactivo de la Secretaría de Finanzas del Poder Ejecutivo del Estado, al no actualizarse ninguna</w:t>
      </w:r>
      <w:r w:rsidRPr="00405658">
        <w:rPr>
          <w:rFonts w:ascii="Arial" w:hAnsi="Arial" w:cs="Arial"/>
          <w:sz w:val="26"/>
          <w:szCs w:val="26"/>
        </w:rPr>
        <w:t xml:space="preserve"> de las hipótesis </w:t>
      </w:r>
      <w:r>
        <w:rPr>
          <w:rFonts w:ascii="Arial" w:hAnsi="Arial" w:cs="Arial"/>
          <w:sz w:val="26"/>
          <w:szCs w:val="26"/>
        </w:rPr>
        <w:t>previstas en la fracción VIII del artículo 133 de la Ley de Procedimiento y Justicia Administrativa para el Estado de Oaxaca y, al no existir resolución en el procedimiento de ejecución fiscal, como lo dispone la Suprema Corte de Justicia de la Nación en la jurisprudencia que a continuación se invoca; consecuentemente, se actualizan las causales de improcedencia  previstas en los artículos 161</w:t>
      </w:r>
      <w:r>
        <w:rPr>
          <w:rStyle w:val="Refdenotaalpie"/>
          <w:rFonts w:ascii="Arial" w:hAnsi="Arial" w:cs="Arial"/>
          <w:sz w:val="26"/>
          <w:szCs w:val="26"/>
        </w:rPr>
        <w:footnoteReference w:id="5"/>
      </w:r>
      <w:r>
        <w:rPr>
          <w:rFonts w:ascii="Arial" w:hAnsi="Arial" w:cs="Arial"/>
          <w:sz w:val="26"/>
          <w:szCs w:val="26"/>
        </w:rPr>
        <w:t>, fracciones, IX y X, 162</w:t>
      </w:r>
      <w:r>
        <w:rPr>
          <w:rStyle w:val="Refdenotaalpie"/>
          <w:rFonts w:ascii="Arial" w:hAnsi="Arial" w:cs="Arial"/>
          <w:sz w:val="26"/>
          <w:szCs w:val="26"/>
        </w:rPr>
        <w:footnoteReference w:id="6"/>
      </w:r>
      <w:r>
        <w:rPr>
          <w:rFonts w:ascii="Arial" w:hAnsi="Arial" w:cs="Arial"/>
          <w:sz w:val="26"/>
          <w:szCs w:val="26"/>
        </w:rPr>
        <w:t>, fracciones, VI, de la Ley de Procedimiento y Justicia Administrativa para el Estado de Oaxaca, como acertadamente lo determinó el resolutor de la Cuarta Sala Unitaria de Primera Instancia, apegándose al principio de legalidad previsto en el artículo 16 de la Constitución Política de los Estados Unidos Mexicanos</w:t>
      </w:r>
      <w:r w:rsidR="00DA7F91">
        <w:rPr>
          <w:rFonts w:ascii="Arial" w:hAnsi="Arial" w:cs="Arial"/>
          <w:sz w:val="26"/>
          <w:szCs w:val="26"/>
        </w:rPr>
        <w:t>; sin que sea necesario aplicar el principio pro persona a favor del administrado, por la naturaleza de los actos impugnados. - -</w:t>
      </w:r>
    </w:p>
    <w:p w14:paraId="5F33A216" w14:textId="0BD855A0" w:rsidR="00580245" w:rsidRPr="009555F5" w:rsidRDefault="00580245" w:rsidP="00580245">
      <w:pPr>
        <w:pStyle w:val="Prrafodelista"/>
        <w:spacing w:after="120" w:line="360" w:lineRule="auto"/>
        <w:ind w:left="0"/>
        <w:jc w:val="both"/>
        <w:rPr>
          <w:rFonts w:ascii="Arial" w:hAnsi="Arial" w:cs="Arial"/>
          <w:sz w:val="26"/>
          <w:szCs w:val="26"/>
        </w:rPr>
      </w:pPr>
      <w:r>
        <w:rPr>
          <w:rFonts w:ascii="Arial" w:hAnsi="Arial" w:cs="Arial"/>
          <w:sz w:val="26"/>
          <w:szCs w:val="26"/>
        </w:rPr>
        <w:t xml:space="preserve">      Sirve de apoyo la Jurisprudencia con r</w:t>
      </w:r>
      <w:r w:rsidRPr="009555F5">
        <w:rPr>
          <w:rFonts w:ascii="Arial" w:hAnsi="Arial" w:cs="Arial"/>
          <w:sz w:val="26"/>
          <w:szCs w:val="26"/>
        </w:rPr>
        <w:t>egistro 196530</w:t>
      </w:r>
      <w:r>
        <w:rPr>
          <w:rFonts w:ascii="Arial" w:hAnsi="Arial" w:cs="Arial"/>
          <w:sz w:val="26"/>
          <w:szCs w:val="26"/>
        </w:rPr>
        <w:t>, de la</w:t>
      </w:r>
      <w:r w:rsidRPr="009555F5">
        <w:rPr>
          <w:rFonts w:ascii="Arial" w:hAnsi="Arial" w:cs="Arial"/>
          <w:sz w:val="26"/>
          <w:szCs w:val="26"/>
        </w:rPr>
        <w:t xml:space="preserve"> Novena Época</w:t>
      </w:r>
      <w:r>
        <w:rPr>
          <w:rFonts w:ascii="Arial" w:hAnsi="Arial" w:cs="Arial"/>
          <w:sz w:val="26"/>
          <w:szCs w:val="26"/>
        </w:rPr>
        <w:t>,</w:t>
      </w:r>
      <w:r w:rsidRPr="009555F5">
        <w:rPr>
          <w:rFonts w:ascii="Arial" w:hAnsi="Arial" w:cs="Arial"/>
          <w:sz w:val="26"/>
          <w:szCs w:val="26"/>
        </w:rPr>
        <w:t xml:space="preserve"> Segunda Sala</w:t>
      </w:r>
      <w:r>
        <w:rPr>
          <w:rFonts w:ascii="Arial" w:hAnsi="Arial" w:cs="Arial"/>
          <w:sz w:val="26"/>
          <w:szCs w:val="26"/>
        </w:rPr>
        <w:t xml:space="preserve">, </w:t>
      </w:r>
      <w:r w:rsidRPr="009555F5">
        <w:rPr>
          <w:rFonts w:ascii="Arial" w:hAnsi="Arial" w:cs="Arial"/>
          <w:sz w:val="26"/>
          <w:szCs w:val="26"/>
        </w:rPr>
        <w:t>Semanario Judicial de la Federación y su Gaceta</w:t>
      </w:r>
      <w:r>
        <w:rPr>
          <w:rFonts w:ascii="Arial" w:hAnsi="Arial" w:cs="Arial"/>
          <w:sz w:val="26"/>
          <w:szCs w:val="26"/>
        </w:rPr>
        <w:t xml:space="preserve"> </w:t>
      </w:r>
      <w:r w:rsidRPr="009555F5">
        <w:rPr>
          <w:rFonts w:ascii="Arial" w:hAnsi="Arial" w:cs="Arial"/>
          <w:sz w:val="26"/>
          <w:szCs w:val="26"/>
        </w:rPr>
        <w:t xml:space="preserve">Tomo VII, </w:t>
      </w:r>
      <w:proofErr w:type="gramStart"/>
      <w:r w:rsidRPr="009555F5">
        <w:rPr>
          <w:rFonts w:ascii="Arial" w:hAnsi="Arial" w:cs="Arial"/>
          <w:sz w:val="26"/>
          <w:szCs w:val="26"/>
        </w:rPr>
        <w:t>Abril</w:t>
      </w:r>
      <w:proofErr w:type="gramEnd"/>
      <w:r w:rsidRPr="009555F5">
        <w:rPr>
          <w:rFonts w:ascii="Arial" w:hAnsi="Arial" w:cs="Arial"/>
          <w:sz w:val="26"/>
          <w:szCs w:val="26"/>
        </w:rPr>
        <w:t xml:space="preserve"> de 1998</w:t>
      </w:r>
      <w:r>
        <w:rPr>
          <w:rFonts w:ascii="Arial" w:hAnsi="Arial" w:cs="Arial"/>
          <w:sz w:val="26"/>
          <w:szCs w:val="26"/>
        </w:rPr>
        <w:t xml:space="preserve">, </w:t>
      </w:r>
      <w:r w:rsidRPr="009555F5">
        <w:rPr>
          <w:rFonts w:ascii="Arial" w:hAnsi="Arial" w:cs="Arial"/>
          <w:sz w:val="26"/>
          <w:szCs w:val="26"/>
        </w:rPr>
        <w:t>Administrativa</w:t>
      </w:r>
      <w:r>
        <w:rPr>
          <w:rFonts w:ascii="Arial" w:hAnsi="Arial" w:cs="Arial"/>
          <w:sz w:val="26"/>
          <w:szCs w:val="26"/>
        </w:rPr>
        <w:t xml:space="preserve">, </w:t>
      </w:r>
      <w:r w:rsidRPr="009555F5">
        <w:rPr>
          <w:rFonts w:ascii="Arial" w:hAnsi="Arial" w:cs="Arial"/>
          <w:sz w:val="26"/>
          <w:szCs w:val="26"/>
        </w:rPr>
        <w:t>Tesis: 2a/J. 17/98</w:t>
      </w:r>
      <w:r>
        <w:rPr>
          <w:rFonts w:ascii="Arial" w:hAnsi="Arial" w:cs="Arial"/>
          <w:sz w:val="26"/>
          <w:szCs w:val="26"/>
        </w:rPr>
        <w:t xml:space="preserve">, </w:t>
      </w:r>
      <w:r w:rsidRPr="009555F5">
        <w:rPr>
          <w:rFonts w:ascii="Arial" w:hAnsi="Arial" w:cs="Arial"/>
          <w:sz w:val="26"/>
          <w:szCs w:val="26"/>
        </w:rPr>
        <w:t>Página: 187</w:t>
      </w:r>
      <w:r>
        <w:rPr>
          <w:rFonts w:ascii="Arial" w:hAnsi="Arial" w:cs="Arial"/>
          <w:sz w:val="26"/>
          <w:szCs w:val="26"/>
        </w:rPr>
        <w:t>, de rubro y texto siguientes:</w:t>
      </w:r>
      <w:r w:rsidR="00144D35">
        <w:rPr>
          <w:rFonts w:ascii="Arial" w:hAnsi="Arial" w:cs="Arial"/>
          <w:sz w:val="26"/>
          <w:szCs w:val="26"/>
        </w:rPr>
        <w:t xml:space="preserve"> - - - - - - - - - - - - - - - - - - - - - - - - - - - - - - - - </w:t>
      </w:r>
    </w:p>
    <w:p w14:paraId="5FB3C71D" w14:textId="77777777" w:rsidR="00684F89" w:rsidRPr="00144D35" w:rsidRDefault="00684F89" w:rsidP="00684F89">
      <w:pPr>
        <w:spacing w:after="120"/>
        <w:ind w:left="567" w:right="333"/>
        <w:jc w:val="both"/>
        <w:rPr>
          <w:rFonts w:ascii="Arial" w:eastAsia="Calibri" w:hAnsi="Arial" w:cs="Arial"/>
        </w:rPr>
      </w:pPr>
      <w:r w:rsidRPr="00144D35">
        <w:rPr>
          <w:rFonts w:ascii="Arial" w:eastAsia="Calibri" w:hAnsi="Arial" w:cs="Arial"/>
          <w:b/>
        </w:rPr>
        <w:t xml:space="preserve">“EJECUCIÓN, PROCEDIMIENTO ADMINISTRATIVO DE. EL AMPARO CONTRA RESOLUCIONES DICTADAS EN AQUÉL SÓLO PROCEDE CUANDO SE RECLAMA LA DEFINITIVA, A PESAR DE QUE SE IMPUGNE LA CONSTITUCIONALIDAD DE LEYES. </w:t>
      </w:r>
      <w:r w:rsidRPr="00144D35">
        <w:rPr>
          <w:rFonts w:ascii="Arial" w:eastAsia="Calibri" w:hAnsi="Arial" w:cs="Arial"/>
        </w:rPr>
        <w:t xml:space="preserve">El procedimiento administrativo de ejecución regulado por los artículos 145 a 196 del Código Fiscal de la Federación no tiene como finalidad la resolución de alguna controversia entre partes contendientes, por lo que en rigor no puede decirse que se trate de un procedimiento seguido en forma de juicio, en los términos literales del artículo 114, fracción II, párrafo segundo, de la Ley de Amparo, pero consta de una serie coherente y concordante de actos tendientes a la obtención ejecutiva del cumplimiento de una obligación con base en una liquidación firme que constituye la prueba legal de la existencia del crédito, de su liquidez y de su inmediata reclamación y, como tal, presupuesto formal del comentado procedimiento de ejecución, similar en estos aspectos a una sentencia ejecutoriada. Por tanto, se justifica que el juicio de amparo sólo pueda promoverse hasta que se dicte en el citado procedimiento de ejecución fiscal la resolución con la que culmine, es decir, la definitiva en que se apruebe o desapruebe el remate, pudiéndose reclamar en tal oportunidad todas las violaciones cometidas dentro de dicho procedimiento. De lo contrario, si se estimara procedente el juicio de garantías contra cada uno de los actos procesales de modo aislado, se obstaculizaría injustificadamente la secuencia ejecutiva, lo cual no debe permitirse aunque </w:t>
      </w:r>
      <w:r w:rsidRPr="00144D35">
        <w:rPr>
          <w:rFonts w:ascii="Arial" w:eastAsia="Calibri" w:hAnsi="Arial" w:cs="Arial"/>
        </w:rPr>
        <w:lastRenderedPageBreak/>
        <w:t>se reclame la inconstitucionalidad de las leyes que rigen ese procedimiento, ya que de la interpretación relacionada de la citada fracción II del artículo 114 de la Ley de Amparo, acerca de que el amparo contra remates sólo procede contra la resolución definitiva que los apruebe o desapruebe, y de la fracción III del mismo precepto legal, se desprende que, en lo conducente, la intención del legislador ha sido la de que no se entorpezcan, mediante la promoción del juicio constitucional, los procedimientos de ejecución fundados en resoluciones o sentencias definitivas, a pesar de que éstas no deriven de tribunales judiciales, administrativos o del trabajo, por lo que operan las mismas razones para sostener que, tratándose del mencionado procedimiento, el juicio de amparo puede promoverse hasta que se dicte la última resolución que en aquél se pronuncie.”</w:t>
      </w:r>
      <w:r w:rsidR="00580245" w:rsidRPr="00144D35">
        <w:rPr>
          <w:rFonts w:ascii="Arial" w:eastAsia="Calibri" w:hAnsi="Arial" w:cs="Arial"/>
        </w:rPr>
        <w:t xml:space="preserve">   </w:t>
      </w:r>
    </w:p>
    <w:p w14:paraId="5BDB1CF9" w14:textId="7B2DA212" w:rsidR="00580245" w:rsidRDefault="00684F89" w:rsidP="00580245">
      <w:pPr>
        <w:spacing w:after="120" w:line="360" w:lineRule="auto"/>
        <w:jc w:val="both"/>
        <w:rPr>
          <w:rFonts w:ascii="Arial" w:eastAsia="Calibri" w:hAnsi="Arial" w:cs="Arial"/>
          <w:sz w:val="26"/>
          <w:szCs w:val="26"/>
        </w:rPr>
      </w:pPr>
      <w:r>
        <w:rPr>
          <w:rFonts w:ascii="Arial" w:eastAsia="Calibri" w:hAnsi="Arial" w:cs="Arial"/>
          <w:sz w:val="26"/>
          <w:szCs w:val="26"/>
        </w:rPr>
        <w:t xml:space="preserve">     </w:t>
      </w:r>
      <w:r w:rsidR="00580245">
        <w:rPr>
          <w:rFonts w:ascii="Arial" w:eastAsia="Calibri" w:hAnsi="Arial" w:cs="Arial"/>
          <w:sz w:val="26"/>
          <w:szCs w:val="26"/>
        </w:rPr>
        <w:t xml:space="preserve">Consecuentemente, </w:t>
      </w:r>
      <w:r w:rsidR="00580245" w:rsidRPr="00D82C07">
        <w:rPr>
          <w:rFonts w:ascii="Arial" w:eastAsia="Calibri" w:hAnsi="Arial" w:cs="Arial"/>
          <w:sz w:val="26"/>
          <w:szCs w:val="26"/>
        </w:rPr>
        <w:t>con fundamento en los artículos 2</w:t>
      </w:r>
      <w:r w:rsidR="00580245">
        <w:rPr>
          <w:rFonts w:ascii="Arial" w:eastAsia="Calibri" w:hAnsi="Arial" w:cs="Arial"/>
          <w:sz w:val="26"/>
          <w:szCs w:val="26"/>
        </w:rPr>
        <w:t>3</w:t>
      </w:r>
      <w:r w:rsidR="00580245" w:rsidRPr="00D82C07">
        <w:rPr>
          <w:rFonts w:ascii="Arial" w:eastAsia="Calibri" w:hAnsi="Arial" w:cs="Arial"/>
          <w:sz w:val="26"/>
          <w:szCs w:val="26"/>
        </w:rPr>
        <w:t>7 y 2</w:t>
      </w:r>
      <w:r w:rsidR="00580245">
        <w:rPr>
          <w:rFonts w:ascii="Arial" w:eastAsia="Calibri" w:hAnsi="Arial" w:cs="Arial"/>
          <w:sz w:val="26"/>
          <w:szCs w:val="26"/>
        </w:rPr>
        <w:t>3</w:t>
      </w:r>
      <w:r w:rsidR="00580245" w:rsidRPr="00D82C07">
        <w:rPr>
          <w:rFonts w:ascii="Arial" w:eastAsia="Calibri" w:hAnsi="Arial" w:cs="Arial"/>
          <w:sz w:val="26"/>
          <w:szCs w:val="26"/>
        </w:rPr>
        <w:t xml:space="preserve">8 de la Ley de </w:t>
      </w:r>
      <w:r w:rsidR="00580245">
        <w:rPr>
          <w:rFonts w:ascii="Arial" w:eastAsia="Calibri" w:hAnsi="Arial" w:cs="Arial"/>
          <w:sz w:val="26"/>
          <w:szCs w:val="26"/>
        </w:rPr>
        <w:t xml:space="preserve">Procedimiento y </w:t>
      </w:r>
      <w:r w:rsidR="00580245" w:rsidRPr="00D82C07">
        <w:rPr>
          <w:rFonts w:ascii="Arial" w:eastAsia="Calibri" w:hAnsi="Arial" w:cs="Arial"/>
          <w:sz w:val="26"/>
          <w:szCs w:val="26"/>
        </w:rPr>
        <w:t>Justicia Administrativa para el Estado,</w:t>
      </w:r>
      <w:r w:rsidR="00580245">
        <w:rPr>
          <w:rFonts w:ascii="Arial" w:eastAsia="Calibri" w:hAnsi="Arial" w:cs="Arial"/>
          <w:sz w:val="26"/>
          <w:szCs w:val="26"/>
        </w:rPr>
        <w:t xml:space="preserve"> procede </w:t>
      </w:r>
      <w:r w:rsidR="00580245" w:rsidRPr="00242444">
        <w:rPr>
          <w:rFonts w:ascii="Arial" w:eastAsia="Calibri" w:hAnsi="Arial" w:cs="Arial"/>
          <w:b/>
          <w:sz w:val="26"/>
          <w:szCs w:val="26"/>
        </w:rPr>
        <w:t>CONFIRMAR</w:t>
      </w:r>
      <w:r w:rsidR="00580245">
        <w:rPr>
          <w:rFonts w:ascii="Arial" w:eastAsia="Calibri" w:hAnsi="Arial" w:cs="Arial"/>
          <w:sz w:val="26"/>
          <w:szCs w:val="26"/>
        </w:rPr>
        <w:t xml:space="preserve"> el acuerdo recurrido,</w:t>
      </w:r>
      <w:r w:rsidR="00580245" w:rsidRPr="00D82C07">
        <w:rPr>
          <w:rFonts w:ascii="Arial" w:eastAsia="Calibri" w:hAnsi="Arial" w:cs="Arial"/>
          <w:sz w:val="26"/>
          <w:szCs w:val="26"/>
        </w:rPr>
        <w:t xml:space="preserve"> se:</w:t>
      </w:r>
      <w:r w:rsidR="00144D35">
        <w:rPr>
          <w:rFonts w:ascii="Arial" w:eastAsia="Calibri" w:hAnsi="Arial" w:cs="Arial"/>
          <w:sz w:val="26"/>
          <w:szCs w:val="26"/>
        </w:rPr>
        <w:t xml:space="preserve"> - - - - - - - - - - - - - - - - - - - - - - - -</w:t>
      </w:r>
    </w:p>
    <w:p w14:paraId="7FF35C49" w14:textId="77777777" w:rsidR="00580245" w:rsidRDefault="00580245" w:rsidP="00580245">
      <w:pPr>
        <w:spacing w:after="120" w:line="360" w:lineRule="auto"/>
        <w:jc w:val="center"/>
        <w:rPr>
          <w:rFonts w:ascii="Arial" w:eastAsia="Calibri" w:hAnsi="Arial" w:cs="Arial"/>
          <w:b/>
          <w:sz w:val="26"/>
          <w:szCs w:val="26"/>
        </w:rPr>
      </w:pPr>
      <w:r w:rsidRPr="00D82C07">
        <w:rPr>
          <w:rFonts w:ascii="Arial" w:eastAsia="Calibri" w:hAnsi="Arial" w:cs="Arial"/>
          <w:b/>
          <w:sz w:val="26"/>
          <w:szCs w:val="26"/>
        </w:rPr>
        <w:t>R E S U E L V E</w:t>
      </w:r>
    </w:p>
    <w:p w14:paraId="57581DD7" w14:textId="77777777" w:rsidR="000B4FCF" w:rsidRDefault="00580245" w:rsidP="00580245">
      <w:pPr>
        <w:spacing w:after="120" w:line="360" w:lineRule="auto"/>
        <w:jc w:val="both"/>
        <w:rPr>
          <w:rFonts w:ascii="Arial" w:eastAsia="Calibri" w:hAnsi="Arial" w:cs="Arial"/>
          <w:sz w:val="26"/>
          <w:szCs w:val="26"/>
        </w:rPr>
      </w:pPr>
      <w:r>
        <w:rPr>
          <w:rFonts w:ascii="Arial" w:eastAsia="Calibri" w:hAnsi="Arial" w:cs="Arial"/>
          <w:sz w:val="26"/>
          <w:szCs w:val="26"/>
        </w:rPr>
        <w:t xml:space="preserve"> </w:t>
      </w:r>
      <w:r w:rsidR="000B4FCF">
        <w:rPr>
          <w:rFonts w:ascii="Arial" w:eastAsia="Calibri" w:hAnsi="Arial" w:cs="Arial"/>
          <w:sz w:val="26"/>
          <w:szCs w:val="26"/>
        </w:rPr>
        <w:t xml:space="preserve">    </w:t>
      </w:r>
      <w:r w:rsidRPr="00D82C07">
        <w:rPr>
          <w:rFonts w:ascii="Arial" w:eastAsia="Calibri" w:hAnsi="Arial" w:cs="Arial"/>
          <w:b/>
          <w:sz w:val="26"/>
          <w:szCs w:val="26"/>
        </w:rPr>
        <w:t>PRIMERO</w:t>
      </w:r>
      <w:r w:rsidRPr="00D82C07">
        <w:rPr>
          <w:rFonts w:ascii="Arial" w:eastAsia="Calibri" w:hAnsi="Arial" w:cs="Arial"/>
          <w:sz w:val="26"/>
          <w:szCs w:val="26"/>
        </w:rPr>
        <w:t xml:space="preserve">. </w:t>
      </w:r>
      <w:r>
        <w:rPr>
          <w:rFonts w:ascii="Arial" w:eastAsia="Calibri" w:hAnsi="Arial" w:cs="Arial"/>
          <w:sz w:val="26"/>
          <w:szCs w:val="26"/>
        </w:rPr>
        <w:t>Se</w:t>
      </w:r>
      <w:r w:rsidRPr="00D82C07">
        <w:rPr>
          <w:rFonts w:ascii="Arial" w:eastAsia="Calibri" w:hAnsi="Arial" w:cs="Arial"/>
          <w:b/>
          <w:sz w:val="26"/>
          <w:szCs w:val="26"/>
        </w:rPr>
        <w:t xml:space="preserve"> </w:t>
      </w:r>
      <w:r>
        <w:rPr>
          <w:rFonts w:ascii="Arial" w:eastAsia="Calibri" w:hAnsi="Arial" w:cs="Arial"/>
          <w:b/>
          <w:sz w:val="26"/>
          <w:szCs w:val="26"/>
        </w:rPr>
        <w:t>CONFIRMA</w:t>
      </w:r>
      <w:r w:rsidRPr="00D82C07">
        <w:rPr>
          <w:rFonts w:ascii="Arial" w:eastAsia="Calibri" w:hAnsi="Arial" w:cs="Arial"/>
          <w:b/>
          <w:sz w:val="26"/>
          <w:szCs w:val="26"/>
        </w:rPr>
        <w:t xml:space="preserve"> </w:t>
      </w:r>
      <w:r>
        <w:rPr>
          <w:rFonts w:ascii="Arial" w:eastAsia="Calibri" w:hAnsi="Arial" w:cs="Arial"/>
          <w:sz w:val="26"/>
          <w:szCs w:val="26"/>
        </w:rPr>
        <w:t>el</w:t>
      </w:r>
      <w:r w:rsidRPr="00D82C07">
        <w:rPr>
          <w:rFonts w:ascii="Arial" w:eastAsia="Calibri" w:hAnsi="Arial" w:cs="Arial"/>
          <w:sz w:val="26"/>
          <w:szCs w:val="26"/>
        </w:rPr>
        <w:t xml:space="preserve"> </w:t>
      </w:r>
      <w:r>
        <w:rPr>
          <w:rFonts w:ascii="Arial" w:eastAsia="Calibri" w:hAnsi="Arial" w:cs="Arial"/>
          <w:sz w:val="26"/>
          <w:szCs w:val="26"/>
        </w:rPr>
        <w:t>acuerdo recurrido de fecha diecisiete de enero de dos mil veinte,</w:t>
      </w:r>
      <w:r w:rsidRPr="00D82C07">
        <w:rPr>
          <w:rFonts w:ascii="Arial" w:eastAsia="Calibri" w:hAnsi="Arial" w:cs="Arial"/>
          <w:sz w:val="26"/>
          <w:szCs w:val="26"/>
        </w:rPr>
        <w:t xml:space="preserve"> por las razones expuestas en el considerando que antecede. </w:t>
      </w:r>
      <w:r>
        <w:rPr>
          <w:rFonts w:ascii="Arial" w:eastAsia="Calibri" w:hAnsi="Arial" w:cs="Arial"/>
          <w:sz w:val="26"/>
          <w:szCs w:val="26"/>
        </w:rPr>
        <w:t xml:space="preserve">- - - - - - - - - - - - - - - - - - - - - - - - - </w:t>
      </w:r>
      <w:r w:rsidR="000B4FCF">
        <w:rPr>
          <w:rFonts w:ascii="Arial" w:eastAsia="Calibri" w:hAnsi="Arial" w:cs="Arial"/>
          <w:sz w:val="26"/>
          <w:szCs w:val="26"/>
        </w:rPr>
        <w:t xml:space="preserve">- - - - - -  </w:t>
      </w:r>
      <w:r>
        <w:rPr>
          <w:rFonts w:ascii="Arial" w:eastAsia="Calibri" w:hAnsi="Arial" w:cs="Arial"/>
          <w:sz w:val="26"/>
          <w:szCs w:val="26"/>
        </w:rPr>
        <w:t xml:space="preserve"> </w:t>
      </w:r>
      <w:r w:rsidR="000B4FCF">
        <w:rPr>
          <w:rFonts w:ascii="Arial" w:eastAsia="Calibri" w:hAnsi="Arial" w:cs="Arial"/>
          <w:sz w:val="26"/>
          <w:szCs w:val="26"/>
        </w:rPr>
        <w:t xml:space="preserve">  </w:t>
      </w:r>
    </w:p>
    <w:p w14:paraId="45E50CC3" w14:textId="567A4361" w:rsidR="000B4FCF" w:rsidRDefault="000B4FCF" w:rsidP="00580245">
      <w:pPr>
        <w:spacing w:after="120" w:line="360" w:lineRule="auto"/>
        <w:jc w:val="both"/>
        <w:rPr>
          <w:rFonts w:ascii="Arial" w:hAnsi="Arial" w:cs="Arial"/>
          <w:sz w:val="26"/>
          <w:szCs w:val="26"/>
        </w:rPr>
      </w:pPr>
      <w:r>
        <w:rPr>
          <w:rFonts w:ascii="Arial" w:eastAsia="Calibri" w:hAnsi="Arial" w:cs="Arial"/>
          <w:sz w:val="26"/>
          <w:szCs w:val="26"/>
        </w:rPr>
        <w:t xml:space="preserve">     </w:t>
      </w:r>
      <w:r w:rsidR="00580245" w:rsidRPr="00D82C07">
        <w:rPr>
          <w:rFonts w:ascii="Arial" w:hAnsi="Arial" w:cs="Arial"/>
          <w:b/>
          <w:sz w:val="26"/>
          <w:szCs w:val="26"/>
        </w:rPr>
        <w:t>SEGUNDO</w:t>
      </w:r>
      <w:r w:rsidR="00580245" w:rsidRPr="00D82C07">
        <w:rPr>
          <w:rFonts w:ascii="Arial" w:hAnsi="Arial" w:cs="Arial"/>
          <w:sz w:val="26"/>
          <w:szCs w:val="26"/>
        </w:rPr>
        <w:t>.</w:t>
      </w:r>
      <w:r w:rsidR="00580245" w:rsidRPr="00D82C07">
        <w:rPr>
          <w:rFonts w:ascii="Arial" w:hAnsi="Arial" w:cs="Arial"/>
          <w:b/>
          <w:sz w:val="26"/>
          <w:szCs w:val="26"/>
        </w:rPr>
        <w:t xml:space="preserve"> NOTIFÍQUESE y CÚMPLASE,</w:t>
      </w:r>
      <w:r w:rsidR="00580245" w:rsidRPr="00D82C07">
        <w:rPr>
          <w:rFonts w:ascii="Arial" w:hAnsi="Arial" w:cs="Arial"/>
          <w:sz w:val="26"/>
          <w:szCs w:val="26"/>
        </w:rPr>
        <w:t xml:space="preserve"> con copia certificada de la presente resolución, vuelvan las constancias remitidas a la </w:t>
      </w:r>
      <w:r w:rsidR="00580245">
        <w:rPr>
          <w:rFonts w:ascii="Arial" w:hAnsi="Arial" w:cs="Arial"/>
          <w:sz w:val="26"/>
          <w:szCs w:val="26"/>
        </w:rPr>
        <w:t>Cuarta</w:t>
      </w:r>
      <w:r w:rsidR="00580245" w:rsidRPr="00D82C07">
        <w:rPr>
          <w:rFonts w:ascii="Arial" w:hAnsi="Arial" w:cs="Arial"/>
          <w:sz w:val="26"/>
          <w:szCs w:val="26"/>
        </w:rPr>
        <w:t xml:space="preserve"> Sala Unitaria de Primera Instancia, y en su oportunidad archívese el cuaderno de revisión como </w:t>
      </w:r>
      <w:r w:rsidR="00144D35" w:rsidRPr="00D82C07">
        <w:rPr>
          <w:rFonts w:ascii="Arial" w:hAnsi="Arial" w:cs="Arial"/>
          <w:sz w:val="26"/>
          <w:szCs w:val="26"/>
        </w:rPr>
        <w:t>concluido.</w:t>
      </w:r>
      <w:r w:rsidR="00144D35">
        <w:rPr>
          <w:rFonts w:ascii="Arial" w:hAnsi="Arial" w:cs="Arial"/>
          <w:sz w:val="26"/>
          <w:szCs w:val="26"/>
        </w:rPr>
        <w:t xml:space="preserve"> -</w:t>
      </w:r>
      <w:r w:rsidR="00580245">
        <w:rPr>
          <w:rFonts w:ascii="Arial" w:hAnsi="Arial" w:cs="Arial"/>
          <w:sz w:val="26"/>
          <w:szCs w:val="26"/>
        </w:rPr>
        <w:t xml:space="preserve"> - - - - - - - - - - - - - - - </w:t>
      </w:r>
      <w:r>
        <w:rPr>
          <w:rFonts w:ascii="Arial" w:hAnsi="Arial" w:cs="Arial"/>
          <w:sz w:val="26"/>
          <w:szCs w:val="26"/>
        </w:rPr>
        <w:t xml:space="preserve">- - - - - - - - </w:t>
      </w:r>
    </w:p>
    <w:p w14:paraId="71C4A4DD" w14:textId="77777777" w:rsidR="00144D35" w:rsidRDefault="00144D35" w:rsidP="00144D35">
      <w:pPr>
        <w:spacing w:after="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w:t>
      </w:r>
      <w:proofErr w:type="gramStart"/>
      <w:r>
        <w:rPr>
          <w:rFonts w:ascii="Arial" w:hAnsi="Arial" w:cs="Arial"/>
          <w:sz w:val="26"/>
          <w:szCs w:val="26"/>
        </w:rPr>
        <w:t>fe.-</w:t>
      </w:r>
      <w:proofErr w:type="gramEnd"/>
      <w:r>
        <w:rPr>
          <w:rFonts w:ascii="Arial" w:hAnsi="Arial" w:cs="Arial"/>
          <w:sz w:val="26"/>
          <w:szCs w:val="26"/>
        </w:rPr>
        <w:t xml:space="preserve"> - - - - - - - - - - - - - - - - - - - - - - - - - - - - - - - - - - - - -</w:t>
      </w:r>
    </w:p>
    <w:p w14:paraId="1FF5A7DA" w14:textId="77777777" w:rsidR="00144D35" w:rsidRDefault="00144D35" w:rsidP="00144D35">
      <w:pPr>
        <w:spacing w:before="240" w:line="360" w:lineRule="auto"/>
        <w:ind w:firstLine="708"/>
        <w:jc w:val="both"/>
        <w:rPr>
          <w:rFonts w:ascii="Arial" w:hAnsi="Arial" w:cs="Arial"/>
          <w:sz w:val="26"/>
          <w:szCs w:val="26"/>
        </w:rPr>
      </w:pPr>
    </w:p>
    <w:p w14:paraId="2E350986" w14:textId="77777777" w:rsidR="00144D35" w:rsidRDefault="00144D35" w:rsidP="00144D35">
      <w:pPr>
        <w:spacing w:before="240" w:line="360" w:lineRule="auto"/>
        <w:ind w:firstLine="708"/>
        <w:jc w:val="both"/>
        <w:rPr>
          <w:rFonts w:ascii="Arial" w:hAnsi="Arial" w:cs="Arial"/>
          <w:sz w:val="26"/>
          <w:szCs w:val="26"/>
        </w:rPr>
      </w:pPr>
    </w:p>
    <w:p w14:paraId="43BB1D6A" w14:textId="77777777" w:rsidR="00144D35" w:rsidRDefault="00144D35" w:rsidP="00144D35">
      <w:pPr>
        <w:spacing w:before="240" w:line="360" w:lineRule="auto"/>
        <w:ind w:firstLine="708"/>
        <w:jc w:val="both"/>
        <w:rPr>
          <w:rFonts w:ascii="Arial" w:hAnsi="Arial" w:cs="Arial"/>
          <w:sz w:val="26"/>
          <w:szCs w:val="26"/>
        </w:rPr>
      </w:pPr>
    </w:p>
    <w:p w14:paraId="7C644D23" w14:textId="77777777" w:rsidR="00144D35" w:rsidRDefault="00144D35" w:rsidP="00144D35">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2EF02B8E" w14:textId="77777777" w:rsidR="00144D35" w:rsidRDefault="00144D35" w:rsidP="00144D35">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4EC3B988" w14:textId="77777777" w:rsidR="00144D35" w:rsidRDefault="00144D35" w:rsidP="00144D35">
      <w:pPr>
        <w:tabs>
          <w:tab w:val="left" w:pos="1680"/>
          <w:tab w:val="center" w:pos="4277"/>
        </w:tabs>
        <w:spacing w:after="0" w:line="240" w:lineRule="auto"/>
        <w:jc w:val="center"/>
        <w:rPr>
          <w:rFonts w:ascii="Arial" w:hAnsi="Arial" w:cs="Arial"/>
          <w:sz w:val="26"/>
          <w:szCs w:val="26"/>
        </w:rPr>
      </w:pPr>
    </w:p>
    <w:p w14:paraId="45B1732B" w14:textId="77777777" w:rsidR="00144D35" w:rsidRDefault="00144D35" w:rsidP="00144D35">
      <w:pPr>
        <w:tabs>
          <w:tab w:val="left" w:pos="1680"/>
          <w:tab w:val="center" w:pos="4277"/>
        </w:tabs>
        <w:spacing w:after="0" w:line="240" w:lineRule="auto"/>
        <w:jc w:val="center"/>
        <w:rPr>
          <w:rFonts w:ascii="Arial" w:hAnsi="Arial" w:cs="Arial"/>
          <w:sz w:val="26"/>
          <w:szCs w:val="26"/>
        </w:rPr>
      </w:pPr>
    </w:p>
    <w:p w14:paraId="439C0D84" w14:textId="77777777" w:rsidR="00144D35" w:rsidRDefault="00144D35" w:rsidP="00144D35">
      <w:pPr>
        <w:tabs>
          <w:tab w:val="left" w:pos="1680"/>
          <w:tab w:val="center" w:pos="4277"/>
        </w:tabs>
        <w:spacing w:after="0" w:line="240" w:lineRule="auto"/>
        <w:jc w:val="center"/>
        <w:rPr>
          <w:rFonts w:ascii="Arial" w:hAnsi="Arial" w:cs="Arial"/>
          <w:b/>
          <w:bCs/>
          <w:sz w:val="14"/>
          <w:szCs w:val="14"/>
        </w:rPr>
      </w:pPr>
    </w:p>
    <w:p w14:paraId="54BF5313" w14:textId="04582F90" w:rsidR="00144D35" w:rsidRPr="00144D35" w:rsidRDefault="00144D35" w:rsidP="00144D35">
      <w:pPr>
        <w:tabs>
          <w:tab w:val="left" w:pos="1680"/>
          <w:tab w:val="center" w:pos="4277"/>
        </w:tabs>
        <w:spacing w:after="0" w:line="240" w:lineRule="auto"/>
        <w:jc w:val="center"/>
        <w:rPr>
          <w:rFonts w:ascii="Arial" w:hAnsi="Arial" w:cs="Arial"/>
          <w:b/>
          <w:bCs/>
          <w:sz w:val="14"/>
          <w:szCs w:val="14"/>
        </w:rPr>
      </w:pPr>
      <w:r w:rsidRPr="00144D35">
        <w:rPr>
          <w:rFonts w:ascii="Arial" w:hAnsi="Arial" w:cs="Arial"/>
          <w:b/>
          <w:bCs/>
          <w:sz w:val="14"/>
          <w:szCs w:val="14"/>
        </w:rPr>
        <w:t>LAS PRESENTES FIRMAS CORRRESPONDEN AL RECURSO DE REVISIÓN 89/2020</w:t>
      </w:r>
    </w:p>
    <w:p w14:paraId="4AE2DCBD" w14:textId="77777777" w:rsidR="00144D35" w:rsidRDefault="00144D35" w:rsidP="00144D35">
      <w:pPr>
        <w:tabs>
          <w:tab w:val="left" w:pos="1680"/>
          <w:tab w:val="center" w:pos="4277"/>
        </w:tabs>
        <w:spacing w:after="0" w:line="240" w:lineRule="auto"/>
        <w:rPr>
          <w:rFonts w:ascii="Arial" w:hAnsi="Arial" w:cs="Arial"/>
          <w:sz w:val="26"/>
          <w:szCs w:val="26"/>
        </w:rPr>
      </w:pPr>
    </w:p>
    <w:p w14:paraId="7C3B1A85" w14:textId="77777777" w:rsidR="00144D35" w:rsidRDefault="00144D35" w:rsidP="00144D35">
      <w:pPr>
        <w:tabs>
          <w:tab w:val="left" w:pos="1680"/>
          <w:tab w:val="center" w:pos="4277"/>
        </w:tabs>
        <w:spacing w:after="0" w:line="240" w:lineRule="auto"/>
        <w:rPr>
          <w:rFonts w:ascii="Arial" w:hAnsi="Arial" w:cs="Arial"/>
          <w:sz w:val="26"/>
          <w:szCs w:val="26"/>
        </w:rPr>
      </w:pPr>
    </w:p>
    <w:p w14:paraId="027554AF" w14:textId="2B77BD9A" w:rsidR="00144D35" w:rsidRDefault="00144D35" w:rsidP="00144D35">
      <w:pPr>
        <w:spacing w:after="0" w:line="240" w:lineRule="auto"/>
        <w:jc w:val="center"/>
        <w:rPr>
          <w:rFonts w:ascii="Arial" w:hAnsi="Arial" w:cs="Arial"/>
          <w:sz w:val="26"/>
          <w:szCs w:val="26"/>
        </w:rPr>
      </w:pPr>
    </w:p>
    <w:p w14:paraId="2BB17CDC" w14:textId="530FDB70" w:rsidR="00144D35" w:rsidRDefault="00144D35" w:rsidP="00144D35">
      <w:pPr>
        <w:spacing w:after="0" w:line="240" w:lineRule="auto"/>
        <w:jc w:val="center"/>
        <w:rPr>
          <w:rFonts w:ascii="Arial" w:hAnsi="Arial" w:cs="Arial"/>
          <w:sz w:val="26"/>
          <w:szCs w:val="26"/>
        </w:rPr>
      </w:pPr>
    </w:p>
    <w:p w14:paraId="22623786" w14:textId="2CF8CF5F" w:rsidR="00144D35" w:rsidRDefault="00144D35" w:rsidP="00144D35">
      <w:pPr>
        <w:spacing w:after="0" w:line="240" w:lineRule="auto"/>
        <w:jc w:val="center"/>
        <w:rPr>
          <w:rFonts w:ascii="Arial" w:hAnsi="Arial" w:cs="Arial"/>
          <w:sz w:val="26"/>
          <w:szCs w:val="26"/>
        </w:rPr>
      </w:pPr>
    </w:p>
    <w:p w14:paraId="6038321F" w14:textId="66E7BB75" w:rsidR="00144D35" w:rsidRDefault="00144D35" w:rsidP="00144D35">
      <w:pPr>
        <w:spacing w:after="0" w:line="240" w:lineRule="auto"/>
        <w:jc w:val="center"/>
        <w:rPr>
          <w:rFonts w:ascii="Arial" w:hAnsi="Arial" w:cs="Arial"/>
          <w:sz w:val="26"/>
          <w:szCs w:val="26"/>
        </w:rPr>
      </w:pPr>
    </w:p>
    <w:p w14:paraId="630F5C6E" w14:textId="5F59DB80" w:rsidR="00144D35" w:rsidRDefault="00144D35" w:rsidP="00144D35">
      <w:pPr>
        <w:spacing w:after="0" w:line="240" w:lineRule="auto"/>
        <w:jc w:val="center"/>
        <w:rPr>
          <w:rFonts w:ascii="Arial" w:hAnsi="Arial" w:cs="Arial"/>
          <w:sz w:val="26"/>
          <w:szCs w:val="26"/>
        </w:rPr>
      </w:pPr>
    </w:p>
    <w:p w14:paraId="15469ACA" w14:textId="77777777" w:rsidR="00144D35" w:rsidRDefault="00144D35" w:rsidP="00144D35">
      <w:pPr>
        <w:spacing w:after="0" w:line="240" w:lineRule="auto"/>
        <w:jc w:val="center"/>
        <w:rPr>
          <w:rFonts w:ascii="Arial" w:hAnsi="Arial" w:cs="Arial"/>
          <w:sz w:val="26"/>
          <w:szCs w:val="26"/>
        </w:rPr>
      </w:pPr>
    </w:p>
    <w:p w14:paraId="6A3E747F" w14:textId="77777777" w:rsidR="00144D35" w:rsidRDefault="00144D35" w:rsidP="00144D35">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RAÚL PALOMARES PALOMINO</w:t>
      </w:r>
    </w:p>
    <w:p w14:paraId="79080B72" w14:textId="77777777" w:rsidR="00144D35" w:rsidRDefault="00144D35" w:rsidP="00144D35">
      <w:pPr>
        <w:tabs>
          <w:tab w:val="center" w:pos="4135"/>
          <w:tab w:val="left" w:pos="7515"/>
        </w:tabs>
        <w:spacing w:after="0" w:line="240" w:lineRule="auto"/>
        <w:jc w:val="center"/>
        <w:rPr>
          <w:rFonts w:ascii="Arial" w:hAnsi="Arial" w:cs="Arial"/>
          <w:sz w:val="26"/>
          <w:szCs w:val="26"/>
        </w:rPr>
      </w:pPr>
    </w:p>
    <w:p w14:paraId="44AC070E" w14:textId="77777777" w:rsidR="00144D35" w:rsidRDefault="00144D35" w:rsidP="00144D35">
      <w:pPr>
        <w:tabs>
          <w:tab w:val="center" w:pos="4135"/>
          <w:tab w:val="left" w:pos="7515"/>
        </w:tabs>
        <w:spacing w:after="0" w:line="240" w:lineRule="auto"/>
        <w:rPr>
          <w:rFonts w:ascii="Arial" w:hAnsi="Arial" w:cs="Arial"/>
          <w:sz w:val="26"/>
          <w:szCs w:val="26"/>
        </w:rPr>
      </w:pPr>
    </w:p>
    <w:p w14:paraId="16977AA2" w14:textId="77777777" w:rsidR="00144D35" w:rsidRDefault="00144D35" w:rsidP="00144D35">
      <w:pPr>
        <w:tabs>
          <w:tab w:val="center" w:pos="4135"/>
          <w:tab w:val="left" w:pos="7515"/>
        </w:tabs>
        <w:spacing w:after="0" w:line="240" w:lineRule="auto"/>
        <w:jc w:val="center"/>
        <w:rPr>
          <w:rFonts w:ascii="Arial" w:hAnsi="Arial" w:cs="Arial"/>
          <w:sz w:val="26"/>
          <w:szCs w:val="26"/>
        </w:rPr>
      </w:pPr>
    </w:p>
    <w:p w14:paraId="4C484476" w14:textId="77777777" w:rsidR="00144D35" w:rsidRDefault="00144D35" w:rsidP="00144D35">
      <w:pPr>
        <w:tabs>
          <w:tab w:val="center" w:pos="4135"/>
          <w:tab w:val="left" w:pos="7515"/>
        </w:tabs>
        <w:spacing w:after="0" w:line="240" w:lineRule="auto"/>
        <w:jc w:val="center"/>
        <w:rPr>
          <w:rFonts w:ascii="Arial" w:hAnsi="Arial" w:cs="Arial"/>
          <w:sz w:val="26"/>
          <w:szCs w:val="26"/>
        </w:rPr>
      </w:pPr>
    </w:p>
    <w:p w14:paraId="0B7731C5" w14:textId="77777777" w:rsidR="00144D35" w:rsidRDefault="00144D35" w:rsidP="00144D35">
      <w:pPr>
        <w:tabs>
          <w:tab w:val="center" w:pos="4135"/>
          <w:tab w:val="left" w:pos="7515"/>
        </w:tabs>
        <w:spacing w:after="0" w:line="240" w:lineRule="auto"/>
        <w:rPr>
          <w:rFonts w:ascii="Arial" w:hAnsi="Arial" w:cs="Arial"/>
          <w:sz w:val="26"/>
          <w:szCs w:val="26"/>
        </w:rPr>
      </w:pPr>
    </w:p>
    <w:p w14:paraId="76BD104E" w14:textId="46254D14" w:rsidR="00144D35" w:rsidRDefault="00144D35" w:rsidP="00144D35">
      <w:pPr>
        <w:tabs>
          <w:tab w:val="center" w:pos="4135"/>
          <w:tab w:val="left" w:pos="7515"/>
        </w:tabs>
        <w:spacing w:after="0" w:line="240" w:lineRule="auto"/>
        <w:jc w:val="center"/>
        <w:rPr>
          <w:rFonts w:ascii="Arial" w:hAnsi="Arial" w:cs="Arial"/>
          <w:sz w:val="26"/>
          <w:szCs w:val="26"/>
        </w:rPr>
      </w:pPr>
    </w:p>
    <w:p w14:paraId="200AC0B9" w14:textId="77777777" w:rsidR="00144D35" w:rsidRDefault="00144D35" w:rsidP="00144D35">
      <w:pPr>
        <w:tabs>
          <w:tab w:val="center" w:pos="4135"/>
          <w:tab w:val="left" w:pos="7515"/>
        </w:tabs>
        <w:spacing w:after="0" w:line="240" w:lineRule="auto"/>
        <w:jc w:val="center"/>
        <w:rPr>
          <w:rFonts w:ascii="Arial" w:hAnsi="Arial" w:cs="Arial"/>
          <w:sz w:val="26"/>
          <w:szCs w:val="26"/>
        </w:rPr>
      </w:pPr>
    </w:p>
    <w:p w14:paraId="4E2773F3" w14:textId="77777777" w:rsidR="00144D35" w:rsidRDefault="00144D35" w:rsidP="00144D35">
      <w:pPr>
        <w:tabs>
          <w:tab w:val="center" w:pos="4135"/>
          <w:tab w:val="left" w:pos="7515"/>
        </w:tabs>
        <w:spacing w:after="0" w:line="240" w:lineRule="auto"/>
        <w:jc w:val="center"/>
        <w:rPr>
          <w:rFonts w:ascii="Arial" w:hAnsi="Arial" w:cs="Arial"/>
          <w:sz w:val="26"/>
          <w:szCs w:val="26"/>
        </w:rPr>
      </w:pPr>
    </w:p>
    <w:p w14:paraId="5A98159B" w14:textId="77777777" w:rsidR="00144D35" w:rsidRDefault="00144D35" w:rsidP="00144D35">
      <w:pPr>
        <w:tabs>
          <w:tab w:val="center" w:pos="4135"/>
          <w:tab w:val="left" w:pos="7515"/>
        </w:tabs>
        <w:spacing w:after="0" w:line="240" w:lineRule="auto"/>
        <w:jc w:val="center"/>
        <w:rPr>
          <w:rFonts w:ascii="Arial" w:hAnsi="Arial" w:cs="Arial"/>
          <w:sz w:val="26"/>
          <w:szCs w:val="26"/>
        </w:rPr>
      </w:pPr>
    </w:p>
    <w:p w14:paraId="1781BD78" w14:textId="77777777" w:rsidR="00144D35" w:rsidRDefault="00144D35" w:rsidP="00144D35">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ABRAHAM SANTIAGO SORIANO</w:t>
      </w:r>
    </w:p>
    <w:p w14:paraId="674E561F" w14:textId="77777777" w:rsidR="00144D35" w:rsidRDefault="00144D35" w:rsidP="00144D35">
      <w:pPr>
        <w:tabs>
          <w:tab w:val="center" w:pos="4135"/>
          <w:tab w:val="left" w:pos="7515"/>
        </w:tabs>
        <w:spacing w:after="0" w:line="240" w:lineRule="auto"/>
        <w:jc w:val="center"/>
        <w:rPr>
          <w:rFonts w:ascii="Arial" w:hAnsi="Arial" w:cs="Arial"/>
          <w:sz w:val="26"/>
          <w:szCs w:val="26"/>
        </w:rPr>
      </w:pPr>
    </w:p>
    <w:p w14:paraId="434ABF93" w14:textId="77777777" w:rsidR="00144D35" w:rsidRDefault="00144D35" w:rsidP="00144D35">
      <w:pPr>
        <w:tabs>
          <w:tab w:val="center" w:pos="4135"/>
          <w:tab w:val="left" w:pos="7515"/>
        </w:tabs>
        <w:spacing w:after="0" w:line="240" w:lineRule="auto"/>
        <w:rPr>
          <w:rFonts w:ascii="Arial" w:hAnsi="Arial" w:cs="Arial"/>
          <w:sz w:val="26"/>
          <w:szCs w:val="26"/>
        </w:rPr>
      </w:pPr>
    </w:p>
    <w:p w14:paraId="25A43BDA" w14:textId="77777777" w:rsidR="00144D35" w:rsidRDefault="00144D35" w:rsidP="00144D35">
      <w:pPr>
        <w:tabs>
          <w:tab w:val="center" w:pos="4135"/>
          <w:tab w:val="left" w:pos="7515"/>
        </w:tabs>
        <w:spacing w:after="0" w:line="240" w:lineRule="auto"/>
        <w:jc w:val="center"/>
        <w:rPr>
          <w:rFonts w:ascii="Arial" w:hAnsi="Arial" w:cs="Arial"/>
          <w:sz w:val="26"/>
          <w:szCs w:val="26"/>
        </w:rPr>
      </w:pPr>
    </w:p>
    <w:p w14:paraId="2898DEAE" w14:textId="77777777" w:rsidR="00144D35" w:rsidRDefault="00144D35" w:rsidP="00144D35">
      <w:pPr>
        <w:tabs>
          <w:tab w:val="center" w:pos="4135"/>
          <w:tab w:val="left" w:pos="7515"/>
        </w:tabs>
        <w:spacing w:after="0" w:line="240" w:lineRule="auto"/>
        <w:jc w:val="center"/>
        <w:rPr>
          <w:rFonts w:ascii="Arial" w:hAnsi="Arial" w:cs="Arial"/>
          <w:sz w:val="26"/>
          <w:szCs w:val="26"/>
        </w:rPr>
      </w:pPr>
    </w:p>
    <w:p w14:paraId="0BA393CE" w14:textId="77777777" w:rsidR="00144D35" w:rsidRDefault="00144D35" w:rsidP="00144D35">
      <w:pPr>
        <w:tabs>
          <w:tab w:val="center" w:pos="4135"/>
          <w:tab w:val="left" w:pos="7515"/>
        </w:tabs>
        <w:spacing w:after="0" w:line="240" w:lineRule="auto"/>
        <w:jc w:val="center"/>
        <w:rPr>
          <w:rFonts w:ascii="Arial" w:hAnsi="Arial" w:cs="Arial"/>
          <w:sz w:val="26"/>
          <w:szCs w:val="26"/>
        </w:rPr>
      </w:pPr>
    </w:p>
    <w:p w14:paraId="1D69EA1B" w14:textId="77777777" w:rsidR="00144D35" w:rsidRDefault="00144D35" w:rsidP="00144D35">
      <w:pPr>
        <w:tabs>
          <w:tab w:val="center" w:pos="4135"/>
          <w:tab w:val="left" w:pos="7515"/>
        </w:tabs>
        <w:spacing w:after="0" w:line="240" w:lineRule="auto"/>
        <w:jc w:val="center"/>
        <w:rPr>
          <w:rFonts w:ascii="Arial" w:hAnsi="Arial" w:cs="Arial"/>
          <w:sz w:val="26"/>
          <w:szCs w:val="26"/>
        </w:rPr>
      </w:pPr>
    </w:p>
    <w:p w14:paraId="0346BDFE" w14:textId="5790457C" w:rsidR="00144D35" w:rsidRDefault="00144D35" w:rsidP="00144D35">
      <w:pPr>
        <w:tabs>
          <w:tab w:val="center" w:pos="4135"/>
          <w:tab w:val="left" w:pos="7515"/>
        </w:tabs>
        <w:spacing w:after="0" w:line="240" w:lineRule="auto"/>
        <w:jc w:val="center"/>
        <w:rPr>
          <w:rFonts w:ascii="Arial" w:hAnsi="Arial" w:cs="Arial"/>
          <w:sz w:val="26"/>
          <w:szCs w:val="26"/>
        </w:rPr>
      </w:pPr>
    </w:p>
    <w:p w14:paraId="54C67C70" w14:textId="77777777" w:rsidR="00144D35" w:rsidRDefault="00144D35" w:rsidP="00144D35">
      <w:pPr>
        <w:tabs>
          <w:tab w:val="center" w:pos="4135"/>
          <w:tab w:val="left" w:pos="7515"/>
        </w:tabs>
        <w:spacing w:after="0" w:line="240" w:lineRule="auto"/>
        <w:jc w:val="center"/>
        <w:rPr>
          <w:rFonts w:ascii="Arial" w:hAnsi="Arial" w:cs="Arial"/>
          <w:sz w:val="26"/>
          <w:szCs w:val="26"/>
        </w:rPr>
      </w:pPr>
    </w:p>
    <w:p w14:paraId="4BF364E2" w14:textId="77777777" w:rsidR="00144D35" w:rsidRDefault="00144D35" w:rsidP="00144D35">
      <w:pPr>
        <w:tabs>
          <w:tab w:val="center" w:pos="4135"/>
          <w:tab w:val="left" w:pos="7515"/>
        </w:tabs>
        <w:spacing w:after="0" w:line="240" w:lineRule="auto"/>
        <w:jc w:val="center"/>
        <w:rPr>
          <w:rFonts w:ascii="Arial" w:hAnsi="Arial" w:cs="Arial"/>
          <w:sz w:val="26"/>
          <w:szCs w:val="26"/>
        </w:rPr>
      </w:pPr>
    </w:p>
    <w:p w14:paraId="53720101" w14:textId="77777777" w:rsidR="00144D35" w:rsidRDefault="00144D35" w:rsidP="00144D35">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LICENCIADO JUAN EDY GARCIA CORONADO</w:t>
      </w:r>
    </w:p>
    <w:p w14:paraId="579D581B" w14:textId="77777777" w:rsidR="00144D35" w:rsidRDefault="00144D35" w:rsidP="00144D35">
      <w:pPr>
        <w:spacing w:after="0" w:line="240" w:lineRule="auto"/>
        <w:jc w:val="center"/>
        <w:rPr>
          <w:rFonts w:ascii="Arial" w:hAnsi="Arial" w:cs="Arial"/>
          <w:sz w:val="14"/>
          <w:szCs w:val="26"/>
        </w:rPr>
      </w:pPr>
      <w:r>
        <w:rPr>
          <w:rFonts w:ascii="Arial" w:hAnsi="Arial" w:cs="Arial"/>
          <w:sz w:val="26"/>
          <w:szCs w:val="26"/>
        </w:rPr>
        <w:t>SECRETARIO GENERAL DE ACUERDOS</w:t>
      </w:r>
    </w:p>
    <w:p w14:paraId="4A49EE5B" w14:textId="77777777" w:rsidR="00144D35" w:rsidRDefault="00144D35" w:rsidP="00144D35">
      <w:pPr>
        <w:spacing w:before="240" w:line="360" w:lineRule="auto"/>
        <w:ind w:firstLine="708"/>
        <w:jc w:val="both"/>
        <w:rPr>
          <w:sz w:val="26"/>
          <w:szCs w:val="26"/>
        </w:rPr>
      </w:pPr>
    </w:p>
    <w:p w14:paraId="1149FE24" w14:textId="77777777" w:rsidR="00144D35" w:rsidRDefault="00144D35" w:rsidP="00144D35">
      <w:pPr>
        <w:spacing w:line="360" w:lineRule="auto"/>
        <w:ind w:firstLine="708"/>
        <w:jc w:val="both"/>
      </w:pPr>
    </w:p>
    <w:p w14:paraId="5EA75FD3" w14:textId="77777777" w:rsidR="00144D35" w:rsidRDefault="00144D35" w:rsidP="00144D35">
      <w:pPr>
        <w:spacing w:line="360" w:lineRule="auto"/>
        <w:ind w:firstLine="708"/>
        <w:jc w:val="both"/>
        <w:rPr>
          <w:rFonts w:ascii="Arial" w:eastAsia="Calibri" w:hAnsi="Arial" w:cs="Arial"/>
          <w:sz w:val="26"/>
          <w:szCs w:val="26"/>
        </w:rPr>
      </w:pPr>
    </w:p>
    <w:p w14:paraId="56141D0F" w14:textId="77777777" w:rsidR="00144D35" w:rsidRDefault="00144D35" w:rsidP="00144D35">
      <w:pPr>
        <w:jc w:val="center"/>
        <w:rPr>
          <w:rFonts w:ascii="Arial" w:hAnsi="Arial" w:cs="Arial"/>
          <w:sz w:val="26"/>
          <w:szCs w:val="26"/>
        </w:rPr>
      </w:pPr>
    </w:p>
    <w:p w14:paraId="5CABA882" w14:textId="77777777" w:rsidR="00144D35" w:rsidRDefault="00144D35" w:rsidP="00144D35">
      <w:pPr>
        <w:jc w:val="both"/>
        <w:rPr>
          <w:b/>
          <w:sz w:val="18"/>
          <w:szCs w:val="18"/>
        </w:rPr>
      </w:pPr>
    </w:p>
    <w:p w14:paraId="50453FE0" w14:textId="197A691C" w:rsidR="00BA258A" w:rsidRPr="00156F22" w:rsidRDefault="00BA258A" w:rsidP="00144D35">
      <w:pPr>
        <w:spacing w:after="120" w:line="360" w:lineRule="auto"/>
        <w:jc w:val="both"/>
        <w:rPr>
          <w:rFonts w:ascii="Arial" w:hAnsi="Arial" w:cs="Arial"/>
          <w:sz w:val="14"/>
          <w:szCs w:val="26"/>
        </w:rPr>
      </w:pPr>
    </w:p>
    <w:sectPr w:rsidR="00BA258A" w:rsidRPr="00156F22"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D0356A" w14:textId="77777777" w:rsidR="00FA4EDE" w:rsidRDefault="00FA4EDE">
      <w:pPr>
        <w:spacing w:after="0" w:line="240" w:lineRule="auto"/>
      </w:pPr>
      <w:r>
        <w:separator/>
      </w:r>
    </w:p>
  </w:endnote>
  <w:endnote w:type="continuationSeparator" w:id="0">
    <w:p w14:paraId="6C2FBAF6" w14:textId="77777777" w:rsidR="00FA4EDE" w:rsidRDefault="00FA4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356B3E" w14:textId="3B0C3744" w:rsidR="00A80DC8" w:rsidRDefault="005E169C">
    <w:pPr>
      <w:pStyle w:val="Piedepgina"/>
      <w:jc w:val="center"/>
    </w:pPr>
    <w:r>
      <w:rPr>
        <w:noProof/>
      </w:rPr>
      <mc:AlternateContent>
        <mc:Choice Requires="wps">
          <w:drawing>
            <wp:anchor distT="45720" distB="45720" distL="114300" distR="114300" simplePos="0" relativeHeight="251667456" behindDoc="0" locked="0" layoutInCell="1" allowOverlap="1" wp14:anchorId="4BE1048F" wp14:editId="14948A29">
              <wp:simplePos x="0" y="0"/>
              <wp:positionH relativeFrom="column">
                <wp:posOffset>-1480185</wp:posOffset>
              </wp:positionH>
              <wp:positionV relativeFrom="paragraph">
                <wp:posOffset>-5283200</wp:posOffset>
              </wp:positionV>
              <wp:extent cx="1193165" cy="676275"/>
              <wp:effectExtent l="0" t="0" r="26035"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165" cy="676275"/>
                      </a:xfrm>
                      <a:prstGeom prst="rect">
                        <a:avLst/>
                      </a:prstGeom>
                      <a:solidFill>
                        <a:srgbClr val="FFFFFF"/>
                      </a:solidFill>
                      <a:ln w="9525">
                        <a:solidFill>
                          <a:srgbClr val="000000"/>
                        </a:solidFill>
                        <a:miter lim="800000"/>
                        <a:headEnd/>
                        <a:tailEnd/>
                      </a:ln>
                    </wps:spPr>
                    <wps:txbx>
                      <w:txbxContent>
                        <w:p w14:paraId="71A5E38F" w14:textId="77777777" w:rsidR="005E169C" w:rsidRDefault="005E169C" w:rsidP="005E169C">
                          <w:pPr>
                            <w:jc w:val="both"/>
                          </w:pPr>
                          <w:r>
                            <w:rPr>
                              <w:sz w:val="16"/>
                              <w:szCs w:val="16"/>
                            </w:rPr>
                            <w:t xml:space="preserve">Los datos personales están protegidos por el art. 116 de la </w:t>
                          </w:r>
                          <w:proofErr w:type="spellStart"/>
                          <w:r>
                            <w:rPr>
                              <w:sz w:val="16"/>
                              <w:szCs w:val="16"/>
                            </w:rPr>
                            <w:t>LGTAIP</w:t>
                          </w:r>
                          <w:proofErr w:type="spellEnd"/>
                          <w:r>
                            <w:rPr>
                              <w:sz w:val="16"/>
                              <w:szCs w:val="16"/>
                            </w:rPr>
                            <w:t xml:space="preserve"> y el art. 56 de la </w:t>
                          </w:r>
                          <w:proofErr w:type="spellStart"/>
                          <w:r>
                            <w:rPr>
                              <w:sz w:val="16"/>
                              <w:szCs w:val="16"/>
                            </w:rPr>
                            <w:t>LTAIPEO</w:t>
                          </w:r>
                          <w:proofErr w:type="spellEnd"/>
                          <w:r>
                            <w:rPr>
                              <w:sz w:val="16"/>
                              <w:szCs w:val="16"/>
                            </w:rPr>
                            <w:t>.</w:t>
                          </w:r>
                        </w:p>
                        <w:p w14:paraId="43A58875" w14:textId="298EC45B" w:rsidR="005E169C" w:rsidRDefault="005E16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E1048F" id="_x0000_t202" coordsize="21600,21600" o:spt="202" path="m,l,21600r21600,l21600,xe">
              <v:stroke joinstyle="miter"/>
              <v:path gradientshapeok="t" o:connecttype="rect"/>
            </v:shapetype>
            <v:shape id="Cuadro de texto 2" o:spid="_x0000_s1026" type="#_x0000_t202" style="position:absolute;left:0;text-align:left;margin-left:-116.55pt;margin-top:-416pt;width:93.95pt;height:53.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">
              <v:textbox>
                <w:txbxContent>
                  <w:p w14:paraId="71A5E38F" w14:textId="77777777" w:rsidR="005E169C" w:rsidRDefault="005E169C" w:rsidP="005E169C">
                    <w:pPr>
                      <w:jc w:val="both"/>
                    </w:pPr>
                    <w:r>
                      <w:rPr>
                        <w:sz w:val="16"/>
                        <w:szCs w:val="16"/>
                      </w:rPr>
                      <w:t xml:space="preserve">Los datos personales están protegidos por el art. 116 de la </w:t>
                    </w:r>
                    <w:proofErr w:type="spellStart"/>
                    <w:r>
                      <w:rPr>
                        <w:sz w:val="16"/>
                        <w:szCs w:val="16"/>
                      </w:rPr>
                      <w:t>LGTAIP</w:t>
                    </w:r>
                    <w:proofErr w:type="spellEnd"/>
                    <w:r>
                      <w:rPr>
                        <w:sz w:val="16"/>
                        <w:szCs w:val="16"/>
                      </w:rPr>
                      <w:t xml:space="preserve"> y el art. 56 de la </w:t>
                    </w:r>
                    <w:proofErr w:type="spellStart"/>
                    <w:r>
                      <w:rPr>
                        <w:sz w:val="16"/>
                        <w:szCs w:val="16"/>
                      </w:rPr>
                      <w:t>LTAIPEO</w:t>
                    </w:r>
                    <w:proofErr w:type="spellEnd"/>
                    <w:r>
                      <w:rPr>
                        <w:sz w:val="16"/>
                        <w:szCs w:val="16"/>
                      </w:rPr>
                      <w:t>.</w:t>
                    </w:r>
                  </w:p>
                  <w:p w14:paraId="43A58875" w14:textId="298EC45B" w:rsidR="005E169C" w:rsidRDefault="005E169C"/>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F745F8" w14:textId="77777777" w:rsidR="00FA4EDE" w:rsidRDefault="00FA4EDE">
      <w:pPr>
        <w:spacing w:after="0" w:line="240" w:lineRule="auto"/>
      </w:pPr>
      <w:r>
        <w:separator/>
      </w:r>
    </w:p>
  </w:footnote>
  <w:footnote w:type="continuationSeparator" w:id="0">
    <w:p w14:paraId="02485677" w14:textId="77777777" w:rsidR="00FA4EDE" w:rsidRDefault="00FA4EDE">
      <w:pPr>
        <w:spacing w:after="0" w:line="240" w:lineRule="auto"/>
      </w:pPr>
      <w:r>
        <w:continuationSeparator/>
      </w:r>
    </w:p>
  </w:footnote>
  <w:footnote w:id="1">
    <w:p w14:paraId="26E59DC2" w14:textId="436D8832" w:rsidR="005D0A0D" w:rsidRDefault="005D0A0D" w:rsidP="005D0A0D">
      <w:pPr>
        <w:pStyle w:val="Textonotapie"/>
        <w:jc w:val="both"/>
      </w:pPr>
      <w:r>
        <w:rPr>
          <w:rStyle w:val="Refdenotaalpie"/>
        </w:rPr>
        <w:footnoteRef/>
      </w:r>
      <w:r>
        <w:t xml:space="preserve"> “</w:t>
      </w:r>
      <w:r w:rsidRPr="005D0A0D">
        <w:rPr>
          <w:b/>
          <w:bCs/>
        </w:rPr>
        <w:t>MULTAS NO FISCALES, SON TODAS LAS ESTABLECIDAS POR LA COMISION DE INFRACCIONES NO RELACIONADAS CON LA MATERIA TRIBUTARIA</w:t>
      </w:r>
      <w:r>
        <w:t>. De conformidad con el artículo 21, párrafo noveno, última parte, del Código Fiscal de la Federación, no causarán recargos las multas no fiscales. Sin desconocer que todas las multas se catalogan dentro de los cobros fiscales, en razón de que se sigue el procedimiento administrativo de ejecución (antes llamado económico-coactivo) para hacerlas efectivas, la naturaleza jurídica del crédito varía según la materia del ordenamiento legal que establece las infracciones, las sanciones y la autoridad que las aplica (multas fiscales, administrativas, judiciales, penales, etcétera); por ello, únicamente podrá entenderse por multas fiscales las sanciones económicas establecidas por la comisión de infracciones relacionadas con la materia tributaria y, en consecuencia, serán no fiscales todas las demás.”</w:t>
      </w:r>
    </w:p>
  </w:footnote>
  <w:footnote w:id="2">
    <w:p w14:paraId="21C96440" w14:textId="77777777" w:rsidR="00580245" w:rsidRDefault="00580245" w:rsidP="00580245">
      <w:pPr>
        <w:pStyle w:val="Textonotapie"/>
        <w:jc w:val="both"/>
      </w:pPr>
      <w:r>
        <w:rPr>
          <w:rStyle w:val="Refdenotaalpie"/>
        </w:rPr>
        <w:footnoteRef/>
      </w:r>
      <w:r>
        <w:t xml:space="preserve"> “</w:t>
      </w:r>
      <w:r w:rsidRPr="009D7060">
        <w:rPr>
          <w:b/>
        </w:rPr>
        <w:t>ARTÍCULO 98.-</w:t>
      </w:r>
      <w:r>
        <w:t xml:space="preserve"> Los interesados afectados por los actos y resoluciones de las autoridades administrativas que pongan fin al procedimiento administrativo, a una instancia o resuelvan un expediente, podrán interponer recurso de revisión o intentar las vías judiciales-administrativas correspondientes ante el Tribunal. (…)”</w:t>
      </w:r>
    </w:p>
  </w:footnote>
  <w:footnote w:id="3">
    <w:p w14:paraId="46179D74" w14:textId="77777777" w:rsidR="00580245" w:rsidRDefault="00580245" w:rsidP="00580245">
      <w:pPr>
        <w:pStyle w:val="Textonotapie"/>
        <w:jc w:val="both"/>
        <w:rPr>
          <w:b/>
        </w:rPr>
      </w:pPr>
      <w:r>
        <w:rPr>
          <w:rStyle w:val="Refdenotaalpie"/>
        </w:rPr>
        <w:footnoteRef/>
      </w:r>
      <w:r>
        <w:t xml:space="preserve"> “</w:t>
      </w:r>
      <w:r w:rsidRPr="007F72C5">
        <w:rPr>
          <w:b/>
        </w:rPr>
        <w:t xml:space="preserve">Artículo 40. </w:t>
      </w:r>
    </w:p>
    <w:p w14:paraId="13003972" w14:textId="77777777" w:rsidR="00580245" w:rsidRDefault="00580245" w:rsidP="00580245">
      <w:pPr>
        <w:pStyle w:val="Textonotapie"/>
        <w:jc w:val="both"/>
      </w:pPr>
      <w:r w:rsidRPr="007F72C5">
        <w:rPr>
          <w:b/>
        </w:rPr>
        <w:t>1.</w:t>
      </w:r>
      <w:r>
        <w:t xml:space="preserve"> La multas que imponga el Tribunal, tendrán el carácter de crédito fiscal; se pagaran en la Secretaría de Finanzas del Estado en un plazo improrrogable de quince días, los cuales se contarán a partir de la notificación que reciba la persona sancionada, misma que deberán informar del debido cumplimiento, para efectos de mandar a archivar el asunto correspondiente. </w:t>
      </w:r>
    </w:p>
    <w:p w14:paraId="0AA876C6" w14:textId="733EE33B" w:rsidR="00580245" w:rsidRDefault="00580245" w:rsidP="00580245">
      <w:pPr>
        <w:pStyle w:val="Textonotapie"/>
        <w:jc w:val="both"/>
      </w:pPr>
      <w:r w:rsidRPr="007F72C5">
        <w:rPr>
          <w:b/>
        </w:rPr>
        <w:t xml:space="preserve">2. </w:t>
      </w:r>
      <w:r>
        <w:t xml:space="preserve">En caso de que la multa no sea cubierta en términos del numeral anterior, el </w:t>
      </w:r>
      <w:r w:rsidR="005D0A0D">
        <w:t>presidente</w:t>
      </w:r>
      <w:r>
        <w:t xml:space="preserve"> del Tribunal girará oficio a la Secretaría de Finanzas, para que proceda el cobro de la misma a través del procedimiento de ejecución respectivo, solicitando que oportunamente informe sobre el particular.”</w:t>
      </w:r>
    </w:p>
  </w:footnote>
  <w:footnote w:id="4">
    <w:p w14:paraId="7BE151C8" w14:textId="77777777" w:rsidR="00580245" w:rsidRDefault="00580245" w:rsidP="00580245">
      <w:pPr>
        <w:pStyle w:val="Textonotapie"/>
        <w:jc w:val="both"/>
      </w:pPr>
      <w:r>
        <w:rPr>
          <w:rStyle w:val="Refdenotaalpie"/>
        </w:rPr>
        <w:footnoteRef/>
      </w:r>
      <w:r>
        <w:t xml:space="preserve"> “</w:t>
      </w:r>
      <w:r>
        <w:rPr>
          <w:b/>
        </w:rPr>
        <w:t>ARTÍCULO 133.-</w:t>
      </w:r>
      <w:r>
        <w:t xml:space="preserve"> Las Salas Unitarias del Tribunal son competentes para conocer y resolver los juicios que se promueven en contra de: I. Los actos y resoluciones emanados de las autoridades del Poder Ejecutivo, de los Municipios y de sus órganos descentralizados y desconcentrados, cuando estos actúen como autoridades, dictándolas, ordenándolas, ejecutándolas o tratando de ejecutarlas y que causen agravio los particulares, por no ajustarse a los elementos y requisitos de validez previstos por el artículo 17 de </w:t>
      </w:r>
      <w:proofErr w:type="gramStart"/>
      <w:r>
        <w:t>ésta</w:t>
      </w:r>
      <w:proofErr w:type="gramEnd"/>
      <w:r>
        <w:t xml:space="preserve"> ley; (…)”</w:t>
      </w:r>
    </w:p>
  </w:footnote>
  <w:footnote w:id="5">
    <w:p w14:paraId="0E0B6D48" w14:textId="77777777" w:rsidR="00580245" w:rsidRDefault="00580245" w:rsidP="00580245">
      <w:pPr>
        <w:pStyle w:val="Textonotapie"/>
        <w:jc w:val="both"/>
      </w:pPr>
      <w:r>
        <w:rPr>
          <w:rStyle w:val="Refdenotaalpie"/>
        </w:rPr>
        <w:footnoteRef/>
      </w:r>
      <w:r>
        <w:t xml:space="preserve"> “</w:t>
      </w:r>
      <w:r w:rsidRPr="00D94AD2">
        <w:rPr>
          <w:b/>
        </w:rPr>
        <w:t>ARTÍCULO 161.-</w:t>
      </w:r>
      <w:r>
        <w:t xml:space="preserve"> Es improcedente el juicio ante el Tribunal contra actos: (…) IX. Cuando de las constancias de apareciere claramente que no existe el acto reclamado o cuando no se probare su existencia; y X. En los demás casos en que la improcedencia resulte de alguna disposición de esta Ley o de cualquiera otra de naturaleza o administrativa. (…)”</w:t>
      </w:r>
    </w:p>
  </w:footnote>
  <w:footnote w:id="6">
    <w:p w14:paraId="676C0DF0" w14:textId="77777777" w:rsidR="00580245" w:rsidRDefault="00580245" w:rsidP="00580245">
      <w:pPr>
        <w:pStyle w:val="Textonotapie"/>
        <w:jc w:val="both"/>
      </w:pPr>
      <w:r>
        <w:rPr>
          <w:rStyle w:val="Refdenotaalpie"/>
        </w:rPr>
        <w:footnoteRef/>
      </w:r>
      <w:r>
        <w:t xml:space="preserve"> “</w:t>
      </w:r>
      <w:r w:rsidRPr="00D94AD2">
        <w:rPr>
          <w:b/>
        </w:rPr>
        <w:t>ARTÍCULO 162.-</w:t>
      </w:r>
      <w:r>
        <w:t xml:space="preserve"> Procede el sobreseimiento del juicio: (…) VI. En los demás casos en los que por disposición legal exista impedimento para emitir resoluciones en cuanto al fondo; 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081766"/>
      <w:docPartObj>
        <w:docPartGallery w:val="Page Numbers (Top of Page)"/>
        <w:docPartUnique/>
      </w:docPartObj>
    </w:sdtPr>
    <w:sdtEndPr/>
    <w:sdtContent>
      <w:p w14:paraId="0409FE29" w14:textId="62677F2A" w:rsidR="000F5C41" w:rsidRDefault="00DB2363">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7B4ACC" w:rsidRPr="007B4ACC">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DB874C" w14:textId="7F10DE4A" w:rsidR="000F5C41" w:rsidRDefault="00DB2363">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7B4ACC" w:rsidRPr="007B4ACC">
          <w:rPr>
            <w:noProof/>
            <w:lang w:val="es-ES"/>
          </w:rPr>
          <w:t>13</w:t>
        </w:r>
        <w:r w:rsidR="000F5C41">
          <w:fldChar w:fldCharType="end"/>
        </w:r>
      </w:sdtContent>
    </w:sdt>
  </w:p>
  <w:p w14:paraId="51E22156" w14:textId="4ECD74F2"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6E61BBF8">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54315468"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E3C94" w14:textId="2C1A9D1C" w:rsidR="00D73C07" w:rsidRDefault="00DB2363">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15:restartNumberingAfterBreak="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15:restartNumberingAfterBreak="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15:restartNumberingAfterBreak="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2"/>
  </w:num>
  <w:num w:numId="3">
    <w:abstractNumId w:val="0"/>
  </w:num>
  <w:num w:numId="4">
    <w:abstractNumId w:val="7"/>
  </w:num>
  <w:num w:numId="5">
    <w:abstractNumId w:val="9"/>
  </w:num>
  <w:num w:numId="6">
    <w:abstractNumId w:val="5"/>
  </w:num>
  <w:num w:numId="7">
    <w:abstractNumId w:val="4"/>
  </w:num>
  <w:num w:numId="8">
    <w:abstractNumId w:val="1"/>
  </w:num>
  <w:num w:numId="9">
    <w:abstractNumId w:val="3"/>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4FCF"/>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07437"/>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4D35"/>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0965"/>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75D39"/>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C99"/>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4E5F"/>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45"/>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A0D"/>
    <w:rsid w:val="005D2CDE"/>
    <w:rsid w:val="005D2DDC"/>
    <w:rsid w:val="005D341C"/>
    <w:rsid w:val="005D3A26"/>
    <w:rsid w:val="005D3C96"/>
    <w:rsid w:val="005D4EDA"/>
    <w:rsid w:val="005D58F0"/>
    <w:rsid w:val="005D65FC"/>
    <w:rsid w:val="005D6747"/>
    <w:rsid w:val="005D6918"/>
    <w:rsid w:val="005E08EE"/>
    <w:rsid w:val="005E169C"/>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4F89"/>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ACC"/>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0860"/>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0971"/>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A7F91"/>
    <w:rsid w:val="00DB05C4"/>
    <w:rsid w:val="00DB0766"/>
    <w:rsid w:val="00DB07C2"/>
    <w:rsid w:val="00DB0E2F"/>
    <w:rsid w:val="00DB0F5D"/>
    <w:rsid w:val="00DB1351"/>
    <w:rsid w:val="00DB16DB"/>
    <w:rsid w:val="00DB2363"/>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6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5E0D"/>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2768"/>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4EDE"/>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character" w:customStyle="1" w:styleId="red">
    <w:name w:val="red"/>
    <w:basedOn w:val="Fuentedeprrafopredeter"/>
    <w:rsid w:val="005802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614403828">
      <w:bodyDiv w:val="1"/>
      <w:marLeft w:val="0"/>
      <w:marRight w:val="0"/>
      <w:marTop w:val="0"/>
      <w:marBottom w:val="0"/>
      <w:divBdr>
        <w:top w:val="none" w:sz="0" w:space="0" w:color="auto"/>
        <w:left w:val="none" w:sz="0" w:space="0" w:color="auto"/>
        <w:bottom w:val="none" w:sz="0" w:space="0" w:color="auto"/>
        <w:right w:val="none" w:sz="0" w:space="0" w:color="auto"/>
      </w:divBdr>
    </w:div>
    <w:div w:id="1171722064">
      <w:bodyDiv w:val="1"/>
      <w:marLeft w:val="0"/>
      <w:marRight w:val="0"/>
      <w:marTop w:val="0"/>
      <w:marBottom w:val="0"/>
      <w:divBdr>
        <w:top w:val="none" w:sz="0" w:space="0" w:color="auto"/>
        <w:left w:val="none" w:sz="0" w:space="0" w:color="auto"/>
        <w:bottom w:val="none" w:sz="0" w:space="0" w:color="auto"/>
        <w:right w:val="none" w:sz="0" w:space="0" w:color="auto"/>
      </w:divBdr>
      <w:divsChild>
        <w:div w:id="1536580546">
          <w:marLeft w:val="0"/>
          <w:marRight w:val="0"/>
          <w:marTop w:val="0"/>
          <w:marBottom w:val="0"/>
          <w:divBdr>
            <w:top w:val="none" w:sz="0" w:space="0" w:color="auto"/>
            <w:left w:val="none" w:sz="0" w:space="0" w:color="auto"/>
            <w:bottom w:val="none" w:sz="0" w:space="0" w:color="auto"/>
            <w:right w:val="none" w:sz="0" w:space="0" w:color="auto"/>
          </w:divBdr>
        </w:div>
      </w:divsChild>
    </w:div>
    <w:div w:id="1313681221">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3070B-5DE0-46BE-BF3C-2FEC2041C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13</Pages>
  <Words>4709</Words>
  <Characters>25904</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Rossy</cp:lastModifiedBy>
  <cp:revision>11</cp:revision>
  <cp:lastPrinted>2020-11-24T21:10:00Z</cp:lastPrinted>
  <dcterms:created xsi:type="dcterms:W3CDTF">2020-10-15T06:11:00Z</dcterms:created>
  <dcterms:modified xsi:type="dcterms:W3CDTF">2021-02-07T15:26:00Z</dcterms:modified>
</cp:coreProperties>
</file>