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4AE031F4"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BD000B">
        <w:rPr>
          <w:rFonts w:ascii="Arial" w:eastAsia="Times New Roman" w:hAnsi="Arial" w:cs="Arial"/>
          <w:bCs/>
          <w:sz w:val="24"/>
          <w:szCs w:val="27"/>
          <w:lang w:val="es-ES_tradnl" w:eastAsia="es-ES"/>
        </w:rPr>
        <w:t>90</w:t>
      </w:r>
      <w:r w:rsidR="00614213">
        <w:rPr>
          <w:rFonts w:ascii="Arial" w:eastAsia="Times New Roman" w:hAnsi="Arial" w:cs="Arial"/>
          <w:bCs/>
          <w:sz w:val="24"/>
          <w:szCs w:val="27"/>
          <w:lang w:val="es-ES_tradnl" w:eastAsia="es-ES"/>
        </w:rPr>
        <w:t>/2019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EC0CC54"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9B5DEF">
        <w:rPr>
          <w:rFonts w:ascii="Arial" w:eastAsia="Times New Roman" w:hAnsi="Arial" w:cs="Arial"/>
          <w:sz w:val="24"/>
          <w:szCs w:val="27"/>
          <w:lang w:val="es-ES_tradnl" w:eastAsia="es-ES"/>
        </w:rPr>
        <w:t>****</w:t>
      </w:r>
      <w:r w:rsidR="00BD000B">
        <w:rPr>
          <w:rFonts w:ascii="Arial" w:eastAsia="Times New Roman" w:hAnsi="Arial" w:cs="Arial"/>
          <w:sz w:val="24"/>
          <w:szCs w:val="27"/>
          <w:lang w:val="es-ES_tradnl" w:eastAsia="es-ES"/>
        </w:rPr>
        <w:t xml:space="preserve"> </w:t>
      </w:r>
      <w:r w:rsidR="009B5DEF">
        <w:rPr>
          <w:rFonts w:ascii="Arial" w:eastAsia="Times New Roman" w:hAnsi="Arial" w:cs="Arial"/>
          <w:sz w:val="24"/>
          <w:szCs w:val="27"/>
          <w:lang w:val="es-ES_tradnl" w:eastAsia="es-ES"/>
        </w:rPr>
        <w:t>****</w:t>
      </w:r>
      <w:r w:rsidR="00BD000B">
        <w:rPr>
          <w:rFonts w:ascii="Arial" w:eastAsia="Times New Roman" w:hAnsi="Arial" w:cs="Arial"/>
          <w:sz w:val="24"/>
          <w:szCs w:val="27"/>
          <w:lang w:val="es-ES_tradnl" w:eastAsia="es-ES"/>
        </w:rPr>
        <w:t xml:space="preserve"> </w:t>
      </w:r>
      <w:r w:rsidR="009B5DEF">
        <w:rPr>
          <w:rFonts w:ascii="Arial" w:eastAsia="Times New Roman" w:hAnsi="Arial" w:cs="Arial"/>
          <w:sz w:val="24"/>
          <w:szCs w:val="27"/>
          <w:lang w:val="es-ES_tradnl" w:eastAsia="es-ES"/>
        </w:rPr>
        <w:t>*****</w:t>
      </w:r>
      <w:r w:rsidR="00BD000B">
        <w:rPr>
          <w:rFonts w:ascii="Arial" w:eastAsia="Times New Roman" w:hAnsi="Arial" w:cs="Arial"/>
          <w:sz w:val="24"/>
          <w:szCs w:val="27"/>
          <w:lang w:val="es-ES_tradnl" w:eastAsia="es-ES"/>
        </w:rPr>
        <w:t xml:space="preserve"> </w:t>
      </w:r>
      <w:r w:rsidR="009B5DEF">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7128960"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BD000B">
        <w:rPr>
          <w:rFonts w:ascii="Arial" w:eastAsia="Times New Roman" w:hAnsi="Arial" w:cs="Arial"/>
          <w:sz w:val="24"/>
          <w:szCs w:val="27"/>
          <w:lang w:val="es-ES_tradnl" w:eastAsia="es-ES"/>
        </w:rPr>
        <w:t>SUBDIRECTORA DE INGRESOS DEL MUNICIPIO DE OAXACA DE JUÁREZ, OAXACA</w:t>
      </w:r>
      <w:r w:rsidR="00D3679B">
        <w:rPr>
          <w:rFonts w:ascii="Arial" w:eastAsia="Times New Roman" w:hAnsi="Arial" w:cs="Arial"/>
          <w:sz w:val="24"/>
          <w:szCs w:val="27"/>
          <w:lang w:val="es-ES_tradnl" w:eastAsia="es-ES"/>
        </w:rPr>
        <w:t>.</w:t>
      </w:r>
    </w:p>
    <w:p w14:paraId="70DB9FE9" w14:textId="294C54D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51248A">
        <w:rPr>
          <w:rFonts w:ascii="Arial" w:eastAsia="Times New Roman" w:hAnsi="Arial" w:cs="Arial"/>
          <w:b/>
          <w:sz w:val="24"/>
          <w:szCs w:val="27"/>
          <w:lang w:val="es-ES" w:eastAsia="es-ES"/>
        </w:rPr>
        <w:t>QUINCE</w:t>
      </w:r>
      <w:r w:rsidR="00E43E7F">
        <w:rPr>
          <w:rFonts w:ascii="Arial" w:eastAsia="Times New Roman" w:hAnsi="Arial" w:cs="Arial"/>
          <w:b/>
          <w:sz w:val="24"/>
          <w:szCs w:val="27"/>
          <w:lang w:val="es-ES" w:eastAsia="es-ES"/>
        </w:rPr>
        <w:t xml:space="preserve"> DE FEBRERO DE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4595B174"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BD000B">
        <w:rPr>
          <w:rFonts w:ascii="Arial" w:eastAsia="Times New Roman" w:hAnsi="Arial" w:cs="Arial"/>
          <w:b/>
          <w:bCs/>
          <w:sz w:val="24"/>
          <w:szCs w:val="27"/>
          <w:lang w:val="es-ES_tradnl" w:eastAsia="es-ES"/>
        </w:rPr>
        <w:t>90</w:t>
      </w:r>
      <w:r w:rsidR="00614213">
        <w:rPr>
          <w:rFonts w:ascii="Arial" w:eastAsia="Times New Roman" w:hAnsi="Arial" w:cs="Arial"/>
          <w:b/>
          <w:bCs/>
          <w:sz w:val="24"/>
          <w:szCs w:val="27"/>
          <w:lang w:val="es-ES_tradnl" w:eastAsia="es-ES"/>
        </w:rPr>
        <w:t>/2019</w:t>
      </w:r>
      <w:r w:rsidR="00102315" w:rsidRPr="009C0C09">
        <w:rPr>
          <w:rFonts w:ascii="Arial" w:eastAsia="Times New Roman" w:hAnsi="Arial" w:cs="Arial"/>
          <w:sz w:val="24"/>
          <w:szCs w:val="27"/>
          <w:lang w:val="es-ES_tradnl" w:eastAsia="es-ES"/>
        </w:rPr>
        <w:t>, interpuesto por</w:t>
      </w:r>
      <w:r w:rsidR="006931A3">
        <w:rPr>
          <w:rFonts w:ascii="Arial" w:eastAsia="Times New Roman" w:hAnsi="Arial" w:cs="Arial"/>
          <w:sz w:val="24"/>
          <w:szCs w:val="27"/>
          <w:lang w:val="es-ES_tradnl" w:eastAsia="es-ES"/>
        </w:rPr>
        <w:t xml:space="preserve"> ******</w:t>
      </w:r>
      <w:r w:rsidR="00992E61">
        <w:rPr>
          <w:rFonts w:ascii="Arial" w:eastAsia="Times New Roman" w:hAnsi="Arial" w:cs="Arial"/>
          <w:sz w:val="24"/>
          <w:szCs w:val="27"/>
          <w:lang w:val="es-ES_tradnl" w:eastAsia="es-ES"/>
        </w:rPr>
        <w:t xml:space="preserve"> </w:t>
      </w:r>
      <w:r w:rsidR="006931A3">
        <w:rPr>
          <w:rFonts w:ascii="Arial" w:eastAsia="Times New Roman" w:hAnsi="Arial" w:cs="Arial"/>
          <w:sz w:val="24"/>
          <w:szCs w:val="27"/>
          <w:lang w:val="es-ES_tradnl" w:eastAsia="es-ES"/>
        </w:rPr>
        <w:t>*****</w:t>
      </w:r>
      <w:r w:rsidR="00992E61">
        <w:rPr>
          <w:rFonts w:ascii="Arial" w:eastAsia="Times New Roman" w:hAnsi="Arial" w:cs="Arial"/>
          <w:sz w:val="24"/>
          <w:szCs w:val="27"/>
          <w:lang w:val="es-ES_tradnl" w:eastAsia="es-ES"/>
        </w:rPr>
        <w:t xml:space="preserve"> </w:t>
      </w:r>
      <w:r w:rsidR="006931A3">
        <w:rPr>
          <w:rFonts w:ascii="Arial" w:eastAsia="Times New Roman" w:hAnsi="Arial" w:cs="Arial"/>
          <w:sz w:val="24"/>
          <w:szCs w:val="27"/>
          <w:lang w:val="es-ES_tradnl" w:eastAsia="es-ES"/>
        </w:rPr>
        <w:t>*****</w:t>
      </w:r>
      <w:r w:rsidR="00992E61">
        <w:rPr>
          <w:rFonts w:ascii="Arial" w:eastAsia="Times New Roman" w:hAnsi="Arial" w:cs="Arial"/>
          <w:sz w:val="24"/>
          <w:szCs w:val="27"/>
          <w:lang w:val="es-ES_tradnl" w:eastAsia="es-ES"/>
        </w:rPr>
        <w:t xml:space="preserve"> </w:t>
      </w:r>
      <w:r w:rsidR="006931A3">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2E61">
        <w:rPr>
          <w:rFonts w:ascii="Arial" w:eastAsia="Times New Roman" w:hAnsi="Arial" w:cs="Arial"/>
          <w:sz w:val="24"/>
          <w:szCs w:val="27"/>
          <w:lang w:val="es-ES_tradnl" w:eastAsia="es-ES"/>
        </w:rPr>
        <w:t xml:space="preserve"> la</w:t>
      </w:r>
      <w:r w:rsidR="0099116A">
        <w:rPr>
          <w:rFonts w:ascii="Arial" w:eastAsia="Times New Roman" w:hAnsi="Arial" w:cs="Arial"/>
          <w:sz w:val="24"/>
          <w:szCs w:val="27"/>
          <w:lang w:val="es-ES_tradnl" w:eastAsia="es-ES"/>
        </w:rPr>
        <w:t xml:space="preserve"> </w:t>
      </w:r>
      <w:r w:rsidR="00992E61" w:rsidRPr="00992E61">
        <w:rPr>
          <w:rFonts w:ascii="Arial" w:eastAsia="Times New Roman" w:hAnsi="Arial" w:cs="Arial"/>
          <w:b/>
          <w:sz w:val="24"/>
          <w:szCs w:val="27"/>
          <w:lang w:val="es-ES_tradnl" w:eastAsia="es-ES"/>
        </w:rPr>
        <w:t>SUBDIRECTORA DE INGRESOS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1283C919"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6931A3">
        <w:rPr>
          <w:rFonts w:ascii="Arial" w:eastAsia="Times New Roman" w:hAnsi="Arial" w:cs="Arial"/>
          <w:sz w:val="24"/>
          <w:szCs w:val="27"/>
          <w:lang w:val="es-ES_tradnl" w:eastAsia="es-ES"/>
        </w:rPr>
        <w:t>***** *****</w:t>
      </w:r>
      <w:r w:rsidR="00C91C23">
        <w:rPr>
          <w:rFonts w:ascii="Arial" w:eastAsia="Times New Roman" w:hAnsi="Arial" w:cs="Arial"/>
          <w:sz w:val="24"/>
          <w:szCs w:val="27"/>
          <w:lang w:val="es-ES_tradnl" w:eastAsia="es-ES"/>
        </w:rPr>
        <w:t xml:space="preserve"> </w:t>
      </w:r>
      <w:r w:rsidR="006931A3">
        <w:rPr>
          <w:rFonts w:ascii="Arial" w:eastAsia="Times New Roman" w:hAnsi="Arial" w:cs="Arial"/>
          <w:sz w:val="24"/>
          <w:szCs w:val="27"/>
          <w:lang w:val="es-ES_tradnl" w:eastAsia="es-ES"/>
        </w:rPr>
        <w:t>*****</w:t>
      </w:r>
      <w:r w:rsidR="00C91C23">
        <w:rPr>
          <w:rFonts w:ascii="Arial" w:eastAsia="Times New Roman" w:hAnsi="Arial" w:cs="Arial"/>
          <w:sz w:val="24"/>
          <w:szCs w:val="27"/>
          <w:lang w:val="es-ES_tradnl" w:eastAsia="es-ES"/>
        </w:rPr>
        <w:t xml:space="preserve"> </w:t>
      </w:r>
      <w:r w:rsidR="006931A3">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C91C23">
        <w:rPr>
          <w:rFonts w:ascii="Arial" w:hAnsi="Arial" w:cs="Arial"/>
          <w:bCs/>
          <w:spacing w:val="-3"/>
          <w:sz w:val="24"/>
          <w:szCs w:val="27"/>
          <w:lang w:val="es-ES_tradnl"/>
        </w:rPr>
        <w:t>doce de septiembre</w:t>
      </w:r>
      <w:r w:rsidR="00056CEF">
        <w:rPr>
          <w:rFonts w:ascii="Arial" w:hAnsi="Arial" w:cs="Arial"/>
          <w:bCs/>
          <w:spacing w:val="-3"/>
          <w:sz w:val="24"/>
          <w:szCs w:val="27"/>
          <w:lang w:val="es-ES_tradnl"/>
        </w:rPr>
        <w:t xml:space="preserve">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C91C23">
        <w:rPr>
          <w:rFonts w:ascii="Arial" w:hAnsi="Arial" w:cs="Arial"/>
          <w:bCs/>
          <w:spacing w:val="-3"/>
          <w:sz w:val="24"/>
          <w:szCs w:val="27"/>
          <w:lang w:val="es-ES_tradnl"/>
        </w:rPr>
        <w:t>tuvo demandando la nulidad del oficio número TM/SDI/</w:t>
      </w:r>
      <w:r w:rsidR="006931A3">
        <w:rPr>
          <w:rFonts w:ascii="Arial" w:hAnsi="Arial" w:cs="Arial"/>
          <w:bCs/>
          <w:spacing w:val="-3"/>
          <w:sz w:val="24"/>
          <w:szCs w:val="27"/>
          <w:lang w:val="es-ES_tradnl"/>
        </w:rPr>
        <w:t>****</w:t>
      </w:r>
      <w:r w:rsidR="00C91C23">
        <w:rPr>
          <w:rFonts w:ascii="Arial" w:hAnsi="Arial" w:cs="Arial"/>
          <w:bCs/>
          <w:spacing w:val="-3"/>
          <w:sz w:val="24"/>
          <w:szCs w:val="27"/>
          <w:lang w:val="es-ES_tradnl"/>
        </w:rPr>
        <w:t>/</w:t>
      </w:r>
      <w:r w:rsidR="006931A3">
        <w:rPr>
          <w:rFonts w:ascii="Arial" w:hAnsi="Arial" w:cs="Arial"/>
          <w:bCs/>
          <w:spacing w:val="-3"/>
          <w:sz w:val="24"/>
          <w:szCs w:val="27"/>
          <w:lang w:val="es-ES_tradnl"/>
        </w:rPr>
        <w:t>*****</w:t>
      </w:r>
      <w:r w:rsidR="00C91C23">
        <w:rPr>
          <w:rFonts w:ascii="Arial" w:hAnsi="Arial" w:cs="Arial"/>
          <w:bCs/>
          <w:spacing w:val="-3"/>
          <w:sz w:val="24"/>
          <w:szCs w:val="27"/>
          <w:lang w:val="es-ES_tradnl"/>
        </w:rPr>
        <w:t xml:space="preserve"> de fecha </w:t>
      </w:r>
      <w:r w:rsidR="006931A3">
        <w:rPr>
          <w:rFonts w:ascii="Arial" w:hAnsi="Arial" w:cs="Arial"/>
          <w:bCs/>
          <w:spacing w:val="-3"/>
          <w:sz w:val="24"/>
          <w:szCs w:val="27"/>
          <w:lang w:val="es-ES_tradnl"/>
        </w:rPr>
        <w:t>*****</w:t>
      </w:r>
      <w:r w:rsidR="003E69C5">
        <w:rPr>
          <w:rFonts w:ascii="Arial" w:hAnsi="Arial" w:cs="Arial"/>
          <w:bCs/>
          <w:spacing w:val="-3"/>
          <w:sz w:val="24"/>
          <w:szCs w:val="27"/>
          <w:lang w:val="es-ES_tradnl"/>
        </w:rPr>
        <w:t xml:space="preserve"> de </w:t>
      </w:r>
      <w:r w:rsidR="006931A3">
        <w:rPr>
          <w:rFonts w:ascii="Arial" w:hAnsi="Arial" w:cs="Arial"/>
          <w:bCs/>
          <w:spacing w:val="-3"/>
          <w:sz w:val="24"/>
          <w:szCs w:val="27"/>
          <w:lang w:val="es-ES_tradnl"/>
        </w:rPr>
        <w:t>*****</w:t>
      </w:r>
      <w:r w:rsidR="003E69C5">
        <w:rPr>
          <w:rFonts w:ascii="Arial" w:hAnsi="Arial" w:cs="Arial"/>
          <w:bCs/>
          <w:spacing w:val="-3"/>
          <w:sz w:val="24"/>
          <w:szCs w:val="27"/>
          <w:lang w:val="es-ES_tradnl"/>
        </w:rPr>
        <w:t xml:space="preserve"> de dos mil </w:t>
      </w:r>
      <w:r w:rsidR="006931A3">
        <w:rPr>
          <w:rFonts w:ascii="Arial" w:hAnsi="Arial" w:cs="Arial"/>
          <w:bCs/>
          <w:spacing w:val="-3"/>
          <w:sz w:val="24"/>
          <w:szCs w:val="27"/>
          <w:lang w:val="es-ES_tradnl"/>
        </w:rPr>
        <w:t>*****</w:t>
      </w:r>
      <w:r w:rsidR="003E69C5">
        <w:rPr>
          <w:rFonts w:ascii="Arial" w:hAnsi="Arial" w:cs="Arial"/>
          <w:bCs/>
          <w:spacing w:val="-3"/>
          <w:sz w:val="24"/>
          <w:szCs w:val="27"/>
          <w:lang w:val="es-ES_tradnl"/>
        </w:rPr>
        <w:t xml:space="preserve">, por la Subdirectora de Ingresos del Municipio de Oaxaca de Juárez, Oaxaca, </w:t>
      </w:r>
      <w:r w:rsidR="00D75248">
        <w:rPr>
          <w:rFonts w:ascii="Arial" w:hAnsi="Arial" w:cs="Arial"/>
          <w:bCs/>
          <w:spacing w:val="-3"/>
          <w:sz w:val="24"/>
          <w:szCs w:val="27"/>
          <w:lang w:val="es-ES_tradnl"/>
        </w:rPr>
        <w:t xml:space="preserve">por lo que </w:t>
      </w:r>
      <w:r w:rsidR="003E69C5">
        <w:rPr>
          <w:rFonts w:ascii="Arial" w:hAnsi="Arial" w:cs="Arial"/>
          <w:bCs/>
          <w:spacing w:val="-3"/>
          <w:sz w:val="24"/>
          <w:szCs w:val="27"/>
          <w:lang w:val="es-ES_tradnl"/>
        </w:rPr>
        <w:t xml:space="preserve">mediante acuerdo de fecha diecisiete de septiembre de dos mil diecinueve, </w:t>
      </w:r>
      <w:r w:rsidR="00D75248">
        <w:rPr>
          <w:rFonts w:ascii="Arial" w:hAnsi="Arial" w:cs="Arial"/>
          <w:bCs/>
          <w:spacing w:val="-3"/>
          <w:sz w:val="24"/>
          <w:szCs w:val="27"/>
          <w:lang w:val="es-ES_tradnl"/>
        </w:rPr>
        <w:t>se admitió a trámite</w:t>
      </w:r>
      <w:r w:rsidR="00D3679B" w:rsidRPr="00D3679B">
        <w:rPr>
          <w:rFonts w:ascii="Arial" w:hAnsi="Arial" w:cs="Arial"/>
          <w:bCs/>
          <w:spacing w:val="-3"/>
          <w:sz w:val="24"/>
          <w:szCs w:val="27"/>
          <w:lang w:val="es-ES_tradnl"/>
        </w:rPr>
        <w:t xml:space="preserve"> la demanda, ordenándose correr traslado, emplazar a juicio y apercibir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w:t>
      </w:r>
      <w:r w:rsidR="00214BDA">
        <w:rPr>
          <w:rFonts w:ascii="Arial" w:hAnsi="Arial" w:cs="Arial"/>
          <w:bCs/>
          <w:spacing w:val="-3"/>
          <w:sz w:val="24"/>
          <w:szCs w:val="27"/>
          <w:lang w:val="es-ES_tradnl"/>
        </w:rPr>
        <w:t>no que marca la ley, produjera</w:t>
      </w:r>
      <w:r w:rsidR="00D75248">
        <w:rPr>
          <w:rFonts w:ascii="Arial" w:hAnsi="Arial" w:cs="Arial"/>
          <w:bCs/>
          <w:spacing w:val="-3"/>
          <w:sz w:val="24"/>
          <w:szCs w:val="27"/>
          <w:lang w:val="es-ES_tradnl"/>
        </w:rPr>
        <w:t xml:space="preserve"> s</w:t>
      </w:r>
      <w:r w:rsidR="00D3679B" w:rsidRPr="00D3679B">
        <w:rPr>
          <w:rFonts w:ascii="Arial" w:hAnsi="Arial" w:cs="Arial"/>
          <w:bCs/>
          <w:spacing w:val="-3"/>
          <w:sz w:val="24"/>
          <w:szCs w:val="27"/>
          <w:lang w:val="es-ES_tradnl"/>
        </w:rPr>
        <w:t>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027CE240" w14:textId="4B605108" w:rsidR="00633F13" w:rsidRDefault="00716160" w:rsidP="000E2FA7">
      <w:pPr>
        <w:spacing w:line="360" w:lineRule="auto"/>
        <w:ind w:firstLine="567"/>
        <w:jc w:val="both"/>
        <w:rPr>
          <w:rFonts w:ascii="Arial" w:hAnsi="Arial" w:cs="Arial"/>
          <w:bCs/>
          <w:spacing w:val="-3"/>
          <w:sz w:val="24"/>
          <w:szCs w:val="27"/>
          <w:lang w:val="es-ES_tradnl"/>
        </w:rPr>
      </w:pPr>
      <w:r w:rsidRPr="00716160">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0E2FA7">
        <w:rPr>
          <w:rFonts w:ascii="Arial" w:hAnsi="Arial" w:cs="Arial"/>
          <w:bCs/>
          <w:spacing w:val="-3"/>
          <w:sz w:val="24"/>
          <w:szCs w:val="27"/>
          <w:lang w:val="es-ES_tradnl"/>
        </w:rPr>
        <w:t xml:space="preserve">Mediante proveído de fecha </w:t>
      </w:r>
      <w:r w:rsidR="000A7800">
        <w:rPr>
          <w:rFonts w:ascii="Arial" w:hAnsi="Arial" w:cs="Arial"/>
          <w:bCs/>
          <w:spacing w:val="-3"/>
          <w:sz w:val="24"/>
          <w:szCs w:val="27"/>
          <w:lang w:val="es-ES_tradnl"/>
        </w:rPr>
        <w:t>veintiocho de octubre</w:t>
      </w:r>
      <w:r w:rsidR="000E2FA7">
        <w:rPr>
          <w:rFonts w:ascii="Arial" w:hAnsi="Arial" w:cs="Arial"/>
          <w:bCs/>
          <w:spacing w:val="-3"/>
          <w:sz w:val="24"/>
          <w:szCs w:val="27"/>
          <w:lang w:val="es-ES_tradnl"/>
        </w:rPr>
        <w:t xml:space="preserve"> </w:t>
      </w:r>
      <w:r w:rsidR="000A7800">
        <w:rPr>
          <w:rFonts w:ascii="Arial" w:hAnsi="Arial" w:cs="Arial"/>
          <w:bCs/>
          <w:spacing w:val="-3"/>
          <w:sz w:val="24"/>
          <w:szCs w:val="27"/>
          <w:lang w:val="es-ES_tradnl"/>
        </w:rPr>
        <w:t xml:space="preserve">de dos mil </w:t>
      </w:r>
      <w:r w:rsidR="001B28C2">
        <w:rPr>
          <w:rFonts w:ascii="Arial" w:hAnsi="Arial" w:cs="Arial"/>
          <w:bCs/>
          <w:spacing w:val="-3"/>
          <w:sz w:val="24"/>
          <w:szCs w:val="27"/>
          <w:lang w:val="es-ES_tradnl"/>
        </w:rPr>
        <w:t>diecinueve</w:t>
      </w:r>
      <w:r w:rsidR="000A7800">
        <w:rPr>
          <w:rFonts w:ascii="Arial" w:hAnsi="Arial" w:cs="Arial"/>
          <w:bCs/>
          <w:spacing w:val="-3"/>
          <w:sz w:val="24"/>
          <w:szCs w:val="27"/>
          <w:lang w:val="es-ES_tradnl"/>
        </w:rPr>
        <w:t>, se tuvo a la autoridad demandada</w:t>
      </w:r>
      <w:r w:rsidR="000E2FA7">
        <w:rPr>
          <w:rFonts w:ascii="Arial" w:hAnsi="Arial" w:cs="Arial"/>
          <w:bCs/>
          <w:spacing w:val="-3"/>
          <w:sz w:val="24"/>
          <w:szCs w:val="27"/>
          <w:lang w:val="es-ES_tradnl"/>
        </w:rPr>
        <w:t xml:space="preserve"> contestando a la demanda entablada en su contra en tiempo y forma y en los</w:t>
      </w:r>
      <w:r w:rsidR="007D26DB">
        <w:rPr>
          <w:rFonts w:ascii="Arial" w:hAnsi="Arial" w:cs="Arial"/>
          <w:bCs/>
          <w:spacing w:val="-3"/>
          <w:sz w:val="24"/>
          <w:szCs w:val="27"/>
          <w:lang w:val="es-ES_tradnl"/>
        </w:rPr>
        <w:t xml:space="preserve"> términos en los que lo hizo</w:t>
      </w:r>
      <w:r w:rsidR="000E2FA7">
        <w:rPr>
          <w:rFonts w:ascii="Arial" w:hAnsi="Arial" w:cs="Arial"/>
          <w:bCs/>
          <w:spacing w:val="-3"/>
          <w:sz w:val="24"/>
          <w:szCs w:val="27"/>
          <w:lang w:val="es-ES_tradnl"/>
        </w:rPr>
        <w:t xml:space="preserve">, </w:t>
      </w:r>
      <w:r w:rsidR="00B4748B" w:rsidRPr="00B4748B">
        <w:rPr>
          <w:rFonts w:ascii="Arial" w:hAnsi="Arial" w:cs="Arial"/>
          <w:bCs/>
          <w:spacing w:val="-3"/>
          <w:sz w:val="24"/>
          <w:szCs w:val="27"/>
          <w:lang w:val="es-ES_tradnl"/>
        </w:rPr>
        <w:t xml:space="preserve">ordenándose correr traslado a la parte actora para los efectos legales correspondientes. </w:t>
      </w:r>
    </w:p>
    <w:p w14:paraId="746794B7" w14:textId="6B0A5822" w:rsidR="007B0153" w:rsidRDefault="007B0153" w:rsidP="000E2FA7">
      <w:pPr>
        <w:spacing w:line="360" w:lineRule="auto"/>
        <w:ind w:firstLine="567"/>
        <w:jc w:val="both"/>
        <w:rPr>
          <w:rFonts w:ascii="Arial" w:hAnsi="Arial" w:cs="Arial"/>
          <w:bCs/>
          <w:spacing w:val="-3"/>
          <w:sz w:val="24"/>
          <w:szCs w:val="27"/>
          <w:lang w:val="es-ES_tradnl"/>
        </w:rPr>
      </w:pPr>
      <w:r w:rsidRPr="007B0153">
        <w:rPr>
          <w:rFonts w:ascii="Arial" w:hAnsi="Arial" w:cs="Arial"/>
          <w:b/>
          <w:bCs/>
          <w:spacing w:val="-3"/>
          <w:sz w:val="24"/>
          <w:szCs w:val="27"/>
          <w:lang w:val="es-ES_tradnl"/>
        </w:rPr>
        <w:t>TERCERO.</w:t>
      </w:r>
      <w:r>
        <w:rPr>
          <w:rFonts w:ascii="Arial" w:hAnsi="Arial" w:cs="Arial"/>
          <w:bCs/>
          <w:spacing w:val="-3"/>
          <w:sz w:val="24"/>
          <w:szCs w:val="27"/>
          <w:lang w:val="es-ES_tradnl"/>
        </w:rPr>
        <w:t xml:space="preserve"> En auto de fecha nueve de enero</w:t>
      </w:r>
      <w:r w:rsidR="008C6D46">
        <w:rPr>
          <w:rFonts w:ascii="Arial" w:hAnsi="Arial" w:cs="Arial"/>
          <w:bCs/>
          <w:spacing w:val="-3"/>
          <w:sz w:val="24"/>
          <w:szCs w:val="27"/>
          <w:lang w:val="es-ES_tradnl"/>
        </w:rPr>
        <w:t xml:space="preserve"> de dos mil veinte, se tuvo por recibido un escrito del autorizado de la parte actora, y en atención a su contenido, se señaló fecha y hora para la celebración de la audiencia final.</w:t>
      </w:r>
    </w:p>
    <w:p w14:paraId="4E356CC6" w14:textId="52055D87" w:rsidR="00155F12" w:rsidRPr="009C0C09" w:rsidRDefault="008C6D46" w:rsidP="00EA5104">
      <w:pPr>
        <w:spacing w:line="360" w:lineRule="auto"/>
        <w:ind w:firstLine="567"/>
        <w:jc w:val="both"/>
        <w:rPr>
          <w:rFonts w:ascii="Arial" w:hAnsi="Arial" w:cs="Arial"/>
          <w:bCs/>
          <w:spacing w:val="-3"/>
          <w:sz w:val="24"/>
          <w:szCs w:val="27"/>
          <w:lang w:val="es-ES_tradnl"/>
        </w:rPr>
      </w:pPr>
      <w:r w:rsidRPr="008C6D46">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EA5104">
        <w:rPr>
          <w:rFonts w:ascii="Arial" w:hAnsi="Arial" w:cs="Arial"/>
          <w:bCs/>
          <w:spacing w:val="-3"/>
          <w:sz w:val="24"/>
          <w:szCs w:val="27"/>
          <w:lang w:val="es-ES_tradnl"/>
        </w:rPr>
        <w:t>E</w:t>
      </w:r>
      <w:r w:rsidR="00155F12">
        <w:rPr>
          <w:rFonts w:ascii="Arial" w:hAnsi="Arial" w:cs="Arial"/>
          <w:bCs/>
          <w:spacing w:val="-3"/>
          <w:sz w:val="24"/>
          <w:szCs w:val="27"/>
          <w:lang w:val="es-ES_tradnl"/>
        </w:rPr>
        <w:t xml:space="preserve">l </w:t>
      </w:r>
      <w:r w:rsidR="001B28C2">
        <w:rPr>
          <w:rFonts w:ascii="Arial" w:hAnsi="Arial" w:cs="Arial"/>
          <w:bCs/>
          <w:spacing w:val="-3"/>
          <w:sz w:val="24"/>
          <w:szCs w:val="27"/>
          <w:lang w:val="es-ES_tradnl"/>
        </w:rPr>
        <w:t>cinco de marzo</w:t>
      </w:r>
      <w:r w:rsidR="000F53A6">
        <w:rPr>
          <w:rFonts w:ascii="Arial" w:hAnsi="Arial" w:cs="Arial"/>
          <w:bCs/>
          <w:spacing w:val="-3"/>
          <w:sz w:val="24"/>
          <w:szCs w:val="27"/>
          <w:lang w:val="es-ES_tradnl"/>
        </w:rPr>
        <w:t xml:space="preserve"> de dos mil veinte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1B28C2">
        <w:rPr>
          <w:rFonts w:ascii="Arial" w:hAnsi="Arial" w:cs="Arial"/>
          <w:bCs/>
          <w:spacing w:val="-3"/>
          <w:sz w:val="24"/>
          <w:szCs w:val="27"/>
          <w:lang w:val="es-ES_tradnl"/>
        </w:rPr>
        <w:t xml:space="preserve">ninguna de las partes </w:t>
      </w:r>
      <w:r w:rsidR="00590C01">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w:t>
      </w:r>
      <w:r w:rsidR="00956D96">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lastRenderedPageBreak/>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21C0B6D0"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w:t>
      </w:r>
      <w:r w:rsidR="001E390F">
        <w:rPr>
          <w:rFonts w:ascii="Arial" w:hAnsi="Arial" w:cs="Arial"/>
          <w:sz w:val="24"/>
          <w:szCs w:val="24"/>
        </w:rPr>
        <w:t>rativa para el Estado de Oaxaca, al respecto</w:t>
      </w:r>
      <w:r w:rsidR="001E4B92">
        <w:rPr>
          <w:rFonts w:ascii="Arial" w:hAnsi="Arial" w:cs="Arial"/>
          <w:sz w:val="24"/>
          <w:szCs w:val="24"/>
        </w:rPr>
        <w:t>, e</w:t>
      </w:r>
      <w:r w:rsidR="001C3689" w:rsidRPr="001C3689">
        <w:rPr>
          <w:rFonts w:ascii="Arial" w:hAnsi="Arial" w:cs="Arial"/>
          <w:sz w:val="24"/>
          <w:szCs w:val="24"/>
        </w:rPr>
        <w:t>sta Segunda Sala Unitaria de Primera Instancia del Tribunal de Justicia Administrativa para el Estado de Oaxaca, advierte que no se configura alguna causal de improcedencia o sobreseimiento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036F5736" w14:textId="4089AD42" w:rsidR="00C67A7F" w:rsidRDefault="0016023B" w:rsidP="00CB353D">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CB353D">
        <w:rPr>
          <w:rFonts w:ascii="Arial" w:hAnsi="Arial" w:cs="Arial"/>
          <w:bCs/>
          <w:snapToGrid w:val="0"/>
          <w:sz w:val="24"/>
          <w:szCs w:val="27"/>
        </w:rPr>
        <w:t>Argumenta</w:t>
      </w:r>
      <w:r w:rsidR="00CB353D" w:rsidRPr="00CB353D">
        <w:rPr>
          <w:rFonts w:ascii="Arial" w:hAnsi="Arial" w:cs="Arial"/>
          <w:bCs/>
          <w:snapToGrid w:val="0"/>
          <w:sz w:val="24"/>
          <w:szCs w:val="27"/>
        </w:rPr>
        <w:t xml:space="preserve"> la parte actora en </w:t>
      </w:r>
      <w:r w:rsidR="0038533A">
        <w:rPr>
          <w:rFonts w:ascii="Arial" w:hAnsi="Arial" w:cs="Arial"/>
          <w:bCs/>
          <w:snapToGrid w:val="0"/>
          <w:sz w:val="24"/>
          <w:szCs w:val="27"/>
        </w:rPr>
        <w:t>su concepto</w:t>
      </w:r>
      <w:r w:rsidR="00CB353D" w:rsidRPr="00CB353D">
        <w:rPr>
          <w:rFonts w:ascii="Arial" w:hAnsi="Arial" w:cs="Arial"/>
          <w:bCs/>
          <w:snapToGrid w:val="0"/>
          <w:sz w:val="24"/>
          <w:szCs w:val="27"/>
        </w:rPr>
        <w:t xml:space="preserve"> de impugnación </w:t>
      </w:r>
      <w:r w:rsidR="00C67A7F">
        <w:rPr>
          <w:rFonts w:ascii="Arial" w:hAnsi="Arial" w:cs="Arial"/>
          <w:bCs/>
          <w:snapToGrid w:val="0"/>
          <w:sz w:val="24"/>
          <w:szCs w:val="27"/>
        </w:rPr>
        <w:t>único, que la resoluci</w:t>
      </w:r>
      <w:r w:rsidR="00547620">
        <w:rPr>
          <w:rFonts w:ascii="Arial" w:hAnsi="Arial" w:cs="Arial"/>
          <w:bCs/>
          <w:snapToGrid w:val="0"/>
          <w:sz w:val="24"/>
          <w:szCs w:val="27"/>
        </w:rPr>
        <w:t>ón que impugna, no cuenta con los requisitos de validez y legalidad puesto, que no explica textualmente porque razones es improcedente el trámite solicitado, además que no cita faculta</w:t>
      </w:r>
      <w:r w:rsidR="002F4D96">
        <w:rPr>
          <w:rFonts w:ascii="Arial" w:hAnsi="Arial" w:cs="Arial"/>
          <w:bCs/>
          <w:snapToGrid w:val="0"/>
          <w:sz w:val="24"/>
          <w:szCs w:val="27"/>
        </w:rPr>
        <w:t>d alguna para negar el registro.</w:t>
      </w:r>
    </w:p>
    <w:p w14:paraId="7CC89BFB" w14:textId="7F594097" w:rsidR="002F4D96" w:rsidRDefault="002F4D96" w:rsidP="00CB353D">
      <w:pPr>
        <w:spacing w:line="360" w:lineRule="auto"/>
        <w:ind w:right="51" w:firstLine="567"/>
        <w:jc w:val="both"/>
        <w:rPr>
          <w:rFonts w:ascii="Arial" w:hAnsi="Arial" w:cs="Arial"/>
          <w:bCs/>
          <w:spacing w:val="-3"/>
          <w:sz w:val="24"/>
          <w:szCs w:val="27"/>
          <w:lang w:val="es-ES_tradnl"/>
        </w:rPr>
      </w:pPr>
      <w:r>
        <w:rPr>
          <w:rFonts w:ascii="Arial" w:hAnsi="Arial" w:cs="Arial"/>
          <w:bCs/>
          <w:snapToGrid w:val="0"/>
          <w:sz w:val="24"/>
          <w:szCs w:val="27"/>
        </w:rPr>
        <w:t xml:space="preserve">Al respecto, se advierte la existencia del oficio número </w:t>
      </w:r>
      <w:r>
        <w:rPr>
          <w:rFonts w:ascii="Arial" w:hAnsi="Arial" w:cs="Arial"/>
          <w:bCs/>
          <w:spacing w:val="-3"/>
          <w:sz w:val="24"/>
          <w:szCs w:val="27"/>
          <w:lang w:val="es-ES_tradnl"/>
        </w:rPr>
        <w:t>TM/SDI/</w:t>
      </w:r>
      <w:r w:rsidR="006931A3">
        <w:rPr>
          <w:rFonts w:ascii="Arial" w:hAnsi="Arial" w:cs="Arial"/>
          <w:bCs/>
          <w:spacing w:val="-3"/>
          <w:sz w:val="24"/>
          <w:szCs w:val="27"/>
          <w:lang w:val="es-ES_tradnl"/>
        </w:rPr>
        <w:t>*****</w:t>
      </w:r>
      <w:r>
        <w:rPr>
          <w:rFonts w:ascii="Arial" w:hAnsi="Arial" w:cs="Arial"/>
          <w:bCs/>
          <w:spacing w:val="-3"/>
          <w:sz w:val="24"/>
          <w:szCs w:val="27"/>
          <w:lang w:val="es-ES_tradnl"/>
        </w:rPr>
        <w:t>/</w:t>
      </w:r>
      <w:r w:rsidR="006931A3">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6931A3">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6931A3">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6931A3">
        <w:rPr>
          <w:rFonts w:ascii="Arial" w:hAnsi="Arial" w:cs="Arial"/>
          <w:bCs/>
          <w:spacing w:val="-3"/>
          <w:sz w:val="24"/>
          <w:szCs w:val="27"/>
          <w:lang w:val="es-ES_tradnl"/>
        </w:rPr>
        <w:t>*****</w:t>
      </w:r>
      <w:r>
        <w:rPr>
          <w:rFonts w:ascii="Arial" w:hAnsi="Arial" w:cs="Arial"/>
          <w:bCs/>
          <w:spacing w:val="-3"/>
          <w:sz w:val="24"/>
          <w:szCs w:val="27"/>
          <w:lang w:val="es-ES_tradnl"/>
        </w:rPr>
        <w:t xml:space="preserve">, visible en la foja 16 del sumario, documental que adquiere valor probatorio pleno en términos del artículo 203 fracción I de la Ley de Procedimiento y Justicia Administrativa para el Estado de Oaxaca, y </w:t>
      </w:r>
      <w:r w:rsidR="008F27BE">
        <w:rPr>
          <w:rFonts w:ascii="Arial" w:hAnsi="Arial" w:cs="Arial"/>
          <w:bCs/>
          <w:spacing w:val="-3"/>
          <w:sz w:val="24"/>
          <w:szCs w:val="27"/>
          <w:lang w:val="es-ES_tradnl"/>
        </w:rPr>
        <w:t>que,</w:t>
      </w:r>
      <w:r>
        <w:rPr>
          <w:rFonts w:ascii="Arial" w:hAnsi="Arial" w:cs="Arial"/>
          <w:bCs/>
          <w:spacing w:val="-3"/>
          <w:sz w:val="24"/>
          <w:szCs w:val="27"/>
          <w:lang w:val="es-ES_tradnl"/>
        </w:rPr>
        <w:t xml:space="preserve"> en lo medular, textualmente señala lo siguiente:</w:t>
      </w:r>
    </w:p>
    <w:p w14:paraId="4609C7B4" w14:textId="57F9D922" w:rsidR="002F4D96" w:rsidRPr="008F27BE" w:rsidRDefault="002F4D96" w:rsidP="008F27BE">
      <w:pPr>
        <w:ind w:left="567" w:right="51"/>
        <w:jc w:val="both"/>
        <w:rPr>
          <w:rFonts w:ascii="Arial" w:hAnsi="Arial" w:cs="Arial"/>
          <w:bCs/>
          <w:i/>
          <w:snapToGrid w:val="0"/>
          <w:sz w:val="24"/>
          <w:szCs w:val="27"/>
        </w:rPr>
      </w:pPr>
      <w:r w:rsidRPr="008F27BE">
        <w:rPr>
          <w:rFonts w:ascii="Arial" w:hAnsi="Arial" w:cs="Arial"/>
          <w:bCs/>
          <w:i/>
          <w:spacing w:val="-3"/>
          <w:sz w:val="24"/>
          <w:szCs w:val="27"/>
          <w:lang w:val="es-ES_tradnl"/>
        </w:rPr>
        <w:t xml:space="preserve">“Una vez analizada la Solicitud de Trámite de Registro Fiscal Municipal y documentación anexa, y de acuerdo a la información existente en el Sistema de Cartografía digital y en el Sistema de Información Hacendaria Municipal (SIHM), se detectó que existe otro registro del mimo bien inmueble a nombre de persona distinta a la que se hace mención como parte enajenante, con cuenta catastral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y cuenta municipal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cuenta predial originada mediante expediente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de Integración al Padrón Predial con </w:t>
      </w:r>
      <w:r w:rsidR="003D5A63" w:rsidRPr="008F27BE">
        <w:rPr>
          <w:rFonts w:ascii="Arial" w:hAnsi="Arial" w:cs="Arial"/>
          <w:bCs/>
          <w:i/>
          <w:spacing w:val="-3"/>
          <w:sz w:val="24"/>
          <w:szCs w:val="27"/>
          <w:lang w:val="es-ES_tradnl"/>
        </w:rPr>
        <w:t>fecha</w:t>
      </w:r>
      <w:r w:rsidRPr="008F27BE">
        <w:rPr>
          <w:rFonts w:ascii="Arial" w:hAnsi="Arial" w:cs="Arial"/>
          <w:bCs/>
          <w:i/>
          <w:spacing w:val="-3"/>
          <w:sz w:val="24"/>
          <w:szCs w:val="27"/>
          <w:lang w:val="es-ES_tradnl"/>
        </w:rPr>
        <w:t xml:space="preserve"> de celebración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de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del año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Por lo que hago de su conocimiento que no es posible realizar el trámite de Traslado de Dominio a favor del C.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w:t>
      </w:r>
      <w:r w:rsidR="006931A3">
        <w:rPr>
          <w:rFonts w:ascii="Arial" w:hAnsi="Arial" w:cs="Arial"/>
          <w:bCs/>
          <w:i/>
          <w:spacing w:val="-3"/>
          <w:sz w:val="24"/>
          <w:szCs w:val="27"/>
          <w:lang w:val="es-ES_tradnl"/>
        </w:rPr>
        <w:t>*****</w:t>
      </w:r>
      <w:r w:rsidRPr="008F27BE">
        <w:rPr>
          <w:rFonts w:ascii="Arial" w:hAnsi="Arial" w:cs="Arial"/>
          <w:bCs/>
          <w:i/>
          <w:spacing w:val="-3"/>
          <w:sz w:val="24"/>
          <w:szCs w:val="27"/>
          <w:lang w:val="es-ES_tradnl"/>
        </w:rPr>
        <w:t xml:space="preserve"> </w:t>
      </w:r>
      <w:r w:rsidR="006931A3">
        <w:rPr>
          <w:rFonts w:ascii="Arial" w:hAnsi="Arial" w:cs="Arial"/>
          <w:bCs/>
          <w:i/>
          <w:spacing w:val="-3"/>
          <w:sz w:val="24"/>
          <w:szCs w:val="27"/>
          <w:lang w:val="es-ES_tradnl"/>
        </w:rPr>
        <w:t>***** *****</w:t>
      </w:r>
      <w:r w:rsidRPr="008F27BE">
        <w:rPr>
          <w:rFonts w:ascii="Arial" w:hAnsi="Arial" w:cs="Arial"/>
          <w:bCs/>
          <w:i/>
          <w:spacing w:val="-3"/>
          <w:sz w:val="24"/>
          <w:szCs w:val="27"/>
          <w:lang w:val="es-ES_tradnl"/>
        </w:rPr>
        <w:t xml:space="preserve"> Y</w:t>
      </w:r>
      <w:r w:rsidR="006931A3">
        <w:rPr>
          <w:rFonts w:ascii="Arial" w:hAnsi="Arial" w:cs="Arial"/>
          <w:bCs/>
          <w:i/>
          <w:spacing w:val="-3"/>
          <w:sz w:val="24"/>
          <w:szCs w:val="27"/>
          <w:lang w:val="es-ES_tradnl"/>
        </w:rPr>
        <w:t xml:space="preserve"> ****</w:t>
      </w:r>
      <w:r w:rsidRPr="008F27BE">
        <w:rPr>
          <w:rFonts w:ascii="Arial" w:hAnsi="Arial" w:cs="Arial"/>
          <w:bCs/>
          <w:i/>
          <w:spacing w:val="-3"/>
          <w:sz w:val="24"/>
          <w:szCs w:val="27"/>
          <w:lang w:val="es-ES_tradnl"/>
        </w:rPr>
        <w:t>, en virt</w:t>
      </w:r>
      <w:r w:rsidR="003D5A63" w:rsidRPr="008F27BE">
        <w:rPr>
          <w:rFonts w:ascii="Arial" w:hAnsi="Arial" w:cs="Arial"/>
          <w:bCs/>
          <w:i/>
          <w:spacing w:val="-3"/>
          <w:sz w:val="24"/>
          <w:szCs w:val="27"/>
          <w:lang w:val="es-ES_tradnl"/>
        </w:rPr>
        <w:t>ud de que el sistema el Sistema de Información Hacendaria Municipal (SIHM) ya existenten (SIC) dos registros del mismo bien inmueble.”</w:t>
      </w:r>
    </w:p>
    <w:p w14:paraId="3AD4E4F2" w14:textId="580074B2" w:rsidR="00C67A7F" w:rsidRDefault="003D5A63" w:rsidP="00CB353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lastRenderedPageBreak/>
        <w:t>Como se pu</w:t>
      </w:r>
      <w:r w:rsidR="00C97370">
        <w:rPr>
          <w:rFonts w:ascii="Arial" w:hAnsi="Arial" w:cs="Arial"/>
          <w:bCs/>
          <w:snapToGrid w:val="0"/>
          <w:sz w:val="24"/>
          <w:szCs w:val="27"/>
        </w:rPr>
        <w:t>ede</w:t>
      </w:r>
      <w:r>
        <w:rPr>
          <w:rFonts w:ascii="Arial" w:hAnsi="Arial" w:cs="Arial"/>
          <w:bCs/>
          <w:snapToGrid w:val="0"/>
          <w:sz w:val="24"/>
          <w:szCs w:val="27"/>
        </w:rPr>
        <w:t xml:space="preserve"> apreciar, </w:t>
      </w:r>
      <w:r w:rsidR="00F072C7">
        <w:rPr>
          <w:rFonts w:ascii="Arial" w:hAnsi="Arial" w:cs="Arial"/>
          <w:bCs/>
          <w:snapToGrid w:val="0"/>
          <w:sz w:val="24"/>
          <w:szCs w:val="27"/>
        </w:rPr>
        <w:t xml:space="preserve">efectivamente la hoy autoridad demandada </w:t>
      </w:r>
      <w:r w:rsidR="00A06DF6">
        <w:rPr>
          <w:rFonts w:ascii="Arial" w:hAnsi="Arial" w:cs="Arial"/>
          <w:bCs/>
          <w:snapToGrid w:val="0"/>
          <w:sz w:val="24"/>
          <w:szCs w:val="27"/>
        </w:rPr>
        <w:t xml:space="preserve">manifestó que no era posible realizar el trámite de traslado de dominio, ya que </w:t>
      </w:r>
      <w:r w:rsidR="00B540C7">
        <w:rPr>
          <w:rFonts w:ascii="Arial" w:hAnsi="Arial" w:cs="Arial"/>
          <w:bCs/>
          <w:snapToGrid w:val="0"/>
          <w:sz w:val="24"/>
          <w:szCs w:val="27"/>
        </w:rPr>
        <w:t>de la consulta a la base de datos con la que contaba, arrojó que el inmueble se encontraba registrado dos veces a diversa persona, en la que una de ellas, era el enajenante del inmueble.</w:t>
      </w:r>
    </w:p>
    <w:p w14:paraId="0C1C4E37" w14:textId="175011E9" w:rsidR="00B540C7" w:rsidRDefault="00B540C7" w:rsidP="00CB353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Derivado de lo anterior, la autoridad cita como fundamento, </w:t>
      </w:r>
      <w:r w:rsidR="007D7875">
        <w:rPr>
          <w:rFonts w:ascii="Arial" w:hAnsi="Arial" w:cs="Arial"/>
          <w:bCs/>
          <w:snapToGrid w:val="0"/>
          <w:sz w:val="24"/>
          <w:szCs w:val="27"/>
        </w:rPr>
        <w:t>el</w:t>
      </w:r>
      <w:r w:rsidR="00B0295B">
        <w:rPr>
          <w:rFonts w:ascii="Arial" w:hAnsi="Arial" w:cs="Arial"/>
          <w:bCs/>
          <w:snapToGrid w:val="0"/>
          <w:sz w:val="24"/>
          <w:szCs w:val="27"/>
        </w:rPr>
        <w:t xml:space="preserve"> art</w:t>
      </w:r>
      <w:r w:rsidR="007D7875">
        <w:rPr>
          <w:rFonts w:ascii="Arial" w:hAnsi="Arial" w:cs="Arial"/>
          <w:bCs/>
          <w:snapToGrid w:val="0"/>
          <w:sz w:val="24"/>
          <w:szCs w:val="27"/>
        </w:rPr>
        <w:t>ículo</w:t>
      </w:r>
      <w:r w:rsidR="00B0295B">
        <w:rPr>
          <w:rFonts w:ascii="Arial" w:hAnsi="Arial" w:cs="Arial"/>
          <w:bCs/>
          <w:snapToGrid w:val="0"/>
          <w:sz w:val="24"/>
          <w:szCs w:val="27"/>
        </w:rPr>
        <w:t xml:space="preserve"> 143 fracciones</w:t>
      </w:r>
      <w:r w:rsidR="007D7875">
        <w:rPr>
          <w:rFonts w:ascii="Arial" w:hAnsi="Arial" w:cs="Arial"/>
          <w:bCs/>
          <w:snapToGrid w:val="0"/>
          <w:sz w:val="24"/>
          <w:szCs w:val="27"/>
        </w:rPr>
        <w:t xml:space="preserve"> I, V, VI, XX,</w:t>
      </w:r>
      <w:r w:rsidR="00B0295B">
        <w:rPr>
          <w:rFonts w:ascii="Arial" w:hAnsi="Arial" w:cs="Arial"/>
          <w:bCs/>
          <w:snapToGrid w:val="0"/>
          <w:sz w:val="24"/>
          <w:szCs w:val="27"/>
        </w:rPr>
        <w:t xml:space="preserve"> XXX, XXXI, XXXIII, XXXIV y XXXVII del Bando de Policía y Buen Gobierno del Municipio de Oaxaca de Juárez, Oaxaca</w:t>
      </w:r>
      <w:r w:rsidR="00757FA9">
        <w:rPr>
          <w:rFonts w:ascii="Arial" w:hAnsi="Arial" w:cs="Arial"/>
          <w:bCs/>
          <w:snapToGrid w:val="0"/>
          <w:sz w:val="24"/>
          <w:szCs w:val="27"/>
        </w:rPr>
        <w:t>, que a la letra dicen:</w:t>
      </w:r>
    </w:p>
    <w:p w14:paraId="2FE9297B" w14:textId="5ECE532F" w:rsidR="00757FA9" w:rsidRPr="00882C73" w:rsidRDefault="00882C73" w:rsidP="00882C73">
      <w:pPr>
        <w:ind w:left="567" w:right="51"/>
        <w:jc w:val="both"/>
        <w:rPr>
          <w:rFonts w:ascii="Arial" w:hAnsi="Arial" w:cs="Arial"/>
          <w:bCs/>
          <w:i/>
          <w:snapToGrid w:val="0"/>
          <w:sz w:val="24"/>
          <w:szCs w:val="27"/>
        </w:rPr>
      </w:pPr>
      <w:r>
        <w:rPr>
          <w:rFonts w:ascii="Arial" w:hAnsi="Arial" w:cs="Arial"/>
          <w:b/>
          <w:bCs/>
          <w:i/>
          <w:snapToGrid w:val="0"/>
          <w:sz w:val="24"/>
          <w:szCs w:val="27"/>
        </w:rPr>
        <w:t>“</w:t>
      </w:r>
      <w:r w:rsidR="00757FA9" w:rsidRPr="00882C73">
        <w:rPr>
          <w:rFonts w:ascii="Arial" w:hAnsi="Arial" w:cs="Arial"/>
          <w:b/>
          <w:bCs/>
          <w:i/>
          <w:snapToGrid w:val="0"/>
          <w:sz w:val="24"/>
          <w:szCs w:val="27"/>
        </w:rPr>
        <w:t>ARTÍCULO 143.-</w:t>
      </w:r>
      <w:r w:rsidR="00757FA9" w:rsidRPr="00882C73">
        <w:rPr>
          <w:rFonts w:ascii="Arial" w:hAnsi="Arial" w:cs="Arial"/>
          <w:bCs/>
          <w:i/>
          <w:snapToGrid w:val="0"/>
          <w:sz w:val="24"/>
          <w:szCs w:val="27"/>
        </w:rPr>
        <w:t xml:space="preserve"> La Subdirección de Ingresos ejercerá su jurisdicción dentro del territorial (SIC) del municipio, para el mejor desempeño de sus funciones contará con la Unidad de Catastro, Unidad de Recaudación y Unidad de Registro Fiscal.</w:t>
      </w:r>
    </w:p>
    <w:p w14:paraId="4BF2E317" w14:textId="2883AB3D" w:rsidR="00757FA9" w:rsidRPr="00882C73" w:rsidRDefault="00757FA9" w:rsidP="00882C73">
      <w:pPr>
        <w:ind w:left="567" w:right="51"/>
        <w:jc w:val="both"/>
        <w:rPr>
          <w:rFonts w:ascii="Arial" w:hAnsi="Arial" w:cs="Arial"/>
          <w:bCs/>
          <w:i/>
          <w:snapToGrid w:val="0"/>
          <w:sz w:val="24"/>
          <w:szCs w:val="27"/>
        </w:rPr>
      </w:pPr>
      <w:r w:rsidRPr="00882C73">
        <w:rPr>
          <w:rFonts w:ascii="Arial" w:hAnsi="Arial" w:cs="Arial"/>
          <w:bCs/>
          <w:i/>
          <w:snapToGrid w:val="0"/>
          <w:sz w:val="24"/>
          <w:szCs w:val="27"/>
        </w:rPr>
        <w:t xml:space="preserve">Tendrá las siguientes </w:t>
      </w:r>
      <w:r w:rsidR="00ED5CF0" w:rsidRPr="00882C73">
        <w:rPr>
          <w:rFonts w:ascii="Arial" w:hAnsi="Arial" w:cs="Arial"/>
          <w:bCs/>
          <w:i/>
          <w:snapToGrid w:val="0"/>
          <w:sz w:val="24"/>
          <w:szCs w:val="27"/>
        </w:rPr>
        <w:t>obligaciones</w:t>
      </w:r>
      <w:r w:rsidRPr="00882C73">
        <w:rPr>
          <w:rFonts w:ascii="Arial" w:hAnsi="Arial" w:cs="Arial"/>
          <w:bCs/>
          <w:i/>
          <w:snapToGrid w:val="0"/>
          <w:sz w:val="24"/>
          <w:szCs w:val="27"/>
        </w:rPr>
        <w:t xml:space="preserve"> y atribuciones:</w:t>
      </w:r>
    </w:p>
    <w:p w14:paraId="075E5E80" w14:textId="50848944" w:rsidR="00757FA9"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I.</w:t>
      </w:r>
      <w:r w:rsidRPr="00882C73">
        <w:rPr>
          <w:rFonts w:ascii="Arial" w:hAnsi="Arial" w:cs="Arial"/>
          <w:bCs/>
          <w:i/>
          <w:snapToGrid w:val="0"/>
          <w:sz w:val="24"/>
          <w:szCs w:val="27"/>
        </w:rPr>
        <w:t xml:space="preserve"> Vigilar el cumplimiento de las disposiciones en materia fiscal federal, estatal y municipal vigentes aplicables al Municipio;</w:t>
      </w:r>
    </w:p>
    <w:p w14:paraId="0792D40B" w14:textId="63A8EA51"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Cs/>
          <w:i/>
          <w:snapToGrid w:val="0"/>
          <w:sz w:val="24"/>
          <w:szCs w:val="27"/>
        </w:rPr>
        <w:t>[…]</w:t>
      </w:r>
    </w:p>
    <w:p w14:paraId="5E6B5DF0" w14:textId="62D925FB"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V.</w:t>
      </w:r>
      <w:r w:rsidRPr="00882C73">
        <w:rPr>
          <w:rFonts w:ascii="Arial" w:hAnsi="Arial" w:cs="Arial"/>
          <w:bCs/>
          <w:i/>
          <w:snapToGrid w:val="0"/>
          <w:sz w:val="24"/>
          <w:szCs w:val="27"/>
        </w:rPr>
        <w:t xml:space="preserve"> Integrar y mantener actualizado el Registro de Contribuyentes y los demás registros y padrones previstos en la legislación fiscal municipal;</w:t>
      </w:r>
    </w:p>
    <w:p w14:paraId="274A2D64" w14:textId="36BE3EC4"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VI.</w:t>
      </w:r>
      <w:r w:rsidRPr="00882C73">
        <w:rPr>
          <w:rFonts w:ascii="Arial" w:hAnsi="Arial" w:cs="Arial"/>
          <w:bCs/>
          <w:i/>
          <w:snapToGrid w:val="0"/>
          <w:sz w:val="24"/>
          <w:szCs w:val="27"/>
        </w:rPr>
        <w:t xml:space="preserve"> Requerir la presentación de </w:t>
      </w:r>
      <w:r w:rsidR="007D7875" w:rsidRPr="00882C73">
        <w:rPr>
          <w:rFonts w:ascii="Arial" w:hAnsi="Arial" w:cs="Arial"/>
          <w:bCs/>
          <w:i/>
          <w:snapToGrid w:val="0"/>
          <w:sz w:val="24"/>
          <w:szCs w:val="27"/>
        </w:rPr>
        <w:t>avisos</w:t>
      </w:r>
      <w:r w:rsidRPr="00882C73">
        <w:rPr>
          <w:rFonts w:ascii="Arial" w:hAnsi="Arial" w:cs="Arial"/>
          <w:bCs/>
          <w:i/>
          <w:snapToGrid w:val="0"/>
          <w:sz w:val="24"/>
          <w:szCs w:val="27"/>
        </w:rPr>
        <w:t>, solicitudes y demás documentos autorizados en materia de Registro de Contribuyentes, cuando los obligados no lo hagan en los plazos respectivos; así como requerir la rectificación de errores y omisiones contenidos en los citados documentos;</w:t>
      </w:r>
    </w:p>
    <w:p w14:paraId="6356015E" w14:textId="679B5CC7"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Cs/>
          <w:i/>
          <w:snapToGrid w:val="0"/>
          <w:sz w:val="24"/>
          <w:szCs w:val="27"/>
        </w:rPr>
        <w:t>[…]</w:t>
      </w:r>
    </w:p>
    <w:p w14:paraId="4E4333A1" w14:textId="56412BB8"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XX.</w:t>
      </w:r>
      <w:r w:rsidRPr="00882C73">
        <w:rPr>
          <w:rFonts w:ascii="Arial" w:hAnsi="Arial" w:cs="Arial"/>
          <w:bCs/>
          <w:i/>
          <w:snapToGrid w:val="0"/>
          <w:sz w:val="24"/>
          <w:szCs w:val="27"/>
        </w:rPr>
        <w:t xml:space="preserve"> Notificar por conducto del personal que se designe para el efecto los actos relacionados con el ejercicio de las facultades de comprobación;</w:t>
      </w:r>
    </w:p>
    <w:p w14:paraId="1D3711AE" w14:textId="4F6A2BF3"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Cs/>
          <w:i/>
          <w:snapToGrid w:val="0"/>
          <w:sz w:val="24"/>
          <w:szCs w:val="27"/>
        </w:rPr>
        <w:t>[…]</w:t>
      </w:r>
    </w:p>
    <w:p w14:paraId="0F471715" w14:textId="06F3CD49"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XXX.</w:t>
      </w:r>
      <w:r w:rsidRPr="00882C73">
        <w:rPr>
          <w:rFonts w:ascii="Arial" w:hAnsi="Arial" w:cs="Arial"/>
          <w:bCs/>
          <w:i/>
          <w:snapToGrid w:val="0"/>
          <w:sz w:val="24"/>
          <w:szCs w:val="27"/>
        </w:rPr>
        <w:t xml:space="preserve"> Llevar el control y despacho del Sistema Catastral y Registro de los bienes inmuebles ubicados dentro del municipio;</w:t>
      </w:r>
    </w:p>
    <w:p w14:paraId="52171DD2" w14:textId="7C06236B"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XXXI.</w:t>
      </w:r>
      <w:r w:rsidRPr="00882C73">
        <w:rPr>
          <w:rFonts w:ascii="Arial" w:hAnsi="Arial" w:cs="Arial"/>
          <w:bCs/>
          <w:i/>
          <w:snapToGrid w:val="0"/>
          <w:sz w:val="24"/>
          <w:szCs w:val="27"/>
        </w:rPr>
        <w:t xml:space="preserve"> Mantener actualizado el padrón de contribuyentes del impuesto predial, el padrón inmobiliario, la cartografía catastral municipal y además padrones en materia de recaudación;</w:t>
      </w:r>
    </w:p>
    <w:p w14:paraId="1289B7D6" w14:textId="6FE74C88"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Cs/>
          <w:i/>
          <w:snapToGrid w:val="0"/>
          <w:sz w:val="24"/>
          <w:szCs w:val="27"/>
        </w:rPr>
        <w:t>[…]</w:t>
      </w:r>
    </w:p>
    <w:p w14:paraId="176FF991" w14:textId="293C5D0D"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
          <w:bCs/>
          <w:i/>
          <w:snapToGrid w:val="0"/>
          <w:sz w:val="24"/>
          <w:szCs w:val="27"/>
        </w:rPr>
        <w:t>XXXIV.</w:t>
      </w:r>
      <w:r w:rsidRPr="00882C73">
        <w:rPr>
          <w:rFonts w:ascii="Arial" w:hAnsi="Arial" w:cs="Arial"/>
          <w:bCs/>
          <w:i/>
          <w:snapToGrid w:val="0"/>
          <w:sz w:val="24"/>
          <w:szCs w:val="27"/>
        </w:rPr>
        <w:t xml:space="preserve"> Conocer y registrar oportunamente cualquier cambio traslativo de dominio que se realice en la propiedad inmobiliaria y que modifique los datos que se tienen registrados en la base catastral;</w:t>
      </w:r>
    </w:p>
    <w:p w14:paraId="0BCA787E" w14:textId="369227ED" w:rsidR="00ED5CF0" w:rsidRPr="00882C73" w:rsidRDefault="00ED5CF0" w:rsidP="00882C73">
      <w:pPr>
        <w:ind w:left="567" w:right="51"/>
        <w:jc w:val="both"/>
        <w:rPr>
          <w:rFonts w:ascii="Arial" w:hAnsi="Arial" w:cs="Arial"/>
          <w:bCs/>
          <w:i/>
          <w:snapToGrid w:val="0"/>
          <w:sz w:val="24"/>
          <w:szCs w:val="27"/>
        </w:rPr>
      </w:pPr>
      <w:r w:rsidRPr="00882C73">
        <w:rPr>
          <w:rFonts w:ascii="Arial" w:hAnsi="Arial" w:cs="Arial"/>
          <w:bCs/>
          <w:i/>
          <w:snapToGrid w:val="0"/>
          <w:sz w:val="24"/>
          <w:szCs w:val="27"/>
        </w:rPr>
        <w:t>[…]</w:t>
      </w:r>
      <w:r w:rsidR="00F108C5">
        <w:rPr>
          <w:rFonts w:ascii="Arial" w:hAnsi="Arial" w:cs="Arial"/>
          <w:bCs/>
          <w:i/>
          <w:snapToGrid w:val="0"/>
          <w:sz w:val="24"/>
          <w:szCs w:val="27"/>
        </w:rPr>
        <w:t>”</w:t>
      </w:r>
    </w:p>
    <w:p w14:paraId="236E1E71" w14:textId="0AE7CC7B" w:rsidR="00882C73" w:rsidRDefault="00882C73" w:rsidP="00F108C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 </w:t>
      </w:r>
      <w:r w:rsidR="001214CB">
        <w:rPr>
          <w:rFonts w:ascii="Arial" w:hAnsi="Arial" w:cs="Arial"/>
          <w:bCs/>
          <w:snapToGrid w:val="0"/>
          <w:sz w:val="24"/>
          <w:szCs w:val="27"/>
        </w:rPr>
        <w:t>los artículos antes transcritos</w:t>
      </w:r>
      <w:r w:rsidR="00690D22">
        <w:rPr>
          <w:rFonts w:ascii="Arial" w:hAnsi="Arial" w:cs="Arial"/>
          <w:bCs/>
          <w:snapToGrid w:val="0"/>
          <w:sz w:val="24"/>
          <w:szCs w:val="27"/>
        </w:rPr>
        <w:t xml:space="preserve">, la Subdirección de Ingresos a través de la Unidad correspondiente tiene la obligación de llegar el control y despacho del Sistema Catastral y Registro de los bienes inmuebles existentes dentro de la </w:t>
      </w:r>
      <w:r w:rsidR="00690D22">
        <w:rPr>
          <w:rFonts w:ascii="Arial" w:hAnsi="Arial" w:cs="Arial"/>
          <w:bCs/>
          <w:snapToGrid w:val="0"/>
          <w:sz w:val="24"/>
          <w:szCs w:val="27"/>
        </w:rPr>
        <w:lastRenderedPageBreak/>
        <w:t>demarcación territorial del referido Muni</w:t>
      </w:r>
      <w:r w:rsidR="00BE6C84">
        <w:rPr>
          <w:rFonts w:ascii="Arial" w:hAnsi="Arial" w:cs="Arial"/>
          <w:bCs/>
          <w:snapToGrid w:val="0"/>
          <w:sz w:val="24"/>
          <w:szCs w:val="27"/>
        </w:rPr>
        <w:t>cipio, y este debe actualizarlo, entre ellos, los cambios traslativos de dominio que se realicen sobre los mismos, supuesto que en el presente asunto actualiza.</w:t>
      </w:r>
    </w:p>
    <w:p w14:paraId="799C3205" w14:textId="49B1FB2C" w:rsidR="00BE6C84" w:rsidRDefault="00BE6C84" w:rsidP="00F108C5">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Derivado de lo anterior, </w:t>
      </w:r>
      <w:r w:rsidR="0076013E">
        <w:rPr>
          <w:rFonts w:ascii="Arial" w:hAnsi="Arial" w:cs="Arial"/>
          <w:bCs/>
          <w:snapToGrid w:val="0"/>
          <w:sz w:val="24"/>
          <w:szCs w:val="27"/>
        </w:rPr>
        <w:t xml:space="preserve">se aprecia que el hoy accionante, con fecha </w:t>
      </w:r>
      <w:r w:rsidR="002A7C1B">
        <w:rPr>
          <w:rFonts w:ascii="Arial" w:hAnsi="Arial" w:cs="Arial"/>
          <w:bCs/>
          <w:snapToGrid w:val="0"/>
          <w:sz w:val="24"/>
          <w:szCs w:val="27"/>
        </w:rPr>
        <w:t>*****</w:t>
      </w:r>
      <w:r w:rsidR="0076013E">
        <w:rPr>
          <w:rFonts w:ascii="Arial" w:hAnsi="Arial" w:cs="Arial"/>
          <w:bCs/>
          <w:snapToGrid w:val="0"/>
          <w:sz w:val="24"/>
          <w:szCs w:val="27"/>
        </w:rPr>
        <w:t xml:space="preserve"> de </w:t>
      </w:r>
      <w:r w:rsidR="002A7C1B">
        <w:rPr>
          <w:rFonts w:ascii="Arial" w:hAnsi="Arial" w:cs="Arial"/>
          <w:bCs/>
          <w:snapToGrid w:val="0"/>
          <w:sz w:val="24"/>
          <w:szCs w:val="27"/>
        </w:rPr>
        <w:t>*****</w:t>
      </w:r>
      <w:r w:rsidR="0076013E">
        <w:rPr>
          <w:rFonts w:ascii="Arial" w:hAnsi="Arial" w:cs="Arial"/>
          <w:bCs/>
          <w:snapToGrid w:val="0"/>
          <w:sz w:val="24"/>
          <w:szCs w:val="27"/>
        </w:rPr>
        <w:t xml:space="preserve"> de dos mil </w:t>
      </w:r>
      <w:r w:rsidR="002A7C1B">
        <w:rPr>
          <w:rFonts w:ascii="Arial" w:hAnsi="Arial" w:cs="Arial"/>
          <w:bCs/>
          <w:snapToGrid w:val="0"/>
          <w:sz w:val="24"/>
          <w:szCs w:val="27"/>
        </w:rPr>
        <w:t>*****</w:t>
      </w:r>
      <w:r w:rsidR="0076013E">
        <w:rPr>
          <w:rFonts w:ascii="Arial" w:hAnsi="Arial" w:cs="Arial"/>
          <w:bCs/>
          <w:snapToGrid w:val="0"/>
          <w:sz w:val="24"/>
          <w:szCs w:val="27"/>
        </w:rPr>
        <w:t xml:space="preserve"> presentó Solicitud de Registro Fiscal Municipal respecto del inmueble amparado en el instrumento notarial número </w:t>
      </w:r>
      <w:r w:rsidR="002A7C1B">
        <w:rPr>
          <w:rFonts w:ascii="Arial" w:hAnsi="Arial" w:cs="Arial"/>
          <w:bCs/>
          <w:snapToGrid w:val="0"/>
          <w:sz w:val="24"/>
          <w:szCs w:val="27"/>
        </w:rPr>
        <w:t>*****</w:t>
      </w:r>
      <w:r w:rsidR="0076013E">
        <w:rPr>
          <w:rFonts w:ascii="Arial" w:hAnsi="Arial" w:cs="Arial"/>
          <w:bCs/>
          <w:snapToGrid w:val="0"/>
          <w:sz w:val="24"/>
          <w:szCs w:val="27"/>
        </w:rPr>
        <w:t xml:space="preserve"> de fecha </w:t>
      </w:r>
      <w:r w:rsidR="002A7C1B">
        <w:rPr>
          <w:rFonts w:ascii="Arial" w:hAnsi="Arial" w:cs="Arial"/>
          <w:bCs/>
          <w:snapToGrid w:val="0"/>
          <w:sz w:val="24"/>
          <w:szCs w:val="27"/>
        </w:rPr>
        <w:t>*****</w:t>
      </w:r>
      <w:r w:rsidR="0076013E">
        <w:rPr>
          <w:rFonts w:ascii="Arial" w:hAnsi="Arial" w:cs="Arial"/>
          <w:bCs/>
          <w:snapToGrid w:val="0"/>
          <w:sz w:val="24"/>
          <w:szCs w:val="27"/>
        </w:rPr>
        <w:t xml:space="preserve"> de </w:t>
      </w:r>
      <w:r w:rsidR="002A7C1B">
        <w:rPr>
          <w:rFonts w:ascii="Arial" w:hAnsi="Arial" w:cs="Arial"/>
          <w:bCs/>
          <w:snapToGrid w:val="0"/>
          <w:sz w:val="24"/>
          <w:szCs w:val="27"/>
        </w:rPr>
        <w:t>*****</w:t>
      </w:r>
      <w:r w:rsidR="0076013E">
        <w:rPr>
          <w:rFonts w:ascii="Arial" w:hAnsi="Arial" w:cs="Arial"/>
          <w:bCs/>
          <w:snapToGrid w:val="0"/>
          <w:sz w:val="24"/>
          <w:szCs w:val="27"/>
        </w:rPr>
        <w:t xml:space="preserve"> de dos mil </w:t>
      </w:r>
      <w:r w:rsidR="002A7C1B">
        <w:rPr>
          <w:rFonts w:ascii="Arial" w:hAnsi="Arial" w:cs="Arial"/>
          <w:bCs/>
          <w:snapToGrid w:val="0"/>
          <w:sz w:val="24"/>
          <w:szCs w:val="27"/>
        </w:rPr>
        <w:t>*****</w:t>
      </w:r>
      <w:r w:rsidR="006F551D">
        <w:rPr>
          <w:rFonts w:ascii="Arial" w:hAnsi="Arial" w:cs="Arial"/>
          <w:bCs/>
          <w:snapToGrid w:val="0"/>
          <w:sz w:val="24"/>
          <w:szCs w:val="27"/>
        </w:rPr>
        <w:t xml:space="preserve">, tal y como se advierte del acuse </w:t>
      </w:r>
      <w:r w:rsidR="007641E7">
        <w:rPr>
          <w:rFonts w:ascii="Arial" w:hAnsi="Arial" w:cs="Arial"/>
          <w:bCs/>
          <w:snapToGrid w:val="0"/>
          <w:sz w:val="24"/>
          <w:szCs w:val="27"/>
        </w:rPr>
        <w:t>(</w:t>
      </w:r>
      <w:r w:rsidR="006F551D">
        <w:rPr>
          <w:rFonts w:ascii="Arial" w:hAnsi="Arial" w:cs="Arial"/>
          <w:bCs/>
          <w:snapToGrid w:val="0"/>
          <w:sz w:val="24"/>
          <w:szCs w:val="27"/>
        </w:rPr>
        <w:t>foja 24</w:t>
      </w:r>
      <w:r w:rsidR="007641E7">
        <w:rPr>
          <w:rFonts w:ascii="Arial" w:hAnsi="Arial" w:cs="Arial"/>
          <w:bCs/>
          <w:snapToGrid w:val="0"/>
          <w:sz w:val="24"/>
          <w:szCs w:val="27"/>
        </w:rPr>
        <w:t>)</w:t>
      </w:r>
      <w:r w:rsidR="006F551D">
        <w:rPr>
          <w:rFonts w:ascii="Arial" w:hAnsi="Arial" w:cs="Arial"/>
          <w:bCs/>
          <w:snapToGrid w:val="0"/>
          <w:sz w:val="24"/>
          <w:szCs w:val="27"/>
        </w:rPr>
        <w:t xml:space="preserve">, documental que adquiere valor probatorio pleno en términos del artículo 203 fracción I de la Ley de Procedimiento y Justicia Administrativa para el Estado de Oaxaca, </w:t>
      </w:r>
      <w:r w:rsidR="00A14099">
        <w:rPr>
          <w:rFonts w:ascii="Arial" w:hAnsi="Arial" w:cs="Arial"/>
          <w:bCs/>
          <w:snapToGrid w:val="0"/>
          <w:sz w:val="24"/>
          <w:szCs w:val="27"/>
        </w:rPr>
        <w:t xml:space="preserve">esto en atención </w:t>
      </w:r>
      <w:r w:rsidR="0070238A">
        <w:rPr>
          <w:rFonts w:ascii="Arial" w:hAnsi="Arial" w:cs="Arial"/>
          <w:bCs/>
          <w:snapToGrid w:val="0"/>
          <w:sz w:val="24"/>
          <w:szCs w:val="27"/>
        </w:rPr>
        <w:t xml:space="preserve">a los requisitos marcados en el artículo 45 de la Ley de Ingresos </w:t>
      </w:r>
      <w:r w:rsidR="000F556B">
        <w:rPr>
          <w:rFonts w:ascii="Arial" w:hAnsi="Arial" w:cs="Arial"/>
          <w:bCs/>
          <w:snapToGrid w:val="0"/>
          <w:sz w:val="24"/>
          <w:szCs w:val="27"/>
        </w:rPr>
        <w:t>del Municipio de Oaxaca de Juárez, Oaxaca</w:t>
      </w:r>
      <w:r w:rsidR="00D903E4">
        <w:rPr>
          <w:rFonts w:ascii="Arial" w:hAnsi="Arial" w:cs="Arial"/>
          <w:bCs/>
          <w:snapToGrid w:val="0"/>
          <w:sz w:val="24"/>
          <w:szCs w:val="27"/>
        </w:rPr>
        <w:t xml:space="preserve"> </w:t>
      </w:r>
      <w:r w:rsidR="00C7384D">
        <w:rPr>
          <w:rFonts w:ascii="Arial" w:hAnsi="Arial" w:cs="Arial"/>
          <w:bCs/>
          <w:snapToGrid w:val="0"/>
          <w:sz w:val="24"/>
          <w:szCs w:val="27"/>
        </w:rPr>
        <w:t>mismos que a la letra dice:</w:t>
      </w:r>
    </w:p>
    <w:p w14:paraId="6154B7DF" w14:textId="42B971B1" w:rsidR="00C7384D" w:rsidRPr="005E6A0E" w:rsidRDefault="005E6A0E" w:rsidP="005E6A0E">
      <w:pPr>
        <w:ind w:left="567" w:right="51"/>
        <w:jc w:val="both"/>
        <w:rPr>
          <w:rFonts w:ascii="Arial" w:hAnsi="Arial" w:cs="Arial"/>
          <w:bCs/>
          <w:i/>
          <w:snapToGrid w:val="0"/>
          <w:sz w:val="24"/>
          <w:szCs w:val="27"/>
        </w:rPr>
      </w:pPr>
      <w:r>
        <w:rPr>
          <w:rFonts w:ascii="Arial" w:hAnsi="Arial" w:cs="Arial"/>
          <w:b/>
          <w:bCs/>
          <w:i/>
          <w:snapToGrid w:val="0"/>
          <w:sz w:val="24"/>
          <w:szCs w:val="27"/>
        </w:rPr>
        <w:t>“</w:t>
      </w:r>
      <w:r w:rsidR="00C7384D" w:rsidRPr="005E6A0E">
        <w:rPr>
          <w:rFonts w:ascii="Arial" w:hAnsi="Arial" w:cs="Arial"/>
          <w:b/>
          <w:bCs/>
          <w:i/>
          <w:snapToGrid w:val="0"/>
          <w:sz w:val="24"/>
          <w:szCs w:val="27"/>
        </w:rPr>
        <w:t>Artículo 45.</w:t>
      </w:r>
      <w:r w:rsidR="00C7384D" w:rsidRPr="005E6A0E">
        <w:rPr>
          <w:rFonts w:ascii="Arial" w:hAnsi="Arial" w:cs="Arial"/>
          <w:bCs/>
          <w:i/>
          <w:snapToGrid w:val="0"/>
          <w:sz w:val="24"/>
          <w:szCs w:val="27"/>
        </w:rPr>
        <w:t xml:space="preserve"> Este impuesto deberá pagarse dentro de los treinta días naturales siguientes a la fecha en que se realice las operaciones objeto de este impuesto, aun cuando el contrato se celebre con reserva de dominio o la venta sea a plazo.</w:t>
      </w:r>
    </w:p>
    <w:p w14:paraId="10E491E7" w14:textId="288E14FB" w:rsidR="00C7384D"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El pago del impuesto deberá hacerse dentro del mismo plazo cuando se realice cualquiera de los supuestos que a continuación se señalan: </w:t>
      </w:r>
    </w:p>
    <w:p w14:paraId="32B59BC9" w14:textId="170096AA" w:rsidR="00C7384D"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I. Cuando se constituya o adquiera el usufructo o la nuda propiedad. En el caso de usufructo temporal cuando se extinga; </w:t>
      </w:r>
    </w:p>
    <w:p w14:paraId="65ECF189" w14:textId="7D32E5BB" w:rsidR="00C7384D"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II. A la adjudicación de los bienes de la sucesión o a los tres años de la muerte del autor de la misma si transcurrido dicho plazo no se hubiera llevado a cabo la adjudicación, así como al cederse los derechos hereditarios o al enajenarse bienes por la sucesión. En estos dos últimos casos, el impuesto correspondiente a la adquisición por causa de muerte, se causará en el momento en que se realice la cesión o la enajenación independientemente del que se causa por el cesionario o por el adquiriente;</w:t>
      </w:r>
    </w:p>
    <w:p w14:paraId="69C7CDE5" w14:textId="3D2EB265" w:rsid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III. Tratándose de adquisiciones efectuadas a través de fideicomiso, cuando se realicen los supuestos de enajenación en los términos del Código Fiscal para el Estado de Oaxaca; y</w:t>
      </w:r>
    </w:p>
    <w:p w14:paraId="35FAF94D" w14:textId="478C3B32" w:rsidR="00C7384D"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IV. Al protocolizarse o inscribirse el reconocimiento judicial de la prescripción positiva.</w:t>
      </w:r>
    </w:p>
    <w:p w14:paraId="27A01CAF" w14:textId="1EF2EAE3" w:rsidR="00C7384D"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En los casos no previstos en las fracciones anteriores, el pago deberá realizarse cuando los</w:t>
      </w:r>
      <w:r w:rsidR="00ED5B9A" w:rsidRPr="005E6A0E">
        <w:rPr>
          <w:rFonts w:ascii="Arial" w:hAnsi="Arial" w:cs="Arial"/>
          <w:bCs/>
          <w:i/>
          <w:snapToGrid w:val="0"/>
          <w:sz w:val="24"/>
          <w:szCs w:val="27"/>
        </w:rPr>
        <w:t xml:space="preserve"> </w:t>
      </w:r>
      <w:r w:rsidRPr="005E6A0E">
        <w:rPr>
          <w:rFonts w:ascii="Arial" w:hAnsi="Arial" w:cs="Arial"/>
          <w:bCs/>
          <w:i/>
          <w:snapToGrid w:val="0"/>
          <w:sz w:val="24"/>
          <w:szCs w:val="27"/>
        </w:rPr>
        <w:t>actos de que se trate se eleven a escritura pública o se inscriban en el Instituto de la Función</w:t>
      </w:r>
      <w:r w:rsidR="00ED5B9A" w:rsidRPr="005E6A0E">
        <w:rPr>
          <w:rFonts w:ascii="Arial" w:hAnsi="Arial" w:cs="Arial"/>
          <w:bCs/>
          <w:i/>
          <w:snapToGrid w:val="0"/>
          <w:sz w:val="24"/>
          <w:szCs w:val="27"/>
        </w:rPr>
        <w:t xml:space="preserve"> </w:t>
      </w:r>
      <w:r w:rsidRPr="005E6A0E">
        <w:rPr>
          <w:rFonts w:ascii="Arial" w:hAnsi="Arial" w:cs="Arial"/>
          <w:bCs/>
          <w:i/>
          <w:snapToGrid w:val="0"/>
          <w:sz w:val="24"/>
          <w:szCs w:val="27"/>
        </w:rPr>
        <w:t>Registral del Estado de Oaxaca; y si no están sujetos a esta formalidad, al adquirirse el dominio</w:t>
      </w:r>
      <w:r w:rsidR="00ED5B9A" w:rsidRPr="005E6A0E">
        <w:rPr>
          <w:rFonts w:ascii="Arial" w:hAnsi="Arial" w:cs="Arial"/>
          <w:bCs/>
          <w:i/>
          <w:snapToGrid w:val="0"/>
          <w:sz w:val="24"/>
          <w:szCs w:val="27"/>
        </w:rPr>
        <w:t xml:space="preserve"> </w:t>
      </w:r>
      <w:r w:rsidRPr="005E6A0E">
        <w:rPr>
          <w:rFonts w:ascii="Arial" w:hAnsi="Arial" w:cs="Arial"/>
          <w:bCs/>
          <w:i/>
          <w:snapToGrid w:val="0"/>
          <w:sz w:val="24"/>
          <w:szCs w:val="27"/>
        </w:rPr>
        <w:t xml:space="preserve">conforme a las leyes. </w:t>
      </w:r>
    </w:p>
    <w:p w14:paraId="1162DDDB" w14:textId="5152E2E4" w:rsidR="00C7384D"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En todos los trámites relativos a la traslación de dominio de un bien inmueble ubicado en la</w:t>
      </w:r>
      <w:r w:rsidR="00ED5B9A" w:rsidRPr="005E6A0E">
        <w:rPr>
          <w:rFonts w:ascii="Arial" w:hAnsi="Arial" w:cs="Arial"/>
          <w:bCs/>
          <w:i/>
          <w:snapToGrid w:val="0"/>
          <w:sz w:val="24"/>
          <w:szCs w:val="27"/>
        </w:rPr>
        <w:t xml:space="preserve"> </w:t>
      </w:r>
      <w:r w:rsidRPr="005E6A0E">
        <w:rPr>
          <w:rFonts w:ascii="Arial" w:hAnsi="Arial" w:cs="Arial"/>
          <w:bCs/>
          <w:i/>
          <w:snapToGrid w:val="0"/>
          <w:sz w:val="24"/>
          <w:szCs w:val="27"/>
        </w:rPr>
        <w:t>jurisdicción territorial del Municipio, el propietario anterior y el fedatario público responden</w:t>
      </w:r>
      <w:r w:rsidR="00ED5B9A" w:rsidRPr="005E6A0E">
        <w:rPr>
          <w:rFonts w:ascii="Arial" w:hAnsi="Arial" w:cs="Arial"/>
          <w:bCs/>
          <w:i/>
          <w:snapToGrid w:val="0"/>
          <w:sz w:val="24"/>
          <w:szCs w:val="27"/>
        </w:rPr>
        <w:t xml:space="preserve"> </w:t>
      </w:r>
      <w:r w:rsidRPr="005E6A0E">
        <w:rPr>
          <w:rFonts w:ascii="Arial" w:hAnsi="Arial" w:cs="Arial"/>
          <w:bCs/>
          <w:i/>
          <w:snapToGrid w:val="0"/>
          <w:sz w:val="24"/>
          <w:szCs w:val="27"/>
        </w:rPr>
        <w:t xml:space="preserve">solidariamente del impuesto que deba pagar el adquirente. </w:t>
      </w:r>
    </w:p>
    <w:p w14:paraId="58598335" w14:textId="591A4DDD" w:rsidR="00ED5CF0" w:rsidRPr="005E6A0E" w:rsidRDefault="00C7384D"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Para el entero de este impuesto se deberá utilizar el formato de la orden de pago autorizado por</w:t>
      </w:r>
      <w:r w:rsidR="00ED5B9A" w:rsidRPr="005E6A0E">
        <w:rPr>
          <w:rFonts w:ascii="Arial" w:hAnsi="Arial" w:cs="Arial"/>
          <w:bCs/>
          <w:i/>
          <w:snapToGrid w:val="0"/>
          <w:sz w:val="24"/>
          <w:szCs w:val="27"/>
        </w:rPr>
        <w:t xml:space="preserve"> </w:t>
      </w:r>
      <w:r w:rsidRPr="005E6A0E">
        <w:rPr>
          <w:rFonts w:ascii="Arial" w:hAnsi="Arial" w:cs="Arial"/>
          <w:bCs/>
          <w:i/>
          <w:snapToGrid w:val="0"/>
          <w:sz w:val="24"/>
          <w:szCs w:val="27"/>
        </w:rPr>
        <w:t>la Unidad de Recaudación.</w:t>
      </w:r>
    </w:p>
    <w:p w14:paraId="18554D62" w14:textId="16A5B0BE"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lastRenderedPageBreak/>
        <w:t xml:space="preserve">La orden de pago de este impuesto será emitida por el personal adscrito a la Unidad de Catastro de la Subdirección de Ingresos, siempre y cuando el contribuyente o persona autorizada para realizar el trámite inmobiliario haya presentado para la conformación del expediente inmobiliario las constancias documentales siguientes: </w:t>
      </w:r>
    </w:p>
    <w:p w14:paraId="7D977E3E" w14:textId="2C9FABE0"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I. Escritura Pública o Privada debidamente autorizada, misma que deberá acreditar el Antecedente de Propiedad; </w:t>
      </w:r>
    </w:p>
    <w:p w14:paraId="35D9B10B" w14:textId="441465FD"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II. Identificación Oficial del Contribuyente o representante legal;</w:t>
      </w:r>
    </w:p>
    <w:p w14:paraId="6832A161" w14:textId="39352118"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III. Clave Única de Registro de Población (CURP) o Registro Federal de Contribuyentes (RFC); </w:t>
      </w:r>
    </w:p>
    <w:p w14:paraId="57ECE76C" w14:textId="3B6B47C4"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V. Comprobante de Domicilio del Contribuyente o Representante Legal; </w:t>
      </w:r>
    </w:p>
    <w:p w14:paraId="641CC25D" w14:textId="04F9DC05"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V. Solicitud de Trámite Catastral Municipal sellada y firmada por Fedatario Público o en su caso por el Director General de Notarias del Estado de Oaxaca;</w:t>
      </w:r>
    </w:p>
    <w:p w14:paraId="647FD244" w14:textId="3F6CBCD5"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VI. Certificado de Datos Catastrales o Cedula Catastral expedida por el Instituto Catastral del Estado de Oaxaca; </w:t>
      </w:r>
    </w:p>
    <w:p w14:paraId="3B6EBFD9" w14:textId="77777777" w:rsidR="000D6DD3"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VII. Recibo de Pago del Impuesto Predial o Constancia de no Adeudo Fiscal del Ejercicio Fiscal que corresponda atendiendo a la fecha de c</w:t>
      </w:r>
      <w:r w:rsidR="000D6DD3" w:rsidRPr="005E6A0E">
        <w:rPr>
          <w:rFonts w:ascii="Arial" w:hAnsi="Arial" w:cs="Arial"/>
          <w:bCs/>
          <w:i/>
          <w:snapToGrid w:val="0"/>
          <w:sz w:val="24"/>
          <w:szCs w:val="27"/>
        </w:rPr>
        <w:t>elebración del acto traslativo;</w:t>
      </w:r>
    </w:p>
    <w:p w14:paraId="6129F026" w14:textId="0FB3EFA5" w:rsidR="00ED5B9A" w:rsidRPr="005E6A0E" w:rsidRDefault="00ED5B9A"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VIII. Croquis de localización del bien inmueble objeto de traslación, especificando su ubicación</w:t>
      </w:r>
      <w:r w:rsidR="000D6DD3" w:rsidRPr="005E6A0E">
        <w:rPr>
          <w:rFonts w:ascii="Arial" w:hAnsi="Arial" w:cs="Arial"/>
          <w:bCs/>
          <w:i/>
          <w:snapToGrid w:val="0"/>
          <w:sz w:val="24"/>
          <w:szCs w:val="27"/>
        </w:rPr>
        <w:t xml:space="preserve"> </w:t>
      </w:r>
      <w:r w:rsidRPr="005E6A0E">
        <w:rPr>
          <w:rFonts w:ascii="Arial" w:hAnsi="Arial" w:cs="Arial"/>
          <w:bCs/>
          <w:i/>
          <w:snapToGrid w:val="0"/>
          <w:sz w:val="24"/>
          <w:szCs w:val="27"/>
        </w:rPr>
        <w:t>a nivel de calle o vialidad, y la distancia en metros a la esquina más próxima, y</w:t>
      </w:r>
    </w:p>
    <w:p w14:paraId="6C779485" w14:textId="7BF6BB01" w:rsidR="00FF347F" w:rsidRPr="005E6A0E" w:rsidRDefault="00FF347F"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 xml:space="preserve">IX. Las demás que considere necesarios el personal adscrito a la Unidad de Catastro adscrita a la Subdirección de Ingresos, tomando en cuenta las características específicas y propias del trámite inmobiliario. </w:t>
      </w:r>
    </w:p>
    <w:p w14:paraId="04FD55C7" w14:textId="2AAB72DD" w:rsidR="00FF347F" w:rsidRPr="005E6A0E" w:rsidRDefault="00FF347F" w:rsidP="005E6A0E">
      <w:pPr>
        <w:ind w:left="567" w:right="51"/>
        <w:jc w:val="both"/>
        <w:rPr>
          <w:rFonts w:ascii="Arial" w:hAnsi="Arial" w:cs="Arial"/>
          <w:bCs/>
          <w:i/>
          <w:snapToGrid w:val="0"/>
          <w:sz w:val="24"/>
          <w:szCs w:val="27"/>
        </w:rPr>
      </w:pPr>
      <w:r w:rsidRPr="005E6A0E">
        <w:rPr>
          <w:rFonts w:ascii="Arial" w:hAnsi="Arial" w:cs="Arial"/>
          <w:bCs/>
          <w:i/>
          <w:snapToGrid w:val="0"/>
          <w:sz w:val="24"/>
          <w:szCs w:val="27"/>
        </w:rPr>
        <w:t>Las constancias documentales antes referidas, deberán ser presentadas en copias xerográficas, claras y legibles, pudiendo en todo momento el personal adscrito a la Unidad de Catastro de la Subdirección de Ingresos solicitar copias certificadas de alguna o varias constancias documentales, lo anterior con el objeto de acreditar la autenticidad, validez y legalidad de las mismas.</w:t>
      </w:r>
      <w:r w:rsidR="0097113E">
        <w:rPr>
          <w:rFonts w:ascii="Arial" w:hAnsi="Arial" w:cs="Arial"/>
          <w:bCs/>
          <w:i/>
          <w:snapToGrid w:val="0"/>
          <w:sz w:val="24"/>
          <w:szCs w:val="27"/>
        </w:rPr>
        <w:t>”</w:t>
      </w:r>
    </w:p>
    <w:p w14:paraId="783D86AB" w14:textId="462C6A13" w:rsidR="00ED5B9A" w:rsidRDefault="005E6A0E" w:rsidP="00F0649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Derivado de lo anterior, </w:t>
      </w:r>
      <w:r w:rsidR="00396F2F">
        <w:rPr>
          <w:rFonts w:ascii="Arial" w:hAnsi="Arial" w:cs="Arial"/>
          <w:bCs/>
          <w:snapToGrid w:val="0"/>
          <w:sz w:val="24"/>
          <w:szCs w:val="27"/>
        </w:rPr>
        <w:t xml:space="preserve">se advierte que dicho numeral enlista los requisitos para que la autoridad competente valore e inscriba o actualice </w:t>
      </w:r>
      <w:r w:rsidR="0094315D">
        <w:rPr>
          <w:rFonts w:ascii="Arial" w:hAnsi="Arial" w:cs="Arial"/>
          <w:bCs/>
          <w:snapToGrid w:val="0"/>
          <w:sz w:val="24"/>
          <w:szCs w:val="27"/>
        </w:rPr>
        <w:t xml:space="preserve">el padrón catastral que tiene a su cargo, sin embargo, en el presente asunto, únicamente obra la Solicitud de Trámite de Registro Fiscal Municipal, </w:t>
      </w:r>
      <w:r w:rsidR="0085446C">
        <w:rPr>
          <w:rFonts w:ascii="Arial" w:hAnsi="Arial" w:cs="Arial"/>
          <w:bCs/>
          <w:snapToGrid w:val="0"/>
          <w:sz w:val="24"/>
          <w:szCs w:val="27"/>
        </w:rPr>
        <w:t>sin que esta autoridad jurisdiccional pueda corroborar que efectivamente el solicitante cumplió con todos los requisitos que indica el artículo antes transcrito.</w:t>
      </w:r>
    </w:p>
    <w:p w14:paraId="5418650A" w14:textId="0A64185C" w:rsidR="0085446C" w:rsidRDefault="0085446C" w:rsidP="00F0649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No es óbice puntualizar que, si bien la autoridad tomó en cuenta lo mencionado en el artículo transcrito en el párrafo anterior inmediato, </w:t>
      </w:r>
      <w:r w:rsidR="00BC4F4D">
        <w:rPr>
          <w:rFonts w:ascii="Arial" w:hAnsi="Arial" w:cs="Arial"/>
          <w:bCs/>
          <w:snapToGrid w:val="0"/>
          <w:sz w:val="24"/>
          <w:szCs w:val="27"/>
        </w:rPr>
        <w:t>dicho artículo no citó como fundamento en el acto controvertido, en su lugar, citó el artículo 251 fracción VI de la Ley de Ingresos del Municipio de Oaxaca de Juárez, Oaxaca, que a la letra dice:</w:t>
      </w:r>
    </w:p>
    <w:p w14:paraId="3D0741C9" w14:textId="6ABE5D92" w:rsidR="00BC4F4D" w:rsidRPr="00BC4F4D" w:rsidRDefault="00BC4F4D" w:rsidP="00BC4F4D">
      <w:pPr>
        <w:ind w:left="567" w:right="51"/>
        <w:jc w:val="both"/>
        <w:rPr>
          <w:rFonts w:ascii="Arial" w:hAnsi="Arial" w:cs="Arial"/>
          <w:bCs/>
          <w:i/>
          <w:snapToGrid w:val="0"/>
          <w:sz w:val="24"/>
          <w:szCs w:val="27"/>
        </w:rPr>
      </w:pPr>
      <w:r>
        <w:rPr>
          <w:rFonts w:ascii="Arial" w:hAnsi="Arial" w:cs="Arial"/>
          <w:b/>
          <w:bCs/>
          <w:i/>
          <w:snapToGrid w:val="0"/>
          <w:sz w:val="24"/>
          <w:szCs w:val="27"/>
        </w:rPr>
        <w:lastRenderedPageBreak/>
        <w:t>“</w:t>
      </w:r>
      <w:r w:rsidRPr="00BC4F4D">
        <w:rPr>
          <w:rFonts w:ascii="Arial" w:hAnsi="Arial" w:cs="Arial"/>
          <w:b/>
          <w:bCs/>
          <w:i/>
          <w:snapToGrid w:val="0"/>
          <w:sz w:val="24"/>
          <w:szCs w:val="27"/>
        </w:rPr>
        <w:t>Artículo 251.</w:t>
      </w:r>
      <w:r w:rsidRPr="00BC4F4D">
        <w:rPr>
          <w:rFonts w:ascii="Arial" w:hAnsi="Arial" w:cs="Arial"/>
          <w:bCs/>
          <w:i/>
          <w:snapToGrid w:val="0"/>
          <w:sz w:val="24"/>
          <w:szCs w:val="27"/>
        </w:rPr>
        <w:t xml:space="preserve"> Son obligaciones de los contribuyentes, las establecidas en los artículos 32, 33, 34 y 35 del Código Fiscal Municipal, además:</w:t>
      </w:r>
    </w:p>
    <w:p w14:paraId="2FE76D54" w14:textId="41319B45" w:rsidR="00BC4F4D" w:rsidRPr="00BC4F4D" w:rsidRDefault="00BC4F4D" w:rsidP="00BC4F4D">
      <w:pPr>
        <w:ind w:left="567" w:right="51"/>
        <w:jc w:val="both"/>
        <w:rPr>
          <w:rFonts w:ascii="Arial" w:hAnsi="Arial" w:cs="Arial"/>
          <w:bCs/>
          <w:i/>
          <w:snapToGrid w:val="0"/>
          <w:sz w:val="24"/>
          <w:szCs w:val="27"/>
        </w:rPr>
      </w:pPr>
      <w:r w:rsidRPr="00BC4F4D">
        <w:rPr>
          <w:rFonts w:ascii="Arial" w:hAnsi="Arial" w:cs="Arial"/>
          <w:bCs/>
          <w:i/>
          <w:snapToGrid w:val="0"/>
          <w:sz w:val="24"/>
          <w:szCs w:val="27"/>
        </w:rPr>
        <w:t>[…]</w:t>
      </w:r>
    </w:p>
    <w:p w14:paraId="271E7FFB" w14:textId="2594C969" w:rsidR="00BC4F4D" w:rsidRPr="00BC4F4D" w:rsidRDefault="00BC4F4D" w:rsidP="00BC4F4D">
      <w:pPr>
        <w:ind w:left="567" w:right="51"/>
        <w:jc w:val="both"/>
        <w:rPr>
          <w:rFonts w:ascii="Arial" w:hAnsi="Arial" w:cs="Arial"/>
          <w:bCs/>
          <w:i/>
          <w:snapToGrid w:val="0"/>
          <w:sz w:val="24"/>
          <w:szCs w:val="27"/>
        </w:rPr>
      </w:pPr>
      <w:r w:rsidRPr="00BC4F4D">
        <w:rPr>
          <w:rFonts w:ascii="Arial" w:hAnsi="Arial" w:cs="Arial"/>
          <w:bCs/>
          <w:i/>
          <w:snapToGrid w:val="0"/>
          <w:sz w:val="24"/>
          <w:szCs w:val="27"/>
        </w:rPr>
        <w:t>VI. Proporcionar a las Autoridades Fiscales en un plazo no mayor a tres días hábiles posteriores a su requerimiento, los datos, información o constancias que se les soliciten o requieran, y estén directamente relacionadas con el cumplimiento de sus obligaciones fiscales; y</w:t>
      </w:r>
    </w:p>
    <w:p w14:paraId="36CF6676" w14:textId="165F6233" w:rsidR="00BC4F4D" w:rsidRPr="00BC4F4D" w:rsidRDefault="00BC4F4D" w:rsidP="00BC4F4D">
      <w:pPr>
        <w:ind w:left="567" w:right="51"/>
        <w:jc w:val="both"/>
        <w:rPr>
          <w:rFonts w:ascii="Arial" w:hAnsi="Arial" w:cs="Arial"/>
          <w:bCs/>
          <w:i/>
          <w:snapToGrid w:val="0"/>
          <w:sz w:val="24"/>
          <w:szCs w:val="27"/>
        </w:rPr>
      </w:pPr>
      <w:r w:rsidRPr="00BC4F4D">
        <w:rPr>
          <w:rFonts w:ascii="Arial" w:hAnsi="Arial" w:cs="Arial"/>
          <w:bCs/>
          <w:i/>
          <w:snapToGrid w:val="0"/>
          <w:sz w:val="24"/>
          <w:szCs w:val="27"/>
        </w:rPr>
        <w:t>[…]</w:t>
      </w:r>
      <w:r>
        <w:rPr>
          <w:rFonts w:ascii="Arial" w:hAnsi="Arial" w:cs="Arial"/>
          <w:bCs/>
          <w:i/>
          <w:snapToGrid w:val="0"/>
          <w:sz w:val="24"/>
          <w:szCs w:val="27"/>
        </w:rPr>
        <w:t>”</w:t>
      </w:r>
    </w:p>
    <w:p w14:paraId="6AFE23B1" w14:textId="174A7270" w:rsidR="00C67A7F" w:rsidRDefault="00BC4F4D" w:rsidP="00CB353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 la lectura al artículo transcrito anteriormente se advierte que dicha fracción resulta aplicable cuando la autoridad fiscal municipal realiza un requerimiento y el contribuyente resulta obligado para proporcionar lo solicitado dentro del plazo ahí establecido, sin embargo, dicho artículo en el presente caso resulta inaplicable, ya que el mismo no est</w:t>
      </w:r>
      <w:r w:rsidR="000055C5">
        <w:rPr>
          <w:rFonts w:ascii="Arial" w:hAnsi="Arial" w:cs="Arial"/>
          <w:bCs/>
          <w:snapToGrid w:val="0"/>
          <w:sz w:val="24"/>
          <w:szCs w:val="27"/>
        </w:rPr>
        <w:t>á solicitando</w:t>
      </w:r>
      <w:r>
        <w:rPr>
          <w:rFonts w:ascii="Arial" w:hAnsi="Arial" w:cs="Arial"/>
          <w:bCs/>
          <w:snapToGrid w:val="0"/>
          <w:sz w:val="24"/>
          <w:szCs w:val="27"/>
        </w:rPr>
        <w:t xml:space="preserve"> información de ninguna índole, </w:t>
      </w:r>
      <w:r w:rsidR="006823CD">
        <w:rPr>
          <w:rFonts w:ascii="Arial" w:hAnsi="Arial" w:cs="Arial"/>
          <w:bCs/>
          <w:snapToGrid w:val="0"/>
          <w:sz w:val="24"/>
          <w:szCs w:val="27"/>
        </w:rPr>
        <w:t xml:space="preserve">por ello, la autoridad incurre en una indebida fundamentación, </w:t>
      </w:r>
      <w:r w:rsidR="004F4025">
        <w:rPr>
          <w:rFonts w:ascii="Arial" w:hAnsi="Arial" w:cs="Arial"/>
          <w:bCs/>
          <w:snapToGrid w:val="0"/>
          <w:sz w:val="24"/>
          <w:szCs w:val="27"/>
        </w:rPr>
        <w:t xml:space="preserve">ya que cita incorrectamente </w:t>
      </w:r>
      <w:r w:rsidR="00656477">
        <w:rPr>
          <w:rFonts w:ascii="Arial" w:hAnsi="Arial" w:cs="Arial"/>
          <w:bCs/>
          <w:snapToGrid w:val="0"/>
          <w:sz w:val="24"/>
          <w:szCs w:val="27"/>
        </w:rPr>
        <w:t xml:space="preserve">un artículo inaplicable de la Ley de Ingresos del Municipio de Oaxaca de Juárez, Oaxaca y no cita el aplicable al caso en concreto, </w:t>
      </w:r>
      <w:r w:rsidR="00A9003B">
        <w:rPr>
          <w:rFonts w:ascii="Arial" w:hAnsi="Arial" w:cs="Arial"/>
          <w:bCs/>
          <w:snapToGrid w:val="0"/>
          <w:sz w:val="24"/>
          <w:szCs w:val="27"/>
        </w:rPr>
        <w:t xml:space="preserve">en ese tenor, el acto controvertido no cumple con los dispuesto en el artículo 17 fracción V de la Ley de Procedimiento y Justicia Administrativa para el Estado de Oaxaca, en consecuencia, el concepto de impugnación ÚNICO hecho valer por el actor resulta </w:t>
      </w:r>
      <w:r w:rsidR="00A9003B" w:rsidRPr="007E6D4A">
        <w:rPr>
          <w:rFonts w:ascii="Arial" w:hAnsi="Arial" w:cs="Arial"/>
          <w:b/>
          <w:bCs/>
          <w:snapToGrid w:val="0"/>
          <w:sz w:val="24"/>
          <w:szCs w:val="27"/>
        </w:rPr>
        <w:t>FUNDADO</w:t>
      </w:r>
      <w:r w:rsidR="00A9003B">
        <w:rPr>
          <w:rFonts w:ascii="Arial" w:hAnsi="Arial" w:cs="Arial"/>
          <w:bCs/>
          <w:snapToGrid w:val="0"/>
          <w:sz w:val="24"/>
          <w:szCs w:val="27"/>
        </w:rPr>
        <w:t xml:space="preserve">, por ende, esta Sala declara la </w:t>
      </w:r>
      <w:r w:rsidR="00A9003B" w:rsidRPr="007E6D4A">
        <w:rPr>
          <w:rFonts w:ascii="Arial" w:hAnsi="Arial" w:cs="Arial"/>
          <w:b/>
          <w:bCs/>
          <w:snapToGrid w:val="0"/>
          <w:sz w:val="24"/>
          <w:szCs w:val="27"/>
        </w:rPr>
        <w:t>NULIDAD LISA Y LLANA</w:t>
      </w:r>
      <w:r w:rsidR="00A9003B">
        <w:rPr>
          <w:rFonts w:ascii="Arial" w:hAnsi="Arial" w:cs="Arial"/>
          <w:bCs/>
          <w:snapToGrid w:val="0"/>
          <w:sz w:val="24"/>
          <w:szCs w:val="27"/>
        </w:rPr>
        <w:t xml:space="preserve"> del </w:t>
      </w:r>
      <w:r w:rsidR="007E6D4A">
        <w:rPr>
          <w:rFonts w:ascii="Arial" w:hAnsi="Arial" w:cs="Arial"/>
          <w:bCs/>
          <w:spacing w:val="-3"/>
          <w:sz w:val="24"/>
          <w:szCs w:val="27"/>
          <w:lang w:val="es-ES_tradnl"/>
        </w:rPr>
        <w:t>del oficio número TM/SDI/</w:t>
      </w:r>
      <w:r w:rsidR="00F10006">
        <w:rPr>
          <w:rFonts w:ascii="Arial" w:hAnsi="Arial" w:cs="Arial"/>
          <w:bCs/>
          <w:spacing w:val="-3"/>
          <w:sz w:val="24"/>
          <w:szCs w:val="27"/>
          <w:lang w:val="es-ES_tradnl"/>
        </w:rPr>
        <w:t>****</w:t>
      </w:r>
      <w:r w:rsidR="007E6D4A">
        <w:rPr>
          <w:rFonts w:ascii="Arial" w:hAnsi="Arial" w:cs="Arial"/>
          <w:bCs/>
          <w:spacing w:val="-3"/>
          <w:sz w:val="24"/>
          <w:szCs w:val="27"/>
          <w:lang w:val="es-ES_tradnl"/>
        </w:rPr>
        <w:t>/</w:t>
      </w:r>
      <w:r w:rsidR="00F10006">
        <w:rPr>
          <w:rFonts w:ascii="Arial" w:hAnsi="Arial" w:cs="Arial"/>
          <w:bCs/>
          <w:spacing w:val="-3"/>
          <w:sz w:val="24"/>
          <w:szCs w:val="27"/>
          <w:lang w:val="es-ES_tradnl"/>
        </w:rPr>
        <w:t>*****</w:t>
      </w:r>
      <w:r w:rsidR="007E6D4A">
        <w:rPr>
          <w:rFonts w:ascii="Arial" w:hAnsi="Arial" w:cs="Arial"/>
          <w:bCs/>
          <w:spacing w:val="-3"/>
          <w:sz w:val="24"/>
          <w:szCs w:val="27"/>
          <w:lang w:val="es-ES_tradnl"/>
        </w:rPr>
        <w:t xml:space="preserve"> de fecha </w:t>
      </w:r>
      <w:r w:rsidR="00F10006">
        <w:rPr>
          <w:rFonts w:ascii="Arial" w:hAnsi="Arial" w:cs="Arial"/>
          <w:bCs/>
          <w:spacing w:val="-3"/>
          <w:sz w:val="24"/>
          <w:szCs w:val="27"/>
          <w:lang w:val="es-ES_tradnl"/>
        </w:rPr>
        <w:t>*****</w:t>
      </w:r>
      <w:r w:rsidR="007E6D4A">
        <w:rPr>
          <w:rFonts w:ascii="Arial" w:hAnsi="Arial" w:cs="Arial"/>
          <w:bCs/>
          <w:spacing w:val="-3"/>
          <w:sz w:val="24"/>
          <w:szCs w:val="27"/>
          <w:lang w:val="es-ES_tradnl"/>
        </w:rPr>
        <w:t xml:space="preserve"> de </w:t>
      </w:r>
      <w:r w:rsidR="00F10006">
        <w:rPr>
          <w:rFonts w:ascii="Arial" w:hAnsi="Arial" w:cs="Arial"/>
          <w:bCs/>
          <w:spacing w:val="-3"/>
          <w:sz w:val="24"/>
          <w:szCs w:val="27"/>
          <w:lang w:val="es-ES_tradnl"/>
        </w:rPr>
        <w:t>*****</w:t>
      </w:r>
      <w:r w:rsidR="007E6D4A">
        <w:rPr>
          <w:rFonts w:ascii="Arial" w:hAnsi="Arial" w:cs="Arial"/>
          <w:bCs/>
          <w:spacing w:val="-3"/>
          <w:sz w:val="24"/>
          <w:szCs w:val="27"/>
          <w:lang w:val="es-ES_tradnl"/>
        </w:rPr>
        <w:t xml:space="preserve"> de dos mil </w:t>
      </w:r>
      <w:r w:rsidR="00F10006">
        <w:rPr>
          <w:rFonts w:ascii="Arial" w:hAnsi="Arial" w:cs="Arial"/>
          <w:bCs/>
          <w:spacing w:val="-3"/>
          <w:sz w:val="24"/>
          <w:szCs w:val="27"/>
          <w:lang w:val="es-ES_tradnl"/>
        </w:rPr>
        <w:t>*****</w:t>
      </w:r>
      <w:r w:rsidR="007E6D4A">
        <w:rPr>
          <w:rFonts w:ascii="Arial" w:hAnsi="Arial" w:cs="Arial"/>
          <w:bCs/>
          <w:spacing w:val="-3"/>
          <w:sz w:val="24"/>
          <w:szCs w:val="27"/>
          <w:lang w:val="es-ES_tradnl"/>
        </w:rPr>
        <w:t xml:space="preserve">, por la Subdirectora de Ingresos del Municipio de Oaxaca de Juárez, Oaxaca, en consecuencia, se ordena a esa autoridad </w:t>
      </w:r>
      <w:r w:rsidR="00E972E2">
        <w:rPr>
          <w:rFonts w:ascii="Arial" w:hAnsi="Arial" w:cs="Arial"/>
          <w:bCs/>
          <w:snapToGrid w:val="0"/>
          <w:sz w:val="24"/>
          <w:szCs w:val="27"/>
        </w:rPr>
        <w:t>demandada</w:t>
      </w:r>
      <w:r w:rsidR="00AD5248" w:rsidRPr="00CB353D">
        <w:rPr>
          <w:rFonts w:ascii="Arial" w:hAnsi="Arial" w:cs="Arial"/>
          <w:bCs/>
          <w:snapToGrid w:val="0"/>
          <w:sz w:val="24"/>
          <w:szCs w:val="27"/>
        </w:rPr>
        <w:t xml:space="preserve"> para que a través de sí misma o de quien sea legalmente competente, realice</w:t>
      </w:r>
      <w:r w:rsidR="00AD5248">
        <w:rPr>
          <w:rFonts w:ascii="Arial" w:hAnsi="Arial" w:cs="Arial"/>
          <w:bCs/>
          <w:snapToGrid w:val="0"/>
          <w:sz w:val="24"/>
          <w:szCs w:val="27"/>
        </w:rPr>
        <w:t>n</w:t>
      </w:r>
      <w:r w:rsidR="00AD5248" w:rsidRPr="00CB353D">
        <w:rPr>
          <w:rFonts w:ascii="Arial" w:hAnsi="Arial" w:cs="Arial"/>
          <w:bCs/>
          <w:snapToGrid w:val="0"/>
          <w:sz w:val="24"/>
          <w:szCs w:val="27"/>
        </w:rPr>
        <w:t xml:space="preserve"> la baja de la citada acta </w:t>
      </w:r>
      <w:r w:rsidR="00AD5248">
        <w:rPr>
          <w:rFonts w:ascii="Arial" w:hAnsi="Arial" w:cs="Arial"/>
          <w:bCs/>
          <w:snapToGrid w:val="0"/>
          <w:sz w:val="24"/>
          <w:szCs w:val="27"/>
        </w:rPr>
        <w:t>circunstanciada y orden se suspensión</w:t>
      </w:r>
      <w:r w:rsidR="00AD5248" w:rsidRPr="00CB353D">
        <w:rPr>
          <w:rFonts w:ascii="Arial" w:hAnsi="Arial" w:cs="Arial"/>
          <w:bCs/>
          <w:snapToGrid w:val="0"/>
          <w:sz w:val="24"/>
          <w:szCs w:val="27"/>
        </w:rPr>
        <w:t xml:space="preserve"> del sistema electrónico y/o documental que para t</w:t>
      </w:r>
      <w:r w:rsidR="00AD5248">
        <w:rPr>
          <w:rFonts w:ascii="Arial" w:hAnsi="Arial" w:cs="Arial"/>
          <w:bCs/>
          <w:snapToGrid w:val="0"/>
          <w:sz w:val="24"/>
          <w:szCs w:val="27"/>
        </w:rPr>
        <w:t>al efecto lleve esa autoridad</w:t>
      </w:r>
      <w:r w:rsidR="002A05F6">
        <w:rPr>
          <w:rFonts w:ascii="Arial" w:hAnsi="Arial" w:cs="Arial"/>
          <w:bCs/>
          <w:snapToGrid w:val="0"/>
          <w:sz w:val="24"/>
          <w:szCs w:val="27"/>
        </w:rPr>
        <w:t>, además, como se advierte que el acto reclamado nulo fue originado en respuesta a una solicitud, y para no dejar en estado de incertidumbre jurídica al hoy actor, se ordena a esa autoridad demandada para que emita un nuevo acto debidamente fundado y motivado y con libertad de jurisdicción resuelva lo que en derecho proceda, bajo apercibimiento que de no hacerlo se le impondrá uno de los medios de apremio que indica la Ley de Pro</w:t>
      </w:r>
      <w:r w:rsidR="003B66A6">
        <w:rPr>
          <w:rFonts w:ascii="Arial" w:hAnsi="Arial" w:cs="Arial"/>
          <w:bCs/>
          <w:snapToGrid w:val="0"/>
          <w:sz w:val="24"/>
          <w:szCs w:val="27"/>
        </w:rPr>
        <w:t>cedimiento y Justicia Administrativa para el Estado de Oaxaca.</w:t>
      </w:r>
    </w:p>
    <w:p w14:paraId="063B036B" w14:textId="78A4218D"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A todo lo antes expuesto, cabe hacer precisión que de los conceptos de impugnación estudiados sirve de apoyo por analogía jurídica sustancial la tesis número I.6oA.3</w:t>
      </w:r>
      <w:r w:rsidR="00F27CBF">
        <w:rPr>
          <w:rFonts w:ascii="Arial" w:hAnsi="Arial" w:cs="Arial"/>
          <w:bCs/>
          <w:snapToGrid w:val="0"/>
          <w:sz w:val="24"/>
          <w:szCs w:val="27"/>
        </w:rPr>
        <w:t>3 A, con número de registro 187</w:t>
      </w:r>
      <w:r w:rsidRPr="00CB353D">
        <w:rPr>
          <w:rFonts w:ascii="Arial" w:hAnsi="Arial" w:cs="Arial"/>
          <w:bCs/>
          <w:snapToGrid w:val="0"/>
          <w:sz w:val="24"/>
          <w:szCs w:val="27"/>
        </w:rPr>
        <w:t>531 por los Tribunales Colegiados de Circuito, en el Semanario Judicial de la Federación y su Gaceta, Marzo de 2002, página 1350, Novena Época, co</w:t>
      </w:r>
      <w:r>
        <w:rPr>
          <w:rFonts w:ascii="Arial" w:hAnsi="Arial" w:cs="Arial"/>
          <w:bCs/>
          <w:snapToGrid w:val="0"/>
          <w:sz w:val="24"/>
          <w:szCs w:val="27"/>
        </w:rPr>
        <w:t xml:space="preserve">n el siguiente rubro y texto: </w:t>
      </w:r>
    </w:p>
    <w:p w14:paraId="20FECB08" w14:textId="6D0945B7"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FUNDAMENTACIÓN Y MOTIVACIÓN, FALTA O INDEBIDA. EN CUANTO SON DISTINTAS, UNAS GENERAN NULIDAD LISA Y LLANA Y OTRAS PARA EFECTOS.</w:t>
      </w:r>
      <w:r w:rsidR="00CB353D" w:rsidRPr="00FB410B">
        <w:rPr>
          <w:rFonts w:ascii="Arial" w:hAnsi="Arial" w:cs="Arial"/>
          <w:bCs/>
          <w:i/>
          <w:snapToGrid w:val="0"/>
          <w:sz w:val="24"/>
          <w:szCs w:val="27"/>
        </w:rPr>
        <w:t xml:space="preserve"> La Suprema Corte de Justicia de la Nación ha establecido </w:t>
      </w:r>
      <w:r w:rsidR="00CB353D" w:rsidRPr="00FB410B">
        <w:rPr>
          <w:rFonts w:ascii="Arial" w:hAnsi="Arial" w:cs="Arial"/>
          <w:bCs/>
          <w:i/>
          <w:snapToGrid w:val="0"/>
          <w:sz w:val="24"/>
          <w:szCs w:val="27"/>
        </w:rPr>
        <w:lastRenderedPageBreak/>
        <w:t>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72874FF7" w14:textId="7BD048E3"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B334D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2F6CFDFF"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lastRenderedPageBreak/>
        <w:t>CUARTO.</w:t>
      </w:r>
      <w:r w:rsidRPr="009C0C09">
        <w:rPr>
          <w:rFonts w:cs="Arial"/>
          <w:b w:val="0"/>
          <w:bCs/>
          <w:i w:val="0"/>
          <w:szCs w:val="27"/>
        </w:rPr>
        <w:t xml:space="preserve"> Se declara la </w:t>
      </w:r>
      <w:r w:rsidR="001B5DC7" w:rsidRPr="001B5DC7">
        <w:rPr>
          <w:rFonts w:cs="Arial"/>
          <w:i w:val="0"/>
          <w:szCs w:val="27"/>
        </w:rPr>
        <w:t xml:space="preserve">NULIDAD LISA Y LLANA </w:t>
      </w:r>
      <w:r w:rsidR="00914857">
        <w:rPr>
          <w:rFonts w:cs="Arial"/>
          <w:b w:val="0"/>
          <w:i w:val="0"/>
          <w:szCs w:val="27"/>
        </w:rPr>
        <w:t xml:space="preserve">del </w:t>
      </w:r>
      <w:r w:rsidR="00914857" w:rsidRPr="00914857">
        <w:rPr>
          <w:rFonts w:cs="Arial"/>
          <w:b w:val="0"/>
          <w:i w:val="0"/>
          <w:szCs w:val="27"/>
        </w:rPr>
        <w:t>oficio número TM/SDI/</w:t>
      </w:r>
      <w:r w:rsidR="00C8753C">
        <w:rPr>
          <w:rFonts w:cs="Arial"/>
          <w:b w:val="0"/>
          <w:i w:val="0"/>
          <w:szCs w:val="27"/>
        </w:rPr>
        <w:t>*****</w:t>
      </w:r>
      <w:r w:rsidR="00914857" w:rsidRPr="00914857">
        <w:rPr>
          <w:rFonts w:cs="Arial"/>
          <w:b w:val="0"/>
          <w:i w:val="0"/>
          <w:szCs w:val="27"/>
        </w:rPr>
        <w:t>/</w:t>
      </w:r>
      <w:r w:rsidR="00C8753C">
        <w:rPr>
          <w:rFonts w:cs="Arial"/>
          <w:b w:val="0"/>
          <w:i w:val="0"/>
          <w:szCs w:val="27"/>
        </w:rPr>
        <w:t>*****</w:t>
      </w:r>
      <w:r w:rsidR="00914857" w:rsidRPr="00914857">
        <w:rPr>
          <w:rFonts w:cs="Arial"/>
          <w:b w:val="0"/>
          <w:i w:val="0"/>
          <w:szCs w:val="27"/>
        </w:rPr>
        <w:t xml:space="preserve"> de fecha </w:t>
      </w:r>
      <w:r w:rsidR="00C8753C">
        <w:rPr>
          <w:rFonts w:cs="Arial"/>
          <w:b w:val="0"/>
          <w:i w:val="0"/>
          <w:szCs w:val="27"/>
        </w:rPr>
        <w:t>*****</w:t>
      </w:r>
      <w:r w:rsidR="00914857" w:rsidRPr="00914857">
        <w:rPr>
          <w:rFonts w:cs="Arial"/>
          <w:b w:val="0"/>
          <w:i w:val="0"/>
          <w:szCs w:val="27"/>
        </w:rPr>
        <w:t xml:space="preserve"> de </w:t>
      </w:r>
      <w:r w:rsidR="00C8753C">
        <w:rPr>
          <w:rFonts w:cs="Arial"/>
          <w:b w:val="0"/>
          <w:i w:val="0"/>
          <w:szCs w:val="27"/>
        </w:rPr>
        <w:t>*****</w:t>
      </w:r>
      <w:r w:rsidR="00914857" w:rsidRPr="00914857">
        <w:rPr>
          <w:rFonts w:cs="Arial"/>
          <w:b w:val="0"/>
          <w:i w:val="0"/>
          <w:szCs w:val="27"/>
        </w:rPr>
        <w:t xml:space="preserve"> de dos mil </w:t>
      </w:r>
      <w:r w:rsidR="00C8753C">
        <w:rPr>
          <w:rFonts w:cs="Arial"/>
          <w:b w:val="0"/>
          <w:i w:val="0"/>
          <w:szCs w:val="27"/>
        </w:rPr>
        <w:t>*****</w:t>
      </w:r>
      <w:r w:rsidR="00914857" w:rsidRPr="00914857">
        <w:rPr>
          <w:rFonts w:cs="Arial"/>
          <w:b w:val="0"/>
          <w:i w:val="0"/>
          <w:szCs w:val="27"/>
        </w:rPr>
        <w:t>, por la Subdirectora de Ingresos del Municipio de Oaxaca de Juárez, Oaxaca, en consecuencia, se ordena a esa autoridad demandada para que a través de sí misma o de quien sea legalmente competente, realicen la baja de la citada acta circunstanciada y orden se suspensión del sistema electrónico y/o documental que para tal efecto lleve esa autoridad, además, como se advierte que el acto reclamado nulo fue originado en respuesta a una solicitud, y para no dejar en estado de incertidumbre jurídica al hoy actor, se ordena a esa autoridad demandada para que emita un nuevo acto debidamente fundado y motivado y con libertad de jurisdicción resuelva lo que en derecho proceda, bajo apercibimiento que de no hacerlo se le impondrá uno de los medios de apremio que indica la Ley de Procedimiento y Justicia Administrativa para el Estado de Oaxaca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9B5DEF">
      <w:headerReference w:type="even" r:id="rId8"/>
      <w:headerReference w:type="default" r:id="rId9"/>
      <w:footerReference w:type="default" r:id="rId10"/>
      <w:headerReference w:type="first" r:id="rId11"/>
      <w:pgSz w:w="12240" w:h="20160" w:code="5"/>
      <w:pgMar w:top="1518" w:right="1418" w:bottom="2127" w:left="1985" w:header="709"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C3CD0" w14:textId="77777777" w:rsidR="00FC634C" w:rsidRDefault="00FC634C" w:rsidP="00604752">
      <w:pPr>
        <w:spacing w:after="0" w:line="240" w:lineRule="auto"/>
      </w:pPr>
      <w:r>
        <w:separator/>
      </w:r>
    </w:p>
  </w:endnote>
  <w:endnote w:type="continuationSeparator" w:id="0">
    <w:p w14:paraId="131B40A9" w14:textId="77777777" w:rsidR="00FC634C" w:rsidRDefault="00FC634C"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914991"/>
      <w:docPartObj>
        <w:docPartGallery w:val="Page Numbers (Bottom of Page)"/>
        <w:docPartUnique/>
      </w:docPartObj>
    </w:sdtPr>
    <w:sdtEndPr>
      <w:rPr>
        <w:rFonts w:ascii="Arial" w:hAnsi="Arial" w:cs="Arial"/>
        <w:sz w:val="24"/>
        <w:szCs w:val="24"/>
      </w:rPr>
    </w:sdtEndPr>
    <w:sdtContent>
      <w:p w14:paraId="71EF2787" w14:textId="186ACE1C"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97370" w:rsidRPr="00C97370">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8FB62" w14:textId="77777777" w:rsidR="00FC634C" w:rsidRDefault="00FC634C" w:rsidP="00604752">
      <w:pPr>
        <w:spacing w:after="0" w:line="240" w:lineRule="auto"/>
      </w:pPr>
      <w:r>
        <w:separator/>
      </w:r>
    </w:p>
  </w:footnote>
  <w:footnote w:type="continuationSeparator" w:id="0">
    <w:p w14:paraId="549110D9" w14:textId="77777777" w:rsidR="00FC634C" w:rsidRDefault="00FC634C"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2993C" w14:textId="32500814" w:rsidR="009B5DEF" w:rsidRDefault="009B5DEF">
    <w:pPr>
      <w:pStyle w:val="Encabezado"/>
    </w:pPr>
    <w:r w:rsidRPr="009B5DE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F715756" wp14:editId="7A539F56">
              <wp:simplePos x="0" y="0"/>
              <wp:positionH relativeFrom="rightMargin">
                <wp:align>left</wp:align>
              </wp:positionH>
              <wp:positionV relativeFrom="paragraph">
                <wp:posOffset>2927985</wp:posOffset>
              </wp:positionV>
              <wp:extent cx="1181100" cy="1543050"/>
              <wp:effectExtent l="0" t="0" r="19050" b="19050"/>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4C40E866" w14:textId="77777777" w:rsidR="009B5DEF" w:rsidRDefault="009B5DEF" w:rsidP="009B5DE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715756" id="_x0000_t202" coordsize="21600,21600" o:spt="202" path="m,l,21600r21600,l21600,xe">
              <v:stroke joinstyle="miter"/>
              <v:path gradientshapeok="t" o:connecttype="rect"/>
            </v:shapetype>
            <v:shape id="Cuadro de texto 1" o:spid="_x0000_s1026" type="#_x0000_t202" style="position:absolute;margin-left:0;margin-top:230.5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">
              <v:textbox>
                <w:txbxContent>
                  <w:p w14:paraId="4C40E866" w14:textId="77777777" w:rsidR="009B5DEF" w:rsidRDefault="009B5DEF" w:rsidP="009B5DE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18ED36A2" w:rsidR="0076338B" w:rsidRDefault="009B5DEF">
    <w:pPr>
      <w:pStyle w:val="Encabezado"/>
    </w:pPr>
    <w:r w:rsidRPr="009B5DE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F55A956" wp14:editId="22F45052">
              <wp:simplePos x="0" y="0"/>
              <wp:positionH relativeFrom="leftMargin">
                <wp:align>right</wp:align>
              </wp:positionH>
              <wp:positionV relativeFrom="paragraph">
                <wp:posOffset>4293235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9234DB7" w14:textId="77777777" w:rsidR="009B5DEF" w:rsidRDefault="009B5DEF" w:rsidP="009B5DE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55A956" id="_x0000_t202" coordsize="21600,21600" o:spt="202" path="m,l,21600r21600,l21600,xe">
              <v:stroke joinstyle="miter"/>
              <v:path gradientshapeok="t" o:connecttype="rect"/>
            </v:shapetype>
            <v:shape id="_x0000_s1027" type="#_x0000_t202" style="position:absolute;margin-left:41.8pt;margin-top:338.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">
              <v:textbox>
                <w:txbxContent>
                  <w:p w14:paraId="79234DB7" w14:textId="77777777" w:rsidR="009B5DEF" w:rsidRDefault="009B5DEF" w:rsidP="009B5DE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696DBE9E">
          <wp:simplePos x="0" y="0"/>
          <wp:positionH relativeFrom="page">
            <wp:align>right</wp:align>
          </wp:positionH>
          <wp:positionV relativeFrom="paragraph">
            <wp:posOffset>4161790</wp:posOffset>
          </wp:positionV>
          <wp:extent cx="7711312" cy="2869325"/>
          <wp:effectExtent l="0" t="0" r="4445" b="762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FD01972"/>
    <w:multiLevelType w:val="hybridMultilevel"/>
    <w:tmpl w:val="C57A5B46"/>
    <w:lvl w:ilvl="0" w:tplc="7EE0F32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12837211">
    <w:abstractNumId w:val="2"/>
  </w:num>
  <w:num w:numId="2" w16cid:durableId="701326411">
    <w:abstractNumId w:val="3"/>
  </w:num>
  <w:num w:numId="3" w16cid:durableId="262693313">
    <w:abstractNumId w:val="7"/>
  </w:num>
  <w:num w:numId="4" w16cid:durableId="901411257">
    <w:abstractNumId w:val="0"/>
  </w:num>
  <w:num w:numId="5" w16cid:durableId="1536577735">
    <w:abstractNumId w:val="5"/>
  </w:num>
  <w:num w:numId="6" w16cid:durableId="1810978168">
    <w:abstractNumId w:val="1"/>
  </w:num>
  <w:num w:numId="7" w16cid:durableId="1239634894">
    <w:abstractNumId w:val="6"/>
  </w:num>
  <w:num w:numId="8" w16cid:durableId="13195036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55C5"/>
    <w:rsid w:val="0000638E"/>
    <w:rsid w:val="00007750"/>
    <w:rsid w:val="00012F54"/>
    <w:rsid w:val="00015085"/>
    <w:rsid w:val="0001509C"/>
    <w:rsid w:val="000203B2"/>
    <w:rsid w:val="00021165"/>
    <w:rsid w:val="00023E0F"/>
    <w:rsid w:val="0002502E"/>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56CEF"/>
    <w:rsid w:val="00065960"/>
    <w:rsid w:val="000662B7"/>
    <w:rsid w:val="0008025C"/>
    <w:rsid w:val="00092E1F"/>
    <w:rsid w:val="00093312"/>
    <w:rsid w:val="00094E83"/>
    <w:rsid w:val="000951F5"/>
    <w:rsid w:val="000A25F3"/>
    <w:rsid w:val="000A2814"/>
    <w:rsid w:val="000A2A86"/>
    <w:rsid w:val="000A3369"/>
    <w:rsid w:val="000A4C89"/>
    <w:rsid w:val="000A5644"/>
    <w:rsid w:val="000A5C47"/>
    <w:rsid w:val="000A7800"/>
    <w:rsid w:val="000B1C0B"/>
    <w:rsid w:val="000B426C"/>
    <w:rsid w:val="000B48CB"/>
    <w:rsid w:val="000C1184"/>
    <w:rsid w:val="000C35D8"/>
    <w:rsid w:val="000C5EA0"/>
    <w:rsid w:val="000C6172"/>
    <w:rsid w:val="000C67C3"/>
    <w:rsid w:val="000C6FAD"/>
    <w:rsid w:val="000D1ED1"/>
    <w:rsid w:val="000D23FD"/>
    <w:rsid w:val="000D6DD3"/>
    <w:rsid w:val="000D6F4B"/>
    <w:rsid w:val="000E1601"/>
    <w:rsid w:val="000E2FA7"/>
    <w:rsid w:val="000E2FD3"/>
    <w:rsid w:val="000E3524"/>
    <w:rsid w:val="000E5069"/>
    <w:rsid w:val="000E728E"/>
    <w:rsid w:val="000F53A6"/>
    <w:rsid w:val="000F556B"/>
    <w:rsid w:val="001009AB"/>
    <w:rsid w:val="00102315"/>
    <w:rsid w:val="00115274"/>
    <w:rsid w:val="001214CB"/>
    <w:rsid w:val="00123D6C"/>
    <w:rsid w:val="00125DC6"/>
    <w:rsid w:val="001275B8"/>
    <w:rsid w:val="00131EDE"/>
    <w:rsid w:val="00132658"/>
    <w:rsid w:val="001350AA"/>
    <w:rsid w:val="001352D8"/>
    <w:rsid w:val="0013532F"/>
    <w:rsid w:val="00140805"/>
    <w:rsid w:val="00151127"/>
    <w:rsid w:val="001514E4"/>
    <w:rsid w:val="00153004"/>
    <w:rsid w:val="00155616"/>
    <w:rsid w:val="00155F12"/>
    <w:rsid w:val="0016023B"/>
    <w:rsid w:val="001628B3"/>
    <w:rsid w:val="001658D6"/>
    <w:rsid w:val="0016783D"/>
    <w:rsid w:val="00167D58"/>
    <w:rsid w:val="00181533"/>
    <w:rsid w:val="00182786"/>
    <w:rsid w:val="00184940"/>
    <w:rsid w:val="00196279"/>
    <w:rsid w:val="001A1FE9"/>
    <w:rsid w:val="001A2788"/>
    <w:rsid w:val="001A3A9E"/>
    <w:rsid w:val="001B0663"/>
    <w:rsid w:val="001B28C2"/>
    <w:rsid w:val="001B5DC7"/>
    <w:rsid w:val="001B77BA"/>
    <w:rsid w:val="001C0F76"/>
    <w:rsid w:val="001C3689"/>
    <w:rsid w:val="001C505A"/>
    <w:rsid w:val="001C522C"/>
    <w:rsid w:val="001C6514"/>
    <w:rsid w:val="001D267C"/>
    <w:rsid w:val="001E1A1B"/>
    <w:rsid w:val="001E390F"/>
    <w:rsid w:val="001E49C1"/>
    <w:rsid w:val="001E4A0B"/>
    <w:rsid w:val="001E4B92"/>
    <w:rsid w:val="001F2FF9"/>
    <w:rsid w:val="001F31C1"/>
    <w:rsid w:val="00203B91"/>
    <w:rsid w:val="0020764C"/>
    <w:rsid w:val="00214BDA"/>
    <w:rsid w:val="002175BF"/>
    <w:rsid w:val="002257D3"/>
    <w:rsid w:val="00226128"/>
    <w:rsid w:val="00230E4C"/>
    <w:rsid w:val="002318D5"/>
    <w:rsid w:val="0023286C"/>
    <w:rsid w:val="00233EF3"/>
    <w:rsid w:val="00237623"/>
    <w:rsid w:val="002419CF"/>
    <w:rsid w:val="00245075"/>
    <w:rsid w:val="00245D65"/>
    <w:rsid w:val="00251577"/>
    <w:rsid w:val="002524BD"/>
    <w:rsid w:val="00252E0F"/>
    <w:rsid w:val="002566BE"/>
    <w:rsid w:val="00261138"/>
    <w:rsid w:val="00265704"/>
    <w:rsid w:val="00267C69"/>
    <w:rsid w:val="0027164D"/>
    <w:rsid w:val="002747AF"/>
    <w:rsid w:val="0027572E"/>
    <w:rsid w:val="0027767F"/>
    <w:rsid w:val="0028475A"/>
    <w:rsid w:val="002866AE"/>
    <w:rsid w:val="002914F2"/>
    <w:rsid w:val="00292144"/>
    <w:rsid w:val="0029233B"/>
    <w:rsid w:val="00295133"/>
    <w:rsid w:val="00296A0F"/>
    <w:rsid w:val="002A05F6"/>
    <w:rsid w:val="002A6281"/>
    <w:rsid w:val="002A7C1B"/>
    <w:rsid w:val="002A7FE6"/>
    <w:rsid w:val="002B245A"/>
    <w:rsid w:val="002B2C0E"/>
    <w:rsid w:val="002B52BC"/>
    <w:rsid w:val="002C0FD7"/>
    <w:rsid w:val="002C501F"/>
    <w:rsid w:val="002D0236"/>
    <w:rsid w:val="002D696F"/>
    <w:rsid w:val="002D794E"/>
    <w:rsid w:val="002E0F64"/>
    <w:rsid w:val="002F08AA"/>
    <w:rsid w:val="002F2F88"/>
    <w:rsid w:val="002F43EC"/>
    <w:rsid w:val="002F4D96"/>
    <w:rsid w:val="002F62ED"/>
    <w:rsid w:val="002F71C8"/>
    <w:rsid w:val="00301470"/>
    <w:rsid w:val="003039BE"/>
    <w:rsid w:val="00304F2A"/>
    <w:rsid w:val="003057ED"/>
    <w:rsid w:val="003119B9"/>
    <w:rsid w:val="00314C35"/>
    <w:rsid w:val="003173F3"/>
    <w:rsid w:val="00326687"/>
    <w:rsid w:val="00327322"/>
    <w:rsid w:val="00327425"/>
    <w:rsid w:val="00327ABE"/>
    <w:rsid w:val="00330516"/>
    <w:rsid w:val="00331255"/>
    <w:rsid w:val="003337E5"/>
    <w:rsid w:val="00346EA0"/>
    <w:rsid w:val="00350413"/>
    <w:rsid w:val="00351EF2"/>
    <w:rsid w:val="00352A96"/>
    <w:rsid w:val="0035344A"/>
    <w:rsid w:val="0035374B"/>
    <w:rsid w:val="00354B88"/>
    <w:rsid w:val="003569E3"/>
    <w:rsid w:val="00363EFF"/>
    <w:rsid w:val="00366607"/>
    <w:rsid w:val="00370E42"/>
    <w:rsid w:val="00371394"/>
    <w:rsid w:val="00371465"/>
    <w:rsid w:val="00372010"/>
    <w:rsid w:val="00373B02"/>
    <w:rsid w:val="00375C9A"/>
    <w:rsid w:val="0038533A"/>
    <w:rsid w:val="00387930"/>
    <w:rsid w:val="00387B42"/>
    <w:rsid w:val="003905EF"/>
    <w:rsid w:val="00396F2F"/>
    <w:rsid w:val="00397D65"/>
    <w:rsid w:val="003A4498"/>
    <w:rsid w:val="003A67D3"/>
    <w:rsid w:val="003B66A6"/>
    <w:rsid w:val="003C1032"/>
    <w:rsid w:val="003C27E4"/>
    <w:rsid w:val="003C37D1"/>
    <w:rsid w:val="003C3CAD"/>
    <w:rsid w:val="003C7C99"/>
    <w:rsid w:val="003D5A63"/>
    <w:rsid w:val="003D6C41"/>
    <w:rsid w:val="003D710A"/>
    <w:rsid w:val="003E0CBC"/>
    <w:rsid w:val="003E3CFA"/>
    <w:rsid w:val="003E65D9"/>
    <w:rsid w:val="003E69C5"/>
    <w:rsid w:val="003E727C"/>
    <w:rsid w:val="003E7534"/>
    <w:rsid w:val="003F2E0D"/>
    <w:rsid w:val="004018A4"/>
    <w:rsid w:val="0040395C"/>
    <w:rsid w:val="00403B7D"/>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47C74"/>
    <w:rsid w:val="00451D96"/>
    <w:rsid w:val="004530CE"/>
    <w:rsid w:val="00460CAD"/>
    <w:rsid w:val="00464066"/>
    <w:rsid w:val="004660BC"/>
    <w:rsid w:val="00467189"/>
    <w:rsid w:val="00471718"/>
    <w:rsid w:val="00471CEB"/>
    <w:rsid w:val="004723BF"/>
    <w:rsid w:val="004759CD"/>
    <w:rsid w:val="00481380"/>
    <w:rsid w:val="0048181D"/>
    <w:rsid w:val="0048308A"/>
    <w:rsid w:val="00485E2A"/>
    <w:rsid w:val="004863FE"/>
    <w:rsid w:val="004901A3"/>
    <w:rsid w:val="00492932"/>
    <w:rsid w:val="004A0097"/>
    <w:rsid w:val="004A095B"/>
    <w:rsid w:val="004A0EDA"/>
    <w:rsid w:val="004A11E9"/>
    <w:rsid w:val="004A23FF"/>
    <w:rsid w:val="004A3D3D"/>
    <w:rsid w:val="004A73D7"/>
    <w:rsid w:val="004B030F"/>
    <w:rsid w:val="004B0D7E"/>
    <w:rsid w:val="004B22DE"/>
    <w:rsid w:val="004C0019"/>
    <w:rsid w:val="004C1757"/>
    <w:rsid w:val="004C4DF5"/>
    <w:rsid w:val="004C582E"/>
    <w:rsid w:val="004D40B5"/>
    <w:rsid w:val="004E1EA0"/>
    <w:rsid w:val="004E6EA5"/>
    <w:rsid w:val="004F202C"/>
    <w:rsid w:val="004F4025"/>
    <w:rsid w:val="004F5EA4"/>
    <w:rsid w:val="00504B18"/>
    <w:rsid w:val="00504C8D"/>
    <w:rsid w:val="00504CD6"/>
    <w:rsid w:val="005117EA"/>
    <w:rsid w:val="00511877"/>
    <w:rsid w:val="0051248A"/>
    <w:rsid w:val="00514DAD"/>
    <w:rsid w:val="005202AA"/>
    <w:rsid w:val="00522225"/>
    <w:rsid w:val="00524C59"/>
    <w:rsid w:val="005277D3"/>
    <w:rsid w:val="00533365"/>
    <w:rsid w:val="0053425C"/>
    <w:rsid w:val="005359BA"/>
    <w:rsid w:val="005428ED"/>
    <w:rsid w:val="00547620"/>
    <w:rsid w:val="00551613"/>
    <w:rsid w:val="00554D73"/>
    <w:rsid w:val="00555D1C"/>
    <w:rsid w:val="0055660F"/>
    <w:rsid w:val="005579FF"/>
    <w:rsid w:val="00560213"/>
    <w:rsid w:val="00564CE2"/>
    <w:rsid w:val="00566787"/>
    <w:rsid w:val="00571779"/>
    <w:rsid w:val="00571FEB"/>
    <w:rsid w:val="00573D74"/>
    <w:rsid w:val="005814B7"/>
    <w:rsid w:val="00581667"/>
    <w:rsid w:val="00583B55"/>
    <w:rsid w:val="00583E3A"/>
    <w:rsid w:val="00584D87"/>
    <w:rsid w:val="00590C01"/>
    <w:rsid w:val="00591D82"/>
    <w:rsid w:val="005A4A79"/>
    <w:rsid w:val="005B18A3"/>
    <w:rsid w:val="005B2116"/>
    <w:rsid w:val="005B5E0B"/>
    <w:rsid w:val="005B6054"/>
    <w:rsid w:val="005B650F"/>
    <w:rsid w:val="005C329C"/>
    <w:rsid w:val="005C3D34"/>
    <w:rsid w:val="005D28D8"/>
    <w:rsid w:val="005D3B58"/>
    <w:rsid w:val="005E17A8"/>
    <w:rsid w:val="005E6A0E"/>
    <w:rsid w:val="005F0DEA"/>
    <w:rsid w:val="005F5334"/>
    <w:rsid w:val="005F6B54"/>
    <w:rsid w:val="005F6C33"/>
    <w:rsid w:val="00600AF3"/>
    <w:rsid w:val="00604752"/>
    <w:rsid w:val="00605164"/>
    <w:rsid w:val="00614213"/>
    <w:rsid w:val="00620928"/>
    <w:rsid w:val="00620938"/>
    <w:rsid w:val="00625ECE"/>
    <w:rsid w:val="00633E37"/>
    <w:rsid w:val="00633F13"/>
    <w:rsid w:val="00641215"/>
    <w:rsid w:val="00641CD0"/>
    <w:rsid w:val="00642D22"/>
    <w:rsid w:val="00642DF7"/>
    <w:rsid w:val="00644E0E"/>
    <w:rsid w:val="00646DC6"/>
    <w:rsid w:val="00653CF6"/>
    <w:rsid w:val="00655705"/>
    <w:rsid w:val="00656477"/>
    <w:rsid w:val="0066005E"/>
    <w:rsid w:val="00661739"/>
    <w:rsid w:val="00670A60"/>
    <w:rsid w:val="006823CD"/>
    <w:rsid w:val="00683324"/>
    <w:rsid w:val="0069002D"/>
    <w:rsid w:val="006908BC"/>
    <w:rsid w:val="00690D22"/>
    <w:rsid w:val="006931A3"/>
    <w:rsid w:val="00694F98"/>
    <w:rsid w:val="00696743"/>
    <w:rsid w:val="006A54B9"/>
    <w:rsid w:val="006B091C"/>
    <w:rsid w:val="006B2272"/>
    <w:rsid w:val="006B6EE7"/>
    <w:rsid w:val="006B7E96"/>
    <w:rsid w:val="006C4EF9"/>
    <w:rsid w:val="006C66B7"/>
    <w:rsid w:val="006D0F0D"/>
    <w:rsid w:val="006D29F5"/>
    <w:rsid w:val="006D5469"/>
    <w:rsid w:val="006D595C"/>
    <w:rsid w:val="006E71B3"/>
    <w:rsid w:val="006F0524"/>
    <w:rsid w:val="006F3FD9"/>
    <w:rsid w:val="006F551D"/>
    <w:rsid w:val="00700A6E"/>
    <w:rsid w:val="00701933"/>
    <w:rsid w:val="0070238A"/>
    <w:rsid w:val="00705168"/>
    <w:rsid w:val="00711DCC"/>
    <w:rsid w:val="0071481E"/>
    <w:rsid w:val="00714DB4"/>
    <w:rsid w:val="00716160"/>
    <w:rsid w:val="0071655A"/>
    <w:rsid w:val="00720051"/>
    <w:rsid w:val="0072112F"/>
    <w:rsid w:val="007212E3"/>
    <w:rsid w:val="00731A17"/>
    <w:rsid w:val="00732F50"/>
    <w:rsid w:val="00734A25"/>
    <w:rsid w:val="00742B73"/>
    <w:rsid w:val="00742C49"/>
    <w:rsid w:val="00742D1B"/>
    <w:rsid w:val="00747EB3"/>
    <w:rsid w:val="00750B8A"/>
    <w:rsid w:val="00754B12"/>
    <w:rsid w:val="00757FA9"/>
    <w:rsid w:val="0076013E"/>
    <w:rsid w:val="0076119B"/>
    <w:rsid w:val="00763032"/>
    <w:rsid w:val="0076338B"/>
    <w:rsid w:val="007641E7"/>
    <w:rsid w:val="00765C49"/>
    <w:rsid w:val="00775EA3"/>
    <w:rsid w:val="00783959"/>
    <w:rsid w:val="00785B67"/>
    <w:rsid w:val="007866EA"/>
    <w:rsid w:val="00787341"/>
    <w:rsid w:val="00790B2B"/>
    <w:rsid w:val="007917DD"/>
    <w:rsid w:val="00793DA7"/>
    <w:rsid w:val="007960F5"/>
    <w:rsid w:val="007A14F2"/>
    <w:rsid w:val="007A194E"/>
    <w:rsid w:val="007B0153"/>
    <w:rsid w:val="007B2C4C"/>
    <w:rsid w:val="007B5995"/>
    <w:rsid w:val="007C4592"/>
    <w:rsid w:val="007C4EBB"/>
    <w:rsid w:val="007C5D60"/>
    <w:rsid w:val="007C7071"/>
    <w:rsid w:val="007D0F26"/>
    <w:rsid w:val="007D26DB"/>
    <w:rsid w:val="007D5781"/>
    <w:rsid w:val="007D5EA1"/>
    <w:rsid w:val="007D64EC"/>
    <w:rsid w:val="007D64ED"/>
    <w:rsid w:val="007D7875"/>
    <w:rsid w:val="007E112A"/>
    <w:rsid w:val="007E6D4A"/>
    <w:rsid w:val="007F03CD"/>
    <w:rsid w:val="007F54D9"/>
    <w:rsid w:val="00800787"/>
    <w:rsid w:val="00801C91"/>
    <w:rsid w:val="00804B71"/>
    <w:rsid w:val="008067B1"/>
    <w:rsid w:val="00806EAC"/>
    <w:rsid w:val="008072E7"/>
    <w:rsid w:val="00807E34"/>
    <w:rsid w:val="00814981"/>
    <w:rsid w:val="00817A5C"/>
    <w:rsid w:val="00820DC4"/>
    <w:rsid w:val="0082290F"/>
    <w:rsid w:val="00830200"/>
    <w:rsid w:val="0083186B"/>
    <w:rsid w:val="00832B4F"/>
    <w:rsid w:val="00835131"/>
    <w:rsid w:val="0085446C"/>
    <w:rsid w:val="00854837"/>
    <w:rsid w:val="00855326"/>
    <w:rsid w:val="00856627"/>
    <w:rsid w:val="00856D6D"/>
    <w:rsid w:val="00856EF5"/>
    <w:rsid w:val="0086446D"/>
    <w:rsid w:val="00882C73"/>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51E7"/>
    <w:rsid w:val="008C69A6"/>
    <w:rsid w:val="008C6A3C"/>
    <w:rsid w:val="008C6D46"/>
    <w:rsid w:val="008C764E"/>
    <w:rsid w:val="008D1A6D"/>
    <w:rsid w:val="008D71C0"/>
    <w:rsid w:val="008D748B"/>
    <w:rsid w:val="008E453F"/>
    <w:rsid w:val="008F0098"/>
    <w:rsid w:val="008F0BE4"/>
    <w:rsid w:val="008F27BE"/>
    <w:rsid w:val="00903B51"/>
    <w:rsid w:val="009077DC"/>
    <w:rsid w:val="00910E7B"/>
    <w:rsid w:val="0091257C"/>
    <w:rsid w:val="00912E3C"/>
    <w:rsid w:val="00914857"/>
    <w:rsid w:val="00920A35"/>
    <w:rsid w:val="00920C87"/>
    <w:rsid w:val="009210BB"/>
    <w:rsid w:val="00921B0E"/>
    <w:rsid w:val="009237DB"/>
    <w:rsid w:val="0093055C"/>
    <w:rsid w:val="00930DDD"/>
    <w:rsid w:val="00937BE9"/>
    <w:rsid w:val="00942F68"/>
    <w:rsid w:val="0094315D"/>
    <w:rsid w:val="009441FE"/>
    <w:rsid w:val="00944977"/>
    <w:rsid w:val="00945DEA"/>
    <w:rsid w:val="00946635"/>
    <w:rsid w:val="009518EB"/>
    <w:rsid w:val="00953FA6"/>
    <w:rsid w:val="009544F4"/>
    <w:rsid w:val="00956D96"/>
    <w:rsid w:val="00960A43"/>
    <w:rsid w:val="0096662B"/>
    <w:rsid w:val="00966F53"/>
    <w:rsid w:val="0097113E"/>
    <w:rsid w:val="00972EE0"/>
    <w:rsid w:val="00975C4C"/>
    <w:rsid w:val="00982481"/>
    <w:rsid w:val="0099116A"/>
    <w:rsid w:val="00992E61"/>
    <w:rsid w:val="009A3A46"/>
    <w:rsid w:val="009A4EB1"/>
    <w:rsid w:val="009A5429"/>
    <w:rsid w:val="009A7918"/>
    <w:rsid w:val="009B5DEF"/>
    <w:rsid w:val="009B70EA"/>
    <w:rsid w:val="009B727A"/>
    <w:rsid w:val="009C0C09"/>
    <w:rsid w:val="009C3AB3"/>
    <w:rsid w:val="009C68FE"/>
    <w:rsid w:val="009D1813"/>
    <w:rsid w:val="009D3AE7"/>
    <w:rsid w:val="009D4C21"/>
    <w:rsid w:val="009D7C28"/>
    <w:rsid w:val="009E0F1C"/>
    <w:rsid w:val="009E5B18"/>
    <w:rsid w:val="009E6F49"/>
    <w:rsid w:val="009F3E45"/>
    <w:rsid w:val="00A02773"/>
    <w:rsid w:val="00A03523"/>
    <w:rsid w:val="00A04B22"/>
    <w:rsid w:val="00A061F4"/>
    <w:rsid w:val="00A067E5"/>
    <w:rsid w:val="00A06DF6"/>
    <w:rsid w:val="00A127E8"/>
    <w:rsid w:val="00A12CD4"/>
    <w:rsid w:val="00A12E32"/>
    <w:rsid w:val="00A14099"/>
    <w:rsid w:val="00A155F9"/>
    <w:rsid w:val="00A17D80"/>
    <w:rsid w:val="00A25FB6"/>
    <w:rsid w:val="00A274D1"/>
    <w:rsid w:val="00A40006"/>
    <w:rsid w:val="00A4179A"/>
    <w:rsid w:val="00A43413"/>
    <w:rsid w:val="00A44697"/>
    <w:rsid w:val="00A449AE"/>
    <w:rsid w:val="00A56DBD"/>
    <w:rsid w:val="00A646F1"/>
    <w:rsid w:val="00A66CB3"/>
    <w:rsid w:val="00A75BA6"/>
    <w:rsid w:val="00A76E60"/>
    <w:rsid w:val="00A76F90"/>
    <w:rsid w:val="00A775C0"/>
    <w:rsid w:val="00A77769"/>
    <w:rsid w:val="00A83F17"/>
    <w:rsid w:val="00A853A8"/>
    <w:rsid w:val="00A86463"/>
    <w:rsid w:val="00A86917"/>
    <w:rsid w:val="00A870BF"/>
    <w:rsid w:val="00A87F32"/>
    <w:rsid w:val="00A9003B"/>
    <w:rsid w:val="00A9124C"/>
    <w:rsid w:val="00A92CF4"/>
    <w:rsid w:val="00A92EC1"/>
    <w:rsid w:val="00A938F3"/>
    <w:rsid w:val="00A94B98"/>
    <w:rsid w:val="00A9514B"/>
    <w:rsid w:val="00A95C95"/>
    <w:rsid w:val="00AA5876"/>
    <w:rsid w:val="00AA68B4"/>
    <w:rsid w:val="00AB34AE"/>
    <w:rsid w:val="00AC1B63"/>
    <w:rsid w:val="00AC443D"/>
    <w:rsid w:val="00AC5395"/>
    <w:rsid w:val="00AC7A12"/>
    <w:rsid w:val="00AD1DDF"/>
    <w:rsid w:val="00AD2811"/>
    <w:rsid w:val="00AD2DBD"/>
    <w:rsid w:val="00AD4F5A"/>
    <w:rsid w:val="00AD5248"/>
    <w:rsid w:val="00AD7EAC"/>
    <w:rsid w:val="00AE51B3"/>
    <w:rsid w:val="00AF2D4F"/>
    <w:rsid w:val="00AF4B3A"/>
    <w:rsid w:val="00AF69FC"/>
    <w:rsid w:val="00B027D1"/>
    <w:rsid w:val="00B0295B"/>
    <w:rsid w:val="00B058FC"/>
    <w:rsid w:val="00B06005"/>
    <w:rsid w:val="00B10C7A"/>
    <w:rsid w:val="00B12B90"/>
    <w:rsid w:val="00B15B86"/>
    <w:rsid w:val="00B17526"/>
    <w:rsid w:val="00B20292"/>
    <w:rsid w:val="00B31321"/>
    <w:rsid w:val="00B416AA"/>
    <w:rsid w:val="00B41B7D"/>
    <w:rsid w:val="00B41D03"/>
    <w:rsid w:val="00B443A5"/>
    <w:rsid w:val="00B44973"/>
    <w:rsid w:val="00B4748B"/>
    <w:rsid w:val="00B540C7"/>
    <w:rsid w:val="00B54967"/>
    <w:rsid w:val="00B605A5"/>
    <w:rsid w:val="00B60642"/>
    <w:rsid w:val="00B6175C"/>
    <w:rsid w:val="00B65AEB"/>
    <w:rsid w:val="00B67A5D"/>
    <w:rsid w:val="00B7672E"/>
    <w:rsid w:val="00B77C54"/>
    <w:rsid w:val="00B8023E"/>
    <w:rsid w:val="00B82C06"/>
    <w:rsid w:val="00B84660"/>
    <w:rsid w:val="00B8697C"/>
    <w:rsid w:val="00B92B02"/>
    <w:rsid w:val="00B96496"/>
    <w:rsid w:val="00B96541"/>
    <w:rsid w:val="00BA097E"/>
    <w:rsid w:val="00BA763A"/>
    <w:rsid w:val="00BB485D"/>
    <w:rsid w:val="00BC4F4D"/>
    <w:rsid w:val="00BD000B"/>
    <w:rsid w:val="00BD0277"/>
    <w:rsid w:val="00BD47F2"/>
    <w:rsid w:val="00BD5D6A"/>
    <w:rsid w:val="00BD73AB"/>
    <w:rsid w:val="00BD7643"/>
    <w:rsid w:val="00BE5B63"/>
    <w:rsid w:val="00BE617D"/>
    <w:rsid w:val="00BE6C84"/>
    <w:rsid w:val="00BE6CDD"/>
    <w:rsid w:val="00BF034F"/>
    <w:rsid w:val="00BF073E"/>
    <w:rsid w:val="00BF1D3E"/>
    <w:rsid w:val="00BF51D3"/>
    <w:rsid w:val="00BF7F88"/>
    <w:rsid w:val="00C003CD"/>
    <w:rsid w:val="00C07985"/>
    <w:rsid w:val="00C07DAF"/>
    <w:rsid w:val="00C07F53"/>
    <w:rsid w:val="00C139AA"/>
    <w:rsid w:val="00C15BE5"/>
    <w:rsid w:val="00C21B1E"/>
    <w:rsid w:val="00C22BD2"/>
    <w:rsid w:val="00C233BC"/>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67A7F"/>
    <w:rsid w:val="00C7360C"/>
    <w:rsid w:val="00C7384D"/>
    <w:rsid w:val="00C815B8"/>
    <w:rsid w:val="00C83BBD"/>
    <w:rsid w:val="00C8425A"/>
    <w:rsid w:val="00C86257"/>
    <w:rsid w:val="00C87097"/>
    <w:rsid w:val="00C8753C"/>
    <w:rsid w:val="00C908F5"/>
    <w:rsid w:val="00C91C23"/>
    <w:rsid w:val="00C934CE"/>
    <w:rsid w:val="00C97370"/>
    <w:rsid w:val="00CA0FC8"/>
    <w:rsid w:val="00CA18A3"/>
    <w:rsid w:val="00CB353D"/>
    <w:rsid w:val="00CB43BB"/>
    <w:rsid w:val="00CB512D"/>
    <w:rsid w:val="00CB5F39"/>
    <w:rsid w:val="00CC01DB"/>
    <w:rsid w:val="00CC10B7"/>
    <w:rsid w:val="00CC3A04"/>
    <w:rsid w:val="00CD643E"/>
    <w:rsid w:val="00CD6AA0"/>
    <w:rsid w:val="00CE19F5"/>
    <w:rsid w:val="00CE43E4"/>
    <w:rsid w:val="00CE4519"/>
    <w:rsid w:val="00CF31A1"/>
    <w:rsid w:val="00CF61E3"/>
    <w:rsid w:val="00D03C91"/>
    <w:rsid w:val="00D06B45"/>
    <w:rsid w:val="00D07184"/>
    <w:rsid w:val="00D07B91"/>
    <w:rsid w:val="00D33188"/>
    <w:rsid w:val="00D352E5"/>
    <w:rsid w:val="00D3679B"/>
    <w:rsid w:val="00D36828"/>
    <w:rsid w:val="00D419D5"/>
    <w:rsid w:val="00D46647"/>
    <w:rsid w:val="00D51247"/>
    <w:rsid w:val="00D52F55"/>
    <w:rsid w:val="00D604D6"/>
    <w:rsid w:val="00D63CB2"/>
    <w:rsid w:val="00D75248"/>
    <w:rsid w:val="00D75A2B"/>
    <w:rsid w:val="00D80AB3"/>
    <w:rsid w:val="00D81DB4"/>
    <w:rsid w:val="00D82372"/>
    <w:rsid w:val="00D829B2"/>
    <w:rsid w:val="00D83D36"/>
    <w:rsid w:val="00D870CD"/>
    <w:rsid w:val="00D903E4"/>
    <w:rsid w:val="00D912EF"/>
    <w:rsid w:val="00D93CA4"/>
    <w:rsid w:val="00D96FCD"/>
    <w:rsid w:val="00DA6A9E"/>
    <w:rsid w:val="00DA7969"/>
    <w:rsid w:val="00DB0414"/>
    <w:rsid w:val="00DB2E20"/>
    <w:rsid w:val="00DB3BD6"/>
    <w:rsid w:val="00DB577D"/>
    <w:rsid w:val="00DC2B07"/>
    <w:rsid w:val="00DC3E7E"/>
    <w:rsid w:val="00DC47AE"/>
    <w:rsid w:val="00DC7145"/>
    <w:rsid w:val="00DD6510"/>
    <w:rsid w:val="00DD658D"/>
    <w:rsid w:val="00DD6947"/>
    <w:rsid w:val="00DD6B95"/>
    <w:rsid w:val="00DE37D8"/>
    <w:rsid w:val="00DE59D1"/>
    <w:rsid w:val="00DF0467"/>
    <w:rsid w:val="00DF1F3C"/>
    <w:rsid w:val="00DF473B"/>
    <w:rsid w:val="00DF63A3"/>
    <w:rsid w:val="00E01743"/>
    <w:rsid w:val="00E06C2E"/>
    <w:rsid w:val="00E12823"/>
    <w:rsid w:val="00E20206"/>
    <w:rsid w:val="00E24A0B"/>
    <w:rsid w:val="00E25135"/>
    <w:rsid w:val="00E309E5"/>
    <w:rsid w:val="00E30A39"/>
    <w:rsid w:val="00E32BB5"/>
    <w:rsid w:val="00E331C9"/>
    <w:rsid w:val="00E4118C"/>
    <w:rsid w:val="00E4191B"/>
    <w:rsid w:val="00E423E9"/>
    <w:rsid w:val="00E43E7F"/>
    <w:rsid w:val="00E4400C"/>
    <w:rsid w:val="00E4538B"/>
    <w:rsid w:val="00E47755"/>
    <w:rsid w:val="00E52AA4"/>
    <w:rsid w:val="00E6000E"/>
    <w:rsid w:val="00E70102"/>
    <w:rsid w:val="00E70E1C"/>
    <w:rsid w:val="00E7377C"/>
    <w:rsid w:val="00E75B34"/>
    <w:rsid w:val="00E75B62"/>
    <w:rsid w:val="00E81231"/>
    <w:rsid w:val="00E81450"/>
    <w:rsid w:val="00E823FD"/>
    <w:rsid w:val="00E9031A"/>
    <w:rsid w:val="00E93845"/>
    <w:rsid w:val="00E93CFD"/>
    <w:rsid w:val="00E94133"/>
    <w:rsid w:val="00E972E2"/>
    <w:rsid w:val="00EA5104"/>
    <w:rsid w:val="00EA6EDA"/>
    <w:rsid w:val="00EB0CEB"/>
    <w:rsid w:val="00EB758B"/>
    <w:rsid w:val="00EB75F1"/>
    <w:rsid w:val="00EC1F3D"/>
    <w:rsid w:val="00EC3012"/>
    <w:rsid w:val="00EC4244"/>
    <w:rsid w:val="00EC4690"/>
    <w:rsid w:val="00ED5B9A"/>
    <w:rsid w:val="00ED5CF0"/>
    <w:rsid w:val="00EE4456"/>
    <w:rsid w:val="00EF5ADA"/>
    <w:rsid w:val="00EF689F"/>
    <w:rsid w:val="00F06494"/>
    <w:rsid w:val="00F072C7"/>
    <w:rsid w:val="00F10006"/>
    <w:rsid w:val="00F108C5"/>
    <w:rsid w:val="00F11637"/>
    <w:rsid w:val="00F12439"/>
    <w:rsid w:val="00F23495"/>
    <w:rsid w:val="00F27766"/>
    <w:rsid w:val="00F27CBF"/>
    <w:rsid w:val="00F3684C"/>
    <w:rsid w:val="00F40571"/>
    <w:rsid w:val="00F41707"/>
    <w:rsid w:val="00F4400B"/>
    <w:rsid w:val="00F444B9"/>
    <w:rsid w:val="00F446A8"/>
    <w:rsid w:val="00F45547"/>
    <w:rsid w:val="00F55045"/>
    <w:rsid w:val="00F571F9"/>
    <w:rsid w:val="00F6100D"/>
    <w:rsid w:val="00F65A57"/>
    <w:rsid w:val="00F66980"/>
    <w:rsid w:val="00F75388"/>
    <w:rsid w:val="00F80253"/>
    <w:rsid w:val="00F82A11"/>
    <w:rsid w:val="00F86678"/>
    <w:rsid w:val="00F92915"/>
    <w:rsid w:val="00F97BD9"/>
    <w:rsid w:val="00FA3926"/>
    <w:rsid w:val="00FA3E8A"/>
    <w:rsid w:val="00FA46E9"/>
    <w:rsid w:val="00FB0FD4"/>
    <w:rsid w:val="00FB1D3A"/>
    <w:rsid w:val="00FB35F1"/>
    <w:rsid w:val="00FB3950"/>
    <w:rsid w:val="00FB410B"/>
    <w:rsid w:val="00FB6589"/>
    <w:rsid w:val="00FC14CA"/>
    <w:rsid w:val="00FC2772"/>
    <w:rsid w:val="00FC3B2A"/>
    <w:rsid w:val="00FC634C"/>
    <w:rsid w:val="00FC6C72"/>
    <w:rsid w:val="00FD0735"/>
    <w:rsid w:val="00FD0C44"/>
    <w:rsid w:val="00FD51E9"/>
    <w:rsid w:val="00FD6FE7"/>
    <w:rsid w:val="00FE3F7D"/>
    <w:rsid w:val="00FE5F7B"/>
    <w:rsid w:val="00FF347F"/>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EEC4C-4B81-44D7-875D-6EBD290BD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8</Pages>
  <Words>3106</Words>
  <Characters>17084</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527</cp:revision>
  <cp:lastPrinted>2019-12-09T18:09:00Z</cp:lastPrinted>
  <dcterms:created xsi:type="dcterms:W3CDTF">2020-06-01T16:32:00Z</dcterms:created>
  <dcterms:modified xsi:type="dcterms:W3CDTF">2023-01-24T22:10:00Z</dcterms:modified>
</cp:coreProperties>
</file>