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A30" w:rsidRPr="007B0581" w:rsidRDefault="00E40A30" w:rsidP="00E40A30">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E40A30" w:rsidRPr="007B0581" w:rsidRDefault="00E40A30" w:rsidP="00E40A30">
      <w:pPr>
        <w:pStyle w:val="corte4fondo"/>
        <w:spacing w:line="276" w:lineRule="auto"/>
        <w:ind w:left="3544" w:right="-521" w:firstLine="0"/>
        <w:rPr>
          <w:rFonts w:cs="Arial"/>
          <w:b/>
          <w:sz w:val="24"/>
          <w:szCs w:val="24"/>
        </w:rPr>
      </w:pPr>
    </w:p>
    <w:p w:rsidR="00E40A30" w:rsidRPr="007B0581" w:rsidRDefault="00E40A30" w:rsidP="00E40A30">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091</w:t>
      </w:r>
      <w:r w:rsidRPr="007B0581">
        <w:rPr>
          <w:rFonts w:cs="Arial"/>
          <w:b/>
          <w:bCs/>
          <w:sz w:val="24"/>
          <w:szCs w:val="24"/>
        </w:rPr>
        <w:t>/20</w:t>
      </w:r>
      <w:r>
        <w:rPr>
          <w:rFonts w:cs="Arial"/>
          <w:b/>
          <w:bCs/>
          <w:sz w:val="24"/>
          <w:szCs w:val="24"/>
        </w:rPr>
        <w:t>21</w:t>
      </w:r>
      <w:r w:rsidRPr="007B0581">
        <w:rPr>
          <w:rFonts w:cs="Arial"/>
          <w:sz w:val="24"/>
          <w:szCs w:val="24"/>
        </w:rPr>
        <w:t xml:space="preserve">. </w:t>
      </w:r>
    </w:p>
    <w:p w:rsidR="00E40A30" w:rsidRPr="007B0581" w:rsidRDefault="00E40A30" w:rsidP="00E40A30">
      <w:pPr>
        <w:pStyle w:val="corte4fondo"/>
        <w:spacing w:line="276" w:lineRule="auto"/>
        <w:ind w:left="3544" w:right="-521" w:firstLine="0"/>
        <w:rPr>
          <w:rFonts w:cs="Arial"/>
          <w:sz w:val="24"/>
          <w:szCs w:val="24"/>
        </w:rPr>
      </w:pPr>
    </w:p>
    <w:p w:rsidR="00E40A30" w:rsidRPr="007B0581" w:rsidRDefault="00E40A30" w:rsidP="00E40A30">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E40A30" w:rsidRPr="007B0581" w:rsidRDefault="00E40A30" w:rsidP="00E40A30">
      <w:pPr>
        <w:pStyle w:val="corte4fondo"/>
        <w:spacing w:line="276" w:lineRule="auto"/>
        <w:ind w:left="3544" w:right="-521" w:firstLine="0"/>
        <w:rPr>
          <w:rFonts w:cs="Arial"/>
          <w:b/>
          <w:i/>
          <w:sz w:val="24"/>
          <w:szCs w:val="24"/>
        </w:rPr>
      </w:pPr>
      <w:r w:rsidRPr="007B0581">
        <w:rPr>
          <w:rFonts w:cs="Arial"/>
          <w:b/>
          <w:i/>
          <w:sz w:val="24"/>
          <w:szCs w:val="24"/>
        </w:rPr>
        <w:t xml:space="preserve"> </w:t>
      </w:r>
    </w:p>
    <w:p w:rsidR="00E40A30" w:rsidRPr="007B0581" w:rsidRDefault="00E40A30" w:rsidP="00E40A30">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POLICIA VÍAL, ADSCRITO A LA SUBDIRECCIÓN DE TRÁNSITO Y MOVILIDAD DEL MUNICIPIO DE OAXACA DE JUÁREZ, ********** PV-153</w:t>
      </w:r>
      <w:r w:rsidRPr="007B0581">
        <w:rPr>
          <w:rFonts w:cs="Arial"/>
          <w:bCs/>
          <w:sz w:val="24"/>
          <w:szCs w:val="24"/>
        </w:rPr>
        <w:t>.</w:t>
      </w:r>
    </w:p>
    <w:p w:rsidR="00E40A30" w:rsidRPr="007B0581" w:rsidRDefault="00E40A30" w:rsidP="00E40A30">
      <w:pPr>
        <w:pStyle w:val="corte4fondo"/>
        <w:spacing w:line="276" w:lineRule="auto"/>
        <w:ind w:left="3544" w:right="51" w:firstLine="0"/>
        <w:rPr>
          <w:rFonts w:cs="Arial"/>
          <w:bCs/>
          <w:sz w:val="24"/>
          <w:szCs w:val="24"/>
        </w:rPr>
      </w:pPr>
    </w:p>
    <w:p w:rsidR="00E40A30" w:rsidRPr="007B0581" w:rsidRDefault="00E40A30" w:rsidP="00E40A30">
      <w:pPr>
        <w:pStyle w:val="corte4fondo"/>
        <w:spacing w:line="276" w:lineRule="auto"/>
        <w:ind w:left="3544" w:right="51" w:firstLine="0"/>
        <w:rPr>
          <w:rFonts w:cs="Arial"/>
          <w:bCs/>
          <w:sz w:val="24"/>
          <w:szCs w:val="24"/>
        </w:rPr>
      </w:pPr>
    </w:p>
    <w:p w:rsidR="00E40A30" w:rsidRDefault="00E40A30" w:rsidP="00E40A30">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VEINTITRÉS DE AGOSTO</w:t>
      </w:r>
      <w:r w:rsidRPr="007B0581">
        <w:rPr>
          <w:rFonts w:ascii="Arial" w:hAnsi="Arial" w:cs="Arial"/>
          <w:b/>
          <w:sz w:val="24"/>
          <w:szCs w:val="24"/>
        </w:rPr>
        <w:t xml:space="preserve"> DE DOS MIL VEINTI</w:t>
      </w:r>
      <w:r>
        <w:rPr>
          <w:rFonts w:ascii="Arial" w:hAnsi="Arial" w:cs="Arial"/>
          <w:b/>
          <w:sz w:val="24"/>
          <w:szCs w:val="24"/>
        </w:rPr>
        <w:t>DÓS</w:t>
      </w:r>
      <w:r w:rsidRPr="007B0581">
        <w:rPr>
          <w:rFonts w:ascii="Arial" w:hAnsi="Arial" w:cs="Arial"/>
          <w:b/>
          <w:sz w:val="24"/>
          <w:szCs w:val="24"/>
        </w:rPr>
        <w:t xml:space="preserve">. </w:t>
      </w:r>
    </w:p>
    <w:p w:rsidR="00E40A30" w:rsidRDefault="00E40A30" w:rsidP="00E40A30">
      <w:pPr>
        <w:spacing w:line="360" w:lineRule="auto"/>
        <w:jc w:val="both"/>
        <w:rPr>
          <w:rFonts w:ascii="Arial" w:hAnsi="Arial" w:cs="Arial"/>
          <w:b/>
          <w:sz w:val="24"/>
          <w:szCs w:val="24"/>
        </w:rPr>
      </w:pPr>
      <w:r w:rsidRPr="007B0581">
        <w:rPr>
          <w:rFonts w:ascii="Arial" w:hAnsi="Arial" w:cs="Arial"/>
          <w:b/>
          <w:sz w:val="24"/>
          <w:szCs w:val="24"/>
        </w:rPr>
        <w:t xml:space="preserve"> </w:t>
      </w:r>
    </w:p>
    <w:p w:rsidR="00E40A30" w:rsidRPr="007B0581" w:rsidRDefault="00E40A30" w:rsidP="00E40A30">
      <w:pPr>
        <w:contextualSpacing/>
        <w:jc w:val="both"/>
        <w:rPr>
          <w:rFonts w:ascii="Arial" w:hAnsi="Arial" w:cs="Arial"/>
          <w:b/>
          <w:sz w:val="24"/>
          <w:szCs w:val="24"/>
        </w:rPr>
      </w:pPr>
    </w:p>
    <w:p w:rsidR="00E40A30" w:rsidRDefault="00E40A30" w:rsidP="00E40A30">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0091</w:t>
      </w:r>
      <w:r w:rsidRPr="001A7D4E">
        <w:rPr>
          <w:rFonts w:ascii="Arial" w:hAnsi="Arial" w:cs="Arial"/>
          <w:b/>
          <w:bCs/>
          <w:sz w:val="24"/>
          <w:szCs w:val="24"/>
        </w:rPr>
        <w:t>/20</w:t>
      </w:r>
      <w:r>
        <w:rPr>
          <w:rFonts w:ascii="Arial" w:hAnsi="Arial" w:cs="Arial"/>
          <w:b/>
          <w:bCs/>
          <w:sz w:val="24"/>
          <w:szCs w:val="24"/>
        </w:rPr>
        <w:t>21</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Pr>
          <w:rFonts w:cs="Arial"/>
          <w:b/>
          <w:sz w:val="24"/>
          <w:szCs w:val="24"/>
        </w:rPr>
        <w:t>**********</w:t>
      </w:r>
      <w:r>
        <w:rPr>
          <w:rFonts w:ascii="Arial" w:hAnsi="Arial" w:cs="Arial"/>
          <w:b/>
          <w:bCs/>
          <w:sz w:val="24"/>
          <w:szCs w:val="24"/>
        </w:rPr>
        <w:t xml:space="preserve"> </w:t>
      </w:r>
      <w:r w:rsidRPr="007B0581">
        <w:rPr>
          <w:rFonts w:ascii="Arial" w:hAnsi="Arial" w:cs="Arial"/>
          <w:sz w:val="24"/>
          <w:szCs w:val="24"/>
        </w:rPr>
        <w:t xml:space="preserve">de </w:t>
      </w:r>
      <w:r>
        <w:rPr>
          <w:rFonts w:ascii="Arial" w:hAnsi="Arial" w:cs="Arial"/>
          <w:sz w:val="24"/>
          <w:szCs w:val="24"/>
        </w:rPr>
        <w:t>veinticinco de octubre de dos mil veintiuno</w:t>
      </w:r>
      <w:r w:rsidRPr="007B0581">
        <w:rPr>
          <w:rFonts w:ascii="Arial" w:hAnsi="Arial" w:cs="Arial"/>
          <w:sz w:val="24"/>
          <w:szCs w:val="24"/>
        </w:rPr>
        <w:t xml:space="preserve">, </w:t>
      </w:r>
      <w:bookmarkStart w:id="1" w:name="_Hlk84505151"/>
      <w:r w:rsidRPr="007B0581">
        <w:rPr>
          <w:rFonts w:ascii="Arial" w:hAnsi="Arial" w:cs="Arial"/>
          <w:sz w:val="24"/>
          <w:szCs w:val="24"/>
        </w:rPr>
        <w:t xml:space="preserve">signado por </w:t>
      </w:r>
      <w:bookmarkEnd w:id="0"/>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 xml:space="preserve">con número estadístico PV-153, adscrito a la Subdirección de Tránsito y Movilidad del Municipio de Oaxaca de Juárez, </w:t>
      </w:r>
      <w:r>
        <w:rPr>
          <w:rFonts w:cs="Arial"/>
          <w:b/>
          <w:sz w:val="24"/>
          <w:szCs w:val="24"/>
        </w:rPr>
        <w:t>**********</w:t>
      </w:r>
      <w:r w:rsidRPr="007B0581">
        <w:rPr>
          <w:rFonts w:ascii="Arial" w:hAnsi="Arial" w:cs="Arial"/>
          <w:sz w:val="24"/>
          <w:szCs w:val="24"/>
        </w:rPr>
        <w:t>, y;</w:t>
      </w:r>
      <w:r w:rsidRPr="007B0581">
        <w:rPr>
          <w:rFonts w:ascii="Arial" w:hAnsi="Arial" w:cs="Arial"/>
          <w:b/>
          <w:bCs/>
          <w:sz w:val="24"/>
          <w:szCs w:val="24"/>
        </w:rPr>
        <w:t xml:space="preserve"> </w:t>
      </w:r>
    </w:p>
    <w:p w:rsidR="00E40A30" w:rsidRPr="007B0581" w:rsidRDefault="00E40A30" w:rsidP="00E40A30">
      <w:pPr>
        <w:spacing w:line="360" w:lineRule="auto"/>
        <w:jc w:val="both"/>
        <w:rPr>
          <w:rFonts w:ascii="Arial" w:hAnsi="Arial" w:cs="Arial"/>
          <w:b/>
          <w:bCs/>
          <w:sz w:val="24"/>
          <w:szCs w:val="24"/>
        </w:rPr>
      </w:pPr>
    </w:p>
    <w:bookmarkEnd w:id="1"/>
    <w:p w:rsidR="00E40A30" w:rsidRPr="007B0581" w:rsidRDefault="00E40A30" w:rsidP="00E40A30">
      <w:pPr>
        <w:contextualSpacing/>
        <w:jc w:val="both"/>
        <w:rPr>
          <w:rFonts w:ascii="Arial" w:hAnsi="Arial" w:cs="Arial"/>
          <w:sz w:val="24"/>
          <w:szCs w:val="24"/>
        </w:rPr>
      </w:pPr>
    </w:p>
    <w:p w:rsidR="00E40A30" w:rsidRDefault="00E40A30" w:rsidP="00E40A30">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Pr>
          <w:rFonts w:ascii="Arial" w:hAnsi="Arial" w:cs="Arial"/>
          <w:b/>
          <w:spacing w:val="-3"/>
          <w:sz w:val="24"/>
          <w:szCs w:val="24"/>
          <w:lang w:val="es-ES_tradnl"/>
        </w:rPr>
        <w:t xml:space="preserve"> S U L T A N D O</w:t>
      </w:r>
    </w:p>
    <w:p w:rsidR="00E40A30" w:rsidRPr="007B0581" w:rsidRDefault="00E40A30" w:rsidP="00E40A30">
      <w:pPr>
        <w:spacing w:line="360" w:lineRule="auto"/>
        <w:ind w:firstLine="708"/>
        <w:jc w:val="center"/>
        <w:rPr>
          <w:rFonts w:ascii="Arial" w:hAnsi="Arial" w:cs="Arial"/>
          <w:b/>
          <w:spacing w:val="-3"/>
          <w:sz w:val="24"/>
          <w:szCs w:val="24"/>
          <w:lang w:val="es-ES_tradnl"/>
        </w:rPr>
      </w:pPr>
    </w:p>
    <w:p w:rsidR="00E40A30" w:rsidRPr="007B0581" w:rsidRDefault="00E40A30" w:rsidP="00E40A30">
      <w:pPr>
        <w:contextualSpacing/>
        <w:jc w:val="both"/>
        <w:rPr>
          <w:rFonts w:ascii="Arial" w:hAnsi="Arial" w:cs="Arial"/>
          <w:b/>
          <w:spacing w:val="-3"/>
          <w:sz w:val="24"/>
          <w:szCs w:val="24"/>
          <w:lang w:val="es-ES_tradnl"/>
        </w:rPr>
      </w:pPr>
    </w:p>
    <w:p w:rsidR="00E40A30" w:rsidRPr="007B0581" w:rsidRDefault="00E40A30" w:rsidP="00E40A30">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cinco de noviembre de dos mil veintiuno</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demandó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 xml:space="preserve">acta de infracción con número de folio </w:t>
      </w:r>
      <w:r>
        <w:rPr>
          <w:rFonts w:cs="Arial"/>
          <w:b/>
          <w:sz w:val="24"/>
          <w:szCs w:val="24"/>
        </w:rPr>
        <w:t>**********</w:t>
      </w:r>
      <w:r>
        <w:rPr>
          <w:rFonts w:ascii="Arial" w:hAnsi="Arial" w:cs="Arial"/>
          <w:b/>
          <w:bCs/>
          <w:sz w:val="24"/>
          <w:szCs w:val="24"/>
        </w:rPr>
        <w:t xml:space="preserve"> </w:t>
      </w:r>
      <w:r w:rsidRPr="007B0581">
        <w:rPr>
          <w:rFonts w:ascii="Arial" w:hAnsi="Arial" w:cs="Arial"/>
          <w:sz w:val="24"/>
          <w:szCs w:val="24"/>
        </w:rPr>
        <w:t xml:space="preserve">de </w:t>
      </w:r>
      <w:r>
        <w:rPr>
          <w:rFonts w:ascii="Arial" w:hAnsi="Arial" w:cs="Arial"/>
          <w:sz w:val="24"/>
          <w:szCs w:val="24"/>
        </w:rPr>
        <w:t>veinticinco de octubre de dos mil veintiuno</w:t>
      </w:r>
      <w:r w:rsidRPr="007B0581">
        <w:rPr>
          <w:rFonts w:ascii="Arial" w:hAnsi="Arial" w:cs="Arial"/>
          <w:sz w:val="24"/>
          <w:szCs w:val="24"/>
        </w:rPr>
        <w:t xml:space="preserve">, signado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con número estadístico PV-153, adscrito a la Subdirección de Tránsito y Movilidad del Municipio de Oaxaca de Juárez</w:t>
      </w:r>
      <w:r>
        <w:rPr>
          <w:rFonts w:cs="Arial"/>
          <w:b/>
          <w:sz w:val="24"/>
          <w:szCs w:val="24"/>
        </w:rPr>
        <w:t>**********</w:t>
      </w:r>
      <w:r w:rsidRPr="007B0581">
        <w:rPr>
          <w:rFonts w:ascii="Arial" w:hAnsi="Arial" w:cs="Arial"/>
          <w:sz w:val="24"/>
          <w:szCs w:val="24"/>
        </w:rPr>
        <w:t xml:space="preserve">. </w:t>
      </w:r>
    </w:p>
    <w:bookmarkEnd w:id="2"/>
    <w:p w:rsidR="00E40A30" w:rsidRPr="007B0581" w:rsidRDefault="00E40A30" w:rsidP="00E40A30">
      <w:pPr>
        <w:contextualSpacing/>
        <w:jc w:val="both"/>
        <w:rPr>
          <w:rFonts w:ascii="Arial" w:hAnsi="Arial" w:cs="Arial"/>
          <w:sz w:val="24"/>
          <w:szCs w:val="24"/>
        </w:rPr>
      </w:pPr>
    </w:p>
    <w:p w:rsidR="00E40A30" w:rsidRPr="007B0581" w:rsidRDefault="00E40A30" w:rsidP="00E40A30">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 xml:space="preserve">ocho de noviembre de dos mil veintiuno, </w:t>
      </w:r>
      <w:r w:rsidRPr="007B0581">
        <w:rPr>
          <w:rFonts w:ascii="Arial" w:hAnsi="Arial" w:cs="Arial"/>
          <w:sz w:val="24"/>
          <w:szCs w:val="24"/>
        </w:rPr>
        <w:t xml:space="preserve">se admitió a trámite la demanda, ordenándose notificar, emplazar y correr traslado a la autoridad demandada, para que produjera su contestación en los términos de ley. </w:t>
      </w:r>
    </w:p>
    <w:p w:rsidR="00E40A30" w:rsidRPr="007B0581" w:rsidRDefault="00E40A30" w:rsidP="00E40A30">
      <w:pPr>
        <w:pStyle w:val="corte4fondo"/>
        <w:spacing w:line="240" w:lineRule="auto"/>
        <w:ind w:right="51" w:firstLine="567"/>
        <w:contextualSpacing/>
        <w:rPr>
          <w:rFonts w:cs="Arial"/>
          <w:bCs/>
          <w:sz w:val="24"/>
          <w:szCs w:val="24"/>
        </w:rPr>
      </w:pPr>
      <w:r w:rsidRPr="007B0581">
        <w:rPr>
          <w:rFonts w:cs="Arial"/>
          <w:bCs/>
          <w:sz w:val="24"/>
          <w:szCs w:val="24"/>
        </w:rPr>
        <w:tab/>
      </w:r>
    </w:p>
    <w:p w:rsidR="00E40A30" w:rsidRDefault="00E40A30" w:rsidP="00E40A30">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 Por acuerdo de </w:t>
      </w:r>
      <w:r>
        <w:rPr>
          <w:rFonts w:cs="Arial"/>
          <w:bCs/>
          <w:sz w:val="24"/>
          <w:szCs w:val="24"/>
        </w:rPr>
        <w:t>treinta de noviembre de dos mil veintiuno</w:t>
      </w:r>
      <w:r w:rsidRPr="007B0581">
        <w:rPr>
          <w:rFonts w:cs="Arial"/>
          <w:bCs/>
          <w:sz w:val="24"/>
          <w:szCs w:val="24"/>
        </w:rPr>
        <w:t>, se tuvo</w:t>
      </w:r>
      <w:r>
        <w:rPr>
          <w:rFonts w:cs="Arial"/>
          <w:bCs/>
          <w:sz w:val="24"/>
          <w:szCs w:val="24"/>
        </w:rPr>
        <w:t xml:space="preserve"> a la autoridad demandada</w:t>
      </w:r>
      <w:r w:rsidRPr="007B0581">
        <w:rPr>
          <w:rFonts w:cs="Arial"/>
          <w:sz w:val="24"/>
          <w:szCs w:val="24"/>
        </w:rPr>
        <w:t xml:space="preserve"> </w:t>
      </w:r>
      <w:r>
        <w:rPr>
          <w:rFonts w:cs="Arial"/>
          <w:b/>
          <w:bCs/>
          <w:sz w:val="24"/>
          <w:szCs w:val="24"/>
        </w:rPr>
        <w:t>P</w:t>
      </w:r>
      <w:r w:rsidRPr="00187FC0">
        <w:rPr>
          <w:rFonts w:cs="Arial"/>
          <w:b/>
          <w:bCs/>
          <w:sz w:val="24"/>
          <w:szCs w:val="24"/>
        </w:rPr>
        <w:t xml:space="preserve">olicía Vial </w:t>
      </w:r>
      <w:r w:rsidRPr="002778A5">
        <w:rPr>
          <w:rFonts w:cs="Arial"/>
          <w:sz w:val="24"/>
          <w:szCs w:val="24"/>
        </w:rPr>
        <w:t>con número estadístico</w:t>
      </w:r>
      <w:r>
        <w:rPr>
          <w:rFonts w:cs="Arial"/>
          <w:b/>
          <w:bCs/>
          <w:sz w:val="24"/>
          <w:szCs w:val="24"/>
        </w:rPr>
        <w:t xml:space="preserve"> </w:t>
      </w:r>
      <w:r w:rsidRPr="00234557">
        <w:rPr>
          <w:rFonts w:cs="Arial"/>
          <w:b/>
          <w:bCs/>
          <w:sz w:val="24"/>
          <w:szCs w:val="24"/>
        </w:rPr>
        <w:t>PV-</w:t>
      </w:r>
      <w:r>
        <w:rPr>
          <w:rFonts w:cs="Arial"/>
          <w:b/>
          <w:bCs/>
          <w:sz w:val="24"/>
          <w:szCs w:val="24"/>
        </w:rPr>
        <w:t xml:space="preserve">153, </w:t>
      </w:r>
      <w:r>
        <w:rPr>
          <w:rFonts w:cs="Arial"/>
          <w:b/>
          <w:sz w:val="24"/>
          <w:szCs w:val="24"/>
        </w:rPr>
        <w:t>**********</w:t>
      </w:r>
      <w:r w:rsidRPr="007B0581">
        <w:rPr>
          <w:rFonts w:cs="Arial"/>
          <w:bCs/>
          <w:sz w:val="24"/>
          <w:szCs w:val="24"/>
        </w:rPr>
        <w:t xml:space="preserve">, </w:t>
      </w:r>
      <w:r w:rsidRPr="007B0581">
        <w:rPr>
          <w:rFonts w:cs="Arial"/>
          <w:sz w:val="24"/>
          <w:szCs w:val="24"/>
        </w:rPr>
        <w:t xml:space="preserve">dando contestación a la demanda en tiempo y </w:t>
      </w:r>
      <w:r w:rsidRPr="007B0581">
        <w:rPr>
          <w:rFonts w:cs="Arial"/>
          <w:sz w:val="24"/>
          <w:szCs w:val="24"/>
        </w:rPr>
        <w:lastRenderedPageBreak/>
        <w:t>forma, 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y por admitidas las pruebas ofrecidas,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w:t>
      </w:r>
    </w:p>
    <w:p w:rsidR="00E40A30" w:rsidRDefault="00E40A30" w:rsidP="00E40A30">
      <w:pPr>
        <w:pStyle w:val="corte4fondo"/>
        <w:ind w:right="51" w:firstLine="567"/>
        <w:rPr>
          <w:rFonts w:cs="Arial"/>
          <w:sz w:val="24"/>
          <w:szCs w:val="24"/>
        </w:rPr>
      </w:pPr>
    </w:p>
    <w:p w:rsidR="00E40A30" w:rsidRDefault="00E40A30" w:rsidP="00E40A30">
      <w:pPr>
        <w:pStyle w:val="corte4fondo"/>
        <w:ind w:right="51" w:firstLine="567"/>
        <w:rPr>
          <w:rFonts w:cs="Arial"/>
          <w:b/>
          <w:bCs/>
          <w:sz w:val="24"/>
          <w:szCs w:val="24"/>
        </w:rPr>
      </w:pPr>
      <w:r w:rsidRPr="007B0581">
        <w:rPr>
          <w:rFonts w:cs="Arial"/>
          <w:b/>
          <w:bCs/>
          <w:sz w:val="24"/>
          <w:szCs w:val="24"/>
        </w:rPr>
        <w:t xml:space="preserve">CUARTO. </w:t>
      </w:r>
      <w:r>
        <w:rPr>
          <w:rFonts w:cs="Arial"/>
          <w:b/>
          <w:bCs/>
          <w:sz w:val="24"/>
          <w:szCs w:val="24"/>
        </w:rPr>
        <w:t xml:space="preserve">- </w:t>
      </w:r>
      <w:r w:rsidRPr="003672C7">
        <w:rPr>
          <w:rFonts w:cs="Arial"/>
          <w:sz w:val="24"/>
          <w:szCs w:val="24"/>
        </w:rPr>
        <w:t>P</w:t>
      </w:r>
      <w:r>
        <w:rPr>
          <w:rFonts w:cs="Arial"/>
          <w:sz w:val="24"/>
          <w:szCs w:val="24"/>
        </w:rPr>
        <w:t xml:space="preserve">or acuerdo de nueve de junio de dos mil veintidós, se señalaron las ONCE HORAS del día SIETE DE JULIO DE DOS MIL VEINTIDÓS, para la celebración de la audiencia final. </w:t>
      </w:r>
    </w:p>
    <w:p w:rsidR="00E40A30" w:rsidRDefault="00E40A30" w:rsidP="00E40A30">
      <w:pPr>
        <w:pStyle w:val="corte4fondo"/>
        <w:ind w:right="51" w:firstLine="567"/>
        <w:rPr>
          <w:rFonts w:cs="Arial"/>
          <w:b/>
          <w:bCs/>
          <w:sz w:val="24"/>
          <w:szCs w:val="24"/>
        </w:rPr>
      </w:pPr>
    </w:p>
    <w:p w:rsidR="00E40A30" w:rsidRPr="007B0581" w:rsidRDefault="00E40A30" w:rsidP="00E40A30">
      <w:pPr>
        <w:pStyle w:val="corte4fondo"/>
        <w:ind w:right="51" w:firstLine="567"/>
        <w:rPr>
          <w:rFonts w:cs="Arial"/>
          <w:b/>
          <w:bCs/>
          <w:sz w:val="24"/>
          <w:szCs w:val="24"/>
        </w:rPr>
      </w:pPr>
      <w:r w:rsidRPr="008F7AED">
        <w:rPr>
          <w:rFonts w:cs="Arial"/>
          <w:b/>
          <w:bCs/>
          <w:sz w:val="24"/>
          <w:szCs w:val="24"/>
        </w:rPr>
        <w:t>QUINTO. -</w:t>
      </w:r>
      <w:r>
        <w:rPr>
          <w:rFonts w:cs="Arial"/>
          <w:sz w:val="24"/>
          <w:szCs w:val="24"/>
        </w:rPr>
        <w:t xml:space="preserve"> E</w:t>
      </w:r>
      <w:r w:rsidRPr="007B0581">
        <w:rPr>
          <w:rFonts w:cs="Arial"/>
          <w:sz w:val="24"/>
          <w:szCs w:val="24"/>
          <w:lang w:val="es-ES"/>
        </w:rPr>
        <w:t xml:space="preserve">l </w:t>
      </w:r>
      <w:r>
        <w:rPr>
          <w:rFonts w:cs="Arial"/>
          <w:sz w:val="24"/>
          <w:szCs w:val="24"/>
          <w:lang w:val="es-ES"/>
        </w:rPr>
        <w:t>siete de julio de dos mil veintidós</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sidRPr="007B0581">
        <w:rPr>
          <w:rFonts w:cs="Arial"/>
          <w:bCs/>
          <w:sz w:val="24"/>
          <w:szCs w:val="24"/>
          <w:lang w:val="es-ES"/>
        </w:rPr>
        <w:t xml:space="preserve">, </w:t>
      </w:r>
      <w:r w:rsidRPr="00402863">
        <w:rPr>
          <w:rFonts w:cs="Arial"/>
          <w:sz w:val="24"/>
          <w:szCs w:val="24"/>
        </w:rPr>
        <w:t>asentando la Secretaria de Acuerdos de esta Sala, que</w:t>
      </w:r>
      <w:r>
        <w:rPr>
          <w:rFonts w:cs="Arial"/>
          <w:sz w:val="24"/>
          <w:szCs w:val="24"/>
        </w:rPr>
        <w:t xml:space="preserve"> el actor formuló alegatos por escrito, </w:t>
      </w:r>
      <w:r w:rsidRPr="004012A8">
        <w:rPr>
          <w:rFonts w:cs="Arial"/>
          <w:sz w:val="24"/>
          <w:szCs w:val="24"/>
        </w:rPr>
        <w:t>por conducto de su autorizada</w:t>
      </w:r>
      <w:r>
        <w:rPr>
          <w:rFonts w:cs="Arial"/>
          <w:sz w:val="24"/>
          <w:szCs w:val="24"/>
        </w:rPr>
        <w:t xml:space="preserve"> legal</w:t>
      </w:r>
      <w:r w:rsidRPr="00402863">
        <w:rPr>
          <w:rFonts w:cs="Arial"/>
          <w:sz w:val="24"/>
          <w:szCs w:val="24"/>
        </w:rPr>
        <w:t>, por lo que se ordenó citar a l</w:t>
      </w:r>
      <w:r>
        <w:rPr>
          <w:rFonts w:cs="Arial"/>
          <w:sz w:val="24"/>
          <w:szCs w:val="24"/>
        </w:rPr>
        <w:t>as partes</w:t>
      </w:r>
      <w:r w:rsidRPr="00402863">
        <w:rPr>
          <w:rFonts w:cs="Arial"/>
          <w:sz w:val="24"/>
          <w:szCs w:val="24"/>
        </w:rPr>
        <w:t xml:space="preserve"> a oír sentencia dentro del término de ley, misma que ahora se pronuncia</w:t>
      </w:r>
      <w:r>
        <w:rPr>
          <w:rFonts w:cs="Arial"/>
          <w:sz w:val="24"/>
          <w:szCs w:val="24"/>
        </w:rPr>
        <w:t>, y</w:t>
      </w:r>
      <w:r w:rsidRPr="007B0581">
        <w:rPr>
          <w:rFonts w:cs="Arial"/>
          <w:sz w:val="24"/>
          <w:szCs w:val="24"/>
        </w:rPr>
        <w:t>;</w:t>
      </w:r>
      <w:r w:rsidRPr="007B0581">
        <w:rPr>
          <w:rFonts w:cs="Arial"/>
          <w:bCs/>
          <w:sz w:val="24"/>
          <w:szCs w:val="24"/>
          <w:lang w:val="es-ES"/>
        </w:rPr>
        <w:t xml:space="preserve"> </w:t>
      </w:r>
    </w:p>
    <w:p w:rsidR="00E40A30" w:rsidRDefault="00E40A30" w:rsidP="00E40A30">
      <w:pPr>
        <w:pStyle w:val="corte4fondo"/>
        <w:ind w:right="51" w:firstLine="567"/>
        <w:rPr>
          <w:rFonts w:cs="Arial"/>
          <w:b/>
          <w:spacing w:val="-3"/>
          <w:sz w:val="24"/>
          <w:szCs w:val="24"/>
        </w:rPr>
      </w:pPr>
    </w:p>
    <w:p w:rsidR="00E40A30" w:rsidRPr="007B0581" w:rsidRDefault="00E40A30" w:rsidP="00E40A30">
      <w:pPr>
        <w:pStyle w:val="corte4fondo"/>
        <w:ind w:right="51" w:firstLine="567"/>
        <w:rPr>
          <w:rFonts w:cs="Arial"/>
          <w:b/>
          <w:spacing w:val="-3"/>
          <w:sz w:val="24"/>
          <w:szCs w:val="24"/>
        </w:rPr>
      </w:pPr>
    </w:p>
    <w:p w:rsidR="00E40A30" w:rsidRDefault="00E40A30" w:rsidP="00E40A30">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E40A30" w:rsidRDefault="00E40A30" w:rsidP="00E40A30">
      <w:pPr>
        <w:pStyle w:val="corte4fondo"/>
        <w:ind w:right="51" w:firstLine="567"/>
        <w:jc w:val="center"/>
        <w:rPr>
          <w:rFonts w:cs="Arial"/>
          <w:b/>
          <w:spacing w:val="-3"/>
          <w:sz w:val="24"/>
          <w:szCs w:val="24"/>
        </w:rPr>
      </w:pPr>
    </w:p>
    <w:p w:rsidR="00E40A30" w:rsidRPr="007B0581" w:rsidRDefault="00E40A30" w:rsidP="00E40A30">
      <w:pPr>
        <w:pStyle w:val="corte4fondo"/>
        <w:spacing w:line="240" w:lineRule="auto"/>
        <w:ind w:right="51" w:firstLine="567"/>
        <w:contextualSpacing/>
        <w:rPr>
          <w:rFonts w:cs="Arial"/>
          <w:bCs/>
          <w:sz w:val="24"/>
          <w:szCs w:val="24"/>
        </w:rPr>
      </w:pPr>
    </w:p>
    <w:p w:rsidR="00E40A30" w:rsidRPr="007B0581" w:rsidRDefault="00E40A30" w:rsidP="00E40A30">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Pr>
          <w:rFonts w:ascii="Arial" w:hAnsi="Arial" w:cs="Arial"/>
          <w:sz w:val="24"/>
          <w:szCs w:val="24"/>
        </w:rPr>
        <w:t xml:space="preserve"> la autoridad Municipal</w:t>
      </w:r>
      <w:r w:rsidRPr="007B0581">
        <w:rPr>
          <w:rFonts w:ascii="Arial" w:hAnsi="Arial" w:cs="Arial"/>
          <w:sz w:val="24"/>
          <w:szCs w:val="24"/>
        </w:rPr>
        <w:t xml:space="preserve">, con fundamento en el artículo 114 QUATER, párrafo primero, inciso B, </w:t>
      </w:r>
      <w:r w:rsidRPr="004012A8">
        <w:rPr>
          <w:rFonts w:ascii="Arial" w:hAnsi="Arial" w:cs="Arial"/>
          <w:sz w:val="24"/>
          <w:szCs w:val="24"/>
        </w:rPr>
        <w:t>fracción VII</w:t>
      </w:r>
      <w:r w:rsidRPr="009730A5">
        <w:rPr>
          <w:rFonts w:ascii="Arial" w:hAnsi="Arial" w:cs="Arial"/>
          <w:sz w:val="24"/>
          <w:szCs w:val="24"/>
        </w:rPr>
        <w:t xml:space="preserve"> d</w:t>
      </w:r>
      <w:r w:rsidRPr="007B0581">
        <w:rPr>
          <w:rFonts w:ascii="Arial" w:hAnsi="Arial" w:cs="Arial"/>
          <w:sz w:val="24"/>
          <w:szCs w:val="24"/>
        </w:rPr>
        <w:t>e la Constitución Política del Estado Libre y Soberano de Oaxaca; 120, fracción I</w:t>
      </w:r>
      <w:r>
        <w:rPr>
          <w:rFonts w:ascii="Arial" w:hAnsi="Arial" w:cs="Arial"/>
          <w:sz w:val="24"/>
          <w:szCs w:val="24"/>
        </w:rPr>
        <w:t>V</w:t>
      </w:r>
      <w:r w:rsidRPr="007B0581">
        <w:rPr>
          <w:rFonts w:ascii="Arial" w:hAnsi="Arial" w:cs="Arial"/>
          <w:sz w:val="24"/>
          <w:szCs w:val="24"/>
        </w:rPr>
        <w:t xml:space="preserve">, 132 fracciones I y II, 133 fracción I, 146 y 147 de la Ley de Procedimiento y Justicia Administrativa para el Estado de Oaxaca. </w:t>
      </w:r>
    </w:p>
    <w:p w:rsidR="00E40A30" w:rsidRPr="007B0581" w:rsidRDefault="00E40A30" w:rsidP="00E40A30">
      <w:pPr>
        <w:spacing w:line="360" w:lineRule="auto"/>
        <w:jc w:val="both"/>
        <w:rPr>
          <w:rFonts w:ascii="Arial" w:hAnsi="Arial" w:cs="Arial"/>
          <w:sz w:val="24"/>
          <w:szCs w:val="24"/>
        </w:rPr>
      </w:pPr>
      <w:r w:rsidRPr="007B0581">
        <w:rPr>
          <w:rFonts w:ascii="Arial" w:hAnsi="Arial" w:cs="Arial"/>
          <w:sz w:val="24"/>
          <w:szCs w:val="24"/>
        </w:rPr>
        <w:t xml:space="preserve"> </w:t>
      </w:r>
    </w:p>
    <w:p w:rsidR="00E40A30" w:rsidRDefault="00E40A30" w:rsidP="00E40A30">
      <w:pPr>
        <w:spacing w:line="360" w:lineRule="auto"/>
        <w:ind w:right="51" w:firstLine="709"/>
        <w:jc w:val="both"/>
        <w:rPr>
          <w:rFonts w:ascii="Arial" w:hAnsi="Arial" w:cs="Arial"/>
          <w:snapToGrid w:val="0"/>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e</w:t>
      </w:r>
      <w:r w:rsidRPr="007B0581">
        <w:rPr>
          <w:rFonts w:ascii="Arial" w:hAnsi="Arial" w:cs="Arial"/>
          <w:sz w:val="24"/>
          <w:szCs w:val="24"/>
        </w:rPr>
        <w:t>l actor promueve por su propio derecho y</w:t>
      </w:r>
      <w:r>
        <w:rPr>
          <w:rFonts w:ascii="Arial" w:hAnsi="Arial" w:cs="Arial"/>
          <w:sz w:val="24"/>
          <w:szCs w:val="24"/>
        </w:rPr>
        <w:t xml:space="preserve"> la</w:t>
      </w:r>
      <w:r w:rsidRPr="007B0581">
        <w:rPr>
          <w:rFonts w:ascii="Arial" w:hAnsi="Arial" w:cs="Arial"/>
          <w:sz w:val="24"/>
          <w:szCs w:val="24"/>
        </w:rPr>
        <w:t xml:space="preserve"> </w:t>
      </w:r>
      <w:r>
        <w:rPr>
          <w:rFonts w:ascii="Arial" w:hAnsi="Arial" w:cs="Arial"/>
          <w:sz w:val="24"/>
          <w:szCs w:val="24"/>
        </w:rPr>
        <w:t>de la autoridad demandada con copia de su nombramiento y, en términos de</w:t>
      </w:r>
      <w:r w:rsidRPr="007B0581">
        <w:rPr>
          <w:rFonts w:ascii="Arial" w:hAnsi="Arial" w:cs="Arial"/>
          <w:sz w:val="24"/>
          <w:szCs w:val="24"/>
        </w:rPr>
        <w:t xml:space="preserve"> </w:t>
      </w:r>
      <w:r>
        <w:rPr>
          <w:rFonts w:ascii="Arial" w:hAnsi="Arial" w:cs="Arial"/>
          <w:sz w:val="24"/>
          <w:szCs w:val="24"/>
        </w:rPr>
        <w:t>los</w:t>
      </w:r>
      <w:r w:rsidRPr="007B0581">
        <w:rPr>
          <w:rFonts w:ascii="Arial" w:hAnsi="Arial" w:cs="Arial"/>
          <w:sz w:val="24"/>
          <w:szCs w:val="24"/>
        </w:rPr>
        <w:t xml:space="preserve"> artículo</w:t>
      </w:r>
      <w:r>
        <w:rPr>
          <w:rFonts w:ascii="Arial" w:hAnsi="Arial" w:cs="Arial"/>
          <w:sz w:val="24"/>
          <w:szCs w:val="24"/>
        </w:rPr>
        <w:t>s 148 y,</w:t>
      </w:r>
      <w:r w:rsidRPr="007B0581">
        <w:rPr>
          <w:rFonts w:ascii="Arial" w:hAnsi="Arial" w:cs="Arial"/>
          <w:sz w:val="24"/>
          <w:szCs w:val="24"/>
        </w:rPr>
        <w:t xml:space="preserve"> </w:t>
      </w:r>
      <w:r>
        <w:rPr>
          <w:rFonts w:ascii="Arial" w:hAnsi="Arial" w:cs="Arial"/>
          <w:sz w:val="24"/>
          <w:szCs w:val="24"/>
        </w:rPr>
        <w:t xml:space="preserve">151 </w:t>
      </w:r>
      <w:r w:rsidRPr="007B0581">
        <w:rPr>
          <w:rFonts w:ascii="Arial" w:hAnsi="Arial" w:cs="Arial"/>
          <w:snapToGrid w:val="0"/>
          <w:sz w:val="24"/>
          <w:szCs w:val="24"/>
        </w:rPr>
        <w:t>de la Ley de Procedimiento y Justicia Administrativa para el Estado de Oaxaca</w:t>
      </w:r>
      <w:r>
        <w:rPr>
          <w:rFonts w:ascii="Arial" w:hAnsi="Arial" w:cs="Arial"/>
          <w:snapToGrid w:val="0"/>
          <w:sz w:val="24"/>
          <w:szCs w:val="24"/>
        </w:rPr>
        <w:t>.</w:t>
      </w:r>
      <w:r w:rsidRPr="007B0581">
        <w:rPr>
          <w:rFonts w:ascii="Arial" w:hAnsi="Arial" w:cs="Arial"/>
          <w:snapToGrid w:val="0"/>
          <w:sz w:val="24"/>
          <w:szCs w:val="24"/>
        </w:rPr>
        <w:t xml:space="preserve">  </w:t>
      </w:r>
    </w:p>
    <w:p w:rsidR="00E40A30" w:rsidRPr="007B0581" w:rsidRDefault="00E40A30" w:rsidP="00E40A30">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E40A30" w:rsidRPr="007B0581" w:rsidRDefault="00E40A30" w:rsidP="00E40A30">
      <w:pPr>
        <w:pStyle w:val="corte4fondo"/>
        <w:ind w:right="51" w:firstLine="567"/>
        <w:rPr>
          <w:rFonts w:cs="Arial"/>
          <w:sz w:val="24"/>
          <w:szCs w:val="24"/>
        </w:rPr>
      </w:pPr>
      <w:r w:rsidRPr="007B0581">
        <w:rPr>
          <w:rFonts w:cs="Arial"/>
          <w:sz w:val="24"/>
          <w:szCs w:val="24"/>
        </w:rPr>
        <w:tab/>
      </w:r>
      <w:r w:rsidRPr="00970C08">
        <w:rPr>
          <w:rFonts w:cs="Arial"/>
          <w:b/>
          <w:sz w:val="24"/>
          <w:szCs w:val="24"/>
        </w:rPr>
        <w:t>TERCERO.-</w:t>
      </w:r>
      <w:r w:rsidRPr="00970C08">
        <w:rPr>
          <w:rFonts w:cs="Arial"/>
          <w:sz w:val="24"/>
          <w:szCs w:val="24"/>
        </w:rPr>
        <w:t xml:space="preserve"> </w:t>
      </w:r>
      <w:r w:rsidRPr="007B0581">
        <w:rPr>
          <w:rFonts w:cs="Arial"/>
          <w:sz w:val="24"/>
          <w:szCs w:val="24"/>
        </w:rPr>
        <w:t>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Pr>
          <w:rFonts w:cs="Arial"/>
          <w:sz w:val="24"/>
          <w:szCs w:val="24"/>
        </w:rPr>
        <w:t>a</w:t>
      </w:r>
      <w:r w:rsidRPr="007B0581">
        <w:rPr>
          <w:rFonts w:cs="Arial"/>
          <w:sz w:val="24"/>
          <w:szCs w:val="24"/>
        </w:rPr>
        <w:t xml:space="preserve"> juzgador</w:t>
      </w:r>
      <w:r>
        <w:rPr>
          <w:rFonts w:cs="Arial"/>
          <w:sz w:val="24"/>
          <w:szCs w:val="24"/>
        </w:rPr>
        <w:t>a</w:t>
      </w:r>
      <w:r w:rsidRPr="007B0581">
        <w:rPr>
          <w:rFonts w:cs="Arial"/>
          <w:sz w:val="24"/>
          <w:szCs w:val="24"/>
        </w:rPr>
        <w:t xml:space="preserve">,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w:t>
      </w:r>
      <w:r w:rsidRPr="007B0581">
        <w:rPr>
          <w:rFonts w:cs="Arial"/>
          <w:sz w:val="24"/>
          <w:szCs w:val="24"/>
        </w:rPr>
        <w:lastRenderedPageBreak/>
        <w:t xml:space="preserve">no se configura causal alguna de improcedencia.  En consecuencia, </w:t>
      </w:r>
      <w:r w:rsidRPr="007B0581">
        <w:rPr>
          <w:rFonts w:cs="Arial"/>
          <w:b/>
          <w:bCs/>
          <w:sz w:val="24"/>
          <w:szCs w:val="24"/>
        </w:rPr>
        <w:t xml:space="preserve">NO SE SOBRESEE </w:t>
      </w:r>
      <w:r w:rsidRPr="007B0581">
        <w:rPr>
          <w:rFonts w:cs="Arial"/>
          <w:sz w:val="24"/>
          <w:szCs w:val="24"/>
        </w:rPr>
        <w:t xml:space="preserve">el presente juicio. </w:t>
      </w:r>
    </w:p>
    <w:p w:rsidR="00E40A30" w:rsidRDefault="00E40A30" w:rsidP="00E40A30">
      <w:pPr>
        <w:pStyle w:val="corte4fondo"/>
        <w:ind w:right="51" w:firstLine="567"/>
        <w:rPr>
          <w:rFonts w:cs="Arial"/>
          <w:sz w:val="24"/>
          <w:szCs w:val="24"/>
        </w:rPr>
      </w:pPr>
    </w:p>
    <w:p w:rsidR="00E40A30" w:rsidRDefault="00E40A30" w:rsidP="00E40A30">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8F7AED">
        <w:rPr>
          <w:rFonts w:ascii="Arial" w:hAnsi="Arial" w:cs="Arial"/>
          <w:b/>
          <w:bCs/>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w:t>
      </w:r>
      <w:r w:rsidRPr="007B0581">
        <w:rPr>
          <w:rFonts w:ascii="Arial" w:hAnsi="Arial" w:cs="Arial"/>
          <w:bCs/>
          <w:sz w:val="24"/>
          <w:szCs w:val="24"/>
        </w:rPr>
        <w:t>l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E40A30" w:rsidRPr="007B0581" w:rsidRDefault="00E40A30" w:rsidP="00E40A30">
      <w:pPr>
        <w:spacing w:line="360" w:lineRule="auto"/>
        <w:jc w:val="both"/>
        <w:rPr>
          <w:rFonts w:ascii="Arial" w:hAnsi="Arial" w:cs="Arial"/>
          <w:sz w:val="24"/>
          <w:szCs w:val="24"/>
        </w:rPr>
      </w:pPr>
    </w:p>
    <w:p w:rsidR="00E40A30" w:rsidRDefault="00E40A30" w:rsidP="00E40A30">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E40A30" w:rsidRPr="007B0581" w:rsidRDefault="00E40A30" w:rsidP="00E40A30">
      <w:pPr>
        <w:pStyle w:val="Textonotapie"/>
        <w:widowControl w:val="0"/>
        <w:spacing w:line="360" w:lineRule="auto"/>
        <w:ind w:firstLine="708"/>
        <w:jc w:val="both"/>
        <w:rPr>
          <w:rFonts w:ascii="Arial" w:hAnsi="Arial" w:cs="Arial"/>
          <w:sz w:val="24"/>
          <w:szCs w:val="24"/>
          <w:lang w:eastAsia="es-MX"/>
        </w:rPr>
      </w:pPr>
    </w:p>
    <w:p w:rsidR="00E40A30" w:rsidRPr="007B0581" w:rsidRDefault="00E40A30" w:rsidP="00E40A30">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E40A30" w:rsidRPr="007B0581" w:rsidRDefault="00E40A30" w:rsidP="00E40A30">
      <w:pPr>
        <w:pStyle w:val="Textonotapie"/>
        <w:widowControl w:val="0"/>
        <w:spacing w:line="360" w:lineRule="auto"/>
        <w:ind w:left="1701" w:right="1469"/>
        <w:jc w:val="both"/>
        <w:rPr>
          <w:rFonts w:ascii="Arial" w:hAnsi="Arial" w:cs="Arial"/>
          <w:b/>
          <w:sz w:val="24"/>
          <w:szCs w:val="24"/>
          <w:lang w:eastAsia="es-MX"/>
        </w:rPr>
      </w:pPr>
    </w:p>
    <w:p w:rsidR="00E40A30" w:rsidRDefault="00E40A30" w:rsidP="00E40A30">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 actor</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 xml:space="preserve">, demandó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Pr>
          <w:rFonts w:ascii="Arial" w:hAnsi="Arial" w:cs="Arial"/>
          <w:b/>
          <w:bCs/>
          <w:sz w:val="24"/>
          <w:szCs w:val="24"/>
        </w:rPr>
        <w:t xml:space="preserve"> </w:t>
      </w:r>
      <w:r w:rsidRPr="007B0581">
        <w:rPr>
          <w:rFonts w:ascii="Arial" w:hAnsi="Arial" w:cs="Arial"/>
          <w:sz w:val="24"/>
          <w:szCs w:val="24"/>
        </w:rPr>
        <w:t xml:space="preserve">de </w:t>
      </w:r>
      <w:r>
        <w:rPr>
          <w:rFonts w:ascii="Arial" w:hAnsi="Arial" w:cs="Arial"/>
          <w:sz w:val="24"/>
          <w:szCs w:val="24"/>
        </w:rPr>
        <w:t>veinticinco de octubre de dos mil veintiuno</w:t>
      </w:r>
      <w:r w:rsidRPr="007B0581">
        <w:rPr>
          <w:rFonts w:ascii="Arial" w:hAnsi="Arial" w:cs="Arial"/>
          <w:sz w:val="24"/>
          <w:szCs w:val="24"/>
        </w:rPr>
        <w:t xml:space="preserve">, signado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 xml:space="preserve">con número estadístico PV-153, adscrito a la Subdirección de Tránsito y Movilidad del Municipio de Oaxaca de Juárez, </w:t>
      </w:r>
      <w:r>
        <w:rPr>
          <w:rFonts w:cs="Arial"/>
          <w:b/>
          <w:sz w:val="24"/>
          <w:szCs w:val="24"/>
        </w:rPr>
        <w:t>**********</w:t>
      </w:r>
      <w:r>
        <w:rPr>
          <w:rFonts w:ascii="Arial" w:hAnsi="Arial" w:cs="Arial"/>
          <w:sz w:val="24"/>
          <w:szCs w:val="24"/>
        </w:rPr>
        <w:t xml:space="preserve">, </w:t>
      </w:r>
      <w:r w:rsidRPr="007B0581">
        <w:rPr>
          <w:rFonts w:ascii="Arial" w:hAnsi="Arial" w:cs="Arial"/>
          <w:sz w:val="24"/>
          <w:szCs w:val="24"/>
        </w:rPr>
        <w:t>por</w:t>
      </w:r>
      <w:r>
        <w:rPr>
          <w:rFonts w:ascii="Arial" w:hAnsi="Arial" w:cs="Arial"/>
          <w:sz w:val="24"/>
          <w:szCs w:val="24"/>
        </w:rPr>
        <w:t xml:space="preserve"> considerar </w:t>
      </w:r>
      <w:r w:rsidRPr="00970C08">
        <w:rPr>
          <w:rFonts w:ascii="Arial" w:hAnsi="Arial" w:cs="Arial"/>
          <w:sz w:val="24"/>
          <w:szCs w:val="24"/>
        </w:rPr>
        <w:t>que</w:t>
      </w:r>
      <w:r>
        <w:rPr>
          <w:rFonts w:ascii="Arial" w:hAnsi="Arial" w:cs="Arial"/>
          <w:sz w:val="24"/>
          <w:szCs w:val="24"/>
        </w:rPr>
        <w:t xml:space="preserve"> no satisface los requisitos de debida</w:t>
      </w:r>
      <w:r w:rsidRPr="007B0581">
        <w:rPr>
          <w:rFonts w:ascii="Arial" w:hAnsi="Arial" w:cs="Arial"/>
          <w:sz w:val="24"/>
          <w:szCs w:val="24"/>
        </w:rPr>
        <w:t xml:space="preserve"> fundamentación y motivación</w:t>
      </w:r>
      <w:r>
        <w:rPr>
          <w:rFonts w:ascii="Arial" w:hAnsi="Arial" w:cs="Arial"/>
          <w:sz w:val="24"/>
          <w:szCs w:val="24"/>
        </w:rPr>
        <w:t xml:space="preserve"> conforme a lo dispuesto por el artículo 16 de la Constitución Política de los Estados Unidos Mexicanos y la fracción II y V del numeral 17 de la Ley de Procedimiento y Justicia Administrativa para el Estado de Oaxaca, pues para que una multa por infracción al Reglamento de Vialidad para el Municipio de Oaxaca de Juárez, se encuentre debidamente fundada y motivada, se requiere que se haga la descripción clara y completa de la conducta que satisface la hipótesis legal invocada con la debida precisión tanto del artículo, como de la fracción e inciso en cada caso en particular; hecho que definitivamente no ocurrió en la especie.</w:t>
      </w:r>
    </w:p>
    <w:p w:rsidR="00E40A30" w:rsidRDefault="00E40A30" w:rsidP="00E40A30">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rsidR="00E40A30" w:rsidRDefault="00E40A30" w:rsidP="00E40A30">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 xml:space="preserve">or su parte, la autoridad demandada </w:t>
      </w:r>
      <w:r w:rsidRPr="009901D5">
        <w:rPr>
          <w:rFonts w:ascii="Arial" w:hAnsi="Arial" w:cs="Arial"/>
          <w:b/>
          <w:bCs/>
          <w:sz w:val="24"/>
          <w:szCs w:val="24"/>
        </w:rPr>
        <w:t>P</w:t>
      </w:r>
      <w:r w:rsidRPr="00187FC0">
        <w:rPr>
          <w:rFonts w:ascii="Arial" w:hAnsi="Arial" w:cs="Arial"/>
          <w:b/>
          <w:bCs/>
          <w:sz w:val="24"/>
          <w:szCs w:val="24"/>
        </w:rPr>
        <w:t>olicía</w:t>
      </w:r>
      <w:r>
        <w:rPr>
          <w:rFonts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w:t>
      </w:r>
      <w:r>
        <w:rPr>
          <w:rFonts w:ascii="Arial" w:hAnsi="Arial" w:cs="Arial"/>
          <w:sz w:val="24"/>
          <w:szCs w:val="24"/>
        </w:rPr>
        <w:t>con número estadístico PV-153,</w:t>
      </w:r>
      <w:r>
        <w:rPr>
          <w:rFonts w:cs="Arial"/>
          <w:b/>
          <w:bCs/>
          <w:sz w:val="24"/>
          <w:szCs w:val="24"/>
        </w:rPr>
        <w:t xml:space="preserve"> </w:t>
      </w:r>
      <w:r>
        <w:rPr>
          <w:rFonts w:cs="Arial"/>
          <w:b/>
          <w:sz w:val="24"/>
          <w:szCs w:val="24"/>
        </w:rPr>
        <w:t>**********</w:t>
      </w:r>
      <w:r w:rsidRPr="007B0581">
        <w:rPr>
          <w:rFonts w:ascii="Arial" w:hAnsi="Arial" w:cs="Arial"/>
          <w:sz w:val="24"/>
          <w:szCs w:val="24"/>
        </w:rPr>
        <w:t>,</w:t>
      </w:r>
      <w:r>
        <w:rPr>
          <w:rFonts w:ascii="Arial" w:hAnsi="Arial" w:cs="Arial"/>
          <w:sz w:val="24"/>
          <w:szCs w:val="24"/>
        </w:rPr>
        <w:t xml:space="preserve"> </w:t>
      </w:r>
      <w:r w:rsidRPr="00970C08">
        <w:rPr>
          <w:rFonts w:ascii="Arial" w:hAnsi="Arial" w:cs="Arial"/>
          <w:sz w:val="24"/>
          <w:szCs w:val="24"/>
        </w:rPr>
        <w:t>indica que</w:t>
      </w:r>
      <w:r>
        <w:rPr>
          <w:rFonts w:ascii="Arial" w:hAnsi="Arial" w:cs="Arial"/>
          <w:sz w:val="24"/>
          <w:szCs w:val="24"/>
        </w:rPr>
        <w:t xml:space="preserve"> el acta de infracción se encuentra debidamente fundada y motivada, pues se invocó el artículo 59 fracción </w:t>
      </w:r>
      <w:r>
        <w:rPr>
          <w:rFonts w:ascii="Arial" w:hAnsi="Arial" w:cs="Arial"/>
          <w:sz w:val="24"/>
          <w:szCs w:val="24"/>
        </w:rPr>
        <w:lastRenderedPageBreak/>
        <w:t xml:space="preserve">I, incisos c) y d), del Reglamento de Vialidad para el Municipio de Oaxaca de Juárez, como disposición violentada; y como motivación se hizo saber que era por pasarse la luz roja. </w:t>
      </w:r>
    </w:p>
    <w:p w:rsidR="00E40A30" w:rsidRDefault="00E40A30" w:rsidP="00E40A30">
      <w:pPr>
        <w:spacing w:line="360" w:lineRule="auto"/>
        <w:ind w:firstLine="708"/>
        <w:jc w:val="both"/>
        <w:rPr>
          <w:rFonts w:ascii="Arial" w:hAnsi="Arial" w:cs="Arial"/>
          <w:color w:val="FF0000"/>
          <w:sz w:val="24"/>
          <w:szCs w:val="24"/>
        </w:rPr>
      </w:pPr>
      <w:r>
        <w:rPr>
          <w:rFonts w:ascii="Arial" w:hAnsi="Arial" w:cs="Arial"/>
          <w:sz w:val="24"/>
          <w:szCs w:val="24"/>
        </w:rPr>
        <w:t xml:space="preserve"> </w:t>
      </w:r>
    </w:p>
    <w:p w:rsidR="00E40A30" w:rsidRDefault="00E40A30" w:rsidP="00E40A30">
      <w:pPr>
        <w:spacing w:line="360" w:lineRule="auto"/>
        <w:ind w:firstLine="708"/>
        <w:jc w:val="both"/>
        <w:rPr>
          <w:rFonts w:ascii="Arial" w:hAnsi="Arial" w:cs="Arial"/>
          <w:bCs/>
          <w:sz w:val="24"/>
          <w:szCs w:val="24"/>
        </w:rPr>
      </w:pPr>
      <w:r w:rsidRPr="007B0581">
        <w:rPr>
          <w:rFonts w:ascii="Arial" w:hAnsi="Arial" w:cs="Arial"/>
          <w:color w:val="FF0000"/>
          <w:sz w:val="24"/>
          <w:szCs w:val="24"/>
        </w:rPr>
        <w:t xml:space="preserve"> </w:t>
      </w:r>
      <w:r w:rsidRPr="00772A00">
        <w:rPr>
          <w:rFonts w:ascii="Arial" w:hAnsi="Arial" w:cs="Arial"/>
          <w:sz w:val="24"/>
          <w:szCs w:val="24"/>
        </w:rPr>
        <w:t>Ah</w:t>
      </w:r>
      <w:r w:rsidRPr="007B0581">
        <w:rPr>
          <w:rFonts w:ascii="Arial" w:hAnsi="Arial" w:cs="Arial"/>
          <w:sz w:val="24"/>
          <w:szCs w:val="24"/>
        </w:rPr>
        <w:t xml:space="preserve">ora bien, esta juzgadora </w:t>
      </w:r>
      <w:r>
        <w:rPr>
          <w:rFonts w:ascii="Arial" w:hAnsi="Arial" w:cs="Arial"/>
          <w:sz w:val="24"/>
          <w:szCs w:val="24"/>
        </w:rPr>
        <w:t>después de haber realizado 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Pr>
          <w:rFonts w:ascii="Arial" w:hAnsi="Arial" w:cs="Arial"/>
          <w:b/>
          <w:bCs/>
          <w:sz w:val="24"/>
          <w:szCs w:val="24"/>
        </w:rPr>
        <w:t xml:space="preserve"> </w:t>
      </w:r>
      <w:r w:rsidRPr="007B0581">
        <w:rPr>
          <w:rFonts w:ascii="Arial" w:hAnsi="Arial" w:cs="Arial"/>
          <w:sz w:val="24"/>
          <w:szCs w:val="24"/>
        </w:rPr>
        <w:t xml:space="preserve">de </w:t>
      </w:r>
      <w:r>
        <w:rPr>
          <w:rFonts w:ascii="Arial" w:hAnsi="Arial" w:cs="Arial"/>
          <w:sz w:val="24"/>
          <w:szCs w:val="24"/>
        </w:rPr>
        <w:t>veinticinco de octubre de dos mil veintiuno</w:t>
      </w:r>
      <w:r w:rsidRPr="007B0581">
        <w:rPr>
          <w:rFonts w:ascii="Arial" w:hAnsi="Arial" w:cs="Arial"/>
          <w:sz w:val="24"/>
          <w:szCs w:val="24"/>
        </w:rPr>
        <w:t xml:space="preserve">, signado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sz w:val="24"/>
          <w:szCs w:val="24"/>
        </w:rPr>
        <w:t xml:space="preserve">con número estadístico PV-153, adscrito a la Subdirección de Tránsito y Movilidad del Municipio de Oaxaca de Juárez, </w:t>
      </w:r>
      <w:r>
        <w:rPr>
          <w:rFonts w:cs="Arial"/>
          <w:b/>
          <w:sz w:val="24"/>
          <w:szCs w:val="24"/>
        </w:rPr>
        <w:t>**********</w:t>
      </w:r>
      <w:r>
        <w:rPr>
          <w:rFonts w:ascii="Arial" w:hAnsi="Arial" w:cs="Arial"/>
          <w:sz w:val="24"/>
          <w:szCs w:val="24"/>
        </w:rPr>
        <w:t>,</w:t>
      </w:r>
      <w:r>
        <w:rPr>
          <w:rFonts w:ascii="Arial" w:hAnsi="Arial" w:cs="Arial"/>
          <w:b/>
          <w:bCs/>
          <w:sz w:val="24"/>
          <w:szCs w:val="24"/>
        </w:rPr>
        <w:t xml:space="preserve"> </w:t>
      </w:r>
      <w:r>
        <w:rPr>
          <w:rFonts w:ascii="Arial" w:hAnsi="Arial" w:cs="Arial"/>
          <w:sz w:val="24"/>
          <w:szCs w:val="24"/>
        </w:rPr>
        <w:t xml:space="preserve">advierte que el acta de infracción recurrida se trata de un formato preestablecido que cuenta con los siguientes apartados: datos personales del infractor, ubicación del lugar donde se cometió la infracción, fecha, hora, características y tipo de vehículo, </w:t>
      </w:r>
      <w:r w:rsidRPr="00344933">
        <w:rPr>
          <w:rFonts w:ascii="Arial" w:hAnsi="Arial" w:cs="Arial"/>
          <w:sz w:val="24"/>
          <w:szCs w:val="24"/>
        </w:rPr>
        <w:t>faltas administrativas contempladas en el Reglamento de Vialidad para el Municipio de Oaxaca de Juárez</w:t>
      </w:r>
      <w:r>
        <w:rPr>
          <w:rFonts w:ascii="Arial" w:hAnsi="Arial" w:cs="Arial"/>
          <w:sz w:val="24"/>
          <w:szCs w:val="24"/>
        </w:rPr>
        <w:t xml:space="preserve">, </w:t>
      </w:r>
      <w:r w:rsidRPr="00185950">
        <w:rPr>
          <w:rFonts w:ascii="Arial" w:hAnsi="Arial" w:cs="Arial"/>
          <w:sz w:val="24"/>
          <w:szCs w:val="24"/>
        </w:rPr>
        <w:t>así como un espacio con líneas con la razón de motivación</w:t>
      </w:r>
      <w:r>
        <w:rPr>
          <w:rFonts w:ascii="Arial" w:hAnsi="Arial" w:cs="Arial"/>
          <w:sz w:val="24"/>
          <w:szCs w:val="24"/>
        </w:rPr>
        <w:t xml:space="preserve"> y por último el apartado de nombre y firma tanto de la autoridad como de la parte infractora, en ese sentido el acta de infracción en estudio cuenta con lo siguiente, número de licencia </w:t>
      </w:r>
      <w:r>
        <w:rPr>
          <w:rFonts w:cs="Arial"/>
          <w:b/>
          <w:sz w:val="24"/>
          <w:szCs w:val="24"/>
        </w:rPr>
        <w:t>**********</w:t>
      </w:r>
      <w:r>
        <w:rPr>
          <w:rFonts w:ascii="Arial" w:hAnsi="Arial" w:cs="Arial"/>
          <w:sz w:val="24"/>
          <w:szCs w:val="24"/>
        </w:rPr>
        <w:t xml:space="preserve">, clasificación B, placas de circulación </w:t>
      </w:r>
      <w:r>
        <w:rPr>
          <w:rFonts w:cs="Arial"/>
          <w:b/>
          <w:sz w:val="24"/>
          <w:szCs w:val="24"/>
        </w:rPr>
        <w:t>**********</w:t>
      </w:r>
      <w:r>
        <w:rPr>
          <w:rFonts w:ascii="Arial" w:hAnsi="Arial" w:cs="Arial"/>
          <w:sz w:val="24"/>
          <w:szCs w:val="24"/>
        </w:rPr>
        <w:t xml:space="preserve"> del estado de Oaxaca, vehículo marca </w:t>
      </w:r>
      <w:r>
        <w:rPr>
          <w:rFonts w:cs="Arial"/>
          <w:b/>
          <w:sz w:val="24"/>
          <w:szCs w:val="24"/>
        </w:rPr>
        <w:t>**********</w:t>
      </w:r>
      <w:r>
        <w:rPr>
          <w:rFonts w:ascii="Arial" w:hAnsi="Arial" w:cs="Arial"/>
          <w:sz w:val="24"/>
          <w:szCs w:val="24"/>
        </w:rPr>
        <w:t xml:space="preserve">, tipo </w:t>
      </w:r>
      <w:r>
        <w:rPr>
          <w:rFonts w:cs="Arial"/>
          <w:b/>
          <w:sz w:val="24"/>
          <w:szCs w:val="24"/>
        </w:rPr>
        <w:t>**********</w:t>
      </w:r>
      <w:r>
        <w:rPr>
          <w:rFonts w:ascii="Arial" w:hAnsi="Arial" w:cs="Arial"/>
          <w:sz w:val="24"/>
          <w:szCs w:val="24"/>
        </w:rPr>
        <w:t xml:space="preserve">, color </w:t>
      </w:r>
      <w:r>
        <w:rPr>
          <w:rFonts w:cs="Arial"/>
          <w:b/>
          <w:sz w:val="24"/>
          <w:szCs w:val="24"/>
        </w:rPr>
        <w:t>**********</w:t>
      </w:r>
      <w:bookmarkStart w:id="3" w:name="_GoBack"/>
      <w:bookmarkEnd w:id="3"/>
      <w:r>
        <w:rPr>
          <w:rFonts w:ascii="Arial" w:hAnsi="Arial" w:cs="Arial"/>
          <w:sz w:val="24"/>
          <w:szCs w:val="24"/>
        </w:rPr>
        <w:t xml:space="preserve">, del servicio particular, ubicación del lugar donde se cometió la infracción, Central de Abastos, aconteciendo a las once horas con siete minutos del día veinticinco de octubre de dos mil veintiuno, por cuanto hace a la motivación si bien es cierto la demandada manifestó que el conductor se pasó el semáforo en color rojo, también lo es que, en los apartados de faltas administrativas contempladas en el Reglamento de Vialidad para el Municipio de Oaxaca de Juárez, la autoridad demandada Policía Vial, </w:t>
      </w:r>
      <w:r>
        <w:rPr>
          <w:rFonts w:cs="Arial"/>
          <w:b/>
          <w:sz w:val="24"/>
          <w:szCs w:val="24"/>
        </w:rPr>
        <w:t>**********</w:t>
      </w:r>
      <w:r>
        <w:rPr>
          <w:rFonts w:ascii="Arial" w:hAnsi="Arial" w:cs="Arial"/>
          <w:sz w:val="24"/>
          <w:szCs w:val="24"/>
        </w:rPr>
        <w:t xml:space="preserve"> marcó las establecidas en el artículo 59, fracción I, incisos  C y D del citado Reglamento</w:t>
      </w:r>
      <w:r>
        <w:rPr>
          <w:rFonts w:ascii="Arial" w:hAnsi="Arial" w:cs="Arial"/>
          <w:bCs/>
          <w:sz w:val="24"/>
          <w:szCs w:val="24"/>
        </w:rPr>
        <w:t xml:space="preserve">, el cual establece lo siguiente: </w:t>
      </w:r>
    </w:p>
    <w:p w:rsidR="00E40A30" w:rsidRDefault="00E40A30" w:rsidP="00E40A30">
      <w:pPr>
        <w:spacing w:line="360" w:lineRule="auto"/>
        <w:ind w:firstLine="709"/>
        <w:contextualSpacing/>
        <w:jc w:val="both"/>
        <w:rPr>
          <w:rFonts w:ascii="Arial" w:hAnsi="Arial" w:cs="Arial"/>
          <w:bCs/>
          <w:sz w:val="24"/>
          <w:szCs w:val="24"/>
        </w:rPr>
      </w:pPr>
    </w:p>
    <w:p w:rsidR="00E40A30" w:rsidRPr="004F10EB" w:rsidRDefault="00E40A30" w:rsidP="00E40A30">
      <w:pPr>
        <w:autoSpaceDE w:val="0"/>
        <w:autoSpaceDN w:val="0"/>
        <w:adjustRightInd w:val="0"/>
        <w:spacing w:line="360" w:lineRule="auto"/>
        <w:ind w:firstLine="708"/>
        <w:rPr>
          <w:rFonts w:ascii="Arial" w:eastAsiaTheme="minorHAnsi" w:hAnsi="Arial" w:cs="Arial"/>
          <w:i/>
          <w:iCs/>
          <w:sz w:val="24"/>
          <w:szCs w:val="24"/>
          <w:lang w:val="es-MX" w:eastAsia="en-US"/>
        </w:rPr>
      </w:pPr>
      <w:r w:rsidRPr="00DC78DA">
        <w:rPr>
          <w:rFonts w:ascii="Arial" w:eastAsiaTheme="minorHAnsi" w:hAnsi="Arial" w:cs="Arial"/>
          <w:i/>
          <w:iCs/>
          <w:sz w:val="22"/>
          <w:szCs w:val="22"/>
          <w:lang w:val="es-MX" w:eastAsia="en-US"/>
        </w:rPr>
        <w:t>“</w:t>
      </w:r>
      <w:r w:rsidRPr="004F10EB">
        <w:rPr>
          <w:rFonts w:ascii="Arial" w:eastAsiaTheme="minorHAnsi" w:hAnsi="Arial" w:cs="Arial"/>
          <w:i/>
          <w:iCs/>
          <w:sz w:val="24"/>
          <w:szCs w:val="24"/>
          <w:lang w:val="es-MX" w:eastAsia="en-US"/>
        </w:rPr>
        <w:t>ARTÍCULO 59.-</w:t>
      </w:r>
      <w:r w:rsidRPr="004F10EB">
        <w:rPr>
          <w:rFonts w:ascii="Arial" w:eastAsiaTheme="minorHAnsi" w:hAnsi="Arial" w:cs="Arial"/>
          <w:b/>
          <w:bCs/>
          <w:i/>
          <w:iCs/>
          <w:sz w:val="24"/>
          <w:szCs w:val="24"/>
          <w:lang w:val="es-MX" w:eastAsia="en-US"/>
        </w:rPr>
        <w:t xml:space="preserve"> </w:t>
      </w:r>
      <w:r w:rsidRPr="004F10EB">
        <w:rPr>
          <w:rFonts w:ascii="Arial" w:eastAsiaTheme="minorHAnsi" w:hAnsi="Arial" w:cs="Arial"/>
          <w:i/>
          <w:iCs/>
          <w:sz w:val="24"/>
          <w:szCs w:val="24"/>
          <w:lang w:val="es-MX" w:eastAsia="en-US"/>
        </w:rPr>
        <w:t>Son obligaciones de los conductores de vehículos automotores para que puedan circular libremente en la jurisdicción del Municipio de Oaxaca de Juárez:</w:t>
      </w:r>
    </w:p>
    <w:p w:rsidR="00E40A30" w:rsidRPr="00DC78DA" w:rsidRDefault="00E40A30" w:rsidP="00E40A30">
      <w:pPr>
        <w:autoSpaceDE w:val="0"/>
        <w:autoSpaceDN w:val="0"/>
        <w:adjustRightInd w:val="0"/>
        <w:rPr>
          <w:rFonts w:ascii="Arial" w:eastAsiaTheme="minorHAnsi" w:hAnsi="Arial" w:cs="Arial"/>
          <w:i/>
          <w:iCs/>
          <w:sz w:val="22"/>
          <w:szCs w:val="22"/>
          <w:lang w:val="es-MX" w:eastAsia="en-US"/>
        </w:rPr>
      </w:pPr>
    </w:p>
    <w:p w:rsidR="00E40A30" w:rsidRPr="00DC78DA" w:rsidRDefault="00E40A30" w:rsidP="00E40A30">
      <w:pPr>
        <w:spacing w:line="360" w:lineRule="auto"/>
        <w:ind w:firstLine="709"/>
        <w:contextualSpacing/>
        <w:jc w:val="both"/>
        <w:rPr>
          <w:rFonts w:ascii="Arial" w:hAnsi="Arial" w:cs="Arial"/>
          <w:bCs/>
          <w:i/>
          <w:iCs/>
          <w:sz w:val="24"/>
          <w:szCs w:val="24"/>
        </w:rPr>
      </w:pPr>
      <w:r w:rsidRPr="00DC78DA">
        <w:rPr>
          <w:rFonts w:ascii="Arial" w:eastAsiaTheme="minorHAnsi" w:hAnsi="Arial" w:cs="Arial"/>
          <w:b/>
          <w:bCs/>
          <w:i/>
          <w:iCs/>
          <w:sz w:val="22"/>
          <w:szCs w:val="22"/>
          <w:lang w:val="es-MX" w:eastAsia="en-US"/>
        </w:rPr>
        <w:t xml:space="preserve">I. </w:t>
      </w:r>
      <w:r w:rsidRPr="004F10EB">
        <w:rPr>
          <w:rFonts w:ascii="Arial" w:eastAsiaTheme="minorHAnsi" w:hAnsi="Arial" w:cs="Arial"/>
          <w:i/>
          <w:iCs/>
          <w:sz w:val="24"/>
          <w:szCs w:val="24"/>
          <w:lang w:val="es-MX" w:eastAsia="en-US"/>
        </w:rPr>
        <w:t>Obedecer las indicaciones de los semáforos para vehículos, de la siguiente manera:</w:t>
      </w:r>
    </w:p>
    <w:p w:rsidR="00E40A30" w:rsidRPr="00DC78DA" w:rsidRDefault="00E40A30" w:rsidP="00E40A30">
      <w:pPr>
        <w:spacing w:line="360" w:lineRule="auto"/>
        <w:ind w:firstLine="709"/>
        <w:contextualSpacing/>
        <w:jc w:val="both"/>
        <w:rPr>
          <w:rFonts w:ascii="Arial" w:hAnsi="Arial" w:cs="Arial"/>
          <w:bCs/>
          <w:i/>
          <w:iCs/>
          <w:sz w:val="24"/>
          <w:szCs w:val="24"/>
        </w:rPr>
      </w:pPr>
      <w:r w:rsidRPr="00DC78DA">
        <w:rPr>
          <w:rFonts w:ascii="Arial" w:hAnsi="Arial" w:cs="Arial"/>
          <w:bCs/>
          <w:i/>
          <w:iCs/>
          <w:sz w:val="24"/>
          <w:szCs w:val="24"/>
        </w:rPr>
        <w:t>c)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w:t>
      </w:r>
    </w:p>
    <w:p w:rsidR="00E40A30" w:rsidRPr="00DC78DA" w:rsidRDefault="00E40A30" w:rsidP="00E40A30">
      <w:pPr>
        <w:spacing w:line="360" w:lineRule="auto"/>
        <w:ind w:firstLine="709"/>
        <w:contextualSpacing/>
        <w:jc w:val="both"/>
        <w:rPr>
          <w:rFonts w:ascii="Arial" w:hAnsi="Arial" w:cs="Arial"/>
          <w:bCs/>
          <w:i/>
          <w:iCs/>
          <w:sz w:val="24"/>
          <w:szCs w:val="24"/>
        </w:rPr>
      </w:pPr>
      <w:r w:rsidRPr="00DC78DA">
        <w:rPr>
          <w:rFonts w:ascii="Arial" w:hAnsi="Arial" w:cs="Arial"/>
          <w:bCs/>
          <w:i/>
          <w:iCs/>
          <w:sz w:val="24"/>
          <w:szCs w:val="24"/>
        </w:rPr>
        <w:t xml:space="preserve">d) Frente a una indicación de luz roja del semáforo, los conductores deberán detener la marcha antes de la raya de alto total, respetando los señalamientos del </w:t>
      </w:r>
      <w:r w:rsidRPr="00DC78DA">
        <w:rPr>
          <w:rFonts w:ascii="Arial" w:hAnsi="Arial" w:cs="Arial"/>
          <w:bCs/>
          <w:i/>
          <w:iCs/>
          <w:sz w:val="24"/>
          <w:szCs w:val="24"/>
        </w:rPr>
        <w:lastRenderedPageBreak/>
        <w:t xml:space="preserve">paso peatonal o en su caso de no existir los señalamientos de alto total y cruce peatonal el conductor deberá dejar un espacio transversal entre los límites extremos de las banquetas el espacio suficiente para el cruce de peatones;”   </w:t>
      </w:r>
    </w:p>
    <w:p w:rsidR="00E40A30" w:rsidRDefault="00E40A30" w:rsidP="00E40A30">
      <w:pPr>
        <w:spacing w:line="360" w:lineRule="auto"/>
        <w:ind w:firstLine="709"/>
        <w:contextualSpacing/>
        <w:jc w:val="both"/>
        <w:rPr>
          <w:rFonts w:ascii="Arial" w:hAnsi="Arial" w:cs="Arial"/>
          <w:bCs/>
          <w:sz w:val="24"/>
          <w:szCs w:val="24"/>
        </w:rPr>
      </w:pPr>
    </w:p>
    <w:p w:rsidR="00E40A30" w:rsidRPr="00A33C65" w:rsidRDefault="00E40A30" w:rsidP="00E40A30">
      <w:pPr>
        <w:pStyle w:val="NormalWeb"/>
        <w:spacing w:before="0" w:beforeAutospacing="0" w:after="0" w:afterAutospacing="0" w:line="360" w:lineRule="auto"/>
        <w:ind w:firstLine="567"/>
        <w:jc w:val="both"/>
        <w:rPr>
          <w:rFonts w:ascii="Arial" w:hAnsi="Arial" w:cs="Arial"/>
          <w:color w:val="212529"/>
        </w:rPr>
      </w:pPr>
      <w:r>
        <w:rPr>
          <w:rFonts w:ascii="Arial" w:hAnsi="Arial" w:cs="Arial"/>
          <w:bCs/>
        </w:rPr>
        <w:t>Del numeral antes transcrito se advierte que, dichos incisos se contraponen en virtud que regulan supuestos diferentes, pues el inciso C) regula el supuesto en luz amarilla del semáforo mientras que el inciso D) regula el supuesto de la luz roja del semáforo, dejando con ello en incertidumbre jurídica al actor al no saber cuál de los dos supuesto de la norma contenida en el Reglamento de Vialidad para el Municipio de Oaxaca de Juárez, fue el que supuestamente infringió, y en su oportunidad efectuar su de</w:t>
      </w:r>
      <w:r w:rsidRPr="0077380F">
        <w:rPr>
          <w:rFonts w:ascii="Arial" w:hAnsi="Arial" w:cs="Arial"/>
          <w:bCs/>
        </w:rPr>
        <w:t>fensa</w:t>
      </w:r>
      <w:r>
        <w:rPr>
          <w:rFonts w:ascii="Arial" w:hAnsi="Arial" w:cs="Arial"/>
          <w:bCs/>
        </w:rPr>
        <w:t>, asimismo plasma de puño y letra el artículo 59, fracción I, pero omite plasmar de que ordenamiento legal; en consecuencia</w:t>
      </w:r>
      <w:r w:rsidRPr="000D673A">
        <w:rPr>
          <w:rFonts w:ascii="Arial" w:hAnsi="Arial" w:cs="Arial"/>
        </w:rPr>
        <w:t xml:space="preserve"> resulta </w:t>
      </w:r>
      <w:r w:rsidRPr="000D673A">
        <w:rPr>
          <w:rFonts w:ascii="Arial" w:hAnsi="Arial" w:cs="Arial"/>
          <w:b/>
          <w:bCs/>
        </w:rPr>
        <w:t>fundado</w:t>
      </w:r>
      <w:r w:rsidRPr="000D673A">
        <w:rPr>
          <w:rFonts w:ascii="Arial" w:hAnsi="Arial" w:cs="Arial"/>
        </w:rPr>
        <w:t xml:space="preserve"> el concepto de impugnación primero hecho valer por el actor en el sentido que el acto impugnado </w:t>
      </w:r>
      <w:r w:rsidRPr="000D673A">
        <w:rPr>
          <w:rFonts w:ascii="Arial" w:hAnsi="Arial" w:cs="Arial"/>
          <w:bCs/>
        </w:rPr>
        <w:t xml:space="preserve">carece de la debida fundamentación, </w:t>
      </w:r>
      <w:r>
        <w:rPr>
          <w:rFonts w:ascii="Arial" w:hAnsi="Arial" w:cs="Arial"/>
          <w:bCs/>
        </w:rPr>
        <w:t xml:space="preserve">de conformidad con lo dispuesto en el artículo 17, fracción V, de la Ley de Procedimiento y Justicia Administrativa para el Estado de Oaxaca. </w:t>
      </w:r>
      <w:r>
        <w:rPr>
          <w:rFonts w:ascii="Arial" w:hAnsi="Arial" w:cs="Arial"/>
        </w:rPr>
        <w:t xml:space="preserve">Sin que le sea legalmente posible a la demandada mejorar la fundamentación y motivación del acto impugnado en su escrito de contestación de demanda pues es obligación de la autoridad </w:t>
      </w:r>
      <w:r w:rsidRPr="00800E7E">
        <w:rPr>
          <w:rFonts w:ascii="Arial" w:hAnsi="Arial" w:cs="Arial"/>
          <w:color w:val="212529"/>
        </w:rPr>
        <w:t>plasma</w:t>
      </w:r>
      <w:r>
        <w:rPr>
          <w:rFonts w:ascii="Arial" w:hAnsi="Arial" w:cs="Arial"/>
          <w:color w:val="212529"/>
        </w:rPr>
        <w:t>r</w:t>
      </w:r>
      <w:r w:rsidRPr="00800E7E">
        <w:rPr>
          <w:rFonts w:ascii="Arial" w:hAnsi="Arial" w:cs="Arial"/>
          <w:color w:val="212529"/>
        </w:rPr>
        <w:t xml:space="preserve"> en el documento que contiene el acto impugnado</w:t>
      </w:r>
      <w:r>
        <w:rPr>
          <w:rFonts w:ascii="Arial" w:hAnsi="Arial" w:cs="Arial"/>
          <w:color w:val="212529"/>
        </w:rPr>
        <w:t xml:space="preserve"> la fundamentación y motivación</w:t>
      </w:r>
      <w:r w:rsidRPr="00800E7E">
        <w:rPr>
          <w:rFonts w:ascii="Arial" w:hAnsi="Arial" w:cs="Arial"/>
          <w:color w:val="212529"/>
        </w:rPr>
        <w:t xml:space="preserve"> y no en</w:t>
      </w:r>
      <w:r>
        <w:rPr>
          <w:rFonts w:ascii="Arial" w:hAnsi="Arial" w:cs="Arial"/>
          <w:color w:val="212529"/>
        </w:rPr>
        <w:t xml:space="preserve"> documento distinto,</w:t>
      </w:r>
      <w:r w:rsidRPr="00800E7E">
        <w:rPr>
          <w:rFonts w:ascii="Arial" w:hAnsi="Arial" w:cs="Arial"/>
        </w:rPr>
        <w:t xml:space="preserve"> </w:t>
      </w:r>
      <w:r>
        <w:rPr>
          <w:rFonts w:ascii="Arial" w:hAnsi="Arial" w:cs="Arial"/>
        </w:rPr>
        <w:t xml:space="preserve">sirva de apoyo la jurisprudencia con número de registro 917740, Séptima Época, de la Segunda Sala de la Suprema Corte de Justicia de la Nación, Tomo VI, página 168, de rubro y texto siguiente: </w:t>
      </w:r>
      <w:r w:rsidRPr="005A23C8">
        <w:rPr>
          <w:rFonts w:ascii="Arial" w:hAnsi="Arial" w:cs="Arial"/>
          <w:i/>
          <w:iCs/>
        </w:rPr>
        <w:t>“FUNDAMENTACIÓN</w:t>
      </w:r>
      <w:r w:rsidRPr="005A23C8">
        <w:rPr>
          <w:rFonts w:ascii="Arial" w:hAnsi="Arial" w:cs="Arial"/>
          <w:i/>
          <w:iCs/>
          <w:color w:val="212529"/>
        </w:rPr>
        <w:t xml:space="preserve"> Y MOTIVACIÓN. DEBEN CONSTAR EN EL CUERPO DE LA RESOLUCIÓN Y NO EN DOCUMENTO DISTINTO. -</w:t>
      </w:r>
      <w:r w:rsidRPr="00A33C65">
        <w:rPr>
          <w:rFonts w:ascii="Arial" w:hAnsi="Arial" w:cs="Arial"/>
          <w:b/>
          <w:bCs/>
          <w:i/>
          <w:iCs/>
          <w:color w:val="212529"/>
        </w:rPr>
        <w:t xml:space="preserve"> </w:t>
      </w:r>
      <w:r w:rsidRPr="00A33C65">
        <w:rPr>
          <w:rFonts w:ascii="Arial" w:hAnsi="Arial" w:cs="Arial"/>
          <w:i/>
          <w:iCs/>
          <w:color w:val="212529"/>
        </w:rPr>
        <w:t>Las autoridades responsables no cumplen con la obligación constitucional de fundar y motivar debidamente las resoluciones que pronuncian, expresando las razones de hecho y las consideraciones legales en que se apoyan, cuando éstas aparecen en documento distinto.”</w:t>
      </w:r>
    </w:p>
    <w:p w:rsidR="00E40A30" w:rsidRPr="00BB0E50" w:rsidRDefault="00E40A30" w:rsidP="00E40A30">
      <w:pPr>
        <w:pStyle w:val="Prrafodelista"/>
        <w:spacing w:line="360" w:lineRule="auto"/>
        <w:ind w:left="1428"/>
        <w:jc w:val="both"/>
        <w:rPr>
          <w:rFonts w:ascii="Arial" w:hAnsi="Arial" w:cs="Arial"/>
          <w:sz w:val="24"/>
          <w:szCs w:val="24"/>
        </w:rPr>
      </w:pPr>
    </w:p>
    <w:p w:rsidR="00E40A30" w:rsidRDefault="00E40A30" w:rsidP="00E40A30">
      <w:pPr>
        <w:pStyle w:val="NormalWeb"/>
        <w:spacing w:before="0" w:beforeAutospacing="0" w:after="0" w:afterAutospacing="0" w:line="360" w:lineRule="auto"/>
        <w:jc w:val="both"/>
        <w:rPr>
          <w:rFonts w:ascii="Calibri" w:hAnsi="Calibri" w:cs="Calibri"/>
          <w:color w:val="212529"/>
          <w:sz w:val="26"/>
          <w:szCs w:val="26"/>
        </w:rPr>
      </w:pPr>
      <w:r w:rsidRPr="00BB0E50">
        <w:rPr>
          <w:rFonts w:ascii="Arial" w:hAnsi="Arial" w:cs="Arial"/>
        </w:rPr>
        <w:t xml:space="preserve"> </w:t>
      </w:r>
      <w:r>
        <w:rPr>
          <w:rFonts w:ascii="Arial" w:hAnsi="Arial" w:cs="Arial"/>
        </w:rPr>
        <w:tab/>
        <w:t xml:space="preserve">Así como la tesis con número de registro 163020, Novena Época, publicada en el Semanario Judicial de la Federación y su Gaceta, Tomo XXXIII, Enero 2011, página 3258, de texto y rubro siguiente: </w:t>
      </w:r>
      <w:r w:rsidRPr="005A23C8">
        <w:rPr>
          <w:rFonts w:ascii="Arial" w:hAnsi="Arial" w:cs="Arial"/>
          <w:i/>
          <w:iCs/>
        </w:rPr>
        <w:t>“</w:t>
      </w:r>
      <w:r w:rsidRPr="005A23C8">
        <w:rPr>
          <w:rFonts w:ascii="Arial" w:hAnsi="Arial" w:cs="Arial"/>
          <w:i/>
          <w:iCs/>
          <w:color w:val="212529"/>
        </w:rPr>
        <w:t>RESOLUCIÓN IMPUGNADA EN EL JUICIO CONTENCIOSO ADMINISTRATIVO FEDERAL. AL EMITIR LA DETERMINACIÓN DEL RECURSO DE REVOCACIÓN O AL CONTESTAR LA DEMANDA, LA AUTORIDAD NO PUEDE CAMBIAR LA MOTIVACIÓN DE AQUÉLLA.</w:t>
      </w:r>
      <w:r w:rsidRPr="003643BF">
        <w:rPr>
          <w:rFonts w:ascii="Arial" w:hAnsi="Arial" w:cs="Arial"/>
          <w:b/>
          <w:bCs/>
          <w:i/>
          <w:iCs/>
          <w:color w:val="212529"/>
        </w:rPr>
        <w:t xml:space="preserve"> </w:t>
      </w:r>
      <w:r w:rsidRPr="003643BF">
        <w:rPr>
          <w:rFonts w:ascii="Arial" w:hAnsi="Arial" w:cs="Arial"/>
          <w:i/>
          <w:iCs/>
          <w:color w:val="212529"/>
        </w:rPr>
        <w:t xml:space="preserve">El artículo </w:t>
      </w:r>
      <w:hyperlink r:id="rId6" w:history="1">
        <w:r w:rsidRPr="003643BF">
          <w:rPr>
            <w:rStyle w:val="Hipervnculo"/>
            <w:rFonts w:ascii="Arial" w:hAnsi="Arial" w:cs="Arial"/>
            <w:i/>
            <w:iCs/>
            <w:color w:val="auto"/>
            <w:u w:val="none"/>
          </w:rPr>
          <w:t>22, primer párrafo, de la Ley Federal de Procedimiento Contencioso Administrativo</w:t>
        </w:r>
      </w:hyperlink>
      <w:r w:rsidRPr="003643BF">
        <w:rPr>
          <w:rFonts w:ascii="Arial" w:hAnsi="Arial" w:cs="Arial"/>
          <w:i/>
          <w:iCs/>
          <w:color w:val="212529"/>
        </w:rPr>
        <w:t xml:space="preserve"> establece: "En la contestación de la demanda no podrán cambiarse los fundamentos de derecho de la resolución impugnada.". Ahora bien, no obstante que este precepto sólo alude a "los fundamentos de derecho", ello no debe llevarse al extremo de que no incluya la motivación, dado que ambos requisitos </w:t>
      </w:r>
      <w:r w:rsidRPr="003643BF">
        <w:rPr>
          <w:rFonts w:ascii="Arial" w:hAnsi="Arial" w:cs="Arial"/>
          <w:i/>
          <w:iCs/>
          <w:color w:val="212529"/>
        </w:rPr>
        <w:lastRenderedPageBreak/>
        <w:t xml:space="preserve">son exigibles para cumplir con los artículos </w:t>
      </w:r>
      <w:hyperlink r:id="rId7" w:history="1">
        <w:r w:rsidRPr="003643BF">
          <w:rPr>
            <w:rStyle w:val="Hipervnculo"/>
            <w:rFonts w:ascii="Arial" w:hAnsi="Arial" w:cs="Arial"/>
            <w:i/>
            <w:iCs/>
            <w:color w:val="auto"/>
            <w:u w:val="none"/>
          </w:rPr>
          <w:t>38, fracción IV, del Código Fiscal de la Federación</w:t>
        </w:r>
      </w:hyperlink>
      <w:r w:rsidRPr="003643BF">
        <w:rPr>
          <w:rFonts w:ascii="Arial" w:hAnsi="Arial" w:cs="Arial"/>
          <w:i/>
          <w:iCs/>
        </w:rPr>
        <w:t xml:space="preserve"> y </w:t>
      </w:r>
      <w:hyperlink r:id="rId8" w:history="1">
        <w:r w:rsidRPr="003643BF">
          <w:rPr>
            <w:rStyle w:val="Hipervnculo"/>
            <w:rFonts w:ascii="Arial" w:hAnsi="Arial" w:cs="Arial"/>
            <w:i/>
            <w:iCs/>
            <w:color w:val="auto"/>
            <w:u w:val="none"/>
          </w:rPr>
          <w:t>16, párrafo primero, de la Constitución Política de los Estados Unidos Mexicanos</w:t>
        </w:r>
      </w:hyperlink>
      <w:r w:rsidRPr="003643BF">
        <w:rPr>
          <w:rFonts w:ascii="Arial" w:hAnsi="Arial" w:cs="Arial"/>
          <w:i/>
          <w:iCs/>
          <w:color w:val="212529"/>
        </w:rPr>
        <w:t>. Asimismo, aun cuando el citado numeral 22 únicamente se refiere a la contestación de la demanda, también es aplicable a la resolución del recurso de revocación, porque no existe disposición que autorice a mejorar la indicada motivación en ese caso, por el contrario, ambos requisitos (fundamentación y motivación), deben plasmarse en el documento que contiene el acto impugnado y no en otros, como lo manda la jurisprudencia 206 de la Segunda Sala del Máximo Tribunal de Justicia del País, visible en la página 168 del Tomo VI, Materia Común, Jurisprudencia, Suprema Corte de Justicia de la Nación, del Apéndice al Semanario Judicial de la Federación 1917-2000, de rubro: "</w:t>
      </w:r>
      <w:hyperlink r:id="rId9" w:tgtFrame="_blank" w:history="1">
        <w:r w:rsidRPr="003643BF">
          <w:rPr>
            <w:rStyle w:val="Hipervnculo"/>
            <w:rFonts w:ascii="Arial" w:hAnsi="Arial" w:cs="Arial"/>
            <w:i/>
            <w:iCs/>
            <w:color w:val="auto"/>
            <w:u w:val="none"/>
          </w:rPr>
          <w:t>FUNDAMENTACIÓN Y MOTIVACIÓN. DEBEN CONSTAR EN EL CUERPO DE LA RESOLUCIÓN Y NO EN DOCUMENTO DISTINTO</w:t>
        </w:r>
      </w:hyperlink>
      <w:r w:rsidRPr="003643BF">
        <w:rPr>
          <w:rFonts w:ascii="Arial" w:hAnsi="Arial" w:cs="Arial"/>
          <w:i/>
          <w:iCs/>
          <w:color w:val="212529"/>
        </w:rPr>
        <w:t>."</w:t>
      </w:r>
    </w:p>
    <w:p w:rsidR="00E40A30" w:rsidRDefault="00E40A30" w:rsidP="00E40A30">
      <w:pPr>
        <w:widowControl w:val="0"/>
        <w:spacing w:line="360" w:lineRule="auto"/>
        <w:ind w:firstLine="708"/>
        <w:jc w:val="both"/>
        <w:rPr>
          <w:rFonts w:ascii="Arial" w:hAnsi="Arial" w:cs="Arial"/>
          <w:bCs/>
          <w:sz w:val="24"/>
          <w:szCs w:val="24"/>
        </w:rPr>
      </w:pPr>
    </w:p>
    <w:p w:rsidR="00E40A30" w:rsidRPr="000D673A" w:rsidRDefault="00E40A30" w:rsidP="00E40A30">
      <w:pPr>
        <w:spacing w:line="360" w:lineRule="auto"/>
        <w:ind w:firstLine="708"/>
        <w:jc w:val="both"/>
        <w:rPr>
          <w:rFonts w:ascii="Arial" w:hAnsi="Arial" w:cs="Arial"/>
          <w:color w:val="FF0000"/>
          <w:sz w:val="24"/>
          <w:szCs w:val="24"/>
        </w:rPr>
      </w:pPr>
      <w:r w:rsidRPr="009761C8">
        <w:rPr>
          <w:rFonts w:ascii="Arial" w:hAnsi="Arial" w:cs="Arial"/>
          <w:bCs/>
          <w:color w:val="000000"/>
          <w:sz w:val="24"/>
          <w:szCs w:val="24"/>
        </w:rPr>
        <w:t xml:space="preserve">Cabe señalar que, si bien es cierto que, los Tribunales deben ocuparse de todos los planteamientos formulados por las partes; al haberse declarado la nulidad del acto impugnado, </w:t>
      </w:r>
      <w:r w:rsidRPr="009761C8">
        <w:rPr>
          <w:rFonts w:ascii="Arial" w:hAnsi="Arial" w:cs="Arial"/>
          <w:sz w:val="24"/>
          <w:szCs w:val="24"/>
        </w:rPr>
        <w:t xml:space="preserve">resulta innecesario </w:t>
      </w:r>
      <w:r w:rsidRPr="009761C8">
        <w:rPr>
          <w:rFonts w:ascii="Arial" w:hAnsi="Arial" w:cs="Arial"/>
          <w:bCs/>
          <w:color w:val="000000"/>
          <w:sz w:val="24"/>
          <w:szCs w:val="24"/>
        </w:rPr>
        <w:t xml:space="preserve">el análisis de los demás planteamientos formulados por </w:t>
      </w:r>
      <w:r>
        <w:rPr>
          <w:rFonts w:ascii="Arial" w:hAnsi="Arial" w:cs="Arial"/>
          <w:bCs/>
          <w:color w:val="000000"/>
          <w:sz w:val="24"/>
          <w:szCs w:val="24"/>
        </w:rPr>
        <w:t>el</w:t>
      </w:r>
      <w:r w:rsidRPr="009761C8">
        <w:rPr>
          <w:rFonts w:ascii="Arial" w:hAnsi="Arial" w:cs="Arial"/>
          <w:bCs/>
          <w:color w:val="000000"/>
          <w:sz w:val="24"/>
          <w:szCs w:val="24"/>
        </w:rPr>
        <w:t xml:space="preserve"> actor,</w:t>
      </w:r>
      <w:r w:rsidRPr="009761C8">
        <w:rPr>
          <w:rFonts w:ascii="Arial" w:hAnsi="Arial" w:cs="Arial"/>
          <w:sz w:val="24"/>
          <w:szCs w:val="24"/>
        </w:rPr>
        <w:t xml:space="preserve"> virtud a que a nada práctico conduciría, toda vez que </w:t>
      </w:r>
      <w:r w:rsidRPr="009761C8">
        <w:rPr>
          <w:rFonts w:ascii="Arial" w:hAnsi="Arial" w:cs="Arial"/>
          <w:bCs/>
          <w:color w:val="000000"/>
          <w:sz w:val="24"/>
          <w:szCs w:val="24"/>
        </w:rPr>
        <w:t>lo analizado fue suficiente para declarar la nulidad lisa y llana del mismo, pretensión principal de</w:t>
      </w:r>
      <w:r>
        <w:rPr>
          <w:rFonts w:ascii="Arial" w:hAnsi="Arial" w:cs="Arial"/>
          <w:bCs/>
          <w:color w:val="000000"/>
          <w:sz w:val="24"/>
          <w:szCs w:val="24"/>
        </w:rPr>
        <w:t>l</w:t>
      </w:r>
      <w:r w:rsidRPr="009761C8">
        <w:rPr>
          <w:rFonts w:ascii="Arial" w:hAnsi="Arial" w:cs="Arial"/>
          <w:bCs/>
          <w:color w:val="000000"/>
          <w:sz w:val="24"/>
          <w:szCs w:val="24"/>
        </w:rPr>
        <w:t xml:space="preserve"> actor</w:t>
      </w:r>
      <w:r w:rsidRPr="009761C8">
        <w:rPr>
          <w:rFonts w:ascii="Arial" w:hAnsi="Arial" w:cs="Arial"/>
          <w:sz w:val="24"/>
          <w:szCs w:val="24"/>
        </w:rPr>
        <w:t xml:space="preserve">. </w:t>
      </w:r>
      <w:r w:rsidRPr="009761C8">
        <w:rPr>
          <w:rFonts w:ascii="Arial" w:hAnsi="Arial" w:cs="Arial"/>
          <w:bCs/>
          <w:sz w:val="24"/>
          <w:szCs w:val="24"/>
        </w:rPr>
        <w:t xml:space="preserve">Resulta aplicable la Jurisprudencia de la Novena Época, con número de Registro </w:t>
      </w:r>
      <w:r w:rsidRPr="009761C8">
        <w:rPr>
          <w:rFonts w:ascii="Arial" w:hAnsi="Arial" w:cs="Arial"/>
          <w:color w:val="212529"/>
          <w:sz w:val="24"/>
          <w:szCs w:val="24"/>
          <w:shd w:val="clear" w:color="auto" w:fill="FFFFFF"/>
        </w:rPr>
        <w:t>174974</w:t>
      </w:r>
      <w:r w:rsidRPr="009761C8">
        <w:rPr>
          <w:rFonts w:ascii="Arial" w:hAnsi="Arial" w:cs="Arial"/>
          <w:bCs/>
          <w:sz w:val="24"/>
          <w:szCs w:val="24"/>
        </w:rPr>
        <w:t>, sustentada por el Cuarto Tribunal Colegiado en materia Administrativa del Primer Circuito, publicada en el Semanario Judicial de la Federación y su Gaceta, Tomo XXIII, Mayo de 2006, visible en la página 1646, bajo el siguiente rubro</w:t>
      </w:r>
      <w:r w:rsidRPr="009761C8">
        <w:rPr>
          <w:rFonts w:ascii="Arial" w:hAnsi="Arial" w:cs="Arial"/>
          <w:bCs/>
          <w:i/>
          <w:sz w:val="24"/>
          <w:szCs w:val="24"/>
        </w:rPr>
        <w:t>:</w:t>
      </w:r>
      <w:r w:rsidRPr="009761C8">
        <w:rPr>
          <w:rFonts w:ascii="Arial" w:hAnsi="Arial" w:cs="Arial"/>
          <w:b/>
          <w:bCs/>
          <w:sz w:val="24"/>
          <w:szCs w:val="24"/>
        </w:rPr>
        <w:t xml:space="preserve"> </w:t>
      </w:r>
      <w:r>
        <w:rPr>
          <w:rFonts w:ascii="Arial" w:hAnsi="Arial" w:cs="Arial"/>
          <w:b/>
          <w:bCs/>
          <w:sz w:val="24"/>
          <w:szCs w:val="24"/>
        </w:rPr>
        <w:t>“</w:t>
      </w:r>
      <w:r w:rsidRPr="000D673A">
        <w:rPr>
          <w:rFonts w:ascii="Arial" w:hAnsi="Arial" w:cs="Arial"/>
          <w:sz w:val="24"/>
          <w:szCs w:val="24"/>
        </w:rPr>
        <w:t>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r>
        <w:rPr>
          <w:rFonts w:ascii="Arial" w:hAnsi="Arial" w:cs="Arial"/>
          <w:sz w:val="24"/>
          <w:szCs w:val="24"/>
        </w:rPr>
        <w:t>”</w:t>
      </w:r>
    </w:p>
    <w:p w:rsidR="00E40A30" w:rsidRDefault="00E40A30" w:rsidP="00E40A30">
      <w:pPr>
        <w:widowControl w:val="0"/>
        <w:spacing w:line="360" w:lineRule="auto"/>
        <w:ind w:firstLine="708"/>
        <w:jc w:val="both"/>
        <w:rPr>
          <w:rFonts w:ascii="Arial" w:hAnsi="Arial" w:cs="Arial"/>
          <w:bCs/>
          <w:sz w:val="24"/>
          <w:szCs w:val="24"/>
        </w:rPr>
      </w:pPr>
    </w:p>
    <w:p w:rsidR="00E40A30" w:rsidRPr="007B0581" w:rsidRDefault="00E40A30" w:rsidP="00E40A30">
      <w:pPr>
        <w:widowControl w:val="0"/>
        <w:spacing w:line="360" w:lineRule="auto"/>
        <w:ind w:firstLine="708"/>
        <w:jc w:val="both"/>
        <w:rPr>
          <w:rFonts w:ascii="Arial" w:hAnsi="Arial" w:cs="Arial"/>
          <w:sz w:val="24"/>
          <w:szCs w:val="24"/>
          <w:lang w:val="es-MX"/>
        </w:rPr>
      </w:pPr>
    </w:p>
    <w:p w:rsidR="00E40A30" w:rsidRPr="00D848EC" w:rsidRDefault="00E40A30" w:rsidP="00E40A30">
      <w:pPr>
        <w:spacing w:line="360" w:lineRule="auto"/>
        <w:ind w:firstLine="709"/>
        <w:contextualSpacing/>
        <w:jc w:val="both"/>
        <w:rPr>
          <w:rFonts w:ascii="Arial" w:hAnsi="Arial" w:cs="Arial"/>
          <w:bCs/>
          <w:sz w:val="24"/>
          <w:szCs w:val="24"/>
          <w:lang w:val="es-MX"/>
        </w:rPr>
      </w:pPr>
    </w:p>
    <w:p w:rsidR="00E40A30" w:rsidRDefault="00E40A30" w:rsidP="00E40A30">
      <w:pPr>
        <w:spacing w:line="360" w:lineRule="auto"/>
        <w:ind w:firstLine="709"/>
        <w:contextualSpacing/>
        <w:jc w:val="both"/>
        <w:rPr>
          <w:rFonts w:ascii="Arial" w:hAnsi="Arial" w:cs="Arial"/>
          <w:bCs/>
          <w:sz w:val="24"/>
          <w:szCs w:val="24"/>
        </w:rPr>
      </w:pPr>
      <w:r w:rsidRPr="00BB7DA2">
        <w:rPr>
          <w:rFonts w:ascii="Arial" w:hAnsi="Arial" w:cs="Arial"/>
          <w:sz w:val="24"/>
          <w:szCs w:val="24"/>
        </w:rPr>
        <w:t>Por lo que concierne a la</w:t>
      </w:r>
      <w:r>
        <w:rPr>
          <w:rFonts w:ascii="Arial" w:hAnsi="Arial" w:cs="Arial"/>
          <w:sz w:val="24"/>
          <w:szCs w:val="24"/>
        </w:rPr>
        <w:t>s</w:t>
      </w:r>
      <w:r w:rsidRPr="00BB7DA2">
        <w:rPr>
          <w:rFonts w:ascii="Arial" w:hAnsi="Arial" w:cs="Arial"/>
          <w:sz w:val="24"/>
          <w:szCs w:val="24"/>
        </w:rPr>
        <w:t xml:space="preserve"> prueba</w:t>
      </w:r>
      <w:r>
        <w:rPr>
          <w:rFonts w:ascii="Arial" w:hAnsi="Arial" w:cs="Arial"/>
          <w:sz w:val="24"/>
          <w:szCs w:val="24"/>
        </w:rPr>
        <w:t>s</w:t>
      </w:r>
      <w:r w:rsidRPr="00BB7DA2">
        <w:rPr>
          <w:rFonts w:ascii="Arial" w:hAnsi="Arial" w:cs="Arial"/>
          <w:sz w:val="24"/>
          <w:szCs w:val="24"/>
        </w:rPr>
        <w:t xml:space="preserve"> objetada</w:t>
      </w:r>
      <w:r>
        <w:rPr>
          <w:rFonts w:ascii="Arial" w:hAnsi="Arial" w:cs="Arial"/>
          <w:sz w:val="24"/>
          <w:szCs w:val="24"/>
        </w:rPr>
        <w:t>s</w:t>
      </w:r>
      <w:r w:rsidRPr="00BB7DA2">
        <w:rPr>
          <w:rFonts w:ascii="Arial" w:hAnsi="Arial" w:cs="Arial"/>
          <w:sz w:val="24"/>
          <w:szCs w:val="24"/>
        </w:rPr>
        <w:t xml:space="preserve"> por la autoridad demandada</w:t>
      </w:r>
      <w:r>
        <w:rPr>
          <w:rFonts w:ascii="Arial" w:hAnsi="Arial" w:cs="Arial"/>
          <w:sz w:val="24"/>
          <w:szCs w:val="24"/>
        </w:rPr>
        <w:t xml:space="preserve"> </w:t>
      </w:r>
      <w:r w:rsidRPr="00BA2BFD">
        <w:rPr>
          <w:rFonts w:ascii="Arial" w:hAnsi="Arial" w:cs="Arial"/>
          <w:sz w:val="24"/>
          <w:szCs w:val="24"/>
        </w:rPr>
        <w:t>Policía Vial</w:t>
      </w:r>
      <w:r>
        <w:rPr>
          <w:rFonts w:ascii="Arial" w:hAnsi="Arial" w:cs="Arial"/>
          <w:b/>
          <w:bCs/>
          <w:sz w:val="24"/>
          <w:szCs w:val="24"/>
        </w:rPr>
        <w:t xml:space="preserve"> </w:t>
      </w:r>
      <w:r w:rsidRPr="00EF6CD1">
        <w:rPr>
          <w:rFonts w:ascii="Arial" w:hAnsi="Arial" w:cs="Arial"/>
          <w:sz w:val="24"/>
          <w:szCs w:val="24"/>
        </w:rPr>
        <w:t>con número estadístico</w:t>
      </w:r>
      <w:r w:rsidRPr="00187FC0">
        <w:rPr>
          <w:rFonts w:ascii="Arial" w:hAnsi="Arial" w:cs="Arial"/>
          <w:b/>
          <w:bCs/>
          <w:sz w:val="24"/>
          <w:szCs w:val="24"/>
        </w:rPr>
        <w:t xml:space="preserve"> </w:t>
      </w:r>
      <w:r>
        <w:rPr>
          <w:rFonts w:ascii="Arial" w:hAnsi="Arial" w:cs="Arial"/>
          <w:sz w:val="24"/>
          <w:szCs w:val="24"/>
        </w:rPr>
        <w:t xml:space="preserve">PV-153, </w:t>
      </w:r>
      <w:r w:rsidRPr="00CD0861">
        <w:rPr>
          <w:rFonts w:ascii="Arial" w:hAnsi="Arial" w:cs="Arial"/>
          <w:sz w:val="24"/>
          <w:szCs w:val="24"/>
        </w:rPr>
        <w:t xml:space="preserve">adscrito a la </w:t>
      </w:r>
      <w:r>
        <w:rPr>
          <w:rFonts w:ascii="Arial" w:hAnsi="Arial" w:cs="Arial"/>
          <w:sz w:val="24"/>
          <w:szCs w:val="24"/>
        </w:rPr>
        <w:t>Subdirección de Tránsito y Movilidad del Municipio de Oaxaca de Juárez</w:t>
      </w:r>
      <w:r w:rsidRPr="00CD0861">
        <w:rPr>
          <w:rFonts w:ascii="Arial" w:hAnsi="Arial" w:cs="Arial"/>
          <w:sz w:val="24"/>
          <w:szCs w:val="24"/>
        </w:rPr>
        <w:t xml:space="preserve">, </w:t>
      </w:r>
      <w:r>
        <w:rPr>
          <w:rFonts w:cs="Arial"/>
          <w:b/>
          <w:sz w:val="24"/>
          <w:szCs w:val="24"/>
        </w:rPr>
        <w:t>**********</w:t>
      </w:r>
      <w:r w:rsidRPr="00BB7DA2">
        <w:rPr>
          <w:rFonts w:ascii="Arial" w:hAnsi="Arial" w:cs="Arial"/>
          <w:sz w:val="24"/>
          <w:szCs w:val="24"/>
        </w:rPr>
        <w:t xml:space="preserve">, </w:t>
      </w:r>
      <w:r>
        <w:rPr>
          <w:rFonts w:ascii="Arial" w:hAnsi="Arial" w:cs="Arial"/>
          <w:sz w:val="24"/>
          <w:szCs w:val="24"/>
        </w:rPr>
        <w:t>descritas en auto admisorio de ocho de noviembre de dos mil veintiuno</w:t>
      </w:r>
      <w:r w:rsidRPr="00BB7DA2">
        <w:rPr>
          <w:rFonts w:ascii="Arial" w:hAnsi="Arial" w:cs="Arial"/>
          <w:sz w:val="24"/>
          <w:szCs w:val="24"/>
        </w:rPr>
        <w:t>, no ha lugar a su petición, en virtud que la</w:t>
      </w:r>
      <w:r>
        <w:rPr>
          <w:rFonts w:ascii="Arial" w:hAnsi="Arial" w:cs="Arial"/>
          <w:sz w:val="24"/>
          <w:szCs w:val="24"/>
        </w:rPr>
        <w:t xml:space="preserve"> autoridad</w:t>
      </w:r>
      <w:r w:rsidRPr="00BB7DA2">
        <w:rPr>
          <w:rFonts w:ascii="Arial" w:hAnsi="Arial" w:cs="Arial"/>
          <w:sz w:val="24"/>
          <w:szCs w:val="24"/>
        </w:rPr>
        <w:t xml:space="preserve"> demandada solo hace referencia a objetar la</w:t>
      </w:r>
      <w:r>
        <w:rPr>
          <w:rFonts w:ascii="Arial" w:hAnsi="Arial" w:cs="Arial"/>
          <w:sz w:val="24"/>
          <w:szCs w:val="24"/>
        </w:rPr>
        <w:t>s</w:t>
      </w:r>
      <w:r w:rsidRPr="00BB7DA2">
        <w:rPr>
          <w:rFonts w:ascii="Arial" w:hAnsi="Arial" w:cs="Arial"/>
          <w:sz w:val="24"/>
          <w:szCs w:val="24"/>
        </w:rPr>
        <w:t xml:space="preserve"> documental exhibida</w:t>
      </w:r>
      <w:r>
        <w:rPr>
          <w:rFonts w:ascii="Arial" w:hAnsi="Arial" w:cs="Arial"/>
          <w:sz w:val="24"/>
          <w:szCs w:val="24"/>
        </w:rPr>
        <w:t>s</w:t>
      </w:r>
      <w:r w:rsidRPr="00BB7DA2">
        <w:rPr>
          <w:rFonts w:ascii="Arial" w:hAnsi="Arial" w:cs="Arial"/>
          <w:sz w:val="24"/>
          <w:szCs w:val="24"/>
        </w:rPr>
        <w:t xml:space="preserve"> por </w:t>
      </w:r>
      <w:r>
        <w:rPr>
          <w:rFonts w:ascii="Arial" w:hAnsi="Arial" w:cs="Arial"/>
          <w:sz w:val="24"/>
          <w:szCs w:val="24"/>
        </w:rPr>
        <w:t xml:space="preserve">el </w:t>
      </w:r>
      <w:r w:rsidRPr="00BB7DA2">
        <w:rPr>
          <w:rFonts w:ascii="Arial" w:hAnsi="Arial" w:cs="Arial"/>
          <w:sz w:val="24"/>
          <w:szCs w:val="24"/>
        </w:rPr>
        <w:t>actor y, en el presente asunto no se advierte prueba alguna fehaciente para desvirtuar el contenido de dich</w:t>
      </w:r>
      <w:r>
        <w:rPr>
          <w:rFonts w:ascii="Arial" w:hAnsi="Arial" w:cs="Arial"/>
          <w:sz w:val="24"/>
          <w:szCs w:val="24"/>
        </w:rPr>
        <w:t>as</w:t>
      </w:r>
      <w:r w:rsidRPr="00BB7DA2">
        <w:rPr>
          <w:rFonts w:ascii="Arial" w:hAnsi="Arial" w:cs="Arial"/>
          <w:sz w:val="24"/>
          <w:szCs w:val="24"/>
        </w:rPr>
        <w:t xml:space="preserve"> document</w:t>
      </w:r>
      <w:r>
        <w:rPr>
          <w:rFonts w:ascii="Arial" w:hAnsi="Arial" w:cs="Arial"/>
          <w:sz w:val="24"/>
          <w:szCs w:val="24"/>
        </w:rPr>
        <w:t>ales</w:t>
      </w:r>
      <w:r w:rsidRPr="00BB7DA2">
        <w:rPr>
          <w:rFonts w:ascii="Arial" w:hAnsi="Arial" w:cs="Arial"/>
          <w:sz w:val="24"/>
          <w:szCs w:val="24"/>
        </w:rPr>
        <w:t>.</w:t>
      </w:r>
    </w:p>
    <w:p w:rsidR="00E40A30" w:rsidRPr="001C1650" w:rsidRDefault="00E40A30" w:rsidP="00E40A30">
      <w:pPr>
        <w:spacing w:line="360" w:lineRule="auto"/>
        <w:ind w:firstLine="709"/>
        <w:contextualSpacing/>
        <w:jc w:val="both"/>
        <w:rPr>
          <w:rFonts w:ascii="Arial" w:hAnsi="Arial" w:cs="Arial"/>
          <w:bCs/>
          <w:sz w:val="24"/>
          <w:szCs w:val="24"/>
        </w:rPr>
      </w:pPr>
      <w:r>
        <w:rPr>
          <w:rFonts w:ascii="Arial" w:hAnsi="Arial" w:cs="Arial"/>
          <w:bCs/>
          <w:sz w:val="24"/>
          <w:szCs w:val="24"/>
        </w:rPr>
        <w:lastRenderedPageBreak/>
        <w:t xml:space="preserve"> </w:t>
      </w:r>
    </w:p>
    <w:p w:rsidR="00E40A30" w:rsidRDefault="00E40A30" w:rsidP="00E40A30">
      <w:pPr>
        <w:spacing w:line="360" w:lineRule="auto"/>
        <w:ind w:firstLine="709"/>
        <w:contextualSpacing/>
        <w:jc w:val="both"/>
        <w:rPr>
          <w:rFonts w:ascii="Arial" w:hAnsi="Arial" w:cs="Arial"/>
          <w:sz w:val="24"/>
          <w:szCs w:val="24"/>
        </w:rPr>
      </w:pPr>
      <w:r>
        <w:rPr>
          <w:rFonts w:ascii="Arial" w:hAnsi="Arial" w:cs="Arial"/>
          <w:bCs/>
          <w:i/>
          <w:iCs/>
          <w:sz w:val="24"/>
          <w:szCs w:val="24"/>
        </w:rPr>
        <w:t xml:space="preserve"> </w:t>
      </w:r>
      <w:bookmarkStart w:id="4" w:name="_Hlk84507859"/>
      <w:r w:rsidRPr="00DC78DA">
        <w:rPr>
          <w:rFonts w:ascii="Arial" w:hAnsi="Arial" w:cs="Arial"/>
          <w:bCs/>
          <w:sz w:val="24"/>
          <w:szCs w:val="24"/>
        </w:rPr>
        <w:t>De lo</w:t>
      </w:r>
      <w:r w:rsidRPr="00BB5812">
        <w:rPr>
          <w:rFonts w:ascii="Arial" w:hAnsi="Arial" w:cs="Arial"/>
          <w:bCs/>
          <w:sz w:val="24"/>
          <w:szCs w:val="24"/>
        </w:rPr>
        <w:t xml:space="preserve"> que se concluye que </w:t>
      </w:r>
      <w:r>
        <w:rPr>
          <w:rFonts w:ascii="Arial" w:hAnsi="Arial" w:cs="Arial"/>
          <w:bCs/>
          <w:sz w:val="24"/>
          <w:szCs w:val="24"/>
        </w:rPr>
        <w:t xml:space="preserve">al no existir una adecuada fundamentación en el acto que se combate, en términos del artículo 17, fracción V, de la </w:t>
      </w:r>
      <w:r w:rsidRPr="00A84B6D">
        <w:rPr>
          <w:rFonts w:ascii="Arial" w:hAnsi="Arial" w:cs="Arial"/>
          <w:sz w:val="24"/>
          <w:szCs w:val="24"/>
        </w:rPr>
        <w:t>Ley de Procedimiento y Justicia Administrativa para el Estado de  Oaxaca</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Pr>
          <w:rFonts w:ascii="Arial" w:hAnsi="Arial" w:cs="Arial"/>
          <w:bCs/>
          <w:sz w:val="24"/>
          <w:szCs w:val="24"/>
        </w:rPr>
        <w:t xml:space="preserve">l </w:t>
      </w:r>
      <w:r w:rsidRPr="00BB5812">
        <w:rPr>
          <w:rFonts w:ascii="Arial" w:hAnsi="Arial" w:cs="Arial"/>
          <w:bCs/>
          <w:sz w:val="24"/>
          <w:szCs w:val="24"/>
        </w:rPr>
        <w:t xml:space="preserve">actor, al no tener la certeza jurídica del motivo por el cual </w:t>
      </w:r>
      <w:r>
        <w:rPr>
          <w:rFonts w:ascii="Arial" w:hAnsi="Arial" w:cs="Arial"/>
          <w:bCs/>
          <w:sz w:val="24"/>
          <w:szCs w:val="24"/>
        </w:rPr>
        <w:t xml:space="preserve">se le infraccionó, </w:t>
      </w:r>
      <w:r w:rsidRPr="00A84B6D">
        <w:rPr>
          <w:rFonts w:ascii="Arial" w:hAnsi="Arial" w:cs="Arial"/>
          <w:sz w:val="24"/>
          <w:szCs w:val="24"/>
        </w:rPr>
        <w:t>y</w:t>
      </w:r>
      <w:r>
        <w:rPr>
          <w:rFonts w:ascii="Arial" w:hAnsi="Arial" w:cs="Arial"/>
          <w:sz w:val="24"/>
          <w:szCs w:val="24"/>
        </w:rPr>
        <w:t>a</w:t>
      </w:r>
      <w:r w:rsidRPr="00A84B6D">
        <w:rPr>
          <w:rFonts w:ascii="Arial" w:hAnsi="Arial" w:cs="Arial"/>
          <w:sz w:val="24"/>
          <w:szCs w:val="24"/>
        </w:rPr>
        <w:t xml:space="preserve"> </w:t>
      </w:r>
      <w:r>
        <w:rPr>
          <w:rFonts w:ascii="Arial" w:hAnsi="Arial" w:cs="Arial"/>
          <w:sz w:val="24"/>
          <w:szCs w:val="24"/>
        </w:rPr>
        <w:t>que la autoridad demandada no fundo adecuadamente</w:t>
      </w:r>
      <w:r w:rsidRPr="00A84B6D">
        <w:rPr>
          <w:rFonts w:ascii="Arial" w:hAnsi="Arial" w:cs="Arial"/>
          <w:sz w:val="24"/>
          <w:szCs w:val="24"/>
        </w:rPr>
        <w:t xml:space="preserve"> su actuar, provocando con ello la ilegalidad del acto combatido; con fundamento en lo dispuesto por el artículo 208</w:t>
      </w:r>
      <w:r>
        <w:rPr>
          <w:rFonts w:ascii="Arial" w:hAnsi="Arial" w:cs="Arial"/>
          <w:sz w:val="24"/>
          <w:szCs w:val="24"/>
        </w:rPr>
        <w:t>,</w:t>
      </w:r>
      <w:r w:rsidRPr="00A84B6D">
        <w:rPr>
          <w:rFonts w:ascii="Arial" w:hAnsi="Arial" w:cs="Arial"/>
          <w:sz w:val="24"/>
          <w:szCs w:val="24"/>
        </w:rPr>
        <w:t xml:space="preserve"> fracci</w:t>
      </w:r>
      <w:r>
        <w:rPr>
          <w:rFonts w:ascii="Arial" w:hAnsi="Arial" w:cs="Arial"/>
          <w:sz w:val="24"/>
          <w:szCs w:val="24"/>
        </w:rPr>
        <w:t>ones II y</w:t>
      </w:r>
      <w:r w:rsidRPr="00A84B6D">
        <w:rPr>
          <w:rFonts w:ascii="Arial" w:hAnsi="Arial" w:cs="Arial"/>
          <w:sz w:val="24"/>
          <w:szCs w:val="24"/>
        </w:rPr>
        <w:t xml:space="preserve"> VI, de la Ley de </w:t>
      </w:r>
      <w:r>
        <w:rPr>
          <w:rFonts w:ascii="Arial" w:hAnsi="Arial" w:cs="Arial"/>
          <w:sz w:val="24"/>
          <w:szCs w:val="24"/>
        </w:rPr>
        <w:t>la Materia</w:t>
      </w:r>
      <w:r w:rsidRPr="00A84B6D">
        <w:rPr>
          <w:rFonts w:ascii="Arial" w:hAnsi="Arial" w:cs="Arial"/>
          <w:sz w:val="24"/>
          <w:szCs w:val="24"/>
        </w:rPr>
        <w:t xml:space="preserve">,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Pr>
          <w:rFonts w:cs="Arial"/>
          <w:b/>
          <w:sz w:val="24"/>
          <w:szCs w:val="24"/>
        </w:rPr>
        <w:t>**********</w:t>
      </w:r>
      <w:r w:rsidRPr="00A84B6D">
        <w:rPr>
          <w:rFonts w:ascii="Arial" w:hAnsi="Arial" w:cs="Arial"/>
          <w:sz w:val="24"/>
          <w:szCs w:val="24"/>
        </w:rPr>
        <w:t xml:space="preserve"> </w:t>
      </w:r>
      <w:r>
        <w:rPr>
          <w:rFonts w:ascii="Arial" w:hAnsi="Arial" w:cs="Arial"/>
          <w:sz w:val="24"/>
          <w:szCs w:val="24"/>
        </w:rPr>
        <w:t xml:space="preserve">de veinticinco de octubre de dos mil veintiuno, </w:t>
      </w:r>
      <w:r w:rsidRPr="00A84B6D">
        <w:rPr>
          <w:rFonts w:ascii="Arial" w:hAnsi="Arial" w:cs="Arial"/>
          <w:sz w:val="24"/>
          <w:szCs w:val="24"/>
        </w:rPr>
        <w:t>emitida por</w:t>
      </w:r>
      <w:r>
        <w:rPr>
          <w:rFonts w:ascii="Arial" w:hAnsi="Arial" w:cs="Arial"/>
          <w:sz w:val="24"/>
          <w:szCs w:val="24"/>
        </w:rPr>
        <w:t xml:space="preserve"> 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w:t>
      </w:r>
      <w:r>
        <w:rPr>
          <w:rFonts w:ascii="Arial" w:hAnsi="Arial" w:cs="Arial"/>
          <w:sz w:val="24"/>
          <w:szCs w:val="24"/>
        </w:rPr>
        <w:t xml:space="preserve">con número estadístico PV-153, </w:t>
      </w:r>
      <w:r>
        <w:rPr>
          <w:rFonts w:cs="Arial"/>
          <w:b/>
          <w:sz w:val="24"/>
          <w:szCs w:val="24"/>
        </w:rPr>
        <w:t>**********</w:t>
      </w:r>
      <w:r w:rsidRPr="00A84B6D">
        <w:rPr>
          <w:rFonts w:ascii="Arial" w:hAnsi="Arial" w:cs="Arial"/>
          <w:bCs/>
          <w:sz w:val="24"/>
          <w:szCs w:val="24"/>
        </w:rPr>
        <w:t xml:space="preserve">, </w:t>
      </w:r>
      <w:r>
        <w:rPr>
          <w:rFonts w:ascii="Arial" w:hAnsi="Arial" w:cs="Arial"/>
          <w:sz w:val="24"/>
          <w:szCs w:val="24"/>
        </w:rPr>
        <w:t>adscrito a la Subdirección de Tránsito y Movilidad del Municipio de Oaxaca de Juárez</w:t>
      </w:r>
      <w:r w:rsidRPr="00A84B6D">
        <w:rPr>
          <w:rFonts w:ascii="Arial" w:hAnsi="Arial" w:cs="Arial"/>
          <w:sz w:val="24"/>
          <w:szCs w:val="24"/>
        </w:rPr>
        <w:t xml:space="preserve">, </w:t>
      </w:r>
      <w:r w:rsidRPr="00A84B6D">
        <w:rPr>
          <w:rFonts w:ascii="Arial" w:hAnsi="Arial" w:cs="Arial"/>
          <w:bCs/>
          <w:sz w:val="24"/>
          <w:szCs w:val="24"/>
        </w:rPr>
        <w:t xml:space="preserve">ordenándose dar de baja el acto impugnado </w:t>
      </w:r>
      <w:r>
        <w:rPr>
          <w:rFonts w:ascii="Arial" w:hAnsi="Arial" w:cs="Arial"/>
          <w:bCs/>
          <w:sz w:val="24"/>
          <w:szCs w:val="24"/>
        </w:rPr>
        <w:t>de</w:t>
      </w:r>
      <w:r w:rsidRPr="00A84B6D">
        <w:rPr>
          <w:rFonts w:ascii="Arial" w:hAnsi="Arial" w:cs="Arial"/>
          <w:bCs/>
          <w:sz w:val="24"/>
          <w:szCs w:val="24"/>
        </w:rPr>
        <w:t xml:space="preserve"> los registros correspondientes de la autoridad demandada.</w:t>
      </w:r>
    </w:p>
    <w:p w:rsidR="00E40A30" w:rsidRPr="007B0581" w:rsidRDefault="00E40A30" w:rsidP="00E40A30">
      <w:pPr>
        <w:spacing w:line="360" w:lineRule="auto"/>
        <w:ind w:firstLine="709"/>
        <w:contextualSpacing/>
        <w:jc w:val="both"/>
        <w:rPr>
          <w:rFonts w:ascii="Arial" w:hAnsi="Arial" w:cs="Arial"/>
          <w:color w:val="FF0000"/>
          <w:sz w:val="24"/>
          <w:szCs w:val="24"/>
        </w:rPr>
      </w:pPr>
    </w:p>
    <w:bookmarkEnd w:id="4"/>
    <w:p w:rsidR="00E40A30" w:rsidRPr="007B0581" w:rsidRDefault="00E40A30" w:rsidP="00E40A30">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sidRPr="001A742F">
        <w:rPr>
          <w:rFonts w:ascii="Arial" w:hAnsi="Arial" w:cs="Arial"/>
          <w:b/>
          <w:sz w:val="24"/>
          <w:szCs w:val="24"/>
        </w:rPr>
        <w:t>no se opuso</w:t>
      </w:r>
      <w:r w:rsidRPr="007B0581">
        <w:rPr>
          <w:rFonts w:ascii="Arial" w:hAnsi="Arial" w:cs="Arial"/>
          <w:b/>
          <w:sz w:val="24"/>
          <w:szCs w:val="24"/>
        </w:rPr>
        <w:t xml:space="preserve">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E40A30" w:rsidRPr="007B0581" w:rsidRDefault="00E40A30" w:rsidP="00E40A30">
      <w:pPr>
        <w:spacing w:line="360" w:lineRule="auto"/>
        <w:ind w:right="-93" w:firstLine="708"/>
        <w:jc w:val="both"/>
        <w:rPr>
          <w:rFonts w:ascii="Arial" w:eastAsia="Calibri" w:hAnsi="Arial" w:cs="Arial"/>
          <w:color w:val="000000"/>
          <w:sz w:val="24"/>
          <w:szCs w:val="24"/>
          <w:lang w:val="es-MX" w:eastAsia="en-US"/>
        </w:rPr>
      </w:pPr>
    </w:p>
    <w:p w:rsidR="00E40A30" w:rsidRDefault="00E40A30" w:rsidP="00E40A30">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E40A30" w:rsidRDefault="00E40A30" w:rsidP="00E40A30">
      <w:pPr>
        <w:spacing w:line="360" w:lineRule="auto"/>
        <w:ind w:firstLine="708"/>
        <w:jc w:val="both"/>
        <w:rPr>
          <w:rFonts w:ascii="Arial" w:eastAsia="Calibri" w:hAnsi="Arial" w:cs="Arial"/>
          <w:color w:val="000000"/>
          <w:sz w:val="24"/>
          <w:szCs w:val="24"/>
          <w:lang w:val="es-MX" w:eastAsia="en-US"/>
        </w:rPr>
      </w:pPr>
    </w:p>
    <w:p w:rsidR="00E40A30" w:rsidRDefault="00E40A30" w:rsidP="00E40A30">
      <w:pPr>
        <w:spacing w:line="360" w:lineRule="auto"/>
        <w:ind w:firstLine="708"/>
        <w:jc w:val="both"/>
        <w:rPr>
          <w:rFonts w:ascii="Arial" w:eastAsia="Calibri" w:hAnsi="Arial" w:cs="Arial"/>
          <w:color w:val="000000"/>
          <w:sz w:val="24"/>
          <w:szCs w:val="24"/>
          <w:lang w:val="es-MX" w:eastAsia="en-US"/>
        </w:rPr>
      </w:pPr>
    </w:p>
    <w:p w:rsidR="00E40A30" w:rsidRPr="007B0581" w:rsidRDefault="00E40A30" w:rsidP="00E40A30">
      <w:pPr>
        <w:spacing w:line="360" w:lineRule="auto"/>
        <w:ind w:firstLine="708"/>
        <w:jc w:val="both"/>
        <w:rPr>
          <w:rFonts w:ascii="Arial" w:eastAsia="Calibri" w:hAnsi="Arial" w:cs="Arial"/>
          <w:color w:val="000000"/>
          <w:sz w:val="24"/>
          <w:szCs w:val="24"/>
          <w:lang w:val="es-MX" w:eastAsia="en-US"/>
        </w:rPr>
      </w:pPr>
    </w:p>
    <w:p w:rsidR="00E40A30" w:rsidRDefault="00E40A30" w:rsidP="00E40A30">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E40A30" w:rsidRPr="007B0581" w:rsidRDefault="00E40A30" w:rsidP="00E40A30">
      <w:pPr>
        <w:tabs>
          <w:tab w:val="left" w:pos="3786"/>
        </w:tabs>
        <w:spacing w:line="360" w:lineRule="auto"/>
        <w:ind w:firstLine="708"/>
        <w:jc w:val="both"/>
        <w:rPr>
          <w:rFonts w:ascii="Arial" w:hAnsi="Arial" w:cs="Arial"/>
          <w:b/>
          <w:sz w:val="24"/>
          <w:szCs w:val="24"/>
        </w:rPr>
      </w:pPr>
    </w:p>
    <w:p w:rsidR="00E40A30" w:rsidRPr="007B0581" w:rsidRDefault="00E40A30" w:rsidP="00E40A30">
      <w:pPr>
        <w:tabs>
          <w:tab w:val="left" w:pos="3932"/>
        </w:tabs>
        <w:jc w:val="both"/>
        <w:rPr>
          <w:rFonts w:ascii="Arial" w:hAnsi="Arial" w:cs="Arial"/>
          <w:b/>
          <w:sz w:val="24"/>
          <w:szCs w:val="24"/>
        </w:rPr>
      </w:pPr>
      <w:r w:rsidRPr="007B0581">
        <w:rPr>
          <w:rFonts w:ascii="Arial" w:hAnsi="Arial" w:cs="Arial"/>
          <w:b/>
          <w:sz w:val="24"/>
          <w:szCs w:val="24"/>
        </w:rPr>
        <w:tab/>
      </w:r>
    </w:p>
    <w:p w:rsidR="00E40A30" w:rsidRPr="007B0581" w:rsidRDefault="00E40A30" w:rsidP="00E40A30">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E40A30" w:rsidRPr="007B0581" w:rsidRDefault="00E40A30" w:rsidP="00E40A30">
      <w:pPr>
        <w:pStyle w:val="Textoindependiente"/>
        <w:ind w:firstLine="709"/>
        <w:contextualSpacing/>
        <w:jc w:val="both"/>
        <w:rPr>
          <w:rFonts w:ascii="Arial" w:hAnsi="Arial" w:cs="Arial"/>
          <w:b/>
          <w:sz w:val="24"/>
          <w:szCs w:val="24"/>
        </w:rPr>
      </w:pPr>
    </w:p>
    <w:p w:rsidR="00E40A30" w:rsidRPr="007B0581" w:rsidRDefault="00E40A30" w:rsidP="00E40A30">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E40A30" w:rsidRPr="007B0581" w:rsidRDefault="00E40A30" w:rsidP="00E40A30">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E40A30" w:rsidRPr="007B0581" w:rsidRDefault="00E40A30" w:rsidP="00E40A30">
      <w:pPr>
        <w:spacing w:line="360" w:lineRule="auto"/>
        <w:ind w:right="51" w:firstLine="567"/>
        <w:jc w:val="both"/>
        <w:rPr>
          <w:rFonts w:ascii="Arial" w:hAnsi="Arial" w:cs="Arial"/>
          <w:sz w:val="24"/>
          <w:szCs w:val="24"/>
          <w:lang w:val="es-MX"/>
        </w:rPr>
      </w:pPr>
      <w:r w:rsidRPr="007B0581">
        <w:rPr>
          <w:rFonts w:ascii="Arial" w:hAnsi="Arial" w:cs="Arial"/>
          <w:b/>
          <w:sz w:val="24"/>
          <w:szCs w:val="24"/>
        </w:rPr>
        <w:lastRenderedPageBreak/>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E40A30" w:rsidRPr="007B0581" w:rsidRDefault="00E40A30" w:rsidP="00E40A30">
      <w:pPr>
        <w:ind w:right="51"/>
        <w:contextualSpacing/>
        <w:jc w:val="both"/>
        <w:rPr>
          <w:rFonts w:ascii="Arial" w:hAnsi="Arial" w:cs="Arial"/>
          <w:sz w:val="24"/>
          <w:szCs w:val="24"/>
          <w:lang w:val="es-MX"/>
        </w:rPr>
      </w:pPr>
    </w:p>
    <w:p w:rsidR="00E40A30" w:rsidRPr="007B0581" w:rsidRDefault="00E40A30" w:rsidP="00E40A30">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Pr>
          <w:rFonts w:cs="Arial"/>
          <w:b/>
          <w:sz w:val="24"/>
          <w:szCs w:val="24"/>
        </w:rPr>
        <w:t>**********</w:t>
      </w:r>
      <w:r w:rsidRPr="00A84B6D">
        <w:rPr>
          <w:rFonts w:ascii="Arial" w:hAnsi="Arial" w:cs="Arial"/>
          <w:sz w:val="24"/>
          <w:szCs w:val="24"/>
        </w:rPr>
        <w:t xml:space="preserve"> </w:t>
      </w:r>
      <w:r>
        <w:rPr>
          <w:rFonts w:ascii="Arial" w:hAnsi="Arial" w:cs="Arial"/>
          <w:sz w:val="24"/>
          <w:szCs w:val="24"/>
        </w:rPr>
        <w:t xml:space="preserve">de veinticinco de octubre de dos mil veintiuno, </w:t>
      </w:r>
      <w:r w:rsidRPr="00A84B6D">
        <w:rPr>
          <w:rFonts w:ascii="Arial" w:hAnsi="Arial" w:cs="Arial"/>
          <w:sz w:val="24"/>
          <w:szCs w:val="24"/>
        </w:rPr>
        <w:t>emitida por</w:t>
      </w:r>
      <w:r>
        <w:rPr>
          <w:rFonts w:ascii="Arial" w:hAnsi="Arial" w:cs="Arial"/>
          <w:sz w:val="24"/>
          <w:szCs w:val="24"/>
        </w:rPr>
        <w:t xml:space="preserve"> 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PV-153, </w:t>
      </w:r>
      <w:r>
        <w:rPr>
          <w:rFonts w:cs="Arial"/>
          <w:b/>
          <w:sz w:val="24"/>
          <w:szCs w:val="24"/>
        </w:rPr>
        <w:t>**********</w:t>
      </w:r>
      <w:r w:rsidRPr="00A84B6D">
        <w:rPr>
          <w:rFonts w:ascii="Arial" w:hAnsi="Arial" w:cs="Arial"/>
          <w:bCs/>
          <w:sz w:val="24"/>
          <w:szCs w:val="24"/>
        </w:rPr>
        <w:t xml:space="preserve">, </w:t>
      </w:r>
      <w:r w:rsidRPr="00A84B6D">
        <w:rPr>
          <w:rFonts w:ascii="Arial" w:hAnsi="Arial" w:cs="Arial"/>
          <w:sz w:val="24"/>
          <w:szCs w:val="24"/>
        </w:rPr>
        <w:t>adscrit</w:t>
      </w:r>
      <w:r>
        <w:rPr>
          <w:rFonts w:ascii="Arial" w:hAnsi="Arial" w:cs="Arial"/>
          <w:sz w:val="24"/>
          <w:szCs w:val="24"/>
        </w:rPr>
        <w:t>o</w:t>
      </w:r>
      <w:r w:rsidRPr="00A84B6D">
        <w:rPr>
          <w:rFonts w:ascii="Arial" w:hAnsi="Arial" w:cs="Arial"/>
          <w:sz w:val="24"/>
          <w:szCs w:val="24"/>
        </w:rPr>
        <w:t xml:space="preserve"> a la </w:t>
      </w:r>
      <w:r>
        <w:rPr>
          <w:rFonts w:ascii="Arial" w:hAnsi="Arial" w:cs="Arial"/>
          <w:sz w:val="24"/>
          <w:szCs w:val="24"/>
        </w:rPr>
        <w:t>Subdirección de Tránsito y Movilidad del Municipio de Oaxaca de Juárez</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sidRPr="00BB5812">
        <w:rPr>
          <w:rFonts w:ascii="Arial" w:hAnsi="Arial" w:cs="Arial"/>
          <w:bCs/>
          <w:sz w:val="24"/>
          <w:szCs w:val="24"/>
        </w:rPr>
        <w:t>en l</w:t>
      </w:r>
      <w:r>
        <w:rPr>
          <w:rFonts w:ascii="Arial" w:hAnsi="Arial" w:cs="Arial"/>
          <w:bCs/>
          <w:sz w:val="24"/>
          <w:szCs w:val="24"/>
        </w:rPr>
        <w:t>a parte final del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r w:rsidRPr="007B0581">
        <w:rPr>
          <w:rFonts w:ascii="Arial" w:hAnsi="Arial" w:cs="Arial"/>
          <w:sz w:val="24"/>
          <w:szCs w:val="24"/>
        </w:rPr>
        <w:t xml:space="preserve"> </w:t>
      </w:r>
    </w:p>
    <w:p w:rsidR="00E40A30" w:rsidRPr="007B0581" w:rsidRDefault="00E40A30" w:rsidP="00E40A30">
      <w:pPr>
        <w:ind w:right="51" w:firstLine="567"/>
        <w:contextualSpacing/>
        <w:jc w:val="both"/>
        <w:rPr>
          <w:rFonts w:ascii="Arial" w:hAnsi="Arial" w:cs="Arial"/>
          <w:sz w:val="24"/>
          <w:szCs w:val="24"/>
        </w:rPr>
      </w:pPr>
    </w:p>
    <w:p w:rsidR="00E40A30" w:rsidRDefault="00E40A30" w:rsidP="00E40A30">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E40A30" w:rsidRPr="007B0581" w:rsidRDefault="00E40A30" w:rsidP="00E40A30">
      <w:pPr>
        <w:spacing w:line="360" w:lineRule="auto"/>
        <w:ind w:right="51" w:firstLine="567"/>
        <w:jc w:val="both"/>
        <w:rPr>
          <w:rFonts w:ascii="Arial" w:eastAsia="Calibri" w:hAnsi="Arial" w:cs="Arial"/>
          <w:b/>
          <w:color w:val="000000"/>
          <w:sz w:val="24"/>
          <w:szCs w:val="24"/>
          <w:lang w:val="es-MX" w:eastAsia="en-US"/>
        </w:rPr>
      </w:pPr>
    </w:p>
    <w:p w:rsidR="00E40A30" w:rsidRDefault="00E40A30" w:rsidP="00E40A30">
      <w:pPr>
        <w:widowControl w:val="0"/>
        <w:spacing w:line="360" w:lineRule="auto"/>
        <w:jc w:val="both"/>
        <w:rPr>
          <w:rFonts w:ascii="Arial" w:hAnsi="Arial" w:cs="Arial"/>
          <w:sz w:val="24"/>
          <w:szCs w:val="24"/>
        </w:rPr>
      </w:pPr>
    </w:p>
    <w:p w:rsidR="00E40A30" w:rsidRDefault="00E40A30" w:rsidP="00E40A30">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E40A30" w:rsidRDefault="00E40A30" w:rsidP="00E40A30">
      <w:pPr>
        <w:widowControl w:val="0"/>
        <w:spacing w:line="360" w:lineRule="auto"/>
        <w:jc w:val="both"/>
        <w:rPr>
          <w:rFonts w:ascii="Arial" w:hAnsi="Arial" w:cs="Arial"/>
          <w:sz w:val="24"/>
          <w:szCs w:val="24"/>
          <w:lang w:eastAsia="es-ES"/>
        </w:rPr>
      </w:pPr>
    </w:p>
    <w:p w:rsidR="00E40A30" w:rsidRDefault="00E40A30" w:rsidP="00E40A30">
      <w:pPr>
        <w:widowControl w:val="0"/>
        <w:spacing w:line="360" w:lineRule="auto"/>
        <w:jc w:val="both"/>
        <w:rPr>
          <w:rFonts w:ascii="Arial" w:hAnsi="Arial" w:cs="Arial"/>
          <w:sz w:val="24"/>
          <w:szCs w:val="24"/>
          <w:lang w:eastAsia="es-ES"/>
        </w:rPr>
      </w:pPr>
    </w:p>
    <w:p w:rsidR="00E40A30" w:rsidRDefault="00E40A30" w:rsidP="00E40A30">
      <w:pPr>
        <w:widowControl w:val="0"/>
        <w:spacing w:line="360" w:lineRule="auto"/>
        <w:jc w:val="both"/>
        <w:rPr>
          <w:rFonts w:ascii="Arial" w:hAnsi="Arial" w:cs="Arial"/>
          <w:sz w:val="24"/>
          <w:szCs w:val="24"/>
          <w:lang w:eastAsia="es-ES"/>
        </w:rPr>
      </w:pPr>
    </w:p>
    <w:p w:rsidR="00E40A30" w:rsidRDefault="00E40A30" w:rsidP="00E40A30">
      <w:pPr>
        <w:widowControl w:val="0"/>
        <w:spacing w:line="360" w:lineRule="auto"/>
        <w:jc w:val="both"/>
        <w:rPr>
          <w:rFonts w:ascii="Arial" w:hAnsi="Arial" w:cs="Arial"/>
          <w:sz w:val="24"/>
          <w:szCs w:val="24"/>
          <w:lang w:eastAsia="es-ES"/>
        </w:rPr>
      </w:pPr>
    </w:p>
    <w:p w:rsidR="00294EC6" w:rsidRDefault="00294EC6"/>
    <w:sectPr w:rsidR="00294EC6" w:rsidSect="0003697E">
      <w:headerReference w:type="default" r:id="rId10"/>
      <w:footerReference w:type="default" r:id="rId11"/>
      <w:headerReference w:type="first" r:id="rId12"/>
      <w:footerReference w:type="first" r:id="rId13"/>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0A30" w:rsidRDefault="00E40A30" w:rsidP="00E40A30">
      <w:r>
        <w:separator/>
      </w:r>
    </w:p>
  </w:endnote>
  <w:endnote w:type="continuationSeparator" w:id="0">
    <w:p w:rsidR="00E40A30" w:rsidRDefault="00E40A30" w:rsidP="00E40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E40A30">
        <w:pPr>
          <w:pStyle w:val="Piedepgina"/>
          <w:jc w:val="center"/>
        </w:pPr>
        <w:r>
          <w:fldChar w:fldCharType="begin"/>
        </w:r>
        <w:r>
          <w:instrText>PAGE   \* MERGEFORMAT</w:instrText>
        </w:r>
        <w:r>
          <w:fldChar w:fldCharType="separate"/>
        </w:r>
        <w:r>
          <w:rPr>
            <w:noProof/>
          </w:rPr>
          <w:t>8</w:t>
        </w:r>
        <w:r>
          <w:fldChar w:fldCharType="end"/>
        </w:r>
      </w:p>
    </w:sdtContent>
  </w:sdt>
  <w:p w:rsidR="009525A3" w:rsidRDefault="00E40A3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0A30" w:rsidRDefault="00E40A30">
    <w:pPr>
      <w:pStyle w:val="Piedepgina"/>
    </w:pPr>
    <w:r w:rsidRPr="00DC1CEA">
      <w:rPr>
        <w:rFonts w:eastAsia="Calibri"/>
        <w:noProof/>
        <w:lang w:val="es-MX"/>
      </w:rPr>
      <mc:AlternateContent>
        <mc:Choice Requires="wps">
          <w:drawing>
            <wp:anchor distT="45720" distB="45720" distL="114300" distR="114300" simplePos="0" relativeHeight="251665408" behindDoc="1" locked="0" layoutInCell="1" allowOverlap="1" wp14:anchorId="3BA0C16D" wp14:editId="212958E1">
              <wp:simplePos x="0" y="0"/>
              <wp:positionH relativeFrom="leftMargin">
                <wp:posOffset>323900</wp:posOffset>
              </wp:positionH>
              <wp:positionV relativeFrom="paragraph">
                <wp:posOffset>-5513870</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E40A30" w:rsidRDefault="00E40A30" w:rsidP="00E40A30">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A0C16D" id="_x0000_t202" coordsize="21600,21600" o:spt="202" path="m,l,21600r21600,l21600,xe">
              <v:stroke joinstyle="miter"/>
              <v:path gradientshapeok="t" o:connecttype="rect"/>
            </v:shapetype>
            <v:shape id="Cuadro de texto 5" o:spid="_x0000_s1027" type="#_x0000_t202" style="position:absolute;margin-left:25.5pt;margin-top:-434.1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">
              <v:textbox>
                <w:txbxContent>
                  <w:p w:rsidR="00E40A30" w:rsidRDefault="00E40A30" w:rsidP="00E40A30">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0A30" w:rsidRDefault="00E40A30" w:rsidP="00E40A30">
      <w:r>
        <w:separator/>
      </w:r>
    </w:p>
  </w:footnote>
  <w:footnote w:type="continuationSeparator" w:id="0">
    <w:p w:rsidR="00E40A30" w:rsidRDefault="00E40A30" w:rsidP="00E40A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E40A30" w:rsidP="00A73AD7">
    <w:pPr>
      <w:pStyle w:val="Encabezado"/>
      <w:jc w:val="right"/>
      <w:rPr>
        <w:rFonts w:ascii="Arial" w:hAnsi="Arial" w:cs="Arial"/>
      </w:rPr>
    </w:pPr>
    <w:r w:rsidRPr="00DC1CEA">
      <w:rPr>
        <w:rFonts w:eastAsia="Calibri"/>
        <w:noProof/>
        <w:lang w:val="es-MX"/>
      </w:rPr>
      <mc:AlternateContent>
        <mc:Choice Requires="wps">
          <w:drawing>
            <wp:anchor distT="45720" distB="45720" distL="114300" distR="114300" simplePos="0" relativeHeight="251663360" behindDoc="1" locked="0" layoutInCell="1" allowOverlap="1" wp14:anchorId="6DB8C608" wp14:editId="649203F6">
              <wp:simplePos x="0" y="0"/>
              <wp:positionH relativeFrom="leftMargin">
                <wp:posOffset>205147</wp:posOffset>
              </wp:positionH>
              <wp:positionV relativeFrom="paragraph">
                <wp:posOffset>5187101</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E40A30" w:rsidRDefault="00E40A30" w:rsidP="00E40A30">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B8C608" id="_x0000_t202" coordsize="21600,21600" o:spt="202" path="m,l,21600r21600,l21600,xe">
              <v:stroke joinstyle="miter"/>
              <v:path gradientshapeok="t" o:connecttype="rect"/>
            </v:shapetype>
            <v:shape id="Cuadro de texto 4" o:spid="_x0000_s1026" type="#_x0000_t202" style="position:absolute;left:0;text-align:left;margin-left:16.15pt;margin-top:408.4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">
              <v:textbox>
                <w:txbxContent>
                  <w:p w:rsidR="00E40A30" w:rsidRDefault="00E40A30" w:rsidP="00E40A30">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07B15D09" wp14:editId="3A4AC663">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w:t>
    </w:r>
    <w:r>
      <w:rPr>
        <w:rFonts w:ascii="Arial" w:hAnsi="Arial" w:cs="Arial"/>
      </w:rPr>
      <w:t>0</w:t>
    </w:r>
    <w:r>
      <w:rPr>
        <w:rFonts w:ascii="Arial" w:hAnsi="Arial" w:cs="Arial"/>
      </w:rPr>
      <w:t>91</w:t>
    </w:r>
    <w:r w:rsidRPr="00A73AD7">
      <w:rPr>
        <w:rFonts w:ascii="Arial" w:hAnsi="Arial" w:cs="Arial"/>
      </w:rPr>
      <w:t>/20</w:t>
    </w:r>
    <w:r>
      <w:rPr>
        <w:rFonts w:ascii="Arial" w:hAnsi="Arial" w:cs="Arial"/>
      </w:rPr>
      <w:t>2</w:t>
    </w:r>
    <w:r>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E40A30">
    <w:pPr>
      <w:pStyle w:val="Encabezado"/>
    </w:pPr>
    <w:r>
      <w:rPr>
        <w:noProof/>
        <w:lang w:val="es-MX"/>
      </w:rPr>
      <w:drawing>
        <wp:anchor distT="0" distB="0" distL="114300" distR="114300" simplePos="0" relativeHeight="251661312" behindDoc="1" locked="0" layoutInCell="1" allowOverlap="1" wp14:anchorId="6C303461" wp14:editId="1056607B">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5CC0103F" wp14:editId="4F3C1841">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A30"/>
    <w:rsid w:val="00294EC6"/>
    <w:rsid w:val="004B1DB0"/>
    <w:rsid w:val="005223BF"/>
    <w:rsid w:val="00685BC3"/>
    <w:rsid w:val="00AC77AC"/>
    <w:rsid w:val="00E40A3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D7B09524-0723-42A8-ADE3-545E975AF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0A3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E40A30"/>
    <w:pPr>
      <w:spacing w:after="120"/>
    </w:pPr>
    <w:rPr>
      <w:lang w:val="x-none"/>
    </w:rPr>
  </w:style>
  <w:style w:type="character" w:customStyle="1" w:styleId="TextoindependienteCar">
    <w:name w:val="Texto independiente Car"/>
    <w:basedOn w:val="Fuentedeprrafopredeter"/>
    <w:link w:val="Textoindependiente"/>
    <w:uiPriority w:val="99"/>
    <w:rsid w:val="00E40A3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E40A30"/>
    <w:pPr>
      <w:autoSpaceDE w:val="0"/>
      <w:autoSpaceDN w:val="0"/>
    </w:pPr>
    <w:rPr>
      <w:lang w:eastAsia="es-ES"/>
    </w:rPr>
  </w:style>
  <w:style w:type="character" w:customStyle="1" w:styleId="TextonotapieCar">
    <w:name w:val="Texto nota pie Car"/>
    <w:basedOn w:val="Fuentedeprrafopredeter"/>
    <w:link w:val="Textonotapie"/>
    <w:uiPriority w:val="99"/>
    <w:rsid w:val="00E40A3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E40A3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E40A30"/>
    <w:rPr>
      <w:rFonts w:ascii="Arial" w:eastAsia="Times New Roman" w:hAnsi="Arial" w:cs="Times New Roman"/>
      <w:sz w:val="30"/>
      <w:szCs w:val="20"/>
      <w:lang w:val="es-ES_tradnl" w:eastAsia="es-ES"/>
    </w:rPr>
  </w:style>
  <w:style w:type="character" w:styleId="Hipervnculo">
    <w:name w:val="Hyperlink"/>
    <w:uiPriority w:val="99"/>
    <w:unhideWhenUsed/>
    <w:rsid w:val="00E40A30"/>
    <w:rPr>
      <w:color w:val="0000FF"/>
      <w:u w:val="single"/>
    </w:rPr>
  </w:style>
  <w:style w:type="paragraph" w:styleId="Prrafodelista">
    <w:name w:val="List Paragraph"/>
    <w:basedOn w:val="Normal"/>
    <w:uiPriority w:val="34"/>
    <w:qFormat/>
    <w:rsid w:val="00E40A30"/>
    <w:pPr>
      <w:ind w:left="720"/>
      <w:contextualSpacing/>
    </w:pPr>
  </w:style>
  <w:style w:type="paragraph" w:styleId="Encabezado">
    <w:name w:val="header"/>
    <w:basedOn w:val="Normal"/>
    <w:link w:val="EncabezadoCar"/>
    <w:uiPriority w:val="99"/>
    <w:unhideWhenUsed/>
    <w:rsid w:val="00E40A30"/>
    <w:pPr>
      <w:tabs>
        <w:tab w:val="center" w:pos="4419"/>
        <w:tab w:val="right" w:pos="8838"/>
      </w:tabs>
    </w:pPr>
  </w:style>
  <w:style w:type="character" w:customStyle="1" w:styleId="EncabezadoCar">
    <w:name w:val="Encabezado Car"/>
    <w:basedOn w:val="Fuentedeprrafopredeter"/>
    <w:link w:val="Encabezado"/>
    <w:uiPriority w:val="99"/>
    <w:rsid w:val="00E40A30"/>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E40A30"/>
    <w:pPr>
      <w:tabs>
        <w:tab w:val="center" w:pos="4419"/>
        <w:tab w:val="right" w:pos="8838"/>
      </w:tabs>
    </w:pPr>
  </w:style>
  <w:style w:type="character" w:customStyle="1" w:styleId="PiedepginaCar">
    <w:name w:val="Pie de página Car"/>
    <w:basedOn w:val="Fuentedeprrafopredeter"/>
    <w:link w:val="Piedepgina"/>
    <w:uiPriority w:val="99"/>
    <w:rsid w:val="00E40A30"/>
    <w:rPr>
      <w:rFonts w:ascii="Times New Roman" w:eastAsia="Times New Roman" w:hAnsi="Times New Roman" w:cs="Times New Roman"/>
      <w:sz w:val="20"/>
      <w:szCs w:val="20"/>
      <w:lang w:val="es-ES" w:eastAsia="es-MX"/>
    </w:rPr>
  </w:style>
  <w:style w:type="paragraph" w:styleId="NormalWeb">
    <w:name w:val="Normal (Web)"/>
    <w:basedOn w:val="Normal"/>
    <w:uiPriority w:val="99"/>
    <w:unhideWhenUsed/>
    <w:rsid w:val="00E40A30"/>
    <w:pPr>
      <w:spacing w:before="100" w:beforeAutospacing="1" w:after="100" w:afterAutospacing="1"/>
    </w:pPr>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javascript:void(0)" TargetMode="External"/><Relationship Id="rId12"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javascript:void(0)"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jf2.scjn.gob.mx/detalle/tesis/91774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4E9"/>
    <w:rsid w:val="001354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FAABED942C24938AFA589317C92B6BA">
    <w:name w:val="EFAABED942C24938AFA589317C92B6BA"/>
    <w:rsid w:val="001354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2697</Words>
  <Characters>14836</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2023-04-14T16:15:00Z</dcterms:created>
  <dcterms:modified xsi:type="dcterms:W3CDTF">2023-04-14T16:22:00Z</dcterms:modified>
</cp:coreProperties>
</file>