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963" w:rsidRPr="007B0581" w:rsidRDefault="00DA7963" w:rsidP="00DA796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A7963" w:rsidRPr="007B0581" w:rsidRDefault="00DA7963" w:rsidP="00DA7963">
      <w:pPr>
        <w:pStyle w:val="corte4fondo"/>
        <w:spacing w:line="276" w:lineRule="auto"/>
        <w:ind w:left="3544" w:right="-521" w:firstLine="0"/>
        <w:rPr>
          <w:rFonts w:cs="Arial"/>
          <w:b/>
          <w:sz w:val="24"/>
          <w:szCs w:val="24"/>
        </w:rPr>
      </w:pPr>
    </w:p>
    <w:p w:rsidR="00DA7963" w:rsidRPr="007B0581" w:rsidRDefault="00DA7963" w:rsidP="00DA796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091</w:t>
      </w:r>
      <w:r w:rsidRPr="007B0581">
        <w:rPr>
          <w:rFonts w:cs="Arial"/>
          <w:b/>
          <w:bCs/>
          <w:sz w:val="24"/>
          <w:szCs w:val="24"/>
        </w:rPr>
        <w:t>/202</w:t>
      </w:r>
      <w:r>
        <w:rPr>
          <w:rFonts w:cs="Arial"/>
          <w:b/>
          <w:bCs/>
          <w:sz w:val="24"/>
          <w:szCs w:val="24"/>
        </w:rPr>
        <w:t>2</w:t>
      </w:r>
      <w:r w:rsidRPr="007B0581">
        <w:rPr>
          <w:rFonts w:cs="Arial"/>
          <w:sz w:val="24"/>
          <w:szCs w:val="24"/>
        </w:rPr>
        <w:t xml:space="preserve">. </w:t>
      </w:r>
    </w:p>
    <w:p w:rsidR="00DA7963" w:rsidRPr="007B0581" w:rsidRDefault="00DA7963" w:rsidP="00DA7963">
      <w:pPr>
        <w:pStyle w:val="corte4fondo"/>
        <w:spacing w:line="276" w:lineRule="auto"/>
        <w:ind w:left="3544" w:right="-521" w:firstLine="0"/>
        <w:rPr>
          <w:rFonts w:cs="Arial"/>
          <w:sz w:val="24"/>
          <w:szCs w:val="24"/>
        </w:rPr>
      </w:pPr>
    </w:p>
    <w:p w:rsidR="00DA7963" w:rsidRPr="007B0581" w:rsidRDefault="00DA7963" w:rsidP="00DA7963">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w:t>
      </w:r>
      <w:r>
        <w:rPr>
          <w:rFonts w:cs="Arial"/>
          <w:b/>
          <w:sz w:val="24"/>
          <w:szCs w:val="24"/>
        </w:rPr>
        <w:t xml:space="preserve"> **********</w:t>
      </w:r>
      <w:r>
        <w:rPr>
          <w:rFonts w:cs="Arial"/>
          <w:b/>
          <w:sz w:val="24"/>
          <w:szCs w:val="24"/>
        </w:rPr>
        <w:t>.</w:t>
      </w:r>
    </w:p>
    <w:p w:rsidR="00DA7963" w:rsidRPr="007B0581" w:rsidRDefault="00DA7963" w:rsidP="00DA7963">
      <w:pPr>
        <w:pStyle w:val="corte4fondo"/>
        <w:spacing w:line="276" w:lineRule="auto"/>
        <w:ind w:left="3544" w:right="-521" w:firstLine="0"/>
        <w:rPr>
          <w:rFonts w:cs="Arial"/>
          <w:b/>
          <w:i/>
          <w:sz w:val="24"/>
          <w:szCs w:val="24"/>
        </w:rPr>
      </w:pPr>
      <w:r w:rsidRPr="007B0581">
        <w:rPr>
          <w:rFonts w:cs="Arial"/>
          <w:b/>
          <w:i/>
          <w:sz w:val="24"/>
          <w:szCs w:val="24"/>
        </w:rPr>
        <w:t xml:space="preserve"> </w:t>
      </w:r>
    </w:p>
    <w:p w:rsidR="00DA7963" w:rsidRPr="007B0581" w:rsidRDefault="00DA7963" w:rsidP="00DA7963">
      <w:pPr>
        <w:pStyle w:val="corte4fondo"/>
        <w:spacing w:line="276" w:lineRule="auto"/>
        <w:ind w:left="3544" w:right="51" w:firstLine="0"/>
        <w:rPr>
          <w:rFonts w:cs="Arial"/>
          <w:bCs/>
          <w:sz w:val="24"/>
          <w:szCs w:val="24"/>
        </w:rPr>
      </w:pPr>
      <w:r w:rsidRPr="007B0581">
        <w:rPr>
          <w:rFonts w:cs="Arial"/>
          <w:b/>
          <w:sz w:val="24"/>
          <w:szCs w:val="24"/>
        </w:rPr>
        <w:t>AUTORIDAD DEMANDADA: CONSEJO DIRECTIVO DE PENSIONES DEL ESTADO DE OAXACA</w:t>
      </w:r>
      <w:r w:rsidRPr="007B0581">
        <w:rPr>
          <w:rFonts w:cs="Arial"/>
          <w:bCs/>
          <w:sz w:val="24"/>
          <w:szCs w:val="24"/>
        </w:rPr>
        <w:t>.</w:t>
      </w:r>
      <w:r>
        <w:rPr>
          <w:rFonts w:cs="Arial"/>
          <w:bCs/>
          <w:sz w:val="24"/>
          <w:szCs w:val="24"/>
        </w:rPr>
        <w:t xml:space="preserve"> </w:t>
      </w:r>
    </w:p>
    <w:p w:rsidR="00DA7963" w:rsidRPr="007B0581" w:rsidRDefault="00DA7963" w:rsidP="00DA7963">
      <w:pPr>
        <w:pStyle w:val="corte4fondo"/>
        <w:spacing w:line="276" w:lineRule="auto"/>
        <w:ind w:left="3544" w:right="51" w:firstLine="0"/>
        <w:rPr>
          <w:rFonts w:cs="Arial"/>
          <w:bCs/>
          <w:sz w:val="24"/>
          <w:szCs w:val="24"/>
        </w:rPr>
      </w:pPr>
    </w:p>
    <w:p w:rsidR="00DA7963" w:rsidRPr="007B0581" w:rsidRDefault="00DA7963" w:rsidP="00DA7963">
      <w:pPr>
        <w:pStyle w:val="corte4fondo"/>
        <w:spacing w:line="276" w:lineRule="auto"/>
        <w:ind w:left="3544" w:right="51" w:firstLine="0"/>
        <w:rPr>
          <w:rFonts w:cs="Arial"/>
          <w:bCs/>
          <w:sz w:val="24"/>
          <w:szCs w:val="24"/>
        </w:rPr>
      </w:pPr>
    </w:p>
    <w:p w:rsidR="00DA7963" w:rsidRDefault="00DA7963" w:rsidP="00DA7963">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VEINTE DE FEBRERO DE DOS MIL VEINTITRÉS</w:t>
      </w:r>
      <w:r w:rsidRPr="007B0581">
        <w:rPr>
          <w:rFonts w:ascii="Arial" w:hAnsi="Arial" w:cs="Arial"/>
          <w:b/>
          <w:sz w:val="24"/>
          <w:szCs w:val="24"/>
        </w:rPr>
        <w:t xml:space="preserve">. </w:t>
      </w:r>
    </w:p>
    <w:p w:rsidR="00DA7963" w:rsidRDefault="00DA7963" w:rsidP="00DA7963">
      <w:pPr>
        <w:spacing w:line="360" w:lineRule="auto"/>
        <w:jc w:val="both"/>
        <w:rPr>
          <w:rFonts w:ascii="Arial" w:hAnsi="Arial" w:cs="Arial"/>
          <w:b/>
          <w:sz w:val="24"/>
          <w:szCs w:val="24"/>
        </w:rPr>
      </w:pPr>
      <w:r w:rsidRPr="007B0581">
        <w:rPr>
          <w:rFonts w:ascii="Arial" w:hAnsi="Arial" w:cs="Arial"/>
          <w:b/>
          <w:sz w:val="24"/>
          <w:szCs w:val="24"/>
        </w:rPr>
        <w:t xml:space="preserve"> </w:t>
      </w:r>
    </w:p>
    <w:p w:rsidR="00DA7963" w:rsidRPr="007B0581" w:rsidRDefault="00DA7963" w:rsidP="00DA7963">
      <w:pPr>
        <w:contextualSpacing/>
        <w:jc w:val="both"/>
        <w:rPr>
          <w:rFonts w:ascii="Arial" w:hAnsi="Arial" w:cs="Arial"/>
          <w:b/>
          <w:sz w:val="24"/>
          <w:szCs w:val="24"/>
        </w:rPr>
      </w:pPr>
    </w:p>
    <w:p w:rsidR="00DA7963" w:rsidRPr="007B0581" w:rsidRDefault="00DA7963" w:rsidP="00DA796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número 0</w:t>
      </w:r>
      <w:r>
        <w:rPr>
          <w:rFonts w:ascii="Arial" w:hAnsi="Arial" w:cs="Arial"/>
          <w:sz w:val="24"/>
          <w:szCs w:val="24"/>
        </w:rPr>
        <w:t>091</w:t>
      </w:r>
      <w:r w:rsidRPr="007B0581">
        <w:rPr>
          <w:rFonts w:ascii="Arial" w:hAnsi="Arial" w:cs="Arial"/>
          <w:sz w:val="24"/>
          <w:szCs w:val="24"/>
        </w:rPr>
        <w:t>/202</w:t>
      </w:r>
      <w:r>
        <w:rPr>
          <w:rFonts w:ascii="Arial" w:hAnsi="Arial" w:cs="Arial"/>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0"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0"/>
      <w:r w:rsidRPr="007B0581">
        <w:rPr>
          <w:rFonts w:ascii="Arial" w:hAnsi="Arial" w:cs="Arial"/>
          <w:sz w:val="24"/>
          <w:szCs w:val="24"/>
        </w:rPr>
        <w:t>y;</w:t>
      </w:r>
      <w:r w:rsidRPr="007B0581">
        <w:rPr>
          <w:rFonts w:ascii="Arial" w:hAnsi="Arial" w:cs="Arial"/>
          <w:b/>
          <w:bCs/>
          <w:sz w:val="24"/>
          <w:szCs w:val="24"/>
        </w:rPr>
        <w:t xml:space="preserve"> </w:t>
      </w:r>
    </w:p>
    <w:bookmarkEnd w:id="1"/>
    <w:p w:rsidR="00DA7963" w:rsidRDefault="00DA7963" w:rsidP="00DA7963">
      <w:pPr>
        <w:contextualSpacing/>
        <w:jc w:val="both"/>
        <w:rPr>
          <w:rFonts w:ascii="Arial" w:hAnsi="Arial" w:cs="Arial"/>
          <w:sz w:val="24"/>
          <w:szCs w:val="24"/>
        </w:rPr>
      </w:pPr>
    </w:p>
    <w:p w:rsidR="00DA7963" w:rsidRDefault="00DA7963" w:rsidP="00DA796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A7963" w:rsidRPr="007B0581" w:rsidRDefault="00DA7963" w:rsidP="00DA7963">
      <w:pPr>
        <w:contextualSpacing/>
        <w:jc w:val="both"/>
        <w:rPr>
          <w:rFonts w:ascii="Arial" w:hAnsi="Arial" w:cs="Arial"/>
          <w:b/>
          <w:spacing w:val="-3"/>
          <w:sz w:val="24"/>
          <w:szCs w:val="24"/>
          <w:lang w:val="es-ES_tradnl"/>
        </w:rPr>
      </w:pPr>
    </w:p>
    <w:p w:rsidR="00DA7963" w:rsidRPr="007B0581" w:rsidRDefault="00DA7963" w:rsidP="00DA796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veintiocho de septiembre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2"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2"/>
    <w:p w:rsidR="00DA7963" w:rsidRPr="007B0581" w:rsidRDefault="00DA7963" w:rsidP="00DA7963">
      <w:pPr>
        <w:contextualSpacing/>
        <w:jc w:val="both"/>
        <w:rPr>
          <w:rFonts w:ascii="Arial" w:hAnsi="Arial" w:cs="Arial"/>
          <w:sz w:val="24"/>
          <w:szCs w:val="24"/>
        </w:rPr>
      </w:pPr>
    </w:p>
    <w:p w:rsidR="00DA7963" w:rsidRPr="007B0581" w:rsidRDefault="00DA7963" w:rsidP="00DA7963">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veintinueve de septiembre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DA7963" w:rsidRPr="007B0581" w:rsidRDefault="00DA7963" w:rsidP="00DA7963">
      <w:pPr>
        <w:pStyle w:val="corte4fondo"/>
        <w:spacing w:line="240" w:lineRule="auto"/>
        <w:ind w:right="51" w:firstLine="567"/>
        <w:contextualSpacing/>
        <w:rPr>
          <w:rFonts w:cs="Arial"/>
          <w:bCs/>
          <w:sz w:val="24"/>
          <w:szCs w:val="24"/>
        </w:rPr>
      </w:pPr>
      <w:r w:rsidRPr="007B0581">
        <w:rPr>
          <w:rFonts w:cs="Arial"/>
          <w:bCs/>
          <w:sz w:val="24"/>
          <w:szCs w:val="24"/>
        </w:rPr>
        <w:tab/>
      </w:r>
    </w:p>
    <w:p w:rsidR="00DA7963" w:rsidRDefault="00DA7963" w:rsidP="00DA7963">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Por acuerdo de </w:t>
      </w:r>
      <w:r>
        <w:rPr>
          <w:rFonts w:cs="Arial"/>
          <w:bCs/>
          <w:sz w:val="24"/>
          <w:szCs w:val="24"/>
        </w:rPr>
        <w:t>dieciocho de noviembre de dos mil veintidós</w:t>
      </w:r>
      <w:r w:rsidRPr="007B0581">
        <w:rPr>
          <w:rFonts w:cs="Arial"/>
          <w:bCs/>
          <w:sz w:val="24"/>
          <w:szCs w:val="24"/>
        </w:rPr>
        <w:t>, se tuvo a</w:t>
      </w:r>
      <w:r w:rsidRPr="007B0581">
        <w:rPr>
          <w:rFonts w:cs="Arial"/>
          <w:sz w:val="24"/>
          <w:szCs w:val="24"/>
        </w:rPr>
        <w:t>l</w:t>
      </w:r>
      <w:r>
        <w:rPr>
          <w:rFonts w:cs="Arial"/>
          <w:sz w:val="24"/>
          <w:szCs w:val="24"/>
        </w:rPr>
        <w:t xml:space="preserve"> Apoderado</w:t>
      </w:r>
      <w:r w:rsidRPr="007B0581">
        <w:rPr>
          <w:rFonts w:cs="Arial"/>
          <w:sz w:val="24"/>
          <w:szCs w:val="24"/>
        </w:rPr>
        <w:t xml:space="preserve"> </w:t>
      </w:r>
      <w:r>
        <w:rPr>
          <w:rFonts w:cs="Arial"/>
          <w:sz w:val="24"/>
          <w:szCs w:val="24"/>
        </w:rPr>
        <w:t>L</w:t>
      </w:r>
      <w:r w:rsidRPr="007B0581">
        <w:rPr>
          <w:rFonts w:cs="Arial"/>
          <w:sz w:val="24"/>
          <w:szCs w:val="24"/>
        </w:rPr>
        <w:t>egal del Consejo Directivo de la Oficina de Pensiones del Estado de Oaxaca</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 xml:space="preserve">, asimismo, se le tuvo objetando las pruebas ofrecidas por la administrada, </w:t>
      </w:r>
      <w:r w:rsidRPr="007B0581">
        <w:rPr>
          <w:rFonts w:cs="Arial"/>
          <w:sz w:val="24"/>
          <w:szCs w:val="24"/>
        </w:rPr>
        <w:t>ordenándose correr traslado a la parte actora para</w:t>
      </w:r>
      <w:r>
        <w:rPr>
          <w:rFonts w:cs="Arial"/>
          <w:sz w:val="24"/>
          <w:szCs w:val="24"/>
        </w:rPr>
        <w:t xml:space="preserve"> los efectos legales correspondientes. </w:t>
      </w:r>
    </w:p>
    <w:p w:rsidR="00DA7963" w:rsidRDefault="00DA7963" w:rsidP="00DA7963">
      <w:pPr>
        <w:pStyle w:val="corte4fondo"/>
        <w:ind w:right="51" w:firstLine="567"/>
        <w:rPr>
          <w:rFonts w:cs="Arial"/>
          <w:sz w:val="24"/>
          <w:szCs w:val="24"/>
        </w:rPr>
      </w:pPr>
      <w:r w:rsidRPr="00A74086">
        <w:rPr>
          <w:rFonts w:cs="Arial"/>
          <w:b/>
          <w:bCs/>
          <w:sz w:val="24"/>
          <w:szCs w:val="24"/>
        </w:rPr>
        <w:lastRenderedPageBreak/>
        <w:t>CUARTO</w:t>
      </w:r>
      <w:r w:rsidRPr="00142CF4">
        <w:rPr>
          <w:rFonts w:cs="Arial"/>
          <w:b/>
          <w:bCs/>
          <w:sz w:val="24"/>
          <w:szCs w:val="24"/>
        </w:rPr>
        <w:t xml:space="preserve">. </w:t>
      </w:r>
      <w:r>
        <w:rPr>
          <w:rFonts w:cs="Arial"/>
          <w:b/>
          <w:bCs/>
          <w:sz w:val="24"/>
          <w:szCs w:val="24"/>
        </w:rPr>
        <w:t>-</w:t>
      </w:r>
      <w:r>
        <w:rPr>
          <w:rFonts w:cs="Arial"/>
          <w:sz w:val="24"/>
          <w:szCs w:val="24"/>
        </w:rPr>
        <w:t xml:space="preserve"> Por acuerdo de cinco de enero de dos mil veintitrés, se señalaron las ONCE HORAS del día TREINTA Y UNO DE ENERO DE DOS MIL VEINTITRÉS, para la celebración de la audiencia final.</w:t>
      </w:r>
    </w:p>
    <w:p w:rsidR="00DA7963" w:rsidRDefault="00DA7963" w:rsidP="00DA7963">
      <w:pPr>
        <w:pStyle w:val="corte4fondo"/>
        <w:ind w:right="51" w:firstLine="567"/>
        <w:rPr>
          <w:rFonts w:cs="Arial"/>
          <w:sz w:val="24"/>
          <w:szCs w:val="24"/>
        </w:rPr>
      </w:pPr>
    </w:p>
    <w:p w:rsidR="00DA7963" w:rsidRPr="007B0581" w:rsidRDefault="00DA7963" w:rsidP="00DA7963">
      <w:pPr>
        <w:pStyle w:val="corte4fondo"/>
        <w:ind w:right="51" w:firstLine="567"/>
        <w:rPr>
          <w:rFonts w:cs="Arial"/>
          <w:b/>
          <w:bCs/>
          <w:sz w:val="24"/>
          <w:szCs w:val="24"/>
        </w:rPr>
      </w:pPr>
      <w:r w:rsidRPr="006F4606">
        <w:rPr>
          <w:rFonts w:cs="Arial"/>
          <w:b/>
          <w:sz w:val="24"/>
          <w:szCs w:val="24"/>
          <w:lang w:val="es-ES"/>
        </w:rPr>
        <w:t>QUINTO. -</w:t>
      </w:r>
      <w:r>
        <w:rPr>
          <w:rFonts w:cs="Arial"/>
          <w:sz w:val="24"/>
          <w:szCs w:val="24"/>
          <w:lang w:val="es-ES"/>
        </w:rPr>
        <w:t xml:space="preserve"> </w:t>
      </w:r>
      <w:r w:rsidRPr="007B0581">
        <w:rPr>
          <w:rFonts w:cs="Arial"/>
          <w:sz w:val="24"/>
          <w:szCs w:val="24"/>
          <w:lang w:val="es-ES"/>
        </w:rPr>
        <w:t xml:space="preserve">El </w:t>
      </w:r>
      <w:r>
        <w:rPr>
          <w:rFonts w:cs="Arial"/>
          <w:sz w:val="24"/>
          <w:szCs w:val="24"/>
          <w:lang w:val="es-ES"/>
        </w:rPr>
        <w:t>treinta y uno de enero de dos mil veintitrés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las partes no formularon alegatos</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DA7963" w:rsidRDefault="00DA7963" w:rsidP="00DA7963">
      <w:pPr>
        <w:pStyle w:val="corte4fondo"/>
        <w:ind w:right="51" w:firstLine="567"/>
        <w:rPr>
          <w:rFonts w:cs="Arial"/>
          <w:b/>
          <w:spacing w:val="-3"/>
          <w:sz w:val="24"/>
          <w:szCs w:val="24"/>
        </w:rPr>
      </w:pPr>
    </w:p>
    <w:p w:rsidR="00DA7963" w:rsidRDefault="00DA7963" w:rsidP="00DA796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A7963" w:rsidRPr="007B0581" w:rsidRDefault="00DA7963" w:rsidP="00DA7963">
      <w:pPr>
        <w:pStyle w:val="corte4fondo"/>
        <w:spacing w:line="240" w:lineRule="auto"/>
        <w:ind w:right="51" w:firstLine="567"/>
        <w:contextualSpacing/>
        <w:rPr>
          <w:rFonts w:cs="Arial"/>
          <w:bCs/>
          <w:sz w:val="24"/>
          <w:szCs w:val="24"/>
        </w:rPr>
      </w:pPr>
    </w:p>
    <w:p w:rsidR="00DA7963" w:rsidRPr="007B0581" w:rsidRDefault="00DA7963" w:rsidP="00DA796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w:t>
      </w:r>
      <w:r>
        <w:rPr>
          <w:rFonts w:ascii="Arial" w:hAnsi="Arial" w:cs="Arial"/>
          <w:sz w:val="24"/>
          <w:szCs w:val="24"/>
        </w:rPr>
        <w:t>en términos</w:t>
      </w:r>
      <w:r w:rsidRPr="007B0581">
        <w:rPr>
          <w:rFonts w:ascii="Arial" w:hAnsi="Arial" w:cs="Arial"/>
          <w:sz w:val="24"/>
          <w:szCs w:val="24"/>
        </w:rPr>
        <w:t xml:space="preserve"> </w:t>
      </w:r>
      <w:r>
        <w:rPr>
          <w:rFonts w:ascii="Arial" w:hAnsi="Arial" w:cs="Arial"/>
          <w:sz w:val="24"/>
          <w:szCs w:val="24"/>
        </w:rPr>
        <w:t>de los</w:t>
      </w:r>
      <w:r w:rsidRPr="007B0581">
        <w:rPr>
          <w:rFonts w:ascii="Arial" w:hAnsi="Arial" w:cs="Arial"/>
          <w:sz w:val="24"/>
          <w:szCs w:val="24"/>
        </w:rPr>
        <w:t xml:space="preserve"> artículo</w:t>
      </w:r>
      <w:r>
        <w:rPr>
          <w:rFonts w:ascii="Arial" w:hAnsi="Arial" w:cs="Arial"/>
          <w:sz w:val="24"/>
          <w:szCs w:val="24"/>
        </w:rPr>
        <w:t>s</w:t>
      </w:r>
      <w:r w:rsidRPr="007B0581">
        <w:rPr>
          <w:rFonts w:ascii="Arial" w:hAnsi="Arial" w:cs="Arial"/>
          <w:sz w:val="24"/>
          <w:szCs w:val="24"/>
        </w:rPr>
        <w:t xml:space="preserve"> 114 QUATER, párrafo primero, inciso B, </w:t>
      </w:r>
      <w:r w:rsidRPr="00632A2C">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w:t>
      </w:r>
      <w:r w:rsidRPr="00632A2C">
        <w:rPr>
          <w:rFonts w:ascii="Arial" w:hAnsi="Arial" w:cs="Arial"/>
          <w:sz w:val="24"/>
          <w:szCs w:val="24"/>
        </w:rPr>
        <w:t>fracciones I y II, 133</w:t>
      </w:r>
      <w:r w:rsidRPr="007B0581">
        <w:rPr>
          <w:rFonts w:ascii="Arial" w:hAnsi="Arial" w:cs="Arial"/>
          <w:sz w:val="24"/>
          <w:szCs w:val="24"/>
        </w:rPr>
        <w:t xml:space="preserve">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DA7963" w:rsidRPr="007B0581" w:rsidRDefault="00DA7963" w:rsidP="00DA7963">
      <w:pPr>
        <w:spacing w:line="360" w:lineRule="auto"/>
        <w:jc w:val="both"/>
        <w:rPr>
          <w:rFonts w:ascii="Arial" w:hAnsi="Arial" w:cs="Arial"/>
          <w:sz w:val="24"/>
          <w:szCs w:val="24"/>
        </w:rPr>
      </w:pPr>
      <w:r w:rsidRPr="007B0581">
        <w:rPr>
          <w:rFonts w:ascii="Arial" w:hAnsi="Arial" w:cs="Arial"/>
          <w:sz w:val="24"/>
          <w:szCs w:val="24"/>
        </w:rPr>
        <w:t xml:space="preserve"> </w:t>
      </w:r>
    </w:p>
    <w:p w:rsidR="00DA7963" w:rsidRPr="007B0581" w:rsidRDefault="00DA7963" w:rsidP="00DA7963">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w:t>
      </w:r>
      <w:r>
        <w:rPr>
          <w:rFonts w:ascii="Arial" w:hAnsi="Arial" w:cs="Arial"/>
          <w:sz w:val="24"/>
          <w:szCs w:val="24"/>
        </w:rPr>
        <w:t>y la de la</w:t>
      </w:r>
      <w:r w:rsidRPr="00455261">
        <w:rPr>
          <w:rFonts w:ascii="Arial" w:hAnsi="Arial" w:cs="Arial"/>
          <w:sz w:val="24"/>
          <w:szCs w:val="24"/>
        </w:rPr>
        <w:t xml:space="preserve"> autoridad demandada,</w:t>
      </w:r>
      <w:r>
        <w:rPr>
          <w:rFonts w:ascii="Arial" w:hAnsi="Arial" w:cs="Arial"/>
          <w:sz w:val="24"/>
          <w:szCs w:val="24"/>
        </w:rPr>
        <w:t xml:space="preserve"> en términos del Instrumento Notarial 2437, volumen 58, pasado ante la fe del Notario Público número noventa en el Estado, y de conformidad con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DA7963" w:rsidRPr="007B0581" w:rsidRDefault="00DA7963" w:rsidP="00DA7963">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DA7963" w:rsidRDefault="00DA7963" w:rsidP="00DA7963">
      <w:pPr>
        <w:pStyle w:val="corte4fondo"/>
        <w:ind w:right="51" w:firstLine="567"/>
        <w:rPr>
          <w:rFonts w:cs="Arial"/>
          <w:sz w:val="24"/>
          <w:szCs w:val="24"/>
        </w:rPr>
      </w:pPr>
      <w:r w:rsidRPr="007B0581">
        <w:rPr>
          <w:rFonts w:cs="Arial"/>
          <w:sz w:val="24"/>
          <w:szCs w:val="24"/>
        </w:rPr>
        <w:tab/>
      </w:r>
      <w:r w:rsidRPr="00EC1239">
        <w:rPr>
          <w:rFonts w:cs="Arial"/>
          <w:b/>
          <w:sz w:val="24"/>
          <w:szCs w:val="24"/>
        </w:rPr>
        <w:t>TERCERO</w:t>
      </w:r>
      <w:r w:rsidRPr="004F68B9">
        <w:rPr>
          <w:rFonts w:cs="Arial"/>
          <w:b/>
          <w:sz w:val="24"/>
          <w:szCs w:val="24"/>
        </w:rPr>
        <w:t>. -</w:t>
      </w:r>
      <w:r w:rsidRPr="007B0581">
        <w:rPr>
          <w:rFonts w:cs="Arial"/>
          <w:sz w:val="24"/>
          <w:szCs w:val="24"/>
        </w:rPr>
        <w:t xml:space="preserve"> </w:t>
      </w:r>
      <w:r>
        <w:rPr>
          <w:rFonts w:cs="Arial"/>
          <w:sz w:val="24"/>
          <w:szCs w:val="24"/>
        </w:rPr>
        <w:t>Previo al estudio de fondo del asunto, esta Sala procede a analizar la causal de improcedencia vertida por la autoridad demandada consistente en las fracciones IX, del artículo 161 y V y VI del numeral 162 de la Ley de Procedimiento y Justicia Administrativa para el Estado de Oaxaca, que establecen lo siguiente:</w:t>
      </w:r>
    </w:p>
    <w:p w:rsidR="00DA7963" w:rsidRDefault="00DA7963" w:rsidP="00DA7963">
      <w:pPr>
        <w:pStyle w:val="corte4fondo"/>
        <w:ind w:right="51" w:firstLine="567"/>
        <w:rPr>
          <w:rFonts w:cs="Arial"/>
          <w:sz w:val="24"/>
          <w:szCs w:val="24"/>
        </w:rPr>
      </w:pPr>
    </w:p>
    <w:p w:rsidR="00DA7963" w:rsidRDefault="00DA7963" w:rsidP="00DA7963">
      <w:pPr>
        <w:pStyle w:val="corte4fondo"/>
        <w:ind w:right="51" w:firstLine="567"/>
        <w:rPr>
          <w:rFonts w:cs="Arial"/>
          <w:sz w:val="24"/>
          <w:szCs w:val="24"/>
        </w:rPr>
      </w:pPr>
      <w:r w:rsidRPr="00994F3C">
        <w:rPr>
          <w:rFonts w:cs="Arial"/>
          <w:sz w:val="24"/>
          <w:szCs w:val="24"/>
        </w:rPr>
        <w:t>ARTÍCULO 161.- Es improcedente el juicio ante el Tribunal contra actos:</w:t>
      </w:r>
    </w:p>
    <w:p w:rsidR="00DA7963" w:rsidRDefault="00DA7963" w:rsidP="00DA7963">
      <w:pPr>
        <w:pStyle w:val="corte4fondo"/>
        <w:ind w:right="51" w:firstLine="567"/>
        <w:rPr>
          <w:rFonts w:cs="Arial"/>
          <w:sz w:val="24"/>
          <w:szCs w:val="24"/>
        </w:rPr>
      </w:pPr>
      <w:r w:rsidRPr="00994F3C">
        <w:rPr>
          <w:rFonts w:cs="Arial"/>
          <w:sz w:val="24"/>
          <w:szCs w:val="24"/>
        </w:rPr>
        <w:t>IX. Cuando de las constancias de autos apareciere claramente que no existe el acto</w:t>
      </w:r>
      <w:r>
        <w:rPr>
          <w:rFonts w:cs="Arial"/>
          <w:sz w:val="24"/>
          <w:szCs w:val="24"/>
        </w:rPr>
        <w:t xml:space="preserve"> </w:t>
      </w:r>
      <w:r w:rsidRPr="00994F3C">
        <w:rPr>
          <w:rFonts w:cs="Arial"/>
          <w:sz w:val="24"/>
          <w:szCs w:val="24"/>
        </w:rPr>
        <w:t>reclamado o cuando no se probare su existencia; y</w:t>
      </w:r>
    </w:p>
    <w:p w:rsidR="00DA7963" w:rsidRDefault="00DA7963" w:rsidP="00DA7963">
      <w:pPr>
        <w:pStyle w:val="corte4fondo"/>
        <w:ind w:right="51" w:firstLine="567"/>
        <w:rPr>
          <w:rFonts w:cs="Arial"/>
          <w:sz w:val="24"/>
          <w:szCs w:val="24"/>
        </w:rPr>
      </w:pPr>
    </w:p>
    <w:p w:rsidR="00DA7963" w:rsidRDefault="00DA7963" w:rsidP="00DA7963">
      <w:pPr>
        <w:pStyle w:val="corte4fondo"/>
        <w:ind w:right="51" w:firstLine="567"/>
        <w:rPr>
          <w:rFonts w:cs="Arial"/>
          <w:sz w:val="24"/>
          <w:szCs w:val="24"/>
        </w:rPr>
      </w:pPr>
      <w:r w:rsidRPr="00994F3C">
        <w:rPr>
          <w:rFonts w:cs="Arial"/>
          <w:sz w:val="24"/>
          <w:szCs w:val="24"/>
        </w:rPr>
        <w:t>ARTÍCULO 162.- Procede el sobreseimiento del juicio:</w:t>
      </w:r>
    </w:p>
    <w:p w:rsidR="00DA7963" w:rsidRDefault="00DA7963" w:rsidP="00DA7963">
      <w:pPr>
        <w:pStyle w:val="corte4fondo"/>
        <w:ind w:right="51" w:firstLine="567"/>
        <w:rPr>
          <w:rFonts w:cs="Arial"/>
          <w:sz w:val="24"/>
          <w:szCs w:val="24"/>
        </w:rPr>
      </w:pPr>
    </w:p>
    <w:p w:rsidR="00DA7963" w:rsidRPr="00994F3C" w:rsidRDefault="00DA7963" w:rsidP="00DA7963">
      <w:pPr>
        <w:pStyle w:val="corte4fondo"/>
        <w:ind w:right="51" w:firstLine="567"/>
        <w:rPr>
          <w:rFonts w:cs="Arial"/>
          <w:sz w:val="24"/>
          <w:szCs w:val="24"/>
        </w:rPr>
      </w:pPr>
      <w:r w:rsidRPr="00994F3C">
        <w:rPr>
          <w:rFonts w:cs="Arial"/>
          <w:sz w:val="24"/>
          <w:szCs w:val="24"/>
        </w:rPr>
        <w:t>V. Cuando de las constancias de autos apareciere claramente que no existe el acto o</w:t>
      </w:r>
      <w:r>
        <w:rPr>
          <w:rFonts w:cs="Arial"/>
          <w:sz w:val="24"/>
          <w:szCs w:val="24"/>
        </w:rPr>
        <w:t xml:space="preserve"> </w:t>
      </w:r>
      <w:r w:rsidRPr="00994F3C">
        <w:rPr>
          <w:rFonts w:cs="Arial"/>
          <w:sz w:val="24"/>
          <w:szCs w:val="24"/>
        </w:rPr>
        <w:t>resolución impugnada;</w:t>
      </w:r>
    </w:p>
    <w:p w:rsidR="00DA7963" w:rsidRPr="00994F3C" w:rsidRDefault="00DA7963" w:rsidP="00DA7963">
      <w:pPr>
        <w:pStyle w:val="corte4fondo"/>
        <w:ind w:right="51" w:firstLine="567"/>
        <w:rPr>
          <w:rFonts w:cs="Arial"/>
          <w:sz w:val="24"/>
          <w:szCs w:val="24"/>
        </w:rPr>
      </w:pPr>
      <w:r w:rsidRPr="00994F3C">
        <w:rPr>
          <w:rFonts w:cs="Arial"/>
          <w:sz w:val="24"/>
          <w:szCs w:val="24"/>
        </w:rPr>
        <w:lastRenderedPageBreak/>
        <w:t>VI. En los demás casos en los que por disposición legal exista impedimento para emitir</w:t>
      </w:r>
      <w:r>
        <w:rPr>
          <w:rFonts w:cs="Arial"/>
          <w:sz w:val="24"/>
          <w:szCs w:val="24"/>
        </w:rPr>
        <w:t xml:space="preserve"> </w:t>
      </w:r>
      <w:r w:rsidRPr="00994F3C">
        <w:rPr>
          <w:rFonts w:cs="Arial"/>
          <w:sz w:val="24"/>
          <w:szCs w:val="24"/>
        </w:rPr>
        <w:t>resoluciones en cuanto al fondo; y</w:t>
      </w:r>
    </w:p>
    <w:p w:rsidR="00DA7963" w:rsidRPr="00994F3C" w:rsidRDefault="00DA7963" w:rsidP="00DA7963">
      <w:pPr>
        <w:pStyle w:val="corte4fondo"/>
        <w:ind w:right="51" w:firstLine="567"/>
        <w:rPr>
          <w:rFonts w:cs="Arial"/>
          <w:sz w:val="24"/>
          <w:szCs w:val="24"/>
        </w:rPr>
      </w:pPr>
    </w:p>
    <w:p w:rsidR="00DA7963" w:rsidRPr="007B0581" w:rsidRDefault="00DA7963" w:rsidP="00DA7963">
      <w:pPr>
        <w:pStyle w:val="corte4fondo"/>
        <w:ind w:right="51" w:firstLine="567"/>
        <w:rPr>
          <w:rFonts w:cs="Arial"/>
          <w:sz w:val="24"/>
          <w:szCs w:val="24"/>
        </w:rPr>
      </w:pPr>
      <w:r>
        <w:rPr>
          <w:rFonts w:cs="Arial"/>
          <w:sz w:val="24"/>
          <w:szCs w:val="24"/>
        </w:rPr>
        <w:t xml:space="preserve">En atención a lo anterior, se advierte que a foja 15 de los presentes autos obra agregado copia certificada del oficio </w:t>
      </w:r>
      <w:r>
        <w:rPr>
          <w:rFonts w:cs="Arial"/>
          <w:b/>
          <w:sz w:val="24"/>
          <w:szCs w:val="24"/>
        </w:rPr>
        <w:t>**********</w:t>
      </w:r>
      <w:r>
        <w:rPr>
          <w:rFonts w:cs="Arial"/>
          <w:sz w:val="24"/>
          <w:szCs w:val="24"/>
        </w:rPr>
        <w:t xml:space="preserve">, de veinte de junio de dos mil veintidós, signado por el Director General de la Oficina de Pensiones del Estado de Oaxaca, que contiene el dictamen de pensión por jubilación de la </w:t>
      </w:r>
      <w:r w:rsidRPr="00254D6D">
        <w:rPr>
          <w:rFonts w:cs="Arial"/>
          <w:sz w:val="24"/>
          <w:szCs w:val="24"/>
        </w:rPr>
        <w:t>aquí actora</w:t>
      </w:r>
      <w:r>
        <w:rPr>
          <w:rFonts w:cs="Arial"/>
          <w:sz w:val="24"/>
          <w:szCs w:val="24"/>
        </w:rPr>
        <w:t xml:space="preserve"> aprobado por el Consejo Directivo de Pensiones del Estado de Oaxaca, resolución en contra de la cual el administrado promovió juicio de nulidad por causarle agravio, en virtud que no se le integraron las prestaciones que establece la fracción I, del artículo 54 de la Ley de Pensiones para los Trabajadores del Gobierno del Estado de Oaxaca, manifestación que será motivo de estudio por esta Sala por formar parte de la </w:t>
      </w:r>
      <w:proofErr w:type="spellStart"/>
      <w:r>
        <w:rPr>
          <w:rFonts w:cs="Arial"/>
          <w:sz w:val="24"/>
          <w:szCs w:val="24"/>
        </w:rPr>
        <w:t>litis</w:t>
      </w:r>
      <w:proofErr w:type="spellEnd"/>
      <w:r>
        <w:rPr>
          <w:rFonts w:cs="Arial"/>
          <w:sz w:val="24"/>
          <w:szCs w:val="24"/>
        </w:rPr>
        <w:t xml:space="preserve"> en el presente asunto. Por lo tanto, si existe y obra agregado el acto reclamado por la administrada, por lo que, no existe impedimento legal para emitir resolución en cuanto al fondo, al no configurarse causal alguna de improcedencia. En consecuencia, </w:t>
      </w:r>
      <w:r>
        <w:rPr>
          <w:rFonts w:cs="Arial"/>
          <w:b/>
          <w:bCs/>
          <w:sz w:val="24"/>
          <w:szCs w:val="24"/>
        </w:rPr>
        <w:t xml:space="preserve">NO SE SOBRESEE </w:t>
      </w:r>
      <w:r>
        <w:rPr>
          <w:rFonts w:cs="Arial"/>
          <w:sz w:val="24"/>
          <w:szCs w:val="24"/>
        </w:rPr>
        <w:t>el presente juicio.</w:t>
      </w:r>
    </w:p>
    <w:p w:rsidR="00DA7963" w:rsidRPr="007B0581" w:rsidRDefault="00DA7963" w:rsidP="00DA7963">
      <w:pPr>
        <w:pStyle w:val="corte4fondo"/>
        <w:ind w:right="51" w:firstLine="567"/>
        <w:rPr>
          <w:rFonts w:cs="Arial"/>
          <w:sz w:val="24"/>
          <w:szCs w:val="24"/>
        </w:rPr>
      </w:pPr>
    </w:p>
    <w:p w:rsidR="00DA7963" w:rsidRPr="007B0581" w:rsidRDefault="00DA7963" w:rsidP="00DA7963">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A7963" w:rsidRPr="007B0581" w:rsidRDefault="00DA7963" w:rsidP="00DA7963">
      <w:pPr>
        <w:spacing w:line="360" w:lineRule="auto"/>
        <w:jc w:val="both"/>
        <w:rPr>
          <w:rFonts w:ascii="Arial" w:hAnsi="Arial" w:cs="Arial"/>
          <w:sz w:val="24"/>
          <w:szCs w:val="24"/>
        </w:rPr>
      </w:pPr>
    </w:p>
    <w:p w:rsidR="00DA7963" w:rsidRDefault="00DA7963" w:rsidP="00DA7963">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r>
        <w:rPr>
          <w:rFonts w:ascii="Arial" w:hAnsi="Arial" w:cs="Arial"/>
          <w:sz w:val="24"/>
          <w:szCs w:val="24"/>
          <w:lang w:eastAsia="es-MX"/>
        </w:rPr>
        <w:t xml:space="preserve"> </w:t>
      </w:r>
    </w:p>
    <w:p w:rsidR="00DA7963" w:rsidRDefault="00DA7963" w:rsidP="00DA796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A7963" w:rsidRPr="007B0581" w:rsidRDefault="00DA7963" w:rsidP="00DA7963">
      <w:pPr>
        <w:pStyle w:val="Textonotapie"/>
        <w:widowControl w:val="0"/>
        <w:spacing w:line="360" w:lineRule="auto"/>
        <w:ind w:left="1701" w:right="1469"/>
        <w:jc w:val="both"/>
        <w:rPr>
          <w:rFonts w:ascii="Arial" w:hAnsi="Arial" w:cs="Arial"/>
          <w:b/>
          <w:sz w:val="24"/>
          <w:szCs w:val="24"/>
          <w:lang w:eastAsia="es-MX"/>
        </w:rPr>
      </w:pPr>
    </w:p>
    <w:p w:rsidR="00DA7963" w:rsidRDefault="00DA7963" w:rsidP="00DA7963">
      <w:pPr>
        <w:spacing w:line="360" w:lineRule="auto"/>
        <w:ind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 xml:space="preserve">emitida por el Consejo Directivo de Pensiones del Estado de </w:t>
      </w:r>
      <w:r w:rsidRPr="00BD23BE">
        <w:rPr>
          <w:rFonts w:ascii="Arial" w:hAnsi="Arial" w:cs="Arial"/>
          <w:sz w:val="24"/>
          <w:szCs w:val="24"/>
        </w:rPr>
        <w:t>Oaxaca,</w:t>
      </w:r>
      <w:r w:rsidRPr="007B0581">
        <w:rPr>
          <w:rFonts w:ascii="Arial" w:hAnsi="Arial" w:cs="Arial"/>
          <w:sz w:val="24"/>
          <w:szCs w:val="24"/>
        </w:rPr>
        <w:t xml:space="preserve">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se encuentra indebidamente fundada y motivada, en razón que </w:t>
      </w:r>
      <w:r>
        <w:rPr>
          <w:rFonts w:ascii="Arial" w:hAnsi="Arial" w:cs="Arial"/>
          <w:sz w:val="24"/>
          <w:szCs w:val="24"/>
        </w:rPr>
        <w:lastRenderedPageBreak/>
        <w:t xml:space="preserve">la autoridad fue omisa en citar el precepto legal que le permita que al calcular la pensión por jubilación, dejó de considerar como sueldo el salario integrado con las prestaciones de Previsión Social Múltiple, Despensa, Vida Cara, quinquenios, aguinaldo, Día de las Madres y Canasta Navideña; así como un trato discriminatorio. </w:t>
      </w:r>
    </w:p>
    <w:p w:rsidR="00DA7963" w:rsidRDefault="00DA7963" w:rsidP="00DA7963">
      <w:pPr>
        <w:spacing w:line="360" w:lineRule="auto"/>
        <w:ind w:firstLine="708"/>
        <w:jc w:val="both"/>
        <w:rPr>
          <w:rFonts w:ascii="Arial" w:hAnsi="Arial" w:cs="Arial"/>
          <w:sz w:val="24"/>
          <w:szCs w:val="24"/>
        </w:rPr>
      </w:pPr>
    </w:p>
    <w:p w:rsidR="00DA7963" w:rsidRDefault="00DA7963" w:rsidP="00DA7963">
      <w:pPr>
        <w:spacing w:line="360" w:lineRule="auto"/>
        <w:ind w:firstLine="708"/>
        <w:jc w:val="both"/>
        <w:rPr>
          <w:rFonts w:ascii="Arial" w:hAnsi="Arial" w:cs="Arial"/>
          <w:sz w:val="24"/>
          <w:szCs w:val="24"/>
        </w:rPr>
      </w:pPr>
      <w:r w:rsidRPr="00415B7A">
        <w:rPr>
          <w:rFonts w:ascii="Arial" w:hAnsi="Arial" w:cs="Arial"/>
          <w:sz w:val="24"/>
          <w:szCs w:val="24"/>
        </w:rPr>
        <w:t xml:space="preserve">Por su parte, </w:t>
      </w:r>
      <w:r>
        <w:rPr>
          <w:rFonts w:ascii="Arial" w:hAnsi="Arial" w:cs="Arial"/>
          <w:sz w:val="24"/>
          <w:szCs w:val="24"/>
        </w:rPr>
        <w:t xml:space="preserve">el </w:t>
      </w:r>
      <w:r w:rsidRPr="00415B7A">
        <w:rPr>
          <w:rFonts w:ascii="Arial" w:hAnsi="Arial" w:cs="Arial"/>
          <w:sz w:val="24"/>
          <w:szCs w:val="24"/>
        </w:rPr>
        <w:t>Apoderado Legal del Consejo Directivo de Pensiones</w:t>
      </w:r>
      <w:r w:rsidRPr="007B0581">
        <w:rPr>
          <w:rFonts w:ascii="Arial" w:hAnsi="Arial" w:cs="Arial"/>
          <w:sz w:val="24"/>
          <w:szCs w:val="24"/>
        </w:rPr>
        <w:t xml:space="preserve"> del Estado de Oaxaca, </w:t>
      </w:r>
      <w:r>
        <w:rPr>
          <w:rFonts w:ascii="Arial" w:hAnsi="Arial" w:cs="Arial"/>
          <w:sz w:val="24"/>
          <w:szCs w:val="24"/>
        </w:rPr>
        <w:t xml:space="preserve">argumentó que el acto administrativo cumple cabalmente con los elementos y requisitos que la ley prevé, de conformidad con lo dispuesto por el artículo 17 de la Ley de Procedimiento y Justicia Administrativa para el Estado de Oaxaca. </w:t>
      </w:r>
    </w:p>
    <w:p w:rsidR="00DA7963" w:rsidRDefault="00DA7963" w:rsidP="00DA7963">
      <w:pPr>
        <w:spacing w:line="360" w:lineRule="auto"/>
        <w:ind w:firstLine="708"/>
        <w:jc w:val="both"/>
        <w:rPr>
          <w:rFonts w:ascii="Arial" w:hAnsi="Arial" w:cs="Arial"/>
          <w:sz w:val="24"/>
          <w:szCs w:val="24"/>
        </w:rPr>
      </w:pPr>
      <w:r>
        <w:rPr>
          <w:rFonts w:ascii="Arial" w:hAnsi="Arial" w:cs="Arial"/>
          <w:sz w:val="24"/>
          <w:szCs w:val="24"/>
        </w:rPr>
        <w:t xml:space="preserve"> </w:t>
      </w:r>
    </w:p>
    <w:p w:rsidR="00DA7963" w:rsidRDefault="00DA7963" w:rsidP="00DA7963">
      <w:pPr>
        <w:spacing w:line="360" w:lineRule="auto"/>
        <w:ind w:firstLine="708"/>
        <w:jc w:val="both"/>
        <w:rPr>
          <w:rFonts w:ascii="Arial" w:hAnsi="Arial" w:cs="Arial"/>
          <w:bCs/>
          <w:sz w:val="24"/>
          <w:szCs w:val="24"/>
        </w:rPr>
      </w:pP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D22319">
        <w:rPr>
          <w:rFonts w:ascii="Arial" w:hAnsi="Arial" w:cs="Arial"/>
          <w:sz w:val="24"/>
          <w:szCs w:val="24"/>
        </w:rPr>
        <w:t>advierte</w:t>
      </w:r>
      <w:r w:rsidRPr="007B0581">
        <w:rPr>
          <w:rFonts w:ascii="Arial" w:hAnsi="Arial" w:cs="Arial"/>
          <w:sz w:val="24"/>
          <w:szCs w:val="24"/>
        </w:rPr>
        <w:t xml:space="preserve"> que</w:t>
      </w:r>
      <w:r>
        <w:rPr>
          <w:rFonts w:ascii="Arial" w:hAnsi="Arial" w:cs="Arial"/>
          <w:sz w:val="24"/>
          <w:szCs w:val="24"/>
        </w:rPr>
        <w:t xml:space="preserve"> </w:t>
      </w:r>
      <w:bookmarkStart w:id="3" w:name="_Hlk84507799"/>
      <w:r>
        <w:rPr>
          <w:rFonts w:ascii="Arial" w:hAnsi="Arial" w:cs="Arial"/>
          <w:sz w:val="24"/>
          <w:szCs w:val="24"/>
        </w:rPr>
        <w:t xml:space="preserve">son </w:t>
      </w:r>
      <w:r w:rsidRPr="003C487A">
        <w:rPr>
          <w:rFonts w:ascii="Arial" w:hAnsi="Arial" w:cs="Arial"/>
          <w:b/>
          <w:bCs/>
          <w:sz w:val="24"/>
          <w:szCs w:val="24"/>
        </w:rPr>
        <w:t>parcialmente</w:t>
      </w:r>
      <w:r>
        <w:rPr>
          <w:rFonts w:ascii="Arial" w:hAnsi="Arial" w:cs="Arial"/>
          <w:sz w:val="24"/>
          <w:szCs w:val="24"/>
        </w:rPr>
        <w:t xml:space="preserve"> </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b/>
          <w:bCs/>
          <w:sz w:val="24"/>
          <w:szCs w:val="24"/>
        </w:rPr>
        <w:t>s</w:t>
      </w:r>
      <w:r>
        <w:rPr>
          <w:rFonts w:ascii="Arial" w:hAnsi="Arial" w:cs="Arial"/>
          <w:sz w:val="24"/>
          <w:szCs w:val="24"/>
        </w:rPr>
        <w:t xml:space="preserve"> los conceptos de impugnación hechos valer por la actora. Se dice lo anterior en razón que, si bien es cierto que la autoridad demandada otorgó  pensión por jubilación a la aquí </w:t>
      </w:r>
      <w:r w:rsidRPr="00233C13">
        <w:rPr>
          <w:rFonts w:ascii="Arial" w:hAnsi="Arial" w:cs="Arial"/>
          <w:sz w:val="24"/>
          <w:szCs w:val="24"/>
        </w:rPr>
        <w:t>actora</w:t>
      </w:r>
      <w:r>
        <w:rPr>
          <w:rFonts w:ascii="Arial" w:hAnsi="Arial" w:cs="Arial"/>
          <w:sz w:val="24"/>
          <w:szCs w:val="24"/>
        </w:rPr>
        <w:t xml:space="preserve"> </w:t>
      </w:r>
      <w:r>
        <w:rPr>
          <w:rFonts w:cs="Arial"/>
          <w:b/>
          <w:sz w:val="24"/>
          <w:szCs w:val="24"/>
        </w:rPr>
        <w:t>**********</w:t>
      </w:r>
      <w:r>
        <w:rPr>
          <w:rFonts w:ascii="Arial" w:hAnsi="Arial" w:cs="Arial"/>
          <w:bCs/>
          <w:sz w:val="24"/>
          <w:szCs w:val="24"/>
        </w:rPr>
        <w:t xml:space="preserve">, también lo es que, </w:t>
      </w:r>
      <w:r>
        <w:rPr>
          <w:rFonts w:ascii="Arial" w:hAnsi="Arial" w:cs="Arial"/>
          <w:sz w:val="24"/>
          <w:szCs w:val="24"/>
        </w:rPr>
        <w:t xml:space="preserve">únicamente la autorizó por el 100% del sueldo base que percibe una Secretaria de Acuerdos 15 “C”, que es de $9,082.00 (nueve mil ochenta y dos pesos 00/100 M.N.), como se observa de la Constancia de Percepciones Ordinarias </w:t>
      </w:r>
      <w:bookmarkStart w:id="4" w:name="_GoBack"/>
      <w:r>
        <w:rPr>
          <w:rFonts w:ascii="Arial" w:hAnsi="Arial" w:cs="Arial"/>
          <w:sz w:val="24"/>
          <w:szCs w:val="24"/>
        </w:rPr>
        <w:t>número</w:t>
      </w:r>
      <w:bookmarkEnd w:id="4"/>
      <w:r>
        <w:rPr>
          <w:rFonts w:ascii="Arial" w:hAnsi="Arial" w:cs="Arial"/>
          <w:sz w:val="24"/>
          <w:szCs w:val="24"/>
        </w:rPr>
        <w:t xml:space="preserve"> </w:t>
      </w:r>
      <w:r>
        <w:rPr>
          <w:rFonts w:cs="Arial"/>
          <w:b/>
          <w:sz w:val="24"/>
          <w:szCs w:val="24"/>
        </w:rPr>
        <w:t>**********</w:t>
      </w:r>
      <w:r>
        <w:rPr>
          <w:rFonts w:cs="Arial"/>
          <w:b/>
          <w:sz w:val="24"/>
          <w:szCs w:val="24"/>
        </w:rPr>
        <w:t xml:space="preserve"> </w:t>
      </w:r>
      <w:r>
        <w:rPr>
          <w:rFonts w:ascii="Arial" w:hAnsi="Arial" w:cs="Arial"/>
          <w:sz w:val="24"/>
          <w:szCs w:val="24"/>
        </w:rPr>
        <w:t xml:space="preserve">de veintitrés de febrero de dos mil veintidós, visible a foja 47 de los presentes autos, documental a la cual se le otorga valor probatorio pleno, de conformidad con el artículo 203, fracción I, de la Ley de Procedimiento y Justicia Administrativa para el Estado de Oaxaca, esto es, la otorgó de manera incompleta, en virtud que </w:t>
      </w:r>
      <w:r>
        <w:rPr>
          <w:rFonts w:ascii="Arial" w:hAnsi="Arial" w:cs="Arial"/>
          <w:bCs/>
          <w:sz w:val="24"/>
          <w:szCs w:val="24"/>
        </w:rPr>
        <w:t>no le incorporó a la pensión por jubilación de la administrada las prestaciones que contempla la</w:t>
      </w:r>
      <w:r>
        <w:rPr>
          <w:rFonts w:ascii="Arial" w:hAnsi="Arial" w:cs="Arial"/>
          <w:sz w:val="24"/>
          <w:szCs w:val="24"/>
        </w:rPr>
        <w:t xml:space="preserve"> fracción I, del</w:t>
      </w:r>
      <w:r>
        <w:rPr>
          <w:rFonts w:ascii="Arial" w:hAnsi="Arial" w:cs="Arial"/>
          <w:bCs/>
          <w:sz w:val="24"/>
          <w:szCs w:val="24"/>
        </w:rPr>
        <w:t xml:space="preserve"> artículo </w:t>
      </w:r>
      <w:r>
        <w:rPr>
          <w:rFonts w:ascii="Arial" w:hAnsi="Arial" w:cs="Arial"/>
          <w:sz w:val="24"/>
          <w:szCs w:val="24"/>
        </w:rPr>
        <w:t xml:space="preserve">54, de la Ley de Pensiones para los Trabajadores del Gobierno del Estado de Oaxaca, consistentes en </w:t>
      </w:r>
      <w:r w:rsidRPr="007B0581">
        <w:rPr>
          <w:rFonts w:ascii="Arial" w:hAnsi="Arial" w:cs="Arial"/>
          <w:sz w:val="24"/>
          <w:szCs w:val="24"/>
        </w:rPr>
        <w:t>previsión social múltiple, despensa, vida cara, quinquenios, aguinaldo, est</w:t>
      </w:r>
      <w:r>
        <w:rPr>
          <w:rFonts w:ascii="Arial" w:hAnsi="Arial" w:cs="Arial"/>
          <w:sz w:val="24"/>
          <w:szCs w:val="24"/>
        </w:rPr>
        <w:t>í</w:t>
      </w:r>
      <w:r w:rsidRPr="007B0581">
        <w:rPr>
          <w:rFonts w:ascii="Arial" w:hAnsi="Arial" w:cs="Arial"/>
          <w:sz w:val="24"/>
          <w:szCs w:val="24"/>
        </w:rPr>
        <w:t>mulo del día del jubi</w:t>
      </w:r>
      <w:r>
        <w:rPr>
          <w:rFonts w:ascii="Arial" w:hAnsi="Arial" w:cs="Arial"/>
          <w:sz w:val="24"/>
          <w:szCs w:val="24"/>
        </w:rPr>
        <w:t>lado, día de las madres y canasta navideña; no es óbice señalar que, el citado numeral fue plasmado por la autoridad demandada para fundar su actuar, sin embargo, no detalló o especificó las razones o motivos por los cuales no incorporó a la pensión por jubilación de la actora las prestaciones anteriormente precisadas, aunado a que tampoco obra en autos prueba alguna fehaciente para presuponer lo contrario, dejando con su actuar en incertidumbre jurídica a la administrada.</w:t>
      </w:r>
    </w:p>
    <w:p w:rsidR="00DA7963" w:rsidRDefault="00DA7963" w:rsidP="00DA7963">
      <w:pPr>
        <w:spacing w:line="360" w:lineRule="auto"/>
        <w:ind w:firstLine="708"/>
        <w:jc w:val="both"/>
        <w:rPr>
          <w:rFonts w:ascii="Arial" w:hAnsi="Arial" w:cs="Arial"/>
          <w:bCs/>
          <w:sz w:val="24"/>
          <w:szCs w:val="24"/>
        </w:rPr>
      </w:pPr>
    </w:p>
    <w:bookmarkEnd w:id="3"/>
    <w:p w:rsidR="00DA7963" w:rsidRDefault="00DA7963" w:rsidP="00DA7963">
      <w:pPr>
        <w:spacing w:line="360" w:lineRule="auto"/>
        <w:ind w:firstLine="708"/>
        <w:jc w:val="both"/>
        <w:rPr>
          <w:rFonts w:ascii="Arial" w:hAnsi="Arial" w:cs="Arial"/>
          <w:sz w:val="24"/>
          <w:szCs w:val="24"/>
        </w:rPr>
      </w:pPr>
      <w:r>
        <w:rPr>
          <w:rFonts w:ascii="Arial" w:hAnsi="Arial" w:cs="Arial"/>
          <w:sz w:val="24"/>
          <w:szCs w:val="24"/>
        </w:rPr>
        <w:lastRenderedPageBreak/>
        <w:t xml:space="preserve">Por cuanto hace a la manifestación de la actora, en el sentido que se le incorpore a su pensión por jubilación las prestaciones que percibía en cada quincena, dígasele a la actora que únicamente se le incorporaran las prestaciones reguladas en la fracción I, del artículo 54 de la Ley de Pensiones para los Trabajadores del Gobierno del Estado de Oaxaca, que son </w:t>
      </w:r>
      <w:r w:rsidRPr="007B0581">
        <w:rPr>
          <w:rFonts w:ascii="Arial" w:hAnsi="Arial" w:cs="Arial"/>
          <w:sz w:val="24"/>
          <w:szCs w:val="24"/>
        </w:rPr>
        <w:t>previsión social múltiple, despensa, vida cara, quinquenios, aguinaldo, est</w:t>
      </w:r>
      <w:r>
        <w:rPr>
          <w:rFonts w:ascii="Arial" w:hAnsi="Arial" w:cs="Arial"/>
          <w:sz w:val="24"/>
          <w:szCs w:val="24"/>
        </w:rPr>
        <w:t>í</w:t>
      </w:r>
      <w:r w:rsidRPr="007B0581">
        <w:rPr>
          <w:rFonts w:ascii="Arial" w:hAnsi="Arial" w:cs="Arial"/>
          <w:sz w:val="24"/>
          <w:szCs w:val="24"/>
        </w:rPr>
        <w:t>mulo del día del jubi</w:t>
      </w:r>
      <w:r>
        <w:rPr>
          <w:rFonts w:ascii="Arial" w:hAnsi="Arial" w:cs="Arial"/>
          <w:sz w:val="24"/>
          <w:szCs w:val="24"/>
        </w:rPr>
        <w:t>lado, día de las madres y canasta navideña.</w:t>
      </w:r>
    </w:p>
    <w:p w:rsidR="00DA7963" w:rsidRDefault="00DA7963" w:rsidP="00DA7963">
      <w:pPr>
        <w:spacing w:line="360" w:lineRule="auto"/>
        <w:ind w:right="-93" w:firstLine="708"/>
        <w:jc w:val="both"/>
        <w:rPr>
          <w:rFonts w:ascii="Arial" w:hAnsi="Arial" w:cs="Arial"/>
          <w:sz w:val="24"/>
          <w:szCs w:val="24"/>
        </w:rPr>
      </w:pPr>
    </w:p>
    <w:p w:rsidR="00DA7963" w:rsidRDefault="00DA7963" w:rsidP="00DA7963">
      <w:pPr>
        <w:pStyle w:val="NormalWeb"/>
        <w:spacing w:before="0" w:beforeAutospacing="0" w:after="0" w:afterAutospacing="0" w:line="360" w:lineRule="auto"/>
        <w:ind w:firstLine="567"/>
        <w:jc w:val="both"/>
        <w:rPr>
          <w:rFonts w:ascii="Arial" w:hAnsi="Arial" w:cs="Arial"/>
          <w:bCs/>
        </w:rPr>
      </w:pPr>
      <w:r w:rsidRPr="00A208AC">
        <w:rPr>
          <w:rFonts w:ascii="Arial" w:hAnsi="Arial" w:cs="Arial"/>
        </w:rPr>
        <w:t>Por</w:t>
      </w:r>
      <w:r w:rsidRPr="007D4D2B">
        <w:rPr>
          <w:rFonts w:ascii="Arial" w:hAnsi="Arial" w:cs="Arial"/>
        </w:rPr>
        <w:t xml:space="preserve"> l</w:t>
      </w:r>
      <w:r w:rsidRPr="00BB7DA2">
        <w:rPr>
          <w:rFonts w:ascii="Arial" w:hAnsi="Arial" w:cs="Arial"/>
        </w:rPr>
        <w:t>o que concierne a la</w:t>
      </w:r>
      <w:r>
        <w:rPr>
          <w:rFonts w:ascii="Arial" w:hAnsi="Arial" w:cs="Arial"/>
        </w:rPr>
        <w:t>s</w:t>
      </w:r>
      <w:r w:rsidRPr="00BB7DA2">
        <w:rPr>
          <w:rFonts w:ascii="Arial" w:hAnsi="Arial" w:cs="Arial"/>
        </w:rPr>
        <w:t xml:space="preserve"> prueba</w:t>
      </w:r>
      <w:r>
        <w:rPr>
          <w:rFonts w:ascii="Arial" w:hAnsi="Arial" w:cs="Arial"/>
        </w:rPr>
        <w:t>s</w:t>
      </w:r>
      <w:r w:rsidRPr="00BB7DA2">
        <w:rPr>
          <w:rFonts w:ascii="Arial" w:hAnsi="Arial" w:cs="Arial"/>
        </w:rPr>
        <w:t xml:space="preserve"> objetada</w:t>
      </w:r>
      <w:r>
        <w:rPr>
          <w:rFonts w:ascii="Arial" w:hAnsi="Arial" w:cs="Arial"/>
        </w:rPr>
        <w:t>s</w:t>
      </w:r>
      <w:r w:rsidRPr="00BB7DA2">
        <w:rPr>
          <w:rFonts w:ascii="Arial" w:hAnsi="Arial" w:cs="Arial"/>
        </w:rPr>
        <w:t xml:space="preserve"> por la autoridad demandada,</w:t>
      </w:r>
      <w:r>
        <w:rPr>
          <w:rFonts w:ascii="Arial" w:hAnsi="Arial" w:cs="Arial"/>
        </w:rPr>
        <w:t xml:space="preserve"> descritas en auto admisorio de veintinueve de septiembre de dos mil veintidós</w:t>
      </w:r>
      <w:r w:rsidRPr="00BB7DA2">
        <w:rPr>
          <w:rFonts w:ascii="Arial" w:hAnsi="Arial" w:cs="Arial"/>
        </w:rPr>
        <w:t>, no ha lugar a su petición, en virtud que la</w:t>
      </w:r>
      <w:r>
        <w:rPr>
          <w:rFonts w:ascii="Arial" w:hAnsi="Arial" w:cs="Arial"/>
        </w:rPr>
        <w:t xml:space="preserve"> autoridad</w:t>
      </w:r>
      <w:r w:rsidRPr="00BB7DA2">
        <w:rPr>
          <w:rFonts w:ascii="Arial" w:hAnsi="Arial" w:cs="Arial"/>
        </w:rPr>
        <w:t xml:space="preserve"> demandada solo hace referencia a objetar la</w:t>
      </w:r>
      <w:r>
        <w:rPr>
          <w:rFonts w:ascii="Arial" w:hAnsi="Arial" w:cs="Arial"/>
        </w:rPr>
        <w:t>s</w:t>
      </w:r>
      <w:r w:rsidRPr="00BB7DA2">
        <w:rPr>
          <w:rFonts w:ascii="Arial" w:hAnsi="Arial" w:cs="Arial"/>
        </w:rPr>
        <w:t xml:space="preserve"> documental</w:t>
      </w:r>
      <w:r>
        <w:rPr>
          <w:rFonts w:ascii="Arial" w:hAnsi="Arial" w:cs="Arial"/>
        </w:rPr>
        <w:t>es</w:t>
      </w:r>
      <w:r w:rsidRPr="00BB7DA2">
        <w:rPr>
          <w:rFonts w:ascii="Arial" w:hAnsi="Arial" w:cs="Arial"/>
        </w:rPr>
        <w:t xml:space="preserve"> exhibida</w:t>
      </w:r>
      <w:r>
        <w:rPr>
          <w:rFonts w:ascii="Arial" w:hAnsi="Arial" w:cs="Arial"/>
        </w:rPr>
        <w:t>s</w:t>
      </w:r>
      <w:r w:rsidRPr="00BB7DA2">
        <w:rPr>
          <w:rFonts w:ascii="Arial" w:hAnsi="Arial" w:cs="Arial"/>
        </w:rPr>
        <w:t xml:space="preserve"> por </w:t>
      </w:r>
      <w:r>
        <w:rPr>
          <w:rFonts w:ascii="Arial" w:hAnsi="Arial" w:cs="Arial"/>
        </w:rPr>
        <w:t>la</w:t>
      </w:r>
      <w:r w:rsidRPr="00BB7DA2">
        <w:rPr>
          <w:rFonts w:ascii="Arial" w:hAnsi="Arial" w:cs="Arial"/>
        </w:rPr>
        <w:t xml:space="preserve"> actor</w:t>
      </w:r>
      <w:r>
        <w:rPr>
          <w:rFonts w:ascii="Arial" w:hAnsi="Arial" w:cs="Arial"/>
        </w:rPr>
        <w:t>a</w:t>
      </w:r>
      <w:r w:rsidRPr="00BB7DA2">
        <w:rPr>
          <w:rFonts w:ascii="Arial" w:hAnsi="Arial" w:cs="Arial"/>
        </w:rPr>
        <w:t xml:space="preserve"> y, en el presente asunto no se advierte prueba alguna fehaciente para desvirtuar el contenido de dich</w:t>
      </w:r>
      <w:r>
        <w:rPr>
          <w:rFonts w:ascii="Arial" w:hAnsi="Arial" w:cs="Arial"/>
        </w:rPr>
        <w:t>as</w:t>
      </w:r>
      <w:r w:rsidRPr="00BB7DA2">
        <w:rPr>
          <w:rFonts w:ascii="Arial" w:hAnsi="Arial" w:cs="Arial"/>
        </w:rPr>
        <w:t xml:space="preserve"> document</w:t>
      </w:r>
      <w:r>
        <w:rPr>
          <w:rFonts w:ascii="Arial" w:hAnsi="Arial" w:cs="Arial"/>
        </w:rPr>
        <w:t>ales</w:t>
      </w:r>
      <w:r w:rsidRPr="00BB7DA2">
        <w:rPr>
          <w:rFonts w:ascii="Arial" w:hAnsi="Arial" w:cs="Arial"/>
        </w:rPr>
        <w:t>.</w:t>
      </w:r>
      <w:r>
        <w:rPr>
          <w:rFonts w:ascii="Arial" w:hAnsi="Arial" w:cs="Arial"/>
          <w:bCs/>
        </w:rPr>
        <w:t xml:space="preserve">  </w:t>
      </w:r>
    </w:p>
    <w:p w:rsidR="00DA7963" w:rsidRDefault="00DA7963" w:rsidP="00DA7963">
      <w:pPr>
        <w:spacing w:line="360" w:lineRule="auto"/>
        <w:ind w:right="-93" w:firstLine="708"/>
        <w:jc w:val="both"/>
        <w:rPr>
          <w:rFonts w:ascii="Arial" w:hAnsi="Arial" w:cs="Arial"/>
          <w:sz w:val="24"/>
          <w:szCs w:val="24"/>
        </w:rPr>
      </w:pPr>
    </w:p>
    <w:p w:rsidR="00DA7963" w:rsidRDefault="00DA7963" w:rsidP="00DA7963">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motivada la resolución combatida, dado que</w:t>
      </w:r>
      <w:r w:rsidRPr="007B0581">
        <w:rPr>
          <w:rFonts w:ascii="Arial" w:hAnsi="Arial" w:cs="Arial"/>
          <w:sz w:val="24"/>
          <w:szCs w:val="24"/>
        </w:rPr>
        <w:t xml:space="preserve"> la autoridad demandada</w:t>
      </w:r>
      <w:r>
        <w:rPr>
          <w:rFonts w:ascii="Arial" w:hAnsi="Arial" w:cs="Arial"/>
          <w:sz w:val="24"/>
          <w:szCs w:val="24"/>
        </w:rPr>
        <w:t xml:space="preserve"> no detalló o especificó la razón o motivo por el que a pesar de haber plasmado en el acto impugnado el artículo 54, fracción I, de la Ley de Pensiones para los Trabajadores del Gobierno del Estado de Oaxaca, que contempla las prestaciones consistentes en </w:t>
      </w:r>
      <w:r w:rsidRPr="007B0581">
        <w:rPr>
          <w:rFonts w:ascii="Arial" w:hAnsi="Arial" w:cs="Arial"/>
          <w:sz w:val="24"/>
          <w:szCs w:val="24"/>
        </w:rPr>
        <w:t>previsión social múltiple, despensa, vida cara, quinquenios, aguinaldo, estimulo del día del jubilado</w:t>
      </w:r>
      <w:r>
        <w:rPr>
          <w:rFonts w:ascii="Arial" w:hAnsi="Arial" w:cs="Arial"/>
          <w:sz w:val="24"/>
          <w:szCs w:val="24"/>
        </w:rPr>
        <w:t xml:space="preserve">, día de las madres </w:t>
      </w:r>
      <w:r w:rsidRPr="007B0581">
        <w:rPr>
          <w:rFonts w:ascii="Arial" w:hAnsi="Arial" w:cs="Arial"/>
          <w:sz w:val="24"/>
          <w:szCs w:val="24"/>
        </w:rPr>
        <w:t>y canasta navideña</w:t>
      </w:r>
      <w:r>
        <w:rPr>
          <w:rFonts w:ascii="Arial" w:hAnsi="Arial" w:cs="Arial"/>
          <w:sz w:val="24"/>
          <w:szCs w:val="24"/>
        </w:rPr>
        <w:t xml:space="preserve">, éstas no fueron incorporadas a la pensión por jubilación de la actora, causando con su actuar incertidumbre jurídica en la administrada, por </w:t>
      </w:r>
      <w:r w:rsidRPr="007B0581">
        <w:rPr>
          <w:rFonts w:ascii="Arial" w:hAnsi="Arial" w:cs="Arial"/>
          <w:sz w:val="24"/>
          <w:szCs w:val="24"/>
        </w:rPr>
        <w:t>lo</w:t>
      </w:r>
      <w:r>
        <w:rPr>
          <w:rFonts w:ascii="Arial" w:hAnsi="Arial" w:cs="Arial"/>
          <w:sz w:val="24"/>
          <w:szCs w:val="24"/>
        </w:rPr>
        <w:t xml:space="preserve"> que, lo</w:t>
      </w:r>
      <w:r w:rsidRPr="007B0581">
        <w:rPr>
          <w:rFonts w:ascii="Arial" w:hAnsi="Arial" w:cs="Arial"/>
          <w:sz w:val="24"/>
          <w:szCs w:val="24"/>
        </w:rPr>
        <w:t xml:space="preserve">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w:t>
      </w:r>
      <w:r>
        <w:rPr>
          <w:rFonts w:ascii="Arial" w:hAnsi="Arial" w:cs="Arial"/>
          <w:sz w:val="24"/>
          <w:szCs w:val="24"/>
        </w:rPr>
        <w:t xml:space="preserve"> por jubilación</w:t>
      </w:r>
      <w:r w:rsidRPr="007B0581">
        <w:rPr>
          <w:rFonts w:ascii="Arial" w:hAnsi="Arial" w:cs="Arial"/>
          <w:sz w:val="24"/>
          <w:szCs w:val="24"/>
        </w:rPr>
        <w:t xml:space="preserve"> concedida a</w:t>
      </w:r>
      <w:r>
        <w:rPr>
          <w:rFonts w:ascii="Arial" w:hAnsi="Arial" w:cs="Arial"/>
          <w:sz w:val="24"/>
          <w:szCs w:val="24"/>
        </w:rPr>
        <w:t xml:space="preserve"> 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incorpore a la misma las prestaciones</w:t>
      </w:r>
      <w:r>
        <w:rPr>
          <w:rFonts w:ascii="Arial" w:hAnsi="Arial" w:cs="Arial"/>
          <w:sz w:val="24"/>
          <w:szCs w:val="24"/>
        </w:rPr>
        <w:t xml:space="preserve"> ya precisadas, asimismo, realice el pago retroactivo de éstas,</w:t>
      </w:r>
      <w:r w:rsidRPr="007B0581">
        <w:rPr>
          <w:rFonts w:ascii="Arial" w:hAnsi="Arial" w:cs="Arial"/>
          <w:sz w:val="24"/>
          <w:szCs w:val="24"/>
        </w:rPr>
        <w:t xml:space="preserve"> </w:t>
      </w:r>
      <w:r>
        <w:rPr>
          <w:rFonts w:ascii="Arial" w:hAnsi="Arial" w:cs="Arial"/>
          <w:sz w:val="24"/>
          <w:szCs w:val="24"/>
        </w:rPr>
        <w:t>a partir de que la actora adquirió la condición de jubilada.</w:t>
      </w:r>
    </w:p>
    <w:p w:rsidR="00DA7963" w:rsidRDefault="00DA7963" w:rsidP="00DA7963">
      <w:pPr>
        <w:spacing w:line="360" w:lineRule="auto"/>
        <w:ind w:firstLine="708"/>
        <w:jc w:val="both"/>
        <w:rPr>
          <w:rFonts w:ascii="Arial" w:hAnsi="Arial" w:cs="Arial"/>
          <w:sz w:val="24"/>
          <w:szCs w:val="24"/>
        </w:rPr>
      </w:pPr>
    </w:p>
    <w:bookmarkEnd w:id="5"/>
    <w:p w:rsidR="00DA7963" w:rsidRDefault="00DA7963" w:rsidP="00DA7963">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w:t>
      </w:r>
      <w:r w:rsidRPr="007B0581">
        <w:rPr>
          <w:rFonts w:ascii="Arial" w:hAnsi="Arial" w:cs="Arial"/>
          <w:b/>
          <w:sz w:val="24"/>
          <w:szCs w:val="24"/>
        </w:rPr>
        <w:lastRenderedPageBreak/>
        <w:t xml:space="preserve">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DA7963" w:rsidRPr="007B0581" w:rsidRDefault="00DA7963" w:rsidP="00DA7963">
      <w:pPr>
        <w:spacing w:line="360" w:lineRule="auto"/>
        <w:ind w:right="-93" w:firstLine="708"/>
        <w:jc w:val="both"/>
        <w:rPr>
          <w:rFonts w:ascii="Arial" w:hAnsi="Arial" w:cs="Arial"/>
          <w:sz w:val="24"/>
          <w:szCs w:val="24"/>
        </w:rPr>
      </w:pPr>
    </w:p>
    <w:p w:rsidR="00DA7963" w:rsidRDefault="00DA7963" w:rsidP="00DA796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fracciones II y VI, y 209, de la Ley de Procedimiento y Justicia Administrativa para el Estado de Oaxaca, se;</w:t>
      </w:r>
    </w:p>
    <w:p w:rsidR="00DA7963" w:rsidRDefault="00DA7963" w:rsidP="00DA796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 </w:t>
      </w:r>
    </w:p>
    <w:p w:rsidR="00DA7963" w:rsidRDefault="00DA7963" w:rsidP="00DA796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A7963" w:rsidRDefault="00DA7963" w:rsidP="00DA7963">
      <w:pPr>
        <w:tabs>
          <w:tab w:val="left" w:pos="3932"/>
        </w:tabs>
        <w:jc w:val="both"/>
        <w:rPr>
          <w:rFonts w:ascii="Arial" w:hAnsi="Arial" w:cs="Arial"/>
          <w:b/>
          <w:sz w:val="24"/>
          <w:szCs w:val="24"/>
        </w:rPr>
      </w:pPr>
      <w:r w:rsidRPr="007B0581">
        <w:rPr>
          <w:rFonts w:ascii="Arial" w:hAnsi="Arial" w:cs="Arial"/>
          <w:b/>
          <w:sz w:val="24"/>
          <w:szCs w:val="24"/>
        </w:rPr>
        <w:tab/>
      </w:r>
    </w:p>
    <w:p w:rsidR="00DA7963" w:rsidRDefault="00DA7963" w:rsidP="00DA7963">
      <w:pPr>
        <w:spacing w:line="360" w:lineRule="auto"/>
        <w:ind w:firstLine="708"/>
        <w:jc w:val="both"/>
        <w:rPr>
          <w:rFonts w:ascii="Arial" w:hAnsi="Arial" w:cs="Arial"/>
          <w:b/>
          <w:sz w:val="24"/>
          <w:szCs w:val="24"/>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A7963" w:rsidRPr="007B0581" w:rsidRDefault="00DA7963" w:rsidP="00DA7963">
      <w:pPr>
        <w:pStyle w:val="Textoindependiente"/>
        <w:ind w:firstLine="709"/>
        <w:contextualSpacing/>
        <w:jc w:val="both"/>
        <w:rPr>
          <w:rFonts w:ascii="Arial" w:hAnsi="Arial" w:cs="Arial"/>
          <w:b/>
          <w:sz w:val="24"/>
          <w:szCs w:val="24"/>
        </w:rPr>
      </w:pPr>
    </w:p>
    <w:p w:rsidR="00DA7963" w:rsidRDefault="00DA7963" w:rsidP="00DA796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A7963" w:rsidRDefault="00DA7963" w:rsidP="00DA7963">
      <w:pPr>
        <w:pStyle w:val="Textoindependiente"/>
        <w:spacing w:line="360" w:lineRule="auto"/>
        <w:ind w:firstLine="708"/>
        <w:jc w:val="both"/>
        <w:rPr>
          <w:rFonts w:ascii="Arial" w:eastAsia="Arial Unicode MS" w:hAnsi="Arial" w:cs="Arial"/>
          <w:kern w:val="1"/>
          <w:sz w:val="24"/>
          <w:szCs w:val="24"/>
          <w:lang w:val="es-MX" w:eastAsia="ar-SA"/>
        </w:rPr>
      </w:pPr>
    </w:p>
    <w:p w:rsidR="00DA7963" w:rsidRPr="007B0581" w:rsidRDefault="00DA7963" w:rsidP="00DA7963">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 xml:space="preserve">NO SE </w:t>
      </w:r>
      <w:r w:rsidRPr="00C52075">
        <w:rPr>
          <w:rFonts w:ascii="Arial" w:eastAsia="Calibri" w:hAnsi="Arial" w:cs="Arial"/>
          <w:b/>
          <w:bCs/>
          <w:color w:val="000000"/>
          <w:sz w:val="24"/>
          <w:szCs w:val="24"/>
          <w:lang w:val="es-MX" w:eastAsia="en-US"/>
        </w:rPr>
        <w:t>SOBRESEE</w:t>
      </w:r>
      <w:r w:rsidRPr="00C52075">
        <w:rPr>
          <w:rFonts w:ascii="Arial" w:eastAsia="Calibri" w:hAnsi="Arial" w:cs="Arial"/>
          <w:color w:val="000000"/>
          <w:sz w:val="24"/>
          <w:szCs w:val="24"/>
          <w:lang w:val="es-MX" w:eastAsia="en-US"/>
        </w:rPr>
        <w:t>.</w:t>
      </w:r>
    </w:p>
    <w:p w:rsidR="00DA7963" w:rsidRDefault="00DA7963" w:rsidP="00DA7963">
      <w:pPr>
        <w:ind w:right="51"/>
        <w:contextualSpacing/>
        <w:jc w:val="both"/>
        <w:rPr>
          <w:rFonts w:ascii="Arial" w:hAnsi="Arial" w:cs="Arial"/>
          <w:sz w:val="24"/>
          <w:szCs w:val="24"/>
          <w:lang w:val="es-MX"/>
        </w:rPr>
      </w:pPr>
    </w:p>
    <w:p w:rsidR="00DA7963" w:rsidRDefault="00DA7963" w:rsidP="00DA7963">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veinte de junio de dos mil veintidós</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0A17D9">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w:t>
      </w:r>
      <w:r w:rsidRPr="003D2363">
        <w:rPr>
          <w:rFonts w:ascii="Arial" w:hAnsi="Arial" w:cs="Arial"/>
          <w:b/>
          <w:bCs/>
          <w:sz w:val="24"/>
          <w:szCs w:val="24"/>
        </w:rPr>
        <w:t>CUARTO</w:t>
      </w:r>
      <w:r w:rsidRPr="007B0581">
        <w:rPr>
          <w:rFonts w:ascii="Arial" w:hAnsi="Arial" w:cs="Arial"/>
          <w:sz w:val="24"/>
          <w:szCs w:val="24"/>
        </w:rPr>
        <w:t xml:space="preserve"> de la presente </w:t>
      </w:r>
      <w:r>
        <w:rPr>
          <w:rFonts w:ascii="Arial" w:hAnsi="Arial" w:cs="Arial"/>
          <w:sz w:val="24"/>
          <w:szCs w:val="24"/>
        </w:rPr>
        <w:t>resolución</w:t>
      </w:r>
      <w:r w:rsidRPr="007B0581">
        <w:rPr>
          <w:rFonts w:ascii="Arial" w:hAnsi="Arial" w:cs="Arial"/>
          <w:sz w:val="24"/>
          <w:szCs w:val="24"/>
        </w:rPr>
        <w:t xml:space="preserve">. </w:t>
      </w:r>
    </w:p>
    <w:p w:rsidR="00DA7963" w:rsidRPr="007B0581" w:rsidRDefault="00DA7963" w:rsidP="00DA7963">
      <w:pPr>
        <w:ind w:right="51" w:firstLine="567"/>
        <w:contextualSpacing/>
        <w:jc w:val="both"/>
        <w:rPr>
          <w:rFonts w:ascii="Arial" w:hAnsi="Arial" w:cs="Arial"/>
          <w:sz w:val="24"/>
          <w:szCs w:val="24"/>
        </w:rPr>
      </w:pPr>
    </w:p>
    <w:p w:rsidR="00DA7963" w:rsidRDefault="00DA7963" w:rsidP="00DA7963">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DA7963" w:rsidRDefault="00DA7963" w:rsidP="00DA7963">
      <w:pPr>
        <w:spacing w:line="360" w:lineRule="auto"/>
        <w:ind w:right="51" w:firstLine="567"/>
        <w:jc w:val="both"/>
        <w:rPr>
          <w:rFonts w:ascii="Arial" w:eastAsia="Calibri" w:hAnsi="Arial" w:cs="Arial"/>
          <w:b/>
          <w:color w:val="000000"/>
          <w:sz w:val="24"/>
          <w:szCs w:val="24"/>
          <w:lang w:val="es-MX" w:eastAsia="en-US"/>
        </w:rPr>
      </w:pPr>
    </w:p>
    <w:p w:rsidR="00DA7963" w:rsidRDefault="00DA7963" w:rsidP="00DA79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294EC6" w:rsidRDefault="00294EC6"/>
    <w:sectPr w:rsidR="00294EC6" w:rsidSect="00DA7963">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963" w:rsidRDefault="00DA7963" w:rsidP="00DA7963">
      <w:r>
        <w:separator/>
      </w:r>
    </w:p>
  </w:endnote>
  <w:endnote w:type="continuationSeparator" w:id="0">
    <w:p w:rsidR="00DA7963" w:rsidRDefault="00DA7963" w:rsidP="00DA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2144D3" w:rsidRDefault="00DA7963">
        <w:pPr>
          <w:pStyle w:val="Piedepgina"/>
          <w:jc w:val="center"/>
        </w:pPr>
        <w:r>
          <w:fldChar w:fldCharType="begin"/>
        </w:r>
        <w:r>
          <w:instrText>PAGE   \* MERGEFORMAT</w:instrText>
        </w:r>
        <w:r>
          <w:fldChar w:fldCharType="separate"/>
        </w:r>
        <w:r>
          <w:rPr>
            <w:noProof/>
          </w:rPr>
          <w:t>6</w:t>
        </w:r>
        <w:r>
          <w:fldChar w:fldCharType="end"/>
        </w:r>
      </w:p>
    </w:sdtContent>
  </w:sdt>
  <w:p w:rsidR="002144D3" w:rsidRDefault="00DA796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963" w:rsidRDefault="00DA7963" w:rsidP="00DA7963">
      <w:r>
        <w:separator/>
      </w:r>
    </w:p>
  </w:footnote>
  <w:footnote w:type="continuationSeparator" w:id="0">
    <w:p w:rsidR="00DA7963" w:rsidRDefault="00DA7963" w:rsidP="00DA7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Pr="00A73AD7" w:rsidRDefault="00DA796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75608A8" wp14:editId="5A96CDC0">
              <wp:simplePos x="0" y="0"/>
              <wp:positionH relativeFrom="leftMargin">
                <wp:posOffset>236413</wp:posOffset>
              </wp:positionH>
              <wp:positionV relativeFrom="paragraph">
                <wp:posOffset>4628660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7963" w:rsidRDefault="00DA7963" w:rsidP="00DA796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608A8" id="_x0000_t202" coordsize="21600,21600" o:spt="202" path="m,l,21600r21600,l21600,xe">
              <v:stroke joinstyle="miter"/>
              <v:path gradientshapeok="t" o:connecttype="rect"/>
            </v:shapetype>
            <v:shape id="Cuadro de texto 4" o:spid="_x0000_s1026" type="#_x0000_t202" style="position:absolute;left:0;text-align:left;margin-left:18.6pt;margin-top:364.4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">
              <v:textbox>
                <w:txbxContent>
                  <w:p w:rsidR="00DA7963" w:rsidRDefault="00DA7963" w:rsidP="00DA7963">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E2EAEA9" wp14:editId="0FEF7691">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91</w:t>
    </w:r>
    <w:r w:rsidRPr="00A73AD7">
      <w:rPr>
        <w:rFonts w:ascii="Arial" w:hAnsi="Arial" w:cs="Arial"/>
      </w:rPr>
      <w:t>/20</w:t>
    </w:r>
    <w:r>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Default="00DA7963">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1E1B59F6" wp14:editId="1A56F162">
              <wp:simplePos x="0" y="0"/>
              <wp:positionH relativeFrom="leftMargin">
                <wp:posOffset>213264</wp:posOffset>
              </wp:positionH>
              <wp:positionV relativeFrom="paragraph">
                <wp:posOffset>4999049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A7963" w:rsidRDefault="00DA7963" w:rsidP="00DA796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1B59F6" id="_x0000_t202" coordsize="21600,21600" o:spt="202" path="m,l,21600r21600,l21600,xe">
              <v:stroke joinstyle="miter"/>
              <v:path gradientshapeok="t" o:connecttype="rect"/>
            </v:shapetype>
            <v:shape id="Cuadro de texto 5" o:spid="_x0000_s1027" type="#_x0000_t202" style="position:absolute;margin-left:16.8pt;margin-top:393.6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">
              <v:textbox>
                <w:txbxContent>
                  <w:p w:rsidR="00DA7963" w:rsidRDefault="00DA7963" w:rsidP="00DA7963">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18C2862" wp14:editId="18F5E90F">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2CFA936E" wp14:editId="23F6B888">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963"/>
    <w:rsid w:val="00294EC6"/>
    <w:rsid w:val="004B1DB0"/>
    <w:rsid w:val="005223BF"/>
    <w:rsid w:val="00685BC3"/>
    <w:rsid w:val="00AC77AC"/>
    <w:rsid w:val="00DA79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CFE230D-A419-4230-B50A-BE3E47F6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96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A7963"/>
    <w:pPr>
      <w:spacing w:after="120"/>
    </w:pPr>
    <w:rPr>
      <w:lang w:val="x-none"/>
    </w:rPr>
  </w:style>
  <w:style w:type="character" w:customStyle="1" w:styleId="TextoindependienteCar">
    <w:name w:val="Texto independiente Car"/>
    <w:basedOn w:val="Fuentedeprrafopredeter"/>
    <w:link w:val="Textoindependiente"/>
    <w:uiPriority w:val="99"/>
    <w:rsid w:val="00DA796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A7963"/>
    <w:pPr>
      <w:autoSpaceDE w:val="0"/>
      <w:autoSpaceDN w:val="0"/>
    </w:pPr>
    <w:rPr>
      <w:lang w:eastAsia="es-ES"/>
    </w:rPr>
  </w:style>
  <w:style w:type="character" w:customStyle="1" w:styleId="TextonotapieCar">
    <w:name w:val="Texto nota pie Car"/>
    <w:basedOn w:val="Fuentedeprrafopredeter"/>
    <w:link w:val="Textonotapie"/>
    <w:uiPriority w:val="99"/>
    <w:rsid w:val="00DA796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A79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A7963"/>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A7963"/>
    <w:pPr>
      <w:tabs>
        <w:tab w:val="center" w:pos="4419"/>
        <w:tab w:val="right" w:pos="8838"/>
      </w:tabs>
    </w:pPr>
  </w:style>
  <w:style w:type="character" w:customStyle="1" w:styleId="EncabezadoCar">
    <w:name w:val="Encabezado Car"/>
    <w:basedOn w:val="Fuentedeprrafopredeter"/>
    <w:link w:val="Encabezado"/>
    <w:uiPriority w:val="99"/>
    <w:rsid w:val="00DA796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A7963"/>
    <w:pPr>
      <w:tabs>
        <w:tab w:val="center" w:pos="4419"/>
        <w:tab w:val="right" w:pos="8838"/>
      </w:tabs>
    </w:pPr>
  </w:style>
  <w:style w:type="character" w:customStyle="1" w:styleId="PiedepginaCar">
    <w:name w:val="Pie de página Car"/>
    <w:basedOn w:val="Fuentedeprrafopredeter"/>
    <w:link w:val="Piedepgina"/>
    <w:uiPriority w:val="99"/>
    <w:rsid w:val="00DA7963"/>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DA7963"/>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2079</Words>
  <Characters>11438</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2023-07-12T17:40:00Z</dcterms:created>
  <dcterms:modified xsi:type="dcterms:W3CDTF">2023-07-12T17:49:00Z</dcterms:modified>
</cp:coreProperties>
</file>