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EB90AC" w14:textId="77777777" w:rsidR="00D93822" w:rsidRPr="00800BE3" w:rsidRDefault="00D93822" w:rsidP="00800BE3">
      <w:pPr>
        <w:pStyle w:val="Sinespaciado"/>
      </w:pPr>
    </w:p>
    <w:tbl>
      <w:tblPr>
        <w:tblW w:w="9782" w:type="dxa"/>
        <w:tblInd w:w="-781" w:type="dxa"/>
        <w:tblLayout w:type="fixed"/>
        <w:tblCellMar>
          <w:left w:w="70" w:type="dxa"/>
          <w:right w:w="70" w:type="dxa"/>
        </w:tblCellMar>
        <w:tblLook w:val="04A0" w:firstRow="1" w:lastRow="0" w:firstColumn="1" w:lastColumn="0" w:noHBand="0" w:noVBand="1"/>
      </w:tblPr>
      <w:tblGrid>
        <w:gridCol w:w="2356"/>
        <w:gridCol w:w="7426"/>
      </w:tblGrid>
      <w:tr w:rsidR="00571114" w14:paraId="57DA8808" w14:textId="77777777" w:rsidTr="000074CE">
        <w:tc>
          <w:tcPr>
            <w:tcW w:w="2356" w:type="dxa"/>
          </w:tcPr>
          <w:p w14:paraId="5A0BF651" w14:textId="77777777" w:rsidR="00571114" w:rsidRDefault="00571114">
            <w:pPr>
              <w:spacing w:after="0" w:line="240" w:lineRule="auto"/>
              <w:rPr>
                <w:rFonts w:ascii="Arial" w:hAnsi="Arial" w:cs="Arial"/>
                <w:b/>
                <w:sz w:val="26"/>
                <w:szCs w:val="26"/>
                <w:lang w:val="es-ES"/>
              </w:rPr>
            </w:pPr>
          </w:p>
        </w:tc>
        <w:tc>
          <w:tcPr>
            <w:tcW w:w="7426" w:type="dxa"/>
          </w:tcPr>
          <w:p w14:paraId="17F55A72" w14:textId="77777777" w:rsidR="00571114" w:rsidRDefault="00571114">
            <w:pPr>
              <w:tabs>
                <w:tab w:val="left" w:pos="3103"/>
              </w:tabs>
              <w:spacing w:after="0" w:line="240" w:lineRule="auto"/>
              <w:ind w:left="1119" w:right="709" w:hanging="1119"/>
              <w:jc w:val="both"/>
              <w:rPr>
                <w:rFonts w:ascii="Arial" w:hAnsi="Arial" w:cs="Arial"/>
                <w:b/>
                <w:iCs/>
                <w:caps/>
                <w:sz w:val="26"/>
                <w:szCs w:val="26"/>
              </w:rPr>
            </w:pPr>
            <w:r>
              <w:rPr>
                <w:rFonts w:ascii="Arial" w:hAnsi="Arial" w:cs="Arial"/>
                <w:b/>
                <w:i/>
                <w:iCs/>
                <w:caps/>
                <w:sz w:val="26"/>
                <w:szCs w:val="26"/>
                <w:lang w:val="es-ES"/>
              </w:rPr>
              <w:t xml:space="preserve">               </w:t>
            </w:r>
            <w:r>
              <w:rPr>
                <w:rFonts w:ascii="Arial" w:hAnsi="Arial" w:cs="Arial"/>
                <w:b/>
                <w:iCs/>
                <w:caps/>
                <w:sz w:val="26"/>
                <w:szCs w:val="26"/>
                <w:lang w:val="es-ES"/>
              </w:rPr>
              <w:t>SALA SUPERIOR DEL TRIBUNAL DE justicia administrativa DEL ESTADO de oaxaca.</w:t>
            </w:r>
          </w:p>
          <w:p w14:paraId="3A9B72CC" w14:textId="77777777" w:rsidR="00571114"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w:t>
            </w:r>
          </w:p>
          <w:p w14:paraId="788FDC77" w14:textId="29064376" w:rsidR="00571114" w:rsidRDefault="00571114" w:rsidP="00F350B2">
            <w:pPr>
              <w:tabs>
                <w:tab w:val="center" w:pos="4252"/>
                <w:tab w:val="right" w:pos="8504"/>
              </w:tabs>
              <w:spacing w:after="0" w:line="240" w:lineRule="auto"/>
              <w:ind w:left="1190" w:right="70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RECURSO DE REVISIÓN: </w:t>
            </w:r>
            <w:r w:rsidR="00C00A19">
              <w:rPr>
                <w:rFonts w:ascii="Arial" w:eastAsia="PMingLiU" w:hAnsi="Arial" w:cs="Arial"/>
                <w:b/>
                <w:iCs/>
                <w:caps/>
                <w:sz w:val="26"/>
                <w:szCs w:val="26"/>
                <w:lang w:val="es-PE" w:eastAsia="zh-TW"/>
              </w:rPr>
              <w:t>00</w:t>
            </w:r>
            <w:r w:rsidR="00F350B2">
              <w:rPr>
                <w:rFonts w:ascii="Arial" w:eastAsia="PMingLiU" w:hAnsi="Arial" w:cs="Arial"/>
                <w:b/>
                <w:iCs/>
                <w:caps/>
                <w:sz w:val="26"/>
                <w:szCs w:val="26"/>
                <w:lang w:val="es-PE" w:eastAsia="zh-TW"/>
              </w:rPr>
              <w:t>9</w:t>
            </w:r>
            <w:r w:rsidR="005D5102">
              <w:rPr>
                <w:rFonts w:ascii="Arial" w:eastAsia="PMingLiU" w:hAnsi="Arial" w:cs="Arial"/>
                <w:b/>
                <w:iCs/>
                <w:caps/>
                <w:sz w:val="26"/>
                <w:szCs w:val="26"/>
                <w:lang w:val="es-PE" w:eastAsia="zh-TW"/>
              </w:rPr>
              <w:t>2</w:t>
            </w:r>
            <w:r w:rsidR="001A4A0D">
              <w:rPr>
                <w:rFonts w:ascii="Arial" w:eastAsia="PMingLiU" w:hAnsi="Arial" w:cs="Arial"/>
                <w:b/>
                <w:iCs/>
                <w:caps/>
                <w:sz w:val="26"/>
                <w:szCs w:val="26"/>
                <w:lang w:val="es-PE" w:eastAsia="zh-TW"/>
              </w:rPr>
              <w:t>/</w:t>
            </w:r>
            <w:r w:rsidR="00C00A19">
              <w:rPr>
                <w:rFonts w:ascii="Arial" w:eastAsia="PMingLiU" w:hAnsi="Arial" w:cs="Arial"/>
                <w:b/>
                <w:iCs/>
                <w:caps/>
                <w:sz w:val="26"/>
                <w:szCs w:val="26"/>
                <w:lang w:val="es-PE" w:eastAsia="zh-TW"/>
              </w:rPr>
              <w:t>2020.</w:t>
            </w:r>
          </w:p>
          <w:p w14:paraId="4209B1B3" w14:textId="77777777" w:rsidR="00571114"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p>
          <w:p w14:paraId="08F2EC3C" w14:textId="5435C64F" w:rsidR="00571114" w:rsidRDefault="00571114">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EXPEDIENTE</w:t>
            </w:r>
            <w:r>
              <w:rPr>
                <w:rFonts w:ascii="Arial" w:eastAsia="PMingLiU" w:hAnsi="Arial" w:cs="Arial"/>
                <w:b/>
                <w:iCs/>
                <w:caps/>
                <w:sz w:val="26"/>
                <w:szCs w:val="26"/>
                <w:lang w:val="es-ES" w:eastAsia="zh-TW"/>
              </w:rPr>
              <w:t>:</w:t>
            </w:r>
            <w:r>
              <w:rPr>
                <w:rFonts w:ascii="Arial" w:eastAsia="PMingLiU" w:hAnsi="Arial" w:cs="Arial"/>
                <w:b/>
                <w:iCs/>
                <w:caps/>
                <w:sz w:val="26"/>
                <w:szCs w:val="26"/>
                <w:lang w:val="es-PE" w:eastAsia="zh-TW"/>
              </w:rPr>
              <w:t xml:space="preserve"> </w:t>
            </w:r>
            <w:r w:rsidR="00F350B2">
              <w:rPr>
                <w:rFonts w:ascii="Arial" w:eastAsia="PMingLiU" w:hAnsi="Arial" w:cs="Arial"/>
                <w:b/>
                <w:iCs/>
                <w:caps/>
                <w:sz w:val="26"/>
                <w:szCs w:val="26"/>
                <w:lang w:val="es-PE" w:eastAsia="zh-TW"/>
              </w:rPr>
              <w:t>0</w:t>
            </w:r>
            <w:r w:rsidR="00C00A19">
              <w:rPr>
                <w:rFonts w:ascii="Arial" w:eastAsia="PMingLiU" w:hAnsi="Arial" w:cs="Arial"/>
                <w:b/>
                <w:iCs/>
                <w:caps/>
                <w:sz w:val="26"/>
                <w:szCs w:val="26"/>
                <w:lang w:val="es-PE" w:eastAsia="zh-TW"/>
              </w:rPr>
              <w:t>124</w:t>
            </w:r>
            <w:r w:rsidR="00F350B2">
              <w:rPr>
                <w:rFonts w:ascii="Arial" w:eastAsia="PMingLiU" w:hAnsi="Arial" w:cs="Arial"/>
                <w:b/>
                <w:iCs/>
                <w:caps/>
                <w:sz w:val="26"/>
                <w:szCs w:val="26"/>
                <w:lang w:val="es-PE" w:eastAsia="zh-TW"/>
              </w:rPr>
              <w:t>/2019</w:t>
            </w:r>
            <w:r>
              <w:rPr>
                <w:rFonts w:ascii="Arial" w:eastAsia="PMingLiU" w:hAnsi="Arial" w:cs="Arial"/>
                <w:b/>
                <w:iCs/>
                <w:caps/>
                <w:sz w:val="26"/>
                <w:szCs w:val="26"/>
                <w:lang w:val="es-PE" w:eastAsia="zh-TW"/>
              </w:rPr>
              <w:t xml:space="preserve"> de la </w:t>
            </w:r>
            <w:r w:rsidR="00C00A19">
              <w:rPr>
                <w:rFonts w:ascii="Arial" w:eastAsia="PMingLiU" w:hAnsi="Arial" w:cs="Arial"/>
                <w:b/>
                <w:iCs/>
                <w:caps/>
                <w:sz w:val="26"/>
                <w:szCs w:val="26"/>
                <w:lang w:val="es-PE" w:eastAsia="zh-TW"/>
              </w:rPr>
              <w:t xml:space="preserve">primera </w:t>
            </w:r>
            <w:r>
              <w:rPr>
                <w:rFonts w:ascii="Arial" w:eastAsia="PMingLiU" w:hAnsi="Arial" w:cs="Arial"/>
                <w:b/>
                <w:iCs/>
                <w:caps/>
                <w:sz w:val="26"/>
                <w:szCs w:val="26"/>
                <w:lang w:val="es-PE" w:eastAsia="zh-TW"/>
              </w:rPr>
              <w:t xml:space="preserve">sala </w:t>
            </w:r>
            <w:bookmarkStart w:id="0" w:name="_GoBack"/>
            <w:bookmarkEnd w:id="0"/>
            <w:r>
              <w:rPr>
                <w:rFonts w:ascii="Arial" w:eastAsia="PMingLiU" w:hAnsi="Arial" w:cs="Arial"/>
                <w:b/>
                <w:iCs/>
                <w:caps/>
                <w:sz w:val="26"/>
                <w:szCs w:val="26"/>
                <w:lang w:val="es-PE" w:eastAsia="zh-TW"/>
              </w:rPr>
              <w:t>unitaria DE PRIMERA INSTANCIA.</w:t>
            </w:r>
          </w:p>
          <w:p w14:paraId="6A5D62DB" w14:textId="77777777" w:rsidR="00571114" w:rsidRDefault="00571114">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p>
          <w:p w14:paraId="1BA65A15" w14:textId="079CE018" w:rsidR="00571114" w:rsidRDefault="00571114" w:rsidP="00F350B2">
            <w:pPr>
              <w:tabs>
                <w:tab w:val="center" w:pos="4252"/>
                <w:tab w:val="right" w:pos="8504"/>
              </w:tabs>
              <w:spacing w:after="0" w:line="240" w:lineRule="auto"/>
              <w:ind w:left="1119" w:right="709" w:hanging="1134"/>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ponente:</w:t>
            </w:r>
            <w:r w:rsidR="00C4450E">
              <w:rPr>
                <w:rFonts w:ascii="Arial" w:eastAsia="PMingLiU" w:hAnsi="Arial" w:cs="Arial"/>
                <w:b/>
                <w:iCs/>
                <w:caps/>
                <w:sz w:val="26"/>
                <w:szCs w:val="26"/>
                <w:lang w:val="es-PE" w:eastAsia="zh-TW"/>
              </w:rPr>
              <w:t xml:space="preserve"> </w:t>
            </w:r>
            <w:r w:rsidR="00644262">
              <w:rPr>
                <w:rFonts w:ascii="Arial" w:eastAsia="PMingLiU" w:hAnsi="Arial" w:cs="Arial"/>
                <w:b/>
                <w:iCs/>
                <w:caps/>
                <w:sz w:val="26"/>
                <w:szCs w:val="26"/>
                <w:lang w:val="es-PE" w:eastAsia="zh-TW"/>
              </w:rPr>
              <w:t xml:space="preserve">MAGISTRADA </w:t>
            </w:r>
            <w:r w:rsidR="00F350B2">
              <w:rPr>
                <w:rFonts w:ascii="Arial" w:eastAsia="PMingLiU" w:hAnsi="Arial" w:cs="Arial"/>
                <w:b/>
                <w:iCs/>
                <w:caps/>
                <w:sz w:val="26"/>
                <w:szCs w:val="26"/>
                <w:lang w:val="es-PE" w:eastAsia="zh-TW"/>
              </w:rPr>
              <w:t>GLORIA DEL CARMEN CAMACHO MEZA.</w:t>
            </w:r>
          </w:p>
        </w:tc>
      </w:tr>
      <w:tr w:rsidR="00571114" w14:paraId="2E2732D1" w14:textId="77777777" w:rsidTr="000074CE">
        <w:tc>
          <w:tcPr>
            <w:tcW w:w="2356" w:type="dxa"/>
          </w:tcPr>
          <w:p w14:paraId="75A181C8" w14:textId="77777777" w:rsidR="00571114" w:rsidRDefault="00571114">
            <w:pPr>
              <w:spacing w:after="0" w:line="240" w:lineRule="auto"/>
              <w:rPr>
                <w:rFonts w:ascii="Arial" w:eastAsiaTheme="minorHAnsi" w:hAnsi="Arial" w:cs="Arial"/>
                <w:b/>
                <w:sz w:val="26"/>
                <w:szCs w:val="26"/>
                <w:lang w:val="es-ES" w:eastAsia="en-US"/>
              </w:rPr>
            </w:pPr>
          </w:p>
        </w:tc>
        <w:tc>
          <w:tcPr>
            <w:tcW w:w="7426" w:type="dxa"/>
            <w:hideMark/>
          </w:tcPr>
          <w:p w14:paraId="4FFCBE8E" w14:textId="77777777" w:rsidR="00571114" w:rsidRDefault="00571114">
            <w:pPr>
              <w:tabs>
                <w:tab w:val="left" w:pos="3103"/>
              </w:tabs>
              <w:spacing w:after="0" w:line="240" w:lineRule="auto"/>
              <w:ind w:left="2961" w:hanging="2961"/>
              <w:jc w:val="both"/>
              <w:rPr>
                <w:rFonts w:ascii="Arial" w:hAnsi="Arial" w:cs="Arial"/>
                <w:b/>
                <w:iCs/>
                <w:caps/>
                <w:sz w:val="26"/>
                <w:szCs w:val="26"/>
                <w:lang w:val="es-ES"/>
              </w:rPr>
            </w:pPr>
            <w:r>
              <w:rPr>
                <w:rFonts w:ascii="Arial" w:hAnsi="Arial" w:cs="Arial"/>
                <w:b/>
                <w:i/>
                <w:iCs/>
                <w:caps/>
                <w:sz w:val="26"/>
                <w:szCs w:val="26"/>
                <w:lang w:val="es-ES"/>
              </w:rPr>
              <w:t xml:space="preserve">                                   </w:t>
            </w:r>
          </w:p>
        </w:tc>
      </w:tr>
      <w:tr w:rsidR="00571114" w14:paraId="63E4C78C" w14:textId="77777777" w:rsidTr="000074CE">
        <w:tc>
          <w:tcPr>
            <w:tcW w:w="2356" w:type="dxa"/>
          </w:tcPr>
          <w:p w14:paraId="30D53E9D" w14:textId="77777777" w:rsidR="00571114" w:rsidRDefault="00571114">
            <w:pPr>
              <w:spacing w:after="0" w:line="240" w:lineRule="auto"/>
              <w:rPr>
                <w:rFonts w:ascii="Arial" w:hAnsi="Arial" w:cs="Arial"/>
                <w:b/>
                <w:sz w:val="26"/>
                <w:szCs w:val="26"/>
                <w:lang w:val="es-ES"/>
              </w:rPr>
            </w:pPr>
          </w:p>
        </w:tc>
        <w:tc>
          <w:tcPr>
            <w:tcW w:w="7426" w:type="dxa"/>
          </w:tcPr>
          <w:p w14:paraId="7FCFD9D5" w14:textId="77777777" w:rsidR="00571114" w:rsidRDefault="00571114">
            <w:pPr>
              <w:tabs>
                <w:tab w:val="left" w:pos="3103"/>
              </w:tabs>
              <w:spacing w:after="0" w:line="240" w:lineRule="auto"/>
              <w:ind w:left="2961" w:hanging="2961"/>
              <w:jc w:val="both"/>
              <w:rPr>
                <w:rFonts w:ascii="Arial" w:hAnsi="Arial" w:cs="Arial"/>
                <w:b/>
                <w:i/>
                <w:iCs/>
                <w:caps/>
                <w:sz w:val="26"/>
                <w:szCs w:val="26"/>
                <w:lang w:val="es-ES"/>
              </w:rPr>
            </w:pPr>
          </w:p>
        </w:tc>
      </w:tr>
    </w:tbl>
    <w:p w14:paraId="5AC839C6" w14:textId="0E9A3A31" w:rsidR="00571114" w:rsidRDefault="00571114" w:rsidP="001B1BF6">
      <w:pPr>
        <w:spacing w:after="0" w:line="360" w:lineRule="auto"/>
        <w:jc w:val="both"/>
        <w:rPr>
          <w:rFonts w:ascii="Arial" w:hAnsi="Arial" w:cs="Arial"/>
          <w:b/>
          <w:sz w:val="26"/>
          <w:szCs w:val="26"/>
          <w:lang w:val="es-ES"/>
        </w:rPr>
      </w:pPr>
      <w:r>
        <w:rPr>
          <w:rFonts w:ascii="Arial" w:hAnsi="Arial" w:cs="Arial"/>
          <w:b/>
          <w:sz w:val="26"/>
          <w:szCs w:val="26"/>
          <w:lang w:val="es-ES"/>
        </w:rPr>
        <w:t xml:space="preserve">OAXACA DE JUÁREZ, OAXACA A </w:t>
      </w:r>
      <w:r w:rsidR="004558DD">
        <w:rPr>
          <w:rFonts w:ascii="Arial" w:hAnsi="Arial" w:cs="Arial"/>
          <w:b/>
          <w:sz w:val="26"/>
          <w:szCs w:val="26"/>
          <w:lang w:val="es-ES"/>
        </w:rPr>
        <w:t xml:space="preserve">SEIS DE MAYO </w:t>
      </w:r>
      <w:r>
        <w:rPr>
          <w:rFonts w:ascii="Arial" w:hAnsi="Arial" w:cs="Arial"/>
          <w:b/>
          <w:sz w:val="26"/>
          <w:szCs w:val="26"/>
          <w:lang w:val="es-ES"/>
        </w:rPr>
        <w:t xml:space="preserve">DE DOS MIL </w:t>
      </w:r>
      <w:r w:rsidR="004558DD">
        <w:rPr>
          <w:rFonts w:ascii="Arial" w:hAnsi="Arial" w:cs="Arial"/>
          <w:b/>
          <w:sz w:val="26"/>
          <w:szCs w:val="26"/>
          <w:lang w:val="es-ES"/>
        </w:rPr>
        <w:t>VEINTIUNO. -</w:t>
      </w:r>
      <w:r>
        <w:rPr>
          <w:rFonts w:ascii="Arial" w:hAnsi="Arial" w:cs="Arial"/>
          <w:b/>
          <w:sz w:val="26"/>
          <w:szCs w:val="26"/>
          <w:lang w:val="es-ES"/>
        </w:rPr>
        <w:t xml:space="preserve"> - - - - - - - - - - - - - - - - - - - - - - - - - - - - - - - - </w:t>
      </w:r>
      <w:r w:rsidR="004558DD">
        <w:rPr>
          <w:rFonts w:ascii="Arial" w:hAnsi="Arial" w:cs="Arial"/>
          <w:b/>
          <w:sz w:val="26"/>
          <w:szCs w:val="26"/>
          <w:lang w:val="es-ES"/>
        </w:rPr>
        <w:t>- - - - - - - - - -</w:t>
      </w:r>
    </w:p>
    <w:p w14:paraId="1E0F5F2F" w14:textId="01ADF6AA" w:rsidR="00FB6B60" w:rsidRDefault="00571114" w:rsidP="00C335D7">
      <w:pPr>
        <w:widowControl w:val="0"/>
        <w:tabs>
          <w:tab w:val="left" w:pos="7938"/>
        </w:tabs>
        <w:spacing w:before="240" w:line="360" w:lineRule="auto"/>
        <w:ind w:right="18" w:firstLine="709"/>
        <w:jc w:val="both"/>
        <w:rPr>
          <w:rFonts w:ascii="Arial" w:hAnsi="Arial" w:cs="Arial"/>
          <w:sz w:val="26"/>
          <w:szCs w:val="26"/>
        </w:rPr>
      </w:pPr>
      <w:r>
        <w:rPr>
          <w:rFonts w:ascii="Arial" w:eastAsia="Calibri" w:hAnsi="Arial" w:cs="Arial"/>
          <w:sz w:val="26"/>
          <w:szCs w:val="26"/>
        </w:rPr>
        <w:t xml:space="preserve">Por recibido </w:t>
      </w:r>
      <w:r w:rsidR="00C00A19">
        <w:rPr>
          <w:rFonts w:ascii="Arial" w:eastAsia="Calibri" w:hAnsi="Arial" w:cs="Arial"/>
          <w:sz w:val="26"/>
          <w:szCs w:val="26"/>
        </w:rPr>
        <w:t>el</w:t>
      </w:r>
      <w:r>
        <w:rPr>
          <w:rFonts w:ascii="Arial" w:eastAsia="Calibri" w:hAnsi="Arial" w:cs="Arial"/>
          <w:sz w:val="26"/>
          <w:szCs w:val="26"/>
        </w:rPr>
        <w:t xml:space="preserve"> Cuaderno de Revisión </w:t>
      </w:r>
      <w:r w:rsidR="00C00A19">
        <w:rPr>
          <w:rFonts w:ascii="Arial" w:eastAsia="PMingLiU" w:hAnsi="Arial" w:cs="Arial"/>
          <w:b/>
          <w:iCs/>
          <w:caps/>
          <w:sz w:val="26"/>
          <w:szCs w:val="26"/>
          <w:lang w:val="es-PE" w:eastAsia="zh-TW"/>
        </w:rPr>
        <w:t>0092</w:t>
      </w:r>
      <w:r w:rsidR="00F350B2">
        <w:rPr>
          <w:rFonts w:ascii="Arial" w:eastAsia="PMingLiU" w:hAnsi="Arial" w:cs="Arial"/>
          <w:b/>
          <w:iCs/>
          <w:caps/>
          <w:sz w:val="26"/>
          <w:szCs w:val="26"/>
          <w:lang w:val="es-PE" w:eastAsia="zh-TW"/>
        </w:rPr>
        <w:t xml:space="preserve">/2020 </w:t>
      </w:r>
      <w:r>
        <w:rPr>
          <w:rFonts w:ascii="Arial" w:eastAsia="Calibri" w:hAnsi="Arial" w:cs="Arial"/>
          <w:sz w:val="26"/>
          <w:szCs w:val="26"/>
        </w:rPr>
        <w:t>que remite la Secretaría General de Acuerdos, con motivo del recurso de revisión interpuesto por</w:t>
      </w:r>
      <w:r w:rsidR="00FE3EB3">
        <w:rPr>
          <w:rFonts w:ascii="Arial" w:eastAsia="Calibri" w:hAnsi="Arial" w:cs="Arial"/>
          <w:sz w:val="26"/>
          <w:szCs w:val="26"/>
        </w:rPr>
        <w:t xml:space="preserve"> </w:t>
      </w:r>
      <w:r w:rsidR="00C335D7">
        <w:rPr>
          <w:rFonts w:ascii="Arial" w:hAnsi="Arial" w:cs="Arial"/>
          <w:b/>
          <w:sz w:val="24"/>
          <w:szCs w:val="24"/>
        </w:rPr>
        <w:t>David Antonio Jiménez, en su carácter de DIRECTOR GENERAL DE LA POLICÍA VIAL ESTATAL</w:t>
      </w:r>
      <w:r w:rsidR="00D221F1">
        <w:rPr>
          <w:rFonts w:ascii="Arial" w:hAnsi="Arial" w:cs="Arial"/>
          <w:b/>
          <w:bCs/>
          <w:color w:val="000000"/>
          <w:sz w:val="26"/>
          <w:szCs w:val="26"/>
        </w:rPr>
        <w:t>,</w:t>
      </w:r>
      <w:r w:rsidR="00F350B2">
        <w:rPr>
          <w:rFonts w:ascii="Arial" w:hAnsi="Arial" w:cs="Arial"/>
          <w:b/>
          <w:bCs/>
          <w:color w:val="000000"/>
          <w:sz w:val="26"/>
          <w:szCs w:val="26"/>
        </w:rPr>
        <w:t xml:space="preserve"> </w:t>
      </w:r>
      <w:r>
        <w:rPr>
          <w:rFonts w:ascii="Arial" w:eastAsia="Calibri" w:hAnsi="Arial" w:cs="Arial"/>
          <w:sz w:val="26"/>
          <w:szCs w:val="26"/>
        </w:rPr>
        <w:t xml:space="preserve">en contra de la sentencia de fecha </w:t>
      </w:r>
      <w:r w:rsidR="00C00A19">
        <w:rPr>
          <w:rFonts w:ascii="Arial" w:eastAsia="Calibri" w:hAnsi="Arial" w:cs="Arial"/>
          <w:sz w:val="26"/>
          <w:szCs w:val="26"/>
        </w:rPr>
        <w:t xml:space="preserve">veintiocho de enero </w:t>
      </w:r>
      <w:r w:rsidR="00F350B2">
        <w:rPr>
          <w:rFonts w:ascii="Arial" w:eastAsia="Calibri" w:hAnsi="Arial" w:cs="Arial"/>
          <w:sz w:val="26"/>
          <w:szCs w:val="26"/>
        </w:rPr>
        <w:t>de dos mil veinte</w:t>
      </w:r>
      <w:r>
        <w:rPr>
          <w:rFonts w:ascii="Arial" w:eastAsia="Calibri" w:hAnsi="Arial" w:cs="Arial"/>
          <w:sz w:val="26"/>
          <w:szCs w:val="26"/>
        </w:rPr>
        <w:t xml:space="preserve">, dictada por </w:t>
      </w:r>
      <w:r w:rsidR="008D76E6">
        <w:rPr>
          <w:rFonts w:ascii="Arial" w:eastAsia="Calibri" w:hAnsi="Arial" w:cs="Arial"/>
          <w:sz w:val="26"/>
          <w:szCs w:val="26"/>
        </w:rPr>
        <w:t xml:space="preserve">la </w:t>
      </w:r>
      <w:r>
        <w:rPr>
          <w:rFonts w:ascii="Arial" w:eastAsia="Calibri" w:hAnsi="Arial" w:cs="Arial"/>
          <w:sz w:val="26"/>
          <w:szCs w:val="26"/>
        </w:rPr>
        <w:t>Magistrad</w:t>
      </w:r>
      <w:r w:rsidR="008D76E6">
        <w:rPr>
          <w:rFonts w:ascii="Arial" w:eastAsia="Calibri" w:hAnsi="Arial" w:cs="Arial"/>
          <w:sz w:val="26"/>
          <w:szCs w:val="26"/>
        </w:rPr>
        <w:t>a</w:t>
      </w:r>
      <w:r>
        <w:rPr>
          <w:rFonts w:ascii="Arial" w:eastAsia="Calibri" w:hAnsi="Arial" w:cs="Arial"/>
          <w:sz w:val="26"/>
          <w:szCs w:val="26"/>
        </w:rPr>
        <w:t xml:space="preserve"> de la </w:t>
      </w:r>
      <w:r w:rsidR="008D76E6">
        <w:rPr>
          <w:rFonts w:ascii="Arial" w:eastAsia="Calibri" w:hAnsi="Arial" w:cs="Arial"/>
          <w:sz w:val="26"/>
          <w:szCs w:val="26"/>
        </w:rPr>
        <w:t>Primera</w:t>
      </w:r>
      <w:r>
        <w:rPr>
          <w:rFonts w:ascii="Arial" w:eastAsia="Calibri" w:hAnsi="Arial" w:cs="Arial"/>
          <w:sz w:val="26"/>
          <w:szCs w:val="26"/>
        </w:rPr>
        <w:t xml:space="preserve"> Sala Unitaria de Prim</w:t>
      </w:r>
      <w:r w:rsidR="007020F5">
        <w:rPr>
          <w:rFonts w:ascii="Arial" w:eastAsia="Calibri" w:hAnsi="Arial" w:cs="Arial"/>
          <w:sz w:val="26"/>
          <w:szCs w:val="26"/>
        </w:rPr>
        <w:t xml:space="preserve">era Instancia de este Tribunal, </w:t>
      </w:r>
      <w:r>
        <w:rPr>
          <w:rFonts w:ascii="Arial" w:eastAsia="Calibri" w:hAnsi="Arial" w:cs="Arial"/>
          <w:sz w:val="26"/>
          <w:szCs w:val="26"/>
        </w:rPr>
        <w:t xml:space="preserve">en el juicio de nulidad </w:t>
      </w:r>
      <w:r w:rsidR="00C00A19">
        <w:rPr>
          <w:rFonts w:ascii="Arial" w:eastAsia="Calibri" w:hAnsi="Arial" w:cs="Arial"/>
          <w:b/>
          <w:sz w:val="26"/>
          <w:szCs w:val="26"/>
        </w:rPr>
        <w:t>0124</w:t>
      </w:r>
      <w:r w:rsidR="0036367D">
        <w:rPr>
          <w:rFonts w:ascii="Arial" w:eastAsia="Calibri" w:hAnsi="Arial" w:cs="Arial"/>
          <w:b/>
          <w:sz w:val="26"/>
          <w:szCs w:val="26"/>
        </w:rPr>
        <w:t>/2019</w:t>
      </w:r>
      <w:r>
        <w:rPr>
          <w:rFonts w:ascii="Arial" w:eastAsia="Calibri" w:hAnsi="Arial" w:cs="Arial"/>
          <w:b/>
          <w:sz w:val="26"/>
          <w:szCs w:val="26"/>
        </w:rPr>
        <w:t xml:space="preserve"> </w:t>
      </w:r>
      <w:r>
        <w:rPr>
          <w:rFonts w:ascii="Arial" w:eastAsia="Calibri" w:hAnsi="Arial" w:cs="Arial"/>
          <w:sz w:val="26"/>
          <w:szCs w:val="26"/>
        </w:rPr>
        <w:t>relativo al juicio promovido por</w:t>
      </w:r>
      <w:r w:rsidR="005F56E0">
        <w:rPr>
          <w:rFonts w:ascii="Arial" w:eastAsia="Calibri" w:hAnsi="Arial" w:cs="Arial"/>
          <w:sz w:val="26"/>
          <w:szCs w:val="26"/>
        </w:rPr>
        <w:t xml:space="preserve"> </w:t>
      </w:r>
      <w:r w:rsidR="005F56E0">
        <w:rPr>
          <w:rFonts w:ascii="Arial" w:hAnsi="Arial" w:cs="Arial"/>
          <w:b/>
          <w:bCs/>
          <w:sz w:val="24"/>
          <w:szCs w:val="24"/>
        </w:rPr>
        <w:t>***********</w:t>
      </w:r>
      <w:r w:rsidR="00B02F70">
        <w:rPr>
          <w:rFonts w:ascii="Arial" w:eastAsia="Calibri" w:hAnsi="Arial" w:cs="Arial"/>
          <w:b/>
          <w:sz w:val="26"/>
          <w:szCs w:val="26"/>
        </w:rPr>
        <w:t>,</w:t>
      </w:r>
      <w:r>
        <w:rPr>
          <w:rFonts w:ascii="Arial" w:eastAsia="Calibri" w:hAnsi="Arial" w:cs="Arial"/>
          <w:b/>
          <w:sz w:val="26"/>
          <w:szCs w:val="26"/>
        </w:rPr>
        <w:t xml:space="preserve"> </w:t>
      </w:r>
      <w:r>
        <w:rPr>
          <w:rFonts w:ascii="Arial" w:eastAsia="Calibri" w:hAnsi="Arial" w:cs="Arial"/>
          <w:sz w:val="26"/>
          <w:szCs w:val="26"/>
        </w:rPr>
        <w:t>en contra de</w:t>
      </w:r>
      <w:r w:rsidR="00C00A19">
        <w:rPr>
          <w:rFonts w:ascii="Arial" w:eastAsia="Calibri" w:hAnsi="Arial" w:cs="Arial"/>
          <w:sz w:val="26"/>
          <w:szCs w:val="26"/>
        </w:rPr>
        <w:t xml:space="preserve"> </w:t>
      </w:r>
      <w:r w:rsidR="00C00A19">
        <w:rPr>
          <w:rFonts w:ascii="Arial" w:eastAsia="Calibri" w:hAnsi="Arial" w:cs="Arial"/>
          <w:b/>
          <w:sz w:val="26"/>
          <w:szCs w:val="26"/>
        </w:rPr>
        <w:t xml:space="preserve">IRÁN JULIÁN QUIÑONEZ, </w:t>
      </w:r>
      <w:r w:rsidR="00FB6C3B">
        <w:rPr>
          <w:rFonts w:ascii="Arial" w:hAnsi="Arial" w:cs="Arial"/>
          <w:b/>
          <w:sz w:val="26"/>
          <w:szCs w:val="26"/>
        </w:rPr>
        <w:t xml:space="preserve">POLICÍA VIAL </w:t>
      </w:r>
      <w:r w:rsidR="00C00A19">
        <w:rPr>
          <w:rFonts w:ascii="Arial" w:hAnsi="Arial" w:cs="Arial"/>
          <w:b/>
          <w:sz w:val="26"/>
          <w:szCs w:val="26"/>
        </w:rPr>
        <w:t>ESTATAL</w:t>
      </w:r>
      <w:r w:rsidR="00C00A19">
        <w:rPr>
          <w:rFonts w:ascii="Arial" w:eastAsia="Calibri" w:hAnsi="Arial" w:cs="Arial"/>
          <w:b/>
          <w:sz w:val="26"/>
          <w:szCs w:val="26"/>
        </w:rPr>
        <w:t xml:space="preserve"> CON NÚMERO DE IDENTIFICACI</w:t>
      </w:r>
      <w:r w:rsidR="007020F5">
        <w:rPr>
          <w:rFonts w:ascii="Arial" w:eastAsia="Calibri" w:hAnsi="Arial" w:cs="Arial"/>
          <w:b/>
          <w:sz w:val="26"/>
          <w:szCs w:val="26"/>
        </w:rPr>
        <w:t>ÓN 388</w:t>
      </w:r>
      <w:r w:rsidR="00C00A19">
        <w:rPr>
          <w:rFonts w:ascii="Arial" w:eastAsia="Calibri" w:hAnsi="Arial" w:cs="Arial"/>
          <w:b/>
          <w:sz w:val="26"/>
          <w:szCs w:val="26"/>
        </w:rPr>
        <w:t xml:space="preserve"> DEPENDIENTE DE LA DIRECCIÓN GENERAL DE LA POLICÍA ESTATAL DE OAXACA</w:t>
      </w:r>
      <w:r w:rsidR="007020F5">
        <w:rPr>
          <w:rFonts w:ascii="Arial" w:eastAsia="Calibri" w:hAnsi="Arial" w:cs="Arial"/>
          <w:b/>
          <w:sz w:val="26"/>
          <w:szCs w:val="26"/>
        </w:rPr>
        <w:t>,</w:t>
      </w:r>
      <w:r w:rsidR="00C00A19">
        <w:rPr>
          <w:rFonts w:ascii="Arial" w:eastAsia="Calibri" w:hAnsi="Arial" w:cs="Arial"/>
          <w:b/>
          <w:sz w:val="26"/>
          <w:szCs w:val="26"/>
        </w:rPr>
        <w:t xml:space="preserve"> </w:t>
      </w:r>
      <w:r w:rsidR="005D5102">
        <w:rPr>
          <w:rFonts w:ascii="Arial" w:eastAsia="Calibri" w:hAnsi="Arial" w:cs="Arial"/>
          <w:b/>
          <w:sz w:val="26"/>
          <w:szCs w:val="26"/>
        </w:rPr>
        <w:t xml:space="preserve">DIRECCIÓN </w:t>
      </w:r>
      <w:r w:rsidR="00C14CAD">
        <w:rPr>
          <w:rFonts w:ascii="Arial" w:eastAsia="Calibri" w:hAnsi="Arial" w:cs="Arial"/>
          <w:b/>
          <w:sz w:val="26"/>
          <w:szCs w:val="26"/>
        </w:rPr>
        <w:t>TRÁNSITO</w:t>
      </w:r>
      <w:r w:rsidR="005D5102">
        <w:rPr>
          <w:rFonts w:ascii="Arial" w:eastAsia="Calibri" w:hAnsi="Arial" w:cs="Arial"/>
          <w:b/>
          <w:sz w:val="26"/>
          <w:szCs w:val="26"/>
        </w:rPr>
        <w:t xml:space="preserve"> DEL ESTADO, </w:t>
      </w:r>
      <w:r w:rsidR="00C00A19">
        <w:rPr>
          <w:rFonts w:ascii="Arial" w:eastAsia="Calibri" w:hAnsi="Arial" w:cs="Arial"/>
          <w:b/>
          <w:sz w:val="26"/>
          <w:szCs w:val="26"/>
        </w:rPr>
        <w:t>y de la DIRECCIÓN DE INGRESOS Y RECAUDACIÓN, DEPENDIENTE DE LA SECRETARÍA DE FINANZAS DEL GOBIERNO DEL ESTADO,</w:t>
      </w:r>
      <w:r>
        <w:rPr>
          <w:rFonts w:ascii="Arial" w:eastAsia="Calibri" w:hAnsi="Arial" w:cs="Arial"/>
          <w:b/>
          <w:sz w:val="26"/>
          <w:szCs w:val="26"/>
        </w:rPr>
        <w:t xml:space="preserve"> </w:t>
      </w:r>
      <w:r>
        <w:rPr>
          <w:rFonts w:ascii="Arial" w:hAnsi="Arial" w:cs="Arial"/>
          <w:sz w:val="26"/>
          <w:szCs w:val="26"/>
        </w:rPr>
        <w:t>por lo que con fundamento en los artículos 236 y 237 de la Ley de Procedimiento y Justicia Administrativa para el Estado de Oaxaca, se admite. En consecuencia, se procede a dictar resolución en los siguientes términos:</w:t>
      </w:r>
      <w:r w:rsidR="00B02F70">
        <w:rPr>
          <w:rFonts w:ascii="Arial" w:hAnsi="Arial" w:cs="Arial"/>
          <w:sz w:val="26"/>
          <w:szCs w:val="26"/>
        </w:rPr>
        <w:t xml:space="preserve">- - - - - </w:t>
      </w:r>
      <w:r w:rsidR="00D221F1">
        <w:rPr>
          <w:rFonts w:ascii="Arial" w:hAnsi="Arial" w:cs="Arial"/>
          <w:sz w:val="26"/>
          <w:szCs w:val="26"/>
        </w:rPr>
        <w:t xml:space="preserve">- - - - - - - - - - - - - - - - </w:t>
      </w:r>
      <w:r w:rsidR="00C335D7">
        <w:rPr>
          <w:rFonts w:ascii="Arial" w:hAnsi="Arial" w:cs="Arial"/>
          <w:sz w:val="26"/>
          <w:szCs w:val="26"/>
        </w:rPr>
        <w:t xml:space="preserve">- - - - - - - - - - - - - - </w:t>
      </w:r>
      <w:r w:rsidR="005F56E0">
        <w:rPr>
          <w:rFonts w:ascii="Arial" w:hAnsi="Arial" w:cs="Arial"/>
          <w:sz w:val="26"/>
          <w:szCs w:val="26"/>
        </w:rPr>
        <w:t xml:space="preserve">- - - - - - - - - - - </w:t>
      </w:r>
    </w:p>
    <w:p w14:paraId="751FB8A8" w14:textId="60260BE5" w:rsidR="00571114" w:rsidRPr="00FB6B60" w:rsidRDefault="00571114" w:rsidP="00FB6B60">
      <w:pPr>
        <w:widowControl w:val="0"/>
        <w:tabs>
          <w:tab w:val="left" w:pos="7938"/>
        </w:tabs>
        <w:spacing w:before="240" w:line="360" w:lineRule="auto"/>
        <w:ind w:right="18" w:firstLine="709"/>
        <w:jc w:val="center"/>
        <w:rPr>
          <w:rFonts w:ascii="Arial" w:hAnsi="Arial" w:cs="Arial"/>
          <w:b/>
          <w:bCs/>
          <w:sz w:val="26"/>
          <w:szCs w:val="26"/>
          <w:lang w:val="es-ES"/>
        </w:rPr>
      </w:pPr>
      <w:r w:rsidRPr="00B02F70">
        <w:rPr>
          <w:rFonts w:ascii="Arial" w:hAnsi="Arial" w:cs="Arial"/>
          <w:b/>
          <w:bCs/>
          <w:sz w:val="26"/>
          <w:szCs w:val="26"/>
          <w:lang w:val="es-ES"/>
        </w:rPr>
        <w:t>R E S U L T A N D O</w:t>
      </w:r>
    </w:p>
    <w:p w14:paraId="4995B53C" w14:textId="4BA3FC09" w:rsidR="00571114" w:rsidRDefault="00571114" w:rsidP="00B02F70">
      <w:pPr>
        <w:spacing w:after="0" w:line="360" w:lineRule="auto"/>
        <w:ind w:firstLine="708"/>
        <w:jc w:val="both"/>
        <w:rPr>
          <w:rFonts w:ascii="Arial" w:hAnsi="Arial" w:cs="Arial"/>
          <w:sz w:val="26"/>
          <w:szCs w:val="26"/>
          <w:lang w:val="es-ES"/>
        </w:rPr>
      </w:pPr>
      <w:r>
        <w:rPr>
          <w:rFonts w:ascii="Arial" w:hAnsi="Arial" w:cs="Arial"/>
          <w:b/>
          <w:bCs/>
          <w:sz w:val="26"/>
          <w:szCs w:val="26"/>
          <w:lang w:val="es-ES"/>
        </w:rPr>
        <w:t xml:space="preserve">PRIMERO. </w:t>
      </w:r>
      <w:r>
        <w:rPr>
          <w:rFonts w:ascii="Arial" w:hAnsi="Arial" w:cs="Arial"/>
          <w:sz w:val="26"/>
          <w:szCs w:val="26"/>
          <w:lang w:val="es-ES"/>
        </w:rPr>
        <w:t>Inconforme con la sentencia</w:t>
      </w:r>
      <w:r w:rsidR="00F12F3D">
        <w:rPr>
          <w:rFonts w:ascii="Arial" w:hAnsi="Arial" w:cs="Arial"/>
          <w:sz w:val="26"/>
          <w:szCs w:val="26"/>
          <w:lang w:val="es-ES"/>
        </w:rPr>
        <w:t xml:space="preserve"> </w:t>
      </w:r>
      <w:r w:rsidR="00F12F3D" w:rsidRPr="001A1F7B">
        <w:rPr>
          <w:rFonts w:ascii="Arial" w:hAnsi="Arial" w:cs="Arial"/>
          <w:sz w:val="26"/>
          <w:szCs w:val="26"/>
          <w:lang w:val="es-ES"/>
        </w:rPr>
        <w:t xml:space="preserve">de </w:t>
      </w:r>
      <w:r w:rsidR="008D76E6" w:rsidRPr="001A1F7B">
        <w:rPr>
          <w:rFonts w:ascii="Arial" w:hAnsi="Arial" w:cs="Arial"/>
          <w:sz w:val="26"/>
          <w:szCs w:val="26"/>
          <w:lang w:val="es-ES"/>
        </w:rPr>
        <w:t>veinti</w:t>
      </w:r>
      <w:r w:rsidR="00D221F1" w:rsidRPr="001A1F7B">
        <w:rPr>
          <w:rFonts w:ascii="Arial" w:hAnsi="Arial" w:cs="Arial"/>
          <w:sz w:val="26"/>
          <w:szCs w:val="26"/>
          <w:lang w:val="es-ES"/>
        </w:rPr>
        <w:t xml:space="preserve">ocho de </w:t>
      </w:r>
      <w:r w:rsidR="008D76E6" w:rsidRPr="001A1F7B">
        <w:rPr>
          <w:rFonts w:ascii="Arial" w:hAnsi="Arial" w:cs="Arial"/>
          <w:sz w:val="26"/>
          <w:szCs w:val="26"/>
          <w:lang w:val="es-ES"/>
        </w:rPr>
        <w:t>enero</w:t>
      </w:r>
      <w:r w:rsidR="00B02F70" w:rsidRPr="001A1F7B">
        <w:rPr>
          <w:rFonts w:ascii="Arial" w:eastAsia="Calibri" w:hAnsi="Arial" w:cs="Arial"/>
          <w:sz w:val="26"/>
          <w:szCs w:val="26"/>
        </w:rPr>
        <w:t xml:space="preserve"> de dos mil veinte</w:t>
      </w:r>
      <w:r w:rsidRPr="001A1F7B">
        <w:rPr>
          <w:rFonts w:ascii="Arial" w:hAnsi="Arial" w:cs="Arial"/>
          <w:sz w:val="26"/>
          <w:szCs w:val="26"/>
          <w:lang w:val="es-ES"/>
        </w:rPr>
        <w:t xml:space="preserve">, dictada por </w:t>
      </w:r>
      <w:r w:rsidR="008D76E6" w:rsidRPr="001A1F7B">
        <w:rPr>
          <w:rFonts w:ascii="Arial" w:hAnsi="Arial" w:cs="Arial"/>
          <w:sz w:val="26"/>
          <w:szCs w:val="26"/>
          <w:lang w:val="es-ES"/>
        </w:rPr>
        <w:t xml:space="preserve">la </w:t>
      </w:r>
      <w:r w:rsidRPr="001A1F7B">
        <w:rPr>
          <w:rFonts w:ascii="Arial" w:eastAsia="Calibri" w:hAnsi="Arial" w:cs="Arial"/>
          <w:sz w:val="26"/>
          <w:szCs w:val="26"/>
        </w:rPr>
        <w:t>Magistrad</w:t>
      </w:r>
      <w:r w:rsidR="008D76E6" w:rsidRPr="001A1F7B">
        <w:rPr>
          <w:rFonts w:ascii="Arial" w:eastAsia="Calibri" w:hAnsi="Arial" w:cs="Arial"/>
          <w:sz w:val="26"/>
          <w:szCs w:val="26"/>
        </w:rPr>
        <w:t>a</w:t>
      </w:r>
      <w:r w:rsidRPr="001A1F7B">
        <w:rPr>
          <w:rFonts w:ascii="Arial" w:eastAsia="Calibri" w:hAnsi="Arial" w:cs="Arial"/>
          <w:sz w:val="26"/>
          <w:szCs w:val="26"/>
        </w:rPr>
        <w:t xml:space="preserve"> de la </w:t>
      </w:r>
      <w:r w:rsidR="008D76E6" w:rsidRPr="001A1F7B">
        <w:rPr>
          <w:rFonts w:ascii="Arial" w:eastAsia="Calibri" w:hAnsi="Arial" w:cs="Arial"/>
          <w:sz w:val="26"/>
          <w:szCs w:val="26"/>
        </w:rPr>
        <w:t>Primera</w:t>
      </w:r>
      <w:r w:rsidRPr="001A1F7B">
        <w:rPr>
          <w:rFonts w:ascii="Arial" w:eastAsia="Calibri" w:hAnsi="Arial" w:cs="Arial"/>
          <w:sz w:val="26"/>
          <w:szCs w:val="26"/>
        </w:rPr>
        <w:t xml:space="preserve"> </w:t>
      </w:r>
      <w:r w:rsidRPr="001A1F7B">
        <w:rPr>
          <w:rFonts w:ascii="Arial" w:hAnsi="Arial" w:cs="Arial"/>
          <w:sz w:val="26"/>
          <w:szCs w:val="26"/>
          <w:lang w:val="es-ES"/>
        </w:rPr>
        <w:t>Sala Unitaria de Primera Instancia de este Tribunal,</w:t>
      </w:r>
      <w:r w:rsidR="008D76E6" w:rsidRPr="001A1F7B">
        <w:rPr>
          <w:rFonts w:ascii="Arial" w:hAnsi="Arial" w:cs="Arial"/>
          <w:sz w:val="26"/>
          <w:szCs w:val="26"/>
          <w:lang w:val="es-ES"/>
        </w:rPr>
        <w:t xml:space="preserve"> </w:t>
      </w:r>
      <w:r w:rsidR="007020F5" w:rsidRPr="001A1F7B">
        <w:rPr>
          <w:rFonts w:ascii="Arial" w:hAnsi="Arial" w:cs="Arial"/>
          <w:b/>
          <w:sz w:val="24"/>
          <w:szCs w:val="24"/>
        </w:rPr>
        <w:t>David Antonio Jiménez, en su carácter</w:t>
      </w:r>
      <w:r w:rsidR="00F12F3D" w:rsidRPr="001A1F7B">
        <w:rPr>
          <w:rFonts w:ascii="Arial" w:hAnsi="Arial" w:cs="Arial"/>
          <w:b/>
          <w:sz w:val="26"/>
          <w:szCs w:val="26"/>
          <w:lang w:val="es-ES"/>
        </w:rPr>
        <w:t xml:space="preserve"> de </w:t>
      </w:r>
      <w:r w:rsidR="008D76E6" w:rsidRPr="001A1F7B">
        <w:rPr>
          <w:rFonts w:ascii="Arial" w:eastAsia="Calibri" w:hAnsi="Arial" w:cs="Arial"/>
          <w:b/>
          <w:sz w:val="26"/>
          <w:szCs w:val="26"/>
        </w:rPr>
        <w:t>DIRE</w:t>
      </w:r>
      <w:r w:rsidR="008D76E6">
        <w:rPr>
          <w:rFonts w:ascii="Arial" w:eastAsia="Calibri" w:hAnsi="Arial" w:cs="Arial"/>
          <w:b/>
          <w:sz w:val="26"/>
          <w:szCs w:val="26"/>
        </w:rPr>
        <w:t>CTOR GENERAL DE LA POLICÍA VIAL ESTATAL</w:t>
      </w:r>
      <w:r w:rsidR="008D76E6">
        <w:rPr>
          <w:rFonts w:ascii="Arial" w:hAnsi="Arial" w:cs="Arial"/>
          <w:b/>
          <w:bCs/>
          <w:color w:val="000000"/>
          <w:sz w:val="26"/>
          <w:szCs w:val="26"/>
        </w:rPr>
        <w:t xml:space="preserve">, </w:t>
      </w:r>
      <w:r>
        <w:rPr>
          <w:rFonts w:ascii="Arial" w:hAnsi="Arial" w:cs="Arial"/>
          <w:sz w:val="26"/>
          <w:szCs w:val="26"/>
          <w:lang w:val="es-ES"/>
        </w:rPr>
        <w:t>interpus</w:t>
      </w:r>
      <w:r w:rsidR="00D221F1">
        <w:rPr>
          <w:rFonts w:ascii="Arial" w:hAnsi="Arial" w:cs="Arial"/>
          <w:sz w:val="26"/>
          <w:szCs w:val="26"/>
          <w:lang w:val="es-ES"/>
        </w:rPr>
        <w:t>o</w:t>
      </w:r>
      <w:r>
        <w:rPr>
          <w:rFonts w:ascii="Arial" w:hAnsi="Arial" w:cs="Arial"/>
          <w:sz w:val="26"/>
          <w:szCs w:val="26"/>
          <w:lang w:val="es-ES"/>
        </w:rPr>
        <w:t xml:space="preserve"> en su contra recurso de </w:t>
      </w:r>
      <w:r w:rsidR="00F524D2">
        <w:rPr>
          <w:rFonts w:ascii="Arial" w:hAnsi="Arial" w:cs="Arial"/>
          <w:sz w:val="26"/>
          <w:szCs w:val="26"/>
          <w:lang w:val="es-ES"/>
        </w:rPr>
        <w:t>revisión. -</w:t>
      </w:r>
      <w:r w:rsidR="00B02F70">
        <w:rPr>
          <w:rFonts w:ascii="Arial" w:hAnsi="Arial" w:cs="Arial"/>
          <w:sz w:val="26"/>
          <w:szCs w:val="26"/>
          <w:lang w:val="es-ES"/>
        </w:rPr>
        <w:t xml:space="preserve"> - - - - - - - - - - - - </w:t>
      </w:r>
      <w:r w:rsidR="00CB5B7B">
        <w:rPr>
          <w:rFonts w:ascii="Arial" w:hAnsi="Arial" w:cs="Arial"/>
          <w:sz w:val="26"/>
          <w:szCs w:val="26"/>
          <w:lang w:val="es-ES"/>
        </w:rPr>
        <w:t xml:space="preserve">- - - - - - - - </w:t>
      </w:r>
    </w:p>
    <w:p w14:paraId="10B04C83" w14:textId="77777777" w:rsidR="006040B2" w:rsidRDefault="006040B2" w:rsidP="006040B2">
      <w:pPr>
        <w:pStyle w:val="Sinespaciado"/>
      </w:pPr>
    </w:p>
    <w:p w14:paraId="0F56A65A" w14:textId="56FFE6EC" w:rsidR="00571114" w:rsidRDefault="00571114" w:rsidP="00B02F70">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Los puntos resolutivos de la sentencia recurrida, son los siguientes:</w:t>
      </w:r>
      <w:r w:rsidR="00B02F70">
        <w:rPr>
          <w:rFonts w:ascii="Arial" w:hAnsi="Arial" w:cs="Arial"/>
          <w:sz w:val="26"/>
          <w:szCs w:val="26"/>
        </w:rPr>
        <w:t xml:space="preserve">- - - - - - - - - - - - - - - - - - - - - - - - - - - - - - - - - - - - - - - - - - </w:t>
      </w:r>
    </w:p>
    <w:p w14:paraId="5E89CAE7" w14:textId="72F57934" w:rsidR="00CE455D" w:rsidRPr="00A845B2" w:rsidRDefault="00571114" w:rsidP="008D76E6">
      <w:pPr>
        <w:spacing w:after="0" w:line="360" w:lineRule="auto"/>
        <w:ind w:left="1134" w:right="900" w:firstLine="282"/>
        <w:jc w:val="both"/>
        <w:rPr>
          <w:rFonts w:ascii="Arial" w:eastAsia="Calibri" w:hAnsi="Arial" w:cs="Arial"/>
          <w:bCs/>
          <w:i/>
          <w:color w:val="000000" w:themeColor="text1"/>
          <w:sz w:val="24"/>
          <w:szCs w:val="24"/>
        </w:rPr>
      </w:pPr>
      <w:r w:rsidRPr="00A845B2">
        <w:rPr>
          <w:rFonts w:ascii="Arial" w:eastAsia="Calibri" w:hAnsi="Arial" w:cs="Arial"/>
          <w:bCs/>
          <w:color w:val="000000" w:themeColor="text1"/>
          <w:sz w:val="24"/>
          <w:szCs w:val="24"/>
        </w:rPr>
        <w:lastRenderedPageBreak/>
        <w:t>“</w:t>
      </w:r>
      <w:r w:rsidRPr="00A845B2">
        <w:rPr>
          <w:rFonts w:ascii="Arial" w:eastAsia="Calibri" w:hAnsi="Arial" w:cs="Arial"/>
          <w:b/>
          <w:bCs/>
          <w:i/>
          <w:color w:val="000000" w:themeColor="text1"/>
          <w:sz w:val="24"/>
          <w:szCs w:val="24"/>
        </w:rPr>
        <w:t xml:space="preserve">PRIMERO.- </w:t>
      </w:r>
      <w:r w:rsidR="008D76E6" w:rsidRPr="00A845B2">
        <w:rPr>
          <w:rFonts w:ascii="Arial" w:eastAsia="Calibri" w:hAnsi="Arial" w:cs="Arial"/>
          <w:bCs/>
          <w:i/>
          <w:color w:val="000000" w:themeColor="text1"/>
          <w:sz w:val="24"/>
          <w:szCs w:val="24"/>
        </w:rPr>
        <w:t xml:space="preserve">Esta Primera Sala Unitaria del Tribunal de Justicia Administrativa del Estado de Oaxaca, es competente para conocer y resolver el presente juicio.- - - - </w:t>
      </w:r>
    </w:p>
    <w:p w14:paraId="67279593" w14:textId="4E74657B" w:rsidR="008D76E6" w:rsidRPr="00A845B2" w:rsidRDefault="008D76E6" w:rsidP="008D76E6">
      <w:pPr>
        <w:spacing w:after="0" w:line="360" w:lineRule="auto"/>
        <w:ind w:left="1134" w:right="900" w:firstLine="282"/>
        <w:jc w:val="both"/>
        <w:rPr>
          <w:rFonts w:ascii="Arial" w:eastAsia="Calibri" w:hAnsi="Arial" w:cs="Arial"/>
          <w:bCs/>
          <w:i/>
          <w:color w:val="000000" w:themeColor="text1"/>
          <w:sz w:val="24"/>
          <w:szCs w:val="24"/>
        </w:rPr>
      </w:pPr>
      <w:r w:rsidRPr="00A845B2">
        <w:rPr>
          <w:rFonts w:ascii="Arial" w:eastAsia="Calibri" w:hAnsi="Arial" w:cs="Arial"/>
          <w:b/>
          <w:bCs/>
          <w:i/>
          <w:color w:val="000000" w:themeColor="text1"/>
          <w:sz w:val="24"/>
          <w:szCs w:val="24"/>
        </w:rPr>
        <w:t xml:space="preserve">SEGUNDO.- </w:t>
      </w:r>
      <w:r w:rsidRPr="00A845B2">
        <w:rPr>
          <w:rFonts w:ascii="Arial" w:eastAsia="Calibri" w:hAnsi="Arial" w:cs="Arial"/>
          <w:bCs/>
          <w:i/>
          <w:color w:val="000000" w:themeColor="text1"/>
          <w:sz w:val="24"/>
          <w:szCs w:val="24"/>
        </w:rPr>
        <w:t>La personalidad de las partes quedó acreditada dentro del considerando SEGUNDO de la presente resolución.-</w:t>
      </w:r>
      <w:r w:rsidR="00A845B2">
        <w:rPr>
          <w:rFonts w:ascii="Arial" w:eastAsia="Calibri" w:hAnsi="Arial" w:cs="Arial"/>
          <w:bCs/>
          <w:i/>
          <w:color w:val="000000" w:themeColor="text1"/>
          <w:sz w:val="24"/>
          <w:szCs w:val="24"/>
        </w:rPr>
        <w:t xml:space="preserve"> - - - - - - - - - - - - - - - - - - - - - - - - - - -</w:t>
      </w:r>
    </w:p>
    <w:p w14:paraId="6D0542C6" w14:textId="626600F0" w:rsidR="008D76E6" w:rsidRPr="00A845B2" w:rsidRDefault="008D76E6" w:rsidP="008D76E6">
      <w:pPr>
        <w:spacing w:after="0" w:line="360" w:lineRule="auto"/>
        <w:ind w:left="1134" w:right="900" w:firstLine="282"/>
        <w:jc w:val="both"/>
        <w:rPr>
          <w:rFonts w:ascii="Arial" w:eastAsia="Calibri" w:hAnsi="Arial" w:cs="Arial"/>
          <w:bCs/>
          <w:i/>
          <w:color w:val="000000" w:themeColor="text1"/>
          <w:sz w:val="24"/>
          <w:szCs w:val="24"/>
        </w:rPr>
      </w:pPr>
      <w:r w:rsidRPr="00A845B2">
        <w:rPr>
          <w:rFonts w:ascii="Arial" w:eastAsia="Calibri" w:hAnsi="Arial" w:cs="Arial"/>
          <w:b/>
          <w:bCs/>
          <w:i/>
          <w:color w:val="000000" w:themeColor="text1"/>
          <w:sz w:val="24"/>
          <w:szCs w:val="24"/>
        </w:rPr>
        <w:t xml:space="preserve">TERCERO.- </w:t>
      </w:r>
      <w:r w:rsidRPr="00A845B2">
        <w:rPr>
          <w:rFonts w:ascii="Arial" w:eastAsia="Calibri" w:hAnsi="Arial" w:cs="Arial"/>
          <w:bCs/>
          <w:i/>
          <w:color w:val="000000" w:themeColor="text1"/>
          <w:sz w:val="24"/>
          <w:szCs w:val="24"/>
        </w:rPr>
        <w:t xml:space="preserve">Esta Sala advierte que, en el presente juicio no se configura alguna causal de improcedencia o sobreseimiento expuesto en el considerando TERCERO, por lo tanto, </w:t>
      </w:r>
      <w:r w:rsidRPr="00A845B2">
        <w:rPr>
          <w:rFonts w:ascii="Arial" w:eastAsia="Calibri" w:hAnsi="Arial" w:cs="Arial"/>
          <w:b/>
          <w:bCs/>
          <w:i/>
          <w:color w:val="000000" w:themeColor="text1"/>
          <w:sz w:val="24"/>
          <w:szCs w:val="24"/>
        </w:rPr>
        <w:t xml:space="preserve">NO SE SOBRESEE. </w:t>
      </w:r>
      <w:r w:rsidRPr="00A845B2">
        <w:rPr>
          <w:rFonts w:ascii="Arial" w:eastAsia="Calibri" w:hAnsi="Arial" w:cs="Arial"/>
          <w:bCs/>
          <w:i/>
          <w:color w:val="000000" w:themeColor="text1"/>
          <w:sz w:val="24"/>
          <w:szCs w:val="24"/>
        </w:rPr>
        <w:t xml:space="preserve">- - - - - - - - - - - - - - - - - - </w:t>
      </w:r>
    </w:p>
    <w:p w14:paraId="7F2D62BA" w14:textId="6C0E6F08" w:rsidR="00553D99" w:rsidRPr="00A845B2" w:rsidRDefault="008D76E6" w:rsidP="008D76E6">
      <w:pPr>
        <w:spacing w:after="0" w:line="360" w:lineRule="auto"/>
        <w:ind w:left="1134" w:right="900" w:firstLine="282"/>
        <w:jc w:val="both"/>
        <w:rPr>
          <w:rFonts w:ascii="Arial" w:eastAsia="Calibri" w:hAnsi="Arial" w:cs="Arial"/>
          <w:bCs/>
          <w:i/>
          <w:color w:val="000000" w:themeColor="text1"/>
          <w:sz w:val="24"/>
          <w:szCs w:val="24"/>
        </w:rPr>
      </w:pPr>
      <w:r w:rsidRPr="00A845B2">
        <w:rPr>
          <w:rFonts w:ascii="Arial" w:eastAsia="Calibri" w:hAnsi="Arial" w:cs="Arial"/>
          <w:b/>
          <w:bCs/>
          <w:i/>
          <w:color w:val="000000" w:themeColor="text1"/>
          <w:sz w:val="24"/>
          <w:szCs w:val="24"/>
        </w:rPr>
        <w:t>CUARTO</w:t>
      </w:r>
      <w:r w:rsidRPr="00A845B2">
        <w:rPr>
          <w:rFonts w:ascii="Arial" w:eastAsia="Calibri" w:hAnsi="Arial" w:cs="Arial"/>
          <w:bCs/>
          <w:i/>
          <w:color w:val="000000" w:themeColor="text1"/>
          <w:sz w:val="24"/>
          <w:szCs w:val="24"/>
        </w:rPr>
        <w:t xml:space="preserve">.- Se declara la </w:t>
      </w:r>
      <w:r w:rsidRPr="00A845B2">
        <w:rPr>
          <w:rFonts w:ascii="Arial" w:eastAsia="Calibri" w:hAnsi="Arial" w:cs="Arial"/>
          <w:b/>
          <w:bCs/>
          <w:i/>
          <w:color w:val="000000" w:themeColor="text1"/>
          <w:sz w:val="24"/>
          <w:szCs w:val="24"/>
        </w:rPr>
        <w:t xml:space="preserve">NULIDAD LISA Y LLANA </w:t>
      </w:r>
      <w:r w:rsidRPr="00A845B2">
        <w:rPr>
          <w:rFonts w:ascii="Arial" w:eastAsia="Calibri" w:hAnsi="Arial" w:cs="Arial"/>
          <w:bCs/>
          <w:i/>
          <w:color w:val="000000" w:themeColor="text1"/>
          <w:sz w:val="24"/>
          <w:szCs w:val="24"/>
        </w:rPr>
        <w:t xml:space="preserve">del acta de infracción con número de folio </w:t>
      </w:r>
      <w:r w:rsidR="005F56E0">
        <w:rPr>
          <w:rFonts w:ascii="Arial" w:hAnsi="Arial" w:cs="Arial"/>
          <w:b/>
          <w:bCs/>
          <w:sz w:val="24"/>
          <w:szCs w:val="24"/>
        </w:rPr>
        <w:t>***********</w:t>
      </w:r>
      <w:r w:rsidRPr="00A845B2">
        <w:rPr>
          <w:rFonts w:ascii="Arial" w:eastAsia="Calibri" w:hAnsi="Arial" w:cs="Arial"/>
          <w:bCs/>
          <w:i/>
          <w:color w:val="000000" w:themeColor="text1"/>
          <w:sz w:val="24"/>
          <w:szCs w:val="24"/>
        </w:rPr>
        <w:t xml:space="preserve"> de fecha veinticinco de septiembre de dos mil diecinueve, emitida por IRÁN JULIÁN QUIÑONEZ, Policía Vial Estatal con número de identificación 388 dependiente de la Dirección General de la Policía Estatal de Oaxaca, en consecuencia, </w:t>
      </w:r>
      <w:r w:rsidRPr="00A845B2">
        <w:rPr>
          <w:rFonts w:ascii="Arial" w:eastAsia="Calibri" w:hAnsi="Arial" w:cs="Arial"/>
          <w:bCs/>
          <w:i/>
          <w:color w:val="000000" w:themeColor="text1"/>
          <w:sz w:val="24"/>
          <w:szCs w:val="24"/>
          <w:u w:val="single"/>
        </w:rPr>
        <w:t xml:space="preserve">se ordena a esa autoridad demandada para que a través de sí misma o de quien sea legalmente competente, realice la baja de la citada acta de infracción del sistema electrónico y/o documental que para tal efecto lleve esa autoridad, así mismo también se ordena a la Directora de Ingresos y Recaudación de la Secretaría de Finanzas del Poder Ejecutivo del Estado de Oaxaca, realice la devolución que ampara el pago realizado a favor de la Secretaría de Finanzas del Estado de Oaxaca, por la cantidad </w:t>
      </w:r>
      <w:r w:rsidRPr="005F56E0">
        <w:rPr>
          <w:rFonts w:ascii="Arial" w:eastAsia="Calibri" w:hAnsi="Arial" w:cs="Arial"/>
          <w:bCs/>
          <w:i/>
          <w:color w:val="000000" w:themeColor="text1"/>
          <w:sz w:val="24"/>
          <w:szCs w:val="24"/>
          <w:u w:val="single"/>
        </w:rPr>
        <w:t xml:space="preserve">de </w:t>
      </w:r>
      <w:r w:rsidR="005F56E0" w:rsidRPr="005F56E0">
        <w:rPr>
          <w:rFonts w:ascii="Arial" w:hAnsi="Arial" w:cs="Arial"/>
          <w:b/>
          <w:bCs/>
          <w:sz w:val="24"/>
          <w:szCs w:val="24"/>
          <w:u w:val="single"/>
        </w:rPr>
        <w:t xml:space="preserve">***********, </w:t>
      </w:r>
      <w:r w:rsidRPr="00A845B2">
        <w:rPr>
          <w:rFonts w:ascii="Arial" w:eastAsia="Calibri" w:hAnsi="Arial" w:cs="Arial"/>
          <w:bCs/>
          <w:i/>
          <w:color w:val="000000" w:themeColor="text1"/>
          <w:sz w:val="24"/>
          <w:szCs w:val="24"/>
          <w:u w:val="single"/>
        </w:rPr>
        <w:t xml:space="preserve">contenido en la impresión del formato de pago con línea de captura </w:t>
      </w:r>
      <w:r w:rsidRPr="005F56E0">
        <w:rPr>
          <w:rFonts w:ascii="Arial" w:eastAsia="Calibri" w:hAnsi="Arial" w:cs="Arial"/>
          <w:bCs/>
          <w:i/>
          <w:color w:val="000000" w:themeColor="text1"/>
          <w:sz w:val="24"/>
          <w:szCs w:val="24"/>
          <w:u w:val="single"/>
        </w:rPr>
        <w:t xml:space="preserve">número </w:t>
      </w:r>
      <w:r w:rsidR="005F56E0" w:rsidRPr="005F56E0">
        <w:rPr>
          <w:rFonts w:ascii="Arial" w:hAnsi="Arial" w:cs="Arial"/>
          <w:b/>
          <w:bCs/>
          <w:sz w:val="24"/>
          <w:szCs w:val="24"/>
          <w:u w:val="single"/>
        </w:rPr>
        <w:t>***********</w:t>
      </w:r>
      <w:r w:rsidRPr="005F56E0">
        <w:rPr>
          <w:rFonts w:ascii="Arial" w:eastAsia="Calibri" w:hAnsi="Arial" w:cs="Arial"/>
          <w:bCs/>
          <w:i/>
          <w:color w:val="000000" w:themeColor="text1"/>
          <w:sz w:val="24"/>
          <w:szCs w:val="24"/>
          <w:u w:val="single"/>
        </w:rPr>
        <w:t xml:space="preserve"> </w:t>
      </w:r>
      <w:r w:rsidRPr="00A845B2">
        <w:rPr>
          <w:rFonts w:ascii="Arial" w:eastAsia="Calibri" w:hAnsi="Arial" w:cs="Arial"/>
          <w:bCs/>
          <w:i/>
          <w:color w:val="000000" w:themeColor="text1"/>
          <w:sz w:val="24"/>
          <w:szCs w:val="24"/>
          <w:u w:val="single"/>
        </w:rPr>
        <w:t>en la que se encuentra igualmente impreso el voucher (sic) o recibo de pago de la</w:t>
      </w:r>
      <w:r w:rsidR="00613066" w:rsidRPr="00A845B2">
        <w:rPr>
          <w:rFonts w:ascii="Arial" w:eastAsia="Calibri" w:hAnsi="Arial" w:cs="Arial"/>
          <w:bCs/>
          <w:i/>
          <w:color w:val="000000" w:themeColor="text1"/>
          <w:sz w:val="24"/>
          <w:szCs w:val="24"/>
          <w:u w:val="single"/>
        </w:rPr>
        <w:t xml:space="preserve"> institución bancaria denominada </w:t>
      </w:r>
      <w:r w:rsidR="00553D99" w:rsidRPr="00A845B2">
        <w:rPr>
          <w:rFonts w:ascii="Arial" w:eastAsia="Calibri" w:hAnsi="Arial" w:cs="Arial"/>
          <w:bCs/>
          <w:i/>
          <w:color w:val="000000" w:themeColor="text1"/>
          <w:sz w:val="24"/>
          <w:szCs w:val="24"/>
          <w:u w:val="single"/>
        </w:rPr>
        <w:t xml:space="preserve">HSBC, </w:t>
      </w:r>
      <w:r w:rsidR="00553D99" w:rsidRPr="00A845B2">
        <w:rPr>
          <w:rFonts w:ascii="Arial" w:eastAsia="Calibri" w:hAnsi="Arial" w:cs="Arial"/>
          <w:bCs/>
          <w:i/>
          <w:color w:val="000000" w:themeColor="text1"/>
          <w:sz w:val="24"/>
          <w:szCs w:val="24"/>
        </w:rPr>
        <w:t xml:space="preserve">lo anterior por las razones ya expuestas en el considerando CUARTO de esta sentencia. </w:t>
      </w:r>
      <w:r w:rsidR="005F56E0">
        <w:rPr>
          <w:rFonts w:ascii="Arial" w:eastAsia="Calibri" w:hAnsi="Arial" w:cs="Arial"/>
          <w:bCs/>
          <w:i/>
          <w:color w:val="000000" w:themeColor="text1"/>
          <w:sz w:val="24"/>
          <w:szCs w:val="24"/>
        </w:rPr>
        <w:t xml:space="preserve">- - - - - - - - - - - </w:t>
      </w:r>
    </w:p>
    <w:p w14:paraId="7350EED1" w14:textId="2CB26B38" w:rsidR="00F524D2" w:rsidRPr="00A845B2" w:rsidRDefault="00553D99" w:rsidP="00A845B2">
      <w:pPr>
        <w:spacing w:after="120" w:line="360" w:lineRule="auto"/>
        <w:ind w:left="1134" w:right="900" w:firstLine="282"/>
        <w:jc w:val="both"/>
        <w:rPr>
          <w:rFonts w:ascii="Arial" w:eastAsia="Calibri" w:hAnsi="Arial" w:cs="Arial"/>
          <w:bCs/>
          <w:i/>
          <w:color w:val="000000" w:themeColor="text1"/>
          <w:sz w:val="24"/>
          <w:szCs w:val="24"/>
        </w:rPr>
      </w:pPr>
      <w:r w:rsidRPr="00A845B2">
        <w:rPr>
          <w:rFonts w:ascii="Arial" w:eastAsia="Calibri" w:hAnsi="Arial" w:cs="Arial"/>
          <w:b/>
          <w:bCs/>
          <w:i/>
          <w:color w:val="000000" w:themeColor="text1"/>
          <w:sz w:val="24"/>
          <w:szCs w:val="24"/>
        </w:rPr>
        <w:t>QUINTO</w:t>
      </w:r>
      <w:r w:rsidRPr="00A845B2">
        <w:rPr>
          <w:rFonts w:ascii="Arial" w:eastAsia="Calibri" w:hAnsi="Arial" w:cs="Arial"/>
          <w:bCs/>
          <w:i/>
          <w:color w:val="000000" w:themeColor="text1"/>
          <w:sz w:val="24"/>
          <w:szCs w:val="24"/>
        </w:rPr>
        <w:t xml:space="preserve">.- </w:t>
      </w:r>
      <w:r w:rsidR="000A5B68" w:rsidRPr="00A845B2">
        <w:rPr>
          <w:rFonts w:ascii="Arial" w:eastAsia="Calibri" w:hAnsi="Arial" w:cs="Arial"/>
          <w:bCs/>
          <w:i/>
          <w:color w:val="000000" w:themeColor="text1"/>
          <w:sz w:val="24"/>
          <w:szCs w:val="24"/>
        </w:rPr>
        <w:t>Con</w:t>
      </w:r>
      <w:r w:rsidRPr="00A845B2">
        <w:rPr>
          <w:rFonts w:ascii="Arial" w:eastAsia="Calibri" w:hAnsi="Arial" w:cs="Arial"/>
          <w:bCs/>
          <w:i/>
          <w:color w:val="000000" w:themeColor="text1"/>
          <w:sz w:val="24"/>
          <w:szCs w:val="24"/>
        </w:rPr>
        <w:t>forme a lo dispuesto en los</w:t>
      </w:r>
      <w:r w:rsidR="000A5B68" w:rsidRPr="00A845B2">
        <w:rPr>
          <w:rFonts w:ascii="Arial" w:eastAsia="Calibri" w:hAnsi="Arial" w:cs="Arial"/>
          <w:bCs/>
          <w:i/>
          <w:color w:val="000000" w:themeColor="text1"/>
          <w:sz w:val="24"/>
          <w:szCs w:val="24"/>
        </w:rPr>
        <w:t xml:space="preserve"> </w:t>
      </w:r>
      <w:r w:rsidR="00571114" w:rsidRPr="00A845B2">
        <w:rPr>
          <w:rFonts w:ascii="Arial" w:eastAsia="Calibri" w:hAnsi="Arial" w:cs="Arial"/>
          <w:bCs/>
          <w:i/>
          <w:color w:val="000000" w:themeColor="text1"/>
          <w:sz w:val="24"/>
          <w:szCs w:val="24"/>
        </w:rPr>
        <w:t xml:space="preserve">artículos 172 </w:t>
      </w:r>
      <w:r w:rsidR="000A5B68" w:rsidRPr="00A845B2">
        <w:rPr>
          <w:rFonts w:ascii="Arial" w:eastAsia="Calibri" w:hAnsi="Arial" w:cs="Arial"/>
          <w:bCs/>
          <w:i/>
          <w:color w:val="000000" w:themeColor="text1"/>
          <w:sz w:val="24"/>
          <w:szCs w:val="24"/>
        </w:rPr>
        <w:t xml:space="preserve">y </w:t>
      </w:r>
      <w:r w:rsidR="00571114" w:rsidRPr="00A845B2">
        <w:rPr>
          <w:rFonts w:ascii="Arial" w:eastAsia="Calibri" w:hAnsi="Arial" w:cs="Arial"/>
          <w:bCs/>
          <w:i/>
          <w:color w:val="000000" w:themeColor="text1"/>
          <w:sz w:val="24"/>
          <w:szCs w:val="24"/>
        </w:rPr>
        <w:t xml:space="preserve"> 173 de la Ley de Procedimiento y Justicia Administrativa para el Estado de Oaxaca, </w:t>
      </w:r>
      <w:r w:rsidR="00571114" w:rsidRPr="00A845B2">
        <w:rPr>
          <w:rFonts w:ascii="Arial" w:eastAsia="Calibri" w:hAnsi="Arial" w:cs="Arial"/>
          <w:b/>
          <w:bCs/>
          <w:i/>
          <w:color w:val="000000" w:themeColor="text1"/>
          <w:sz w:val="24"/>
          <w:szCs w:val="24"/>
        </w:rPr>
        <w:t xml:space="preserve">NOTIFÍQUESE </w:t>
      </w:r>
      <w:r w:rsidRPr="00A845B2">
        <w:rPr>
          <w:rFonts w:ascii="Arial" w:eastAsia="Calibri" w:hAnsi="Arial" w:cs="Arial"/>
          <w:b/>
          <w:bCs/>
          <w:i/>
          <w:color w:val="000000" w:themeColor="text1"/>
          <w:sz w:val="24"/>
          <w:szCs w:val="24"/>
        </w:rPr>
        <w:t xml:space="preserve">y </w:t>
      </w:r>
      <w:r w:rsidR="00571114" w:rsidRPr="00A845B2">
        <w:rPr>
          <w:rFonts w:ascii="Arial" w:eastAsia="Calibri" w:hAnsi="Arial" w:cs="Arial"/>
          <w:b/>
          <w:bCs/>
          <w:i/>
          <w:color w:val="000000" w:themeColor="text1"/>
          <w:sz w:val="24"/>
          <w:szCs w:val="24"/>
        </w:rPr>
        <w:t>CÚMPLASE</w:t>
      </w:r>
      <w:r w:rsidR="00571114" w:rsidRPr="00A845B2">
        <w:rPr>
          <w:rFonts w:ascii="Arial" w:eastAsia="Calibri" w:hAnsi="Arial" w:cs="Arial"/>
          <w:bCs/>
          <w:i/>
          <w:color w:val="000000" w:themeColor="text1"/>
          <w:sz w:val="24"/>
          <w:szCs w:val="24"/>
        </w:rPr>
        <w:t xml:space="preserve">.”.- - - - - - - - - </w:t>
      </w:r>
      <w:r w:rsidR="00A845B2">
        <w:rPr>
          <w:rFonts w:ascii="Arial" w:eastAsia="Calibri" w:hAnsi="Arial" w:cs="Arial"/>
          <w:bCs/>
          <w:i/>
          <w:color w:val="000000" w:themeColor="text1"/>
          <w:sz w:val="24"/>
          <w:szCs w:val="24"/>
        </w:rPr>
        <w:t xml:space="preserve"> - - - - - - - - - - -- - - - - - - - - - - -</w:t>
      </w:r>
    </w:p>
    <w:p w14:paraId="18B430CE" w14:textId="77777777" w:rsidR="00A845B2" w:rsidRDefault="00A845B2" w:rsidP="00A845B2">
      <w:pPr>
        <w:spacing w:after="120" w:line="360" w:lineRule="auto"/>
        <w:jc w:val="center"/>
        <w:rPr>
          <w:rFonts w:ascii="Arial" w:eastAsia="Times New Roman" w:hAnsi="Arial" w:cs="Arial"/>
          <w:b/>
          <w:bCs/>
          <w:sz w:val="26"/>
          <w:szCs w:val="26"/>
          <w:lang w:val="es-ES" w:eastAsia="es-ES"/>
        </w:rPr>
      </w:pPr>
    </w:p>
    <w:p w14:paraId="67DDEB16" w14:textId="3D203C40" w:rsidR="00F524D2" w:rsidRPr="00183EE9" w:rsidRDefault="00571114" w:rsidP="00A845B2">
      <w:pPr>
        <w:spacing w:after="120" w:line="360" w:lineRule="auto"/>
        <w:jc w:val="center"/>
        <w:rPr>
          <w:rFonts w:ascii="Arial" w:eastAsia="Times New Roman" w:hAnsi="Arial" w:cs="Arial"/>
          <w:b/>
          <w:bCs/>
          <w:sz w:val="26"/>
          <w:szCs w:val="26"/>
          <w:lang w:val="es-ES" w:eastAsia="es-ES"/>
        </w:rPr>
      </w:pPr>
      <w:r w:rsidRPr="00183EE9">
        <w:rPr>
          <w:rFonts w:ascii="Arial" w:eastAsia="Times New Roman" w:hAnsi="Arial" w:cs="Arial"/>
          <w:b/>
          <w:bCs/>
          <w:sz w:val="26"/>
          <w:szCs w:val="26"/>
          <w:lang w:val="es-ES" w:eastAsia="es-ES"/>
        </w:rPr>
        <w:t>C O N S I D E R A N D O</w:t>
      </w:r>
    </w:p>
    <w:p w14:paraId="4E78982C" w14:textId="0EA83285" w:rsidR="00622AA6" w:rsidRDefault="00571114" w:rsidP="00622AA6">
      <w:pPr>
        <w:spacing w:after="120" w:line="360" w:lineRule="auto"/>
        <w:ind w:firstLine="708"/>
        <w:jc w:val="both"/>
        <w:rPr>
          <w:rFonts w:ascii="Arial" w:hAnsi="Arial" w:cs="Arial"/>
          <w:bCs/>
          <w:iCs/>
          <w:sz w:val="26"/>
          <w:szCs w:val="26"/>
          <w:lang w:eastAsia="es-ES"/>
        </w:rPr>
      </w:pPr>
      <w:r>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 xml:space="preserve">de conformidad con lo dispuesto por los artículos 114 QUÁTER, Párrafo Tercero de la Constitución Política del Estado Libre y </w:t>
      </w:r>
      <w:r>
        <w:rPr>
          <w:rFonts w:ascii="Arial" w:hAnsi="Arial" w:cs="Arial"/>
          <w:bCs/>
          <w:iCs/>
          <w:sz w:val="26"/>
          <w:szCs w:val="26"/>
          <w:lang w:eastAsia="es-ES"/>
        </w:rPr>
        <w:lastRenderedPageBreak/>
        <w:t xml:space="preserve">Soberano de Oaxaca; </w:t>
      </w:r>
      <w:r>
        <w:rPr>
          <w:rFonts w:ascii="Arial" w:hAnsi="Arial" w:cs="Arial"/>
          <w:bCs/>
          <w:iCs/>
          <w:sz w:val="26"/>
          <w:szCs w:val="26"/>
        </w:rPr>
        <w:t>1 párrafo segundo, 2 párrafos primero y cuarto, 4 fracción VIII, 23, 24 fracción I, 25 fracción I y 27 de la Ley Orgánica del Tribunal de Justicia Administrativa del Estado de Oaxaca, publicada en el Periódico Oficial del Estado de Oaxaca; así como los numerales</w:t>
      </w:r>
      <w:r>
        <w:rPr>
          <w:rFonts w:ascii="Arial" w:hAnsi="Arial" w:cs="Arial"/>
          <w:bCs/>
          <w:iCs/>
          <w:sz w:val="26"/>
          <w:szCs w:val="26"/>
          <w:lang w:eastAsia="es-ES"/>
        </w:rPr>
        <w:t xml:space="preserve"> 1, 118, 119, 120, 123 segundo párrafo, 125, 130 fracción I, 131, 231, 236 fracción VII y 238 de la Ley de Procedimiento y Justicia Administrativa para el Estado de Oaxaca, dado que se trata de un Recurso de Revisión interpuesto en contra de la sentencia de </w:t>
      </w:r>
      <w:r w:rsidR="00312739">
        <w:rPr>
          <w:rFonts w:ascii="Arial" w:eastAsia="Calibri" w:hAnsi="Arial" w:cs="Arial"/>
          <w:sz w:val="26"/>
          <w:szCs w:val="26"/>
        </w:rPr>
        <w:t xml:space="preserve">fecha </w:t>
      </w:r>
      <w:r w:rsidR="00A61670">
        <w:rPr>
          <w:rFonts w:ascii="Arial" w:eastAsia="Calibri" w:hAnsi="Arial" w:cs="Arial"/>
          <w:sz w:val="26"/>
          <w:szCs w:val="26"/>
        </w:rPr>
        <w:t>veint</w:t>
      </w:r>
      <w:r w:rsidR="00312739">
        <w:rPr>
          <w:rFonts w:ascii="Arial" w:eastAsia="Calibri" w:hAnsi="Arial" w:cs="Arial"/>
          <w:sz w:val="26"/>
          <w:szCs w:val="26"/>
        </w:rPr>
        <w:t xml:space="preserve">iocho de </w:t>
      </w:r>
      <w:r w:rsidR="00A61670">
        <w:rPr>
          <w:rFonts w:ascii="Arial" w:eastAsia="Calibri" w:hAnsi="Arial" w:cs="Arial"/>
          <w:sz w:val="26"/>
          <w:szCs w:val="26"/>
        </w:rPr>
        <w:t>enero</w:t>
      </w:r>
      <w:r w:rsidR="00312739">
        <w:rPr>
          <w:rFonts w:ascii="Arial" w:eastAsia="Calibri" w:hAnsi="Arial" w:cs="Arial"/>
          <w:sz w:val="26"/>
          <w:szCs w:val="26"/>
        </w:rPr>
        <w:t xml:space="preserve"> de dos mil veinte, dictada por </w:t>
      </w:r>
      <w:r w:rsidR="00A61670">
        <w:rPr>
          <w:rFonts w:ascii="Arial" w:eastAsia="Calibri" w:hAnsi="Arial" w:cs="Arial"/>
          <w:sz w:val="26"/>
          <w:szCs w:val="26"/>
        </w:rPr>
        <w:t xml:space="preserve">la </w:t>
      </w:r>
      <w:r w:rsidR="00312739">
        <w:rPr>
          <w:rFonts w:ascii="Arial" w:eastAsia="Calibri" w:hAnsi="Arial" w:cs="Arial"/>
          <w:sz w:val="26"/>
          <w:szCs w:val="26"/>
        </w:rPr>
        <w:t>Magistrad</w:t>
      </w:r>
      <w:r w:rsidR="00A61670">
        <w:rPr>
          <w:rFonts w:ascii="Arial" w:eastAsia="Calibri" w:hAnsi="Arial" w:cs="Arial"/>
          <w:sz w:val="26"/>
          <w:szCs w:val="26"/>
        </w:rPr>
        <w:t>a</w:t>
      </w:r>
      <w:r w:rsidR="00312739">
        <w:rPr>
          <w:rFonts w:ascii="Arial" w:eastAsia="Calibri" w:hAnsi="Arial" w:cs="Arial"/>
          <w:sz w:val="26"/>
          <w:szCs w:val="26"/>
        </w:rPr>
        <w:t xml:space="preserve"> de la </w:t>
      </w:r>
      <w:r w:rsidR="00A61670">
        <w:rPr>
          <w:rFonts w:ascii="Arial" w:eastAsia="Calibri" w:hAnsi="Arial" w:cs="Arial"/>
          <w:sz w:val="26"/>
          <w:szCs w:val="26"/>
        </w:rPr>
        <w:t xml:space="preserve">Primera </w:t>
      </w:r>
      <w:r w:rsidR="00312739">
        <w:rPr>
          <w:rFonts w:ascii="Arial" w:eastAsia="Calibri" w:hAnsi="Arial" w:cs="Arial"/>
          <w:sz w:val="26"/>
          <w:szCs w:val="26"/>
        </w:rPr>
        <w:t>Sala Unitaria de Primera Instancia de este Tribunal,</w:t>
      </w:r>
      <w:r w:rsidR="00312739">
        <w:rPr>
          <w:rFonts w:ascii="Arial" w:hAnsi="Arial" w:cs="Arial"/>
          <w:bCs/>
          <w:iCs/>
          <w:sz w:val="26"/>
          <w:szCs w:val="26"/>
          <w:lang w:eastAsia="es-ES"/>
        </w:rPr>
        <w:t xml:space="preserve"> </w:t>
      </w:r>
      <w:r>
        <w:rPr>
          <w:rFonts w:ascii="Arial" w:hAnsi="Arial" w:cs="Arial"/>
          <w:bCs/>
          <w:iCs/>
          <w:sz w:val="26"/>
          <w:szCs w:val="26"/>
          <w:lang w:eastAsia="es-ES"/>
        </w:rPr>
        <w:t xml:space="preserve">en el juicio de nulidad </w:t>
      </w:r>
      <w:r w:rsidR="00A61670">
        <w:rPr>
          <w:rFonts w:ascii="Arial" w:hAnsi="Arial" w:cs="Arial"/>
          <w:b/>
          <w:bCs/>
          <w:iCs/>
          <w:sz w:val="26"/>
          <w:szCs w:val="26"/>
          <w:lang w:eastAsia="es-ES"/>
        </w:rPr>
        <w:t>124</w:t>
      </w:r>
      <w:r w:rsidR="00312739">
        <w:rPr>
          <w:rFonts w:ascii="Arial" w:hAnsi="Arial" w:cs="Arial"/>
          <w:b/>
          <w:bCs/>
          <w:iCs/>
          <w:sz w:val="26"/>
          <w:szCs w:val="26"/>
          <w:lang w:eastAsia="es-ES"/>
        </w:rPr>
        <w:t>/2019</w:t>
      </w:r>
      <w:r>
        <w:rPr>
          <w:rFonts w:ascii="Arial" w:hAnsi="Arial" w:cs="Arial"/>
          <w:bCs/>
          <w:iCs/>
          <w:sz w:val="26"/>
          <w:szCs w:val="26"/>
          <w:lang w:eastAsia="es-ES"/>
        </w:rPr>
        <w:t>.</w:t>
      </w:r>
      <w:r w:rsidR="00622AA6">
        <w:rPr>
          <w:rFonts w:ascii="Arial" w:hAnsi="Arial" w:cs="Arial"/>
          <w:bCs/>
          <w:iCs/>
          <w:sz w:val="26"/>
          <w:szCs w:val="26"/>
          <w:lang w:eastAsia="es-ES"/>
        </w:rPr>
        <w:t xml:space="preserve"> - - -</w:t>
      </w:r>
    </w:p>
    <w:p w14:paraId="65A6D887" w14:textId="77777777" w:rsidR="00C618FB" w:rsidRDefault="00C618FB" w:rsidP="00C618FB">
      <w:pPr>
        <w:pStyle w:val="Sinespaciado"/>
        <w:rPr>
          <w:lang w:eastAsia="es-ES"/>
        </w:rPr>
      </w:pPr>
    </w:p>
    <w:p w14:paraId="6466E634" w14:textId="7EF07953" w:rsidR="00886DB1" w:rsidRDefault="00571114" w:rsidP="00622AA6">
      <w:pPr>
        <w:spacing w:after="120" w:line="360" w:lineRule="auto"/>
        <w:ind w:firstLine="708"/>
        <w:jc w:val="both"/>
        <w:rPr>
          <w:rFonts w:ascii="Arial" w:hAnsi="Arial" w:cs="Arial"/>
          <w:bCs/>
          <w:color w:val="000000"/>
          <w:sz w:val="26"/>
          <w:szCs w:val="26"/>
        </w:rPr>
      </w:pPr>
      <w:r>
        <w:rPr>
          <w:rFonts w:ascii="Arial" w:hAnsi="Arial" w:cs="Arial"/>
          <w:b/>
          <w:bCs/>
          <w:sz w:val="26"/>
          <w:szCs w:val="26"/>
        </w:rPr>
        <w:t>SEGUNDO.</w:t>
      </w:r>
      <w:r>
        <w:rPr>
          <w:rFonts w:ascii="Arial" w:eastAsia="Calibri" w:hAnsi="Arial" w:cs="Arial"/>
          <w:bCs/>
          <w:sz w:val="26"/>
          <w:szCs w:val="26"/>
        </w:rPr>
        <w:t xml:space="preserve"> </w:t>
      </w:r>
      <w:r w:rsidR="001A1F7B" w:rsidRPr="002B4242">
        <w:rPr>
          <w:rFonts w:ascii="Arial" w:hAnsi="Arial" w:cs="Arial"/>
          <w:bCs/>
          <w:sz w:val="26"/>
          <w:szCs w:val="26"/>
        </w:rPr>
        <w:t xml:space="preserve">El </w:t>
      </w:r>
      <w:r w:rsidRPr="002B4242">
        <w:rPr>
          <w:rFonts w:ascii="Arial" w:hAnsi="Arial" w:cs="Arial"/>
          <w:bCs/>
          <w:sz w:val="26"/>
          <w:szCs w:val="26"/>
        </w:rPr>
        <w:t xml:space="preserve">agravio hecho valer se encuentra </w:t>
      </w:r>
      <w:r w:rsidR="00A63910" w:rsidRPr="002B4242">
        <w:rPr>
          <w:rFonts w:ascii="Arial" w:hAnsi="Arial" w:cs="Arial"/>
          <w:bCs/>
          <w:sz w:val="26"/>
          <w:szCs w:val="26"/>
        </w:rPr>
        <w:t>señalado</w:t>
      </w:r>
      <w:r w:rsidRPr="002B4242">
        <w:rPr>
          <w:rFonts w:ascii="Arial" w:hAnsi="Arial" w:cs="Arial"/>
          <w:bCs/>
          <w:sz w:val="26"/>
          <w:szCs w:val="26"/>
        </w:rPr>
        <w:t xml:space="preserve"> en</w:t>
      </w:r>
      <w:r>
        <w:rPr>
          <w:rFonts w:ascii="Arial" w:hAnsi="Arial" w:cs="Arial"/>
          <w:bCs/>
          <w:sz w:val="26"/>
          <w:szCs w:val="26"/>
        </w:rPr>
        <w:t xml:space="preserve"> el escrito de la</w:t>
      </w:r>
      <w:r w:rsidR="00312739">
        <w:rPr>
          <w:rFonts w:ascii="Arial" w:hAnsi="Arial" w:cs="Arial"/>
          <w:bCs/>
          <w:sz w:val="26"/>
          <w:szCs w:val="26"/>
        </w:rPr>
        <w:t xml:space="preserve"> autoridad</w:t>
      </w:r>
      <w:r>
        <w:rPr>
          <w:rFonts w:ascii="Arial" w:hAnsi="Arial" w:cs="Arial"/>
          <w:bCs/>
          <w:sz w:val="26"/>
          <w:szCs w:val="26"/>
        </w:rPr>
        <w:t xml:space="preserve"> recurrent</w:t>
      </w:r>
      <w:r w:rsidR="00800BE3">
        <w:rPr>
          <w:rFonts w:ascii="Arial" w:hAnsi="Arial" w:cs="Arial"/>
          <w:bCs/>
          <w:sz w:val="26"/>
          <w:szCs w:val="26"/>
        </w:rPr>
        <w:t>e</w:t>
      </w:r>
      <w:r>
        <w:rPr>
          <w:rFonts w:ascii="Arial" w:hAnsi="Arial" w:cs="Arial"/>
          <w:bCs/>
          <w:sz w:val="26"/>
          <w:szCs w:val="26"/>
        </w:rPr>
        <w:t xml:space="preserve">, </w:t>
      </w:r>
      <w:r w:rsidR="00074614">
        <w:rPr>
          <w:rFonts w:ascii="Arial" w:hAnsi="Arial" w:cs="Arial"/>
          <w:bCs/>
          <w:sz w:val="26"/>
          <w:szCs w:val="26"/>
        </w:rPr>
        <w:t>por lo que no existe necesidad de transcribirlo, virtud a que ello no implica transgresión a derecho alguno del recurrente, como tampoco se vulnera disposición expresa que imponga tal obligación</w:t>
      </w:r>
      <w:r w:rsidR="00074614">
        <w:rPr>
          <w:rFonts w:ascii="Arial" w:hAnsi="Arial" w:cs="Arial"/>
          <w:sz w:val="26"/>
          <w:szCs w:val="26"/>
        </w:rPr>
        <w:t xml:space="preserve">. </w:t>
      </w:r>
      <w:r w:rsidR="00886DB1">
        <w:rPr>
          <w:rFonts w:ascii="Arial" w:hAnsi="Arial" w:cs="Arial"/>
          <w:sz w:val="26"/>
          <w:szCs w:val="26"/>
        </w:rPr>
        <w:t>En apoyo a lo anterior, se invoca el criterio Jurisprudencial</w:t>
      </w:r>
      <w:r w:rsidR="00886DB1">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 - -  - - - - - - - - - - - - - - - - - - - - - - - - - - - - - - - - - - - - </w:t>
      </w:r>
    </w:p>
    <w:p w14:paraId="6A6B5EFC" w14:textId="77777777" w:rsidR="00C618FB" w:rsidRPr="00622AA6" w:rsidRDefault="00C618FB" w:rsidP="00C618FB">
      <w:pPr>
        <w:pStyle w:val="Sinespaciado"/>
        <w:rPr>
          <w:lang w:eastAsia="es-ES"/>
        </w:rPr>
      </w:pPr>
    </w:p>
    <w:p w14:paraId="5A9A3341" w14:textId="24DBD95C" w:rsidR="00886DB1" w:rsidRDefault="00886DB1" w:rsidP="004B248A">
      <w:pPr>
        <w:spacing w:after="120" w:line="360" w:lineRule="auto"/>
        <w:ind w:left="709" w:right="902"/>
        <w:jc w:val="both"/>
        <w:rPr>
          <w:rFonts w:ascii="Arial" w:eastAsia="Calibri" w:hAnsi="Arial" w:cs="Arial"/>
          <w:bCs/>
          <w:i/>
          <w:sz w:val="24"/>
          <w:szCs w:val="24"/>
        </w:rPr>
      </w:pPr>
      <w:r w:rsidRPr="00636937">
        <w:rPr>
          <w:rFonts w:ascii="Arial" w:eastAsia="Calibri" w:hAnsi="Arial" w:cs="Arial"/>
          <w:b/>
          <w:bCs/>
          <w:i/>
          <w:sz w:val="24"/>
          <w:szCs w:val="24"/>
        </w:rPr>
        <w:t xml:space="preserve">“CONCEPTOS DE VIOLACIÓN O AGRAVIOS. PARA CUMPLIR CON LOS PRINCIPIOS DE CONGRUENCIA Y EXHAUSTIVIDAD EN LAS SENTENCIAS DE AMPARO ES INNECESARIA SU TRANSCRIPCIÓN. </w:t>
      </w:r>
      <w:r w:rsidRPr="00636937">
        <w:rPr>
          <w:rFonts w:ascii="Arial" w:eastAsia="Calibri" w:hAnsi="Arial" w:cs="Arial"/>
          <w:bCs/>
          <w:i/>
          <w:sz w:val="24"/>
          <w:szCs w:val="24"/>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w:t>
      </w:r>
      <w:r w:rsidRPr="00636937">
        <w:rPr>
          <w:rFonts w:ascii="Arial" w:eastAsia="Calibri" w:hAnsi="Arial" w:cs="Arial"/>
          <w:bCs/>
          <w:i/>
          <w:sz w:val="24"/>
          <w:szCs w:val="24"/>
        </w:rPr>
        <w:lastRenderedPageBreak/>
        <w:t>juzgador realizarla o no, atendiendo a las características especiales del caso, sin demérito de que para satisfacer los principios de exhaustividad y congruencia se estudien los planteamientos de legalidad o inconstitucionalidad que efectivamente se hayan hecho valer.”- - - - - -</w:t>
      </w:r>
      <w:r w:rsidR="00985247" w:rsidRPr="00636937">
        <w:rPr>
          <w:rFonts w:ascii="Arial" w:eastAsia="Calibri" w:hAnsi="Arial" w:cs="Arial"/>
          <w:bCs/>
          <w:i/>
          <w:sz w:val="24"/>
          <w:szCs w:val="24"/>
        </w:rPr>
        <w:t xml:space="preserve"> - - - - - - - - - - - - - </w:t>
      </w:r>
    </w:p>
    <w:p w14:paraId="212E5AE4" w14:textId="77777777" w:rsidR="00636937" w:rsidRPr="00636937" w:rsidRDefault="00636937" w:rsidP="00636937">
      <w:pPr>
        <w:pStyle w:val="Sinespaciado"/>
        <w:rPr>
          <w:rFonts w:eastAsia="Calibri"/>
        </w:rPr>
      </w:pPr>
    </w:p>
    <w:p w14:paraId="4361F5D0" w14:textId="667D167F" w:rsidR="00C618FB" w:rsidRDefault="00FB6C3B" w:rsidP="00C618FB">
      <w:pPr>
        <w:spacing w:after="120" w:line="360" w:lineRule="auto"/>
        <w:ind w:right="49" w:firstLine="708"/>
        <w:jc w:val="both"/>
        <w:rPr>
          <w:rFonts w:ascii="Arial" w:hAnsi="Arial" w:cs="Arial"/>
          <w:sz w:val="26"/>
          <w:szCs w:val="26"/>
        </w:rPr>
      </w:pPr>
      <w:r>
        <w:rPr>
          <w:rFonts w:ascii="Arial" w:hAnsi="Arial" w:cs="Arial"/>
          <w:b/>
          <w:bCs/>
          <w:sz w:val="26"/>
          <w:szCs w:val="26"/>
        </w:rPr>
        <w:t>TERCERO.</w:t>
      </w:r>
      <w:r w:rsidR="00CD3A51">
        <w:rPr>
          <w:rFonts w:ascii="Arial" w:hAnsi="Arial" w:cs="Arial"/>
          <w:b/>
          <w:bCs/>
          <w:sz w:val="26"/>
          <w:szCs w:val="26"/>
        </w:rPr>
        <w:t xml:space="preserve"> </w:t>
      </w:r>
      <w:r w:rsidR="004B248A">
        <w:rPr>
          <w:rFonts w:ascii="Arial" w:hAnsi="Arial" w:cs="Arial"/>
          <w:sz w:val="26"/>
          <w:szCs w:val="26"/>
        </w:rPr>
        <w:t xml:space="preserve">De la lectura </w:t>
      </w:r>
      <w:r w:rsidR="00800BE3" w:rsidRPr="001A1F7B">
        <w:rPr>
          <w:rFonts w:ascii="Arial" w:hAnsi="Arial" w:cs="Arial"/>
          <w:sz w:val="26"/>
          <w:szCs w:val="26"/>
        </w:rPr>
        <w:t>de</w:t>
      </w:r>
      <w:r w:rsidR="001A4571" w:rsidRPr="001A1F7B">
        <w:rPr>
          <w:rFonts w:ascii="Arial" w:hAnsi="Arial" w:cs="Arial"/>
          <w:sz w:val="26"/>
          <w:szCs w:val="26"/>
        </w:rPr>
        <w:t xml:space="preserve">l </w:t>
      </w:r>
      <w:r w:rsidR="004B248A" w:rsidRPr="001A1F7B">
        <w:rPr>
          <w:rFonts w:ascii="Arial" w:hAnsi="Arial" w:cs="Arial"/>
          <w:sz w:val="26"/>
          <w:szCs w:val="26"/>
        </w:rPr>
        <w:t xml:space="preserve">escrito </w:t>
      </w:r>
      <w:r w:rsidR="001A4571" w:rsidRPr="001A1F7B">
        <w:rPr>
          <w:rFonts w:ascii="Arial" w:hAnsi="Arial" w:cs="Arial"/>
          <w:sz w:val="26"/>
          <w:szCs w:val="26"/>
        </w:rPr>
        <w:t xml:space="preserve">por el que se interpone el </w:t>
      </w:r>
      <w:r w:rsidR="004B248A" w:rsidRPr="001A1F7B">
        <w:rPr>
          <w:rFonts w:ascii="Arial" w:hAnsi="Arial" w:cs="Arial"/>
          <w:sz w:val="26"/>
          <w:szCs w:val="26"/>
        </w:rPr>
        <w:t>recurso de revisión q</w:t>
      </w:r>
      <w:r w:rsidR="004B248A">
        <w:rPr>
          <w:rFonts w:ascii="Arial" w:hAnsi="Arial" w:cs="Arial"/>
          <w:sz w:val="26"/>
          <w:szCs w:val="26"/>
        </w:rPr>
        <w:t xml:space="preserve">ue se analiza, se advierte que quien lo promueve es </w:t>
      </w:r>
      <w:r w:rsidR="004B248A">
        <w:rPr>
          <w:rFonts w:ascii="Arial" w:hAnsi="Arial" w:cs="Arial"/>
          <w:b/>
          <w:sz w:val="24"/>
          <w:szCs w:val="24"/>
        </w:rPr>
        <w:t xml:space="preserve">David Antonio Jiménez, en su carácter de DIRECTOR GENERAL DE LA POLICÍA VIAL </w:t>
      </w:r>
      <w:r w:rsidR="00F70525">
        <w:rPr>
          <w:rFonts w:ascii="Arial" w:hAnsi="Arial" w:cs="Arial"/>
          <w:b/>
          <w:sz w:val="24"/>
          <w:szCs w:val="24"/>
        </w:rPr>
        <w:t>ESTATAL</w:t>
      </w:r>
      <w:r w:rsidR="00F70525">
        <w:rPr>
          <w:rFonts w:ascii="Arial" w:hAnsi="Arial" w:cs="Arial"/>
          <w:sz w:val="26"/>
          <w:szCs w:val="26"/>
        </w:rPr>
        <w:t>. -</w:t>
      </w:r>
      <w:r w:rsidR="004B248A">
        <w:rPr>
          <w:rFonts w:ascii="Arial" w:hAnsi="Arial" w:cs="Arial"/>
          <w:sz w:val="26"/>
          <w:szCs w:val="26"/>
        </w:rPr>
        <w:t xml:space="preserve"> </w:t>
      </w:r>
      <w:r w:rsidR="00800BE3">
        <w:rPr>
          <w:rFonts w:ascii="Arial" w:hAnsi="Arial" w:cs="Arial"/>
          <w:sz w:val="26"/>
          <w:szCs w:val="26"/>
        </w:rPr>
        <w:t>- - - - -- - - - - - - - - - - - - - - - - - - - -</w:t>
      </w:r>
      <w:r w:rsidR="00C618FB">
        <w:rPr>
          <w:rFonts w:ascii="Arial" w:hAnsi="Arial" w:cs="Arial"/>
          <w:sz w:val="26"/>
          <w:szCs w:val="26"/>
        </w:rPr>
        <w:t xml:space="preserve"> - - - - -</w:t>
      </w:r>
    </w:p>
    <w:p w14:paraId="205E12C6" w14:textId="77777777" w:rsidR="00C618FB" w:rsidRPr="00E213A5" w:rsidRDefault="00C618FB" w:rsidP="00E213A5">
      <w:pPr>
        <w:pStyle w:val="Sinespaciado"/>
      </w:pPr>
    </w:p>
    <w:p w14:paraId="4805EC65" w14:textId="67D500CB" w:rsidR="004B248A" w:rsidRDefault="004B248A" w:rsidP="00C618FB">
      <w:pPr>
        <w:spacing w:after="120" w:line="360" w:lineRule="auto"/>
        <w:ind w:right="49" w:firstLine="708"/>
        <w:jc w:val="both"/>
        <w:rPr>
          <w:rFonts w:ascii="Arial" w:hAnsi="Arial" w:cs="Arial"/>
          <w:color w:val="000000"/>
          <w:sz w:val="26"/>
          <w:szCs w:val="26"/>
        </w:rPr>
      </w:pPr>
      <w:r>
        <w:rPr>
          <w:rFonts w:ascii="Arial" w:hAnsi="Arial" w:cs="Arial"/>
          <w:sz w:val="26"/>
          <w:szCs w:val="26"/>
        </w:rPr>
        <w:t xml:space="preserve">Ahora bien, </w:t>
      </w:r>
      <w:r>
        <w:rPr>
          <w:rFonts w:ascii="Arial" w:hAnsi="Arial" w:cs="Arial"/>
          <w:color w:val="000000"/>
          <w:sz w:val="26"/>
          <w:szCs w:val="26"/>
        </w:rPr>
        <w:t>del análisis de las constancias que integran el expediente de Primera Instancia</w:t>
      </w:r>
      <w:r w:rsidR="00800BE3" w:rsidRPr="001A1F7B">
        <w:rPr>
          <w:rFonts w:ascii="Arial" w:hAnsi="Arial" w:cs="Arial"/>
          <w:color w:val="000000"/>
          <w:sz w:val="26"/>
          <w:szCs w:val="26"/>
        </w:rPr>
        <w:t>,</w:t>
      </w:r>
      <w:r w:rsidRPr="001A1F7B">
        <w:rPr>
          <w:rFonts w:ascii="Arial" w:hAnsi="Arial" w:cs="Arial"/>
          <w:color w:val="000000"/>
          <w:sz w:val="26"/>
          <w:szCs w:val="26"/>
        </w:rPr>
        <w:t xml:space="preserve"> remitid</w:t>
      </w:r>
      <w:r w:rsidR="00800BE3" w:rsidRPr="001A1F7B">
        <w:rPr>
          <w:rFonts w:ascii="Arial" w:hAnsi="Arial" w:cs="Arial"/>
          <w:color w:val="000000"/>
          <w:sz w:val="26"/>
          <w:szCs w:val="26"/>
        </w:rPr>
        <w:t>o</w:t>
      </w:r>
      <w:r>
        <w:rPr>
          <w:rFonts w:ascii="Arial" w:hAnsi="Arial" w:cs="Arial"/>
          <w:color w:val="000000"/>
          <w:sz w:val="26"/>
          <w:szCs w:val="26"/>
        </w:rPr>
        <w:t xml:space="preserve"> para la substanciación del presente recurso, a las que se les otorga pleno valor probatorio por tratarse de actuaciones procesales, conforme a lo dispuesto por el artículo 203 fracción I de la Ley de </w:t>
      </w:r>
      <w:r w:rsidRPr="001A1F7B">
        <w:rPr>
          <w:rFonts w:ascii="Arial" w:hAnsi="Arial" w:cs="Arial"/>
          <w:color w:val="000000"/>
          <w:sz w:val="26"/>
          <w:szCs w:val="26"/>
        </w:rPr>
        <w:t xml:space="preserve">Procedimiento </w:t>
      </w:r>
      <w:r w:rsidR="001A4571" w:rsidRPr="001A1F7B">
        <w:rPr>
          <w:rFonts w:ascii="Arial" w:hAnsi="Arial" w:cs="Arial"/>
          <w:color w:val="000000"/>
          <w:sz w:val="26"/>
          <w:szCs w:val="26"/>
        </w:rPr>
        <w:t>y</w:t>
      </w:r>
      <w:r w:rsidR="001A4571">
        <w:rPr>
          <w:rFonts w:ascii="Arial" w:hAnsi="Arial" w:cs="Arial"/>
          <w:color w:val="000000"/>
          <w:sz w:val="26"/>
          <w:szCs w:val="26"/>
        </w:rPr>
        <w:t xml:space="preserve"> </w:t>
      </w:r>
      <w:r>
        <w:rPr>
          <w:rFonts w:ascii="Arial" w:hAnsi="Arial" w:cs="Arial"/>
          <w:color w:val="000000"/>
          <w:sz w:val="26"/>
          <w:szCs w:val="26"/>
        </w:rPr>
        <w:t xml:space="preserve">Justicia Administrativa para el Estado de Oaxaca, se advierte:- - - - - - - - - - - - - </w:t>
      </w:r>
    </w:p>
    <w:p w14:paraId="718C5E4F" w14:textId="77777777" w:rsidR="00F70525" w:rsidRPr="00C618FB" w:rsidRDefault="00F70525" w:rsidP="00F70525">
      <w:pPr>
        <w:pStyle w:val="Sinespaciado"/>
      </w:pPr>
    </w:p>
    <w:p w14:paraId="264ABEAD" w14:textId="77777777" w:rsidR="004B248A" w:rsidRDefault="004B248A" w:rsidP="002C1135">
      <w:pPr>
        <w:spacing w:after="120" w:line="360" w:lineRule="auto"/>
        <w:ind w:firstLine="708"/>
        <w:jc w:val="both"/>
        <w:rPr>
          <w:rFonts w:ascii="Arial" w:hAnsi="Arial" w:cs="Arial"/>
          <w:sz w:val="26"/>
          <w:szCs w:val="26"/>
        </w:rPr>
      </w:pPr>
      <w:r>
        <w:rPr>
          <w:rFonts w:ascii="Arial" w:hAnsi="Arial" w:cs="Arial"/>
          <w:color w:val="000000"/>
          <w:sz w:val="26"/>
          <w:szCs w:val="26"/>
        </w:rPr>
        <w:t>a) E</w:t>
      </w:r>
      <w:r>
        <w:rPr>
          <w:rFonts w:ascii="Arial" w:hAnsi="Arial" w:cs="Arial"/>
          <w:sz w:val="26"/>
          <w:szCs w:val="26"/>
        </w:rPr>
        <w:t>l actor señaló como autoridades demandadas a:</w:t>
      </w:r>
    </w:p>
    <w:p w14:paraId="1C81C07A" w14:textId="5961A817" w:rsidR="004B248A" w:rsidRPr="00E213A5" w:rsidRDefault="004B248A" w:rsidP="002C1135">
      <w:pPr>
        <w:spacing w:after="120" w:line="360" w:lineRule="auto"/>
        <w:ind w:left="1134" w:right="335"/>
        <w:jc w:val="both"/>
        <w:rPr>
          <w:rFonts w:ascii="Arial" w:hAnsi="Arial" w:cs="Arial"/>
          <w:i/>
          <w:sz w:val="24"/>
          <w:szCs w:val="24"/>
        </w:rPr>
      </w:pPr>
      <w:r w:rsidRPr="00E213A5">
        <w:rPr>
          <w:rFonts w:ascii="Arial" w:hAnsi="Arial" w:cs="Arial"/>
          <w:sz w:val="24"/>
          <w:szCs w:val="24"/>
        </w:rPr>
        <w:t>“</w:t>
      </w:r>
      <w:r w:rsidRPr="00E213A5">
        <w:rPr>
          <w:rFonts w:ascii="Arial" w:hAnsi="Arial" w:cs="Arial"/>
          <w:b/>
          <w:i/>
          <w:sz w:val="24"/>
          <w:szCs w:val="24"/>
        </w:rPr>
        <w:t>1)</w:t>
      </w:r>
      <w:r w:rsidRPr="00E213A5">
        <w:rPr>
          <w:rFonts w:ascii="Arial" w:hAnsi="Arial" w:cs="Arial"/>
          <w:i/>
          <w:sz w:val="24"/>
          <w:szCs w:val="24"/>
        </w:rPr>
        <w:t xml:space="preserve"> </w:t>
      </w:r>
      <w:r w:rsidR="00311FD9" w:rsidRPr="00E213A5">
        <w:rPr>
          <w:rFonts w:ascii="Arial" w:hAnsi="Arial" w:cs="Arial"/>
          <w:b/>
          <w:i/>
          <w:sz w:val="24"/>
          <w:szCs w:val="24"/>
        </w:rPr>
        <w:t>AL POLICÍA VIAL ESTATAL IRÁN JULIÁ</w:t>
      </w:r>
      <w:r w:rsidRPr="00E213A5">
        <w:rPr>
          <w:rFonts w:ascii="Arial" w:hAnsi="Arial" w:cs="Arial"/>
          <w:b/>
          <w:i/>
          <w:sz w:val="24"/>
          <w:szCs w:val="24"/>
        </w:rPr>
        <w:t>N QUIÑONEZ PV-388,</w:t>
      </w:r>
      <w:r w:rsidRPr="00E213A5">
        <w:rPr>
          <w:rFonts w:ascii="Arial" w:hAnsi="Arial" w:cs="Arial"/>
          <w:i/>
          <w:sz w:val="24"/>
          <w:szCs w:val="24"/>
        </w:rPr>
        <w:t xml:space="preserve"> </w:t>
      </w:r>
      <w:r w:rsidR="002C1135" w:rsidRPr="00E213A5">
        <w:rPr>
          <w:rFonts w:ascii="Arial" w:hAnsi="Arial" w:cs="Arial"/>
          <w:i/>
          <w:sz w:val="24"/>
          <w:szCs w:val="24"/>
        </w:rPr>
        <w:t>quien elaboró el Acta de infracción con número de folio</w:t>
      </w:r>
      <w:r w:rsidR="005F56E0">
        <w:rPr>
          <w:rFonts w:ascii="Arial" w:hAnsi="Arial" w:cs="Arial"/>
          <w:i/>
          <w:sz w:val="24"/>
          <w:szCs w:val="24"/>
        </w:rPr>
        <w:t xml:space="preserve"> </w:t>
      </w:r>
      <w:r w:rsidR="005F56E0">
        <w:rPr>
          <w:rFonts w:ascii="Arial" w:hAnsi="Arial" w:cs="Arial"/>
          <w:b/>
          <w:bCs/>
          <w:sz w:val="24"/>
          <w:szCs w:val="24"/>
        </w:rPr>
        <w:t>***********</w:t>
      </w:r>
      <w:r w:rsidR="002C1135" w:rsidRPr="00E213A5">
        <w:rPr>
          <w:rFonts w:ascii="Arial" w:hAnsi="Arial" w:cs="Arial"/>
          <w:b/>
          <w:i/>
          <w:sz w:val="24"/>
          <w:szCs w:val="24"/>
        </w:rPr>
        <w:t xml:space="preserve">, dependiente de la DIRECCIÓN GENERAL DE LA POLICÍA VIAL ESTATAL, DIRECCIÓN DE TRÁNSITO DEL ESTADO, </w:t>
      </w:r>
      <w:r w:rsidR="002C1135" w:rsidRPr="00E213A5">
        <w:rPr>
          <w:rFonts w:ascii="Arial" w:hAnsi="Arial" w:cs="Arial"/>
          <w:i/>
          <w:sz w:val="24"/>
          <w:szCs w:val="24"/>
        </w:rPr>
        <w:t>c</w:t>
      </w:r>
      <w:r w:rsidRPr="00E213A5">
        <w:rPr>
          <w:rFonts w:ascii="Arial" w:hAnsi="Arial" w:cs="Arial"/>
          <w:i/>
          <w:sz w:val="24"/>
          <w:szCs w:val="24"/>
        </w:rPr>
        <w:t xml:space="preserve">on domicilio en Avenida Ferrocarril número 1710, Colonia José Vasconcelos, </w:t>
      </w:r>
      <w:r w:rsidR="00800BE3" w:rsidRPr="00E213A5">
        <w:rPr>
          <w:rFonts w:ascii="Arial" w:hAnsi="Arial" w:cs="Arial"/>
          <w:i/>
          <w:sz w:val="24"/>
          <w:szCs w:val="24"/>
        </w:rPr>
        <w:t xml:space="preserve">en </w:t>
      </w:r>
      <w:r w:rsidRPr="00E213A5">
        <w:rPr>
          <w:rFonts w:ascii="Arial" w:hAnsi="Arial" w:cs="Arial"/>
          <w:i/>
          <w:sz w:val="24"/>
          <w:szCs w:val="24"/>
        </w:rPr>
        <w:t>esta Ciudad.</w:t>
      </w:r>
    </w:p>
    <w:p w14:paraId="7C56C6E1" w14:textId="107276EF" w:rsidR="004B248A" w:rsidRPr="00E213A5" w:rsidRDefault="004B248A" w:rsidP="00E33243">
      <w:pPr>
        <w:spacing w:after="120" w:line="360" w:lineRule="auto"/>
        <w:ind w:left="1134" w:right="335"/>
        <w:jc w:val="both"/>
        <w:rPr>
          <w:rFonts w:ascii="Arial" w:hAnsi="Arial" w:cs="Arial"/>
          <w:i/>
          <w:sz w:val="24"/>
          <w:szCs w:val="24"/>
        </w:rPr>
      </w:pPr>
      <w:r w:rsidRPr="00E213A5">
        <w:rPr>
          <w:rFonts w:ascii="Arial" w:hAnsi="Arial" w:cs="Arial"/>
          <w:b/>
          <w:i/>
          <w:sz w:val="24"/>
          <w:szCs w:val="24"/>
        </w:rPr>
        <w:t>2) DIREC</w:t>
      </w:r>
      <w:r w:rsidR="002C1135" w:rsidRPr="00E213A5">
        <w:rPr>
          <w:rFonts w:ascii="Arial" w:hAnsi="Arial" w:cs="Arial"/>
          <w:b/>
          <w:i/>
          <w:sz w:val="24"/>
          <w:szCs w:val="24"/>
        </w:rPr>
        <w:t>CIÓN DE INGRESOS Y RECAUDACIÓN DEPENDIENTE DE LA SECRETARÍA DE FINANZAS DEL GOBIERNO DEL ESTADO DE OAXACA</w:t>
      </w:r>
      <w:r w:rsidR="002C1135" w:rsidRPr="00E213A5">
        <w:rPr>
          <w:rFonts w:ascii="Arial" w:hAnsi="Arial" w:cs="Arial"/>
          <w:i/>
          <w:sz w:val="24"/>
          <w:szCs w:val="24"/>
        </w:rPr>
        <w:t xml:space="preserve">, </w:t>
      </w:r>
      <w:r w:rsidRPr="00E213A5">
        <w:rPr>
          <w:rFonts w:ascii="Arial" w:hAnsi="Arial" w:cs="Arial"/>
          <w:i/>
          <w:sz w:val="24"/>
          <w:szCs w:val="24"/>
        </w:rPr>
        <w:t xml:space="preserve">con domicilio </w:t>
      </w:r>
      <w:r w:rsidR="002C1135" w:rsidRPr="00E213A5">
        <w:rPr>
          <w:rFonts w:ascii="Arial" w:hAnsi="Arial" w:cs="Arial"/>
          <w:i/>
          <w:sz w:val="24"/>
          <w:szCs w:val="24"/>
        </w:rPr>
        <w:t>bien conocido en Centro Administrativo del Poder Ejecutivo y Judicial General Porfirio Díaz, Soldado de la Patria, Edificio D. Saúl Martínez, Av. Gerardo Pandal Graff número Uno, Reyes Mantecón, San Bartolo Coyotepec, Oaxaca. C.P.71257.”</w:t>
      </w:r>
    </w:p>
    <w:p w14:paraId="553E1950" w14:textId="310AF27D" w:rsidR="004B248A" w:rsidRDefault="004B248A" w:rsidP="00E33243">
      <w:pPr>
        <w:spacing w:after="120" w:line="360" w:lineRule="auto"/>
        <w:ind w:firstLine="708"/>
        <w:jc w:val="both"/>
        <w:rPr>
          <w:rFonts w:ascii="Arial" w:hAnsi="Arial" w:cs="Arial"/>
          <w:sz w:val="26"/>
          <w:szCs w:val="26"/>
        </w:rPr>
      </w:pPr>
      <w:r>
        <w:rPr>
          <w:rFonts w:ascii="Arial" w:hAnsi="Arial" w:cs="Arial"/>
          <w:sz w:val="26"/>
          <w:szCs w:val="26"/>
        </w:rPr>
        <w:t>Luego, l</w:t>
      </w:r>
      <w:r w:rsidR="00993DF6">
        <w:rPr>
          <w:rFonts w:ascii="Arial" w:hAnsi="Arial" w:cs="Arial"/>
          <w:sz w:val="26"/>
          <w:szCs w:val="26"/>
        </w:rPr>
        <w:t>os</w:t>
      </w:r>
      <w:r>
        <w:rPr>
          <w:rFonts w:ascii="Arial" w:hAnsi="Arial" w:cs="Arial"/>
          <w:sz w:val="26"/>
          <w:szCs w:val="26"/>
        </w:rPr>
        <w:t xml:space="preserve"> artículo</w:t>
      </w:r>
      <w:r w:rsidR="00993DF6">
        <w:rPr>
          <w:rFonts w:ascii="Arial" w:hAnsi="Arial" w:cs="Arial"/>
          <w:sz w:val="26"/>
          <w:szCs w:val="26"/>
        </w:rPr>
        <w:t>s</w:t>
      </w:r>
      <w:r>
        <w:rPr>
          <w:rFonts w:ascii="Arial" w:hAnsi="Arial" w:cs="Arial"/>
          <w:sz w:val="26"/>
          <w:szCs w:val="26"/>
        </w:rPr>
        <w:t xml:space="preserve"> </w:t>
      </w:r>
      <w:r w:rsidR="00311FD9">
        <w:rPr>
          <w:rFonts w:ascii="Arial" w:hAnsi="Arial" w:cs="Arial"/>
          <w:sz w:val="26"/>
          <w:szCs w:val="26"/>
        </w:rPr>
        <w:t>1</w:t>
      </w:r>
      <w:r w:rsidR="00993DF6">
        <w:rPr>
          <w:rFonts w:ascii="Arial" w:hAnsi="Arial" w:cs="Arial"/>
          <w:sz w:val="26"/>
          <w:szCs w:val="26"/>
        </w:rPr>
        <w:t>6</w:t>
      </w:r>
      <w:r w:rsidR="00311FD9">
        <w:rPr>
          <w:rFonts w:ascii="Arial" w:hAnsi="Arial" w:cs="Arial"/>
          <w:sz w:val="26"/>
          <w:szCs w:val="26"/>
        </w:rPr>
        <w:t>3</w:t>
      </w:r>
      <w:r w:rsidR="00993DF6">
        <w:rPr>
          <w:rFonts w:ascii="Arial" w:hAnsi="Arial" w:cs="Arial"/>
          <w:sz w:val="26"/>
          <w:szCs w:val="26"/>
        </w:rPr>
        <w:t xml:space="preserve"> y </w:t>
      </w:r>
      <w:r>
        <w:rPr>
          <w:rFonts w:ascii="Arial" w:eastAsia="Calibri" w:hAnsi="Arial" w:cs="Arial"/>
          <w:bCs/>
          <w:sz w:val="26"/>
          <w:szCs w:val="26"/>
        </w:rPr>
        <w:t>236 de la Ley de Procedimiento y Justicia Administrativa para el Estado de Oaxaca</w:t>
      </w:r>
      <w:r>
        <w:rPr>
          <w:rFonts w:ascii="Arial" w:hAnsi="Arial" w:cs="Arial"/>
          <w:sz w:val="26"/>
          <w:szCs w:val="26"/>
        </w:rPr>
        <w:t>; establece</w:t>
      </w:r>
      <w:r w:rsidR="00993DF6">
        <w:rPr>
          <w:rFonts w:ascii="Arial" w:hAnsi="Arial" w:cs="Arial"/>
          <w:sz w:val="26"/>
          <w:szCs w:val="26"/>
        </w:rPr>
        <w:t>n</w:t>
      </w:r>
      <w:r>
        <w:rPr>
          <w:rFonts w:ascii="Arial" w:hAnsi="Arial" w:cs="Arial"/>
          <w:sz w:val="26"/>
          <w:szCs w:val="26"/>
        </w:rPr>
        <w:t xml:space="preserve">: - - - - - - - </w:t>
      </w:r>
    </w:p>
    <w:p w14:paraId="0C056D92" w14:textId="77777777" w:rsidR="00F70525" w:rsidRPr="00E213A5" w:rsidRDefault="00F70525" w:rsidP="00F70525">
      <w:pPr>
        <w:pStyle w:val="Sinespaciado"/>
        <w:rPr>
          <w:sz w:val="24"/>
          <w:szCs w:val="24"/>
        </w:rPr>
      </w:pPr>
    </w:p>
    <w:p w14:paraId="351DEBF0" w14:textId="77777777" w:rsidR="00993DF6" w:rsidRPr="00E213A5" w:rsidRDefault="00993DF6" w:rsidP="00993DF6">
      <w:pPr>
        <w:widowControl w:val="0"/>
        <w:tabs>
          <w:tab w:val="left" w:pos="7938"/>
        </w:tabs>
        <w:spacing w:after="0" w:line="360" w:lineRule="auto"/>
        <w:ind w:left="1134" w:right="902"/>
        <w:jc w:val="both"/>
        <w:rPr>
          <w:rFonts w:ascii="Arial" w:hAnsi="Arial" w:cs="Arial"/>
          <w:i/>
          <w:sz w:val="24"/>
          <w:szCs w:val="24"/>
        </w:rPr>
      </w:pPr>
      <w:r w:rsidRPr="00E213A5">
        <w:rPr>
          <w:rFonts w:ascii="Arial" w:hAnsi="Arial" w:cs="Arial"/>
          <w:b/>
          <w:i/>
          <w:sz w:val="24"/>
          <w:szCs w:val="24"/>
        </w:rPr>
        <w:t>ARTÍCULO 163</w:t>
      </w:r>
      <w:r w:rsidRPr="00E213A5">
        <w:rPr>
          <w:rFonts w:ascii="Arial" w:hAnsi="Arial" w:cs="Arial"/>
          <w:i/>
          <w:sz w:val="24"/>
          <w:szCs w:val="24"/>
        </w:rPr>
        <w:t xml:space="preserve">.- Son partes en el juicio contencioso administrativo: </w:t>
      </w:r>
    </w:p>
    <w:p w14:paraId="522485EE" w14:textId="57F1278F" w:rsidR="00993DF6" w:rsidRPr="00E213A5" w:rsidRDefault="00993DF6" w:rsidP="00993DF6">
      <w:pPr>
        <w:widowControl w:val="0"/>
        <w:tabs>
          <w:tab w:val="left" w:pos="7938"/>
        </w:tabs>
        <w:spacing w:after="120" w:line="360" w:lineRule="auto"/>
        <w:ind w:left="1134" w:right="900"/>
        <w:jc w:val="both"/>
        <w:rPr>
          <w:rFonts w:ascii="Arial" w:hAnsi="Arial" w:cs="Arial"/>
          <w:i/>
          <w:sz w:val="24"/>
          <w:szCs w:val="24"/>
        </w:rPr>
      </w:pPr>
      <w:r w:rsidRPr="00E213A5">
        <w:rPr>
          <w:rFonts w:ascii="Arial" w:hAnsi="Arial" w:cs="Arial"/>
          <w:i/>
          <w:sz w:val="24"/>
          <w:szCs w:val="24"/>
        </w:rPr>
        <w:t>I. El actor. Tendrá ese carácter:</w:t>
      </w:r>
    </w:p>
    <w:p w14:paraId="6058AF31" w14:textId="77777777" w:rsidR="00993DF6" w:rsidRPr="00E213A5" w:rsidRDefault="00993DF6" w:rsidP="00993DF6">
      <w:pPr>
        <w:widowControl w:val="0"/>
        <w:tabs>
          <w:tab w:val="left" w:pos="7938"/>
        </w:tabs>
        <w:spacing w:after="120" w:line="360" w:lineRule="auto"/>
        <w:ind w:left="1134" w:right="900"/>
        <w:jc w:val="both"/>
        <w:rPr>
          <w:rFonts w:ascii="Arial" w:hAnsi="Arial" w:cs="Arial"/>
          <w:i/>
          <w:sz w:val="24"/>
          <w:szCs w:val="24"/>
        </w:rPr>
      </w:pPr>
      <w:r w:rsidRPr="00E213A5">
        <w:rPr>
          <w:rFonts w:ascii="Arial" w:hAnsi="Arial" w:cs="Arial"/>
          <w:i/>
          <w:sz w:val="24"/>
          <w:szCs w:val="24"/>
        </w:rPr>
        <w:t xml:space="preserve"> a) El Administrado, que será el particular que tenga interés </w:t>
      </w:r>
      <w:r w:rsidRPr="00E213A5">
        <w:rPr>
          <w:rFonts w:ascii="Arial" w:hAnsi="Arial" w:cs="Arial"/>
          <w:i/>
          <w:sz w:val="24"/>
          <w:szCs w:val="24"/>
        </w:rPr>
        <w:lastRenderedPageBreak/>
        <w:t>jurídico o legítimo que funde su pretensión; y</w:t>
      </w:r>
    </w:p>
    <w:p w14:paraId="59877CD4" w14:textId="77777777" w:rsidR="00993DF6" w:rsidRPr="00E213A5" w:rsidRDefault="00993DF6" w:rsidP="00993DF6">
      <w:pPr>
        <w:widowControl w:val="0"/>
        <w:tabs>
          <w:tab w:val="left" w:pos="7938"/>
        </w:tabs>
        <w:spacing w:after="120" w:line="360" w:lineRule="auto"/>
        <w:ind w:left="1134" w:right="900"/>
        <w:jc w:val="both"/>
        <w:rPr>
          <w:rFonts w:ascii="Arial" w:hAnsi="Arial" w:cs="Arial"/>
          <w:i/>
          <w:sz w:val="24"/>
          <w:szCs w:val="24"/>
        </w:rPr>
      </w:pPr>
      <w:r w:rsidRPr="00E213A5">
        <w:rPr>
          <w:rFonts w:ascii="Arial" w:hAnsi="Arial" w:cs="Arial"/>
          <w:i/>
          <w:sz w:val="24"/>
          <w:szCs w:val="24"/>
        </w:rPr>
        <w:t xml:space="preserve">b) La autoridad en el juicio de lesividad. </w:t>
      </w:r>
    </w:p>
    <w:p w14:paraId="707E3CD2" w14:textId="77777777" w:rsidR="00993DF6" w:rsidRPr="00E213A5" w:rsidRDefault="00993DF6" w:rsidP="00993DF6">
      <w:pPr>
        <w:widowControl w:val="0"/>
        <w:tabs>
          <w:tab w:val="left" w:pos="7938"/>
        </w:tabs>
        <w:spacing w:after="120" w:line="360" w:lineRule="auto"/>
        <w:ind w:left="1134" w:right="900"/>
        <w:jc w:val="both"/>
        <w:rPr>
          <w:rFonts w:ascii="Arial" w:hAnsi="Arial" w:cs="Arial"/>
          <w:i/>
          <w:sz w:val="24"/>
          <w:szCs w:val="24"/>
        </w:rPr>
      </w:pPr>
      <w:r w:rsidRPr="00E213A5">
        <w:rPr>
          <w:rFonts w:ascii="Arial" w:hAnsi="Arial" w:cs="Arial"/>
          <w:i/>
          <w:sz w:val="24"/>
          <w:szCs w:val="24"/>
        </w:rPr>
        <w:t>II. El demandado. Tendrá ese carácter:</w:t>
      </w:r>
    </w:p>
    <w:p w14:paraId="6CE65737" w14:textId="77777777" w:rsidR="00993DF6" w:rsidRPr="00E213A5" w:rsidRDefault="00993DF6" w:rsidP="00993DF6">
      <w:pPr>
        <w:widowControl w:val="0"/>
        <w:tabs>
          <w:tab w:val="left" w:pos="7938"/>
        </w:tabs>
        <w:spacing w:after="120" w:line="360" w:lineRule="auto"/>
        <w:ind w:left="1134" w:right="900"/>
        <w:jc w:val="both"/>
        <w:rPr>
          <w:rFonts w:ascii="Arial" w:hAnsi="Arial" w:cs="Arial"/>
          <w:i/>
          <w:sz w:val="24"/>
          <w:szCs w:val="24"/>
        </w:rPr>
      </w:pPr>
      <w:r w:rsidRPr="00E213A5">
        <w:rPr>
          <w:rFonts w:ascii="Arial" w:hAnsi="Arial" w:cs="Arial"/>
          <w:i/>
          <w:sz w:val="24"/>
          <w:szCs w:val="24"/>
        </w:rPr>
        <w:t>a) La autoridad que dicte, ordene, ejecute o trate de ejecutar el acto impugnado, o que omita dar respuesta a las peticiones o instancias de los particulares;</w:t>
      </w:r>
    </w:p>
    <w:p w14:paraId="31333CFB" w14:textId="77777777" w:rsidR="00993DF6" w:rsidRPr="00E213A5" w:rsidRDefault="00993DF6" w:rsidP="00993DF6">
      <w:pPr>
        <w:widowControl w:val="0"/>
        <w:tabs>
          <w:tab w:val="left" w:pos="7938"/>
        </w:tabs>
        <w:spacing w:after="120" w:line="360" w:lineRule="auto"/>
        <w:ind w:left="1134" w:right="900"/>
        <w:jc w:val="both"/>
        <w:rPr>
          <w:rFonts w:ascii="Arial" w:hAnsi="Arial" w:cs="Arial"/>
          <w:i/>
          <w:sz w:val="24"/>
          <w:szCs w:val="24"/>
        </w:rPr>
      </w:pPr>
      <w:r w:rsidRPr="00E213A5">
        <w:rPr>
          <w:rFonts w:ascii="Arial" w:hAnsi="Arial" w:cs="Arial"/>
          <w:i/>
          <w:sz w:val="24"/>
          <w:szCs w:val="24"/>
        </w:rPr>
        <w:t xml:space="preserve">b) La persona o institución que funja como autoridad administrativa o fiscal en el ámbito estatal o municipal o en los Organismos Públicos Descentralizados, que dicte, ordene, ejecute o trate de ejecutar el acto o resolución impugnados; y </w:t>
      </w:r>
    </w:p>
    <w:p w14:paraId="6FB80A20" w14:textId="77777777" w:rsidR="00993DF6" w:rsidRPr="00E213A5" w:rsidRDefault="00993DF6" w:rsidP="00993DF6">
      <w:pPr>
        <w:widowControl w:val="0"/>
        <w:tabs>
          <w:tab w:val="left" w:pos="7938"/>
        </w:tabs>
        <w:spacing w:after="120" w:line="360" w:lineRule="auto"/>
        <w:ind w:left="1134" w:right="900"/>
        <w:jc w:val="both"/>
        <w:rPr>
          <w:rFonts w:ascii="Arial" w:hAnsi="Arial" w:cs="Arial"/>
          <w:i/>
          <w:sz w:val="24"/>
          <w:szCs w:val="24"/>
        </w:rPr>
      </w:pPr>
      <w:r w:rsidRPr="00E213A5">
        <w:rPr>
          <w:rFonts w:ascii="Arial" w:hAnsi="Arial" w:cs="Arial"/>
          <w:i/>
          <w:sz w:val="24"/>
          <w:szCs w:val="24"/>
        </w:rPr>
        <w:t>c) El particular a quien favorezca la resolución cuya modificación o nulidad demande la autoridad administrativa, estatal o municipal.</w:t>
      </w:r>
    </w:p>
    <w:p w14:paraId="336D8506" w14:textId="01794618" w:rsidR="00993DF6" w:rsidRPr="00E213A5" w:rsidRDefault="00993DF6" w:rsidP="00993DF6">
      <w:pPr>
        <w:widowControl w:val="0"/>
        <w:tabs>
          <w:tab w:val="left" w:pos="7938"/>
        </w:tabs>
        <w:spacing w:after="120" w:line="360" w:lineRule="auto"/>
        <w:ind w:left="1134" w:right="900"/>
        <w:jc w:val="both"/>
        <w:rPr>
          <w:rFonts w:ascii="Arial" w:hAnsi="Arial" w:cs="Arial"/>
          <w:i/>
          <w:sz w:val="24"/>
          <w:szCs w:val="24"/>
        </w:rPr>
      </w:pPr>
      <w:r w:rsidRPr="00E213A5">
        <w:rPr>
          <w:rFonts w:ascii="Arial" w:hAnsi="Arial" w:cs="Arial"/>
          <w:i/>
          <w:sz w:val="24"/>
          <w:szCs w:val="24"/>
        </w:rPr>
        <w:t>III. El tercero afectado, pudiendo intervenir con ese carácter cualquier persona física o moral, cuyos intereses puedan resultar incompatibles con las pretensiones del actor y que demuestre interés en que subsista el acto administrativo combatido.”</w:t>
      </w:r>
    </w:p>
    <w:p w14:paraId="339F7772" w14:textId="77777777" w:rsidR="00311FD9" w:rsidRPr="00E213A5" w:rsidRDefault="00311FD9" w:rsidP="00311FD9">
      <w:pPr>
        <w:spacing w:after="0" w:line="360" w:lineRule="auto"/>
        <w:ind w:left="1134" w:right="900"/>
        <w:jc w:val="both"/>
        <w:rPr>
          <w:rFonts w:ascii="Arial" w:hAnsi="Arial" w:cs="Arial"/>
          <w:i/>
          <w:sz w:val="24"/>
          <w:szCs w:val="24"/>
        </w:rPr>
      </w:pPr>
      <w:r w:rsidRPr="00E213A5">
        <w:rPr>
          <w:rFonts w:ascii="Arial" w:hAnsi="Arial" w:cs="Arial"/>
          <w:sz w:val="24"/>
          <w:szCs w:val="24"/>
        </w:rPr>
        <w:t>“</w:t>
      </w:r>
      <w:r w:rsidRPr="00E213A5">
        <w:rPr>
          <w:rFonts w:ascii="Arial" w:hAnsi="Arial" w:cs="Arial"/>
          <w:b/>
          <w:i/>
          <w:sz w:val="24"/>
          <w:szCs w:val="24"/>
        </w:rPr>
        <w:t>Artículo 236.-</w:t>
      </w:r>
      <w:r w:rsidRPr="00E213A5">
        <w:rPr>
          <w:rFonts w:ascii="Arial" w:hAnsi="Arial" w:cs="Arial"/>
          <w:i/>
          <w:sz w:val="24"/>
          <w:szCs w:val="24"/>
        </w:rPr>
        <w:t xml:space="preserve"> Contra los acuerdos y resoluciones dictadas por las salas unitarias de primera instancia, procede el recurso de revisión, cuyo conocimiento y resolución corresponde a la Sala Superior. </w:t>
      </w:r>
    </w:p>
    <w:p w14:paraId="07B617AD" w14:textId="77777777" w:rsidR="00311FD9" w:rsidRPr="00E213A5" w:rsidRDefault="00311FD9" w:rsidP="00311FD9">
      <w:pPr>
        <w:spacing w:after="0" w:line="360" w:lineRule="auto"/>
        <w:ind w:left="1134" w:right="900"/>
        <w:jc w:val="both"/>
        <w:rPr>
          <w:rFonts w:ascii="Arial" w:hAnsi="Arial" w:cs="Arial"/>
          <w:i/>
          <w:sz w:val="24"/>
          <w:szCs w:val="24"/>
        </w:rPr>
      </w:pPr>
      <w:r w:rsidRPr="00E213A5">
        <w:rPr>
          <w:rFonts w:ascii="Arial" w:hAnsi="Arial" w:cs="Arial"/>
          <w:i/>
          <w:sz w:val="24"/>
          <w:szCs w:val="24"/>
        </w:rPr>
        <w:t xml:space="preserve">Podrán ser impugnados por las partes, mediante recurso de revisión: </w:t>
      </w:r>
    </w:p>
    <w:p w14:paraId="6FB6F15B" w14:textId="77777777" w:rsidR="00311FD9" w:rsidRPr="00E213A5" w:rsidRDefault="00311FD9" w:rsidP="00311FD9">
      <w:pPr>
        <w:spacing w:before="240" w:after="0" w:line="360" w:lineRule="auto"/>
        <w:ind w:left="1134" w:right="900"/>
        <w:jc w:val="both"/>
        <w:rPr>
          <w:rFonts w:ascii="Arial" w:hAnsi="Arial" w:cs="Arial"/>
          <w:i/>
          <w:sz w:val="24"/>
          <w:szCs w:val="24"/>
        </w:rPr>
      </w:pPr>
      <w:r w:rsidRPr="00E213A5">
        <w:rPr>
          <w:rFonts w:ascii="Arial" w:hAnsi="Arial" w:cs="Arial"/>
          <w:i/>
          <w:sz w:val="24"/>
          <w:szCs w:val="24"/>
        </w:rPr>
        <w:t>I. Los acuerdos que admitan o desechen la demanda, su contestación o ampliación;</w:t>
      </w:r>
    </w:p>
    <w:p w14:paraId="58562206" w14:textId="77777777" w:rsidR="00311FD9" w:rsidRPr="00E213A5" w:rsidRDefault="00311FD9" w:rsidP="00311FD9">
      <w:pPr>
        <w:spacing w:after="0" w:line="360" w:lineRule="auto"/>
        <w:ind w:left="1134" w:right="900"/>
        <w:jc w:val="both"/>
        <w:rPr>
          <w:rFonts w:ascii="Arial" w:hAnsi="Arial" w:cs="Arial"/>
          <w:i/>
          <w:sz w:val="24"/>
          <w:szCs w:val="24"/>
        </w:rPr>
      </w:pPr>
      <w:r w:rsidRPr="00E213A5">
        <w:rPr>
          <w:rFonts w:ascii="Arial" w:hAnsi="Arial" w:cs="Arial"/>
          <w:i/>
          <w:sz w:val="24"/>
          <w:szCs w:val="24"/>
        </w:rPr>
        <w:t>II. El acuerdo que deseche pruebas;</w:t>
      </w:r>
    </w:p>
    <w:p w14:paraId="7B6424A8" w14:textId="77777777" w:rsidR="00311FD9" w:rsidRPr="00E213A5" w:rsidRDefault="00311FD9" w:rsidP="00311FD9">
      <w:pPr>
        <w:spacing w:after="0" w:line="360" w:lineRule="auto"/>
        <w:ind w:left="1134" w:right="900"/>
        <w:jc w:val="both"/>
        <w:rPr>
          <w:rFonts w:ascii="Arial" w:hAnsi="Arial" w:cs="Arial"/>
          <w:i/>
          <w:sz w:val="24"/>
          <w:szCs w:val="24"/>
        </w:rPr>
      </w:pPr>
      <w:r w:rsidRPr="00E213A5">
        <w:rPr>
          <w:rFonts w:ascii="Arial" w:hAnsi="Arial" w:cs="Arial"/>
          <w:i/>
          <w:sz w:val="24"/>
          <w:szCs w:val="24"/>
        </w:rPr>
        <w:t>III. El acuerdo que rechace la intervención del tercero;</w:t>
      </w:r>
    </w:p>
    <w:p w14:paraId="4BDF3120" w14:textId="77777777" w:rsidR="00311FD9" w:rsidRPr="00E213A5" w:rsidRDefault="00311FD9" w:rsidP="00311FD9">
      <w:pPr>
        <w:spacing w:after="0" w:line="360" w:lineRule="auto"/>
        <w:ind w:left="1134" w:right="900"/>
        <w:jc w:val="both"/>
        <w:rPr>
          <w:rFonts w:ascii="Arial" w:hAnsi="Arial" w:cs="Arial"/>
          <w:i/>
          <w:sz w:val="24"/>
          <w:szCs w:val="24"/>
        </w:rPr>
      </w:pPr>
      <w:r w:rsidRPr="00E213A5">
        <w:rPr>
          <w:rFonts w:ascii="Arial" w:hAnsi="Arial" w:cs="Arial"/>
          <w:i/>
          <w:sz w:val="24"/>
          <w:szCs w:val="24"/>
        </w:rPr>
        <w:t>IV. Los acuerdos que decreten, nieguen o revoquen la suspensión;</w:t>
      </w:r>
    </w:p>
    <w:p w14:paraId="4C6C6846" w14:textId="77777777" w:rsidR="00311FD9" w:rsidRPr="00E213A5" w:rsidRDefault="00311FD9" w:rsidP="00311FD9">
      <w:pPr>
        <w:spacing w:after="0" w:line="360" w:lineRule="auto"/>
        <w:ind w:left="1134" w:right="900"/>
        <w:jc w:val="both"/>
        <w:rPr>
          <w:rFonts w:ascii="Arial" w:hAnsi="Arial" w:cs="Arial"/>
          <w:i/>
          <w:sz w:val="24"/>
          <w:szCs w:val="24"/>
        </w:rPr>
      </w:pPr>
      <w:r w:rsidRPr="00E213A5">
        <w:rPr>
          <w:rFonts w:ascii="Arial" w:hAnsi="Arial" w:cs="Arial"/>
          <w:i/>
          <w:sz w:val="24"/>
          <w:szCs w:val="24"/>
        </w:rPr>
        <w:t>V. Las resoluciones que decidan incidentes a que se refiere el artículo 224 de esta Ley;</w:t>
      </w:r>
    </w:p>
    <w:p w14:paraId="75E9227D" w14:textId="77777777" w:rsidR="00311FD9" w:rsidRPr="00E213A5" w:rsidRDefault="00311FD9" w:rsidP="00311FD9">
      <w:pPr>
        <w:spacing w:after="0" w:line="360" w:lineRule="auto"/>
        <w:ind w:left="1134" w:right="900"/>
        <w:jc w:val="both"/>
        <w:rPr>
          <w:rFonts w:ascii="Arial" w:hAnsi="Arial" w:cs="Arial"/>
          <w:i/>
          <w:sz w:val="24"/>
          <w:szCs w:val="24"/>
        </w:rPr>
      </w:pPr>
      <w:r w:rsidRPr="00E213A5">
        <w:rPr>
          <w:rFonts w:ascii="Arial" w:hAnsi="Arial" w:cs="Arial"/>
          <w:i/>
          <w:sz w:val="24"/>
          <w:szCs w:val="24"/>
        </w:rPr>
        <w:t xml:space="preserve">VI. Las resoluciones que decreten o nieguen el sobreseimiento; </w:t>
      </w:r>
    </w:p>
    <w:p w14:paraId="0BDD062E" w14:textId="77777777" w:rsidR="00311FD9" w:rsidRPr="00E213A5" w:rsidRDefault="00311FD9" w:rsidP="00311FD9">
      <w:pPr>
        <w:spacing w:after="0" w:line="360" w:lineRule="auto"/>
        <w:ind w:left="1134" w:right="900"/>
        <w:jc w:val="both"/>
        <w:rPr>
          <w:rFonts w:ascii="Arial" w:hAnsi="Arial" w:cs="Arial"/>
          <w:i/>
          <w:sz w:val="24"/>
          <w:szCs w:val="24"/>
        </w:rPr>
      </w:pPr>
      <w:r w:rsidRPr="00E213A5">
        <w:rPr>
          <w:rFonts w:ascii="Arial" w:hAnsi="Arial" w:cs="Arial"/>
          <w:i/>
          <w:sz w:val="24"/>
          <w:szCs w:val="24"/>
        </w:rPr>
        <w:t>VII. Las sentencias que decidan la cuestión planteada;</w:t>
      </w:r>
    </w:p>
    <w:p w14:paraId="3942D46C" w14:textId="77777777" w:rsidR="00311FD9" w:rsidRPr="00E213A5" w:rsidRDefault="00311FD9" w:rsidP="00311FD9">
      <w:pPr>
        <w:spacing w:after="0" w:line="360" w:lineRule="auto"/>
        <w:ind w:left="1134" w:right="900"/>
        <w:jc w:val="both"/>
        <w:rPr>
          <w:rFonts w:ascii="Arial" w:hAnsi="Arial" w:cs="Arial"/>
          <w:i/>
          <w:sz w:val="24"/>
          <w:szCs w:val="24"/>
        </w:rPr>
      </w:pPr>
      <w:r w:rsidRPr="00E213A5">
        <w:rPr>
          <w:rFonts w:ascii="Arial" w:hAnsi="Arial" w:cs="Arial"/>
          <w:i/>
          <w:sz w:val="24"/>
          <w:szCs w:val="24"/>
        </w:rPr>
        <w:t>VIII. Por violaciones cometidas durante el procedimiento del juicio, cuando hayan dejado sin defensa al recurrente y trasciendan al sentido de la sentencia; y</w:t>
      </w:r>
    </w:p>
    <w:p w14:paraId="53DC1889" w14:textId="070427C1" w:rsidR="00311FD9" w:rsidRPr="00E213A5" w:rsidRDefault="00311FD9" w:rsidP="00E95E01">
      <w:pPr>
        <w:spacing w:after="120" w:line="360" w:lineRule="auto"/>
        <w:ind w:left="1134" w:right="902"/>
        <w:jc w:val="both"/>
        <w:rPr>
          <w:rFonts w:ascii="Arial" w:hAnsi="Arial" w:cs="Arial"/>
          <w:sz w:val="24"/>
          <w:szCs w:val="24"/>
        </w:rPr>
      </w:pPr>
      <w:r w:rsidRPr="00E213A5">
        <w:rPr>
          <w:rFonts w:ascii="Arial" w:hAnsi="Arial" w:cs="Arial"/>
          <w:i/>
          <w:sz w:val="24"/>
          <w:szCs w:val="24"/>
        </w:rPr>
        <w:lastRenderedPageBreak/>
        <w:t>VII. Las resoluciones que pongan fin al procedimiento de ejecución de la sentencia</w:t>
      </w:r>
      <w:r w:rsidRPr="00E213A5">
        <w:rPr>
          <w:rFonts w:ascii="Arial" w:hAnsi="Arial" w:cs="Arial"/>
          <w:sz w:val="24"/>
          <w:szCs w:val="24"/>
        </w:rPr>
        <w:t xml:space="preserve">”.- - - - - - - - - - - - - - - - - - - - - - - </w:t>
      </w:r>
    </w:p>
    <w:p w14:paraId="7D74B652" w14:textId="77777777" w:rsidR="00202BDE" w:rsidRPr="00E16861" w:rsidRDefault="00202BDE" w:rsidP="00202BDE">
      <w:pPr>
        <w:pStyle w:val="Sinespaciado"/>
      </w:pPr>
    </w:p>
    <w:p w14:paraId="7C055AB2" w14:textId="64117734" w:rsidR="006715D1" w:rsidRPr="00D93822" w:rsidRDefault="006715D1" w:rsidP="006715D1">
      <w:pPr>
        <w:spacing w:line="360" w:lineRule="auto"/>
        <w:ind w:firstLine="708"/>
        <w:jc w:val="both"/>
        <w:rPr>
          <w:rFonts w:ascii="Arial" w:eastAsia="Calibri" w:hAnsi="Arial" w:cs="Arial"/>
          <w:bCs/>
          <w:sz w:val="26"/>
          <w:szCs w:val="26"/>
          <w:lang w:val="es-ES" w:eastAsia="en-US"/>
        </w:rPr>
      </w:pPr>
      <w:r w:rsidRPr="00D93822">
        <w:rPr>
          <w:rFonts w:ascii="Arial" w:eastAsia="Calibri" w:hAnsi="Arial" w:cs="Arial"/>
          <w:bCs/>
          <w:sz w:val="26"/>
          <w:szCs w:val="26"/>
          <w:lang w:val="es-ES" w:eastAsia="en-US"/>
        </w:rPr>
        <w:t xml:space="preserve">En esa tesitura, de las constancias procesales que integran el expediente de primera instancia, las que tienen pleno valor probatorio conforme lo dispuesto por el artículo 203 fracción I de la Ley de Procedimiento y Justicia Administrativa para el Estado de Oaxaca, por tratarse de actuaciones judiciales, se advierte que el acto impugnado  y del cual se declaró su nulidad lo constituye el </w:t>
      </w:r>
      <w:r w:rsidRPr="00D93822">
        <w:rPr>
          <w:rFonts w:ascii="Arial" w:hAnsi="Arial" w:cs="Arial"/>
          <w:sz w:val="26"/>
          <w:szCs w:val="26"/>
        </w:rPr>
        <w:t>el Acta de infracción con número de folio</w:t>
      </w:r>
      <w:r w:rsidR="005F56E0">
        <w:rPr>
          <w:rFonts w:ascii="Arial" w:hAnsi="Arial" w:cs="Arial"/>
          <w:sz w:val="26"/>
          <w:szCs w:val="26"/>
        </w:rPr>
        <w:t xml:space="preserve"> </w:t>
      </w:r>
      <w:r w:rsidR="005F56E0">
        <w:rPr>
          <w:rFonts w:ascii="Arial" w:hAnsi="Arial" w:cs="Arial"/>
          <w:b/>
          <w:bCs/>
          <w:sz w:val="24"/>
          <w:szCs w:val="24"/>
        </w:rPr>
        <w:t>***********</w:t>
      </w:r>
      <w:r w:rsidRPr="00D93822">
        <w:rPr>
          <w:rFonts w:ascii="Arial" w:hAnsi="Arial" w:cs="Arial"/>
          <w:b/>
          <w:sz w:val="26"/>
          <w:szCs w:val="26"/>
        </w:rPr>
        <w:t>, emitida por el  POLICÍA VIAL ESTATAL IRÁN JULIÁN QUIÑONEZ PV-388,</w:t>
      </w:r>
      <w:r w:rsidRPr="00D93822">
        <w:rPr>
          <w:rFonts w:ascii="Arial" w:hAnsi="Arial" w:cs="Arial"/>
          <w:sz w:val="26"/>
          <w:szCs w:val="26"/>
        </w:rPr>
        <w:t xml:space="preserve"> </w:t>
      </w:r>
      <w:r w:rsidRPr="00D93822">
        <w:rPr>
          <w:rFonts w:ascii="Arial" w:hAnsi="Arial" w:cs="Arial"/>
          <w:b/>
          <w:sz w:val="26"/>
          <w:szCs w:val="26"/>
        </w:rPr>
        <w:t>dependiente de la DIRECCIÓN GENERAL DE LA POLICÍA VIAL ESTATAL, DIRECCIÓN DE TRÁNSITO DEL ESTADO.</w:t>
      </w:r>
      <w:r w:rsidRPr="00D93822">
        <w:rPr>
          <w:rFonts w:ascii="Arial" w:hAnsi="Arial" w:cs="Arial"/>
          <w:bCs/>
          <w:sz w:val="26"/>
          <w:szCs w:val="26"/>
        </w:rPr>
        <w:t xml:space="preserve">- - - - - - - - - -  - - - - - - - - - - - - - - - - - - - - - - </w:t>
      </w:r>
    </w:p>
    <w:p w14:paraId="00D8A5DA" w14:textId="25790A6A" w:rsidR="006715D1" w:rsidRPr="00D93822" w:rsidRDefault="006715D1" w:rsidP="006715D1">
      <w:pPr>
        <w:spacing w:line="360" w:lineRule="auto"/>
        <w:ind w:firstLine="708"/>
        <w:jc w:val="both"/>
        <w:rPr>
          <w:rFonts w:ascii="Arial" w:eastAsia="Calibri" w:hAnsi="Arial" w:cs="Arial"/>
          <w:bCs/>
          <w:sz w:val="26"/>
          <w:szCs w:val="26"/>
          <w:lang w:val="es-ES" w:eastAsia="en-US"/>
        </w:rPr>
      </w:pPr>
      <w:r w:rsidRPr="00D93822">
        <w:rPr>
          <w:rFonts w:ascii="Arial" w:eastAsia="Calibri" w:hAnsi="Arial" w:cs="Arial"/>
          <w:bCs/>
          <w:sz w:val="26"/>
          <w:szCs w:val="26"/>
          <w:lang w:val="es-ES" w:eastAsia="en-US"/>
        </w:rPr>
        <w:t xml:space="preserve">Como se observa, el acto impugnado en el juicio natural fue atribuido a autoridad diversa a la que hoy recurre, como así fue determinado en la sentencia en revisión, al indicar que el acta de infracción combatida fue elaborada por el Policía Vial Estatal de Oaxaca con número estadístico PV-388; y además en el juicio natural </w:t>
      </w:r>
      <w:r w:rsidRPr="00D93822">
        <w:rPr>
          <w:rFonts w:ascii="Arial" w:eastAsiaTheme="minorHAnsi" w:hAnsi="Arial" w:cs="Arial"/>
          <w:sz w:val="26"/>
          <w:szCs w:val="26"/>
          <w:lang w:val="es-ES" w:eastAsia="en-US"/>
        </w:rPr>
        <w:t xml:space="preserve">el Director General de la Policía Vial Estatal, </w:t>
      </w:r>
      <w:r w:rsidRPr="00D93822">
        <w:rPr>
          <w:rFonts w:ascii="Arial" w:eastAsia="Calibri" w:hAnsi="Arial" w:cs="Arial"/>
          <w:bCs/>
          <w:sz w:val="26"/>
          <w:szCs w:val="26"/>
          <w:lang w:val="es-ES" w:eastAsia="en-US"/>
        </w:rPr>
        <w:t xml:space="preserve">ni siquiera fue señalado por el actor como autoridad demandada; por tanto, no cuenta con </w:t>
      </w:r>
      <w:r w:rsidRPr="00D93822">
        <w:rPr>
          <w:rFonts w:ascii="Arial" w:eastAsia="Calibri" w:hAnsi="Arial" w:cs="Arial"/>
          <w:bCs/>
          <w:i/>
          <w:sz w:val="26"/>
          <w:szCs w:val="26"/>
          <w:lang w:val="es-ES" w:eastAsia="en-US"/>
        </w:rPr>
        <w:t xml:space="preserve">legitimación </w:t>
      </w:r>
      <w:r w:rsidRPr="00D93822">
        <w:rPr>
          <w:rFonts w:ascii="Arial" w:eastAsia="Calibri" w:hAnsi="Arial" w:cs="Arial"/>
          <w:bCs/>
          <w:sz w:val="26"/>
          <w:szCs w:val="26"/>
          <w:lang w:val="es-ES" w:eastAsia="en-US"/>
        </w:rPr>
        <w:t>para impugnar la determinación de declarar nulo ese acto de autoridad diversa.- - - - - - - - - - - - - -- - - - - - - - - - - - - - - - - - - - - - - - - - - - - - - - -</w:t>
      </w:r>
    </w:p>
    <w:p w14:paraId="125F4A5B" w14:textId="5ADF6F5E" w:rsidR="006715D1" w:rsidRPr="00D93822" w:rsidRDefault="006715D1" w:rsidP="006715D1">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D93822">
        <w:rPr>
          <w:rFonts w:ascii="Arial" w:eastAsia="Calibri" w:hAnsi="Arial" w:cs="Arial"/>
          <w:bCs/>
          <w:sz w:val="26"/>
          <w:szCs w:val="26"/>
          <w:lang w:val="es-ES" w:eastAsia="en-US"/>
        </w:rPr>
        <w:t xml:space="preserve">En ese sentido, debe entenderse a la </w:t>
      </w:r>
      <w:r w:rsidRPr="00D93822">
        <w:rPr>
          <w:rFonts w:ascii="Arial" w:eastAsia="Calibri" w:hAnsi="Arial" w:cs="Arial"/>
          <w:bCs/>
          <w:i/>
          <w:sz w:val="26"/>
          <w:szCs w:val="26"/>
          <w:lang w:val="es-ES" w:eastAsia="en-US"/>
        </w:rPr>
        <w:t xml:space="preserve">legitimación </w:t>
      </w:r>
      <w:r w:rsidRPr="00D93822">
        <w:rPr>
          <w:rFonts w:ascii="Arial" w:eastAsia="Calibri" w:hAnsi="Arial" w:cs="Arial"/>
          <w:bCs/>
          <w:sz w:val="26"/>
          <w:szCs w:val="26"/>
          <w:lang w:val="es-ES" w:eastAsia="en-US"/>
        </w:rPr>
        <w:t>en su aspecto general, como la aptitud de ser parte en un proceso concreto, pero únicamente la que se encuentra en determinada relación con la pretensión, que tratándose del recurso de revisión, sólo incumbe a quien pueda ocasionarle perjuicio jurídico la decisión; esto es, que la sentencia impugnada le agravie directamente, para así, ver justificado su interés en que sea modificada o revocada esa decisión.- - - - - - - - - - - - - - - - -</w:t>
      </w:r>
    </w:p>
    <w:p w14:paraId="6CB43456" w14:textId="11C3715E" w:rsidR="006715D1" w:rsidRPr="00D93822" w:rsidRDefault="006715D1" w:rsidP="006715D1">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D93822">
        <w:rPr>
          <w:rFonts w:ascii="Arial" w:eastAsia="Calibri" w:hAnsi="Arial" w:cs="Arial"/>
          <w:bCs/>
          <w:sz w:val="26"/>
          <w:szCs w:val="26"/>
          <w:lang w:val="es-ES" w:eastAsia="en-US"/>
        </w:rPr>
        <w:t>De tal forma, que si como acontece en este caso, la nulidad decretada fue respecto del acta de infracción levantada por el</w:t>
      </w:r>
      <w:r w:rsidRPr="00D93822">
        <w:rPr>
          <w:rFonts w:ascii="Arial" w:eastAsia="Calibri" w:hAnsi="Arial" w:cs="Arial"/>
          <w:b/>
          <w:bCs/>
          <w:sz w:val="26"/>
          <w:szCs w:val="26"/>
          <w:lang w:val="es-ES" w:eastAsia="en-US"/>
        </w:rPr>
        <w:t xml:space="preserve"> </w:t>
      </w:r>
      <w:r w:rsidRPr="00D93822">
        <w:rPr>
          <w:rFonts w:ascii="Arial" w:eastAsiaTheme="minorHAnsi" w:hAnsi="Arial" w:cs="Arial"/>
          <w:sz w:val="26"/>
          <w:szCs w:val="26"/>
          <w:lang w:val="es-ES" w:eastAsia="en-US"/>
        </w:rPr>
        <w:t>Policía Vial Estatal de Oaxaca con número estadístico PV-388</w:t>
      </w:r>
      <w:r w:rsidRPr="00D93822">
        <w:rPr>
          <w:rFonts w:ascii="Arial" w:eastAsia="Calibri" w:hAnsi="Arial" w:cs="Arial"/>
          <w:bCs/>
          <w:sz w:val="26"/>
          <w:szCs w:val="26"/>
          <w:lang w:val="es-ES" w:eastAsia="en-US"/>
        </w:rPr>
        <w:t>, sólo a dicha autoridad corresponde la legitimación para impugnarla en lo atinente a tal declaración de nulidad y sus efectos. - - - - - - - - - - - - - - - - - - - - - - -</w:t>
      </w:r>
    </w:p>
    <w:p w14:paraId="50133020" w14:textId="532F9C2B" w:rsidR="006715D1" w:rsidRPr="00D93822" w:rsidRDefault="006715D1" w:rsidP="006715D1">
      <w:pPr>
        <w:spacing w:before="240" w:line="360" w:lineRule="auto"/>
        <w:ind w:firstLine="709"/>
        <w:jc w:val="both"/>
        <w:rPr>
          <w:rFonts w:ascii="Arial" w:eastAsia="Times New Roman" w:hAnsi="Arial"/>
          <w:color w:val="000000"/>
          <w:sz w:val="26"/>
          <w:szCs w:val="26"/>
          <w:lang w:val="es-ES" w:eastAsia="en-US"/>
        </w:rPr>
      </w:pPr>
      <w:r w:rsidRPr="00D93822">
        <w:rPr>
          <w:rFonts w:ascii="Arial" w:eastAsia="Calibri" w:hAnsi="Arial" w:cs="Arial"/>
          <w:bCs/>
          <w:sz w:val="26"/>
          <w:szCs w:val="26"/>
          <w:lang w:val="es-ES" w:eastAsia="en-US"/>
        </w:rPr>
        <w:t xml:space="preserve">Al respecto, es resulta aplicable al caso que nos ocupa, el criterio emitido por el Octavo Tribunal Colegiado en materia Administrativa del </w:t>
      </w:r>
      <w:r w:rsidRPr="00D93822">
        <w:rPr>
          <w:rFonts w:ascii="Arial" w:eastAsia="Calibri" w:hAnsi="Arial" w:cs="Arial"/>
          <w:bCs/>
          <w:sz w:val="26"/>
          <w:szCs w:val="26"/>
          <w:lang w:val="es-ES" w:eastAsia="en-US"/>
        </w:rPr>
        <w:lastRenderedPageBreak/>
        <w:t>Primer Circuito, novena</w:t>
      </w:r>
      <w:r w:rsidRPr="00D93822">
        <w:rPr>
          <w:rFonts w:ascii="Arial" w:eastAsia="Times New Roman" w:hAnsi="Arial"/>
          <w:color w:val="000000"/>
          <w:sz w:val="26"/>
          <w:szCs w:val="26"/>
          <w:lang w:val="es-ES" w:eastAsia="en-US"/>
        </w:rPr>
        <w:t xml:space="preserve"> época, Tomo XXIX, en mayo de 2009, consultable a página 1119 en la Gaceta del Semanario Judicial de la Federación, cuyo rubro y texto son los siguientes:- - - - - - - - - - - - - - - - </w:t>
      </w:r>
    </w:p>
    <w:p w14:paraId="0B2A0A61" w14:textId="77777777" w:rsidR="006715D1" w:rsidRPr="005B5BB4" w:rsidRDefault="006715D1" w:rsidP="006715D1">
      <w:pPr>
        <w:widowControl w:val="0"/>
        <w:autoSpaceDE w:val="0"/>
        <w:autoSpaceDN w:val="0"/>
        <w:adjustRightInd w:val="0"/>
        <w:spacing w:before="240" w:after="0" w:line="360" w:lineRule="auto"/>
        <w:ind w:left="1134" w:right="474"/>
        <w:jc w:val="both"/>
        <w:rPr>
          <w:rFonts w:ascii="Arial" w:eastAsia="Calibri" w:hAnsi="Arial" w:cs="Arial"/>
          <w:bCs/>
          <w:sz w:val="24"/>
          <w:szCs w:val="24"/>
          <w:lang w:val="es-ES" w:eastAsia="en-US"/>
        </w:rPr>
      </w:pPr>
      <w:r w:rsidRPr="005B5BB4">
        <w:rPr>
          <w:rFonts w:ascii="Arial" w:eastAsia="Calibri" w:hAnsi="Arial" w:cs="Arial"/>
          <w:bCs/>
          <w:sz w:val="24"/>
          <w:szCs w:val="24"/>
          <w:lang w:val="es-ES" w:eastAsia="en-US"/>
        </w:rPr>
        <w:t>“</w:t>
      </w:r>
      <w:r w:rsidRPr="005B5BB4">
        <w:rPr>
          <w:rFonts w:ascii="Arial" w:eastAsia="Calibri" w:hAnsi="Arial" w:cs="Arial"/>
          <w:b/>
          <w:bCs/>
          <w:i/>
          <w:sz w:val="24"/>
          <w:szCs w:val="24"/>
          <w:lang w:val="es-ES" w:eastAsia="en-US"/>
        </w:rPr>
        <w:t>REVISIÓN CONTENCIOSA ADMINISTRATIVA. LA LEGITIMACIÓN PARA INTERPONER DICHO RECURSO NO SÓLO IMPLICA QUE EL PROMOVENTE SEA AUTORIDAD, SINO TAMBIÉN QUE LA SENTENCIA IMPUGNADA LE AGRAVIE</w:t>
      </w:r>
      <w:r w:rsidRPr="005B5BB4">
        <w:rPr>
          <w:rFonts w:ascii="Arial" w:eastAsia="Calibri" w:hAnsi="Arial" w:cs="Arial"/>
          <w:bCs/>
          <w:i/>
          <w:sz w:val="24"/>
          <w:szCs w:val="24"/>
          <w:lang w:val="es-ES" w:eastAsia="en-US"/>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Pr="005B5BB4">
        <w:rPr>
          <w:rFonts w:ascii="Arial" w:eastAsia="Calibri" w:hAnsi="Arial" w:cs="Arial"/>
          <w:bCs/>
          <w:sz w:val="24"/>
          <w:szCs w:val="24"/>
          <w:lang w:val="es-ES" w:eastAsia="en-US"/>
        </w:rPr>
        <w:t>”</w:t>
      </w:r>
    </w:p>
    <w:p w14:paraId="66DCDB0A" w14:textId="36121521" w:rsidR="006715D1" w:rsidRPr="00D93822" w:rsidRDefault="006715D1" w:rsidP="006715D1">
      <w:pPr>
        <w:spacing w:before="240" w:line="360" w:lineRule="auto"/>
        <w:jc w:val="both"/>
        <w:rPr>
          <w:rFonts w:ascii="Arial" w:eastAsia="Calibri" w:hAnsi="Arial" w:cs="Arial"/>
          <w:bCs/>
          <w:sz w:val="26"/>
          <w:szCs w:val="26"/>
          <w:lang w:val="es-ES" w:eastAsia="en-US"/>
        </w:rPr>
      </w:pPr>
      <w:r w:rsidRPr="00D93822">
        <w:rPr>
          <w:rFonts w:ascii="Arial" w:eastAsia="Calibri" w:hAnsi="Arial" w:cs="Arial"/>
          <w:bCs/>
          <w:sz w:val="26"/>
          <w:szCs w:val="26"/>
          <w:lang w:val="es-ES" w:eastAsia="en-US"/>
        </w:rPr>
        <w:tab/>
        <w:t xml:space="preserve">En el presente caso, es pertinente puntualizar que la legitimación respecto de las partes procesales, puede ser de dos tipos: </w:t>
      </w:r>
      <w:r w:rsidRPr="00D93822">
        <w:rPr>
          <w:rFonts w:ascii="Arial" w:eastAsia="Calibri" w:hAnsi="Arial" w:cs="Arial"/>
          <w:bCs/>
          <w:i/>
          <w:sz w:val="26"/>
          <w:szCs w:val="26"/>
          <w:lang w:val="es-ES" w:eastAsia="en-US"/>
        </w:rPr>
        <w:t xml:space="preserve">legitimación ad </w:t>
      </w:r>
      <w:proofErr w:type="spellStart"/>
      <w:r w:rsidRPr="00D93822">
        <w:rPr>
          <w:rFonts w:ascii="Arial" w:eastAsia="Calibri" w:hAnsi="Arial" w:cs="Arial"/>
          <w:bCs/>
          <w:i/>
          <w:sz w:val="26"/>
          <w:szCs w:val="26"/>
          <w:lang w:val="es-ES" w:eastAsia="en-US"/>
        </w:rPr>
        <w:t>causam</w:t>
      </w:r>
      <w:proofErr w:type="spellEnd"/>
      <w:r w:rsidRPr="00D93822">
        <w:rPr>
          <w:rFonts w:ascii="Arial" w:eastAsia="Calibri" w:hAnsi="Arial" w:cs="Arial"/>
          <w:bCs/>
          <w:sz w:val="26"/>
          <w:szCs w:val="26"/>
          <w:lang w:val="es-ES" w:eastAsia="en-US"/>
        </w:rPr>
        <w:t xml:space="preserve"> (legitimación en la causa) y </w:t>
      </w:r>
      <w:r w:rsidRPr="00D93822">
        <w:rPr>
          <w:rFonts w:ascii="Arial" w:eastAsia="Calibri" w:hAnsi="Arial" w:cs="Arial"/>
          <w:bCs/>
          <w:i/>
          <w:sz w:val="26"/>
          <w:szCs w:val="26"/>
          <w:lang w:val="es-ES" w:eastAsia="en-US"/>
        </w:rPr>
        <w:t xml:space="preserve">legitimación ad </w:t>
      </w:r>
      <w:proofErr w:type="spellStart"/>
      <w:r w:rsidRPr="00D93822">
        <w:rPr>
          <w:rFonts w:ascii="Arial" w:eastAsia="Calibri" w:hAnsi="Arial" w:cs="Arial"/>
          <w:bCs/>
          <w:i/>
          <w:sz w:val="26"/>
          <w:szCs w:val="26"/>
          <w:lang w:val="es-ES" w:eastAsia="en-US"/>
        </w:rPr>
        <w:t>processum</w:t>
      </w:r>
      <w:proofErr w:type="spellEnd"/>
      <w:r w:rsidRPr="00D93822">
        <w:rPr>
          <w:rFonts w:ascii="Arial" w:eastAsia="Calibri" w:hAnsi="Arial" w:cs="Arial"/>
          <w:bCs/>
          <w:sz w:val="26"/>
          <w:szCs w:val="26"/>
          <w:lang w:val="es-ES" w:eastAsia="en-US"/>
        </w:rPr>
        <w:t xml:space="preserve"> (legitimación procesal). La </w:t>
      </w:r>
      <w:r w:rsidRPr="00D93822">
        <w:rPr>
          <w:rFonts w:ascii="Arial" w:eastAsia="Calibri" w:hAnsi="Arial" w:cs="Arial"/>
          <w:bCs/>
          <w:i/>
          <w:sz w:val="26"/>
          <w:szCs w:val="26"/>
          <w:lang w:val="es-ES" w:eastAsia="en-US"/>
        </w:rPr>
        <w:t xml:space="preserve">legitimación ad </w:t>
      </w:r>
      <w:proofErr w:type="spellStart"/>
      <w:r w:rsidRPr="00D93822">
        <w:rPr>
          <w:rFonts w:ascii="Arial" w:eastAsia="Calibri" w:hAnsi="Arial" w:cs="Arial"/>
          <w:bCs/>
          <w:i/>
          <w:sz w:val="26"/>
          <w:szCs w:val="26"/>
          <w:lang w:val="es-ES" w:eastAsia="en-US"/>
        </w:rPr>
        <w:t>causam</w:t>
      </w:r>
      <w:proofErr w:type="spellEnd"/>
      <w:r w:rsidRPr="00D93822">
        <w:rPr>
          <w:rFonts w:ascii="Arial" w:eastAsia="Calibri" w:hAnsi="Arial" w:cs="Arial"/>
          <w:bCs/>
          <w:i/>
          <w:sz w:val="26"/>
          <w:szCs w:val="26"/>
          <w:lang w:val="es-ES" w:eastAsia="en-US"/>
        </w:rPr>
        <w:t xml:space="preserve"> </w:t>
      </w:r>
      <w:r w:rsidRPr="00D93822">
        <w:rPr>
          <w:rFonts w:ascii="Arial" w:eastAsia="Calibri" w:hAnsi="Arial" w:cs="Arial"/>
          <w:bCs/>
          <w:sz w:val="26"/>
          <w:szCs w:val="26"/>
          <w:lang w:val="es-ES" w:eastAsia="en-US"/>
        </w:rPr>
        <w:t>se refiere a la identidad del actor, así como a la identidad del demandado, o bien de los terceros, todos siempre en sentido material, en cuanto que ellos son titulares de un derecho subjetivo cuya aplicación y respeto piden al órgano jurisdiccional, y dado que es una cuestión referente al fondo del asunto sólo puede analizarse al dictar sentencia.- - - - - - - - - - - - - - - - -</w:t>
      </w:r>
    </w:p>
    <w:p w14:paraId="41CC0A7D" w14:textId="75ED664C" w:rsidR="006715D1" w:rsidRPr="00D93822" w:rsidRDefault="006715D1" w:rsidP="006715D1">
      <w:pPr>
        <w:spacing w:before="240" w:line="360" w:lineRule="auto"/>
        <w:ind w:firstLine="708"/>
        <w:jc w:val="both"/>
        <w:rPr>
          <w:rFonts w:ascii="Arial" w:eastAsia="Calibri" w:hAnsi="Arial" w:cs="Arial"/>
          <w:bCs/>
          <w:sz w:val="26"/>
          <w:szCs w:val="26"/>
          <w:lang w:val="es-ES" w:eastAsia="en-US"/>
        </w:rPr>
      </w:pPr>
      <w:r w:rsidRPr="00D93822">
        <w:rPr>
          <w:rFonts w:ascii="Arial" w:eastAsia="Calibri" w:hAnsi="Arial" w:cs="Arial"/>
          <w:bCs/>
          <w:sz w:val="26"/>
          <w:szCs w:val="26"/>
          <w:lang w:val="es-ES" w:eastAsia="en-US"/>
        </w:rPr>
        <w:t xml:space="preserve">Por su parte, la </w:t>
      </w:r>
      <w:r w:rsidRPr="00D93822">
        <w:rPr>
          <w:rFonts w:ascii="Arial" w:eastAsia="Calibri" w:hAnsi="Arial" w:cs="Arial"/>
          <w:bCs/>
          <w:i/>
          <w:sz w:val="26"/>
          <w:szCs w:val="26"/>
          <w:lang w:val="es-ES" w:eastAsia="en-US"/>
        </w:rPr>
        <w:t xml:space="preserve">legitimación ad </w:t>
      </w:r>
      <w:proofErr w:type="spellStart"/>
      <w:r w:rsidRPr="00D93822">
        <w:rPr>
          <w:rFonts w:ascii="Arial" w:eastAsia="Calibri" w:hAnsi="Arial" w:cs="Arial"/>
          <w:bCs/>
          <w:i/>
          <w:sz w:val="26"/>
          <w:szCs w:val="26"/>
          <w:lang w:val="es-ES" w:eastAsia="en-US"/>
        </w:rPr>
        <w:t>processum</w:t>
      </w:r>
      <w:proofErr w:type="spellEnd"/>
      <w:r w:rsidRPr="00D93822">
        <w:rPr>
          <w:rFonts w:ascii="Arial" w:eastAsia="Calibri" w:hAnsi="Arial" w:cs="Arial"/>
          <w:bCs/>
          <w:i/>
          <w:sz w:val="26"/>
          <w:szCs w:val="26"/>
          <w:lang w:val="es-ES" w:eastAsia="en-US"/>
        </w:rPr>
        <w:t xml:space="preserve"> </w:t>
      </w:r>
      <w:r w:rsidRPr="00D93822">
        <w:rPr>
          <w:rFonts w:ascii="Arial" w:eastAsia="Calibri" w:hAnsi="Arial" w:cs="Arial"/>
          <w:bCs/>
          <w:sz w:val="26"/>
          <w:szCs w:val="26"/>
          <w:lang w:val="es-ES" w:eastAsia="en-US"/>
        </w:rPr>
        <w:t xml:space="preserve">o capacidad procesal, consiste en la capacidad que tiene un sujeto para realizar válidamente actos procesales, bien sea porque actúe por su propio derecho o en representación de otra persona titular del derecho violentado o bien de quien estima se ha transgredido su esfera objetiva de derechos, por lo que su acreditamiento en el juicio implica un presupuesto procesal. - - - </w:t>
      </w:r>
    </w:p>
    <w:p w14:paraId="7C4350E7" w14:textId="442CF07A" w:rsidR="000757ED" w:rsidRPr="00D93822" w:rsidRDefault="006715D1" w:rsidP="000757ED">
      <w:pPr>
        <w:spacing w:before="240" w:line="360" w:lineRule="auto"/>
        <w:ind w:right="49" w:firstLine="708"/>
        <w:jc w:val="both"/>
        <w:rPr>
          <w:rFonts w:ascii="Arial" w:hAnsi="Arial" w:cs="Arial"/>
          <w:sz w:val="26"/>
          <w:szCs w:val="26"/>
        </w:rPr>
      </w:pPr>
      <w:r w:rsidRPr="00D93822">
        <w:rPr>
          <w:rFonts w:ascii="Arial" w:eastAsia="Calibri" w:hAnsi="Arial" w:cs="Arial"/>
          <w:bCs/>
          <w:sz w:val="26"/>
          <w:szCs w:val="26"/>
          <w:lang w:val="es-ES" w:eastAsia="en-US"/>
        </w:rPr>
        <w:lastRenderedPageBreak/>
        <w:t xml:space="preserve">Por lo que en la especie, el Director General de la Policía Vial Estatal carece de legitimación procesal para impugnar una sentencia derivada de un juicio en el que se declaró la nulidad lisa y llana del acta de infracción </w:t>
      </w:r>
      <w:r w:rsidRPr="00D93822">
        <w:rPr>
          <w:rFonts w:ascii="Arial" w:hAnsi="Arial" w:cs="Arial"/>
          <w:sz w:val="26"/>
          <w:szCs w:val="26"/>
        </w:rPr>
        <w:t>con número  folio</w:t>
      </w:r>
      <w:r w:rsidR="005F56E0">
        <w:rPr>
          <w:rFonts w:ascii="Arial" w:hAnsi="Arial" w:cs="Arial"/>
          <w:sz w:val="26"/>
          <w:szCs w:val="26"/>
        </w:rPr>
        <w:t xml:space="preserve"> </w:t>
      </w:r>
      <w:r w:rsidR="005F56E0">
        <w:rPr>
          <w:rFonts w:ascii="Arial" w:hAnsi="Arial" w:cs="Arial"/>
          <w:b/>
          <w:bCs/>
          <w:sz w:val="24"/>
          <w:szCs w:val="24"/>
        </w:rPr>
        <w:t>***********</w:t>
      </w:r>
      <w:r w:rsidRPr="00D93822">
        <w:rPr>
          <w:rFonts w:ascii="Arial" w:hAnsi="Arial" w:cs="Arial"/>
          <w:bCs/>
          <w:sz w:val="26"/>
          <w:szCs w:val="26"/>
        </w:rPr>
        <w:t xml:space="preserve">, emitida por el  </w:t>
      </w:r>
      <w:r w:rsidR="000507DA" w:rsidRPr="000507DA">
        <w:rPr>
          <w:rFonts w:ascii="Arial" w:hAnsi="Arial" w:cs="Arial"/>
          <w:sz w:val="26"/>
          <w:szCs w:val="26"/>
        </w:rPr>
        <w:t>POLICÍA VIAL ESTATAL</w:t>
      </w:r>
      <w:r w:rsidR="000507DA" w:rsidRPr="000507DA">
        <w:rPr>
          <w:rFonts w:ascii="Arial" w:eastAsia="Calibri" w:hAnsi="Arial" w:cs="Arial"/>
          <w:sz w:val="26"/>
          <w:szCs w:val="26"/>
        </w:rPr>
        <w:t xml:space="preserve"> CON NÚMERO DE IDENTIFICACIÓN 388 DEPENDIENTE DE LA DIRECCIÓN GENERAL DE LA POLICÍA ESTATAL DE OAXACA, DIRECCIÓN TRÁNSITO DEL ESTADO</w:t>
      </w:r>
      <w:r w:rsidRPr="000507DA">
        <w:rPr>
          <w:rFonts w:ascii="Arial" w:hAnsi="Arial" w:cs="Arial"/>
          <w:bCs/>
          <w:sz w:val="26"/>
          <w:szCs w:val="26"/>
        </w:rPr>
        <w:t>,</w:t>
      </w:r>
      <w:r w:rsidRPr="00D93822">
        <w:rPr>
          <w:rFonts w:ascii="Arial" w:hAnsi="Arial" w:cs="Arial"/>
          <w:bCs/>
          <w:sz w:val="26"/>
          <w:szCs w:val="26"/>
        </w:rPr>
        <w:t xml:space="preserve"> </w:t>
      </w:r>
      <w:r w:rsidRPr="00D93822">
        <w:rPr>
          <w:rFonts w:ascii="Arial" w:eastAsia="Calibri" w:hAnsi="Arial" w:cs="Arial"/>
          <w:bCs/>
          <w:sz w:val="26"/>
          <w:szCs w:val="26"/>
          <w:lang w:val="es-ES" w:eastAsia="en-US"/>
        </w:rPr>
        <w:t xml:space="preserve">esencialmente por dos razones: la primera, consistente en que él no fue señalado como autoridad demandada en el juicio natural; y la segunda, porque si bien es cierto que el </w:t>
      </w:r>
      <w:r w:rsidRPr="00D93822">
        <w:rPr>
          <w:rFonts w:ascii="Arial" w:eastAsiaTheme="minorHAnsi" w:hAnsi="Arial" w:cs="Arial"/>
          <w:sz w:val="26"/>
          <w:szCs w:val="26"/>
          <w:lang w:val="es-ES" w:eastAsia="en-US"/>
        </w:rPr>
        <w:t>Policía Vial Estatal de Oaxaca con número estadístico PV-3</w:t>
      </w:r>
      <w:r w:rsidR="000757ED" w:rsidRPr="00D93822">
        <w:rPr>
          <w:rFonts w:ascii="Arial" w:eastAsiaTheme="minorHAnsi" w:hAnsi="Arial" w:cs="Arial"/>
          <w:sz w:val="26"/>
          <w:szCs w:val="26"/>
          <w:lang w:val="es-ES" w:eastAsia="en-US"/>
        </w:rPr>
        <w:t>88</w:t>
      </w:r>
      <w:r w:rsidRPr="00D93822">
        <w:rPr>
          <w:rFonts w:ascii="Arial" w:eastAsiaTheme="minorHAnsi" w:hAnsi="Arial" w:cs="Arial"/>
          <w:sz w:val="26"/>
          <w:szCs w:val="26"/>
          <w:lang w:val="es-ES" w:eastAsia="en-US"/>
        </w:rPr>
        <w:t xml:space="preserve"> que emitió el acto impugnado, pertenece a la Dirección General de la Policía Vial  Estatal de la que es titular el ahora recurrente, también es cierto que éste no acreditó tener la representación legal de la autoridad demandada para promover válidamente el recurso de revisión interpues</w:t>
      </w:r>
      <w:r w:rsidR="000757ED" w:rsidRPr="00D93822">
        <w:rPr>
          <w:rFonts w:ascii="Arial" w:eastAsiaTheme="minorHAnsi" w:hAnsi="Arial" w:cs="Arial"/>
          <w:sz w:val="26"/>
          <w:szCs w:val="26"/>
          <w:lang w:val="es-ES" w:eastAsia="en-US"/>
        </w:rPr>
        <w:t>to</w:t>
      </w:r>
      <w:r w:rsidR="000757ED" w:rsidRPr="00D93822">
        <w:rPr>
          <w:rFonts w:ascii="Arial" w:hAnsi="Arial" w:cs="Arial"/>
          <w:sz w:val="26"/>
          <w:szCs w:val="26"/>
        </w:rPr>
        <w:t>. - - - - - - - - - - - - - - - - - - - - - - - - - - - - - - - - - - - - - - - - - - -</w:t>
      </w:r>
    </w:p>
    <w:p w14:paraId="34E090FC" w14:textId="3D9935F9" w:rsidR="006715D1" w:rsidRPr="00D93822" w:rsidRDefault="006715D1" w:rsidP="006715D1">
      <w:pPr>
        <w:spacing w:before="240" w:line="360" w:lineRule="auto"/>
        <w:ind w:firstLine="708"/>
        <w:jc w:val="both"/>
        <w:rPr>
          <w:rFonts w:ascii="Arial" w:eastAsia="Calibri" w:hAnsi="Arial" w:cs="Arial"/>
          <w:bCs/>
          <w:sz w:val="26"/>
          <w:szCs w:val="26"/>
          <w:lang w:val="es-ES" w:eastAsia="en-US"/>
        </w:rPr>
      </w:pPr>
      <w:r w:rsidRPr="00D93822">
        <w:rPr>
          <w:rFonts w:ascii="Arial" w:eastAsia="Calibri" w:hAnsi="Arial" w:cs="Arial"/>
          <w:bCs/>
          <w:sz w:val="26"/>
          <w:szCs w:val="26"/>
          <w:lang w:val="es-ES" w:eastAsia="en-US"/>
        </w:rPr>
        <w:t xml:space="preserve">En apoyo a lo anterior, se invoca el criterio sostenido por el Segundo Tribunal Colegiado del Décimo Tercer Circuito, en la tesis que aparece publicada en el Semanario Judicial de la Federación, perteneciente a la Octava Época, Tomo XI, febrero de 1993, página 275, que a la letra dice: </w:t>
      </w:r>
      <w:r w:rsidR="000757ED" w:rsidRPr="00D93822">
        <w:rPr>
          <w:rFonts w:ascii="Arial" w:eastAsia="Calibri" w:hAnsi="Arial" w:cs="Arial"/>
          <w:bCs/>
          <w:sz w:val="26"/>
          <w:szCs w:val="26"/>
          <w:lang w:val="es-ES" w:eastAsia="en-US"/>
        </w:rPr>
        <w:t>- - - - - - - - - - - - - - - - - - - - - - - - -  - - - - - - - - - - - -</w:t>
      </w:r>
    </w:p>
    <w:p w14:paraId="2626E359" w14:textId="77777777" w:rsidR="006715D1" w:rsidRPr="002E40FC" w:rsidRDefault="006715D1" w:rsidP="006715D1">
      <w:pPr>
        <w:spacing w:before="240" w:line="360" w:lineRule="auto"/>
        <w:ind w:left="851" w:right="333"/>
        <w:jc w:val="both"/>
        <w:rPr>
          <w:rFonts w:ascii="Arial" w:eastAsia="Calibri" w:hAnsi="Arial" w:cs="Arial"/>
          <w:bCs/>
          <w:i/>
          <w:sz w:val="24"/>
          <w:szCs w:val="24"/>
          <w:lang w:val="es-ES" w:eastAsia="en-US"/>
        </w:rPr>
      </w:pPr>
      <w:r w:rsidRPr="002E40FC">
        <w:rPr>
          <w:rFonts w:ascii="Arial" w:eastAsia="Calibri" w:hAnsi="Arial" w:cs="Arial"/>
          <w:b/>
          <w:bCs/>
          <w:i/>
          <w:sz w:val="24"/>
          <w:szCs w:val="24"/>
          <w:lang w:val="es-ES" w:eastAsia="en-US"/>
        </w:rPr>
        <w:t xml:space="preserve">LEGITIMACION EN LA CAUSA Y LEGITIMACION EN EL PROCESO. DIFERENCIAS. </w:t>
      </w:r>
      <w:r w:rsidRPr="002E40FC">
        <w:rPr>
          <w:rFonts w:ascii="Arial" w:eastAsia="Calibri" w:hAnsi="Arial" w:cs="Arial"/>
          <w:bCs/>
          <w:i/>
          <w:sz w:val="24"/>
          <w:szCs w:val="24"/>
          <w:lang w:val="es-ES" w:eastAsia="en-US"/>
        </w:rPr>
        <w:t xml:space="preserve">La </w:t>
      </w:r>
      <w:proofErr w:type="spellStart"/>
      <w:r w:rsidRPr="002E40FC">
        <w:rPr>
          <w:rFonts w:ascii="Arial" w:eastAsia="Calibri" w:hAnsi="Arial" w:cs="Arial"/>
          <w:bCs/>
          <w:i/>
          <w:sz w:val="24"/>
          <w:szCs w:val="24"/>
          <w:lang w:val="es-ES" w:eastAsia="en-US"/>
        </w:rPr>
        <w:t>legitimatio</w:t>
      </w:r>
      <w:proofErr w:type="spellEnd"/>
      <w:r w:rsidRPr="002E40FC">
        <w:rPr>
          <w:rFonts w:ascii="Arial" w:eastAsia="Calibri" w:hAnsi="Arial" w:cs="Arial"/>
          <w:bCs/>
          <w:i/>
          <w:sz w:val="24"/>
          <w:szCs w:val="24"/>
          <w:lang w:val="es-ES" w:eastAsia="en-US"/>
        </w:rPr>
        <w:t xml:space="preserve"> ad </w:t>
      </w:r>
      <w:proofErr w:type="spellStart"/>
      <w:r w:rsidRPr="002E40FC">
        <w:rPr>
          <w:rFonts w:ascii="Arial" w:eastAsia="Calibri" w:hAnsi="Arial" w:cs="Arial"/>
          <w:bCs/>
          <w:i/>
          <w:sz w:val="24"/>
          <w:szCs w:val="24"/>
          <w:lang w:val="es-ES" w:eastAsia="en-US"/>
        </w:rPr>
        <w:t>causam</w:t>
      </w:r>
      <w:proofErr w:type="spellEnd"/>
      <w:r w:rsidRPr="002E40FC">
        <w:rPr>
          <w:rFonts w:ascii="Arial" w:eastAsia="Calibri" w:hAnsi="Arial" w:cs="Arial"/>
          <w:bCs/>
          <w:i/>
          <w:sz w:val="24"/>
          <w:szCs w:val="24"/>
          <w:lang w:val="es-ES" w:eastAsia="en-US"/>
        </w:rPr>
        <w:t xml:space="preserve"> no es un presupuesto procesal como erróneamente lo expuso la responsable, porque lejos de referirse al procedimiento o al válido ejercicio de la acción, contempla la relación sustancial que debe existir entre el sujeto demandante o demandado y el interés perseguido en el juicio. Es entonces, una cuestión sustancial y no procesal o, mejor dicho, un presupuesto de la pretensión para la sentencia de fondo. En cambio, la </w:t>
      </w:r>
      <w:proofErr w:type="spellStart"/>
      <w:r w:rsidRPr="002E40FC">
        <w:rPr>
          <w:rFonts w:ascii="Arial" w:eastAsia="Calibri" w:hAnsi="Arial" w:cs="Arial"/>
          <w:bCs/>
          <w:i/>
          <w:sz w:val="24"/>
          <w:szCs w:val="24"/>
          <w:lang w:val="es-ES" w:eastAsia="en-US"/>
        </w:rPr>
        <w:t>legitimatio</w:t>
      </w:r>
      <w:proofErr w:type="spellEnd"/>
      <w:r w:rsidRPr="002E40FC">
        <w:rPr>
          <w:rFonts w:ascii="Arial" w:eastAsia="Calibri" w:hAnsi="Arial" w:cs="Arial"/>
          <w:bCs/>
          <w:i/>
          <w:sz w:val="24"/>
          <w:szCs w:val="24"/>
          <w:lang w:val="es-ES" w:eastAsia="en-US"/>
        </w:rPr>
        <w:t xml:space="preserve"> ad </w:t>
      </w:r>
      <w:proofErr w:type="spellStart"/>
      <w:r w:rsidRPr="002E40FC">
        <w:rPr>
          <w:rFonts w:ascii="Arial" w:eastAsia="Calibri" w:hAnsi="Arial" w:cs="Arial"/>
          <w:bCs/>
          <w:i/>
          <w:sz w:val="24"/>
          <w:szCs w:val="24"/>
          <w:lang w:val="es-ES" w:eastAsia="en-US"/>
        </w:rPr>
        <w:t>procesum</w:t>
      </w:r>
      <w:proofErr w:type="spellEnd"/>
      <w:r w:rsidRPr="002E40FC">
        <w:rPr>
          <w:rFonts w:ascii="Arial" w:eastAsia="Calibri" w:hAnsi="Arial" w:cs="Arial"/>
          <w:bCs/>
          <w:i/>
          <w:sz w:val="24"/>
          <w:szCs w:val="24"/>
          <w:lang w:val="es-ES" w:eastAsia="en-US"/>
        </w:rPr>
        <w:t xml:space="preserve"> sí es un presupuesto procesal pues refiere a la capacidad de las partes para ejecutar válidamente actos procesales y, por tanto, es condición para la validez formal del juicio.</w:t>
      </w:r>
    </w:p>
    <w:p w14:paraId="64A382D2" w14:textId="72F05E50" w:rsidR="00F54CE7" w:rsidRDefault="00E95E01" w:rsidP="001E435C">
      <w:pPr>
        <w:spacing w:before="240" w:line="360" w:lineRule="auto"/>
        <w:ind w:right="49" w:firstLine="708"/>
        <w:jc w:val="both"/>
        <w:rPr>
          <w:rFonts w:ascii="Arial" w:hAnsi="Arial" w:cs="Arial"/>
          <w:sz w:val="26"/>
          <w:szCs w:val="26"/>
        </w:rPr>
      </w:pPr>
      <w:r>
        <w:rPr>
          <w:rFonts w:ascii="Arial" w:hAnsi="Arial" w:cs="Arial"/>
          <w:sz w:val="26"/>
          <w:szCs w:val="26"/>
        </w:rPr>
        <w:t xml:space="preserve">Consecuentemente, el actual medio de defensa se torna </w:t>
      </w:r>
      <w:r w:rsidRPr="00CE437C">
        <w:rPr>
          <w:rFonts w:ascii="Arial" w:hAnsi="Arial" w:cs="Arial"/>
          <w:b/>
          <w:sz w:val="26"/>
          <w:szCs w:val="26"/>
        </w:rPr>
        <w:t>improcedente</w:t>
      </w:r>
      <w:r>
        <w:rPr>
          <w:rFonts w:ascii="Arial" w:hAnsi="Arial" w:cs="Arial"/>
          <w:sz w:val="26"/>
          <w:szCs w:val="26"/>
        </w:rPr>
        <w:t xml:space="preserve"> pues se insiste, la impugnación de acuerdos y resoluciones dictados en la tramitación del juicio de nulidad, sólo podrá realizarse </w:t>
      </w:r>
      <w:r w:rsidRPr="00BD1D88">
        <w:rPr>
          <w:rFonts w:ascii="Arial" w:hAnsi="Arial" w:cs="Arial"/>
          <w:sz w:val="26"/>
          <w:szCs w:val="26"/>
        </w:rPr>
        <w:t>por las partes que intervienen</w:t>
      </w:r>
      <w:r>
        <w:rPr>
          <w:rFonts w:ascii="Arial" w:hAnsi="Arial" w:cs="Arial"/>
          <w:sz w:val="26"/>
          <w:szCs w:val="26"/>
        </w:rPr>
        <w:t xml:space="preserve"> en el juicio, y el aquí recurrente, no acredita contar con el carácter de parte, lo que le priva del derecho </w:t>
      </w:r>
      <w:r>
        <w:rPr>
          <w:rFonts w:ascii="Arial" w:hAnsi="Arial" w:cs="Arial"/>
          <w:sz w:val="26"/>
          <w:szCs w:val="26"/>
        </w:rPr>
        <w:lastRenderedPageBreak/>
        <w:t>de controvertir las resoluciones dictadas por la Primera Instancia</w:t>
      </w:r>
      <w:r w:rsidR="00F54CE7">
        <w:rPr>
          <w:rFonts w:ascii="Arial" w:hAnsi="Arial" w:cs="Arial"/>
          <w:sz w:val="26"/>
          <w:szCs w:val="26"/>
        </w:rPr>
        <w:t>, como así lo establece el artículo 236 de la L</w:t>
      </w:r>
      <w:r w:rsidR="000E19E7">
        <w:rPr>
          <w:rFonts w:ascii="Arial" w:hAnsi="Arial" w:cs="Arial"/>
          <w:sz w:val="26"/>
          <w:szCs w:val="26"/>
        </w:rPr>
        <w:t>ey de la Materia</w:t>
      </w:r>
      <w:r w:rsidR="004B248A">
        <w:rPr>
          <w:rFonts w:ascii="Arial" w:hAnsi="Arial" w:cs="Arial"/>
          <w:sz w:val="26"/>
          <w:szCs w:val="26"/>
        </w:rPr>
        <w:t xml:space="preserve">.- - - - - - - - - - - - </w:t>
      </w:r>
    </w:p>
    <w:p w14:paraId="4FEED316" w14:textId="669642AA" w:rsidR="00F54CE7" w:rsidRDefault="004B248A" w:rsidP="00F105BF">
      <w:pPr>
        <w:widowControl w:val="0"/>
        <w:tabs>
          <w:tab w:val="left" w:pos="7938"/>
        </w:tabs>
        <w:spacing w:after="120" w:line="360" w:lineRule="auto"/>
        <w:ind w:right="17" w:firstLine="709"/>
        <w:jc w:val="both"/>
        <w:rPr>
          <w:rFonts w:ascii="Arial" w:hAnsi="Arial" w:cs="Arial"/>
          <w:sz w:val="26"/>
          <w:szCs w:val="26"/>
        </w:rPr>
      </w:pPr>
      <w:r w:rsidRPr="001E435C">
        <w:rPr>
          <w:rFonts w:ascii="Arial" w:hAnsi="Arial" w:cs="Arial"/>
          <w:sz w:val="26"/>
          <w:szCs w:val="26"/>
        </w:rPr>
        <w:t xml:space="preserve">De ahí que, al comparecer </w:t>
      </w:r>
      <w:r w:rsidR="00BA71E3" w:rsidRPr="001E435C">
        <w:rPr>
          <w:rFonts w:ascii="Arial" w:hAnsi="Arial" w:cs="Arial"/>
          <w:b/>
          <w:sz w:val="26"/>
          <w:szCs w:val="26"/>
        </w:rPr>
        <w:t>David Antonio Jiménez, en su carácter de DIRECTOR GENERAL DE LA POLICÍA VIAL ESTATAL,</w:t>
      </w:r>
      <w:r w:rsidRPr="001E435C">
        <w:rPr>
          <w:rFonts w:ascii="Arial" w:hAnsi="Arial" w:cs="Arial"/>
          <w:sz w:val="26"/>
          <w:szCs w:val="26"/>
        </w:rPr>
        <w:t xml:space="preserve"> sin acreditar contar con el carácter de parte</w:t>
      </w:r>
      <w:r w:rsidR="00BA71E3" w:rsidRPr="001E435C">
        <w:rPr>
          <w:rFonts w:ascii="Arial" w:hAnsi="Arial" w:cs="Arial"/>
          <w:sz w:val="26"/>
          <w:szCs w:val="26"/>
        </w:rPr>
        <w:t xml:space="preserve"> dentro del juicio de nulidad</w:t>
      </w:r>
      <w:r w:rsidRPr="001E435C">
        <w:rPr>
          <w:rFonts w:ascii="Arial" w:hAnsi="Arial" w:cs="Arial"/>
          <w:sz w:val="26"/>
          <w:szCs w:val="26"/>
        </w:rPr>
        <w:t xml:space="preserve">, es que no le asiste el derecho para controvertir la sentencia de </w:t>
      </w:r>
      <w:r w:rsidR="00F54CE7" w:rsidRPr="001E435C">
        <w:rPr>
          <w:rFonts w:ascii="Arial" w:hAnsi="Arial" w:cs="Arial"/>
          <w:sz w:val="26"/>
          <w:szCs w:val="26"/>
        </w:rPr>
        <w:t>veintiocho de enero de dos mil veinte</w:t>
      </w:r>
      <w:r w:rsidRPr="001E435C">
        <w:rPr>
          <w:rFonts w:ascii="Arial" w:hAnsi="Arial" w:cs="Arial"/>
          <w:sz w:val="26"/>
          <w:szCs w:val="26"/>
        </w:rPr>
        <w:t xml:space="preserve">, dictada por </w:t>
      </w:r>
      <w:r w:rsidR="00F54CE7" w:rsidRPr="001E435C">
        <w:rPr>
          <w:rFonts w:ascii="Arial" w:hAnsi="Arial" w:cs="Arial"/>
          <w:sz w:val="26"/>
          <w:szCs w:val="26"/>
        </w:rPr>
        <w:t xml:space="preserve">la </w:t>
      </w:r>
      <w:r w:rsidRPr="001E435C">
        <w:rPr>
          <w:rFonts w:ascii="Arial" w:hAnsi="Arial" w:cs="Arial"/>
          <w:sz w:val="26"/>
          <w:szCs w:val="26"/>
        </w:rPr>
        <w:t>Magistrad</w:t>
      </w:r>
      <w:r w:rsidR="00F54CE7" w:rsidRPr="001E435C">
        <w:rPr>
          <w:rFonts w:ascii="Arial" w:hAnsi="Arial" w:cs="Arial"/>
          <w:sz w:val="26"/>
          <w:szCs w:val="26"/>
        </w:rPr>
        <w:t>a</w:t>
      </w:r>
      <w:r w:rsidRPr="001E435C">
        <w:rPr>
          <w:rFonts w:ascii="Arial" w:hAnsi="Arial" w:cs="Arial"/>
          <w:sz w:val="26"/>
          <w:szCs w:val="26"/>
        </w:rPr>
        <w:t xml:space="preserve"> de la </w:t>
      </w:r>
      <w:r w:rsidR="00F54CE7" w:rsidRPr="001E435C">
        <w:rPr>
          <w:rFonts w:ascii="Arial" w:hAnsi="Arial" w:cs="Arial"/>
          <w:sz w:val="26"/>
          <w:szCs w:val="26"/>
        </w:rPr>
        <w:t>Primera</w:t>
      </w:r>
      <w:r w:rsidRPr="001E435C">
        <w:rPr>
          <w:rFonts w:ascii="Arial" w:hAnsi="Arial" w:cs="Arial"/>
          <w:sz w:val="26"/>
          <w:szCs w:val="26"/>
        </w:rPr>
        <w:t xml:space="preserve"> Sala Unitaria de Primera Instancia; lo que impone, se </w:t>
      </w:r>
      <w:r w:rsidRPr="001E435C">
        <w:rPr>
          <w:rFonts w:ascii="Arial" w:hAnsi="Arial" w:cs="Arial"/>
          <w:b/>
          <w:sz w:val="26"/>
          <w:szCs w:val="26"/>
        </w:rPr>
        <w:t>deseche</w:t>
      </w:r>
      <w:r w:rsidRPr="001E435C">
        <w:rPr>
          <w:rFonts w:ascii="Arial" w:hAnsi="Arial" w:cs="Arial"/>
          <w:sz w:val="26"/>
          <w:szCs w:val="26"/>
        </w:rPr>
        <w:t xml:space="preserve"> por </w:t>
      </w:r>
      <w:r w:rsidRPr="001E435C">
        <w:rPr>
          <w:rFonts w:ascii="Arial" w:hAnsi="Arial" w:cs="Arial"/>
          <w:b/>
          <w:sz w:val="26"/>
          <w:szCs w:val="26"/>
        </w:rPr>
        <w:t xml:space="preserve">improcedente </w:t>
      </w:r>
      <w:r w:rsidRPr="001E435C">
        <w:rPr>
          <w:rFonts w:ascii="Arial" w:hAnsi="Arial" w:cs="Arial"/>
          <w:sz w:val="26"/>
          <w:szCs w:val="26"/>
        </w:rPr>
        <w:t xml:space="preserve">el recurso de revisión </w:t>
      </w:r>
      <w:r w:rsidR="00BA71E3" w:rsidRPr="001E435C">
        <w:rPr>
          <w:rFonts w:ascii="Arial" w:hAnsi="Arial" w:cs="Arial"/>
          <w:sz w:val="26"/>
          <w:szCs w:val="26"/>
        </w:rPr>
        <w:t xml:space="preserve">interpuesto en su contra.- - - - </w:t>
      </w:r>
    </w:p>
    <w:p w14:paraId="2D8855C4" w14:textId="77777777" w:rsidR="00286628" w:rsidRPr="001E435C" w:rsidRDefault="00286628" w:rsidP="00286628">
      <w:pPr>
        <w:pStyle w:val="Sinespaciado"/>
        <w:jc w:val="both"/>
      </w:pPr>
    </w:p>
    <w:p w14:paraId="257859CB" w14:textId="3D08ABFD" w:rsidR="00286628" w:rsidRDefault="004B248A" w:rsidP="00286628">
      <w:pPr>
        <w:widowControl w:val="0"/>
        <w:tabs>
          <w:tab w:val="left" w:pos="7938"/>
        </w:tabs>
        <w:spacing w:after="120" w:line="360" w:lineRule="auto"/>
        <w:ind w:right="17" w:firstLine="709"/>
        <w:jc w:val="both"/>
        <w:rPr>
          <w:rFonts w:ascii="Arial" w:hAnsi="Arial" w:cs="Arial"/>
          <w:sz w:val="26"/>
          <w:szCs w:val="26"/>
        </w:rPr>
      </w:pPr>
      <w:r>
        <w:rPr>
          <w:rFonts w:ascii="Arial" w:hAnsi="Arial" w:cs="Arial"/>
          <w:sz w:val="26"/>
          <w:szCs w:val="26"/>
        </w:rPr>
        <w:t>En mérito de lo anterior, con fundamento en los artículos 237 y 238 de la Ley de Procedimiento y Justicia Administrativa para el Estado, se:- -</w:t>
      </w:r>
      <w:r w:rsidR="007E7D98">
        <w:rPr>
          <w:rFonts w:ascii="Arial" w:hAnsi="Arial" w:cs="Arial"/>
          <w:sz w:val="26"/>
          <w:szCs w:val="26"/>
        </w:rPr>
        <w:t xml:space="preserve">- - - - - - - - - - - - - - - - - - - - - - - - - - - - - - - - - - - - - - - - - - </w:t>
      </w:r>
      <w:r w:rsidR="00286628">
        <w:rPr>
          <w:rFonts w:ascii="Arial" w:hAnsi="Arial" w:cs="Arial"/>
          <w:sz w:val="26"/>
          <w:szCs w:val="26"/>
        </w:rPr>
        <w:t xml:space="preserve">- - - - - - </w:t>
      </w:r>
    </w:p>
    <w:p w14:paraId="6FB440C1" w14:textId="15197C8B" w:rsidR="007E7D98" w:rsidRDefault="004B248A" w:rsidP="00286628">
      <w:pPr>
        <w:widowControl w:val="0"/>
        <w:tabs>
          <w:tab w:val="left" w:pos="7938"/>
        </w:tabs>
        <w:spacing w:after="120" w:line="360" w:lineRule="auto"/>
        <w:ind w:right="17" w:firstLine="709"/>
        <w:jc w:val="center"/>
        <w:rPr>
          <w:rFonts w:ascii="Arial" w:hAnsi="Arial" w:cs="Arial"/>
          <w:sz w:val="26"/>
          <w:szCs w:val="26"/>
        </w:rPr>
      </w:pPr>
      <w:r>
        <w:rPr>
          <w:rFonts w:ascii="Arial" w:hAnsi="Arial" w:cs="Arial"/>
          <w:b/>
          <w:sz w:val="26"/>
          <w:szCs w:val="26"/>
        </w:rPr>
        <w:t>R E S U E L V E</w:t>
      </w:r>
    </w:p>
    <w:p w14:paraId="6AF0448F" w14:textId="77777777" w:rsidR="00286628" w:rsidRDefault="004B248A" w:rsidP="007E7D98">
      <w:pPr>
        <w:widowControl w:val="0"/>
        <w:tabs>
          <w:tab w:val="left" w:pos="7938"/>
        </w:tabs>
        <w:spacing w:after="120" w:line="360" w:lineRule="auto"/>
        <w:ind w:right="17" w:firstLine="709"/>
        <w:jc w:val="both"/>
        <w:rPr>
          <w:rFonts w:ascii="Arial" w:hAnsi="Arial" w:cs="Arial"/>
          <w:sz w:val="26"/>
          <w:szCs w:val="26"/>
        </w:rPr>
      </w:pPr>
      <w:r w:rsidRPr="001E435C">
        <w:rPr>
          <w:rFonts w:ascii="Arial" w:hAnsi="Arial" w:cs="Arial"/>
          <w:b/>
          <w:sz w:val="26"/>
          <w:szCs w:val="26"/>
        </w:rPr>
        <w:t>PRIMERO</w:t>
      </w:r>
      <w:r w:rsidRPr="001E435C">
        <w:rPr>
          <w:rFonts w:ascii="Arial" w:hAnsi="Arial" w:cs="Arial"/>
          <w:sz w:val="26"/>
          <w:szCs w:val="26"/>
        </w:rPr>
        <w:t xml:space="preserve">. Se </w:t>
      </w:r>
      <w:r w:rsidRPr="001E435C">
        <w:rPr>
          <w:rFonts w:ascii="Arial" w:hAnsi="Arial" w:cs="Arial"/>
          <w:b/>
          <w:sz w:val="26"/>
          <w:szCs w:val="26"/>
        </w:rPr>
        <w:t>DESECHA</w:t>
      </w:r>
      <w:r w:rsidRPr="001E435C">
        <w:rPr>
          <w:rFonts w:ascii="Arial" w:hAnsi="Arial" w:cs="Arial"/>
          <w:sz w:val="26"/>
          <w:szCs w:val="26"/>
        </w:rPr>
        <w:t xml:space="preserve"> </w:t>
      </w:r>
      <w:r w:rsidR="001A20C5" w:rsidRPr="001A20C5">
        <w:rPr>
          <w:rFonts w:ascii="Arial" w:hAnsi="Arial" w:cs="Arial"/>
          <w:b/>
          <w:sz w:val="26"/>
          <w:szCs w:val="26"/>
        </w:rPr>
        <w:t xml:space="preserve">POR </w:t>
      </w:r>
      <w:r w:rsidRPr="001E435C">
        <w:rPr>
          <w:rFonts w:ascii="Arial" w:hAnsi="Arial" w:cs="Arial"/>
          <w:b/>
          <w:sz w:val="26"/>
          <w:szCs w:val="26"/>
        </w:rPr>
        <w:t xml:space="preserve">IMPROCEDENTE </w:t>
      </w:r>
      <w:r w:rsidRPr="001E435C">
        <w:rPr>
          <w:rFonts w:ascii="Arial" w:hAnsi="Arial" w:cs="Arial"/>
          <w:sz w:val="26"/>
          <w:szCs w:val="26"/>
        </w:rPr>
        <w:t>el recurso de revisión</w:t>
      </w:r>
      <w:r w:rsidR="00BA71E3" w:rsidRPr="001E435C">
        <w:rPr>
          <w:rFonts w:ascii="Arial" w:hAnsi="Arial" w:cs="Arial"/>
          <w:sz w:val="26"/>
          <w:szCs w:val="26"/>
        </w:rPr>
        <w:t xml:space="preserve"> interpuesto por </w:t>
      </w:r>
      <w:r w:rsidR="00BA71E3" w:rsidRPr="001E435C">
        <w:rPr>
          <w:rFonts w:ascii="Arial" w:hAnsi="Arial" w:cs="Arial"/>
          <w:b/>
          <w:sz w:val="26"/>
          <w:szCs w:val="26"/>
        </w:rPr>
        <w:t>David Antonio Jiménez, en su carácter de DIRECTOR GENERAL DE LA POLICÍA VIAL ESTATAL</w:t>
      </w:r>
      <w:r w:rsidRPr="001E435C">
        <w:rPr>
          <w:rFonts w:ascii="Arial" w:hAnsi="Arial" w:cs="Arial"/>
          <w:sz w:val="26"/>
          <w:szCs w:val="26"/>
        </w:rPr>
        <w:t>, en los términos d</w:t>
      </w:r>
      <w:r w:rsidRPr="001E435C">
        <w:rPr>
          <w:rFonts w:ascii="Arial" w:hAnsi="Arial" w:cs="Arial"/>
          <w:sz w:val="26"/>
          <w:szCs w:val="26"/>
          <w:lang w:eastAsia="es-ES"/>
        </w:rPr>
        <w:t>el considerando que antecede</w:t>
      </w:r>
      <w:r w:rsidRPr="001E435C">
        <w:rPr>
          <w:rFonts w:ascii="Arial" w:hAnsi="Arial" w:cs="Arial"/>
          <w:sz w:val="26"/>
          <w:szCs w:val="26"/>
        </w:rPr>
        <w:t xml:space="preserve">. - - - - - - - - - - </w:t>
      </w:r>
      <w:r w:rsidR="00BA71E3" w:rsidRPr="001E435C">
        <w:rPr>
          <w:rFonts w:ascii="Arial" w:hAnsi="Arial" w:cs="Arial"/>
          <w:sz w:val="26"/>
          <w:szCs w:val="26"/>
        </w:rPr>
        <w:t>- - - - - - - - - - - -</w:t>
      </w:r>
    </w:p>
    <w:p w14:paraId="382D06CC" w14:textId="10BAD7AA" w:rsidR="007E7D98" w:rsidRPr="001E435C" w:rsidRDefault="00BA71E3" w:rsidP="00286628">
      <w:pPr>
        <w:pStyle w:val="Sinespaciado"/>
      </w:pPr>
      <w:r w:rsidRPr="001E435C">
        <w:t xml:space="preserve"> </w:t>
      </w:r>
    </w:p>
    <w:p w14:paraId="564034D0" w14:textId="183639FE" w:rsidR="00512FF4" w:rsidRPr="001E435C" w:rsidRDefault="00FE6E62" w:rsidP="007E7D98">
      <w:pPr>
        <w:widowControl w:val="0"/>
        <w:tabs>
          <w:tab w:val="left" w:pos="7938"/>
        </w:tabs>
        <w:spacing w:after="120" w:line="360" w:lineRule="auto"/>
        <w:ind w:right="17" w:firstLine="709"/>
        <w:jc w:val="both"/>
        <w:rPr>
          <w:rFonts w:ascii="Arial" w:hAnsi="Arial" w:cs="Arial"/>
          <w:sz w:val="26"/>
          <w:szCs w:val="26"/>
        </w:rPr>
      </w:pPr>
      <w:r w:rsidRPr="001E435C">
        <w:rPr>
          <w:rFonts w:ascii="Arial" w:hAnsi="Arial" w:cs="Arial"/>
          <w:b/>
          <w:sz w:val="26"/>
          <w:szCs w:val="26"/>
        </w:rPr>
        <w:t>SEGUNDO</w:t>
      </w:r>
      <w:r w:rsidRPr="001E435C">
        <w:rPr>
          <w:rFonts w:ascii="Arial" w:hAnsi="Arial" w:cs="Arial"/>
          <w:sz w:val="26"/>
          <w:szCs w:val="26"/>
        </w:rPr>
        <w:t xml:space="preserve">. </w:t>
      </w:r>
      <w:r w:rsidR="00FB6C3B" w:rsidRPr="001E435C">
        <w:rPr>
          <w:rFonts w:ascii="Arial" w:hAnsi="Arial" w:cs="Arial"/>
          <w:b/>
          <w:sz w:val="26"/>
          <w:szCs w:val="26"/>
        </w:rPr>
        <w:t>NOTIFÍQUESE Y CÚMPLASE</w:t>
      </w:r>
      <w:r w:rsidR="00BA71E3" w:rsidRPr="001E435C">
        <w:rPr>
          <w:rFonts w:ascii="Arial" w:hAnsi="Arial" w:cs="Arial"/>
          <w:b/>
          <w:sz w:val="26"/>
          <w:szCs w:val="26"/>
        </w:rPr>
        <w:t xml:space="preserve">. </w:t>
      </w:r>
      <w:r w:rsidR="00BA71E3" w:rsidRPr="001E435C">
        <w:rPr>
          <w:rFonts w:ascii="Arial" w:hAnsi="Arial" w:cs="Arial"/>
          <w:sz w:val="26"/>
          <w:szCs w:val="26"/>
        </w:rPr>
        <w:t>C</w:t>
      </w:r>
      <w:r w:rsidR="00FB6C3B" w:rsidRPr="001E435C">
        <w:rPr>
          <w:rFonts w:ascii="Arial" w:hAnsi="Arial" w:cs="Arial"/>
          <w:sz w:val="26"/>
          <w:szCs w:val="26"/>
        </w:rPr>
        <w:t xml:space="preserve">on copia certificada de la presente resolución, vuelvan las constancias remitidas a la </w:t>
      </w:r>
      <w:r w:rsidR="007E7D98" w:rsidRPr="001E435C">
        <w:rPr>
          <w:rFonts w:ascii="Arial" w:hAnsi="Arial" w:cs="Arial"/>
          <w:sz w:val="26"/>
          <w:szCs w:val="26"/>
        </w:rPr>
        <w:t xml:space="preserve">Primera </w:t>
      </w:r>
      <w:r w:rsidR="00FB6C3B" w:rsidRPr="001E435C">
        <w:rPr>
          <w:rFonts w:ascii="Arial" w:hAnsi="Arial" w:cs="Arial"/>
          <w:sz w:val="26"/>
          <w:szCs w:val="26"/>
        </w:rPr>
        <w:t>Sala Unitaria de Primera Instancia</w:t>
      </w:r>
      <w:r w:rsidR="007E7D98" w:rsidRPr="001E435C">
        <w:rPr>
          <w:rFonts w:ascii="Arial" w:hAnsi="Arial" w:cs="Arial"/>
          <w:sz w:val="26"/>
          <w:szCs w:val="26"/>
        </w:rPr>
        <w:t>,</w:t>
      </w:r>
      <w:r w:rsidR="00FB6C3B" w:rsidRPr="001E435C">
        <w:rPr>
          <w:rFonts w:ascii="Arial" w:hAnsi="Arial" w:cs="Arial"/>
          <w:sz w:val="26"/>
          <w:szCs w:val="26"/>
        </w:rPr>
        <w:t xml:space="preserve"> </w:t>
      </w:r>
      <w:r w:rsidR="007E7D98" w:rsidRPr="001E435C">
        <w:rPr>
          <w:rFonts w:ascii="Arial" w:hAnsi="Arial" w:cs="Arial"/>
          <w:sz w:val="26"/>
          <w:szCs w:val="26"/>
        </w:rPr>
        <w:t>y</w:t>
      </w:r>
      <w:r w:rsidR="00FB6C3B" w:rsidRPr="001E435C">
        <w:rPr>
          <w:rFonts w:ascii="Arial" w:hAnsi="Arial" w:cs="Arial"/>
          <w:sz w:val="26"/>
          <w:szCs w:val="26"/>
        </w:rPr>
        <w:t xml:space="preserve"> en su oportunidad archívese el presente cuaderno de revisión como asunto concluido. - - - </w:t>
      </w:r>
      <w:r w:rsidR="00BA71E3" w:rsidRPr="001E435C">
        <w:rPr>
          <w:rFonts w:ascii="Arial" w:hAnsi="Arial" w:cs="Arial"/>
          <w:sz w:val="26"/>
          <w:szCs w:val="26"/>
        </w:rPr>
        <w:t xml:space="preserve">- - - - - - - - - </w:t>
      </w:r>
    </w:p>
    <w:p w14:paraId="213F5A35" w14:textId="1D174325" w:rsidR="00094106" w:rsidRDefault="00094106" w:rsidP="00094106">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Manuel Velasco Alcántara, Abraham Santiago Soriano, Raúl Palomares Palomino, Gloria del Carmen Camacho Meza (</w:t>
      </w:r>
      <w:r>
        <w:rPr>
          <w:rFonts w:ascii="Arial" w:hAnsi="Arial" w:cs="Arial"/>
          <w:b/>
          <w:sz w:val="26"/>
          <w:szCs w:val="26"/>
        </w:rPr>
        <w:t>ponente</w:t>
      </w:r>
      <w:r>
        <w:rPr>
          <w:rFonts w:ascii="Arial" w:hAnsi="Arial" w:cs="Arial"/>
          <w:sz w:val="26"/>
          <w:szCs w:val="26"/>
        </w:rPr>
        <w:t xml:space="preserve">), y Paulo José Luis Tapia Palacios; quienes actúan con el Licenciado Juan Edy García Coronado, Secretario General de Acuerdos de este Tribunal, que autoriza y da fe. - - - - - - - - - - - - - - - - - - - - - - - - - - - - - - - - - - - - - - - - </w:t>
      </w:r>
    </w:p>
    <w:p w14:paraId="21BC8C3C" w14:textId="595C91C4" w:rsidR="000F67E8" w:rsidRDefault="000F67E8" w:rsidP="00094106">
      <w:pPr>
        <w:pStyle w:val="Sinespaciado"/>
        <w:rPr>
          <w:rFonts w:ascii="Arial" w:hAnsi="Arial" w:cs="Arial"/>
          <w:sz w:val="26"/>
          <w:szCs w:val="26"/>
        </w:rPr>
      </w:pPr>
    </w:p>
    <w:p w14:paraId="4F510057" w14:textId="77777777" w:rsidR="000F67E8" w:rsidRDefault="000F67E8" w:rsidP="00094106">
      <w:pPr>
        <w:pStyle w:val="Sinespaciado"/>
        <w:rPr>
          <w:rFonts w:ascii="Arial" w:hAnsi="Arial" w:cs="Arial"/>
          <w:sz w:val="26"/>
          <w:szCs w:val="26"/>
        </w:rPr>
      </w:pPr>
    </w:p>
    <w:p w14:paraId="7813371E" w14:textId="77777777" w:rsidR="00094106" w:rsidRDefault="00094106" w:rsidP="00094106">
      <w:pPr>
        <w:pStyle w:val="Sinespaciado"/>
        <w:rPr>
          <w:rFonts w:ascii="Arial" w:hAnsi="Arial" w:cs="Arial"/>
          <w:sz w:val="26"/>
          <w:szCs w:val="26"/>
        </w:rPr>
      </w:pPr>
    </w:p>
    <w:p w14:paraId="14367712" w14:textId="77777777" w:rsidR="00094106" w:rsidRDefault="00094106" w:rsidP="00094106">
      <w:pPr>
        <w:pStyle w:val="Sinespaciado"/>
        <w:jc w:val="center"/>
        <w:rPr>
          <w:rFonts w:ascii="Arial" w:hAnsi="Arial" w:cs="Arial"/>
          <w:sz w:val="26"/>
          <w:szCs w:val="26"/>
        </w:rPr>
      </w:pPr>
      <w:r>
        <w:rPr>
          <w:rFonts w:ascii="Arial" w:hAnsi="Arial" w:cs="Arial"/>
          <w:sz w:val="26"/>
          <w:szCs w:val="26"/>
        </w:rPr>
        <w:t>MAGISTRADO MANUEL VELASCO ALCÁNTARA</w:t>
      </w:r>
    </w:p>
    <w:p w14:paraId="08829E79" w14:textId="77777777" w:rsidR="00094106" w:rsidRDefault="00094106" w:rsidP="00094106">
      <w:pPr>
        <w:pStyle w:val="Sinespaciado"/>
        <w:jc w:val="center"/>
        <w:rPr>
          <w:rFonts w:ascii="Arial" w:hAnsi="Arial" w:cs="Arial"/>
          <w:sz w:val="26"/>
          <w:szCs w:val="26"/>
        </w:rPr>
      </w:pPr>
      <w:r>
        <w:rPr>
          <w:rFonts w:ascii="Arial" w:hAnsi="Arial" w:cs="Arial"/>
          <w:sz w:val="26"/>
          <w:szCs w:val="26"/>
        </w:rPr>
        <w:t>PRESIDENTE</w:t>
      </w:r>
    </w:p>
    <w:p w14:paraId="4F669748" w14:textId="43CB14BB" w:rsidR="000F67E8" w:rsidRDefault="000F67E8" w:rsidP="00094106">
      <w:pPr>
        <w:spacing w:line="360" w:lineRule="auto"/>
        <w:jc w:val="center"/>
        <w:rPr>
          <w:rFonts w:ascii="Arial" w:hAnsi="Arial" w:cs="Arial"/>
          <w:b/>
          <w:bCs/>
          <w:sz w:val="18"/>
          <w:szCs w:val="18"/>
        </w:rPr>
      </w:pPr>
    </w:p>
    <w:p w14:paraId="07AA0D88" w14:textId="77777777" w:rsidR="00E4665D" w:rsidRDefault="00E4665D" w:rsidP="00094106">
      <w:pPr>
        <w:spacing w:line="360" w:lineRule="auto"/>
        <w:jc w:val="center"/>
        <w:rPr>
          <w:rFonts w:ascii="Arial" w:hAnsi="Arial" w:cs="Arial"/>
          <w:b/>
          <w:bCs/>
          <w:sz w:val="18"/>
          <w:szCs w:val="18"/>
        </w:rPr>
      </w:pPr>
    </w:p>
    <w:p w14:paraId="4E0A5FC0" w14:textId="77777777" w:rsidR="00E4665D" w:rsidRDefault="00E4665D" w:rsidP="00094106">
      <w:pPr>
        <w:spacing w:line="360" w:lineRule="auto"/>
        <w:jc w:val="center"/>
        <w:rPr>
          <w:rFonts w:ascii="Arial" w:hAnsi="Arial" w:cs="Arial"/>
          <w:b/>
          <w:bCs/>
          <w:sz w:val="18"/>
          <w:szCs w:val="18"/>
        </w:rPr>
      </w:pPr>
    </w:p>
    <w:p w14:paraId="4DD31691" w14:textId="7F0821D6" w:rsidR="00E4665D" w:rsidRPr="00E4665D" w:rsidRDefault="00E4665D" w:rsidP="00E4665D">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39420DAE" w14:textId="77777777" w:rsidR="00E4665D" w:rsidRDefault="00E4665D" w:rsidP="00094106">
      <w:pPr>
        <w:spacing w:line="360" w:lineRule="auto"/>
        <w:jc w:val="center"/>
        <w:rPr>
          <w:rFonts w:ascii="Arial" w:hAnsi="Arial" w:cs="Arial"/>
          <w:b/>
          <w:bCs/>
          <w:sz w:val="18"/>
          <w:szCs w:val="18"/>
        </w:rPr>
      </w:pPr>
    </w:p>
    <w:p w14:paraId="16062C86" w14:textId="3873D95D" w:rsidR="00094106" w:rsidRPr="000F67E8" w:rsidRDefault="000F67E8" w:rsidP="00094106">
      <w:pPr>
        <w:spacing w:line="360" w:lineRule="auto"/>
        <w:jc w:val="center"/>
        <w:rPr>
          <w:rFonts w:ascii="Arial" w:hAnsi="Arial" w:cs="Arial"/>
          <w:b/>
          <w:bCs/>
          <w:sz w:val="18"/>
          <w:szCs w:val="18"/>
        </w:rPr>
      </w:pPr>
      <w:r w:rsidRPr="000F67E8">
        <w:rPr>
          <w:rFonts w:ascii="Arial" w:hAnsi="Arial" w:cs="Arial"/>
          <w:b/>
          <w:bCs/>
          <w:sz w:val="18"/>
          <w:szCs w:val="18"/>
        </w:rPr>
        <w:t>LAS PRESENTES FIRMAS CORRESPONDEN AL RECURSO DE REVISIÓN  92/2020</w:t>
      </w:r>
    </w:p>
    <w:p w14:paraId="32EEAF37" w14:textId="323AD6C1" w:rsidR="000F67E8" w:rsidRDefault="000F67E8" w:rsidP="00094106">
      <w:pPr>
        <w:tabs>
          <w:tab w:val="center" w:pos="4135"/>
          <w:tab w:val="left" w:pos="7515"/>
        </w:tabs>
        <w:spacing w:line="360" w:lineRule="auto"/>
        <w:rPr>
          <w:rFonts w:ascii="Arial" w:hAnsi="Arial" w:cs="Arial"/>
          <w:sz w:val="26"/>
          <w:szCs w:val="26"/>
        </w:rPr>
      </w:pPr>
    </w:p>
    <w:p w14:paraId="164D74E5" w14:textId="77777777" w:rsidR="000F67E8" w:rsidRDefault="000F67E8" w:rsidP="00094106">
      <w:pPr>
        <w:tabs>
          <w:tab w:val="center" w:pos="4135"/>
          <w:tab w:val="left" w:pos="7515"/>
        </w:tabs>
        <w:spacing w:line="360" w:lineRule="auto"/>
        <w:rPr>
          <w:rFonts w:ascii="Arial" w:hAnsi="Arial" w:cs="Arial"/>
          <w:sz w:val="26"/>
          <w:szCs w:val="26"/>
        </w:rPr>
      </w:pPr>
    </w:p>
    <w:p w14:paraId="7832A3F7" w14:textId="77777777" w:rsidR="00A845B2" w:rsidRDefault="00A845B2" w:rsidP="00094106">
      <w:pPr>
        <w:tabs>
          <w:tab w:val="center" w:pos="4135"/>
          <w:tab w:val="left" w:pos="7515"/>
        </w:tabs>
        <w:spacing w:line="360" w:lineRule="auto"/>
        <w:rPr>
          <w:rFonts w:ascii="Arial" w:hAnsi="Arial" w:cs="Arial"/>
          <w:sz w:val="26"/>
          <w:szCs w:val="26"/>
        </w:rPr>
      </w:pPr>
    </w:p>
    <w:p w14:paraId="7999D823" w14:textId="77777777" w:rsidR="00094106" w:rsidRDefault="00094106" w:rsidP="00094106">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1E05C142" w14:textId="77777777" w:rsidR="00094106" w:rsidRDefault="00094106" w:rsidP="00094106">
      <w:pPr>
        <w:tabs>
          <w:tab w:val="left" w:pos="1925"/>
          <w:tab w:val="center" w:pos="4135"/>
        </w:tabs>
        <w:rPr>
          <w:rFonts w:ascii="Arial" w:hAnsi="Arial" w:cs="Arial"/>
          <w:sz w:val="26"/>
          <w:szCs w:val="26"/>
        </w:rPr>
      </w:pPr>
    </w:p>
    <w:p w14:paraId="5DD3D545" w14:textId="77777777" w:rsidR="00094106" w:rsidRDefault="00094106" w:rsidP="00094106">
      <w:pPr>
        <w:tabs>
          <w:tab w:val="left" w:pos="1925"/>
          <w:tab w:val="center" w:pos="4135"/>
        </w:tabs>
        <w:rPr>
          <w:rFonts w:ascii="Arial" w:hAnsi="Arial" w:cs="Arial"/>
          <w:sz w:val="26"/>
          <w:szCs w:val="26"/>
        </w:rPr>
      </w:pPr>
    </w:p>
    <w:p w14:paraId="66F0780F" w14:textId="348A334F" w:rsidR="000F67E8" w:rsidRDefault="000F67E8" w:rsidP="00094106">
      <w:pPr>
        <w:tabs>
          <w:tab w:val="left" w:pos="1925"/>
          <w:tab w:val="center" w:pos="4135"/>
        </w:tabs>
        <w:rPr>
          <w:rFonts w:ascii="Arial" w:hAnsi="Arial" w:cs="Arial"/>
          <w:sz w:val="26"/>
          <w:szCs w:val="26"/>
        </w:rPr>
      </w:pPr>
    </w:p>
    <w:p w14:paraId="34DF276E" w14:textId="77777777" w:rsidR="000F67E8" w:rsidRDefault="000F67E8" w:rsidP="00094106">
      <w:pPr>
        <w:tabs>
          <w:tab w:val="left" w:pos="1925"/>
          <w:tab w:val="center" w:pos="4135"/>
        </w:tabs>
        <w:rPr>
          <w:rFonts w:ascii="Arial" w:hAnsi="Arial" w:cs="Arial"/>
          <w:sz w:val="26"/>
          <w:szCs w:val="26"/>
        </w:rPr>
      </w:pPr>
    </w:p>
    <w:p w14:paraId="60779AAD" w14:textId="77777777" w:rsidR="00094106" w:rsidRDefault="00094106" w:rsidP="00094106">
      <w:pPr>
        <w:tabs>
          <w:tab w:val="left" w:pos="1925"/>
          <w:tab w:val="center" w:pos="4135"/>
        </w:tabs>
        <w:jc w:val="center"/>
        <w:rPr>
          <w:rFonts w:ascii="Arial" w:hAnsi="Arial" w:cs="Arial"/>
          <w:sz w:val="26"/>
          <w:szCs w:val="26"/>
        </w:rPr>
      </w:pPr>
    </w:p>
    <w:p w14:paraId="6775C905" w14:textId="77777777" w:rsidR="00094106" w:rsidRDefault="00094106" w:rsidP="00094106">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2CADAD6B" w14:textId="77777777" w:rsidR="00094106" w:rsidRDefault="00094106" w:rsidP="00094106">
      <w:pPr>
        <w:tabs>
          <w:tab w:val="left" w:pos="1925"/>
          <w:tab w:val="center" w:pos="4135"/>
        </w:tabs>
        <w:rPr>
          <w:rFonts w:ascii="Arial" w:hAnsi="Arial" w:cs="Arial"/>
          <w:sz w:val="26"/>
          <w:szCs w:val="26"/>
        </w:rPr>
      </w:pPr>
    </w:p>
    <w:p w14:paraId="1BCFA33E" w14:textId="09C4A0DC" w:rsidR="00094106" w:rsidRDefault="00094106" w:rsidP="00094106">
      <w:pPr>
        <w:tabs>
          <w:tab w:val="left" w:pos="1925"/>
          <w:tab w:val="center" w:pos="4135"/>
        </w:tabs>
        <w:rPr>
          <w:rFonts w:ascii="Arial" w:hAnsi="Arial" w:cs="Arial"/>
          <w:sz w:val="26"/>
          <w:szCs w:val="26"/>
        </w:rPr>
      </w:pPr>
    </w:p>
    <w:p w14:paraId="575BBD29" w14:textId="6FF8769B" w:rsidR="000F67E8" w:rsidRDefault="000F67E8" w:rsidP="00094106">
      <w:pPr>
        <w:tabs>
          <w:tab w:val="left" w:pos="1925"/>
          <w:tab w:val="center" w:pos="4135"/>
        </w:tabs>
        <w:rPr>
          <w:rFonts w:ascii="Arial" w:hAnsi="Arial" w:cs="Arial"/>
          <w:sz w:val="26"/>
          <w:szCs w:val="26"/>
        </w:rPr>
      </w:pPr>
    </w:p>
    <w:p w14:paraId="29EB1BBC" w14:textId="77777777" w:rsidR="000F67E8" w:rsidRDefault="000F67E8" w:rsidP="00094106">
      <w:pPr>
        <w:tabs>
          <w:tab w:val="left" w:pos="1925"/>
          <w:tab w:val="center" w:pos="4135"/>
        </w:tabs>
        <w:rPr>
          <w:rFonts w:ascii="Arial" w:hAnsi="Arial" w:cs="Arial"/>
          <w:sz w:val="26"/>
          <w:szCs w:val="26"/>
        </w:rPr>
      </w:pPr>
    </w:p>
    <w:p w14:paraId="46B0428A" w14:textId="77777777" w:rsidR="00A845B2" w:rsidRDefault="00A845B2" w:rsidP="00094106">
      <w:pPr>
        <w:tabs>
          <w:tab w:val="left" w:pos="1925"/>
          <w:tab w:val="center" w:pos="4135"/>
        </w:tabs>
        <w:jc w:val="center"/>
        <w:rPr>
          <w:rFonts w:ascii="Arial" w:hAnsi="Arial" w:cs="Arial"/>
          <w:sz w:val="26"/>
          <w:szCs w:val="26"/>
        </w:rPr>
      </w:pPr>
    </w:p>
    <w:p w14:paraId="6F7CB31A" w14:textId="49C932D7" w:rsidR="00094106" w:rsidRDefault="00094106" w:rsidP="00094106">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1DEFE528" w14:textId="77777777" w:rsidR="00094106" w:rsidRDefault="00094106" w:rsidP="00094106">
      <w:pPr>
        <w:tabs>
          <w:tab w:val="left" w:pos="1925"/>
          <w:tab w:val="center" w:pos="4135"/>
        </w:tabs>
        <w:jc w:val="center"/>
        <w:rPr>
          <w:rFonts w:ascii="Arial" w:hAnsi="Arial" w:cs="Arial"/>
          <w:sz w:val="26"/>
          <w:szCs w:val="26"/>
        </w:rPr>
      </w:pPr>
    </w:p>
    <w:p w14:paraId="1736FAFD" w14:textId="77777777" w:rsidR="00094106" w:rsidRDefault="00094106" w:rsidP="00094106">
      <w:pPr>
        <w:tabs>
          <w:tab w:val="left" w:pos="1925"/>
          <w:tab w:val="center" w:pos="4135"/>
        </w:tabs>
        <w:rPr>
          <w:rFonts w:ascii="Arial" w:hAnsi="Arial" w:cs="Arial"/>
          <w:sz w:val="26"/>
          <w:szCs w:val="26"/>
        </w:rPr>
      </w:pPr>
    </w:p>
    <w:p w14:paraId="33476C04" w14:textId="77777777" w:rsidR="00094106" w:rsidRDefault="00094106" w:rsidP="00094106">
      <w:pPr>
        <w:tabs>
          <w:tab w:val="left" w:pos="1925"/>
          <w:tab w:val="center" w:pos="4135"/>
        </w:tabs>
        <w:rPr>
          <w:rFonts w:ascii="Arial" w:hAnsi="Arial" w:cs="Arial"/>
          <w:sz w:val="26"/>
          <w:szCs w:val="26"/>
        </w:rPr>
      </w:pPr>
    </w:p>
    <w:p w14:paraId="5607A075" w14:textId="77777777" w:rsidR="00094106" w:rsidRDefault="00094106" w:rsidP="00094106">
      <w:pPr>
        <w:pStyle w:val="Sinespaciado"/>
        <w:jc w:val="center"/>
        <w:rPr>
          <w:rFonts w:ascii="Arial" w:hAnsi="Arial" w:cs="Arial"/>
          <w:sz w:val="26"/>
          <w:szCs w:val="26"/>
        </w:rPr>
      </w:pPr>
    </w:p>
    <w:p w14:paraId="7DA37B85" w14:textId="77777777" w:rsidR="00094106" w:rsidRDefault="00094106" w:rsidP="00094106">
      <w:pPr>
        <w:pStyle w:val="Sinespaciado"/>
        <w:jc w:val="center"/>
        <w:rPr>
          <w:rFonts w:ascii="Arial" w:hAnsi="Arial" w:cs="Arial"/>
          <w:sz w:val="26"/>
          <w:szCs w:val="26"/>
        </w:rPr>
      </w:pPr>
      <w:r>
        <w:rPr>
          <w:rFonts w:ascii="Arial" w:hAnsi="Arial" w:cs="Arial"/>
          <w:sz w:val="26"/>
          <w:szCs w:val="26"/>
        </w:rPr>
        <w:t>LIC. JUAN EDY GARCÍA CORONADO</w:t>
      </w:r>
    </w:p>
    <w:p w14:paraId="03C6A76A" w14:textId="77777777" w:rsidR="00094106" w:rsidRDefault="00094106" w:rsidP="00094106">
      <w:pPr>
        <w:pStyle w:val="Sinespaciado"/>
        <w:jc w:val="center"/>
        <w:rPr>
          <w:rFonts w:ascii="Arial" w:hAnsi="Arial" w:cs="Arial"/>
          <w:sz w:val="26"/>
          <w:szCs w:val="26"/>
        </w:rPr>
      </w:pPr>
      <w:r>
        <w:rPr>
          <w:rFonts w:ascii="Arial" w:hAnsi="Arial" w:cs="Arial"/>
          <w:sz w:val="26"/>
          <w:szCs w:val="26"/>
        </w:rPr>
        <w:t>SECRETARIO GENERAL DE ACUERDOS</w:t>
      </w:r>
    </w:p>
    <w:p w14:paraId="50453FE0" w14:textId="7055A8F3" w:rsidR="00BA258A" w:rsidRPr="000338EE" w:rsidRDefault="00BA258A" w:rsidP="00094106">
      <w:pPr>
        <w:spacing w:after="0" w:line="360" w:lineRule="auto"/>
        <w:ind w:firstLine="567"/>
        <w:jc w:val="both"/>
        <w:rPr>
          <w:lang w:val="es-ES"/>
        </w:rPr>
      </w:pPr>
    </w:p>
    <w:sectPr w:rsidR="00BA258A" w:rsidRPr="000338EE" w:rsidSect="001B1BF6">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F27011" w14:textId="77777777" w:rsidR="005A08A7" w:rsidRDefault="005A08A7">
      <w:pPr>
        <w:spacing w:after="0" w:line="240" w:lineRule="auto"/>
      </w:pPr>
      <w:r>
        <w:separator/>
      </w:r>
    </w:p>
  </w:endnote>
  <w:endnote w:type="continuationSeparator" w:id="0">
    <w:p w14:paraId="7B3AB8F5" w14:textId="77777777" w:rsidR="005A08A7" w:rsidRDefault="005A0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23BA776B" w:rsidR="00EE1CC8" w:rsidRDefault="00282269">
    <w:pPr>
      <w:pStyle w:val="Piedepgina"/>
      <w:jc w:val="center"/>
    </w:pPr>
    <w:r>
      <w:rPr>
        <w:noProof/>
      </w:rPr>
      <mc:AlternateContent>
        <mc:Choice Requires="wps">
          <w:drawing>
            <wp:anchor distT="45720" distB="45720" distL="114300" distR="114300" simplePos="0" relativeHeight="251667456" behindDoc="0" locked="0" layoutInCell="1" allowOverlap="1" wp14:anchorId="6568BD31" wp14:editId="31978C2D">
              <wp:simplePos x="0" y="0"/>
              <wp:positionH relativeFrom="column">
                <wp:posOffset>-1257300</wp:posOffset>
              </wp:positionH>
              <wp:positionV relativeFrom="paragraph">
                <wp:posOffset>-5114290</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7451787E" w14:textId="77777777" w:rsidR="00282269" w:rsidRPr="00BB7E37" w:rsidRDefault="00282269" w:rsidP="00282269">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68BD31" id="_x0000_t202" coordsize="21600,21600" o:spt="202" path="m,l,21600r21600,l21600,xe">
              <v:stroke joinstyle="miter"/>
              <v:path gradientshapeok="t" o:connecttype="rect"/>
            </v:shapetype>
            <v:shape id="Cuadro de texto 2" o:spid="_x0000_s1026" type="#_x0000_t202" style="position:absolute;left:0;text-align:left;margin-left:-99pt;margin-top:-402.7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">
              <v:textbox>
                <w:txbxContent>
                  <w:p w14:paraId="7451787E" w14:textId="77777777" w:rsidR="00282269" w:rsidRPr="00BB7E37" w:rsidRDefault="00282269" w:rsidP="00282269">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EE1CC8" w:rsidRDefault="00EE1CC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8A2327" w14:textId="77777777" w:rsidR="005A08A7" w:rsidRDefault="005A08A7">
      <w:pPr>
        <w:spacing w:after="0" w:line="240" w:lineRule="auto"/>
      </w:pPr>
      <w:r>
        <w:separator/>
      </w:r>
    </w:p>
  </w:footnote>
  <w:footnote w:type="continuationSeparator" w:id="0">
    <w:p w14:paraId="5B6E477B" w14:textId="77777777" w:rsidR="005A08A7" w:rsidRDefault="005A08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EE1CC8" w:rsidRDefault="005A08A7">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1"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EE1CC8">
          <w:fldChar w:fldCharType="begin"/>
        </w:r>
        <w:r w:rsidR="00EE1CC8">
          <w:instrText>PAGE   \* MERGEFORMAT</w:instrText>
        </w:r>
        <w:r w:rsidR="00EE1CC8">
          <w:fldChar w:fldCharType="separate"/>
        </w:r>
        <w:r w:rsidR="00282269" w:rsidRPr="00282269">
          <w:rPr>
            <w:noProof/>
            <w:lang w:val="es-ES"/>
          </w:rPr>
          <w:t>10</w:t>
        </w:r>
        <w:r w:rsidR="00EE1CC8">
          <w:fldChar w:fldCharType="end"/>
        </w:r>
      </w:p>
    </w:sdtContent>
  </w:sdt>
  <w:p w14:paraId="0E68208C" w14:textId="77777777" w:rsidR="00EE1CC8" w:rsidRDefault="00EE1CC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EE1CC8" w:rsidRDefault="005A08A7">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0"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E1CC8">
          <w:fldChar w:fldCharType="begin"/>
        </w:r>
        <w:r w:rsidR="00EE1CC8">
          <w:instrText>PAGE   \* MERGEFORMAT</w:instrText>
        </w:r>
        <w:r w:rsidR="00EE1CC8">
          <w:fldChar w:fldCharType="separate"/>
        </w:r>
        <w:r w:rsidR="00282269" w:rsidRPr="00282269">
          <w:rPr>
            <w:noProof/>
            <w:lang w:val="es-ES"/>
          </w:rPr>
          <w:t>9</w:t>
        </w:r>
        <w:r w:rsidR="00EE1CC8">
          <w:fldChar w:fldCharType="end"/>
        </w:r>
      </w:sdtContent>
    </w:sdt>
  </w:p>
  <w:p w14:paraId="51E22156" w14:textId="40DE1AE4" w:rsidR="00EE1CC8" w:rsidRDefault="00EE1CC8"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483A7F3">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2331DB45"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EE1CC8" w:rsidRDefault="005A08A7">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34350C7"/>
    <w:multiLevelType w:val="hybridMultilevel"/>
    <w:tmpl w:val="F738C79A"/>
    <w:lvl w:ilvl="0" w:tplc="22A8CDC0">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5">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6">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8">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1E0600E8"/>
    <w:multiLevelType w:val="hybridMultilevel"/>
    <w:tmpl w:val="A67ED446"/>
    <w:lvl w:ilvl="0" w:tplc="8E40A92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45C5B3A"/>
    <w:multiLevelType w:val="hybridMultilevel"/>
    <w:tmpl w:val="1E46E506"/>
    <w:lvl w:ilvl="0" w:tplc="ABAED16E">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5147BBE"/>
    <w:multiLevelType w:val="hybridMultilevel"/>
    <w:tmpl w:val="B65463E6"/>
    <w:lvl w:ilvl="0" w:tplc="DC7C37BC">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5">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7">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0"/>
  </w:num>
  <w:num w:numId="2">
    <w:abstractNumId w:val="6"/>
  </w:num>
  <w:num w:numId="3">
    <w:abstractNumId w:val="3"/>
  </w:num>
  <w:num w:numId="4">
    <w:abstractNumId w:val="15"/>
  </w:num>
  <w:num w:numId="5">
    <w:abstractNumId w:val="19"/>
  </w:num>
  <w:num w:numId="6">
    <w:abstractNumId w:val="11"/>
  </w:num>
  <w:num w:numId="7">
    <w:abstractNumId w:val="9"/>
  </w:num>
  <w:num w:numId="8">
    <w:abstractNumId w:val="5"/>
  </w:num>
  <w:num w:numId="9">
    <w:abstractNumId w:val="8"/>
  </w:num>
  <w:num w:numId="10">
    <w:abstractNumId w:val="14"/>
  </w:num>
  <w:num w:numId="11">
    <w:abstractNumId w:val="16"/>
  </w:num>
  <w:num w:numId="12">
    <w:abstractNumId w:val="4"/>
  </w:num>
  <w:num w:numId="13">
    <w:abstractNumId w:val="7"/>
  </w:num>
  <w:num w:numId="14">
    <w:abstractNumId w:val="0"/>
  </w:num>
  <w:num w:numId="15">
    <w:abstractNumId w:val="17"/>
  </w:num>
  <w:num w:numId="16">
    <w:abstractNumId w:val="1"/>
  </w:num>
  <w:num w:numId="17">
    <w:abstractNumId w:val="2"/>
  </w:num>
  <w:num w:numId="18">
    <w:abstractNumId w:val="13"/>
  </w:num>
  <w:num w:numId="19">
    <w:abstractNumId w:val="10"/>
  </w:num>
  <w:num w:numId="20">
    <w:abstractNumId w:val="1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0FD3"/>
    <w:rsid w:val="0000187B"/>
    <w:rsid w:val="00001CDC"/>
    <w:rsid w:val="00001FA6"/>
    <w:rsid w:val="0000259B"/>
    <w:rsid w:val="00002B85"/>
    <w:rsid w:val="00003CC3"/>
    <w:rsid w:val="00004038"/>
    <w:rsid w:val="0000488B"/>
    <w:rsid w:val="00005B69"/>
    <w:rsid w:val="00005BCB"/>
    <w:rsid w:val="00005EA0"/>
    <w:rsid w:val="00007105"/>
    <w:rsid w:val="00007296"/>
    <w:rsid w:val="000074CE"/>
    <w:rsid w:val="00007E09"/>
    <w:rsid w:val="00007EFD"/>
    <w:rsid w:val="00007FD5"/>
    <w:rsid w:val="000106FE"/>
    <w:rsid w:val="000121A9"/>
    <w:rsid w:val="000126F6"/>
    <w:rsid w:val="00012918"/>
    <w:rsid w:val="00012DC1"/>
    <w:rsid w:val="000130C8"/>
    <w:rsid w:val="0001327F"/>
    <w:rsid w:val="000135AF"/>
    <w:rsid w:val="0001411E"/>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BEB"/>
    <w:rsid w:val="000262A2"/>
    <w:rsid w:val="000264DD"/>
    <w:rsid w:val="0002693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4F5"/>
    <w:rsid w:val="000419E9"/>
    <w:rsid w:val="00041EAA"/>
    <w:rsid w:val="00042473"/>
    <w:rsid w:val="00043077"/>
    <w:rsid w:val="000441B5"/>
    <w:rsid w:val="00044C5F"/>
    <w:rsid w:val="000450F5"/>
    <w:rsid w:val="0004577C"/>
    <w:rsid w:val="000466B1"/>
    <w:rsid w:val="000466D5"/>
    <w:rsid w:val="000507DA"/>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614"/>
    <w:rsid w:val="00074790"/>
    <w:rsid w:val="00074A23"/>
    <w:rsid w:val="00074C62"/>
    <w:rsid w:val="000755A5"/>
    <w:rsid w:val="000756DE"/>
    <w:rsid w:val="000757ED"/>
    <w:rsid w:val="00076647"/>
    <w:rsid w:val="00076CEA"/>
    <w:rsid w:val="00077661"/>
    <w:rsid w:val="00077DFD"/>
    <w:rsid w:val="00080A85"/>
    <w:rsid w:val="0008122B"/>
    <w:rsid w:val="0008141F"/>
    <w:rsid w:val="00083375"/>
    <w:rsid w:val="00085132"/>
    <w:rsid w:val="0008514D"/>
    <w:rsid w:val="00085F74"/>
    <w:rsid w:val="00087470"/>
    <w:rsid w:val="000875DB"/>
    <w:rsid w:val="00087E08"/>
    <w:rsid w:val="000900BD"/>
    <w:rsid w:val="000904A5"/>
    <w:rsid w:val="0009077C"/>
    <w:rsid w:val="00090D7D"/>
    <w:rsid w:val="000910E0"/>
    <w:rsid w:val="00091B93"/>
    <w:rsid w:val="00091C9F"/>
    <w:rsid w:val="000939DB"/>
    <w:rsid w:val="00093C95"/>
    <w:rsid w:val="00094106"/>
    <w:rsid w:val="0009457E"/>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B68"/>
    <w:rsid w:val="000A5D36"/>
    <w:rsid w:val="000A5FA8"/>
    <w:rsid w:val="000A6C87"/>
    <w:rsid w:val="000A6E51"/>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0A9"/>
    <w:rsid w:val="000C02A9"/>
    <w:rsid w:val="000C0569"/>
    <w:rsid w:val="000C1E6B"/>
    <w:rsid w:val="000C238B"/>
    <w:rsid w:val="000C2764"/>
    <w:rsid w:val="000C3DC9"/>
    <w:rsid w:val="000C4139"/>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9E7"/>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67E8"/>
    <w:rsid w:val="000F75AF"/>
    <w:rsid w:val="000F77DE"/>
    <w:rsid w:val="001002F5"/>
    <w:rsid w:val="001019F2"/>
    <w:rsid w:val="001025E5"/>
    <w:rsid w:val="00102AFD"/>
    <w:rsid w:val="00102D3E"/>
    <w:rsid w:val="00104022"/>
    <w:rsid w:val="001041F6"/>
    <w:rsid w:val="0010644A"/>
    <w:rsid w:val="0010719A"/>
    <w:rsid w:val="00110865"/>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1DB0"/>
    <w:rsid w:val="001826D0"/>
    <w:rsid w:val="0018345B"/>
    <w:rsid w:val="0018356C"/>
    <w:rsid w:val="0018358B"/>
    <w:rsid w:val="00183EE9"/>
    <w:rsid w:val="0018454F"/>
    <w:rsid w:val="00184681"/>
    <w:rsid w:val="001846BB"/>
    <w:rsid w:val="001854BD"/>
    <w:rsid w:val="00185DC5"/>
    <w:rsid w:val="00186701"/>
    <w:rsid w:val="00186FB3"/>
    <w:rsid w:val="00186FE8"/>
    <w:rsid w:val="0018765B"/>
    <w:rsid w:val="00192287"/>
    <w:rsid w:val="001923AE"/>
    <w:rsid w:val="001924B2"/>
    <w:rsid w:val="00193379"/>
    <w:rsid w:val="00194B7B"/>
    <w:rsid w:val="001951A3"/>
    <w:rsid w:val="00195583"/>
    <w:rsid w:val="001A0745"/>
    <w:rsid w:val="001A1302"/>
    <w:rsid w:val="001A16CC"/>
    <w:rsid w:val="001A18E1"/>
    <w:rsid w:val="001A1F7B"/>
    <w:rsid w:val="001A20C5"/>
    <w:rsid w:val="001A2144"/>
    <w:rsid w:val="001A2E1D"/>
    <w:rsid w:val="001A2FDB"/>
    <w:rsid w:val="001A340F"/>
    <w:rsid w:val="001A3755"/>
    <w:rsid w:val="001A4127"/>
    <w:rsid w:val="001A4571"/>
    <w:rsid w:val="001A4A0D"/>
    <w:rsid w:val="001A4E1C"/>
    <w:rsid w:val="001A554E"/>
    <w:rsid w:val="001A6EBE"/>
    <w:rsid w:val="001A6F68"/>
    <w:rsid w:val="001A7533"/>
    <w:rsid w:val="001A77FB"/>
    <w:rsid w:val="001B009D"/>
    <w:rsid w:val="001B035C"/>
    <w:rsid w:val="001B046F"/>
    <w:rsid w:val="001B13DB"/>
    <w:rsid w:val="001B17F6"/>
    <w:rsid w:val="001B1BF6"/>
    <w:rsid w:val="001B341D"/>
    <w:rsid w:val="001B3A10"/>
    <w:rsid w:val="001B3A25"/>
    <w:rsid w:val="001B3B5C"/>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35C"/>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4E"/>
    <w:rsid w:val="001F5050"/>
    <w:rsid w:val="001F5F15"/>
    <w:rsid w:val="001F625A"/>
    <w:rsid w:val="001F6B28"/>
    <w:rsid w:val="001F6C56"/>
    <w:rsid w:val="001F72DF"/>
    <w:rsid w:val="001F77D0"/>
    <w:rsid w:val="002010A9"/>
    <w:rsid w:val="00201769"/>
    <w:rsid w:val="0020247E"/>
    <w:rsid w:val="002025FD"/>
    <w:rsid w:val="00202BDE"/>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A4A"/>
    <w:rsid w:val="00240C99"/>
    <w:rsid w:val="002411BE"/>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805AC"/>
    <w:rsid w:val="00280919"/>
    <w:rsid w:val="00281661"/>
    <w:rsid w:val="00282269"/>
    <w:rsid w:val="00282C81"/>
    <w:rsid w:val="00283B3F"/>
    <w:rsid w:val="002841EE"/>
    <w:rsid w:val="002844AF"/>
    <w:rsid w:val="00284891"/>
    <w:rsid w:val="00285B3A"/>
    <w:rsid w:val="00285C95"/>
    <w:rsid w:val="00286628"/>
    <w:rsid w:val="00286C13"/>
    <w:rsid w:val="00286D80"/>
    <w:rsid w:val="00287888"/>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26C"/>
    <w:rsid w:val="002A657D"/>
    <w:rsid w:val="002A6B3D"/>
    <w:rsid w:val="002A6E86"/>
    <w:rsid w:val="002A6EF0"/>
    <w:rsid w:val="002B0967"/>
    <w:rsid w:val="002B18DB"/>
    <w:rsid w:val="002B1C2A"/>
    <w:rsid w:val="002B1F65"/>
    <w:rsid w:val="002B2706"/>
    <w:rsid w:val="002B3BA3"/>
    <w:rsid w:val="002B4040"/>
    <w:rsid w:val="002B4242"/>
    <w:rsid w:val="002B5C09"/>
    <w:rsid w:val="002B5C82"/>
    <w:rsid w:val="002B62B3"/>
    <w:rsid w:val="002B6893"/>
    <w:rsid w:val="002B6B9D"/>
    <w:rsid w:val="002B6C19"/>
    <w:rsid w:val="002B6D0D"/>
    <w:rsid w:val="002B79C4"/>
    <w:rsid w:val="002C01BF"/>
    <w:rsid w:val="002C06FE"/>
    <w:rsid w:val="002C0988"/>
    <w:rsid w:val="002C0FDA"/>
    <w:rsid w:val="002C1135"/>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40F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1FD9"/>
    <w:rsid w:val="00312470"/>
    <w:rsid w:val="00312739"/>
    <w:rsid w:val="0031285C"/>
    <w:rsid w:val="00313A44"/>
    <w:rsid w:val="00314A45"/>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6AF6"/>
    <w:rsid w:val="00326D5E"/>
    <w:rsid w:val="00326DFF"/>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49F"/>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7D"/>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9022E"/>
    <w:rsid w:val="00390CDE"/>
    <w:rsid w:val="00392B20"/>
    <w:rsid w:val="00392BA3"/>
    <w:rsid w:val="00392F7F"/>
    <w:rsid w:val="00394516"/>
    <w:rsid w:val="003961E1"/>
    <w:rsid w:val="003974F9"/>
    <w:rsid w:val="00397668"/>
    <w:rsid w:val="003A0AA1"/>
    <w:rsid w:val="003A0FE5"/>
    <w:rsid w:val="003A24EC"/>
    <w:rsid w:val="003A3CEB"/>
    <w:rsid w:val="003A3EA0"/>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609E"/>
    <w:rsid w:val="003B6581"/>
    <w:rsid w:val="003B6C7E"/>
    <w:rsid w:val="003B79F9"/>
    <w:rsid w:val="003C0293"/>
    <w:rsid w:val="003C0DF1"/>
    <w:rsid w:val="003C1936"/>
    <w:rsid w:val="003C268F"/>
    <w:rsid w:val="003C2E68"/>
    <w:rsid w:val="003C32DC"/>
    <w:rsid w:val="003C32FC"/>
    <w:rsid w:val="003C42AD"/>
    <w:rsid w:val="003C4C9F"/>
    <w:rsid w:val="003C5D9D"/>
    <w:rsid w:val="003C7036"/>
    <w:rsid w:val="003C7781"/>
    <w:rsid w:val="003C7FA5"/>
    <w:rsid w:val="003D0C96"/>
    <w:rsid w:val="003D1CAA"/>
    <w:rsid w:val="003D4395"/>
    <w:rsid w:val="003D474C"/>
    <w:rsid w:val="003D5393"/>
    <w:rsid w:val="003D5398"/>
    <w:rsid w:val="003D5BAD"/>
    <w:rsid w:val="003D5F20"/>
    <w:rsid w:val="003D6E19"/>
    <w:rsid w:val="003D737D"/>
    <w:rsid w:val="003D7E33"/>
    <w:rsid w:val="003E0C30"/>
    <w:rsid w:val="003E0F2A"/>
    <w:rsid w:val="003E1037"/>
    <w:rsid w:val="003E1CD9"/>
    <w:rsid w:val="003E2CF8"/>
    <w:rsid w:val="003E3169"/>
    <w:rsid w:val="003E35FB"/>
    <w:rsid w:val="003E3999"/>
    <w:rsid w:val="003E43BE"/>
    <w:rsid w:val="003E4A4E"/>
    <w:rsid w:val="003E504F"/>
    <w:rsid w:val="003E5B98"/>
    <w:rsid w:val="003E62FB"/>
    <w:rsid w:val="003E6A41"/>
    <w:rsid w:val="003E7801"/>
    <w:rsid w:val="003E7956"/>
    <w:rsid w:val="003F0AF5"/>
    <w:rsid w:val="003F14E4"/>
    <w:rsid w:val="003F1FC5"/>
    <w:rsid w:val="003F3E65"/>
    <w:rsid w:val="003F42FC"/>
    <w:rsid w:val="003F4833"/>
    <w:rsid w:val="003F4B68"/>
    <w:rsid w:val="003F532D"/>
    <w:rsid w:val="003F5F99"/>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2629"/>
    <w:rsid w:val="00423C26"/>
    <w:rsid w:val="00423E43"/>
    <w:rsid w:val="00424839"/>
    <w:rsid w:val="00424968"/>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57F7"/>
    <w:rsid w:val="004558DD"/>
    <w:rsid w:val="00455A62"/>
    <w:rsid w:val="00456294"/>
    <w:rsid w:val="004572E7"/>
    <w:rsid w:val="00457778"/>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DD7"/>
    <w:rsid w:val="00473EB5"/>
    <w:rsid w:val="0047647A"/>
    <w:rsid w:val="004771E5"/>
    <w:rsid w:val="00477357"/>
    <w:rsid w:val="00477E07"/>
    <w:rsid w:val="004804CF"/>
    <w:rsid w:val="00480A69"/>
    <w:rsid w:val="004813E0"/>
    <w:rsid w:val="00483B0E"/>
    <w:rsid w:val="00484AE9"/>
    <w:rsid w:val="00485508"/>
    <w:rsid w:val="0048659E"/>
    <w:rsid w:val="00486775"/>
    <w:rsid w:val="00486E2E"/>
    <w:rsid w:val="004874A4"/>
    <w:rsid w:val="00490214"/>
    <w:rsid w:val="00490D6E"/>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225"/>
    <w:rsid w:val="004A770C"/>
    <w:rsid w:val="004A781C"/>
    <w:rsid w:val="004A7ECD"/>
    <w:rsid w:val="004B05CE"/>
    <w:rsid w:val="004B0EF8"/>
    <w:rsid w:val="004B117E"/>
    <w:rsid w:val="004B17F7"/>
    <w:rsid w:val="004B1E33"/>
    <w:rsid w:val="004B248A"/>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799"/>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0DC1"/>
    <w:rsid w:val="005016CA"/>
    <w:rsid w:val="00502093"/>
    <w:rsid w:val="00502177"/>
    <w:rsid w:val="0050345B"/>
    <w:rsid w:val="00504E19"/>
    <w:rsid w:val="005063B6"/>
    <w:rsid w:val="00506A1C"/>
    <w:rsid w:val="0050734D"/>
    <w:rsid w:val="00507AB3"/>
    <w:rsid w:val="00510956"/>
    <w:rsid w:val="00510F23"/>
    <w:rsid w:val="0051133B"/>
    <w:rsid w:val="005115C3"/>
    <w:rsid w:val="00512FF4"/>
    <w:rsid w:val="00515288"/>
    <w:rsid w:val="00515B21"/>
    <w:rsid w:val="00515CF2"/>
    <w:rsid w:val="005163C4"/>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1A6"/>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3D99"/>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A3B"/>
    <w:rsid w:val="00571114"/>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8A7"/>
    <w:rsid w:val="005A09A3"/>
    <w:rsid w:val="005A1FEE"/>
    <w:rsid w:val="005A273F"/>
    <w:rsid w:val="005A3583"/>
    <w:rsid w:val="005A4118"/>
    <w:rsid w:val="005A453F"/>
    <w:rsid w:val="005A482A"/>
    <w:rsid w:val="005A493F"/>
    <w:rsid w:val="005A6A9E"/>
    <w:rsid w:val="005A752F"/>
    <w:rsid w:val="005B0378"/>
    <w:rsid w:val="005B1E67"/>
    <w:rsid w:val="005B2365"/>
    <w:rsid w:val="005B296A"/>
    <w:rsid w:val="005B3184"/>
    <w:rsid w:val="005B36F5"/>
    <w:rsid w:val="005B3BB9"/>
    <w:rsid w:val="005B3F3B"/>
    <w:rsid w:val="005B5BB4"/>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102"/>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3678"/>
    <w:rsid w:val="005F45C2"/>
    <w:rsid w:val="005F4ECF"/>
    <w:rsid w:val="005F52FF"/>
    <w:rsid w:val="005F569A"/>
    <w:rsid w:val="005F56E0"/>
    <w:rsid w:val="005F6073"/>
    <w:rsid w:val="005F6196"/>
    <w:rsid w:val="005F61B4"/>
    <w:rsid w:val="005F6454"/>
    <w:rsid w:val="005F7759"/>
    <w:rsid w:val="005F7852"/>
    <w:rsid w:val="0060041C"/>
    <w:rsid w:val="0060055A"/>
    <w:rsid w:val="00600877"/>
    <w:rsid w:val="006012BD"/>
    <w:rsid w:val="00601C04"/>
    <w:rsid w:val="00602086"/>
    <w:rsid w:val="00602AAE"/>
    <w:rsid w:val="006031E8"/>
    <w:rsid w:val="00603EE5"/>
    <w:rsid w:val="006040B2"/>
    <w:rsid w:val="00605582"/>
    <w:rsid w:val="00605720"/>
    <w:rsid w:val="00605C0C"/>
    <w:rsid w:val="00605C57"/>
    <w:rsid w:val="00605C73"/>
    <w:rsid w:val="0060626C"/>
    <w:rsid w:val="006065FF"/>
    <w:rsid w:val="00607309"/>
    <w:rsid w:val="00607F3D"/>
    <w:rsid w:val="00610C46"/>
    <w:rsid w:val="00613066"/>
    <w:rsid w:val="00614079"/>
    <w:rsid w:val="00614188"/>
    <w:rsid w:val="00615362"/>
    <w:rsid w:val="006157B6"/>
    <w:rsid w:val="00615A62"/>
    <w:rsid w:val="00615EBC"/>
    <w:rsid w:val="00616F1D"/>
    <w:rsid w:val="00616FA1"/>
    <w:rsid w:val="00617C77"/>
    <w:rsid w:val="00620031"/>
    <w:rsid w:val="0062006E"/>
    <w:rsid w:val="00620357"/>
    <w:rsid w:val="00620FB8"/>
    <w:rsid w:val="006214D7"/>
    <w:rsid w:val="00621B71"/>
    <w:rsid w:val="00622AA6"/>
    <w:rsid w:val="00622BEF"/>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937"/>
    <w:rsid w:val="00636A93"/>
    <w:rsid w:val="00637474"/>
    <w:rsid w:val="0063772A"/>
    <w:rsid w:val="006418C8"/>
    <w:rsid w:val="006427D9"/>
    <w:rsid w:val="00642BAE"/>
    <w:rsid w:val="00642CAD"/>
    <w:rsid w:val="00643498"/>
    <w:rsid w:val="00643D25"/>
    <w:rsid w:val="00644262"/>
    <w:rsid w:val="006448DB"/>
    <w:rsid w:val="00644D3E"/>
    <w:rsid w:val="00645164"/>
    <w:rsid w:val="00645AB9"/>
    <w:rsid w:val="00645E2A"/>
    <w:rsid w:val="006460CB"/>
    <w:rsid w:val="00646267"/>
    <w:rsid w:val="00646D5C"/>
    <w:rsid w:val="00646DD7"/>
    <w:rsid w:val="006473BA"/>
    <w:rsid w:val="006475F4"/>
    <w:rsid w:val="00647D90"/>
    <w:rsid w:val="006502D1"/>
    <w:rsid w:val="006504FE"/>
    <w:rsid w:val="00651275"/>
    <w:rsid w:val="00652231"/>
    <w:rsid w:val="0065228A"/>
    <w:rsid w:val="00654244"/>
    <w:rsid w:val="006546B6"/>
    <w:rsid w:val="006547BB"/>
    <w:rsid w:val="006555CA"/>
    <w:rsid w:val="00655BA3"/>
    <w:rsid w:val="00655DD2"/>
    <w:rsid w:val="006560E3"/>
    <w:rsid w:val="006564ED"/>
    <w:rsid w:val="00656C6E"/>
    <w:rsid w:val="00657F87"/>
    <w:rsid w:val="0066116D"/>
    <w:rsid w:val="00663E90"/>
    <w:rsid w:val="00663F47"/>
    <w:rsid w:val="00664AC4"/>
    <w:rsid w:val="00664FB0"/>
    <w:rsid w:val="0066505B"/>
    <w:rsid w:val="00665ACE"/>
    <w:rsid w:val="00666712"/>
    <w:rsid w:val="0066701C"/>
    <w:rsid w:val="006671D4"/>
    <w:rsid w:val="0066750D"/>
    <w:rsid w:val="00667F2F"/>
    <w:rsid w:val="00671338"/>
    <w:rsid w:val="006715D1"/>
    <w:rsid w:val="00671D6E"/>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EDE"/>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625"/>
    <w:rsid w:val="006B1B86"/>
    <w:rsid w:val="006B208B"/>
    <w:rsid w:val="006B3C7A"/>
    <w:rsid w:val="006B454E"/>
    <w:rsid w:val="006B462B"/>
    <w:rsid w:val="006B46C9"/>
    <w:rsid w:val="006B4FD6"/>
    <w:rsid w:val="006B511B"/>
    <w:rsid w:val="006B5508"/>
    <w:rsid w:val="006B5F34"/>
    <w:rsid w:val="006B7267"/>
    <w:rsid w:val="006C1371"/>
    <w:rsid w:val="006C1F9E"/>
    <w:rsid w:val="006C2F23"/>
    <w:rsid w:val="006C408C"/>
    <w:rsid w:val="006C44AE"/>
    <w:rsid w:val="006C456A"/>
    <w:rsid w:val="006C5333"/>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5742"/>
    <w:rsid w:val="006E578E"/>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0F5"/>
    <w:rsid w:val="00702862"/>
    <w:rsid w:val="007037DD"/>
    <w:rsid w:val="00703AE1"/>
    <w:rsid w:val="00703B2F"/>
    <w:rsid w:val="0070428E"/>
    <w:rsid w:val="007042B5"/>
    <w:rsid w:val="00704634"/>
    <w:rsid w:val="007057FF"/>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4055"/>
    <w:rsid w:val="007562AF"/>
    <w:rsid w:val="00756771"/>
    <w:rsid w:val="00756A0B"/>
    <w:rsid w:val="00756C88"/>
    <w:rsid w:val="00757070"/>
    <w:rsid w:val="0075716B"/>
    <w:rsid w:val="00757251"/>
    <w:rsid w:val="007573A2"/>
    <w:rsid w:val="00757BFC"/>
    <w:rsid w:val="00757FD7"/>
    <w:rsid w:val="00760108"/>
    <w:rsid w:val="00760AB6"/>
    <w:rsid w:val="00760DD6"/>
    <w:rsid w:val="00761447"/>
    <w:rsid w:val="00761706"/>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50A"/>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B73B1"/>
    <w:rsid w:val="007C04A2"/>
    <w:rsid w:val="007C1271"/>
    <w:rsid w:val="007C1273"/>
    <w:rsid w:val="007C313D"/>
    <w:rsid w:val="007C3B2E"/>
    <w:rsid w:val="007C405D"/>
    <w:rsid w:val="007C4D7C"/>
    <w:rsid w:val="007C5545"/>
    <w:rsid w:val="007C587A"/>
    <w:rsid w:val="007C5FD2"/>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E7D98"/>
    <w:rsid w:val="007F0BA9"/>
    <w:rsid w:val="007F14CC"/>
    <w:rsid w:val="007F17A3"/>
    <w:rsid w:val="007F1A1A"/>
    <w:rsid w:val="007F1ECE"/>
    <w:rsid w:val="007F2DD4"/>
    <w:rsid w:val="007F35C6"/>
    <w:rsid w:val="007F3BF0"/>
    <w:rsid w:val="007F4049"/>
    <w:rsid w:val="007F4946"/>
    <w:rsid w:val="007F4B42"/>
    <w:rsid w:val="007F5B11"/>
    <w:rsid w:val="007F7CB7"/>
    <w:rsid w:val="007F7F91"/>
    <w:rsid w:val="00800BE3"/>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98A"/>
    <w:rsid w:val="00832A83"/>
    <w:rsid w:val="00832D2B"/>
    <w:rsid w:val="00833114"/>
    <w:rsid w:val="00835668"/>
    <w:rsid w:val="008357D2"/>
    <w:rsid w:val="008370CF"/>
    <w:rsid w:val="00837CEF"/>
    <w:rsid w:val="00840C89"/>
    <w:rsid w:val="0084114B"/>
    <w:rsid w:val="008417A4"/>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25C0"/>
    <w:rsid w:val="00863418"/>
    <w:rsid w:val="008634C5"/>
    <w:rsid w:val="00863FB1"/>
    <w:rsid w:val="00864F72"/>
    <w:rsid w:val="00865B42"/>
    <w:rsid w:val="00866DED"/>
    <w:rsid w:val="00866DF0"/>
    <w:rsid w:val="008672F5"/>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6DB1"/>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421"/>
    <w:rsid w:val="008C65C9"/>
    <w:rsid w:val="008C7C52"/>
    <w:rsid w:val="008D1236"/>
    <w:rsid w:val="008D1EDE"/>
    <w:rsid w:val="008D32AD"/>
    <w:rsid w:val="008D3620"/>
    <w:rsid w:val="008D458F"/>
    <w:rsid w:val="008D52D9"/>
    <w:rsid w:val="008D6772"/>
    <w:rsid w:val="008D72E4"/>
    <w:rsid w:val="008D76E6"/>
    <w:rsid w:val="008D7AC6"/>
    <w:rsid w:val="008E02E6"/>
    <w:rsid w:val="008E08A8"/>
    <w:rsid w:val="008E0B04"/>
    <w:rsid w:val="008E15B5"/>
    <w:rsid w:val="008E1B7B"/>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C08"/>
    <w:rsid w:val="00915282"/>
    <w:rsid w:val="0091567A"/>
    <w:rsid w:val="0091611D"/>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2EE7"/>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46"/>
    <w:rsid w:val="00976FCC"/>
    <w:rsid w:val="0097768E"/>
    <w:rsid w:val="009818A2"/>
    <w:rsid w:val="009829E2"/>
    <w:rsid w:val="00983525"/>
    <w:rsid w:val="009844CE"/>
    <w:rsid w:val="00984590"/>
    <w:rsid w:val="00984F92"/>
    <w:rsid w:val="00984FB7"/>
    <w:rsid w:val="00985247"/>
    <w:rsid w:val="009855CB"/>
    <w:rsid w:val="00985932"/>
    <w:rsid w:val="009868FC"/>
    <w:rsid w:val="00986D58"/>
    <w:rsid w:val="00986D6A"/>
    <w:rsid w:val="00990013"/>
    <w:rsid w:val="00990D44"/>
    <w:rsid w:val="00991E94"/>
    <w:rsid w:val="00992712"/>
    <w:rsid w:val="00993DF6"/>
    <w:rsid w:val="00993E7E"/>
    <w:rsid w:val="0099690A"/>
    <w:rsid w:val="00997136"/>
    <w:rsid w:val="009971A7"/>
    <w:rsid w:val="00997965"/>
    <w:rsid w:val="00997BBE"/>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50"/>
    <w:rsid w:val="009E01AF"/>
    <w:rsid w:val="009E0336"/>
    <w:rsid w:val="009E08CA"/>
    <w:rsid w:val="009E10EC"/>
    <w:rsid w:val="009E10F6"/>
    <w:rsid w:val="009E1628"/>
    <w:rsid w:val="009E18A1"/>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1A53"/>
    <w:rsid w:val="00A3215A"/>
    <w:rsid w:val="00A32881"/>
    <w:rsid w:val="00A32E73"/>
    <w:rsid w:val="00A3359F"/>
    <w:rsid w:val="00A33F3B"/>
    <w:rsid w:val="00A352E3"/>
    <w:rsid w:val="00A35446"/>
    <w:rsid w:val="00A35615"/>
    <w:rsid w:val="00A3583F"/>
    <w:rsid w:val="00A360DF"/>
    <w:rsid w:val="00A36936"/>
    <w:rsid w:val="00A37129"/>
    <w:rsid w:val="00A37825"/>
    <w:rsid w:val="00A4105D"/>
    <w:rsid w:val="00A41757"/>
    <w:rsid w:val="00A417FE"/>
    <w:rsid w:val="00A41FA8"/>
    <w:rsid w:val="00A426F3"/>
    <w:rsid w:val="00A42E01"/>
    <w:rsid w:val="00A42FDA"/>
    <w:rsid w:val="00A44166"/>
    <w:rsid w:val="00A448E0"/>
    <w:rsid w:val="00A456F5"/>
    <w:rsid w:val="00A45C71"/>
    <w:rsid w:val="00A4628E"/>
    <w:rsid w:val="00A47209"/>
    <w:rsid w:val="00A47455"/>
    <w:rsid w:val="00A47FB5"/>
    <w:rsid w:val="00A51781"/>
    <w:rsid w:val="00A5203E"/>
    <w:rsid w:val="00A52320"/>
    <w:rsid w:val="00A52762"/>
    <w:rsid w:val="00A537AD"/>
    <w:rsid w:val="00A53978"/>
    <w:rsid w:val="00A54A2D"/>
    <w:rsid w:val="00A54AAC"/>
    <w:rsid w:val="00A55915"/>
    <w:rsid w:val="00A55A68"/>
    <w:rsid w:val="00A56094"/>
    <w:rsid w:val="00A5698E"/>
    <w:rsid w:val="00A56B70"/>
    <w:rsid w:val="00A575B4"/>
    <w:rsid w:val="00A608CD"/>
    <w:rsid w:val="00A60A4A"/>
    <w:rsid w:val="00A61670"/>
    <w:rsid w:val="00A63910"/>
    <w:rsid w:val="00A64280"/>
    <w:rsid w:val="00A64C7D"/>
    <w:rsid w:val="00A64E0F"/>
    <w:rsid w:val="00A654A2"/>
    <w:rsid w:val="00A654DF"/>
    <w:rsid w:val="00A655E9"/>
    <w:rsid w:val="00A66CB2"/>
    <w:rsid w:val="00A67461"/>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5B2"/>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01D"/>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548"/>
    <w:rsid w:val="00AC3C32"/>
    <w:rsid w:val="00AC3DB8"/>
    <w:rsid w:val="00AD100C"/>
    <w:rsid w:val="00AD2540"/>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629"/>
    <w:rsid w:val="00AF1B3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70"/>
    <w:rsid w:val="00B02FB6"/>
    <w:rsid w:val="00B03ACC"/>
    <w:rsid w:val="00B04123"/>
    <w:rsid w:val="00B049EC"/>
    <w:rsid w:val="00B04DD6"/>
    <w:rsid w:val="00B050D6"/>
    <w:rsid w:val="00B0768C"/>
    <w:rsid w:val="00B10264"/>
    <w:rsid w:val="00B1212B"/>
    <w:rsid w:val="00B125A0"/>
    <w:rsid w:val="00B13177"/>
    <w:rsid w:val="00B13A1B"/>
    <w:rsid w:val="00B13E8D"/>
    <w:rsid w:val="00B15165"/>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D2B"/>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677"/>
    <w:rsid w:val="00BA3973"/>
    <w:rsid w:val="00BA42E0"/>
    <w:rsid w:val="00BA5246"/>
    <w:rsid w:val="00BA59AD"/>
    <w:rsid w:val="00BA5D20"/>
    <w:rsid w:val="00BA63BB"/>
    <w:rsid w:val="00BA65C8"/>
    <w:rsid w:val="00BA6A89"/>
    <w:rsid w:val="00BA6F7A"/>
    <w:rsid w:val="00BA71E3"/>
    <w:rsid w:val="00BA79B7"/>
    <w:rsid w:val="00BB0368"/>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64CE"/>
    <w:rsid w:val="00BC68AD"/>
    <w:rsid w:val="00BC7112"/>
    <w:rsid w:val="00BD0C00"/>
    <w:rsid w:val="00BD0DA0"/>
    <w:rsid w:val="00BD3693"/>
    <w:rsid w:val="00BD438C"/>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0A19"/>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CAD"/>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147"/>
    <w:rsid w:val="00C268F6"/>
    <w:rsid w:val="00C27D1A"/>
    <w:rsid w:val="00C31200"/>
    <w:rsid w:val="00C31A08"/>
    <w:rsid w:val="00C31BE7"/>
    <w:rsid w:val="00C32229"/>
    <w:rsid w:val="00C32DE7"/>
    <w:rsid w:val="00C32F73"/>
    <w:rsid w:val="00C32FD3"/>
    <w:rsid w:val="00C335D7"/>
    <w:rsid w:val="00C341CB"/>
    <w:rsid w:val="00C3542E"/>
    <w:rsid w:val="00C35B5E"/>
    <w:rsid w:val="00C370A0"/>
    <w:rsid w:val="00C4017A"/>
    <w:rsid w:val="00C404FF"/>
    <w:rsid w:val="00C40770"/>
    <w:rsid w:val="00C41357"/>
    <w:rsid w:val="00C41799"/>
    <w:rsid w:val="00C41B56"/>
    <w:rsid w:val="00C4244D"/>
    <w:rsid w:val="00C42C2F"/>
    <w:rsid w:val="00C43B8F"/>
    <w:rsid w:val="00C4450E"/>
    <w:rsid w:val="00C44980"/>
    <w:rsid w:val="00C45268"/>
    <w:rsid w:val="00C455CD"/>
    <w:rsid w:val="00C45BBF"/>
    <w:rsid w:val="00C46708"/>
    <w:rsid w:val="00C4723E"/>
    <w:rsid w:val="00C474EF"/>
    <w:rsid w:val="00C500D2"/>
    <w:rsid w:val="00C50922"/>
    <w:rsid w:val="00C51440"/>
    <w:rsid w:val="00C52089"/>
    <w:rsid w:val="00C53E87"/>
    <w:rsid w:val="00C55CDE"/>
    <w:rsid w:val="00C56885"/>
    <w:rsid w:val="00C56AE3"/>
    <w:rsid w:val="00C56D20"/>
    <w:rsid w:val="00C57069"/>
    <w:rsid w:val="00C57680"/>
    <w:rsid w:val="00C57856"/>
    <w:rsid w:val="00C57997"/>
    <w:rsid w:val="00C6124E"/>
    <w:rsid w:val="00C613CF"/>
    <w:rsid w:val="00C618FB"/>
    <w:rsid w:val="00C6230B"/>
    <w:rsid w:val="00C6257D"/>
    <w:rsid w:val="00C632FA"/>
    <w:rsid w:val="00C635D0"/>
    <w:rsid w:val="00C64273"/>
    <w:rsid w:val="00C647F8"/>
    <w:rsid w:val="00C65A12"/>
    <w:rsid w:val="00C65B9B"/>
    <w:rsid w:val="00C65CE0"/>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5DB"/>
    <w:rsid w:val="00C85611"/>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39B"/>
    <w:rsid w:val="00CA5463"/>
    <w:rsid w:val="00CA5A6D"/>
    <w:rsid w:val="00CA5E32"/>
    <w:rsid w:val="00CB1AC1"/>
    <w:rsid w:val="00CB26F2"/>
    <w:rsid w:val="00CB2BAE"/>
    <w:rsid w:val="00CB3166"/>
    <w:rsid w:val="00CB40D4"/>
    <w:rsid w:val="00CB4885"/>
    <w:rsid w:val="00CB5B7B"/>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51"/>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55D"/>
    <w:rsid w:val="00CE4619"/>
    <w:rsid w:val="00CE4BF2"/>
    <w:rsid w:val="00CE5E91"/>
    <w:rsid w:val="00CF01EA"/>
    <w:rsid w:val="00CF021C"/>
    <w:rsid w:val="00CF10EF"/>
    <w:rsid w:val="00CF1F53"/>
    <w:rsid w:val="00CF1FAE"/>
    <w:rsid w:val="00CF3BED"/>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47"/>
    <w:rsid w:val="00D20368"/>
    <w:rsid w:val="00D209D8"/>
    <w:rsid w:val="00D20B6C"/>
    <w:rsid w:val="00D20DAB"/>
    <w:rsid w:val="00D2186C"/>
    <w:rsid w:val="00D221F1"/>
    <w:rsid w:val="00D239A5"/>
    <w:rsid w:val="00D24260"/>
    <w:rsid w:val="00D2457A"/>
    <w:rsid w:val="00D25024"/>
    <w:rsid w:val="00D25A36"/>
    <w:rsid w:val="00D26250"/>
    <w:rsid w:val="00D26F2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66E"/>
    <w:rsid w:val="00D418AA"/>
    <w:rsid w:val="00D41CA2"/>
    <w:rsid w:val="00D42026"/>
    <w:rsid w:val="00D424A2"/>
    <w:rsid w:val="00D4251B"/>
    <w:rsid w:val="00D42ECA"/>
    <w:rsid w:val="00D43649"/>
    <w:rsid w:val="00D44BD1"/>
    <w:rsid w:val="00D45359"/>
    <w:rsid w:val="00D45E82"/>
    <w:rsid w:val="00D47AB6"/>
    <w:rsid w:val="00D505F4"/>
    <w:rsid w:val="00D507D9"/>
    <w:rsid w:val="00D50BC3"/>
    <w:rsid w:val="00D52E63"/>
    <w:rsid w:val="00D53E86"/>
    <w:rsid w:val="00D545A8"/>
    <w:rsid w:val="00D548A5"/>
    <w:rsid w:val="00D548E5"/>
    <w:rsid w:val="00D555A1"/>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2F2"/>
    <w:rsid w:val="00D84AEE"/>
    <w:rsid w:val="00D8502A"/>
    <w:rsid w:val="00D850ED"/>
    <w:rsid w:val="00D85E53"/>
    <w:rsid w:val="00D865D9"/>
    <w:rsid w:val="00D86B99"/>
    <w:rsid w:val="00D9154A"/>
    <w:rsid w:val="00D923F4"/>
    <w:rsid w:val="00D93271"/>
    <w:rsid w:val="00D93822"/>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226"/>
    <w:rsid w:val="00DB05C4"/>
    <w:rsid w:val="00DB069A"/>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947"/>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21D"/>
    <w:rsid w:val="00DD7A5E"/>
    <w:rsid w:val="00DD7A78"/>
    <w:rsid w:val="00DE00F6"/>
    <w:rsid w:val="00DE1132"/>
    <w:rsid w:val="00DE1E31"/>
    <w:rsid w:val="00DE22AD"/>
    <w:rsid w:val="00DE2C26"/>
    <w:rsid w:val="00DE2CFB"/>
    <w:rsid w:val="00DE414D"/>
    <w:rsid w:val="00DE5048"/>
    <w:rsid w:val="00DE5D3C"/>
    <w:rsid w:val="00DE68DD"/>
    <w:rsid w:val="00DE77DC"/>
    <w:rsid w:val="00DF0391"/>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3A5"/>
    <w:rsid w:val="00E21CDD"/>
    <w:rsid w:val="00E21E11"/>
    <w:rsid w:val="00E233C9"/>
    <w:rsid w:val="00E23438"/>
    <w:rsid w:val="00E239BA"/>
    <w:rsid w:val="00E24415"/>
    <w:rsid w:val="00E24561"/>
    <w:rsid w:val="00E24D01"/>
    <w:rsid w:val="00E25521"/>
    <w:rsid w:val="00E25917"/>
    <w:rsid w:val="00E261E0"/>
    <w:rsid w:val="00E26580"/>
    <w:rsid w:val="00E2721C"/>
    <w:rsid w:val="00E27B4B"/>
    <w:rsid w:val="00E3028E"/>
    <w:rsid w:val="00E311CE"/>
    <w:rsid w:val="00E31D2B"/>
    <w:rsid w:val="00E31E30"/>
    <w:rsid w:val="00E31E40"/>
    <w:rsid w:val="00E33243"/>
    <w:rsid w:val="00E33520"/>
    <w:rsid w:val="00E33741"/>
    <w:rsid w:val="00E33D3D"/>
    <w:rsid w:val="00E351B8"/>
    <w:rsid w:val="00E35EC1"/>
    <w:rsid w:val="00E35F95"/>
    <w:rsid w:val="00E3623E"/>
    <w:rsid w:val="00E36893"/>
    <w:rsid w:val="00E369E0"/>
    <w:rsid w:val="00E36F87"/>
    <w:rsid w:val="00E36FAF"/>
    <w:rsid w:val="00E37775"/>
    <w:rsid w:val="00E37879"/>
    <w:rsid w:val="00E4029A"/>
    <w:rsid w:val="00E40302"/>
    <w:rsid w:val="00E410B5"/>
    <w:rsid w:val="00E41D4A"/>
    <w:rsid w:val="00E41DFA"/>
    <w:rsid w:val="00E4205C"/>
    <w:rsid w:val="00E42264"/>
    <w:rsid w:val="00E42D1E"/>
    <w:rsid w:val="00E43435"/>
    <w:rsid w:val="00E447FF"/>
    <w:rsid w:val="00E44850"/>
    <w:rsid w:val="00E455A1"/>
    <w:rsid w:val="00E45DF0"/>
    <w:rsid w:val="00E45F05"/>
    <w:rsid w:val="00E4665D"/>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4FEC"/>
    <w:rsid w:val="00E75146"/>
    <w:rsid w:val="00E755AB"/>
    <w:rsid w:val="00E75B19"/>
    <w:rsid w:val="00E75BB5"/>
    <w:rsid w:val="00E7676F"/>
    <w:rsid w:val="00E7767C"/>
    <w:rsid w:val="00E777A9"/>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5E01"/>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1CC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05BF"/>
    <w:rsid w:val="00F12F3D"/>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0B2"/>
    <w:rsid w:val="00F35DBE"/>
    <w:rsid w:val="00F36B23"/>
    <w:rsid w:val="00F370C9"/>
    <w:rsid w:val="00F37101"/>
    <w:rsid w:val="00F377CE"/>
    <w:rsid w:val="00F40084"/>
    <w:rsid w:val="00F40094"/>
    <w:rsid w:val="00F40646"/>
    <w:rsid w:val="00F4147C"/>
    <w:rsid w:val="00F42591"/>
    <w:rsid w:val="00F426C8"/>
    <w:rsid w:val="00F4377C"/>
    <w:rsid w:val="00F447DD"/>
    <w:rsid w:val="00F44809"/>
    <w:rsid w:val="00F45459"/>
    <w:rsid w:val="00F46D5A"/>
    <w:rsid w:val="00F47305"/>
    <w:rsid w:val="00F5036E"/>
    <w:rsid w:val="00F519A9"/>
    <w:rsid w:val="00F524D2"/>
    <w:rsid w:val="00F52AF5"/>
    <w:rsid w:val="00F53204"/>
    <w:rsid w:val="00F53860"/>
    <w:rsid w:val="00F54021"/>
    <w:rsid w:val="00F542AA"/>
    <w:rsid w:val="00F543D3"/>
    <w:rsid w:val="00F54CE7"/>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525"/>
    <w:rsid w:val="00F707C2"/>
    <w:rsid w:val="00F707EE"/>
    <w:rsid w:val="00F710EA"/>
    <w:rsid w:val="00F727C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318F"/>
    <w:rsid w:val="00FB43AC"/>
    <w:rsid w:val="00FB47EA"/>
    <w:rsid w:val="00FB567E"/>
    <w:rsid w:val="00FB6B60"/>
    <w:rsid w:val="00FB6C3B"/>
    <w:rsid w:val="00FB7C38"/>
    <w:rsid w:val="00FB7F1F"/>
    <w:rsid w:val="00FC054A"/>
    <w:rsid w:val="00FC0790"/>
    <w:rsid w:val="00FC0A01"/>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3BB6"/>
    <w:rsid w:val="00FE3EB3"/>
    <w:rsid w:val="00FE520C"/>
    <w:rsid w:val="00FE65C5"/>
    <w:rsid w:val="00FE6DA0"/>
    <w:rsid w:val="00FE6E62"/>
    <w:rsid w:val="00FF0C49"/>
    <w:rsid w:val="00FF0FDB"/>
    <w:rsid w:val="00FF1282"/>
    <w:rsid w:val="00FF1339"/>
    <w:rsid w:val="00FF1682"/>
    <w:rsid w:val="00FF33D3"/>
    <w:rsid w:val="00FF3D4F"/>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81565489">
      <w:bodyDiv w:val="1"/>
      <w:marLeft w:val="0"/>
      <w:marRight w:val="0"/>
      <w:marTop w:val="0"/>
      <w:marBottom w:val="0"/>
      <w:divBdr>
        <w:top w:val="none" w:sz="0" w:space="0" w:color="auto"/>
        <w:left w:val="none" w:sz="0" w:space="0" w:color="auto"/>
        <w:bottom w:val="none" w:sz="0" w:space="0" w:color="auto"/>
        <w:right w:val="none" w:sz="0" w:space="0" w:color="auto"/>
      </w:divBdr>
    </w:div>
    <w:div w:id="414859909">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77451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97F56E-0867-461E-942D-1F775D4D8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10</Pages>
  <Words>3064</Words>
  <Characters>16856</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40</cp:revision>
  <cp:lastPrinted>2021-05-05T20:47:00Z</cp:lastPrinted>
  <dcterms:created xsi:type="dcterms:W3CDTF">2021-05-05T01:44:00Z</dcterms:created>
  <dcterms:modified xsi:type="dcterms:W3CDTF">2021-09-21T18:25:00Z</dcterms:modified>
</cp:coreProperties>
</file>