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C0320F">
        <w:rPr>
          <w:rFonts w:ascii="Arial" w:hAnsi="Arial" w:cs="Arial"/>
          <w:b/>
          <w:sz w:val="26"/>
          <w:szCs w:val="26"/>
        </w:rPr>
        <w:t>094</w:t>
      </w:r>
      <w:r w:rsidRPr="00CB6405">
        <w:rPr>
          <w:rFonts w:ascii="Arial" w:hAnsi="Arial" w:cs="Arial"/>
          <w:b/>
          <w:sz w:val="26"/>
          <w:szCs w:val="26"/>
        </w:rPr>
        <w:t>/201</w:t>
      </w:r>
      <w:r w:rsidR="00C82270">
        <w:rPr>
          <w:rFonts w:ascii="Arial" w:hAnsi="Arial" w:cs="Arial"/>
          <w:b/>
          <w:sz w:val="26"/>
          <w:szCs w:val="26"/>
        </w:rPr>
        <w:t>9</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C0320F">
        <w:rPr>
          <w:rFonts w:ascii="Arial" w:hAnsi="Arial" w:cs="Arial"/>
          <w:b/>
          <w:sz w:val="26"/>
          <w:szCs w:val="26"/>
        </w:rPr>
        <w:t>065</w:t>
      </w:r>
      <w:r>
        <w:rPr>
          <w:rFonts w:ascii="Arial" w:hAnsi="Arial" w:cs="Arial"/>
          <w:b/>
          <w:sz w:val="26"/>
          <w:szCs w:val="26"/>
        </w:rPr>
        <w:t>/</w:t>
      </w:r>
      <w:r w:rsidRPr="00CB6405">
        <w:rPr>
          <w:rFonts w:ascii="Arial" w:hAnsi="Arial" w:cs="Arial"/>
          <w:b/>
          <w:sz w:val="26"/>
          <w:szCs w:val="26"/>
        </w:rPr>
        <w:t>201</w:t>
      </w:r>
      <w:r w:rsidR="00C0320F">
        <w:rPr>
          <w:rFonts w:ascii="Arial" w:hAnsi="Arial" w:cs="Arial"/>
          <w:b/>
          <w:sz w:val="26"/>
          <w:szCs w:val="26"/>
        </w:rPr>
        <w:t>8</w:t>
      </w:r>
      <w:r w:rsidRPr="00CB6405">
        <w:rPr>
          <w:rFonts w:ascii="Arial" w:hAnsi="Arial" w:cs="Arial"/>
          <w:b/>
          <w:sz w:val="26"/>
          <w:szCs w:val="26"/>
        </w:rPr>
        <w:t xml:space="preserve"> </w:t>
      </w:r>
      <w:r w:rsidR="008A58B7">
        <w:rPr>
          <w:rFonts w:ascii="Arial" w:hAnsi="Arial" w:cs="Arial"/>
          <w:b/>
          <w:sz w:val="26"/>
          <w:szCs w:val="26"/>
        </w:rPr>
        <w:t xml:space="preserve">SÉPTIMA </w:t>
      </w:r>
      <w:r w:rsidRPr="00CB6405">
        <w:rPr>
          <w:rFonts w:ascii="Arial" w:hAnsi="Arial" w:cs="Arial"/>
          <w:b/>
          <w:sz w:val="26"/>
          <w:szCs w:val="26"/>
        </w:rPr>
        <w:t>SALA UNITARIA DE PRIMERA INSTANCIA</w:t>
      </w:r>
    </w:p>
    <w:p w:rsidR="001D20BF" w:rsidRPr="00CB6405" w:rsidRDefault="001D20BF" w:rsidP="001D20BF">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C0320F">
        <w:rPr>
          <w:rFonts w:ascii="Arial" w:hAnsi="Arial" w:cs="Arial"/>
          <w:b/>
          <w:sz w:val="26"/>
          <w:szCs w:val="26"/>
        </w:rPr>
        <w:t>ADRÍAN QUIROGA AVENDAÑO</w:t>
      </w:r>
      <w:r w:rsidRPr="00CB6405">
        <w:rPr>
          <w:rFonts w:ascii="Arial" w:hAnsi="Arial" w:cs="Arial"/>
          <w:b/>
          <w:sz w:val="26"/>
          <w:szCs w:val="26"/>
        </w:rPr>
        <w:t>.</w:t>
      </w:r>
    </w:p>
    <w:p w:rsidR="0003593A" w:rsidRDefault="0003593A" w:rsidP="00315900">
      <w:pPr>
        <w:spacing w:before="240" w:line="360" w:lineRule="auto"/>
        <w:jc w:val="both"/>
        <w:rPr>
          <w:rFonts w:ascii="Arial" w:hAnsi="Arial" w:cs="Arial"/>
          <w:b/>
          <w:sz w:val="26"/>
          <w:szCs w:val="26"/>
        </w:rPr>
      </w:pPr>
      <w:r>
        <w:rPr>
          <w:rFonts w:ascii="Arial" w:hAnsi="Arial" w:cs="Arial"/>
          <w:b/>
          <w:sz w:val="26"/>
          <w:szCs w:val="26"/>
        </w:rPr>
        <w:t xml:space="preserve">OAXACA DE JUÁREZ, OAXACA, VEINTIUNO DE NOVIEMBRE </w:t>
      </w:r>
      <w:r w:rsidR="001D20BF">
        <w:rPr>
          <w:rFonts w:ascii="Arial" w:hAnsi="Arial" w:cs="Arial"/>
          <w:b/>
          <w:sz w:val="26"/>
          <w:szCs w:val="26"/>
        </w:rPr>
        <w:t>DE DOS MIL DIECINUEVE.</w:t>
      </w:r>
    </w:p>
    <w:p w:rsidR="0003593A" w:rsidRDefault="001D20BF" w:rsidP="0003593A">
      <w:pPr>
        <w:spacing w:before="240" w:line="360" w:lineRule="auto"/>
        <w:ind w:firstLine="567"/>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C0320F">
        <w:rPr>
          <w:rFonts w:ascii="Arial" w:hAnsi="Arial" w:cs="Arial"/>
          <w:b/>
          <w:sz w:val="26"/>
          <w:szCs w:val="26"/>
        </w:rPr>
        <w:t>094</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sz w:val="26"/>
          <w:szCs w:val="26"/>
        </w:rPr>
        <w:t xml:space="preserve">la </w:t>
      </w:r>
      <w:r w:rsidR="008A58B7">
        <w:rPr>
          <w:rFonts w:ascii="Arial" w:hAnsi="Arial" w:cs="Arial"/>
          <w:b/>
          <w:sz w:val="26"/>
          <w:szCs w:val="26"/>
        </w:rPr>
        <w:t xml:space="preserve">JEFA DE LA UNIDAD DE RECAUDACIÓN DEL MUNICIPIO DE OAXACA DE </w:t>
      </w:r>
      <w:r w:rsidRPr="003E2B2E">
        <w:rPr>
          <w:rFonts w:ascii="Arial" w:hAnsi="Arial" w:cs="Arial"/>
          <w:b/>
          <w:sz w:val="26"/>
          <w:szCs w:val="26"/>
        </w:rPr>
        <w:t>JUÁREZ</w:t>
      </w:r>
      <w:r>
        <w:rPr>
          <w:rFonts w:ascii="Arial" w:hAnsi="Arial" w:cs="Arial"/>
          <w:b/>
          <w:sz w:val="26"/>
          <w:szCs w:val="26"/>
        </w:rPr>
        <w:t>, OAXACA</w:t>
      </w:r>
      <w:r w:rsidRPr="00CB6405">
        <w:rPr>
          <w:rFonts w:ascii="Arial" w:hAnsi="Arial" w:cs="Arial"/>
          <w:sz w:val="26"/>
          <w:szCs w:val="26"/>
        </w:rPr>
        <w:t>, en contra de</w:t>
      </w:r>
      <w:r>
        <w:rPr>
          <w:rFonts w:ascii="Arial" w:hAnsi="Arial" w:cs="Arial"/>
          <w:sz w:val="26"/>
          <w:szCs w:val="26"/>
        </w:rPr>
        <w:t xml:space="preserve"> la sentencia de </w:t>
      </w:r>
      <w:r w:rsidR="00C0320F">
        <w:rPr>
          <w:rFonts w:ascii="Arial" w:hAnsi="Arial" w:cs="Arial"/>
          <w:sz w:val="26"/>
          <w:szCs w:val="26"/>
        </w:rPr>
        <w:t>trece de febrero de dos mil diecinueve</w:t>
      </w:r>
      <w:r>
        <w:rPr>
          <w:rFonts w:ascii="Arial" w:hAnsi="Arial" w:cs="Arial"/>
          <w:sz w:val="26"/>
          <w:szCs w:val="26"/>
        </w:rPr>
        <w:t>, dictada</w:t>
      </w:r>
      <w:r w:rsidRPr="00CB6405">
        <w:rPr>
          <w:rFonts w:ascii="Arial" w:hAnsi="Arial" w:cs="Arial"/>
          <w:sz w:val="26"/>
          <w:szCs w:val="26"/>
        </w:rPr>
        <w:t xml:space="preserve"> en el expediente </w:t>
      </w:r>
      <w:r w:rsidR="00C0320F">
        <w:rPr>
          <w:rFonts w:ascii="Arial" w:hAnsi="Arial" w:cs="Arial"/>
          <w:b/>
          <w:sz w:val="26"/>
          <w:szCs w:val="26"/>
        </w:rPr>
        <w:t>0065</w:t>
      </w:r>
      <w:r w:rsidRPr="00CB6405">
        <w:rPr>
          <w:rFonts w:ascii="Arial" w:hAnsi="Arial" w:cs="Arial"/>
          <w:b/>
          <w:sz w:val="26"/>
          <w:szCs w:val="26"/>
        </w:rPr>
        <w:t>/201</w:t>
      </w:r>
      <w:r w:rsidR="00C0320F">
        <w:rPr>
          <w:rFonts w:ascii="Arial" w:hAnsi="Arial" w:cs="Arial"/>
          <w:b/>
          <w:sz w:val="26"/>
          <w:szCs w:val="26"/>
        </w:rPr>
        <w:t>8</w:t>
      </w:r>
      <w:r w:rsidRPr="00CB6405">
        <w:rPr>
          <w:rFonts w:ascii="Arial" w:hAnsi="Arial" w:cs="Arial"/>
          <w:sz w:val="26"/>
          <w:szCs w:val="26"/>
        </w:rPr>
        <w:t xml:space="preserve"> de la </w:t>
      </w:r>
      <w:r w:rsidR="008A58B7">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161F35">
        <w:rPr>
          <w:rFonts w:ascii="Arial" w:hAnsi="Arial" w:cs="Arial"/>
          <w:bCs/>
          <w:i/>
          <w:color w:val="000000"/>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w:t>
      </w:r>
      <w:r w:rsidR="008A58B7">
        <w:rPr>
          <w:rFonts w:ascii="Arial" w:hAnsi="Arial" w:cs="Arial"/>
          <w:sz w:val="26"/>
          <w:szCs w:val="26"/>
        </w:rPr>
        <w:t xml:space="preserve"> </w:t>
      </w:r>
      <w:r w:rsidRPr="006B6D39">
        <w:rPr>
          <w:rFonts w:ascii="Arial" w:hAnsi="Arial" w:cs="Arial"/>
          <w:sz w:val="26"/>
          <w:szCs w:val="26"/>
        </w:rPr>
        <w:t>l</w:t>
      </w:r>
      <w:r w:rsidR="008A58B7">
        <w:rPr>
          <w:rFonts w:ascii="Arial" w:hAnsi="Arial" w:cs="Arial"/>
          <w:sz w:val="26"/>
          <w:szCs w:val="26"/>
        </w:rPr>
        <w:t>a</w:t>
      </w:r>
      <w:r>
        <w:rPr>
          <w:rFonts w:ascii="Arial" w:hAnsi="Arial" w:cs="Arial"/>
          <w:b/>
          <w:sz w:val="26"/>
          <w:szCs w:val="26"/>
        </w:rPr>
        <w:t xml:space="preserve"> </w:t>
      </w:r>
      <w:r w:rsidR="008F7B62">
        <w:rPr>
          <w:rFonts w:ascii="Arial" w:hAnsi="Arial" w:cs="Arial"/>
          <w:b/>
          <w:sz w:val="26"/>
          <w:szCs w:val="26"/>
        </w:rPr>
        <w:t xml:space="preserve">JEFA DE LA UNIDAD DE RECAUDACIÓN DEL MUNICIPIO DE OAXACA DE </w:t>
      </w:r>
      <w:r w:rsidR="008F7B62" w:rsidRPr="003E2B2E">
        <w:rPr>
          <w:rFonts w:ascii="Arial" w:hAnsi="Arial" w:cs="Arial"/>
          <w:b/>
          <w:sz w:val="26"/>
          <w:szCs w:val="26"/>
        </w:rPr>
        <w:t>JUÁREZ</w:t>
      </w:r>
      <w:r w:rsidR="008F7B62">
        <w:rPr>
          <w:rFonts w:ascii="Arial" w:hAnsi="Arial" w:cs="Arial"/>
          <w:b/>
          <w:sz w:val="26"/>
          <w:szCs w:val="26"/>
        </w:rPr>
        <w:t>,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03593A" w:rsidRDefault="001D20BF" w:rsidP="0003593A">
      <w:pPr>
        <w:spacing w:before="240" w:line="360" w:lineRule="auto"/>
        <w:ind w:firstLine="567"/>
        <w:jc w:val="center"/>
        <w:rPr>
          <w:rFonts w:ascii="Arial" w:hAnsi="Arial" w:cs="Arial"/>
          <w:b/>
          <w:bCs/>
          <w:sz w:val="26"/>
          <w:szCs w:val="26"/>
        </w:rPr>
      </w:pPr>
      <w:r w:rsidRPr="00CB6405">
        <w:rPr>
          <w:rFonts w:ascii="Arial" w:hAnsi="Arial" w:cs="Arial"/>
          <w:b/>
          <w:bCs/>
          <w:sz w:val="26"/>
          <w:szCs w:val="26"/>
        </w:rPr>
        <w:t>R E S U L T A N D O</w:t>
      </w:r>
      <w:r w:rsidR="0003593A">
        <w:rPr>
          <w:rFonts w:ascii="Arial" w:hAnsi="Arial" w:cs="Arial"/>
          <w:b/>
          <w:bCs/>
          <w:sz w:val="26"/>
          <w:szCs w:val="26"/>
        </w:rPr>
        <w:t>:</w:t>
      </w:r>
    </w:p>
    <w:p w:rsidR="0003593A" w:rsidRDefault="001D20BF" w:rsidP="0003593A">
      <w:pPr>
        <w:spacing w:before="240" w:line="360" w:lineRule="auto"/>
        <w:ind w:firstLine="567"/>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315900">
        <w:rPr>
          <w:rFonts w:ascii="Arial" w:hAnsi="Arial" w:cs="Arial"/>
          <w:sz w:val="26"/>
          <w:szCs w:val="26"/>
        </w:rPr>
        <w:t>trece de febrero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8A58B7">
        <w:rPr>
          <w:rFonts w:ascii="Arial" w:hAnsi="Arial" w:cs="Arial"/>
          <w:sz w:val="26"/>
          <w:szCs w:val="26"/>
        </w:rPr>
        <w:t xml:space="preserve">Séptima </w:t>
      </w:r>
      <w:r w:rsidRPr="00CB6405">
        <w:rPr>
          <w:rFonts w:ascii="Arial" w:hAnsi="Arial" w:cs="Arial"/>
          <w:sz w:val="26"/>
          <w:szCs w:val="26"/>
        </w:rPr>
        <w:t xml:space="preserve">Sala Unitaria de Primera Instancia, </w:t>
      </w:r>
      <w:r w:rsidR="008A58B7">
        <w:rPr>
          <w:rFonts w:ascii="Arial" w:hAnsi="Arial" w:cs="Arial"/>
          <w:sz w:val="26"/>
          <w:szCs w:val="26"/>
        </w:rPr>
        <w:t xml:space="preserve">la </w:t>
      </w:r>
      <w:r w:rsidR="008A58B7">
        <w:rPr>
          <w:rFonts w:ascii="Arial" w:hAnsi="Arial" w:cs="Arial"/>
          <w:b/>
          <w:sz w:val="26"/>
          <w:szCs w:val="26"/>
        </w:rPr>
        <w:t xml:space="preserve">JEFA DE LA UNIDAD DE RECAUDACIÓN DEL MUNICIPIO DE OAXACA DE </w:t>
      </w:r>
      <w:r w:rsidR="008A58B7" w:rsidRPr="003E2B2E">
        <w:rPr>
          <w:rFonts w:ascii="Arial" w:hAnsi="Arial" w:cs="Arial"/>
          <w:b/>
          <w:sz w:val="26"/>
          <w:szCs w:val="26"/>
        </w:rPr>
        <w:t>JUÁREZ</w:t>
      </w:r>
      <w:r w:rsidR="008A58B7">
        <w:rPr>
          <w:rFonts w:ascii="Arial" w:hAnsi="Arial" w:cs="Arial"/>
          <w:b/>
          <w:sz w:val="26"/>
          <w:szCs w:val="26"/>
        </w:rPr>
        <w:t>, OAXACA</w:t>
      </w:r>
      <w:r w:rsidRPr="00CB6405">
        <w:rPr>
          <w:rFonts w:ascii="Arial" w:hAnsi="Arial" w:cs="Arial"/>
          <w:sz w:val="26"/>
          <w:szCs w:val="26"/>
        </w:rPr>
        <w:t>, interpuso en su contra recurso de revisión.</w:t>
      </w:r>
    </w:p>
    <w:p w:rsidR="001D20BF" w:rsidRPr="00315900" w:rsidRDefault="001D20BF" w:rsidP="0003593A">
      <w:pPr>
        <w:spacing w:before="240" w:line="360" w:lineRule="auto"/>
        <w:ind w:firstLine="567"/>
        <w:jc w:val="both"/>
        <w:rPr>
          <w:rFonts w:ascii="Arial" w:hAnsi="Arial" w:cs="Arial"/>
          <w:b/>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8452ED">
        <w:rPr>
          <w:rFonts w:ascii="Arial" w:hAnsi="Arial" w:cs="Arial"/>
          <w:bCs/>
          <w:sz w:val="26"/>
          <w:szCs w:val="26"/>
        </w:rPr>
        <w:t xml:space="preserve"> </w:t>
      </w:r>
    </w:p>
    <w:p w:rsidR="00881862" w:rsidRDefault="001D20BF" w:rsidP="001D20BF">
      <w:pPr>
        <w:widowControl w:val="0"/>
        <w:tabs>
          <w:tab w:val="left" w:pos="7938"/>
        </w:tabs>
        <w:spacing w:before="240" w:after="0" w:line="360" w:lineRule="auto"/>
        <w:ind w:left="1134" w:right="616"/>
        <w:jc w:val="both"/>
        <w:rPr>
          <w:rFonts w:ascii="Arial" w:eastAsia="Times New Roman" w:hAnsi="Arial" w:cs="Arial"/>
          <w:bCs/>
          <w:i/>
          <w:iCs/>
          <w:lang w:eastAsia="es-ES"/>
        </w:rPr>
      </w:pPr>
      <w:r w:rsidRPr="00D751F0">
        <w:rPr>
          <w:rFonts w:ascii="Arial" w:eastAsia="Times New Roman" w:hAnsi="Arial" w:cs="Arial"/>
          <w:bCs/>
          <w:i/>
          <w:iCs/>
          <w:lang w:eastAsia="es-ES"/>
        </w:rPr>
        <w:t>“</w:t>
      </w:r>
      <w:r w:rsidRPr="00D751F0">
        <w:rPr>
          <w:rFonts w:ascii="Arial" w:eastAsia="Times New Roman" w:hAnsi="Arial" w:cs="Arial"/>
          <w:b/>
          <w:bCs/>
          <w:i/>
          <w:iCs/>
          <w:lang w:eastAsia="es-ES"/>
        </w:rPr>
        <w:t xml:space="preserve">PRIMERO. </w:t>
      </w:r>
      <w:r w:rsidRPr="00D751F0">
        <w:rPr>
          <w:rFonts w:ascii="Arial" w:eastAsia="Times New Roman" w:hAnsi="Arial" w:cs="Arial"/>
          <w:bCs/>
          <w:i/>
          <w:iCs/>
          <w:lang w:eastAsia="es-ES"/>
        </w:rPr>
        <w:t xml:space="preserve">Esta </w:t>
      </w:r>
      <w:r w:rsidR="008A58B7" w:rsidRPr="00D751F0">
        <w:rPr>
          <w:rFonts w:ascii="Arial" w:eastAsia="Times New Roman" w:hAnsi="Arial" w:cs="Arial"/>
          <w:bCs/>
          <w:i/>
          <w:iCs/>
          <w:lang w:eastAsia="es-ES"/>
        </w:rPr>
        <w:t xml:space="preserve">Séptima </w:t>
      </w:r>
      <w:r w:rsidRPr="00D751F0">
        <w:rPr>
          <w:rFonts w:ascii="Arial" w:eastAsia="Times New Roman" w:hAnsi="Arial" w:cs="Arial"/>
          <w:bCs/>
          <w:i/>
          <w:iCs/>
          <w:lang w:eastAsia="es-ES"/>
        </w:rPr>
        <w:t xml:space="preserve">Sala </w:t>
      </w:r>
      <w:r w:rsidR="008A58B7" w:rsidRPr="00D751F0">
        <w:rPr>
          <w:rFonts w:ascii="Arial" w:eastAsia="Times New Roman" w:hAnsi="Arial" w:cs="Arial"/>
          <w:bCs/>
          <w:i/>
          <w:iCs/>
          <w:lang w:eastAsia="es-ES"/>
        </w:rPr>
        <w:t>de Primera Instancia d</w:t>
      </w:r>
      <w:r w:rsidRPr="00D751F0">
        <w:rPr>
          <w:rFonts w:ascii="Arial" w:eastAsia="Times New Roman" w:hAnsi="Arial" w:cs="Arial"/>
          <w:bCs/>
          <w:i/>
          <w:iCs/>
          <w:lang w:eastAsia="es-ES"/>
        </w:rPr>
        <w:t xml:space="preserve">el Tribunal de Justicia Administrativa del Estado de Oaxaca, es </w:t>
      </w:r>
      <w:r w:rsidR="008A58B7" w:rsidRPr="00D751F0">
        <w:rPr>
          <w:rFonts w:ascii="Arial" w:eastAsia="Times New Roman" w:hAnsi="Arial" w:cs="Arial"/>
          <w:bCs/>
          <w:i/>
          <w:iCs/>
          <w:lang w:eastAsia="es-ES"/>
        </w:rPr>
        <w:t xml:space="preserve">legalmente </w:t>
      </w:r>
      <w:r w:rsidRPr="00D751F0">
        <w:rPr>
          <w:rFonts w:ascii="Arial" w:eastAsia="Times New Roman" w:hAnsi="Arial" w:cs="Arial"/>
          <w:bCs/>
          <w:i/>
          <w:iCs/>
          <w:lang w:eastAsia="es-ES"/>
        </w:rPr>
        <w:t xml:space="preserve">competente para conocer y resolver el presente </w:t>
      </w:r>
      <w:r w:rsidR="008A58B7" w:rsidRPr="00D751F0">
        <w:rPr>
          <w:rFonts w:ascii="Arial" w:eastAsia="Times New Roman" w:hAnsi="Arial" w:cs="Arial"/>
          <w:bCs/>
          <w:i/>
          <w:iCs/>
          <w:lang w:eastAsia="es-ES"/>
        </w:rPr>
        <w:t>J</w:t>
      </w:r>
      <w:r w:rsidRPr="00D751F0">
        <w:rPr>
          <w:rFonts w:ascii="Arial" w:eastAsia="Times New Roman" w:hAnsi="Arial" w:cs="Arial"/>
          <w:bCs/>
          <w:i/>
          <w:iCs/>
          <w:lang w:eastAsia="es-ES"/>
        </w:rPr>
        <w:t>uicio</w:t>
      </w:r>
      <w:r w:rsidR="008A58B7" w:rsidRPr="00D751F0">
        <w:rPr>
          <w:rFonts w:ascii="Arial" w:eastAsia="Times New Roman" w:hAnsi="Arial" w:cs="Arial"/>
          <w:bCs/>
          <w:i/>
          <w:iCs/>
          <w:lang w:eastAsia="es-ES"/>
        </w:rPr>
        <w:t xml:space="preserve"> de Nulidad</w:t>
      </w:r>
      <w:r w:rsidRPr="00D751F0">
        <w:rPr>
          <w:rFonts w:ascii="Arial" w:eastAsia="Times New Roman" w:hAnsi="Arial" w:cs="Arial"/>
          <w:bCs/>
          <w:i/>
          <w:iCs/>
          <w:lang w:eastAsia="es-ES"/>
        </w:rPr>
        <w:t xml:space="preserve">.- </w:t>
      </w:r>
      <w:r w:rsidRPr="00D751F0">
        <w:rPr>
          <w:rFonts w:ascii="Arial" w:eastAsia="Times New Roman" w:hAnsi="Arial" w:cs="Arial"/>
          <w:b/>
          <w:bCs/>
          <w:i/>
          <w:iCs/>
          <w:lang w:eastAsia="es-ES"/>
        </w:rPr>
        <w:t xml:space="preserve">SEGUNDO. </w:t>
      </w:r>
      <w:r w:rsidR="00881862" w:rsidRPr="00D751F0">
        <w:rPr>
          <w:rFonts w:ascii="Arial" w:eastAsia="Times New Roman" w:hAnsi="Arial" w:cs="Arial"/>
          <w:bCs/>
          <w:i/>
          <w:iCs/>
          <w:lang w:eastAsia="es-ES"/>
        </w:rPr>
        <w:t>No se actualizó causal de improcedente alguna, por lo que NO SE SOBRESEE EL JUICO, en términos del considerando QUINTO de esta resolución</w:t>
      </w:r>
      <w:r w:rsidR="00C873BB" w:rsidRPr="00D751F0">
        <w:rPr>
          <w:rFonts w:ascii="Arial" w:eastAsia="Times New Roman" w:hAnsi="Arial" w:cs="Arial"/>
          <w:bCs/>
          <w:i/>
          <w:iCs/>
          <w:lang w:eastAsia="es-ES"/>
        </w:rPr>
        <w:t>.</w:t>
      </w:r>
      <w:r w:rsidRPr="00D751F0">
        <w:rPr>
          <w:rFonts w:ascii="Arial" w:eastAsia="Times New Roman" w:hAnsi="Arial" w:cs="Arial"/>
          <w:bCs/>
          <w:i/>
          <w:iCs/>
          <w:lang w:eastAsia="es-ES"/>
        </w:rPr>
        <w:t>- - - - - - - - - - - - - -</w:t>
      </w:r>
      <w:r w:rsidR="00D751F0">
        <w:rPr>
          <w:rFonts w:ascii="Arial" w:eastAsia="Times New Roman" w:hAnsi="Arial" w:cs="Arial"/>
          <w:bCs/>
          <w:i/>
          <w:iCs/>
          <w:lang w:eastAsia="es-ES"/>
        </w:rPr>
        <w:t xml:space="preserve"> - - - - - - - - - - </w:t>
      </w:r>
      <w:r w:rsidRPr="00D751F0">
        <w:rPr>
          <w:rFonts w:ascii="Arial" w:eastAsia="Times New Roman" w:hAnsi="Arial" w:cs="Arial"/>
          <w:bCs/>
          <w:i/>
          <w:iCs/>
          <w:lang w:eastAsia="es-ES"/>
        </w:rPr>
        <w:t xml:space="preserve"> </w:t>
      </w:r>
      <w:r w:rsidR="00881862" w:rsidRPr="00D751F0">
        <w:rPr>
          <w:rFonts w:ascii="Arial" w:eastAsia="Times New Roman" w:hAnsi="Arial" w:cs="Arial"/>
          <w:b/>
          <w:bCs/>
          <w:i/>
          <w:iCs/>
          <w:lang w:eastAsia="es-ES"/>
        </w:rPr>
        <w:t xml:space="preserve">TERCERO. </w:t>
      </w:r>
      <w:r w:rsidR="00881862" w:rsidRPr="00D751F0">
        <w:rPr>
          <w:rFonts w:ascii="Arial" w:eastAsia="Times New Roman" w:hAnsi="Arial" w:cs="Arial"/>
          <w:bCs/>
          <w:i/>
          <w:iCs/>
          <w:lang w:eastAsia="es-ES"/>
        </w:rPr>
        <w:t xml:space="preserve">Se declara la </w:t>
      </w:r>
      <w:r w:rsidR="00881862" w:rsidRPr="00D751F0">
        <w:rPr>
          <w:rFonts w:ascii="Arial" w:eastAsia="Times New Roman" w:hAnsi="Arial" w:cs="Arial"/>
          <w:b/>
          <w:bCs/>
          <w:i/>
          <w:iCs/>
          <w:lang w:eastAsia="es-ES"/>
        </w:rPr>
        <w:t xml:space="preserve">NULIDAD </w:t>
      </w:r>
      <w:r w:rsidR="00881862" w:rsidRPr="00D751F0">
        <w:rPr>
          <w:rFonts w:ascii="Arial" w:eastAsia="Times New Roman" w:hAnsi="Arial" w:cs="Arial"/>
          <w:bCs/>
          <w:i/>
          <w:iCs/>
          <w:lang w:eastAsia="es-ES"/>
        </w:rPr>
        <w:t xml:space="preserve">del acta de infracción de </w:t>
      </w:r>
      <w:r w:rsidR="00D751F0" w:rsidRPr="00D751F0">
        <w:rPr>
          <w:rFonts w:ascii="Arial" w:eastAsia="Times New Roman" w:hAnsi="Arial" w:cs="Arial"/>
          <w:bCs/>
          <w:i/>
          <w:iCs/>
          <w:lang w:eastAsia="es-ES"/>
        </w:rPr>
        <w:t>tránsito</w:t>
      </w:r>
      <w:r w:rsidR="00881862" w:rsidRPr="00D751F0">
        <w:rPr>
          <w:rFonts w:ascii="Arial" w:eastAsia="Times New Roman" w:hAnsi="Arial" w:cs="Arial"/>
          <w:bCs/>
          <w:i/>
          <w:iCs/>
          <w:lang w:eastAsia="es-ES"/>
        </w:rPr>
        <w:t xml:space="preserve"> con número de folio </w:t>
      </w:r>
      <w:r w:rsidR="00161F35">
        <w:rPr>
          <w:rFonts w:ascii="Arial" w:hAnsi="Arial" w:cs="Arial"/>
          <w:bCs/>
          <w:i/>
          <w:color w:val="000000"/>
        </w:rPr>
        <w:t>**********</w:t>
      </w:r>
      <w:r w:rsidR="00D751F0">
        <w:rPr>
          <w:rFonts w:ascii="Arial" w:eastAsia="Times New Roman" w:hAnsi="Arial" w:cs="Arial"/>
          <w:bCs/>
          <w:i/>
          <w:iCs/>
          <w:lang w:eastAsia="es-ES"/>
        </w:rPr>
        <w:t>,</w:t>
      </w:r>
      <w:r w:rsidR="00881862" w:rsidRPr="00D751F0">
        <w:rPr>
          <w:rFonts w:ascii="Arial" w:eastAsia="Times New Roman" w:hAnsi="Arial" w:cs="Arial"/>
          <w:bCs/>
          <w:i/>
          <w:iCs/>
          <w:lang w:eastAsia="es-ES"/>
        </w:rPr>
        <w:t xml:space="preserve"> de trece de junio de dos mil dieciocho (13/06/2018), relacionada al vehículo particular con </w:t>
      </w:r>
      <w:r w:rsidR="00C21982" w:rsidRPr="00D751F0">
        <w:rPr>
          <w:rFonts w:ascii="Arial" w:eastAsia="Times New Roman" w:hAnsi="Arial" w:cs="Arial"/>
          <w:bCs/>
          <w:i/>
          <w:iCs/>
          <w:lang w:eastAsia="es-ES"/>
        </w:rPr>
        <w:lastRenderedPageBreak/>
        <w:t>plac</w:t>
      </w:r>
      <w:r w:rsidR="00D751F0">
        <w:rPr>
          <w:rFonts w:ascii="Arial" w:eastAsia="Times New Roman" w:hAnsi="Arial" w:cs="Arial"/>
          <w:bCs/>
          <w:i/>
          <w:iCs/>
          <w:lang w:eastAsia="es-ES"/>
        </w:rPr>
        <w:t xml:space="preserve">as </w:t>
      </w:r>
      <w:r w:rsidR="00161F35">
        <w:rPr>
          <w:rFonts w:ascii="Arial" w:hAnsi="Arial" w:cs="Arial"/>
          <w:bCs/>
          <w:i/>
          <w:color w:val="000000"/>
        </w:rPr>
        <w:t xml:space="preserve">********** </w:t>
      </w:r>
      <w:r w:rsidR="00D751F0">
        <w:rPr>
          <w:rFonts w:ascii="Arial" w:eastAsia="Times New Roman" w:hAnsi="Arial" w:cs="Arial"/>
          <w:bCs/>
          <w:i/>
          <w:iCs/>
          <w:lang w:eastAsia="es-ES"/>
        </w:rPr>
        <w:t xml:space="preserve">del Estado de Oaxaca, emitida por el C. JACINTO JAVIER LÓPEZ, Policía Vial con número estadístico 271 de la Comisaría de Vialidad del Municipio de Oaxaca de Juárez; ordenándose a la autoridad demandada, realice las gestiones necesarias para la cancelación del acta de infracción en el sistema electrónico con que cuenta la Comisaria de Vialidad a la que pertenece, además se ordena la devolución a la actora de la cantidad que erogó por concepto de arrastre de vehículo, servicio que fue llevado a cabo por una empresa particular; y a la demandada Recaudador de Rentas del Municipio en cita, se ordena la devolución de la cantidad que la actora erogó para obtener al(sic) devolución de su vehículo; lo anterior en términos precisados en el considerando SEXTO de esta resolución.- - - - - - - - - - - - - - - - - - - </w:t>
      </w:r>
      <w:r w:rsidR="00D751F0">
        <w:rPr>
          <w:rFonts w:ascii="Arial" w:eastAsia="Times New Roman" w:hAnsi="Arial" w:cs="Arial"/>
          <w:b/>
          <w:bCs/>
          <w:i/>
          <w:iCs/>
          <w:lang w:eastAsia="es-ES"/>
        </w:rPr>
        <w:t xml:space="preserve">CUARTO.- </w:t>
      </w:r>
      <w:r w:rsidR="00D751F0">
        <w:rPr>
          <w:rFonts w:ascii="Arial" w:eastAsia="Times New Roman" w:hAnsi="Arial" w:cs="Arial"/>
          <w:bCs/>
          <w:i/>
          <w:iCs/>
          <w:lang w:eastAsia="es-ES"/>
        </w:rPr>
        <w:t xml:space="preserve">Conforme a lo dispuesto en el artículo 172 fracción I y 173 fracciones I y II, de la Ley de Procedimiento y Justicia Administrativa para el Estado de Oaxaca, </w:t>
      </w:r>
      <w:r w:rsidR="00D751F0">
        <w:rPr>
          <w:rFonts w:ascii="Arial" w:eastAsia="Times New Roman" w:hAnsi="Arial" w:cs="Arial"/>
          <w:b/>
          <w:bCs/>
          <w:i/>
          <w:iCs/>
          <w:lang w:eastAsia="es-ES"/>
        </w:rPr>
        <w:t>NOTIFÍQUESE PERSONALMEMTE A LA PARTE ACTORA Y POR OFICIO A LAS AUTORIDADES DEMAN</w:t>
      </w:r>
      <w:r w:rsidR="00E57953">
        <w:rPr>
          <w:rFonts w:ascii="Arial" w:eastAsia="Times New Roman" w:hAnsi="Arial" w:cs="Arial"/>
          <w:b/>
          <w:bCs/>
          <w:i/>
          <w:iCs/>
          <w:lang w:eastAsia="es-ES"/>
        </w:rPr>
        <w:t>DADAS. CÚMPLASE</w:t>
      </w:r>
      <w:r w:rsidR="00E57953">
        <w:rPr>
          <w:rFonts w:ascii="Arial" w:eastAsia="Times New Roman" w:hAnsi="Arial" w:cs="Arial"/>
          <w:bCs/>
          <w:i/>
          <w:iCs/>
          <w:lang w:eastAsia="es-ES"/>
        </w:rPr>
        <w:t xml:space="preserve">.- - - - - - - - - - </w:t>
      </w:r>
      <w:r w:rsidR="00D751F0">
        <w:rPr>
          <w:rFonts w:ascii="Arial" w:eastAsia="Times New Roman" w:hAnsi="Arial" w:cs="Arial"/>
          <w:bCs/>
          <w:i/>
          <w:iCs/>
          <w:lang w:eastAsia="es-ES"/>
        </w:rPr>
        <w:t xml:space="preserve"> </w:t>
      </w:r>
    </w:p>
    <w:p w:rsidR="008F7B62" w:rsidRDefault="008F7B62" w:rsidP="0003593A">
      <w:pPr>
        <w:widowControl w:val="0"/>
        <w:tabs>
          <w:tab w:val="left" w:pos="7938"/>
          <w:tab w:val="left" w:pos="8222"/>
        </w:tabs>
        <w:spacing w:after="0" w:line="360" w:lineRule="auto"/>
        <w:ind w:right="49"/>
        <w:jc w:val="center"/>
        <w:rPr>
          <w:rFonts w:ascii="Arial" w:eastAsia="Calibri" w:hAnsi="Arial" w:cs="Arial"/>
          <w:b/>
          <w:bCs/>
          <w:sz w:val="26"/>
          <w:szCs w:val="26"/>
        </w:rPr>
      </w:pPr>
    </w:p>
    <w:p w:rsidR="0003593A" w:rsidRDefault="001D20BF" w:rsidP="0003593A">
      <w:pPr>
        <w:widowControl w:val="0"/>
        <w:tabs>
          <w:tab w:val="left" w:pos="7938"/>
          <w:tab w:val="left" w:pos="8222"/>
        </w:tabs>
        <w:spacing w:after="0" w:line="360" w:lineRule="auto"/>
        <w:ind w:right="49"/>
        <w:jc w:val="center"/>
        <w:rPr>
          <w:rFonts w:ascii="Arial" w:eastAsia="Calibri" w:hAnsi="Arial" w:cs="Arial"/>
          <w:b/>
          <w:bCs/>
          <w:sz w:val="26"/>
          <w:szCs w:val="26"/>
        </w:rPr>
      </w:pPr>
      <w:r w:rsidRPr="00E57953">
        <w:rPr>
          <w:rFonts w:ascii="Arial" w:eastAsia="Calibri" w:hAnsi="Arial" w:cs="Arial"/>
          <w:b/>
          <w:bCs/>
          <w:sz w:val="26"/>
          <w:szCs w:val="26"/>
        </w:rPr>
        <w:t>C O N S I D E R A N D O</w:t>
      </w:r>
      <w:r w:rsidR="0003593A">
        <w:rPr>
          <w:rFonts w:ascii="Arial" w:eastAsia="Calibri" w:hAnsi="Arial" w:cs="Arial"/>
          <w:b/>
          <w:bCs/>
          <w:sz w:val="26"/>
          <w:szCs w:val="26"/>
        </w:rPr>
        <w:t>:</w:t>
      </w:r>
    </w:p>
    <w:p w:rsidR="0003593A" w:rsidRDefault="00E57953" w:rsidP="0003593A">
      <w:pPr>
        <w:widowControl w:val="0"/>
        <w:tabs>
          <w:tab w:val="left" w:pos="7938"/>
          <w:tab w:val="left" w:pos="8222"/>
        </w:tabs>
        <w:spacing w:after="0" w:line="360" w:lineRule="auto"/>
        <w:ind w:right="49" w:firstLine="567"/>
        <w:jc w:val="both"/>
        <w:rPr>
          <w:rFonts w:ascii="Arial" w:hAnsi="Arial" w:cs="Arial"/>
          <w:bCs/>
          <w:iCs/>
          <w:sz w:val="26"/>
          <w:szCs w:val="26"/>
        </w:rPr>
      </w:pPr>
      <w:r>
        <w:rPr>
          <w:rFonts w:ascii="Arial" w:eastAsia="Calibri" w:hAnsi="Arial" w:cs="Arial"/>
          <w:b/>
          <w:bCs/>
          <w:sz w:val="26"/>
          <w:szCs w:val="26"/>
        </w:rPr>
        <w:t xml:space="preserve"> </w:t>
      </w:r>
      <w:r w:rsidR="001D20BF">
        <w:rPr>
          <w:rFonts w:ascii="Arial" w:hAnsi="Arial" w:cs="Arial"/>
          <w:b/>
          <w:bCs/>
          <w:iCs/>
          <w:sz w:val="26"/>
          <w:szCs w:val="26"/>
          <w:lang w:eastAsia="es-ES"/>
        </w:rPr>
        <w:t>PRIMERO.</w:t>
      </w:r>
      <w:r w:rsidR="001D20BF">
        <w:rPr>
          <w:rFonts w:ascii="Arial" w:hAnsi="Arial" w:cs="Arial"/>
          <w:b/>
          <w:bCs/>
          <w:iCs/>
          <w:sz w:val="26"/>
          <w:szCs w:val="26"/>
        </w:rPr>
        <w:t xml:space="preserve"> </w:t>
      </w:r>
      <w:r w:rsidRPr="00CA6DA9">
        <w:rPr>
          <w:rFonts w:ascii="Arial" w:hAnsi="Arial" w:cs="Arial"/>
          <w:bCs/>
          <w:iCs/>
          <w:sz w:val="26"/>
          <w:szCs w:val="26"/>
        </w:rPr>
        <w:t xml:space="preserve">Esta Sala Superior es competente para </w:t>
      </w:r>
      <w:bookmarkStart w:id="0" w:name="_GoBack"/>
      <w:bookmarkEnd w:id="0"/>
      <w:r w:rsidRPr="00CA6DA9">
        <w:rPr>
          <w:rFonts w:ascii="Arial" w:hAnsi="Arial" w:cs="Arial"/>
          <w:bCs/>
          <w:iCs/>
          <w:sz w:val="26"/>
          <w:szCs w:val="26"/>
        </w:rPr>
        <w:t xml:space="preserve">conocer del presente asunto, </w:t>
      </w:r>
      <w:r w:rsidRPr="00CA6DA9">
        <w:rPr>
          <w:rFonts w:ascii="Arial" w:hAnsi="Arial" w:cs="Arial"/>
          <w:bCs/>
          <w:iCs/>
          <w:sz w:val="26"/>
          <w:szCs w:val="26"/>
          <w:lang w:eastAsia="es-ES"/>
        </w:rPr>
        <w:t xml:space="preserve">de conformidad con lo dispuesto por los artículos 114 </w:t>
      </w:r>
      <w:proofErr w:type="spellStart"/>
      <w:r w:rsidR="006403F1" w:rsidRPr="00CA6DA9">
        <w:rPr>
          <w:rFonts w:ascii="Arial" w:hAnsi="Arial" w:cs="Arial"/>
          <w:bCs/>
          <w:iCs/>
          <w:sz w:val="26"/>
          <w:szCs w:val="26"/>
          <w:lang w:eastAsia="es-ES"/>
        </w:rPr>
        <w:t>Quáter</w:t>
      </w:r>
      <w:proofErr w:type="spellEnd"/>
      <w:r w:rsidRPr="00CA6DA9">
        <w:rPr>
          <w:rFonts w:ascii="Arial" w:hAnsi="Arial" w:cs="Arial"/>
          <w:bCs/>
          <w:iCs/>
          <w:sz w:val="26"/>
          <w:szCs w:val="26"/>
          <w:lang w:eastAsia="es-ES"/>
        </w:rPr>
        <w:t>, Párrafo Tercero de la Constitución Política del Estado Libre y Soberano de Oaxaca</w:t>
      </w:r>
      <w:r w:rsidR="00805D21">
        <w:rPr>
          <w:rFonts w:ascii="Arial" w:hAnsi="Arial" w:cs="Arial"/>
          <w:bCs/>
          <w:iCs/>
          <w:sz w:val="26"/>
          <w:szCs w:val="26"/>
          <w:lang w:eastAsia="es-ES"/>
        </w:rPr>
        <w:t xml:space="preserve">, los artículos  23, 24 fracción I, 25 fracción I, 26 y 27 de la Ley Orgánica del Tribunal de </w:t>
      </w:r>
      <w:r w:rsidR="00805D21" w:rsidRPr="00624207">
        <w:rPr>
          <w:rFonts w:ascii="Arial" w:hAnsi="Arial" w:cs="Arial"/>
          <w:bCs/>
          <w:iCs/>
          <w:sz w:val="26"/>
          <w:szCs w:val="26"/>
        </w:rPr>
        <w:t>Ju</w:t>
      </w:r>
      <w:r w:rsidR="00805D21">
        <w:rPr>
          <w:rFonts w:ascii="Arial" w:hAnsi="Arial" w:cs="Arial"/>
          <w:bCs/>
          <w:iCs/>
          <w:sz w:val="26"/>
          <w:szCs w:val="26"/>
        </w:rPr>
        <w:t>sticia Administrativa de</w:t>
      </w:r>
      <w:r w:rsidR="00805D21" w:rsidRPr="00624207">
        <w:rPr>
          <w:rFonts w:ascii="Arial" w:hAnsi="Arial" w:cs="Arial"/>
          <w:bCs/>
          <w:iCs/>
          <w:sz w:val="26"/>
          <w:szCs w:val="26"/>
        </w:rPr>
        <w:t>l Estado de Oaxaca</w:t>
      </w:r>
      <w:r w:rsidR="00805D21">
        <w:rPr>
          <w:rFonts w:ascii="Arial" w:hAnsi="Arial" w:cs="Arial"/>
          <w:bCs/>
          <w:iCs/>
          <w:sz w:val="26"/>
          <w:szCs w:val="26"/>
        </w:rPr>
        <w:t xml:space="preserve">, publicada en el Periódico Oficial del Estado </w:t>
      </w:r>
      <w:r w:rsidR="00805D21" w:rsidRPr="00624207">
        <w:rPr>
          <w:rFonts w:ascii="Arial" w:hAnsi="Arial" w:cs="Arial"/>
          <w:bCs/>
          <w:iCs/>
          <w:sz w:val="26"/>
          <w:szCs w:val="26"/>
        </w:rPr>
        <w:t>de Oaxaca</w:t>
      </w:r>
      <w:r w:rsidR="00805D21">
        <w:rPr>
          <w:rFonts w:ascii="Arial" w:hAnsi="Arial" w:cs="Arial"/>
          <w:bCs/>
          <w:iCs/>
          <w:sz w:val="26"/>
          <w:szCs w:val="26"/>
        </w:rPr>
        <w:t xml:space="preserve"> el siete de noviembre de dos mil diecinueve</w:t>
      </w:r>
      <w:r w:rsidRPr="00CA6DA9">
        <w:rPr>
          <w:rFonts w:ascii="Arial" w:hAnsi="Arial" w:cs="Arial"/>
          <w:bCs/>
          <w:iCs/>
          <w:sz w:val="26"/>
          <w:szCs w:val="26"/>
          <w:lang w:eastAsia="es-ES"/>
        </w:rPr>
        <w:t xml:space="preserve"> y los artículos 1, 118, 119, 120, 123 segundo párrafo, 125, 130 fracción I, 131, 231, 236 fracción VII y 238 de la Ley de Procedimientos y Justicia Administrativa para el Estado de Oaxaca,  dado que se trata de </w:t>
      </w:r>
      <w:r>
        <w:rPr>
          <w:rFonts w:ascii="Arial" w:hAnsi="Arial" w:cs="Arial"/>
          <w:bCs/>
          <w:iCs/>
          <w:sz w:val="26"/>
          <w:szCs w:val="26"/>
          <w:lang w:eastAsia="es-ES"/>
        </w:rPr>
        <w:t>la</w:t>
      </w:r>
      <w:r w:rsidRPr="00CA6DA9">
        <w:rPr>
          <w:rFonts w:ascii="Arial" w:hAnsi="Arial" w:cs="Arial"/>
          <w:bCs/>
          <w:iCs/>
          <w:sz w:val="26"/>
          <w:szCs w:val="26"/>
          <w:lang w:eastAsia="es-ES"/>
        </w:rPr>
        <w:t xml:space="preserve"> sentencia de </w:t>
      </w:r>
      <w:r>
        <w:rPr>
          <w:rFonts w:ascii="Arial" w:hAnsi="Arial" w:cs="Arial"/>
          <w:bCs/>
          <w:iCs/>
          <w:sz w:val="26"/>
          <w:szCs w:val="26"/>
          <w:lang w:eastAsia="es-ES"/>
        </w:rPr>
        <w:t>trece de febrero de dos mil diecinueve,</w:t>
      </w:r>
      <w:r w:rsidRPr="00CA6DA9">
        <w:rPr>
          <w:rFonts w:ascii="Arial" w:hAnsi="Arial" w:cs="Arial"/>
          <w:bCs/>
          <w:iCs/>
          <w:sz w:val="26"/>
          <w:szCs w:val="26"/>
          <w:lang w:eastAsia="es-ES"/>
        </w:rPr>
        <w:t xml:space="preserve"> dictada por la </w:t>
      </w:r>
      <w:r w:rsidR="006403F1">
        <w:rPr>
          <w:rFonts w:ascii="Arial" w:hAnsi="Arial" w:cs="Arial"/>
          <w:bCs/>
          <w:iCs/>
          <w:sz w:val="26"/>
          <w:szCs w:val="26"/>
          <w:lang w:eastAsia="es-ES"/>
        </w:rPr>
        <w:t xml:space="preserve">Magistrada de la </w:t>
      </w:r>
      <w:r>
        <w:rPr>
          <w:rFonts w:ascii="Arial" w:hAnsi="Arial" w:cs="Arial"/>
          <w:bCs/>
          <w:iCs/>
          <w:sz w:val="26"/>
          <w:szCs w:val="26"/>
          <w:lang w:eastAsia="es-ES"/>
        </w:rPr>
        <w:t>Séptima</w:t>
      </w:r>
      <w:r w:rsidRPr="00CA6DA9">
        <w:rPr>
          <w:rFonts w:ascii="Arial" w:hAnsi="Arial" w:cs="Arial"/>
          <w:bCs/>
          <w:iCs/>
          <w:sz w:val="26"/>
          <w:szCs w:val="26"/>
          <w:lang w:eastAsia="es-ES"/>
        </w:rPr>
        <w:t xml:space="preserve"> Sala de Primera Instancia dentro del juicio </w:t>
      </w:r>
      <w:r>
        <w:rPr>
          <w:rFonts w:ascii="Arial" w:hAnsi="Arial" w:cs="Arial"/>
          <w:b/>
          <w:bCs/>
          <w:iCs/>
          <w:sz w:val="26"/>
          <w:szCs w:val="26"/>
          <w:lang w:eastAsia="es-ES"/>
        </w:rPr>
        <w:t>0065</w:t>
      </w:r>
      <w:r w:rsidRPr="00CA6DA9">
        <w:rPr>
          <w:rFonts w:ascii="Arial" w:hAnsi="Arial" w:cs="Arial"/>
          <w:b/>
          <w:bCs/>
          <w:iCs/>
          <w:sz w:val="26"/>
          <w:szCs w:val="26"/>
          <w:lang w:eastAsia="es-ES"/>
        </w:rPr>
        <w:t>/2018</w:t>
      </w:r>
      <w:r w:rsidR="0003593A">
        <w:rPr>
          <w:rFonts w:ascii="Arial" w:hAnsi="Arial" w:cs="Arial"/>
          <w:bCs/>
          <w:iCs/>
          <w:sz w:val="26"/>
          <w:szCs w:val="26"/>
        </w:rPr>
        <w:t>.</w:t>
      </w:r>
    </w:p>
    <w:p w:rsidR="00E57953" w:rsidRDefault="0069577F" w:rsidP="0003593A">
      <w:pPr>
        <w:widowControl w:val="0"/>
        <w:tabs>
          <w:tab w:val="left" w:pos="7938"/>
          <w:tab w:val="left" w:pos="8222"/>
        </w:tabs>
        <w:spacing w:after="0" w:line="360" w:lineRule="auto"/>
        <w:ind w:right="49" w:firstLine="567"/>
        <w:jc w:val="both"/>
        <w:rPr>
          <w:rFonts w:ascii="Arial" w:hAnsi="Arial" w:cs="Arial"/>
          <w:bCs/>
          <w:color w:val="000000"/>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E57953">
        <w:rPr>
          <w:rFonts w:ascii="Arial" w:hAnsi="Arial" w:cs="Arial"/>
          <w:bCs/>
          <w:sz w:val="26"/>
          <w:szCs w:val="26"/>
        </w:rPr>
        <w:t>Los agravios hechos valer se encuentran expuestos</w:t>
      </w:r>
      <w:r w:rsidR="00E57953" w:rsidRPr="008A5628">
        <w:rPr>
          <w:rFonts w:ascii="Arial" w:hAnsi="Arial" w:cs="Arial"/>
          <w:bCs/>
          <w:sz w:val="26"/>
          <w:szCs w:val="26"/>
        </w:rPr>
        <w:t xml:space="preserve"> en el escrito de</w:t>
      </w:r>
      <w:r w:rsidR="006403F1">
        <w:rPr>
          <w:rFonts w:ascii="Arial" w:hAnsi="Arial" w:cs="Arial"/>
          <w:bCs/>
          <w:sz w:val="26"/>
          <w:szCs w:val="26"/>
        </w:rPr>
        <w:t xml:space="preserve"> </w:t>
      </w:r>
      <w:r w:rsidR="00E57953" w:rsidRPr="008A5628">
        <w:rPr>
          <w:rFonts w:ascii="Arial" w:hAnsi="Arial" w:cs="Arial"/>
          <w:bCs/>
          <w:sz w:val="26"/>
          <w:szCs w:val="26"/>
        </w:rPr>
        <w:t>l</w:t>
      </w:r>
      <w:r w:rsidR="006403F1">
        <w:rPr>
          <w:rFonts w:ascii="Arial" w:hAnsi="Arial" w:cs="Arial"/>
          <w:bCs/>
          <w:sz w:val="26"/>
          <w:szCs w:val="26"/>
        </w:rPr>
        <w:t>a</w:t>
      </w:r>
      <w:r w:rsidR="00E57953" w:rsidRPr="008A5628">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00E57953">
        <w:rPr>
          <w:rFonts w:ascii="Arial" w:hAnsi="Arial" w:cs="Arial"/>
          <w:sz w:val="26"/>
          <w:szCs w:val="26"/>
        </w:rPr>
        <w:t xml:space="preserve">. </w:t>
      </w:r>
      <w:r w:rsidR="00E57953" w:rsidRPr="00D63A6F">
        <w:rPr>
          <w:rFonts w:ascii="Arial" w:hAnsi="Arial" w:cs="Arial"/>
          <w:bCs/>
          <w:color w:val="000000"/>
          <w:sz w:val="26"/>
          <w:szCs w:val="26"/>
        </w:rPr>
        <w:t>Se invoca en apoyo, la Tesis, con número de registro</w:t>
      </w:r>
      <w:r w:rsidR="00E57953">
        <w:rPr>
          <w:rFonts w:ascii="Arial" w:hAnsi="Arial" w:cs="Arial"/>
          <w:bCs/>
          <w:color w:val="000000"/>
          <w:sz w:val="26"/>
          <w:szCs w:val="26"/>
        </w:rPr>
        <w:t xml:space="preserve"> 254280, publicada en la Gaceta </w:t>
      </w:r>
      <w:r w:rsidR="00E57953" w:rsidRPr="00D63A6F">
        <w:rPr>
          <w:rFonts w:ascii="Arial" w:hAnsi="Arial" w:cs="Arial"/>
          <w:bCs/>
          <w:color w:val="000000"/>
          <w:sz w:val="26"/>
          <w:szCs w:val="26"/>
        </w:rPr>
        <w:t xml:space="preserve">del Semanario Judicial de la Federación, Volumen 81, Sexta Parte, Séptima  Época, pagina 23, bajo el rubro y texto siguiente: </w:t>
      </w:r>
    </w:p>
    <w:p w:rsidR="00E57953" w:rsidRPr="00E80E37" w:rsidRDefault="00E57953" w:rsidP="00E57953">
      <w:pPr>
        <w:widowControl w:val="0"/>
        <w:tabs>
          <w:tab w:val="left" w:pos="7938"/>
          <w:tab w:val="left" w:pos="8222"/>
        </w:tabs>
        <w:spacing w:after="0" w:line="360" w:lineRule="auto"/>
        <w:ind w:right="49"/>
        <w:jc w:val="both"/>
        <w:rPr>
          <w:rFonts w:ascii="Arial" w:eastAsia="Times New Roman" w:hAnsi="Arial" w:cs="Arial"/>
          <w:bCs/>
          <w:iCs/>
          <w:lang w:eastAsia="es-ES"/>
        </w:rPr>
      </w:pPr>
    </w:p>
    <w:p w:rsidR="00E57953" w:rsidRDefault="00E57953" w:rsidP="00E57953">
      <w:pPr>
        <w:spacing w:after="0"/>
        <w:ind w:left="993" w:right="616"/>
        <w:jc w:val="both"/>
        <w:rPr>
          <w:rFonts w:ascii="Arial" w:hAnsi="Arial" w:cs="Arial"/>
          <w:bCs/>
          <w:color w:val="000000"/>
        </w:rPr>
      </w:pPr>
      <w:r w:rsidRPr="00B369F4">
        <w:rPr>
          <w:rFonts w:ascii="Arial" w:hAnsi="Arial" w:cs="Arial"/>
          <w:b/>
          <w:bCs/>
          <w:i/>
          <w:color w:val="000000"/>
        </w:rPr>
        <w:t>“CONCEPTOS DE VIOLACIÓN. NO ES OBLIGATORIO TRANSCRIBIRLOS EN LA SENTENCIA</w:t>
      </w:r>
      <w:r w:rsidRPr="00B369F4">
        <w:rPr>
          <w:rFonts w:ascii="Arial" w:hAnsi="Arial" w:cs="Arial"/>
          <w:bCs/>
          <w:i/>
          <w:color w:val="000000"/>
        </w:rPr>
        <w:t xml:space="preserve">. Aun cuando sea verdad que el juzgador no transcriba en su integridad los conceptos de </w:t>
      </w:r>
      <w:r w:rsidRPr="00B369F4">
        <w:rPr>
          <w:rFonts w:ascii="Arial" w:hAnsi="Arial" w:cs="Arial"/>
          <w:bCs/>
          <w:i/>
          <w:color w:val="000000"/>
        </w:rPr>
        <w:lastRenderedPageBreak/>
        <w:t xml:space="preserve">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03593A" w:rsidRDefault="0069577F" w:rsidP="0003593A">
      <w:pPr>
        <w:pStyle w:val="NormalWeb"/>
        <w:spacing w:line="360" w:lineRule="auto"/>
        <w:ind w:firstLine="567"/>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775CC4" w:rsidRPr="00D75DC7">
        <w:rPr>
          <w:rFonts w:ascii="Arial" w:eastAsia="Calibri" w:hAnsi="Arial" w:cs="Arial"/>
          <w:bCs/>
          <w:sz w:val="26"/>
          <w:szCs w:val="26"/>
        </w:rPr>
        <w:t>E</w:t>
      </w:r>
      <w:r w:rsidR="00775CC4">
        <w:rPr>
          <w:rFonts w:ascii="Arial" w:eastAsia="Calibri" w:hAnsi="Arial" w:cs="Arial"/>
          <w:bCs/>
          <w:sz w:val="26"/>
          <w:szCs w:val="26"/>
        </w:rPr>
        <w:t>l artículo 236</w:t>
      </w:r>
      <w:r w:rsidR="00775CC4" w:rsidRPr="00DC6CDC">
        <w:rPr>
          <w:rFonts w:ascii="Arial" w:eastAsia="Calibri" w:hAnsi="Arial" w:cs="Arial"/>
          <w:bCs/>
          <w:sz w:val="26"/>
          <w:szCs w:val="26"/>
        </w:rPr>
        <w:t xml:space="preserve"> </w:t>
      </w:r>
      <w:r w:rsidR="00775CC4">
        <w:rPr>
          <w:rFonts w:ascii="Arial" w:eastAsia="Calibri" w:hAnsi="Arial" w:cs="Arial"/>
          <w:bCs/>
          <w:sz w:val="26"/>
          <w:szCs w:val="26"/>
        </w:rPr>
        <w:t>de la Ley de Procedimiento y Justicia Administrativa para el Estado de Oaxaca, establece que los acuerdos y resoluciones de la primera instancia, podrán ser impugnadas por las partes; y, de conformidad con lo estatuido por el artículo 163</w:t>
      </w:r>
      <w:r w:rsidR="00775CC4">
        <w:rPr>
          <w:rFonts w:ascii="Arial" w:eastAsia="Calibri" w:hAnsi="Arial" w:cs="Arial"/>
          <w:sz w:val="26"/>
          <w:szCs w:val="26"/>
        </w:rPr>
        <w:t xml:space="preserve"> </w:t>
      </w:r>
      <w:r w:rsidR="00775CC4">
        <w:rPr>
          <w:rFonts w:ascii="Arial" w:eastAsia="Calibri" w:hAnsi="Arial" w:cs="Arial"/>
          <w:bCs/>
          <w:sz w:val="26"/>
          <w:szCs w:val="26"/>
        </w:rPr>
        <w:t>de la Ley de la materia, son partes en el juicio contencioso; el actor, la autoridad de</w:t>
      </w:r>
      <w:r w:rsidR="0003593A">
        <w:rPr>
          <w:rFonts w:ascii="Arial" w:eastAsia="Calibri" w:hAnsi="Arial" w:cs="Arial"/>
          <w:bCs/>
          <w:sz w:val="26"/>
          <w:szCs w:val="26"/>
        </w:rPr>
        <w:t>mandada y el tercero afectado.</w:t>
      </w:r>
    </w:p>
    <w:p w:rsidR="0003593A" w:rsidRDefault="00775CC4" w:rsidP="0003593A">
      <w:pPr>
        <w:pStyle w:val="NormalWeb"/>
        <w:spacing w:line="360" w:lineRule="auto"/>
        <w:ind w:firstLine="567"/>
        <w:jc w:val="both"/>
        <w:rPr>
          <w:rFonts w:ascii="Arial" w:eastAsia="Calibri" w:hAnsi="Arial" w:cs="Arial"/>
          <w:bCs/>
          <w:sz w:val="26"/>
          <w:szCs w:val="26"/>
        </w:rPr>
      </w:pPr>
      <w:r>
        <w:rPr>
          <w:rFonts w:ascii="Arial" w:eastAsia="Calibri" w:hAnsi="Arial" w:cs="Arial"/>
          <w:bCs/>
          <w:sz w:val="26"/>
          <w:szCs w:val="26"/>
        </w:rPr>
        <w:t>Ahora, de</w:t>
      </w:r>
      <w:r w:rsidR="006B4BB8">
        <w:rPr>
          <w:rFonts w:ascii="Arial" w:eastAsia="Calibri" w:hAnsi="Arial" w:cs="Arial"/>
          <w:bCs/>
          <w:sz w:val="26"/>
          <w:szCs w:val="26"/>
        </w:rPr>
        <w:t>l análisis de las</w:t>
      </w:r>
      <w:r>
        <w:rPr>
          <w:rFonts w:ascii="Arial" w:eastAsia="Calibri" w:hAnsi="Arial" w:cs="Arial"/>
          <w:bCs/>
          <w:sz w:val="26"/>
          <w:szCs w:val="26"/>
        </w:rPr>
        <w:t xml:space="preserve"> constancias que integran el expediente de Primera Instancia, a las </w:t>
      </w:r>
      <w:r w:rsidR="006B4BB8">
        <w:rPr>
          <w:rFonts w:ascii="Arial" w:eastAsia="Calibri" w:hAnsi="Arial" w:cs="Arial"/>
          <w:bCs/>
          <w:sz w:val="26"/>
          <w:szCs w:val="26"/>
        </w:rPr>
        <w:t xml:space="preserve">que </w:t>
      </w:r>
      <w:r>
        <w:rPr>
          <w:rFonts w:ascii="Arial" w:hAnsi="Arial" w:cs="Arial"/>
          <w:color w:val="000000"/>
          <w:sz w:val="26"/>
          <w:szCs w:val="26"/>
        </w:rPr>
        <w:t xml:space="preserve">se les otorga pleno valor probatorio conforme lo establece el artículo 203 fracción I de la Ley de Procedimientos y Justicia Administrativa para el Estado de Oaxaca, </w:t>
      </w:r>
      <w:r w:rsidR="006B4BB8">
        <w:rPr>
          <w:rFonts w:ascii="Arial" w:eastAsia="Calibri" w:hAnsi="Arial" w:cs="Arial"/>
          <w:bCs/>
          <w:sz w:val="26"/>
          <w:szCs w:val="26"/>
        </w:rPr>
        <w:t xml:space="preserve">al tratarse de actuaciones judiciales; </w:t>
      </w:r>
      <w:r>
        <w:rPr>
          <w:rFonts w:ascii="Arial" w:eastAsia="Calibri" w:hAnsi="Arial" w:cs="Arial"/>
          <w:bCs/>
          <w:sz w:val="26"/>
          <w:szCs w:val="26"/>
        </w:rPr>
        <w:t xml:space="preserve">se observa que la </w:t>
      </w:r>
      <w:r w:rsidRPr="00736666">
        <w:rPr>
          <w:rFonts w:ascii="Arial" w:hAnsi="Arial" w:cs="Arial"/>
          <w:sz w:val="26"/>
          <w:szCs w:val="26"/>
        </w:rPr>
        <w:t xml:space="preserve">Recaudadora </w:t>
      </w:r>
      <w:r>
        <w:rPr>
          <w:rFonts w:ascii="Arial" w:hAnsi="Arial" w:cs="Arial"/>
          <w:sz w:val="26"/>
          <w:szCs w:val="26"/>
        </w:rPr>
        <w:t>d</w:t>
      </w:r>
      <w:r w:rsidRPr="00736666">
        <w:rPr>
          <w:rFonts w:ascii="Arial" w:hAnsi="Arial" w:cs="Arial"/>
          <w:sz w:val="26"/>
          <w:szCs w:val="26"/>
        </w:rPr>
        <w:t xml:space="preserve">e Rentas </w:t>
      </w:r>
      <w:r>
        <w:rPr>
          <w:rFonts w:ascii="Arial" w:hAnsi="Arial" w:cs="Arial"/>
          <w:sz w:val="26"/>
          <w:szCs w:val="26"/>
        </w:rPr>
        <w:t>de la Coordinación de Finanzas y Administración</w:t>
      </w:r>
      <w:r w:rsidRPr="00736666">
        <w:rPr>
          <w:rFonts w:ascii="Arial" w:hAnsi="Arial" w:cs="Arial"/>
          <w:sz w:val="26"/>
          <w:szCs w:val="26"/>
        </w:rPr>
        <w:t xml:space="preserve"> </w:t>
      </w:r>
      <w:r>
        <w:rPr>
          <w:rFonts w:ascii="Arial" w:hAnsi="Arial" w:cs="Arial"/>
          <w:sz w:val="26"/>
          <w:szCs w:val="26"/>
        </w:rPr>
        <w:t>d</w:t>
      </w:r>
      <w:r w:rsidRPr="00736666">
        <w:rPr>
          <w:rFonts w:ascii="Arial" w:hAnsi="Arial" w:cs="Arial"/>
          <w:sz w:val="26"/>
          <w:szCs w:val="26"/>
        </w:rPr>
        <w:t>e</w:t>
      </w:r>
      <w:r w:rsidR="006B4BB8">
        <w:rPr>
          <w:rFonts w:ascii="Arial" w:hAnsi="Arial" w:cs="Arial"/>
          <w:sz w:val="26"/>
          <w:szCs w:val="26"/>
        </w:rPr>
        <w:t>l Municipio de</w:t>
      </w:r>
      <w:r w:rsidRPr="00736666">
        <w:rPr>
          <w:rFonts w:ascii="Arial" w:hAnsi="Arial" w:cs="Arial"/>
          <w:sz w:val="26"/>
          <w:szCs w:val="26"/>
        </w:rPr>
        <w:t xml:space="preserve"> Oaxaca</w:t>
      </w:r>
      <w:r w:rsidR="006B4BB8">
        <w:rPr>
          <w:rFonts w:ascii="Arial" w:hAnsi="Arial" w:cs="Arial"/>
          <w:sz w:val="26"/>
          <w:szCs w:val="26"/>
        </w:rPr>
        <w:t xml:space="preserve"> de Juárez</w:t>
      </w:r>
      <w:r>
        <w:rPr>
          <w:rFonts w:ascii="Arial" w:eastAsia="Calibri" w:hAnsi="Arial" w:cs="Arial"/>
          <w:bCs/>
          <w:sz w:val="26"/>
          <w:szCs w:val="26"/>
        </w:rPr>
        <w:t>, es autoridad demandada; sin embargo, el acto impugnado y del cual se declaró su nulidad lo constitu</w:t>
      </w:r>
      <w:r w:rsidR="006B4BB8">
        <w:rPr>
          <w:rFonts w:ascii="Arial" w:eastAsia="Calibri" w:hAnsi="Arial" w:cs="Arial"/>
          <w:bCs/>
          <w:sz w:val="26"/>
          <w:szCs w:val="26"/>
        </w:rPr>
        <w:t xml:space="preserve">ye el acta de infracción folio </w:t>
      </w:r>
      <w:r w:rsidR="00161F35">
        <w:rPr>
          <w:rFonts w:ascii="Arial" w:hAnsi="Arial" w:cs="Arial"/>
          <w:bCs/>
          <w:i/>
          <w:color w:val="000000"/>
        </w:rPr>
        <w:t xml:space="preserve">********** </w:t>
      </w:r>
      <w:r>
        <w:rPr>
          <w:rFonts w:ascii="Arial" w:eastAsia="Calibri" w:hAnsi="Arial" w:cs="Arial"/>
          <w:bCs/>
          <w:sz w:val="26"/>
          <w:szCs w:val="26"/>
        </w:rPr>
        <w:t xml:space="preserve">de </w:t>
      </w:r>
      <w:r w:rsidR="006B4BB8">
        <w:rPr>
          <w:rFonts w:ascii="Arial" w:eastAsia="Calibri" w:hAnsi="Arial" w:cs="Arial"/>
          <w:bCs/>
          <w:sz w:val="26"/>
          <w:szCs w:val="26"/>
        </w:rPr>
        <w:t>fecha trece de junio de dos mil dieciocho</w:t>
      </w:r>
      <w:r w:rsidR="0003593A">
        <w:rPr>
          <w:rFonts w:ascii="Arial" w:eastAsia="Calibri" w:hAnsi="Arial" w:cs="Arial"/>
          <w:bCs/>
          <w:sz w:val="26"/>
          <w:szCs w:val="26"/>
        </w:rPr>
        <w:t>.</w:t>
      </w:r>
    </w:p>
    <w:p w:rsidR="0003593A" w:rsidRDefault="00775CC4" w:rsidP="0003593A">
      <w:pPr>
        <w:pStyle w:val="NormalWeb"/>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Acto que fue atribuido a autoridad diversa a la que hoy recurre, como así fue determinado en la sentencia en revisión, al indicar que fue elaborada por </w:t>
      </w:r>
      <w:r w:rsidR="006B4BB8">
        <w:rPr>
          <w:rFonts w:ascii="Arial" w:eastAsia="Calibri" w:hAnsi="Arial" w:cs="Arial"/>
          <w:bCs/>
          <w:sz w:val="26"/>
          <w:szCs w:val="26"/>
        </w:rPr>
        <w:t xml:space="preserve">Jacinto Javier López, </w:t>
      </w:r>
      <w:r>
        <w:rPr>
          <w:rFonts w:ascii="Arial" w:eastAsia="Calibri" w:hAnsi="Arial" w:cs="Arial"/>
          <w:bCs/>
          <w:sz w:val="26"/>
          <w:szCs w:val="26"/>
        </w:rPr>
        <w:t>Policía Vi</w:t>
      </w:r>
      <w:r w:rsidR="006B4BB8">
        <w:rPr>
          <w:rFonts w:ascii="Arial" w:eastAsia="Calibri" w:hAnsi="Arial" w:cs="Arial"/>
          <w:bCs/>
          <w:sz w:val="26"/>
          <w:szCs w:val="26"/>
        </w:rPr>
        <w:t>al con número estadístico PV-271</w:t>
      </w:r>
      <w:r>
        <w:rPr>
          <w:rFonts w:ascii="Arial" w:eastAsia="Calibri" w:hAnsi="Arial" w:cs="Arial"/>
          <w:bCs/>
          <w:sz w:val="26"/>
          <w:szCs w:val="26"/>
        </w:rPr>
        <w:t xml:space="preserve">, </w:t>
      </w:r>
      <w:r w:rsidR="006B4BB8">
        <w:rPr>
          <w:rFonts w:ascii="Arial" w:eastAsia="Calibri" w:hAnsi="Arial" w:cs="Arial"/>
          <w:bCs/>
          <w:sz w:val="26"/>
          <w:szCs w:val="26"/>
        </w:rPr>
        <w:t>de la</w:t>
      </w:r>
      <w:r>
        <w:rPr>
          <w:rFonts w:ascii="Arial" w:eastAsia="Calibri" w:hAnsi="Arial" w:cs="Arial"/>
          <w:bCs/>
          <w:sz w:val="26"/>
          <w:szCs w:val="26"/>
        </w:rPr>
        <w:t xml:space="preserve"> Comisaría de Vialidad </w:t>
      </w:r>
      <w:r w:rsidR="006B4BB8">
        <w:rPr>
          <w:rFonts w:ascii="Arial" w:eastAsia="Calibri" w:hAnsi="Arial" w:cs="Arial"/>
          <w:bCs/>
          <w:sz w:val="26"/>
          <w:szCs w:val="26"/>
        </w:rPr>
        <w:t xml:space="preserve">del Municipio </w:t>
      </w:r>
      <w:r>
        <w:rPr>
          <w:rFonts w:ascii="Arial" w:eastAsia="Calibri" w:hAnsi="Arial" w:cs="Arial"/>
          <w:bCs/>
          <w:sz w:val="26"/>
          <w:szCs w:val="26"/>
        </w:rPr>
        <w:t xml:space="preserve">de Oaxaca de Juárez, Oaxaca; de donde, aun cuando la </w:t>
      </w:r>
      <w:r w:rsidRPr="00736666">
        <w:rPr>
          <w:rFonts w:ascii="Arial" w:hAnsi="Arial" w:cs="Arial"/>
          <w:sz w:val="26"/>
          <w:szCs w:val="26"/>
        </w:rPr>
        <w:t xml:space="preserve">Recaudadora </w:t>
      </w:r>
      <w:r>
        <w:rPr>
          <w:rFonts w:ascii="Arial" w:hAnsi="Arial" w:cs="Arial"/>
          <w:sz w:val="26"/>
          <w:szCs w:val="26"/>
        </w:rPr>
        <w:t>d</w:t>
      </w:r>
      <w:r w:rsidRPr="00736666">
        <w:rPr>
          <w:rFonts w:ascii="Arial" w:hAnsi="Arial" w:cs="Arial"/>
          <w:sz w:val="26"/>
          <w:szCs w:val="26"/>
        </w:rPr>
        <w:t xml:space="preserve">e Rentas </w:t>
      </w:r>
      <w:r>
        <w:rPr>
          <w:rFonts w:ascii="Arial" w:hAnsi="Arial" w:cs="Arial"/>
          <w:sz w:val="26"/>
          <w:szCs w:val="26"/>
        </w:rPr>
        <w:t>de la Coordinación de Finanzas y Administración</w:t>
      </w:r>
      <w:r w:rsidRPr="00736666">
        <w:rPr>
          <w:rFonts w:ascii="Arial" w:hAnsi="Arial" w:cs="Arial"/>
          <w:sz w:val="26"/>
          <w:szCs w:val="26"/>
        </w:rPr>
        <w:t xml:space="preserve"> </w:t>
      </w:r>
      <w:r>
        <w:rPr>
          <w:rFonts w:ascii="Arial" w:hAnsi="Arial" w:cs="Arial"/>
          <w:sz w:val="26"/>
          <w:szCs w:val="26"/>
        </w:rPr>
        <w:t>d</w:t>
      </w:r>
      <w:r w:rsidRPr="00736666">
        <w:rPr>
          <w:rFonts w:ascii="Arial" w:hAnsi="Arial" w:cs="Arial"/>
          <w:sz w:val="26"/>
          <w:szCs w:val="26"/>
        </w:rPr>
        <w:t>e Oaxaca</w:t>
      </w:r>
      <w:r>
        <w:rPr>
          <w:rFonts w:ascii="Arial" w:eastAsia="Calibri" w:hAnsi="Arial" w:cs="Arial"/>
          <w:bCs/>
          <w:sz w:val="26"/>
          <w:szCs w:val="26"/>
        </w:rPr>
        <w:t>, fue autoridad demandada, lo cierto es que la recurente, no cuenta con legitimación para impugnar la determinación de declarar nulo ese acto de autoridad diversa</w:t>
      </w:r>
      <w:r w:rsidR="0003593A">
        <w:rPr>
          <w:rFonts w:ascii="Arial" w:eastAsia="Calibri" w:hAnsi="Arial" w:cs="Arial"/>
          <w:bCs/>
          <w:sz w:val="26"/>
          <w:szCs w:val="26"/>
        </w:rPr>
        <w:t>.</w:t>
      </w:r>
    </w:p>
    <w:p w:rsidR="0003593A" w:rsidRDefault="006B4BB8" w:rsidP="0003593A">
      <w:pPr>
        <w:pStyle w:val="NormalWeb"/>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 </w:t>
      </w:r>
      <w:r w:rsidR="00775CC4">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r w:rsidR="0003593A">
        <w:rPr>
          <w:rFonts w:ascii="Arial" w:eastAsia="Calibri" w:hAnsi="Arial" w:cs="Arial"/>
          <w:bCs/>
          <w:sz w:val="26"/>
          <w:szCs w:val="26"/>
        </w:rPr>
        <w:t>.</w:t>
      </w:r>
    </w:p>
    <w:p w:rsidR="0003593A" w:rsidRDefault="00775CC4" w:rsidP="0003593A">
      <w:pPr>
        <w:pStyle w:val="NormalWeb"/>
        <w:spacing w:line="360" w:lineRule="auto"/>
        <w:ind w:firstLine="567"/>
        <w:jc w:val="both"/>
        <w:rPr>
          <w:rFonts w:ascii="Arial" w:eastAsia="Calibri" w:hAnsi="Arial" w:cs="Arial"/>
          <w:bCs/>
          <w:sz w:val="26"/>
          <w:szCs w:val="26"/>
        </w:rPr>
      </w:pPr>
      <w:r>
        <w:rPr>
          <w:rFonts w:ascii="Arial" w:eastAsia="Calibri" w:hAnsi="Arial" w:cs="Arial"/>
          <w:bCs/>
          <w:sz w:val="26"/>
          <w:szCs w:val="26"/>
        </w:rPr>
        <w:lastRenderedPageBreak/>
        <w:t xml:space="preserve">De tal manera, que si como sucede en la especie, la nulidad decretada fue respecto del acta de infracción levantada por </w:t>
      </w:r>
      <w:r w:rsidR="00B94B84">
        <w:rPr>
          <w:rFonts w:ascii="Arial" w:eastAsia="Calibri" w:hAnsi="Arial" w:cs="Arial"/>
          <w:bCs/>
          <w:sz w:val="26"/>
          <w:szCs w:val="26"/>
        </w:rPr>
        <w:t>Jacinto Javier López, Policía Vial con número estadístico PV-271, de la Comisaría de Vialidad del Municipio de Oaxaca de Juárez, Oaxaca</w:t>
      </w:r>
      <w:r>
        <w:rPr>
          <w:rFonts w:ascii="Arial" w:eastAsia="Calibri" w:hAnsi="Arial" w:cs="Arial"/>
          <w:bCs/>
          <w:sz w:val="26"/>
          <w:szCs w:val="26"/>
        </w:rPr>
        <w:t>, sólo a dicha autoridad corresponde la legitimación para impugnarla en lo atinente a tal declaración de nulidad y sus efectos.</w:t>
      </w:r>
    </w:p>
    <w:p w:rsidR="00775CC4" w:rsidRPr="00B94B84" w:rsidRDefault="00775CC4" w:rsidP="0003593A">
      <w:pPr>
        <w:pStyle w:val="NormalWeb"/>
        <w:spacing w:line="360" w:lineRule="auto"/>
        <w:ind w:firstLine="567"/>
        <w:jc w:val="both"/>
        <w:rPr>
          <w:rFonts w:ascii="Arial" w:eastAsia="Calibri" w:hAnsi="Arial" w:cs="Arial"/>
          <w:bCs/>
          <w:sz w:val="26"/>
          <w:szCs w:val="26"/>
        </w:rPr>
      </w:pPr>
      <w:r>
        <w:rPr>
          <w:rFonts w:ascii="Arial" w:eastAsia="Calibri" w:hAnsi="Arial" w:cs="Arial"/>
          <w:bCs/>
          <w:sz w:val="26"/>
          <w:szCs w:val="26"/>
        </w:rPr>
        <w:t>Al respecto resulta aplicable al caso el criterio emitido por el Octavo Tribunal Colegiado en materia Administrativa del Primer Circuito, novena</w:t>
      </w:r>
      <w:r>
        <w:rPr>
          <w:rFonts w:ascii="Arial" w:hAnsi="Arial"/>
          <w:color w:val="000000"/>
          <w:sz w:val="26"/>
          <w:szCs w:val="26"/>
        </w:rPr>
        <w:t xml:space="preserve"> época, Tomo XXIX, en mayo de 2009, consultable a página 1119, publicadas ambas en la Gaceta del Semanario Judicial de la Federación, cuyo rubro y texto es el siguiente</w:t>
      </w:r>
      <w:r w:rsidR="0003593A">
        <w:rPr>
          <w:rFonts w:ascii="Arial" w:hAnsi="Arial"/>
          <w:color w:val="000000"/>
          <w:sz w:val="26"/>
          <w:szCs w:val="26"/>
        </w:rPr>
        <w:t>:</w:t>
      </w:r>
    </w:p>
    <w:p w:rsidR="00775CC4" w:rsidRPr="00B94B84" w:rsidRDefault="00775CC4" w:rsidP="00775CC4">
      <w:pPr>
        <w:widowControl w:val="0"/>
        <w:autoSpaceDE w:val="0"/>
        <w:autoSpaceDN w:val="0"/>
        <w:adjustRightInd w:val="0"/>
        <w:spacing w:before="240" w:after="0" w:line="360" w:lineRule="auto"/>
        <w:ind w:left="1134" w:right="474"/>
        <w:jc w:val="both"/>
        <w:rPr>
          <w:rFonts w:ascii="Arial" w:eastAsia="Calibri" w:hAnsi="Arial" w:cs="Arial"/>
          <w:bCs/>
        </w:rPr>
      </w:pPr>
      <w:r w:rsidRPr="00B94B84">
        <w:rPr>
          <w:rFonts w:ascii="Arial" w:eastAsia="Calibri" w:hAnsi="Arial" w:cs="Arial"/>
          <w:bCs/>
        </w:rPr>
        <w:t>“</w:t>
      </w:r>
      <w:r w:rsidRPr="00B94B84">
        <w:rPr>
          <w:rFonts w:ascii="Arial" w:eastAsia="Calibri" w:hAnsi="Arial" w:cs="Arial"/>
          <w:b/>
          <w:bCs/>
          <w:i/>
        </w:rPr>
        <w:t>REVISIÓN CONTENCIOSA ADMINISTRATIVA. LA LEGITIMACIÓN PARA INTERPONER DICHO RECURSO NO SÓLO IMPLICA QUE EL PROMOVENTE SEA AUTORIDAD, SINO TAMBIÉN QUE LA SENTENCIA IMPUGNADA LE AGRAVIE</w:t>
      </w:r>
      <w:r w:rsidRPr="00B94B84">
        <w:rPr>
          <w:rFonts w:ascii="Arial" w:eastAsia="Calibri" w:hAnsi="Arial" w:cs="Arial"/>
          <w:bCs/>
          <w:i/>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B94B84">
        <w:rPr>
          <w:rFonts w:ascii="Arial" w:eastAsia="Calibri" w:hAnsi="Arial" w:cs="Arial"/>
          <w:bCs/>
        </w:rPr>
        <w:t>”</w:t>
      </w:r>
      <w:r w:rsidR="0003593A">
        <w:rPr>
          <w:rFonts w:ascii="Arial" w:eastAsia="Calibri" w:hAnsi="Arial" w:cs="Arial"/>
          <w:bCs/>
        </w:rPr>
        <w:t>.</w:t>
      </w:r>
    </w:p>
    <w:p w:rsidR="00775CC4" w:rsidRPr="009632BE" w:rsidRDefault="00775CC4" w:rsidP="0003593A">
      <w:pPr>
        <w:spacing w:before="240" w:line="360" w:lineRule="auto"/>
        <w:ind w:firstLine="567"/>
        <w:jc w:val="both"/>
        <w:rPr>
          <w:rFonts w:ascii="Arial" w:hAnsi="Arial" w:cs="Arial"/>
          <w:sz w:val="26"/>
          <w:szCs w:val="26"/>
        </w:rPr>
      </w:pP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w:t>
      </w:r>
      <w:r w:rsidRPr="009632BE">
        <w:rPr>
          <w:rFonts w:ascii="Arial" w:eastAsia="Calibri" w:hAnsi="Arial" w:cs="Arial"/>
          <w:bCs/>
          <w:sz w:val="26"/>
          <w:szCs w:val="26"/>
        </w:rPr>
        <w:lastRenderedPageBreak/>
        <w:t xml:space="preserve">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sidR="0003593A">
        <w:rPr>
          <w:rFonts w:ascii="Arial" w:hAnsi="Arial" w:cs="Arial"/>
          <w:sz w:val="26"/>
          <w:szCs w:val="26"/>
        </w:rPr>
        <w:t>:</w:t>
      </w:r>
      <w:r>
        <w:rPr>
          <w:rFonts w:ascii="Arial" w:hAnsi="Arial" w:cs="Arial"/>
          <w:sz w:val="26"/>
          <w:szCs w:val="26"/>
        </w:rPr>
        <w:t xml:space="preserve"> </w:t>
      </w:r>
    </w:p>
    <w:p w:rsidR="00775CC4" w:rsidRPr="00B94B84" w:rsidRDefault="00775CC4" w:rsidP="00775CC4">
      <w:pPr>
        <w:spacing w:after="0" w:line="360" w:lineRule="auto"/>
        <w:ind w:left="1134" w:right="778"/>
        <w:jc w:val="both"/>
        <w:rPr>
          <w:rFonts w:ascii="Arial" w:eastAsia="Calibri" w:hAnsi="Arial" w:cs="Arial"/>
          <w:bCs/>
          <w:i/>
        </w:rPr>
      </w:pPr>
      <w:r w:rsidRPr="00B94B84">
        <w:rPr>
          <w:rFonts w:ascii="Arial" w:hAnsi="Arial" w:cs="Arial"/>
          <w:i/>
        </w:rPr>
        <w:t>“</w:t>
      </w:r>
      <w:r w:rsidRPr="00B94B84">
        <w:rPr>
          <w:rFonts w:ascii="Arial" w:hAnsi="Arial" w:cs="Arial"/>
          <w:b/>
          <w:i/>
        </w:rPr>
        <w:t>LEGITIMACIÓN EN LA CAUSA. SÓLO PUEDE ESTUDIARSE EN LA SENTENCIA DEFINITIVA</w:t>
      </w:r>
      <w:r w:rsidRPr="00B94B84">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B94B84">
        <w:rPr>
          <w:rFonts w:ascii="Arial" w:hAnsi="Arial" w:cs="Arial"/>
          <w:i/>
        </w:rPr>
        <w:t>procesum</w:t>
      </w:r>
      <w:proofErr w:type="spellEnd"/>
      <w:r w:rsidRPr="00B94B84">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B94B84">
        <w:rPr>
          <w:rFonts w:ascii="Arial" w:hAnsi="Arial" w:cs="Arial"/>
          <w:i/>
        </w:rPr>
        <w:t>causam</w:t>
      </w:r>
      <w:proofErr w:type="spellEnd"/>
      <w:r w:rsidRPr="00B94B84">
        <w:rPr>
          <w:rFonts w:ascii="Arial" w:hAnsi="Arial" w:cs="Arial"/>
          <w:i/>
        </w:rPr>
        <w:t xml:space="preserve"> atañe al fondo de la cuestión litigiosa y, por tanto, lógicamente, sólo puede analizarse en el momento en que se pron</w:t>
      </w:r>
      <w:r w:rsidR="00B94B84">
        <w:rPr>
          <w:rFonts w:ascii="Arial" w:hAnsi="Arial" w:cs="Arial"/>
          <w:i/>
        </w:rPr>
        <w:t>un</w:t>
      </w:r>
      <w:r w:rsidR="0003593A">
        <w:rPr>
          <w:rFonts w:ascii="Arial" w:hAnsi="Arial" w:cs="Arial"/>
          <w:i/>
        </w:rPr>
        <w:t>cie la sentencia definitiva.”.</w:t>
      </w:r>
      <w:r w:rsidR="00B94B84">
        <w:rPr>
          <w:rFonts w:ascii="Arial" w:hAnsi="Arial" w:cs="Arial"/>
          <w:i/>
        </w:rPr>
        <w:t xml:space="preserve"> </w:t>
      </w:r>
    </w:p>
    <w:p w:rsidR="00775CC4" w:rsidRPr="009632BE" w:rsidRDefault="00775CC4" w:rsidP="0003593A">
      <w:pPr>
        <w:spacing w:before="240" w:line="360" w:lineRule="auto"/>
        <w:ind w:firstLine="567"/>
        <w:jc w:val="both"/>
        <w:rPr>
          <w:rFonts w:ascii="Arial" w:eastAsia="Calibri" w:hAnsi="Arial" w:cs="Arial"/>
          <w:bCs/>
          <w:sz w:val="26"/>
          <w:szCs w:val="26"/>
        </w:rPr>
      </w:pPr>
      <w:r w:rsidRPr="009632BE">
        <w:rPr>
          <w:rFonts w:ascii="Arial" w:hAnsi="Arial" w:cs="Arial"/>
          <w:sz w:val="26"/>
          <w:szCs w:val="26"/>
        </w:rPr>
        <w:t xml:space="preserve">Así mismo, se ha considerado en la jurisprudencia 2a./J.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r w:rsidR="0003593A">
        <w:rPr>
          <w:rFonts w:ascii="Arial" w:hAnsi="Arial" w:cs="Arial"/>
          <w:sz w:val="26"/>
          <w:szCs w:val="26"/>
        </w:rPr>
        <w:t>.</w:t>
      </w:r>
      <w:r w:rsidR="00B94B84">
        <w:rPr>
          <w:rFonts w:ascii="Arial" w:hAnsi="Arial" w:cs="Arial"/>
          <w:sz w:val="26"/>
          <w:szCs w:val="26"/>
        </w:rPr>
        <w:t xml:space="preserve"> </w:t>
      </w:r>
    </w:p>
    <w:p w:rsidR="00775CC4" w:rsidRPr="00B94B84" w:rsidRDefault="00775CC4" w:rsidP="008F7B62">
      <w:pPr>
        <w:ind w:left="1134" w:right="778"/>
        <w:jc w:val="both"/>
        <w:rPr>
          <w:rFonts w:ascii="Arial" w:eastAsia="Calibri" w:hAnsi="Arial" w:cs="Arial"/>
          <w:bCs/>
          <w:i/>
        </w:rPr>
      </w:pPr>
      <w:r w:rsidRPr="00B94B84">
        <w:rPr>
          <w:rFonts w:ascii="Arial" w:hAnsi="Arial" w:cs="Arial"/>
          <w:i/>
        </w:rPr>
        <w:t>“</w:t>
      </w:r>
      <w:r w:rsidRPr="00B94B84">
        <w:rPr>
          <w:rFonts w:ascii="Arial" w:hAnsi="Arial" w:cs="Arial"/>
          <w:b/>
          <w:i/>
        </w:rPr>
        <w:t>LEGITIMACIÓN PROCESAL ACTIVA. CONCEPTO.</w:t>
      </w:r>
      <w:r w:rsidRPr="00B94B84">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B94B84">
        <w:rPr>
          <w:rFonts w:ascii="Arial" w:hAnsi="Arial" w:cs="Arial"/>
          <w:i/>
        </w:rPr>
        <w:t>procesum</w:t>
      </w:r>
      <w:proofErr w:type="spellEnd"/>
      <w:r w:rsidRPr="00B94B84">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B94B84">
        <w:rPr>
          <w:rFonts w:ascii="Arial" w:hAnsi="Arial" w:cs="Arial"/>
          <w:i/>
        </w:rPr>
        <w:t>causam</w:t>
      </w:r>
      <w:proofErr w:type="spellEnd"/>
      <w:r w:rsidRPr="00B94B84">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w:t>
      </w:r>
      <w:r w:rsidRPr="00B94B84">
        <w:rPr>
          <w:rFonts w:ascii="Arial" w:hAnsi="Arial" w:cs="Arial"/>
          <w:i/>
        </w:rPr>
        <w:lastRenderedPageBreak/>
        <w:t xml:space="preserve">ad </w:t>
      </w:r>
      <w:proofErr w:type="spellStart"/>
      <w:r w:rsidRPr="00B94B84">
        <w:rPr>
          <w:rFonts w:ascii="Arial" w:hAnsi="Arial" w:cs="Arial"/>
          <w:i/>
        </w:rPr>
        <w:t>procesum</w:t>
      </w:r>
      <w:proofErr w:type="spellEnd"/>
      <w:r w:rsidRPr="00B94B84">
        <w:rPr>
          <w:rFonts w:ascii="Arial" w:hAnsi="Arial" w:cs="Arial"/>
          <w:i/>
        </w:rPr>
        <w:t xml:space="preserve"> es requisito para la procedencia del juicio, mientras que la ad </w:t>
      </w:r>
      <w:proofErr w:type="spellStart"/>
      <w:r w:rsidRPr="00B94B84">
        <w:rPr>
          <w:rFonts w:ascii="Arial" w:hAnsi="Arial" w:cs="Arial"/>
          <w:i/>
        </w:rPr>
        <w:t>causam</w:t>
      </w:r>
      <w:proofErr w:type="spellEnd"/>
      <w:r w:rsidRPr="00B94B84">
        <w:rPr>
          <w:rFonts w:ascii="Arial" w:hAnsi="Arial" w:cs="Arial"/>
          <w:i/>
        </w:rPr>
        <w:t>, lo es para que se pronuncie sentencia favorable.”</w:t>
      </w:r>
      <w:r w:rsidR="0003593A">
        <w:rPr>
          <w:rFonts w:ascii="Arial" w:hAnsi="Arial" w:cs="Arial"/>
          <w:i/>
        </w:rPr>
        <w:t>.</w:t>
      </w:r>
    </w:p>
    <w:p w:rsidR="0003593A" w:rsidRDefault="00775CC4" w:rsidP="0003593A">
      <w:pPr>
        <w:widowControl w:val="0"/>
        <w:tabs>
          <w:tab w:val="left" w:pos="0"/>
        </w:tabs>
        <w:spacing w:before="240" w:after="0" w:line="360" w:lineRule="auto"/>
        <w:ind w:right="18" w:firstLine="567"/>
        <w:jc w:val="both"/>
        <w:rPr>
          <w:rFonts w:ascii="Arial" w:hAnsi="Arial" w:cs="Arial"/>
          <w:sz w:val="26"/>
          <w:szCs w:val="26"/>
        </w:rPr>
      </w:pPr>
      <w:r>
        <w:rPr>
          <w:rFonts w:ascii="Arial" w:eastAsia="Calibri" w:hAnsi="Arial" w:cs="Arial"/>
          <w:bCs/>
          <w:sz w:val="26"/>
          <w:szCs w:val="26"/>
        </w:rPr>
        <w:t xml:space="preserve">En consecuencia, ante las anteriores consideraciones, </w:t>
      </w:r>
      <w:r w:rsidR="00B94B84">
        <w:rPr>
          <w:rFonts w:ascii="Arial" w:eastAsia="Calibri" w:hAnsi="Arial" w:cs="Arial"/>
          <w:bCs/>
          <w:sz w:val="26"/>
          <w:szCs w:val="26"/>
        </w:rPr>
        <w:t xml:space="preserve">se </w:t>
      </w:r>
      <w:r>
        <w:rPr>
          <w:rFonts w:ascii="Arial" w:eastAsia="Calibri" w:hAnsi="Arial" w:cs="Arial"/>
          <w:bCs/>
          <w:sz w:val="26"/>
          <w:szCs w:val="26"/>
        </w:rPr>
        <w:t>procede</w:t>
      </w:r>
      <w:r w:rsidR="00B94B84">
        <w:rPr>
          <w:rFonts w:ascii="Arial" w:eastAsia="Calibri" w:hAnsi="Arial" w:cs="Arial"/>
          <w:bCs/>
          <w:sz w:val="26"/>
          <w:szCs w:val="26"/>
        </w:rPr>
        <w:t xml:space="preserve"> a</w:t>
      </w:r>
      <w:r>
        <w:rPr>
          <w:rFonts w:ascii="Arial" w:eastAsia="Calibri" w:hAnsi="Arial" w:cs="Arial"/>
          <w:bCs/>
          <w:sz w:val="26"/>
          <w:szCs w:val="26"/>
        </w:rPr>
        <w:t xml:space="preserv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 la recurrente para impugnar la sentencia en los términos planteados y </w:t>
      </w:r>
      <w:r>
        <w:rPr>
          <w:rFonts w:ascii="Arial" w:hAnsi="Arial" w:cs="Arial"/>
          <w:sz w:val="26"/>
          <w:szCs w:val="26"/>
        </w:rPr>
        <w:t>con fundamento en los artículos 237 y 238 de la Ley de Procedimiento y Justicia Administrativa para el Estado, se</w:t>
      </w:r>
      <w:r w:rsidR="0003593A">
        <w:rPr>
          <w:rFonts w:ascii="Arial" w:hAnsi="Arial" w:cs="Arial"/>
          <w:sz w:val="26"/>
          <w:szCs w:val="26"/>
        </w:rPr>
        <w:t>:</w:t>
      </w:r>
    </w:p>
    <w:p w:rsidR="0003593A" w:rsidRDefault="001D20BF" w:rsidP="0003593A">
      <w:pPr>
        <w:widowControl w:val="0"/>
        <w:tabs>
          <w:tab w:val="left" w:pos="0"/>
        </w:tabs>
        <w:spacing w:before="240" w:after="0" w:line="360" w:lineRule="auto"/>
        <w:ind w:right="18"/>
        <w:jc w:val="center"/>
        <w:rPr>
          <w:rFonts w:ascii="Arial" w:hAnsi="Arial" w:cs="Arial"/>
          <w:b/>
          <w:sz w:val="24"/>
          <w:szCs w:val="24"/>
        </w:rPr>
      </w:pPr>
      <w:r w:rsidRPr="00CB6E8A">
        <w:rPr>
          <w:rFonts w:ascii="Arial" w:hAnsi="Arial" w:cs="Arial"/>
          <w:b/>
          <w:sz w:val="24"/>
          <w:szCs w:val="24"/>
        </w:rPr>
        <w:t>R E S U E L V E</w:t>
      </w:r>
      <w:r w:rsidR="0003593A">
        <w:rPr>
          <w:rFonts w:ascii="Arial" w:hAnsi="Arial" w:cs="Arial"/>
          <w:b/>
          <w:sz w:val="24"/>
          <w:szCs w:val="24"/>
        </w:rPr>
        <w:t>:</w:t>
      </w:r>
    </w:p>
    <w:p w:rsidR="0003593A" w:rsidRDefault="001D20BF" w:rsidP="0003593A">
      <w:pPr>
        <w:widowControl w:val="0"/>
        <w:tabs>
          <w:tab w:val="left" w:pos="0"/>
        </w:tabs>
        <w:spacing w:before="240" w:after="0" w:line="360" w:lineRule="auto"/>
        <w:ind w:right="18" w:firstLine="567"/>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sidR="00B94B84">
        <w:rPr>
          <w:rFonts w:ascii="Arial" w:hAnsi="Arial" w:cs="Arial"/>
          <w:color w:val="000000"/>
          <w:sz w:val="26"/>
          <w:szCs w:val="26"/>
          <w:lang w:val="es-MX"/>
        </w:rPr>
        <w:t xml:space="preserve">Se </w:t>
      </w:r>
      <w:r w:rsidR="00B94B84">
        <w:rPr>
          <w:rFonts w:ascii="Arial" w:hAnsi="Arial" w:cs="Arial"/>
          <w:b/>
          <w:color w:val="000000"/>
          <w:sz w:val="26"/>
          <w:szCs w:val="26"/>
          <w:lang w:val="es-MX"/>
        </w:rPr>
        <w:t xml:space="preserve">DESECHA </w:t>
      </w:r>
      <w:r w:rsidR="00B94B84">
        <w:rPr>
          <w:rFonts w:ascii="Arial" w:hAnsi="Arial" w:cs="Arial"/>
          <w:color w:val="000000"/>
          <w:sz w:val="26"/>
          <w:szCs w:val="26"/>
          <w:lang w:val="es-MX"/>
        </w:rPr>
        <w:t xml:space="preserve">el presente medio de impugnación, por las razones expuestas en el considerando </w:t>
      </w:r>
      <w:r w:rsidR="004E35B4">
        <w:rPr>
          <w:rFonts w:ascii="Arial" w:hAnsi="Arial" w:cs="Arial"/>
          <w:color w:val="000000"/>
          <w:sz w:val="26"/>
          <w:szCs w:val="26"/>
          <w:lang w:val="es-MX"/>
        </w:rPr>
        <w:t>tercero</w:t>
      </w:r>
      <w:r>
        <w:rPr>
          <w:rFonts w:ascii="Arial" w:hAnsi="Arial" w:cs="Arial"/>
          <w:color w:val="000000"/>
          <w:sz w:val="26"/>
          <w:szCs w:val="26"/>
          <w:lang w:val="es-MX"/>
        </w:rPr>
        <w:t>.</w:t>
      </w:r>
    </w:p>
    <w:p w:rsidR="0003593A" w:rsidRDefault="001D20BF" w:rsidP="0003593A">
      <w:pPr>
        <w:widowControl w:val="0"/>
        <w:tabs>
          <w:tab w:val="left" w:pos="0"/>
        </w:tabs>
        <w:spacing w:before="240" w:after="0" w:line="360" w:lineRule="auto"/>
        <w:ind w:right="18" w:firstLine="567"/>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716DA1">
        <w:rPr>
          <w:rFonts w:ascii="Arial" w:hAnsi="Arial" w:cs="Arial"/>
          <w:sz w:val="26"/>
          <w:szCs w:val="26"/>
        </w:rPr>
        <w:t xml:space="preserve">Séptima </w:t>
      </w:r>
      <w:r>
        <w:rPr>
          <w:rFonts w:ascii="Arial" w:hAnsi="Arial" w:cs="Arial"/>
          <w:sz w:val="26"/>
          <w:szCs w:val="26"/>
        </w:rPr>
        <w:t>Sala Unitaria de Primera Instancia de este Tribunal y en su oportunidad archívese el presente cuaderno de revisión como asunto concluido</w:t>
      </w:r>
      <w:r w:rsidR="0003593A">
        <w:rPr>
          <w:rFonts w:ascii="Arial" w:hAnsi="Arial" w:cs="Arial"/>
          <w:sz w:val="26"/>
          <w:szCs w:val="26"/>
        </w:rPr>
        <w:t>.</w:t>
      </w:r>
    </w:p>
    <w:p w:rsidR="0003593A" w:rsidRDefault="0003593A" w:rsidP="0003593A">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03593A" w:rsidRDefault="0003593A" w:rsidP="0003593A">
      <w:pPr>
        <w:spacing w:line="360" w:lineRule="auto"/>
        <w:rPr>
          <w:rFonts w:ascii="Arial" w:hAnsi="Arial" w:cs="Arial"/>
          <w:sz w:val="26"/>
          <w:szCs w:val="26"/>
        </w:rPr>
      </w:pPr>
    </w:p>
    <w:p w:rsidR="0003593A" w:rsidRDefault="0003593A" w:rsidP="0003593A">
      <w:pPr>
        <w:spacing w:line="360" w:lineRule="auto"/>
        <w:rPr>
          <w:rFonts w:ascii="Arial" w:hAnsi="Arial" w:cs="Arial"/>
          <w:sz w:val="26"/>
          <w:szCs w:val="26"/>
        </w:rPr>
      </w:pPr>
    </w:p>
    <w:p w:rsidR="0003593A" w:rsidRDefault="0003593A" w:rsidP="0003593A">
      <w:pPr>
        <w:spacing w:line="360" w:lineRule="auto"/>
        <w:rPr>
          <w:rFonts w:ascii="Arial" w:hAnsi="Arial" w:cs="Arial"/>
          <w:sz w:val="26"/>
          <w:szCs w:val="26"/>
        </w:rPr>
      </w:pPr>
    </w:p>
    <w:p w:rsidR="0003593A" w:rsidRDefault="0003593A" w:rsidP="0003593A">
      <w:pPr>
        <w:spacing w:line="360" w:lineRule="auto"/>
        <w:rPr>
          <w:rFonts w:ascii="Arial" w:hAnsi="Arial" w:cs="Arial"/>
          <w:sz w:val="26"/>
          <w:szCs w:val="26"/>
        </w:rPr>
      </w:pPr>
    </w:p>
    <w:p w:rsidR="0003593A" w:rsidRDefault="0003593A" w:rsidP="0003593A">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03593A" w:rsidRDefault="0003593A" w:rsidP="0003593A">
      <w:pPr>
        <w:spacing w:after="0" w:line="240" w:lineRule="auto"/>
        <w:jc w:val="center"/>
        <w:rPr>
          <w:rFonts w:ascii="Arial" w:hAnsi="Arial" w:cs="Arial"/>
          <w:sz w:val="26"/>
          <w:szCs w:val="26"/>
        </w:rPr>
      </w:pPr>
      <w:r>
        <w:rPr>
          <w:rFonts w:ascii="Arial" w:hAnsi="Arial" w:cs="Arial"/>
          <w:sz w:val="26"/>
          <w:szCs w:val="26"/>
        </w:rPr>
        <w:t>PRESIDENTA</w:t>
      </w:r>
    </w:p>
    <w:p w:rsidR="0003593A" w:rsidRDefault="0003593A" w:rsidP="0003593A">
      <w:pPr>
        <w:spacing w:line="360" w:lineRule="auto"/>
        <w:rPr>
          <w:rFonts w:ascii="Arial" w:eastAsia="Times New Roman" w:hAnsi="Arial" w:cs="Arial"/>
          <w:sz w:val="26"/>
          <w:szCs w:val="26"/>
          <w:lang w:eastAsia="es-MX"/>
        </w:rPr>
      </w:pPr>
    </w:p>
    <w:p w:rsidR="0003593A" w:rsidRDefault="0003593A" w:rsidP="0003593A">
      <w:pPr>
        <w:spacing w:line="360" w:lineRule="auto"/>
        <w:rPr>
          <w:rFonts w:ascii="Arial" w:eastAsia="Times New Roman" w:hAnsi="Arial" w:cs="Arial"/>
          <w:sz w:val="26"/>
          <w:szCs w:val="26"/>
          <w:lang w:eastAsia="es-MX"/>
        </w:rPr>
      </w:pPr>
    </w:p>
    <w:p w:rsidR="0003593A" w:rsidRDefault="0003593A" w:rsidP="0003593A">
      <w:pPr>
        <w:spacing w:line="360" w:lineRule="auto"/>
        <w:rPr>
          <w:rFonts w:ascii="Arial" w:eastAsia="Times New Roman" w:hAnsi="Arial" w:cs="Arial"/>
          <w:sz w:val="26"/>
          <w:szCs w:val="26"/>
          <w:lang w:eastAsia="es-MX"/>
        </w:rPr>
      </w:pPr>
    </w:p>
    <w:p w:rsidR="0003593A" w:rsidRDefault="0003593A" w:rsidP="0003593A">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3593A" w:rsidRDefault="0003593A" w:rsidP="0003593A">
      <w:pPr>
        <w:spacing w:line="360" w:lineRule="auto"/>
        <w:jc w:val="center"/>
        <w:rPr>
          <w:rFonts w:ascii="Arial" w:hAnsi="Arial" w:cs="Arial"/>
          <w:sz w:val="26"/>
          <w:szCs w:val="26"/>
        </w:rPr>
      </w:pPr>
    </w:p>
    <w:p w:rsidR="0003593A" w:rsidRDefault="0003593A" w:rsidP="0003593A">
      <w:pPr>
        <w:spacing w:line="360" w:lineRule="auto"/>
        <w:jc w:val="center"/>
        <w:rPr>
          <w:rFonts w:ascii="Arial" w:hAnsi="Arial" w:cs="Arial"/>
          <w:sz w:val="26"/>
          <w:szCs w:val="26"/>
        </w:rPr>
      </w:pPr>
    </w:p>
    <w:p w:rsidR="0003593A" w:rsidRDefault="0003593A" w:rsidP="0003593A">
      <w:pPr>
        <w:spacing w:line="360" w:lineRule="auto"/>
        <w:jc w:val="center"/>
        <w:rPr>
          <w:rFonts w:ascii="Arial" w:hAnsi="Arial" w:cs="Arial"/>
          <w:sz w:val="26"/>
          <w:szCs w:val="26"/>
        </w:rPr>
      </w:pPr>
    </w:p>
    <w:p w:rsidR="0003593A" w:rsidRDefault="0003593A" w:rsidP="0003593A">
      <w:pPr>
        <w:jc w:val="center"/>
        <w:rPr>
          <w:rFonts w:ascii="Arial" w:hAnsi="Arial" w:cs="Arial"/>
          <w:sz w:val="26"/>
          <w:szCs w:val="26"/>
        </w:rPr>
      </w:pPr>
      <w:r>
        <w:rPr>
          <w:rFonts w:ascii="Arial" w:hAnsi="Arial" w:cs="Arial"/>
          <w:sz w:val="26"/>
          <w:szCs w:val="26"/>
        </w:rPr>
        <w:t>MAGISTRADO RAÚL PALOMARES PALOMINO</w:t>
      </w:r>
    </w:p>
    <w:p w:rsidR="0003593A" w:rsidRDefault="0003593A" w:rsidP="0003593A">
      <w:pPr>
        <w:tabs>
          <w:tab w:val="left" w:pos="1680"/>
          <w:tab w:val="center" w:pos="4277"/>
        </w:tabs>
        <w:spacing w:line="360" w:lineRule="auto"/>
        <w:jc w:val="center"/>
        <w:rPr>
          <w:rFonts w:ascii="Arial" w:hAnsi="Arial" w:cs="Arial"/>
          <w:b/>
          <w:sz w:val="14"/>
          <w:szCs w:val="26"/>
        </w:rPr>
      </w:pPr>
    </w:p>
    <w:p w:rsidR="0003593A" w:rsidRDefault="0003593A" w:rsidP="0003593A">
      <w:pPr>
        <w:tabs>
          <w:tab w:val="left" w:pos="1680"/>
          <w:tab w:val="center" w:pos="4277"/>
        </w:tabs>
        <w:spacing w:line="360" w:lineRule="auto"/>
        <w:jc w:val="center"/>
        <w:rPr>
          <w:rFonts w:ascii="Arial" w:hAnsi="Arial" w:cs="Arial"/>
          <w:sz w:val="26"/>
          <w:szCs w:val="26"/>
        </w:rPr>
      </w:pPr>
      <w:r>
        <w:rPr>
          <w:rFonts w:ascii="Arial" w:hAnsi="Arial" w:cs="Arial"/>
          <w:b/>
          <w:sz w:val="14"/>
          <w:szCs w:val="26"/>
        </w:rPr>
        <w:lastRenderedPageBreak/>
        <w:t>LAS PRESENTES FIRMAS CORRESPONDEN AL</w:t>
      </w:r>
      <w:r w:rsidR="007B0221">
        <w:rPr>
          <w:rFonts w:ascii="Arial" w:hAnsi="Arial" w:cs="Arial"/>
          <w:b/>
          <w:sz w:val="14"/>
          <w:szCs w:val="26"/>
        </w:rPr>
        <w:t xml:space="preserve"> RECURSO DE REVISIÓN 94</w:t>
      </w:r>
      <w:r>
        <w:rPr>
          <w:rFonts w:ascii="Arial" w:hAnsi="Arial" w:cs="Arial"/>
          <w:b/>
          <w:sz w:val="14"/>
          <w:szCs w:val="26"/>
        </w:rPr>
        <w:t>/2019</w:t>
      </w:r>
    </w:p>
    <w:p w:rsidR="0003593A" w:rsidRDefault="0003593A" w:rsidP="0003593A">
      <w:pPr>
        <w:tabs>
          <w:tab w:val="center" w:pos="4135"/>
          <w:tab w:val="left" w:pos="7515"/>
        </w:tabs>
        <w:spacing w:line="360" w:lineRule="auto"/>
        <w:rPr>
          <w:rFonts w:ascii="Arial" w:hAnsi="Arial" w:cs="Arial"/>
          <w:sz w:val="26"/>
          <w:szCs w:val="26"/>
        </w:rPr>
      </w:pPr>
    </w:p>
    <w:p w:rsidR="0003593A" w:rsidRDefault="0003593A" w:rsidP="0003593A">
      <w:pPr>
        <w:tabs>
          <w:tab w:val="center" w:pos="4135"/>
          <w:tab w:val="left" w:pos="7515"/>
        </w:tabs>
        <w:spacing w:line="360" w:lineRule="auto"/>
        <w:rPr>
          <w:rFonts w:ascii="Arial" w:hAnsi="Arial" w:cs="Arial"/>
          <w:sz w:val="26"/>
          <w:szCs w:val="26"/>
        </w:rPr>
      </w:pPr>
    </w:p>
    <w:p w:rsidR="0003593A" w:rsidRDefault="0003593A" w:rsidP="0003593A">
      <w:pPr>
        <w:tabs>
          <w:tab w:val="center" w:pos="4135"/>
          <w:tab w:val="left" w:pos="7515"/>
        </w:tabs>
        <w:spacing w:line="360" w:lineRule="auto"/>
        <w:rPr>
          <w:rFonts w:ascii="Arial" w:hAnsi="Arial" w:cs="Arial"/>
          <w:sz w:val="26"/>
          <w:szCs w:val="26"/>
        </w:rPr>
      </w:pPr>
    </w:p>
    <w:p w:rsidR="0003593A" w:rsidRPr="009F77CE" w:rsidRDefault="0003593A" w:rsidP="0003593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03593A" w:rsidRDefault="0003593A" w:rsidP="0003593A">
      <w:pPr>
        <w:tabs>
          <w:tab w:val="left" w:pos="1680"/>
          <w:tab w:val="center" w:pos="4277"/>
        </w:tabs>
        <w:spacing w:line="360" w:lineRule="auto"/>
        <w:jc w:val="center"/>
        <w:rPr>
          <w:rFonts w:ascii="Arial" w:hAnsi="Arial" w:cs="Arial"/>
          <w:b/>
          <w:sz w:val="14"/>
          <w:szCs w:val="26"/>
        </w:rPr>
      </w:pPr>
    </w:p>
    <w:p w:rsidR="0003593A" w:rsidRDefault="0003593A" w:rsidP="0003593A">
      <w:pPr>
        <w:tabs>
          <w:tab w:val="left" w:pos="1680"/>
          <w:tab w:val="center" w:pos="4277"/>
        </w:tabs>
        <w:spacing w:line="360" w:lineRule="auto"/>
        <w:jc w:val="center"/>
        <w:rPr>
          <w:rFonts w:ascii="Arial" w:hAnsi="Arial" w:cs="Arial"/>
          <w:b/>
          <w:sz w:val="14"/>
          <w:szCs w:val="26"/>
        </w:rPr>
      </w:pPr>
    </w:p>
    <w:p w:rsidR="0003593A" w:rsidRDefault="0003593A" w:rsidP="0003593A">
      <w:pPr>
        <w:tabs>
          <w:tab w:val="left" w:pos="1680"/>
          <w:tab w:val="center" w:pos="4277"/>
        </w:tabs>
        <w:spacing w:line="360" w:lineRule="auto"/>
        <w:jc w:val="center"/>
        <w:rPr>
          <w:rFonts w:ascii="Arial" w:hAnsi="Arial" w:cs="Arial"/>
          <w:sz w:val="26"/>
          <w:szCs w:val="26"/>
        </w:rPr>
      </w:pPr>
    </w:p>
    <w:p w:rsidR="0003593A" w:rsidRDefault="0003593A" w:rsidP="0003593A">
      <w:pPr>
        <w:tabs>
          <w:tab w:val="left" w:pos="1680"/>
          <w:tab w:val="center" w:pos="4277"/>
        </w:tabs>
        <w:spacing w:line="360" w:lineRule="auto"/>
        <w:jc w:val="center"/>
        <w:rPr>
          <w:rFonts w:ascii="Arial" w:hAnsi="Arial" w:cs="Arial"/>
          <w:sz w:val="26"/>
          <w:szCs w:val="26"/>
        </w:rPr>
      </w:pPr>
    </w:p>
    <w:p w:rsidR="0003593A" w:rsidRDefault="0003593A" w:rsidP="0003593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03593A" w:rsidRDefault="0003593A" w:rsidP="0003593A">
      <w:pPr>
        <w:spacing w:line="360" w:lineRule="auto"/>
        <w:jc w:val="center"/>
        <w:rPr>
          <w:rFonts w:ascii="Arial" w:hAnsi="Arial" w:cs="Arial"/>
          <w:b/>
          <w:sz w:val="14"/>
          <w:szCs w:val="26"/>
        </w:rPr>
      </w:pPr>
    </w:p>
    <w:p w:rsidR="0003593A" w:rsidRDefault="0003593A" w:rsidP="0003593A">
      <w:pPr>
        <w:spacing w:line="360" w:lineRule="auto"/>
        <w:jc w:val="center"/>
        <w:rPr>
          <w:rFonts w:ascii="Arial" w:hAnsi="Arial" w:cs="Arial"/>
          <w:b/>
          <w:sz w:val="14"/>
          <w:szCs w:val="26"/>
        </w:rPr>
      </w:pPr>
    </w:p>
    <w:p w:rsidR="0003593A" w:rsidRDefault="0003593A" w:rsidP="0003593A">
      <w:pPr>
        <w:jc w:val="center"/>
        <w:rPr>
          <w:rFonts w:ascii="Arial" w:hAnsi="Arial" w:cs="Arial"/>
          <w:sz w:val="26"/>
          <w:szCs w:val="26"/>
        </w:rPr>
      </w:pPr>
    </w:p>
    <w:p w:rsidR="0003593A" w:rsidRDefault="0003593A" w:rsidP="0003593A">
      <w:pPr>
        <w:jc w:val="center"/>
        <w:rPr>
          <w:rFonts w:ascii="Arial" w:hAnsi="Arial" w:cs="Arial"/>
          <w:sz w:val="26"/>
          <w:szCs w:val="26"/>
        </w:rPr>
      </w:pPr>
    </w:p>
    <w:p w:rsidR="0003593A" w:rsidRDefault="0003593A" w:rsidP="0003593A">
      <w:pPr>
        <w:pStyle w:val="Sinespaciado"/>
        <w:jc w:val="center"/>
        <w:rPr>
          <w:rFonts w:ascii="Arial" w:hAnsi="Arial" w:cs="Arial"/>
          <w:sz w:val="26"/>
          <w:szCs w:val="26"/>
        </w:rPr>
      </w:pPr>
      <w:r>
        <w:rPr>
          <w:rFonts w:ascii="Arial" w:hAnsi="Arial" w:cs="Arial"/>
          <w:sz w:val="26"/>
          <w:szCs w:val="26"/>
        </w:rPr>
        <w:t>LICENCIADA FELICITAS DÍAZ VÁZQUEZ</w:t>
      </w:r>
    </w:p>
    <w:p w:rsidR="0003593A" w:rsidRDefault="0003593A" w:rsidP="0003593A">
      <w:pPr>
        <w:pStyle w:val="Sinespaciado"/>
        <w:jc w:val="center"/>
        <w:rPr>
          <w:rFonts w:ascii="Arial" w:hAnsi="Arial" w:cs="Arial"/>
          <w:sz w:val="26"/>
          <w:szCs w:val="26"/>
        </w:rPr>
      </w:pPr>
      <w:r>
        <w:rPr>
          <w:rFonts w:ascii="Arial" w:hAnsi="Arial" w:cs="Arial"/>
          <w:sz w:val="26"/>
          <w:szCs w:val="26"/>
        </w:rPr>
        <w:t>SECRETARIA GENERAL DE ACUERDOS</w:t>
      </w:r>
    </w:p>
    <w:p w:rsidR="0003593A" w:rsidRPr="00DF1EBD" w:rsidRDefault="0003593A" w:rsidP="0003593A">
      <w:pPr>
        <w:spacing w:line="360" w:lineRule="auto"/>
        <w:ind w:firstLine="567"/>
        <w:jc w:val="both"/>
        <w:rPr>
          <w:rFonts w:ascii="Arial" w:hAnsi="Arial" w:cs="Arial"/>
          <w:bCs/>
          <w:sz w:val="24"/>
          <w:szCs w:val="24"/>
        </w:rPr>
      </w:pPr>
    </w:p>
    <w:p w:rsidR="0003593A" w:rsidRDefault="0003593A" w:rsidP="0003593A">
      <w:pPr>
        <w:spacing w:before="240" w:line="360" w:lineRule="auto"/>
        <w:ind w:firstLine="708"/>
        <w:jc w:val="both"/>
        <w:rPr>
          <w:rFonts w:ascii="Arial" w:hAnsi="Arial" w:cs="Arial"/>
          <w:sz w:val="26"/>
          <w:szCs w:val="26"/>
        </w:rPr>
      </w:pPr>
    </w:p>
    <w:p w:rsidR="0003593A" w:rsidRDefault="0003593A" w:rsidP="0003593A">
      <w:pPr>
        <w:spacing w:before="240" w:line="360" w:lineRule="auto"/>
        <w:ind w:firstLine="708"/>
        <w:jc w:val="both"/>
        <w:rPr>
          <w:rFonts w:ascii="Arial" w:hAnsi="Arial" w:cs="Arial"/>
          <w:sz w:val="26"/>
          <w:szCs w:val="26"/>
        </w:rPr>
      </w:pPr>
    </w:p>
    <w:p w:rsidR="0003593A" w:rsidRPr="00E5261F" w:rsidRDefault="0003593A" w:rsidP="0003593A">
      <w:pPr>
        <w:spacing w:before="240" w:line="360" w:lineRule="auto"/>
        <w:ind w:firstLine="708"/>
        <w:jc w:val="both"/>
        <w:rPr>
          <w:rFonts w:ascii="Arial" w:hAnsi="Arial" w:cs="Arial"/>
          <w:sz w:val="26"/>
          <w:szCs w:val="26"/>
        </w:rPr>
      </w:pPr>
    </w:p>
    <w:p w:rsidR="0003593A" w:rsidRPr="00D05224" w:rsidRDefault="0003593A" w:rsidP="0003593A">
      <w:pPr>
        <w:spacing w:before="240" w:line="360" w:lineRule="auto"/>
        <w:ind w:firstLine="708"/>
        <w:jc w:val="both"/>
        <w:rPr>
          <w:rFonts w:ascii="Arial" w:hAnsi="Arial" w:cs="Arial"/>
          <w:sz w:val="26"/>
          <w:szCs w:val="26"/>
        </w:rPr>
      </w:pPr>
    </w:p>
    <w:p w:rsidR="0003593A" w:rsidRPr="000C6331" w:rsidRDefault="0003593A" w:rsidP="0003593A">
      <w:pPr>
        <w:pStyle w:val="corte3centro"/>
        <w:spacing w:before="240"/>
        <w:ind w:firstLine="709"/>
        <w:jc w:val="both"/>
        <w:rPr>
          <w:rFonts w:cs="Arial"/>
          <w:sz w:val="26"/>
          <w:szCs w:val="26"/>
          <w:lang w:val="es-ES"/>
        </w:rPr>
      </w:pPr>
    </w:p>
    <w:p w:rsidR="00BA554F" w:rsidRPr="001D20BF" w:rsidRDefault="00BA554F" w:rsidP="004E35B4">
      <w:pPr>
        <w:spacing w:before="240" w:line="360" w:lineRule="auto"/>
        <w:ind w:firstLine="708"/>
        <w:jc w:val="both"/>
      </w:pPr>
    </w:p>
    <w:sectPr w:rsidR="00BA554F" w:rsidRPr="001D20BF" w:rsidSect="0003593A">
      <w:headerReference w:type="even" r:id="rId7"/>
      <w:headerReference w:type="default" r:id="rId8"/>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42B0" w:rsidRDefault="00E042B0">
      <w:pPr>
        <w:spacing w:after="0" w:line="240" w:lineRule="auto"/>
      </w:pPr>
      <w:r>
        <w:separator/>
      </w:r>
    </w:p>
  </w:endnote>
  <w:endnote w:type="continuationSeparator" w:id="0">
    <w:p w:rsidR="00E042B0" w:rsidRDefault="00E04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42B0" w:rsidRDefault="00E042B0">
      <w:pPr>
        <w:spacing w:after="0" w:line="240" w:lineRule="auto"/>
      </w:pPr>
      <w:r>
        <w:separator/>
      </w:r>
    </w:p>
  </w:footnote>
  <w:footnote w:type="continuationSeparator" w:id="0">
    <w:p w:rsidR="00E042B0" w:rsidRDefault="00E042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AA111D">
          <w:rPr>
            <w:noProof/>
          </w:rPr>
          <w:t>6</w:t>
        </w:r>
        <w:r>
          <w:fldChar w:fldCharType="end"/>
        </w:r>
      </w:p>
    </w:sdtContent>
  </w:sdt>
  <w:p w:rsidR="00D2291D" w:rsidRDefault="00AA111D">
    <w:pPr>
      <w:pStyle w:val="Encabezado"/>
    </w:pPr>
    <w:r>
      <w:rPr>
        <w:noProof/>
        <w:lang w:val="es-MX" w:eastAsia="es-MX"/>
      </w:rPr>
      <w:drawing>
        <wp:anchor distT="0" distB="0" distL="114300" distR="114300" simplePos="0" relativeHeight="251665408" behindDoc="0" locked="0" layoutInCell="1" allowOverlap="1" wp14:anchorId="2DE2D0BA" wp14:editId="716E2DD5">
          <wp:simplePos x="0" y="0"/>
          <wp:positionH relativeFrom="column">
            <wp:posOffset>5695950</wp:posOffset>
          </wp:positionH>
          <wp:positionV relativeFrom="paragraph">
            <wp:posOffset>5323840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AA111D" w:rsidP="00AA111D">
        <w:pPr>
          <w:pStyle w:val="Encabezado"/>
          <w:tabs>
            <w:tab w:val="center" w:pos="4135"/>
            <w:tab w:val="left" w:pos="4605"/>
          </w:tabs>
          <w:rPr>
            <w:noProof/>
          </w:rPr>
        </w:pPr>
        <w:r>
          <w:tab/>
        </w:r>
        <w:r w:rsidR="007270F3">
          <w:fldChar w:fldCharType="begin"/>
        </w:r>
        <w:r w:rsidR="007270F3">
          <w:instrText xml:space="preserve"> PAGE   \* MERGEFORMAT </w:instrText>
        </w:r>
        <w:r w:rsidR="007270F3">
          <w:fldChar w:fldCharType="separate"/>
        </w:r>
        <w:r>
          <w:rPr>
            <w:noProof/>
          </w:rPr>
          <w:t>7</w:t>
        </w:r>
        <w:r w:rsidR="007270F3">
          <w:rPr>
            <w:noProof/>
          </w:rPr>
          <w:fldChar w:fldCharType="end"/>
        </w:r>
        <w:r>
          <w:rPr>
            <w:noProof/>
          </w:rPr>
          <w:tab/>
        </w:r>
      </w:p>
      <w:p w:rsidR="00D2291D" w:rsidRDefault="00AA111D" w:rsidP="00D2291D">
        <w:pPr>
          <w:pStyle w:val="Encabezado"/>
          <w:jc w:val="center"/>
        </w:pPr>
      </w:p>
    </w:sdtContent>
  </w:sdt>
  <w:p w:rsidR="00D2291D" w:rsidRDefault="00AA111D" w:rsidP="00D2291D">
    <w:pPr>
      <w:pStyle w:val="Encabezado"/>
      <w:tabs>
        <w:tab w:val="left" w:pos="142"/>
      </w:tabs>
      <w:ind w:left="284"/>
    </w:pPr>
    <w:r>
      <w:rPr>
        <w:noProof/>
        <w:lang w:val="es-MX" w:eastAsia="es-MX"/>
      </w:rPr>
      <w:drawing>
        <wp:anchor distT="0" distB="0" distL="114300" distR="114300" simplePos="0" relativeHeight="251663360" behindDoc="0" locked="0" layoutInCell="1" allowOverlap="1" wp14:anchorId="635026F1" wp14:editId="14F2E649">
          <wp:simplePos x="0" y="0"/>
          <wp:positionH relativeFrom="column">
            <wp:posOffset>-1362075</wp:posOffset>
          </wp:positionH>
          <wp:positionV relativeFrom="paragraph">
            <wp:posOffset>3110230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9264" behindDoc="0" locked="0" layoutInCell="1" allowOverlap="1" wp14:anchorId="1E4BF3E9" wp14:editId="62D906D6">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61312" behindDoc="1" locked="0" layoutInCell="1" allowOverlap="1" wp14:anchorId="3AE82DBD" wp14:editId="782F7802">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7226DDE"/>
    <w:multiLevelType w:val="hybridMultilevel"/>
    <w:tmpl w:val="327C3234"/>
    <w:lvl w:ilvl="0" w:tplc="09CA0EE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2"/>
  </w:num>
  <w:num w:numId="4">
    <w:abstractNumId w:val="3"/>
  </w:num>
  <w:num w:numId="5">
    <w:abstractNumId w:val="11"/>
  </w:num>
  <w:num w:numId="6">
    <w:abstractNumId w:val="10"/>
  </w:num>
  <w:num w:numId="7">
    <w:abstractNumId w:val="6"/>
  </w:num>
  <w:num w:numId="8">
    <w:abstractNumId w:val="8"/>
  </w:num>
  <w:num w:numId="9">
    <w:abstractNumId w:val="7"/>
  </w:num>
  <w:num w:numId="10">
    <w:abstractNumId w:val="9"/>
  </w:num>
  <w:num w:numId="11">
    <w:abstractNumId w:val="0"/>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33"/>
    <w:rsid w:val="000143FF"/>
    <w:rsid w:val="000175F4"/>
    <w:rsid w:val="00025F19"/>
    <w:rsid w:val="00031FD4"/>
    <w:rsid w:val="000337D0"/>
    <w:rsid w:val="00034E53"/>
    <w:rsid w:val="0003593A"/>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0162D"/>
    <w:rsid w:val="0011009A"/>
    <w:rsid w:val="00111134"/>
    <w:rsid w:val="00111A55"/>
    <w:rsid w:val="00113FD8"/>
    <w:rsid w:val="0011566B"/>
    <w:rsid w:val="00117C10"/>
    <w:rsid w:val="00122A96"/>
    <w:rsid w:val="00132E1D"/>
    <w:rsid w:val="001555E0"/>
    <w:rsid w:val="0015681D"/>
    <w:rsid w:val="0015791C"/>
    <w:rsid w:val="00161F35"/>
    <w:rsid w:val="00162807"/>
    <w:rsid w:val="00163553"/>
    <w:rsid w:val="001654B1"/>
    <w:rsid w:val="00190A10"/>
    <w:rsid w:val="001B28D3"/>
    <w:rsid w:val="001B3376"/>
    <w:rsid w:val="001C071D"/>
    <w:rsid w:val="001C1517"/>
    <w:rsid w:val="001C1F2F"/>
    <w:rsid w:val="001C4D0F"/>
    <w:rsid w:val="001C78EB"/>
    <w:rsid w:val="001D20BF"/>
    <w:rsid w:val="001E09E7"/>
    <w:rsid w:val="001E3BA5"/>
    <w:rsid w:val="001E63FB"/>
    <w:rsid w:val="001F2493"/>
    <w:rsid w:val="00200074"/>
    <w:rsid w:val="00203905"/>
    <w:rsid w:val="00206B6C"/>
    <w:rsid w:val="0021412A"/>
    <w:rsid w:val="0021676A"/>
    <w:rsid w:val="0022359F"/>
    <w:rsid w:val="00225936"/>
    <w:rsid w:val="00231B63"/>
    <w:rsid w:val="00240FBF"/>
    <w:rsid w:val="00260E7A"/>
    <w:rsid w:val="00263481"/>
    <w:rsid w:val="002746C6"/>
    <w:rsid w:val="00284E8E"/>
    <w:rsid w:val="002A4476"/>
    <w:rsid w:val="002A4B09"/>
    <w:rsid w:val="002B19FE"/>
    <w:rsid w:val="002C084F"/>
    <w:rsid w:val="002C4E4C"/>
    <w:rsid w:val="002D25D0"/>
    <w:rsid w:val="002D355E"/>
    <w:rsid w:val="002D5CD9"/>
    <w:rsid w:val="002E452C"/>
    <w:rsid w:val="002F2948"/>
    <w:rsid w:val="002F6E99"/>
    <w:rsid w:val="003019A4"/>
    <w:rsid w:val="0030543F"/>
    <w:rsid w:val="00315900"/>
    <w:rsid w:val="0032387B"/>
    <w:rsid w:val="00326A65"/>
    <w:rsid w:val="00331B75"/>
    <w:rsid w:val="00334286"/>
    <w:rsid w:val="003452AF"/>
    <w:rsid w:val="00355FDA"/>
    <w:rsid w:val="00357437"/>
    <w:rsid w:val="00367667"/>
    <w:rsid w:val="00370758"/>
    <w:rsid w:val="00380440"/>
    <w:rsid w:val="00380BF8"/>
    <w:rsid w:val="00384F6F"/>
    <w:rsid w:val="00387C61"/>
    <w:rsid w:val="00395B15"/>
    <w:rsid w:val="003B1B8F"/>
    <w:rsid w:val="003B6362"/>
    <w:rsid w:val="003E431D"/>
    <w:rsid w:val="003F1843"/>
    <w:rsid w:val="0040143C"/>
    <w:rsid w:val="00402396"/>
    <w:rsid w:val="004177B6"/>
    <w:rsid w:val="00422368"/>
    <w:rsid w:val="00424406"/>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35B4"/>
    <w:rsid w:val="004E4532"/>
    <w:rsid w:val="004E67BF"/>
    <w:rsid w:val="004F437C"/>
    <w:rsid w:val="004F7F05"/>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403F1"/>
    <w:rsid w:val="00652D2C"/>
    <w:rsid w:val="00660756"/>
    <w:rsid w:val="00671A96"/>
    <w:rsid w:val="00672B07"/>
    <w:rsid w:val="00675D42"/>
    <w:rsid w:val="00677B3B"/>
    <w:rsid w:val="00677BC4"/>
    <w:rsid w:val="00684EAA"/>
    <w:rsid w:val="0068607D"/>
    <w:rsid w:val="00687AD5"/>
    <w:rsid w:val="0069577F"/>
    <w:rsid w:val="006A6CB2"/>
    <w:rsid w:val="006A796B"/>
    <w:rsid w:val="006B4BB8"/>
    <w:rsid w:val="006F0D66"/>
    <w:rsid w:val="006F2B61"/>
    <w:rsid w:val="00700AF3"/>
    <w:rsid w:val="00700E2A"/>
    <w:rsid w:val="00701A8B"/>
    <w:rsid w:val="007022BE"/>
    <w:rsid w:val="00716DA1"/>
    <w:rsid w:val="00726EA0"/>
    <w:rsid w:val="007270F3"/>
    <w:rsid w:val="00731CF5"/>
    <w:rsid w:val="0073388A"/>
    <w:rsid w:val="00751C73"/>
    <w:rsid w:val="00761406"/>
    <w:rsid w:val="00764467"/>
    <w:rsid w:val="00772E96"/>
    <w:rsid w:val="00775CC4"/>
    <w:rsid w:val="007846CD"/>
    <w:rsid w:val="00792A64"/>
    <w:rsid w:val="007938C0"/>
    <w:rsid w:val="007A31A1"/>
    <w:rsid w:val="007A4C29"/>
    <w:rsid w:val="007A5422"/>
    <w:rsid w:val="007B0221"/>
    <w:rsid w:val="007B032E"/>
    <w:rsid w:val="007B0344"/>
    <w:rsid w:val="007B3178"/>
    <w:rsid w:val="007D1934"/>
    <w:rsid w:val="007D2252"/>
    <w:rsid w:val="007D22C5"/>
    <w:rsid w:val="007E4639"/>
    <w:rsid w:val="007E5D52"/>
    <w:rsid w:val="00801603"/>
    <w:rsid w:val="0080320C"/>
    <w:rsid w:val="00805D21"/>
    <w:rsid w:val="008206CE"/>
    <w:rsid w:val="008261CB"/>
    <w:rsid w:val="00831E6D"/>
    <w:rsid w:val="00833DA7"/>
    <w:rsid w:val="00834211"/>
    <w:rsid w:val="008452ED"/>
    <w:rsid w:val="00861BCD"/>
    <w:rsid w:val="00866172"/>
    <w:rsid w:val="0087123D"/>
    <w:rsid w:val="00876086"/>
    <w:rsid w:val="00876FFC"/>
    <w:rsid w:val="00881862"/>
    <w:rsid w:val="00884E6A"/>
    <w:rsid w:val="0089169F"/>
    <w:rsid w:val="0089417C"/>
    <w:rsid w:val="00895DBE"/>
    <w:rsid w:val="00896839"/>
    <w:rsid w:val="008A58B7"/>
    <w:rsid w:val="008A5AE7"/>
    <w:rsid w:val="008B7521"/>
    <w:rsid w:val="008C3256"/>
    <w:rsid w:val="008C5CE8"/>
    <w:rsid w:val="008D0A55"/>
    <w:rsid w:val="008D0DE7"/>
    <w:rsid w:val="008D2AF1"/>
    <w:rsid w:val="008E7BA3"/>
    <w:rsid w:val="008F04B4"/>
    <w:rsid w:val="008F20E2"/>
    <w:rsid w:val="008F7B6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9F7B9B"/>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11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370AC"/>
    <w:rsid w:val="00B40970"/>
    <w:rsid w:val="00B44F29"/>
    <w:rsid w:val="00B56295"/>
    <w:rsid w:val="00B60842"/>
    <w:rsid w:val="00B84433"/>
    <w:rsid w:val="00B848BA"/>
    <w:rsid w:val="00B94B84"/>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0320F"/>
    <w:rsid w:val="00C12F29"/>
    <w:rsid w:val="00C143D3"/>
    <w:rsid w:val="00C21982"/>
    <w:rsid w:val="00C345BF"/>
    <w:rsid w:val="00C40BC8"/>
    <w:rsid w:val="00C41C1B"/>
    <w:rsid w:val="00C544D3"/>
    <w:rsid w:val="00C64FB6"/>
    <w:rsid w:val="00C65E13"/>
    <w:rsid w:val="00C76252"/>
    <w:rsid w:val="00C82270"/>
    <w:rsid w:val="00C873BB"/>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54398"/>
    <w:rsid w:val="00D67C0B"/>
    <w:rsid w:val="00D71919"/>
    <w:rsid w:val="00D751F0"/>
    <w:rsid w:val="00D77592"/>
    <w:rsid w:val="00D83E22"/>
    <w:rsid w:val="00DA6B1C"/>
    <w:rsid w:val="00DA75AB"/>
    <w:rsid w:val="00DB6E83"/>
    <w:rsid w:val="00DC0D68"/>
    <w:rsid w:val="00DC2253"/>
    <w:rsid w:val="00DC4799"/>
    <w:rsid w:val="00DD4EAD"/>
    <w:rsid w:val="00DD5EF0"/>
    <w:rsid w:val="00DF718C"/>
    <w:rsid w:val="00E042B0"/>
    <w:rsid w:val="00E05B32"/>
    <w:rsid w:val="00E1260D"/>
    <w:rsid w:val="00E248D3"/>
    <w:rsid w:val="00E25A7B"/>
    <w:rsid w:val="00E520B7"/>
    <w:rsid w:val="00E522B5"/>
    <w:rsid w:val="00E57953"/>
    <w:rsid w:val="00E67A15"/>
    <w:rsid w:val="00E742F7"/>
    <w:rsid w:val="00E778E6"/>
    <w:rsid w:val="00E85E4F"/>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36D5B2-C65D-4B38-BA85-4E03386D7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1D20BF"/>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3centro">
    <w:name w:val="corte3 centro"/>
    <w:basedOn w:val="Normal"/>
    <w:link w:val="corte3centroCar"/>
    <w:rsid w:val="0003593A"/>
    <w:pPr>
      <w:spacing w:after="0" w:line="360" w:lineRule="auto"/>
      <w:jc w:val="center"/>
    </w:pPr>
    <w:rPr>
      <w:rFonts w:ascii="Arial" w:eastAsia="Times New Roman" w:hAnsi="Arial" w:cs="Times New Roman"/>
      <w:b/>
      <w:sz w:val="30"/>
      <w:szCs w:val="20"/>
      <w:lang w:val="es-ES_tradnl" w:eastAsia="es-ES"/>
    </w:rPr>
  </w:style>
  <w:style w:type="paragraph" w:customStyle="1" w:styleId="corte4fondo">
    <w:name w:val="corte4 fondo"/>
    <w:basedOn w:val="Normal"/>
    <w:link w:val="corte4fondoCar"/>
    <w:qFormat/>
    <w:rsid w:val="0003593A"/>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03593A"/>
    <w:rPr>
      <w:rFonts w:ascii="Arial" w:eastAsia="Times New Roman" w:hAnsi="Arial" w:cs="Times New Roman"/>
      <w:sz w:val="30"/>
      <w:szCs w:val="20"/>
      <w:lang w:val="es-ES_tradnl" w:eastAsia="es-ES"/>
    </w:rPr>
  </w:style>
  <w:style w:type="character" w:customStyle="1" w:styleId="corte3centroCar">
    <w:name w:val="corte3 centro Car"/>
    <w:link w:val="corte3centro"/>
    <w:rsid w:val="0003593A"/>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7</Pages>
  <Words>2104</Words>
  <Characters>11576</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32</cp:revision>
  <cp:lastPrinted>2019-11-26T19:20:00Z</cp:lastPrinted>
  <dcterms:created xsi:type="dcterms:W3CDTF">2019-06-28T17:43:00Z</dcterms:created>
  <dcterms:modified xsi:type="dcterms:W3CDTF">2020-01-15T14:15:00Z</dcterms:modified>
</cp:coreProperties>
</file>