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29EC" w14:textId="77777777" w:rsidR="007C7A1C" w:rsidRPr="00512412" w:rsidRDefault="007C7A1C"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7C7A1C">
      <w:pPr>
        <w:tabs>
          <w:tab w:val="left" w:pos="6480"/>
        </w:tabs>
        <w:spacing w:after="160" w:line="360" w:lineRule="auto"/>
        <w:jc w:val="right"/>
        <w:rPr>
          <w:rFonts w:ascii="Calibri" w:eastAsia="Calibri" w:hAnsi="Calibri" w:cs="Times New Roman"/>
          <w:sz w:val="24"/>
          <w:szCs w:val="24"/>
          <w:lang w:eastAsia="en-US"/>
        </w:rPr>
      </w:pPr>
    </w:p>
    <w:p w14:paraId="3901E82E" w14:textId="2C0AEA35" w:rsidR="007C7A1C" w:rsidRPr="00512412" w:rsidRDefault="007C7A1C" w:rsidP="007C7A1C">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464CBE">
        <w:rPr>
          <w:rFonts w:ascii="Arial" w:eastAsia="Calibri" w:hAnsi="Arial" w:cs="Arial"/>
          <w:b/>
          <w:bCs/>
          <w:sz w:val="24"/>
          <w:szCs w:val="24"/>
          <w:lang w:eastAsia="en-US"/>
        </w:rPr>
        <w:t>23 de febrero de 2023</w:t>
      </w:r>
      <w:r w:rsidRPr="00512412">
        <w:rPr>
          <w:rFonts w:ascii="Arial" w:eastAsia="Calibri" w:hAnsi="Arial" w:cs="Arial"/>
          <w:b/>
          <w:bCs/>
          <w:sz w:val="24"/>
          <w:szCs w:val="24"/>
          <w:lang w:eastAsia="en-US"/>
        </w:rPr>
        <w:t>.</w:t>
      </w:r>
    </w:p>
    <w:p w14:paraId="19350AAC" w14:textId="77777777" w:rsidR="007C7A1C" w:rsidRPr="00512412" w:rsidRDefault="007C7A1C" w:rsidP="007C7A1C">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7C7A1C">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24723C9B" w:rsidR="007C7A1C" w:rsidRDefault="007C7A1C" w:rsidP="007C7A1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464CBE">
        <w:rPr>
          <w:rFonts w:ascii="Arial" w:hAnsi="Arial" w:cs="Arial"/>
          <w:b/>
          <w:sz w:val="24"/>
          <w:szCs w:val="24"/>
        </w:rPr>
        <w:t>0095</w:t>
      </w:r>
      <w:r w:rsidRPr="00512412">
        <w:rPr>
          <w:rFonts w:ascii="Arial" w:hAnsi="Arial" w:cs="Arial"/>
          <w:b/>
          <w:sz w:val="24"/>
          <w:szCs w:val="24"/>
        </w:rPr>
        <w:t>/20</w:t>
      </w:r>
      <w:r w:rsidR="007751BD">
        <w:rPr>
          <w:rFonts w:ascii="Arial" w:hAnsi="Arial" w:cs="Arial"/>
          <w:b/>
          <w:sz w:val="24"/>
          <w:szCs w:val="24"/>
        </w:rPr>
        <w:t>2</w:t>
      </w:r>
      <w:r w:rsidR="00464CBE">
        <w:rPr>
          <w:rFonts w:ascii="Arial" w:hAnsi="Arial" w:cs="Arial"/>
          <w:b/>
          <w:sz w:val="24"/>
          <w:szCs w:val="24"/>
        </w:rPr>
        <w:t>1</w:t>
      </w:r>
      <w:r w:rsidRPr="00512412">
        <w:rPr>
          <w:rFonts w:ascii="Arial" w:hAnsi="Arial" w:cs="Arial"/>
          <w:sz w:val="24"/>
          <w:szCs w:val="24"/>
        </w:rPr>
        <w:t>, promovido por</w:t>
      </w:r>
      <w:r w:rsidRPr="00512412">
        <w:rPr>
          <w:rFonts w:ascii="Arial" w:hAnsi="Arial" w:cs="Arial"/>
          <w:b/>
          <w:sz w:val="24"/>
          <w:szCs w:val="24"/>
        </w:rPr>
        <w:t xml:space="preserve"> </w:t>
      </w:r>
      <w:r w:rsidR="004C5C44">
        <w:rPr>
          <w:rFonts w:ascii="Arial" w:hAnsi="Arial" w:cs="Arial"/>
          <w:b/>
          <w:sz w:val="24"/>
          <w:szCs w:val="24"/>
        </w:rPr>
        <w:t>**********</w:t>
      </w:r>
      <w:r w:rsidR="00CA378A">
        <w:rPr>
          <w:rFonts w:ascii="Arial" w:hAnsi="Arial" w:cs="Arial"/>
          <w:b/>
          <w:sz w:val="24"/>
          <w:szCs w:val="24"/>
        </w:rPr>
        <w:tab/>
      </w:r>
      <w:r w:rsidR="007751BD">
        <w:rPr>
          <w:rFonts w:ascii="Arial" w:hAnsi="Arial" w:cs="Arial"/>
          <w:b/>
          <w:sz w:val="24"/>
          <w:szCs w:val="24"/>
        </w:rPr>
        <w:t xml:space="preserve"> </w:t>
      </w:r>
      <w:r w:rsidRPr="00512412">
        <w:rPr>
          <w:rFonts w:ascii="Arial" w:hAnsi="Arial" w:cs="Arial"/>
          <w:sz w:val="24"/>
          <w:szCs w:val="24"/>
        </w:rPr>
        <w:t>en contra de</w:t>
      </w:r>
      <w:r w:rsidR="00CA378A">
        <w:rPr>
          <w:rFonts w:ascii="Arial" w:hAnsi="Arial" w:cs="Arial"/>
          <w:sz w:val="24"/>
          <w:szCs w:val="24"/>
        </w:rPr>
        <w:t xml:space="preserve"> </w:t>
      </w:r>
      <w:r w:rsidR="00AC707D" w:rsidRPr="00AC707D">
        <w:rPr>
          <w:rFonts w:ascii="Arial" w:hAnsi="Arial" w:cs="Arial"/>
          <w:b/>
          <w:bCs/>
          <w:sz w:val="24"/>
          <w:szCs w:val="24"/>
        </w:rPr>
        <w:t>POLICÍA VIAL</w:t>
      </w:r>
      <w:r w:rsidR="008D1989">
        <w:rPr>
          <w:rFonts w:ascii="Arial" w:hAnsi="Arial" w:cs="Arial"/>
          <w:b/>
          <w:bCs/>
          <w:sz w:val="24"/>
          <w:szCs w:val="24"/>
        </w:rPr>
        <w:t xml:space="preserve"> </w:t>
      </w:r>
      <w:r w:rsidR="00464CBE">
        <w:rPr>
          <w:rFonts w:ascii="Arial" w:hAnsi="Arial" w:cs="Arial"/>
          <w:b/>
          <w:bCs/>
          <w:sz w:val="24"/>
          <w:szCs w:val="24"/>
        </w:rPr>
        <w:t xml:space="preserve">ESTATAL </w:t>
      </w:r>
      <w:r w:rsidR="008D7DFB">
        <w:rPr>
          <w:rFonts w:ascii="Arial" w:hAnsi="Arial" w:cs="Arial"/>
          <w:b/>
          <w:bCs/>
          <w:sz w:val="24"/>
          <w:szCs w:val="24"/>
        </w:rPr>
        <w:t xml:space="preserve">CON NÚMERO ESTADÍSTICO </w:t>
      </w:r>
      <w:r w:rsidR="008D1989">
        <w:rPr>
          <w:rFonts w:ascii="Arial" w:hAnsi="Arial" w:cs="Arial"/>
          <w:b/>
          <w:bCs/>
          <w:sz w:val="24"/>
          <w:szCs w:val="24"/>
        </w:rPr>
        <w:t>PV-</w:t>
      </w:r>
      <w:r w:rsidR="00464CBE">
        <w:rPr>
          <w:rFonts w:ascii="Arial" w:hAnsi="Arial" w:cs="Arial"/>
          <w:b/>
          <w:bCs/>
          <w:sz w:val="24"/>
          <w:szCs w:val="24"/>
        </w:rPr>
        <w:t>280.</w:t>
      </w:r>
      <w:r w:rsidR="00CA378A">
        <w:rPr>
          <w:rFonts w:ascii="Arial" w:hAnsi="Arial" w:cs="Arial"/>
          <w:b/>
          <w:bCs/>
          <w:sz w:val="24"/>
          <w:szCs w:val="24"/>
        </w:rPr>
        <w:tab/>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37C0A634"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464CBE">
        <w:rPr>
          <w:rFonts w:ascii="Arial" w:eastAsia="Calibri" w:hAnsi="Arial" w:cs="Arial"/>
          <w:sz w:val="24"/>
          <w:szCs w:val="24"/>
          <w:lang w:eastAsia="en-US"/>
        </w:rPr>
        <w:t>veinticinco de noviembre de dos mil veintiuno</w:t>
      </w:r>
      <w:r w:rsidR="00513C70">
        <w:rPr>
          <w:rFonts w:ascii="Arial" w:eastAsia="Calibri" w:hAnsi="Arial" w:cs="Arial"/>
          <w:sz w:val="24"/>
          <w:szCs w:val="24"/>
          <w:lang w:eastAsia="en-US"/>
        </w:rPr>
        <w:t xml:space="preserve">, </w:t>
      </w:r>
      <w:r w:rsidR="004C5C44">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 xml:space="preserve">la nulidad </w:t>
      </w:r>
      <w:r w:rsidR="00CA378A">
        <w:rPr>
          <w:rFonts w:ascii="Arial" w:eastAsia="Calibri" w:hAnsi="Arial" w:cs="Arial"/>
          <w:sz w:val="24"/>
          <w:szCs w:val="24"/>
          <w:lang w:eastAsia="en-US"/>
        </w:rPr>
        <w:t xml:space="preserve">acta de infracción </w:t>
      </w:r>
      <w:r w:rsidR="008D1989">
        <w:rPr>
          <w:rFonts w:ascii="Arial" w:eastAsia="Calibri" w:hAnsi="Arial" w:cs="Arial"/>
          <w:sz w:val="24"/>
          <w:szCs w:val="24"/>
          <w:lang w:eastAsia="en-US"/>
        </w:rPr>
        <w:t xml:space="preserve">con número de folio </w:t>
      </w:r>
      <w:r w:rsidR="004C5C44">
        <w:rPr>
          <w:rFonts w:ascii="Arial" w:eastAsia="Calibri" w:hAnsi="Arial" w:cs="Arial"/>
          <w:sz w:val="24"/>
          <w:szCs w:val="24"/>
          <w:lang w:eastAsia="en-US"/>
        </w:rPr>
        <w:t xml:space="preserve">********** </w:t>
      </w:r>
      <w:r w:rsidR="00464CBE">
        <w:rPr>
          <w:rFonts w:ascii="Arial" w:eastAsia="Calibri" w:hAnsi="Arial" w:cs="Arial"/>
          <w:sz w:val="24"/>
          <w:szCs w:val="24"/>
          <w:lang w:eastAsia="en-US"/>
        </w:rPr>
        <w:t>de fecha veintidós de octubre de dos mil veintiuno</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3A5ED0AB"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C9091B">
        <w:rPr>
          <w:rFonts w:ascii="Arial" w:eastAsia="Calibri" w:hAnsi="Arial" w:cs="Arial"/>
          <w:sz w:val="24"/>
          <w:szCs w:val="24"/>
          <w:lang w:eastAsia="en-US"/>
        </w:rPr>
        <w:t>veintiséis de noviembre de dos mil veintiuno</w:t>
      </w:r>
      <w:r w:rsidR="006C08AA">
        <w:rPr>
          <w:rFonts w:ascii="Arial" w:eastAsia="Calibri" w:hAnsi="Arial" w:cs="Arial"/>
          <w:sz w:val="24"/>
          <w:szCs w:val="24"/>
          <w:lang w:eastAsia="en-US"/>
        </w:rPr>
        <w:t xml:space="preserve"> se </w:t>
      </w:r>
      <w:r w:rsidRPr="00512412">
        <w:rPr>
          <w:rFonts w:ascii="Arial" w:eastAsia="Calibri" w:hAnsi="Arial" w:cs="Arial"/>
          <w:sz w:val="24"/>
          <w:szCs w:val="24"/>
          <w:lang w:eastAsia="en-US"/>
        </w:rPr>
        <w:t xml:space="preserve">admitió </w:t>
      </w:r>
      <w:r w:rsidR="002D7795">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 autorida</w:t>
      </w:r>
      <w:r w:rsidR="00513C70">
        <w:rPr>
          <w:rFonts w:ascii="Arial" w:eastAsia="Calibri" w:hAnsi="Arial" w:cs="Arial"/>
          <w:sz w:val="24"/>
          <w:szCs w:val="24"/>
          <w:lang w:eastAsia="en-US"/>
        </w:rPr>
        <w:t>d</w:t>
      </w:r>
      <w:r w:rsidRPr="00512412">
        <w:rPr>
          <w:rFonts w:ascii="Arial" w:eastAsia="Calibri" w:hAnsi="Arial" w:cs="Arial"/>
          <w:sz w:val="24"/>
          <w:szCs w:val="24"/>
          <w:lang w:eastAsia="en-US"/>
        </w:rPr>
        <w:t xml:space="preserve"> enjuiciada</w:t>
      </w:r>
      <w:r w:rsidR="006C08AA">
        <w:rPr>
          <w:rFonts w:ascii="Arial" w:eastAsia="Calibri" w:hAnsi="Arial" w:cs="Arial"/>
          <w:sz w:val="24"/>
          <w:szCs w:val="24"/>
          <w:lang w:eastAsia="en-US"/>
        </w:rPr>
        <w:t xml:space="preserve">, </w:t>
      </w:r>
      <w:r w:rsidRPr="00512412">
        <w:rPr>
          <w:rFonts w:ascii="Arial" w:eastAsia="Calibri" w:hAnsi="Arial" w:cs="Arial"/>
          <w:sz w:val="24"/>
          <w:szCs w:val="24"/>
          <w:lang w:eastAsia="en-US"/>
        </w:rPr>
        <w:t>para que diera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w:t>
      </w:r>
      <w:r w:rsidR="006C08AA">
        <w:rPr>
          <w:rFonts w:ascii="Arial" w:eastAsia="Calibri" w:hAnsi="Arial" w:cs="Arial"/>
          <w:sz w:val="24"/>
          <w:szCs w:val="24"/>
          <w:lang w:eastAsia="en-US"/>
        </w:rPr>
        <w:t xml:space="preserve">. </w:t>
      </w:r>
    </w:p>
    <w:p w14:paraId="0C69C4CC" w14:textId="12977599" w:rsidR="00C9091B" w:rsidRDefault="003A730F" w:rsidP="008D1989">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C9091B">
        <w:rPr>
          <w:rFonts w:ascii="Arial" w:eastAsia="Calibri" w:hAnsi="Arial" w:cs="Arial"/>
          <w:sz w:val="24"/>
          <w:szCs w:val="24"/>
          <w:lang w:eastAsia="en-US"/>
        </w:rPr>
        <w:t>treinta y uno de mayo</w:t>
      </w:r>
      <w:r w:rsidR="00AC707D">
        <w:rPr>
          <w:rFonts w:ascii="Arial" w:eastAsia="Calibri" w:hAnsi="Arial" w:cs="Arial"/>
          <w:sz w:val="24"/>
          <w:szCs w:val="24"/>
          <w:lang w:eastAsia="en-US"/>
        </w:rPr>
        <w:t xml:space="preserve"> de dos mil veintidós </w:t>
      </w:r>
      <w:r w:rsidR="00CE275F">
        <w:rPr>
          <w:rFonts w:ascii="Arial" w:eastAsia="Calibri" w:hAnsi="Arial" w:cs="Arial"/>
          <w:sz w:val="24"/>
          <w:szCs w:val="24"/>
          <w:lang w:eastAsia="en-US"/>
        </w:rPr>
        <w:t xml:space="preserve">se tuvo a la autoridad demandada </w:t>
      </w:r>
      <w:r w:rsidR="008D1989" w:rsidRPr="00171708">
        <w:rPr>
          <w:rFonts w:ascii="Arial" w:eastAsia="Calibri" w:hAnsi="Arial" w:cs="Arial"/>
          <w:sz w:val="24"/>
          <w:szCs w:val="24"/>
          <w:lang w:eastAsia="en-US"/>
        </w:rPr>
        <w:t xml:space="preserve">contestando la demanda de nulidad y se tuvieron por admitidas las pruebas ofrecidas por la </w:t>
      </w:r>
      <w:r w:rsidR="00C9091B">
        <w:rPr>
          <w:rFonts w:ascii="Arial" w:eastAsia="Calibri" w:hAnsi="Arial" w:cs="Arial"/>
          <w:sz w:val="24"/>
          <w:szCs w:val="24"/>
          <w:lang w:eastAsia="en-US"/>
        </w:rPr>
        <w:t xml:space="preserve">misma. De igual manera se concedió a la parte actora término para ampliar la demanda </w:t>
      </w:r>
      <w:r w:rsidR="00893C2E">
        <w:rPr>
          <w:rFonts w:ascii="Arial" w:eastAsia="Calibri" w:hAnsi="Arial" w:cs="Arial"/>
          <w:sz w:val="24"/>
          <w:szCs w:val="24"/>
          <w:lang w:eastAsia="en-US"/>
        </w:rPr>
        <w:t xml:space="preserve">sin embargo por acuerdo de fecha diecisiete de enero de dos mil veintitrés se declaró </w:t>
      </w:r>
      <w:proofErr w:type="spellStart"/>
      <w:r w:rsidR="00893C2E">
        <w:rPr>
          <w:rFonts w:ascii="Arial" w:eastAsia="Calibri" w:hAnsi="Arial" w:cs="Arial"/>
          <w:sz w:val="24"/>
          <w:szCs w:val="24"/>
          <w:lang w:eastAsia="en-US"/>
        </w:rPr>
        <w:t>precluido</w:t>
      </w:r>
      <w:proofErr w:type="spellEnd"/>
      <w:r w:rsidR="00893C2E">
        <w:rPr>
          <w:rFonts w:ascii="Arial" w:eastAsia="Calibri" w:hAnsi="Arial" w:cs="Arial"/>
          <w:sz w:val="24"/>
          <w:szCs w:val="24"/>
          <w:lang w:eastAsia="en-US"/>
        </w:rPr>
        <w:t xml:space="preserve"> su derecho y se fijaron las trece horas del ocho de febrero de dos mil veintitrés para la celebración de la Audiencia de Ley. </w:t>
      </w:r>
    </w:p>
    <w:p w14:paraId="219A7C67" w14:textId="7D0B249A" w:rsidR="003A730F" w:rsidRDefault="00893C2E" w:rsidP="00893C2E">
      <w:pPr>
        <w:spacing w:after="160" w:line="360" w:lineRule="auto"/>
        <w:ind w:firstLine="567"/>
        <w:jc w:val="both"/>
        <w:rPr>
          <w:rFonts w:ascii="Arial" w:eastAsia="Calibri" w:hAnsi="Arial" w:cs="Arial"/>
          <w:sz w:val="24"/>
          <w:szCs w:val="24"/>
          <w:lang w:eastAsia="en-US"/>
        </w:rPr>
      </w:pPr>
      <w:r>
        <w:rPr>
          <w:rFonts w:ascii="Arial" w:eastAsia="Calibri" w:hAnsi="Arial" w:cs="Arial"/>
          <w:b/>
          <w:bCs/>
          <w:sz w:val="24"/>
          <w:szCs w:val="24"/>
          <w:lang w:eastAsia="en-US"/>
        </w:rPr>
        <w:t xml:space="preserve">4°. </w:t>
      </w:r>
      <w:r>
        <w:rPr>
          <w:rFonts w:ascii="Arial" w:eastAsia="Calibri" w:hAnsi="Arial" w:cs="Arial"/>
          <w:sz w:val="24"/>
          <w:szCs w:val="24"/>
          <w:lang w:eastAsia="en-US"/>
        </w:rPr>
        <w:t>El día señalado se llevó a cabo la Audiencia Final</w:t>
      </w:r>
      <w:r w:rsidR="003C1EC7">
        <w:rPr>
          <w:rFonts w:ascii="Arial" w:eastAsia="Calibri" w:hAnsi="Arial" w:cs="Arial"/>
          <w:sz w:val="24"/>
          <w:szCs w:val="24"/>
          <w:lang w:eastAsia="en-US"/>
        </w:rPr>
        <w:t xml:space="preserve"> </w:t>
      </w:r>
      <w:r w:rsidR="0085386F">
        <w:rPr>
          <w:rFonts w:ascii="Arial" w:eastAsia="Calibri" w:hAnsi="Arial" w:cs="Arial"/>
          <w:sz w:val="24"/>
          <w:szCs w:val="24"/>
          <w:lang w:eastAsia="en-US"/>
        </w:rPr>
        <w:t xml:space="preserve">donde </w:t>
      </w:r>
      <w:r w:rsidR="003A730F">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003A730F" w:rsidRPr="00512412">
        <w:rPr>
          <w:rFonts w:ascii="Arial" w:eastAsia="Calibri" w:hAnsi="Arial" w:cs="Arial"/>
          <w:sz w:val="24"/>
          <w:szCs w:val="24"/>
          <w:lang w:eastAsia="en-US"/>
        </w:rPr>
        <w:t xml:space="preserve">; en el periodo de pruebas se tuvieron por </w:t>
      </w:r>
      <w:r w:rsidR="003A730F" w:rsidRPr="00512412">
        <w:rPr>
          <w:rFonts w:ascii="Arial" w:eastAsia="Calibri" w:hAnsi="Arial" w:cs="Arial"/>
          <w:sz w:val="24"/>
          <w:szCs w:val="24"/>
          <w:lang w:eastAsia="en-US"/>
        </w:rPr>
        <w:lastRenderedPageBreak/>
        <w:t xml:space="preserve">desahogadas por su propia y especial naturaleza las pruebas ofrecidas por las partes; en el periodo de alegatos se hizo constar </w:t>
      </w:r>
      <w:r w:rsidR="007C3C1C">
        <w:rPr>
          <w:rFonts w:ascii="Arial" w:eastAsia="Calibri" w:hAnsi="Arial" w:cs="Arial"/>
          <w:sz w:val="24"/>
          <w:szCs w:val="24"/>
          <w:lang w:eastAsia="en-US"/>
        </w:rPr>
        <w:t xml:space="preserve">el escrito de alegatos de la parte actora y se dio cuenta que la autoridad demandada no formuló alegatos </w:t>
      </w:r>
      <w:r w:rsidR="003A730F">
        <w:rPr>
          <w:rFonts w:ascii="Arial" w:eastAsia="Calibri" w:hAnsi="Arial" w:cs="Arial"/>
          <w:sz w:val="24"/>
          <w:szCs w:val="24"/>
          <w:lang w:eastAsia="en-US"/>
        </w:rPr>
        <w:t xml:space="preserve">por lo que se le tuvo por perdido su derecho </w:t>
      </w:r>
      <w:r w:rsidR="003A730F"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3D48B7CA" w14:textId="77777777" w:rsidR="0085386F" w:rsidRPr="00512412" w:rsidRDefault="0085386F" w:rsidP="0085386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364191BE" w14:textId="77777777"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0C80F779" w14:textId="4D893963"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r w:rsidR="002D7795">
        <w:rPr>
          <w:rFonts w:ascii="Arial" w:eastAsia="Calibri" w:hAnsi="Arial" w:cs="Arial"/>
          <w:sz w:val="24"/>
          <w:szCs w:val="24"/>
          <w:lang w:eastAsia="en-US"/>
        </w:rPr>
        <w:t xml:space="preserve"> para el Estado de Oaxaca</w:t>
      </w:r>
      <w:r w:rsidRPr="00512412">
        <w:rPr>
          <w:rFonts w:ascii="Arial" w:eastAsia="Calibri" w:hAnsi="Arial" w:cs="Arial"/>
          <w:sz w:val="24"/>
          <w:szCs w:val="24"/>
          <w:lang w:eastAsia="en-US"/>
        </w:rPr>
        <w:t>.</w:t>
      </w:r>
    </w:p>
    <w:p w14:paraId="1D9EEE29" w14:textId="5DA57809" w:rsidR="00D83CC1" w:rsidRDefault="00D83CC1" w:rsidP="00D83CC1">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971BEB">
        <w:rPr>
          <w:rFonts w:ascii="Arial" w:hAnsi="Arial" w:cs="Arial"/>
          <w:sz w:val="24"/>
          <w:szCs w:val="24"/>
        </w:rPr>
        <w:t xml:space="preserve">acta de infracción con número de folio </w:t>
      </w:r>
      <w:r w:rsidR="004C5C44">
        <w:rPr>
          <w:rFonts w:ascii="Arial" w:hAnsi="Arial" w:cs="Arial"/>
          <w:sz w:val="24"/>
          <w:szCs w:val="24"/>
        </w:rPr>
        <w:t>**********</w:t>
      </w:r>
      <w:r w:rsidR="00893C2E">
        <w:rPr>
          <w:rFonts w:ascii="Arial" w:hAnsi="Arial" w:cs="Arial"/>
          <w:sz w:val="24"/>
          <w:szCs w:val="24"/>
        </w:rPr>
        <w:t xml:space="preserve"> de fecha veintidós de octubre de dos mil veintiuno </w:t>
      </w:r>
      <w:r w:rsidR="00971BEB">
        <w:rPr>
          <w:rFonts w:ascii="Arial" w:hAnsi="Arial" w:cs="Arial"/>
          <w:sz w:val="24"/>
          <w:szCs w:val="24"/>
        </w:rPr>
        <w:t xml:space="preserve">misma que obra en </w:t>
      </w:r>
      <w:r w:rsidR="007C3C1C">
        <w:rPr>
          <w:rFonts w:ascii="Arial" w:hAnsi="Arial" w:cs="Arial"/>
          <w:sz w:val="24"/>
          <w:szCs w:val="24"/>
        </w:rPr>
        <w:t>original</w:t>
      </w:r>
      <w:r w:rsidR="00971BEB">
        <w:rPr>
          <w:rFonts w:ascii="Arial" w:hAnsi="Arial" w:cs="Arial"/>
          <w:sz w:val="24"/>
          <w:szCs w:val="24"/>
        </w:rPr>
        <w:t xml:space="preserve"> a foja </w:t>
      </w:r>
      <w:r w:rsidR="00893C2E">
        <w:rPr>
          <w:rFonts w:ascii="Arial" w:hAnsi="Arial" w:cs="Arial"/>
          <w:sz w:val="24"/>
          <w:szCs w:val="24"/>
        </w:rPr>
        <w:t>nueve</w:t>
      </w:r>
      <w:r w:rsidR="00971BEB">
        <w:rPr>
          <w:rFonts w:ascii="Arial" w:hAnsi="Arial" w:cs="Arial"/>
          <w:sz w:val="24"/>
          <w:szCs w:val="24"/>
        </w:rPr>
        <w:t xml:space="preserve"> del expediente natural a rubro indicado</w:t>
      </w:r>
      <w:r w:rsidRPr="006D319D">
        <w:rPr>
          <w:rFonts w:ascii="Arial" w:hAnsi="Arial" w:cs="Arial"/>
          <w:sz w:val="24"/>
          <w:szCs w:val="24"/>
        </w:rPr>
        <w:t>, a la cual se le concede valor probatorio pleno de conformidad con el artículo 203</w:t>
      </w:r>
      <w:r w:rsidR="002D7795">
        <w:rPr>
          <w:rFonts w:ascii="Arial" w:hAnsi="Arial" w:cs="Arial"/>
          <w:sz w:val="24"/>
          <w:szCs w:val="24"/>
        </w:rPr>
        <w:t>,</w:t>
      </w:r>
      <w:r w:rsidRPr="006D319D">
        <w:rPr>
          <w:rFonts w:ascii="Arial" w:hAnsi="Arial" w:cs="Arial"/>
          <w:sz w:val="24"/>
          <w:szCs w:val="24"/>
        </w:rPr>
        <w:t xml:space="preserve">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Justicia Administrativa para el Estado de Oaxaca</w:t>
      </w:r>
      <w:r>
        <w:rPr>
          <w:rFonts w:ascii="Arial" w:hAnsi="Arial" w:cs="Arial"/>
          <w:sz w:val="24"/>
          <w:szCs w:val="24"/>
        </w:rPr>
        <w:t>. De manera que dicha</w:t>
      </w:r>
      <w:r w:rsidRPr="006D319D">
        <w:rPr>
          <w:rFonts w:ascii="Arial" w:hAnsi="Arial" w:cs="Arial"/>
          <w:sz w:val="24"/>
          <w:szCs w:val="24"/>
        </w:rPr>
        <w:t xml:space="preserve"> documental pública es el medi</w:t>
      </w:r>
      <w:r w:rsidR="002D7795">
        <w:rPr>
          <w:rFonts w:ascii="Arial" w:hAnsi="Arial" w:cs="Arial"/>
          <w:sz w:val="24"/>
          <w:szCs w:val="24"/>
        </w:rPr>
        <w:t>o de convicción, que se tiene pa</w:t>
      </w:r>
      <w:r w:rsidRPr="006D319D">
        <w:rPr>
          <w:rFonts w:ascii="Arial" w:hAnsi="Arial" w:cs="Arial"/>
          <w:sz w:val="24"/>
          <w:szCs w:val="24"/>
        </w:rPr>
        <w:t>r</w:t>
      </w:r>
      <w:r w:rsidR="002D7795">
        <w:rPr>
          <w:rFonts w:ascii="Arial" w:hAnsi="Arial" w:cs="Arial"/>
          <w:sz w:val="24"/>
          <w:szCs w:val="24"/>
        </w:rPr>
        <w:t>a</w:t>
      </w:r>
      <w:r w:rsidRPr="006D319D">
        <w:rPr>
          <w:rFonts w:ascii="Arial" w:hAnsi="Arial" w:cs="Arial"/>
          <w:sz w:val="24"/>
          <w:szCs w:val="24"/>
        </w:rPr>
        <w:t xml:space="preserve"> acredita</w:t>
      </w:r>
      <w:r w:rsidR="002D7795">
        <w:rPr>
          <w:rFonts w:ascii="Arial" w:hAnsi="Arial" w:cs="Arial"/>
          <w:sz w:val="24"/>
          <w:szCs w:val="24"/>
        </w:rPr>
        <w:t>r</w:t>
      </w:r>
      <w:r w:rsidRPr="006D319D">
        <w:rPr>
          <w:rFonts w:ascii="Arial" w:hAnsi="Arial" w:cs="Arial"/>
          <w:sz w:val="24"/>
          <w:szCs w:val="24"/>
        </w:rPr>
        <w:t xml:space="preserve"> la existencia del acto impugnado. </w:t>
      </w:r>
    </w:p>
    <w:p w14:paraId="6ED81FD1" w14:textId="31DE56A3" w:rsidR="004C0A42"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 xml:space="preserve">respecto al </w:t>
      </w:r>
      <w:r w:rsidR="00226899">
        <w:rPr>
          <w:rFonts w:ascii="Arial" w:hAnsi="Arial" w:cs="Arial"/>
          <w:sz w:val="24"/>
          <w:szCs w:val="24"/>
        </w:rPr>
        <w:t xml:space="preserve">acta de infracción </w:t>
      </w:r>
      <w:r w:rsidR="002D7795">
        <w:rPr>
          <w:rFonts w:ascii="Arial" w:hAnsi="Arial" w:cs="Arial"/>
          <w:sz w:val="24"/>
          <w:szCs w:val="24"/>
        </w:rPr>
        <w:t xml:space="preserve">aquí </w:t>
      </w:r>
      <w:r w:rsidR="00971BEB">
        <w:rPr>
          <w:rFonts w:ascii="Arial" w:hAnsi="Arial" w:cs="Arial"/>
          <w:sz w:val="24"/>
          <w:szCs w:val="24"/>
        </w:rPr>
        <w:lastRenderedPageBreak/>
        <w:t>impugnada</w:t>
      </w:r>
      <w:r w:rsidR="003C1EC7">
        <w:rPr>
          <w:rFonts w:ascii="Arial" w:hAnsi="Arial" w:cs="Arial"/>
          <w:sz w:val="24"/>
          <w:szCs w:val="24"/>
        </w:rPr>
        <w:t xml:space="preserve">, de donde argumenta que no resulta legal </w:t>
      </w:r>
      <w:r w:rsidR="007C49D1">
        <w:rPr>
          <w:rFonts w:ascii="Arial" w:hAnsi="Arial" w:cs="Arial"/>
          <w:sz w:val="24"/>
          <w:szCs w:val="24"/>
        </w:rPr>
        <w:t xml:space="preserve">pues </w:t>
      </w:r>
      <w:r w:rsidR="006B1484">
        <w:rPr>
          <w:rFonts w:ascii="Arial" w:hAnsi="Arial" w:cs="Arial"/>
          <w:sz w:val="24"/>
          <w:szCs w:val="24"/>
        </w:rPr>
        <w:t>se encuentra indebidamente fundad</w:t>
      </w:r>
      <w:r w:rsidR="00226899">
        <w:rPr>
          <w:rFonts w:ascii="Arial" w:hAnsi="Arial" w:cs="Arial"/>
          <w:sz w:val="24"/>
          <w:szCs w:val="24"/>
        </w:rPr>
        <w:t>a y motivada</w:t>
      </w:r>
      <w:r w:rsidR="007C3C1C">
        <w:rPr>
          <w:rFonts w:ascii="Arial" w:hAnsi="Arial" w:cs="Arial"/>
          <w:sz w:val="24"/>
          <w:szCs w:val="24"/>
        </w:rPr>
        <w:t xml:space="preserve"> máxime que no realiza una descripción </w:t>
      </w:r>
      <w:r w:rsidR="004C0A42">
        <w:rPr>
          <w:rFonts w:ascii="Arial" w:hAnsi="Arial" w:cs="Arial"/>
          <w:sz w:val="24"/>
          <w:szCs w:val="24"/>
        </w:rPr>
        <w:t xml:space="preserve">clara y completa de la conducta sancionable. </w:t>
      </w:r>
    </w:p>
    <w:p w14:paraId="453239B8" w14:textId="53829E2B" w:rsidR="007C3C1C" w:rsidRDefault="004C0A42" w:rsidP="003A730F">
      <w:pPr>
        <w:spacing w:after="160" w:line="360" w:lineRule="auto"/>
        <w:ind w:firstLine="567"/>
        <w:jc w:val="both"/>
        <w:rPr>
          <w:rFonts w:ascii="Arial" w:hAnsi="Arial" w:cs="Arial"/>
          <w:sz w:val="24"/>
          <w:szCs w:val="24"/>
        </w:rPr>
      </w:pPr>
      <w:r>
        <w:rPr>
          <w:rFonts w:ascii="Arial" w:hAnsi="Arial" w:cs="Arial"/>
          <w:sz w:val="24"/>
          <w:szCs w:val="24"/>
        </w:rPr>
        <w:t>Por su parte la autoridad demandada manifestó</w:t>
      </w:r>
      <w:r w:rsidR="007C3C1C">
        <w:rPr>
          <w:rFonts w:ascii="Arial" w:hAnsi="Arial" w:cs="Arial"/>
          <w:sz w:val="24"/>
          <w:szCs w:val="24"/>
        </w:rPr>
        <w:t xml:space="preserve"> </w:t>
      </w:r>
      <w:r>
        <w:rPr>
          <w:rFonts w:ascii="Arial" w:hAnsi="Arial" w:cs="Arial"/>
          <w:sz w:val="24"/>
          <w:szCs w:val="24"/>
        </w:rPr>
        <w:t xml:space="preserve">que sí se encuentra debidamente fundado y motivado el acto de autoridad que se impugna en esta instancia. </w:t>
      </w:r>
    </w:p>
    <w:p w14:paraId="1D668CDD" w14:textId="382E5F5D" w:rsidR="00BA14C6" w:rsidRDefault="00BA14C6" w:rsidP="00BA14C6">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r w:rsidR="004C0A42">
        <w:rPr>
          <w:rFonts w:ascii="Arial" w:hAnsi="Arial" w:cs="Arial"/>
          <w:sz w:val="24"/>
          <w:szCs w:val="24"/>
        </w:rPr>
        <w:t xml:space="preserve">. </w:t>
      </w:r>
    </w:p>
    <w:p w14:paraId="2E7CE99F" w14:textId="43884042" w:rsidR="003F5A16" w:rsidRDefault="003F5A16"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 xml:space="preserve">respecto a la ilegalidad del </w:t>
      </w:r>
      <w:r w:rsidR="00277B68">
        <w:rPr>
          <w:rFonts w:ascii="Arial" w:hAnsi="Arial" w:cs="Arial"/>
          <w:sz w:val="24"/>
          <w:szCs w:val="24"/>
        </w:rPr>
        <w:t xml:space="preserve">acta de infracción con número de folio </w:t>
      </w:r>
      <w:r w:rsidR="004C5C44">
        <w:rPr>
          <w:rFonts w:ascii="Arial" w:hAnsi="Arial" w:cs="Arial"/>
          <w:sz w:val="24"/>
          <w:szCs w:val="24"/>
        </w:rPr>
        <w:t>**********</w:t>
      </w:r>
      <w:r w:rsidR="00893C2E">
        <w:rPr>
          <w:rFonts w:ascii="Arial" w:hAnsi="Arial" w:cs="Arial"/>
          <w:sz w:val="24"/>
          <w:szCs w:val="24"/>
        </w:rPr>
        <w:t xml:space="preserve"> de fecha veintidós de octubre de dos mil veintiuno</w:t>
      </w:r>
      <w:r w:rsidR="00A36029">
        <w:rPr>
          <w:rFonts w:ascii="Arial" w:hAnsi="Arial" w:cs="Arial"/>
          <w:sz w:val="24"/>
          <w:szCs w:val="24"/>
        </w:rPr>
        <w:t>.</w:t>
      </w:r>
    </w:p>
    <w:p w14:paraId="093217AF" w14:textId="74BAD835" w:rsidR="00343500" w:rsidRDefault="00343500" w:rsidP="00343500">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La parte actora refirió en lo medular que el acto administrativo es ilegal en virtud de que no fue emitido cumpliendo con los requisitos de validez que deben tener los actos administrativos, pues si bien cita el supuesto precepto normativo aplicable para la imposición de sanciones, no así realiza </w:t>
      </w:r>
      <w:r w:rsidR="002D7795">
        <w:rPr>
          <w:rFonts w:ascii="Arial" w:eastAsia="Calibri" w:hAnsi="Arial" w:cs="Arial"/>
          <w:sz w:val="24"/>
          <w:szCs w:val="24"/>
          <w:lang w:eastAsia="en-US"/>
        </w:rPr>
        <w:t>un</w:t>
      </w:r>
      <w:r>
        <w:rPr>
          <w:rFonts w:ascii="Arial" w:eastAsia="Calibri" w:hAnsi="Arial" w:cs="Arial"/>
          <w:sz w:val="24"/>
          <w:szCs w:val="24"/>
          <w:lang w:eastAsia="en-US"/>
        </w:rPr>
        <w:t xml:space="preserve"> análisis lógico jurídico para exponer por qué la conducta del actor es en efecto sancionable. Mientras que la autoridad demandada sostiene la legalidad del fundamento y motivo del acto impugnado.</w:t>
      </w:r>
    </w:p>
    <w:p w14:paraId="63EDB96C" w14:textId="3F055AEC" w:rsidR="00343500" w:rsidRPr="00CE328A" w:rsidRDefault="00343500" w:rsidP="00343500">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Por ello</w:t>
      </w:r>
      <w:r w:rsidR="002D7795">
        <w:rPr>
          <w:rFonts w:ascii="Arial" w:eastAsia="Calibri" w:hAnsi="Arial" w:cs="Arial"/>
          <w:sz w:val="24"/>
          <w:szCs w:val="24"/>
          <w:lang w:eastAsia="en-US"/>
        </w:rPr>
        <w:t>,</w:t>
      </w:r>
      <w:r>
        <w:rPr>
          <w:rFonts w:ascii="Arial" w:eastAsia="Calibri" w:hAnsi="Arial" w:cs="Arial"/>
          <w:sz w:val="24"/>
          <w:szCs w:val="24"/>
          <w:lang w:eastAsia="en-US"/>
        </w:rPr>
        <w:t xml:space="preserve"> es menester verificar si el acto administrativo impugnado cumple o no con los requisitos de validez que deben revestir los actos administrativos.</w:t>
      </w:r>
    </w:p>
    <w:p w14:paraId="31EF5CF2" w14:textId="35E15BD2" w:rsidR="00343500" w:rsidRPr="00CE328A" w:rsidRDefault="00343500" w:rsidP="00343500">
      <w:pPr>
        <w:spacing w:after="160" w:line="360" w:lineRule="auto"/>
        <w:ind w:firstLine="567"/>
        <w:jc w:val="both"/>
        <w:rPr>
          <w:rFonts w:ascii="Arial" w:hAnsi="Arial" w:cs="Arial"/>
          <w:bCs/>
          <w:sz w:val="24"/>
          <w:szCs w:val="24"/>
        </w:rPr>
      </w:pPr>
      <w:r>
        <w:rPr>
          <w:rFonts w:ascii="Arial" w:eastAsia="Calibri" w:hAnsi="Arial" w:cs="Arial"/>
          <w:sz w:val="24"/>
          <w:szCs w:val="24"/>
          <w:lang w:eastAsia="en-US"/>
        </w:rPr>
        <w:t>Así pues, de</w:t>
      </w:r>
      <w:r w:rsidRPr="00CE328A">
        <w:rPr>
          <w:rFonts w:ascii="Arial" w:eastAsia="Calibri" w:hAnsi="Arial" w:cs="Arial"/>
          <w:sz w:val="24"/>
          <w:szCs w:val="24"/>
          <w:lang w:eastAsia="en-US"/>
        </w:rPr>
        <w:t xml:space="preserve"> una lectura integral del acto impugnado, al cual se le ha dado valor probatorio pleno de conformidad con el precepto 203</w:t>
      </w:r>
      <w:r w:rsidR="002D7795">
        <w:rPr>
          <w:rFonts w:ascii="Arial" w:eastAsia="Calibri" w:hAnsi="Arial" w:cs="Arial"/>
          <w:sz w:val="24"/>
          <w:szCs w:val="24"/>
          <w:lang w:eastAsia="en-US"/>
        </w:rPr>
        <w:t>,</w:t>
      </w:r>
      <w:r w:rsidRPr="00CE328A">
        <w:rPr>
          <w:rFonts w:ascii="Arial" w:eastAsia="Calibri" w:hAnsi="Arial" w:cs="Arial"/>
          <w:sz w:val="24"/>
          <w:szCs w:val="24"/>
          <w:lang w:eastAsia="en-US"/>
        </w:rPr>
        <w:t xml:space="preserve"> fracción I de la Ley de la materia, en la parte que interesa, se advierte que la autoridad aquí demandada asentó </w:t>
      </w:r>
      <w:r w:rsidR="002D7795">
        <w:rPr>
          <w:rFonts w:ascii="Arial" w:eastAsia="Calibri" w:hAnsi="Arial" w:cs="Arial"/>
          <w:sz w:val="24"/>
          <w:szCs w:val="24"/>
          <w:lang w:eastAsia="en-US"/>
        </w:rPr>
        <w:t xml:space="preserve">lo </w:t>
      </w:r>
      <w:r w:rsidRPr="00CE328A">
        <w:rPr>
          <w:rFonts w:ascii="Arial" w:eastAsia="Calibri" w:hAnsi="Arial" w:cs="Arial"/>
          <w:sz w:val="24"/>
          <w:szCs w:val="24"/>
          <w:lang w:eastAsia="en-US"/>
        </w:rPr>
        <w:t>siguiente</w:t>
      </w:r>
      <w:r w:rsidRPr="00CE328A">
        <w:rPr>
          <w:rFonts w:ascii="Arial" w:hAnsi="Arial" w:cs="Arial"/>
          <w:bCs/>
          <w:sz w:val="24"/>
          <w:szCs w:val="24"/>
        </w:rPr>
        <w:t>:</w:t>
      </w:r>
    </w:p>
    <w:p w14:paraId="74B494C9" w14:textId="3595DA33" w:rsidR="00610349" w:rsidRDefault="002D7795" w:rsidP="002D7795">
      <w:pPr>
        <w:tabs>
          <w:tab w:val="left" w:pos="284"/>
          <w:tab w:val="left" w:pos="709"/>
          <w:tab w:val="right" w:pos="9072"/>
        </w:tabs>
        <w:spacing w:after="0" w:line="360" w:lineRule="auto"/>
        <w:ind w:left="1134" w:right="616"/>
        <w:jc w:val="both"/>
        <w:rPr>
          <w:rFonts w:ascii="Arial Narrow" w:eastAsia="Calibri" w:hAnsi="Arial Narrow" w:cs="Arial"/>
          <w:sz w:val="24"/>
          <w:szCs w:val="24"/>
          <w:lang w:eastAsia="en-US"/>
        </w:rPr>
      </w:pPr>
      <w:r>
        <w:rPr>
          <w:rFonts w:ascii="Arial Narrow" w:eastAsia="Calibri" w:hAnsi="Arial Narrow" w:cs="Arial"/>
          <w:sz w:val="24"/>
          <w:szCs w:val="24"/>
          <w:lang w:eastAsia="en-US"/>
        </w:rPr>
        <w:t>“</w:t>
      </w:r>
      <w:r w:rsidR="008E25FE">
        <w:rPr>
          <w:rFonts w:ascii="Arial Narrow" w:eastAsia="Calibri" w:hAnsi="Arial Narrow" w:cs="Arial"/>
          <w:sz w:val="24"/>
          <w:szCs w:val="24"/>
          <w:lang w:eastAsia="en-US"/>
        </w:rPr>
        <w:t xml:space="preserve">Con fundamento en el artículo 18 fracción V de la Ley de Tránsito y Vialidad del Estado de </w:t>
      </w:r>
      <w:proofErr w:type="spellStart"/>
      <w:r w:rsidR="008E25FE">
        <w:rPr>
          <w:rFonts w:ascii="Arial Narrow" w:eastAsia="Calibri" w:hAnsi="Arial Narrow" w:cs="Arial"/>
          <w:sz w:val="24"/>
          <w:szCs w:val="24"/>
          <w:lang w:eastAsia="en-US"/>
        </w:rPr>
        <w:t>Oax</w:t>
      </w:r>
      <w:proofErr w:type="spellEnd"/>
      <w:r w:rsidR="008E25FE">
        <w:rPr>
          <w:rFonts w:ascii="Arial Narrow" w:eastAsia="Calibri" w:hAnsi="Arial Narrow" w:cs="Arial"/>
          <w:sz w:val="24"/>
          <w:szCs w:val="24"/>
          <w:lang w:eastAsia="en-US"/>
        </w:rPr>
        <w:t xml:space="preserve">. Por infringir el artículo 94 fracción V de la Ley Reformada de Tránsito y Vialidad del Estado de Oaxaca. Por estar estacionado en el carril destinado al </w:t>
      </w:r>
      <w:proofErr w:type="spellStart"/>
      <w:r w:rsidR="008E25FE">
        <w:rPr>
          <w:rFonts w:ascii="Arial Narrow" w:eastAsia="Calibri" w:hAnsi="Arial Narrow" w:cs="Arial"/>
          <w:sz w:val="24"/>
          <w:szCs w:val="24"/>
          <w:lang w:eastAsia="en-US"/>
        </w:rPr>
        <w:t>citybus</w:t>
      </w:r>
      <w:proofErr w:type="spellEnd"/>
      <w:r>
        <w:rPr>
          <w:rFonts w:ascii="Arial Narrow" w:eastAsia="Calibri" w:hAnsi="Arial Narrow" w:cs="Arial"/>
          <w:sz w:val="24"/>
          <w:szCs w:val="24"/>
          <w:lang w:eastAsia="en-US"/>
        </w:rPr>
        <w:t>”</w:t>
      </w:r>
    </w:p>
    <w:p w14:paraId="1F3C0797" w14:textId="77777777" w:rsidR="004F795C" w:rsidRPr="00343500" w:rsidRDefault="004F795C" w:rsidP="00343500">
      <w:pPr>
        <w:tabs>
          <w:tab w:val="left" w:pos="284"/>
          <w:tab w:val="left" w:pos="709"/>
          <w:tab w:val="right" w:pos="9072"/>
        </w:tabs>
        <w:spacing w:after="0" w:line="360" w:lineRule="auto"/>
        <w:ind w:left="1134" w:right="-234"/>
        <w:jc w:val="both"/>
        <w:rPr>
          <w:rFonts w:ascii="Arial Narrow" w:eastAsia="Calibri" w:hAnsi="Arial Narrow" w:cs="Arial"/>
          <w:sz w:val="24"/>
          <w:szCs w:val="24"/>
          <w:lang w:eastAsia="en-US"/>
        </w:rPr>
      </w:pPr>
    </w:p>
    <w:p w14:paraId="7EF25139" w14:textId="57C0CD79" w:rsidR="004F795C" w:rsidRDefault="002D7795" w:rsidP="004F795C">
      <w:pPr>
        <w:spacing w:line="360" w:lineRule="auto"/>
        <w:ind w:firstLine="567"/>
        <w:jc w:val="both"/>
        <w:rPr>
          <w:rFonts w:ascii="Arial" w:hAnsi="Arial" w:cs="Arial"/>
          <w:sz w:val="24"/>
          <w:szCs w:val="24"/>
        </w:rPr>
      </w:pPr>
      <w:r>
        <w:rPr>
          <w:rFonts w:ascii="Arial" w:hAnsi="Arial" w:cs="Arial"/>
          <w:sz w:val="24"/>
          <w:szCs w:val="24"/>
        </w:rPr>
        <w:t xml:space="preserve">Es así, </w:t>
      </w:r>
      <w:r w:rsidR="004F795C">
        <w:rPr>
          <w:rFonts w:ascii="Arial" w:hAnsi="Arial" w:cs="Arial"/>
          <w:sz w:val="24"/>
          <w:szCs w:val="24"/>
        </w:rPr>
        <w:t xml:space="preserve">que el artículo 21 de la Constitución Política de los Estados Unidos Mexicanos, faculta a las autoridades administrativas a imponer </w:t>
      </w:r>
      <w:r w:rsidR="004F795C">
        <w:rPr>
          <w:rFonts w:ascii="Arial" w:hAnsi="Arial" w:cs="Arial"/>
          <w:sz w:val="24"/>
          <w:szCs w:val="24"/>
        </w:rPr>
        <w:lastRenderedPageBreak/>
        <w:t xml:space="preserve">sanciones que no podrán ir más allá de una multa, arresto hasta por treinta y seis horas o trabajo en favor de la comunidad: </w:t>
      </w:r>
    </w:p>
    <w:p w14:paraId="3122EF4B" w14:textId="2BBD6AF6" w:rsidR="004F795C" w:rsidRPr="009F092A" w:rsidRDefault="002D7795" w:rsidP="00AA4EC0">
      <w:pPr>
        <w:spacing w:line="360" w:lineRule="auto"/>
        <w:ind w:left="1418"/>
        <w:jc w:val="both"/>
        <w:rPr>
          <w:rFonts w:ascii="Arial Narrow" w:hAnsi="Arial Narrow" w:cs="Arial"/>
          <w:sz w:val="24"/>
          <w:szCs w:val="24"/>
        </w:rPr>
      </w:pPr>
      <w:r>
        <w:rPr>
          <w:rFonts w:ascii="Arial Narrow" w:hAnsi="Arial Narrow" w:cs="Arial"/>
          <w:b/>
          <w:bCs/>
          <w:sz w:val="24"/>
          <w:szCs w:val="24"/>
        </w:rPr>
        <w:t>“</w:t>
      </w:r>
      <w:r w:rsidR="004F795C" w:rsidRPr="009F092A">
        <w:rPr>
          <w:rFonts w:ascii="Arial Narrow" w:hAnsi="Arial Narrow" w:cs="Arial"/>
          <w:b/>
          <w:bCs/>
          <w:sz w:val="24"/>
          <w:szCs w:val="24"/>
        </w:rPr>
        <w:t>Artículo 21.</w:t>
      </w:r>
      <w:r w:rsidR="004F795C" w:rsidRPr="009F092A">
        <w:rPr>
          <w:rFonts w:ascii="Arial Narrow" w:hAnsi="Arial Narrow" w:cs="Arial"/>
          <w:sz w:val="24"/>
          <w:szCs w:val="24"/>
        </w:rPr>
        <w:t xml:space="preserve"> La investigación de los delitos corresponde al Ministerio Público y a las policías, las cuales actuarán bajo la conducción y mando de aquél en el ejercicio de esta función.</w:t>
      </w:r>
    </w:p>
    <w:p w14:paraId="2442E631" w14:textId="77777777" w:rsidR="004F795C" w:rsidRPr="009F092A" w:rsidRDefault="004F795C" w:rsidP="00AA4EC0">
      <w:pPr>
        <w:spacing w:line="360" w:lineRule="auto"/>
        <w:ind w:left="1418"/>
        <w:jc w:val="both"/>
        <w:rPr>
          <w:rFonts w:ascii="Arial Narrow" w:hAnsi="Arial Narrow" w:cs="Arial"/>
          <w:sz w:val="24"/>
          <w:szCs w:val="24"/>
        </w:rPr>
      </w:pPr>
      <w:r w:rsidRPr="009F092A">
        <w:rPr>
          <w:rFonts w:ascii="Arial Narrow" w:hAnsi="Arial Narrow" w:cs="Arial"/>
          <w:sz w:val="24"/>
          <w:szCs w:val="24"/>
        </w:rPr>
        <w:t>(…)</w:t>
      </w:r>
    </w:p>
    <w:p w14:paraId="3585A664" w14:textId="77777777" w:rsidR="004F795C" w:rsidRPr="009F092A" w:rsidRDefault="004F795C" w:rsidP="00AA4EC0">
      <w:pPr>
        <w:spacing w:line="360" w:lineRule="auto"/>
        <w:ind w:left="1418"/>
        <w:jc w:val="both"/>
        <w:rPr>
          <w:rFonts w:ascii="Arial Narrow" w:hAnsi="Arial Narrow" w:cs="Arial"/>
          <w:sz w:val="24"/>
          <w:szCs w:val="24"/>
        </w:rPr>
      </w:pPr>
      <w:r w:rsidRPr="009F092A">
        <w:rPr>
          <w:rFonts w:ascii="Arial Narrow" w:hAnsi="Arial Narrow" w:cs="Arial"/>
          <w:sz w:val="24"/>
          <w:szCs w:val="24"/>
        </w:rPr>
        <w:t xml:space="preserve"> 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w:t>
      </w:r>
    </w:p>
    <w:p w14:paraId="634D13D5" w14:textId="065A6D07" w:rsidR="004F795C" w:rsidRPr="009F092A" w:rsidRDefault="004F795C" w:rsidP="00AA4EC0">
      <w:pPr>
        <w:spacing w:line="360" w:lineRule="auto"/>
        <w:ind w:left="1418"/>
        <w:jc w:val="both"/>
        <w:rPr>
          <w:rFonts w:ascii="Arial Narrow" w:hAnsi="Arial Narrow" w:cs="Arial"/>
          <w:sz w:val="28"/>
          <w:szCs w:val="28"/>
        </w:rPr>
      </w:pPr>
      <w:r w:rsidRPr="009F092A">
        <w:rPr>
          <w:rFonts w:ascii="Arial Narrow" w:hAnsi="Arial Narrow" w:cs="Arial"/>
          <w:sz w:val="24"/>
          <w:szCs w:val="24"/>
        </w:rPr>
        <w:t>(…)</w:t>
      </w:r>
      <w:r w:rsidR="00AA4EC0">
        <w:rPr>
          <w:rFonts w:ascii="Arial Narrow" w:hAnsi="Arial Narrow" w:cs="Arial"/>
          <w:sz w:val="24"/>
          <w:szCs w:val="24"/>
        </w:rPr>
        <w:t>”</w:t>
      </w:r>
    </w:p>
    <w:p w14:paraId="1EFEB37D" w14:textId="77777777" w:rsidR="004F795C" w:rsidRDefault="004F795C" w:rsidP="004F795C">
      <w:pPr>
        <w:spacing w:line="360" w:lineRule="auto"/>
        <w:jc w:val="both"/>
        <w:rPr>
          <w:rFonts w:ascii="Arial" w:hAnsi="Arial" w:cs="Arial"/>
          <w:sz w:val="24"/>
          <w:szCs w:val="24"/>
        </w:rPr>
      </w:pPr>
    </w:p>
    <w:p w14:paraId="0F653C3D" w14:textId="2CE398DD" w:rsidR="004F795C" w:rsidRDefault="004F795C" w:rsidP="00AA4EC0">
      <w:pPr>
        <w:spacing w:line="360" w:lineRule="auto"/>
        <w:ind w:firstLine="567"/>
        <w:jc w:val="both"/>
        <w:rPr>
          <w:rFonts w:ascii="Arial" w:hAnsi="Arial" w:cs="Arial"/>
          <w:sz w:val="24"/>
          <w:szCs w:val="24"/>
        </w:rPr>
      </w:pPr>
      <w:r>
        <w:rPr>
          <w:rFonts w:ascii="Arial" w:hAnsi="Arial" w:cs="Arial"/>
          <w:sz w:val="24"/>
          <w:szCs w:val="24"/>
        </w:rPr>
        <w:t xml:space="preserve">Así pues, resulta innegable que las multas emitidas por una autoridad administrativa, deben cumplir el imperativo constitucional de encontrarse debidamente fundadas y motivadas como se podrá apreciar de la cita de las siguientes Tesis: </w:t>
      </w:r>
    </w:p>
    <w:p w14:paraId="39C4BC5D" w14:textId="44B89B46" w:rsidR="004F795C" w:rsidRPr="009F092A" w:rsidRDefault="00AA4EC0" w:rsidP="00AA4EC0">
      <w:pPr>
        <w:spacing w:line="360" w:lineRule="auto"/>
        <w:ind w:left="1134" w:right="474"/>
        <w:jc w:val="both"/>
        <w:rPr>
          <w:rFonts w:ascii="Arial Narrow" w:hAnsi="Arial Narrow" w:cs="Arial"/>
          <w:b/>
          <w:bCs/>
          <w:sz w:val="24"/>
          <w:szCs w:val="24"/>
        </w:rPr>
      </w:pPr>
      <w:r>
        <w:rPr>
          <w:rFonts w:ascii="Arial Narrow" w:hAnsi="Arial Narrow" w:cs="Arial"/>
          <w:b/>
          <w:bCs/>
          <w:sz w:val="24"/>
          <w:szCs w:val="24"/>
        </w:rPr>
        <w:t>“</w:t>
      </w:r>
      <w:r w:rsidR="004F795C" w:rsidRPr="009F092A">
        <w:rPr>
          <w:rFonts w:ascii="Arial Narrow" w:hAnsi="Arial Narrow" w:cs="Arial"/>
          <w:b/>
          <w:bCs/>
          <w:sz w:val="24"/>
          <w:szCs w:val="24"/>
        </w:rPr>
        <w:t>TRANSITO, MULTAS DE</w:t>
      </w:r>
      <w:r w:rsidR="004F795C">
        <w:rPr>
          <w:rStyle w:val="Refdenotaalpie"/>
          <w:rFonts w:ascii="Arial Narrow" w:hAnsi="Arial Narrow" w:cs="Arial"/>
          <w:b/>
          <w:bCs/>
          <w:sz w:val="24"/>
          <w:szCs w:val="24"/>
        </w:rPr>
        <w:footnoteReference w:id="4"/>
      </w:r>
      <w:r w:rsidR="004F795C" w:rsidRPr="009F092A">
        <w:rPr>
          <w:rFonts w:ascii="Arial Narrow" w:hAnsi="Arial Narrow" w:cs="Arial"/>
          <w:b/>
          <w:bCs/>
          <w:sz w:val="24"/>
          <w:szCs w:val="24"/>
        </w:rPr>
        <w:t>.</w:t>
      </w:r>
    </w:p>
    <w:p w14:paraId="4B7B0B35" w14:textId="13C52175" w:rsidR="004F795C" w:rsidRDefault="004F795C" w:rsidP="00AA4EC0">
      <w:pPr>
        <w:spacing w:line="360" w:lineRule="auto"/>
        <w:ind w:left="1134" w:right="474"/>
        <w:jc w:val="both"/>
        <w:rPr>
          <w:rFonts w:ascii="Arial Narrow" w:hAnsi="Arial Narrow" w:cs="Arial"/>
          <w:sz w:val="24"/>
          <w:szCs w:val="24"/>
        </w:rPr>
      </w:pPr>
      <w:r w:rsidRPr="009F092A">
        <w:rPr>
          <w:rFonts w:ascii="Arial Narrow" w:hAnsi="Arial Narrow" w:cs="Arial"/>
          <w:sz w:val="24"/>
          <w:szCs w:val="24"/>
        </w:rPr>
        <w:t>Si un agente de tránsito como testigo, parte y Juez, levanta una infracción, y contra su dicho resulta eventualmente diabólica la carga de la prueba, lo menos que puede exigirse de ese agente es que al levantar una infracción exprese con toda amplitud y claridad los motivos que tuvo para hacerlo, y funde en derecho, con toda claridad los motivos que tuvo para hacerlo, y funde en derecho, con toda claridad, la multa que impuso. Y también es menester que conteste la demanda que contra su acta de infracción y su resolución de multa se imponga, refiriéndose con toda claridad y precisión a los hechos que el actor narra en su demanda y en los que dicho agente tuvo intervención, pues no podrían aceptarse como motivación válida del acto impugnado su silencio, ni sus evasivas, ni las afirmaciones ambiguas que soslayan la esencia de los hechos. Tal conducta exigida del agente es un mínimo de seguridad en la aplicación de las garantías de motivación y fundamentación que consagra el artículo 16 constitucional.</w:t>
      </w:r>
      <w:r w:rsidR="00AA4EC0">
        <w:rPr>
          <w:rFonts w:ascii="Arial Narrow" w:hAnsi="Arial Narrow" w:cs="Arial"/>
          <w:sz w:val="24"/>
          <w:szCs w:val="24"/>
        </w:rPr>
        <w:t>”</w:t>
      </w:r>
    </w:p>
    <w:p w14:paraId="4A69DEC6" w14:textId="77777777" w:rsidR="004F795C" w:rsidRDefault="004F795C" w:rsidP="00AA4EC0">
      <w:pPr>
        <w:spacing w:line="360" w:lineRule="auto"/>
        <w:ind w:left="1134" w:right="474"/>
        <w:jc w:val="both"/>
        <w:rPr>
          <w:rFonts w:ascii="Arial Narrow" w:hAnsi="Arial Narrow" w:cs="Arial"/>
          <w:sz w:val="24"/>
          <w:szCs w:val="24"/>
        </w:rPr>
      </w:pPr>
    </w:p>
    <w:p w14:paraId="5A9428B2" w14:textId="4D7917CE" w:rsidR="004F795C" w:rsidRPr="009F092A" w:rsidRDefault="00AA4EC0" w:rsidP="00AA4EC0">
      <w:pPr>
        <w:spacing w:line="360" w:lineRule="auto"/>
        <w:ind w:left="1134" w:right="474"/>
        <w:jc w:val="both"/>
        <w:rPr>
          <w:rFonts w:ascii="Arial Narrow" w:hAnsi="Arial Narrow" w:cs="Arial"/>
          <w:b/>
          <w:bCs/>
          <w:sz w:val="24"/>
          <w:szCs w:val="24"/>
        </w:rPr>
      </w:pPr>
      <w:r>
        <w:rPr>
          <w:rFonts w:ascii="Arial Narrow" w:hAnsi="Arial Narrow" w:cs="Arial"/>
          <w:b/>
          <w:bCs/>
          <w:sz w:val="24"/>
          <w:szCs w:val="24"/>
        </w:rPr>
        <w:t>“</w:t>
      </w:r>
      <w:r w:rsidR="004F795C" w:rsidRPr="009F092A">
        <w:rPr>
          <w:rFonts w:ascii="Arial Narrow" w:hAnsi="Arial Narrow" w:cs="Arial"/>
          <w:b/>
          <w:bCs/>
          <w:sz w:val="24"/>
          <w:szCs w:val="24"/>
        </w:rPr>
        <w:t>TRANSITO, MULTAS DE</w:t>
      </w:r>
      <w:r w:rsidR="004F795C" w:rsidRPr="009F092A">
        <w:rPr>
          <w:rStyle w:val="Refdenotaalpie"/>
          <w:rFonts w:ascii="Arial Narrow" w:hAnsi="Arial Narrow" w:cs="Arial"/>
          <w:b/>
          <w:bCs/>
          <w:sz w:val="24"/>
          <w:szCs w:val="24"/>
        </w:rPr>
        <w:footnoteReference w:id="5"/>
      </w:r>
      <w:r w:rsidR="004F795C" w:rsidRPr="009F092A">
        <w:rPr>
          <w:rFonts w:ascii="Arial Narrow" w:hAnsi="Arial Narrow" w:cs="Arial"/>
          <w:b/>
          <w:bCs/>
          <w:sz w:val="24"/>
          <w:szCs w:val="24"/>
        </w:rPr>
        <w:t>.</w:t>
      </w:r>
    </w:p>
    <w:p w14:paraId="00EA1B8B" w14:textId="01B4DDF5" w:rsidR="004F795C" w:rsidRDefault="004F795C" w:rsidP="00AA4EC0">
      <w:pPr>
        <w:spacing w:line="360" w:lineRule="auto"/>
        <w:ind w:left="1134" w:right="474"/>
        <w:jc w:val="both"/>
        <w:rPr>
          <w:rFonts w:ascii="Arial Narrow" w:hAnsi="Arial Narrow" w:cs="Arial"/>
          <w:sz w:val="24"/>
          <w:szCs w:val="24"/>
        </w:rPr>
      </w:pPr>
      <w:r w:rsidRPr="009F092A">
        <w:rPr>
          <w:rFonts w:ascii="Arial Narrow" w:hAnsi="Arial Narrow" w:cs="Arial"/>
          <w:sz w:val="24"/>
          <w:szCs w:val="24"/>
        </w:rPr>
        <w:t>Una infracción y una multa impuestas por el agente de tránsito como parte, testigo y Juez, en cuya acta se limita a asentar escuetamente "pasar alto con señal de semáforo", carece de motivación en realidad, pues por una parte no explica en forma clara y completa las circunstancias de la infracción y, por otra, sería una denegación de justicia y una renuncia al debido proceso legal, contra el texto de los artículos 14 y 16 constitucionales, obligar a un particular a pagar sin más una multa cuya motivación no es clara y en la que, como se dijo, el agente fue parte, testigo y Juez, sin que su dicho admita prueba eficaz y real (no simplemente teórica) en contrario.</w:t>
      </w:r>
      <w:r w:rsidR="00AA4EC0">
        <w:rPr>
          <w:rFonts w:ascii="Arial Narrow" w:hAnsi="Arial Narrow" w:cs="Arial"/>
          <w:sz w:val="24"/>
          <w:szCs w:val="24"/>
        </w:rPr>
        <w:t>”</w:t>
      </w:r>
    </w:p>
    <w:p w14:paraId="03BE2D2D" w14:textId="77777777" w:rsidR="004F795C" w:rsidRDefault="004F795C" w:rsidP="004F795C">
      <w:pPr>
        <w:spacing w:line="360" w:lineRule="auto"/>
        <w:ind w:firstLine="567"/>
        <w:jc w:val="both"/>
        <w:rPr>
          <w:rFonts w:ascii="Arial" w:hAnsi="Arial" w:cs="Arial"/>
          <w:sz w:val="24"/>
          <w:szCs w:val="24"/>
        </w:rPr>
      </w:pPr>
    </w:p>
    <w:p w14:paraId="0BBAD0AB" w14:textId="70017A4F" w:rsidR="004F795C" w:rsidRDefault="004F795C" w:rsidP="004F795C">
      <w:pPr>
        <w:spacing w:line="360" w:lineRule="auto"/>
        <w:ind w:firstLine="567"/>
        <w:jc w:val="both"/>
        <w:rPr>
          <w:rFonts w:ascii="Arial" w:hAnsi="Arial" w:cs="Arial"/>
          <w:sz w:val="24"/>
          <w:szCs w:val="24"/>
        </w:rPr>
      </w:pPr>
      <w:r>
        <w:rPr>
          <w:rFonts w:ascii="Arial" w:hAnsi="Arial" w:cs="Arial"/>
          <w:sz w:val="24"/>
          <w:szCs w:val="24"/>
        </w:rPr>
        <w:t xml:space="preserve">Considerando lo anterior, se busca que las infracciones de tránsito contengan un mínimo de fundamentación y motivación que permita al particular conocer a plenitud la conducta que actualizó y por cuyo motivo se le está sancionando con una cantidad líquida y determinada, pues se reitera, la finalidad es evitar actuaciones arbitrarias por parte de las autoridades administrativas al momento de imponer sanciones. </w:t>
      </w:r>
    </w:p>
    <w:p w14:paraId="18E3E001" w14:textId="77777777" w:rsidR="004F795C" w:rsidRDefault="004F795C" w:rsidP="004F795C">
      <w:pPr>
        <w:spacing w:line="360" w:lineRule="auto"/>
        <w:ind w:firstLine="567"/>
        <w:jc w:val="both"/>
        <w:rPr>
          <w:rFonts w:ascii="Arial" w:hAnsi="Arial" w:cs="Arial"/>
          <w:sz w:val="24"/>
          <w:szCs w:val="24"/>
        </w:rPr>
      </w:pPr>
      <w:r>
        <w:rPr>
          <w:rFonts w:ascii="Arial" w:hAnsi="Arial" w:cs="Arial"/>
          <w:sz w:val="24"/>
          <w:szCs w:val="24"/>
        </w:rPr>
        <w:t xml:space="preserve">Lo anterior se advierte de una interpretación de la siguiente Jurisprudencia que en este momento se transcribe: </w:t>
      </w:r>
    </w:p>
    <w:p w14:paraId="79153C75" w14:textId="77777777" w:rsidR="004F795C" w:rsidRPr="00821610" w:rsidRDefault="004F795C" w:rsidP="004F795C">
      <w:pPr>
        <w:spacing w:line="360" w:lineRule="auto"/>
        <w:ind w:left="1134"/>
        <w:jc w:val="both"/>
        <w:rPr>
          <w:rFonts w:ascii="Arial Narrow" w:hAnsi="Arial Narrow" w:cs="Arial"/>
          <w:sz w:val="24"/>
          <w:szCs w:val="24"/>
        </w:rPr>
      </w:pPr>
    </w:p>
    <w:p w14:paraId="3EBD5A40" w14:textId="54B8085A" w:rsidR="004F795C" w:rsidRPr="00821610" w:rsidRDefault="00AA4EC0" w:rsidP="00AA4EC0">
      <w:pPr>
        <w:spacing w:line="360" w:lineRule="auto"/>
        <w:ind w:left="1134" w:right="474"/>
        <w:jc w:val="both"/>
        <w:rPr>
          <w:rFonts w:ascii="Arial Narrow" w:hAnsi="Arial Narrow" w:cs="Arial"/>
          <w:b/>
          <w:bCs/>
          <w:sz w:val="24"/>
          <w:szCs w:val="24"/>
        </w:rPr>
      </w:pPr>
      <w:r>
        <w:rPr>
          <w:rFonts w:ascii="Arial Narrow" w:hAnsi="Arial Narrow" w:cs="Arial"/>
          <w:b/>
          <w:bCs/>
          <w:sz w:val="24"/>
          <w:szCs w:val="24"/>
        </w:rPr>
        <w:t>“</w:t>
      </w:r>
      <w:r w:rsidR="004F795C" w:rsidRPr="00821610">
        <w:rPr>
          <w:rFonts w:ascii="Arial Narrow" w:hAnsi="Arial Narrow" w:cs="Arial"/>
          <w:b/>
          <w:bCs/>
          <w:sz w:val="24"/>
          <w:szCs w:val="24"/>
        </w:rPr>
        <w:t>TRANSITO, MULTA IMPUESTA POR VIOLACION AL REGLAMENTO DE, NO FUNDADA</w:t>
      </w:r>
      <w:r w:rsidR="004F795C">
        <w:rPr>
          <w:rStyle w:val="Refdenotaalpie"/>
          <w:rFonts w:ascii="Arial Narrow" w:hAnsi="Arial Narrow" w:cs="Arial"/>
          <w:b/>
          <w:bCs/>
          <w:sz w:val="24"/>
          <w:szCs w:val="24"/>
        </w:rPr>
        <w:footnoteReference w:id="6"/>
      </w:r>
      <w:r w:rsidR="004F795C" w:rsidRPr="00821610">
        <w:rPr>
          <w:rFonts w:ascii="Arial Narrow" w:hAnsi="Arial Narrow" w:cs="Arial"/>
          <w:b/>
          <w:bCs/>
          <w:sz w:val="24"/>
          <w:szCs w:val="24"/>
        </w:rPr>
        <w:t>.</w:t>
      </w:r>
    </w:p>
    <w:p w14:paraId="013C2BEF" w14:textId="051F182C" w:rsidR="004F795C" w:rsidRPr="00821610" w:rsidRDefault="004F795C" w:rsidP="00AA4EC0">
      <w:pPr>
        <w:spacing w:line="360" w:lineRule="auto"/>
        <w:ind w:left="1134" w:right="474"/>
        <w:jc w:val="both"/>
        <w:rPr>
          <w:rFonts w:ascii="Arial Narrow" w:hAnsi="Arial Narrow" w:cs="Arial"/>
          <w:sz w:val="24"/>
          <w:szCs w:val="24"/>
        </w:rPr>
      </w:pPr>
      <w:r w:rsidRPr="00821610">
        <w:rPr>
          <w:rFonts w:ascii="Arial Narrow" w:hAnsi="Arial Narrow" w:cs="Arial"/>
          <w:sz w:val="24"/>
          <w:szCs w:val="24"/>
        </w:rPr>
        <w:t xml:space="preserve">De la lectura del acta de infracción y multa reclamados, no puede admitirse jurídicamente que se esté ante una resolución fundada en los términos del artículo 16 de la Constitución General de la República, aun cuando sea cierto que en el documento relativo se mencione el artículo 215, capítulo XII, del Reglamento de Tránsito del Departamento del Distrito Federal, como apoyo de la facultad sancionadora de la autoridad administrativa, si también es cierto que al precisarse la violación cometida, únicamente se menciona el "Artículo 175, fracción III, del grupo 1", sin precisarse a qué ordenamiento legal corresponde este último precepto invocado, omisión que desde luego </w:t>
      </w:r>
      <w:r w:rsidRPr="00821610">
        <w:rPr>
          <w:rFonts w:ascii="Arial Narrow" w:hAnsi="Arial Narrow" w:cs="Arial"/>
          <w:sz w:val="24"/>
          <w:szCs w:val="24"/>
        </w:rPr>
        <w:lastRenderedPageBreak/>
        <w:t>se traduce en una falta de fundamentación de la resolución impugnada ante el Tribunal de lo Contencioso Administrativo del Distrito Federal, lo que lleva a conceder el amparo y protección de la Justicia Federal que se demande.</w:t>
      </w:r>
      <w:r w:rsidR="00AA4EC0">
        <w:rPr>
          <w:rFonts w:ascii="Arial Narrow" w:hAnsi="Arial Narrow" w:cs="Arial"/>
          <w:sz w:val="24"/>
          <w:szCs w:val="24"/>
        </w:rPr>
        <w:t>”</w:t>
      </w:r>
    </w:p>
    <w:p w14:paraId="7C6E2BC3" w14:textId="31D7D038" w:rsidR="004F795C" w:rsidRDefault="004F795C" w:rsidP="004F795C">
      <w:pPr>
        <w:spacing w:line="360" w:lineRule="auto"/>
        <w:ind w:firstLine="567"/>
        <w:jc w:val="both"/>
        <w:rPr>
          <w:rFonts w:ascii="Arial" w:hAnsi="Arial" w:cs="Arial"/>
          <w:sz w:val="24"/>
          <w:szCs w:val="24"/>
        </w:rPr>
      </w:pPr>
    </w:p>
    <w:p w14:paraId="0C1E7308" w14:textId="64DF74C5" w:rsidR="004F795C" w:rsidRPr="008E25FE" w:rsidRDefault="00496AD7" w:rsidP="004F795C">
      <w:pPr>
        <w:spacing w:line="360" w:lineRule="auto"/>
        <w:ind w:firstLine="567"/>
        <w:jc w:val="both"/>
        <w:rPr>
          <w:rFonts w:ascii="Arial" w:eastAsia="Calibri" w:hAnsi="Arial" w:cs="Arial"/>
          <w:sz w:val="24"/>
          <w:szCs w:val="24"/>
          <w:lang w:eastAsia="en-US"/>
        </w:rPr>
      </w:pPr>
      <w:r>
        <w:rPr>
          <w:rFonts w:ascii="Arial" w:hAnsi="Arial" w:cs="Arial"/>
          <w:sz w:val="24"/>
          <w:szCs w:val="24"/>
        </w:rPr>
        <w:t xml:space="preserve">De la lectura del acta de infracción impugnada se advierte que no se advierte </w:t>
      </w:r>
      <w:r w:rsidR="00AA4EC0">
        <w:rPr>
          <w:rFonts w:ascii="Arial" w:hAnsi="Arial" w:cs="Arial"/>
          <w:sz w:val="24"/>
          <w:szCs w:val="24"/>
        </w:rPr>
        <w:t xml:space="preserve">que este </w:t>
      </w:r>
      <w:r>
        <w:rPr>
          <w:rFonts w:ascii="Arial" w:hAnsi="Arial" w:cs="Arial"/>
          <w:sz w:val="24"/>
          <w:szCs w:val="24"/>
        </w:rPr>
        <w:t xml:space="preserve">adecuadamente </w:t>
      </w:r>
      <w:r w:rsidR="008E25FE">
        <w:rPr>
          <w:rFonts w:ascii="Arial" w:hAnsi="Arial" w:cs="Arial"/>
          <w:sz w:val="24"/>
          <w:szCs w:val="24"/>
        </w:rPr>
        <w:t>motivada</w:t>
      </w:r>
      <w:r>
        <w:rPr>
          <w:rFonts w:ascii="Arial" w:hAnsi="Arial" w:cs="Arial"/>
          <w:sz w:val="24"/>
          <w:szCs w:val="24"/>
        </w:rPr>
        <w:t xml:space="preserve">, pues como menciona la parte actora, </w:t>
      </w:r>
      <w:r w:rsidR="008E25FE">
        <w:rPr>
          <w:rFonts w:ascii="Arial" w:hAnsi="Arial" w:cs="Arial"/>
          <w:sz w:val="24"/>
          <w:szCs w:val="24"/>
        </w:rPr>
        <w:t>existe una descripción somera y superficial de la supuesta conducta desplegada por el hoy accionante y que haya generado la convicción en la autoridad demandada para sustentar la imposición de la multa de que se duele. Lo anterior</w:t>
      </w:r>
      <w:r w:rsidR="00AA4EC0">
        <w:rPr>
          <w:rFonts w:ascii="Arial" w:hAnsi="Arial" w:cs="Arial"/>
          <w:sz w:val="24"/>
          <w:szCs w:val="24"/>
        </w:rPr>
        <w:t>,</w:t>
      </w:r>
      <w:r w:rsidR="008E25FE">
        <w:rPr>
          <w:rFonts w:ascii="Arial" w:hAnsi="Arial" w:cs="Arial"/>
          <w:sz w:val="24"/>
          <w:szCs w:val="24"/>
        </w:rPr>
        <w:t xml:space="preserve"> toda vez que no realiza una descripción pormenorizada de cómo se percató de los hechos</w:t>
      </w:r>
      <w:r w:rsidR="00AA4EC0">
        <w:rPr>
          <w:rFonts w:ascii="Arial" w:hAnsi="Arial" w:cs="Arial"/>
          <w:sz w:val="24"/>
          <w:szCs w:val="24"/>
        </w:rPr>
        <w:t>,</w:t>
      </w:r>
      <w:r w:rsidR="008E25FE">
        <w:rPr>
          <w:rFonts w:ascii="Arial" w:hAnsi="Arial" w:cs="Arial"/>
          <w:sz w:val="24"/>
          <w:szCs w:val="24"/>
        </w:rPr>
        <w:t xml:space="preserve"> </w:t>
      </w:r>
      <w:r w:rsidR="008E25FE">
        <w:rPr>
          <w:rFonts w:ascii="Arial" w:hAnsi="Arial" w:cs="Arial"/>
          <w:b/>
          <w:bCs/>
          <w:sz w:val="24"/>
          <w:szCs w:val="24"/>
        </w:rPr>
        <w:t>dentro del acto administrativo</w:t>
      </w:r>
      <w:r w:rsidR="008E25FE">
        <w:rPr>
          <w:rFonts w:ascii="Arial" w:hAnsi="Arial" w:cs="Arial"/>
          <w:sz w:val="24"/>
          <w:szCs w:val="24"/>
        </w:rPr>
        <w:t xml:space="preserve"> lo que no puede subsanarse con las fotografías anexadas en la contestación de demanda, pues las mismas no forman parte integral de la multa combatida.</w:t>
      </w:r>
    </w:p>
    <w:p w14:paraId="34FB064B" w14:textId="2DA5EC49" w:rsidR="00343500" w:rsidRPr="0051494B" w:rsidRDefault="00343500" w:rsidP="00343500">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w:t>
      </w:r>
      <w:r w:rsidR="00A53C75">
        <w:rPr>
          <w:rFonts w:ascii="Arial" w:eastAsia="Calibri" w:hAnsi="Arial" w:cs="Arial"/>
          <w:sz w:val="24"/>
          <w:szCs w:val="24"/>
          <w:lang w:eastAsia="en-US"/>
        </w:rPr>
        <w:t xml:space="preserve">, lo que en el presente caso no se llevó a cabo pues la autoridad demandada resultó omisa en motivar adecuadamente la forma en que se cercioró que el hoy actor estaba </w:t>
      </w:r>
      <w:r w:rsidR="008E25FE">
        <w:rPr>
          <w:rFonts w:ascii="Arial" w:eastAsia="Calibri" w:hAnsi="Arial" w:cs="Arial"/>
          <w:sz w:val="24"/>
          <w:szCs w:val="24"/>
          <w:lang w:eastAsia="en-US"/>
        </w:rPr>
        <w:t>estacionado supuestamente en un lugar indebido</w:t>
      </w:r>
      <w:r w:rsidR="00A53C75">
        <w:rPr>
          <w:rFonts w:ascii="Arial" w:eastAsia="Calibri" w:hAnsi="Arial" w:cs="Arial"/>
          <w:sz w:val="24"/>
          <w:szCs w:val="24"/>
          <w:lang w:eastAsia="en-US"/>
        </w:rPr>
        <w:t xml:space="preserve">, de donde deriva que se declare su </w:t>
      </w:r>
      <w:r w:rsidR="00A53C75">
        <w:rPr>
          <w:rFonts w:ascii="Arial" w:eastAsia="Calibri" w:hAnsi="Arial" w:cs="Arial"/>
          <w:b/>
          <w:bCs/>
          <w:sz w:val="24"/>
          <w:szCs w:val="24"/>
          <w:lang w:eastAsia="en-US"/>
        </w:rPr>
        <w:t>NULIDAD LISA Y LLANA</w:t>
      </w:r>
      <w:r w:rsidR="00A53C75">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 </w:t>
      </w:r>
    </w:p>
    <w:p w14:paraId="1D2D489C" w14:textId="77777777" w:rsidR="00343500" w:rsidRPr="0051494B" w:rsidRDefault="00343500" w:rsidP="00343500">
      <w:pPr>
        <w:tabs>
          <w:tab w:val="right" w:pos="8789"/>
        </w:tabs>
        <w:spacing w:after="0" w:line="259" w:lineRule="auto"/>
        <w:ind w:firstLine="567"/>
        <w:jc w:val="both"/>
        <w:rPr>
          <w:rFonts w:ascii="Arial" w:eastAsia="Calibri" w:hAnsi="Arial" w:cs="Arial"/>
          <w:lang w:eastAsia="en-US"/>
        </w:rPr>
      </w:pPr>
    </w:p>
    <w:p w14:paraId="6D474895" w14:textId="77777777" w:rsidR="00343500" w:rsidRPr="0051494B" w:rsidRDefault="00343500" w:rsidP="00343500">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62B87A02" w14:textId="77777777" w:rsidR="00343500" w:rsidRPr="0051494B" w:rsidRDefault="00343500" w:rsidP="00343500">
      <w:pPr>
        <w:tabs>
          <w:tab w:val="right" w:pos="8789"/>
        </w:tabs>
        <w:spacing w:after="0" w:line="259" w:lineRule="auto"/>
        <w:ind w:left="1134" w:right="616"/>
        <w:jc w:val="both"/>
        <w:rPr>
          <w:rFonts w:ascii="Arial" w:eastAsia="Calibri" w:hAnsi="Arial" w:cs="Arial"/>
          <w:i/>
          <w:lang w:eastAsia="en-US"/>
        </w:rPr>
      </w:pPr>
    </w:p>
    <w:p w14:paraId="5A2D7E8F" w14:textId="77777777" w:rsidR="00343500" w:rsidRPr="00BF29B5" w:rsidRDefault="00343500" w:rsidP="00343500">
      <w:pPr>
        <w:tabs>
          <w:tab w:val="right" w:pos="8789"/>
        </w:tabs>
        <w:spacing w:after="0" w:line="259" w:lineRule="auto"/>
        <w:jc w:val="both"/>
        <w:rPr>
          <w:rFonts w:ascii="Arial Narrow" w:eastAsia="Calibri" w:hAnsi="Arial Narrow" w:cs="Arial"/>
          <w:b/>
          <w:i/>
          <w:sz w:val="24"/>
          <w:szCs w:val="24"/>
          <w:lang w:eastAsia="en-US"/>
        </w:rPr>
      </w:pPr>
    </w:p>
    <w:p w14:paraId="1E5D1A01" w14:textId="5169D422" w:rsidR="00343500" w:rsidRPr="00BF29B5" w:rsidRDefault="00AA4EC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LA DIFERENCIA ENTRE LA FALTA Y LA INDEBIDA SATISFACCIÓN DE AMBOS REQUISITOS CONSTITUCIONALES TRASCIENDE AL ORDEN EN QUE DEBEN ESTUDIARSE LOS CONCEPTOS DE VIOLACIÓN Y A LOS EFECTOS DEL FALLO PROTECTOR.</w:t>
      </w:r>
      <w:r w:rsidR="00343500" w:rsidRPr="00BF29B5">
        <w:rPr>
          <w:rFonts w:ascii="Arial Narrow" w:eastAsia="Calibri" w:hAnsi="Arial Narrow" w:cs="Arial"/>
          <w:color w:val="000000"/>
          <w:sz w:val="24"/>
          <w:szCs w:val="24"/>
          <w:lang w:eastAsia="en-US"/>
        </w:rPr>
        <w:t xml:space="preserve"> </w:t>
      </w:r>
    </w:p>
    <w:p w14:paraId="74BB5AF9"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p>
    <w:p w14:paraId="529DEEA7" w14:textId="18300F9B"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w:t>
      </w:r>
      <w:r w:rsidRPr="00BF29B5">
        <w:rPr>
          <w:rFonts w:ascii="Arial Narrow" w:eastAsia="Calibri" w:hAnsi="Arial Narrow" w:cs="Arial"/>
          <w:color w:val="000000"/>
          <w:sz w:val="24"/>
          <w:szCs w:val="24"/>
          <w:lang w:eastAsia="en-US"/>
        </w:rPr>
        <w:lastRenderedPageBreak/>
        <w:t>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r w:rsidR="00AA4EC0">
        <w:rPr>
          <w:rFonts w:ascii="Arial Narrow" w:eastAsia="Calibri" w:hAnsi="Arial Narrow" w:cs="Arial"/>
          <w:color w:val="000000"/>
          <w:sz w:val="24"/>
          <w:szCs w:val="24"/>
          <w:lang w:eastAsia="en-US"/>
        </w:rPr>
        <w:t>”</w:t>
      </w:r>
    </w:p>
    <w:p w14:paraId="0FD9619A" w14:textId="77777777" w:rsidR="00343500" w:rsidRPr="0051494B" w:rsidRDefault="00343500" w:rsidP="00343500">
      <w:pPr>
        <w:autoSpaceDE w:val="0"/>
        <w:autoSpaceDN w:val="0"/>
        <w:adjustRightInd w:val="0"/>
        <w:spacing w:after="0" w:line="240" w:lineRule="auto"/>
        <w:rPr>
          <w:rFonts w:ascii="NimbusSanL" w:eastAsia="Calibri" w:hAnsi="NimbusSanL" w:cs="NimbusSanL"/>
          <w:color w:val="000000"/>
          <w:sz w:val="24"/>
          <w:szCs w:val="24"/>
          <w:lang w:eastAsia="en-US"/>
        </w:rPr>
      </w:pPr>
    </w:p>
    <w:p w14:paraId="2181F7C3" w14:textId="77777777" w:rsidR="00343500" w:rsidRPr="0051494B" w:rsidRDefault="00343500" w:rsidP="00343500">
      <w:pPr>
        <w:tabs>
          <w:tab w:val="right" w:pos="8789"/>
        </w:tabs>
        <w:spacing w:after="0" w:line="259" w:lineRule="auto"/>
        <w:jc w:val="both"/>
        <w:rPr>
          <w:rFonts w:ascii="Arial" w:eastAsia="Calibri" w:hAnsi="Arial" w:cs="Arial"/>
          <w:color w:val="FF0000"/>
          <w:lang w:eastAsia="en-US"/>
        </w:rPr>
      </w:pPr>
    </w:p>
    <w:p w14:paraId="120AAAC4" w14:textId="77777777" w:rsidR="00343500" w:rsidRPr="0051494B" w:rsidRDefault="00343500" w:rsidP="00343500">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3E45DA26" w14:textId="77777777" w:rsidR="00343500" w:rsidRPr="0051494B" w:rsidRDefault="00343500" w:rsidP="00343500">
      <w:pPr>
        <w:tabs>
          <w:tab w:val="right" w:pos="8789"/>
        </w:tabs>
        <w:spacing w:after="0" w:line="259" w:lineRule="auto"/>
        <w:jc w:val="both"/>
        <w:rPr>
          <w:rFonts w:ascii="Arial" w:eastAsia="Calibri" w:hAnsi="Arial" w:cs="Arial"/>
          <w:b/>
          <w:noProof/>
          <w:lang w:eastAsia="en-US"/>
        </w:rPr>
      </w:pPr>
    </w:p>
    <w:p w14:paraId="18CEBF72" w14:textId="0FCF38E9" w:rsidR="00343500" w:rsidRPr="00BF29B5" w:rsidRDefault="00AA4EC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Pr>
          <w:rFonts w:ascii="Arial Narrow" w:eastAsia="Calibri" w:hAnsi="Arial Narrow" w:cs="Arial"/>
          <w:b/>
          <w:bCs/>
          <w:color w:val="000000"/>
          <w:sz w:val="24"/>
          <w:szCs w:val="24"/>
          <w:lang w:eastAsia="en-US"/>
        </w:rPr>
        <w:t>“</w:t>
      </w:r>
      <w:r w:rsidR="00343500" w:rsidRPr="00BF29B5">
        <w:rPr>
          <w:rFonts w:ascii="Arial Narrow" w:eastAsia="Calibri" w:hAnsi="Arial Narrow" w:cs="Arial"/>
          <w:b/>
          <w:bCs/>
          <w:color w:val="000000"/>
          <w:sz w:val="24"/>
          <w:szCs w:val="24"/>
          <w:lang w:eastAsia="en-US"/>
        </w:rPr>
        <w:t>FUNDAMENTACIÓN Y MOTIVACIÓN. SU DISTINCIÓN ENTRE SU FALTA Y CUANDO ES INDEBIDA.</w:t>
      </w:r>
      <w:r w:rsidR="00343500" w:rsidRPr="00BF29B5">
        <w:rPr>
          <w:rFonts w:ascii="Arial Narrow" w:eastAsia="Calibri" w:hAnsi="Arial Narrow" w:cs="Arial"/>
          <w:color w:val="000000"/>
          <w:sz w:val="24"/>
          <w:szCs w:val="24"/>
          <w:lang w:eastAsia="en-US"/>
        </w:rPr>
        <w:t xml:space="preserve"> </w:t>
      </w:r>
    </w:p>
    <w:p w14:paraId="4E933182" w14:textId="77777777"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p>
    <w:p w14:paraId="7FDF31CC" w14:textId="154A7AF9" w:rsidR="00343500" w:rsidRPr="00BF29B5" w:rsidRDefault="00343500" w:rsidP="00343500">
      <w:pPr>
        <w:autoSpaceDE w:val="0"/>
        <w:autoSpaceDN w:val="0"/>
        <w:adjustRightInd w:val="0"/>
        <w:spacing w:after="0" w:line="240" w:lineRule="auto"/>
        <w:ind w:left="567" w:right="758"/>
        <w:jc w:val="both"/>
        <w:rPr>
          <w:rFonts w:ascii="Arial Narrow" w:eastAsia="Calibri" w:hAnsi="Arial Narrow" w:cs="Arial"/>
          <w:color w:val="000000"/>
          <w:sz w:val="24"/>
          <w:szCs w:val="24"/>
          <w:lang w:eastAsia="en-US"/>
        </w:rPr>
      </w:pPr>
      <w:r w:rsidRPr="00BF29B5">
        <w:rPr>
          <w:rFonts w:ascii="Arial Narrow" w:eastAsia="Calibri" w:hAnsi="Arial Narrow" w:cs="Arial"/>
          <w:color w:val="000000"/>
          <w:sz w:val="24"/>
          <w:szCs w:val="24"/>
          <w:lang w:eastAsia="en-US"/>
        </w:rPr>
        <w:t xml:space="preserve">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w:t>
      </w:r>
      <w:r w:rsidRPr="00BF29B5">
        <w:rPr>
          <w:rFonts w:ascii="Arial Narrow" w:eastAsia="Calibri" w:hAnsi="Arial Narrow" w:cs="Arial"/>
          <w:color w:val="000000"/>
          <w:sz w:val="24"/>
          <w:szCs w:val="24"/>
          <w:lang w:eastAsia="en-US"/>
        </w:rPr>
        <w:lastRenderedPageBreak/>
        <w:t>específico, objeto de decisión, o bien, cuando no existe adecuación entre los motivos invocados en el acto de autoridad y las normas aplicables a éste.</w:t>
      </w:r>
      <w:r w:rsidR="00AA4EC0">
        <w:rPr>
          <w:rFonts w:ascii="Arial Narrow" w:eastAsia="Calibri" w:hAnsi="Arial Narrow" w:cs="Arial"/>
          <w:color w:val="000000"/>
          <w:sz w:val="24"/>
          <w:szCs w:val="24"/>
          <w:lang w:eastAsia="en-US"/>
        </w:rPr>
        <w:t>”</w:t>
      </w:r>
    </w:p>
    <w:p w14:paraId="30865CB1" w14:textId="77777777" w:rsidR="00343500" w:rsidRPr="0051494B" w:rsidRDefault="00343500" w:rsidP="00343500">
      <w:pPr>
        <w:tabs>
          <w:tab w:val="right" w:pos="8789"/>
        </w:tabs>
        <w:spacing w:after="0" w:line="259" w:lineRule="auto"/>
        <w:ind w:left="567" w:right="758"/>
        <w:jc w:val="both"/>
        <w:rPr>
          <w:rFonts w:ascii="Arial" w:eastAsia="Calibri" w:hAnsi="Arial" w:cs="Arial"/>
          <w:b/>
          <w:i/>
          <w:noProof/>
          <w:lang w:eastAsia="en-US"/>
        </w:rPr>
      </w:pPr>
    </w:p>
    <w:p w14:paraId="3F4634CD" w14:textId="03647CD6" w:rsidR="00610349" w:rsidRDefault="00610349"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5E6DDA1" w14:textId="2ECB5734"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277B68">
        <w:rPr>
          <w:rFonts w:ascii="Arial" w:hAnsi="Arial" w:cs="Arial"/>
          <w:sz w:val="24"/>
          <w:szCs w:val="24"/>
        </w:rPr>
        <w:t xml:space="preserve">acta de infracción con número de folio </w:t>
      </w:r>
      <w:r w:rsidR="004C5C44">
        <w:rPr>
          <w:rFonts w:ascii="Arial" w:hAnsi="Arial" w:cs="Arial"/>
          <w:sz w:val="24"/>
          <w:szCs w:val="24"/>
        </w:rPr>
        <w:t>**********</w:t>
      </w:r>
      <w:r w:rsidR="008E25FE">
        <w:rPr>
          <w:rFonts w:ascii="Arial" w:hAnsi="Arial" w:cs="Arial"/>
          <w:sz w:val="24"/>
          <w:szCs w:val="24"/>
        </w:rPr>
        <w:t xml:space="preserve"> de fecha veintidós de octubre de dos mil veintiuno</w:t>
      </w:r>
      <w:r>
        <w:rPr>
          <w:rFonts w:ascii="Arial" w:hAnsi="Arial" w:cs="Arial"/>
          <w:sz w:val="24"/>
          <w:szCs w:val="24"/>
        </w:rPr>
        <w:t>, en términos de la siguiente Jurisprudencia</w:t>
      </w:r>
      <w:r>
        <w:rPr>
          <w:rStyle w:val="Refdenotaalpie"/>
          <w:rFonts w:ascii="Arial" w:hAnsi="Arial" w:cs="Arial"/>
          <w:sz w:val="24"/>
          <w:szCs w:val="24"/>
        </w:rPr>
        <w:footnoteReference w:id="7"/>
      </w:r>
      <w:r>
        <w:rPr>
          <w:rFonts w:ascii="Arial" w:hAnsi="Arial" w:cs="Arial"/>
          <w:sz w:val="24"/>
          <w:szCs w:val="24"/>
        </w:rPr>
        <w:t xml:space="preserve">: </w:t>
      </w:r>
    </w:p>
    <w:p w14:paraId="51B284B6" w14:textId="6EDB32CC" w:rsidR="00EC3B62" w:rsidRPr="00EC3B62" w:rsidRDefault="00EC3B62" w:rsidP="00CF04E4">
      <w:pPr>
        <w:tabs>
          <w:tab w:val="left" w:pos="284"/>
          <w:tab w:val="left" w:pos="426"/>
          <w:tab w:val="right" w:pos="9072"/>
        </w:tabs>
        <w:spacing w:after="0" w:line="360" w:lineRule="auto"/>
        <w:ind w:right="-234" w:firstLine="567"/>
        <w:jc w:val="both"/>
        <w:rPr>
          <w:rFonts w:ascii="Arial" w:hAnsi="Arial" w:cs="Arial"/>
          <w:b/>
          <w:bCs/>
          <w:sz w:val="24"/>
          <w:szCs w:val="24"/>
        </w:rPr>
      </w:pPr>
    </w:p>
    <w:p w14:paraId="70D8E78E" w14:textId="3A995C75" w:rsidR="00EC3B62" w:rsidRPr="00AA4EC0" w:rsidRDefault="00AA4EC0" w:rsidP="00357430">
      <w:pPr>
        <w:tabs>
          <w:tab w:val="left" w:pos="284"/>
          <w:tab w:val="left" w:pos="851"/>
          <w:tab w:val="right" w:pos="9072"/>
        </w:tabs>
        <w:spacing w:after="0" w:line="360" w:lineRule="auto"/>
        <w:ind w:left="1134" w:right="333"/>
        <w:jc w:val="both"/>
        <w:rPr>
          <w:rFonts w:ascii="Arial Narrow" w:hAnsi="Arial Narrow" w:cs="Arial"/>
          <w:b/>
          <w:bCs/>
          <w:sz w:val="24"/>
          <w:szCs w:val="24"/>
        </w:rPr>
      </w:pPr>
      <w:r>
        <w:rPr>
          <w:rFonts w:ascii="Arial Narrow" w:hAnsi="Arial Narrow" w:cs="Arial"/>
          <w:b/>
          <w:bCs/>
          <w:sz w:val="24"/>
          <w:szCs w:val="24"/>
        </w:rPr>
        <w:t>“</w:t>
      </w:r>
      <w:r w:rsidR="00EC3B62"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4C3813EB" w14:textId="77777777" w:rsidR="00EC3B62" w:rsidRPr="00EC3B62" w:rsidRDefault="00EC3B62" w:rsidP="00357430">
      <w:pPr>
        <w:tabs>
          <w:tab w:val="left" w:pos="284"/>
          <w:tab w:val="left" w:pos="851"/>
          <w:tab w:val="right" w:pos="9072"/>
        </w:tabs>
        <w:spacing w:after="0" w:line="360" w:lineRule="auto"/>
        <w:ind w:left="1134" w:right="333"/>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w:t>
      </w:r>
      <w:r w:rsidRPr="00EC3B62">
        <w:rPr>
          <w:rFonts w:ascii="Arial Narrow" w:hAnsi="Arial Narrow" w:cs="Arial"/>
          <w:sz w:val="24"/>
          <w:szCs w:val="24"/>
        </w:rPr>
        <w:lastRenderedPageBreak/>
        <w:t>(lisa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p>
    <w:p w14:paraId="67C0EA02" w14:textId="682232F0" w:rsidR="008E25FE" w:rsidRDefault="008E25FE" w:rsidP="008E25FE">
      <w:pPr>
        <w:spacing w:after="0" w:line="360" w:lineRule="auto"/>
        <w:ind w:firstLine="567"/>
        <w:jc w:val="both"/>
        <w:rPr>
          <w:rFonts w:ascii="Arial" w:hAnsi="Arial" w:cs="Arial"/>
          <w:sz w:val="24"/>
          <w:szCs w:val="24"/>
        </w:rPr>
      </w:pPr>
      <w:r>
        <w:rPr>
          <w:rFonts w:ascii="Arial" w:hAnsi="Arial" w:cs="Arial"/>
          <w:sz w:val="24"/>
          <w:szCs w:val="24"/>
        </w:rPr>
        <w:t xml:space="preserve">Por último, por ser un efecto consecuente, inmediato y directo del que se ha declarado nulo en el presente juicio, se ordena a la autoridad demandada para que por conducto de quien resulte </w:t>
      </w:r>
      <w:r w:rsidR="00357430">
        <w:rPr>
          <w:rFonts w:ascii="Arial" w:hAnsi="Arial" w:cs="Arial"/>
          <w:sz w:val="24"/>
          <w:szCs w:val="24"/>
        </w:rPr>
        <w:t>competente</w:t>
      </w:r>
      <w:r>
        <w:rPr>
          <w:rFonts w:ascii="Arial" w:hAnsi="Arial" w:cs="Arial"/>
          <w:sz w:val="24"/>
          <w:szCs w:val="24"/>
        </w:rPr>
        <w:t xml:space="preserve"> </w:t>
      </w:r>
      <w:r>
        <w:rPr>
          <w:rFonts w:ascii="Arial" w:hAnsi="Arial" w:cs="Arial"/>
          <w:b/>
          <w:bCs/>
          <w:sz w:val="24"/>
          <w:szCs w:val="24"/>
        </w:rPr>
        <w:t>se dé de baja del sistema SAP</w:t>
      </w:r>
      <w:r>
        <w:rPr>
          <w:rFonts w:ascii="Arial" w:hAnsi="Arial" w:cs="Arial"/>
          <w:sz w:val="24"/>
          <w:szCs w:val="24"/>
        </w:rPr>
        <w:t xml:space="preserve"> la infracción</w:t>
      </w:r>
      <w:r>
        <w:rPr>
          <w:rFonts w:ascii="Arial" w:hAnsi="Arial" w:cs="Arial"/>
          <w:b/>
          <w:bCs/>
          <w:sz w:val="24"/>
          <w:szCs w:val="24"/>
        </w:rPr>
        <w:t xml:space="preserve"> </w:t>
      </w:r>
      <w:r>
        <w:rPr>
          <w:rFonts w:ascii="Arial" w:hAnsi="Arial" w:cs="Arial"/>
          <w:sz w:val="24"/>
          <w:szCs w:val="24"/>
        </w:rPr>
        <w:t>de tránsito aquí impugnada, a fin de que se restituya al actor en el pleno goce de sus derechos</w:t>
      </w:r>
      <w:r>
        <w:rPr>
          <w:rStyle w:val="Refdenotaalpie"/>
          <w:rFonts w:ascii="Arial" w:hAnsi="Arial" w:cs="Arial"/>
          <w:sz w:val="24"/>
          <w:szCs w:val="24"/>
        </w:rPr>
        <w:footnoteReference w:id="8"/>
      </w:r>
      <w:r>
        <w:rPr>
          <w:rFonts w:ascii="Arial" w:hAnsi="Arial" w:cs="Arial"/>
          <w:sz w:val="24"/>
          <w:szCs w:val="24"/>
        </w:rPr>
        <w:t xml:space="preserve">. </w:t>
      </w:r>
    </w:p>
    <w:p w14:paraId="538832D2" w14:textId="77777777" w:rsidR="008E25FE" w:rsidRDefault="008E25FE" w:rsidP="002B375F">
      <w:pPr>
        <w:spacing w:line="360" w:lineRule="auto"/>
        <w:ind w:firstLine="567"/>
        <w:jc w:val="both"/>
        <w:rPr>
          <w:rFonts w:ascii="Arial" w:hAnsi="Arial" w:cs="Arial"/>
          <w:sz w:val="24"/>
          <w:szCs w:val="24"/>
        </w:rPr>
      </w:pPr>
    </w:p>
    <w:p w14:paraId="1830672D" w14:textId="65CBB914"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lastRenderedPageBreak/>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5A6E4C73" w14:textId="46B7C80E" w:rsidR="002B375F" w:rsidRDefault="002B375F" w:rsidP="002B375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Pr>
          <w:rFonts w:ascii="Arial" w:hAnsi="Arial" w:cs="Arial"/>
          <w:b/>
          <w:bCs/>
          <w:sz w:val="24"/>
          <w:szCs w:val="24"/>
        </w:rPr>
        <w:t>NULIDAD</w:t>
      </w:r>
      <w:r w:rsidR="00496AD7">
        <w:rPr>
          <w:rFonts w:ascii="Arial" w:hAnsi="Arial" w:cs="Arial"/>
          <w:b/>
          <w:bCs/>
          <w:sz w:val="24"/>
          <w:szCs w:val="24"/>
        </w:rPr>
        <w:t xml:space="preserve">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343500">
        <w:rPr>
          <w:rFonts w:ascii="Arial" w:hAnsi="Arial" w:cs="Arial"/>
          <w:sz w:val="24"/>
          <w:szCs w:val="24"/>
        </w:rPr>
        <w:t xml:space="preserve">acta de infracción con número de folio </w:t>
      </w:r>
      <w:r w:rsidR="004C5C44">
        <w:rPr>
          <w:rFonts w:ascii="Arial" w:hAnsi="Arial" w:cs="Arial"/>
          <w:sz w:val="24"/>
          <w:szCs w:val="24"/>
        </w:rPr>
        <w:t>**********</w:t>
      </w:r>
      <w:bookmarkStart w:id="0" w:name="_GoBack"/>
      <w:bookmarkEnd w:id="0"/>
      <w:r w:rsidR="008E25FE">
        <w:rPr>
          <w:rFonts w:ascii="Arial" w:hAnsi="Arial" w:cs="Arial"/>
          <w:sz w:val="24"/>
          <w:szCs w:val="24"/>
        </w:rPr>
        <w:t xml:space="preserve"> de fecha veintidós de octubre de dos mil veintiuno </w:t>
      </w:r>
      <w:r w:rsidR="00EC3B62">
        <w:rPr>
          <w:rFonts w:ascii="Arial" w:hAnsi="Arial" w:cs="Arial"/>
          <w:sz w:val="24"/>
          <w:szCs w:val="24"/>
        </w:rPr>
        <w:t>por las razones expuestas</w:t>
      </w:r>
      <w:r>
        <w:rPr>
          <w:rFonts w:ascii="Arial" w:hAnsi="Arial" w:cs="Arial"/>
          <w:bCs/>
          <w:sz w:val="24"/>
          <w:szCs w:val="24"/>
        </w:rPr>
        <w:t xml:space="preserve"> en el considerando </w:t>
      </w:r>
      <w:r w:rsidR="00F7700E">
        <w:rPr>
          <w:rFonts w:ascii="Arial" w:hAnsi="Arial" w:cs="Arial"/>
          <w:bCs/>
          <w:sz w:val="24"/>
          <w:szCs w:val="24"/>
        </w:rPr>
        <w:t>SEXTO</w:t>
      </w:r>
      <w:r>
        <w:rPr>
          <w:rFonts w:ascii="Arial" w:hAnsi="Arial" w:cs="Arial"/>
          <w:bCs/>
          <w:sz w:val="24"/>
          <w:szCs w:val="24"/>
        </w:rPr>
        <w:t xml:space="preserve"> de la presente resolución.</w:t>
      </w:r>
    </w:p>
    <w:p w14:paraId="7C1BBEAB" w14:textId="77777777" w:rsidR="002B375F" w:rsidRPr="00512412" w:rsidRDefault="002B375F" w:rsidP="002B375F">
      <w:pPr>
        <w:spacing w:after="0" w:line="360" w:lineRule="auto"/>
        <w:ind w:firstLine="567"/>
        <w:jc w:val="both"/>
        <w:rPr>
          <w:rFonts w:ascii="Arial" w:hAnsi="Arial" w:cs="Arial"/>
          <w:sz w:val="24"/>
          <w:szCs w:val="24"/>
        </w:rPr>
      </w:pPr>
    </w:p>
    <w:p w14:paraId="4F70F251" w14:textId="38FA6030" w:rsidR="002B375F" w:rsidRPr="00512412" w:rsidRDefault="002B375F" w:rsidP="002B375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 autoridad demandada</w:t>
      </w:r>
      <w:r w:rsidRPr="00512412">
        <w:rPr>
          <w:rFonts w:ascii="Arial" w:eastAsia="Times New Roman" w:hAnsi="Arial" w:cs="Arial"/>
          <w:sz w:val="24"/>
          <w:szCs w:val="24"/>
        </w:rPr>
        <w:t>, con fundamento en los artículos 172</w:t>
      </w:r>
      <w:r w:rsidR="00F8071E">
        <w:rPr>
          <w:rFonts w:ascii="Arial" w:eastAsia="Times New Roman" w:hAnsi="Arial" w:cs="Arial"/>
          <w:sz w:val="24"/>
          <w:szCs w:val="24"/>
        </w:rPr>
        <w:t>,</w:t>
      </w:r>
      <w:r w:rsidRPr="00512412">
        <w:rPr>
          <w:rFonts w:ascii="Arial" w:eastAsia="Times New Roman" w:hAnsi="Arial" w:cs="Arial"/>
          <w:sz w:val="24"/>
          <w:szCs w:val="24"/>
        </w:rPr>
        <w:t xml:space="preserve">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5B5DE" w14:textId="77777777" w:rsidR="00EE01E2" w:rsidRDefault="00EE01E2">
      <w:pPr>
        <w:spacing w:after="0" w:line="240" w:lineRule="auto"/>
      </w:pPr>
      <w:r>
        <w:separator/>
      </w:r>
    </w:p>
  </w:endnote>
  <w:endnote w:type="continuationSeparator" w:id="0">
    <w:p w14:paraId="59CBE874" w14:textId="77777777" w:rsidR="00EE01E2" w:rsidRDefault="00EE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B460D" w14:textId="77777777" w:rsidR="00EE01E2" w:rsidRDefault="00EE01E2">
      <w:pPr>
        <w:spacing w:after="0" w:line="240" w:lineRule="auto"/>
      </w:pPr>
      <w:r>
        <w:separator/>
      </w:r>
    </w:p>
  </w:footnote>
  <w:footnote w:type="continuationSeparator" w:id="0">
    <w:p w14:paraId="430CDDFA" w14:textId="77777777" w:rsidR="00EE01E2" w:rsidRDefault="00EE01E2">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256A2623" w14:textId="77777777" w:rsidR="004F795C" w:rsidRDefault="004F795C" w:rsidP="004F795C">
      <w:pPr>
        <w:pStyle w:val="Textonotapie"/>
        <w:jc w:val="both"/>
        <w:rPr>
          <w:rFonts w:ascii="Arial" w:hAnsi="Arial" w:cs="Arial"/>
          <w:sz w:val="16"/>
          <w:szCs w:val="16"/>
        </w:rPr>
      </w:pPr>
      <w:r>
        <w:rPr>
          <w:rStyle w:val="Refdenotaalpie"/>
        </w:rPr>
        <w:footnoteRef/>
      </w:r>
      <w:r>
        <w:t xml:space="preserve"> </w:t>
      </w:r>
      <w:r w:rsidRPr="009F092A">
        <w:rPr>
          <w:rFonts w:ascii="Arial" w:hAnsi="Arial" w:cs="Arial"/>
          <w:sz w:val="16"/>
          <w:szCs w:val="16"/>
        </w:rPr>
        <w:t>Registro digital: 251050, Instancia: Tribunales Colegiados de Circuito, Séptima Época, Materia(s): Administrativa, Fuente: Semanario Judicial de la Federación, Volumen 145-150, Sexta Parte, página 283, Tipo: Aislada</w:t>
      </w:r>
    </w:p>
    <w:p w14:paraId="7445DAE6" w14:textId="77777777" w:rsidR="004F795C" w:rsidRDefault="004F795C" w:rsidP="004F795C">
      <w:pPr>
        <w:pStyle w:val="Textonotapie"/>
        <w:jc w:val="both"/>
      </w:pPr>
    </w:p>
  </w:footnote>
  <w:footnote w:id="5">
    <w:p w14:paraId="36EBAB5E" w14:textId="77777777" w:rsidR="004F795C" w:rsidRDefault="004F795C" w:rsidP="004F795C">
      <w:pPr>
        <w:pStyle w:val="Textonotapie"/>
        <w:jc w:val="both"/>
      </w:pPr>
      <w:r>
        <w:rPr>
          <w:rStyle w:val="Refdenotaalpie"/>
        </w:rPr>
        <w:footnoteRef/>
      </w:r>
      <w:r>
        <w:t xml:space="preserve"> </w:t>
      </w:r>
      <w:r w:rsidRPr="009F092A">
        <w:rPr>
          <w:rFonts w:ascii="Arial" w:hAnsi="Arial" w:cs="Arial"/>
          <w:sz w:val="16"/>
          <w:szCs w:val="16"/>
        </w:rPr>
        <w:t>Registro digital: 252071, Instancia: Tribunales Colegiados de Circuito, Séptima Época, Materia(s): Administrativa, Fuente: Semanario Judicial de la Federación, Volumen 121-126, Sexta Parte, página 233, Tipo: Aislada</w:t>
      </w:r>
    </w:p>
  </w:footnote>
  <w:footnote w:id="6">
    <w:p w14:paraId="2991E409" w14:textId="77777777" w:rsidR="004F795C" w:rsidRDefault="004F795C" w:rsidP="004F795C">
      <w:pPr>
        <w:pStyle w:val="Textonotapie"/>
        <w:jc w:val="both"/>
      </w:pPr>
      <w:r>
        <w:rPr>
          <w:rStyle w:val="Refdenotaalpie"/>
        </w:rPr>
        <w:footnoteRef/>
      </w:r>
      <w:r>
        <w:t xml:space="preserve"> </w:t>
      </w:r>
      <w:r w:rsidRPr="00821610">
        <w:rPr>
          <w:rFonts w:ascii="Arial" w:hAnsi="Arial" w:cs="Arial"/>
          <w:sz w:val="16"/>
          <w:szCs w:val="16"/>
        </w:rPr>
        <w:t>Registro digital: 252110, Instancia: Tribunales Colegiados de Circuito, Séptima Época, Materia(s): Administrativa, Fuente: Semanario Judicial de la Federación, Volumen 121-126, Sexta Parte, página 293, Tipo: Jurisprudencia</w:t>
      </w:r>
    </w:p>
  </w:footnote>
  <w:footnote w:id="7">
    <w:p w14:paraId="3DBF711D" w14:textId="56F78420" w:rsidR="00EC3B62" w:rsidRDefault="00EC3B62" w:rsidP="00EC3B6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7BC0ED81" w14:textId="7463431E" w:rsidR="00EC3B62" w:rsidRDefault="00EC3B62">
      <w:pPr>
        <w:pStyle w:val="Textonotapie"/>
      </w:pPr>
    </w:p>
  </w:footnote>
  <w:footnote w:id="8">
    <w:p w14:paraId="6EDE4CE7" w14:textId="77777777" w:rsidR="008E25FE" w:rsidRPr="000264BB" w:rsidRDefault="008E25FE" w:rsidP="008E25FE">
      <w:pPr>
        <w:pStyle w:val="Textonotapie"/>
        <w:jc w:val="both"/>
        <w:rPr>
          <w:rFonts w:ascii="Arial" w:hAnsi="Arial" w:cs="Arial"/>
          <w:sz w:val="16"/>
          <w:szCs w:val="16"/>
        </w:rPr>
      </w:pPr>
      <w:r>
        <w:rPr>
          <w:rStyle w:val="Refdenotaalpie"/>
        </w:rPr>
        <w:footnoteRef/>
      </w:r>
      <w:r>
        <w:t xml:space="preserve"> </w:t>
      </w:r>
      <w:r w:rsidRPr="000264BB">
        <w:rPr>
          <w:rFonts w:ascii="Arial" w:hAnsi="Arial" w:cs="Arial"/>
          <w:sz w:val="16"/>
          <w:szCs w:val="16"/>
        </w:rPr>
        <w:t>SENTENCIAS DEL TRIBUNAL FEDERAL DE JUSTICIA FISCAL Y ADMINISTRATIVA. LA ORDEN DE RESTITUIR AL ACTOR EN SUS DERECHOS ES UN EFECTO PROPIO DE LAS QUE DECLARAN LA NULIDAD QUE, POR TANTO, NO IMPLICA LA INTRODUCCIÓN DE UN NUEVO ELEMENTO EN LA LITIS NI SUPLENCIA DE LA QUEJA DEFICIENTE.</w:t>
      </w:r>
    </w:p>
    <w:p w14:paraId="6139359F" w14:textId="77777777" w:rsidR="008E25FE" w:rsidRPr="000264BB" w:rsidRDefault="008E25FE" w:rsidP="008E25FE">
      <w:pPr>
        <w:pStyle w:val="Textonotapie"/>
        <w:jc w:val="both"/>
        <w:rPr>
          <w:rFonts w:ascii="Arial" w:hAnsi="Arial" w:cs="Arial"/>
          <w:sz w:val="16"/>
          <w:szCs w:val="16"/>
        </w:rPr>
      </w:pPr>
    </w:p>
    <w:p w14:paraId="6ACB10C4" w14:textId="77777777" w:rsidR="008E25FE" w:rsidRDefault="008E25FE" w:rsidP="008E25FE">
      <w:pPr>
        <w:pStyle w:val="Textonotapie"/>
        <w:jc w:val="both"/>
        <w:rPr>
          <w:rFonts w:ascii="Arial" w:hAnsi="Arial" w:cs="Arial"/>
          <w:sz w:val="16"/>
          <w:szCs w:val="16"/>
        </w:rPr>
      </w:pPr>
      <w:r w:rsidRPr="000264BB">
        <w:rPr>
          <w:rFonts w:ascii="Arial" w:hAnsi="Arial" w:cs="Arial"/>
          <w:sz w:val="16"/>
          <w:szCs w:val="16"/>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sidRPr="000264BB">
        <w:rPr>
          <w:rFonts w:ascii="Arial" w:hAnsi="Arial" w:cs="Arial"/>
          <w:sz w:val="16"/>
          <w:szCs w:val="16"/>
        </w:rPr>
        <w:t>litis</w:t>
      </w:r>
      <w:proofErr w:type="spellEnd"/>
      <w:r w:rsidRPr="000264BB">
        <w:rPr>
          <w:rFonts w:ascii="Arial" w:hAnsi="Arial" w:cs="Arial"/>
          <w:sz w:val="16"/>
          <w:szCs w:val="16"/>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14:paraId="0B4F20A6" w14:textId="77777777" w:rsidR="008E25FE" w:rsidRPr="000264BB" w:rsidRDefault="008E25FE" w:rsidP="008E25FE">
      <w:pPr>
        <w:pStyle w:val="Textonotapie"/>
        <w:jc w:val="both"/>
        <w:rPr>
          <w:rFonts w:ascii="Arial" w:hAnsi="Arial" w:cs="Arial"/>
          <w:sz w:val="12"/>
          <w:szCs w:val="12"/>
        </w:rPr>
      </w:pPr>
    </w:p>
    <w:p w14:paraId="75A43414" w14:textId="77777777" w:rsidR="008E25FE" w:rsidRDefault="008E25FE" w:rsidP="008E25FE">
      <w:pPr>
        <w:pStyle w:val="Textonotapie"/>
        <w:jc w:val="both"/>
      </w:pPr>
      <w:r w:rsidRPr="000264BB">
        <w:rPr>
          <w:rFonts w:ascii="Arial" w:hAnsi="Arial" w:cs="Arial"/>
          <w:sz w:val="16"/>
          <w:szCs w:val="16"/>
        </w:rPr>
        <w:t>Registro digital: 179740, Instancia: Tribunales Colegiados de Circuito, Novena Época, Materia(s): Administrativa, Tesis: I.4o.A.455 A, Fuente: Semanario Judicial de la Federación y su Gaceta, Tomo XX, Diciembre de 2004, página 1454, Tipo: Aislada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EE01E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4C5C44" w:rsidRPr="004C5C44">
          <w:rPr>
            <w:noProof/>
            <w:lang w:val="es-ES"/>
          </w:rPr>
          <w:t>10</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B914E03" w:rsidR="00A360DF" w:rsidRDefault="00EE01E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4C5C44" w:rsidRPr="004C5C44">
          <w:rPr>
            <w:noProof/>
            <w:lang w:val="es-ES"/>
          </w:rPr>
          <w:t>9</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464CBE">
          <w:rPr>
            <w:rFonts w:ascii="Century Schoolbook" w:hAnsi="Century Schoolbook" w:cs="Arial"/>
            <w:b/>
            <w:bCs/>
          </w:rPr>
          <w:t>0095</w:t>
        </w:r>
        <w:r w:rsidR="007C7A1C">
          <w:rPr>
            <w:rFonts w:ascii="Century Schoolbook" w:hAnsi="Century Schoolbook" w:cs="Arial"/>
            <w:b/>
            <w:bCs/>
          </w:rPr>
          <w:t>/20</w:t>
        </w:r>
        <w:r w:rsidR="007751BD">
          <w:rPr>
            <w:rFonts w:ascii="Century Schoolbook" w:hAnsi="Century Schoolbook" w:cs="Arial"/>
            <w:b/>
            <w:bCs/>
          </w:rPr>
          <w:t>2</w:t>
        </w:r>
        <w:r w:rsidR="00464CBE">
          <w:rPr>
            <w:rFonts w:ascii="Century Schoolbook" w:hAnsi="Century Schoolbook" w:cs="Arial"/>
            <w:b/>
            <w:bCs/>
          </w:rPr>
          <w:t>1</w:t>
        </w:r>
      </w:sdtContent>
    </w:sdt>
  </w:p>
  <w:p w14:paraId="773A94B2" w14:textId="77777777" w:rsidR="004C5C44" w:rsidRDefault="004C5C44" w:rsidP="00927607">
    <w:pPr>
      <w:pStyle w:val="Encabezado"/>
      <w:tabs>
        <w:tab w:val="left" w:pos="142"/>
      </w:tabs>
      <w:ind w:left="284"/>
    </w:pPr>
  </w:p>
  <w:p w14:paraId="4E598CC8" w14:textId="02A908F7" w:rsidR="004C5C44" w:rsidRDefault="004C5C44" w:rsidP="004C5C44">
    <w:pPr>
      <w:pStyle w:val="Encabezado"/>
      <w:jc w:val="center"/>
    </w:pPr>
    <w:sdt>
      <w:sdtPr>
        <w:id w:val="1733729984"/>
        <w:docPartObj>
          <w:docPartGallery w:val="Page Numbers (Top of Page)"/>
          <w:docPartUnique/>
        </w:docPartObj>
      </w:sdtPr>
      <w:sdtContent>
        <w:r>
          <w:t xml:space="preserve"> </w:t>
        </w:r>
        <w:r>
          <w:rPr>
            <w:rFonts w:ascii="Arial" w:hAnsi="Arial" w:cs="Arial"/>
            <w:b/>
            <w:color w:val="0070C0"/>
          </w:rPr>
          <w:t xml:space="preserve">DATOS PERSONALES PROTEGIDOS POR EL ARTÍCULO 116 DE LA LGTAIP Y ARTÍCULO 61 DE LA LTAIPBGEO </w:t>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EE01E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BBE"/>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4462"/>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689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7B68"/>
    <w:rsid w:val="002805AC"/>
    <w:rsid w:val="00280919"/>
    <w:rsid w:val="00280B62"/>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795"/>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500"/>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57430"/>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87"/>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A65"/>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CBE"/>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AD7"/>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A42"/>
    <w:rsid w:val="004C1578"/>
    <w:rsid w:val="004C1927"/>
    <w:rsid w:val="004C2276"/>
    <w:rsid w:val="004C3A42"/>
    <w:rsid w:val="004C4721"/>
    <w:rsid w:val="004C4B13"/>
    <w:rsid w:val="004C4B5E"/>
    <w:rsid w:val="004C5064"/>
    <w:rsid w:val="004C513B"/>
    <w:rsid w:val="004C537F"/>
    <w:rsid w:val="004C54F2"/>
    <w:rsid w:val="004C5B4E"/>
    <w:rsid w:val="004C5C44"/>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4F795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08AA"/>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3C1C"/>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3C2E"/>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989"/>
    <w:rsid w:val="008D1EDE"/>
    <w:rsid w:val="008D32AD"/>
    <w:rsid w:val="008D3620"/>
    <w:rsid w:val="008D458F"/>
    <w:rsid w:val="008D52D9"/>
    <w:rsid w:val="008D6772"/>
    <w:rsid w:val="008D72E4"/>
    <w:rsid w:val="008D7AC6"/>
    <w:rsid w:val="008D7DFB"/>
    <w:rsid w:val="008E02E6"/>
    <w:rsid w:val="008E08A8"/>
    <w:rsid w:val="008E0B04"/>
    <w:rsid w:val="008E15B5"/>
    <w:rsid w:val="008E1B7B"/>
    <w:rsid w:val="008E20E6"/>
    <w:rsid w:val="008E25FE"/>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5C8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1BEB"/>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3C75"/>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4EC0"/>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C707D"/>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6BE"/>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881"/>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091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78A"/>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75F"/>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1E2"/>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00E"/>
    <w:rsid w:val="00F77624"/>
    <w:rsid w:val="00F804E8"/>
    <w:rsid w:val="00F8071E"/>
    <w:rsid w:val="00F80DF4"/>
    <w:rsid w:val="00F8181F"/>
    <w:rsid w:val="00F8258C"/>
    <w:rsid w:val="00F826FD"/>
    <w:rsid w:val="00F82BC8"/>
    <w:rsid w:val="00F82E77"/>
    <w:rsid w:val="00F83536"/>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44449599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7519E-A2AA-44B3-9EC8-E72974501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708</TotalTime>
  <Pages>10</Pages>
  <Words>3413</Words>
  <Characters>18776</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14</cp:revision>
  <cp:lastPrinted>2023-07-07T21:22:00Z</cp:lastPrinted>
  <dcterms:created xsi:type="dcterms:W3CDTF">2022-10-24T19:10:00Z</dcterms:created>
  <dcterms:modified xsi:type="dcterms:W3CDTF">2023-07-07T21:23:00Z</dcterms:modified>
</cp:coreProperties>
</file>