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A4F97A" w14:textId="77777777" w:rsidR="003569E3" w:rsidRPr="009C0C09" w:rsidRDefault="003569E3" w:rsidP="006B2626">
      <w:pPr>
        <w:spacing w:after="0"/>
        <w:ind w:left="3686" w:right="51"/>
        <w:jc w:val="both"/>
        <w:rPr>
          <w:rFonts w:ascii="Arial" w:eastAsia="Times New Roman" w:hAnsi="Arial" w:cs="Arial"/>
          <w:b/>
          <w:sz w:val="24"/>
          <w:szCs w:val="27"/>
          <w:lang w:val="es-ES_tradnl" w:eastAsia="es-ES"/>
        </w:rPr>
      </w:pPr>
      <w:r w:rsidRPr="009C0C09">
        <w:rPr>
          <w:rFonts w:ascii="Arial" w:eastAsia="Times New Roman" w:hAnsi="Arial" w:cs="Arial"/>
          <w:b/>
          <w:sz w:val="24"/>
          <w:szCs w:val="27"/>
          <w:lang w:val="es-ES_tradnl" w:eastAsia="es-ES"/>
        </w:rPr>
        <w:t>TRIBUNAL DE JUSTICIA ADMINISTRATIVA DEL ESTADO DE OAXACA.</w:t>
      </w:r>
    </w:p>
    <w:p w14:paraId="3E03C1DE" w14:textId="77777777" w:rsidR="001658D6" w:rsidRPr="009C0C09" w:rsidRDefault="001658D6" w:rsidP="006B2626">
      <w:pPr>
        <w:spacing w:after="0"/>
        <w:ind w:left="3686" w:right="51"/>
        <w:jc w:val="both"/>
        <w:rPr>
          <w:rFonts w:ascii="Arial" w:eastAsia="Times New Roman" w:hAnsi="Arial" w:cs="Arial"/>
          <w:b/>
          <w:sz w:val="24"/>
          <w:szCs w:val="27"/>
          <w:lang w:val="es-ES_tradnl" w:eastAsia="es-ES"/>
        </w:rPr>
      </w:pPr>
    </w:p>
    <w:p w14:paraId="313147ED" w14:textId="249AC799" w:rsidR="001658D6" w:rsidRPr="009C0C09" w:rsidRDefault="009C0C09" w:rsidP="006B2626">
      <w:pPr>
        <w:spacing w:after="0"/>
        <w:ind w:left="3686" w:right="51"/>
        <w:jc w:val="both"/>
        <w:rPr>
          <w:rFonts w:ascii="Arial" w:eastAsia="Times New Roman" w:hAnsi="Arial" w:cs="Arial"/>
          <w:b/>
          <w:sz w:val="24"/>
          <w:szCs w:val="27"/>
          <w:lang w:val="es-ES_tradnl" w:eastAsia="es-ES"/>
        </w:rPr>
      </w:pPr>
      <w:r>
        <w:rPr>
          <w:rFonts w:ascii="Arial" w:eastAsia="Times New Roman" w:hAnsi="Arial" w:cs="Arial"/>
          <w:b/>
          <w:sz w:val="24"/>
          <w:szCs w:val="27"/>
          <w:lang w:val="es-ES_tradnl" w:eastAsia="es-ES"/>
        </w:rPr>
        <w:t>SEGUNDA</w:t>
      </w:r>
      <w:r w:rsidR="001658D6" w:rsidRPr="009C0C09">
        <w:rPr>
          <w:rFonts w:ascii="Arial" w:eastAsia="Times New Roman" w:hAnsi="Arial" w:cs="Arial"/>
          <w:b/>
          <w:sz w:val="24"/>
          <w:szCs w:val="27"/>
          <w:lang w:val="es-ES_tradnl" w:eastAsia="es-ES"/>
        </w:rPr>
        <w:t xml:space="preserve"> SALA UNITARIA DE PRIMERA INSTANCIA.</w:t>
      </w:r>
    </w:p>
    <w:p w14:paraId="4621834D" w14:textId="0EB70707" w:rsidR="00140805" w:rsidRPr="009C0C09" w:rsidRDefault="00140805" w:rsidP="006B2626">
      <w:pPr>
        <w:spacing w:after="0"/>
        <w:ind w:left="3686" w:right="51"/>
        <w:jc w:val="both"/>
        <w:rPr>
          <w:rFonts w:ascii="Arial" w:eastAsia="Times New Roman" w:hAnsi="Arial" w:cs="Arial"/>
          <w:b/>
          <w:sz w:val="24"/>
          <w:szCs w:val="27"/>
          <w:lang w:val="es-ES_tradnl" w:eastAsia="es-ES"/>
        </w:rPr>
      </w:pPr>
    </w:p>
    <w:p w14:paraId="1E955A28" w14:textId="1473C150" w:rsidR="00140805" w:rsidRPr="009C0C09" w:rsidRDefault="00140805" w:rsidP="006B2626">
      <w:pPr>
        <w:spacing w:after="0"/>
        <w:ind w:left="3686" w:right="51"/>
        <w:jc w:val="both"/>
        <w:rPr>
          <w:rFonts w:ascii="Arial" w:eastAsia="Times New Roman" w:hAnsi="Arial" w:cs="Arial"/>
          <w:bCs/>
          <w:sz w:val="24"/>
          <w:szCs w:val="27"/>
          <w:lang w:val="es-ES_tradnl" w:eastAsia="es-ES"/>
        </w:rPr>
      </w:pPr>
      <w:r w:rsidRPr="009C0C09">
        <w:rPr>
          <w:rFonts w:ascii="Arial" w:eastAsia="Times New Roman" w:hAnsi="Arial" w:cs="Arial"/>
          <w:b/>
          <w:sz w:val="24"/>
          <w:szCs w:val="27"/>
          <w:lang w:val="es-ES_tradnl" w:eastAsia="es-ES"/>
        </w:rPr>
        <w:t xml:space="preserve">JUICIO DE NULIDAD: </w:t>
      </w:r>
      <w:r w:rsidR="00F34B11">
        <w:rPr>
          <w:rFonts w:ascii="Arial" w:eastAsia="Times New Roman" w:hAnsi="Arial" w:cs="Arial"/>
          <w:bCs/>
          <w:sz w:val="24"/>
          <w:szCs w:val="27"/>
          <w:lang w:val="es-ES_tradnl" w:eastAsia="es-ES"/>
        </w:rPr>
        <w:t>96/2019</w:t>
      </w:r>
      <w:r w:rsidR="00314C35" w:rsidRPr="009C0C09">
        <w:rPr>
          <w:rFonts w:ascii="Arial" w:eastAsia="Times New Roman" w:hAnsi="Arial" w:cs="Arial"/>
          <w:bCs/>
          <w:sz w:val="24"/>
          <w:szCs w:val="27"/>
          <w:lang w:val="es-ES_tradnl" w:eastAsia="es-ES"/>
        </w:rPr>
        <w:t>.</w:t>
      </w:r>
      <w:r w:rsidRPr="009C0C09">
        <w:rPr>
          <w:rFonts w:ascii="Arial" w:eastAsia="Times New Roman" w:hAnsi="Arial" w:cs="Arial"/>
          <w:bCs/>
          <w:sz w:val="24"/>
          <w:szCs w:val="27"/>
          <w:lang w:val="es-ES_tradnl" w:eastAsia="es-ES"/>
        </w:rPr>
        <w:t xml:space="preserve"> </w:t>
      </w:r>
    </w:p>
    <w:p w14:paraId="4AA1269D" w14:textId="77777777" w:rsidR="003569E3" w:rsidRPr="009C0C09" w:rsidRDefault="003569E3" w:rsidP="006B2626">
      <w:pPr>
        <w:spacing w:after="0"/>
        <w:ind w:left="3686" w:right="51"/>
        <w:jc w:val="both"/>
        <w:rPr>
          <w:rFonts w:ascii="Arial" w:eastAsia="Times New Roman" w:hAnsi="Arial" w:cs="Arial"/>
          <w:b/>
          <w:sz w:val="24"/>
          <w:szCs w:val="27"/>
          <w:lang w:val="es-ES_tradnl" w:eastAsia="es-ES"/>
        </w:rPr>
      </w:pPr>
    </w:p>
    <w:p w14:paraId="4AE0D200" w14:textId="059781D6" w:rsidR="003569E3" w:rsidRPr="009C0C09" w:rsidRDefault="003569E3" w:rsidP="006B2626">
      <w:pPr>
        <w:spacing w:after="0"/>
        <w:ind w:left="3686" w:right="51"/>
        <w:jc w:val="both"/>
        <w:rPr>
          <w:rFonts w:ascii="Arial" w:eastAsia="Times New Roman" w:hAnsi="Arial" w:cs="Arial"/>
          <w:sz w:val="24"/>
          <w:szCs w:val="27"/>
          <w:lang w:val="es-ES_tradnl" w:eastAsia="es-ES"/>
        </w:rPr>
      </w:pPr>
      <w:r w:rsidRPr="009C0C09">
        <w:rPr>
          <w:rFonts w:ascii="Arial" w:eastAsia="Times New Roman" w:hAnsi="Arial" w:cs="Arial"/>
          <w:b/>
          <w:sz w:val="24"/>
          <w:szCs w:val="27"/>
          <w:lang w:val="es-ES_tradnl" w:eastAsia="es-ES"/>
        </w:rPr>
        <w:t xml:space="preserve">ACTOR: </w:t>
      </w:r>
      <w:r w:rsidR="00CF184C">
        <w:rPr>
          <w:rFonts w:ascii="Arial" w:eastAsia="Times New Roman" w:hAnsi="Arial" w:cs="Arial"/>
          <w:sz w:val="24"/>
          <w:szCs w:val="27"/>
          <w:lang w:val="es-ES_tradnl" w:eastAsia="es-ES"/>
        </w:rPr>
        <w:t>***** *****</w:t>
      </w:r>
      <w:r w:rsidR="003579DB">
        <w:rPr>
          <w:rFonts w:ascii="Arial" w:eastAsia="Times New Roman" w:hAnsi="Arial" w:cs="Arial"/>
          <w:sz w:val="24"/>
          <w:szCs w:val="27"/>
          <w:lang w:val="es-ES_tradnl" w:eastAsia="es-ES"/>
        </w:rPr>
        <w:t xml:space="preserve"> </w:t>
      </w:r>
      <w:r w:rsidR="00CF184C">
        <w:rPr>
          <w:rFonts w:ascii="Arial" w:eastAsia="Times New Roman" w:hAnsi="Arial" w:cs="Arial"/>
          <w:sz w:val="24"/>
          <w:szCs w:val="27"/>
          <w:lang w:val="es-ES_tradnl" w:eastAsia="es-ES"/>
        </w:rPr>
        <w:t>*****</w:t>
      </w:r>
      <w:r w:rsidR="00B416AA" w:rsidRPr="00C96EE7">
        <w:rPr>
          <w:rFonts w:ascii="Arial" w:eastAsia="Times New Roman" w:hAnsi="Arial" w:cs="Arial"/>
          <w:sz w:val="24"/>
          <w:szCs w:val="27"/>
          <w:lang w:val="es-ES_tradnl" w:eastAsia="es-ES"/>
        </w:rPr>
        <w:t xml:space="preserve"> </w:t>
      </w:r>
      <w:r w:rsidR="00E9031A" w:rsidRPr="00C96EE7">
        <w:rPr>
          <w:rFonts w:ascii="Arial" w:eastAsia="Times New Roman" w:hAnsi="Arial" w:cs="Arial"/>
          <w:sz w:val="24"/>
          <w:szCs w:val="27"/>
          <w:lang w:val="es-ES_tradnl" w:eastAsia="es-ES"/>
        </w:rPr>
        <w:t xml:space="preserve"> </w:t>
      </w:r>
    </w:p>
    <w:p w14:paraId="2DE53633" w14:textId="77777777" w:rsidR="003569E3" w:rsidRPr="009C0C09" w:rsidRDefault="003569E3" w:rsidP="006B2626">
      <w:pPr>
        <w:spacing w:after="0"/>
        <w:ind w:left="3686" w:right="51"/>
        <w:jc w:val="both"/>
        <w:rPr>
          <w:rFonts w:ascii="Arial" w:eastAsia="Times New Roman" w:hAnsi="Arial" w:cs="Arial"/>
          <w:sz w:val="24"/>
          <w:szCs w:val="27"/>
          <w:lang w:val="es-ES_tradnl" w:eastAsia="es-ES"/>
        </w:rPr>
      </w:pPr>
    </w:p>
    <w:p w14:paraId="1570B435" w14:textId="3BCBD41D" w:rsidR="00C96EE7" w:rsidRDefault="00C07F53" w:rsidP="006B2626">
      <w:pPr>
        <w:spacing w:after="0"/>
        <w:ind w:left="3686" w:right="51"/>
        <w:jc w:val="both"/>
        <w:rPr>
          <w:rFonts w:ascii="Arial" w:eastAsia="Times New Roman" w:hAnsi="Arial" w:cs="Arial"/>
          <w:sz w:val="24"/>
          <w:szCs w:val="27"/>
          <w:lang w:val="es-ES_tradnl" w:eastAsia="es-ES"/>
        </w:rPr>
      </w:pPr>
      <w:r w:rsidRPr="009C0C09">
        <w:rPr>
          <w:rFonts w:ascii="Arial" w:eastAsia="Times New Roman" w:hAnsi="Arial" w:cs="Arial"/>
          <w:b/>
          <w:sz w:val="24"/>
          <w:szCs w:val="27"/>
          <w:lang w:val="es-ES_tradnl" w:eastAsia="es-ES"/>
        </w:rPr>
        <w:t xml:space="preserve">AUTORIDAD </w:t>
      </w:r>
      <w:r w:rsidR="003569E3" w:rsidRPr="009C0C09">
        <w:rPr>
          <w:rFonts w:ascii="Arial" w:eastAsia="Times New Roman" w:hAnsi="Arial" w:cs="Arial"/>
          <w:b/>
          <w:sz w:val="24"/>
          <w:szCs w:val="27"/>
          <w:lang w:val="es-ES_tradnl" w:eastAsia="es-ES"/>
        </w:rPr>
        <w:t xml:space="preserve">DEMANDADA: </w:t>
      </w:r>
      <w:r w:rsidR="003579DB">
        <w:rPr>
          <w:rFonts w:ascii="Arial" w:eastAsia="Times New Roman" w:hAnsi="Arial" w:cs="Arial"/>
          <w:sz w:val="24"/>
          <w:szCs w:val="27"/>
          <w:lang w:val="es-ES_tradnl" w:eastAsia="es-ES"/>
        </w:rPr>
        <w:t xml:space="preserve">DIRECTOR GENERAL Y </w:t>
      </w:r>
      <w:r w:rsidR="006D5592">
        <w:rPr>
          <w:rFonts w:ascii="Arial" w:eastAsia="Times New Roman" w:hAnsi="Arial" w:cs="Arial"/>
          <w:sz w:val="24"/>
          <w:szCs w:val="27"/>
          <w:lang w:val="es-ES_tradnl" w:eastAsia="es-ES"/>
        </w:rPr>
        <w:t>CONSEJO DIR</w:t>
      </w:r>
      <w:r w:rsidR="003579DB">
        <w:rPr>
          <w:rFonts w:ascii="Arial" w:eastAsia="Times New Roman" w:hAnsi="Arial" w:cs="Arial"/>
          <w:sz w:val="24"/>
          <w:szCs w:val="27"/>
          <w:lang w:val="es-ES_tradnl" w:eastAsia="es-ES"/>
        </w:rPr>
        <w:t xml:space="preserve">ECTIVO AMBOS DE LA OFICINA DE PENSIONES DEL ESTADO </w:t>
      </w:r>
      <w:r w:rsidR="00A730CB" w:rsidRPr="00A730CB">
        <w:rPr>
          <w:rFonts w:ascii="Arial" w:eastAsia="Times New Roman" w:hAnsi="Arial" w:cs="Arial"/>
          <w:sz w:val="24"/>
          <w:szCs w:val="27"/>
          <w:lang w:val="es-ES_tradnl" w:eastAsia="es-ES"/>
        </w:rPr>
        <w:t>DE OAXACA</w:t>
      </w:r>
      <w:r w:rsidR="00D3679B" w:rsidRPr="00B32722">
        <w:rPr>
          <w:rFonts w:ascii="Arial" w:eastAsia="Times New Roman" w:hAnsi="Arial" w:cs="Arial"/>
          <w:sz w:val="24"/>
          <w:szCs w:val="27"/>
          <w:lang w:val="es-ES_tradnl" w:eastAsia="es-ES"/>
        </w:rPr>
        <w:t>.</w:t>
      </w:r>
      <w:r w:rsidR="00DE03B3">
        <w:rPr>
          <w:rFonts w:ascii="Arial" w:eastAsia="Times New Roman" w:hAnsi="Arial" w:cs="Arial"/>
          <w:sz w:val="24"/>
          <w:szCs w:val="27"/>
          <w:lang w:val="es-ES_tradnl" w:eastAsia="es-ES"/>
        </w:rPr>
        <w:t xml:space="preserve"> </w:t>
      </w:r>
    </w:p>
    <w:p w14:paraId="03FFC2E6" w14:textId="05186F41" w:rsidR="003569E3" w:rsidRPr="00263E2D" w:rsidRDefault="00DE03B3" w:rsidP="006B2626">
      <w:pPr>
        <w:ind w:left="3686" w:right="51"/>
        <w:jc w:val="both"/>
        <w:rPr>
          <w:rFonts w:ascii="Arial" w:eastAsia="Times New Roman" w:hAnsi="Arial" w:cs="Arial"/>
          <w:sz w:val="24"/>
          <w:szCs w:val="27"/>
          <w:lang w:val="es-ES_tradnl" w:eastAsia="es-ES"/>
        </w:rPr>
      </w:pPr>
      <w:r>
        <w:rPr>
          <w:rFonts w:ascii="Arial" w:eastAsia="Times New Roman" w:hAnsi="Arial" w:cs="Arial"/>
          <w:sz w:val="24"/>
          <w:szCs w:val="27"/>
          <w:lang w:val="es-ES_tradnl" w:eastAsia="es-ES"/>
        </w:rPr>
        <w:t xml:space="preserve">                      </w:t>
      </w:r>
    </w:p>
    <w:p w14:paraId="70DB9FE9" w14:textId="46EB8637" w:rsidR="008C764E" w:rsidRPr="009C0C09" w:rsidRDefault="003569E3" w:rsidP="006B2626">
      <w:pPr>
        <w:widowControl w:val="0"/>
        <w:spacing w:line="360" w:lineRule="auto"/>
        <w:ind w:right="51" w:firstLine="567"/>
        <w:jc w:val="both"/>
        <w:rPr>
          <w:rFonts w:ascii="Arial" w:eastAsia="Times New Roman" w:hAnsi="Arial" w:cs="Arial"/>
          <w:b/>
          <w:sz w:val="24"/>
          <w:szCs w:val="27"/>
          <w:lang w:val="es-ES" w:eastAsia="es-ES"/>
        </w:rPr>
      </w:pPr>
      <w:r w:rsidRPr="009C0C09">
        <w:rPr>
          <w:rFonts w:ascii="Arial" w:eastAsia="Times New Roman" w:hAnsi="Arial" w:cs="Arial"/>
          <w:b/>
          <w:sz w:val="24"/>
          <w:szCs w:val="27"/>
          <w:lang w:val="es-ES" w:eastAsia="es-ES"/>
        </w:rPr>
        <w:t xml:space="preserve">OAXACA DE JUÁREZ, OAXACA, A </w:t>
      </w:r>
      <w:r w:rsidR="00F34B11">
        <w:rPr>
          <w:rFonts w:ascii="Arial" w:eastAsia="Times New Roman" w:hAnsi="Arial" w:cs="Arial"/>
          <w:b/>
          <w:sz w:val="24"/>
          <w:szCs w:val="27"/>
          <w:lang w:val="es-ES" w:eastAsia="es-ES"/>
        </w:rPr>
        <w:t>VEINTIOCHO DE</w:t>
      </w:r>
      <w:r w:rsidR="006D5592">
        <w:rPr>
          <w:rFonts w:ascii="Arial" w:eastAsia="Times New Roman" w:hAnsi="Arial" w:cs="Arial"/>
          <w:b/>
          <w:sz w:val="24"/>
          <w:szCs w:val="27"/>
          <w:lang w:val="es-ES" w:eastAsia="es-ES"/>
        </w:rPr>
        <w:t xml:space="preserve"> MAYO</w:t>
      </w:r>
      <w:r w:rsidRPr="009C0C09">
        <w:rPr>
          <w:rFonts w:ascii="Arial" w:eastAsia="Times New Roman" w:hAnsi="Arial" w:cs="Arial"/>
          <w:b/>
          <w:sz w:val="24"/>
          <w:szCs w:val="27"/>
          <w:lang w:val="es-ES" w:eastAsia="es-ES"/>
        </w:rPr>
        <w:t xml:space="preserve"> DE DOS MIL </w:t>
      </w:r>
      <w:r w:rsidR="006D5592">
        <w:rPr>
          <w:rFonts w:ascii="Arial" w:eastAsia="Times New Roman" w:hAnsi="Arial" w:cs="Arial"/>
          <w:b/>
          <w:sz w:val="24"/>
          <w:szCs w:val="27"/>
          <w:lang w:val="es-ES" w:eastAsia="es-ES"/>
        </w:rPr>
        <w:t>VEINTIUNO</w:t>
      </w:r>
      <w:r w:rsidRPr="009C0C09">
        <w:rPr>
          <w:rFonts w:ascii="Arial" w:eastAsia="Times New Roman" w:hAnsi="Arial" w:cs="Arial"/>
          <w:b/>
          <w:sz w:val="24"/>
          <w:szCs w:val="27"/>
          <w:lang w:val="es-ES" w:eastAsia="es-ES"/>
        </w:rPr>
        <w:t>.</w:t>
      </w:r>
      <w:r w:rsidR="008C764E" w:rsidRPr="009C0C09">
        <w:rPr>
          <w:sz w:val="24"/>
          <w:szCs w:val="27"/>
        </w:rPr>
        <w:t xml:space="preserve"> </w:t>
      </w:r>
    </w:p>
    <w:p w14:paraId="044BF535" w14:textId="0ED82FD2" w:rsidR="00102315" w:rsidRPr="009C0C09" w:rsidRDefault="003569E3" w:rsidP="006B2626">
      <w:pPr>
        <w:widowControl w:val="0"/>
        <w:spacing w:line="360" w:lineRule="auto"/>
        <w:ind w:right="51" w:firstLine="567"/>
        <w:jc w:val="both"/>
        <w:rPr>
          <w:rFonts w:ascii="Arial" w:eastAsia="Times New Roman" w:hAnsi="Arial" w:cs="Arial"/>
          <w:sz w:val="24"/>
          <w:szCs w:val="27"/>
          <w:lang w:val="es-ES" w:eastAsia="es-ES"/>
        </w:rPr>
      </w:pPr>
      <w:r w:rsidRPr="009C0C09">
        <w:rPr>
          <w:rFonts w:ascii="Arial" w:eastAsia="Times New Roman" w:hAnsi="Arial" w:cs="Arial"/>
          <w:b/>
          <w:sz w:val="24"/>
          <w:szCs w:val="27"/>
          <w:lang w:val="es-ES_tradnl" w:eastAsia="es-ES"/>
        </w:rPr>
        <w:t xml:space="preserve">V I S T O S, </w:t>
      </w:r>
      <w:r w:rsidRPr="009C0C09">
        <w:rPr>
          <w:rFonts w:ascii="Arial" w:eastAsia="Times New Roman" w:hAnsi="Arial" w:cs="Arial"/>
          <w:sz w:val="24"/>
          <w:szCs w:val="27"/>
          <w:lang w:val="es-ES_tradnl" w:eastAsia="es-ES"/>
        </w:rPr>
        <w:t>para resolver lo</w:t>
      </w:r>
      <w:r w:rsidR="00102315" w:rsidRPr="009C0C09">
        <w:rPr>
          <w:rFonts w:ascii="Arial" w:eastAsia="Times New Roman" w:hAnsi="Arial" w:cs="Arial"/>
          <w:sz w:val="24"/>
          <w:szCs w:val="27"/>
          <w:lang w:val="es-ES_tradnl" w:eastAsia="es-ES"/>
        </w:rPr>
        <w:t xml:space="preserve">s autos del </w:t>
      </w:r>
      <w:r w:rsidR="007E112A" w:rsidRPr="009C0C09">
        <w:rPr>
          <w:rFonts w:ascii="Arial" w:eastAsia="Times New Roman" w:hAnsi="Arial" w:cs="Arial"/>
          <w:sz w:val="24"/>
          <w:szCs w:val="27"/>
          <w:lang w:val="es-ES_tradnl" w:eastAsia="es-ES"/>
        </w:rPr>
        <w:t>juicio de nulidad</w:t>
      </w:r>
      <w:r w:rsidR="00975C4C" w:rsidRPr="009C0C09">
        <w:rPr>
          <w:rFonts w:ascii="Arial" w:eastAsia="Times New Roman" w:hAnsi="Arial" w:cs="Arial"/>
          <w:sz w:val="24"/>
          <w:szCs w:val="27"/>
          <w:lang w:val="es-ES_tradnl" w:eastAsia="es-ES"/>
        </w:rPr>
        <w:t xml:space="preserve"> número </w:t>
      </w:r>
      <w:r w:rsidR="00F34B11">
        <w:rPr>
          <w:rFonts w:ascii="Arial" w:eastAsia="Times New Roman" w:hAnsi="Arial" w:cs="Arial"/>
          <w:b/>
          <w:bCs/>
          <w:sz w:val="24"/>
          <w:szCs w:val="27"/>
          <w:lang w:val="es-ES_tradnl" w:eastAsia="es-ES"/>
        </w:rPr>
        <w:t>96/2019</w:t>
      </w:r>
      <w:r w:rsidR="00102315" w:rsidRPr="009C0C09">
        <w:rPr>
          <w:rFonts w:ascii="Arial" w:eastAsia="Times New Roman" w:hAnsi="Arial" w:cs="Arial"/>
          <w:sz w:val="24"/>
          <w:szCs w:val="27"/>
          <w:lang w:val="es-ES_tradnl" w:eastAsia="es-ES"/>
        </w:rPr>
        <w:t xml:space="preserve">, </w:t>
      </w:r>
      <w:r w:rsidR="00C96EE7">
        <w:rPr>
          <w:rFonts w:ascii="Arial" w:eastAsia="Times New Roman" w:hAnsi="Arial" w:cs="Arial"/>
          <w:sz w:val="24"/>
          <w:szCs w:val="27"/>
          <w:lang w:val="es-ES_tradnl" w:eastAsia="es-ES"/>
        </w:rPr>
        <w:t>promovido</w:t>
      </w:r>
      <w:r w:rsidR="00102315" w:rsidRPr="009C0C09">
        <w:rPr>
          <w:rFonts w:ascii="Arial" w:eastAsia="Times New Roman" w:hAnsi="Arial" w:cs="Arial"/>
          <w:sz w:val="24"/>
          <w:szCs w:val="27"/>
          <w:lang w:val="es-ES_tradnl" w:eastAsia="es-ES"/>
        </w:rPr>
        <w:t xml:space="preserve"> por </w:t>
      </w:r>
      <w:r w:rsidR="00CF184C">
        <w:rPr>
          <w:rFonts w:ascii="Arial" w:eastAsia="Times New Roman" w:hAnsi="Arial" w:cs="Arial"/>
          <w:b/>
          <w:bCs/>
          <w:sz w:val="24"/>
          <w:szCs w:val="27"/>
          <w:lang w:val="es-ES_tradnl" w:eastAsia="es-ES"/>
        </w:rPr>
        <w:t>*****</w:t>
      </w:r>
      <w:r w:rsidR="003579DB">
        <w:rPr>
          <w:rFonts w:ascii="Arial" w:eastAsia="Times New Roman" w:hAnsi="Arial" w:cs="Arial"/>
          <w:b/>
          <w:bCs/>
          <w:sz w:val="24"/>
          <w:szCs w:val="27"/>
          <w:lang w:val="es-ES_tradnl" w:eastAsia="es-ES"/>
        </w:rPr>
        <w:t xml:space="preserve"> </w:t>
      </w:r>
      <w:r w:rsidR="00CF184C">
        <w:rPr>
          <w:rFonts w:ascii="Arial" w:eastAsia="Times New Roman" w:hAnsi="Arial" w:cs="Arial"/>
          <w:b/>
          <w:bCs/>
          <w:sz w:val="24"/>
          <w:szCs w:val="27"/>
          <w:lang w:val="es-ES_tradnl" w:eastAsia="es-ES"/>
        </w:rPr>
        <w:t>*****</w:t>
      </w:r>
      <w:r w:rsidR="003579DB">
        <w:rPr>
          <w:rFonts w:ascii="Arial" w:eastAsia="Times New Roman" w:hAnsi="Arial" w:cs="Arial"/>
          <w:b/>
          <w:bCs/>
          <w:sz w:val="24"/>
          <w:szCs w:val="27"/>
          <w:lang w:val="es-ES_tradnl" w:eastAsia="es-ES"/>
        </w:rPr>
        <w:t xml:space="preserve"> </w:t>
      </w:r>
      <w:r w:rsidR="00CF184C">
        <w:rPr>
          <w:rFonts w:ascii="Arial" w:eastAsia="Times New Roman" w:hAnsi="Arial" w:cs="Arial"/>
          <w:b/>
          <w:bCs/>
          <w:sz w:val="24"/>
          <w:szCs w:val="27"/>
          <w:lang w:val="es-ES_tradnl" w:eastAsia="es-ES"/>
        </w:rPr>
        <w:t>*****</w:t>
      </w:r>
      <w:r w:rsidR="00102315" w:rsidRPr="009C0C09">
        <w:rPr>
          <w:rFonts w:ascii="Arial" w:eastAsia="Times New Roman" w:hAnsi="Arial" w:cs="Arial"/>
          <w:sz w:val="24"/>
          <w:szCs w:val="27"/>
          <w:lang w:val="es-ES_tradnl" w:eastAsia="es-ES"/>
        </w:rPr>
        <w:t>, en contra de</w:t>
      </w:r>
      <w:r w:rsidR="007150B1">
        <w:rPr>
          <w:rFonts w:ascii="Arial" w:eastAsia="Times New Roman" w:hAnsi="Arial" w:cs="Arial"/>
          <w:sz w:val="24"/>
          <w:szCs w:val="27"/>
          <w:lang w:val="es-ES_tradnl" w:eastAsia="es-ES"/>
        </w:rPr>
        <w:t>l</w:t>
      </w:r>
      <w:r w:rsidR="00102315" w:rsidRPr="009C0C09">
        <w:rPr>
          <w:rFonts w:ascii="Arial" w:eastAsia="Times New Roman" w:hAnsi="Arial" w:cs="Arial"/>
          <w:sz w:val="24"/>
          <w:szCs w:val="27"/>
          <w:lang w:val="es-ES_tradnl" w:eastAsia="es-ES"/>
        </w:rPr>
        <w:t xml:space="preserve"> </w:t>
      </w:r>
      <w:r w:rsidR="00753223" w:rsidRPr="00753223">
        <w:rPr>
          <w:rFonts w:ascii="Arial" w:eastAsia="Times New Roman" w:hAnsi="Arial" w:cs="Arial"/>
          <w:b/>
          <w:sz w:val="24"/>
          <w:szCs w:val="27"/>
          <w:lang w:val="es-ES_tradnl" w:eastAsia="es-ES"/>
        </w:rPr>
        <w:t>DIRECTOR GENERAL Y CONSEJO DIRECTIVO AMBOS DE LA OFICINA DE PENSIONES DEL ESTADO DE OAXACA</w:t>
      </w:r>
      <w:r w:rsidR="00174085">
        <w:rPr>
          <w:rFonts w:ascii="Arial" w:eastAsia="Times New Roman" w:hAnsi="Arial" w:cs="Arial"/>
          <w:b/>
          <w:sz w:val="24"/>
          <w:szCs w:val="27"/>
          <w:lang w:val="es-ES_tradnl" w:eastAsia="es-ES"/>
        </w:rPr>
        <w:t>,</w:t>
      </w:r>
      <w:r w:rsidR="00102315" w:rsidRPr="009C0C09">
        <w:rPr>
          <w:rFonts w:ascii="Arial" w:eastAsia="Times New Roman" w:hAnsi="Arial" w:cs="Arial"/>
          <w:sz w:val="24"/>
          <w:szCs w:val="27"/>
          <w:lang w:val="es-ES_tradnl" w:eastAsia="es-ES"/>
        </w:rPr>
        <w:t xml:space="preserve"> y;</w:t>
      </w:r>
    </w:p>
    <w:p w14:paraId="40202D22" w14:textId="77777777" w:rsidR="00102315" w:rsidRPr="009C0C09" w:rsidRDefault="00102315" w:rsidP="006B2626">
      <w:pPr>
        <w:spacing w:line="360" w:lineRule="auto"/>
        <w:jc w:val="center"/>
        <w:rPr>
          <w:rFonts w:ascii="Arial" w:hAnsi="Arial" w:cs="Arial"/>
          <w:b/>
          <w:spacing w:val="-3"/>
          <w:sz w:val="24"/>
          <w:szCs w:val="27"/>
          <w:lang w:val="es-ES_tradnl"/>
        </w:rPr>
      </w:pPr>
      <w:r w:rsidRPr="009C0C09">
        <w:rPr>
          <w:rFonts w:ascii="Arial" w:hAnsi="Arial" w:cs="Arial"/>
          <w:b/>
          <w:sz w:val="24"/>
          <w:szCs w:val="27"/>
        </w:rPr>
        <w:t>R E</w:t>
      </w:r>
      <w:r w:rsidRPr="009C0C09">
        <w:rPr>
          <w:rFonts w:ascii="Arial" w:hAnsi="Arial" w:cs="Arial"/>
          <w:b/>
          <w:spacing w:val="-3"/>
          <w:sz w:val="24"/>
          <w:szCs w:val="27"/>
          <w:lang w:val="es-ES_tradnl"/>
        </w:rPr>
        <w:t xml:space="preserve"> S U L T A N D O:</w:t>
      </w:r>
    </w:p>
    <w:p w14:paraId="4E801137" w14:textId="6CDB342A" w:rsidR="0075198C" w:rsidRDefault="000C1184" w:rsidP="006B2626">
      <w:pPr>
        <w:spacing w:line="360" w:lineRule="auto"/>
        <w:ind w:firstLine="567"/>
        <w:jc w:val="both"/>
        <w:rPr>
          <w:rFonts w:ascii="Arial" w:hAnsi="Arial" w:cs="Arial"/>
          <w:bCs/>
          <w:spacing w:val="-3"/>
          <w:sz w:val="24"/>
          <w:szCs w:val="27"/>
          <w:lang w:val="es-ES_tradnl"/>
        </w:rPr>
      </w:pPr>
      <w:r w:rsidRPr="009C0C09">
        <w:rPr>
          <w:rFonts w:ascii="Arial" w:hAnsi="Arial" w:cs="Arial"/>
          <w:b/>
          <w:spacing w:val="-3"/>
          <w:sz w:val="24"/>
          <w:szCs w:val="27"/>
          <w:lang w:val="es-ES_tradnl"/>
        </w:rPr>
        <w:t>PRIMERO.</w:t>
      </w:r>
      <w:r w:rsidRPr="009C0C09">
        <w:rPr>
          <w:rFonts w:ascii="Arial" w:hAnsi="Arial" w:cs="Arial"/>
          <w:bCs/>
          <w:spacing w:val="-3"/>
          <w:sz w:val="24"/>
          <w:szCs w:val="27"/>
          <w:lang w:val="es-ES_tradnl"/>
        </w:rPr>
        <w:t xml:space="preserve"> </w:t>
      </w:r>
      <w:r w:rsidR="00DB4C41" w:rsidRPr="00DB4C41">
        <w:rPr>
          <w:rFonts w:ascii="Arial" w:hAnsi="Arial" w:cs="Arial"/>
          <w:bCs/>
          <w:spacing w:val="-3"/>
          <w:sz w:val="24"/>
          <w:szCs w:val="27"/>
          <w:lang w:val="es-ES_tradnl"/>
        </w:rPr>
        <w:t xml:space="preserve">Con fecha </w:t>
      </w:r>
      <w:r w:rsidR="000A5C83">
        <w:rPr>
          <w:rFonts w:ascii="Arial" w:hAnsi="Arial" w:cs="Arial"/>
          <w:bCs/>
          <w:spacing w:val="-3"/>
          <w:sz w:val="24"/>
          <w:szCs w:val="27"/>
          <w:lang w:val="es-ES_tradnl"/>
        </w:rPr>
        <w:t>diecinueve de septiembre de dos mil diecinueve</w:t>
      </w:r>
      <w:r w:rsidR="003A375F">
        <w:rPr>
          <w:rFonts w:ascii="Arial" w:hAnsi="Arial" w:cs="Arial"/>
          <w:bCs/>
          <w:spacing w:val="-3"/>
          <w:sz w:val="24"/>
          <w:szCs w:val="27"/>
          <w:lang w:val="es-ES_tradnl"/>
        </w:rPr>
        <w:t xml:space="preserve">, </w:t>
      </w:r>
      <w:r w:rsidR="00CF184C">
        <w:rPr>
          <w:rFonts w:ascii="Arial" w:hAnsi="Arial" w:cs="Arial"/>
          <w:bCs/>
          <w:spacing w:val="-3"/>
          <w:sz w:val="24"/>
          <w:szCs w:val="27"/>
          <w:lang w:val="es-ES_tradnl"/>
        </w:rPr>
        <w:t>***** ****</w:t>
      </w:r>
      <w:r w:rsidR="000A5C83">
        <w:rPr>
          <w:rFonts w:ascii="Arial" w:hAnsi="Arial" w:cs="Arial"/>
          <w:bCs/>
          <w:spacing w:val="-3"/>
          <w:sz w:val="24"/>
          <w:szCs w:val="27"/>
          <w:lang w:val="es-ES_tradnl"/>
        </w:rPr>
        <w:t xml:space="preserve"> </w:t>
      </w:r>
      <w:r w:rsidR="00CF184C">
        <w:rPr>
          <w:rFonts w:ascii="Arial" w:hAnsi="Arial" w:cs="Arial"/>
          <w:bCs/>
          <w:spacing w:val="-3"/>
          <w:sz w:val="24"/>
          <w:szCs w:val="27"/>
          <w:lang w:val="es-ES_tradnl"/>
        </w:rPr>
        <w:t>*****</w:t>
      </w:r>
      <w:r w:rsidR="003A375F">
        <w:rPr>
          <w:rFonts w:ascii="Arial" w:hAnsi="Arial" w:cs="Arial"/>
          <w:bCs/>
          <w:spacing w:val="-3"/>
          <w:sz w:val="24"/>
          <w:szCs w:val="27"/>
          <w:lang w:val="es-ES_tradnl"/>
        </w:rPr>
        <w:t>, presentó en la Oficialía de Partes común de este Tribunal la demanda</w:t>
      </w:r>
      <w:r w:rsidR="00DB4C41" w:rsidRPr="00DB4C41">
        <w:rPr>
          <w:rFonts w:ascii="Arial" w:hAnsi="Arial" w:cs="Arial"/>
          <w:bCs/>
          <w:spacing w:val="-3"/>
          <w:sz w:val="24"/>
          <w:szCs w:val="27"/>
          <w:lang w:val="es-ES_tradnl"/>
        </w:rPr>
        <w:t xml:space="preserve"> quien por su propio derecho demandó la nuli</w:t>
      </w:r>
      <w:r w:rsidR="00DB4C41">
        <w:rPr>
          <w:rFonts w:ascii="Arial" w:hAnsi="Arial" w:cs="Arial"/>
          <w:bCs/>
          <w:spacing w:val="-3"/>
          <w:sz w:val="24"/>
          <w:szCs w:val="27"/>
          <w:lang w:val="es-ES_tradnl"/>
        </w:rPr>
        <w:t xml:space="preserve">dad del oficio número </w:t>
      </w:r>
      <w:r w:rsidR="000A5C83">
        <w:rPr>
          <w:rFonts w:ascii="Arial" w:hAnsi="Arial" w:cs="Arial"/>
          <w:bCs/>
          <w:spacing w:val="-3"/>
          <w:sz w:val="24"/>
          <w:szCs w:val="27"/>
          <w:lang w:val="es-ES_tradnl"/>
        </w:rPr>
        <w:t>OP/DG/</w:t>
      </w:r>
      <w:r w:rsidR="00CF184C">
        <w:rPr>
          <w:rFonts w:ascii="Arial" w:hAnsi="Arial" w:cs="Arial"/>
          <w:bCs/>
          <w:spacing w:val="-3"/>
          <w:sz w:val="24"/>
          <w:szCs w:val="27"/>
          <w:lang w:val="es-ES_tradnl"/>
        </w:rPr>
        <w:t>*****</w:t>
      </w:r>
      <w:r w:rsidR="003A375F">
        <w:rPr>
          <w:rFonts w:ascii="Arial" w:hAnsi="Arial" w:cs="Arial"/>
          <w:bCs/>
          <w:spacing w:val="-3"/>
          <w:sz w:val="24"/>
          <w:szCs w:val="27"/>
          <w:lang w:val="es-ES_tradnl"/>
        </w:rPr>
        <w:t>/2019</w:t>
      </w:r>
      <w:r w:rsidR="00B66F8B">
        <w:rPr>
          <w:rFonts w:ascii="Arial" w:hAnsi="Arial" w:cs="Arial"/>
          <w:bCs/>
          <w:spacing w:val="-3"/>
          <w:sz w:val="24"/>
          <w:szCs w:val="27"/>
          <w:lang w:val="es-ES_tradnl"/>
        </w:rPr>
        <w:t xml:space="preserve"> de fecha </w:t>
      </w:r>
      <w:r w:rsidR="00CF184C">
        <w:rPr>
          <w:rFonts w:ascii="Arial" w:hAnsi="Arial" w:cs="Arial"/>
          <w:bCs/>
          <w:spacing w:val="-3"/>
          <w:sz w:val="24"/>
          <w:szCs w:val="27"/>
          <w:lang w:val="es-ES_tradnl"/>
        </w:rPr>
        <w:t>*****</w:t>
      </w:r>
      <w:r w:rsidR="000A5C83">
        <w:rPr>
          <w:rFonts w:ascii="Arial" w:hAnsi="Arial" w:cs="Arial"/>
          <w:bCs/>
          <w:spacing w:val="-3"/>
          <w:sz w:val="24"/>
          <w:szCs w:val="27"/>
          <w:lang w:val="es-ES_tradnl"/>
        </w:rPr>
        <w:t xml:space="preserve"> de</w:t>
      </w:r>
      <w:r w:rsidR="00CF184C">
        <w:rPr>
          <w:rFonts w:ascii="Arial" w:hAnsi="Arial" w:cs="Arial"/>
          <w:bCs/>
          <w:spacing w:val="-3"/>
          <w:sz w:val="24"/>
          <w:szCs w:val="27"/>
          <w:lang w:val="es-ES_tradnl"/>
        </w:rPr>
        <w:t xml:space="preserve"> *****</w:t>
      </w:r>
      <w:r w:rsidR="003A375F">
        <w:rPr>
          <w:rFonts w:ascii="Arial" w:hAnsi="Arial" w:cs="Arial"/>
          <w:bCs/>
          <w:spacing w:val="-3"/>
          <w:sz w:val="24"/>
          <w:szCs w:val="27"/>
          <w:lang w:val="es-ES_tradnl"/>
        </w:rPr>
        <w:t xml:space="preserve"> de dos mil diecinueve</w:t>
      </w:r>
      <w:r w:rsidR="00DB4C41" w:rsidRPr="00DB4C41">
        <w:rPr>
          <w:rFonts w:ascii="Arial" w:hAnsi="Arial" w:cs="Arial"/>
          <w:bCs/>
          <w:spacing w:val="-3"/>
          <w:sz w:val="24"/>
          <w:szCs w:val="27"/>
          <w:lang w:val="es-ES_tradnl"/>
        </w:rPr>
        <w:t xml:space="preserve">, emitido por el Director General de la Oficina de Pensiones del Estado de Oaxaca, por lo que mediante acuerdo de fecha </w:t>
      </w:r>
      <w:r w:rsidR="00C10BB1">
        <w:rPr>
          <w:rFonts w:ascii="Arial" w:hAnsi="Arial" w:cs="Arial"/>
          <w:bCs/>
          <w:spacing w:val="-3"/>
          <w:sz w:val="24"/>
          <w:szCs w:val="27"/>
          <w:lang w:val="es-ES_tradnl"/>
        </w:rPr>
        <w:t>veinte de septiembre de dos mil diecinueve</w:t>
      </w:r>
      <w:r w:rsidR="00387B37">
        <w:rPr>
          <w:rFonts w:ascii="Arial" w:hAnsi="Arial" w:cs="Arial"/>
          <w:bCs/>
          <w:spacing w:val="-3"/>
          <w:sz w:val="24"/>
          <w:szCs w:val="27"/>
          <w:lang w:val="es-ES_tradnl"/>
        </w:rPr>
        <w:t>,</w:t>
      </w:r>
      <w:r w:rsidR="00DB4C41" w:rsidRPr="00DB4C41">
        <w:rPr>
          <w:rFonts w:ascii="Arial" w:hAnsi="Arial" w:cs="Arial"/>
          <w:bCs/>
          <w:spacing w:val="-3"/>
          <w:sz w:val="24"/>
          <w:szCs w:val="27"/>
          <w:lang w:val="es-ES_tradnl"/>
        </w:rPr>
        <w:t xml:space="preserve"> </w:t>
      </w:r>
      <w:r w:rsidR="0075198C">
        <w:rPr>
          <w:rFonts w:ascii="Arial" w:hAnsi="Arial" w:cs="Arial"/>
          <w:bCs/>
          <w:spacing w:val="-3"/>
          <w:sz w:val="24"/>
          <w:szCs w:val="27"/>
          <w:lang w:val="es-ES_tradnl"/>
        </w:rPr>
        <w:t xml:space="preserve">se admitió a trámite la demanda interpuesta, por lo que se ordenó notificar, emplazar y correr traslado a la autoridad demandada, para que realizara </w:t>
      </w:r>
      <w:r w:rsidR="008D1063">
        <w:rPr>
          <w:rFonts w:ascii="Arial" w:hAnsi="Arial" w:cs="Arial"/>
          <w:bCs/>
          <w:spacing w:val="-3"/>
          <w:sz w:val="24"/>
          <w:szCs w:val="27"/>
          <w:lang w:val="es-ES_tradnl"/>
        </w:rPr>
        <w:t>su contestación</w:t>
      </w:r>
      <w:r w:rsidR="0075198C">
        <w:rPr>
          <w:rFonts w:ascii="Arial" w:hAnsi="Arial" w:cs="Arial"/>
          <w:bCs/>
          <w:spacing w:val="-3"/>
          <w:sz w:val="24"/>
          <w:szCs w:val="27"/>
          <w:lang w:val="es-ES_tradnl"/>
        </w:rPr>
        <w:t xml:space="preserve">. </w:t>
      </w:r>
    </w:p>
    <w:p w14:paraId="25F516C4" w14:textId="103CCC4B" w:rsidR="003172C1" w:rsidRDefault="003172C1" w:rsidP="003172C1">
      <w:pPr>
        <w:spacing w:line="360" w:lineRule="auto"/>
        <w:ind w:firstLine="567"/>
        <w:jc w:val="both"/>
        <w:rPr>
          <w:rFonts w:ascii="Arial" w:hAnsi="Arial" w:cs="Arial"/>
          <w:bCs/>
          <w:spacing w:val="-3"/>
          <w:sz w:val="24"/>
          <w:szCs w:val="27"/>
          <w:lang w:val="es-ES_tradnl"/>
        </w:rPr>
      </w:pPr>
      <w:r w:rsidRPr="003172C1">
        <w:rPr>
          <w:rFonts w:ascii="Arial" w:hAnsi="Arial" w:cs="Arial"/>
          <w:b/>
          <w:bCs/>
          <w:spacing w:val="-3"/>
          <w:sz w:val="24"/>
          <w:szCs w:val="27"/>
          <w:lang w:val="es-ES_tradnl"/>
        </w:rPr>
        <w:t>SEGUNDO.</w:t>
      </w:r>
      <w:r>
        <w:rPr>
          <w:rFonts w:ascii="Arial" w:hAnsi="Arial" w:cs="Arial"/>
          <w:bCs/>
          <w:spacing w:val="-3"/>
          <w:sz w:val="24"/>
          <w:szCs w:val="27"/>
          <w:lang w:val="es-ES_tradnl"/>
        </w:rPr>
        <w:t xml:space="preserve"> Mediante proveído de fecha </w:t>
      </w:r>
      <w:r w:rsidR="00D6453E">
        <w:rPr>
          <w:rFonts w:ascii="Arial" w:hAnsi="Arial" w:cs="Arial"/>
          <w:bCs/>
          <w:spacing w:val="-3"/>
          <w:sz w:val="24"/>
          <w:szCs w:val="27"/>
          <w:lang w:val="es-ES_tradnl"/>
        </w:rPr>
        <w:t>ocho de noviembre de dos mil diecinueve</w:t>
      </w:r>
      <w:r>
        <w:rPr>
          <w:rFonts w:ascii="Arial" w:hAnsi="Arial" w:cs="Arial"/>
          <w:bCs/>
          <w:spacing w:val="-3"/>
          <w:sz w:val="24"/>
          <w:szCs w:val="27"/>
          <w:lang w:val="es-ES_tradnl"/>
        </w:rPr>
        <w:t xml:space="preserve">, </w:t>
      </w:r>
      <w:r w:rsidR="00295A03" w:rsidRPr="00295A03">
        <w:rPr>
          <w:rFonts w:ascii="Arial" w:hAnsi="Arial" w:cs="Arial"/>
          <w:bCs/>
          <w:spacing w:val="-3"/>
          <w:sz w:val="24"/>
          <w:szCs w:val="27"/>
          <w:lang w:val="es-ES_tradnl"/>
        </w:rPr>
        <w:t xml:space="preserve">se tuvo al </w:t>
      </w:r>
      <w:proofErr w:type="gramStart"/>
      <w:r w:rsidR="00295A03" w:rsidRPr="00295A03">
        <w:rPr>
          <w:rFonts w:ascii="Arial" w:hAnsi="Arial" w:cs="Arial"/>
          <w:bCs/>
          <w:spacing w:val="-3"/>
          <w:sz w:val="24"/>
          <w:szCs w:val="27"/>
          <w:lang w:val="es-ES_tradnl"/>
        </w:rPr>
        <w:t>Director General</w:t>
      </w:r>
      <w:proofErr w:type="gramEnd"/>
      <w:r w:rsidR="00295A03" w:rsidRPr="00295A03">
        <w:rPr>
          <w:rFonts w:ascii="Arial" w:hAnsi="Arial" w:cs="Arial"/>
          <w:bCs/>
          <w:spacing w:val="-3"/>
          <w:sz w:val="24"/>
          <w:szCs w:val="27"/>
          <w:lang w:val="es-ES_tradnl"/>
        </w:rPr>
        <w:t xml:space="preserve"> de la Oficina de Pensiones del Estado y Apoderado Legal de Consejo Directivo de la Oficina de Pensiones, contestando en tiempo y forma la demanda y por admitidas las pruebas ofrecidas</w:t>
      </w:r>
      <w:r>
        <w:rPr>
          <w:rFonts w:ascii="Arial" w:hAnsi="Arial" w:cs="Arial"/>
          <w:bCs/>
          <w:spacing w:val="-3"/>
          <w:sz w:val="24"/>
          <w:szCs w:val="27"/>
          <w:lang w:val="es-ES_tradnl"/>
        </w:rPr>
        <w:t>, ordenándose correr traslado a la parte actora.</w:t>
      </w:r>
    </w:p>
    <w:p w14:paraId="7CAE16E1" w14:textId="3AC8F7F2" w:rsidR="003172C1" w:rsidRDefault="003172C1" w:rsidP="003172C1">
      <w:pPr>
        <w:spacing w:line="360" w:lineRule="auto"/>
        <w:ind w:firstLine="567"/>
        <w:jc w:val="both"/>
        <w:rPr>
          <w:rFonts w:ascii="Arial" w:hAnsi="Arial" w:cs="Arial"/>
          <w:bCs/>
          <w:spacing w:val="-3"/>
          <w:sz w:val="24"/>
          <w:szCs w:val="27"/>
          <w:lang w:val="es-ES_tradnl"/>
        </w:rPr>
      </w:pPr>
      <w:r w:rsidRPr="003172C1">
        <w:rPr>
          <w:rFonts w:ascii="Arial" w:hAnsi="Arial" w:cs="Arial"/>
          <w:b/>
          <w:bCs/>
          <w:spacing w:val="-3"/>
          <w:sz w:val="24"/>
          <w:szCs w:val="27"/>
          <w:lang w:val="es-ES_tradnl"/>
        </w:rPr>
        <w:t>TERCERO.</w:t>
      </w:r>
      <w:r>
        <w:rPr>
          <w:rFonts w:ascii="Arial" w:hAnsi="Arial" w:cs="Arial"/>
          <w:bCs/>
          <w:spacing w:val="-3"/>
          <w:sz w:val="24"/>
          <w:szCs w:val="27"/>
          <w:lang w:val="es-ES_tradnl"/>
        </w:rPr>
        <w:t xml:space="preserve"> En auto de fecha veintiuno de septiembre de dos mil veinte, se tuvo por recibido un escrito del actor</w:t>
      </w:r>
      <w:r w:rsidR="00D13DAF">
        <w:rPr>
          <w:rFonts w:ascii="Arial" w:hAnsi="Arial" w:cs="Arial"/>
          <w:bCs/>
          <w:spacing w:val="-3"/>
          <w:sz w:val="24"/>
          <w:szCs w:val="27"/>
          <w:lang w:val="es-ES_tradnl"/>
        </w:rPr>
        <w:t xml:space="preserve">, por lo </w:t>
      </w:r>
      <w:proofErr w:type="gramStart"/>
      <w:r w:rsidR="00D13DAF">
        <w:rPr>
          <w:rFonts w:ascii="Arial" w:hAnsi="Arial" w:cs="Arial"/>
          <w:bCs/>
          <w:spacing w:val="-3"/>
          <w:sz w:val="24"/>
          <w:szCs w:val="27"/>
          <w:lang w:val="es-ES_tradnl"/>
        </w:rPr>
        <w:t>que</w:t>
      </w:r>
      <w:proofErr w:type="gramEnd"/>
      <w:r w:rsidR="00D13DAF">
        <w:rPr>
          <w:rFonts w:ascii="Arial" w:hAnsi="Arial" w:cs="Arial"/>
          <w:bCs/>
          <w:spacing w:val="-3"/>
          <w:sz w:val="24"/>
          <w:szCs w:val="27"/>
          <w:lang w:val="es-ES_tradnl"/>
        </w:rPr>
        <w:t xml:space="preserve"> en atención a lo solicitado, se requirió a la autoridad demandada para que dentro del plazo otorgado exhibiera copias certificadas del expediente de jubilación</w:t>
      </w:r>
      <w:r>
        <w:rPr>
          <w:rFonts w:ascii="Arial" w:hAnsi="Arial" w:cs="Arial"/>
          <w:bCs/>
          <w:spacing w:val="-3"/>
          <w:sz w:val="24"/>
          <w:szCs w:val="27"/>
          <w:lang w:val="es-ES_tradnl"/>
        </w:rPr>
        <w:t>.</w:t>
      </w:r>
    </w:p>
    <w:p w14:paraId="4ADCC306" w14:textId="175C4845" w:rsidR="00D13DAF" w:rsidRDefault="00D13DAF" w:rsidP="003172C1">
      <w:pPr>
        <w:spacing w:line="360" w:lineRule="auto"/>
        <w:ind w:firstLine="567"/>
        <w:jc w:val="both"/>
        <w:rPr>
          <w:rFonts w:ascii="Arial" w:hAnsi="Arial" w:cs="Arial"/>
          <w:bCs/>
          <w:spacing w:val="-3"/>
          <w:sz w:val="24"/>
          <w:szCs w:val="27"/>
          <w:lang w:val="es-ES_tradnl"/>
        </w:rPr>
      </w:pPr>
      <w:r w:rsidRPr="00D13DAF">
        <w:rPr>
          <w:rFonts w:ascii="Arial" w:hAnsi="Arial" w:cs="Arial"/>
          <w:b/>
          <w:bCs/>
          <w:spacing w:val="-3"/>
          <w:sz w:val="24"/>
          <w:szCs w:val="27"/>
          <w:lang w:val="es-ES_tradnl"/>
        </w:rPr>
        <w:lastRenderedPageBreak/>
        <w:t>CUARTO.</w:t>
      </w:r>
      <w:r>
        <w:rPr>
          <w:rFonts w:ascii="Arial" w:hAnsi="Arial" w:cs="Arial"/>
          <w:bCs/>
          <w:spacing w:val="-3"/>
          <w:sz w:val="24"/>
          <w:szCs w:val="27"/>
          <w:lang w:val="es-ES_tradnl"/>
        </w:rPr>
        <w:t xml:space="preserve"> Por acuerdo de fecha veintiuno de enero de dos mil veinte, se tuvo por recibido un oficio de la autoridad demandada, por medio del cual daba cumplimiento al requerimiento </w:t>
      </w:r>
      <w:r w:rsidR="00431A31">
        <w:rPr>
          <w:rFonts w:ascii="Arial" w:hAnsi="Arial" w:cs="Arial"/>
          <w:bCs/>
          <w:spacing w:val="-3"/>
          <w:sz w:val="24"/>
          <w:szCs w:val="27"/>
          <w:lang w:val="es-ES_tradnl"/>
        </w:rPr>
        <w:t>efectuado.</w:t>
      </w:r>
    </w:p>
    <w:p w14:paraId="4A4D3910" w14:textId="27D89C13" w:rsidR="00431A31" w:rsidRDefault="00431A31" w:rsidP="003172C1">
      <w:pPr>
        <w:spacing w:line="360" w:lineRule="auto"/>
        <w:ind w:firstLine="567"/>
        <w:jc w:val="both"/>
        <w:rPr>
          <w:rFonts w:ascii="Arial" w:hAnsi="Arial" w:cs="Arial"/>
          <w:bCs/>
          <w:spacing w:val="-3"/>
          <w:sz w:val="24"/>
          <w:szCs w:val="27"/>
          <w:lang w:val="es-ES_tradnl"/>
        </w:rPr>
      </w:pPr>
      <w:r w:rsidRPr="00431A31">
        <w:rPr>
          <w:rFonts w:ascii="Arial" w:hAnsi="Arial" w:cs="Arial"/>
          <w:b/>
          <w:bCs/>
          <w:spacing w:val="-3"/>
          <w:sz w:val="24"/>
          <w:szCs w:val="27"/>
          <w:lang w:val="es-ES_tradnl"/>
        </w:rPr>
        <w:t>QUINTO.</w:t>
      </w:r>
      <w:r>
        <w:rPr>
          <w:rFonts w:ascii="Arial" w:hAnsi="Arial" w:cs="Arial"/>
          <w:bCs/>
          <w:spacing w:val="-3"/>
          <w:sz w:val="24"/>
          <w:szCs w:val="27"/>
          <w:lang w:val="es-ES_tradnl"/>
        </w:rPr>
        <w:t xml:space="preserve"> Mediante proveído de fecha veinticuatro de marzo de dos mil veintiuno, en atención a los acuerdos generales ahí</w:t>
      </w:r>
      <w:r w:rsidR="001B1462">
        <w:rPr>
          <w:rFonts w:ascii="Arial" w:hAnsi="Arial" w:cs="Arial"/>
          <w:bCs/>
          <w:spacing w:val="-3"/>
          <w:sz w:val="24"/>
          <w:szCs w:val="27"/>
          <w:lang w:val="es-ES_tradnl"/>
        </w:rPr>
        <w:t xml:space="preserve"> descritos, se mandó a agregar el escrito del actor, y en atención a la petición realizada, se señaló fecha y hora para la celebración de la audiencia final.</w:t>
      </w:r>
    </w:p>
    <w:p w14:paraId="16C0DB4C" w14:textId="3072DCE7" w:rsidR="00AC3C34" w:rsidRDefault="00735F12" w:rsidP="006B2626">
      <w:pPr>
        <w:spacing w:line="360" w:lineRule="auto"/>
        <w:ind w:firstLine="567"/>
        <w:jc w:val="both"/>
        <w:rPr>
          <w:rFonts w:ascii="Arial" w:hAnsi="Arial" w:cs="Arial"/>
          <w:bCs/>
          <w:spacing w:val="-3"/>
          <w:sz w:val="24"/>
          <w:szCs w:val="27"/>
          <w:lang w:val="es-ES_tradnl"/>
        </w:rPr>
      </w:pPr>
      <w:r w:rsidRPr="00735F12">
        <w:rPr>
          <w:rFonts w:ascii="Arial" w:hAnsi="Arial" w:cs="Arial"/>
          <w:b/>
          <w:bCs/>
          <w:spacing w:val="-3"/>
          <w:sz w:val="24"/>
          <w:szCs w:val="27"/>
          <w:lang w:val="es-ES_tradnl"/>
        </w:rPr>
        <w:t>SEXTO.</w:t>
      </w:r>
      <w:r>
        <w:rPr>
          <w:rFonts w:ascii="Arial" w:hAnsi="Arial" w:cs="Arial"/>
          <w:bCs/>
          <w:spacing w:val="-3"/>
          <w:sz w:val="24"/>
          <w:szCs w:val="27"/>
          <w:lang w:val="es-ES_tradnl"/>
        </w:rPr>
        <w:t xml:space="preserve"> </w:t>
      </w:r>
      <w:r w:rsidR="00C9565B" w:rsidRPr="00C9565B">
        <w:rPr>
          <w:rFonts w:ascii="Arial" w:hAnsi="Arial" w:cs="Arial"/>
          <w:bCs/>
          <w:spacing w:val="-3"/>
          <w:sz w:val="24"/>
          <w:szCs w:val="27"/>
          <w:lang w:val="es-ES_tradnl"/>
        </w:rPr>
        <w:t xml:space="preserve">El </w:t>
      </w:r>
      <w:r w:rsidR="003706BE">
        <w:rPr>
          <w:rFonts w:ascii="Arial" w:hAnsi="Arial" w:cs="Arial"/>
          <w:bCs/>
          <w:spacing w:val="-3"/>
          <w:sz w:val="24"/>
          <w:szCs w:val="27"/>
          <w:lang w:val="es-ES_tradnl"/>
        </w:rPr>
        <w:t>veinte de mayo</w:t>
      </w:r>
      <w:r>
        <w:rPr>
          <w:rFonts w:ascii="Arial" w:hAnsi="Arial" w:cs="Arial"/>
          <w:bCs/>
          <w:spacing w:val="-3"/>
          <w:sz w:val="24"/>
          <w:szCs w:val="27"/>
          <w:lang w:val="es-ES_tradnl"/>
        </w:rPr>
        <w:t xml:space="preserve"> de dos mil veintiuno</w:t>
      </w:r>
      <w:r w:rsidR="00C9565B" w:rsidRPr="00C9565B">
        <w:rPr>
          <w:rFonts w:ascii="Arial" w:hAnsi="Arial" w:cs="Arial"/>
          <w:bCs/>
          <w:spacing w:val="-3"/>
          <w:sz w:val="24"/>
          <w:szCs w:val="27"/>
          <w:lang w:val="es-ES_tradnl"/>
        </w:rPr>
        <w:t>, se celebró la audiencia final sin comparecencia de las partes ni de persona alguna que legalmente les representara; en el periodo de pruebas se tuvieron por desahogadas por su propia y especial naturaleza las pruebas ofrecidas por las partes</w:t>
      </w:r>
      <w:r w:rsidR="006F4908">
        <w:rPr>
          <w:rFonts w:ascii="Arial" w:hAnsi="Arial" w:cs="Arial"/>
          <w:bCs/>
          <w:spacing w:val="-3"/>
          <w:sz w:val="24"/>
          <w:szCs w:val="27"/>
          <w:lang w:val="es-ES_tradnl"/>
        </w:rPr>
        <w:t xml:space="preserve">, asentando el </w:t>
      </w:r>
      <w:proofErr w:type="gramStart"/>
      <w:r w:rsidR="006F4908">
        <w:rPr>
          <w:rFonts w:ascii="Arial" w:hAnsi="Arial" w:cs="Arial"/>
          <w:bCs/>
          <w:spacing w:val="-3"/>
          <w:sz w:val="24"/>
          <w:szCs w:val="27"/>
          <w:lang w:val="es-ES_tradnl"/>
        </w:rPr>
        <w:t>Secretario</w:t>
      </w:r>
      <w:proofErr w:type="gramEnd"/>
      <w:r w:rsidR="006F4908">
        <w:rPr>
          <w:rFonts w:ascii="Arial" w:hAnsi="Arial" w:cs="Arial"/>
          <w:bCs/>
          <w:spacing w:val="-3"/>
          <w:sz w:val="24"/>
          <w:szCs w:val="27"/>
          <w:lang w:val="es-ES_tradnl"/>
        </w:rPr>
        <w:t xml:space="preserve"> que </w:t>
      </w:r>
      <w:r w:rsidR="0075198C">
        <w:rPr>
          <w:rFonts w:ascii="Arial" w:hAnsi="Arial" w:cs="Arial"/>
          <w:bCs/>
          <w:spacing w:val="-3"/>
          <w:sz w:val="24"/>
          <w:szCs w:val="27"/>
          <w:lang w:val="es-ES_tradnl"/>
        </w:rPr>
        <w:t>ninguna de las partes</w:t>
      </w:r>
      <w:r w:rsidR="006F4908">
        <w:rPr>
          <w:rFonts w:ascii="Arial" w:hAnsi="Arial" w:cs="Arial"/>
          <w:bCs/>
          <w:spacing w:val="-3"/>
          <w:sz w:val="24"/>
          <w:szCs w:val="27"/>
          <w:lang w:val="es-ES_tradnl"/>
        </w:rPr>
        <w:t>, por lo que se citó a las partes para oír sentencia</w:t>
      </w:r>
      <w:r w:rsidR="00130B07">
        <w:rPr>
          <w:rFonts w:ascii="Arial" w:hAnsi="Arial" w:cs="Arial"/>
          <w:bCs/>
          <w:spacing w:val="-3"/>
          <w:sz w:val="24"/>
          <w:szCs w:val="27"/>
          <w:lang w:val="es-ES_tradnl"/>
        </w:rPr>
        <w:t>, y;</w:t>
      </w:r>
    </w:p>
    <w:p w14:paraId="258CE6C0" w14:textId="2E308EDD" w:rsidR="00102315" w:rsidRPr="009C0C09" w:rsidRDefault="00102315" w:rsidP="006F4908">
      <w:pPr>
        <w:spacing w:line="360" w:lineRule="auto"/>
        <w:jc w:val="center"/>
        <w:rPr>
          <w:rFonts w:ascii="Arial" w:hAnsi="Arial" w:cs="Arial"/>
          <w:b/>
          <w:spacing w:val="-3"/>
          <w:sz w:val="24"/>
          <w:szCs w:val="27"/>
          <w:lang w:val="es-ES_tradnl"/>
        </w:rPr>
      </w:pPr>
      <w:r w:rsidRPr="009C0C09">
        <w:rPr>
          <w:rFonts w:ascii="Arial" w:hAnsi="Arial" w:cs="Arial"/>
          <w:b/>
          <w:spacing w:val="-3"/>
          <w:sz w:val="24"/>
          <w:szCs w:val="27"/>
          <w:lang w:val="es-ES_tradnl"/>
        </w:rPr>
        <w:t>C O N S I D E R A N D O:</w:t>
      </w:r>
    </w:p>
    <w:p w14:paraId="5FD61B2A" w14:textId="2EC1151B" w:rsidR="008C1AC1" w:rsidRPr="009C0C09" w:rsidRDefault="00102315" w:rsidP="006B2626">
      <w:pPr>
        <w:spacing w:line="360" w:lineRule="auto"/>
        <w:ind w:firstLine="567"/>
        <w:jc w:val="both"/>
        <w:rPr>
          <w:rFonts w:ascii="Arial" w:hAnsi="Arial" w:cs="Arial"/>
          <w:sz w:val="24"/>
          <w:szCs w:val="27"/>
        </w:rPr>
      </w:pPr>
      <w:r w:rsidRPr="009C0C09">
        <w:rPr>
          <w:rFonts w:ascii="Arial" w:hAnsi="Arial" w:cs="Arial"/>
          <w:b/>
          <w:sz w:val="24"/>
          <w:szCs w:val="27"/>
        </w:rPr>
        <w:t>PRIMERO</w:t>
      </w:r>
      <w:r w:rsidR="009E6F49" w:rsidRPr="009C0C09">
        <w:rPr>
          <w:rFonts w:ascii="Arial" w:hAnsi="Arial" w:cs="Arial"/>
          <w:b/>
          <w:sz w:val="24"/>
          <w:szCs w:val="27"/>
        </w:rPr>
        <w:t>.</w:t>
      </w:r>
      <w:r w:rsidRPr="009C0C09">
        <w:rPr>
          <w:rFonts w:ascii="Arial" w:hAnsi="Arial" w:cs="Arial"/>
          <w:b/>
          <w:sz w:val="24"/>
          <w:szCs w:val="27"/>
        </w:rPr>
        <w:t xml:space="preserve"> </w:t>
      </w:r>
      <w:r w:rsidR="007F61FF" w:rsidRPr="004901A3">
        <w:rPr>
          <w:rFonts w:ascii="Arial" w:hAnsi="Arial" w:cs="Arial"/>
          <w:sz w:val="24"/>
          <w:szCs w:val="24"/>
        </w:rPr>
        <w:t>Esta Segunda Sala Unitaria del Primera Instancia del Tribunal de Justicia Administrativa del Estado de Oaxaca, es competente para conocer y resolver el presente juicio, con fundamento en los artículos 116 fracción V de la Constitución Política de los Estados Unidos Mexicanos; 114 QUATER y 115 de la Constitución Política del Estado Libre y Soberano de Oaxaca; 119, 120 fracción I, 123, 124, 132 fracciones I y II, 133, 146 y 147 de la Ley de Procedimiento y Justicia Administrativa para el Estado de Oaxaca</w:t>
      </w:r>
      <w:r w:rsidR="008C1AC1" w:rsidRPr="009C0C09">
        <w:rPr>
          <w:rFonts w:ascii="Arial" w:hAnsi="Arial" w:cs="Arial"/>
          <w:sz w:val="24"/>
          <w:szCs w:val="27"/>
        </w:rPr>
        <w:t xml:space="preserve">. </w:t>
      </w:r>
    </w:p>
    <w:p w14:paraId="7618BB7A" w14:textId="7DA348BF" w:rsidR="0043159F" w:rsidRPr="00F12439" w:rsidRDefault="00102315" w:rsidP="006B2626">
      <w:pPr>
        <w:spacing w:line="360" w:lineRule="auto"/>
        <w:ind w:firstLine="567"/>
        <w:jc w:val="both"/>
        <w:rPr>
          <w:rFonts w:ascii="Arial" w:hAnsi="Arial" w:cs="Arial"/>
          <w:bCs/>
          <w:snapToGrid w:val="0"/>
          <w:sz w:val="24"/>
          <w:szCs w:val="24"/>
        </w:rPr>
      </w:pPr>
      <w:r w:rsidRPr="009C0C09">
        <w:rPr>
          <w:rFonts w:ascii="Arial" w:hAnsi="Arial" w:cs="Arial"/>
          <w:b/>
          <w:snapToGrid w:val="0"/>
          <w:sz w:val="24"/>
          <w:szCs w:val="27"/>
        </w:rPr>
        <w:t>SEGUN</w:t>
      </w:r>
      <w:r w:rsidR="009E6F49" w:rsidRPr="009C0C09">
        <w:rPr>
          <w:rFonts w:ascii="Arial" w:hAnsi="Arial" w:cs="Arial"/>
          <w:b/>
          <w:snapToGrid w:val="0"/>
          <w:sz w:val="24"/>
          <w:szCs w:val="27"/>
        </w:rPr>
        <w:t>DO.</w:t>
      </w:r>
      <w:r w:rsidRPr="009C0C09">
        <w:rPr>
          <w:rFonts w:ascii="Arial" w:hAnsi="Arial" w:cs="Arial"/>
          <w:b/>
          <w:snapToGrid w:val="0"/>
          <w:sz w:val="24"/>
          <w:szCs w:val="27"/>
        </w:rPr>
        <w:t xml:space="preserve"> </w:t>
      </w:r>
      <w:r w:rsidR="00781B05" w:rsidRPr="002779CB">
        <w:rPr>
          <w:rFonts w:ascii="Arial" w:hAnsi="Arial" w:cs="Arial"/>
          <w:bCs/>
          <w:snapToGrid w:val="0"/>
          <w:sz w:val="24"/>
          <w:szCs w:val="24"/>
        </w:rPr>
        <w:t xml:space="preserve">La personalidad </w:t>
      </w:r>
      <w:r w:rsidR="00781B05">
        <w:rPr>
          <w:rFonts w:ascii="Arial" w:hAnsi="Arial" w:cs="Arial"/>
          <w:bCs/>
          <w:snapToGrid w:val="0"/>
          <w:sz w:val="24"/>
          <w:szCs w:val="24"/>
        </w:rPr>
        <w:t>de las partes quedó acreditada en autos, en términos de</w:t>
      </w:r>
      <w:r w:rsidR="00781B05" w:rsidRPr="00F30404">
        <w:rPr>
          <w:rFonts w:ascii="Arial" w:hAnsi="Arial" w:cs="Arial"/>
          <w:bCs/>
          <w:snapToGrid w:val="0"/>
          <w:sz w:val="24"/>
          <w:szCs w:val="24"/>
        </w:rPr>
        <w:t xml:space="preserve"> los artículos 1</w:t>
      </w:r>
      <w:r w:rsidR="00781B05">
        <w:rPr>
          <w:rFonts w:ascii="Arial" w:hAnsi="Arial" w:cs="Arial"/>
          <w:bCs/>
          <w:snapToGrid w:val="0"/>
          <w:sz w:val="24"/>
          <w:szCs w:val="24"/>
        </w:rPr>
        <w:t>48 y 151</w:t>
      </w:r>
      <w:r w:rsidR="00781B05" w:rsidRPr="00F30404">
        <w:rPr>
          <w:rFonts w:ascii="Arial" w:hAnsi="Arial" w:cs="Arial"/>
          <w:bCs/>
          <w:snapToGrid w:val="0"/>
          <w:sz w:val="24"/>
          <w:szCs w:val="24"/>
        </w:rPr>
        <w:t xml:space="preserve"> de la Ley de </w:t>
      </w:r>
      <w:r w:rsidR="00781B05">
        <w:rPr>
          <w:rFonts w:ascii="Arial" w:hAnsi="Arial" w:cs="Arial"/>
          <w:bCs/>
          <w:snapToGrid w:val="0"/>
          <w:sz w:val="24"/>
          <w:szCs w:val="24"/>
        </w:rPr>
        <w:t xml:space="preserve">Procedimiento y </w:t>
      </w:r>
      <w:r w:rsidR="00781B05" w:rsidRPr="00F30404">
        <w:rPr>
          <w:rFonts w:ascii="Arial" w:hAnsi="Arial" w:cs="Arial"/>
          <w:bCs/>
          <w:snapToGrid w:val="0"/>
          <w:sz w:val="24"/>
          <w:szCs w:val="24"/>
        </w:rPr>
        <w:t>Justicia Administrativa para el Estado de Oaxaca</w:t>
      </w:r>
      <w:r w:rsidR="00781B05">
        <w:rPr>
          <w:rFonts w:ascii="Arial" w:hAnsi="Arial" w:cs="Arial"/>
          <w:bCs/>
          <w:snapToGrid w:val="0"/>
          <w:sz w:val="24"/>
          <w:szCs w:val="24"/>
        </w:rPr>
        <w:t>.</w:t>
      </w:r>
    </w:p>
    <w:p w14:paraId="433ACE31" w14:textId="05FDF31F" w:rsidR="00A14FB8" w:rsidRPr="00F46B9B" w:rsidRDefault="003E0CBC" w:rsidP="006B2626">
      <w:pPr>
        <w:spacing w:line="360" w:lineRule="auto"/>
        <w:ind w:firstLine="567"/>
        <w:jc w:val="both"/>
        <w:rPr>
          <w:rFonts w:ascii="Arial" w:hAnsi="Arial" w:cs="Arial"/>
          <w:sz w:val="24"/>
          <w:szCs w:val="24"/>
        </w:rPr>
      </w:pPr>
      <w:r>
        <w:rPr>
          <w:rFonts w:ascii="Arial" w:hAnsi="Arial" w:cs="Arial"/>
          <w:b/>
          <w:snapToGrid w:val="0"/>
          <w:sz w:val="24"/>
          <w:szCs w:val="27"/>
        </w:rPr>
        <w:t>TERCERO</w:t>
      </w:r>
      <w:r w:rsidR="00FD0735">
        <w:rPr>
          <w:rFonts w:ascii="Arial" w:hAnsi="Arial" w:cs="Arial"/>
          <w:b/>
          <w:sz w:val="24"/>
          <w:szCs w:val="24"/>
        </w:rPr>
        <w:t>.</w:t>
      </w:r>
      <w:r w:rsidR="00FD0735" w:rsidRPr="00A9241D">
        <w:rPr>
          <w:rFonts w:ascii="Arial" w:hAnsi="Arial" w:cs="Arial"/>
          <w:b/>
          <w:sz w:val="24"/>
          <w:szCs w:val="24"/>
        </w:rPr>
        <w:t xml:space="preserve"> </w:t>
      </w:r>
      <w:r w:rsidR="008D693D" w:rsidRPr="008D693D">
        <w:rPr>
          <w:rFonts w:ascii="Arial" w:hAnsi="Arial" w:cs="Arial"/>
          <w:bCs/>
          <w:sz w:val="24"/>
          <w:szCs w:val="24"/>
        </w:rPr>
        <w:t>Previo al estudio de fondo del asunto, y por cuestión de método, esta Sala procede a analizar, si en la especie se actualiza alguna causal de improcedencia del juicio de nulidad que se advierta oficiosamente y que impida la resolución del fondo del asunto y que debiera declararse su sobreseimiento,</w:t>
      </w:r>
      <w:r w:rsidR="00F5528D">
        <w:rPr>
          <w:rFonts w:ascii="Arial" w:hAnsi="Arial" w:cs="Arial"/>
          <w:bCs/>
          <w:sz w:val="24"/>
          <w:szCs w:val="24"/>
        </w:rPr>
        <w:t xml:space="preserve"> en términos de los artículos </w:t>
      </w:r>
      <w:r w:rsidR="00A11FD1" w:rsidRPr="001C3689">
        <w:rPr>
          <w:rFonts w:ascii="Arial" w:hAnsi="Arial" w:cs="Arial"/>
          <w:sz w:val="24"/>
          <w:szCs w:val="24"/>
        </w:rPr>
        <w:t>161 y 162 de la Ley de Procedimiento y Justicia Administrativa para el Estado de Oaxaca</w:t>
      </w:r>
      <w:r w:rsidR="008D693D" w:rsidRPr="008D693D">
        <w:rPr>
          <w:rFonts w:ascii="Arial" w:hAnsi="Arial" w:cs="Arial"/>
          <w:bCs/>
          <w:sz w:val="24"/>
          <w:szCs w:val="24"/>
        </w:rPr>
        <w:t xml:space="preserve">, por lo que posteriormente al estudio integral de la demanda y a los artículos de referencia, esta </w:t>
      </w:r>
      <w:r w:rsidR="0003743F">
        <w:rPr>
          <w:rFonts w:ascii="Arial" w:hAnsi="Arial" w:cs="Arial"/>
          <w:bCs/>
          <w:sz w:val="24"/>
          <w:szCs w:val="24"/>
        </w:rPr>
        <w:t>Segunda</w:t>
      </w:r>
      <w:r w:rsidR="008D693D" w:rsidRPr="008D693D">
        <w:rPr>
          <w:rFonts w:ascii="Arial" w:hAnsi="Arial" w:cs="Arial"/>
          <w:bCs/>
          <w:sz w:val="24"/>
          <w:szCs w:val="24"/>
        </w:rPr>
        <w:t xml:space="preserve"> Sala Unitaria del Tribunal de Justicia Administrativa para el Estado de Oaxaca, advierte que no se configura alguna causal de improcedencia o sobreseimiento por lo tanto, </w:t>
      </w:r>
      <w:r w:rsidR="008D693D" w:rsidRPr="008D693D">
        <w:rPr>
          <w:rFonts w:ascii="Arial" w:hAnsi="Arial" w:cs="Arial"/>
          <w:b/>
          <w:bCs/>
          <w:sz w:val="24"/>
          <w:szCs w:val="24"/>
        </w:rPr>
        <w:t>NO SE SOBRESEE EL PRESENTE JUICIO</w:t>
      </w:r>
      <w:r w:rsidR="00B6737F" w:rsidRPr="00F46B9B">
        <w:rPr>
          <w:rFonts w:ascii="Arial" w:hAnsi="Arial" w:cs="Arial"/>
          <w:sz w:val="24"/>
          <w:szCs w:val="24"/>
        </w:rPr>
        <w:t>.</w:t>
      </w:r>
    </w:p>
    <w:p w14:paraId="0EC4CE0F" w14:textId="3179186C" w:rsidR="00497461" w:rsidRDefault="00A14FB8" w:rsidP="00497461">
      <w:pPr>
        <w:spacing w:line="360" w:lineRule="auto"/>
        <w:ind w:firstLine="567"/>
        <w:jc w:val="both"/>
        <w:rPr>
          <w:rFonts w:ascii="Arial" w:hAnsi="Arial" w:cs="Arial"/>
          <w:sz w:val="24"/>
          <w:szCs w:val="24"/>
        </w:rPr>
      </w:pPr>
      <w:r w:rsidRPr="0019467E">
        <w:rPr>
          <w:rFonts w:ascii="Arial" w:hAnsi="Arial" w:cs="Arial"/>
          <w:b/>
          <w:sz w:val="24"/>
          <w:szCs w:val="24"/>
        </w:rPr>
        <w:t>CUARTO.</w:t>
      </w:r>
      <w:r w:rsidRPr="00A14FB8">
        <w:rPr>
          <w:rFonts w:ascii="Arial" w:hAnsi="Arial" w:cs="Arial"/>
          <w:sz w:val="24"/>
          <w:szCs w:val="24"/>
        </w:rPr>
        <w:t xml:space="preserve">  </w:t>
      </w:r>
      <w:r w:rsidR="00497461">
        <w:rPr>
          <w:rFonts w:ascii="Arial" w:hAnsi="Arial" w:cs="Arial"/>
          <w:sz w:val="24"/>
          <w:szCs w:val="24"/>
        </w:rPr>
        <w:t xml:space="preserve">El actor en sus conceptos de impugnación PRIMERO a TERCERO, manifiesta que la autoridad demandada, al emitir el </w:t>
      </w:r>
      <w:r w:rsidR="00497461" w:rsidRPr="00BD4FC7">
        <w:rPr>
          <w:rFonts w:ascii="Arial" w:hAnsi="Arial" w:cs="Arial"/>
          <w:sz w:val="24"/>
          <w:szCs w:val="24"/>
        </w:rPr>
        <w:t xml:space="preserve">oficio número </w:t>
      </w:r>
      <w:r w:rsidR="00497461">
        <w:rPr>
          <w:rFonts w:ascii="Arial" w:hAnsi="Arial" w:cs="Arial"/>
          <w:bCs/>
          <w:spacing w:val="-3"/>
          <w:sz w:val="24"/>
          <w:szCs w:val="27"/>
          <w:lang w:val="es-ES_tradnl"/>
        </w:rPr>
        <w:t>OP/DG/</w:t>
      </w:r>
      <w:r w:rsidR="00CF184C">
        <w:rPr>
          <w:rFonts w:ascii="Arial" w:hAnsi="Arial" w:cs="Arial"/>
          <w:bCs/>
          <w:spacing w:val="-3"/>
          <w:sz w:val="24"/>
          <w:szCs w:val="27"/>
          <w:lang w:val="es-ES_tradnl"/>
        </w:rPr>
        <w:t>****</w:t>
      </w:r>
      <w:r w:rsidR="00497461">
        <w:rPr>
          <w:rFonts w:ascii="Arial" w:hAnsi="Arial" w:cs="Arial"/>
          <w:bCs/>
          <w:spacing w:val="-3"/>
          <w:sz w:val="24"/>
          <w:szCs w:val="27"/>
          <w:lang w:val="es-ES_tradnl"/>
        </w:rPr>
        <w:t xml:space="preserve">/2019 de fecha </w:t>
      </w:r>
      <w:r w:rsidR="00CF184C">
        <w:rPr>
          <w:rFonts w:ascii="Arial" w:hAnsi="Arial" w:cs="Arial"/>
          <w:bCs/>
          <w:spacing w:val="-3"/>
          <w:sz w:val="24"/>
          <w:szCs w:val="27"/>
          <w:lang w:val="es-ES_tradnl"/>
        </w:rPr>
        <w:t>*****</w:t>
      </w:r>
      <w:r w:rsidR="00497461">
        <w:rPr>
          <w:rFonts w:ascii="Arial" w:hAnsi="Arial" w:cs="Arial"/>
          <w:bCs/>
          <w:spacing w:val="-3"/>
          <w:sz w:val="24"/>
          <w:szCs w:val="27"/>
          <w:lang w:val="es-ES_tradnl"/>
        </w:rPr>
        <w:t xml:space="preserve"> de </w:t>
      </w:r>
      <w:r w:rsidR="00CF184C">
        <w:rPr>
          <w:rFonts w:ascii="Arial" w:hAnsi="Arial" w:cs="Arial"/>
          <w:bCs/>
          <w:spacing w:val="-3"/>
          <w:sz w:val="24"/>
          <w:szCs w:val="27"/>
          <w:lang w:val="es-ES_tradnl"/>
        </w:rPr>
        <w:t>*****</w:t>
      </w:r>
      <w:r w:rsidR="00497461">
        <w:rPr>
          <w:rFonts w:ascii="Arial" w:hAnsi="Arial" w:cs="Arial"/>
          <w:bCs/>
          <w:spacing w:val="-3"/>
          <w:sz w:val="24"/>
          <w:szCs w:val="27"/>
          <w:lang w:val="es-ES_tradnl"/>
        </w:rPr>
        <w:t xml:space="preserve"> de dos mil diecinueve, vulnera sus derechos humanos, ya que </w:t>
      </w:r>
      <w:r w:rsidR="00497461">
        <w:rPr>
          <w:rFonts w:ascii="Arial" w:hAnsi="Arial" w:cs="Arial"/>
          <w:bCs/>
          <w:spacing w:val="-3"/>
          <w:sz w:val="24"/>
          <w:szCs w:val="27"/>
          <w:lang w:val="es-ES_tradnl"/>
        </w:rPr>
        <w:lastRenderedPageBreak/>
        <w:t>hace una diferencia entre trabajadores de base trabajadores de confianza, siendo un hecho discriminatorio.</w:t>
      </w:r>
    </w:p>
    <w:p w14:paraId="08A62388" w14:textId="2CFE1C7B" w:rsidR="00EC0C2E" w:rsidRDefault="00497461" w:rsidP="00497461">
      <w:pPr>
        <w:spacing w:line="360" w:lineRule="auto"/>
        <w:ind w:firstLine="567"/>
        <w:jc w:val="both"/>
        <w:rPr>
          <w:rFonts w:ascii="Arial" w:hAnsi="Arial" w:cs="Arial"/>
          <w:sz w:val="24"/>
          <w:szCs w:val="24"/>
        </w:rPr>
      </w:pPr>
      <w:r>
        <w:rPr>
          <w:rFonts w:ascii="Arial" w:hAnsi="Arial" w:cs="Arial"/>
          <w:sz w:val="24"/>
          <w:szCs w:val="24"/>
        </w:rPr>
        <w:t>Ahora, est</w:t>
      </w:r>
      <w:r w:rsidR="00BD4FC7" w:rsidRPr="00BD4FC7">
        <w:rPr>
          <w:rFonts w:ascii="Arial" w:hAnsi="Arial" w:cs="Arial"/>
          <w:sz w:val="24"/>
          <w:szCs w:val="24"/>
        </w:rPr>
        <w:t>a Sala</w:t>
      </w:r>
      <w:r w:rsidR="001134F5">
        <w:rPr>
          <w:rFonts w:ascii="Arial" w:hAnsi="Arial" w:cs="Arial"/>
          <w:sz w:val="24"/>
          <w:szCs w:val="24"/>
        </w:rPr>
        <w:t xml:space="preserve"> Unitari</w:t>
      </w:r>
      <w:r>
        <w:rPr>
          <w:rFonts w:ascii="Arial" w:hAnsi="Arial" w:cs="Arial"/>
          <w:sz w:val="24"/>
          <w:szCs w:val="24"/>
        </w:rPr>
        <w:t>a</w:t>
      </w:r>
      <w:r w:rsidR="00BD4FC7" w:rsidRPr="00BD4FC7">
        <w:rPr>
          <w:rFonts w:ascii="Arial" w:hAnsi="Arial" w:cs="Arial"/>
          <w:sz w:val="24"/>
          <w:szCs w:val="24"/>
        </w:rPr>
        <w:t xml:space="preserve"> después de haber realizado un estudio minucioso y pormenorizado del oficio número </w:t>
      </w:r>
      <w:r w:rsidR="004456D0">
        <w:rPr>
          <w:rFonts w:ascii="Arial" w:hAnsi="Arial" w:cs="Arial"/>
          <w:bCs/>
          <w:spacing w:val="-3"/>
          <w:sz w:val="24"/>
          <w:szCs w:val="27"/>
          <w:lang w:val="es-ES_tradnl"/>
        </w:rPr>
        <w:t>OP/DG/</w:t>
      </w:r>
      <w:r w:rsidR="00CF184C">
        <w:rPr>
          <w:rFonts w:ascii="Arial" w:hAnsi="Arial" w:cs="Arial"/>
          <w:bCs/>
          <w:spacing w:val="-3"/>
          <w:sz w:val="24"/>
          <w:szCs w:val="27"/>
          <w:lang w:val="es-ES_tradnl"/>
        </w:rPr>
        <w:t>*****</w:t>
      </w:r>
      <w:r w:rsidR="00623F3E">
        <w:rPr>
          <w:rFonts w:ascii="Arial" w:hAnsi="Arial" w:cs="Arial"/>
          <w:bCs/>
          <w:spacing w:val="-3"/>
          <w:sz w:val="24"/>
          <w:szCs w:val="27"/>
          <w:lang w:val="es-ES_tradnl"/>
        </w:rPr>
        <w:t>/2019</w:t>
      </w:r>
      <w:r w:rsidR="00B66F8B">
        <w:rPr>
          <w:rFonts w:ascii="Arial" w:hAnsi="Arial" w:cs="Arial"/>
          <w:bCs/>
          <w:spacing w:val="-3"/>
          <w:sz w:val="24"/>
          <w:szCs w:val="27"/>
          <w:lang w:val="es-ES_tradnl"/>
        </w:rPr>
        <w:t xml:space="preserve"> de fecha </w:t>
      </w:r>
      <w:r w:rsidR="00CF184C">
        <w:rPr>
          <w:rFonts w:ascii="Arial" w:hAnsi="Arial" w:cs="Arial"/>
          <w:bCs/>
          <w:spacing w:val="-3"/>
          <w:sz w:val="24"/>
          <w:szCs w:val="27"/>
          <w:lang w:val="es-ES_tradnl"/>
        </w:rPr>
        <w:t xml:space="preserve">***** </w:t>
      </w:r>
      <w:r w:rsidR="004456D0">
        <w:rPr>
          <w:rFonts w:ascii="Arial" w:hAnsi="Arial" w:cs="Arial"/>
          <w:bCs/>
          <w:spacing w:val="-3"/>
          <w:sz w:val="24"/>
          <w:szCs w:val="27"/>
          <w:lang w:val="es-ES_tradnl"/>
        </w:rPr>
        <w:t xml:space="preserve">de </w:t>
      </w:r>
      <w:r w:rsidR="00CF184C">
        <w:rPr>
          <w:rFonts w:ascii="Arial" w:hAnsi="Arial" w:cs="Arial"/>
          <w:bCs/>
          <w:spacing w:val="-3"/>
          <w:sz w:val="24"/>
          <w:szCs w:val="27"/>
          <w:lang w:val="es-ES_tradnl"/>
        </w:rPr>
        <w:t>****</w:t>
      </w:r>
      <w:r w:rsidR="00623F3E">
        <w:rPr>
          <w:rFonts w:ascii="Arial" w:hAnsi="Arial" w:cs="Arial"/>
          <w:bCs/>
          <w:spacing w:val="-3"/>
          <w:sz w:val="24"/>
          <w:szCs w:val="27"/>
          <w:lang w:val="es-ES_tradnl"/>
        </w:rPr>
        <w:t xml:space="preserve"> de dos mil diecinueve</w:t>
      </w:r>
      <w:r w:rsidR="00BD4FC7" w:rsidRPr="00BD4FC7">
        <w:rPr>
          <w:rFonts w:ascii="Arial" w:hAnsi="Arial" w:cs="Arial"/>
          <w:sz w:val="24"/>
          <w:szCs w:val="24"/>
        </w:rPr>
        <w:t xml:space="preserve">, emitido por el Contador Público JESÚS PARADA </w:t>
      </w:r>
      <w:proofErr w:type="spellStart"/>
      <w:r w:rsidR="00BD4FC7" w:rsidRPr="00BD4FC7">
        <w:rPr>
          <w:rFonts w:ascii="Arial" w:hAnsi="Arial" w:cs="Arial"/>
          <w:sz w:val="24"/>
          <w:szCs w:val="24"/>
        </w:rPr>
        <w:t>PARADA</w:t>
      </w:r>
      <w:proofErr w:type="spellEnd"/>
      <w:r w:rsidR="00E44E01">
        <w:rPr>
          <w:rFonts w:ascii="Arial" w:hAnsi="Arial" w:cs="Arial"/>
          <w:sz w:val="24"/>
          <w:szCs w:val="24"/>
        </w:rPr>
        <w:t>,</w:t>
      </w:r>
      <w:r w:rsidR="00BD4FC7" w:rsidRPr="00BD4FC7">
        <w:rPr>
          <w:rFonts w:ascii="Arial" w:hAnsi="Arial" w:cs="Arial"/>
          <w:sz w:val="24"/>
          <w:szCs w:val="24"/>
        </w:rPr>
        <w:t xml:space="preserve"> Director General de la Oficina de Pensiones del Estado </w:t>
      </w:r>
      <w:r w:rsidR="00F5528D">
        <w:rPr>
          <w:rFonts w:ascii="Arial" w:hAnsi="Arial" w:cs="Arial"/>
          <w:sz w:val="24"/>
          <w:szCs w:val="24"/>
        </w:rPr>
        <w:t xml:space="preserve">de Oaxaca, </w:t>
      </w:r>
      <w:r w:rsidR="004456D0">
        <w:rPr>
          <w:rFonts w:ascii="Arial" w:hAnsi="Arial" w:cs="Arial"/>
          <w:sz w:val="24"/>
          <w:szCs w:val="24"/>
        </w:rPr>
        <w:t>(foja 13</w:t>
      </w:r>
      <w:r w:rsidR="00DB7D73">
        <w:rPr>
          <w:rFonts w:ascii="Arial" w:hAnsi="Arial" w:cs="Arial"/>
          <w:sz w:val="24"/>
          <w:szCs w:val="24"/>
        </w:rPr>
        <w:t>)</w:t>
      </w:r>
      <w:r w:rsidR="00BD4FC7" w:rsidRPr="00BD4FC7">
        <w:rPr>
          <w:rFonts w:ascii="Arial" w:hAnsi="Arial" w:cs="Arial"/>
          <w:sz w:val="24"/>
          <w:szCs w:val="24"/>
        </w:rPr>
        <w:t xml:space="preserve"> </w:t>
      </w:r>
      <w:r w:rsidR="00DB7D73">
        <w:rPr>
          <w:rFonts w:ascii="Arial" w:hAnsi="Arial" w:cs="Arial"/>
          <w:sz w:val="24"/>
          <w:szCs w:val="24"/>
        </w:rPr>
        <w:t>misma que en términos del artículo 20</w:t>
      </w:r>
      <w:r w:rsidR="00BD4FC7" w:rsidRPr="00BD4FC7">
        <w:rPr>
          <w:rFonts w:ascii="Arial" w:hAnsi="Arial" w:cs="Arial"/>
          <w:sz w:val="24"/>
          <w:szCs w:val="24"/>
        </w:rPr>
        <w:t xml:space="preserve">3 fracción I de la Ley de </w:t>
      </w:r>
      <w:r w:rsidR="00DB7D73">
        <w:rPr>
          <w:rFonts w:ascii="Arial" w:hAnsi="Arial" w:cs="Arial"/>
          <w:sz w:val="24"/>
          <w:szCs w:val="24"/>
        </w:rPr>
        <w:t xml:space="preserve">Procedimiento y </w:t>
      </w:r>
      <w:r w:rsidR="00BD4FC7" w:rsidRPr="00BD4FC7">
        <w:rPr>
          <w:rFonts w:ascii="Arial" w:hAnsi="Arial" w:cs="Arial"/>
          <w:sz w:val="24"/>
          <w:szCs w:val="24"/>
        </w:rPr>
        <w:t>Justicia Administrativa para el Estado de Oaxaca, adquiere valor probatorio pleno</w:t>
      </w:r>
      <w:r>
        <w:rPr>
          <w:rFonts w:ascii="Arial" w:hAnsi="Arial" w:cs="Arial"/>
          <w:sz w:val="24"/>
          <w:szCs w:val="24"/>
        </w:rPr>
        <w:t xml:space="preserve">, </w:t>
      </w:r>
      <w:r w:rsidR="00320CB4">
        <w:rPr>
          <w:rFonts w:ascii="Arial" w:hAnsi="Arial" w:cs="Arial"/>
          <w:bCs/>
          <w:spacing w:val="-3"/>
          <w:sz w:val="24"/>
          <w:szCs w:val="27"/>
          <w:lang w:val="es-ES_tradnl"/>
        </w:rPr>
        <w:t xml:space="preserve">advierte que </w:t>
      </w:r>
      <w:r>
        <w:rPr>
          <w:rFonts w:ascii="Arial" w:hAnsi="Arial" w:cs="Arial"/>
          <w:sz w:val="24"/>
          <w:szCs w:val="24"/>
        </w:rPr>
        <w:t>la autoridad demandada</w:t>
      </w:r>
      <w:r w:rsidR="00F5528D">
        <w:rPr>
          <w:rFonts w:ascii="Arial" w:hAnsi="Arial" w:cs="Arial"/>
          <w:sz w:val="24"/>
          <w:szCs w:val="24"/>
        </w:rPr>
        <w:t xml:space="preserve"> </w:t>
      </w:r>
      <w:r>
        <w:rPr>
          <w:rFonts w:ascii="Arial" w:hAnsi="Arial" w:cs="Arial"/>
          <w:sz w:val="24"/>
          <w:szCs w:val="24"/>
        </w:rPr>
        <w:t>mencionó que</w:t>
      </w:r>
      <w:r w:rsidR="00F5528D">
        <w:rPr>
          <w:rFonts w:ascii="Arial" w:hAnsi="Arial" w:cs="Arial"/>
          <w:sz w:val="24"/>
          <w:szCs w:val="24"/>
        </w:rPr>
        <w:t xml:space="preserve"> </w:t>
      </w:r>
      <w:r w:rsidR="00F5528D" w:rsidRPr="00BD4FC7">
        <w:rPr>
          <w:rFonts w:ascii="Arial" w:hAnsi="Arial" w:cs="Arial"/>
          <w:sz w:val="24"/>
          <w:szCs w:val="24"/>
        </w:rPr>
        <w:t xml:space="preserve">se le concedía el 100% del sueldo base que percibía </w:t>
      </w:r>
      <w:r>
        <w:rPr>
          <w:rFonts w:ascii="Arial" w:hAnsi="Arial" w:cs="Arial"/>
          <w:sz w:val="24"/>
          <w:szCs w:val="24"/>
        </w:rPr>
        <w:t xml:space="preserve">el actor, </w:t>
      </w:r>
      <w:r w:rsidR="00F5528D" w:rsidRPr="00BD4FC7">
        <w:rPr>
          <w:rFonts w:ascii="Arial" w:hAnsi="Arial" w:cs="Arial"/>
          <w:sz w:val="24"/>
          <w:szCs w:val="24"/>
        </w:rPr>
        <w:t xml:space="preserve">consistente en la cantidad de </w:t>
      </w:r>
      <w:r w:rsidR="007A71BA">
        <w:rPr>
          <w:rFonts w:ascii="Arial" w:hAnsi="Arial" w:cs="Arial"/>
          <w:sz w:val="24"/>
          <w:szCs w:val="24"/>
        </w:rPr>
        <w:t>$</w:t>
      </w:r>
      <w:r w:rsidR="00CF184C">
        <w:rPr>
          <w:rFonts w:ascii="Arial" w:hAnsi="Arial" w:cs="Arial"/>
          <w:sz w:val="24"/>
          <w:szCs w:val="24"/>
        </w:rPr>
        <w:t>*****</w:t>
      </w:r>
      <w:r w:rsidR="00001378">
        <w:rPr>
          <w:rFonts w:ascii="Arial" w:hAnsi="Arial" w:cs="Arial"/>
          <w:sz w:val="24"/>
          <w:szCs w:val="24"/>
        </w:rPr>
        <w:t xml:space="preserve"> (</w:t>
      </w:r>
      <w:r w:rsidR="00CF184C">
        <w:rPr>
          <w:rFonts w:ascii="Arial" w:hAnsi="Arial" w:cs="Arial"/>
          <w:sz w:val="24"/>
          <w:szCs w:val="24"/>
        </w:rPr>
        <w:t>****</w:t>
      </w:r>
      <w:r w:rsidR="007A71BA">
        <w:rPr>
          <w:rFonts w:ascii="Arial" w:hAnsi="Arial" w:cs="Arial"/>
          <w:sz w:val="24"/>
          <w:szCs w:val="24"/>
        </w:rPr>
        <w:t xml:space="preserve"> </w:t>
      </w:r>
      <w:r w:rsidR="00CF184C">
        <w:rPr>
          <w:rFonts w:ascii="Arial" w:hAnsi="Arial" w:cs="Arial"/>
          <w:sz w:val="24"/>
          <w:szCs w:val="24"/>
        </w:rPr>
        <w:t>****</w:t>
      </w:r>
      <w:r w:rsidR="007A71BA">
        <w:rPr>
          <w:rFonts w:ascii="Arial" w:hAnsi="Arial" w:cs="Arial"/>
          <w:sz w:val="24"/>
          <w:szCs w:val="24"/>
        </w:rPr>
        <w:t xml:space="preserve"> </w:t>
      </w:r>
      <w:r w:rsidR="00CF184C">
        <w:rPr>
          <w:rFonts w:ascii="Arial" w:hAnsi="Arial" w:cs="Arial"/>
          <w:sz w:val="24"/>
          <w:szCs w:val="24"/>
        </w:rPr>
        <w:t>****</w:t>
      </w:r>
      <w:r w:rsidR="007A71BA">
        <w:rPr>
          <w:rFonts w:ascii="Arial" w:hAnsi="Arial" w:cs="Arial"/>
          <w:sz w:val="24"/>
          <w:szCs w:val="24"/>
        </w:rPr>
        <w:t xml:space="preserve"> </w:t>
      </w:r>
      <w:r w:rsidR="00CF184C">
        <w:rPr>
          <w:rFonts w:ascii="Arial" w:hAnsi="Arial" w:cs="Arial"/>
          <w:sz w:val="24"/>
          <w:szCs w:val="24"/>
        </w:rPr>
        <w:t>****</w:t>
      </w:r>
      <w:r w:rsidR="007A71BA">
        <w:rPr>
          <w:rFonts w:ascii="Arial" w:hAnsi="Arial" w:cs="Arial"/>
          <w:sz w:val="24"/>
          <w:szCs w:val="24"/>
        </w:rPr>
        <w:t xml:space="preserve"> </w:t>
      </w:r>
      <w:r w:rsidR="00CF184C">
        <w:rPr>
          <w:rFonts w:ascii="Arial" w:hAnsi="Arial" w:cs="Arial"/>
          <w:sz w:val="24"/>
          <w:szCs w:val="24"/>
        </w:rPr>
        <w:t>****</w:t>
      </w:r>
      <w:r>
        <w:rPr>
          <w:rFonts w:ascii="Arial" w:hAnsi="Arial" w:cs="Arial"/>
          <w:sz w:val="24"/>
          <w:szCs w:val="24"/>
        </w:rPr>
        <w:t>,</w:t>
      </w:r>
      <w:r w:rsidR="007A71BA">
        <w:rPr>
          <w:rFonts w:ascii="Arial" w:hAnsi="Arial" w:cs="Arial"/>
          <w:sz w:val="24"/>
          <w:szCs w:val="24"/>
        </w:rPr>
        <w:t xml:space="preserve"> 00/100 Moneda N</w:t>
      </w:r>
      <w:r w:rsidR="00001378">
        <w:rPr>
          <w:rFonts w:ascii="Arial" w:hAnsi="Arial" w:cs="Arial"/>
          <w:sz w:val="24"/>
          <w:szCs w:val="24"/>
        </w:rPr>
        <w:t>acional)</w:t>
      </w:r>
      <w:r w:rsidR="00403E20" w:rsidRPr="00BD4FC7">
        <w:rPr>
          <w:rFonts w:ascii="Arial" w:hAnsi="Arial" w:cs="Arial"/>
          <w:sz w:val="24"/>
          <w:szCs w:val="24"/>
        </w:rPr>
        <w:t xml:space="preserve">, así también ordenó descontarse </w:t>
      </w:r>
      <w:r>
        <w:rPr>
          <w:rFonts w:ascii="Arial" w:hAnsi="Arial" w:cs="Arial"/>
          <w:sz w:val="24"/>
          <w:szCs w:val="24"/>
        </w:rPr>
        <w:t>el 9% por concepto de cuota al Fondo de P</w:t>
      </w:r>
      <w:r w:rsidR="00403E20" w:rsidRPr="00BD4FC7">
        <w:rPr>
          <w:rFonts w:ascii="Arial" w:hAnsi="Arial" w:cs="Arial"/>
          <w:sz w:val="24"/>
          <w:szCs w:val="24"/>
        </w:rPr>
        <w:t>ensiones, por haber quedado probado que el hoy accionante fue incorporado a trabajar antes de la vigencia de la Ley de Pensiones para los Trabajadores de</w:t>
      </w:r>
      <w:r w:rsidR="00EC0C2E">
        <w:rPr>
          <w:rFonts w:ascii="Arial" w:hAnsi="Arial" w:cs="Arial"/>
          <w:sz w:val="24"/>
          <w:szCs w:val="24"/>
        </w:rPr>
        <w:t>l Gobierno del Estado de Oaxaca.</w:t>
      </w:r>
    </w:p>
    <w:p w14:paraId="75C46013" w14:textId="75BA25F6" w:rsidR="00F5528D" w:rsidRPr="00BD4FC7" w:rsidRDefault="00EC0C2E" w:rsidP="00EC0C2E">
      <w:pPr>
        <w:spacing w:line="360" w:lineRule="auto"/>
        <w:ind w:firstLine="567"/>
        <w:jc w:val="both"/>
        <w:rPr>
          <w:rFonts w:ascii="Arial" w:hAnsi="Arial" w:cs="Arial"/>
          <w:sz w:val="24"/>
          <w:szCs w:val="24"/>
        </w:rPr>
      </w:pPr>
      <w:r>
        <w:rPr>
          <w:rFonts w:ascii="Arial" w:hAnsi="Arial" w:cs="Arial"/>
          <w:sz w:val="24"/>
          <w:szCs w:val="24"/>
        </w:rPr>
        <w:t>Derivado de lo anterior, el</w:t>
      </w:r>
      <w:r w:rsidR="00F5528D" w:rsidRPr="00BD4FC7">
        <w:rPr>
          <w:rFonts w:ascii="Arial" w:hAnsi="Arial" w:cs="Arial"/>
          <w:sz w:val="24"/>
          <w:szCs w:val="24"/>
        </w:rPr>
        <w:t xml:space="preserve"> acto impugnado no cumple con el requisito de validez del acto administrativo previsto </w:t>
      </w:r>
      <w:r w:rsidR="00001378">
        <w:rPr>
          <w:rFonts w:ascii="Arial" w:hAnsi="Arial" w:cs="Arial"/>
          <w:sz w:val="24"/>
          <w:szCs w:val="24"/>
        </w:rPr>
        <w:t xml:space="preserve">en la fracción </w:t>
      </w:r>
      <w:r w:rsidR="00184646" w:rsidRPr="00BD4FC7">
        <w:rPr>
          <w:rFonts w:ascii="Arial" w:hAnsi="Arial" w:cs="Arial"/>
          <w:sz w:val="24"/>
          <w:szCs w:val="24"/>
        </w:rPr>
        <w:t>V, del artículo 17, en relación con el artículo 208, fracciones II y VI de la Ley de Procedimiento y Justicia Administrativa para el Estado de Oaxaca</w:t>
      </w:r>
      <w:r w:rsidR="00F5528D" w:rsidRPr="00BD4FC7">
        <w:rPr>
          <w:rFonts w:ascii="Arial" w:hAnsi="Arial" w:cs="Arial"/>
          <w:sz w:val="24"/>
          <w:szCs w:val="24"/>
        </w:rPr>
        <w:t>, vulnerándose con ello el derecho a la igualdad</w:t>
      </w:r>
      <w:r w:rsidR="003E6B10">
        <w:rPr>
          <w:rFonts w:ascii="Arial" w:hAnsi="Arial" w:cs="Arial"/>
          <w:sz w:val="24"/>
          <w:szCs w:val="24"/>
        </w:rPr>
        <w:t xml:space="preserve"> laboral</w:t>
      </w:r>
      <w:r w:rsidR="00F5528D" w:rsidRPr="00BD4FC7">
        <w:rPr>
          <w:rFonts w:ascii="Arial" w:hAnsi="Arial" w:cs="Arial"/>
          <w:sz w:val="24"/>
          <w:szCs w:val="24"/>
        </w:rPr>
        <w:t xml:space="preserve"> del actor, así como sus derechos adquiridos, puesto que la autoridad demandada erróneamente asevera en su escrito de c</w:t>
      </w:r>
      <w:r w:rsidR="00DB0A55">
        <w:rPr>
          <w:rFonts w:ascii="Arial" w:hAnsi="Arial" w:cs="Arial"/>
          <w:sz w:val="24"/>
          <w:szCs w:val="24"/>
        </w:rPr>
        <w:t>ontestación de demanda (fojas 28 a 35</w:t>
      </w:r>
      <w:r w:rsidR="00F5528D" w:rsidRPr="00BD4FC7">
        <w:rPr>
          <w:rFonts w:ascii="Arial" w:hAnsi="Arial" w:cs="Arial"/>
          <w:sz w:val="24"/>
          <w:szCs w:val="24"/>
        </w:rPr>
        <w:t>)</w:t>
      </w:r>
      <w:r w:rsidR="003E6B10">
        <w:rPr>
          <w:rFonts w:ascii="Arial" w:hAnsi="Arial" w:cs="Arial"/>
          <w:sz w:val="24"/>
          <w:szCs w:val="24"/>
        </w:rPr>
        <w:t>,</w:t>
      </w:r>
      <w:r w:rsidR="00033F72">
        <w:rPr>
          <w:rFonts w:ascii="Arial" w:hAnsi="Arial" w:cs="Arial"/>
          <w:sz w:val="24"/>
          <w:szCs w:val="24"/>
        </w:rPr>
        <w:t xml:space="preserve"> así como en propio acto impugnado</w:t>
      </w:r>
      <w:r w:rsidR="003E6B10">
        <w:rPr>
          <w:rFonts w:ascii="Arial" w:hAnsi="Arial" w:cs="Arial"/>
          <w:sz w:val="24"/>
          <w:szCs w:val="24"/>
        </w:rPr>
        <w:t>,</w:t>
      </w:r>
      <w:r w:rsidR="00F5528D" w:rsidRPr="00BD4FC7">
        <w:rPr>
          <w:rFonts w:ascii="Arial" w:hAnsi="Arial" w:cs="Arial"/>
          <w:sz w:val="24"/>
          <w:szCs w:val="24"/>
        </w:rPr>
        <w:t xml:space="preserve"> que por tratarse de un trabajador de confianza y no de base, no se coloca en el supuesto que contempla el artículo 54 fracción I de la Ley de Pensiones para los trabajadores del Gobierno del Estado de Oaxaca, el cual se transc</w:t>
      </w:r>
      <w:r w:rsidR="00F5528D">
        <w:rPr>
          <w:rFonts w:ascii="Arial" w:hAnsi="Arial" w:cs="Arial"/>
          <w:sz w:val="24"/>
          <w:szCs w:val="24"/>
        </w:rPr>
        <w:t>ribe para su mayor compresión:</w:t>
      </w:r>
    </w:p>
    <w:p w14:paraId="09A6BC8E" w14:textId="77777777" w:rsidR="00F5528D" w:rsidRPr="00D435FD" w:rsidRDefault="00F5528D" w:rsidP="00F5528D">
      <w:pPr>
        <w:ind w:left="567"/>
        <w:jc w:val="both"/>
        <w:rPr>
          <w:rFonts w:ascii="Arial" w:hAnsi="Arial" w:cs="Arial"/>
          <w:i/>
          <w:sz w:val="24"/>
          <w:szCs w:val="24"/>
        </w:rPr>
      </w:pPr>
      <w:r>
        <w:rPr>
          <w:rFonts w:ascii="Arial" w:hAnsi="Arial" w:cs="Arial"/>
          <w:b/>
          <w:i/>
          <w:sz w:val="24"/>
          <w:szCs w:val="24"/>
        </w:rPr>
        <w:t>“</w:t>
      </w:r>
      <w:r w:rsidRPr="00D435FD">
        <w:rPr>
          <w:rFonts w:ascii="Arial" w:hAnsi="Arial" w:cs="Arial"/>
          <w:b/>
          <w:i/>
          <w:sz w:val="24"/>
          <w:szCs w:val="24"/>
        </w:rPr>
        <w:t>Artículo 54.-</w:t>
      </w:r>
      <w:r w:rsidRPr="00D435FD">
        <w:rPr>
          <w:rFonts w:ascii="Arial" w:hAnsi="Arial" w:cs="Arial"/>
          <w:i/>
          <w:sz w:val="24"/>
          <w:szCs w:val="24"/>
        </w:rPr>
        <w:t xml:space="preserve"> Al monto resultante de la pensión señaladas en el artículo anterior, se integrarán las prestaciones siguientes:</w:t>
      </w:r>
    </w:p>
    <w:p w14:paraId="5C9C4C9B" w14:textId="77777777" w:rsidR="00F5528D" w:rsidRPr="00D435FD" w:rsidRDefault="00F5528D" w:rsidP="00F5528D">
      <w:pPr>
        <w:ind w:left="567"/>
        <w:jc w:val="both"/>
        <w:rPr>
          <w:rFonts w:ascii="Arial" w:hAnsi="Arial" w:cs="Arial"/>
          <w:i/>
          <w:sz w:val="24"/>
          <w:szCs w:val="24"/>
        </w:rPr>
      </w:pPr>
      <w:r w:rsidRPr="00D435FD">
        <w:rPr>
          <w:rFonts w:ascii="Arial" w:hAnsi="Arial" w:cs="Arial"/>
          <w:i/>
          <w:sz w:val="24"/>
          <w:szCs w:val="24"/>
        </w:rPr>
        <w:t>I. Jubilados: tratándose solo aquellos que fueron trabajadores de base se integrarán la previsión social múltiple, despensa, vida cara, quinquenios, aguinaldo, estímulo del jubilado, día de las madres y canasta navideña.</w:t>
      </w:r>
      <w:r>
        <w:rPr>
          <w:rFonts w:ascii="Arial" w:hAnsi="Arial" w:cs="Arial"/>
          <w:i/>
          <w:sz w:val="24"/>
          <w:szCs w:val="24"/>
        </w:rPr>
        <w:t>”</w:t>
      </w:r>
    </w:p>
    <w:p w14:paraId="7333B8E9" w14:textId="61F71615" w:rsidR="00F5528D" w:rsidRPr="00BD4FC7" w:rsidRDefault="00F5528D" w:rsidP="00F5528D">
      <w:pPr>
        <w:spacing w:line="360" w:lineRule="auto"/>
        <w:ind w:firstLine="567"/>
        <w:jc w:val="both"/>
        <w:rPr>
          <w:rFonts w:ascii="Arial" w:hAnsi="Arial" w:cs="Arial"/>
          <w:sz w:val="24"/>
          <w:szCs w:val="24"/>
        </w:rPr>
      </w:pPr>
      <w:r w:rsidRPr="00BD4FC7">
        <w:rPr>
          <w:rFonts w:ascii="Arial" w:hAnsi="Arial" w:cs="Arial"/>
          <w:sz w:val="24"/>
          <w:szCs w:val="24"/>
        </w:rPr>
        <w:t xml:space="preserve">En ese sentido, si bien es cierto del citado artículo, se advierte que solo los jubilados de base, </w:t>
      </w:r>
      <w:r w:rsidR="00501090">
        <w:rPr>
          <w:rFonts w:ascii="Arial" w:hAnsi="Arial" w:cs="Arial"/>
          <w:sz w:val="24"/>
          <w:szCs w:val="24"/>
        </w:rPr>
        <w:t>gozarán de las prestaciones contempladas en el artículo antes transcrito</w:t>
      </w:r>
      <w:r w:rsidRPr="00BD4FC7">
        <w:rPr>
          <w:rFonts w:ascii="Arial" w:hAnsi="Arial" w:cs="Arial"/>
          <w:sz w:val="24"/>
          <w:szCs w:val="24"/>
        </w:rPr>
        <w:t xml:space="preserve">, </w:t>
      </w:r>
      <w:r w:rsidR="00501090">
        <w:rPr>
          <w:rFonts w:ascii="Arial" w:hAnsi="Arial" w:cs="Arial"/>
          <w:sz w:val="24"/>
          <w:szCs w:val="24"/>
        </w:rPr>
        <w:t xml:space="preserve">sin embargo, debe precisarse que </w:t>
      </w:r>
      <w:r w:rsidRPr="00BD4FC7">
        <w:rPr>
          <w:rFonts w:ascii="Arial" w:hAnsi="Arial" w:cs="Arial"/>
          <w:sz w:val="24"/>
          <w:szCs w:val="24"/>
        </w:rPr>
        <w:t>dicho precepto</w:t>
      </w:r>
      <w:r w:rsidR="00501090">
        <w:rPr>
          <w:rFonts w:ascii="Arial" w:hAnsi="Arial" w:cs="Arial"/>
          <w:sz w:val="24"/>
          <w:szCs w:val="24"/>
        </w:rPr>
        <w:t xml:space="preserve"> legal</w:t>
      </w:r>
      <w:r w:rsidRPr="00BD4FC7">
        <w:rPr>
          <w:rFonts w:ascii="Arial" w:hAnsi="Arial" w:cs="Arial"/>
          <w:sz w:val="24"/>
          <w:szCs w:val="24"/>
        </w:rPr>
        <w:t xml:space="preserve"> es violatorio a lo dispuesto por los artículos</w:t>
      </w:r>
      <w:r w:rsidR="00501090">
        <w:rPr>
          <w:rFonts w:ascii="Arial" w:hAnsi="Arial" w:cs="Arial"/>
          <w:sz w:val="24"/>
          <w:szCs w:val="24"/>
        </w:rPr>
        <w:t xml:space="preserve"> 1° y 123, apartado B, fracciones XI y XIV </w:t>
      </w:r>
      <w:r w:rsidRPr="00BD4FC7">
        <w:rPr>
          <w:rFonts w:ascii="Arial" w:hAnsi="Arial" w:cs="Arial"/>
          <w:sz w:val="24"/>
          <w:szCs w:val="24"/>
        </w:rPr>
        <w:t>de la Constitución Política de los Estado Unidos Mexicanos, toda vez que el artículo 1 dispone la no distinción motivada por razones de género, edad, condición social, religión u otra razón análoga que atente contra la dignidad humana y tenga por objeto anular o menoscabar los derechos y libertades de las pers</w:t>
      </w:r>
      <w:r w:rsidR="001E3531">
        <w:rPr>
          <w:rFonts w:ascii="Arial" w:hAnsi="Arial" w:cs="Arial"/>
          <w:sz w:val="24"/>
          <w:szCs w:val="24"/>
        </w:rPr>
        <w:t>onas;</w:t>
      </w:r>
      <w:r w:rsidR="00501090">
        <w:rPr>
          <w:rFonts w:ascii="Arial" w:hAnsi="Arial" w:cs="Arial"/>
          <w:sz w:val="24"/>
          <w:szCs w:val="24"/>
        </w:rPr>
        <w:t xml:space="preserve"> por su parte el artículo 123, apartado B, fracciones XI y XIV, </w:t>
      </w:r>
      <w:r w:rsidRPr="00BD4FC7">
        <w:rPr>
          <w:rFonts w:ascii="Arial" w:hAnsi="Arial" w:cs="Arial"/>
          <w:sz w:val="24"/>
          <w:szCs w:val="24"/>
        </w:rPr>
        <w:t xml:space="preserve">establece las base mínimas de seguridad social para los trabajadores al servicio del Estado, abarcando de igual </w:t>
      </w:r>
      <w:r w:rsidRPr="00BD4FC7">
        <w:rPr>
          <w:rFonts w:ascii="Arial" w:hAnsi="Arial" w:cs="Arial"/>
          <w:sz w:val="24"/>
          <w:szCs w:val="24"/>
        </w:rPr>
        <w:lastRenderedPageBreak/>
        <w:t>forma a los trabajadores de confianza, los cuales gozarán de las medidas de protección al salario y gozaran de los beneficios de la seguridad social, tal y como reza el principio de prevención social, el cual obliga a establecer un</w:t>
      </w:r>
      <w:r w:rsidR="001E3531">
        <w:rPr>
          <w:rFonts w:ascii="Arial" w:hAnsi="Arial" w:cs="Arial"/>
          <w:sz w:val="24"/>
          <w:szCs w:val="24"/>
        </w:rPr>
        <w:t xml:space="preserve"> sistema integro con el cual </w:t>
      </w:r>
      <w:r w:rsidRPr="00BD4FC7">
        <w:rPr>
          <w:rFonts w:ascii="Arial" w:hAnsi="Arial" w:cs="Arial"/>
          <w:sz w:val="24"/>
          <w:szCs w:val="24"/>
        </w:rPr>
        <w:t>otorgue tranquilidad y bienestar personal a los trabajadores y a su familia, principio que contempla el derecho al disfrute de una pensión, cuya finalidad es garantizar al trabajador que ha laborado por un determinado número de años y llega a una edad de retirarse de su trabajo, se sienta con la confianza de que tendrá derecho a recibir todas las prestaciones que venía generando y el cual le permita vivir de manera decorosa la etapa para la cual está encaminada la percepción de una pensión, garantía que tiene rango constitucional y que podrá amp</w:t>
      </w:r>
      <w:r>
        <w:rPr>
          <w:rFonts w:ascii="Arial" w:hAnsi="Arial" w:cs="Arial"/>
          <w:sz w:val="24"/>
          <w:szCs w:val="24"/>
        </w:rPr>
        <w:t>liarse más nunca restringirse.</w:t>
      </w:r>
    </w:p>
    <w:p w14:paraId="4DE417B8" w14:textId="77777777" w:rsidR="001E3531" w:rsidRDefault="00F5528D" w:rsidP="00F5528D">
      <w:pPr>
        <w:spacing w:line="360" w:lineRule="auto"/>
        <w:ind w:firstLine="567"/>
        <w:jc w:val="both"/>
        <w:rPr>
          <w:rFonts w:ascii="Arial" w:hAnsi="Arial" w:cs="Arial"/>
          <w:sz w:val="24"/>
          <w:szCs w:val="24"/>
        </w:rPr>
      </w:pPr>
      <w:r w:rsidRPr="00BD4FC7">
        <w:rPr>
          <w:rFonts w:ascii="Arial" w:hAnsi="Arial" w:cs="Arial"/>
          <w:sz w:val="24"/>
          <w:szCs w:val="24"/>
        </w:rPr>
        <w:t xml:space="preserve">En ese tenor, podemos decir que la protección al salario, se encuentra dirigida a todos y cada uno de los trabajadores al servicio del Estado sin exclusión alguna, </w:t>
      </w:r>
      <w:r w:rsidR="001E3531">
        <w:rPr>
          <w:rFonts w:ascii="Arial" w:hAnsi="Arial" w:cs="Arial"/>
          <w:sz w:val="24"/>
          <w:szCs w:val="24"/>
        </w:rPr>
        <w:t>es decir, que no</w:t>
      </w:r>
      <w:r w:rsidRPr="00BD4FC7">
        <w:rPr>
          <w:rFonts w:ascii="Arial" w:hAnsi="Arial" w:cs="Arial"/>
          <w:sz w:val="24"/>
          <w:szCs w:val="24"/>
        </w:rPr>
        <w:t xml:space="preserve"> abarca </w:t>
      </w:r>
      <w:r w:rsidR="001E3531">
        <w:rPr>
          <w:rFonts w:ascii="Arial" w:hAnsi="Arial" w:cs="Arial"/>
          <w:sz w:val="24"/>
          <w:szCs w:val="24"/>
        </w:rPr>
        <w:t xml:space="preserve">solamente </w:t>
      </w:r>
      <w:r w:rsidRPr="00BD4FC7">
        <w:rPr>
          <w:rFonts w:ascii="Arial" w:hAnsi="Arial" w:cs="Arial"/>
          <w:sz w:val="24"/>
          <w:szCs w:val="24"/>
        </w:rPr>
        <w:t xml:space="preserve">a los trabajadores de base, sino que contempla </w:t>
      </w:r>
      <w:r w:rsidR="001E3531">
        <w:rPr>
          <w:rFonts w:ascii="Arial" w:hAnsi="Arial" w:cs="Arial"/>
          <w:sz w:val="24"/>
          <w:szCs w:val="24"/>
        </w:rPr>
        <w:t xml:space="preserve">también </w:t>
      </w:r>
      <w:r w:rsidRPr="00BD4FC7">
        <w:rPr>
          <w:rFonts w:ascii="Arial" w:hAnsi="Arial" w:cs="Arial"/>
          <w:sz w:val="24"/>
          <w:szCs w:val="24"/>
        </w:rPr>
        <w:t xml:space="preserve">a los </w:t>
      </w:r>
      <w:r w:rsidR="001E3531">
        <w:rPr>
          <w:rFonts w:ascii="Arial" w:hAnsi="Arial" w:cs="Arial"/>
          <w:sz w:val="24"/>
          <w:szCs w:val="24"/>
        </w:rPr>
        <w:t>trabajadores de confianza.</w:t>
      </w:r>
    </w:p>
    <w:p w14:paraId="2249C459" w14:textId="1063B065" w:rsidR="00F5528D" w:rsidRPr="00BD4FC7" w:rsidRDefault="001E3531" w:rsidP="00F5528D">
      <w:pPr>
        <w:spacing w:line="360" w:lineRule="auto"/>
        <w:ind w:firstLine="567"/>
        <w:jc w:val="both"/>
        <w:rPr>
          <w:rFonts w:ascii="Arial" w:hAnsi="Arial" w:cs="Arial"/>
          <w:sz w:val="24"/>
          <w:szCs w:val="24"/>
        </w:rPr>
      </w:pPr>
      <w:r>
        <w:rPr>
          <w:rFonts w:ascii="Arial" w:hAnsi="Arial" w:cs="Arial"/>
          <w:sz w:val="24"/>
          <w:szCs w:val="24"/>
        </w:rPr>
        <w:t>S</w:t>
      </w:r>
      <w:r w:rsidR="00F5528D" w:rsidRPr="00BD4FC7">
        <w:rPr>
          <w:rFonts w:ascii="Arial" w:hAnsi="Arial" w:cs="Arial"/>
          <w:sz w:val="24"/>
          <w:szCs w:val="24"/>
        </w:rPr>
        <w:t>irve de sustento la jurisprudencia</w:t>
      </w:r>
      <w:r>
        <w:rPr>
          <w:rStyle w:val="Refdenotaalpie"/>
          <w:rFonts w:ascii="Arial" w:hAnsi="Arial" w:cs="Arial"/>
          <w:sz w:val="24"/>
          <w:szCs w:val="24"/>
        </w:rPr>
        <w:footnoteReference w:id="1"/>
      </w:r>
      <w:r w:rsidR="00F5528D" w:rsidRPr="00BD4FC7">
        <w:rPr>
          <w:rFonts w:ascii="Arial" w:hAnsi="Arial" w:cs="Arial"/>
          <w:sz w:val="24"/>
          <w:szCs w:val="24"/>
        </w:rPr>
        <w:t xml:space="preserve"> ba</w:t>
      </w:r>
      <w:r w:rsidR="00F5528D">
        <w:rPr>
          <w:rFonts w:ascii="Arial" w:hAnsi="Arial" w:cs="Arial"/>
          <w:sz w:val="24"/>
          <w:szCs w:val="24"/>
        </w:rPr>
        <w:t>jo el rubro y texto siguiente:</w:t>
      </w:r>
    </w:p>
    <w:p w14:paraId="02FE4DFF" w14:textId="77777777" w:rsidR="00F5528D" w:rsidRPr="007F5AFB" w:rsidRDefault="00F5528D" w:rsidP="00F5528D">
      <w:pPr>
        <w:ind w:left="567"/>
        <w:jc w:val="both"/>
        <w:rPr>
          <w:rFonts w:ascii="Arial" w:hAnsi="Arial" w:cs="Arial"/>
          <w:i/>
          <w:sz w:val="24"/>
          <w:szCs w:val="24"/>
        </w:rPr>
      </w:pPr>
      <w:r>
        <w:rPr>
          <w:rFonts w:ascii="Arial" w:hAnsi="Arial" w:cs="Arial"/>
          <w:b/>
          <w:i/>
          <w:sz w:val="24"/>
          <w:szCs w:val="24"/>
        </w:rPr>
        <w:t>“</w:t>
      </w:r>
      <w:r w:rsidRPr="007F5AFB">
        <w:rPr>
          <w:rFonts w:ascii="Arial" w:hAnsi="Arial" w:cs="Arial"/>
          <w:b/>
          <w:i/>
          <w:sz w:val="24"/>
          <w:szCs w:val="24"/>
        </w:rPr>
        <w:t>TRABAJADORES DE CONFIANZA AL SERVICIO DEL ESTADO. AUNQUE NO GOZAN DEL DERECHO A LA ESTABILIDAD EN EL EMPLEO, EL ARTÍCULO 123, APARTADO B, FRACCIÓN XIV, DE LA CONSTITUCIÓN DE LOS ESTADOS UNIDOS MEXICANOS, LES OTORGA DERECHOS DE PROTECCIÓN AL SALARIO Y DE SEGURIDAD SOCIAL.</w:t>
      </w:r>
      <w:r w:rsidRPr="007F5AFB">
        <w:rPr>
          <w:rFonts w:ascii="Arial" w:hAnsi="Arial" w:cs="Arial"/>
          <w:i/>
          <w:sz w:val="24"/>
          <w:szCs w:val="24"/>
        </w:rPr>
        <w:t xml:space="preserve"> El artículo 123, apartado B de la Constitución Política de los Estado Unidos </w:t>
      </w:r>
      <w:proofErr w:type="gramStart"/>
      <w:r w:rsidRPr="007F5AFB">
        <w:rPr>
          <w:rFonts w:ascii="Arial" w:hAnsi="Arial" w:cs="Arial"/>
          <w:i/>
          <w:sz w:val="24"/>
          <w:szCs w:val="24"/>
        </w:rPr>
        <w:t>Mexicanos  establece</w:t>
      </w:r>
      <w:proofErr w:type="gramEnd"/>
      <w:r w:rsidRPr="007F5AFB">
        <w:rPr>
          <w:rFonts w:ascii="Arial" w:hAnsi="Arial" w:cs="Arial"/>
          <w:i/>
          <w:sz w:val="24"/>
          <w:szCs w:val="24"/>
        </w:rPr>
        <w:t>, en sus diversas fracciones, los derechos que tienen los trabajadores al servicio del Estado, así como las normas básicas aplicables a las relaciones de trabajo que serán materia de regulación pormenorizada a través de la Ley reglamentaria correspondiente. Asimismo, clásica a dichos trabajadores en dos sectores: de base y de confianza. Ahora bien, la fracción XIV del referido artículo constitucional, al prever expresamente que la ley determinará los cargos que serán considerados de confianza y que quienes los desempeñen disfrutarán de las medidas de protección al salario y de seguridad social, limita algunos de sus derechos como el relativo a la estabilidad o inamovilidad en el empleo previsto en la fracción IX, los cuales reserva para los trabajadores de base. Sin embargo, tales limitaciones son excepcionales, pues los trabajadores de confianza tiene reconocidos sus derechos laborales en la aludida fracción XIV, conforme a la cual gozarán de los derechos derivados de los servicios que prestan en los cargos que ocupan, esto es, de la protección al salario, que no puede restringirse, así como la prerrogativa de obtener el pago de prestaciones como aguinaldo y quinquenio, además de todos los derivados de su afiliación al régimen de seguridad social, dentro de los cuales se incluyen, entre otros, seguros de enfermedades y maternidad, de riesgos de trabajo, de jubilación, de retiro, por invalidez, servicios de rehabilitación, préstamos para adquisición de casa, entre otros.</w:t>
      </w:r>
      <w:r>
        <w:rPr>
          <w:rFonts w:ascii="Arial" w:hAnsi="Arial" w:cs="Arial"/>
          <w:i/>
          <w:sz w:val="24"/>
          <w:szCs w:val="24"/>
        </w:rPr>
        <w:t>”</w:t>
      </w:r>
    </w:p>
    <w:p w14:paraId="7102E3EF" w14:textId="232EF254" w:rsidR="00F5528D" w:rsidRPr="00BD4FC7" w:rsidRDefault="002E0352" w:rsidP="00B122CC">
      <w:pPr>
        <w:spacing w:line="360" w:lineRule="auto"/>
        <w:ind w:firstLine="567"/>
        <w:jc w:val="both"/>
        <w:rPr>
          <w:rFonts w:ascii="Arial" w:hAnsi="Arial" w:cs="Arial"/>
          <w:sz w:val="24"/>
          <w:szCs w:val="24"/>
        </w:rPr>
      </w:pPr>
      <w:r>
        <w:rPr>
          <w:rFonts w:ascii="Arial" w:hAnsi="Arial" w:cs="Arial"/>
          <w:sz w:val="24"/>
          <w:szCs w:val="24"/>
        </w:rPr>
        <w:lastRenderedPageBreak/>
        <w:t>Luego, al aplicar el anterior criterio jurisprudencial,</w:t>
      </w:r>
      <w:r w:rsidR="00F5528D" w:rsidRPr="00BD4FC7">
        <w:rPr>
          <w:rFonts w:ascii="Arial" w:hAnsi="Arial" w:cs="Arial"/>
          <w:sz w:val="24"/>
          <w:szCs w:val="24"/>
        </w:rPr>
        <w:t xml:space="preserve"> </w:t>
      </w:r>
      <w:r>
        <w:rPr>
          <w:rFonts w:ascii="Arial" w:hAnsi="Arial" w:cs="Arial"/>
          <w:sz w:val="24"/>
          <w:szCs w:val="24"/>
        </w:rPr>
        <w:t xml:space="preserve">el acto impugnado </w:t>
      </w:r>
      <w:r w:rsidR="00F5528D" w:rsidRPr="00BD4FC7">
        <w:rPr>
          <w:rFonts w:ascii="Arial" w:hAnsi="Arial" w:cs="Arial"/>
          <w:sz w:val="24"/>
          <w:szCs w:val="24"/>
        </w:rPr>
        <w:t>resulta inconstitucional y, por ende violatorio de derechos humanos, que únicamente se pretenda otorgar al hoy accionante, el porcentaje de pensión basado sobre el salario base, sin considerar para nada el resto de los conceptos que integran el salario integrado,</w:t>
      </w:r>
      <w:r w:rsidR="004A718A">
        <w:rPr>
          <w:rFonts w:ascii="Arial" w:hAnsi="Arial" w:cs="Arial"/>
          <w:sz w:val="24"/>
          <w:szCs w:val="24"/>
        </w:rPr>
        <w:t xml:space="preserve"> como lo son los conceptos comprendidos </w:t>
      </w:r>
      <w:r w:rsidR="0010765A">
        <w:rPr>
          <w:rFonts w:ascii="Arial" w:hAnsi="Arial" w:cs="Arial"/>
          <w:sz w:val="24"/>
          <w:szCs w:val="24"/>
        </w:rPr>
        <w:t>en los artículos 50 fracción I, 52, 53 y 54 fracción I de la Ley de</w:t>
      </w:r>
      <w:r w:rsidR="0010765A" w:rsidRPr="00BD4FC7">
        <w:rPr>
          <w:rFonts w:ascii="Arial" w:hAnsi="Arial" w:cs="Arial"/>
          <w:sz w:val="24"/>
          <w:szCs w:val="24"/>
        </w:rPr>
        <w:t xml:space="preserve"> Pensiones para los Trabajadores del Gobierno del Estado de Oaxaca</w:t>
      </w:r>
      <w:r w:rsidR="000A21C1">
        <w:rPr>
          <w:rFonts w:ascii="Arial" w:hAnsi="Arial" w:cs="Arial"/>
          <w:sz w:val="24"/>
          <w:szCs w:val="24"/>
        </w:rPr>
        <w:t>,</w:t>
      </w:r>
      <w:r w:rsidR="00B122CC">
        <w:rPr>
          <w:rFonts w:ascii="Arial" w:hAnsi="Arial" w:cs="Arial"/>
          <w:sz w:val="24"/>
          <w:szCs w:val="24"/>
        </w:rPr>
        <w:t xml:space="preserve"> y que de la lectura hecha al escrito de demanda, se advierte que el actor percibía otros conceptos además de su salario base, y que en virtud de no obrar recibo de pago alguno en el que se advierta dicha situación, esta Sala se encuentra imposibilitada para conocer con exactitud que conceptos además de su salario base percibía, sin que dicha situación sea impedimento para concluir que el hoy actor percibía otras prestaciones además de su suelo base</w:t>
      </w:r>
      <w:r w:rsidR="003C1A76">
        <w:rPr>
          <w:rFonts w:ascii="Arial" w:hAnsi="Arial" w:cs="Arial"/>
          <w:sz w:val="24"/>
          <w:szCs w:val="24"/>
        </w:rPr>
        <w:t>, es</w:t>
      </w:r>
      <w:r w:rsidR="003C1A76" w:rsidRPr="00BD4FC7">
        <w:rPr>
          <w:rFonts w:ascii="Arial" w:hAnsi="Arial" w:cs="Arial"/>
          <w:sz w:val="24"/>
          <w:szCs w:val="24"/>
        </w:rPr>
        <w:t xml:space="preserve"> decir que esa cantidad era la que recibía mensualmente (con excepción de las prestaciones que se otorgan de manera anual</w:t>
      </w:r>
      <w:r w:rsidR="003C1A76">
        <w:rPr>
          <w:rFonts w:ascii="Arial" w:hAnsi="Arial" w:cs="Arial"/>
          <w:sz w:val="24"/>
          <w:szCs w:val="24"/>
        </w:rPr>
        <w:t xml:space="preserve"> y previo descuentos que se configuraran</w:t>
      </w:r>
      <w:r w:rsidR="003C1A76" w:rsidRPr="00BD4FC7">
        <w:rPr>
          <w:rFonts w:ascii="Arial" w:hAnsi="Arial" w:cs="Arial"/>
          <w:sz w:val="24"/>
          <w:szCs w:val="24"/>
        </w:rPr>
        <w:t xml:space="preserve">) hasta el día que prestó sus servicios como </w:t>
      </w:r>
      <w:r w:rsidR="00EF2547">
        <w:rPr>
          <w:rFonts w:ascii="Arial" w:hAnsi="Arial" w:cs="Arial"/>
          <w:sz w:val="24"/>
          <w:szCs w:val="24"/>
        </w:rPr>
        <w:t>***** *****</w:t>
      </w:r>
      <w:r w:rsidR="003C1A76">
        <w:rPr>
          <w:rFonts w:ascii="Arial" w:hAnsi="Arial" w:cs="Arial"/>
          <w:sz w:val="24"/>
          <w:szCs w:val="24"/>
        </w:rPr>
        <w:t>,</w:t>
      </w:r>
      <w:r w:rsidR="003C1A76" w:rsidRPr="00BD4FC7">
        <w:rPr>
          <w:rFonts w:ascii="Arial" w:hAnsi="Arial" w:cs="Arial"/>
          <w:sz w:val="24"/>
          <w:szCs w:val="24"/>
        </w:rPr>
        <w:t xml:space="preserve"> percepciones recibidas de manera periódica con motivo de su trabajo</w:t>
      </w:r>
      <w:r w:rsidR="00F5528D" w:rsidRPr="00BD4FC7">
        <w:rPr>
          <w:rFonts w:ascii="Arial" w:hAnsi="Arial" w:cs="Arial"/>
          <w:sz w:val="24"/>
          <w:szCs w:val="24"/>
        </w:rPr>
        <w:t>, configurándose con ello el concepto de salario integrado al que hace referencia el artículo 84 de la Ley Federal de</w:t>
      </w:r>
      <w:r w:rsidR="00F5528D">
        <w:rPr>
          <w:rFonts w:ascii="Arial" w:hAnsi="Arial" w:cs="Arial"/>
          <w:sz w:val="24"/>
          <w:szCs w:val="24"/>
        </w:rPr>
        <w:t>l Trabajo que a la letra dice:</w:t>
      </w:r>
      <w:r w:rsidR="00156BE5">
        <w:rPr>
          <w:rFonts w:ascii="Arial" w:hAnsi="Arial" w:cs="Arial"/>
          <w:sz w:val="24"/>
          <w:szCs w:val="24"/>
        </w:rPr>
        <w:t xml:space="preserve"> </w:t>
      </w:r>
    </w:p>
    <w:p w14:paraId="16EF3FCA" w14:textId="77777777" w:rsidR="00F5528D" w:rsidRPr="00A422B8" w:rsidRDefault="00F5528D" w:rsidP="00F5528D">
      <w:pPr>
        <w:ind w:left="567"/>
        <w:jc w:val="both"/>
        <w:rPr>
          <w:rFonts w:ascii="Arial" w:hAnsi="Arial" w:cs="Arial"/>
          <w:i/>
          <w:sz w:val="24"/>
          <w:szCs w:val="24"/>
        </w:rPr>
      </w:pPr>
      <w:r>
        <w:rPr>
          <w:rFonts w:ascii="Arial" w:hAnsi="Arial" w:cs="Arial"/>
          <w:b/>
          <w:i/>
          <w:sz w:val="24"/>
          <w:szCs w:val="24"/>
        </w:rPr>
        <w:t>“</w:t>
      </w:r>
      <w:r w:rsidRPr="00A422B8">
        <w:rPr>
          <w:rFonts w:ascii="Arial" w:hAnsi="Arial" w:cs="Arial"/>
          <w:b/>
          <w:i/>
          <w:sz w:val="24"/>
          <w:szCs w:val="24"/>
        </w:rPr>
        <w:t>Artículo 84.-</w:t>
      </w:r>
      <w:r w:rsidRPr="00A422B8">
        <w:rPr>
          <w:rFonts w:ascii="Arial" w:hAnsi="Arial" w:cs="Arial"/>
          <w:i/>
          <w:sz w:val="24"/>
          <w:szCs w:val="24"/>
        </w:rPr>
        <w:t xml:space="preserve"> El salario se integra con los pagos hechos en efectivo por cuota diaria, gratificaciones, percepciones, habitación, primas, comisiones, prestaciones en especie y cualquiera otra cantidad o prestación que se entregue al trabajador por su trabajo.</w:t>
      </w:r>
      <w:r>
        <w:rPr>
          <w:rFonts w:ascii="Arial" w:hAnsi="Arial" w:cs="Arial"/>
          <w:i/>
          <w:sz w:val="24"/>
          <w:szCs w:val="24"/>
        </w:rPr>
        <w:t>”</w:t>
      </w:r>
    </w:p>
    <w:p w14:paraId="736EEB71" w14:textId="1C8AA0E3" w:rsidR="00F5528D" w:rsidRPr="00BD4FC7" w:rsidRDefault="000367AC" w:rsidP="00F5528D">
      <w:pPr>
        <w:spacing w:line="360" w:lineRule="auto"/>
        <w:ind w:firstLine="567"/>
        <w:jc w:val="both"/>
        <w:rPr>
          <w:rFonts w:ascii="Arial" w:hAnsi="Arial" w:cs="Arial"/>
          <w:sz w:val="24"/>
          <w:szCs w:val="24"/>
        </w:rPr>
      </w:pPr>
      <w:r>
        <w:rPr>
          <w:rFonts w:ascii="Arial" w:hAnsi="Arial" w:cs="Arial"/>
          <w:sz w:val="24"/>
          <w:szCs w:val="24"/>
        </w:rPr>
        <w:t>S</w:t>
      </w:r>
      <w:r w:rsidR="00F5528D" w:rsidRPr="00BD4FC7">
        <w:rPr>
          <w:rFonts w:ascii="Arial" w:hAnsi="Arial" w:cs="Arial"/>
          <w:sz w:val="24"/>
          <w:szCs w:val="24"/>
        </w:rPr>
        <w:t>irve de sustento</w:t>
      </w:r>
      <w:r>
        <w:rPr>
          <w:rFonts w:ascii="Arial" w:hAnsi="Arial" w:cs="Arial"/>
          <w:sz w:val="24"/>
          <w:szCs w:val="24"/>
        </w:rPr>
        <w:t xml:space="preserve"> a lo anterior,</w:t>
      </w:r>
      <w:r w:rsidR="00F5528D" w:rsidRPr="00BD4FC7">
        <w:rPr>
          <w:rFonts w:ascii="Arial" w:hAnsi="Arial" w:cs="Arial"/>
          <w:sz w:val="24"/>
          <w:szCs w:val="24"/>
        </w:rPr>
        <w:t xml:space="preserve"> la tesis</w:t>
      </w:r>
      <w:r>
        <w:rPr>
          <w:rStyle w:val="Refdenotaalpie"/>
          <w:rFonts w:ascii="Arial" w:hAnsi="Arial" w:cs="Arial"/>
          <w:sz w:val="24"/>
          <w:szCs w:val="24"/>
        </w:rPr>
        <w:footnoteReference w:id="2"/>
      </w:r>
      <w:r w:rsidR="00F5528D" w:rsidRPr="00BD4FC7">
        <w:rPr>
          <w:rFonts w:ascii="Arial" w:hAnsi="Arial" w:cs="Arial"/>
          <w:sz w:val="24"/>
          <w:szCs w:val="24"/>
        </w:rPr>
        <w:t xml:space="preserve"> b</w:t>
      </w:r>
      <w:r w:rsidR="00F5528D">
        <w:rPr>
          <w:rFonts w:ascii="Arial" w:hAnsi="Arial" w:cs="Arial"/>
          <w:sz w:val="24"/>
          <w:szCs w:val="24"/>
        </w:rPr>
        <w:t>ajo el rubro y texto siguiente:</w:t>
      </w:r>
    </w:p>
    <w:p w14:paraId="014B3DB3" w14:textId="77777777" w:rsidR="00F5528D" w:rsidRPr="00662EB6" w:rsidRDefault="00F5528D" w:rsidP="00F5528D">
      <w:pPr>
        <w:ind w:left="567"/>
        <w:jc w:val="both"/>
        <w:rPr>
          <w:rFonts w:ascii="Arial" w:hAnsi="Arial" w:cs="Arial"/>
          <w:i/>
          <w:sz w:val="24"/>
          <w:szCs w:val="24"/>
        </w:rPr>
      </w:pPr>
      <w:r>
        <w:rPr>
          <w:rFonts w:ascii="Arial" w:hAnsi="Arial" w:cs="Arial"/>
          <w:b/>
          <w:i/>
          <w:sz w:val="24"/>
          <w:szCs w:val="24"/>
        </w:rPr>
        <w:t>“</w:t>
      </w:r>
      <w:r w:rsidRPr="00662EB6">
        <w:rPr>
          <w:rFonts w:ascii="Arial" w:hAnsi="Arial" w:cs="Arial"/>
          <w:b/>
          <w:i/>
          <w:sz w:val="24"/>
          <w:szCs w:val="24"/>
        </w:rPr>
        <w:t>SALARIO INTEGRADO. CARACTERÍSTICAS QUE DEBEN REUNIR SUS COMPONENTES PARA QUE FORMEN PARTE DE AQUÉL.</w:t>
      </w:r>
      <w:r w:rsidRPr="00662EB6">
        <w:rPr>
          <w:rFonts w:ascii="Arial" w:hAnsi="Arial" w:cs="Arial"/>
          <w:i/>
          <w:sz w:val="24"/>
          <w:szCs w:val="24"/>
        </w:rPr>
        <w:t xml:space="preserve"> La Segunda Sala de la Suprema Corte de Justicia de la Nación, en diversos criterios jurisprudenciales, ha definido al salario integrado como el conjunto de componentes que, sumados a la cuota diaria percibida por un trabajador, ya sea en dinero o en especie, le significan un beneficio superior al señalado en la ley. Ahora bien, para determinar si un componente del salario es o no parte integrante de él, debe reunir las características siguientes: a) Que se entregue a cambio del trabajo y no para realizar éste; b) Que se perciba de manera ordinaria y permanentemente; c) Que a pesar de resarcir gastos extraordinarios, su pago no se encuentre condicionado a que se efectúen todos ellos, es decir, que la forma en que se encuentre pactado no impida su libre disposición para formar parte del salario de los trabajadores; y, d) La variabilidad no es una característica distintiva en la determinación de integración salarial, esto es, pueden ser variables como las comisiones o gratificaciones. En esta tesitura, de no cumplirse las características anteriores no puede considerarse a la percepción como parte integrante del salario.</w:t>
      </w:r>
      <w:r>
        <w:rPr>
          <w:rFonts w:ascii="Arial" w:hAnsi="Arial" w:cs="Arial"/>
          <w:i/>
          <w:sz w:val="24"/>
          <w:szCs w:val="24"/>
        </w:rPr>
        <w:t>”</w:t>
      </w:r>
    </w:p>
    <w:p w14:paraId="3E8AA204" w14:textId="74DC084F" w:rsidR="00F5528D" w:rsidRPr="00BD4FC7" w:rsidRDefault="001D347D" w:rsidP="00F5528D">
      <w:pPr>
        <w:spacing w:line="360" w:lineRule="auto"/>
        <w:ind w:firstLine="567"/>
        <w:jc w:val="both"/>
        <w:rPr>
          <w:rFonts w:ascii="Arial" w:hAnsi="Arial" w:cs="Arial"/>
          <w:sz w:val="24"/>
          <w:szCs w:val="24"/>
        </w:rPr>
      </w:pPr>
      <w:r>
        <w:rPr>
          <w:rFonts w:ascii="Arial" w:hAnsi="Arial" w:cs="Arial"/>
          <w:sz w:val="24"/>
          <w:szCs w:val="24"/>
        </w:rPr>
        <w:lastRenderedPageBreak/>
        <w:t>Asimismo, sirve de sustento</w:t>
      </w:r>
      <w:r w:rsidR="00F5528D" w:rsidRPr="00BD4FC7">
        <w:rPr>
          <w:rFonts w:ascii="Arial" w:hAnsi="Arial" w:cs="Arial"/>
          <w:sz w:val="24"/>
          <w:szCs w:val="24"/>
        </w:rPr>
        <w:t>, por analogía sustancial la tesis</w:t>
      </w:r>
      <w:r>
        <w:rPr>
          <w:rStyle w:val="Refdenotaalpie"/>
          <w:rFonts w:ascii="Arial" w:hAnsi="Arial" w:cs="Arial"/>
          <w:sz w:val="24"/>
          <w:szCs w:val="24"/>
        </w:rPr>
        <w:footnoteReference w:id="3"/>
      </w:r>
      <w:r w:rsidR="00F5528D" w:rsidRPr="00BD4FC7">
        <w:rPr>
          <w:rFonts w:ascii="Arial" w:hAnsi="Arial" w:cs="Arial"/>
          <w:sz w:val="24"/>
          <w:szCs w:val="24"/>
        </w:rPr>
        <w:t xml:space="preserve"> ba</w:t>
      </w:r>
      <w:r w:rsidR="00F5528D">
        <w:rPr>
          <w:rFonts w:ascii="Arial" w:hAnsi="Arial" w:cs="Arial"/>
          <w:sz w:val="24"/>
          <w:szCs w:val="24"/>
        </w:rPr>
        <w:t>jo el rubro y texto siguiente:</w:t>
      </w:r>
    </w:p>
    <w:p w14:paraId="677650D0" w14:textId="77777777" w:rsidR="00F5528D" w:rsidRPr="00E40096" w:rsidRDefault="00F5528D" w:rsidP="00F5528D">
      <w:pPr>
        <w:ind w:left="567"/>
        <w:jc w:val="both"/>
        <w:rPr>
          <w:rFonts w:ascii="Arial" w:hAnsi="Arial" w:cs="Arial"/>
          <w:i/>
          <w:sz w:val="24"/>
          <w:szCs w:val="24"/>
        </w:rPr>
      </w:pPr>
      <w:r w:rsidRPr="00E40096">
        <w:rPr>
          <w:rFonts w:ascii="Arial" w:hAnsi="Arial" w:cs="Arial"/>
          <w:b/>
          <w:i/>
          <w:sz w:val="24"/>
          <w:szCs w:val="24"/>
        </w:rPr>
        <w:t>“BONOS O VALES DE DESPENSA. CUANDO SE ENTREGAN AL TRABAJADOR DE MANERA ORDINARIA Y PERMANENTE FORMAN PARTE DEL SALARIO CONFORME AL ARTÍCULO 84 DE LA LEY FEDERAL DEL TRABAJO.</w:t>
      </w:r>
      <w:r w:rsidRPr="00E40096">
        <w:rPr>
          <w:rFonts w:ascii="Arial" w:hAnsi="Arial" w:cs="Arial"/>
          <w:i/>
          <w:sz w:val="24"/>
          <w:szCs w:val="24"/>
        </w:rPr>
        <w:t xml:space="preserve"> El artículo 84 de la Ley Federal del Trabajo prevé que el salario no sólo se integra con el pago en efectivo, sino también por otros conceptos, entre ellos, cualquier cantidad o prestación (económica o en especie) que se entregue al trabajador por su trabajo. Por otra parte, la Segunda Sala de la Suprema Corte de Justicia de la Nación, al resolver la contradicción de tesis 86/2002-SS, de la que derivó la tesis 2a./J. 121/2002, publicada en el Semanario Judicial de la Federación y su Gaceta, Novena Época, Tomo XVI, diciembre de 2002, página 253, de rubro: "SEGURO SOCIAL. LA AYUDA PARA ACTIVIDADES CULTURALES Y RECREATIVAS, PREVISTA EN LA CLÁUSULA 47, PÁRRAFOS NOVENO Y DÉCIMO, DEL CONTRATO COLECTIVO DE TRABAJO DE ESE INSTITUTO, DEBE CONSIDERARSE COMO PARTE INTEGRANTE DEL SALARIO.", determinó que la acepción amplia de los conceptos integradores del salario tiene su origen en los antecedentes histórico-legislativos de la exposición de motivos de la Ley Federal del Trabajo, en especial, del referido artículo 84; en tal virtud, relacionando este precepto con la contradicción de tesis citada, se colige que si el trabajador, además del pago en efectivo, percibe de manera ordinaria y constante prestaciones en especie y cualquier otra cantidad derivada de su trabajo, deben considerarse parte integrante de su salario. Consecuentemente, si queda acreditado que el empleado, además del numerario en efectivo percibía como prestación ordinaria y constante el concepto denominado "bono de despensa", es incuestionable que tal prestación, en términos del artículo 84 de la legislación laboral, forma parte del salario.</w:t>
      </w:r>
      <w:r>
        <w:rPr>
          <w:rFonts w:ascii="Arial" w:hAnsi="Arial" w:cs="Arial"/>
          <w:i/>
          <w:sz w:val="24"/>
          <w:szCs w:val="24"/>
        </w:rPr>
        <w:t>”</w:t>
      </w:r>
    </w:p>
    <w:p w14:paraId="517F5280" w14:textId="77777777" w:rsidR="00533629" w:rsidRDefault="00F5528D" w:rsidP="00F5528D">
      <w:pPr>
        <w:spacing w:line="360" w:lineRule="auto"/>
        <w:ind w:firstLine="567"/>
        <w:jc w:val="both"/>
        <w:rPr>
          <w:rFonts w:ascii="Arial" w:hAnsi="Arial" w:cs="Arial"/>
          <w:sz w:val="24"/>
          <w:szCs w:val="24"/>
        </w:rPr>
      </w:pPr>
      <w:r w:rsidRPr="00BD4FC7">
        <w:rPr>
          <w:rFonts w:ascii="Arial" w:hAnsi="Arial" w:cs="Arial"/>
          <w:sz w:val="24"/>
          <w:szCs w:val="24"/>
        </w:rPr>
        <w:t>Derivado de lo anterior y protegiendo la progresividad de los derechos humanos específicamente el derecho humano de igualdad consagrado en el artículo 1° de la Constitución Política de los Estados Unidos Mexicanos, así como el derecho humano a percibir un salario digno producto de un trabajo realizado contenido en los artículos 5 primer y tercer párrafo, 123 apartado B y 127, de la Constitución Política de los Estados Unidos Mexicanos, y en el Convenio 102 de la Organización Internacional del Trabajo, relativo a la Norma Mínima de la Seguridad Soc</w:t>
      </w:r>
      <w:r w:rsidR="00533629">
        <w:rPr>
          <w:rFonts w:ascii="Arial" w:hAnsi="Arial" w:cs="Arial"/>
          <w:sz w:val="24"/>
          <w:szCs w:val="24"/>
        </w:rPr>
        <w:t>ial, es prudente concluir que la</w:t>
      </w:r>
      <w:r w:rsidRPr="00BD4FC7">
        <w:rPr>
          <w:rFonts w:ascii="Arial" w:hAnsi="Arial" w:cs="Arial"/>
          <w:sz w:val="24"/>
          <w:szCs w:val="24"/>
        </w:rPr>
        <w:t xml:space="preserve"> única diferencia de existe entre los trabajadores de confianza y de base, es la estabilidad laboral y probablemente la percepción de otras remuneraciones dentro de su salario integrado, pero que en el ámbito material de desempeño de labores, son idénticas, siendo aplicable el aforismo jurídico</w:t>
      </w:r>
      <w:r w:rsidR="00603E8E">
        <w:rPr>
          <w:rFonts w:ascii="Arial" w:hAnsi="Arial" w:cs="Arial"/>
          <w:sz w:val="24"/>
          <w:szCs w:val="24"/>
        </w:rPr>
        <w:t xml:space="preserve"> que reza</w:t>
      </w:r>
      <w:r w:rsidRPr="00BD4FC7">
        <w:rPr>
          <w:rFonts w:ascii="Arial" w:hAnsi="Arial" w:cs="Arial"/>
          <w:sz w:val="24"/>
          <w:szCs w:val="24"/>
        </w:rPr>
        <w:t xml:space="preserve">: </w:t>
      </w:r>
      <w:r w:rsidRPr="00065160">
        <w:rPr>
          <w:rFonts w:ascii="Arial" w:hAnsi="Arial" w:cs="Arial"/>
          <w:i/>
          <w:sz w:val="24"/>
          <w:szCs w:val="24"/>
        </w:rPr>
        <w:t>“a trabajo igual, salario igual”</w:t>
      </w:r>
      <w:r w:rsidRPr="00BD4FC7">
        <w:rPr>
          <w:rFonts w:ascii="Arial" w:hAnsi="Arial" w:cs="Arial"/>
          <w:sz w:val="24"/>
          <w:szCs w:val="24"/>
        </w:rPr>
        <w:t xml:space="preserve">. </w:t>
      </w:r>
    </w:p>
    <w:p w14:paraId="41072D4E" w14:textId="706478BB" w:rsidR="00F5528D" w:rsidRPr="00BD4FC7" w:rsidRDefault="00F5528D" w:rsidP="00F5528D">
      <w:pPr>
        <w:spacing w:line="360" w:lineRule="auto"/>
        <w:ind w:firstLine="567"/>
        <w:jc w:val="both"/>
        <w:rPr>
          <w:rFonts w:ascii="Arial" w:hAnsi="Arial" w:cs="Arial"/>
          <w:sz w:val="24"/>
          <w:szCs w:val="24"/>
        </w:rPr>
      </w:pPr>
      <w:r w:rsidRPr="00BD4FC7">
        <w:rPr>
          <w:rFonts w:ascii="Arial" w:hAnsi="Arial" w:cs="Arial"/>
          <w:sz w:val="24"/>
          <w:szCs w:val="24"/>
        </w:rPr>
        <w:lastRenderedPageBreak/>
        <w:t>Sirve de apoyo a lo anterior por analogía sustancial la tesis</w:t>
      </w:r>
      <w:r w:rsidR="00533629">
        <w:rPr>
          <w:rStyle w:val="Refdenotaalpie"/>
          <w:rFonts w:ascii="Arial" w:hAnsi="Arial" w:cs="Arial"/>
          <w:sz w:val="24"/>
          <w:szCs w:val="24"/>
        </w:rPr>
        <w:footnoteReference w:id="4"/>
      </w:r>
      <w:r w:rsidRPr="00BD4FC7">
        <w:rPr>
          <w:rFonts w:ascii="Arial" w:hAnsi="Arial" w:cs="Arial"/>
          <w:sz w:val="24"/>
          <w:szCs w:val="24"/>
        </w:rPr>
        <w:t>, ba</w:t>
      </w:r>
      <w:r>
        <w:rPr>
          <w:rFonts w:ascii="Arial" w:hAnsi="Arial" w:cs="Arial"/>
          <w:sz w:val="24"/>
          <w:szCs w:val="24"/>
        </w:rPr>
        <w:t>jo el rubro y texto siguiente:</w:t>
      </w:r>
    </w:p>
    <w:p w14:paraId="4B61D8D6" w14:textId="77777777" w:rsidR="00F5528D" w:rsidRPr="00065160" w:rsidRDefault="00F5528D" w:rsidP="00F5528D">
      <w:pPr>
        <w:ind w:left="567"/>
        <w:jc w:val="both"/>
        <w:rPr>
          <w:rFonts w:ascii="Arial" w:hAnsi="Arial" w:cs="Arial"/>
          <w:i/>
          <w:sz w:val="24"/>
          <w:szCs w:val="24"/>
        </w:rPr>
      </w:pPr>
      <w:r w:rsidRPr="00065160">
        <w:rPr>
          <w:rFonts w:ascii="Arial" w:hAnsi="Arial" w:cs="Arial"/>
          <w:b/>
          <w:i/>
          <w:sz w:val="24"/>
          <w:szCs w:val="24"/>
        </w:rPr>
        <w:t>“CONDICIONES GENERALES DE TRABAJO DEL AYUNTAMIENTO CONSTITUCIONAL DE TONALÁ, JALISCO. AL EXCLUIR DE SU APLICACIÓN A LOS TRABAJADORES POR OBRA Y TIEMPO DETERMINADO Y NO SINDICALIZADOS, QUE LABORAN EN IDÉNTICAS CONDICIONES DE LOS DE BASE Y SINDICALIZADOS, TRANSGREDE LOS DERECHOS HUMANOS DE IGUALDAD Y NO DISCRIMINACIÓN PREVISTOS EN LOS ARTÍCULOS 1o., QUINTO PÁRRAFO Y 123, APARTADO B, FRACCIÓN V, DE LA CONSTITUCIÓN FEDERAL, ASÍ COMO EL 23 DE LA DECLARACIÓN UNIVERSAL DE LOS DERECHOS HUMANOS.</w:t>
      </w:r>
      <w:r w:rsidRPr="00065160">
        <w:rPr>
          <w:rFonts w:ascii="Arial" w:hAnsi="Arial" w:cs="Arial"/>
          <w:i/>
          <w:sz w:val="24"/>
          <w:szCs w:val="24"/>
        </w:rPr>
        <w:t xml:space="preserve"> Del artículo 1o., quinto párrafo, de la Constitución Política de los Estados Unidos Mexicanos, se advierte la prohibición de todo tipo de discriminación que atente contra la dignidad humana y tenga por objeto anular o menoscabar los derechos y libertades de las personas; a su vez, el artículo 123, apartado B, fracción V, constitucional, señala que a trabajo igual corresponderá salario igual, sin tener en cuenta el sexo; asimismo, el artículo 23 de la Declaración Universal de los Derechos Humanos establece que toda persona tiene derecho a condiciones equitativas y satisfactorias de trabajo; así como, sin discriminación alguna, a igual salario por trabajo igual, y a una remuneración equitativa y satisfactoria. En este sentido, el artículo 1 de las Condiciones Generales de Trabajo del Ayuntamiento Constitucional de Tonalá, Jalisco, que excluye a los trabajadores por tiempo y obra determinada y no sindicalizados, de la aplicación de dichas condiciones generales, transgrede los derechos humanos de igualdad y no discriminación, porque del análisis de los artículos 2o. y 89 de la Ley para los Servidores Públicos del Estado de Jalisco y sus Municipios, se advierte que tiene el carácter de servidor público toda persona que presta un trabajo personal subordinado, físico o intelectual, sin distinción alguna. Por tanto, si el Ayuntamiento Constitucional de Tonalá, Jalisco, que se rige por la Ley para los Servidores Públicos del Estado de Jalisco y sus Municipios, al excluir, con fundamento en el citado artículo 1 de las Condiciones Generales de Trabajo, de las prestaciones o beneficios a los trabajadores no sindicalizados o trabajadores por tiempo y obra determinada, que laboran en idénticas condiciones de trabajo que los sindicalizados o de base, es inconstitucional e inconvencional, ya que tal diferenciación: a) no tiene una justificación constitucional; b) la restricción no es adecuada, idónea y apta para lograr un fin válido; c) resulta innecesaria para alcanzar alguna finalidad legal; por lo que su aplicación constituye una desigualdad y discriminación para los servidores públicos no sindicalizados o con nombramientos temporales; y, d) carece de razonabilidad jurídica, porque no persigue ningún fin legítimo, al establecer un trato preferencial en cuanto a las diferencias en los emolumentos a los trabajadores que laboran en igualdad de condiciones, por el solo hecho de ser de base o sindicalizados, estableciendo un régimen de excepción y perjuicio, contrario a los derechos fundamentales de igualdad y no discriminación en relación con el derecho al trabajo.</w:t>
      </w:r>
      <w:r>
        <w:rPr>
          <w:rFonts w:ascii="Arial" w:hAnsi="Arial" w:cs="Arial"/>
          <w:i/>
          <w:sz w:val="24"/>
          <w:szCs w:val="24"/>
        </w:rPr>
        <w:t>”</w:t>
      </w:r>
    </w:p>
    <w:p w14:paraId="03C858DF" w14:textId="02349D06" w:rsidR="00F5528D" w:rsidRPr="00BD4FC7" w:rsidRDefault="00F5528D" w:rsidP="00F5528D">
      <w:pPr>
        <w:spacing w:line="360" w:lineRule="auto"/>
        <w:ind w:firstLine="567"/>
        <w:jc w:val="both"/>
        <w:rPr>
          <w:rFonts w:ascii="Arial" w:hAnsi="Arial" w:cs="Arial"/>
          <w:sz w:val="24"/>
          <w:szCs w:val="24"/>
        </w:rPr>
      </w:pPr>
      <w:r w:rsidRPr="00BD4FC7">
        <w:rPr>
          <w:rFonts w:ascii="Arial" w:hAnsi="Arial" w:cs="Arial"/>
          <w:sz w:val="24"/>
          <w:szCs w:val="24"/>
        </w:rPr>
        <w:lastRenderedPageBreak/>
        <w:t xml:space="preserve">Por ello, al momento de jubilarse, el monto que recibirá la persona jubilada no será un salario, </w:t>
      </w:r>
      <w:r w:rsidR="00B025B6" w:rsidRPr="00BD4FC7">
        <w:rPr>
          <w:rFonts w:ascii="Arial" w:hAnsi="Arial" w:cs="Arial"/>
          <w:sz w:val="24"/>
          <w:szCs w:val="24"/>
        </w:rPr>
        <w:t>sino</w:t>
      </w:r>
      <w:r w:rsidRPr="00BD4FC7">
        <w:rPr>
          <w:rFonts w:ascii="Arial" w:hAnsi="Arial" w:cs="Arial"/>
          <w:sz w:val="24"/>
          <w:szCs w:val="24"/>
        </w:rPr>
        <w:t xml:space="preserve"> una cantidad pecuniaria producto de los años de servicio prestados a un patrón y que cotizó determinada cantidad según la Ley de Pensiones previamente establecida, en ese tenor, el fin que persigue la jubilación es disfrutar de una vejez o bien de una etapa de vida posterior a la vida laboral con la seguridad de tener una cantidad pecuniaria segura para solventar gastos y necesidades derivadas del júbilo de ya haber dedicado gran parte de la vida humana al trabajo prestado, tal y como lo deduce la etimología de la palabra jubilación, misma que proviene del latín </w:t>
      </w:r>
      <w:r w:rsidRPr="00B51159">
        <w:rPr>
          <w:rFonts w:ascii="Arial" w:hAnsi="Arial" w:cs="Arial"/>
          <w:i/>
          <w:sz w:val="24"/>
          <w:szCs w:val="24"/>
        </w:rPr>
        <w:t>“</w:t>
      </w:r>
      <w:proofErr w:type="spellStart"/>
      <w:r w:rsidRPr="00B51159">
        <w:rPr>
          <w:rFonts w:ascii="Arial" w:hAnsi="Arial" w:cs="Arial"/>
          <w:i/>
          <w:sz w:val="24"/>
          <w:szCs w:val="24"/>
        </w:rPr>
        <w:t>iubilare</w:t>
      </w:r>
      <w:proofErr w:type="spellEnd"/>
      <w:r w:rsidRPr="00B51159">
        <w:rPr>
          <w:rFonts w:ascii="Arial" w:hAnsi="Arial" w:cs="Arial"/>
          <w:i/>
          <w:sz w:val="24"/>
          <w:szCs w:val="24"/>
        </w:rPr>
        <w:t>”</w:t>
      </w:r>
      <w:r w:rsidRPr="00BD4FC7">
        <w:rPr>
          <w:rFonts w:ascii="Arial" w:hAnsi="Arial" w:cs="Arial"/>
          <w:sz w:val="24"/>
          <w:szCs w:val="24"/>
        </w:rPr>
        <w:t xml:space="preserve"> que significa </w:t>
      </w:r>
      <w:r w:rsidRPr="00B51159">
        <w:rPr>
          <w:rFonts w:ascii="Arial" w:hAnsi="Arial" w:cs="Arial"/>
          <w:i/>
          <w:sz w:val="24"/>
          <w:szCs w:val="24"/>
        </w:rPr>
        <w:t>“gritar de alegría”</w:t>
      </w:r>
      <w:r w:rsidRPr="00BD4FC7">
        <w:rPr>
          <w:rFonts w:ascii="Arial" w:hAnsi="Arial" w:cs="Arial"/>
          <w:sz w:val="24"/>
          <w:szCs w:val="24"/>
        </w:rPr>
        <w:t xml:space="preserve"> o </w:t>
      </w:r>
      <w:r w:rsidRPr="00B51159">
        <w:rPr>
          <w:rFonts w:ascii="Arial" w:hAnsi="Arial" w:cs="Arial"/>
          <w:i/>
          <w:sz w:val="24"/>
          <w:szCs w:val="24"/>
        </w:rPr>
        <w:t>“</w:t>
      </w:r>
      <w:proofErr w:type="spellStart"/>
      <w:r w:rsidRPr="00B51159">
        <w:rPr>
          <w:rFonts w:ascii="Arial" w:hAnsi="Arial" w:cs="Arial"/>
          <w:i/>
          <w:sz w:val="24"/>
          <w:szCs w:val="24"/>
        </w:rPr>
        <w:t>iubilatio</w:t>
      </w:r>
      <w:proofErr w:type="spellEnd"/>
      <w:r w:rsidRPr="00B51159">
        <w:rPr>
          <w:rFonts w:ascii="Arial" w:hAnsi="Arial" w:cs="Arial"/>
          <w:i/>
          <w:sz w:val="24"/>
          <w:szCs w:val="24"/>
        </w:rPr>
        <w:t>”</w:t>
      </w:r>
      <w:r w:rsidRPr="00BD4FC7">
        <w:rPr>
          <w:rFonts w:ascii="Arial" w:hAnsi="Arial" w:cs="Arial"/>
          <w:sz w:val="24"/>
          <w:szCs w:val="24"/>
        </w:rPr>
        <w:t xml:space="preserve"> que significa </w:t>
      </w:r>
      <w:r w:rsidRPr="00B51159">
        <w:rPr>
          <w:rFonts w:ascii="Arial" w:hAnsi="Arial" w:cs="Arial"/>
          <w:i/>
          <w:sz w:val="24"/>
          <w:szCs w:val="24"/>
        </w:rPr>
        <w:t>“júbilo”</w:t>
      </w:r>
      <w:r w:rsidRPr="00BD4FC7">
        <w:rPr>
          <w:rFonts w:ascii="Arial" w:hAnsi="Arial" w:cs="Arial"/>
          <w:sz w:val="24"/>
          <w:szCs w:val="24"/>
        </w:rPr>
        <w:t>, en consecuencia, para que una persona dignamente pueda tener ese júbilo o alegría una vez concluida la etapa que dedicó a laborar, esta tiene derecho a recibir una pensi</w:t>
      </w:r>
      <w:r>
        <w:rPr>
          <w:rFonts w:ascii="Arial" w:hAnsi="Arial" w:cs="Arial"/>
          <w:sz w:val="24"/>
          <w:szCs w:val="24"/>
        </w:rPr>
        <w:t>ón para una jubilación exitosa.</w:t>
      </w:r>
    </w:p>
    <w:p w14:paraId="1DD0BD14" w14:textId="724C2EBE" w:rsidR="00B01C55" w:rsidRDefault="00C23D64" w:rsidP="00F5528D">
      <w:pPr>
        <w:spacing w:line="360" w:lineRule="auto"/>
        <w:ind w:firstLine="567"/>
        <w:jc w:val="both"/>
        <w:rPr>
          <w:rFonts w:ascii="Arial" w:hAnsi="Arial" w:cs="Arial"/>
          <w:sz w:val="24"/>
          <w:szCs w:val="24"/>
        </w:rPr>
      </w:pPr>
      <w:r>
        <w:rPr>
          <w:rFonts w:ascii="Arial" w:hAnsi="Arial" w:cs="Arial"/>
          <w:sz w:val="24"/>
          <w:szCs w:val="24"/>
        </w:rPr>
        <w:t>En relatadas consideraciones</w:t>
      </w:r>
      <w:r w:rsidR="00F5528D" w:rsidRPr="00BD4FC7">
        <w:rPr>
          <w:rFonts w:ascii="Arial" w:hAnsi="Arial" w:cs="Arial"/>
          <w:sz w:val="24"/>
          <w:szCs w:val="24"/>
        </w:rPr>
        <w:t xml:space="preserve">, esta Sala </w:t>
      </w:r>
      <w:r>
        <w:rPr>
          <w:rFonts w:ascii="Arial" w:hAnsi="Arial" w:cs="Arial"/>
          <w:sz w:val="24"/>
          <w:szCs w:val="24"/>
        </w:rPr>
        <w:t xml:space="preserve">Unitaria advierte que </w:t>
      </w:r>
      <w:r w:rsidR="00F5528D" w:rsidRPr="00BD4FC7">
        <w:rPr>
          <w:rFonts w:ascii="Arial" w:hAnsi="Arial" w:cs="Arial"/>
          <w:sz w:val="24"/>
          <w:szCs w:val="24"/>
        </w:rPr>
        <w:t>el s</w:t>
      </w:r>
      <w:r w:rsidR="00F5528D">
        <w:rPr>
          <w:rFonts w:ascii="Arial" w:hAnsi="Arial" w:cs="Arial"/>
          <w:sz w:val="24"/>
          <w:szCs w:val="24"/>
        </w:rPr>
        <w:t>ueldo integ</w:t>
      </w:r>
      <w:r w:rsidR="00156BE5">
        <w:rPr>
          <w:rFonts w:ascii="Arial" w:hAnsi="Arial" w:cs="Arial"/>
          <w:sz w:val="24"/>
          <w:szCs w:val="24"/>
        </w:rPr>
        <w:t>rado percibido por</w:t>
      </w:r>
      <w:r w:rsidR="00687AAE">
        <w:rPr>
          <w:rFonts w:ascii="Arial" w:hAnsi="Arial" w:cs="Arial"/>
          <w:sz w:val="24"/>
          <w:szCs w:val="24"/>
        </w:rPr>
        <w:t xml:space="preserve"> *****</w:t>
      </w:r>
      <w:r w:rsidR="007D07C3">
        <w:rPr>
          <w:rFonts w:ascii="Arial" w:hAnsi="Arial" w:cs="Arial"/>
          <w:bCs/>
          <w:spacing w:val="-3"/>
          <w:sz w:val="24"/>
          <w:szCs w:val="27"/>
          <w:lang w:val="es-ES_tradnl"/>
        </w:rPr>
        <w:t xml:space="preserve"> </w:t>
      </w:r>
      <w:r w:rsidR="00687AAE">
        <w:rPr>
          <w:rFonts w:ascii="Arial" w:hAnsi="Arial" w:cs="Arial"/>
          <w:bCs/>
          <w:spacing w:val="-3"/>
          <w:sz w:val="24"/>
          <w:szCs w:val="27"/>
          <w:lang w:val="es-ES_tradnl"/>
        </w:rPr>
        <w:t>*****</w:t>
      </w:r>
      <w:r w:rsidR="007D07C3">
        <w:rPr>
          <w:rFonts w:ascii="Arial" w:hAnsi="Arial" w:cs="Arial"/>
          <w:bCs/>
          <w:spacing w:val="-3"/>
          <w:sz w:val="24"/>
          <w:szCs w:val="27"/>
          <w:lang w:val="es-ES_tradnl"/>
        </w:rPr>
        <w:t xml:space="preserve"> </w:t>
      </w:r>
      <w:r w:rsidR="00687AAE">
        <w:rPr>
          <w:rFonts w:ascii="Arial" w:hAnsi="Arial" w:cs="Arial"/>
          <w:bCs/>
          <w:spacing w:val="-3"/>
          <w:sz w:val="24"/>
          <w:szCs w:val="27"/>
          <w:lang w:val="es-ES_tradnl"/>
        </w:rPr>
        <w:t>*****</w:t>
      </w:r>
      <w:r w:rsidR="00F5528D" w:rsidRPr="00BD4FC7">
        <w:rPr>
          <w:rFonts w:ascii="Arial" w:hAnsi="Arial" w:cs="Arial"/>
          <w:sz w:val="24"/>
          <w:szCs w:val="24"/>
        </w:rPr>
        <w:t xml:space="preserve"> </w:t>
      </w:r>
      <w:r w:rsidR="00156BE5">
        <w:rPr>
          <w:rFonts w:ascii="Arial" w:hAnsi="Arial" w:cs="Arial"/>
          <w:sz w:val="24"/>
          <w:szCs w:val="24"/>
        </w:rPr>
        <w:t xml:space="preserve">además de su salario base, </w:t>
      </w:r>
      <w:r w:rsidR="004909E5">
        <w:rPr>
          <w:rFonts w:ascii="Arial" w:hAnsi="Arial" w:cs="Arial"/>
          <w:sz w:val="24"/>
          <w:szCs w:val="24"/>
        </w:rPr>
        <w:t>éste</w:t>
      </w:r>
      <w:r w:rsidR="00156BE5">
        <w:rPr>
          <w:rFonts w:ascii="Arial" w:hAnsi="Arial" w:cs="Arial"/>
          <w:sz w:val="24"/>
          <w:szCs w:val="24"/>
        </w:rPr>
        <w:t xml:space="preserve"> percibía otros conceptos</w:t>
      </w:r>
      <w:r w:rsidR="00F03F62">
        <w:rPr>
          <w:rFonts w:ascii="Arial" w:hAnsi="Arial" w:cs="Arial"/>
          <w:sz w:val="24"/>
          <w:szCs w:val="24"/>
        </w:rPr>
        <w:t>,</w:t>
      </w:r>
      <w:r w:rsidR="00156BE5">
        <w:rPr>
          <w:rFonts w:ascii="Arial" w:hAnsi="Arial" w:cs="Arial"/>
          <w:sz w:val="24"/>
          <w:szCs w:val="24"/>
        </w:rPr>
        <w:t xml:space="preserve"> </w:t>
      </w:r>
      <w:r w:rsidR="00F5528D" w:rsidRPr="00BD4FC7">
        <w:rPr>
          <w:rFonts w:ascii="Arial" w:hAnsi="Arial" w:cs="Arial"/>
          <w:sz w:val="24"/>
          <w:szCs w:val="24"/>
        </w:rPr>
        <w:t xml:space="preserve">mismos que serán considerados como parte integral de su salario para la cuantificación de la pensión y </w:t>
      </w:r>
      <w:r w:rsidR="00F40735">
        <w:rPr>
          <w:rFonts w:ascii="Arial" w:hAnsi="Arial" w:cs="Arial"/>
          <w:sz w:val="24"/>
          <w:szCs w:val="24"/>
        </w:rPr>
        <w:t>que</w:t>
      </w:r>
      <w:r w:rsidR="00F5528D" w:rsidRPr="00BD4FC7">
        <w:rPr>
          <w:rFonts w:ascii="Arial" w:hAnsi="Arial" w:cs="Arial"/>
          <w:sz w:val="24"/>
          <w:szCs w:val="24"/>
        </w:rPr>
        <w:t xml:space="preserve"> debe ser otorgado aun cuando </w:t>
      </w:r>
      <w:r w:rsidR="00F40735">
        <w:rPr>
          <w:rFonts w:ascii="Arial" w:hAnsi="Arial" w:cs="Arial"/>
          <w:sz w:val="24"/>
          <w:szCs w:val="24"/>
        </w:rPr>
        <w:t>su sustento legal sea</w:t>
      </w:r>
      <w:r w:rsidR="00F5528D" w:rsidRPr="00BD4FC7">
        <w:rPr>
          <w:rFonts w:ascii="Arial" w:hAnsi="Arial" w:cs="Arial"/>
          <w:sz w:val="24"/>
          <w:szCs w:val="24"/>
        </w:rPr>
        <w:t xml:space="preserve"> una ley anterior a la </w:t>
      </w:r>
      <w:r w:rsidR="00F40735">
        <w:rPr>
          <w:rFonts w:ascii="Arial" w:hAnsi="Arial" w:cs="Arial"/>
          <w:sz w:val="24"/>
          <w:szCs w:val="24"/>
        </w:rPr>
        <w:t>actual</w:t>
      </w:r>
      <w:r w:rsidR="00F5528D" w:rsidRPr="00BD4FC7">
        <w:rPr>
          <w:rFonts w:ascii="Arial" w:hAnsi="Arial" w:cs="Arial"/>
          <w:sz w:val="24"/>
          <w:szCs w:val="24"/>
        </w:rPr>
        <w:t xml:space="preserve"> Ley de Pensiones para los Trabajadores del Gobierno del</w:t>
      </w:r>
      <w:r w:rsidR="00FA2825">
        <w:rPr>
          <w:rFonts w:ascii="Arial" w:hAnsi="Arial" w:cs="Arial"/>
          <w:sz w:val="24"/>
          <w:szCs w:val="24"/>
        </w:rPr>
        <w:t xml:space="preserve"> Estado de Oaxaca, sin embargo,</w:t>
      </w:r>
      <w:r w:rsidR="00F5528D" w:rsidRPr="00BD4FC7">
        <w:rPr>
          <w:rFonts w:ascii="Arial" w:hAnsi="Arial" w:cs="Arial"/>
          <w:sz w:val="24"/>
          <w:szCs w:val="24"/>
        </w:rPr>
        <w:t xml:space="preserve"> como lo indica el artículo 14 primer párrafo </w:t>
      </w:r>
      <w:r w:rsidR="00FA2825">
        <w:rPr>
          <w:rFonts w:ascii="Arial" w:hAnsi="Arial" w:cs="Arial"/>
          <w:sz w:val="24"/>
          <w:szCs w:val="24"/>
        </w:rPr>
        <w:t>de la Constitución Política de los Estados Unidos Mexicanos,</w:t>
      </w:r>
      <w:r w:rsidR="00F5528D" w:rsidRPr="00BD4FC7">
        <w:rPr>
          <w:rFonts w:ascii="Arial" w:hAnsi="Arial" w:cs="Arial"/>
          <w:sz w:val="24"/>
          <w:szCs w:val="24"/>
        </w:rPr>
        <w:t xml:space="preserve"> </w:t>
      </w:r>
      <w:r w:rsidR="00FA2825">
        <w:rPr>
          <w:rFonts w:ascii="Arial" w:hAnsi="Arial" w:cs="Arial"/>
          <w:sz w:val="24"/>
          <w:szCs w:val="24"/>
        </w:rPr>
        <w:t xml:space="preserve">el </w:t>
      </w:r>
      <w:r w:rsidR="00F5528D" w:rsidRPr="00BD4FC7">
        <w:rPr>
          <w:rFonts w:ascii="Arial" w:hAnsi="Arial" w:cs="Arial"/>
          <w:sz w:val="24"/>
          <w:szCs w:val="24"/>
        </w:rPr>
        <w:t xml:space="preserve">principio de la irretroactividad de la ley </w:t>
      </w:r>
      <w:r w:rsidR="00FA2825">
        <w:rPr>
          <w:rFonts w:ascii="Arial" w:hAnsi="Arial" w:cs="Arial"/>
          <w:sz w:val="24"/>
          <w:szCs w:val="24"/>
        </w:rPr>
        <w:t>no puede ser aplicada</w:t>
      </w:r>
      <w:r w:rsidR="00F5528D" w:rsidRPr="00BD4FC7">
        <w:rPr>
          <w:rFonts w:ascii="Arial" w:hAnsi="Arial" w:cs="Arial"/>
          <w:sz w:val="24"/>
          <w:szCs w:val="24"/>
        </w:rPr>
        <w:t xml:space="preserve"> en perjuicio de un gobernado, pero que</w:t>
      </w:r>
      <w:r w:rsidR="00FA2825">
        <w:rPr>
          <w:rFonts w:ascii="Arial" w:hAnsi="Arial" w:cs="Arial"/>
          <w:sz w:val="24"/>
          <w:szCs w:val="24"/>
        </w:rPr>
        <w:t xml:space="preserve"> mediante un control difuso de C</w:t>
      </w:r>
      <w:r w:rsidR="00F5528D" w:rsidRPr="00BD4FC7">
        <w:rPr>
          <w:rFonts w:ascii="Arial" w:hAnsi="Arial" w:cs="Arial"/>
          <w:sz w:val="24"/>
          <w:szCs w:val="24"/>
        </w:rPr>
        <w:t>onstitucionalidad</w:t>
      </w:r>
      <w:r w:rsidR="00FA2825">
        <w:rPr>
          <w:rFonts w:ascii="Arial" w:hAnsi="Arial" w:cs="Arial"/>
          <w:sz w:val="24"/>
          <w:szCs w:val="24"/>
        </w:rPr>
        <w:t>,</w:t>
      </w:r>
      <w:r w:rsidR="00F5528D" w:rsidRPr="00BD4FC7">
        <w:rPr>
          <w:rFonts w:ascii="Arial" w:hAnsi="Arial" w:cs="Arial"/>
          <w:sz w:val="24"/>
          <w:szCs w:val="24"/>
        </w:rPr>
        <w:t xml:space="preserve"> una disposición legal puede ser aplicada retroactivament</w:t>
      </w:r>
      <w:r w:rsidR="00B01C55">
        <w:rPr>
          <w:rFonts w:ascii="Arial" w:hAnsi="Arial" w:cs="Arial"/>
          <w:sz w:val="24"/>
          <w:szCs w:val="24"/>
        </w:rPr>
        <w:t>e en beneficio de un gobernado.</w:t>
      </w:r>
    </w:p>
    <w:p w14:paraId="38060F4C" w14:textId="3C9525F1" w:rsidR="00F5528D" w:rsidRPr="00BD4FC7" w:rsidRDefault="00B01C55" w:rsidP="00F5528D">
      <w:pPr>
        <w:spacing w:line="360" w:lineRule="auto"/>
        <w:ind w:firstLine="567"/>
        <w:jc w:val="both"/>
        <w:rPr>
          <w:rFonts w:ascii="Arial" w:hAnsi="Arial" w:cs="Arial"/>
          <w:sz w:val="24"/>
          <w:szCs w:val="24"/>
        </w:rPr>
      </w:pPr>
      <w:r>
        <w:rPr>
          <w:rFonts w:ascii="Arial" w:hAnsi="Arial" w:cs="Arial"/>
          <w:sz w:val="24"/>
          <w:szCs w:val="24"/>
        </w:rPr>
        <w:t xml:space="preserve">Por ello, </w:t>
      </w:r>
      <w:r w:rsidR="00F5528D" w:rsidRPr="00BD4FC7">
        <w:rPr>
          <w:rFonts w:ascii="Arial" w:hAnsi="Arial" w:cs="Arial"/>
          <w:sz w:val="24"/>
          <w:szCs w:val="24"/>
        </w:rPr>
        <w:t>la Oficina de Pensiones del Estado de Oaxaca, d</w:t>
      </w:r>
      <w:r>
        <w:rPr>
          <w:rFonts w:ascii="Arial" w:hAnsi="Arial" w:cs="Arial"/>
          <w:sz w:val="24"/>
          <w:szCs w:val="24"/>
        </w:rPr>
        <w:t>ebe otorgar el mayor beneficio, aplicando las disposiciones legales que otorguen un mayor beneficio</w:t>
      </w:r>
      <w:r w:rsidR="00F5528D" w:rsidRPr="00BD4FC7">
        <w:rPr>
          <w:rFonts w:ascii="Arial" w:hAnsi="Arial" w:cs="Arial"/>
          <w:sz w:val="24"/>
          <w:szCs w:val="24"/>
        </w:rPr>
        <w:t xml:space="preserve">, </w:t>
      </w:r>
      <w:r>
        <w:rPr>
          <w:rFonts w:ascii="Arial" w:hAnsi="Arial" w:cs="Arial"/>
          <w:sz w:val="24"/>
          <w:szCs w:val="24"/>
        </w:rPr>
        <w:t>lo que en el presente caso, se traduce en una aplicación</w:t>
      </w:r>
      <w:r w:rsidR="00F5528D" w:rsidRPr="00BD4FC7">
        <w:rPr>
          <w:rFonts w:ascii="Arial" w:hAnsi="Arial" w:cs="Arial"/>
          <w:sz w:val="24"/>
          <w:szCs w:val="24"/>
        </w:rPr>
        <w:t xml:space="preserve"> </w:t>
      </w:r>
      <w:r>
        <w:rPr>
          <w:rFonts w:ascii="Arial" w:hAnsi="Arial" w:cs="Arial"/>
          <w:sz w:val="24"/>
          <w:szCs w:val="24"/>
        </w:rPr>
        <w:t>d</w:t>
      </w:r>
      <w:r w:rsidR="00F5528D" w:rsidRPr="00BD4FC7">
        <w:rPr>
          <w:rFonts w:ascii="Arial" w:hAnsi="Arial" w:cs="Arial"/>
          <w:sz w:val="24"/>
          <w:szCs w:val="24"/>
        </w:rPr>
        <w:t>el salario integrado</w:t>
      </w:r>
      <w:r>
        <w:rPr>
          <w:rFonts w:ascii="Arial" w:hAnsi="Arial" w:cs="Arial"/>
          <w:sz w:val="24"/>
          <w:szCs w:val="24"/>
        </w:rPr>
        <w:t>,</w:t>
      </w:r>
      <w:r w:rsidR="00F5528D" w:rsidRPr="00BD4FC7">
        <w:rPr>
          <w:rFonts w:ascii="Arial" w:hAnsi="Arial" w:cs="Arial"/>
          <w:sz w:val="24"/>
          <w:szCs w:val="24"/>
        </w:rPr>
        <w:t xml:space="preserve"> abarca</w:t>
      </w:r>
      <w:r>
        <w:rPr>
          <w:rFonts w:ascii="Arial" w:hAnsi="Arial" w:cs="Arial"/>
          <w:sz w:val="24"/>
          <w:szCs w:val="24"/>
        </w:rPr>
        <w:t>ndo</w:t>
      </w:r>
      <w:r w:rsidR="00F5528D" w:rsidRPr="00BD4FC7">
        <w:rPr>
          <w:rFonts w:ascii="Arial" w:hAnsi="Arial" w:cs="Arial"/>
          <w:sz w:val="24"/>
          <w:szCs w:val="24"/>
        </w:rPr>
        <w:t xml:space="preserve"> todas y cada una de las prestaciones </w:t>
      </w:r>
      <w:r w:rsidR="00156BE5">
        <w:rPr>
          <w:rFonts w:ascii="Arial" w:hAnsi="Arial" w:cs="Arial"/>
          <w:sz w:val="24"/>
          <w:szCs w:val="24"/>
        </w:rPr>
        <w:t>que contempla el artículo 54 fracción I de la Ley de Pensiones para los Trabajadores del Gobierno del Estado de Oaxaca</w:t>
      </w:r>
      <w:r>
        <w:rPr>
          <w:rFonts w:ascii="Arial" w:hAnsi="Arial" w:cs="Arial"/>
          <w:sz w:val="24"/>
          <w:szCs w:val="24"/>
        </w:rPr>
        <w:t>,</w:t>
      </w:r>
      <w:r w:rsidR="00F03F62">
        <w:rPr>
          <w:rFonts w:ascii="Arial" w:hAnsi="Arial" w:cs="Arial"/>
          <w:sz w:val="24"/>
          <w:szCs w:val="24"/>
        </w:rPr>
        <w:t xml:space="preserve"> </w:t>
      </w:r>
      <w:r w:rsidR="00EC5863">
        <w:rPr>
          <w:rFonts w:ascii="Arial" w:hAnsi="Arial" w:cs="Arial"/>
          <w:sz w:val="24"/>
          <w:szCs w:val="24"/>
        </w:rPr>
        <w:t>más el salario base a favor de</w:t>
      </w:r>
      <w:r w:rsidR="00F5528D" w:rsidRPr="00BD4FC7">
        <w:rPr>
          <w:rFonts w:ascii="Arial" w:hAnsi="Arial" w:cs="Arial"/>
          <w:sz w:val="24"/>
          <w:szCs w:val="24"/>
        </w:rPr>
        <w:t xml:space="preserve"> </w:t>
      </w:r>
      <w:r w:rsidR="00687AAE">
        <w:rPr>
          <w:rFonts w:ascii="Arial" w:hAnsi="Arial" w:cs="Arial"/>
          <w:bCs/>
          <w:spacing w:val="-3"/>
          <w:sz w:val="24"/>
          <w:szCs w:val="27"/>
          <w:lang w:val="es-ES_tradnl"/>
        </w:rPr>
        <w:t>****</w:t>
      </w:r>
      <w:r w:rsidR="00F03F62">
        <w:rPr>
          <w:rFonts w:ascii="Arial" w:hAnsi="Arial" w:cs="Arial"/>
          <w:bCs/>
          <w:spacing w:val="-3"/>
          <w:sz w:val="24"/>
          <w:szCs w:val="27"/>
          <w:lang w:val="es-ES_tradnl"/>
        </w:rPr>
        <w:t xml:space="preserve"> </w:t>
      </w:r>
      <w:r w:rsidR="00687AAE">
        <w:rPr>
          <w:rFonts w:ascii="Arial" w:hAnsi="Arial" w:cs="Arial"/>
          <w:bCs/>
          <w:spacing w:val="-3"/>
          <w:sz w:val="24"/>
          <w:szCs w:val="27"/>
          <w:lang w:val="es-ES_tradnl"/>
        </w:rPr>
        <w:t>****</w:t>
      </w:r>
      <w:r w:rsidR="00F03F62">
        <w:rPr>
          <w:rFonts w:ascii="Arial" w:hAnsi="Arial" w:cs="Arial"/>
          <w:bCs/>
          <w:spacing w:val="-3"/>
          <w:sz w:val="24"/>
          <w:szCs w:val="27"/>
          <w:lang w:val="es-ES_tradnl"/>
        </w:rPr>
        <w:t xml:space="preserve"> </w:t>
      </w:r>
      <w:r w:rsidR="00687AAE">
        <w:rPr>
          <w:rFonts w:ascii="Arial" w:hAnsi="Arial" w:cs="Arial"/>
          <w:bCs/>
          <w:spacing w:val="-3"/>
          <w:sz w:val="24"/>
          <w:szCs w:val="27"/>
          <w:lang w:val="es-ES_tradnl"/>
        </w:rPr>
        <w:t>*****</w:t>
      </w:r>
      <w:r w:rsidR="00F5528D" w:rsidRPr="00BD4FC7">
        <w:rPr>
          <w:rFonts w:ascii="Arial" w:hAnsi="Arial" w:cs="Arial"/>
          <w:sz w:val="24"/>
          <w:szCs w:val="24"/>
        </w:rPr>
        <w:t xml:space="preserve">, </w:t>
      </w:r>
      <w:r w:rsidR="00A0793F">
        <w:rPr>
          <w:rFonts w:ascii="Arial" w:hAnsi="Arial" w:cs="Arial"/>
          <w:sz w:val="24"/>
          <w:szCs w:val="24"/>
        </w:rPr>
        <w:t xml:space="preserve">por ello, lo correcto es calcular la pensión </w:t>
      </w:r>
      <w:r w:rsidR="00F5528D" w:rsidRPr="00BD4FC7">
        <w:rPr>
          <w:rFonts w:ascii="Arial" w:hAnsi="Arial" w:cs="Arial"/>
          <w:sz w:val="24"/>
          <w:szCs w:val="24"/>
        </w:rPr>
        <w:t xml:space="preserve">con base al salario integrado mencionado anteriormente y </w:t>
      </w:r>
      <w:r w:rsidR="00A0793F">
        <w:rPr>
          <w:rFonts w:ascii="Arial" w:hAnsi="Arial" w:cs="Arial"/>
          <w:sz w:val="24"/>
          <w:szCs w:val="24"/>
        </w:rPr>
        <w:t>no únicamente con el</w:t>
      </w:r>
      <w:r w:rsidR="00F5528D" w:rsidRPr="00BD4FC7">
        <w:rPr>
          <w:rFonts w:ascii="Arial" w:hAnsi="Arial" w:cs="Arial"/>
          <w:sz w:val="24"/>
          <w:szCs w:val="24"/>
        </w:rPr>
        <w:t xml:space="preserve"> salario base</w:t>
      </w:r>
      <w:r w:rsidR="00E71076">
        <w:rPr>
          <w:rFonts w:ascii="Arial" w:hAnsi="Arial" w:cs="Arial"/>
          <w:sz w:val="24"/>
          <w:szCs w:val="24"/>
        </w:rPr>
        <w:t>,</w:t>
      </w:r>
      <w:r w:rsidR="00F5528D" w:rsidRPr="00BD4FC7">
        <w:rPr>
          <w:rFonts w:ascii="Arial" w:hAnsi="Arial" w:cs="Arial"/>
          <w:sz w:val="24"/>
          <w:szCs w:val="24"/>
        </w:rPr>
        <w:t xml:space="preserve"> como erróneamente lo consideró la autoridad demandada</w:t>
      </w:r>
      <w:r w:rsidR="00E61138">
        <w:rPr>
          <w:rFonts w:ascii="Arial" w:hAnsi="Arial" w:cs="Arial"/>
          <w:sz w:val="24"/>
          <w:szCs w:val="24"/>
        </w:rPr>
        <w:t>.</w:t>
      </w:r>
      <w:r w:rsidR="00D61CFF">
        <w:rPr>
          <w:rFonts w:ascii="Arial" w:hAnsi="Arial" w:cs="Arial"/>
          <w:sz w:val="24"/>
          <w:szCs w:val="24"/>
        </w:rPr>
        <w:t>.</w:t>
      </w:r>
      <w:r w:rsidR="00F5528D" w:rsidRPr="00BD4FC7">
        <w:rPr>
          <w:rFonts w:ascii="Arial" w:hAnsi="Arial" w:cs="Arial"/>
          <w:sz w:val="24"/>
          <w:szCs w:val="24"/>
        </w:rPr>
        <w:t xml:space="preserve"> </w:t>
      </w:r>
    </w:p>
    <w:p w14:paraId="7945F445" w14:textId="028B8E7D" w:rsidR="00E61138" w:rsidRPr="00BD4FC7" w:rsidRDefault="00F5528D" w:rsidP="00E61138">
      <w:pPr>
        <w:spacing w:line="360" w:lineRule="auto"/>
        <w:ind w:firstLine="567"/>
        <w:jc w:val="both"/>
        <w:rPr>
          <w:rFonts w:ascii="Arial" w:hAnsi="Arial" w:cs="Arial"/>
          <w:sz w:val="24"/>
          <w:szCs w:val="24"/>
        </w:rPr>
      </w:pPr>
      <w:r>
        <w:rPr>
          <w:rFonts w:ascii="Arial" w:hAnsi="Arial" w:cs="Arial"/>
          <w:sz w:val="24"/>
          <w:szCs w:val="24"/>
        </w:rPr>
        <w:t>Por otra parte</w:t>
      </w:r>
      <w:r w:rsidRPr="00BD4FC7">
        <w:rPr>
          <w:rFonts w:ascii="Arial" w:hAnsi="Arial" w:cs="Arial"/>
          <w:sz w:val="24"/>
          <w:szCs w:val="24"/>
        </w:rPr>
        <w:t xml:space="preserve">, por lo que respecta al descuento del 9% hecha a la pensión otorgada, </w:t>
      </w:r>
      <w:r w:rsidR="00E61138" w:rsidRPr="00BD4FC7">
        <w:rPr>
          <w:rFonts w:ascii="Arial" w:hAnsi="Arial" w:cs="Arial"/>
          <w:sz w:val="24"/>
          <w:szCs w:val="24"/>
        </w:rPr>
        <w:t xml:space="preserve">debe decirse que la autoridad demandada soslayó el derecho de igualdad y </w:t>
      </w:r>
      <w:r w:rsidR="003C483A">
        <w:rPr>
          <w:rFonts w:ascii="Arial" w:hAnsi="Arial" w:cs="Arial"/>
          <w:i/>
          <w:sz w:val="24"/>
          <w:szCs w:val="24"/>
        </w:rPr>
        <w:t>pro persona</w:t>
      </w:r>
      <w:r w:rsidR="003C483A">
        <w:rPr>
          <w:rFonts w:ascii="Arial" w:hAnsi="Arial" w:cs="Arial"/>
          <w:sz w:val="24"/>
          <w:szCs w:val="24"/>
        </w:rPr>
        <w:t xml:space="preserve"> del hoy accionante, así como lo dispuesto en el</w:t>
      </w:r>
      <w:r w:rsidR="00E61138" w:rsidRPr="00BD4FC7">
        <w:rPr>
          <w:rFonts w:ascii="Arial" w:hAnsi="Arial" w:cs="Arial"/>
          <w:sz w:val="24"/>
          <w:szCs w:val="24"/>
        </w:rPr>
        <w:t xml:space="preserve"> Convenio 102 de la Organización Internacional del Trabajo, firmado y ratif</w:t>
      </w:r>
      <w:r w:rsidR="003C483A">
        <w:rPr>
          <w:rFonts w:ascii="Arial" w:hAnsi="Arial" w:cs="Arial"/>
          <w:sz w:val="24"/>
          <w:szCs w:val="24"/>
        </w:rPr>
        <w:t xml:space="preserve">icado por el Estado Mexicano, </w:t>
      </w:r>
      <w:r w:rsidR="00E61138" w:rsidRPr="00BD4FC7">
        <w:rPr>
          <w:rFonts w:ascii="Arial" w:hAnsi="Arial" w:cs="Arial"/>
          <w:sz w:val="24"/>
          <w:szCs w:val="24"/>
        </w:rPr>
        <w:t xml:space="preserve"> el cual </w:t>
      </w:r>
      <w:r w:rsidR="003C483A">
        <w:rPr>
          <w:rFonts w:ascii="Arial" w:hAnsi="Arial" w:cs="Arial"/>
          <w:sz w:val="24"/>
          <w:szCs w:val="24"/>
        </w:rPr>
        <w:t>dispone que el Estado</w:t>
      </w:r>
      <w:r w:rsidR="00E61138" w:rsidRPr="00BD4FC7">
        <w:rPr>
          <w:rFonts w:ascii="Arial" w:hAnsi="Arial" w:cs="Arial"/>
          <w:sz w:val="24"/>
          <w:szCs w:val="24"/>
        </w:rPr>
        <w:t xml:space="preserve"> tiene el deber de maximizar el ejercicio de los derechos fundamentales de los administrados, en el sentido de aplicar la interpretación de la norma que busquen el mayor beneficio de las personas, aunado a que, la función esencial de esta Sala</w:t>
      </w:r>
      <w:r w:rsidR="002E58B8">
        <w:rPr>
          <w:rFonts w:ascii="Arial" w:hAnsi="Arial" w:cs="Arial"/>
          <w:sz w:val="24"/>
          <w:szCs w:val="24"/>
        </w:rPr>
        <w:t xml:space="preserve"> Unitaria</w:t>
      </w:r>
      <w:r w:rsidR="00E61138" w:rsidRPr="00BD4FC7">
        <w:rPr>
          <w:rFonts w:ascii="Arial" w:hAnsi="Arial" w:cs="Arial"/>
          <w:sz w:val="24"/>
          <w:szCs w:val="24"/>
        </w:rPr>
        <w:t xml:space="preserve">, es garantizar que los actos administrativos se ajusten al principio de legalidad y seguridad jurídica, así como </w:t>
      </w:r>
      <w:r w:rsidR="002E58B8">
        <w:rPr>
          <w:rFonts w:ascii="Arial" w:hAnsi="Arial" w:cs="Arial"/>
          <w:sz w:val="24"/>
          <w:szCs w:val="24"/>
        </w:rPr>
        <w:t>a</w:t>
      </w:r>
      <w:r w:rsidR="00E61138" w:rsidRPr="00BD4FC7">
        <w:rPr>
          <w:rFonts w:ascii="Arial" w:hAnsi="Arial" w:cs="Arial"/>
          <w:sz w:val="24"/>
          <w:szCs w:val="24"/>
        </w:rPr>
        <w:t xml:space="preserve"> </w:t>
      </w:r>
      <w:r w:rsidR="00E61138" w:rsidRPr="00BD4FC7">
        <w:rPr>
          <w:rFonts w:ascii="Arial" w:hAnsi="Arial" w:cs="Arial"/>
          <w:sz w:val="24"/>
          <w:szCs w:val="24"/>
        </w:rPr>
        <w:lastRenderedPageBreak/>
        <w:t>los principios tutelados por los tratados internacionales y convencionales, privilegiando la observancia de</w:t>
      </w:r>
      <w:r w:rsidR="002E58B8">
        <w:rPr>
          <w:rFonts w:ascii="Arial" w:hAnsi="Arial" w:cs="Arial"/>
          <w:sz w:val="24"/>
          <w:szCs w:val="24"/>
        </w:rPr>
        <w:t xml:space="preserve"> los derechos de los gobernados;</w:t>
      </w:r>
      <w:r w:rsidR="00E61138" w:rsidRPr="00BD4FC7">
        <w:rPr>
          <w:rFonts w:ascii="Arial" w:hAnsi="Arial" w:cs="Arial"/>
          <w:sz w:val="24"/>
          <w:szCs w:val="24"/>
        </w:rPr>
        <w:t xml:space="preserve"> </w:t>
      </w:r>
      <w:r w:rsidR="002E58B8">
        <w:rPr>
          <w:rFonts w:ascii="Arial" w:hAnsi="Arial" w:cs="Arial"/>
          <w:sz w:val="24"/>
          <w:szCs w:val="24"/>
        </w:rPr>
        <w:t>por tanto, la autoridad demandada al haber emitido un acto administrativo sin haber observado los principios descritos en líneas anteriores</w:t>
      </w:r>
      <w:r w:rsidR="00893348">
        <w:rPr>
          <w:rFonts w:ascii="Arial" w:hAnsi="Arial" w:cs="Arial"/>
          <w:sz w:val="24"/>
          <w:szCs w:val="24"/>
        </w:rPr>
        <w:t>,</w:t>
      </w:r>
      <w:r w:rsidR="002E58B8">
        <w:rPr>
          <w:rFonts w:ascii="Arial" w:hAnsi="Arial" w:cs="Arial"/>
          <w:sz w:val="24"/>
          <w:szCs w:val="24"/>
        </w:rPr>
        <w:t xml:space="preserve"> su actuar</w:t>
      </w:r>
      <w:r w:rsidR="00893348">
        <w:rPr>
          <w:rFonts w:ascii="Arial" w:hAnsi="Arial" w:cs="Arial"/>
          <w:sz w:val="24"/>
          <w:szCs w:val="24"/>
        </w:rPr>
        <w:t xml:space="preserve"> irrogó agravios a</w:t>
      </w:r>
      <w:r w:rsidR="00E61138" w:rsidRPr="00BD4FC7">
        <w:rPr>
          <w:rFonts w:ascii="Arial" w:hAnsi="Arial" w:cs="Arial"/>
          <w:sz w:val="24"/>
          <w:szCs w:val="24"/>
        </w:rPr>
        <w:t xml:space="preserve">l </w:t>
      </w:r>
      <w:r w:rsidR="00893348">
        <w:rPr>
          <w:rFonts w:ascii="Arial" w:hAnsi="Arial" w:cs="Arial"/>
          <w:sz w:val="24"/>
          <w:szCs w:val="24"/>
        </w:rPr>
        <w:t>administrado</w:t>
      </w:r>
      <w:r w:rsidR="00E61138" w:rsidRPr="00BD4FC7">
        <w:rPr>
          <w:rFonts w:ascii="Arial" w:hAnsi="Arial" w:cs="Arial"/>
          <w:sz w:val="24"/>
          <w:szCs w:val="24"/>
        </w:rPr>
        <w:t xml:space="preserve">, máxime que existen criterios jurisprudenciales sostenidos por el Tribunal Colegiado en Materias de Trabajo y Administrativa del Décimo Tercer Circuito, emitidos en los meses de octubre de los años dos mil doce y de dos mil catorce, </w:t>
      </w:r>
      <w:r w:rsidR="002E58B8">
        <w:rPr>
          <w:rFonts w:ascii="Arial" w:hAnsi="Arial" w:cs="Arial"/>
          <w:sz w:val="24"/>
          <w:szCs w:val="24"/>
        </w:rPr>
        <w:t>siendo evidente que</w:t>
      </w:r>
      <w:r w:rsidR="00E61138" w:rsidRPr="00BD4FC7">
        <w:rPr>
          <w:rFonts w:ascii="Arial" w:hAnsi="Arial" w:cs="Arial"/>
          <w:sz w:val="24"/>
          <w:szCs w:val="24"/>
        </w:rPr>
        <w:t xml:space="preserve"> la</w:t>
      </w:r>
      <w:r w:rsidR="002E58B8">
        <w:rPr>
          <w:rFonts w:ascii="Arial" w:hAnsi="Arial" w:cs="Arial"/>
          <w:sz w:val="24"/>
          <w:szCs w:val="24"/>
        </w:rPr>
        <w:t xml:space="preserve"> autoridad</w:t>
      </w:r>
      <w:r w:rsidR="00E61138" w:rsidRPr="00BD4FC7">
        <w:rPr>
          <w:rFonts w:ascii="Arial" w:hAnsi="Arial" w:cs="Arial"/>
          <w:sz w:val="24"/>
          <w:szCs w:val="24"/>
        </w:rPr>
        <w:t xml:space="preserve"> demandada fue omisa en su aplicación, vulnerando con ello un derecho previamente adquirido por el actor, pues la norma reform</w:t>
      </w:r>
      <w:r w:rsidR="00E61138">
        <w:rPr>
          <w:rFonts w:ascii="Arial" w:hAnsi="Arial" w:cs="Arial"/>
          <w:sz w:val="24"/>
          <w:szCs w:val="24"/>
        </w:rPr>
        <w:t>ada tuvo efectos retroactivos</w:t>
      </w:r>
      <w:r w:rsidR="002E58B8">
        <w:rPr>
          <w:rFonts w:ascii="Arial" w:hAnsi="Arial" w:cs="Arial"/>
          <w:sz w:val="24"/>
          <w:szCs w:val="24"/>
        </w:rPr>
        <w:t xml:space="preserve"> en beneficio de las personas</w:t>
      </w:r>
      <w:r w:rsidR="00E61138">
        <w:rPr>
          <w:rFonts w:ascii="Arial" w:hAnsi="Arial" w:cs="Arial"/>
          <w:sz w:val="24"/>
          <w:szCs w:val="24"/>
        </w:rPr>
        <w:t>.</w:t>
      </w:r>
    </w:p>
    <w:p w14:paraId="32773317" w14:textId="77777777" w:rsidR="002E58B8" w:rsidRDefault="00F5528D" w:rsidP="00F5528D">
      <w:pPr>
        <w:spacing w:line="360" w:lineRule="auto"/>
        <w:ind w:firstLine="567"/>
        <w:jc w:val="both"/>
        <w:rPr>
          <w:rFonts w:ascii="Arial" w:hAnsi="Arial" w:cs="Arial"/>
          <w:sz w:val="24"/>
          <w:szCs w:val="24"/>
        </w:rPr>
      </w:pPr>
      <w:r w:rsidRPr="00BD4FC7">
        <w:rPr>
          <w:rFonts w:ascii="Arial" w:hAnsi="Arial" w:cs="Arial"/>
          <w:sz w:val="24"/>
          <w:szCs w:val="24"/>
        </w:rPr>
        <w:t>En abundancia a lo anterior, es necesario puntualizar que el derecho adquirido es definible, cuando el acto realizado introduce un bien, una facultad o un provecho al patrimonio de una persona, y el hecho efectuado no puede afectarse ni por la voluntad de quienes intervinieron en el acto, ni por</w:t>
      </w:r>
      <w:r w:rsidR="002E58B8">
        <w:rPr>
          <w:rFonts w:ascii="Arial" w:hAnsi="Arial" w:cs="Arial"/>
          <w:sz w:val="24"/>
          <w:szCs w:val="24"/>
        </w:rPr>
        <w:t xml:space="preserve"> disposición legal en contrario; p</w:t>
      </w:r>
      <w:r w:rsidRPr="00BD4FC7">
        <w:rPr>
          <w:rFonts w:ascii="Arial" w:hAnsi="Arial" w:cs="Arial"/>
          <w:sz w:val="24"/>
          <w:szCs w:val="24"/>
        </w:rPr>
        <w:t xml:space="preserve">or otra parte, la expectativa de derecho es una esperanza o una pretensión de que se realice una situación jurídica concreta, de acuerdo con la legislación vigente en un momento dado. </w:t>
      </w:r>
    </w:p>
    <w:p w14:paraId="2F11C884" w14:textId="2CE631C1" w:rsidR="00F5528D" w:rsidRPr="00BD4FC7" w:rsidRDefault="002E58B8" w:rsidP="00F5528D">
      <w:pPr>
        <w:spacing w:line="360" w:lineRule="auto"/>
        <w:ind w:firstLine="567"/>
        <w:jc w:val="both"/>
        <w:rPr>
          <w:rFonts w:ascii="Arial" w:hAnsi="Arial" w:cs="Arial"/>
          <w:sz w:val="24"/>
          <w:szCs w:val="24"/>
        </w:rPr>
      </w:pPr>
      <w:r>
        <w:rPr>
          <w:rFonts w:ascii="Arial" w:hAnsi="Arial" w:cs="Arial"/>
          <w:sz w:val="24"/>
          <w:szCs w:val="24"/>
        </w:rPr>
        <w:t>Lo anterior tiene sustento en la tesis</w:t>
      </w:r>
      <w:r>
        <w:rPr>
          <w:rStyle w:val="Refdenotaalpie"/>
          <w:rFonts w:ascii="Arial" w:hAnsi="Arial" w:cs="Arial"/>
          <w:sz w:val="24"/>
          <w:szCs w:val="24"/>
        </w:rPr>
        <w:footnoteReference w:id="5"/>
      </w:r>
      <w:r w:rsidR="00F5528D" w:rsidRPr="00BD4FC7">
        <w:rPr>
          <w:rFonts w:ascii="Arial" w:hAnsi="Arial" w:cs="Arial"/>
          <w:sz w:val="24"/>
          <w:szCs w:val="24"/>
        </w:rPr>
        <w:t xml:space="preserve"> </w:t>
      </w:r>
      <w:r>
        <w:rPr>
          <w:rFonts w:ascii="Arial" w:hAnsi="Arial" w:cs="Arial"/>
          <w:sz w:val="24"/>
          <w:szCs w:val="24"/>
        </w:rPr>
        <w:t>de</w:t>
      </w:r>
      <w:r w:rsidR="00F5528D" w:rsidRPr="00BD4FC7">
        <w:rPr>
          <w:rFonts w:ascii="Arial" w:hAnsi="Arial" w:cs="Arial"/>
          <w:sz w:val="24"/>
          <w:szCs w:val="24"/>
        </w:rPr>
        <w:t xml:space="preserve"> rubro y texto siguientes</w:t>
      </w:r>
      <w:r w:rsidR="00F5528D">
        <w:rPr>
          <w:rFonts w:ascii="Arial" w:hAnsi="Arial" w:cs="Arial"/>
          <w:sz w:val="24"/>
          <w:szCs w:val="24"/>
        </w:rPr>
        <w:t>:</w:t>
      </w:r>
      <w:r w:rsidR="00F5528D" w:rsidRPr="00BD4FC7">
        <w:rPr>
          <w:rFonts w:ascii="Arial" w:hAnsi="Arial" w:cs="Arial"/>
          <w:sz w:val="24"/>
          <w:szCs w:val="24"/>
        </w:rPr>
        <w:t xml:space="preserve"> </w:t>
      </w:r>
    </w:p>
    <w:p w14:paraId="58464093" w14:textId="77777777" w:rsidR="00F5528D" w:rsidRPr="008B505B" w:rsidRDefault="00F5528D" w:rsidP="00F5528D">
      <w:pPr>
        <w:ind w:left="567"/>
        <w:jc w:val="both"/>
        <w:rPr>
          <w:rFonts w:ascii="Arial" w:hAnsi="Arial" w:cs="Arial"/>
          <w:i/>
          <w:sz w:val="24"/>
          <w:szCs w:val="24"/>
        </w:rPr>
      </w:pPr>
      <w:r w:rsidRPr="008B505B">
        <w:rPr>
          <w:rFonts w:ascii="Arial" w:hAnsi="Arial" w:cs="Arial"/>
          <w:b/>
          <w:i/>
          <w:sz w:val="24"/>
          <w:szCs w:val="24"/>
        </w:rPr>
        <w:t>“RETROACTIVIDAD. TEORÍAS SOBRE LA.</w:t>
      </w:r>
      <w:r w:rsidRPr="008B505B">
        <w:rPr>
          <w:rFonts w:ascii="Arial" w:hAnsi="Arial" w:cs="Arial"/>
          <w:i/>
          <w:sz w:val="24"/>
          <w:szCs w:val="24"/>
        </w:rPr>
        <w:t xml:space="preserve"> Sobre la materia de irretroactividad, existen diversidad de teorías, siendo las más frecuentes, la de los derechos adquiridos y de las expectativas de derecho y la de las situaciones generales de derecho y situaciones concretas o situaciones abstractas y situaciones concretas, siendo la primera, el mandamiento de la ley, sin aplicación concreta de la misma. El derecho adquirido es definible, cuando el acto realizado introduce un bien, una facultad o un provecho al patrimonio de una persona, y el hecho efectuado no puede afectarse ni por la voluntad de quienes intervinieron en el acto, ni por disposición legal en contrario; y la expectativa de derecho es una esperanza o una pretensión de que se realice una situación jurídica concreta, de acuerdo con la legislación vigente en un momento dado. En el primer caso, se realiza el derecho y entra al patrimonio; en el segundo, el derecho está en potencia, sin realizar una situación jurídica concreta, no formando parte integrante del patrimonio; estos conceptos han sido acogidos por la Suprema Corte, como puede verse en las páginas 226 y 227 del Apéndice al Tomo L del Semanario Judicial de la Federación, al establecer: ‘Que para que una ley sea retroactiva, se requiere que obre sobre el pasado y que lesione derechos adquiridos bajo el amparo de leyes anteriores, y esta última circunstancia es esencial’. ‘La ley es retroactiva cuando vuelve al pasado para cambiar, modificar o suprimir los derechos individuales adquiridos’. ‘Al celebrarse un contrato, se crea una situación jurídica concreta, que no puede destruirse por la nueva ley, si no es incurriendo en el vicio de retroactividad. Si una obligación ha nacido bajo el </w:t>
      </w:r>
      <w:r w:rsidRPr="008B505B">
        <w:rPr>
          <w:rFonts w:ascii="Arial" w:hAnsi="Arial" w:cs="Arial"/>
          <w:i/>
          <w:sz w:val="24"/>
          <w:szCs w:val="24"/>
        </w:rPr>
        <w:lastRenderedPageBreak/>
        <w:t>imperio de la ley antigua, subsistirá con los caracteres y las consecuencias que la misma ley le atribuye.”</w:t>
      </w:r>
    </w:p>
    <w:p w14:paraId="1A283254" w14:textId="77777777" w:rsidR="00F5528D" w:rsidRPr="00BD4FC7" w:rsidRDefault="00F5528D" w:rsidP="00F5528D">
      <w:pPr>
        <w:spacing w:line="360" w:lineRule="auto"/>
        <w:ind w:firstLine="567"/>
        <w:jc w:val="both"/>
        <w:rPr>
          <w:rFonts w:ascii="Arial" w:hAnsi="Arial" w:cs="Arial"/>
          <w:sz w:val="24"/>
          <w:szCs w:val="24"/>
        </w:rPr>
      </w:pPr>
      <w:r w:rsidRPr="00BD4FC7">
        <w:rPr>
          <w:rFonts w:ascii="Arial" w:hAnsi="Arial" w:cs="Arial"/>
          <w:sz w:val="24"/>
          <w:szCs w:val="24"/>
        </w:rPr>
        <w:t>De igual forma el principio de retroactividad de la ley, se encuentra previsto en el artículo 14 primer párrafo de la Constitución Política de los Estados Unidos Mexica</w:t>
      </w:r>
      <w:r>
        <w:rPr>
          <w:rFonts w:ascii="Arial" w:hAnsi="Arial" w:cs="Arial"/>
          <w:sz w:val="24"/>
          <w:szCs w:val="24"/>
        </w:rPr>
        <w:t>nos, que a la letra establece:</w:t>
      </w:r>
    </w:p>
    <w:p w14:paraId="131F7BB6" w14:textId="77777777" w:rsidR="00F5528D" w:rsidRPr="00630DBB" w:rsidRDefault="00F5528D" w:rsidP="00F5528D">
      <w:pPr>
        <w:ind w:left="567"/>
        <w:jc w:val="both"/>
        <w:rPr>
          <w:rFonts w:ascii="Arial" w:hAnsi="Arial" w:cs="Arial"/>
          <w:i/>
          <w:sz w:val="24"/>
          <w:szCs w:val="24"/>
        </w:rPr>
      </w:pPr>
      <w:r w:rsidRPr="00630DBB">
        <w:rPr>
          <w:rFonts w:ascii="Arial" w:hAnsi="Arial" w:cs="Arial"/>
          <w:b/>
          <w:i/>
          <w:sz w:val="24"/>
          <w:szCs w:val="24"/>
        </w:rPr>
        <w:t>“Artículo 14.</w:t>
      </w:r>
      <w:r w:rsidRPr="00630DBB">
        <w:rPr>
          <w:rFonts w:ascii="Arial" w:hAnsi="Arial" w:cs="Arial"/>
          <w:i/>
          <w:sz w:val="24"/>
          <w:szCs w:val="24"/>
        </w:rPr>
        <w:t xml:space="preserve"> A ninguna ley se dará efecto retroactivo en perjuicio de persona alguna.”</w:t>
      </w:r>
    </w:p>
    <w:p w14:paraId="6367B1B5" w14:textId="77777777" w:rsidR="00215234" w:rsidRDefault="00F5528D" w:rsidP="00F5528D">
      <w:pPr>
        <w:spacing w:line="360" w:lineRule="auto"/>
        <w:ind w:firstLine="567"/>
        <w:jc w:val="both"/>
        <w:rPr>
          <w:rFonts w:ascii="Arial" w:hAnsi="Arial" w:cs="Arial"/>
          <w:sz w:val="24"/>
          <w:szCs w:val="24"/>
        </w:rPr>
      </w:pPr>
      <w:r w:rsidRPr="00BD4FC7">
        <w:rPr>
          <w:rFonts w:ascii="Arial" w:hAnsi="Arial" w:cs="Arial"/>
          <w:sz w:val="24"/>
          <w:szCs w:val="24"/>
        </w:rPr>
        <w:t xml:space="preserve">Derivado de lo anterior, </w:t>
      </w:r>
      <w:r w:rsidR="003763EB">
        <w:rPr>
          <w:rFonts w:ascii="Arial" w:hAnsi="Arial" w:cs="Arial"/>
          <w:sz w:val="24"/>
          <w:szCs w:val="24"/>
        </w:rPr>
        <w:t>resulta evidente que</w:t>
      </w:r>
      <w:r w:rsidRPr="00BD4FC7">
        <w:rPr>
          <w:rFonts w:ascii="Arial" w:hAnsi="Arial" w:cs="Arial"/>
          <w:sz w:val="24"/>
          <w:szCs w:val="24"/>
        </w:rPr>
        <w:t xml:space="preserve"> la ley reformada tiene efectos retroactivos cuando se afectan derechos que han surgido con apoyo en disposiciones legales anteriores, o cuando lesionan efectos posteriores de tales derechos que están estrechamente vinculados con su fuente y no pueden apreciarse</w:t>
      </w:r>
      <w:r w:rsidR="00215234">
        <w:rPr>
          <w:rFonts w:ascii="Arial" w:hAnsi="Arial" w:cs="Arial"/>
          <w:sz w:val="24"/>
          <w:szCs w:val="24"/>
        </w:rPr>
        <w:t xml:space="preserve"> de manera independiente, por</w:t>
      </w:r>
      <w:r w:rsidRPr="00BD4FC7">
        <w:rPr>
          <w:rFonts w:ascii="Arial" w:hAnsi="Arial" w:cs="Arial"/>
          <w:sz w:val="24"/>
          <w:szCs w:val="24"/>
        </w:rPr>
        <w:t xml:space="preserve"> tanto, no es legal aplicar en perjuicio de algún gobernado, una norma posterior que modifique en forma negativa cualquiera de los derechos adquiridos y derivados de la jubilación obtenida conforme a una Ley anterior</w:t>
      </w:r>
      <w:r w:rsidR="00215234">
        <w:rPr>
          <w:rFonts w:ascii="Arial" w:hAnsi="Arial" w:cs="Arial"/>
          <w:sz w:val="24"/>
          <w:szCs w:val="24"/>
        </w:rPr>
        <w:t>, ya que e</w:t>
      </w:r>
      <w:r w:rsidRPr="00BD4FC7">
        <w:rPr>
          <w:rFonts w:ascii="Arial" w:hAnsi="Arial" w:cs="Arial"/>
          <w:sz w:val="24"/>
          <w:szCs w:val="24"/>
        </w:rPr>
        <w:t xml:space="preserve">sa aplicación </w:t>
      </w:r>
      <w:r w:rsidR="00215234">
        <w:rPr>
          <w:rFonts w:ascii="Arial" w:hAnsi="Arial" w:cs="Arial"/>
          <w:sz w:val="24"/>
          <w:szCs w:val="24"/>
        </w:rPr>
        <w:t>implicaría una</w:t>
      </w:r>
      <w:r w:rsidRPr="00BD4FC7">
        <w:rPr>
          <w:rFonts w:ascii="Arial" w:hAnsi="Arial" w:cs="Arial"/>
          <w:sz w:val="24"/>
          <w:szCs w:val="24"/>
        </w:rPr>
        <w:t xml:space="preserve"> violación a la garantía de irretroactividad de la ley consagrada en el artículo 14 primer párrafo</w:t>
      </w:r>
      <w:r w:rsidR="00215234">
        <w:rPr>
          <w:rFonts w:ascii="Arial" w:hAnsi="Arial" w:cs="Arial"/>
          <w:sz w:val="24"/>
          <w:szCs w:val="24"/>
        </w:rPr>
        <w:t xml:space="preserve"> de la Constitución Política de los Estados Unidos Mexicanos</w:t>
      </w:r>
      <w:r w:rsidRPr="00BD4FC7">
        <w:rPr>
          <w:rFonts w:ascii="Arial" w:hAnsi="Arial" w:cs="Arial"/>
          <w:sz w:val="24"/>
          <w:szCs w:val="24"/>
        </w:rPr>
        <w:t xml:space="preserve">. </w:t>
      </w:r>
    </w:p>
    <w:p w14:paraId="6FE29FFD" w14:textId="77777777" w:rsidR="00215234" w:rsidRDefault="00215234" w:rsidP="00F5528D">
      <w:pPr>
        <w:spacing w:line="360" w:lineRule="auto"/>
        <w:ind w:firstLine="567"/>
        <w:jc w:val="both"/>
        <w:rPr>
          <w:rFonts w:ascii="Arial" w:hAnsi="Arial" w:cs="Arial"/>
          <w:sz w:val="24"/>
          <w:szCs w:val="24"/>
        </w:rPr>
      </w:pPr>
      <w:r>
        <w:rPr>
          <w:rFonts w:ascii="Arial" w:hAnsi="Arial" w:cs="Arial"/>
          <w:sz w:val="24"/>
          <w:szCs w:val="24"/>
        </w:rPr>
        <w:t>Refuerza lo dicho, el hecho que artículo Décimo P</w:t>
      </w:r>
      <w:r w:rsidR="00F5528D" w:rsidRPr="00BD4FC7">
        <w:rPr>
          <w:rFonts w:ascii="Arial" w:hAnsi="Arial" w:cs="Arial"/>
          <w:sz w:val="24"/>
          <w:szCs w:val="24"/>
        </w:rPr>
        <w:t xml:space="preserve">rimero transitorio de la ley de pensiones vigente, establece que los jubilados y pensionistas que, a la entrada en vigor de la nueva ley de pensiones, gocen de los beneficios que les otorga la ley que se abroga, continuarán ejerciendo sus derechos señalados en las disposiciones vigentes al momento de su otorgamiento. </w:t>
      </w:r>
    </w:p>
    <w:p w14:paraId="39D9BBA0" w14:textId="718DD302" w:rsidR="00F5528D" w:rsidRPr="00BD4FC7" w:rsidRDefault="00215234" w:rsidP="00F5528D">
      <w:pPr>
        <w:spacing w:line="360" w:lineRule="auto"/>
        <w:ind w:firstLine="567"/>
        <w:jc w:val="both"/>
        <w:rPr>
          <w:rFonts w:ascii="Arial" w:hAnsi="Arial" w:cs="Arial"/>
          <w:sz w:val="24"/>
          <w:szCs w:val="24"/>
        </w:rPr>
      </w:pPr>
      <w:r>
        <w:rPr>
          <w:rFonts w:ascii="Arial" w:hAnsi="Arial" w:cs="Arial"/>
          <w:sz w:val="24"/>
          <w:szCs w:val="24"/>
        </w:rPr>
        <w:t>Resulta aplicable, la jurisprudencia</w:t>
      </w:r>
      <w:r>
        <w:rPr>
          <w:rStyle w:val="Refdenotaalpie"/>
          <w:rFonts w:ascii="Arial" w:hAnsi="Arial" w:cs="Arial"/>
          <w:sz w:val="24"/>
          <w:szCs w:val="24"/>
        </w:rPr>
        <w:footnoteReference w:id="6"/>
      </w:r>
      <w:r w:rsidR="00F5528D" w:rsidRPr="00BD4FC7">
        <w:rPr>
          <w:rFonts w:ascii="Arial" w:hAnsi="Arial" w:cs="Arial"/>
          <w:sz w:val="24"/>
          <w:szCs w:val="24"/>
        </w:rPr>
        <w:t xml:space="preserve"> </w:t>
      </w:r>
      <w:r w:rsidR="00CD399A">
        <w:rPr>
          <w:rFonts w:ascii="Arial" w:hAnsi="Arial" w:cs="Arial"/>
          <w:sz w:val="24"/>
          <w:szCs w:val="24"/>
        </w:rPr>
        <w:t>de rubro y texto siguiente</w:t>
      </w:r>
      <w:r w:rsidR="00F5528D">
        <w:rPr>
          <w:rFonts w:ascii="Arial" w:hAnsi="Arial" w:cs="Arial"/>
          <w:sz w:val="24"/>
          <w:szCs w:val="24"/>
        </w:rPr>
        <w:t>:</w:t>
      </w:r>
    </w:p>
    <w:p w14:paraId="70FFC00A" w14:textId="75E12AB3" w:rsidR="00F5528D" w:rsidRDefault="00F5528D" w:rsidP="00F5528D">
      <w:pPr>
        <w:ind w:left="567"/>
        <w:jc w:val="both"/>
        <w:rPr>
          <w:rFonts w:ascii="Arial" w:hAnsi="Arial" w:cs="Arial"/>
          <w:i/>
          <w:sz w:val="24"/>
          <w:szCs w:val="24"/>
        </w:rPr>
      </w:pPr>
      <w:r w:rsidRPr="00BA3772">
        <w:rPr>
          <w:rFonts w:ascii="Arial" w:hAnsi="Arial" w:cs="Arial"/>
          <w:b/>
          <w:i/>
          <w:sz w:val="24"/>
          <w:szCs w:val="24"/>
        </w:rPr>
        <w:t>“PENSIONES PARA LOS TRABAJADORES DEL GOBIERNO DEL ESTADO DE OAXACA. LOS ARTÍCULOS DÉCIMO PRIMERO Y DÉCIMO SEGUNDO TRANSITORIOS DE LA LEY RELATIVA, AL FIJAR A LOS JUBILADOS APORTACIONES AL FONDO DE PENSIONES EQUIVALENTES AL 6% DE SU PENSIÓN, VIOLAN EL PRINCIPIO DE IRRETROACTIVIDAD DE LA LEY.</w:t>
      </w:r>
      <w:r w:rsidRPr="00BA3772">
        <w:rPr>
          <w:rFonts w:ascii="Arial" w:hAnsi="Arial" w:cs="Arial"/>
          <w:i/>
          <w:sz w:val="24"/>
          <w:szCs w:val="24"/>
        </w:rPr>
        <w:t xml:space="preserve"> Los artículos décimo primero y décimo segundo transitorios de la Ley de Pensiones para los Trabajadores del Gobierno del Estado de Oaxaca, publicada mediante Decreto número 885 en el Periódico Oficial local el 28 de enero de 2012, al fijar a los jubilados aportaciones al fondo de pensiones equivalentes al 6% de su pensión, afectan sus derechos adquiridos que surgieron bajo la vigencia de la abrogada Ley de Pensiones para los Empleados del Gobierno del Estado, publicada en el señalado medio de difusión el 7 de junio de 1958, en cuyo artículo 6o., establecía que el déficit que en cualquier tiempo y monto presentara dicho fondo, sería cubierto por el propio gobierno del Estado. Consecuentemente, los preceptos inicialmente citados violan el principio de irretroactividad de la </w:t>
      </w:r>
      <w:r w:rsidRPr="00BA3772">
        <w:rPr>
          <w:rFonts w:ascii="Arial" w:hAnsi="Arial" w:cs="Arial"/>
          <w:i/>
          <w:sz w:val="24"/>
          <w:szCs w:val="24"/>
        </w:rPr>
        <w:lastRenderedPageBreak/>
        <w:t>ley previsto en el artículo 14 de la Constitución Política de los Estados Unidos Mexicanos.”</w:t>
      </w:r>
    </w:p>
    <w:p w14:paraId="038EA757" w14:textId="50660392" w:rsidR="00CD399A" w:rsidRPr="00CD399A" w:rsidRDefault="00CD399A" w:rsidP="00CD399A">
      <w:pPr>
        <w:ind w:firstLine="567"/>
        <w:jc w:val="both"/>
        <w:rPr>
          <w:rFonts w:ascii="Arial" w:hAnsi="Arial" w:cs="Arial"/>
          <w:sz w:val="24"/>
          <w:szCs w:val="24"/>
        </w:rPr>
      </w:pPr>
      <w:r>
        <w:rPr>
          <w:rFonts w:ascii="Arial" w:hAnsi="Arial" w:cs="Arial"/>
          <w:sz w:val="24"/>
          <w:szCs w:val="24"/>
        </w:rPr>
        <w:t>Sirve igualmente de sustento, la jurisprudencia</w:t>
      </w:r>
      <w:r w:rsidR="005D2D12">
        <w:rPr>
          <w:rStyle w:val="Refdenotaalpie"/>
          <w:rFonts w:ascii="Arial" w:hAnsi="Arial" w:cs="Arial"/>
          <w:sz w:val="24"/>
          <w:szCs w:val="24"/>
        </w:rPr>
        <w:footnoteReference w:id="7"/>
      </w:r>
      <w:r>
        <w:rPr>
          <w:rFonts w:ascii="Arial" w:hAnsi="Arial" w:cs="Arial"/>
          <w:sz w:val="24"/>
          <w:szCs w:val="24"/>
        </w:rPr>
        <w:t xml:space="preserve"> de rubro y texto:</w:t>
      </w:r>
    </w:p>
    <w:p w14:paraId="1E773473" w14:textId="77777777" w:rsidR="00F5528D" w:rsidRPr="00BA3772" w:rsidRDefault="00F5528D" w:rsidP="00F5528D">
      <w:pPr>
        <w:ind w:left="567"/>
        <w:jc w:val="both"/>
        <w:rPr>
          <w:rFonts w:ascii="Arial" w:hAnsi="Arial" w:cs="Arial"/>
          <w:i/>
          <w:sz w:val="24"/>
          <w:szCs w:val="24"/>
        </w:rPr>
      </w:pPr>
      <w:r w:rsidRPr="00BA3772">
        <w:rPr>
          <w:rFonts w:ascii="Arial" w:hAnsi="Arial" w:cs="Arial"/>
          <w:b/>
          <w:i/>
          <w:sz w:val="24"/>
          <w:szCs w:val="24"/>
        </w:rPr>
        <w:t>“PENSIONES PARA LOS TRABAJADORES DEL GOBIERNO DEL ESTADO DE OAXACA. LOS ARTÍCULOS 6, FRACCIÓN III, 18, PÁRRAFO SEGUNDO Y OCTAVO TRANSITORIO DE LA LEY RELATIVA, QUE DISPONEN QUE QUIENES ADQUIERAN EL CARÁCTER DE JUBILADOS DEBEN APORTAR EL 9% DE SU PENSIÓN PARA INCREMENTAR EL FONDO RESPECTIVO, SON INCONVENCIONALES E INCONSTITUCIONALES, AL DESATENDER LOS ARTÍCULOS 26, NUMERAL 3 Y 67, INCISO B), DEL CONVENIO NÚMERO 102 DE LA ORGANIZACIÓN INTERNACIONAL DEL TRABAJO Y VIOLAR EL DERECHO HUMANO A LA IGUALDAD.</w:t>
      </w:r>
      <w:r w:rsidRPr="00BA3772">
        <w:rPr>
          <w:rFonts w:ascii="Arial" w:hAnsi="Arial" w:cs="Arial"/>
          <w:i/>
          <w:sz w:val="24"/>
          <w:szCs w:val="24"/>
        </w:rPr>
        <w:t xml:space="preserve"> Los artículos 6, fracción III, 18, párrafo segundo y octavo transitorio de la Ley de Pensiones para los Trabajadores del Gobierno del Estado de Oaxaca, publicada mediante Decreto Número 885 en el Periódico Oficial de dicha entidad federativa el 28 de enero de 2012, conforme a los cuales, quienes adquieran el carácter de jubilados deben aportar el 9% de su pensión para incrementar el fondo de pensiones, desatienden los artículos 26, punto 3 y 67, inciso b), del Convenio Número 102 de la Organización Internacional del Trabajo, relativo a la Norma Mínima de la Seguridad Social, los cuales autorizan dos casos de afectación: a) en el supuesto de prestaciones de vejez, se suspende cuando se ejerzan actividades remuneradas o se reduce cuando las ganancias del beneficiario excedan de un valor prescrito; y, b) respecto de pagos periódicos, se reduce en la medida en que los demás recursos de la familia del beneficiario excedan de sumas apreciables fijadas por las autoridades competentes, de conformidad con reglas prescritas. Lo anterior, porque si bien es cierto que la norma internacional, en su dimensión caracterizada como derecho humano a la seguridad social, autoriza la fijación de dichos topes, también lo es que la cuota regulada por el legislador local no encuadra en las hipótesis permitidas señaladas, ya que se traduce en un descuento indebido del monto de la pensión jubilatoria, encaminado a constituir el fondo monetario con el que se cubrirá ésta, por lo cual los preceptos indicados son </w:t>
      </w:r>
      <w:proofErr w:type="spellStart"/>
      <w:r w:rsidRPr="00BA3772">
        <w:rPr>
          <w:rFonts w:ascii="Arial" w:hAnsi="Arial" w:cs="Arial"/>
          <w:i/>
          <w:sz w:val="24"/>
          <w:szCs w:val="24"/>
        </w:rPr>
        <w:t>inconvencionales</w:t>
      </w:r>
      <w:proofErr w:type="spellEnd"/>
      <w:r w:rsidRPr="00BA3772">
        <w:rPr>
          <w:rFonts w:ascii="Arial" w:hAnsi="Arial" w:cs="Arial"/>
          <w:i/>
          <w:sz w:val="24"/>
          <w:szCs w:val="24"/>
        </w:rPr>
        <w:t>. Asimismo, violan el derecho humano a la igualdad, al dejar de tomar en cuenta que el jubilado ya aportó cuotas durante su vida laboral para gozar del beneficio respectivo y, por ende, se le da el trato de trabajador en activo.”</w:t>
      </w:r>
    </w:p>
    <w:p w14:paraId="7930EAB4" w14:textId="2DBF2499" w:rsidR="0061289D" w:rsidRDefault="00F5528D" w:rsidP="00F5528D">
      <w:pPr>
        <w:spacing w:line="360" w:lineRule="auto"/>
        <w:ind w:firstLine="567"/>
        <w:jc w:val="both"/>
        <w:rPr>
          <w:rFonts w:ascii="Arial" w:hAnsi="Arial" w:cs="Arial"/>
          <w:sz w:val="24"/>
          <w:szCs w:val="24"/>
        </w:rPr>
      </w:pPr>
      <w:r w:rsidRPr="00BD4FC7">
        <w:rPr>
          <w:rFonts w:ascii="Arial" w:hAnsi="Arial" w:cs="Arial"/>
          <w:sz w:val="24"/>
          <w:szCs w:val="24"/>
        </w:rPr>
        <w:t>Con lo anterior, queda en evidencia que el acto impugnado tuvo sustento en actos anteriores que fueron realizados conforme a las normas declaradas inconstitucio</w:t>
      </w:r>
      <w:r w:rsidR="00F71B76">
        <w:rPr>
          <w:rFonts w:ascii="Arial" w:hAnsi="Arial" w:cs="Arial"/>
          <w:sz w:val="24"/>
          <w:szCs w:val="24"/>
        </w:rPr>
        <w:t>nales</w:t>
      </w:r>
      <w:r w:rsidR="001812E2">
        <w:rPr>
          <w:rFonts w:ascii="Arial" w:hAnsi="Arial" w:cs="Arial"/>
          <w:sz w:val="24"/>
          <w:szCs w:val="24"/>
        </w:rPr>
        <w:t>,</w:t>
      </w:r>
      <w:r w:rsidR="00F71B76">
        <w:rPr>
          <w:rFonts w:ascii="Arial" w:hAnsi="Arial" w:cs="Arial"/>
          <w:sz w:val="24"/>
          <w:szCs w:val="24"/>
        </w:rPr>
        <w:t xml:space="preserve"> causándole un perjuicio a</w:t>
      </w:r>
      <w:r w:rsidRPr="00BD4FC7">
        <w:rPr>
          <w:rFonts w:ascii="Arial" w:hAnsi="Arial" w:cs="Arial"/>
          <w:sz w:val="24"/>
          <w:szCs w:val="24"/>
        </w:rPr>
        <w:t xml:space="preserve">l actor. Por lo que esta Sala </w:t>
      </w:r>
      <w:r w:rsidR="001812E2">
        <w:rPr>
          <w:rFonts w:ascii="Arial" w:hAnsi="Arial" w:cs="Arial"/>
          <w:sz w:val="24"/>
          <w:szCs w:val="24"/>
        </w:rPr>
        <w:t xml:space="preserve">Unitaria </w:t>
      </w:r>
      <w:r w:rsidRPr="00BD4FC7">
        <w:rPr>
          <w:rFonts w:ascii="Arial" w:hAnsi="Arial" w:cs="Arial"/>
          <w:sz w:val="24"/>
          <w:szCs w:val="24"/>
        </w:rPr>
        <w:t xml:space="preserve">atenta al principio </w:t>
      </w:r>
      <w:proofErr w:type="spellStart"/>
      <w:r w:rsidR="001812E2">
        <w:rPr>
          <w:rFonts w:ascii="Arial" w:hAnsi="Arial" w:cs="Arial"/>
          <w:i/>
          <w:sz w:val="24"/>
          <w:szCs w:val="24"/>
        </w:rPr>
        <w:t>pro</w:t>
      </w:r>
      <w:proofErr w:type="spellEnd"/>
      <w:r w:rsidR="001812E2">
        <w:rPr>
          <w:rFonts w:ascii="Arial" w:hAnsi="Arial" w:cs="Arial"/>
          <w:i/>
          <w:sz w:val="24"/>
          <w:szCs w:val="24"/>
        </w:rPr>
        <w:t xml:space="preserve"> persona</w:t>
      </w:r>
      <w:r w:rsidRPr="00BD4FC7">
        <w:rPr>
          <w:rFonts w:ascii="Arial" w:hAnsi="Arial" w:cs="Arial"/>
          <w:sz w:val="24"/>
          <w:szCs w:val="24"/>
        </w:rPr>
        <w:t xml:space="preserve">, previsto en el artículo 1° de la Constitución Política de los Estados Unidos Mexicanos, debe maximizar el ejercicio de los derechos fundamentales </w:t>
      </w:r>
      <w:r w:rsidR="001812E2">
        <w:rPr>
          <w:rFonts w:ascii="Arial" w:hAnsi="Arial" w:cs="Arial"/>
          <w:sz w:val="24"/>
          <w:szCs w:val="24"/>
        </w:rPr>
        <w:t>del actor</w:t>
      </w:r>
      <w:r w:rsidRPr="00BD4FC7">
        <w:rPr>
          <w:rFonts w:ascii="Arial" w:hAnsi="Arial" w:cs="Arial"/>
          <w:sz w:val="24"/>
          <w:szCs w:val="24"/>
        </w:rPr>
        <w:t>, en el sentido de aplicar la norma que busquen el m</w:t>
      </w:r>
      <w:r w:rsidR="0061289D">
        <w:rPr>
          <w:rFonts w:ascii="Arial" w:hAnsi="Arial" w:cs="Arial"/>
          <w:sz w:val="24"/>
          <w:szCs w:val="24"/>
        </w:rPr>
        <w:t xml:space="preserve">ayor beneficio de las personas. </w:t>
      </w:r>
    </w:p>
    <w:p w14:paraId="03EAF687" w14:textId="18BB0049" w:rsidR="00F5528D" w:rsidRPr="00BD4FC7" w:rsidRDefault="00F5528D" w:rsidP="000F044D">
      <w:pPr>
        <w:spacing w:line="360" w:lineRule="auto"/>
        <w:ind w:firstLine="567"/>
        <w:jc w:val="both"/>
        <w:rPr>
          <w:rFonts w:ascii="Arial" w:hAnsi="Arial" w:cs="Arial"/>
          <w:sz w:val="24"/>
          <w:szCs w:val="24"/>
        </w:rPr>
      </w:pPr>
      <w:r w:rsidRPr="00BD4FC7">
        <w:rPr>
          <w:rFonts w:ascii="Arial" w:hAnsi="Arial" w:cs="Arial"/>
          <w:sz w:val="24"/>
          <w:szCs w:val="24"/>
        </w:rPr>
        <w:lastRenderedPageBreak/>
        <w:t>Por todo lo anteriormente expuesto, se concluye que el acto impugnado fue emitido de manera ilegal, al</w:t>
      </w:r>
      <w:r w:rsidR="0083198D">
        <w:rPr>
          <w:rFonts w:ascii="Arial" w:hAnsi="Arial" w:cs="Arial"/>
          <w:sz w:val="24"/>
          <w:szCs w:val="24"/>
        </w:rPr>
        <w:t xml:space="preserve"> contravenir las normas </w:t>
      </w:r>
      <w:r w:rsidR="0083198D">
        <w:rPr>
          <w:rFonts w:ascii="Arial" w:hAnsi="Arial" w:cs="Arial"/>
          <w:bCs/>
          <w:spacing w:val="-3"/>
          <w:sz w:val="24"/>
          <w:szCs w:val="27"/>
          <w:lang w:val="es-ES_tradnl"/>
        </w:rPr>
        <w:t>protectoras de derechos humanos, ya que hace una diferencia entre trabajadores de base trabajadores de confianza, siendo un hecho discriminatorio</w:t>
      </w:r>
      <w:r w:rsidRPr="00BD4FC7">
        <w:rPr>
          <w:rFonts w:ascii="Arial" w:hAnsi="Arial" w:cs="Arial"/>
          <w:sz w:val="24"/>
          <w:szCs w:val="24"/>
        </w:rPr>
        <w:t xml:space="preserve"> no cumplir con el requisito de validez del acto administrativo previsto </w:t>
      </w:r>
      <w:r w:rsidR="00D61CFF">
        <w:rPr>
          <w:rFonts w:ascii="Arial" w:hAnsi="Arial" w:cs="Arial"/>
          <w:sz w:val="24"/>
          <w:szCs w:val="24"/>
        </w:rPr>
        <w:t xml:space="preserve">en la fracción </w:t>
      </w:r>
      <w:r w:rsidR="009A2945" w:rsidRPr="00BD4FC7">
        <w:rPr>
          <w:rFonts w:ascii="Arial" w:hAnsi="Arial" w:cs="Arial"/>
          <w:sz w:val="24"/>
          <w:szCs w:val="24"/>
        </w:rPr>
        <w:t>V</w:t>
      </w:r>
      <w:r w:rsidR="0083198D">
        <w:rPr>
          <w:rFonts w:ascii="Arial" w:hAnsi="Arial" w:cs="Arial"/>
          <w:sz w:val="24"/>
          <w:szCs w:val="24"/>
        </w:rPr>
        <w:t>II</w:t>
      </w:r>
      <w:r w:rsidR="009A2945" w:rsidRPr="00BD4FC7">
        <w:rPr>
          <w:rFonts w:ascii="Arial" w:hAnsi="Arial" w:cs="Arial"/>
          <w:sz w:val="24"/>
          <w:szCs w:val="24"/>
        </w:rPr>
        <w:t>, del artículo 17, en relación con el</w:t>
      </w:r>
      <w:r w:rsidR="0083198D">
        <w:rPr>
          <w:rFonts w:ascii="Arial" w:hAnsi="Arial" w:cs="Arial"/>
          <w:sz w:val="24"/>
          <w:szCs w:val="24"/>
        </w:rPr>
        <w:t xml:space="preserve"> artículo 208, fracciones II y </w:t>
      </w:r>
      <w:r w:rsidR="009A2945" w:rsidRPr="00BD4FC7">
        <w:rPr>
          <w:rFonts w:ascii="Arial" w:hAnsi="Arial" w:cs="Arial"/>
          <w:sz w:val="24"/>
          <w:szCs w:val="24"/>
        </w:rPr>
        <w:t>I</w:t>
      </w:r>
      <w:r w:rsidR="0083198D">
        <w:rPr>
          <w:rFonts w:ascii="Arial" w:hAnsi="Arial" w:cs="Arial"/>
          <w:sz w:val="24"/>
          <w:szCs w:val="24"/>
        </w:rPr>
        <w:t>V</w:t>
      </w:r>
      <w:r w:rsidR="009A2945" w:rsidRPr="00BD4FC7">
        <w:rPr>
          <w:rFonts w:ascii="Arial" w:hAnsi="Arial" w:cs="Arial"/>
          <w:sz w:val="24"/>
          <w:szCs w:val="24"/>
        </w:rPr>
        <w:t xml:space="preserve"> de la Ley de Procedimiento y Justicia Administrativa para el Estado de Oaxaca</w:t>
      </w:r>
      <w:r w:rsidRPr="00BD4FC7">
        <w:rPr>
          <w:rFonts w:ascii="Arial" w:hAnsi="Arial" w:cs="Arial"/>
          <w:sz w:val="24"/>
          <w:szCs w:val="24"/>
        </w:rPr>
        <w:t>, vulnerando con</w:t>
      </w:r>
      <w:r w:rsidR="0083198D">
        <w:rPr>
          <w:rFonts w:ascii="Arial" w:hAnsi="Arial" w:cs="Arial"/>
          <w:sz w:val="24"/>
          <w:szCs w:val="24"/>
        </w:rPr>
        <w:t xml:space="preserve"> ello el derecho de igualdad de</w:t>
      </w:r>
      <w:r w:rsidRPr="00BD4FC7">
        <w:rPr>
          <w:rFonts w:ascii="Arial" w:hAnsi="Arial" w:cs="Arial"/>
          <w:sz w:val="24"/>
          <w:szCs w:val="24"/>
        </w:rPr>
        <w:t>l</w:t>
      </w:r>
      <w:r w:rsidR="0083198D">
        <w:rPr>
          <w:rFonts w:ascii="Arial" w:hAnsi="Arial" w:cs="Arial"/>
          <w:sz w:val="24"/>
          <w:szCs w:val="24"/>
        </w:rPr>
        <w:t xml:space="preserve"> </w:t>
      </w:r>
      <w:r w:rsidR="00687AAE">
        <w:rPr>
          <w:rFonts w:ascii="Arial" w:hAnsi="Arial" w:cs="Arial"/>
          <w:sz w:val="24"/>
          <w:szCs w:val="24"/>
        </w:rPr>
        <w:t>****</w:t>
      </w:r>
      <w:r w:rsidRPr="00BD4FC7">
        <w:rPr>
          <w:rFonts w:ascii="Arial" w:hAnsi="Arial" w:cs="Arial"/>
          <w:sz w:val="24"/>
          <w:szCs w:val="24"/>
        </w:rPr>
        <w:t>, ya que no se pronunció respecto de las demás prestaciones a la que tenía derecho; así también respecto de su actuar al descontar</w:t>
      </w:r>
      <w:r w:rsidR="0083198D">
        <w:rPr>
          <w:rFonts w:ascii="Arial" w:hAnsi="Arial" w:cs="Arial"/>
          <w:sz w:val="24"/>
          <w:szCs w:val="24"/>
        </w:rPr>
        <w:t xml:space="preserve"> el 9% a la pensión otorgada, y </w:t>
      </w:r>
      <w:r w:rsidRPr="00BD4FC7">
        <w:rPr>
          <w:rFonts w:ascii="Arial" w:hAnsi="Arial" w:cs="Arial"/>
          <w:sz w:val="24"/>
          <w:szCs w:val="24"/>
        </w:rPr>
        <w:t>que se encuentra fundado en preceptos declarados inconstitucionales, por</w:t>
      </w:r>
      <w:r w:rsidR="0083198D">
        <w:rPr>
          <w:rFonts w:ascii="Arial" w:hAnsi="Arial" w:cs="Arial"/>
          <w:sz w:val="24"/>
          <w:szCs w:val="24"/>
        </w:rPr>
        <w:t xml:space="preserve"> lo que los conceptos de impugnación PRIMERO a TERCERO resultan </w:t>
      </w:r>
      <w:r w:rsidR="0083198D" w:rsidRPr="0083198D">
        <w:rPr>
          <w:rFonts w:ascii="Arial" w:hAnsi="Arial" w:cs="Arial"/>
          <w:b/>
          <w:sz w:val="24"/>
          <w:szCs w:val="24"/>
        </w:rPr>
        <w:t>FUNDADOS</w:t>
      </w:r>
      <w:r w:rsidR="0083198D">
        <w:rPr>
          <w:rFonts w:ascii="Arial" w:hAnsi="Arial" w:cs="Arial"/>
          <w:sz w:val="24"/>
          <w:szCs w:val="24"/>
        </w:rPr>
        <w:t>,</w:t>
      </w:r>
      <w:r w:rsidRPr="00BD4FC7">
        <w:rPr>
          <w:rFonts w:ascii="Arial" w:hAnsi="Arial" w:cs="Arial"/>
          <w:sz w:val="24"/>
          <w:szCs w:val="24"/>
        </w:rPr>
        <w:t xml:space="preserve"> </w:t>
      </w:r>
      <w:r w:rsidR="0083198D">
        <w:rPr>
          <w:rFonts w:ascii="Arial" w:hAnsi="Arial" w:cs="Arial"/>
          <w:sz w:val="24"/>
          <w:szCs w:val="24"/>
        </w:rPr>
        <w:t>en consecuencia, esta Sala Unitaria estima pertinente</w:t>
      </w:r>
      <w:r w:rsidRPr="00BD4FC7">
        <w:rPr>
          <w:rFonts w:ascii="Arial" w:hAnsi="Arial" w:cs="Arial"/>
          <w:sz w:val="24"/>
          <w:szCs w:val="24"/>
        </w:rPr>
        <w:t xml:space="preserve"> declarar la </w:t>
      </w:r>
      <w:r w:rsidRPr="00BA244C">
        <w:rPr>
          <w:rFonts w:ascii="Arial" w:hAnsi="Arial" w:cs="Arial"/>
          <w:b/>
          <w:sz w:val="24"/>
          <w:szCs w:val="24"/>
        </w:rPr>
        <w:t>NULIDAD</w:t>
      </w:r>
      <w:r w:rsidRPr="00BD4FC7">
        <w:rPr>
          <w:rFonts w:ascii="Arial" w:hAnsi="Arial" w:cs="Arial"/>
          <w:sz w:val="24"/>
          <w:szCs w:val="24"/>
        </w:rPr>
        <w:t xml:space="preserve"> del oficio número </w:t>
      </w:r>
      <w:r w:rsidR="002E65B4">
        <w:rPr>
          <w:rFonts w:ascii="Arial" w:hAnsi="Arial" w:cs="Arial"/>
          <w:bCs/>
          <w:spacing w:val="-3"/>
          <w:sz w:val="24"/>
          <w:szCs w:val="27"/>
          <w:lang w:val="es-ES_tradnl"/>
        </w:rPr>
        <w:t>OP/DG/</w:t>
      </w:r>
      <w:r w:rsidR="00687AAE">
        <w:rPr>
          <w:rFonts w:ascii="Arial" w:hAnsi="Arial" w:cs="Arial"/>
          <w:bCs/>
          <w:spacing w:val="-3"/>
          <w:sz w:val="24"/>
          <w:szCs w:val="27"/>
          <w:lang w:val="es-ES_tradnl"/>
        </w:rPr>
        <w:t>****</w:t>
      </w:r>
      <w:r w:rsidR="00AA5CAE">
        <w:rPr>
          <w:rFonts w:ascii="Arial" w:hAnsi="Arial" w:cs="Arial"/>
          <w:bCs/>
          <w:spacing w:val="-3"/>
          <w:sz w:val="24"/>
          <w:szCs w:val="27"/>
          <w:lang w:val="es-ES_tradnl"/>
        </w:rPr>
        <w:t>/2019</w:t>
      </w:r>
      <w:r w:rsidR="00220D6F">
        <w:rPr>
          <w:rFonts w:ascii="Arial" w:hAnsi="Arial" w:cs="Arial"/>
          <w:bCs/>
          <w:spacing w:val="-3"/>
          <w:sz w:val="24"/>
          <w:szCs w:val="27"/>
          <w:lang w:val="es-ES_tradnl"/>
        </w:rPr>
        <w:t xml:space="preserve"> de fecha </w:t>
      </w:r>
      <w:r w:rsidR="00687AAE">
        <w:rPr>
          <w:rFonts w:ascii="Arial" w:hAnsi="Arial" w:cs="Arial"/>
          <w:bCs/>
          <w:spacing w:val="-3"/>
          <w:sz w:val="24"/>
          <w:szCs w:val="27"/>
          <w:lang w:val="es-ES_tradnl"/>
        </w:rPr>
        <w:t>****</w:t>
      </w:r>
      <w:r w:rsidR="002E65B4">
        <w:rPr>
          <w:rFonts w:ascii="Arial" w:hAnsi="Arial" w:cs="Arial"/>
          <w:bCs/>
          <w:spacing w:val="-3"/>
          <w:sz w:val="24"/>
          <w:szCs w:val="27"/>
          <w:lang w:val="es-ES_tradnl"/>
        </w:rPr>
        <w:t xml:space="preserve"> de </w:t>
      </w:r>
      <w:r w:rsidR="00687AAE">
        <w:rPr>
          <w:rFonts w:ascii="Arial" w:hAnsi="Arial" w:cs="Arial"/>
          <w:bCs/>
          <w:spacing w:val="-3"/>
          <w:sz w:val="24"/>
          <w:szCs w:val="27"/>
          <w:lang w:val="es-ES_tradnl"/>
        </w:rPr>
        <w:t>*****</w:t>
      </w:r>
      <w:r w:rsidR="004E6267">
        <w:rPr>
          <w:rFonts w:ascii="Arial" w:hAnsi="Arial" w:cs="Arial"/>
          <w:bCs/>
          <w:spacing w:val="-3"/>
          <w:sz w:val="24"/>
          <w:szCs w:val="27"/>
          <w:lang w:val="es-ES_tradnl"/>
        </w:rPr>
        <w:t xml:space="preserve"> de dos mil diecinueve</w:t>
      </w:r>
      <w:r w:rsidRPr="00BD4FC7">
        <w:rPr>
          <w:rFonts w:ascii="Arial" w:hAnsi="Arial" w:cs="Arial"/>
          <w:sz w:val="24"/>
          <w:szCs w:val="24"/>
        </w:rPr>
        <w:t xml:space="preserve">, emitido por el Director General de la Oficina de Pensiones del Estado de Oaxaca, </w:t>
      </w:r>
      <w:r w:rsidRPr="00DD3FBD">
        <w:rPr>
          <w:rFonts w:ascii="Arial" w:hAnsi="Arial" w:cs="Arial"/>
          <w:b/>
          <w:sz w:val="24"/>
          <w:szCs w:val="24"/>
        </w:rPr>
        <w:t>PARA EL EFECTO</w:t>
      </w:r>
      <w:r w:rsidRPr="00BD4FC7">
        <w:rPr>
          <w:rFonts w:ascii="Arial" w:hAnsi="Arial" w:cs="Arial"/>
          <w:sz w:val="24"/>
          <w:szCs w:val="24"/>
        </w:rPr>
        <w:t xml:space="preserve"> de que la autoridad demandada deje sin efectos el oficio controvertido </w:t>
      </w:r>
      <w:r w:rsidR="009A6B56">
        <w:rPr>
          <w:rFonts w:ascii="Arial" w:hAnsi="Arial" w:cs="Arial"/>
          <w:sz w:val="24"/>
          <w:szCs w:val="24"/>
        </w:rPr>
        <w:t xml:space="preserve">y emita </w:t>
      </w:r>
      <w:r w:rsidRPr="00BD4FC7">
        <w:rPr>
          <w:rFonts w:ascii="Arial" w:hAnsi="Arial" w:cs="Arial"/>
          <w:sz w:val="24"/>
          <w:szCs w:val="24"/>
        </w:rPr>
        <w:t xml:space="preserve">un nuevo acto </w:t>
      </w:r>
      <w:r w:rsidR="009A6B56">
        <w:rPr>
          <w:rFonts w:ascii="Arial" w:hAnsi="Arial" w:cs="Arial"/>
          <w:sz w:val="24"/>
          <w:szCs w:val="24"/>
        </w:rPr>
        <w:t>debidamente fundado y motivado en</w:t>
      </w:r>
      <w:r w:rsidRPr="00BD4FC7">
        <w:rPr>
          <w:rFonts w:ascii="Arial" w:hAnsi="Arial" w:cs="Arial"/>
          <w:sz w:val="24"/>
          <w:szCs w:val="24"/>
        </w:rPr>
        <w:t xml:space="preserve"> términos de la presente resolución, </w:t>
      </w:r>
      <w:r>
        <w:rPr>
          <w:rFonts w:ascii="Arial" w:hAnsi="Arial" w:cs="Arial"/>
          <w:sz w:val="24"/>
          <w:szCs w:val="24"/>
        </w:rPr>
        <w:t xml:space="preserve">donde haga el reajuste </w:t>
      </w:r>
      <w:r w:rsidRPr="00BD4FC7">
        <w:rPr>
          <w:rFonts w:ascii="Arial" w:hAnsi="Arial" w:cs="Arial"/>
          <w:sz w:val="24"/>
          <w:szCs w:val="24"/>
        </w:rPr>
        <w:t xml:space="preserve">de pensión considerando el salario integrado para el efecto de </w:t>
      </w:r>
      <w:r w:rsidR="0000650D">
        <w:rPr>
          <w:rFonts w:ascii="Arial" w:hAnsi="Arial" w:cs="Arial"/>
          <w:sz w:val="24"/>
          <w:szCs w:val="24"/>
        </w:rPr>
        <w:t xml:space="preserve">la cuantificación de la </w:t>
      </w:r>
      <w:r w:rsidRPr="00BD4FC7">
        <w:rPr>
          <w:rFonts w:ascii="Arial" w:hAnsi="Arial" w:cs="Arial"/>
          <w:sz w:val="24"/>
          <w:szCs w:val="24"/>
        </w:rPr>
        <w:t xml:space="preserve">pensión </w:t>
      </w:r>
      <w:r w:rsidR="0000650D">
        <w:rPr>
          <w:rFonts w:ascii="Arial" w:hAnsi="Arial" w:cs="Arial"/>
          <w:sz w:val="24"/>
          <w:szCs w:val="24"/>
        </w:rPr>
        <w:t>solicitada</w:t>
      </w:r>
      <w:r w:rsidRPr="00BD4FC7">
        <w:rPr>
          <w:rFonts w:ascii="Arial" w:hAnsi="Arial" w:cs="Arial"/>
          <w:sz w:val="24"/>
          <w:szCs w:val="24"/>
        </w:rPr>
        <w:t>, integra</w:t>
      </w:r>
      <w:r w:rsidR="001134F5">
        <w:rPr>
          <w:rFonts w:ascii="Arial" w:hAnsi="Arial" w:cs="Arial"/>
          <w:sz w:val="24"/>
          <w:szCs w:val="24"/>
        </w:rPr>
        <w:t>n</w:t>
      </w:r>
      <w:r w:rsidRPr="00BD4FC7">
        <w:rPr>
          <w:rFonts w:ascii="Arial" w:hAnsi="Arial" w:cs="Arial"/>
          <w:sz w:val="24"/>
          <w:szCs w:val="24"/>
        </w:rPr>
        <w:t xml:space="preserve">do los conceptos respectivos que percibía </w:t>
      </w:r>
      <w:r w:rsidR="00687AAE">
        <w:rPr>
          <w:rFonts w:ascii="Arial" w:hAnsi="Arial" w:cs="Arial"/>
          <w:bCs/>
          <w:spacing w:val="-3"/>
          <w:sz w:val="24"/>
          <w:szCs w:val="27"/>
          <w:lang w:val="es-ES_tradnl"/>
        </w:rPr>
        <w:t>*****</w:t>
      </w:r>
      <w:r w:rsidR="0000650D">
        <w:rPr>
          <w:rFonts w:ascii="Arial" w:hAnsi="Arial" w:cs="Arial"/>
          <w:bCs/>
          <w:spacing w:val="-3"/>
          <w:sz w:val="24"/>
          <w:szCs w:val="27"/>
          <w:lang w:val="es-ES_tradnl"/>
        </w:rPr>
        <w:t xml:space="preserve"> </w:t>
      </w:r>
      <w:r w:rsidR="00687AAE">
        <w:rPr>
          <w:rFonts w:ascii="Arial" w:hAnsi="Arial" w:cs="Arial"/>
          <w:bCs/>
          <w:spacing w:val="-3"/>
          <w:sz w:val="24"/>
          <w:szCs w:val="27"/>
          <w:lang w:val="es-ES_tradnl"/>
        </w:rPr>
        <w:t>****</w:t>
      </w:r>
      <w:r w:rsidR="0000650D">
        <w:rPr>
          <w:rFonts w:ascii="Arial" w:hAnsi="Arial" w:cs="Arial"/>
          <w:bCs/>
          <w:spacing w:val="-3"/>
          <w:sz w:val="24"/>
          <w:szCs w:val="27"/>
          <w:lang w:val="es-ES_tradnl"/>
        </w:rPr>
        <w:t xml:space="preserve"> </w:t>
      </w:r>
      <w:r w:rsidR="00687AAE">
        <w:rPr>
          <w:rFonts w:ascii="Arial" w:hAnsi="Arial" w:cs="Arial"/>
          <w:bCs/>
          <w:spacing w:val="-3"/>
          <w:sz w:val="24"/>
          <w:szCs w:val="27"/>
          <w:lang w:val="es-ES_tradnl"/>
        </w:rPr>
        <w:t>*****</w:t>
      </w:r>
      <w:r w:rsidR="0000650D" w:rsidRPr="00BD4FC7">
        <w:rPr>
          <w:rFonts w:ascii="Arial" w:hAnsi="Arial" w:cs="Arial"/>
          <w:sz w:val="24"/>
          <w:szCs w:val="24"/>
        </w:rPr>
        <w:t xml:space="preserve"> </w:t>
      </w:r>
      <w:r w:rsidR="0000650D">
        <w:rPr>
          <w:rFonts w:ascii="Arial" w:hAnsi="Arial" w:cs="Arial"/>
          <w:sz w:val="24"/>
          <w:szCs w:val="24"/>
        </w:rPr>
        <w:t>de</w:t>
      </w:r>
      <w:r w:rsidRPr="00BD4FC7">
        <w:rPr>
          <w:rFonts w:ascii="Arial" w:hAnsi="Arial" w:cs="Arial"/>
          <w:sz w:val="24"/>
          <w:szCs w:val="24"/>
        </w:rPr>
        <w:t xml:space="preserve"> forma mensual como </w:t>
      </w:r>
      <w:r w:rsidR="00EF2547">
        <w:rPr>
          <w:rFonts w:ascii="Arial" w:hAnsi="Arial" w:cs="Arial"/>
          <w:sz w:val="24"/>
          <w:szCs w:val="24"/>
        </w:rPr>
        <w:t>***** *****</w:t>
      </w:r>
      <w:r w:rsidR="001134F5">
        <w:rPr>
          <w:rFonts w:ascii="Arial" w:hAnsi="Arial" w:cs="Arial"/>
          <w:sz w:val="24"/>
          <w:szCs w:val="24"/>
        </w:rPr>
        <w:t xml:space="preserve">, tomando en cuenta </w:t>
      </w:r>
      <w:r w:rsidR="00643516">
        <w:rPr>
          <w:rFonts w:ascii="Arial" w:hAnsi="Arial" w:cs="Arial"/>
          <w:sz w:val="24"/>
          <w:szCs w:val="24"/>
        </w:rPr>
        <w:t>los conceptos</w:t>
      </w:r>
      <w:r w:rsidR="000F044D">
        <w:rPr>
          <w:rFonts w:ascii="Arial" w:hAnsi="Arial" w:cs="Arial"/>
          <w:sz w:val="24"/>
          <w:szCs w:val="24"/>
        </w:rPr>
        <w:t xml:space="preserve"> </w:t>
      </w:r>
      <w:r w:rsidR="001134F5">
        <w:rPr>
          <w:rFonts w:ascii="Arial" w:hAnsi="Arial" w:cs="Arial"/>
          <w:sz w:val="24"/>
          <w:szCs w:val="24"/>
        </w:rPr>
        <w:t xml:space="preserve">estipulados en el artículo </w:t>
      </w:r>
      <w:r w:rsidR="001134F5" w:rsidRPr="00BD4FC7">
        <w:rPr>
          <w:rFonts w:ascii="Arial" w:hAnsi="Arial" w:cs="Arial"/>
          <w:sz w:val="24"/>
          <w:szCs w:val="24"/>
        </w:rPr>
        <w:t>54 fracción I de la Ley de Pensiones para los trabajadores del Gobierno del Estado de Oaxaca</w:t>
      </w:r>
      <w:r w:rsidR="001134F5">
        <w:rPr>
          <w:rFonts w:ascii="Arial" w:hAnsi="Arial" w:cs="Arial"/>
          <w:sz w:val="24"/>
          <w:szCs w:val="24"/>
        </w:rPr>
        <w:t xml:space="preserve">, </w:t>
      </w:r>
      <w:r w:rsidR="000F044D">
        <w:rPr>
          <w:rFonts w:ascii="Arial" w:hAnsi="Arial" w:cs="Arial"/>
          <w:sz w:val="24"/>
          <w:szCs w:val="24"/>
        </w:rPr>
        <w:t xml:space="preserve">que en su momento se corrobore que percibía </w:t>
      </w:r>
      <w:r w:rsidR="00B90587">
        <w:rPr>
          <w:rFonts w:ascii="Arial" w:hAnsi="Arial" w:cs="Arial"/>
          <w:sz w:val="24"/>
          <w:szCs w:val="24"/>
        </w:rPr>
        <w:t xml:space="preserve">más </w:t>
      </w:r>
      <w:r w:rsidR="000F044D">
        <w:rPr>
          <w:rFonts w:ascii="Arial" w:hAnsi="Arial" w:cs="Arial"/>
          <w:sz w:val="24"/>
          <w:szCs w:val="24"/>
        </w:rPr>
        <w:t xml:space="preserve">su </w:t>
      </w:r>
      <w:r w:rsidR="00B90587">
        <w:rPr>
          <w:rFonts w:ascii="Arial" w:hAnsi="Arial" w:cs="Arial"/>
          <w:sz w:val="24"/>
          <w:szCs w:val="24"/>
        </w:rPr>
        <w:t xml:space="preserve">salario base, </w:t>
      </w:r>
      <w:r w:rsidR="00B90587" w:rsidRPr="00BD4FC7">
        <w:rPr>
          <w:rFonts w:ascii="Arial" w:hAnsi="Arial" w:cs="Arial"/>
          <w:sz w:val="24"/>
          <w:szCs w:val="24"/>
        </w:rPr>
        <w:t>(con excepción de aquellas prestaciones otorgadas de forma anual,</w:t>
      </w:r>
      <w:r w:rsidR="00B90587">
        <w:rPr>
          <w:rFonts w:ascii="Arial" w:hAnsi="Arial" w:cs="Arial"/>
          <w:sz w:val="24"/>
          <w:szCs w:val="24"/>
        </w:rPr>
        <w:t xml:space="preserve"> o con motivo de ajuste de salario),</w:t>
      </w:r>
      <w:r w:rsidR="00B90587" w:rsidRPr="00BD4FC7">
        <w:rPr>
          <w:rFonts w:ascii="Arial" w:hAnsi="Arial" w:cs="Arial"/>
          <w:sz w:val="24"/>
          <w:szCs w:val="24"/>
        </w:rPr>
        <w:t xml:space="preserve"> </w:t>
      </w:r>
      <w:r w:rsidR="001134F5">
        <w:rPr>
          <w:rFonts w:ascii="Arial" w:hAnsi="Arial" w:cs="Arial"/>
          <w:sz w:val="24"/>
          <w:szCs w:val="24"/>
        </w:rPr>
        <w:t>y que</w:t>
      </w:r>
      <w:r w:rsidR="00B90587" w:rsidRPr="004D4D80">
        <w:rPr>
          <w:rFonts w:ascii="Arial" w:hAnsi="Arial" w:cs="Arial"/>
          <w:sz w:val="24"/>
          <w:szCs w:val="24"/>
        </w:rPr>
        <w:t xml:space="preserve"> deberán ser integradas al momento </w:t>
      </w:r>
      <w:r w:rsidR="001134F5">
        <w:rPr>
          <w:rFonts w:ascii="Arial" w:hAnsi="Arial" w:cs="Arial"/>
          <w:sz w:val="24"/>
          <w:szCs w:val="24"/>
        </w:rPr>
        <w:t>de que sea pagada su pensión</w:t>
      </w:r>
      <w:r w:rsidR="00B90587" w:rsidRPr="004D4D80">
        <w:rPr>
          <w:rFonts w:ascii="Arial" w:hAnsi="Arial" w:cs="Arial"/>
          <w:sz w:val="24"/>
          <w:szCs w:val="24"/>
        </w:rPr>
        <w:t>, debiendo igualmente hacer el ajuste a las cantidades que por concepto de pensión ya pagó</w:t>
      </w:r>
      <w:r w:rsidR="00B90587" w:rsidRPr="00BD4FC7">
        <w:rPr>
          <w:rFonts w:ascii="Arial" w:hAnsi="Arial" w:cs="Arial"/>
          <w:sz w:val="24"/>
          <w:szCs w:val="24"/>
        </w:rPr>
        <w:t>,</w:t>
      </w:r>
      <w:r w:rsidR="00B90587">
        <w:rPr>
          <w:rFonts w:ascii="Arial" w:hAnsi="Arial" w:cs="Arial"/>
          <w:sz w:val="24"/>
          <w:szCs w:val="24"/>
        </w:rPr>
        <w:t xml:space="preserve"> es decir, de forma retroactiva desde la fecha en que se inició a pagar la pensión mencionada,</w:t>
      </w:r>
      <w:r w:rsidR="00B90587" w:rsidRPr="00BD4FC7">
        <w:rPr>
          <w:rFonts w:ascii="Arial" w:hAnsi="Arial" w:cs="Arial"/>
          <w:sz w:val="24"/>
          <w:szCs w:val="24"/>
        </w:rPr>
        <w:t xml:space="preserve"> también será importante que no opere el descuento del 9% por concepto de cuota al Fondo de Pensiones</w:t>
      </w:r>
      <w:r w:rsidR="001134F5">
        <w:rPr>
          <w:rFonts w:ascii="Arial" w:hAnsi="Arial" w:cs="Arial"/>
          <w:sz w:val="24"/>
          <w:szCs w:val="24"/>
        </w:rPr>
        <w:t>,</w:t>
      </w:r>
      <w:r w:rsidR="00B90587" w:rsidRPr="00BD4FC7">
        <w:rPr>
          <w:rFonts w:ascii="Arial" w:hAnsi="Arial" w:cs="Arial"/>
          <w:sz w:val="24"/>
          <w:szCs w:val="24"/>
        </w:rPr>
        <w:t xml:space="preserve"> por haber sido ya declarado inconstitucional, debiendo devolver al hoy actor los descuentos hechos a su pensión desde la fecha en que le comenzó a pagar la pensión y abstenerse de realizar dicho descuento a futuro, por ello el dictamen deberá estar debidamente fundado y motivado cumpliendo los requisitos y elementos de validez del acto administrativo a los que hace referencia el artículo 17 de la Ley de Procedimiento y Justicia Administr</w:t>
      </w:r>
      <w:r w:rsidR="00B90587">
        <w:rPr>
          <w:rFonts w:ascii="Arial" w:hAnsi="Arial" w:cs="Arial"/>
          <w:sz w:val="24"/>
          <w:szCs w:val="24"/>
        </w:rPr>
        <w:t>ati</w:t>
      </w:r>
      <w:r w:rsidR="00CA4A02">
        <w:rPr>
          <w:rFonts w:ascii="Arial" w:hAnsi="Arial" w:cs="Arial"/>
          <w:sz w:val="24"/>
          <w:szCs w:val="24"/>
        </w:rPr>
        <w:t>va para el Estado de Oaxaca.</w:t>
      </w:r>
    </w:p>
    <w:p w14:paraId="680053B6" w14:textId="556B77DF" w:rsidR="00F5528D" w:rsidRPr="00BD4FC7" w:rsidRDefault="00F5528D" w:rsidP="00F5528D">
      <w:pPr>
        <w:spacing w:line="360" w:lineRule="auto"/>
        <w:ind w:firstLine="567"/>
        <w:jc w:val="both"/>
        <w:rPr>
          <w:rFonts w:ascii="Arial" w:hAnsi="Arial" w:cs="Arial"/>
          <w:sz w:val="24"/>
          <w:szCs w:val="24"/>
        </w:rPr>
      </w:pPr>
      <w:r w:rsidRPr="00BD4FC7">
        <w:rPr>
          <w:rFonts w:ascii="Arial" w:hAnsi="Arial" w:cs="Arial"/>
          <w:sz w:val="24"/>
          <w:szCs w:val="24"/>
        </w:rPr>
        <w:t>Sirve de apoyo</w:t>
      </w:r>
      <w:r w:rsidR="008E2D64">
        <w:rPr>
          <w:rFonts w:ascii="Arial" w:hAnsi="Arial" w:cs="Arial"/>
          <w:sz w:val="24"/>
          <w:szCs w:val="24"/>
        </w:rPr>
        <w:t xml:space="preserve"> a lo anterior la tesis</w:t>
      </w:r>
      <w:r w:rsidR="002E1A8B">
        <w:rPr>
          <w:rStyle w:val="Refdenotaalpie"/>
          <w:rFonts w:ascii="Arial" w:hAnsi="Arial" w:cs="Arial"/>
          <w:sz w:val="24"/>
          <w:szCs w:val="24"/>
        </w:rPr>
        <w:footnoteReference w:id="8"/>
      </w:r>
      <w:r w:rsidRPr="00BD4FC7">
        <w:rPr>
          <w:rFonts w:ascii="Arial" w:hAnsi="Arial" w:cs="Arial"/>
          <w:sz w:val="24"/>
          <w:szCs w:val="24"/>
        </w:rPr>
        <w:t>, ba</w:t>
      </w:r>
      <w:r>
        <w:rPr>
          <w:rFonts w:ascii="Arial" w:hAnsi="Arial" w:cs="Arial"/>
          <w:sz w:val="24"/>
          <w:szCs w:val="24"/>
        </w:rPr>
        <w:t>jo el texto y rubro siguiente:</w:t>
      </w:r>
    </w:p>
    <w:p w14:paraId="6F984F92" w14:textId="77777777" w:rsidR="00F5528D" w:rsidRPr="00371D3E" w:rsidRDefault="00F5528D" w:rsidP="00F5528D">
      <w:pPr>
        <w:ind w:left="567"/>
        <w:jc w:val="both"/>
        <w:rPr>
          <w:rFonts w:ascii="Arial" w:hAnsi="Arial" w:cs="Arial"/>
          <w:i/>
          <w:sz w:val="24"/>
          <w:szCs w:val="24"/>
        </w:rPr>
      </w:pPr>
      <w:r w:rsidRPr="00371D3E">
        <w:rPr>
          <w:rFonts w:ascii="Arial" w:hAnsi="Arial" w:cs="Arial"/>
          <w:b/>
          <w:i/>
          <w:sz w:val="24"/>
          <w:szCs w:val="24"/>
        </w:rPr>
        <w:t xml:space="preserve">“FUNDAMENTACIÓN Y MOTIVACIÓN, FALTA O INDEBIDA. EN CUANTO SON DISTINTAS, UNAS GENERAN NULIDAD LISA Y LLANA Y OTRAS </w:t>
      </w:r>
      <w:r w:rsidRPr="00371D3E">
        <w:rPr>
          <w:rFonts w:ascii="Arial" w:hAnsi="Arial" w:cs="Arial"/>
          <w:b/>
          <w:i/>
          <w:sz w:val="24"/>
          <w:szCs w:val="24"/>
        </w:rPr>
        <w:lastRenderedPageBreak/>
        <w:t>PARA EFECTOS.</w:t>
      </w:r>
      <w:r w:rsidRPr="00371D3E">
        <w:rPr>
          <w:rFonts w:ascii="Arial" w:hAnsi="Arial" w:cs="Arial"/>
          <w:i/>
          <w:sz w:val="24"/>
          <w:szCs w:val="24"/>
        </w:rPr>
        <w:t xml:space="preserve"> La Suprema Corte de Justicia de la Nación ha establecido de manera reiterada que entre las garantías de legalidad y seguridad jurídica previstas en el artículo 16 constitucional, se encuentra la relativa a que nadie puede ser molestado en su persona, posesiones o documentos, sino a virtud de mandamiento escrito de autoridad competente que funde y motive la causa legal del procedimiento, y dicha obligación se satisface cuando se expresan las normas legales aplicables y las razones que  hacen que el caso particular encuadre en la hipótesis de la norma legal aplicada. Ahora bien, el incumplimiento a lo ordenado por el precepto constitucional anterior se puede dar de dos formas, a saber: que en el acto de autoridad exista una indebida fundamentación y motivación, o bien, que se dé una falta de fundamentación y motivación del acto. La indebida fundamentación implica que en el acto sí se citan preceptos legales, pero éstos son inaplicables al caso particular; por su parte, la indebida motivación consiste en que en el acto de autoridad sí se dan motivos, pero éstos no se ajustan a los presupuestos de la norma legal citada como fundamento aplicable al asunto. En este orden de ideas, al actualizarse la hipótesis de indebida fundamentación y motivación del acto reclamado, tal circunstancia se ubica en el supuesto previsto en la fracción IV del artículo 238 del Código Fiscal de la Federación y, por tanto, la nulidad debe ser lisa y llana, pues lo contrario permitiría a la autoridad demandada que tuviera dos o más posibilidades de fundar y motivar su acto mejorando su resolución, lo cual es contrario a lo dispuesto en la fracción II del artículo 239 del Código Fiscal de la Federación, lo que implica una violación a las garantías de legalidad y seguridad jurídica consagradas en los artículos 14 y 16 constitucionales. En cambio, la falta de fundamentación consiste en la omisión de citar en el acto de molestia o de privación el o los preceptos legales que lo justifiquen; esta omisión debe ser total, consistente en la carencia de cita de normas jurídicas; por su parte, la falta de motivación consiste en la carencia total de expresión de razonamientos. Ahora bien, cuando se actualiza la hipótesis de falta de fundamentación y motivación del acto reclamado, tal circunstancia se ubica en el supuesto previsto en la fracción II del artículo 238 del Código Fiscal de la Federación y, por tanto, la nulidad debe ser para efectos, en términos de lo dispuesto en el párrafo final del numeral 239 del propio.”</w:t>
      </w:r>
    </w:p>
    <w:p w14:paraId="3781664C" w14:textId="67DADBA3" w:rsidR="003E0CBC" w:rsidRPr="009C0C09" w:rsidRDefault="00212E1F" w:rsidP="006B2626">
      <w:pPr>
        <w:spacing w:line="360" w:lineRule="auto"/>
        <w:ind w:firstLine="567"/>
        <w:jc w:val="both"/>
        <w:rPr>
          <w:rFonts w:ascii="Arial" w:hAnsi="Arial" w:cs="Arial"/>
          <w:bCs/>
          <w:snapToGrid w:val="0"/>
          <w:sz w:val="24"/>
          <w:szCs w:val="27"/>
        </w:rPr>
      </w:pPr>
      <w:r w:rsidRPr="00212E1F">
        <w:rPr>
          <w:rFonts w:ascii="Arial" w:hAnsi="Arial" w:cs="Arial"/>
          <w:sz w:val="24"/>
          <w:szCs w:val="24"/>
        </w:rPr>
        <w:t xml:space="preserve">Por lo anteriormente expuesto, fundado y motivado, en términos de los artículos </w:t>
      </w:r>
      <w:r w:rsidR="00121D94" w:rsidRPr="00BD4FC7">
        <w:rPr>
          <w:rFonts w:ascii="Arial" w:hAnsi="Arial" w:cs="Arial"/>
          <w:sz w:val="24"/>
          <w:szCs w:val="24"/>
        </w:rPr>
        <w:t>207, 208 fracciones II, IV, y VI, y 209 de la Ley de Procedimiento y Justicia Administrativa para el Estado de Oaxaca</w:t>
      </w:r>
      <w:r w:rsidRPr="00212E1F">
        <w:rPr>
          <w:rFonts w:ascii="Arial" w:hAnsi="Arial" w:cs="Arial"/>
          <w:sz w:val="24"/>
          <w:szCs w:val="24"/>
        </w:rPr>
        <w:t>, se</w:t>
      </w:r>
      <w:r w:rsidR="003E0CBC">
        <w:rPr>
          <w:rFonts w:ascii="Arial" w:hAnsi="Arial" w:cs="Arial"/>
          <w:bCs/>
          <w:snapToGrid w:val="0"/>
          <w:sz w:val="24"/>
          <w:szCs w:val="27"/>
        </w:rPr>
        <w:t>;</w:t>
      </w:r>
    </w:p>
    <w:p w14:paraId="7A3E508A" w14:textId="77777777" w:rsidR="003E0CBC" w:rsidRPr="009C0C09" w:rsidRDefault="003E0CBC" w:rsidP="006B2626">
      <w:pPr>
        <w:spacing w:line="360" w:lineRule="auto"/>
        <w:ind w:right="51" w:firstLine="567"/>
        <w:jc w:val="center"/>
        <w:rPr>
          <w:rFonts w:ascii="Arial" w:hAnsi="Arial" w:cs="Arial"/>
          <w:b/>
          <w:sz w:val="24"/>
          <w:szCs w:val="27"/>
        </w:rPr>
      </w:pPr>
      <w:r w:rsidRPr="009C0C09">
        <w:rPr>
          <w:rFonts w:ascii="Arial" w:hAnsi="Arial" w:cs="Arial"/>
          <w:b/>
          <w:sz w:val="24"/>
          <w:szCs w:val="27"/>
        </w:rPr>
        <w:t>R E S U E L V E:</w:t>
      </w:r>
    </w:p>
    <w:p w14:paraId="43A4C3A8" w14:textId="74E79DFE" w:rsidR="003E0CBC" w:rsidRPr="009C0C09" w:rsidRDefault="003E0CBC" w:rsidP="006B2626">
      <w:pPr>
        <w:widowControl w:val="0"/>
        <w:spacing w:line="360" w:lineRule="auto"/>
        <w:ind w:right="51" w:firstLine="708"/>
        <w:jc w:val="both"/>
        <w:rPr>
          <w:rFonts w:ascii="Arial" w:eastAsia="Times New Roman" w:hAnsi="Arial" w:cs="Arial"/>
          <w:sz w:val="24"/>
          <w:szCs w:val="27"/>
          <w:lang w:val="es-ES" w:eastAsia="es-ES"/>
        </w:rPr>
      </w:pPr>
      <w:r w:rsidRPr="009C0C09">
        <w:rPr>
          <w:rFonts w:ascii="Arial" w:hAnsi="Arial" w:cs="Arial"/>
          <w:b/>
          <w:sz w:val="24"/>
          <w:szCs w:val="27"/>
        </w:rPr>
        <w:t>PRIMERO</w:t>
      </w:r>
      <w:r w:rsidRPr="009C0C09">
        <w:rPr>
          <w:rFonts w:cs="Arial"/>
          <w:i/>
          <w:sz w:val="24"/>
          <w:szCs w:val="27"/>
        </w:rPr>
        <w:t>.</w:t>
      </w:r>
      <w:r w:rsidRPr="009C0C09">
        <w:rPr>
          <w:rFonts w:cs="Arial"/>
          <w:sz w:val="24"/>
          <w:szCs w:val="27"/>
        </w:rPr>
        <w:t xml:space="preserve"> </w:t>
      </w:r>
      <w:r w:rsidRPr="009C0C09">
        <w:rPr>
          <w:rFonts w:ascii="Arial" w:eastAsia="Times New Roman" w:hAnsi="Arial" w:cs="Arial"/>
          <w:sz w:val="24"/>
          <w:szCs w:val="27"/>
          <w:lang w:val="es-ES" w:eastAsia="es-ES"/>
        </w:rPr>
        <w:t xml:space="preserve">Esta </w:t>
      </w:r>
      <w:r>
        <w:rPr>
          <w:rFonts w:ascii="Arial" w:eastAsia="Times New Roman" w:hAnsi="Arial" w:cs="Arial"/>
          <w:sz w:val="24"/>
          <w:szCs w:val="27"/>
          <w:lang w:val="es-ES" w:eastAsia="es-ES"/>
        </w:rPr>
        <w:t xml:space="preserve">Segunda </w:t>
      </w:r>
      <w:r w:rsidRPr="009C0C09">
        <w:rPr>
          <w:rFonts w:ascii="Arial" w:eastAsia="Times New Roman" w:hAnsi="Arial" w:cs="Arial"/>
          <w:sz w:val="24"/>
          <w:szCs w:val="27"/>
          <w:lang w:val="es-ES" w:eastAsia="es-ES"/>
        </w:rPr>
        <w:t>Sala</w:t>
      </w:r>
      <w:r w:rsidRPr="009C0C09">
        <w:rPr>
          <w:rFonts w:ascii="Arial" w:eastAsia="Times New Roman" w:hAnsi="Arial" w:cs="Arial"/>
          <w:sz w:val="24"/>
          <w:szCs w:val="27"/>
          <w:lang w:eastAsia="es-ES"/>
        </w:rPr>
        <w:t xml:space="preserve"> Unitaria </w:t>
      </w:r>
      <w:r w:rsidRPr="009C0C09">
        <w:rPr>
          <w:rFonts w:ascii="Arial" w:eastAsia="Times New Roman" w:hAnsi="Arial" w:cs="Arial"/>
          <w:sz w:val="24"/>
          <w:szCs w:val="27"/>
          <w:lang w:val="es-ES" w:eastAsia="es-ES"/>
        </w:rPr>
        <w:t>del Tribunal de Justicia Administrativa del Estado de Oaxaca, es competente para conocer y resolver el presente juicio.</w:t>
      </w:r>
      <w:r w:rsidRPr="009C0C09">
        <w:rPr>
          <w:rFonts w:ascii="Arial" w:hAnsi="Arial" w:cs="Arial"/>
          <w:bCs/>
          <w:snapToGrid w:val="0"/>
          <w:sz w:val="24"/>
          <w:szCs w:val="27"/>
        </w:rPr>
        <w:t xml:space="preserve"> </w:t>
      </w:r>
    </w:p>
    <w:p w14:paraId="22F2D1E2" w14:textId="6758B405" w:rsidR="003E0CBC" w:rsidRPr="009C0C09" w:rsidRDefault="003E0CBC" w:rsidP="006B2626">
      <w:pPr>
        <w:pStyle w:val="Sangra2detindependiente1"/>
        <w:spacing w:after="200" w:line="360" w:lineRule="auto"/>
        <w:ind w:right="51" w:firstLine="567"/>
        <w:rPr>
          <w:rFonts w:cs="Arial"/>
          <w:b w:val="0"/>
          <w:bCs/>
          <w:i w:val="0"/>
          <w:szCs w:val="27"/>
        </w:rPr>
      </w:pPr>
      <w:r w:rsidRPr="009C0C09">
        <w:rPr>
          <w:rFonts w:cs="Arial"/>
          <w:i w:val="0"/>
          <w:szCs w:val="27"/>
        </w:rPr>
        <w:t xml:space="preserve">SEGUNDO. </w:t>
      </w:r>
      <w:r w:rsidRPr="009C0C09">
        <w:rPr>
          <w:rFonts w:cs="Arial"/>
          <w:b w:val="0"/>
          <w:bCs/>
          <w:i w:val="0"/>
          <w:szCs w:val="27"/>
        </w:rPr>
        <w:t xml:space="preserve">La personalidad de las partes quedó </w:t>
      </w:r>
      <w:r w:rsidR="008F2E3D">
        <w:rPr>
          <w:rFonts w:cs="Arial"/>
          <w:b w:val="0"/>
          <w:bCs/>
          <w:i w:val="0"/>
          <w:szCs w:val="27"/>
        </w:rPr>
        <w:t>acreditada</w:t>
      </w:r>
      <w:r w:rsidRPr="009C0C09">
        <w:rPr>
          <w:rFonts w:cs="Arial"/>
          <w:b w:val="0"/>
          <w:bCs/>
          <w:i w:val="0"/>
          <w:szCs w:val="27"/>
        </w:rPr>
        <w:t xml:space="preserve"> en autos</w:t>
      </w:r>
      <w:r w:rsidR="008F2E3D">
        <w:rPr>
          <w:rFonts w:cs="Arial"/>
          <w:b w:val="0"/>
          <w:bCs/>
          <w:i w:val="0"/>
          <w:szCs w:val="27"/>
        </w:rPr>
        <w:t>.</w:t>
      </w:r>
      <w:r w:rsidRPr="009C0C09">
        <w:rPr>
          <w:sz w:val="22"/>
        </w:rPr>
        <w:t xml:space="preserve"> </w:t>
      </w:r>
    </w:p>
    <w:p w14:paraId="586A9A60" w14:textId="6346EEE9" w:rsidR="003E0CBC" w:rsidRPr="00540DC8" w:rsidRDefault="003E0CBC" w:rsidP="006B2626">
      <w:pPr>
        <w:pStyle w:val="Sangra2detindependiente1"/>
        <w:spacing w:after="200" w:line="360" w:lineRule="auto"/>
        <w:ind w:right="51" w:firstLine="567"/>
        <w:rPr>
          <w:rFonts w:cs="Arial"/>
          <w:b w:val="0"/>
          <w:bCs/>
          <w:i w:val="0"/>
          <w:szCs w:val="27"/>
        </w:rPr>
      </w:pPr>
      <w:r w:rsidRPr="009C0C09">
        <w:rPr>
          <w:rFonts w:cs="Arial"/>
          <w:i w:val="0"/>
          <w:szCs w:val="27"/>
        </w:rPr>
        <w:t>TERCERO.</w:t>
      </w:r>
      <w:r w:rsidRPr="009C0C09">
        <w:rPr>
          <w:rFonts w:cs="Arial"/>
          <w:b w:val="0"/>
          <w:bCs/>
          <w:i w:val="0"/>
          <w:szCs w:val="27"/>
        </w:rPr>
        <w:t xml:space="preserve"> </w:t>
      </w:r>
      <w:r w:rsidR="006A5209" w:rsidRPr="006A5209">
        <w:rPr>
          <w:rFonts w:cs="Arial"/>
          <w:b w:val="0"/>
          <w:bCs/>
          <w:i w:val="0"/>
          <w:szCs w:val="27"/>
        </w:rPr>
        <w:t xml:space="preserve">Este Sala advierte que, en el presente juicio no se configura alguna causal de improcedencia o sobreseimiento expuesta en el considerando </w:t>
      </w:r>
      <w:r w:rsidR="00E04F4C">
        <w:rPr>
          <w:rFonts w:cs="Arial"/>
          <w:b w:val="0"/>
          <w:bCs/>
          <w:i w:val="0"/>
          <w:szCs w:val="27"/>
        </w:rPr>
        <w:t>TERCERO, por</w:t>
      </w:r>
      <w:r w:rsidR="006A5209" w:rsidRPr="006A5209">
        <w:rPr>
          <w:rFonts w:cs="Arial"/>
          <w:b w:val="0"/>
          <w:bCs/>
          <w:i w:val="0"/>
          <w:szCs w:val="27"/>
        </w:rPr>
        <w:t xml:space="preserve"> tanto, </w:t>
      </w:r>
      <w:r w:rsidR="006A5209" w:rsidRPr="006A5209">
        <w:rPr>
          <w:rFonts w:cs="Arial"/>
          <w:bCs/>
          <w:i w:val="0"/>
          <w:szCs w:val="27"/>
        </w:rPr>
        <w:t>NO SE SOBRESEE</w:t>
      </w:r>
      <w:r w:rsidR="00540DC8">
        <w:rPr>
          <w:rFonts w:cs="Arial"/>
          <w:b w:val="0"/>
          <w:i w:val="0"/>
          <w:szCs w:val="27"/>
        </w:rPr>
        <w:t>.</w:t>
      </w:r>
    </w:p>
    <w:p w14:paraId="37BD033A" w14:textId="2DA5E104" w:rsidR="006F0975" w:rsidRDefault="003E0CBC" w:rsidP="006B2626">
      <w:pPr>
        <w:pStyle w:val="Sangra2detindependiente1"/>
        <w:spacing w:after="200" w:line="360" w:lineRule="auto"/>
        <w:ind w:right="51" w:firstLine="567"/>
        <w:rPr>
          <w:rFonts w:cs="Arial"/>
          <w:b w:val="0"/>
          <w:bCs/>
          <w:i w:val="0"/>
          <w:szCs w:val="27"/>
        </w:rPr>
      </w:pPr>
      <w:r w:rsidRPr="009C0C09">
        <w:rPr>
          <w:rFonts w:cs="Arial"/>
          <w:i w:val="0"/>
          <w:szCs w:val="27"/>
        </w:rPr>
        <w:t>CUARTO.</w:t>
      </w:r>
      <w:r w:rsidRPr="009C0C09">
        <w:rPr>
          <w:rFonts w:cs="Arial"/>
          <w:b w:val="0"/>
          <w:bCs/>
          <w:i w:val="0"/>
          <w:szCs w:val="27"/>
        </w:rPr>
        <w:t xml:space="preserve"> </w:t>
      </w:r>
      <w:r w:rsidR="00B43ACA">
        <w:rPr>
          <w:rFonts w:cs="Arial"/>
          <w:b w:val="0"/>
          <w:bCs/>
          <w:i w:val="0"/>
          <w:szCs w:val="27"/>
        </w:rPr>
        <w:t xml:space="preserve">Se declara </w:t>
      </w:r>
      <w:r w:rsidR="00B43ACA" w:rsidRPr="00B43ACA">
        <w:rPr>
          <w:rFonts w:cs="Arial"/>
          <w:b w:val="0"/>
          <w:bCs/>
          <w:i w:val="0"/>
          <w:szCs w:val="27"/>
        </w:rPr>
        <w:t xml:space="preserve">la </w:t>
      </w:r>
      <w:r w:rsidR="00B43ACA" w:rsidRPr="00B43ACA">
        <w:rPr>
          <w:rFonts w:cs="Arial"/>
          <w:bCs/>
          <w:i w:val="0"/>
          <w:szCs w:val="27"/>
        </w:rPr>
        <w:t>NULIDAD</w:t>
      </w:r>
      <w:r w:rsidR="00B43ACA" w:rsidRPr="00B43ACA">
        <w:rPr>
          <w:rFonts w:cs="Arial"/>
          <w:b w:val="0"/>
          <w:bCs/>
          <w:i w:val="0"/>
          <w:szCs w:val="27"/>
        </w:rPr>
        <w:t xml:space="preserve"> del oficio número </w:t>
      </w:r>
      <w:r w:rsidR="000F044D">
        <w:rPr>
          <w:rFonts w:cs="Arial"/>
          <w:b w:val="0"/>
          <w:bCs/>
          <w:i w:val="0"/>
          <w:szCs w:val="27"/>
        </w:rPr>
        <w:t>OP/DG/</w:t>
      </w:r>
      <w:r w:rsidR="00EF2547">
        <w:rPr>
          <w:rFonts w:cs="Arial"/>
          <w:b w:val="0"/>
          <w:bCs/>
          <w:i w:val="0"/>
          <w:szCs w:val="27"/>
        </w:rPr>
        <w:t>*****</w:t>
      </w:r>
      <w:r w:rsidR="00AA5CAE">
        <w:rPr>
          <w:rFonts w:cs="Arial"/>
          <w:b w:val="0"/>
          <w:bCs/>
          <w:i w:val="0"/>
          <w:szCs w:val="27"/>
        </w:rPr>
        <w:t>/2019</w:t>
      </w:r>
      <w:r w:rsidR="00EB0644" w:rsidRPr="00EB0644">
        <w:rPr>
          <w:rFonts w:cs="Arial"/>
          <w:b w:val="0"/>
          <w:bCs/>
          <w:i w:val="0"/>
          <w:szCs w:val="27"/>
        </w:rPr>
        <w:t xml:space="preserve"> de </w:t>
      </w:r>
      <w:r w:rsidR="00EB0644" w:rsidRPr="00EB0644">
        <w:rPr>
          <w:rFonts w:cs="Arial"/>
          <w:b w:val="0"/>
          <w:bCs/>
          <w:i w:val="0"/>
          <w:szCs w:val="27"/>
        </w:rPr>
        <w:lastRenderedPageBreak/>
        <w:t xml:space="preserve">fecha </w:t>
      </w:r>
      <w:r w:rsidR="00EF2547">
        <w:rPr>
          <w:rFonts w:cs="Arial"/>
          <w:b w:val="0"/>
          <w:bCs/>
          <w:i w:val="0"/>
          <w:szCs w:val="27"/>
        </w:rPr>
        <w:t>*****</w:t>
      </w:r>
      <w:r w:rsidR="000F044D">
        <w:rPr>
          <w:rFonts w:cs="Arial"/>
          <w:b w:val="0"/>
          <w:bCs/>
          <w:i w:val="0"/>
          <w:szCs w:val="27"/>
        </w:rPr>
        <w:t xml:space="preserve"> de </w:t>
      </w:r>
      <w:r w:rsidR="00EF2547">
        <w:rPr>
          <w:rFonts w:cs="Arial"/>
          <w:b w:val="0"/>
          <w:bCs/>
          <w:i w:val="0"/>
          <w:szCs w:val="27"/>
        </w:rPr>
        <w:t>*****</w:t>
      </w:r>
      <w:r w:rsidR="00EB0644" w:rsidRPr="00EB0644">
        <w:rPr>
          <w:rFonts w:cs="Arial"/>
          <w:b w:val="0"/>
          <w:bCs/>
          <w:i w:val="0"/>
          <w:szCs w:val="27"/>
        </w:rPr>
        <w:t xml:space="preserve"> de dos mil diecinueve, emitido por el Director General de la Oficina de Pensiones del Estado de Oaxaca, </w:t>
      </w:r>
      <w:r w:rsidR="00EB0644" w:rsidRPr="00EB0644">
        <w:rPr>
          <w:rFonts w:cs="Arial"/>
          <w:bCs/>
          <w:i w:val="0"/>
          <w:szCs w:val="27"/>
        </w:rPr>
        <w:t>PARA EL EFECTO</w:t>
      </w:r>
      <w:r w:rsidR="00EB0644" w:rsidRPr="00EB0644">
        <w:rPr>
          <w:rFonts w:cs="Arial"/>
          <w:b w:val="0"/>
          <w:bCs/>
          <w:i w:val="0"/>
          <w:szCs w:val="27"/>
        </w:rPr>
        <w:t xml:space="preserve"> de que la autoridad demandada </w:t>
      </w:r>
      <w:r w:rsidR="007974DA">
        <w:rPr>
          <w:rFonts w:cs="Arial"/>
          <w:b w:val="0"/>
          <w:bCs/>
          <w:i w:val="0"/>
          <w:szCs w:val="27"/>
        </w:rPr>
        <w:t xml:space="preserve">deje sin efectos el acto impugnado </w:t>
      </w:r>
      <w:r w:rsidR="007974DA" w:rsidRPr="007974DA">
        <w:rPr>
          <w:rFonts w:cs="Arial"/>
          <w:b w:val="0"/>
          <w:bCs/>
          <w:i w:val="0"/>
          <w:szCs w:val="27"/>
        </w:rPr>
        <w:t xml:space="preserve">y emita un nuevo acto debidamente fundado y motivado en términos de la presente resolución, donde haga el reajuste de pensión considerando el salario integrado para el efecto de la cuantificación de la pensión solicitada, integrando los conceptos respectivos que percibía </w:t>
      </w:r>
      <w:r w:rsidR="00EF2547">
        <w:rPr>
          <w:rFonts w:cs="Arial"/>
          <w:b w:val="0"/>
          <w:bCs/>
          <w:i w:val="0"/>
          <w:szCs w:val="27"/>
        </w:rPr>
        <w:t>*****</w:t>
      </w:r>
      <w:r w:rsidR="007974DA" w:rsidRPr="007974DA">
        <w:rPr>
          <w:rFonts w:cs="Arial"/>
          <w:b w:val="0"/>
          <w:bCs/>
          <w:i w:val="0"/>
          <w:szCs w:val="27"/>
        </w:rPr>
        <w:t xml:space="preserve"> </w:t>
      </w:r>
      <w:r w:rsidR="00EF2547">
        <w:rPr>
          <w:rFonts w:cs="Arial"/>
          <w:b w:val="0"/>
          <w:bCs/>
          <w:i w:val="0"/>
          <w:szCs w:val="27"/>
        </w:rPr>
        <w:t>*****</w:t>
      </w:r>
      <w:r w:rsidR="007974DA" w:rsidRPr="007974DA">
        <w:rPr>
          <w:rFonts w:cs="Arial"/>
          <w:b w:val="0"/>
          <w:bCs/>
          <w:i w:val="0"/>
          <w:szCs w:val="27"/>
        </w:rPr>
        <w:t xml:space="preserve"> </w:t>
      </w:r>
      <w:r w:rsidR="00EF2547">
        <w:rPr>
          <w:rFonts w:cs="Arial"/>
          <w:b w:val="0"/>
          <w:bCs/>
          <w:i w:val="0"/>
          <w:szCs w:val="27"/>
        </w:rPr>
        <w:t>*****</w:t>
      </w:r>
      <w:r w:rsidR="007974DA" w:rsidRPr="007974DA">
        <w:rPr>
          <w:rFonts w:cs="Arial"/>
          <w:b w:val="0"/>
          <w:bCs/>
          <w:i w:val="0"/>
          <w:szCs w:val="27"/>
        </w:rPr>
        <w:t xml:space="preserve"> de forma mensual como </w:t>
      </w:r>
      <w:r w:rsidR="00EF2547">
        <w:rPr>
          <w:rFonts w:cs="Arial"/>
          <w:b w:val="0"/>
          <w:bCs/>
          <w:i w:val="0"/>
          <w:szCs w:val="27"/>
        </w:rPr>
        <w:t>***** *****</w:t>
      </w:r>
      <w:r w:rsidR="007974DA" w:rsidRPr="007974DA">
        <w:rPr>
          <w:rFonts w:cs="Arial"/>
          <w:b w:val="0"/>
          <w:bCs/>
          <w:i w:val="0"/>
          <w:szCs w:val="27"/>
        </w:rPr>
        <w:t>, tomando en cuenta los conceptos estipulados en el artículo 54 fracción I de la Ley de Pensiones para los trabajadores del Gobierno del Estado de Oaxaca, que en su momento se corrobore que percibía más su salario base, (con excepción de aquellas prestaciones otorgadas de forma anual, o con motivo de ajuste de salario), y que deberán ser integradas al momento de que sea pagada su pensión, debiendo igualmente hacer el ajuste a las cantidades que por concepto de pensión ya pagó, es decir, de forma retroactiva desde la fecha en que se inició a pagar la pensión mencionada, también será importante que no opere el descuento del 9% por concepto de cuota al Fondo de Pensiones, por haber sido ya declarado inconstitucional, debiendo devolver al hoy actor los descuentos hechos a su pensión desde la fecha en que le comenzó a pagar la pensión y abstenerse de realizar dicho descuento a futuro, por ello el dictamen deberá estar debidamente fundado y motivado cumpliendo los requisitos y elementos de validez del acto administrativo a los que hace referencia el artículo 17 de la Ley de Procedimiento y Justicia Administrativa para el Estado de Oaxaca</w:t>
      </w:r>
      <w:r w:rsidR="00204FE3">
        <w:rPr>
          <w:rFonts w:cs="Arial"/>
          <w:b w:val="0"/>
          <w:bCs/>
          <w:i w:val="0"/>
          <w:szCs w:val="27"/>
        </w:rPr>
        <w:t>,</w:t>
      </w:r>
      <w:r w:rsidR="00540DC8" w:rsidRPr="006F0975">
        <w:rPr>
          <w:rFonts w:cs="Arial"/>
          <w:b w:val="0"/>
          <w:bCs/>
          <w:i w:val="0"/>
          <w:szCs w:val="27"/>
        </w:rPr>
        <w:t xml:space="preserve"> por las razones </w:t>
      </w:r>
      <w:r w:rsidR="006F0975">
        <w:rPr>
          <w:rFonts w:cs="Arial"/>
          <w:b w:val="0"/>
          <w:bCs/>
          <w:i w:val="0"/>
          <w:szCs w:val="27"/>
        </w:rPr>
        <w:t>expuestas en el</w:t>
      </w:r>
      <w:r w:rsidR="00540DC8" w:rsidRPr="006F0975">
        <w:rPr>
          <w:rFonts w:cs="Arial"/>
          <w:b w:val="0"/>
          <w:bCs/>
          <w:i w:val="0"/>
          <w:szCs w:val="27"/>
        </w:rPr>
        <w:t xml:space="preserve"> considerando CUARTO de la presente sentencia.</w:t>
      </w:r>
      <w:r w:rsidR="006F0975" w:rsidRPr="006F0975">
        <w:rPr>
          <w:rFonts w:cs="Arial"/>
          <w:b w:val="0"/>
          <w:bCs/>
          <w:i w:val="0"/>
          <w:szCs w:val="27"/>
        </w:rPr>
        <w:t xml:space="preserve"> </w:t>
      </w:r>
    </w:p>
    <w:p w14:paraId="46708F1F" w14:textId="3CBC75BD" w:rsidR="00204FE3" w:rsidRPr="009C0C09" w:rsidRDefault="003E0CBC" w:rsidP="006B2626">
      <w:pPr>
        <w:pStyle w:val="Sangra2detindependiente1"/>
        <w:spacing w:after="200" w:line="360" w:lineRule="auto"/>
        <w:ind w:right="51" w:firstLine="567"/>
        <w:rPr>
          <w:rFonts w:cs="Arial"/>
          <w:b w:val="0"/>
          <w:i w:val="0"/>
          <w:szCs w:val="27"/>
          <w:lang w:val="es-MX"/>
        </w:rPr>
      </w:pPr>
      <w:r w:rsidRPr="009C0C09">
        <w:rPr>
          <w:rFonts w:cs="Arial"/>
          <w:bCs/>
          <w:i w:val="0"/>
          <w:szCs w:val="27"/>
          <w:lang w:val="es-MX"/>
        </w:rPr>
        <w:t>QUINTO.</w:t>
      </w:r>
      <w:r w:rsidR="006F0975">
        <w:rPr>
          <w:rFonts w:cs="Arial"/>
          <w:bCs/>
          <w:i w:val="0"/>
          <w:szCs w:val="27"/>
          <w:lang w:val="es-MX"/>
        </w:rPr>
        <w:t xml:space="preserve"> </w:t>
      </w:r>
      <w:r w:rsidRPr="009C0C09">
        <w:rPr>
          <w:rFonts w:cs="Arial"/>
          <w:bCs/>
          <w:i w:val="0"/>
          <w:szCs w:val="27"/>
          <w:lang w:val="es-MX"/>
        </w:rPr>
        <w:t>NOTIFÍQUESE y CÚMPLASE</w:t>
      </w:r>
      <w:r w:rsidRPr="009C0C09">
        <w:rPr>
          <w:rFonts w:cs="Arial"/>
          <w:b w:val="0"/>
          <w:i w:val="0"/>
          <w:szCs w:val="27"/>
          <w:lang w:val="es-MX"/>
        </w:rPr>
        <w:t>.</w:t>
      </w:r>
    </w:p>
    <w:p w14:paraId="2448D97C" w14:textId="5074B261" w:rsidR="004B22DE" w:rsidRDefault="004B22DE" w:rsidP="006B2626">
      <w:pPr>
        <w:widowControl w:val="0"/>
        <w:spacing w:line="360" w:lineRule="auto"/>
        <w:ind w:right="51" w:firstLine="567"/>
        <w:jc w:val="both"/>
        <w:rPr>
          <w:rFonts w:ascii="Arial" w:eastAsia="Times New Roman" w:hAnsi="Arial" w:cs="Arial"/>
          <w:sz w:val="24"/>
          <w:szCs w:val="24"/>
          <w:lang w:val="es-ES" w:eastAsia="es-ES"/>
        </w:rPr>
      </w:pPr>
      <w:r w:rsidRPr="00604752">
        <w:rPr>
          <w:rFonts w:ascii="Arial" w:eastAsia="Times New Roman" w:hAnsi="Arial" w:cs="Arial"/>
          <w:sz w:val="24"/>
          <w:szCs w:val="24"/>
          <w:lang w:val="es-ES" w:eastAsia="es-ES"/>
        </w:rPr>
        <w:t xml:space="preserve">Así lo resolvió y firma el Magistrado </w:t>
      </w:r>
      <w:r>
        <w:rPr>
          <w:rFonts w:ascii="Arial" w:eastAsia="Times New Roman" w:hAnsi="Arial" w:cs="Arial"/>
          <w:sz w:val="24"/>
          <w:szCs w:val="24"/>
          <w:lang w:val="es-ES" w:eastAsia="es-ES"/>
        </w:rPr>
        <w:t xml:space="preserve">Titular </w:t>
      </w:r>
      <w:r w:rsidRPr="00604752">
        <w:rPr>
          <w:rFonts w:ascii="Arial" w:eastAsia="Times New Roman" w:hAnsi="Arial" w:cs="Arial"/>
          <w:sz w:val="24"/>
          <w:szCs w:val="24"/>
          <w:lang w:val="es-ES" w:eastAsia="es-ES"/>
        </w:rPr>
        <w:t xml:space="preserve">de la Segunda Sala Unitaria del Tribunal de Justicia Administrativa del Estado de Oaxaca, quien actúa con el </w:t>
      </w:r>
      <w:proofErr w:type="gramStart"/>
      <w:r w:rsidRPr="00604752">
        <w:rPr>
          <w:rFonts w:ascii="Arial" w:eastAsia="Times New Roman" w:hAnsi="Arial" w:cs="Arial"/>
          <w:sz w:val="24"/>
          <w:szCs w:val="24"/>
          <w:lang w:val="es-ES" w:eastAsia="es-ES"/>
        </w:rPr>
        <w:t>Secretario</w:t>
      </w:r>
      <w:proofErr w:type="gramEnd"/>
      <w:r w:rsidRPr="00604752">
        <w:rPr>
          <w:rFonts w:ascii="Arial" w:eastAsia="Times New Roman" w:hAnsi="Arial" w:cs="Arial"/>
          <w:sz w:val="24"/>
          <w:szCs w:val="24"/>
          <w:lang w:val="es-ES" w:eastAsia="es-ES"/>
        </w:rPr>
        <w:t xml:space="preserve"> de Acuerdos, que autoriza y da fe.</w:t>
      </w:r>
    </w:p>
    <w:p w14:paraId="22F26218" w14:textId="31E6494D" w:rsidR="004B22DE" w:rsidRPr="00604752" w:rsidRDefault="004B22DE" w:rsidP="008D1063">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 xml:space="preserve">MAGISTRADO </w:t>
      </w:r>
      <w:r>
        <w:rPr>
          <w:rFonts w:ascii="Arial" w:eastAsia="Times New Roman" w:hAnsi="Arial" w:cs="Arial"/>
          <w:b/>
          <w:sz w:val="24"/>
          <w:szCs w:val="24"/>
          <w:lang w:val="es-ES" w:eastAsia="es-ES"/>
        </w:rPr>
        <w:t xml:space="preserve">TITULAR </w:t>
      </w:r>
      <w:r w:rsidRPr="00604752">
        <w:rPr>
          <w:rFonts w:ascii="Arial" w:eastAsia="Times New Roman" w:hAnsi="Arial" w:cs="Arial"/>
          <w:b/>
          <w:sz w:val="24"/>
          <w:szCs w:val="24"/>
          <w:lang w:val="es-ES" w:eastAsia="es-ES"/>
        </w:rPr>
        <w:t xml:space="preserve">DE LA SEGUNDA SALA UNITARIA </w:t>
      </w:r>
    </w:p>
    <w:p w14:paraId="47AA0690" w14:textId="77777777" w:rsidR="004B22DE" w:rsidRPr="00604752" w:rsidRDefault="004B22DE" w:rsidP="006B2626">
      <w:pPr>
        <w:widowControl w:val="0"/>
        <w:spacing w:after="0" w:line="360" w:lineRule="auto"/>
        <w:ind w:right="51"/>
        <w:jc w:val="center"/>
        <w:rPr>
          <w:rFonts w:ascii="Arial" w:eastAsia="Times New Roman" w:hAnsi="Arial" w:cs="Arial"/>
          <w:b/>
          <w:sz w:val="24"/>
          <w:szCs w:val="24"/>
          <w:lang w:val="es-ES" w:eastAsia="es-ES"/>
        </w:rPr>
      </w:pPr>
    </w:p>
    <w:p w14:paraId="60CAA5F7" w14:textId="77777777" w:rsidR="004B22DE" w:rsidRPr="00604752" w:rsidRDefault="004B22DE" w:rsidP="006B2626">
      <w:pPr>
        <w:widowControl w:val="0"/>
        <w:spacing w:after="0" w:line="360" w:lineRule="auto"/>
        <w:ind w:right="51"/>
        <w:jc w:val="center"/>
        <w:rPr>
          <w:rFonts w:ascii="Arial" w:eastAsia="Times New Roman" w:hAnsi="Arial" w:cs="Arial"/>
          <w:b/>
          <w:sz w:val="24"/>
          <w:szCs w:val="24"/>
          <w:lang w:val="es-ES" w:eastAsia="es-ES"/>
        </w:rPr>
      </w:pPr>
    </w:p>
    <w:p w14:paraId="594DE4E6" w14:textId="77777777" w:rsidR="004B22DE" w:rsidRPr="00604752" w:rsidRDefault="004B22DE" w:rsidP="006B2626">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LIC. JAVIER MARTIN VILLANUEVA HERNÁNDEZ</w:t>
      </w:r>
    </w:p>
    <w:p w14:paraId="1C53222D" w14:textId="27EC1386" w:rsidR="004B22DE" w:rsidRDefault="004B22DE" w:rsidP="006B2626">
      <w:pPr>
        <w:widowControl w:val="0"/>
        <w:spacing w:after="0" w:line="360" w:lineRule="auto"/>
        <w:ind w:right="51"/>
        <w:jc w:val="center"/>
        <w:rPr>
          <w:rFonts w:ascii="Arial" w:eastAsia="Times New Roman" w:hAnsi="Arial" w:cs="Arial"/>
          <w:b/>
          <w:sz w:val="24"/>
          <w:szCs w:val="24"/>
          <w:lang w:val="es-ES" w:eastAsia="es-ES"/>
        </w:rPr>
      </w:pPr>
    </w:p>
    <w:p w14:paraId="26B5BED1" w14:textId="77777777" w:rsidR="006F0975" w:rsidRPr="00604752" w:rsidRDefault="006F0975" w:rsidP="006B2626">
      <w:pPr>
        <w:widowControl w:val="0"/>
        <w:spacing w:after="0" w:line="360" w:lineRule="auto"/>
        <w:ind w:right="51"/>
        <w:jc w:val="center"/>
        <w:rPr>
          <w:rFonts w:ascii="Arial" w:eastAsia="Times New Roman" w:hAnsi="Arial" w:cs="Arial"/>
          <w:b/>
          <w:sz w:val="24"/>
          <w:szCs w:val="24"/>
          <w:lang w:val="es-ES" w:eastAsia="es-ES"/>
        </w:rPr>
      </w:pPr>
    </w:p>
    <w:p w14:paraId="3C52CAED" w14:textId="77777777" w:rsidR="004B22DE" w:rsidRPr="00604752" w:rsidRDefault="004B22DE" w:rsidP="006B2626">
      <w:pPr>
        <w:widowControl w:val="0"/>
        <w:spacing w:after="0" w:line="360" w:lineRule="auto"/>
        <w:ind w:right="51"/>
        <w:jc w:val="center"/>
        <w:rPr>
          <w:rFonts w:ascii="Arial" w:eastAsia="Times New Roman" w:hAnsi="Arial" w:cs="Arial"/>
          <w:b/>
          <w:sz w:val="24"/>
          <w:szCs w:val="24"/>
          <w:lang w:val="es-ES" w:eastAsia="es-ES"/>
        </w:rPr>
      </w:pPr>
    </w:p>
    <w:p w14:paraId="4F3FB0E0" w14:textId="77777777" w:rsidR="004B22DE" w:rsidRPr="00604752" w:rsidRDefault="004B22DE" w:rsidP="006B2626">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SECRETARIO DE ACUERDOS</w:t>
      </w:r>
    </w:p>
    <w:p w14:paraId="597165DA" w14:textId="77777777" w:rsidR="004B22DE" w:rsidRPr="00604752" w:rsidRDefault="004B22DE" w:rsidP="006B2626">
      <w:pPr>
        <w:widowControl w:val="0"/>
        <w:spacing w:after="0" w:line="360" w:lineRule="auto"/>
        <w:ind w:right="51"/>
        <w:jc w:val="center"/>
        <w:rPr>
          <w:rFonts w:ascii="Arial" w:eastAsia="Times New Roman" w:hAnsi="Arial" w:cs="Arial"/>
          <w:b/>
          <w:sz w:val="24"/>
          <w:szCs w:val="24"/>
          <w:lang w:val="es-ES" w:eastAsia="es-ES"/>
        </w:rPr>
      </w:pPr>
    </w:p>
    <w:p w14:paraId="6E5D4C49" w14:textId="77777777" w:rsidR="004B22DE" w:rsidRPr="00604752" w:rsidRDefault="004B22DE" w:rsidP="006B2626">
      <w:pPr>
        <w:widowControl w:val="0"/>
        <w:spacing w:after="0" w:line="360" w:lineRule="auto"/>
        <w:ind w:right="51"/>
        <w:jc w:val="center"/>
        <w:rPr>
          <w:rFonts w:ascii="Arial" w:eastAsia="Times New Roman" w:hAnsi="Arial" w:cs="Arial"/>
          <w:b/>
          <w:sz w:val="24"/>
          <w:szCs w:val="24"/>
          <w:lang w:val="es-ES" w:eastAsia="es-ES"/>
        </w:rPr>
      </w:pPr>
    </w:p>
    <w:p w14:paraId="7C4A7907" w14:textId="5D754285" w:rsidR="00102315" w:rsidRPr="000E2FD3" w:rsidRDefault="004B22DE" w:rsidP="006B2626">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LIC. ALAN DAVID VÁSQUEZ PULIDO</w:t>
      </w:r>
    </w:p>
    <w:sectPr w:rsidR="00102315" w:rsidRPr="000E2FD3" w:rsidSect="00FE3A28">
      <w:headerReference w:type="even" r:id="rId8"/>
      <w:headerReference w:type="default" r:id="rId9"/>
      <w:footerReference w:type="default" r:id="rId10"/>
      <w:headerReference w:type="first" r:id="rId11"/>
      <w:pgSz w:w="12240" w:h="20160" w:code="5"/>
      <w:pgMar w:top="1230" w:right="1418" w:bottom="2268" w:left="198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BA7954" w14:textId="77777777" w:rsidR="004A3555" w:rsidRDefault="004A3555" w:rsidP="00604752">
      <w:pPr>
        <w:spacing w:after="0" w:line="240" w:lineRule="auto"/>
      </w:pPr>
      <w:r>
        <w:separator/>
      </w:r>
    </w:p>
  </w:endnote>
  <w:endnote w:type="continuationSeparator" w:id="0">
    <w:p w14:paraId="369709AF" w14:textId="77777777" w:rsidR="004A3555" w:rsidRDefault="004A3555" w:rsidP="006047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12176618"/>
      <w:docPartObj>
        <w:docPartGallery w:val="Page Numbers (Bottom of Page)"/>
        <w:docPartUnique/>
      </w:docPartObj>
    </w:sdtPr>
    <w:sdtEndPr>
      <w:rPr>
        <w:rFonts w:ascii="Arial" w:hAnsi="Arial" w:cs="Arial"/>
        <w:sz w:val="24"/>
        <w:szCs w:val="24"/>
      </w:rPr>
    </w:sdtEndPr>
    <w:sdtContent>
      <w:p w14:paraId="71EF2787" w14:textId="376F9438" w:rsidR="0076338B" w:rsidRPr="00604752" w:rsidRDefault="0076338B">
        <w:pPr>
          <w:pStyle w:val="Piedepgina"/>
          <w:jc w:val="center"/>
          <w:rPr>
            <w:rFonts w:ascii="Arial" w:hAnsi="Arial" w:cs="Arial"/>
            <w:sz w:val="24"/>
            <w:szCs w:val="24"/>
          </w:rPr>
        </w:pPr>
        <w:r w:rsidRPr="00604752">
          <w:rPr>
            <w:rFonts w:ascii="Arial" w:hAnsi="Arial" w:cs="Arial"/>
            <w:sz w:val="24"/>
            <w:szCs w:val="24"/>
          </w:rPr>
          <w:fldChar w:fldCharType="begin"/>
        </w:r>
        <w:r w:rsidRPr="00604752">
          <w:rPr>
            <w:rFonts w:ascii="Arial" w:hAnsi="Arial" w:cs="Arial"/>
            <w:sz w:val="24"/>
            <w:szCs w:val="24"/>
          </w:rPr>
          <w:instrText>PAGE   \* MERGEFORMAT</w:instrText>
        </w:r>
        <w:r w:rsidRPr="00604752">
          <w:rPr>
            <w:rFonts w:ascii="Arial" w:hAnsi="Arial" w:cs="Arial"/>
            <w:sz w:val="24"/>
            <w:szCs w:val="24"/>
          </w:rPr>
          <w:fldChar w:fldCharType="separate"/>
        </w:r>
        <w:r w:rsidR="007974DA" w:rsidRPr="007974DA">
          <w:rPr>
            <w:rFonts w:ascii="Arial" w:hAnsi="Arial" w:cs="Arial"/>
            <w:noProof/>
            <w:sz w:val="24"/>
            <w:szCs w:val="24"/>
            <w:lang w:val="es-ES"/>
          </w:rPr>
          <w:t>14</w:t>
        </w:r>
        <w:r w:rsidRPr="00604752">
          <w:rPr>
            <w:rFonts w:ascii="Arial" w:hAnsi="Arial" w:cs="Arial"/>
            <w:sz w:val="24"/>
            <w:szCs w:val="24"/>
          </w:rPr>
          <w:fldChar w:fldCharType="end"/>
        </w:r>
      </w:p>
    </w:sdtContent>
  </w:sdt>
  <w:p w14:paraId="7ECC4F9D" w14:textId="77777777" w:rsidR="0076338B" w:rsidRDefault="0076338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3EFF92" w14:textId="77777777" w:rsidR="004A3555" w:rsidRDefault="004A3555" w:rsidP="00604752">
      <w:pPr>
        <w:spacing w:after="0" w:line="240" w:lineRule="auto"/>
      </w:pPr>
      <w:r>
        <w:separator/>
      </w:r>
    </w:p>
  </w:footnote>
  <w:footnote w:type="continuationSeparator" w:id="0">
    <w:p w14:paraId="3F9ABB05" w14:textId="77777777" w:rsidR="004A3555" w:rsidRDefault="004A3555" w:rsidP="00604752">
      <w:pPr>
        <w:spacing w:after="0" w:line="240" w:lineRule="auto"/>
      </w:pPr>
      <w:r>
        <w:continuationSeparator/>
      </w:r>
    </w:p>
  </w:footnote>
  <w:footnote w:id="1">
    <w:p w14:paraId="5B72BA8D" w14:textId="5843035C" w:rsidR="001E3531" w:rsidRPr="001E3531" w:rsidRDefault="001E3531" w:rsidP="001E3531">
      <w:pPr>
        <w:pStyle w:val="Textonotapie"/>
        <w:jc w:val="both"/>
        <w:rPr>
          <w:rFonts w:ascii="Arial" w:hAnsi="Arial" w:cs="Arial"/>
        </w:rPr>
      </w:pPr>
      <w:r w:rsidRPr="001E3531">
        <w:rPr>
          <w:rStyle w:val="Refdenotaalpie"/>
          <w:rFonts w:ascii="Arial" w:hAnsi="Arial" w:cs="Arial"/>
        </w:rPr>
        <w:footnoteRef/>
      </w:r>
      <w:r w:rsidRPr="001E3531">
        <w:rPr>
          <w:rFonts w:ascii="Arial" w:hAnsi="Arial" w:cs="Arial"/>
        </w:rPr>
        <w:t xml:space="preserve"> Jurisprudencia número 2a./J. 204/2007, con número de registro 170892, por la Segunda Sala de la Suprema Corte de Justicia de la Nación, publicada en el Semanario Judicial de la Federación y su Gaceta, Tomo XXVI, </w:t>
      </w:r>
      <w:proofErr w:type="gramStart"/>
      <w:r w:rsidRPr="001E3531">
        <w:rPr>
          <w:rFonts w:ascii="Arial" w:hAnsi="Arial" w:cs="Arial"/>
        </w:rPr>
        <w:t>Noviembre</w:t>
      </w:r>
      <w:proofErr w:type="gramEnd"/>
      <w:r w:rsidRPr="001E3531">
        <w:rPr>
          <w:rFonts w:ascii="Arial" w:hAnsi="Arial" w:cs="Arial"/>
        </w:rPr>
        <w:t xml:space="preserve"> de 2007, página 205, Novena Época.</w:t>
      </w:r>
    </w:p>
  </w:footnote>
  <w:footnote w:id="2">
    <w:p w14:paraId="0D4AE6EE" w14:textId="4519ADC7" w:rsidR="000367AC" w:rsidRPr="000367AC" w:rsidRDefault="000367AC" w:rsidP="000367AC">
      <w:pPr>
        <w:pStyle w:val="Textonotapie"/>
        <w:jc w:val="both"/>
        <w:rPr>
          <w:rFonts w:ascii="Arial" w:hAnsi="Arial" w:cs="Arial"/>
        </w:rPr>
      </w:pPr>
      <w:r w:rsidRPr="000367AC">
        <w:rPr>
          <w:rStyle w:val="Refdenotaalpie"/>
          <w:rFonts w:ascii="Arial" w:hAnsi="Arial" w:cs="Arial"/>
        </w:rPr>
        <w:footnoteRef/>
      </w:r>
      <w:r w:rsidRPr="000367AC">
        <w:rPr>
          <w:rFonts w:ascii="Arial" w:hAnsi="Arial" w:cs="Arial"/>
        </w:rPr>
        <w:t xml:space="preserve"> Tesis número II.T.298 L, con número de registro 173176, por los Tribunales Colegiados de Circuito, publicada en el Semanario Judicial de la Federación y su Gaceta, Tomo XXV, Página 1889, Novena Época, </w:t>
      </w:r>
      <w:proofErr w:type="gramStart"/>
      <w:r w:rsidRPr="000367AC">
        <w:rPr>
          <w:rFonts w:ascii="Arial" w:hAnsi="Arial" w:cs="Arial"/>
        </w:rPr>
        <w:t>Febrero</w:t>
      </w:r>
      <w:proofErr w:type="gramEnd"/>
      <w:r w:rsidRPr="000367AC">
        <w:rPr>
          <w:rFonts w:ascii="Arial" w:hAnsi="Arial" w:cs="Arial"/>
        </w:rPr>
        <w:t xml:space="preserve"> de 2007.</w:t>
      </w:r>
    </w:p>
  </w:footnote>
  <w:footnote w:id="3">
    <w:p w14:paraId="3837BBE8" w14:textId="4014B542" w:rsidR="001D347D" w:rsidRPr="001D347D" w:rsidRDefault="001D347D" w:rsidP="001D347D">
      <w:pPr>
        <w:pStyle w:val="Textonotapie"/>
        <w:jc w:val="both"/>
        <w:rPr>
          <w:rFonts w:ascii="Arial" w:hAnsi="Arial" w:cs="Arial"/>
        </w:rPr>
      </w:pPr>
      <w:r w:rsidRPr="001D347D">
        <w:rPr>
          <w:rStyle w:val="Refdenotaalpie"/>
          <w:rFonts w:ascii="Arial" w:hAnsi="Arial" w:cs="Arial"/>
        </w:rPr>
        <w:footnoteRef/>
      </w:r>
      <w:r w:rsidRPr="001D347D">
        <w:rPr>
          <w:rFonts w:ascii="Arial" w:hAnsi="Arial" w:cs="Arial"/>
        </w:rPr>
        <w:t xml:space="preserve"> Tesis número IV.2o.T.101 L. con número de registro 178046, por los Tribunales Colegiados de Circuito, publicada en el Semanario Judicial de la Federación y su Gaceta Tomo XXII, Julio de 2005, Página 1389, Novena Época.</w:t>
      </w:r>
    </w:p>
  </w:footnote>
  <w:footnote w:id="4">
    <w:p w14:paraId="59788D80" w14:textId="257721F0" w:rsidR="00533629" w:rsidRPr="00533629" w:rsidRDefault="00533629" w:rsidP="00533629">
      <w:pPr>
        <w:pStyle w:val="Textonotapie"/>
        <w:jc w:val="both"/>
        <w:rPr>
          <w:rFonts w:ascii="Arial" w:hAnsi="Arial" w:cs="Arial"/>
        </w:rPr>
      </w:pPr>
      <w:r w:rsidRPr="00533629">
        <w:rPr>
          <w:rStyle w:val="Refdenotaalpie"/>
          <w:rFonts w:ascii="Arial" w:hAnsi="Arial" w:cs="Arial"/>
        </w:rPr>
        <w:footnoteRef/>
      </w:r>
      <w:r w:rsidRPr="00533629">
        <w:rPr>
          <w:rFonts w:ascii="Arial" w:hAnsi="Arial" w:cs="Arial"/>
        </w:rPr>
        <w:t xml:space="preserve"> Tesis número III.4o.T.33 L (10a.), con número de registro 2015338, por los Tribunales Colegiados de Circuito, publicada en el Semanario Judicial de la Federación, Libro 47, </w:t>
      </w:r>
      <w:proofErr w:type="gramStart"/>
      <w:r w:rsidRPr="00533629">
        <w:rPr>
          <w:rFonts w:ascii="Arial" w:hAnsi="Arial" w:cs="Arial"/>
        </w:rPr>
        <w:t>Octubre</w:t>
      </w:r>
      <w:proofErr w:type="gramEnd"/>
      <w:r w:rsidRPr="00533629">
        <w:rPr>
          <w:rFonts w:ascii="Arial" w:hAnsi="Arial" w:cs="Arial"/>
        </w:rPr>
        <w:t xml:space="preserve"> de 2017, Tomo IV, página 2418, Décima Época.</w:t>
      </w:r>
    </w:p>
  </w:footnote>
  <w:footnote w:id="5">
    <w:p w14:paraId="160F7BF4" w14:textId="2FCE4546" w:rsidR="002E58B8" w:rsidRPr="005D2D12" w:rsidRDefault="002E58B8" w:rsidP="002E58B8">
      <w:pPr>
        <w:pStyle w:val="Textonotapie"/>
        <w:jc w:val="both"/>
        <w:rPr>
          <w:rFonts w:ascii="Arial" w:hAnsi="Arial" w:cs="Arial"/>
        </w:rPr>
      </w:pPr>
      <w:r w:rsidRPr="005D2D12">
        <w:rPr>
          <w:rStyle w:val="Refdenotaalpie"/>
          <w:rFonts w:ascii="Arial" w:hAnsi="Arial" w:cs="Arial"/>
        </w:rPr>
        <w:footnoteRef/>
      </w:r>
      <w:r w:rsidRPr="005D2D12">
        <w:rPr>
          <w:rFonts w:ascii="Arial" w:hAnsi="Arial" w:cs="Arial"/>
        </w:rPr>
        <w:t xml:space="preserve"> Tesis número 2511, con número de registro 903184, por el Pleno de la Suprema Corte de Justicia de la Nación, publicada en el Apéndice 2000, Tomo I, Const., P.R. SCJN, página 1745, Sexta Época.</w:t>
      </w:r>
    </w:p>
  </w:footnote>
  <w:footnote w:id="6">
    <w:p w14:paraId="58667BC4" w14:textId="76FC3DC1" w:rsidR="00215234" w:rsidRPr="005D2D12" w:rsidRDefault="00215234" w:rsidP="00215234">
      <w:pPr>
        <w:pStyle w:val="Textonotapie"/>
        <w:jc w:val="both"/>
        <w:rPr>
          <w:rFonts w:ascii="Arial" w:hAnsi="Arial" w:cs="Arial"/>
        </w:rPr>
      </w:pPr>
      <w:r w:rsidRPr="005D2D12">
        <w:rPr>
          <w:rStyle w:val="Refdenotaalpie"/>
          <w:rFonts w:ascii="Arial" w:hAnsi="Arial" w:cs="Arial"/>
        </w:rPr>
        <w:footnoteRef/>
      </w:r>
      <w:r w:rsidRPr="005D2D12">
        <w:rPr>
          <w:rFonts w:ascii="Arial" w:hAnsi="Arial" w:cs="Arial"/>
        </w:rPr>
        <w:t xml:space="preserve"> Jurisprudencia número XIII.T.A. J/1 (10a.), con número de registro 2001989, por los Tribunales Colegiados de Circuito, publicada en el Semanario Judicial de la Federa</w:t>
      </w:r>
      <w:r w:rsidR="00C6185C" w:rsidRPr="005D2D12">
        <w:rPr>
          <w:rFonts w:ascii="Arial" w:hAnsi="Arial" w:cs="Arial"/>
        </w:rPr>
        <w:t xml:space="preserve">ción y su Gaceta, </w:t>
      </w:r>
      <w:r w:rsidRPr="005D2D12">
        <w:rPr>
          <w:rFonts w:ascii="Arial" w:hAnsi="Arial" w:cs="Arial"/>
        </w:rPr>
        <w:t xml:space="preserve">Libro XIII, </w:t>
      </w:r>
      <w:proofErr w:type="gramStart"/>
      <w:r w:rsidRPr="005D2D12">
        <w:rPr>
          <w:rFonts w:ascii="Arial" w:hAnsi="Arial" w:cs="Arial"/>
        </w:rPr>
        <w:t>Octubre</w:t>
      </w:r>
      <w:proofErr w:type="gramEnd"/>
      <w:r w:rsidRPr="005D2D12">
        <w:rPr>
          <w:rFonts w:ascii="Arial" w:hAnsi="Arial" w:cs="Arial"/>
        </w:rPr>
        <w:t xml:space="preserve"> de 2012, Tomo 4, página 2177, Décima Época.</w:t>
      </w:r>
    </w:p>
  </w:footnote>
  <w:footnote w:id="7">
    <w:p w14:paraId="74A3CC1B" w14:textId="623103FD" w:rsidR="005D2D12" w:rsidRPr="005D2D12" w:rsidRDefault="005D2D12" w:rsidP="005D2D12">
      <w:pPr>
        <w:pStyle w:val="Textonotapie"/>
        <w:jc w:val="both"/>
        <w:rPr>
          <w:rFonts w:ascii="Arial" w:hAnsi="Arial" w:cs="Arial"/>
        </w:rPr>
      </w:pPr>
      <w:r w:rsidRPr="005D2D12">
        <w:rPr>
          <w:rStyle w:val="Refdenotaalpie"/>
          <w:rFonts w:ascii="Arial" w:hAnsi="Arial" w:cs="Arial"/>
        </w:rPr>
        <w:footnoteRef/>
      </w:r>
      <w:r w:rsidRPr="005D2D12">
        <w:rPr>
          <w:rFonts w:ascii="Arial" w:hAnsi="Arial" w:cs="Arial"/>
        </w:rPr>
        <w:t xml:space="preserve"> Jurisprudencia número XIII.T.A. J/2 (10a.), con número de registro 2007629, por los Tribunales Colegiados de Circuito, publicada en la Gaceta del Semanario Judicial de la Federación, Libro 11, </w:t>
      </w:r>
      <w:proofErr w:type="gramStart"/>
      <w:r w:rsidRPr="005D2D12">
        <w:rPr>
          <w:rFonts w:ascii="Arial" w:hAnsi="Arial" w:cs="Arial"/>
        </w:rPr>
        <w:t>Octubre</w:t>
      </w:r>
      <w:proofErr w:type="gramEnd"/>
      <w:r w:rsidRPr="005D2D12">
        <w:rPr>
          <w:rFonts w:ascii="Arial" w:hAnsi="Arial" w:cs="Arial"/>
        </w:rPr>
        <w:t xml:space="preserve"> de 2014, Tomo III, página 2512, Décima Época.</w:t>
      </w:r>
    </w:p>
  </w:footnote>
  <w:footnote w:id="8">
    <w:p w14:paraId="16E296A2" w14:textId="7882EC75" w:rsidR="002E1A8B" w:rsidRPr="002E1A8B" w:rsidRDefault="002E1A8B" w:rsidP="002E1A8B">
      <w:pPr>
        <w:pStyle w:val="Textonotapie"/>
        <w:jc w:val="both"/>
        <w:rPr>
          <w:rFonts w:ascii="Arial" w:hAnsi="Arial" w:cs="Arial"/>
        </w:rPr>
      </w:pPr>
      <w:r w:rsidRPr="002E1A8B">
        <w:rPr>
          <w:rStyle w:val="Refdenotaalpie"/>
          <w:rFonts w:ascii="Arial" w:hAnsi="Arial" w:cs="Arial"/>
        </w:rPr>
        <w:footnoteRef/>
      </w:r>
      <w:r w:rsidRPr="002E1A8B">
        <w:rPr>
          <w:rFonts w:ascii="Arial" w:hAnsi="Arial" w:cs="Arial"/>
        </w:rPr>
        <w:t xml:space="preserve"> Tesis número I.6oA.33 A, con número de registro 187531 por los Tribunales Colegiados de Circuito, en el Semanario Judicial de la Federación y su Gaceta, página 1350, correspondiente Época al mes de </w:t>
      </w:r>
      <w:proofErr w:type="gramStart"/>
      <w:r w:rsidRPr="002E1A8B">
        <w:rPr>
          <w:rFonts w:ascii="Arial" w:hAnsi="Arial" w:cs="Arial"/>
        </w:rPr>
        <w:t>Marzo</w:t>
      </w:r>
      <w:proofErr w:type="gramEnd"/>
      <w:r w:rsidRPr="002E1A8B">
        <w:rPr>
          <w:rFonts w:ascii="Arial" w:hAnsi="Arial" w:cs="Arial"/>
        </w:rPr>
        <w:t xml:space="preserve"> de 2002, Novena Época.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AA03EE" w14:textId="494A4BC3" w:rsidR="00FE3A28" w:rsidRDefault="00FE3A28">
    <w:pPr>
      <w:pStyle w:val="Encabezado"/>
    </w:pPr>
    <w:r>
      <w:rPr>
        <w:rFonts w:ascii="Bookman Old Style" w:hAnsi="Bookman Old Style"/>
        <w:noProof/>
        <w:lang w:eastAsia="es-MX"/>
      </w:rPr>
      <mc:AlternateContent>
        <mc:Choice Requires="wps">
          <w:drawing>
            <wp:anchor distT="45720" distB="45720" distL="114300" distR="114300" simplePos="0" relativeHeight="251675648" behindDoc="1" locked="0" layoutInCell="1" allowOverlap="1" wp14:anchorId="280D30FA" wp14:editId="7E8DDD5A">
              <wp:simplePos x="0" y="0"/>
              <wp:positionH relativeFrom="page">
                <wp:align>right</wp:align>
              </wp:positionH>
              <wp:positionV relativeFrom="paragraph">
                <wp:posOffset>5207635</wp:posOffset>
              </wp:positionV>
              <wp:extent cx="1181100" cy="1590675"/>
              <wp:effectExtent l="0" t="0" r="19050"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062BF9B2" w14:textId="77777777" w:rsidR="00FE3A28" w:rsidRPr="003B6E97" w:rsidRDefault="00FE3A28" w:rsidP="00FE3A28">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 xml:space="preserve">61 </w:t>
                          </w:r>
                          <w:r w:rsidRPr="003B6E97">
                            <w:rPr>
                              <w:rFonts w:ascii="Arial" w:hAnsi="Arial" w:cs="Arial"/>
                              <w:b/>
                            </w:rPr>
                            <w:t>de</w:t>
                          </w:r>
                          <w:r>
                            <w:rPr>
                              <w:rFonts w:ascii="Arial" w:hAnsi="Arial" w:cs="Arial"/>
                              <w:b/>
                            </w:rPr>
                            <w:t xml:space="preserve"> </w:t>
                          </w:r>
                          <w:r w:rsidRPr="003B6E97">
                            <w:rPr>
                              <w:rFonts w:ascii="Arial" w:hAnsi="Arial" w:cs="Arial"/>
                              <w:b/>
                            </w:rPr>
                            <w:t>la LTAIP</w:t>
                          </w:r>
                          <w:r>
                            <w:rPr>
                              <w:rFonts w:ascii="Arial" w:hAnsi="Arial" w:cs="Arial"/>
                              <w:b/>
                            </w:rPr>
                            <w:t>BG</w:t>
                          </w:r>
                          <w:r w:rsidRPr="003B6E97">
                            <w:rPr>
                              <w:rFonts w:ascii="Arial" w:hAnsi="Arial" w:cs="Arial"/>
                              <w:b/>
                            </w:rPr>
                            <w:t>EO.</w:t>
                          </w:r>
                          <w:r w:rsidRPr="007F60A7">
                            <w:rPr>
                              <w:rFonts w:ascii="Arial" w:eastAsia="Times New Roman" w:hAnsi="Arial" w:cs="Arial"/>
                              <w:sz w:val="24"/>
                              <w:szCs w:val="27"/>
                              <w:lang w:val="es-ES_tradnl" w:eastAsia="es-ES"/>
                            </w:rPr>
                            <w:t xml:space="preserve"> </w:t>
                          </w:r>
                          <w:r>
                            <w:rPr>
                              <w:rFonts w:ascii="Arial" w:eastAsia="Times New Roman" w:hAnsi="Arial" w:cs="Arial"/>
                              <w:sz w:val="24"/>
                              <w:szCs w:val="27"/>
                              <w:lang w:val="es-ES_tradnl" w:eastAsia="es-ES"/>
                            </w:rPr>
                            <w:t>AZALIA LOPEZ O AZALIA LOPEZ PAEZ</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80D30FA" id="_x0000_t202" coordsize="21600,21600" o:spt="202" path="m,l,21600r21600,l21600,xe">
              <v:stroke joinstyle="miter"/>
              <v:path gradientshapeok="t" o:connecttype="rect"/>
            </v:shapetype>
            <v:shape id="Cuadro de texto 2" o:spid="_x0000_s1026" type="#_x0000_t202" style="position:absolute;margin-left:41.8pt;margin-top:410.05pt;width:93pt;height:125.25pt;z-index:-251640832;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">
              <v:textbox>
                <w:txbxContent>
                  <w:p w14:paraId="062BF9B2" w14:textId="77777777" w:rsidR="00FE3A28" w:rsidRPr="003B6E97" w:rsidRDefault="00FE3A28" w:rsidP="00FE3A28">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 xml:space="preserve">61 </w:t>
                    </w:r>
                    <w:r w:rsidRPr="003B6E97">
                      <w:rPr>
                        <w:rFonts w:ascii="Arial" w:hAnsi="Arial" w:cs="Arial"/>
                        <w:b/>
                      </w:rPr>
                      <w:t>de</w:t>
                    </w:r>
                    <w:r>
                      <w:rPr>
                        <w:rFonts w:ascii="Arial" w:hAnsi="Arial" w:cs="Arial"/>
                        <w:b/>
                      </w:rPr>
                      <w:t xml:space="preserve"> </w:t>
                    </w:r>
                    <w:r w:rsidRPr="003B6E97">
                      <w:rPr>
                        <w:rFonts w:ascii="Arial" w:hAnsi="Arial" w:cs="Arial"/>
                        <w:b/>
                      </w:rPr>
                      <w:t>la LTAIP</w:t>
                    </w:r>
                    <w:r>
                      <w:rPr>
                        <w:rFonts w:ascii="Arial" w:hAnsi="Arial" w:cs="Arial"/>
                        <w:b/>
                      </w:rPr>
                      <w:t>BG</w:t>
                    </w:r>
                    <w:r w:rsidRPr="003B6E97">
                      <w:rPr>
                        <w:rFonts w:ascii="Arial" w:hAnsi="Arial" w:cs="Arial"/>
                        <w:b/>
                      </w:rPr>
                      <w:t>EO.</w:t>
                    </w:r>
                    <w:r w:rsidRPr="007F60A7">
                      <w:rPr>
                        <w:rFonts w:ascii="Arial" w:eastAsia="Times New Roman" w:hAnsi="Arial" w:cs="Arial"/>
                        <w:sz w:val="24"/>
                        <w:szCs w:val="27"/>
                        <w:lang w:val="es-ES_tradnl" w:eastAsia="es-ES"/>
                      </w:rPr>
                      <w:t xml:space="preserve"> </w:t>
                    </w:r>
                    <w:r>
                      <w:rPr>
                        <w:rFonts w:ascii="Arial" w:eastAsia="Times New Roman" w:hAnsi="Arial" w:cs="Arial"/>
                        <w:sz w:val="24"/>
                        <w:szCs w:val="27"/>
                        <w:lang w:val="es-ES_tradnl" w:eastAsia="es-ES"/>
                      </w:rPr>
                      <w:t>AZALIA LOPEZ O AZALIA LOPEZ PAEZ</w:t>
                    </w:r>
                  </w:p>
                </w:txbxContent>
              </v:textbox>
              <w10:wrap anchorx="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BBE84" w14:textId="0387D842" w:rsidR="0076338B" w:rsidRDefault="00FE3A28">
    <w:pPr>
      <w:pStyle w:val="Encabezado"/>
    </w:pPr>
    <w:r>
      <w:rPr>
        <w:rFonts w:ascii="Bookman Old Style" w:hAnsi="Bookman Old Style"/>
        <w:noProof/>
        <w:lang w:eastAsia="es-MX"/>
      </w:rPr>
      <mc:AlternateContent>
        <mc:Choice Requires="wps">
          <w:drawing>
            <wp:anchor distT="45720" distB="45720" distL="114300" distR="114300" simplePos="0" relativeHeight="251673600" behindDoc="1" locked="0" layoutInCell="1" allowOverlap="1" wp14:anchorId="512A0288" wp14:editId="7FFB2E4A">
              <wp:simplePos x="0" y="0"/>
              <wp:positionH relativeFrom="leftMargin">
                <wp:align>right</wp:align>
              </wp:positionH>
              <wp:positionV relativeFrom="paragraph">
                <wp:posOffset>5131435</wp:posOffset>
              </wp:positionV>
              <wp:extent cx="1181100" cy="1562100"/>
              <wp:effectExtent l="0" t="0" r="19050" b="1905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62100"/>
                      </a:xfrm>
                      <a:prstGeom prst="rect">
                        <a:avLst/>
                      </a:prstGeom>
                      <a:solidFill>
                        <a:srgbClr val="FFFFFF"/>
                      </a:solidFill>
                      <a:ln w="9525">
                        <a:solidFill>
                          <a:srgbClr val="000000"/>
                        </a:solidFill>
                        <a:miter lim="800000"/>
                        <a:headEnd/>
                        <a:tailEnd/>
                      </a:ln>
                    </wps:spPr>
                    <wps:txbx>
                      <w:txbxContent>
                        <w:p w14:paraId="5FCA3670" w14:textId="77777777" w:rsidR="00FE3A28" w:rsidRPr="003B6E97" w:rsidRDefault="00FE3A28" w:rsidP="00FE3A28">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bookmarkStart w:id="0" w:name="_Hlk108096333"/>
                          <w:r>
                            <w:rPr>
                              <w:rFonts w:ascii="Arial" w:hAnsi="Arial" w:cs="Arial"/>
                              <w:b/>
                            </w:rPr>
                            <w:t xml:space="preserve">61 </w:t>
                          </w:r>
                          <w:r w:rsidRPr="003B6E97">
                            <w:rPr>
                              <w:rFonts w:ascii="Arial" w:hAnsi="Arial" w:cs="Arial"/>
                              <w:b/>
                            </w:rPr>
                            <w:t>de</w:t>
                          </w:r>
                          <w:r>
                            <w:rPr>
                              <w:rFonts w:ascii="Arial" w:hAnsi="Arial" w:cs="Arial"/>
                              <w:b/>
                            </w:rPr>
                            <w:t xml:space="preserve"> </w:t>
                          </w:r>
                          <w:r w:rsidRPr="003B6E97">
                            <w:rPr>
                              <w:rFonts w:ascii="Arial" w:hAnsi="Arial" w:cs="Arial"/>
                              <w:b/>
                            </w:rPr>
                            <w:t>la LTAIP</w:t>
                          </w:r>
                          <w:r>
                            <w:rPr>
                              <w:rFonts w:ascii="Arial" w:hAnsi="Arial" w:cs="Arial"/>
                              <w:b/>
                            </w:rPr>
                            <w:t>BG</w:t>
                          </w:r>
                          <w:r w:rsidRPr="003B6E97">
                            <w:rPr>
                              <w:rFonts w:ascii="Arial" w:hAnsi="Arial" w:cs="Arial"/>
                              <w:b/>
                            </w:rPr>
                            <w:t>EO.</w:t>
                          </w:r>
                          <w:bookmarkEnd w:id="0"/>
                          <w:r w:rsidRPr="007F60A7">
                            <w:rPr>
                              <w:rFonts w:ascii="Arial" w:eastAsia="Times New Roman" w:hAnsi="Arial" w:cs="Arial"/>
                              <w:sz w:val="24"/>
                              <w:szCs w:val="27"/>
                              <w:lang w:val="es-ES_tradnl" w:eastAsia="es-ES"/>
                            </w:rPr>
                            <w:t xml:space="preserve"> </w:t>
                          </w:r>
                          <w:r>
                            <w:rPr>
                              <w:rFonts w:ascii="Arial" w:eastAsia="Times New Roman" w:hAnsi="Arial" w:cs="Arial"/>
                              <w:sz w:val="24"/>
                              <w:szCs w:val="27"/>
                              <w:lang w:val="es-ES_tradnl" w:eastAsia="es-ES"/>
                            </w:rPr>
                            <w:t>AZALIA LOPEZ O AZALIA LOPEZ PAEZ</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12A0288" id="_x0000_t202" coordsize="21600,21600" o:spt="202" path="m,l,21600r21600,l21600,xe">
              <v:stroke joinstyle="miter"/>
              <v:path gradientshapeok="t" o:connecttype="rect"/>
            </v:shapetype>
            <v:shape id="Cuadro de texto 1" o:spid="_x0000_s1027" type="#_x0000_t202" style="position:absolute;margin-left:41.8pt;margin-top:404.05pt;width:93pt;height:123pt;z-index:-251642880;visibility:visible;mso-wrap-style:square;mso-width-percent:0;mso-height-percent:0;mso-wrap-distance-left:9pt;mso-wrap-distance-top:3.6pt;mso-wrap-distance-right:9pt;mso-wrap-distance-bottom:3.6pt;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">
              <v:textbox>
                <w:txbxContent>
                  <w:p w14:paraId="5FCA3670" w14:textId="77777777" w:rsidR="00FE3A28" w:rsidRPr="003B6E97" w:rsidRDefault="00FE3A28" w:rsidP="00FE3A28">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bookmarkStart w:id="1" w:name="_Hlk108096333"/>
                    <w:r>
                      <w:rPr>
                        <w:rFonts w:ascii="Arial" w:hAnsi="Arial" w:cs="Arial"/>
                        <w:b/>
                      </w:rPr>
                      <w:t xml:space="preserve">61 </w:t>
                    </w:r>
                    <w:r w:rsidRPr="003B6E97">
                      <w:rPr>
                        <w:rFonts w:ascii="Arial" w:hAnsi="Arial" w:cs="Arial"/>
                        <w:b/>
                      </w:rPr>
                      <w:t>de</w:t>
                    </w:r>
                    <w:r>
                      <w:rPr>
                        <w:rFonts w:ascii="Arial" w:hAnsi="Arial" w:cs="Arial"/>
                        <w:b/>
                      </w:rPr>
                      <w:t xml:space="preserve"> </w:t>
                    </w:r>
                    <w:r w:rsidRPr="003B6E97">
                      <w:rPr>
                        <w:rFonts w:ascii="Arial" w:hAnsi="Arial" w:cs="Arial"/>
                        <w:b/>
                      </w:rPr>
                      <w:t>la LTAIP</w:t>
                    </w:r>
                    <w:r>
                      <w:rPr>
                        <w:rFonts w:ascii="Arial" w:hAnsi="Arial" w:cs="Arial"/>
                        <w:b/>
                      </w:rPr>
                      <w:t>BG</w:t>
                    </w:r>
                    <w:r w:rsidRPr="003B6E97">
                      <w:rPr>
                        <w:rFonts w:ascii="Arial" w:hAnsi="Arial" w:cs="Arial"/>
                        <w:b/>
                      </w:rPr>
                      <w:t>EO.</w:t>
                    </w:r>
                    <w:bookmarkEnd w:id="1"/>
                    <w:r w:rsidRPr="007F60A7">
                      <w:rPr>
                        <w:rFonts w:ascii="Arial" w:eastAsia="Times New Roman" w:hAnsi="Arial" w:cs="Arial"/>
                        <w:sz w:val="24"/>
                        <w:szCs w:val="27"/>
                        <w:lang w:val="es-ES_tradnl" w:eastAsia="es-ES"/>
                      </w:rPr>
                      <w:t xml:space="preserve"> </w:t>
                    </w:r>
                    <w:r>
                      <w:rPr>
                        <w:rFonts w:ascii="Arial" w:eastAsia="Times New Roman" w:hAnsi="Arial" w:cs="Arial"/>
                        <w:sz w:val="24"/>
                        <w:szCs w:val="27"/>
                        <w:lang w:val="es-ES_tradnl" w:eastAsia="es-ES"/>
                      </w:rPr>
                      <w:t>AZALIA LOPEZ O AZALIA LOPEZ PAEZ</w:t>
                    </w:r>
                  </w:p>
                </w:txbxContent>
              </v:textbox>
              <w10:wrap anchorx="margin"/>
            </v:shape>
          </w:pict>
        </mc:Fallback>
      </mc:AlternateContent>
    </w:r>
    <w:r w:rsidR="005851EF">
      <w:rPr>
        <w:noProof/>
        <w:lang w:val="es-ES" w:eastAsia="es-ES"/>
      </w:rPr>
      <w:drawing>
        <wp:anchor distT="0" distB="0" distL="114300" distR="114300" simplePos="0" relativeHeight="251671552" behindDoc="1" locked="0" layoutInCell="1" allowOverlap="1" wp14:anchorId="20EB95F7" wp14:editId="1ED9EDF9">
          <wp:simplePos x="0" y="0"/>
          <wp:positionH relativeFrom="page">
            <wp:align>right</wp:align>
          </wp:positionH>
          <wp:positionV relativeFrom="paragraph">
            <wp:posOffset>4152265</wp:posOffset>
          </wp:positionV>
          <wp:extent cx="7711312" cy="2869325"/>
          <wp:effectExtent l="0" t="0" r="4445" b="7620"/>
          <wp:wrapNone/>
          <wp:docPr id="2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1" cstate="print">
                    <a:duotone>
                      <a:schemeClr val="bg2">
                        <a:shade val="45000"/>
                        <a:satMod val="135000"/>
                      </a:schemeClr>
                      <a:prstClr val="white"/>
                    </a:duotone>
                    <a:extLst>
                      <a:ext uri="{28A0092B-C50C-407E-A947-70E740481C1C}">
                        <a14:useLocalDpi xmlns:a14="http://schemas.microsoft.com/office/drawing/2010/main" val="0"/>
                      </a:ext>
                    </a:extLst>
                  </a:blip>
                  <a:srcRect l="11788" t="18698" r="71172" b="57753"/>
                  <a:stretch/>
                </pic:blipFill>
                <pic:spPr bwMode="auto">
                  <a:xfrm>
                    <a:off x="0" y="0"/>
                    <a:ext cx="7711312" cy="2869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CC1EE" w14:textId="729A5721" w:rsidR="0076338B" w:rsidRDefault="005851EF">
    <w:pPr>
      <w:pStyle w:val="Encabezado"/>
    </w:pPr>
    <w:r>
      <w:rPr>
        <w:noProof/>
        <w:lang w:val="es-ES" w:eastAsia="es-ES"/>
      </w:rPr>
      <w:drawing>
        <wp:anchor distT="0" distB="0" distL="114300" distR="114300" simplePos="0" relativeHeight="251669504" behindDoc="1" locked="0" layoutInCell="1" allowOverlap="1" wp14:anchorId="260D7152" wp14:editId="1320FFC0">
          <wp:simplePos x="0" y="0"/>
          <wp:positionH relativeFrom="margin">
            <wp:posOffset>-1184910</wp:posOffset>
          </wp:positionH>
          <wp:positionV relativeFrom="paragraph">
            <wp:posOffset>4152265</wp:posOffset>
          </wp:positionV>
          <wp:extent cx="7711312" cy="2869325"/>
          <wp:effectExtent l="0" t="0" r="4445" b="7620"/>
          <wp:wrapNone/>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1" cstate="print">
                    <a:duotone>
                      <a:schemeClr val="bg2">
                        <a:shade val="45000"/>
                        <a:satMod val="135000"/>
                      </a:schemeClr>
                      <a:prstClr val="white"/>
                    </a:duotone>
                    <a:extLst>
                      <a:ext uri="{28A0092B-C50C-407E-A947-70E740481C1C}">
                        <a14:useLocalDpi xmlns:a14="http://schemas.microsoft.com/office/drawing/2010/main" val="0"/>
                      </a:ext>
                    </a:extLst>
                  </a:blip>
                  <a:srcRect l="11788" t="18698" r="71172" b="57753"/>
                  <a:stretch/>
                </pic:blipFill>
                <pic:spPr bwMode="auto">
                  <a:xfrm>
                    <a:off x="0" y="0"/>
                    <a:ext cx="7711312" cy="2869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D3AE7">
      <w:rPr>
        <w:noProof/>
        <w:lang w:val="es-ES" w:eastAsia="es-ES"/>
      </w:rPr>
      <w:drawing>
        <wp:anchor distT="0" distB="0" distL="114300" distR="114300" simplePos="0" relativeHeight="251663360" behindDoc="1" locked="0" layoutInCell="1" allowOverlap="1" wp14:anchorId="46076E94" wp14:editId="3F672244">
          <wp:simplePos x="0" y="0"/>
          <wp:positionH relativeFrom="page">
            <wp:posOffset>333375</wp:posOffset>
          </wp:positionH>
          <wp:positionV relativeFrom="paragraph">
            <wp:posOffset>-297815</wp:posOffset>
          </wp:positionV>
          <wp:extent cx="2276475" cy="923925"/>
          <wp:effectExtent l="0" t="0" r="9525" b="9525"/>
          <wp:wrapTight wrapText="bothSides">
            <wp:wrapPolygon edited="0">
              <wp:start x="0" y="0"/>
              <wp:lineTo x="0" y="21377"/>
              <wp:lineTo x="21510" y="21377"/>
              <wp:lineTo x="21510" y="18260"/>
              <wp:lineTo x="19160" y="14252"/>
              <wp:lineTo x="20425" y="7126"/>
              <wp:lineTo x="21510" y="4008"/>
              <wp:lineTo x="21510" y="0"/>
              <wp:lineTo x="0" y="0"/>
            </wp:wrapPolygon>
          </wp:wrapTight>
          <wp:docPr id="30"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2" cstate="print">
                    <a:extLst>
                      <a:ext uri="{28A0092B-C50C-407E-A947-70E740481C1C}">
                        <a14:useLocalDpi xmlns:a14="http://schemas.microsoft.com/office/drawing/2010/main" val="0"/>
                      </a:ext>
                    </a:extLst>
                  </a:blip>
                  <a:srcRect l="7280" t="18698" r="65870" b="40829"/>
                  <a:stretch/>
                </pic:blipFill>
                <pic:spPr bwMode="auto">
                  <a:xfrm>
                    <a:off x="0" y="0"/>
                    <a:ext cx="2276475" cy="9239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8811F8"/>
    <w:multiLevelType w:val="hybridMultilevel"/>
    <w:tmpl w:val="63D0B2EE"/>
    <w:lvl w:ilvl="0" w:tplc="A9B29A6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D345C5B"/>
    <w:multiLevelType w:val="hybridMultilevel"/>
    <w:tmpl w:val="B8A4E394"/>
    <w:lvl w:ilvl="0" w:tplc="0409000B">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 w15:restartNumberingAfterBreak="0">
    <w:nsid w:val="32256AA5"/>
    <w:multiLevelType w:val="hybridMultilevel"/>
    <w:tmpl w:val="8F669D9E"/>
    <w:lvl w:ilvl="0" w:tplc="93CEC3A2">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4B246B23"/>
    <w:multiLevelType w:val="hybridMultilevel"/>
    <w:tmpl w:val="B6DEFD38"/>
    <w:lvl w:ilvl="0" w:tplc="3EE66D7C">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5EA40E01"/>
    <w:multiLevelType w:val="hybridMultilevel"/>
    <w:tmpl w:val="B5A06B60"/>
    <w:lvl w:ilvl="0" w:tplc="728E559C">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5" w15:restartNumberingAfterBreak="0">
    <w:nsid w:val="6434656A"/>
    <w:multiLevelType w:val="hybridMultilevel"/>
    <w:tmpl w:val="2B32A7BA"/>
    <w:lvl w:ilvl="0" w:tplc="080A0011">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6" w15:restartNumberingAfterBreak="0">
    <w:nsid w:val="76B37EB0"/>
    <w:multiLevelType w:val="hybridMultilevel"/>
    <w:tmpl w:val="EB42C884"/>
    <w:lvl w:ilvl="0" w:tplc="0DB652A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2"/>
  </w:num>
  <w:num w:numId="2">
    <w:abstractNumId w:val="3"/>
  </w:num>
  <w:num w:numId="3">
    <w:abstractNumId w:val="6"/>
  </w:num>
  <w:num w:numId="4">
    <w:abstractNumId w:val="0"/>
  </w:num>
  <w:num w:numId="5">
    <w:abstractNumId w:val="4"/>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activeWritingStyle w:appName="MSWord" w:lang="pt-BR"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s-ES" w:vendorID="64" w:dllVersion="6" w:nlCheck="1" w:checkStyle="0"/>
  <w:activeWritingStyle w:appName="MSWord" w:lang="es-ES_tradnl" w:vendorID="64" w:dllVersion="4096" w:nlCheck="1" w:checkStyle="0"/>
  <w:activeWritingStyle w:appName="MSWord" w:lang="es-ES" w:vendorID="64" w:dllVersion="4096" w:nlCheck="1" w:checkStyle="0"/>
  <w:activeWritingStyle w:appName="MSWord" w:lang="es-MX" w:vendorID="64" w:dllVersion="4096" w:nlCheck="1" w:checkStyle="0"/>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69E3"/>
    <w:rsid w:val="00001378"/>
    <w:rsid w:val="0000564B"/>
    <w:rsid w:val="0000650D"/>
    <w:rsid w:val="00011258"/>
    <w:rsid w:val="00012F54"/>
    <w:rsid w:val="00013BAD"/>
    <w:rsid w:val="000203B2"/>
    <w:rsid w:val="00021165"/>
    <w:rsid w:val="000212A8"/>
    <w:rsid w:val="00023E0F"/>
    <w:rsid w:val="00024B83"/>
    <w:rsid w:val="0002521A"/>
    <w:rsid w:val="00026BB2"/>
    <w:rsid w:val="00030491"/>
    <w:rsid w:val="0003281E"/>
    <w:rsid w:val="00032827"/>
    <w:rsid w:val="000337D1"/>
    <w:rsid w:val="00033F72"/>
    <w:rsid w:val="00035E01"/>
    <w:rsid w:val="000363E1"/>
    <w:rsid w:val="000367AC"/>
    <w:rsid w:val="00036A0C"/>
    <w:rsid w:val="0003743F"/>
    <w:rsid w:val="00043748"/>
    <w:rsid w:val="00045E11"/>
    <w:rsid w:val="00051177"/>
    <w:rsid w:val="000530A9"/>
    <w:rsid w:val="0005415A"/>
    <w:rsid w:val="00064B6B"/>
    <w:rsid w:val="00065160"/>
    <w:rsid w:val="000662B7"/>
    <w:rsid w:val="00081134"/>
    <w:rsid w:val="000861BC"/>
    <w:rsid w:val="00090CB5"/>
    <w:rsid w:val="00092E1F"/>
    <w:rsid w:val="00094E83"/>
    <w:rsid w:val="000951F5"/>
    <w:rsid w:val="000968FD"/>
    <w:rsid w:val="000A0C4C"/>
    <w:rsid w:val="000A21C1"/>
    <w:rsid w:val="000A25F3"/>
    <w:rsid w:val="000A2814"/>
    <w:rsid w:val="000A2A86"/>
    <w:rsid w:val="000A3369"/>
    <w:rsid w:val="000A4C89"/>
    <w:rsid w:val="000A5644"/>
    <w:rsid w:val="000A5C47"/>
    <w:rsid w:val="000A5C83"/>
    <w:rsid w:val="000B1C0B"/>
    <w:rsid w:val="000B426C"/>
    <w:rsid w:val="000B48CB"/>
    <w:rsid w:val="000C1184"/>
    <w:rsid w:val="000C35D8"/>
    <w:rsid w:val="000C361C"/>
    <w:rsid w:val="000C4E6B"/>
    <w:rsid w:val="000C599F"/>
    <w:rsid w:val="000C6172"/>
    <w:rsid w:val="000C6FAD"/>
    <w:rsid w:val="000C7260"/>
    <w:rsid w:val="000D23FD"/>
    <w:rsid w:val="000D5ADC"/>
    <w:rsid w:val="000E1601"/>
    <w:rsid w:val="000E2FD3"/>
    <w:rsid w:val="000E5FA6"/>
    <w:rsid w:val="000E728E"/>
    <w:rsid w:val="000F044D"/>
    <w:rsid w:val="000F3A4E"/>
    <w:rsid w:val="000F77BF"/>
    <w:rsid w:val="001009AB"/>
    <w:rsid w:val="00102315"/>
    <w:rsid w:val="0010375C"/>
    <w:rsid w:val="0010765A"/>
    <w:rsid w:val="001134F5"/>
    <w:rsid w:val="00115274"/>
    <w:rsid w:val="001206B0"/>
    <w:rsid w:val="00121D94"/>
    <w:rsid w:val="00125DC6"/>
    <w:rsid w:val="001275B8"/>
    <w:rsid w:val="00127F63"/>
    <w:rsid w:val="00130B07"/>
    <w:rsid w:val="00131EDE"/>
    <w:rsid w:val="00132658"/>
    <w:rsid w:val="001350AA"/>
    <w:rsid w:val="001352D8"/>
    <w:rsid w:val="0013532F"/>
    <w:rsid w:val="00140805"/>
    <w:rsid w:val="00144196"/>
    <w:rsid w:val="00150C5F"/>
    <w:rsid w:val="00151127"/>
    <w:rsid w:val="001514E4"/>
    <w:rsid w:val="00152959"/>
    <w:rsid w:val="00152D38"/>
    <w:rsid w:val="00156BE5"/>
    <w:rsid w:val="0015763C"/>
    <w:rsid w:val="001628B3"/>
    <w:rsid w:val="001658D6"/>
    <w:rsid w:val="0016783D"/>
    <w:rsid w:val="00174085"/>
    <w:rsid w:val="00180B18"/>
    <w:rsid w:val="001812E2"/>
    <w:rsid w:val="00181533"/>
    <w:rsid w:val="00184646"/>
    <w:rsid w:val="00193422"/>
    <w:rsid w:val="0019467E"/>
    <w:rsid w:val="00196279"/>
    <w:rsid w:val="001A1FE9"/>
    <w:rsid w:val="001A2788"/>
    <w:rsid w:val="001A6E66"/>
    <w:rsid w:val="001B0663"/>
    <w:rsid w:val="001B1462"/>
    <w:rsid w:val="001B5DC7"/>
    <w:rsid w:val="001B6A00"/>
    <w:rsid w:val="001B77BA"/>
    <w:rsid w:val="001C0F76"/>
    <w:rsid w:val="001C6514"/>
    <w:rsid w:val="001D267C"/>
    <w:rsid w:val="001D347D"/>
    <w:rsid w:val="001D5414"/>
    <w:rsid w:val="001E1A1B"/>
    <w:rsid w:val="001E3531"/>
    <w:rsid w:val="001E3C59"/>
    <w:rsid w:val="001E49C1"/>
    <w:rsid w:val="001E4A0B"/>
    <w:rsid w:val="001F2FF9"/>
    <w:rsid w:val="0020358E"/>
    <w:rsid w:val="00203B91"/>
    <w:rsid w:val="00204FE3"/>
    <w:rsid w:val="00205FF5"/>
    <w:rsid w:val="00212E1F"/>
    <w:rsid w:val="00215234"/>
    <w:rsid w:val="00220D6F"/>
    <w:rsid w:val="00224120"/>
    <w:rsid w:val="002257D3"/>
    <w:rsid w:val="00226128"/>
    <w:rsid w:val="00230E4C"/>
    <w:rsid w:val="0023189F"/>
    <w:rsid w:val="002318D5"/>
    <w:rsid w:val="002419CF"/>
    <w:rsid w:val="00244A8E"/>
    <w:rsid w:val="00245075"/>
    <w:rsid w:val="00251577"/>
    <w:rsid w:val="002524BD"/>
    <w:rsid w:val="00252E0F"/>
    <w:rsid w:val="002549C3"/>
    <w:rsid w:val="00263E2D"/>
    <w:rsid w:val="002649F6"/>
    <w:rsid w:val="002649F9"/>
    <w:rsid w:val="002653F1"/>
    <w:rsid w:val="00265704"/>
    <w:rsid w:val="00266F67"/>
    <w:rsid w:val="00267C69"/>
    <w:rsid w:val="0027164D"/>
    <w:rsid w:val="00274498"/>
    <w:rsid w:val="002747AF"/>
    <w:rsid w:val="0027572E"/>
    <w:rsid w:val="0027767F"/>
    <w:rsid w:val="002779CB"/>
    <w:rsid w:val="0028475A"/>
    <w:rsid w:val="00287DE5"/>
    <w:rsid w:val="002914F2"/>
    <w:rsid w:val="00292144"/>
    <w:rsid w:val="00295133"/>
    <w:rsid w:val="00295A03"/>
    <w:rsid w:val="00296D02"/>
    <w:rsid w:val="002A6281"/>
    <w:rsid w:val="002A7FE6"/>
    <w:rsid w:val="002B198B"/>
    <w:rsid w:val="002B245A"/>
    <w:rsid w:val="002B2C0E"/>
    <w:rsid w:val="002B4619"/>
    <w:rsid w:val="002B52BC"/>
    <w:rsid w:val="002B6DB8"/>
    <w:rsid w:val="002C0FD7"/>
    <w:rsid w:val="002C7465"/>
    <w:rsid w:val="002D696F"/>
    <w:rsid w:val="002E0352"/>
    <w:rsid w:val="002E0F64"/>
    <w:rsid w:val="002E1A8B"/>
    <w:rsid w:val="002E58B8"/>
    <w:rsid w:val="002E65B4"/>
    <w:rsid w:val="002F08AA"/>
    <w:rsid w:val="002F2F88"/>
    <w:rsid w:val="002F71C8"/>
    <w:rsid w:val="00301470"/>
    <w:rsid w:val="003039BE"/>
    <w:rsid w:val="00304F2A"/>
    <w:rsid w:val="003057ED"/>
    <w:rsid w:val="003063A5"/>
    <w:rsid w:val="003119B9"/>
    <w:rsid w:val="00314C35"/>
    <w:rsid w:val="003172C1"/>
    <w:rsid w:val="003173F3"/>
    <w:rsid w:val="003176C4"/>
    <w:rsid w:val="00320CB4"/>
    <w:rsid w:val="003213D8"/>
    <w:rsid w:val="00327322"/>
    <w:rsid w:val="00327ABE"/>
    <w:rsid w:val="00330516"/>
    <w:rsid w:val="00331255"/>
    <w:rsid w:val="00333268"/>
    <w:rsid w:val="003337E5"/>
    <w:rsid w:val="003355C2"/>
    <w:rsid w:val="003418BF"/>
    <w:rsid w:val="00344216"/>
    <w:rsid w:val="00345A4E"/>
    <w:rsid w:val="00346EA0"/>
    <w:rsid w:val="00350413"/>
    <w:rsid w:val="00351A21"/>
    <w:rsid w:val="00351DE2"/>
    <w:rsid w:val="00351DE3"/>
    <w:rsid w:val="00351EF2"/>
    <w:rsid w:val="00352A96"/>
    <w:rsid w:val="0035374B"/>
    <w:rsid w:val="00354B88"/>
    <w:rsid w:val="003569E3"/>
    <w:rsid w:val="003579DB"/>
    <w:rsid w:val="00363EFF"/>
    <w:rsid w:val="00364572"/>
    <w:rsid w:val="003667A1"/>
    <w:rsid w:val="003706BE"/>
    <w:rsid w:val="00370E42"/>
    <w:rsid w:val="00371394"/>
    <w:rsid w:val="00371D3E"/>
    <w:rsid w:val="00375C9A"/>
    <w:rsid w:val="003763EB"/>
    <w:rsid w:val="00383693"/>
    <w:rsid w:val="00387165"/>
    <w:rsid w:val="00387930"/>
    <w:rsid w:val="00387B37"/>
    <w:rsid w:val="00387B42"/>
    <w:rsid w:val="003905EF"/>
    <w:rsid w:val="003A375F"/>
    <w:rsid w:val="003A5C6A"/>
    <w:rsid w:val="003C1032"/>
    <w:rsid w:val="003C1A76"/>
    <w:rsid w:val="003C37D1"/>
    <w:rsid w:val="003C3CAD"/>
    <w:rsid w:val="003C483A"/>
    <w:rsid w:val="003C7C99"/>
    <w:rsid w:val="003D2EAC"/>
    <w:rsid w:val="003D6C41"/>
    <w:rsid w:val="003E0CBC"/>
    <w:rsid w:val="003E3AB9"/>
    <w:rsid w:val="003E3CFA"/>
    <w:rsid w:val="003E604C"/>
    <w:rsid w:val="003E65D9"/>
    <w:rsid w:val="003E6B10"/>
    <w:rsid w:val="003E727C"/>
    <w:rsid w:val="003F2E0D"/>
    <w:rsid w:val="004018A4"/>
    <w:rsid w:val="00402772"/>
    <w:rsid w:val="00403E20"/>
    <w:rsid w:val="004107AC"/>
    <w:rsid w:val="00410B01"/>
    <w:rsid w:val="0041104C"/>
    <w:rsid w:val="00413551"/>
    <w:rsid w:val="00417ED6"/>
    <w:rsid w:val="00421E9B"/>
    <w:rsid w:val="00423C8C"/>
    <w:rsid w:val="00425036"/>
    <w:rsid w:val="00427278"/>
    <w:rsid w:val="00430B1C"/>
    <w:rsid w:val="0043159F"/>
    <w:rsid w:val="00431A31"/>
    <w:rsid w:val="00432832"/>
    <w:rsid w:val="00434BDC"/>
    <w:rsid w:val="00435BA2"/>
    <w:rsid w:val="00440813"/>
    <w:rsid w:val="00443701"/>
    <w:rsid w:val="004456D0"/>
    <w:rsid w:val="004466E9"/>
    <w:rsid w:val="00446F3E"/>
    <w:rsid w:val="004471F8"/>
    <w:rsid w:val="00450E23"/>
    <w:rsid w:val="00451CD2"/>
    <w:rsid w:val="00451D96"/>
    <w:rsid w:val="00455FD5"/>
    <w:rsid w:val="00456EB9"/>
    <w:rsid w:val="00460CAD"/>
    <w:rsid w:val="00464066"/>
    <w:rsid w:val="004660BC"/>
    <w:rsid w:val="00471718"/>
    <w:rsid w:val="00471CEB"/>
    <w:rsid w:val="004723BF"/>
    <w:rsid w:val="00477558"/>
    <w:rsid w:val="00481380"/>
    <w:rsid w:val="00482919"/>
    <w:rsid w:val="0048308A"/>
    <w:rsid w:val="00485E2A"/>
    <w:rsid w:val="004909E5"/>
    <w:rsid w:val="00492C2F"/>
    <w:rsid w:val="00497461"/>
    <w:rsid w:val="004A0097"/>
    <w:rsid w:val="004A0EDA"/>
    <w:rsid w:val="004A23FF"/>
    <w:rsid w:val="004A2D13"/>
    <w:rsid w:val="004A3555"/>
    <w:rsid w:val="004A3D3D"/>
    <w:rsid w:val="004A718A"/>
    <w:rsid w:val="004B030F"/>
    <w:rsid w:val="004B0D7E"/>
    <w:rsid w:val="004B22DE"/>
    <w:rsid w:val="004B4F62"/>
    <w:rsid w:val="004B7523"/>
    <w:rsid w:val="004C0019"/>
    <w:rsid w:val="004C1DE4"/>
    <w:rsid w:val="004C414A"/>
    <w:rsid w:val="004C582E"/>
    <w:rsid w:val="004D10D8"/>
    <w:rsid w:val="004D2B6D"/>
    <w:rsid w:val="004D40B5"/>
    <w:rsid w:val="004D4D80"/>
    <w:rsid w:val="004E4AAE"/>
    <w:rsid w:val="004E6267"/>
    <w:rsid w:val="004E6EA5"/>
    <w:rsid w:val="004F202C"/>
    <w:rsid w:val="004F47A1"/>
    <w:rsid w:val="004F5EA4"/>
    <w:rsid w:val="00501090"/>
    <w:rsid w:val="00504B18"/>
    <w:rsid w:val="00504C8D"/>
    <w:rsid w:val="00504CD6"/>
    <w:rsid w:val="005117EA"/>
    <w:rsid w:val="00511877"/>
    <w:rsid w:val="00522225"/>
    <w:rsid w:val="005231EC"/>
    <w:rsid w:val="00524C59"/>
    <w:rsid w:val="005277D3"/>
    <w:rsid w:val="00533365"/>
    <w:rsid w:val="00533629"/>
    <w:rsid w:val="0053425C"/>
    <w:rsid w:val="005357CD"/>
    <w:rsid w:val="005359BA"/>
    <w:rsid w:val="00540DC8"/>
    <w:rsid w:val="005428ED"/>
    <w:rsid w:val="00542DAE"/>
    <w:rsid w:val="00551613"/>
    <w:rsid w:val="00551C92"/>
    <w:rsid w:val="00554D73"/>
    <w:rsid w:val="00555D1C"/>
    <w:rsid w:val="0055660F"/>
    <w:rsid w:val="005579FF"/>
    <w:rsid w:val="00560A7D"/>
    <w:rsid w:val="005610E3"/>
    <w:rsid w:val="00564CE2"/>
    <w:rsid w:val="00566787"/>
    <w:rsid w:val="00571F14"/>
    <w:rsid w:val="00571FEB"/>
    <w:rsid w:val="00573D74"/>
    <w:rsid w:val="00575B7F"/>
    <w:rsid w:val="00580814"/>
    <w:rsid w:val="005814E3"/>
    <w:rsid w:val="00581667"/>
    <w:rsid w:val="00583B55"/>
    <w:rsid w:val="00583E3A"/>
    <w:rsid w:val="005851EF"/>
    <w:rsid w:val="00586E29"/>
    <w:rsid w:val="00591480"/>
    <w:rsid w:val="00591D82"/>
    <w:rsid w:val="005945AD"/>
    <w:rsid w:val="005953CC"/>
    <w:rsid w:val="00597332"/>
    <w:rsid w:val="005A3AE0"/>
    <w:rsid w:val="005A4A79"/>
    <w:rsid w:val="005B18A3"/>
    <w:rsid w:val="005B2116"/>
    <w:rsid w:val="005B4290"/>
    <w:rsid w:val="005B5E0B"/>
    <w:rsid w:val="005B650F"/>
    <w:rsid w:val="005C2325"/>
    <w:rsid w:val="005C3216"/>
    <w:rsid w:val="005C329C"/>
    <w:rsid w:val="005C3D00"/>
    <w:rsid w:val="005C3D34"/>
    <w:rsid w:val="005C444C"/>
    <w:rsid w:val="005D28D8"/>
    <w:rsid w:val="005D2D12"/>
    <w:rsid w:val="005D3B58"/>
    <w:rsid w:val="005D495B"/>
    <w:rsid w:val="005E4182"/>
    <w:rsid w:val="005F5334"/>
    <w:rsid w:val="005F6C33"/>
    <w:rsid w:val="006016B9"/>
    <w:rsid w:val="00603E8E"/>
    <w:rsid w:val="00604752"/>
    <w:rsid w:val="006073E9"/>
    <w:rsid w:val="0061289D"/>
    <w:rsid w:val="00613F31"/>
    <w:rsid w:val="006170B7"/>
    <w:rsid w:val="00620928"/>
    <w:rsid w:val="00620938"/>
    <w:rsid w:val="0062129B"/>
    <w:rsid w:val="00623F3E"/>
    <w:rsid w:val="00625D3A"/>
    <w:rsid w:val="00625ECE"/>
    <w:rsid w:val="00630DBB"/>
    <w:rsid w:val="00633E37"/>
    <w:rsid w:val="0063728C"/>
    <w:rsid w:val="006408AE"/>
    <w:rsid w:val="00641215"/>
    <w:rsid w:val="00641CD0"/>
    <w:rsid w:val="00642D22"/>
    <w:rsid w:val="00642DF7"/>
    <w:rsid w:val="00643516"/>
    <w:rsid w:val="006445C9"/>
    <w:rsid w:val="00645246"/>
    <w:rsid w:val="00652091"/>
    <w:rsid w:val="00653CF6"/>
    <w:rsid w:val="00655705"/>
    <w:rsid w:val="0066005E"/>
    <w:rsid w:val="00661409"/>
    <w:rsid w:val="00662EB6"/>
    <w:rsid w:val="00666DF0"/>
    <w:rsid w:val="00670A60"/>
    <w:rsid w:val="00674274"/>
    <w:rsid w:val="0067528E"/>
    <w:rsid w:val="00685823"/>
    <w:rsid w:val="00687A9E"/>
    <w:rsid w:val="00687AAE"/>
    <w:rsid w:val="0069002D"/>
    <w:rsid w:val="006908BC"/>
    <w:rsid w:val="00694F98"/>
    <w:rsid w:val="00695463"/>
    <w:rsid w:val="00696743"/>
    <w:rsid w:val="00697984"/>
    <w:rsid w:val="006A05A5"/>
    <w:rsid w:val="006A5209"/>
    <w:rsid w:val="006A54B9"/>
    <w:rsid w:val="006B091C"/>
    <w:rsid w:val="006B2272"/>
    <w:rsid w:val="006B2626"/>
    <w:rsid w:val="006B6EE7"/>
    <w:rsid w:val="006B7E96"/>
    <w:rsid w:val="006C63F7"/>
    <w:rsid w:val="006C66B7"/>
    <w:rsid w:val="006D026D"/>
    <w:rsid w:val="006D29F5"/>
    <w:rsid w:val="006D5469"/>
    <w:rsid w:val="006D5592"/>
    <w:rsid w:val="006E71B3"/>
    <w:rsid w:val="006F0975"/>
    <w:rsid w:val="006F3B8D"/>
    <w:rsid w:val="006F3FD9"/>
    <w:rsid w:val="006F4908"/>
    <w:rsid w:val="00700A6E"/>
    <w:rsid w:val="00701933"/>
    <w:rsid w:val="00705168"/>
    <w:rsid w:val="00707CBD"/>
    <w:rsid w:val="00707CDB"/>
    <w:rsid w:val="00711DCC"/>
    <w:rsid w:val="00712201"/>
    <w:rsid w:val="0071481E"/>
    <w:rsid w:val="00714C95"/>
    <w:rsid w:val="00714DB4"/>
    <w:rsid w:val="007150B1"/>
    <w:rsid w:val="0071655A"/>
    <w:rsid w:val="00720051"/>
    <w:rsid w:val="0072112F"/>
    <w:rsid w:val="007212E3"/>
    <w:rsid w:val="0072624D"/>
    <w:rsid w:val="0073025A"/>
    <w:rsid w:val="00731A17"/>
    <w:rsid w:val="00732F50"/>
    <w:rsid w:val="00734A25"/>
    <w:rsid w:val="00735F12"/>
    <w:rsid w:val="00736BE9"/>
    <w:rsid w:val="00742B73"/>
    <w:rsid w:val="00742C49"/>
    <w:rsid w:val="007457DC"/>
    <w:rsid w:val="00747EB3"/>
    <w:rsid w:val="00750212"/>
    <w:rsid w:val="00750B8A"/>
    <w:rsid w:val="0075198C"/>
    <w:rsid w:val="00753223"/>
    <w:rsid w:val="00754B12"/>
    <w:rsid w:val="0076004E"/>
    <w:rsid w:val="0076119B"/>
    <w:rsid w:val="0076338B"/>
    <w:rsid w:val="00765C49"/>
    <w:rsid w:val="00775EA3"/>
    <w:rsid w:val="00776924"/>
    <w:rsid w:val="00777359"/>
    <w:rsid w:val="00781B05"/>
    <w:rsid w:val="00783959"/>
    <w:rsid w:val="007840CE"/>
    <w:rsid w:val="00785B67"/>
    <w:rsid w:val="007866EA"/>
    <w:rsid w:val="00787341"/>
    <w:rsid w:val="007917DD"/>
    <w:rsid w:val="00793DA7"/>
    <w:rsid w:val="007960F5"/>
    <w:rsid w:val="007974DA"/>
    <w:rsid w:val="007A14F2"/>
    <w:rsid w:val="007A71BA"/>
    <w:rsid w:val="007B2C4C"/>
    <w:rsid w:val="007B432D"/>
    <w:rsid w:val="007B5995"/>
    <w:rsid w:val="007C0630"/>
    <w:rsid w:val="007C0ED9"/>
    <w:rsid w:val="007C4592"/>
    <w:rsid w:val="007C4EBB"/>
    <w:rsid w:val="007C7071"/>
    <w:rsid w:val="007C7931"/>
    <w:rsid w:val="007D07C3"/>
    <w:rsid w:val="007D0F26"/>
    <w:rsid w:val="007D33DA"/>
    <w:rsid w:val="007D5781"/>
    <w:rsid w:val="007D64EC"/>
    <w:rsid w:val="007D64ED"/>
    <w:rsid w:val="007E112A"/>
    <w:rsid w:val="007F03CD"/>
    <w:rsid w:val="007F54D9"/>
    <w:rsid w:val="007F5AFB"/>
    <w:rsid w:val="007F61FF"/>
    <w:rsid w:val="00800787"/>
    <w:rsid w:val="00801C91"/>
    <w:rsid w:val="00804B71"/>
    <w:rsid w:val="00805997"/>
    <w:rsid w:val="008067B1"/>
    <w:rsid w:val="00806EAC"/>
    <w:rsid w:val="008072E7"/>
    <w:rsid w:val="00807E34"/>
    <w:rsid w:val="0081484A"/>
    <w:rsid w:val="00817A5C"/>
    <w:rsid w:val="00820DC4"/>
    <w:rsid w:val="0082290F"/>
    <w:rsid w:val="00826681"/>
    <w:rsid w:val="00830200"/>
    <w:rsid w:val="0083186B"/>
    <w:rsid w:val="0083198D"/>
    <w:rsid w:val="00831F26"/>
    <w:rsid w:val="00832B4F"/>
    <w:rsid w:val="00835131"/>
    <w:rsid w:val="008450FE"/>
    <w:rsid w:val="00855326"/>
    <w:rsid w:val="00856627"/>
    <w:rsid w:val="00856D6D"/>
    <w:rsid w:val="00875B7C"/>
    <w:rsid w:val="00877292"/>
    <w:rsid w:val="0088558F"/>
    <w:rsid w:val="00885E7B"/>
    <w:rsid w:val="00891558"/>
    <w:rsid w:val="00893348"/>
    <w:rsid w:val="00895758"/>
    <w:rsid w:val="008A2064"/>
    <w:rsid w:val="008A2FD4"/>
    <w:rsid w:val="008A3A19"/>
    <w:rsid w:val="008A4435"/>
    <w:rsid w:val="008B0405"/>
    <w:rsid w:val="008B0DBF"/>
    <w:rsid w:val="008B505B"/>
    <w:rsid w:val="008B54EA"/>
    <w:rsid w:val="008B7C4F"/>
    <w:rsid w:val="008C0D59"/>
    <w:rsid w:val="008C0EF0"/>
    <w:rsid w:val="008C1725"/>
    <w:rsid w:val="008C1AC1"/>
    <w:rsid w:val="008C25FD"/>
    <w:rsid w:val="008C6A3C"/>
    <w:rsid w:val="008C764E"/>
    <w:rsid w:val="008D1063"/>
    <w:rsid w:val="008D1A6D"/>
    <w:rsid w:val="008D2ED8"/>
    <w:rsid w:val="008D4B0C"/>
    <w:rsid w:val="008D693D"/>
    <w:rsid w:val="008D71C0"/>
    <w:rsid w:val="008D748B"/>
    <w:rsid w:val="008E2D64"/>
    <w:rsid w:val="008E453F"/>
    <w:rsid w:val="008E45D0"/>
    <w:rsid w:val="008E6954"/>
    <w:rsid w:val="008E7EB0"/>
    <w:rsid w:val="008F0098"/>
    <w:rsid w:val="008F0BE4"/>
    <w:rsid w:val="008F2E3D"/>
    <w:rsid w:val="008F5029"/>
    <w:rsid w:val="008F531B"/>
    <w:rsid w:val="00900713"/>
    <w:rsid w:val="00903B51"/>
    <w:rsid w:val="00910E7B"/>
    <w:rsid w:val="0091257C"/>
    <w:rsid w:val="00920C87"/>
    <w:rsid w:val="009210BB"/>
    <w:rsid w:val="0092257E"/>
    <w:rsid w:val="0093055C"/>
    <w:rsid w:val="00931BBE"/>
    <w:rsid w:val="00932ACC"/>
    <w:rsid w:val="00942F68"/>
    <w:rsid w:val="009441FE"/>
    <w:rsid w:val="00944977"/>
    <w:rsid w:val="00945DEA"/>
    <w:rsid w:val="00947D05"/>
    <w:rsid w:val="009518EB"/>
    <w:rsid w:val="00953FA6"/>
    <w:rsid w:val="009544F4"/>
    <w:rsid w:val="00954F8F"/>
    <w:rsid w:val="00960A43"/>
    <w:rsid w:val="0096662B"/>
    <w:rsid w:val="00966F53"/>
    <w:rsid w:val="00975BD3"/>
    <w:rsid w:val="00975C4C"/>
    <w:rsid w:val="009814FC"/>
    <w:rsid w:val="00982481"/>
    <w:rsid w:val="009930D8"/>
    <w:rsid w:val="009A26A3"/>
    <w:rsid w:val="009A2945"/>
    <w:rsid w:val="009A3A46"/>
    <w:rsid w:val="009A4EB1"/>
    <w:rsid w:val="009A5429"/>
    <w:rsid w:val="009A6B56"/>
    <w:rsid w:val="009A7918"/>
    <w:rsid w:val="009B34F0"/>
    <w:rsid w:val="009B575C"/>
    <w:rsid w:val="009B70EA"/>
    <w:rsid w:val="009B727A"/>
    <w:rsid w:val="009C0C09"/>
    <w:rsid w:val="009C3AB3"/>
    <w:rsid w:val="009C68FE"/>
    <w:rsid w:val="009D3AE7"/>
    <w:rsid w:val="009E3666"/>
    <w:rsid w:val="009E5B18"/>
    <w:rsid w:val="009E6F49"/>
    <w:rsid w:val="009F3E45"/>
    <w:rsid w:val="00A02773"/>
    <w:rsid w:val="00A02B13"/>
    <w:rsid w:val="00A04B22"/>
    <w:rsid w:val="00A061F4"/>
    <w:rsid w:val="00A0793F"/>
    <w:rsid w:val="00A118E3"/>
    <w:rsid w:val="00A11FD1"/>
    <w:rsid w:val="00A127E8"/>
    <w:rsid w:val="00A12CD4"/>
    <w:rsid w:val="00A14FB8"/>
    <w:rsid w:val="00A155F9"/>
    <w:rsid w:val="00A17D80"/>
    <w:rsid w:val="00A2171C"/>
    <w:rsid w:val="00A25FB6"/>
    <w:rsid w:val="00A40006"/>
    <w:rsid w:val="00A4179A"/>
    <w:rsid w:val="00A422B8"/>
    <w:rsid w:val="00A43413"/>
    <w:rsid w:val="00A51CC9"/>
    <w:rsid w:val="00A56DBD"/>
    <w:rsid w:val="00A62AED"/>
    <w:rsid w:val="00A646F1"/>
    <w:rsid w:val="00A66CB3"/>
    <w:rsid w:val="00A730CB"/>
    <w:rsid w:val="00A74764"/>
    <w:rsid w:val="00A74BD5"/>
    <w:rsid w:val="00A75BA6"/>
    <w:rsid w:val="00A76F90"/>
    <w:rsid w:val="00A775C0"/>
    <w:rsid w:val="00A77769"/>
    <w:rsid w:val="00A8083D"/>
    <w:rsid w:val="00A82E30"/>
    <w:rsid w:val="00A834E0"/>
    <w:rsid w:val="00A853A8"/>
    <w:rsid w:val="00A86463"/>
    <w:rsid w:val="00A86917"/>
    <w:rsid w:val="00A87F32"/>
    <w:rsid w:val="00A9124C"/>
    <w:rsid w:val="00A92EC1"/>
    <w:rsid w:val="00A937C4"/>
    <w:rsid w:val="00A94B98"/>
    <w:rsid w:val="00A9514B"/>
    <w:rsid w:val="00A95C95"/>
    <w:rsid w:val="00AA5876"/>
    <w:rsid w:val="00AA5CAE"/>
    <w:rsid w:val="00AA68B4"/>
    <w:rsid w:val="00AB34AE"/>
    <w:rsid w:val="00AC3190"/>
    <w:rsid w:val="00AC3C34"/>
    <w:rsid w:val="00AC7A12"/>
    <w:rsid w:val="00AD2DBD"/>
    <w:rsid w:val="00AD4F5A"/>
    <w:rsid w:val="00AE1A6F"/>
    <w:rsid w:val="00AE51B3"/>
    <w:rsid w:val="00AF4B3A"/>
    <w:rsid w:val="00AF69FC"/>
    <w:rsid w:val="00B01C55"/>
    <w:rsid w:val="00B025B6"/>
    <w:rsid w:val="00B027D1"/>
    <w:rsid w:val="00B058FC"/>
    <w:rsid w:val="00B05AB1"/>
    <w:rsid w:val="00B10C7A"/>
    <w:rsid w:val="00B122CC"/>
    <w:rsid w:val="00B12B90"/>
    <w:rsid w:val="00B1512A"/>
    <w:rsid w:val="00B15B86"/>
    <w:rsid w:val="00B17526"/>
    <w:rsid w:val="00B20292"/>
    <w:rsid w:val="00B20491"/>
    <w:rsid w:val="00B24F16"/>
    <w:rsid w:val="00B26E5F"/>
    <w:rsid w:val="00B32722"/>
    <w:rsid w:val="00B416AA"/>
    <w:rsid w:val="00B41B7D"/>
    <w:rsid w:val="00B41EDC"/>
    <w:rsid w:val="00B43ACA"/>
    <w:rsid w:val="00B443A5"/>
    <w:rsid w:val="00B47B63"/>
    <w:rsid w:val="00B51159"/>
    <w:rsid w:val="00B54D39"/>
    <w:rsid w:val="00B5518F"/>
    <w:rsid w:val="00B557AA"/>
    <w:rsid w:val="00B55A5E"/>
    <w:rsid w:val="00B605A5"/>
    <w:rsid w:val="00B6175C"/>
    <w:rsid w:val="00B66F8B"/>
    <w:rsid w:val="00B6737F"/>
    <w:rsid w:val="00B71AE2"/>
    <w:rsid w:val="00B7211E"/>
    <w:rsid w:val="00B7672E"/>
    <w:rsid w:val="00B8023E"/>
    <w:rsid w:val="00B82C06"/>
    <w:rsid w:val="00B84660"/>
    <w:rsid w:val="00B8697C"/>
    <w:rsid w:val="00B90587"/>
    <w:rsid w:val="00B96063"/>
    <w:rsid w:val="00B96496"/>
    <w:rsid w:val="00BA097E"/>
    <w:rsid w:val="00BA244C"/>
    <w:rsid w:val="00BA3772"/>
    <w:rsid w:val="00BA466B"/>
    <w:rsid w:val="00BA64C1"/>
    <w:rsid w:val="00BA6B2D"/>
    <w:rsid w:val="00BA763A"/>
    <w:rsid w:val="00BB485D"/>
    <w:rsid w:val="00BB5FCE"/>
    <w:rsid w:val="00BC29FD"/>
    <w:rsid w:val="00BD0277"/>
    <w:rsid w:val="00BD4FC7"/>
    <w:rsid w:val="00BD5D6A"/>
    <w:rsid w:val="00BD70D1"/>
    <w:rsid w:val="00BD71E4"/>
    <w:rsid w:val="00BD7643"/>
    <w:rsid w:val="00BE5A2E"/>
    <w:rsid w:val="00BE5B63"/>
    <w:rsid w:val="00BE617D"/>
    <w:rsid w:val="00BF034F"/>
    <w:rsid w:val="00BF1D3E"/>
    <w:rsid w:val="00BF686B"/>
    <w:rsid w:val="00C03766"/>
    <w:rsid w:val="00C047E1"/>
    <w:rsid w:val="00C061E4"/>
    <w:rsid w:val="00C07985"/>
    <w:rsid w:val="00C07DAF"/>
    <w:rsid w:val="00C07F53"/>
    <w:rsid w:val="00C10B93"/>
    <w:rsid w:val="00C10BB1"/>
    <w:rsid w:val="00C21B1E"/>
    <w:rsid w:val="00C2235D"/>
    <w:rsid w:val="00C22BD2"/>
    <w:rsid w:val="00C23D64"/>
    <w:rsid w:val="00C26A2D"/>
    <w:rsid w:val="00C303AC"/>
    <w:rsid w:val="00C3147A"/>
    <w:rsid w:val="00C33E0E"/>
    <w:rsid w:val="00C35AD9"/>
    <w:rsid w:val="00C3660B"/>
    <w:rsid w:val="00C36E94"/>
    <w:rsid w:val="00C372A6"/>
    <w:rsid w:val="00C372AB"/>
    <w:rsid w:val="00C40A6E"/>
    <w:rsid w:val="00C40F67"/>
    <w:rsid w:val="00C44636"/>
    <w:rsid w:val="00C51CBE"/>
    <w:rsid w:val="00C53AEE"/>
    <w:rsid w:val="00C572E0"/>
    <w:rsid w:val="00C57303"/>
    <w:rsid w:val="00C57648"/>
    <w:rsid w:val="00C6185C"/>
    <w:rsid w:val="00C61D30"/>
    <w:rsid w:val="00C6331F"/>
    <w:rsid w:val="00C64702"/>
    <w:rsid w:val="00C659D1"/>
    <w:rsid w:val="00C65EF6"/>
    <w:rsid w:val="00C7360C"/>
    <w:rsid w:val="00C74048"/>
    <w:rsid w:val="00C86257"/>
    <w:rsid w:val="00C908F5"/>
    <w:rsid w:val="00C934CE"/>
    <w:rsid w:val="00C9497C"/>
    <w:rsid w:val="00C9565B"/>
    <w:rsid w:val="00C96EE7"/>
    <w:rsid w:val="00CA0FC8"/>
    <w:rsid w:val="00CA18A3"/>
    <w:rsid w:val="00CA236E"/>
    <w:rsid w:val="00CA4A02"/>
    <w:rsid w:val="00CB2342"/>
    <w:rsid w:val="00CB43BB"/>
    <w:rsid w:val="00CB512D"/>
    <w:rsid w:val="00CB5F39"/>
    <w:rsid w:val="00CC01DB"/>
    <w:rsid w:val="00CC10B7"/>
    <w:rsid w:val="00CC1708"/>
    <w:rsid w:val="00CC2770"/>
    <w:rsid w:val="00CC2844"/>
    <w:rsid w:val="00CC2AB5"/>
    <w:rsid w:val="00CC360A"/>
    <w:rsid w:val="00CC3A04"/>
    <w:rsid w:val="00CD399A"/>
    <w:rsid w:val="00CD643E"/>
    <w:rsid w:val="00CD6AA0"/>
    <w:rsid w:val="00CE19F5"/>
    <w:rsid w:val="00CE2657"/>
    <w:rsid w:val="00CE43E4"/>
    <w:rsid w:val="00CF184C"/>
    <w:rsid w:val="00CF31A1"/>
    <w:rsid w:val="00CF466A"/>
    <w:rsid w:val="00D03C91"/>
    <w:rsid w:val="00D05C45"/>
    <w:rsid w:val="00D06B45"/>
    <w:rsid w:val="00D07184"/>
    <w:rsid w:val="00D07EB1"/>
    <w:rsid w:val="00D11693"/>
    <w:rsid w:val="00D13DAF"/>
    <w:rsid w:val="00D20C3A"/>
    <w:rsid w:val="00D352E5"/>
    <w:rsid w:val="00D361A0"/>
    <w:rsid w:val="00D3679B"/>
    <w:rsid w:val="00D36828"/>
    <w:rsid w:val="00D40CCA"/>
    <w:rsid w:val="00D419D5"/>
    <w:rsid w:val="00D435FD"/>
    <w:rsid w:val="00D4373E"/>
    <w:rsid w:val="00D4585C"/>
    <w:rsid w:val="00D45AE2"/>
    <w:rsid w:val="00D46647"/>
    <w:rsid w:val="00D46C7D"/>
    <w:rsid w:val="00D52F55"/>
    <w:rsid w:val="00D568A9"/>
    <w:rsid w:val="00D604D6"/>
    <w:rsid w:val="00D61CFF"/>
    <w:rsid w:val="00D63CB2"/>
    <w:rsid w:val="00D6453E"/>
    <w:rsid w:val="00D70BA7"/>
    <w:rsid w:val="00D7533E"/>
    <w:rsid w:val="00D75A2B"/>
    <w:rsid w:val="00D75BF4"/>
    <w:rsid w:val="00D80AB3"/>
    <w:rsid w:val="00D81DB4"/>
    <w:rsid w:val="00D829B2"/>
    <w:rsid w:val="00D83D36"/>
    <w:rsid w:val="00D87004"/>
    <w:rsid w:val="00D870CD"/>
    <w:rsid w:val="00D912EF"/>
    <w:rsid w:val="00D93CA4"/>
    <w:rsid w:val="00D96D29"/>
    <w:rsid w:val="00D96FCD"/>
    <w:rsid w:val="00DA364E"/>
    <w:rsid w:val="00DA6A9E"/>
    <w:rsid w:val="00DA7969"/>
    <w:rsid w:val="00DB0414"/>
    <w:rsid w:val="00DB0A55"/>
    <w:rsid w:val="00DB1601"/>
    <w:rsid w:val="00DB2E20"/>
    <w:rsid w:val="00DB3BD6"/>
    <w:rsid w:val="00DB3CA1"/>
    <w:rsid w:val="00DB4C41"/>
    <w:rsid w:val="00DB7D73"/>
    <w:rsid w:val="00DC2B07"/>
    <w:rsid w:val="00DC47AE"/>
    <w:rsid w:val="00DC7145"/>
    <w:rsid w:val="00DD3FBD"/>
    <w:rsid w:val="00DD6510"/>
    <w:rsid w:val="00DD658D"/>
    <w:rsid w:val="00DD6947"/>
    <w:rsid w:val="00DE03B3"/>
    <w:rsid w:val="00DE37D8"/>
    <w:rsid w:val="00DE59D1"/>
    <w:rsid w:val="00DF1F3C"/>
    <w:rsid w:val="00DF473B"/>
    <w:rsid w:val="00DF63A3"/>
    <w:rsid w:val="00E0267B"/>
    <w:rsid w:val="00E03B6E"/>
    <w:rsid w:val="00E04F4C"/>
    <w:rsid w:val="00E06C2E"/>
    <w:rsid w:val="00E12343"/>
    <w:rsid w:val="00E12823"/>
    <w:rsid w:val="00E1283B"/>
    <w:rsid w:val="00E24A0B"/>
    <w:rsid w:val="00E25135"/>
    <w:rsid w:val="00E255D6"/>
    <w:rsid w:val="00E25915"/>
    <w:rsid w:val="00E309E5"/>
    <w:rsid w:val="00E30A39"/>
    <w:rsid w:val="00E32BB5"/>
    <w:rsid w:val="00E37AC0"/>
    <w:rsid w:val="00E40096"/>
    <w:rsid w:val="00E4118C"/>
    <w:rsid w:val="00E4191B"/>
    <w:rsid w:val="00E423E9"/>
    <w:rsid w:val="00E4400C"/>
    <w:rsid w:val="00E44E01"/>
    <w:rsid w:val="00E4538B"/>
    <w:rsid w:val="00E45AD1"/>
    <w:rsid w:val="00E46293"/>
    <w:rsid w:val="00E46E9B"/>
    <w:rsid w:val="00E47755"/>
    <w:rsid w:val="00E518DF"/>
    <w:rsid w:val="00E573B4"/>
    <w:rsid w:val="00E61138"/>
    <w:rsid w:val="00E61252"/>
    <w:rsid w:val="00E70102"/>
    <w:rsid w:val="00E70E1C"/>
    <w:rsid w:val="00E71076"/>
    <w:rsid w:val="00E7242C"/>
    <w:rsid w:val="00E7377C"/>
    <w:rsid w:val="00E75B34"/>
    <w:rsid w:val="00E75B62"/>
    <w:rsid w:val="00E81231"/>
    <w:rsid w:val="00E81450"/>
    <w:rsid w:val="00E823FD"/>
    <w:rsid w:val="00E9031A"/>
    <w:rsid w:val="00E93845"/>
    <w:rsid w:val="00E93CFD"/>
    <w:rsid w:val="00E94133"/>
    <w:rsid w:val="00E9587D"/>
    <w:rsid w:val="00EA166D"/>
    <w:rsid w:val="00EA6EDA"/>
    <w:rsid w:val="00EB0644"/>
    <w:rsid w:val="00EB0CEB"/>
    <w:rsid w:val="00EB2DF0"/>
    <w:rsid w:val="00EB758B"/>
    <w:rsid w:val="00EC0581"/>
    <w:rsid w:val="00EC0C2E"/>
    <w:rsid w:val="00EC1F3D"/>
    <w:rsid w:val="00EC3012"/>
    <w:rsid w:val="00EC4690"/>
    <w:rsid w:val="00EC5863"/>
    <w:rsid w:val="00ED4497"/>
    <w:rsid w:val="00EE044B"/>
    <w:rsid w:val="00EE3E15"/>
    <w:rsid w:val="00EF2547"/>
    <w:rsid w:val="00EF689F"/>
    <w:rsid w:val="00F00523"/>
    <w:rsid w:val="00F03F62"/>
    <w:rsid w:val="00F11637"/>
    <w:rsid w:val="00F12439"/>
    <w:rsid w:val="00F13EE3"/>
    <w:rsid w:val="00F14F93"/>
    <w:rsid w:val="00F16C8B"/>
    <w:rsid w:val="00F2067E"/>
    <w:rsid w:val="00F23495"/>
    <w:rsid w:val="00F255DA"/>
    <w:rsid w:val="00F27766"/>
    <w:rsid w:val="00F30404"/>
    <w:rsid w:val="00F30CB0"/>
    <w:rsid w:val="00F34B11"/>
    <w:rsid w:val="00F3684C"/>
    <w:rsid w:val="00F40571"/>
    <w:rsid w:val="00F40735"/>
    <w:rsid w:val="00F41707"/>
    <w:rsid w:val="00F43AB9"/>
    <w:rsid w:val="00F4400B"/>
    <w:rsid w:val="00F444B9"/>
    <w:rsid w:val="00F446A8"/>
    <w:rsid w:val="00F45547"/>
    <w:rsid w:val="00F4604B"/>
    <w:rsid w:val="00F46B9B"/>
    <w:rsid w:val="00F47011"/>
    <w:rsid w:val="00F50014"/>
    <w:rsid w:val="00F55045"/>
    <w:rsid w:val="00F5528D"/>
    <w:rsid w:val="00F56497"/>
    <w:rsid w:val="00F571F9"/>
    <w:rsid w:val="00F60CB0"/>
    <w:rsid w:val="00F63D64"/>
    <w:rsid w:val="00F71B76"/>
    <w:rsid w:val="00F75388"/>
    <w:rsid w:val="00F80253"/>
    <w:rsid w:val="00F82D58"/>
    <w:rsid w:val="00F834A8"/>
    <w:rsid w:val="00F86678"/>
    <w:rsid w:val="00F92915"/>
    <w:rsid w:val="00F97BD9"/>
    <w:rsid w:val="00FA2825"/>
    <w:rsid w:val="00FA3926"/>
    <w:rsid w:val="00FA3E8A"/>
    <w:rsid w:val="00FA4336"/>
    <w:rsid w:val="00FA46E9"/>
    <w:rsid w:val="00FB1D3A"/>
    <w:rsid w:val="00FB3950"/>
    <w:rsid w:val="00FB3D11"/>
    <w:rsid w:val="00FB6589"/>
    <w:rsid w:val="00FC14CA"/>
    <w:rsid w:val="00FC2772"/>
    <w:rsid w:val="00FC3B2A"/>
    <w:rsid w:val="00FC7155"/>
    <w:rsid w:val="00FD0735"/>
    <w:rsid w:val="00FD51E9"/>
    <w:rsid w:val="00FD6FE7"/>
    <w:rsid w:val="00FE3A28"/>
    <w:rsid w:val="00FE3F7D"/>
    <w:rsid w:val="00FE5F7B"/>
    <w:rsid w:val="00FF512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5FDD3A"/>
  <w15:docId w15:val="{E958EF9A-A392-4F20-B18A-7A6ED13E2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8023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B8023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0475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04752"/>
  </w:style>
  <w:style w:type="paragraph" w:styleId="Piedepgina">
    <w:name w:val="footer"/>
    <w:basedOn w:val="Normal"/>
    <w:link w:val="PiedepginaCar"/>
    <w:uiPriority w:val="99"/>
    <w:unhideWhenUsed/>
    <w:rsid w:val="0060475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04752"/>
  </w:style>
  <w:style w:type="paragraph" w:styleId="Textodeglobo">
    <w:name w:val="Balloon Text"/>
    <w:basedOn w:val="Normal"/>
    <w:link w:val="TextodegloboCar"/>
    <w:uiPriority w:val="99"/>
    <w:semiHidden/>
    <w:unhideWhenUsed/>
    <w:rsid w:val="003337E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337E5"/>
    <w:rPr>
      <w:rFonts w:ascii="Segoe UI" w:hAnsi="Segoe UI" w:cs="Segoe UI"/>
      <w:sz w:val="18"/>
      <w:szCs w:val="18"/>
    </w:rPr>
  </w:style>
  <w:style w:type="character" w:styleId="Hipervnculo">
    <w:name w:val="Hyperlink"/>
    <w:basedOn w:val="Fuentedeprrafopredeter"/>
    <w:uiPriority w:val="99"/>
    <w:semiHidden/>
    <w:unhideWhenUsed/>
    <w:rsid w:val="00330516"/>
    <w:rPr>
      <w:color w:val="0000FF"/>
      <w:u w:val="single"/>
    </w:rPr>
  </w:style>
  <w:style w:type="paragraph" w:styleId="Prrafodelista">
    <w:name w:val="List Paragraph"/>
    <w:basedOn w:val="Normal"/>
    <w:uiPriority w:val="34"/>
    <w:qFormat/>
    <w:rsid w:val="00B8023E"/>
    <w:pPr>
      <w:ind w:left="720"/>
      <w:contextualSpacing/>
    </w:pPr>
  </w:style>
  <w:style w:type="character" w:customStyle="1" w:styleId="Ttulo1Car">
    <w:name w:val="Título 1 Car"/>
    <w:basedOn w:val="Fuentedeprrafopredeter"/>
    <w:link w:val="Ttulo1"/>
    <w:uiPriority w:val="9"/>
    <w:rsid w:val="00B8023E"/>
    <w:rPr>
      <w:rFonts w:asciiTheme="majorHAnsi" w:eastAsiaTheme="majorEastAsia" w:hAnsiTheme="majorHAnsi" w:cstheme="majorBidi"/>
      <w:color w:val="365F91" w:themeColor="accent1" w:themeShade="BF"/>
      <w:sz w:val="32"/>
      <w:szCs w:val="32"/>
    </w:rPr>
  </w:style>
  <w:style w:type="character" w:customStyle="1" w:styleId="Ttulo2Car">
    <w:name w:val="Título 2 Car"/>
    <w:basedOn w:val="Fuentedeprrafopredeter"/>
    <w:link w:val="Ttulo2"/>
    <w:uiPriority w:val="9"/>
    <w:rsid w:val="00B8023E"/>
    <w:rPr>
      <w:rFonts w:asciiTheme="majorHAnsi" w:eastAsiaTheme="majorEastAsia" w:hAnsiTheme="majorHAnsi" w:cstheme="majorBidi"/>
      <w:color w:val="365F91" w:themeColor="accent1" w:themeShade="BF"/>
      <w:sz w:val="26"/>
      <w:szCs w:val="26"/>
    </w:rPr>
  </w:style>
  <w:style w:type="paragraph" w:styleId="Lista2">
    <w:name w:val="List 2"/>
    <w:basedOn w:val="Normal"/>
    <w:uiPriority w:val="99"/>
    <w:unhideWhenUsed/>
    <w:rsid w:val="00B8023E"/>
    <w:pPr>
      <w:ind w:left="566" w:hanging="283"/>
      <w:contextualSpacing/>
    </w:pPr>
  </w:style>
  <w:style w:type="paragraph" w:styleId="Ttulo">
    <w:name w:val="Title"/>
    <w:basedOn w:val="Normal"/>
    <w:next w:val="Normal"/>
    <w:link w:val="TtuloCar"/>
    <w:uiPriority w:val="10"/>
    <w:qFormat/>
    <w:rsid w:val="00B8023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8023E"/>
    <w:rPr>
      <w:rFonts w:asciiTheme="majorHAnsi" w:eastAsiaTheme="majorEastAsia" w:hAnsiTheme="majorHAnsi" w:cstheme="majorBidi"/>
      <w:spacing w:val="-10"/>
      <w:kern w:val="28"/>
      <w:sz w:val="56"/>
      <w:szCs w:val="56"/>
    </w:rPr>
  </w:style>
  <w:style w:type="paragraph" w:styleId="Textoindependiente">
    <w:name w:val="Body Text"/>
    <w:basedOn w:val="Normal"/>
    <w:link w:val="TextoindependienteCar"/>
    <w:uiPriority w:val="99"/>
    <w:unhideWhenUsed/>
    <w:rsid w:val="00B8023E"/>
    <w:pPr>
      <w:spacing w:after="120"/>
    </w:pPr>
  </w:style>
  <w:style w:type="character" w:customStyle="1" w:styleId="TextoindependienteCar">
    <w:name w:val="Texto independiente Car"/>
    <w:basedOn w:val="Fuentedeprrafopredeter"/>
    <w:link w:val="Textoindependiente"/>
    <w:uiPriority w:val="99"/>
    <w:rsid w:val="00B8023E"/>
  </w:style>
  <w:style w:type="paragraph" w:styleId="Sangradetextonormal">
    <w:name w:val="Body Text Indent"/>
    <w:basedOn w:val="Normal"/>
    <w:link w:val="SangradetextonormalCar"/>
    <w:uiPriority w:val="99"/>
    <w:unhideWhenUsed/>
    <w:rsid w:val="00B8023E"/>
    <w:pPr>
      <w:spacing w:after="120"/>
      <w:ind w:left="283"/>
    </w:pPr>
  </w:style>
  <w:style w:type="character" w:customStyle="1" w:styleId="SangradetextonormalCar">
    <w:name w:val="Sangría de texto normal Car"/>
    <w:basedOn w:val="Fuentedeprrafopredeter"/>
    <w:link w:val="Sangradetextonormal"/>
    <w:uiPriority w:val="99"/>
    <w:rsid w:val="00B8023E"/>
  </w:style>
  <w:style w:type="paragraph" w:styleId="Textoindependienteprimerasangra">
    <w:name w:val="Body Text First Indent"/>
    <w:basedOn w:val="Textoindependiente"/>
    <w:link w:val="TextoindependienteprimerasangraCar"/>
    <w:uiPriority w:val="99"/>
    <w:unhideWhenUsed/>
    <w:rsid w:val="00B8023E"/>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B8023E"/>
  </w:style>
  <w:style w:type="paragraph" w:styleId="Textoindependienteprimerasangra2">
    <w:name w:val="Body Text First Indent 2"/>
    <w:basedOn w:val="Sangradetextonormal"/>
    <w:link w:val="Textoindependienteprimerasangra2Car"/>
    <w:uiPriority w:val="99"/>
    <w:unhideWhenUsed/>
    <w:rsid w:val="00B8023E"/>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B8023E"/>
  </w:style>
  <w:style w:type="character" w:customStyle="1" w:styleId="corte4fondoCar">
    <w:name w:val="corte4 fondo Car"/>
    <w:link w:val="corte4fondo"/>
    <w:locked/>
    <w:rsid w:val="001C6514"/>
    <w:rPr>
      <w:rFonts w:ascii="Arial" w:eastAsia="Times New Roman" w:hAnsi="Arial" w:cs="Times New Roman"/>
      <w:sz w:val="30"/>
      <w:szCs w:val="20"/>
      <w:lang w:val="es-ES_tradnl" w:eastAsia="es-ES"/>
    </w:rPr>
  </w:style>
  <w:style w:type="paragraph" w:customStyle="1" w:styleId="corte4fondo">
    <w:name w:val="corte4 fondo"/>
    <w:basedOn w:val="Normal"/>
    <w:link w:val="corte4fondoCar"/>
    <w:rsid w:val="001C6514"/>
    <w:pPr>
      <w:spacing w:after="0" w:line="360" w:lineRule="auto"/>
      <w:ind w:firstLine="709"/>
      <w:jc w:val="both"/>
    </w:pPr>
    <w:rPr>
      <w:rFonts w:ascii="Arial" w:eastAsia="Times New Roman" w:hAnsi="Arial" w:cs="Times New Roman"/>
      <w:sz w:val="30"/>
      <w:szCs w:val="20"/>
      <w:lang w:val="es-ES_tradnl" w:eastAsia="es-ES"/>
    </w:rPr>
  </w:style>
  <w:style w:type="paragraph" w:styleId="Textonotapie">
    <w:name w:val="footnote text"/>
    <w:aliases w:val=" Car,Footnote Text Char Char Char Char Char,Footnote Text Char Char Char Char,Footnote reference,FA Fu,Car,Footnote Text Char Char Char,Footnote Text Cha,FA Fußnotentext,FA Fu?notentext,Footnote Text Char Char,FA Fuﬂnotentext,Ca, Car3,C, "/>
    <w:basedOn w:val="Normal"/>
    <w:link w:val="TextonotapieCar"/>
    <w:unhideWhenUsed/>
    <w:qFormat/>
    <w:rsid w:val="00B17526"/>
    <w:pPr>
      <w:spacing w:after="0" w:line="240" w:lineRule="auto"/>
    </w:pPr>
    <w:rPr>
      <w:sz w:val="20"/>
      <w:szCs w:val="20"/>
    </w:rPr>
  </w:style>
  <w:style w:type="character" w:customStyle="1" w:styleId="TextonotapieCar">
    <w:name w:val="Texto nota pie Car"/>
    <w:aliases w:val=" Car Car,Footnote Text Char Char Char Char Char Car,Footnote Text Char Char Char Char Car,Footnote reference Car,FA Fu Car,Car Car,Footnote Text Char Char Char Car,Footnote Text Cha Car,FA Fußnotentext Car,FA Fu?notentext Car,Ca Car"/>
    <w:basedOn w:val="Fuentedeprrafopredeter"/>
    <w:link w:val="Textonotapie"/>
    <w:rsid w:val="00B17526"/>
    <w:rPr>
      <w:sz w:val="20"/>
      <w:szCs w:val="20"/>
    </w:rPr>
  </w:style>
  <w:style w:type="paragraph" w:customStyle="1" w:styleId="corte3centro">
    <w:name w:val="corte3 centro"/>
    <w:basedOn w:val="Normal"/>
    <w:link w:val="corte3centroCar"/>
    <w:rsid w:val="00AA5876"/>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AA5876"/>
    <w:rPr>
      <w:rFonts w:ascii="Arial" w:eastAsia="Times New Roman" w:hAnsi="Arial" w:cs="Times New Roman"/>
      <w:b/>
      <w:sz w:val="30"/>
      <w:szCs w:val="20"/>
      <w:lang w:val="es-ES_tradnl" w:eastAsia="es-ES"/>
    </w:rPr>
  </w:style>
  <w:style w:type="character" w:customStyle="1" w:styleId="lbl-encabezado-negro">
    <w:name w:val="lbl-encabezado-negro"/>
    <w:basedOn w:val="Fuentedeprrafopredeter"/>
    <w:rsid w:val="00C659D1"/>
  </w:style>
  <w:style w:type="character" w:customStyle="1" w:styleId="red">
    <w:name w:val="red"/>
    <w:basedOn w:val="Fuentedeprrafopredeter"/>
    <w:rsid w:val="0013532F"/>
  </w:style>
  <w:style w:type="character" w:styleId="Refdenotaalpie">
    <w:name w:val="footnote reference"/>
    <w:aliases w:val="Footnotes refss,Texto de nota al pie,Appel note de bas de page,Ref. de nota al pie 2,f,Footnote number,referencia nota al pie,BVI fnr,4_G,16 Point,Superscript 6 Point,Texto nota al pie,Footnote Reference Char3,Footnote Reference,Ref"/>
    <w:uiPriority w:val="99"/>
    <w:unhideWhenUsed/>
    <w:qFormat/>
    <w:rsid w:val="008C0D59"/>
    <w:rPr>
      <w:vertAlign w:val="superscript"/>
    </w:rPr>
  </w:style>
  <w:style w:type="paragraph" w:customStyle="1" w:styleId="Estilo">
    <w:name w:val="Estilo"/>
    <w:basedOn w:val="Sinespaciado"/>
    <w:link w:val="EstiloCar"/>
    <w:qFormat/>
    <w:rsid w:val="008C0D59"/>
    <w:pPr>
      <w:jc w:val="both"/>
    </w:pPr>
    <w:rPr>
      <w:rFonts w:ascii="Arial" w:eastAsiaTheme="minorEastAsia" w:hAnsi="Arial"/>
      <w:sz w:val="24"/>
      <w:lang w:eastAsia="es-MX"/>
    </w:rPr>
  </w:style>
  <w:style w:type="character" w:customStyle="1" w:styleId="EstiloCar">
    <w:name w:val="Estilo Car"/>
    <w:basedOn w:val="Fuentedeprrafopredeter"/>
    <w:link w:val="Estilo"/>
    <w:rsid w:val="008C0D59"/>
    <w:rPr>
      <w:rFonts w:ascii="Arial" w:eastAsiaTheme="minorEastAsia" w:hAnsi="Arial"/>
      <w:sz w:val="24"/>
      <w:lang w:eastAsia="es-MX"/>
    </w:rPr>
  </w:style>
  <w:style w:type="paragraph" w:styleId="Sinespaciado">
    <w:name w:val="No Spacing"/>
    <w:uiPriority w:val="1"/>
    <w:qFormat/>
    <w:rsid w:val="008C0D59"/>
    <w:pPr>
      <w:spacing w:after="0" w:line="240" w:lineRule="auto"/>
    </w:pPr>
  </w:style>
  <w:style w:type="paragraph" w:customStyle="1" w:styleId="Sangra2detindependiente1">
    <w:name w:val="Sangría 2 de t. independiente1"/>
    <w:basedOn w:val="Normal"/>
    <w:rsid w:val="00102315"/>
    <w:pPr>
      <w:widowControl w:val="0"/>
      <w:spacing w:after="0" w:line="240" w:lineRule="auto"/>
      <w:ind w:firstLine="708"/>
      <w:jc w:val="both"/>
    </w:pPr>
    <w:rPr>
      <w:rFonts w:ascii="Arial" w:eastAsia="Times New Roman" w:hAnsi="Arial" w:cs="Times New Roman"/>
      <w:b/>
      <w:i/>
      <w:sz w:val="24"/>
      <w:szCs w:val="20"/>
      <w:lang w:val="es-ES_tradnl"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49321">
      <w:bodyDiv w:val="1"/>
      <w:marLeft w:val="0"/>
      <w:marRight w:val="0"/>
      <w:marTop w:val="0"/>
      <w:marBottom w:val="0"/>
      <w:divBdr>
        <w:top w:val="none" w:sz="0" w:space="0" w:color="auto"/>
        <w:left w:val="none" w:sz="0" w:space="0" w:color="auto"/>
        <w:bottom w:val="none" w:sz="0" w:space="0" w:color="auto"/>
        <w:right w:val="none" w:sz="0" w:space="0" w:color="auto"/>
      </w:divBdr>
      <w:divsChild>
        <w:div w:id="364016581">
          <w:marLeft w:val="0"/>
          <w:marRight w:val="0"/>
          <w:marTop w:val="0"/>
          <w:marBottom w:val="0"/>
          <w:divBdr>
            <w:top w:val="none" w:sz="0" w:space="0" w:color="auto"/>
            <w:left w:val="none" w:sz="0" w:space="0" w:color="auto"/>
            <w:bottom w:val="none" w:sz="0" w:space="0" w:color="auto"/>
            <w:right w:val="none" w:sz="0" w:space="0" w:color="auto"/>
          </w:divBdr>
        </w:div>
      </w:divsChild>
    </w:div>
    <w:div w:id="289173744">
      <w:bodyDiv w:val="1"/>
      <w:marLeft w:val="0"/>
      <w:marRight w:val="0"/>
      <w:marTop w:val="0"/>
      <w:marBottom w:val="0"/>
      <w:divBdr>
        <w:top w:val="none" w:sz="0" w:space="0" w:color="auto"/>
        <w:left w:val="none" w:sz="0" w:space="0" w:color="auto"/>
        <w:bottom w:val="none" w:sz="0" w:space="0" w:color="auto"/>
        <w:right w:val="none" w:sz="0" w:space="0" w:color="auto"/>
      </w:divBdr>
    </w:div>
    <w:div w:id="301351008">
      <w:bodyDiv w:val="1"/>
      <w:marLeft w:val="0"/>
      <w:marRight w:val="0"/>
      <w:marTop w:val="0"/>
      <w:marBottom w:val="0"/>
      <w:divBdr>
        <w:top w:val="none" w:sz="0" w:space="0" w:color="auto"/>
        <w:left w:val="none" w:sz="0" w:space="0" w:color="auto"/>
        <w:bottom w:val="none" w:sz="0" w:space="0" w:color="auto"/>
        <w:right w:val="none" w:sz="0" w:space="0" w:color="auto"/>
      </w:divBdr>
      <w:divsChild>
        <w:div w:id="404766995">
          <w:marLeft w:val="0"/>
          <w:marRight w:val="0"/>
          <w:marTop w:val="0"/>
          <w:marBottom w:val="0"/>
          <w:divBdr>
            <w:top w:val="none" w:sz="0" w:space="0" w:color="auto"/>
            <w:left w:val="none" w:sz="0" w:space="0" w:color="auto"/>
            <w:bottom w:val="none" w:sz="0" w:space="0" w:color="auto"/>
            <w:right w:val="none" w:sz="0" w:space="0" w:color="auto"/>
          </w:divBdr>
        </w:div>
      </w:divsChild>
    </w:div>
    <w:div w:id="325599436">
      <w:bodyDiv w:val="1"/>
      <w:marLeft w:val="0"/>
      <w:marRight w:val="0"/>
      <w:marTop w:val="0"/>
      <w:marBottom w:val="0"/>
      <w:divBdr>
        <w:top w:val="none" w:sz="0" w:space="0" w:color="auto"/>
        <w:left w:val="none" w:sz="0" w:space="0" w:color="auto"/>
        <w:bottom w:val="none" w:sz="0" w:space="0" w:color="auto"/>
        <w:right w:val="none" w:sz="0" w:space="0" w:color="auto"/>
      </w:divBdr>
      <w:divsChild>
        <w:div w:id="996884301">
          <w:marLeft w:val="0"/>
          <w:marRight w:val="0"/>
          <w:marTop w:val="0"/>
          <w:marBottom w:val="0"/>
          <w:divBdr>
            <w:top w:val="none" w:sz="0" w:space="0" w:color="auto"/>
            <w:left w:val="none" w:sz="0" w:space="0" w:color="auto"/>
            <w:bottom w:val="none" w:sz="0" w:space="0" w:color="auto"/>
            <w:right w:val="none" w:sz="0" w:space="0" w:color="auto"/>
          </w:divBdr>
        </w:div>
      </w:divsChild>
    </w:div>
    <w:div w:id="575627161">
      <w:bodyDiv w:val="1"/>
      <w:marLeft w:val="0"/>
      <w:marRight w:val="0"/>
      <w:marTop w:val="0"/>
      <w:marBottom w:val="0"/>
      <w:divBdr>
        <w:top w:val="none" w:sz="0" w:space="0" w:color="auto"/>
        <w:left w:val="none" w:sz="0" w:space="0" w:color="auto"/>
        <w:bottom w:val="none" w:sz="0" w:space="0" w:color="auto"/>
        <w:right w:val="none" w:sz="0" w:space="0" w:color="auto"/>
      </w:divBdr>
      <w:divsChild>
        <w:div w:id="2113044193">
          <w:marLeft w:val="0"/>
          <w:marRight w:val="0"/>
          <w:marTop w:val="0"/>
          <w:marBottom w:val="0"/>
          <w:divBdr>
            <w:top w:val="none" w:sz="0" w:space="0" w:color="auto"/>
            <w:left w:val="none" w:sz="0" w:space="0" w:color="auto"/>
            <w:bottom w:val="none" w:sz="0" w:space="0" w:color="auto"/>
            <w:right w:val="none" w:sz="0" w:space="0" w:color="auto"/>
          </w:divBdr>
        </w:div>
      </w:divsChild>
    </w:div>
    <w:div w:id="667097255">
      <w:bodyDiv w:val="1"/>
      <w:marLeft w:val="0"/>
      <w:marRight w:val="0"/>
      <w:marTop w:val="0"/>
      <w:marBottom w:val="0"/>
      <w:divBdr>
        <w:top w:val="none" w:sz="0" w:space="0" w:color="auto"/>
        <w:left w:val="none" w:sz="0" w:space="0" w:color="auto"/>
        <w:bottom w:val="none" w:sz="0" w:space="0" w:color="auto"/>
        <w:right w:val="none" w:sz="0" w:space="0" w:color="auto"/>
      </w:divBdr>
    </w:div>
    <w:div w:id="705182033">
      <w:bodyDiv w:val="1"/>
      <w:marLeft w:val="0"/>
      <w:marRight w:val="0"/>
      <w:marTop w:val="0"/>
      <w:marBottom w:val="0"/>
      <w:divBdr>
        <w:top w:val="none" w:sz="0" w:space="0" w:color="auto"/>
        <w:left w:val="none" w:sz="0" w:space="0" w:color="auto"/>
        <w:bottom w:val="none" w:sz="0" w:space="0" w:color="auto"/>
        <w:right w:val="none" w:sz="0" w:space="0" w:color="auto"/>
      </w:divBdr>
      <w:divsChild>
        <w:div w:id="28846394">
          <w:marLeft w:val="0"/>
          <w:marRight w:val="0"/>
          <w:marTop w:val="0"/>
          <w:marBottom w:val="0"/>
          <w:divBdr>
            <w:top w:val="none" w:sz="0" w:space="0" w:color="auto"/>
            <w:left w:val="none" w:sz="0" w:space="0" w:color="auto"/>
            <w:bottom w:val="none" w:sz="0" w:space="0" w:color="auto"/>
            <w:right w:val="none" w:sz="0" w:space="0" w:color="auto"/>
          </w:divBdr>
        </w:div>
      </w:divsChild>
    </w:div>
    <w:div w:id="713431725">
      <w:bodyDiv w:val="1"/>
      <w:marLeft w:val="0"/>
      <w:marRight w:val="0"/>
      <w:marTop w:val="0"/>
      <w:marBottom w:val="0"/>
      <w:divBdr>
        <w:top w:val="none" w:sz="0" w:space="0" w:color="auto"/>
        <w:left w:val="none" w:sz="0" w:space="0" w:color="auto"/>
        <w:bottom w:val="none" w:sz="0" w:space="0" w:color="auto"/>
        <w:right w:val="none" w:sz="0" w:space="0" w:color="auto"/>
      </w:divBdr>
    </w:div>
    <w:div w:id="790591622">
      <w:bodyDiv w:val="1"/>
      <w:marLeft w:val="0"/>
      <w:marRight w:val="0"/>
      <w:marTop w:val="0"/>
      <w:marBottom w:val="0"/>
      <w:divBdr>
        <w:top w:val="none" w:sz="0" w:space="0" w:color="auto"/>
        <w:left w:val="none" w:sz="0" w:space="0" w:color="auto"/>
        <w:bottom w:val="none" w:sz="0" w:space="0" w:color="auto"/>
        <w:right w:val="none" w:sz="0" w:space="0" w:color="auto"/>
      </w:divBdr>
    </w:div>
    <w:div w:id="814178689">
      <w:bodyDiv w:val="1"/>
      <w:marLeft w:val="0"/>
      <w:marRight w:val="0"/>
      <w:marTop w:val="0"/>
      <w:marBottom w:val="0"/>
      <w:divBdr>
        <w:top w:val="none" w:sz="0" w:space="0" w:color="auto"/>
        <w:left w:val="none" w:sz="0" w:space="0" w:color="auto"/>
        <w:bottom w:val="none" w:sz="0" w:space="0" w:color="auto"/>
        <w:right w:val="none" w:sz="0" w:space="0" w:color="auto"/>
      </w:divBdr>
    </w:div>
    <w:div w:id="952174971">
      <w:bodyDiv w:val="1"/>
      <w:marLeft w:val="0"/>
      <w:marRight w:val="0"/>
      <w:marTop w:val="0"/>
      <w:marBottom w:val="0"/>
      <w:divBdr>
        <w:top w:val="none" w:sz="0" w:space="0" w:color="auto"/>
        <w:left w:val="none" w:sz="0" w:space="0" w:color="auto"/>
        <w:bottom w:val="none" w:sz="0" w:space="0" w:color="auto"/>
        <w:right w:val="none" w:sz="0" w:space="0" w:color="auto"/>
      </w:divBdr>
      <w:divsChild>
        <w:div w:id="1147363076">
          <w:marLeft w:val="0"/>
          <w:marRight w:val="0"/>
          <w:marTop w:val="0"/>
          <w:marBottom w:val="0"/>
          <w:divBdr>
            <w:top w:val="none" w:sz="0" w:space="0" w:color="auto"/>
            <w:left w:val="none" w:sz="0" w:space="0" w:color="auto"/>
            <w:bottom w:val="none" w:sz="0" w:space="0" w:color="auto"/>
            <w:right w:val="none" w:sz="0" w:space="0" w:color="auto"/>
          </w:divBdr>
        </w:div>
      </w:divsChild>
    </w:div>
    <w:div w:id="1109083361">
      <w:bodyDiv w:val="1"/>
      <w:marLeft w:val="0"/>
      <w:marRight w:val="0"/>
      <w:marTop w:val="0"/>
      <w:marBottom w:val="0"/>
      <w:divBdr>
        <w:top w:val="none" w:sz="0" w:space="0" w:color="auto"/>
        <w:left w:val="none" w:sz="0" w:space="0" w:color="auto"/>
        <w:bottom w:val="none" w:sz="0" w:space="0" w:color="auto"/>
        <w:right w:val="none" w:sz="0" w:space="0" w:color="auto"/>
      </w:divBdr>
    </w:div>
    <w:div w:id="1140464418">
      <w:bodyDiv w:val="1"/>
      <w:marLeft w:val="0"/>
      <w:marRight w:val="0"/>
      <w:marTop w:val="0"/>
      <w:marBottom w:val="0"/>
      <w:divBdr>
        <w:top w:val="none" w:sz="0" w:space="0" w:color="auto"/>
        <w:left w:val="none" w:sz="0" w:space="0" w:color="auto"/>
        <w:bottom w:val="none" w:sz="0" w:space="0" w:color="auto"/>
        <w:right w:val="none" w:sz="0" w:space="0" w:color="auto"/>
      </w:divBdr>
      <w:divsChild>
        <w:div w:id="41641202">
          <w:marLeft w:val="0"/>
          <w:marRight w:val="0"/>
          <w:marTop w:val="0"/>
          <w:marBottom w:val="0"/>
          <w:divBdr>
            <w:top w:val="none" w:sz="0" w:space="0" w:color="auto"/>
            <w:left w:val="none" w:sz="0" w:space="0" w:color="auto"/>
            <w:bottom w:val="none" w:sz="0" w:space="0" w:color="auto"/>
            <w:right w:val="none" w:sz="0" w:space="0" w:color="auto"/>
          </w:divBdr>
        </w:div>
      </w:divsChild>
    </w:div>
    <w:div w:id="1347169191">
      <w:bodyDiv w:val="1"/>
      <w:marLeft w:val="0"/>
      <w:marRight w:val="0"/>
      <w:marTop w:val="0"/>
      <w:marBottom w:val="0"/>
      <w:divBdr>
        <w:top w:val="none" w:sz="0" w:space="0" w:color="auto"/>
        <w:left w:val="none" w:sz="0" w:space="0" w:color="auto"/>
        <w:bottom w:val="none" w:sz="0" w:space="0" w:color="auto"/>
        <w:right w:val="none" w:sz="0" w:space="0" w:color="auto"/>
      </w:divBdr>
      <w:divsChild>
        <w:div w:id="116611577">
          <w:marLeft w:val="0"/>
          <w:marRight w:val="0"/>
          <w:marTop w:val="0"/>
          <w:marBottom w:val="0"/>
          <w:divBdr>
            <w:top w:val="none" w:sz="0" w:space="0" w:color="auto"/>
            <w:left w:val="none" w:sz="0" w:space="0" w:color="auto"/>
            <w:bottom w:val="none" w:sz="0" w:space="0" w:color="auto"/>
            <w:right w:val="none" w:sz="0" w:space="0" w:color="auto"/>
          </w:divBdr>
        </w:div>
      </w:divsChild>
    </w:div>
    <w:div w:id="1489710822">
      <w:bodyDiv w:val="1"/>
      <w:marLeft w:val="0"/>
      <w:marRight w:val="0"/>
      <w:marTop w:val="0"/>
      <w:marBottom w:val="0"/>
      <w:divBdr>
        <w:top w:val="none" w:sz="0" w:space="0" w:color="auto"/>
        <w:left w:val="none" w:sz="0" w:space="0" w:color="auto"/>
        <w:bottom w:val="none" w:sz="0" w:space="0" w:color="auto"/>
        <w:right w:val="none" w:sz="0" w:space="0" w:color="auto"/>
      </w:divBdr>
      <w:divsChild>
        <w:div w:id="688331109">
          <w:marLeft w:val="0"/>
          <w:marRight w:val="0"/>
          <w:marTop w:val="0"/>
          <w:marBottom w:val="0"/>
          <w:divBdr>
            <w:top w:val="none" w:sz="0" w:space="0" w:color="auto"/>
            <w:left w:val="none" w:sz="0" w:space="0" w:color="auto"/>
            <w:bottom w:val="none" w:sz="0" w:space="0" w:color="auto"/>
            <w:right w:val="none" w:sz="0" w:space="0" w:color="auto"/>
          </w:divBdr>
        </w:div>
      </w:divsChild>
    </w:div>
    <w:div w:id="1509637472">
      <w:bodyDiv w:val="1"/>
      <w:marLeft w:val="0"/>
      <w:marRight w:val="0"/>
      <w:marTop w:val="0"/>
      <w:marBottom w:val="0"/>
      <w:divBdr>
        <w:top w:val="none" w:sz="0" w:space="0" w:color="auto"/>
        <w:left w:val="none" w:sz="0" w:space="0" w:color="auto"/>
        <w:bottom w:val="none" w:sz="0" w:space="0" w:color="auto"/>
        <w:right w:val="none" w:sz="0" w:space="0" w:color="auto"/>
      </w:divBdr>
    </w:div>
    <w:div w:id="1564297848">
      <w:bodyDiv w:val="1"/>
      <w:marLeft w:val="0"/>
      <w:marRight w:val="0"/>
      <w:marTop w:val="0"/>
      <w:marBottom w:val="0"/>
      <w:divBdr>
        <w:top w:val="none" w:sz="0" w:space="0" w:color="auto"/>
        <w:left w:val="none" w:sz="0" w:space="0" w:color="auto"/>
        <w:bottom w:val="none" w:sz="0" w:space="0" w:color="auto"/>
        <w:right w:val="none" w:sz="0" w:space="0" w:color="auto"/>
      </w:divBdr>
      <w:divsChild>
        <w:div w:id="42213664">
          <w:marLeft w:val="0"/>
          <w:marRight w:val="0"/>
          <w:marTop w:val="0"/>
          <w:marBottom w:val="0"/>
          <w:divBdr>
            <w:top w:val="none" w:sz="0" w:space="0" w:color="auto"/>
            <w:left w:val="none" w:sz="0" w:space="0" w:color="auto"/>
            <w:bottom w:val="none" w:sz="0" w:space="0" w:color="auto"/>
            <w:right w:val="none" w:sz="0" w:space="0" w:color="auto"/>
          </w:divBdr>
        </w:div>
      </w:divsChild>
    </w:div>
    <w:div w:id="1691755569">
      <w:bodyDiv w:val="1"/>
      <w:marLeft w:val="0"/>
      <w:marRight w:val="0"/>
      <w:marTop w:val="0"/>
      <w:marBottom w:val="0"/>
      <w:divBdr>
        <w:top w:val="none" w:sz="0" w:space="0" w:color="auto"/>
        <w:left w:val="none" w:sz="0" w:space="0" w:color="auto"/>
        <w:bottom w:val="none" w:sz="0" w:space="0" w:color="auto"/>
        <w:right w:val="none" w:sz="0" w:space="0" w:color="auto"/>
      </w:divBdr>
    </w:div>
    <w:div w:id="1720473047">
      <w:bodyDiv w:val="1"/>
      <w:marLeft w:val="0"/>
      <w:marRight w:val="0"/>
      <w:marTop w:val="0"/>
      <w:marBottom w:val="0"/>
      <w:divBdr>
        <w:top w:val="none" w:sz="0" w:space="0" w:color="auto"/>
        <w:left w:val="none" w:sz="0" w:space="0" w:color="auto"/>
        <w:bottom w:val="none" w:sz="0" w:space="0" w:color="auto"/>
        <w:right w:val="none" w:sz="0" w:space="0" w:color="auto"/>
      </w:divBdr>
      <w:divsChild>
        <w:div w:id="40979254">
          <w:marLeft w:val="0"/>
          <w:marRight w:val="0"/>
          <w:marTop w:val="0"/>
          <w:marBottom w:val="0"/>
          <w:divBdr>
            <w:top w:val="none" w:sz="0" w:space="0" w:color="auto"/>
            <w:left w:val="none" w:sz="0" w:space="0" w:color="auto"/>
            <w:bottom w:val="none" w:sz="0" w:space="0" w:color="auto"/>
            <w:right w:val="none" w:sz="0" w:space="0" w:color="auto"/>
          </w:divBdr>
        </w:div>
      </w:divsChild>
    </w:div>
    <w:div w:id="1776091413">
      <w:bodyDiv w:val="1"/>
      <w:marLeft w:val="0"/>
      <w:marRight w:val="0"/>
      <w:marTop w:val="0"/>
      <w:marBottom w:val="0"/>
      <w:divBdr>
        <w:top w:val="none" w:sz="0" w:space="0" w:color="auto"/>
        <w:left w:val="none" w:sz="0" w:space="0" w:color="auto"/>
        <w:bottom w:val="none" w:sz="0" w:space="0" w:color="auto"/>
        <w:right w:val="none" w:sz="0" w:space="0" w:color="auto"/>
      </w:divBdr>
    </w:div>
    <w:div w:id="1798598057">
      <w:bodyDiv w:val="1"/>
      <w:marLeft w:val="0"/>
      <w:marRight w:val="0"/>
      <w:marTop w:val="0"/>
      <w:marBottom w:val="0"/>
      <w:divBdr>
        <w:top w:val="none" w:sz="0" w:space="0" w:color="auto"/>
        <w:left w:val="none" w:sz="0" w:space="0" w:color="auto"/>
        <w:bottom w:val="none" w:sz="0" w:space="0" w:color="auto"/>
        <w:right w:val="none" w:sz="0" w:space="0" w:color="auto"/>
      </w:divBdr>
      <w:divsChild>
        <w:div w:id="600144827">
          <w:marLeft w:val="0"/>
          <w:marRight w:val="0"/>
          <w:marTop w:val="0"/>
          <w:marBottom w:val="0"/>
          <w:divBdr>
            <w:top w:val="none" w:sz="0" w:space="0" w:color="auto"/>
            <w:left w:val="none" w:sz="0" w:space="0" w:color="auto"/>
            <w:bottom w:val="none" w:sz="0" w:space="0" w:color="auto"/>
            <w:right w:val="none" w:sz="0" w:space="0" w:color="auto"/>
          </w:divBdr>
        </w:div>
      </w:divsChild>
    </w:div>
    <w:div w:id="1891531612">
      <w:bodyDiv w:val="1"/>
      <w:marLeft w:val="0"/>
      <w:marRight w:val="0"/>
      <w:marTop w:val="0"/>
      <w:marBottom w:val="0"/>
      <w:divBdr>
        <w:top w:val="none" w:sz="0" w:space="0" w:color="auto"/>
        <w:left w:val="none" w:sz="0" w:space="0" w:color="auto"/>
        <w:bottom w:val="none" w:sz="0" w:space="0" w:color="auto"/>
        <w:right w:val="none" w:sz="0" w:space="0" w:color="auto"/>
      </w:divBdr>
      <w:divsChild>
        <w:div w:id="1526014421">
          <w:marLeft w:val="0"/>
          <w:marRight w:val="0"/>
          <w:marTop w:val="0"/>
          <w:marBottom w:val="0"/>
          <w:divBdr>
            <w:top w:val="none" w:sz="0" w:space="0" w:color="auto"/>
            <w:left w:val="none" w:sz="0" w:space="0" w:color="auto"/>
            <w:bottom w:val="none" w:sz="0" w:space="0" w:color="auto"/>
            <w:right w:val="none" w:sz="0" w:space="0" w:color="auto"/>
          </w:divBdr>
        </w:div>
      </w:divsChild>
    </w:div>
    <w:div w:id="1898971245">
      <w:bodyDiv w:val="1"/>
      <w:marLeft w:val="0"/>
      <w:marRight w:val="0"/>
      <w:marTop w:val="0"/>
      <w:marBottom w:val="0"/>
      <w:divBdr>
        <w:top w:val="none" w:sz="0" w:space="0" w:color="auto"/>
        <w:left w:val="none" w:sz="0" w:space="0" w:color="auto"/>
        <w:bottom w:val="none" w:sz="0" w:space="0" w:color="auto"/>
        <w:right w:val="none" w:sz="0" w:space="0" w:color="auto"/>
      </w:divBdr>
    </w:div>
    <w:div w:id="2122526233">
      <w:bodyDiv w:val="1"/>
      <w:marLeft w:val="0"/>
      <w:marRight w:val="0"/>
      <w:marTop w:val="0"/>
      <w:marBottom w:val="0"/>
      <w:divBdr>
        <w:top w:val="none" w:sz="0" w:space="0" w:color="auto"/>
        <w:left w:val="none" w:sz="0" w:space="0" w:color="auto"/>
        <w:bottom w:val="none" w:sz="0" w:space="0" w:color="auto"/>
        <w:right w:val="none" w:sz="0" w:space="0" w:color="auto"/>
      </w:divBdr>
      <w:divsChild>
        <w:div w:id="21314359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A9F0CE-750B-4B82-86D7-80DA260180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1113</TotalTime>
  <Pages>14</Pages>
  <Words>6066</Words>
  <Characters>33364</Characters>
  <Application>Microsoft Office Word</Application>
  <DocSecurity>0</DocSecurity>
  <Lines>278</Lines>
  <Paragraphs>78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sala 1</cp:lastModifiedBy>
  <cp:revision>167</cp:revision>
  <cp:lastPrinted>2021-05-12T17:48:00Z</cp:lastPrinted>
  <dcterms:created xsi:type="dcterms:W3CDTF">2020-10-01T21:05:00Z</dcterms:created>
  <dcterms:modified xsi:type="dcterms:W3CDTF">2022-07-11T16:11:00Z</dcterms:modified>
</cp:coreProperties>
</file>