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DFC" w:rsidRPr="001042B6" w:rsidRDefault="00892DFC" w:rsidP="00892DFC">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rsidR="00892DFC" w:rsidRPr="001042B6" w:rsidRDefault="00892DFC" w:rsidP="00892DFC">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 xml:space="preserve">DIECIOCHO DE MARZO </w:t>
      </w:r>
      <w:r w:rsidRPr="001042B6">
        <w:rPr>
          <w:rFonts w:ascii="Arial" w:hAnsi="Arial" w:cs="Arial"/>
          <w:b/>
          <w:sz w:val="24"/>
          <w:szCs w:val="24"/>
        </w:rPr>
        <w:t xml:space="preserve">DEL AÑO DOS MIL </w:t>
      </w:r>
      <w:r>
        <w:rPr>
          <w:rFonts w:ascii="Arial" w:hAnsi="Arial" w:cs="Arial"/>
          <w:b/>
          <w:sz w:val="24"/>
          <w:szCs w:val="24"/>
        </w:rPr>
        <w:t xml:space="preserve">VEINTE </w:t>
      </w:r>
      <w:r w:rsidRPr="001042B6">
        <w:rPr>
          <w:rFonts w:ascii="Arial" w:hAnsi="Arial" w:cs="Arial"/>
          <w:b/>
          <w:sz w:val="24"/>
          <w:szCs w:val="24"/>
        </w:rPr>
        <w:t>(</w:t>
      </w:r>
      <w:r>
        <w:rPr>
          <w:rFonts w:ascii="Arial" w:hAnsi="Arial" w:cs="Arial"/>
          <w:b/>
          <w:sz w:val="24"/>
          <w:szCs w:val="24"/>
        </w:rPr>
        <w:t>18/03</w:t>
      </w:r>
      <w:r w:rsidRPr="001042B6">
        <w:rPr>
          <w:rFonts w:ascii="Arial" w:hAnsi="Arial" w:cs="Arial"/>
          <w:b/>
          <w:sz w:val="24"/>
          <w:szCs w:val="24"/>
        </w:rPr>
        <w:t>/20</w:t>
      </w:r>
      <w:r>
        <w:rPr>
          <w:rFonts w:ascii="Arial" w:hAnsi="Arial" w:cs="Arial"/>
          <w:b/>
          <w:sz w:val="24"/>
          <w:szCs w:val="24"/>
        </w:rPr>
        <w:t>20</w:t>
      </w:r>
      <w:r w:rsidRPr="001042B6">
        <w:rPr>
          <w:rFonts w:ascii="Arial" w:hAnsi="Arial" w:cs="Arial"/>
          <w:b/>
          <w:sz w:val="24"/>
          <w:szCs w:val="24"/>
        </w:rPr>
        <w:t xml:space="preserve">). - - - - - - - - - - - - - - - - - - - - </w:t>
      </w:r>
      <w:r>
        <w:rPr>
          <w:rFonts w:ascii="Arial" w:hAnsi="Arial" w:cs="Arial"/>
          <w:b/>
          <w:sz w:val="24"/>
          <w:szCs w:val="24"/>
        </w:rPr>
        <w:t>- - - - - - - - - - - - -</w:t>
      </w:r>
    </w:p>
    <w:p w:rsidR="00892DFC" w:rsidRPr="001042B6" w:rsidRDefault="00892DFC" w:rsidP="00892DFC">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los autos del Juicio de Nuli</w:t>
      </w:r>
      <w:bookmarkStart w:id="0" w:name="_GoBack"/>
      <w:bookmarkEnd w:id="0"/>
      <w:r w:rsidRPr="001042B6">
        <w:rPr>
          <w:rFonts w:ascii="Arial" w:hAnsi="Arial" w:cs="Arial"/>
          <w:sz w:val="24"/>
          <w:szCs w:val="24"/>
        </w:rPr>
        <w:t>dad 0</w:t>
      </w:r>
      <w:r>
        <w:rPr>
          <w:rFonts w:ascii="Arial" w:hAnsi="Arial" w:cs="Arial"/>
          <w:sz w:val="24"/>
          <w:szCs w:val="24"/>
        </w:rPr>
        <w:t>59</w:t>
      </w:r>
      <w:r w:rsidRPr="001042B6">
        <w:rPr>
          <w:rFonts w:ascii="Arial" w:hAnsi="Arial" w:cs="Arial"/>
          <w:sz w:val="24"/>
          <w:szCs w:val="24"/>
        </w:rPr>
        <w:t>/201</w:t>
      </w:r>
      <w:r>
        <w:rPr>
          <w:rFonts w:ascii="Arial" w:hAnsi="Arial" w:cs="Arial"/>
          <w:sz w:val="24"/>
          <w:szCs w:val="24"/>
        </w:rPr>
        <w:t>9</w:t>
      </w:r>
      <w:r w:rsidRPr="001042B6">
        <w:rPr>
          <w:rFonts w:ascii="Arial" w:hAnsi="Arial" w:cs="Arial"/>
          <w:sz w:val="24"/>
          <w:szCs w:val="24"/>
        </w:rPr>
        <w:t>, promovido po</w:t>
      </w:r>
      <w:r>
        <w:rPr>
          <w:rFonts w:ascii="Arial" w:hAnsi="Arial" w:cs="Arial"/>
          <w:sz w:val="24"/>
          <w:szCs w:val="24"/>
        </w:rPr>
        <w:t>r</w:t>
      </w:r>
      <w:r w:rsidRPr="001042B6">
        <w:rPr>
          <w:rFonts w:ascii="Arial" w:hAnsi="Arial" w:cs="Arial"/>
          <w:sz w:val="24"/>
          <w:szCs w:val="24"/>
        </w:rPr>
        <w:t xml:space="preserve"> </w:t>
      </w:r>
      <w:r w:rsidR="00FD3085">
        <w:rPr>
          <w:rFonts w:ascii="Arial" w:hAnsi="Arial" w:cs="Arial"/>
          <w:sz w:val="24"/>
          <w:szCs w:val="24"/>
        </w:rPr>
        <w:t>**********</w:t>
      </w:r>
      <w:r w:rsidRPr="001042B6">
        <w:rPr>
          <w:rFonts w:ascii="Arial" w:hAnsi="Arial" w:cs="Arial"/>
          <w:sz w:val="24"/>
          <w:szCs w:val="24"/>
        </w:rPr>
        <w:t xml:space="preserve">, solicitando la nulidad de la resolución contenida en el oficio número </w:t>
      </w:r>
      <w:r w:rsidR="00FD3085">
        <w:rPr>
          <w:rFonts w:ascii="Arial" w:hAnsi="Arial" w:cs="Arial"/>
          <w:sz w:val="24"/>
          <w:szCs w:val="24"/>
        </w:rPr>
        <w:t>**********</w:t>
      </w:r>
      <w:r w:rsidR="00FD3085" w:rsidRPr="001042B6">
        <w:rPr>
          <w:rFonts w:ascii="Arial" w:hAnsi="Arial" w:cs="Arial"/>
          <w:sz w:val="24"/>
          <w:szCs w:val="24"/>
        </w:rPr>
        <w:t>,</w:t>
      </w:r>
      <w:r w:rsidRPr="001042B6">
        <w:rPr>
          <w:rFonts w:ascii="Arial" w:hAnsi="Arial" w:cs="Arial"/>
          <w:sz w:val="24"/>
          <w:szCs w:val="24"/>
        </w:rPr>
        <w:t xml:space="preserve"> de fecha </w:t>
      </w:r>
      <w:r>
        <w:rPr>
          <w:rFonts w:ascii="Arial" w:hAnsi="Arial" w:cs="Arial"/>
          <w:sz w:val="24"/>
          <w:szCs w:val="24"/>
        </w:rPr>
        <w:t>diez de abril de dos mil diecinueve (10/04/2019)</w:t>
      </w:r>
      <w:r w:rsidRPr="001042B6">
        <w:rPr>
          <w:rFonts w:ascii="Arial" w:hAnsi="Arial" w:cs="Arial"/>
          <w:sz w:val="24"/>
          <w:szCs w:val="24"/>
        </w:rPr>
        <w:t>, emitida por el Director General de la Oficina de Pensiones del Estado de Oaxaca</w:t>
      </w:r>
      <w:r>
        <w:rPr>
          <w:rFonts w:ascii="Arial" w:hAnsi="Arial" w:cs="Arial"/>
          <w:sz w:val="24"/>
          <w:szCs w:val="24"/>
        </w:rPr>
        <w:t>, en que niega la devolución de los descuentos del 9%, realizados a la pensión por jubilación otorgada a la actora, por concepto de “202 FDO. D PENSIONES”, correspondiente al periodo de marzo de dos mil quince a marzo de dos mil diecinueve</w:t>
      </w:r>
      <w:r w:rsidRPr="001042B6">
        <w:rPr>
          <w:rFonts w:ascii="Arial" w:hAnsi="Arial" w:cs="Arial"/>
          <w:sz w:val="24"/>
          <w:szCs w:val="24"/>
        </w:rPr>
        <w:t xml:space="preserve">; y, - - - - </w:t>
      </w:r>
      <w:r>
        <w:rPr>
          <w:rFonts w:ascii="Arial" w:hAnsi="Arial" w:cs="Arial"/>
          <w:sz w:val="24"/>
          <w:szCs w:val="24"/>
        </w:rPr>
        <w:t xml:space="preserve">- </w:t>
      </w:r>
      <w:r w:rsidR="00FD3085">
        <w:rPr>
          <w:rFonts w:ascii="Arial" w:hAnsi="Arial" w:cs="Arial"/>
          <w:sz w:val="24"/>
          <w:szCs w:val="24"/>
        </w:rPr>
        <w:t xml:space="preserve">- - - - - - - - - - - - - - - - - - - - - - - - - - - - </w:t>
      </w:r>
    </w:p>
    <w:p w:rsidR="00892DFC" w:rsidRPr="001042B6" w:rsidRDefault="00892DFC" w:rsidP="00892DFC">
      <w:pPr>
        <w:spacing w:line="360" w:lineRule="auto"/>
        <w:jc w:val="center"/>
        <w:rPr>
          <w:rFonts w:ascii="Arial" w:hAnsi="Arial" w:cs="Arial"/>
          <w:b/>
          <w:sz w:val="24"/>
          <w:szCs w:val="24"/>
        </w:rPr>
      </w:pPr>
      <w:r w:rsidRPr="001042B6">
        <w:rPr>
          <w:rFonts w:ascii="Arial" w:hAnsi="Arial" w:cs="Arial"/>
          <w:b/>
          <w:sz w:val="24"/>
          <w:szCs w:val="24"/>
        </w:rPr>
        <w:t>R E S U L T A N D O</w:t>
      </w:r>
    </w:p>
    <w:p w:rsidR="00892DFC" w:rsidRPr="001042B6" w:rsidRDefault="00892DFC" w:rsidP="00892DFC">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catorce de junio de dos mil diecinueve (14/06/2019) </w:t>
      </w:r>
      <w:r w:rsidRPr="001042B6">
        <w:rPr>
          <w:rFonts w:ascii="Arial" w:hAnsi="Arial" w:cs="Arial"/>
          <w:sz w:val="24"/>
          <w:szCs w:val="24"/>
        </w:rPr>
        <w:t xml:space="preserve">se recibió el escrito de demanda en la Oficialía de Partes de este Tribunal y con fecha </w:t>
      </w:r>
      <w:r>
        <w:rPr>
          <w:rFonts w:ascii="Arial" w:hAnsi="Arial" w:cs="Arial"/>
          <w:sz w:val="24"/>
          <w:szCs w:val="24"/>
        </w:rPr>
        <w:t xml:space="preserve">diecisiete del </w:t>
      </w:r>
      <w:r w:rsidRPr="001042B6">
        <w:rPr>
          <w:rFonts w:ascii="Arial" w:hAnsi="Arial" w:cs="Arial"/>
          <w:sz w:val="24"/>
          <w:szCs w:val="24"/>
        </w:rPr>
        <w:t>mismo mes y año (</w:t>
      </w:r>
      <w:r>
        <w:rPr>
          <w:rFonts w:ascii="Arial" w:hAnsi="Arial" w:cs="Arial"/>
          <w:sz w:val="24"/>
          <w:szCs w:val="24"/>
        </w:rPr>
        <w:t>17/06</w:t>
      </w:r>
      <w:r w:rsidRPr="001042B6">
        <w:rPr>
          <w:rFonts w:ascii="Arial" w:hAnsi="Arial" w:cs="Arial"/>
          <w:sz w:val="24"/>
          <w:szCs w:val="24"/>
        </w:rPr>
        <w:t>/201</w:t>
      </w:r>
      <w:r>
        <w:rPr>
          <w:rFonts w:ascii="Arial" w:hAnsi="Arial" w:cs="Arial"/>
          <w:sz w:val="24"/>
          <w:szCs w:val="24"/>
        </w:rPr>
        <w:t>9</w:t>
      </w:r>
      <w:r w:rsidRPr="001042B6">
        <w:rPr>
          <w:rFonts w:ascii="Arial" w:hAnsi="Arial" w:cs="Arial"/>
          <w:sz w:val="24"/>
          <w:szCs w:val="24"/>
        </w:rPr>
        <w:t xml:space="preserve">), se tuvo por admitida a trámite, ordenándose emplazar a Juicio a la autoridad demandada. - - - - - - - - - - - - - - - - - - - - - - - - - - - - - - </w:t>
      </w:r>
      <w:r w:rsidR="00125E31">
        <w:rPr>
          <w:rFonts w:ascii="Arial" w:hAnsi="Arial" w:cs="Arial"/>
          <w:sz w:val="24"/>
          <w:szCs w:val="24"/>
        </w:rPr>
        <w:t xml:space="preserve">- - - - - - - - - - - - - - - - - </w:t>
      </w:r>
    </w:p>
    <w:p w:rsidR="00892DFC" w:rsidRPr="001042B6" w:rsidRDefault="00892DFC" w:rsidP="00892DFC">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nueve de septiembre de dos mil diecinueve (09/09/2019), </w:t>
      </w:r>
      <w:r w:rsidRPr="001042B6">
        <w:rPr>
          <w:rFonts w:ascii="Arial" w:hAnsi="Arial" w:cs="Arial"/>
          <w:sz w:val="24"/>
          <w:szCs w:val="24"/>
        </w:rPr>
        <w:t xml:space="preserve">se tuvo a la autoridad demandada Director General de la Oficina de Pensiones del Estado de Oaxaca, contestando </w:t>
      </w:r>
      <w:r>
        <w:rPr>
          <w:rFonts w:ascii="Arial" w:hAnsi="Arial" w:cs="Arial"/>
          <w:sz w:val="24"/>
          <w:szCs w:val="24"/>
        </w:rPr>
        <w:t>la demanda en sentido afirmativo, pues de forma extemporánea presentó su escrito de contestación; por lo que con fecha quince de noviembre de dos mil diecinueve (15/11/2019), se</w:t>
      </w:r>
      <w:r w:rsidRPr="001042B6">
        <w:rPr>
          <w:rFonts w:ascii="Arial" w:hAnsi="Arial" w:cs="Arial"/>
          <w:sz w:val="24"/>
          <w:szCs w:val="24"/>
        </w:rPr>
        <w:t xml:space="preserve"> señal</w:t>
      </w:r>
      <w:r>
        <w:rPr>
          <w:rFonts w:ascii="Arial" w:hAnsi="Arial" w:cs="Arial"/>
          <w:sz w:val="24"/>
          <w:szCs w:val="24"/>
        </w:rPr>
        <w:t xml:space="preserve">ó </w:t>
      </w:r>
      <w:r w:rsidRPr="001042B6">
        <w:rPr>
          <w:rFonts w:ascii="Arial" w:hAnsi="Arial" w:cs="Arial"/>
          <w:sz w:val="24"/>
          <w:szCs w:val="24"/>
        </w:rPr>
        <w:t xml:space="preserve">fecha y hora para el desahogo de la audiencia final. </w:t>
      </w:r>
      <w:r>
        <w:rPr>
          <w:rFonts w:ascii="Arial" w:hAnsi="Arial" w:cs="Arial"/>
          <w:sz w:val="24"/>
          <w:szCs w:val="24"/>
        </w:rPr>
        <w:t>- - - - - - - - - - - - - - - - - - - - - - - - - - - - - - - - - - - - - - - - - - - -</w:t>
      </w:r>
      <w:r w:rsidR="00560D8C">
        <w:rPr>
          <w:rFonts w:ascii="Arial" w:hAnsi="Arial" w:cs="Arial"/>
          <w:sz w:val="24"/>
          <w:szCs w:val="24"/>
        </w:rPr>
        <w:t xml:space="preserve"> -</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Pr>
          <w:rFonts w:ascii="Arial" w:hAnsi="Arial" w:cs="Arial"/>
          <w:sz w:val="24"/>
          <w:szCs w:val="24"/>
        </w:rPr>
        <w:t xml:space="preserve">veintiuno de enero de dos mil veinte (21/01/2020),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asunto integrado y en estado de resolución; y, - - </w:t>
      </w:r>
      <w:r w:rsidR="00560D8C">
        <w:rPr>
          <w:rFonts w:ascii="Arial" w:hAnsi="Arial" w:cs="Arial"/>
          <w:sz w:val="24"/>
          <w:szCs w:val="24"/>
        </w:rPr>
        <w:t>-</w:t>
      </w:r>
    </w:p>
    <w:p w:rsidR="00892DFC" w:rsidRPr="001042B6" w:rsidRDefault="00892DFC" w:rsidP="00892DFC">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w:t>
      </w:r>
      <w:r w:rsidRPr="001042B6">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560D8C">
        <w:rPr>
          <w:rFonts w:ascii="Arial" w:hAnsi="Arial" w:cs="Arial"/>
          <w:sz w:val="24"/>
          <w:szCs w:val="24"/>
        </w:rPr>
        <w:t xml:space="preserve">- - - - </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w:t>
      </w:r>
      <w:r>
        <w:rPr>
          <w:rFonts w:ascii="Arial" w:hAnsi="Arial" w:cs="Arial"/>
          <w:sz w:val="24"/>
          <w:szCs w:val="24"/>
        </w:rPr>
        <w:t>ó la actora</w:t>
      </w:r>
      <w:r w:rsidRPr="001042B6">
        <w:rPr>
          <w:rFonts w:ascii="Arial" w:hAnsi="Arial" w:cs="Arial"/>
          <w:sz w:val="24"/>
          <w:szCs w:val="24"/>
        </w:rPr>
        <w:t>,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892DFC" w:rsidRDefault="00892DFC" w:rsidP="00892DFC">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32668D">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04DAF">
        <w:rPr>
          <w:rFonts w:ascii="Arial" w:hAnsi="Arial" w:cs="Arial"/>
          <w:sz w:val="24"/>
          <w:szCs w:val="24"/>
        </w:rPr>
        <w:t>**********</w:t>
      </w:r>
      <w:r w:rsidR="00404DAF" w:rsidRPr="001042B6">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so</w:t>
      </w:r>
      <w:r w:rsidRPr="001042B6">
        <w:rPr>
          <w:rFonts w:ascii="Arial" w:hAnsi="Arial" w:cs="Arial"/>
          <w:sz w:val="24"/>
          <w:szCs w:val="24"/>
        </w:rPr>
        <w:t>n</w:t>
      </w:r>
      <w:r>
        <w:rPr>
          <w:rFonts w:ascii="Arial" w:hAnsi="Arial" w:cs="Arial"/>
          <w:sz w:val="24"/>
          <w:szCs w:val="24"/>
        </w:rPr>
        <w:t xml:space="preserve">: </w:t>
      </w:r>
      <w:r w:rsidRPr="00AF0F91">
        <w:rPr>
          <w:rFonts w:ascii="Arial" w:hAnsi="Arial" w:cs="Arial"/>
          <w:b/>
          <w:sz w:val="24"/>
          <w:szCs w:val="24"/>
        </w:rPr>
        <w:t>1.-</w:t>
      </w:r>
      <w:r>
        <w:rPr>
          <w:rFonts w:ascii="Arial" w:hAnsi="Arial" w:cs="Arial"/>
          <w:sz w:val="24"/>
          <w:szCs w:val="24"/>
        </w:rPr>
        <w:t xml:space="preserve"> </w:t>
      </w:r>
      <w:r w:rsidRPr="001042B6">
        <w:rPr>
          <w:rFonts w:ascii="Arial" w:hAnsi="Arial" w:cs="Arial"/>
          <w:sz w:val="24"/>
          <w:szCs w:val="24"/>
        </w:rPr>
        <w:t xml:space="preserve">Original del oficio número </w:t>
      </w:r>
      <w:r w:rsidR="00404DAF">
        <w:rPr>
          <w:rFonts w:ascii="Arial" w:hAnsi="Arial" w:cs="Arial"/>
          <w:sz w:val="24"/>
          <w:szCs w:val="24"/>
        </w:rPr>
        <w:t>**********</w:t>
      </w:r>
      <w:r w:rsidR="00404DAF">
        <w:rPr>
          <w:rFonts w:ascii="Arial" w:hAnsi="Arial" w:cs="Arial"/>
          <w:sz w:val="24"/>
          <w:szCs w:val="24"/>
        </w:rPr>
        <w:t xml:space="preserve"> </w:t>
      </w:r>
      <w:r w:rsidRPr="001042B6">
        <w:rPr>
          <w:rFonts w:ascii="Arial" w:hAnsi="Arial" w:cs="Arial"/>
          <w:sz w:val="24"/>
          <w:szCs w:val="24"/>
        </w:rPr>
        <w:t xml:space="preserve">de fecha </w:t>
      </w:r>
      <w:r>
        <w:rPr>
          <w:rFonts w:ascii="Arial" w:hAnsi="Arial" w:cs="Arial"/>
          <w:sz w:val="24"/>
          <w:szCs w:val="24"/>
        </w:rPr>
        <w:t>diez de abril de dos mil diecinueve (10/04/2019)</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negando la devolución de los descuentos solicitados por la actora (acto impugnado), con su respectiva acta de notificación; </w:t>
      </w:r>
      <w:r w:rsidRPr="00AF0F91">
        <w:rPr>
          <w:rFonts w:ascii="Arial" w:hAnsi="Arial" w:cs="Arial"/>
          <w:b/>
          <w:sz w:val="24"/>
          <w:szCs w:val="24"/>
        </w:rPr>
        <w:t>2.-</w:t>
      </w:r>
      <w:r>
        <w:rPr>
          <w:rFonts w:ascii="Arial" w:hAnsi="Arial" w:cs="Arial"/>
          <w:sz w:val="24"/>
          <w:szCs w:val="24"/>
        </w:rPr>
        <w:t xml:space="preserve"> Escrito que contiene un sello de recibido de la Dirección General de la Oficina de Pensiones, de fecha uno de abril de dos mil diecinueve (01/04/2019), mediante el cual la actora solicitó a la demandada, la devolución de los descuentos del 9% efectuados a su pensión durante el periodo comprendido del mes de marzo de dos mil quince a marzo de dos mil diecinueve; </w:t>
      </w:r>
      <w:r>
        <w:rPr>
          <w:rFonts w:ascii="Arial" w:hAnsi="Arial" w:cs="Arial"/>
          <w:b/>
          <w:sz w:val="24"/>
          <w:szCs w:val="24"/>
        </w:rPr>
        <w:t xml:space="preserve">3.- Original de </w:t>
      </w:r>
      <w:r>
        <w:rPr>
          <w:rFonts w:ascii="Arial" w:hAnsi="Arial" w:cs="Arial"/>
          <w:bCs/>
          <w:sz w:val="24"/>
          <w:szCs w:val="24"/>
        </w:rPr>
        <w:t xml:space="preserve">oficio </w:t>
      </w:r>
      <w:r w:rsidR="00236E8E">
        <w:rPr>
          <w:rFonts w:ascii="Arial" w:hAnsi="Arial" w:cs="Arial"/>
          <w:sz w:val="24"/>
          <w:szCs w:val="24"/>
        </w:rPr>
        <w:t>**********</w:t>
      </w:r>
      <w:r w:rsidR="00236E8E" w:rsidRPr="001042B6">
        <w:rPr>
          <w:rFonts w:ascii="Arial" w:hAnsi="Arial" w:cs="Arial"/>
          <w:sz w:val="24"/>
          <w:szCs w:val="24"/>
        </w:rPr>
        <w:t>,</w:t>
      </w:r>
      <w:r>
        <w:rPr>
          <w:rFonts w:ascii="Arial" w:hAnsi="Arial" w:cs="Arial"/>
          <w:bCs/>
          <w:sz w:val="24"/>
          <w:szCs w:val="24"/>
        </w:rPr>
        <w:t xml:space="preserve"> expedido con fecha diecisiete de diciembre de dos mil catorce (17/12/2014), por el Director General de la Oficina de Pensiones que contiene el dictamen de pensión por jubilación emitido por el Consejo Directivo de Pensiones del Estado de Oaxaca, de la misma fecha; </w:t>
      </w:r>
      <w:r>
        <w:rPr>
          <w:rFonts w:ascii="Arial" w:hAnsi="Arial" w:cs="Arial"/>
          <w:b/>
          <w:sz w:val="24"/>
          <w:szCs w:val="24"/>
        </w:rPr>
        <w:t xml:space="preserve">4.- </w:t>
      </w:r>
      <w:r>
        <w:rPr>
          <w:rFonts w:ascii="Arial" w:hAnsi="Arial" w:cs="Arial"/>
          <w:bCs/>
          <w:sz w:val="24"/>
          <w:szCs w:val="24"/>
        </w:rPr>
        <w:t xml:space="preserve">Copia certificada de la resolución emitida con fecha veintinueve de abril de dos mil diecinueve (29/04/2019), por el Juez Tercero de Distrito en el Juicio de Amparo </w:t>
      </w:r>
      <w:r w:rsidR="000D04A2">
        <w:rPr>
          <w:rFonts w:ascii="Arial" w:hAnsi="Arial" w:cs="Arial"/>
          <w:sz w:val="24"/>
          <w:szCs w:val="24"/>
        </w:rPr>
        <w:t>**********</w:t>
      </w:r>
      <w:r>
        <w:rPr>
          <w:rFonts w:ascii="Arial" w:hAnsi="Arial" w:cs="Arial"/>
          <w:bCs/>
          <w:sz w:val="24"/>
          <w:szCs w:val="24"/>
        </w:rPr>
        <w:t xml:space="preserve">; </w:t>
      </w:r>
      <w:r>
        <w:rPr>
          <w:rFonts w:ascii="Arial" w:hAnsi="Arial" w:cs="Arial"/>
          <w:b/>
          <w:sz w:val="24"/>
          <w:szCs w:val="24"/>
        </w:rPr>
        <w:t xml:space="preserve">5.- </w:t>
      </w:r>
      <w:r>
        <w:rPr>
          <w:rFonts w:ascii="Arial" w:hAnsi="Arial" w:cs="Arial"/>
          <w:bCs/>
          <w:sz w:val="24"/>
          <w:szCs w:val="24"/>
        </w:rPr>
        <w:t xml:space="preserve">Copia simple de </w:t>
      </w:r>
      <w:r>
        <w:rPr>
          <w:rFonts w:ascii="Arial" w:hAnsi="Arial" w:cs="Arial"/>
          <w:bCs/>
          <w:sz w:val="24"/>
          <w:szCs w:val="24"/>
        </w:rPr>
        <w:lastRenderedPageBreak/>
        <w:t xml:space="preserve">credencial para votar con fotografía expedida a favor de la actora por el Instituto Nacional Electoral; </w:t>
      </w:r>
      <w:r>
        <w:rPr>
          <w:rFonts w:ascii="Arial" w:hAnsi="Arial" w:cs="Arial"/>
          <w:b/>
          <w:sz w:val="24"/>
          <w:szCs w:val="24"/>
        </w:rPr>
        <w:t xml:space="preserve">6.- </w:t>
      </w:r>
      <w:r>
        <w:rPr>
          <w:rFonts w:ascii="Arial" w:hAnsi="Arial" w:cs="Arial"/>
          <w:bCs/>
          <w:sz w:val="24"/>
          <w:szCs w:val="24"/>
        </w:rPr>
        <w:t>Seis recibos de pensión por jubilación expedidos a favor de la actora.</w:t>
      </w:r>
    </w:p>
    <w:p w:rsidR="00892DFC" w:rsidRDefault="00892DFC" w:rsidP="00892DFC">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C318E4">
        <w:rPr>
          <w:rFonts w:ascii="Arial" w:hAnsi="Arial" w:cs="Arial"/>
          <w:sz w:val="24"/>
          <w:szCs w:val="24"/>
          <w:u w:val="single"/>
        </w:rPr>
        <w:t>autoridad demandada</w:t>
      </w:r>
      <w:r>
        <w:rPr>
          <w:rFonts w:ascii="Arial" w:hAnsi="Arial" w:cs="Arial"/>
          <w:sz w:val="24"/>
          <w:szCs w:val="24"/>
        </w:rPr>
        <w:t xml:space="preserve">, Director General de la Oficina de Pensiones del Gobierno del Estado, no existe prueba que valorar en su favor en este asunto, toda vez que con fecha nueve de septiembre de dos mil diecinueve (09/09/2019), se le tuvo contestando la demanda en sentido afirmativo, y como consecuencia la </w:t>
      </w:r>
      <w:r w:rsidR="000D04A2">
        <w:rPr>
          <w:rFonts w:ascii="Arial" w:hAnsi="Arial" w:cs="Arial"/>
          <w:sz w:val="24"/>
          <w:szCs w:val="24"/>
        </w:rPr>
        <w:t>pérdida</w:t>
      </w:r>
      <w:r>
        <w:rPr>
          <w:rFonts w:ascii="Arial" w:hAnsi="Arial" w:cs="Arial"/>
          <w:sz w:val="24"/>
          <w:szCs w:val="24"/>
        </w:rPr>
        <w:t xml:space="preserve"> del derecho de ofrecer pruebas.</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5575B1">
        <w:rPr>
          <w:rFonts w:ascii="Arial" w:hAnsi="Arial" w:cs="Arial"/>
          <w:sz w:val="24"/>
          <w:szCs w:val="24"/>
        </w:rPr>
        <w:t>Las pruebas aportadas al Juicio, consistentes en documentos</w:t>
      </w:r>
      <w:r w:rsidRPr="001042B6">
        <w:rPr>
          <w:rFonts w:ascii="Arial" w:hAnsi="Arial" w:cs="Arial"/>
          <w:sz w:val="24"/>
          <w:szCs w:val="24"/>
        </w:rPr>
        <w:t xml:space="preserve"> origi</w:t>
      </w:r>
      <w:r>
        <w:rPr>
          <w:rFonts w:ascii="Arial" w:hAnsi="Arial" w:cs="Arial"/>
          <w:sz w:val="24"/>
          <w:szCs w:val="24"/>
        </w:rPr>
        <w:t xml:space="preserve">nales y copias certificadas por el Secretario Judicial del Juzgado Tercero de Distrito en el Estado, </w:t>
      </w:r>
      <w:r w:rsidRPr="001042B6">
        <w:rPr>
          <w:rFonts w:ascii="Arial" w:hAnsi="Arial" w:cs="Arial"/>
          <w:sz w:val="24"/>
          <w:szCs w:val="24"/>
        </w:rPr>
        <w:t xml:space="preserve">tienen </w:t>
      </w:r>
      <w:r w:rsidRPr="001042B6">
        <w:rPr>
          <w:rFonts w:ascii="Arial" w:hAnsi="Arial" w:cs="Arial"/>
          <w:b/>
          <w:sz w:val="24"/>
          <w:szCs w:val="24"/>
        </w:rPr>
        <w:t>valor probatorio pleno</w:t>
      </w:r>
      <w:r w:rsidRPr="001042B6">
        <w:rPr>
          <w:rFonts w:ascii="Arial" w:hAnsi="Arial" w:cs="Arial"/>
          <w:sz w:val="24"/>
          <w:szCs w:val="24"/>
        </w:rPr>
        <w:t xml:space="preserve">, porque en </w:t>
      </w:r>
      <w:r>
        <w:rPr>
          <w:rFonts w:ascii="Arial" w:hAnsi="Arial" w:cs="Arial"/>
          <w:sz w:val="24"/>
          <w:szCs w:val="24"/>
        </w:rPr>
        <w:t>los</w:t>
      </w:r>
      <w:r w:rsidRPr="001042B6">
        <w:rPr>
          <w:rFonts w:ascii="Arial" w:hAnsi="Arial" w:cs="Arial"/>
          <w:sz w:val="24"/>
          <w:szCs w:val="24"/>
        </w:rPr>
        <w:t xml:space="preserve"> original</w:t>
      </w:r>
      <w:r>
        <w:rPr>
          <w:rFonts w:ascii="Arial" w:hAnsi="Arial" w:cs="Arial"/>
          <w:sz w:val="24"/>
          <w:szCs w:val="24"/>
        </w:rPr>
        <w:t xml:space="preserve">es </w:t>
      </w:r>
      <w:r w:rsidRPr="001042B6">
        <w:rPr>
          <w:rFonts w:ascii="Arial" w:hAnsi="Arial" w:cs="Arial"/>
          <w:sz w:val="24"/>
          <w:szCs w:val="24"/>
        </w:rPr>
        <w:t>aparece</w:t>
      </w:r>
      <w:r>
        <w:rPr>
          <w:rFonts w:ascii="Arial" w:hAnsi="Arial" w:cs="Arial"/>
          <w:sz w:val="24"/>
          <w:szCs w:val="24"/>
        </w:rPr>
        <w:t>n</w:t>
      </w:r>
      <w:r w:rsidRPr="001042B6">
        <w:rPr>
          <w:rFonts w:ascii="Arial" w:hAnsi="Arial" w:cs="Arial"/>
          <w:sz w:val="24"/>
          <w:szCs w:val="24"/>
        </w:rPr>
        <w:t xml:space="preserve"> l</w:t>
      </w:r>
      <w:r>
        <w:rPr>
          <w:rFonts w:ascii="Arial" w:hAnsi="Arial" w:cs="Arial"/>
          <w:sz w:val="24"/>
          <w:szCs w:val="24"/>
        </w:rPr>
        <w:t>os</w:t>
      </w:r>
      <w:r w:rsidRPr="001042B6">
        <w:rPr>
          <w:rFonts w:ascii="Arial" w:hAnsi="Arial" w:cs="Arial"/>
          <w:sz w:val="24"/>
          <w:szCs w:val="24"/>
        </w:rPr>
        <w:t xml:space="preserve"> nombre</w:t>
      </w:r>
      <w:r>
        <w:rPr>
          <w:rFonts w:ascii="Arial" w:hAnsi="Arial" w:cs="Arial"/>
          <w:sz w:val="24"/>
          <w:szCs w:val="24"/>
        </w:rPr>
        <w:t>s</w:t>
      </w:r>
      <w:r w:rsidRPr="001042B6">
        <w:rPr>
          <w:rFonts w:ascii="Arial" w:hAnsi="Arial" w:cs="Arial"/>
          <w:sz w:val="24"/>
          <w:szCs w:val="24"/>
        </w:rPr>
        <w:t xml:space="preserve"> </w:t>
      </w:r>
      <w:r>
        <w:rPr>
          <w:rFonts w:ascii="Arial" w:hAnsi="Arial" w:cs="Arial"/>
          <w:sz w:val="24"/>
          <w:szCs w:val="24"/>
        </w:rPr>
        <w:t xml:space="preserve">y firmas </w:t>
      </w:r>
      <w:r w:rsidRPr="001042B6">
        <w:rPr>
          <w:rFonts w:ascii="Arial" w:hAnsi="Arial" w:cs="Arial"/>
          <w:sz w:val="24"/>
          <w:szCs w:val="24"/>
        </w:rPr>
        <w:t>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servidor</w:t>
      </w:r>
      <w:r>
        <w:rPr>
          <w:rFonts w:ascii="Arial" w:hAnsi="Arial" w:cs="Arial"/>
          <w:sz w:val="24"/>
          <w:szCs w:val="24"/>
        </w:rPr>
        <w:t>es</w:t>
      </w:r>
      <w:r w:rsidRPr="001042B6">
        <w:rPr>
          <w:rFonts w:ascii="Arial" w:hAnsi="Arial" w:cs="Arial"/>
          <w:sz w:val="24"/>
          <w:szCs w:val="24"/>
        </w:rPr>
        <w:t xml:space="preserve"> público</w:t>
      </w:r>
      <w:r>
        <w:rPr>
          <w:rFonts w:ascii="Arial" w:hAnsi="Arial" w:cs="Arial"/>
          <w:sz w:val="24"/>
          <w:szCs w:val="24"/>
        </w:rPr>
        <w:t>s</w:t>
      </w:r>
      <w:r w:rsidRPr="001042B6">
        <w:rPr>
          <w:rFonts w:ascii="Arial" w:hAnsi="Arial" w:cs="Arial"/>
          <w:sz w:val="24"/>
          <w:szCs w:val="24"/>
        </w:rPr>
        <w:t xml:space="preserve"> que lo emiti</w:t>
      </w:r>
      <w:r>
        <w:rPr>
          <w:rFonts w:ascii="Arial" w:hAnsi="Arial" w:cs="Arial"/>
          <w:sz w:val="24"/>
          <w:szCs w:val="24"/>
        </w:rPr>
        <w:t>eron</w:t>
      </w:r>
      <w:r w:rsidRPr="001042B6">
        <w:rPr>
          <w:rFonts w:ascii="Arial" w:hAnsi="Arial" w:cs="Arial"/>
          <w:sz w:val="24"/>
          <w:szCs w:val="24"/>
        </w:rPr>
        <w:t>, además del nombre y sello de la dependencia a la que pertenecen</w:t>
      </w:r>
      <w:r>
        <w:rPr>
          <w:rFonts w:ascii="Arial" w:hAnsi="Arial" w:cs="Arial"/>
          <w:sz w:val="24"/>
          <w:szCs w:val="24"/>
        </w:rPr>
        <w:t>; por otra parte, el</w:t>
      </w:r>
      <w:r w:rsidRPr="001042B6">
        <w:rPr>
          <w:rFonts w:ascii="Arial" w:hAnsi="Arial" w:cs="Arial"/>
          <w:sz w:val="24"/>
          <w:szCs w:val="24"/>
        </w:rPr>
        <w:t xml:space="preserve"> </w:t>
      </w:r>
      <w:r>
        <w:rPr>
          <w:rFonts w:ascii="Arial" w:hAnsi="Arial" w:cs="Arial"/>
          <w:sz w:val="24"/>
          <w:szCs w:val="24"/>
        </w:rPr>
        <w:t>Secretario Judicial del Juzgado Tercero de Distrito en el Estado</w:t>
      </w:r>
      <w:r w:rsidRPr="001042B6">
        <w:rPr>
          <w:rFonts w:ascii="Arial" w:hAnsi="Arial" w:cs="Arial"/>
          <w:sz w:val="24"/>
          <w:szCs w:val="24"/>
        </w:rPr>
        <w:t xml:space="preserve"> </w:t>
      </w:r>
      <w:r>
        <w:rPr>
          <w:rFonts w:ascii="Arial" w:hAnsi="Arial" w:cs="Arial"/>
          <w:sz w:val="24"/>
          <w:szCs w:val="24"/>
        </w:rPr>
        <w:t>sin duda es una autoridad con plena competencia para certificar actuaciones que constan en los Juicios de amparo radicados en el Juzgado de su adscripción, de ahí la convicción sobre la existencia y veracidad de contenido de los documentos señalados;</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892DFC" w:rsidRDefault="00892DFC" w:rsidP="00892D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F45FDE">
        <w:rPr>
          <w:rFonts w:ascii="Arial" w:hAnsi="Arial" w:cs="Arial"/>
          <w:b/>
          <w:sz w:val="24"/>
          <w:szCs w:val="24"/>
        </w:rPr>
        <w:t>copia simple</w:t>
      </w:r>
      <w:r>
        <w:rPr>
          <w:rFonts w:ascii="Arial" w:hAnsi="Arial" w:cs="Arial"/>
          <w:sz w:val="24"/>
          <w:szCs w:val="24"/>
        </w:rPr>
        <w:t xml:space="preserve"> de la credencial para votar con fotografía remitida por la actora, se le otorga valor </w:t>
      </w:r>
      <w:r w:rsidRPr="0055189B">
        <w:rPr>
          <w:rFonts w:ascii="Arial" w:hAnsi="Arial" w:cs="Arial"/>
          <w:sz w:val="24"/>
          <w:szCs w:val="24"/>
          <w:u w:val="single"/>
        </w:rPr>
        <w:t>probatorio indiciario</w:t>
      </w:r>
      <w:r>
        <w:rPr>
          <w:rFonts w:ascii="Arial" w:hAnsi="Arial" w:cs="Arial"/>
          <w:sz w:val="24"/>
          <w:szCs w:val="24"/>
        </w:rPr>
        <w:t xml:space="preserve">, pues se encuentra relacionada con todos los documentos originales y copias certificadas aportadas al Juicio, en los que aparece su nombre, el cual coincide con el plasmado en dicha credencial, de ahí que  no sea un documento aislado, y que su valor no sea nulo, sirve de apoyo a lo anterior, </w:t>
      </w:r>
      <w:r>
        <w:rPr>
          <w:rFonts w:ascii="Arial" w:hAnsi="Arial" w:cs="Arial"/>
          <w:sz w:val="24"/>
          <w:szCs w:val="24"/>
        </w:rPr>
        <w:lastRenderedPageBreak/>
        <w:t>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w:t>
      </w:r>
      <w:r>
        <w:rPr>
          <w:rFonts w:ascii="Arial" w:hAnsi="Arial" w:cs="Arial"/>
          <w:sz w:val="24"/>
          <w:szCs w:val="24"/>
        </w:rPr>
        <w:t>ones I y I</w:t>
      </w:r>
      <w:r w:rsidRPr="001042B6">
        <w:rPr>
          <w:rFonts w:ascii="Arial" w:hAnsi="Arial" w:cs="Arial"/>
          <w:sz w:val="24"/>
          <w:szCs w:val="24"/>
        </w:rPr>
        <w:t>I de la Ley de Procedimiento y Justicia Administrativa para el Estado de Oaxaca.</w:t>
      </w:r>
    </w:p>
    <w:p w:rsidR="00892DFC" w:rsidRPr="001042B6" w:rsidRDefault="00892DFC" w:rsidP="00892DF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 actora</w:t>
      </w:r>
      <w:r>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892DFC" w:rsidRPr="001042B6" w:rsidRDefault="00892DFC" w:rsidP="00892DF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se basa en los principios que las rigen, consistentes en determinar la consecuencia que la ley deduce de un hecho conocido, para averiguar la verdad de otro desconocido, y que de no ofrecerse prueba en contrario, se acredita de este modo el hecho conocido. En tanto que la presunción humana, es una inferencia que el Juez deduce de un hecho conocido, obtenido de la totalidad de las pruebas para arribar al que se desconoce. - - </w:t>
      </w:r>
    </w:p>
    <w:p w:rsidR="00892DFC" w:rsidRPr="001042B6" w:rsidRDefault="00892DFC" w:rsidP="00892DFC">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Est</w:t>
      </w:r>
      <w:r>
        <w:rPr>
          <w:rFonts w:ascii="Arial" w:hAnsi="Arial" w:cs="Arial"/>
          <w:sz w:val="24"/>
        </w:rPr>
        <w:t>e</w:t>
      </w:r>
      <w:r w:rsidRPr="001042B6">
        <w:rPr>
          <w:rFonts w:ascii="Arial" w:hAnsi="Arial" w:cs="Arial"/>
          <w:sz w:val="24"/>
        </w:rPr>
        <w:t xml:space="preserve"> Juzgador,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287BAF">
        <w:rPr>
          <w:rFonts w:cs="Arial"/>
          <w:sz w:val="24"/>
        </w:rPr>
        <w:t>- -</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xml:space="preserve"> </w:t>
      </w:r>
      <w:r w:rsidR="000D04A2">
        <w:rPr>
          <w:rFonts w:ascii="Arial" w:hAnsi="Arial" w:cs="Arial"/>
          <w:sz w:val="24"/>
          <w:szCs w:val="24"/>
        </w:rPr>
        <w:t>**********</w:t>
      </w:r>
      <w:r w:rsidR="000D04A2" w:rsidRPr="001042B6">
        <w:rPr>
          <w:rFonts w:ascii="Arial" w:hAnsi="Arial" w:cs="Arial"/>
          <w:sz w:val="24"/>
          <w:szCs w:val="24"/>
        </w:rPr>
        <w:t>,</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w:t>
      </w:r>
      <w:r>
        <w:rPr>
          <w:rFonts w:ascii="Arial" w:hAnsi="Arial" w:cs="Arial"/>
          <w:sz w:val="24"/>
          <w:szCs w:val="24"/>
        </w:rPr>
        <w:lastRenderedPageBreak/>
        <w:t xml:space="preserve">autoridad </w:t>
      </w:r>
      <w:r w:rsidRPr="001042B6">
        <w:rPr>
          <w:rFonts w:ascii="Arial" w:hAnsi="Arial" w:cs="Arial"/>
          <w:sz w:val="24"/>
          <w:szCs w:val="24"/>
        </w:rPr>
        <w:t xml:space="preserve">demandada dio respuesta a su petición, </w:t>
      </w:r>
      <w:r>
        <w:rPr>
          <w:rFonts w:ascii="Arial" w:hAnsi="Arial" w:cs="Arial"/>
          <w:sz w:val="24"/>
          <w:szCs w:val="24"/>
        </w:rPr>
        <w:t>negando la devolución de los descuentos solicitados</w:t>
      </w:r>
      <w:r w:rsidRPr="001042B6">
        <w:rPr>
          <w:rFonts w:ascii="Arial" w:hAnsi="Arial" w:cs="Arial"/>
          <w:sz w:val="24"/>
          <w:szCs w:val="24"/>
        </w:rPr>
        <w:t>, surgiendo así la afectación a su esfera jurídica, por la cual instaura el presente Juicio, qued</w:t>
      </w:r>
      <w:r>
        <w:rPr>
          <w:rFonts w:ascii="Arial" w:hAnsi="Arial" w:cs="Arial"/>
          <w:sz w:val="24"/>
          <w:szCs w:val="24"/>
        </w:rPr>
        <w:t>ando</w:t>
      </w:r>
      <w:r w:rsidRPr="001042B6">
        <w:rPr>
          <w:rFonts w:ascii="Arial" w:hAnsi="Arial" w:cs="Arial"/>
          <w:sz w:val="24"/>
          <w:szCs w:val="24"/>
        </w:rPr>
        <w:t xml:space="preserve"> justificada su personalidad jurídica y legítima en el presente </w:t>
      </w:r>
      <w:r>
        <w:rPr>
          <w:rFonts w:ascii="Arial" w:hAnsi="Arial" w:cs="Arial"/>
          <w:sz w:val="24"/>
          <w:szCs w:val="24"/>
        </w:rPr>
        <w:t>asunto</w:t>
      </w:r>
      <w:r w:rsidRPr="001042B6">
        <w:rPr>
          <w:rFonts w:ascii="Arial" w:hAnsi="Arial" w:cs="Arial"/>
          <w:sz w:val="24"/>
          <w:szCs w:val="24"/>
        </w:rPr>
        <w:t>.</w:t>
      </w:r>
    </w:p>
    <w:p w:rsidR="00892DFC" w:rsidRPr="001042B6" w:rsidRDefault="00892DFC" w:rsidP="00892DFC">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fue impugnada por la parte actor</w:t>
      </w:r>
      <w:r>
        <w:rPr>
          <w:rFonts w:ascii="Arial" w:hAnsi="Arial" w:cs="Arial"/>
          <w:sz w:val="24"/>
        </w:rPr>
        <w:t xml:space="preserve">a. </w:t>
      </w:r>
      <w:r w:rsidRPr="001042B6">
        <w:rPr>
          <w:rFonts w:ascii="Arial" w:hAnsi="Arial" w:cs="Arial"/>
          <w:sz w:val="24"/>
        </w:rPr>
        <w:t xml:space="preserve">- </w:t>
      </w:r>
    </w:p>
    <w:p w:rsidR="00892DFC" w:rsidRPr="001042B6"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rsidR="00892DFC" w:rsidRPr="001042B6" w:rsidRDefault="00892DFC" w:rsidP="00892DFC">
      <w:pPr>
        <w:pStyle w:val="corte4fondoCarCarCar"/>
        <w:spacing w:before="240"/>
        <w:ind w:firstLine="708"/>
        <w:rPr>
          <w:rFonts w:cs="Arial"/>
          <w:bCs/>
          <w:sz w:val="24"/>
        </w:rPr>
      </w:pPr>
      <w:r>
        <w:rPr>
          <w:rFonts w:cs="Arial"/>
          <w:bCs/>
          <w:sz w:val="24"/>
        </w:rPr>
        <w:t xml:space="preserve">Como se indicó en líneas que anteceden, a la autoridad demandada se le tuvo contestando la demanda en sentido afirmativo en este asunto, luego que presentara su escrito de contestación de manera extemporánea, lo que implicó la pérdida de su derecho para hacer valer causales de improcedencia, y al no advertir este </w:t>
      </w:r>
      <w:proofErr w:type="spellStart"/>
      <w:r>
        <w:rPr>
          <w:rFonts w:cs="Arial"/>
          <w:bCs/>
          <w:sz w:val="24"/>
        </w:rPr>
        <w:t>resolutor</w:t>
      </w:r>
      <w:proofErr w:type="spellEnd"/>
      <w:r>
        <w:rPr>
          <w:rFonts w:cs="Arial"/>
          <w:bCs/>
          <w:sz w:val="24"/>
        </w:rPr>
        <w:t xml:space="preserve"> la actualización de</w:t>
      </w:r>
      <w:r w:rsidRPr="001042B6">
        <w:rPr>
          <w:rFonts w:cs="Arial"/>
          <w:bCs/>
          <w:sz w:val="24"/>
        </w:rPr>
        <w:t xml:space="preserve"> alguna causa que impida entrar a estudiar el fondo del presente asunto, este Juicio de Nulidad NO SE SOBRESEE.- - - </w:t>
      </w:r>
      <w:r>
        <w:rPr>
          <w:rFonts w:cs="Arial"/>
          <w:bCs/>
          <w:sz w:val="24"/>
        </w:rPr>
        <w:t xml:space="preserve">- - - - - - - - - - - - - - - - - - - - - - - - - - - - - </w:t>
      </w:r>
      <w:r w:rsidR="007B52B6">
        <w:rPr>
          <w:rFonts w:cs="Arial"/>
          <w:bCs/>
          <w:sz w:val="24"/>
        </w:rPr>
        <w:t xml:space="preserve">- </w:t>
      </w:r>
    </w:p>
    <w:p w:rsidR="00E81939" w:rsidRDefault="00892DFC" w:rsidP="00E81939">
      <w:pPr>
        <w:pStyle w:val="corte4fondoCarCarCar"/>
        <w:spacing w:before="240"/>
        <w:ind w:firstLine="708"/>
        <w:rPr>
          <w:rFonts w:cs="Arial"/>
          <w:sz w:val="24"/>
        </w:rPr>
      </w:pPr>
      <w:r w:rsidRPr="00D04D98">
        <w:rPr>
          <w:rFonts w:cs="Arial"/>
          <w:b/>
          <w:bCs/>
          <w:sz w:val="24"/>
        </w:rPr>
        <w:t xml:space="preserve">SEXTO.- </w:t>
      </w:r>
      <w:r w:rsidRPr="00584C98">
        <w:rPr>
          <w:rFonts w:cs="Arial"/>
          <w:sz w:val="24"/>
        </w:rPr>
        <w:t xml:space="preserve">Si bien es cierto, la actora promovió Juicio de amparo directo, radicado en el Juzgado Tercero de Distrito en el Estado (Número </w:t>
      </w:r>
      <w:r w:rsidR="00E81939">
        <w:rPr>
          <w:rFonts w:cs="Arial"/>
          <w:sz w:val="24"/>
        </w:rPr>
        <w:t>**********</w:t>
      </w:r>
      <w:r w:rsidRPr="00584C98">
        <w:rPr>
          <w:rFonts w:cs="Arial"/>
          <w:sz w:val="24"/>
        </w:rPr>
        <w:t>),</w:t>
      </w:r>
      <w:r>
        <w:rPr>
          <w:rFonts w:cs="Arial"/>
          <w:b/>
          <w:bCs/>
          <w:sz w:val="24"/>
        </w:rPr>
        <w:t xml:space="preserve"> </w:t>
      </w:r>
      <w:r>
        <w:rPr>
          <w:rFonts w:cs="Arial"/>
          <w:sz w:val="24"/>
        </w:rPr>
        <w:t xml:space="preserve">contra el descuento del 9% que se le efectuaba a su pensión por jubilación, y que con fecha veintinueve de abril de dos mil diecinueve (29/04/2019), se le otorgó el amparo y protección de la justicia federal, para efectos de que: 1.- La autoridad responsable no aplique a la ahí quejosa, aquí actora, el descuento del 9% a su pensión previsto en los artículos 6 fracción III, 18, párrafo segundo y transitorio octavo de la Ley de Pensiones para los Trabajadores del Gobierno del Estado de Oaxaca; 2.- Devolviera a la que quejosa en una sola exhibición la cantidad que le descontó por ese concepto, a partir del mes abril de dos mil diecinueve, y; 3.- No se realicen posteriores descuentos por ese concepto a la pensión de la actora; lo cierto es, que los descuentos aquí solicitados, correspondientes al periodo de </w:t>
      </w:r>
      <w:r>
        <w:rPr>
          <w:rFonts w:cs="Arial"/>
          <w:sz w:val="24"/>
        </w:rPr>
        <w:lastRenderedPageBreak/>
        <w:t>marzo de dos mil quince a marzo de dos mil diecinueve, no fueron materia de estudio en aquel Juicio de Amparo, por lo que resulta procedente su estudio en este Juicio.</w:t>
      </w:r>
    </w:p>
    <w:p w:rsidR="00892DFC" w:rsidRDefault="00892DFC" w:rsidP="00E81939">
      <w:pPr>
        <w:pStyle w:val="corte4fondoCarCarCar"/>
        <w:spacing w:before="240"/>
        <w:ind w:firstLine="708"/>
        <w:rPr>
          <w:rFonts w:cs="Arial"/>
          <w:sz w:val="24"/>
        </w:rPr>
      </w:pPr>
      <w:r>
        <w:rPr>
          <w:rFonts w:cs="Arial"/>
          <w:sz w:val="24"/>
        </w:rPr>
        <w:t xml:space="preserve">El estudio de fondo de este Juicio, consiste en determinar si resulta procedente la devolución de los descuentos del 9%, que la Oficina de Pensiones del Gobierno del Estado de Oaxaca, efectuó a la hoy actora a su pensión, durante el </w:t>
      </w:r>
      <w:r w:rsidRPr="00BF7C64">
        <w:rPr>
          <w:rFonts w:cs="Arial"/>
          <w:b/>
          <w:sz w:val="24"/>
        </w:rPr>
        <w:t xml:space="preserve">periodo comprendido de </w:t>
      </w:r>
      <w:r>
        <w:rPr>
          <w:rFonts w:cs="Arial"/>
          <w:b/>
          <w:sz w:val="24"/>
        </w:rPr>
        <w:t>marzo de dos mil quince a marzo de dos mil diecinueve</w:t>
      </w:r>
      <w:r>
        <w:rPr>
          <w:rFonts w:cs="Arial"/>
          <w:sz w:val="24"/>
        </w:rPr>
        <w:t>.</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Así tenemos que en el oficio aquí impugnado (</w:t>
      </w:r>
      <w:r w:rsidR="00236E8E">
        <w:rPr>
          <w:rFonts w:ascii="Arial" w:hAnsi="Arial" w:cs="Arial"/>
          <w:sz w:val="24"/>
          <w:szCs w:val="24"/>
        </w:rPr>
        <w:t>**********</w:t>
      </w:r>
      <w:r>
        <w:rPr>
          <w:rFonts w:ascii="Arial" w:hAnsi="Arial" w:cs="Arial"/>
          <w:sz w:val="24"/>
          <w:szCs w:val="24"/>
        </w:rPr>
        <w:t>), el Director General de la Oficina de Pensiones del Gobierno del Estado de Oaxaca, consideró que dicha devolución es improcedente, porque el descuento del 9% a la pensión de la actora, fue determinado por el Consejo Directivo de la Oficina de Pensiones, el día diecisiete de diciembre de dos mil catorce (17/12/2014), por lo que considera es un acto consentido.</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Cierto es, como lo manifestó la actora, que los artículos 6 fracción III, 18 párrafo segundo y octavo transitorio de la Ley de Pensiones para los Trabajadores del Gobierno del Estado de Oaxaca, que contemplan el descuento del 9% de la pensión que sea otorgada, fueron declarados inconstitucionales por </w:t>
      </w:r>
      <w:r w:rsidRPr="00C04B99">
        <w:rPr>
          <w:rFonts w:ascii="Arial" w:hAnsi="Arial" w:cs="Arial"/>
          <w:sz w:val="24"/>
          <w:szCs w:val="24"/>
        </w:rPr>
        <w:t xml:space="preserve">el más Alto Tribunal del País, en la Jurisprudencia </w:t>
      </w:r>
      <w:r>
        <w:rPr>
          <w:rFonts w:ascii="Arial" w:hAnsi="Arial" w:cs="Arial"/>
          <w:sz w:val="24"/>
          <w:szCs w:val="24"/>
        </w:rPr>
        <w:t>publicada en el Semanario Judicial de la Federación el diez de octubre de dos mil catorce (10/10/2014) y obligatoria a partir del día trece del mismo mes y año (13/10/2014), con número de registro 2007629, y de rubro: “</w:t>
      </w:r>
      <w:r w:rsidRPr="00552BAB">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52BAB">
        <w:rPr>
          <w:rFonts w:ascii="Arial" w:hAnsi="Arial" w:cs="Arial"/>
          <w:sz w:val="24"/>
          <w:szCs w:val="24"/>
        </w:rPr>
        <w:t>.</w:t>
      </w:r>
      <w:r>
        <w:rPr>
          <w:rFonts w:ascii="Arial" w:hAnsi="Arial" w:cs="Arial"/>
          <w:sz w:val="24"/>
          <w:szCs w:val="24"/>
        </w:rPr>
        <w:t xml:space="preserve">”; no menos cierto es, que  de acuerdo, también al criterio del más alto tribunal del país, no existía obligación del Director General de la Oficina de Pensiones, de aplicar la jurisprudencia antes citada para fundar y motivar el oficio </w:t>
      </w:r>
      <w:r w:rsidR="00410E1D">
        <w:rPr>
          <w:rFonts w:ascii="Arial" w:hAnsi="Arial" w:cs="Arial"/>
          <w:sz w:val="24"/>
          <w:szCs w:val="24"/>
        </w:rPr>
        <w:t>**********</w:t>
      </w:r>
      <w:r w:rsidR="00410E1D" w:rsidRPr="001042B6">
        <w:rPr>
          <w:rFonts w:ascii="Arial" w:hAnsi="Arial" w:cs="Arial"/>
          <w:sz w:val="24"/>
          <w:szCs w:val="24"/>
        </w:rPr>
        <w:t>,</w:t>
      </w:r>
      <w:r>
        <w:rPr>
          <w:rFonts w:ascii="Arial" w:hAnsi="Arial" w:cs="Arial"/>
          <w:sz w:val="24"/>
          <w:szCs w:val="24"/>
        </w:rPr>
        <w:t xml:space="preserve"> aquí impugnado, pues l</w:t>
      </w:r>
      <w:r w:rsidRPr="00B875CF">
        <w:rPr>
          <w:rFonts w:ascii="Arial" w:hAnsi="Arial" w:cs="Arial"/>
          <w:sz w:val="24"/>
          <w:szCs w:val="24"/>
        </w:rPr>
        <w:t xml:space="preserve">a obligación de las autoridades administrativas de fundar y </w:t>
      </w:r>
      <w:r w:rsidRPr="00B875CF">
        <w:rPr>
          <w:rFonts w:ascii="Arial" w:hAnsi="Arial" w:cs="Arial"/>
          <w:sz w:val="24"/>
          <w:szCs w:val="24"/>
        </w:rPr>
        <w:lastRenderedPageBreak/>
        <w:t>motivar sus actos</w:t>
      </w:r>
      <w:r>
        <w:rPr>
          <w:rFonts w:ascii="Arial" w:hAnsi="Arial" w:cs="Arial"/>
          <w:sz w:val="24"/>
          <w:szCs w:val="24"/>
        </w:rPr>
        <w:t>,</w:t>
      </w:r>
      <w:r w:rsidRPr="00B875CF">
        <w:rPr>
          <w:rFonts w:ascii="Arial" w:hAnsi="Arial" w:cs="Arial"/>
          <w:sz w:val="24"/>
          <w:szCs w:val="24"/>
        </w:rPr>
        <w:t xml:space="preserve"> consiste en citar de manera específica</w:t>
      </w:r>
      <w:r>
        <w:rPr>
          <w:rFonts w:ascii="Arial" w:hAnsi="Arial" w:cs="Arial"/>
          <w:sz w:val="24"/>
          <w:szCs w:val="24"/>
        </w:rPr>
        <w:t>,</w:t>
      </w:r>
      <w:r w:rsidRPr="00B875CF">
        <w:rPr>
          <w:rFonts w:ascii="Arial" w:hAnsi="Arial" w:cs="Arial"/>
          <w:sz w:val="24"/>
          <w:szCs w:val="24"/>
        </w:rPr>
        <w:t xml:space="preserve"> la ley exactamente aplicable al caso, así como en expresar las circunstancias especiales, razones particulares o causas inmediatas que se hayan tenido en consideración para la emisión del acto y la adecuación entre los motivos aducidos y las normas aplicables y no, en citar también la jurisprudencia respectiva</w:t>
      </w:r>
      <w:r>
        <w:rPr>
          <w:rFonts w:ascii="Arial" w:hAnsi="Arial" w:cs="Arial"/>
          <w:sz w:val="24"/>
          <w:szCs w:val="24"/>
        </w:rPr>
        <w:t>, como se advierte de la Jurisprudencia con datos de identificación: Semanario Judicial de la Federación y su Gaceta, Tomo XV, Mayo de 2002, Novena Época, pág. 175, registro 186921, Jurisprudencia Común, Segunda Sala de rubro: ”</w:t>
      </w:r>
      <w:r w:rsidRPr="00B875CF">
        <w:rPr>
          <w:rFonts w:ascii="Arial" w:hAnsi="Arial" w:cs="Arial"/>
          <w:i/>
          <w:iCs/>
          <w:sz w:val="24"/>
          <w:szCs w:val="24"/>
        </w:rPr>
        <w:t>JURISPRUDENCIA SOBRE INCONSTITUCIONALIDAD DE LEYES. LAS AUTORIDADES ADMINISTRATIVAS NO ESTÁN OBLIGADAS A APLICARLA AL CUMPLIR CON LA GARANTÍA DE FUNDAR Y MOTIVAR SUS ACTOS</w:t>
      </w:r>
      <w:r>
        <w:rPr>
          <w:rFonts w:ascii="Arial" w:hAnsi="Arial" w:cs="Arial"/>
          <w:sz w:val="24"/>
          <w:szCs w:val="24"/>
        </w:rPr>
        <w:t>.”; por lo que sin duda la autoridad demandada únicamente debía atender las leyes aplicables al caso para dar respuesta a la solicitud de la actora, lo que no acontece con esta autoridad, pues la Jurisprudencia resulta obligatoria para los órganos jurisdiccionales en términos del artículo 192 de la Ley de Amparo.</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este Juzgador considera que no asiste razón a la autoridad demandada, al negar la devolución de los descuentos solicitados por la actora, por considerar que al habérsele notificado la pensión por jubilación que le fue otorgada por el Consejo Directivo de Pensiones, en la que contemplaba el 9% de descuento debe considerarse un acto consentido, pues ha sido criterio del más alto Tribunal del País, que el derecho para reclamar los incrementos y diferencias de las pensiones y jubilaciones es imprescriptible, como se observa en la Jurisprudencia con datos de identificación: Semanario Judicial de la Federación y su Gaceta, Tomo XXX, Septiembre de 2009, Novena Época, pág. 644, registro 166335, Jurisprudencia Administrativa, Segunda Sala, de rubro: “</w:t>
      </w:r>
      <w:r w:rsidRPr="00377616">
        <w:rPr>
          <w:rFonts w:ascii="Arial" w:hAnsi="Arial" w:cs="Arial"/>
          <w:sz w:val="24"/>
          <w:szCs w:val="24"/>
        </w:rPr>
        <w:t>PENSIONES Y JUBILACIONES DEL ISSSTE. EL DERECHO PARA RECLAMAR SUS INCREMENTOS Y LAS DIFERENCIAS QUE DE ELLOS RESULTEN, ES IMPRESCRIPTIBLE.</w:t>
      </w:r>
      <w:r>
        <w:rPr>
          <w:rFonts w:ascii="Arial" w:hAnsi="Arial" w:cs="Arial"/>
          <w:sz w:val="24"/>
          <w:szCs w:val="24"/>
        </w:rPr>
        <w:t>”; por lo que no puede considerarse prescrito el derecho de la actora de reclamar la devolución de los descuentos que le fueron efectuados a su pensión.</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Fue el propio Tribunal Supremo del País, quien determinó el alcance de la jurisprudencia citada, y estableció, que la imprescriptibilidad ahí referida, excluye a los montos vencidos de dicha diferencias, los cuales corresponden a cantidades que se generaron en un momento determinado y que no se </w:t>
      </w:r>
      <w:r>
        <w:rPr>
          <w:rFonts w:ascii="Arial" w:hAnsi="Arial" w:cs="Arial"/>
          <w:sz w:val="24"/>
          <w:szCs w:val="24"/>
        </w:rPr>
        <w:lastRenderedPageBreak/>
        <w:t xml:space="preserve">cobraron cuando fueron exigibles, por lo que la acción para exigir las diferencias vencidas, sí </w:t>
      </w:r>
      <w:r w:rsidR="00122AEF">
        <w:rPr>
          <w:rFonts w:ascii="Arial" w:hAnsi="Arial" w:cs="Arial"/>
          <w:sz w:val="24"/>
          <w:szCs w:val="24"/>
        </w:rPr>
        <w:t>está</w:t>
      </w:r>
      <w:r>
        <w:rPr>
          <w:rFonts w:ascii="Arial" w:hAnsi="Arial" w:cs="Arial"/>
          <w:sz w:val="24"/>
          <w:szCs w:val="24"/>
        </w:rPr>
        <w:t xml:space="preserve"> sujeta a la prescripción prevista en la ley, en el caso particular, es el </w:t>
      </w:r>
      <w:r w:rsidR="00122AEF">
        <w:rPr>
          <w:rFonts w:ascii="Arial" w:hAnsi="Arial" w:cs="Arial"/>
          <w:sz w:val="24"/>
          <w:szCs w:val="24"/>
        </w:rPr>
        <w:t>artículo</w:t>
      </w:r>
      <w:r>
        <w:rPr>
          <w:rFonts w:ascii="Arial" w:hAnsi="Arial" w:cs="Arial"/>
          <w:sz w:val="24"/>
          <w:szCs w:val="24"/>
        </w:rPr>
        <w:t xml:space="preserve"> 63 de la Ley de Pensiones para los Trabajadores del Gobierno del Estado, el que establece que las prestaciones caídas, </w:t>
      </w:r>
      <w:r w:rsidRPr="00085434">
        <w:rPr>
          <w:rFonts w:ascii="Arial" w:hAnsi="Arial" w:cs="Arial"/>
          <w:b/>
          <w:bCs/>
          <w:sz w:val="24"/>
          <w:szCs w:val="24"/>
        </w:rPr>
        <w:t>la devolución de descuentos</w:t>
      </w:r>
      <w:r>
        <w:rPr>
          <w:rFonts w:ascii="Arial" w:hAnsi="Arial" w:cs="Arial"/>
          <w:b/>
          <w:bCs/>
          <w:sz w:val="24"/>
          <w:szCs w:val="24"/>
        </w:rPr>
        <w:t xml:space="preserve">, </w:t>
      </w:r>
      <w:r>
        <w:rPr>
          <w:rFonts w:ascii="Arial" w:hAnsi="Arial" w:cs="Arial"/>
          <w:sz w:val="24"/>
          <w:szCs w:val="24"/>
        </w:rPr>
        <w:t xml:space="preserve">los intereses y cualquiera prestación a cargo del Fondo de Pensiones, que no se reclamen dentro de los tres años siguientes a la fecha en que hubieren sido exigibles, prescribirán a favor del fondo de pensiones, en ese sentido, debe considerarse, que si la actora presentó su solicitud de devolución el día uno de abril de dos mil diecinueve (01/04/2019), </w:t>
      </w:r>
      <w:r w:rsidRPr="00E624C0">
        <w:rPr>
          <w:rFonts w:ascii="Arial" w:hAnsi="Arial" w:cs="Arial"/>
          <w:b/>
          <w:bCs/>
          <w:sz w:val="24"/>
          <w:szCs w:val="24"/>
        </w:rPr>
        <w:t>le corresponde únicamente la devolución de los descuentos que le fueron efectuados a partir del uno de abril de dos mil dieciséis (01/04/2016)</w:t>
      </w:r>
      <w:r>
        <w:rPr>
          <w:rFonts w:ascii="Arial" w:hAnsi="Arial" w:cs="Arial"/>
          <w:sz w:val="24"/>
          <w:szCs w:val="24"/>
        </w:rPr>
        <w:t xml:space="preserve">, que son los tres años anteriores que se consideran en el artículo 63 referido, para solicitar la devolución de esos descuentos que no habían prescrito en favor del Fondo de Pensiones. Se dice lo anterior, porque con la resolución de amparo otorgada a favor de la actora, se eliminó la afectación que le causaba el descuento del 9% a su pensión, es decir, a partir de ese momento comienza a transcurrir el plazo de tres años previsto en el artículo 63 referido, para reclamar la devolución de los descuentos que le habían sido efectuados; razones por las que resulta improcedente la devolución de los descuentos del 9% efectuados a la pensión de la actora, en el periodo comprendido de marzo de dos mil quince a marzo de dos mil dieciséis; de ahí que se considere ilegal el oficio </w:t>
      </w:r>
      <w:r w:rsidR="00410E1D">
        <w:rPr>
          <w:rFonts w:ascii="Arial" w:hAnsi="Arial" w:cs="Arial"/>
          <w:sz w:val="24"/>
          <w:szCs w:val="24"/>
        </w:rPr>
        <w:t>**********</w:t>
      </w:r>
      <w:r w:rsidR="00410E1D">
        <w:rPr>
          <w:rFonts w:ascii="Arial" w:hAnsi="Arial" w:cs="Arial"/>
          <w:sz w:val="24"/>
          <w:szCs w:val="24"/>
        </w:rPr>
        <w:t xml:space="preserve"> </w:t>
      </w:r>
      <w:r>
        <w:rPr>
          <w:rFonts w:ascii="Arial" w:hAnsi="Arial" w:cs="Arial"/>
          <w:sz w:val="24"/>
          <w:szCs w:val="24"/>
        </w:rPr>
        <w:t>impugnado, pues fue dictado en contravención a las disposiciones del artículo 63 de la Ley de Pensiones para los Trabajadores del Gobierno del Estado de Oaxaca, lo anterior de conformidad con el artículo 208 fracción IV de la Ley de Procedimiento y Justicia Administrativa para el Estado de Oaxaca. Sirve de apoyo a lo anterior, la tesis con datos de identificación: Gaceta del Semanario Judicial de la Federación, Libro 23, Octubre de 2015, Tomo II, Décima Época, pág. 2091, registro 2010159, Tesis Aislada Constitucional, Laboral, Segunda Sala, de rubro: “</w:t>
      </w:r>
      <w:r w:rsidRPr="004D4719">
        <w:rPr>
          <w:rFonts w:ascii="Arial" w:hAnsi="Arial" w:cs="Arial"/>
          <w:sz w:val="24"/>
          <w:szCs w:val="24"/>
        </w:rPr>
        <w:t>PENSIONES Y JUBILACIONES DEL ISSSTE. EL DERECHO PARA RECLAMAR SUS INCREMENTOS Y LAS DIFERENCIAS QUE DE ELLOS RESULTEN, ES IMPRESCRIPTIBLE. ALCANCES DE LA JURISPRUDENCIA 2a</w:t>
      </w:r>
      <w:proofErr w:type="gramStart"/>
      <w:r w:rsidRPr="004D4719">
        <w:rPr>
          <w:rFonts w:ascii="Arial" w:hAnsi="Arial" w:cs="Arial"/>
          <w:sz w:val="24"/>
          <w:szCs w:val="24"/>
        </w:rPr>
        <w:t>./</w:t>
      </w:r>
      <w:proofErr w:type="gramEnd"/>
      <w:r w:rsidRPr="004D4719">
        <w:rPr>
          <w:rFonts w:ascii="Arial" w:hAnsi="Arial" w:cs="Arial"/>
          <w:sz w:val="24"/>
          <w:szCs w:val="24"/>
        </w:rPr>
        <w:t>J. 114/2009 (*).</w:t>
      </w:r>
      <w:r>
        <w:rPr>
          <w:rFonts w:ascii="Arial" w:hAnsi="Arial" w:cs="Arial"/>
          <w:sz w:val="24"/>
          <w:szCs w:val="24"/>
        </w:rPr>
        <w:t>” y;</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Semanario Judicial de la Federación, Volumen 151-156, Quinta parte, Séptima época, pág. 146, registro 243007, Jurisprudencia Laboral, Cuarta Sala, de rubro: “</w:t>
      </w:r>
      <w:r w:rsidRPr="00372AC1">
        <w:rPr>
          <w:rFonts w:ascii="Arial" w:hAnsi="Arial" w:cs="Arial"/>
          <w:sz w:val="24"/>
          <w:szCs w:val="24"/>
        </w:rPr>
        <w:t>JUBILACION, MONTO DE LA. EL DERECHO A QUE SE CUANTIFIQUE CORRECTAMENTE, ES IMPRESCRIPTIBLE.</w:t>
      </w:r>
      <w:r>
        <w:rPr>
          <w:rFonts w:ascii="Arial" w:hAnsi="Arial" w:cs="Arial"/>
          <w:sz w:val="24"/>
          <w:szCs w:val="24"/>
        </w:rPr>
        <w:t>”</w:t>
      </w:r>
    </w:p>
    <w:p w:rsidR="00892DFC" w:rsidRPr="001042B6"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 xml:space="preserve">En relatadas consideraciones, lo procedente es, en términos de los artículos 208 fracción IV, segunda parte, y 209 de la Ley de Procedimiento y Justicia Administrativa para el Estado de Oaxaca, </w:t>
      </w:r>
      <w:r w:rsidRPr="001042B6">
        <w:rPr>
          <w:rFonts w:ascii="Arial" w:hAnsi="Arial" w:cs="Arial"/>
          <w:sz w:val="24"/>
          <w:szCs w:val="24"/>
        </w:rPr>
        <w:t>declara</w:t>
      </w:r>
      <w:r>
        <w:rPr>
          <w:rFonts w:ascii="Arial" w:hAnsi="Arial" w:cs="Arial"/>
          <w:sz w:val="24"/>
          <w:szCs w:val="24"/>
        </w:rPr>
        <w:t>r y como en efecto se declara,</w:t>
      </w:r>
      <w:r w:rsidRPr="001042B6">
        <w:rPr>
          <w:rFonts w:ascii="Arial" w:hAnsi="Arial" w:cs="Arial"/>
          <w:sz w:val="24"/>
          <w:szCs w:val="24"/>
        </w:rPr>
        <w:t xml:space="preserve"> la </w:t>
      </w:r>
      <w:r w:rsidRPr="001042B6">
        <w:rPr>
          <w:rFonts w:ascii="Arial" w:hAnsi="Arial" w:cs="Arial"/>
          <w:b/>
          <w:sz w:val="24"/>
          <w:szCs w:val="24"/>
        </w:rPr>
        <w:t>NULIDAD</w:t>
      </w:r>
      <w:r w:rsidRPr="001042B6">
        <w:rPr>
          <w:rFonts w:ascii="Arial" w:hAnsi="Arial" w:cs="Arial"/>
          <w:sz w:val="24"/>
          <w:szCs w:val="24"/>
        </w:rPr>
        <w:t xml:space="preserve"> del oficio </w:t>
      </w:r>
      <w:r w:rsidR="00410E1D">
        <w:rPr>
          <w:rFonts w:ascii="Arial" w:hAnsi="Arial" w:cs="Arial"/>
          <w:sz w:val="24"/>
          <w:szCs w:val="24"/>
        </w:rPr>
        <w:t>**********</w:t>
      </w:r>
      <w:r w:rsidR="00410E1D" w:rsidRPr="001042B6">
        <w:rPr>
          <w:rFonts w:ascii="Arial" w:hAnsi="Arial" w:cs="Arial"/>
          <w:sz w:val="24"/>
          <w:szCs w:val="24"/>
        </w:rPr>
        <w:t>,</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diez de abril de dos mil diecinueve (10/04/2019),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w:t>
      </w:r>
      <w:r>
        <w:rPr>
          <w:rFonts w:ascii="Arial" w:hAnsi="Arial" w:cs="Arial"/>
          <w:sz w:val="24"/>
          <w:szCs w:val="24"/>
        </w:rPr>
        <w:t xml:space="preserve"> que ordene la devolución de lo</w:t>
      </w:r>
      <w:r w:rsidRPr="001042B6">
        <w:rPr>
          <w:rFonts w:ascii="Arial" w:hAnsi="Arial" w:cs="Arial"/>
          <w:sz w:val="24"/>
          <w:szCs w:val="24"/>
        </w:rPr>
        <w:t>s</w:t>
      </w:r>
      <w:r>
        <w:rPr>
          <w:rFonts w:ascii="Arial" w:hAnsi="Arial" w:cs="Arial"/>
          <w:sz w:val="24"/>
          <w:szCs w:val="24"/>
        </w:rPr>
        <w:t xml:space="preserve"> descuentos del 9% efectuados a la pensión de la actora </w:t>
      </w:r>
      <w:r w:rsidR="00AA2CEE">
        <w:rPr>
          <w:rFonts w:ascii="Arial" w:hAnsi="Arial" w:cs="Arial"/>
          <w:sz w:val="24"/>
          <w:szCs w:val="24"/>
        </w:rPr>
        <w:t>**********</w:t>
      </w:r>
      <w:r>
        <w:rPr>
          <w:rFonts w:ascii="Arial" w:hAnsi="Arial" w:cs="Arial"/>
          <w:sz w:val="24"/>
          <w:szCs w:val="24"/>
        </w:rPr>
        <w:t xml:space="preserve"> comprendidos únicamente en el periodo de abril de dos ml dieciséis a marzo de dos mil diecinueve</w:t>
      </w:r>
      <w:r w:rsidRPr="001042B6">
        <w:rPr>
          <w:rFonts w:ascii="Arial" w:hAnsi="Arial" w:cs="Arial"/>
          <w:sz w:val="24"/>
          <w:szCs w:val="24"/>
        </w:rPr>
        <w:t xml:space="preserve">. </w:t>
      </w:r>
    </w:p>
    <w:p w:rsidR="00892DFC" w:rsidRDefault="00892DFC" w:rsidP="00892DF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ab/>
      </w:r>
      <w:r>
        <w:rPr>
          <w:rFonts w:ascii="Arial" w:hAnsi="Arial" w:cs="Arial"/>
          <w:sz w:val="24"/>
          <w:szCs w:val="24"/>
        </w:rPr>
        <w:t xml:space="preserve">Por lo anterior, este </w:t>
      </w:r>
      <w:proofErr w:type="spellStart"/>
      <w:r>
        <w:rPr>
          <w:rFonts w:ascii="Arial" w:hAnsi="Arial" w:cs="Arial"/>
          <w:sz w:val="24"/>
          <w:szCs w:val="24"/>
        </w:rPr>
        <w:t>resolutor</w:t>
      </w:r>
      <w:proofErr w:type="spellEnd"/>
      <w:r>
        <w:rPr>
          <w:rFonts w:ascii="Arial" w:hAnsi="Arial" w:cs="Arial"/>
          <w:sz w:val="24"/>
          <w:szCs w:val="24"/>
        </w:rPr>
        <w:t xml:space="preserve"> considera innecesario analizar los restantes conceptos de impugnación, pues a nada práctico conduciría, porque en nada cambiarían el sentido de lo que aquí determinado.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892DFC" w:rsidRDefault="00892DFC" w:rsidP="00892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122AEF">
        <w:rPr>
          <w:rFonts w:ascii="Arial" w:hAnsi="Arial" w:cs="Arial"/>
          <w:sz w:val="24"/>
          <w:szCs w:val="24"/>
        </w:rPr>
        <w:t xml:space="preserve">- - - </w:t>
      </w:r>
    </w:p>
    <w:p w:rsidR="00892DFC" w:rsidRDefault="00892DFC" w:rsidP="00892DF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892DFC" w:rsidRDefault="00892DFC" w:rsidP="00892D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7D2A83">
        <w:rPr>
          <w:rFonts w:ascii="Arial" w:hAnsi="Arial" w:cs="Arial"/>
          <w:sz w:val="24"/>
          <w:szCs w:val="24"/>
        </w:rPr>
        <w:t>-</w:t>
      </w:r>
    </w:p>
    <w:p w:rsidR="00892DFC" w:rsidRDefault="00892DFC" w:rsidP="00892D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7D2A83">
        <w:rPr>
          <w:rFonts w:ascii="Arial" w:hAnsi="Arial" w:cs="Arial"/>
          <w:sz w:val="24"/>
          <w:szCs w:val="24"/>
        </w:rPr>
        <w:t>- - - - - - - - -</w:t>
      </w:r>
    </w:p>
    <w:p w:rsidR="00892DFC" w:rsidRDefault="00892DFC" w:rsidP="00892DF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Oficio</w:t>
      </w:r>
      <w:r w:rsidR="00AA2CEE">
        <w:rPr>
          <w:rFonts w:ascii="Arial" w:hAnsi="Arial" w:cs="Arial"/>
          <w:sz w:val="24"/>
          <w:szCs w:val="24"/>
        </w:rPr>
        <w:t xml:space="preserve"> </w:t>
      </w:r>
      <w:r w:rsidR="00AA2CEE">
        <w:rPr>
          <w:rFonts w:ascii="Arial" w:hAnsi="Arial" w:cs="Arial"/>
          <w:sz w:val="24"/>
          <w:szCs w:val="24"/>
        </w:rPr>
        <w:t>**********</w:t>
      </w:r>
      <w:r w:rsidR="00AA2CEE" w:rsidRPr="001042B6">
        <w:rPr>
          <w:rFonts w:ascii="Arial" w:hAnsi="Arial" w:cs="Arial"/>
          <w:sz w:val="24"/>
          <w:szCs w:val="24"/>
        </w:rPr>
        <w:t xml:space="preserve"> </w:t>
      </w:r>
      <w:r>
        <w:rPr>
          <w:rFonts w:ascii="Arial" w:hAnsi="Arial" w:cs="Arial"/>
          <w:sz w:val="24"/>
          <w:szCs w:val="24"/>
        </w:rPr>
        <w:t>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diez de abril de dos mil diecinueve (10/04/2019),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 xml:space="preserve">en el que conceda la devolución de los descuentos solicitados por la actora, únicamente comprendidos del periodo de abril de </w:t>
      </w:r>
      <w:r>
        <w:rPr>
          <w:rFonts w:ascii="Arial" w:hAnsi="Arial" w:cs="Arial"/>
          <w:sz w:val="24"/>
          <w:szCs w:val="24"/>
        </w:rPr>
        <w:lastRenderedPageBreak/>
        <w:t xml:space="preserve">dos mil dieciséis a marzo de dos mil diecinueve; lo anterior en términos precisados en el considerando SEXTO de esta resolución. - - - - - </w:t>
      </w:r>
      <w:r w:rsidR="00433165">
        <w:rPr>
          <w:rFonts w:ascii="Arial" w:hAnsi="Arial" w:cs="Arial"/>
          <w:sz w:val="24"/>
          <w:szCs w:val="24"/>
        </w:rPr>
        <w:t xml:space="preserve">- - </w:t>
      </w:r>
      <w:r w:rsidR="00B112D6">
        <w:rPr>
          <w:rFonts w:ascii="Arial" w:hAnsi="Arial" w:cs="Arial"/>
          <w:sz w:val="24"/>
          <w:szCs w:val="24"/>
        </w:rPr>
        <w:t>- - - - - - -</w:t>
      </w:r>
    </w:p>
    <w:p w:rsidR="00892DFC" w:rsidRDefault="00892DFC" w:rsidP="00892DF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48608F" w:rsidRPr="00712385" w:rsidRDefault="00892DFC" w:rsidP="00A62F6B">
      <w:pPr>
        <w:spacing w:line="360" w:lineRule="auto"/>
        <w:ind w:firstLine="708"/>
        <w:jc w:val="both"/>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xml:space="preserve">,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w:t>
      </w:r>
      <w:r w:rsidRPr="00A62F6B">
        <w:rPr>
          <w:rFonts w:ascii="Arial" w:hAnsi="Arial" w:cs="Arial"/>
          <w:szCs w:val="24"/>
        </w:rPr>
        <w:t>GARCÍA</w:t>
      </w:r>
      <w:r>
        <w:rPr>
          <w:rFonts w:ascii="Arial" w:hAnsi="Arial" w:cs="Arial"/>
          <w:sz w:val="24"/>
          <w:szCs w:val="24"/>
        </w:rPr>
        <w:t>,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E92C26">
        <w:rPr>
          <w:rFonts w:ascii="Arial" w:hAnsi="Arial" w:cs="Arial"/>
          <w:sz w:val="24"/>
          <w:szCs w:val="24"/>
        </w:rPr>
        <w:t xml:space="preserve">- - - - - - - - </w:t>
      </w:r>
    </w:p>
    <w:sectPr w:rsidR="0048608F" w:rsidRPr="00712385" w:rsidSect="00AE7B00">
      <w:headerReference w:type="even" r:id="rId7"/>
      <w:headerReference w:type="default" r:id="rId8"/>
      <w:footerReference w:type="default" r:id="rId9"/>
      <w:headerReference w:type="first" r:id="rId10"/>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063" w:rsidRDefault="00414063" w:rsidP="007A5B5E">
      <w:pPr>
        <w:spacing w:after="0" w:line="240" w:lineRule="auto"/>
      </w:pPr>
      <w:r>
        <w:separator/>
      </w:r>
    </w:p>
  </w:endnote>
  <w:endnote w:type="continuationSeparator" w:id="0">
    <w:p w:rsidR="00414063" w:rsidRDefault="0041406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879242888"/>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4656" behindDoc="0" locked="0" layoutInCell="1" allowOverlap="1" wp14:anchorId="3DC0BA8B" wp14:editId="25C1498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C1239" w:rsidRPr="00BC1239">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0BA8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C1239" w:rsidRPr="00BC1239">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063" w:rsidRDefault="00414063" w:rsidP="007A5B5E">
      <w:pPr>
        <w:spacing w:after="0" w:line="240" w:lineRule="auto"/>
      </w:pPr>
      <w:r>
        <w:separator/>
      </w:r>
    </w:p>
  </w:footnote>
  <w:footnote w:type="continuationSeparator" w:id="0">
    <w:p w:rsidR="00414063" w:rsidRDefault="00414063" w:rsidP="007A5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C123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C532091" wp14:editId="2C154B12">
              <wp:simplePos x="0" y="0"/>
              <wp:positionH relativeFrom="column">
                <wp:posOffset>-1087821</wp:posOffset>
              </wp:positionH>
              <wp:positionV relativeFrom="paragraph">
                <wp:posOffset>4491596</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C1239" w:rsidRDefault="00BC1239" w:rsidP="00BC123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32091" id="_x0000_t202" coordsize="21600,21600" o:spt="202" path="m,l,21600r21600,l21600,xe">
              <v:stroke joinstyle="miter"/>
              <v:path gradientshapeok="t" o:connecttype="rect"/>
            </v:shapetype>
            <v:shape id="Cuadro de texto 4" o:spid="_x0000_s1026" type="#_x0000_t202" style="position:absolute;margin-left:-85.65pt;margin-top:353.6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">
              <v:textbox>
                <w:txbxContent>
                  <w:p w:rsidR="00BC1239" w:rsidRDefault="00BC1239" w:rsidP="00BC123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568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0107E957" wp14:editId="278F653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330BCD0F" wp14:editId="66C6973B">
                                <wp:extent cx="1118870" cy="974725"/>
                                <wp:effectExtent l="0" t="0" r="0" b="0"/>
                                <wp:docPr id="16" name="Imagen 1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07E957"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330BCD0F" wp14:editId="66C6973B">
                          <wp:extent cx="1118870" cy="974725"/>
                          <wp:effectExtent l="0" t="0" r="0" b="0"/>
                          <wp:docPr id="16" name="Imagen 1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12385">
      <w:rPr>
        <w:rFonts w:ascii="Bookman Old Style" w:hAnsi="Bookman Old Style"/>
        <w:b/>
        <w:sz w:val="24"/>
        <w:szCs w:val="24"/>
      </w:rPr>
      <w:t>059</w:t>
    </w:r>
    <w:r w:rsidRPr="00391F24">
      <w:rPr>
        <w:rFonts w:ascii="Bookman Old Style" w:hAnsi="Bookman Old Style"/>
        <w:b/>
        <w:sz w:val="24"/>
        <w:szCs w:val="24"/>
      </w:rPr>
      <w:t>/</w:t>
    </w:r>
    <w:r w:rsidRPr="002F2D7B">
      <w:rPr>
        <w:rFonts w:ascii="Bookman Old Style" w:hAnsi="Bookman Old Style"/>
        <w:b/>
        <w:sz w:val="24"/>
        <w:szCs w:val="24"/>
      </w:rPr>
      <w:t>201</w:t>
    </w:r>
    <w:r w:rsidR="00FF5557">
      <w:rPr>
        <w:rFonts w:ascii="Bookman Old Style" w:hAnsi="Bookman Old Style"/>
        <w:b/>
        <w:sz w:val="24"/>
        <w:szCs w:val="24"/>
      </w:rPr>
      <w:t>9</w:t>
    </w:r>
  </w:p>
  <w:p w:rsidR="00A4373C" w:rsidRPr="00071C38" w:rsidRDefault="00AE7B00"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1A993455" wp14:editId="0279602E">
              <wp:simplePos x="0" y="0"/>
              <wp:positionH relativeFrom="column">
                <wp:posOffset>-1158949</wp:posOffset>
              </wp:positionH>
              <wp:positionV relativeFrom="paragraph">
                <wp:posOffset>3928287</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E7B00" w:rsidRDefault="00AE7B00" w:rsidP="00AE7B0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93455" id="Cuadro de texto 3" o:spid="_x0000_s1028" type="#_x0000_t202" style="position:absolute;left:0;text-align:left;margin-left:-91.25pt;margin-top:309.3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">
              <v:textbox>
                <w:txbxContent>
                  <w:p w:rsidR="00AE7B00" w:rsidRDefault="00AE7B00" w:rsidP="00AE7B0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752" behindDoc="1" locked="0" layoutInCell="1" allowOverlap="1" wp14:anchorId="6534D838" wp14:editId="3757C8D7">
          <wp:simplePos x="0" y="0"/>
          <wp:positionH relativeFrom="column">
            <wp:posOffset>-30480</wp:posOffset>
          </wp:positionH>
          <wp:positionV relativeFrom="paragraph">
            <wp:posOffset>3049270</wp:posOffset>
          </wp:positionV>
          <wp:extent cx="5257800" cy="4533900"/>
          <wp:effectExtent l="0" t="0" r="0" b="0"/>
          <wp:wrapNone/>
          <wp:docPr id="15" name="Imagen 15"/>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C1239">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40"/>
    <w:rsid w:val="00010528"/>
    <w:rsid w:val="000125A9"/>
    <w:rsid w:val="00012762"/>
    <w:rsid w:val="00022D97"/>
    <w:rsid w:val="00023964"/>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07FD"/>
    <w:rsid w:val="000B41EC"/>
    <w:rsid w:val="000C2D07"/>
    <w:rsid w:val="000C5936"/>
    <w:rsid w:val="000C5A57"/>
    <w:rsid w:val="000D04A2"/>
    <w:rsid w:val="000D332F"/>
    <w:rsid w:val="000D7002"/>
    <w:rsid w:val="000F2A5A"/>
    <w:rsid w:val="000F682D"/>
    <w:rsid w:val="0010130E"/>
    <w:rsid w:val="0010171D"/>
    <w:rsid w:val="00102428"/>
    <w:rsid w:val="00103E7F"/>
    <w:rsid w:val="001062D2"/>
    <w:rsid w:val="001130B3"/>
    <w:rsid w:val="0011343F"/>
    <w:rsid w:val="001138F8"/>
    <w:rsid w:val="00117886"/>
    <w:rsid w:val="00121484"/>
    <w:rsid w:val="00122AEF"/>
    <w:rsid w:val="00124E09"/>
    <w:rsid w:val="00125E31"/>
    <w:rsid w:val="001323F3"/>
    <w:rsid w:val="00132D25"/>
    <w:rsid w:val="00150601"/>
    <w:rsid w:val="00150787"/>
    <w:rsid w:val="00160942"/>
    <w:rsid w:val="00164320"/>
    <w:rsid w:val="00165097"/>
    <w:rsid w:val="0016706C"/>
    <w:rsid w:val="0017521A"/>
    <w:rsid w:val="00185A8C"/>
    <w:rsid w:val="0019193E"/>
    <w:rsid w:val="001A273D"/>
    <w:rsid w:val="001A3488"/>
    <w:rsid w:val="001A420D"/>
    <w:rsid w:val="001B0015"/>
    <w:rsid w:val="001B2D5E"/>
    <w:rsid w:val="001B31AA"/>
    <w:rsid w:val="001B3EDE"/>
    <w:rsid w:val="001C0488"/>
    <w:rsid w:val="001C581E"/>
    <w:rsid w:val="001D595D"/>
    <w:rsid w:val="001D7D72"/>
    <w:rsid w:val="001F614B"/>
    <w:rsid w:val="002019F1"/>
    <w:rsid w:val="00212E56"/>
    <w:rsid w:val="00225794"/>
    <w:rsid w:val="002273C1"/>
    <w:rsid w:val="00227673"/>
    <w:rsid w:val="00227B0E"/>
    <w:rsid w:val="00231BB4"/>
    <w:rsid w:val="00236E8E"/>
    <w:rsid w:val="00237BFA"/>
    <w:rsid w:val="00242030"/>
    <w:rsid w:val="002476D8"/>
    <w:rsid w:val="00256213"/>
    <w:rsid w:val="00264419"/>
    <w:rsid w:val="00266D60"/>
    <w:rsid w:val="00273025"/>
    <w:rsid w:val="00274840"/>
    <w:rsid w:val="00277F55"/>
    <w:rsid w:val="00282C25"/>
    <w:rsid w:val="0028642F"/>
    <w:rsid w:val="00287BAF"/>
    <w:rsid w:val="002A1A88"/>
    <w:rsid w:val="002A70E2"/>
    <w:rsid w:val="002B0A11"/>
    <w:rsid w:val="002B1091"/>
    <w:rsid w:val="002C3F59"/>
    <w:rsid w:val="002D049B"/>
    <w:rsid w:val="002D1C5C"/>
    <w:rsid w:val="002D50CB"/>
    <w:rsid w:val="002D74E8"/>
    <w:rsid w:val="002E0A6B"/>
    <w:rsid w:val="002E2768"/>
    <w:rsid w:val="002E45CD"/>
    <w:rsid w:val="002E6E36"/>
    <w:rsid w:val="002F0DE0"/>
    <w:rsid w:val="002F510D"/>
    <w:rsid w:val="002F7E67"/>
    <w:rsid w:val="00301981"/>
    <w:rsid w:val="00314069"/>
    <w:rsid w:val="0032191E"/>
    <w:rsid w:val="00322052"/>
    <w:rsid w:val="003232EF"/>
    <w:rsid w:val="00324531"/>
    <w:rsid w:val="00334280"/>
    <w:rsid w:val="0034172C"/>
    <w:rsid w:val="00343973"/>
    <w:rsid w:val="0034623D"/>
    <w:rsid w:val="003605D0"/>
    <w:rsid w:val="00362621"/>
    <w:rsid w:val="00362B10"/>
    <w:rsid w:val="00362B9F"/>
    <w:rsid w:val="0036559B"/>
    <w:rsid w:val="00367CD8"/>
    <w:rsid w:val="00372164"/>
    <w:rsid w:val="00372348"/>
    <w:rsid w:val="003739C0"/>
    <w:rsid w:val="00375885"/>
    <w:rsid w:val="00375B6F"/>
    <w:rsid w:val="0037735A"/>
    <w:rsid w:val="00380CF1"/>
    <w:rsid w:val="00387429"/>
    <w:rsid w:val="00387F33"/>
    <w:rsid w:val="00391F24"/>
    <w:rsid w:val="00393A57"/>
    <w:rsid w:val="003964CE"/>
    <w:rsid w:val="003A4548"/>
    <w:rsid w:val="003A766C"/>
    <w:rsid w:val="003B1785"/>
    <w:rsid w:val="003B3C3C"/>
    <w:rsid w:val="003C5391"/>
    <w:rsid w:val="003D6CD9"/>
    <w:rsid w:val="003E104E"/>
    <w:rsid w:val="003E525F"/>
    <w:rsid w:val="003E6BD1"/>
    <w:rsid w:val="003F5F1A"/>
    <w:rsid w:val="003F7AB5"/>
    <w:rsid w:val="00402CA6"/>
    <w:rsid w:val="00404DAF"/>
    <w:rsid w:val="00406864"/>
    <w:rsid w:val="00407214"/>
    <w:rsid w:val="00410E1D"/>
    <w:rsid w:val="00412725"/>
    <w:rsid w:val="00413B0F"/>
    <w:rsid w:val="00414063"/>
    <w:rsid w:val="00420019"/>
    <w:rsid w:val="00427547"/>
    <w:rsid w:val="00431451"/>
    <w:rsid w:val="004319A5"/>
    <w:rsid w:val="00433165"/>
    <w:rsid w:val="00433354"/>
    <w:rsid w:val="00433706"/>
    <w:rsid w:val="00433716"/>
    <w:rsid w:val="00434450"/>
    <w:rsid w:val="00434D4A"/>
    <w:rsid w:val="00440D9A"/>
    <w:rsid w:val="00440DC5"/>
    <w:rsid w:val="00446EFB"/>
    <w:rsid w:val="00454AEC"/>
    <w:rsid w:val="004667D8"/>
    <w:rsid w:val="00473912"/>
    <w:rsid w:val="00475A77"/>
    <w:rsid w:val="00476B56"/>
    <w:rsid w:val="00476F7D"/>
    <w:rsid w:val="00477E8D"/>
    <w:rsid w:val="004847B0"/>
    <w:rsid w:val="00485500"/>
    <w:rsid w:val="0048552C"/>
    <w:rsid w:val="0048608F"/>
    <w:rsid w:val="004A2FE5"/>
    <w:rsid w:val="004B074C"/>
    <w:rsid w:val="004B524C"/>
    <w:rsid w:val="004B768F"/>
    <w:rsid w:val="004C1605"/>
    <w:rsid w:val="004D3942"/>
    <w:rsid w:val="004D6981"/>
    <w:rsid w:val="004D7A34"/>
    <w:rsid w:val="004F162F"/>
    <w:rsid w:val="004F3102"/>
    <w:rsid w:val="004F74B5"/>
    <w:rsid w:val="00502478"/>
    <w:rsid w:val="00502589"/>
    <w:rsid w:val="00502D4F"/>
    <w:rsid w:val="00504FCD"/>
    <w:rsid w:val="005221FE"/>
    <w:rsid w:val="00522A4F"/>
    <w:rsid w:val="00524EF5"/>
    <w:rsid w:val="00533998"/>
    <w:rsid w:val="005401D7"/>
    <w:rsid w:val="00542573"/>
    <w:rsid w:val="00544394"/>
    <w:rsid w:val="00553A79"/>
    <w:rsid w:val="00555EC8"/>
    <w:rsid w:val="00560D8C"/>
    <w:rsid w:val="005650AD"/>
    <w:rsid w:val="00566511"/>
    <w:rsid w:val="00571121"/>
    <w:rsid w:val="00572C64"/>
    <w:rsid w:val="00572CDE"/>
    <w:rsid w:val="00574B94"/>
    <w:rsid w:val="00580EEB"/>
    <w:rsid w:val="0058166F"/>
    <w:rsid w:val="0058281B"/>
    <w:rsid w:val="0059235B"/>
    <w:rsid w:val="00594EC0"/>
    <w:rsid w:val="005A7099"/>
    <w:rsid w:val="005A776C"/>
    <w:rsid w:val="005A7853"/>
    <w:rsid w:val="005B1B32"/>
    <w:rsid w:val="005B211C"/>
    <w:rsid w:val="005B3800"/>
    <w:rsid w:val="005B6473"/>
    <w:rsid w:val="005C4441"/>
    <w:rsid w:val="005C5DF2"/>
    <w:rsid w:val="005E1297"/>
    <w:rsid w:val="005E1383"/>
    <w:rsid w:val="005E583E"/>
    <w:rsid w:val="00604785"/>
    <w:rsid w:val="006050EC"/>
    <w:rsid w:val="00605FD1"/>
    <w:rsid w:val="00606A66"/>
    <w:rsid w:val="006133B7"/>
    <w:rsid w:val="006179D5"/>
    <w:rsid w:val="006224F4"/>
    <w:rsid w:val="00627280"/>
    <w:rsid w:val="00631E6F"/>
    <w:rsid w:val="00633B84"/>
    <w:rsid w:val="0063702E"/>
    <w:rsid w:val="00640240"/>
    <w:rsid w:val="006406B1"/>
    <w:rsid w:val="00641999"/>
    <w:rsid w:val="00644003"/>
    <w:rsid w:val="006532CE"/>
    <w:rsid w:val="006532EB"/>
    <w:rsid w:val="00662CA9"/>
    <w:rsid w:val="006635AF"/>
    <w:rsid w:val="00665C49"/>
    <w:rsid w:val="006663FA"/>
    <w:rsid w:val="00667494"/>
    <w:rsid w:val="006675F6"/>
    <w:rsid w:val="00671276"/>
    <w:rsid w:val="006715DA"/>
    <w:rsid w:val="006720CF"/>
    <w:rsid w:val="00674769"/>
    <w:rsid w:val="00674CC7"/>
    <w:rsid w:val="00680A5D"/>
    <w:rsid w:val="006A11E3"/>
    <w:rsid w:val="006A1E8F"/>
    <w:rsid w:val="006A28D2"/>
    <w:rsid w:val="006A673B"/>
    <w:rsid w:val="006A6B10"/>
    <w:rsid w:val="006B2F9C"/>
    <w:rsid w:val="006B5994"/>
    <w:rsid w:val="006B5E0A"/>
    <w:rsid w:val="006C1E72"/>
    <w:rsid w:val="006C74D9"/>
    <w:rsid w:val="006D0360"/>
    <w:rsid w:val="006D192F"/>
    <w:rsid w:val="006D317A"/>
    <w:rsid w:val="006D6A52"/>
    <w:rsid w:val="006E0198"/>
    <w:rsid w:val="006E10CA"/>
    <w:rsid w:val="006E1531"/>
    <w:rsid w:val="006E5138"/>
    <w:rsid w:val="006F0A48"/>
    <w:rsid w:val="006F51F4"/>
    <w:rsid w:val="006F5239"/>
    <w:rsid w:val="00712385"/>
    <w:rsid w:val="0071474B"/>
    <w:rsid w:val="00714E8F"/>
    <w:rsid w:val="0071537A"/>
    <w:rsid w:val="00720446"/>
    <w:rsid w:val="007236AF"/>
    <w:rsid w:val="00723AAA"/>
    <w:rsid w:val="007312A2"/>
    <w:rsid w:val="00755D85"/>
    <w:rsid w:val="00766AB5"/>
    <w:rsid w:val="0076779D"/>
    <w:rsid w:val="00767994"/>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B52B6"/>
    <w:rsid w:val="007C6008"/>
    <w:rsid w:val="007C6B9D"/>
    <w:rsid w:val="007C6EFA"/>
    <w:rsid w:val="007D2A83"/>
    <w:rsid w:val="007D55ED"/>
    <w:rsid w:val="007E2943"/>
    <w:rsid w:val="007E41A0"/>
    <w:rsid w:val="007E51B4"/>
    <w:rsid w:val="007E66DC"/>
    <w:rsid w:val="007F0760"/>
    <w:rsid w:val="007F2831"/>
    <w:rsid w:val="007F60E9"/>
    <w:rsid w:val="00803A11"/>
    <w:rsid w:val="008144D8"/>
    <w:rsid w:val="00814D65"/>
    <w:rsid w:val="00820232"/>
    <w:rsid w:val="0082288F"/>
    <w:rsid w:val="00836BB6"/>
    <w:rsid w:val="00836D84"/>
    <w:rsid w:val="00846D5B"/>
    <w:rsid w:val="00850F70"/>
    <w:rsid w:val="00851860"/>
    <w:rsid w:val="00854294"/>
    <w:rsid w:val="00863FE3"/>
    <w:rsid w:val="008846DD"/>
    <w:rsid w:val="00890C8B"/>
    <w:rsid w:val="008911C8"/>
    <w:rsid w:val="00892DFC"/>
    <w:rsid w:val="00896F1B"/>
    <w:rsid w:val="008973C3"/>
    <w:rsid w:val="008A0DB8"/>
    <w:rsid w:val="008A4EBD"/>
    <w:rsid w:val="008B4928"/>
    <w:rsid w:val="008D17E8"/>
    <w:rsid w:val="008D2F2D"/>
    <w:rsid w:val="008D3C56"/>
    <w:rsid w:val="008E6337"/>
    <w:rsid w:val="008E656B"/>
    <w:rsid w:val="008F378D"/>
    <w:rsid w:val="008F4675"/>
    <w:rsid w:val="008F4EA9"/>
    <w:rsid w:val="008F7982"/>
    <w:rsid w:val="0090118B"/>
    <w:rsid w:val="009015F9"/>
    <w:rsid w:val="009032BC"/>
    <w:rsid w:val="00904443"/>
    <w:rsid w:val="0090463C"/>
    <w:rsid w:val="00911186"/>
    <w:rsid w:val="00913A5B"/>
    <w:rsid w:val="009151E7"/>
    <w:rsid w:val="009156C4"/>
    <w:rsid w:val="009178C8"/>
    <w:rsid w:val="0092037B"/>
    <w:rsid w:val="0093030F"/>
    <w:rsid w:val="0093147D"/>
    <w:rsid w:val="0093785B"/>
    <w:rsid w:val="00944386"/>
    <w:rsid w:val="00953189"/>
    <w:rsid w:val="009575F5"/>
    <w:rsid w:val="00974D6A"/>
    <w:rsid w:val="009963CC"/>
    <w:rsid w:val="009963D8"/>
    <w:rsid w:val="009972DA"/>
    <w:rsid w:val="009A10C0"/>
    <w:rsid w:val="009A23EA"/>
    <w:rsid w:val="009A2E9C"/>
    <w:rsid w:val="009A3359"/>
    <w:rsid w:val="009B3A19"/>
    <w:rsid w:val="009B7578"/>
    <w:rsid w:val="009B7B93"/>
    <w:rsid w:val="009C5CBD"/>
    <w:rsid w:val="009C5F23"/>
    <w:rsid w:val="009C6EA1"/>
    <w:rsid w:val="009D23D6"/>
    <w:rsid w:val="009D6D39"/>
    <w:rsid w:val="009F2123"/>
    <w:rsid w:val="00A057F6"/>
    <w:rsid w:val="00A068EB"/>
    <w:rsid w:val="00A13F37"/>
    <w:rsid w:val="00A17ABB"/>
    <w:rsid w:val="00A206A3"/>
    <w:rsid w:val="00A3160F"/>
    <w:rsid w:val="00A357D2"/>
    <w:rsid w:val="00A371D5"/>
    <w:rsid w:val="00A375E9"/>
    <w:rsid w:val="00A377F9"/>
    <w:rsid w:val="00A44239"/>
    <w:rsid w:val="00A47699"/>
    <w:rsid w:val="00A51258"/>
    <w:rsid w:val="00A56A2F"/>
    <w:rsid w:val="00A57E36"/>
    <w:rsid w:val="00A62F6B"/>
    <w:rsid w:val="00A811AE"/>
    <w:rsid w:val="00A879E4"/>
    <w:rsid w:val="00A917BE"/>
    <w:rsid w:val="00A968B7"/>
    <w:rsid w:val="00AA2CEE"/>
    <w:rsid w:val="00AA4103"/>
    <w:rsid w:val="00AA5AA1"/>
    <w:rsid w:val="00AA62AE"/>
    <w:rsid w:val="00AA6641"/>
    <w:rsid w:val="00AA7145"/>
    <w:rsid w:val="00AB1630"/>
    <w:rsid w:val="00AB5C18"/>
    <w:rsid w:val="00AC05A6"/>
    <w:rsid w:val="00AE7B00"/>
    <w:rsid w:val="00AF5B34"/>
    <w:rsid w:val="00B00359"/>
    <w:rsid w:val="00B044C2"/>
    <w:rsid w:val="00B112D6"/>
    <w:rsid w:val="00B11332"/>
    <w:rsid w:val="00B22B25"/>
    <w:rsid w:val="00B22DC7"/>
    <w:rsid w:val="00B254E4"/>
    <w:rsid w:val="00B27604"/>
    <w:rsid w:val="00B37BED"/>
    <w:rsid w:val="00B438E5"/>
    <w:rsid w:val="00B4639E"/>
    <w:rsid w:val="00B46E86"/>
    <w:rsid w:val="00B53C8F"/>
    <w:rsid w:val="00B61077"/>
    <w:rsid w:val="00B61428"/>
    <w:rsid w:val="00B7407D"/>
    <w:rsid w:val="00B81C77"/>
    <w:rsid w:val="00B86059"/>
    <w:rsid w:val="00B94C99"/>
    <w:rsid w:val="00BA251A"/>
    <w:rsid w:val="00BB4F0B"/>
    <w:rsid w:val="00BB549B"/>
    <w:rsid w:val="00BC1239"/>
    <w:rsid w:val="00BC5D03"/>
    <w:rsid w:val="00BC66EB"/>
    <w:rsid w:val="00BD0DA4"/>
    <w:rsid w:val="00BE1DD4"/>
    <w:rsid w:val="00BE26D9"/>
    <w:rsid w:val="00BE3865"/>
    <w:rsid w:val="00BF2E0E"/>
    <w:rsid w:val="00C046EC"/>
    <w:rsid w:val="00C15DB6"/>
    <w:rsid w:val="00C201E1"/>
    <w:rsid w:val="00C20B6F"/>
    <w:rsid w:val="00C3005E"/>
    <w:rsid w:val="00C33CED"/>
    <w:rsid w:val="00C349DF"/>
    <w:rsid w:val="00C37DF5"/>
    <w:rsid w:val="00C41270"/>
    <w:rsid w:val="00C44DDE"/>
    <w:rsid w:val="00C50828"/>
    <w:rsid w:val="00C519F2"/>
    <w:rsid w:val="00C56B89"/>
    <w:rsid w:val="00C65839"/>
    <w:rsid w:val="00C67280"/>
    <w:rsid w:val="00C7097E"/>
    <w:rsid w:val="00C753F3"/>
    <w:rsid w:val="00C81E73"/>
    <w:rsid w:val="00C86A96"/>
    <w:rsid w:val="00CA6CA3"/>
    <w:rsid w:val="00CB0191"/>
    <w:rsid w:val="00CB1103"/>
    <w:rsid w:val="00CB466F"/>
    <w:rsid w:val="00CB5CCC"/>
    <w:rsid w:val="00CB7093"/>
    <w:rsid w:val="00CC7806"/>
    <w:rsid w:val="00CD140A"/>
    <w:rsid w:val="00CD3746"/>
    <w:rsid w:val="00CD43CA"/>
    <w:rsid w:val="00CD707F"/>
    <w:rsid w:val="00CE3F0C"/>
    <w:rsid w:val="00D11FEF"/>
    <w:rsid w:val="00D266C0"/>
    <w:rsid w:val="00D300B5"/>
    <w:rsid w:val="00D341B7"/>
    <w:rsid w:val="00D35A3C"/>
    <w:rsid w:val="00D35CB2"/>
    <w:rsid w:val="00D36878"/>
    <w:rsid w:val="00D37F63"/>
    <w:rsid w:val="00D44940"/>
    <w:rsid w:val="00D4537E"/>
    <w:rsid w:val="00D459CC"/>
    <w:rsid w:val="00D5194F"/>
    <w:rsid w:val="00D52AE9"/>
    <w:rsid w:val="00D54B83"/>
    <w:rsid w:val="00D55CA1"/>
    <w:rsid w:val="00D67F35"/>
    <w:rsid w:val="00D80489"/>
    <w:rsid w:val="00D80949"/>
    <w:rsid w:val="00D8282E"/>
    <w:rsid w:val="00D841BC"/>
    <w:rsid w:val="00D8770B"/>
    <w:rsid w:val="00DA2E36"/>
    <w:rsid w:val="00DA3242"/>
    <w:rsid w:val="00DA4281"/>
    <w:rsid w:val="00DB142A"/>
    <w:rsid w:val="00DB4EF2"/>
    <w:rsid w:val="00DC0E04"/>
    <w:rsid w:val="00DC14DE"/>
    <w:rsid w:val="00DC24B5"/>
    <w:rsid w:val="00DD3263"/>
    <w:rsid w:val="00DE04F5"/>
    <w:rsid w:val="00DE3267"/>
    <w:rsid w:val="00DE782E"/>
    <w:rsid w:val="00DF1654"/>
    <w:rsid w:val="00DF431D"/>
    <w:rsid w:val="00DF596A"/>
    <w:rsid w:val="00E05E49"/>
    <w:rsid w:val="00E067F5"/>
    <w:rsid w:val="00E27318"/>
    <w:rsid w:val="00E278E3"/>
    <w:rsid w:val="00E3025F"/>
    <w:rsid w:val="00E355F4"/>
    <w:rsid w:val="00E42523"/>
    <w:rsid w:val="00E452E5"/>
    <w:rsid w:val="00E5122D"/>
    <w:rsid w:val="00E5150B"/>
    <w:rsid w:val="00E551C5"/>
    <w:rsid w:val="00E578BA"/>
    <w:rsid w:val="00E619E9"/>
    <w:rsid w:val="00E70AF2"/>
    <w:rsid w:val="00E764E3"/>
    <w:rsid w:val="00E76510"/>
    <w:rsid w:val="00E81939"/>
    <w:rsid w:val="00E84BC5"/>
    <w:rsid w:val="00E90C31"/>
    <w:rsid w:val="00E91751"/>
    <w:rsid w:val="00E92C26"/>
    <w:rsid w:val="00E9337C"/>
    <w:rsid w:val="00EA2229"/>
    <w:rsid w:val="00EA5B8C"/>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5C13"/>
    <w:rsid w:val="00F85E9E"/>
    <w:rsid w:val="00F869F5"/>
    <w:rsid w:val="00F90D7B"/>
    <w:rsid w:val="00F9203A"/>
    <w:rsid w:val="00F965D8"/>
    <w:rsid w:val="00F969CE"/>
    <w:rsid w:val="00FA2DE8"/>
    <w:rsid w:val="00FC45EE"/>
    <w:rsid w:val="00FC47E6"/>
    <w:rsid w:val="00FC4F6A"/>
    <w:rsid w:val="00FD3085"/>
    <w:rsid w:val="00FD3894"/>
    <w:rsid w:val="00FE2437"/>
    <w:rsid w:val="00FE4859"/>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85E6884-8C87-4DD4-904E-7D312357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68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10</Pages>
  <Words>3527</Words>
  <Characters>19404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533</cp:revision>
  <cp:lastPrinted>2020-07-29T15:20:00Z</cp:lastPrinted>
  <dcterms:created xsi:type="dcterms:W3CDTF">2019-07-08T16:38:00Z</dcterms:created>
  <dcterms:modified xsi:type="dcterms:W3CDTF">2021-02-15T16:27:00Z</dcterms:modified>
</cp:coreProperties>
</file>