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829EC" w14:textId="77777777" w:rsidR="007C7A1C" w:rsidRPr="00512412" w:rsidRDefault="007C7A1C" w:rsidP="00E51C1F">
      <w:pPr>
        <w:numPr>
          <w:ilvl w:val="1"/>
          <w:numId w:val="0"/>
        </w:numPr>
        <w:spacing w:after="160" w:line="360" w:lineRule="auto"/>
        <w:jc w:val="center"/>
        <w:rPr>
          <w:rFonts w:ascii="Arial" w:eastAsia="Times New Roman" w:hAnsi="Arial" w:cs="Arial"/>
          <w:b/>
          <w:bCs/>
          <w:color w:val="000000"/>
          <w:spacing w:val="15"/>
          <w:sz w:val="24"/>
          <w:szCs w:val="24"/>
          <w:lang w:eastAsia="en-US"/>
        </w:rPr>
      </w:pPr>
      <w:r w:rsidRPr="00512412">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F3D2D5C" w14:textId="77777777" w:rsidR="007C7A1C" w:rsidRPr="00512412" w:rsidRDefault="007C7A1C" w:rsidP="00E51C1F">
      <w:pPr>
        <w:tabs>
          <w:tab w:val="left" w:pos="6480"/>
        </w:tabs>
        <w:spacing w:after="160" w:line="360" w:lineRule="auto"/>
        <w:jc w:val="right"/>
        <w:rPr>
          <w:rFonts w:ascii="Calibri" w:eastAsia="Calibri" w:hAnsi="Calibri" w:cs="Times New Roman"/>
          <w:sz w:val="24"/>
          <w:szCs w:val="24"/>
          <w:lang w:eastAsia="en-US"/>
        </w:rPr>
      </w:pPr>
    </w:p>
    <w:p w14:paraId="3901E82E" w14:textId="2670EE0B" w:rsidR="007C7A1C" w:rsidRPr="00512412" w:rsidRDefault="007C7A1C" w:rsidP="00E51C1F">
      <w:pPr>
        <w:spacing w:after="160" w:line="360" w:lineRule="auto"/>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Oaxaca de Juárez, Oaxaca, </w:t>
      </w:r>
      <w:r w:rsidR="00AB2536">
        <w:rPr>
          <w:rFonts w:ascii="Arial" w:eastAsia="Calibri" w:hAnsi="Arial" w:cs="Arial"/>
          <w:b/>
          <w:bCs/>
          <w:sz w:val="24"/>
          <w:szCs w:val="24"/>
          <w:lang w:eastAsia="en-US"/>
        </w:rPr>
        <w:t>28 de abril de 2023</w:t>
      </w:r>
      <w:r w:rsidRPr="00512412">
        <w:rPr>
          <w:rFonts w:ascii="Arial" w:eastAsia="Calibri" w:hAnsi="Arial" w:cs="Arial"/>
          <w:b/>
          <w:bCs/>
          <w:sz w:val="24"/>
          <w:szCs w:val="24"/>
          <w:lang w:eastAsia="en-US"/>
        </w:rPr>
        <w:t>.</w:t>
      </w:r>
    </w:p>
    <w:p w14:paraId="19350AAC" w14:textId="77777777" w:rsidR="007C7A1C" w:rsidRPr="00512412" w:rsidRDefault="007C7A1C" w:rsidP="00E51C1F">
      <w:pPr>
        <w:tabs>
          <w:tab w:val="left" w:pos="6480"/>
        </w:tabs>
        <w:spacing w:after="160" w:line="360" w:lineRule="auto"/>
        <w:rPr>
          <w:rFonts w:ascii="Calibri" w:eastAsia="Calibri" w:hAnsi="Calibri" w:cs="Times New Roman"/>
          <w:sz w:val="24"/>
          <w:szCs w:val="24"/>
          <w:lang w:eastAsia="en-US"/>
        </w:rPr>
      </w:pPr>
    </w:p>
    <w:p w14:paraId="22E739C9" w14:textId="77777777" w:rsidR="007C7A1C" w:rsidRPr="00512412" w:rsidRDefault="007C7A1C" w:rsidP="00E51C1F">
      <w:pPr>
        <w:tabs>
          <w:tab w:val="left" w:pos="6480"/>
        </w:tabs>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A S U N T O</w:t>
      </w:r>
    </w:p>
    <w:p w14:paraId="1BA08A92" w14:textId="00CD6941" w:rsidR="007C7A1C" w:rsidRDefault="007C7A1C" w:rsidP="00223C1A">
      <w:pPr>
        <w:tabs>
          <w:tab w:val="left" w:pos="284"/>
          <w:tab w:val="left" w:pos="426"/>
          <w:tab w:val="right" w:pos="9072"/>
        </w:tabs>
        <w:spacing w:after="0" w:line="360" w:lineRule="auto"/>
        <w:ind w:right="49" w:firstLine="567"/>
        <w:jc w:val="both"/>
        <w:rPr>
          <w:rFonts w:ascii="Arial" w:hAnsi="Arial" w:cs="Arial"/>
          <w:b/>
          <w:sz w:val="24"/>
          <w:szCs w:val="24"/>
        </w:rPr>
      </w:pPr>
      <w:r w:rsidRPr="00512412">
        <w:rPr>
          <w:rFonts w:ascii="Arial" w:hAnsi="Arial" w:cs="Arial"/>
          <w:sz w:val="24"/>
          <w:szCs w:val="24"/>
        </w:rPr>
        <w:t xml:space="preserve">Se emite sentencia en el juicio de nulidad de número </w:t>
      </w:r>
      <w:r w:rsidR="00AB2536">
        <w:rPr>
          <w:rFonts w:ascii="Arial" w:hAnsi="Arial" w:cs="Arial"/>
          <w:b/>
          <w:sz w:val="24"/>
          <w:szCs w:val="24"/>
        </w:rPr>
        <w:t>0097</w:t>
      </w:r>
      <w:r w:rsidRPr="00512412">
        <w:rPr>
          <w:rFonts w:ascii="Arial" w:hAnsi="Arial" w:cs="Arial"/>
          <w:b/>
          <w:sz w:val="24"/>
          <w:szCs w:val="24"/>
        </w:rPr>
        <w:t>/20</w:t>
      </w:r>
      <w:r w:rsidR="007751BD">
        <w:rPr>
          <w:rFonts w:ascii="Arial" w:hAnsi="Arial" w:cs="Arial"/>
          <w:b/>
          <w:sz w:val="24"/>
          <w:szCs w:val="24"/>
        </w:rPr>
        <w:t>2</w:t>
      </w:r>
      <w:r w:rsidR="00AB2536">
        <w:rPr>
          <w:rFonts w:ascii="Arial" w:hAnsi="Arial" w:cs="Arial"/>
          <w:b/>
          <w:sz w:val="24"/>
          <w:szCs w:val="24"/>
        </w:rPr>
        <w:t>2</w:t>
      </w:r>
      <w:r w:rsidRPr="00512412">
        <w:rPr>
          <w:rFonts w:ascii="Arial" w:hAnsi="Arial" w:cs="Arial"/>
          <w:sz w:val="24"/>
          <w:szCs w:val="24"/>
        </w:rPr>
        <w:t>, promovido por</w:t>
      </w:r>
      <w:r w:rsidRPr="00512412">
        <w:rPr>
          <w:rFonts w:ascii="Arial" w:hAnsi="Arial" w:cs="Arial"/>
          <w:b/>
          <w:sz w:val="24"/>
          <w:szCs w:val="24"/>
        </w:rPr>
        <w:t xml:space="preserve"> </w:t>
      </w:r>
      <w:r w:rsidR="005F6587">
        <w:rPr>
          <w:rFonts w:ascii="Arial" w:hAnsi="Arial" w:cs="Arial"/>
          <w:b/>
          <w:sz w:val="24"/>
          <w:szCs w:val="24"/>
        </w:rPr>
        <w:t>**********</w:t>
      </w:r>
      <w:r w:rsidR="00CA378A">
        <w:rPr>
          <w:rFonts w:ascii="Arial" w:hAnsi="Arial" w:cs="Arial"/>
          <w:b/>
          <w:sz w:val="24"/>
          <w:szCs w:val="24"/>
        </w:rPr>
        <w:tab/>
      </w:r>
      <w:r w:rsidR="007751BD">
        <w:rPr>
          <w:rFonts w:ascii="Arial" w:hAnsi="Arial" w:cs="Arial"/>
          <w:b/>
          <w:sz w:val="24"/>
          <w:szCs w:val="24"/>
        </w:rPr>
        <w:t xml:space="preserve"> </w:t>
      </w:r>
      <w:r w:rsidRPr="00512412">
        <w:rPr>
          <w:rFonts w:ascii="Arial" w:hAnsi="Arial" w:cs="Arial"/>
          <w:sz w:val="24"/>
          <w:szCs w:val="24"/>
        </w:rPr>
        <w:t>en</w:t>
      </w:r>
      <w:r w:rsidR="00AB2536">
        <w:rPr>
          <w:rFonts w:ascii="Arial" w:hAnsi="Arial" w:cs="Arial"/>
          <w:sz w:val="24"/>
          <w:szCs w:val="24"/>
        </w:rPr>
        <w:t xml:space="preserve"> </w:t>
      </w:r>
      <w:r w:rsidRPr="00512412">
        <w:rPr>
          <w:rFonts w:ascii="Arial" w:hAnsi="Arial" w:cs="Arial"/>
          <w:sz w:val="24"/>
          <w:szCs w:val="24"/>
        </w:rPr>
        <w:t>contra de</w:t>
      </w:r>
      <w:r w:rsidR="00253174">
        <w:rPr>
          <w:rFonts w:ascii="Arial" w:hAnsi="Arial" w:cs="Arial"/>
          <w:sz w:val="24"/>
          <w:szCs w:val="24"/>
        </w:rPr>
        <w:t>l</w:t>
      </w:r>
      <w:r w:rsidR="00AB2536">
        <w:rPr>
          <w:rFonts w:ascii="Arial" w:hAnsi="Arial" w:cs="Arial"/>
          <w:sz w:val="24"/>
          <w:szCs w:val="24"/>
        </w:rPr>
        <w:t xml:space="preserve"> </w:t>
      </w:r>
      <w:r w:rsidR="00AB2536">
        <w:rPr>
          <w:rFonts w:ascii="Arial" w:hAnsi="Arial" w:cs="Arial"/>
          <w:b/>
          <w:bCs/>
          <w:sz w:val="24"/>
          <w:szCs w:val="24"/>
        </w:rPr>
        <w:t>POLICÍA VIAL DEL MUNICIPIO DE SANTA CRUZ AMILPAS</w:t>
      </w:r>
      <w:r w:rsidR="00253174">
        <w:rPr>
          <w:rFonts w:ascii="Arial" w:hAnsi="Arial" w:cs="Arial"/>
          <w:b/>
          <w:bCs/>
          <w:sz w:val="24"/>
          <w:szCs w:val="24"/>
        </w:rPr>
        <w:t>, OAXACA</w:t>
      </w:r>
      <w:r w:rsidR="007751BD">
        <w:rPr>
          <w:rFonts w:ascii="Arial" w:hAnsi="Arial" w:cs="Arial"/>
          <w:b/>
          <w:bCs/>
          <w:sz w:val="24"/>
          <w:szCs w:val="24"/>
        </w:rPr>
        <w:t xml:space="preserve">. </w:t>
      </w:r>
      <w:r w:rsidRPr="00512412">
        <w:rPr>
          <w:rFonts w:ascii="Arial" w:hAnsi="Arial" w:cs="Arial"/>
          <w:b/>
          <w:sz w:val="24"/>
          <w:szCs w:val="24"/>
        </w:rPr>
        <w:t xml:space="preserve"> </w:t>
      </w:r>
    </w:p>
    <w:p w14:paraId="475056CC" w14:textId="77777777" w:rsidR="003A730F" w:rsidRDefault="003A730F" w:rsidP="00E51C1F">
      <w:pPr>
        <w:tabs>
          <w:tab w:val="left" w:pos="284"/>
          <w:tab w:val="left" w:pos="426"/>
          <w:tab w:val="right" w:pos="9072"/>
        </w:tabs>
        <w:spacing w:after="0" w:line="360" w:lineRule="auto"/>
        <w:ind w:right="-234" w:firstLine="567"/>
        <w:jc w:val="both"/>
        <w:rPr>
          <w:rFonts w:ascii="Arial" w:hAnsi="Arial" w:cs="Arial"/>
          <w:b/>
          <w:sz w:val="24"/>
          <w:szCs w:val="24"/>
        </w:rPr>
      </w:pPr>
    </w:p>
    <w:p w14:paraId="752A6775" w14:textId="77777777" w:rsidR="003A730F" w:rsidRDefault="003A730F" w:rsidP="00E51C1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R E S U L T A N D O </w:t>
      </w:r>
    </w:p>
    <w:p w14:paraId="0AB94AB2" w14:textId="77777777" w:rsidR="00A86B24" w:rsidRPr="00512412" w:rsidRDefault="00A86B24" w:rsidP="00E51C1F">
      <w:pPr>
        <w:spacing w:after="160" w:line="360" w:lineRule="auto"/>
        <w:jc w:val="center"/>
        <w:rPr>
          <w:rFonts w:ascii="Arial" w:eastAsia="Calibri" w:hAnsi="Arial" w:cs="Arial"/>
          <w:b/>
          <w:bCs/>
          <w:sz w:val="24"/>
          <w:szCs w:val="24"/>
          <w:lang w:eastAsia="en-US"/>
        </w:rPr>
      </w:pPr>
    </w:p>
    <w:p w14:paraId="76CFF56D" w14:textId="6F545445" w:rsidR="003A730F" w:rsidRPr="00512412" w:rsidRDefault="003A730F" w:rsidP="00E51C1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1°.</w:t>
      </w:r>
      <w:r w:rsidRPr="00512412">
        <w:rPr>
          <w:rFonts w:ascii="Arial" w:eastAsia="Calibri" w:hAnsi="Arial" w:cs="Arial"/>
          <w:sz w:val="24"/>
          <w:szCs w:val="24"/>
          <w:lang w:eastAsia="en-US"/>
        </w:rPr>
        <w:t xml:space="preserve"> Mediante escrito presentado </w:t>
      </w:r>
      <w:r>
        <w:rPr>
          <w:rFonts w:ascii="Arial" w:eastAsia="Calibri" w:hAnsi="Arial" w:cs="Arial"/>
          <w:sz w:val="24"/>
          <w:szCs w:val="24"/>
          <w:lang w:eastAsia="en-US"/>
        </w:rPr>
        <w:t xml:space="preserve">el día </w:t>
      </w:r>
      <w:r w:rsidR="00AB2536">
        <w:rPr>
          <w:rFonts w:ascii="Arial" w:eastAsia="Calibri" w:hAnsi="Arial" w:cs="Arial"/>
          <w:sz w:val="24"/>
          <w:szCs w:val="24"/>
          <w:lang w:eastAsia="en-US"/>
        </w:rPr>
        <w:t xml:space="preserve">diecinueve </w:t>
      </w:r>
      <w:r w:rsidR="005A156E">
        <w:rPr>
          <w:rFonts w:ascii="Arial" w:eastAsia="Calibri" w:hAnsi="Arial" w:cs="Arial"/>
          <w:sz w:val="24"/>
          <w:szCs w:val="24"/>
          <w:lang w:eastAsia="en-US"/>
        </w:rPr>
        <w:t xml:space="preserve"> de octubre de dos mil veintidós  la ciudadana </w:t>
      </w:r>
      <w:r w:rsidR="005F6587">
        <w:rPr>
          <w:rFonts w:ascii="Arial" w:eastAsia="Calibri" w:hAnsi="Arial" w:cs="Arial"/>
          <w:sz w:val="24"/>
          <w:szCs w:val="24"/>
          <w:lang w:eastAsia="en-US"/>
        </w:rPr>
        <w:t>**********</w:t>
      </w:r>
      <w:r w:rsidR="005A156E">
        <w:rPr>
          <w:rFonts w:ascii="Arial" w:eastAsia="Calibri" w:hAnsi="Arial" w:cs="Arial"/>
          <w:sz w:val="24"/>
          <w:szCs w:val="24"/>
          <w:lang w:eastAsia="en-US"/>
        </w:rPr>
        <w:t xml:space="preserve">, solicitó la nulidad </w:t>
      </w:r>
      <w:r w:rsidR="00AB2536">
        <w:rPr>
          <w:rFonts w:ascii="Arial" w:eastAsia="Calibri" w:hAnsi="Arial" w:cs="Arial"/>
          <w:sz w:val="24"/>
          <w:szCs w:val="24"/>
          <w:lang w:eastAsia="en-US"/>
        </w:rPr>
        <w:t xml:space="preserve">del acta de infracción con número de folio </w:t>
      </w:r>
      <w:r w:rsidR="005F6587">
        <w:rPr>
          <w:rFonts w:ascii="Arial" w:eastAsia="Calibri" w:hAnsi="Arial" w:cs="Arial"/>
          <w:sz w:val="24"/>
          <w:szCs w:val="24"/>
          <w:lang w:eastAsia="en-US"/>
        </w:rPr>
        <w:t>**********</w:t>
      </w:r>
      <w:r w:rsidR="00AB2536">
        <w:rPr>
          <w:rFonts w:ascii="Arial" w:eastAsia="Calibri" w:hAnsi="Arial" w:cs="Arial"/>
          <w:sz w:val="24"/>
          <w:szCs w:val="24"/>
          <w:lang w:eastAsia="en-US"/>
        </w:rPr>
        <w:t xml:space="preserve"> de fecha uno de octubre de dos mil veintidós</w:t>
      </w:r>
      <w:r w:rsidRPr="00512412">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2307559A" w14:textId="2071A533" w:rsidR="003A730F" w:rsidRDefault="003A730F" w:rsidP="00E51C1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2°.</w:t>
      </w:r>
      <w:r w:rsidRPr="00512412">
        <w:rPr>
          <w:rFonts w:ascii="Arial" w:eastAsia="Calibri" w:hAnsi="Arial" w:cs="Arial"/>
          <w:sz w:val="24"/>
          <w:szCs w:val="24"/>
          <w:lang w:eastAsia="en-US"/>
        </w:rPr>
        <w:t xml:space="preserve"> Por acuerdo del</w:t>
      </w:r>
      <w:r>
        <w:rPr>
          <w:rFonts w:ascii="Arial" w:eastAsia="Calibri" w:hAnsi="Arial" w:cs="Arial"/>
          <w:sz w:val="24"/>
          <w:szCs w:val="24"/>
          <w:lang w:eastAsia="en-US"/>
        </w:rPr>
        <w:t xml:space="preserve"> </w:t>
      </w:r>
      <w:r w:rsidR="00AB2536">
        <w:rPr>
          <w:rFonts w:ascii="Arial" w:eastAsia="Calibri" w:hAnsi="Arial" w:cs="Arial"/>
          <w:sz w:val="24"/>
          <w:szCs w:val="24"/>
          <w:lang w:eastAsia="en-US"/>
        </w:rPr>
        <w:t>veintiocho de octubre de dos mil veintidós</w:t>
      </w:r>
      <w:r w:rsidR="006C08AA">
        <w:rPr>
          <w:rFonts w:ascii="Arial" w:eastAsia="Calibri" w:hAnsi="Arial" w:cs="Arial"/>
          <w:sz w:val="24"/>
          <w:szCs w:val="24"/>
          <w:lang w:eastAsia="en-US"/>
        </w:rPr>
        <w:t xml:space="preserve"> se </w:t>
      </w:r>
      <w:r w:rsidRPr="00512412">
        <w:rPr>
          <w:rFonts w:ascii="Arial" w:eastAsia="Calibri" w:hAnsi="Arial" w:cs="Arial"/>
          <w:sz w:val="24"/>
          <w:szCs w:val="24"/>
          <w:lang w:eastAsia="en-US"/>
        </w:rPr>
        <w:t xml:space="preserve">admitió </w:t>
      </w:r>
      <w:r w:rsidR="004E6F12">
        <w:rPr>
          <w:rFonts w:ascii="Arial" w:eastAsia="Calibri" w:hAnsi="Arial" w:cs="Arial"/>
          <w:sz w:val="24"/>
          <w:szCs w:val="24"/>
          <w:lang w:eastAsia="en-US"/>
        </w:rPr>
        <w:t>a trámite  la demanda en comento</w:t>
      </w:r>
      <w:r w:rsidRPr="00512412">
        <w:rPr>
          <w:rFonts w:ascii="Arial" w:eastAsia="Calibri" w:hAnsi="Arial" w:cs="Arial"/>
          <w:sz w:val="24"/>
          <w:szCs w:val="24"/>
          <w:lang w:eastAsia="en-US"/>
        </w:rPr>
        <w:t>, ordenándose  correr traslado a la autorida</w:t>
      </w:r>
      <w:r w:rsidR="00513C70">
        <w:rPr>
          <w:rFonts w:ascii="Arial" w:eastAsia="Calibri" w:hAnsi="Arial" w:cs="Arial"/>
          <w:sz w:val="24"/>
          <w:szCs w:val="24"/>
          <w:lang w:eastAsia="en-US"/>
        </w:rPr>
        <w:t>d</w:t>
      </w:r>
      <w:r w:rsidRPr="00512412">
        <w:rPr>
          <w:rFonts w:ascii="Arial" w:eastAsia="Calibri" w:hAnsi="Arial" w:cs="Arial"/>
          <w:sz w:val="24"/>
          <w:szCs w:val="24"/>
          <w:lang w:eastAsia="en-US"/>
        </w:rPr>
        <w:t xml:space="preserve"> enjuiciada</w:t>
      </w:r>
      <w:r w:rsidR="00CD362E">
        <w:rPr>
          <w:rFonts w:ascii="Arial" w:eastAsia="Calibri" w:hAnsi="Arial" w:cs="Arial"/>
          <w:sz w:val="24"/>
          <w:szCs w:val="24"/>
          <w:lang w:eastAsia="en-US"/>
        </w:rPr>
        <w:t>,</w:t>
      </w:r>
      <w:r w:rsidR="006C08AA">
        <w:rPr>
          <w:rFonts w:ascii="Arial" w:eastAsia="Calibri" w:hAnsi="Arial" w:cs="Arial"/>
          <w:sz w:val="24"/>
          <w:szCs w:val="24"/>
          <w:lang w:eastAsia="en-US"/>
        </w:rPr>
        <w:t xml:space="preserve"> </w:t>
      </w:r>
      <w:r w:rsidRPr="00512412">
        <w:rPr>
          <w:rFonts w:ascii="Arial" w:eastAsia="Calibri" w:hAnsi="Arial" w:cs="Arial"/>
          <w:sz w:val="24"/>
          <w:szCs w:val="24"/>
          <w:lang w:eastAsia="en-US"/>
        </w:rPr>
        <w:t>para que diera contestación  a la misma dentro del término de nueve días hábiles siguientes a aquel en que surtiera efectos la notificación correspondiente, con el apercibimiento de que en caso de no hacerlo este Tribunal l</w:t>
      </w:r>
      <w:r w:rsidR="00513C70">
        <w:rPr>
          <w:rFonts w:ascii="Arial" w:eastAsia="Calibri" w:hAnsi="Arial" w:cs="Arial"/>
          <w:sz w:val="24"/>
          <w:szCs w:val="24"/>
          <w:lang w:eastAsia="en-US"/>
        </w:rPr>
        <w:t>a</w:t>
      </w:r>
      <w:r w:rsidR="00C9091B">
        <w:rPr>
          <w:rFonts w:ascii="Arial" w:eastAsia="Calibri" w:hAnsi="Arial" w:cs="Arial"/>
          <w:sz w:val="24"/>
          <w:szCs w:val="24"/>
          <w:lang w:eastAsia="en-US"/>
        </w:rPr>
        <w:t>s</w:t>
      </w:r>
      <w:r w:rsidRPr="00512412">
        <w:rPr>
          <w:rFonts w:ascii="Arial" w:eastAsia="Calibri" w:hAnsi="Arial" w:cs="Arial"/>
          <w:sz w:val="24"/>
          <w:szCs w:val="24"/>
          <w:lang w:eastAsia="en-US"/>
        </w:rPr>
        <w:t xml:space="preserve"> tendría por contestando en sentido afirmativo  y también que en  caso de no referirse a todos los hechos planteados en la demanda se le tendrían por ciertos, salvo prueba en contrario</w:t>
      </w:r>
      <w:r w:rsidR="006C08AA">
        <w:rPr>
          <w:rFonts w:ascii="Arial" w:eastAsia="Calibri" w:hAnsi="Arial" w:cs="Arial"/>
          <w:sz w:val="24"/>
          <w:szCs w:val="24"/>
          <w:lang w:eastAsia="en-US"/>
        </w:rPr>
        <w:t>.</w:t>
      </w:r>
      <w:r w:rsidR="00DD053C">
        <w:rPr>
          <w:rFonts w:ascii="Arial" w:eastAsia="Calibri" w:hAnsi="Arial" w:cs="Arial"/>
          <w:sz w:val="24"/>
          <w:szCs w:val="24"/>
          <w:lang w:eastAsia="en-US"/>
        </w:rPr>
        <w:t xml:space="preserve"> También se ordenó requerir a las autoridades para que al momento de contestar la demanda remitieran copias certificadas de</w:t>
      </w:r>
      <w:r w:rsidR="00AB2536">
        <w:rPr>
          <w:rFonts w:ascii="Arial" w:eastAsia="Calibri" w:hAnsi="Arial" w:cs="Arial"/>
          <w:sz w:val="24"/>
          <w:szCs w:val="24"/>
          <w:lang w:eastAsia="en-US"/>
        </w:rPr>
        <w:t xml:space="preserve"> los antecedentes que motivaron la detención del vehículo </w:t>
      </w:r>
      <w:r w:rsidR="005F6587">
        <w:rPr>
          <w:rFonts w:ascii="Arial" w:eastAsia="Calibri" w:hAnsi="Arial" w:cs="Arial"/>
          <w:sz w:val="24"/>
          <w:szCs w:val="24"/>
          <w:lang w:eastAsia="en-US"/>
        </w:rPr>
        <w:t>**********</w:t>
      </w:r>
      <w:r w:rsidR="004E6F12">
        <w:rPr>
          <w:rFonts w:ascii="Arial" w:eastAsia="Calibri" w:hAnsi="Arial" w:cs="Arial"/>
          <w:sz w:val="24"/>
          <w:szCs w:val="24"/>
          <w:lang w:eastAsia="en-US"/>
        </w:rPr>
        <w:t>,</w:t>
      </w:r>
      <w:r w:rsidR="00AB2536">
        <w:rPr>
          <w:rFonts w:ascii="Arial" w:eastAsia="Calibri" w:hAnsi="Arial" w:cs="Arial"/>
          <w:sz w:val="24"/>
          <w:szCs w:val="24"/>
          <w:lang w:eastAsia="en-US"/>
        </w:rPr>
        <w:t xml:space="preserve">  </w:t>
      </w:r>
      <w:r w:rsidR="005F6587">
        <w:rPr>
          <w:rFonts w:ascii="Arial" w:eastAsia="Calibri" w:hAnsi="Arial" w:cs="Arial"/>
          <w:sz w:val="24"/>
          <w:szCs w:val="24"/>
          <w:lang w:eastAsia="en-US"/>
        </w:rPr>
        <w:t>**********</w:t>
      </w:r>
      <w:r w:rsidR="004E6F12">
        <w:rPr>
          <w:rFonts w:ascii="Arial" w:eastAsia="Calibri" w:hAnsi="Arial" w:cs="Arial"/>
          <w:sz w:val="24"/>
          <w:szCs w:val="24"/>
          <w:lang w:eastAsia="en-US"/>
        </w:rPr>
        <w:t>,</w:t>
      </w:r>
      <w:r w:rsidR="00AB2536">
        <w:rPr>
          <w:rFonts w:ascii="Arial" w:eastAsia="Calibri" w:hAnsi="Arial" w:cs="Arial"/>
          <w:sz w:val="24"/>
          <w:szCs w:val="24"/>
          <w:lang w:eastAsia="en-US"/>
        </w:rPr>
        <w:t xml:space="preserve"> modelo </w:t>
      </w:r>
      <w:r w:rsidR="005F6587">
        <w:rPr>
          <w:rFonts w:ascii="Arial" w:eastAsia="Calibri" w:hAnsi="Arial" w:cs="Arial"/>
          <w:sz w:val="24"/>
          <w:szCs w:val="24"/>
          <w:lang w:eastAsia="en-US"/>
        </w:rPr>
        <w:t>**********</w:t>
      </w:r>
      <w:r w:rsidR="00AB2536">
        <w:rPr>
          <w:rFonts w:ascii="Arial" w:eastAsia="Calibri" w:hAnsi="Arial" w:cs="Arial"/>
          <w:sz w:val="24"/>
          <w:szCs w:val="24"/>
          <w:lang w:eastAsia="en-US"/>
        </w:rPr>
        <w:t xml:space="preserve">, color </w:t>
      </w:r>
      <w:r w:rsidR="005F6587">
        <w:rPr>
          <w:rFonts w:ascii="Arial" w:eastAsia="Calibri" w:hAnsi="Arial" w:cs="Arial"/>
          <w:sz w:val="24"/>
          <w:szCs w:val="24"/>
          <w:lang w:eastAsia="en-US"/>
        </w:rPr>
        <w:t>**********</w:t>
      </w:r>
      <w:r w:rsidR="00AB2536">
        <w:rPr>
          <w:rFonts w:ascii="Arial" w:eastAsia="Calibri" w:hAnsi="Arial" w:cs="Arial"/>
          <w:sz w:val="24"/>
          <w:szCs w:val="24"/>
          <w:lang w:eastAsia="en-US"/>
        </w:rPr>
        <w:t>, c</w:t>
      </w:r>
      <w:r w:rsidR="004E6F12">
        <w:rPr>
          <w:rFonts w:ascii="Arial" w:eastAsia="Calibri" w:hAnsi="Arial" w:cs="Arial"/>
          <w:sz w:val="24"/>
          <w:szCs w:val="24"/>
          <w:lang w:eastAsia="en-US"/>
        </w:rPr>
        <w:t xml:space="preserve">on número de serie </w:t>
      </w:r>
      <w:r w:rsidR="005F6587">
        <w:rPr>
          <w:rFonts w:ascii="Arial" w:eastAsia="Calibri" w:hAnsi="Arial" w:cs="Arial"/>
          <w:sz w:val="24"/>
          <w:szCs w:val="24"/>
          <w:lang w:eastAsia="en-US"/>
        </w:rPr>
        <w:t>**********</w:t>
      </w:r>
      <w:r w:rsidR="00AB2536">
        <w:rPr>
          <w:rFonts w:ascii="Arial" w:eastAsia="Calibri" w:hAnsi="Arial" w:cs="Arial"/>
          <w:sz w:val="24"/>
          <w:szCs w:val="24"/>
          <w:lang w:eastAsia="en-US"/>
        </w:rPr>
        <w:t xml:space="preserve">, número de motor </w:t>
      </w:r>
      <w:r w:rsidR="005F6587">
        <w:rPr>
          <w:rFonts w:ascii="Arial" w:eastAsia="Calibri" w:hAnsi="Arial" w:cs="Arial"/>
          <w:sz w:val="24"/>
          <w:szCs w:val="24"/>
          <w:lang w:eastAsia="en-US"/>
        </w:rPr>
        <w:t>**********</w:t>
      </w:r>
      <w:r w:rsidR="00AB2536">
        <w:rPr>
          <w:rFonts w:ascii="Arial" w:eastAsia="Calibri" w:hAnsi="Arial" w:cs="Arial"/>
          <w:sz w:val="24"/>
          <w:szCs w:val="24"/>
          <w:lang w:eastAsia="en-US"/>
        </w:rPr>
        <w:t xml:space="preserve"> y placas </w:t>
      </w:r>
      <w:r w:rsidR="005F6587">
        <w:rPr>
          <w:rFonts w:ascii="Arial" w:eastAsia="Calibri" w:hAnsi="Arial" w:cs="Arial"/>
          <w:sz w:val="24"/>
          <w:szCs w:val="24"/>
          <w:lang w:eastAsia="en-US"/>
        </w:rPr>
        <w:t>**********</w:t>
      </w:r>
      <w:r w:rsidR="004E6F12">
        <w:rPr>
          <w:rFonts w:ascii="Arial" w:eastAsia="Calibri" w:hAnsi="Arial" w:cs="Arial"/>
          <w:sz w:val="24"/>
          <w:szCs w:val="24"/>
          <w:lang w:eastAsia="en-US"/>
        </w:rPr>
        <w:t>.</w:t>
      </w:r>
    </w:p>
    <w:p w14:paraId="6D55E8F2" w14:textId="5BD6C8DC" w:rsidR="00DD053C" w:rsidRDefault="003A730F" w:rsidP="00E51C1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3°.</w:t>
      </w:r>
      <w:r w:rsidRPr="00512412">
        <w:rPr>
          <w:rFonts w:ascii="Arial" w:eastAsia="Calibri" w:hAnsi="Arial" w:cs="Arial"/>
          <w:sz w:val="24"/>
          <w:szCs w:val="24"/>
          <w:lang w:eastAsia="en-US"/>
        </w:rPr>
        <w:t xml:space="preserve"> Por acuerdo de </w:t>
      </w:r>
      <w:r w:rsidR="00B3252D">
        <w:rPr>
          <w:rFonts w:ascii="Arial" w:eastAsia="Calibri" w:hAnsi="Arial" w:cs="Arial"/>
          <w:sz w:val="24"/>
          <w:szCs w:val="24"/>
          <w:lang w:eastAsia="en-US"/>
        </w:rPr>
        <w:t>treinta y uno de marzo de dos mil veintitrés</w:t>
      </w:r>
      <w:r w:rsidR="00AC707D">
        <w:rPr>
          <w:rFonts w:ascii="Arial" w:eastAsia="Calibri" w:hAnsi="Arial" w:cs="Arial"/>
          <w:sz w:val="24"/>
          <w:szCs w:val="24"/>
          <w:lang w:eastAsia="en-US"/>
        </w:rPr>
        <w:t xml:space="preserve"> </w:t>
      </w:r>
      <w:r w:rsidR="00CE275F">
        <w:rPr>
          <w:rFonts w:ascii="Arial" w:eastAsia="Calibri" w:hAnsi="Arial" w:cs="Arial"/>
          <w:sz w:val="24"/>
          <w:szCs w:val="24"/>
          <w:lang w:eastAsia="en-US"/>
        </w:rPr>
        <w:t xml:space="preserve">se </w:t>
      </w:r>
      <w:r w:rsidR="00DD053C">
        <w:rPr>
          <w:rFonts w:ascii="Arial" w:eastAsia="Calibri" w:hAnsi="Arial" w:cs="Arial"/>
          <w:sz w:val="24"/>
          <w:szCs w:val="24"/>
          <w:lang w:eastAsia="en-US"/>
        </w:rPr>
        <w:t xml:space="preserve">tuvo </w:t>
      </w:r>
      <w:r w:rsidR="00B3252D">
        <w:rPr>
          <w:rFonts w:ascii="Arial" w:eastAsia="Calibri" w:hAnsi="Arial" w:cs="Arial"/>
          <w:sz w:val="24"/>
          <w:szCs w:val="24"/>
          <w:lang w:eastAsia="en-US"/>
        </w:rPr>
        <w:t>a las autoridades demandadas contestando la demanda en sentido afirmativo y se fijaron las once horas del veintisiete de abril de dos mil veintitrés para que se celebrara la Audiencia Final</w:t>
      </w:r>
      <w:r w:rsidR="00EB6521">
        <w:rPr>
          <w:rFonts w:ascii="Arial" w:eastAsia="Calibri" w:hAnsi="Arial" w:cs="Arial"/>
          <w:sz w:val="24"/>
          <w:szCs w:val="24"/>
          <w:lang w:eastAsia="en-US"/>
        </w:rPr>
        <w:t xml:space="preserve">. </w:t>
      </w:r>
    </w:p>
    <w:p w14:paraId="219A7C67" w14:textId="62D3CE20" w:rsidR="003A730F" w:rsidRDefault="00893C2E" w:rsidP="00E51C1F">
      <w:pPr>
        <w:spacing w:after="160" w:line="360" w:lineRule="auto"/>
        <w:ind w:firstLine="567"/>
        <w:jc w:val="both"/>
        <w:rPr>
          <w:rFonts w:ascii="Arial" w:eastAsia="Calibri" w:hAnsi="Arial" w:cs="Arial"/>
          <w:sz w:val="24"/>
          <w:szCs w:val="24"/>
          <w:lang w:eastAsia="en-US"/>
        </w:rPr>
      </w:pPr>
      <w:r w:rsidRPr="004E6F12">
        <w:rPr>
          <w:rFonts w:ascii="Arial" w:eastAsia="Calibri" w:hAnsi="Arial" w:cs="Arial"/>
          <w:b/>
          <w:bCs/>
          <w:sz w:val="24"/>
          <w:szCs w:val="24"/>
          <w:lang w:eastAsia="en-US"/>
        </w:rPr>
        <w:lastRenderedPageBreak/>
        <w:t xml:space="preserve">4°. </w:t>
      </w:r>
      <w:r w:rsidRPr="004E6F12">
        <w:rPr>
          <w:rFonts w:ascii="Arial" w:eastAsia="Calibri" w:hAnsi="Arial" w:cs="Arial"/>
          <w:sz w:val="24"/>
          <w:szCs w:val="24"/>
          <w:lang w:eastAsia="en-US"/>
        </w:rPr>
        <w:t>El día señalado se llevó a cabo la Audiencia Final</w:t>
      </w:r>
      <w:r w:rsidR="003C1EC7" w:rsidRPr="004E6F12">
        <w:rPr>
          <w:rFonts w:ascii="Arial" w:eastAsia="Calibri" w:hAnsi="Arial" w:cs="Arial"/>
          <w:sz w:val="24"/>
          <w:szCs w:val="24"/>
          <w:lang w:eastAsia="en-US"/>
        </w:rPr>
        <w:t xml:space="preserve"> </w:t>
      </w:r>
      <w:r w:rsidR="0085386F" w:rsidRPr="004E6F12">
        <w:rPr>
          <w:rFonts w:ascii="Arial" w:eastAsia="Calibri" w:hAnsi="Arial" w:cs="Arial"/>
          <w:sz w:val="24"/>
          <w:szCs w:val="24"/>
          <w:lang w:eastAsia="en-US"/>
        </w:rPr>
        <w:t xml:space="preserve">donde </w:t>
      </w:r>
      <w:r w:rsidR="003A730F" w:rsidRPr="004E6F12">
        <w:rPr>
          <w:rFonts w:ascii="Arial" w:eastAsia="Calibri" w:hAnsi="Arial" w:cs="Arial"/>
          <w:sz w:val="24"/>
          <w:szCs w:val="24"/>
          <w:lang w:eastAsia="en-US"/>
        </w:rPr>
        <w:t>se hizo constar</w:t>
      </w:r>
      <w:r w:rsidR="0085386F" w:rsidRPr="004E6F12">
        <w:rPr>
          <w:rFonts w:ascii="Arial" w:eastAsia="Calibri" w:hAnsi="Arial" w:cs="Arial"/>
          <w:sz w:val="24"/>
          <w:szCs w:val="24"/>
          <w:lang w:eastAsia="en-US"/>
        </w:rPr>
        <w:t xml:space="preserve"> que no se encontraron presentes las partes ni persona alguna que legalmente las representara</w:t>
      </w:r>
      <w:r w:rsidR="003A730F" w:rsidRPr="004E6F12">
        <w:rPr>
          <w:rFonts w:ascii="Arial" w:eastAsia="Calibri" w:hAnsi="Arial" w:cs="Arial"/>
          <w:sz w:val="24"/>
          <w:szCs w:val="24"/>
          <w:lang w:eastAsia="en-US"/>
        </w:rPr>
        <w:t xml:space="preserve">; en el periodo de pruebas se tuvieron por desahogadas por su propia y especial naturaleza las pruebas ofrecidas por las partes; en el periodo de alegatos se hizo constar </w:t>
      </w:r>
      <w:r w:rsidR="00EB4B88" w:rsidRPr="004E6F12">
        <w:rPr>
          <w:rFonts w:ascii="Arial" w:eastAsia="Calibri" w:hAnsi="Arial" w:cs="Arial"/>
          <w:sz w:val="24"/>
          <w:szCs w:val="24"/>
          <w:lang w:eastAsia="en-US"/>
        </w:rPr>
        <w:t>que las partes</w:t>
      </w:r>
      <w:r w:rsidR="007C3C1C" w:rsidRPr="004E6F12">
        <w:rPr>
          <w:rFonts w:ascii="Arial" w:eastAsia="Calibri" w:hAnsi="Arial" w:cs="Arial"/>
          <w:sz w:val="24"/>
          <w:szCs w:val="24"/>
          <w:lang w:eastAsia="en-US"/>
        </w:rPr>
        <w:t xml:space="preserve"> no formul</w:t>
      </w:r>
      <w:r w:rsidR="00EB4B88" w:rsidRPr="004E6F12">
        <w:rPr>
          <w:rFonts w:ascii="Arial" w:eastAsia="Calibri" w:hAnsi="Arial" w:cs="Arial"/>
          <w:sz w:val="24"/>
          <w:szCs w:val="24"/>
          <w:lang w:eastAsia="en-US"/>
        </w:rPr>
        <w:t xml:space="preserve">aron </w:t>
      </w:r>
      <w:r w:rsidR="007C3C1C" w:rsidRPr="004E6F12">
        <w:rPr>
          <w:rFonts w:ascii="Arial" w:eastAsia="Calibri" w:hAnsi="Arial" w:cs="Arial"/>
          <w:sz w:val="24"/>
          <w:szCs w:val="24"/>
          <w:lang w:eastAsia="en-US"/>
        </w:rPr>
        <w:t xml:space="preserve">alegatos </w:t>
      </w:r>
      <w:r w:rsidR="003A730F" w:rsidRPr="004E6F12">
        <w:rPr>
          <w:rFonts w:ascii="Arial" w:eastAsia="Calibri" w:hAnsi="Arial" w:cs="Arial"/>
          <w:sz w:val="24"/>
          <w:szCs w:val="24"/>
          <w:lang w:eastAsia="en-US"/>
        </w:rPr>
        <w:t>por lo que se le</w:t>
      </w:r>
      <w:r w:rsidR="00EB4B88" w:rsidRPr="004E6F12">
        <w:rPr>
          <w:rFonts w:ascii="Arial" w:eastAsia="Calibri" w:hAnsi="Arial" w:cs="Arial"/>
          <w:sz w:val="24"/>
          <w:szCs w:val="24"/>
          <w:lang w:eastAsia="en-US"/>
        </w:rPr>
        <w:t>s</w:t>
      </w:r>
      <w:r w:rsidR="003A730F" w:rsidRPr="004E6F12">
        <w:rPr>
          <w:rFonts w:ascii="Arial" w:eastAsia="Calibri" w:hAnsi="Arial" w:cs="Arial"/>
          <w:sz w:val="24"/>
          <w:szCs w:val="24"/>
          <w:lang w:eastAsia="en-US"/>
        </w:rPr>
        <w:t xml:space="preserve"> tuvo por perdido su derecho y se cerró dicho periodo quedando el asunto integrado y en estado de resolución, finalmente se emite sentencia en los siguientes términos:</w:t>
      </w:r>
    </w:p>
    <w:p w14:paraId="3D48B7CA" w14:textId="77777777" w:rsidR="0085386F" w:rsidRPr="00512412" w:rsidRDefault="0085386F" w:rsidP="00E51C1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C O N S I D E R A N D O </w:t>
      </w:r>
    </w:p>
    <w:p w14:paraId="364191BE" w14:textId="07237042" w:rsidR="0085386F" w:rsidRPr="00512412" w:rsidRDefault="0085386F" w:rsidP="00E51C1F">
      <w:pPr>
        <w:spacing w:after="160" w:line="360" w:lineRule="auto"/>
        <w:ind w:firstLine="709"/>
        <w:jc w:val="both"/>
        <w:rPr>
          <w:rFonts w:ascii="Arial" w:eastAsia="Calibri" w:hAnsi="Arial" w:cs="Arial"/>
          <w:sz w:val="24"/>
          <w:szCs w:val="24"/>
          <w:lang w:eastAsia="en-US"/>
        </w:rPr>
      </w:pPr>
      <w:r w:rsidRPr="00512412">
        <w:rPr>
          <w:rFonts w:ascii="Arial" w:eastAsia="Calibri" w:hAnsi="Arial" w:cs="Arial"/>
          <w:b/>
          <w:bCs/>
          <w:sz w:val="24"/>
          <w:szCs w:val="24"/>
          <w:lang w:eastAsia="en-US"/>
        </w:rPr>
        <w:t>PRIMERO.</w:t>
      </w:r>
      <w:r w:rsidRPr="00512412">
        <w:rPr>
          <w:rFonts w:ascii="Arial" w:eastAsia="Calibri" w:hAnsi="Arial" w:cs="Arial"/>
          <w:sz w:val="24"/>
          <w:szCs w:val="24"/>
          <w:lang w:eastAsia="en-US"/>
        </w:rPr>
        <w:t xml:space="preserve">  Esta Primera Sala Unitaria de Primera Instancia del Tribunal de Justicia Administrativa del Estado de Oaxaca, es </w:t>
      </w:r>
      <w:r w:rsidRPr="00512412">
        <w:rPr>
          <w:rFonts w:ascii="Arial" w:eastAsia="Calibri" w:hAnsi="Arial" w:cs="Arial"/>
          <w:b/>
          <w:bCs/>
          <w:sz w:val="24"/>
          <w:szCs w:val="24"/>
          <w:lang w:eastAsia="en-US"/>
        </w:rPr>
        <w:t>competente</w:t>
      </w:r>
      <w:r w:rsidRPr="00512412">
        <w:rPr>
          <w:rFonts w:ascii="Arial" w:eastAsia="Calibri" w:hAnsi="Arial" w:cs="Arial"/>
          <w:sz w:val="24"/>
          <w:szCs w:val="24"/>
          <w:lang w:eastAsia="en-US"/>
        </w:rPr>
        <w:t xml:space="preserve"> para conocer y resolver del presente juicio de nulidad, de conformidad a lo establecido en el artículo 114 </w:t>
      </w:r>
      <w:proofErr w:type="spellStart"/>
      <w:r w:rsidRPr="00512412">
        <w:rPr>
          <w:rFonts w:ascii="Arial" w:eastAsia="Calibri" w:hAnsi="Arial" w:cs="Arial"/>
          <w:sz w:val="24"/>
          <w:szCs w:val="24"/>
          <w:lang w:eastAsia="en-US"/>
        </w:rPr>
        <w:t>Quáter</w:t>
      </w:r>
      <w:proofErr w:type="spellEnd"/>
      <w:r w:rsidRPr="00512412">
        <w:rPr>
          <w:rFonts w:ascii="Arial" w:eastAsia="Calibri" w:hAnsi="Arial" w:cs="Arial"/>
          <w:sz w:val="24"/>
          <w:szCs w:val="24"/>
          <w:lang w:eastAsia="en-US"/>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2412">
        <w:rPr>
          <w:rFonts w:ascii="Arial" w:eastAsia="Calibri" w:hAnsi="Arial" w:cs="Arial"/>
          <w:b/>
          <w:sz w:val="24"/>
          <w:szCs w:val="24"/>
          <w:lang w:eastAsia="en-US"/>
        </w:rPr>
        <w:t xml:space="preserve">carácter </w:t>
      </w:r>
      <w:r w:rsidR="004E6F12">
        <w:rPr>
          <w:rFonts w:ascii="Arial" w:eastAsia="Calibri" w:hAnsi="Arial" w:cs="Arial"/>
          <w:b/>
          <w:sz w:val="24"/>
          <w:szCs w:val="24"/>
          <w:lang w:eastAsia="en-US"/>
        </w:rPr>
        <w:t>municipal</w:t>
      </w:r>
      <w:r w:rsidRPr="00512412">
        <w:rPr>
          <w:rFonts w:ascii="Arial" w:eastAsia="Calibri" w:hAnsi="Arial" w:cs="Arial"/>
          <w:sz w:val="24"/>
          <w:szCs w:val="24"/>
          <w:lang w:eastAsia="en-US"/>
        </w:rPr>
        <w:t xml:space="preserve">. </w:t>
      </w:r>
    </w:p>
    <w:p w14:paraId="0C80F779" w14:textId="75964115" w:rsidR="0085386F" w:rsidRPr="00512412" w:rsidRDefault="0085386F" w:rsidP="00E51C1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SEGUNDO.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 xml:space="preserve">Personalidad. </w:t>
      </w:r>
      <w:r w:rsidRPr="00512412">
        <w:rPr>
          <w:rFonts w:ascii="Arial" w:eastAsia="Calibri" w:hAnsi="Arial" w:cs="Arial"/>
          <w:sz w:val="24"/>
          <w:szCs w:val="24"/>
          <w:lang w:eastAsia="en-US"/>
        </w:rPr>
        <w:t xml:space="preserve"> La personalidad de las partes se tuvo acreditada de conformidad con los artículos 150</w:t>
      </w:r>
      <w:r w:rsidRPr="00512412">
        <w:rPr>
          <w:rFonts w:ascii="Arial" w:eastAsia="Calibri" w:hAnsi="Arial" w:cs="Arial"/>
          <w:sz w:val="24"/>
          <w:szCs w:val="24"/>
          <w:vertAlign w:val="superscript"/>
          <w:lang w:eastAsia="en-US"/>
        </w:rPr>
        <w:footnoteReference w:id="1"/>
      </w:r>
      <w:r w:rsidRPr="00512412">
        <w:rPr>
          <w:rFonts w:ascii="Arial" w:eastAsia="Calibri" w:hAnsi="Arial" w:cs="Arial"/>
          <w:sz w:val="24"/>
          <w:szCs w:val="24"/>
          <w:lang w:eastAsia="en-US"/>
        </w:rPr>
        <w:t xml:space="preserve"> y 151</w:t>
      </w:r>
      <w:r w:rsidRPr="00512412">
        <w:rPr>
          <w:rFonts w:ascii="Arial" w:eastAsia="Calibri" w:hAnsi="Arial" w:cs="Arial"/>
          <w:sz w:val="24"/>
          <w:szCs w:val="24"/>
          <w:vertAlign w:val="superscript"/>
          <w:lang w:eastAsia="en-US"/>
        </w:rPr>
        <w:footnoteReference w:id="2"/>
      </w:r>
      <w:r w:rsidRPr="00512412">
        <w:rPr>
          <w:rFonts w:ascii="Arial" w:eastAsia="Calibri" w:hAnsi="Arial" w:cs="Arial"/>
          <w:sz w:val="24"/>
          <w:szCs w:val="24"/>
          <w:lang w:eastAsia="en-US"/>
        </w:rPr>
        <w:t xml:space="preserve"> de la Ley de Procedimiento y Justicia Administrativa</w:t>
      </w:r>
      <w:r w:rsidR="004E6F12">
        <w:rPr>
          <w:rFonts w:ascii="Arial" w:eastAsia="Calibri" w:hAnsi="Arial" w:cs="Arial"/>
          <w:sz w:val="24"/>
          <w:szCs w:val="24"/>
          <w:lang w:eastAsia="en-US"/>
        </w:rPr>
        <w:t xml:space="preserve"> para el Estado de Oaxaca</w:t>
      </w:r>
      <w:r w:rsidRPr="00512412">
        <w:rPr>
          <w:rFonts w:ascii="Arial" w:eastAsia="Calibri" w:hAnsi="Arial" w:cs="Arial"/>
          <w:sz w:val="24"/>
          <w:szCs w:val="24"/>
          <w:lang w:eastAsia="en-US"/>
        </w:rPr>
        <w:t>.</w:t>
      </w:r>
    </w:p>
    <w:p w14:paraId="1D9EEE29" w14:textId="760A494D" w:rsidR="00D83CC1" w:rsidRDefault="00D83CC1" w:rsidP="003102F2">
      <w:pPr>
        <w:spacing w:after="160" w:line="360" w:lineRule="auto"/>
        <w:ind w:firstLine="567"/>
        <w:jc w:val="both"/>
        <w:rPr>
          <w:rFonts w:ascii="Arial" w:hAnsi="Arial" w:cs="Arial"/>
          <w:sz w:val="24"/>
          <w:szCs w:val="24"/>
        </w:rPr>
      </w:pPr>
      <w:r w:rsidRPr="006D319D">
        <w:rPr>
          <w:rFonts w:ascii="Arial" w:eastAsia="Calibri" w:hAnsi="Arial" w:cs="Arial"/>
          <w:b/>
          <w:bCs/>
          <w:sz w:val="24"/>
          <w:szCs w:val="24"/>
          <w:lang w:eastAsia="en-US"/>
        </w:rPr>
        <w:t>TERCERO.</w:t>
      </w:r>
      <w:r w:rsidRPr="006D319D">
        <w:rPr>
          <w:rFonts w:ascii="Arial" w:eastAsia="Calibri" w:hAnsi="Arial" w:cs="Arial"/>
          <w:sz w:val="24"/>
          <w:szCs w:val="24"/>
          <w:lang w:eastAsia="en-US"/>
        </w:rPr>
        <w:t xml:space="preserve">  </w:t>
      </w:r>
      <w:r w:rsidRPr="006D319D">
        <w:rPr>
          <w:rFonts w:ascii="Arial" w:eastAsia="Calibri" w:hAnsi="Arial" w:cs="Arial"/>
          <w:b/>
          <w:bCs/>
          <w:sz w:val="24"/>
          <w:szCs w:val="24"/>
          <w:lang w:eastAsia="en-US"/>
        </w:rPr>
        <w:t>Acreditación del acto impugnado.</w:t>
      </w:r>
      <w:r w:rsidRPr="006D319D">
        <w:rPr>
          <w:rFonts w:ascii="Arial" w:eastAsia="Calibri" w:hAnsi="Arial" w:cs="Arial"/>
          <w:sz w:val="24"/>
          <w:szCs w:val="24"/>
          <w:lang w:eastAsia="en-US"/>
        </w:rPr>
        <w:t xml:space="preserve"> </w:t>
      </w:r>
      <w:r w:rsidRPr="006D319D">
        <w:rPr>
          <w:rFonts w:ascii="Arial" w:hAnsi="Arial" w:cs="Arial"/>
          <w:sz w:val="24"/>
          <w:szCs w:val="24"/>
        </w:rPr>
        <w:t xml:space="preserve"> El acto impugnado</w:t>
      </w:r>
      <w:r w:rsidR="003102F2">
        <w:rPr>
          <w:rFonts w:ascii="Arial" w:hAnsi="Arial" w:cs="Arial"/>
          <w:sz w:val="24"/>
          <w:szCs w:val="24"/>
        </w:rPr>
        <w:t xml:space="preserve"> </w:t>
      </w:r>
      <w:r w:rsidR="00626F4F">
        <w:rPr>
          <w:rFonts w:ascii="Arial" w:hAnsi="Arial" w:cs="Arial"/>
          <w:sz w:val="24"/>
          <w:szCs w:val="24"/>
        </w:rPr>
        <w:t>es</w:t>
      </w:r>
      <w:r w:rsidR="003102F2">
        <w:rPr>
          <w:rFonts w:ascii="Arial" w:hAnsi="Arial" w:cs="Arial"/>
          <w:sz w:val="24"/>
          <w:szCs w:val="24"/>
        </w:rPr>
        <w:t xml:space="preserve"> el acta de infracción </w:t>
      </w:r>
      <w:r w:rsidR="005F6587">
        <w:rPr>
          <w:rFonts w:ascii="Arial" w:eastAsia="Calibri" w:hAnsi="Arial" w:cs="Arial"/>
          <w:sz w:val="24"/>
          <w:szCs w:val="24"/>
          <w:lang w:eastAsia="en-US"/>
        </w:rPr>
        <w:t>**********</w:t>
      </w:r>
      <w:r w:rsidR="00B3252D">
        <w:rPr>
          <w:rFonts w:ascii="Arial" w:eastAsia="Calibri" w:hAnsi="Arial" w:cs="Arial"/>
          <w:sz w:val="24"/>
          <w:szCs w:val="24"/>
          <w:lang w:eastAsia="en-US"/>
        </w:rPr>
        <w:t xml:space="preserve"> de fecha uno de octubre de dos mil veintidós</w:t>
      </w:r>
      <w:r w:rsidR="003102F2">
        <w:rPr>
          <w:rFonts w:ascii="Arial" w:hAnsi="Arial" w:cs="Arial"/>
          <w:sz w:val="24"/>
          <w:szCs w:val="24"/>
        </w:rPr>
        <w:t xml:space="preserve">, que </w:t>
      </w:r>
      <w:r w:rsidR="00B3252D">
        <w:rPr>
          <w:rFonts w:ascii="Arial" w:hAnsi="Arial" w:cs="Arial"/>
          <w:sz w:val="24"/>
          <w:szCs w:val="24"/>
        </w:rPr>
        <w:t>obra a foja diez</w:t>
      </w:r>
      <w:r w:rsidR="003102F2">
        <w:rPr>
          <w:rFonts w:ascii="Arial" w:hAnsi="Arial" w:cs="Arial"/>
          <w:sz w:val="24"/>
          <w:szCs w:val="24"/>
        </w:rPr>
        <w:t xml:space="preserve"> del expediente natural a rubro indicado a las que </w:t>
      </w:r>
      <w:r w:rsidRPr="006D319D">
        <w:rPr>
          <w:rFonts w:ascii="Arial" w:hAnsi="Arial" w:cs="Arial"/>
          <w:sz w:val="24"/>
          <w:szCs w:val="24"/>
        </w:rPr>
        <w:t>se le</w:t>
      </w:r>
      <w:r w:rsidR="003102F2">
        <w:rPr>
          <w:rFonts w:ascii="Arial" w:hAnsi="Arial" w:cs="Arial"/>
          <w:sz w:val="24"/>
          <w:szCs w:val="24"/>
        </w:rPr>
        <w:t>s</w:t>
      </w:r>
      <w:r w:rsidRPr="006D319D">
        <w:rPr>
          <w:rFonts w:ascii="Arial" w:hAnsi="Arial" w:cs="Arial"/>
          <w:sz w:val="24"/>
          <w:szCs w:val="24"/>
        </w:rPr>
        <w:t xml:space="preserve"> concede valor probatorio pleno de conformidad con el artículo 203</w:t>
      </w:r>
      <w:r w:rsidR="004E6F12">
        <w:rPr>
          <w:rFonts w:ascii="Arial" w:hAnsi="Arial" w:cs="Arial"/>
          <w:sz w:val="24"/>
          <w:szCs w:val="24"/>
        </w:rPr>
        <w:t>,</w:t>
      </w:r>
      <w:r w:rsidRPr="006D319D">
        <w:rPr>
          <w:rFonts w:ascii="Arial" w:hAnsi="Arial" w:cs="Arial"/>
          <w:sz w:val="24"/>
          <w:szCs w:val="24"/>
        </w:rPr>
        <w:t xml:space="preserve"> fracción I</w:t>
      </w:r>
      <w:r w:rsidRPr="006D319D">
        <w:rPr>
          <w:rStyle w:val="Refdenotaalpie"/>
          <w:rFonts w:ascii="Arial" w:hAnsi="Arial" w:cs="Arial"/>
          <w:sz w:val="24"/>
          <w:szCs w:val="24"/>
        </w:rPr>
        <w:footnoteReference w:id="3"/>
      </w:r>
      <w:r w:rsidRPr="006D319D">
        <w:rPr>
          <w:rFonts w:ascii="Arial" w:hAnsi="Arial" w:cs="Arial"/>
          <w:sz w:val="24"/>
          <w:szCs w:val="24"/>
        </w:rPr>
        <w:t xml:space="preserve"> de la Ley de </w:t>
      </w:r>
      <w:r>
        <w:rPr>
          <w:rFonts w:ascii="Arial" w:hAnsi="Arial" w:cs="Arial"/>
          <w:sz w:val="24"/>
          <w:szCs w:val="24"/>
        </w:rPr>
        <w:t xml:space="preserve">Procedimiento y </w:t>
      </w:r>
      <w:r w:rsidRPr="006D319D">
        <w:rPr>
          <w:rFonts w:ascii="Arial" w:hAnsi="Arial" w:cs="Arial"/>
          <w:sz w:val="24"/>
          <w:szCs w:val="24"/>
        </w:rPr>
        <w:t>Justicia Administrativa para el Estado de Oaxaca</w:t>
      </w:r>
      <w:r w:rsidR="003102F2">
        <w:rPr>
          <w:rFonts w:ascii="Arial" w:hAnsi="Arial" w:cs="Arial"/>
          <w:sz w:val="24"/>
          <w:szCs w:val="24"/>
        </w:rPr>
        <w:t xml:space="preserve"> por ser reconocida su emisión </w:t>
      </w:r>
      <w:r w:rsidR="00B3252D">
        <w:rPr>
          <w:rFonts w:ascii="Arial" w:hAnsi="Arial" w:cs="Arial"/>
          <w:sz w:val="24"/>
          <w:szCs w:val="24"/>
        </w:rPr>
        <w:t>de forma tácita</w:t>
      </w:r>
      <w:r w:rsidR="003102F2">
        <w:rPr>
          <w:rFonts w:ascii="Arial" w:hAnsi="Arial" w:cs="Arial"/>
          <w:sz w:val="24"/>
          <w:szCs w:val="24"/>
        </w:rPr>
        <w:t xml:space="preserve"> por las autoridades</w:t>
      </w:r>
      <w:r w:rsidR="00B3252D">
        <w:rPr>
          <w:rFonts w:ascii="Arial" w:hAnsi="Arial" w:cs="Arial"/>
          <w:sz w:val="24"/>
          <w:szCs w:val="24"/>
        </w:rPr>
        <w:t xml:space="preserve"> como efecto de su contestación en sentido afirmativo</w:t>
      </w:r>
      <w:r>
        <w:rPr>
          <w:rFonts w:ascii="Arial" w:hAnsi="Arial" w:cs="Arial"/>
          <w:sz w:val="24"/>
          <w:szCs w:val="24"/>
        </w:rPr>
        <w:t>. De manera que dicha</w:t>
      </w:r>
      <w:r w:rsidRPr="006D319D">
        <w:rPr>
          <w:rFonts w:ascii="Arial" w:hAnsi="Arial" w:cs="Arial"/>
          <w:sz w:val="24"/>
          <w:szCs w:val="24"/>
        </w:rPr>
        <w:t xml:space="preserve"> documental </w:t>
      </w:r>
      <w:r w:rsidRPr="006D319D">
        <w:rPr>
          <w:rFonts w:ascii="Arial" w:hAnsi="Arial" w:cs="Arial"/>
          <w:sz w:val="24"/>
          <w:szCs w:val="24"/>
        </w:rPr>
        <w:lastRenderedPageBreak/>
        <w:t>pública es el med</w:t>
      </w:r>
      <w:r w:rsidR="004E6F12">
        <w:rPr>
          <w:rFonts w:ascii="Arial" w:hAnsi="Arial" w:cs="Arial"/>
          <w:sz w:val="24"/>
          <w:szCs w:val="24"/>
        </w:rPr>
        <w:t>io de convicción, que se tiene para acreditar</w:t>
      </w:r>
      <w:r w:rsidRPr="006D319D">
        <w:rPr>
          <w:rFonts w:ascii="Arial" w:hAnsi="Arial" w:cs="Arial"/>
          <w:sz w:val="24"/>
          <w:szCs w:val="24"/>
        </w:rPr>
        <w:t xml:space="preserve"> la existencia del acto impugnado. </w:t>
      </w:r>
    </w:p>
    <w:p w14:paraId="53A2B4BE" w14:textId="1BF87FB2" w:rsidR="003102F2" w:rsidRDefault="00D83CC1" w:rsidP="00E51C1F">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 xml:space="preserve">CUARTO. </w:t>
      </w:r>
      <w:r w:rsidR="0085386F" w:rsidRPr="00512412">
        <w:rPr>
          <w:rFonts w:ascii="Arial" w:eastAsia="Calibri" w:hAnsi="Arial" w:cs="Arial"/>
          <w:b/>
          <w:bCs/>
          <w:sz w:val="24"/>
          <w:szCs w:val="24"/>
          <w:lang w:eastAsia="en-US"/>
        </w:rPr>
        <w:t>Fijación de la Litis.</w:t>
      </w:r>
      <w:r w:rsidR="0085386F" w:rsidRPr="00512412">
        <w:rPr>
          <w:rFonts w:ascii="Arial" w:eastAsia="Calibri" w:hAnsi="Arial" w:cs="Arial"/>
          <w:sz w:val="24"/>
          <w:szCs w:val="24"/>
          <w:lang w:eastAsia="en-US"/>
        </w:rPr>
        <w:t xml:space="preserve"> </w:t>
      </w:r>
      <w:r w:rsidR="0085386F" w:rsidRPr="00577F18">
        <w:rPr>
          <w:rFonts w:ascii="Arial" w:hAnsi="Arial" w:cs="Arial"/>
          <w:sz w:val="24"/>
          <w:szCs w:val="24"/>
        </w:rPr>
        <w:t xml:space="preserve">El litigio surge </w:t>
      </w:r>
      <w:r w:rsidR="0085386F">
        <w:rPr>
          <w:rFonts w:ascii="Arial" w:hAnsi="Arial" w:cs="Arial"/>
          <w:sz w:val="24"/>
          <w:szCs w:val="24"/>
        </w:rPr>
        <w:t xml:space="preserve">derivado del planteamiento de ilegalidad que hace la parte actora </w:t>
      </w:r>
      <w:r w:rsidR="003C1EC7">
        <w:rPr>
          <w:rFonts w:ascii="Arial" w:hAnsi="Arial" w:cs="Arial"/>
          <w:sz w:val="24"/>
          <w:szCs w:val="24"/>
        </w:rPr>
        <w:t xml:space="preserve">respecto al </w:t>
      </w:r>
      <w:r w:rsidR="00364ED3">
        <w:rPr>
          <w:rFonts w:ascii="Arial" w:hAnsi="Arial" w:cs="Arial"/>
          <w:sz w:val="24"/>
          <w:szCs w:val="24"/>
        </w:rPr>
        <w:t>acto impugnado el cual manifiesta que no se encuentra adecuadamente fundado ni motivado por lo que ello debe conllevar su anulación lisa y llana</w:t>
      </w:r>
      <w:r w:rsidR="003102F2">
        <w:rPr>
          <w:rFonts w:ascii="Arial" w:hAnsi="Arial" w:cs="Arial"/>
          <w:sz w:val="24"/>
          <w:szCs w:val="24"/>
        </w:rPr>
        <w:t xml:space="preserve">. </w:t>
      </w:r>
    </w:p>
    <w:p w14:paraId="453239B8" w14:textId="728D3DA8" w:rsidR="007C3C1C" w:rsidRDefault="00B3252D" w:rsidP="00E51C1F">
      <w:pPr>
        <w:spacing w:after="160" w:line="360" w:lineRule="auto"/>
        <w:ind w:firstLine="567"/>
        <w:jc w:val="both"/>
        <w:rPr>
          <w:rFonts w:ascii="Arial" w:hAnsi="Arial" w:cs="Arial"/>
          <w:sz w:val="24"/>
          <w:szCs w:val="24"/>
        </w:rPr>
      </w:pPr>
      <w:r>
        <w:rPr>
          <w:rFonts w:ascii="Arial" w:hAnsi="Arial" w:cs="Arial"/>
          <w:sz w:val="24"/>
          <w:szCs w:val="24"/>
        </w:rPr>
        <w:t>Las autoridades demandadas contestaron en sentido afirmativo por lo que no hay Litis que integrar en lo que les refiere</w:t>
      </w:r>
      <w:r w:rsidR="004C0A42">
        <w:rPr>
          <w:rFonts w:ascii="Arial" w:hAnsi="Arial" w:cs="Arial"/>
          <w:sz w:val="24"/>
          <w:szCs w:val="24"/>
        </w:rPr>
        <w:t xml:space="preserve">. </w:t>
      </w:r>
    </w:p>
    <w:p w14:paraId="1D668CDD" w14:textId="1EF3D107" w:rsidR="00BA14C6" w:rsidRDefault="00BA14C6" w:rsidP="00E51C1F">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QUINTO</w:t>
      </w:r>
      <w:r w:rsidRPr="00512412">
        <w:rPr>
          <w:rFonts w:ascii="Arial" w:eastAsia="Calibri" w:hAnsi="Arial" w:cs="Arial"/>
          <w:b/>
          <w:bCs/>
          <w:sz w:val="24"/>
          <w:szCs w:val="24"/>
          <w:lang w:eastAsia="en-US"/>
        </w:rPr>
        <w:t>. Causales de improcedencia y sobreseimiento.</w:t>
      </w:r>
      <w:r w:rsidRPr="00512412">
        <w:rPr>
          <w:rFonts w:ascii="Arial" w:eastAsia="Calibri" w:hAnsi="Arial" w:cs="Arial"/>
          <w:sz w:val="24"/>
          <w:szCs w:val="24"/>
          <w:lang w:eastAsia="en-US"/>
        </w:rPr>
        <w:t xml:space="preserve"> </w:t>
      </w:r>
      <w:r w:rsidRPr="00937F4C">
        <w:rPr>
          <w:rFonts w:ascii="Arial" w:hAnsi="Arial" w:cs="Arial"/>
          <w:sz w:val="24"/>
          <w:szCs w:val="24"/>
        </w:rPr>
        <w:t xml:space="preserve">De un estudio oficioso de las causales de improcedencia y sobreseimiento del juicio, que estipula el artículo 161 in fine de la Ley de la materia, </w:t>
      </w:r>
      <w:r w:rsidR="00BB1A01">
        <w:rPr>
          <w:rFonts w:ascii="Arial" w:hAnsi="Arial" w:cs="Arial"/>
          <w:sz w:val="24"/>
          <w:szCs w:val="24"/>
        </w:rPr>
        <w:t xml:space="preserve">no </w:t>
      </w:r>
      <w:r w:rsidRPr="00937F4C">
        <w:rPr>
          <w:rFonts w:ascii="Arial" w:hAnsi="Arial" w:cs="Arial"/>
          <w:sz w:val="24"/>
          <w:szCs w:val="24"/>
        </w:rPr>
        <w:t>se advierte que existe</w:t>
      </w:r>
      <w:r w:rsidR="003102F2">
        <w:rPr>
          <w:rFonts w:ascii="Arial" w:hAnsi="Arial" w:cs="Arial"/>
          <w:sz w:val="24"/>
          <w:szCs w:val="24"/>
        </w:rPr>
        <w:t>n</w:t>
      </w:r>
      <w:r w:rsidRPr="00937F4C">
        <w:rPr>
          <w:rFonts w:ascii="Arial" w:hAnsi="Arial" w:cs="Arial"/>
          <w:sz w:val="24"/>
          <w:szCs w:val="24"/>
        </w:rPr>
        <w:t xml:space="preserve"> causal</w:t>
      </w:r>
      <w:r w:rsidR="003102F2">
        <w:rPr>
          <w:rFonts w:ascii="Arial" w:hAnsi="Arial" w:cs="Arial"/>
          <w:sz w:val="24"/>
          <w:szCs w:val="24"/>
        </w:rPr>
        <w:t>es</w:t>
      </w:r>
      <w:r w:rsidRPr="00937F4C">
        <w:rPr>
          <w:rFonts w:ascii="Arial" w:hAnsi="Arial" w:cs="Arial"/>
          <w:sz w:val="24"/>
          <w:szCs w:val="24"/>
        </w:rPr>
        <w:t xml:space="preserve"> de improcedencia </w:t>
      </w:r>
      <w:r w:rsidR="003102F2">
        <w:rPr>
          <w:rFonts w:ascii="Arial" w:hAnsi="Arial" w:cs="Arial"/>
          <w:sz w:val="24"/>
          <w:szCs w:val="24"/>
        </w:rPr>
        <w:t>y</w:t>
      </w:r>
      <w:r w:rsidRPr="00937F4C">
        <w:rPr>
          <w:rFonts w:ascii="Arial" w:hAnsi="Arial" w:cs="Arial"/>
          <w:sz w:val="24"/>
          <w:szCs w:val="24"/>
        </w:rPr>
        <w:t xml:space="preserve"> sobreseimiento </w:t>
      </w:r>
      <w:r w:rsidR="00626F4F">
        <w:rPr>
          <w:rFonts w:ascii="Arial" w:hAnsi="Arial" w:cs="Arial"/>
          <w:sz w:val="24"/>
          <w:szCs w:val="24"/>
        </w:rPr>
        <w:t>que impidan</w:t>
      </w:r>
      <w:r w:rsidRPr="00937F4C">
        <w:rPr>
          <w:rFonts w:ascii="Arial" w:hAnsi="Arial" w:cs="Arial"/>
          <w:sz w:val="24"/>
          <w:szCs w:val="24"/>
        </w:rPr>
        <w:t xml:space="preserve"> conocer el fondo del presente juicio</w:t>
      </w:r>
      <w:r w:rsidR="004C0A42">
        <w:rPr>
          <w:rFonts w:ascii="Arial" w:hAnsi="Arial" w:cs="Arial"/>
          <w:sz w:val="24"/>
          <w:szCs w:val="24"/>
        </w:rPr>
        <w:t xml:space="preserve">. </w:t>
      </w:r>
    </w:p>
    <w:p w14:paraId="60DAF255" w14:textId="548EC1CD" w:rsidR="00BB1A01" w:rsidRDefault="003F5A16" w:rsidP="00364ED3">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b/>
          <w:sz w:val="24"/>
          <w:szCs w:val="24"/>
        </w:rPr>
        <w:t xml:space="preserve">SEXTO. </w:t>
      </w:r>
      <w:r w:rsidRPr="00512412">
        <w:rPr>
          <w:rFonts w:ascii="Arial" w:eastAsia="Calibri" w:hAnsi="Arial" w:cs="Arial"/>
          <w:b/>
          <w:bCs/>
          <w:sz w:val="24"/>
          <w:szCs w:val="24"/>
          <w:lang w:eastAsia="en-US"/>
        </w:rPr>
        <w:t xml:space="preserve">Estudio del Fondo del Asunto. </w:t>
      </w:r>
      <w:r w:rsidR="00364ED3">
        <w:rPr>
          <w:rFonts w:ascii="Arial" w:hAnsi="Arial" w:cs="Arial"/>
          <w:sz w:val="24"/>
          <w:szCs w:val="24"/>
        </w:rPr>
        <w:t>De una lectura integral del acto impugnado se advierte</w:t>
      </w:r>
      <w:r w:rsidR="00C15502">
        <w:rPr>
          <w:rFonts w:ascii="Arial" w:hAnsi="Arial" w:cs="Arial"/>
          <w:sz w:val="24"/>
          <w:szCs w:val="24"/>
        </w:rPr>
        <w:t xml:space="preserve"> que </w:t>
      </w:r>
      <w:r w:rsidR="005B6892">
        <w:rPr>
          <w:rFonts w:ascii="Arial" w:hAnsi="Arial" w:cs="Arial"/>
          <w:sz w:val="24"/>
          <w:szCs w:val="24"/>
        </w:rPr>
        <w:t xml:space="preserve">existe una </w:t>
      </w:r>
      <w:r w:rsidR="00364ED3">
        <w:rPr>
          <w:rFonts w:ascii="Arial" w:hAnsi="Arial" w:cs="Arial"/>
          <w:b/>
          <w:bCs/>
          <w:sz w:val="24"/>
          <w:szCs w:val="24"/>
        </w:rPr>
        <w:t>indebida fundamentación y motivación</w:t>
      </w:r>
      <w:r w:rsidR="00364ED3">
        <w:rPr>
          <w:rFonts w:ascii="Arial" w:hAnsi="Arial" w:cs="Arial"/>
          <w:sz w:val="24"/>
          <w:szCs w:val="24"/>
        </w:rPr>
        <w:t xml:space="preserve"> </w:t>
      </w:r>
      <w:r w:rsidR="005B6892">
        <w:rPr>
          <w:rFonts w:ascii="Arial" w:hAnsi="Arial" w:cs="Arial"/>
          <w:sz w:val="24"/>
          <w:szCs w:val="24"/>
        </w:rPr>
        <w:t xml:space="preserve">respecto del acta de infracción </w:t>
      </w:r>
      <w:r w:rsidR="005F6587">
        <w:rPr>
          <w:rFonts w:ascii="Arial" w:eastAsia="Calibri" w:hAnsi="Arial" w:cs="Arial"/>
          <w:sz w:val="24"/>
          <w:szCs w:val="24"/>
          <w:lang w:eastAsia="en-US"/>
        </w:rPr>
        <w:t>**********</w:t>
      </w:r>
      <w:r w:rsidR="00364ED3">
        <w:rPr>
          <w:rFonts w:ascii="Arial" w:eastAsia="Calibri" w:hAnsi="Arial" w:cs="Arial"/>
          <w:sz w:val="24"/>
          <w:szCs w:val="24"/>
          <w:lang w:eastAsia="en-US"/>
        </w:rPr>
        <w:t xml:space="preserve"> de fecha uno de octubre de dos mil veintidós</w:t>
      </w:r>
      <w:r w:rsidR="005B6892">
        <w:rPr>
          <w:rFonts w:ascii="Arial" w:hAnsi="Arial" w:cs="Arial"/>
          <w:sz w:val="24"/>
          <w:szCs w:val="24"/>
        </w:rPr>
        <w:t>, la cual supuestamente fue emitida por encontrarse el actor conduciendo en estado de ebriedad.</w:t>
      </w:r>
    </w:p>
    <w:p w14:paraId="02392300" w14:textId="2EDE4C15" w:rsidR="005B6892" w:rsidRDefault="00890BC2" w:rsidP="00E51C1F">
      <w:pPr>
        <w:spacing w:line="360" w:lineRule="auto"/>
        <w:ind w:firstLine="567"/>
        <w:jc w:val="both"/>
        <w:rPr>
          <w:rFonts w:ascii="Arial" w:hAnsi="Arial" w:cs="Arial"/>
          <w:sz w:val="24"/>
          <w:szCs w:val="24"/>
        </w:rPr>
      </w:pPr>
      <w:r>
        <w:rPr>
          <w:rFonts w:ascii="Arial" w:hAnsi="Arial" w:cs="Arial"/>
          <w:sz w:val="24"/>
          <w:szCs w:val="24"/>
        </w:rPr>
        <w:t>Pero</w:t>
      </w:r>
      <w:r w:rsidR="005B6892">
        <w:rPr>
          <w:rFonts w:ascii="Arial" w:hAnsi="Arial" w:cs="Arial"/>
          <w:sz w:val="24"/>
          <w:szCs w:val="24"/>
        </w:rPr>
        <w:t xml:space="preserve">, es de explorado derecho que tratándose de infracciones por conducir en estado de ebriedad, resulta indispensable que previo a su emisión la autoridad administrativa cuente con elementos suficientes para determinar que efectivamente los particulares se encontraban conduciendo bajo los influjos del alcohol. </w:t>
      </w:r>
    </w:p>
    <w:p w14:paraId="25219880" w14:textId="77777777" w:rsidR="005B6892" w:rsidRDefault="005B6892" w:rsidP="005B6892">
      <w:pPr>
        <w:spacing w:line="360" w:lineRule="auto"/>
        <w:ind w:firstLine="567"/>
        <w:jc w:val="both"/>
        <w:rPr>
          <w:rFonts w:ascii="Arial" w:hAnsi="Arial" w:cs="Arial"/>
          <w:sz w:val="24"/>
          <w:szCs w:val="24"/>
        </w:rPr>
      </w:pPr>
      <w:r>
        <w:rPr>
          <w:rFonts w:ascii="Arial" w:hAnsi="Arial" w:cs="Arial"/>
          <w:sz w:val="24"/>
          <w:szCs w:val="24"/>
        </w:rPr>
        <w:t xml:space="preserve">Lo anterior se acredita con la siguiente Tesis: </w:t>
      </w:r>
    </w:p>
    <w:p w14:paraId="14E43B66" w14:textId="77777777" w:rsidR="005B6892" w:rsidRDefault="005B6892" w:rsidP="00890BC2">
      <w:pPr>
        <w:spacing w:line="360" w:lineRule="auto"/>
        <w:ind w:right="758" w:firstLine="567"/>
        <w:jc w:val="both"/>
        <w:rPr>
          <w:rFonts w:ascii="Arial" w:hAnsi="Arial" w:cs="Arial"/>
          <w:sz w:val="24"/>
          <w:szCs w:val="24"/>
        </w:rPr>
      </w:pPr>
    </w:p>
    <w:p w14:paraId="12C763D1" w14:textId="2D16D20F" w:rsidR="005B6892" w:rsidRPr="00717842" w:rsidRDefault="00890BC2" w:rsidP="00890BC2">
      <w:pPr>
        <w:tabs>
          <w:tab w:val="left" w:pos="1276"/>
        </w:tabs>
        <w:spacing w:line="360" w:lineRule="auto"/>
        <w:ind w:left="1276" w:right="758"/>
        <w:jc w:val="both"/>
        <w:rPr>
          <w:rFonts w:ascii="Arial Narrow" w:hAnsi="Arial Narrow" w:cs="Arial"/>
          <w:b/>
          <w:bCs/>
          <w:sz w:val="24"/>
          <w:szCs w:val="24"/>
        </w:rPr>
      </w:pPr>
      <w:r>
        <w:rPr>
          <w:rFonts w:ascii="Arial Narrow" w:hAnsi="Arial Narrow" w:cs="Arial"/>
          <w:b/>
          <w:bCs/>
          <w:sz w:val="24"/>
          <w:szCs w:val="24"/>
        </w:rPr>
        <w:t>“</w:t>
      </w:r>
      <w:r w:rsidR="005B6892" w:rsidRPr="00717842">
        <w:rPr>
          <w:rFonts w:ascii="Arial Narrow" w:hAnsi="Arial Narrow" w:cs="Arial"/>
          <w:b/>
          <w:bCs/>
          <w:sz w:val="24"/>
          <w:szCs w:val="24"/>
        </w:rPr>
        <w:t>ALCOHOLÍMETRO. EL "TICKET DE PRUEBA", EL "FORMATO CADENA DE CUSTODIA" Y LA "BOLETA DE REMISIÓN", CONSTITUYEN UNA UNIDAD PROBATORIA</w:t>
      </w:r>
      <w:r w:rsidR="005B6892">
        <w:rPr>
          <w:rStyle w:val="Refdenotaalpie"/>
          <w:rFonts w:ascii="Arial Narrow" w:hAnsi="Arial Narrow" w:cs="Arial"/>
          <w:b/>
          <w:bCs/>
          <w:sz w:val="24"/>
          <w:szCs w:val="24"/>
        </w:rPr>
        <w:footnoteReference w:id="4"/>
      </w:r>
      <w:r w:rsidR="005B6892" w:rsidRPr="00717842">
        <w:rPr>
          <w:rFonts w:ascii="Arial Narrow" w:hAnsi="Arial Narrow" w:cs="Arial"/>
          <w:b/>
          <w:bCs/>
          <w:sz w:val="24"/>
          <w:szCs w:val="24"/>
        </w:rPr>
        <w:t>.</w:t>
      </w:r>
    </w:p>
    <w:p w14:paraId="064CFF67" w14:textId="17C144A7" w:rsidR="005B6892" w:rsidRPr="00717842" w:rsidRDefault="005B6892" w:rsidP="00890BC2">
      <w:pPr>
        <w:tabs>
          <w:tab w:val="left" w:pos="1276"/>
        </w:tabs>
        <w:spacing w:line="360" w:lineRule="auto"/>
        <w:ind w:left="1276" w:right="758"/>
        <w:jc w:val="both"/>
        <w:rPr>
          <w:rFonts w:ascii="Arial Narrow" w:hAnsi="Arial Narrow" w:cs="Arial"/>
          <w:sz w:val="24"/>
          <w:szCs w:val="24"/>
        </w:rPr>
      </w:pPr>
      <w:r w:rsidRPr="00717842">
        <w:rPr>
          <w:rFonts w:ascii="Arial Narrow" w:hAnsi="Arial Narrow" w:cs="Arial"/>
          <w:sz w:val="24"/>
          <w:szCs w:val="24"/>
        </w:rPr>
        <w:t xml:space="preserve">La información, circunstancias y datos recabados en la prueba de alcoholímetro no sólo constan en el "ticket de prueba", sino también y de conformidad con lo previsto en los artículos 51, fracción I, inciso f), del Reglamento de Tránsito y 56 de la Ley de Cultura Cívica, ambos de </w:t>
      </w:r>
      <w:r w:rsidRPr="00717842">
        <w:rPr>
          <w:rFonts w:ascii="Arial Narrow" w:hAnsi="Arial Narrow" w:cs="Arial"/>
          <w:sz w:val="24"/>
          <w:szCs w:val="24"/>
        </w:rPr>
        <w:lastRenderedPageBreak/>
        <w:t xml:space="preserve">la Ciudad de México, en el "formato cadena de custodia" y en la "boleta de remisión". En efecto, del artículo 56 de la ley en cita se deriva que la "boleta de remisión" constituye el parte informativo que pone en conocimiento del Juez cívico los hechos presuntamente constitutivos de infracción, con la particularidad de que en ese documento se asienta por primera ocasión la privación a la libertad </w:t>
      </w:r>
      <w:proofErr w:type="spellStart"/>
      <w:r w:rsidRPr="00717842">
        <w:rPr>
          <w:rFonts w:ascii="Arial Narrow" w:hAnsi="Arial Narrow" w:cs="Arial"/>
          <w:sz w:val="24"/>
          <w:szCs w:val="24"/>
        </w:rPr>
        <w:t>deambulatoria</w:t>
      </w:r>
      <w:proofErr w:type="spellEnd"/>
      <w:r w:rsidRPr="00717842">
        <w:rPr>
          <w:rFonts w:ascii="Arial Narrow" w:hAnsi="Arial Narrow" w:cs="Arial"/>
          <w:sz w:val="24"/>
          <w:szCs w:val="24"/>
        </w:rPr>
        <w:t xml:space="preserve"> de la persona que es presentada y se exponen la fundamentación y motivación de tal proceder. Por otro lado, como se desprende de los artículos citados del Reglamento de Tránsito, el "ticket de prueba" y el "formato cadena de custodia" son actos previos a la elaboración de la "boleta de remisión" y constituyen su sustento. Esto es, al obtener el "ticket de prueba" se tiene conocimiento del resultado del nivel de alcohol (que es el que amerita la detención del infractor) y ello trasciende a la elaboración del diverso documento referido como "formato cadena de custodia", el cual pretende garantizar la integridad de la prueba y su resultado y asegurar la identidad e integridad física del detenido. Así, de una interpretación sistemática de las normas aplicables referidas, se deriva que estos dos últimos documentos son elementos que acompañan y dan sustento a la "boleta de remisión" que, en ese entendido, es el acto de autoridad en el que debe fundarse y motivarse la causa de detención de la persona y en el que se asienta el resultado del "ticket de prueba" y los datos de identificación del mismo que, además, se acompaña del diverso "formato cadena de custodia". Conforme a lo anterior, los tres documentos integran en conjunto una unidad probatoria que debe valorarse, precisamente, de manera conjunta y que, así considerados, pueden acreditar las circunstancias de modo, tiempo y lugar de la detención y respetadas sus formalidades, pueden constituir prueba válida para sustentar el procedimiento y la sanción administrativa.</w:t>
      </w:r>
      <w:r w:rsidR="00890BC2">
        <w:rPr>
          <w:rFonts w:ascii="Arial Narrow" w:hAnsi="Arial Narrow" w:cs="Arial"/>
          <w:sz w:val="24"/>
          <w:szCs w:val="24"/>
        </w:rPr>
        <w:t>”</w:t>
      </w:r>
    </w:p>
    <w:p w14:paraId="5406D4E1" w14:textId="5DD35EAD" w:rsidR="005B6892" w:rsidRDefault="005B6892" w:rsidP="00E51C1F">
      <w:pPr>
        <w:spacing w:line="360" w:lineRule="auto"/>
        <w:ind w:firstLine="567"/>
        <w:jc w:val="both"/>
        <w:rPr>
          <w:rFonts w:ascii="Arial" w:hAnsi="Arial" w:cs="Arial"/>
          <w:sz w:val="24"/>
          <w:szCs w:val="24"/>
        </w:rPr>
      </w:pPr>
      <w:r>
        <w:rPr>
          <w:rFonts w:ascii="Arial" w:hAnsi="Arial" w:cs="Arial"/>
          <w:sz w:val="24"/>
          <w:szCs w:val="24"/>
        </w:rPr>
        <w:t xml:space="preserve">Sin embargo, el acta de infracción impugnada únicamente reza </w:t>
      </w:r>
      <w:r w:rsidR="00890BC2">
        <w:rPr>
          <w:rFonts w:ascii="Arial" w:hAnsi="Arial" w:cs="Arial"/>
          <w:sz w:val="24"/>
          <w:szCs w:val="24"/>
        </w:rPr>
        <w:t>“</w:t>
      </w:r>
      <w:r>
        <w:rPr>
          <w:rFonts w:ascii="Arial" w:hAnsi="Arial" w:cs="Arial"/>
          <w:i/>
          <w:iCs/>
          <w:sz w:val="24"/>
          <w:szCs w:val="24"/>
        </w:rPr>
        <w:t>Por conducir en estado de ebriedad</w:t>
      </w:r>
      <w:r w:rsidR="00890BC2">
        <w:rPr>
          <w:rFonts w:ascii="Arial" w:hAnsi="Arial" w:cs="Arial"/>
          <w:i/>
          <w:iCs/>
          <w:sz w:val="24"/>
          <w:szCs w:val="24"/>
        </w:rPr>
        <w:t>”</w:t>
      </w:r>
      <w:r>
        <w:rPr>
          <w:rFonts w:ascii="Arial" w:hAnsi="Arial" w:cs="Arial"/>
          <w:sz w:val="24"/>
          <w:szCs w:val="24"/>
        </w:rPr>
        <w:t xml:space="preserve">, sin que en ningún momento se especifique qué tipo de prueba realizó la autoridad administrativa para determinar que efectivamente el actor estaba conduciendo en estado de ebriedad. </w:t>
      </w:r>
    </w:p>
    <w:p w14:paraId="4B72C664" w14:textId="50503285" w:rsidR="00B87272" w:rsidRDefault="00B87272" w:rsidP="00B87272">
      <w:pPr>
        <w:spacing w:line="360" w:lineRule="auto"/>
        <w:ind w:firstLine="567"/>
        <w:jc w:val="both"/>
        <w:rPr>
          <w:rFonts w:ascii="Arial" w:hAnsi="Arial" w:cs="Arial"/>
          <w:sz w:val="24"/>
          <w:szCs w:val="24"/>
        </w:rPr>
      </w:pPr>
      <w:r>
        <w:rPr>
          <w:rFonts w:ascii="Arial" w:hAnsi="Arial" w:cs="Arial"/>
          <w:sz w:val="24"/>
          <w:szCs w:val="24"/>
        </w:rPr>
        <w:t>Es así</w:t>
      </w:r>
      <w:r w:rsidR="00AE01E1">
        <w:rPr>
          <w:rFonts w:ascii="Arial" w:hAnsi="Arial" w:cs="Arial"/>
          <w:sz w:val="24"/>
          <w:szCs w:val="24"/>
        </w:rPr>
        <w:t>,</w:t>
      </w:r>
      <w:r>
        <w:rPr>
          <w:rFonts w:ascii="Arial" w:hAnsi="Arial" w:cs="Arial"/>
          <w:sz w:val="24"/>
          <w:szCs w:val="24"/>
        </w:rPr>
        <w:t xml:space="preserve"> que el artículo 21 de la Constitución Política de los Estados Unidos Mexicanos, faculta a las autoridades administrativas a imponer sanciones que no podrán ir más allá de una multa, arresto hasta por treinta y seis horas o trabajo en favor de la comunidad: </w:t>
      </w:r>
    </w:p>
    <w:p w14:paraId="0D31B782" w14:textId="7384E6D4" w:rsidR="00B87272" w:rsidRPr="009F092A" w:rsidRDefault="00890BC2" w:rsidP="00890BC2">
      <w:pPr>
        <w:spacing w:line="360" w:lineRule="auto"/>
        <w:ind w:left="1134" w:right="758"/>
        <w:jc w:val="both"/>
        <w:rPr>
          <w:rFonts w:ascii="Arial Narrow" w:hAnsi="Arial Narrow" w:cs="Arial"/>
          <w:sz w:val="24"/>
          <w:szCs w:val="24"/>
        </w:rPr>
      </w:pPr>
      <w:r>
        <w:rPr>
          <w:rFonts w:ascii="Arial Narrow" w:hAnsi="Arial Narrow" w:cs="Arial"/>
          <w:b/>
          <w:bCs/>
          <w:sz w:val="24"/>
          <w:szCs w:val="24"/>
        </w:rPr>
        <w:t>“</w:t>
      </w:r>
      <w:r w:rsidR="00B87272" w:rsidRPr="009F092A">
        <w:rPr>
          <w:rFonts w:ascii="Arial Narrow" w:hAnsi="Arial Narrow" w:cs="Arial"/>
          <w:b/>
          <w:bCs/>
          <w:sz w:val="24"/>
          <w:szCs w:val="24"/>
        </w:rPr>
        <w:t>Artículo 21.</w:t>
      </w:r>
      <w:r w:rsidR="00B87272" w:rsidRPr="009F092A">
        <w:rPr>
          <w:rFonts w:ascii="Arial Narrow" w:hAnsi="Arial Narrow" w:cs="Arial"/>
          <w:sz w:val="24"/>
          <w:szCs w:val="24"/>
        </w:rPr>
        <w:t xml:space="preserve"> La investigación de los delitos corresponde al Ministerio Público y a las policías, las cuales actuarán bajo la conducción y mando de aquél en el ejercicio de esta función.</w:t>
      </w:r>
    </w:p>
    <w:p w14:paraId="4759AD26" w14:textId="77777777" w:rsidR="00B87272" w:rsidRPr="009F092A" w:rsidRDefault="00B87272" w:rsidP="00890BC2">
      <w:pPr>
        <w:spacing w:line="360" w:lineRule="auto"/>
        <w:ind w:left="1134" w:right="758"/>
        <w:jc w:val="both"/>
        <w:rPr>
          <w:rFonts w:ascii="Arial Narrow" w:hAnsi="Arial Narrow" w:cs="Arial"/>
          <w:sz w:val="24"/>
          <w:szCs w:val="24"/>
        </w:rPr>
      </w:pPr>
      <w:r w:rsidRPr="009F092A">
        <w:rPr>
          <w:rFonts w:ascii="Arial Narrow" w:hAnsi="Arial Narrow" w:cs="Arial"/>
          <w:sz w:val="24"/>
          <w:szCs w:val="24"/>
        </w:rPr>
        <w:lastRenderedPageBreak/>
        <w:t>(…)</w:t>
      </w:r>
    </w:p>
    <w:p w14:paraId="56546A1D" w14:textId="77777777" w:rsidR="00B87272" w:rsidRPr="009F092A" w:rsidRDefault="00B87272" w:rsidP="00890BC2">
      <w:pPr>
        <w:spacing w:line="360" w:lineRule="auto"/>
        <w:ind w:left="1134" w:right="758"/>
        <w:jc w:val="both"/>
        <w:rPr>
          <w:rFonts w:ascii="Arial Narrow" w:hAnsi="Arial Narrow" w:cs="Arial"/>
          <w:sz w:val="24"/>
          <w:szCs w:val="24"/>
        </w:rPr>
      </w:pPr>
      <w:r w:rsidRPr="009F092A">
        <w:rPr>
          <w:rFonts w:ascii="Arial Narrow" w:hAnsi="Arial Narrow" w:cs="Arial"/>
          <w:sz w:val="24"/>
          <w:szCs w:val="24"/>
        </w:rPr>
        <w:t xml:space="preserve"> Compete a la autoridad administrativa la aplicación de sanciones por las infracciones de los reglamentos gubernativos y de policía, las que únicamente consistirán en multa, arresto hasta por treinta y seis horas o en trabajo a favor de la comunidad; pero si el infractor no pagare la multa que se le hubiese impuesto, se permutará esta por el arresto correspondiente, que no excederá en ningún caso de treinta y seis horas.</w:t>
      </w:r>
    </w:p>
    <w:p w14:paraId="7F77B62B" w14:textId="1097197C" w:rsidR="00B87272" w:rsidRPr="009F092A" w:rsidRDefault="00B87272" w:rsidP="00890BC2">
      <w:pPr>
        <w:spacing w:line="360" w:lineRule="auto"/>
        <w:ind w:left="1134" w:right="758"/>
        <w:jc w:val="both"/>
        <w:rPr>
          <w:rFonts w:ascii="Arial Narrow" w:hAnsi="Arial Narrow" w:cs="Arial"/>
          <w:sz w:val="28"/>
          <w:szCs w:val="28"/>
        </w:rPr>
      </w:pPr>
      <w:r w:rsidRPr="009F092A">
        <w:rPr>
          <w:rFonts w:ascii="Arial Narrow" w:hAnsi="Arial Narrow" w:cs="Arial"/>
          <w:sz w:val="24"/>
          <w:szCs w:val="24"/>
        </w:rPr>
        <w:t>(…)</w:t>
      </w:r>
      <w:r w:rsidR="00890BC2">
        <w:rPr>
          <w:rFonts w:ascii="Arial Narrow" w:hAnsi="Arial Narrow" w:cs="Arial"/>
          <w:sz w:val="24"/>
          <w:szCs w:val="24"/>
        </w:rPr>
        <w:t>”</w:t>
      </w:r>
    </w:p>
    <w:p w14:paraId="2E949572" w14:textId="77777777" w:rsidR="00B87272" w:rsidRDefault="00B87272" w:rsidP="00B87272">
      <w:pPr>
        <w:spacing w:line="360" w:lineRule="auto"/>
        <w:jc w:val="both"/>
        <w:rPr>
          <w:rFonts w:ascii="Arial" w:hAnsi="Arial" w:cs="Arial"/>
          <w:sz w:val="24"/>
          <w:szCs w:val="24"/>
        </w:rPr>
      </w:pPr>
    </w:p>
    <w:p w14:paraId="1535F9C7" w14:textId="77777777" w:rsidR="00B87272" w:rsidRDefault="00B87272" w:rsidP="00B87272">
      <w:pPr>
        <w:spacing w:line="360" w:lineRule="auto"/>
        <w:ind w:firstLine="567"/>
        <w:jc w:val="both"/>
        <w:rPr>
          <w:rFonts w:ascii="Arial" w:hAnsi="Arial" w:cs="Arial"/>
          <w:sz w:val="24"/>
          <w:szCs w:val="24"/>
        </w:rPr>
      </w:pPr>
      <w:r>
        <w:rPr>
          <w:rFonts w:ascii="Arial" w:hAnsi="Arial" w:cs="Arial"/>
          <w:sz w:val="24"/>
          <w:szCs w:val="24"/>
        </w:rPr>
        <w:t xml:space="preserve">Así pues, resulta innegable que las multas emitidas por una autoridad administrativa, deben cumplir el imperativo constitucional de encontrarse debidamente fundadas y motivadas como se podrá apreciar de la cita de las siguientes Tesis: </w:t>
      </w:r>
    </w:p>
    <w:p w14:paraId="52BC0615" w14:textId="77777777" w:rsidR="00B87272" w:rsidRDefault="00B87272" w:rsidP="00A2310E">
      <w:pPr>
        <w:spacing w:line="360" w:lineRule="auto"/>
        <w:ind w:right="616" w:firstLine="567"/>
        <w:jc w:val="both"/>
        <w:rPr>
          <w:rFonts w:ascii="Arial" w:hAnsi="Arial" w:cs="Arial"/>
          <w:sz w:val="24"/>
          <w:szCs w:val="24"/>
        </w:rPr>
      </w:pPr>
    </w:p>
    <w:p w14:paraId="124235B7" w14:textId="0B9F871B" w:rsidR="00B87272" w:rsidRPr="009F092A" w:rsidRDefault="00A2310E" w:rsidP="00A2310E">
      <w:pPr>
        <w:spacing w:line="360" w:lineRule="auto"/>
        <w:ind w:left="1134" w:right="616"/>
        <w:jc w:val="both"/>
        <w:rPr>
          <w:rFonts w:ascii="Arial Narrow" w:hAnsi="Arial Narrow" w:cs="Arial"/>
          <w:b/>
          <w:bCs/>
          <w:sz w:val="24"/>
          <w:szCs w:val="24"/>
        </w:rPr>
      </w:pPr>
      <w:r>
        <w:rPr>
          <w:rFonts w:ascii="Arial Narrow" w:hAnsi="Arial Narrow" w:cs="Arial"/>
          <w:b/>
          <w:bCs/>
          <w:sz w:val="24"/>
          <w:szCs w:val="24"/>
        </w:rPr>
        <w:t>“</w:t>
      </w:r>
      <w:r w:rsidR="00B87272" w:rsidRPr="009F092A">
        <w:rPr>
          <w:rFonts w:ascii="Arial Narrow" w:hAnsi="Arial Narrow" w:cs="Arial"/>
          <w:b/>
          <w:bCs/>
          <w:sz w:val="24"/>
          <w:szCs w:val="24"/>
        </w:rPr>
        <w:t>TRANSITO, MULTAS DE</w:t>
      </w:r>
      <w:r w:rsidR="00B87272">
        <w:rPr>
          <w:rStyle w:val="Refdenotaalpie"/>
          <w:rFonts w:ascii="Arial Narrow" w:hAnsi="Arial Narrow" w:cs="Arial"/>
          <w:b/>
          <w:bCs/>
          <w:sz w:val="24"/>
          <w:szCs w:val="24"/>
        </w:rPr>
        <w:footnoteReference w:id="5"/>
      </w:r>
      <w:r w:rsidR="00B87272" w:rsidRPr="009F092A">
        <w:rPr>
          <w:rFonts w:ascii="Arial Narrow" w:hAnsi="Arial Narrow" w:cs="Arial"/>
          <w:b/>
          <w:bCs/>
          <w:sz w:val="24"/>
          <w:szCs w:val="24"/>
        </w:rPr>
        <w:t>.</w:t>
      </w:r>
    </w:p>
    <w:p w14:paraId="1113580B" w14:textId="0538A125" w:rsidR="00B87272" w:rsidRDefault="00B87272" w:rsidP="00A2310E">
      <w:pPr>
        <w:spacing w:line="360" w:lineRule="auto"/>
        <w:ind w:left="1134" w:right="616"/>
        <w:jc w:val="both"/>
        <w:rPr>
          <w:rFonts w:ascii="Arial Narrow" w:hAnsi="Arial Narrow" w:cs="Arial"/>
          <w:sz w:val="24"/>
          <w:szCs w:val="24"/>
        </w:rPr>
      </w:pPr>
      <w:r w:rsidRPr="009F092A">
        <w:rPr>
          <w:rFonts w:ascii="Arial Narrow" w:hAnsi="Arial Narrow" w:cs="Arial"/>
          <w:sz w:val="24"/>
          <w:szCs w:val="24"/>
        </w:rPr>
        <w:t>Si un agente de tránsito como testigo, parte y Juez, levanta una infracción, y contra su dicho resulta eventualmente diabólica la carga de la prueba, lo menos que puede exigirse de ese agente es que al levantar una infracción exprese con toda amplitud y claridad los motivos que tuvo para hacerlo, y funde en derecho, con toda claridad los motivos que tuvo para hacerlo, y funde en derecho, con toda claridad, la multa que impuso. Y también es menester que conteste la demanda que contra su acta de infracción y su resolución de multa se imponga, refiriéndose con toda claridad y precisión a los hechos que el actor narra en su demanda y en los que dicho agente tuvo intervención, pues no podrían aceptarse como motivación válida del acto impugnado su silencio, ni sus evasivas, ni las afirmaciones ambiguas que soslayan la esencia de los hechos. Tal conducta exigida del agente es un mínimo de seguridad en la aplicación de las garantías de motivación y fundamentación que consagra el artículo 16 constitucional.</w:t>
      </w:r>
      <w:r w:rsidR="00A2310E">
        <w:rPr>
          <w:rFonts w:ascii="Arial Narrow" w:hAnsi="Arial Narrow" w:cs="Arial"/>
          <w:sz w:val="24"/>
          <w:szCs w:val="24"/>
        </w:rPr>
        <w:t>”</w:t>
      </w:r>
    </w:p>
    <w:p w14:paraId="2E255811" w14:textId="77777777" w:rsidR="00B87272" w:rsidRDefault="00B87272" w:rsidP="00A2310E">
      <w:pPr>
        <w:spacing w:line="360" w:lineRule="auto"/>
        <w:ind w:left="1134" w:right="616"/>
        <w:jc w:val="both"/>
        <w:rPr>
          <w:rFonts w:ascii="Arial Narrow" w:hAnsi="Arial Narrow" w:cs="Arial"/>
          <w:sz w:val="24"/>
          <w:szCs w:val="24"/>
        </w:rPr>
      </w:pPr>
    </w:p>
    <w:p w14:paraId="69B0553F" w14:textId="1C873D4F" w:rsidR="00B87272" w:rsidRPr="009F092A" w:rsidRDefault="00A2310E" w:rsidP="00A2310E">
      <w:pPr>
        <w:spacing w:line="360" w:lineRule="auto"/>
        <w:ind w:left="1134" w:right="616"/>
        <w:jc w:val="both"/>
        <w:rPr>
          <w:rFonts w:ascii="Arial Narrow" w:hAnsi="Arial Narrow" w:cs="Arial"/>
          <w:b/>
          <w:bCs/>
          <w:sz w:val="24"/>
          <w:szCs w:val="24"/>
        </w:rPr>
      </w:pPr>
      <w:r>
        <w:rPr>
          <w:rFonts w:ascii="Arial Narrow" w:hAnsi="Arial Narrow" w:cs="Arial"/>
          <w:b/>
          <w:bCs/>
          <w:sz w:val="24"/>
          <w:szCs w:val="24"/>
        </w:rPr>
        <w:lastRenderedPageBreak/>
        <w:t>“</w:t>
      </w:r>
      <w:r w:rsidR="00B87272" w:rsidRPr="009F092A">
        <w:rPr>
          <w:rFonts w:ascii="Arial Narrow" w:hAnsi="Arial Narrow" w:cs="Arial"/>
          <w:b/>
          <w:bCs/>
          <w:sz w:val="24"/>
          <w:szCs w:val="24"/>
        </w:rPr>
        <w:t>TRANSITO, MULTAS DE</w:t>
      </w:r>
      <w:r w:rsidR="00B87272" w:rsidRPr="009F092A">
        <w:rPr>
          <w:rStyle w:val="Refdenotaalpie"/>
          <w:rFonts w:ascii="Arial Narrow" w:hAnsi="Arial Narrow" w:cs="Arial"/>
          <w:b/>
          <w:bCs/>
          <w:sz w:val="24"/>
          <w:szCs w:val="24"/>
        </w:rPr>
        <w:footnoteReference w:id="6"/>
      </w:r>
      <w:r w:rsidR="00B87272" w:rsidRPr="009F092A">
        <w:rPr>
          <w:rFonts w:ascii="Arial Narrow" w:hAnsi="Arial Narrow" w:cs="Arial"/>
          <w:b/>
          <w:bCs/>
          <w:sz w:val="24"/>
          <w:szCs w:val="24"/>
        </w:rPr>
        <w:t>.</w:t>
      </w:r>
    </w:p>
    <w:p w14:paraId="2CC34042" w14:textId="2F5FE2AC" w:rsidR="00B87272" w:rsidRDefault="00B87272" w:rsidP="00A2310E">
      <w:pPr>
        <w:spacing w:line="360" w:lineRule="auto"/>
        <w:ind w:left="1134" w:right="616"/>
        <w:jc w:val="both"/>
        <w:rPr>
          <w:rFonts w:ascii="Arial Narrow" w:hAnsi="Arial Narrow" w:cs="Arial"/>
          <w:sz w:val="24"/>
          <w:szCs w:val="24"/>
        </w:rPr>
      </w:pPr>
      <w:r w:rsidRPr="009F092A">
        <w:rPr>
          <w:rFonts w:ascii="Arial Narrow" w:hAnsi="Arial Narrow" w:cs="Arial"/>
          <w:sz w:val="24"/>
          <w:szCs w:val="24"/>
        </w:rPr>
        <w:t>Una infracción y una multa impuestas por el agente de tránsito como parte, testigo y Juez, en cuya acta se limita a asentar escuetamente "pasar alto con señal de semáforo", carece de motivación en realidad, pues por una parte no explica en forma clara y completa las circunstancias de la infracción y, por otra, sería una denegación de justicia y una renuncia al debido proceso legal, contra el texto de los artículos 14 y 16 constitucionales, obligar a un particular a pagar sin más una multa cuya motivación no es clara y en la que, como se dijo, el agente fue parte, testigo y Juez, sin que su dicho admita prueba eficaz y real (no simplemente teórica) en contrario.</w:t>
      </w:r>
      <w:r w:rsidR="00A2310E">
        <w:rPr>
          <w:rFonts w:ascii="Arial Narrow" w:hAnsi="Arial Narrow" w:cs="Arial"/>
          <w:sz w:val="24"/>
          <w:szCs w:val="24"/>
        </w:rPr>
        <w:t>”</w:t>
      </w:r>
    </w:p>
    <w:p w14:paraId="5984ECCE" w14:textId="77777777" w:rsidR="00B87272" w:rsidRDefault="00B87272" w:rsidP="00B87272">
      <w:pPr>
        <w:spacing w:line="360" w:lineRule="auto"/>
        <w:ind w:firstLine="567"/>
        <w:jc w:val="both"/>
        <w:rPr>
          <w:rFonts w:ascii="Arial" w:hAnsi="Arial" w:cs="Arial"/>
          <w:sz w:val="24"/>
          <w:szCs w:val="24"/>
        </w:rPr>
      </w:pPr>
    </w:p>
    <w:p w14:paraId="5B7D89F4" w14:textId="77777777" w:rsidR="00B87272" w:rsidRDefault="00B87272" w:rsidP="00B87272">
      <w:pPr>
        <w:spacing w:line="360" w:lineRule="auto"/>
        <w:ind w:firstLine="567"/>
        <w:jc w:val="both"/>
        <w:rPr>
          <w:rFonts w:ascii="Arial" w:hAnsi="Arial" w:cs="Arial"/>
          <w:sz w:val="24"/>
          <w:szCs w:val="24"/>
        </w:rPr>
      </w:pPr>
      <w:r>
        <w:rPr>
          <w:rFonts w:ascii="Arial" w:hAnsi="Arial" w:cs="Arial"/>
          <w:sz w:val="24"/>
          <w:szCs w:val="24"/>
        </w:rPr>
        <w:t xml:space="preserve">Considerando lo anterior, se busca que las infracciones de tránsito contengan un mínimo de fundamentación y motivación que permita al particular conocer a plenitud la conducta que actualizó y por cuyo motivo se le está sancionando, pues se reitera, la finalidad es evitar actuaciones arbitrarias por parte de las autoridades administrativas al momento de imponer sanciones. </w:t>
      </w:r>
    </w:p>
    <w:p w14:paraId="7A223DCA" w14:textId="77777777" w:rsidR="00B87272" w:rsidRDefault="00B87272" w:rsidP="00B87272">
      <w:pPr>
        <w:spacing w:line="360" w:lineRule="auto"/>
        <w:ind w:firstLine="567"/>
        <w:jc w:val="both"/>
        <w:rPr>
          <w:rFonts w:ascii="Arial" w:hAnsi="Arial" w:cs="Arial"/>
          <w:sz w:val="24"/>
          <w:szCs w:val="24"/>
        </w:rPr>
      </w:pPr>
      <w:r>
        <w:rPr>
          <w:rFonts w:ascii="Arial" w:hAnsi="Arial" w:cs="Arial"/>
          <w:sz w:val="24"/>
          <w:szCs w:val="24"/>
        </w:rPr>
        <w:t xml:space="preserve">Lo anterior se advierte de una interpretación de la siguiente Jurisprudencia que en este momento se transcribe: </w:t>
      </w:r>
    </w:p>
    <w:p w14:paraId="0EA95AA8" w14:textId="77777777" w:rsidR="00B87272" w:rsidRPr="00821610" w:rsidRDefault="00B87272" w:rsidP="00B87272">
      <w:pPr>
        <w:spacing w:line="360" w:lineRule="auto"/>
        <w:ind w:left="1134"/>
        <w:jc w:val="both"/>
        <w:rPr>
          <w:rFonts w:ascii="Arial Narrow" w:hAnsi="Arial Narrow" w:cs="Arial"/>
          <w:sz w:val="24"/>
          <w:szCs w:val="24"/>
        </w:rPr>
      </w:pPr>
    </w:p>
    <w:p w14:paraId="1207A4A5" w14:textId="5BFB499C" w:rsidR="00B87272" w:rsidRPr="00821610" w:rsidRDefault="00A2310E" w:rsidP="00A2310E">
      <w:pPr>
        <w:spacing w:line="360" w:lineRule="auto"/>
        <w:ind w:left="1134" w:right="616"/>
        <w:jc w:val="both"/>
        <w:rPr>
          <w:rFonts w:ascii="Arial Narrow" w:hAnsi="Arial Narrow" w:cs="Arial"/>
          <w:b/>
          <w:bCs/>
          <w:sz w:val="24"/>
          <w:szCs w:val="24"/>
        </w:rPr>
      </w:pPr>
      <w:r>
        <w:rPr>
          <w:rFonts w:ascii="Arial Narrow" w:hAnsi="Arial Narrow" w:cs="Arial"/>
          <w:b/>
          <w:bCs/>
          <w:sz w:val="24"/>
          <w:szCs w:val="24"/>
        </w:rPr>
        <w:t>“</w:t>
      </w:r>
      <w:r w:rsidR="00B87272" w:rsidRPr="00821610">
        <w:rPr>
          <w:rFonts w:ascii="Arial Narrow" w:hAnsi="Arial Narrow" w:cs="Arial"/>
          <w:b/>
          <w:bCs/>
          <w:sz w:val="24"/>
          <w:szCs w:val="24"/>
        </w:rPr>
        <w:t>TRANSITO, MULTA IMPUESTA POR VIOLACION AL REGLAMENTO DE, NO FUNDADA</w:t>
      </w:r>
      <w:r w:rsidR="00B87272">
        <w:rPr>
          <w:rStyle w:val="Refdenotaalpie"/>
          <w:rFonts w:ascii="Arial Narrow" w:hAnsi="Arial Narrow" w:cs="Arial"/>
          <w:b/>
          <w:bCs/>
          <w:sz w:val="24"/>
          <w:szCs w:val="24"/>
        </w:rPr>
        <w:footnoteReference w:id="7"/>
      </w:r>
      <w:r w:rsidR="00B87272" w:rsidRPr="00821610">
        <w:rPr>
          <w:rFonts w:ascii="Arial Narrow" w:hAnsi="Arial Narrow" w:cs="Arial"/>
          <w:b/>
          <w:bCs/>
          <w:sz w:val="24"/>
          <w:szCs w:val="24"/>
        </w:rPr>
        <w:t>.</w:t>
      </w:r>
    </w:p>
    <w:p w14:paraId="4A43F79A" w14:textId="2F644F0A" w:rsidR="00B87272" w:rsidRPr="00821610" w:rsidRDefault="00B87272" w:rsidP="00A2310E">
      <w:pPr>
        <w:spacing w:line="360" w:lineRule="auto"/>
        <w:ind w:left="1134" w:right="616"/>
        <w:jc w:val="both"/>
        <w:rPr>
          <w:rFonts w:ascii="Arial Narrow" w:hAnsi="Arial Narrow" w:cs="Arial"/>
          <w:sz w:val="24"/>
          <w:szCs w:val="24"/>
        </w:rPr>
      </w:pPr>
      <w:r w:rsidRPr="00821610">
        <w:rPr>
          <w:rFonts w:ascii="Arial Narrow" w:hAnsi="Arial Narrow" w:cs="Arial"/>
          <w:sz w:val="24"/>
          <w:szCs w:val="24"/>
        </w:rPr>
        <w:t xml:space="preserve">De la lectura del acta de infracción y multa reclamados, no puede admitirse jurídicamente que se esté ante una resolución fundada en los términos del artículo 16 de la Constitución General de la República, aun cuando sea cierto que en el documento relativo se mencione el artículo 215, capítulo XII, del Reglamento de Tránsito del Departamento del Distrito Federal, como apoyo de la facultad sancionadora de la autoridad administrativa, si también es cierto que al precisarse la violación cometida, únicamente se menciona el "Artículo 175, fracción III, del grupo 1", sin precisarse a qué ordenamiento legal corresponde este último precepto invocado, omisión que desde luego se traduce en una falta de fundamentación de la resolución impugnada ante el Tribunal de lo Contencioso Administrativo del Distrito </w:t>
      </w:r>
      <w:r w:rsidRPr="00821610">
        <w:rPr>
          <w:rFonts w:ascii="Arial Narrow" w:hAnsi="Arial Narrow" w:cs="Arial"/>
          <w:sz w:val="24"/>
          <w:szCs w:val="24"/>
        </w:rPr>
        <w:lastRenderedPageBreak/>
        <w:t>Federal, lo que lleva a conceder el amparo y protección de la Justicia Federal que se demande.</w:t>
      </w:r>
      <w:r w:rsidR="00A2310E">
        <w:rPr>
          <w:rFonts w:ascii="Arial Narrow" w:hAnsi="Arial Narrow" w:cs="Arial"/>
          <w:sz w:val="24"/>
          <w:szCs w:val="24"/>
        </w:rPr>
        <w:t>”</w:t>
      </w:r>
    </w:p>
    <w:p w14:paraId="04193BE5" w14:textId="77777777" w:rsidR="00B87272" w:rsidRDefault="00B87272" w:rsidP="00B87272">
      <w:pPr>
        <w:tabs>
          <w:tab w:val="right" w:pos="8789"/>
        </w:tabs>
        <w:spacing w:after="0" w:line="360" w:lineRule="auto"/>
        <w:ind w:firstLine="567"/>
        <w:jc w:val="both"/>
        <w:rPr>
          <w:rFonts w:ascii="Arial" w:eastAsia="Calibri" w:hAnsi="Arial" w:cs="Arial"/>
          <w:sz w:val="24"/>
          <w:szCs w:val="24"/>
          <w:lang w:eastAsia="en-US"/>
        </w:rPr>
      </w:pPr>
    </w:p>
    <w:p w14:paraId="292C6AE1" w14:textId="51A66168" w:rsidR="00B87272" w:rsidRDefault="00B87272" w:rsidP="00B87272">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lo llevaron a concluir que los hechos encuadran en la hipótesis legal aplicable al caso</w:t>
      </w:r>
      <w:r>
        <w:rPr>
          <w:rFonts w:ascii="Arial" w:eastAsia="Calibri" w:hAnsi="Arial" w:cs="Arial"/>
          <w:sz w:val="24"/>
          <w:szCs w:val="24"/>
          <w:lang w:eastAsia="en-US"/>
        </w:rPr>
        <w:t>, lo que en el presente caso no se llevó a cabo pues la autoridad demandada resultó omisa en motivar adecuadamente la forma en que se cercioró que el hoy actor se encontraba bajo el influjo del alcohol.</w:t>
      </w:r>
    </w:p>
    <w:p w14:paraId="33A36A5C" w14:textId="77777777" w:rsidR="00A2310E" w:rsidRDefault="00A2310E" w:rsidP="00B87272">
      <w:pPr>
        <w:tabs>
          <w:tab w:val="right" w:pos="8789"/>
        </w:tabs>
        <w:spacing w:after="0" w:line="360" w:lineRule="auto"/>
        <w:ind w:firstLine="567"/>
        <w:jc w:val="both"/>
        <w:rPr>
          <w:rFonts w:ascii="Arial" w:eastAsia="Calibri" w:hAnsi="Arial" w:cs="Arial"/>
          <w:sz w:val="24"/>
          <w:szCs w:val="24"/>
          <w:lang w:eastAsia="en-US"/>
        </w:rPr>
      </w:pPr>
    </w:p>
    <w:p w14:paraId="31B9DCA7" w14:textId="39B83B66" w:rsidR="00B87272" w:rsidRDefault="00B87272" w:rsidP="00A2310E">
      <w:pPr>
        <w:tabs>
          <w:tab w:val="left" w:pos="284"/>
          <w:tab w:val="left" w:pos="426"/>
          <w:tab w:val="right" w:pos="9072"/>
        </w:tabs>
        <w:spacing w:after="0" w:line="360" w:lineRule="auto"/>
        <w:ind w:right="49" w:firstLine="567"/>
        <w:jc w:val="both"/>
        <w:rPr>
          <w:rFonts w:ascii="Arial" w:hAnsi="Arial" w:cs="Arial"/>
          <w:sz w:val="24"/>
          <w:szCs w:val="24"/>
        </w:rPr>
      </w:pPr>
      <w:r>
        <w:rPr>
          <w:rFonts w:ascii="Arial" w:eastAsia="Calibri" w:hAnsi="Arial" w:cs="Arial"/>
          <w:sz w:val="24"/>
          <w:szCs w:val="24"/>
          <w:lang w:eastAsia="en-US"/>
        </w:rPr>
        <w:t>Por lo anterior</w:t>
      </w:r>
      <w:r w:rsidR="00A2310E">
        <w:rPr>
          <w:rFonts w:ascii="Arial" w:eastAsia="Calibri" w:hAnsi="Arial" w:cs="Arial"/>
          <w:sz w:val="24"/>
          <w:szCs w:val="24"/>
          <w:lang w:eastAsia="en-US"/>
        </w:rPr>
        <w:t>,</w:t>
      </w:r>
      <w:r>
        <w:rPr>
          <w:rFonts w:ascii="Arial" w:eastAsia="Calibri" w:hAnsi="Arial" w:cs="Arial"/>
          <w:sz w:val="24"/>
          <w:szCs w:val="24"/>
          <w:lang w:eastAsia="en-US"/>
        </w:rPr>
        <w:t xml:space="preserve"> resulta procedente declarar la </w:t>
      </w:r>
      <w:r>
        <w:rPr>
          <w:rFonts w:ascii="Arial" w:eastAsia="Calibri" w:hAnsi="Arial" w:cs="Arial"/>
          <w:b/>
          <w:bCs/>
          <w:sz w:val="24"/>
          <w:szCs w:val="24"/>
          <w:lang w:eastAsia="en-US"/>
        </w:rPr>
        <w:t xml:space="preserve">NULIDAD LISA Y LLANA </w:t>
      </w:r>
      <w:r>
        <w:rPr>
          <w:rFonts w:ascii="Arial" w:eastAsia="Calibri" w:hAnsi="Arial" w:cs="Arial"/>
          <w:sz w:val="24"/>
          <w:szCs w:val="24"/>
          <w:lang w:eastAsia="en-US"/>
        </w:rPr>
        <w:t xml:space="preserve">del </w:t>
      </w:r>
      <w:r w:rsidR="00364ED3">
        <w:rPr>
          <w:rFonts w:ascii="Arial" w:eastAsia="Calibri" w:hAnsi="Arial" w:cs="Arial"/>
          <w:sz w:val="24"/>
          <w:szCs w:val="24"/>
          <w:lang w:eastAsia="en-US"/>
        </w:rPr>
        <w:t xml:space="preserve">acta de infracción </w:t>
      </w:r>
      <w:r w:rsidR="005F6587">
        <w:rPr>
          <w:rFonts w:ascii="Arial" w:eastAsia="Calibri" w:hAnsi="Arial" w:cs="Arial"/>
          <w:sz w:val="24"/>
          <w:szCs w:val="24"/>
          <w:lang w:eastAsia="en-US"/>
        </w:rPr>
        <w:t>**********</w:t>
      </w:r>
      <w:r w:rsidR="00364ED3">
        <w:rPr>
          <w:rFonts w:ascii="Arial" w:eastAsia="Calibri" w:hAnsi="Arial" w:cs="Arial"/>
          <w:sz w:val="24"/>
          <w:szCs w:val="24"/>
          <w:lang w:eastAsia="en-US"/>
        </w:rPr>
        <w:t xml:space="preserve"> de fecha uno de octubre de dos mil veintidós</w:t>
      </w:r>
      <w:r>
        <w:rPr>
          <w:rFonts w:ascii="Arial" w:eastAsia="Calibri" w:hAnsi="Arial" w:cs="Arial"/>
          <w:sz w:val="24"/>
          <w:szCs w:val="24"/>
          <w:lang w:eastAsia="en-US"/>
        </w:rPr>
        <w:t xml:space="preserve">, </w:t>
      </w:r>
      <w:r>
        <w:rPr>
          <w:rFonts w:ascii="Arial" w:hAnsi="Arial" w:cs="Arial"/>
          <w:sz w:val="24"/>
          <w:szCs w:val="24"/>
        </w:rPr>
        <w:t>en términos de la siguiente Jurisprudencia</w:t>
      </w:r>
      <w:r>
        <w:rPr>
          <w:rStyle w:val="Refdenotaalpie"/>
          <w:rFonts w:ascii="Arial" w:hAnsi="Arial" w:cs="Arial"/>
          <w:sz w:val="24"/>
          <w:szCs w:val="24"/>
        </w:rPr>
        <w:footnoteReference w:id="8"/>
      </w:r>
      <w:r>
        <w:rPr>
          <w:rFonts w:ascii="Arial" w:hAnsi="Arial" w:cs="Arial"/>
          <w:sz w:val="24"/>
          <w:szCs w:val="24"/>
        </w:rPr>
        <w:t xml:space="preserve">: </w:t>
      </w:r>
    </w:p>
    <w:p w14:paraId="4252B342" w14:textId="77777777" w:rsidR="00B87272" w:rsidRPr="00EC3B62" w:rsidRDefault="00B87272" w:rsidP="00A2310E">
      <w:pPr>
        <w:tabs>
          <w:tab w:val="left" w:pos="284"/>
          <w:tab w:val="left" w:pos="426"/>
          <w:tab w:val="right" w:pos="9072"/>
        </w:tabs>
        <w:spacing w:after="0" w:line="360" w:lineRule="auto"/>
        <w:ind w:right="616" w:firstLine="567"/>
        <w:jc w:val="both"/>
        <w:rPr>
          <w:rFonts w:ascii="Arial" w:hAnsi="Arial" w:cs="Arial"/>
          <w:b/>
          <w:bCs/>
          <w:sz w:val="24"/>
          <w:szCs w:val="24"/>
        </w:rPr>
      </w:pPr>
    </w:p>
    <w:p w14:paraId="79B3B47A" w14:textId="2D77F386" w:rsidR="00B87272" w:rsidRPr="00EC3B62" w:rsidRDefault="00A2310E" w:rsidP="00A2310E">
      <w:pPr>
        <w:tabs>
          <w:tab w:val="left" w:pos="284"/>
          <w:tab w:val="left" w:pos="851"/>
          <w:tab w:val="right" w:pos="9072"/>
        </w:tabs>
        <w:spacing w:after="0" w:line="360" w:lineRule="auto"/>
        <w:ind w:left="1134" w:right="616"/>
        <w:jc w:val="both"/>
        <w:rPr>
          <w:rFonts w:ascii="Arial Narrow" w:hAnsi="Arial Narrow" w:cs="Arial"/>
          <w:b/>
          <w:bCs/>
          <w:sz w:val="24"/>
          <w:szCs w:val="24"/>
        </w:rPr>
      </w:pPr>
      <w:r>
        <w:rPr>
          <w:rFonts w:ascii="Arial Narrow" w:hAnsi="Arial Narrow" w:cs="Arial"/>
          <w:b/>
          <w:bCs/>
          <w:sz w:val="24"/>
          <w:szCs w:val="24"/>
        </w:rPr>
        <w:t>“</w:t>
      </w:r>
      <w:r w:rsidR="00B87272" w:rsidRPr="00EC3B62">
        <w:rPr>
          <w:rFonts w:ascii="Arial Narrow" w:hAnsi="Arial Narrow" w:cs="Arial"/>
          <w:b/>
          <w:bCs/>
          <w:sz w:val="24"/>
          <w:szCs w:val="24"/>
        </w:rPr>
        <w:t>NULIDAD DE LAS RESOLUCIONES ADMINISTRATIVAS. SENTIDO AMPLIO DEL CONCEPTO Y EFECTOS DE LA DECRETADA EN EL JUICIO CONTENCIOSO ADMINISTRATIVO FEDERAL.</w:t>
      </w:r>
    </w:p>
    <w:p w14:paraId="7E1FB3CA" w14:textId="77777777" w:rsidR="00B87272" w:rsidRPr="00EC3B62" w:rsidRDefault="00B87272" w:rsidP="00A2310E">
      <w:pPr>
        <w:tabs>
          <w:tab w:val="left" w:pos="284"/>
          <w:tab w:val="left" w:pos="851"/>
          <w:tab w:val="right" w:pos="9072"/>
        </w:tabs>
        <w:spacing w:after="0" w:line="360" w:lineRule="auto"/>
        <w:ind w:left="1134" w:right="616"/>
        <w:jc w:val="both"/>
        <w:rPr>
          <w:rFonts w:ascii="Arial Narrow" w:hAnsi="Arial Narrow" w:cs="Arial"/>
          <w:sz w:val="24"/>
          <w:szCs w:val="24"/>
        </w:rPr>
      </w:pPr>
    </w:p>
    <w:p w14:paraId="214135CF" w14:textId="77777777" w:rsidR="00B87272" w:rsidRPr="00EC3B62" w:rsidRDefault="00B87272" w:rsidP="00A2310E">
      <w:pPr>
        <w:tabs>
          <w:tab w:val="left" w:pos="284"/>
          <w:tab w:val="left" w:pos="851"/>
          <w:tab w:val="right" w:pos="9072"/>
        </w:tabs>
        <w:spacing w:after="0" w:line="360" w:lineRule="auto"/>
        <w:ind w:left="1134" w:right="616"/>
        <w:jc w:val="both"/>
        <w:rPr>
          <w:rFonts w:ascii="Arial Narrow" w:hAnsi="Arial Narrow" w:cs="Arial"/>
          <w:sz w:val="24"/>
          <w:szCs w:val="24"/>
        </w:rPr>
      </w:pPr>
      <w:r w:rsidRPr="00EC3B62">
        <w:rPr>
          <w:rFonts w:ascii="Arial Narrow" w:hAnsi="Arial Narrow" w:cs="Arial"/>
          <w:sz w:val="24"/>
          <w:szCs w:val="24"/>
        </w:rPr>
        <w:t xml:space="preserve">La nulidad de las resoluciones administrativas debe entenderse en sentido amplio, esto es, como la consecuencia de una declaración jurisdiccional que priva de valor y eficacia a las decisiones afectadas por alguna causa de ilegalidad. Así, la nulidad implica, tanto una declaración, como una sanción jurídica múltiple y consecuente; de ahí que estos efectos se adjudican a la resolución ilícita, pero también a sus consecuencias (conducta, resultado de acción u omisión y restauración del orden jurídico, entre otras). Además, el concepto genérico de dicha nulidad, en razón de sus variantes o modalidades, debe apreciarse en un contexto sistémico, complejo y comprensivo de múltiples factores y repercusiones pertinentes y conformes a casos concretos. En estas condiciones, la declaratoria y su trascendencia son el resultado de las etapas del control judicial respectivo, a saber: I) determinación de alguna causa de ilegalidad prevista en el artículo 51 de la Ley Federal de Procedimiento Contencioso Administrativo; </w:t>
      </w:r>
      <w:r w:rsidRPr="00EC3B62">
        <w:rPr>
          <w:rFonts w:ascii="Arial Narrow" w:hAnsi="Arial Narrow" w:cs="Arial"/>
          <w:sz w:val="24"/>
          <w:szCs w:val="24"/>
        </w:rPr>
        <w:lastRenderedPageBreak/>
        <w:t>II) declaración de invalidez o nulidad de la resolución, acorde con la trascendencia del vicio identificado, conforme al artículo 52 del ordenamiento citado; III) precisión de las ineficacias atribuibles a la resolución y sus consecuencias, en razón de los excesos o deficiencias que conlleven, tanto en el ámbito jurídico como en el fáctico, lo cual abarca a la propia decisión y a las secuelas que resulten incididas; y, IV) restauración plena de la legalidad y modalidades de cumplimiento, en términos del precepto 57 de la misma ley. Ahora, la declaratoria aludida puede implicar: A) la emisión de un nuevo acto en el que se subsanen los vicios de ilegalidad detectados (ya sean formales, procedimentales o de fondo, que deriven del ejercicio de facultades regladas o en respuesta a una instancia promovida por un particular); B) libertad para ejercer facultades, ya sea que confiera cierto arbitrio (con libertad para apreciar o adjudicar consecuencias) o de naturaleza netamente discrecional de la autoridad, actualizándose un supuesto de nulidad (lisa y llana), con la alternativa para dictar otro acto, purgando infracciones o consecuencias, aunque sujeto al plazo legalmente establecido (cuatro meses o un mes para la vía sumaria); C) la nulidad lisa y llana o absoluta, que imposibilita a la autoridad demandada para reiterar aspectos cuando, efectiva y puntualmente, sean cosa juzgada o temas decididos definitivamente; o, D) precisar medidas de reparación, indemnización o restitución acordes con la lesión o agravio causado a derechos específicos. De lo anterior se advierte que el concepto alusivo a la declaratoria de invalidez –nulidad– puede ser ambiguo y hasta confuso, por coincidir en la supresión de un acto de autoridad; sin embargo, los efectos de esa declaratoria dependerán del grado de ilegalidad detectado, el contexto en el que se originaron y las consecuencias o alternativas asignadas por la ley, y no únicamente de la denominación adoptada por el órgano jurisdiccional que la declare, como incluso lo prevé el numeral 57 indicado, al señalar que los efectos ahí previstos se producirán "aun en el caso de que la sentencia declare la nulidad en forma lisa y llana".</w:t>
      </w:r>
    </w:p>
    <w:p w14:paraId="5DBA0F8D" w14:textId="77777777" w:rsidR="00B87272" w:rsidRDefault="00B87272" w:rsidP="00B87272">
      <w:pPr>
        <w:tabs>
          <w:tab w:val="left" w:pos="284"/>
          <w:tab w:val="left" w:pos="426"/>
          <w:tab w:val="right" w:pos="9072"/>
        </w:tabs>
        <w:spacing w:after="0" w:line="360" w:lineRule="auto"/>
        <w:ind w:right="-234" w:firstLine="567"/>
        <w:jc w:val="both"/>
        <w:rPr>
          <w:rFonts w:ascii="Arial" w:hAnsi="Arial" w:cs="Arial"/>
          <w:sz w:val="24"/>
          <w:szCs w:val="24"/>
        </w:rPr>
      </w:pPr>
    </w:p>
    <w:p w14:paraId="4763F2C1" w14:textId="7A138218" w:rsidR="00B87272" w:rsidRDefault="00B87272" w:rsidP="00B87272">
      <w:pPr>
        <w:spacing w:line="360" w:lineRule="auto"/>
        <w:ind w:firstLine="567"/>
        <w:jc w:val="both"/>
        <w:rPr>
          <w:rFonts w:ascii="Arial" w:eastAsia="Calibri" w:hAnsi="Arial" w:cs="Arial"/>
          <w:sz w:val="24"/>
          <w:szCs w:val="24"/>
          <w:lang w:eastAsia="en-US"/>
        </w:rPr>
      </w:pPr>
      <w:r>
        <w:rPr>
          <w:rFonts w:ascii="Arial" w:hAnsi="Arial" w:cs="Arial"/>
          <w:sz w:val="24"/>
          <w:szCs w:val="24"/>
        </w:rPr>
        <w:t xml:space="preserve">Ahora, a fin de restituir a la parte actora en el pleno goce de sus derechos y como consecuencia directa del acto aquí declarado ilegal lisa y llanamente, es que procede la devolución de cualquier cantidad indebidamente pagada en atención al acta de infracción con número de folio </w:t>
      </w:r>
      <w:r w:rsidR="005F6587">
        <w:rPr>
          <w:rFonts w:ascii="Arial" w:eastAsia="Calibri" w:hAnsi="Arial" w:cs="Arial"/>
          <w:sz w:val="24"/>
          <w:szCs w:val="24"/>
          <w:lang w:eastAsia="en-US"/>
        </w:rPr>
        <w:t>**********</w:t>
      </w:r>
      <w:r w:rsidR="00364ED3">
        <w:rPr>
          <w:rFonts w:ascii="Arial" w:eastAsia="Calibri" w:hAnsi="Arial" w:cs="Arial"/>
          <w:sz w:val="24"/>
          <w:szCs w:val="24"/>
          <w:lang w:eastAsia="en-US"/>
        </w:rPr>
        <w:t xml:space="preserve"> de fecha uno de octubre de dos mil veintidós</w:t>
      </w:r>
      <w:r w:rsidR="00A2310E">
        <w:rPr>
          <w:rFonts w:ascii="Arial" w:eastAsia="Calibri" w:hAnsi="Arial" w:cs="Arial"/>
          <w:sz w:val="24"/>
          <w:szCs w:val="24"/>
          <w:lang w:eastAsia="en-US"/>
        </w:rPr>
        <w:t>.</w:t>
      </w:r>
      <w:r>
        <w:rPr>
          <w:rFonts w:ascii="Arial" w:eastAsia="Calibri" w:hAnsi="Arial" w:cs="Arial"/>
          <w:sz w:val="24"/>
          <w:szCs w:val="24"/>
          <w:lang w:eastAsia="en-US"/>
        </w:rPr>
        <w:t xml:space="preserve"> </w:t>
      </w:r>
    </w:p>
    <w:p w14:paraId="23F528F5" w14:textId="4B377129" w:rsidR="00B87272" w:rsidRDefault="00B87272" w:rsidP="00B87272">
      <w:pPr>
        <w:spacing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Por lo tanto, se ordena a la autoridad demandada para que: </w:t>
      </w:r>
      <w:r>
        <w:rPr>
          <w:rFonts w:ascii="Arial" w:eastAsia="Calibri" w:hAnsi="Arial" w:cs="Arial"/>
          <w:b/>
          <w:sz w:val="24"/>
          <w:szCs w:val="24"/>
          <w:lang w:eastAsia="en-US"/>
        </w:rPr>
        <w:t>a)</w:t>
      </w:r>
      <w:r>
        <w:rPr>
          <w:rFonts w:ascii="Arial" w:eastAsia="Calibri" w:hAnsi="Arial" w:cs="Arial"/>
          <w:sz w:val="24"/>
          <w:szCs w:val="24"/>
          <w:lang w:eastAsia="en-US"/>
        </w:rPr>
        <w:t xml:space="preserve"> por conducto de la Tesorería Municipal de Santa Cruz </w:t>
      </w:r>
      <w:r w:rsidR="00364ED3">
        <w:rPr>
          <w:rFonts w:ascii="Arial" w:eastAsia="Calibri" w:hAnsi="Arial" w:cs="Arial"/>
          <w:sz w:val="24"/>
          <w:szCs w:val="24"/>
          <w:lang w:eastAsia="en-US"/>
        </w:rPr>
        <w:t>Amilpas</w:t>
      </w:r>
      <w:r>
        <w:rPr>
          <w:rFonts w:ascii="Arial" w:eastAsia="Calibri" w:hAnsi="Arial" w:cs="Arial"/>
          <w:sz w:val="24"/>
          <w:szCs w:val="24"/>
          <w:lang w:eastAsia="en-US"/>
        </w:rPr>
        <w:t>, Oaxaca</w:t>
      </w:r>
      <w:r w:rsidR="008003CD">
        <w:rPr>
          <w:rFonts w:ascii="Arial" w:eastAsia="Calibri" w:hAnsi="Arial" w:cs="Arial"/>
          <w:sz w:val="24"/>
          <w:szCs w:val="24"/>
          <w:lang w:eastAsia="en-US"/>
        </w:rPr>
        <w:t xml:space="preserve"> (autoridad también demandada en el presente juicio)</w:t>
      </w:r>
      <w:r>
        <w:rPr>
          <w:rFonts w:ascii="Arial" w:eastAsia="Calibri" w:hAnsi="Arial" w:cs="Arial"/>
          <w:sz w:val="24"/>
          <w:szCs w:val="24"/>
          <w:lang w:eastAsia="en-US"/>
        </w:rPr>
        <w:t xml:space="preserve"> realice la devolución de las </w:t>
      </w:r>
      <w:r>
        <w:rPr>
          <w:rFonts w:ascii="Arial" w:eastAsia="Calibri" w:hAnsi="Arial" w:cs="Arial"/>
          <w:sz w:val="24"/>
          <w:szCs w:val="24"/>
          <w:lang w:eastAsia="en-US"/>
        </w:rPr>
        <w:lastRenderedPageBreak/>
        <w:t>cantidades de $</w:t>
      </w:r>
      <w:r w:rsidR="00364ED3">
        <w:rPr>
          <w:rFonts w:ascii="Arial" w:eastAsia="Calibri" w:hAnsi="Arial" w:cs="Arial"/>
          <w:sz w:val="24"/>
          <w:szCs w:val="24"/>
          <w:lang w:eastAsia="en-US"/>
        </w:rPr>
        <w:t>6</w:t>
      </w:r>
      <w:r>
        <w:rPr>
          <w:rFonts w:ascii="Arial" w:eastAsia="Calibri" w:hAnsi="Arial" w:cs="Arial"/>
          <w:sz w:val="24"/>
          <w:szCs w:val="24"/>
          <w:lang w:eastAsia="en-US"/>
        </w:rPr>
        <w:t>,</w:t>
      </w:r>
      <w:r w:rsidR="00364ED3">
        <w:rPr>
          <w:rFonts w:ascii="Arial" w:eastAsia="Calibri" w:hAnsi="Arial" w:cs="Arial"/>
          <w:sz w:val="24"/>
          <w:szCs w:val="24"/>
          <w:lang w:eastAsia="en-US"/>
        </w:rPr>
        <w:t>9</w:t>
      </w:r>
      <w:r>
        <w:rPr>
          <w:rFonts w:ascii="Arial" w:eastAsia="Calibri" w:hAnsi="Arial" w:cs="Arial"/>
          <w:sz w:val="24"/>
          <w:szCs w:val="24"/>
          <w:lang w:eastAsia="en-US"/>
        </w:rPr>
        <w:t>00.00 (</w:t>
      </w:r>
      <w:r w:rsidR="00364ED3">
        <w:rPr>
          <w:rFonts w:ascii="Arial" w:eastAsia="Calibri" w:hAnsi="Arial" w:cs="Arial"/>
          <w:sz w:val="24"/>
          <w:szCs w:val="24"/>
          <w:lang w:eastAsia="en-US"/>
        </w:rPr>
        <w:t>Seis</w:t>
      </w:r>
      <w:r>
        <w:rPr>
          <w:rFonts w:ascii="Arial" w:eastAsia="Calibri" w:hAnsi="Arial" w:cs="Arial"/>
          <w:sz w:val="24"/>
          <w:szCs w:val="24"/>
          <w:lang w:eastAsia="en-US"/>
        </w:rPr>
        <w:t xml:space="preserve"> mil </w:t>
      </w:r>
      <w:r w:rsidR="00364ED3">
        <w:rPr>
          <w:rFonts w:ascii="Arial" w:eastAsia="Calibri" w:hAnsi="Arial" w:cs="Arial"/>
          <w:sz w:val="24"/>
          <w:szCs w:val="24"/>
          <w:lang w:eastAsia="en-US"/>
        </w:rPr>
        <w:t xml:space="preserve">novecientos </w:t>
      </w:r>
      <w:r>
        <w:rPr>
          <w:rFonts w:ascii="Arial" w:eastAsia="Calibri" w:hAnsi="Arial" w:cs="Arial"/>
          <w:sz w:val="24"/>
          <w:szCs w:val="24"/>
          <w:lang w:eastAsia="en-US"/>
        </w:rPr>
        <w:t>pesos 00/100 m.n.);</w:t>
      </w:r>
      <w:r w:rsidR="00170723">
        <w:rPr>
          <w:rFonts w:ascii="Arial" w:eastAsia="Calibri" w:hAnsi="Arial" w:cs="Arial"/>
          <w:sz w:val="24"/>
          <w:szCs w:val="24"/>
          <w:lang w:eastAsia="en-US"/>
        </w:rPr>
        <w:t xml:space="preserve"> así como haga las gestiones necesarias para que “</w:t>
      </w:r>
      <w:proofErr w:type="spellStart"/>
      <w:r w:rsidR="00170723">
        <w:rPr>
          <w:rFonts w:ascii="Arial" w:eastAsia="Calibri" w:hAnsi="Arial" w:cs="Arial"/>
          <w:sz w:val="24"/>
          <w:szCs w:val="24"/>
          <w:lang w:eastAsia="en-US"/>
        </w:rPr>
        <w:t>gruas</w:t>
      </w:r>
      <w:proofErr w:type="spellEnd"/>
      <w:r w:rsidR="00170723">
        <w:rPr>
          <w:rFonts w:ascii="Arial" w:eastAsia="Calibri" w:hAnsi="Arial" w:cs="Arial"/>
          <w:sz w:val="24"/>
          <w:szCs w:val="24"/>
          <w:lang w:eastAsia="en-US"/>
        </w:rPr>
        <w:t xml:space="preserve"> varo”</w:t>
      </w:r>
      <w:r w:rsidR="00FE4416">
        <w:rPr>
          <w:rFonts w:ascii="Arial" w:eastAsia="Calibri" w:hAnsi="Arial" w:cs="Arial"/>
          <w:sz w:val="24"/>
          <w:szCs w:val="24"/>
          <w:lang w:eastAsia="en-US"/>
        </w:rPr>
        <w:t xml:space="preserve"> devuelva la cantidad de</w:t>
      </w:r>
      <w:r>
        <w:rPr>
          <w:rFonts w:ascii="Arial" w:eastAsia="Calibri" w:hAnsi="Arial" w:cs="Arial"/>
          <w:sz w:val="24"/>
          <w:szCs w:val="24"/>
          <w:lang w:eastAsia="en-US"/>
        </w:rPr>
        <w:t xml:space="preserve"> $</w:t>
      </w:r>
      <w:r w:rsidR="00364ED3">
        <w:rPr>
          <w:rFonts w:ascii="Arial" w:eastAsia="Calibri" w:hAnsi="Arial" w:cs="Arial"/>
          <w:sz w:val="24"/>
          <w:szCs w:val="24"/>
          <w:lang w:eastAsia="en-US"/>
        </w:rPr>
        <w:t>1,500</w:t>
      </w:r>
      <w:r>
        <w:rPr>
          <w:rFonts w:ascii="Arial" w:eastAsia="Calibri" w:hAnsi="Arial" w:cs="Arial"/>
          <w:sz w:val="24"/>
          <w:szCs w:val="24"/>
          <w:lang w:eastAsia="en-US"/>
        </w:rPr>
        <w:t>.00 (</w:t>
      </w:r>
      <w:r w:rsidR="00364ED3">
        <w:rPr>
          <w:rFonts w:ascii="Arial" w:eastAsia="Calibri" w:hAnsi="Arial" w:cs="Arial"/>
          <w:sz w:val="24"/>
          <w:szCs w:val="24"/>
          <w:lang w:eastAsia="en-US"/>
        </w:rPr>
        <w:t>Mil quinientos</w:t>
      </w:r>
      <w:r>
        <w:rPr>
          <w:rFonts w:ascii="Arial" w:eastAsia="Calibri" w:hAnsi="Arial" w:cs="Arial"/>
          <w:sz w:val="24"/>
          <w:szCs w:val="24"/>
          <w:lang w:eastAsia="en-US"/>
        </w:rPr>
        <w:t xml:space="preserve"> pesos 00/100 m.n.) por</w:t>
      </w:r>
      <w:r w:rsidR="008003CD">
        <w:rPr>
          <w:rFonts w:ascii="Arial" w:eastAsia="Calibri" w:hAnsi="Arial" w:cs="Arial"/>
          <w:sz w:val="24"/>
          <w:szCs w:val="24"/>
          <w:lang w:eastAsia="en-US"/>
        </w:rPr>
        <w:t xml:space="preserve"> concepto de arrastre </w:t>
      </w:r>
      <w:r>
        <w:rPr>
          <w:rFonts w:ascii="Arial" w:eastAsia="Calibri" w:hAnsi="Arial" w:cs="Arial"/>
          <w:sz w:val="24"/>
          <w:szCs w:val="24"/>
          <w:lang w:eastAsia="en-US"/>
        </w:rPr>
        <w:t xml:space="preserve">y, </w:t>
      </w:r>
      <w:r>
        <w:rPr>
          <w:rFonts w:ascii="Arial" w:eastAsia="Calibri" w:hAnsi="Arial" w:cs="Arial"/>
          <w:b/>
          <w:sz w:val="24"/>
          <w:szCs w:val="24"/>
          <w:lang w:eastAsia="en-US"/>
        </w:rPr>
        <w:t>b)</w:t>
      </w:r>
      <w:r>
        <w:rPr>
          <w:rFonts w:ascii="Arial" w:eastAsia="Calibri" w:hAnsi="Arial" w:cs="Arial"/>
          <w:sz w:val="24"/>
          <w:szCs w:val="24"/>
          <w:lang w:eastAsia="en-US"/>
        </w:rPr>
        <w:t xml:space="preserve"> la </w:t>
      </w:r>
      <w:r>
        <w:rPr>
          <w:rFonts w:ascii="Arial" w:eastAsia="Calibri" w:hAnsi="Arial" w:cs="Arial"/>
          <w:b/>
          <w:bCs/>
          <w:sz w:val="24"/>
          <w:szCs w:val="24"/>
          <w:lang w:eastAsia="en-US"/>
        </w:rPr>
        <w:t xml:space="preserve">baja </w:t>
      </w:r>
      <w:r w:rsidR="008003CD">
        <w:rPr>
          <w:rFonts w:ascii="Arial" w:eastAsia="Calibri" w:hAnsi="Arial" w:cs="Arial"/>
          <w:b/>
          <w:bCs/>
          <w:sz w:val="24"/>
          <w:szCs w:val="24"/>
          <w:lang w:eastAsia="en-US"/>
        </w:rPr>
        <w:t xml:space="preserve">de cualquier sistema </w:t>
      </w:r>
      <w:r w:rsidR="008003CD">
        <w:rPr>
          <w:rFonts w:ascii="Arial" w:eastAsia="Calibri" w:hAnsi="Arial" w:cs="Arial"/>
          <w:sz w:val="24"/>
          <w:szCs w:val="24"/>
          <w:lang w:eastAsia="en-US"/>
        </w:rPr>
        <w:t>donde se hubiere llevado registro</w:t>
      </w:r>
      <w:r>
        <w:rPr>
          <w:rFonts w:ascii="Arial" w:eastAsia="Calibri" w:hAnsi="Arial" w:cs="Arial"/>
          <w:b/>
          <w:bCs/>
          <w:sz w:val="24"/>
          <w:szCs w:val="24"/>
          <w:lang w:eastAsia="en-US"/>
        </w:rPr>
        <w:t xml:space="preserve"> </w:t>
      </w:r>
      <w:r>
        <w:rPr>
          <w:rFonts w:ascii="Arial" w:eastAsia="Calibri" w:hAnsi="Arial" w:cs="Arial"/>
          <w:sz w:val="24"/>
          <w:szCs w:val="24"/>
          <w:lang w:eastAsia="en-US"/>
        </w:rPr>
        <w:t>de la infracción impugnada en esta vía.</w:t>
      </w:r>
    </w:p>
    <w:p w14:paraId="6700A5C1" w14:textId="77777777" w:rsidR="00B87272" w:rsidRDefault="00B87272" w:rsidP="00B87272">
      <w:pPr>
        <w:spacing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Lo anterior con base en la siguiente Jurisprudencia: </w:t>
      </w:r>
    </w:p>
    <w:p w14:paraId="1EE3CD82" w14:textId="77777777" w:rsidR="00B87272" w:rsidRDefault="00B87272" w:rsidP="00B87272">
      <w:pPr>
        <w:tabs>
          <w:tab w:val="left" w:pos="2268"/>
        </w:tabs>
        <w:spacing w:line="360" w:lineRule="auto"/>
        <w:ind w:left="1134" w:right="616"/>
        <w:jc w:val="both"/>
        <w:rPr>
          <w:rFonts w:ascii="Arial Narrow" w:eastAsia="Calibri" w:hAnsi="Arial Narrow" w:cs="Arial"/>
          <w:b/>
          <w:bCs/>
          <w:sz w:val="24"/>
          <w:szCs w:val="24"/>
          <w:lang w:eastAsia="en-US"/>
        </w:rPr>
      </w:pPr>
      <w:r>
        <w:rPr>
          <w:rFonts w:ascii="Arial Narrow" w:eastAsia="Calibri" w:hAnsi="Arial Narrow" w:cs="Arial"/>
          <w:b/>
          <w:bCs/>
          <w:sz w:val="24"/>
          <w:szCs w:val="24"/>
          <w:lang w:eastAsia="en-US"/>
        </w:rPr>
        <w:t>“SENTENCIAS DEL TRIBUNAL FEDERAL DE JUSTICIA FISCAL Y ADMINISTRATIVA. LA ORDEN DE RESTITUIR AL ACTOR EN SUS DERECHOS ES UN EFECTO PROPIO DE LAS QUE DECLARAN LA NULIDAD QUE, POR TANTO, NO IMPLICA LA INTRODUCCIÓN DE UN NUEVO ELEMENTO EN LA LITIS NI SUPLENCIA DE LA QUEJA DEFICIENTE.</w:t>
      </w:r>
    </w:p>
    <w:p w14:paraId="244FB963" w14:textId="77777777" w:rsidR="00B87272" w:rsidRDefault="00B87272" w:rsidP="00B87272">
      <w:pPr>
        <w:tabs>
          <w:tab w:val="left" w:pos="2268"/>
        </w:tabs>
        <w:spacing w:line="360" w:lineRule="auto"/>
        <w:ind w:left="1134" w:right="616"/>
        <w:jc w:val="both"/>
        <w:rPr>
          <w:rFonts w:ascii="Arial Narrow" w:hAnsi="Arial Narrow" w:cs="Arial"/>
          <w:sz w:val="24"/>
          <w:szCs w:val="24"/>
        </w:rPr>
      </w:pPr>
      <w:r>
        <w:rPr>
          <w:rFonts w:ascii="Arial Narrow" w:eastAsia="Calibri" w:hAnsi="Arial Narrow" w:cs="Arial"/>
          <w:sz w:val="24"/>
          <w:szCs w:val="24"/>
          <w:lang w:eastAsia="en-US"/>
        </w:rPr>
        <w:t xml:space="preserve">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w:t>
      </w:r>
      <w:proofErr w:type="spellStart"/>
      <w:r>
        <w:rPr>
          <w:rFonts w:ascii="Arial Narrow" w:eastAsia="Calibri" w:hAnsi="Arial Narrow" w:cs="Arial"/>
          <w:sz w:val="24"/>
          <w:szCs w:val="24"/>
          <w:lang w:eastAsia="en-US"/>
        </w:rPr>
        <w:t>litis</w:t>
      </w:r>
      <w:proofErr w:type="spellEnd"/>
      <w:r>
        <w:rPr>
          <w:rFonts w:ascii="Arial Narrow" w:eastAsia="Calibri" w:hAnsi="Arial Narrow" w:cs="Arial"/>
          <w:sz w:val="24"/>
          <w:szCs w:val="24"/>
          <w:lang w:eastAsia="en-US"/>
        </w:rPr>
        <w:t xml:space="preserve">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su restitución pues, de no ser así, no tendría sentido la declaración de nulidad.” </w:t>
      </w:r>
    </w:p>
    <w:p w14:paraId="1830672D" w14:textId="4A8F9B18" w:rsidR="002B375F" w:rsidRPr="00512412" w:rsidRDefault="002B375F" w:rsidP="00E51C1F">
      <w:pPr>
        <w:spacing w:line="360" w:lineRule="auto"/>
        <w:ind w:firstLine="567"/>
        <w:jc w:val="both"/>
        <w:rPr>
          <w:rFonts w:ascii="Arial" w:hAnsi="Arial" w:cs="Arial"/>
          <w:sz w:val="24"/>
          <w:szCs w:val="24"/>
        </w:rPr>
      </w:pPr>
      <w:r w:rsidRPr="00512412">
        <w:rPr>
          <w:rFonts w:ascii="Arial" w:hAnsi="Arial" w:cs="Arial"/>
          <w:sz w:val="24"/>
          <w:szCs w:val="24"/>
        </w:rPr>
        <w:t xml:space="preserve">Por lo expuesto y con fundamento en los artículos 207, y 209 de la Ley de Procedimiento y Justicia Administrativa para el Estado de Oaxaca se; </w:t>
      </w:r>
    </w:p>
    <w:p w14:paraId="13F2DF4D" w14:textId="77777777" w:rsidR="002B375F" w:rsidRPr="00512412" w:rsidRDefault="002B375F" w:rsidP="00E51C1F">
      <w:pPr>
        <w:tabs>
          <w:tab w:val="right" w:pos="9072"/>
        </w:tabs>
        <w:spacing w:after="0" w:line="360" w:lineRule="auto"/>
        <w:ind w:right="-234"/>
        <w:rPr>
          <w:rFonts w:ascii="Arial" w:hAnsi="Arial" w:cs="Arial"/>
          <w:b/>
          <w:sz w:val="24"/>
          <w:szCs w:val="24"/>
        </w:rPr>
      </w:pPr>
    </w:p>
    <w:p w14:paraId="676D380E" w14:textId="77777777" w:rsidR="002B375F" w:rsidRPr="00512412" w:rsidRDefault="002B375F" w:rsidP="00E51C1F">
      <w:pPr>
        <w:tabs>
          <w:tab w:val="right" w:pos="9072"/>
        </w:tabs>
        <w:spacing w:after="0" w:line="360" w:lineRule="auto"/>
        <w:ind w:right="-234" w:firstLine="708"/>
        <w:jc w:val="center"/>
        <w:rPr>
          <w:rFonts w:ascii="Arial" w:hAnsi="Arial" w:cs="Arial"/>
          <w:b/>
          <w:sz w:val="24"/>
          <w:szCs w:val="24"/>
        </w:rPr>
      </w:pPr>
      <w:r w:rsidRPr="00512412">
        <w:rPr>
          <w:rFonts w:ascii="Arial" w:hAnsi="Arial" w:cs="Arial"/>
          <w:b/>
          <w:sz w:val="24"/>
          <w:szCs w:val="24"/>
        </w:rPr>
        <w:t>R E S U E L V E:</w:t>
      </w:r>
    </w:p>
    <w:p w14:paraId="640C5BEF" w14:textId="77777777" w:rsidR="002B375F" w:rsidRPr="00512412" w:rsidRDefault="002B375F" w:rsidP="00E51C1F">
      <w:pPr>
        <w:tabs>
          <w:tab w:val="right" w:pos="9072"/>
        </w:tabs>
        <w:spacing w:after="0" w:line="360" w:lineRule="auto"/>
        <w:ind w:right="-234" w:firstLine="708"/>
        <w:rPr>
          <w:rFonts w:ascii="Arial" w:hAnsi="Arial" w:cs="Arial"/>
          <w:b/>
          <w:sz w:val="24"/>
          <w:szCs w:val="24"/>
        </w:rPr>
      </w:pPr>
    </w:p>
    <w:p w14:paraId="492FBA6A" w14:textId="77777777" w:rsidR="002B375F" w:rsidRPr="00512412" w:rsidRDefault="002B375F" w:rsidP="00E51C1F">
      <w:pPr>
        <w:tabs>
          <w:tab w:val="right" w:pos="9072"/>
        </w:tabs>
        <w:spacing w:after="0" w:line="360" w:lineRule="auto"/>
        <w:ind w:right="-234" w:firstLine="567"/>
        <w:jc w:val="both"/>
        <w:rPr>
          <w:rFonts w:ascii="Arial" w:hAnsi="Arial" w:cs="Arial"/>
          <w:sz w:val="24"/>
          <w:szCs w:val="24"/>
        </w:rPr>
      </w:pPr>
      <w:r w:rsidRPr="00512412">
        <w:rPr>
          <w:rFonts w:ascii="Arial" w:hAnsi="Arial" w:cs="Arial"/>
          <w:b/>
          <w:sz w:val="24"/>
          <w:szCs w:val="24"/>
        </w:rPr>
        <w:t>PRIMERO.</w:t>
      </w:r>
      <w:r w:rsidRPr="00512412">
        <w:rPr>
          <w:rFonts w:ascii="Arial" w:hAnsi="Arial" w:cs="Arial"/>
          <w:sz w:val="24"/>
          <w:szCs w:val="24"/>
        </w:rPr>
        <w:t xml:space="preserve"> Esta Primera Sala Unitaria fue competente para conocer y resolver del presente asunto. </w:t>
      </w:r>
    </w:p>
    <w:p w14:paraId="470F3F23" w14:textId="77777777" w:rsidR="002B375F" w:rsidRPr="00512412" w:rsidRDefault="002B375F" w:rsidP="00E51C1F">
      <w:pPr>
        <w:tabs>
          <w:tab w:val="right" w:pos="9072"/>
        </w:tabs>
        <w:spacing w:after="0" w:line="360" w:lineRule="auto"/>
        <w:ind w:right="-234" w:firstLine="567"/>
        <w:jc w:val="both"/>
        <w:rPr>
          <w:rFonts w:ascii="Arial" w:hAnsi="Arial" w:cs="Arial"/>
          <w:sz w:val="24"/>
          <w:szCs w:val="24"/>
        </w:rPr>
      </w:pPr>
    </w:p>
    <w:p w14:paraId="2EF5F842" w14:textId="77777777" w:rsidR="002B375F" w:rsidRPr="00512412" w:rsidRDefault="002B375F" w:rsidP="00E51C1F">
      <w:pPr>
        <w:tabs>
          <w:tab w:val="right" w:pos="9072"/>
        </w:tabs>
        <w:spacing w:after="0" w:line="360" w:lineRule="auto"/>
        <w:ind w:right="-234" w:firstLine="567"/>
        <w:jc w:val="both"/>
        <w:rPr>
          <w:rFonts w:ascii="Arial" w:hAnsi="Arial" w:cs="Arial"/>
          <w:b/>
          <w:sz w:val="24"/>
          <w:szCs w:val="24"/>
        </w:rPr>
      </w:pPr>
      <w:r w:rsidRPr="00512412">
        <w:rPr>
          <w:rFonts w:ascii="Arial" w:hAnsi="Arial" w:cs="Arial"/>
          <w:b/>
          <w:sz w:val="24"/>
          <w:szCs w:val="24"/>
        </w:rPr>
        <w:t xml:space="preserve">SEGUNDO. </w:t>
      </w:r>
      <w:r w:rsidRPr="00512412">
        <w:rPr>
          <w:rFonts w:ascii="Arial" w:hAnsi="Arial" w:cs="Arial"/>
          <w:sz w:val="24"/>
          <w:szCs w:val="24"/>
        </w:rPr>
        <w:t xml:space="preserve">La personería de las partes quedó acreditada. </w:t>
      </w:r>
    </w:p>
    <w:p w14:paraId="2D41CDF3" w14:textId="77777777" w:rsidR="002B375F" w:rsidRPr="00512412" w:rsidRDefault="002B375F" w:rsidP="00E51C1F">
      <w:pPr>
        <w:tabs>
          <w:tab w:val="right" w:pos="9072"/>
        </w:tabs>
        <w:spacing w:after="0" w:line="360" w:lineRule="auto"/>
        <w:ind w:right="-234" w:firstLine="567"/>
        <w:jc w:val="both"/>
        <w:rPr>
          <w:rFonts w:ascii="Arial" w:hAnsi="Arial" w:cs="Arial"/>
          <w:b/>
          <w:sz w:val="24"/>
          <w:szCs w:val="24"/>
        </w:rPr>
      </w:pPr>
    </w:p>
    <w:p w14:paraId="5A6E4C73" w14:textId="25DBB06E" w:rsidR="002B375F" w:rsidRDefault="002B375F" w:rsidP="00E51C1F">
      <w:pPr>
        <w:spacing w:after="0" w:line="360" w:lineRule="auto"/>
        <w:ind w:firstLine="567"/>
        <w:jc w:val="both"/>
        <w:rPr>
          <w:rFonts w:ascii="Arial" w:hAnsi="Arial" w:cs="Arial"/>
          <w:bCs/>
          <w:sz w:val="24"/>
          <w:szCs w:val="24"/>
        </w:rPr>
      </w:pPr>
      <w:r w:rsidRPr="00512412">
        <w:rPr>
          <w:rFonts w:ascii="Arial" w:hAnsi="Arial" w:cs="Arial"/>
          <w:b/>
          <w:sz w:val="24"/>
          <w:szCs w:val="24"/>
        </w:rPr>
        <w:t xml:space="preserve">TERCERO. </w:t>
      </w:r>
      <w:r w:rsidRPr="00512412">
        <w:rPr>
          <w:rFonts w:ascii="Arial" w:hAnsi="Arial" w:cs="Arial"/>
          <w:sz w:val="24"/>
          <w:szCs w:val="24"/>
        </w:rPr>
        <w:t xml:space="preserve">Se </w:t>
      </w:r>
      <w:r>
        <w:rPr>
          <w:rFonts w:ascii="Arial" w:hAnsi="Arial" w:cs="Arial"/>
          <w:sz w:val="24"/>
          <w:szCs w:val="24"/>
        </w:rPr>
        <w:t xml:space="preserve">declara la </w:t>
      </w:r>
      <w:r>
        <w:rPr>
          <w:rFonts w:ascii="Arial" w:hAnsi="Arial" w:cs="Arial"/>
          <w:b/>
          <w:bCs/>
          <w:sz w:val="24"/>
          <w:szCs w:val="24"/>
        </w:rPr>
        <w:t>NULIDAD</w:t>
      </w:r>
      <w:r w:rsidR="00496AD7">
        <w:rPr>
          <w:rFonts w:ascii="Arial" w:hAnsi="Arial" w:cs="Arial"/>
          <w:b/>
          <w:bCs/>
          <w:sz w:val="24"/>
          <w:szCs w:val="24"/>
        </w:rPr>
        <w:t xml:space="preserve"> LISA Y LLANA</w:t>
      </w:r>
      <w:r w:rsidRPr="00512412">
        <w:rPr>
          <w:rFonts w:ascii="Arial" w:hAnsi="Arial" w:cs="Arial"/>
          <w:b/>
          <w:bCs/>
          <w:sz w:val="24"/>
          <w:szCs w:val="24"/>
        </w:rPr>
        <w:t xml:space="preserve"> </w:t>
      </w:r>
      <w:r w:rsidR="00EC3B62">
        <w:rPr>
          <w:rFonts w:ascii="Arial" w:eastAsia="Calibri" w:hAnsi="Arial" w:cs="Arial"/>
          <w:sz w:val="24"/>
          <w:szCs w:val="24"/>
          <w:lang w:eastAsia="en-US"/>
        </w:rPr>
        <w:t xml:space="preserve">del </w:t>
      </w:r>
      <w:r w:rsidR="00343500">
        <w:rPr>
          <w:rFonts w:ascii="Arial" w:hAnsi="Arial" w:cs="Arial"/>
          <w:sz w:val="24"/>
          <w:szCs w:val="24"/>
        </w:rPr>
        <w:t xml:space="preserve">acta de infracción con número de folio </w:t>
      </w:r>
      <w:r w:rsidR="005F6587">
        <w:rPr>
          <w:rFonts w:ascii="Arial" w:eastAsia="Calibri" w:hAnsi="Arial" w:cs="Arial"/>
          <w:sz w:val="24"/>
          <w:szCs w:val="24"/>
          <w:lang w:eastAsia="en-US"/>
        </w:rPr>
        <w:t>**********</w:t>
      </w:r>
      <w:r w:rsidR="00364ED3">
        <w:rPr>
          <w:rFonts w:ascii="Arial" w:eastAsia="Calibri" w:hAnsi="Arial" w:cs="Arial"/>
          <w:sz w:val="24"/>
          <w:szCs w:val="24"/>
          <w:lang w:eastAsia="en-US"/>
        </w:rPr>
        <w:t xml:space="preserve"> de fecha uno de octubre de dos mil veintidós </w:t>
      </w:r>
      <w:r w:rsidR="00EC3B62">
        <w:rPr>
          <w:rFonts w:ascii="Arial" w:hAnsi="Arial" w:cs="Arial"/>
          <w:sz w:val="24"/>
          <w:szCs w:val="24"/>
        </w:rPr>
        <w:t>por las razones expuestas</w:t>
      </w:r>
      <w:r>
        <w:rPr>
          <w:rFonts w:ascii="Arial" w:hAnsi="Arial" w:cs="Arial"/>
          <w:bCs/>
          <w:sz w:val="24"/>
          <w:szCs w:val="24"/>
        </w:rPr>
        <w:t xml:space="preserve"> en el considerando </w:t>
      </w:r>
      <w:r w:rsidR="00F7700E">
        <w:rPr>
          <w:rFonts w:ascii="Arial" w:hAnsi="Arial" w:cs="Arial"/>
          <w:bCs/>
          <w:sz w:val="24"/>
          <w:szCs w:val="24"/>
        </w:rPr>
        <w:t>SEXTO</w:t>
      </w:r>
      <w:r>
        <w:rPr>
          <w:rFonts w:ascii="Arial" w:hAnsi="Arial" w:cs="Arial"/>
          <w:bCs/>
          <w:sz w:val="24"/>
          <w:szCs w:val="24"/>
        </w:rPr>
        <w:t xml:space="preserve"> de la presente resolución.</w:t>
      </w:r>
    </w:p>
    <w:p w14:paraId="7C1BBEAB" w14:textId="77777777" w:rsidR="002B375F" w:rsidRPr="00512412" w:rsidRDefault="002B375F" w:rsidP="00E51C1F">
      <w:pPr>
        <w:spacing w:after="0" w:line="360" w:lineRule="auto"/>
        <w:ind w:firstLine="567"/>
        <w:jc w:val="both"/>
        <w:rPr>
          <w:rFonts w:ascii="Arial" w:hAnsi="Arial" w:cs="Arial"/>
          <w:sz w:val="24"/>
          <w:szCs w:val="24"/>
        </w:rPr>
      </w:pPr>
    </w:p>
    <w:p w14:paraId="59C98F0C" w14:textId="07DC124C" w:rsidR="008003CD" w:rsidRDefault="002B375F" w:rsidP="00E51C1F">
      <w:pPr>
        <w:spacing w:after="0" w:line="360" w:lineRule="auto"/>
        <w:ind w:right="49" w:firstLine="567"/>
        <w:jc w:val="both"/>
        <w:rPr>
          <w:rFonts w:ascii="Arial" w:eastAsia="Times New Roman" w:hAnsi="Arial" w:cs="Arial"/>
          <w:b/>
          <w:sz w:val="24"/>
          <w:szCs w:val="24"/>
        </w:rPr>
      </w:pPr>
      <w:r w:rsidRPr="00512412">
        <w:rPr>
          <w:rFonts w:ascii="Arial" w:eastAsia="Times New Roman" w:hAnsi="Arial" w:cs="Arial"/>
          <w:b/>
          <w:sz w:val="24"/>
          <w:szCs w:val="24"/>
        </w:rPr>
        <w:t xml:space="preserve">CUARTO. </w:t>
      </w:r>
      <w:r w:rsidR="008003CD">
        <w:rPr>
          <w:rFonts w:ascii="Arial" w:eastAsia="Calibri" w:hAnsi="Arial" w:cs="Arial"/>
          <w:sz w:val="24"/>
          <w:szCs w:val="24"/>
          <w:lang w:eastAsia="en-US"/>
        </w:rPr>
        <w:t xml:space="preserve">Se ordena a la autoridad demandada para que: </w:t>
      </w:r>
      <w:r w:rsidR="00364ED3">
        <w:rPr>
          <w:rFonts w:ascii="Arial" w:eastAsia="Calibri" w:hAnsi="Arial" w:cs="Arial"/>
          <w:b/>
          <w:sz w:val="24"/>
          <w:szCs w:val="24"/>
          <w:lang w:eastAsia="en-US"/>
        </w:rPr>
        <w:t>a)</w:t>
      </w:r>
      <w:r w:rsidR="00364ED3">
        <w:rPr>
          <w:rFonts w:ascii="Arial" w:eastAsia="Calibri" w:hAnsi="Arial" w:cs="Arial"/>
          <w:sz w:val="24"/>
          <w:szCs w:val="24"/>
          <w:lang w:eastAsia="en-US"/>
        </w:rPr>
        <w:t xml:space="preserve"> por conducto de la Tesorería Municipal de Santa Cruz Amilpas, Oaxaca (autoridad también demandada en el presente juicio) realice la devolución de las cantidades de $6,900.00 (Seis mil novecientos pesos 00/100 m.n.);</w:t>
      </w:r>
      <w:r w:rsidR="00152378">
        <w:rPr>
          <w:rFonts w:ascii="Arial" w:eastAsia="Calibri" w:hAnsi="Arial" w:cs="Arial"/>
          <w:sz w:val="24"/>
          <w:szCs w:val="24"/>
          <w:lang w:eastAsia="en-US"/>
        </w:rPr>
        <w:t xml:space="preserve"> así como haga las gestiones necesarias para que “</w:t>
      </w:r>
      <w:r w:rsidR="005F6587">
        <w:rPr>
          <w:rFonts w:ascii="Arial" w:eastAsia="Calibri" w:hAnsi="Arial" w:cs="Arial"/>
          <w:sz w:val="24"/>
          <w:szCs w:val="24"/>
          <w:lang w:eastAsia="en-US"/>
        </w:rPr>
        <w:t>**********</w:t>
      </w:r>
      <w:bookmarkStart w:id="0" w:name="_GoBack"/>
      <w:bookmarkEnd w:id="0"/>
      <w:r w:rsidR="00152378">
        <w:rPr>
          <w:rFonts w:ascii="Arial" w:eastAsia="Calibri" w:hAnsi="Arial" w:cs="Arial"/>
          <w:sz w:val="24"/>
          <w:szCs w:val="24"/>
          <w:lang w:eastAsia="en-US"/>
        </w:rPr>
        <w:t>” devuelva la cantidad de</w:t>
      </w:r>
      <w:r w:rsidR="00364ED3">
        <w:rPr>
          <w:rFonts w:ascii="Arial" w:eastAsia="Calibri" w:hAnsi="Arial" w:cs="Arial"/>
          <w:sz w:val="24"/>
          <w:szCs w:val="24"/>
          <w:lang w:eastAsia="en-US"/>
        </w:rPr>
        <w:t xml:space="preserve"> $1,500.00 (Mil quinientos pesos 00/100 m.n.) por concepto de arrastre y, </w:t>
      </w:r>
      <w:r w:rsidR="00364ED3">
        <w:rPr>
          <w:rFonts w:ascii="Arial" w:eastAsia="Calibri" w:hAnsi="Arial" w:cs="Arial"/>
          <w:b/>
          <w:sz w:val="24"/>
          <w:szCs w:val="24"/>
          <w:lang w:eastAsia="en-US"/>
        </w:rPr>
        <w:t>b)</w:t>
      </w:r>
      <w:r w:rsidR="00364ED3">
        <w:rPr>
          <w:rFonts w:ascii="Arial" w:eastAsia="Calibri" w:hAnsi="Arial" w:cs="Arial"/>
          <w:sz w:val="24"/>
          <w:szCs w:val="24"/>
          <w:lang w:eastAsia="en-US"/>
        </w:rPr>
        <w:t xml:space="preserve"> la </w:t>
      </w:r>
      <w:r w:rsidR="00364ED3">
        <w:rPr>
          <w:rFonts w:ascii="Arial" w:eastAsia="Calibri" w:hAnsi="Arial" w:cs="Arial"/>
          <w:b/>
          <w:bCs/>
          <w:sz w:val="24"/>
          <w:szCs w:val="24"/>
          <w:lang w:eastAsia="en-US"/>
        </w:rPr>
        <w:t xml:space="preserve">baja de cualquier sistema </w:t>
      </w:r>
      <w:r w:rsidR="00364ED3">
        <w:rPr>
          <w:rFonts w:ascii="Arial" w:eastAsia="Calibri" w:hAnsi="Arial" w:cs="Arial"/>
          <w:sz w:val="24"/>
          <w:szCs w:val="24"/>
          <w:lang w:eastAsia="en-US"/>
        </w:rPr>
        <w:t>donde se hubiere llevado registro</w:t>
      </w:r>
      <w:r w:rsidR="00364ED3">
        <w:rPr>
          <w:rFonts w:ascii="Arial" w:eastAsia="Calibri" w:hAnsi="Arial" w:cs="Arial"/>
          <w:b/>
          <w:bCs/>
          <w:sz w:val="24"/>
          <w:szCs w:val="24"/>
          <w:lang w:eastAsia="en-US"/>
        </w:rPr>
        <w:t xml:space="preserve"> </w:t>
      </w:r>
      <w:r w:rsidR="00364ED3">
        <w:rPr>
          <w:rFonts w:ascii="Arial" w:eastAsia="Calibri" w:hAnsi="Arial" w:cs="Arial"/>
          <w:sz w:val="24"/>
          <w:szCs w:val="24"/>
          <w:lang w:eastAsia="en-US"/>
        </w:rPr>
        <w:t>de la infracción impugnada en esta vía</w:t>
      </w:r>
      <w:r w:rsidR="008003CD">
        <w:rPr>
          <w:rFonts w:ascii="Arial" w:eastAsia="Calibri" w:hAnsi="Arial" w:cs="Arial"/>
          <w:sz w:val="24"/>
          <w:szCs w:val="24"/>
          <w:lang w:eastAsia="en-US"/>
        </w:rPr>
        <w:t>.</w:t>
      </w:r>
    </w:p>
    <w:p w14:paraId="1B6EC4BC" w14:textId="77777777" w:rsidR="008003CD" w:rsidRDefault="008003CD" w:rsidP="00E51C1F">
      <w:pPr>
        <w:spacing w:after="0" w:line="360" w:lineRule="auto"/>
        <w:ind w:right="49" w:firstLine="567"/>
        <w:jc w:val="both"/>
        <w:rPr>
          <w:rFonts w:ascii="Arial" w:eastAsia="Times New Roman" w:hAnsi="Arial" w:cs="Arial"/>
          <w:b/>
          <w:sz w:val="24"/>
          <w:szCs w:val="24"/>
        </w:rPr>
      </w:pPr>
    </w:p>
    <w:p w14:paraId="4F70F251" w14:textId="27D607DC" w:rsidR="002B375F" w:rsidRPr="00512412" w:rsidRDefault="008003CD" w:rsidP="00E51C1F">
      <w:pPr>
        <w:spacing w:after="0" w:line="360" w:lineRule="auto"/>
        <w:ind w:right="49" w:firstLine="567"/>
        <w:jc w:val="both"/>
        <w:rPr>
          <w:rFonts w:ascii="Arial" w:eastAsia="Times New Roman" w:hAnsi="Arial" w:cs="Arial"/>
          <w:sz w:val="24"/>
          <w:szCs w:val="24"/>
        </w:rPr>
      </w:pPr>
      <w:r>
        <w:rPr>
          <w:rFonts w:ascii="Arial" w:eastAsia="Times New Roman" w:hAnsi="Arial" w:cs="Arial"/>
          <w:b/>
          <w:sz w:val="24"/>
          <w:szCs w:val="24"/>
        </w:rPr>
        <w:t xml:space="preserve">QUINTO. </w:t>
      </w:r>
      <w:r w:rsidR="002B375F" w:rsidRPr="00512412">
        <w:rPr>
          <w:rFonts w:ascii="Arial" w:eastAsia="Times New Roman" w:hAnsi="Arial" w:cs="Arial"/>
          <w:b/>
          <w:sz w:val="24"/>
          <w:szCs w:val="24"/>
        </w:rPr>
        <w:t>Notifíquese personalmente a la parte actora y por oficio a la</w:t>
      </w:r>
      <w:r w:rsidR="00223C1A">
        <w:rPr>
          <w:rFonts w:ascii="Arial" w:eastAsia="Times New Roman" w:hAnsi="Arial" w:cs="Arial"/>
          <w:b/>
          <w:sz w:val="24"/>
          <w:szCs w:val="24"/>
        </w:rPr>
        <w:t>s</w:t>
      </w:r>
      <w:r w:rsidR="002B375F" w:rsidRPr="00512412">
        <w:rPr>
          <w:rFonts w:ascii="Arial" w:eastAsia="Times New Roman" w:hAnsi="Arial" w:cs="Arial"/>
          <w:b/>
          <w:sz w:val="24"/>
          <w:szCs w:val="24"/>
        </w:rPr>
        <w:t xml:space="preserve"> autoridad</w:t>
      </w:r>
      <w:r w:rsidR="00223C1A">
        <w:rPr>
          <w:rFonts w:ascii="Arial" w:eastAsia="Times New Roman" w:hAnsi="Arial" w:cs="Arial"/>
          <w:b/>
          <w:sz w:val="24"/>
          <w:szCs w:val="24"/>
        </w:rPr>
        <w:t>es</w:t>
      </w:r>
      <w:r w:rsidR="002B375F" w:rsidRPr="00512412">
        <w:rPr>
          <w:rFonts w:ascii="Arial" w:eastAsia="Times New Roman" w:hAnsi="Arial" w:cs="Arial"/>
          <w:b/>
          <w:sz w:val="24"/>
          <w:szCs w:val="24"/>
        </w:rPr>
        <w:t xml:space="preserve"> demandada</w:t>
      </w:r>
      <w:r w:rsidR="00223C1A">
        <w:rPr>
          <w:rFonts w:ascii="Arial" w:eastAsia="Times New Roman" w:hAnsi="Arial" w:cs="Arial"/>
          <w:b/>
          <w:sz w:val="24"/>
          <w:szCs w:val="24"/>
        </w:rPr>
        <w:t>s</w:t>
      </w:r>
      <w:r w:rsidR="002B375F" w:rsidRPr="00512412">
        <w:rPr>
          <w:rFonts w:ascii="Arial" w:eastAsia="Times New Roman" w:hAnsi="Arial" w:cs="Arial"/>
          <w:sz w:val="24"/>
          <w:szCs w:val="24"/>
        </w:rPr>
        <w:t>, con fundamento en los artículos 172</w:t>
      </w:r>
      <w:r w:rsidR="00FE4416">
        <w:rPr>
          <w:rFonts w:ascii="Arial" w:eastAsia="Times New Roman" w:hAnsi="Arial" w:cs="Arial"/>
          <w:sz w:val="24"/>
          <w:szCs w:val="24"/>
        </w:rPr>
        <w:t>,</w:t>
      </w:r>
      <w:r w:rsidR="002B375F" w:rsidRPr="00512412">
        <w:rPr>
          <w:rFonts w:ascii="Arial" w:eastAsia="Times New Roman" w:hAnsi="Arial" w:cs="Arial"/>
          <w:sz w:val="24"/>
          <w:szCs w:val="24"/>
        </w:rPr>
        <w:t xml:space="preserve"> fracción I y 173 fracciones I y II, de la Ley de Procedimiento y Justicia Administrativa para el Estado de Oaxaca,</w:t>
      </w:r>
      <w:r w:rsidR="002B375F" w:rsidRPr="00512412">
        <w:rPr>
          <w:rFonts w:ascii="Arial" w:eastAsia="Times New Roman" w:hAnsi="Arial" w:cs="Arial"/>
          <w:b/>
          <w:iCs/>
          <w:sz w:val="24"/>
          <w:szCs w:val="24"/>
        </w:rPr>
        <w:t xml:space="preserve"> - CÚMPLASE</w:t>
      </w:r>
      <w:r w:rsidR="002B375F" w:rsidRPr="00512412">
        <w:rPr>
          <w:rFonts w:ascii="Arial" w:eastAsia="Times New Roman" w:hAnsi="Arial" w:cs="Arial"/>
          <w:sz w:val="24"/>
          <w:szCs w:val="24"/>
        </w:rPr>
        <w:t xml:space="preserve">. </w:t>
      </w:r>
    </w:p>
    <w:p w14:paraId="3B0CE970" w14:textId="77777777" w:rsidR="002B375F" w:rsidRPr="00512412" w:rsidRDefault="002B375F" w:rsidP="00E51C1F">
      <w:pPr>
        <w:spacing w:after="0" w:line="360" w:lineRule="auto"/>
        <w:ind w:right="49" w:firstLine="567"/>
        <w:jc w:val="both"/>
        <w:rPr>
          <w:rFonts w:ascii="Arial" w:eastAsia="Times New Roman" w:hAnsi="Arial" w:cs="Arial"/>
          <w:b/>
          <w:sz w:val="24"/>
          <w:szCs w:val="24"/>
        </w:rPr>
      </w:pPr>
    </w:p>
    <w:p w14:paraId="7964499F" w14:textId="77777777" w:rsidR="002B375F" w:rsidRPr="00512412" w:rsidRDefault="002B375F" w:rsidP="00E51C1F">
      <w:pPr>
        <w:spacing w:after="0" w:line="360" w:lineRule="auto"/>
        <w:ind w:right="49" w:firstLine="567"/>
        <w:jc w:val="both"/>
        <w:rPr>
          <w:rFonts w:ascii="Arial" w:eastAsia="Times New Roman" w:hAnsi="Arial" w:cs="Arial"/>
          <w:b/>
          <w:sz w:val="24"/>
          <w:szCs w:val="24"/>
          <w:lang w:val="es-ES"/>
        </w:rPr>
      </w:pPr>
      <w:r w:rsidRPr="00512412">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512412">
        <w:rPr>
          <w:rFonts w:ascii="Arial" w:eastAsia="Times New Roman" w:hAnsi="Arial" w:cs="Arial"/>
          <w:sz w:val="24"/>
          <w:szCs w:val="24"/>
        </w:rPr>
        <w:t>Morales</w:t>
      </w:r>
      <w:proofErr w:type="spellEnd"/>
      <w:r w:rsidRPr="00512412">
        <w:rPr>
          <w:rFonts w:ascii="Arial" w:eastAsia="Times New Roman" w:hAnsi="Arial" w:cs="Arial"/>
          <w:sz w:val="24"/>
          <w:szCs w:val="24"/>
        </w:rPr>
        <w:t>, Secretario de Acuerdos, que autoriza y da fe.</w:t>
      </w:r>
    </w:p>
    <w:sectPr w:rsidR="002B375F" w:rsidRPr="00512412"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3BDE49" w14:textId="77777777" w:rsidR="005A046C" w:rsidRDefault="005A046C">
      <w:pPr>
        <w:spacing w:after="0" w:line="240" w:lineRule="auto"/>
      </w:pPr>
      <w:r>
        <w:separator/>
      </w:r>
    </w:p>
  </w:endnote>
  <w:endnote w:type="continuationSeparator" w:id="0">
    <w:p w14:paraId="1C9F3FB7" w14:textId="77777777" w:rsidR="005A046C" w:rsidRDefault="005A0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0CB4D8" w14:textId="77777777" w:rsidR="005A046C" w:rsidRDefault="005A046C">
      <w:pPr>
        <w:spacing w:after="0" w:line="240" w:lineRule="auto"/>
      </w:pPr>
      <w:r>
        <w:separator/>
      </w:r>
    </w:p>
  </w:footnote>
  <w:footnote w:type="continuationSeparator" w:id="0">
    <w:p w14:paraId="48A80066" w14:textId="77777777" w:rsidR="005A046C" w:rsidRDefault="005A046C">
      <w:pPr>
        <w:spacing w:after="0" w:line="240" w:lineRule="auto"/>
      </w:pPr>
      <w:r>
        <w:continuationSeparator/>
      </w:r>
    </w:p>
  </w:footnote>
  <w:footnote w:id="1">
    <w:p w14:paraId="4AA2A171"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5C1846A3" w14:textId="77777777" w:rsidR="0085386F" w:rsidRPr="005B4F51" w:rsidRDefault="0085386F" w:rsidP="0085386F">
      <w:pPr>
        <w:autoSpaceDE w:val="0"/>
        <w:autoSpaceDN w:val="0"/>
        <w:adjustRightInd w:val="0"/>
        <w:spacing w:after="0" w:line="240" w:lineRule="auto"/>
        <w:jc w:val="both"/>
        <w:rPr>
          <w:rFonts w:ascii="Arial" w:hAnsi="Arial" w:cs="Arial"/>
          <w:color w:val="000000"/>
        </w:rPr>
      </w:pPr>
    </w:p>
  </w:footnote>
  <w:footnote w:id="2">
    <w:p w14:paraId="2A5ACC35"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858E3CB" w14:textId="77777777" w:rsidR="0085386F" w:rsidRPr="005B4F51" w:rsidRDefault="0085386F" w:rsidP="0085386F">
      <w:pPr>
        <w:autoSpaceDE w:val="0"/>
        <w:autoSpaceDN w:val="0"/>
        <w:adjustRightInd w:val="0"/>
        <w:spacing w:after="0" w:line="240" w:lineRule="auto"/>
        <w:rPr>
          <w:rFonts w:ascii="Arial" w:hAnsi="Arial" w:cs="Arial"/>
          <w:color w:val="000000"/>
          <w:sz w:val="16"/>
          <w:szCs w:val="16"/>
        </w:rPr>
      </w:pPr>
    </w:p>
  </w:footnote>
  <w:footnote w:id="3">
    <w:p w14:paraId="67FAF33D" w14:textId="77777777" w:rsidR="00D83CC1" w:rsidRDefault="00D83CC1" w:rsidP="00D83CC1">
      <w:pPr>
        <w:widowControl w:val="0"/>
        <w:autoSpaceDE w:val="0"/>
        <w:autoSpaceDN w:val="0"/>
        <w:adjustRightInd w:val="0"/>
        <w:spacing w:line="360" w:lineRule="auto"/>
        <w:ind w:right="-234"/>
        <w:jc w:val="both"/>
        <w:rPr>
          <w:rFonts w:ascii="Arial" w:hAnsi="Arial" w:cs="Arial"/>
          <w:sz w:val="16"/>
          <w:szCs w:val="16"/>
        </w:rPr>
      </w:pPr>
      <w:r w:rsidRPr="000F129A">
        <w:rPr>
          <w:rStyle w:val="Refdenotaalpie"/>
          <w:rFonts w:ascii="Arial" w:hAnsi="Arial" w:cs="Arial"/>
          <w:sz w:val="16"/>
          <w:szCs w:val="16"/>
        </w:rPr>
        <w:footnoteRef/>
      </w:r>
      <w:r w:rsidRPr="000F129A">
        <w:rPr>
          <w:rFonts w:ascii="Arial" w:hAnsi="Arial" w:cs="Arial"/>
          <w:sz w:val="16"/>
          <w:szCs w:val="16"/>
        </w:rPr>
        <w:t xml:space="preserve"> </w:t>
      </w:r>
      <w:r>
        <w:rPr>
          <w:rFonts w:ascii="Arial" w:hAnsi="Arial" w:cs="Arial"/>
          <w:sz w:val="16"/>
          <w:szCs w:val="16"/>
        </w:rPr>
        <w:t>“</w:t>
      </w:r>
      <w:r w:rsidRPr="000F129A">
        <w:rPr>
          <w:rFonts w:ascii="Arial" w:hAnsi="Arial" w:cs="Arial"/>
          <w:b/>
          <w:bCs/>
          <w:color w:val="000000"/>
          <w:spacing w:val="-6"/>
          <w:sz w:val="16"/>
          <w:szCs w:val="16"/>
        </w:rPr>
        <w:t>A</w:t>
      </w:r>
      <w:r w:rsidRPr="000F129A">
        <w:rPr>
          <w:rFonts w:ascii="Arial" w:hAnsi="Arial" w:cs="Arial"/>
          <w:b/>
          <w:bCs/>
          <w:color w:val="000000"/>
          <w:spacing w:val="1"/>
          <w:sz w:val="16"/>
          <w:szCs w:val="16"/>
        </w:rPr>
        <w:t>R</w:t>
      </w:r>
      <w:r w:rsidRPr="000F129A">
        <w:rPr>
          <w:rFonts w:ascii="Arial" w:hAnsi="Arial" w:cs="Arial"/>
          <w:b/>
          <w:bCs/>
          <w:color w:val="000000"/>
          <w:sz w:val="16"/>
          <w:szCs w:val="16"/>
        </w:rPr>
        <w:t>TÍCULO</w:t>
      </w:r>
      <w:r w:rsidRPr="000F129A">
        <w:rPr>
          <w:rFonts w:ascii="Arial" w:hAnsi="Arial" w:cs="Arial"/>
          <w:b/>
          <w:bCs/>
          <w:color w:val="000000"/>
          <w:spacing w:val="2"/>
          <w:sz w:val="16"/>
          <w:szCs w:val="16"/>
        </w:rPr>
        <w:t xml:space="preserve"> </w:t>
      </w:r>
      <w:r>
        <w:rPr>
          <w:rFonts w:ascii="Arial" w:hAnsi="Arial" w:cs="Arial"/>
          <w:b/>
          <w:bCs/>
          <w:color w:val="000000"/>
          <w:sz w:val="16"/>
          <w:szCs w:val="16"/>
        </w:rPr>
        <w:t>203</w:t>
      </w:r>
      <w:r w:rsidRPr="000F129A">
        <w:rPr>
          <w:rFonts w:ascii="Arial" w:hAnsi="Arial" w:cs="Arial"/>
          <w:b/>
          <w:bCs/>
          <w:color w:val="000000"/>
          <w:spacing w:val="1"/>
          <w:sz w:val="16"/>
          <w:szCs w:val="16"/>
        </w:rPr>
        <w:t>.</w:t>
      </w:r>
      <w:r w:rsidRPr="000F129A">
        <w:rPr>
          <w:rFonts w:ascii="Arial" w:hAnsi="Arial" w:cs="Arial"/>
          <w:b/>
          <w:bCs/>
          <w:color w:val="000000"/>
          <w:sz w:val="16"/>
          <w:szCs w:val="16"/>
        </w:rPr>
        <w:t xml:space="preserve">- </w:t>
      </w:r>
      <w:r w:rsidRPr="000F129A">
        <w:rPr>
          <w:rFonts w:ascii="Arial" w:hAnsi="Arial" w:cs="Arial"/>
          <w:color w:val="000000"/>
          <w:sz w:val="16"/>
          <w:szCs w:val="16"/>
        </w:rPr>
        <w:t>La</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a</w:t>
      </w:r>
      <w:r w:rsidRPr="000F129A">
        <w:rPr>
          <w:rFonts w:ascii="Arial" w:hAnsi="Arial" w:cs="Arial"/>
          <w:color w:val="000000"/>
          <w:spacing w:val="-1"/>
          <w:sz w:val="16"/>
          <w:szCs w:val="16"/>
        </w:rPr>
        <w:t>l</w:t>
      </w:r>
      <w:r w:rsidRPr="000F129A">
        <w:rPr>
          <w:rFonts w:ascii="Arial" w:hAnsi="Arial" w:cs="Arial"/>
          <w:color w:val="000000"/>
          <w:sz w:val="16"/>
          <w:szCs w:val="16"/>
        </w:rPr>
        <w:t>orac</w:t>
      </w:r>
      <w:r w:rsidRPr="000F129A">
        <w:rPr>
          <w:rFonts w:ascii="Arial" w:hAnsi="Arial" w:cs="Arial"/>
          <w:color w:val="000000"/>
          <w:spacing w:val="-1"/>
          <w:sz w:val="16"/>
          <w:szCs w:val="16"/>
        </w:rPr>
        <w:t>i</w:t>
      </w:r>
      <w:r w:rsidRPr="000F129A">
        <w:rPr>
          <w:rFonts w:ascii="Arial" w:hAnsi="Arial" w:cs="Arial"/>
          <w:color w:val="000000"/>
          <w:sz w:val="16"/>
          <w:szCs w:val="16"/>
        </w:rPr>
        <w:t>ón</w:t>
      </w:r>
      <w:r w:rsidRPr="000F129A">
        <w:rPr>
          <w:rFonts w:ascii="Arial" w:hAnsi="Arial" w:cs="Arial"/>
          <w:color w:val="000000"/>
          <w:spacing w:val="1"/>
          <w:sz w:val="16"/>
          <w:szCs w:val="16"/>
        </w:rPr>
        <w:t xml:space="preserve"> </w:t>
      </w:r>
      <w:r w:rsidRPr="000F129A">
        <w:rPr>
          <w:rFonts w:ascii="Arial" w:hAnsi="Arial" w:cs="Arial"/>
          <w:color w:val="000000"/>
          <w:sz w:val="16"/>
          <w:szCs w:val="16"/>
        </w:rPr>
        <w:t>de</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color w:val="000000"/>
          <w:spacing w:val="-2"/>
          <w:sz w:val="16"/>
          <w:szCs w:val="16"/>
        </w:rPr>
        <w:t xml:space="preserve"> </w:t>
      </w:r>
      <w:r w:rsidRPr="000F129A">
        <w:rPr>
          <w:rFonts w:ascii="Arial" w:hAnsi="Arial" w:cs="Arial"/>
          <w:color w:val="000000"/>
          <w:sz w:val="16"/>
          <w:szCs w:val="16"/>
        </w:rPr>
        <w:t>prueb</w:t>
      </w:r>
      <w:r w:rsidRPr="000F129A">
        <w:rPr>
          <w:rFonts w:ascii="Arial" w:hAnsi="Arial" w:cs="Arial"/>
          <w:color w:val="000000"/>
          <w:spacing w:val="-1"/>
          <w:sz w:val="16"/>
          <w:szCs w:val="16"/>
        </w:rPr>
        <w:t>a</w:t>
      </w:r>
      <w:r w:rsidRPr="000F129A">
        <w:rPr>
          <w:rFonts w:ascii="Arial" w:hAnsi="Arial" w:cs="Arial"/>
          <w:color w:val="000000"/>
          <w:sz w:val="16"/>
          <w:szCs w:val="16"/>
        </w:rPr>
        <w:t>s</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s</w:t>
      </w:r>
      <w:r w:rsidRPr="000F129A">
        <w:rPr>
          <w:rFonts w:ascii="Arial" w:hAnsi="Arial" w:cs="Arial"/>
          <w:color w:val="000000"/>
          <w:sz w:val="16"/>
          <w:szCs w:val="16"/>
        </w:rPr>
        <w:t>e ha</w:t>
      </w:r>
      <w:r w:rsidRPr="000F129A">
        <w:rPr>
          <w:rFonts w:ascii="Arial" w:hAnsi="Arial" w:cs="Arial"/>
          <w:color w:val="000000"/>
          <w:spacing w:val="1"/>
          <w:sz w:val="16"/>
          <w:szCs w:val="16"/>
        </w:rPr>
        <w:t>r</w:t>
      </w:r>
      <w:r w:rsidRPr="000F129A">
        <w:rPr>
          <w:rFonts w:ascii="Arial" w:hAnsi="Arial" w:cs="Arial"/>
          <w:color w:val="000000"/>
          <w:sz w:val="16"/>
          <w:szCs w:val="16"/>
        </w:rPr>
        <w:t>á  de</w:t>
      </w:r>
      <w:r w:rsidRPr="000F129A">
        <w:rPr>
          <w:rFonts w:ascii="Arial" w:hAnsi="Arial" w:cs="Arial"/>
          <w:color w:val="000000"/>
          <w:spacing w:val="-2"/>
          <w:sz w:val="16"/>
          <w:szCs w:val="16"/>
        </w:rPr>
        <w:t xml:space="preserve"> </w:t>
      </w:r>
      <w:r w:rsidRPr="000F129A">
        <w:rPr>
          <w:rFonts w:ascii="Arial" w:hAnsi="Arial" w:cs="Arial"/>
          <w:color w:val="000000"/>
          <w:sz w:val="16"/>
          <w:szCs w:val="16"/>
        </w:rPr>
        <w:t>ac</w:t>
      </w:r>
      <w:r w:rsidRPr="000F129A">
        <w:rPr>
          <w:rFonts w:ascii="Arial" w:hAnsi="Arial" w:cs="Arial"/>
          <w:color w:val="000000"/>
          <w:spacing w:val="-1"/>
          <w:sz w:val="16"/>
          <w:szCs w:val="16"/>
        </w:rPr>
        <w:t>u</w:t>
      </w:r>
      <w:r w:rsidRPr="000F129A">
        <w:rPr>
          <w:rFonts w:ascii="Arial" w:hAnsi="Arial" w:cs="Arial"/>
          <w:color w:val="000000"/>
          <w:sz w:val="16"/>
          <w:szCs w:val="16"/>
        </w:rPr>
        <w:t>erdo</w:t>
      </w:r>
      <w:r w:rsidRPr="000F129A">
        <w:rPr>
          <w:rFonts w:ascii="Arial" w:hAnsi="Arial" w:cs="Arial"/>
          <w:color w:val="000000"/>
          <w:spacing w:val="-1"/>
          <w:sz w:val="16"/>
          <w:szCs w:val="16"/>
        </w:rPr>
        <w:t xml:space="preserve"> </w:t>
      </w:r>
      <w:r w:rsidRPr="000F129A">
        <w:rPr>
          <w:rFonts w:ascii="Arial" w:hAnsi="Arial" w:cs="Arial"/>
          <w:color w:val="000000"/>
          <w:sz w:val="16"/>
          <w:szCs w:val="16"/>
        </w:rPr>
        <w:t>con</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 s</w:t>
      </w:r>
      <w:r w:rsidRPr="000F129A">
        <w:rPr>
          <w:rFonts w:ascii="Arial" w:hAnsi="Arial" w:cs="Arial"/>
          <w:color w:val="000000"/>
          <w:spacing w:val="-3"/>
          <w:sz w:val="16"/>
          <w:szCs w:val="16"/>
        </w:rPr>
        <w:t>i</w:t>
      </w:r>
      <w:r w:rsidRPr="000F129A">
        <w:rPr>
          <w:rFonts w:ascii="Arial" w:hAnsi="Arial" w:cs="Arial"/>
          <w:color w:val="000000"/>
          <w:spacing w:val="2"/>
          <w:sz w:val="16"/>
          <w:szCs w:val="16"/>
        </w:rPr>
        <w:t>g</w:t>
      </w:r>
      <w:r w:rsidRPr="000F129A">
        <w:rPr>
          <w:rFonts w:ascii="Arial" w:hAnsi="Arial" w:cs="Arial"/>
          <w:color w:val="000000"/>
          <w:sz w:val="16"/>
          <w:szCs w:val="16"/>
        </w:rPr>
        <w:t>u</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es</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r</w:t>
      </w:r>
      <w:r w:rsidRPr="000F129A">
        <w:rPr>
          <w:rFonts w:ascii="Arial" w:hAnsi="Arial" w:cs="Arial"/>
          <w:color w:val="000000"/>
          <w:spacing w:val="-3"/>
          <w:sz w:val="16"/>
          <w:szCs w:val="16"/>
        </w:rPr>
        <w:t>e</w:t>
      </w:r>
      <w:r w:rsidRPr="000F129A">
        <w:rPr>
          <w:rFonts w:ascii="Arial" w:hAnsi="Arial" w:cs="Arial"/>
          <w:color w:val="000000"/>
          <w:spacing w:val="2"/>
          <w:sz w:val="16"/>
          <w:szCs w:val="16"/>
        </w:rPr>
        <w:t>g</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sz w:val="16"/>
          <w:szCs w:val="16"/>
        </w:rPr>
        <w:t xml:space="preserve">  :  </w:t>
      </w:r>
    </w:p>
    <w:p w14:paraId="21526838" w14:textId="77777777" w:rsidR="00D83CC1" w:rsidRPr="000F129A" w:rsidRDefault="00D83CC1" w:rsidP="00D83CC1">
      <w:pPr>
        <w:widowControl w:val="0"/>
        <w:autoSpaceDE w:val="0"/>
        <w:autoSpaceDN w:val="0"/>
        <w:adjustRightInd w:val="0"/>
        <w:spacing w:line="360" w:lineRule="auto"/>
        <w:ind w:right="-234"/>
        <w:jc w:val="both"/>
        <w:rPr>
          <w:rFonts w:ascii="Arial" w:hAnsi="Arial" w:cs="Arial"/>
          <w:color w:val="000000"/>
          <w:sz w:val="16"/>
          <w:szCs w:val="16"/>
        </w:rPr>
      </w:pPr>
      <w:r w:rsidRPr="000F129A">
        <w:rPr>
          <w:rFonts w:ascii="Arial" w:hAnsi="Arial" w:cs="Arial"/>
          <w:color w:val="000000"/>
          <w:spacing w:val="1"/>
          <w:sz w:val="16"/>
          <w:szCs w:val="16"/>
        </w:rPr>
        <w:t>I</w:t>
      </w:r>
      <w:r w:rsidRPr="000F129A">
        <w:rPr>
          <w:rFonts w:ascii="Arial" w:hAnsi="Arial" w:cs="Arial"/>
          <w:color w:val="000000"/>
          <w:sz w:val="16"/>
          <w:szCs w:val="16"/>
        </w:rPr>
        <w:t xml:space="preserve">.     </w:t>
      </w:r>
      <w:r w:rsidRPr="000F129A">
        <w:rPr>
          <w:rFonts w:ascii="Arial" w:hAnsi="Arial" w:cs="Arial"/>
          <w:color w:val="000000"/>
          <w:spacing w:val="9"/>
          <w:sz w:val="16"/>
          <w:szCs w:val="16"/>
        </w:rPr>
        <w:t xml:space="preserve"> </w:t>
      </w:r>
      <w:r w:rsidRPr="000F129A">
        <w:rPr>
          <w:rFonts w:ascii="Arial" w:hAnsi="Arial" w:cs="Arial"/>
          <w:color w:val="000000"/>
          <w:spacing w:val="-1"/>
          <w:sz w:val="16"/>
          <w:szCs w:val="16"/>
        </w:rPr>
        <w:t>H</w:t>
      </w:r>
      <w:r w:rsidRPr="000F129A">
        <w:rPr>
          <w:rFonts w:ascii="Arial" w:hAnsi="Arial" w:cs="Arial"/>
          <w:color w:val="000000"/>
          <w:sz w:val="16"/>
          <w:szCs w:val="16"/>
        </w:rPr>
        <w:t xml:space="preserve">arán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prueba </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l</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3"/>
          <w:sz w:val="16"/>
          <w:szCs w:val="16"/>
        </w:rPr>
        <w:t>n</w:t>
      </w:r>
      <w:r w:rsidRPr="000F129A">
        <w:rPr>
          <w:rFonts w:ascii="Arial" w:hAnsi="Arial" w:cs="Arial"/>
          <w:color w:val="000000"/>
          <w:spacing w:val="3"/>
          <w:sz w:val="16"/>
          <w:szCs w:val="16"/>
        </w:rPr>
        <w:t>f</w:t>
      </w:r>
      <w:r w:rsidRPr="000F129A">
        <w:rPr>
          <w:rFonts w:ascii="Arial" w:hAnsi="Arial" w:cs="Arial"/>
          <w:color w:val="000000"/>
          <w:sz w:val="16"/>
          <w:szCs w:val="16"/>
        </w:rPr>
        <w:t>es</w:t>
      </w:r>
      <w:r w:rsidRPr="000F129A">
        <w:rPr>
          <w:rFonts w:ascii="Arial" w:hAnsi="Arial" w:cs="Arial"/>
          <w:color w:val="000000"/>
          <w:spacing w:val="-1"/>
          <w:sz w:val="16"/>
          <w:szCs w:val="16"/>
        </w:rPr>
        <w:t>i</w:t>
      </w:r>
      <w:r w:rsidRPr="000F129A">
        <w:rPr>
          <w:rFonts w:ascii="Arial" w:hAnsi="Arial" w:cs="Arial"/>
          <w:color w:val="000000"/>
          <w:sz w:val="16"/>
          <w:szCs w:val="16"/>
        </w:rPr>
        <w:t xml:space="preserve">ón </w:t>
      </w:r>
      <w:r w:rsidRPr="000F129A">
        <w:rPr>
          <w:rFonts w:ascii="Arial" w:hAnsi="Arial" w:cs="Arial"/>
          <w:color w:val="000000"/>
          <w:spacing w:val="1"/>
          <w:sz w:val="16"/>
          <w:szCs w:val="16"/>
        </w:rPr>
        <w:t xml:space="preserve"> </w:t>
      </w:r>
      <w:r w:rsidRPr="000F129A">
        <w:rPr>
          <w:rFonts w:ascii="Arial" w:hAnsi="Arial" w:cs="Arial"/>
          <w:color w:val="000000"/>
          <w:sz w:val="16"/>
          <w:szCs w:val="16"/>
        </w:rPr>
        <w:t>e</w:t>
      </w:r>
      <w:r w:rsidRPr="000F129A">
        <w:rPr>
          <w:rFonts w:ascii="Arial" w:hAnsi="Arial" w:cs="Arial"/>
          <w:color w:val="000000"/>
          <w:spacing w:val="-3"/>
          <w:sz w:val="16"/>
          <w:szCs w:val="16"/>
        </w:rPr>
        <w:t>x</w:t>
      </w:r>
      <w:r w:rsidRPr="000F129A">
        <w:rPr>
          <w:rFonts w:ascii="Arial" w:hAnsi="Arial" w:cs="Arial"/>
          <w:color w:val="000000"/>
          <w:sz w:val="16"/>
          <w:szCs w:val="16"/>
        </w:rPr>
        <w:t xml:space="preserve">presa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de </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as </w:t>
      </w:r>
      <w:r w:rsidRPr="000F129A">
        <w:rPr>
          <w:rFonts w:ascii="Arial" w:hAnsi="Arial" w:cs="Arial"/>
          <w:color w:val="000000"/>
          <w:spacing w:val="2"/>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a</w:t>
      </w:r>
      <w:r w:rsidRPr="000F129A">
        <w:rPr>
          <w:rFonts w:ascii="Arial" w:hAnsi="Arial" w:cs="Arial"/>
          <w:color w:val="000000"/>
          <w:spacing w:val="1"/>
          <w:sz w:val="16"/>
          <w:szCs w:val="16"/>
        </w:rPr>
        <w:t>rt</w:t>
      </w:r>
      <w:r w:rsidRPr="000F129A">
        <w:rPr>
          <w:rFonts w:ascii="Arial" w:hAnsi="Arial" w:cs="Arial"/>
          <w:color w:val="000000"/>
          <w:sz w:val="16"/>
          <w:szCs w:val="16"/>
        </w:rPr>
        <w:t xml:space="preserve">es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y  </w:t>
      </w:r>
      <w:r w:rsidRPr="000F129A">
        <w:rPr>
          <w:rFonts w:ascii="Arial" w:hAnsi="Arial" w:cs="Arial"/>
          <w:color w:val="000000"/>
          <w:spacing w:val="-1"/>
          <w:sz w:val="16"/>
          <w:szCs w:val="16"/>
        </w:rPr>
        <w:t>l</w:t>
      </w:r>
      <w:r w:rsidRPr="000F129A">
        <w:rPr>
          <w:rFonts w:ascii="Arial" w:hAnsi="Arial" w:cs="Arial"/>
          <w:color w:val="000000"/>
          <w:sz w:val="16"/>
          <w:szCs w:val="16"/>
        </w:rPr>
        <w:t xml:space="preserve">os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actos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w:t>
      </w:r>
      <w:r w:rsidRPr="000F129A">
        <w:rPr>
          <w:rFonts w:ascii="Arial" w:hAnsi="Arial" w:cs="Arial"/>
          <w:color w:val="000000"/>
          <w:spacing w:val="-1"/>
          <w:sz w:val="16"/>
          <w:szCs w:val="16"/>
        </w:rPr>
        <w:t>ni</w:t>
      </w:r>
      <w:r w:rsidRPr="000F129A">
        <w:rPr>
          <w:rFonts w:ascii="Arial" w:hAnsi="Arial" w:cs="Arial"/>
          <w:color w:val="000000"/>
          <w:sz w:val="16"/>
          <w:szCs w:val="16"/>
        </w:rPr>
        <w:t>d</w:t>
      </w:r>
      <w:r w:rsidRPr="000F129A">
        <w:rPr>
          <w:rFonts w:ascii="Arial" w:hAnsi="Arial" w:cs="Arial"/>
          <w:color w:val="000000"/>
          <w:spacing w:val="-1"/>
          <w:sz w:val="16"/>
          <w:szCs w:val="16"/>
        </w:rPr>
        <w:t>o</w:t>
      </w:r>
      <w:r w:rsidRPr="000F129A">
        <w:rPr>
          <w:rFonts w:ascii="Arial" w:hAnsi="Arial" w:cs="Arial"/>
          <w:color w:val="000000"/>
          <w:sz w:val="16"/>
          <w:szCs w:val="16"/>
        </w:rPr>
        <w:t xml:space="preserve">s </w:t>
      </w:r>
      <w:r w:rsidRPr="000F129A">
        <w:rPr>
          <w:rFonts w:ascii="Arial" w:hAnsi="Arial" w:cs="Arial"/>
          <w:color w:val="000000"/>
          <w:spacing w:val="2"/>
          <w:sz w:val="16"/>
          <w:szCs w:val="16"/>
        </w:rPr>
        <w:t xml:space="preserve"> </w:t>
      </w:r>
      <w:r w:rsidRPr="000F129A">
        <w:rPr>
          <w:rFonts w:ascii="Arial" w:hAnsi="Arial" w:cs="Arial"/>
          <w:color w:val="000000"/>
          <w:spacing w:val="-3"/>
          <w:sz w:val="16"/>
          <w:szCs w:val="16"/>
        </w:rPr>
        <w:t>e</w:t>
      </w:r>
      <w:r w:rsidRPr="000F129A">
        <w:rPr>
          <w:rFonts w:ascii="Arial" w:hAnsi="Arial" w:cs="Arial"/>
          <w:color w:val="000000"/>
          <w:sz w:val="16"/>
          <w:szCs w:val="16"/>
        </w:rPr>
        <w:t>n d</w:t>
      </w:r>
      <w:r w:rsidRPr="000F129A">
        <w:rPr>
          <w:rFonts w:ascii="Arial" w:hAnsi="Arial" w:cs="Arial"/>
          <w:color w:val="000000"/>
          <w:spacing w:val="-1"/>
          <w:sz w:val="16"/>
          <w:szCs w:val="16"/>
        </w:rPr>
        <w:t>o</w:t>
      </w:r>
      <w:r w:rsidRPr="000F129A">
        <w:rPr>
          <w:rFonts w:ascii="Arial" w:hAnsi="Arial" w:cs="Arial"/>
          <w:color w:val="000000"/>
          <w:sz w:val="16"/>
          <w:szCs w:val="16"/>
        </w:rPr>
        <w:t>cumen</w:t>
      </w:r>
      <w:r w:rsidRPr="000F129A">
        <w:rPr>
          <w:rFonts w:ascii="Arial" w:hAnsi="Arial" w:cs="Arial"/>
          <w:color w:val="000000"/>
          <w:spacing w:val="1"/>
          <w:sz w:val="16"/>
          <w:szCs w:val="16"/>
        </w:rPr>
        <w:t>t</w:t>
      </w:r>
      <w:r w:rsidRPr="000F129A">
        <w:rPr>
          <w:rFonts w:ascii="Arial" w:hAnsi="Arial" w:cs="Arial"/>
          <w:color w:val="000000"/>
          <w:spacing w:val="-3"/>
          <w:sz w:val="16"/>
          <w:szCs w:val="16"/>
        </w:rPr>
        <w:t>o</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ú</w:t>
      </w:r>
      <w:r w:rsidRPr="000F129A">
        <w:rPr>
          <w:rFonts w:ascii="Arial" w:hAnsi="Arial" w:cs="Arial"/>
          <w:color w:val="000000"/>
          <w:sz w:val="16"/>
          <w:szCs w:val="16"/>
        </w:rPr>
        <w:t>b</w:t>
      </w:r>
      <w:r w:rsidRPr="000F129A">
        <w:rPr>
          <w:rFonts w:ascii="Arial" w:hAnsi="Arial" w:cs="Arial"/>
          <w:color w:val="000000"/>
          <w:spacing w:val="-1"/>
          <w:sz w:val="16"/>
          <w:szCs w:val="16"/>
        </w:rPr>
        <w:t>li</w:t>
      </w:r>
      <w:r w:rsidRPr="000F129A">
        <w:rPr>
          <w:rFonts w:ascii="Arial" w:hAnsi="Arial" w:cs="Arial"/>
          <w:color w:val="000000"/>
          <w:sz w:val="16"/>
          <w:szCs w:val="16"/>
        </w:rPr>
        <w:t>cos,</w:t>
      </w:r>
      <w:r w:rsidRPr="000F129A">
        <w:rPr>
          <w:rFonts w:ascii="Arial" w:hAnsi="Arial" w:cs="Arial"/>
          <w:color w:val="000000"/>
          <w:spacing w:val="4"/>
          <w:sz w:val="16"/>
          <w:szCs w:val="16"/>
        </w:rPr>
        <w:t xml:space="preserve"> </w:t>
      </w:r>
      <w:r w:rsidRPr="000F129A">
        <w:rPr>
          <w:rFonts w:ascii="Arial" w:hAnsi="Arial" w:cs="Arial"/>
          <w:color w:val="000000"/>
          <w:sz w:val="16"/>
          <w:szCs w:val="16"/>
        </w:rPr>
        <w:t>si</w:t>
      </w:r>
      <w:r w:rsidRPr="000F129A">
        <w:rPr>
          <w:rFonts w:ascii="Arial" w:hAnsi="Arial" w:cs="Arial"/>
          <w:color w:val="000000"/>
          <w:spacing w:val="4"/>
          <w:sz w:val="16"/>
          <w:szCs w:val="16"/>
        </w:rPr>
        <w:t xml:space="preserve"> </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éstos</w:t>
      </w:r>
      <w:r w:rsidRPr="000F129A">
        <w:rPr>
          <w:rFonts w:ascii="Arial" w:hAnsi="Arial" w:cs="Arial"/>
          <w:color w:val="000000"/>
          <w:spacing w:val="3"/>
          <w:sz w:val="16"/>
          <w:szCs w:val="16"/>
        </w:rPr>
        <w:t xml:space="preserve"> </w:t>
      </w:r>
      <w:r w:rsidRPr="000F129A">
        <w:rPr>
          <w:rFonts w:ascii="Arial" w:hAnsi="Arial" w:cs="Arial"/>
          <w:color w:val="000000"/>
          <w:sz w:val="16"/>
          <w:szCs w:val="16"/>
        </w:rPr>
        <w:t>ú</w:t>
      </w:r>
      <w:r w:rsidRPr="000F129A">
        <w:rPr>
          <w:rFonts w:ascii="Arial" w:hAnsi="Arial" w:cs="Arial"/>
          <w:color w:val="000000"/>
          <w:spacing w:val="-1"/>
          <w:sz w:val="16"/>
          <w:szCs w:val="16"/>
        </w:rPr>
        <w:t>l</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pacing w:val="1"/>
          <w:sz w:val="16"/>
          <w:szCs w:val="16"/>
        </w:rPr>
        <w:t>m</w:t>
      </w:r>
      <w:r w:rsidRPr="000F129A">
        <w:rPr>
          <w:rFonts w:ascii="Arial" w:hAnsi="Arial" w:cs="Arial"/>
          <w:color w:val="000000"/>
          <w:sz w:val="16"/>
          <w:szCs w:val="16"/>
        </w:rPr>
        <w:t>os se</w:t>
      </w:r>
      <w:r w:rsidRPr="000F129A">
        <w:rPr>
          <w:rFonts w:ascii="Arial" w:hAnsi="Arial" w:cs="Arial"/>
          <w:color w:val="000000"/>
          <w:spacing w:val="5"/>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d</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1"/>
          <w:sz w:val="16"/>
          <w:szCs w:val="16"/>
        </w:rPr>
        <w:t>l</w:t>
      </w:r>
      <w:r w:rsidRPr="000F129A">
        <w:rPr>
          <w:rFonts w:ascii="Arial" w:hAnsi="Arial" w:cs="Arial"/>
          <w:color w:val="000000"/>
          <w:spacing w:val="-3"/>
          <w:sz w:val="16"/>
          <w:szCs w:val="16"/>
        </w:rPr>
        <w:t>a</w:t>
      </w:r>
      <w:r w:rsidRPr="000F129A">
        <w:rPr>
          <w:rFonts w:ascii="Arial" w:hAnsi="Arial" w:cs="Arial"/>
          <w:color w:val="000000"/>
          <w:spacing w:val="1"/>
          <w:sz w:val="16"/>
          <w:szCs w:val="16"/>
        </w:rPr>
        <w:t>r</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pacing w:val="4"/>
          <w:sz w:val="16"/>
          <w:szCs w:val="16"/>
        </w:rPr>
        <w:t>o</w:t>
      </w:r>
      <w:r w:rsidRPr="000F129A">
        <w:rPr>
          <w:rFonts w:ascii="Arial" w:hAnsi="Arial" w:cs="Arial"/>
          <w:color w:val="000000"/>
          <w:sz w:val="16"/>
          <w:szCs w:val="16"/>
        </w:rPr>
        <w:t>n</w:t>
      </w:r>
      <w:r w:rsidRPr="000F129A">
        <w:rPr>
          <w:rFonts w:ascii="Arial" w:hAnsi="Arial" w:cs="Arial"/>
          <w:color w:val="000000"/>
          <w:spacing w:val="-1"/>
          <w:sz w:val="16"/>
          <w:szCs w:val="16"/>
        </w:rPr>
        <w:t>e</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de</w:t>
      </w:r>
      <w:r w:rsidRPr="000F129A">
        <w:rPr>
          <w:rFonts w:ascii="Arial" w:hAnsi="Arial" w:cs="Arial"/>
          <w:color w:val="000000"/>
          <w:spacing w:val="5"/>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erdad</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o </w:t>
      </w:r>
      <w:r w:rsidRPr="000F129A">
        <w:rPr>
          <w:rFonts w:ascii="Arial" w:hAnsi="Arial" w:cs="Arial"/>
          <w:color w:val="000000"/>
          <w:spacing w:val="1"/>
          <w:sz w:val="16"/>
          <w:szCs w:val="16"/>
        </w:rPr>
        <w:t>m</w:t>
      </w:r>
      <w:r w:rsidRPr="000F129A">
        <w:rPr>
          <w:rFonts w:ascii="Arial" w:hAnsi="Arial" w:cs="Arial"/>
          <w:color w:val="000000"/>
          <w:sz w:val="16"/>
          <w:szCs w:val="16"/>
        </w:rPr>
        <w:t>a</w:t>
      </w:r>
      <w:r w:rsidRPr="000F129A">
        <w:rPr>
          <w:rFonts w:ascii="Arial" w:hAnsi="Arial" w:cs="Arial"/>
          <w:color w:val="000000"/>
          <w:spacing w:val="-1"/>
          <w:sz w:val="16"/>
          <w:szCs w:val="16"/>
        </w:rPr>
        <w:t>n</w:t>
      </w:r>
      <w:r w:rsidRPr="000F129A">
        <w:rPr>
          <w:rFonts w:ascii="Arial" w:hAnsi="Arial" w:cs="Arial"/>
          <w:color w:val="000000"/>
          <w:spacing w:val="-3"/>
          <w:sz w:val="16"/>
          <w:szCs w:val="16"/>
        </w:rPr>
        <w:t>i</w:t>
      </w:r>
      <w:r w:rsidRPr="000F129A">
        <w:rPr>
          <w:rFonts w:ascii="Arial" w:hAnsi="Arial" w:cs="Arial"/>
          <w:color w:val="000000"/>
          <w:spacing w:val="3"/>
          <w:sz w:val="16"/>
          <w:szCs w:val="16"/>
        </w:rPr>
        <w:t>f</w:t>
      </w:r>
      <w:r w:rsidRPr="000F129A">
        <w:rPr>
          <w:rFonts w:ascii="Arial" w:hAnsi="Arial" w:cs="Arial"/>
          <w:color w:val="000000"/>
          <w:sz w:val="16"/>
          <w:szCs w:val="16"/>
        </w:rPr>
        <w:t>e</w:t>
      </w:r>
      <w:r w:rsidRPr="000F129A">
        <w:rPr>
          <w:rFonts w:ascii="Arial" w:hAnsi="Arial" w:cs="Arial"/>
          <w:color w:val="000000"/>
          <w:spacing w:val="-3"/>
          <w:sz w:val="16"/>
          <w:szCs w:val="16"/>
        </w:rPr>
        <w:t>s</w:t>
      </w:r>
      <w:r w:rsidRPr="000F129A">
        <w:rPr>
          <w:rFonts w:ascii="Arial" w:hAnsi="Arial" w:cs="Arial"/>
          <w:color w:val="000000"/>
          <w:spacing w:val="1"/>
          <w:sz w:val="16"/>
          <w:szCs w:val="16"/>
        </w:rPr>
        <w:t>t</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z w:val="16"/>
          <w:szCs w:val="16"/>
        </w:rPr>
        <w:t>o</w:t>
      </w:r>
      <w:r w:rsidRPr="000F129A">
        <w:rPr>
          <w:rFonts w:ascii="Arial" w:hAnsi="Arial" w:cs="Arial"/>
          <w:color w:val="000000"/>
          <w:spacing w:val="-1"/>
          <w:sz w:val="16"/>
          <w:szCs w:val="16"/>
        </w:rPr>
        <w:t>n</w:t>
      </w:r>
      <w:r w:rsidRPr="000F129A">
        <w:rPr>
          <w:rFonts w:ascii="Arial" w:hAnsi="Arial" w:cs="Arial"/>
          <w:color w:val="000000"/>
          <w:sz w:val="16"/>
          <w:szCs w:val="16"/>
        </w:rPr>
        <w:t>es de</w:t>
      </w:r>
      <w:r w:rsidRPr="000F129A">
        <w:rPr>
          <w:rFonts w:ascii="Arial" w:hAnsi="Arial" w:cs="Arial"/>
          <w:color w:val="000000"/>
          <w:spacing w:val="-1"/>
          <w:sz w:val="16"/>
          <w:szCs w:val="16"/>
        </w:rPr>
        <w:t xml:space="preserve"> </w:t>
      </w:r>
      <w:r w:rsidRPr="000F129A">
        <w:rPr>
          <w:rFonts w:ascii="Arial" w:hAnsi="Arial" w:cs="Arial"/>
          <w:color w:val="000000"/>
          <w:sz w:val="16"/>
          <w:szCs w:val="16"/>
        </w:rPr>
        <w:t>h</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3"/>
          <w:sz w:val="16"/>
          <w:szCs w:val="16"/>
        </w:rPr>
        <w:t>h</w:t>
      </w:r>
      <w:r w:rsidRPr="000F129A">
        <w:rPr>
          <w:rFonts w:ascii="Arial" w:hAnsi="Arial" w:cs="Arial"/>
          <w:color w:val="000000"/>
          <w:sz w:val="16"/>
          <w:szCs w:val="16"/>
        </w:rPr>
        <w:t>os de</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3"/>
          <w:sz w:val="16"/>
          <w:szCs w:val="16"/>
        </w:rPr>
        <w:t>a</w:t>
      </w:r>
      <w:r w:rsidRPr="000F129A">
        <w:rPr>
          <w:rFonts w:ascii="Arial" w:hAnsi="Arial" w:cs="Arial"/>
          <w:color w:val="000000"/>
          <w:spacing w:val="1"/>
          <w:sz w:val="16"/>
          <w:szCs w:val="16"/>
        </w:rPr>
        <w:t>rt</w:t>
      </w:r>
      <w:r w:rsidRPr="000F129A">
        <w:rPr>
          <w:rFonts w:ascii="Arial" w:hAnsi="Arial" w:cs="Arial"/>
          <w:color w:val="000000"/>
          <w:spacing w:val="-1"/>
          <w:sz w:val="16"/>
          <w:szCs w:val="16"/>
        </w:rPr>
        <w:t>i</w:t>
      </w:r>
      <w:r w:rsidRPr="000F129A">
        <w:rPr>
          <w:rFonts w:ascii="Arial" w:hAnsi="Arial" w:cs="Arial"/>
          <w:color w:val="000000"/>
          <w:sz w:val="16"/>
          <w:szCs w:val="16"/>
        </w:rPr>
        <w:t>cu</w:t>
      </w:r>
      <w:r w:rsidRPr="000F129A">
        <w:rPr>
          <w:rFonts w:ascii="Arial" w:hAnsi="Arial" w:cs="Arial"/>
          <w:color w:val="000000"/>
          <w:spacing w:val="-1"/>
          <w:sz w:val="16"/>
          <w:szCs w:val="16"/>
        </w:rPr>
        <w:t>l</w:t>
      </w:r>
      <w:r w:rsidRPr="000F129A">
        <w:rPr>
          <w:rFonts w:ascii="Arial" w:hAnsi="Arial" w:cs="Arial"/>
          <w:color w:val="000000"/>
          <w:sz w:val="16"/>
          <w:szCs w:val="16"/>
        </w:rPr>
        <w:t>are</w:t>
      </w:r>
      <w:r w:rsidRPr="000F129A">
        <w:rPr>
          <w:rFonts w:ascii="Arial" w:hAnsi="Arial" w:cs="Arial"/>
          <w:color w:val="000000"/>
          <w:spacing w:val="-2"/>
          <w:sz w:val="16"/>
          <w:szCs w:val="16"/>
        </w:rPr>
        <w:t>s</w:t>
      </w:r>
      <w:r w:rsidRPr="000F129A">
        <w:rPr>
          <w:rFonts w:ascii="Arial" w:hAnsi="Arial" w:cs="Arial"/>
          <w:color w:val="000000"/>
          <w:sz w:val="16"/>
          <w:szCs w:val="16"/>
        </w:rPr>
        <w:t>,</w:t>
      </w:r>
      <w:r w:rsidRPr="000F129A">
        <w:rPr>
          <w:rFonts w:ascii="Arial" w:hAnsi="Arial" w:cs="Arial"/>
          <w:color w:val="000000"/>
          <w:spacing w:val="2"/>
          <w:sz w:val="16"/>
          <w:szCs w:val="16"/>
        </w:rPr>
        <w:t xml:space="preserve"> </w:t>
      </w:r>
      <w:r w:rsidRPr="000F129A">
        <w:rPr>
          <w:rFonts w:ascii="Arial" w:hAnsi="Arial" w:cs="Arial"/>
          <w:color w:val="000000"/>
          <w:sz w:val="16"/>
          <w:szCs w:val="16"/>
        </w:rPr>
        <w:t>y</w:t>
      </w:r>
      <w:r>
        <w:rPr>
          <w:rFonts w:ascii="Arial" w:hAnsi="Arial" w:cs="Arial"/>
          <w:color w:val="000000"/>
          <w:sz w:val="16"/>
          <w:szCs w:val="16"/>
        </w:rPr>
        <w:t xml:space="preserve"> (…)”</w:t>
      </w:r>
    </w:p>
    <w:p w14:paraId="7174E5E3" w14:textId="77777777" w:rsidR="00D83CC1" w:rsidRDefault="00D83CC1" w:rsidP="00D83CC1">
      <w:pPr>
        <w:pStyle w:val="Textonotapie"/>
      </w:pPr>
    </w:p>
  </w:footnote>
  <w:footnote w:id="4">
    <w:p w14:paraId="52EEC7EA" w14:textId="77777777" w:rsidR="005B6892" w:rsidRPr="00717842" w:rsidRDefault="005B6892" w:rsidP="005B6892">
      <w:pPr>
        <w:pStyle w:val="Textonotapie"/>
        <w:rPr>
          <w:rFonts w:ascii="Arial" w:hAnsi="Arial" w:cs="Arial"/>
          <w:sz w:val="16"/>
          <w:szCs w:val="16"/>
        </w:rPr>
      </w:pPr>
      <w:r>
        <w:rPr>
          <w:rStyle w:val="Refdenotaalpie"/>
        </w:rPr>
        <w:footnoteRef/>
      </w:r>
      <w:r>
        <w:t xml:space="preserve"> </w:t>
      </w:r>
      <w:r w:rsidRPr="00717842">
        <w:rPr>
          <w:rFonts w:ascii="Arial" w:hAnsi="Arial" w:cs="Arial"/>
          <w:sz w:val="16"/>
          <w:szCs w:val="16"/>
        </w:rPr>
        <w:t>Registro digital: 2017867, Instancia: Tribunales Colegiados de Circuito, Décima Época, Materia(s): Administrativa, Tesis: I.18o.A.88 A (10a.), Fuente: Gaceta del Semanario Judicial de la Federación.</w:t>
      </w:r>
    </w:p>
    <w:p w14:paraId="2D78505F" w14:textId="77777777" w:rsidR="005B6892" w:rsidRDefault="005B6892" w:rsidP="005B6892">
      <w:pPr>
        <w:pStyle w:val="Textonotapie"/>
      </w:pPr>
      <w:r w:rsidRPr="00717842">
        <w:rPr>
          <w:rFonts w:ascii="Arial" w:hAnsi="Arial" w:cs="Arial"/>
          <w:sz w:val="16"/>
          <w:szCs w:val="16"/>
        </w:rPr>
        <w:t>Libro 58, Septiembre de 2018, Tomo III, página 2275, Tipo: Aislada</w:t>
      </w:r>
    </w:p>
  </w:footnote>
  <w:footnote w:id="5">
    <w:p w14:paraId="12127936" w14:textId="77777777" w:rsidR="00B87272" w:rsidRDefault="00B87272" w:rsidP="00B87272">
      <w:pPr>
        <w:pStyle w:val="Textonotapie"/>
        <w:jc w:val="both"/>
        <w:rPr>
          <w:rFonts w:ascii="Arial" w:hAnsi="Arial" w:cs="Arial"/>
          <w:sz w:val="16"/>
          <w:szCs w:val="16"/>
        </w:rPr>
      </w:pPr>
      <w:r>
        <w:rPr>
          <w:rStyle w:val="Refdenotaalpie"/>
        </w:rPr>
        <w:footnoteRef/>
      </w:r>
      <w:r>
        <w:t xml:space="preserve"> </w:t>
      </w:r>
      <w:r w:rsidRPr="009F092A">
        <w:rPr>
          <w:rFonts w:ascii="Arial" w:hAnsi="Arial" w:cs="Arial"/>
          <w:sz w:val="16"/>
          <w:szCs w:val="16"/>
        </w:rPr>
        <w:t>Registro digital: 251050, Instancia: Tribunales Colegiados de Circuito, Séptima Época, Materia(s): Administrativa, Fuente: Semanario Judicial de la Federación, Volumen 145-150, Sexta Parte, página 283, Tipo: Aislada</w:t>
      </w:r>
    </w:p>
    <w:p w14:paraId="69C0D020" w14:textId="77777777" w:rsidR="00B87272" w:rsidRDefault="00B87272" w:rsidP="00B87272">
      <w:pPr>
        <w:pStyle w:val="Textonotapie"/>
        <w:jc w:val="both"/>
      </w:pPr>
    </w:p>
  </w:footnote>
  <w:footnote w:id="6">
    <w:p w14:paraId="24FD4EB8" w14:textId="77777777" w:rsidR="00B87272" w:rsidRDefault="00B87272" w:rsidP="00B87272">
      <w:pPr>
        <w:pStyle w:val="Textonotapie"/>
        <w:jc w:val="both"/>
      </w:pPr>
      <w:r>
        <w:rPr>
          <w:rStyle w:val="Refdenotaalpie"/>
        </w:rPr>
        <w:footnoteRef/>
      </w:r>
      <w:r>
        <w:t xml:space="preserve"> </w:t>
      </w:r>
      <w:r w:rsidRPr="009F092A">
        <w:rPr>
          <w:rFonts w:ascii="Arial" w:hAnsi="Arial" w:cs="Arial"/>
          <w:sz w:val="16"/>
          <w:szCs w:val="16"/>
        </w:rPr>
        <w:t>Registro digital: 252071, Instancia: Tribunales Colegiados de Circuito, Séptima Época, Materia(s): Administrativa, Fuente: Semanario Judicial de la Federación, Volumen 121-126, Sexta Parte, página 233, Tipo: Aislada</w:t>
      </w:r>
    </w:p>
  </w:footnote>
  <w:footnote w:id="7">
    <w:p w14:paraId="24C19C52" w14:textId="77777777" w:rsidR="00B87272" w:rsidRDefault="00B87272" w:rsidP="00B87272">
      <w:pPr>
        <w:pStyle w:val="Textonotapie"/>
        <w:jc w:val="both"/>
      </w:pPr>
      <w:r>
        <w:rPr>
          <w:rStyle w:val="Refdenotaalpie"/>
        </w:rPr>
        <w:footnoteRef/>
      </w:r>
      <w:r>
        <w:t xml:space="preserve"> </w:t>
      </w:r>
      <w:r w:rsidRPr="00821610">
        <w:rPr>
          <w:rFonts w:ascii="Arial" w:hAnsi="Arial" w:cs="Arial"/>
          <w:sz w:val="16"/>
          <w:szCs w:val="16"/>
        </w:rPr>
        <w:t>Registro digital: 252110, Instancia: Tribunales Colegiados de Circuito, Séptima Época, Materia(s): Administrativa, Fuente: Semanario Judicial de la Federación, Volumen 121-126, Sexta Parte, página 293, Tipo: Jurisprudencia</w:t>
      </w:r>
    </w:p>
  </w:footnote>
  <w:footnote w:id="8">
    <w:p w14:paraId="2B9216C8" w14:textId="77777777" w:rsidR="00B87272" w:rsidRDefault="00B87272" w:rsidP="00B87272">
      <w:pPr>
        <w:pStyle w:val="temp"/>
        <w:shd w:val="clear" w:color="auto" w:fill="FFFFFF"/>
        <w:spacing w:before="0" w:beforeAutospacing="0" w:after="0" w:afterAutospacing="0"/>
        <w:jc w:val="both"/>
        <w:rPr>
          <w:rFonts w:ascii="Calibri" w:hAnsi="Calibri" w:cs="Calibri"/>
          <w:color w:val="212529"/>
          <w:sz w:val="26"/>
          <w:szCs w:val="26"/>
        </w:rPr>
      </w:pPr>
      <w:r>
        <w:rPr>
          <w:rStyle w:val="Refdenotaalpie"/>
        </w:rPr>
        <w:footnoteRef/>
      </w:r>
      <w:r>
        <w:t xml:space="preserve"> </w:t>
      </w:r>
      <w:r w:rsidRPr="00EC3B62">
        <w:rPr>
          <w:rStyle w:val="bold"/>
          <w:rFonts w:ascii="Arial" w:eastAsia="PMingLiU" w:hAnsi="Arial" w:cs="Arial"/>
          <w:color w:val="212529"/>
          <w:sz w:val="20"/>
          <w:szCs w:val="20"/>
        </w:rPr>
        <w:t>Registro digital: </w:t>
      </w:r>
      <w:r w:rsidRPr="00EC3B62">
        <w:rPr>
          <w:rFonts w:ascii="Arial" w:hAnsi="Arial" w:cs="Arial"/>
          <w:color w:val="212529"/>
          <w:sz w:val="20"/>
          <w:szCs w:val="20"/>
        </w:rPr>
        <w:t xml:space="preserve">2020803, </w:t>
      </w:r>
      <w:r w:rsidRPr="00EC3B62">
        <w:rPr>
          <w:rStyle w:val="bold"/>
          <w:rFonts w:ascii="Arial" w:eastAsia="PMingLiU" w:hAnsi="Arial" w:cs="Arial"/>
          <w:color w:val="212529"/>
          <w:sz w:val="20"/>
          <w:szCs w:val="20"/>
        </w:rPr>
        <w:t>Instancia: </w:t>
      </w:r>
      <w:r w:rsidRPr="00EC3B62">
        <w:rPr>
          <w:rFonts w:ascii="Arial" w:hAnsi="Arial" w:cs="Arial"/>
          <w:color w:val="212529"/>
          <w:sz w:val="20"/>
          <w:szCs w:val="20"/>
        </w:rPr>
        <w:t xml:space="preserve">Tribunales Colegiados de Circuito, </w:t>
      </w:r>
      <w:r w:rsidRPr="00EC3B62">
        <w:rPr>
          <w:rStyle w:val="bold"/>
          <w:rFonts w:ascii="Arial" w:eastAsia="PMingLiU" w:hAnsi="Arial" w:cs="Arial"/>
          <w:color w:val="212529"/>
          <w:sz w:val="20"/>
          <w:szCs w:val="20"/>
        </w:rPr>
        <w:t>Décima Época, Materia(s): </w:t>
      </w:r>
      <w:r w:rsidRPr="00EC3B62">
        <w:rPr>
          <w:rFonts w:ascii="Arial" w:hAnsi="Arial" w:cs="Arial"/>
          <w:color w:val="212529"/>
          <w:sz w:val="20"/>
          <w:szCs w:val="20"/>
        </w:rPr>
        <w:t xml:space="preserve">Administrativa, </w:t>
      </w:r>
      <w:r w:rsidRPr="00EC3B62">
        <w:rPr>
          <w:rStyle w:val="bold"/>
          <w:rFonts w:ascii="Arial" w:eastAsia="PMingLiU" w:hAnsi="Arial" w:cs="Arial"/>
          <w:color w:val="212529"/>
          <w:sz w:val="20"/>
          <w:szCs w:val="20"/>
        </w:rPr>
        <w:t>Tesis: </w:t>
      </w:r>
      <w:r w:rsidRPr="00EC3B62">
        <w:rPr>
          <w:rFonts w:ascii="Arial" w:hAnsi="Arial" w:cs="Arial"/>
          <w:color w:val="212529"/>
          <w:sz w:val="20"/>
          <w:szCs w:val="20"/>
        </w:rPr>
        <w:t xml:space="preserve">I.4o.A. J/4 (10a.), </w:t>
      </w:r>
      <w:r w:rsidRPr="00EC3B62">
        <w:rPr>
          <w:rStyle w:val="bold"/>
          <w:rFonts w:ascii="Arial" w:eastAsia="PMingLiU" w:hAnsi="Arial" w:cs="Arial"/>
          <w:color w:val="212529"/>
          <w:sz w:val="20"/>
          <w:szCs w:val="20"/>
        </w:rPr>
        <w:t>Fuente: </w:t>
      </w:r>
      <w:r w:rsidRPr="00EC3B62">
        <w:rPr>
          <w:rFonts w:ascii="Arial" w:hAnsi="Arial" w:cs="Arial"/>
          <w:color w:val="212529"/>
          <w:sz w:val="20"/>
          <w:szCs w:val="20"/>
        </w:rPr>
        <w:t xml:space="preserve">Gaceta del Semanario Judicial de la Federación, </w:t>
      </w:r>
      <w:r w:rsidRPr="00EC3B62">
        <w:rPr>
          <w:rStyle w:val="ng-star-inserted"/>
          <w:rFonts w:ascii="Arial" w:hAnsi="Arial" w:cs="Arial"/>
          <w:color w:val="212529"/>
          <w:sz w:val="20"/>
          <w:szCs w:val="20"/>
        </w:rPr>
        <w:t xml:space="preserve">Libro 71, Octubre de 2019, Tomo IV, página 3350, </w:t>
      </w:r>
      <w:r w:rsidRPr="00EC3B62">
        <w:rPr>
          <w:rStyle w:val="bold"/>
          <w:rFonts w:ascii="Arial" w:eastAsia="PMingLiU" w:hAnsi="Arial" w:cs="Arial"/>
          <w:color w:val="212529"/>
          <w:sz w:val="20"/>
          <w:szCs w:val="20"/>
        </w:rPr>
        <w:t>Tipo: </w:t>
      </w:r>
      <w:r w:rsidRPr="00EC3B62">
        <w:rPr>
          <w:rFonts w:ascii="Arial" w:hAnsi="Arial" w:cs="Arial"/>
          <w:color w:val="212529"/>
          <w:sz w:val="20"/>
          <w:szCs w:val="20"/>
        </w:rPr>
        <w:t>Jurisprudencia</w:t>
      </w:r>
    </w:p>
    <w:p w14:paraId="1E80BF30" w14:textId="77777777" w:rsidR="00B87272" w:rsidRDefault="00B87272" w:rsidP="00B87272">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5A046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5F6587" w:rsidRPr="005F6587">
          <w:rPr>
            <w:noProof/>
            <w:lang w:val="es-ES"/>
          </w:rPr>
          <w:t>10</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6CEE27A" w:rsidR="00A360DF" w:rsidRDefault="005A046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5F6587" w:rsidRPr="005F6587">
          <w:rPr>
            <w:noProof/>
            <w:lang w:val="es-ES"/>
          </w:rPr>
          <w:t>9</w:t>
        </w:r>
        <w:r w:rsidR="00A360DF">
          <w:fldChar w:fldCharType="end"/>
        </w:r>
        <w:r w:rsidR="007C7A1C">
          <w:t xml:space="preserve">                                                                       </w:t>
        </w:r>
        <w:r w:rsidR="007C7A1C" w:rsidRPr="007C7A1C">
          <w:rPr>
            <w:rFonts w:ascii="Century Schoolbook" w:hAnsi="Century Schoolbook" w:cs="Arial"/>
          </w:rPr>
          <w:t xml:space="preserve"> </w:t>
        </w:r>
        <w:r w:rsidR="007C7A1C" w:rsidRPr="00B61D83">
          <w:rPr>
            <w:rFonts w:ascii="Century Schoolbook" w:hAnsi="Century Schoolbook" w:cs="Arial"/>
          </w:rPr>
          <w:t>JUICIO DE NULIDAD</w:t>
        </w:r>
        <w:r w:rsidR="007C7A1C" w:rsidRPr="00B61D83">
          <w:rPr>
            <w:rFonts w:ascii="Century Schoolbook" w:hAnsi="Century Schoolbook" w:cs="Arial"/>
            <w:b/>
            <w:bCs/>
          </w:rPr>
          <w:t xml:space="preserve"> </w:t>
        </w:r>
        <w:r w:rsidR="00AB2536">
          <w:rPr>
            <w:rFonts w:ascii="Century Schoolbook" w:hAnsi="Century Schoolbook" w:cs="Arial"/>
            <w:b/>
            <w:bCs/>
          </w:rPr>
          <w:t>0097</w:t>
        </w:r>
        <w:r w:rsidR="007C7A1C">
          <w:rPr>
            <w:rFonts w:ascii="Century Schoolbook" w:hAnsi="Century Schoolbook" w:cs="Arial"/>
            <w:b/>
            <w:bCs/>
          </w:rPr>
          <w:t>/20</w:t>
        </w:r>
        <w:r w:rsidR="007751BD">
          <w:rPr>
            <w:rFonts w:ascii="Century Schoolbook" w:hAnsi="Century Schoolbook" w:cs="Arial"/>
            <w:b/>
            <w:bCs/>
          </w:rPr>
          <w:t>2</w:t>
        </w:r>
        <w:r w:rsidR="00AB2536">
          <w:rPr>
            <w:rFonts w:ascii="Century Schoolbook" w:hAnsi="Century Schoolbook" w:cs="Arial"/>
            <w:b/>
            <w:bCs/>
          </w:rPr>
          <w:t>2</w:t>
        </w:r>
      </w:sdtContent>
    </w:sdt>
  </w:p>
  <w:p w14:paraId="15E0B281" w14:textId="77777777" w:rsidR="005F6587" w:rsidRDefault="005F6587" w:rsidP="00927607">
    <w:pPr>
      <w:pStyle w:val="Encabezado"/>
      <w:tabs>
        <w:tab w:val="left" w:pos="142"/>
      </w:tabs>
      <w:ind w:left="284"/>
    </w:pPr>
  </w:p>
  <w:p w14:paraId="3902BC56" w14:textId="54E88E89" w:rsidR="005F6587" w:rsidRDefault="005F6587" w:rsidP="005F6587">
    <w:pPr>
      <w:pStyle w:val="Encabezado"/>
      <w:jc w:val="center"/>
    </w:pPr>
    <w:sdt>
      <w:sdtPr>
        <w:id w:val="1700360081"/>
        <w:docPartObj>
          <w:docPartGallery w:val="Page Numbers (Top of Page)"/>
          <w:docPartUnique/>
        </w:docPartObj>
      </w:sdtPr>
      <w:sdtContent>
        <w:r>
          <w:rPr>
            <w:rFonts w:ascii="Arial" w:hAnsi="Arial" w:cs="Arial"/>
            <w:b/>
            <w:color w:val="0070C0"/>
          </w:rPr>
          <w:t xml:space="preserve">DATOS PERSONALES PROTEGIDOS POR EL ARTÍCULO 116 DE LA LGTAIP Y ARTÍCULO 61 DE LA LTAIPBGEO </w:t>
        </w:r>
      </w:sdtContent>
    </w:sdt>
  </w:p>
  <w:p w14:paraId="682CC7EB" w14:textId="77777777" w:rsidR="005F6587" w:rsidRDefault="005F6587" w:rsidP="00927607">
    <w:pPr>
      <w:pStyle w:val="Encabezado"/>
      <w:tabs>
        <w:tab w:val="left" w:pos="142"/>
      </w:tabs>
      <w:ind w:left="284"/>
    </w:pPr>
  </w:p>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5A046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9DD6A9E"/>
    <w:multiLevelType w:val="hybridMultilevel"/>
    <w:tmpl w:val="12662930"/>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5DB"/>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A8A"/>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7AC3"/>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4462"/>
    <w:rsid w:val="001450E2"/>
    <w:rsid w:val="001460CF"/>
    <w:rsid w:val="00146509"/>
    <w:rsid w:val="0014671A"/>
    <w:rsid w:val="00146991"/>
    <w:rsid w:val="00146DCF"/>
    <w:rsid w:val="00147CCC"/>
    <w:rsid w:val="00147FEF"/>
    <w:rsid w:val="0015050B"/>
    <w:rsid w:val="00151A88"/>
    <w:rsid w:val="0015237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0723"/>
    <w:rsid w:val="001711A1"/>
    <w:rsid w:val="00172205"/>
    <w:rsid w:val="0017260E"/>
    <w:rsid w:val="001729D0"/>
    <w:rsid w:val="00172B51"/>
    <w:rsid w:val="00172C89"/>
    <w:rsid w:val="00172E9A"/>
    <w:rsid w:val="0017568D"/>
    <w:rsid w:val="00175C14"/>
    <w:rsid w:val="00176059"/>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6BB"/>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1C07"/>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C1A"/>
    <w:rsid w:val="00223F75"/>
    <w:rsid w:val="002241C3"/>
    <w:rsid w:val="00224412"/>
    <w:rsid w:val="002246DF"/>
    <w:rsid w:val="002248E9"/>
    <w:rsid w:val="00225069"/>
    <w:rsid w:val="0022689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174"/>
    <w:rsid w:val="00253A1C"/>
    <w:rsid w:val="002541B3"/>
    <w:rsid w:val="0025455A"/>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77B68"/>
    <w:rsid w:val="002805AC"/>
    <w:rsid w:val="00280919"/>
    <w:rsid w:val="00280B62"/>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75F"/>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2F2"/>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55CF"/>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500"/>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4ED3"/>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19A3"/>
    <w:rsid w:val="00392295"/>
    <w:rsid w:val="00392B20"/>
    <w:rsid w:val="00392BA3"/>
    <w:rsid w:val="00394516"/>
    <w:rsid w:val="003961E1"/>
    <w:rsid w:val="003974F9"/>
    <w:rsid w:val="003A0AA1"/>
    <w:rsid w:val="003A0FE5"/>
    <w:rsid w:val="003A1A23"/>
    <w:rsid w:val="003A24EC"/>
    <w:rsid w:val="003A3EA0"/>
    <w:rsid w:val="003A6262"/>
    <w:rsid w:val="003A645D"/>
    <w:rsid w:val="003A730F"/>
    <w:rsid w:val="003B0033"/>
    <w:rsid w:val="003B0935"/>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6A3"/>
    <w:rsid w:val="003B4BAF"/>
    <w:rsid w:val="003B5111"/>
    <w:rsid w:val="003B57C3"/>
    <w:rsid w:val="003B6087"/>
    <w:rsid w:val="003B609E"/>
    <w:rsid w:val="003B6581"/>
    <w:rsid w:val="003B6C7E"/>
    <w:rsid w:val="003B79F9"/>
    <w:rsid w:val="003C0293"/>
    <w:rsid w:val="003C0DF1"/>
    <w:rsid w:val="003C1936"/>
    <w:rsid w:val="003C1EC7"/>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4F27"/>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A16"/>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002"/>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A65"/>
    <w:rsid w:val="00444F46"/>
    <w:rsid w:val="0044520F"/>
    <w:rsid w:val="00445F77"/>
    <w:rsid w:val="004468EC"/>
    <w:rsid w:val="00446A05"/>
    <w:rsid w:val="00446B69"/>
    <w:rsid w:val="004502C5"/>
    <w:rsid w:val="004509CE"/>
    <w:rsid w:val="00451498"/>
    <w:rsid w:val="004515BE"/>
    <w:rsid w:val="00452B43"/>
    <w:rsid w:val="00454957"/>
    <w:rsid w:val="00454A65"/>
    <w:rsid w:val="004557F7"/>
    <w:rsid w:val="00455A62"/>
    <w:rsid w:val="00456294"/>
    <w:rsid w:val="004572E7"/>
    <w:rsid w:val="00457778"/>
    <w:rsid w:val="00457FE0"/>
    <w:rsid w:val="004606DA"/>
    <w:rsid w:val="00461033"/>
    <w:rsid w:val="00461308"/>
    <w:rsid w:val="00461FB3"/>
    <w:rsid w:val="0046279F"/>
    <w:rsid w:val="00463325"/>
    <w:rsid w:val="004639C1"/>
    <w:rsid w:val="00463D48"/>
    <w:rsid w:val="00464148"/>
    <w:rsid w:val="004647B9"/>
    <w:rsid w:val="00464CBE"/>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AD7"/>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0EF"/>
    <w:rsid w:val="004C05E4"/>
    <w:rsid w:val="004C0A42"/>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6F1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4F795C"/>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3C70"/>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779EF"/>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46C"/>
    <w:rsid w:val="005A0825"/>
    <w:rsid w:val="005A09A3"/>
    <w:rsid w:val="005A1307"/>
    <w:rsid w:val="005A156E"/>
    <w:rsid w:val="005A1FEE"/>
    <w:rsid w:val="005A273F"/>
    <w:rsid w:val="005A2E83"/>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892"/>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6587"/>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349"/>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6F4F"/>
    <w:rsid w:val="006279BE"/>
    <w:rsid w:val="006304BB"/>
    <w:rsid w:val="0063071F"/>
    <w:rsid w:val="00630C62"/>
    <w:rsid w:val="00631207"/>
    <w:rsid w:val="00631467"/>
    <w:rsid w:val="0063273E"/>
    <w:rsid w:val="00633242"/>
    <w:rsid w:val="00633E4D"/>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16"/>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75C4"/>
    <w:rsid w:val="0068056E"/>
    <w:rsid w:val="00681AC1"/>
    <w:rsid w:val="00681EE7"/>
    <w:rsid w:val="00682165"/>
    <w:rsid w:val="00683178"/>
    <w:rsid w:val="0068325D"/>
    <w:rsid w:val="00684F50"/>
    <w:rsid w:val="00685785"/>
    <w:rsid w:val="00685E24"/>
    <w:rsid w:val="0068664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34"/>
    <w:rsid w:val="006B10A8"/>
    <w:rsid w:val="006B10B6"/>
    <w:rsid w:val="006B1484"/>
    <w:rsid w:val="006B1B86"/>
    <w:rsid w:val="006B208B"/>
    <w:rsid w:val="006B3C7A"/>
    <w:rsid w:val="006B454E"/>
    <w:rsid w:val="006B462B"/>
    <w:rsid w:val="006B46C9"/>
    <w:rsid w:val="006B4FD6"/>
    <w:rsid w:val="006B511B"/>
    <w:rsid w:val="006B5508"/>
    <w:rsid w:val="006B5F34"/>
    <w:rsid w:val="006B7267"/>
    <w:rsid w:val="006C08AA"/>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165"/>
    <w:rsid w:val="006E22C9"/>
    <w:rsid w:val="006E2B27"/>
    <w:rsid w:val="006E5742"/>
    <w:rsid w:val="006E58AF"/>
    <w:rsid w:val="006E632E"/>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2A54"/>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BC1"/>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137"/>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1B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3C1C"/>
    <w:rsid w:val="007C405D"/>
    <w:rsid w:val="007C49D1"/>
    <w:rsid w:val="007C4D7C"/>
    <w:rsid w:val="007C5545"/>
    <w:rsid w:val="007C587A"/>
    <w:rsid w:val="007C5FD2"/>
    <w:rsid w:val="007C79F5"/>
    <w:rsid w:val="007C7A1C"/>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828"/>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03CD"/>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88E"/>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386F"/>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2"/>
    <w:rsid w:val="00890BC5"/>
    <w:rsid w:val="00890E9C"/>
    <w:rsid w:val="00891864"/>
    <w:rsid w:val="008927FE"/>
    <w:rsid w:val="00893B24"/>
    <w:rsid w:val="00893C2E"/>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67F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989"/>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5FE"/>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8DA"/>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1BEB"/>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68B5"/>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6CF"/>
    <w:rsid w:val="00A17A7F"/>
    <w:rsid w:val="00A20FD0"/>
    <w:rsid w:val="00A21357"/>
    <w:rsid w:val="00A215C1"/>
    <w:rsid w:val="00A21B13"/>
    <w:rsid w:val="00A22381"/>
    <w:rsid w:val="00A23061"/>
    <w:rsid w:val="00A2310E"/>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29"/>
    <w:rsid w:val="00A360DF"/>
    <w:rsid w:val="00A36936"/>
    <w:rsid w:val="00A36C4D"/>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3C75"/>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00D"/>
    <w:rsid w:val="00A73B00"/>
    <w:rsid w:val="00A746E4"/>
    <w:rsid w:val="00A761F4"/>
    <w:rsid w:val="00A77448"/>
    <w:rsid w:val="00A7758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B24"/>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2536"/>
    <w:rsid w:val="00AB3569"/>
    <w:rsid w:val="00AB511E"/>
    <w:rsid w:val="00AB5C16"/>
    <w:rsid w:val="00AB5C8E"/>
    <w:rsid w:val="00AB628D"/>
    <w:rsid w:val="00AB73B7"/>
    <w:rsid w:val="00AC00B1"/>
    <w:rsid w:val="00AC0229"/>
    <w:rsid w:val="00AC12CF"/>
    <w:rsid w:val="00AC154D"/>
    <w:rsid w:val="00AC24D4"/>
    <w:rsid w:val="00AC2548"/>
    <w:rsid w:val="00AC3C32"/>
    <w:rsid w:val="00AC3DB8"/>
    <w:rsid w:val="00AC707D"/>
    <w:rsid w:val="00AD100C"/>
    <w:rsid w:val="00AD2540"/>
    <w:rsid w:val="00AD38ED"/>
    <w:rsid w:val="00AD39D6"/>
    <w:rsid w:val="00AD3C97"/>
    <w:rsid w:val="00AD40FF"/>
    <w:rsid w:val="00AD4282"/>
    <w:rsid w:val="00AD5A42"/>
    <w:rsid w:val="00AD6EF0"/>
    <w:rsid w:val="00AD7073"/>
    <w:rsid w:val="00AD77FD"/>
    <w:rsid w:val="00AD79E2"/>
    <w:rsid w:val="00AD7FFB"/>
    <w:rsid w:val="00AE01E1"/>
    <w:rsid w:val="00AE1C5C"/>
    <w:rsid w:val="00AE271F"/>
    <w:rsid w:val="00AE3DF5"/>
    <w:rsid w:val="00AE4CFF"/>
    <w:rsid w:val="00AE4E46"/>
    <w:rsid w:val="00AE52B0"/>
    <w:rsid w:val="00AE54F8"/>
    <w:rsid w:val="00AE5C7F"/>
    <w:rsid w:val="00AF10C8"/>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252D"/>
    <w:rsid w:val="00B33EBC"/>
    <w:rsid w:val="00B33FC4"/>
    <w:rsid w:val="00B34AAA"/>
    <w:rsid w:val="00B34E8B"/>
    <w:rsid w:val="00B372E3"/>
    <w:rsid w:val="00B376BE"/>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57BAF"/>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272"/>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4C6"/>
    <w:rsid w:val="00BA1836"/>
    <w:rsid w:val="00BA18D4"/>
    <w:rsid w:val="00BA224E"/>
    <w:rsid w:val="00BA258A"/>
    <w:rsid w:val="00BA2A3D"/>
    <w:rsid w:val="00BA31EF"/>
    <w:rsid w:val="00BA3677"/>
    <w:rsid w:val="00BA3973"/>
    <w:rsid w:val="00BA42E0"/>
    <w:rsid w:val="00BA5246"/>
    <w:rsid w:val="00BA59AD"/>
    <w:rsid w:val="00BA6343"/>
    <w:rsid w:val="00BA63BB"/>
    <w:rsid w:val="00BA65C8"/>
    <w:rsid w:val="00BA6A89"/>
    <w:rsid w:val="00BA6F7A"/>
    <w:rsid w:val="00BA79B7"/>
    <w:rsid w:val="00BB0D35"/>
    <w:rsid w:val="00BB13C5"/>
    <w:rsid w:val="00BB1812"/>
    <w:rsid w:val="00BB1A01"/>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3693"/>
    <w:rsid w:val="00BD438C"/>
    <w:rsid w:val="00BD4433"/>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671F"/>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881"/>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502"/>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97C"/>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1CE5"/>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091B"/>
    <w:rsid w:val="00C9111E"/>
    <w:rsid w:val="00C91446"/>
    <w:rsid w:val="00C916DC"/>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78A"/>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62E"/>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75F"/>
    <w:rsid w:val="00CE2CBA"/>
    <w:rsid w:val="00CE302C"/>
    <w:rsid w:val="00CE31BD"/>
    <w:rsid w:val="00CE449A"/>
    <w:rsid w:val="00CE4619"/>
    <w:rsid w:val="00CE4BF2"/>
    <w:rsid w:val="00CE5E91"/>
    <w:rsid w:val="00CF01EA"/>
    <w:rsid w:val="00CF021C"/>
    <w:rsid w:val="00CF04E4"/>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0E3"/>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2C43"/>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3CC1"/>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3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BE0"/>
    <w:rsid w:val="00DF7D55"/>
    <w:rsid w:val="00DF7F94"/>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C9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C1F"/>
    <w:rsid w:val="00E51F55"/>
    <w:rsid w:val="00E531FE"/>
    <w:rsid w:val="00E540CA"/>
    <w:rsid w:val="00E54462"/>
    <w:rsid w:val="00E54583"/>
    <w:rsid w:val="00E55F46"/>
    <w:rsid w:val="00E55F6B"/>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3DA"/>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4B88"/>
    <w:rsid w:val="00EB51C7"/>
    <w:rsid w:val="00EB5858"/>
    <w:rsid w:val="00EB5DEF"/>
    <w:rsid w:val="00EB61E5"/>
    <w:rsid w:val="00EB6521"/>
    <w:rsid w:val="00EB67AA"/>
    <w:rsid w:val="00EB70B5"/>
    <w:rsid w:val="00EB780C"/>
    <w:rsid w:val="00EC3B62"/>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4C58"/>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2202"/>
    <w:rsid w:val="00F73249"/>
    <w:rsid w:val="00F74615"/>
    <w:rsid w:val="00F74CF0"/>
    <w:rsid w:val="00F75115"/>
    <w:rsid w:val="00F75D29"/>
    <w:rsid w:val="00F75F03"/>
    <w:rsid w:val="00F7700E"/>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00A"/>
    <w:rsid w:val="00FA5829"/>
    <w:rsid w:val="00FA746C"/>
    <w:rsid w:val="00FA7B8D"/>
    <w:rsid w:val="00FB0C83"/>
    <w:rsid w:val="00FB1043"/>
    <w:rsid w:val="00FB20F3"/>
    <w:rsid w:val="00FB303C"/>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4416"/>
    <w:rsid w:val="00FE520C"/>
    <w:rsid w:val="00FE65C5"/>
    <w:rsid w:val="00FE6DA0"/>
    <w:rsid w:val="00FF0C49"/>
    <w:rsid w:val="00FF0FDB"/>
    <w:rsid w:val="00FF1282"/>
    <w:rsid w:val="00FF1339"/>
    <w:rsid w:val="00FF1682"/>
    <w:rsid w:val="00FF33D3"/>
    <w:rsid w:val="00FF424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C3B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EC3B62"/>
  </w:style>
  <w:style w:type="character" w:customStyle="1" w:styleId="ng-star-inserted">
    <w:name w:val="ng-star-inserted"/>
    <w:basedOn w:val="Fuentedeprrafopredeter"/>
    <w:rsid w:val="00EC3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56328">
      <w:bodyDiv w:val="1"/>
      <w:marLeft w:val="0"/>
      <w:marRight w:val="0"/>
      <w:marTop w:val="0"/>
      <w:marBottom w:val="0"/>
      <w:divBdr>
        <w:top w:val="none" w:sz="0" w:space="0" w:color="auto"/>
        <w:left w:val="none" w:sz="0" w:space="0" w:color="auto"/>
        <w:bottom w:val="none" w:sz="0" w:space="0" w:color="auto"/>
        <w:right w:val="none" w:sz="0" w:space="0" w:color="auto"/>
      </w:divBdr>
      <w:divsChild>
        <w:div w:id="1502044577">
          <w:marLeft w:val="0"/>
          <w:marRight w:val="0"/>
          <w:marTop w:val="0"/>
          <w:marBottom w:val="0"/>
          <w:divBdr>
            <w:top w:val="none" w:sz="0" w:space="0" w:color="auto"/>
            <w:left w:val="none" w:sz="0" w:space="0" w:color="auto"/>
            <w:bottom w:val="none" w:sz="0" w:space="0" w:color="auto"/>
            <w:right w:val="none" w:sz="0" w:space="0" w:color="auto"/>
          </w:divBdr>
        </w:div>
        <w:div w:id="2070687117">
          <w:marLeft w:val="0"/>
          <w:marRight w:val="0"/>
          <w:marTop w:val="0"/>
          <w:marBottom w:val="0"/>
          <w:divBdr>
            <w:top w:val="none" w:sz="0" w:space="0" w:color="auto"/>
            <w:left w:val="none" w:sz="0" w:space="0" w:color="auto"/>
            <w:bottom w:val="none" w:sz="0" w:space="0" w:color="auto"/>
            <w:right w:val="none" w:sz="0" w:space="0" w:color="auto"/>
          </w:divBdr>
        </w:div>
        <w:div w:id="100689194">
          <w:marLeft w:val="0"/>
          <w:marRight w:val="0"/>
          <w:marTop w:val="0"/>
          <w:marBottom w:val="0"/>
          <w:divBdr>
            <w:top w:val="none" w:sz="0" w:space="0" w:color="auto"/>
            <w:left w:val="none" w:sz="0" w:space="0" w:color="auto"/>
            <w:bottom w:val="none" w:sz="0" w:space="0" w:color="auto"/>
            <w:right w:val="none" w:sz="0" w:space="0" w:color="auto"/>
          </w:divBdr>
        </w:div>
        <w:div w:id="867062016">
          <w:marLeft w:val="0"/>
          <w:marRight w:val="0"/>
          <w:marTop w:val="0"/>
          <w:marBottom w:val="0"/>
          <w:divBdr>
            <w:top w:val="none" w:sz="0" w:space="0" w:color="auto"/>
            <w:left w:val="none" w:sz="0" w:space="0" w:color="auto"/>
            <w:bottom w:val="none" w:sz="0" w:space="0" w:color="auto"/>
            <w:right w:val="none" w:sz="0" w:space="0" w:color="auto"/>
          </w:divBdr>
        </w:div>
        <w:div w:id="109936111">
          <w:marLeft w:val="0"/>
          <w:marRight w:val="0"/>
          <w:marTop w:val="0"/>
          <w:marBottom w:val="0"/>
          <w:divBdr>
            <w:top w:val="none" w:sz="0" w:space="0" w:color="auto"/>
            <w:left w:val="none" w:sz="0" w:space="0" w:color="auto"/>
            <w:bottom w:val="none" w:sz="0" w:space="0" w:color="auto"/>
            <w:right w:val="none" w:sz="0" w:space="0" w:color="auto"/>
          </w:divBdr>
        </w:div>
        <w:div w:id="1913346727">
          <w:marLeft w:val="0"/>
          <w:marRight w:val="0"/>
          <w:marTop w:val="0"/>
          <w:marBottom w:val="0"/>
          <w:divBdr>
            <w:top w:val="none" w:sz="0" w:space="0" w:color="auto"/>
            <w:left w:val="none" w:sz="0" w:space="0" w:color="auto"/>
            <w:bottom w:val="none" w:sz="0" w:space="0" w:color="auto"/>
            <w:right w:val="none" w:sz="0" w:space="0" w:color="auto"/>
          </w:divBdr>
        </w:div>
        <w:div w:id="1703288417">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15383763">
      <w:bodyDiv w:val="1"/>
      <w:marLeft w:val="0"/>
      <w:marRight w:val="0"/>
      <w:marTop w:val="0"/>
      <w:marBottom w:val="0"/>
      <w:divBdr>
        <w:top w:val="none" w:sz="0" w:space="0" w:color="auto"/>
        <w:left w:val="none" w:sz="0" w:space="0" w:color="auto"/>
        <w:bottom w:val="none" w:sz="0" w:space="0" w:color="auto"/>
        <w:right w:val="none" w:sz="0" w:space="0" w:color="auto"/>
      </w:divBdr>
    </w:div>
    <w:div w:id="397214877">
      <w:bodyDiv w:val="1"/>
      <w:marLeft w:val="0"/>
      <w:marRight w:val="0"/>
      <w:marTop w:val="0"/>
      <w:marBottom w:val="0"/>
      <w:divBdr>
        <w:top w:val="none" w:sz="0" w:space="0" w:color="auto"/>
        <w:left w:val="none" w:sz="0" w:space="0" w:color="auto"/>
        <w:bottom w:val="none" w:sz="0" w:space="0" w:color="auto"/>
        <w:right w:val="none" w:sz="0" w:space="0" w:color="auto"/>
      </w:divBdr>
    </w:div>
    <w:div w:id="487356785">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52639311">
      <w:bodyDiv w:val="1"/>
      <w:marLeft w:val="0"/>
      <w:marRight w:val="0"/>
      <w:marTop w:val="0"/>
      <w:marBottom w:val="0"/>
      <w:divBdr>
        <w:top w:val="none" w:sz="0" w:space="0" w:color="auto"/>
        <w:left w:val="none" w:sz="0" w:space="0" w:color="auto"/>
        <w:bottom w:val="none" w:sz="0" w:space="0" w:color="auto"/>
        <w:right w:val="none" w:sz="0" w:space="0" w:color="auto"/>
      </w:divBdr>
    </w:div>
    <w:div w:id="1001587368">
      <w:bodyDiv w:val="1"/>
      <w:marLeft w:val="0"/>
      <w:marRight w:val="0"/>
      <w:marTop w:val="0"/>
      <w:marBottom w:val="0"/>
      <w:divBdr>
        <w:top w:val="none" w:sz="0" w:space="0" w:color="auto"/>
        <w:left w:val="none" w:sz="0" w:space="0" w:color="auto"/>
        <w:bottom w:val="none" w:sz="0" w:space="0" w:color="auto"/>
        <w:right w:val="none" w:sz="0" w:space="0" w:color="auto"/>
      </w:divBdr>
    </w:div>
    <w:div w:id="1019550306">
      <w:bodyDiv w:val="1"/>
      <w:marLeft w:val="0"/>
      <w:marRight w:val="0"/>
      <w:marTop w:val="0"/>
      <w:marBottom w:val="0"/>
      <w:divBdr>
        <w:top w:val="none" w:sz="0" w:space="0" w:color="auto"/>
        <w:left w:val="none" w:sz="0" w:space="0" w:color="auto"/>
        <w:bottom w:val="none" w:sz="0" w:space="0" w:color="auto"/>
        <w:right w:val="none" w:sz="0" w:space="0" w:color="auto"/>
      </w:divBdr>
    </w:div>
    <w:div w:id="1056390180">
      <w:bodyDiv w:val="1"/>
      <w:marLeft w:val="0"/>
      <w:marRight w:val="0"/>
      <w:marTop w:val="0"/>
      <w:marBottom w:val="0"/>
      <w:divBdr>
        <w:top w:val="none" w:sz="0" w:space="0" w:color="auto"/>
        <w:left w:val="none" w:sz="0" w:space="0" w:color="auto"/>
        <w:bottom w:val="none" w:sz="0" w:space="0" w:color="auto"/>
        <w:right w:val="none" w:sz="0" w:space="0" w:color="auto"/>
      </w:divBdr>
      <w:divsChild>
        <w:div w:id="2007661744">
          <w:marLeft w:val="0"/>
          <w:marRight w:val="0"/>
          <w:marTop w:val="0"/>
          <w:marBottom w:val="0"/>
          <w:divBdr>
            <w:top w:val="none" w:sz="0" w:space="0" w:color="auto"/>
            <w:left w:val="none" w:sz="0" w:space="0" w:color="auto"/>
            <w:bottom w:val="none" w:sz="0" w:space="0" w:color="auto"/>
            <w:right w:val="none" w:sz="0" w:space="0" w:color="auto"/>
          </w:divBdr>
        </w:div>
        <w:div w:id="630980832">
          <w:marLeft w:val="0"/>
          <w:marRight w:val="0"/>
          <w:marTop w:val="0"/>
          <w:marBottom w:val="0"/>
          <w:divBdr>
            <w:top w:val="none" w:sz="0" w:space="0" w:color="auto"/>
            <w:left w:val="none" w:sz="0" w:space="0" w:color="auto"/>
            <w:bottom w:val="none" w:sz="0" w:space="0" w:color="auto"/>
            <w:right w:val="none" w:sz="0" w:space="0" w:color="auto"/>
          </w:divBdr>
        </w:div>
        <w:div w:id="345864755">
          <w:marLeft w:val="0"/>
          <w:marRight w:val="0"/>
          <w:marTop w:val="0"/>
          <w:marBottom w:val="0"/>
          <w:divBdr>
            <w:top w:val="none" w:sz="0" w:space="0" w:color="auto"/>
            <w:left w:val="none" w:sz="0" w:space="0" w:color="auto"/>
            <w:bottom w:val="none" w:sz="0" w:space="0" w:color="auto"/>
            <w:right w:val="none" w:sz="0" w:space="0" w:color="auto"/>
          </w:divBdr>
        </w:div>
        <w:div w:id="456030216">
          <w:marLeft w:val="0"/>
          <w:marRight w:val="0"/>
          <w:marTop w:val="0"/>
          <w:marBottom w:val="0"/>
          <w:divBdr>
            <w:top w:val="none" w:sz="0" w:space="0" w:color="auto"/>
            <w:left w:val="none" w:sz="0" w:space="0" w:color="auto"/>
            <w:bottom w:val="none" w:sz="0" w:space="0" w:color="auto"/>
            <w:right w:val="none" w:sz="0" w:space="0" w:color="auto"/>
          </w:divBdr>
        </w:div>
        <w:div w:id="1837455201">
          <w:marLeft w:val="0"/>
          <w:marRight w:val="0"/>
          <w:marTop w:val="0"/>
          <w:marBottom w:val="0"/>
          <w:divBdr>
            <w:top w:val="none" w:sz="0" w:space="0" w:color="auto"/>
            <w:left w:val="none" w:sz="0" w:space="0" w:color="auto"/>
            <w:bottom w:val="none" w:sz="0" w:space="0" w:color="auto"/>
            <w:right w:val="none" w:sz="0" w:space="0" w:color="auto"/>
          </w:divBdr>
        </w:div>
        <w:div w:id="1432357515">
          <w:marLeft w:val="0"/>
          <w:marRight w:val="0"/>
          <w:marTop w:val="0"/>
          <w:marBottom w:val="0"/>
          <w:divBdr>
            <w:top w:val="none" w:sz="0" w:space="0" w:color="auto"/>
            <w:left w:val="none" w:sz="0" w:space="0" w:color="auto"/>
            <w:bottom w:val="none" w:sz="0" w:space="0" w:color="auto"/>
            <w:right w:val="none" w:sz="0" w:space="0" w:color="auto"/>
          </w:divBdr>
        </w:div>
        <w:div w:id="2038310362">
          <w:marLeft w:val="0"/>
          <w:marRight w:val="0"/>
          <w:marTop w:val="0"/>
          <w:marBottom w:val="0"/>
          <w:divBdr>
            <w:top w:val="none" w:sz="0" w:space="0" w:color="auto"/>
            <w:left w:val="none" w:sz="0" w:space="0" w:color="auto"/>
            <w:bottom w:val="none" w:sz="0" w:space="0" w:color="auto"/>
            <w:right w:val="none" w:sz="0" w:space="0" w:color="auto"/>
          </w:divBdr>
        </w:div>
      </w:divsChild>
    </w:div>
    <w:div w:id="127555186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614336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58641926">
      <w:bodyDiv w:val="1"/>
      <w:marLeft w:val="0"/>
      <w:marRight w:val="0"/>
      <w:marTop w:val="0"/>
      <w:marBottom w:val="0"/>
      <w:divBdr>
        <w:top w:val="none" w:sz="0" w:space="0" w:color="auto"/>
        <w:left w:val="none" w:sz="0" w:space="0" w:color="auto"/>
        <w:bottom w:val="none" w:sz="0" w:space="0" w:color="auto"/>
        <w:right w:val="none" w:sz="0" w:space="0" w:color="auto"/>
      </w:divBdr>
    </w:div>
    <w:div w:id="1653556248">
      <w:bodyDiv w:val="1"/>
      <w:marLeft w:val="0"/>
      <w:marRight w:val="0"/>
      <w:marTop w:val="0"/>
      <w:marBottom w:val="0"/>
      <w:divBdr>
        <w:top w:val="none" w:sz="0" w:space="0" w:color="auto"/>
        <w:left w:val="none" w:sz="0" w:space="0" w:color="auto"/>
        <w:bottom w:val="none" w:sz="0" w:space="0" w:color="auto"/>
        <w:right w:val="none" w:sz="0" w:space="0" w:color="auto"/>
      </w:divBdr>
    </w:div>
    <w:div w:id="2064401989">
      <w:bodyDiv w:val="1"/>
      <w:marLeft w:val="0"/>
      <w:marRight w:val="0"/>
      <w:marTop w:val="0"/>
      <w:marBottom w:val="0"/>
      <w:divBdr>
        <w:top w:val="none" w:sz="0" w:space="0" w:color="auto"/>
        <w:left w:val="none" w:sz="0" w:space="0" w:color="auto"/>
        <w:bottom w:val="none" w:sz="0" w:space="0" w:color="auto"/>
        <w:right w:val="none" w:sz="0" w:space="0" w:color="auto"/>
      </w:divBdr>
      <w:divsChild>
        <w:div w:id="995376653">
          <w:marLeft w:val="0"/>
          <w:marRight w:val="0"/>
          <w:marTop w:val="0"/>
          <w:marBottom w:val="0"/>
          <w:divBdr>
            <w:top w:val="none" w:sz="0" w:space="0" w:color="auto"/>
            <w:left w:val="none" w:sz="0" w:space="0" w:color="auto"/>
            <w:bottom w:val="none" w:sz="0" w:space="0" w:color="auto"/>
            <w:right w:val="none" w:sz="0" w:space="0" w:color="auto"/>
          </w:divBdr>
        </w:div>
        <w:div w:id="555166232">
          <w:marLeft w:val="0"/>
          <w:marRight w:val="0"/>
          <w:marTop w:val="0"/>
          <w:marBottom w:val="0"/>
          <w:divBdr>
            <w:top w:val="none" w:sz="0" w:space="0" w:color="auto"/>
            <w:left w:val="none" w:sz="0" w:space="0" w:color="auto"/>
            <w:bottom w:val="none" w:sz="0" w:space="0" w:color="auto"/>
            <w:right w:val="none" w:sz="0" w:space="0" w:color="auto"/>
          </w:divBdr>
        </w:div>
        <w:div w:id="1988126727">
          <w:marLeft w:val="0"/>
          <w:marRight w:val="0"/>
          <w:marTop w:val="0"/>
          <w:marBottom w:val="0"/>
          <w:divBdr>
            <w:top w:val="none" w:sz="0" w:space="0" w:color="auto"/>
            <w:left w:val="none" w:sz="0" w:space="0" w:color="auto"/>
            <w:bottom w:val="none" w:sz="0" w:space="0" w:color="auto"/>
            <w:right w:val="none" w:sz="0" w:space="0" w:color="auto"/>
          </w:divBdr>
        </w:div>
        <w:div w:id="14891435">
          <w:marLeft w:val="0"/>
          <w:marRight w:val="0"/>
          <w:marTop w:val="0"/>
          <w:marBottom w:val="0"/>
          <w:divBdr>
            <w:top w:val="none" w:sz="0" w:space="0" w:color="auto"/>
            <w:left w:val="none" w:sz="0" w:space="0" w:color="auto"/>
            <w:bottom w:val="none" w:sz="0" w:space="0" w:color="auto"/>
            <w:right w:val="none" w:sz="0" w:space="0" w:color="auto"/>
          </w:divBdr>
        </w:div>
        <w:div w:id="1531147083">
          <w:marLeft w:val="0"/>
          <w:marRight w:val="0"/>
          <w:marTop w:val="0"/>
          <w:marBottom w:val="0"/>
          <w:divBdr>
            <w:top w:val="none" w:sz="0" w:space="0" w:color="auto"/>
            <w:left w:val="none" w:sz="0" w:space="0" w:color="auto"/>
            <w:bottom w:val="none" w:sz="0" w:space="0" w:color="auto"/>
            <w:right w:val="none" w:sz="0" w:space="0" w:color="auto"/>
          </w:divBdr>
        </w:div>
        <w:div w:id="1059549723">
          <w:marLeft w:val="0"/>
          <w:marRight w:val="0"/>
          <w:marTop w:val="0"/>
          <w:marBottom w:val="0"/>
          <w:divBdr>
            <w:top w:val="none" w:sz="0" w:space="0" w:color="auto"/>
            <w:left w:val="none" w:sz="0" w:space="0" w:color="auto"/>
            <w:bottom w:val="none" w:sz="0" w:space="0" w:color="auto"/>
            <w:right w:val="none" w:sz="0" w:space="0" w:color="auto"/>
          </w:divBdr>
        </w:div>
        <w:div w:id="759982344">
          <w:marLeft w:val="0"/>
          <w:marRight w:val="0"/>
          <w:marTop w:val="0"/>
          <w:marBottom w:val="0"/>
          <w:divBdr>
            <w:top w:val="none" w:sz="0" w:space="0" w:color="auto"/>
            <w:left w:val="none" w:sz="0" w:space="0" w:color="auto"/>
            <w:bottom w:val="none" w:sz="0" w:space="0" w:color="auto"/>
            <w:right w:val="none" w:sz="0" w:space="0" w:color="auto"/>
          </w:divBdr>
        </w:div>
      </w:divsChild>
    </w:div>
    <w:div w:id="209619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38837-5887-497B-9112-1D9BDEADA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563</TotalTime>
  <Pages>10</Pages>
  <Words>3112</Words>
  <Characters>17118</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33</cp:revision>
  <cp:lastPrinted>2021-05-05T14:34:00Z</cp:lastPrinted>
  <dcterms:created xsi:type="dcterms:W3CDTF">2023-03-02T21:39:00Z</dcterms:created>
  <dcterms:modified xsi:type="dcterms:W3CDTF">2023-07-07T21:43:00Z</dcterms:modified>
</cp:coreProperties>
</file>