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64D15008"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43687D">
        <w:rPr>
          <w:rFonts w:ascii="Arial" w:eastAsia="Times New Roman" w:hAnsi="Arial" w:cs="Arial"/>
          <w:bCs/>
          <w:sz w:val="24"/>
          <w:szCs w:val="27"/>
          <w:lang w:val="es-ES_tradnl" w:eastAsia="es-ES"/>
        </w:rPr>
        <w:t>99</w:t>
      </w:r>
      <w:r w:rsidR="009C0C09">
        <w:rPr>
          <w:rFonts w:ascii="Arial" w:eastAsia="Times New Roman" w:hAnsi="Arial" w:cs="Arial"/>
          <w:bCs/>
          <w:sz w:val="24"/>
          <w:szCs w:val="27"/>
          <w:lang w:val="es-ES_tradnl" w:eastAsia="es-ES"/>
        </w:rPr>
        <w:t>/2017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069D4ABC"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6C146D">
        <w:rPr>
          <w:rFonts w:ascii="Arial" w:eastAsia="Times New Roman" w:hAnsi="Arial" w:cs="Arial"/>
          <w:sz w:val="24"/>
          <w:szCs w:val="27"/>
          <w:lang w:val="es-ES_tradnl" w:eastAsia="es-ES"/>
        </w:rPr>
        <w:t>*****</w:t>
      </w:r>
      <w:r w:rsidR="0043687D" w:rsidRPr="00D82372">
        <w:rPr>
          <w:rFonts w:ascii="Arial" w:eastAsia="Times New Roman" w:hAnsi="Arial" w:cs="Arial"/>
          <w:sz w:val="24"/>
          <w:szCs w:val="27"/>
          <w:lang w:val="es-ES_tradnl" w:eastAsia="es-ES"/>
        </w:rPr>
        <w:t xml:space="preserve"> </w:t>
      </w:r>
      <w:r w:rsidR="006C146D">
        <w:rPr>
          <w:rFonts w:ascii="Arial" w:eastAsia="Times New Roman" w:hAnsi="Arial" w:cs="Arial"/>
          <w:sz w:val="24"/>
          <w:szCs w:val="27"/>
          <w:lang w:val="es-ES_tradnl" w:eastAsia="es-ES"/>
        </w:rPr>
        <w:t>*****</w:t>
      </w:r>
      <w:r w:rsidR="0043687D" w:rsidRPr="00D82372">
        <w:rPr>
          <w:rFonts w:ascii="Arial" w:eastAsia="Times New Roman" w:hAnsi="Arial" w:cs="Arial"/>
          <w:sz w:val="24"/>
          <w:szCs w:val="27"/>
          <w:lang w:val="es-ES_tradnl" w:eastAsia="es-ES"/>
        </w:rPr>
        <w:t xml:space="preserve"> </w:t>
      </w:r>
      <w:r w:rsidR="006C146D">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744335F4"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5117EA" w:rsidRPr="005117EA">
        <w:rPr>
          <w:rFonts w:ascii="Arial" w:eastAsia="Times New Roman" w:hAnsi="Arial" w:cs="Arial"/>
          <w:sz w:val="24"/>
          <w:szCs w:val="27"/>
          <w:lang w:val="es-ES_tradnl" w:eastAsia="es-ES"/>
        </w:rPr>
        <w:t>POLICÍA VIAL ESTATAL, DEPENDIENTE DE LA DIRECCIÓN GENERAL DE LA POLICÍA ESTATAL DE</w:t>
      </w:r>
      <w:r w:rsidR="00352A96">
        <w:rPr>
          <w:rFonts w:ascii="Arial" w:eastAsia="Times New Roman" w:hAnsi="Arial" w:cs="Arial"/>
          <w:sz w:val="24"/>
          <w:szCs w:val="27"/>
          <w:lang w:val="es-ES_tradnl" w:eastAsia="es-ES"/>
        </w:rPr>
        <w:t>L ESTADO DE</w:t>
      </w:r>
      <w:r w:rsidR="005117EA" w:rsidRPr="005117EA">
        <w:rPr>
          <w:rFonts w:ascii="Arial" w:eastAsia="Times New Roman" w:hAnsi="Arial" w:cs="Arial"/>
          <w:sz w:val="24"/>
          <w:szCs w:val="27"/>
          <w:lang w:val="es-ES_tradnl" w:eastAsia="es-ES"/>
        </w:rPr>
        <w:t xml:space="preserve"> OAXACA</w:t>
      </w:r>
      <w:r w:rsidR="00D3679B">
        <w:rPr>
          <w:rFonts w:ascii="Arial" w:eastAsia="Times New Roman" w:hAnsi="Arial" w:cs="Arial"/>
          <w:sz w:val="24"/>
          <w:szCs w:val="27"/>
          <w:lang w:val="es-ES_tradnl" w:eastAsia="es-ES"/>
        </w:rPr>
        <w:t>.</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68B5378D"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6C499616"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581667">
        <w:rPr>
          <w:rFonts w:ascii="Arial" w:eastAsia="Times New Roman" w:hAnsi="Arial" w:cs="Arial"/>
          <w:b/>
          <w:bCs/>
          <w:sz w:val="24"/>
          <w:szCs w:val="27"/>
          <w:lang w:val="es-ES_tradnl" w:eastAsia="es-ES"/>
        </w:rPr>
        <w:t>90</w:t>
      </w:r>
      <w:r w:rsidR="009C0C09">
        <w:rPr>
          <w:rFonts w:ascii="Arial" w:eastAsia="Times New Roman" w:hAnsi="Arial" w:cs="Arial"/>
          <w:b/>
          <w:bCs/>
          <w:sz w:val="24"/>
          <w:szCs w:val="27"/>
          <w:lang w:val="es-ES_tradnl" w:eastAsia="es-ES"/>
        </w:rPr>
        <w:t>/2017</w:t>
      </w:r>
      <w:r w:rsidR="00102315" w:rsidRPr="009C0C09">
        <w:rPr>
          <w:rFonts w:ascii="Arial" w:eastAsia="Times New Roman" w:hAnsi="Arial" w:cs="Arial"/>
          <w:sz w:val="24"/>
          <w:szCs w:val="27"/>
          <w:lang w:val="es-ES_tradnl" w:eastAsia="es-ES"/>
        </w:rPr>
        <w:t xml:space="preserve">, interpuesto por </w:t>
      </w:r>
      <w:r w:rsidR="006C146D">
        <w:rPr>
          <w:rFonts w:ascii="Arial" w:eastAsia="Times New Roman" w:hAnsi="Arial" w:cs="Arial"/>
          <w:sz w:val="24"/>
          <w:szCs w:val="27"/>
          <w:lang w:val="es-ES_tradnl" w:eastAsia="es-ES"/>
        </w:rPr>
        <w:t>******</w:t>
      </w:r>
      <w:r w:rsidR="0043687D" w:rsidRPr="00D82372">
        <w:rPr>
          <w:rFonts w:ascii="Arial" w:eastAsia="Times New Roman" w:hAnsi="Arial" w:cs="Arial"/>
          <w:sz w:val="24"/>
          <w:szCs w:val="27"/>
          <w:lang w:val="es-ES_tradnl" w:eastAsia="es-ES"/>
        </w:rPr>
        <w:t xml:space="preserve"> </w:t>
      </w:r>
      <w:r w:rsidR="006C146D">
        <w:rPr>
          <w:rFonts w:ascii="Arial" w:eastAsia="Times New Roman" w:hAnsi="Arial" w:cs="Arial"/>
          <w:sz w:val="24"/>
          <w:szCs w:val="27"/>
          <w:lang w:val="es-ES_tradnl" w:eastAsia="es-ES"/>
        </w:rPr>
        <w:t>*****</w:t>
      </w:r>
      <w:r w:rsidR="0043687D" w:rsidRPr="00D82372">
        <w:rPr>
          <w:rFonts w:ascii="Arial" w:eastAsia="Times New Roman" w:hAnsi="Arial" w:cs="Arial"/>
          <w:sz w:val="24"/>
          <w:szCs w:val="27"/>
          <w:lang w:val="es-ES_tradnl" w:eastAsia="es-ES"/>
        </w:rPr>
        <w:t xml:space="preserve"> </w:t>
      </w:r>
      <w:r w:rsidR="006C146D">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xml:space="preserve">, en contra de </w:t>
      </w:r>
      <w:r w:rsidR="005117EA" w:rsidRPr="005117EA">
        <w:rPr>
          <w:rFonts w:ascii="Arial" w:eastAsia="Times New Roman" w:hAnsi="Arial" w:cs="Arial"/>
          <w:b/>
          <w:sz w:val="24"/>
          <w:szCs w:val="27"/>
          <w:lang w:val="es-ES_tradnl" w:eastAsia="es-ES"/>
        </w:rPr>
        <w:t>POLICÍA VIAL ESTATAL, DEPENDIENTE DE LA DIRECCIÓN GENERAL DE LA POLICÍA ESTATAL DE</w:t>
      </w:r>
      <w:r w:rsidR="00352A96">
        <w:rPr>
          <w:rFonts w:ascii="Arial" w:eastAsia="Times New Roman" w:hAnsi="Arial" w:cs="Arial"/>
          <w:b/>
          <w:sz w:val="24"/>
          <w:szCs w:val="27"/>
          <w:lang w:val="es-ES_tradnl" w:eastAsia="es-ES"/>
        </w:rPr>
        <w:t>L ESTADO DE</w:t>
      </w:r>
      <w:r w:rsidR="005117EA" w:rsidRPr="005117EA">
        <w:rPr>
          <w:rFonts w:ascii="Arial" w:eastAsia="Times New Roman" w:hAnsi="Arial" w:cs="Arial"/>
          <w:b/>
          <w:sz w:val="24"/>
          <w:szCs w:val="27"/>
          <w:lang w:val="es-ES_tradnl" w:eastAsia="es-ES"/>
        </w:rPr>
        <w:t xml:space="preserve">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137525A7" w:rsidR="00793DA7" w:rsidRDefault="00D82372" w:rsidP="00A155F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7B386F">
        <w:rPr>
          <w:rFonts w:ascii="Arial" w:eastAsia="Times New Roman" w:hAnsi="Arial" w:cs="Arial"/>
          <w:sz w:val="24"/>
          <w:szCs w:val="27"/>
          <w:lang w:val="es-ES_tradnl" w:eastAsia="es-ES"/>
        </w:rPr>
        <w:t>*****</w:t>
      </w:r>
      <w:r w:rsidR="0043687D" w:rsidRPr="00D82372">
        <w:rPr>
          <w:rFonts w:ascii="Arial" w:eastAsia="Times New Roman" w:hAnsi="Arial" w:cs="Arial"/>
          <w:sz w:val="24"/>
          <w:szCs w:val="27"/>
          <w:lang w:val="es-ES_tradnl" w:eastAsia="es-ES"/>
        </w:rPr>
        <w:t xml:space="preserve"> </w:t>
      </w:r>
      <w:r w:rsidR="007B386F">
        <w:rPr>
          <w:rFonts w:ascii="Arial" w:eastAsia="Times New Roman" w:hAnsi="Arial" w:cs="Arial"/>
          <w:sz w:val="24"/>
          <w:szCs w:val="27"/>
          <w:lang w:val="es-ES_tradnl" w:eastAsia="es-ES"/>
        </w:rPr>
        <w:t>*****</w:t>
      </w:r>
      <w:r w:rsidR="0043687D" w:rsidRPr="00D82372">
        <w:rPr>
          <w:rFonts w:ascii="Arial" w:eastAsia="Times New Roman" w:hAnsi="Arial" w:cs="Arial"/>
          <w:sz w:val="24"/>
          <w:szCs w:val="27"/>
          <w:lang w:val="es-ES_tradnl" w:eastAsia="es-ES"/>
        </w:rPr>
        <w:t xml:space="preserve"> </w:t>
      </w:r>
      <w:r w:rsidR="007B386F">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Pr>
          <w:rFonts w:ascii="Arial" w:hAnsi="Arial" w:cs="Arial"/>
          <w:bCs/>
          <w:spacing w:val="-3"/>
          <w:sz w:val="24"/>
          <w:szCs w:val="27"/>
          <w:lang w:val="es-ES_tradnl"/>
        </w:rPr>
        <w:t xml:space="preserve">seis de octubre de dos mil diecisiete, </w:t>
      </w:r>
      <w:r w:rsidR="0035374B" w:rsidRPr="009C0C09">
        <w:rPr>
          <w:rFonts w:ascii="Arial" w:hAnsi="Arial" w:cs="Arial"/>
          <w:bCs/>
          <w:spacing w:val="-3"/>
          <w:sz w:val="24"/>
          <w:szCs w:val="27"/>
          <w:lang w:val="es-ES_tradnl"/>
        </w:rPr>
        <w:t>en la Oficialía de Partes Común de</w:t>
      </w:r>
      <w:r w:rsidR="00793DA7">
        <w:rPr>
          <w:rFonts w:ascii="Arial" w:hAnsi="Arial" w:cs="Arial"/>
          <w:bCs/>
          <w:spacing w:val="-3"/>
          <w:sz w:val="24"/>
          <w:szCs w:val="27"/>
          <w:lang w:val="es-ES_tradnl"/>
        </w:rPr>
        <w:t>l otrora Tribunal de lo Contencioso Administrativo y de Cuentas del Poder Judicial del Estado de Oaxaca</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7B386F">
        <w:rPr>
          <w:rFonts w:ascii="Arial" w:hAnsi="Arial" w:cs="Arial"/>
          <w:bCs/>
          <w:spacing w:val="-3"/>
          <w:sz w:val="24"/>
          <w:szCs w:val="27"/>
          <w:lang w:val="es-ES_tradnl"/>
        </w:rPr>
        <w:t>*****</w:t>
      </w:r>
      <w:r w:rsidR="00420F89">
        <w:rPr>
          <w:rFonts w:ascii="Arial" w:hAnsi="Arial" w:cs="Arial"/>
          <w:bCs/>
          <w:spacing w:val="-3"/>
          <w:sz w:val="24"/>
          <w:szCs w:val="27"/>
          <w:lang w:val="es-ES_tradnl"/>
        </w:rPr>
        <w:t xml:space="preserve"> (sic) </w:t>
      </w:r>
      <w:r>
        <w:rPr>
          <w:rFonts w:ascii="Arial" w:hAnsi="Arial" w:cs="Arial"/>
          <w:bCs/>
          <w:spacing w:val="-3"/>
          <w:sz w:val="24"/>
          <w:szCs w:val="27"/>
          <w:lang w:val="es-ES_tradnl"/>
        </w:rPr>
        <w:t xml:space="preserve">de fecha </w:t>
      </w:r>
      <w:r w:rsidR="007B386F">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7B386F">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7B386F">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esa misma fecha</w:t>
      </w:r>
      <w:r w:rsidR="00D3679B">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se admitió a trámite la demanda, ordenándose correr traslado, emplazar a juicio y apercibir a la autoridad demandada, para que dentro del término que marca la ley, produjera su contestación en los términos de ley</w:t>
      </w:r>
      <w:r w:rsidR="00793DA7">
        <w:rPr>
          <w:rFonts w:ascii="Arial" w:hAnsi="Arial" w:cs="Arial"/>
          <w:bCs/>
          <w:spacing w:val="-3"/>
          <w:sz w:val="24"/>
          <w:szCs w:val="27"/>
          <w:lang w:val="es-ES_tradnl"/>
        </w:rPr>
        <w:t>.</w:t>
      </w:r>
    </w:p>
    <w:p w14:paraId="57857AC2" w14:textId="386A2DAE" w:rsidR="008C25FD" w:rsidRDefault="00153004" w:rsidP="00A155F9">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793DA7">
        <w:rPr>
          <w:rFonts w:ascii="Arial" w:hAnsi="Arial" w:cs="Arial"/>
          <w:bCs/>
          <w:spacing w:val="-3"/>
          <w:sz w:val="24"/>
          <w:szCs w:val="27"/>
          <w:lang w:val="es-ES_tradnl"/>
        </w:rPr>
        <w:t xml:space="preserve"> </w:t>
      </w:r>
      <w:r w:rsidR="008C25FD">
        <w:rPr>
          <w:rFonts w:ascii="Arial" w:hAnsi="Arial" w:cs="Arial"/>
          <w:bCs/>
          <w:spacing w:val="-3"/>
          <w:sz w:val="24"/>
          <w:szCs w:val="27"/>
          <w:lang w:val="es-ES_tradnl"/>
        </w:rPr>
        <w:t xml:space="preserve">En auto de fecha </w:t>
      </w:r>
      <w:r>
        <w:rPr>
          <w:rFonts w:ascii="Arial" w:hAnsi="Arial" w:cs="Arial"/>
          <w:bCs/>
          <w:spacing w:val="-3"/>
          <w:sz w:val="24"/>
          <w:szCs w:val="27"/>
          <w:lang w:val="es-ES_tradnl"/>
        </w:rPr>
        <w:t>dieciocho de enero de dos mil dieciocho</w:t>
      </w:r>
      <w:r w:rsidR="008C25FD">
        <w:rPr>
          <w:rFonts w:ascii="Arial" w:hAnsi="Arial" w:cs="Arial"/>
          <w:bCs/>
          <w:spacing w:val="-3"/>
          <w:sz w:val="24"/>
          <w:szCs w:val="27"/>
          <w:lang w:val="es-ES_tradnl"/>
        </w:rPr>
        <w:t xml:space="preserve">, se tuvo a la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demanda instaurada en su contra, sin embargo</w:t>
      </w:r>
      <w:r w:rsidR="00C1168F">
        <w:rPr>
          <w:rFonts w:ascii="Arial" w:hAnsi="Arial" w:cs="Arial"/>
          <w:bCs/>
          <w:spacing w:val="-3"/>
          <w:sz w:val="24"/>
          <w:szCs w:val="27"/>
          <w:lang w:val="es-ES_tradnl"/>
        </w:rPr>
        <w:t>,</w:t>
      </w:r>
      <w:r w:rsidR="008C25FD">
        <w:rPr>
          <w:rFonts w:ascii="Arial" w:hAnsi="Arial" w:cs="Arial"/>
          <w:bCs/>
          <w:spacing w:val="-3"/>
          <w:sz w:val="24"/>
          <w:szCs w:val="27"/>
          <w:lang w:val="es-ES_tradnl"/>
        </w:rPr>
        <w:t xml:space="preserve"> al no haber acreditado su personalidad, se le hizo efectivo el apercibimiento y se le tuvo contestando la demanda en sentido afirmativo, salvo prueba en contrario.</w:t>
      </w:r>
    </w:p>
    <w:p w14:paraId="1834AEB2" w14:textId="54F02682" w:rsidR="00B77C54" w:rsidRDefault="00B77C54"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tuvo por recibido un oficio igualmente sig</w:t>
      </w:r>
      <w:r w:rsidR="00E6586E">
        <w:rPr>
          <w:rFonts w:ascii="Arial" w:hAnsi="Arial" w:cs="Arial"/>
          <w:bCs/>
          <w:spacing w:val="-3"/>
          <w:sz w:val="24"/>
          <w:szCs w:val="27"/>
          <w:lang w:val="es-ES_tradnl"/>
        </w:rPr>
        <w:t xml:space="preserve">nado por quien se ostentaba como policía vial, requiriéndosele para </w:t>
      </w:r>
      <w:proofErr w:type="gramStart"/>
      <w:r w:rsidR="00E6586E">
        <w:rPr>
          <w:rFonts w:ascii="Arial" w:hAnsi="Arial" w:cs="Arial"/>
          <w:bCs/>
          <w:spacing w:val="-3"/>
          <w:sz w:val="24"/>
          <w:szCs w:val="27"/>
          <w:lang w:val="es-ES_tradnl"/>
        </w:rPr>
        <w:t>que</w:t>
      </w:r>
      <w:proofErr w:type="gramEnd"/>
      <w:r w:rsidR="00E6586E">
        <w:rPr>
          <w:rFonts w:ascii="Arial" w:hAnsi="Arial" w:cs="Arial"/>
          <w:bCs/>
          <w:spacing w:val="-3"/>
          <w:sz w:val="24"/>
          <w:szCs w:val="27"/>
          <w:lang w:val="es-ES_tradnl"/>
        </w:rPr>
        <w:t xml:space="preserve"> dentro del plazo otorgado, remitiera las copias para traslado</w:t>
      </w:r>
      <w:r w:rsidR="00EB0371">
        <w:rPr>
          <w:rFonts w:ascii="Arial" w:hAnsi="Arial" w:cs="Arial"/>
          <w:bCs/>
          <w:spacing w:val="-3"/>
          <w:sz w:val="24"/>
          <w:szCs w:val="27"/>
          <w:lang w:val="es-ES_tradnl"/>
        </w:rPr>
        <w:t>, bajo apercibimiento que no hacerlo, se desecharía el recurso intentado.</w:t>
      </w:r>
    </w:p>
    <w:p w14:paraId="30E4668A" w14:textId="35978D8D" w:rsidR="00DC7145" w:rsidRDefault="00B77C54" w:rsidP="00B77C54">
      <w:pPr>
        <w:spacing w:line="360" w:lineRule="auto"/>
        <w:ind w:firstLine="567"/>
        <w:jc w:val="both"/>
        <w:rPr>
          <w:rFonts w:ascii="Arial" w:hAnsi="Arial" w:cs="Arial"/>
          <w:bCs/>
          <w:spacing w:val="-3"/>
          <w:sz w:val="24"/>
          <w:szCs w:val="27"/>
          <w:lang w:val="es-ES_tradnl"/>
        </w:rPr>
      </w:pPr>
      <w:r w:rsidRPr="00B77C54">
        <w:rPr>
          <w:rFonts w:ascii="Arial" w:hAnsi="Arial" w:cs="Arial"/>
          <w:b/>
          <w:bCs/>
          <w:spacing w:val="-3"/>
          <w:sz w:val="24"/>
          <w:szCs w:val="27"/>
          <w:lang w:val="es-ES_tradnl"/>
        </w:rPr>
        <w:lastRenderedPageBreak/>
        <w:t>TERCERO.</w:t>
      </w:r>
      <w:r>
        <w:rPr>
          <w:rFonts w:ascii="Arial" w:hAnsi="Arial" w:cs="Arial"/>
          <w:bCs/>
          <w:spacing w:val="-3"/>
          <w:sz w:val="24"/>
          <w:szCs w:val="27"/>
          <w:lang w:val="es-ES_tradnl"/>
        </w:rPr>
        <w:t xml:space="preserve"> Mediante proveído de fecha seis</w:t>
      </w:r>
      <w:r w:rsidR="0005415A">
        <w:rPr>
          <w:rFonts w:ascii="Arial" w:hAnsi="Arial" w:cs="Arial"/>
          <w:bCs/>
          <w:spacing w:val="-3"/>
          <w:sz w:val="24"/>
          <w:szCs w:val="27"/>
          <w:lang w:val="es-ES_tradnl"/>
        </w:rPr>
        <w:t xml:space="preserve"> d</w:t>
      </w:r>
      <w:r w:rsidR="008C25FD">
        <w:rPr>
          <w:rFonts w:ascii="Arial" w:hAnsi="Arial" w:cs="Arial"/>
          <w:bCs/>
          <w:spacing w:val="-3"/>
          <w:sz w:val="24"/>
          <w:szCs w:val="27"/>
          <w:lang w:val="es-ES_tradnl"/>
        </w:rPr>
        <w:t xml:space="preserve">e marzo de dos mil dieciocho </w:t>
      </w:r>
      <w:r w:rsidR="0005415A">
        <w:rPr>
          <w:rFonts w:ascii="Arial" w:hAnsi="Arial" w:cs="Arial"/>
          <w:bCs/>
          <w:spacing w:val="-3"/>
          <w:sz w:val="24"/>
          <w:szCs w:val="27"/>
          <w:lang w:val="es-ES_tradnl"/>
        </w:rPr>
        <w:t xml:space="preserve">se </w:t>
      </w:r>
      <w:r w:rsidR="0005415A" w:rsidRPr="008C6A3C">
        <w:rPr>
          <w:rFonts w:ascii="Arial" w:hAnsi="Arial" w:cs="Arial"/>
          <w:bCs/>
          <w:spacing w:val="-3"/>
          <w:sz w:val="24"/>
          <w:szCs w:val="27"/>
          <w:lang w:val="es-ES_tradnl"/>
        </w:rPr>
        <w:t>le hizo del conocimi</w:t>
      </w:r>
      <w:r w:rsidR="00E6586E">
        <w:rPr>
          <w:rFonts w:ascii="Arial" w:hAnsi="Arial" w:cs="Arial"/>
          <w:bCs/>
          <w:spacing w:val="-3"/>
          <w:sz w:val="24"/>
          <w:szCs w:val="27"/>
          <w:lang w:val="es-ES_tradnl"/>
        </w:rPr>
        <w:t>ento a las partes el decreto 789</w:t>
      </w:r>
      <w:r w:rsidR="0005415A" w:rsidRPr="008C6A3C">
        <w:rPr>
          <w:rFonts w:ascii="Arial" w:hAnsi="Arial" w:cs="Arial"/>
          <w:bCs/>
          <w:spacing w:val="-3"/>
          <w:sz w:val="24"/>
          <w:szCs w:val="27"/>
          <w:lang w:val="es-ES_tradnl"/>
        </w:rPr>
        <w:t xml:space="preserve">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05415A">
        <w:rPr>
          <w:rFonts w:ascii="Arial" w:hAnsi="Arial" w:cs="Arial"/>
          <w:bCs/>
          <w:spacing w:val="-3"/>
          <w:sz w:val="24"/>
          <w:szCs w:val="27"/>
          <w:lang w:val="es-ES_tradnl"/>
        </w:rPr>
        <w:t>, y se les otorgó un plazo a las partes para que manifestaran lo que a sus intereses convi</w:t>
      </w:r>
      <w:r>
        <w:rPr>
          <w:rFonts w:ascii="Arial" w:hAnsi="Arial" w:cs="Arial"/>
          <w:bCs/>
          <w:spacing w:val="-3"/>
          <w:sz w:val="24"/>
          <w:szCs w:val="27"/>
          <w:lang w:val="es-ES_tradnl"/>
        </w:rPr>
        <w:t>niera.</w:t>
      </w:r>
    </w:p>
    <w:p w14:paraId="7665C7E8" w14:textId="498D2739" w:rsidR="008C1AC1" w:rsidRDefault="00953FA6" w:rsidP="000B426C">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w:t>
      </w:r>
      <w:r w:rsidR="0088558F">
        <w:rPr>
          <w:rFonts w:ascii="Arial" w:hAnsi="Arial" w:cs="Arial"/>
          <w:b/>
          <w:bCs/>
          <w:spacing w:val="-3"/>
          <w:sz w:val="24"/>
          <w:szCs w:val="27"/>
          <w:lang w:val="es-ES_tradnl"/>
        </w:rPr>
        <w:t>TO</w:t>
      </w:r>
      <w:r w:rsidR="004E1EA0">
        <w:rPr>
          <w:rFonts w:ascii="Arial" w:hAnsi="Arial" w:cs="Arial"/>
          <w:b/>
          <w:bCs/>
          <w:spacing w:val="-3"/>
          <w:sz w:val="24"/>
          <w:szCs w:val="27"/>
          <w:lang w:val="es-ES_tradnl"/>
        </w:rPr>
        <w:t xml:space="preserve">. </w:t>
      </w:r>
      <w:r w:rsidR="000A4C89">
        <w:rPr>
          <w:rFonts w:ascii="Arial" w:hAnsi="Arial" w:cs="Arial"/>
          <w:bCs/>
          <w:spacing w:val="-3"/>
          <w:sz w:val="24"/>
          <w:szCs w:val="27"/>
          <w:lang w:val="es-ES_tradnl"/>
        </w:rPr>
        <w:t xml:space="preserve">En auto de fecha </w:t>
      </w:r>
      <w:r w:rsidR="005814B7">
        <w:rPr>
          <w:rFonts w:ascii="Arial" w:hAnsi="Arial" w:cs="Arial"/>
          <w:bCs/>
          <w:spacing w:val="-3"/>
          <w:sz w:val="24"/>
          <w:szCs w:val="27"/>
          <w:lang w:val="es-ES_tradnl"/>
        </w:rPr>
        <w:t xml:space="preserve">quince de mayo de dos mil dieciocho, </w:t>
      </w:r>
      <w:r w:rsidR="000A4C89">
        <w:rPr>
          <w:rFonts w:ascii="Arial" w:hAnsi="Arial" w:cs="Arial"/>
          <w:bCs/>
          <w:spacing w:val="-3"/>
          <w:sz w:val="24"/>
          <w:szCs w:val="27"/>
          <w:lang w:val="es-ES_tradnl"/>
        </w:rPr>
        <w:t>se le hizo del conocimiento a las partes la adscripción del titular de la Segunda Sala Unitaria de Primera Instancia del Tribunal de Justicia Administrativa del Estado de Oaxaca, otorgando un plazo para que las partes manifestaran lo</w:t>
      </w:r>
      <w:r w:rsidR="005814B7">
        <w:rPr>
          <w:rFonts w:ascii="Arial" w:hAnsi="Arial" w:cs="Arial"/>
          <w:bCs/>
          <w:spacing w:val="-3"/>
          <w:sz w:val="24"/>
          <w:szCs w:val="27"/>
          <w:lang w:val="es-ES_tradnl"/>
        </w:rPr>
        <w:t xml:space="preserve"> que a su derecho conviniera.</w:t>
      </w:r>
    </w:p>
    <w:p w14:paraId="45B7C365" w14:textId="5168D3E9" w:rsidR="005814B7" w:rsidRDefault="005814B7" w:rsidP="000B426C">
      <w:pPr>
        <w:spacing w:line="360" w:lineRule="auto"/>
        <w:ind w:firstLine="567"/>
        <w:jc w:val="both"/>
        <w:rPr>
          <w:rFonts w:ascii="Arial" w:hAnsi="Arial" w:cs="Arial"/>
          <w:bCs/>
          <w:spacing w:val="-3"/>
          <w:sz w:val="24"/>
          <w:szCs w:val="27"/>
          <w:lang w:val="es-ES_tradnl"/>
        </w:rPr>
      </w:pPr>
      <w:r w:rsidRPr="00B31321">
        <w:rPr>
          <w:rFonts w:ascii="Arial" w:hAnsi="Arial" w:cs="Arial"/>
          <w:b/>
          <w:bCs/>
          <w:spacing w:val="-3"/>
          <w:sz w:val="24"/>
          <w:szCs w:val="27"/>
          <w:lang w:val="es-ES_tradnl"/>
        </w:rPr>
        <w:t>QUINTO.</w:t>
      </w:r>
      <w:r>
        <w:rPr>
          <w:rFonts w:ascii="Arial" w:hAnsi="Arial" w:cs="Arial"/>
          <w:bCs/>
          <w:spacing w:val="-3"/>
          <w:sz w:val="24"/>
          <w:szCs w:val="27"/>
          <w:lang w:val="es-ES_tradnl"/>
        </w:rPr>
        <w:t xml:space="preserve"> Por acuerdo de fecha veintiocho de septiembre de dos mil die</w:t>
      </w:r>
      <w:r w:rsidR="00B31321">
        <w:rPr>
          <w:rFonts w:ascii="Arial" w:hAnsi="Arial" w:cs="Arial"/>
          <w:bCs/>
          <w:spacing w:val="-3"/>
          <w:sz w:val="24"/>
          <w:szCs w:val="27"/>
          <w:lang w:val="es-ES_tradnl"/>
        </w:rPr>
        <w:t>c</w:t>
      </w:r>
      <w:r>
        <w:rPr>
          <w:rFonts w:ascii="Arial" w:hAnsi="Arial" w:cs="Arial"/>
          <w:bCs/>
          <w:spacing w:val="-3"/>
          <w:sz w:val="24"/>
          <w:szCs w:val="27"/>
          <w:lang w:val="es-ES_tradnl"/>
        </w:rPr>
        <w:t xml:space="preserve">iocho </w:t>
      </w:r>
      <w:r w:rsidR="00B31321">
        <w:rPr>
          <w:rFonts w:ascii="Arial" w:hAnsi="Arial" w:cs="Arial"/>
          <w:bCs/>
          <w:spacing w:val="-3"/>
          <w:sz w:val="24"/>
          <w:szCs w:val="27"/>
          <w:lang w:val="es-ES_tradnl"/>
        </w:rPr>
        <w:t>se advirtió que la autoridad demandada no cumplió con el requerimiento efectuado, en consecuencia, se tuvo por no presentado el recurso interpuesto.</w:t>
      </w:r>
    </w:p>
    <w:p w14:paraId="7966D775" w14:textId="234E6D16" w:rsidR="00B31321" w:rsidRDefault="00B31321" w:rsidP="000B426C">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señaló fecha y hora para la celebración de la audiencia final.</w:t>
      </w:r>
    </w:p>
    <w:p w14:paraId="507B3FE1" w14:textId="435317FE" w:rsidR="00B31321" w:rsidRDefault="00B31321" w:rsidP="000B426C">
      <w:pPr>
        <w:spacing w:line="360" w:lineRule="auto"/>
        <w:ind w:firstLine="567"/>
        <w:jc w:val="both"/>
        <w:rPr>
          <w:rFonts w:ascii="Arial" w:hAnsi="Arial" w:cs="Arial"/>
          <w:bCs/>
          <w:spacing w:val="-3"/>
          <w:sz w:val="24"/>
          <w:szCs w:val="27"/>
          <w:lang w:val="es-ES_tradnl"/>
        </w:rPr>
      </w:pPr>
      <w:r w:rsidRPr="00155F12">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9D7C28">
        <w:rPr>
          <w:rFonts w:ascii="Arial" w:hAnsi="Arial" w:cs="Arial"/>
          <w:bCs/>
          <w:spacing w:val="-3"/>
          <w:sz w:val="24"/>
          <w:szCs w:val="27"/>
          <w:lang w:val="es-ES_tradnl"/>
        </w:rPr>
        <w:t>Mediante proveído de fecha diecisiete de octubre</w:t>
      </w:r>
      <w:r w:rsidR="00155F12">
        <w:rPr>
          <w:rFonts w:ascii="Arial" w:hAnsi="Arial" w:cs="Arial"/>
          <w:bCs/>
          <w:spacing w:val="-3"/>
          <w:sz w:val="24"/>
          <w:szCs w:val="27"/>
          <w:lang w:val="es-ES_tradnl"/>
        </w:rPr>
        <w:t xml:space="preserve"> de dos mil dieciocho, en atención a las indicaciones de la Sala Superior de este Tribunal, se difirió la audiencia final y se señaló nueva fecha y hora para la celebración de la audiencia final.</w:t>
      </w:r>
    </w:p>
    <w:p w14:paraId="4E356CC6" w14:textId="13A5082C" w:rsidR="00155F12" w:rsidRPr="009C0C09" w:rsidRDefault="00155F12" w:rsidP="000B426C">
      <w:pPr>
        <w:spacing w:line="360" w:lineRule="auto"/>
        <w:ind w:firstLine="567"/>
        <w:jc w:val="both"/>
        <w:rPr>
          <w:rFonts w:ascii="Arial" w:hAnsi="Arial" w:cs="Arial"/>
          <w:bCs/>
          <w:spacing w:val="-3"/>
          <w:sz w:val="24"/>
          <w:szCs w:val="27"/>
          <w:lang w:val="es-ES_tradnl"/>
        </w:rPr>
      </w:pPr>
      <w:r w:rsidRPr="0016023B">
        <w:rPr>
          <w:rFonts w:ascii="Arial" w:hAnsi="Arial" w:cs="Arial"/>
          <w:b/>
          <w:bCs/>
          <w:spacing w:val="-3"/>
          <w:sz w:val="24"/>
          <w:szCs w:val="27"/>
          <w:lang w:val="es-ES_tradnl"/>
        </w:rPr>
        <w:t>SÉPTIMO.</w:t>
      </w:r>
      <w:r>
        <w:rPr>
          <w:rFonts w:ascii="Arial" w:hAnsi="Arial" w:cs="Arial"/>
          <w:bCs/>
          <w:spacing w:val="-3"/>
          <w:sz w:val="24"/>
          <w:szCs w:val="27"/>
          <w:lang w:val="es-ES_tradnl"/>
        </w:rPr>
        <w:t xml:space="preserve"> El siete de diciembre de dos mil dieciocho se llevó a cabo la audiencia final, sin la asistencia de las partes ni de persona que legalmente las representara, desahogándose las pruebas ahí mencionadas, asentando que ninguna de las partes formuló alegatos a su favor, por lo que se citó a las partes para </w:t>
      </w:r>
      <w:proofErr w:type="spellStart"/>
      <w:r>
        <w:rPr>
          <w:rFonts w:ascii="Arial" w:hAnsi="Arial" w:cs="Arial"/>
          <w:bCs/>
          <w:spacing w:val="-3"/>
          <w:sz w:val="24"/>
          <w:szCs w:val="27"/>
          <w:lang w:val="es-ES_tradnl"/>
        </w:rPr>
        <w:t>oir</w:t>
      </w:r>
      <w:proofErr w:type="spellEnd"/>
      <w:r>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13BD0E7B"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88558F" w:rsidRPr="00346EA0">
        <w:rPr>
          <w:rFonts w:ascii="Arial" w:hAnsi="Arial" w:cs="Arial"/>
          <w:sz w:val="24"/>
          <w:szCs w:val="24"/>
        </w:rPr>
        <w:t>Esta Segunda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008C1AC1" w:rsidRPr="009C0C09">
        <w:rPr>
          <w:rFonts w:ascii="Arial" w:hAnsi="Arial" w:cs="Arial"/>
          <w:sz w:val="24"/>
          <w:szCs w:val="27"/>
        </w:rPr>
        <w:t xml:space="preserve">. </w:t>
      </w:r>
    </w:p>
    <w:p w14:paraId="7618BB7A" w14:textId="56E13BAE"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lastRenderedPageBreak/>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F12439" w:rsidRPr="00F12439">
        <w:rPr>
          <w:rFonts w:ascii="Arial" w:hAnsi="Arial" w:cs="Arial"/>
          <w:bCs/>
          <w:snapToGrid w:val="0"/>
          <w:sz w:val="24"/>
          <w:szCs w:val="24"/>
        </w:rPr>
        <w:t xml:space="preserve">La personalidad de la parte actora quedó debidamente acreditada en </w:t>
      </w:r>
      <w:r w:rsidR="000A4C89">
        <w:rPr>
          <w:rFonts w:ascii="Arial" w:hAnsi="Arial" w:cs="Arial"/>
          <w:bCs/>
          <w:snapToGrid w:val="0"/>
          <w:sz w:val="24"/>
          <w:szCs w:val="24"/>
        </w:rPr>
        <w:t xml:space="preserve">términos de los artículos 117, mientras que la autoridad demandada no acreditó su personalidad en términos del artículo </w:t>
      </w:r>
      <w:r w:rsidR="00F12439" w:rsidRPr="00F12439">
        <w:rPr>
          <w:rFonts w:ascii="Arial" w:hAnsi="Arial" w:cs="Arial"/>
          <w:bCs/>
          <w:snapToGrid w:val="0"/>
          <w:sz w:val="24"/>
          <w:szCs w:val="24"/>
        </w:rPr>
        <w:t>120 de la Ley de Justicia Administ</w:t>
      </w:r>
      <w:r w:rsidR="00F12439">
        <w:rPr>
          <w:rFonts w:ascii="Arial" w:hAnsi="Arial" w:cs="Arial"/>
          <w:bCs/>
          <w:snapToGrid w:val="0"/>
          <w:sz w:val="24"/>
          <w:szCs w:val="24"/>
        </w:rPr>
        <w:t>rativa para el Estado de Oaxaca</w:t>
      </w:r>
      <w:r w:rsidR="000A4C89">
        <w:rPr>
          <w:rFonts w:ascii="Arial" w:hAnsi="Arial" w:cs="Arial"/>
          <w:sz w:val="24"/>
          <w:szCs w:val="24"/>
        </w:rPr>
        <w:t xml:space="preserve">, </w:t>
      </w:r>
    </w:p>
    <w:p w14:paraId="40C7DB4D" w14:textId="45A45AED" w:rsidR="008C764E" w:rsidRPr="009C0C09"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FD0735" w:rsidRPr="00E7729E">
        <w:rPr>
          <w:rFonts w:ascii="Arial" w:hAnsi="Arial" w:cs="Arial"/>
          <w:sz w:val="24"/>
          <w:szCs w:val="24"/>
        </w:rPr>
        <w:t>Previo estudio de fondo del asunto y por cuestión de método y técnica judicial, se procede a analizar, si en la especie se actualiza alguna causal de improcedencia del juicio de nulidad, que se advierta oficiosamente y que impida la resolución del fondo del asunto y debiera declararse su sobreseimiento,</w:t>
      </w:r>
      <w:r>
        <w:rPr>
          <w:rFonts w:ascii="Arial" w:hAnsi="Arial" w:cs="Arial"/>
          <w:sz w:val="24"/>
          <w:szCs w:val="24"/>
        </w:rPr>
        <w:t xml:space="preserve"> en términos de los artículos 131 y 13</w:t>
      </w:r>
      <w:r w:rsidR="00FD0735" w:rsidRPr="00E7729E">
        <w:rPr>
          <w:rFonts w:ascii="Arial" w:hAnsi="Arial" w:cs="Arial"/>
          <w:sz w:val="24"/>
          <w:szCs w:val="24"/>
        </w:rPr>
        <w:t>2 de la Ley de</w:t>
      </w:r>
      <w:r w:rsidR="008072E7">
        <w:rPr>
          <w:rFonts w:ascii="Arial" w:hAnsi="Arial" w:cs="Arial"/>
          <w:sz w:val="24"/>
          <w:szCs w:val="24"/>
        </w:rPr>
        <w:t xml:space="preserve"> </w:t>
      </w:r>
      <w:r w:rsidR="00FD0735" w:rsidRPr="00E7729E">
        <w:rPr>
          <w:rFonts w:ascii="Arial" w:hAnsi="Arial" w:cs="Arial"/>
          <w:sz w:val="24"/>
          <w:szCs w:val="24"/>
        </w:rPr>
        <w:t>Justicia Administrativa para el Estado de Oaxaca</w:t>
      </w:r>
      <w:r w:rsidR="008C764E" w:rsidRPr="009C0C09">
        <w:rPr>
          <w:rFonts w:ascii="Arial" w:hAnsi="Arial" w:cs="Arial"/>
          <w:bCs/>
          <w:snapToGrid w:val="0"/>
          <w:sz w:val="24"/>
          <w:szCs w:val="27"/>
        </w:rPr>
        <w:t xml:space="preserve">. Esta </w:t>
      </w:r>
      <w:r w:rsidR="00FD0735">
        <w:rPr>
          <w:rFonts w:ascii="Arial" w:hAnsi="Arial" w:cs="Arial"/>
          <w:bCs/>
          <w:snapToGrid w:val="0"/>
          <w:sz w:val="24"/>
          <w:szCs w:val="27"/>
        </w:rPr>
        <w:t>Segunda</w:t>
      </w:r>
      <w:r w:rsidR="008C764E" w:rsidRPr="009C0C09">
        <w:rPr>
          <w:rFonts w:ascii="Arial" w:hAnsi="Arial" w:cs="Arial"/>
          <w:bCs/>
          <w:snapToGrid w:val="0"/>
          <w:sz w:val="24"/>
          <w:szCs w:val="27"/>
        </w:rPr>
        <w:t xml:space="preserve"> Sala Unitaria de Primera Instancia del Tribunal de Justicia Administrativa para el Estado de Oaxaca, advierte que no se configura alguna causal de improcedencia o </w:t>
      </w:r>
      <w:proofErr w:type="gramStart"/>
      <w:r w:rsidR="008C764E" w:rsidRPr="009C0C09">
        <w:rPr>
          <w:rFonts w:ascii="Arial" w:hAnsi="Arial" w:cs="Arial"/>
          <w:bCs/>
          <w:snapToGrid w:val="0"/>
          <w:sz w:val="24"/>
          <w:szCs w:val="27"/>
        </w:rPr>
        <w:t>sobreseimiento</w:t>
      </w:r>
      <w:proofErr w:type="gramEnd"/>
      <w:r w:rsidR="008C764E" w:rsidRPr="009C0C09">
        <w:rPr>
          <w:rFonts w:ascii="Arial" w:hAnsi="Arial" w:cs="Arial"/>
          <w:bCs/>
          <w:snapToGrid w:val="0"/>
          <w:sz w:val="24"/>
          <w:szCs w:val="27"/>
        </w:rPr>
        <w:t xml:space="preserve"> por lo tanto,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40065995" w14:textId="6DDF0DC7" w:rsidR="003E0CBC" w:rsidRPr="009C0C09" w:rsidRDefault="0016023B" w:rsidP="003E0CBC">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3E0CBC" w:rsidRPr="009C0C09">
        <w:rPr>
          <w:rFonts w:ascii="Arial" w:hAnsi="Arial" w:cs="Arial"/>
          <w:bCs/>
          <w:snapToGrid w:val="0"/>
          <w:sz w:val="24"/>
          <w:szCs w:val="27"/>
        </w:rPr>
        <w:t xml:space="preserve">Ahora bien, esta </w:t>
      </w:r>
      <w:r w:rsidR="003E0CBC">
        <w:rPr>
          <w:rFonts w:ascii="Arial" w:hAnsi="Arial" w:cs="Arial"/>
          <w:bCs/>
          <w:snapToGrid w:val="0"/>
          <w:sz w:val="24"/>
          <w:szCs w:val="27"/>
        </w:rPr>
        <w:t>Segunda</w:t>
      </w:r>
      <w:r w:rsidR="003E0CBC" w:rsidRPr="009C0C09">
        <w:rPr>
          <w:rFonts w:ascii="Arial" w:hAnsi="Arial" w:cs="Arial"/>
          <w:bCs/>
          <w:snapToGrid w:val="0"/>
          <w:sz w:val="24"/>
          <w:szCs w:val="27"/>
        </w:rPr>
        <w:t xml:space="preserve"> Sala Unitaria de Primera Instancia del Tribunal de Justicia Administrativa para el Estado de Oaxaca, procede al estudio de los conceptos de impugnación hechos valer por la parte actora y al análisis del acta de infracción impugnada número </w:t>
      </w:r>
      <w:r w:rsidR="0002230F">
        <w:rPr>
          <w:rFonts w:ascii="Arial" w:hAnsi="Arial" w:cs="Arial"/>
          <w:bCs/>
          <w:spacing w:val="-3"/>
          <w:sz w:val="24"/>
          <w:szCs w:val="27"/>
          <w:lang w:val="es-ES_tradnl"/>
        </w:rPr>
        <w:t>*****</w:t>
      </w:r>
      <w:r w:rsidR="00EB0371">
        <w:rPr>
          <w:rFonts w:ascii="Arial" w:hAnsi="Arial" w:cs="Arial"/>
          <w:bCs/>
          <w:spacing w:val="-3"/>
          <w:sz w:val="24"/>
          <w:szCs w:val="27"/>
          <w:lang w:val="es-ES_tradnl"/>
        </w:rPr>
        <w:t xml:space="preserve"> (sic) </w:t>
      </w:r>
      <w:r w:rsidR="00D82372">
        <w:rPr>
          <w:rFonts w:ascii="Arial" w:hAnsi="Arial" w:cs="Arial"/>
          <w:bCs/>
          <w:spacing w:val="-3"/>
          <w:sz w:val="24"/>
          <w:szCs w:val="27"/>
          <w:lang w:val="es-ES_tradnl"/>
        </w:rPr>
        <w:t xml:space="preserve">de fecha </w:t>
      </w:r>
      <w:r w:rsidR="0002230F">
        <w:rPr>
          <w:rFonts w:ascii="Arial" w:hAnsi="Arial" w:cs="Arial"/>
          <w:bCs/>
          <w:spacing w:val="-3"/>
          <w:sz w:val="24"/>
          <w:szCs w:val="27"/>
          <w:lang w:val="es-ES_tradnl"/>
        </w:rPr>
        <w:t>*****</w:t>
      </w:r>
      <w:r w:rsidR="00D82372">
        <w:rPr>
          <w:rFonts w:ascii="Arial" w:hAnsi="Arial" w:cs="Arial"/>
          <w:bCs/>
          <w:spacing w:val="-3"/>
          <w:sz w:val="24"/>
          <w:szCs w:val="27"/>
          <w:lang w:val="es-ES_tradnl"/>
        </w:rPr>
        <w:t xml:space="preserve"> de </w:t>
      </w:r>
      <w:r w:rsidR="0002230F">
        <w:rPr>
          <w:rFonts w:ascii="Arial" w:hAnsi="Arial" w:cs="Arial"/>
          <w:bCs/>
          <w:spacing w:val="-3"/>
          <w:sz w:val="24"/>
          <w:szCs w:val="27"/>
          <w:lang w:val="es-ES_tradnl"/>
        </w:rPr>
        <w:t>*****</w:t>
      </w:r>
      <w:r w:rsidR="00D82372">
        <w:rPr>
          <w:rFonts w:ascii="Arial" w:hAnsi="Arial" w:cs="Arial"/>
          <w:bCs/>
          <w:spacing w:val="-3"/>
          <w:sz w:val="24"/>
          <w:szCs w:val="27"/>
          <w:lang w:val="es-ES_tradnl"/>
        </w:rPr>
        <w:t xml:space="preserve"> de dos mil </w:t>
      </w:r>
      <w:r w:rsidR="0002230F">
        <w:rPr>
          <w:rFonts w:ascii="Arial" w:hAnsi="Arial" w:cs="Arial"/>
          <w:bCs/>
          <w:spacing w:val="-3"/>
          <w:sz w:val="24"/>
          <w:szCs w:val="27"/>
          <w:lang w:val="es-ES_tradnl"/>
        </w:rPr>
        <w:t>*****</w:t>
      </w:r>
      <w:r w:rsidR="003C27E4">
        <w:rPr>
          <w:rFonts w:ascii="Arial" w:hAnsi="Arial" w:cs="Arial"/>
          <w:bCs/>
          <w:snapToGrid w:val="0"/>
          <w:sz w:val="24"/>
          <w:szCs w:val="27"/>
        </w:rPr>
        <w:t>, visible en la foja 10</w:t>
      </w:r>
      <w:r w:rsidR="003E0CBC" w:rsidRPr="009C0C09">
        <w:rPr>
          <w:rFonts w:ascii="Arial" w:hAnsi="Arial" w:cs="Arial"/>
          <w:bCs/>
          <w:snapToGrid w:val="0"/>
          <w:sz w:val="24"/>
          <w:szCs w:val="27"/>
        </w:rPr>
        <w:t xml:space="preserve"> del sumario, a la cual se le confiere pleno valor probatorio al haber sido expedida por funcionario público en ejercicio de sus funciones, en té</w:t>
      </w:r>
      <w:r w:rsidR="003E0CBC">
        <w:rPr>
          <w:rFonts w:ascii="Arial" w:hAnsi="Arial" w:cs="Arial"/>
          <w:bCs/>
          <w:snapToGrid w:val="0"/>
          <w:sz w:val="24"/>
          <w:szCs w:val="27"/>
        </w:rPr>
        <w:t>rm</w:t>
      </w:r>
      <w:r w:rsidR="003C27E4">
        <w:rPr>
          <w:rFonts w:ascii="Arial" w:hAnsi="Arial" w:cs="Arial"/>
          <w:bCs/>
          <w:snapToGrid w:val="0"/>
          <w:sz w:val="24"/>
          <w:szCs w:val="27"/>
        </w:rPr>
        <w:t>inos del artículo 173 fracción II</w:t>
      </w:r>
      <w:r w:rsidR="003E0CBC" w:rsidRPr="009C0C09">
        <w:rPr>
          <w:rFonts w:ascii="Arial" w:hAnsi="Arial" w:cs="Arial"/>
          <w:bCs/>
          <w:snapToGrid w:val="0"/>
          <w:sz w:val="24"/>
          <w:szCs w:val="27"/>
        </w:rPr>
        <w:t>, de l</w:t>
      </w:r>
      <w:r w:rsidR="003E0CBC">
        <w:rPr>
          <w:rFonts w:ascii="Arial" w:hAnsi="Arial" w:cs="Arial"/>
          <w:bCs/>
          <w:snapToGrid w:val="0"/>
          <w:sz w:val="24"/>
          <w:szCs w:val="27"/>
        </w:rPr>
        <w:t>a Ley que r</w:t>
      </w:r>
      <w:r w:rsidR="003C27E4">
        <w:rPr>
          <w:rFonts w:ascii="Arial" w:hAnsi="Arial" w:cs="Arial"/>
          <w:bCs/>
          <w:snapToGrid w:val="0"/>
          <w:sz w:val="24"/>
          <w:szCs w:val="27"/>
        </w:rPr>
        <w:t>ige a este Tribunal y cuya existencia no fue desvirtuada por la contraparte en el presente juicio.</w:t>
      </w:r>
      <w:r w:rsidR="003E0CBC" w:rsidRPr="009C0C09">
        <w:rPr>
          <w:rFonts w:ascii="Arial" w:hAnsi="Arial" w:cs="Arial"/>
          <w:bCs/>
          <w:snapToGrid w:val="0"/>
          <w:sz w:val="24"/>
          <w:szCs w:val="27"/>
        </w:rPr>
        <w:t xml:space="preserve"> </w:t>
      </w:r>
    </w:p>
    <w:p w14:paraId="4E4819C8" w14:textId="4D8AB652" w:rsidR="00A40006" w:rsidRPr="00A40006" w:rsidRDefault="00B12B90" w:rsidP="00A40006">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 tenor,</w:t>
      </w:r>
      <w:r w:rsidR="00A40006" w:rsidRPr="00A40006">
        <w:rPr>
          <w:rFonts w:ascii="Arial" w:hAnsi="Arial" w:cs="Arial"/>
          <w:bCs/>
          <w:snapToGrid w:val="0"/>
          <w:sz w:val="24"/>
          <w:szCs w:val="27"/>
        </w:rPr>
        <w:t xml:space="preserve"> </w:t>
      </w:r>
      <w:r>
        <w:rPr>
          <w:rFonts w:ascii="Arial" w:hAnsi="Arial" w:cs="Arial"/>
          <w:bCs/>
          <w:snapToGrid w:val="0"/>
          <w:sz w:val="24"/>
          <w:szCs w:val="27"/>
        </w:rPr>
        <w:t>en términos del artículo 17</w:t>
      </w:r>
      <w:r w:rsidR="00A40006" w:rsidRPr="00A40006">
        <w:rPr>
          <w:rFonts w:ascii="Arial" w:hAnsi="Arial" w:cs="Arial"/>
          <w:bCs/>
          <w:snapToGrid w:val="0"/>
          <w:sz w:val="24"/>
          <w:szCs w:val="27"/>
        </w:rPr>
        <w:t xml:space="preserve">6 de la Ley que rige a este Tribunal, se advierte que el acta de infracción controvertida no satisface el requisito de fundamentación y motivación exigible </w:t>
      </w:r>
      <w:r>
        <w:rPr>
          <w:rFonts w:ascii="Arial" w:hAnsi="Arial" w:cs="Arial"/>
          <w:bCs/>
          <w:snapToGrid w:val="0"/>
          <w:sz w:val="24"/>
          <w:szCs w:val="27"/>
        </w:rPr>
        <w:t xml:space="preserve">en la fracción V, del artículo </w:t>
      </w:r>
      <w:r w:rsidR="00A40006" w:rsidRPr="00A40006">
        <w:rPr>
          <w:rFonts w:ascii="Arial" w:hAnsi="Arial" w:cs="Arial"/>
          <w:bCs/>
          <w:snapToGrid w:val="0"/>
          <w:sz w:val="24"/>
          <w:szCs w:val="27"/>
        </w:rPr>
        <w:t>7 de la Ley de Justicia Administrativa para el Estado de Oaxaca, toda vez, que en dicho acto se señala que es levantada con fundamento en la Ley de Tránsito Reformada para el Estado de Oaxaca y su respectivo Reglamento, sin embargo, dicha ley fue abrogada mediante decreto 1801, publicada en el Periódico Oficial del Estado de Oaxaca, el día once de abril de dos mil dieciséis (11/04/2016), mismo decreto que creó la Ley de Tránsito, Movilidad y Vialidad del Estado de Oaxaca, y en su transitori</w:t>
      </w:r>
      <w:r w:rsidR="00A40006">
        <w:rPr>
          <w:rFonts w:ascii="Arial" w:hAnsi="Arial" w:cs="Arial"/>
          <w:bCs/>
          <w:snapToGrid w:val="0"/>
          <w:sz w:val="24"/>
          <w:szCs w:val="27"/>
        </w:rPr>
        <w:t>o SEGUNDO indica lo siguiente:</w:t>
      </w:r>
    </w:p>
    <w:p w14:paraId="3F11E64C" w14:textId="42CA71CF" w:rsidR="00A40006" w:rsidRPr="00B12B90" w:rsidRDefault="002566BB" w:rsidP="002566BB">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B12B90">
        <w:rPr>
          <w:rFonts w:ascii="Arial" w:hAnsi="Arial" w:cs="Arial"/>
          <w:b/>
          <w:bCs/>
          <w:i/>
          <w:snapToGrid w:val="0"/>
          <w:sz w:val="24"/>
          <w:szCs w:val="27"/>
        </w:rPr>
        <w:t>SEGUNDO.</w:t>
      </w:r>
      <w:r w:rsidR="00A40006" w:rsidRPr="00B12B90">
        <w:rPr>
          <w:rFonts w:ascii="Arial" w:hAnsi="Arial" w:cs="Arial"/>
          <w:bCs/>
          <w:i/>
          <w:snapToGrid w:val="0"/>
          <w:sz w:val="24"/>
          <w:szCs w:val="27"/>
        </w:rPr>
        <w:t xml:space="preserve"> Se abroga la Ley de Tránsito Reformada, publicada en el Periódico Oficial Órgano del Gobierno Constitucional del Estado Libre y Soberano de Oaxaca, con fecha 5 de julio de 1969.</w:t>
      </w:r>
      <w:r>
        <w:rPr>
          <w:rFonts w:ascii="Arial" w:hAnsi="Arial" w:cs="Arial"/>
          <w:bCs/>
          <w:i/>
          <w:snapToGrid w:val="0"/>
          <w:sz w:val="24"/>
          <w:szCs w:val="27"/>
        </w:rPr>
        <w:t>”</w:t>
      </w:r>
    </w:p>
    <w:p w14:paraId="2CBCC6E1" w14:textId="66762E26" w:rsidR="00A40006" w:rsidRPr="00A40006" w:rsidRDefault="00A40006" w:rsidP="00A4000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Derivado de lo anterior, resulta jurídicamente erróneo que la autoridad demandada fundamente su actuar en una Ley ya abrogada hace </w:t>
      </w:r>
      <w:r w:rsidR="0071481E">
        <w:rPr>
          <w:rFonts w:ascii="Arial" w:hAnsi="Arial" w:cs="Arial"/>
          <w:bCs/>
          <w:snapToGrid w:val="0"/>
          <w:sz w:val="24"/>
          <w:szCs w:val="27"/>
        </w:rPr>
        <w:t>cuatro</w:t>
      </w:r>
      <w:r w:rsidRPr="00A40006">
        <w:rPr>
          <w:rFonts w:ascii="Arial" w:hAnsi="Arial" w:cs="Arial"/>
          <w:bCs/>
          <w:snapToGrid w:val="0"/>
          <w:sz w:val="24"/>
          <w:szCs w:val="27"/>
        </w:rPr>
        <w:t xml:space="preserve"> años a la fecha de emisión del acto, siendo este actuar contrario al principio de la no </w:t>
      </w:r>
      <w:r w:rsidRPr="00A40006">
        <w:rPr>
          <w:rFonts w:ascii="Arial" w:hAnsi="Arial" w:cs="Arial"/>
          <w:bCs/>
          <w:snapToGrid w:val="0"/>
          <w:sz w:val="24"/>
          <w:szCs w:val="27"/>
        </w:rPr>
        <w:lastRenderedPageBreak/>
        <w:t>irretroactividad contemplado en el artículo 14 primer párrafo de la Constitución Política de los Estados Unidos Mexicanos que a la letra dice:</w:t>
      </w:r>
    </w:p>
    <w:p w14:paraId="61267456" w14:textId="1300D25D" w:rsidR="00A40006" w:rsidRPr="00035E01" w:rsidRDefault="00074AEC" w:rsidP="00074AEC">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035E01">
        <w:rPr>
          <w:rFonts w:ascii="Arial" w:hAnsi="Arial" w:cs="Arial"/>
          <w:b/>
          <w:bCs/>
          <w:i/>
          <w:snapToGrid w:val="0"/>
          <w:sz w:val="24"/>
          <w:szCs w:val="27"/>
        </w:rPr>
        <w:t>Artículo 14.</w:t>
      </w:r>
      <w:r w:rsidR="00A40006" w:rsidRPr="00035E01">
        <w:rPr>
          <w:rFonts w:ascii="Arial" w:hAnsi="Arial" w:cs="Arial"/>
          <w:bCs/>
          <w:i/>
          <w:snapToGrid w:val="0"/>
          <w:sz w:val="24"/>
          <w:szCs w:val="27"/>
        </w:rPr>
        <w:t xml:space="preserve"> A ninguna ley se dará efecto retroactivo en perjuicio de persona alguna.</w:t>
      </w:r>
      <w:r>
        <w:rPr>
          <w:rFonts w:ascii="Arial" w:hAnsi="Arial" w:cs="Arial"/>
          <w:bCs/>
          <w:i/>
          <w:snapToGrid w:val="0"/>
          <w:sz w:val="24"/>
          <w:szCs w:val="27"/>
        </w:rPr>
        <w:t>”</w:t>
      </w:r>
    </w:p>
    <w:p w14:paraId="1B49F5D7" w14:textId="4467116F" w:rsidR="00A40006" w:rsidRPr="00A40006" w:rsidRDefault="00A40006" w:rsidP="00A4000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En abundancia a lo anterior, el acta carece de validez alguna, toda vez que existe una contradicción de ley normativa aplicable, puesto que cita ambos ordenamientos, sin que pase desapercibido que es un formato pre-impreso que utiliza la Secretaría de Seguridad Pública de Oaxaca, y por ende, toda el acta contiene el vicio detectado por esta autoridad jurisdiccional, </w:t>
      </w:r>
      <w:r w:rsidR="00620938">
        <w:rPr>
          <w:rFonts w:ascii="Arial" w:hAnsi="Arial" w:cs="Arial"/>
          <w:bCs/>
          <w:snapToGrid w:val="0"/>
          <w:sz w:val="24"/>
          <w:szCs w:val="27"/>
        </w:rPr>
        <w:t>advirtiéndose que</w:t>
      </w:r>
      <w:r w:rsidRPr="00A40006">
        <w:rPr>
          <w:rFonts w:ascii="Arial" w:hAnsi="Arial" w:cs="Arial"/>
          <w:bCs/>
          <w:snapToGrid w:val="0"/>
          <w:sz w:val="24"/>
          <w:szCs w:val="27"/>
        </w:rPr>
        <w:t xml:space="preserve"> esta carece de una debida motivación ya que no hace una descripción clara, precisa y completa de la conducta del accionante para encuadrarlo en la hipótesis legal infringida, ya que no señala las razones particulares, causas inmediatas y circunstancias especiales de qué forma arribó a la determinación de que el administrado se colocó en el hecho generador de la infracción, para resultar ser sujeto obligado a tal falta administrativa tipificada dentro del referido reglamento, máxime que dicho policía vial no señala en el acta de infracción de referencia las circunstancias de modo, tiempo y lugar en que acontecieron los hechos, ya que se limitó a invocar el fundamento de su actuar, más no hizo referencia de forma fehaciente en la motivación como ocurrieron los hechos que lo llevaron a esa conclusión, provocando la ilegalidad del acta de infracción, dejando al administrado en estado de indefensión al incumplir la obligación de fundar y mot</w:t>
      </w:r>
      <w:r w:rsidR="00620938">
        <w:rPr>
          <w:rFonts w:ascii="Arial" w:hAnsi="Arial" w:cs="Arial"/>
          <w:bCs/>
          <w:snapToGrid w:val="0"/>
          <w:sz w:val="24"/>
          <w:szCs w:val="27"/>
        </w:rPr>
        <w:t xml:space="preserve">ivar que le impone el artículo </w:t>
      </w:r>
      <w:r w:rsidRPr="00A40006">
        <w:rPr>
          <w:rFonts w:ascii="Arial" w:hAnsi="Arial" w:cs="Arial"/>
          <w:bCs/>
          <w:snapToGrid w:val="0"/>
          <w:sz w:val="24"/>
          <w:szCs w:val="27"/>
        </w:rPr>
        <w:t>7, fracción V, de la Ley de Justicia Administr</w:t>
      </w:r>
      <w:r>
        <w:rPr>
          <w:rFonts w:ascii="Arial" w:hAnsi="Arial" w:cs="Arial"/>
          <w:bCs/>
          <w:snapToGrid w:val="0"/>
          <w:sz w:val="24"/>
          <w:szCs w:val="27"/>
        </w:rPr>
        <w:t>ativa para el Estado de Oaxaca.</w:t>
      </w:r>
    </w:p>
    <w:p w14:paraId="7F68F079" w14:textId="3C8FDEF2" w:rsidR="00A40006" w:rsidRPr="00A40006" w:rsidRDefault="00A40006" w:rsidP="00A4000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Tan es así que de la multicitada acta se advierte que la autoridad demandada en la parte relativa a </w:t>
      </w:r>
      <w:r w:rsidRPr="00D81DB4">
        <w:rPr>
          <w:rFonts w:ascii="Arial" w:hAnsi="Arial" w:cs="Arial"/>
          <w:b/>
          <w:bCs/>
          <w:snapToGrid w:val="0"/>
          <w:sz w:val="24"/>
          <w:szCs w:val="27"/>
        </w:rPr>
        <w:t>MOTIVO DE LA INFRACCIÓN:</w:t>
      </w:r>
      <w:r w:rsidRPr="00A40006">
        <w:rPr>
          <w:rFonts w:ascii="Arial" w:hAnsi="Arial" w:cs="Arial"/>
          <w:bCs/>
          <w:snapToGrid w:val="0"/>
          <w:sz w:val="24"/>
          <w:szCs w:val="27"/>
        </w:rPr>
        <w:t xml:space="preserve"> </w:t>
      </w:r>
      <w:r w:rsidRPr="00D81DB4">
        <w:rPr>
          <w:rFonts w:ascii="Arial" w:hAnsi="Arial" w:cs="Arial"/>
          <w:bCs/>
          <w:i/>
          <w:snapToGrid w:val="0"/>
          <w:sz w:val="24"/>
          <w:szCs w:val="27"/>
        </w:rPr>
        <w:t>“no señala ninguno”</w:t>
      </w:r>
      <w:r w:rsidRPr="00A40006">
        <w:rPr>
          <w:rFonts w:ascii="Arial" w:hAnsi="Arial" w:cs="Arial"/>
          <w:bCs/>
          <w:snapToGrid w:val="0"/>
          <w:sz w:val="24"/>
          <w:szCs w:val="27"/>
        </w:rPr>
        <w:t xml:space="preserve">, </w:t>
      </w:r>
      <w:r w:rsidRPr="00D81DB4">
        <w:rPr>
          <w:rFonts w:ascii="Arial" w:hAnsi="Arial" w:cs="Arial"/>
          <w:b/>
          <w:bCs/>
          <w:snapToGrid w:val="0"/>
          <w:sz w:val="24"/>
          <w:szCs w:val="27"/>
        </w:rPr>
        <w:t>MOTIVO DE LA DETENCIÓN DEL VEHÍCULO:</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4840CF">
        <w:rPr>
          <w:rFonts w:ascii="Arial" w:hAnsi="Arial" w:cs="Arial"/>
          <w:bCs/>
          <w:i/>
          <w:snapToGrid w:val="0"/>
          <w:sz w:val="24"/>
          <w:szCs w:val="27"/>
        </w:rPr>
        <w:t>I.- ESTADO DE EMBRI</w:t>
      </w:r>
      <w:r w:rsidR="003C27E4">
        <w:rPr>
          <w:rFonts w:ascii="Arial" w:hAnsi="Arial" w:cs="Arial"/>
          <w:bCs/>
          <w:i/>
          <w:snapToGrid w:val="0"/>
          <w:sz w:val="24"/>
          <w:szCs w:val="27"/>
        </w:rPr>
        <w:t>AGUEZ, INFLUENCIA DE DROGAS ENERVANTES O MALAS CONDICIONES FÍSICAS O MENTALES</w:t>
      </w:r>
      <w:r w:rsidRPr="00D81DB4">
        <w:rPr>
          <w:rFonts w:ascii="Arial" w:hAnsi="Arial" w:cs="Arial"/>
          <w:bCs/>
          <w:i/>
          <w:snapToGrid w:val="0"/>
          <w:sz w:val="24"/>
          <w:szCs w:val="27"/>
        </w:rPr>
        <w:t>”</w:t>
      </w:r>
      <w:r w:rsidRPr="00A40006">
        <w:rPr>
          <w:rFonts w:ascii="Arial" w:hAnsi="Arial" w:cs="Arial"/>
          <w:bCs/>
          <w:snapToGrid w:val="0"/>
          <w:sz w:val="24"/>
          <w:szCs w:val="27"/>
        </w:rPr>
        <w:t xml:space="preserve"> y en </w:t>
      </w:r>
      <w:r w:rsidRPr="00D81DB4">
        <w:rPr>
          <w:rFonts w:ascii="Arial" w:hAnsi="Arial" w:cs="Arial"/>
          <w:b/>
          <w:bCs/>
          <w:snapToGrid w:val="0"/>
          <w:sz w:val="24"/>
          <w:szCs w:val="27"/>
        </w:rPr>
        <w:t>OBSERVACIONES:</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3C27E4">
        <w:rPr>
          <w:rFonts w:ascii="Arial" w:hAnsi="Arial" w:cs="Arial"/>
          <w:bCs/>
          <w:i/>
          <w:snapToGrid w:val="0"/>
          <w:sz w:val="24"/>
          <w:szCs w:val="27"/>
        </w:rPr>
        <w:t>OPERATIVO ALCOHOLIMETRO ARTÍCULO 30, 53, 81, 158 GRUPO ESPECIAL EBRIEDAD FRACCIÓN I DEL REGLAMENTO DE TRÁNSITO DEL ESTADO VIGENTE</w:t>
      </w:r>
      <w:r w:rsidRPr="00D81DB4">
        <w:rPr>
          <w:rFonts w:ascii="Arial" w:hAnsi="Arial" w:cs="Arial"/>
          <w:bCs/>
          <w:i/>
          <w:snapToGrid w:val="0"/>
          <w:sz w:val="24"/>
          <w:szCs w:val="27"/>
        </w:rPr>
        <w:t>”</w:t>
      </w:r>
      <w:r w:rsidRPr="00A40006">
        <w:rPr>
          <w:rFonts w:ascii="Arial" w:hAnsi="Arial" w:cs="Arial"/>
          <w:bCs/>
          <w:snapToGrid w:val="0"/>
          <w:sz w:val="24"/>
          <w:szCs w:val="27"/>
        </w:rPr>
        <w:t>, lo que no puede considerarse como la motivación del acto reclamado, toda vez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vulnerando los derechos del hoy actor,</w:t>
      </w:r>
      <w:r w:rsidR="007212E3">
        <w:rPr>
          <w:rFonts w:ascii="Arial" w:hAnsi="Arial" w:cs="Arial"/>
          <w:bCs/>
          <w:snapToGrid w:val="0"/>
          <w:sz w:val="24"/>
          <w:szCs w:val="27"/>
        </w:rPr>
        <w:t xml:space="preserve"> ahora, si dicho acto lo advirtió a través de un operativo, se tenía que haber anexado o bien hecho referencia a la orden por el cual se iniciaba dicho operativo, así como del parte informati</w:t>
      </w:r>
      <w:r w:rsidR="009077DC">
        <w:rPr>
          <w:rFonts w:ascii="Arial" w:hAnsi="Arial" w:cs="Arial"/>
          <w:bCs/>
          <w:snapToGrid w:val="0"/>
          <w:sz w:val="24"/>
          <w:szCs w:val="27"/>
        </w:rPr>
        <w:t>vo debidamente fundado y motivado,</w:t>
      </w:r>
      <w:r w:rsidRPr="00A40006">
        <w:rPr>
          <w:rFonts w:ascii="Arial" w:hAnsi="Arial" w:cs="Arial"/>
          <w:bCs/>
          <w:snapToGrid w:val="0"/>
          <w:sz w:val="24"/>
          <w:szCs w:val="27"/>
        </w:rPr>
        <w:t xml:space="preserve"> por lo que en ese tenor, dicho </w:t>
      </w:r>
      <w:r w:rsidRPr="00A40006">
        <w:rPr>
          <w:rFonts w:ascii="Arial" w:hAnsi="Arial" w:cs="Arial"/>
          <w:bCs/>
          <w:snapToGrid w:val="0"/>
          <w:sz w:val="24"/>
          <w:szCs w:val="27"/>
        </w:rPr>
        <w:lastRenderedPageBreak/>
        <w:t>acto de autoridad carece de motivación y fundamentación,</w:t>
      </w:r>
      <w:r w:rsidR="009077DC">
        <w:rPr>
          <w:rFonts w:ascii="Arial" w:hAnsi="Arial" w:cs="Arial"/>
          <w:bCs/>
          <w:snapToGrid w:val="0"/>
          <w:sz w:val="24"/>
          <w:szCs w:val="27"/>
        </w:rPr>
        <w:t xml:space="preserve"> máxime que la autoridad se le tuvo contestando la demanda en sentido afirmativo,</w:t>
      </w:r>
      <w:r w:rsidRPr="00A40006">
        <w:rPr>
          <w:rFonts w:ascii="Arial" w:hAnsi="Arial" w:cs="Arial"/>
          <w:bCs/>
          <w:snapToGrid w:val="0"/>
          <w:sz w:val="24"/>
          <w:szCs w:val="27"/>
        </w:rPr>
        <w:t xml:space="preserve"> sirve de apoyo sustancial la tesis número I. 4o. P. 56 P con número de registro 209986, por los Tribunales Colegiados de Circuito en el Semanario Judicial de la Federación Tomo XIV, Noviembre de 1994, página 450, de la Octava Época, materia penal, bajo el rubro y texto siguiente: </w:t>
      </w:r>
    </w:p>
    <w:p w14:paraId="77DE5B13" w14:textId="346F0C94" w:rsidR="00A40006" w:rsidRPr="009077DC" w:rsidRDefault="009077DC" w:rsidP="009077DC">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9077DC">
        <w:rPr>
          <w:rFonts w:ascii="Arial" w:hAnsi="Arial" w:cs="Arial"/>
          <w:b/>
          <w:bCs/>
          <w:i/>
          <w:snapToGrid w:val="0"/>
          <w:sz w:val="24"/>
          <w:szCs w:val="27"/>
        </w:rPr>
        <w:t>FUNDAMENTACION Y MOTIVACION, CONCEPTO DE.</w:t>
      </w:r>
      <w:r w:rsidR="00A40006" w:rsidRPr="009077DC">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2858D154" w14:textId="4C4724BF" w:rsidR="00A40006" w:rsidRPr="00A40006" w:rsidRDefault="00A40006" w:rsidP="00A4000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Luego entonces, al no contener una correcta fundamentación y motivación, dicho acto administrativo carece de validez alguna, ya que contraviene a los requisitos fundamentales de todo acto administrat</w:t>
      </w:r>
      <w:r w:rsidR="008D1A6D">
        <w:rPr>
          <w:rFonts w:ascii="Arial" w:hAnsi="Arial" w:cs="Arial"/>
          <w:bCs/>
          <w:snapToGrid w:val="0"/>
          <w:sz w:val="24"/>
          <w:szCs w:val="27"/>
        </w:rPr>
        <w:t xml:space="preserve">ivo contemplado en el artículo </w:t>
      </w:r>
      <w:r w:rsidRPr="00A40006">
        <w:rPr>
          <w:rFonts w:ascii="Arial" w:hAnsi="Arial" w:cs="Arial"/>
          <w:bCs/>
          <w:snapToGrid w:val="0"/>
          <w:sz w:val="24"/>
          <w:szCs w:val="27"/>
        </w:rPr>
        <w:t>7 fracción V de la Ley de Justicia Administrativa para el Estado de Oaxaca, no pasa desapercibido que el acta de infracción al ser elaborada dentro de un formato preimpreso, el mismo aún contiene fundamentos no vigentes, ya que el acta en su análisis es realizado de forma holística con todos los elementos contenidos en tal acta. Sirva al caso la jurisprudencia número VI. 2. J. 7248, por el Segundo Tribunal Colegiado del Sexto Circuito, en la Gaceta del Semanario Judicial de la Federación, pág. 43, Tomo 64, abril de 1993, Octava Época, materia administrativa, ba</w:t>
      </w:r>
      <w:r>
        <w:rPr>
          <w:rFonts w:ascii="Arial" w:hAnsi="Arial" w:cs="Arial"/>
          <w:bCs/>
          <w:snapToGrid w:val="0"/>
          <w:sz w:val="24"/>
          <w:szCs w:val="27"/>
        </w:rPr>
        <w:t>jo el rubro y texto siguiente:</w:t>
      </w:r>
    </w:p>
    <w:p w14:paraId="72634CDE" w14:textId="330B36EA" w:rsidR="00A40006" w:rsidRPr="00CF61E3" w:rsidRDefault="00CF61E3" w:rsidP="00CF61E3">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CF61E3">
        <w:rPr>
          <w:rFonts w:ascii="Arial" w:hAnsi="Arial" w:cs="Arial"/>
          <w:b/>
          <w:bCs/>
          <w:i/>
          <w:snapToGrid w:val="0"/>
          <w:sz w:val="24"/>
          <w:szCs w:val="27"/>
        </w:rPr>
        <w:t>TRANSITO, MULTAS POR VIOLACIÓN AL REGLAMENTO DE.</w:t>
      </w:r>
      <w:r w:rsidR="00A40006" w:rsidRPr="00CF61E3">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Pr>
          <w:rFonts w:ascii="Arial" w:hAnsi="Arial" w:cs="Arial"/>
          <w:bCs/>
          <w:i/>
          <w:snapToGrid w:val="0"/>
          <w:sz w:val="24"/>
          <w:szCs w:val="27"/>
        </w:rPr>
        <w:t>”</w:t>
      </w:r>
    </w:p>
    <w:p w14:paraId="6688DA2E" w14:textId="203452F7" w:rsidR="00A40006" w:rsidRPr="00A40006" w:rsidRDefault="00A40006" w:rsidP="00A4000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En cuanto a las pruebas </w:t>
      </w:r>
      <w:proofErr w:type="spellStart"/>
      <w:r w:rsidRPr="00A40006">
        <w:rPr>
          <w:rFonts w:ascii="Arial" w:hAnsi="Arial" w:cs="Arial"/>
          <w:bCs/>
          <w:snapToGrid w:val="0"/>
          <w:sz w:val="24"/>
          <w:szCs w:val="27"/>
        </w:rPr>
        <w:t>presuncionales</w:t>
      </w:r>
      <w:proofErr w:type="spellEnd"/>
      <w:r w:rsidRPr="00A40006">
        <w:rPr>
          <w:rFonts w:ascii="Arial" w:hAnsi="Arial" w:cs="Arial"/>
          <w:bCs/>
          <w:snapToGrid w:val="0"/>
          <w:sz w:val="24"/>
          <w:szCs w:val="27"/>
        </w:rPr>
        <w:t xml:space="preserve"> legal y humana, y la instrumental de actuaciones, esta Sala estima que es innecesario su estudio ya que existen elementos de pruebas directos dentro del sumario que en el caso es, el acta de </w:t>
      </w:r>
      <w:r w:rsidR="00EB75F1">
        <w:rPr>
          <w:rFonts w:ascii="Arial" w:hAnsi="Arial" w:cs="Arial"/>
          <w:bCs/>
          <w:snapToGrid w:val="0"/>
          <w:sz w:val="24"/>
          <w:szCs w:val="27"/>
        </w:rPr>
        <w:t>infracción visible en la foja 10</w:t>
      </w:r>
      <w:r w:rsidRPr="00A40006">
        <w:rPr>
          <w:rFonts w:ascii="Arial" w:hAnsi="Arial" w:cs="Arial"/>
          <w:bCs/>
          <w:snapToGrid w:val="0"/>
          <w:sz w:val="24"/>
          <w:szCs w:val="27"/>
        </w:rPr>
        <w:t xml:space="preserve"> del sumario, por lo que, al haber arribado en líneas anteriores al conocimiento cierto de la ilegalidad del acto impugnado, la </w:t>
      </w:r>
      <w:r w:rsidRPr="00A40006">
        <w:rPr>
          <w:rFonts w:ascii="Arial" w:hAnsi="Arial" w:cs="Arial"/>
          <w:bCs/>
          <w:snapToGrid w:val="0"/>
          <w:sz w:val="24"/>
          <w:szCs w:val="27"/>
        </w:rPr>
        <w:lastRenderedPageBreak/>
        <w:t xml:space="preserve">determinación de no valorar las probanzas antes mencionadas no </w:t>
      </w:r>
      <w:proofErr w:type="gramStart"/>
      <w:r w:rsidRPr="00A40006">
        <w:rPr>
          <w:rFonts w:ascii="Arial" w:hAnsi="Arial" w:cs="Arial"/>
          <w:bCs/>
          <w:snapToGrid w:val="0"/>
          <w:sz w:val="24"/>
          <w:szCs w:val="27"/>
        </w:rPr>
        <w:t>le</w:t>
      </w:r>
      <w:proofErr w:type="gramEnd"/>
      <w:r w:rsidRPr="00A40006">
        <w:rPr>
          <w:rFonts w:ascii="Arial" w:hAnsi="Arial" w:cs="Arial"/>
          <w:bCs/>
          <w:snapToGrid w:val="0"/>
          <w:sz w:val="24"/>
          <w:szCs w:val="27"/>
        </w:rPr>
        <w:t xml:space="preserv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w:t>
      </w:r>
    </w:p>
    <w:p w14:paraId="2B270887" w14:textId="35315938" w:rsidR="00A40006" w:rsidRPr="00EB75F1" w:rsidRDefault="00EB75F1" w:rsidP="00EB75F1">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EB75F1">
        <w:rPr>
          <w:rFonts w:ascii="Arial" w:hAnsi="Arial" w:cs="Arial"/>
          <w:b/>
          <w:bCs/>
          <w:i/>
          <w:snapToGrid w:val="0"/>
          <w:sz w:val="24"/>
          <w:szCs w:val="27"/>
        </w:rPr>
        <w:t>PRUEBA PRESUNCIONAL LEGAL Y HUMANA, CASO EN QUE SU ESTUDIO RESULTA INNECESARIO.</w:t>
      </w:r>
      <w:r w:rsidR="00A40006" w:rsidRPr="00EB75F1">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r>
        <w:rPr>
          <w:rFonts w:ascii="Arial" w:hAnsi="Arial" w:cs="Arial"/>
          <w:bCs/>
          <w:i/>
          <w:snapToGrid w:val="0"/>
          <w:sz w:val="24"/>
          <w:szCs w:val="27"/>
        </w:rPr>
        <w:t>”</w:t>
      </w:r>
    </w:p>
    <w:p w14:paraId="44870843" w14:textId="40C74145" w:rsidR="00492932" w:rsidRDefault="00A40006" w:rsidP="00492932">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 xml:space="preserve">los conceptos de impugnación hechos valer por el actor, en términos del artículo 176 de la Ley de Justicia Administrativa para el Estado de Oaxaca, resultan </w:t>
      </w:r>
      <w:r w:rsidR="004C582E" w:rsidRPr="004C582E">
        <w:rPr>
          <w:rFonts w:ascii="Arial" w:hAnsi="Arial" w:cs="Arial"/>
          <w:b/>
          <w:bCs/>
          <w:snapToGrid w:val="0"/>
          <w:sz w:val="24"/>
          <w:szCs w:val="27"/>
        </w:rPr>
        <w:t>FUNDADOS</w:t>
      </w:r>
      <w:r w:rsidR="004C582E">
        <w:rPr>
          <w:rFonts w:ascii="Arial" w:hAnsi="Arial" w:cs="Arial"/>
          <w:bCs/>
          <w:snapToGrid w:val="0"/>
          <w:sz w:val="24"/>
          <w:szCs w:val="27"/>
        </w:rPr>
        <w:t xml:space="preserve">, en consecuencia,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02230F">
        <w:rPr>
          <w:rFonts w:ascii="Arial" w:hAnsi="Arial" w:cs="Arial"/>
          <w:bCs/>
          <w:spacing w:val="-3"/>
          <w:sz w:val="24"/>
          <w:szCs w:val="27"/>
          <w:lang w:val="es-ES_tradnl"/>
        </w:rPr>
        <w:t>*****</w:t>
      </w:r>
      <w:r w:rsidR="00D82372">
        <w:rPr>
          <w:rFonts w:ascii="Arial" w:hAnsi="Arial" w:cs="Arial"/>
          <w:bCs/>
          <w:spacing w:val="-3"/>
          <w:sz w:val="24"/>
          <w:szCs w:val="27"/>
          <w:lang w:val="es-ES_tradnl"/>
        </w:rPr>
        <w:t xml:space="preserve"> de fecha </w:t>
      </w:r>
      <w:r w:rsidR="0002230F">
        <w:rPr>
          <w:rFonts w:ascii="Arial" w:hAnsi="Arial" w:cs="Arial"/>
          <w:bCs/>
          <w:spacing w:val="-3"/>
          <w:sz w:val="24"/>
          <w:szCs w:val="27"/>
          <w:lang w:val="es-ES_tradnl"/>
        </w:rPr>
        <w:t>*****</w:t>
      </w:r>
      <w:r w:rsidR="00D82372">
        <w:rPr>
          <w:rFonts w:ascii="Arial" w:hAnsi="Arial" w:cs="Arial"/>
          <w:bCs/>
          <w:spacing w:val="-3"/>
          <w:sz w:val="24"/>
          <w:szCs w:val="27"/>
          <w:lang w:val="es-ES_tradnl"/>
        </w:rPr>
        <w:t xml:space="preserve"> de </w:t>
      </w:r>
      <w:r w:rsidR="0002230F">
        <w:rPr>
          <w:rFonts w:ascii="Arial" w:hAnsi="Arial" w:cs="Arial"/>
          <w:bCs/>
          <w:spacing w:val="-3"/>
          <w:sz w:val="24"/>
          <w:szCs w:val="27"/>
          <w:lang w:val="es-ES_tradnl"/>
        </w:rPr>
        <w:t>*****</w:t>
      </w:r>
      <w:r w:rsidR="00D82372">
        <w:rPr>
          <w:rFonts w:ascii="Arial" w:hAnsi="Arial" w:cs="Arial"/>
          <w:bCs/>
          <w:spacing w:val="-3"/>
          <w:sz w:val="24"/>
          <w:szCs w:val="27"/>
          <w:lang w:val="es-ES_tradnl"/>
        </w:rPr>
        <w:t xml:space="preserve"> de dos mil </w:t>
      </w:r>
      <w:r w:rsidR="0002230F">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492932">
        <w:rPr>
          <w:rFonts w:ascii="Arial" w:hAnsi="Arial" w:cs="Arial"/>
          <w:bCs/>
          <w:snapToGrid w:val="0"/>
          <w:sz w:val="24"/>
          <w:szCs w:val="27"/>
        </w:rPr>
        <w:t xml:space="preserve">emitida por el </w:t>
      </w:r>
      <w:r w:rsidR="00352A96">
        <w:rPr>
          <w:rFonts w:ascii="Arial" w:hAnsi="Arial" w:cs="Arial"/>
          <w:bCs/>
          <w:snapToGrid w:val="0"/>
          <w:sz w:val="24"/>
          <w:szCs w:val="27"/>
        </w:rPr>
        <w:t>Policía Vial Estatal, dependiente de la Dirección General de la Policía Estatal del Estado d</w:t>
      </w:r>
      <w:r w:rsidR="00352A96" w:rsidRPr="00352A96">
        <w:rPr>
          <w:rFonts w:ascii="Arial" w:hAnsi="Arial" w:cs="Arial"/>
          <w:bCs/>
          <w:snapToGrid w:val="0"/>
          <w:sz w:val="24"/>
          <w:szCs w:val="27"/>
        </w:rPr>
        <w:t>e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y bajo el aforismo jurídico que reza: </w:t>
      </w:r>
      <w:r w:rsidR="006F0524" w:rsidRPr="006F0524">
        <w:rPr>
          <w:rFonts w:ascii="Arial" w:hAnsi="Arial" w:cs="Arial"/>
          <w:bCs/>
          <w:i/>
          <w:snapToGrid w:val="0"/>
          <w:sz w:val="24"/>
          <w:szCs w:val="27"/>
        </w:rPr>
        <w:t>“lo accesorio sigue la suerte de lo principal”</w:t>
      </w:r>
      <w:r w:rsidR="006F0524" w:rsidRPr="006F0524">
        <w:rPr>
          <w:rFonts w:ascii="Arial" w:hAnsi="Arial" w:cs="Arial"/>
          <w:bCs/>
          <w:snapToGrid w:val="0"/>
          <w:sz w:val="24"/>
          <w:szCs w:val="27"/>
        </w:rPr>
        <w:t>, se advierte que dicha multa fue lo que originó todas las demás actuaciones, entre ellas, el pago de la multa y el pago por concepto de arrastre, luego entonces, resulta lógico que igualmente las actuaciones posteriores son nulas por encontrarse teniendo como base un acto ya declarado nulo, en consecuencia, al haber sido declarados nulos dichos actos</w:t>
      </w:r>
      <w:r w:rsidRPr="00A40006">
        <w:rPr>
          <w:rFonts w:ascii="Arial" w:hAnsi="Arial" w:cs="Arial"/>
          <w:bCs/>
          <w:snapToGrid w:val="0"/>
          <w:sz w:val="24"/>
          <w:szCs w:val="27"/>
        </w:rPr>
        <w:t xml:space="preserve">, </w:t>
      </w:r>
      <w:r w:rsidR="00492932" w:rsidRPr="004530CE">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02230F">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w:t>
      </w:r>
      <w:r w:rsidR="0002230F">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w:t>
      </w:r>
      <w:r w:rsidR="0002230F">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y </w:t>
      </w:r>
      <w:r w:rsidR="0002230F">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pesos 00/100 moneda nacional) que ampara el recibo con número de folio </w:t>
      </w:r>
      <w:r w:rsidR="0002230F">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de fecha </w:t>
      </w:r>
      <w:r w:rsidR="0002230F">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de </w:t>
      </w:r>
      <w:r w:rsidR="0002230F">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de dos mil</w:t>
      </w:r>
      <w:r w:rsidR="0002230F">
        <w:rPr>
          <w:rFonts w:ascii="Arial" w:hAnsi="Arial" w:cs="Arial"/>
          <w:bCs/>
          <w:snapToGrid w:val="0"/>
          <w:sz w:val="24"/>
          <w:szCs w:val="27"/>
          <w:u w:val="single"/>
        </w:rPr>
        <w:t xml:space="preserve"> *****</w:t>
      </w:r>
      <w:r w:rsidR="00492932" w:rsidRPr="004530CE">
        <w:rPr>
          <w:rFonts w:ascii="Arial" w:hAnsi="Arial" w:cs="Arial"/>
          <w:bCs/>
          <w:snapToGrid w:val="0"/>
          <w:sz w:val="24"/>
          <w:szCs w:val="27"/>
          <w:u w:val="single"/>
        </w:rPr>
        <w:t>, (foja 11), documental que adquiere valor probatorio pleno en términos del artículo 173 fracción I de la Ley de Justicia Administrativa para el Estado de Oaxaca, indebidamente pagada</w:t>
      </w:r>
      <w:r w:rsidR="00182786">
        <w:rPr>
          <w:rFonts w:ascii="Arial" w:hAnsi="Arial" w:cs="Arial"/>
          <w:bCs/>
          <w:snapToGrid w:val="0"/>
          <w:sz w:val="24"/>
          <w:szCs w:val="27"/>
          <w:u w:val="single"/>
        </w:rPr>
        <w:t>, así como la devolución de la licencia de conducir indebidamente retenida</w:t>
      </w:r>
      <w:r w:rsidR="00492932">
        <w:rPr>
          <w:rFonts w:ascii="Arial" w:hAnsi="Arial" w:cs="Arial"/>
          <w:bCs/>
          <w:snapToGrid w:val="0"/>
          <w:sz w:val="24"/>
          <w:szCs w:val="27"/>
        </w:rPr>
        <w:t>.</w:t>
      </w:r>
    </w:p>
    <w:p w14:paraId="2BED8E15" w14:textId="32748393" w:rsidR="00492932" w:rsidRPr="00492932" w:rsidRDefault="00492932" w:rsidP="00492932">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182786" w:rsidRPr="00182786">
        <w:rPr>
          <w:rFonts w:ascii="Arial" w:hAnsi="Arial" w:cs="Arial"/>
          <w:bCs/>
          <w:snapToGrid w:val="0"/>
          <w:sz w:val="24"/>
          <w:szCs w:val="27"/>
        </w:rPr>
        <w:t>Ahora bien, por</w:t>
      </w:r>
      <w:r w:rsidR="00182786">
        <w:rPr>
          <w:rFonts w:ascii="Arial" w:hAnsi="Arial" w:cs="Arial"/>
          <w:bCs/>
          <w:snapToGrid w:val="0"/>
          <w:sz w:val="24"/>
          <w:szCs w:val="27"/>
        </w:rPr>
        <w:t xml:space="preserve"> lo que hace a la cantidad de </w:t>
      </w:r>
      <w:r w:rsidR="0002230F">
        <w:rPr>
          <w:rFonts w:ascii="Arial" w:hAnsi="Arial" w:cs="Arial"/>
          <w:bCs/>
          <w:snapToGrid w:val="0"/>
          <w:sz w:val="24"/>
          <w:szCs w:val="27"/>
        </w:rPr>
        <w:t>*****</w:t>
      </w:r>
      <w:r w:rsidR="00182786" w:rsidRPr="00182786">
        <w:rPr>
          <w:rFonts w:ascii="Arial" w:hAnsi="Arial" w:cs="Arial"/>
          <w:bCs/>
          <w:snapToGrid w:val="0"/>
          <w:sz w:val="24"/>
          <w:szCs w:val="27"/>
        </w:rPr>
        <w:t xml:space="preserve"> (</w:t>
      </w:r>
      <w:r w:rsidR="0002230F">
        <w:rPr>
          <w:rFonts w:ascii="Arial" w:hAnsi="Arial" w:cs="Arial"/>
          <w:bCs/>
          <w:snapToGrid w:val="0"/>
          <w:sz w:val="24"/>
          <w:szCs w:val="27"/>
        </w:rPr>
        <w:t>*****</w:t>
      </w:r>
      <w:r w:rsidR="00182786" w:rsidRPr="00182786">
        <w:rPr>
          <w:rFonts w:ascii="Arial" w:hAnsi="Arial" w:cs="Arial"/>
          <w:bCs/>
          <w:snapToGrid w:val="0"/>
          <w:sz w:val="24"/>
          <w:szCs w:val="27"/>
        </w:rPr>
        <w:t xml:space="preserve"> pesos 00</w:t>
      </w:r>
      <w:r w:rsidR="00DF0467">
        <w:rPr>
          <w:rFonts w:ascii="Arial" w:hAnsi="Arial" w:cs="Arial"/>
          <w:bCs/>
          <w:snapToGrid w:val="0"/>
          <w:sz w:val="24"/>
          <w:szCs w:val="27"/>
        </w:rPr>
        <w:t>/100 m.n.) pagadas a “GRÚAS GALE OAXACA</w:t>
      </w:r>
      <w:r w:rsidR="00182786" w:rsidRPr="00182786">
        <w:rPr>
          <w:rFonts w:ascii="Arial" w:hAnsi="Arial" w:cs="Arial"/>
          <w:bCs/>
          <w:snapToGrid w:val="0"/>
          <w:sz w:val="24"/>
          <w:szCs w:val="27"/>
        </w:rPr>
        <w:t>”, que ampara el recibo número</w:t>
      </w:r>
      <w:r w:rsidR="0002230F">
        <w:rPr>
          <w:rFonts w:ascii="Arial" w:hAnsi="Arial" w:cs="Arial"/>
          <w:bCs/>
          <w:snapToGrid w:val="0"/>
          <w:sz w:val="24"/>
          <w:szCs w:val="27"/>
        </w:rPr>
        <w:t xml:space="preserve"> *****</w:t>
      </w:r>
      <w:r w:rsidR="00DF0467">
        <w:rPr>
          <w:rFonts w:ascii="Arial" w:hAnsi="Arial" w:cs="Arial"/>
          <w:bCs/>
          <w:snapToGrid w:val="0"/>
          <w:sz w:val="24"/>
          <w:szCs w:val="27"/>
        </w:rPr>
        <w:t xml:space="preserve"> visible en la foja 12</w:t>
      </w:r>
      <w:r w:rsidR="00182786" w:rsidRPr="00182786">
        <w:rPr>
          <w:rFonts w:ascii="Arial" w:hAnsi="Arial" w:cs="Arial"/>
          <w:bCs/>
          <w:snapToGrid w:val="0"/>
          <w:sz w:val="24"/>
          <w:szCs w:val="27"/>
        </w:rPr>
        <w:t xml:space="preserve"> del sumario, documental que adquiere valor probatorio pleno en </w:t>
      </w:r>
      <w:r w:rsidR="00DF0467">
        <w:rPr>
          <w:rFonts w:ascii="Arial" w:hAnsi="Arial" w:cs="Arial"/>
          <w:bCs/>
          <w:snapToGrid w:val="0"/>
          <w:sz w:val="24"/>
          <w:szCs w:val="27"/>
        </w:rPr>
        <w:t>términos del artículo 17</w:t>
      </w:r>
      <w:r w:rsidR="00182786" w:rsidRPr="00182786">
        <w:rPr>
          <w:rFonts w:ascii="Arial" w:hAnsi="Arial" w:cs="Arial"/>
          <w:bCs/>
          <w:snapToGrid w:val="0"/>
          <w:sz w:val="24"/>
          <w:szCs w:val="27"/>
        </w:rPr>
        <w:t xml:space="preserve">3 fracción I de la Ley de Justicia Administrativa para el Estado de Oaxaca, ésta igualmente resulta procedente que la autoridad restituya dicha cantidad, toda vez que de las documentales que obran en autos, no se observa que </w:t>
      </w:r>
      <w:r w:rsidR="00182786" w:rsidRPr="00182786">
        <w:rPr>
          <w:rFonts w:ascii="Arial" w:hAnsi="Arial" w:cs="Arial"/>
          <w:bCs/>
          <w:snapToGrid w:val="0"/>
          <w:sz w:val="24"/>
          <w:szCs w:val="27"/>
        </w:rPr>
        <w:lastRenderedPageBreak/>
        <w:t xml:space="preserve">el actor haya tenido la voluntad de solicitar los servicios de grúa, siendo esta una determinación unilateral por parte de la autoridad demandada, por esa consideración y toda vez que de la multicitada acta de infracción impugnada se desprende el nexo causal entre la autoridad demandada con su concesionaria “GRÚAS </w:t>
      </w:r>
      <w:r w:rsidR="00DF0467">
        <w:rPr>
          <w:rFonts w:ascii="Arial" w:hAnsi="Arial" w:cs="Arial"/>
          <w:bCs/>
          <w:snapToGrid w:val="0"/>
          <w:sz w:val="24"/>
          <w:szCs w:val="27"/>
        </w:rPr>
        <w:t>GALE OAXACA</w:t>
      </w:r>
      <w:r w:rsidR="00182786" w:rsidRPr="00182786">
        <w:rPr>
          <w:rFonts w:ascii="Arial" w:hAnsi="Arial" w:cs="Arial"/>
          <w:bCs/>
          <w:snapToGrid w:val="0"/>
          <w:sz w:val="24"/>
          <w:szCs w:val="27"/>
        </w:rPr>
        <w:t xml:space="preserve">” se hace una presunción </w:t>
      </w:r>
      <w:r w:rsidR="00182786" w:rsidRPr="00DF0467">
        <w:rPr>
          <w:rFonts w:ascii="Arial" w:hAnsi="Arial" w:cs="Arial"/>
          <w:bCs/>
          <w:i/>
          <w:snapToGrid w:val="0"/>
          <w:sz w:val="24"/>
          <w:szCs w:val="27"/>
        </w:rPr>
        <w:t>iuris tantum</w:t>
      </w:r>
      <w:r w:rsidR="00DF0467">
        <w:rPr>
          <w:rFonts w:ascii="Arial" w:hAnsi="Arial" w:cs="Arial"/>
          <w:bCs/>
          <w:snapToGrid w:val="0"/>
          <w:sz w:val="24"/>
          <w:szCs w:val="27"/>
        </w:rPr>
        <w:t xml:space="preserve"> de que el</w:t>
      </w:r>
      <w:r w:rsidR="00182786" w:rsidRPr="00182786">
        <w:rPr>
          <w:rFonts w:ascii="Arial" w:hAnsi="Arial" w:cs="Arial"/>
          <w:bCs/>
          <w:snapToGrid w:val="0"/>
          <w:sz w:val="24"/>
          <w:szCs w:val="27"/>
        </w:rPr>
        <w:t xml:space="preserve"> accionante haya sido obligada a pagar el servicio de grúa, sin que esta lo hubiera solicitado, por lo t</w:t>
      </w:r>
      <w:r w:rsidR="00371465">
        <w:rPr>
          <w:rFonts w:ascii="Arial" w:hAnsi="Arial" w:cs="Arial"/>
          <w:bCs/>
          <w:snapToGrid w:val="0"/>
          <w:sz w:val="24"/>
          <w:szCs w:val="27"/>
        </w:rPr>
        <w:t xml:space="preserve">anto, </w:t>
      </w:r>
      <w:r w:rsidR="00371465" w:rsidRPr="00B65AEB">
        <w:rPr>
          <w:rFonts w:ascii="Arial" w:hAnsi="Arial" w:cs="Arial"/>
          <w:bCs/>
          <w:snapToGrid w:val="0"/>
          <w:sz w:val="24"/>
          <w:szCs w:val="27"/>
          <w:u w:val="single"/>
        </w:rPr>
        <w:t>resulta procedente que la autoridad demandada</w:t>
      </w:r>
      <w:r w:rsidR="00182786" w:rsidRPr="00B65AEB">
        <w:rPr>
          <w:rFonts w:ascii="Arial" w:hAnsi="Arial" w:cs="Arial"/>
          <w:bCs/>
          <w:snapToGrid w:val="0"/>
          <w:sz w:val="24"/>
          <w:szCs w:val="27"/>
          <w:u w:val="single"/>
        </w:rPr>
        <w:t xml:space="preserve"> en el presente asunto, </w:t>
      </w:r>
      <w:r w:rsidR="00371465" w:rsidRPr="00B65AEB">
        <w:rPr>
          <w:rFonts w:ascii="Arial" w:hAnsi="Arial" w:cs="Arial"/>
          <w:bCs/>
          <w:snapToGrid w:val="0"/>
          <w:sz w:val="24"/>
          <w:szCs w:val="27"/>
          <w:u w:val="single"/>
        </w:rPr>
        <w:t xml:space="preserve">a través de </w:t>
      </w:r>
      <w:proofErr w:type="spellStart"/>
      <w:r w:rsidR="00371465" w:rsidRPr="00B65AEB">
        <w:rPr>
          <w:rFonts w:ascii="Arial" w:hAnsi="Arial" w:cs="Arial"/>
          <w:bCs/>
          <w:snapToGrid w:val="0"/>
          <w:sz w:val="24"/>
          <w:szCs w:val="27"/>
          <w:u w:val="single"/>
        </w:rPr>
        <w:t>si</w:t>
      </w:r>
      <w:proofErr w:type="spellEnd"/>
      <w:r w:rsidR="00371465" w:rsidRPr="00B65AEB">
        <w:rPr>
          <w:rFonts w:ascii="Arial" w:hAnsi="Arial" w:cs="Arial"/>
          <w:bCs/>
          <w:snapToGrid w:val="0"/>
          <w:sz w:val="24"/>
          <w:szCs w:val="27"/>
          <w:u w:val="single"/>
        </w:rPr>
        <w:t xml:space="preserve"> misma o de quien sea legalmente competente,</w:t>
      </w:r>
      <w:r w:rsidR="00182786" w:rsidRPr="00B65AEB">
        <w:rPr>
          <w:rFonts w:ascii="Arial" w:hAnsi="Arial" w:cs="Arial"/>
          <w:bCs/>
          <w:snapToGrid w:val="0"/>
          <w:sz w:val="24"/>
          <w:szCs w:val="27"/>
          <w:u w:val="single"/>
        </w:rPr>
        <w:t xml:space="preserve"> hagan la</w:t>
      </w:r>
      <w:r w:rsidR="00371465" w:rsidRPr="00B65AEB">
        <w:rPr>
          <w:rFonts w:ascii="Arial" w:hAnsi="Arial" w:cs="Arial"/>
          <w:bCs/>
          <w:snapToGrid w:val="0"/>
          <w:sz w:val="24"/>
          <w:szCs w:val="27"/>
          <w:u w:val="single"/>
        </w:rPr>
        <w:t xml:space="preserve"> devolución de la cantidad de </w:t>
      </w:r>
      <w:r w:rsidR="0002230F">
        <w:rPr>
          <w:rFonts w:ascii="Arial" w:hAnsi="Arial" w:cs="Arial"/>
          <w:bCs/>
          <w:snapToGrid w:val="0"/>
          <w:sz w:val="24"/>
          <w:szCs w:val="27"/>
          <w:u w:val="single"/>
        </w:rPr>
        <w:t>*****</w:t>
      </w:r>
      <w:r w:rsidR="00371465" w:rsidRPr="00B65AEB">
        <w:rPr>
          <w:rFonts w:ascii="Arial" w:hAnsi="Arial" w:cs="Arial"/>
          <w:bCs/>
          <w:snapToGrid w:val="0"/>
          <w:sz w:val="24"/>
          <w:szCs w:val="27"/>
          <w:u w:val="single"/>
        </w:rPr>
        <w:t xml:space="preserve"> (</w:t>
      </w:r>
      <w:r w:rsidR="0002230F">
        <w:rPr>
          <w:rFonts w:ascii="Arial" w:hAnsi="Arial" w:cs="Arial"/>
          <w:bCs/>
          <w:snapToGrid w:val="0"/>
          <w:sz w:val="24"/>
          <w:szCs w:val="27"/>
          <w:u w:val="single"/>
        </w:rPr>
        <w:t>****</w:t>
      </w:r>
      <w:r w:rsidR="00182786" w:rsidRPr="00B65AEB">
        <w:rPr>
          <w:rFonts w:ascii="Arial" w:hAnsi="Arial" w:cs="Arial"/>
          <w:bCs/>
          <w:snapToGrid w:val="0"/>
          <w:sz w:val="24"/>
          <w:szCs w:val="27"/>
          <w:u w:val="single"/>
        </w:rPr>
        <w:t xml:space="preserve"> pesos 00/100 m.n.) </w:t>
      </w:r>
      <w:r w:rsidR="00182786" w:rsidRPr="00015085">
        <w:rPr>
          <w:rFonts w:ascii="Arial" w:hAnsi="Arial" w:cs="Arial"/>
          <w:bCs/>
          <w:snapToGrid w:val="0"/>
          <w:sz w:val="24"/>
          <w:szCs w:val="27"/>
          <w:u w:val="single"/>
        </w:rPr>
        <w:t xml:space="preserve">que ampara el recibo número </w:t>
      </w:r>
      <w:r w:rsidR="0002230F">
        <w:rPr>
          <w:rFonts w:ascii="Arial" w:hAnsi="Arial" w:cs="Arial"/>
          <w:bCs/>
          <w:snapToGrid w:val="0"/>
          <w:sz w:val="24"/>
          <w:szCs w:val="27"/>
          <w:u w:val="single"/>
        </w:rPr>
        <w:t>*****</w:t>
      </w:r>
      <w:r w:rsidR="00182786" w:rsidRPr="00015085">
        <w:rPr>
          <w:rFonts w:ascii="Arial" w:hAnsi="Arial" w:cs="Arial"/>
          <w:bCs/>
          <w:snapToGrid w:val="0"/>
          <w:sz w:val="24"/>
          <w:szCs w:val="27"/>
          <w:u w:val="single"/>
        </w:rPr>
        <w:t>, de</w:t>
      </w:r>
      <w:r w:rsidR="00371465" w:rsidRPr="00015085">
        <w:rPr>
          <w:rFonts w:ascii="Arial" w:hAnsi="Arial" w:cs="Arial"/>
          <w:bCs/>
          <w:snapToGrid w:val="0"/>
          <w:sz w:val="24"/>
          <w:szCs w:val="27"/>
          <w:u w:val="single"/>
        </w:rPr>
        <w:t xml:space="preserve"> fecha</w:t>
      </w:r>
      <w:r w:rsidR="00182786" w:rsidRPr="00015085">
        <w:rPr>
          <w:rFonts w:ascii="Arial" w:hAnsi="Arial" w:cs="Arial"/>
          <w:bCs/>
          <w:snapToGrid w:val="0"/>
          <w:sz w:val="24"/>
          <w:szCs w:val="27"/>
          <w:u w:val="single"/>
        </w:rPr>
        <w:t xml:space="preserve"> </w:t>
      </w:r>
      <w:r w:rsidR="0002230F">
        <w:rPr>
          <w:rFonts w:ascii="Arial" w:hAnsi="Arial" w:cs="Arial"/>
          <w:bCs/>
          <w:snapToGrid w:val="0"/>
          <w:sz w:val="24"/>
          <w:szCs w:val="27"/>
          <w:u w:val="single"/>
        </w:rPr>
        <w:t>*****</w:t>
      </w:r>
      <w:r w:rsidR="00371465" w:rsidRPr="00015085">
        <w:rPr>
          <w:rFonts w:ascii="Arial" w:hAnsi="Arial" w:cs="Arial"/>
          <w:bCs/>
          <w:snapToGrid w:val="0"/>
          <w:sz w:val="24"/>
          <w:szCs w:val="27"/>
          <w:u w:val="single"/>
        </w:rPr>
        <w:t xml:space="preserve"> de </w:t>
      </w:r>
      <w:r w:rsidR="0002230F">
        <w:rPr>
          <w:rFonts w:ascii="Arial" w:hAnsi="Arial" w:cs="Arial"/>
          <w:bCs/>
          <w:snapToGrid w:val="0"/>
          <w:sz w:val="24"/>
          <w:szCs w:val="27"/>
          <w:u w:val="single"/>
        </w:rPr>
        <w:t>*****</w:t>
      </w:r>
      <w:r w:rsidR="00600AF3">
        <w:rPr>
          <w:rFonts w:ascii="Arial" w:hAnsi="Arial" w:cs="Arial"/>
          <w:bCs/>
          <w:snapToGrid w:val="0"/>
          <w:sz w:val="24"/>
          <w:szCs w:val="27"/>
          <w:u w:val="single"/>
        </w:rPr>
        <w:t xml:space="preserve"> de dos mil </w:t>
      </w:r>
      <w:r w:rsidR="0002230F">
        <w:rPr>
          <w:rFonts w:ascii="Arial" w:hAnsi="Arial" w:cs="Arial"/>
          <w:bCs/>
          <w:snapToGrid w:val="0"/>
          <w:sz w:val="24"/>
          <w:szCs w:val="27"/>
          <w:u w:val="single"/>
        </w:rPr>
        <w:t>*****</w:t>
      </w:r>
      <w:r w:rsidR="00371465" w:rsidRPr="00015085">
        <w:rPr>
          <w:rFonts w:ascii="Arial" w:hAnsi="Arial" w:cs="Arial"/>
          <w:bCs/>
          <w:snapToGrid w:val="0"/>
          <w:sz w:val="24"/>
          <w:szCs w:val="27"/>
          <w:u w:val="single"/>
        </w:rPr>
        <w:t>, visible en la foja 12</w:t>
      </w:r>
      <w:r w:rsidR="00182786" w:rsidRPr="00015085">
        <w:rPr>
          <w:rFonts w:ascii="Arial" w:hAnsi="Arial" w:cs="Arial"/>
          <w:bCs/>
          <w:snapToGrid w:val="0"/>
          <w:sz w:val="24"/>
          <w:szCs w:val="27"/>
          <w:u w:val="single"/>
        </w:rPr>
        <w:t xml:space="preserve"> del sumario, pagada por el servicio el cual se generó de un acto viciado de ilegalidad señalado en el acta de infracción con número de </w:t>
      </w:r>
      <w:r w:rsidR="000029A3" w:rsidRPr="00015085">
        <w:rPr>
          <w:rFonts w:ascii="Arial" w:hAnsi="Arial" w:cs="Arial"/>
          <w:bCs/>
          <w:snapToGrid w:val="0"/>
          <w:sz w:val="24"/>
          <w:szCs w:val="27"/>
          <w:u w:val="single"/>
        </w:rPr>
        <w:t xml:space="preserve">folio </w:t>
      </w:r>
      <w:r w:rsidR="0002230F">
        <w:rPr>
          <w:rFonts w:ascii="Arial" w:hAnsi="Arial" w:cs="Arial"/>
          <w:bCs/>
          <w:spacing w:val="-3"/>
          <w:sz w:val="24"/>
          <w:szCs w:val="27"/>
          <w:u w:val="single"/>
          <w:lang w:val="es-ES_tradnl"/>
        </w:rPr>
        <w:t>*****</w:t>
      </w:r>
      <w:r w:rsidR="000029A3" w:rsidRPr="00015085">
        <w:rPr>
          <w:rFonts w:ascii="Arial" w:hAnsi="Arial" w:cs="Arial"/>
          <w:bCs/>
          <w:spacing w:val="-3"/>
          <w:sz w:val="24"/>
          <w:szCs w:val="27"/>
          <w:u w:val="single"/>
          <w:lang w:val="es-ES_tradnl"/>
        </w:rPr>
        <w:t xml:space="preserve"> de fecha </w:t>
      </w:r>
      <w:r w:rsidR="0002230F">
        <w:rPr>
          <w:rFonts w:ascii="Arial" w:hAnsi="Arial" w:cs="Arial"/>
          <w:bCs/>
          <w:spacing w:val="-3"/>
          <w:sz w:val="24"/>
          <w:szCs w:val="27"/>
          <w:u w:val="single"/>
          <w:lang w:val="es-ES_tradnl"/>
        </w:rPr>
        <w:t>*****</w:t>
      </w:r>
      <w:r w:rsidR="000029A3" w:rsidRPr="00015085">
        <w:rPr>
          <w:rFonts w:ascii="Arial" w:hAnsi="Arial" w:cs="Arial"/>
          <w:bCs/>
          <w:spacing w:val="-3"/>
          <w:sz w:val="24"/>
          <w:szCs w:val="27"/>
          <w:u w:val="single"/>
          <w:lang w:val="es-ES_tradnl"/>
        </w:rPr>
        <w:t xml:space="preserve"> de </w:t>
      </w:r>
      <w:r w:rsidR="0002230F">
        <w:rPr>
          <w:rFonts w:ascii="Arial" w:hAnsi="Arial" w:cs="Arial"/>
          <w:bCs/>
          <w:spacing w:val="-3"/>
          <w:sz w:val="24"/>
          <w:szCs w:val="27"/>
          <w:u w:val="single"/>
          <w:lang w:val="es-ES_tradnl"/>
        </w:rPr>
        <w:t>******</w:t>
      </w:r>
      <w:r w:rsidR="000029A3" w:rsidRPr="00015085">
        <w:rPr>
          <w:rFonts w:ascii="Arial" w:hAnsi="Arial" w:cs="Arial"/>
          <w:bCs/>
          <w:spacing w:val="-3"/>
          <w:sz w:val="24"/>
          <w:szCs w:val="27"/>
          <w:u w:val="single"/>
          <w:lang w:val="es-ES_tradnl"/>
        </w:rPr>
        <w:t xml:space="preserve"> de dos mil </w:t>
      </w:r>
      <w:r w:rsidR="0002230F">
        <w:rPr>
          <w:rFonts w:ascii="Arial" w:hAnsi="Arial" w:cs="Arial"/>
          <w:bCs/>
          <w:spacing w:val="-3"/>
          <w:sz w:val="24"/>
          <w:szCs w:val="27"/>
          <w:u w:val="single"/>
          <w:lang w:val="es-ES_tradnl"/>
        </w:rPr>
        <w:t>******</w:t>
      </w:r>
      <w:r w:rsidR="00182786" w:rsidRPr="00182786">
        <w:rPr>
          <w:rFonts w:ascii="Arial" w:hAnsi="Arial" w:cs="Arial"/>
          <w:bCs/>
          <w:snapToGrid w:val="0"/>
          <w:sz w:val="24"/>
          <w:szCs w:val="27"/>
        </w:rPr>
        <w:t xml:space="preserve">, y por ello atento a los principios generales de derecho que rezan: </w:t>
      </w:r>
      <w:r w:rsidR="00182786" w:rsidRPr="000029A3">
        <w:rPr>
          <w:rFonts w:ascii="Arial" w:hAnsi="Arial" w:cs="Arial"/>
          <w:bCs/>
          <w:i/>
          <w:snapToGrid w:val="0"/>
          <w:sz w:val="24"/>
          <w:szCs w:val="27"/>
        </w:rPr>
        <w:t>“</w:t>
      </w:r>
      <w:proofErr w:type="spellStart"/>
      <w:r w:rsidR="00182786" w:rsidRPr="000029A3">
        <w:rPr>
          <w:rFonts w:ascii="Arial" w:hAnsi="Arial" w:cs="Arial"/>
          <w:bCs/>
          <w:i/>
          <w:snapToGrid w:val="0"/>
          <w:sz w:val="24"/>
          <w:szCs w:val="27"/>
        </w:rPr>
        <w:t>ubi</w:t>
      </w:r>
      <w:proofErr w:type="spellEnd"/>
      <w:r w:rsidR="00182786" w:rsidRPr="000029A3">
        <w:rPr>
          <w:rFonts w:ascii="Arial" w:hAnsi="Arial" w:cs="Arial"/>
          <w:bCs/>
          <w:i/>
          <w:snapToGrid w:val="0"/>
          <w:sz w:val="24"/>
          <w:szCs w:val="27"/>
        </w:rPr>
        <w:t xml:space="preserve"> </w:t>
      </w:r>
      <w:proofErr w:type="spellStart"/>
      <w:r w:rsidR="00182786" w:rsidRPr="000029A3">
        <w:rPr>
          <w:rFonts w:ascii="Arial" w:hAnsi="Arial" w:cs="Arial"/>
          <w:bCs/>
          <w:i/>
          <w:snapToGrid w:val="0"/>
          <w:sz w:val="24"/>
          <w:szCs w:val="27"/>
        </w:rPr>
        <w:t>eadem</w:t>
      </w:r>
      <w:proofErr w:type="spellEnd"/>
      <w:r w:rsidR="00182786" w:rsidRPr="000029A3">
        <w:rPr>
          <w:rFonts w:ascii="Arial" w:hAnsi="Arial" w:cs="Arial"/>
          <w:bCs/>
          <w:i/>
          <w:snapToGrid w:val="0"/>
          <w:sz w:val="24"/>
          <w:szCs w:val="27"/>
        </w:rPr>
        <w:t xml:space="preserve"> ratio</w:t>
      </w:r>
      <w:r w:rsidR="00182786" w:rsidRPr="00182786">
        <w:rPr>
          <w:rFonts w:ascii="Arial" w:hAnsi="Arial" w:cs="Arial"/>
          <w:bCs/>
          <w:snapToGrid w:val="0"/>
          <w:sz w:val="24"/>
          <w:szCs w:val="27"/>
        </w:rPr>
        <w:t xml:space="preserve">, </w:t>
      </w:r>
      <w:proofErr w:type="spellStart"/>
      <w:r w:rsidR="00182786" w:rsidRPr="000029A3">
        <w:rPr>
          <w:rFonts w:ascii="Arial" w:hAnsi="Arial" w:cs="Arial"/>
          <w:bCs/>
          <w:i/>
          <w:snapToGrid w:val="0"/>
          <w:sz w:val="24"/>
          <w:szCs w:val="27"/>
        </w:rPr>
        <w:t>idem</w:t>
      </w:r>
      <w:proofErr w:type="spellEnd"/>
      <w:r w:rsidR="00182786" w:rsidRPr="000029A3">
        <w:rPr>
          <w:rFonts w:ascii="Arial" w:hAnsi="Arial" w:cs="Arial"/>
          <w:bCs/>
          <w:i/>
          <w:snapToGrid w:val="0"/>
          <w:sz w:val="24"/>
          <w:szCs w:val="27"/>
        </w:rPr>
        <w:t xml:space="preserve"> </w:t>
      </w:r>
      <w:proofErr w:type="spellStart"/>
      <w:r w:rsidR="00182786" w:rsidRPr="000029A3">
        <w:rPr>
          <w:rFonts w:ascii="Arial" w:hAnsi="Arial" w:cs="Arial"/>
          <w:bCs/>
          <w:i/>
          <w:snapToGrid w:val="0"/>
          <w:sz w:val="24"/>
          <w:szCs w:val="27"/>
        </w:rPr>
        <w:t>jus</w:t>
      </w:r>
      <w:proofErr w:type="spellEnd"/>
      <w:r w:rsidR="00182786" w:rsidRPr="000029A3">
        <w:rPr>
          <w:rFonts w:ascii="Arial" w:hAnsi="Arial" w:cs="Arial"/>
          <w:bCs/>
          <w:i/>
          <w:snapToGrid w:val="0"/>
          <w:sz w:val="24"/>
          <w:szCs w:val="27"/>
        </w:rPr>
        <w:t>”</w:t>
      </w:r>
      <w:r w:rsidR="00182786" w:rsidRPr="00182786">
        <w:rPr>
          <w:rFonts w:ascii="Arial" w:hAnsi="Arial" w:cs="Arial"/>
          <w:bCs/>
          <w:snapToGrid w:val="0"/>
          <w:sz w:val="24"/>
          <w:szCs w:val="27"/>
        </w:rPr>
        <w:t xml:space="preserve"> </w:t>
      </w:r>
      <w:r w:rsidR="00182786" w:rsidRPr="000029A3">
        <w:rPr>
          <w:rFonts w:ascii="Arial" w:hAnsi="Arial" w:cs="Arial"/>
          <w:bCs/>
          <w:i/>
          <w:snapToGrid w:val="0"/>
          <w:sz w:val="24"/>
          <w:szCs w:val="27"/>
        </w:rPr>
        <w:t>“a igual razón, igual disposición”</w:t>
      </w:r>
      <w:r w:rsidR="00182786" w:rsidRPr="00182786">
        <w:rPr>
          <w:rFonts w:ascii="Arial" w:hAnsi="Arial" w:cs="Arial"/>
          <w:bCs/>
          <w:snapToGrid w:val="0"/>
          <w:sz w:val="24"/>
          <w:szCs w:val="27"/>
        </w:rPr>
        <w:t xml:space="preserve"> y </w:t>
      </w:r>
      <w:r w:rsidR="00182786" w:rsidRPr="000029A3">
        <w:rPr>
          <w:rFonts w:ascii="Arial" w:hAnsi="Arial" w:cs="Arial"/>
          <w:bCs/>
          <w:i/>
          <w:snapToGrid w:val="0"/>
          <w:sz w:val="24"/>
          <w:szCs w:val="27"/>
        </w:rPr>
        <w:t xml:space="preserve">“causa </w:t>
      </w:r>
      <w:proofErr w:type="spellStart"/>
      <w:r w:rsidR="00182786" w:rsidRPr="000029A3">
        <w:rPr>
          <w:rFonts w:ascii="Arial" w:hAnsi="Arial" w:cs="Arial"/>
          <w:bCs/>
          <w:i/>
          <w:snapToGrid w:val="0"/>
          <w:sz w:val="24"/>
          <w:szCs w:val="27"/>
        </w:rPr>
        <w:t>causae</w:t>
      </w:r>
      <w:proofErr w:type="spellEnd"/>
      <w:r w:rsidR="00182786" w:rsidRPr="000029A3">
        <w:rPr>
          <w:rFonts w:ascii="Arial" w:hAnsi="Arial" w:cs="Arial"/>
          <w:bCs/>
          <w:i/>
          <w:snapToGrid w:val="0"/>
          <w:sz w:val="24"/>
          <w:szCs w:val="27"/>
        </w:rPr>
        <w:t xml:space="preserve"> </w:t>
      </w:r>
      <w:proofErr w:type="spellStart"/>
      <w:r w:rsidR="00182786" w:rsidRPr="000029A3">
        <w:rPr>
          <w:rFonts w:ascii="Arial" w:hAnsi="Arial" w:cs="Arial"/>
          <w:bCs/>
          <w:i/>
          <w:snapToGrid w:val="0"/>
          <w:sz w:val="24"/>
          <w:szCs w:val="27"/>
        </w:rPr>
        <w:t>est</w:t>
      </w:r>
      <w:proofErr w:type="spellEnd"/>
      <w:r w:rsidR="00182786" w:rsidRPr="000029A3">
        <w:rPr>
          <w:rFonts w:ascii="Arial" w:hAnsi="Arial" w:cs="Arial"/>
          <w:bCs/>
          <w:i/>
          <w:snapToGrid w:val="0"/>
          <w:sz w:val="24"/>
          <w:szCs w:val="27"/>
        </w:rPr>
        <w:t xml:space="preserve"> causa </w:t>
      </w:r>
      <w:proofErr w:type="spellStart"/>
      <w:r w:rsidR="00182786" w:rsidRPr="000029A3">
        <w:rPr>
          <w:rFonts w:ascii="Arial" w:hAnsi="Arial" w:cs="Arial"/>
          <w:bCs/>
          <w:i/>
          <w:snapToGrid w:val="0"/>
          <w:sz w:val="24"/>
          <w:szCs w:val="27"/>
        </w:rPr>
        <w:t>causati</w:t>
      </w:r>
      <w:proofErr w:type="spellEnd"/>
      <w:r w:rsidR="00182786" w:rsidRPr="000029A3">
        <w:rPr>
          <w:rFonts w:ascii="Arial" w:hAnsi="Arial" w:cs="Arial"/>
          <w:bCs/>
          <w:i/>
          <w:snapToGrid w:val="0"/>
          <w:sz w:val="24"/>
          <w:szCs w:val="27"/>
        </w:rPr>
        <w:t>” “la causa de la causa es causa de lo causado”</w:t>
      </w:r>
      <w:r w:rsidR="00182786" w:rsidRPr="00182786">
        <w:rPr>
          <w:rFonts w:ascii="Arial" w:hAnsi="Arial" w:cs="Arial"/>
          <w:bCs/>
          <w:snapToGrid w:val="0"/>
          <w:sz w:val="24"/>
          <w:szCs w:val="27"/>
        </w:rPr>
        <w:t>, debe acatar de igual forma el 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una relación jurídica simple de cooperación o colaboración de los particulares para la realización eficaz de los fines del Estado, y que en el presente caso, el particular únicamente es auxiliar de la demandada, sin que adquiera completamente el carácter de autoridad demandada</w:t>
      </w:r>
      <w:r w:rsidRPr="00492932">
        <w:rPr>
          <w:rFonts w:ascii="Arial" w:hAnsi="Arial" w:cs="Arial"/>
          <w:bCs/>
          <w:snapToGrid w:val="0"/>
          <w:sz w:val="24"/>
          <w:szCs w:val="27"/>
        </w:rPr>
        <w:t>.</w:t>
      </w:r>
    </w:p>
    <w:p w14:paraId="3781664C" w14:textId="53708E80" w:rsidR="003E0CBC" w:rsidRPr="00492932" w:rsidRDefault="00492932" w:rsidP="00492932">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Por lo anteriormente expuesto, fundado y motivado, en términos de los artículos 177, 178 fracciones I, II, III y VI y 179 de la Ley de Justicia Administrativa para el Estado de Oaxaca, se</w:t>
      </w:r>
    </w:p>
    <w:p w14:paraId="7A3E508A" w14:textId="77777777" w:rsidR="003E0CBC" w:rsidRPr="009C0C09" w:rsidRDefault="003E0CBC" w:rsidP="00B44973">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77777777" w:rsidR="003E0CBC" w:rsidRPr="009C0C09" w:rsidRDefault="003E0CBC" w:rsidP="003E0CBC">
      <w:pPr>
        <w:widowControl w:val="0"/>
        <w:spacing w:after="120" w:line="360" w:lineRule="auto"/>
        <w:ind w:right="51" w:firstLine="708"/>
        <w:jc w:val="both"/>
        <w:rPr>
          <w:rFonts w:ascii="Arial" w:eastAsia="Times New Roman" w:hAnsi="Arial" w:cs="Arial"/>
          <w:sz w:val="24"/>
          <w:szCs w:val="27"/>
          <w:lang w:val="es-ES" w:eastAsia="es-ES"/>
        </w:rPr>
      </w:pPr>
      <w:proofErr w:type="gramStart"/>
      <w:r w:rsidRPr="009C0C09">
        <w:rPr>
          <w:rFonts w:ascii="Arial" w:hAnsi="Arial" w:cs="Arial"/>
          <w:b/>
          <w:sz w:val="24"/>
          <w:szCs w:val="27"/>
        </w:rPr>
        <w:t>PRIMERO</w:t>
      </w:r>
      <w:r w:rsidRPr="009C0C09">
        <w:rPr>
          <w:rFonts w:cs="Arial"/>
          <w:i/>
          <w:sz w:val="24"/>
          <w:szCs w:val="27"/>
        </w:rPr>
        <w:t>.</w:t>
      </w:r>
      <w:r>
        <w:rPr>
          <w:rFonts w:cs="Arial"/>
          <w:sz w:val="24"/>
          <w:szCs w:val="27"/>
        </w:rPr>
        <w:t>-</w:t>
      </w:r>
      <w:proofErr w:type="gramEnd"/>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77777777" w:rsidR="003E0CBC" w:rsidRPr="009C0C09" w:rsidRDefault="003E0CBC" w:rsidP="003E0CBC">
      <w:pPr>
        <w:pStyle w:val="Sangra2detindependiente1"/>
        <w:spacing w:line="360" w:lineRule="auto"/>
        <w:ind w:right="51" w:firstLine="567"/>
        <w:rPr>
          <w:rFonts w:cs="Arial"/>
          <w:b w:val="0"/>
          <w:bCs/>
          <w:i w:val="0"/>
          <w:szCs w:val="27"/>
        </w:rPr>
      </w:pPr>
      <w:proofErr w:type="gramStart"/>
      <w:r w:rsidRPr="009C0C09">
        <w:rPr>
          <w:rFonts w:cs="Arial"/>
          <w:i w:val="0"/>
          <w:szCs w:val="27"/>
        </w:rPr>
        <w:t>SEGUNDO.</w:t>
      </w:r>
      <w:r>
        <w:rPr>
          <w:rFonts w:cs="Arial"/>
          <w:i w:val="0"/>
          <w:szCs w:val="27"/>
        </w:rPr>
        <w:t>-</w:t>
      </w:r>
      <w:proofErr w:type="gramEnd"/>
      <w:r w:rsidRPr="009C0C09">
        <w:rPr>
          <w:rFonts w:cs="Arial"/>
          <w:i w:val="0"/>
          <w:szCs w:val="27"/>
        </w:rPr>
        <w:t xml:space="preserve">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7777777" w:rsidR="003E0CBC" w:rsidRPr="009C0C09" w:rsidRDefault="003E0CBC" w:rsidP="003E0CBC">
      <w:pPr>
        <w:pStyle w:val="Sangra2detindependiente1"/>
        <w:spacing w:line="360" w:lineRule="auto"/>
        <w:ind w:right="51" w:firstLine="567"/>
        <w:rPr>
          <w:rFonts w:cs="Arial"/>
          <w:b w:val="0"/>
          <w:bCs/>
          <w:i w:val="0"/>
          <w:szCs w:val="27"/>
        </w:rPr>
      </w:pPr>
      <w:proofErr w:type="gramStart"/>
      <w:r w:rsidRPr="009C0C09">
        <w:rPr>
          <w:rFonts w:cs="Arial"/>
          <w:i w:val="0"/>
          <w:szCs w:val="27"/>
        </w:rPr>
        <w:t>TERCERO.</w:t>
      </w:r>
      <w:r>
        <w:rPr>
          <w:rFonts w:cs="Arial"/>
          <w:i w:val="0"/>
          <w:szCs w:val="27"/>
        </w:rPr>
        <w:t>-</w:t>
      </w:r>
      <w:proofErr w:type="gramEnd"/>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14FD7EB4" w:rsidR="003E0CBC" w:rsidRPr="009C0C09" w:rsidRDefault="003E0CBC" w:rsidP="003E0CBC">
      <w:pPr>
        <w:pStyle w:val="Sangra2detindependiente1"/>
        <w:spacing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F97CBE">
        <w:rPr>
          <w:rFonts w:cs="Arial"/>
          <w:b w:val="0"/>
          <w:i w:val="0"/>
          <w:szCs w:val="27"/>
        </w:rPr>
        <w:t>*****</w:t>
      </w:r>
      <w:r w:rsidR="00D82372">
        <w:rPr>
          <w:rFonts w:cs="Arial"/>
          <w:b w:val="0"/>
          <w:i w:val="0"/>
          <w:szCs w:val="27"/>
        </w:rPr>
        <w:t xml:space="preserve"> de fecha </w:t>
      </w:r>
      <w:r w:rsidR="00F97CBE">
        <w:rPr>
          <w:rFonts w:cs="Arial"/>
          <w:b w:val="0"/>
          <w:i w:val="0"/>
          <w:szCs w:val="27"/>
        </w:rPr>
        <w:t>*****</w:t>
      </w:r>
      <w:r w:rsidR="00D82372">
        <w:rPr>
          <w:rFonts w:cs="Arial"/>
          <w:b w:val="0"/>
          <w:i w:val="0"/>
          <w:szCs w:val="27"/>
        </w:rPr>
        <w:t xml:space="preserve"> de </w:t>
      </w:r>
      <w:r w:rsidR="00F97CBE">
        <w:rPr>
          <w:rFonts w:cs="Arial"/>
          <w:b w:val="0"/>
          <w:i w:val="0"/>
          <w:szCs w:val="27"/>
        </w:rPr>
        <w:t>*****</w:t>
      </w:r>
      <w:r w:rsidR="00D82372">
        <w:rPr>
          <w:rFonts w:cs="Arial"/>
          <w:b w:val="0"/>
          <w:i w:val="0"/>
          <w:szCs w:val="27"/>
        </w:rPr>
        <w:t xml:space="preserve"> de dos mil </w:t>
      </w:r>
      <w:r w:rsidR="00F97CBE">
        <w:rPr>
          <w:rFonts w:cs="Arial"/>
          <w:b w:val="0"/>
          <w:i w:val="0"/>
          <w:szCs w:val="27"/>
        </w:rPr>
        <w:t>*****</w:t>
      </w:r>
      <w:r w:rsidR="001B5DC7" w:rsidRPr="001B5DC7">
        <w:rPr>
          <w:rFonts w:cs="Arial"/>
          <w:b w:val="0"/>
          <w:i w:val="0"/>
          <w:szCs w:val="27"/>
        </w:rPr>
        <w:t xml:space="preserve">, emitida por </w:t>
      </w:r>
      <w:r w:rsidR="00912E3C" w:rsidRPr="00912E3C">
        <w:rPr>
          <w:rFonts w:cs="Arial"/>
          <w:b w:val="0"/>
          <w:i w:val="0"/>
          <w:szCs w:val="27"/>
        </w:rPr>
        <w:t>el</w:t>
      </w:r>
      <w:r w:rsidR="001B5DC7" w:rsidRPr="001B5DC7">
        <w:rPr>
          <w:rFonts w:cs="Arial"/>
          <w:b w:val="0"/>
          <w:i w:val="0"/>
          <w:szCs w:val="27"/>
        </w:rPr>
        <w:t xml:space="preserve"> Policía </w:t>
      </w:r>
      <w:r w:rsidR="001B5DC7" w:rsidRPr="001B5DC7">
        <w:rPr>
          <w:rFonts w:cs="Arial"/>
          <w:b w:val="0"/>
          <w:i w:val="0"/>
          <w:szCs w:val="27"/>
        </w:rPr>
        <w:lastRenderedPageBreak/>
        <w:t xml:space="preserve">Vial Estatal, dependiente de la Dirección General de la Policía Estatal del Estado de Oaxaca, </w:t>
      </w:r>
      <w:r w:rsidR="00930DDD" w:rsidRPr="00930DDD">
        <w:rPr>
          <w:rFonts w:cs="Arial"/>
          <w:b w:val="0"/>
          <w:i w:val="0"/>
          <w:szCs w:val="27"/>
        </w:rPr>
        <w:t>en consecuencia, y bajo el aforismo jurídico “lo accesorio sigue la suerte de lo principal”, se advierte que dicha multa fue lo que originó todas las demás actuaciones, luego entonces, resulta lógico que igualmente las actuaciones posteriores son nulas, por ello, al haber sido declarados nulos dichos actos</w:t>
      </w:r>
      <w:r w:rsidR="00912E3C" w:rsidRPr="00912E3C">
        <w:rPr>
          <w:rFonts w:cs="Arial"/>
          <w:b w:val="0"/>
          <w:i w:val="0"/>
          <w:szCs w:val="27"/>
        </w:rPr>
        <w:t xml:space="preserve">, 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w:t>
      </w:r>
      <w:r w:rsidR="00912E3C" w:rsidRPr="00930DDD">
        <w:rPr>
          <w:rFonts w:cs="Arial"/>
          <w:b w:val="0"/>
          <w:i w:val="0"/>
          <w:szCs w:val="27"/>
          <w:u w:val="single"/>
        </w:rPr>
        <w:t>se ordena la devolución la cantidad de</w:t>
      </w:r>
      <w:r w:rsidR="00182F3D">
        <w:rPr>
          <w:rFonts w:cs="Arial"/>
          <w:b w:val="0"/>
          <w:i w:val="0"/>
          <w:szCs w:val="27"/>
          <w:u w:val="single"/>
        </w:rPr>
        <w:t xml:space="preserve"> *****</w:t>
      </w:r>
      <w:r w:rsidR="00912E3C" w:rsidRPr="00930DDD">
        <w:rPr>
          <w:rFonts w:cs="Arial"/>
          <w:b w:val="0"/>
          <w:i w:val="0"/>
          <w:szCs w:val="27"/>
          <w:u w:val="single"/>
        </w:rPr>
        <w:t xml:space="preserve"> (</w:t>
      </w:r>
      <w:r w:rsidR="00182F3D">
        <w:rPr>
          <w:rFonts w:cs="Arial"/>
          <w:b w:val="0"/>
          <w:i w:val="0"/>
          <w:szCs w:val="27"/>
          <w:u w:val="single"/>
        </w:rPr>
        <w:t>****</w:t>
      </w:r>
      <w:r w:rsidR="00912E3C" w:rsidRPr="00930DDD">
        <w:rPr>
          <w:rFonts w:cs="Arial"/>
          <w:b w:val="0"/>
          <w:i w:val="0"/>
          <w:szCs w:val="27"/>
          <w:u w:val="single"/>
        </w:rPr>
        <w:t xml:space="preserve"> </w:t>
      </w:r>
      <w:r w:rsidR="00182F3D">
        <w:rPr>
          <w:rFonts w:cs="Arial"/>
          <w:b w:val="0"/>
          <w:i w:val="0"/>
          <w:szCs w:val="27"/>
          <w:u w:val="single"/>
        </w:rPr>
        <w:t>*****</w:t>
      </w:r>
      <w:r w:rsidR="00912E3C" w:rsidRPr="00930DDD">
        <w:rPr>
          <w:rFonts w:cs="Arial"/>
          <w:b w:val="0"/>
          <w:i w:val="0"/>
          <w:szCs w:val="27"/>
          <w:u w:val="single"/>
        </w:rPr>
        <w:t xml:space="preserve"> y </w:t>
      </w:r>
      <w:r w:rsidR="00182F3D">
        <w:rPr>
          <w:rFonts w:cs="Arial"/>
          <w:b w:val="0"/>
          <w:i w:val="0"/>
          <w:szCs w:val="27"/>
          <w:u w:val="single"/>
        </w:rPr>
        <w:t>****</w:t>
      </w:r>
      <w:r w:rsidR="00912E3C" w:rsidRPr="00930DDD">
        <w:rPr>
          <w:rFonts w:cs="Arial"/>
          <w:b w:val="0"/>
          <w:i w:val="0"/>
          <w:szCs w:val="27"/>
          <w:u w:val="single"/>
        </w:rPr>
        <w:t xml:space="preserve"> pesos 00/100 moneda nacional) que ampara el recibo con número de folio</w:t>
      </w:r>
      <w:r w:rsidR="00182F3D">
        <w:rPr>
          <w:rFonts w:cs="Arial"/>
          <w:b w:val="0"/>
          <w:i w:val="0"/>
          <w:szCs w:val="27"/>
          <w:u w:val="single"/>
        </w:rPr>
        <w:t xml:space="preserve"> *****</w:t>
      </w:r>
      <w:r w:rsidR="00912E3C" w:rsidRPr="00930DDD">
        <w:rPr>
          <w:rFonts w:cs="Arial"/>
          <w:b w:val="0"/>
          <w:i w:val="0"/>
          <w:szCs w:val="27"/>
          <w:u w:val="single"/>
        </w:rPr>
        <w:t xml:space="preserve"> de fecha </w:t>
      </w:r>
      <w:r w:rsidR="00182F3D">
        <w:rPr>
          <w:rFonts w:cs="Arial"/>
          <w:b w:val="0"/>
          <w:i w:val="0"/>
          <w:szCs w:val="27"/>
          <w:u w:val="single"/>
        </w:rPr>
        <w:t>*****</w:t>
      </w:r>
      <w:r w:rsidR="00912E3C" w:rsidRPr="00930DDD">
        <w:rPr>
          <w:rFonts w:cs="Arial"/>
          <w:b w:val="0"/>
          <w:i w:val="0"/>
          <w:szCs w:val="27"/>
          <w:u w:val="single"/>
        </w:rPr>
        <w:t xml:space="preserve"> de</w:t>
      </w:r>
      <w:r w:rsidR="00182F3D">
        <w:rPr>
          <w:rFonts w:cs="Arial"/>
          <w:b w:val="0"/>
          <w:i w:val="0"/>
          <w:szCs w:val="27"/>
          <w:u w:val="single"/>
        </w:rPr>
        <w:t xml:space="preserve"> *****</w:t>
      </w:r>
      <w:r w:rsidR="00912E3C" w:rsidRPr="00930DDD">
        <w:rPr>
          <w:rFonts w:cs="Arial"/>
          <w:b w:val="0"/>
          <w:i w:val="0"/>
          <w:szCs w:val="27"/>
          <w:u w:val="single"/>
        </w:rPr>
        <w:t xml:space="preserve"> de dos mil </w:t>
      </w:r>
      <w:r w:rsidR="00182F3D">
        <w:rPr>
          <w:rFonts w:cs="Arial"/>
          <w:b w:val="0"/>
          <w:i w:val="0"/>
          <w:szCs w:val="27"/>
          <w:u w:val="single"/>
        </w:rPr>
        <w:t>*****</w:t>
      </w:r>
      <w:r w:rsidR="00912E3C" w:rsidRPr="00930DDD">
        <w:rPr>
          <w:rFonts w:cs="Arial"/>
          <w:b w:val="0"/>
          <w:i w:val="0"/>
          <w:szCs w:val="27"/>
          <w:u w:val="single"/>
        </w:rPr>
        <w:t>, así como la devolución de la licencia de conducir indebidamente retenida</w:t>
      </w:r>
      <w:r w:rsidRPr="00930DDD">
        <w:rPr>
          <w:rFonts w:cs="Arial"/>
          <w:b w:val="0"/>
          <w:bCs/>
          <w:i w:val="0"/>
          <w:szCs w:val="27"/>
          <w:u w:val="single"/>
        </w:rPr>
        <w:t>,</w:t>
      </w:r>
      <w:r w:rsidR="00912E3C" w:rsidRPr="00930DDD">
        <w:rPr>
          <w:rFonts w:cs="Arial"/>
          <w:b w:val="0"/>
          <w:bCs/>
          <w:i w:val="0"/>
          <w:szCs w:val="27"/>
          <w:u w:val="single"/>
        </w:rPr>
        <w:t xml:space="preserve"> de igual forma realice la devolución del pago realizado a “GRÚAS GALE OAXACA”,</w:t>
      </w:r>
      <w:r w:rsidR="00015085" w:rsidRPr="00930DDD">
        <w:rPr>
          <w:rFonts w:cs="Arial"/>
          <w:b w:val="0"/>
          <w:bCs/>
          <w:i w:val="0"/>
          <w:szCs w:val="27"/>
          <w:u w:val="single"/>
        </w:rPr>
        <w:t xml:space="preserve"> por la cantidad</w:t>
      </w:r>
      <w:r w:rsidRPr="00930DDD">
        <w:rPr>
          <w:rFonts w:cs="Arial"/>
          <w:b w:val="0"/>
          <w:bCs/>
          <w:i w:val="0"/>
          <w:szCs w:val="27"/>
          <w:u w:val="single"/>
        </w:rPr>
        <w:t xml:space="preserve"> </w:t>
      </w:r>
      <w:r w:rsidR="00015085" w:rsidRPr="00930DDD">
        <w:rPr>
          <w:rFonts w:cs="Arial"/>
          <w:b w:val="0"/>
          <w:bCs/>
          <w:i w:val="0"/>
          <w:szCs w:val="27"/>
          <w:u w:val="single"/>
        </w:rPr>
        <w:t xml:space="preserve">de </w:t>
      </w:r>
      <w:r w:rsidR="00182F3D">
        <w:rPr>
          <w:rFonts w:cs="Arial"/>
          <w:b w:val="0"/>
          <w:bCs/>
          <w:i w:val="0"/>
          <w:szCs w:val="27"/>
          <w:u w:val="single"/>
        </w:rPr>
        <w:t>*****</w:t>
      </w:r>
      <w:r w:rsidR="00015085" w:rsidRPr="00930DDD">
        <w:rPr>
          <w:rFonts w:cs="Arial"/>
          <w:b w:val="0"/>
          <w:bCs/>
          <w:i w:val="0"/>
          <w:szCs w:val="27"/>
          <w:u w:val="single"/>
        </w:rPr>
        <w:t xml:space="preserve"> (</w:t>
      </w:r>
      <w:r w:rsidR="00182F3D">
        <w:rPr>
          <w:rFonts w:cs="Arial"/>
          <w:b w:val="0"/>
          <w:bCs/>
          <w:i w:val="0"/>
          <w:szCs w:val="27"/>
          <w:u w:val="single"/>
        </w:rPr>
        <w:t>****</w:t>
      </w:r>
      <w:r w:rsidR="00015085" w:rsidRPr="00930DDD">
        <w:rPr>
          <w:rFonts w:cs="Arial"/>
          <w:b w:val="0"/>
          <w:bCs/>
          <w:i w:val="0"/>
          <w:szCs w:val="27"/>
          <w:u w:val="single"/>
        </w:rPr>
        <w:t xml:space="preserve"> pesos 00/100 m.n.) que ampara el recibo número </w:t>
      </w:r>
      <w:r w:rsidR="00182F3D">
        <w:rPr>
          <w:rFonts w:cs="Arial"/>
          <w:b w:val="0"/>
          <w:bCs/>
          <w:i w:val="0"/>
          <w:szCs w:val="27"/>
          <w:u w:val="single"/>
        </w:rPr>
        <w:t>*****</w:t>
      </w:r>
      <w:r w:rsidR="00015085" w:rsidRPr="00930DDD">
        <w:rPr>
          <w:rFonts w:cs="Arial"/>
          <w:b w:val="0"/>
          <w:bCs/>
          <w:i w:val="0"/>
          <w:szCs w:val="27"/>
          <w:u w:val="single"/>
        </w:rPr>
        <w:t xml:space="preserve">, de fecha </w:t>
      </w:r>
      <w:r w:rsidR="00182F3D">
        <w:rPr>
          <w:rFonts w:cs="Arial"/>
          <w:b w:val="0"/>
          <w:bCs/>
          <w:i w:val="0"/>
          <w:szCs w:val="27"/>
          <w:u w:val="single"/>
        </w:rPr>
        <w:t>*****</w:t>
      </w:r>
      <w:r w:rsidR="00015085" w:rsidRPr="00930DDD">
        <w:rPr>
          <w:rFonts w:cs="Arial"/>
          <w:b w:val="0"/>
          <w:bCs/>
          <w:i w:val="0"/>
          <w:szCs w:val="27"/>
          <w:u w:val="single"/>
        </w:rPr>
        <w:t xml:space="preserve"> de </w:t>
      </w:r>
      <w:r w:rsidR="00182F3D">
        <w:rPr>
          <w:rFonts w:cs="Arial"/>
          <w:b w:val="0"/>
          <w:bCs/>
          <w:i w:val="0"/>
          <w:szCs w:val="27"/>
          <w:u w:val="single"/>
        </w:rPr>
        <w:t>*****</w:t>
      </w:r>
      <w:r w:rsidR="00015085" w:rsidRPr="00930DDD">
        <w:rPr>
          <w:rFonts w:cs="Arial"/>
          <w:b w:val="0"/>
          <w:bCs/>
          <w:i w:val="0"/>
          <w:szCs w:val="27"/>
          <w:u w:val="single"/>
        </w:rPr>
        <w:t xml:space="preserve"> de dos mil </w:t>
      </w:r>
      <w:r w:rsidR="00182F3D">
        <w:rPr>
          <w:rFonts w:cs="Arial"/>
          <w:b w:val="0"/>
          <w:bCs/>
          <w:i w:val="0"/>
          <w:szCs w:val="27"/>
          <w:u w:val="single"/>
        </w:rPr>
        <w:t>*****</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3E0CBC">
      <w:pPr>
        <w:pStyle w:val="Sangra2detindependiente1"/>
        <w:spacing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4B22DE">
      <w:pPr>
        <w:widowControl w:val="0"/>
        <w:spacing w:after="0"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4883D91B" w14:textId="77777777" w:rsidR="004B22DE" w:rsidRPr="007C7071" w:rsidRDefault="004B22DE" w:rsidP="004B22DE">
      <w:pPr>
        <w:widowControl w:val="0"/>
        <w:spacing w:after="0" w:line="360" w:lineRule="auto"/>
        <w:ind w:right="51" w:firstLine="567"/>
        <w:jc w:val="both"/>
        <w:rPr>
          <w:rFonts w:ascii="Arial" w:eastAsia="Times New Roman" w:hAnsi="Arial" w:cs="Arial"/>
          <w:sz w:val="10"/>
          <w:szCs w:val="24"/>
          <w:lang w:val="es-ES" w:eastAsia="es-ES"/>
        </w:rPr>
      </w:pPr>
    </w:p>
    <w:p w14:paraId="052CCE4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217574">
      <w:headerReference w:type="even" r:id="rId8"/>
      <w:headerReference w:type="default" r:id="rId9"/>
      <w:footerReference w:type="default" r:id="rId10"/>
      <w:headerReference w:type="first" r:id="rId11"/>
      <w:pgSz w:w="12240" w:h="20160" w:code="5"/>
      <w:pgMar w:top="1607"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F8718" w14:textId="77777777" w:rsidR="004E4CD9" w:rsidRDefault="004E4CD9" w:rsidP="00604752">
      <w:pPr>
        <w:spacing w:after="0" w:line="240" w:lineRule="auto"/>
      </w:pPr>
      <w:r>
        <w:separator/>
      </w:r>
    </w:p>
  </w:endnote>
  <w:endnote w:type="continuationSeparator" w:id="0">
    <w:p w14:paraId="04BB284C" w14:textId="77777777" w:rsidR="004E4CD9" w:rsidRDefault="004E4CD9"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3A02F7C0"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4840CF" w:rsidRPr="004840CF">
          <w:rPr>
            <w:rFonts w:ascii="Arial" w:hAnsi="Arial" w:cs="Arial"/>
            <w:noProof/>
            <w:sz w:val="24"/>
            <w:szCs w:val="24"/>
            <w:lang w:val="es-ES"/>
          </w:rPr>
          <w:t>4</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F3DCF" w14:textId="77777777" w:rsidR="004E4CD9" w:rsidRDefault="004E4CD9" w:rsidP="00604752">
      <w:pPr>
        <w:spacing w:after="0" w:line="240" w:lineRule="auto"/>
      </w:pPr>
      <w:r>
        <w:separator/>
      </w:r>
    </w:p>
  </w:footnote>
  <w:footnote w:type="continuationSeparator" w:id="0">
    <w:p w14:paraId="0A6BBB11" w14:textId="77777777" w:rsidR="004E4CD9" w:rsidRDefault="004E4CD9"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A7040" w14:textId="4B56FE6B" w:rsidR="00217574" w:rsidRDefault="00217574">
    <w:pPr>
      <w:pStyle w:val="Encabezado"/>
    </w:pPr>
    <w:r w:rsidRPr="00217574">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2BCA4FB7" wp14:editId="652A43E5">
              <wp:simplePos x="0" y="0"/>
              <wp:positionH relativeFrom="rightMargin">
                <wp:align>left</wp:align>
              </wp:positionH>
              <wp:positionV relativeFrom="paragraph">
                <wp:posOffset>3775075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9465453" w14:textId="77777777" w:rsidR="00217574" w:rsidRDefault="00217574" w:rsidP="00217574">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CA4FB7" id="_x0000_t202" coordsize="21600,21600" o:spt="202" path="m,l,21600r21600,l21600,xe">
              <v:stroke joinstyle="miter"/>
              <v:path gradientshapeok="t" o:connecttype="rect"/>
            </v:shapetype>
            <v:shape id="Cuadro de texto 1" o:spid="_x0000_s1026" type="#_x0000_t202" style="position:absolute;margin-left:0;margin-top:297.2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">
              <v:textbox>
                <w:txbxContent>
                  <w:p w14:paraId="79465453" w14:textId="77777777" w:rsidR="00217574" w:rsidRDefault="00217574" w:rsidP="00217574">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1AF0B507" w:rsidR="0076338B" w:rsidRDefault="00217574">
    <w:pPr>
      <w:pStyle w:val="Encabezado"/>
    </w:pPr>
    <w:r w:rsidRPr="00217574">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1F5D8F68" wp14:editId="3DB48B3A">
              <wp:simplePos x="0" y="0"/>
              <wp:positionH relativeFrom="leftMargin">
                <wp:align>right</wp:align>
              </wp:positionH>
              <wp:positionV relativeFrom="paragraph">
                <wp:posOffset>4959985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4C1EC13A" w14:textId="77777777" w:rsidR="00217574" w:rsidRDefault="00217574" w:rsidP="00217574">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5D8F68" id="_x0000_t202" coordsize="21600,21600" o:spt="202" path="m,l,21600r21600,l21600,xe">
              <v:stroke joinstyle="miter"/>
              <v:path gradientshapeok="t" o:connecttype="rect"/>
            </v:shapetype>
            <v:shape id="_x0000_s1027" type="#_x0000_t202" style="position:absolute;margin-left:41.8pt;margin-top:390.5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">
              <v:textbox>
                <w:txbxContent>
                  <w:p w14:paraId="4C1EC13A" w14:textId="77777777" w:rsidR="00217574" w:rsidRDefault="00217574" w:rsidP="00217574">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0AB9701E">
          <wp:simplePos x="0" y="0"/>
          <wp:positionH relativeFrom="page">
            <wp:align>right</wp:align>
          </wp:positionH>
          <wp:positionV relativeFrom="paragraph">
            <wp:posOffset>4161790</wp:posOffset>
          </wp:positionV>
          <wp:extent cx="7711312" cy="2869325"/>
          <wp:effectExtent l="0" t="0" r="4445" b="762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72CA940C">
          <wp:simplePos x="0" y="0"/>
          <wp:positionH relativeFrom="page">
            <wp:align>left</wp:align>
          </wp:positionH>
          <wp:positionV relativeFrom="paragraph">
            <wp:posOffset>4152265</wp:posOffset>
          </wp:positionV>
          <wp:extent cx="7711312" cy="2869325"/>
          <wp:effectExtent l="0" t="0" r="4445" b="762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74030679">
    <w:abstractNumId w:val="2"/>
  </w:num>
  <w:num w:numId="2" w16cid:durableId="2088501836">
    <w:abstractNumId w:val="3"/>
  </w:num>
  <w:num w:numId="3" w16cid:durableId="1245534644">
    <w:abstractNumId w:val="6"/>
  </w:num>
  <w:num w:numId="4" w16cid:durableId="9072297">
    <w:abstractNumId w:val="0"/>
  </w:num>
  <w:num w:numId="5" w16cid:durableId="1163470200">
    <w:abstractNumId w:val="4"/>
  </w:num>
  <w:num w:numId="6" w16cid:durableId="70785625">
    <w:abstractNumId w:val="1"/>
  </w:num>
  <w:num w:numId="7" w16cid:durableId="6624658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12F54"/>
    <w:rsid w:val="00015085"/>
    <w:rsid w:val="000203B2"/>
    <w:rsid w:val="00021165"/>
    <w:rsid w:val="0002230F"/>
    <w:rsid w:val="00023E0F"/>
    <w:rsid w:val="0002521A"/>
    <w:rsid w:val="00026BB2"/>
    <w:rsid w:val="00030491"/>
    <w:rsid w:val="00032827"/>
    <w:rsid w:val="000337D1"/>
    <w:rsid w:val="00035E01"/>
    <w:rsid w:val="000363E1"/>
    <w:rsid w:val="00036A0C"/>
    <w:rsid w:val="00043748"/>
    <w:rsid w:val="00045E11"/>
    <w:rsid w:val="00051177"/>
    <w:rsid w:val="0005415A"/>
    <w:rsid w:val="000662B7"/>
    <w:rsid w:val="00074AEC"/>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6172"/>
    <w:rsid w:val="000C6FAD"/>
    <w:rsid w:val="000D23FD"/>
    <w:rsid w:val="000E1601"/>
    <w:rsid w:val="000E2FD3"/>
    <w:rsid w:val="000E728E"/>
    <w:rsid w:val="001009AB"/>
    <w:rsid w:val="00102315"/>
    <w:rsid w:val="00115274"/>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58D6"/>
    <w:rsid w:val="0016783D"/>
    <w:rsid w:val="00181533"/>
    <w:rsid w:val="00182786"/>
    <w:rsid w:val="00182F3D"/>
    <w:rsid w:val="00196279"/>
    <w:rsid w:val="001A1FE9"/>
    <w:rsid w:val="001A2788"/>
    <w:rsid w:val="001B0663"/>
    <w:rsid w:val="001B5DC7"/>
    <w:rsid w:val="001B77BA"/>
    <w:rsid w:val="001C0F76"/>
    <w:rsid w:val="001C6514"/>
    <w:rsid w:val="001D267C"/>
    <w:rsid w:val="001E1A1B"/>
    <w:rsid w:val="001E49C1"/>
    <w:rsid w:val="001E4A0B"/>
    <w:rsid w:val="001F2FF9"/>
    <w:rsid w:val="00203B91"/>
    <w:rsid w:val="00217574"/>
    <w:rsid w:val="002257D3"/>
    <w:rsid w:val="00226128"/>
    <w:rsid w:val="00230E4C"/>
    <w:rsid w:val="002318D5"/>
    <w:rsid w:val="002419CF"/>
    <w:rsid w:val="00245075"/>
    <w:rsid w:val="00251577"/>
    <w:rsid w:val="002524BD"/>
    <w:rsid w:val="00252E0F"/>
    <w:rsid w:val="002566BB"/>
    <w:rsid w:val="00265704"/>
    <w:rsid w:val="00267C69"/>
    <w:rsid w:val="0027164D"/>
    <w:rsid w:val="002747AF"/>
    <w:rsid w:val="0027572E"/>
    <w:rsid w:val="0027767F"/>
    <w:rsid w:val="0028475A"/>
    <w:rsid w:val="002914F2"/>
    <w:rsid w:val="00292144"/>
    <w:rsid w:val="00295133"/>
    <w:rsid w:val="002A6281"/>
    <w:rsid w:val="002A7FE6"/>
    <w:rsid w:val="002B245A"/>
    <w:rsid w:val="002B2C0E"/>
    <w:rsid w:val="002B52BC"/>
    <w:rsid w:val="002C0FD7"/>
    <w:rsid w:val="002D696F"/>
    <w:rsid w:val="002E0F64"/>
    <w:rsid w:val="002F08AA"/>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46EA0"/>
    <w:rsid w:val="00350413"/>
    <w:rsid w:val="00351EF2"/>
    <w:rsid w:val="00352A96"/>
    <w:rsid w:val="0035344A"/>
    <w:rsid w:val="0035374B"/>
    <w:rsid w:val="00354B88"/>
    <w:rsid w:val="003569E3"/>
    <w:rsid w:val="00363EFF"/>
    <w:rsid w:val="00370E42"/>
    <w:rsid w:val="00371394"/>
    <w:rsid w:val="00371465"/>
    <w:rsid w:val="00375C9A"/>
    <w:rsid w:val="00387930"/>
    <w:rsid w:val="00387B42"/>
    <w:rsid w:val="003905EF"/>
    <w:rsid w:val="003C1032"/>
    <w:rsid w:val="003C27E4"/>
    <w:rsid w:val="003C37D1"/>
    <w:rsid w:val="003C3CAD"/>
    <w:rsid w:val="003C7C99"/>
    <w:rsid w:val="003D6C41"/>
    <w:rsid w:val="003E0CBC"/>
    <w:rsid w:val="003E3CFA"/>
    <w:rsid w:val="003E65D9"/>
    <w:rsid w:val="003E727C"/>
    <w:rsid w:val="003F2E0D"/>
    <w:rsid w:val="004018A4"/>
    <w:rsid w:val="004107AC"/>
    <w:rsid w:val="00410B01"/>
    <w:rsid w:val="00420F89"/>
    <w:rsid w:val="00421E9B"/>
    <w:rsid w:val="00423C8C"/>
    <w:rsid w:val="00425036"/>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3BF"/>
    <w:rsid w:val="00481380"/>
    <w:rsid w:val="0048308A"/>
    <w:rsid w:val="004840CF"/>
    <w:rsid w:val="00485E2A"/>
    <w:rsid w:val="00492932"/>
    <w:rsid w:val="004A0097"/>
    <w:rsid w:val="004A0EDA"/>
    <w:rsid w:val="004A23FF"/>
    <w:rsid w:val="004A3D3D"/>
    <w:rsid w:val="004B030F"/>
    <w:rsid w:val="004B0D7E"/>
    <w:rsid w:val="004B22DE"/>
    <w:rsid w:val="004C0019"/>
    <w:rsid w:val="004C582E"/>
    <w:rsid w:val="004D40B5"/>
    <w:rsid w:val="004E1EA0"/>
    <w:rsid w:val="004E4CD9"/>
    <w:rsid w:val="004E6EA5"/>
    <w:rsid w:val="004F202C"/>
    <w:rsid w:val="004F5EA4"/>
    <w:rsid w:val="00504B18"/>
    <w:rsid w:val="00504C8D"/>
    <w:rsid w:val="00504CD6"/>
    <w:rsid w:val="005117EA"/>
    <w:rsid w:val="00511877"/>
    <w:rsid w:val="00522225"/>
    <w:rsid w:val="00522A94"/>
    <w:rsid w:val="00524C59"/>
    <w:rsid w:val="005277D3"/>
    <w:rsid w:val="00533365"/>
    <w:rsid w:val="0053425C"/>
    <w:rsid w:val="005359BA"/>
    <w:rsid w:val="005428ED"/>
    <w:rsid w:val="00551613"/>
    <w:rsid w:val="00554D73"/>
    <w:rsid w:val="00555D1C"/>
    <w:rsid w:val="0055660F"/>
    <w:rsid w:val="005579FF"/>
    <w:rsid w:val="00564CE2"/>
    <w:rsid w:val="00566787"/>
    <w:rsid w:val="00571FEB"/>
    <w:rsid w:val="00573D74"/>
    <w:rsid w:val="005814B7"/>
    <w:rsid w:val="00581667"/>
    <w:rsid w:val="00583B55"/>
    <w:rsid w:val="00583E3A"/>
    <w:rsid w:val="00591D82"/>
    <w:rsid w:val="005A4A79"/>
    <w:rsid w:val="005B18A3"/>
    <w:rsid w:val="005B2116"/>
    <w:rsid w:val="005B5E0B"/>
    <w:rsid w:val="005B650F"/>
    <w:rsid w:val="005C329C"/>
    <w:rsid w:val="005C3D34"/>
    <w:rsid w:val="005D28D8"/>
    <w:rsid w:val="005D3B58"/>
    <w:rsid w:val="005F5334"/>
    <w:rsid w:val="005F6C33"/>
    <w:rsid w:val="00600AF3"/>
    <w:rsid w:val="00604752"/>
    <w:rsid w:val="00620928"/>
    <w:rsid w:val="00620938"/>
    <w:rsid w:val="00625ECE"/>
    <w:rsid w:val="00633E37"/>
    <w:rsid w:val="00641215"/>
    <w:rsid w:val="00641CD0"/>
    <w:rsid w:val="00642D22"/>
    <w:rsid w:val="00642DF7"/>
    <w:rsid w:val="00653CF6"/>
    <w:rsid w:val="00655705"/>
    <w:rsid w:val="0066005E"/>
    <w:rsid w:val="00670A60"/>
    <w:rsid w:val="0069002D"/>
    <w:rsid w:val="006908BC"/>
    <w:rsid w:val="00694F98"/>
    <w:rsid w:val="00696743"/>
    <w:rsid w:val="006A54B9"/>
    <w:rsid w:val="006B091C"/>
    <w:rsid w:val="006B2272"/>
    <w:rsid w:val="006B6EE7"/>
    <w:rsid w:val="006B7E96"/>
    <w:rsid w:val="006C146D"/>
    <w:rsid w:val="006C66B7"/>
    <w:rsid w:val="006D29F5"/>
    <w:rsid w:val="006D5469"/>
    <w:rsid w:val="006E71B3"/>
    <w:rsid w:val="006F0524"/>
    <w:rsid w:val="006F3FD9"/>
    <w:rsid w:val="00700A6E"/>
    <w:rsid w:val="00701933"/>
    <w:rsid w:val="00705168"/>
    <w:rsid w:val="00711DCC"/>
    <w:rsid w:val="0071481E"/>
    <w:rsid w:val="00714DB4"/>
    <w:rsid w:val="0071655A"/>
    <w:rsid w:val="00720051"/>
    <w:rsid w:val="0072112F"/>
    <w:rsid w:val="007212E3"/>
    <w:rsid w:val="00731A17"/>
    <w:rsid w:val="00732F50"/>
    <w:rsid w:val="00734A25"/>
    <w:rsid w:val="00742B73"/>
    <w:rsid w:val="00742C49"/>
    <w:rsid w:val="00742D1B"/>
    <w:rsid w:val="00747EB3"/>
    <w:rsid w:val="00750B8A"/>
    <w:rsid w:val="00754B12"/>
    <w:rsid w:val="0076119B"/>
    <w:rsid w:val="0076338B"/>
    <w:rsid w:val="00765C49"/>
    <w:rsid w:val="00775EA3"/>
    <w:rsid w:val="00783959"/>
    <w:rsid w:val="00785B67"/>
    <w:rsid w:val="007866EA"/>
    <w:rsid w:val="00787341"/>
    <w:rsid w:val="007917DD"/>
    <w:rsid w:val="00793DA7"/>
    <w:rsid w:val="007960F5"/>
    <w:rsid w:val="007A14F2"/>
    <w:rsid w:val="007B2C4C"/>
    <w:rsid w:val="007B386F"/>
    <w:rsid w:val="007B5995"/>
    <w:rsid w:val="007C4592"/>
    <w:rsid w:val="007C4EBB"/>
    <w:rsid w:val="007C7071"/>
    <w:rsid w:val="007D0F26"/>
    <w:rsid w:val="007D5781"/>
    <w:rsid w:val="007D64EC"/>
    <w:rsid w:val="007D64ED"/>
    <w:rsid w:val="007E112A"/>
    <w:rsid w:val="007F03CD"/>
    <w:rsid w:val="007F54D9"/>
    <w:rsid w:val="00800787"/>
    <w:rsid w:val="00801C91"/>
    <w:rsid w:val="00804B71"/>
    <w:rsid w:val="008067B1"/>
    <w:rsid w:val="00806EAC"/>
    <w:rsid w:val="008072E7"/>
    <w:rsid w:val="00807E34"/>
    <w:rsid w:val="00817A5C"/>
    <w:rsid w:val="00820DC4"/>
    <w:rsid w:val="00820E15"/>
    <w:rsid w:val="0082290F"/>
    <w:rsid w:val="00830200"/>
    <w:rsid w:val="0083186B"/>
    <w:rsid w:val="00832B4F"/>
    <w:rsid w:val="00835131"/>
    <w:rsid w:val="00855326"/>
    <w:rsid w:val="00856627"/>
    <w:rsid w:val="00856D6D"/>
    <w:rsid w:val="0088558F"/>
    <w:rsid w:val="00885E7B"/>
    <w:rsid w:val="00891558"/>
    <w:rsid w:val="008A2064"/>
    <w:rsid w:val="008A2FD4"/>
    <w:rsid w:val="008A3A19"/>
    <w:rsid w:val="008A4435"/>
    <w:rsid w:val="008B0405"/>
    <w:rsid w:val="008B0DBF"/>
    <w:rsid w:val="008B7C4F"/>
    <w:rsid w:val="008C0D59"/>
    <w:rsid w:val="008C1AC1"/>
    <w:rsid w:val="008C25FD"/>
    <w:rsid w:val="008C6A3C"/>
    <w:rsid w:val="008C764E"/>
    <w:rsid w:val="008D1A6D"/>
    <w:rsid w:val="008D71C0"/>
    <w:rsid w:val="008D748B"/>
    <w:rsid w:val="008E453F"/>
    <w:rsid w:val="008F0098"/>
    <w:rsid w:val="008F0BE4"/>
    <w:rsid w:val="00903B51"/>
    <w:rsid w:val="009077DC"/>
    <w:rsid w:val="00910E7B"/>
    <w:rsid w:val="0091257C"/>
    <w:rsid w:val="00912E3C"/>
    <w:rsid w:val="00920C87"/>
    <w:rsid w:val="009210BB"/>
    <w:rsid w:val="0093055C"/>
    <w:rsid w:val="00930DDD"/>
    <w:rsid w:val="00942F68"/>
    <w:rsid w:val="009441FE"/>
    <w:rsid w:val="00944977"/>
    <w:rsid w:val="00945DEA"/>
    <w:rsid w:val="009518EB"/>
    <w:rsid w:val="00953FA6"/>
    <w:rsid w:val="009544F4"/>
    <w:rsid w:val="00960A43"/>
    <w:rsid w:val="0096662B"/>
    <w:rsid w:val="00966F53"/>
    <w:rsid w:val="00975C4C"/>
    <w:rsid w:val="00982481"/>
    <w:rsid w:val="009A3A46"/>
    <w:rsid w:val="009A4EB1"/>
    <w:rsid w:val="009A5429"/>
    <w:rsid w:val="009A7918"/>
    <w:rsid w:val="009B70EA"/>
    <w:rsid w:val="009B727A"/>
    <w:rsid w:val="009C0C09"/>
    <w:rsid w:val="009C3AB3"/>
    <w:rsid w:val="009C68FE"/>
    <w:rsid w:val="009D3AE7"/>
    <w:rsid w:val="009D6280"/>
    <w:rsid w:val="009D7C28"/>
    <w:rsid w:val="009E5B18"/>
    <w:rsid w:val="009E6F49"/>
    <w:rsid w:val="009F3E45"/>
    <w:rsid w:val="00A02773"/>
    <w:rsid w:val="00A04B22"/>
    <w:rsid w:val="00A061F4"/>
    <w:rsid w:val="00A127E8"/>
    <w:rsid w:val="00A12CD4"/>
    <w:rsid w:val="00A155F9"/>
    <w:rsid w:val="00A17D80"/>
    <w:rsid w:val="00A25FB6"/>
    <w:rsid w:val="00A40006"/>
    <w:rsid w:val="00A4179A"/>
    <w:rsid w:val="00A43413"/>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4B98"/>
    <w:rsid w:val="00A9514B"/>
    <w:rsid w:val="00A95C95"/>
    <w:rsid w:val="00AA5876"/>
    <w:rsid w:val="00AA68B4"/>
    <w:rsid w:val="00AB34AE"/>
    <w:rsid w:val="00AC7A12"/>
    <w:rsid w:val="00AD2DBD"/>
    <w:rsid w:val="00AD4F5A"/>
    <w:rsid w:val="00AE51B3"/>
    <w:rsid w:val="00AF4B3A"/>
    <w:rsid w:val="00AF69FC"/>
    <w:rsid w:val="00B027D1"/>
    <w:rsid w:val="00B058FC"/>
    <w:rsid w:val="00B10C7A"/>
    <w:rsid w:val="00B12B90"/>
    <w:rsid w:val="00B15B86"/>
    <w:rsid w:val="00B17526"/>
    <w:rsid w:val="00B20292"/>
    <w:rsid w:val="00B31321"/>
    <w:rsid w:val="00B416AA"/>
    <w:rsid w:val="00B41B7D"/>
    <w:rsid w:val="00B443A5"/>
    <w:rsid w:val="00B44973"/>
    <w:rsid w:val="00B605A5"/>
    <w:rsid w:val="00B6175C"/>
    <w:rsid w:val="00B65AEB"/>
    <w:rsid w:val="00B7672E"/>
    <w:rsid w:val="00B77C54"/>
    <w:rsid w:val="00B8023E"/>
    <w:rsid w:val="00B82C06"/>
    <w:rsid w:val="00B84660"/>
    <w:rsid w:val="00B8697C"/>
    <w:rsid w:val="00B96496"/>
    <w:rsid w:val="00BA097E"/>
    <w:rsid w:val="00BA763A"/>
    <w:rsid w:val="00BB485D"/>
    <w:rsid w:val="00BD0277"/>
    <w:rsid w:val="00BD5D6A"/>
    <w:rsid w:val="00BD7643"/>
    <w:rsid w:val="00BE5B63"/>
    <w:rsid w:val="00BE617D"/>
    <w:rsid w:val="00BF034F"/>
    <w:rsid w:val="00BF1D3E"/>
    <w:rsid w:val="00C07985"/>
    <w:rsid w:val="00C07DAF"/>
    <w:rsid w:val="00C07F53"/>
    <w:rsid w:val="00C1168F"/>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7360C"/>
    <w:rsid w:val="00C86257"/>
    <w:rsid w:val="00C908F5"/>
    <w:rsid w:val="00C934CE"/>
    <w:rsid w:val="00CA0FC8"/>
    <w:rsid w:val="00CA18A3"/>
    <w:rsid w:val="00CA2A9A"/>
    <w:rsid w:val="00CB43BB"/>
    <w:rsid w:val="00CB512D"/>
    <w:rsid w:val="00CB5F39"/>
    <w:rsid w:val="00CC01DB"/>
    <w:rsid w:val="00CC10B7"/>
    <w:rsid w:val="00CC3A04"/>
    <w:rsid w:val="00CD643E"/>
    <w:rsid w:val="00CD6AA0"/>
    <w:rsid w:val="00CE19F5"/>
    <w:rsid w:val="00CE43E4"/>
    <w:rsid w:val="00CF31A1"/>
    <w:rsid w:val="00CF61E3"/>
    <w:rsid w:val="00D03C91"/>
    <w:rsid w:val="00D06B45"/>
    <w:rsid w:val="00D07184"/>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3CA4"/>
    <w:rsid w:val="00D96FCD"/>
    <w:rsid w:val="00DA6A9E"/>
    <w:rsid w:val="00DA7969"/>
    <w:rsid w:val="00DB0414"/>
    <w:rsid w:val="00DB2E20"/>
    <w:rsid w:val="00DB3BD6"/>
    <w:rsid w:val="00DC2B07"/>
    <w:rsid w:val="00DC47AE"/>
    <w:rsid w:val="00DC7145"/>
    <w:rsid w:val="00DD6510"/>
    <w:rsid w:val="00DD658D"/>
    <w:rsid w:val="00DD6947"/>
    <w:rsid w:val="00DE37D8"/>
    <w:rsid w:val="00DE59D1"/>
    <w:rsid w:val="00DF0467"/>
    <w:rsid w:val="00DF1F3C"/>
    <w:rsid w:val="00DF473B"/>
    <w:rsid w:val="00DF63A3"/>
    <w:rsid w:val="00E06C2E"/>
    <w:rsid w:val="00E12823"/>
    <w:rsid w:val="00E24A0B"/>
    <w:rsid w:val="00E25135"/>
    <w:rsid w:val="00E309E5"/>
    <w:rsid w:val="00E30A39"/>
    <w:rsid w:val="00E32BB5"/>
    <w:rsid w:val="00E4118C"/>
    <w:rsid w:val="00E4191B"/>
    <w:rsid w:val="00E423E9"/>
    <w:rsid w:val="00E4400C"/>
    <w:rsid w:val="00E4538B"/>
    <w:rsid w:val="00E47755"/>
    <w:rsid w:val="00E6586E"/>
    <w:rsid w:val="00E70102"/>
    <w:rsid w:val="00E70E1C"/>
    <w:rsid w:val="00E7377C"/>
    <w:rsid w:val="00E75B34"/>
    <w:rsid w:val="00E75B62"/>
    <w:rsid w:val="00E81231"/>
    <w:rsid w:val="00E81450"/>
    <w:rsid w:val="00E823FD"/>
    <w:rsid w:val="00E9031A"/>
    <w:rsid w:val="00E93845"/>
    <w:rsid w:val="00E93CFD"/>
    <w:rsid w:val="00E94133"/>
    <w:rsid w:val="00EA6EDA"/>
    <w:rsid w:val="00EB0371"/>
    <w:rsid w:val="00EB0CEB"/>
    <w:rsid w:val="00EB758B"/>
    <w:rsid w:val="00EB75F1"/>
    <w:rsid w:val="00EC1F3D"/>
    <w:rsid w:val="00EC3012"/>
    <w:rsid w:val="00EC4690"/>
    <w:rsid w:val="00EF689F"/>
    <w:rsid w:val="00F11637"/>
    <w:rsid w:val="00F12439"/>
    <w:rsid w:val="00F23495"/>
    <w:rsid w:val="00F27766"/>
    <w:rsid w:val="00F3684C"/>
    <w:rsid w:val="00F40571"/>
    <w:rsid w:val="00F41707"/>
    <w:rsid w:val="00F4400B"/>
    <w:rsid w:val="00F444B9"/>
    <w:rsid w:val="00F446A8"/>
    <w:rsid w:val="00F45547"/>
    <w:rsid w:val="00F55045"/>
    <w:rsid w:val="00F571F9"/>
    <w:rsid w:val="00F75388"/>
    <w:rsid w:val="00F80253"/>
    <w:rsid w:val="00F86678"/>
    <w:rsid w:val="00F92915"/>
    <w:rsid w:val="00F97BD9"/>
    <w:rsid w:val="00F97CBE"/>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AFC98-424D-4925-B005-EFA437E55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2689</TotalTime>
  <Pages>8</Pages>
  <Words>3117</Words>
  <Characters>17148</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329</cp:revision>
  <cp:lastPrinted>2019-12-09T18:09:00Z</cp:lastPrinted>
  <dcterms:created xsi:type="dcterms:W3CDTF">2020-06-01T16:32:00Z</dcterms:created>
  <dcterms:modified xsi:type="dcterms:W3CDTF">2023-01-24T21:55:00Z</dcterms:modified>
</cp:coreProperties>
</file>