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1D7" w:rsidRDefault="002D11D7"/>
    <w:tbl>
      <w:tblPr>
        <w:tblpPr w:leftFromText="141" w:rightFromText="141" w:vertAnchor="text" w:horzAnchor="margin" w:tblpXSpec="right" w:tblpYSpec="outside"/>
        <w:tblW w:w="9360" w:type="dxa"/>
        <w:tblLayout w:type="fixed"/>
        <w:tblCellMar>
          <w:left w:w="70" w:type="dxa"/>
          <w:right w:w="70" w:type="dxa"/>
        </w:tblCellMar>
        <w:tblLook w:val="04A0" w:firstRow="1" w:lastRow="0" w:firstColumn="1" w:lastColumn="0" w:noHBand="0" w:noVBand="1"/>
      </w:tblPr>
      <w:tblGrid>
        <w:gridCol w:w="2357"/>
        <w:gridCol w:w="7003"/>
      </w:tblGrid>
      <w:tr w:rsidR="008B5A5C" w:rsidTr="008B5A5C">
        <w:tc>
          <w:tcPr>
            <w:tcW w:w="2357" w:type="dxa"/>
          </w:tcPr>
          <w:p w:rsidR="008B5A5C" w:rsidRDefault="008B5A5C" w:rsidP="008B5A5C">
            <w:pPr>
              <w:pStyle w:val="Ttulo1"/>
              <w:spacing w:line="360" w:lineRule="auto"/>
              <w:rPr>
                <w:rFonts w:ascii="Arial" w:hAnsi="Arial" w:cs="Arial"/>
                <w:sz w:val="26"/>
                <w:szCs w:val="26"/>
              </w:rPr>
            </w:pPr>
          </w:p>
        </w:tc>
        <w:tc>
          <w:tcPr>
            <w:tcW w:w="7003" w:type="dxa"/>
            <w:hideMark/>
          </w:tcPr>
          <w:p w:rsidR="008B5A5C" w:rsidRDefault="008B5A5C" w:rsidP="008B5A5C">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SALA SUPERIOR DEL TRIBUNAL DE JUSTICIA ADMINISTRATIVA PARA EL ESTADO DE OAXACA.</w:t>
            </w:r>
          </w:p>
          <w:p w:rsidR="008B5A5C" w:rsidRDefault="008B5A5C" w:rsidP="008B5A5C">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JUICIO DE INCONFORMIDAD NUMERO: JI/058/2017.</w:t>
            </w:r>
          </w:p>
          <w:p w:rsidR="008B5A5C" w:rsidRDefault="008B5A5C" w:rsidP="008B5A5C">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ACTOR: ROSENDO MENDOZA MARÍN Y FABIOLA RUÍZ MALDONADO</w:t>
            </w:r>
            <w:r>
              <w:rPr>
                <w:rFonts w:ascii="Arial" w:hAnsi="Arial" w:cs="Arial"/>
                <w:b/>
                <w:bCs/>
                <w:iCs/>
                <w:caps/>
                <w:kern w:val="2"/>
                <w:sz w:val="24"/>
                <w:szCs w:val="24"/>
              </w:rPr>
              <w:t>.</w:t>
            </w:r>
          </w:p>
          <w:p w:rsidR="008B5A5C" w:rsidRDefault="008B5A5C" w:rsidP="008B5A5C">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 xml:space="preserve">DEMANDADO: ORGANO SUPERIOR DE FISCALIZACIÓN DEL ESTADO DE OAXACA.                               </w:t>
            </w:r>
          </w:p>
          <w:p w:rsidR="008B5A5C" w:rsidRDefault="008B5A5C" w:rsidP="008B5A5C">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PONENTE: MAGISTRADO MANUEL VELASCO ALCÁNTARA.</w:t>
            </w:r>
          </w:p>
          <w:p w:rsidR="008B5A5C" w:rsidRDefault="008B5A5C" w:rsidP="008B5A5C">
            <w:pPr>
              <w:spacing w:line="240" w:lineRule="auto"/>
              <w:ind w:left="1402"/>
              <w:jc w:val="both"/>
              <w:rPr>
                <w:rFonts w:ascii="Arial" w:eastAsia="Arial Unicode MS" w:hAnsi="Arial" w:cs="Arial"/>
                <w:b/>
                <w:sz w:val="26"/>
                <w:szCs w:val="26"/>
              </w:rPr>
            </w:pPr>
          </w:p>
        </w:tc>
      </w:tr>
    </w:tbl>
    <w:p w:rsidR="008B5A5C" w:rsidRDefault="008B5A5C" w:rsidP="008B5A5C">
      <w:pPr>
        <w:pStyle w:val="corte3centro"/>
        <w:ind w:right="51"/>
        <w:jc w:val="both"/>
        <w:rPr>
          <w:rFonts w:cs="Arial"/>
          <w:sz w:val="26"/>
          <w:szCs w:val="26"/>
        </w:rPr>
      </w:pPr>
      <w:r>
        <w:rPr>
          <w:rFonts w:cs="Arial"/>
          <w:sz w:val="26"/>
          <w:szCs w:val="26"/>
        </w:rPr>
        <w:t xml:space="preserve">OAXACA DE JUÁREZ, OAXACA, SEIS DE JUNIO DE DOS MIL DIECINUEVE. </w:t>
      </w:r>
    </w:p>
    <w:p w:rsidR="008B5A5C" w:rsidRPr="008B5A5C" w:rsidRDefault="008B5A5C" w:rsidP="008B5A5C">
      <w:pPr>
        <w:spacing w:after="0" w:line="360" w:lineRule="auto"/>
        <w:ind w:firstLine="567"/>
        <w:jc w:val="both"/>
        <w:rPr>
          <w:rFonts w:ascii="Arial" w:hAnsi="Arial" w:cs="Arial"/>
          <w:sz w:val="26"/>
          <w:szCs w:val="26"/>
        </w:rPr>
      </w:pPr>
      <w:r>
        <w:rPr>
          <w:rFonts w:ascii="Arial" w:eastAsia="Times New Roman" w:hAnsi="Arial" w:cs="Arial"/>
          <w:b/>
          <w:bCs/>
          <w:sz w:val="26"/>
          <w:szCs w:val="26"/>
          <w:lang w:val="es-ES_tradnl" w:eastAsia="es-ES"/>
        </w:rPr>
        <w:t xml:space="preserve">VISTOS, </w:t>
      </w:r>
      <w:r>
        <w:rPr>
          <w:rFonts w:ascii="Arial" w:hAnsi="Arial" w:cs="Arial"/>
          <w:sz w:val="26"/>
          <w:szCs w:val="26"/>
        </w:rPr>
        <w:t xml:space="preserve"> para resolver los autos del juicio de inconformidad </w:t>
      </w:r>
      <w:r>
        <w:rPr>
          <w:rFonts w:ascii="Arial" w:hAnsi="Arial" w:cs="Arial"/>
          <w:b/>
          <w:sz w:val="26"/>
          <w:szCs w:val="26"/>
        </w:rPr>
        <w:t>058/2017,</w:t>
      </w:r>
      <w:r>
        <w:rPr>
          <w:rFonts w:ascii="Arial" w:hAnsi="Arial" w:cs="Arial"/>
          <w:sz w:val="26"/>
          <w:szCs w:val="26"/>
        </w:rPr>
        <w:t xml:space="preserve"> promovido por </w:t>
      </w:r>
      <w:r>
        <w:rPr>
          <w:rFonts w:ascii="Arial" w:eastAsia="Arial Unicode MS" w:hAnsi="Arial" w:cs="Arial"/>
          <w:b/>
          <w:sz w:val="26"/>
          <w:szCs w:val="26"/>
        </w:rPr>
        <w:t xml:space="preserve">ROSENDO MENDOZA MARÍN Y </w:t>
      </w:r>
      <w:r w:rsidRPr="00E74F59">
        <w:rPr>
          <w:rFonts w:ascii="Arial" w:eastAsia="Arial Unicode MS" w:hAnsi="Arial" w:cs="Arial"/>
          <w:b/>
          <w:sz w:val="26"/>
          <w:szCs w:val="26"/>
        </w:rPr>
        <w:t>FABIOLA RUÍZ MALDONADO, EX ADMINISTRADOR Y EX TESORERA</w:t>
      </w:r>
      <w:r>
        <w:rPr>
          <w:rFonts w:ascii="Arial" w:eastAsia="Arial Unicode MS" w:hAnsi="Arial" w:cs="Arial"/>
          <w:b/>
          <w:sz w:val="26"/>
          <w:szCs w:val="26"/>
        </w:rPr>
        <w:t>,</w:t>
      </w:r>
      <w:r w:rsidRPr="00E74F59">
        <w:rPr>
          <w:rFonts w:ascii="Arial" w:eastAsia="Arial Unicode MS" w:hAnsi="Arial" w:cs="Arial"/>
          <w:b/>
          <w:sz w:val="26"/>
          <w:szCs w:val="26"/>
        </w:rPr>
        <w:t xml:space="preserve"> </w:t>
      </w:r>
      <w:r>
        <w:rPr>
          <w:rFonts w:ascii="Arial" w:eastAsia="Arial Unicode MS" w:hAnsi="Arial" w:cs="Arial"/>
          <w:b/>
          <w:sz w:val="26"/>
          <w:szCs w:val="26"/>
        </w:rPr>
        <w:t xml:space="preserve">AMBOS </w:t>
      </w:r>
      <w:r w:rsidRPr="00E74F59">
        <w:rPr>
          <w:rFonts w:ascii="Arial" w:eastAsia="Arial Unicode MS" w:hAnsi="Arial" w:cs="Arial"/>
          <w:b/>
          <w:sz w:val="26"/>
          <w:szCs w:val="26"/>
        </w:rPr>
        <w:t>DE</w:t>
      </w:r>
      <w:r>
        <w:rPr>
          <w:rFonts w:ascii="Arial" w:eastAsia="Arial Unicode MS" w:hAnsi="Arial" w:cs="Arial"/>
          <w:b/>
          <w:sz w:val="26"/>
          <w:szCs w:val="26"/>
        </w:rPr>
        <w:t xml:space="preserve">L MUNICIPIO </w:t>
      </w:r>
      <w:r w:rsidRPr="00E74F59">
        <w:rPr>
          <w:rFonts w:ascii="Arial" w:eastAsia="Arial Unicode MS" w:hAnsi="Arial" w:cs="Arial"/>
          <w:b/>
          <w:sz w:val="26"/>
          <w:szCs w:val="26"/>
        </w:rPr>
        <w:t xml:space="preserve">DE SAN FRANCISCO CHINDÚA, DISTRITO DE </w:t>
      </w:r>
      <w:r w:rsidRPr="00E74F59">
        <w:rPr>
          <w:rFonts w:ascii="Arial" w:hAnsi="Arial" w:cs="Arial"/>
          <w:b/>
          <w:bCs/>
          <w:iCs/>
          <w:caps/>
          <w:kern w:val="2"/>
          <w:sz w:val="26"/>
          <w:szCs w:val="26"/>
        </w:rPr>
        <w:t xml:space="preserve">NOCHIXTLAN, OAXACA, </w:t>
      </w:r>
      <w:r w:rsidRPr="00E74F59">
        <w:rPr>
          <w:rFonts w:ascii="Arial" w:hAnsi="Arial" w:cs="Arial"/>
          <w:sz w:val="26"/>
          <w:szCs w:val="26"/>
        </w:rPr>
        <w:t xml:space="preserve">en contra de la resolución de </w:t>
      </w:r>
      <w:r>
        <w:rPr>
          <w:rFonts w:ascii="Arial" w:hAnsi="Arial" w:cs="Arial"/>
          <w:sz w:val="26"/>
          <w:szCs w:val="26"/>
        </w:rPr>
        <w:t>veinte de octubre de dos mil diecisiete</w:t>
      </w:r>
      <w:r w:rsidRPr="00E74F59">
        <w:rPr>
          <w:rFonts w:ascii="Arial" w:hAnsi="Arial" w:cs="Arial"/>
          <w:sz w:val="26"/>
          <w:szCs w:val="26"/>
        </w:rPr>
        <w:t>, dictada en el recurso de reconsideración ASE/REC.R/0</w:t>
      </w:r>
      <w:r>
        <w:rPr>
          <w:rFonts w:ascii="Arial" w:hAnsi="Arial" w:cs="Arial"/>
          <w:sz w:val="26"/>
          <w:szCs w:val="26"/>
        </w:rPr>
        <w:t>057</w:t>
      </w:r>
      <w:r w:rsidRPr="00E74F59">
        <w:rPr>
          <w:rFonts w:ascii="Arial" w:hAnsi="Arial" w:cs="Arial"/>
          <w:sz w:val="26"/>
          <w:szCs w:val="26"/>
        </w:rPr>
        <w:t>/201</w:t>
      </w:r>
      <w:r>
        <w:rPr>
          <w:rFonts w:ascii="Arial" w:hAnsi="Arial" w:cs="Arial"/>
          <w:sz w:val="26"/>
          <w:szCs w:val="26"/>
        </w:rPr>
        <w:t xml:space="preserve">7; por el </w:t>
      </w:r>
      <w:r>
        <w:rPr>
          <w:rFonts w:ascii="Arial" w:hAnsi="Arial" w:cs="Arial"/>
          <w:b/>
          <w:sz w:val="26"/>
          <w:szCs w:val="26"/>
        </w:rPr>
        <w:t>TITULAR DEL ÓRGANO SUPERIOR DE FISCALIZACIÓN DEL ESTADO DE OAXACA,</w:t>
      </w:r>
      <w:r>
        <w:rPr>
          <w:rFonts w:ascii="Arial" w:hAnsi="Arial" w:cs="Arial"/>
          <w:sz w:val="26"/>
          <w:szCs w:val="26"/>
        </w:rPr>
        <w:t xml:space="preserve"> por lo que seguido que fue el actual proceso conforme a sus trámites y:  </w:t>
      </w:r>
    </w:p>
    <w:p w:rsidR="008B5A5C" w:rsidRDefault="008B5A5C" w:rsidP="008B5A5C">
      <w:pPr>
        <w:pStyle w:val="Textoindependiente21"/>
        <w:spacing w:line="360" w:lineRule="auto"/>
        <w:ind w:firstLine="0"/>
        <w:jc w:val="center"/>
        <w:rPr>
          <w:rFonts w:ascii="Arial" w:hAnsi="Arial" w:cs="Arial"/>
          <w:b/>
          <w:bCs/>
          <w:sz w:val="26"/>
          <w:szCs w:val="26"/>
        </w:rPr>
      </w:pPr>
      <w:r>
        <w:rPr>
          <w:rFonts w:ascii="Arial" w:hAnsi="Arial" w:cs="Arial"/>
          <w:b/>
          <w:bCs/>
          <w:sz w:val="26"/>
          <w:szCs w:val="26"/>
        </w:rPr>
        <w:t>R E S U L T A N D O:</w:t>
      </w:r>
    </w:p>
    <w:p w:rsidR="008B5A5C" w:rsidRDefault="008B5A5C" w:rsidP="008B5A5C">
      <w:pPr>
        <w:pStyle w:val="Textoindependiente21"/>
        <w:spacing w:line="240" w:lineRule="auto"/>
        <w:ind w:firstLine="0"/>
        <w:jc w:val="center"/>
        <w:rPr>
          <w:rFonts w:ascii="Arial" w:hAnsi="Arial" w:cs="Arial"/>
          <w:b/>
          <w:bCs/>
          <w:sz w:val="26"/>
          <w:szCs w:val="26"/>
        </w:rPr>
      </w:pPr>
    </w:p>
    <w:p w:rsidR="008B5A5C" w:rsidRDefault="008B5A5C" w:rsidP="008B5A5C">
      <w:pPr>
        <w:spacing w:after="0" w:line="360" w:lineRule="auto"/>
        <w:ind w:firstLine="567"/>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Por escrito recibido el ocho de diciembre de dos mil diecisiete, en la Oficialía de Partes Común del Tribunal de Justicia Administrativa del Estado, </w:t>
      </w:r>
      <w:r>
        <w:rPr>
          <w:rFonts w:ascii="Arial" w:eastAsia="Arial Unicode MS" w:hAnsi="Arial" w:cs="Arial"/>
          <w:b/>
          <w:sz w:val="26"/>
          <w:szCs w:val="26"/>
        </w:rPr>
        <w:t xml:space="preserve">ROSENDO MENDOZA MARÍN Y </w:t>
      </w:r>
      <w:r w:rsidRPr="00E74F59">
        <w:rPr>
          <w:rFonts w:ascii="Arial" w:eastAsia="Arial Unicode MS" w:hAnsi="Arial" w:cs="Arial"/>
          <w:b/>
          <w:sz w:val="26"/>
          <w:szCs w:val="26"/>
        </w:rPr>
        <w:t>FABIOLA RUÍZ MALDONADO, EX ADMINISTRADOR Y EX TESORERA</w:t>
      </w:r>
      <w:r>
        <w:rPr>
          <w:rFonts w:ascii="Arial" w:eastAsia="Arial Unicode MS" w:hAnsi="Arial" w:cs="Arial"/>
          <w:b/>
          <w:sz w:val="26"/>
          <w:szCs w:val="26"/>
        </w:rPr>
        <w:t>,</w:t>
      </w:r>
      <w:r w:rsidRPr="00E74F59">
        <w:rPr>
          <w:rFonts w:ascii="Arial" w:eastAsia="Arial Unicode MS" w:hAnsi="Arial" w:cs="Arial"/>
          <w:b/>
          <w:sz w:val="26"/>
          <w:szCs w:val="26"/>
        </w:rPr>
        <w:t xml:space="preserve"> </w:t>
      </w:r>
      <w:r>
        <w:rPr>
          <w:rFonts w:ascii="Arial" w:eastAsia="Arial Unicode MS" w:hAnsi="Arial" w:cs="Arial"/>
          <w:b/>
          <w:sz w:val="26"/>
          <w:szCs w:val="26"/>
        </w:rPr>
        <w:t xml:space="preserve">AMBOS </w:t>
      </w:r>
      <w:r w:rsidRPr="00E74F59">
        <w:rPr>
          <w:rFonts w:ascii="Arial" w:eastAsia="Arial Unicode MS" w:hAnsi="Arial" w:cs="Arial"/>
          <w:b/>
          <w:sz w:val="26"/>
          <w:szCs w:val="26"/>
        </w:rPr>
        <w:t>DE</w:t>
      </w:r>
      <w:r>
        <w:rPr>
          <w:rFonts w:ascii="Arial" w:eastAsia="Arial Unicode MS" w:hAnsi="Arial" w:cs="Arial"/>
          <w:b/>
          <w:sz w:val="26"/>
          <w:szCs w:val="26"/>
        </w:rPr>
        <w:t xml:space="preserve">L MUNICIPIO </w:t>
      </w:r>
      <w:r w:rsidRPr="00E74F59">
        <w:rPr>
          <w:rFonts w:ascii="Arial" w:eastAsia="Arial Unicode MS" w:hAnsi="Arial" w:cs="Arial"/>
          <w:b/>
          <w:sz w:val="26"/>
          <w:szCs w:val="26"/>
        </w:rPr>
        <w:t xml:space="preserve">DE SAN FRANCISCO CHINDÚA, DISTRITO DE </w:t>
      </w:r>
      <w:r w:rsidRPr="00E74F59">
        <w:rPr>
          <w:rFonts w:ascii="Arial" w:hAnsi="Arial" w:cs="Arial"/>
          <w:b/>
          <w:bCs/>
          <w:iCs/>
          <w:caps/>
          <w:kern w:val="2"/>
          <w:sz w:val="26"/>
          <w:szCs w:val="26"/>
        </w:rPr>
        <w:t>NOCHIXTLAN, OAXACA</w:t>
      </w:r>
      <w:r>
        <w:rPr>
          <w:rFonts w:ascii="Arial" w:hAnsi="Arial" w:cs="Arial"/>
          <w:b/>
          <w:bCs/>
          <w:iCs/>
          <w:caps/>
          <w:kern w:val="2"/>
          <w:sz w:val="26"/>
          <w:szCs w:val="26"/>
        </w:rPr>
        <w:t xml:space="preserve">, </w:t>
      </w:r>
      <w:r>
        <w:rPr>
          <w:rFonts w:ascii="Arial" w:hAnsi="Arial" w:cs="Arial"/>
          <w:bCs/>
          <w:iCs/>
          <w:kern w:val="2"/>
          <w:sz w:val="26"/>
          <w:szCs w:val="26"/>
        </w:rPr>
        <w:t xml:space="preserve">presentaron demanda de Juicio de Inconformidad; la que mediante proveído de once de diciembre de dos mil diecisiete, fue admitida respecto a la </w:t>
      </w:r>
      <w:r>
        <w:rPr>
          <w:rFonts w:ascii="Arial" w:hAnsi="Arial" w:cs="Arial"/>
          <w:sz w:val="26"/>
          <w:szCs w:val="26"/>
        </w:rPr>
        <w:t xml:space="preserve">resolución dictada en el recurso de reconsideración ASE/REC.R/0057/2017; por el </w:t>
      </w:r>
      <w:r>
        <w:rPr>
          <w:rFonts w:ascii="Arial" w:hAnsi="Arial" w:cs="Arial"/>
          <w:b/>
          <w:sz w:val="26"/>
          <w:szCs w:val="26"/>
        </w:rPr>
        <w:t xml:space="preserve">TITULAR DEL ÓRGANO SUPERIOR DE FISCALIZACIÓN DEL ESTADO DE OAXACA </w:t>
      </w:r>
      <w:r>
        <w:rPr>
          <w:rFonts w:ascii="Arial" w:hAnsi="Arial" w:cs="Arial"/>
          <w:sz w:val="26"/>
          <w:szCs w:val="26"/>
        </w:rPr>
        <w:t xml:space="preserve">y se les tuvo ofreciendo pruebas. En </w:t>
      </w:r>
      <w:r>
        <w:rPr>
          <w:rFonts w:ascii="Arial" w:hAnsi="Arial" w:cs="Arial"/>
          <w:sz w:val="26"/>
          <w:szCs w:val="26"/>
        </w:rPr>
        <w:lastRenderedPageBreak/>
        <w:t xml:space="preserve">consecuencia se ordenó emplazar a la autoridad demandada, para que dentro del plazo de cinco días rindiera ante esta Sala el informe correspondiente.   </w:t>
      </w:r>
    </w:p>
    <w:p w:rsidR="008B5A5C" w:rsidRDefault="008B5A5C" w:rsidP="008B5A5C">
      <w:pPr>
        <w:pStyle w:val="corte4fondo"/>
        <w:tabs>
          <w:tab w:val="left" w:pos="7371"/>
        </w:tabs>
        <w:spacing w:before="240"/>
        <w:ind w:right="51" w:firstLine="0"/>
        <w:rPr>
          <w:sz w:val="26"/>
          <w:szCs w:val="26"/>
        </w:rPr>
      </w:pPr>
      <w:r>
        <w:rPr>
          <w:b/>
          <w:sz w:val="26"/>
          <w:szCs w:val="26"/>
          <w:lang w:val="es-MX"/>
        </w:rPr>
        <w:t xml:space="preserve">        SEGUNDO.- </w:t>
      </w:r>
      <w:r>
        <w:rPr>
          <w:sz w:val="26"/>
          <w:szCs w:val="26"/>
          <w:lang w:val="es-MX"/>
        </w:rPr>
        <w:t xml:space="preserve"> Mediante proveído de cuatro de abril de dos mil dieciocho, se tuvo a la Titular de la Unidad de Asuntos Jurídicos del Órgano Superior de Fiscalización del Estado de Oaxaca, en representación del Titular del citado Órgano, rindiendo el informe que le fue requerido</w:t>
      </w:r>
      <w:r>
        <w:rPr>
          <w:b/>
          <w:sz w:val="26"/>
          <w:szCs w:val="26"/>
          <w:lang w:val="es-MX"/>
        </w:rPr>
        <w:t xml:space="preserve">, </w:t>
      </w:r>
      <w:r>
        <w:rPr>
          <w:sz w:val="26"/>
          <w:szCs w:val="26"/>
          <w:lang w:val="es-MX"/>
        </w:rPr>
        <w:t xml:space="preserve">asimismo se calificaron las pruebas ofrecidas por las partes </w:t>
      </w:r>
      <w:r>
        <w:rPr>
          <w:sz w:val="26"/>
          <w:szCs w:val="26"/>
        </w:rPr>
        <w:t xml:space="preserve">y se abrió el juicio a prueba, señalándose día y hora para el desahogo de las mismas. </w:t>
      </w:r>
    </w:p>
    <w:p w:rsidR="008B5A5C" w:rsidRDefault="008B5A5C" w:rsidP="008B5A5C">
      <w:pPr>
        <w:pStyle w:val="corte4fondo"/>
        <w:tabs>
          <w:tab w:val="left" w:pos="7371"/>
        </w:tabs>
        <w:spacing w:before="240"/>
        <w:ind w:right="51" w:firstLine="0"/>
        <w:rPr>
          <w:sz w:val="26"/>
          <w:szCs w:val="26"/>
          <w:lang w:val="es-MX"/>
        </w:rPr>
      </w:pPr>
      <w:r>
        <w:rPr>
          <w:sz w:val="26"/>
          <w:szCs w:val="26"/>
        </w:rPr>
        <w:t xml:space="preserve">          </w:t>
      </w:r>
      <w:r>
        <w:rPr>
          <w:b/>
          <w:sz w:val="26"/>
          <w:szCs w:val="26"/>
        </w:rPr>
        <w:t xml:space="preserve">TERCERO.- </w:t>
      </w:r>
      <w:r>
        <w:rPr>
          <w:sz w:val="26"/>
          <w:szCs w:val="26"/>
        </w:rPr>
        <w:t>Con fecha veintisiete de abril de dos mil dieciocho, se llevó a cabo la audiencia en la que se desahogaron las pruebas de las partes, y concluido su desahogo, se pasó a la etapa de alegatos, fase en la que se les tuvo por perdido su derecho, ante la inasistencia de ambas partes.</w:t>
      </w:r>
    </w:p>
    <w:p w:rsidR="008B5A5C" w:rsidRDefault="008B5A5C" w:rsidP="008B5A5C">
      <w:pPr>
        <w:pStyle w:val="corte4fondo"/>
        <w:tabs>
          <w:tab w:val="left" w:pos="0"/>
        </w:tabs>
        <w:spacing w:before="240"/>
        <w:ind w:right="51" w:firstLine="0"/>
        <w:rPr>
          <w:b/>
          <w:sz w:val="26"/>
          <w:szCs w:val="26"/>
          <w:lang w:val="es-MX"/>
        </w:rPr>
      </w:pPr>
      <w:r>
        <w:rPr>
          <w:sz w:val="26"/>
          <w:szCs w:val="26"/>
          <w:lang w:val="es-MX"/>
        </w:rPr>
        <w:tab/>
      </w:r>
      <w:r>
        <w:rPr>
          <w:b/>
          <w:sz w:val="26"/>
          <w:szCs w:val="26"/>
          <w:lang w:val="es-MX"/>
        </w:rPr>
        <w:t xml:space="preserve">CUARTO.- </w:t>
      </w:r>
      <w:r>
        <w:rPr>
          <w:sz w:val="26"/>
          <w:szCs w:val="26"/>
          <w:lang w:val="es-MX"/>
        </w:rPr>
        <w:t xml:space="preserve">Mediante proveído </w:t>
      </w:r>
      <w:r>
        <w:rPr>
          <w:sz w:val="26"/>
          <w:szCs w:val="26"/>
        </w:rPr>
        <w:t xml:space="preserve">de catorce de junio de dos mil dieciocho, se dictó acuerdo en el que se determinó agotada la instrucción; quedando el presente juicio en estado de resolución; y, </w:t>
      </w:r>
    </w:p>
    <w:p w:rsidR="008B5A5C" w:rsidRDefault="008B5A5C" w:rsidP="008B5A5C">
      <w:pPr>
        <w:pStyle w:val="corte4fondo"/>
        <w:tabs>
          <w:tab w:val="left" w:pos="0"/>
        </w:tabs>
        <w:ind w:right="51" w:firstLine="0"/>
        <w:jc w:val="center"/>
        <w:rPr>
          <w:b/>
          <w:sz w:val="26"/>
          <w:szCs w:val="26"/>
          <w:lang w:val="es-MX"/>
        </w:rPr>
      </w:pPr>
    </w:p>
    <w:p w:rsidR="008B5A5C" w:rsidRDefault="008B5A5C" w:rsidP="008B5A5C">
      <w:pPr>
        <w:pStyle w:val="corte4fondo"/>
        <w:tabs>
          <w:tab w:val="left" w:pos="0"/>
        </w:tabs>
        <w:ind w:right="51" w:firstLine="0"/>
        <w:jc w:val="center"/>
        <w:rPr>
          <w:b/>
          <w:sz w:val="26"/>
          <w:szCs w:val="26"/>
          <w:lang w:val="es-MX"/>
        </w:rPr>
      </w:pPr>
      <w:r>
        <w:rPr>
          <w:b/>
          <w:sz w:val="26"/>
          <w:szCs w:val="26"/>
          <w:lang w:val="es-MX"/>
        </w:rPr>
        <w:t xml:space="preserve">C O N S I D E R A N D O: </w:t>
      </w:r>
    </w:p>
    <w:p w:rsidR="008B5A5C" w:rsidRDefault="008B5A5C" w:rsidP="008B5A5C">
      <w:pPr>
        <w:pStyle w:val="corte4fondo"/>
        <w:tabs>
          <w:tab w:val="left" w:pos="0"/>
        </w:tabs>
        <w:ind w:right="51" w:firstLine="0"/>
        <w:rPr>
          <w:sz w:val="26"/>
          <w:szCs w:val="26"/>
          <w:lang w:val="es-MX"/>
        </w:rPr>
      </w:pPr>
    </w:p>
    <w:p w:rsidR="008B5A5C" w:rsidRDefault="008B5A5C" w:rsidP="008B5A5C">
      <w:pPr>
        <w:pStyle w:val="corte4fondo"/>
        <w:tabs>
          <w:tab w:val="left" w:pos="0"/>
        </w:tabs>
        <w:ind w:right="51"/>
        <w:rPr>
          <w:sz w:val="26"/>
          <w:szCs w:val="26"/>
          <w:lang w:val="es-MX"/>
        </w:rPr>
      </w:pPr>
      <w:r>
        <w:rPr>
          <w:b/>
          <w:sz w:val="26"/>
          <w:szCs w:val="26"/>
          <w:lang w:val="es-MX"/>
        </w:rPr>
        <w:t>PRIMERO</w:t>
      </w:r>
      <w:r>
        <w:rPr>
          <w:sz w:val="26"/>
          <w:szCs w:val="26"/>
          <w:lang w:val="es-MX"/>
        </w:rPr>
        <w:t xml:space="preserve">.- Esta Sala Superior del Tribunal de Justicia Administrativa del  Estado de Oaxaca, es competente para conocer y resolver del presente juicio de inconformidad,  atento a lo dispuesto por los artículos 114 QUÁTER de la Constitución Política del Estado Libre y Soberano de Oaxaca, y los artículos 1, 2, y 39 de la Ley de Justicia de Fiscalización y Rendición de Cuentas para el Estado de Oaxaca. </w:t>
      </w:r>
    </w:p>
    <w:p w:rsidR="008B5A5C" w:rsidRDefault="008B5A5C" w:rsidP="008B5A5C">
      <w:pPr>
        <w:pStyle w:val="corte4fondo"/>
        <w:tabs>
          <w:tab w:val="left" w:pos="0"/>
        </w:tabs>
        <w:spacing w:before="240"/>
        <w:ind w:right="51"/>
        <w:rPr>
          <w:sz w:val="26"/>
          <w:szCs w:val="26"/>
          <w:lang w:val="es-MX"/>
        </w:rPr>
      </w:pPr>
      <w:r>
        <w:rPr>
          <w:b/>
          <w:sz w:val="26"/>
          <w:szCs w:val="26"/>
          <w:lang w:val="es-MX"/>
        </w:rPr>
        <w:t xml:space="preserve">SEGUNDO.- </w:t>
      </w:r>
      <w:r>
        <w:rPr>
          <w:sz w:val="26"/>
          <w:szCs w:val="26"/>
          <w:lang w:val="es-MX"/>
        </w:rPr>
        <w:t xml:space="preserve">La personalidad de las partes quedó acreditada en autos, porque los actores </w:t>
      </w:r>
      <w:r>
        <w:rPr>
          <w:rFonts w:eastAsia="Arial Unicode MS"/>
          <w:b/>
          <w:sz w:val="26"/>
          <w:szCs w:val="26"/>
        </w:rPr>
        <w:t xml:space="preserve">ROSENDO MENDOZA MARÍN Y </w:t>
      </w:r>
      <w:r w:rsidRPr="00E74F59">
        <w:rPr>
          <w:rFonts w:eastAsia="Arial Unicode MS"/>
          <w:b/>
          <w:sz w:val="26"/>
          <w:szCs w:val="26"/>
        </w:rPr>
        <w:t>FABIOLA RUÍZ MALDONADO</w:t>
      </w:r>
      <w:r>
        <w:rPr>
          <w:rFonts w:eastAsia="Arial Unicode MS"/>
          <w:b/>
          <w:sz w:val="26"/>
          <w:szCs w:val="26"/>
        </w:rPr>
        <w:t xml:space="preserve">, promueven por su propio derecho con el carácter de </w:t>
      </w:r>
      <w:r w:rsidRPr="00E74F59">
        <w:rPr>
          <w:rFonts w:eastAsia="Arial Unicode MS"/>
          <w:b/>
          <w:sz w:val="26"/>
          <w:szCs w:val="26"/>
        </w:rPr>
        <w:t>EX ADMINISTRADOR Y EX TESORERA</w:t>
      </w:r>
      <w:r>
        <w:rPr>
          <w:rFonts w:eastAsia="Arial Unicode MS"/>
          <w:b/>
          <w:sz w:val="26"/>
          <w:szCs w:val="26"/>
        </w:rPr>
        <w:t>,</w:t>
      </w:r>
      <w:r w:rsidRPr="00E74F59">
        <w:rPr>
          <w:rFonts w:eastAsia="Arial Unicode MS"/>
          <w:b/>
          <w:sz w:val="26"/>
          <w:szCs w:val="26"/>
        </w:rPr>
        <w:t xml:space="preserve"> </w:t>
      </w:r>
      <w:r>
        <w:rPr>
          <w:rFonts w:eastAsia="Arial Unicode MS"/>
          <w:b/>
          <w:sz w:val="26"/>
          <w:szCs w:val="26"/>
        </w:rPr>
        <w:t xml:space="preserve">AMBOS </w:t>
      </w:r>
      <w:r w:rsidRPr="00E74F59">
        <w:rPr>
          <w:rFonts w:eastAsia="Arial Unicode MS"/>
          <w:b/>
          <w:sz w:val="26"/>
          <w:szCs w:val="26"/>
        </w:rPr>
        <w:t>DE</w:t>
      </w:r>
      <w:r>
        <w:rPr>
          <w:rFonts w:eastAsia="Arial Unicode MS"/>
          <w:b/>
          <w:sz w:val="26"/>
          <w:szCs w:val="26"/>
        </w:rPr>
        <w:t xml:space="preserve">L MUNICIPIO </w:t>
      </w:r>
      <w:r w:rsidRPr="00E74F59">
        <w:rPr>
          <w:rFonts w:eastAsia="Arial Unicode MS"/>
          <w:b/>
          <w:sz w:val="26"/>
          <w:szCs w:val="26"/>
        </w:rPr>
        <w:t xml:space="preserve">DE SAN FRANCISCO CHINDÚA, DISTRITO DE </w:t>
      </w:r>
      <w:r w:rsidRPr="00E74F59">
        <w:rPr>
          <w:b/>
          <w:bCs/>
          <w:iCs/>
          <w:caps/>
          <w:kern w:val="2"/>
          <w:sz w:val="26"/>
          <w:szCs w:val="26"/>
        </w:rPr>
        <w:t>NOCHIXTLAN, OAXACA</w:t>
      </w:r>
      <w:r>
        <w:rPr>
          <w:b/>
          <w:bCs/>
          <w:iCs/>
          <w:caps/>
          <w:kern w:val="2"/>
          <w:sz w:val="26"/>
          <w:szCs w:val="26"/>
        </w:rPr>
        <w:t>,</w:t>
      </w:r>
      <w:r>
        <w:rPr>
          <w:bCs/>
          <w:iCs/>
          <w:kern w:val="2"/>
          <w:sz w:val="26"/>
          <w:szCs w:val="26"/>
        </w:rPr>
        <w:t xml:space="preserve"> </w:t>
      </w:r>
      <w:r>
        <w:rPr>
          <w:sz w:val="26"/>
          <w:szCs w:val="26"/>
          <w:lang w:val="es-MX"/>
        </w:rPr>
        <w:t xml:space="preserve">y la Titular de la Unidad de Asuntos Jurídicos de la Auditoría Superior del Estado de Oaxaca, exhibió copia certificada del documento en el que consta su nombramiento y toma </w:t>
      </w:r>
      <w:r>
        <w:rPr>
          <w:sz w:val="26"/>
          <w:szCs w:val="26"/>
          <w:lang w:val="es-MX"/>
        </w:rPr>
        <w:lastRenderedPageBreak/>
        <w:t xml:space="preserve">de protesta de ley al cargo; documentales a las que se les concede pleno valor probatorio, al ser copias certificadas  de documentos públicos, debido a que fueron expedidos por servidor público, en ejercicio de sus funciones;  conforme a lo dispuesto por el artículo 203, fracción I, de la Ley de Procedimiento y Justicia Administrativa para el Estado de Oaxaca, de aplicación supletoria a la Ley de Justicia de Fiscalización y Rendición de Cuentas para el Estado y el artículo 25 de la Ley en cita. </w:t>
      </w:r>
    </w:p>
    <w:p w:rsidR="008B5A5C" w:rsidRDefault="008B5A5C" w:rsidP="008B5A5C">
      <w:pPr>
        <w:spacing w:before="240" w:after="0" w:line="360" w:lineRule="auto"/>
        <w:ind w:firstLine="708"/>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Las causales de improcedencia tienen el carácter de presupuestos procesales que deben colmarse previo al dictado de la determinación de fondo, es así ya que el análisis de las pretensiones sólo puede emprenderse si el proceso se ha tramitado conforme a los lineamientos establecidos en la ley, de lo contrario el juzgador se vería impedido a resolver la controversia planteada a su jurisdicción. Esto, porque conforme al artículo 17 de la Constitución Federal, es el deber de las autoridades ajustarse a los mecanismos jurídicos establecidos por el legislador para el ejercicio de la jurisdicción.</w:t>
      </w:r>
    </w:p>
    <w:p w:rsidR="008B5A5C" w:rsidRDefault="008B5A5C" w:rsidP="008B5A5C">
      <w:pPr>
        <w:spacing w:before="240" w:after="0" w:line="360" w:lineRule="auto"/>
        <w:ind w:firstLine="708"/>
        <w:jc w:val="both"/>
        <w:rPr>
          <w:rFonts w:ascii="Arial" w:hAnsi="Arial" w:cs="Arial"/>
          <w:sz w:val="26"/>
          <w:szCs w:val="26"/>
        </w:rPr>
      </w:pPr>
      <w:r>
        <w:rPr>
          <w:rFonts w:ascii="Arial" w:hAnsi="Arial" w:cs="Arial"/>
          <w:sz w:val="26"/>
          <w:szCs w:val="26"/>
        </w:rPr>
        <w:t>Por esta razón, se estima que la improcedencia del juicio, al ser de orden público, debe estudiarse de oficio, aun cuando las partes no lo hayan propuesto a la resolutora. En tales condiciones procede analizar si se actualiza alguna causal de improcedencia.</w:t>
      </w:r>
    </w:p>
    <w:p w:rsidR="008B5A5C" w:rsidRDefault="008B5A5C" w:rsidP="008B5A5C">
      <w:pPr>
        <w:spacing w:before="240" w:after="0" w:line="360" w:lineRule="auto"/>
        <w:ind w:firstLine="708"/>
        <w:jc w:val="both"/>
        <w:rPr>
          <w:rFonts w:ascii="Arial" w:hAnsi="Arial" w:cs="Arial"/>
          <w:b/>
          <w:sz w:val="26"/>
          <w:szCs w:val="26"/>
        </w:rPr>
      </w:pPr>
      <w:r>
        <w:rPr>
          <w:rFonts w:ascii="Arial" w:hAnsi="Arial" w:cs="Arial"/>
          <w:sz w:val="26"/>
          <w:szCs w:val="26"/>
        </w:rPr>
        <w:t>Así,</w:t>
      </w:r>
      <w:r>
        <w:rPr>
          <w:rFonts w:ascii="Arial" w:hAnsi="Arial" w:cs="Arial"/>
          <w:b/>
          <w:sz w:val="26"/>
          <w:szCs w:val="26"/>
        </w:rPr>
        <w:t xml:space="preserve"> </w:t>
      </w:r>
      <w:r>
        <w:rPr>
          <w:rFonts w:ascii="Arial" w:hAnsi="Arial" w:cs="Arial"/>
          <w:sz w:val="26"/>
          <w:szCs w:val="26"/>
        </w:rPr>
        <w:t xml:space="preserve">del análisis de las constancias de autos, con valor probatorio pleno en términos del artículo 25, de la Ley de Justicia de Fiscalización y Rendición de Cuentas para el Estado de Oaxaca, al tratarse de actuaciones judiciales, esta juzgadora estima que no se actualiza alguna de las causales previstas por el artículo 16 de la Ley en cita; en consecuencia, </w:t>
      </w:r>
      <w:r>
        <w:rPr>
          <w:rFonts w:ascii="Arial" w:hAnsi="Arial" w:cs="Arial"/>
          <w:b/>
          <w:sz w:val="26"/>
          <w:szCs w:val="26"/>
        </w:rPr>
        <w:t>NO SE SOBRESEE EL JUICIO.</w:t>
      </w:r>
    </w:p>
    <w:p w:rsidR="008B5A5C" w:rsidRPr="009D4DB7" w:rsidRDefault="008B5A5C" w:rsidP="008B5A5C">
      <w:pPr>
        <w:spacing w:before="240" w:after="0" w:line="360" w:lineRule="auto"/>
        <w:ind w:firstLine="708"/>
        <w:jc w:val="both"/>
        <w:rPr>
          <w:rFonts w:ascii="Arial" w:eastAsia="Arial Unicode MS" w:hAnsi="Arial" w:cs="Arial"/>
          <w:sz w:val="26"/>
          <w:szCs w:val="26"/>
        </w:rPr>
      </w:pPr>
      <w:r w:rsidRPr="009D4DB7">
        <w:rPr>
          <w:rFonts w:ascii="Arial" w:hAnsi="Arial" w:cs="Arial"/>
          <w:b/>
          <w:sz w:val="26"/>
          <w:szCs w:val="26"/>
        </w:rPr>
        <w:t xml:space="preserve">CUARTO. </w:t>
      </w:r>
      <w:r w:rsidRPr="009D4DB7">
        <w:rPr>
          <w:rFonts w:ascii="Arial" w:hAnsi="Arial" w:cs="Arial"/>
          <w:sz w:val="26"/>
          <w:szCs w:val="26"/>
        </w:rPr>
        <w:t xml:space="preserve"> </w:t>
      </w:r>
      <w:r w:rsidRPr="009D4DB7">
        <w:rPr>
          <w:rFonts w:ascii="Arial" w:eastAsia="Arial Unicode MS" w:hAnsi="Arial" w:cs="Arial"/>
          <w:sz w:val="26"/>
          <w:szCs w:val="26"/>
        </w:rPr>
        <w:t xml:space="preserve">Es pertinente que atentos al principio de mayor beneficio, lo procedente es realizar el análisis de los conceptos de impugnación hechos valer, privilegiando el estudio de aquellos que de resultar fundados, redunden en un mayor beneficio para la parte actora en el presente juicio. </w:t>
      </w:r>
    </w:p>
    <w:p w:rsidR="008B5A5C" w:rsidRDefault="008B5A5C" w:rsidP="008B5A5C">
      <w:pPr>
        <w:widowControl w:val="0"/>
        <w:autoSpaceDE w:val="0"/>
        <w:autoSpaceDN w:val="0"/>
        <w:adjustRightInd w:val="0"/>
        <w:spacing w:before="240" w:after="0" w:line="360" w:lineRule="auto"/>
        <w:ind w:right="49" w:firstLine="708"/>
        <w:jc w:val="both"/>
        <w:rPr>
          <w:rFonts w:ascii="Arial" w:hAnsi="Arial"/>
          <w:color w:val="000000"/>
          <w:sz w:val="26"/>
          <w:szCs w:val="26"/>
        </w:rPr>
      </w:pPr>
      <w:r>
        <w:rPr>
          <w:rFonts w:ascii="Arial" w:hAnsi="Arial" w:cs="Arial"/>
          <w:color w:val="000000"/>
          <w:sz w:val="26"/>
          <w:szCs w:val="26"/>
        </w:rPr>
        <w:t xml:space="preserve">Sirve de apoyo a lo anterior la Jurisprudencia, de la Novena Época, </w:t>
      </w:r>
      <w:r>
        <w:rPr>
          <w:rFonts w:ascii="Arial" w:hAnsi="Arial"/>
          <w:color w:val="000000"/>
          <w:sz w:val="26"/>
          <w:szCs w:val="26"/>
        </w:rPr>
        <w:t xml:space="preserve">Registro: 166717, Instancia: Primer Tribunal Colegiado en Materias Administrativa y de Trabajo del Décimo Sexto Circuito, </w:t>
      </w:r>
      <w:r>
        <w:rPr>
          <w:rFonts w:ascii="Arial" w:hAnsi="Arial"/>
          <w:color w:val="000000"/>
          <w:sz w:val="26"/>
          <w:szCs w:val="26"/>
        </w:rPr>
        <w:lastRenderedPageBreak/>
        <w:t>Fuente: Semanario Judicial de la Federación y su Gaceta,  Tomo XXX, Agosto de 2009, Materia(s): Administrativa, Página: 1275; de rubro y texto siguiente:</w:t>
      </w:r>
    </w:p>
    <w:p w:rsidR="008B5A5C" w:rsidRDefault="008B5A5C" w:rsidP="008B5A5C">
      <w:pPr>
        <w:spacing w:after="0" w:line="240" w:lineRule="auto"/>
        <w:jc w:val="both"/>
        <w:rPr>
          <w:rFonts w:cs="Arial"/>
          <w:b/>
          <w:bCs/>
          <w:caps/>
          <w:color w:val="0000FF"/>
          <w:sz w:val="26"/>
          <w:lang w:eastAsia="es-MX"/>
        </w:rPr>
      </w:pPr>
    </w:p>
    <w:p w:rsidR="008B5A5C" w:rsidRDefault="008B5A5C" w:rsidP="008B5A5C">
      <w:pPr>
        <w:spacing w:after="0" w:line="240" w:lineRule="auto"/>
        <w:ind w:left="709" w:right="709"/>
        <w:jc w:val="both"/>
        <w:rPr>
          <w:rFonts w:cs="Arial"/>
          <w:i/>
          <w:lang w:eastAsia="es-MX"/>
        </w:rPr>
      </w:pPr>
      <w:r>
        <w:rPr>
          <w:rFonts w:cs="Arial"/>
          <w:b/>
          <w:bCs/>
          <w:i/>
          <w:caps/>
          <w:lang w:eastAsia="es-MX"/>
        </w:rPr>
        <w:t>“CONCEPTOS DE ANULACIÓN EN EL JUICIO CONTENCIOSO ADMINISTRATIVO. ES PREFERENTE EL ESTUDIO DE AQUELLOS QUE CONDUZCAN A DECLARAR LA NULIDAD LISA Y LLANA DEL ACTO IMPUGNADO POR REPRESENTAR UN MAYOR BENEFICIO PARA EL ACTOR (LEGISLACIÓN DEL ESTADO DE GUANAJUATO).</w:t>
      </w:r>
      <w:r>
        <w:rPr>
          <w:rFonts w:cs="Arial"/>
          <w:i/>
          <w:lang w:eastAsia="es-MX"/>
        </w:rPr>
        <w:t xml:space="preserve">El artículo </w:t>
      </w:r>
      <w:hyperlink r:id="rId8" w:history="1">
        <w:r w:rsidRPr="00A708FD">
          <w:rPr>
            <w:rStyle w:val="Hipervnculo"/>
            <w:rFonts w:cs="Arial"/>
            <w:i/>
            <w:lang w:eastAsia="es-MX"/>
          </w:rPr>
          <w:t>17 constitucional</w:t>
        </w:r>
      </w:hyperlink>
      <w:r w:rsidRPr="00A708FD">
        <w:rPr>
          <w:rFonts w:cs="Arial"/>
          <w:i/>
          <w:lang w:eastAsia="es-MX"/>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9" w:history="1">
        <w:r w:rsidRPr="00A708FD">
          <w:rPr>
            <w:rStyle w:val="Hipervnculo"/>
            <w:rFonts w:cs="Arial"/>
            <w:i/>
            <w:lang w:eastAsia="es-MX"/>
          </w:rPr>
          <w:t>87 y 89, fracción I, de la Ley de Justicia Administrativa del Estado de Guanajuato</w:t>
        </w:r>
      </w:hyperlink>
      <w:r w:rsidRPr="00A708FD">
        <w:rPr>
          <w:rFonts w:cs="Arial"/>
          <w:i/>
          <w:lang w:eastAsia="es-MX"/>
        </w:rPr>
        <w:t>, establecen la existencia de dos requisitos que deben observarse en el dictado de las resoluciones: el de con</w:t>
      </w:r>
      <w:r>
        <w:rPr>
          <w:rFonts w:cs="Arial"/>
          <w:i/>
          <w:lang w:eastAsia="es-MX"/>
        </w:rPr>
        <w:t>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p>
    <w:p w:rsidR="008B5A5C" w:rsidRDefault="008B5A5C" w:rsidP="008B5A5C">
      <w:pPr>
        <w:pStyle w:val="Default"/>
        <w:spacing w:line="360" w:lineRule="auto"/>
        <w:ind w:firstLine="708"/>
        <w:jc w:val="both"/>
        <w:rPr>
          <w:rFonts w:eastAsia="Arial Unicode MS"/>
          <w:color w:val="auto"/>
          <w:sz w:val="26"/>
          <w:szCs w:val="26"/>
        </w:rPr>
      </w:pPr>
    </w:p>
    <w:p w:rsidR="008B5A5C" w:rsidRDefault="008B5A5C" w:rsidP="008B5A5C">
      <w:pPr>
        <w:pStyle w:val="corte4fondo"/>
        <w:tabs>
          <w:tab w:val="left" w:pos="0"/>
        </w:tabs>
        <w:spacing w:before="240"/>
        <w:ind w:right="51"/>
        <w:rPr>
          <w:sz w:val="26"/>
          <w:szCs w:val="26"/>
          <w:lang w:val="es-MX"/>
        </w:rPr>
      </w:pPr>
      <w:r>
        <w:rPr>
          <w:sz w:val="26"/>
          <w:szCs w:val="26"/>
          <w:lang w:val="es-MX"/>
        </w:rPr>
        <w:t xml:space="preserve">Por tanto, se procede al estudio y análisis de la parte del escrito de inconformidad, en el que manifiestan los accionantes que les causa afectación en su esfera de derechos la resolución de veinte de octubre de dos mil diecisiete, que en su concepto de impugnación identificado como SEXTO, refieren resulta ser ilegal, porque la determinación de daños y perjuicios en que se apoya el procedimiento, consistente en el dictamen técnico de la auditoría, es un acto no reconocido en la Ley de Fiscalización Superior del Estado, vigente hasta el veintiuno de septiembre de dos mil diecisiete; por lo que la autoridad fiscalizadora no podía utilizar dicha figura, siendo ilegal dicho acto, porque no está fundado ni motivado el procedimiento de revisión y fiscalización. </w:t>
      </w:r>
    </w:p>
    <w:p w:rsidR="008B5A5C" w:rsidRDefault="008B5A5C" w:rsidP="008B5A5C">
      <w:pPr>
        <w:pStyle w:val="corte4fondo"/>
        <w:tabs>
          <w:tab w:val="left" w:pos="0"/>
        </w:tabs>
        <w:spacing w:before="240"/>
        <w:ind w:right="51"/>
        <w:rPr>
          <w:sz w:val="26"/>
          <w:szCs w:val="26"/>
          <w:lang w:val="es-MX"/>
        </w:rPr>
      </w:pPr>
      <w:r>
        <w:rPr>
          <w:sz w:val="26"/>
          <w:szCs w:val="26"/>
          <w:lang w:val="es-MX"/>
        </w:rPr>
        <w:t xml:space="preserve">Señalan en su concepto de impugnación identificado como SÉPTIMO, que al imponerles una sanción de resarcir a la Hacienda Pública Municipal, en el procedimiento resarcitorio y la cual quedó confirmada en el recurso de reconsideración, no existió un estudio de tipicidad administrativa; y por ello, la autoridad debe exponer las razones y fundamentos legales, con el que llega a la conclusión de </w:t>
      </w:r>
      <w:r>
        <w:rPr>
          <w:sz w:val="26"/>
          <w:szCs w:val="26"/>
          <w:lang w:val="es-MX"/>
        </w:rPr>
        <w:lastRenderedPageBreak/>
        <w:t>que se trata de conductas u omisiones que constituyen irregularidades sancionables previstas en las normas administrativas.</w:t>
      </w:r>
    </w:p>
    <w:p w:rsidR="008B5A5C" w:rsidRDefault="008B5A5C" w:rsidP="008B5A5C">
      <w:pPr>
        <w:pStyle w:val="corte4fondo"/>
        <w:tabs>
          <w:tab w:val="left" w:pos="0"/>
        </w:tabs>
        <w:spacing w:before="240"/>
        <w:ind w:right="51"/>
        <w:rPr>
          <w:sz w:val="26"/>
          <w:szCs w:val="26"/>
          <w:lang w:val="es-MX"/>
        </w:rPr>
      </w:pPr>
      <w:r>
        <w:rPr>
          <w:sz w:val="26"/>
          <w:szCs w:val="26"/>
          <w:lang w:val="es-MX"/>
        </w:rPr>
        <w:t>Refieren que la autoridad fiscalizadora y resolutora se limitaron a transcribir disposiciones legales que no encuadran con lo transcrito anteriormente, así mismo, el dictamen técnico no les señala el tipo de responsabilidad resarcitoria que se les pretende imputar por los daños y perjuicios de las observaciones del dictamen técnico, del cual existen tres tipos  (directa, subsidiaria y solidaria).</w:t>
      </w:r>
    </w:p>
    <w:p w:rsidR="008B5A5C" w:rsidRDefault="008B5A5C" w:rsidP="008B5A5C">
      <w:pPr>
        <w:pStyle w:val="corte4fondo"/>
        <w:tabs>
          <w:tab w:val="left" w:pos="0"/>
        </w:tabs>
        <w:spacing w:before="240"/>
        <w:ind w:right="51"/>
        <w:rPr>
          <w:sz w:val="26"/>
          <w:szCs w:val="26"/>
          <w:lang w:val="es-MX"/>
        </w:rPr>
      </w:pPr>
      <w:r>
        <w:rPr>
          <w:sz w:val="26"/>
          <w:szCs w:val="26"/>
          <w:lang w:val="es-MX"/>
        </w:rPr>
        <w:t xml:space="preserve">Finalmente manifiestan que las observaciones formuladas resultan genéricas en cuanto al grado de responsabilidad atribuida, lo que resulta arbitrario, debido que en la responsabilidad que se les atribuye, no se delimitó que acciones u omisiones que constituyeron irregularidades en el </w:t>
      </w:r>
      <w:r w:rsidRPr="00FA5B0A">
        <w:rPr>
          <w:sz w:val="26"/>
          <w:szCs w:val="26"/>
          <w:lang w:val="es-MX"/>
        </w:rPr>
        <w:t>desempeño de sus cargos, pues cada servidor público tiene funciones distintas</w:t>
      </w:r>
      <w:r>
        <w:rPr>
          <w:sz w:val="26"/>
          <w:szCs w:val="26"/>
          <w:lang w:val="es-MX"/>
        </w:rPr>
        <w:t xml:space="preserve"> de acuerdo a la Ley Orgánica Municipal del Estado de Oaxaca</w:t>
      </w:r>
      <w:r w:rsidRPr="00FA5B0A">
        <w:rPr>
          <w:sz w:val="26"/>
          <w:szCs w:val="26"/>
          <w:lang w:val="es-MX"/>
        </w:rPr>
        <w:t>.</w:t>
      </w:r>
    </w:p>
    <w:p w:rsidR="008B5A5C" w:rsidRDefault="008B5A5C" w:rsidP="008B5A5C">
      <w:pPr>
        <w:pStyle w:val="corte4fondo"/>
        <w:tabs>
          <w:tab w:val="left" w:pos="0"/>
        </w:tabs>
        <w:spacing w:before="240"/>
        <w:ind w:right="51"/>
        <w:rPr>
          <w:sz w:val="26"/>
          <w:szCs w:val="26"/>
          <w:lang w:val="es-MX"/>
        </w:rPr>
      </w:pPr>
      <w:r>
        <w:rPr>
          <w:sz w:val="26"/>
          <w:szCs w:val="26"/>
          <w:lang w:val="es-MX"/>
        </w:rPr>
        <w:t>Por otra parte, se tiene que la Titular de la Unidad de Asuntos Jurídicos de la Auditoría Superior del Estado, manifestó en lo que respecta a los puntos SEXTO y SÉPTIMO, que dichos argumentos resultan inoperantes, porque se trata de argumentos novedosos que jamás se controvirtieron en el procedimiento natural, ni tampoco se hicieron valer en el recurso de reconsideración y en el presente juicio no está permitida la figura de la Litis abierta, que al no ser controvertidos oportunamente son actos que fueron consentidos.</w:t>
      </w:r>
    </w:p>
    <w:p w:rsidR="008B5A5C" w:rsidRDefault="008B5A5C" w:rsidP="008B5A5C">
      <w:pPr>
        <w:pStyle w:val="corte4fondo"/>
        <w:tabs>
          <w:tab w:val="left" w:pos="0"/>
        </w:tabs>
        <w:spacing w:before="240"/>
        <w:ind w:right="51"/>
        <w:rPr>
          <w:sz w:val="26"/>
          <w:szCs w:val="26"/>
          <w:lang w:val="es-MX"/>
        </w:rPr>
      </w:pPr>
      <w:r>
        <w:rPr>
          <w:sz w:val="26"/>
          <w:szCs w:val="26"/>
          <w:lang w:val="es-MX"/>
        </w:rPr>
        <w:t>Que la revisión y fiscalización de cuentas es un acto que forma parte del dictamen técnico de presunta responsabilidad con la que concluye el procedimiento de auditoría y contrario a lo que argumentan los inconformes en el capítulo doce, numerales 12.1, 12.2 y 12.3 del manual de fiscalización de los recursos públicos para la auditoria superior del estado, publicado el nueve de mayo de dos mil nueve, en el Periódico Oficial del Gobierno del Estado, se alude a la integración del expediente de presunta responsabilidad y como parte del mismo se contiene los requisitos del dictamen técnico de presunta responsabilidad.</w:t>
      </w:r>
    </w:p>
    <w:p w:rsidR="008B5A5C" w:rsidRDefault="008B5A5C" w:rsidP="008B5A5C">
      <w:pPr>
        <w:pStyle w:val="corte4fondo"/>
        <w:tabs>
          <w:tab w:val="left" w:pos="0"/>
        </w:tabs>
        <w:spacing w:before="240"/>
        <w:ind w:right="51"/>
        <w:rPr>
          <w:sz w:val="26"/>
          <w:szCs w:val="26"/>
          <w:lang w:val="es-MX"/>
        </w:rPr>
      </w:pPr>
      <w:r>
        <w:rPr>
          <w:sz w:val="26"/>
          <w:szCs w:val="26"/>
          <w:lang w:val="es-MX"/>
        </w:rPr>
        <w:t xml:space="preserve">Refiere respecto al grado de participación o responsabilidad para fincarles responsabilidad, que carece de sustento porque </w:t>
      </w:r>
      <w:r>
        <w:rPr>
          <w:sz w:val="26"/>
          <w:szCs w:val="26"/>
          <w:lang w:val="es-MX"/>
        </w:rPr>
        <w:lastRenderedPageBreak/>
        <w:t>conforme a la resolución de daños a la Hacienda Pública Municipal que se hiciera en el dictamen técnico  a los hoy inconformes les era exigible conductas y acciones apegadas a la legalidad y transparencia que rige la administración pública, sin embargo se encuentra acreditado las irregularidades encontradas en el procedimiento de auditoria imputables a dichos servidores, obligados a justificar y comprobar el gasto público ejercido, manejo transparente de los recursos, el cumplimiento de las disposiciones legales aplicables y la rendición de cuentas.</w:t>
      </w:r>
    </w:p>
    <w:p w:rsidR="008B5A5C" w:rsidRDefault="008B5A5C" w:rsidP="008B5A5C">
      <w:pPr>
        <w:pStyle w:val="corte4fondo"/>
        <w:tabs>
          <w:tab w:val="left" w:pos="0"/>
        </w:tabs>
        <w:spacing w:before="240"/>
        <w:ind w:right="51"/>
        <w:rPr>
          <w:sz w:val="26"/>
          <w:szCs w:val="26"/>
          <w:lang w:val="es-MX"/>
        </w:rPr>
      </w:pPr>
      <w:r>
        <w:rPr>
          <w:sz w:val="26"/>
          <w:szCs w:val="26"/>
          <w:lang w:val="es-MX"/>
        </w:rPr>
        <w:t xml:space="preserve">Las responsabilidades resarcitorias se atribuyen en forma directa a los inconformes de acuerdo a lo establecido en el artículo 52, de la Ley de Fiscalización Superior para el Estado de Oaxaca (lo transcribe).      </w:t>
      </w:r>
    </w:p>
    <w:p w:rsidR="008B5A5C" w:rsidRDefault="008B5A5C" w:rsidP="008B5A5C">
      <w:pPr>
        <w:pStyle w:val="corte4fondo"/>
        <w:tabs>
          <w:tab w:val="left" w:pos="0"/>
        </w:tabs>
        <w:spacing w:before="240"/>
        <w:ind w:right="51"/>
        <w:rPr>
          <w:sz w:val="26"/>
          <w:szCs w:val="26"/>
          <w:lang w:val="es-MX"/>
        </w:rPr>
      </w:pPr>
      <w:r w:rsidRPr="00281DF7">
        <w:rPr>
          <w:sz w:val="26"/>
          <w:szCs w:val="26"/>
          <w:lang w:val="es-MX"/>
        </w:rPr>
        <w:t xml:space="preserve">Es </w:t>
      </w:r>
      <w:r w:rsidRPr="00281DF7">
        <w:rPr>
          <w:b/>
          <w:sz w:val="26"/>
          <w:szCs w:val="26"/>
          <w:lang w:val="es-MX"/>
        </w:rPr>
        <w:t>FUNDADO</w:t>
      </w:r>
      <w:r>
        <w:rPr>
          <w:sz w:val="26"/>
          <w:szCs w:val="26"/>
          <w:lang w:val="es-MX"/>
        </w:rPr>
        <w:t xml:space="preserve"> el agravio de los actores;</w:t>
      </w:r>
      <w:r w:rsidRPr="00281DF7">
        <w:rPr>
          <w:sz w:val="26"/>
          <w:szCs w:val="26"/>
          <w:lang w:val="es-MX"/>
        </w:rPr>
        <w:t xml:space="preserve"> ello es así, dado que </w:t>
      </w:r>
      <w:r>
        <w:rPr>
          <w:sz w:val="26"/>
          <w:szCs w:val="26"/>
          <w:lang w:val="es-MX"/>
        </w:rPr>
        <w:t>del análisis de la resolución impugnada, misma que consta de folio 21 a 30, contenida en el Recurso de Reconsideración número ASE/REC.R./0057/2017, remitido por la autoridad demandada, mismas que hacen prueba plena en términos del artículo 25 de la Ley de Justicia de Fiscalización y Rendición de Cuentas para el Estado de Oaxaca, al tratarse de documentos públicos, emitidos por servidor público en ejercicio de sus atribuciones, documentales de las que se advierte manifestación de los actores respecto al agravio que hacen consistir en que al confirmarse la imposición de la sanción de resarcir por cada uno de los inconformes, sin que se haya señalado el grado de participación de cada uno de ellos, en cuanto al grado de responsabilidad atribuida, pues cada servidor público municipal, tiene funciones distintas; argumento que como refieren los inconformes, fue formulado en el Recurso de Reconsideración y que se reitera en el presente juicio, consistente en controvertir la determinación de confirmar la sanción impuesta a cada uno de los actores en el presente juicio.</w:t>
      </w:r>
    </w:p>
    <w:p w:rsidR="008B5A5C" w:rsidRDefault="008B5A5C" w:rsidP="008B5A5C">
      <w:pPr>
        <w:pStyle w:val="corte4fondo"/>
        <w:tabs>
          <w:tab w:val="left" w:pos="0"/>
        </w:tabs>
        <w:spacing w:before="240"/>
        <w:ind w:right="51"/>
        <w:rPr>
          <w:sz w:val="26"/>
          <w:szCs w:val="26"/>
          <w:lang w:val="es-MX"/>
        </w:rPr>
      </w:pPr>
      <w:r>
        <w:rPr>
          <w:sz w:val="26"/>
          <w:szCs w:val="26"/>
          <w:lang w:val="es-MX"/>
        </w:rPr>
        <w:t>Ahora, en la resolución emitida en el expediente ASE/UAJ/P.R./045/2014 se advierte lo siguiente:</w:t>
      </w:r>
    </w:p>
    <w:p w:rsidR="008B5A5C" w:rsidRDefault="008B5A5C" w:rsidP="008B5A5C">
      <w:pPr>
        <w:pStyle w:val="corte4fondo"/>
        <w:tabs>
          <w:tab w:val="left" w:pos="0"/>
        </w:tabs>
        <w:ind w:right="51"/>
        <w:rPr>
          <w:sz w:val="26"/>
          <w:szCs w:val="26"/>
          <w:lang w:val="es-MX"/>
        </w:rPr>
      </w:pPr>
    </w:p>
    <w:p w:rsidR="008B5A5C" w:rsidRPr="003A44DB" w:rsidRDefault="008B5A5C" w:rsidP="008B5A5C">
      <w:pPr>
        <w:pStyle w:val="corte4fondo"/>
        <w:tabs>
          <w:tab w:val="left" w:pos="0"/>
        </w:tabs>
        <w:ind w:left="1069" w:right="51" w:firstLine="0"/>
        <w:rPr>
          <w:b/>
          <w:sz w:val="26"/>
          <w:szCs w:val="26"/>
          <w:lang w:val="es-MX"/>
        </w:rPr>
      </w:pPr>
      <w:r>
        <w:rPr>
          <w:sz w:val="26"/>
          <w:szCs w:val="26"/>
          <w:lang w:val="es-MX"/>
        </w:rPr>
        <w:t>Que en el CONSIDERANDO CUARTO relativo a la individualización de la sanción, en la parte que interesa se determinó lo siguiente:</w:t>
      </w:r>
    </w:p>
    <w:p w:rsidR="008B5A5C" w:rsidRPr="003C1A6B" w:rsidRDefault="008B5A5C" w:rsidP="008B5A5C">
      <w:pPr>
        <w:pStyle w:val="corte4fondo"/>
        <w:tabs>
          <w:tab w:val="left" w:pos="0"/>
        </w:tabs>
        <w:spacing w:line="240" w:lineRule="auto"/>
        <w:ind w:left="1069" w:right="51" w:firstLine="0"/>
        <w:rPr>
          <w:rFonts w:ascii="Calibri" w:hAnsi="Calibri" w:cs="Calibri"/>
          <w:i/>
          <w:sz w:val="22"/>
          <w:szCs w:val="22"/>
          <w:lang w:val="es-MX"/>
        </w:rPr>
      </w:pPr>
      <w:r w:rsidRPr="003C1A6B">
        <w:rPr>
          <w:rFonts w:ascii="Calibri" w:hAnsi="Calibri" w:cs="Calibri"/>
          <w:i/>
          <w:sz w:val="22"/>
          <w:szCs w:val="22"/>
          <w:lang w:val="es-MX"/>
        </w:rPr>
        <w:lastRenderedPageBreak/>
        <w:t>“</w:t>
      </w:r>
      <w:r w:rsidRPr="003C1A6B">
        <w:rPr>
          <w:rFonts w:ascii="Calibri" w:hAnsi="Calibri" w:cs="Calibri"/>
          <w:b/>
          <w:i/>
          <w:sz w:val="22"/>
          <w:szCs w:val="22"/>
          <w:lang w:val="es-MX"/>
        </w:rPr>
        <w:t>CUARTO. Individualización de la sanción.</w:t>
      </w:r>
      <w:r w:rsidRPr="003C1A6B">
        <w:rPr>
          <w:rFonts w:ascii="Calibri" w:hAnsi="Calibri" w:cs="Calibri"/>
          <w:i/>
          <w:sz w:val="22"/>
          <w:szCs w:val="22"/>
          <w:lang w:val="es-MX"/>
        </w:rPr>
        <w:t xml:space="preserve"> … </w:t>
      </w:r>
    </w:p>
    <w:p w:rsidR="008B5A5C" w:rsidRPr="003C1A6B" w:rsidRDefault="008B5A5C" w:rsidP="008B5A5C">
      <w:pPr>
        <w:pStyle w:val="corte4fondo"/>
        <w:tabs>
          <w:tab w:val="left" w:pos="0"/>
        </w:tabs>
        <w:spacing w:line="240" w:lineRule="auto"/>
        <w:ind w:left="1069" w:right="51" w:firstLine="0"/>
        <w:rPr>
          <w:rFonts w:ascii="Calibri" w:hAnsi="Calibri" w:cs="Calibri"/>
          <w:i/>
          <w:sz w:val="22"/>
          <w:szCs w:val="22"/>
          <w:lang w:val="es-MX"/>
        </w:rPr>
      </w:pPr>
      <w:r w:rsidRPr="003C1A6B">
        <w:rPr>
          <w:rFonts w:ascii="Calibri" w:hAnsi="Calibri" w:cs="Calibri"/>
          <w:i/>
          <w:sz w:val="22"/>
          <w:szCs w:val="22"/>
          <w:lang w:val="es-MX"/>
        </w:rPr>
        <w:tab/>
        <w:t>Como se advierte, las responsabilidades administrativas resarcitorias se imputan en grados diversos a quienes en atención a sus actos y/u omisión hubieren tenido participación en la causa de la responsabilidad, y atendiendo además, al monto de los daños</w:t>
      </w:r>
      <w:r>
        <w:rPr>
          <w:rFonts w:ascii="Calibri" w:hAnsi="Calibri" w:cs="Calibri"/>
          <w:i/>
          <w:sz w:val="22"/>
          <w:szCs w:val="22"/>
          <w:lang w:val="es-MX"/>
        </w:rPr>
        <w:t xml:space="preserve"> o perjuicios que llegaron</w:t>
      </w:r>
      <w:r w:rsidRPr="003C1A6B">
        <w:rPr>
          <w:rFonts w:ascii="Calibri" w:hAnsi="Calibri" w:cs="Calibri"/>
          <w:i/>
          <w:sz w:val="22"/>
          <w:szCs w:val="22"/>
          <w:lang w:val="es-MX"/>
        </w:rPr>
        <w:t xml:space="preserve"> ocasionar con la irregularidad cometida; en tal sentido, en el caso particular, los</w:t>
      </w:r>
      <w:r>
        <w:rPr>
          <w:rFonts w:ascii="Calibri" w:hAnsi="Calibri" w:cs="Calibri"/>
          <w:i/>
          <w:sz w:val="22"/>
          <w:szCs w:val="22"/>
          <w:lang w:val="es-MX"/>
        </w:rPr>
        <w:t xml:space="preserve"> Presuntos Responsables</w:t>
      </w:r>
      <w:r w:rsidRPr="003C1A6B">
        <w:rPr>
          <w:rFonts w:ascii="Calibri" w:hAnsi="Calibri" w:cs="Calibri"/>
          <w:i/>
          <w:sz w:val="22"/>
          <w:szCs w:val="22"/>
          <w:lang w:val="es-MX"/>
        </w:rPr>
        <w:t xml:space="preserve"> </w:t>
      </w:r>
      <w:r>
        <w:rPr>
          <w:rFonts w:ascii="Calibri" w:hAnsi="Calibri" w:cs="Calibri"/>
          <w:b/>
          <w:i/>
          <w:sz w:val="22"/>
          <w:szCs w:val="22"/>
          <w:lang w:val="es-MX"/>
        </w:rPr>
        <w:t xml:space="preserve">Rosendo Mendoza Marín y Fabiola Ruiz Maldonado, </w:t>
      </w:r>
      <w:r>
        <w:rPr>
          <w:rFonts w:ascii="Calibri" w:hAnsi="Calibri" w:cs="Calibri"/>
          <w:i/>
          <w:sz w:val="22"/>
          <w:szCs w:val="22"/>
          <w:lang w:val="es-MX"/>
        </w:rPr>
        <w:t>r</w:t>
      </w:r>
      <w:r w:rsidRPr="003C1A6B">
        <w:rPr>
          <w:rFonts w:ascii="Calibri" w:hAnsi="Calibri" w:cs="Calibri"/>
          <w:i/>
          <w:sz w:val="22"/>
          <w:szCs w:val="22"/>
          <w:lang w:val="es-MX"/>
        </w:rPr>
        <w:t>e</w:t>
      </w:r>
      <w:r>
        <w:rPr>
          <w:rFonts w:ascii="Calibri" w:hAnsi="Calibri" w:cs="Calibri"/>
          <w:i/>
          <w:sz w:val="22"/>
          <w:szCs w:val="22"/>
          <w:lang w:val="es-MX"/>
        </w:rPr>
        <w:t xml:space="preserve">sultan ser </w:t>
      </w:r>
      <w:r>
        <w:rPr>
          <w:rFonts w:ascii="Calibri" w:hAnsi="Calibri" w:cs="Calibri"/>
          <w:b/>
          <w:i/>
          <w:sz w:val="22"/>
          <w:szCs w:val="22"/>
          <w:lang w:val="es-MX"/>
        </w:rPr>
        <w:t xml:space="preserve">responsables directos </w:t>
      </w:r>
      <w:r>
        <w:rPr>
          <w:rFonts w:ascii="Calibri" w:hAnsi="Calibri" w:cs="Calibri"/>
          <w:i/>
          <w:sz w:val="22"/>
          <w:szCs w:val="22"/>
          <w:lang w:val="es-MX"/>
        </w:rPr>
        <w:t xml:space="preserve">de </w:t>
      </w:r>
      <w:r w:rsidRPr="003C1A6B">
        <w:rPr>
          <w:rFonts w:ascii="Calibri" w:hAnsi="Calibri" w:cs="Calibri"/>
          <w:i/>
          <w:sz w:val="22"/>
          <w:szCs w:val="22"/>
          <w:lang w:val="es-MX"/>
        </w:rPr>
        <w:t>los daños ocasionados; …</w:t>
      </w:r>
      <w:r>
        <w:rPr>
          <w:rFonts w:ascii="Calibri" w:hAnsi="Calibri" w:cs="Calibri"/>
          <w:i/>
          <w:sz w:val="22"/>
          <w:szCs w:val="22"/>
          <w:lang w:val="es-MX"/>
        </w:rPr>
        <w:t xml:space="preserve"> ello en virtud de que administraron arbitrariamente los recursos públicos que recibieron e ingresaron a la Cuenta Pública municipal en el ejercicio fiscal aludido</w:t>
      </w:r>
      <w:r w:rsidRPr="003C1A6B">
        <w:rPr>
          <w:rFonts w:ascii="Calibri" w:hAnsi="Calibri" w:cs="Calibri"/>
          <w:i/>
          <w:sz w:val="22"/>
          <w:szCs w:val="22"/>
          <w:lang w:val="es-MX"/>
        </w:rPr>
        <w:t xml:space="preserve">. - - - - - - - - - - - - - - - - </w:t>
      </w:r>
    </w:p>
    <w:p w:rsidR="008B5A5C" w:rsidRPr="003C1A6B" w:rsidRDefault="008B5A5C" w:rsidP="008B5A5C">
      <w:pPr>
        <w:pStyle w:val="corte4fondo"/>
        <w:tabs>
          <w:tab w:val="left" w:pos="0"/>
        </w:tabs>
        <w:spacing w:line="240" w:lineRule="auto"/>
        <w:ind w:left="1069" w:right="51" w:firstLine="0"/>
        <w:rPr>
          <w:rFonts w:ascii="Calibri" w:hAnsi="Calibri" w:cs="Calibri"/>
          <w:i/>
          <w:sz w:val="22"/>
          <w:szCs w:val="22"/>
          <w:lang w:val="es-MX"/>
        </w:rPr>
      </w:pPr>
      <w:r w:rsidRPr="003C1A6B">
        <w:rPr>
          <w:rFonts w:ascii="Calibri" w:hAnsi="Calibri" w:cs="Calibri"/>
          <w:i/>
          <w:sz w:val="22"/>
          <w:szCs w:val="22"/>
          <w:lang w:val="es-MX"/>
        </w:rPr>
        <w:t xml:space="preserve">Conforme a las consideraciones expuestas, con fundamento en lo establecido en los artículos 45, 46, 47, 48, y 49 de la Ley de Fiscalización Superior del Estado de Oaxaca, vigente hasta el treinta de agosto de dos mil trece; actualmente en los artículos 49, 51, 52, 53, 54 y 56 de la Ley de Fiscalización Superior para el Estado de Oaxaca, vigente, es justo y equitativo </w:t>
      </w:r>
      <w:r w:rsidRPr="003C1A6B">
        <w:rPr>
          <w:rFonts w:ascii="Calibri" w:hAnsi="Calibri" w:cs="Calibri"/>
          <w:b/>
          <w:i/>
          <w:sz w:val="22"/>
          <w:szCs w:val="22"/>
          <w:lang w:val="es-MX"/>
        </w:rPr>
        <w:t xml:space="preserve">CONDENAR </w:t>
      </w:r>
      <w:r w:rsidRPr="003C1A6B">
        <w:rPr>
          <w:rFonts w:ascii="Calibri" w:hAnsi="Calibri" w:cs="Calibri"/>
          <w:i/>
          <w:sz w:val="22"/>
          <w:szCs w:val="22"/>
          <w:lang w:val="es-MX"/>
        </w:rPr>
        <w:t xml:space="preserve">a los ciudadanos </w:t>
      </w:r>
      <w:r>
        <w:rPr>
          <w:rFonts w:ascii="Calibri" w:hAnsi="Calibri" w:cs="Calibri"/>
          <w:b/>
          <w:i/>
          <w:sz w:val="22"/>
          <w:szCs w:val="22"/>
          <w:lang w:val="es-MX"/>
        </w:rPr>
        <w:t>Rosendo Mendoza Marín y Fabiola Ruiz Maldonado</w:t>
      </w:r>
      <w:r w:rsidRPr="003C1A6B">
        <w:rPr>
          <w:rFonts w:ascii="Calibri" w:hAnsi="Calibri" w:cs="Calibri"/>
          <w:b/>
          <w:i/>
          <w:sz w:val="22"/>
          <w:szCs w:val="22"/>
          <w:lang w:val="es-MX"/>
        </w:rPr>
        <w:t>,</w:t>
      </w:r>
      <w:r w:rsidRPr="003C1A6B">
        <w:rPr>
          <w:rFonts w:ascii="Calibri" w:hAnsi="Calibri" w:cs="Calibri"/>
          <w:i/>
          <w:sz w:val="22"/>
          <w:szCs w:val="22"/>
          <w:lang w:val="es-MX"/>
        </w:rPr>
        <w:t xml:space="preserve"> … al </w:t>
      </w:r>
      <w:r w:rsidRPr="003C1A6B">
        <w:rPr>
          <w:rFonts w:ascii="Calibri" w:hAnsi="Calibri" w:cs="Calibri"/>
          <w:b/>
          <w:i/>
          <w:sz w:val="22"/>
          <w:szCs w:val="22"/>
          <w:lang w:val="es-MX"/>
        </w:rPr>
        <w:t xml:space="preserve">RESARCIMIENTO </w:t>
      </w:r>
      <w:r w:rsidRPr="003C1A6B">
        <w:rPr>
          <w:rFonts w:ascii="Calibri" w:hAnsi="Calibri" w:cs="Calibri"/>
          <w:i/>
          <w:sz w:val="22"/>
          <w:szCs w:val="22"/>
          <w:lang w:val="es-MX"/>
        </w:rPr>
        <w:t>de los daños y perjuicios, ocasionados a la Hacienda Pública Municipal de</w:t>
      </w:r>
      <w:r>
        <w:rPr>
          <w:rFonts w:ascii="Calibri" w:hAnsi="Calibri" w:cs="Calibri"/>
          <w:i/>
          <w:sz w:val="22"/>
          <w:szCs w:val="22"/>
          <w:lang w:val="es-MX"/>
        </w:rPr>
        <w:t xml:space="preserve"> San Francisco Chindúa, </w:t>
      </w:r>
      <w:r w:rsidRPr="003C1A6B">
        <w:rPr>
          <w:rFonts w:ascii="Calibri" w:hAnsi="Calibri" w:cs="Calibri"/>
          <w:i/>
          <w:sz w:val="22"/>
          <w:szCs w:val="22"/>
          <w:lang w:val="es-MX"/>
        </w:rPr>
        <w:t xml:space="preserve">Nochixtlán, Oaxaca, por ser responsables en la administración Municipal … por un </w:t>
      </w:r>
      <w:r w:rsidRPr="003C1A6B">
        <w:rPr>
          <w:rFonts w:ascii="Calibri" w:hAnsi="Calibri" w:cs="Calibri"/>
          <w:b/>
          <w:i/>
          <w:sz w:val="22"/>
          <w:szCs w:val="22"/>
          <w:lang w:val="es-MX"/>
        </w:rPr>
        <w:t>importe total</w:t>
      </w:r>
      <w:r w:rsidRPr="003C1A6B">
        <w:rPr>
          <w:rFonts w:ascii="Calibri" w:hAnsi="Calibri" w:cs="Calibri"/>
          <w:i/>
          <w:sz w:val="22"/>
          <w:szCs w:val="22"/>
          <w:lang w:val="es-MX"/>
        </w:rPr>
        <w:t xml:space="preserve"> de </w:t>
      </w:r>
      <w:r w:rsidRPr="003C1A6B">
        <w:rPr>
          <w:rFonts w:ascii="Calibri" w:hAnsi="Calibri" w:cs="Calibri"/>
          <w:b/>
          <w:i/>
          <w:sz w:val="22"/>
          <w:szCs w:val="22"/>
          <w:lang w:val="es-MX"/>
        </w:rPr>
        <w:t>$</w:t>
      </w:r>
      <w:r>
        <w:rPr>
          <w:rFonts w:ascii="Calibri" w:hAnsi="Calibri" w:cs="Calibri"/>
          <w:b/>
          <w:i/>
          <w:sz w:val="22"/>
          <w:szCs w:val="22"/>
          <w:lang w:val="es-MX"/>
        </w:rPr>
        <w:t>3,871,720.80</w:t>
      </w:r>
      <w:r w:rsidRPr="003C1A6B">
        <w:rPr>
          <w:rFonts w:ascii="Calibri" w:hAnsi="Calibri" w:cs="Calibri"/>
          <w:b/>
          <w:i/>
          <w:sz w:val="22"/>
          <w:szCs w:val="22"/>
          <w:lang w:val="es-MX"/>
        </w:rPr>
        <w:t xml:space="preserve"> (</w:t>
      </w:r>
      <w:r>
        <w:rPr>
          <w:rFonts w:ascii="Calibri" w:hAnsi="Calibri" w:cs="Calibri"/>
          <w:b/>
          <w:i/>
          <w:sz w:val="22"/>
          <w:szCs w:val="22"/>
          <w:lang w:val="es-MX"/>
        </w:rPr>
        <w:t xml:space="preserve">TRES </w:t>
      </w:r>
      <w:r w:rsidRPr="003C1A6B">
        <w:rPr>
          <w:rFonts w:ascii="Calibri" w:hAnsi="Calibri" w:cs="Calibri"/>
          <w:b/>
          <w:i/>
          <w:sz w:val="22"/>
          <w:szCs w:val="22"/>
          <w:lang w:val="es-MX"/>
        </w:rPr>
        <w:t xml:space="preserve">MILLONES OCHOCIENTOS </w:t>
      </w:r>
      <w:r>
        <w:rPr>
          <w:rFonts w:ascii="Calibri" w:hAnsi="Calibri" w:cs="Calibri"/>
          <w:b/>
          <w:i/>
          <w:sz w:val="22"/>
          <w:szCs w:val="22"/>
          <w:lang w:val="es-MX"/>
        </w:rPr>
        <w:t xml:space="preserve">SETENTA Y UN MIL SETECIENTOS VEINTE </w:t>
      </w:r>
      <w:r w:rsidRPr="003C1A6B">
        <w:rPr>
          <w:rFonts w:ascii="Calibri" w:hAnsi="Calibri" w:cs="Calibri"/>
          <w:b/>
          <w:i/>
          <w:sz w:val="22"/>
          <w:szCs w:val="22"/>
          <w:lang w:val="es-MX"/>
        </w:rPr>
        <w:t xml:space="preserve">PESOS </w:t>
      </w:r>
      <w:r>
        <w:rPr>
          <w:rFonts w:ascii="Calibri" w:hAnsi="Calibri" w:cs="Calibri"/>
          <w:b/>
          <w:i/>
          <w:sz w:val="22"/>
          <w:szCs w:val="22"/>
          <w:lang w:val="es-MX"/>
        </w:rPr>
        <w:t>80</w:t>
      </w:r>
      <w:r w:rsidRPr="003C1A6B">
        <w:rPr>
          <w:rFonts w:ascii="Calibri" w:hAnsi="Calibri" w:cs="Calibri"/>
          <w:b/>
          <w:i/>
          <w:sz w:val="22"/>
          <w:szCs w:val="22"/>
          <w:lang w:val="es-MX"/>
        </w:rPr>
        <w:t xml:space="preserve">/100 M.N.) </w:t>
      </w:r>
      <w:r w:rsidRPr="003C1A6B">
        <w:rPr>
          <w:rFonts w:ascii="Calibri" w:hAnsi="Calibri" w:cs="Calibri"/>
          <w:i/>
          <w:sz w:val="22"/>
          <w:szCs w:val="22"/>
          <w:lang w:val="es-MX"/>
        </w:rPr>
        <w:t xml:space="preserve">por lo que se  </w:t>
      </w:r>
      <w:r w:rsidRPr="003C1A6B">
        <w:rPr>
          <w:rFonts w:ascii="Calibri" w:hAnsi="Calibri" w:cs="Calibri"/>
          <w:b/>
          <w:i/>
          <w:sz w:val="22"/>
          <w:szCs w:val="22"/>
          <w:lang w:val="es-MX"/>
        </w:rPr>
        <w:t xml:space="preserve">CONDENA </w:t>
      </w:r>
      <w:r w:rsidRPr="003C1A6B">
        <w:rPr>
          <w:rFonts w:ascii="Calibri" w:hAnsi="Calibri" w:cs="Calibri"/>
          <w:i/>
          <w:sz w:val="22"/>
          <w:szCs w:val="22"/>
          <w:lang w:val="es-MX"/>
        </w:rPr>
        <w:t xml:space="preserve">a los </w:t>
      </w:r>
      <w:r>
        <w:rPr>
          <w:rFonts w:ascii="Calibri" w:hAnsi="Calibri" w:cs="Calibri"/>
          <w:i/>
          <w:sz w:val="22"/>
          <w:szCs w:val="22"/>
          <w:lang w:val="es-MX"/>
        </w:rPr>
        <w:t xml:space="preserve">responsables </w:t>
      </w:r>
      <w:r>
        <w:rPr>
          <w:rFonts w:ascii="Calibri" w:hAnsi="Calibri" w:cs="Calibri"/>
          <w:b/>
          <w:i/>
          <w:sz w:val="22"/>
          <w:szCs w:val="22"/>
          <w:lang w:val="es-MX"/>
        </w:rPr>
        <w:t>Rosendo Mendoza Marín y Fabiola Ruiz Maldonado</w:t>
      </w:r>
      <w:r w:rsidRPr="003C1A6B">
        <w:rPr>
          <w:rFonts w:ascii="Calibri" w:hAnsi="Calibri" w:cs="Calibri"/>
          <w:b/>
          <w:i/>
          <w:sz w:val="22"/>
          <w:szCs w:val="22"/>
          <w:lang w:val="es-MX"/>
        </w:rPr>
        <w:t>,</w:t>
      </w:r>
      <w:r w:rsidRPr="003C1A6B">
        <w:rPr>
          <w:rFonts w:ascii="Calibri" w:hAnsi="Calibri" w:cs="Calibri"/>
          <w:i/>
          <w:sz w:val="22"/>
          <w:szCs w:val="22"/>
          <w:lang w:val="es-MX"/>
        </w:rPr>
        <w:t xml:space="preserve"> quienes fungieron como </w:t>
      </w:r>
      <w:r>
        <w:rPr>
          <w:rFonts w:ascii="Calibri" w:hAnsi="Calibri" w:cs="Calibri"/>
          <w:i/>
          <w:sz w:val="22"/>
          <w:szCs w:val="22"/>
          <w:lang w:val="es-MX"/>
        </w:rPr>
        <w:t xml:space="preserve">Administrador </w:t>
      </w:r>
      <w:r w:rsidRPr="003C1A6B">
        <w:rPr>
          <w:rFonts w:ascii="Calibri" w:hAnsi="Calibri" w:cs="Calibri"/>
          <w:i/>
          <w:sz w:val="22"/>
          <w:szCs w:val="22"/>
          <w:lang w:val="es-MX"/>
        </w:rPr>
        <w:t>Municipal</w:t>
      </w:r>
      <w:r>
        <w:rPr>
          <w:rFonts w:ascii="Calibri" w:hAnsi="Calibri" w:cs="Calibri"/>
          <w:i/>
          <w:sz w:val="22"/>
          <w:szCs w:val="22"/>
          <w:lang w:val="es-MX"/>
        </w:rPr>
        <w:t xml:space="preserve"> y Tesorera de la Administración Municipal, respectivamente, del Municipio de San Francisco Chindúa, </w:t>
      </w:r>
      <w:r w:rsidRPr="003C1A6B">
        <w:rPr>
          <w:rFonts w:ascii="Calibri" w:hAnsi="Calibri" w:cs="Calibri"/>
          <w:i/>
          <w:sz w:val="22"/>
          <w:szCs w:val="22"/>
          <w:lang w:val="es-MX"/>
        </w:rPr>
        <w:t xml:space="preserve">Nochixtlán, Oaxaca, durante el ejercicio fiscal dos mil </w:t>
      </w:r>
      <w:r>
        <w:rPr>
          <w:rFonts w:ascii="Calibri" w:hAnsi="Calibri" w:cs="Calibri"/>
          <w:i/>
          <w:sz w:val="22"/>
          <w:szCs w:val="22"/>
          <w:lang w:val="es-MX"/>
        </w:rPr>
        <w:t>doce</w:t>
      </w:r>
      <w:r w:rsidRPr="003C1A6B">
        <w:rPr>
          <w:rFonts w:ascii="Calibri" w:hAnsi="Calibri" w:cs="Calibri"/>
          <w:i/>
          <w:sz w:val="22"/>
          <w:szCs w:val="22"/>
          <w:lang w:val="es-MX"/>
        </w:rPr>
        <w:t xml:space="preserve">, </w:t>
      </w:r>
      <w:r w:rsidRPr="003C1A6B">
        <w:rPr>
          <w:rFonts w:ascii="Calibri" w:hAnsi="Calibri" w:cs="Calibri"/>
          <w:b/>
          <w:i/>
          <w:sz w:val="22"/>
          <w:szCs w:val="22"/>
          <w:lang w:val="es-MX"/>
        </w:rPr>
        <w:t xml:space="preserve">a pagar cada uno </w:t>
      </w:r>
      <w:r w:rsidRPr="003C1A6B">
        <w:rPr>
          <w:rFonts w:ascii="Calibri" w:hAnsi="Calibri" w:cs="Calibri"/>
          <w:i/>
          <w:sz w:val="22"/>
          <w:szCs w:val="22"/>
          <w:lang w:val="es-MX"/>
        </w:rPr>
        <w:t xml:space="preserve">la cantidad de </w:t>
      </w:r>
      <w:r w:rsidRPr="003C1A6B">
        <w:rPr>
          <w:rFonts w:ascii="Calibri" w:hAnsi="Calibri" w:cs="Calibri"/>
          <w:b/>
          <w:i/>
          <w:sz w:val="22"/>
          <w:szCs w:val="22"/>
          <w:lang w:val="es-MX"/>
        </w:rPr>
        <w:t>$</w:t>
      </w:r>
      <w:r>
        <w:rPr>
          <w:rFonts w:ascii="Calibri" w:hAnsi="Calibri" w:cs="Calibri"/>
          <w:b/>
          <w:i/>
          <w:sz w:val="22"/>
          <w:szCs w:val="22"/>
          <w:lang w:val="es-MX"/>
        </w:rPr>
        <w:t>1,935,860.40</w:t>
      </w:r>
      <w:r w:rsidRPr="003C1A6B">
        <w:rPr>
          <w:rFonts w:ascii="Calibri" w:hAnsi="Calibri" w:cs="Calibri"/>
          <w:b/>
          <w:i/>
          <w:sz w:val="22"/>
          <w:szCs w:val="22"/>
          <w:lang w:val="es-MX"/>
        </w:rPr>
        <w:t xml:space="preserve"> (</w:t>
      </w:r>
      <w:r>
        <w:rPr>
          <w:rFonts w:ascii="Calibri" w:hAnsi="Calibri" w:cs="Calibri"/>
          <w:b/>
          <w:i/>
          <w:sz w:val="22"/>
          <w:szCs w:val="22"/>
          <w:lang w:val="es-MX"/>
        </w:rPr>
        <w:t xml:space="preserve">UN MILLÓN NOVECIENTOS TREINTA Y CINCO MIL OCHOCIENTOS SESENTA </w:t>
      </w:r>
      <w:r w:rsidRPr="003C1A6B">
        <w:rPr>
          <w:rFonts w:ascii="Calibri" w:hAnsi="Calibri" w:cs="Calibri"/>
          <w:b/>
          <w:i/>
          <w:sz w:val="22"/>
          <w:szCs w:val="22"/>
          <w:lang w:val="es-MX"/>
        </w:rPr>
        <w:t xml:space="preserve">PESOS </w:t>
      </w:r>
      <w:r>
        <w:rPr>
          <w:rFonts w:ascii="Calibri" w:hAnsi="Calibri" w:cs="Calibri"/>
          <w:b/>
          <w:i/>
          <w:sz w:val="22"/>
          <w:szCs w:val="22"/>
          <w:lang w:val="es-MX"/>
        </w:rPr>
        <w:t>40</w:t>
      </w:r>
      <w:r w:rsidRPr="003C1A6B">
        <w:rPr>
          <w:rFonts w:ascii="Calibri" w:hAnsi="Calibri" w:cs="Calibri"/>
          <w:b/>
          <w:i/>
          <w:sz w:val="22"/>
          <w:szCs w:val="22"/>
          <w:lang w:val="es-MX"/>
        </w:rPr>
        <w:t xml:space="preserve">/100 M.N.) </w:t>
      </w:r>
      <w:r w:rsidRPr="003C1A6B">
        <w:rPr>
          <w:rFonts w:ascii="Calibri" w:hAnsi="Calibri" w:cs="Calibri"/>
          <w:i/>
          <w:sz w:val="22"/>
          <w:szCs w:val="22"/>
          <w:lang w:val="es-MX"/>
        </w:rPr>
        <w:t xml:space="preserve">por el resarcimiento de los daños causados a la Hacienda Pública Municipal del Municipio de </w:t>
      </w:r>
      <w:r>
        <w:rPr>
          <w:rFonts w:ascii="Calibri" w:hAnsi="Calibri" w:cs="Calibri"/>
          <w:i/>
          <w:sz w:val="22"/>
          <w:szCs w:val="22"/>
          <w:lang w:val="es-MX"/>
        </w:rPr>
        <w:t>San Francisco Chindúa,</w:t>
      </w:r>
      <w:r w:rsidRPr="003C1A6B">
        <w:rPr>
          <w:rFonts w:ascii="Calibri" w:hAnsi="Calibri" w:cs="Calibri"/>
          <w:i/>
          <w:sz w:val="22"/>
          <w:szCs w:val="22"/>
          <w:lang w:val="es-MX"/>
        </w:rPr>
        <w:t xml:space="preserve"> Nochixtlán, Oaxaca, por la afectación ocasionada por los responsables. …”</w:t>
      </w:r>
    </w:p>
    <w:p w:rsidR="008B5A5C" w:rsidRDefault="008B5A5C" w:rsidP="008B5A5C">
      <w:pPr>
        <w:pStyle w:val="corte4fondo"/>
        <w:tabs>
          <w:tab w:val="left" w:pos="0"/>
        </w:tabs>
        <w:ind w:right="51"/>
        <w:rPr>
          <w:sz w:val="26"/>
          <w:szCs w:val="26"/>
          <w:lang w:val="es-MX"/>
        </w:rPr>
      </w:pPr>
    </w:p>
    <w:p w:rsidR="008B5A5C" w:rsidRDefault="008B5A5C" w:rsidP="008B5A5C">
      <w:pPr>
        <w:pStyle w:val="corte4fondo"/>
        <w:tabs>
          <w:tab w:val="left" w:pos="0"/>
        </w:tabs>
        <w:ind w:right="51"/>
        <w:rPr>
          <w:sz w:val="26"/>
          <w:szCs w:val="26"/>
          <w:lang w:val="es-MX"/>
        </w:rPr>
      </w:pPr>
      <w:r>
        <w:rPr>
          <w:sz w:val="26"/>
          <w:szCs w:val="26"/>
          <w:lang w:val="es-MX"/>
        </w:rPr>
        <w:t xml:space="preserve">De lo anterior, se advierte que el Titular de la Unidad de asuntos Jurídicos de la Auditoría Superior del Estado señaló que por ser responsables de la administración Municipal cada uno de los promoventes del juicio, debía pagar </w:t>
      </w:r>
      <w:r w:rsidRPr="00D25A1C">
        <w:rPr>
          <w:b/>
          <w:sz w:val="26"/>
          <w:szCs w:val="26"/>
          <w:lang w:val="es-MX"/>
        </w:rPr>
        <w:t>$1,935,860.40 (UN MILLÓN NOVECIENTOS TREINTA Y CINCO MIL OCHOCIENTOS SESENTA PESOS 40/100 M.N.)</w:t>
      </w:r>
      <w:r>
        <w:rPr>
          <w:b/>
          <w:sz w:val="26"/>
          <w:szCs w:val="26"/>
          <w:lang w:val="es-MX"/>
        </w:rPr>
        <w:t xml:space="preserve"> </w:t>
      </w:r>
      <w:r>
        <w:rPr>
          <w:sz w:val="26"/>
          <w:szCs w:val="26"/>
          <w:lang w:val="es-MX"/>
        </w:rPr>
        <w:t xml:space="preserve">por el resarcimiento de los daños y perjuicios causados a la Hacienda Pública Municipal de </w:t>
      </w:r>
      <w:r w:rsidRPr="00D25A1C">
        <w:rPr>
          <w:sz w:val="26"/>
          <w:szCs w:val="26"/>
          <w:lang w:val="es-MX"/>
        </w:rPr>
        <w:t>San Francisco Chindúa,</w:t>
      </w:r>
      <w:r>
        <w:rPr>
          <w:sz w:val="26"/>
          <w:szCs w:val="26"/>
          <w:lang w:val="es-MX"/>
        </w:rPr>
        <w:t xml:space="preserve"> Nochixtlán, Oaxaca; sin embargo</w:t>
      </w:r>
      <w:r>
        <w:rPr>
          <w:b/>
          <w:sz w:val="26"/>
          <w:szCs w:val="26"/>
          <w:lang w:val="es-MX"/>
        </w:rPr>
        <w:t xml:space="preserve">, </w:t>
      </w:r>
      <w:r>
        <w:rPr>
          <w:sz w:val="26"/>
          <w:szCs w:val="26"/>
          <w:lang w:val="es-MX"/>
        </w:rPr>
        <w:t xml:space="preserve">de los preceptos legales citados en la resolución de tres de abril de dos mil diecisiete, ninguno de ellos establece que la Auditoría Superior del Estado tenga la facultad de imponer el resarcimiento de daños de manera individual, a cada uno de los inconformes, por haber sido responsables de la Administración Pública Municipal de </w:t>
      </w:r>
      <w:r w:rsidRPr="00D25A1C">
        <w:rPr>
          <w:sz w:val="26"/>
          <w:szCs w:val="26"/>
          <w:lang w:val="es-MX"/>
        </w:rPr>
        <w:t>San Francisco Chindúa</w:t>
      </w:r>
      <w:r>
        <w:rPr>
          <w:sz w:val="26"/>
          <w:szCs w:val="26"/>
          <w:lang w:val="es-MX"/>
        </w:rPr>
        <w:t xml:space="preserve">, Nochixtlán, Oaxaca; ni tampoco explica cómo llegó a la conclusión de que a pesar de que no existe precepto jurídico que así lo establezca determinó imponer la sanción resarcitoria de manera </w:t>
      </w:r>
      <w:r>
        <w:rPr>
          <w:b/>
          <w:sz w:val="26"/>
          <w:szCs w:val="26"/>
          <w:lang w:val="es-MX"/>
        </w:rPr>
        <w:t xml:space="preserve">individualizada </w:t>
      </w:r>
      <w:r w:rsidRPr="000C2672">
        <w:rPr>
          <w:sz w:val="26"/>
          <w:szCs w:val="26"/>
          <w:lang w:val="es-MX"/>
        </w:rPr>
        <w:t>a</w:t>
      </w:r>
      <w:r>
        <w:rPr>
          <w:sz w:val="26"/>
          <w:szCs w:val="26"/>
          <w:lang w:val="es-MX"/>
        </w:rPr>
        <w:t xml:space="preserve">l </w:t>
      </w:r>
      <w:r w:rsidRPr="00511EB6">
        <w:rPr>
          <w:rFonts w:eastAsia="Arial Unicode MS"/>
          <w:sz w:val="26"/>
          <w:szCs w:val="26"/>
        </w:rPr>
        <w:t>EX ADMINISTRADOR Y EX TESORERA, AMBOS DEL MUNICIPIO DE SAN FRANCISCO CHINDÚA, DISTRITO DE NOCHIXTLAN, OAXACA</w:t>
      </w:r>
      <w:r w:rsidRPr="00CB3F85">
        <w:rPr>
          <w:bCs/>
          <w:iCs/>
          <w:caps/>
          <w:kern w:val="2"/>
          <w:sz w:val="24"/>
          <w:szCs w:val="24"/>
        </w:rPr>
        <w:t xml:space="preserve">, </w:t>
      </w:r>
      <w:r>
        <w:rPr>
          <w:sz w:val="26"/>
          <w:szCs w:val="26"/>
          <w:lang w:val="es-MX"/>
        </w:rPr>
        <w:t xml:space="preserve">y no, a manera de Comisión de Hacienda, es decir, en </w:t>
      </w:r>
      <w:r>
        <w:rPr>
          <w:sz w:val="26"/>
          <w:szCs w:val="26"/>
          <w:lang w:val="es-MX"/>
        </w:rPr>
        <w:lastRenderedPageBreak/>
        <w:t>forma global, lo que indudablemente constituye una violación al principio de legalidad.</w:t>
      </w:r>
    </w:p>
    <w:p w:rsidR="008B5A5C" w:rsidRDefault="008B5A5C" w:rsidP="008B5A5C">
      <w:pPr>
        <w:pStyle w:val="corte4fondo"/>
        <w:tabs>
          <w:tab w:val="left" w:pos="0"/>
        </w:tabs>
        <w:spacing w:before="240"/>
        <w:ind w:right="51"/>
        <w:rPr>
          <w:sz w:val="26"/>
          <w:szCs w:val="26"/>
          <w:lang w:val="es-MX"/>
        </w:rPr>
      </w:pPr>
      <w:r>
        <w:rPr>
          <w:sz w:val="26"/>
          <w:szCs w:val="26"/>
          <w:lang w:val="es-MX"/>
        </w:rPr>
        <w:t>Se explica lo anterior, porque conforme a lo dispuesto por el artículo 16 de la Constitución Federal todo acto de autoridad debe reunir los elementos mínimos para ser considerado válido, y que son: constar por escrito, ser emitido por autoridad competente y estar fundado y motivado, para así, estar en condiciones de cumplir con el principio de legalidad.</w:t>
      </w:r>
    </w:p>
    <w:p w:rsidR="008B5A5C" w:rsidRDefault="008B5A5C" w:rsidP="008B5A5C">
      <w:pPr>
        <w:pStyle w:val="corte4fondo"/>
        <w:tabs>
          <w:tab w:val="left" w:pos="0"/>
        </w:tabs>
        <w:spacing w:before="240"/>
        <w:ind w:right="51"/>
        <w:rPr>
          <w:sz w:val="26"/>
          <w:szCs w:val="26"/>
          <w:lang w:val="es-MX"/>
        </w:rPr>
      </w:pPr>
      <w:r>
        <w:rPr>
          <w:sz w:val="26"/>
          <w:szCs w:val="26"/>
          <w:lang w:val="es-MX"/>
        </w:rPr>
        <w:t xml:space="preserve">En el presente asunto, 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Ahora, la debida fundamentación y motivación exige, además, que las razones otorgadas se adecuen a los fundamentos legales, porque de esta manera se asegura que dicho acto está apegado a derecho y, por tanto, se satisfacen los principios de certeza y seguridad jurídica, lo que impide dejarlo en estado de indefensión, ello conlleva, a que la autoridad cumpla con su obligación constitucional, pero además, garantizando que el acto que fue emitido cumpla con los requisitos previstos en la ley. </w:t>
      </w:r>
    </w:p>
    <w:p w:rsidR="008B5A5C" w:rsidRDefault="008B5A5C" w:rsidP="008B5A5C">
      <w:pPr>
        <w:spacing w:before="240" w:after="0" w:line="360" w:lineRule="auto"/>
        <w:ind w:firstLine="708"/>
        <w:jc w:val="both"/>
        <w:rPr>
          <w:rFonts w:ascii="Arial" w:hAnsi="Arial" w:cs="Arial"/>
          <w:sz w:val="26"/>
          <w:szCs w:val="26"/>
        </w:rPr>
      </w:pPr>
      <w:r>
        <w:rPr>
          <w:rFonts w:ascii="Arial" w:hAnsi="Arial" w:cs="Arial"/>
          <w:sz w:val="26"/>
          <w:szCs w:val="26"/>
        </w:rPr>
        <w:t>En tal consideración,</w:t>
      </w:r>
      <w:r>
        <w:rPr>
          <w:rFonts w:ascii="Arial" w:hAnsi="Arial" w:cs="Arial"/>
          <w:b/>
          <w:sz w:val="26"/>
          <w:szCs w:val="26"/>
        </w:rPr>
        <w:t xml:space="preserve"> </w:t>
      </w:r>
      <w:r>
        <w:rPr>
          <w:rFonts w:ascii="Arial" w:hAnsi="Arial" w:cs="Arial"/>
          <w:sz w:val="26"/>
          <w:szCs w:val="26"/>
        </w:rPr>
        <w:t>todo acto que emita una autoridad que adolezca de la debida fundamentación y motivación es ilegal, pues se opone al principio de legalidad y coloca al afectado en un total estado de indefensión, como se advierte del contenido del artículo 16 de la Constitución Federal.</w:t>
      </w:r>
    </w:p>
    <w:p w:rsidR="008B5A5C" w:rsidRDefault="008B5A5C" w:rsidP="008B5A5C">
      <w:pPr>
        <w:spacing w:before="240" w:after="0" w:line="360" w:lineRule="auto"/>
        <w:ind w:firstLine="708"/>
        <w:jc w:val="both"/>
        <w:rPr>
          <w:rFonts w:ascii="Arial" w:hAnsi="Arial" w:cs="Arial"/>
          <w:sz w:val="26"/>
          <w:szCs w:val="26"/>
        </w:rPr>
      </w:pPr>
      <w:r>
        <w:rPr>
          <w:rFonts w:ascii="Arial" w:hAnsi="Arial" w:cs="Arial"/>
          <w:sz w:val="26"/>
          <w:szCs w:val="26"/>
        </w:rPr>
        <w:t>Estas consideraciones, encuentran sustento en la jurisprudencia de la Segunda Sala de la Suprema Corte de Justicia de la Nación emitida en la Séptima Época, publicada en el apéndice de 1995 a Tomo VI, parte SCJN en la página 175 con el rubro y texto siguientes:</w:t>
      </w:r>
    </w:p>
    <w:p w:rsidR="008B5A5C" w:rsidRDefault="008B5A5C" w:rsidP="008B5A5C">
      <w:pPr>
        <w:spacing w:after="0" w:line="360" w:lineRule="auto"/>
        <w:jc w:val="both"/>
        <w:rPr>
          <w:rFonts w:ascii="Arial" w:hAnsi="Arial" w:cs="Arial"/>
        </w:rPr>
      </w:pPr>
    </w:p>
    <w:p w:rsidR="008B5A5C" w:rsidRDefault="008B5A5C" w:rsidP="008B5A5C">
      <w:pPr>
        <w:spacing w:after="0" w:line="240" w:lineRule="auto"/>
        <w:ind w:left="851" w:right="616"/>
        <w:jc w:val="both"/>
        <w:rPr>
          <w:rFonts w:ascii="Arial" w:hAnsi="Arial" w:cs="Arial"/>
          <w:i/>
        </w:rPr>
      </w:pPr>
      <w:r>
        <w:rPr>
          <w:rFonts w:ascii="Arial" w:hAnsi="Arial" w:cs="Arial"/>
          <w:b/>
          <w:i/>
        </w:rPr>
        <w:t>FUNDAMENTACION Y MOTIVACION</w:t>
      </w:r>
      <w:r>
        <w:rPr>
          <w:rFonts w:ascii="Arial" w:hAnsi="Arial" w:cs="Arial"/>
          <w:i/>
        </w:rPr>
        <w:t xml:space="preserve">.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w:t>
      </w:r>
      <w:r>
        <w:rPr>
          <w:rFonts w:ascii="Arial" w:hAnsi="Arial" w:cs="Arial"/>
          <w:i/>
        </w:rPr>
        <w:lastRenderedPageBreak/>
        <w:t>causas inmediatas que se hayan tenido en consideración para la emisión del acto; siendo necesario, además, que exista adecuación entre los motivos aducidos y las normas aplicables, es decir, que en el caso concreto se configuren las hipótesis normativas.</w:t>
      </w:r>
    </w:p>
    <w:p w:rsidR="008B5A5C" w:rsidRDefault="008B5A5C" w:rsidP="008B5A5C">
      <w:pPr>
        <w:pStyle w:val="corte4fondo"/>
        <w:tabs>
          <w:tab w:val="left" w:pos="0"/>
        </w:tabs>
        <w:ind w:right="51"/>
        <w:rPr>
          <w:sz w:val="24"/>
          <w:szCs w:val="24"/>
          <w:lang w:val="es-ES"/>
        </w:rPr>
      </w:pPr>
    </w:p>
    <w:p w:rsidR="008B5A5C" w:rsidRDefault="008B5A5C" w:rsidP="008B5A5C">
      <w:pPr>
        <w:pStyle w:val="corte4fondo"/>
        <w:tabs>
          <w:tab w:val="left" w:pos="0"/>
        </w:tabs>
        <w:ind w:right="51"/>
        <w:rPr>
          <w:sz w:val="26"/>
          <w:szCs w:val="26"/>
        </w:rPr>
      </w:pPr>
      <w:r>
        <w:rPr>
          <w:sz w:val="26"/>
          <w:szCs w:val="26"/>
          <w:lang w:val="es-MX"/>
        </w:rPr>
        <w:t xml:space="preserve">Así como la jurisprudencia </w:t>
      </w:r>
      <w:r>
        <w:rPr>
          <w:sz w:val="26"/>
          <w:szCs w:val="26"/>
        </w:rPr>
        <w:t>I.6o.C. J/52 del Sexto Tribunal Colegiado en Materia Civil del Primer Circuito, dictada en la novena época, y publicada en la página 2127 del Semanario Judicial de la Federación y su Gaceta en el Tomo XXV de enero de 2007, con el rubro y texto del tenor literal siguiente:</w:t>
      </w:r>
    </w:p>
    <w:p w:rsidR="008B5A5C" w:rsidRDefault="008B5A5C" w:rsidP="008B5A5C">
      <w:pPr>
        <w:pStyle w:val="corte4fondo"/>
        <w:tabs>
          <w:tab w:val="left" w:pos="0"/>
        </w:tabs>
        <w:ind w:right="51"/>
      </w:pPr>
    </w:p>
    <w:p w:rsidR="008B5A5C" w:rsidRDefault="008B5A5C" w:rsidP="008B5A5C">
      <w:pPr>
        <w:spacing w:after="0" w:line="240" w:lineRule="auto"/>
        <w:ind w:left="851" w:right="758"/>
        <w:jc w:val="both"/>
        <w:rPr>
          <w:rFonts w:ascii="Arial" w:hAnsi="Arial" w:cs="Arial"/>
          <w:i/>
        </w:rPr>
      </w:pPr>
      <w:r>
        <w:rPr>
          <w:rFonts w:ascii="Arial" w:hAnsi="Arial" w:cs="Arial"/>
          <w:b/>
          <w:i/>
        </w:rPr>
        <w:t>FUNDAMENTACIÓN Y MOTIVACIÓN. SU DISTINCIÓN ENTRE SU FALTA Y CUANDO ES INDEBIDA</w:t>
      </w:r>
      <w:r>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rsidR="008B5A5C" w:rsidRDefault="008B5A5C" w:rsidP="008B5A5C">
      <w:pPr>
        <w:pStyle w:val="corte4fondo"/>
        <w:tabs>
          <w:tab w:val="left" w:pos="0"/>
        </w:tabs>
        <w:ind w:right="51"/>
        <w:rPr>
          <w:sz w:val="24"/>
          <w:szCs w:val="24"/>
          <w:lang w:val="es-ES"/>
        </w:rPr>
      </w:pPr>
    </w:p>
    <w:p w:rsidR="008B5A5C" w:rsidRDefault="008B5A5C" w:rsidP="008B5A5C">
      <w:pPr>
        <w:spacing w:line="360" w:lineRule="auto"/>
        <w:ind w:firstLine="708"/>
        <w:jc w:val="both"/>
        <w:rPr>
          <w:rFonts w:ascii="Arial" w:hAnsi="Arial" w:cs="Arial"/>
          <w:sz w:val="26"/>
          <w:szCs w:val="26"/>
        </w:rPr>
      </w:pPr>
      <w:r>
        <w:rPr>
          <w:rFonts w:ascii="Arial" w:hAnsi="Arial" w:cs="Arial"/>
          <w:sz w:val="26"/>
          <w:szCs w:val="26"/>
        </w:rPr>
        <w:t xml:space="preserve">Tiene relevancia lo anteriormente señalado, porque como se dijo, en la resolución impugnada la Auditoría Superior del Estado se constriñe a imponer a título de indemnización, resarcir los daños y perjuicios ocasionados a la Hacienda Pública Municipal de </w:t>
      </w:r>
      <w:r w:rsidRPr="00314DAA">
        <w:rPr>
          <w:rFonts w:ascii="Arial" w:hAnsi="Arial" w:cs="Arial"/>
          <w:sz w:val="26"/>
          <w:szCs w:val="26"/>
        </w:rPr>
        <w:t>San Francisco Chindúa</w:t>
      </w:r>
      <w:r>
        <w:rPr>
          <w:rFonts w:ascii="Arial" w:hAnsi="Arial" w:cs="Arial"/>
          <w:sz w:val="26"/>
          <w:szCs w:val="26"/>
        </w:rPr>
        <w:t>,</w:t>
      </w:r>
      <w:r w:rsidRPr="00314DAA">
        <w:rPr>
          <w:rFonts w:ascii="Arial" w:hAnsi="Arial" w:cs="Arial"/>
          <w:sz w:val="26"/>
          <w:szCs w:val="26"/>
        </w:rPr>
        <w:t xml:space="preserve"> </w:t>
      </w:r>
      <w:r>
        <w:rPr>
          <w:rFonts w:ascii="Arial" w:hAnsi="Arial" w:cs="Arial"/>
          <w:sz w:val="26"/>
          <w:szCs w:val="26"/>
        </w:rPr>
        <w:t xml:space="preserve">Nochixtlan, Oaxaca, la cantidad señalada en líneas precedentes a cada uno de los actores en el presente juicio, empero los preceptos legales citados en ella, no establecen que las faltas indicadas deban ser sancionadas en forma individual para cada uno los hoy accionantes, además, tampoco explica, en todo caso, el por qué impone el resarcimiento de daños de manera individual, es decir, no aporta las razones jurídicas de su actuación, lo que transgrede el principio de legalidad, pues incumple con su obligación de fundar y motivar debidamente su actuación y coloca en estado de indefensión a los afectados, al desconocer las razones que se tuvo para establecer dicho resarcimiento de manera individual, sin que como lo señalan los actores se haya establecido el grado de responsabilidad, ilegalidades que los dejaron en total estado de indefensión al no poder ejercer una adecuada defensa. </w:t>
      </w:r>
    </w:p>
    <w:p w:rsidR="008B5A5C" w:rsidRDefault="008B5A5C" w:rsidP="008B5A5C">
      <w:pPr>
        <w:spacing w:line="360" w:lineRule="auto"/>
        <w:ind w:firstLine="708"/>
        <w:jc w:val="both"/>
        <w:rPr>
          <w:rFonts w:ascii="Arial" w:hAnsi="Arial" w:cs="Arial"/>
          <w:bCs/>
          <w:sz w:val="26"/>
          <w:szCs w:val="26"/>
        </w:rPr>
      </w:pPr>
      <w:r>
        <w:rPr>
          <w:rFonts w:ascii="Arial" w:hAnsi="Arial" w:cs="Arial"/>
          <w:bCs/>
          <w:sz w:val="26"/>
          <w:szCs w:val="26"/>
        </w:rPr>
        <w:lastRenderedPageBreak/>
        <w:t>Sirve de apoyo la jurisprudencia  I.3o.C. J/47 del Tercer Tribunal Colegiado en materia civil del Primer Circuito emitida en la novena época, la cual ha sido publicada en el Semanario Judicial de la Federación y su Gaceta a Tomo XXVII de febrero de 2008, y que es consultable a página 1964 bajo el rubro y texto del tenor literal siguientes:</w:t>
      </w:r>
    </w:p>
    <w:p w:rsidR="008B5A5C" w:rsidRDefault="008B5A5C" w:rsidP="008B5A5C">
      <w:pPr>
        <w:spacing w:line="240" w:lineRule="auto"/>
        <w:ind w:left="851" w:right="616"/>
        <w:jc w:val="both"/>
        <w:rPr>
          <w:rFonts w:ascii="Arial" w:hAnsi="Arial" w:cs="Arial"/>
          <w:bCs/>
          <w:i/>
        </w:rPr>
      </w:pPr>
      <w:r>
        <w:rPr>
          <w:rFonts w:ascii="Arial" w:hAnsi="Arial" w:cs="Arial"/>
          <w:b/>
          <w:bCs/>
          <w:i/>
        </w:rPr>
        <w:t>“FUNDAMENTACIÓN Y MOTIVACIÓN. LA DIFERENCIA ENTRE LA FALTA Y LA INDEBIDA SATISFACCIÓN DE AMBOS REQUISITOS CONSTITUCIONALES TRASCIENDE AL ORDEN EN QUE DEBEN ESTUDIARSE LOS CONCEPTOS DE VIOLACIÓN Y A LOS EFECTOS DEL FALLO PROTECTOR.</w:t>
      </w:r>
      <w:r>
        <w:rPr>
          <w:rFonts w:ascii="Arial" w:hAnsi="Arial" w:cs="Arial"/>
          <w:bCs/>
          <w:i/>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w:t>
      </w:r>
      <w:r>
        <w:rPr>
          <w:rFonts w:ascii="Arial" w:hAnsi="Arial" w:cs="Arial"/>
          <w:bCs/>
          <w:i/>
        </w:rPr>
        <w:lastRenderedPageBreak/>
        <w:t>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rsidR="008B5A5C" w:rsidRDefault="008B5A5C" w:rsidP="008B5A5C">
      <w:pPr>
        <w:pStyle w:val="Default"/>
        <w:spacing w:line="360" w:lineRule="auto"/>
        <w:ind w:firstLine="708"/>
        <w:jc w:val="both"/>
        <w:rPr>
          <w:rFonts w:eastAsia="Arial Unicode MS"/>
          <w:color w:val="auto"/>
          <w:sz w:val="26"/>
          <w:szCs w:val="26"/>
        </w:rPr>
      </w:pPr>
      <w:r>
        <w:rPr>
          <w:sz w:val="26"/>
          <w:szCs w:val="26"/>
        </w:rPr>
        <w:t>En las relatadas consideraciones, virtud que la resolución de tres de abril de dos mil diecisiete, dictada por la Auditoría Superior del Estado, a través de la Unidad de Asuntos Jurídicos, dentro del Procedimiento de Fincamiento de Responsabilidad Resarcitoria número ASE/UAJ/P.R./045/2014, y que fue ratificada por resolución de veinte de octubre de dos mil diecisiete, dictada en el recurso de reconsideración ASE/REC.R./0057/2017, determinación cuya nulidad se demanda, al no estar debidamente fundada y motivada, en cuanto a la condena individualizada del pago por resarcimiento de daños y perjuicios causados a la Hacienda Pública Municipal por ser los responsables de la administración municipal, imposición de la sanción de manera individual, que por las razones expuestas con antelación, procede</w:t>
      </w:r>
      <w:r>
        <w:rPr>
          <w:b/>
          <w:sz w:val="26"/>
          <w:szCs w:val="26"/>
        </w:rPr>
        <w:t xml:space="preserve"> </w:t>
      </w:r>
      <w:r>
        <w:rPr>
          <w:sz w:val="26"/>
          <w:szCs w:val="26"/>
        </w:rPr>
        <w:t xml:space="preserve">en términos de los artículos </w:t>
      </w:r>
      <w:r w:rsidRPr="0056374E">
        <w:rPr>
          <w:sz w:val="26"/>
          <w:szCs w:val="26"/>
        </w:rPr>
        <w:t>40 fracción IV y 43</w:t>
      </w:r>
      <w:r>
        <w:rPr>
          <w:sz w:val="26"/>
          <w:szCs w:val="26"/>
        </w:rPr>
        <w:t xml:space="preserve"> de la Ley de Justicia de Fiscalización y  Rendición de Cuentas,</w:t>
      </w:r>
      <w:r>
        <w:rPr>
          <w:b/>
          <w:sz w:val="26"/>
          <w:szCs w:val="26"/>
        </w:rPr>
        <w:t xml:space="preserve"> dejar sin efectos</w:t>
      </w:r>
      <w:r>
        <w:rPr>
          <w:sz w:val="26"/>
          <w:szCs w:val="26"/>
        </w:rPr>
        <w:t xml:space="preserve"> la resolución dictada el veinte de octubre de dos mil diecisiete, en el recurso de reconsideración ASE/REC.R./0057/2017.</w:t>
      </w:r>
    </w:p>
    <w:p w:rsidR="008B5A5C" w:rsidRDefault="008B5A5C" w:rsidP="008B5A5C">
      <w:pPr>
        <w:pStyle w:val="Default"/>
        <w:spacing w:line="360" w:lineRule="auto"/>
        <w:ind w:firstLine="708"/>
        <w:jc w:val="both"/>
        <w:rPr>
          <w:rFonts w:eastAsia="Arial Unicode MS"/>
          <w:color w:val="auto"/>
          <w:sz w:val="26"/>
          <w:szCs w:val="26"/>
        </w:rPr>
      </w:pPr>
    </w:p>
    <w:p w:rsidR="008B5A5C" w:rsidRDefault="008B5A5C" w:rsidP="008B5A5C">
      <w:pPr>
        <w:pStyle w:val="Default"/>
        <w:spacing w:line="360" w:lineRule="auto"/>
        <w:jc w:val="both"/>
        <w:rPr>
          <w:rFonts w:eastAsia="Arial Unicode MS"/>
          <w:color w:val="auto"/>
          <w:sz w:val="26"/>
          <w:szCs w:val="26"/>
        </w:rPr>
      </w:pPr>
      <w:r>
        <w:rPr>
          <w:rFonts w:eastAsia="Arial Unicode MS"/>
          <w:color w:val="auto"/>
          <w:sz w:val="26"/>
          <w:szCs w:val="26"/>
        </w:rPr>
        <w:tab/>
        <w:t xml:space="preserve">En mérito de lo expuesto y con apoyo en los artículos 4, 5, 27, </w:t>
      </w:r>
      <w:r>
        <w:rPr>
          <w:rFonts w:eastAsia="Arial Unicode MS"/>
          <w:bCs/>
          <w:iCs/>
          <w:color w:val="auto"/>
          <w:sz w:val="26"/>
          <w:szCs w:val="26"/>
        </w:rPr>
        <w:t xml:space="preserve">39, 40 y  43 </w:t>
      </w:r>
      <w:r>
        <w:rPr>
          <w:rFonts w:eastAsia="Arial Unicode MS"/>
          <w:color w:val="auto"/>
          <w:sz w:val="26"/>
          <w:szCs w:val="26"/>
        </w:rPr>
        <w:t>Ley de Justicia de Fiscalización y Rendición de Cuentas para el Estado de Oaxaca</w:t>
      </w:r>
      <w:r>
        <w:rPr>
          <w:rFonts w:eastAsia="Arial Unicode MS"/>
          <w:bCs/>
          <w:iCs/>
          <w:color w:val="auto"/>
          <w:sz w:val="26"/>
          <w:szCs w:val="26"/>
        </w:rPr>
        <w:t>,</w:t>
      </w:r>
      <w:r>
        <w:rPr>
          <w:rFonts w:eastAsia="Arial Unicode MS"/>
          <w:color w:val="auto"/>
          <w:sz w:val="26"/>
          <w:szCs w:val="26"/>
        </w:rPr>
        <w:t xml:space="preserve"> se: </w:t>
      </w:r>
    </w:p>
    <w:p w:rsidR="008B5A5C" w:rsidRDefault="008B5A5C" w:rsidP="008B5A5C">
      <w:pPr>
        <w:pStyle w:val="Default"/>
        <w:spacing w:line="360" w:lineRule="auto"/>
        <w:ind w:firstLine="1"/>
        <w:jc w:val="both"/>
        <w:rPr>
          <w:rFonts w:eastAsia="Arial Unicode MS"/>
          <w:color w:val="auto"/>
          <w:sz w:val="26"/>
          <w:szCs w:val="26"/>
        </w:rPr>
      </w:pPr>
    </w:p>
    <w:p w:rsidR="008B5A5C" w:rsidRDefault="008B5A5C" w:rsidP="008B5A5C">
      <w:pPr>
        <w:pStyle w:val="Default"/>
        <w:spacing w:line="360" w:lineRule="auto"/>
        <w:ind w:firstLine="708"/>
        <w:jc w:val="center"/>
        <w:rPr>
          <w:rFonts w:eastAsia="Arial Unicode MS"/>
          <w:b/>
          <w:color w:val="auto"/>
          <w:sz w:val="26"/>
          <w:szCs w:val="26"/>
          <w:lang w:val="es-ES_tradnl"/>
        </w:rPr>
      </w:pPr>
      <w:r>
        <w:rPr>
          <w:rFonts w:eastAsia="Arial Unicode MS"/>
          <w:b/>
          <w:color w:val="auto"/>
          <w:sz w:val="26"/>
          <w:szCs w:val="26"/>
          <w:lang w:val="es-ES_tradnl"/>
        </w:rPr>
        <w:t>R E S U E L V E:</w:t>
      </w:r>
    </w:p>
    <w:p w:rsidR="008B5A5C" w:rsidRDefault="008B5A5C" w:rsidP="008B5A5C">
      <w:pPr>
        <w:pStyle w:val="Default"/>
        <w:spacing w:line="360" w:lineRule="auto"/>
        <w:ind w:firstLine="708"/>
        <w:jc w:val="center"/>
        <w:rPr>
          <w:rFonts w:eastAsia="Arial Unicode MS"/>
          <w:b/>
          <w:color w:val="auto"/>
          <w:sz w:val="26"/>
          <w:szCs w:val="26"/>
          <w:lang w:val="es-ES_tradnl"/>
        </w:rPr>
      </w:pPr>
    </w:p>
    <w:p w:rsidR="008B5A5C" w:rsidRDefault="008B5A5C" w:rsidP="008B5A5C">
      <w:pPr>
        <w:pStyle w:val="Textoindependiente2"/>
        <w:spacing w:after="100" w:afterAutospacing="1" w:line="360" w:lineRule="auto"/>
        <w:ind w:firstLine="709"/>
        <w:jc w:val="both"/>
        <w:rPr>
          <w:rFonts w:ascii="Arial" w:eastAsia="Arial Unicode MS" w:hAnsi="Arial" w:cs="Arial"/>
          <w:sz w:val="26"/>
          <w:szCs w:val="26"/>
        </w:rPr>
      </w:pPr>
      <w:r>
        <w:rPr>
          <w:rFonts w:ascii="Arial" w:eastAsia="Arial Unicode MS" w:hAnsi="Arial" w:cs="Arial"/>
          <w:b/>
          <w:sz w:val="26"/>
          <w:szCs w:val="26"/>
        </w:rPr>
        <w:t xml:space="preserve">PRIMERO. </w:t>
      </w:r>
      <w:r>
        <w:rPr>
          <w:rFonts w:ascii="Arial" w:eastAsia="Arial Unicode MS" w:hAnsi="Arial" w:cs="Arial"/>
          <w:sz w:val="26"/>
          <w:szCs w:val="26"/>
        </w:rPr>
        <w:t xml:space="preserve">Esta Sala Superior del Tribunal de Justicia Administrativa del Estado de Oaxaca, es competente para conocer y resolver  del presente Juicio de Inconformidad. </w:t>
      </w:r>
    </w:p>
    <w:p w:rsidR="008B5A5C" w:rsidRDefault="008B5A5C" w:rsidP="008B5A5C">
      <w:pPr>
        <w:pStyle w:val="Textoindependiente2"/>
        <w:spacing w:after="100" w:afterAutospacing="1" w:line="360" w:lineRule="auto"/>
        <w:ind w:firstLine="708"/>
        <w:jc w:val="both"/>
        <w:rPr>
          <w:rFonts w:ascii="Arial" w:eastAsia="Arial Unicode MS" w:hAnsi="Arial" w:cs="Arial"/>
          <w:sz w:val="26"/>
          <w:szCs w:val="26"/>
        </w:rPr>
      </w:pPr>
      <w:r>
        <w:rPr>
          <w:rFonts w:ascii="Arial" w:eastAsia="Arial Unicode MS" w:hAnsi="Arial" w:cs="Arial"/>
          <w:b/>
          <w:sz w:val="26"/>
          <w:szCs w:val="26"/>
        </w:rPr>
        <w:t>SEGUNDO</w:t>
      </w:r>
      <w:r>
        <w:rPr>
          <w:rFonts w:ascii="Arial" w:eastAsia="Arial Unicode MS" w:hAnsi="Arial" w:cs="Arial"/>
          <w:sz w:val="26"/>
          <w:szCs w:val="26"/>
        </w:rPr>
        <w:t>. La personalidad de las partes quedó acreditada en autos.</w:t>
      </w:r>
    </w:p>
    <w:p w:rsidR="008B5A5C" w:rsidRDefault="008B5A5C" w:rsidP="008B5A5C">
      <w:pPr>
        <w:pStyle w:val="Textoindependiente2"/>
        <w:spacing w:after="100" w:afterAutospacing="1" w:line="360" w:lineRule="auto"/>
        <w:ind w:firstLine="708"/>
        <w:jc w:val="both"/>
        <w:rPr>
          <w:rFonts w:ascii="Arial" w:eastAsia="Arial Unicode MS" w:hAnsi="Arial" w:cs="Arial"/>
          <w:sz w:val="26"/>
          <w:szCs w:val="26"/>
        </w:rPr>
      </w:pPr>
      <w:r>
        <w:rPr>
          <w:rFonts w:ascii="Arial" w:eastAsia="Arial Unicode MS" w:hAnsi="Arial" w:cs="Arial"/>
          <w:b/>
          <w:sz w:val="26"/>
          <w:szCs w:val="26"/>
        </w:rPr>
        <w:t xml:space="preserve">TERCERO. </w:t>
      </w:r>
      <w:r>
        <w:rPr>
          <w:rFonts w:ascii="Arial" w:eastAsia="Arial Unicode MS" w:hAnsi="Arial" w:cs="Arial"/>
          <w:sz w:val="26"/>
          <w:szCs w:val="26"/>
        </w:rPr>
        <w:t xml:space="preserve"> No se actualiza causal de improcedencia alguna, por lo que </w:t>
      </w:r>
      <w:r>
        <w:rPr>
          <w:rFonts w:ascii="Arial" w:eastAsia="Arial Unicode MS" w:hAnsi="Arial" w:cs="Arial"/>
          <w:b/>
          <w:sz w:val="26"/>
          <w:szCs w:val="26"/>
        </w:rPr>
        <w:t>NO SE SOBRESEE EL JUICIO</w:t>
      </w:r>
      <w:r>
        <w:rPr>
          <w:rFonts w:ascii="Arial" w:eastAsia="Arial Unicode MS" w:hAnsi="Arial" w:cs="Arial"/>
          <w:sz w:val="26"/>
          <w:szCs w:val="26"/>
        </w:rPr>
        <w:t xml:space="preserve">.   </w:t>
      </w:r>
    </w:p>
    <w:p w:rsidR="008B5A5C" w:rsidRDefault="008B5A5C" w:rsidP="008B5A5C">
      <w:pPr>
        <w:pStyle w:val="Default"/>
        <w:spacing w:line="360" w:lineRule="auto"/>
        <w:ind w:firstLine="708"/>
        <w:jc w:val="both"/>
        <w:rPr>
          <w:sz w:val="26"/>
          <w:szCs w:val="26"/>
        </w:rPr>
      </w:pPr>
      <w:r>
        <w:rPr>
          <w:rFonts w:eastAsia="Arial Unicode MS"/>
          <w:b/>
          <w:sz w:val="26"/>
          <w:szCs w:val="26"/>
        </w:rPr>
        <w:t xml:space="preserve">CUARTO. </w:t>
      </w:r>
      <w:r>
        <w:rPr>
          <w:rFonts w:eastAsia="Arial Unicode MS"/>
          <w:sz w:val="26"/>
          <w:szCs w:val="26"/>
        </w:rPr>
        <w:t xml:space="preserve"> Por las razones expuestas en el considerando Cuarto, de este fallo, </w:t>
      </w:r>
      <w:r>
        <w:rPr>
          <w:b/>
          <w:sz w:val="26"/>
          <w:szCs w:val="26"/>
        </w:rPr>
        <w:t xml:space="preserve">SE DEJA INSUBSISTENTE </w:t>
      </w:r>
      <w:r>
        <w:rPr>
          <w:sz w:val="26"/>
          <w:szCs w:val="26"/>
        </w:rPr>
        <w:t xml:space="preserve">la resolución del </w:t>
      </w:r>
      <w:r>
        <w:rPr>
          <w:sz w:val="26"/>
          <w:szCs w:val="26"/>
        </w:rPr>
        <w:lastRenderedPageBreak/>
        <w:t xml:space="preserve">recurso de reconsideración dictada el veinte de octubre de dos mil diecisiete en el expediente ASE/REC.R./0057/2017, en la que confirma la sanción impuesta a </w:t>
      </w:r>
      <w:r w:rsidRPr="000B570D">
        <w:rPr>
          <w:rFonts w:eastAsia="Arial Unicode MS"/>
          <w:sz w:val="26"/>
          <w:szCs w:val="26"/>
        </w:rPr>
        <w:t xml:space="preserve">ROSENDO MENDOZA MARÍN Y FABIOLA RUÍZ MALDONADO, EX ADMINISTRADOR Y EX TESORERA, AMBOS DEL MUNICIPIO DE SAN FRANCISCO CHINDÚA, DISTRITO DE </w:t>
      </w:r>
      <w:r w:rsidRPr="000B570D">
        <w:rPr>
          <w:bCs/>
          <w:iCs/>
          <w:caps/>
          <w:kern w:val="2"/>
          <w:sz w:val="26"/>
          <w:szCs w:val="26"/>
        </w:rPr>
        <w:t>NOCHIXTLAN, OAXACA</w:t>
      </w:r>
      <w:r>
        <w:rPr>
          <w:sz w:val="26"/>
          <w:szCs w:val="26"/>
        </w:rPr>
        <w:t>.</w:t>
      </w:r>
    </w:p>
    <w:p w:rsidR="008B5A5C" w:rsidRDefault="008B5A5C" w:rsidP="008B5A5C">
      <w:pPr>
        <w:pStyle w:val="Textoindependiente2"/>
        <w:spacing w:before="240" w:line="360" w:lineRule="auto"/>
        <w:ind w:firstLine="708"/>
        <w:jc w:val="both"/>
        <w:rPr>
          <w:sz w:val="26"/>
          <w:szCs w:val="26"/>
        </w:rPr>
      </w:pPr>
      <w:r>
        <w:rPr>
          <w:rFonts w:ascii="Arial" w:eastAsia="Arial Unicode MS" w:hAnsi="Arial" w:cs="Arial"/>
          <w:b/>
          <w:sz w:val="26"/>
          <w:szCs w:val="26"/>
        </w:rPr>
        <w:t xml:space="preserve">QUINTO.- </w:t>
      </w:r>
      <w:r>
        <w:rPr>
          <w:rFonts w:ascii="Arial" w:hAnsi="Arial" w:cs="Arial"/>
          <w:sz w:val="26"/>
          <w:szCs w:val="26"/>
        </w:rPr>
        <w:t>Hágase del conocimiento de las partes que por Acuerdo General AG/TJAO/015/2018, aprobado en sesión administrativa de veintisiete de noviembre de dos mil dieciocho, por el Pleno de la Sala Superior de este Órgano Jurisdiccional, se autorizó el cambio de domicilio del Tribunal de Justicia Administrativa del Estado de Oaxaca, y en atención a la fe de erratas del referido acuerdo, es que se hace del conocimiento de las partes que el inmueble que alberga las instalaciones de este Tribunal a partir del  uno de enero de  dos mil diecinueve, es el ubicado en Calle Miguel Hidalgo, número doscientos quince, Colonia Centro, Municipio de Oaxaca de Juárez, Oaxaca, Código Postal 68000.</w:t>
      </w:r>
    </w:p>
    <w:p w:rsidR="008B5A5C" w:rsidRDefault="008B5A5C" w:rsidP="008B5A5C">
      <w:pPr>
        <w:pStyle w:val="Textoindependiente2"/>
        <w:spacing w:before="240" w:after="240" w:line="360" w:lineRule="auto"/>
        <w:ind w:firstLine="708"/>
        <w:jc w:val="both"/>
        <w:rPr>
          <w:rFonts w:ascii="Arial" w:eastAsia="Arial" w:hAnsi="Arial" w:cs="Arial"/>
          <w:bCs/>
          <w:sz w:val="26"/>
          <w:szCs w:val="26"/>
        </w:rPr>
      </w:pPr>
      <w:r>
        <w:rPr>
          <w:b/>
          <w:sz w:val="26"/>
          <w:szCs w:val="26"/>
        </w:rPr>
        <w:t xml:space="preserve">SEXTO.- </w:t>
      </w:r>
      <w:r>
        <w:rPr>
          <w:rFonts w:ascii="Arial" w:eastAsia="Arial" w:hAnsi="Arial" w:cs="Arial"/>
          <w:bCs/>
          <w:sz w:val="26"/>
          <w:szCs w:val="26"/>
        </w:rPr>
        <w:t xml:space="preserve">Conforme a los artículos 45 y 46, fracción I de la Ley de Justicia de Fiscalización y Rendición de Cuentas para el Estado de Oaxaca, </w:t>
      </w:r>
      <w:r>
        <w:rPr>
          <w:rFonts w:ascii="Arial" w:eastAsia="Arial" w:hAnsi="Arial" w:cs="Arial"/>
          <w:b/>
          <w:bCs/>
          <w:sz w:val="26"/>
          <w:szCs w:val="26"/>
        </w:rPr>
        <w:t>NOTIFÍQUESE PERSONALMENTE A LOS ACTORES Y POR OFICIO A LA DEMANDADA. CÚMPLASE</w:t>
      </w:r>
      <w:r>
        <w:rPr>
          <w:rFonts w:ascii="Arial" w:eastAsia="Arial" w:hAnsi="Arial" w:cs="Arial"/>
          <w:bCs/>
          <w:sz w:val="26"/>
          <w:szCs w:val="26"/>
        </w:rPr>
        <w:t xml:space="preserve">.   </w:t>
      </w:r>
    </w:p>
    <w:p w:rsidR="00DF4913" w:rsidRPr="00745144" w:rsidRDefault="007E117E" w:rsidP="00DF4913">
      <w:pPr>
        <w:pStyle w:val="corte4fondo"/>
        <w:tabs>
          <w:tab w:val="left" w:pos="0"/>
        </w:tabs>
        <w:ind w:right="51" w:firstLine="0"/>
        <w:rPr>
          <w:rFonts w:eastAsia="Calibri"/>
          <w:sz w:val="26"/>
          <w:szCs w:val="26"/>
        </w:rPr>
      </w:pPr>
      <w:r>
        <w:rPr>
          <w:sz w:val="26"/>
          <w:szCs w:val="26"/>
        </w:rPr>
        <w:tab/>
      </w:r>
      <w:r w:rsidR="00DF4913" w:rsidRPr="00745144">
        <w:rPr>
          <w:rFonts w:eastAsia="Calibri"/>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DF4913" w:rsidRDefault="00DF4913" w:rsidP="00DF4913">
      <w:pPr>
        <w:pStyle w:val="corte4fondo"/>
        <w:tabs>
          <w:tab w:val="left" w:pos="0"/>
        </w:tabs>
        <w:ind w:right="51" w:firstLine="0"/>
        <w:rPr>
          <w:rFonts w:eastAsia="Calibri"/>
          <w:sz w:val="26"/>
          <w:szCs w:val="26"/>
        </w:rPr>
      </w:pPr>
    </w:p>
    <w:p w:rsidR="00DF4913" w:rsidRDefault="00DF4913" w:rsidP="00DF4913">
      <w:pPr>
        <w:spacing w:after="0" w:line="240" w:lineRule="auto"/>
        <w:jc w:val="center"/>
        <w:rPr>
          <w:rFonts w:ascii="Arial" w:hAnsi="Arial" w:cs="Arial"/>
          <w:sz w:val="26"/>
          <w:szCs w:val="26"/>
        </w:rPr>
      </w:pPr>
    </w:p>
    <w:p w:rsidR="00DF4913" w:rsidRDefault="00DF4913" w:rsidP="00DF4913">
      <w:pPr>
        <w:spacing w:after="0" w:line="240" w:lineRule="auto"/>
        <w:rPr>
          <w:rFonts w:ascii="Arial" w:hAnsi="Arial" w:cs="Arial"/>
          <w:sz w:val="26"/>
          <w:szCs w:val="26"/>
        </w:rPr>
      </w:pPr>
    </w:p>
    <w:p w:rsidR="00B30166" w:rsidRDefault="00B30166" w:rsidP="00DF4913">
      <w:pPr>
        <w:spacing w:after="0" w:line="240" w:lineRule="auto"/>
        <w:rPr>
          <w:rFonts w:ascii="Arial" w:hAnsi="Arial" w:cs="Arial"/>
          <w:sz w:val="26"/>
          <w:szCs w:val="26"/>
        </w:rPr>
      </w:pPr>
    </w:p>
    <w:p w:rsidR="00DF4913" w:rsidRDefault="00DF4913" w:rsidP="000D5FD9">
      <w:pPr>
        <w:spacing w:after="0" w:line="240" w:lineRule="auto"/>
        <w:rPr>
          <w:rFonts w:ascii="Arial" w:hAnsi="Arial" w:cs="Arial"/>
          <w:sz w:val="26"/>
          <w:szCs w:val="26"/>
        </w:rPr>
      </w:pPr>
    </w:p>
    <w:p w:rsidR="00DF4913" w:rsidRDefault="00DF4913" w:rsidP="00DF4913">
      <w:pPr>
        <w:spacing w:after="0" w:line="240" w:lineRule="auto"/>
        <w:jc w:val="center"/>
        <w:rPr>
          <w:rFonts w:ascii="Arial" w:hAnsi="Arial" w:cs="Arial"/>
          <w:sz w:val="26"/>
          <w:szCs w:val="26"/>
        </w:rPr>
      </w:pPr>
    </w:p>
    <w:p w:rsidR="00DF4913" w:rsidRDefault="00DF4913" w:rsidP="00DF4913">
      <w:pPr>
        <w:spacing w:after="0" w:line="240" w:lineRule="auto"/>
        <w:jc w:val="center"/>
        <w:rPr>
          <w:rFonts w:ascii="Arial" w:hAnsi="Arial" w:cs="Arial"/>
          <w:sz w:val="26"/>
          <w:szCs w:val="26"/>
        </w:rPr>
      </w:pPr>
      <w:r>
        <w:rPr>
          <w:rFonts w:ascii="Arial" w:hAnsi="Arial" w:cs="Arial"/>
          <w:sz w:val="26"/>
          <w:szCs w:val="26"/>
        </w:rPr>
        <w:t xml:space="preserve">      MAGISTRADO ADRIÁN QUIROGA AVENDAÑO.</w:t>
      </w:r>
    </w:p>
    <w:p w:rsidR="00DF4913" w:rsidRPr="001631A9" w:rsidRDefault="00DF4913" w:rsidP="00DF4913">
      <w:pPr>
        <w:spacing w:after="0" w:line="240" w:lineRule="auto"/>
        <w:jc w:val="center"/>
        <w:rPr>
          <w:rFonts w:ascii="Arial" w:hAnsi="Arial" w:cs="Arial"/>
          <w:sz w:val="26"/>
          <w:szCs w:val="26"/>
        </w:rPr>
      </w:pPr>
      <w:r w:rsidRPr="001631A9">
        <w:rPr>
          <w:rFonts w:ascii="Arial" w:hAnsi="Arial" w:cs="Arial"/>
          <w:sz w:val="26"/>
          <w:szCs w:val="26"/>
        </w:rPr>
        <w:t>PRESIDENTE</w:t>
      </w:r>
    </w:p>
    <w:p w:rsidR="00DF4913" w:rsidRDefault="00DF4913" w:rsidP="000D5FD9">
      <w:pPr>
        <w:spacing w:after="0" w:line="360" w:lineRule="auto"/>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775188" w:rsidRDefault="00775188" w:rsidP="00DF4913">
      <w:pPr>
        <w:spacing w:after="0" w:line="360" w:lineRule="auto"/>
        <w:jc w:val="center"/>
        <w:rPr>
          <w:rFonts w:ascii="Arial" w:hAnsi="Arial" w:cs="Arial"/>
          <w:sz w:val="26"/>
          <w:szCs w:val="26"/>
        </w:rPr>
      </w:pPr>
    </w:p>
    <w:p w:rsidR="00B30166" w:rsidRDefault="00B30166"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r>
        <w:rPr>
          <w:rFonts w:ascii="Arial" w:hAnsi="Arial" w:cs="Arial"/>
          <w:sz w:val="26"/>
          <w:szCs w:val="26"/>
        </w:rPr>
        <w:t>MAGISTRADO HUGO VILLEGAS AQUINO.</w:t>
      </w:r>
    </w:p>
    <w:p w:rsidR="00DF4913" w:rsidRDefault="00DF4913" w:rsidP="00DF4913">
      <w:pPr>
        <w:spacing w:after="0" w:line="360" w:lineRule="auto"/>
        <w:jc w:val="center"/>
        <w:rPr>
          <w:rFonts w:ascii="Arial" w:hAnsi="Arial" w:cs="Arial"/>
          <w:sz w:val="26"/>
          <w:szCs w:val="26"/>
        </w:rPr>
      </w:pPr>
    </w:p>
    <w:p w:rsidR="00DF4913" w:rsidRDefault="00DF4913" w:rsidP="000D5FD9">
      <w:pPr>
        <w:spacing w:after="0" w:line="360" w:lineRule="auto"/>
        <w:rPr>
          <w:rFonts w:ascii="Arial" w:hAnsi="Arial" w:cs="Arial"/>
          <w:sz w:val="26"/>
          <w:szCs w:val="26"/>
        </w:rPr>
      </w:pPr>
    </w:p>
    <w:p w:rsidR="00775188" w:rsidRDefault="00775188" w:rsidP="000D5FD9">
      <w:pPr>
        <w:spacing w:after="0" w:line="360" w:lineRule="auto"/>
        <w:rPr>
          <w:rFonts w:ascii="Arial" w:hAnsi="Arial" w:cs="Arial"/>
          <w:sz w:val="26"/>
          <w:szCs w:val="26"/>
        </w:rPr>
      </w:pPr>
    </w:p>
    <w:p w:rsidR="00DF4913" w:rsidRDefault="00DF4913" w:rsidP="00DF4913">
      <w:pPr>
        <w:spacing w:after="0" w:line="360" w:lineRule="auto"/>
        <w:rPr>
          <w:rFonts w:ascii="Arial" w:hAnsi="Arial" w:cs="Arial"/>
          <w:sz w:val="26"/>
          <w:szCs w:val="26"/>
        </w:rPr>
      </w:pPr>
    </w:p>
    <w:p w:rsidR="00B30166" w:rsidRDefault="00B30166" w:rsidP="00DF4913">
      <w:pPr>
        <w:spacing w:after="0" w:line="360" w:lineRule="auto"/>
        <w:rPr>
          <w:rFonts w:ascii="Arial" w:hAnsi="Arial" w:cs="Arial"/>
          <w:sz w:val="26"/>
          <w:szCs w:val="26"/>
        </w:rPr>
      </w:pPr>
    </w:p>
    <w:p w:rsidR="00DF4913" w:rsidRDefault="00DF4913" w:rsidP="00775188">
      <w:pPr>
        <w:spacing w:after="0" w:line="360" w:lineRule="auto"/>
        <w:jc w:val="center"/>
        <w:rPr>
          <w:rFonts w:ascii="Arial" w:hAnsi="Arial" w:cs="Arial"/>
          <w:sz w:val="26"/>
          <w:szCs w:val="26"/>
        </w:rPr>
      </w:pPr>
      <w:r>
        <w:rPr>
          <w:rFonts w:ascii="Arial" w:hAnsi="Arial" w:cs="Arial"/>
          <w:sz w:val="26"/>
          <w:szCs w:val="26"/>
        </w:rPr>
        <w:t>MAGISTRADO ENRIQUE PACHECO MARTÍNEZ.</w:t>
      </w:r>
    </w:p>
    <w:p w:rsidR="00775188" w:rsidRDefault="00775188" w:rsidP="00775188">
      <w:pPr>
        <w:spacing w:after="0" w:line="360" w:lineRule="auto"/>
        <w:jc w:val="center"/>
        <w:rPr>
          <w:rFonts w:ascii="Arial" w:hAnsi="Arial" w:cs="Arial"/>
          <w:sz w:val="26"/>
          <w:szCs w:val="26"/>
        </w:rPr>
      </w:pPr>
    </w:p>
    <w:p w:rsidR="00DF4913" w:rsidRDefault="00775188" w:rsidP="00DF4913">
      <w:pPr>
        <w:spacing w:after="0" w:line="360" w:lineRule="auto"/>
        <w:jc w:val="center"/>
        <w:rPr>
          <w:rFonts w:ascii="Arial" w:hAnsi="Arial" w:cs="Arial"/>
          <w:sz w:val="26"/>
          <w:szCs w:val="26"/>
        </w:rPr>
      </w:pPr>
      <w:r w:rsidRPr="00775188">
        <w:rPr>
          <w:rFonts w:ascii="Arial" w:hAnsi="Arial" w:cs="Arial"/>
          <w:b/>
          <w:sz w:val="14"/>
          <w:szCs w:val="26"/>
        </w:rPr>
        <w:t xml:space="preserve">LAS PRESENTES FIRMAS CORRESPONDEN AL </w:t>
      </w:r>
      <w:r w:rsidR="00B30166">
        <w:rPr>
          <w:rFonts w:ascii="Arial" w:hAnsi="Arial" w:cs="Arial"/>
          <w:b/>
          <w:sz w:val="14"/>
          <w:szCs w:val="26"/>
        </w:rPr>
        <w:t>JUICIO DE INCONFORMIDAD 058/2017</w:t>
      </w:r>
    </w:p>
    <w:p w:rsidR="00775188" w:rsidRDefault="00775188" w:rsidP="00DF4913">
      <w:pPr>
        <w:spacing w:after="0" w:line="360" w:lineRule="auto"/>
        <w:jc w:val="center"/>
        <w:rPr>
          <w:rFonts w:ascii="Arial" w:hAnsi="Arial" w:cs="Arial"/>
          <w:sz w:val="26"/>
          <w:szCs w:val="26"/>
        </w:rPr>
      </w:pPr>
    </w:p>
    <w:p w:rsidR="00775188" w:rsidRDefault="00775188" w:rsidP="00DF4913">
      <w:pPr>
        <w:spacing w:after="0" w:line="360" w:lineRule="auto"/>
        <w:jc w:val="center"/>
        <w:rPr>
          <w:rFonts w:ascii="Arial" w:hAnsi="Arial" w:cs="Arial"/>
          <w:sz w:val="26"/>
          <w:szCs w:val="26"/>
        </w:rPr>
      </w:pPr>
    </w:p>
    <w:p w:rsidR="00775188" w:rsidRDefault="00775188" w:rsidP="00DF4913">
      <w:pPr>
        <w:spacing w:after="0" w:line="360" w:lineRule="auto"/>
        <w:jc w:val="center"/>
        <w:rPr>
          <w:rFonts w:ascii="Arial" w:hAnsi="Arial" w:cs="Arial"/>
          <w:sz w:val="26"/>
          <w:szCs w:val="26"/>
        </w:rPr>
      </w:pPr>
    </w:p>
    <w:p w:rsidR="00775188" w:rsidRDefault="00775188" w:rsidP="00DF4913">
      <w:pPr>
        <w:spacing w:after="0" w:line="360" w:lineRule="auto"/>
        <w:jc w:val="center"/>
        <w:rPr>
          <w:rFonts w:ascii="Arial" w:hAnsi="Arial" w:cs="Arial"/>
          <w:sz w:val="26"/>
          <w:szCs w:val="26"/>
        </w:rPr>
      </w:pPr>
    </w:p>
    <w:p w:rsidR="00B30166" w:rsidRDefault="00B30166"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DF4913" w:rsidRDefault="00DF4913" w:rsidP="00DF4913">
      <w:pPr>
        <w:spacing w:after="0" w:line="360" w:lineRule="auto"/>
        <w:jc w:val="center"/>
        <w:rPr>
          <w:rFonts w:ascii="Arial" w:hAnsi="Arial" w:cs="Arial"/>
          <w:sz w:val="26"/>
          <w:szCs w:val="26"/>
        </w:rPr>
      </w:pPr>
    </w:p>
    <w:p w:rsidR="00DF4913" w:rsidRDefault="00DF4913" w:rsidP="000D5FD9">
      <w:pPr>
        <w:spacing w:after="0" w:line="360" w:lineRule="auto"/>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775188" w:rsidRDefault="00775188" w:rsidP="00DF4913">
      <w:pPr>
        <w:spacing w:after="0" w:line="360" w:lineRule="auto"/>
        <w:jc w:val="center"/>
        <w:rPr>
          <w:rFonts w:ascii="Arial" w:hAnsi="Arial" w:cs="Arial"/>
          <w:sz w:val="26"/>
          <w:szCs w:val="26"/>
        </w:rPr>
      </w:pPr>
    </w:p>
    <w:p w:rsidR="00775188" w:rsidRDefault="00775188" w:rsidP="00DF4913">
      <w:pPr>
        <w:spacing w:after="0" w:line="360" w:lineRule="auto"/>
        <w:jc w:val="center"/>
        <w:rPr>
          <w:rFonts w:ascii="Arial" w:hAnsi="Arial" w:cs="Arial"/>
          <w:sz w:val="26"/>
          <w:szCs w:val="26"/>
        </w:rPr>
      </w:pPr>
    </w:p>
    <w:p w:rsidR="00DF4913" w:rsidRDefault="00DF4913" w:rsidP="000D5FD9">
      <w:pPr>
        <w:spacing w:after="0" w:line="360" w:lineRule="auto"/>
        <w:rPr>
          <w:rFonts w:ascii="Arial" w:hAnsi="Arial" w:cs="Arial"/>
          <w:sz w:val="26"/>
          <w:szCs w:val="26"/>
        </w:rPr>
      </w:pPr>
    </w:p>
    <w:p w:rsidR="00DF4913" w:rsidRDefault="00DF4913" w:rsidP="00DF4913">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0D5FD9">
      <w:pPr>
        <w:spacing w:after="0"/>
        <w:rPr>
          <w:rFonts w:ascii="Arial" w:eastAsia="Times New Roman" w:hAnsi="Arial" w:cs="Arial"/>
          <w:sz w:val="26"/>
          <w:szCs w:val="26"/>
          <w:lang w:eastAsia="es-MX"/>
        </w:rPr>
      </w:pPr>
    </w:p>
    <w:p w:rsidR="00775188" w:rsidRDefault="00775188" w:rsidP="00DF4913">
      <w:pPr>
        <w:spacing w:after="0"/>
        <w:jc w:val="center"/>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line="240" w:lineRule="auto"/>
        <w:jc w:val="center"/>
        <w:rPr>
          <w:rFonts w:ascii="Arial" w:hAnsi="Arial" w:cs="Arial"/>
          <w:sz w:val="26"/>
          <w:szCs w:val="26"/>
        </w:rPr>
      </w:pPr>
    </w:p>
    <w:p w:rsidR="00DF4913" w:rsidRDefault="00DF4913" w:rsidP="00DF4913">
      <w:pPr>
        <w:spacing w:after="0" w:line="240" w:lineRule="auto"/>
        <w:jc w:val="center"/>
        <w:rPr>
          <w:rFonts w:ascii="Arial" w:hAnsi="Arial" w:cs="Arial"/>
          <w:sz w:val="26"/>
          <w:szCs w:val="26"/>
        </w:rPr>
      </w:pPr>
      <w:r>
        <w:rPr>
          <w:rFonts w:ascii="Arial" w:hAnsi="Arial" w:cs="Arial"/>
          <w:sz w:val="26"/>
          <w:szCs w:val="26"/>
        </w:rPr>
        <w:t>LICENCIADA LETICIA GARCÍA SOTO</w:t>
      </w:r>
    </w:p>
    <w:p w:rsidR="00DF4913" w:rsidRPr="001631A9" w:rsidRDefault="00DF4913" w:rsidP="00DF4913">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p w:rsidR="00DF4913" w:rsidRPr="00866172" w:rsidRDefault="00DF4913" w:rsidP="00DF4913"/>
    <w:p w:rsidR="00DF4913" w:rsidRDefault="00DF4913" w:rsidP="00DF4913">
      <w:pPr>
        <w:spacing w:line="360" w:lineRule="auto"/>
        <w:ind w:firstLine="708"/>
        <w:jc w:val="both"/>
        <w:rPr>
          <w:sz w:val="26"/>
          <w:szCs w:val="26"/>
        </w:rPr>
      </w:pPr>
    </w:p>
    <w:p w:rsidR="00BA554F" w:rsidRPr="007E117E" w:rsidRDefault="00BA554F" w:rsidP="00DF4913">
      <w:pPr>
        <w:pStyle w:val="Sinespaciado"/>
        <w:spacing w:line="360" w:lineRule="auto"/>
        <w:jc w:val="both"/>
      </w:pPr>
    </w:p>
    <w:sectPr w:rsidR="00BA554F" w:rsidRPr="007E117E" w:rsidSect="00D0010E">
      <w:headerReference w:type="even" r:id="rId10"/>
      <w:headerReference w:type="default" r:id="rId11"/>
      <w:footerReference w:type="even" r:id="rId12"/>
      <w:footerReference w:type="default" r:id="rId13"/>
      <w:headerReference w:type="first" r:id="rId14"/>
      <w:footerReference w:type="first" r:id="rId15"/>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13E" w:rsidRDefault="005E013E">
      <w:pPr>
        <w:spacing w:after="0" w:line="240" w:lineRule="auto"/>
      </w:pPr>
      <w:r>
        <w:separator/>
      </w:r>
    </w:p>
  </w:endnote>
  <w:endnote w:type="continuationSeparator" w:id="0">
    <w:p w:rsidR="005E013E" w:rsidRDefault="005E0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51F" w:rsidRDefault="003B151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51F" w:rsidRDefault="003B151F">
    <w:pPr>
      <w:pStyle w:val="Piedepgina"/>
    </w:pPr>
    <w:r>
      <w:rPr>
        <w:noProof/>
        <w:lang w:val="es-MX" w:eastAsia="es-MX"/>
      </w:rPr>
      <w:drawing>
        <wp:anchor distT="0" distB="0" distL="114300" distR="114300" simplePos="0" relativeHeight="251677184" behindDoc="0" locked="0" layoutInCell="1" allowOverlap="1" wp14:anchorId="6EBCD893" wp14:editId="5DCD6D9F">
          <wp:simplePos x="0" y="0"/>
          <wp:positionH relativeFrom="column">
            <wp:posOffset>-1306480</wp:posOffset>
          </wp:positionH>
          <wp:positionV relativeFrom="paragraph">
            <wp:posOffset>-3498981</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51F" w:rsidRDefault="003B151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13E" w:rsidRDefault="005E013E">
      <w:pPr>
        <w:spacing w:after="0" w:line="240" w:lineRule="auto"/>
      </w:pPr>
      <w:r>
        <w:separator/>
      </w:r>
    </w:p>
  </w:footnote>
  <w:footnote w:type="continuationSeparator" w:id="0">
    <w:p w:rsidR="005E013E" w:rsidRDefault="005E01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3B151F">
          <w:rPr>
            <w:noProof/>
          </w:rPr>
          <w:t>2</w:t>
        </w:r>
        <w:r>
          <w:fldChar w:fldCharType="end"/>
        </w:r>
      </w:p>
    </w:sdtContent>
  </w:sdt>
  <w:p w:rsidR="00D2291D" w:rsidRDefault="003B151F">
    <w:pPr>
      <w:pStyle w:val="Encabezado"/>
    </w:pPr>
    <w:r>
      <w:rPr>
        <w:noProof/>
        <w:lang w:val="es-MX" w:eastAsia="es-MX"/>
      </w:rPr>
      <w:drawing>
        <wp:anchor distT="0" distB="0" distL="114300" distR="114300" simplePos="0" relativeHeight="251675136" behindDoc="0" locked="0" layoutInCell="1" allowOverlap="1" wp14:anchorId="788CB9F7" wp14:editId="49C72EBE">
          <wp:simplePos x="0" y="0"/>
          <wp:positionH relativeFrom="column">
            <wp:posOffset>5533390</wp:posOffset>
          </wp:positionH>
          <wp:positionV relativeFrom="paragraph">
            <wp:posOffset>5207175</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3B151F">
          <w:rPr>
            <w:noProof/>
          </w:rPr>
          <w:t>1</w:t>
        </w:r>
        <w:r>
          <w:rPr>
            <w:noProof/>
          </w:rPr>
          <w:fldChar w:fldCharType="end"/>
        </w:r>
      </w:p>
      <w:p w:rsidR="003B151F" w:rsidRDefault="005E013E" w:rsidP="00D2291D">
        <w:pPr>
          <w:pStyle w:val="Encabezado"/>
          <w:jc w:val="center"/>
        </w:pPr>
      </w:p>
    </w:sdtContent>
  </w:sdt>
  <w:p w:rsidR="00D2291D" w:rsidRDefault="005E013E" w:rsidP="00D2291D">
    <w:pPr>
      <w:pStyle w:val="Encabezado"/>
      <w:jc w:val="center"/>
    </w:pPr>
  </w:p>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47488" behindDoc="0" locked="0" layoutInCell="1" allowOverlap="1" wp14:anchorId="2FD09929" wp14:editId="70907E14">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57728" behindDoc="1" locked="0" layoutInCell="1" allowOverlap="1" wp14:anchorId="7241AA57" wp14:editId="5C30CD28">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51F" w:rsidRDefault="003B151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21323193"/>
    <w:multiLevelType w:val="hybridMultilevel"/>
    <w:tmpl w:val="4D5C47C2"/>
    <w:lvl w:ilvl="0" w:tplc="8CF2BC5A">
      <w:start w:val="1"/>
      <w:numFmt w:val="upperRoman"/>
      <w:lvlText w:val="%1."/>
      <w:lvlJc w:val="left"/>
      <w:pPr>
        <w:ind w:left="720" w:hanging="72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49632EC7"/>
    <w:multiLevelType w:val="hybridMultilevel"/>
    <w:tmpl w:val="F5124660"/>
    <w:lvl w:ilvl="0" w:tplc="BB8EBD26">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30EF2"/>
    <w:rsid w:val="00043BDE"/>
    <w:rsid w:val="00044390"/>
    <w:rsid w:val="00066279"/>
    <w:rsid w:val="000A00AD"/>
    <w:rsid w:val="000A6BF4"/>
    <w:rsid w:val="000A7369"/>
    <w:rsid w:val="000D5A42"/>
    <w:rsid w:val="000D5FD9"/>
    <w:rsid w:val="000E14E6"/>
    <w:rsid w:val="000E2A31"/>
    <w:rsid w:val="000F2950"/>
    <w:rsid w:val="000F7C4A"/>
    <w:rsid w:val="00127C38"/>
    <w:rsid w:val="0018002C"/>
    <w:rsid w:val="00197BE2"/>
    <w:rsid w:val="001B3376"/>
    <w:rsid w:val="001C78EB"/>
    <w:rsid w:val="001E0951"/>
    <w:rsid w:val="00216F39"/>
    <w:rsid w:val="0022359F"/>
    <w:rsid w:val="00240FBF"/>
    <w:rsid w:val="002441C5"/>
    <w:rsid w:val="00275E6B"/>
    <w:rsid w:val="002A4476"/>
    <w:rsid w:val="002B6F65"/>
    <w:rsid w:val="002D11D7"/>
    <w:rsid w:val="002F52B5"/>
    <w:rsid w:val="003050A9"/>
    <w:rsid w:val="003154E4"/>
    <w:rsid w:val="00326A65"/>
    <w:rsid w:val="00365F44"/>
    <w:rsid w:val="00385DF0"/>
    <w:rsid w:val="003B151F"/>
    <w:rsid w:val="003C3202"/>
    <w:rsid w:val="00402396"/>
    <w:rsid w:val="00470ECA"/>
    <w:rsid w:val="00473052"/>
    <w:rsid w:val="00486AB7"/>
    <w:rsid w:val="00492A65"/>
    <w:rsid w:val="0049739A"/>
    <w:rsid w:val="004E3548"/>
    <w:rsid w:val="004F34EA"/>
    <w:rsid w:val="004F6C60"/>
    <w:rsid w:val="00506596"/>
    <w:rsid w:val="00513E65"/>
    <w:rsid w:val="00516E57"/>
    <w:rsid w:val="00525AC3"/>
    <w:rsid w:val="0052642A"/>
    <w:rsid w:val="005314DE"/>
    <w:rsid w:val="0056781B"/>
    <w:rsid w:val="00576125"/>
    <w:rsid w:val="005A4CC2"/>
    <w:rsid w:val="005A6708"/>
    <w:rsid w:val="005C4A33"/>
    <w:rsid w:val="005D3C91"/>
    <w:rsid w:val="005D541C"/>
    <w:rsid w:val="005E013E"/>
    <w:rsid w:val="005E3B86"/>
    <w:rsid w:val="005F4AD5"/>
    <w:rsid w:val="00621B21"/>
    <w:rsid w:val="00627433"/>
    <w:rsid w:val="00652D2C"/>
    <w:rsid w:val="00660756"/>
    <w:rsid w:val="00690D6C"/>
    <w:rsid w:val="006956C1"/>
    <w:rsid w:val="006A1A70"/>
    <w:rsid w:val="006F0D66"/>
    <w:rsid w:val="006F3A06"/>
    <w:rsid w:val="006F7B70"/>
    <w:rsid w:val="007270F3"/>
    <w:rsid w:val="007303BD"/>
    <w:rsid w:val="007471E1"/>
    <w:rsid w:val="00747FAD"/>
    <w:rsid w:val="00775188"/>
    <w:rsid w:val="00792A64"/>
    <w:rsid w:val="0079669B"/>
    <w:rsid w:val="007B032E"/>
    <w:rsid w:val="007C2616"/>
    <w:rsid w:val="007E117E"/>
    <w:rsid w:val="007E5170"/>
    <w:rsid w:val="007F212F"/>
    <w:rsid w:val="00801603"/>
    <w:rsid w:val="00812CDF"/>
    <w:rsid w:val="008261CB"/>
    <w:rsid w:val="00831BC5"/>
    <w:rsid w:val="00850D86"/>
    <w:rsid w:val="00895DBE"/>
    <w:rsid w:val="0089690B"/>
    <w:rsid w:val="00897AD8"/>
    <w:rsid w:val="008B5A5C"/>
    <w:rsid w:val="008C5CE8"/>
    <w:rsid w:val="009200AF"/>
    <w:rsid w:val="00952900"/>
    <w:rsid w:val="00985CF6"/>
    <w:rsid w:val="009B0BE8"/>
    <w:rsid w:val="009D7504"/>
    <w:rsid w:val="00A203EB"/>
    <w:rsid w:val="00A544EE"/>
    <w:rsid w:val="00A66228"/>
    <w:rsid w:val="00AD01F9"/>
    <w:rsid w:val="00B04557"/>
    <w:rsid w:val="00B04CAA"/>
    <w:rsid w:val="00B056BE"/>
    <w:rsid w:val="00B30166"/>
    <w:rsid w:val="00B34EF6"/>
    <w:rsid w:val="00B77815"/>
    <w:rsid w:val="00B866AB"/>
    <w:rsid w:val="00B94190"/>
    <w:rsid w:val="00BA554F"/>
    <w:rsid w:val="00BB20FD"/>
    <w:rsid w:val="00BC481E"/>
    <w:rsid w:val="00BD032D"/>
    <w:rsid w:val="00BE0087"/>
    <w:rsid w:val="00BE3949"/>
    <w:rsid w:val="00C12522"/>
    <w:rsid w:val="00C40BC8"/>
    <w:rsid w:val="00C44789"/>
    <w:rsid w:val="00C5195E"/>
    <w:rsid w:val="00C64747"/>
    <w:rsid w:val="00C64FB6"/>
    <w:rsid w:val="00C65E13"/>
    <w:rsid w:val="00C76252"/>
    <w:rsid w:val="00C93B20"/>
    <w:rsid w:val="00CB4E75"/>
    <w:rsid w:val="00CE69FF"/>
    <w:rsid w:val="00D0010E"/>
    <w:rsid w:val="00D50DB8"/>
    <w:rsid w:val="00D9570D"/>
    <w:rsid w:val="00D96C9C"/>
    <w:rsid w:val="00DA75AB"/>
    <w:rsid w:val="00DD5EF0"/>
    <w:rsid w:val="00DF4913"/>
    <w:rsid w:val="00E2414E"/>
    <w:rsid w:val="00E37874"/>
    <w:rsid w:val="00E81E92"/>
    <w:rsid w:val="00E83182"/>
    <w:rsid w:val="00EE01EF"/>
    <w:rsid w:val="00F04C03"/>
    <w:rsid w:val="00F44A42"/>
    <w:rsid w:val="00F5279D"/>
    <w:rsid w:val="00F84438"/>
    <w:rsid w:val="00F915BF"/>
    <w:rsid w:val="00F93963"/>
    <w:rsid w:val="00F951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08F1AD-A589-49A7-B117-A05BC388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17E"/>
    <w:pPr>
      <w:spacing w:after="200" w:line="276" w:lineRule="auto"/>
    </w:pPr>
  </w:style>
  <w:style w:type="paragraph" w:styleId="Ttulo1">
    <w:name w:val="heading 1"/>
    <w:basedOn w:val="Normal"/>
    <w:next w:val="Normal"/>
    <w:link w:val="Ttulo1Car"/>
    <w:uiPriority w:val="9"/>
    <w:qFormat/>
    <w:rsid w:val="00B866A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BE0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0087"/>
    <w:rPr>
      <w:rFonts w:ascii="Tahoma" w:hAnsi="Tahoma" w:cs="Tahoma"/>
      <w:sz w:val="16"/>
      <w:szCs w:val="16"/>
    </w:rPr>
  </w:style>
  <w:style w:type="character" w:customStyle="1" w:styleId="Ttulo1Car">
    <w:name w:val="Título 1 Car"/>
    <w:basedOn w:val="Fuentedeprrafopredeter"/>
    <w:link w:val="Ttulo1"/>
    <w:uiPriority w:val="9"/>
    <w:rsid w:val="00B866AB"/>
    <w:rPr>
      <w:rFonts w:asciiTheme="majorHAnsi" w:eastAsiaTheme="majorEastAsia" w:hAnsiTheme="majorHAnsi" w:cstheme="majorBidi"/>
      <w:b/>
      <w:bCs/>
      <w:color w:val="2E74B5" w:themeColor="accent1" w:themeShade="BF"/>
      <w:sz w:val="28"/>
      <w:szCs w:val="28"/>
    </w:rPr>
  </w:style>
  <w:style w:type="paragraph" w:styleId="Textoindependiente">
    <w:name w:val="Body Text"/>
    <w:basedOn w:val="Normal"/>
    <w:link w:val="TextoindependienteCar"/>
    <w:uiPriority w:val="99"/>
    <w:unhideWhenUsed/>
    <w:rsid w:val="00B866AB"/>
    <w:pPr>
      <w:spacing w:after="120"/>
    </w:pPr>
  </w:style>
  <w:style w:type="character" w:customStyle="1" w:styleId="TextoindependienteCar">
    <w:name w:val="Texto independiente Car"/>
    <w:basedOn w:val="Fuentedeprrafopredeter"/>
    <w:link w:val="Textoindependiente"/>
    <w:uiPriority w:val="99"/>
    <w:rsid w:val="00B866AB"/>
  </w:style>
  <w:style w:type="paragraph" w:styleId="Textoindependienteprimerasangra">
    <w:name w:val="Body Text First Indent"/>
    <w:basedOn w:val="Textoindependiente"/>
    <w:link w:val="TextoindependienteprimerasangraCar"/>
    <w:uiPriority w:val="99"/>
    <w:unhideWhenUsed/>
    <w:rsid w:val="00B866A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66AB"/>
  </w:style>
  <w:style w:type="paragraph" w:styleId="Sangradetextonormal">
    <w:name w:val="Body Text Indent"/>
    <w:basedOn w:val="Normal"/>
    <w:link w:val="SangradetextonormalCar"/>
    <w:uiPriority w:val="99"/>
    <w:semiHidden/>
    <w:unhideWhenUsed/>
    <w:rsid w:val="00B866AB"/>
    <w:pPr>
      <w:spacing w:after="120"/>
      <w:ind w:left="283"/>
    </w:pPr>
  </w:style>
  <w:style w:type="character" w:customStyle="1" w:styleId="SangradetextonormalCar">
    <w:name w:val="Sangría de texto normal Car"/>
    <w:basedOn w:val="Fuentedeprrafopredeter"/>
    <w:link w:val="Sangradetextonormal"/>
    <w:uiPriority w:val="99"/>
    <w:semiHidden/>
    <w:rsid w:val="00B866AB"/>
  </w:style>
  <w:style w:type="paragraph" w:styleId="Textoindependienteprimerasangra2">
    <w:name w:val="Body Text First Indent 2"/>
    <w:basedOn w:val="Sangradetextonormal"/>
    <w:link w:val="Textoindependienteprimerasangra2Car"/>
    <w:uiPriority w:val="99"/>
    <w:unhideWhenUsed/>
    <w:rsid w:val="00B866A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66AB"/>
  </w:style>
  <w:style w:type="paragraph" w:customStyle="1" w:styleId="Textoindependiente21">
    <w:name w:val="Texto independiente 21"/>
    <w:basedOn w:val="Normal"/>
    <w:rsid w:val="00E83182"/>
    <w:pPr>
      <w:widowControl w:val="0"/>
      <w:spacing w:after="0" w:line="480" w:lineRule="auto"/>
      <w:ind w:right="51" w:firstLine="1134"/>
      <w:jc w:val="both"/>
    </w:pPr>
    <w:rPr>
      <w:rFonts w:ascii="Courier" w:eastAsia="Times New Roman" w:hAnsi="Courier" w:cs="Times New Roman"/>
      <w:sz w:val="24"/>
      <w:szCs w:val="20"/>
      <w:lang w:eastAsia="es-ES"/>
    </w:rPr>
  </w:style>
  <w:style w:type="character" w:customStyle="1" w:styleId="corte4fondoCar3">
    <w:name w:val="corte4 fondo Car3"/>
    <w:link w:val="corte4fondo"/>
    <w:locked/>
    <w:rsid w:val="00DF4913"/>
    <w:rPr>
      <w:rFonts w:ascii="Arial" w:hAnsi="Arial" w:cs="Arial"/>
      <w:sz w:val="30"/>
      <w:szCs w:val="30"/>
      <w:lang w:val="es-ES_tradnl"/>
    </w:rPr>
  </w:style>
  <w:style w:type="paragraph" w:customStyle="1" w:styleId="corte4fondo">
    <w:name w:val="corte4 fondo"/>
    <w:basedOn w:val="Normal"/>
    <w:link w:val="corte4fondoCar3"/>
    <w:qFormat/>
    <w:rsid w:val="00DF4913"/>
    <w:pPr>
      <w:spacing w:after="0" w:line="360" w:lineRule="auto"/>
      <w:ind w:firstLine="709"/>
      <w:jc w:val="both"/>
    </w:pPr>
    <w:rPr>
      <w:rFonts w:ascii="Arial" w:hAnsi="Arial" w:cs="Arial"/>
      <w:sz w:val="30"/>
      <w:szCs w:val="30"/>
      <w:lang w:val="es-ES_tradnl"/>
    </w:rPr>
  </w:style>
  <w:style w:type="paragraph" w:styleId="Textoindependiente2">
    <w:name w:val="Body Text 2"/>
    <w:basedOn w:val="Normal"/>
    <w:link w:val="Textoindependiente2Car"/>
    <w:uiPriority w:val="99"/>
    <w:semiHidden/>
    <w:unhideWhenUsed/>
    <w:rsid w:val="008B5A5C"/>
    <w:pPr>
      <w:spacing w:after="120" w:line="480" w:lineRule="auto"/>
    </w:pPr>
  </w:style>
  <w:style w:type="character" w:customStyle="1" w:styleId="Textoindependiente2Car">
    <w:name w:val="Texto independiente 2 Car"/>
    <w:basedOn w:val="Fuentedeprrafopredeter"/>
    <w:link w:val="Textoindependiente2"/>
    <w:uiPriority w:val="99"/>
    <w:semiHidden/>
    <w:rsid w:val="008B5A5C"/>
  </w:style>
  <w:style w:type="paragraph" w:customStyle="1" w:styleId="Default">
    <w:name w:val="Default"/>
    <w:rsid w:val="008B5A5C"/>
    <w:pPr>
      <w:autoSpaceDE w:val="0"/>
      <w:autoSpaceDN w:val="0"/>
      <w:adjustRightInd w:val="0"/>
      <w:spacing w:after="0" w:line="240" w:lineRule="auto"/>
    </w:pPr>
    <w:rPr>
      <w:rFonts w:ascii="Arial" w:eastAsia="Calibri" w:hAnsi="Arial" w:cs="Arial"/>
      <w:color w:val="000000"/>
      <w:sz w:val="24"/>
      <w:szCs w:val="24"/>
      <w:lang w:val="es-MX"/>
    </w:rPr>
  </w:style>
  <w:style w:type="paragraph" w:customStyle="1" w:styleId="corte3centro">
    <w:name w:val="corte3 centro"/>
    <w:basedOn w:val="Normal"/>
    <w:link w:val="corte3centroCar"/>
    <w:rsid w:val="008B5A5C"/>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8B5A5C"/>
    <w:rPr>
      <w:rFonts w:ascii="Arial" w:eastAsia="Times New Roman" w:hAnsi="Arial" w:cs="Times New Roman"/>
      <w:b/>
      <w:sz w:val="30"/>
      <w:szCs w:val="20"/>
      <w:lang w:val="es-ES_tradnl" w:eastAsia="es-ES"/>
    </w:rPr>
  </w:style>
  <w:style w:type="character" w:styleId="Hipervnculo">
    <w:name w:val="Hyperlink"/>
    <w:uiPriority w:val="99"/>
    <w:semiHidden/>
    <w:unhideWhenUsed/>
    <w:rsid w:val="008B5A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721A4-4EE5-4574-BCF5-7525438DB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13</Pages>
  <Words>4490</Words>
  <Characters>24701</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16</cp:revision>
  <cp:lastPrinted>2019-06-12T20:19:00Z</cp:lastPrinted>
  <dcterms:created xsi:type="dcterms:W3CDTF">2019-05-21T17:49:00Z</dcterms:created>
  <dcterms:modified xsi:type="dcterms:W3CDTF">2019-07-11T18:46:00Z</dcterms:modified>
</cp:coreProperties>
</file>