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EE4752" w:rsidRDefault="005222BD" w:rsidP="003A263E">
      <w:pPr>
        <w:spacing w:line="240" w:lineRule="auto"/>
        <w:ind w:left="3686"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339DAEDF" w:rsidR="001658D6" w:rsidRPr="00EE4752" w:rsidRDefault="001612DC" w:rsidP="00A96B17">
      <w:pPr>
        <w:spacing w:line="240" w:lineRule="auto"/>
        <w:ind w:left="3686"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1E955A28" w14:textId="08FC393F" w:rsidR="00140805" w:rsidRPr="00EE4752" w:rsidRDefault="00140805" w:rsidP="00A96B17">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JUICIO DE </w:t>
      </w:r>
      <w:r w:rsidR="001612DC">
        <w:rPr>
          <w:rFonts w:ascii="Arial" w:eastAsia="Times New Roman" w:hAnsi="Arial" w:cs="Arial"/>
          <w:b/>
          <w:sz w:val="26"/>
          <w:szCs w:val="26"/>
          <w:lang w:val="es-ES_tradnl" w:eastAsia="es-ES"/>
        </w:rPr>
        <w:t>INCONFORMIDAD</w:t>
      </w:r>
      <w:r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5222BD" w:rsidRPr="00EE4752">
        <w:rPr>
          <w:rFonts w:ascii="Arial" w:eastAsia="Times New Roman" w:hAnsi="Arial" w:cs="Arial"/>
          <w:bCs/>
          <w:sz w:val="26"/>
          <w:szCs w:val="26"/>
          <w:lang w:val="es-ES_tradnl" w:eastAsia="es-ES"/>
        </w:rPr>
        <w:t>00</w:t>
      </w:r>
      <w:r w:rsidR="00D151EF">
        <w:rPr>
          <w:rFonts w:ascii="Arial" w:eastAsia="Times New Roman" w:hAnsi="Arial" w:cs="Arial"/>
          <w:bCs/>
          <w:sz w:val="26"/>
          <w:szCs w:val="26"/>
          <w:lang w:val="es-ES_tradnl" w:eastAsia="es-ES"/>
        </w:rPr>
        <w:t>8</w:t>
      </w:r>
      <w:r w:rsidR="001612DC">
        <w:rPr>
          <w:rFonts w:ascii="Arial" w:eastAsia="Times New Roman" w:hAnsi="Arial" w:cs="Arial"/>
          <w:bCs/>
          <w:sz w:val="26"/>
          <w:szCs w:val="26"/>
          <w:lang w:val="es-ES_tradnl" w:eastAsia="es-ES"/>
        </w:rPr>
        <w:t>/2023</w:t>
      </w:r>
      <w:r w:rsidR="00900CC1" w:rsidRPr="00EE4752">
        <w:rPr>
          <w:rFonts w:ascii="Arial" w:eastAsia="Times New Roman" w:hAnsi="Arial" w:cs="Arial"/>
          <w:bCs/>
          <w:sz w:val="26"/>
          <w:szCs w:val="26"/>
          <w:lang w:val="es-ES_tradnl" w:eastAsia="es-ES"/>
        </w:rPr>
        <w:t>.</w:t>
      </w:r>
      <w:r w:rsidRPr="00EE4752">
        <w:rPr>
          <w:rFonts w:ascii="Arial" w:eastAsia="Times New Roman" w:hAnsi="Arial" w:cs="Arial"/>
          <w:bCs/>
          <w:sz w:val="26"/>
          <w:szCs w:val="26"/>
          <w:lang w:val="es-ES_tradnl" w:eastAsia="es-ES"/>
        </w:rPr>
        <w:t xml:space="preserve"> </w:t>
      </w:r>
    </w:p>
    <w:p w14:paraId="4AE0D200" w14:textId="2368940F" w:rsidR="003569E3" w:rsidRPr="00EE4752" w:rsidRDefault="003569E3" w:rsidP="00A96B17">
      <w:pPr>
        <w:spacing w:line="240" w:lineRule="auto"/>
        <w:ind w:left="3686" w:right="51"/>
        <w:jc w:val="both"/>
        <w:rPr>
          <w:rFonts w:ascii="Arial" w:eastAsia="Times New Roman" w:hAnsi="Arial" w:cs="Arial"/>
          <w:sz w:val="26"/>
          <w:szCs w:val="26"/>
          <w:lang w:val="es-ES_tradnl" w:eastAsia="es-ES"/>
        </w:rPr>
      </w:pPr>
      <w:r w:rsidRPr="00EE4752">
        <w:rPr>
          <w:rFonts w:ascii="Arial" w:eastAsia="Times New Roman" w:hAnsi="Arial" w:cs="Arial"/>
          <w:b/>
          <w:sz w:val="26"/>
          <w:szCs w:val="26"/>
          <w:lang w:val="es-ES_tradnl" w:eastAsia="es-ES"/>
        </w:rPr>
        <w:t>ACTOR:</w:t>
      </w:r>
      <w:r w:rsidR="00F85F1A" w:rsidRPr="00EE4752">
        <w:rPr>
          <w:rFonts w:ascii="Arial" w:eastAsia="Times New Roman" w:hAnsi="Arial" w:cs="Arial"/>
          <w:sz w:val="26"/>
          <w:szCs w:val="26"/>
          <w:lang w:val="es-ES_tradnl" w:eastAsia="es-ES"/>
        </w:rPr>
        <w:t xml:space="preserve"> </w:t>
      </w:r>
      <w:r w:rsidR="009111F5">
        <w:rPr>
          <w:rFonts w:ascii="Arial" w:eastAsia="Times New Roman" w:hAnsi="Arial" w:cs="Arial"/>
          <w:sz w:val="26"/>
          <w:szCs w:val="26"/>
          <w:lang w:val="es-ES_tradnl" w:eastAsia="es-ES"/>
        </w:rPr>
        <w:t>**********</w:t>
      </w:r>
    </w:p>
    <w:p w14:paraId="427298C6" w14:textId="45C607EF" w:rsidR="00214E4D" w:rsidRPr="0073124E" w:rsidRDefault="00C07F53" w:rsidP="00961B74">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1612DC" w:rsidRPr="0073124E">
        <w:rPr>
          <w:rFonts w:ascii="Arial" w:eastAsia="Times New Roman" w:hAnsi="Arial" w:cs="Arial"/>
          <w:sz w:val="26"/>
          <w:szCs w:val="26"/>
          <w:lang w:val="es-ES_tradnl" w:eastAsia="es-ES"/>
        </w:rPr>
        <w:t>AUDITORÍA SUPERIOR DE FISCALIZACIÓN DEL ESTADO DE OAXACA (ANTES ÓRGANO SUPERIOR DE FISCALIZACIÓN DEL ESTADO DE OAXACA)</w:t>
      </w:r>
    </w:p>
    <w:p w14:paraId="457C35AC" w14:textId="2801589D" w:rsidR="003721BC" w:rsidRPr="00EE4752" w:rsidRDefault="003721BC" w:rsidP="00961B74">
      <w:pPr>
        <w:spacing w:line="240" w:lineRule="auto"/>
        <w:ind w:left="3686"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3B3330">
        <w:rPr>
          <w:rFonts w:ascii="Arial" w:eastAsia="Times New Roman" w:hAnsi="Arial" w:cs="Arial"/>
          <w:bCs/>
          <w:sz w:val="26"/>
          <w:szCs w:val="26"/>
          <w:lang w:val="es-ES_tradnl" w:eastAsia="es-ES"/>
        </w:rPr>
        <w:t xml:space="preserve">MATEO MARTÍNEZ </w:t>
      </w:r>
      <w:proofErr w:type="spellStart"/>
      <w:r w:rsidR="003B3330">
        <w:rPr>
          <w:rFonts w:ascii="Arial" w:eastAsia="Times New Roman" w:hAnsi="Arial" w:cs="Arial"/>
          <w:bCs/>
          <w:sz w:val="26"/>
          <w:szCs w:val="26"/>
          <w:lang w:val="es-ES_tradnl" w:eastAsia="es-ES"/>
        </w:rPr>
        <w:t>MARTÍNEZ</w:t>
      </w:r>
      <w:proofErr w:type="spellEnd"/>
      <w:r w:rsidR="001A14DE">
        <w:rPr>
          <w:rFonts w:ascii="Arial" w:eastAsia="Times New Roman" w:hAnsi="Arial" w:cs="Arial"/>
          <w:bCs/>
          <w:sz w:val="26"/>
          <w:szCs w:val="26"/>
          <w:lang w:val="es-ES_tradnl" w:eastAsia="es-ES"/>
        </w:rPr>
        <w:t>.</w:t>
      </w:r>
    </w:p>
    <w:bookmarkEnd w:id="0"/>
    <w:bookmarkEnd w:id="1"/>
    <w:p w14:paraId="70DB9FE9" w14:textId="096FA9CB" w:rsidR="008C764E" w:rsidRPr="00EE4752" w:rsidRDefault="003569E3" w:rsidP="00227923">
      <w:pPr>
        <w:widowControl w:val="0"/>
        <w:spacing w:line="360" w:lineRule="auto"/>
        <w:ind w:right="51" w:firstLine="567"/>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273FAA" w:rsidRPr="00EE4752">
        <w:rPr>
          <w:rFonts w:ascii="Arial" w:eastAsia="Times New Roman" w:hAnsi="Arial" w:cs="Arial"/>
          <w:b/>
          <w:sz w:val="26"/>
          <w:szCs w:val="26"/>
          <w:lang w:val="es-ES" w:eastAsia="es-ES"/>
        </w:rPr>
        <w:t xml:space="preserve"> </w:t>
      </w:r>
      <w:r w:rsidR="007B4929">
        <w:rPr>
          <w:rFonts w:ascii="Arial" w:eastAsia="Times New Roman" w:hAnsi="Arial" w:cs="Arial"/>
          <w:b/>
          <w:sz w:val="26"/>
          <w:szCs w:val="26"/>
          <w:lang w:val="es-ES" w:eastAsia="es-ES"/>
        </w:rPr>
        <w:t>SIETE</w:t>
      </w:r>
      <w:r w:rsidR="003B3330">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C65644">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C65644">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p>
    <w:p w14:paraId="0A6D4F4C" w14:textId="2EF8EDCF" w:rsidR="003B3330" w:rsidRDefault="002B5D36" w:rsidP="00F17D36">
      <w:pPr>
        <w:widowControl w:val="0"/>
        <w:spacing w:line="360" w:lineRule="auto"/>
        <w:ind w:right="51" w:firstLine="567"/>
        <w:jc w:val="both"/>
        <w:rPr>
          <w:rFonts w:ascii="Arial" w:hAnsi="Arial" w:cs="Arial"/>
          <w:sz w:val="26"/>
          <w:szCs w:val="26"/>
        </w:rPr>
      </w:pPr>
      <w:r>
        <w:rPr>
          <w:rFonts w:ascii="Arial" w:eastAsia="Times New Roman" w:hAnsi="Arial" w:cs="Arial"/>
          <w:bCs/>
          <w:sz w:val="26"/>
          <w:szCs w:val="26"/>
          <w:lang w:val="es-ES_tradnl" w:eastAsia="es-ES"/>
        </w:rPr>
        <w:t xml:space="preserve">Sentencia que </w:t>
      </w:r>
      <w:r w:rsidR="000C5987">
        <w:rPr>
          <w:rFonts w:ascii="Arial" w:eastAsia="Times New Roman" w:hAnsi="Arial" w:cs="Arial"/>
          <w:b/>
          <w:bCs/>
          <w:sz w:val="26"/>
          <w:szCs w:val="26"/>
          <w:lang w:val="es-ES_tradnl" w:eastAsia="es-ES"/>
        </w:rPr>
        <w:t>DEJA SIN EFECTOS TOTALES</w:t>
      </w:r>
      <w:r w:rsidR="000C5987">
        <w:rPr>
          <w:rFonts w:ascii="Arial" w:eastAsia="Times New Roman" w:hAnsi="Arial" w:cs="Arial"/>
          <w:bCs/>
          <w:sz w:val="26"/>
          <w:szCs w:val="26"/>
          <w:lang w:val="es-ES_tradnl" w:eastAsia="es-ES"/>
        </w:rPr>
        <w:t xml:space="preserve"> </w:t>
      </w:r>
      <w:r w:rsidR="0084681F">
        <w:rPr>
          <w:rFonts w:ascii="Arial" w:hAnsi="Arial" w:cs="Arial"/>
          <w:b/>
          <w:sz w:val="26"/>
          <w:szCs w:val="26"/>
        </w:rPr>
        <w:t xml:space="preserve">a) </w:t>
      </w:r>
      <w:r w:rsidR="0084681F">
        <w:rPr>
          <w:rFonts w:ascii="Arial" w:hAnsi="Arial" w:cs="Arial"/>
          <w:sz w:val="26"/>
          <w:szCs w:val="26"/>
          <w:lang w:val="es-ES"/>
        </w:rPr>
        <w:t xml:space="preserve">la notificación de la resolución de doce de febrero de dos mil diecinueve (12/02/2019), dictada dentro del Procedimiento para el Fincamiento de Responsabilidad Administrativa Resarcitoria </w:t>
      </w:r>
      <w:r w:rsidR="0084681F" w:rsidRPr="0084681F">
        <w:rPr>
          <w:rFonts w:ascii="Arial" w:hAnsi="Arial" w:cs="Arial"/>
          <w:sz w:val="26"/>
          <w:szCs w:val="26"/>
          <w:lang w:val="es-ES"/>
        </w:rPr>
        <w:t>ASE/UAJ/P.R./004/2016</w:t>
      </w:r>
      <w:r w:rsidR="0084681F">
        <w:rPr>
          <w:rFonts w:ascii="Arial" w:hAnsi="Arial" w:cs="Arial"/>
          <w:sz w:val="26"/>
          <w:szCs w:val="26"/>
          <w:lang w:val="es-ES"/>
        </w:rPr>
        <w:t xml:space="preserve">; </w:t>
      </w:r>
      <w:r w:rsidR="0084681F">
        <w:rPr>
          <w:rFonts w:ascii="Arial" w:hAnsi="Arial" w:cs="Arial"/>
          <w:b/>
          <w:sz w:val="26"/>
          <w:szCs w:val="26"/>
          <w:lang w:val="es-ES"/>
        </w:rPr>
        <w:t xml:space="preserve">b) </w:t>
      </w:r>
      <w:r w:rsidR="0084681F" w:rsidRPr="0084681F">
        <w:rPr>
          <w:rFonts w:ascii="Arial" w:hAnsi="Arial" w:cs="Arial"/>
          <w:sz w:val="26"/>
          <w:szCs w:val="26"/>
        </w:rPr>
        <w:t xml:space="preserve">la resolución </w:t>
      </w:r>
      <w:r w:rsidR="0084681F" w:rsidRPr="0084681F">
        <w:rPr>
          <w:rFonts w:ascii="Arial" w:eastAsia="Times New Roman" w:hAnsi="Arial" w:cs="Arial"/>
          <w:bCs/>
          <w:sz w:val="26"/>
          <w:szCs w:val="26"/>
          <w:lang w:val="es-ES_tradnl" w:eastAsia="es-ES"/>
        </w:rPr>
        <w:t xml:space="preserve">de doce de febrero de dos mil diecinueve (12/02/2019) dictada dentro del expediente </w:t>
      </w:r>
      <w:r w:rsidR="0084681F" w:rsidRPr="0084681F">
        <w:rPr>
          <w:rFonts w:ascii="Arial" w:hAnsi="Arial" w:cs="Arial"/>
          <w:sz w:val="26"/>
          <w:szCs w:val="26"/>
        </w:rPr>
        <w:t>ASE/UAJ/P.R./004/2016</w:t>
      </w:r>
      <w:r w:rsidR="0084681F">
        <w:rPr>
          <w:rFonts w:ascii="Arial" w:hAnsi="Arial" w:cs="Arial"/>
          <w:sz w:val="26"/>
          <w:szCs w:val="26"/>
        </w:rPr>
        <w:t xml:space="preserve">; y </w:t>
      </w:r>
      <w:r w:rsidR="0084681F">
        <w:rPr>
          <w:rFonts w:ascii="Arial" w:hAnsi="Arial" w:cs="Arial"/>
          <w:b/>
          <w:sz w:val="26"/>
          <w:szCs w:val="26"/>
        </w:rPr>
        <w:t>c)</w:t>
      </w:r>
      <w:r w:rsidR="0084681F">
        <w:rPr>
          <w:rFonts w:ascii="Arial" w:hAnsi="Arial" w:cs="Arial"/>
          <w:sz w:val="26"/>
          <w:szCs w:val="26"/>
        </w:rPr>
        <w:t xml:space="preserve"> </w:t>
      </w:r>
      <w:r w:rsidR="003B3330">
        <w:rPr>
          <w:rFonts w:ascii="Arial" w:hAnsi="Arial" w:cs="Arial"/>
          <w:sz w:val="26"/>
          <w:szCs w:val="26"/>
        </w:rPr>
        <w:t>l</w:t>
      </w:r>
      <w:r w:rsidR="0084681F" w:rsidRPr="0084681F">
        <w:rPr>
          <w:rFonts w:ascii="Arial" w:hAnsi="Arial" w:cs="Arial"/>
          <w:sz w:val="26"/>
          <w:szCs w:val="26"/>
        </w:rPr>
        <w:t>as demás actuaciones subsecuentes</w:t>
      </w:r>
      <w:r w:rsidR="00DB0670">
        <w:rPr>
          <w:rFonts w:ascii="Arial" w:hAnsi="Arial" w:cs="Arial"/>
          <w:sz w:val="26"/>
          <w:szCs w:val="26"/>
        </w:rPr>
        <w:t>.</w:t>
      </w:r>
    </w:p>
    <w:sdt>
      <w:sdtPr>
        <w:rPr>
          <w:rFonts w:ascii="Arial" w:eastAsiaTheme="minorEastAsia" w:hAnsi="Arial" w:cs="Arial"/>
          <w:color w:val="auto"/>
          <w:sz w:val="24"/>
          <w:szCs w:val="24"/>
          <w:lang w:val="es-ES_tradnl"/>
        </w:rPr>
        <w:id w:val="-524558340"/>
        <w:docPartObj>
          <w:docPartGallery w:val="Table of Contents"/>
          <w:docPartUnique/>
        </w:docPartObj>
      </w:sdtPr>
      <w:sdtEndPr>
        <w:rPr>
          <w:b/>
          <w:bCs/>
        </w:rPr>
      </w:sdtEndPr>
      <w:sdtContent>
        <w:p w14:paraId="1E87D999" w14:textId="77777777" w:rsidR="003B3330" w:rsidRPr="00EE4752" w:rsidRDefault="003B3330" w:rsidP="003B3330">
          <w:pPr>
            <w:pStyle w:val="TtuloTDC"/>
            <w:spacing w:line="360" w:lineRule="auto"/>
            <w:jc w:val="center"/>
            <w:rPr>
              <w:rFonts w:ascii="Arial" w:hAnsi="Arial" w:cs="Arial"/>
              <w:b/>
              <w:color w:val="000000" w:themeColor="text1"/>
              <w:sz w:val="24"/>
              <w:szCs w:val="24"/>
              <w:lang w:val="es-ES_tradnl"/>
            </w:rPr>
          </w:pPr>
          <w:r w:rsidRPr="00EE4752">
            <w:rPr>
              <w:rFonts w:ascii="Arial" w:hAnsi="Arial" w:cs="Arial"/>
              <w:b/>
              <w:color w:val="000000" w:themeColor="text1"/>
              <w:sz w:val="24"/>
              <w:szCs w:val="24"/>
              <w:lang w:val="es-ES_tradnl"/>
            </w:rPr>
            <w:t>ÍNDICE</w:t>
          </w:r>
        </w:p>
        <w:p w14:paraId="5CB384E4" w14:textId="77777777" w:rsidR="003B3330" w:rsidRPr="00EE4752" w:rsidRDefault="003B3330" w:rsidP="003B3330">
          <w:pPr>
            <w:pStyle w:val="TDC1"/>
            <w:spacing w:line="276" w:lineRule="auto"/>
            <w:rPr>
              <w:rStyle w:val="Hipervnculo"/>
              <w:b w:val="0"/>
            </w:rPr>
          </w:pPr>
          <w:r w:rsidRPr="00EE4752">
            <w:rPr>
              <w:bCs/>
              <w:lang w:val="es-ES_tradnl"/>
            </w:rPr>
            <w:fldChar w:fldCharType="begin"/>
          </w:r>
          <w:r w:rsidRPr="00EE4752">
            <w:rPr>
              <w:bCs/>
              <w:lang w:val="es-ES_tradnl"/>
            </w:rPr>
            <w:instrText xml:space="preserve"> TOC \o "1-3" \h \z \u </w:instrText>
          </w:r>
          <w:r w:rsidRPr="00EE4752">
            <w:rPr>
              <w:bCs/>
              <w:lang w:val="es-ES_tradnl"/>
            </w:rPr>
            <w:fldChar w:fldCharType="separate"/>
          </w:r>
          <w:r w:rsidRPr="00EE4752">
            <w:rPr>
              <w:b w:val="0"/>
            </w:rPr>
            <w:t>GLOSARIO</w:t>
          </w:r>
          <w:r w:rsidRPr="00EE4752">
            <w:rPr>
              <w:b w:val="0"/>
              <w:webHidden/>
              <w:lang w:val="es-ES_tradnl"/>
            </w:rPr>
            <w:tab/>
            <w:t>2</w:t>
          </w:r>
        </w:p>
        <w:p w14:paraId="6DFE1583" w14:textId="77777777" w:rsidR="003B3330" w:rsidRPr="00EE4752" w:rsidRDefault="003B3330" w:rsidP="003B3330">
          <w:pPr>
            <w:pStyle w:val="TDC1"/>
            <w:spacing w:line="276" w:lineRule="auto"/>
            <w:rPr>
              <w:rStyle w:val="Hipervnculo"/>
              <w:b w:val="0"/>
            </w:rPr>
          </w:pPr>
          <w:bookmarkStart w:id="2" w:name="_Hlk142555234"/>
          <w:r w:rsidRPr="00EE4752">
            <w:rPr>
              <w:b w:val="0"/>
            </w:rPr>
            <w:t>1. RESULTANDO</w:t>
          </w:r>
          <w:r w:rsidRPr="00EE4752">
            <w:rPr>
              <w:b w:val="0"/>
              <w:webHidden/>
              <w:lang w:val="es-ES_tradnl"/>
            </w:rPr>
            <w:tab/>
          </w:r>
          <w:bookmarkEnd w:id="2"/>
          <w:r>
            <w:rPr>
              <w:b w:val="0"/>
              <w:webHidden/>
              <w:lang w:val="es-ES_tradnl"/>
            </w:rPr>
            <w:t>2</w:t>
          </w:r>
        </w:p>
        <w:p w14:paraId="478C3801" w14:textId="3CB59DD5" w:rsidR="003B3330" w:rsidRDefault="006C2429" w:rsidP="003B3330">
          <w:pPr>
            <w:pStyle w:val="TDC2"/>
            <w:tabs>
              <w:tab w:val="left" w:pos="660"/>
              <w:tab w:val="right" w:leader="dot" w:pos="8828"/>
            </w:tabs>
            <w:spacing w:line="276" w:lineRule="auto"/>
            <w:rPr>
              <w:rFonts w:ascii="Arial" w:hAnsi="Arial" w:cs="Arial"/>
              <w:noProof/>
              <w:sz w:val="24"/>
              <w:szCs w:val="24"/>
              <w:lang w:val="es-ES_tradnl"/>
            </w:rPr>
          </w:pPr>
          <w:hyperlink w:anchor="_Toc57989556" w:history="1">
            <w:r w:rsidR="003B3330" w:rsidRPr="00EE4752">
              <w:rPr>
                <w:rFonts w:ascii="Arial" w:hAnsi="Arial" w:cs="Arial"/>
                <w:sz w:val="24"/>
                <w:szCs w:val="24"/>
              </w:rPr>
              <w:t xml:space="preserve">PRIMERO. DEMANDA DE </w:t>
            </w:r>
            <w:r w:rsidR="00737389">
              <w:rPr>
                <w:rFonts w:ascii="Arial" w:hAnsi="Arial" w:cs="Arial"/>
                <w:sz w:val="24"/>
                <w:szCs w:val="24"/>
              </w:rPr>
              <w:t>NUL</w:t>
            </w:r>
            <w:r w:rsidR="003B3330">
              <w:rPr>
                <w:rFonts w:ascii="Arial" w:hAnsi="Arial" w:cs="Arial"/>
                <w:sz w:val="24"/>
                <w:szCs w:val="24"/>
              </w:rPr>
              <w:t>IDAD</w:t>
            </w:r>
            <w:r w:rsidR="003B3330" w:rsidRPr="00EE4752">
              <w:rPr>
                <w:rFonts w:ascii="Arial" w:hAnsi="Arial" w:cs="Arial"/>
                <w:noProof/>
                <w:webHidden/>
                <w:sz w:val="24"/>
                <w:szCs w:val="24"/>
                <w:lang w:val="es-ES_tradnl"/>
              </w:rPr>
              <w:tab/>
            </w:r>
            <w:r w:rsidR="003B3330">
              <w:rPr>
                <w:rFonts w:ascii="Arial" w:hAnsi="Arial" w:cs="Arial"/>
                <w:noProof/>
                <w:webHidden/>
                <w:sz w:val="24"/>
                <w:szCs w:val="24"/>
                <w:lang w:val="es-ES_tradnl"/>
              </w:rPr>
              <w:t>2</w:t>
            </w:r>
          </w:hyperlink>
        </w:p>
        <w:p w14:paraId="7B8771B1" w14:textId="573CFEB9" w:rsidR="00737389" w:rsidRDefault="006C2429" w:rsidP="00737389">
          <w:pPr>
            <w:pStyle w:val="TDC2"/>
            <w:tabs>
              <w:tab w:val="left" w:pos="660"/>
              <w:tab w:val="right" w:leader="dot" w:pos="8828"/>
            </w:tabs>
            <w:spacing w:line="276" w:lineRule="auto"/>
            <w:rPr>
              <w:rFonts w:ascii="Arial" w:hAnsi="Arial" w:cs="Arial"/>
              <w:noProof/>
              <w:sz w:val="24"/>
              <w:szCs w:val="24"/>
              <w:lang w:val="es-ES_tradnl"/>
            </w:rPr>
          </w:pPr>
          <w:hyperlink w:anchor="_Toc57989556" w:history="1">
            <w:r w:rsidR="00737389">
              <w:rPr>
                <w:rFonts w:ascii="Arial" w:hAnsi="Arial" w:cs="Arial"/>
                <w:sz w:val="24"/>
                <w:szCs w:val="24"/>
              </w:rPr>
              <w:t>SEGUNDO. DESECHAMIENTO DE LA DEMANDA</w:t>
            </w:r>
            <w:r w:rsidR="00737389"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3</w:t>
          </w:r>
        </w:p>
        <w:p w14:paraId="364F4D84" w14:textId="197B578C" w:rsidR="00737389" w:rsidRDefault="006C2429" w:rsidP="00737389">
          <w:pPr>
            <w:pStyle w:val="TDC2"/>
            <w:tabs>
              <w:tab w:val="left" w:pos="660"/>
              <w:tab w:val="right" w:leader="dot" w:pos="8828"/>
            </w:tabs>
            <w:spacing w:line="276" w:lineRule="auto"/>
            <w:rPr>
              <w:rFonts w:ascii="Arial" w:hAnsi="Arial" w:cs="Arial"/>
              <w:noProof/>
              <w:sz w:val="24"/>
              <w:szCs w:val="24"/>
              <w:lang w:val="es-ES_tradnl"/>
            </w:rPr>
          </w:pPr>
          <w:hyperlink w:anchor="_Toc57989556" w:history="1">
            <w:r w:rsidR="00737389">
              <w:rPr>
                <w:rFonts w:ascii="Arial" w:hAnsi="Arial" w:cs="Arial"/>
                <w:sz w:val="24"/>
                <w:szCs w:val="24"/>
              </w:rPr>
              <w:t>TERCERO. PROMOCIÓN DEL RECURSO DE REVISIÓN</w:t>
            </w:r>
            <w:r w:rsidR="00737389"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3</w:t>
          </w:r>
        </w:p>
        <w:p w14:paraId="4ADDC823" w14:textId="7EB25F79" w:rsidR="00737389" w:rsidRDefault="006C2429" w:rsidP="00737389">
          <w:pPr>
            <w:pStyle w:val="TDC2"/>
            <w:tabs>
              <w:tab w:val="left" w:pos="660"/>
              <w:tab w:val="right" w:leader="dot" w:pos="8828"/>
            </w:tabs>
            <w:spacing w:line="276" w:lineRule="auto"/>
            <w:rPr>
              <w:rFonts w:ascii="Arial" w:hAnsi="Arial" w:cs="Arial"/>
              <w:noProof/>
              <w:sz w:val="24"/>
              <w:szCs w:val="24"/>
              <w:lang w:val="es-ES_tradnl"/>
            </w:rPr>
          </w:pPr>
          <w:hyperlink w:anchor="_Toc57989556" w:history="1">
            <w:r w:rsidR="00737389">
              <w:rPr>
                <w:rFonts w:ascii="Arial" w:hAnsi="Arial" w:cs="Arial"/>
                <w:sz w:val="24"/>
                <w:szCs w:val="24"/>
              </w:rPr>
              <w:t>CUARTO. RESOLUCIÓN DEL RECURSO DE REVISIÓN</w:t>
            </w:r>
            <w:r w:rsidR="00737389" w:rsidRPr="00EE4752">
              <w:rPr>
                <w:rFonts w:ascii="Arial" w:hAnsi="Arial" w:cs="Arial"/>
                <w:noProof/>
                <w:webHidden/>
                <w:sz w:val="24"/>
                <w:szCs w:val="24"/>
                <w:lang w:val="es-ES_tradnl"/>
              </w:rPr>
              <w:tab/>
            </w:r>
            <w:r w:rsidR="00737389">
              <w:rPr>
                <w:rFonts w:ascii="Arial" w:hAnsi="Arial" w:cs="Arial"/>
                <w:noProof/>
                <w:webHidden/>
                <w:sz w:val="24"/>
                <w:szCs w:val="24"/>
                <w:lang w:val="es-ES_tradnl"/>
              </w:rPr>
              <w:t>3</w:t>
            </w:r>
          </w:hyperlink>
        </w:p>
        <w:p w14:paraId="1E9E8CAE" w14:textId="4737A6AC" w:rsidR="00737389" w:rsidRDefault="006C2429" w:rsidP="00737389">
          <w:pPr>
            <w:pStyle w:val="TDC2"/>
            <w:tabs>
              <w:tab w:val="left" w:pos="660"/>
              <w:tab w:val="right" w:leader="dot" w:pos="8828"/>
            </w:tabs>
            <w:spacing w:line="276" w:lineRule="auto"/>
            <w:rPr>
              <w:rFonts w:ascii="Arial" w:hAnsi="Arial" w:cs="Arial"/>
              <w:noProof/>
              <w:sz w:val="24"/>
              <w:szCs w:val="24"/>
              <w:lang w:val="es-ES_tradnl"/>
            </w:rPr>
          </w:pPr>
          <w:hyperlink w:anchor="_Toc57989556" w:history="1">
            <w:r w:rsidR="00737389">
              <w:rPr>
                <w:rFonts w:ascii="Arial" w:hAnsi="Arial" w:cs="Arial"/>
                <w:sz w:val="24"/>
                <w:szCs w:val="24"/>
              </w:rPr>
              <w:t>QUINTO. RADICACIÓN DEL JUICIO DE INCONFORMIDAD Y SU CONTESTACIÓN</w:t>
            </w:r>
            <w:r w:rsidR="00737389" w:rsidRPr="00EE4752">
              <w:rPr>
                <w:rFonts w:ascii="Arial" w:hAnsi="Arial" w:cs="Arial"/>
                <w:noProof/>
                <w:webHidden/>
                <w:sz w:val="24"/>
                <w:szCs w:val="24"/>
                <w:lang w:val="es-ES_tradnl"/>
              </w:rPr>
              <w:tab/>
            </w:r>
            <w:r w:rsidR="00737389">
              <w:rPr>
                <w:rFonts w:ascii="Arial" w:hAnsi="Arial" w:cs="Arial"/>
                <w:noProof/>
                <w:webHidden/>
                <w:sz w:val="24"/>
                <w:szCs w:val="24"/>
                <w:lang w:val="es-ES_tradnl"/>
              </w:rPr>
              <w:t>4</w:t>
            </w:r>
          </w:hyperlink>
        </w:p>
        <w:p w14:paraId="55212CE0" w14:textId="28343589" w:rsidR="003B3330" w:rsidRDefault="006C2429" w:rsidP="003B3330">
          <w:pPr>
            <w:pStyle w:val="TDC2"/>
            <w:tabs>
              <w:tab w:val="left" w:pos="660"/>
              <w:tab w:val="right" w:leader="dot" w:pos="8828"/>
            </w:tabs>
            <w:spacing w:line="276" w:lineRule="auto"/>
            <w:rPr>
              <w:rFonts w:ascii="Arial" w:hAnsi="Arial" w:cs="Arial"/>
              <w:noProof/>
              <w:sz w:val="24"/>
              <w:szCs w:val="24"/>
              <w:lang w:val="es-ES_tradnl"/>
            </w:rPr>
          </w:pPr>
          <w:hyperlink w:anchor="_Toc57989558" w:history="1">
            <w:r w:rsidR="00737389">
              <w:rPr>
                <w:rStyle w:val="Hipervnculo"/>
                <w:rFonts w:ascii="Arial" w:hAnsi="Arial" w:cs="Arial"/>
                <w:noProof/>
                <w:sz w:val="24"/>
                <w:szCs w:val="24"/>
              </w:rPr>
              <w:t>SEXTO</w:t>
            </w:r>
            <w:r w:rsidR="003B3330" w:rsidRPr="00EE4752">
              <w:rPr>
                <w:rStyle w:val="Hipervnculo"/>
                <w:rFonts w:ascii="Arial" w:hAnsi="Arial" w:cs="Arial"/>
                <w:noProof/>
                <w:sz w:val="24"/>
                <w:szCs w:val="24"/>
              </w:rPr>
              <w:t xml:space="preserve">. </w:t>
            </w:r>
            <w:r w:rsidR="003B3330">
              <w:rPr>
                <w:rStyle w:val="Hipervnculo"/>
                <w:rFonts w:ascii="Arial" w:hAnsi="Arial" w:cs="Arial"/>
                <w:noProof/>
                <w:sz w:val="24"/>
                <w:szCs w:val="24"/>
              </w:rPr>
              <w:t>AMPLIACIÓN DE DEMANDA Y SU CONTESTACIÓN</w:t>
            </w:r>
            <w:r w:rsidR="003B3330"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4</w:t>
          </w:r>
        </w:p>
        <w:p w14:paraId="74C36E41" w14:textId="5FE6ADD5" w:rsidR="003B3330" w:rsidRDefault="006C2429" w:rsidP="003B3330">
          <w:pPr>
            <w:pStyle w:val="TDC2"/>
            <w:tabs>
              <w:tab w:val="left" w:pos="660"/>
              <w:tab w:val="right" w:leader="dot" w:pos="8828"/>
            </w:tabs>
            <w:spacing w:line="276" w:lineRule="auto"/>
            <w:rPr>
              <w:rFonts w:ascii="Arial" w:hAnsi="Arial" w:cs="Arial"/>
              <w:noProof/>
              <w:sz w:val="24"/>
              <w:szCs w:val="24"/>
              <w:lang w:val="es-ES_tradnl"/>
            </w:rPr>
          </w:pPr>
          <w:hyperlink w:anchor="_Toc57989558" w:history="1">
            <w:r w:rsidR="00737389">
              <w:rPr>
                <w:rStyle w:val="Hipervnculo"/>
                <w:rFonts w:ascii="Arial" w:hAnsi="Arial" w:cs="Arial"/>
                <w:noProof/>
                <w:sz w:val="24"/>
                <w:szCs w:val="24"/>
              </w:rPr>
              <w:t>SÉPTIMO</w:t>
            </w:r>
            <w:r w:rsidR="003B3330" w:rsidRPr="00EE4752">
              <w:rPr>
                <w:rStyle w:val="Hipervnculo"/>
                <w:rFonts w:ascii="Arial" w:hAnsi="Arial" w:cs="Arial"/>
                <w:noProof/>
                <w:sz w:val="24"/>
                <w:szCs w:val="24"/>
              </w:rPr>
              <w:t>. AUDIENCIA DE LEY</w:t>
            </w:r>
            <w:r w:rsidR="003B3330"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4</w:t>
          </w:r>
        </w:p>
        <w:p w14:paraId="0869AE80" w14:textId="0398841E" w:rsidR="003B3330" w:rsidRPr="00EE4752" w:rsidRDefault="006C2429" w:rsidP="003B3330">
          <w:pPr>
            <w:pStyle w:val="TDC2"/>
            <w:tabs>
              <w:tab w:val="left" w:pos="660"/>
              <w:tab w:val="right" w:leader="dot" w:pos="8828"/>
            </w:tabs>
            <w:spacing w:line="276" w:lineRule="auto"/>
            <w:ind w:left="0"/>
            <w:rPr>
              <w:rFonts w:ascii="Arial" w:hAnsi="Arial" w:cs="Arial"/>
              <w:noProof/>
              <w:sz w:val="24"/>
              <w:szCs w:val="24"/>
              <w:lang w:val="es-ES_tradnl" w:eastAsia="es-MX"/>
            </w:rPr>
          </w:pPr>
          <w:hyperlink w:anchor="_Toc57989559" w:history="1">
            <w:r w:rsidR="003B3330" w:rsidRPr="00EE4752">
              <w:rPr>
                <w:rStyle w:val="Hipervnculo"/>
                <w:rFonts w:ascii="Arial" w:hAnsi="Arial" w:cs="Arial"/>
                <w:noProof/>
                <w:sz w:val="24"/>
                <w:szCs w:val="24"/>
              </w:rPr>
              <w:t>2.</w:t>
            </w:r>
            <w:r w:rsidR="003B3330" w:rsidRPr="00EE4752">
              <w:rPr>
                <w:rFonts w:ascii="Arial" w:hAnsi="Arial" w:cs="Arial"/>
                <w:noProof/>
                <w:sz w:val="24"/>
                <w:szCs w:val="24"/>
                <w:lang w:val="es-ES_tradnl" w:eastAsia="es-MX"/>
              </w:rPr>
              <w:t xml:space="preserve"> CONSIDERANDO</w:t>
            </w:r>
            <w:r w:rsidR="003B3330"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5</w:t>
          </w:r>
        </w:p>
        <w:p w14:paraId="595813C7" w14:textId="685B31E2" w:rsidR="003B3330" w:rsidRPr="00EE4752" w:rsidRDefault="006C2429" w:rsidP="003B3330">
          <w:pPr>
            <w:pStyle w:val="TDC2"/>
            <w:tabs>
              <w:tab w:val="left" w:pos="660"/>
              <w:tab w:val="right" w:leader="dot" w:pos="8828"/>
            </w:tabs>
            <w:spacing w:line="276" w:lineRule="auto"/>
            <w:rPr>
              <w:rFonts w:ascii="Arial" w:hAnsi="Arial" w:cs="Arial"/>
              <w:noProof/>
              <w:sz w:val="24"/>
              <w:szCs w:val="24"/>
              <w:lang w:val="es-ES_tradnl" w:eastAsia="es-MX"/>
            </w:rPr>
          </w:pPr>
          <w:hyperlink w:anchor="_Toc57989560" w:history="1">
            <w:r w:rsidR="003B3330" w:rsidRPr="00EE4752">
              <w:rPr>
                <w:rStyle w:val="Hipervnculo"/>
                <w:rFonts w:ascii="Arial" w:hAnsi="Arial" w:cs="Arial"/>
                <w:noProof/>
                <w:sz w:val="24"/>
                <w:szCs w:val="24"/>
              </w:rPr>
              <w:t>PRIMERO. COMPETENCIA LEGAL</w:t>
            </w:r>
            <w:r w:rsidR="003B3330"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5</w:t>
          </w:r>
        </w:p>
        <w:p w14:paraId="22FBAABD" w14:textId="5C2DFCF4" w:rsidR="003B3330" w:rsidRPr="00EE4752" w:rsidRDefault="006C2429" w:rsidP="003B3330">
          <w:pPr>
            <w:pStyle w:val="TDC2"/>
            <w:tabs>
              <w:tab w:val="left" w:pos="660"/>
              <w:tab w:val="right" w:leader="dot" w:pos="8828"/>
            </w:tabs>
            <w:spacing w:line="276" w:lineRule="auto"/>
            <w:rPr>
              <w:rFonts w:ascii="Arial" w:hAnsi="Arial" w:cs="Arial"/>
              <w:noProof/>
              <w:sz w:val="24"/>
              <w:szCs w:val="24"/>
              <w:lang w:val="es-ES_tradnl" w:eastAsia="es-MX"/>
            </w:rPr>
          </w:pPr>
          <w:hyperlink w:anchor="_Toc57989561" w:history="1">
            <w:r w:rsidR="003B3330" w:rsidRPr="00EE4752">
              <w:rPr>
                <w:rStyle w:val="Hipervnculo"/>
                <w:rFonts w:ascii="Arial" w:hAnsi="Arial" w:cs="Arial"/>
                <w:noProof/>
                <w:sz w:val="24"/>
                <w:szCs w:val="24"/>
              </w:rPr>
              <w:t>SEGUNDO. PROCEDENCIA</w:t>
            </w:r>
            <w:r w:rsidR="003B3330"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5</w:t>
          </w:r>
        </w:p>
        <w:p w14:paraId="2BD1C84A" w14:textId="0054259B" w:rsidR="003B3330" w:rsidRPr="00EE4752" w:rsidRDefault="006C2429" w:rsidP="003B3330">
          <w:pPr>
            <w:pStyle w:val="TDC2"/>
            <w:tabs>
              <w:tab w:val="left" w:pos="660"/>
              <w:tab w:val="right" w:leader="dot" w:pos="8828"/>
            </w:tabs>
            <w:spacing w:line="276" w:lineRule="auto"/>
            <w:rPr>
              <w:rFonts w:ascii="Arial" w:hAnsi="Arial" w:cs="Arial"/>
              <w:noProof/>
              <w:sz w:val="24"/>
              <w:szCs w:val="24"/>
              <w:lang w:val="es-ES_tradnl" w:eastAsia="es-MX"/>
            </w:rPr>
          </w:pPr>
          <w:hyperlink w:anchor="_Toc57989562" w:history="1">
            <w:r w:rsidR="003B3330" w:rsidRPr="00EE4752">
              <w:rPr>
                <w:rStyle w:val="Hipervnculo"/>
                <w:rFonts w:ascii="Arial" w:hAnsi="Arial" w:cs="Arial"/>
                <w:noProof/>
                <w:sz w:val="24"/>
                <w:szCs w:val="24"/>
              </w:rPr>
              <w:t>TERCERO. OPORTUNIDAD</w:t>
            </w:r>
            <w:r w:rsidR="003B3330"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5</w:t>
          </w:r>
        </w:p>
        <w:p w14:paraId="29FD7821" w14:textId="763DF0FA" w:rsidR="003B3330" w:rsidRPr="00EE4752" w:rsidRDefault="006C2429" w:rsidP="003B3330">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3B3330" w:rsidRPr="00EE4752">
              <w:rPr>
                <w:rStyle w:val="Hipervnculo"/>
                <w:rFonts w:ascii="Arial" w:hAnsi="Arial" w:cs="Arial"/>
                <w:noProof/>
                <w:sz w:val="24"/>
                <w:szCs w:val="24"/>
              </w:rPr>
              <w:t>CUARTO. LEGITIMACIÓN Y PERSONALIDAD</w:t>
            </w:r>
            <w:r w:rsidR="003B3330"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7</w:t>
          </w:r>
        </w:p>
        <w:p w14:paraId="7BF65B22" w14:textId="2794D1A0" w:rsidR="003B3330" w:rsidRPr="00EE4752" w:rsidRDefault="006C2429" w:rsidP="003B3330">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3B3330" w:rsidRPr="00EE4752">
              <w:rPr>
                <w:rStyle w:val="Hipervnculo"/>
                <w:rFonts w:ascii="Arial" w:hAnsi="Arial" w:cs="Arial"/>
                <w:noProof/>
                <w:sz w:val="24"/>
                <w:szCs w:val="24"/>
              </w:rPr>
              <w:t>QUINTO. CERTEZA DEL ACTO IMPUGNADO</w:t>
            </w:r>
            <w:r w:rsidR="003B3330"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8</w:t>
          </w:r>
        </w:p>
        <w:p w14:paraId="35131CB1" w14:textId="77777777" w:rsidR="003B3330" w:rsidRPr="00EE4752" w:rsidRDefault="006C2429" w:rsidP="003B3330">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3B3330" w:rsidRPr="00EE4752">
              <w:rPr>
                <w:rStyle w:val="Hipervnculo"/>
                <w:rFonts w:ascii="Arial" w:hAnsi="Arial" w:cs="Arial"/>
                <w:noProof/>
                <w:sz w:val="24"/>
                <w:szCs w:val="24"/>
              </w:rPr>
              <w:t>SEXTO. CAUSALES DE IMPROCEDENCIA</w:t>
            </w:r>
            <w:r w:rsidR="003B3330" w:rsidRPr="00EE4752">
              <w:rPr>
                <w:rFonts w:ascii="Arial" w:hAnsi="Arial" w:cs="Arial"/>
                <w:noProof/>
                <w:webHidden/>
                <w:sz w:val="24"/>
                <w:szCs w:val="24"/>
                <w:lang w:val="es-ES_tradnl"/>
              </w:rPr>
              <w:tab/>
            </w:r>
          </w:hyperlink>
          <w:r w:rsidR="003B3330">
            <w:rPr>
              <w:rFonts w:ascii="Arial" w:hAnsi="Arial" w:cs="Arial"/>
              <w:noProof/>
              <w:sz w:val="24"/>
              <w:szCs w:val="24"/>
              <w:lang w:val="es-ES_tradnl"/>
            </w:rPr>
            <w:t>8</w:t>
          </w:r>
        </w:p>
        <w:p w14:paraId="39407729" w14:textId="77777777" w:rsidR="003B3330" w:rsidRPr="00EE4752" w:rsidRDefault="006C2429" w:rsidP="003B3330">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3B3330" w:rsidRPr="00EE4752">
              <w:rPr>
                <w:rStyle w:val="Hipervnculo"/>
                <w:rFonts w:ascii="Arial" w:hAnsi="Arial" w:cs="Arial"/>
                <w:noProof/>
                <w:sz w:val="24"/>
                <w:szCs w:val="24"/>
              </w:rPr>
              <w:t>SÉPTIMO. FIJACIÓN DE LA LITIS</w:t>
            </w:r>
            <w:r w:rsidR="003B3330" w:rsidRPr="00EE4752">
              <w:rPr>
                <w:rFonts w:ascii="Arial" w:hAnsi="Arial" w:cs="Arial"/>
                <w:noProof/>
                <w:webHidden/>
                <w:sz w:val="24"/>
                <w:szCs w:val="24"/>
                <w:lang w:val="es-ES_tradnl"/>
              </w:rPr>
              <w:tab/>
            </w:r>
          </w:hyperlink>
          <w:r w:rsidR="003B3330">
            <w:rPr>
              <w:rFonts w:ascii="Arial" w:hAnsi="Arial" w:cs="Arial"/>
              <w:noProof/>
              <w:sz w:val="24"/>
              <w:szCs w:val="24"/>
              <w:lang w:val="es-ES_tradnl"/>
            </w:rPr>
            <w:t>9</w:t>
          </w:r>
        </w:p>
        <w:p w14:paraId="792836F5" w14:textId="3A392ED8" w:rsidR="003B3330" w:rsidRPr="00EE4752" w:rsidRDefault="006C2429" w:rsidP="003B3330">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3B3330" w:rsidRPr="00EE4752">
              <w:rPr>
                <w:rStyle w:val="Hipervnculo"/>
                <w:rFonts w:ascii="Arial" w:hAnsi="Arial" w:cs="Arial"/>
                <w:noProof/>
                <w:sz w:val="24"/>
                <w:szCs w:val="24"/>
              </w:rPr>
              <w:t>OCTAVO. TRANSCRIPCIÓN INNECESARIA</w:t>
            </w:r>
            <w:r w:rsidR="003B3330"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10</w:t>
          </w:r>
        </w:p>
        <w:p w14:paraId="16D157C2" w14:textId="3F80F75B" w:rsidR="003B3330" w:rsidRPr="00EE4752" w:rsidRDefault="006C2429" w:rsidP="003B3330">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3B3330" w:rsidRPr="00EE4752">
              <w:rPr>
                <w:rStyle w:val="Hipervnculo"/>
                <w:rFonts w:ascii="Arial" w:hAnsi="Arial" w:cs="Arial"/>
                <w:noProof/>
                <w:sz w:val="24"/>
                <w:szCs w:val="24"/>
              </w:rPr>
              <w:t>NOVENO.</w:t>
            </w:r>
            <w:r w:rsidR="003B3330">
              <w:rPr>
                <w:rStyle w:val="Hipervnculo"/>
                <w:rFonts w:ascii="Arial" w:hAnsi="Arial" w:cs="Arial"/>
                <w:noProof/>
                <w:sz w:val="24"/>
                <w:szCs w:val="24"/>
              </w:rPr>
              <w:t xml:space="preserve"> </w:t>
            </w:r>
            <w:r w:rsidR="003B3330" w:rsidRPr="00EE4752">
              <w:rPr>
                <w:rStyle w:val="Hipervnculo"/>
                <w:rFonts w:ascii="Arial" w:hAnsi="Arial" w:cs="Arial"/>
                <w:noProof/>
                <w:sz w:val="24"/>
                <w:szCs w:val="24"/>
              </w:rPr>
              <w:t>ESTUDIO</w:t>
            </w:r>
            <w:r w:rsidR="003B3330"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11</w:t>
          </w:r>
        </w:p>
        <w:p w14:paraId="78205F9A" w14:textId="04611EA1" w:rsidR="003B3330" w:rsidRPr="00EE4752" w:rsidRDefault="003B3330" w:rsidP="003B3330">
          <w:pPr>
            <w:pStyle w:val="TDC2"/>
            <w:tabs>
              <w:tab w:val="left" w:pos="660"/>
              <w:tab w:val="right" w:leader="dot" w:pos="8828"/>
            </w:tabs>
            <w:spacing w:line="276" w:lineRule="auto"/>
            <w:ind w:left="940"/>
            <w:rPr>
              <w:rFonts w:ascii="Arial" w:hAnsi="Arial" w:cs="Arial"/>
              <w:noProof/>
              <w:sz w:val="24"/>
              <w:szCs w:val="24"/>
              <w:lang w:val="es-ES_tradnl"/>
            </w:rPr>
          </w:pPr>
          <w:r w:rsidRPr="00EE4752">
            <w:rPr>
              <w:rFonts w:ascii="Arial" w:hAnsi="Arial" w:cs="Arial"/>
              <w:sz w:val="24"/>
              <w:szCs w:val="24"/>
            </w:rPr>
            <w:t xml:space="preserve">I. </w:t>
          </w:r>
          <w:hyperlink w:anchor="_Toc57989557" w:history="1">
            <w:r w:rsidRPr="00EE4752">
              <w:rPr>
                <w:rStyle w:val="Hipervnculo"/>
                <w:rFonts w:ascii="Arial" w:hAnsi="Arial" w:cs="Arial"/>
                <w:noProof/>
                <w:sz w:val="24"/>
                <w:szCs w:val="24"/>
              </w:rPr>
              <w:t>FORMA DE ESTUDIO DE LOS CONCEPTOS DE IMPUGNACIÓN</w:t>
            </w:r>
            <w:r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11</w:t>
          </w:r>
        </w:p>
        <w:p w14:paraId="0D0084A5" w14:textId="3FC46F54" w:rsidR="003B3330" w:rsidRPr="00EE4752" w:rsidRDefault="003B3330" w:rsidP="003B3330">
          <w:pPr>
            <w:pStyle w:val="TDC2"/>
            <w:tabs>
              <w:tab w:val="left" w:pos="660"/>
              <w:tab w:val="right" w:leader="dot" w:pos="8828"/>
            </w:tabs>
            <w:spacing w:line="276" w:lineRule="auto"/>
            <w:ind w:left="940"/>
            <w:rPr>
              <w:rFonts w:ascii="Arial" w:hAnsi="Arial" w:cs="Arial"/>
              <w:noProof/>
              <w:sz w:val="24"/>
              <w:szCs w:val="24"/>
              <w:lang w:val="es-ES_tradnl"/>
            </w:rPr>
          </w:pPr>
          <w:r w:rsidRPr="00EE4752">
            <w:rPr>
              <w:rFonts w:ascii="Arial" w:hAnsi="Arial" w:cs="Arial"/>
              <w:sz w:val="24"/>
              <w:szCs w:val="24"/>
            </w:rPr>
            <w:t xml:space="preserve">II. </w:t>
          </w:r>
          <w:hyperlink w:anchor="_Toc57989557" w:history="1">
            <w:r w:rsidRPr="00EE4752">
              <w:rPr>
                <w:rStyle w:val="Hipervnculo"/>
                <w:rFonts w:ascii="Arial" w:hAnsi="Arial" w:cs="Arial"/>
                <w:noProof/>
                <w:sz w:val="24"/>
                <w:szCs w:val="24"/>
              </w:rPr>
              <w:t>ESTRICTO DERECHO</w:t>
            </w:r>
            <w:r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12</w:t>
          </w:r>
        </w:p>
        <w:p w14:paraId="67ED5E6B" w14:textId="77777777" w:rsidR="003B3330" w:rsidRDefault="003B3330" w:rsidP="003B3330">
          <w:pPr>
            <w:pStyle w:val="TDC2"/>
            <w:tabs>
              <w:tab w:val="left" w:pos="660"/>
              <w:tab w:val="right" w:leader="dot" w:pos="8828"/>
            </w:tabs>
            <w:spacing w:line="276" w:lineRule="auto"/>
            <w:ind w:left="940"/>
            <w:rPr>
              <w:rFonts w:ascii="Arial" w:hAnsi="Arial" w:cs="Arial"/>
              <w:noProof/>
              <w:sz w:val="24"/>
              <w:szCs w:val="24"/>
              <w:lang w:val="es-ES_tradnl"/>
            </w:rPr>
          </w:pPr>
          <w:r w:rsidRPr="00EE4752">
            <w:rPr>
              <w:rFonts w:ascii="Arial" w:hAnsi="Arial" w:cs="Arial"/>
              <w:sz w:val="24"/>
              <w:szCs w:val="24"/>
            </w:rPr>
            <w:t xml:space="preserve">III. </w:t>
          </w:r>
          <w:hyperlink w:anchor="_Toc57989557" w:history="1">
            <w:r w:rsidRPr="00EE4752">
              <w:rPr>
                <w:rStyle w:val="Hipervnculo"/>
                <w:rFonts w:ascii="Arial" w:hAnsi="Arial" w:cs="Arial"/>
                <w:noProof/>
                <w:sz w:val="24"/>
                <w:szCs w:val="24"/>
              </w:rPr>
              <w:t>DECISIÓN</w:t>
            </w:r>
            <w:r w:rsidRPr="00EE4752">
              <w:rPr>
                <w:rFonts w:ascii="Arial" w:hAnsi="Arial" w:cs="Arial"/>
                <w:noProof/>
                <w:webHidden/>
                <w:sz w:val="24"/>
                <w:szCs w:val="24"/>
                <w:lang w:val="es-ES_tradnl"/>
              </w:rPr>
              <w:tab/>
            </w:r>
          </w:hyperlink>
          <w:r>
            <w:rPr>
              <w:rFonts w:ascii="Arial" w:hAnsi="Arial" w:cs="Arial"/>
              <w:noProof/>
              <w:sz w:val="24"/>
              <w:szCs w:val="24"/>
              <w:lang w:val="es-ES_tradnl"/>
            </w:rPr>
            <w:t>38</w:t>
          </w:r>
        </w:p>
        <w:p w14:paraId="184C1CB8" w14:textId="64AADF7B" w:rsidR="003B3330" w:rsidRPr="00EE4752" w:rsidRDefault="006C2429" w:rsidP="003B3330">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3B3330">
              <w:rPr>
                <w:rStyle w:val="Hipervnculo"/>
                <w:rFonts w:ascii="Arial" w:hAnsi="Arial" w:cs="Arial"/>
                <w:noProof/>
                <w:sz w:val="24"/>
                <w:szCs w:val="24"/>
              </w:rPr>
              <w:t>DÉCIMO</w:t>
            </w:r>
            <w:r w:rsidR="003B3330" w:rsidRPr="00EE4752">
              <w:rPr>
                <w:rStyle w:val="Hipervnculo"/>
                <w:rFonts w:ascii="Arial" w:hAnsi="Arial" w:cs="Arial"/>
                <w:noProof/>
                <w:sz w:val="24"/>
                <w:szCs w:val="24"/>
              </w:rPr>
              <w:t>.</w:t>
            </w:r>
            <w:r w:rsidR="003B3330">
              <w:rPr>
                <w:rStyle w:val="Hipervnculo"/>
                <w:rFonts w:ascii="Arial" w:hAnsi="Arial" w:cs="Arial"/>
                <w:noProof/>
                <w:sz w:val="24"/>
                <w:szCs w:val="24"/>
              </w:rPr>
              <w:t xml:space="preserve"> NOTIFICACIÓN</w:t>
            </w:r>
            <w:r w:rsidR="003B3330" w:rsidRPr="00EE4752">
              <w:rPr>
                <w:rFonts w:ascii="Arial" w:hAnsi="Arial" w:cs="Arial"/>
                <w:noProof/>
                <w:webHidden/>
                <w:sz w:val="24"/>
                <w:szCs w:val="24"/>
                <w:lang w:val="es-ES_tradnl"/>
              </w:rPr>
              <w:tab/>
            </w:r>
          </w:hyperlink>
          <w:r w:rsidR="00737389">
            <w:rPr>
              <w:rFonts w:ascii="Arial" w:hAnsi="Arial" w:cs="Arial"/>
              <w:noProof/>
              <w:sz w:val="24"/>
              <w:szCs w:val="24"/>
              <w:lang w:val="es-ES_tradnl"/>
            </w:rPr>
            <w:t>39</w:t>
          </w:r>
        </w:p>
        <w:p w14:paraId="3AF67D42" w14:textId="77777777" w:rsidR="003B3330" w:rsidRPr="00FA6255" w:rsidRDefault="003B3330" w:rsidP="003B3330">
          <w:pPr>
            <w:pStyle w:val="TDC2"/>
            <w:tabs>
              <w:tab w:val="left" w:pos="660"/>
              <w:tab w:val="right" w:leader="dot" w:pos="8828"/>
            </w:tabs>
            <w:spacing w:line="276" w:lineRule="auto"/>
            <w:rPr>
              <w:rFonts w:ascii="Arial" w:hAnsi="Arial" w:cs="Arial"/>
              <w:noProof/>
              <w:sz w:val="24"/>
              <w:szCs w:val="24"/>
              <w:lang w:val="es-ES_tradnl"/>
            </w:rPr>
          </w:pPr>
          <w:r w:rsidRPr="00EE4752">
            <w:rPr>
              <w:rFonts w:ascii="Arial" w:hAnsi="Arial" w:cs="Arial"/>
              <w:bCs/>
              <w:sz w:val="24"/>
              <w:szCs w:val="24"/>
              <w:lang w:val="es-ES_tradnl"/>
            </w:rPr>
            <w:fldChar w:fldCharType="end"/>
          </w:r>
          <w:r w:rsidRPr="00EE4752">
            <w:rPr>
              <w:rFonts w:ascii="Arial" w:hAnsi="Arial" w:cs="Arial"/>
              <w:sz w:val="24"/>
              <w:szCs w:val="24"/>
            </w:rPr>
            <w:t>3. RESUELVE</w:t>
          </w:r>
          <w:hyperlink w:anchor="_Toc57989557" w:history="1">
            <w:r w:rsidRPr="00EE4752">
              <w:rPr>
                <w:rFonts w:ascii="Arial" w:hAnsi="Arial" w:cs="Arial"/>
                <w:noProof/>
                <w:webHidden/>
                <w:sz w:val="24"/>
                <w:szCs w:val="24"/>
                <w:lang w:val="es-ES_tradnl"/>
              </w:rPr>
              <w:tab/>
            </w:r>
          </w:hyperlink>
          <w:r>
            <w:rPr>
              <w:rFonts w:ascii="Arial" w:hAnsi="Arial" w:cs="Arial"/>
              <w:noProof/>
              <w:sz w:val="24"/>
              <w:szCs w:val="24"/>
              <w:lang w:val="es-ES_tradnl"/>
            </w:rPr>
            <w:t>40</w:t>
          </w:r>
        </w:p>
      </w:sdtContent>
    </w:sdt>
    <w:p w14:paraId="1D303295" w14:textId="77777777" w:rsidR="003B3330" w:rsidRPr="00FA6255" w:rsidRDefault="003B3330" w:rsidP="003B3330">
      <w:pPr>
        <w:tabs>
          <w:tab w:val="center" w:pos="4418"/>
          <w:tab w:val="left" w:pos="6330"/>
        </w:tabs>
        <w:spacing w:line="360" w:lineRule="auto"/>
        <w:jc w:val="center"/>
        <w:rPr>
          <w:rFonts w:ascii="Arial" w:hAnsi="Arial" w:cs="Arial"/>
          <w:b/>
          <w:sz w:val="8"/>
          <w:szCs w:val="24"/>
        </w:rPr>
      </w:pPr>
    </w:p>
    <w:p w14:paraId="5D113D4B" w14:textId="77777777" w:rsidR="003B3330" w:rsidRPr="00EE4752" w:rsidRDefault="003B3330" w:rsidP="003B3330">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3B3330" w:rsidRPr="00EE4752" w14:paraId="3F862B56" w14:textId="77777777" w:rsidTr="003B3330">
        <w:tc>
          <w:tcPr>
            <w:tcW w:w="3256" w:type="dxa"/>
          </w:tcPr>
          <w:p w14:paraId="796944CD" w14:textId="77777777" w:rsidR="003B3330" w:rsidRPr="00EE4752" w:rsidRDefault="003B3330" w:rsidP="003B3330">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Federal:</w:t>
            </w:r>
          </w:p>
        </w:tc>
        <w:tc>
          <w:tcPr>
            <w:tcW w:w="5571" w:type="dxa"/>
          </w:tcPr>
          <w:p w14:paraId="56817584" w14:textId="03EED86A" w:rsidR="003B3330" w:rsidRPr="004E4FDB" w:rsidRDefault="00F17D36" w:rsidP="003B3330">
            <w:pPr>
              <w:tabs>
                <w:tab w:val="center" w:pos="4418"/>
                <w:tab w:val="left" w:pos="6330"/>
              </w:tabs>
              <w:jc w:val="both"/>
              <w:rPr>
                <w:rFonts w:ascii="Arial" w:hAnsi="Arial" w:cs="Arial"/>
                <w:sz w:val="24"/>
                <w:szCs w:val="24"/>
              </w:rPr>
            </w:pPr>
            <w:r w:rsidRPr="004E4FDB">
              <w:rPr>
                <w:rFonts w:ascii="Arial" w:hAnsi="Arial" w:cs="Arial"/>
                <w:sz w:val="24"/>
                <w:szCs w:val="24"/>
              </w:rPr>
              <w:t>Constitución Federal</w:t>
            </w:r>
            <w:r w:rsidR="003B3330" w:rsidRPr="004E4FDB">
              <w:rPr>
                <w:rFonts w:ascii="Arial" w:hAnsi="Arial" w:cs="Arial"/>
                <w:sz w:val="24"/>
                <w:szCs w:val="24"/>
              </w:rPr>
              <w:t>.</w:t>
            </w:r>
          </w:p>
        </w:tc>
      </w:tr>
      <w:tr w:rsidR="003B3330" w:rsidRPr="00EE4752" w14:paraId="084738AF" w14:textId="77777777" w:rsidTr="003B3330">
        <w:tc>
          <w:tcPr>
            <w:tcW w:w="3256" w:type="dxa"/>
          </w:tcPr>
          <w:p w14:paraId="193948AD" w14:textId="77777777" w:rsidR="003B3330" w:rsidRPr="00EE4752" w:rsidRDefault="003B3330" w:rsidP="003B3330">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45A5E4CC" w14:textId="63DB2EA2" w:rsidR="003B3330" w:rsidRPr="004E4FDB" w:rsidRDefault="00F17D36" w:rsidP="003B3330">
            <w:pPr>
              <w:tabs>
                <w:tab w:val="center" w:pos="4418"/>
                <w:tab w:val="left" w:pos="6330"/>
              </w:tabs>
              <w:jc w:val="both"/>
              <w:rPr>
                <w:rFonts w:ascii="Arial" w:hAnsi="Arial" w:cs="Arial"/>
                <w:sz w:val="24"/>
                <w:szCs w:val="24"/>
              </w:rPr>
            </w:pPr>
            <w:r w:rsidRPr="004E4FDB">
              <w:rPr>
                <w:rFonts w:ascii="Arial" w:hAnsi="Arial" w:cs="Arial"/>
                <w:sz w:val="24"/>
                <w:szCs w:val="24"/>
              </w:rPr>
              <w:t>Constitución Local</w:t>
            </w:r>
            <w:r w:rsidR="003B3330" w:rsidRPr="004E4FDB">
              <w:rPr>
                <w:rFonts w:ascii="Arial" w:hAnsi="Arial" w:cs="Arial"/>
                <w:sz w:val="24"/>
                <w:szCs w:val="24"/>
              </w:rPr>
              <w:t>.</w:t>
            </w:r>
          </w:p>
        </w:tc>
      </w:tr>
      <w:tr w:rsidR="003B3330" w:rsidRPr="00EE4752" w14:paraId="02E5EFAF" w14:textId="77777777" w:rsidTr="003B3330">
        <w:tc>
          <w:tcPr>
            <w:tcW w:w="3256" w:type="dxa"/>
          </w:tcPr>
          <w:p w14:paraId="2F564B7F" w14:textId="77777777" w:rsidR="003B3330" w:rsidRPr="00992690" w:rsidRDefault="003B3330" w:rsidP="003B3330">
            <w:pPr>
              <w:tabs>
                <w:tab w:val="center" w:pos="4418"/>
                <w:tab w:val="left" w:pos="6330"/>
              </w:tabs>
              <w:jc w:val="center"/>
              <w:rPr>
                <w:rFonts w:ascii="Arial" w:hAnsi="Arial" w:cs="Arial"/>
                <w:b/>
                <w:i/>
                <w:sz w:val="24"/>
                <w:szCs w:val="24"/>
              </w:rPr>
            </w:pPr>
            <w:r>
              <w:rPr>
                <w:rFonts w:ascii="Arial" w:hAnsi="Arial" w:cs="Arial"/>
                <w:b/>
                <w:i/>
                <w:sz w:val="24"/>
                <w:szCs w:val="24"/>
              </w:rPr>
              <w:t>Código Procesal:</w:t>
            </w:r>
          </w:p>
        </w:tc>
        <w:tc>
          <w:tcPr>
            <w:tcW w:w="5571" w:type="dxa"/>
          </w:tcPr>
          <w:p w14:paraId="1C9B0A46" w14:textId="77777777" w:rsidR="003B3330" w:rsidRPr="004E4FDB" w:rsidRDefault="003B3330" w:rsidP="003B3330">
            <w:pPr>
              <w:tabs>
                <w:tab w:val="center" w:pos="4418"/>
                <w:tab w:val="left" w:pos="6330"/>
              </w:tabs>
              <w:jc w:val="both"/>
              <w:rPr>
                <w:rFonts w:ascii="Arial" w:hAnsi="Arial" w:cs="Arial"/>
                <w:sz w:val="24"/>
                <w:szCs w:val="24"/>
              </w:rPr>
            </w:pPr>
            <w:r w:rsidRPr="004E4FDB">
              <w:rPr>
                <w:rFonts w:ascii="Arial" w:hAnsi="Arial" w:cs="Arial"/>
                <w:sz w:val="24"/>
                <w:szCs w:val="24"/>
              </w:rPr>
              <w:t>Código de Procedimientos Civiles para el Estado de Oaxaca</w:t>
            </w:r>
          </w:p>
        </w:tc>
      </w:tr>
      <w:tr w:rsidR="003B3330" w:rsidRPr="00EE4752" w14:paraId="191FFF00" w14:textId="77777777" w:rsidTr="003B3330">
        <w:tc>
          <w:tcPr>
            <w:tcW w:w="3256" w:type="dxa"/>
          </w:tcPr>
          <w:p w14:paraId="4A28AE4B" w14:textId="77777777" w:rsidR="003B3330" w:rsidRPr="00992690" w:rsidRDefault="003B3330" w:rsidP="003B3330">
            <w:pPr>
              <w:tabs>
                <w:tab w:val="center" w:pos="4418"/>
                <w:tab w:val="left" w:pos="6330"/>
              </w:tabs>
              <w:jc w:val="center"/>
              <w:rPr>
                <w:rFonts w:ascii="Arial" w:hAnsi="Arial" w:cs="Arial"/>
                <w:b/>
                <w:i/>
                <w:sz w:val="24"/>
                <w:szCs w:val="24"/>
              </w:rPr>
            </w:pPr>
            <w:r>
              <w:rPr>
                <w:rFonts w:ascii="Arial" w:hAnsi="Arial" w:cs="Arial"/>
                <w:b/>
                <w:i/>
                <w:sz w:val="24"/>
                <w:szCs w:val="24"/>
              </w:rPr>
              <w:t>Código Administrativo:</w:t>
            </w:r>
          </w:p>
        </w:tc>
        <w:tc>
          <w:tcPr>
            <w:tcW w:w="5571" w:type="dxa"/>
          </w:tcPr>
          <w:p w14:paraId="15B3430D" w14:textId="0EC04871" w:rsidR="003B3330" w:rsidRPr="004E4FDB" w:rsidRDefault="004E4FDB" w:rsidP="003B3330">
            <w:pPr>
              <w:tabs>
                <w:tab w:val="center" w:pos="4418"/>
                <w:tab w:val="left" w:pos="6330"/>
              </w:tabs>
              <w:jc w:val="both"/>
              <w:rPr>
                <w:rFonts w:ascii="Arial" w:hAnsi="Arial" w:cs="Arial"/>
                <w:sz w:val="24"/>
                <w:szCs w:val="24"/>
              </w:rPr>
            </w:pPr>
            <w:r w:rsidRPr="004E4FDB">
              <w:rPr>
                <w:rFonts w:ascii="Arial" w:hAnsi="Arial" w:cs="Arial"/>
                <w:sz w:val="24"/>
                <w:szCs w:val="24"/>
              </w:rPr>
              <w:t>Código de Procedimientos Administrativos para la Auditoría Superior del Estado de Oaxaca</w:t>
            </w:r>
          </w:p>
        </w:tc>
      </w:tr>
      <w:tr w:rsidR="003B3330" w:rsidRPr="00EE4752" w14:paraId="35CD8A8A" w14:textId="77777777" w:rsidTr="003B3330">
        <w:tc>
          <w:tcPr>
            <w:tcW w:w="3256" w:type="dxa"/>
          </w:tcPr>
          <w:p w14:paraId="7B865C18" w14:textId="77777777" w:rsidR="003B3330" w:rsidRPr="00EE4752" w:rsidRDefault="003B3330" w:rsidP="003B3330">
            <w:pPr>
              <w:tabs>
                <w:tab w:val="center" w:pos="4418"/>
                <w:tab w:val="left" w:pos="6330"/>
              </w:tabs>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6C87EE4A" w14:textId="42125F96" w:rsidR="003B3330" w:rsidRPr="004E4FDB" w:rsidRDefault="00F17D36" w:rsidP="003B3330">
            <w:pPr>
              <w:tabs>
                <w:tab w:val="center" w:pos="4418"/>
                <w:tab w:val="left" w:pos="6330"/>
              </w:tabs>
              <w:jc w:val="both"/>
              <w:rPr>
                <w:rFonts w:ascii="Arial" w:hAnsi="Arial" w:cs="Arial"/>
                <w:sz w:val="24"/>
                <w:szCs w:val="24"/>
              </w:rPr>
            </w:pPr>
            <w:r w:rsidRPr="004E4FDB">
              <w:rPr>
                <w:rFonts w:ascii="Arial" w:hAnsi="Arial" w:cs="Arial"/>
                <w:sz w:val="24"/>
                <w:szCs w:val="24"/>
              </w:rPr>
              <w:t>Ley de Procedimiento</w:t>
            </w:r>
            <w:r w:rsidR="004E4FDB" w:rsidRPr="004E4FDB">
              <w:rPr>
                <w:rFonts w:ascii="Arial" w:hAnsi="Arial" w:cs="Arial"/>
                <w:sz w:val="24"/>
                <w:szCs w:val="24"/>
              </w:rPr>
              <w:t xml:space="preserve"> y Justicia Administrativa para el Estado de Oaxaca.</w:t>
            </w:r>
          </w:p>
        </w:tc>
      </w:tr>
      <w:tr w:rsidR="003B3330" w:rsidRPr="00EE4752" w14:paraId="48AFF007" w14:textId="77777777" w:rsidTr="003B3330">
        <w:tc>
          <w:tcPr>
            <w:tcW w:w="3256" w:type="dxa"/>
          </w:tcPr>
          <w:p w14:paraId="29489B23" w14:textId="24A0E311" w:rsidR="003B3330" w:rsidRPr="00EE4752" w:rsidRDefault="003B3330" w:rsidP="003B3330">
            <w:pPr>
              <w:tabs>
                <w:tab w:val="center" w:pos="4418"/>
                <w:tab w:val="left" w:pos="6330"/>
              </w:tabs>
              <w:jc w:val="center"/>
              <w:rPr>
                <w:rFonts w:ascii="Arial" w:hAnsi="Arial" w:cs="Arial"/>
                <w:b/>
                <w:i/>
                <w:sz w:val="24"/>
                <w:szCs w:val="24"/>
              </w:rPr>
            </w:pPr>
            <w:r w:rsidRPr="00EE4752">
              <w:rPr>
                <w:rFonts w:ascii="Arial" w:hAnsi="Arial" w:cs="Arial"/>
                <w:b/>
                <w:i/>
                <w:sz w:val="24"/>
                <w:szCs w:val="24"/>
              </w:rPr>
              <w:t xml:space="preserve">Ley de </w:t>
            </w:r>
            <w:r w:rsidR="00E17401">
              <w:rPr>
                <w:rFonts w:ascii="Arial" w:hAnsi="Arial" w:cs="Arial"/>
                <w:b/>
                <w:i/>
                <w:sz w:val="24"/>
                <w:szCs w:val="24"/>
              </w:rPr>
              <w:t>Fiscalización 2013</w:t>
            </w:r>
            <w:r>
              <w:rPr>
                <w:rFonts w:ascii="Arial" w:hAnsi="Arial" w:cs="Arial"/>
                <w:b/>
                <w:i/>
                <w:sz w:val="24"/>
                <w:szCs w:val="24"/>
              </w:rPr>
              <w:t>:</w:t>
            </w:r>
          </w:p>
        </w:tc>
        <w:tc>
          <w:tcPr>
            <w:tcW w:w="5571" w:type="dxa"/>
          </w:tcPr>
          <w:p w14:paraId="617460BC" w14:textId="2F631F67" w:rsidR="003B3330" w:rsidRPr="004E4FDB" w:rsidRDefault="00F17D36" w:rsidP="003B106F">
            <w:pPr>
              <w:tabs>
                <w:tab w:val="center" w:pos="4418"/>
                <w:tab w:val="left" w:pos="6330"/>
              </w:tabs>
              <w:jc w:val="both"/>
              <w:rPr>
                <w:rFonts w:ascii="Arial" w:hAnsi="Arial" w:cs="Arial"/>
                <w:b/>
                <w:sz w:val="24"/>
                <w:szCs w:val="24"/>
              </w:rPr>
            </w:pPr>
            <w:r w:rsidRPr="004E4FDB">
              <w:rPr>
                <w:rFonts w:ascii="Arial" w:hAnsi="Arial" w:cs="Arial"/>
                <w:sz w:val="24"/>
                <w:szCs w:val="24"/>
              </w:rPr>
              <w:t xml:space="preserve">Ley de Fiscalización </w:t>
            </w:r>
            <w:r w:rsidR="003B106F" w:rsidRPr="004E4FDB">
              <w:rPr>
                <w:rFonts w:ascii="Arial" w:hAnsi="Arial" w:cs="Arial"/>
                <w:sz w:val="24"/>
                <w:szCs w:val="24"/>
              </w:rPr>
              <w:t>Superior para el Estado de Oaxaca</w:t>
            </w:r>
            <w:r w:rsidR="003B3330" w:rsidRPr="004E4FDB">
              <w:rPr>
                <w:rFonts w:ascii="Arial" w:hAnsi="Arial" w:cs="Arial"/>
                <w:sz w:val="24"/>
                <w:szCs w:val="24"/>
              </w:rPr>
              <w:t xml:space="preserve"> (vigente del 31 de agosto de 2013 al 21 de septiembre de 2017).</w:t>
            </w:r>
          </w:p>
        </w:tc>
      </w:tr>
      <w:tr w:rsidR="003B3330" w:rsidRPr="00EE4752" w14:paraId="4BD4F257" w14:textId="77777777" w:rsidTr="003B3330">
        <w:tc>
          <w:tcPr>
            <w:tcW w:w="3256" w:type="dxa"/>
          </w:tcPr>
          <w:p w14:paraId="0DDCE1E5" w14:textId="3F42F2F3" w:rsidR="003B3330" w:rsidRPr="00EE4752" w:rsidRDefault="00E17401" w:rsidP="003B3330">
            <w:pPr>
              <w:tabs>
                <w:tab w:val="center" w:pos="4418"/>
                <w:tab w:val="left" w:pos="6330"/>
              </w:tabs>
              <w:jc w:val="center"/>
              <w:rPr>
                <w:rFonts w:ascii="Arial" w:hAnsi="Arial" w:cs="Arial"/>
                <w:b/>
                <w:i/>
                <w:sz w:val="24"/>
                <w:szCs w:val="24"/>
              </w:rPr>
            </w:pPr>
            <w:r>
              <w:rPr>
                <w:rFonts w:ascii="Arial" w:hAnsi="Arial" w:cs="Arial"/>
                <w:b/>
                <w:i/>
                <w:sz w:val="24"/>
                <w:szCs w:val="24"/>
              </w:rPr>
              <w:t>Ley de Fiscalización 2008</w:t>
            </w:r>
            <w:r w:rsidR="003B3330">
              <w:rPr>
                <w:rFonts w:ascii="Arial" w:hAnsi="Arial" w:cs="Arial"/>
                <w:b/>
                <w:i/>
                <w:sz w:val="24"/>
                <w:szCs w:val="24"/>
              </w:rPr>
              <w:t>:</w:t>
            </w:r>
          </w:p>
        </w:tc>
        <w:tc>
          <w:tcPr>
            <w:tcW w:w="5571" w:type="dxa"/>
          </w:tcPr>
          <w:p w14:paraId="6DD2D226" w14:textId="06998437" w:rsidR="003B3330" w:rsidRPr="004E4FDB" w:rsidRDefault="003B106F" w:rsidP="003B3330">
            <w:pPr>
              <w:tabs>
                <w:tab w:val="center" w:pos="4418"/>
                <w:tab w:val="left" w:pos="6330"/>
              </w:tabs>
              <w:jc w:val="both"/>
              <w:rPr>
                <w:rFonts w:ascii="Arial" w:hAnsi="Arial" w:cs="Arial"/>
                <w:sz w:val="24"/>
                <w:szCs w:val="24"/>
              </w:rPr>
            </w:pPr>
            <w:r w:rsidRPr="004E4FDB">
              <w:rPr>
                <w:rFonts w:ascii="Arial" w:hAnsi="Arial" w:cs="Arial"/>
                <w:sz w:val="24"/>
                <w:szCs w:val="24"/>
              </w:rPr>
              <w:t>Ley de Fiscalización Superior del Estado de Oaxaca</w:t>
            </w:r>
            <w:r w:rsidR="003B3330" w:rsidRPr="004E4FDB">
              <w:rPr>
                <w:rFonts w:ascii="Arial" w:hAnsi="Arial" w:cs="Arial"/>
                <w:sz w:val="24"/>
                <w:szCs w:val="24"/>
              </w:rPr>
              <w:t xml:space="preserve"> (vigente del 23 de abril de 2008 al 30 de agosto de 2013).</w:t>
            </w:r>
          </w:p>
        </w:tc>
      </w:tr>
      <w:tr w:rsidR="003B3330" w:rsidRPr="00EE4752" w14:paraId="339A6D0D" w14:textId="77777777" w:rsidTr="003B3330">
        <w:tc>
          <w:tcPr>
            <w:tcW w:w="3256" w:type="dxa"/>
          </w:tcPr>
          <w:p w14:paraId="20980D51" w14:textId="77777777" w:rsidR="003B3330" w:rsidRPr="00EE4752" w:rsidRDefault="003B3330" w:rsidP="003B3330">
            <w:pPr>
              <w:tabs>
                <w:tab w:val="center" w:pos="4418"/>
                <w:tab w:val="left" w:pos="6330"/>
              </w:tabs>
              <w:jc w:val="center"/>
              <w:rPr>
                <w:rFonts w:ascii="Arial" w:hAnsi="Arial" w:cs="Arial"/>
                <w:b/>
                <w:i/>
                <w:sz w:val="24"/>
                <w:szCs w:val="24"/>
              </w:rPr>
            </w:pPr>
            <w:r>
              <w:rPr>
                <w:rFonts w:ascii="Arial" w:hAnsi="Arial" w:cs="Arial"/>
                <w:b/>
                <w:i/>
                <w:sz w:val="24"/>
                <w:szCs w:val="24"/>
              </w:rPr>
              <w:t>Ley Orgánica:</w:t>
            </w:r>
          </w:p>
        </w:tc>
        <w:tc>
          <w:tcPr>
            <w:tcW w:w="5571" w:type="dxa"/>
          </w:tcPr>
          <w:p w14:paraId="0443AEED" w14:textId="77777777" w:rsidR="003B3330" w:rsidRPr="004E4FDB" w:rsidRDefault="003B3330" w:rsidP="003B3330">
            <w:pPr>
              <w:tabs>
                <w:tab w:val="center" w:pos="4418"/>
                <w:tab w:val="left" w:pos="6330"/>
              </w:tabs>
              <w:jc w:val="both"/>
              <w:rPr>
                <w:rFonts w:ascii="Arial" w:hAnsi="Arial" w:cs="Arial"/>
                <w:sz w:val="24"/>
                <w:szCs w:val="24"/>
              </w:rPr>
            </w:pPr>
            <w:r w:rsidRPr="004E4FDB">
              <w:rPr>
                <w:rFonts w:ascii="Arial" w:hAnsi="Arial" w:cs="Arial"/>
                <w:sz w:val="24"/>
                <w:szCs w:val="24"/>
              </w:rPr>
              <w:t>Ley Orgánica del Tribunal de Justicia Administrativa del Estado de Oaxaca</w:t>
            </w:r>
          </w:p>
        </w:tc>
      </w:tr>
      <w:tr w:rsidR="003B3330" w:rsidRPr="00EE4752" w14:paraId="1ADF060E" w14:textId="77777777" w:rsidTr="003B3330">
        <w:tc>
          <w:tcPr>
            <w:tcW w:w="3256" w:type="dxa"/>
          </w:tcPr>
          <w:p w14:paraId="465652FB" w14:textId="77777777" w:rsidR="003B3330" w:rsidRPr="00EE4752" w:rsidRDefault="003B3330" w:rsidP="003B3330">
            <w:pPr>
              <w:tabs>
                <w:tab w:val="center" w:pos="4418"/>
                <w:tab w:val="left" w:pos="6330"/>
              </w:tabs>
              <w:jc w:val="center"/>
              <w:rPr>
                <w:rFonts w:ascii="Arial" w:hAnsi="Arial" w:cs="Arial"/>
                <w:b/>
                <w:i/>
                <w:sz w:val="24"/>
                <w:szCs w:val="24"/>
              </w:rPr>
            </w:pPr>
            <w:r w:rsidRPr="00EE4752">
              <w:rPr>
                <w:rFonts w:ascii="Arial" w:hAnsi="Arial" w:cs="Arial"/>
                <w:b/>
                <w:i/>
                <w:sz w:val="24"/>
                <w:szCs w:val="24"/>
              </w:rPr>
              <w:t xml:space="preserve">Ley de </w:t>
            </w:r>
            <w:r>
              <w:rPr>
                <w:rFonts w:ascii="Arial" w:hAnsi="Arial" w:cs="Arial"/>
                <w:b/>
                <w:i/>
                <w:sz w:val="24"/>
                <w:szCs w:val="24"/>
              </w:rPr>
              <w:t>Justicia:</w:t>
            </w:r>
          </w:p>
        </w:tc>
        <w:tc>
          <w:tcPr>
            <w:tcW w:w="5571" w:type="dxa"/>
          </w:tcPr>
          <w:p w14:paraId="78BA370E" w14:textId="284CB7FF" w:rsidR="003B3330" w:rsidRPr="004E4FDB" w:rsidRDefault="00F17D36" w:rsidP="003B3330">
            <w:pPr>
              <w:tabs>
                <w:tab w:val="center" w:pos="4418"/>
                <w:tab w:val="left" w:pos="6330"/>
              </w:tabs>
              <w:jc w:val="both"/>
              <w:rPr>
                <w:rFonts w:ascii="Arial" w:hAnsi="Arial" w:cs="Arial"/>
                <w:b/>
                <w:sz w:val="24"/>
                <w:szCs w:val="24"/>
              </w:rPr>
            </w:pPr>
            <w:r w:rsidRPr="004E4FDB">
              <w:rPr>
                <w:rFonts w:ascii="Arial" w:hAnsi="Arial" w:cs="Arial"/>
                <w:sz w:val="24"/>
                <w:szCs w:val="24"/>
              </w:rPr>
              <w:t>Ley de Justicia</w:t>
            </w:r>
            <w:r w:rsidR="004E4FDB" w:rsidRPr="004E4FDB">
              <w:rPr>
                <w:rFonts w:ascii="Arial" w:hAnsi="Arial" w:cs="Arial"/>
                <w:sz w:val="24"/>
                <w:szCs w:val="24"/>
              </w:rPr>
              <w:t xml:space="preserve"> de Fiscalización y Rendición de Cuentas para el Estado de Oaxaca.</w:t>
            </w:r>
          </w:p>
        </w:tc>
      </w:tr>
      <w:tr w:rsidR="003B3330" w:rsidRPr="00EE4752" w14:paraId="5655A2DE" w14:textId="77777777" w:rsidTr="003B3330">
        <w:tc>
          <w:tcPr>
            <w:tcW w:w="3256" w:type="dxa"/>
          </w:tcPr>
          <w:p w14:paraId="50F5768D" w14:textId="53232C31" w:rsidR="003B3330" w:rsidRDefault="003B3330" w:rsidP="003B3330">
            <w:pPr>
              <w:tabs>
                <w:tab w:val="center" w:pos="4418"/>
                <w:tab w:val="left" w:pos="6330"/>
              </w:tabs>
              <w:jc w:val="center"/>
              <w:rPr>
                <w:rFonts w:ascii="Arial" w:hAnsi="Arial" w:cs="Arial"/>
                <w:b/>
                <w:i/>
                <w:sz w:val="24"/>
                <w:szCs w:val="24"/>
              </w:rPr>
            </w:pPr>
            <w:r>
              <w:rPr>
                <w:rFonts w:ascii="Arial" w:hAnsi="Arial" w:cs="Arial"/>
                <w:b/>
                <w:i/>
                <w:sz w:val="24"/>
                <w:szCs w:val="24"/>
              </w:rPr>
              <w:t>Reglamento:</w:t>
            </w:r>
          </w:p>
        </w:tc>
        <w:tc>
          <w:tcPr>
            <w:tcW w:w="5571" w:type="dxa"/>
          </w:tcPr>
          <w:p w14:paraId="73D1E546" w14:textId="2F7215FC" w:rsidR="003B3330" w:rsidRPr="004E4FDB" w:rsidRDefault="00F17D36" w:rsidP="003B3330">
            <w:pPr>
              <w:tabs>
                <w:tab w:val="center" w:pos="4418"/>
                <w:tab w:val="left" w:pos="6330"/>
              </w:tabs>
              <w:jc w:val="both"/>
              <w:rPr>
                <w:rFonts w:ascii="Arial" w:hAnsi="Arial" w:cs="Arial"/>
                <w:sz w:val="24"/>
                <w:szCs w:val="24"/>
              </w:rPr>
            </w:pPr>
            <w:r w:rsidRPr="004E4FDB">
              <w:rPr>
                <w:rFonts w:ascii="Arial" w:hAnsi="Arial" w:cs="Arial"/>
                <w:sz w:val="24"/>
                <w:szCs w:val="24"/>
              </w:rPr>
              <w:t>Reglamento</w:t>
            </w:r>
            <w:r w:rsidR="004E4FDB" w:rsidRPr="004E4FDB">
              <w:rPr>
                <w:rFonts w:ascii="Arial" w:hAnsi="Arial" w:cs="Arial"/>
                <w:sz w:val="24"/>
                <w:szCs w:val="24"/>
              </w:rPr>
              <w:t xml:space="preserve"> Interno de la Auditoría Superior del Estado de Oaxaca</w:t>
            </w:r>
          </w:p>
        </w:tc>
      </w:tr>
      <w:tr w:rsidR="003B3330" w:rsidRPr="00EE4752" w14:paraId="7D89C907" w14:textId="77777777" w:rsidTr="003B3330">
        <w:tc>
          <w:tcPr>
            <w:tcW w:w="3256" w:type="dxa"/>
          </w:tcPr>
          <w:p w14:paraId="07CA1D36" w14:textId="77777777" w:rsidR="003B3330" w:rsidRDefault="003B3330" w:rsidP="003B3330">
            <w:pPr>
              <w:tabs>
                <w:tab w:val="center" w:pos="4418"/>
                <w:tab w:val="left" w:pos="6330"/>
              </w:tabs>
              <w:jc w:val="center"/>
              <w:rPr>
                <w:rFonts w:ascii="Arial" w:hAnsi="Arial" w:cs="Arial"/>
                <w:b/>
                <w:i/>
                <w:sz w:val="24"/>
                <w:szCs w:val="24"/>
              </w:rPr>
            </w:pPr>
            <w:r>
              <w:rPr>
                <w:rFonts w:ascii="Arial" w:hAnsi="Arial" w:cs="Arial"/>
                <w:b/>
                <w:i/>
                <w:sz w:val="24"/>
                <w:szCs w:val="24"/>
              </w:rPr>
              <w:t>Acuerdo General</w:t>
            </w:r>
          </w:p>
        </w:tc>
        <w:tc>
          <w:tcPr>
            <w:tcW w:w="5571" w:type="dxa"/>
          </w:tcPr>
          <w:p w14:paraId="6FCF44A8" w14:textId="77777777" w:rsidR="003B3330" w:rsidRPr="004E4FDB" w:rsidRDefault="003B3330" w:rsidP="003B3330">
            <w:pPr>
              <w:tabs>
                <w:tab w:val="center" w:pos="4418"/>
                <w:tab w:val="left" w:pos="6330"/>
              </w:tabs>
              <w:jc w:val="both"/>
              <w:rPr>
                <w:rFonts w:ascii="Arial" w:hAnsi="Arial" w:cs="Arial"/>
                <w:sz w:val="24"/>
                <w:szCs w:val="24"/>
              </w:rPr>
            </w:pPr>
            <w:r w:rsidRPr="004E4FDB">
              <w:rPr>
                <w:rFonts w:ascii="Arial" w:hAnsi="Arial" w:cs="Arial"/>
                <w:snapToGrid w:val="0"/>
                <w:sz w:val="26"/>
                <w:szCs w:val="26"/>
              </w:rPr>
              <w:t>ACUERDO GENERAL AG/TJAO/10/2022 DEL PLENO DEL TRIBUNAL DE JUSTICIA ADMINISTRATIVA DEL ESTADO DE OAXACA, MEDIANTE EL CUAL SE ESTABLECE EL CALENDARIO OFICIAL, CORRESPONDIENTE A AÑO DOS MIL VEINTITRÉS, PARA ESTE ÓRGANO JURISDICCIONAL</w:t>
            </w:r>
          </w:p>
        </w:tc>
      </w:tr>
    </w:tbl>
    <w:p w14:paraId="0E16CC88" w14:textId="77777777" w:rsidR="003B3330" w:rsidRPr="00C10DE8" w:rsidRDefault="003B3330" w:rsidP="003B3330">
      <w:pPr>
        <w:widowControl w:val="0"/>
        <w:spacing w:line="360" w:lineRule="auto"/>
        <w:ind w:right="51"/>
        <w:jc w:val="both"/>
        <w:rPr>
          <w:rFonts w:ascii="Arial" w:hAnsi="Arial" w:cs="Arial"/>
          <w:b/>
          <w:bCs/>
          <w:sz w:val="24"/>
          <w:szCs w:val="24"/>
          <w:lang w:val="es-ES_tradnl"/>
        </w:rPr>
      </w:pPr>
    </w:p>
    <w:p w14:paraId="40202D22" w14:textId="6678C8D6" w:rsidR="00102315" w:rsidRPr="00EE4752" w:rsidRDefault="003E5FB0" w:rsidP="00227923">
      <w:pPr>
        <w:tabs>
          <w:tab w:val="center" w:pos="4418"/>
          <w:tab w:val="left" w:pos="6330"/>
        </w:tabs>
        <w:spacing w:line="360" w:lineRule="auto"/>
        <w:jc w:val="center"/>
        <w:rPr>
          <w:rFonts w:ascii="Arial" w:hAnsi="Arial" w:cs="Arial"/>
          <w:b/>
          <w:spacing w:val="-3"/>
          <w:sz w:val="26"/>
          <w:szCs w:val="26"/>
          <w:lang w:val="es-ES_tradnl"/>
        </w:rPr>
      </w:pPr>
      <w:r w:rsidRPr="00EE4752">
        <w:rPr>
          <w:rFonts w:ascii="Arial" w:hAnsi="Arial" w:cs="Arial"/>
          <w:b/>
          <w:sz w:val="26"/>
          <w:szCs w:val="26"/>
        </w:rPr>
        <w:t xml:space="preserve">1. </w:t>
      </w:r>
      <w:r w:rsidR="00102315" w:rsidRPr="00EE4752">
        <w:rPr>
          <w:rFonts w:ascii="Arial" w:hAnsi="Arial" w:cs="Arial"/>
          <w:b/>
          <w:sz w:val="26"/>
          <w:szCs w:val="26"/>
        </w:rPr>
        <w:t>R E</w:t>
      </w:r>
      <w:r w:rsidR="00102315" w:rsidRPr="00EE4752">
        <w:rPr>
          <w:rFonts w:ascii="Arial" w:hAnsi="Arial" w:cs="Arial"/>
          <w:b/>
          <w:spacing w:val="-3"/>
          <w:sz w:val="26"/>
          <w:szCs w:val="26"/>
          <w:lang w:val="es-ES_tradnl"/>
        </w:rPr>
        <w:t xml:space="preserve"> S U L T A N D O</w:t>
      </w:r>
    </w:p>
    <w:p w14:paraId="5EC95681" w14:textId="2845282E" w:rsidR="00643C79" w:rsidRPr="00EE4752" w:rsidRDefault="00D82372" w:rsidP="00227923">
      <w:pPr>
        <w:spacing w:line="360" w:lineRule="auto"/>
        <w:ind w:firstLine="567"/>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4E7FD4">
        <w:rPr>
          <w:rFonts w:ascii="Arial" w:hAnsi="Arial" w:cs="Arial"/>
          <w:b/>
          <w:bCs/>
          <w:spacing w:val="-3"/>
          <w:sz w:val="26"/>
          <w:szCs w:val="26"/>
          <w:lang w:val="es-ES_tradnl"/>
        </w:rPr>
        <w:t>DEMANDA DE NULIDAD</w:t>
      </w:r>
      <w:r w:rsidR="00643C79" w:rsidRPr="00EE4752">
        <w:rPr>
          <w:rFonts w:ascii="Arial" w:hAnsi="Arial" w:cs="Arial"/>
          <w:b/>
          <w:bCs/>
          <w:spacing w:val="-3"/>
          <w:sz w:val="26"/>
          <w:szCs w:val="26"/>
          <w:lang w:val="es-ES_tradnl"/>
        </w:rPr>
        <w:t>.</w:t>
      </w:r>
    </w:p>
    <w:p w14:paraId="77BF6E4C" w14:textId="1F82457C" w:rsidR="004E7FD4" w:rsidRDefault="00D30457" w:rsidP="00227923">
      <w:pPr>
        <w:spacing w:line="360" w:lineRule="auto"/>
        <w:ind w:firstLine="567"/>
        <w:jc w:val="both"/>
        <w:rPr>
          <w:rFonts w:ascii="Arial" w:hAnsi="Arial" w:cs="Arial"/>
          <w:bCs/>
          <w:iCs/>
          <w:kern w:val="2"/>
          <w:sz w:val="26"/>
          <w:szCs w:val="26"/>
        </w:rPr>
      </w:pPr>
      <w:r>
        <w:rPr>
          <w:rFonts w:ascii="Arial" w:eastAsia="Times New Roman" w:hAnsi="Arial" w:cs="Arial"/>
          <w:sz w:val="26"/>
          <w:szCs w:val="26"/>
          <w:lang w:val="es-ES_tradnl" w:eastAsia="es-ES"/>
        </w:rPr>
        <w:t xml:space="preserve">1. </w:t>
      </w:r>
      <w:r w:rsidR="00643C79" w:rsidRPr="00EE4752">
        <w:rPr>
          <w:rFonts w:ascii="Arial" w:eastAsia="Times New Roman" w:hAnsi="Arial" w:cs="Arial"/>
          <w:sz w:val="26"/>
          <w:szCs w:val="26"/>
          <w:lang w:val="es-ES_tradnl" w:eastAsia="es-ES"/>
        </w:rPr>
        <w:t>Por escrito presentado el</w:t>
      </w:r>
      <w:r w:rsidR="00643C79" w:rsidRPr="00EE4752">
        <w:rPr>
          <w:rFonts w:ascii="Arial" w:hAnsi="Arial" w:cs="Arial"/>
          <w:bCs/>
          <w:spacing w:val="-3"/>
          <w:sz w:val="26"/>
          <w:szCs w:val="26"/>
          <w:lang w:val="es-ES_tradnl"/>
        </w:rPr>
        <w:t xml:space="preserve"> </w:t>
      </w:r>
      <w:r w:rsidR="00F46AB7">
        <w:rPr>
          <w:rFonts w:ascii="Arial" w:hAnsi="Arial" w:cs="Arial"/>
          <w:bCs/>
          <w:spacing w:val="-3"/>
          <w:sz w:val="26"/>
          <w:szCs w:val="26"/>
          <w:lang w:val="es-ES_tradnl"/>
        </w:rPr>
        <w:t xml:space="preserve">veintiuno de </w:t>
      </w:r>
      <w:r w:rsidR="004E7FD4">
        <w:rPr>
          <w:rFonts w:ascii="Arial" w:hAnsi="Arial" w:cs="Arial"/>
          <w:bCs/>
          <w:spacing w:val="-3"/>
          <w:sz w:val="26"/>
          <w:szCs w:val="26"/>
          <w:lang w:val="es-ES_tradnl"/>
        </w:rPr>
        <w:t xml:space="preserve">septiembre de dos mil veintiuno </w:t>
      </w:r>
      <w:r w:rsidR="00F46AB7">
        <w:rPr>
          <w:rFonts w:ascii="Arial" w:hAnsi="Arial" w:cs="Arial"/>
          <w:bCs/>
          <w:spacing w:val="-3"/>
          <w:sz w:val="26"/>
          <w:szCs w:val="26"/>
          <w:lang w:val="es-ES_tradnl"/>
        </w:rPr>
        <w:t>(21/09/2021)</w:t>
      </w:r>
      <w:r w:rsidR="00643C79" w:rsidRPr="00EE4752">
        <w:rPr>
          <w:rFonts w:ascii="Arial" w:hAnsi="Arial" w:cs="Arial"/>
          <w:bCs/>
          <w:spacing w:val="-3"/>
          <w:sz w:val="26"/>
          <w:szCs w:val="26"/>
          <w:lang w:val="es-ES_tradnl"/>
        </w:rPr>
        <w:t xml:space="preserve">, en la Oficialía de Partes Común de este Tribunal, con residencia </w:t>
      </w:r>
      <w:r w:rsidR="00643C79" w:rsidRPr="00EE4752">
        <w:rPr>
          <w:rFonts w:ascii="Arial" w:hAnsi="Arial" w:cs="Arial"/>
          <w:bCs/>
          <w:spacing w:val="-3"/>
          <w:sz w:val="26"/>
          <w:szCs w:val="26"/>
          <w:lang w:val="es-ES_tradnl"/>
        </w:rPr>
        <w:lastRenderedPageBreak/>
        <w:t>en esta ciudad,</w:t>
      </w:r>
      <w:r w:rsidR="003E4EAB">
        <w:rPr>
          <w:rFonts w:ascii="Arial" w:hAnsi="Arial" w:cs="Arial"/>
          <w:sz w:val="26"/>
          <w:szCs w:val="26"/>
        </w:rPr>
        <w:t xml:space="preserve"> </w:t>
      </w:r>
      <w:r w:rsidR="009111F5">
        <w:rPr>
          <w:rFonts w:ascii="Arial" w:hAnsi="Arial" w:cs="Arial"/>
          <w:b/>
          <w:sz w:val="26"/>
          <w:szCs w:val="26"/>
        </w:rPr>
        <w:t>**********</w:t>
      </w:r>
      <w:r w:rsidR="00C10DE8">
        <w:rPr>
          <w:rFonts w:ascii="Arial" w:hAnsi="Arial" w:cs="Arial"/>
          <w:sz w:val="26"/>
          <w:szCs w:val="26"/>
        </w:rPr>
        <w:t xml:space="preserve">, </w:t>
      </w:r>
      <w:r w:rsidR="003E4EAB">
        <w:rPr>
          <w:rFonts w:ascii="Arial" w:hAnsi="Arial" w:cs="Arial"/>
          <w:sz w:val="26"/>
          <w:szCs w:val="26"/>
        </w:rPr>
        <w:t xml:space="preserve">promovió </w:t>
      </w:r>
      <w:r w:rsidR="004E7FD4">
        <w:rPr>
          <w:rFonts w:ascii="Arial" w:hAnsi="Arial" w:cs="Arial"/>
          <w:bCs/>
          <w:iCs/>
          <w:kern w:val="2"/>
          <w:sz w:val="26"/>
          <w:szCs w:val="26"/>
        </w:rPr>
        <w:t>por propio derecho juicio de nulidad</w:t>
      </w:r>
      <w:r w:rsidR="003E4EAB">
        <w:rPr>
          <w:rFonts w:ascii="Arial" w:hAnsi="Arial" w:cs="Arial"/>
          <w:bCs/>
          <w:iCs/>
          <w:kern w:val="2"/>
          <w:sz w:val="26"/>
          <w:szCs w:val="26"/>
        </w:rPr>
        <w:t>,</w:t>
      </w:r>
      <w:r w:rsidR="004E7FD4">
        <w:rPr>
          <w:rFonts w:ascii="Arial" w:hAnsi="Arial" w:cs="Arial"/>
          <w:bCs/>
          <w:iCs/>
          <w:kern w:val="2"/>
          <w:sz w:val="26"/>
          <w:szCs w:val="26"/>
        </w:rPr>
        <w:t xml:space="preserve"> en contra de los actos que se precisan a continuación:</w:t>
      </w:r>
    </w:p>
    <w:p w14:paraId="7EE7FEDC" w14:textId="17EA4C07" w:rsidR="004E7FD4" w:rsidRDefault="0002562D" w:rsidP="00227923">
      <w:pPr>
        <w:spacing w:line="360" w:lineRule="auto"/>
        <w:ind w:firstLine="567"/>
        <w:jc w:val="both"/>
        <w:rPr>
          <w:rFonts w:ascii="Arial" w:hAnsi="Arial" w:cs="Arial"/>
          <w:bCs/>
          <w:spacing w:val="-3"/>
          <w:sz w:val="26"/>
          <w:szCs w:val="26"/>
          <w:lang w:val="es-ES_tradnl"/>
        </w:rPr>
      </w:pPr>
      <w:r>
        <w:rPr>
          <w:rFonts w:ascii="Arial" w:hAnsi="Arial" w:cs="Arial"/>
          <w:bCs/>
          <w:iCs/>
          <w:kern w:val="2"/>
          <w:sz w:val="26"/>
          <w:szCs w:val="26"/>
        </w:rPr>
        <w:t xml:space="preserve">2. </w:t>
      </w:r>
      <w:r w:rsidR="004E7FD4">
        <w:rPr>
          <w:rFonts w:ascii="Arial" w:hAnsi="Arial" w:cs="Arial"/>
          <w:bCs/>
          <w:iCs/>
          <w:kern w:val="2"/>
          <w:sz w:val="26"/>
          <w:szCs w:val="26"/>
        </w:rPr>
        <w:t xml:space="preserve">Del Titular de la Secretaría </w:t>
      </w:r>
      <w:r w:rsidR="004E7FD4">
        <w:rPr>
          <w:rFonts w:ascii="Arial" w:hAnsi="Arial" w:cs="Arial"/>
          <w:bCs/>
          <w:spacing w:val="-3"/>
          <w:sz w:val="26"/>
          <w:szCs w:val="26"/>
          <w:lang w:val="es-ES_tradnl"/>
        </w:rPr>
        <w:t>de Finanzas del Poder</w:t>
      </w:r>
      <w:r>
        <w:rPr>
          <w:rFonts w:ascii="Arial" w:hAnsi="Arial" w:cs="Arial"/>
          <w:bCs/>
          <w:spacing w:val="-3"/>
          <w:sz w:val="26"/>
          <w:szCs w:val="26"/>
          <w:lang w:val="es-ES_tradnl"/>
        </w:rPr>
        <w:t xml:space="preserve"> Ejecutivo del Estado de Oaxaca: </w:t>
      </w:r>
      <w:r w:rsidR="004E7FD4">
        <w:rPr>
          <w:rFonts w:ascii="Arial" w:hAnsi="Arial" w:cs="Arial"/>
          <w:bCs/>
          <w:spacing w:val="-3"/>
          <w:sz w:val="26"/>
          <w:szCs w:val="26"/>
          <w:lang w:val="es-ES_tradnl"/>
        </w:rPr>
        <w:t>a) La subordinación o acatamiento de las órdenes giradas por el Titular del Órgano Superior, mediante oficio OSFE/UAJ/01586/2019, para requerir al hoy actor del pago de una sanción impuesta en el e</w:t>
      </w:r>
      <w:r>
        <w:rPr>
          <w:rFonts w:ascii="Arial" w:hAnsi="Arial" w:cs="Arial"/>
          <w:bCs/>
          <w:spacing w:val="-3"/>
          <w:sz w:val="26"/>
          <w:szCs w:val="26"/>
          <w:lang w:val="es-ES_tradnl"/>
        </w:rPr>
        <w:t xml:space="preserve">xpediente ASE/UAJ/P.R./004/2016; y, </w:t>
      </w:r>
      <w:r w:rsidR="004E7FD4">
        <w:rPr>
          <w:rFonts w:ascii="Arial" w:hAnsi="Arial" w:cs="Arial"/>
          <w:bCs/>
          <w:spacing w:val="-3"/>
          <w:sz w:val="26"/>
          <w:szCs w:val="26"/>
          <w:lang w:val="es-ES_tradnl"/>
        </w:rPr>
        <w:t>b) Las órdenes verbales o escritas, giradas a la Coordinadora de Cobro Coactivo, dependiente de esa Secretaría de Finanzas, derivadas de la subordinación y obediencia al oficio OSFE/UAJ/01586/2019, para hacer efectivo el cobro total al hoy actor de la sanción descrita en el oficio antes mencionado.</w:t>
      </w:r>
    </w:p>
    <w:p w14:paraId="1273701A" w14:textId="2A2B5CF7" w:rsidR="0002562D" w:rsidRDefault="0002562D"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3. De la Coordinadora de Cobro Coactivo, dependiente de la Secretaría de Finanzas: a) La emisión del mandamiento de ejecución</w:t>
      </w:r>
      <w:r w:rsidR="009111F5">
        <w:rPr>
          <w:rFonts w:ascii="Arial" w:hAnsi="Arial" w:cs="Arial"/>
          <w:bCs/>
          <w:spacing w:val="-3"/>
          <w:sz w:val="26"/>
          <w:szCs w:val="26"/>
          <w:lang w:val="es-ES_tradnl"/>
        </w:rPr>
        <w:t xml:space="preserve"> **********</w:t>
      </w:r>
      <w:r>
        <w:rPr>
          <w:rFonts w:ascii="Arial" w:hAnsi="Arial" w:cs="Arial"/>
          <w:bCs/>
          <w:spacing w:val="-3"/>
          <w:sz w:val="26"/>
          <w:szCs w:val="26"/>
          <w:lang w:val="es-ES_tradnl"/>
        </w:rPr>
        <w:t>, relativo al crédito fiscal</w:t>
      </w:r>
      <w:r w:rsidR="009111F5">
        <w:rPr>
          <w:rFonts w:ascii="Arial" w:hAnsi="Arial" w:cs="Arial"/>
          <w:bCs/>
          <w:spacing w:val="-3"/>
          <w:sz w:val="26"/>
          <w:szCs w:val="26"/>
          <w:lang w:val="es-ES_tradnl"/>
        </w:rPr>
        <w:t xml:space="preserve"> **********</w:t>
      </w:r>
      <w:r>
        <w:rPr>
          <w:rFonts w:ascii="Arial" w:hAnsi="Arial" w:cs="Arial"/>
          <w:bCs/>
          <w:spacing w:val="-3"/>
          <w:sz w:val="26"/>
          <w:szCs w:val="26"/>
          <w:lang w:val="es-ES_tradnl"/>
        </w:rPr>
        <w:t>; y, b) Las acciones encaminadas a realizar el cobro total mediante el mandamiento de ejecución</w:t>
      </w:r>
      <w:r w:rsidR="009111F5">
        <w:rPr>
          <w:rFonts w:ascii="Arial" w:hAnsi="Arial" w:cs="Arial"/>
          <w:bCs/>
          <w:spacing w:val="-3"/>
          <w:sz w:val="26"/>
          <w:szCs w:val="26"/>
          <w:lang w:val="es-ES_tradnl"/>
        </w:rPr>
        <w:t xml:space="preserve"> **********</w:t>
      </w:r>
      <w:r>
        <w:rPr>
          <w:rFonts w:ascii="Arial" w:hAnsi="Arial" w:cs="Arial"/>
          <w:bCs/>
          <w:spacing w:val="-3"/>
          <w:sz w:val="26"/>
          <w:szCs w:val="26"/>
          <w:lang w:val="es-ES_tradnl"/>
        </w:rPr>
        <w:t xml:space="preserve">, relativo al crédito fiscal </w:t>
      </w:r>
      <w:r w:rsidR="009111F5">
        <w:rPr>
          <w:rFonts w:ascii="Arial" w:hAnsi="Arial" w:cs="Arial"/>
          <w:bCs/>
          <w:spacing w:val="-3"/>
          <w:sz w:val="26"/>
          <w:szCs w:val="26"/>
          <w:lang w:val="es-ES_tradnl"/>
        </w:rPr>
        <w:t>**********</w:t>
      </w:r>
      <w:r>
        <w:rPr>
          <w:rFonts w:ascii="Arial" w:hAnsi="Arial" w:cs="Arial"/>
          <w:bCs/>
          <w:spacing w:val="-3"/>
          <w:sz w:val="26"/>
          <w:szCs w:val="26"/>
          <w:lang w:val="es-ES_tradnl"/>
        </w:rPr>
        <w:t>.</w:t>
      </w:r>
    </w:p>
    <w:p w14:paraId="69DC0859" w14:textId="17081B4B" w:rsidR="0002562D" w:rsidRDefault="0002562D"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4. Del actuario, notificador o ejecutor dependiente de la Secretaría de Finanzas: la notificación del mandamiento de ejecución</w:t>
      </w:r>
      <w:r w:rsidR="009111F5">
        <w:rPr>
          <w:rFonts w:ascii="Arial" w:hAnsi="Arial" w:cs="Arial"/>
          <w:bCs/>
          <w:spacing w:val="-3"/>
          <w:sz w:val="26"/>
          <w:szCs w:val="26"/>
          <w:lang w:val="es-ES_tradnl"/>
        </w:rPr>
        <w:t xml:space="preserve"> **********</w:t>
      </w:r>
      <w:r>
        <w:rPr>
          <w:rFonts w:ascii="Arial" w:hAnsi="Arial" w:cs="Arial"/>
          <w:bCs/>
          <w:spacing w:val="-3"/>
          <w:sz w:val="26"/>
          <w:szCs w:val="26"/>
          <w:lang w:val="es-ES_tradnl"/>
        </w:rPr>
        <w:t>.</w:t>
      </w:r>
    </w:p>
    <w:p w14:paraId="3054FCA2" w14:textId="22B27BE2" w:rsidR="00643C79" w:rsidRPr="00EE4752" w:rsidRDefault="00643C79" w:rsidP="00227923">
      <w:pPr>
        <w:spacing w:line="360" w:lineRule="auto"/>
        <w:ind w:firstLine="567"/>
        <w:jc w:val="both"/>
        <w:rPr>
          <w:rFonts w:ascii="Arial" w:hAnsi="Arial" w:cs="Arial"/>
          <w:bCs/>
          <w:spacing w:val="-3"/>
          <w:sz w:val="26"/>
          <w:szCs w:val="26"/>
          <w:lang w:val="es-ES_tradnl"/>
        </w:rPr>
      </w:pPr>
      <w:r w:rsidRPr="00EE4752">
        <w:rPr>
          <w:rFonts w:ascii="Arial" w:hAnsi="Arial" w:cs="Arial"/>
          <w:b/>
          <w:spacing w:val="-3"/>
          <w:sz w:val="26"/>
          <w:szCs w:val="26"/>
          <w:lang w:val="es-ES_tradnl"/>
        </w:rPr>
        <w:t xml:space="preserve">SEGUNDO. </w:t>
      </w:r>
      <w:r w:rsidR="0002562D">
        <w:rPr>
          <w:rFonts w:ascii="Arial" w:hAnsi="Arial" w:cs="Arial"/>
          <w:b/>
          <w:spacing w:val="-3"/>
          <w:sz w:val="26"/>
          <w:szCs w:val="26"/>
          <w:lang w:val="es-ES_tradnl"/>
        </w:rPr>
        <w:t>DESECHAMIENTO DE LA DEMANDA</w:t>
      </w:r>
      <w:r w:rsidR="00396F45" w:rsidRPr="00EE4752">
        <w:rPr>
          <w:rFonts w:ascii="Arial" w:hAnsi="Arial" w:cs="Arial"/>
          <w:b/>
          <w:spacing w:val="-3"/>
          <w:sz w:val="26"/>
          <w:szCs w:val="26"/>
          <w:lang w:val="es-ES_tradnl"/>
        </w:rPr>
        <w:t>.</w:t>
      </w:r>
      <w:r w:rsidR="00396F45" w:rsidRPr="00EE4752">
        <w:rPr>
          <w:rFonts w:ascii="Arial" w:hAnsi="Arial" w:cs="Arial"/>
          <w:bCs/>
          <w:spacing w:val="-3"/>
          <w:sz w:val="26"/>
          <w:szCs w:val="26"/>
          <w:lang w:val="es-ES_tradnl"/>
        </w:rPr>
        <w:t xml:space="preserve"> </w:t>
      </w:r>
    </w:p>
    <w:p w14:paraId="118969B9" w14:textId="41FB7645" w:rsidR="00EA4CFD" w:rsidRDefault="0002562D"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5</w:t>
      </w:r>
      <w:r w:rsidR="003F43EB">
        <w:rPr>
          <w:rFonts w:ascii="Arial" w:hAnsi="Arial" w:cs="Arial"/>
          <w:bCs/>
          <w:spacing w:val="-3"/>
          <w:sz w:val="26"/>
          <w:szCs w:val="26"/>
          <w:lang w:val="es-ES_tradnl"/>
        </w:rPr>
        <w:t xml:space="preserve">. </w:t>
      </w:r>
      <w:r w:rsidR="00643C79" w:rsidRPr="00EE4752">
        <w:rPr>
          <w:rFonts w:ascii="Arial" w:hAnsi="Arial" w:cs="Arial"/>
          <w:bCs/>
          <w:spacing w:val="-3"/>
          <w:sz w:val="26"/>
          <w:szCs w:val="26"/>
          <w:lang w:val="es-ES_tradnl"/>
        </w:rPr>
        <w:t xml:space="preserve">Por auto de </w:t>
      </w:r>
      <w:r>
        <w:rPr>
          <w:rFonts w:ascii="Arial" w:hAnsi="Arial" w:cs="Arial"/>
          <w:bCs/>
          <w:iCs/>
          <w:kern w:val="2"/>
          <w:sz w:val="26"/>
          <w:szCs w:val="26"/>
        </w:rPr>
        <w:t>veintidós de septiembre de dos mil veintiuno (22/09/2021)</w:t>
      </w:r>
      <w:r w:rsidR="00EF598A" w:rsidRPr="00EE4752">
        <w:rPr>
          <w:rFonts w:ascii="Arial" w:hAnsi="Arial" w:cs="Arial"/>
          <w:bCs/>
          <w:spacing w:val="-3"/>
          <w:sz w:val="26"/>
          <w:szCs w:val="26"/>
          <w:lang w:val="es-ES_tradnl"/>
        </w:rPr>
        <w:t>,</w:t>
      </w:r>
      <w:r w:rsidR="00E44306" w:rsidRPr="00EE4752">
        <w:rPr>
          <w:rFonts w:ascii="Arial" w:hAnsi="Arial" w:cs="Arial"/>
          <w:bCs/>
          <w:spacing w:val="-3"/>
          <w:sz w:val="26"/>
          <w:szCs w:val="26"/>
          <w:lang w:val="es-ES_tradnl"/>
        </w:rPr>
        <w:t xml:space="preserve"> se </w:t>
      </w:r>
      <w:r>
        <w:rPr>
          <w:rFonts w:ascii="Arial" w:hAnsi="Arial" w:cs="Arial"/>
          <w:bCs/>
          <w:spacing w:val="-3"/>
          <w:sz w:val="26"/>
          <w:szCs w:val="26"/>
          <w:lang w:val="es-ES_tradnl"/>
        </w:rPr>
        <w:t xml:space="preserve">desechó la demanda interpuesta, de conformidad con lo dispuesto por los artículos 158, 161 fracción X y 182 fracción I de la </w:t>
      </w:r>
      <w:r w:rsidR="00F17D36" w:rsidRPr="00F17D36">
        <w:rPr>
          <w:rFonts w:ascii="Arial" w:hAnsi="Arial" w:cs="Arial"/>
          <w:bCs/>
          <w:i/>
          <w:spacing w:val="-3"/>
          <w:sz w:val="26"/>
          <w:szCs w:val="26"/>
          <w:lang w:val="es-ES_tradnl"/>
        </w:rPr>
        <w:t>Ley de Procedimiento</w:t>
      </w:r>
      <w:r>
        <w:rPr>
          <w:rFonts w:ascii="Arial" w:hAnsi="Arial" w:cs="Arial"/>
          <w:bCs/>
          <w:spacing w:val="-3"/>
          <w:sz w:val="26"/>
          <w:szCs w:val="26"/>
          <w:lang w:val="es-ES_tradnl"/>
        </w:rPr>
        <w:t>.</w:t>
      </w:r>
    </w:p>
    <w:p w14:paraId="6B069E4C" w14:textId="6D2852C8" w:rsidR="006E7E37" w:rsidRPr="006E7E37" w:rsidRDefault="006E7E37" w:rsidP="00227923">
      <w:pPr>
        <w:spacing w:line="360" w:lineRule="auto"/>
        <w:ind w:firstLine="567"/>
        <w:jc w:val="both"/>
        <w:rPr>
          <w:rFonts w:ascii="Arial" w:hAnsi="Arial" w:cs="Arial"/>
          <w:b/>
          <w:bCs/>
          <w:spacing w:val="-3"/>
          <w:sz w:val="26"/>
          <w:szCs w:val="26"/>
          <w:lang w:val="es-ES_tradnl"/>
        </w:rPr>
      </w:pPr>
      <w:r>
        <w:rPr>
          <w:rFonts w:ascii="Arial" w:hAnsi="Arial" w:cs="Arial"/>
          <w:b/>
          <w:bCs/>
          <w:spacing w:val="-3"/>
          <w:sz w:val="26"/>
          <w:szCs w:val="26"/>
          <w:lang w:val="es-ES_tradnl"/>
        </w:rPr>
        <w:t>TERCERO. PROMOCIÓN DE RECURSO DE REVISIÓN.</w:t>
      </w:r>
    </w:p>
    <w:p w14:paraId="05215231" w14:textId="2060E7CE" w:rsidR="00D46F27" w:rsidRPr="006E7E37" w:rsidRDefault="006E7E37" w:rsidP="00227923">
      <w:pPr>
        <w:spacing w:line="360" w:lineRule="auto"/>
        <w:ind w:firstLine="567"/>
        <w:jc w:val="both"/>
        <w:rPr>
          <w:rFonts w:ascii="Arial" w:hAnsi="Arial" w:cs="Arial"/>
          <w:sz w:val="26"/>
          <w:szCs w:val="26"/>
        </w:rPr>
      </w:pPr>
      <w:r>
        <w:rPr>
          <w:rFonts w:ascii="Arial" w:hAnsi="Arial" w:cs="Arial"/>
          <w:bCs/>
          <w:spacing w:val="-3"/>
          <w:sz w:val="26"/>
          <w:szCs w:val="26"/>
          <w:lang w:val="es-ES_tradnl"/>
        </w:rPr>
        <w:t>6</w:t>
      </w:r>
      <w:r w:rsidR="003F43EB">
        <w:rPr>
          <w:rFonts w:ascii="Arial" w:hAnsi="Arial" w:cs="Arial"/>
          <w:bCs/>
          <w:spacing w:val="-3"/>
          <w:sz w:val="26"/>
          <w:szCs w:val="26"/>
          <w:lang w:val="es-ES_tradnl"/>
        </w:rPr>
        <w:t xml:space="preserve">. </w:t>
      </w:r>
      <w:r>
        <w:rPr>
          <w:rFonts w:ascii="Arial" w:hAnsi="Arial" w:cs="Arial"/>
          <w:bCs/>
          <w:spacing w:val="-3"/>
          <w:sz w:val="26"/>
          <w:szCs w:val="26"/>
          <w:lang w:val="es-ES_tradnl"/>
        </w:rPr>
        <w:t>Por acuerdo de fecha veintisiete de octubre de dos mil veintiuno (27/10/2021)</w:t>
      </w:r>
      <w:r>
        <w:rPr>
          <w:rFonts w:ascii="Arial" w:hAnsi="Arial" w:cs="Arial"/>
          <w:sz w:val="26"/>
          <w:szCs w:val="26"/>
        </w:rPr>
        <w:t xml:space="preserve">, se tuvo al </w:t>
      </w:r>
      <w:proofErr w:type="gramStart"/>
      <w:r>
        <w:rPr>
          <w:rFonts w:ascii="Arial" w:hAnsi="Arial" w:cs="Arial"/>
          <w:sz w:val="26"/>
          <w:szCs w:val="26"/>
        </w:rPr>
        <w:t xml:space="preserve">ciudadano </w:t>
      </w:r>
      <w:r w:rsidR="009111F5">
        <w:rPr>
          <w:rFonts w:ascii="Arial" w:hAnsi="Arial" w:cs="Arial"/>
          <w:b/>
          <w:sz w:val="26"/>
          <w:szCs w:val="26"/>
        </w:rPr>
        <w:t xml:space="preserve"> *</w:t>
      </w:r>
      <w:proofErr w:type="gramEnd"/>
      <w:r w:rsidR="009111F5">
        <w:rPr>
          <w:rFonts w:ascii="Arial" w:hAnsi="Arial" w:cs="Arial"/>
          <w:b/>
          <w:sz w:val="26"/>
          <w:szCs w:val="26"/>
        </w:rPr>
        <w:t xml:space="preserve">********** </w:t>
      </w:r>
      <w:r>
        <w:rPr>
          <w:rFonts w:ascii="Arial" w:hAnsi="Arial" w:cs="Arial"/>
          <w:sz w:val="26"/>
          <w:szCs w:val="26"/>
        </w:rPr>
        <w:t xml:space="preserve">promoviendo recurso de revisión en contra del proveído de </w:t>
      </w:r>
      <w:r>
        <w:rPr>
          <w:rFonts w:ascii="Arial" w:hAnsi="Arial" w:cs="Arial"/>
          <w:bCs/>
          <w:iCs/>
          <w:kern w:val="2"/>
          <w:sz w:val="26"/>
          <w:szCs w:val="26"/>
        </w:rPr>
        <w:t>veintidós de septiembre de dos mil veintiuno (22/09/2021)</w:t>
      </w:r>
      <w:r w:rsidRPr="00EE4752">
        <w:rPr>
          <w:rFonts w:ascii="Arial" w:hAnsi="Arial" w:cs="Arial"/>
          <w:bCs/>
          <w:spacing w:val="-3"/>
          <w:sz w:val="26"/>
          <w:szCs w:val="26"/>
          <w:lang w:val="es-ES_tradnl"/>
        </w:rPr>
        <w:t xml:space="preserve">, </w:t>
      </w:r>
      <w:r>
        <w:rPr>
          <w:rFonts w:ascii="Arial" w:hAnsi="Arial" w:cs="Arial"/>
          <w:bCs/>
          <w:spacing w:val="-3"/>
          <w:sz w:val="26"/>
          <w:szCs w:val="26"/>
          <w:lang w:val="es-ES_tradnl"/>
        </w:rPr>
        <w:t>que</w:t>
      </w:r>
      <w:r w:rsidRPr="00EE4752">
        <w:rPr>
          <w:rFonts w:ascii="Arial" w:hAnsi="Arial" w:cs="Arial"/>
          <w:bCs/>
          <w:spacing w:val="-3"/>
          <w:sz w:val="26"/>
          <w:szCs w:val="26"/>
          <w:lang w:val="es-ES_tradnl"/>
        </w:rPr>
        <w:t xml:space="preserve"> </w:t>
      </w:r>
      <w:r>
        <w:rPr>
          <w:rFonts w:ascii="Arial" w:hAnsi="Arial" w:cs="Arial"/>
          <w:bCs/>
          <w:spacing w:val="-3"/>
          <w:sz w:val="26"/>
          <w:szCs w:val="26"/>
          <w:lang w:val="es-ES_tradnl"/>
        </w:rPr>
        <w:t>desechó su demanda de nulidad.</w:t>
      </w:r>
    </w:p>
    <w:p w14:paraId="78F2A6BD" w14:textId="548DD179" w:rsidR="00D30457" w:rsidRPr="00EE4752" w:rsidRDefault="006E7E37" w:rsidP="00D30457">
      <w:pPr>
        <w:spacing w:line="360" w:lineRule="auto"/>
        <w:ind w:firstLine="567"/>
        <w:jc w:val="both"/>
        <w:rPr>
          <w:rFonts w:ascii="Arial" w:hAnsi="Arial" w:cs="Arial"/>
          <w:bCs/>
          <w:spacing w:val="-3"/>
          <w:sz w:val="26"/>
          <w:szCs w:val="26"/>
          <w:lang w:val="es-ES_tradnl"/>
        </w:rPr>
      </w:pPr>
      <w:r>
        <w:rPr>
          <w:rFonts w:ascii="Arial" w:hAnsi="Arial" w:cs="Arial"/>
          <w:b/>
          <w:spacing w:val="-3"/>
          <w:sz w:val="26"/>
          <w:szCs w:val="26"/>
          <w:lang w:val="es-ES_tradnl"/>
        </w:rPr>
        <w:t>CUARTO</w:t>
      </w:r>
      <w:r w:rsidR="00D30457" w:rsidRPr="00EE4752">
        <w:rPr>
          <w:rFonts w:ascii="Arial" w:hAnsi="Arial" w:cs="Arial"/>
          <w:b/>
          <w:spacing w:val="-3"/>
          <w:sz w:val="26"/>
          <w:szCs w:val="26"/>
          <w:lang w:val="es-ES_tradnl"/>
        </w:rPr>
        <w:t xml:space="preserve">. </w:t>
      </w:r>
      <w:r>
        <w:rPr>
          <w:rFonts w:ascii="Arial" w:hAnsi="Arial" w:cs="Arial"/>
          <w:b/>
          <w:spacing w:val="-3"/>
          <w:sz w:val="26"/>
          <w:szCs w:val="26"/>
          <w:lang w:val="es-ES_tradnl"/>
        </w:rPr>
        <w:t>RESOLUCIÓN DEL RECURSO DE REVISIÓN</w:t>
      </w:r>
      <w:r w:rsidR="00D30457" w:rsidRPr="00EE4752">
        <w:rPr>
          <w:rFonts w:ascii="Arial" w:hAnsi="Arial" w:cs="Arial"/>
          <w:b/>
          <w:spacing w:val="-3"/>
          <w:sz w:val="26"/>
          <w:szCs w:val="26"/>
          <w:lang w:val="es-ES_tradnl"/>
        </w:rPr>
        <w:t>.</w:t>
      </w:r>
      <w:r w:rsidR="00D30457" w:rsidRPr="00EE4752">
        <w:rPr>
          <w:rFonts w:ascii="Arial" w:hAnsi="Arial" w:cs="Arial"/>
          <w:bCs/>
          <w:spacing w:val="-3"/>
          <w:sz w:val="26"/>
          <w:szCs w:val="26"/>
          <w:lang w:val="es-ES_tradnl"/>
        </w:rPr>
        <w:t xml:space="preserve"> </w:t>
      </w:r>
    </w:p>
    <w:p w14:paraId="4DFC5846" w14:textId="482157E0" w:rsidR="00D46F27" w:rsidRDefault="006E7E37" w:rsidP="00227923">
      <w:pPr>
        <w:spacing w:line="360" w:lineRule="auto"/>
        <w:ind w:firstLine="567"/>
        <w:jc w:val="both"/>
        <w:rPr>
          <w:rFonts w:ascii="Arial" w:hAnsi="Arial" w:cs="Arial"/>
          <w:sz w:val="26"/>
          <w:szCs w:val="26"/>
        </w:rPr>
      </w:pPr>
      <w:r>
        <w:rPr>
          <w:rFonts w:ascii="Arial" w:hAnsi="Arial" w:cs="Arial"/>
          <w:sz w:val="26"/>
          <w:szCs w:val="26"/>
        </w:rPr>
        <w:t>7</w:t>
      </w:r>
      <w:r w:rsidR="003F43EB">
        <w:rPr>
          <w:rFonts w:ascii="Arial" w:hAnsi="Arial" w:cs="Arial"/>
          <w:sz w:val="26"/>
          <w:szCs w:val="26"/>
        </w:rPr>
        <w:t xml:space="preserve">. </w:t>
      </w:r>
      <w:r w:rsidR="002A51B3">
        <w:rPr>
          <w:rFonts w:ascii="Arial" w:hAnsi="Arial" w:cs="Arial"/>
          <w:sz w:val="26"/>
          <w:szCs w:val="26"/>
        </w:rPr>
        <w:t xml:space="preserve">Con fecha uno de septiembre de dos mil veintidós, se resolvió el Recurso de Revisión </w:t>
      </w:r>
      <w:r w:rsidR="00687E10">
        <w:rPr>
          <w:rFonts w:ascii="Arial" w:eastAsia="Times New Roman" w:hAnsi="Arial" w:cs="Arial"/>
          <w:sz w:val="26"/>
          <w:szCs w:val="26"/>
          <w:lang w:val="es-ES_tradnl" w:eastAsia="es-ES"/>
        </w:rPr>
        <w:t xml:space="preserve">0353/2021, promovido por </w:t>
      </w:r>
      <w:r w:rsidR="009111F5">
        <w:rPr>
          <w:rFonts w:ascii="Arial" w:hAnsi="Arial" w:cs="Arial"/>
          <w:b/>
          <w:sz w:val="26"/>
          <w:szCs w:val="26"/>
        </w:rPr>
        <w:t xml:space="preserve">********** </w:t>
      </w:r>
      <w:r w:rsidR="00687E10">
        <w:rPr>
          <w:rFonts w:ascii="Arial" w:hAnsi="Arial" w:cs="Arial"/>
          <w:sz w:val="26"/>
          <w:szCs w:val="26"/>
        </w:rPr>
        <w:t xml:space="preserve">en contra del proveído de </w:t>
      </w:r>
      <w:r w:rsidR="00687E10">
        <w:rPr>
          <w:rFonts w:ascii="Arial" w:hAnsi="Arial" w:cs="Arial"/>
          <w:bCs/>
          <w:iCs/>
          <w:kern w:val="2"/>
          <w:sz w:val="26"/>
          <w:szCs w:val="26"/>
        </w:rPr>
        <w:t xml:space="preserve">veintidós de septiembre de dos mil veintiuno (22/09/2021) dictado dentro del Juicio de Nulidad 0063/2021 del índice de la primera sala </w:t>
      </w:r>
      <w:r w:rsidR="00687E10">
        <w:rPr>
          <w:rFonts w:ascii="Arial" w:hAnsi="Arial" w:cs="Arial"/>
          <w:bCs/>
          <w:iCs/>
          <w:kern w:val="2"/>
          <w:sz w:val="26"/>
          <w:szCs w:val="26"/>
        </w:rPr>
        <w:lastRenderedPageBreak/>
        <w:t>Unitaria de Primera Instancia de este Tribunal de Justicia Administrativa, en la cual se revocó el acuerdo antes mencionado y se ordenó a la referida Sala Unitaria que remitiera a la Secretaría General de Acuerdos de este Tribunal las constancias del expediente 0063/2021 de su índice, para la tramitación del juicio de inconformidad correspondiente.</w:t>
      </w:r>
    </w:p>
    <w:p w14:paraId="4613793E" w14:textId="3A742F10" w:rsidR="00687E10" w:rsidRPr="00687E10" w:rsidRDefault="00687E10" w:rsidP="00227923">
      <w:pPr>
        <w:spacing w:line="360" w:lineRule="auto"/>
        <w:ind w:firstLine="567"/>
        <w:jc w:val="both"/>
        <w:rPr>
          <w:rFonts w:ascii="Arial" w:hAnsi="Arial" w:cs="Arial"/>
          <w:b/>
          <w:sz w:val="26"/>
          <w:szCs w:val="26"/>
        </w:rPr>
      </w:pPr>
      <w:r>
        <w:rPr>
          <w:rFonts w:ascii="Arial" w:hAnsi="Arial" w:cs="Arial"/>
          <w:b/>
          <w:sz w:val="26"/>
          <w:szCs w:val="26"/>
        </w:rPr>
        <w:t>QUINTO. RADICACIÓN DEL JUICIO DE INCONFORMIDAD</w:t>
      </w:r>
      <w:r w:rsidR="00F17D36">
        <w:rPr>
          <w:rFonts w:ascii="Arial" w:hAnsi="Arial" w:cs="Arial"/>
          <w:b/>
          <w:sz w:val="26"/>
          <w:szCs w:val="26"/>
        </w:rPr>
        <w:t xml:space="preserve"> Y SU CONTESTACIÓN</w:t>
      </w:r>
      <w:r>
        <w:rPr>
          <w:rFonts w:ascii="Arial" w:hAnsi="Arial" w:cs="Arial"/>
          <w:b/>
          <w:sz w:val="26"/>
          <w:szCs w:val="26"/>
        </w:rPr>
        <w:t>.</w:t>
      </w:r>
    </w:p>
    <w:p w14:paraId="01FEA784" w14:textId="1408DE76" w:rsidR="00D475EF" w:rsidRDefault="00687E10" w:rsidP="00227923">
      <w:pPr>
        <w:spacing w:line="360" w:lineRule="auto"/>
        <w:ind w:firstLine="567"/>
        <w:jc w:val="both"/>
        <w:rPr>
          <w:rFonts w:ascii="Arial" w:hAnsi="Arial" w:cs="Arial"/>
          <w:sz w:val="26"/>
          <w:szCs w:val="26"/>
        </w:rPr>
      </w:pPr>
      <w:r>
        <w:rPr>
          <w:rFonts w:ascii="Arial" w:hAnsi="Arial" w:cs="Arial"/>
          <w:sz w:val="26"/>
          <w:szCs w:val="26"/>
        </w:rPr>
        <w:t>8</w:t>
      </w:r>
      <w:r w:rsidR="003F43EB">
        <w:rPr>
          <w:rFonts w:ascii="Arial" w:hAnsi="Arial" w:cs="Arial"/>
          <w:sz w:val="26"/>
          <w:szCs w:val="26"/>
        </w:rPr>
        <w:t xml:space="preserve">. </w:t>
      </w:r>
      <w:r w:rsidR="00D130FA">
        <w:rPr>
          <w:rFonts w:ascii="Arial" w:hAnsi="Arial" w:cs="Arial"/>
          <w:sz w:val="26"/>
          <w:szCs w:val="26"/>
        </w:rPr>
        <w:t xml:space="preserve">En proveído de </w:t>
      </w:r>
      <w:r w:rsidR="00C26985">
        <w:rPr>
          <w:rFonts w:ascii="Arial" w:hAnsi="Arial" w:cs="Arial"/>
          <w:sz w:val="26"/>
          <w:szCs w:val="26"/>
        </w:rPr>
        <w:t>veinticinco de enero de dos mil veintitrés (25/01/2023), se admitió a trámite la demanda en contra del Titular del Órgano Superior de Fiscalización del Estado de Oaxaca</w:t>
      </w:r>
      <w:r w:rsidR="0034472A">
        <w:rPr>
          <w:rFonts w:ascii="Arial" w:hAnsi="Arial" w:cs="Arial"/>
          <w:sz w:val="26"/>
          <w:szCs w:val="26"/>
        </w:rPr>
        <w:t>, a quien demando la falta de notificación de la resolución de fecha doce de febrero de dos mil diecinueve dictada en el expediente ASE/UAJ/P.R./004/2016, ordenándose correr traslado a la autoridad demandada para que rindiera su informe.</w:t>
      </w:r>
    </w:p>
    <w:p w14:paraId="334B0CD7" w14:textId="4F8281EA" w:rsidR="0034472A" w:rsidRPr="00D475EF" w:rsidRDefault="0034472A" w:rsidP="00227923">
      <w:pPr>
        <w:spacing w:line="360" w:lineRule="auto"/>
        <w:ind w:firstLine="567"/>
        <w:jc w:val="both"/>
        <w:rPr>
          <w:rFonts w:ascii="Arial" w:hAnsi="Arial" w:cs="Arial"/>
          <w:sz w:val="26"/>
          <w:szCs w:val="26"/>
        </w:rPr>
      </w:pPr>
      <w:r>
        <w:rPr>
          <w:rFonts w:ascii="Arial" w:hAnsi="Arial" w:cs="Arial"/>
          <w:sz w:val="26"/>
          <w:szCs w:val="26"/>
        </w:rPr>
        <w:t>9. Mediante acuerdo de veinticuatro de marzo de dos mil veintitrés (24/03/2023), se tuvo a la autoridad demandada rindiendo en tiempo el informe solicitado, ordenándose dar vista a la parte actora con el referido informe a efecto de que si era su deseo ampliara su demanda.</w:t>
      </w:r>
    </w:p>
    <w:p w14:paraId="74031DDB" w14:textId="55B2C159" w:rsidR="0034472A" w:rsidRPr="0034472A" w:rsidRDefault="0034472A" w:rsidP="00227923">
      <w:pPr>
        <w:spacing w:line="360" w:lineRule="auto"/>
        <w:ind w:firstLine="567"/>
        <w:jc w:val="both"/>
        <w:rPr>
          <w:rFonts w:ascii="Arial" w:hAnsi="Arial" w:cs="Arial"/>
          <w:b/>
          <w:bCs/>
          <w:spacing w:val="-3"/>
          <w:sz w:val="26"/>
          <w:szCs w:val="26"/>
          <w:lang w:val="es-ES_tradnl"/>
        </w:rPr>
      </w:pPr>
      <w:r>
        <w:rPr>
          <w:rFonts w:ascii="Arial" w:hAnsi="Arial" w:cs="Arial"/>
          <w:b/>
          <w:bCs/>
          <w:spacing w:val="-3"/>
          <w:sz w:val="26"/>
          <w:szCs w:val="26"/>
          <w:lang w:val="es-ES_tradnl"/>
        </w:rPr>
        <w:t>SEXTO. AMPLIACIÓN DE DEMANDA Y SU CONTESTACIÓN</w:t>
      </w:r>
    </w:p>
    <w:p w14:paraId="6CF6D1A9" w14:textId="4EA25136" w:rsidR="0034472A" w:rsidRDefault="003F0DC1"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 xml:space="preserve">10. Por acuerdo de tres de mayo de dos mil veintitrés (03/05/2023), se tuvo al ciudadano </w:t>
      </w:r>
      <w:r w:rsidR="009111F5">
        <w:rPr>
          <w:rFonts w:ascii="Arial" w:hAnsi="Arial" w:cs="Arial"/>
          <w:b/>
          <w:sz w:val="26"/>
          <w:szCs w:val="26"/>
        </w:rPr>
        <w:t xml:space="preserve">********** </w:t>
      </w:r>
      <w:r w:rsidRPr="003F0DC1">
        <w:rPr>
          <w:rFonts w:ascii="Arial" w:hAnsi="Arial" w:cs="Arial"/>
          <w:bCs/>
          <w:spacing w:val="-3"/>
          <w:sz w:val="26"/>
          <w:szCs w:val="26"/>
          <w:lang w:val="es-ES_tradnl"/>
        </w:rPr>
        <w:t>ampliando su demanda</w:t>
      </w:r>
      <w:r w:rsidR="003455EB">
        <w:rPr>
          <w:rFonts w:ascii="Arial" w:hAnsi="Arial" w:cs="Arial"/>
          <w:bCs/>
          <w:spacing w:val="-3"/>
          <w:sz w:val="26"/>
          <w:szCs w:val="26"/>
          <w:lang w:val="es-ES_tradnl"/>
        </w:rPr>
        <w:t>, ordenándose correr traslado a la autoridad demandada, para que rindiera su informe en relación con la ampliación de demanda formulada por la parte actora.</w:t>
      </w:r>
    </w:p>
    <w:p w14:paraId="6745CEC8" w14:textId="62E6CFB4" w:rsidR="003F0DC1" w:rsidRPr="003455EB" w:rsidRDefault="003455EB"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11. Mediante proveído de dos de junio de dos mil veintitrés (02/06/2023), se tuvo a la autoridad demandada rindiendo en tiempo su informe en ampliación de demanda, y con excepción de la prueba de informe ofrecida por la parte actora, se admitieron a trámite las pruebas ofrecidas por las partes.</w:t>
      </w:r>
    </w:p>
    <w:p w14:paraId="04C19CA1" w14:textId="150E9F02" w:rsidR="00524C88" w:rsidRPr="00EE4752" w:rsidRDefault="0034472A" w:rsidP="00227923">
      <w:pPr>
        <w:spacing w:line="360" w:lineRule="auto"/>
        <w:ind w:firstLine="567"/>
        <w:jc w:val="both"/>
        <w:rPr>
          <w:rFonts w:ascii="Arial" w:hAnsi="Arial" w:cs="Arial"/>
          <w:b/>
          <w:bCs/>
          <w:spacing w:val="-3"/>
          <w:sz w:val="26"/>
          <w:szCs w:val="26"/>
          <w:lang w:val="es-ES_tradnl"/>
        </w:rPr>
      </w:pPr>
      <w:r>
        <w:rPr>
          <w:rFonts w:ascii="Arial" w:hAnsi="Arial" w:cs="Arial"/>
          <w:b/>
          <w:bCs/>
          <w:spacing w:val="-3"/>
          <w:sz w:val="26"/>
          <w:szCs w:val="26"/>
          <w:lang w:val="es-ES_tradnl"/>
        </w:rPr>
        <w:t>SÉPTIMO</w:t>
      </w:r>
      <w:r w:rsidR="00A46078" w:rsidRPr="00EE4752">
        <w:rPr>
          <w:rFonts w:ascii="Arial" w:hAnsi="Arial" w:cs="Arial"/>
          <w:b/>
          <w:bCs/>
          <w:spacing w:val="-3"/>
          <w:sz w:val="26"/>
          <w:szCs w:val="26"/>
          <w:lang w:val="es-ES_tradnl"/>
        </w:rPr>
        <w:t>. AUDIENCIA DE LEY.</w:t>
      </w:r>
    </w:p>
    <w:p w14:paraId="4F74A562" w14:textId="4C774A7B" w:rsidR="00B823D0" w:rsidRPr="00EE4752" w:rsidRDefault="003455EB" w:rsidP="00227923">
      <w:pPr>
        <w:spacing w:line="360" w:lineRule="auto"/>
        <w:ind w:firstLine="567"/>
        <w:jc w:val="both"/>
        <w:rPr>
          <w:rFonts w:ascii="Arial" w:hAnsi="Arial" w:cs="Arial"/>
          <w:spacing w:val="-3"/>
          <w:sz w:val="26"/>
          <w:szCs w:val="26"/>
          <w:lang w:val="es-ES_tradnl"/>
        </w:rPr>
      </w:pPr>
      <w:r>
        <w:rPr>
          <w:rFonts w:ascii="Arial" w:hAnsi="Arial" w:cs="Arial"/>
          <w:bCs/>
          <w:spacing w:val="-3"/>
          <w:sz w:val="26"/>
          <w:szCs w:val="26"/>
          <w:lang w:val="es-ES_tradnl"/>
        </w:rPr>
        <w:t>12</w:t>
      </w:r>
      <w:r w:rsidR="003F43EB">
        <w:rPr>
          <w:rFonts w:ascii="Arial" w:hAnsi="Arial" w:cs="Arial"/>
          <w:bCs/>
          <w:spacing w:val="-3"/>
          <w:sz w:val="26"/>
          <w:szCs w:val="26"/>
          <w:lang w:val="es-ES_tradnl"/>
        </w:rPr>
        <w:t xml:space="preserve">. </w:t>
      </w:r>
      <w:r w:rsidR="00646FEE" w:rsidRPr="00EE4752">
        <w:rPr>
          <w:rFonts w:ascii="Arial" w:hAnsi="Arial" w:cs="Arial"/>
          <w:bCs/>
          <w:spacing w:val="-3"/>
          <w:sz w:val="26"/>
          <w:szCs w:val="26"/>
          <w:lang w:val="es-ES_tradnl"/>
        </w:rPr>
        <w:t xml:space="preserve">Mediante </w:t>
      </w:r>
      <w:r>
        <w:rPr>
          <w:rFonts w:ascii="Arial" w:hAnsi="Arial" w:cs="Arial"/>
          <w:bCs/>
          <w:spacing w:val="-3"/>
          <w:sz w:val="26"/>
          <w:szCs w:val="26"/>
          <w:lang w:val="es-ES_tradnl"/>
        </w:rPr>
        <w:t>proveído de dos de junio de dos mil veintitrés (02/06/2023)</w:t>
      </w:r>
      <w:r w:rsidR="0090593F" w:rsidRPr="005C6522">
        <w:rPr>
          <w:rFonts w:ascii="Arial" w:hAnsi="Arial" w:cs="Arial"/>
          <w:spacing w:val="-3"/>
          <w:sz w:val="26"/>
          <w:szCs w:val="26"/>
          <w:lang w:val="es-ES_tradnl"/>
        </w:rPr>
        <w:t xml:space="preserve">, </w:t>
      </w:r>
      <w:r w:rsidR="00C662A1" w:rsidRPr="005C6522">
        <w:rPr>
          <w:rFonts w:ascii="Arial" w:hAnsi="Arial" w:cs="Arial"/>
          <w:spacing w:val="-3"/>
          <w:sz w:val="26"/>
          <w:szCs w:val="26"/>
          <w:lang w:val="es-ES_tradnl"/>
        </w:rPr>
        <w:t>se</w:t>
      </w:r>
      <w:r w:rsidR="00C662A1" w:rsidRPr="00EE4752">
        <w:rPr>
          <w:rFonts w:ascii="Arial" w:hAnsi="Arial" w:cs="Arial"/>
          <w:spacing w:val="-3"/>
          <w:sz w:val="26"/>
          <w:szCs w:val="26"/>
          <w:lang w:val="es-ES_tradnl"/>
        </w:rPr>
        <w:t xml:space="preserve"> señaló fecha y hora para la c</w:t>
      </w:r>
      <w:r w:rsidR="008A5277">
        <w:rPr>
          <w:rFonts w:ascii="Arial" w:hAnsi="Arial" w:cs="Arial"/>
          <w:spacing w:val="-3"/>
          <w:sz w:val="26"/>
          <w:szCs w:val="26"/>
          <w:lang w:val="es-ES_tradnl"/>
        </w:rPr>
        <w:t>elebración de la audiencia de pruebas y alegatos</w:t>
      </w:r>
      <w:r w:rsidR="00C662A1" w:rsidRPr="00EE4752">
        <w:rPr>
          <w:rFonts w:ascii="Arial" w:hAnsi="Arial" w:cs="Arial"/>
          <w:spacing w:val="-3"/>
          <w:sz w:val="26"/>
          <w:szCs w:val="26"/>
          <w:lang w:val="es-ES_tradnl"/>
        </w:rPr>
        <w:t>.</w:t>
      </w:r>
    </w:p>
    <w:p w14:paraId="07FA2234" w14:textId="2B2BFE58" w:rsidR="00D475EF" w:rsidRDefault="003455EB"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13</w:t>
      </w:r>
      <w:r w:rsidR="003F43EB">
        <w:rPr>
          <w:rFonts w:ascii="Arial" w:hAnsi="Arial" w:cs="Arial"/>
          <w:bCs/>
          <w:spacing w:val="-3"/>
          <w:sz w:val="26"/>
          <w:szCs w:val="26"/>
          <w:lang w:val="es-ES_tradnl"/>
        </w:rPr>
        <w:t xml:space="preserve">. </w:t>
      </w:r>
      <w:r w:rsidR="00F53072" w:rsidRPr="00EE4752">
        <w:rPr>
          <w:rFonts w:ascii="Arial" w:hAnsi="Arial" w:cs="Arial"/>
          <w:bCs/>
          <w:spacing w:val="-3"/>
          <w:sz w:val="26"/>
          <w:szCs w:val="26"/>
          <w:lang w:val="es-ES_tradnl"/>
        </w:rPr>
        <w:t>El</w:t>
      </w:r>
      <w:r w:rsidR="00CE3F36" w:rsidRPr="00EE4752">
        <w:rPr>
          <w:rFonts w:ascii="Arial" w:hAnsi="Arial" w:cs="Arial"/>
          <w:bCs/>
          <w:spacing w:val="-3"/>
          <w:sz w:val="26"/>
          <w:szCs w:val="26"/>
          <w:lang w:val="es-ES_tradnl"/>
        </w:rPr>
        <w:t xml:space="preserve"> </w:t>
      </w:r>
      <w:r w:rsidR="00D30DDB">
        <w:rPr>
          <w:rFonts w:ascii="Arial" w:hAnsi="Arial" w:cs="Arial"/>
          <w:bCs/>
          <w:spacing w:val="-3"/>
          <w:sz w:val="26"/>
          <w:szCs w:val="26"/>
          <w:lang w:val="es-ES_tradnl"/>
        </w:rPr>
        <w:t>diecinueve de junio de dos mil veintitrés (19/06/2023)</w:t>
      </w:r>
      <w:r w:rsidR="00D475EF" w:rsidRPr="00D475EF">
        <w:rPr>
          <w:rFonts w:ascii="Arial" w:hAnsi="Arial" w:cs="Arial"/>
          <w:bCs/>
          <w:spacing w:val="-3"/>
          <w:sz w:val="26"/>
          <w:szCs w:val="26"/>
          <w:lang w:val="es-ES_tradnl"/>
        </w:rPr>
        <w:t xml:space="preserve">, se llevó a cabo la audiencia de pruebas y alegatos, sin asistencia de las partes, en la que </w:t>
      </w:r>
      <w:r w:rsidR="00D475EF" w:rsidRPr="00D475EF">
        <w:rPr>
          <w:rFonts w:ascii="Arial" w:hAnsi="Arial" w:cs="Arial"/>
          <w:bCs/>
          <w:spacing w:val="-3"/>
          <w:sz w:val="26"/>
          <w:szCs w:val="26"/>
          <w:lang w:val="es-ES_tradnl"/>
        </w:rPr>
        <w:lastRenderedPageBreak/>
        <w:t>se desa</w:t>
      </w:r>
      <w:r w:rsidR="00D30DDB">
        <w:rPr>
          <w:rFonts w:ascii="Arial" w:hAnsi="Arial" w:cs="Arial"/>
          <w:bCs/>
          <w:spacing w:val="-3"/>
          <w:sz w:val="26"/>
          <w:szCs w:val="26"/>
          <w:lang w:val="es-ES_tradnl"/>
        </w:rPr>
        <w:t>hogaron las pruebas admitidas a</w:t>
      </w:r>
      <w:r w:rsidR="00D475EF" w:rsidRPr="00D475EF">
        <w:rPr>
          <w:rFonts w:ascii="Arial" w:hAnsi="Arial" w:cs="Arial"/>
          <w:bCs/>
          <w:spacing w:val="-3"/>
          <w:sz w:val="26"/>
          <w:szCs w:val="26"/>
          <w:lang w:val="es-ES_tradnl"/>
        </w:rPr>
        <w:t xml:space="preserve">l demandante y a la autoridad fiscalizadora, y concluido su desahogo, se abrió el periodo de alegatos, </w:t>
      </w:r>
      <w:r w:rsidR="00D30DDB">
        <w:rPr>
          <w:rFonts w:ascii="Arial" w:hAnsi="Arial" w:cs="Arial"/>
          <w:bCs/>
          <w:spacing w:val="-3"/>
          <w:sz w:val="26"/>
          <w:szCs w:val="26"/>
          <w:lang w:val="es-ES_tradnl"/>
        </w:rPr>
        <w:t xml:space="preserve">fase en la que se dio cuenta con un escrito de la parte actora por el cual formulo sus alegatos, </w:t>
      </w:r>
      <w:r w:rsidR="00D475EF" w:rsidRPr="00D475EF">
        <w:rPr>
          <w:rFonts w:ascii="Arial" w:hAnsi="Arial" w:cs="Arial"/>
          <w:bCs/>
          <w:spacing w:val="-3"/>
          <w:sz w:val="26"/>
          <w:szCs w:val="26"/>
          <w:lang w:val="es-ES_tradnl"/>
        </w:rPr>
        <w:t xml:space="preserve">declarándose </w:t>
      </w:r>
      <w:r w:rsidR="00BE15CD">
        <w:rPr>
          <w:rFonts w:ascii="Arial" w:hAnsi="Arial" w:cs="Arial"/>
          <w:bCs/>
          <w:spacing w:val="-3"/>
          <w:sz w:val="26"/>
          <w:szCs w:val="26"/>
          <w:lang w:val="es-ES_tradnl"/>
        </w:rPr>
        <w:t xml:space="preserve">que se tenía por formalizada esa etapa del juicio </w:t>
      </w:r>
      <w:r w:rsidR="00D475EF" w:rsidRPr="00D475EF">
        <w:rPr>
          <w:rFonts w:ascii="Arial" w:hAnsi="Arial" w:cs="Arial"/>
          <w:bCs/>
          <w:spacing w:val="-3"/>
          <w:sz w:val="26"/>
          <w:szCs w:val="26"/>
          <w:lang w:val="es-ES_tradnl"/>
        </w:rPr>
        <w:t>y se cerró dicho periodo</w:t>
      </w:r>
      <w:r w:rsidR="00D475EF">
        <w:rPr>
          <w:rFonts w:ascii="Arial" w:hAnsi="Arial" w:cs="Arial"/>
          <w:bCs/>
          <w:spacing w:val="-3"/>
          <w:sz w:val="26"/>
          <w:szCs w:val="26"/>
          <w:lang w:val="es-ES_tradnl"/>
        </w:rPr>
        <w:t>.</w:t>
      </w:r>
    </w:p>
    <w:p w14:paraId="3F418BFA" w14:textId="41CAB7B3" w:rsidR="00D475EF" w:rsidRPr="00F00209" w:rsidRDefault="00D30DDB" w:rsidP="00D30DDB">
      <w:pPr>
        <w:pStyle w:val="corte4fondo"/>
        <w:tabs>
          <w:tab w:val="left" w:pos="0"/>
        </w:tabs>
        <w:spacing w:before="240" w:after="240"/>
        <w:ind w:right="51" w:firstLine="567"/>
        <w:rPr>
          <w:b/>
          <w:sz w:val="26"/>
          <w:szCs w:val="26"/>
          <w:lang w:val="es-MX"/>
        </w:rPr>
      </w:pPr>
      <w:r>
        <w:rPr>
          <w:rFonts w:cs="Arial"/>
          <w:bCs/>
          <w:spacing w:val="-3"/>
          <w:sz w:val="26"/>
          <w:szCs w:val="26"/>
        </w:rPr>
        <w:t>14</w:t>
      </w:r>
      <w:r w:rsidR="003F43EB">
        <w:rPr>
          <w:rFonts w:cs="Arial"/>
          <w:bCs/>
          <w:spacing w:val="-3"/>
          <w:sz w:val="26"/>
          <w:szCs w:val="26"/>
        </w:rPr>
        <w:t xml:space="preserve">. </w:t>
      </w:r>
      <w:r w:rsidR="00D475EF">
        <w:rPr>
          <w:sz w:val="26"/>
          <w:szCs w:val="26"/>
        </w:rPr>
        <w:t xml:space="preserve">Por acuerdo de </w:t>
      </w:r>
      <w:r w:rsidR="0073192D">
        <w:rPr>
          <w:sz w:val="26"/>
          <w:szCs w:val="26"/>
        </w:rPr>
        <w:t>seis de julio de dos mil veintitrés (06/07/2023)</w:t>
      </w:r>
      <w:r w:rsidR="00D475EF" w:rsidRPr="00F00209">
        <w:rPr>
          <w:sz w:val="26"/>
          <w:szCs w:val="26"/>
        </w:rPr>
        <w:t>, se dictó acuerdo en el que se determinó agotada l</w:t>
      </w:r>
      <w:r w:rsidR="00D475EF">
        <w:rPr>
          <w:sz w:val="26"/>
          <w:szCs w:val="26"/>
        </w:rPr>
        <w:t>a instrucción del procedimiento,</w:t>
      </w:r>
      <w:r w:rsidR="00D475EF" w:rsidRPr="00F00209">
        <w:rPr>
          <w:sz w:val="26"/>
          <w:szCs w:val="26"/>
        </w:rPr>
        <w:t xml:space="preserve"> quedando el presente juicio en estado de resolución; y, </w:t>
      </w:r>
    </w:p>
    <w:p w14:paraId="258CE6C0" w14:textId="2E11EF85" w:rsidR="00102315" w:rsidRPr="00EE4752" w:rsidRDefault="003E5FB0" w:rsidP="00227923">
      <w:pPr>
        <w:spacing w:line="360" w:lineRule="auto"/>
        <w:jc w:val="center"/>
        <w:rPr>
          <w:rFonts w:ascii="Arial" w:hAnsi="Arial" w:cs="Arial"/>
          <w:b/>
          <w:spacing w:val="-3"/>
          <w:sz w:val="26"/>
          <w:szCs w:val="26"/>
          <w:lang w:val="es-ES_tradnl"/>
        </w:rPr>
      </w:pPr>
      <w:r w:rsidRPr="00EE4752">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73A3A46A" w14:textId="77777777" w:rsidR="00350309" w:rsidRPr="00EE4752" w:rsidRDefault="00102315" w:rsidP="00227923">
      <w:pPr>
        <w:spacing w:line="360" w:lineRule="auto"/>
        <w:ind w:firstLine="567"/>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DC765E" w:rsidRPr="00EE4752">
        <w:rPr>
          <w:rFonts w:ascii="Arial" w:hAnsi="Arial" w:cs="Arial"/>
          <w:b/>
          <w:sz w:val="26"/>
          <w:szCs w:val="26"/>
        </w:rPr>
        <w:t xml:space="preserve">COMPETENCIA LEGAL. </w:t>
      </w:r>
    </w:p>
    <w:p w14:paraId="5FD61B2A" w14:textId="3DE9EC4A" w:rsidR="007C7924" w:rsidRPr="008A04E2" w:rsidRDefault="00D30DDB" w:rsidP="00227923">
      <w:pPr>
        <w:spacing w:line="360" w:lineRule="auto"/>
        <w:ind w:firstLine="567"/>
        <w:jc w:val="both"/>
        <w:rPr>
          <w:rFonts w:ascii="Arial" w:hAnsi="Arial" w:cs="Arial"/>
          <w:sz w:val="26"/>
          <w:szCs w:val="26"/>
        </w:rPr>
      </w:pPr>
      <w:r>
        <w:rPr>
          <w:rFonts w:ascii="Arial" w:hAnsi="Arial" w:cs="Arial"/>
          <w:sz w:val="26"/>
          <w:szCs w:val="26"/>
        </w:rPr>
        <w:t>15</w:t>
      </w:r>
      <w:r w:rsidR="003F43EB">
        <w:rPr>
          <w:rFonts w:ascii="Arial" w:hAnsi="Arial" w:cs="Arial"/>
          <w:sz w:val="26"/>
          <w:szCs w:val="26"/>
        </w:rPr>
        <w:t xml:space="preserve">. </w:t>
      </w:r>
      <w:r w:rsidR="004901A3" w:rsidRPr="00EE4752">
        <w:rPr>
          <w:rFonts w:ascii="Arial" w:hAnsi="Arial" w:cs="Arial"/>
          <w:sz w:val="26"/>
          <w:szCs w:val="26"/>
        </w:rPr>
        <w:t xml:space="preserve">Esta Sala </w:t>
      </w:r>
      <w:r w:rsidR="00D475EF">
        <w:rPr>
          <w:rFonts w:ascii="Arial" w:hAnsi="Arial" w:cs="Arial"/>
          <w:sz w:val="26"/>
          <w:szCs w:val="26"/>
        </w:rPr>
        <w:t xml:space="preserve">Superior </w:t>
      </w:r>
      <w:r w:rsidR="004901A3" w:rsidRPr="00EE4752">
        <w:rPr>
          <w:rFonts w:ascii="Arial" w:hAnsi="Arial" w:cs="Arial"/>
          <w:sz w:val="26"/>
          <w:szCs w:val="26"/>
        </w:rPr>
        <w:t xml:space="preserve">del Tribunal de Justicia Administrativa </w:t>
      </w:r>
      <w:r w:rsidR="006A47AD" w:rsidRPr="00EE4752">
        <w:rPr>
          <w:rFonts w:ascii="Arial" w:hAnsi="Arial" w:cs="Arial"/>
          <w:sz w:val="26"/>
          <w:szCs w:val="26"/>
        </w:rPr>
        <w:t>y Combate a la Corrupción del</w:t>
      </w:r>
      <w:r w:rsidR="004901A3" w:rsidRPr="00EE4752">
        <w:rPr>
          <w:rFonts w:ascii="Arial" w:hAnsi="Arial" w:cs="Arial"/>
          <w:sz w:val="26"/>
          <w:szCs w:val="26"/>
        </w:rPr>
        <w:t xml:space="preserve"> Estado de Oaxaca, es competente para conocer y resolver el presente juicio</w:t>
      </w:r>
      <w:r w:rsidR="008A04E2">
        <w:rPr>
          <w:rFonts w:ascii="Arial" w:hAnsi="Arial" w:cs="Arial"/>
          <w:sz w:val="26"/>
          <w:szCs w:val="26"/>
        </w:rPr>
        <w:t xml:space="preserve"> de inconformidad</w:t>
      </w:r>
      <w:r w:rsidR="004901A3" w:rsidRPr="00EE4752">
        <w:rPr>
          <w:rFonts w:ascii="Arial" w:hAnsi="Arial" w:cs="Arial"/>
          <w:sz w:val="26"/>
          <w:szCs w:val="26"/>
        </w:rPr>
        <w:t xml:space="preserve">, con fundamento en los artículos </w:t>
      </w:r>
      <w:r w:rsidR="004901A3" w:rsidRPr="003E1D74">
        <w:rPr>
          <w:rFonts w:ascii="Arial" w:hAnsi="Arial" w:cs="Arial"/>
          <w:sz w:val="26"/>
          <w:szCs w:val="26"/>
        </w:rPr>
        <w:t xml:space="preserve">116 </w:t>
      </w:r>
      <w:r w:rsidR="003E1D74" w:rsidRPr="003E1D74">
        <w:rPr>
          <w:rFonts w:ascii="Arial" w:hAnsi="Arial" w:cs="Arial"/>
          <w:sz w:val="26"/>
          <w:szCs w:val="26"/>
        </w:rPr>
        <w:t xml:space="preserve">párrafo primero de la </w:t>
      </w:r>
      <w:r w:rsidR="004901A3" w:rsidRPr="003E1D74">
        <w:rPr>
          <w:rFonts w:ascii="Arial" w:hAnsi="Arial" w:cs="Arial"/>
          <w:sz w:val="26"/>
          <w:szCs w:val="26"/>
        </w:rPr>
        <w:t xml:space="preserve">fracción V de la </w:t>
      </w:r>
      <w:r w:rsidR="00F17D36" w:rsidRPr="00F17D36">
        <w:rPr>
          <w:rFonts w:ascii="Arial" w:hAnsi="Arial" w:cs="Arial"/>
          <w:i/>
          <w:sz w:val="26"/>
          <w:szCs w:val="26"/>
        </w:rPr>
        <w:t>Constitución Federal</w:t>
      </w:r>
      <w:r w:rsidR="004901A3" w:rsidRPr="003E1D74">
        <w:rPr>
          <w:rFonts w:ascii="Arial" w:hAnsi="Arial" w:cs="Arial"/>
          <w:sz w:val="26"/>
          <w:szCs w:val="26"/>
        </w:rPr>
        <w:t>;</w:t>
      </w:r>
      <w:r w:rsidR="004901A3" w:rsidRPr="00EE4752">
        <w:rPr>
          <w:rFonts w:ascii="Arial" w:hAnsi="Arial" w:cs="Arial"/>
          <w:sz w:val="26"/>
          <w:szCs w:val="26"/>
        </w:rPr>
        <w:t xml:space="preserve"> 114 QUATER </w:t>
      </w:r>
      <w:r w:rsidR="008A04E2">
        <w:rPr>
          <w:rFonts w:ascii="Arial" w:hAnsi="Arial" w:cs="Arial"/>
          <w:sz w:val="26"/>
          <w:szCs w:val="26"/>
        </w:rPr>
        <w:t xml:space="preserve"> </w:t>
      </w:r>
      <w:r w:rsidR="008A04E2" w:rsidRPr="003E1D74">
        <w:rPr>
          <w:rFonts w:ascii="Arial" w:hAnsi="Arial" w:cs="Arial"/>
          <w:sz w:val="26"/>
          <w:szCs w:val="26"/>
        </w:rPr>
        <w:t xml:space="preserve">inciso B) fracción I </w:t>
      </w:r>
      <w:r w:rsidR="004901A3" w:rsidRPr="003E1D74">
        <w:rPr>
          <w:rFonts w:ascii="Arial" w:hAnsi="Arial" w:cs="Arial"/>
          <w:sz w:val="26"/>
          <w:szCs w:val="26"/>
        </w:rPr>
        <w:t>de la</w:t>
      </w:r>
      <w:r w:rsidR="004901A3" w:rsidRPr="00EE4752">
        <w:rPr>
          <w:rFonts w:ascii="Arial" w:hAnsi="Arial" w:cs="Arial"/>
          <w:sz w:val="26"/>
          <w:szCs w:val="26"/>
        </w:rPr>
        <w:t xml:space="preserve"> </w:t>
      </w:r>
      <w:r w:rsidR="00F17D36" w:rsidRPr="00F17D36">
        <w:rPr>
          <w:rFonts w:ascii="Arial" w:hAnsi="Arial" w:cs="Arial"/>
          <w:i/>
          <w:sz w:val="26"/>
          <w:szCs w:val="26"/>
        </w:rPr>
        <w:t>Constitución Local</w:t>
      </w:r>
      <w:r w:rsidR="006A3386" w:rsidRPr="00F17D36">
        <w:rPr>
          <w:rFonts w:ascii="Arial" w:hAnsi="Arial" w:cs="Arial"/>
          <w:i/>
          <w:sz w:val="26"/>
          <w:szCs w:val="26"/>
        </w:rPr>
        <w:t>, vigente</w:t>
      </w:r>
      <w:r w:rsidR="00431F5F">
        <w:rPr>
          <w:rFonts w:ascii="Arial" w:hAnsi="Arial" w:cs="Arial"/>
          <w:sz w:val="26"/>
          <w:szCs w:val="26"/>
        </w:rPr>
        <w:t>;</w:t>
      </w:r>
      <w:r w:rsidR="007C7924" w:rsidRPr="008A04E2">
        <w:rPr>
          <w:rFonts w:ascii="Arial" w:hAnsi="Arial" w:cs="Arial"/>
          <w:sz w:val="26"/>
          <w:szCs w:val="26"/>
        </w:rPr>
        <w:t xml:space="preserve"> </w:t>
      </w:r>
      <w:r w:rsidR="003E1D74">
        <w:rPr>
          <w:rFonts w:ascii="Arial" w:hAnsi="Arial" w:cs="Arial"/>
          <w:sz w:val="26"/>
          <w:szCs w:val="26"/>
        </w:rPr>
        <w:t xml:space="preserve">1, 2 párrafos primero y tercero, </w:t>
      </w:r>
      <w:r w:rsidR="007C7924" w:rsidRPr="008A04E2">
        <w:rPr>
          <w:rFonts w:ascii="Arial" w:hAnsi="Arial" w:cs="Arial"/>
          <w:sz w:val="26"/>
          <w:szCs w:val="26"/>
        </w:rPr>
        <w:t xml:space="preserve">4 </w:t>
      </w:r>
      <w:r w:rsidR="007C7924" w:rsidRPr="00F17D36">
        <w:rPr>
          <w:rFonts w:ascii="Arial" w:hAnsi="Arial" w:cs="Arial"/>
          <w:sz w:val="26"/>
          <w:szCs w:val="26"/>
        </w:rPr>
        <w:t>fracciones I, II y XII</w:t>
      </w:r>
      <w:r w:rsidR="003E1D74" w:rsidRPr="00F17D36">
        <w:rPr>
          <w:rFonts w:ascii="Arial" w:hAnsi="Arial" w:cs="Arial"/>
          <w:sz w:val="26"/>
          <w:szCs w:val="26"/>
        </w:rPr>
        <w:t>, y 24 fraccio</w:t>
      </w:r>
      <w:r w:rsidR="007C7924" w:rsidRPr="00F17D36">
        <w:rPr>
          <w:rFonts w:ascii="Arial" w:hAnsi="Arial" w:cs="Arial"/>
          <w:sz w:val="26"/>
          <w:szCs w:val="26"/>
        </w:rPr>
        <w:t>n</w:t>
      </w:r>
      <w:r w:rsidR="003E1D74" w:rsidRPr="00F17D36">
        <w:rPr>
          <w:rFonts w:ascii="Arial" w:hAnsi="Arial" w:cs="Arial"/>
          <w:sz w:val="26"/>
          <w:szCs w:val="26"/>
        </w:rPr>
        <w:t>es</w:t>
      </w:r>
      <w:r w:rsidR="007C7924" w:rsidRPr="00F17D36">
        <w:rPr>
          <w:rFonts w:ascii="Arial" w:hAnsi="Arial" w:cs="Arial"/>
          <w:sz w:val="26"/>
          <w:szCs w:val="26"/>
        </w:rPr>
        <w:t xml:space="preserve"> I</w:t>
      </w:r>
      <w:r w:rsidR="003E1D74" w:rsidRPr="00F17D36">
        <w:rPr>
          <w:rFonts w:ascii="Arial" w:hAnsi="Arial" w:cs="Arial"/>
          <w:sz w:val="26"/>
          <w:szCs w:val="26"/>
        </w:rPr>
        <w:t xml:space="preserve"> y VIII</w:t>
      </w:r>
      <w:r w:rsidR="007C7924" w:rsidRPr="00F17D36">
        <w:rPr>
          <w:rFonts w:ascii="Arial" w:hAnsi="Arial" w:cs="Arial"/>
          <w:sz w:val="26"/>
          <w:szCs w:val="26"/>
        </w:rPr>
        <w:t xml:space="preserve"> de la </w:t>
      </w:r>
      <w:r w:rsidR="007C7924" w:rsidRPr="00F17D36">
        <w:rPr>
          <w:rFonts w:ascii="Arial" w:hAnsi="Arial" w:cs="Arial"/>
          <w:i/>
          <w:sz w:val="26"/>
          <w:szCs w:val="26"/>
        </w:rPr>
        <w:t>Ley Orgánica</w:t>
      </w:r>
      <w:r w:rsidR="007C7924" w:rsidRPr="00F17D36">
        <w:rPr>
          <w:rFonts w:ascii="Arial" w:hAnsi="Arial" w:cs="Arial"/>
          <w:sz w:val="26"/>
          <w:szCs w:val="26"/>
        </w:rPr>
        <w:t xml:space="preserve">, </w:t>
      </w:r>
      <w:r w:rsidR="003F20D1">
        <w:rPr>
          <w:rFonts w:ascii="Arial" w:hAnsi="Arial" w:cs="Arial"/>
          <w:bCs/>
          <w:iCs/>
          <w:sz w:val="26"/>
          <w:szCs w:val="26"/>
        </w:rPr>
        <w:t>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w:t>
      </w:r>
      <w:r w:rsidR="007C7924" w:rsidRPr="00F17D36">
        <w:rPr>
          <w:rFonts w:ascii="Arial" w:hAnsi="Arial" w:cs="Arial"/>
          <w:sz w:val="26"/>
          <w:szCs w:val="26"/>
        </w:rPr>
        <w:t xml:space="preserve">1, 2, 5, 8, 10 28 </w:t>
      </w:r>
      <w:r w:rsidR="00C11F70" w:rsidRPr="00F17D36">
        <w:rPr>
          <w:rFonts w:ascii="Arial" w:hAnsi="Arial" w:cs="Arial"/>
          <w:sz w:val="26"/>
          <w:szCs w:val="26"/>
        </w:rPr>
        <w:t xml:space="preserve">y 38 </w:t>
      </w:r>
      <w:r w:rsidR="007C7924" w:rsidRPr="00F17D36">
        <w:rPr>
          <w:rFonts w:ascii="Arial" w:hAnsi="Arial" w:cs="Arial"/>
          <w:sz w:val="26"/>
          <w:szCs w:val="26"/>
        </w:rPr>
        <w:t xml:space="preserve">de la </w:t>
      </w:r>
      <w:r w:rsidR="007C7924" w:rsidRPr="00F17D36">
        <w:rPr>
          <w:rFonts w:ascii="Arial" w:hAnsi="Arial" w:cs="Arial"/>
          <w:i/>
          <w:sz w:val="26"/>
          <w:szCs w:val="26"/>
        </w:rPr>
        <w:t>Ley de Justicia</w:t>
      </w:r>
      <w:r w:rsidR="007C7924" w:rsidRPr="00F17D36">
        <w:rPr>
          <w:rFonts w:ascii="Arial" w:hAnsi="Arial" w:cs="Arial"/>
          <w:sz w:val="26"/>
          <w:szCs w:val="26"/>
        </w:rPr>
        <w:t>, con relación a los artículos 1, 3, 118, 119</w:t>
      </w:r>
      <w:r w:rsidR="00FE4BAB" w:rsidRPr="00F17D36">
        <w:rPr>
          <w:rFonts w:ascii="Arial" w:hAnsi="Arial" w:cs="Arial"/>
          <w:sz w:val="26"/>
          <w:szCs w:val="26"/>
        </w:rPr>
        <w:t xml:space="preserve"> párrafos primero y tercero, </w:t>
      </w:r>
      <w:r w:rsidR="007C7924" w:rsidRPr="00F17D36">
        <w:rPr>
          <w:rFonts w:ascii="Arial" w:hAnsi="Arial" w:cs="Arial"/>
          <w:sz w:val="26"/>
          <w:szCs w:val="26"/>
        </w:rPr>
        <w:t>120 fracción VI</w:t>
      </w:r>
      <w:r w:rsidR="00FE4BAB" w:rsidRPr="00F17D36">
        <w:rPr>
          <w:rFonts w:ascii="Arial" w:hAnsi="Arial" w:cs="Arial"/>
          <w:sz w:val="26"/>
          <w:szCs w:val="26"/>
        </w:rPr>
        <w:t>, 130 fracción X y 131</w:t>
      </w:r>
      <w:r w:rsidR="004901A3" w:rsidRPr="00F17D36">
        <w:rPr>
          <w:rFonts w:ascii="Arial" w:hAnsi="Arial" w:cs="Arial"/>
          <w:sz w:val="26"/>
          <w:szCs w:val="26"/>
        </w:rPr>
        <w:t xml:space="preserve"> de la</w:t>
      </w:r>
      <w:r w:rsidR="004901A3" w:rsidRPr="00EE4752">
        <w:rPr>
          <w:rFonts w:ascii="Arial" w:hAnsi="Arial" w:cs="Arial"/>
          <w:sz w:val="26"/>
          <w:szCs w:val="26"/>
        </w:rPr>
        <w:t xml:space="preserve"> </w:t>
      </w:r>
      <w:r w:rsidR="00992690" w:rsidRPr="00992690">
        <w:rPr>
          <w:rFonts w:ascii="Arial" w:hAnsi="Arial" w:cs="Arial"/>
          <w:i/>
          <w:sz w:val="26"/>
          <w:szCs w:val="26"/>
        </w:rPr>
        <w:t>Ley de Procedimiento</w:t>
      </w:r>
      <w:r w:rsidR="001A16AA" w:rsidRPr="00EE4752">
        <w:rPr>
          <w:rFonts w:ascii="Arial" w:hAnsi="Arial" w:cs="Arial"/>
          <w:sz w:val="26"/>
          <w:szCs w:val="26"/>
        </w:rPr>
        <w:t>,</w:t>
      </w:r>
      <w:r w:rsidR="006466A2" w:rsidRPr="00EE4752">
        <w:rPr>
          <w:rFonts w:ascii="Arial" w:hAnsi="Arial" w:cs="Arial"/>
          <w:sz w:val="26"/>
          <w:szCs w:val="26"/>
        </w:rPr>
        <w:t xml:space="preserve"> por tratarse de determinaciones atribuidas a una autoridad cuya competencia corresponde al ámbito territorial y material </w:t>
      </w:r>
      <w:r w:rsidR="007C7924">
        <w:rPr>
          <w:rFonts w:ascii="Arial" w:hAnsi="Arial" w:cs="Arial"/>
          <w:sz w:val="26"/>
          <w:szCs w:val="26"/>
        </w:rPr>
        <w:t>a esta Sala Superior del Tribunal de Justicia Administrativa y Combate a la Corrupción del Estado de Oaxaca</w:t>
      </w:r>
      <w:r w:rsidR="00FE4BAB">
        <w:rPr>
          <w:rFonts w:ascii="Arial" w:hAnsi="Arial" w:cs="Arial"/>
          <w:sz w:val="26"/>
          <w:szCs w:val="26"/>
        </w:rPr>
        <w:t>.</w:t>
      </w:r>
    </w:p>
    <w:p w14:paraId="416DC7DE" w14:textId="3340537F" w:rsidR="00350309" w:rsidRPr="00C60B50" w:rsidRDefault="00350309" w:rsidP="00227923">
      <w:pPr>
        <w:spacing w:line="360" w:lineRule="auto"/>
        <w:ind w:firstLine="567"/>
        <w:jc w:val="both"/>
        <w:rPr>
          <w:rFonts w:ascii="Arial" w:hAnsi="Arial" w:cs="Arial"/>
          <w:b/>
          <w:snapToGrid w:val="0"/>
          <w:sz w:val="26"/>
          <w:szCs w:val="26"/>
        </w:rPr>
      </w:pPr>
      <w:r w:rsidRPr="00C60B50">
        <w:rPr>
          <w:rFonts w:ascii="Arial" w:hAnsi="Arial" w:cs="Arial"/>
          <w:b/>
          <w:snapToGrid w:val="0"/>
          <w:sz w:val="26"/>
          <w:szCs w:val="26"/>
        </w:rPr>
        <w:t>SEGUNDO. PROCEDENCIA.</w:t>
      </w:r>
    </w:p>
    <w:p w14:paraId="48CFF6A5" w14:textId="124F626C" w:rsidR="00350309" w:rsidRPr="00C60B50" w:rsidRDefault="008A6D6F" w:rsidP="00227923">
      <w:pPr>
        <w:spacing w:line="360" w:lineRule="auto"/>
        <w:ind w:firstLine="567"/>
        <w:jc w:val="both"/>
        <w:rPr>
          <w:rFonts w:ascii="Arial" w:hAnsi="Arial" w:cs="Arial"/>
          <w:sz w:val="26"/>
          <w:szCs w:val="26"/>
        </w:rPr>
      </w:pPr>
      <w:r>
        <w:rPr>
          <w:rFonts w:ascii="Arial" w:hAnsi="Arial" w:cs="Arial"/>
          <w:snapToGrid w:val="0"/>
          <w:sz w:val="26"/>
          <w:szCs w:val="26"/>
        </w:rPr>
        <w:t>16</w:t>
      </w:r>
      <w:r w:rsidR="003F43EB">
        <w:rPr>
          <w:rFonts w:ascii="Arial" w:hAnsi="Arial" w:cs="Arial"/>
          <w:snapToGrid w:val="0"/>
          <w:sz w:val="26"/>
          <w:szCs w:val="26"/>
        </w:rPr>
        <w:t xml:space="preserve">. </w:t>
      </w:r>
      <w:r w:rsidR="00350309" w:rsidRPr="00C60B50">
        <w:rPr>
          <w:rFonts w:ascii="Arial" w:hAnsi="Arial" w:cs="Arial"/>
          <w:snapToGrid w:val="0"/>
          <w:sz w:val="26"/>
          <w:szCs w:val="26"/>
        </w:rPr>
        <w:t xml:space="preserve">Es procedente el </w:t>
      </w:r>
      <w:r w:rsidR="007C7924" w:rsidRPr="00C60B50">
        <w:rPr>
          <w:rFonts w:ascii="Arial" w:hAnsi="Arial" w:cs="Arial"/>
          <w:snapToGrid w:val="0"/>
          <w:sz w:val="26"/>
          <w:szCs w:val="26"/>
        </w:rPr>
        <w:t xml:space="preserve">presente </w:t>
      </w:r>
      <w:r w:rsidR="00350309" w:rsidRPr="00C60B50">
        <w:rPr>
          <w:rFonts w:ascii="Arial" w:hAnsi="Arial" w:cs="Arial"/>
          <w:snapToGrid w:val="0"/>
          <w:sz w:val="26"/>
          <w:szCs w:val="26"/>
        </w:rPr>
        <w:t xml:space="preserve">juicio de </w:t>
      </w:r>
      <w:r w:rsidR="007C7924" w:rsidRPr="00C60B50">
        <w:rPr>
          <w:rFonts w:ascii="Arial" w:hAnsi="Arial" w:cs="Arial"/>
          <w:snapToGrid w:val="0"/>
          <w:sz w:val="26"/>
          <w:szCs w:val="26"/>
        </w:rPr>
        <w:t>inconformidad</w:t>
      </w:r>
      <w:r w:rsidR="00350309" w:rsidRPr="00C60B50">
        <w:rPr>
          <w:rFonts w:ascii="Arial" w:hAnsi="Arial" w:cs="Arial"/>
          <w:snapToGrid w:val="0"/>
          <w:sz w:val="26"/>
          <w:szCs w:val="26"/>
        </w:rPr>
        <w:t xml:space="preserve">, dado que el acto administrativo impugnado constituye </w:t>
      </w:r>
      <w:r w:rsidR="00BD3FC3" w:rsidRPr="00C60B50">
        <w:rPr>
          <w:rFonts w:ascii="Arial" w:hAnsi="Arial" w:cs="Arial"/>
          <w:snapToGrid w:val="0"/>
          <w:sz w:val="26"/>
          <w:szCs w:val="26"/>
        </w:rPr>
        <w:t>una controversia de carácter administrativo</w:t>
      </w:r>
      <w:r w:rsidR="00777D5B" w:rsidRPr="00C60B50">
        <w:rPr>
          <w:rFonts w:ascii="Arial" w:hAnsi="Arial" w:cs="Arial"/>
          <w:snapToGrid w:val="0"/>
          <w:sz w:val="26"/>
          <w:szCs w:val="26"/>
        </w:rPr>
        <w:t xml:space="preserve">, </w:t>
      </w:r>
      <w:r w:rsidR="00B106C4" w:rsidRPr="00C60B50">
        <w:rPr>
          <w:rFonts w:ascii="Arial" w:hAnsi="Arial" w:cs="Arial"/>
          <w:snapToGrid w:val="0"/>
          <w:sz w:val="26"/>
          <w:szCs w:val="26"/>
        </w:rPr>
        <w:t xml:space="preserve">relativa a la </w:t>
      </w:r>
      <w:r w:rsidR="000A3F92">
        <w:rPr>
          <w:rFonts w:ascii="Arial" w:hAnsi="Arial" w:cs="Arial"/>
          <w:snapToGrid w:val="0"/>
          <w:sz w:val="26"/>
          <w:szCs w:val="26"/>
        </w:rPr>
        <w:t xml:space="preserve">falta de notificación de la </w:t>
      </w:r>
      <w:r w:rsidR="00B106C4" w:rsidRPr="00C60B50">
        <w:rPr>
          <w:rFonts w:ascii="Arial" w:eastAsia="Times New Roman" w:hAnsi="Arial" w:cs="Arial"/>
          <w:bCs/>
          <w:sz w:val="26"/>
          <w:szCs w:val="26"/>
          <w:lang w:val="es-ES_tradnl" w:eastAsia="es-ES"/>
        </w:rPr>
        <w:t xml:space="preserve">resolución dictada dentro del </w:t>
      </w:r>
      <w:r w:rsidR="001C1AEF">
        <w:rPr>
          <w:rFonts w:ascii="Arial" w:eastAsia="Times New Roman" w:hAnsi="Arial" w:cs="Arial"/>
          <w:bCs/>
          <w:sz w:val="26"/>
          <w:szCs w:val="26"/>
          <w:lang w:val="es-ES_tradnl" w:eastAsia="es-ES"/>
        </w:rPr>
        <w:t xml:space="preserve">expediente </w:t>
      </w:r>
      <w:r w:rsidR="001C1AEF">
        <w:rPr>
          <w:rFonts w:ascii="Arial" w:eastAsia="Times New Roman" w:hAnsi="Arial" w:cs="Arial"/>
          <w:b/>
          <w:bCs/>
          <w:sz w:val="26"/>
          <w:szCs w:val="26"/>
          <w:lang w:val="es-ES_tradnl" w:eastAsia="es-ES"/>
        </w:rPr>
        <w:t>ASE/UAJ/P.R./004/2016</w:t>
      </w:r>
      <w:r w:rsidR="00B106C4" w:rsidRPr="00C60B50">
        <w:rPr>
          <w:rFonts w:ascii="Arial" w:hAnsi="Arial" w:cs="Arial"/>
          <w:b/>
          <w:sz w:val="26"/>
          <w:szCs w:val="26"/>
        </w:rPr>
        <w:t xml:space="preserve"> </w:t>
      </w:r>
      <w:r w:rsidR="00B106C4" w:rsidRPr="00C60B50">
        <w:rPr>
          <w:rFonts w:ascii="Arial" w:hAnsi="Arial" w:cs="Arial"/>
          <w:sz w:val="26"/>
          <w:szCs w:val="26"/>
        </w:rPr>
        <w:t>del índice del entonces Órgano Superior de Fiscalización del Estado de Oaxaca (ahora Auditoría Superior de Fiscalización del Estado de Oaxaca)</w:t>
      </w:r>
      <w:r w:rsidR="000A3F92">
        <w:rPr>
          <w:rFonts w:ascii="Arial" w:hAnsi="Arial" w:cs="Arial"/>
          <w:sz w:val="26"/>
          <w:szCs w:val="26"/>
        </w:rPr>
        <w:t>, así como de la resolución misma</w:t>
      </w:r>
      <w:r w:rsidR="006A47AD" w:rsidRPr="00C60B50">
        <w:rPr>
          <w:rFonts w:ascii="Arial" w:hAnsi="Arial" w:cs="Arial"/>
          <w:sz w:val="26"/>
          <w:szCs w:val="26"/>
        </w:rPr>
        <w:t>.</w:t>
      </w:r>
    </w:p>
    <w:p w14:paraId="61F65C1C" w14:textId="438175C4" w:rsidR="005F3D9D" w:rsidRPr="00EF2097" w:rsidRDefault="00D81B9E" w:rsidP="005F3D9D">
      <w:pPr>
        <w:spacing w:line="360" w:lineRule="auto"/>
        <w:ind w:firstLine="567"/>
        <w:jc w:val="both"/>
        <w:rPr>
          <w:rFonts w:ascii="Arial" w:hAnsi="Arial" w:cs="Arial"/>
          <w:b/>
          <w:snapToGrid w:val="0"/>
          <w:sz w:val="26"/>
          <w:szCs w:val="26"/>
        </w:rPr>
      </w:pPr>
      <w:r w:rsidRPr="00EE4752">
        <w:rPr>
          <w:rFonts w:ascii="Arial" w:hAnsi="Arial" w:cs="Arial"/>
          <w:b/>
          <w:snapToGrid w:val="0"/>
          <w:sz w:val="26"/>
          <w:szCs w:val="26"/>
        </w:rPr>
        <w:lastRenderedPageBreak/>
        <w:t>T</w:t>
      </w:r>
      <w:r w:rsidR="00D30457">
        <w:rPr>
          <w:rFonts w:ascii="Arial" w:hAnsi="Arial" w:cs="Arial"/>
          <w:b/>
          <w:snapToGrid w:val="0"/>
          <w:sz w:val="26"/>
          <w:szCs w:val="26"/>
        </w:rPr>
        <w:t>ERCER</w:t>
      </w:r>
      <w:r w:rsidRPr="00EE4752">
        <w:rPr>
          <w:rFonts w:ascii="Arial" w:hAnsi="Arial" w:cs="Arial"/>
          <w:b/>
          <w:snapToGrid w:val="0"/>
          <w:sz w:val="26"/>
          <w:szCs w:val="26"/>
        </w:rPr>
        <w:t xml:space="preserve">O. </w:t>
      </w:r>
      <w:r w:rsidR="005F3D9D" w:rsidRPr="00EF2097">
        <w:rPr>
          <w:rFonts w:ascii="Arial" w:hAnsi="Arial" w:cs="Arial"/>
          <w:b/>
          <w:snapToGrid w:val="0"/>
          <w:sz w:val="26"/>
          <w:szCs w:val="26"/>
        </w:rPr>
        <w:t>OPORTUNIDAD.</w:t>
      </w:r>
    </w:p>
    <w:p w14:paraId="551CB679" w14:textId="0A372B7B" w:rsidR="00FC2EEB" w:rsidRDefault="00CA7574" w:rsidP="005F3D9D">
      <w:pPr>
        <w:spacing w:line="360" w:lineRule="auto"/>
        <w:ind w:firstLine="567"/>
        <w:jc w:val="both"/>
        <w:rPr>
          <w:rFonts w:ascii="Arial" w:hAnsi="Arial" w:cs="Arial"/>
          <w:sz w:val="26"/>
          <w:szCs w:val="26"/>
        </w:rPr>
      </w:pPr>
      <w:r>
        <w:rPr>
          <w:rFonts w:ascii="Arial" w:hAnsi="Arial" w:cs="Arial"/>
          <w:sz w:val="26"/>
          <w:szCs w:val="26"/>
        </w:rPr>
        <w:t>17</w:t>
      </w:r>
      <w:r w:rsidR="003F43EB">
        <w:rPr>
          <w:rFonts w:ascii="Arial" w:hAnsi="Arial" w:cs="Arial"/>
          <w:sz w:val="26"/>
          <w:szCs w:val="26"/>
        </w:rPr>
        <w:t xml:space="preserve">. </w:t>
      </w:r>
      <w:r w:rsidR="005F3D9D">
        <w:rPr>
          <w:rFonts w:ascii="Arial" w:hAnsi="Arial" w:cs="Arial"/>
          <w:sz w:val="26"/>
          <w:szCs w:val="26"/>
        </w:rPr>
        <w:t xml:space="preserve">Tomando en consideración que el ciudadano </w:t>
      </w:r>
      <w:r w:rsidR="009111F5">
        <w:rPr>
          <w:rFonts w:ascii="Arial" w:hAnsi="Arial" w:cs="Arial"/>
          <w:b/>
          <w:sz w:val="26"/>
          <w:szCs w:val="26"/>
        </w:rPr>
        <w:t xml:space="preserve">********** </w:t>
      </w:r>
      <w:r w:rsidR="005F3D9D">
        <w:rPr>
          <w:rFonts w:ascii="Arial" w:hAnsi="Arial" w:cs="Arial"/>
          <w:sz w:val="26"/>
          <w:szCs w:val="26"/>
        </w:rPr>
        <w:t>señalo haber tenido conocimiento de la r</w:t>
      </w:r>
      <w:r w:rsidR="001C1AEF">
        <w:rPr>
          <w:rFonts w:ascii="Arial" w:hAnsi="Arial" w:cs="Arial"/>
          <w:sz w:val="26"/>
          <w:szCs w:val="26"/>
        </w:rPr>
        <w:t>esolución impugnada el veintiuno</w:t>
      </w:r>
      <w:r w:rsidR="005F3D9D">
        <w:rPr>
          <w:rFonts w:ascii="Arial" w:hAnsi="Arial" w:cs="Arial"/>
          <w:sz w:val="26"/>
          <w:szCs w:val="26"/>
        </w:rPr>
        <w:t xml:space="preserve"> de</w:t>
      </w:r>
      <w:r w:rsidR="001C1AEF">
        <w:rPr>
          <w:rFonts w:ascii="Arial" w:hAnsi="Arial" w:cs="Arial"/>
          <w:sz w:val="26"/>
          <w:szCs w:val="26"/>
        </w:rPr>
        <w:t xml:space="preserve"> abril de dos mil veintitrés (21</w:t>
      </w:r>
      <w:r w:rsidR="005F3D9D">
        <w:rPr>
          <w:rFonts w:ascii="Arial" w:hAnsi="Arial" w:cs="Arial"/>
          <w:sz w:val="26"/>
          <w:szCs w:val="26"/>
        </w:rPr>
        <w:t xml:space="preserve">/04/2023), fecha en la cual le fue entregada la contestación de la demanda y sus anexos, el término de quince días para la presentación del juicio de inconformidad que establece el artículo </w:t>
      </w:r>
      <w:r w:rsidR="005F3D9D" w:rsidRPr="00D80296">
        <w:rPr>
          <w:rFonts w:ascii="Arial" w:hAnsi="Arial" w:cs="Arial"/>
          <w:sz w:val="26"/>
          <w:szCs w:val="26"/>
        </w:rPr>
        <w:t>10</w:t>
      </w:r>
      <w:r w:rsidR="005F3D9D" w:rsidRPr="00D80296">
        <w:rPr>
          <w:rStyle w:val="Refdenotaalpie"/>
          <w:rFonts w:ascii="Arial" w:hAnsi="Arial" w:cs="Arial"/>
          <w:sz w:val="26"/>
          <w:szCs w:val="26"/>
        </w:rPr>
        <w:footnoteReference w:id="1"/>
      </w:r>
      <w:r w:rsidR="005F3D9D">
        <w:rPr>
          <w:rFonts w:ascii="Arial" w:hAnsi="Arial" w:cs="Arial"/>
          <w:sz w:val="26"/>
          <w:szCs w:val="26"/>
        </w:rPr>
        <w:t xml:space="preserve"> párrafo primero de la </w:t>
      </w:r>
      <w:r w:rsidR="00F17D36" w:rsidRPr="00F17D36">
        <w:rPr>
          <w:rFonts w:ascii="Arial" w:hAnsi="Arial" w:cs="Arial"/>
          <w:i/>
          <w:sz w:val="26"/>
          <w:szCs w:val="26"/>
        </w:rPr>
        <w:t>Ley de Justicia</w:t>
      </w:r>
      <w:r w:rsidR="001C1AEF">
        <w:rPr>
          <w:rFonts w:ascii="Arial" w:hAnsi="Arial" w:cs="Arial"/>
          <w:sz w:val="26"/>
          <w:szCs w:val="26"/>
        </w:rPr>
        <w:t>, transcurrió del veinticinco</w:t>
      </w:r>
      <w:r w:rsidR="005F3D9D">
        <w:rPr>
          <w:rFonts w:ascii="Arial" w:hAnsi="Arial" w:cs="Arial"/>
          <w:sz w:val="26"/>
          <w:szCs w:val="26"/>
        </w:rPr>
        <w:t xml:space="preserve"> de abril al </w:t>
      </w:r>
      <w:r w:rsidR="001C1AEF">
        <w:rPr>
          <w:rFonts w:ascii="Arial" w:hAnsi="Arial" w:cs="Arial"/>
          <w:sz w:val="26"/>
          <w:szCs w:val="26"/>
        </w:rPr>
        <w:t>dieciséis</w:t>
      </w:r>
      <w:r w:rsidR="005F3D9D">
        <w:rPr>
          <w:rFonts w:ascii="Arial" w:hAnsi="Arial" w:cs="Arial"/>
          <w:sz w:val="26"/>
          <w:szCs w:val="26"/>
        </w:rPr>
        <w:t xml:space="preserve"> de mayo de dos mil veintitrés, sin contar los días veint</w:t>
      </w:r>
      <w:r w:rsidR="001C1AEF">
        <w:rPr>
          <w:rFonts w:ascii="Arial" w:hAnsi="Arial" w:cs="Arial"/>
          <w:sz w:val="26"/>
          <w:szCs w:val="26"/>
        </w:rPr>
        <w:t>inueve y treinta de abril, seis,</w:t>
      </w:r>
      <w:r w:rsidR="005F3D9D">
        <w:rPr>
          <w:rFonts w:ascii="Arial" w:hAnsi="Arial" w:cs="Arial"/>
          <w:sz w:val="26"/>
          <w:szCs w:val="26"/>
        </w:rPr>
        <w:t xml:space="preserve"> siete</w:t>
      </w:r>
      <w:r w:rsidR="001C1AEF">
        <w:rPr>
          <w:rFonts w:ascii="Arial" w:hAnsi="Arial" w:cs="Arial"/>
          <w:sz w:val="26"/>
          <w:szCs w:val="26"/>
        </w:rPr>
        <w:t>, trece y catorce</w:t>
      </w:r>
      <w:r w:rsidR="005F3D9D">
        <w:rPr>
          <w:rFonts w:ascii="Arial" w:hAnsi="Arial" w:cs="Arial"/>
          <w:sz w:val="26"/>
          <w:szCs w:val="26"/>
        </w:rPr>
        <w:t xml:space="preserve"> de mayo de dos mil veintitrés, por corresponder a sábados y domingos y primero de mayo de dos mil </w:t>
      </w:r>
      <w:r w:rsidR="00FC2EEB">
        <w:rPr>
          <w:rFonts w:ascii="Arial" w:hAnsi="Arial" w:cs="Arial"/>
          <w:sz w:val="26"/>
          <w:szCs w:val="26"/>
        </w:rPr>
        <w:t>veintitrés, por ser día inhábil.</w:t>
      </w:r>
    </w:p>
    <w:p w14:paraId="4338990E" w14:textId="7DFB00F4" w:rsidR="005F3D9D" w:rsidRDefault="00FC2EEB" w:rsidP="005F3D9D">
      <w:pPr>
        <w:spacing w:line="360" w:lineRule="auto"/>
        <w:ind w:firstLine="567"/>
        <w:jc w:val="both"/>
        <w:rPr>
          <w:rFonts w:ascii="Arial" w:hAnsi="Arial" w:cs="Arial"/>
          <w:sz w:val="26"/>
          <w:szCs w:val="26"/>
        </w:rPr>
      </w:pPr>
      <w:r>
        <w:rPr>
          <w:rFonts w:ascii="Arial" w:hAnsi="Arial" w:cs="Arial"/>
          <w:sz w:val="26"/>
          <w:szCs w:val="26"/>
        </w:rPr>
        <w:t>18. Lo</w:t>
      </w:r>
      <w:r w:rsidR="005F3D9D">
        <w:rPr>
          <w:rFonts w:ascii="Arial" w:hAnsi="Arial" w:cs="Arial"/>
          <w:sz w:val="26"/>
          <w:szCs w:val="26"/>
        </w:rPr>
        <w:t xml:space="preserve"> </w:t>
      </w:r>
      <w:r w:rsidR="005F3D9D">
        <w:rPr>
          <w:rFonts w:ascii="Arial" w:hAnsi="Arial" w:cs="Arial"/>
          <w:snapToGrid w:val="0"/>
          <w:sz w:val="26"/>
          <w:szCs w:val="26"/>
        </w:rPr>
        <w:t xml:space="preserve">de conformidad con el artículo 10 párrafos segundo y tercero de la </w:t>
      </w:r>
      <w:r w:rsidR="00F17D36" w:rsidRPr="00F17D36">
        <w:rPr>
          <w:rFonts w:ascii="Arial" w:hAnsi="Arial" w:cs="Arial"/>
          <w:i/>
          <w:snapToGrid w:val="0"/>
          <w:sz w:val="26"/>
          <w:szCs w:val="26"/>
        </w:rPr>
        <w:t>Ley de Justicia</w:t>
      </w:r>
      <w:r w:rsidR="00F17D36">
        <w:rPr>
          <w:rFonts w:ascii="Arial" w:hAnsi="Arial" w:cs="Arial"/>
          <w:snapToGrid w:val="0"/>
          <w:sz w:val="26"/>
          <w:szCs w:val="26"/>
        </w:rPr>
        <w:t xml:space="preserve"> y del </w:t>
      </w:r>
      <w:r w:rsidR="00F17D36" w:rsidRPr="00F17D36">
        <w:rPr>
          <w:rFonts w:ascii="Arial" w:hAnsi="Arial" w:cs="Arial"/>
          <w:i/>
          <w:snapToGrid w:val="0"/>
          <w:sz w:val="26"/>
          <w:szCs w:val="26"/>
        </w:rPr>
        <w:t>Acuerdo General</w:t>
      </w:r>
      <w:r w:rsidR="005F3D9D">
        <w:rPr>
          <w:rFonts w:ascii="Arial" w:hAnsi="Arial" w:cs="Arial"/>
          <w:snapToGrid w:val="0"/>
          <w:sz w:val="26"/>
          <w:szCs w:val="26"/>
        </w:rPr>
        <w:t xml:space="preserve">; y toda vez que la parte actora presento su ampliación de demanda respecto a la notificación de la resolución impugnada el diecinueve de abril de dos mil veintitrés, resulta inconcuso que la misma fue presentada en tiempo, tal </w:t>
      </w:r>
      <w:r w:rsidR="005F3D9D">
        <w:rPr>
          <w:rFonts w:ascii="Arial" w:hAnsi="Arial" w:cs="Arial"/>
          <w:sz w:val="26"/>
          <w:szCs w:val="26"/>
        </w:rPr>
        <w:t>como se puede</w:t>
      </w:r>
      <w:r w:rsidR="005F3D9D" w:rsidRPr="00D80296">
        <w:rPr>
          <w:rFonts w:ascii="Arial" w:hAnsi="Arial" w:cs="Arial"/>
          <w:sz w:val="26"/>
          <w:szCs w:val="26"/>
        </w:rPr>
        <w:t xml:space="preserve"> observar a continuación:</w:t>
      </w:r>
    </w:p>
    <w:p w14:paraId="6D5483BA" w14:textId="77777777" w:rsidR="005F3D9D" w:rsidRDefault="005F3D9D" w:rsidP="005F3D9D">
      <w:pPr>
        <w:spacing w:line="360" w:lineRule="auto"/>
        <w:ind w:firstLine="567"/>
        <w:jc w:val="center"/>
        <w:rPr>
          <w:rFonts w:ascii="Arial" w:hAnsi="Arial" w:cs="Arial"/>
          <w:i/>
          <w:sz w:val="26"/>
          <w:szCs w:val="26"/>
        </w:rPr>
      </w:pPr>
      <w:r w:rsidRPr="005F1F72">
        <w:rPr>
          <w:rFonts w:ascii="Arial" w:hAnsi="Arial" w:cs="Arial"/>
          <w:i/>
          <w:sz w:val="26"/>
          <w:szCs w:val="26"/>
        </w:rPr>
        <w:t>(calendario: acto administrativo demandado, notificación, surte efectos, plazos transcurridos, presenta la demanda)</w:t>
      </w:r>
    </w:p>
    <w:tbl>
      <w:tblPr>
        <w:tblW w:w="2781"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613"/>
        <w:gridCol w:w="615"/>
        <w:gridCol w:w="707"/>
        <w:gridCol w:w="774"/>
        <w:gridCol w:w="738"/>
        <w:gridCol w:w="794"/>
        <w:gridCol w:w="669"/>
      </w:tblGrid>
      <w:tr w:rsidR="005F3D9D" w:rsidRPr="005D6AEA" w14:paraId="68BFE0AC" w14:textId="77777777" w:rsidTr="005F3D9D">
        <w:trPr>
          <w:cantSplit/>
          <w:trHeight w:val="289"/>
          <w:tblHeader/>
          <w:jc w:val="center"/>
        </w:trPr>
        <w:tc>
          <w:tcPr>
            <w:tcW w:w="641" w:type="pct"/>
            <w:tcBorders>
              <w:top w:val="single" w:sz="4" w:space="0" w:color="7C91B9"/>
              <w:left w:val="single" w:sz="4" w:space="0" w:color="7C91B9"/>
              <w:bottom w:val="single" w:sz="8" w:space="0" w:color="E6E6E6"/>
              <w:right w:val="nil"/>
            </w:tcBorders>
            <w:shd w:val="clear" w:color="auto" w:fill="F0F3F7"/>
            <w:vAlign w:val="bottom"/>
          </w:tcPr>
          <w:p w14:paraId="00F9153C" w14:textId="77777777" w:rsidR="005F3D9D" w:rsidRPr="009F73B7" w:rsidRDefault="005F3D9D" w:rsidP="004E7FD4">
            <w:pPr>
              <w:spacing w:after="0" w:line="360" w:lineRule="auto"/>
              <w:rPr>
                <w:rFonts w:ascii="Arial" w:hAnsi="Arial" w:cs="Arial"/>
                <w:color w:val="345393"/>
                <w:sz w:val="16"/>
                <w:szCs w:val="16"/>
              </w:rPr>
            </w:pPr>
          </w:p>
        </w:tc>
        <w:tc>
          <w:tcPr>
            <w:tcW w:w="3662" w:type="pct"/>
            <w:gridSpan w:val="5"/>
            <w:tcBorders>
              <w:top w:val="single" w:sz="4" w:space="0" w:color="7C91B9"/>
              <w:left w:val="nil"/>
              <w:bottom w:val="single" w:sz="8" w:space="0" w:color="E6E6E6"/>
              <w:right w:val="nil"/>
            </w:tcBorders>
            <w:shd w:val="clear" w:color="auto" w:fill="F0F3F7"/>
            <w:vAlign w:val="bottom"/>
          </w:tcPr>
          <w:p w14:paraId="6EB03F9D" w14:textId="77777777" w:rsidR="005F3D9D" w:rsidRPr="009F73B7" w:rsidRDefault="005F3D9D" w:rsidP="004E7FD4">
            <w:pPr>
              <w:spacing w:after="0" w:line="360" w:lineRule="auto"/>
              <w:jc w:val="center"/>
              <w:rPr>
                <w:rFonts w:ascii="Arial" w:hAnsi="Arial" w:cs="Arial"/>
                <w:b/>
                <w:color w:val="25478B"/>
                <w:sz w:val="16"/>
                <w:szCs w:val="16"/>
              </w:rPr>
            </w:pPr>
            <w:r>
              <w:rPr>
                <w:rFonts w:ascii="Arial" w:hAnsi="Arial" w:cs="Arial"/>
                <w:b/>
                <w:color w:val="25478B"/>
                <w:sz w:val="16"/>
                <w:szCs w:val="16"/>
              </w:rPr>
              <w:t>Abril 2023</w:t>
            </w:r>
          </w:p>
        </w:tc>
        <w:tc>
          <w:tcPr>
            <w:tcW w:w="698" w:type="pct"/>
            <w:tcBorders>
              <w:top w:val="single" w:sz="4" w:space="0" w:color="7C91B9"/>
              <w:left w:val="nil"/>
              <w:bottom w:val="single" w:sz="8" w:space="0" w:color="E6E6E6"/>
              <w:right w:val="single" w:sz="4" w:space="0" w:color="7C91B9"/>
            </w:tcBorders>
            <w:shd w:val="clear" w:color="auto" w:fill="F0F3F7"/>
            <w:vAlign w:val="bottom"/>
          </w:tcPr>
          <w:p w14:paraId="7A85594D" w14:textId="77777777" w:rsidR="005F3D9D" w:rsidRPr="009F73B7" w:rsidRDefault="005F3D9D" w:rsidP="004E7FD4">
            <w:pPr>
              <w:spacing w:after="0" w:line="360" w:lineRule="auto"/>
              <w:jc w:val="right"/>
              <w:rPr>
                <w:rFonts w:ascii="Arial" w:hAnsi="Arial" w:cs="Arial"/>
                <w:color w:val="345393"/>
                <w:sz w:val="16"/>
                <w:szCs w:val="16"/>
              </w:rPr>
            </w:pPr>
            <w:bookmarkStart w:id="3" w:name="Mayo_2022"/>
          </w:p>
        </w:tc>
      </w:tr>
      <w:bookmarkEnd w:id="3"/>
      <w:tr w:rsidR="005F3D9D" w:rsidRPr="005D6AEA" w14:paraId="6EFAB89B" w14:textId="77777777" w:rsidTr="005F3D9D">
        <w:trPr>
          <w:cantSplit/>
          <w:trHeight w:val="157"/>
          <w:tblHeader/>
          <w:jc w:val="center"/>
        </w:trPr>
        <w:tc>
          <w:tcPr>
            <w:tcW w:w="641" w:type="pct"/>
            <w:tcBorders>
              <w:top w:val="single" w:sz="8" w:space="0" w:color="E6E6E6"/>
              <w:left w:val="single" w:sz="4" w:space="0" w:color="25478B"/>
              <w:bottom w:val="nil"/>
              <w:right w:val="single" w:sz="8" w:space="0" w:color="E6E6E6"/>
            </w:tcBorders>
            <w:shd w:val="clear" w:color="auto" w:fill="25478B"/>
            <w:vAlign w:val="bottom"/>
          </w:tcPr>
          <w:p w14:paraId="241B1083"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Do.</w:t>
            </w:r>
          </w:p>
        </w:tc>
        <w:tc>
          <w:tcPr>
            <w:tcW w:w="642" w:type="pct"/>
            <w:tcBorders>
              <w:top w:val="single" w:sz="8" w:space="0" w:color="E6E6E6"/>
              <w:left w:val="single" w:sz="8" w:space="0" w:color="E6E6E6"/>
              <w:bottom w:val="nil"/>
              <w:right w:val="single" w:sz="8" w:space="0" w:color="E6E6E6"/>
            </w:tcBorders>
            <w:shd w:val="clear" w:color="auto" w:fill="25478B"/>
            <w:vAlign w:val="bottom"/>
          </w:tcPr>
          <w:p w14:paraId="3D5525E4"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Lu.</w:t>
            </w:r>
          </w:p>
        </w:tc>
        <w:tc>
          <w:tcPr>
            <w:tcW w:w="735" w:type="pct"/>
            <w:tcBorders>
              <w:top w:val="single" w:sz="8" w:space="0" w:color="E6E6E6"/>
              <w:left w:val="single" w:sz="8" w:space="0" w:color="E6E6E6"/>
              <w:bottom w:val="nil"/>
              <w:right w:val="single" w:sz="8" w:space="0" w:color="E6E6E6"/>
            </w:tcBorders>
            <w:shd w:val="clear" w:color="auto" w:fill="25478B"/>
            <w:vAlign w:val="bottom"/>
          </w:tcPr>
          <w:p w14:paraId="069B6D6E"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Ma.</w:t>
            </w:r>
          </w:p>
        </w:tc>
        <w:tc>
          <w:tcPr>
            <w:tcW w:w="803" w:type="pct"/>
            <w:tcBorders>
              <w:top w:val="single" w:sz="8" w:space="0" w:color="E6E6E6"/>
              <w:left w:val="single" w:sz="8" w:space="0" w:color="E6E6E6"/>
              <w:bottom w:val="nil"/>
              <w:right w:val="single" w:sz="8" w:space="0" w:color="E6E6E6"/>
            </w:tcBorders>
            <w:shd w:val="clear" w:color="auto" w:fill="25478B"/>
            <w:vAlign w:val="bottom"/>
          </w:tcPr>
          <w:p w14:paraId="13C1C106"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Mi.</w:t>
            </w:r>
          </w:p>
        </w:tc>
        <w:tc>
          <w:tcPr>
            <w:tcW w:w="767" w:type="pct"/>
            <w:tcBorders>
              <w:top w:val="single" w:sz="8" w:space="0" w:color="E6E6E6"/>
              <w:left w:val="single" w:sz="8" w:space="0" w:color="E6E6E6"/>
              <w:bottom w:val="nil"/>
              <w:right w:val="single" w:sz="8" w:space="0" w:color="E6E6E6"/>
            </w:tcBorders>
            <w:shd w:val="clear" w:color="auto" w:fill="25478B"/>
            <w:vAlign w:val="bottom"/>
          </w:tcPr>
          <w:p w14:paraId="0B16AF2B"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Ju.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004AA9A4"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Vi.</w:t>
            </w:r>
          </w:p>
        </w:tc>
        <w:tc>
          <w:tcPr>
            <w:tcW w:w="698" w:type="pct"/>
            <w:tcBorders>
              <w:top w:val="single" w:sz="8" w:space="0" w:color="E6E6E6"/>
              <w:left w:val="single" w:sz="8" w:space="0" w:color="E6E6E6"/>
              <w:bottom w:val="nil"/>
              <w:right w:val="single" w:sz="4" w:space="0" w:color="25478B"/>
            </w:tcBorders>
            <w:shd w:val="clear" w:color="auto" w:fill="25478B"/>
            <w:vAlign w:val="bottom"/>
          </w:tcPr>
          <w:p w14:paraId="4B5AA1B7"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Sá.</w:t>
            </w:r>
          </w:p>
        </w:tc>
      </w:tr>
      <w:tr w:rsidR="005F3D9D" w:rsidRPr="003D6B5B" w14:paraId="4F00DF4B" w14:textId="77777777" w:rsidTr="005F3D9D">
        <w:trPr>
          <w:cantSplit/>
          <w:trHeight w:val="543"/>
          <w:jc w:val="center"/>
        </w:trPr>
        <w:tc>
          <w:tcPr>
            <w:tcW w:w="641" w:type="pct"/>
            <w:tcBorders>
              <w:top w:val="nil"/>
              <w:left w:val="single" w:sz="4" w:space="0" w:color="25478B"/>
              <w:bottom w:val="single" w:sz="8" w:space="0" w:color="25478B"/>
              <w:right w:val="single" w:sz="8" w:space="0" w:color="25478B"/>
            </w:tcBorders>
            <w:shd w:val="clear" w:color="auto" w:fill="808080" w:themeFill="background1" w:themeFillShade="80"/>
          </w:tcPr>
          <w:p w14:paraId="2388F358" w14:textId="77777777" w:rsidR="005F3D9D" w:rsidRPr="009F73B7" w:rsidRDefault="005F3D9D" w:rsidP="004E7FD4">
            <w:pPr>
              <w:pStyle w:val="CalendarText"/>
              <w:spacing w:line="360" w:lineRule="auto"/>
              <w:jc w:val="center"/>
              <w:rPr>
                <w:rStyle w:val="WinCalendarBLANKCELLSTYLE0"/>
                <w:b/>
                <w:bCs/>
                <w:szCs w:val="16"/>
              </w:rPr>
            </w:pPr>
          </w:p>
        </w:tc>
        <w:tc>
          <w:tcPr>
            <w:tcW w:w="642" w:type="pct"/>
            <w:tcBorders>
              <w:top w:val="nil"/>
              <w:left w:val="single" w:sz="8" w:space="0" w:color="25478B"/>
              <w:bottom w:val="single" w:sz="8" w:space="0" w:color="25478B"/>
              <w:right w:val="single" w:sz="8" w:space="0" w:color="25478B"/>
            </w:tcBorders>
            <w:shd w:val="clear" w:color="auto" w:fill="auto"/>
          </w:tcPr>
          <w:p w14:paraId="57EC3323" w14:textId="77777777" w:rsidR="005F3D9D" w:rsidRPr="009F73B7" w:rsidRDefault="005F3D9D" w:rsidP="004E7FD4">
            <w:pPr>
              <w:pStyle w:val="CalendarText"/>
              <w:spacing w:line="360" w:lineRule="auto"/>
              <w:jc w:val="center"/>
              <w:rPr>
                <w:rStyle w:val="WinCalendarBLANKCELLSTYLE0"/>
                <w:b/>
                <w:bCs/>
                <w:szCs w:val="16"/>
              </w:rPr>
            </w:pPr>
          </w:p>
        </w:tc>
        <w:tc>
          <w:tcPr>
            <w:tcW w:w="735" w:type="pct"/>
            <w:tcBorders>
              <w:top w:val="nil"/>
              <w:left w:val="single" w:sz="8" w:space="0" w:color="25478B"/>
              <w:bottom w:val="single" w:sz="8" w:space="0" w:color="25478B"/>
              <w:right w:val="single" w:sz="8" w:space="0" w:color="25478B"/>
            </w:tcBorders>
            <w:shd w:val="clear" w:color="auto" w:fill="auto"/>
          </w:tcPr>
          <w:p w14:paraId="1B729A16" w14:textId="77777777" w:rsidR="005F3D9D" w:rsidRPr="009F73B7" w:rsidRDefault="005F3D9D" w:rsidP="004E7FD4">
            <w:pPr>
              <w:pStyle w:val="CalendarText"/>
              <w:spacing w:line="360" w:lineRule="auto"/>
              <w:jc w:val="center"/>
              <w:rPr>
                <w:rStyle w:val="WinCalendarBLANKCELLSTYLE0"/>
                <w:b/>
                <w:bCs/>
                <w:szCs w:val="16"/>
              </w:rPr>
            </w:pPr>
          </w:p>
        </w:tc>
        <w:tc>
          <w:tcPr>
            <w:tcW w:w="803" w:type="pct"/>
            <w:tcBorders>
              <w:top w:val="nil"/>
              <w:left w:val="single" w:sz="8" w:space="0" w:color="25478B"/>
              <w:bottom w:val="single" w:sz="8" w:space="0" w:color="25478B"/>
              <w:right w:val="single" w:sz="8" w:space="0" w:color="25478B"/>
            </w:tcBorders>
            <w:shd w:val="clear" w:color="auto" w:fill="auto"/>
          </w:tcPr>
          <w:p w14:paraId="168E05B4" w14:textId="77777777" w:rsidR="005F3D9D" w:rsidRPr="009F73B7" w:rsidRDefault="005F3D9D" w:rsidP="004E7FD4">
            <w:pPr>
              <w:pStyle w:val="CalendarText"/>
              <w:spacing w:line="360" w:lineRule="auto"/>
              <w:jc w:val="center"/>
              <w:rPr>
                <w:rStyle w:val="WinCalendarBLANKCELLSTYLE0"/>
                <w:b/>
                <w:bCs/>
                <w:szCs w:val="16"/>
              </w:rPr>
            </w:pPr>
          </w:p>
        </w:tc>
        <w:tc>
          <w:tcPr>
            <w:tcW w:w="767" w:type="pct"/>
            <w:tcBorders>
              <w:top w:val="nil"/>
              <w:left w:val="single" w:sz="8" w:space="0" w:color="25478B"/>
              <w:bottom w:val="single" w:sz="8" w:space="0" w:color="25478B"/>
              <w:right w:val="single" w:sz="8" w:space="0" w:color="25478B"/>
            </w:tcBorders>
            <w:shd w:val="clear" w:color="auto" w:fill="auto"/>
          </w:tcPr>
          <w:p w14:paraId="617D7759" w14:textId="77777777" w:rsidR="005F3D9D" w:rsidRPr="009F73B7" w:rsidRDefault="005F3D9D" w:rsidP="004E7FD4">
            <w:pPr>
              <w:pStyle w:val="CalendarText"/>
              <w:spacing w:line="360" w:lineRule="auto"/>
              <w:jc w:val="center"/>
              <w:rPr>
                <w:rStyle w:val="WinCalendarBLANKCELLSTYLE0"/>
                <w:b/>
                <w:bCs/>
                <w:szCs w:val="16"/>
              </w:rPr>
            </w:pPr>
          </w:p>
        </w:tc>
        <w:tc>
          <w:tcPr>
            <w:tcW w:w="715" w:type="pct"/>
            <w:tcBorders>
              <w:top w:val="nil"/>
              <w:left w:val="single" w:sz="8" w:space="0" w:color="25478B"/>
              <w:bottom w:val="single" w:sz="8" w:space="0" w:color="25478B"/>
              <w:right w:val="single" w:sz="8" w:space="0" w:color="25478B"/>
            </w:tcBorders>
            <w:shd w:val="clear" w:color="auto" w:fill="auto"/>
          </w:tcPr>
          <w:p w14:paraId="25586A93" w14:textId="77777777" w:rsidR="005F3D9D" w:rsidRPr="009F73B7" w:rsidRDefault="005F3D9D" w:rsidP="004E7FD4">
            <w:pPr>
              <w:pStyle w:val="CalendarText"/>
              <w:spacing w:line="360" w:lineRule="auto"/>
              <w:jc w:val="center"/>
              <w:rPr>
                <w:rStyle w:val="WinCalendarBLANKCELLSTYLE0"/>
                <w:b/>
                <w:bCs/>
                <w:szCs w:val="16"/>
              </w:rPr>
            </w:pPr>
          </w:p>
        </w:tc>
        <w:tc>
          <w:tcPr>
            <w:tcW w:w="698" w:type="pct"/>
            <w:tcBorders>
              <w:top w:val="nil"/>
              <w:left w:val="single" w:sz="8" w:space="0" w:color="25478B"/>
              <w:bottom w:val="single" w:sz="8" w:space="0" w:color="25478B"/>
              <w:right w:val="single" w:sz="4" w:space="0" w:color="25478B"/>
            </w:tcBorders>
            <w:shd w:val="clear" w:color="auto" w:fill="808080" w:themeFill="background1" w:themeFillShade="80"/>
          </w:tcPr>
          <w:p w14:paraId="4BFD49B1"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w:t>
            </w:r>
          </w:p>
        </w:tc>
      </w:tr>
      <w:tr w:rsidR="005F3D9D" w:rsidRPr="003D6B5B" w14:paraId="408D7EBE" w14:textId="77777777" w:rsidTr="005F3D9D">
        <w:trPr>
          <w:cantSplit/>
          <w:trHeight w:val="561"/>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F8331D6"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171BC6AC"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3</w:t>
            </w:r>
          </w:p>
        </w:tc>
        <w:tc>
          <w:tcPr>
            <w:tcW w:w="735" w:type="pct"/>
            <w:tcBorders>
              <w:top w:val="single" w:sz="8" w:space="0" w:color="25478B"/>
              <w:left w:val="single" w:sz="8" w:space="0" w:color="25478B"/>
              <w:bottom w:val="single" w:sz="8" w:space="0" w:color="25478B"/>
              <w:right w:val="single" w:sz="8" w:space="0" w:color="25478B"/>
            </w:tcBorders>
            <w:shd w:val="clear" w:color="auto" w:fill="auto"/>
          </w:tcPr>
          <w:p w14:paraId="1FA16591"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4</w:t>
            </w:r>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0DC21E2E"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5</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6B0C8E85"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6</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5BC46CEA"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7</w:t>
            </w:r>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19933CBB"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8</w:t>
            </w:r>
          </w:p>
        </w:tc>
      </w:tr>
      <w:tr w:rsidR="005F3D9D" w:rsidRPr="003D6B5B" w14:paraId="0FD15F75" w14:textId="77777777" w:rsidTr="005F3D9D">
        <w:trPr>
          <w:cantSplit/>
          <w:trHeight w:val="556"/>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0F440A54"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9</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404D010C"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10</w:t>
            </w:r>
          </w:p>
        </w:tc>
        <w:tc>
          <w:tcPr>
            <w:tcW w:w="735" w:type="pct"/>
            <w:tcBorders>
              <w:top w:val="single" w:sz="8" w:space="0" w:color="25478B"/>
              <w:left w:val="single" w:sz="8" w:space="0" w:color="25478B"/>
              <w:bottom w:val="single" w:sz="8" w:space="0" w:color="25478B"/>
              <w:right w:val="single" w:sz="8" w:space="0" w:color="25478B"/>
            </w:tcBorders>
            <w:shd w:val="clear" w:color="auto" w:fill="auto"/>
          </w:tcPr>
          <w:p w14:paraId="652DFC9A"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11</w:t>
            </w:r>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30409895"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12</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392A508A"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13</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276091C1"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14</w:t>
            </w:r>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3EC467DD"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15</w:t>
            </w:r>
          </w:p>
        </w:tc>
      </w:tr>
      <w:tr w:rsidR="005F3D9D" w:rsidRPr="003D6B5B" w14:paraId="0917521A" w14:textId="77777777" w:rsidTr="001C1AEF">
        <w:trPr>
          <w:cantSplit/>
          <w:trHeight w:val="587"/>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E47BAA2"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16</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50CFBC5B"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17</w:t>
            </w:r>
          </w:p>
        </w:tc>
        <w:tc>
          <w:tcPr>
            <w:tcW w:w="735" w:type="pct"/>
            <w:tcBorders>
              <w:top w:val="single" w:sz="8" w:space="0" w:color="25478B"/>
              <w:left w:val="single" w:sz="8" w:space="0" w:color="25478B"/>
              <w:bottom w:val="single" w:sz="8" w:space="0" w:color="25478B"/>
              <w:right w:val="single" w:sz="8" w:space="0" w:color="25478B"/>
            </w:tcBorders>
            <w:shd w:val="clear" w:color="auto" w:fill="auto"/>
          </w:tcPr>
          <w:p w14:paraId="785EE2BD" w14:textId="5A292EEA" w:rsidR="005F3D9D" w:rsidRPr="007D6488" w:rsidRDefault="005F3D9D" w:rsidP="001C1AEF">
            <w:pPr>
              <w:pStyle w:val="CalendarText"/>
              <w:spacing w:line="360" w:lineRule="auto"/>
              <w:jc w:val="center"/>
              <w:rPr>
                <w:rStyle w:val="WinCalendarBLANKCELLSTYLE0"/>
                <w:b/>
                <w:bCs/>
                <w:szCs w:val="16"/>
              </w:rPr>
            </w:pPr>
            <w:r>
              <w:rPr>
                <w:rStyle w:val="WinCalendarBLANKCELLSTYLE0"/>
                <w:b/>
                <w:bCs/>
                <w:szCs w:val="16"/>
              </w:rPr>
              <w:t>18</w:t>
            </w:r>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6B2D6B36"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19</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4876EEE0"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20</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010B19FF" w14:textId="77777777" w:rsidR="001C1AEF" w:rsidRDefault="005F3D9D" w:rsidP="004E7FD4">
            <w:pPr>
              <w:pStyle w:val="CalendarText"/>
              <w:spacing w:line="360" w:lineRule="auto"/>
              <w:jc w:val="center"/>
              <w:rPr>
                <w:rStyle w:val="WinCalendarBLANKCELLSTYLE0"/>
                <w:b/>
                <w:bCs/>
                <w:szCs w:val="16"/>
              </w:rPr>
            </w:pPr>
            <w:r>
              <w:rPr>
                <w:rStyle w:val="WinCalendarBLANKCELLSTYLE0"/>
                <w:b/>
                <w:bCs/>
                <w:szCs w:val="16"/>
              </w:rPr>
              <w:t>2</w:t>
            </w:r>
          </w:p>
          <w:p w14:paraId="15B6F5BF" w14:textId="481A4BFE" w:rsidR="005F3D9D" w:rsidRPr="007D6488" w:rsidRDefault="001C1AEF" w:rsidP="004E7FD4">
            <w:pPr>
              <w:pStyle w:val="CalendarText"/>
              <w:spacing w:line="360" w:lineRule="auto"/>
              <w:jc w:val="center"/>
              <w:rPr>
                <w:rStyle w:val="WinCalendarBLANKCELLSTYLE0"/>
                <w:b/>
                <w:bCs/>
                <w:szCs w:val="16"/>
              </w:rPr>
            </w:pPr>
            <w:r>
              <w:rPr>
                <w:rStyle w:val="WinCalendarBLANKCELLSTYLE0"/>
                <w:b/>
                <w:bCs/>
                <w:szCs w:val="16"/>
              </w:rPr>
              <w:t>Conoce la resolución</w:t>
            </w:r>
            <w:r w:rsidR="005F3D9D">
              <w:rPr>
                <w:rStyle w:val="WinCalendarBLANKCELLSTYLE0"/>
                <w:b/>
                <w:bCs/>
                <w:szCs w:val="16"/>
              </w:rPr>
              <w:t>1</w:t>
            </w:r>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26FE6938"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22</w:t>
            </w:r>
          </w:p>
        </w:tc>
      </w:tr>
      <w:tr w:rsidR="005F3D9D" w:rsidRPr="003D6B5B" w14:paraId="3796F703" w14:textId="77777777" w:rsidTr="001C1AEF">
        <w:trPr>
          <w:cantSplit/>
          <w:trHeight w:val="495"/>
          <w:jc w:val="center"/>
        </w:trPr>
        <w:tc>
          <w:tcPr>
            <w:tcW w:w="641"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5EB5713B"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23</w:t>
            </w:r>
          </w:p>
        </w:tc>
        <w:tc>
          <w:tcPr>
            <w:tcW w:w="642" w:type="pct"/>
            <w:tcBorders>
              <w:top w:val="single" w:sz="8" w:space="0" w:color="25478B"/>
              <w:left w:val="single" w:sz="8" w:space="0" w:color="25478B"/>
              <w:bottom w:val="single" w:sz="4" w:space="0" w:color="25478B"/>
              <w:right w:val="single" w:sz="8" w:space="0" w:color="25478B"/>
            </w:tcBorders>
            <w:shd w:val="clear" w:color="auto" w:fill="auto"/>
          </w:tcPr>
          <w:p w14:paraId="71C5D0B4" w14:textId="77777777" w:rsidR="005F3D9D" w:rsidRPr="007D6488" w:rsidRDefault="005F3D9D" w:rsidP="004E7FD4">
            <w:pPr>
              <w:pStyle w:val="CalendarText"/>
              <w:spacing w:line="360" w:lineRule="auto"/>
              <w:jc w:val="center"/>
              <w:rPr>
                <w:rStyle w:val="WinCalendarBLANKCELLSTYLE0"/>
                <w:b/>
                <w:bCs/>
                <w:color w:val="auto"/>
                <w:szCs w:val="16"/>
              </w:rPr>
            </w:pPr>
            <w:r>
              <w:rPr>
                <w:rStyle w:val="WinCalendarBLANKCELLSTYLE0"/>
                <w:b/>
                <w:bCs/>
                <w:color w:val="auto"/>
                <w:szCs w:val="16"/>
              </w:rPr>
              <w:t>24</w:t>
            </w:r>
          </w:p>
        </w:tc>
        <w:tc>
          <w:tcPr>
            <w:tcW w:w="735" w:type="pct"/>
            <w:tcBorders>
              <w:top w:val="single" w:sz="8" w:space="0" w:color="25478B"/>
              <w:left w:val="single" w:sz="8" w:space="0" w:color="25478B"/>
              <w:bottom w:val="single" w:sz="4" w:space="0" w:color="25478B"/>
              <w:right w:val="single" w:sz="8" w:space="0" w:color="25478B"/>
            </w:tcBorders>
            <w:shd w:val="clear" w:color="auto" w:fill="FFFF00"/>
          </w:tcPr>
          <w:p w14:paraId="4CE47549" w14:textId="77777777" w:rsidR="005F3D9D" w:rsidRPr="007D6488" w:rsidRDefault="005F3D9D" w:rsidP="004E7FD4">
            <w:pPr>
              <w:pStyle w:val="CalendarText"/>
              <w:spacing w:line="360" w:lineRule="auto"/>
              <w:jc w:val="center"/>
              <w:rPr>
                <w:rStyle w:val="WinCalendarBLANKCELLSTYLE0"/>
                <w:b/>
                <w:bCs/>
                <w:color w:val="auto"/>
                <w:szCs w:val="16"/>
              </w:rPr>
            </w:pPr>
            <w:r>
              <w:rPr>
                <w:rStyle w:val="WinCalendarBLANKCELLSTYLE0"/>
                <w:b/>
                <w:bCs/>
                <w:color w:val="auto"/>
                <w:szCs w:val="16"/>
              </w:rPr>
              <w:t>25</w:t>
            </w:r>
          </w:p>
        </w:tc>
        <w:tc>
          <w:tcPr>
            <w:tcW w:w="803" w:type="pct"/>
            <w:tcBorders>
              <w:top w:val="single" w:sz="8" w:space="0" w:color="25478B"/>
              <w:left w:val="single" w:sz="8" w:space="0" w:color="25478B"/>
              <w:bottom w:val="single" w:sz="4" w:space="0" w:color="25478B"/>
              <w:right w:val="single" w:sz="4" w:space="0" w:color="25478B"/>
            </w:tcBorders>
            <w:shd w:val="clear" w:color="auto" w:fill="FFFF00"/>
          </w:tcPr>
          <w:p w14:paraId="737460EF" w14:textId="77777777" w:rsidR="005F3D9D" w:rsidRPr="007D6488" w:rsidRDefault="005F3D9D" w:rsidP="004E7FD4">
            <w:pPr>
              <w:pStyle w:val="CalendarText"/>
              <w:spacing w:line="360" w:lineRule="auto"/>
              <w:jc w:val="center"/>
              <w:rPr>
                <w:rStyle w:val="CalendarNumbers"/>
                <w:color w:val="auto"/>
                <w:sz w:val="16"/>
                <w:szCs w:val="16"/>
              </w:rPr>
            </w:pPr>
            <w:r>
              <w:rPr>
                <w:rStyle w:val="CalendarNumbers"/>
                <w:color w:val="auto"/>
                <w:sz w:val="16"/>
                <w:szCs w:val="16"/>
              </w:rPr>
              <w:t>26</w:t>
            </w:r>
          </w:p>
        </w:tc>
        <w:tc>
          <w:tcPr>
            <w:tcW w:w="767" w:type="pct"/>
            <w:tcBorders>
              <w:top w:val="single" w:sz="8" w:space="0" w:color="25478B"/>
              <w:left w:val="single" w:sz="8" w:space="0" w:color="25478B"/>
              <w:bottom w:val="single" w:sz="4" w:space="0" w:color="25478B"/>
              <w:right w:val="single" w:sz="4" w:space="0" w:color="25478B"/>
            </w:tcBorders>
            <w:shd w:val="clear" w:color="auto" w:fill="FFFF00"/>
          </w:tcPr>
          <w:p w14:paraId="52B7B4D9" w14:textId="77777777" w:rsidR="005F3D9D" w:rsidRPr="007D6488" w:rsidRDefault="005F3D9D" w:rsidP="004E7FD4">
            <w:pPr>
              <w:pStyle w:val="CalendarText"/>
              <w:spacing w:line="360" w:lineRule="auto"/>
              <w:jc w:val="center"/>
              <w:rPr>
                <w:rStyle w:val="CalendarNumbers"/>
                <w:color w:val="auto"/>
                <w:sz w:val="16"/>
                <w:szCs w:val="16"/>
              </w:rPr>
            </w:pPr>
            <w:r>
              <w:rPr>
                <w:rStyle w:val="CalendarNumbers"/>
                <w:color w:val="auto"/>
                <w:sz w:val="16"/>
                <w:szCs w:val="16"/>
              </w:rPr>
              <w:t>27</w:t>
            </w:r>
          </w:p>
        </w:tc>
        <w:tc>
          <w:tcPr>
            <w:tcW w:w="715" w:type="pct"/>
            <w:tcBorders>
              <w:top w:val="single" w:sz="8" w:space="0" w:color="25478B"/>
              <w:left w:val="single" w:sz="8" w:space="0" w:color="25478B"/>
              <w:bottom w:val="single" w:sz="4" w:space="0" w:color="25478B"/>
              <w:right w:val="single" w:sz="4" w:space="0" w:color="25478B"/>
            </w:tcBorders>
            <w:shd w:val="clear" w:color="auto" w:fill="FFFF00"/>
          </w:tcPr>
          <w:p w14:paraId="6CA1C4C4" w14:textId="77777777" w:rsidR="005F3D9D" w:rsidRPr="007D6488" w:rsidRDefault="005F3D9D" w:rsidP="004E7FD4">
            <w:pPr>
              <w:pStyle w:val="CalendarText"/>
              <w:spacing w:line="360" w:lineRule="auto"/>
              <w:jc w:val="center"/>
              <w:rPr>
                <w:rStyle w:val="CalendarNumbers"/>
                <w:color w:val="auto"/>
                <w:sz w:val="16"/>
                <w:szCs w:val="16"/>
              </w:rPr>
            </w:pPr>
            <w:r>
              <w:rPr>
                <w:rStyle w:val="CalendarNumbers"/>
                <w:color w:val="auto"/>
                <w:sz w:val="16"/>
                <w:szCs w:val="16"/>
              </w:rPr>
              <w:t>28</w:t>
            </w:r>
          </w:p>
        </w:tc>
        <w:tc>
          <w:tcPr>
            <w:tcW w:w="698" w:type="pct"/>
            <w:tcBorders>
              <w:top w:val="single" w:sz="8" w:space="0" w:color="25478B"/>
              <w:left w:val="single" w:sz="8" w:space="0" w:color="25478B"/>
              <w:bottom w:val="single" w:sz="4" w:space="0" w:color="25478B"/>
              <w:right w:val="single" w:sz="4" w:space="0" w:color="25478B"/>
            </w:tcBorders>
            <w:shd w:val="clear" w:color="auto" w:fill="E6E6E6"/>
          </w:tcPr>
          <w:p w14:paraId="15068E8A" w14:textId="77777777" w:rsidR="005F3D9D" w:rsidRPr="00990A0F" w:rsidRDefault="005F3D9D" w:rsidP="004E7FD4">
            <w:pPr>
              <w:pStyle w:val="CalendarText"/>
              <w:spacing w:line="360" w:lineRule="auto"/>
              <w:jc w:val="center"/>
              <w:rPr>
                <w:rStyle w:val="CalendarNumbers"/>
                <w:color w:val="auto"/>
                <w:sz w:val="16"/>
                <w:szCs w:val="16"/>
              </w:rPr>
            </w:pPr>
            <w:r>
              <w:rPr>
                <w:rStyle w:val="CalendarNumbers"/>
                <w:color w:val="auto"/>
                <w:sz w:val="16"/>
                <w:szCs w:val="16"/>
              </w:rPr>
              <w:t>29</w:t>
            </w:r>
          </w:p>
        </w:tc>
      </w:tr>
    </w:tbl>
    <w:p w14:paraId="358EEE61" w14:textId="77777777" w:rsidR="005F3D9D" w:rsidRPr="00FC2EEB" w:rsidRDefault="005F3D9D" w:rsidP="005F3D9D">
      <w:pPr>
        <w:spacing w:line="360" w:lineRule="auto"/>
        <w:ind w:firstLine="567"/>
        <w:jc w:val="center"/>
        <w:rPr>
          <w:rFonts w:ascii="Arial" w:hAnsi="Arial" w:cs="Arial"/>
          <w:i/>
          <w:sz w:val="4"/>
          <w:szCs w:val="26"/>
        </w:rPr>
      </w:pPr>
    </w:p>
    <w:tbl>
      <w:tblPr>
        <w:tblW w:w="2781"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629"/>
        <w:gridCol w:w="630"/>
        <w:gridCol w:w="722"/>
        <w:gridCol w:w="789"/>
        <w:gridCol w:w="753"/>
        <w:gridCol w:w="702"/>
        <w:gridCol w:w="685"/>
      </w:tblGrid>
      <w:tr w:rsidR="005F3D9D" w:rsidRPr="005D6AEA" w14:paraId="56CBA92D" w14:textId="77777777" w:rsidTr="004E7FD4">
        <w:trPr>
          <w:cantSplit/>
          <w:trHeight w:val="289"/>
          <w:tblHeader/>
          <w:jc w:val="center"/>
        </w:trPr>
        <w:tc>
          <w:tcPr>
            <w:tcW w:w="640" w:type="pct"/>
            <w:tcBorders>
              <w:top w:val="single" w:sz="4" w:space="0" w:color="7C91B9"/>
              <w:left w:val="single" w:sz="4" w:space="0" w:color="7C91B9"/>
              <w:bottom w:val="single" w:sz="8" w:space="0" w:color="E6E6E6"/>
              <w:right w:val="nil"/>
            </w:tcBorders>
            <w:shd w:val="clear" w:color="auto" w:fill="F0F3F7"/>
            <w:vAlign w:val="bottom"/>
          </w:tcPr>
          <w:p w14:paraId="475BD33C" w14:textId="77777777" w:rsidR="005F3D9D" w:rsidRPr="009F73B7" w:rsidRDefault="005F3D9D" w:rsidP="004E7FD4">
            <w:pPr>
              <w:spacing w:after="0" w:line="360" w:lineRule="auto"/>
              <w:rPr>
                <w:rFonts w:ascii="Arial" w:hAnsi="Arial" w:cs="Arial"/>
                <w:color w:val="345393"/>
                <w:sz w:val="16"/>
                <w:szCs w:val="16"/>
              </w:rPr>
            </w:pPr>
          </w:p>
        </w:tc>
        <w:tc>
          <w:tcPr>
            <w:tcW w:w="3662" w:type="pct"/>
            <w:gridSpan w:val="5"/>
            <w:tcBorders>
              <w:top w:val="single" w:sz="4" w:space="0" w:color="7C91B9"/>
              <w:left w:val="nil"/>
              <w:bottom w:val="single" w:sz="8" w:space="0" w:color="E6E6E6"/>
              <w:right w:val="nil"/>
            </w:tcBorders>
            <w:shd w:val="clear" w:color="auto" w:fill="F0F3F7"/>
            <w:vAlign w:val="bottom"/>
          </w:tcPr>
          <w:p w14:paraId="28C37007" w14:textId="77777777" w:rsidR="005F3D9D" w:rsidRPr="009F73B7" w:rsidRDefault="005F3D9D" w:rsidP="004E7FD4">
            <w:pPr>
              <w:spacing w:after="0" w:line="360" w:lineRule="auto"/>
              <w:jc w:val="center"/>
              <w:rPr>
                <w:rFonts w:ascii="Arial" w:hAnsi="Arial" w:cs="Arial"/>
                <w:b/>
                <w:color w:val="25478B"/>
                <w:sz w:val="16"/>
                <w:szCs w:val="16"/>
              </w:rPr>
            </w:pPr>
            <w:r>
              <w:rPr>
                <w:rFonts w:ascii="Arial" w:hAnsi="Arial" w:cs="Arial"/>
                <w:b/>
                <w:color w:val="25478B"/>
                <w:sz w:val="16"/>
                <w:szCs w:val="16"/>
              </w:rPr>
              <w:t>Mayo 2023</w:t>
            </w:r>
          </w:p>
        </w:tc>
        <w:tc>
          <w:tcPr>
            <w:tcW w:w="699" w:type="pct"/>
            <w:tcBorders>
              <w:top w:val="single" w:sz="4" w:space="0" w:color="7C91B9"/>
              <w:left w:val="nil"/>
              <w:bottom w:val="single" w:sz="8" w:space="0" w:color="E6E6E6"/>
              <w:right w:val="single" w:sz="4" w:space="0" w:color="7C91B9"/>
            </w:tcBorders>
            <w:shd w:val="clear" w:color="auto" w:fill="F0F3F7"/>
            <w:vAlign w:val="bottom"/>
          </w:tcPr>
          <w:p w14:paraId="6CAD7E1A" w14:textId="77777777" w:rsidR="005F3D9D" w:rsidRPr="009F73B7" w:rsidRDefault="005F3D9D" w:rsidP="004E7FD4">
            <w:pPr>
              <w:spacing w:after="0" w:line="360" w:lineRule="auto"/>
              <w:jc w:val="right"/>
              <w:rPr>
                <w:rFonts w:ascii="Arial" w:hAnsi="Arial" w:cs="Arial"/>
                <w:color w:val="345393"/>
                <w:sz w:val="16"/>
                <w:szCs w:val="16"/>
              </w:rPr>
            </w:pPr>
          </w:p>
        </w:tc>
      </w:tr>
      <w:tr w:rsidR="005F3D9D" w:rsidRPr="005D6AEA" w14:paraId="1C7259B6" w14:textId="77777777" w:rsidTr="004E7FD4">
        <w:trPr>
          <w:cantSplit/>
          <w:trHeight w:val="157"/>
          <w:tblHeader/>
          <w:jc w:val="center"/>
        </w:trPr>
        <w:tc>
          <w:tcPr>
            <w:tcW w:w="640" w:type="pct"/>
            <w:tcBorders>
              <w:top w:val="single" w:sz="8" w:space="0" w:color="E6E6E6"/>
              <w:left w:val="single" w:sz="4" w:space="0" w:color="25478B"/>
              <w:bottom w:val="nil"/>
              <w:right w:val="single" w:sz="8" w:space="0" w:color="E6E6E6"/>
            </w:tcBorders>
            <w:shd w:val="clear" w:color="auto" w:fill="25478B"/>
            <w:vAlign w:val="bottom"/>
          </w:tcPr>
          <w:p w14:paraId="5E25F565"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Do.</w:t>
            </w:r>
          </w:p>
        </w:tc>
        <w:tc>
          <w:tcPr>
            <w:tcW w:w="642" w:type="pct"/>
            <w:tcBorders>
              <w:top w:val="single" w:sz="8" w:space="0" w:color="E6E6E6"/>
              <w:left w:val="single" w:sz="8" w:space="0" w:color="E6E6E6"/>
              <w:bottom w:val="nil"/>
              <w:right w:val="single" w:sz="8" w:space="0" w:color="E6E6E6"/>
            </w:tcBorders>
            <w:shd w:val="clear" w:color="auto" w:fill="25478B"/>
            <w:vAlign w:val="bottom"/>
          </w:tcPr>
          <w:p w14:paraId="7143F98E"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Lu.</w:t>
            </w:r>
          </w:p>
        </w:tc>
        <w:tc>
          <w:tcPr>
            <w:tcW w:w="735" w:type="pct"/>
            <w:tcBorders>
              <w:top w:val="single" w:sz="8" w:space="0" w:color="E6E6E6"/>
              <w:left w:val="single" w:sz="8" w:space="0" w:color="E6E6E6"/>
              <w:bottom w:val="nil"/>
              <w:right w:val="single" w:sz="8" w:space="0" w:color="E6E6E6"/>
            </w:tcBorders>
            <w:shd w:val="clear" w:color="auto" w:fill="25478B"/>
            <w:vAlign w:val="bottom"/>
          </w:tcPr>
          <w:p w14:paraId="57C9C2EE"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Ma.</w:t>
            </w:r>
          </w:p>
        </w:tc>
        <w:tc>
          <w:tcPr>
            <w:tcW w:w="803" w:type="pct"/>
            <w:tcBorders>
              <w:top w:val="single" w:sz="8" w:space="0" w:color="E6E6E6"/>
              <w:left w:val="single" w:sz="8" w:space="0" w:color="E6E6E6"/>
              <w:bottom w:val="nil"/>
              <w:right w:val="single" w:sz="8" w:space="0" w:color="E6E6E6"/>
            </w:tcBorders>
            <w:shd w:val="clear" w:color="auto" w:fill="25478B"/>
            <w:vAlign w:val="bottom"/>
          </w:tcPr>
          <w:p w14:paraId="72481886"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Mi.</w:t>
            </w:r>
          </w:p>
        </w:tc>
        <w:tc>
          <w:tcPr>
            <w:tcW w:w="767" w:type="pct"/>
            <w:tcBorders>
              <w:top w:val="single" w:sz="8" w:space="0" w:color="E6E6E6"/>
              <w:left w:val="single" w:sz="8" w:space="0" w:color="E6E6E6"/>
              <w:bottom w:val="nil"/>
              <w:right w:val="single" w:sz="8" w:space="0" w:color="E6E6E6"/>
            </w:tcBorders>
            <w:shd w:val="clear" w:color="auto" w:fill="25478B"/>
            <w:vAlign w:val="bottom"/>
          </w:tcPr>
          <w:p w14:paraId="52E1B461"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Ju.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37D1D610"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Vi.</w:t>
            </w:r>
          </w:p>
        </w:tc>
        <w:tc>
          <w:tcPr>
            <w:tcW w:w="699" w:type="pct"/>
            <w:tcBorders>
              <w:top w:val="single" w:sz="8" w:space="0" w:color="E6E6E6"/>
              <w:left w:val="single" w:sz="8" w:space="0" w:color="E6E6E6"/>
              <w:bottom w:val="nil"/>
              <w:right w:val="single" w:sz="4" w:space="0" w:color="25478B"/>
            </w:tcBorders>
            <w:shd w:val="clear" w:color="auto" w:fill="25478B"/>
            <w:vAlign w:val="bottom"/>
          </w:tcPr>
          <w:p w14:paraId="080E0213" w14:textId="77777777" w:rsidR="005F3D9D" w:rsidRPr="009F73B7" w:rsidRDefault="005F3D9D" w:rsidP="004E7FD4">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Sá.</w:t>
            </w:r>
          </w:p>
        </w:tc>
      </w:tr>
      <w:tr w:rsidR="005F3D9D" w:rsidRPr="003D6B5B" w14:paraId="01A37746" w14:textId="77777777" w:rsidTr="004E7FD4">
        <w:trPr>
          <w:cantSplit/>
          <w:trHeight w:val="543"/>
          <w:jc w:val="center"/>
        </w:trPr>
        <w:tc>
          <w:tcPr>
            <w:tcW w:w="640" w:type="pct"/>
            <w:tcBorders>
              <w:top w:val="nil"/>
              <w:left w:val="single" w:sz="4" w:space="0" w:color="25478B"/>
              <w:bottom w:val="single" w:sz="8" w:space="0" w:color="25478B"/>
              <w:right w:val="single" w:sz="8" w:space="0" w:color="25478B"/>
            </w:tcBorders>
            <w:shd w:val="clear" w:color="auto" w:fill="808080" w:themeFill="background1" w:themeFillShade="80"/>
          </w:tcPr>
          <w:p w14:paraId="69E8678B"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30</w:t>
            </w:r>
          </w:p>
        </w:tc>
        <w:tc>
          <w:tcPr>
            <w:tcW w:w="642" w:type="pct"/>
            <w:tcBorders>
              <w:top w:val="nil"/>
              <w:left w:val="single" w:sz="8" w:space="0" w:color="25478B"/>
              <w:bottom w:val="single" w:sz="8" w:space="0" w:color="25478B"/>
              <w:right w:val="single" w:sz="8" w:space="0" w:color="25478B"/>
            </w:tcBorders>
            <w:shd w:val="clear" w:color="auto" w:fill="FFFF00"/>
          </w:tcPr>
          <w:p w14:paraId="13D923D4"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w:t>
            </w:r>
          </w:p>
        </w:tc>
        <w:tc>
          <w:tcPr>
            <w:tcW w:w="735" w:type="pct"/>
            <w:tcBorders>
              <w:top w:val="nil"/>
              <w:left w:val="single" w:sz="8" w:space="0" w:color="25478B"/>
              <w:bottom w:val="single" w:sz="8" w:space="0" w:color="25478B"/>
              <w:right w:val="single" w:sz="8" w:space="0" w:color="25478B"/>
            </w:tcBorders>
            <w:shd w:val="clear" w:color="auto" w:fill="FFFF00"/>
          </w:tcPr>
          <w:p w14:paraId="0C4037D0"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w:t>
            </w:r>
          </w:p>
        </w:tc>
        <w:tc>
          <w:tcPr>
            <w:tcW w:w="803" w:type="pct"/>
            <w:tcBorders>
              <w:top w:val="nil"/>
              <w:left w:val="single" w:sz="8" w:space="0" w:color="25478B"/>
              <w:bottom w:val="single" w:sz="8" w:space="0" w:color="25478B"/>
              <w:right w:val="single" w:sz="8" w:space="0" w:color="25478B"/>
            </w:tcBorders>
            <w:shd w:val="clear" w:color="auto" w:fill="FFFF00"/>
          </w:tcPr>
          <w:p w14:paraId="16A9D818"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3</w:t>
            </w:r>
          </w:p>
        </w:tc>
        <w:tc>
          <w:tcPr>
            <w:tcW w:w="767" w:type="pct"/>
            <w:tcBorders>
              <w:top w:val="nil"/>
              <w:left w:val="single" w:sz="8" w:space="0" w:color="25478B"/>
              <w:bottom w:val="single" w:sz="8" w:space="0" w:color="25478B"/>
              <w:right w:val="single" w:sz="8" w:space="0" w:color="25478B"/>
            </w:tcBorders>
            <w:shd w:val="clear" w:color="auto" w:fill="FFFF00"/>
          </w:tcPr>
          <w:p w14:paraId="0CD3C6AC"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4</w:t>
            </w:r>
          </w:p>
        </w:tc>
        <w:tc>
          <w:tcPr>
            <w:tcW w:w="715" w:type="pct"/>
            <w:tcBorders>
              <w:top w:val="nil"/>
              <w:left w:val="single" w:sz="8" w:space="0" w:color="25478B"/>
              <w:bottom w:val="single" w:sz="8" w:space="0" w:color="25478B"/>
              <w:right w:val="single" w:sz="8" w:space="0" w:color="25478B"/>
            </w:tcBorders>
            <w:shd w:val="clear" w:color="auto" w:fill="FFFF00"/>
          </w:tcPr>
          <w:p w14:paraId="33795F92"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5</w:t>
            </w:r>
          </w:p>
        </w:tc>
        <w:tc>
          <w:tcPr>
            <w:tcW w:w="699" w:type="pct"/>
            <w:tcBorders>
              <w:top w:val="nil"/>
              <w:left w:val="single" w:sz="8" w:space="0" w:color="25478B"/>
              <w:bottom w:val="single" w:sz="8" w:space="0" w:color="25478B"/>
              <w:right w:val="single" w:sz="4" w:space="0" w:color="25478B"/>
            </w:tcBorders>
            <w:shd w:val="clear" w:color="auto" w:fill="808080" w:themeFill="background1" w:themeFillShade="80"/>
          </w:tcPr>
          <w:p w14:paraId="52542886"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6</w:t>
            </w:r>
          </w:p>
        </w:tc>
      </w:tr>
      <w:tr w:rsidR="005F3D9D" w:rsidRPr="003D6B5B" w14:paraId="0DEB9765" w14:textId="77777777" w:rsidTr="001C1AEF">
        <w:trPr>
          <w:cantSplit/>
          <w:trHeight w:val="576"/>
          <w:jc w:val="center"/>
        </w:trPr>
        <w:tc>
          <w:tcPr>
            <w:tcW w:w="640"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77235CB1"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7</w:t>
            </w:r>
          </w:p>
        </w:tc>
        <w:tc>
          <w:tcPr>
            <w:tcW w:w="642" w:type="pct"/>
            <w:tcBorders>
              <w:top w:val="single" w:sz="8" w:space="0" w:color="25478B"/>
              <w:left w:val="single" w:sz="8" w:space="0" w:color="25478B"/>
              <w:bottom w:val="single" w:sz="8" w:space="0" w:color="25478B"/>
              <w:right w:val="single" w:sz="8" w:space="0" w:color="25478B"/>
            </w:tcBorders>
            <w:shd w:val="clear" w:color="auto" w:fill="FFFF00"/>
          </w:tcPr>
          <w:p w14:paraId="22A7EF36"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8</w:t>
            </w:r>
          </w:p>
        </w:tc>
        <w:tc>
          <w:tcPr>
            <w:tcW w:w="735" w:type="pct"/>
            <w:tcBorders>
              <w:top w:val="single" w:sz="8" w:space="0" w:color="25478B"/>
              <w:left w:val="single" w:sz="8" w:space="0" w:color="25478B"/>
              <w:bottom w:val="single" w:sz="8" w:space="0" w:color="25478B"/>
              <w:right w:val="single" w:sz="8" w:space="0" w:color="25478B"/>
            </w:tcBorders>
            <w:shd w:val="clear" w:color="auto" w:fill="FFFF00"/>
          </w:tcPr>
          <w:p w14:paraId="1F90A1D7"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9</w:t>
            </w:r>
          </w:p>
        </w:tc>
        <w:tc>
          <w:tcPr>
            <w:tcW w:w="803" w:type="pct"/>
            <w:tcBorders>
              <w:top w:val="single" w:sz="8" w:space="0" w:color="25478B"/>
              <w:left w:val="single" w:sz="8" w:space="0" w:color="25478B"/>
              <w:bottom w:val="single" w:sz="8" w:space="0" w:color="25478B"/>
              <w:right w:val="single" w:sz="8" w:space="0" w:color="25478B"/>
            </w:tcBorders>
            <w:shd w:val="clear" w:color="auto" w:fill="FFFF00"/>
          </w:tcPr>
          <w:p w14:paraId="0A9D89EE"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10</w:t>
            </w:r>
          </w:p>
        </w:tc>
        <w:tc>
          <w:tcPr>
            <w:tcW w:w="767" w:type="pct"/>
            <w:tcBorders>
              <w:top w:val="single" w:sz="8" w:space="0" w:color="25478B"/>
              <w:left w:val="single" w:sz="8" w:space="0" w:color="25478B"/>
              <w:bottom w:val="single" w:sz="8" w:space="0" w:color="25478B"/>
              <w:right w:val="single" w:sz="8" w:space="0" w:color="25478B"/>
            </w:tcBorders>
            <w:shd w:val="clear" w:color="auto" w:fill="FFFF00"/>
          </w:tcPr>
          <w:p w14:paraId="0232BC36" w14:textId="1B2FC3D4" w:rsidR="005F3D9D" w:rsidRPr="007D6488" w:rsidRDefault="005F3D9D" w:rsidP="001C1AEF">
            <w:pPr>
              <w:pStyle w:val="CalendarText"/>
              <w:spacing w:line="360" w:lineRule="auto"/>
              <w:jc w:val="center"/>
              <w:rPr>
                <w:rStyle w:val="WinCalendarBLANKCELLSTYLE0"/>
                <w:b/>
                <w:bCs/>
                <w:szCs w:val="16"/>
              </w:rPr>
            </w:pPr>
            <w:r>
              <w:rPr>
                <w:rStyle w:val="WinCalendarBLANKCELLSTYLE0"/>
                <w:b/>
                <w:bCs/>
                <w:szCs w:val="16"/>
              </w:rPr>
              <w:t>11</w:t>
            </w:r>
          </w:p>
        </w:tc>
        <w:tc>
          <w:tcPr>
            <w:tcW w:w="715" w:type="pct"/>
            <w:tcBorders>
              <w:top w:val="single" w:sz="8" w:space="0" w:color="25478B"/>
              <w:left w:val="single" w:sz="8" w:space="0" w:color="25478B"/>
              <w:bottom w:val="single" w:sz="8" w:space="0" w:color="25478B"/>
              <w:right w:val="single" w:sz="8" w:space="0" w:color="25478B"/>
            </w:tcBorders>
            <w:shd w:val="clear" w:color="auto" w:fill="FFFF00"/>
          </w:tcPr>
          <w:p w14:paraId="6F6B18BD"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12</w:t>
            </w:r>
          </w:p>
        </w:tc>
        <w:tc>
          <w:tcPr>
            <w:tcW w:w="699"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7AA1028B"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13</w:t>
            </w:r>
          </w:p>
        </w:tc>
      </w:tr>
      <w:tr w:rsidR="005F3D9D" w:rsidRPr="003D6B5B" w14:paraId="0DF96F7A" w14:textId="77777777" w:rsidTr="001C1AEF">
        <w:trPr>
          <w:cantSplit/>
          <w:trHeight w:val="556"/>
          <w:jc w:val="center"/>
        </w:trPr>
        <w:tc>
          <w:tcPr>
            <w:tcW w:w="640"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221BABC6"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14</w:t>
            </w:r>
          </w:p>
        </w:tc>
        <w:tc>
          <w:tcPr>
            <w:tcW w:w="642" w:type="pct"/>
            <w:tcBorders>
              <w:top w:val="single" w:sz="8" w:space="0" w:color="25478B"/>
              <w:left w:val="single" w:sz="8" w:space="0" w:color="25478B"/>
              <w:bottom w:val="single" w:sz="8" w:space="0" w:color="25478B"/>
              <w:right w:val="single" w:sz="8" w:space="0" w:color="25478B"/>
            </w:tcBorders>
            <w:shd w:val="clear" w:color="auto" w:fill="FFFF00"/>
          </w:tcPr>
          <w:p w14:paraId="1A99999B"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15</w:t>
            </w:r>
          </w:p>
        </w:tc>
        <w:tc>
          <w:tcPr>
            <w:tcW w:w="735" w:type="pct"/>
            <w:tcBorders>
              <w:top w:val="single" w:sz="8" w:space="0" w:color="25478B"/>
              <w:left w:val="single" w:sz="8" w:space="0" w:color="25478B"/>
              <w:bottom w:val="single" w:sz="8" w:space="0" w:color="25478B"/>
              <w:right w:val="single" w:sz="8" w:space="0" w:color="25478B"/>
            </w:tcBorders>
            <w:shd w:val="clear" w:color="auto" w:fill="FF0000"/>
          </w:tcPr>
          <w:p w14:paraId="59FC3376" w14:textId="77777777" w:rsidR="005F3D9D" w:rsidRDefault="005F3D9D" w:rsidP="004E7FD4">
            <w:pPr>
              <w:pStyle w:val="CalendarText"/>
              <w:spacing w:line="360" w:lineRule="auto"/>
              <w:jc w:val="center"/>
              <w:rPr>
                <w:rStyle w:val="WinCalendarBLANKCELLSTYLE0"/>
                <w:b/>
                <w:bCs/>
                <w:szCs w:val="16"/>
              </w:rPr>
            </w:pPr>
            <w:r>
              <w:rPr>
                <w:rStyle w:val="WinCalendarBLANKCELLSTYLE0"/>
                <w:b/>
                <w:bCs/>
                <w:szCs w:val="16"/>
              </w:rPr>
              <w:t>16</w:t>
            </w:r>
          </w:p>
          <w:p w14:paraId="11A69E83" w14:textId="7E0FC364" w:rsidR="001C1AEF" w:rsidRPr="007D6488" w:rsidRDefault="001C1AEF" w:rsidP="004E7FD4">
            <w:pPr>
              <w:pStyle w:val="CalendarText"/>
              <w:spacing w:line="360" w:lineRule="auto"/>
              <w:jc w:val="center"/>
              <w:rPr>
                <w:rStyle w:val="WinCalendarBLANKCELLSTYLE0"/>
                <w:b/>
                <w:bCs/>
                <w:szCs w:val="16"/>
              </w:rPr>
            </w:pPr>
            <w:r>
              <w:rPr>
                <w:rStyle w:val="WinCalendarBLANKCELLSTYLE0"/>
                <w:b/>
                <w:bCs/>
                <w:szCs w:val="16"/>
              </w:rPr>
              <w:t xml:space="preserve">Vence </w:t>
            </w:r>
            <w:proofErr w:type="spellStart"/>
            <w:r>
              <w:rPr>
                <w:rStyle w:val="WinCalendarBLANKCELLSTYLE0"/>
                <w:b/>
                <w:bCs/>
                <w:szCs w:val="16"/>
              </w:rPr>
              <w:t>el</w:t>
            </w:r>
            <w:proofErr w:type="spellEnd"/>
            <w:r>
              <w:rPr>
                <w:rStyle w:val="WinCalendarBLANKCELLSTYLE0"/>
                <w:b/>
                <w:bCs/>
                <w:szCs w:val="16"/>
              </w:rPr>
              <w:t xml:space="preserve"> </w:t>
            </w:r>
            <w:proofErr w:type="spellStart"/>
            <w:r>
              <w:rPr>
                <w:rStyle w:val="WinCalendarBLANKCELLSTYLE0"/>
                <w:b/>
                <w:bCs/>
                <w:szCs w:val="16"/>
              </w:rPr>
              <w:t>término</w:t>
            </w:r>
            <w:proofErr w:type="spellEnd"/>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401BBAD7"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17</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02DBAD3D"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18</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4091BC8D"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19</w:t>
            </w:r>
          </w:p>
        </w:tc>
        <w:tc>
          <w:tcPr>
            <w:tcW w:w="699"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31FB3A54"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20</w:t>
            </w:r>
          </w:p>
        </w:tc>
      </w:tr>
      <w:tr w:rsidR="005F3D9D" w:rsidRPr="003D6B5B" w14:paraId="1C75628C" w14:textId="77777777" w:rsidTr="004E7FD4">
        <w:trPr>
          <w:cantSplit/>
          <w:trHeight w:val="587"/>
          <w:jc w:val="center"/>
        </w:trPr>
        <w:tc>
          <w:tcPr>
            <w:tcW w:w="640"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5364F52"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21</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7F8DD8DF"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22</w:t>
            </w:r>
          </w:p>
        </w:tc>
        <w:tc>
          <w:tcPr>
            <w:tcW w:w="735" w:type="pct"/>
            <w:tcBorders>
              <w:top w:val="single" w:sz="8" w:space="0" w:color="25478B"/>
              <w:left w:val="single" w:sz="8" w:space="0" w:color="25478B"/>
              <w:bottom w:val="single" w:sz="8" w:space="0" w:color="25478B"/>
              <w:right w:val="single" w:sz="8" w:space="0" w:color="25478B"/>
            </w:tcBorders>
            <w:shd w:val="clear" w:color="auto" w:fill="auto"/>
          </w:tcPr>
          <w:p w14:paraId="7FC5EC47"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23</w:t>
            </w:r>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67065700"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24</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79449AE6"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25</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57F76C14" w14:textId="77777777" w:rsidR="005F3D9D" w:rsidRPr="007D6488" w:rsidRDefault="005F3D9D" w:rsidP="004E7FD4">
            <w:pPr>
              <w:pStyle w:val="CalendarText"/>
              <w:spacing w:line="360" w:lineRule="auto"/>
              <w:jc w:val="center"/>
              <w:rPr>
                <w:rStyle w:val="WinCalendarBLANKCELLSTYLE0"/>
                <w:b/>
                <w:bCs/>
                <w:szCs w:val="16"/>
              </w:rPr>
            </w:pPr>
            <w:r>
              <w:rPr>
                <w:rStyle w:val="WinCalendarBLANKCELLSTYLE0"/>
                <w:b/>
                <w:bCs/>
                <w:szCs w:val="16"/>
              </w:rPr>
              <w:t>26</w:t>
            </w:r>
          </w:p>
        </w:tc>
        <w:tc>
          <w:tcPr>
            <w:tcW w:w="699"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49FA254A"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27</w:t>
            </w:r>
          </w:p>
        </w:tc>
      </w:tr>
      <w:tr w:rsidR="005F3D9D" w:rsidRPr="003D6B5B" w14:paraId="513E91B2" w14:textId="77777777" w:rsidTr="004E7FD4">
        <w:trPr>
          <w:cantSplit/>
          <w:trHeight w:val="495"/>
          <w:jc w:val="center"/>
        </w:trPr>
        <w:tc>
          <w:tcPr>
            <w:tcW w:w="640"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5E526674" w14:textId="77777777" w:rsidR="005F3D9D" w:rsidRPr="009F73B7" w:rsidRDefault="005F3D9D" w:rsidP="004E7FD4">
            <w:pPr>
              <w:pStyle w:val="CalendarText"/>
              <w:spacing w:line="360" w:lineRule="auto"/>
              <w:jc w:val="center"/>
              <w:rPr>
                <w:rStyle w:val="WinCalendarBLANKCELLSTYLE0"/>
                <w:b/>
                <w:bCs/>
                <w:szCs w:val="16"/>
              </w:rPr>
            </w:pPr>
            <w:r>
              <w:rPr>
                <w:rStyle w:val="WinCalendarBLANKCELLSTYLE0"/>
                <w:b/>
                <w:bCs/>
                <w:szCs w:val="16"/>
              </w:rPr>
              <w:t>28</w:t>
            </w:r>
          </w:p>
        </w:tc>
        <w:tc>
          <w:tcPr>
            <w:tcW w:w="642" w:type="pct"/>
            <w:tcBorders>
              <w:top w:val="single" w:sz="8" w:space="0" w:color="25478B"/>
              <w:left w:val="single" w:sz="8" w:space="0" w:color="25478B"/>
              <w:bottom w:val="single" w:sz="4" w:space="0" w:color="25478B"/>
              <w:right w:val="single" w:sz="8" w:space="0" w:color="25478B"/>
            </w:tcBorders>
            <w:shd w:val="clear" w:color="auto" w:fill="auto"/>
          </w:tcPr>
          <w:p w14:paraId="1A3168ED" w14:textId="77777777" w:rsidR="005F3D9D" w:rsidRPr="007D6488" w:rsidRDefault="005F3D9D" w:rsidP="004E7FD4">
            <w:pPr>
              <w:pStyle w:val="CalendarText"/>
              <w:spacing w:line="360" w:lineRule="auto"/>
              <w:jc w:val="center"/>
              <w:rPr>
                <w:rStyle w:val="WinCalendarBLANKCELLSTYLE0"/>
                <w:b/>
                <w:bCs/>
                <w:color w:val="auto"/>
                <w:szCs w:val="16"/>
              </w:rPr>
            </w:pPr>
            <w:r>
              <w:rPr>
                <w:rStyle w:val="WinCalendarBLANKCELLSTYLE0"/>
                <w:b/>
                <w:bCs/>
                <w:color w:val="auto"/>
                <w:szCs w:val="16"/>
              </w:rPr>
              <w:t>29</w:t>
            </w:r>
          </w:p>
        </w:tc>
        <w:tc>
          <w:tcPr>
            <w:tcW w:w="735" w:type="pct"/>
            <w:tcBorders>
              <w:top w:val="single" w:sz="8" w:space="0" w:color="25478B"/>
              <w:left w:val="single" w:sz="8" w:space="0" w:color="25478B"/>
              <w:bottom w:val="single" w:sz="4" w:space="0" w:color="25478B"/>
              <w:right w:val="single" w:sz="8" w:space="0" w:color="25478B"/>
            </w:tcBorders>
            <w:shd w:val="clear" w:color="auto" w:fill="auto"/>
          </w:tcPr>
          <w:p w14:paraId="74931E71" w14:textId="77777777" w:rsidR="005F3D9D" w:rsidRPr="007D6488" w:rsidRDefault="005F3D9D" w:rsidP="004E7FD4">
            <w:pPr>
              <w:pStyle w:val="CalendarText"/>
              <w:spacing w:line="360" w:lineRule="auto"/>
              <w:jc w:val="center"/>
              <w:rPr>
                <w:rStyle w:val="WinCalendarBLANKCELLSTYLE0"/>
                <w:b/>
                <w:bCs/>
                <w:color w:val="auto"/>
                <w:szCs w:val="16"/>
              </w:rPr>
            </w:pPr>
            <w:r>
              <w:rPr>
                <w:rStyle w:val="WinCalendarBLANKCELLSTYLE0"/>
                <w:b/>
                <w:bCs/>
                <w:color w:val="auto"/>
                <w:szCs w:val="16"/>
              </w:rPr>
              <w:t>30</w:t>
            </w:r>
          </w:p>
        </w:tc>
        <w:tc>
          <w:tcPr>
            <w:tcW w:w="803" w:type="pct"/>
            <w:tcBorders>
              <w:top w:val="single" w:sz="8" w:space="0" w:color="25478B"/>
              <w:left w:val="single" w:sz="8" w:space="0" w:color="25478B"/>
              <w:bottom w:val="single" w:sz="4" w:space="0" w:color="25478B"/>
              <w:right w:val="single" w:sz="4" w:space="0" w:color="25478B"/>
            </w:tcBorders>
            <w:shd w:val="clear" w:color="auto" w:fill="auto"/>
          </w:tcPr>
          <w:p w14:paraId="4B03C6CB" w14:textId="77777777" w:rsidR="005F3D9D" w:rsidRPr="007D6488" w:rsidRDefault="005F3D9D" w:rsidP="004E7FD4">
            <w:pPr>
              <w:pStyle w:val="CalendarText"/>
              <w:spacing w:line="360" w:lineRule="auto"/>
              <w:jc w:val="center"/>
              <w:rPr>
                <w:rStyle w:val="CalendarNumbers"/>
                <w:color w:val="auto"/>
                <w:sz w:val="16"/>
                <w:szCs w:val="16"/>
              </w:rPr>
            </w:pPr>
            <w:r>
              <w:rPr>
                <w:rStyle w:val="CalendarNumbers"/>
                <w:color w:val="auto"/>
                <w:sz w:val="16"/>
                <w:szCs w:val="16"/>
              </w:rPr>
              <w:t>31</w:t>
            </w:r>
          </w:p>
        </w:tc>
        <w:tc>
          <w:tcPr>
            <w:tcW w:w="767" w:type="pct"/>
            <w:tcBorders>
              <w:top w:val="single" w:sz="8" w:space="0" w:color="25478B"/>
              <w:left w:val="single" w:sz="8" w:space="0" w:color="25478B"/>
              <w:bottom w:val="single" w:sz="4" w:space="0" w:color="25478B"/>
              <w:right w:val="single" w:sz="4" w:space="0" w:color="25478B"/>
            </w:tcBorders>
            <w:shd w:val="clear" w:color="auto" w:fill="auto"/>
          </w:tcPr>
          <w:p w14:paraId="6AEE2964" w14:textId="77777777" w:rsidR="005F3D9D" w:rsidRPr="007D6488" w:rsidRDefault="005F3D9D" w:rsidP="004E7FD4">
            <w:pPr>
              <w:pStyle w:val="CalendarText"/>
              <w:spacing w:line="360" w:lineRule="auto"/>
              <w:jc w:val="center"/>
              <w:rPr>
                <w:rStyle w:val="CalendarNumbers"/>
                <w:color w:val="auto"/>
                <w:sz w:val="16"/>
                <w:szCs w:val="16"/>
              </w:rPr>
            </w:pPr>
          </w:p>
        </w:tc>
        <w:tc>
          <w:tcPr>
            <w:tcW w:w="715" w:type="pct"/>
            <w:tcBorders>
              <w:top w:val="single" w:sz="8" w:space="0" w:color="25478B"/>
              <w:left w:val="single" w:sz="8" w:space="0" w:color="25478B"/>
              <w:bottom w:val="single" w:sz="4" w:space="0" w:color="25478B"/>
              <w:right w:val="single" w:sz="4" w:space="0" w:color="25478B"/>
            </w:tcBorders>
            <w:shd w:val="clear" w:color="auto" w:fill="auto"/>
          </w:tcPr>
          <w:p w14:paraId="4DB6E4C0" w14:textId="77777777" w:rsidR="005F3D9D" w:rsidRPr="007D6488" w:rsidRDefault="005F3D9D" w:rsidP="004E7FD4">
            <w:pPr>
              <w:pStyle w:val="CalendarText"/>
              <w:spacing w:line="360" w:lineRule="auto"/>
              <w:jc w:val="center"/>
              <w:rPr>
                <w:rStyle w:val="CalendarNumbers"/>
                <w:color w:val="auto"/>
                <w:sz w:val="16"/>
                <w:szCs w:val="16"/>
              </w:rPr>
            </w:pPr>
          </w:p>
        </w:tc>
        <w:tc>
          <w:tcPr>
            <w:tcW w:w="699" w:type="pct"/>
            <w:tcBorders>
              <w:top w:val="single" w:sz="8" w:space="0" w:color="25478B"/>
              <w:left w:val="single" w:sz="8" w:space="0" w:color="25478B"/>
              <w:bottom w:val="single" w:sz="4" w:space="0" w:color="25478B"/>
              <w:right w:val="single" w:sz="4" w:space="0" w:color="25478B"/>
            </w:tcBorders>
            <w:shd w:val="clear" w:color="auto" w:fill="E6E6E6"/>
          </w:tcPr>
          <w:p w14:paraId="7C728AAA" w14:textId="77777777" w:rsidR="005F3D9D" w:rsidRPr="00990A0F" w:rsidRDefault="005F3D9D" w:rsidP="004E7FD4">
            <w:pPr>
              <w:pStyle w:val="CalendarText"/>
              <w:spacing w:line="360" w:lineRule="auto"/>
              <w:jc w:val="center"/>
              <w:rPr>
                <w:rStyle w:val="CalendarNumbers"/>
                <w:color w:val="auto"/>
                <w:sz w:val="16"/>
                <w:szCs w:val="16"/>
              </w:rPr>
            </w:pPr>
          </w:p>
        </w:tc>
      </w:tr>
    </w:tbl>
    <w:p w14:paraId="68682FE8" w14:textId="77777777" w:rsidR="005F3D9D" w:rsidRDefault="005F3D9D" w:rsidP="005F3D9D">
      <w:pPr>
        <w:spacing w:line="360" w:lineRule="auto"/>
        <w:ind w:firstLine="567"/>
        <w:jc w:val="center"/>
        <w:rPr>
          <w:rFonts w:ascii="Arial" w:hAnsi="Arial" w:cs="Arial"/>
          <w:i/>
          <w:sz w:val="26"/>
          <w:szCs w:val="26"/>
        </w:rPr>
      </w:pPr>
    </w:p>
    <w:p w14:paraId="361DF1BA" w14:textId="0EB58F0F" w:rsidR="00350309" w:rsidRPr="00EE4752" w:rsidRDefault="00BC04EA" w:rsidP="00227923">
      <w:pPr>
        <w:spacing w:line="360" w:lineRule="auto"/>
        <w:ind w:firstLine="567"/>
        <w:jc w:val="both"/>
        <w:rPr>
          <w:rFonts w:ascii="Arial" w:hAnsi="Arial" w:cs="Arial"/>
          <w:b/>
          <w:snapToGrid w:val="0"/>
          <w:sz w:val="26"/>
          <w:szCs w:val="26"/>
        </w:rPr>
      </w:pPr>
      <w:r>
        <w:rPr>
          <w:rFonts w:ascii="Arial" w:hAnsi="Arial" w:cs="Arial"/>
          <w:b/>
          <w:snapToGrid w:val="0"/>
          <w:sz w:val="26"/>
          <w:szCs w:val="26"/>
        </w:rPr>
        <w:t xml:space="preserve">CUARTO. </w:t>
      </w:r>
      <w:r w:rsidR="00D81B9E" w:rsidRPr="00EE4752">
        <w:rPr>
          <w:rFonts w:ascii="Arial" w:hAnsi="Arial" w:cs="Arial"/>
          <w:b/>
          <w:snapToGrid w:val="0"/>
          <w:sz w:val="26"/>
          <w:szCs w:val="26"/>
        </w:rPr>
        <w:t xml:space="preserve">LEGITIMACIÓN Y PERSONALIDAD. </w:t>
      </w:r>
    </w:p>
    <w:p w14:paraId="4954149D" w14:textId="02F6F8B4" w:rsidR="00FC2EEB" w:rsidRDefault="00FC2EEB" w:rsidP="00227923">
      <w:pPr>
        <w:spacing w:line="360" w:lineRule="auto"/>
        <w:ind w:firstLine="567"/>
        <w:jc w:val="both"/>
        <w:rPr>
          <w:rFonts w:ascii="Arial" w:hAnsi="Arial" w:cs="Arial"/>
          <w:b/>
          <w:sz w:val="26"/>
          <w:szCs w:val="26"/>
        </w:rPr>
      </w:pPr>
      <w:r>
        <w:rPr>
          <w:rFonts w:ascii="Arial" w:hAnsi="Arial" w:cs="Arial"/>
          <w:bCs/>
          <w:snapToGrid w:val="0"/>
          <w:sz w:val="26"/>
          <w:szCs w:val="26"/>
        </w:rPr>
        <w:t>19</w:t>
      </w:r>
      <w:r w:rsidR="003F43EB">
        <w:rPr>
          <w:rFonts w:ascii="Arial" w:hAnsi="Arial" w:cs="Arial"/>
          <w:bCs/>
          <w:snapToGrid w:val="0"/>
          <w:sz w:val="26"/>
          <w:szCs w:val="26"/>
        </w:rPr>
        <w:t xml:space="preserve">. </w:t>
      </w:r>
      <w:r w:rsidR="00D81B9E" w:rsidRPr="00EE4752">
        <w:rPr>
          <w:rFonts w:ascii="Arial" w:hAnsi="Arial" w:cs="Arial"/>
          <w:bCs/>
          <w:snapToGrid w:val="0"/>
          <w:sz w:val="26"/>
          <w:szCs w:val="26"/>
        </w:rPr>
        <w:t xml:space="preserve">El juicio de </w:t>
      </w:r>
      <w:r w:rsidR="00216B34">
        <w:rPr>
          <w:rFonts w:ascii="Arial" w:hAnsi="Arial" w:cs="Arial"/>
          <w:bCs/>
          <w:snapToGrid w:val="0"/>
          <w:sz w:val="26"/>
          <w:szCs w:val="26"/>
        </w:rPr>
        <w:t>Inconformidad</w:t>
      </w:r>
      <w:r w:rsidR="00D81B9E" w:rsidRPr="00EE4752">
        <w:rPr>
          <w:rFonts w:ascii="Arial" w:hAnsi="Arial" w:cs="Arial"/>
          <w:bCs/>
          <w:snapToGrid w:val="0"/>
          <w:sz w:val="26"/>
          <w:szCs w:val="26"/>
        </w:rPr>
        <w:t xml:space="preserve"> se promovió por persona legitimada para ello, a saber, por</w:t>
      </w:r>
      <w:r w:rsidR="009111F5">
        <w:rPr>
          <w:rFonts w:ascii="Arial" w:hAnsi="Arial" w:cs="Arial"/>
          <w:b/>
          <w:sz w:val="26"/>
          <w:szCs w:val="26"/>
        </w:rPr>
        <w:t xml:space="preserve"> **********</w:t>
      </w:r>
      <w:r w:rsidR="00D63F7E">
        <w:rPr>
          <w:rFonts w:ascii="Arial" w:hAnsi="Arial" w:cs="Arial"/>
          <w:sz w:val="26"/>
          <w:szCs w:val="26"/>
        </w:rPr>
        <w:t xml:space="preserve">, quien se desempeñó como </w:t>
      </w:r>
      <w:r w:rsidR="00CA7574">
        <w:rPr>
          <w:rFonts w:ascii="Arial" w:hAnsi="Arial" w:cs="Arial"/>
          <w:sz w:val="26"/>
          <w:szCs w:val="26"/>
        </w:rPr>
        <w:t>Presidente Municipal</w:t>
      </w:r>
      <w:r w:rsidR="00D63F7E">
        <w:rPr>
          <w:rFonts w:ascii="Arial" w:hAnsi="Arial" w:cs="Arial"/>
          <w:sz w:val="26"/>
          <w:szCs w:val="26"/>
        </w:rPr>
        <w:t xml:space="preserve"> de </w:t>
      </w:r>
      <w:r w:rsidR="00CA7574">
        <w:rPr>
          <w:rFonts w:ascii="Arial" w:hAnsi="Arial" w:cs="Arial"/>
          <w:sz w:val="26"/>
          <w:szCs w:val="26"/>
        </w:rPr>
        <w:t>Valerio Trujano Distrito de Cuicatlán</w:t>
      </w:r>
      <w:r w:rsidR="00D63F7E">
        <w:rPr>
          <w:rFonts w:ascii="Arial" w:hAnsi="Arial" w:cs="Arial"/>
          <w:sz w:val="26"/>
          <w:szCs w:val="26"/>
        </w:rPr>
        <w:t>, Oaxaca durante el ejercicio fiscal dos mil trece (2013),</w:t>
      </w:r>
      <w:r w:rsidR="00D81B9E" w:rsidRPr="00EE4752">
        <w:rPr>
          <w:rFonts w:ascii="Arial" w:eastAsia="Times New Roman" w:hAnsi="Arial" w:cs="Arial"/>
          <w:sz w:val="26"/>
          <w:szCs w:val="26"/>
          <w:lang w:val="es-ES_tradnl" w:eastAsia="es-ES"/>
        </w:rPr>
        <w:t xml:space="preserve"> </w:t>
      </w:r>
      <w:r w:rsidR="00216B34" w:rsidRPr="00D7722A">
        <w:rPr>
          <w:rFonts w:ascii="Arial" w:hAnsi="Arial" w:cs="Arial"/>
          <w:sz w:val="26"/>
          <w:szCs w:val="26"/>
        </w:rPr>
        <w:t>en contra de la resolución de</w:t>
      </w:r>
      <w:r w:rsidR="00216B34">
        <w:rPr>
          <w:rFonts w:ascii="Arial" w:hAnsi="Arial" w:cs="Arial"/>
          <w:sz w:val="26"/>
          <w:szCs w:val="26"/>
        </w:rPr>
        <w:t xml:space="preserve"> </w:t>
      </w:r>
      <w:r w:rsidR="00CA7574">
        <w:rPr>
          <w:rFonts w:ascii="Arial" w:hAnsi="Arial" w:cs="Arial"/>
          <w:sz w:val="26"/>
          <w:szCs w:val="26"/>
        </w:rPr>
        <w:t>doce de febrero de dos mil diecinueve</w:t>
      </w:r>
      <w:r w:rsidR="00D63F7E">
        <w:rPr>
          <w:rFonts w:ascii="Arial" w:hAnsi="Arial" w:cs="Arial"/>
          <w:sz w:val="26"/>
          <w:szCs w:val="26"/>
        </w:rPr>
        <w:t xml:space="preserve"> (</w:t>
      </w:r>
      <w:r w:rsidR="00CA7574">
        <w:rPr>
          <w:rFonts w:ascii="Arial" w:hAnsi="Arial" w:cs="Arial"/>
          <w:sz w:val="26"/>
          <w:szCs w:val="26"/>
        </w:rPr>
        <w:t>12/02/2019</w:t>
      </w:r>
      <w:r w:rsidR="00D63F7E">
        <w:rPr>
          <w:rFonts w:ascii="Arial" w:hAnsi="Arial" w:cs="Arial"/>
          <w:sz w:val="26"/>
          <w:szCs w:val="26"/>
        </w:rPr>
        <w:t>)</w:t>
      </w:r>
      <w:r w:rsidR="00216B34">
        <w:rPr>
          <w:rFonts w:ascii="Arial" w:hAnsi="Arial" w:cs="Arial"/>
          <w:sz w:val="26"/>
          <w:szCs w:val="26"/>
        </w:rPr>
        <w:t>, d</w:t>
      </w:r>
      <w:r w:rsidR="00216B34" w:rsidRPr="00F00209">
        <w:rPr>
          <w:rFonts w:ascii="Arial" w:hAnsi="Arial" w:cs="Arial"/>
          <w:sz w:val="26"/>
          <w:szCs w:val="26"/>
        </w:rPr>
        <w:t xml:space="preserve">ictada </w:t>
      </w:r>
      <w:r w:rsidR="00216B34">
        <w:rPr>
          <w:rFonts w:ascii="Arial" w:hAnsi="Arial" w:cs="Arial"/>
          <w:sz w:val="26"/>
          <w:szCs w:val="26"/>
        </w:rPr>
        <w:t xml:space="preserve">en el </w:t>
      </w:r>
      <w:r w:rsidR="00D63F7E">
        <w:rPr>
          <w:rFonts w:ascii="Arial" w:hAnsi="Arial" w:cs="Arial"/>
          <w:sz w:val="26"/>
          <w:szCs w:val="26"/>
        </w:rPr>
        <w:t>expediente</w:t>
      </w:r>
      <w:r w:rsidR="00216B34">
        <w:rPr>
          <w:rFonts w:ascii="Arial" w:hAnsi="Arial" w:cs="Arial"/>
          <w:sz w:val="26"/>
          <w:szCs w:val="26"/>
        </w:rPr>
        <w:t xml:space="preserve"> </w:t>
      </w:r>
      <w:r w:rsidR="00216B34">
        <w:rPr>
          <w:rFonts w:ascii="Arial" w:hAnsi="Arial" w:cs="Arial"/>
          <w:b/>
          <w:sz w:val="26"/>
          <w:szCs w:val="26"/>
        </w:rPr>
        <w:t>ASE</w:t>
      </w:r>
      <w:r w:rsidR="00216B34" w:rsidRPr="006F6E97">
        <w:rPr>
          <w:rFonts w:ascii="Arial" w:hAnsi="Arial" w:cs="Arial"/>
          <w:b/>
          <w:sz w:val="26"/>
          <w:szCs w:val="26"/>
        </w:rPr>
        <w:t>/</w:t>
      </w:r>
      <w:r w:rsidR="00D63F7E">
        <w:rPr>
          <w:rFonts w:ascii="Arial" w:hAnsi="Arial" w:cs="Arial"/>
          <w:b/>
          <w:sz w:val="26"/>
          <w:szCs w:val="26"/>
        </w:rPr>
        <w:t>UAJ/</w:t>
      </w:r>
      <w:r w:rsidR="00CA7574">
        <w:rPr>
          <w:rFonts w:ascii="Arial" w:hAnsi="Arial" w:cs="Arial"/>
          <w:b/>
          <w:sz w:val="26"/>
          <w:szCs w:val="26"/>
        </w:rPr>
        <w:t>P.R./004/2016</w:t>
      </w:r>
      <w:r w:rsidR="00216B34">
        <w:rPr>
          <w:rFonts w:ascii="Arial" w:hAnsi="Arial" w:cs="Arial"/>
          <w:b/>
          <w:sz w:val="26"/>
          <w:szCs w:val="26"/>
        </w:rPr>
        <w:t xml:space="preserve">, </w:t>
      </w:r>
      <w:r w:rsidR="00216B34" w:rsidRPr="00F00209">
        <w:rPr>
          <w:rFonts w:ascii="Arial" w:hAnsi="Arial" w:cs="Arial"/>
          <w:sz w:val="26"/>
          <w:szCs w:val="26"/>
        </w:rPr>
        <w:t xml:space="preserve">por el </w:t>
      </w:r>
      <w:r w:rsidR="00216B34" w:rsidRPr="00F00209">
        <w:rPr>
          <w:rFonts w:ascii="Arial" w:hAnsi="Arial" w:cs="Arial"/>
          <w:b/>
          <w:sz w:val="26"/>
          <w:szCs w:val="26"/>
        </w:rPr>
        <w:t>TITULAR DE</w:t>
      </w:r>
      <w:r w:rsidR="00D63F7E">
        <w:rPr>
          <w:rFonts w:ascii="Arial" w:hAnsi="Arial" w:cs="Arial"/>
          <w:b/>
          <w:sz w:val="26"/>
          <w:szCs w:val="26"/>
        </w:rPr>
        <w:t xml:space="preserve"> </w:t>
      </w:r>
      <w:r w:rsidR="00216B34" w:rsidRPr="00F00209">
        <w:rPr>
          <w:rFonts w:ascii="Arial" w:hAnsi="Arial" w:cs="Arial"/>
          <w:b/>
          <w:sz w:val="26"/>
          <w:szCs w:val="26"/>
        </w:rPr>
        <w:t>L</w:t>
      </w:r>
      <w:r w:rsidR="00D63F7E">
        <w:rPr>
          <w:rFonts w:ascii="Arial" w:hAnsi="Arial" w:cs="Arial"/>
          <w:b/>
          <w:sz w:val="26"/>
          <w:szCs w:val="26"/>
        </w:rPr>
        <w:t>A</w:t>
      </w:r>
      <w:r w:rsidR="00216B34" w:rsidRPr="00F00209">
        <w:rPr>
          <w:rFonts w:ascii="Arial" w:hAnsi="Arial" w:cs="Arial"/>
          <w:b/>
          <w:sz w:val="26"/>
          <w:szCs w:val="26"/>
        </w:rPr>
        <w:t xml:space="preserve"> </w:t>
      </w:r>
      <w:r w:rsidR="00CA7574">
        <w:rPr>
          <w:rFonts w:ascii="Arial" w:hAnsi="Arial" w:cs="Arial"/>
          <w:b/>
          <w:sz w:val="26"/>
          <w:szCs w:val="26"/>
        </w:rPr>
        <w:t>UNIDAD DE ASUNTOS JURÍDICOS DEL ENTONCES</w:t>
      </w:r>
      <w:r w:rsidR="00D63F7E">
        <w:rPr>
          <w:rFonts w:ascii="Arial" w:hAnsi="Arial" w:cs="Arial"/>
          <w:b/>
          <w:sz w:val="26"/>
          <w:szCs w:val="26"/>
        </w:rPr>
        <w:t xml:space="preserve"> </w:t>
      </w:r>
      <w:r w:rsidR="00216B34" w:rsidRPr="00F00209">
        <w:rPr>
          <w:rFonts w:ascii="Arial" w:hAnsi="Arial" w:cs="Arial"/>
          <w:b/>
          <w:sz w:val="26"/>
          <w:szCs w:val="26"/>
        </w:rPr>
        <w:t>ÓRGANO SUPERIOR DE FIS</w:t>
      </w:r>
      <w:r w:rsidR="00216B34">
        <w:rPr>
          <w:rFonts w:ascii="Arial" w:hAnsi="Arial" w:cs="Arial"/>
          <w:b/>
          <w:sz w:val="26"/>
          <w:szCs w:val="26"/>
        </w:rPr>
        <w:t>CALIZACIÓN DEL ESTADO DE OAXACA</w:t>
      </w:r>
      <w:r w:rsidR="00D63F7E">
        <w:rPr>
          <w:rFonts w:ascii="Arial" w:hAnsi="Arial" w:cs="Arial"/>
          <w:b/>
          <w:sz w:val="26"/>
          <w:szCs w:val="26"/>
        </w:rPr>
        <w:t xml:space="preserve"> ahora AUDITORÍA SUPERIOR DE FISCALIZACIÓN DEL ESTADO DE OAXACA</w:t>
      </w:r>
      <w:r w:rsidR="00216B34">
        <w:rPr>
          <w:rFonts w:ascii="Arial" w:hAnsi="Arial" w:cs="Arial"/>
          <w:b/>
          <w:sz w:val="26"/>
          <w:szCs w:val="26"/>
        </w:rPr>
        <w:t xml:space="preserve">. </w:t>
      </w:r>
    </w:p>
    <w:p w14:paraId="1DE9A349" w14:textId="77777777" w:rsidR="00FC2EEB" w:rsidRDefault="00FC2EEB" w:rsidP="00227923">
      <w:pPr>
        <w:spacing w:line="360" w:lineRule="auto"/>
        <w:ind w:firstLine="567"/>
        <w:jc w:val="both"/>
        <w:rPr>
          <w:rFonts w:ascii="Arial" w:eastAsia="Times New Roman" w:hAnsi="Arial" w:cs="Arial"/>
          <w:sz w:val="26"/>
          <w:szCs w:val="26"/>
          <w:lang w:val="es-ES_tradnl"/>
        </w:rPr>
      </w:pPr>
      <w:r w:rsidRPr="00FC2EEB">
        <w:rPr>
          <w:rFonts w:ascii="Arial" w:hAnsi="Arial" w:cs="Arial"/>
          <w:sz w:val="26"/>
          <w:szCs w:val="26"/>
        </w:rPr>
        <w:t>20.</w:t>
      </w:r>
      <w:r>
        <w:rPr>
          <w:rFonts w:ascii="Arial" w:hAnsi="Arial" w:cs="Arial"/>
          <w:b/>
          <w:sz w:val="26"/>
          <w:szCs w:val="26"/>
        </w:rPr>
        <w:t xml:space="preserve"> </w:t>
      </w:r>
      <w:r w:rsidR="00216B34" w:rsidRPr="00D7722A">
        <w:rPr>
          <w:rFonts w:ascii="Arial" w:eastAsia="Times New Roman" w:hAnsi="Arial" w:cs="Arial"/>
          <w:sz w:val="26"/>
          <w:szCs w:val="26"/>
          <w:lang w:val="es-ES_tradnl"/>
        </w:rPr>
        <w:t>En tanto</w:t>
      </w:r>
      <w:r w:rsidR="00216B34">
        <w:rPr>
          <w:rFonts w:ascii="Arial" w:eastAsia="Times New Roman" w:hAnsi="Arial" w:cs="Arial"/>
          <w:sz w:val="26"/>
          <w:szCs w:val="26"/>
          <w:lang w:val="es-ES_tradnl"/>
        </w:rPr>
        <w:t>, la autoridad demandada</w:t>
      </w:r>
      <w:r w:rsidR="00216B34" w:rsidRPr="00D7722A">
        <w:rPr>
          <w:rFonts w:ascii="Arial" w:eastAsia="Times New Roman" w:hAnsi="Arial" w:cs="Arial"/>
          <w:sz w:val="26"/>
          <w:szCs w:val="26"/>
          <w:lang w:val="es-ES_tradnl"/>
        </w:rPr>
        <w:t xml:space="preserve"> compareció en términos del artículo 148</w:t>
      </w:r>
      <w:r w:rsidR="00216B34" w:rsidRPr="00D7722A">
        <w:rPr>
          <w:rStyle w:val="Refdenotaalpie"/>
          <w:rFonts w:ascii="Arial" w:eastAsia="Times New Roman" w:hAnsi="Arial" w:cs="Arial"/>
          <w:sz w:val="26"/>
          <w:szCs w:val="26"/>
          <w:lang w:val="es-ES_tradnl"/>
        </w:rPr>
        <w:footnoteReference w:id="2"/>
      </w:r>
      <w:r w:rsidR="00216B34" w:rsidRPr="00D7722A">
        <w:rPr>
          <w:rFonts w:ascii="Arial" w:eastAsia="Times New Roman" w:hAnsi="Arial" w:cs="Arial"/>
          <w:sz w:val="26"/>
          <w:szCs w:val="26"/>
          <w:lang w:val="es-ES_tradnl"/>
        </w:rPr>
        <w:t xml:space="preserve">, cuarto párrafo, de la </w:t>
      </w:r>
      <w:r w:rsidR="00F17D36" w:rsidRPr="00F17D36">
        <w:rPr>
          <w:rFonts w:ascii="Arial" w:eastAsia="Times New Roman" w:hAnsi="Arial" w:cs="Arial"/>
          <w:i/>
          <w:sz w:val="26"/>
          <w:szCs w:val="26"/>
          <w:lang w:val="es-ES_tradnl"/>
        </w:rPr>
        <w:t>Ley de Procedimiento</w:t>
      </w:r>
      <w:r w:rsidR="00216B34" w:rsidRPr="00D7722A">
        <w:rPr>
          <w:rFonts w:ascii="Arial" w:eastAsia="Times New Roman" w:hAnsi="Arial" w:cs="Arial"/>
          <w:sz w:val="26"/>
          <w:szCs w:val="26"/>
          <w:lang w:val="es-ES_tradnl"/>
        </w:rPr>
        <w:t>, de aplicación supletoria</w:t>
      </w:r>
      <w:r w:rsidR="00216B34">
        <w:rPr>
          <w:rFonts w:ascii="Arial" w:eastAsia="Times New Roman" w:hAnsi="Arial" w:cs="Arial"/>
          <w:sz w:val="26"/>
          <w:szCs w:val="26"/>
          <w:lang w:val="es-ES_tradnl"/>
        </w:rPr>
        <w:t xml:space="preserve"> en términos del artículo 3</w:t>
      </w:r>
      <w:r w:rsidR="00216B34">
        <w:rPr>
          <w:rStyle w:val="Refdenotaalpie"/>
          <w:rFonts w:ascii="Arial" w:eastAsia="Times New Roman" w:hAnsi="Arial" w:cs="Arial"/>
          <w:sz w:val="26"/>
          <w:szCs w:val="26"/>
          <w:lang w:val="es-ES_tradnl"/>
        </w:rPr>
        <w:footnoteReference w:id="3"/>
      </w:r>
      <w:r w:rsidR="00216B34">
        <w:rPr>
          <w:rFonts w:ascii="Arial" w:eastAsia="Times New Roman" w:hAnsi="Arial" w:cs="Arial"/>
          <w:sz w:val="26"/>
          <w:szCs w:val="26"/>
          <w:lang w:val="es-ES_tradnl"/>
        </w:rPr>
        <w:t xml:space="preserve"> de esta misma ley</w:t>
      </w:r>
      <w:r w:rsidR="00216B34" w:rsidRPr="00D7722A">
        <w:rPr>
          <w:rFonts w:ascii="Arial" w:eastAsia="Times New Roman" w:hAnsi="Arial" w:cs="Arial"/>
          <w:sz w:val="26"/>
          <w:szCs w:val="26"/>
          <w:lang w:val="es-ES_tradnl"/>
        </w:rPr>
        <w:t>, por conducto de la Titular de la Unidad de Asuntos Jurídicos, quien promovió en representación del Titular del Órgano Superior de Fiscalización del Estado de Oaxaca</w:t>
      </w:r>
      <w:r w:rsidR="00D63F7E">
        <w:rPr>
          <w:rFonts w:ascii="Arial" w:eastAsia="Times New Roman" w:hAnsi="Arial" w:cs="Arial"/>
          <w:sz w:val="26"/>
          <w:szCs w:val="26"/>
          <w:lang w:val="es-ES_tradnl"/>
        </w:rPr>
        <w:t xml:space="preserve"> y posteriormente en representación del Titular de la Auditoría Superior de Fiscalización del Estado de Oaxaca</w:t>
      </w:r>
      <w:r>
        <w:rPr>
          <w:rFonts w:ascii="Arial" w:eastAsia="Times New Roman" w:hAnsi="Arial" w:cs="Arial"/>
          <w:sz w:val="26"/>
          <w:szCs w:val="26"/>
          <w:lang w:val="es-ES_tradnl"/>
        </w:rPr>
        <w:t>.</w:t>
      </w:r>
    </w:p>
    <w:p w14:paraId="31E5C437" w14:textId="53A780B7" w:rsidR="00216B34" w:rsidRPr="00950730" w:rsidRDefault="00FC2EEB" w:rsidP="00227923">
      <w:pPr>
        <w:spacing w:line="360" w:lineRule="auto"/>
        <w:ind w:firstLine="567"/>
        <w:jc w:val="both"/>
        <w:rPr>
          <w:rFonts w:ascii="Arial" w:hAnsi="Arial" w:cs="Arial"/>
          <w:sz w:val="26"/>
          <w:szCs w:val="26"/>
        </w:rPr>
      </w:pPr>
      <w:r>
        <w:rPr>
          <w:rFonts w:ascii="Arial" w:eastAsia="Times New Roman" w:hAnsi="Arial" w:cs="Arial"/>
          <w:sz w:val="26"/>
          <w:szCs w:val="26"/>
          <w:lang w:val="es-ES_tradnl"/>
        </w:rPr>
        <w:t>21. C</w:t>
      </w:r>
      <w:r w:rsidR="00216B34" w:rsidRPr="00D7722A">
        <w:rPr>
          <w:rFonts w:ascii="Arial" w:eastAsia="Times New Roman" w:hAnsi="Arial" w:cs="Arial"/>
          <w:sz w:val="26"/>
          <w:szCs w:val="26"/>
          <w:lang w:val="es-ES_tradnl"/>
        </w:rPr>
        <w:t>uya personalidad quedó debidamente acreditada con la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copia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certificada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exhibió, relativa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a</w:t>
      </w:r>
      <w:r w:rsidR="00CA7574">
        <w:rPr>
          <w:rFonts w:ascii="Arial" w:eastAsia="Times New Roman" w:hAnsi="Arial" w:cs="Arial"/>
          <w:sz w:val="26"/>
          <w:szCs w:val="26"/>
          <w:lang w:val="es-ES_tradnl"/>
        </w:rPr>
        <w:t xml:space="preserve"> </w:t>
      </w:r>
      <w:r w:rsidR="00216B34" w:rsidRPr="00D7722A">
        <w:rPr>
          <w:rFonts w:ascii="Arial" w:eastAsia="Times New Roman" w:hAnsi="Arial" w:cs="Arial"/>
          <w:sz w:val="26"/>
          <w:szCs w:val="26"/>
          <w:lang w:val="es-ES_tradnl"/>
        </w:rPr>
        <w:t>l</w:t>
      </w:r>
      <w:r w:rsidR="00CA7574">
        <w:rPr>
          <w:rFonts w:ascii="Arial" w:eastAsia="Times New Roman" w:hAnsi="Arial" w:cs="Arial"/>
          <w:sz w:val="26"/>
          <w:szCs w:val="26"/>
          <w:lang w:val="es-ES_tradnl"/>
        </w:rPr>
        <w:t>os</w:t>
      </w:r>
      <w:r w:rsidR="00216B34" w:rsidRPr="00D7722A">
        <w:rPr>
          <w:rFonts w:ascii="Arial" w:eastAsia="Times New Roman" w:hAnsi="Arial" w:cs="Arial"/>
          <w:sz w:val="26"/>
          <w:szCs w:val="26"/>
          <w:lang w:val="es-ES_tradnl"/>
        </w:rPr>
        <w:t xml:space="preserve"> nombramiento</w:t>
      </w:r>
      <w:r w:rsidR="00CA7574">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de ocho de noviembre de dos mil diecisiete, agregada en autos en la foja</w:t>
      </w:r>
      <w:r w:rsidR="00216B34">
        <w:rPr>
          <w:rFonts w:ascii="Arial" w:eastAsia="Times New Roman" w:hAnsi="Arial" w:cs="Arial"/>
          <w:sz w:val="26"/>
          <w:szCs w:val="26"/>
          <w:lang w:val="es-ES_tradnl"/>
        </w:rPr>
        <w:t xml:space="preserve"> </w:t>
      </w:r>
      <w:r w:rsidR="00CA7574">
        <w:rPr>
          <w:rFonts w:ascii="Arial" w:eastAsia="Times New Roman" w:hAnsi="Arial" w:cs="Arial"/>
          <w:sz w:val="26"/>
          <w:szCs w:val="26"/>
          <w:lang w:val="es-ES_tradnl"/>
        </w:rPr>
        <w:t>cincuenta y seis</w:t>
      </w:r>
      <w:r w:rsidR="00D63F7E">
        <w:rPr>
          <w:rFonts w:ascii="Arial" w:eastAsia="Times New Roman" w:hAnsi="Arial" w:cs="Arial"/>
          <w:sz w:val="26"/>
          <w:szCs w:val="26"/>
          <w:lang w:val="es-ES_tradnl"/>
        </w:rPr>
        <w:t>, y nombramiento de fecha tres de abril de dos mil veintitrés</w:t>
      </w:r>
      <w:r w:rsidR="00CA7574">
        <w:rPr>
          <w:rFonts w:ascii="Arial" w:eastAsia="Times New Roman" w:hAnsi="Arial" w:cs="Arial"/>
          <w:sz w:val="26"/>
          <w:szCs w:val="26"/>
          <w:lang w:val="es-ES_tradnl"/>
        </w:rPr>
        <w:t xml:space="preserve">, agregada a foja </w:t>
      </w:r>
      <w:r w:rsidR="00CA7574">
        <w:rPr>
          <w:rFonts w:ascii="Arial" w:eastAsia="Times New Roman" w:hAnsi="Arial" w:cs="Arial"/>
          <w:sz w:val="26"/>
          <w:szCs w:val="26"/>
          <w:lang w:val="es-ES_tradnl"/>
        </w:rPr>
        <w:lastRenderedPageBreak/>
        <w:t>ochenta y uno</w:t>
      </w:r>
      <w:r w:rsidR="00216B34" w:rsidRPr="00D7722A">
        <w:rPr>
          <w:rFonts w:ascii="Arial" w:eastAsia="Times New Roman" w:hAnsi="Arial" w:cs="Arial"/>
          <w:sz w:val="26"/>
          <w:szCs w:val="26"/>
          <w:lang w:val="es-ES_tradnl"/>
        </w:rPr>
        <w:t>; prueba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tiene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pleno valor probatorio, ya que constituye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una d</w:t>
      </w:r>
      <w:r w:rsidR="00216B34">
        <w:rPr>
          <w:rFonts w:ascii="Arial" w:eastAsia="Times New Roman" w:hAnsi="Arial" w:cs="Arial"/>
          <w:sz w:val="26"/>
          <w:szCs w:val="26"/>
          <w:lang w:val="es-ES_tradnl"/>
        </w:rPr>
        <w:t>ocumental pública, esto es, que fue expedida</w:t>
      </w:r>
      <w:r w:rsidR="00216B34" w:rsidRPr="00D7722A">
        <w:rPr>
          <w:rFonts w:ascii="Arial" w:eastAsia="Times New Roman" w:hAnsi="Arial" w:cs="Arial"/>
          <w:sz w:val="26"/>
          <w:szCs w:val="26"/>
          <w:lang w:val="es-ES_tradnl"/>
        </w:rPr>
        <w:t xml:space="preserve"> por autoridad en ejercicio de sus funciones, y además fue exhibida en copia debidame</w:t>
      </w:r>
      <w:r w:rsidR="00216B34">
        <w:rPr>
          <w:rFonts w:ascii="Arial" w:eastAsia="Times New Roman" w:hAnsi="Arial" w:cs="Arial"/>
          <w:sz w:val="26"/>
          <w:szCs w:val="26"/>
          <w:lang w:val="es-ES_tradnl"/>
        </w:rPr>
        <w:t>nte certificada, conforme a lo establecido en</w:t>
      </w:r>
      <w:r w:rsidR="00216B34" w:rsidRPr="00D7722A">
        <w:rPr>
          <w:rFonts w:ascii="Arial" w:eastAsia="Times New Roman" w:hAnsi="Arial" w:cs="Arial"/>
          <w:sz w:val="26"/>
          <w:szCs w:val="26"/>
          <w:lang w:val="es-ES_tradnl"/>
        </w:rPr>
        <w:t xml:space="preserve"> el numeral 25</w:t>
      </w:r>
      <w:r w:rsidR="00216B34" w:rsidRPr="00D7722A">
        <w:rPr>
          <w:rStyle w:val="Refdenotaalpie"/>
          <w:rFonts w:ascii="Arial" w:eastAsia="Times New Roman" w:hAnsi="Arial" w:cs="Arial"/>
          <w:sz w:val="26"/>
          <w:szCs w:val="26"/>
          <w:lang w:val="es-ES_tradnl"/>
        </w:rPr>
        <w:footnoteReference w:id="4"/>
      </w:r>
      <w:r w:rsidR="00216B34" w:rsidRPr="00D7722A">
        <w:rPr>
          <w:rFonts w:ascii="Arial" w:eastAsia="Times New Roman" w:hAnsi="Arial" w:cs="Arial"/>
          <w:sz w:val="26"/>
          <w:szCs w:val="26"/>
          <w:lang w:val="es-ES_tradnl"/>
        </w:rPr>
        <w:t xml:space="preserve"> de la </w:t>
      </w:r>
      <w:r w:rsidR="00F17D36" w:rsidRPr="00F17D36">
        <w:rPr>
          <w:rFonts w:ascii="Arial" w:eastAsia="Times New Roman" w:hAnsi="Arial" w:cs="Arial"/>
          <w:i/>
          <w:sz w:val="26"/>
          <w:szCs w:val="26"/>
          <w:lang w:val="es-ES_tradnl"/>
        </w:rPr>
        <w:t>Ley de Justicia</w:t>
      </w:r>
      <w:r w:rsidR="00216B34">
        <w:rPr>
          <w:rFonts w:ascii="Arial" w:eastAsia="Times New Roman" w:hAnsi="Arial" w:cs="Arial"/>
          <w:sz w:val="26"/>
          <w:szCs w:val="26"/>
          <w:lang w:val="es-ES_tradnl"/>
        </w:rPr>
        <w:t xml:space="preserve">. </w:t>
      </w:r>
    </w:p>
    <w:p w14:paraId="5059F1E5" w14:textId="770243D9" w:rsidR="00216B34" w:rsidRDefault="00FC2EEB" w:rsidP="00227923">
      <w:pPr>
        <w:spacing w:line="360" w:lineRule="auto"/>
        <w:ind w:firstLine="567"/>
        <w:jc w:val="both"/>
        <w:rPr>
          <w:rFonts w:ascii="Arial" w:hAnsi="Arial" w:cs="Arial"/>
          <w:sz w:val="26"/>
          <w:szCs w:val="26"/>
        </w:rPr>
      </w:pPr>
      <w:r>
        <w:rPr>
          <w:rFonts w:ascii="Arial" w:hAnsi="Arial" w:cs="Arial"/>
          <w:bCs/>
          <w:snapToGrid w:val="0"/>
          <w:sz w:val="26"/>
          <w:szCs w:val="26"/>
        </w:rPr>
        <w:t>22</w:t>
      </w:r>
      <w:r w:rsidR="003F43EB">
        <w:rPr>
          <w:rFonts w:ascii="Arial" w:hAnsi="Arial" w:cs="Arial"/>
          <w:bCs/>
          <w:snapToGrid w:val="0"/>
          <w:sz w:val="26"/>
          <w:szCs w:val="26"/>
        </w:rPr>
        <w:t xml:space="preserve">. </w:t>
      </w:r>
      <w:r w:rsidR="009764FF" w:rsidRPr="00EE4752">
        <w:rPr>
          <w:rFonts w:ascii="Arial" w:hAnsi="Arial" w:cs="Arial"/>
          <w:bCs/>
          <w:snapToGrid w:val="0"/>
          <w:sz w:val="26"/>
          <w:szCs w:val="26"/>
        </w:rPr>
        <w:t>La personalidad de las partes quedó acreditada en autos, en términos de los artículos 148</w:t>
      </w:r>
      <w:r w:rsidR="003C4D97" w:rsidRPr="00EE4752">
        <w:rPr>
          <w:rFonts w:ascii="Arial" w:hAnsi="Arial" w:cs="Arial"/>
          <w:bCs/>
          <w:snapToGrid w:val="0"/>
          <w:sz w:val="26"/>
          <w:szCs w:val="26"/>
        </w:rPr>
        <w:t>, primero y cuarto párrafo</w:t>
      </w:r>
      <w:r w:rsidR="003C4D97" w:rsidRPr="00EE4752">
        <w:rPr>
          <w:rStyle w:val="Refdenotaalpie"/>
          <w:rFonts w:ascii="Arial" w:hAnsi="Arial" w:cs="Arial"/>
          <w:bCs/>
          <w:snapToGrid w:val="0"/>
          <w:sz w:val="26"/>
          <w:szCs w:val="26"/>
        </w:rPr>
        <w:footnoteReference w:id="5"/>
      </w:r>
      <w:r w:rsidR="003C4D97" w:rsidRPr="00EE4752">
        <w:rPr>
          <w:rFonts w:ascii="Arial" w:hAnsi="Arial" w:cs="Arial"/>
          <w:bCs/>
          <w:snapToGrid w:val="0"/>
          <w:sz w:val="26"/>
          <w:szCs w:val="26"/>
        </w:rPr>
        <w:t xml:space="preserve"> </w:t>
      </w:r>
      <w:r w:rsidR="009764FF" w:rsidRPr="00EE4752">
        <w:rPr>
          <w:rFonts w:ascii="Arial" w:hAnsi="Arial" w:cs="Arial"/>
          <w:bCs/>
          <w:snapToGrid w:val="0"/>
          <w:sz w:val="26"/>
          <w:szCs w:val="26"/>
        </w:rPr>
        <w:t>y 151</w:t>
      </w:r>
      <w:r w:rsidR="003C4D97" w:rsidRPr="00EE4752">
        <w:rPr>
          <w:rStyle w:val="Refdenotaalpie"/>
          <w:rFonts w:ascii="Arial" w:hAnsi="Arial" w:cs="Arial"/>
          <w:bCs/>
          <w:snapToGrid w:val="0"/>
          <w:sz w:val="26"/>
          <w:szCs w:val="26"/>
        </w:rPr>
        <w:footnoteReference w:id="6"/>
      </w:r>
      <w:r w:rsidR="009764FF" w:rsidRPr="00EE4752">
        <w:rPr>
          <w:rFonts w:ascii="Arial" w:hAnsi="Arial" w:cs="Arial"/>
          <w:bCs/>
          <w:snapToGrid w:val="0"/>
          <w:sz w:val="26"/>
          <w:szCs w:val="26"/>
        </w:rPr>
        <w:t xml:space="preserve"> de la </w:t>
      </w:r>
      <w:r w:rsidR="00992690" w:rsidRPr="00992690">
        <w:rPr>
          <w:rFonts w:ascii="Arial" w:hAnsi="Arial" w:cs="Arial"/>
          <w:bCs/>
          <w:i/>
          <w:snapToGrid w:val="0"/>
          <w:sz w:val="26"/>
          <w:szCs w:val="26"/>
        </w:rPr>
        <w:t>Ley de Procedimiento</w:t>
      </w:r>
      <w:r w:rsidR="009764FF" w:rsidRPr="00EE4752">
        <w:rPr>
          <w:rFonts w:ascii="Arial" w:hAnsi="Arial" w:cs="Arial"/>
          <w:sz w:val="26"/>
          <w:szCs w:val="26"/>
        </w:rPr>
        <w:t xml:space="preserve">, dado que la parte actora compareció por sí misma y la autoridad demandada </w:t>
      </w:r>
      <w:r w:rsidR="002E26F6">
        <w:rPr>
          <w:rFonts w:ascii="Arial" w:hAnsi="Arial" w:cs="Arial"/>
          <w:sz w:val="26"/>
          <w:szCs w:val="26"/>
        </w:rPr>
        <w:t>por conducto del</w:t>
      </w:r>
      <w:r w:rsidR="00216B34">
        <w:rPr>
          <w:rFonts w:ascii="Arial" w:hAnsi="Arial" w:cs="Arial"/>
          <w:sz w:val="26"/>
          <w:szCs w:val="26"/>
        </w:rPr>
        <w:t xml:space="preserve"> </w:t>
      </w:r>
      <w:r w:rsidR="00216B34" w:rsidRPr="00D7722A">
        <w:rPr>
          <w:rFonts w:ascii="Arial" w:eastAsia="Times New Roman" w:hAnsi="Arial" w:cs="Arial"/>
          <w:sz w:val="26"/>
          <w:szCs w:val="26"/>
          <w:lang w:val="es-ES_tradnl"/>
        </w:rPr>
        <w:t>Titular de la Unidad de Asuntos Jurídicos, en representación del Titular del Órgano</w:t>
      </w:r>
      <w:r w:rsidR="00CA613F">
        <w:rPr>
          <w:rFonts w:ascii="Arial" w:eastAsia="Times New Roman" w:hAnsi="Arial" w:cs="Arial"/>
          <w:sz w:val="26"/>
          <w:szCs w:val="26"/>
          <w:lang w:val="es-ES_tradnl"/>
        </w:rPr>
        <w:t xml:space="preserve"> Fiscalizador demandado</w:t>
      </w:r>
      <w:r w:rsidR="002E26F6">
        <w:rPr>
          <w:rFonts w:ascii="Arial" w:eastAsia="Times New Roman" w:hAnsi="Arial" w:cs="Arial"/>
          <w:sz w:val="26"/>
          <w:szCs w:val="26"/>
          <w:lang w:val="es-ES_tradnl"/>
        </w:rPr>
        <w:t>.</w:t>
      </w:r>
    </w:p>
    <w:p w14:paraId="029DFDB4" w14:textId="4583F74D" w:rsidR="00396F45" w:rsidRPr="00EE4752" w:rsidRDefault="00BC04EA" w:rsidP="00227923">
      <w:pPr>
        <w:spacing w:line="360" w:lineRule="auto"/>
        <w:ind w:firstLine="567"/>
        <w:jc w:val="both"/>
        <w:rPr>
          <w:rFonts w:ascii="Arial" w:hAnsi="Arial" w:cs="Arial"/>
          <w:b/>
          <w:bCs/>
          <w:sz w:val="26"/>
          <w:szCs w:val="26"/>
        </w:rPr>
      </w:pPr>
      <w:r>
        <w:rPr>
          <w:rFonts w:ascii="Arial" w:hAnsi="Arial" w:cs="Arial"/>
          <w:b/>
          <w:bCs/>
          <w:sz w:val="26"/>
          <w:szCs w:val="26"/>
        </w:rPr>
        <w:t>QUIN</w:t>
      </w:r>
      <w:r w:rsidR="00396F45" w:rsidRPr="00EE4752">
        <w:rPr>
          <w:rFonts w:ascii="Arial" w:hAnsi="Arial" w:cs="Arial"/>
          <w:b/>
          <w:bCs/>
          <w:sz w:val="26"/>
          <w:szCs w:val="26"/>
        </w:rPr>
        <w:t xml:space="preserve">TO. CERTEZA DEL ACTO IMPUGNADO. </w:t>
      </w:r>
    </w:p>
    <w:p w14:paraId="197BB5DA" w14:textId="18782F40" w:rsidR="00396F45" w:rsidRDefault="00FC2EEB" w:rsidP="00227923">
      <w:pPr>
        <w:spacing w:line="360" w:lineRule="auto"/>
        <w:ind w:firstLine="567"/>
        <w:jc w:val="both"/>
        <w:rPr>
          <w:rFonts w:ascii="Arial" w:hAnsi="Arial" w:cs="Arial"/>
          <w:bCs/>
          <w:spacing w:val="-3"/>
          <w:sz w:val="26"/>
          <w:szCs w:val="26"/>
          <w:lang w:val="es-ES_tradnl"/>
        </w:rPr>
      </w:pPr>
      <w:r>
        <w:rPr>
          <w:rFonts w:ascii="Arial" w:hAnsi="Arial" w:cs="Arial"/>
          <w:bCs/>
          <w:sz w:val="26"/>
          <w:szCs w:val="26"/>
        </w:rPr>
        <w:t>23</w:t>
      </w:r>
      <w:r w:rsidR="003F43EB">
        <w:rPr>
          <w:rFonts w:ascii="Arial" w:hAnsi="Arial" w:cs="Arial"/>
          <w:bCs/>
          <w:sz w:val="26"/>
          <w:szCs w:val="26"/>
        </w:rPr>
        <w:t xml:space="preserve">. </w:t>
      </w:r>
      <w:r w:rsidR="00396F45" w:rsidRPr="00EE4752">
        <w:rPr>
          <w:rFonts w:ascii="Arial" w:hAnsi="Arial" w:cs="Arial"/>
          <w:bCs/>
          <w:sz w:val="26"/>
          <w:szCs w:val="26"/>
        </w:rPr>
        <w:t xml:space="preserve">Lo </w:t>
      </w:r>
      <w:r w:rsidR="002E26F6">
        <w:rPr>
          <w:rFonts w:ascii="Arial" w:hAnsi="Arial" w:cs="Arial"/>
          <w:bCs/>
          <w:sz w:val="26"/>
          <w:szCs w:val="26"/>
        </w:rPr>
        <w:t xml:space="preserve">constituye </w:t>
      </w:r>
      <w:r w:rsidR="002E26F6">
        <w:rPr>
          <w:rFonts w:ascii="Arial" w:eastAsia="Times New Roman" w:hAnsi="Arial" w:cs="Arial"/>
          <w:bCs/>
          <w:sz w:val="26"/>
          <w:szCs w:val="26"/>
          <w:lang w:val="es-ES_tradnl" w:eastAsia="es-ES"/>
        </w:rPr>
        <w:t xml:space="preserve">la resolución de </w:t>
      </w:r>
      <w:r w:rsidR="00CA7574">
        <w:rPr>
          <w:rFonts w:ascii="Arial" w:eastAsia="Times New Roman" w:hAnsi="Arial" w:cs="Arial"/>
          <w:bCs/>
          <w:sz w:val="26"/>
          <w:szCs w:val="26"/>
          <w:lang w:val="es-ES_tradnl" w:eastAsia="es-ES"/>
        </w:rPr>
        <w:t>doce de febrero de dos mil diecinueve (12/02/2019)</w:t>
      </w:r>
      <w:r w:rsidR="002E26F6">
        <w:rPr>
          <w:rFonts w:ascii="Arial" w:eastAsia="Times New Roman" w:hAnsi="Arial" w:cs="Arial"/>
          <w:bCs/>
          <w:sz w:val="26"/>
          <w:szCs w:val="26"/>
          <w:lang w:val="es-ES_tradnl" w:eastAsia="es-ES"/>
        </w:rPr>
        <w:t xml:space="preserve"> </w:t>
      </w:r>
      <w:r w:rsidR="00887780">
        <w:rPr>
          <w:rFonts w:ascii="Arial" w:hAnsi="Arial" w:cs="Arial"/>
          <w:sz w:val="26"/>
          <w:szCs w:val="26"/>
        </w:rPr>
        <w:t xml:space="preserve">visible a </w:t>
      </w:r>
      <w:r w:rsidR="00887780">
        <w:rPr>
          <w:rFonts w:ascii="Arial" w:hAnsi="Arial" w:cs="Arial"/>
          <w:bCs/>
          <w:spacing w:val="-3"/>
          <w:sz w:val="26"/>
          <w:szCs w:val="26"/>
          <w:lang w:val="es-ES_tradnl"/>
        </w:rPr>
        <w:t>folios</w:t>
      </w:r>
      <w:r w:rsidR="00887780" w:rsidRPr="00EE4752">
        <w:rPr>
          <w:rFonts w:ascii="Arial" w:hAnsi="Arial" w:cs="Arial"/>
          <w:bCs/>
          <w:spacing w:val="-3"/>
          <w:sz w:val="26"/>
          <w:szCs w:val="26"/>
          <w:lang w:val="es-ES_tradnl"/>
        </w:rPr>
        <w:t xml:space="preserve"> </w:t>
      </w:r>
      <w:r w:rsidR="00887780">
        <w:rPr>
          <w:rFonts w:ascii="Arial" w:hAnsi="Arial" w:cs="Arial"/>
          <w:bCs/>
          <w:spacing w:val="-3"/>
          <w:sz w:val="26"/>
          <w:szCs w:val="26"/>
          <w:lang w:val="es-ES_tradnl"/>
        </w:rPr>
        <w:t xml:space="preserve">dos mil quinientos setenta y uno a dos mil seiscientos cuarenta y seis (2571 a 2646), Tomo V, del expediente relativo al Procedimiento para el Fincamiento de Responsabilidad Administrativa Resarcitoria </w:t>
      </w:r>
      <w:r w:rsidR="002E26F6">
        <w:rPr>
          <w:rFonts w:ascii="Arial" w:hAnsi="Arial" w:cs="Arial"/>
          <w:b/>
          <w:sz w:val="26"/>
          <w:szCs w:val="26"/>
        </w:rPr>
        <w:t>ASE</w:t>
      </w:r>
      <w:r w:rsidR="002E26F6" w:rsidRPr="006F6E97">
        <w:rPr>
          <w:rFonts w:ascii="Arial" w:hAnsi="Arial" w:cs="Arial"/>
          <w:b/>
          <w:sz w:val="26"/>
          <w:szCs w:val="26"/>
        </w:rPr>
        <w:t>/</w:t>
      </w:r>
      <w:r w:rsidR="002750B0">
        <w:rPr>
          <w:rFonts w:ascii="Arial" w:hAnsi="Arial" w:cs="Arial"/>
          <w:b/>
          <w:sz w:val="26"/>
          <w:szCs w:val="26"/>
        </w:rPr>
        <w:t>UAJ/</w:t>
      </w:r>
      <w:r w:rsidR="00CA7574">
        <w:rPr>
          <w:rFonts w:ascii="Arial" w:hAnsi="Arial" w:cs="Arial"/>
          <w:b/>
          <w:sz w:val="26"/>
          <w:szCs w:val="26"/>
        </w:rPr>
        <w:t>P.R./004/2016</w:t>
      </w:r>
      <w:r w:rsidR="002E26F6">
        <w:rPr>
          <w:rFonts w:ascii="Arial" w:hAnsi="Arial" w:cs="Arial"/>
          <w:b/>
          <w:sz w:val="26"/>
          <w:szCs w:val="26"/>
        </w:rPr>
        <w:t xml:space="preserve"> </w:t>
      </w:r>
      <w:r w:rsidR="002E26F6">
        <w:rPr>
          <w:rFonts w:ascii="Arial" w:hAnsi="Arial" w:cs="Arial"/>
          <w:sz w:val="26"/>
          <w:szCs w:val="26"/>
        </w:rPr>
        <w:t>del índice del entonces</w:t>
      </w:r>
      <w:r w:rsidR="002750B0">
        <w:rPr>
          <w:rFonts w:ascii="Arial" w:hAnsi="Arial" w:cs="Arial"/>
          <w:sz w:val="26"/>
          <w:szCs w:val="26"/>
        </w:rPr>
        <w:t xml:space="preserve"> </w:t>
      </w:r>
      <w:r w:rsidR="002E26F6">
        <w:rPr>
          <w:rFonts w:ascii="Arial" w:hAnsi="Arial" w:cs="Arial"/>
          <w:sz w:val="26"/>
          <w:szCs w:val="26"/>
        </w:rPr>
        <w:t>Órgano Superior de Fisc</w:t>
      </w:r>
      <w:r w:rsidR="002750B0">
        <w:rPr>
          <w:rFonts w:ascii="Arial" w:hAnsi="Arial" w:cs="Arial"/>
          <w:sz w:val="26"/>
          <w:szCs w:val="26"/>
        </w:rPr>
        <w:t xml:space="preserve">alización del Estado de Oaxaca </w:t>
      </w:r>
      <w:r w:rsidR="002E26F6">
        <w:rPr>
          <w:rFonts w:ascii="Arial" w:hAnsi="Arial" w:cs="Arial"/>
          <w:sz w:val="26"/>
          <w:szCs w:val="26"/>
        </w:rPr>
        <w:t>ahora Auditoría Superior de Fis</w:t>
      </w:r>
      <w:r w:rsidR="002750B0">
        <w:rPr>
          <w:rFonts w:ascii="Arial" w:hAnsi="Arial" w:cs="Arial"/>
          <w:sz w:val="26"/>
          <w:szCs w:val="26"/>
        </w:rPr>
        <w:t>calización del Estado de Oaxaca</w:t>
      </w:r>
      <w:r w:rsidR="00396F45" w:rsidRPr="00EE4752">
        <w:rPr>
          <w:rFonts w:ascii="Arial" w:hAnsi="Arial" w:cs="Arial"/>
          <w:bCs/>
          <w:spacing w:val="-3"/>
          <w:sz w:val="26"/>
          <w:szCs w:val="26"/>
          <w:lang w:val="es-ES_tradnl"/>
        </w:rPr>
        <w:t xml:space="preserve">. </w:t>
      </w:r>
    </w:p>
    <w:p w14:paraId="02123770" w14:textId="44737ED2" w:rsidR="005D444A" w:rsidRDefault="00FC2EEB" w:rsidP="00227923">
      <w:pPr>
        <w:spacing w:line="360" w:lineRule="auto"/>
        <w:ind w:firstLine="567"/>
        <w:jc w:val="both"/>
        <w:rPr>
          <w:rFonts w:ascii="Arial" w:eastAsia="Calibri" w:hAnsi="Arial" w:cs="Arial"/>
          <w:bCs/>
          <w:sz w:val="26"/>
          <w:szCs w:val="26"/>
          <w:lang w:val="es-ES"/>
        </w:rPr>
      </w:pPr>
      <w:r>
        <w:rPr>
          <w:rFonts w:ascii="Arial" w:hAnsi="Arial" w:cs="Arial"/>
          <w:bCs/>
          <w:spacing w:val="-3"/>
          <w:sz w:val="26"/>
          <w:szCs w:val="26"/>
          <w:lang w:val="es-ES_tradnl"/>
        </w:rPr>
        <w:t>24</w:t>
      </w:r>
      <w:r w:rsidR="003F43EB">
        <w:rPr>
          <w:rFonts w:ascii="Arial" w:hAnsi="Arial" w:cs="Arial"/>
          <w:bCs/>
          <w:spacing w:val="-3"/>
          <w:sz w:val="26"/>
          <w:szCs w:val="26"/>
          <w:lang w:val="es-ES_tradnl"/>
        </w:rPr>
        <w:t xml:space="preserve">. </w:t>
      </w:r>
      <w:r w:rsidR="005D444A" w:rsidRPr="00EE4752">
        <w:rPr>
          <w:rFonts w:ascii="Arial" w:hAnsi="Arial" w:cs="Arial"/>
          <w:bCs/>
          <w:spacing w:val="-3"/>
          <w:sz w:val="26"/>
          <w:szCs w:val="26"/>
          <w:lang w:val="es-ES_tradnl"/>
        </w:rPr>
        <w:t xml:space="preserve">Lo que se corrobora con </w:t>
      </w:r>
      <w:r w:rsidR="002E26F6">
        <w:rPr>
          <w:rFonts w:ascii="Arial" w:hAnsi="Arial" w:cs="Arial"/>
          <w:bCs/>
          <w:spacing w:val="-3"/>
          <w:sz w:val="26"/>
          <w:szCs w:val="26"/>
          <w:lang w:val="es-ES_tradnl"/>
        </w:rPr>
        <w:t>la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copia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certificada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w:t>
      </w:r>
      <w:r w:rsidR="00887780">
        <w:rPr>
          <w:rFonts w:ascii="Arial" w:hAnsi="Arial" w:cs="Arial"/>
          <w:bCs/>
          <w:spacing w:val="-3"/>
          <w:sz w:val="26"/>
          <w:szCs w:val="26"/>
          <w:lang w:val="es-ES_tradnl"/>
        </w:rPr>
        <w:t xml:space="preserve">digitalizadas (USB) del expediente relativo al Procedimiento para el Fincamiento de Responsabilidad Administrativa Resarcitoria </w:t>
      </w:r>
      <w:r w:rsidR="00887780">
        <w:rPr>
          <w:rFonts w:ascii="Arial" w:hAnsi="Arial" w:cs="Arial"/>
          <w:b/>
          <w:sz w:val="26"/>
          <w:szCs w:val="26"/>
        </w:rPr>
        <w:t>ASE</w:t>
      </w:r>
      <w:r w:rsidR="00887780" w:rsidRPr="006F6E97">
        <w:rPr>
          <w:rFonts w:ascii="Arial" w:hAnsi="Arial" w:cs="Arial"/>
          <w:b/>
          <w:sz w:val="26"/>
          <w:szCs w:val="26"/>
        </w:rPr>
        <w:t>/</w:t>
      </w:r>
      <w:r w:rsidR="00887780">
        <w:rPr>
          <w:rFonts w:ascii="Arial" w:hAnsi="Arial" w:cs="Arial"/>
          <w:b/>
          <w:sz w:val="26"/>
          <w:szCs w:val="26"/>
        </w:rPr>
        <w:t>UAJ/P.R./004/2016</w:t>
      </w:r>
      <w:r w:rsidR="00887780">
        <w:rPr>
          <w:rFonts w:ascii="Arial" w:hAnsi="Arial" w:cs="Arial"/>
          <w:sz w:val="26"/>
          <w:szCs w:val="26"/>
        </w:rPr>
        <w:t xml:space="preserve">, </w:t>
      </w:r>
      <w:r w:rsidR="002E26F6">
        <w:rPr>
          <w:rFonts w:ascii="Arial" w:hAnsi="Arial" w:cs="Arial"/>
          <w:bCs/>
          <w:spacing w:val="-3"/>
          <w:sz w:val="26"/>
          <w:szCs w:val="26"/>
          <w:lang w:val="es-ES_tradnl"/>
        </w:rPr>
        <w:t>que la autoridad demandada adjunto a su informe, la cual</w:t>
      </w:r>
      <w:r w:rsidR="005D444A" w:rsidRPr="00EE4752">
        <w:rPr>
          <w:rFonts w:ascii="Arial" w:hAnsi="Arial" w:cs="Arial"/>
          <w:bCs/>
          <w:spacing w:val="-3"/>
          <w:sz w:val="26"/>
          <w:szCs w:val="26"/>
          <w:lang w:val="es-ES_tradnl"/>
        </w:rPr>
        <w:t xml:space="preserve"> obra</w:t>
      </w:r>
      <w:r w:rsidR="00887780">
        <w:rPr>
          <w:rFonts w:ascii="Arial" w:hAnsi="Arial" w:cs="Arial"/>
          <w:bCs/>
          <w:spacing w:val="-3"/>
          <w:sz w:val="26"/>
          <w:szCs w:val="26"/>
          <w:lang w:val="es-ES_tradnl"/>
        </w:rPr>
        <w:t xml:space="preserve"> a foja cincuenta y siete (57), del expediente JI/008/2023, del índice de esta Sala Superior</w:t>
      </w:r>
      <w:r w:rsidR="005D444A" w:rsidRPr="00EE4752">
        <w:rPr>
          <w:rFonts w:ascii="Arial" w:eastAsia="Times New Roman" w:hAnsi="Arial" w:cs="Arial"/>
          <w:bCs/>
          <w:sz w:val="26"/>
          <w:szCs w:val="26"/>
          <w:lang w:val="es-ES_tradnl" w:eastAsia="es-ES"/>
        </w:rPr>
        <w:t>, documental</w:t>
      </w:r>
      <w:r w:rsidR="000A3F92">
        <w:rPr>
          <w:rFonts w:ascii="Arial" w:eastAsia="Times New Roman" w:hAnsi="Arial" w:cs="Arial"/>
          <w:bCs/>
          <w:sz w:val="26"/>
          <w:szCs w:val="26"/>
          <w:lang w:val="es-ES_tradnl" w:eastAsia="es-ES"/>
        </w:rPr>
        <w:t>es</w:t>
      </w:r>
      <w:r w:rsidR="005D444A" w:rsidRPr="00EE4752">
        <w:rPr>
          <w:rFonts w:ascii="Arial" w:eastAsia="Times New Roman" w:hAnsi="Arial" w:cs="Arial"/>
          <w:bCs/>
          <w:sz w:val="26"/>
          <w:szCs w:val="26"/>
          <w:lang w:val="es-ES_tradnl" w:eastAsia="es-ES"/>
        </w:rPr>
        <w:t xml:space="preserve"> que alcanza valor probatorio pleno </w:t>
      </w:r>
      <w:r w:rsidR="005D444A" w:rsidRPr="00EE4752">
        <w:rPr>
          <w:rFonts w:ascii="Arial" w:eastAsia="Calibri" w:hAnsi="Arial" w:cs="Arial"/>
          <w:bCs/>
          <w:sz w:val="26"/>
          <w:szCs w:val="26"/>
          <w:lang w:val="es-ES"/>
        </w:rPr>
        <w:t>conforme a lo dispuesto por el artículo 203 fracción I</w:t>
      </w:r>
      <w:r w:rsidR="005D444A" w:rsidRPr="00EE4752">
        <w:rPr>
          <w:rFonts w:ascii="Arial" w:eastAsia="Calibri" w:hAnsi="Arial" w:cs="Arial"/>
          <w:bCs/>
          <w:sz w:val="26"/>
          <w:szCs w:val="26"/>
          <w:vertAlign w:val="superscript"/>
          <w:lang w:val="es-ES"/>
        </w:rPr>
        <w:footnoteReference w:id="7"/>
      </w:r>
      <w:r w:rsidR="005D444A" w:rsidRPr="00EE4752">
        <w:rPr>
          <w:rFonts w:ascii="Arial" w:eastAsia="Calibri" w:hAnsi="Arial" w:cs="Arial"/>
          <w:bCs/>
          <w:sz w:val="26"/>
          <w:szCs w:val="26"/>
          <w:lang w:val="es-ES"/>
        </w:rPr>
        <w:t xml:space="preserve"> de la </w:t>
      </w:r>
      <w:r w:rsidR="00F17D36" w:rsidRPr="00F17D36">
        <w:rPr>
          <w:rFonts w:ascii="Arial" w:eastAsia="Calibri" w:hAnsi="Arial" w:cs="Arial"/>
          <w:bCs/>
          <w:i/>
          <w:sz w:val="26"/>
          <w:szCs w:val="26"/>
          <w:lang w:val="es-ES"/>
        </w:rPr>
        <w:t>Ley de Procedimiento</w:t>
      </w:r>
      <w:r w:rsidR="005D444A" w:rsidRPr="002750B0">
        <w:rPr>
          <w:rFonts w:ascii="Arial" w:eastAsia="Calibri" w:hAnsi="Arial" w:cs="Arial"/>
          <w:bCs/>
          <w:sz w:val="26"/>
          <w:szCs w:val="26"/>
          <w:lang w:val="es-ES"/>
        </w:rPr>
        <w:t>,</w:t>
      </w:r>
      <w:r w:rsidR="005D444A" w:rsidRPr="00EE4752">
        <w:rPr>
          <w:rFonts w:ascii="Arial" w:eastAsia="Calibri" w:hAnsi="Arial" w:cs="Arial"/>
          <w:bCs/>
          <w:sz w:val="26"/>
          <w:szCs w:val="26"/>
          <w:lang w:val="es-ES"/>
        </w:rPr>
        <w:t xml:space="preserve"> por tratarse de actuaciones judiciales.</w:t>
      </w:r>
    </w:p>
    <w:p w14:paraId="6DAE8ADB" w14:textId="581AC406" w:rsidR="00981629" w:rsidRPr="00EE4752" w:rsidRDefault="00BC04EA" w:rsidP="00227923">
      <w:pPr>
        <w:spacing w:line="360" w:lineRule="auto"/>
        <w:ind w:firstLine="567"/>
        <w:jc w:val="both"/>
        <w:rPr>
          <w:rFonts w:ascii="Arial" w:hAnsi="Arial" w:cs="Arial"/>
          <w:b/>
          <w:bCs/>
          <w:sz w:val="26"/>
          <w:szCs w:val="26"/>
        </w:rPr>
      </w:pPr>
      <w:r>
        <w:rPr>
          <w:rFonts w:ascii="Arial" w:hAnsi="Arial" w:cs="Arial"/>
          <w:b/>
          <w:bCs/>
          <w:spacing w:val="-3"/>
          <w:sz w:val="26"/>
          <w:szCs w:val="26"/>
          <w:lang w:val="es-ES_tradnl"/>
        </w:rPr>
        <w:lastRenderedPageBreak/>
        <w:t>SEX</w:t>
      </w:r>
      <w:r w:rsidR="00981629" w:rsidRPr="00EE4752">
        <w:rPr>
          <w:rFonts w:ascii="Arial" w:hAnsi="Arial" w:cs="Arial"/>
          <w:b/>
          <w:bCs/>
          <w:spacing w:val="-3"/>
          <w:sz w:val="26"/>
          <w:szCs w:val="26"/>
          <w:lang w:val="es-ES_tradnl"/>
        </w:rPr>
        <w:t>TO</w:t>
      </w:r>
      <w:r w:rsidR="00981629" w:rsidRPr="00EE4752">
        <w:rPr>
          <w:rFonts w:ascii="Arial" w:hAnsi="Arial" w:cs="Arial"/>
          <w:b/>
          <w:bCs/>
          <w:sz w:val="26"/>
          <w:szCs w:val="26"/>
        </w:rPr>
        <w:t>.</w:t>
      </w:r>
      <w:r w:rsidR="00981629" w:rsidRPr="00EE4752">
        <w:rPr>
          <w:rFonts w:ascii="Arial" w:hAnsi="Arial" w:cs="Arial"/>
          <w:sz w:val="26"/>
          <w:szCs w:val="26"/>
        </w:rPr>
        <w:t xml:space="preserve"> </w:t>
      </w:r>
      <w:r w:rsidR="00981629" w:rsidRPr="00EE4752">
        <w:rPr>
          <w:rFonts w:ascii="Arial" w:hAnsi="Arial" w:cs="Arial"/>
          <w:b/>
          <w:bCs/>
          <w:sz w:val="26"/>
          <w:szCs w:val="26"/>
        </w:rPr>
        <w:t xml:space="preserve">CAUSALES DE IMPROCEDENCIA. </w:t>
      </w:r>
    </w:p>
    <w:p w14:paraId="11EFBE84" w14:textId="3BA1DA98" w:rsidR="00FD3D53" w:rsidRDefault="00887780" w:rsidP="00227923">
      <w:pPr>
        <w:tabs>
          <w:tab w:val="left" w:pos="5670"/>
        </w:tabs>
        <w:spacing w:before="240" w:line="360" w:lineRule="auto"/>
        <w:ind w:firstLine="708"/>
        <w:jc w:val="both"/>
        <w:rPr>
          <w:rFonts w:ascii="Arial" w:hAnsi="Arial" w:cs="Arial"/>
          <w:sz w:val="26"/>
          <w:szCs w:val="26"/>
        </w:rPr>
      </w:pPr>
      <w:r>
        <w:rPr>
          <w:rFonts w:ascii="Arial" w:hAnsi="Arial" w:cs="Arial"/>
          <w:sz w:val="26"/>
          <w:szCs w:val="26"/>
        </w:rPr>
        <w:t>2</w:t>
      </w:r>
      <w:r w:rsidR="00FC2EEB">
        <w:rPr>
          <w:rFonts w:ascii="Arial" w:hAnsi="Arial" w:cs="Arial"/>
          <w:sz w:val="26"/>
          <w:szCs w:val="26"/>
        </w:rPr>
        <w:t>5</w:t>
      </w:r>
      <w:r w:rsidR="003F43EB">
        <w:rPr>
          <w:rFonts w:ascii="Arial" w:hAnsi="Arial" w:cs="Arial"/>
          <w:sz w:val="26"/>
          <w:szCs w:val="26"/>
        </w:rPr>
        <w:t xml:space="preserve">. </w:t>
      </w:r>
      <w:r w:rsidR="00FD3D53" w:rsidRPr="00F00209">
        <w:rPr>
          <w:rFonts w:ascii="Arial" w:hAnsi="Arial" w:cs="Arial"/>
          <w:sz w:val="26"/>
          <w:szCs w:val="26"/>
        </w:rPr>
        <w:t xml:space="preserve">Las causales de improcedencia tienen el carácter de presupuestos procesales que deben colmarse previo al dictado de la determinación de fondo, </w:t>
      </w:r>
      <w:r w:rsidR="00FD3D53">
        <w:rPr>
          <w:rFonts w:ascii="Arial" w:hAnsi="Arial" w:cs="Arial"/>
          <w:sz w:val="26"/>
          <w:szCs w:val="26"/>
        </w:rPr>
        <w:t>porque el estudio</w:t>
      </w:r>
      <w:r w:rsidR="00FD3D53" w:rsidRPr="00F00209">
        <w:rPr>
          <w:rFonts w:ascii="Arial" w:hAnsi="Arial" w:cs="Arial"/>
          <w:sz w:val="26"/>
          <w:szCs w:val="26"/>
        </w:rPr>
        <w:t xml:space="preserve"> de las pre</w:t>
      </w:r>
      <w:r w:rsidR="00FD3D53">
        <w:rPr>
          <w:rFonts w:ascii="Arial" w:hAnsi="Arial" w:cs="Arial"/>
          <w:sz w:val="26"/>
          <w:szCs w:val="26"/>
        </w:rPr>
        <w:t>tensiones sólo puede realizarse</w:t>
      </w:r>
      <w:r w:rsidR="00FD3D53"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p>
    <w:p w14:paraId="356C93B6" w14:textId="0734F94C" w:rsidR="00FD3D53" w:rsidRPr="00F00209" w:rsidRDefault="00FC2EEB" w:rsidP="00887780">
      <w:pPr>
        <w:spacing w:line="360" w:lineRule="auto"/>
        <w:ind w:firstLine="709"/>
        <w:jc w:val="both"/>
        <w:rPr>
          <w:rFonts w:ascii="Arial" w:hAnsi="Arial" w:cs="Arial"/>
          <w:sz w:val="26"/>
          <w:szCs w:val="26"/>
        </w:rPr>
      </w:pPr>
      <w:r>
        <w:rPr>
          <w:rFonts w:ascii="Arial" w:hAnsi="Arial" w:cs="Arial"/>
          <w:sz w:val="26"/>
          <w:szCs w:val="26"/>
        </w:rPr>
        <w:t>26</w:t>
      </w:r>
      <w:r w:rsidR="003F43EB">
        <w:rPr>
          <w:rFonts w:ascii="Arial" w:hAnsi="Arial" w:cs="Arial"/>
          <w:sz w:val="26"/>
          <w:szCs w:val="26"/>
        </w:rPr>
        <w:t xml:space="preserve">. </w:t>
      </w:r>
      <w:r w:rsidR="00FD3D53" w:rsidRPr="00F00209">
        <w:rPr>
          <w:rFonts w:ascii="Arial" w:hAnsi="Arial" w:cs="Arial"/>
          <w:sz w:val="26"/>
          <w:szCs w:val="26"/>
        </w:rPr>
        <w:t xml:space="preserve">Esto, porque conforme al artículo 17 de la Constitución Federal, las autoridades </w:t>
      </w:r>
      <w:r w:rsidR="00FD3D53">
        <w:rPr>
          <w:rFonts w:ascii="Arial" w:hAnsi="Arial" w:cs="Arial"/>
          <w:sz w:val="26"/>
          <w:szCs w:val="26"/>
        </w:rPr>
        <w:t>tienen</w:t>
      </w:r>
      <w:r w:rsidR="00FD3D53" w:rsidRPr="00F00209">
        <w:rPr>
          <w:rFonts w:ascii="Arial" w:hAnsi="Arial" w:cs="Arial"/>
          <w:sz w:val="26"/>
          <w:szCs w:val="26"/>
        </w:rPr>
        <w:t xml:space="preserve"> el deber de ajustarse a los mecanismos jurídicos establecidos por el legislador para el ejercicio de la jurisdicción.</w:t>
      </w:r>
      <w:r w:rsidR="00FD3D53">
        <w:rPr>
          <w:rFonts w:ascii="Arial" w:hAnsi="Arial" w:cs="Arial"/>
          <w:sz w:val="26"/>
          <w:szCs w:val="26"/>
        </w:rPr>
        <w:t xml:space="preserve"> </w:t>
      </w:r>
    </w:p>
    <w:p w14:paraId="216B8B14" w14:textId="2F0213F3" w:rsidR="00FD3D53" w:rsidRDefault="00887780" w:rsidP="00227923">
      <w:pPr>
        <w:tabs>
          <w:tab w:val="left" w:pos="5670"/>
        </w:tabs>
        <w:spacing w:before="240" w:after="0" w:line="360" w:lineRule="auto"/>
        <w:ind w:firstLine="708"/>
        <w:jc w:val="both"/>
        <w:rPr>
          <w:rFonts w:ascii="Arial" w:hAnsi="Arial" w:cs="Arial"/>
          <w:sz w:val="26"/>
          <w:szCs w:val="26"/>
        </w:rPr>
      </w:pPr>
      <w:r>
        <w:rPr>
          <w:rFonts w:ascii="Arial" w:hAnsi="Arial" w:cs="Arial"/>
          <w:sz w:val="26"/>
          <w:szCs w:val="26"/>
        </w:rPr>
        <w:t>2</w:t>
      </w:r>
      <w:r w:rsidR="00FC2EEB">
        <w:rPr>
          <w:rFonts w:ascii="Arial" w:hAnsi="Arial" w:cs="Arial"/>
          <w:sz w:val="26"/>
          <w:szCs w:val="26"/>
        </w:rPr>
        <w:t>7</w:t>
      </w:r>
      <w:r w:rsidR="003F43EB">
        <w:rPr>
          <w:rFonts w:ascii="Arial" w:hAnsi="Arial" w:cs="Arial"/>
          <w:sz w:val="26"/>
          <w:szCs w:val="26"/>
        </w:rPr>
        <w:t xml:space="preserve">. </w:t>
      </w:r>
      <w:r w:rsidR="00FD3D53" w:rsidRPr="00F00209">
        <w:rPr>
          <w:rFonts w:ascii="Arial" w:hAnsi="Arial" w:cs="Arial"/>
          <w:sz w:val="26"/>
          <w:szCs w:val="26"/>
        </w:rPr>
        <w:t>Por esta razón, se estima que la</w:t>
      </w:r>
      <w:r w:rsidR="00FD3D53">
        <w:rPr>
          <w:rFonts w:ascii="Arial" w:hAnsi="Arial" w:cs="Arial"/>
          <w:sz w:val="26"/>
          <w:szCs w:val="26"/>
        </w:rPr>
        <w:t>s causales de</w:t>
      </w:r>
      <w:r w:rsidR="00FD3D53" w:rsidRPr="00F00209">
        <w:rPr>
          <w:rFonts w:ascii="Arial" w:hAnsi="Arial" w:cs="Arial"/>
          <w:sz w:val="26"/>
          <w:szCs w:val="26"/>
        </w:rPr>
        <w:t xml:space="preserve"> improcedencia del juicio, al ser de orden público, debe</w:t>
      </w:r>
      <w:r w:rsidR="00FD3D53">
        <w:rPr>
          <w:rFonts w:ascii="Arial" w:hAnsi="Arial" w:cs="Arial"/>
          <w:sz w:val="26"/>
          <w:szCs w:val="26"/>
        </w:rPr>
        <w:t>n</w:t>
      </w:r>
      <w:r w:rsidR="00FD3D53" w:rsidRPr="00F00209">
        <w:rPr>
          <w:rFonts w:ascii="Arial" w:hAnsi="Arial" w:cs="Arial"/>
          <w:sz w:val="26"/>
          <w:szCs w:val="26"/>
        </w:rPr>
        <w:t xml:space="preserve"> </w:t>
      </w:r>
      <w:r w:rsidR="00FD3D53">
        <w:rPr>
          <w:rFonts w:ascii="Arial" w:hAnsi="Arial" w:cs="Arial"/>
          <w:sz w:val="26"/>
          <w:szCs w:val="26"/>
        </w:rPr>
        <w:t>examinarse de oficio au</w:t>
      </w:r>
      <w:r w:rsidR="00FD3D53" w:rsidRPr="00F00209">
        <w:rPr>
          <w:rFonts w:ascii="Arial" w:hAnsi="Arial" w:cs="Arial"/>
          <w:sz w:val="26"/>
          <w:szCs w:val="26"/>
        </w:rPr>
        <w:t>n cuando las partes no lo hayan propuesto a la resolutora. En tales condiciones procede analizar si se actualiza alguna causal de improcedencia.</w:t>
      </w:r>
      <w:r w:rsidR="00FD3D53">
        <w:rPr>
          <w:rFonts w:ascii="Arial" w:hAnsi="Arial" w:cs="Arial"/>
          <w:sz w:val="26"/>
          <w:szCs w:val="26"/>
        </w:rPr>
        <w:t xml:space="preserve"> </w:t>
      </w:r>
    </w:p>
    <w:p w14:paraId="35C34F90" w14:textId="4F7022AE" w:rsidR="00FD3D53" w:rsidRPr="00B92B89" w:rsidRDefault="00887780" w:rsidP="00227923">
      <w:pPr>
        <w:tabs>
          <w:tab w:val="left" w:pos="5670"/>
        </w:tabs>
        <w:spacing w:before="240" w:line="360" w:lineRule="auto"/>
        <w:ind w:firstLine="708"/>
        <w:jc w:val="both"/>
        <w:rPr>
          <w:rFonts w:ascii="Arial" w:hAnsi="Arial" w:cs="Arial"/>
          <w:sz w:val="26"/>
          <w:szCs w:val="26"/>
        </w:rPr>
      </w:pPr>
      <w:r>
        <w:rPr>
          <w:rFonts w:ascii="Arial" w:hAnsi="Arial" w:cs="Arial"/>
          <w:sz w:val="26"/>
          <w:szCs w:val="26"/>
        </w:rPr>
        <w:t>2</w:t>
      </w:r>
      <w:r w:rsidR="00FC2EEB">
        <w:rPr>
          <w:rFonts w:ascii="Arial" w:hAnsi="Arial" w:cs="Arial"/>
          <w:sz w:val="26"/>
          <w:szCs w:val="26"/>
        </w:rPr>
        <w:t>8</w:t>
      </w:r>
      <w:r w:rsidR="003F43EB">
        <w:rPr>
          <w:rFonts w:ascii="Arial" w:hAnsi="Arial" w:cs="Arial"/>
          <w:sz w:val="26"/>
          <w:szCs w:val="26"/>
        </w:rPr>
        <w:t xml:space="preserve">. </w:t>
      </w:r>
      <w:r w:rsidR="00FD3D53">
        <w:rPr>
          <w:rFonts w:ascii="Arial" w:hAnsi="Arial" w:cs="Arial"/>
          <w:sz w:val="26"/>
          <w:szCs w:val="26"/>
        </w:rPr>
        <w:t>En ese orden de ideas</w:t>
      </w:r>
      <w:r w:rsidR="00FD3D53" w:rsidRPr="00F00209">
        <w:rPr>
          <w:rFonts w:ascii="Arial" w:hAnsi="Arial" w:cs="Arial"/>
          <w:sz w:val="26"/>
          <w:szCs w:val="26"/>
        </w:rPr>
        <w:t>,</w:t>
      </w:r>
      <w:r w:rsidR="00FD3D53" w:rsidRPr="00F00209">
        <w:rPr>
          <w:rFonts w:ascii="Arial" w:hAnsi="Arial" w:cs="Arial"/>
          <w:b/>
          <w:sz w:val="26"/>
          <w:szCs w:val="26"/>
        </w:rPr>
        <w:t xml:space="preserve"> </w:t>
      </w:r>
      <w:r w:rsidR="00FD3D53" w:rsidRPr="00F00209">
        <w:rPr>
          <w:rFonts w:ascii="Arial" w:hAnsi="Arial" w:cs="Arial"/>
          <w:sz w:val="26"/>
          <w:szCs w:val="26"/>
        </w:rPr>
        <w:t xml:space="preserve">del análisis de las constancias </w:t>
      </w:r>
      <w:r w:rsidR="00FD3D53">
        <w:rPr>
          <w:rFonts w:ascii="Arial" w:hAnsi="Arial" w:cs="Arial"/>
          <w:sz w:val="26"/>
          <w:szCs w:val="26"/>
        </w:rPr>
        <w:t>procesales que integran el juicio de inconformidad</w:t>
      </w:r>
      <w:r w:rsidR="00FD3D53" w:rsidRPr="00F00209">
        <w:rPr>
          <w:rFonts w:ascii="Arial" w:hAnsi="Arial" w:cs="Arial"/>
          <w:sz w:val="26"/>
          <w:szCs w:val="26"/>
        </w:rPr>
        <w:t xml:space="preserve">, con valor probatorio pleno en términos del artículo 25 de la </w:t>
      </w:r>
      <w:r w:rsidR="00F17D36" w:rsidRPr="00F17D36">
        <w:rPr>
          <w:rFonts w:ascii="Arial" w:hAnsi="Arial" w:cs="Arial"/>
          <w:i/>
          <w:sz w:val="26"/>
          <w:szCs w:val="26"/>
        </w:rPr>
        <w:t>Ley de Justicia</w:t>
      </w:r>
      <w:r w:rsidR="00FD3D53" w:rsidRPr="00F00209">
        <w:rPr>
          <w:rFonts w:ascii="Arial" w:hAnsi="Arial" w:cs="Arial"/>
          <w:sz w:val="26"/>
          <w:szCs w:val="26"/>
        </w:rPr>
        <w:t xml:space="preserve">, al tratarse de actuaciones judiciales, esta </w:t>
      </w:r>
      <w:r w:rsidR="00FD3D53">
        <w:rPr>
          <w:rFonts w:ascii="Arial" w:hAnsi="Arial" w:cs="Arial"/>
          <w:sz w:val="26"/>
          <w:szCs w:val="26"/>
        </w:rPr>
        <w:t xml:space="preserve">Sala Superior </w:t>
      </w:r>
      <w:r w:rsidR="00FD3D53" w:rsidRPr="00F00209">
        <w:rPr>
          <w:rFonts w:ascii="Arial" w:hAnsi="Arial" w:cs="Arial"/>
          <w:sz w:val="26"/>
          <w:szCs w:val="26"/>
        </w:rPr>
        <w:t>advierte que no se actualiza alguna de las causales previstas por los artículos 16</w:t>
      </w:r>
      <w:r w:rsidR="00FD3D53">
        <w:rPr>
          <w:rStyle w:val="Refdenotaalpie"/>
          <w:rFonts w:ascii="Arial" w:hAnsi="Arial" w:cs="Arial"/>
          <w:sz w:val="26"/>
          <w:szCs w:val="26"/>
        </w:rPr>
        <w:footnoteReference w:id="8"/>
      </w:r>
      <w:r w:rsidR="00FD3D53" w:rsidRPr="00F00209">
        <w:rPr>
          <w:rFonts w:ascii="Arial" w:hAnsi="Arial" w:cs="Arial"/>
          <w:sz w:val="26"/>
          <w:szCs w:val="26"/>
        </w:rPr>
        <w:t xml:space="preserve"> y 17</w:t>
      </w:r>
      <w:r w:rsidR="00FD3D53">
        <w:rPr>
          <w:rStyle w:val="Refdenotaalpie"/>
          <w:rFonts w:ascii="Arial" w:hAnsi="Arial" w:cs="Arial"/>
          <w:sz w:val="26"/>
          <w:szCs w:val="26"/>
        </w:rPr>
        <w:footnoteReference w:id="9"/>
      </w:r>
      <w:r w:rsidR="00FD3D53" w:rsidRPr="00F00209">
        <w:rPr>
          <w:rFonts w:ascii="Arial" w:hAnsi="Arial" w:cs="Arial"/>
          <w:sz w:val="26"/>
          <w:szCs w:val="26"/>
        </w:rPr>
        <w:t xml:space="preserve"> de la de la </w:t>
      </w:r>
      <w:r w:rsidR="00F17D36" w:rsidRPr="00F17D36">
        <w:rPr>
          <w:rFonts w:ascii="Arial" w:hAnsi="Arial" w:cs="Arial"/>
          <w:i/>
          <w:sz w:val="26"/>
          <w:szCs w:val="26"/>
        </w:rPr>
        <w:t>Ley de Justicia</w:t>
      </w:r>
      <w:r w:rsidR="00FD3D53">
        <w:rPr>
          <w:rFonts w:ascii="Arial" w:hAnsi="Arial" w:cs="Arial"/>
          <w:sz w:val="26"/>
          <w:szCs w:val="26"/>
        </w:rPr>
        <w:t>.</w:t>
      </w:r>
    </w:p>
    <w:p w14:paraId="495ABF1F" w14:textId="768AF0FC" w:rsidR="00981629" w:rsidRPr="00EE4752" w:rsidRDefault="00FC2EEB" w:rsidP="00227923">
      <w:pPr>
        <w:spacing w:line="360" w:lineRule="auto"/>
        <w:ind w:firstLine="567"/>
        <w:jc w:val="both"/>
        <w:rPr>
          <w:rFonts w:ascii="Arial" w:hAnsi="Arial" w:cs="Arial"/>
          <w:bCs/>
          <w:snapToGrid w:val="0"/>
          <w:sz w:val="26"/>
          <w:szCs w:val="26"/>
        </w:rPr>
      </w:pPr>
      <w:r>
        <w:rPr>
          <w:rFonts w:ascii="Arial" w:hAnsi="Arial" w:cs="Arial"/>
          <w:sz w:val="26"/>
          <w:szCs w:val="26"/>
        </w:rPr>
        <w:t>29</w:t>
      </w:r>
      <w:r w:rsidR="003F43EB">
        <w:rPr>
          <w:rFonts w:ascii="Arial" w:hAnsi="Arial" w:cs="Arial"/>
          <w:sz w:val="26"/>
          <w:szCs w:val="26"/>
        </w:rPr>
        <w:t xml:space="preserve">. </w:t>
      </w:r>
      <w:r w:rsidR="00981629" w:rsidRPr="00EE4752">
        <w:rPr>
          <w:rFonts w:ascii="Arial" w:hAnsi="Arial" w:cs="Arial"/>
          <w:sz w:val="26"/>
          <w:szCs w:val="26"/>
        </w:rPr>
        <w:t xml:space="preserve">En ese tenor, esta Sala </w:t>
      </w:r>
      <w:r w:rsidR="00FD3D53">
        <w:rPr>
          <w:rFonts w:ascii="Arial" w:hAnsi="Arial" w:cs="Arial"/>
          <w:sz w:val="26"/>
          <w:szCs w:val="26"/>
        </w:rPr>
        <w:t>Superior</w:t>
      </w:r>
      <w:r w:rsidR="00981629" w:rsidRPr="00EE4752">
        <w:rPr>
          <w:rFonts w:ascii="Arial" w:hAnsi="Arial" w:cs="Arial"/>
          <w:sz w:val="26"/>
          <w:szCs w:val="26"/>
        </w:rPr>
        <w:t xml:space="preserve"> advierte que no se configura alguna causal de improcedencia o sobreseimiento, por tanto</w:t>
      </w:r>
      <w:r w:rsidR="00981629" w:rsidRPr="00EE4752">
        <w:rPr>
          <w:rFonts w:ascii="Arial" w:hAnsi="Arial" w:cs="Arial"/>
          <w:bCs/>
          <w:snapToGrid w:val="0"/>
          <w:sz w:val="26"/>
          <w:szCs w:val="26"/>
        </w:rPr>
        <w:t xml:space="preserve">, </w:t>
      </w:r>
      <w:r w:rsidR="00981629" w:rsidRPr="00EE4752">
        <w:rPr>
          <w:rFonts w:ascii="Arial" w:hAnsi="Arial" w:cs="Arial"/>
          <w:b/>
          <w:snapToGrid w:val="0"/>
          <w:sz w:val="26"/>
          <w:szCs w:val="26"/>
        </w:rPr>
        <w:t>NO SE SOBRESEE EL PRESENTE JUICIO</w:t>
      </w:r>
      <w:r w:rsidR="00981629" w:rsidRPr="00EE4752">
        <w:rPr>
          <w:rFonts w:ascii="Arial" w:hAnsi="Arial" w:cs="Arial"/>
          <w:bCs/>
          <w:snapToGrid w:val="0"/>
          <w:sz w:val="26"/>
          <w:szCs w:val="26"/>
        </w:rPr>
        <w:t>.</w:t>
      </w:r>
    </w:p>
    <w:p w14:paraId="4E0BC179" w14:textId="02D34C18" w:rsidR="005D444A" w:rsidRPr="00EE4752" w:rsidRDefault="00BC04EA" w:rsidP="00227923">
      <w:pPr>
        <w:spacing w:line="360" w:lineRule="auto"/>
        <w:ind w:firstLine="567"/>
        <w:jc w:val="both"/>
        <w:rPr>
          <w:rFonts w:ascii="Arial" w:hAnsi="Arial" w:cs="Arial"/>
          <w:b/>
          <w:bCs/>
          <w:spacing w:val="-3"/>
          <w:sz w:val="26"/>
          <w:szCs w:val="26"/>
          <w:lang w:val="es-ES_tradnl"/>
        </w:rPr>
      </w:pPr>
      <w:r>
        <w:rPr>
          <w:rFonts w:ascii="Arial" w:hAnsi="Arial" w:cs="Arial"/>
          <w:b/>
          <w:bCs/>
          <w:sz w:val="26"/>
          <w:szCs w:val="26"/>
        </w:rPr>
        <w:t>SÉPTIM</w:t>
      </w:r>
      <w:r w:rsidR="00D30457">
        <w:rPr>
          <w:rFonts w:ascii="Arial" w:hAnsi="Arial" w:cs="Arial"/>
          <w:b/>
          <w:bCs/>
          <w:sz w:val="26"/>
          <w:szCs w:val="26"/>
        </w:rPr>
        <w:t>O</w:t>
      </w:r>
      <w:r w:rsidR="005D444A" w:rsidRPr="00EE4752">
        <w:rPr>
          <w:rFonts w:ascii="Arial" w:hAnsi="Arial" w:cs="Arial"/>
          <w:b/>
          <w:bCs/>
          <w:spacing w:val="-3"/>
          <w:sz w:val="26"/>
          <w:szCs w:val="26"/>
          <w:lang w:val="es-ES_tradnl"/>
        </w:rPr>
        <w:t xml:space="preserve">. FIJACIÓN DE LA LITIS. </w:t>
      </w:r>
    </w:p>
    <w:p w14:paraId="19AC83EB" w14:textId="4FA833EB" w:rsidR="00EF3E25" w:rsidRPr="00EE4752" w:rsidRDefault="00FC2EEB"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30</w:t>
      </w:r>
      <w:r w:rsidR="003F43EB">
        <w:rPr>
          <w:rFonts w:ascii="Arial" w:hAnsi="Arial" w:cs="Arial"/>
          <w:bCs/>
          <w:spacing w:val="-3"/>
          <w:sz w:val="26"/>
          <w:szCs w:val="26"/>
          <w:lang w:val="es-ES_tradnl"/>
        </w:rPr>
        <w:t xml:space="preserve">. </w:t>
      </w:r>
      <w:r w:rsidR="005D444A" w:rsidRPr="00EE4752">
        <w:rPr>
          <w:rFonts w:ascii="Arial" w:hAnsi="Arial" w:cs="Arial"/>
          <w:bCs/>
          <w:spacing w:val="-3"/>
          <w:sz w:val="26"/>
          <w:szCs w:val="26"/>
          <w:lang w:val="es-ES_tradnl"/>
        </w:rPr>
        <w:t>El litigio surge derivado del planteamiento de ilegalidad que hace la parte actora en relación con</w:t>
      </w:r>
      <w:r w:rsidR="00144D47">
        <w:rPr>
          <w:rFonts w:ascii="Arial" w:hAnsi="Arial" w:cs="Arial"/>
          <w:bCs/>
          <w:spacing w:val="-3"/>
          <w:sz w:val="26"/>
          <w:szCs w:val="26"/>
          <w:lang w:val="es-ES_tradnl"/>
        </w:rPr>
        <w:t xml:space="preserve"> la notificación y</w:t>
      </w:r>
      <w:r w:rsidR="00EF3E25" w:rsidRPr="00EE4752">
        <w:rPr>
          <w:rFonts w:ascii="Arial" w:hAnsi="Arial" w:cs="Arial"/>
          <w:bCs/>
          <w:spacing w:val="-3"/>
          <w:sz w:val="26"/>
          <w:szCs w:val="26"/>
          <w:lang w:val="es-ES_tradnl"/>
        </w:rPr>
        <w:t xml:space="preserve"> emisión</w:t>
      </w:r>
      <w:r w:rsidR="005D444A" w:rsidRPr="00EE4752">
        <w:rPr>
          <w:rFonts w:ascii="Arial" w:hAnsi="Arial" w:cs="Arial"/>
          <w:bCs/>
          <w:spacing w:val="-3"/>
          <w:sz w:val="26"/>
          <w:szCs w:val="26"/>
          <w:lang w:val="es-ES_tradnl"/>
        </w:rPr>
        <w:t xml:space="preserve"> </w:t>
      </w:r>
      <w:r w:rsidR="00EF3E25" w:rsidRPr="00EE4752">
        <w:rPr>
          <w:rFonts w:ascii="Arial" w:hAnsi="Arial" w:cs="Arial"/>
          <w:bCs/>
          <w:spacing w:val="-3"/>
          <w:sz w:val="26"/>
          <w:szCs w:val="26"/>
          <w:lang w:val="es-ES_tradnl"/>
        </w:rPr>
        <w:t>d</w:t>
      </w:r>
      <w:r w:rsidR="00EF3E25" w:rsidRPr="00EE4752">
        <w:rPr>
          <w:rFonts w:ascii="Arial" w:hAnsi="Arial" w:cs="Arial"/>
          <w:bCs/>
          <w:sz w:val="26"/>
          <w:szCs w:val="26"/>
        </w:rPr>
        <w:t>e</w:t>
      </w:r>
      <w:r w:rsidR="00FD3D53">
        <w:rPr>
          <w:rFonts w:ascii="Arial" w:hAnsi="Arial" w:cs="Arial"/>
          <w:bCs/>
          <w:sz w:val="26"/>
          <w:szCs w:val="26"/>
        </w:rPr>
        <w:t xml:space="preserve"> </w:t>
      </w:r>
      <w:r w:rsidR="00FD3D53">
        <w:rPr>
          <w:rFonts w:ascii="Arial" w:eastAsia="Times New Roman" w:hAnsi="Arial" w:cs="Arial"/>
          <w:bCs/>
          <w:sz w:val="26"/>
          <w:szCs w:val="26"/>
          <w:lang w:val="es-ES_tradnl" w:eastAsia="es-ES"/>
        </w:rPr>
        <w:t xml:space="preserve">la resolución de </w:t>
      </w:r>
      <w:r w:rsidR="00887780">
        <w:rPr>
          <w:rFonts w:ascii="Arial" w:eastAsia="Times New Roman" w:hAnsi="Arial" w:cs="Arial"/>
          <w:bCs/>
          <w:sz w:val="26"/>
          <w:szCs w:val="26"/>
          <w:lang w:val="es-ES_tradnl" w:eastAsia="es-ES"/>
        </w:rPr>
        <w:t xml:space="preserve">doce </w:t>
      </w:r>
      <w:r w:rsidR="00887780">
        <w:rPr>
          <w:rFonts w:ascii="Arial" w:eastAsia="Times New Roman" w:hAnsi="Arial" w:cs="Arial"/>
          <w:bCs/>
          <w:sz w:val="26"/>
          <w:szCs w:val="26"/>
          <w:lang w:val="es-ES_tradnl" w:eastAsia="es-ES"/>
        </w:rPr>
        <w:lastRenderedPageBreak/>
        <w:t>de febrero de dos mil diecinueve (12/02/2019</w:t>
      </w:r>
      <w:r w:rsidR="00144D47">
        <w:rPr>
          <w:rFonts w:ascii="Arial" w:eastAsia="Times New Roman" w:hAnsi="Arial" w:cs="Arial"/>
          <w:bCs/>
          <w:sz w:val="26"/>
          <w:szCs w:val="26"/>
          <w:lang w:val="es-ES_tradnl" w:eastAsia="es-ES"/>
        </w:rPr>
        <w:t xml:space="preserve">) dictada dentro del expediente administrativo </w:t>
      </w:r>
      <w:r w:rsidR="00144D47">
        <w:rPr>
          <w:rFonts w:ascii="Arial" w:hAnsi="Arial" w:cs="Arial"/>
          <w:b/>
          <w:sz w:val="26"/>
          <w:szCs w:val="26"/>
        </w:rPr>
        <w:t>ASE</w:t>
      </w:r>
      <w:r w:rsidR="00144D47" w:rsidRPr="006F6E97">
        <w:rPr>
          <w:rFonts w:ascii="Arial" w:hAnsi="Arial" w:cs="Arial"/>
          <w:b/>
          <w:sz w:val="26"/>
          <w:szCs w:val="26"/>
        </w:rPr>
        <w:t>/</w:t>
      </w:r>
      <w:r w:rsidR="00887780">
        <w:rPr>
          <w:rFonts w:ascii="Arial" w:hAnsi="Arial" w:cs="Arial"/>
          <w:b/>
          <w:sz w:val="26"/>
          <w:szCs w:val="26"/>
        </w:rPr>
        <w:t>UAJ/P.R./004/2016</w:t>
      </w:r>
      <w:r w:rsidR="00144D47">
        <w:rPr>
          <w:rFonts w:ascii="Arial" w:hAnsi="Arial" w:cs="Arial"/>
          <w:b/>
          <w:sz w:val="26"/>
          <w:szCs w:val="26"/>
        </w:rPr>
        <w:t xml:space="preserve"> </w:t>
      </w:r>
      <w:r w:rsidR="00144D47">
        <w:rPr>
          <w:rFonts w:ascii="Arial" w:hAnsi="Arial" w:cs="Arial"/>
          <w:sz w:val="26"/>
          <w:szCs w:val="26"/>
        </w:rPr>
        <w:t>del índice del entonces Órgano Superior de Fiscalización del Estado de Oaxaca ahora Auditoría Superior de Fiscalización del Estado de Oaxaca</w:t>
      </w:r>
      <w:r w:rsidR="00EF3E25" w:rsidRPr="00EE4752">
        <w:rPr>
          <w:rFonts w:ascii="Arial" w:hAnsi="Arial" w:cs="Arial"/>
          <w:bCs/>
          <w:spacing w:val="-3"/>
          <w:sz w:val="26"/>
          <w:szCs w:val="26"/>
          <w:lang w:val="es-ES_tradnl"/>
        </w:rPr>
        <w:t>,</w:t>
      </w:r>
      <w:r w:rsidR="00E8722C">
        <w:rPr>
          <w:rFonts w:ascii="Arial" w:hAnsi="Arial" w:cs="Arial"/>
          <w:bCs/>
          <w:spacing w:val="-3"/>
          <w:sz w:val="26"/>
          <w:szCs w:val="26"/>
          <w:lang w:val="es-ES_tradnl"/>
        </w:rPr>
        <w:t xml:space="preserve"> </w:t>
      </w:r>
      <w:r w:rsidR="00EF3E25" w:rsidRPr="00EE4752">
        <w:rPr>
          <w:rFonts w:ascii="Arial" w:hAnsi="Arial" w:cs="Arial"/>
          <w:bCs/>
          <w:spacing w:val="-3"/>
          <w:sz w:val="26"/>
          <w:szCs w:val="26"/>
          <w:lang w:val="es-ES_tradnl"/>
        </w:rPr>
        <w:t>de cuyo contenido demanda su contravención a lo dispuesto por l</w:t>
      </w:r>
      <w:r w:rsidR="00A27E25">
        <w:rPr>
          <w:rFonts w:ascii="Arial" w:hAnsi="Arial" w:cs="Arial"/>
          <w:bCs/>
          <w:spacing w:val="-3"/>
          <w:sz w:val="26"/>
          <w:szCs w:val="26"/>
          <w:lang w:val="es-ES_tradnl"/>
        </w:rPr>
        <w:t>os</w:t>
      </w:r>
      <w:r w:rsidR="00EF3E25" w:rsidRPr="00EE4752">
        <w:rPr>
          <w:rFonts w:ascii="Arial" w:hAnsi="Arial" w:cs="Arial"/>
          <w:bCs/>
          <w:spacing w:val="-3"/>
          <w:sz w:val="26"/>
          <w:szCs w:val="26"/>
          <w:lang w:val="es-ES_tradnl"/>
        </w:rPr>
        <w:t xml:space="preserve"> artículo</w:t>
      </w:r>
      <w:r w:rsidR="00A27E25">
        <w:rPr>
          <w:rFonts w:ascii="Arial" w:hAnsi="Arial" w:cs="Arial"/>
          <w:bCs/>
          <w:spacing w:val="-3"/>
          <w:sz w:val="26"/>
          <w:szCs w:val="26"/>
          <w:lang w:val="es-ES_tradnl"/>
        </w:rPr>
        <w:t>s</w:t>
      </w:r>
      <w:r w:rsidR="00EF3E25" w:rsidRPr="00EE4752">
        <w:rPr>
          <w:rFonts w:ascii="Arial" w:hAnsi="Arial" w:cs="Arial"/>
          <w:bCs/>
          <w:spacing w:val="-3"/>
          <w:sz w:val="26"/>
          <w:szCs w:val="26"/>
          <w:lang w:val="es-ES_tradnl"/>
        </w:rPr>
        <w:t xml:space="preserve"> </w:t>
      </w:r>
      <w:r w:rsidR="00A27E25">
        <w:rPr>
          <w:rFonts w:ascii="Arial" w:hAnsi="Arial" w:cs="Arial"/>
          <w:bCs/>
          <w:spacing w:val="-3"/>
          <w:sz w:val="26"/>
          <w:szCs w:val="26"/>
          <w:lang w:val="es-ES_tradnl"/>
        </w:rPr>
        <w:t xml:space="preserve">1, 14, 16 y 17 de la </w:t>
      </w:r>
      <w:r w:rsidR="00F17D36" w:rsidRPr="00F17D36">
        <w:rPr>
          <w:rFonts w:ascii="Arial" w:hAnsi="Arial" w:cs="Arial"/>
          <w:bCs/>
          <w:i/>
          <w:spacing w:val="-3"/>
          <w:sz w:val="26"/>
          <w:szCs w:val="26"/>
          <w:lang w:val="es-ES_tradnl"/>
        </w:rPr>
        <w:t>Constitución Federal</w:t>
      </w:r>
      <w:r w:rsidR="00EF3E25" w:rsidRPr="00EE4752">
        <w:rPr>
          <w:rFonts w:ascii="Arial" w:eastAsia="Times New Roman" w:hAnsi="Arial" w:cs="Arial"/>
          <w:bCs/>
          <w:spacing w:val="-3"/>
          <w:sz w:val="26"/>
          <w:szCs w:val="26"/>
          <w:lang w:val="es-ES_tradnl"/>
        </w:rPr>
        <w:t>.</w:t>
      </w:r>
      <w:r w:rsidR="00EF3E25" w:rsidRPr="00EE4752">
        <w:rPr>
          <w:rFonts w:ascii="Arial" w:hAnsi="Arial" w:cs="Arial"/>
          <w:bCs/>
          <w:spacing w:val="-3"/>
          <w:sz w:val="26"/>
          <w:szCs w:val="26"/>
          <w:lang w:val="es-ES_tradnl"/>
        </w:rPr>
        <w:t xml:space="preserve"> </w:t>
      </w:r>
    </w:p>
    <w:p w14:paraId="212E85C6" w14:textId="285E5BD3" w:rsidR="006D7956" w:rsidRDefault="00FC2EEB" w:rsidP="00227923">
      <w:pPr>
        <w:spacing w:line="360" w:lineRule="auto"/>
        <w:ind w:firstLine="567"/>
        <w:jc w:val="both"/>
        <w:rPr>
          <w:rFonts w:ascii="Arial" w:hAnsi="Arial" w:cs="Arial"/>
          <w:bCs/>
          <w:spacing w:val="-3"/>
          <w:sz w:val="26"/>
          <w:szCs w:val="26"/>
          <w:lang w:val="es-ES_tradnl"/>
        </w:rPr>
      </w:pPr>
      <w:bookmarkStart w:id="4" w:name="_Hlk142643296"/>
      <w:r>
        <w:rPr>
          <w:rFonts w:ascii="Arial" w:hAnsi="Arial" w:cs="Arial"/>
          <w:bCs/>
          <w:spacing w:val="-3"/>
          <w:sz w:val="26"/>
          <w:szCs w:val="26"/>
          <w:lang w:val="es-ES_tradnl"/>
        </w:rPr>
        <w:t>31</w:t>
      </w:r>
      <w:r w:rsidR="00247307">
        <w:rPr>
          <w:rFonts w:ascii="Arial" w:hAnsi="Arial" w:cs="Arial"/>
          <w:bCs/>
          <w:spacing w:val="-3"/>
          <w:sz w:val="26"/>
          <w:szCs w:val="26"/>
          <w:lang w:val="es-ES_tradnl"/>
        </w:rPr>
        <w:t xml:space="preserve">. </w:t>
      </w:r>
      <w:r w:rsidR="005D444A" w:rsidRPr="006D7956">
        <w:rPr>
          <w:rFonts w:ascii="Arial" w:hAnsi="Arial" w:cs="Arial"/>
          <w:bCs/>
          <w:spacing w:val="-3"/>
          <w:sz w:val="26"/>
          <w:szCs w:val="26"/>
          <w:lang w:val="es-ES_tradnl"/>
        </w:rPr>
        <w:t xml:space="preserve">Por su parte la autoridad demandada manifiesta que el actor </w:t>
      </w:r>
      <w:r w:rsidR="004B101E">
        <w:rPr>
          <w:rFonts w:ascii="Arial" w:hAnsi="Arial" w:cs="Arial"/>
          <w:bCs/>
          <w:spacing w:val="-3"/>
          <w:sz w:val="26"/>
          <w:szCs w:val="26"/>
          <w:lang w:val="es-ES_tradnl"/>
        </w:rPr>
        <w:t>incurrió</w:t>
      </w:r>
      <w:r w:rsidR="00A27E25">
        <w:rPr>
          <w:rFonts w:ascii="Arial" w:hAnsi="Arial" w:cs="Arial"/>
          <w:bCs/>
          <w:spacing w:val="-3"/>
          <w:sz w:val="26"/>
          <w:szCs w:val="26"/>
          <w:lang w:val="es-ES_tradnl"/>
        </w:rPr>
        <w:t xml:space="preserve"> </w:t>
      </w:r>
      <w:r w:rsidR="000857E9">
        <w:rPr>
          <w:rFonts w:ascii="Arial" w:hAnsi="Arial" w:cs="Arial"/>
          <w:bCs/>
          <w:spacing w:val="-3"/>
          <w:sz w:val="26"/>
          <w:szCs w:val="26"/>
          <w:lang w:val="es-ES_tradnl"/>
        </w:rPr>
        <w:t>en responsabilidad administrativa resarcitoria, derivado de los daños causados a la hacienda pública municipal de Valerio Trujano, Distrito de Cuicatlán, Oaxaca, durante el ejercicio fiscal dos mil trece, temporalidad en la que fungió como Presidente Municipal de la referida municipalidad</w:t>
      </w:r>
      <w:r w:rsidR="008E5A51">
        <w:rPr>
          <w:rFonts w:ascii="Arial" w:hAnsi="Arial" w:cs="Arial"/>
          <w:bCs/>
          <w:spacing w:val="-3"/>
          <w:sz w:val="26"/>
          <w:szCs w:val="26"/>
          <w:lang w:val="es-ES_tradnl"/>
        </w:rPr>
        <w:t xml:space="preserve">, y que fue legalmente notificado del contenido de la </w:t>
      </w:r>
      <w:r w:rsidR="000857E9">
        <w:rPr>
          <w:rFonts w:ascii="Arial" w:hAnsi="Arial" w:cs="Arial"/>
          <w:bCs/>
          <w:spacing w:val="-3"/>
          <w:sz w:val="26"/>
          <w:szCs w:val="26"/>
          <w:lang w:val="es-ES_tradnl"/>
        </w:rPr>
        <w:t>resolución de doce de febrero de dos mil diecinueve (12/02/2019)</w:t>
      </w:r>
      <w:r w:rsidR="008E5A51">
        <w:rPr>
          <w:rFonts w:ascii="Arial" w:hAnsi="Arial" w:cs="Arial"/>
          <w:bCs/>
          <w:spacing w:val="-3"/>
          <w:sz w:val="26"/>
          <w:szCs w:val="26"/>
          <w:lang w:val="es-ES_tradnl"/>
        </w:rPr>
        <w:t xml:space="preserve">, dictada por el Titular de la </w:t>
      </w:r>
      <w:r w:rsidR="000857E9">
        <w:rPr>
          <w:rFonts w:ascii="Arial" w:hAnsi="Arial" w:cs="Arial"/>
          <w:bCs/>
          <w:spacing w:val="-3"/>
          <w:sz w:val="26"/>
          <w:szCs w:val="26"/>
          <w:lang w:val="es-ES_tradnl"/>
        </w:rPr>
        <w:t>Unidad de Asuntos Jurídicos del Órgano Superior de Fiscalización del Estado de Oaxaca</w:t>
      </w:r>
      <w:r w:rsidR="008E5A51">
        <w:rPr>
          <w:rFonts w:ascii="Arial" w:hAnsi="Arial" w:cs="Arial"/>
          <w:bCs/>
          <w:spacing w:val="-3"/>
          <w:sz w:val="26"/>
          <w:szCs w:val="26"/>
          <w:lang w:val="es-ES_tradnl"/>
        </w:rPr>
        <w:t xml:space="preserve">, dentro del expediente </w:t>
      </w:r>
      <w:r w:rsidR="002A4A0C">
        <w:rPr>
          <w:rFonts w:ascii="Arial" w:hAnsi="Arial" w:cs="Arial"/>
          <w:b/>
          <w:bCs/>
          <w:spacing w:val="-3"/>
          <w:sz w:val="26"/>
          <w:szCs w:val="26"/>
          <w:lang w:val="es-ES_tradnl"/>
        </w:rPr>
        <w:t>ASE/UAJ/P.R./004/2016</w:t>
      </w:r>
      <w:r w:rsidR="00B810CD">
        <w:rPr>
          <w:rFonts w:ascii="Arial" w:hAnsi="Arial" w:cs="Arial"/>
          <w:bCs/>
          <w:spacing w:val="-3"/>
          <w:sz w:val="26"/>
          <w:szCs w:val="26"/>
          <w:lang w:val="es-ES_tradnl"/>
        </w:rPr>
        <w:t>.</w:t>
      </w:r>
    </w:p>
    <w:bookmarkEnd w:id="4"/>
    <w:p w14:paraId="544257AA" w14:textId="56FF9A59" w:rsidR="00854937" w:rsidRPr="00EE4752" w:rsidRDefault="00D30457" w:rsidP="00227923">
      <w:pPr>
        <w:spacing w:line="360" w:lineRule="auto"/>
        <w:ind w:firstLine="567"/>
        <w:jc w:val="both"/>
        <w:rPr>
          <w:rFonts w:ascii="Arial" w:hAnsi="Arial" w:cs="Arial"/>
          <w:b/>
          <w:bCs/>
          <w:snapToGrid w:val="0"/>
          <w:sz w:val="26"/>
          <w:szCs w:val="26"/>
        </w:rPr>
      </w:pPr>
      <w:r>
        <w:rPr>
          <w:rFonts w:ascii="Arial" w:hAnsi="Arial" w:cs="Arial"/>
          <w:b/>
          <w:bCs/>
          <w:snapToGrid w:val="0"/>
          <w:sz w:val="26"/>
          <w:szCs w:val="26"/>
        </w:rPr>
        <w:t>O</w:t>
      </w:r>
      <w:r w:rsidR="00BC04EA">
        <w:rPr>
          <w:rFonts w:ascii="Arial" w:hAnsi="Arial" w:cs="Arial"/>
          <w:b/>
          <w:bCs/>
          <w:snapToGrid w:val="0"/>
          <w:sz w:val="26"/>
          <w:szCs w:val="26"/>
        </w:rPr>
        <w:t>CTAVO</w:t>
      </w:r>
      <w:r w:rsidR="00EF3E25" w:rsidRPr="00EE4752">
        <w:rPr>
          <w:rFonts w:ascii="Arial" w:hAnsi="Arial" w:cs="Arial"/>
          <w:b/>
          <w:bCs/>
          <w:snapToGrid w:val="0"/>
          <w:sz w:val="26"/>
          <w:szCs w:val="26"/>
        </w:rPr>
        <w:t xml:space="preserve">. </w:t>
      </w:r>
      <w:r w:rsidR="00396F45" w:rsidRPr="00EE4752">
        <w:rPr>
          <w:rFonts w:ascii="Arial" w:hAnsi="Arial" w:cs="Arial"/>
          <w:b/>
          <w:bCs/>
          <w:snapToGrid w:val="0"/>
          <w:sz w:val="26"/>
          <w:szCs w:val="26"/>
        </w:rPr>
        <w:t xml:space="preserve">TRANSCRIPCIÓN INNECESARIA. </w:t>
      </w:r>
    </w:p>
    <w:p w14:paraId="4FBFCC02" w14:textId="5B088B60" w:rsidR="008D49F2" w:rsidRDefault="00FC2EEB" w:rsidP="00227923">
      <w:pPr>
        <w:spacing w:before="240" w:line="360" w:lineRule="auto"/>
        <w:ind w:firstLine="708"/>
        <w:jc w:val="both"/>
        <w:rPr>
          <w:rFonts w:ascii="Arial" w:hAnsi="Arial" w:cs="Arial"/>
          <w:sz w:val="26"/>
          <w:szCs w:val="26"/>
        </w:rPr>
      </w:pPr>
      <w:r>
        <w:rPr>
          <w:rFonts w:ascii="Arial" w:hAnsi="Arial" w:cs="Arial"/>
          <w:sz w:val="26"/>
          <w:szCs w:val="26"/>
        </w:rPr>
        <w:t>32</w:t>
      </w:r>
      <w:r w:rsidR="00247307">
        <w:rPr>
          <w:rFonts w:ascii="Arial" w:hAnsi="Arial" w:cs="Arial"/>
          <w:sz w:val="26"/>
          <w:szCs w:val="26"/>
        </w:rPr>
        <w:t xml:space="preserve">. </w:t>
      </w:r>
      <w:r w:rsidR="008D49F2" w:rsidRPr="00EE4752">
        <w:rPr>
          <w:rFonts w:ascii="Arial" w:hAnsi="Arial" w:cs="Arial"/>
          <w:sz w:val="26"/>
          <w:szCs w:val="26"/>
        </w:rPr>
        <w:t xml:space="preserve">Los conceptos de impugnación hechos valer se encuentran expuestos en el escrito de demanda del accionante, por lo que no existe necesidad de transcribirlos, al no transgredirse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w:t>
      </w:r>
      <w:proofErr w:type="gramStart"/>
      <w:r w:rsidR="008D49F2" w:rsidRPr="00EE4752">
        <w:rPr>
          <w:rFonts w:ascii="Arial" w:hAnsi="Arial" w:cs="Arial"/>
          <w:sz w:val="26"/>
          <w:szCs w:val="26"/>
        </w:rPr>
        <w:t>Mayo</w:t>
      </w:r>
      <w:proofErr w:type="gramEnd"/>
      <w:r w:rsidR="008D49F2" w:rsidRPr="00EE4752">
        <w:rPr>
          <w:rFonts w:ascii="Arial" w:hAnsi="Arial" w:cs="Arial"/>
          <w:sz w:val="26"/>
          <w:szCs w:val="26"/>
        </w:rPr>
        <w:t xml:space="preserve"> de 2010, página 830, Materia Común, de rubro y texto siguientes:</w:t>
      </w:r>
    </w:p>
    <w:p w14:paraId="0C0252E7" w14:textId="05F7DAA1" w:rsidR="008D49F2" w:rsidRDefault="008D49F2" w:rsidP="00247307">
      <w:pPr>
        <w:spacing w:line="360" w:lineRule="auto"/>
        <w:ind w:left="709" w:right="757"/>
        <w:jc w:val="both"/>
        <w:rPr>
          <w:rFonts w:ascii="Arial" w:hAnsi="Arial" w:cs="Arial"/>
          <w:b/>
          <w:i/>
          <w:sz w:val="16"/>
          <w:szCs w:val="16"/>
        </w:rPr>
      </w:pPr>
      <w:r w:rsidRPr="00EE4752">
        <w:rPr>
          <w:rFonts w:ascii="Arial" w:hAnsi="Arial" w:cs="Arial"/>
          <w:sz w:val="26"/>
          <w:szCs w:val="26"/>
        </w:rPr>
        <w:t>“</w:t>
      </w:r>
      <w:r w:rsidRPr="00EE4752">
        <w:rPr>
          <w:rFonts w:ascii="Arial" w:hAnsi="Arial" w:cs="Arial"/>
          <w:b/>
          <w:i/>
        </w:rPr>
        <w:t>CONCEPTOS DE VIOLACIÓN O AGRAVIOS. PARA CUMPLIR CON LOS PRINCIPIOS DE CONGRUENCIA Y EXHAUSTIVIDAD EN LAS SENTENCIAS DE AMPARO ES INNECESARIA SU TRANSCRIPCIÓN.</w:t>
      </w:r>
      <w:r w:rsidR="00B810CD">
        <w:rPr>
          <w:rFonts w:ascii="Arial" w:hAnsi="Arial" w:cs="Arial"/>
          <w:b/>
          <w:i/>
        </w:rPr>
        <w:t xml:space="preserve"> </w:t>
      </w:r>
      <w:r w:rsidR="00B810CD" w:rsidRPr="00B810CD">
        <w:rPr>
          <w:rFonts w:ascii="Arial" w:hAnsi="Arial" w:cs="Arial"/>
          <w:i/>
          <w:snapToGrid w:val="0"/>
          <w:szCs w:val="26"/>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w:t>
      </w:r>
      <w:r w:rsidR="00B810CD" w:rsidRPr="00B810CD">
        <w:rPr>
          <w:rFonts w:ascii="Arial" w:hAnsi="Arial" w:cs="Arial"/>
          <w:i/>
          <w:snapToGrid w:val="0"/>
          <w:szCs w:val="26"/>
        </w:rPr>
        <w:lastRenderedPageBreak/>
        <w:t>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E4752">
        <w:rPr>
          <w:rFonts w:ascii="Arial" w:hAnsi="Arial" w:cs="Arial"/>
          <w:b/>
          <w:i/>
          <w:sz w:val="16"/>
          <w:szCs w:val="16"/>
        </w:rPr>
        <w:t>”</w:t>
      </w:r>
      <w:r w:rsidRPr="00EE4752">
        <w:rPr>
          <w:rFonts w:ascii="Arial" w:hAnsi="Arial" w:cs="Arial"/>
          <w:b/>
          <w:i/>
          <w:sz w:val="16"/>
          <w:szCs w:val="16"/>
        </w:rPr>
        <w:footnoteReference w:id="10"/>
      </w:r>
    </w:p>
    <w:p w14:paraId="55E509E3" w14:textId="1783FCB0" w:rsidR="008D49F2" w:rsidRDefault="00BC04EA" w:rsidP="00227923">
      <w:pPr>
        <w:spacing w:line="360" w:lineRule="auto"/>
        <w:ind w:firstLine="567"/>
        <w:jc w:val="both"/>
        <w:rPr>
          <w:rFonts w:ascii="Arial" w:hAnsi="Arial" w:cs="Arial"/>
          <w:b/>
          <w:sz w:val="26"/>
          <w:szCs w:val="26"/>
        </w:rPr>
      </w:pPr>
      <w:r>
        <w:rPr>
          <w:rFonts w:ascii="Arial" w:hAnsi="Arial" w:cs="Arial"/>
          <w:b/>
          <w:snapToGrid w:val="0"/>
          <w:sz w:val="26"/>
          <w:szCs w:val="26"/>
        </w:rPr>
        <w:t>NOVEN</w:t>
      </w:r>
      <w:r w:rsidR="00D30457">
        <w:rPr>
          <w:rFonts w:ascii="Arial" w:hAnsi="Arial" w:cs="Arial"/>
          <w:b/>
          <w:snapToGrid w:val="0"/>
          <w:sz w:val="26"/>
          <w:szCs w:val="26"/>
        </w:rPr>
        <w:t>O</w:t>
      </w:r>
      <w:r w:rsidR="008D49F2" w:rsidRPr="00EE4752">
        <w:rPr>
          <w:rFonts w:ascii="Arial" w:hAnsi="Arial" w:cs="Arial"/>
          <w:b/>
          <w:sz w:val="26"/>
          <w:szCs w:val="26"/>
        </w:rPr>
        <w:t>. ESTUDIO.</w:t>
      </w:r>
    </w:p>
    <w:p w14:paraId="2F2FE976" w14:textId="57458A1F" w:rsidR="00D30457" w:rsidRPr="00EE4752" w:rsidRDefault="00FC2EEB" w:rsidP="00D30457">
      <w:pPr>
        <w:spacing w:line="360" w:lineRule="auto"/>
        <w:ind w:firstLine="567"/>
        <w:jc w:val="both"/>
        <w:rPr>
          <w:rFonts w:ascii="Arial" w:hAnsi="Arial" w:cs="Arial"/>
          <w:bCs/>
          <w:snapToGrid w:val="0"/>
          <w:sz w:val="26"/>
          <w:szCs w:val="26"/>
        </w:rPr>
      </w:pPr>
      <w:r>
        <w:rPr>
          <w:rFonts w:ascii="Arial" w:hAnsi="Arial" w:cs="Arial"/>
          <w:bCs/>
          <w:snapToGrid w:val="0"/>
          <w:sz w:val="26"/>
          <w:szCs w:val="26"/>
        </w:rPr>
        <w:t>33</w:t>
      </w:r>
      <w:r w:rsidR="00247307">
        <w:rPr>
          <w:rFonts w:ascii="Arial" w:hAnsi="Arial" w:cs="Arial"/>
          <w:bCs/>
          <w:snapToGrid w:val="0"/>
          <w:sz w:val="26"/>
          <w:szCs w:val="26"/>
        </w:rPr>
        <w:t xml:space="preserve">. </w:t>
      </w:r>
      <w:r w:rsidR="00D30457" w:rsidRPr="00EE4752">
        <w:rPr>
          <w:rFonts w:ascii="Arial" w:hAnsi="Arial" w:cs="Arial"/>
          <w:bCs/>
          <w:snapToGrid w:val="0"/>
          <w:sz w:val="26"/>
          <w:szCs w:val="26"/>
        </w:rPr>
        <w:t>El análisis de las constancias de autos y en particular del acto administrativo impugnado, a la luz de los conceptos de impugnación formulados en su contra, conduce a las consideraciones siguientes:</w:t>
      </w:r>
    </w:p>
    <w:p w14:paraId="5C1C2B3B" w14:textId="77777777" w:rsidR="00D30457" w:rsidRPr="00EE4752" w:rsidRDefault="00D30457" w:rsidP="00D30457">
      <w:pPr>
        <w:pStyle w:val="Prrafodelista"/>
        <w:spacing w:line="360" w:lineRule="auto"/>
        <w:ind w:left="1287"/>
        <w:jc w:val="both"/>
        <w:rPr>
          <w:rFonts w:ascii="Arial" w:hAnsi="Arial" w:cs="Arial"/>
          <w:b/>
          <w:bCs/>
          <w:snapToGrid w:val="0"/>
          <w:sz w:val="26"/>
          <w:szCs w:val="26"/>
        </w:rPr>
      </w:pPr>
      <w:r w:rsidRPr="00EE4752">
        <w:rPr>
          <w:rFonts w:ascii="Arial" w:hAnsi="Arial" w:cs="Arial"/>
          <w:b/>
          <w:bCs/>
          <w:snapToGrid w:val="0"/>
          <w:sz w:val="26"/>
          <w:szCs w:val="26"/>
        </w:rPr>
        <w:t>I. Forma de estudio de los conceptos de impugnación.</w:t>
      </w:r>
    </w:p>
    <w:p w14:paraId="335949E7" w14:textId="423EE23F" w:rsidR="003C501A" w:rsidRPr="00EE4752" w:rsidRDefault="009A355A" w:rsidP="00227923">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3</w:t>
      </w:r>
      <w:r w:rsidR="00FC2EEB">
        <w:rPr>
          <w:rFonts w:ascii="Arial" w:eastAsia="Calibri" w:hAnsi="Arial" w:cs="Arial"/>
          <w:bCs/>
          <w:sz w:val="26"/>
          <w:szCs w:val="26"/>
          <w:lang w:val="es-ES"/>
        </w:rPr>
        <w:t>4</w:t>
      </w:r>
      <w:r w:rsidR="00247307">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Por razón de método, los conceptos de impugnación no necesariamente deben ser estudiados en la forma propuesta, sin que ello irrogue perjuicio a la parte actora, siempre y cuando esta juzgadora se ocupe de todos los motivos de disenso, esto es, que no omita estudiar alguno, y al analizar éstos, se resolverá sobre la existencia de causales de improcedencia, o en su caso, se estudiará y resolverá sobre el fondo de los mismos. </w:t>
      </w:r>
    </w:p>
    <w:p w14:paraId="037504C7" w14:textId="59A5FDAA" w:rsidR="003C501A" w:rsidRPr="00EE4752" w:rsidRDefault="009A355A" w:rsidP="00227923">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3</w:t>
      </w:r>
      <w:r w:rsidR="00FC2EEB">
        <w:rPr>
          <w:rFonts w:ascii="Arial" w:eastAsia="Calibri" w:hAnsi="Arial" w:cs="Arial"/>
          <w:bCs/>
          <w:sz w:val="26"/>
          <w:szCs w:val="26"/>
          <w:lang w:val="es-ES"/>
        </w:rPr>
        <w:t>5</w:t>
      </w:r>
      <w:r w:rsidR="00247307">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Lo anterior se sustenta en </w:t>
      </w:r>
      <w:r w:rsidR="003C501A" w:rsidRPr="00EE4752">
        <w:rPr>
          <w:rFonts w:ascii="Arial" w:eastAsia="Calibri" w:hAnsi="Arial" w:cs="Arial"/>
          <w:bCs/>
          <w:sz w:val="26"/>
          <w:szCs w:val="26"/>
        </w:rPr>
        <w:t xml:space="preserve">la Jurisprudencia (IV Región) 2o. J/5 (10a.), con número de Registro 2011406, emitida por los Tribunales Colegiados de Circuito en la Décima Época, visible en la Gaceta del Semanario Judicial de la Federación, Tomo III, </w:t>
      </w:r>
      <w:proofErr w:type="gramStart"/>
      <w:r w:rsidR="003C501A" w:rsidRPr="00EE4752">
        <w:rPr>
          <w:rFonts w:ascii="Arial" w:eastAsia="Calibri" w:hAnsi="Arial" w:cs="Arial"/>
          <w:bCs/>
          <w:sz w:val="26"/>
          <w:szCs w:val="26"/>
        </w:rPr>
        <w:t>Abril</w:t>
      </w:r>
      <w:proofErr w:type="gramEnd"/>
      <w:r w:rsidR="003C501A" w:rsidRPr="00EE4752">
        <w:rPr>
          <w:rFonts w:ascii="Arial" w:eastAsia="Calibri" w:hAnsi="Arial" w:cs="Arial"/>
          <w:bCs/>
          <w:sz w:val="26"/>
          <w:szCs w:val="26"/>
        </w:rPr>
        <w:t xml:space="preserve"> de 2016, Página 2018, Materia Común, de rubro siguiente:</w:t>
      </w:r>
    </w:p>
    <w:p w14:paraId="3B450250" w14:textId="77777777" w:rsidR="003C501A" w:rsidRPr="00EE4752" w:rsidRDefault="003C501A" w:rsidP="00227923">
      <w:pPr>
        <w:pStyle w:val="NormalWeb"/>
        <w:shd w:val="clear" w:color="auto" w:fill="FFFFFF"/>
        <w:spacing w:line="360" w:lineRule="auto"/>
        <w:ind w:left="709" w:right="1324"/>
        <w:jc w:val="both"/>
        <w:rPr>
          <w:rFonts w:ascii="Arial" w:hAnsi="Arial" w:cs="Arial"/>
          <w:b/>
          <w:bCs/>
          <w:i/>
          <w:sz w:val="22"/>
          <w:szCs w:val="22"/>
        </w:rPr>
      </w:pPr>
      <w:r w:rsidRPr="00EE4752">
        <w:rPr>
          <w:rFonts w:ascii="Arial" w:hAnsi="Arial" w:cs="Arial"/>
          <w:b/>
          <w:bCs/>
          <w:i/>
          <w:sz w:val="22"/>
          <w:szCs w:val="22"/>
        </w:rPr>
        <w:t>“CONCEPTOS DE VIOLACIÓN O AGRAVIOS. PROCEDE SU ANÁLISIS DE MANERA INDIVIDUAL, CONJUNTA O POR GRUPOS Y EN EL ORDEN PROPUESTO O EN UNO DIVERSO.”</w:t>
      </w:r>
      <w:r w:rsidRPr="00EE4752">
        <w:rPr>
          <w:rStyle w:val="Refdenotaalpie"/>
          <w:rFonts w:ascii="Arial" w:hAnsi="Arial" w:cs="Arial"/>
          <w:b/>
          <w:bCs/>
          <w:i/>
          <w:sz w:val="22"/>
          <w:szCs w:val="22"/>
        </w:rPr>
        <w:footnoteReference w:id="11"/>
      </w:r>
    </w:p>
    <w:p w14:paraId="61767D7E" w14:textId="77777777" w:rsidR="003C501A" w:rsidRPr="00EE4752" w:rsidRDefault="003C501A" w:rsidP="00227923">
      <w:pPr>
        <w:pStyle w:val="Prrafodelista"/>
        <w:spacing w:line="360" w:lineRule="auto"/>
        <w:ind w:left="1287"/>
        <w:jc w:val="both"/>
        <w:rPr>
          <w:rFonts w:ascii="Arial" w:hAnsi="Arial" w:cs="Arial"/>
          <w:b/>
          <w:bCs/>
          <w:snapToGrid w:val="0"/>
          <w:sz w:val="26"/>
          <w:szCs w:val="26"/>
        </w:rPr>
      </w:pPr>
      <w:r w:rsidRPr="00EE4752">
        <w:rPr>
          <w:rFonts w:ascii="Arial" w:hAnsi="Arial" w:cs="Arial"/>
          <w:b/>
          <w:bCs/>
          <w:snapToGrid w:val="0"/>
          <w:sz w:val="26"/>
          <w:szCs w:val="26"/>
        </w:rPr>
        <w:lastRenderedPageBreak/>
        <w:t xml:space="preserve">II. Estricto derecho. </w:t>
      </w:r>
    </w:p>
    <w:p w14:paraId="746778AB" w14:textId="105D8BD2" w:rsidR="003C501A" w:rsidRDefault="009A355A"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w:t>
      </w:r>
      <w:r w:rsidR="00FC2EEB">
        <w:rPr>
          <w:rFonts w:ascii="Arial" w:hAnsi="Arial" w:cs="Arial"/>
          <w:bCs/>
          <w:snapToGrid w:val="0"/>
          <w:sz w:val="26"/>
          <w:szCs w:val="26"/>
        </w:rPr>
        <w:t>6</w:t>
      </w:r>
      <w:r w:rsidR="00247307">
        <w:rPr>
          <w:rFonts w:ascii="Arial" w:hAnsi="Arial" w:cs="Arial"/>
          <w:bCs/>
          <w:snapToGrid w:val="0"/>
          <w:sz w:val="26"/>
          <w:szCs w:val="26"/>
        </w:rPr>
        <w:t xml:space="preserve">. </w:t>
      </w:r>
      <w:r w:rsidR="003C501A" w:rsidRPr="00EE4752">
        <w:rPr>
          <w:rFonts w:ascii="Arial" w:hAnsi="Arial" w:cs="Arial"/>
          <w:bCs/>
          <w:snapToGrid w:val="0"/>
          <w:sz w:val="26"/>
          <w:szCs w:val="26"/>
        </w:rPr>
        <w:t>Se procede</w:t>
      </w:r>
      <w:r w:rsidR="003C501A">
        <w:rPr>
          <w:rFonts w:ascii="Arial" w:hAnsi="Arial" w:cs="Arial"/>
          <w:bCs/>
          <w:snapToGrid w:val="0"/>
          <w:sz w:val="26"/>
          <w:szCs w:val="26"/>
        </w:rPr>
        <w:t>rá</w:t>
      </w:r>
      <w:r w:rsidR="003C501A" w:rsidRPr="00EE4752">
        <w:rPr>
          <w:rFonts w:ascii="Arial" w:hAnsi="Arial" w:cs="Arial"/>
          <w:bCs/>
          <w:snapToGrid w:val="0"/>
          <w:sz w:val="26"/>
          <w:szCs w:val="26"/>
        </w:rPr>
        <w:t xml:space="preserve"> al estudio de los conceptos de impugnación hechos valer por el actor</w:t>
      </w:r>
      <w:r w:rsidR="008E5A51">
        <w:rPr>
          <w:rFonts w:ascii="Arial" w:hAnsi="Arial" w:cs="Arial"/>
          <w:bCs/>
          <w:snapToGrid w:val="0"/>
          <w:sz w:val="26"/>
          <w:szCs w:val="26"/>
        </w:rPr>
        <w:t>, en relación con las</w:t>
      </w:r>
      <w:r w:rsidR="003C501A">
        <w:rPr>
          <w:rFonts w:ascii="Arial" w:hAnsi="Arial" w:cs="Arial"/>
          <w:bCs/>
          <w:snapToGrid w:val="0"/>
          <w:sz w:val="26"/>
          <w:szCs w:val="26"/>
        </w:rPr>
        <w:t xml:space="preserve"> constancias de notificación de la resolución de fecha </w:t>
      </w:r>
      <w:r w:rsidR="004F7A31">
        <w:rPr>
          <w:rFonts w:ascii="Arial" w:hAnsi="Arial" w:cs="Arial"/>
          <w:bCs/>
          <w:snapToGrid w:val="0"/>
          <w:sz w:val="26"/>
          <w:szCs w:val="26"/>
        </w:rPr>
        <w:t>doce de febrero de dos mil diecinueve (12/02/2019</w:t>
      </w:r>
      <w:r w:rsidR="003C501A">
        <w:rPr>
          <w:rFonts w:ascii="Arial" w:hAnsi="Arial" w:cs="Arial"/>
          <w:bCs/>
          <w:snapToGrid w:val="0"/>
          <w:sz w:val="26"/>
          <w:szCs w:val="26"/>
        </w:rPr>
        <w:t xml:space="preserve">), dictada por el Titular de la </w:t>
      </w:r>
      <w:r w:rsidR="004F7A31">
        <w:rPr>
          <w:rFonts w:ascii="Arial" w:hAnsi="Arial" w:cs="Arial"/>
          <w:bCs/>
          <w:snapToGrid w:val="0"/>
          <w:sz w:val="26"/>
          <w:szCs w:val="26"/>
        </w:rPr>
        <w:t>Unidad de Asuntos Jurídicos del entonces Órgano Superior de Fiscalización del Estado de Oaxaca</w:t>
      </w:r>
      <w:r w:rsidR="003C501A">
        <w:rPr>
          <w:rFonts w:ascii="Arial" w:hAnsi="Arial" w:cs="Arial"/>
          <w:bCs/>
          <w:snapToGrid w:val="0"/>
          <w:sz w:val="26"/>
          <w:szCs w:val="26"/>
        </w:rPr>
        <w:t xml:space="preserve"> dentro del expediente </w:t>
      </w:r>
      <w:r w:rsidR="004F7A31">
        <w:rPr>
          <w:rFonts w:ascii="Arial" w:hAnsi="Arial" w:cs="Arial"/>
          <w:bCs/>
          <w:snapToGrid w:val="0"/>
          <w:sz w:val="26"/>
          <w:szCs w:val="26"/>
        </w:rPr>
        <w:t>relativo al Procedimiento para el Fincamiento de Responsabilidad Administrativa Resarcitoria</w:t>
      </w:r>
      <w:r w:rsidR="003C501A">
        <w:rPr>
          <w:rFonts w:ascii="Arial" w:hAnsi="Arial" w:cs="Arial"/>
          <w:bCs/>
          <w:snapToGrid w:val="0"/>
          <w:sz w:val="26"/>
          <w:szCs w:val="26"/>
        </w:rPr>
        <w:t xml:space="preserve"> </w:t>
      </w:r>
      <w:r w:rsidR="003C501A" w:rsidRPr="003C501A">
        <w:rPr>
          <w:rFonts w:ascii="Arial" w:hAnsi="Arial" w:cs="Arial"/>
          <w:b/>
          <w:bCs/>
          <w:snapToGrid w:val="0"/>
          <w:sz w:val="26"/>
          <w:szCs w:val="26"/>
        </w:rPr>
        <w:t>ASE/UAJ/</w:t>
      </w:r>
      <w:r w:rsidR="004F7A31">
        <w:rPr>
          <w:rFonts w:ascii="Arial" w:hAnsi="Arial" w:cs="Arial"/>
          <w:b/>
          <w:bCs/>
          <w:snapToGrid w:val="0"/>
          <w:sz w:val="26"/>
          <w:szCs w:val="26"/>
        </w:rPr>
        <w:t>P.R./004/201</w:t>
      </w:r>
      <w:r w:rsidR="004D7A9C">
        <w:rPr>
          <w:rFonts w:ascii="Arial" w:hAnsi="Arial" w:cs="Arial"/>
          <w:b/>
          <w:bCs/>
          <w:snapToGrid w:val="0"/>
          <w:sz w:val="26"/>
          <w:szCs w:val="26"/>
        </w:rPr>
        <w:t>6</w:t>
      </w:r>
      <w:r w:rsidR="003C501A">
        <w:rPr>
          <w:rFonts w:ascii="Arial" w:hAnsi="Arial" w:cs="Arial"/>
          <w:bCs/>
          <w:snapToGrid w:val="0"/>
          <w:sz w:val="26"/>
          <w:szCs w:val="26"/>
        </w:rPr>
        <w:t xml:space="preserve">, </w:t>
      </w:r>
      <w:r w:rsidR="00CC7A42">
        <w:rPr>
          <w:rFonts w:ascii="Arial" w:hAnsi="Arial" w:cs="Arial"/>
          <w:bCs/>
          <w:snapToGrid w:val="0"/>
          <w:sz w:val="26"/>
          <w:szCs w:val="26"/>
        </w:rPr>
        <w:t xml:space="preserve">y en su oportunidad, también </w:t>
      </w:r>
      <w:r w:rsidR="003C501A">
        <w:rPr>
          <w:rFonts w:ascii="Arial" w:hAnsi="Arial" w:cs="Arial"/>
          <w:bCs/>
          <w:snapToGrid w:val="0"/>
          <w:sz w:val="26"/>
          <w:szCs w:val="26"/>
        </w:rPr>
        <w:t>de la resolución misma.</w:t>
      </w:r>
    </w:p>
    <w:p w14:paraId="2584D66F" w14:textId="38D7A5A6" w:rsidR="00744CA8" w:rsidRDefault="00FC2EEB" w:rsidP="00CC7A42">
      <w:pPr>
        <w:spacing w:line="360" w:lineRule="auto"/>
        <w:ind w:right="51" w:firstLine="567"/>
        <w:jc w:val="both"/>
        <w:rPr>
          <w:rFonts w:ascii="Arial" w:hAnsi="Arial" w:cs="Arial"/>
          <w:bCs/>
          <w:snapToGrid w:val="0"/>
          <w:sz w:val="26"/>
          <w:szCs w:val="26"/>
        </w:rPr>
      </w:pPr>
      <w:r>
        <w:rPr>
          <w:rFonts w:ascii="Arial" w:eastAsia="Times New Roman" w:hAnsi="Arial" w:cs="Arial"/>
          <w:sz w:val="26"/>
          <w:szCs w:val="26"/>
        </w:rPr>
        <w:t>37</w:t>
      </w:r>
      <w:r w:rsidR="00247307">
        <w:rPr>
          <w:rFonts w:ascii="Arial" w:eastAsia="Times New Roman" w:hAnsi="Arial" w:cs="Arial"/>
          <w:sz w:val="26"/>
          <w:szCs w:val="26"/>
        </w:rPr>
        <w:t xml:space="preserve">. </w:t>
      </w:r>
      <w:r w:rsidR="00CC7A42">
        <w:rPr>
          <w:rFonts w:ascii="Arial" w:eastAsia="Times New Roman" w:hAnsi="Arial" w:cs="Arial"/>
          <w:sz w:val="26"/>
          <w:szCs w:val="26"/>
        </w:rPr>
        <w:t xml:space="preserve">Ahora bien, manifiesta el inconforme en su escrito de demanda y ampliación de demanda, que la resolución dictada dentro del </w:t>
      </w:r>
      <w:r w:rsidR="00BD124E">
        <w:rPr>
          <w:rFonts w:ascii="Arial" w:hAnsi="Arial" w:cs="Arial"/>
          <w:bCs/>
          <w:snapToGrid w:val="0"/>
          <w:sz w:val="26"/>
          <w:szCs w:val="26"/>
        </w:rPr>
        <w:t xml:space="preserve">expediente relativo al Procedimiento para el Fincamiento de Responsabilidad Administrativa Resarcitoria </w:t>
      </w:r>
      <w:r w:rsidR="00BD124E" w:rsidRPr="003C501A">
        <w:rPr>
          <w:rFonts w:ascii="Arial" w:hAnsi="Arial" w:cs="Arial"/>
          <w:b/>
          <w:bCs/>
          <w:snapToGrid w:val="0"/>
          <w:sz w:val="26"/>
          <w:szCs w:val="26"/>
        </w:rPr>
        <w:t>ASE/UAJ/</w:t>
      </w:r>
      <w:r w:rsidR="00BD124E">
        <w:rPr>
          <w:rFonts w:ascii="Arial" w:hAnsi="Arial" w:cs="Arial"/>
          <w:b/>
          <w:bCs/>
          <w:snapToGrid w:val="0"/>
          <w:sz w:val="26"/>
          <w:szCs w:val="26"/>
        </w:rPr>
        <w:t>P.R./004/201</w:t>
      </w:r>
      <w:r w:rsidR="004D7A9C">
        <w:rPr>
          <w:rFonts w:ascii="Arial" w:hAnsi="Arial" w:cs="Arial"/>
          <w:b/>
          <w:bCs/>
          <w:snapToGrid w:val="0"/>
          <w:sz w:val="26"/>
          <w:szCs w:val="26"/>
        </w:rPr>
        <w:t>6</w:t>
      </w:r>
      <w:r w:rsidR="00CC7A42">
        <w:rPr>
          <w:rFonts w:ascii="Arial" w:hAnsi="Arial" w:cs="Arial"/>
          <w:bCs/>
          <w:snapToGrid w:val="0"/>
          <w:sz w:val="26"/>
          <w:szCs w:val="26"/>
        </w:rPr>
        <w:t xml:space="preserve">, no le fue notificada personalmente en </w:t>
      </w:r>
      <w:r w:rsidR="00BD124E">
        <w:rPr>
          <w:rFonts w:ascii="Arial" w:hAnsi="Arial" w:cs="Arial"/>
          <w:bCs/>
          <w:snapToGrid w:val="0"/>
          <w:sz w:val="26"/>
          <w:szCs w:val="26"/>
        </w:rPr>
        <w:t>el domicilio que designo</w:t>
      </w:r>
      <w:r w:rsidR="00744CA8">
        <w:rPr>
          <w:rFonts w:ascii="Arial" w:hAnsi="Arial" w:cs="Arial"/>
          <w:bCs/>
          <w:snapToGrid w:val="0"/>
          <w:sz w:val="26"/>
          <w:szCs w:val="26"/>
        </w:rPr>
        <w:t xml:space="preserve"> para tal efecto</w:t>
      </w:r>
      <w:r w:rsidR="00BD124E">
        <w:rPr>
          <w:rFonts w:ascii="Arial" w:hAnsi="Arial" w:cs="Arial"/>
          <w:bCs/>
          <w:snapToGrid w:val="0"/>
          <w:sz w:val="26"/>
          <w:szCs w:val="26"/>
        </w:rPr>
        <w:t xml:space="preserve"> mediante escrito de fecha </w:t>
      </w:r>
      <w:r w:rsidR="00744CA8">
        <w:rPr>
          <w:rFonts w:ascii="Arial" w:hAnsi="Arial" w:cs="Arial"/>
          <w:bCs/>
          <w:snapToGrid w:val="0"/>
          <w:sz w:val="26"/>
          <w:szCs w:val="26"/>
        </w:rPr>
        <w:t>treinta y uno de marzo de dos mil dieciséis, domicilio en el cual la entonces Auditoría Superior del Estado de Oaxaca, ya le había realizado notificaciones previas.</w:t>
      </w:r>
    </w:p>
    <w:p w14:paraId="6A405174" w14:textId="21C5FD24" w:rsidR="00BD124E" w:rsidRPr="00744CA8" w:rsidRDefault="00FC2EEB" w:rsidP="00CC7A42">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38</w:t>
      </w:r>
      <w:r w:rsidR="00744CA8">
        <w:rPr>
          <w:rFonts w:ascii="Arial" w:hAnsi="Arial" w:cs="Arial"/>
          <w:bCs/>
          <w:snapToGrid w:val="0"/>
          <w:sz w:val="26"/>
          <w:szCs w:val="26"/>
        </w:rPr>
        <w:t xml:space="preserve">. </w:t>
      </w:r>
      <w:r w:rsidR="0014654E">
        <w:rPr>
          <w:rFonts w:ascii="Arial" w:hAnsi="Arial" w:cs="Arial"/>
          <w:bCs/>
          <w:snapToGrid w:val="0"/>
          <w:sz w:val="26"/>
          <w:szCs w:val="26"/>
        </w:rPr>
        <w:t>S</w:t>
      </w:r>
      <w:r w:rsidR="00744CA8">
        <w:rPr>
          <w:rFonts w:ascii="Arial" w:hAnsi="Arial" w:cs="Arial"/>
          <w:bCs/>
          <w:snapToGrid w:val="0"/>
          <w:sz w:val="26"/>
          <w:szCs w:val="26"/>
        </w:rPr>
        <w:t xml:space="preserve">in embargo, al momento de llevar a cabo la notificación de la resolución de doce de febrero de dos mil diecinueve (12/02/2019), dictada dentro del expediente relativo al Procedimiento para el Fincamiento de Responsabilidad Administrativa Resarcitoria </w:t>
      </w:r>
      <w:r w:rsidR="00744CA8" w:rsidRPr="003C501A">
        <w:rPr>
          <w:rFonts w:ascii="Arial" w:hAnsi="Arial" w:cs="Arial"/>
          <w:b/>
          <w:bCs/>
          <w:snapToGrid w:val="0"/>
          <w:sz w:val="26"/>
          <w:szCs w:val="26"/>
        </w:rPr>
        <w:t>ASE/UAJ/</w:t>
      </w:r>
      <w:r w:rsidR="004D7A9C">
        <w:rPr>
          <w:rFonts w:ascii="Arial" w:hAnsi="Arial" w:cs="Arial"/>
          <w:b/>
          <w:bCs/>
          <w:snapToGrid w:val="0"/>
          <w:sz w:val="26"/>
          <w:szCs w:val="26"/>
        </w:rPr>
        <w:t>P.R./004/2016</w:t>
      </w:r>
      <w:r w:rsidR="00744CA8">
        <w:rPr>
          <w:rFonts w:ascii="Arial" w:hAnsi="Arial" w:cs="Arial"/>
          <w:bCs/>
          <w:snapToGrid w:val="0"/>
          <w:sz w:val="26"/>
          <w:szCs w:val="26"/>
        </w:rPr>
        <w:t>, el notificador del Órgano Superior de Fiscalización del Estado de Oaxaca, ya no encontró el referido domicilio, levantando al efecto un acta, de la cual refiere el actor, se encuentra viciada de nulidad</w:t>
      </w:r>
    </w:p>
    <w:p w14:paraId="67373288" w14:textId="5BA25085" w:rsidR="00744CA8" w:rsidRPr="005526DF" w:rsidRDefault="00FC2EEB" w:rsidP="00CC7A42">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39</w:t>
      </w:r>
      <w:r w:rsidR="00744CA8">
        <w:rPr>
          <w:rFonts w:ascii="Arial" w:hAnsi="Arial" w:cs="Arial"/>
          <w:bCs/>
          <w:snapToGrid w:val="0"/>
          <w:sz w:val="26"/>
          <w:szCs w:val="26"/>
        </w:rPr>
        <w:t>. P</w:t>
      </w:r>
      <w:r w:rsidR="00CC7A42">
        <w:rPr>
          <w:rFonts w:ascii="Arial" w:hAnsi="Arial" w:cs="Arial"/>
          <w:bCs/>
          <w:snapToGrid w:val="0"/>
          <w:sz w:val="26"/>
          <w:szCs w:val="26"/>
        </w:rPr>
        <w:t xml:space="preserve">or su parte al momento de rendir </w:t>
      </w:r>
      <w:r w:rsidR="00170155">
        <w:rPr>
          <w:rFonts w:ascii="Arial" w:hAnsi="Arial" w:cs="Arial"/>
          <w:bCs/>
          <w:snapToGrid w:val="0"/>
          <w:sz w:val="26"/>
          <w:szCs w:val="26"/>
        </w:rPr>
        <w:t>su</w:t>
      </w:r>
      <w:r w:rsidR="00744CA8">
        <w:rPr>
          <w:rFonts w:ascii="Arial" w:hAnsi="Arial" w:cs="Arial"/>
          <w:bCs/>
          <w:snapToGrid w:val="0"/>
          <w:sz w:val="26"/>
          <w:szCs w:val="26"/>
        </w:rPr>
        <w:t>s respectivos</w:t>
      </w:r>
      <w:r w:rsidR="00170155">
        <w:rPr>
          <w:rFonts w:ascii="Arial" w:hAnsi="Arial" w:cs="Arial"/>
          <w:bCs/>
          <w:snapToGrid w:val="0"/>
          <w:sz w:val="26"/>
          <w:szCs w:val="26"/>
        </w:rPr>
        <w:t xml:space="preserve"> informe</w:t>
      </w:r>
      <w:r w:rsidR="00744CA8">
        <w:rPr>
          <w:rFonts w:ascii="Arial" w:hAnsi="Arial" w:cs="Arial"/>
          <w:bCs/>
          <w:snapToGrid w:val="0"/>
          <w:sz w:val="26"/>
          <w:szCs w:val="26"/>
        </w:rPr>
        <w:t xml:space="preserve">s, la autoridad demandada expuso que en atención a la </w:t>
      </w:r>
      <w:r w:rsidR="005526DF">
        <w:rPr>
          <w:rFonts w:ascii="Arial" w:hAnsi="Arial" w:cs="Arial"/>
          <w:bCs/>
          <w:snapToGrid w:val="0"/>
          <w:sz w:val="26"/>
          <w:szCs w:val="26"/>
        </w:rPr>
        <w:t xml:space="preserve">razón de imposibilidad para llevar a cabo la notificación de la resolución doce de febrero de dos mil diecinueve (12/02/2019), dictada dentro del expediente </w:t>
      </w:r>
      <w:r w:rsidR="005526DF" w:rsidRPr="003C501A">
        <w:rPr>
          <w:rFonts w:ascii="Arial" w:hAnsi="Arial" w:cs="Arial"/>
          <w:b/>
          <w:bCs/>
          <w:snapToGrid w:val="0"/>
          <w:sz w:val="26"/>
          <w:szCs w:val="26"/>
        </w:rPr>
        <w:t>ASE/UAJ/</w:t>
      </w:r>
      <w:r w:rsidR="005526DF">
        <w:rPr>
          <w:rFonts w:ascii="Arial" w:hAnsi="Arial" w:cs="Arial"/>
          <w:b/>
          <w:bCs/>
          <w:snapToGrid w:val="0"/>
          <w:sz w:val="26"/>
          <w:szCs w:val="26"/>
        </w:rPr>
        <w:t>P.R./004/201</w:t>
      </w:r>
      <w:r w:rsidR="004D7A9C">
        <w:rPr>
          <w:rFonts w:ascii="Arial" w:hAnsi="Arial" w:cs="Arial"/>
          <w:b/>
          <w:bCs/>
          <w:snapToGrid w:val="0"/>
          <w:sz w:val="26"/>
          <w:szCs w:val="26"/>
        </w:rPr>
        <w:t>6</w:t>
      </w:r>
      <w:r w:rsidR="005526DF">
        <w:rPr>
          <w:rFonts w:ascii="Arial" w:hAnsi="Arial" w:cs="Arial"/>
          <w:bCs/>
          <w:snapToGrid w:val="0"/>
          <w:sz w:val="26"/>
          <w:szCs w:val="26"/>
        </w:rPr>
        <w:t xml:space="preserve">, mediante acuerdo de fecha catorce de febrero de dos mil diecinueve (14/02/2019), se ordenó notificar la referida resolución por </w:t>
      </w:r>
      <w:r w:rsidR="005526DF">
        <w:rPr>
          <w:rFonts w:ascii="Arial" w:hAnsi="Arial" w:cs="Arial"/>
          <w:bCs/>
          <w:snapToGrid w:val="0"/>
          <w:sz w:val="26"/>
          <w:szCs w:val="26"/>
        </w:rPr>
        <w:lastRenderedPageBreak/>
        <w:t>lista publicada en lugar visible y de fácil acceso en las instalaciones que ocupa el referido Órgano Fiscalizador.</w:t>
      </w:r>
    </w:p>
    <w:p w14:paraId="0B9ED2CF" w14:textId="6834004C" w:rsidR="005526DF" w:rsidRDefault="00FC2EEB" w:rsidP="00531921">
      <w:pPr>
        <w:spacing w:line="360" w:lineRule="auto"/>
        <w:ind w:right="51" w:firstLine="567"/>
        <w:jc w:val="both"/>
        <w:rPr>
          <w:rFonts w:ascii="Arial" w:eastAsia="Times New Roman" w:hAnsi="Arial" w:cs="Arial"/>
          <w:sz w:val="26"/>
          <w:szCs w:val="26"/>
        </w:rPr>
      </w:pPr>
      <w:r>
        <w:rPr>
          <w:rFonts w:ascii="Arial" w:eastAsia="Times New Roman" w:hAnsi="Arial" w:cs="Arial"/>
          <w:sz w:val="26"/>
          <w:szCs w:val="26"/>
        </w:rPr>
        <w:t>40</w:t>
      </w:r>
      <w:r w:rsidR="00247307">
        <w:rPr>
          <w:rFonts w:ascii="Arial" w:eastAsia="Times New Roman" w:hAnsi="Arial" w:cs="Arial"/>
          <w:sz w:val="26"/>
          <w:szCs w:val="26"/>
        </w:rPr>
        <w:t xml:space="preserve">. </w:t>
      </w:r>
      <w:r w:rsidR="00531921">
        <w:rPr>
          <w:rFonts w:ascii="Arial" w:eastAsia="Times New Roman" w:hAnsi="Arial" w:cs="Arial"/>
          <w:sz w:val="26"/>
          <w:szCs w:val="26"/>
        </w:rPr>
        <w:t>De</w:t>
      </w:r>
      <w:r w:rsidR="008E5A51" w:rsidRPr="00DF5CB3">
        <w:rPr>
          <w:rFonts w:ascii="Arial" w:eastAsia="Times New Roman" w:hAnsi="Arial" w:cs="Arial"/>
          <w:sz w:val="26"/>
          <w:szCs w:val="26"/>
        </w:rPr>
        <w:t xml:space="preserve">l análisis </w:t>
      </w:r>
      <w:r w:rsidR="008E5A51" w:rsidRPr="00531921">
        <w:rPr>
          <w:rFonts w:ascii="Arial" w:eastAsia="Times New Roman" w:hAnsi="Arial" w:cs="Arial"/>
          <w:sz w:val="26"/>
          <w:szCs w:val="26"/>
        </w:rPr>
        <w:t xml:space="preserve">realizado a las constancias que integran el presente expediente de inconformidad, </w:t>
      </w:r>
      <w:r w:rsidR="008A671C">
        <w:rPr>
          <w:rFonts w:ascii="Arial" w:eastAsia="Times New Roman" w:hAnsi="Arial" w:cs="Arial"/>
          <w:sz w:val="26"/>
          <w:szCs w:val="26"/>
        </w:rPr>
        <w:t>se advierte que efectivamente, en dos ocasiones previas (veintitrés de enero y trece de marzo de dos mil diecisiete)</w:t>
      </w:r>
      <w:r w:rsidR="00C243A2">
        <w:rPr>
          <w:rStyle w:val="Refdenotaalpie"/>
          <w:rFonts w:ascii="Arial" w:eastAsia="Times New Roman" w:hAnsi="Arial" w:cs="Arial"/>
          <w:sz w:val="26"/>
          <w:szCs w:val="26"/>
        </w:rPr>
        <w:footnoteReference w:id="12"/>
      </w:r>
      <w:r w:rsidR="008A671C">
        <w:rPr>
          <w:rFonts w:ascii="Arial" w:eastAsia="Times New Roman" w:hAnsi="Arial" w:cs="Arial"/>
          <w:sz w:val="26"/>
          <w:szCs w:val="26"/>
        </w:rPr>
        <w:t>, personal adscrito a la entonces Auditoría Superior del Estado de Oaxaca, se constituyó en el domicilio señalado por el ciudadano</w:t>
      </w:r>
      <w:r w:rsidR="009111F5">
        <w:rPr>
          <w:rFonts w:ascii="Arial" w:eastAsia="Times New Roman" w:hAnsi="Arial" w:cs="Arial"/>
          <w:b/>
          <w:sz w:val="26"/>
          <w:szCs w:val="26"/>
        </w:rPr>
        <w:t xml:space="preserve"> </w:t>
      </w:r>
      <w:r w:rsidR="009111F5">
        <w:rPr>
          <w:rFonts w:ascii="Arial" w:hAnsi="Arial" w:cs="Arial"/>
          <w:b/>
          <w:sz w:val="26"/>
          <w:szCs w:val="26"/>
        </w:rPr>
        <w:t>**********</w:t>
      </w:r>
      <w:r w:rsidR="008A671C">
        <w:rPr>
          <w:rFonts w:ascii="Arial" w:eastAsia="Times New Roman" w:hAnsi="Arial" w:cs="Arial"/>
          <w:sz w:val="26"/>
          <w:szCs w:val="26"/>
        </w:rPr>
        <w:t>, para recibir notificaciones, ubicado en Calle Huerto los Ciruelos, número 100, Trinidad de las Huertas, Oaxaca de Juárez, Oaxaca, para notificar diversas constancias.</w:t>
      </w:r>
    </w:p>
    <w:p w14:paraId="1BB05E3D" w14:textId="591808C4" w:rsidR="0014654E" w:rsidRDefault="00FC2EEB" w:rsidP="0014654E">
      <w:pPr>
        <w:spacing w:line="360" w:lineRule="auto"/>
        <w:ind w:firstLine="708"/>
        <w:jc w:val="both"/>
        <w:rPr>
          <w:rFonts w:ascii="Arial" w:hAnsi="Arial" w:cs="Arial"/>
          <w:sz w:val="26"/>
          <w:szCs w:val="26"/>
        </w:rPr>
      </w:pPr>
      <w:r>
        <w:rPr>
          <w:rFonts w:ascii="Arial" w:eastAsia="Times New Roman" w:hAnsi="Arial" w:cs="Arial"/>
          <w:sz w:val="26"/>
          <w:szCs w:val="26"/>
        </w:rPr>
        <w:t>41</w:t>
      </w:r>
      <w:r w:rsidR="008A671C">
        <w:rPr>
          <w:rFonts w:ascii="Arial" w:eastAsia="Times New Roman" w:hAnsi="Arial" w:cs="Arial"/>
          <w:sz w:val="26"/>
          <w:szCs w:val="26"/>
        </w:rPr>
        <w:t xml:space="preserve">. </w:t>
      </w:r>
      <w:r w:rsidR="0014654E">
        <w:rPr>
          <w:rFonts w:ascii="Arial" w:hAnsi="Arial" w:cs="Arial"/>
          <w:sz w:val="26"/>
          <w:szCs w:val="26"/>
        </w:rPr>
        <w:t>En virtud de lo anterior, con la finalidad de garantizar el derecho al debido proceso, el derecho de audiencia y el derecho a la tutela judicial efectiva que señalan los artículos 14 y 17 de la Constitución Federal,</w:t>
      </w:r>
      <w:r w:rsidR="0014654E" w:rsidRPr="00F5509A">
        <w:rPr>
          <w:rFonts w:ascii="Arial" w:hAnsi="Arial" w:cs="Arial"/>
          <w:sz w:val="26"/>
          <w:szCs w:val="26"/>
        </w:rPr>
        <w:t xml:space="preserve"> </w:t>
      </w:r>
      <w:r w:rsidR="0014654E">
        <w:rPr>
          <w:rFonts w:ascii="Arial" w:hAnsi="Arial" w:cs="Arial"/>
          <w:sz w:val="26"/>
          <w:szCs w:val="26"/>
        </w:rPr>
        <w:t xml:space="preserve">esta Sala Superior procede a analizar si la notificación de la resolución de dictada en el expediente </w:t>
      </w:r>
      <w:r w:rsidR="0014654E" w:rsidRPr="00396DCF">
        <w:rPr>
          <w:rFonts w:ascii="Arial" w:hAnsi="Arial" w:cs="Arial"/>
          <w:b/>
          <w:sz w:val="26"/>
          <w:szCs w:val="26"/>
        </w:rPr>
        <w:t>ASE/</w:t>
      </w:r>
      <w:r w:rsidR="0014654E">
        <w:rPr>
          <w:rFonts w:ascii="Arial" w:hAnsi="Arial" w:cs="Arial"/>
          <w:b/>
          <w:sz w:val="26"/>
          <w:szCs w:val="26"/>
        </w:rPr>
        <w:t xml:space="preserve">UAJ/P.R./004/2016, </w:t>
      </w:r>
      <w:r w:rsidR="0014654E" w:rsidRPr="00C66608">
        <w:rPr>
          <w:rFonts w:ascii="Arial" w:hAnsi="Arial" w:cs="Arial"/>
          <w:sz w:val="26"/>
          <w:szCs w:val="26"/>
        </w:rPr>
        <w:t xml:space="preserve">se </w:t>
      </w:r>
      <w:r w:rsidR="0014654E">
        <w:rPr>
          <w:rFonts w:ascii="Arial" w:hAnsi="Arial" w:cs="Arial"/>
          <w:sz w:val="26"/>
          <w:szCs w:val="26"/>
        </w:rPr>
        <w:t>efectuó con las formalidades legales necesarias para su exacto cumplimiento. Esto, por la trascendencia de las consecuencias que produce su realización, aunado a que el preciso cumplimiento de los requisitos legales para diligenciarlas, es un procedimiento del cual depende que el particular haya tenido pleno conocimiento del acto que le afecta, y ello le permite interponer los medios de defensa que tenga a su alcance.</w:t>
      </w:r>
    </w:p>
    <w:p w14:paraId="581C07C0" w14:textId="59C66077" w:rsidR="0014654E" w:rsidRPr="00D0774A" w:rsidRDefault="00FC2EEB" w:rsidP="0014654E">
      <w:pPr>
        <w:spacing w:line="360" w:lineRule="auto"/>
        <w:ind w:firstLine="708"/>
        <w:jc w:val="both"/>
        <w:rPr>
          <w:rFonts w:ascii="Arial" w:hAnsi="Arial" w:cs="Arial"/>
          <w:sz w:val="26"/>
          <w:szCs w:val="26"/>
        </w:rPr>
      </w:pPr>
      <w:r>
        <w:rPr>
          <w:rFonts w:ascii="Arial" w:hAnsi="Arial" w:cs="Arial"/>
          <w:sz w:val="26"/>
          <w:szCs w:val="26"/>
        </w:rPr>
        <w:t>42</w:t>
      </w:r>
      <w:r w:rsidR="0014654E">
        <w:rPr>
          <w:rFonts w:ascii="Arial" w:hAnsi="Arial" w:cs="Arial"/>
          <w:sz w:val="26"/>
          <w:szCs w:val="26"/>
        </w:rPr>
        <w:t xml:space="preserve">. En apoyo a lo anterior, es aplicable por similitud la tesis con número de localización </w:t>
      </w:r>
      <w:r w:rsidR="0014654E" w:rsidRPr="00D0774A">
        <w:rPr>
          <w:rFonts w:ascii="Arial" w:hAnsi="Arial" w:cs="Arial"/>
          <w:sz w:val="26"/>
          <w:szCs w:val="26"/>
        </w:rPr>
        <w:t>III-TASS-2211</w:t>
      </w:r>
      <w:r w:rsidR="0014654E">
        <w:rPr>
          <w:rStyle w:val="Refdenotaalpie"/>
          <w:rFonts w:ascii="Arial" w:hAnsi="Arial" w:cs="Arial"/>
          <w:sz w:val="26"/>
          <w:szCs w:val="26"/>
        </w:rPr>
        <w:footnoteReference w:id="13"/>
      </w:r>
      <w:r w:rsidR="0014654E">
        <w:rPr>
          <w:rFonts w:ascii="Arial" w:hAnsi="Arial" w:cs="Arial"/>
          <w:sz w:val="26"/>
          <w:szCs w:val="26"/>
        </w:rPr>
        <w:t xml:space="preserve">, visible en la Revista del entonces Tribunal Fiscal de la Federación, </w:t>
      </w:r>
      <w:r w:rsidR="0014654E">
        <w:rPr>
          <w:rFonts w:ascii="Arial" w:hAnsi="Arial" w:cs="Arial"/>
          <w:sz w:val="26"/>
          <w:szCs w:val="26"/>
          <w:shd w:val="clear" w:color="auto" w:fill="FFFFFF"/>
        </w:rPr>
        <w:t>Tercera É</w:t>
      </w:r>
      <w:r w:rsidR="0014654E" w:rsidRPr="00D0774A">
        <w:rPr>
          <w:rFonts w:ascii="Arial" w:hAnsi="Arial" w:cs="Arial"/>
          <w:sz w:val="26"/>
          <w:szCs w:val="26"/>
          <w:shd w:val="clear" w:color="auto" w:fill="FFFFFF"/>
        </w:rPr>
        <w:t>poca</w:t>
      </w:r>
      <w:r w:rsidR="0014654E">
        <w:rPr>
          <w:rFonts w:ascii="Arial" w:hAnsi="Arial" w:cs="Arial"/>
          <w:sz w:val="26"/>
          <w:szCs w:val="26"/>
          <w:shd w:val="clear" w:color="auto" w:fill="FFFFFF"/>
        </w:rPr>
        <w:t>, Año V, número 50, Febrero 1992, página</w:t>
      </w:r>
      <w:r w:rsidR="0014654E" w:rsidRPr="00D0774A">
        <w:rPr>
          <w:rFonts w:ascii="Arial" w:hAnsi="Arial" w:cs="Arial"/>
          <w:sz w:val="26"/>
          <w:szCs w:val="26"/>
          <w:shd w:val="clear" w:color="auto" w:fill="FFFFFF"/>
        </w:rPr>
        <w:t xml:space="preserve"> 16</w:t>
      </w:r>
      <w:r w:rsidR="0014654E">
        <w:rPr>
          <w:rFonts w:ascii="Arial" w:hAnsi="Arial" w:cs="Arial"/>
          <w:sz w:val="26"/>
          <w:szCs w:val="26"/>
          <w:shd w:val="clear" w:color="auto" w:fill="FFFFFF"/>
        </w:rPr>
        <w:t xml:space="preserve">, de rubro y texto siguientes. </w:t>
      </w:r>
    </w:p>
    <w:p w14:paraId="4662366D" w14:textId="77777777" w:rsidR="0014654E" w:rsidRPr="00D0774A" w:rsidRDefault="0014654E" w:rsidP="0014654E">
      <w:pPr>
        <w:spacing w:line="360" w:lineRule="auto"/>
        <w:ind w:left="567" w:right="616"/>
        <w:jc w:val="both"/>
        <w:rPr>
          <w:rFonts w:ascii="Arial" w:hAnsi="Arial" w:cs="Arial"/>
          <w:i/>
        </w:rPr>
      </w:pPr>
      <w:r w:rsidRPr="00D0774A">
        <w:rPr>
          <w:rFonts w:ascii="Arial" w:hAnsi="Arial" w:cs="Arial"/>
          <w:b/>
          <w:i/>
        </w:rPr>
        <w:t>“NOTIFICACION.- LOS REQUISITOS LEGALES Y LA EXIGENCIA DE SU EXACTO CUMPLIMIENTO OBEDECEN A LA IMPORTANCIA DE LAS CONSECUENCIAS QUE PRODUCEN.-</w:t>
      </w:r>
      <w:r w:rsidRPr="00D0774A">
        <w:rPr>
          <w:rFonts w:ascii="Arial" w:hAnsi="Arial" w:cs="Arial"/>
          <w:i/>
        </w:rPr>
        <w:t xml:space="preserve"> El exacto cumplimiento de los requisitos legales de las notificaciones no pueden interpretarse como un simple formalismo para dificultar la actuación de la autoridad, sino como un procedimiento de cuya realización depende que se llegue a la convicción de que un particular tuvo conocimiento fehaciente de una resolución que lo afectaba y que si dentro del término legal no utilizó la vía de defensa </w:t>
      </w:r>
      <w:r w:rsidRPr="00D0774A">
        <w:rPr>
          <w:rFonts w:ascii="Arial" w:hAnsi="Arial" w:cs="Arial"/>
          <w:i/>
        </w:rPr>
        <w:lastRenderedPageBreak/>
        <w:t xml:space="preserve">procedente, la consintió. No darle importancia al acto de notificación y a los requisitos que deben cumplirse es propiciar la indefensión de los particulares, lo cual es completamente contrario al texto del artículo 16 </w:t>
      </w:r>
      <w:proofErr w:type="gramStart"/>
      <w:r w:rsidRPr="00D0774A">
        <w:rPr>
          <w:rFonts w:ascii="Arial" w:hAnsi="Arial" w:cs="Arial"/>
          <w:i/>
        </w:rPr>
        <w:t>constitucional.(</w:t>
      </w:r>
      <w:proofErr w:type="gramEnd"/>
      <w:r w:rsidRPr="00D0774A">
        <w:rPr>
          <w:rFonts w:ascii="Arial" w:hAnsi="Arial" w:cs="Arial"/>
          <w:i/>
        </w:rPr>
        <w:t>3)</w:t>
      </w:r>
    </w:p>
    <w:p w14:paraId="40CEE018" w14:textId="77777777" w:rsidR="0014654E" w:rsidRDefault="0014654E" w:rsidP="0014654E">
      <w:pPr>
        <w:spacing w:line="360" w:lineRule="auto"/>
        <w:ind w:left="567" w:right="616"/>
        <w:jc w:val="both"/>
        <w:rPr>
          <w:rFonts w:ascii="Arial" w:hAnsi="Arial" w:cs="Arial"/>
          <w:i/>
        </w:rPr>
      </w:pPr>
      <w:r w:rsidRPr="00D0774A">
        <w:rPr>
          <w:rFonts w:ascii="Arial" w:hAnsi="Arial" w:cs="Arial"/>
          <w:i/>
        </w:rPr>
        <w:t xml:space="preserve">Revisión No. 2537/87.- Resuelta en sesión de 6 de febrero de 1992, por </w:t>
      </w:r>
      <w:r>
        <w:rPr>
          <w:rFonts w:ascii="Arial" w:hAnsi="Arial" w:cs="Arial"/>
          <w:i/>
        </w:rPr>
        <w:t xml:space="preserve">mayoría de 7 votos y 1 en </w:t>
      </w:r>
      <w:proofErr w:type="gramStart"/>
      <w:r>
        <w:rPr>
          <w:rFonts w:ascii="Arial" w:hAnsi="Arial" w:cs="Arial"/>
          <w:i/>
        </w:rPr>
        <w:t>contra.</w:t>
      </w:r>
      <w:r w:rsidRPr="00D0774A">
        <w:rPr>
          <w:rFonts w:ascii="Arial" w:hAnsi="Arial" w:cs="Arial"/>
          <w:i/>
        </w:rPr>
        <w:t>-</w:t>
      </w:r>
      <w:proofErr w:type="gramEnd"/>
      <w:r w:rsidRPr="00D0774A">
        <w:rPr>
          <w:rFonts w:ascii="Arial" w:hAnsi="Arial" w:cs="Arial"/>
          <w:i/>
        </w:rPr>
        <w:t xml:space="preserve"> Magistrado Ponente: Alfonso Nava Negrete.- Secretaria: Lic. Esperanza M. Pérez Díaz.”</w:t>
      </w:r>
    </w:p>
    <w:p w14:paraId="05DB55A9" w14:textId="329CC711" w:rsidR="0014654E" w:rsidRPr="0014654E" w:rsidRDefault="00FC2EEB" w:rsidP="0014654E">
      <w:pPr>
        <w:spacing w:line="360" w:lineRule="auto"/>
        <w:ind w:right="51" w:firstLine="567"/>
        <w:jc w:val="both"/>
        <w:rPr>
          <w:rFonts w:ascii="Arial" w:hAnsi="Arial" w:cs="Arial"/>
          <w:sz w:val="26"/>
          <w:szCs w:val="26"/>
        </w:rPr>
      </w:pPr>
      <w:r>
        <w:rPr>
          <w:rFonts w:ascii="Arial" w:eastAsia="Times New Roman" w:hAnsi="Arial" w:cs="Arial"/>
          <w:sz w:val="26"/>
          <w:szCs w:val="26"/>
        </w:rPr>
        <w:t>43</w:t>
      </w:r>
      <w:r w:rsidR="0014654E">
        <w:rPr>
          <w:rFonts w:ascii="Arial" w:eastAsia="Times New Roman" w:hAnsi="Arial" w:cs="Arial"/>
          <w:sz w:val="26"/>
          <w:szCs w:val="26"/>
        </w:rPr>
        <w:t>. Así también, debe tenerse en cuenta</w:t>
      </w:r>
      <w:r w:rsidR="0014654E" w:rsidRPr="0014654E">
        <w:rPr>
          <w:rFonts w:ascii="Arial" w:hAnsi="Arial" w:cs="Arial"/>
          <w:sz w:val="26"/>
          <w:szCs w:val="26"/>
        </w:rPr>
        <w:t xml:space="preserve"> que</w:t>
      </w:r>
      <w:r w:rsidR="0014654E">
        <w:rPr>
          <w:rFonts w:ascii="Arial" w:hAnsi="Arial" w:cs="Arial"/>
          <w:sz w:val="26"/>
          <w:szCs w:val="26"/>
        </w:rPr>
        <w:t xml:space="preserve"> de conformidad con el artículo Sexto Transitorio de la </w:t>
      </w:r>
      <w:r w:rsidR="00F17D36" w:rsidRPr="00F17D36">
        <w:rPr>
          <w:rFonts w:ascii="Arial" w:hAnsi="Arial" w:cs="Arial"/>
          <w:i/>
          <w:sz w:val="26"/>
          <w:szCs w:val="26"/>
        </w:rPr>
        <w:t>Ley de Fiscalización 2013</w:t>
      </w:r>
      <w:r w:rsidR="0014654E">
        <w:rPr>
          <w:rStyle w:val="Refdenotaalpie"/>
          <w:rFonts w:ascii="Arial" w:hAnsi="Arial" w:cs="Arial"/>
          <w:sz w:val="26"/>
          <w:szCs w:val="26"/>
        </w:rPr>
        <w:footnoteReference w:id="14"/>
      </w:r>
      <w:r w:rsidR="0014654E">
        <w:rPr>
          <w:rFonts w:ascii="Arial" w:hAnsi="Arial" w:cs="Arial"/>
          <w:sz w:val="26"/>
          <w:szCs w:val="26"/>
        </w:rPr>
        <w:t>,</w:t>
      </w:r>
      <w:r w:rsidR="0014654E" w:rsidRPr="0014654E">
        <w:rPr>
          <w:rFonts w:ascii="Arial" w:hAnsi="Arial" w:cs="Arial"/>
          <w:sz w:val="26"/>
          <w:szCs w:val="26"/>
        </w:rPr>
        <w:t xml:space="preserve"> en el procedimiento </w:t>
      </w:r>
      <w:r w:rsidR="0014654E">
        <w:rPr>
          <w:rFonts w:ascii="Arial" w:hAnsi="Arial" w:cs="Arial"/>
          <w:sz w:val="26"/>
          <w:szCs w:val="26"/>
        </w:rPr>
        <w:t xml:space="preserve">para el fincamiento de responsabilidad administrativa resarcitoria </w:t>
      </w:r>
      <w:r w:rsidR="0014654E" w:rsidRPr="0014654E">
        <w:rPr>
          <w:rFonts w:ascii="Arial" w:hAnsi="Arial" w:cs="Arial"/>
          <w:b/>
          <w:sz w:val="26"/>
          <w:szCs w:val="26"/>
        </w:rPr>
        <w:t xml:space="preserve">ASE/UAJ/P.R./004/2016 </w:t>
      </w:r>
      <w:r w:rsidR="0014654E" w:rsidRPr="0014654E">
        <w:rPr>
          <w:rFonts w:ascii="Arial" w:hAnsi="Arial" w:cs="Arial"/>
          <w:sz w:val="26"/>
          <w:szCs w:val="26"/>
        </w:rPr>
        <w:t xml:space="preserve">tramitado por la </w:t>
      </w:r>
      <w:r w:rsidR="0014654E">
        <w:rPr>
          <w:rFonts w:ascii="Arial" w:hAnsi="Arial" w:cs="Arial"/>
          <w:sz w:val="26"/>
          <w:szCs w:val="26"/>
        </w:rPr>
        <w:t xml:space="preserve">Unidad de Asuntos Jurídicos del Órgano </w:t>
      </w:r>
      <w:r w:rsidR="0014654E" w:rsidRPr="0014654E">
        <w:rPr>
          <w:rFonts w:ascii="Arial" w:hAnsi="Arial" w:cs="Arial"/>
          <w:sz w:val="26"/>
          <w:szCs w:val="26"/>
        </w:rPr>
        <w:t>Superior</w:t>
      </w:r>
      <w:r w:rsidR="0014654E">
        <w:rPr>
          <w:rFonts w:ascii="Arial" w:hAnsi="Arial" w:cs="Arial"/>
          <w:sz w:val="26"/>
          <w:szCs w:val="26"/>
        </w:rPr>
        <w:t xml:space="preserve"> de Fiscalización</w:t>
      </w:r>
      <w:r w:rsidR="0014654E" w:rsidRPr="0014654E">
        <w:rPr>
          <w:rFonts w:ascii="Arial" w:hAnsi="Arial" w:cs="Arial"/>
          <w:sz w:val="26"/>
          <w:szCs w:val="26"/>
        </w:rPr>
        <w:t xml:space="preserve"> del Estado de Oaxaca en aquélla época, </w:t>
      </w:r>
      <w:r w:rsidR="0014654E">
        <w:rPr>
          <w:rFonts w:ascii="Arial" w:hAnsi="Arial" w:cs="Arial"/>
          <w:sz w:val="26"/>
          <w:szCs w:val="26"/>
        </w:rPr>
        <w:t>le resultan aplicables las disposiciones d</w:t>
      </w:r>
      <w:r w:rsidR="0014654E" w:rsidRPr="0014654E">
        <w:rPr>
          <w:rFonts w:ascii="Arial" w:hAnsi="Arial" w:cs="Arial"/>
          <w:sz w:val="26"/>
          <w:szCs w:val="26"/>
        </w:rPr>
        <w:t xml:space="preserve">el </w:t>
      </w:r>
      <w:r w:rsidRPr="00FC2EEB">
        <w:rPr>
          <w:rFonts w:ascii="Arial" w:hAnsi="Arial" w:cs="Arial"/>
          <w:i/>
          <w:sz w:val="26"/>
          <w:szCs w:val="26"/>
        </w:rPr>
        <w:t>Código Procesal</w:t>
      </w:r>
      <w:r w:rsidR="0014654E" w:rsidRPr="0014654E">
        <w:rPr>
          <w:rFonts w:ascii="Arial" w:hAnsi="Arial" w:cs="Arial"/>
          <w:sz w:val="26"/>
          <w:szCs w:val="26"/>
        </w:rPr>
        <w:t xml:space="preserve"> en lo relativo a las formalidades de las notificaciones cuyos artículos 80 fracción II, 107</w:t>
      </w:r>
      <w:r w:rsidR="002C526B">
        <w:rPr>
          <w:rFonts w:ascii="Arial" w:hAnsi="Arial" w:cs="Arial"/>
          <w:sz w:val="26"/>
          <w:szCs w:val="26"/>
        </w:rPr>
        <w:t>, 108</w:t>
      </w:r>
      <w:r w:rsidR="00512A2F">
        <w:rPr>
          <w:rFonts w:ascii="Arial" w:hAnsi="Arial" w:cs="Arial"/>
          <w:sz w:val="26"/>
          <w:szCs w:val="26"/>
        </w:rPr>
        <w:t xml:space="preserve"> párrafo primero y 109 párrafos primero y segundo,</w:t>
      </w:r>
      <w:r w:rsidR="0014654E" w:rsidRPr="0014654E">
        <w:rPr>
          <w:rFonts w:ascii="Arial" w:hAnsi="Arial" w:cs="Arial"/>
          <w:sz w:val="26"/>
          <w:szCs w:val="26"/>
        </w:rPr>
        <w:t xml:space="preserve"> </w:t>
      </w:r>
      <w:r w:rsidR="00512A2F">
        <w:rPr>
          <w:rFonts w:ascii="Arial" w:hAnsi="Arial" w:cs="Arial"/>
          <w:sz w:val="26"/>
          <w:szCs w:val="26"/>
        </w:rPr>
        <w:t>y</w:t>
      </w:r>
      <w:r w:rsidR="0014654E" w:rsidRPr="0014654E">
        <w:rPr>
          <w:rFonts w:ascii="Arial" w:hAnsi="Arial" w:cs="Arial"/>
          <w:sz w:val="26"/>
          <w:szCs w:val="26"/>
        </w:rPr>
        <w:t xml:space="preserve"> 110 fracciones X y XII, prescriben lo siguiente: </w:t>
      </w:r>
    </w:p>
    <w:p w14:paraId="4A71F7AF" w14:textId="77777777" w:rsidR="0014654E" w:rsidRPr="0014654E" w:rsidRDefault="0014654E" w:rsidP="0014654E">
      <w:pPr>
        <w:pStyle w:val="corte4fondo"/>
        <w:tabs>
          <w:tab w:val="left" w:pos="567"/>
          <w:tab w:val="left" w:pos="5670"/>
        </w:tabs>
        <w:spacing w:before="240" w:after="240"/>
        <w:ind w:left="567" w:right="474" w:firstLine="0"/>
        <w:rPr>
          <w:rFonts w:cs="Arial"/>
          <w:i/>
          <w:sz w:val="22"/>
          <w:szCs w:val="22"/>
        </w:rPr>
      </w:pPr>
      <w:r w:rsidRPr="0014654E">
        <w:rPr>
          <w:rFonts w:cs="Arial"/>
          <w:sz w:val="22"/>
          <w:szCs w:val="22"/>
        </w:rPr>
        <w:t>“</w:t>
      </w:r>
      <w:r w:rsidRPr="0014654E">
        <w:rPr>
          <w:rFonts w:cs="Arial"/>
          <w:b/>
          <w:bCs/>
          <w:i/>
          <w:sz w:val="22"/>
          <w:szCs w:val="22"/>
        </w:rPr>
        <w:t xml:space="preserve">Artículo 80.- </w:t>
      </w:r>
      <w:r w:rsidRPr="0014654E">
        <w:rPr>
          <w:rFonts w:cs="Arial"/>
          <w:i/>
          <w:sz w:val="22"/>
          <w:szCs w:val="22"/>
        </w:rPr>
        <w:t>Las resoluciones judiciales son:</w:t>
      </w:r>
    </w:p>
    <w:p w14:paraId="1137C365" w14:textId="77777777" w:rsidR="0014654E" w:rsidRPr="0014654E" w:rsidRDefault="0014654E" w:rsidP="0014654E">
      <w:pPr>
        <w:pStyle w:val="corte4fondo"/>
        <w:tabs>
          <w:tab w:val="left" w:pos="567"/>
          <w:tab w:val="left" w:pos="5670"/>
        </w:tabs>
        <w:spacing w:before="240" w:after="240"/>
        <w:ind w:left="567" w:right="474" w:firstLine="0"/>
        <w:rPr>
          <w:rFonts w:cs="Arial"/>
          <w:sz w:val="22"/>
          <w:szCs w:val="22"/>
        </w:rPr>
      </w:pPr>
      <w:r w:rsidRPr="0014654E">
        <w:rPr>
          <w:rFonts w:cs="Arial"/>
          <w:b/>
          <w:i/>
          <w:sz w:val="22"/>
          <w:szCs w:val="22"/>
        </w:rPr>
        <w:t>II.</w:t>
      </w:r>
      <w:r w:rsidRPr="0014654E">
        <w:rPr>
          <w:rFonts w:cs="Arial"/>
          <w:i/>
          <w:sz w:val="22"/>
          <w:szCs w:val="22"/>
        </w:rPr>
        <w:t xml:space="preserve"> Sentencias, las que resuelvan el negocio en lo principal</w:t>
      </w:r>
      <w:r w:rsidRPr="0014654E">
        <w:rPr>
          <w:rFonts w:cs="Arial"/>
          <w:sz w:val="22"/>
          <w:szCs w:val="22"/>
        </w:rPr>
        <w:t>;</w:t>
      </w:r>
    </w:p>
    <w:p w14:paraId="234FA12E" w14:textId="77777777" w:rsidR="0014654E" w:rsidRPr="0014654E" w:rsidRDefault="0014654E" w:rsidP="0014654E">
      <w:pPr>
        <w:pStyle w:val="corte4fondo"/>
        <w:tabs>
          <w:tab w:val="left" w:pos="567"/>
          <w:tab w:val="left" w:pos="5670"/>
        </w:tabs>
        <w:spacing w:before="240" w:after="240"/>
        <w:ind w:left="567" w:right="474" w:firstLine="0"/>
        <w:rPr>
          <w:rFonts w:cs="Arial"/>
          <w:i/>
          <w:sz w:val="22"/>
          <w:szCs w:val="22"/>
        </w:rPr>
      </w:pPr>
      <w:r w:rsidRPr="0014654E">
        <w:rPr>
          <w:rFonts w:cs="Arial"/>
          <w:b/>
          <w:bCs/>
          <w:i/>
          <w:sz w:val="22"/>
          <w:szCs w:val="22"/>
        </w:rPr>
        <w:t>Artículo 107.</w:t>
      </w:r>
      <w:r w:rsidRPr="0014654E">
        <w:rPr>
          <w:rFonts w:cs="Arial"/>
          <w:i/>
          <w:sz w:val="22"/>
          <w:szCs w:val="22"/>
        </w:rPr>
        <w:t xml:space="preserve">- </w:t>
      </w:r>
      <w:r w:rsidRPr="0014654E">
        <w:rPr>
          <w:rFonts w:cs="Arial"/>
          <w:i/>
          <w:sz w:val="22"/>
          <w:szCs w:val="22"/>
          <w:u w:val="single"/>
        </w:rPr>
        <w:t>Las notificaciones se harán personalmente</w:t>
      </w:r>
      <w:r w:rsidRPr="0014654E">
        <w:rPr>
          <w:rFonts w:cs="Arial"/>
          <w:i/>
          <w:sz w:val="22"/>
          <w:szCs w:val="22"/>
        </w:rPr>
        <w:t>, por correo electrónico, por cédula, por edictos, por correo, telégrafo, por lista en la página electrónica oficial del Poder Judicial o por lista en el tablero de avisos del tribunal, de acuerdo con lo que se dispone en los artículos siguientes.”</w:t>
      </w:r>
    </w:p>
    <w:p w14:paraId="6A1EB0DC" w14:textId="168D71B9" w:rsidR="00512A2F" w:rsidRPr="00512A2F" w:rsidRDefault="00512A2F" w:rsidP="0014654E">
      <w:pPr>
        <w:pStyle w:val="corte4fondo"/>
        <w:tabs>
          <w:tab w:val="left" w:pos="567"/>
          <w:tab w:val="left" w:pos="5670"/>
        </w:tabs>
        <w:spacing w:before="240" w:after="240"/>
        <w:ind w:left="567" w:right="474" w:firstLine="0"/>
        <w:rPr>
          <w:rFonts w:cs="Arial"/>
          <w:b/>
          <w:bCs/>
          <w:i/>
          <w:sz w:val="22"/>
          <w:szCs w:val="22"/>
        </w:rPr>
      </w:pPr>
      <w:r w:rsidRPr="00512A2F">
        <w:rPr>
          <w:rFonts w:cs="Arial"/>
          <w:b/>
          <w:bCs/>
          <w:i/>
          <w:sz w:val="22"/>
          <w:szCs w:val="22"/>
        </w:rPr>
        <w:t>Artículo 108</w:t>
      </w:r>
      <w:r>
        <w:rPr>
          <w:rFonts w:cs="Arial"/>
          <w:b/>
          <w:bCs/>
          <w:i/>
          <w:sz w:val="22"/>
          <w:szCs w:val="22"/>
        </w:rPr>
        <w:t>.-</w:t>
      </w:r>
      <w:r w:rsidRPr="00512A2F">
        <w:t xml:space="preserve"> </w:t>
      </w:r>
      <w:r w:rsidRPr="00512A2F">
        <w:rPr>
          <w:i/>
          <w:sz w:val="22"/>
          <w:u w:val="single"/>
        </w:rPr>
        <w:t>Todos los litigantes, en el primer escrito o en la primera diligencia judicial, deben designar casa ubicada precisamente en el lugar en que tenga su sede el tribunal para que se les hagan las notificaciones y se practiquen las diligencias que sean necesarias</w:t>
      </w:r>
      <w:r w:rsidRPr="00512A2F">
        <w:rPr>
          <w:i/>
          <w:sz w:val="22"/>
        </w:rPr>
        <w:t xml:space="preserve">, y en su caso, correo electrónico cuando soliciten se les realicen por esta vía las notificaciones personales con el dispositivo de seguridad autorizado por el Poder Judicial. En caso de autorizar a persona para recibir notificaciones, quedará facultada a promover en el juicio con las limitaciones a que se refiere el artículo 2467 del Código Civil, siempre que acredite tener cédula profesional de Licenciado en Derecho. El autorizado podrá renunciar a dicha facultad mediante escrito que presente al Juez o Tribunal que conozca del juicio. Los profesionistas serán responsables de los daños y perjuicios que ocasionen a la parte que los hubiere autorizado, de acuerdo con las disposiciones relativas al mandato. De no acreditarse que se está legalmente </w:t>
      </w:r>
      <w:r w:rsidRPr="00512A2F">
        <w:rPr>
          <w:i/>
          <w:sz w:val="22"/>
        </w:rPr>
        <w:lastRenderedPageBreak/>
        <w:t>autorizado para ejercer la profesión, sólo podrán recibir notificaciones e imponerse de los autos.</w:t>
      </w:r>
    </w:p>
    <w:p w14:paraId="2FBD9B53" w14:textId="2E8187FA" w:rsidR="00512A2F" w:rsidRPr="00512A2F" w:rsidRDefault="00512A2F" w:rsidP="0014654E">
      <w:pPr>
        <w:pStyle w:val="corte4fondo"/>
        <w:tabs>
          <w:tab w:val="left" w:pos="567"/>
          <w:tab w:val="left" w:pos="5670"/>
        </w:tabs>
        <w:spacing w:before="240" w:after="240"/>
        <w:ind w:left="567" w:right="474" w:firstLine="0"/>
        <w:rPr>
          <w:rFonts w:cs="Arial"/>
          <w:bCs/>
          <w:i/>
          <w:sz w:val="22"/>
          <w:szCs w:val="22"/>
        </w:rPr>
      </w:pPr>
      <w:r w:rsidRPr="00512A2F">
        <w:rPr>
          <w:rFonts w:cs="Arial"/>
          <w:bCs/>
          <w:i/>
          <w:sz w:val="22"/>
          <w:szCs w:val="22"/>
        </w:rPr>
        <w:t>[…]</w:t>
      </w:r>
    </w:p>
    <w:p w14:paraId="45EB4E4F" w14:textId="77777777" w:rsidR="00512A2F" w:rsidRDefault="00512A2F" w:rsidP="00512A2F">
      <w:pPr>
        <w:pStyle w:val="corte4fondo"/>
        <w:tabs>
          <w:tab w:val="left" w:pos="567"/>
          <w:tab w:val="left" w:pos="5670"/>
        </w:tabs>
        <w:spacing w:before="240" w:after="240"/>
        <w:ind w:left="567" w:right="474" w:firstLine="0"/>
        <w:rPr>
          <w:i/>
          <w:sz w:val="22"/>
          <w:szCs w:val="22"/>
        </w:rPr>
      </w:pPr>
      <w:r w:rsidRPr="00512A2F">
        <w:rPr>
          <w:b/>
          <w:i/>
          <w:sz w:val="22"/>
          <w:szCs w:val="22"/>
        </w:rPr>
        <w:t xml:space="preserve">Artículo 109.- </w:t>
      </w:r>
      <w:r w:rsidRPr="00512A2F">
        <w:rPr>
          <w:i/>
          <w:sz w:val="22"/>
          <w:szCs w:val="22"/>
        </w:rPr>
        <w:t xml:space="preserve">Entretanto que un litigante no hiciere nueva designación de casa en donde se practiquen las diligencias y se hagan las notificaciones, seguirán haciéndose éstas en la que para ello hubiere designado, aun cuando se informe al notificador que no habita en ella el interesado, ni persona que lo represente o con quien por aquél se entiendan las notificaciones. </w:t>
      </w:r>
    </w:p>
    <w:p w14:paraId="3A4A52E5" w14:textId="1FF2EFEE" w:rsidR="00512A2F" w:rsidRPr="00512A2F" w:rsidRDefault="00512A2F" w:rsidP="00512A2F">
      <w:pPr>
        <w:pStyle w:val="corte4fondo"/>
        <w:tabs>
          <w:tab w:val="left" w:pos="567"/>
          <w:tab w:val="left" w:pos="5670"/>
        </w:tabs>
        <w:spacing w:before="240" w:after="240"/>
        <w:ind w:left="567" w:right="474" w:firstLine="0"/>
        <w:rPr>
          <w:rFonts w:cs="Arial"/>
          <w:b/>
          <w:bCs/>
          <w:i/>
          <w:sz w:val="22"/>
          <w:szCs w:val="22"/>
        </w:rPr>
      </w:pPr>
      <w:r w:rsidRPr="00512A2F">
        <w:rPr>
          <w:i/>
          <w:sz w:val="22"/>
          <w:szCs w:val="22"/>
        </w:rPr>
        <w:t>En los casos señalados en el párrafo anterior las diligencias en que debiere tener intervención el litigante se practicarán por lista que se publicará en la página electrónica oficial del Poder Judicial o en la lista que se publique en los estrados de los juzgados que no tengan internet.</w:t>
      </w:r>
    </w:p>
    <w:p w14:paraId="655205BA" w14:textId="479C7F1F" w:rsidR="00512A2F" w:rsidRPr="00512A2F" w:rsidRDefault="00512A2F" w:rsidP="0014654E">
      <w:pPr>
        <w:pStyle w:val="corte4fondo"/>
        <w:tabs>
          <w:tab w:val="left" w:pos="567"/>
          <w:tab w:val="left" w:pos="5670"/>
        </w:tabs>
        <w:spacing w:before="240" w:after="240"/>
        <w:ind w:left="567" w:right="474" w:firstLine="0"/>
        <w:rPr>
          <w:rFonts w:cs="Arial"/>
          <w:bCs/>
          <w:i/>
          <w:sz w:val="22"/>
          <w:szCs w:val="22"/>
        </w:rPr>
      </w:pPr>
      <w:r w:rsidRPr="00512A2F">
        <w:rPr>
          <w:rFonts w:cs="Arial"/>
          <w:bCs/>
          <w:i/>
          <w:sz w:val="22"/>
          <w:szCs w:val="22"/>
        </w:rPr>
        <w:t>[…]</w:t>
      </w:r>
    </w:p>
    <w:p w14:paraId="40E730FC" w14:textId="2EC3FC95" w:rsidR="0014654E" w:rsidRPr="0014654E" w:rsidRDefault="0014654E" w:rsidP="0014654E">
      <w:pPr>
        <w:pStyle w:val="corte4fondo"/>
        <w:tabs>
          <w:tab w:val="left" w:pos="567"/>
          <w:tab w:val="left" w:pos="5670"/>
        </w:tabs>
        <w:spacing w:before="240" w:after="240"/>
        <w:ind w:left="567" w:right="474" w:firstLine="0"/>
        <w:rPr>
          <w:rFonts w:cs="Arial"/>
          <w:i/>
          <w:sz w:val="22"/>
          <w:szCs w:val="22"/>
        </w:rPr>
      </w:pPr>
      <w:r w:rsidRPr="0014654E">
        <w:rPr>
          <w:rFonts w:cs="Arial"/>
          <w:b/>
          <w:bCs/>
          <w:i/>
          <w:sz w:val="22"/>
          <w:szCs w:val="22"/>
        </w:rPr>
        <w:t>Artículo 110.</w:t>
      </w:r>
      <w:r w:rsidRPr="0014654E">
        <w:rPr>
          <w:rFonts w:cs="Arial"/>
          <w:i/>
          <w:sz w:val="22"/>
          <w:szCs w:val="22"/>
        </w:rPr>
        <w:t xml:space="preserve"> </w:t>
      </w:r>
      <w:r w:rsidRPr="0014654E">
        <w:rPr>
          <w:rFonts w:cs="Arial"/>
          <w:i/>
          <w:sz w:val="22"/>
          <w:szCs w:val="22"/>
          <w:u w:val="single"/>
        </w:rPr>
        <w:t>Será notificado personalmente</w:t>
      </w:r>
      <w:r w:rsidRPr="0014654E">
        <w:rPr>
          <w:rFonts w:cs="Arial"/>
          <w:i/>
          <w:sz w:val="22"/>
          <w:szCs w:val="22"/>
        </w:rPr>
        <w:t xml:space="preserve"> en la casa designada para este efecto por los litigantes: (Lo subrayado es propio)</w:t>
      </w:r>
    </w:p>
    <w:p w14:paraId="004F1422" w14:textId="77777777" w:rsidR="0014654E" w:rsidRPr="0014654E" w:rsidRDefault="0014654E" w:rsidP="0014654E">
      <w:pPr>
        <w:pStyle w:val="corte4fondo"/>
        <w:tabs>
          <w:tab w:val="left" w:pos="567"/>
          <w:tab w:val="left" w:pos="5670"/>
        </w:tabs>
        <w:spacing w:before="240" w:after="240"/>
        <w:ind w:left="567" w:right="474" w:firstLine="0"/>
        <w:rPr>
          <w:rFonts w:cs="Arial"/>
          <w:i/>
          <w:sz w:val="22"/>
          <w:szCs w:val="22"/>
        </w:rPr>
      </w:pPr>
      <w:r w:rsidRPr="0014654E">
        <w:rPr>
          <w:rFonts w:cs="Arial"/>
          <w:i/>
          <w:sz w:val="22"/>
          <w:szCs w:val="22"/>
        </w:rPr>
        <w:t>…</w:t>
      </w:r>
    </w:p>
    <w:p w14:paraId="74C414FF" w14:textId="77777777" w:rsidR="0014654E" w:rsidRPr="0014654E" w:rsidRDefault="0014654E" w:rsidP="0014654E">
      <w:pPr>
        <w:pStyle w:val="corte4fondo"/>
        <w:tabs>
          <w:tab w:val="left" w:pos="567"/>
          <w:tab w:val="left" w:pos="5670"/>
        </w:tabs>
        <w:spacing w:before="240" w:after="240"/>
        <w:ind w:left="567" w:right="474" w:firstLine="0"/>
        <w:rPr>
          <w:rFonts w:cs="Arial"/>
          <w:i/>
          <w:sz w:val="22"/>
          <w:szCs w:val="22"/>
        </w:rPr>
      </w:pPr>
      <w:r w:rsidRPr="0014654E">
        <w:rPr>
          <w:rFonts w:cs="Arial"/>
          <w:i/>
          <w:sz w:val="22"/>
          <w:szCs w:val="22"/>
        </w:rPr>
        <w:t xml:space="preserve">X. Las sentencias; </w:t>
      </w:r>
    </w:p>
    <w:p w14:paraId="216660C5" w14:textId="77777777" w:rsidR="0014654E" w:rsidRPr="0014654E" w:rsidRDefault="0014654E" w:rsidP="0014654E">
      <w:pPr>
        <w:pStyle w:val="corte4fondo"/>
        <w:tabs>
          <w:tab w:val="left" w:pos="567"/>
          <w:tab w:val="left" w:pos="5670"/>
        </w:tabs>
        <w:spacing w:before="240" w:after="240"/>
        <w:ind w:left="567" w:right="474" w:firstLine="0"/>
        <w:rPr>
          <w:rFonts w:cs="Arial"/>
          <w:i/>
          <w:sz w:val="22"/>
          <w:szCs w:val="22"/>
          <w:lang w:val="es-MX"/>
        </w:rPr>
      </w:pPr>
      <w:r w:rsidRPr="0014654E">
        <w:rPr>
          <w:rFonts w:cs="Arial"/>
          <w:i/>
          <w:sz w:val="22"/>
          <w:szCs w:val="22"/>
        </w:rPr>
        <w:t>…</w:t>
      </w:r>
    </w:p>
    <w:p w14:paraId="6F9B173E" w14:textId="77777777" w:rsidR="0014654E" w:rsidRPr="0014654E" w:rsidRDefault="0014654E" w:rsidP="0014654E">
      <w:pPr>
        <w:pStyle w:val="corte4fondo"/>
        <w:tabs>
          <w:tab w:val="left" w:pos="567"/>
          <w:tab w:val="left" w:pos="5670"/>
        </w:tabs>
        <w:spacing w:before="240" w:after="240"/>
        <w:ind w:left="567" w:right="474" w:firstLine="0"/>
        <w:rPr>
          <w:rFonts w:cs="Arial"/>
          <w:i/>
          <w:sz w:val="22"/>
          <w:szCs w:val="22"/>
        </w:rPr>
      </w:pPr>
      <w:r w:rsidRPr="0014654E">
        <w:rPr>
          <w:rFonts w:cs="Arial"/>
          <w:i/>
          <w:sz w:val="22"/>
          <w:szCs w:val="22"/>
        </w:rPr>
        <w:t>XII. En los demás casos que la Ley lo disponga.”</w:t>
      </w:r>
    </w:p>
    <w:p w14:paraId="2BD78FC6" w14:textId="4D50009B" w:rsidR="0014654E" w:rsidRPr="0014654E" w:rsidRDefault="00FC2928" w:rsidP="00512A2F">
      <w:pPr>
        <w:pStyle w:val="corte4fondo"/>
        <w:spacing w:before="240" w:after="240"/>
        <w:ind w:right="49" w:firstLine="567"/>
        <w:rPr>
          <w:rFonts w:cs="Arial"/>
          <w:sz w:val="26"/>
          <w:szCs w:val="26"/>
        </w:rPr>
      </w:pPr>
      <w:r>
        <w:rPr>
          <w:rFonts w:cs="Arial"/>
          <w:sz w:val="26"/>
          <w:szCs w:val="26"/>
        </w:rPr>
        <w:t>4</w:t>
      </w:r>
      <w:r w:rsidR="00FC2EEB">
        <w:rPr>
          <w:rFonts w:cs="Arial"/>
          <w:sz w:val="26"/>
          <w:szCs w:val="26"/>
        </w:rPr>
        <w:t>4</w:t>
      </w:r>
      <w:r>
        <w:rPr>
          <w:rFonts w:cs="Arial"/>
          <w:sz w:val="26"/>
          <w:szCs w:val="26"/>
        </w:rPr>
        <w:t xml:space="preserve">. </w:t>
      </w:r>
      <w:r w:rsidR="0014654E" w:rsidRPr="0014654E">
        <w:rPr>
          <w:rFonts w:cs="Arial"/>
          <w:sz w:val="26"/>
          <w:szCs w:val="26"/>
        </w:rPr>
        <w:t>Y en cuanto a las formalidades para diligenciar las notificaciones personales, el numeral 112 del mismo Código, ordena lo siguiente:</w:t>
      </w:r>
    </w:p>
    <w:p w14:paraId="3901F665" w14:textId="77777777" w:rsidR="00F44562" w:rsidRDefault="00F44562" w:rsidP="00512A2F">
      <w:pPr>
        <w:spacing w:line="360" w:lineRule="auto"/>
        <w:ind w:left="567" w:right="615"/>
        <w:jc w:val="both"/>
        <w:rPr>
          <w:rFonts w:ascii="Arial" w:hAnsi="Arial" w:cs="Arial"/>
          <w:i/>
        </w:rPr>
      </w:pPr>
      <w:r w:rsidRPr="00F44562">
        <w:rPr>
          <w:rFonts w:ascii="Arial" w:hAnsi="Arial" w:cs="Arial"/>
          <w:b/>
          <w:i/>
        </w:rPr>
        <w:t>Artículo 112.-</w:t>
      </w:r>
      <w:r w:rsidRPr="00F44562">
        <w:rPr>
          <w:rFonts w:ascii="Arial" w:hAnsi="Arial" w:cs="Arial"/>
          <w:i/>
        </w:rPr>
        <w:t xml:space="preserve"> La primera notificación personal se hará de conformidad con las normas siguientes: </w:t>
      </w:r>
    </w:p>
    <w:p w14:paraId="5880AA0B" w14:textId="77777777" w:rsidR="00F44562" w:rsidRDefault="00F44562" w:rsidP="00512A2F">
      <w:pPr>
        <w:spacing w:line="360" w:lineRule="auto"/>
        <w:ind w:left="567" w:right="615"/>
        <w:jc w:val="both"/>
        <w:rPr>
          <w:rFonts w:ascii="Arial" w:hAnsi="Arial" w:cs="Arial"/>
          <w:i/>
        </w:rPr>
      </w:pPr>
      <w:r w:rsidRPr="00F44562">
        <w:rPr>
          <w:rFonts w:ascii="Arial" w:hAnsi="Arial" w:cs="Arial"/>
          <w:i/>
        </w:rPr>
        <w:t xml:space="preserve">I.- El Ejecutor se cerciorará de que la persona física habita o trabaja en la casa o local señalado en autos para hacer la notificación; </w:t>
      </w:r>
    </w:p>
    <w:p w14:paraId="25F26115" w14:textId="5BE56D7C" w:rsidR="00F44562" w:rsidRDefault="00F44562" w:rsidP="00512A2F">
      <w:pPr>
        <w:spacing w:line="360" w:lineRule="auto"/>
        <w:ind w:left="567" w:right="615"/>
        <w:jc w:val="both"/>
        <w:rPr>
          <w:rFonts w:ascii="Arial" w:hAnsi="Arial" w:cs="Arial"/>
          <w:i/>
        </w:rPr>
      </w:pPr>
      <w:r w:rsidRPr="00F44562">
        <w:rPr>
          <w:rFonts w:ascii="Arial" w:hAnsi="Arial" w:cs="Arial"/>
          <w:i/>
        </w:rPr>
        <w:t>Tratándose de menores y sucesiones, el Ejecutor se cerciorará que el representante legal habita o traba</w:t>
      </w:r>
      <w:r>
        <w:rPr>
          <w:rFonts w:ascii="Arial" w:hAnsi="Arial" w:cs="Arial"/>
          <w:i/>
        </w:rPr>
        <w:t>ja en la casa o local señalado.</w:t>
      </w:r>
    </w:p>
    <w:p w14:paraId="0BA6027F" w14:textId="09BE2678" w:rsidR="00D00C31" w:rsidRPr="00D00C31" w:rsidRDefault="00D00C31" w:rsidP="00512A2F">
      <w:pPr>
        <w:spacing w:line="360" w:lineRule="auto"/>
        <w:ind w:left="567" w:right="615"/>
        <w:jc w:val="both"/>
        <w:rPr>
          <w:rFonts w:ascii="Arial" w:hAnsi="Arial" w:cs="Arial"/>
          <w:i/>
        </w:rPr>
      </w:pPr>
      <w:r w:rsidRPr="00D00C31">
        <w:rPr>
          <w:rFonts w:ascii="Arial" w:hAnsi="Arial" w:cs="Arial"/>
          <w:i/>
        </w:rPr>
        <w:t>Si se trata de una persona moral se cerciorará de que tiene sus oficinas sociales en el lugar designado.</w:t>
      </w:r>
    </w:p>
    <w:p w14:paraId="3296014F" w14:textId="77777777" w:rsidR="004D2FF0" w:rsidRDefault="004D2FF0" w:rsidP="00512A2F">
      <w:pPr>
        <w:spacing w:line="360" w:lineRule="auto"/>
        <w:ind w:left="567" w:right="615"/>
        <w:jc w:val="both"/>
        <w:rPr>
          <w:rFonts w:ascii="Arial" w:hAnsi="Arial" w:cs="Arial"/>
          <w:i/>
        </w:rPr>
      </w:pPr>
      <w:r w:rsidRPr="00F44562">
        <w:rPr>
          <w:rFonts w:ascii="Arial" w:hAnsi="Arial" w:cs="Arial"/>
          <w:i/>
        </w:rPr>
        <w:t xml:space="preserve">II.- Si está presente el interesado, el Ejecutor le notificará, previa identificación que haga con cualquier medio fehaciente, asentándose razón detallada del mismo. </w:t>
      </w:r>
    </w:p>
    <w:p w14:paraId="3FBD0CDD" w14:textId="77777777" w:rsidR="004D2FF0" w:rsidRPr="00F44562" w:rsidRDefault="004D2FF0" w:rsidP="00512A2F">
      <w:pPr>
        <w:spacing w:line="360" w:lineRule="auto"/>
        <w:ind w:left="567" w:right="615"/>
        <w:jc w:val="both"/>
        <w:rPr>
          <w:rFonts w:ascii="Arial" w:hAnsi="Arial" w:cs="Arial"/>
          <w:bCs/>
          <w:i/>
          <w:snapToGrid w:val="0"/>
          <w:sz w:val="26"/>
          <w:szCs w:val="26"/>
        </w:rPr>
      </w:pPr>
      <w:r w:rsidRPr="00F44562">
        <w:rPr>
          <w:rFonts w:ascii="Arial" w:hAnsi="Arial" w:cs="Arial"/>
          <w:i/>
        </w:rPr>
        <w:t>Enseguida entregará copia de la resolución objeto de la notificación;</w:t>
      </w:r>
    </w:p>
    <w:p w14:paraId="6AFB7481" w14:textId="77777777" w:rsidR="00F44562" w:rsidRDefault="00F44562" w:rsidP="00512A2F">
      <w:pPr>
        <w:spacing w:line="360" w:lineRule="auto"/>
        <w:ind w:left="567" w:right="615"/>
        <w:jc w:val="both"/>
        <w:rPr>
          <w:rFonts w:ascii="Arial" w:hAnsi="Arial" w:cs="Arial"/>
          <w:i/>
        </w:rPr>
      </w:pPr>
      <w:r w:rsidRPr="00F44562">
        <w:rPr>
          <w:rFonts w:ascii="Arial" w:hAnsi="Arial" w:cs="Arial"/>
          <w:i/>
        </w:rPr>
        <w:lastRenderedPageBreak/>
        <w:t xml:space="preserve">III.- Si se trata de una persona moral, el Ejecutor se asegurará que la persona con quien se entiende la diligencia es el representante legal de aquélla, agregando copia del documento que le sirva de base para ello previa identificación, asentándose razón en los mismos términos consignados en la fracción anterior. </w:t>
      </w:r>
    </w:p>
    <w:p w14:paraId="440D3D00" w14:textId="77777777" w:rsidR="00F44562" w:rsidRDefault="00F44562" w:rsidP="00512A2F">
      <w:pPr>
        <w:spacing w:line="360" w:lineRule="auto"/>
        <w:ind w:left="567" w:right="615"/>
        <w:jc w:val="both"/>
        <w:rPr>
          <w:rFonts w:ascii="Arial" w:hAnsi="Arial" w:cs="Arial"/>
          <w:i/>
        </w:rPr>
      </w:pPr>
      <w:r w:rsidRPr="00F44562">
        <w:rPr>
          <w:rFonts w:ascii="Arial" w:hAnsi="Arial" w:cs="Arial"/>
          <w:i/>
        </w:rPr>
        <w:t xml:space="preserve">IV.- Si no está presente el interesado o el representante legal, se le dejará citatorio para que lo espere en hora fija dentro de las veinticuatro horas siguientes y agregará copia del mismo a los autos; </w:t>
      </w:r>
    </w:p>
    <w:p w14:paraId="69442F65" w14:textId="77777777" w:rsidR="00F44562" w:rsidRDefault="00F44562" w:rsidP="00512A2F">
      <w:pPr>
        <w:spacing w:line="360" w:lineRule="auto"/>
        <w:ind w:left="567" w:right="615"/>
        <w:jc w:val="both"/>
        <w:rPr>
          <w:rFonts w:ascii="Arial" w:hAnsi="Arial" w:cs="Arial"/>
          <w:i/>
        </w:rPr>
      </w:pPr>
      <w:r w:rsidRPr="00F44562">
        <w:rPr>
          <w:rFonts w:ascii="Arial" w:hAnsi="Arial" w:cs="Arial"/>
          <w:i/>
        </w:rPr>
        <w:t xml:space="preserve">V.- Si no obstante el citatorio, el interesado o el representante legal no esperan al Ejecutor, la notificación se hará por medio de cédula a cualquier persona que viva o trabaje en la casa o local señalado, debiendo asentarse esta circunstancia, y el nombre de dicha persona; y </w:t>
      </w:r>
    </w:p>
    <w:p w14:paraId="6F55B67C" w14:textId="77777777" w:rsidR="00F44562" w:rsidRDefault="00F44562" w:rsidP="00512A2F">
      <w:pPr>
        <w:spacing w:line="360" w:lineRule="auto"/>
        <w:ind w:left="567" w:right="615"/>
        <w:jc w:val="both"/>
        <w:rPr>
          <w:rFonts w:ascii="Arial" w:hAnsi="Arial" w:cs="Arial"/>
          <w:i/>
        </w:rPr>
      </w:pPr>
      <w:r w:rsidRPr="00F44562">
        <w:rPr>
          <w:rFonts w:ascii="Arial" w:hAnsi="Arial" w:cs="Arial"/>
          <w:i/>
        </w:rPr>
        <w:t xml:space="preserve">VI.- Si no se encontrare a persona alguna en la casa o local designado, la notificación se hará por medio de cédula al vecino más inmediato, fijándose además copia de la resolución en la puerta de entrada de la casa o local señalado como del demandado. </w:t>
      </w:r>
    </w:p>
    <w:p w14:paraId="2870BECA" w14:textId="77777777" w:rsidR="00F44562" w:rsidRDefault="00F44562" w:rsidP="00512A2F">
      <w:pPr>
        <w:spacing w:line="360" w:lineRule="auto"/>
        <w:ind w:left="567" w:right="615"/>
        <w:jc w:val="both"/>
        <w:rPr>
          <w:rFonts w:ascii="Arial" w:hAnsi="Arial" w:cs="Arial"/>
          <w:i/>
        </w:rPr>
      </w:pPr>
      <w:r w:rsidRPr="00F44562">
        <w:rPr>
          <w:rFonts w:ascii="Arial" w:hAnsi="Arial" w:cs="Arial"/>
          <w:i/>
        </w:rPr>
        <w:t xml:space="preserve">El Ejecutor asentará razón en autos, señalando con claridad los elementos de convicción en que se apoye para determinar al vecino más inmediato. </w:t>
      </w:r>
    </w:p>
    <w:p w14:paraId="07F138A1" w14:textId="77777777" w:rsidR="00F44562" w:rsidRDefault="00F44562" w:rsidP="00512A2F">
      <w:pPr>
        <w:spacing w:line="360" w:lineRule="auto"/>
        <w:ind w:left="567" w:right="615"/>
        <w:jc w:val="both"/>
        <w:rPr>
          <w:rFonts w:ascii="Arial" w:hAnsi="Arial" w:cs="Arial"/>
          <w:i/>
        </w:rPr>
      </w:pPr>
      <w:r w:rsidRPr="00F44562">
        <w:rPr>
          <w:rFonts w:ascii="Arial" w:hAnsi="Arial" w:cs="Arial"/>
          <w:i/>
        </w:rPr>
        <w:t xml:space="preserve">La cédula de notificación a que se refiere este precepto deberá contener: </w:t>
      </w:r>
    </w:p>
    <w:p w14:paraId="4CB5FE28" w14:textId="77777777" w:rsidR="00F44562" w:rsidRDefault="00F44562" w:rsidP="00512A2F">
      <w:pPr>
        <w:spacing w:line="360" w:lineRule="auto"/>
        <w:ind w:left="567" w:right="615"/>
        <w:jc w:val="both"/>
        <w:rPr>
          <w:rFonts w:ascii="Arial" w:hAnsi="Arial" w:cs="Arial"/>
          <w:i/>
        </w:rPr>
      </w:pPr>
      <w:r w:rsidRPr="00F44562">
        <w:rPr>
          <w:rFonts w:ascii="Arial" w:hAnsi="Arial" w:cs="Arial"/>
          <w:i/>
        </w:rPr>
        <w:t xml:space="preserve">a) Lugar, día y hora en que se practique la notificación; </w:t>
      </w:r>
    </w:p>
    <w:p w14:paraId="01CF2AB8" w14:textId="77777777" w:rsidR="00F44562" w:rsidRDefault="00F44562" w:rsidP="00512A2F">
      <w:pPr>
        <w:spacing w:line="360" w:lineRule="auto"/>
        <w:ind w:left="567" w:right="615"/>
        <w:jc w:val="both"/>
        <w:rPr>
          <w:rFonts w:ascii="Arial" w:hAnsi="Arial" w:cs="Arial"/>
          <w:i/>
        </w:rPr>
      </w:pPr>
      <w:r w:rsidRPr="00F44562">
        <w:rPr>
          <w:rFonts w:ascii="Arial" w:hAnsi="Arial" w:cs="Arial"/>
          <w:i/>
        </w:rPr>
        <w:t xml:space="preserve">b) El número de expediente; </w:t>
      </w:r>
    </w:p>
    <w:p w14:paraId="37531689" w14:textId="77777777" w:rsidR="00F44562" w:rsidRDefault="00F44562" w:rsidP="00512A2F">
      <w:pPr>
        <w:spacing w:line="360" w:lineRule="auto"/>
        <w:ind w:left="567" w:right="615"/>
        <w:jc w:val="both"/>
        <w:rPr>
          <w:rFonts w:ascii="Arial" w:hAnsi="Arial" w:cs="Arial"/>
          <w:i/>
        </w:rPr>
      </w:pPr>
      <w:r w:rsidRPr="00F44562">
        <w:rPr>
          <w:rFonts w:ascii="Arial" w:hAnsi="Arial" w:cs="Arial"/>
          <w:i/>
        </w:rPr>
        <w:t xml:space="preserve">c) El nombre de las partes; </w:t>
      </w:r>
    </w:p>
    <w:p w14:paraId="6C64B979" w14:textId="77777777" w:rsidR="00F44562" w:rsidRDefault="00F44562" w:rsidP="00512A2F">
      <w:pPr>
        <w:spacing w:line="360" w:lineRule="auto"/>
        <w:ind w:left="567" w:right="615"/>
        <w:jc w:val="both"/>
        <w:rPr>
          <w:rFonts w:ascii="Arial" w:hAnsi="Arial" w:cs="Arial"/>
          <w:i/>
        </w:rPr>
      </w:pPr>
      <w:r w:rsidRPr="00F44562">
        <w:rPr>
          <w:rFonts w:ascii="Arial" w:hAnsi="Arial" w:cs="Arial"/>
          <w:i/>
        </w:rPr>
        <w:t xml:space="preserve">d) El nombre y domicilio de la persona o personas que deban ser notificadas; e) Fecha de la resolución, y </w:t>
      </w:r>
    </w:p>
    <w:p w14:paraId="2361753E" w14:textId="77777777" w:rsidR="004D2FF0" w:rsidRDefault="00F44562" w:rsidP="00512A2F">
      <w:pPr>
        <w:spacing w:line="360" w:lineRule="auto"/>
        <w:ind w:left="567" w:right="615"/>
        <w:jc w:val="both"/>
        <w:rPr>
          <w:rFonts w:ascii="Arial" w:hAnsi="Arial" w:cs="Arial"/>
          <w:i/>
        </w:rPr>
      </w:pPr>
      <w:r w:rsidRPr="00F44562">
        <w:rPr>
          <w:rFonts w:ascii="Arial" w:hAnsi="Arial" w:cs="Arial"/>
          <w:i/>
        </w:rPr>
        <w:t xml:space="preserve">f) El Juzgado que la dictó. </w:t>
      </w:r>
    </w:p>
    <w:p w14:paraId="789FF19E" w14:textId="7E0510C6" w:rsidR="00F44562" w:rsidRPr="00F44562" w:rsidRDefault="00F44562" w:rsidP="00512A2F">
      <w:pPr>
        <w:spacing w:line="360" w:lineRule="auto"/>
        <w:ind w:left="567" w:right="615"/>
        <w:jc w:val="both"/>
        <w:rPr>
          <w:rFonts w:ascii="Arial" w:hAnsi="Arial" w:cs="Arial"/>
          <w:i/>
        </w:rPr>
      </w:pPr>
      <w:r w:rsidRPr="00F44562">
        <w:rPr>
          <w:rFonts w:ascii="Arial" w:hAnsi="Arial" w:cs="Arial"/>
          <w:i/>
        </w:rPr>
        <w:t>En la primera notificación personal, el Ejecutor entregará copia de la resolución que notifica o la fijará en la puerta de la casa o local correspondiente.</w:t>
      </w:r>
    </w:p>
    <w:p w14:paraId="65DF87FB" w14:textId="6AB06E99" w:rsidR="002C526B" w:rsidRPr="00CA1CE6" w:rsidRDefault="00FC2EEB" w:rsidP="00FE2D95">
      <w:pPr>
        <w:spacing w:line="360" w:lineRule="auto"/>
        <w:ind w:right="51" w:firstLine="567"/>
        <w:jc w:val="both"/>
        <w:rPr>
          <w:rFonts w:ascii="Arial" w:hAnsi="Arial" w:cs="Arial"/>
          <w:bCs/>
          <w:i/>
          <w:snapToGrid w:val="0"/>
          <w:szCs w:val="26"/>
        </w:rPr>
      </w:pPr>
      <w:r>
        <w:rPr>
          <w:rFonts w:ascii="Arial" w:hAnsi="Arial" w:cs="Arial"/>
          <w:bCs/>
          <w:snapToGrid w:val="0"/>
          <w:sz w:val="26"/>
          <w:szCs w:val="26"/>
        </w:rPr>
        <w:t>45</w:t>
      </w:r>
      <w:r w:rsidR="00FC2928">
        <w:rPr>
          <w:rFonts w:ascii="Arial" w:hAnsi="Arial" w:cs="Arial"/>
          <w:bCs/>
          <w:snapToGrid w:val="0"/>
          <w:sz w:val="26"/>
          <w:szCs w:val="26"/>
        </w:rPr>
        <w:t xml:space="preserve">. </w:t>
      </w:r>
      <w:r w:rsidR="00CA1CE6">
        <w:rPr>
          <w:rFonts w:ascii="Arial" w:hAnsi="Arial" w:cs="Arial"/>
          <w:bCs/>
          <w:snapToGrid w:val="0"/>
          <w:sz w:val="26"/>
          <w:szCs w:val="26"/>
        </w:rPr>
        <w:t>Ahora bien, el notificador adscrito a la Unidad de Asuntos Jurídicos del Órgano Superior de Fiscalización del Estado de Oaxaca, dispuso textualmente en la razón de trece de febrero de dos mil diecinueve</w:t>
      </w:r>
      <w:r w:rsidR="00214832">
        <w:rPr>
          <w:rFonts w:ascii="Arial" w:hAnsi="Arial" w:cs="Arial"/>
          <w:bCs/>
          <w:snapToGrid w:val="0"/>
          <w:sz w:val="26"/>
          <w:szCs w:val="26"/>
        </w:rPr>
        <w:t xml:space="preserve"> (13/02/2019)</w:t>
      </w:r>
      <w:r w:rsidR="00214832">
        <w:rPr>
          <w:rStyle w:val="Refdenotaalpie"/>
          <w:rFonts w:ascii="Arial" w:hAnsi="Arial" w:cs="Arial"/>
          <w:bCs/>
          <w:snapToGrid w:val="0"/>
          <w:sz w:val="26"/>
          <w:szCs w:val="26"/>
        </w:rPr>
        <w:footnoteReference w:id="15"/>
      </w:r>
      <w:r w:rsidR="00CA1CE6">
        <w:rPr>
          <w:rFonts w:ascii="Arial" w:hAnsi="Arial" w:cs="Arial"/>
          <w:bCs/>
          <w:snapToGrid w:val="0"/>
          <w:sz w:val="26"/>
          <w:szCs w:val="26"/>
        </w:rPr>
        <w:t xml:space="preserve"> lo siguiente: </w:t>
      </w:r>
      <w:r w:rsidR="00CA1CE6">
        <w:rPr>
          <w:rFonts w:ascii="Arial" w:hAnsi="Arial" w:cs="Arial"/>
          <w:bCs/>
          <w:i/>
          <w:snapToGrid w:val="0"/>
          <w:szCs w:val="26"/>
        </w:rPr>
        <w:t>“</w:t>
      </w:r>
      <w:r w:rsidR="00686148">
        <w:rPr>
          <w:rFonts w:ascii="Arial" w:hAnsi="Arial" w:cs="Arial"/>
          <w:bCs/>
          <w:i/>
          <w:snapToGrid w:val="0"/>
          <w:szCs w:val="26"/>
        </w:rPr>
        <w:t>… por lo que una vez constituido en el referido fraccionamiento, a la altura del establecimiento comercial denominado “CHEDRA</w:t>
      </w:r>
      <w:r w:rsidR="004A0F5E">
        <w:rPr>
          <w:rFonts w:ascii="Arial" w:hAnsi="Arial" w:cs="Arial"/>
          <w:bCs/>
          <w:i/>
          <w:snapToGrid w:val="0"/>
          <w:szCs w:val="26"/>
        </w:rPr>
        <w:t>U</w:t>
      </w:r>
      <w:r w:rsidR="00686148">
        <w:rPr>
          <w:rFonts w:ascii="Arial" w:hAnsi="Arial" w:cs="Arial"/>
          <w:bCs/>
          <w:i/>
          <w:snapToGrid w:val="0"/>
          <w:szCs w:val="26"/>
        </w:rPr>
        <w:t xml:space="preserve">I”, hago constar que tengo a la vista una placa metálica que indica el nombre de la calle Huerto los Ciruelos, haciendo mención que dicha calle se encuentra paralela a la calle Zaachila del </w:t>
      </w:r>
      <w:r w:rsidR="00686148">
        <w:rPr>
          <w:rFonts w:ascii="Arial" w:hAnsi="Arial" w:cs="Arial"/>
          <w:bCs/>
          <w:i/>
          <w:snapToGrid w:val="0"/>
          <w:szCs w:val="26"/>
        </w:rPr>
        <w:lastRenderedPageBreak/>
        <w:t>Fraccionamiento San José la Noria, por lo que una vez precisado lo anterior, recorrí la calle Huerto los Ciruelos, en sentido de norte a sur, observando que existen inmuebles sin numeración oficial, por lo que procedí a llamar a la puerta del inmueble</w:t>
      </w:r>
      <w:r w:rsidR="004A0F5E">
        <w:rPr>
          <w:rFonts w:ascii="Arial" w:hAnsi="Arial" w:cs="Arial"/>
          <w:bCs/>
          <w:i/>
          <w:snapToGrid w:val="0"/>
          <w:szCs w:val="26"/>
        </w:rPr>
        <w:t>**********</w:t>
      </w:r>
      <w:r w:rsidR="00686148">
        <w:rPr>
          <w:rFonts w:ascii="Arial" w:hAnsi="Arial" w:cs="Arial"/>
          <w:bCs/>
          <w:i/>
          <w:snapToGrid w:val="0"/>
          <w:szCs w:val="26"/>
        </w:rPr>
        <w:t>”, lugar donde fui atendido por una persona de sexo masculino, de</w:t>
      </w:r>
      <w:r w:rsidR="004A0F5E">
        <w:rPr>
          <w:rFonts w:ascii="Arial" w:hAnsi="Arial" w:cs="Arial"/>
          <w:bCs/>
          <w:i/>
          <w:snapToGrid w:val="0"/>
          <w:szCs w:val="26"/>
        </w:rPr>
        <w:t xml:space="preserve"> *********</w:t>
      </w:r>
      <w:r w:rsidR="00686148">
        <w:rPr>
          <w:rFonts w:ascii="Arial" w:hAnsi="Arial" w:cs="Arial"/>
          <w:bCs/>
          <w:i/>
          <w:snapToGrid w:val="0"/>
          <w:szCs w:val="26"/>
        </w:rPr>
        <w:t>, de aproximadamente un metro con setenta centímetros de estatura, complexión</w:t>
      </w:r>
      <w:r w:rsidR="004A0F5E">
        <w:rPr>
          <w:rFonts w:ascii="Arial" w:hAnsi="Arial" w:cs="Arial"/>
          <w:bCs/>
          <w:i/>
          <w:snapToGrid w:val="0"/>
          <w:szCs w:val="26"/>
        </w:rPr>
        <w:t xml:space="preserve"> *********</w:t>
      </w:r>
      <w:r w:rsidR="00686148">
        <w:rPr>
          <w:rFonts w:ascii="Arial" w:hAnsi="Arial" w:cs="Arial"/>
          <w:bCs/>
          <w:i/>
          <w:snapToGrid w:val="0"/>
          <w:szCs w:val="26"/>
        </w:rPr>
        <w:t>, ante quien me identifiqué como personal del Órgano Superior de Fiscalización del Estado de Oaxaca</w:t>
      </w:r>
      <w:r w:rsidR="002D1A74">
        <w:rPr>
          <w:rFonts w:ascii="Arial" w:hAnsi="Arial" w:cs="Arial"/>
          <w:bCs/>
          <w:i/>
          <w:snapToGrid w:val="0"/>
          <w:szCs w:val="26"/>
        </w:rPr>
        <w:t>, y le hice saber el motivo de mi presencia, por lo que en atención a lo anterior, dicha persona dijo responder al nombre de</w:t>
      </w:r>
      <w:r w:rsidR="004A0F5E">
        <w:rPr>
          <w:rFonts w:ascii="Arial" w:hAnsi="Arial" w:cs="Arial"/>
          <w:bCs/>
          <w:i/>
          <w:snapToGrid w:val="0"/>
          <w:szCs w:val="26"/>
        </w:rPr>
        <w:t xml:space="preserve"> **********</w:t>
      </w:r>
      <w:r w:rsidR="002D1A74">
        <w:rPr>
          <w:rFonts w:ascii="Arial" w:hAnsi="Arial" w:cs="Arial"/>
          <w:bCs/>
          <w:i/>
          <w:snapToGrid w:val="0"/>
          <w:szCs w:val="26"/>
        </w:rPr>
        <w:t>, manifestando que efectivamente me encontraba en el inmueble marcado con el número</w:t>
      </w:r>
      <w:r w:rsidR="004A0F5E">
        <w:rPr>
          <w:rFonts w:ascii="Arial" w:hAnsi="Arial" w:cs="Arial"/>
          <w:bCs/>
          <w:i/>
          <w:snapToGrid w:val="0"/>
          <w:szCs w:val="26"/>
        </w:rPr>
        <w:t xml:space="preserve"> **********</w:t>
      </w:r>
      <w:r w:rsidR="002D1A74">
        <w:rPr>
          <w:rFonts w:ascii="Arial" w:hAnsi="Arial" w:cs="Arial"/>
          <w:bCs/>
          <w:i/>
          <w:snapToGrid w:val="0"/>
          <w:szCs w:val="26"/>
        </w:rPr>
        <w:t>, informándome que en ese lugar se encontraban asentadas las oficinas administrativas</w:t>
      </w:r>
      <w:r w:rsidR="004A0F5E">
        <w:rPr>
          <w:rFonts w:ascii="Arial" w:hAnsi="Arial" w:cs="Arial"/>
          <w:bCs/>
          <w:i/>
          <w:snapToGrid w:val="0"/>
          <w:szCs w:val="26"/>
        </w:rPr>
        <w:t xml:space="preserve"> ***********</w:t>
      </w:r>
      <w:r w:rsidR="00FE2D95">
        <w:rPr>
          <w:rFonts w:ascii="Arial" w:hAnsi="Arial" w:cs="Arial"/>
          <w:bCs/>
          <w:i/>
          <w:snapToGrid w:val="0"/>
          <w:szCs w:val="26"/>
        </w:rPr>
        <w:t>, por lo que no me podía recibir documentación alguna ya que ahí no era despacho jurídico, manifestándome que al parecer metros más adelante sobre la misma calle existía otro inmueble marcado con el número</w:t>
      </w:r>
      <w:r w:rsidR="004A0F5E">
        <w:rPr>
          <w:rFonts w:ascii="Arial" w:hAnsi="Arial" w:cs="Arial"/>
          <w:bCs/>
          <w:i/>
          <w:snapToGrid w:val="0"/>
          <w:szCs w:val="26"/>
        </w:rPr>
        <w:t xml:space="preserve"> **********</w:t>
      </w:r>
      <w:r w:rsidR="00FE2D95">
        <w:rPr>
          <w:rFonts w:ascii="Arial" w:hAnsi="Arial" w:cs="Arial"/>
          <w:bCs/>
          <w:i/>
          <w:snapToGrid w:val="0"/>
          <w:szCs w:val="26"/>
        </w:rPr>
        <w:t>, ya que la numeración no tenía orden; por lo que con motivo de lo anterior, procedo a recorrer nuevamente la calle de</w:t>
      </w:r>
      <w:r w:rsidR="004A0F5E">
        <w:rPr>
          <w:rFonts w:ascii="Arial" w:hAnsi="Arial" w:cs="Arial"/>
          <w:bCs/>
          <w:i/>
          <w:snapToGrid w:val="0"/>
          <w:szCs w:val="26"/>
        </w:rPr>
        <w:t>***********</w:t>
      </w:r>
      <w:r w:rsidR="00FE2D95">
        <w:rPr>
          <w:rFonts w:ascii="Arial" w:hAnsi="Arial" w:cs="Arial"/>
          <w:bCs/>
          <w:i/>
          <w:snapToGrid w:val="0"/>
          <w:szCs w:val="26"/>
        </w:rPr>
        <w:t>, siendo que en la segunda cuadra de la referida calle tuve a la vista un inmueble en donde se encuentra establecido un negocio llamado “</w:t>
      </w:r>
      <w:r w:rsidR="004A0F5E">
        <w:rPr>
          <w:rFonts w:ascii="Arial" w:hAnsi="Arial" w:cs="Arial"/>
          <w:bCs/>
          <w:i/>
          <w:snapToGrid w:val="0"/>
          <w:szCs w:val="26"/>
        </w:rPr>
        <w:t>**********</w:t>
      </w:r>
      <w:r w:rsidR="00FE2D95">
        <w:rPr>
          <w:rFonts w:ascii="Arial" w:hAnsi="Arial" w:cs="Arial"/>
          <w:bCs/>
          <w:i/>
          <w:snapToGrid w:val="0"/>
          <w:szCs w:val="26"/>
        </w:rPr>
        <w:t>”, lugar que al estar abierto al público en general, procedí a ingresar, siendo atendido por una persona de sexo</w:t>
      </w:r>
      <w:r w:rsidR="00AE577A">
        <w:rPr>
          <w:rFonts w:ascii="Arial" w:hAnsi="Arial" w:cs="Arial"/>
          <w:bCs/>
          <w:i/>
          <w:snapToGrid w:val="0"/>
          <w:szCs w:val="26"/>
        </w:rPr>
        <w:t xml:space="preserve"> **********</w:t>
      </w:r>
      <w:r w:rsidR="00FE2D95">
        <w:rPr>
          <w:rFonts w:ascii="Arial" w:hAnsi="Arial" w:cs="Arial"/>
          <w:bCs/>
          <w:i/>
          <w:snapToGrid w:val="0"/>
          <w:szCs w:val="26"/>
        </w:rPr>
        <w:t xml:space="preserve">, aproximadamente </w:t>
      </w:r>
      <w:r w:rsidR="00AE577A">
        <w:rPr>
          <w:rFonts w:ascii="Arial" w:hAnsi="Arial" w:cs="Arial"/>
          <w:bCs/>
          <w:i/>
          <w:snapToGrid w:val="0"/>
          <w:szCs w:val="26"/>
        </w:rPr>
        <w:t xml:space="preserve">********* </w:t>
      </w:r>
      <w:r w:rsidR="00FE2D95">
        <w:rPr>
          <w:rFonts w:ascii="Arial" w:hAnsi="Arial" w:cs="Arial"/>
          <w:bCs/>
          <w:i/>
          <w:snapToGrid w:val="0"/>
          <w:szCs w:val="26"/>
        </w:rPr>
        <w:t>años de edad, de complexión</w:t>
      </w:r>
      <w:r w:rsidR="00AE577A">
        <w:rPr>
          <w:rFonts w:ascii="Arial" w:hAnsi="Arial" w:cs="Arial"/>
          <w:bCs/>
          <w:i/>
          <w:snapToGrid w:val="0"/>
          <w:szCs w:val="26"/>
        </w:rPr>
        <w:t>*********</w:t>
      </w:r>
      <w:r w:rsidR="00FE2D95">
        <w:rPr>
          <w:rFonts w:ascii="Arial" w:hAnsi="Arial" w:cs="Arial"/>
          <w:bCs/>
          <w:i/>
          <w:snapToGrid w:val="0"/>
          <w:szCs w:val="26"/>
        </w:rPr>
        <w:t>, de cabello</w:t>
      </w:r>
      <w:r w:rsidR="00AE577A">
        <w:rPr>
          <w:rFonts w:ascii="Arial" w:hAnsi="Arial" w:cs="Arial"/>
          <w:bCs/>
          <w:i/>
          <w:snapToGrid w:val="0"/>
          <w:szCs w:val="26"/>
        </w:rPr>
        <w:t>*********</w:t>
      </w:r>
      <w:r w:rsidR="00FE2D95">
        <w:rPr>
          <w:rFonts w:ascii="Arial" w:hAnsi="Arial" w:cs="Arial"/>
          <w:bCs/>
          <w:i/>
          <w:snapToGrid w:val="0"/>
          <w:szCs w:val="26"/>
        </w:rPr>
        <w:t>, quien dice llamarse</w:t>
      </w:r>
      <w:r w:rsidR="00AE577A">
        <w:rPr>
          <w:rFonts w:ascii="Arial" w:hAnsi="Arial" w:cs="Arial"/>
          <w:bCs/>
          <w:i/>
          <w:snapToGrid w:val="0"/>
          <w:szCs w:val="26"/>
        </w:rPr>
        <w:t>**********</w:t>
      </w:r>
      <w:r w:rsidR="00FE2D95">
        <w:rPr>
          <w:rFonts w:ascii="Arial" w:hAnsi="Arial" w:cs="Arial"/>
          <w:bCs/>
          <w:i/>
          <w:snapToGrid w:val="0"/>
          <w:szCs w:val="26"/>
        </w:rPr>
        <w:t xml:space="preserve">, quien labora como mesero en ese lugar, ante quien me identifique como personal del Órgano Superior de Fiscalización del Estado de Oaxaca, y le hice saber el motivo de mi presencia, por lo que la persona antes mencionada, me manifestó que el inmueble en que me encontraba era el número </w:t>
      </w:r>
      <w:r w:rsidR="00AE577A">
        <w:rPr>
          <w:rFonts w:ascii="Arial" w:hAnsi="Arial" w:cs="Arial"/>
          <w:bCs/>
          <w:i/>
          <w:snapToGrid w:val="0"/>
          <w:szCs w:val="26"/>
        </w:rPr>
        <w:t xml:space="preserve">******** </w:t>
      </w:r>
      <w:r w:rsidR="00FE2D95">
        <w:rPr>
          <w:rFonts w:ascii="Arial" w:hAnsi="Arial" w:cs="Arial"/>
          <w:bCs/>
          <w:i/>
          <w:snapToGrid w:val="0"/>
          <w:szCs w:val="26"/>
        </w:rPr>
        <w:t>de la calle</w:t>
      </w:r>
      <w:r w:rsidR="00AE577A">
        <w:rPr>
          <w:rFonts w:ascii="Arial" w:hAnsi="Arial" w:cs="Arial"/>
          <w:bCs/>
          <w:i/>
          <w:snapToGrid w:val="0"/>
          <w:szCs w:val="26"/>
        </w:rPr>
        <w:t xml:space="preserve"> **********</w:t>
      </w:r>
      <w:r w:rsidR="00FE2D95">
        <w:rPr>
          <w:rFonts w:ascii="Arial" w:hAnsi="Arial" w:cs="Arial"/>
          <w:bCs/>
          <w:i/>
          <w:snapToGrid w:val="0"/>
          <w:szCs w:val="26"/>
        </w:rPr>
        <w:t>, del Fraccionamiento</w:t>
      </w:r>
      <w:r w:rsidR="00AE577A">
        <w:rPr>
          <w:rFonts w:ascii="Arial" w:hAnsi="Arial" w:cs="Arial"/>
          <w:bCs/>
          <w:i/>
          <w:snapToGrid w:val="0"/>
          <w:szCs w:val="26"/>
        </w:rPr>
        <w:t xml:space="preserve"> **********</w:t>
      </w:r>
      <w:r w:rsidR="00FE2D95">
        <w:rPr>
          <w:rFonts w:ascii="Arial" w:hAnsi="Arial" w:cs="Arial"/>
          <w:bCs/>
          <w:i/>
          <w:snapToGrid w:val="0"/>
          <w:szCs w:val="26"/>
        </w:rPr>
        <w:t>, que lo sabe y le consta ya que labora ahí desde aproximadamente cuatro años, y que en ese lugar como se puede apreciar</w:t>
      </w:r>
      <w:r w:rsidR="00DF56DB">
        <w:rPr>
          <w:rFonts w:ascii="Arial" w:hAnsi="Arial" w:cs="Arial"/>
          <w:bCs/>
          <w:i/>
          <w:snapToGrid w:val="0"/>
          <w:szCs w:val="26"/>
        </w:rPr>
        <w:t xml:space="preserve"> a simple vista, no se trata de un despacho jurídico y no reciben documentación a nombre de</w:t>
      </w:r>
      <w:r w:rsidR="009111F5">
        <w:rPr>
          <w:rFonts w:ascii="Arial" w:hAnsi="Arial" w:cs="Arial"/>
          <w:bCs/>
          <w:i/>
          <w:snapToGrid w:val="0"/>
          <w:szCs w:val="26"/>
        </w:rPr>
        <w:t xml:space="preserve"> </w:t>
      </w:r>
      <w:r w:rsidR="009111F5">
        <w:rPr>
          <w:rFonts w:ascii="Arial" w:hAnsi="Arial" w:cs="Arial"/>
          <w:b/>
          <w:sz w:val="26"/>
          <w:szCs w:val="26"/>
        </w:rPr>
        <w:t>**********</w:t>
      </w:r>
      <w:r w:rsidR="00DF56DB">
        <w:rPr>
          <w:rFonts w:ascii="Arial" w:hAnsi="Arial" w:cs="Arial"/>
          <w:bCs/>
          <w:i/>
          <w:snapToGrid w:val="0"/>
          <w:szCs w:val="26"/>
        </w:rPr>
        <w:t>. Por lo que en atención a lo anterior y con fundamento en lo dispuesto por 108 del Código de Procedimientos Civiles para el Estado de Oaxaca, aplicado en forma supletoria a la Ley de la materia</w:t>
      </w:r>
      <w:r w:rsidR="00FE6D5A">
        <w:rPr>
          <w:rFonts w:ascii="Arial" w:hAnsi="Arial" w:cs="Arial"/>
          <w:bCs/>
          <w:i/>
          <w:snapToGrid w:val="0"/>
          <w:szCs w:val="26"/>
        </w:rPr>
        <w:t xml:space="preserve"> y ante la imposibilidad de notificar la resolución que antecede al no haber certeza del inmueble señalado por el </w:t>
      </w:r>
      <w:proofErr w:type="gramStart"/>
      <w:r w:rsidR="00FE6D5A">
        <w:rPr>
          <w:rFonts w:ascii="Arial" w:hAnsi="Arial" w:cs="Arial"/>
          <w:bCs/>
          <w:i/>
          <w:snapToGrid w:val="0"/>
          <w:szCs w:val="26"/>
        </w:rPr>
        <w:t xml:space="preserve">ciudadano </w:t>
      </w:r>
      <w:r w:rsidR="009111F5">
        <w:rPr>
          <w:rFonts w:ascii="Arial" w:hAnsi="Arial" w:cs="Arial"/>
          <w:bCs/>
          <w:i/>
          <w:snapToGrid w:val="0"/>
          <w:szCs w:val="26"/>
        </w:rPr>
        <w:t xml:space="preserve"> </w:t>
      </w:r>
      <w:r w:rsidR="009111F5">
        <w:rPr>
          <w:rFonts w:ascii="Arial" w:hAnsi="Arial" w:cs="Arial"/>
          <w:b/>
          <w:sz w:val="26"/>
          <w:szCs w:val="26"/>
        </w:rPr>
        <w:t>*</w:t>
      </w:r>
      <w:proofErr w:type="gramEnd"/>
      <w:r w:rsidR="009111F5">
        <w:rPr>
          <w:rFonts w:ascii="Arial" w:hAnsi="Arial" w:cs="Arial"/>
          <w:b/>
          <w:sz w:val="26"/>
          <w:szCs w:val="26"/>
        </w:rPr>
        <w:t xml:space="preserve">********* </w:t>
      </w:r>
      <w:r w:rsidR="00FE6D5A">
        <w:rPr>
          <w:rFonts w:ascii="Arial" w:hAnsi="Arial" w:cs="Arial"/>
          <w:bCs/>
          <w:i/>
          <w:snapToGrid w:val="0"/>
          <w:szCs w:val="26"/>
        </w:rPr>
        <w:t>para recibir notificaciones, doy cuenta con la presente para los efectos legales a que haya lugar, …”</w:t>
      </w:r>
    </w:p>
    <w:p w14:paraId="0FF1B964" w14:textId="5BE12F77" w:rsidR="00D86AFF" w:rsidRPr="00D86AFF" w:rsidRDefault="00FC2EEB"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46</w:t>
      </w:r>
      <w:r w:rsidR="00D86AFF">
        <w:rPr>
          <w:rFonts w:ascii="Arial" w:hAnsi="Arial" w:cs="Arial"/>
          <w:bCs/>
          <w:snapToGrid w:val="0"/>
          <w:sz w:val="26"/>
          <w:szCs w:val="26"/>
        </w:rPr>
        <w:t xml:space="preserve">. Sin que al efecto se advierta en la razón que antecede, que el notificador adscrito a la Unidad de Asuntos Jurídicos haya preguntado en los domicilios en los cuales se constituyó, si ahí habitaba o conocían al ciudadano </w:t>
      </w:r>
      <w:r w:rsidR="009111F5">
        <w:rPr>
          <w:rFonts w:ascii="Arial" w:hAnsi="Arial" w:cs="Arial"/>
          <w:b/>
          <w:sz w:val="26"/>
          <w:szCs w:val="26"/>
        </w:rPr>
        <w:t xml:space="preserve">********** </w:t>
      </w:r>
      <w:r w:rsidR="00D86AFF">
        <w:rPr>
          <w:rFonts w:ascii="Arial" w:hAnsi="Arial" w:cs="Arial"/>
          <w:bCs/>
          <w:snapToGrid w:val="0"/>
          <w:sz w:val="26"/>
          <w:szCs w:val="26"/>
        </w:rPr>
        <w:t xml:space="preserve">o a las personas autorizadas por este último en su escrito de </w:t>
      </w:r>
      <w:r w:rsidR="0003716E">
        <w:rPr>
          <w:rFonts w:ascii="Arial" w:hAnsi="Arial" w:cs="Arial"/>
          <w:bCs/>
          <w:snapToGrid w:val="0"/>
          <w:sz w:val="26"/>
          <w:szCs w:val="26"/>
        </w:rPr>
        <w:t xml:space="preserve">treinta y uno de marzo de dos mil dieciséis (13/03/2016) </w:t>
      </w:r>
      <w:r w:rsidR="00D86AFF">
        <w:rPr>
          <w:rFonts w:ascii="Arial" w:hAnsi="Arial" w:cs="Arial"/>
          <w:bCs/>
          <w:snapToGrid w:val="0"/>
          <w:sz w:val="26"/>
          <w:szCs w:val="26"/>
        </w:rPr>
        <w:t>para recibir notificaciones</w:t>
      </w:r>
      <w:r w:rsidR="0003716E">
        <w:rPr>
          <w:rFonts w:ascii="Arial" w:hAnsi="Arial" w:cs="Arial"/>
          <w:bCs/>
          <w:snapToGrid w:val="0"/>
          <w:sz w:val="26"/>
          <w:szCs w:val="26"/>
        </w:rPr>
        <w:t>.</w:t>
      </w:r>
    </w:p>
    <w:p w14:paraId="1A625173" w14:textId="599A5BAC" w:rsidR="002C526B" w:rsidRDefault="0003716E"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4</w:t>
      </w:r>
      <w:r w:rsidR="00FC2EEB">
        <w:rPr>
          <w:rFonts w:ascii="Arial" w:hAnsi="Arial" w:cs="Arial"/>
          <w:bCs/>
          <w:snapToGrid w:val="0"/>
          <w:sz w:val="26"/>
          <w:szCs w:val="26"/>
        </w:rPr>
        <w:t>7</w:t>
      </w:r>
      <w:r>
        <w:rPr>
          <w:rFonts w:ascii="Arial" w:hAnsi="Arial" w:cs="Arial"/>
          <w:bCs/>
          <w:snapToGrid w:val="0"/>
          <w:sz w:val="26"/>
          <w:szCs w:val="26"/>
        </w:rPr>
        <w:t xml:space="preserve">. </w:t>
      </w:r>
      <w:r w:rsidR="00D86AFF">
        <w:rPr>
          <w:rFonts w:ascii="Arial" w:hAnsi="Arial" w:cs="Arial"/>
          <w:bCs/>
          <w:snapToGrid w:val="0"/>
          <w:sz w:val="26"/>
          <w:szCs w:val="26"/>
        </w:rPr>
        <w:t>E</w:t>
      </w:r>
      <w:r w:rsidR="00FC2928">
        <w:rPr>
          <w:rFonts w:ascii="Arial" w:hAnsi="Arial" w:cs="Arial"/>
          <w:bCs/>
          <w:snapToGrid w:val="0"/>
          <w:sz w:val="26"/>
          <w:szCs w:val="26"/>
        </w:rPr>
        <w:t xml:space="preserve">n razón de lo antes expuesto, la Titular de la </w:t>
      </w:r>
      <w:r w:rsidR="00214832">
        <w:rPr>
          <w:rFonts w:ascii="Arial" w:hAnsi="Arial" w:cs="Arial"/>
          <w:bCs/>
          <w:snapToGrid w:val="0"/>
          <w:sz w:val="26"/>
          <w:szCs w:val="26"/>
        </w:rPr>
        <w:t>U</w:t>
      </w:r>
      <w:r w:rsidR="00FC2928">
        <w:rPr>
          <w:rFonts w:ascii="Arial" w:hAnsi="Arial" w:cs="Arial"/>
          <w:bCs/>
          <w:snapToGrid w:val="0"/>
          <w:sz w:val="26"/>
          <w:szCs w:val="26"/>
        </w:rPr>
        <w:t xml:space="preserve">nidad de Asuntos Jurídicos determino mediante acuerdo de fecha catorce de febrero de dos </w:t>
      </w:r>
      <w:r w:rsidR="00FC2928">
        <w:rPr>
          <w:rFonts w:ascii="Arial" w:hAnsi="Arial" w:cs="Arial"/>
          <w:bCs/>
          <w:snapToGrid w:val="0"/>
          <w:sz w:val="26"/>
          <w:szCs w:val="26"/>
        </w:rPr>
        <w:lastRenderedPageBreak/>
        <w:t>mil diecinueve (14/02/2019)</w:t>
      </w:r>
      <w:r w:rsidR="00FC2928">
        <w:rPr>
          <w:rStyle w:val="Refdenotaalpie"/>
          <w:rFonts w:ascii="Arial" w:hAnsi="Arial" w:cs="Arial"/>
          <w:bCs/>
          <w:snapToGrid w:val="0"/>
          <w:sz w:val="26"/>
          <w:szCs w:val="26"/>
        </w:rPr>
        <w:footnoteReference w:id="16"/>
      </w:r>
      <w:r w:rsidR="00214832">
        <w:rPr>
          <w:rFonts w:ascii="Arial" w:hAnsi="Arial" w:cs="Arial"/>
          <w:bCs/>
          <w:snapToGrid w:val="0"/>
          <w:sz w:val="26"/>
          <w:szCs w:val="26"/>
        </w:rPr>
        <w:t xml:space="preserve"> notificar al hoy actor el contenido de la resolución de doce de febrero de dos mil diecinueve, así como el referido acuerdo mediante Lista de Acuerdos que se publique en lugar visible y de fácil acceso de ese Órgano Superior de Fiscalización del Estado de Oaxaca</w:t>
      </w:r>
      <w:r w:rsidR="0009746A">
        <w:rPr>
          <w:rFonts w:ascii="Arial" w:hAnsi="Arial" w:cs="Arial"/>
          <w:bCs/>
          <w:snapToGrid w:val="0"/>
          <w:sz w:val="26"/>
          <w:szCs w:val="26"/>
        </w:rPr>
        <w:t xml:space="preserve">, documentales a las cuales se les otorga valor probatorio pleno, de conformidad con lo dispuesto por el artículo </w:t>
      </w:r>
      <w:r w:rsidR="0009746A" w:rsidRPr="0009746A">
        <w:rPr>
          <w:rFonts w:ascii="Arial" w:hAnsi="Arial" w:cs="Arial"/>
          <w:bCs/>
          <w:snapToGrid w:val="0"/>
          <w:sz w:val="26"/>
          <w:szCs w:val="26"/>
        </w:rPr>
        <w:t>de conformidad con lo dispuesto en el artículo 25</w:t>
      </w:r>
      <w:r w:rsidR="0009746A">
        <w:rPr>
          <w:rStyle w:val="Refdenotaalpie"/>
          <w:rFonts w:ascii="Arial" w:hAnsi="Arial" w:cs="Arial"/>
          <w:bCs/>
          <w:snapToGrid w:val="0"/>
          <w:sz w:val="26"/>
          <w:szCs w:val="26"/>
        </w:rPr>
        <w:footnoteReference w:id="17"/>
      </w:r>
      <w:r w:rsidR="0009746A">
        <w:rPr>
          <w:rFonts w:ascii="Arial" w:hAnsi="Arial" w:cs="Arial"/>
          <w:bCs/>
          <w:snapToGrid w:val="0"/>
          <w:sz w:val="26"/>
          <w:szCs w:val="26"/>
        </w:rPr>
        <w:t xml:space="preserve"> </w:t>
      </w:r>
      <w:r w:rsidR="0009746A" w:rsidRPr="0009746A">
        <w:rPr>
          <w:rFonts w:ascii="Arial" w:hAnsi="Arial" w:cs="Arial"/>
          <w:bCs/>
          <w:snapToGrid w:val="0"/>
          <w:sz w:val="26"/>
          <w:szCs w:val="26"/>
        </w:rPr>
        <w:t xml:space="preserve">de la </w:t>
      </w:r>
      <w:r w:rsidR="00F17D36" w:rsidRPr="00F17D36">
        <w:rPr>
          <w:rFonts w:ascii="Arial" w:hAnsi="Arial" w:cs="Arial"/>
          <w:bCs/>
          <w:i/>
          <w:snapToGrid w:val="0"/>
          <w:sz w:val="26"/>
          <w:szCs w:val="26"/>
        </w:rPr>
        <w:t>Ley de Justicia</w:t>
      </w:r>
      <w:r w:rsidR="0009746A" w:rsidRPr="0009746A">
        <w:rPr>
          <w:rFonts w:ascii="Arial" w:hAnsi="Arial" w:cs="Arial"/>
          <w:bCs/>
          <w:snapToGrid w:val="0"/>
          <w:sz w:val="26"/>
          <w:szCs w:val="26"/>
        </w:rPr>
        <w:t>, al tratarse de copias certificadas de un documento público</w:t>
      </w:r>
      <w:r w:rsidR="0009746A">
        <w:rPr>
          <w:rFonts w:ascii="Arial" w:hAnsi="Arial" w:cs="Arial"/>
          <w:bCs/>
          <w:snapToGrid w:val="0"/>
          <w:sz w:val="26"/>
          <w:szCs w:val="26"/>
        </w:rPr>
        <w:t>.</w:t>
      </w:r>
    </w:p>
    <w:p w14:paraId="58E2C768" w14:textId="5096EA1D" w:rsidR="0009746A" w:rsidRPr="008B283F" w:rsidRDefault="00FC2EEB"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48</w:t>
      </w:r>
      <w:r w:rsidR="0009746A">
        <w:rPr>
          <w:rFonts w:ascii="Arial" w:hAnsi="Arial" w:cs="Arial"/>
          <w:bCs/>
          <w:snapToGrid w:val="0"/>
          <w:sz w:val="26"/>
          <w:szCs w:val="26"/>
        </w:rPr>
        <w:t xml:space="preserve">. Ahora bien, debe precisarse que acorde a la razón de fecha trece de febrero de dos mil diecinueve (13/02/2019) </w:t>
      </w:r>
      <w:r w:rsidR="008B283F">
        <w:rPr>
          <w:rFonts w:ascii="Arial" w:hAnsi="Arial" w:cs="Arial"/>
          <w:bCs/>
          <w:snapToGrid w:val="0"/>
          <w:sz w:val="26"/>
          <w:szCs w:val="26"/>
        </w:rPr>
        <w:t xml:space="preserve">en la cual </w:t>
      </w:r>
      <w:r w:rsidR="0009746A">
        <w:rPr>
          <w:rFonts w:ascii="Arial" w:hAnsi="Arial" w:cs="Arial"/>
          <w:bCs/>
          <w:snapToGrid w:val="0"/>
          <w:sz w:val="26"/>
          <w:szCs w:val="26"/>
        </w:rPr>
        <w:t xml:space="preserve">el notificador adscrito a la Unidad de Asuntos Jurídicos </w:t>
      </w:r>
      <w:r w:rsidR="008B283F">
        <w:rPr>
          <w:rFonts w:ascii="Arial" w:hAnsi="Arial" w:cs="Arial"/>
          <w:bCs/>
          <w:snapToGrid w:val="0"/>
          <w:sz w:val="26"/>
          <w:szCs w:val="26"/>
        </w:rPr>
        <w:t xml:space="preserve">del Órgano Superior de Fiscalización del Estado de Oaxaca, asentó la imposibilidad para para llevar a cabo la notificación de doce de febrero de dos mil diecinueve (12/02/2019), dictada en el expediente </w:t>
      </w:r>
      <w:r w:rsidR="008B283F">
        <w:rPr>
          <w:rFonts w:ascii="Arial" w:hAnsi="Arial" w:cs="Arial"/>
          <w:b/>
          <w:bCs/>
          <w:snapToGrid w:val="0"/>
          <w:sz w:val="26"/>
          <w:szCs w:val="26"/>
        </w:rPr>
        <w:t>ASE/UAJ/P.R./004/2016</w:t>
      </w:r>
      <w:r w:rsidR="008B283F">
        <w:rPr>
          <w:rFonts w:ascii="Arial" w:hAnsi="Arial" w:cs="Arial"/>
          <w:bCs/>
          <w:snapToGrid w:val="0"/>
          <w:sz w:val="26"/>
          <w:szCs w:val="26"/>
        </w:rPr>
        <w:t>, derivado de la falta de certeza en cuanto al domicilio señalado por el ciudadano</w:t>
      </w:r>
      <w:r w:rsidR="009111F5">
        <w:rPr>
          <w:rFonts w:ascii="Arial" w:hAnsi="Arial" w:cs="Arial"/>
          <w:b/>
          <w:bCs/>
          <w:snapToGrid w:val="0"/>
          <w:sz w:val="26"/>
          <w:szCs w:val="26"/>
        </w:rPr>
        <w:t xml:space="preserve"> </w:t>
      </w:r>
      <w:r w:rsidR="009111F5">
        <w:rPr>
          <w:rFonts w:ascii="Arial" w:hAnsi="Arial" w:cs="Arial"/>
          <w:b/>
          <w:sz w:val="26"/>
          <w:szCs w:val="26"/>
        </w:rPr>
        <w:t>**********</w:t>
      </w:r>
      <w:r w:rsidR="008B283F">
        <w:rPr>
          <w:rFonts w:ascii="Arial" w:hAnsi="Arial" w:cs="Arial"/>
          <w:bCs/>
          <w:snapToGrid w:val="0"/>
          <w:sz w:val="26"/>
          <w:szCs w:val="26"/>
        </w:rPr>
        <w:t xml:space="preserve">, para recibir notificaciones, es inconcuso que la autoridad demandada, debió notificar la referida resolución por edictos, de conformidad con lo dispuesto en el artículo 115 fracción II del </w:t>
      </w:r>
      <w:r w:rsidR="008B283F" w:rsidRPr="00FC2EEB">
        <w:rPr>
          <w:rFonts w:ascii="Arial" w:hAnsi="Arial" w:cs="Arial"/>
          <w:bCs/>
          <w:i/>
          <w:snapToGrid w:val="0"/>
          <w:sz w:val="26"/>
          <w:szCs w:val="26"/>
        </w:rPr>
        <w:t>Código</w:t>
      </w:r>
      <w:r>
        <w:rPr>
          <w:rFonts w:ascii="Arial" w:hAnsi="Arial" w:cs="Arial"/>
          <w:bCs/>
          <w:snapToGrid w:val="0"/>
          <w:sz w:val="26"/>
          <w:szCs w:val="26"/>
        </w:rPr>
        <w:t xml:space="preserve"> </w:t>
      </w:r>
      <w:r w:rsidRPr="00FC2EEB">
        <w:rPr>
          <w:rFonts w:ascii="Arial" w:hAnsi="Arial" w:cs="Arial"/>
          <w:bCs/>
          <w:i/>
          <w:snapToGrid w:val="0"/>
          <w:sz w:val="26"/>
          <w:szCs w:val="26"/>
        </w:rPr>
        <w:t>Procesal</w:t>
      </w:r>
      <w:r w:rsidR="00364B5B">
        <w:rPr>
          <w:rStyle w:val="Refdenotaalpie"/>
          <w:rFonts w:ascii="Arial" w:hAnsi="Arial" w:cs="Arial"/>
          <w:bCs/>
          <w:snapToGrid w:val="0"/>
          <w:sz w:val="26"/>
          <w:szCs w:val="26"/>
        </w:rPr>
        <w:footnoteReference w:id="18"/>
      </w:r>
      <w:r w:rsidR="008B283F">
        <w:rPr>
          <w:rFonts w:ascii="Arial" w:hAnsi="Arial" w:cs="Arial"/>
          <w:bCs/>
          <w:snapToGrid w:val="0"/>
          <w:sz w:val="26"/>
          <w:szCs w:val="26"/>
        </w:rPr>
        <w:t>, y no por Lista de Acuerdos</w:t>
      </w:r>
      <w:r w:rsidR="00364B5B">
        <w:rPr>
          <w:rFonts w:ascii="Arial" w:hAnsi="Arial" w:cs="Arial"/>
          <w:bCs/>
          <w:snapToGrid w:val="0"/>
          <w:sz w:val="26"/>
          <w:szCs w:val="26"/>
        </w:rPr>
        <w:t xml:space="preserve">, lo anterior a efecto de no dejar en estado de indefensión al hoy inconforme y garantizar la máxima publicidad de la resolución determinante dictada en el expediente dictada en el expediente </w:t>
      </w:r>
      <w:r w:rsidR="00364B5B">
        <w:rPr>
          <w:rFonts w:ascii="Arial" w:hAnsi="Arial" w:cs="Arial"/>
          <w:b/>
          <w:bCs/>
          <w:snapToGrid w:val="0"/>
          <w:sz w:val="26"/>
          <w:szCs w:val="26"/>
        </w:rPr>
        <w:t>ASE/UAJ/P.R./004/2016.</w:t>
      </w:r>
    </w:p>
    <w:p w14:paraId="57557F2E" w14:textId="2149FD0B" w:rsidR="00757C66" w:rsidRPr="00030636" w:rsidRDefault="00FC2EEB" w:rsidP="00757C66">
      <w:pPr>
        <w:shd w:val="clear" w:color="auto" w:fill="FFFFFF"/>
        <w:spacing w:after="240" w:line="360" w:lineRule="auto"/>
        <w:ind w:firstLine="567"/>
        <w:jc w:val="both"/>
        <w:textAlignment w:val="baseline"/>
        <w:rPr>
          <w:rFonts w:ascii="Arial" w:hAnsi="Arial" w:cs="Arial"/>
          <w:sz w:val="26"/>
          <w:szCs w:val="26"/>
          <w:lang w:val="es-ES"/>
        </w:rPr>
      </w:pPr>
      <w:r>
        <w:rPr>
          <w:rFonts w:ascii="Arial" w:hAnsi="Arial" w:cs="Arial"/>
          <w:sz w:val="26"/>
          <w:szCs w:val="26"/>
        </w:rPr>
        <w:t>49</w:t>
      </w:r>
      <w:r w:rsidR="00364B5B">
        <w:rPr>
          <w:rFonts w:ascii="Arial" w:hAnsi="Arial" w:cs="Arial"/>
          <w:sz w:val="26"/>
          <w:szCs w:val="26"/>
        </w:rPr>
        <w:t xml:space="preserve">. </w:t>
      </w:r>
      <w:r w:rsidR="00757C66">
        <w:rPr>
          <w:rFonts w:ascii="Arial" w:hAnsi="Arial" w:cs="Arial"/>
          <w:sz w:val="26"/>
          <w:szCs w:val="26"/>
          <w:lang w:val="es-ES"/>
        </w:rPr>
        <w:t xml:space="preserve">Aunado a lo antes expuesto, y </w:t>
      </w:r>
      <w:r w:rsidR="00030636">
        <w:rPr>
          <w:rFonts w:ascii="Arial" w:hAnsi="Arial" w:cs="Arial"/>
          <w:sz w:val="26"/>
          <w:szCs w:val="26"/>
          <w:lang w:val="es-ES"/>
        </w:rPr>
        <w:t>posterior a un análisis realizado a</w:t>
      </w:r>
      <w:r w:rsidR="00757C66">
        <w:rPr>
          <w:rFonts w:ascii="Arial" w:hAnsi="Arial" w:cs="Arial"/>
          <w:sz w:val="26"/>
          <w:szCs w:val="26"/>
          <w:lang w:val="es-ES"/>
        </w:rPr>
        <w:t xml:space="preserve"> las copias certificadas del expediente </w:t>
      </w:r>
      <w:r w:rsidR="00757C66">
        <w:rPr>
          <w:rFonts w:ascii="Arial" w:hAnsi="Arial" w:cs="Arial"/>
          <w:b/>
          <w:sz w:val="26"/>
          <w:szCs w:val="26"/>
          <w:lang w:val="es-ES"/>
        </w:rPr>
        <w:t>ASE/UAJ/P.R./004</w:t>
      </w:r>
      <w:r w:rsidR="00757C66" w:rsidRPr="00757C66">
        <w:rPr>
          <w:rFonts w:ascii="Arial" w:hAnsi="Arial" w:cs="Arial"/>
          <w:b/>
          <w:sz w:val="26"/>
          <w:szCs w:val="26"/>
          <w:lang w:val="es-ES"/>
        </w:rPr>
        <w:t>/2016</w:t>
      </w:r>
      <w:r w:rsidR="00757C66">
        <w:rPr>
          <w:rFonts w:ascii="Arial" w:hAnsi="Arial" w:cs="Arial"/>
          <w:sz w:val="26"/>
          <w:szCs w:val="26"/>
          <w:lang w:val="es-ES"/>
        </w:rPr>
        <w:t xml:space="preserve">, </w:t>
      </w:r>
      <w:r w:rsidR="00757C66" w:rsidRPr="00757C66">
        <w:rPr>
          <w:rFonts w:ascii="Arial" w:hAnsi="Arial" w:cs="Arial"/>
          <w:sz w:val="26"/>
          <w:szCs w:val="26"/>
          <w:lang w:val="es-ES"/>
        </w:rPr>
        <w:t>que</w:t>
      </w:r>
      <w:r w:rsidR="00757C66">
        <w:rPr>
          <w:rFonts w:ascii="Arial" w:hAnsi="Arial" w:cs="Arial"/>
          <w:sz w:val="26"/>
          <w:szCs w:val="26"/>
          <w:lang w:val="es-ES"/>
        </w:rPr>
        <w:t xml:space="preserve"> la autoridad demandada remitió en su informe de fecha nueve de marzo de dos mil veintitrés (09/03/2023), </w:t>
      </w:r>
      <w:r w:rsidR="00030636">
        <w:rPr>
          <w:rFonts w:ascii="Arial" w:hAnsi="Arial" w:cs="Arial"/>
          <w:sz w:val="26"/>
          <w:szCs w:val="26"/>
          <w:lang w:val="es-ES"/>
        </w:rPr>
        <w:t xml:space="preserve">contenido en el </w:t>
      </w:r>
      <w:r w:rsidR="00757C66">
        <w:rPr>
          <w:rFonts w:ascii="Arial" w:hAnsi="Arial" w:cs="Arial"/>
          <w:sz w:val="26"/>
          <w:szCs w:val="26"/>
          <w:lang w:val="es-ES"/>
        </w:rPr>
        <w:t xml:space="preserve">oficio </w:t>
      </w:r>
      <w:r w:rsidR="00757C66" w:rsidRPr="00030636">
        <w:rPr>
          <w:rFonts w:ascii="Arial" w:hAnsi="Arial" w:cs="Arial"/>
          <w:b/>
          <w:sz w:val="26"/>
          <w:szCs w:val="26"/>
          <w:lang w:val="es-ES"/>
        </w:rPr>
        <w:t>OSFE/UAJ/00106/2023</w:t>
      </w:r>
      <w:r w:rsidR="00757C66">
        <w:rPr>
          <w:rFonts w:ascii="Arial" w:hAnsi="Arial" w:cs="Arial"/>
          <w:sz w:val="26"/>
          <w:szCs w:val="26"/>
          <w:lang w:val="es-ES"/>
        </w:rPr>
        <w:t xml:space="preserve">, </w:t>
      </w:r>
      <w:r w:rsidR="00030636">
        <w:rPr>
          <w:rFonts w:ascii="Arial" w:hAnsi="Arial" w:cs="Arial"/>
          <w:sz w:val="26"/>
          <w:szCs w:val="26"/>
          <w:lang w:val="es-ES"/>
        </w:rPr>
        <w:t xml:space="preserve">se advierte que la referida autoridad </w:t>
      </w:r>
      <w:r w:rsidR="00030636" w:rsidRPr="00030636">
        <w:rPr>
          <w:rFonts w:ascii="Arial" w:hAnsi="Arial" w:cs="Arial"/>
          <w:sz w:val="26"/>
          <w:szCs w:val="26"/>
          <w:u w:val="single"/>
          <w:lang w:val="es-ES"/>
        </w:rPr>
        <w:t xml:space="preserve">tampoco exhibe la Lista de Acuerdos de fecha quince de febrero de dos mil diecinueve (15/02/2019) en la cual, </w:t>
      </w:r>
      <w:r w:rsidR="0003716E">
        <w:rPr>
          <w:rFonts w:ascii="Arial" w:hAnsi="Arial" w:cs="Arial"/>
          <w:sz w:val="26"/>
          <w:szCs w:val="26"/>
          <w:u w:val="single"/>
          <w:lang w:val="es-ES"/>
        </w:rPr>
        <w:t>refiere haber notificado</w:t>
      </w:r>
      <w:r w:rsidR="00030636" w:rsidRPr="00030636">
        <w:rPr>
          <w:rFonts w:ascii="Arial" w:hAnsi="Arial" w:cs="Arial"/>
          <w:sz w:val="26"/>
          <w:szCs w:val="26"/>
          <w:u w:val="single"/>
          <w:lang w:val="es-ES"/>
        </w:rPr>
        <w:t xml:space="preserve"> al ciudadano</w:t>
      </w:r>
      <w:r w:rsidR="009111F5">
        <w:rPr>
          <w:rFonts w:ascii="Arial" w:hAnsi="Arial" w:cs="Arial"/>
          <w:b/>
          <w:sz w:val="26"/>
          <w:szCs w:val="26"/>
          <w:u w:val="single"/>
          <w:lang w:val="es-ES"/>
        </w:rPr>
        <w:t xml:space="preserve"> </w:t>
      </w:r>
      <w:r w:rsidR="009111F5" w:rsidRPr="009111F5">
        <w:rPr>
          <w:rFonts w:ascii="Arial" w:hAnsi="Arial" w:cs="Arial"/>
          <w:b/>
          <w:sz w:val="26"/>
          <w:szCs w:val="26"/>
          <w:u w:val="single"/>
        </w:rPr>
        <w:t>**********</w:t>
      </w:r>
      <w:r w:rsidR="00030636" w:rsidRPr="009111F5">
        <w:rPr>
          <w:rFonts w:ascii="Arial" w:hAnsi="Arial" w:cs="Arial"/>
          <w:sz w:val="26"/>
          <w:szCs w:val="26"/>
          <w:u w:val="single"/>
          <w:lang w:val="es-ES"/>
        </w:rPr>
        <w:t>, l</w:t>
      </w:r>
      <w:r w:rsidR="00030636" w:rsidRPr="00030636">
        <w:rPr>
          <w:rFonts w:ascii="Arial" w:hAnsi="Arial" w:cs="Arial"/>
          <w:sz w:val="26"/>
          <w:szCs w:val="26"/>
          <w:u w:val="single"/>
          <w:lang w:val="es-ES"/>
        </w:rPr>
        <w:t xml:space="preserve">a resolución de doce de febrero de </w:t>
      </w:r>
      <w:r w:rsidR="00030636" w:rsidRPr="00030636">
        <w:rPr>
          <w:rFonts w:ascii="Arial" w:hAnsi="Arial" w:cs="Arial"/>
          <w:sz w:val="26"/>
          <w:szCs w:val="26"/>
          <w:u w:val="single"/>
          <w:lang w:val="es-ES"/>
        </w:rPr>
        <w:lastRenderedPageBreak/>
        <w:t xml:space="preserve">dos mil diecinueve (12/02/2019), dictada dentro del Procedimiento para el Fincamiento de Responsabilidad Administrativa Resarcitoria </w:t>
      </w:r>
      <w:r w:rsidR="00030636" w:rsidRPr="00030636">
        <w:rPr>
          <w:rFonts w:ascii="Arial" w:hAnsi="Arial" w:cs="Arial"/>
          <w:b/>
          <w:sz w:val="26"/>
          <w:szCs w:val="26"/>
          <w:u w:val="single"/>
          <w:lang w:val="es-ES"/>
        </w:rPr>
        <w:t>ASE/UAJ/P.R./004/2016</w:t>
      </w:r>
      <w:r w:rsidR="003F0142">
        <w:rPr>
          <w:rFonts w:ascii="Arial" w:hAnsi="Arial" w:cs="Arial"/>
          <w:sz w:val="26"/>
          <w:szCs w:val="26"/>
          <w:lang w:val="es-ES"/>
        </w:rPr>
        <w:t>, teniéndose a la vista únicamente la razón de fecha quince de febrero de dos mil diecinueve (15/02/2019), en la cu</w:t>
      </w:r>
      <w:r w:rsidR="00C5262C">
        <w:rPr>
          <w:rFonts w:ascii="Arial" w:hAnsi="Arial" w:cs="Arial"/>
          <w:sz w:val="26"/>
          <w:szCs w:val="26"/>
          <w:lang w:val="es-ES"/>
        </w:rPr>
        <w:t>al se hace constar que en la Lista de Acuerdos de esa fecha se notificó al ciudadano</w:t>
      </w:r>
      <w:r w:rsidR="009111F5">
        <w:rPr>
          <w:rFonts w:ascii="Arial" w:hAnsi="Arial" w:cs="Arial"/>
          <w:b/>
          <w:sz w:val="26"/>
          <w:szCs w:val="26"/>
          <w:lang w:val="es-ES"/>
        </w:rPr>
        <w:t xml:space="preserve"> </w:t>
      </w:r>
      <w:r w:rsidR="009111F5">
        <w:rPr>
          <w:rFonts w:ascii="Arial" w:hAnsi="Arial" w:cs="Arial"/>
          <w:b/>
          <w:sz w:val="26"/>
          <w:szCs w:val="26"/>
        </w:rPr>
        <w:t>**********</w:t>
      </w:r>
      <w:r w:rsidR="00C5262C">
        <w:rPr>
          <w:rFonts w:ascii="Arial" w:hAnsi="Arial" w:cs="Arial"/>
          <w:sz w:val="26"/>
          <w:szCs w:val="26"/>
          <w:lang w:val="es-ES"/>
        </w:rPr>
        <w:t>, la resolución de fecha doce de febrero del mismo año, sin especificar dentro del cuerpo de la razón, a que expediente corresponde la resolución notificada, lo que genera incertidumbre y vulnera la garantía de legalidad, certeza jurídica y debido proceso de la parte actora</w:t>
      </w:r>
      <w:r w:rsidR="00030636">
        <w:rPr>
          <w:rFonts w:ascii="Arial" w:hAnsi="Arial" w:cs="Arial"/>
          <w:sz w:val="26"/>
          <w:szCs w:val="26"/>
          <w:lang w:val="es-ES"/>
        </w:rPr>
        <w:t>.</w:t>
      </w:r>
    </w:p>
    <w:p w14:paraId="5B9C776E" w14:textId="3DAE4869" w:rsidR="002C526B" w:rsidRPr="002913D0" w:rsidRDefault="00FC2EEB" w:rsidP="00030636">
      <w:pPr>
        <w:shd w:val="clear" w:color="auto" w:fill="FFFFFF"/>
        <w:spacing w:after="240" w:line="360" w:lineRule="auto"/>
        <w:ind w:firstLine="567"/>
        <w:jc w:val="both"/>
        <w:textAlignment w:val="baseline"/>
        <w:rPr>
          <w:rFonts w:ascii="Arial" w:hAnsi="Arial" w:cs="Arial"/>
          <w:b/>
          <w:sz w:val="26"/>
          <w:szCs w:val="26"/>
        </w:rPr>
      </w:pPr>
      <w:r>
        <w:rPr>
          <w:rFonts w:ascii="Arial" w:hAnsi="Arial" w:cs="Arial"/>
          <w:sz w:val="26"/>
          <w:szCs w:val="26"/>
          <w:lang w:val="es-ES"/>
        </w:rPr>
        <w:t>50</w:t>
      </w:r>
      <w:r w:rsidR="00757C66">
        <w:rPr>
          <w:rFonts w:ascii="Arial" w:hAnsi="Arial" w:cs="Arial"/>
          <w:sz w:val="26"/>
          <w:szCs w:val="26"/>
          <w:lang w:val="es-ES"/>
        </w:rPr>
        <w:t xml:space="preserve">. </w:t>
      </w:r>
      <w:r w:rsidR="002C526B">
        <w:rPr>
          <w:rFonts w:ascii="Arial" w:hAnsi="Arial" w:cs="Arial"/>
          <w:sz w:val="26"/>
          <w:szCs w:val="26"/>
          <w:lang w:val="es-ES"/>
        </w:rPr>
        <w:t>Por lo tanto, se determina que en el presente caso, la notificación</w:t>
      </w:r>
      <w:r w:rsidR="00030636">
        <w:rPr>
          <w:rFonts w:ascii="Arial" w:hAnsi="Arial" w:cs="Arial"/>
          <w:sz w:val="26"/>
          <w:szCs w:val="26"/>
          <w:lang w:val="es-ES"/>
        </w:rPr>
        <w:t xml:space="preserve"> de</w:t>
      </w:r>
      <w:r w:rsidR="002C526B">
        <w:rPr>
          <w:rFonts w:ascii="Arial" w:hAnsi="Arial" w:cs="Arial"/>
          <w:sz w:val="26"/>
          <w:szCs w:val="26"/>
          <w:lang w:val="es-ES"/>
        </w:rPr>
        <w:t xml:space="preserve"> </w:t>
      </w:r>
      <w:r w:rsidR="00030636">
        <w:rPr>
          <w:rFonts w:ascii="Arial" w:hAnsi="Arial" w:cs="Arial"/>
          <w:sz w:val="26"/>
          <w:szCs w:val="26"/>
          <w:lang w:val="es-ES"/>
        </w:rPr>
        <w:t xml:space="preserve">la resolución de doce de febrero de dos mil diecinueve (12/02/2019), dictada dentro del Procedimiento para el Fincamiento de Responsabilidad Administrativa Resarcitoria </w:t>
      </w:r>
      <w:r w:rsidR="00030636">
        <w:rPr>
          <w:rFonts w:ascii="Arial" w:hAnsi="Arial" w:cs="Arial"/>
          <w:b/>
          <w:sz w:val="26"/>
          <w:szCs w:val="26"/>
          <w:lang w:val="es-ES"/>
        </w:rPr>
        <w:t>ASE/UAJ/P.R./004</w:t>
      </w:r>
      <w:r w:rsidR="00030636" w:rsidRPr="00757C66">
        <w:rPr>
          <w:rFonts w:ascii="Arial" w:hAnsi="Arial" w:cs="Arial"/>
          <w:b/>
          <w:sz w:val="26"/>
          <w:szCs w:val="26"/>
          <w:lang w:val="es-ES"/>
        </w:rPr>
        <w:t>/2016</w:t>
      </w:r>
      <w:r w:rsidR="00030636" w:rsidRPr="00030636">
        <w:rPr>
          <w:rFonts w:ascii="Arial" w:hAnsi="Arial" w:cs="Arial"/>
          <w:sz w:val="26"/>
          <w:szCs w:val="26"/>
          <w:lang w:val="es-ES"/>
        </w:rPr>
        <w:t>,</w:t>
      </w:r>
      <w:r w:rsidR="00030636">
        <w:rPr>
          <w:rFonts w:ascii="Arial" w:hAnsi="Arial" w:cs="Arial"/>
          <w:b/>
          <w:sz w:val="26"/>
          <w:szCs w:val="26"/>
          <w:lang w:val="es-ES"/>
        </w:rPr>
        <w:t xml:space="preserve"> </w:t>
      </w:r>
      <w:r w:rsidR="002C526B">
        <w:rPr>
          <w:rFonts w:ascii="Arial" w:hAnsi="Arial" w:cs="Arial"/>
          <w:sz w:val="26"/>
          <w:szCs w:val="26"/>
          <w:lang w:val="es-ES"/>
        </w:rPr>
        <w:t xml:space="preserve">que se controvierte en el presente juicio, no puede surtir efectos jurídicos dado que por su ilegalidad, se vulneraron la garantía de audiencia y </w:t>
      </w:r>
      <w:r w:rsidR="00030636">
        <w:rPr>
          <w:rFonts w:ascii="Arial" w:hAnsi="Arial" w:cs="Arial"/>
          <w:sz w:val="26"/>
          <w:szCs w:val="26"/>
          <w:lang w:val="es-ES"/>
        </w:rPr>
        <w:t>el derecho al debido proceso de</w:t>
      </w:r>
      <w:r w:rsidR="002C526B">
        <w:rPr>
          <w:rFonts w:ascii="Arial" w:hAnsi="Arial" w:cs="Arial"/>
          <w:sz w:val="26"/>
          <w:szCs w:val="26"/>
          <w:lang w:val="es-ES"/>
        </w:rPr>
        <w:t xml:space="preserve">l inconforme, previsto en el artículo 14 de la Constitución Federal, porque la resolución </w:t>
      </w:r>
      <w:r w:rsidR="00030636">
        <w:rPr>
          <w:rFonts w:ascii="Arial" w:hAnsi="Arial" w:cs="Arial"/>
          <w:sz w:val="26"/>
          <w:szCs w:val="26"/>
          <w:lang w:val="es-ES"/>
        </w:rPr>
        <w:t xml:space="preserve">antes mencionada, </w:t>
      </w:r>
      <w:r w:rsidR="002C526B" w:rsidRPr="002913D0">
        <w:rPr>
          <w:rFonts w:ascii="Arial" w:hAnsi="Arial" w:cs="Arial"/>
          <w:sz w:val="26"/>
          <w:szCs w:val="26"/>
        </w:rPr>
        <w:t>debió notificarse de manera personal</w:t>
      </w:r>
      <w:r w:rsidR="00030636">
        <w:rPr>
          <w:rFonts w:ascii="Arial" w:hAnsi="Arial" w:cs="Arial"/>
          <w:sz w:val="26"/>
          <w:szCs w:val="26"/>
        </w:rPr>
        <w:t xml:space="preserve"> y ante la falta de certeza</w:t>
      </w:r>
      <w:r w:rsidR="00C17411">
        <w:rPr>
          <w:rFonts w:ascii="Arial" w:hAnsi="Arial" w:cs="Arial"/>
          <w:sz w:val="26"/>
          <w:szCs w:val="26"/>
        </w:rPr>
        <w:t xml:space="preserve"> por parte de la demandada, relativo</w:t>
      </w:r>
      <w:r w:rsidR="00030636">
        <w:rPr>
          <w:rFonts w:ascii="Arial" w:hAnsi="Arial" w:cs="Arial"/>
          <w:sz w:val="26"/>
          <w:szCs w:val="26"/>
        </w:rPr>
        <w:t xml:space="preserve"> </w:t>
      </w:r>
      <w:r w:rsidR="00C17411">
        <w:rPr>
          <w:rFonts w:ascii="Arial" w:hAnsi="Arial" w:cs="Arial"/>
          <w:sz w:val="26"/>
          <w:szCs w:val="26"/>
        </w:rPr>
        <w:t>a</w:t>
      </w:r>
      <w:r w:rsidR="00030636">
        <w:rPr>
          <w:rFonts w:ascii="Arial" w:hAnsi="Arial" w:cs="Arial"/>
          <w:sz w:val="26"/>
          <w:szCs w:val="26"/>
        </w:rPr>
        <w:t>l domicilio del ciudadano</w:t>
      </w:r>
      <w:r w:rsidR="009111F5">
        <w:rPr>
          <w:rFonts w:ascii="Arial" w:hAnsi="Arial" w:cs="Arial"/>
          <w:b/>
          <w:sz w:val="26"/>
          <w:szCs w:val="26"/>
        </w:rPr>
        <w:t xml:space="preserve"> **********</w:t>
      </w:r>
      <w:r w:rsidR="00030636">
        <w:rPr>
          <w:rFonts w:ascii="Arial" w:hAnsi="Arial" w:cs="Arial"/>
          <w:sz w:val="26"/>
          <w:szCs w:val="26"/>
        </w:rPr>
        <w:t>, la misma debió notificarse por edictos, al tratarse de una resolución que puso fin a un procedimiento en el cual se le impuso una sanción</w:t>
      </w:r>
      <w:r w:rsidR="002C526B" w:rsidRPr="00E0688D">
        <w:rPr>
          <w:rFonts w:ascii="Arial" w:hAnsi="Arial" w:cs="Arial"/>
          <w:sz w:val="26"/>
          <w:szCs w:val="26"/>
        </w:rPr>
        <w:t xml:space="preserve"> y que por ello es susceptible de combatirse. En consecuencia,</w:t>
      </w:r>
      <w:r w:rsidR="002C526B">
        <w:rPr>
          <w:rFonts w:ascii="Arial" w:hAnsi="Arial" w:cs="Arial"/>
          <w:b/>
          <w:sz w:val="26"/>
          <w:szCs w:val="26"/>
        </w:rPr>
        <w:t xml:space="preserve"> </w:t>
      </w:r>
      <w:r w:rsidR="002C526B">
        <w:rPr>
          <w:rFonts w:ascii="Arial" w:hAnsi="Arial" w:cs="Arial"/>
          <w:bCs/>
          <w:sz w:val="26"/>
          <w:szCs w:val="26"/>
          <w:lang w:val="es-ES"/>
        </w:rPr>
        <w:t xml:space="preserve">ante tal irregularidad es procedente </w:t>
      </w:r>
      <w:r w:rsidR="002C526B" w:rsidRPr="004E328B">
        <w:rPr>
          <w:rFonts w:ascii="Arial" w:hAnsi="Arial" w:cs="Arial"/>
          <w:b/>
          <w:bCs/>
          <w:sz w:val="26"/>
          <w:szCs w:val="26"/>
          <w:lang w:val="es-ES"/>
        </w:rPr>
        <w:t xml:space="preserve">dejar sin efectos </w:t>
      </w:r>
      <w:r w:rsidR="002C526B">
        <w:rPr>
          <w:rFonts w:ascii="Arial" w:hAnsi="Arial" w:cs="Arial"/>
          <w:bCs/>
          <w:sz w:val="26"/>
          <w:szCs w:val="26"/>
          <w:lang w:val="es-ES"/>
        </w:rPr>
        <w:t>las notificaciones por correo certificado antes referidas.</w:t>
      </w:r>
    </w:p>
    <w:p w14:paraId="12E1B9B1" w14:textId="29700B80" w:rsidR="00757C66" w:rsidRPr="00EE598F" w:rsidRDefault="00FC2EEB" w:rsidP="00757C66">
      <w:pPr>
        <w:shd w:val="clear" w:color="auto" w:fill="FFFFFF"/>
        <w:spacing w:after="240" w:line="360" w:lineRule="auto"/>
        <w:ind w:firstLine="567"/>
        <w:jc w:val="both"/>
        <w:textAlignment w:val="baseline"/>
        <w:rPr>
          <w:rFonts w:ascii="Arial" w:eastAsia="Times New Roman" w:hAnsi="Arial" w:cs="Arial"/>
          <w:color w:val="636363"/>
          <w:sz w:val="24"/>
          <w:szCs w:val="24"/>
          <w:lang w:val="es-ES" w:eastAsia="es-ES"/>
        </w:rPr>
      </w:pPr>
      <w:r>
        <w:rPr>
          <w:rFonts w:ascii="Arial" w:hAnsi="Arial" w:cs="Arial"/>
          <w:sz w:val="26"/>
          <w:szCs w:val="26"/>
        </w:rPr>
        <w:t>51</w:t>
      </w:r>
      <w:r w:rsidR="00ED335E">
        <w:rPr>
          <w:rFonts w:ascii="Arial" w:hAnsi="Arial" w:cs="Arial"/>
          <w:sz w:val="26"/>
          <w:szCs w:val="26"/>
        </w:rPr>
        <w:t xml:space="preserve">. Al respecto es </w:t>
      </w:r>
      <w:r w:rsidR="00757C66" w:rsidRPr="00255414">
        <w:rPr>
          <w:rFonts w:ascii="Arial" w:hAnsi="Arial" w:cs="Arial"/>
          <w:sz w:val="26"/>
          <w:szCs w:val="26"/>
        </w:rPr>
        <w:t xml:space="preserve">aplicable en el presente caso, la tesis </w:t>
      </w:r>
      <w:r w:rsidR="00757C66" w:rsidRPr="00EE598F">
        <w:rPr>
          <w:rFonts w:ascii="Arial" w:eastAsia="Times New Roman" w:hAnsi="Arial" w:cs="Arial"/>
          <w:bCs/>
          <w:sz w:val="26"/>
          <w:szCs w:val="26"/>
          <w:bdr w:val="none" w:sz="0" w:space="0" w:color="auto" w:frame="1"/>
          <w:lang w:val="es-ES" w:eastAsia="es-ES"/>
        </w:rPr>
        <w:t>III-PS-II-85</w:t>
      </w:r>
      <w:r w:rsidR="00757C66">
        <w:rPr>
          <w:rStyle w:val="Refdenotaalpie"/>
          <w:rFonts w:ascii="Arial" w:eastAsia="Times New Roman" w:hAnsi="Arial" w:cs="Arial"/>
          <w:bCs/>
          <w:sz w:val="26"/>
          <w:szCs w:val="26"/>
          <w:bdr w:val="none" w:sz="0" w:space="0" w:color="auto" w:frame="1"/>
          <w:lang w:val="es-ES" w:eastAsia="es-ES"/>
        </w:rPr>
        <w:footnoteReference w:id="19"/>
      </w:r>
      <w:r w:rsidR="00757C66">
        <w:rPr>
          <w:rFonts w:ascii="Arial" w:eastAsia="Times New Roman" w:hAnsi="Arial" w:cs="Arial"/>
          <w:bCs/>
          <w:sz w:val="26"/>
          <w:szCs w:val="26"/>
          <w:bdr w:val="none" w:sz="0" w:space="0" w:color="auto" w:frame="1"/>
          <w:lang w:val="es-ES" w:eastAsia="es-ES"/>
        </w:rPr>
        <w:t xml:space="preserve">, también visible en la Revista del </w:t>
      </w:r>
      <w:r w:rsidR="006E68F9">
        <w:rPr>
          <w:rFonts w:ascii="Arial" w:eastAsia="Times New Roman" w:hAnsi="Arial" w:cs="Arial"/>
          <w:bCs/>
          <w:sz w:val="26"/>
          <w:szCs w:val="26"/>
          <w:bdr w:val="none" w:sz="0" w:space="0" w:color="auto" w:frame="1"/>
          <w:lang w:val="es-ES" w:eastAsia="es-ES"/>
        </w:rPr>
        <w:t>T</w:t>
      </w:r>
      <w:r w:rsidR="00757C66">
        <w:rPr>
          <w:rFonts w:ascii="Arial" w:eastAsia="Times New Roman" w:hAnsi="Arial" w:cs="Arial"/>
          <w:bCs/>
          <w:sz w:val="26"/>
          <w:szCs w:val="26"/>
          <w:bdr w:val="none" w:sz="0" w:space="0" w:color="auto" w:frame="1"/>
          <w:lang w:val="es-ES" w:eastAsia="es-ES"/>
        </w:rPr>
        <w:t>ribunal Federal de Justicia Administrativa, Tercera Época, Año X, No. 116, Agosto 1997,</w:t>
      </w:r>
      <w:r w:rsidR="00757C66" w:rsidRPr="008472E8">
        <w:rPr>
          <w:rFonts w:ascii="Arial" w:eastAsia="Times New Roman" w:hAnsi="Arial" w:cs="Arial"/>
          <w:bCs/>
          <w:sz w:val="26"/>
          <w:szCs w:val="26"/>
          <w:bdr w:val="none" w:sz="0" w:space="0" w:color="auto" w:frame="1"/>
          <w:lang w:val="es-ES" w:eastAsia="es-ES"/>
        </w:rPr>
        <w:t xml:space="preserve"> p. 35</w:t>
      </w:r>
      <w:r w:rsidR="00757C66">
        <w:rPr>
          <w:rFonts w:ascii="Arial" w:eastAsia="Times New Roman" w:hAnsi="Arial" w:cs="Arial"/>
          <w:bCs/>
          <w:sz w:val="26"/>
          <w:szCs w:val="26"/>
          <w:bdr w:val="none" w:sz="0" w:space="0" w:color="auto" w:frame="1"/>
          <w:lang w:val="es-ES" w:eastAsia="es-ES"/>
        </w:rPr>
        <w:t xml:space="preserve"> de rubro y texto siguientes:</w:t>
      </w:r>
    </w:p>
    <w:p w14:paraId="789D7285" w14:textId="31113C35" w:rsidR="00757C66" w:rsidRDefault="00D04C30" w:rsidP="00757C66">
      <w:pPr>
        <w:shd w:val="clear" w:color="auto" w:fill="FFFFFF"/>
        <w:spacing w:after="0" w:line="360" w:lineRule="auto"/>
        <w:ind w:left="567" w:right="616"/>
        <w:jc w:val="both"/>
        <w:textAlignment w:val="baseline"/>
        <w:rPr>
          <w:rFonts w:ascii="Arial" w:eastAsia="Times New Roman" w:hAnsi="Arial" w:cs="Arial"/>
          <w:b/>
          <w:bCs/>
          <w:i/>
          <w:bdr w:val="none" w:sz="0" w:space="0" w:color="auto" w:frame="1"/>
          <w:lang w:val="es-ES" w:eastAsia="es-ES"/>
        </w:rPr>
      </w:pPr>
      <w:r>
        <w:rPr>
          <w:rFonts w:ascii="Arial" w:eastAsia="Times New Roman" w:hAnsi="Arial" w:cs="Arial"/>
          <w:b/>
          <w:bCs/>
          <w:i/>
          <w:bdr w:val="none" w:sz="0" w:space="0" w:color="auto" w:frame="1"/>
          <w:lang w:val="es-ES" w:eastAsia="es-ES"/>
        </w:rPr>
        <w:t>“</w:t>
      </w:r>
      <w:r w:rsidR="00757C66" w:rsidRPr="008472E8">
        <w:rPr>
          <w:rFonts w:ascii="Arial" w:eastAsia="Times New Roman" w:hAnsi="Arial" w:cs="Arial"/>
          <w:b/>
          <w:bCs/>
          <w:i/>
          <w:bdr w:val="none" w:sz="0" w:space="0" w:color="auto" w:frame="1"/>
          <w:lang w:val="es-ES" w:eastAsia="es-ES"/>
        </w:rPr>
        <w:t xml:space="preserve">CARGA DE LA </w:t>
      </w:r>
      <w:r w:rsidR="00757C66" w:rsidRPr="00EE598F">
        <w:rPr>
          <w:rFonts w:ascii="Arial" w:eastAsia="Times New Roman" w:hAnsi="Arial" w:cs="Arial"/>
          <w:b/>
          <w:bCs/>
          <w:i/>
          <w:bdr w:val="none" w:sz="0" w:space="0" w:color="auto" w:frame="1"/>
          <w:lang w:val="es-ES" w:eastAsia="es-ES"/>
        </w:rPr>
        <w:t>PRUEBA</w:t>
      </w:r>
      <w:r w:rsidR="00757C66" w:rsidRPr="008472E8">
        <w:rPr>
          <w:rFonts w:ascii="Arial" w:eastAsia="Times New Roman" w:hAnsi="Arial" w:cs="Arial"/>
          <w:b/>
          <w:bCs/>
          <w:i/>
          <w:bdr w:val="none" w:sz="0" w:space="0" w:color="auto" w:frame="1"/>
          <w:lang w:val="es-ES" w:eastAsia="es-ES"/>
        </w:rPr>
        <w:t>.</w:t>
      </w:r>
      <w:r w:rsidR="00757C66">
        <w:rPr>
          <w:rFonts w:ascii="Arial" w:eastAsia="Times New Roman" w:hAnsi="Arial" w:cs="Arial"/>
          <w:b/>
          <w:bCs/>
          <w:i/>
          <w:bdr w:val="none" w:sz="0" w:space="0" w:color="auto" w:frame="1"/>
          <w:lang w:val="es-ES" w:eastAsia="es-ES"/>
        </w:rPr>
        <w:t xml:space="preserve"> LA TIENE LA AUTORIDAD CUANDO AFIRMA QUE UNA NOTIFICACIÓN SE AJUSTO A DERECHO.</w:t>
      </w:r>
    </w:p>
    <w:p w14:paraId="4B3F5380" w14:textId="3EBB693D" w:rsidR="00757C66" w:rsidRPr="00EE598F" w:rsidRDefault="00757C66" w:rsidP="00757C66">
      <w:pPr>
        <w:shd w:val="clear" w:color="auto" w:fill="FFFFFF"/>
        <w:spacing w:line="360" w:lineRule="auto"/>
        <w:ind w:left="567" w:right="616"/>
        <w:jc w:val="both"/>
        <w:textAlignment w:val="baseline"/>
        <w:rPr>
          <w:rFonts w:ascii="Arial" w:eastAsia="Times New Roman" w:hAnsi="Arial" w:cs="Arial"/>
          <w:i/>
          <w:lang w:val="es-ES" w:eastAsia="es-ES"/>
        </w:rPr>
      </w:pPr>
      <w:r w:rsidRPr="00EE598F">
        <w:rPr>
          <w:rFonts w:ascii="Arial" w:eastAsia="Times New Roman" w:hAnsi="Arial" w:cs="Arial"/>
          <w:i/>
          <w:lang w:val="es-ES" w:eastAsia="es-ES"/>
        </w:rPr>
        <w:t>Tratándose de </w:t>
      </w:r>
      <w:r w:rsidRPr="00EE598F">
        <w:rPr>
          <w:rFonts w:ascii="Arial" w:eastAsia="Times New Roman" w:hAnsi="Arial" w:cs="Arial"/>
          <w:bCs/>
          <w:i/>
          <w:bdr w:val="none" w:sz="0" w:space="0" w:color="auto" w:frame="1"/>
          <w:lang w:val="es-ES" w:eastAsia="es-ES"/>
        </w:rPr>
        <w:t>notificacion</w:t>
      </w:r>
      <w:r w:rsidRPr="00EE598F">
        <w:rPr>
          <w:rFonts w:ascii="Arial" w:eastAsia="Times New Roman" w:hAnsi="Arial" w:cs="Arial"/>
          <w:i/>
          <w:lang w:val="es-ES" w:eastAsia="es-ES"/>
        </w:rPr>
        <w:t>es de actos susceptibles de impugnarse por algún medio de defensa, la</w:t>
      </w:r>
      <w:r>
        <w:rPr>
          <w:rFonts w:ascii="Arial" w:eastAsia="Times New Roman" w:hAnsi="Arial" w:cs="Arial"/>
          <w:i/>
          <w:lang w:val="es-ES" w:eastAsia="es-ES"/>
        </w:rPr>
        <w:t>s</w:t>
      </w:r>
      <w:r w:rsidRPr="00EE598F">
        <w:rPr>
          <w:rFonts w:ascii="Arial" w:eastAsia="Times New Roman" w:hAnsi="Arial" w:cs="Arial"/>
          <w:i/>
          <w:lang w:val="es-ES" w:eastAsia="es-ES"/>
        </w:rPr>
        <w:t xml:space="preserve"> actas de notificación respectivas gozan de la presunción de legalidad establecida en el artículo 68 del Código Fiscal de la Federación. Sin embargo, ante la negativa lisa y llana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notificación se haya realizado conforme a </w:t>
      </w:r>
      <w:r w:rsidRPr="00EE598F">
        <w:rPr>
          <w:rFonts w:ascii="Arial" w:eastAsia="Times New Roman" w:hAnsi="Arial" w:cs="Arial"/>
          <w:bCs/>
          <w:i/>
          <w:bdr w:val="none" w:sz="0" w:space="0" w:color="auto" w:frame="1"/>
          <w:lang w:val="es-ES" w:eastAsia="es-ES"/>
        </w:rPr>
        <w:t>derecho</w:t>
      </w:r>
      <w:r w:rsidRPr="00EE598F">
        <w:rPr>
          <w:rFonts w:ascii="Arial" w:eastAsia="Times New Roman" w:hAnsi="Arial" w:cs="Arial"/>
          <w:i/>
          <w:lang w:val="es-ES" w:eastAsia="es-ES"/>
        </w:rPr>
        <w:t>, corresponde a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xml:space="preserve"> acreditar la legalidad </w:t>
      </w:r>
      <w:r w:rsidRPr="00EE598F">
        <w:rPr>
          <w:rFonts w:ascii="Arial" w:eastAsia="Times New Roman" w:hAnsi="Arial" w:cs="Arial"/>
          <w:i/>
          <w:lang w:val="es-ES" w:eastAsia="es-ES"/>
        </w:rPr>
        <w:lastRenderedPageBreak/>
        <w:t>de la notificación. Por tanto, no basta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la demandada en el sentido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las actas de notificación con</w:t>
      </w:r>
      <w:r w:rsidRPr="00EE598F">
        <w:rPr>
          <w:rFonts w:ascii="Arial" w:eastAsia="Times New Roman" w:hAnsi="Arial" w:cs="Arial"/>
          <w:bCs/>
          <w:i/>
          <w:bdr w:val="none" w:sz="0" w:space="0" w:color="auto" w:frame="1"/>
          <w:lang w:val="es-ES" w:eastAsia="es-ES"/>
        </w:rPr>
        <w:t>tiene</w:t>
      </w:r>
      <w:r w:rsidRPr="00EE598F">
        <w:rPr>
          <w:rFonts w:ascii="Arial" w:eastAsia="Times New Roman" w:hAnsi="Arial" w:cs="Arial"/>
          <w:i/>
          <w:lang w:val="es-ES" w:eastAsia="es-ES"/>
        </w:rPr>
        <w:t>n la firma del representante legal de la empresa, sino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es necesario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adminicule los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idóneos para acreditar su dicho. En este sentido, ante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 de las firmas contenidas en el acta de notificación corresponde a determinada persona, se requiere del desahogo de otros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En consecuencia, ante la ausencia de elementos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den convicción al Trib</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l Fiscal sobre los argumentos de defensa de las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es proce</w:t>
      </w:r>
      <w:r w:rsidRPr="008472E8">
        <w:rPr>
          <w:rFonts w:ascii="Arial" w:eastAsia="Times New Roman" w:hAnsi="Arial" w:cs="Arial"/>
          <w:i/>
          <w:lang w:val="es-ES" w:eastAsia="es-ES"/>
        </w:rPr>
        <w:t>de desestimar tales defensas.</w:t>
      </w:r>
      <w:r w:rsidR="00D04C30">
        <w:rPr>
          <w:rFonts w:ascii="Arial" w:eastAsia="Times New Roman" w:hAnsi="Arial" w:cs="Arial"/>
          <w:i/>
          <w:lang w:val="es-ES" w:eastAsia="es-ES"/>
        </w:rPr>
        <w:t>”</w:t>
      </w:r>
    </w:p>
    <w:p w14:paraId="45E77BB5" w14:textId="6B257238" w:rsidR="00FC2EEB" w:rsidRDefault="00FC2EEB"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52</w:t>
      </w:r>
      <w:r w:rsidR="00247307">
        <w:rPr>
          <w:rFonts w:ascii="Arial" w:hAnsi="Arial" w:cs="Arial"/>
          <w:bCs/>
          <w:snapToGrid w:val="0"/>
          <w:sz w:val="26"/>
          <w:szCs w:val="26"/>
        </w:rPr>
        <w:t xml:space="preserve">. </w:t>
      </w:r>
      <w:r w:rsidR="00AC21A3">
        <w:rPr>
          <w:rFonts w:ascii="Arial" w:hAnsi="Arial" w:cs="Arial"/>
          <w:bCs/>
          <w:snapToGrid w:val="0"/>
          <w:sz w:val="26"/>
          <w:szCs w:val="26"/>
        </w:rPr>
        <w:t>Debe precisarse que el presente juicio de inconformidad lo promovió</w:t>
      </w:r>
      <w:r w:rsidR="009111F5">
        <w:rPr>
          <w:rFonts w:ascii="Arial" w:hAnsi="Arial" w:cs="Arial"/>
          <w:b/>
          <w:bCs/>
          <w:snapToGrid w:val="0"/>
          <w:sz w:val="26"/>
          <w:szCs w:val="26"/>
        </w:rPr>
        <w:t xml:space="preserve"> </w:t>
      </w:r>
      <w:r w:rsidR="009111F5">
        <w:rPr>
          <w:rFonts w:ascii="Arial" w:hAnsi="Arial" w:cs="Arial"/>
          <w:b/>
          <w:sz w:val="26"/>
          <w:szCs w:val="26"/>
        </w:rPr>
        <w:t>**********</w:t>
      </w:r>
      <w:r w:rsidR="00AC21A3">
        <w:rPr>
          <w:rFonts w:ascii="Arial" w:hAnsi="Arial" w:cs="Arial"/>
          <w:bCs/>
          <w:snapToGrid w:val="0"/>
          <w:sz w:val="26"/>
          <w:szCs w:val="26"/>
        </w:rPr>
        <w:t xml:space="preserve">, quien en su demanda negó lisa y llanamente conocer la existencia de la resolución de </w:t>
      </w:r>
      <w:r w:rsidR="00D04C30">
        <w:rPr>
          <w:rFonts w:ascii="Arial" w:hAnsi="Arial" w:cs="Arial"/>
          <w:bCs/>
          <w:snapToGrid w:val="0"/>
          <w:sz w:val="26"/>
          <w:szCs w:val="26"/>
        </w:rPr>
        <w:t>doce de febrero de dos mil diecinueve (12/02/2019)</w:t>
      </w:r>
      <w:r w:rsidR="00AC21A3">
        <w:rPr>
          <w:rFonts w:ascii="Arial" w:hAnsi="Arial" w:cs="Arial"/>
          <w:bCs/>
          <w:snapToGrid w:val="0"/>
          <w:sz w:val="26"/>
          <w:szCs w:val="26"/>
        </w:rPr>
        <w:t xml:space="preserve">, dictada por el Titular de la </w:t>
      </w:r>
      <w:r w:rsidR="00D04C30">
        <w:rPr>
          <w:rFonts w:ascii="Arial" w:hAnsi="Arial" w:cs="Arial"/>
          <w:bCs/>
          <w:snapToGrid w:val="0"/>
          <w:sz w:val="26"/>
          <w:szCs w:val="26"/>
        </w:rPr>
        <w:t xml:space="preserve">Unidad de Asuntos Jurídicos del Órgano Superior de </w:t>
      </w:r>
      <w:r w:rsidR="00D04C30" w:rsidRPr="00D04C30">
        <w:rPr>
          <w:rFonts w:ascii="Arial" w:hAnsi="Arial" w:cs="Arial"/>
          <w:bCs/>
          <w:snapToGrid w:val="0"/>
          <w:sz w:val="26"/>
          <w:szCs w:val="26"/>
        </w:rPr>
        <w:t>Fiscalización del Estado de Oaxaca</w:t>
      </w:r>
      <w:r w:rsidR="00AC21A3" w:rsidRPr="00D04C30">
        <w:rPr>
          <w:rFonts w:ascii="Arial" w:hAnsi="Arial" w:cs="Arial"/>
          <w:bCs/>
          <w:snapToGrid w:val="0"/>
          <w:sz w:val="26"/>
          <w:szCs w:val="26"/>
        </w:rPr>
        <w:t xml:space="preserve"> en el expediente </w:t>
      </w:r>
      <w:r w:rsidR="00AC21A3" w:rsidRPr="00D04C30">
        <w:rPr>
          <w:rFonts w:ascii="Arial" w:hAnsi="Arial" w:cs="Arial"/>
          <w:b/>
          <w:bCs/>
          <w:snapToGrid w:val="0"/>
          <w:sz w:val="26"/>
          <w:szCs w:val="26"/>
        </w:rPr>
        <w:t>ASE/UAJ/</w:t>
      </w:r>
      <w:r w:rsidR="00D04C30" w:rsidRPr="00D04C30">
        <w:rPr>
          <w:rFonts w:ascii="Arial" w:hAnsi="Arial" w:cs="Arial"/>
          <w:b/>
          <w:bCs/>
          <w:snapToGrid w:val="0"/>
          <w:sz w:val="26"/>
          <w:szCs w:val="26"/>
        </w:rPr>
        <w:t>P.R./004/2016</w:t>
      </w:r>
      <w:r w:rsidR="00AC21A3" w:rsidRPr="00D04C30">
        <w:rPr>
          <w:rFonts w:ascii="Arial" w:hAnsi="Arial" w:cs="Arial"/>
          <w:bCs/>
          <w:snapToGrid w:val="0"/>
          <w:sz w:val="26"/>
          <w:szCs w:val="26"/>
        </w:rPr>
        <w:t xml:space="preserve">, </w:t>
      </w:r>
      <w:r w:rsidR="00406647" w:rsidRPr="00D04C30">
        <w:rPr>
          <w:rFonts w:ascii="Arial" w:hAnsi="Arial" w:cs="Arial"/>
          <w:bCs/>
          <w:snapToGrid w:val="0"/>
          <w:sz w:val="26"/>
          <w:szCs w:val="26"/>
        </w:rPr>
        <w:t>toda vez que impugno</w:t>
      </w:r>
      <w:r w:rsidR="00D04C30" w:rsidRPr="00D04C30">
        <w:rPr>
          <w:rFonts w:ascii="Arial" w:hAnsi="Arial" w:cs="Arial"/>
          <w:bCs/>
          <w:snapToGrid w:val="0"/>
          <w:sz w:val="26"/>
          <w:szCs w:val="26"/>
        </w:rPr>
        <w:t xml:space="preserve"> el</w:t>
      </w:r>
      <w:r w:rsidR="00406647" w:rsidRPr="00D04C30">
        <w:rPr>
          <w:rFonts w:ascii="Arial" w:hAnsi="Arial" w:cs="Arial"/>
          <w:bCs/>
          <w:snapToGrid w:val="0"/>
          <w:sz w:val="26"/>
          <w:szCs w:val="26"/>
        </w:rPr>
        <w:t xml:space="preserve"> </w:t>
      </w:r>
      <w:r w:rsidR="00D04C30" w:rsidRPr="00D04C30">
        <w:rPr>
          <w:rFonts w:ascii="Arial" w:hAnsi="Arial" w:cs="Arial"/>
          <w:bCs/>
          <w:spacing w:val="-3"/>
          <w:sz w:val="26"/>
          <w:szCs w:val="26"/>
          <w:lang w:val="es-ES_tradnl"/>
        </w:rPr>
        <w:t>mandamiento de ejecución</w:t>
      </w:r>
      <w:r w:rsidR="009111F5">
        <w:rPr>
          <w:rFonts w:ascii="Arial" w:hAnsi="Arial" w:cs="Arial"/>
          <w:bCs/>
          <w:spacing w:val="-3"/>
          <w:sz w:val="26"/>
          <w:szCs w:val="26"/>
          <w:lang w:val="es-ES_tradnl"/>
        </w:rPr>
        <w:t xml:space="preserve"> **********</w:t>
      </w:r>
      <w:r w:rsidR="00D04C30" w:rsidRPr="00D04C30">
        <w:rPr>
          <w:rFonts w:ascii="Arial" w:hAnsi="Arial" w:cs="Arial"/>
          <w:bCs/>
          <w:spacing w:val="-3"/>
          <w:sz w:val="26"/>
          <w:szCs w:val="26"/>
          <w:lang w:val="es-ES_tradnl"/>
        </w:rPr>
        <w:t xml:space="preserve">, relativo al crédito fiscal </w:t>
      </w:r>
      <w:r w:rsidR="009111F5">
        <w:rPr>
          <w:rFonts w:ascii="Arial" w:hAnsi="Arial" w:cs="Arial"/>
          <w:bCs/>
          <w:spacing w:val="-3"/>
          <w:sz w:val="26"/>
          <w:szCs w:val="26"/>
          <w:lang w:val="es-ES_tradnl"/>
        </w:rPr>
        <w:t>**********</w:t>
      </w:r>
      <w:r>
        <w:rPr>
          <w:rFonts w:ascii="Arial" w:hAnsi="Arial" w:cs="Arial"/>
          <w:bCs/>
          <w:snapToGrid w:val="0"/>
          <w:sz w:val="26"/>
          <w:szCs w:val="26"/>
        </w:rPr>
        <w:t>.</w:t>
      </w:r>
    </w:p>
    <w:p w14:paraId="23D44350" w14:textId="096BBCB6" w:rsidR="00B54960" w:rsidRPr="00406647" w:rsidRDefault="00FC2EEB"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53. P</w:t>
      </w:r>
      <w:r w:rsidR="00406647" w:rsidRPr="00D04C30">
        <w:rPr>
          <w:rFonts w:ascii="Arial" w:hAnsi="Arial" w:cs="Arial"/>
          <w:bCs/>
          <w:snapToGrid w:val="0"/>
          <w:sz w:val="26"/>
          <w:szCs w:val="26"/>
        </w:rPr>
        <w:t>or tanto, una vez que la autoridad demandada rindió su respectivo informe</w:t>
      </w:r>
      <w:r w:rsidR="00406647">
        <w:rPr>
          <w:rFonts w:ascii="Arial" w:hAnsi="Arial" w:cs="Arial"/>
          <w:bCs/>
          <w:snapToGrid w:val="0"/>
          <w:sz w:val="26"/>
          <w:szCs w:val="26"/>
        </w:rPr>
        <w:t xml:space="preserve"> y exhibió copias certificadas del citado expediente, el promovente estuvo en condiciones de ampliar su demanda en relación a la notificación de la resolución de fecha </w:t>
      </w:r>
      <w:r w:rsidR="00D04C30">
        <w:rPr>
          <w:rFonts w:ascii="Arial" w:hAnsi="Arial" w:cs="Arial"/>
          <w:bCs/>
          <w:snapToGrid w:val="0"/>
          <w:sz w:val="26"/>
          <w:szCs w:val="26"/>
        </w:rPr>
        <w:t xml:space="preserve">de doce de febrero de dos mil diecinueve (12/02/2019), </w:t>
      </w:r>
      <w:r w:rsidR="00406647">
        <w:rPr>
          <w:rFonts w:ascii="Arial" w:hAnsi="Arial" w:cs="Arial"/>
          <w:bCs/>
          <w:snapToGrid w:val="0"/>
          <w:sz w:val="26"/>
          <w:szCs w:val="26"/>
        </w:rPr>
        <w:t xml:space="preserve">cuyo estudio se realizó y se determinó que la misma fue ilegal, al haberse realizado en contravención a lo dispuesto por el artículo 112 fracciones I y </w:t>
      </w:r>
      <w:r w:rsidR="002946B1">
        <w:rPr>
          <w:rFonts w:ascii="Arial" w:hAnsi="Arial" w:cs="Arial"/>
          <w:bCs/>
          <w:snapToGrid w:val="0"/>
          <w:sz w:val="26"/>
          <w:szCs w:val="26"/>
        </w:rPr>
        <w:t xml:space="preserve">V del </w:t>
      </w:r>
      <w:r w:rsidR="002946B1" w:rsidRPr="00FC2EEB">
        <w:rPr>
          <w:rFonts w:ascii="Arial" w:hAnsi="Arial" w:cs="Arial"/>
          <w:bCs/>
          <w:i/>
          <w:snapToGrid w:val="0"/>
          <w:sz w:val="26"/>
          <w:szCs w:val="26"/>
        </w:rPr>
        <w:t>Código</w:t>
      </w:r>
      <w:r>
        <w:rPr>
          <w:rFonts w:ascii="Arial" w:hAnsi="Arial" w:cs="Arial"/>
          <w:bCs/>
          <w:i/>
          <w:snapToGrid w:val="0"/>
          <w:sz w:val="26"/>
          <w:szCs w:val="26"/>
        </w:rPr>
        <w:t xml:space="preserve"> Procesal</w:t>
      </w:r>
      <w:r w:rsidR="002946B1">
        <w:rPr>
          <w:rFonts w:ascii="Arial" w:hAnsi="Arial" w:cs="Arial"/>
          <w:bCs/>
          <w:snapToGrid w:val="0"/>
          <w:sz w:val="26"/>
          <w:szCs w:val="26"/>
        </w:rPr>
        <w:t xml:space="preserve">. </w:t>
      </w:r>
    </w:p>
    <w:p w14:paraId="4B3D0A8C" w14:textId="7B7FDDFA" w:rsidR="00402160" w:rsidRDefault="00FC2EEB" w:rsidP="002226BD">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54</w:t>
      </w:r>
      <w:r w:rsidR="00247307">
        <w:rPr>
          <w:rFonts w:ascii="Arial" w:hAnsi="Arial" w:cs="Arial"/>
          <w:bCs/>
          <w:snapToGrid w:val="0"/>
          <w:sz w:val="26"/>
          <w:szCs w:val="26"/>
        </w:rPr>
        <w:t xml:space="preserve">. </w:t>
      </w:r>
      <w:r w:rsidR="003D2AA8">
        <w:rPr>
          <w:rFonts w:ascii="Arial" w:hAnsi="Arial" w:cs="Arial"/>
          <w:bCs/>
          <w:snapToGrid w:val="0"/>
          <w:sz w:val="26"/>
          <w:szCs w:val="26"/>
        </w:rPr>
        <w:t>En razón de lo antes expuesto, y tomando en consideración que el artículo 57</w:t>
      </w:r>
      <w:r w:rsidR="003E726F">
        <w:rPr>
          <w:rStyle w:val="Refdenotaalpie"/>
          <w:rFonts w:ascii="Arial" w:hAnsi="Arial" w:cs="Arial"/>
          <w:bCs/>
          <w:snapToGrid w:val="0"/>
          <w:sz w:val="26"/>
          <w:szCs w:val="26"/>
        </w:rPr>
        <w:footnoteReference w:id="20"/>
      </w:r>
      <w:r w:rsidR="003D2AA8">
        <w:rPr>
          <w:rFonts w:ascii="Arial" w:hAnsi="Arial" w:cs="Arial"/>
          <w:bCs/>
          <w:snapToGrid w:val="0"/>
          <w:sz w:val="26"/>
          <w:szCs w:val="26"/>
        </w:rPr>
        <w:t xml:space="preserve"> de la </w:t>
      </w:r>
      <w:r w:rsidR="00F17D36" w:rsidRPr="00F17D36">
        <w:rPr>
          <w:rFonts w:ascii="Arial" w:hAnsi="Arial" w:cs="Arial"/>
          <w:bCs/>
          <w:i/>
          <w:snapToGrid w:val="0"/>
          <w:sz w:val="26"/>
          <w:szCs w:val="26"/>
        </w:rPr>
        <w:t>Ley de Fiscalización 2013</w:t>
      </w:r>
      <w:r w:rsidR="003D2AA8">
        <w:rPr>
          <w:rFonts w:ascii="Arial" w:hAnsi="Arial" w:cs="Arial"/>
          <w:bCs/>
          <w:snapToGrid w:val="0"/>
          <w:sz w:val="26"/>
          <w:szCs w:val="26"/>
        </w:rPr>
        <w:t xml:space="preserve">, vigente en la temporalidad en la cual se emitió la resolución determinante </w:t>
      </w:r>
      <w:r w:rsidR="00D04C30">
        <w:rPr>
          <w:rFonts w:ascii="Arial" w:hAnsi="Arial" w:cs="Arial"/>
          <w:bCs/>
          <w:snapToGrid w:val="0"/>
          <w:sz w:val="26"/>
          <w:szCs w:val="26"/>
        </w:rPr>
        <w:t xml:space="preserve">de doce de febrero de dos mil diecinueve (12/02/2019), dictada por el Titular de la Unidad de Asuntos Jurídicos del Órgano Superior de </w:t>
      </w:r>
      <w:r w:rsidR="00D04C30" w:rsidRPr="00D04C30">
        <w:rPr>
          <w:rFonts w:ascii="Arial" w:hAnsi="Arial" w:cs="Arial"/>
          <w:bCs/>
          <w:snapToGrid w:val="0"/>
          <w:sz w:val="26"/>
          <w:szCs w:val="26"/>
        </w:rPr>
        <w:t xml:space="preserve">Fiscalización del Estado de Oaxaca en el expediente </w:t>
      </w:r>
      <w:r w:rsidR="00D04C30" w:rsidRPr="00D04C30">
        <w:rPr>
          <w:rFonts w:ascii="Arial" w:hAnsi="Arial" w:cs="Arial"/>
          <w:b/>
          <w:bCs/>
          <w:snapToGrid w:val="0"/>
          <w:sz w:val="26"/>
          <w:szCs w:val="26"/>
        </w:rPr>
        <w:t>ASE/UAJ/P.R./004/2016</w:t>
      </w:r>
      <w:r w:rsidR="00D04C30" w:rsidRPr="00D04C30">
        <w:rPr>
          <w:rFonts w:ascii="Arial" w:hAnsi="Arial" w:cs="Arial"/>
          <w:bCs/>
          <w:snapToGrid w:val="0"/>
          <w:sz w:val="26"/>
          <w:szCs w:val="26"/>
        </w:rPr>
        <w:t>,</w:t>
      </w:r>
      <w:r w:rsidR="002226BD">
        <w:rPr>
          <w:rFonts w:ascii="Arial" w:hAnsi="Arial" w:cs="Arial"/>
          <w:bCs/>
          <w:snapToGrid w:val="0"/>
          <w:sz w:val="26"/>
          <w:szCs w:val="26"/>
        </w:rPr>
        <w:t xml:space="preserve"> no establece las reglas relativas al procedimiento que el particular debe seguir para la tramitación del Recurso de Reconsideración</w:t>
      </w:r>
      <w:r w:rsidR="003E726F">
        <w:rPr>
          <w:rFonts w:ascii="Arial" w:hAnsi="Arial" w:cs="Arial"/>
          <w:bCs/>
          <w:snapToGrid w:val="0"/>
          <w:sz w:val="26"/>
          <w:szCs w:val="26"/>
        </w:rPr>
        <w:t xml:space="preserve">, </w:t>
      </w:r>
      <w:r w:rsidR="001A7BD5">
        <w:rPr>
          <w:rFonts w:ascii="Arial" w:hAnsi="Arial" w:cs="Arial"/>
          <w:bCs/>
          <w:snapToGrid w:val="0"/>
          <w:sz w:val="26"/>
          <w:szCs w:val="26"/>
        </w:rPr>
        <w:t>como medio de defensa</w:t>
      </w:r>
      <w:r w:rsidR="003E726F">
        <w:rPr>
          <w:rFonts w:ascii="Arial" w:hAnsi="Arial" w:cs="Arial"/>
          <w:bCs/>
          <w:snapToGrid w:val="0"/>
          <w:sz w:val="26"/>
          <w:szCs w:val="26"/>
        </w:rPr>
        <w:t xml:space="preserve"> en contra de las resoluciones </w:t>
      </w:r>
      <w:r w:rsidR="003E726F">
        <w:rPr>
          <w:rFonts w:ascii="Arial" w:hAnsi="Arial" w:cs="Arial"/>
          <w:bCs/>
          <w:snapToGrid w:val="0"/>
          <w:sz w:val="26"/>
          <w:szCs w:val="26"/>
        </w:rPr>
        <w:lastRenderedPageBreak/>
        <w:t>de imposici</w:t>
      </w:r>
      <w:r w:rsidR="001A7BD5">
        <w:rPr>
          <w:rFonts w:ascii="Arial" w:hAnsi="Arial" w:cs="Arial"/>
          <w:bCs/>
          <w:snapToGrid w:val="0"/>
          <w:sz w:val="26"/>
          <w:szCs w:val="26"/>
        </w:rPr>
        <w:t>ón de multa emitidas por la Auditoría Superior del Estado de Oaxaca, esta Sala Superior considera que ello genera inseguridad jurídica al particular, al no tener la certeza de los plazos, requisitos y demás formalidades bajo las cuales se tramitará el mencionado medio de impugnación.</w:t>
      </w:r>
    </w:p>
    <w:p w14:paraId="1CB9AE2C" w14:textId="77777777" w:rsidR="008076CE" w:rsidRDefault="00FC2EEB"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55</w:t>
      </w:r>
      <w:r w:rsidR="00247307">
        <w:rPr>
          <w:rFonts w:ascii="Arial" w:hAnsi="Arial" w:cs="Arial"/>
          <w:bCs/>
          <w:snapToGrid w:val="0"/>
          <w:sz w:val="26"/>
          <w:szCs w:val="26"/>
        </w:rPr>
        <w:t xml:space="preserve">. </w:t>
      </w:r>
      <w:r w:rsidR="001A7BD5">
        <w:rPr>
          <w:rFonts w:ascii="Arial" w:hAnsi="Arial" w:cs="Arial"/>
          <w:bCs/>
          <w:snapToGrid w:val="0"/>
          <w:sz w:val="26"/>
          <w:szCs w:val="26"/>
        </w:rPr>
        <w:t>Lo anterior es así, toda vez que para que se pueda agotar el recurso de reconsiderac</w:t>
      </w:r>
      <w:r w:rsidR="009F4F91">
        <w:rPr>
          <w:rFonts w:ascii="Arial" w:hAnsi="Arial" w:cs="Arial"/>
          <w:bCs/>
          <w:snapToGrid w:val="0"/>
          <w:sz w:val="26"/>
          <w:szCs w:val="26"/>
        </w:rPr>
        <w:t>ión establecido en la referida L</w:t>
      </w:r>
      <w:r w:rsidR="001A7BD5">
        <w:rPr>
          <w:rFonts w:ascii="Arial" w:hAnsi="Arial" w:cs="Arial"/>
          <w:bCs/>
          <w:snapToGrid w:val="0"/>
          <w:sz w:val="26"/>
          <w:szCs w:val="26"/>
        </w:rPr>
        <w:t xml:space="preserve">ey de Fiscalización, este debe ser idóneo para lograr la revocación o nulificación del acto impugnado, idoneidad en la cual queda comprendida, que el instrumento jurídico de defensa empleado sea el apropiado, es decir, que este </w:t>
      </w:r>
      <w:r w:rsidR="009F4F91">
        <w:rPr>
          <w:rFonts w:ascii="Arial" w:hAnsi="Arial" w:cs="Arial"/>
          <w:bCs/>
          <w:snapToGrid w:val="0"/>
          <w:sz w:val="26"/>
          <w:szCs w:val="26"/>
        </w:rPr>
        <w:t>contemplado</w:t>
      </w:r>
      <w:r w:rsidR="001A7BD5">
        <w:rPr>
          <w:rFonts w:ascii="Arial" w:hAnsi="Arial" w:cs="Arial"/>
          <w:bCs/>
          <w:snapToGrid w:val="0"/>
          <w:sz w:val="26"/>
          <w:szCs w:val="26"/>
        </w:rPr>
        <w:t xml:space="preserve"> expresamente en la Ley y regido por un procedimiento para su tramitación, pues dicha idoneidad</w:t>
      </w:r>
      <w:r w:rsidR="00D4110C">
        <w:rPr>
          <w:rFonts w:ascii="Arial" w:hAnsi="Arial" w:cs="Arial"/>
          <w:bCs/>
          <w:snapToGrid w:val="0"/>
          <w:sz w:val="26"/>
          <w:szCs w:val="26"/>
        </w:rPr>
        <w:t xml:space="preserve"> se encuentra estrechamente ligada a lo tutelado por el artículo 17 de la </w:t>
      </w:r>
      <w:r w:rsidR="00F17D36" w:rsidRPr="00F17D36">
        <w:rPr>
          <w:rFonts w:ascii="Arial" w:hAnsi="Arial" w:cs="Arial"/>
          <w:bCs/>
          <w:i/>
          <w:snapToGrid w:val="0"/>
          <w:sz w:val="26"/>
          <w:szCs w:val="26"/>
        </w:rPr>
        <w:t>Constitución Federal</w:t>
      </w:r>
      <w:r w:rsidR="008076CE">
        <w:rPr>
          <w:rFonts w:ascii="Arial" w:hAnsi="Arial" w:cs="Arial"/>
          <w:bCs/>
          <w:snapToGrid w:val="0"/>
          <w:sz w:val="26"/>
          <w:szCs w:val="26"/>
        </w:rPr>
        <w:t>.</w:t>
      </w:r>
    </w:p>
    <w:p w14:paraId="781C3046" w14:textId="1076AE43" w:rsidR="00D4110C" w:rsidRDefault="008076CE"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56. E</w:t>
      </w:r>
      <w:r w:rsidR="00D4110C">
        <w:rPr>
          <w:rFonts w:ascii="Arial" w:hAnsi="Arial" w:cs="Arial"/>
          <w:bCs/>
          <w:snapToGrid w:val="0"/>
          <w:sz w:val="26"/>
          <w:szCs w:val="26"/>
        </w:rPr>
        <w:t>s decir, el derecho a la jurisdicción, debiéndose entender este como el derecho de todo gobernado para someter a la consideración de un órgano jurisdiccional sus demandas a efecto de que este último resuelva lo procedente respecto al conflicto suscitado, resolviendo de manera pronta, gratuita e imparcial, por ende la sola existencia de un medio de impugnación, es insuficiente para garantizar el derecho de que se trata, máxime si dicho medio de impugnación, no está debidamente regulado en la Ley, al respecto sirve de apoyo  la Jurisprudencia P./J. 144/200, con número de registro 190665, publicada en la página 15, del Tomo XIII, Diciembre de 2000, novena época, del Semanario Judicial de la federación y su Gaceta, de rubro y texto siguiente:</w:t>
      </w:r>
    </w:p>
    <w:p w14:paraId="4C176A94" w14:textId="2394C42C" w:rsidR="00D4110C" w:rsidRPr="00D4110C" w:rsidRDefault="00D4110C" w:rsidP="00E263E2">
      <w:pPr>
        <w:spacing w:line="360" w:lineRule="auto"/>
        <w:ind w:left="709" w:right="757"/>
        <w:jc w:val="both"/>
        <w:rPr>
          <w:rFonts w:ascii="Arial" w:hAnsi="Arial" w:cs="Arial"/>
          <w:b/>
          <w:bCs/>
          <w:i/>
          <w:snapToGrid w:val="0"/>
          <w:szCs w:val="26"/>
        </w:rPr>
      </w:pPr>
      <w:r>
        <w:rPr>
          <w:rFonts w:ascii="Arial" w:hAnsi="Arial" w:cs="Arial"/>
          <w:b/>
          <w:bCs/>
          <w:i/>
          <w:snapToGrid w:val="0"/>
          <w:szCs w:val="26"/>
        </w:rPr>
        <w:t>“</w:t>
      </w:r>
      <w:r w:rsidRPr="00D4110C">
        <w:rPr>
          <w:rFonts w:ascii="Arial" w:hAnsi="Arial" w:cs="Arial"/>
          <w:b/>
          <w:bCs/>
          <w:i/>
          <w:snapToGrid w:val="0"/>
          <w:szCs w:val="26"/>
        </w:rPr>
        <w:t>IMPROCEDENCIA. LA CAUSAL PREVISTA EN LA FRACCIÓN XIV DEL ARTÍCULO 73 DE LA LEY DE AMPARO REQUIERE QUE EL RECURSO O DEFENSA LEGAL PROPUESTO SE HUBIERA ADMITIDO, SE ESTÉ TRAMITANDO AL RESOLVERSE EL AMPARO Y SEA EL IDÓNEO PARA OBTENER LA REVOCACIÓN O MODIFICACIÓN DEL ACTO RECLAMADO.</w:t>
      </w:r>
    </w:p>
    <w:p w14:paraId="49073FE9" w14:textId="48EF6E6E" w:rsidR="00D4110C" w:rsidRPr="00D4110C" w:rsidRDefault="00D4110C" w:rsidP="00E263E2">
      <w:pPr>
        <w:spacing w:line="360" w:lineRule="auto"/>
        <w:ind w:left="709" w:right="757"/>
        <w:jc w:val="both"/>
        <w:rPr>
          <w:rFonts w:ascii="Arial" w:hAnsi="Arial" w:cs="Arial"/>
          <w:bCs/>
          <w:i/>
          <w:snapToGrid w:val="0"/>
          <w:szCs w:val="26"/>
        </w:rPr>
      </w:pPr>
      <w:r w:rsidRPr="00D4110C">
        <w:rPr>
          <w:rFonts w:ascii="Arial" w:hAnsi="Arial" w:cs="Arial"/>
          <w:bCs/>
          <w:i/>
          <w:snapToGrid w:val="0"/>
          <w:szCs w:val="26"/>
        </w:rPr>
        <w:t xml:space="preserve">La causa de improcedencia prevista en el artículo 73, fracción XIV, de la Ley de Amparo se actualiza cuando concurran las siguientes circunstancias: a) Que sea el quejoso quien haya interpuesto el recurso o medio legal de defensa en contra del acto de autoridad contra el cual solicite amparo; b) Que el recurso o medio de defensa haya sido admitido y se esté tramitando cuando se resuelva el juicio de garantías; y, c) Que el recurso o medio de </w:t>
      </w:r>
      <w:r w:rsidRPr="00D4110C">
        <w:rPr>
          <w:rFonts w:ascii="Arial" w:hAnsi="Arial" w:cs="Arial"/>
          <w:bCs/>
          <w:i/>
          <w:snapToGrid w:val="0"/>
          <w:szCs w:val="26"/>
        </w:rPr>
        <w:lastRenderedPageBreak/>
        <w:t>defensa legal constituya la vía idónea de impugnación para conducir a la insubsistencia legal del acto de autoridad señalado como acto reclamado en el juicio de amparo. Esa interpretación se justifica, por un lado, porque el precepto de referencia exige que el recurso o medio de defensa pueda tener por efecto modificar, revocar o nulificar el acto de autoridad que sea materia del juicio constitucional, resultado que podrá obtenerse si el instrumento jurídico de defensa utilizado es el apropiado, esto es, que esté instituido expresamente por la ley y regido por un procedimiento para su tramitación, oponible frente a una resolución que lesione los intereses de la parte que se dice afectada y mediante el que se pueda lograr la invalidación o la modificación de la resolución impugnada; y, por otro, porque de acuerdo con el principio del contradictorio, el tribunal debe otorgar a las partes la oportunidad de ser oídas en defensa de sus derechos, esto es, debe atender si el agraviado está en posibilidad de ser oído en el recurso o medio de defensa que hubiera propuesto ante la autoridad responsable o su superior jerárquico, para lo cual es indispensable que esté demostrada fehacientemente la admisión del recurso, pues la simple presentación del escrito respectivo no implica que se le dé la oportunidad de ser escuchado en defensa de sus derechos. En este orden de ideas, la causal de improcedencia en mención, únicamente puede considerarse actualizada cuando la parte interesada acredite que el recurso o medio de defensa hecho valer en contra del acto reclamado se esté tramitando simultáneamente con el juicio de garantías, correspondiendo al juzgador de amparo determinar si el medio legal de defensa que esté tramitándose simultáneamente al juicio de amparo, constituye o no la vía idónea de impugnación que pudiera tener como resultado la revocación, modificación o anulación del mismo acto contra el cual se solicita amparo.”</w:t>
      </w:r>
    </w:p>
    <w:p w14:paraId="0298B5F3" w14:textId="77777777" w:rsidR="008076CE" w:rsidRDefault="008076CE"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57</w:t>
      </w:r>
      <w:r w:rsidR="00247307">
        <w:rPr>
          <w:rFonts w:ascii="Arial" w:hAnsi="Arial" w:cs="Arial"/>
          <w:bCs/>
          <w:snapToGrid w:val="0"/>
          <w:sz w:val="26"/>
          <w:szCs w:val="26"/>
        </w:rPr>
        <w:t xml:space="preserve">. </w:t>
      </w:r>
      <w:r w:rsidR="004865C7">
        <w:rPr>
          <w:rFonts w:ascii="Arial" w:hAnsi="Arial" w:cs="Arial"/>
          <w:bCs/>
          <w:snapToGrid w:val="0"/>
          <w:sz w:val="26"/>
          <w:szCs w:val="26"/>
        </w:rPr>
        <w:t xml:space="preserve">En ese tenor, si bien en el resolutivo </w:t>
      </w:r>
      <w:r w:rsidR="00D04C30">
        <w:rPr>
          <w:rFonts w:ascii="Arial" w:hAnsi="Arial" w:cs="Arial"/>
          <w:bCs/>
          <w:snapToGrid w:val="0"/>
          <w:sz w:val="26"/>
          <w:szCs w:val="26"/>
        </w:rPr>
        <w:t xml:space="preserve">cuarto de la resolución de doce de febrero de dos mil diecinueve (12/02/2019), dictada por el Titular de la Unidad de Asuntos Jurídicos del Órgano Superior de </w:t>
      </w:r>
      <w:r w:rsidR="00D04C30" w:rsidRPr="00D04C30">
        <w:rPr>
          <w:rFonts w:ascii="Arial" w:hAnsi="Arial" w:cs="Arial"/>
          <w:bCs/>
          <w:snapToGrid w:val="0"/>
          <w:sz w:val="26"/>
          <w:szCs w:val="26"/>
        </w:rPr>
        <w:t xml:space="preserve">Fiscalización del Estado de Oaxaca en el expediente </w:t>
      </w:r>
      <w:r w:rsidR="00D04C30" w:rsidRPr="00D04C30">
        <w:rPr>
          <w:rFonts w:ascii="Arial" w:hAnsi="Arial" w:cs="Arial"/>
          <w:b/>
          <w:bCs/>
          <w:snapToGrid w:val="0"/>
          <w:sz w:val="26"/>
          <w:szCs w:val="26"/>
        </w:rPr>
        <w:t>ASE/UAJ/P.R./004/2016</w:t>
      </w:r>
      <w:r w:rsidR="00D04C30" w:rsidRPr="00D04C30">
        <w:rPr>
          <w:rFonts w:ascii="Arial" w:hAnsi="Arial" w:cs="Arial"/>
          <w:bCs/>
          <w:snapToGrid w:val="0"/>
          <w:sz w:val="26"/>
          <w:szCs w:val="26"/>
        </w:rPr>
        <w:t>,</w:t>
      </w:r>
      <w:r w:rsidR="004865C7">
        <w:rPr>
          <w:rFonts w:ascii="Arial" w:hAnsi="Arial" w:cs="Arial"/>
          <w:b/>
          <w:bCs/>
          <w:snapToGrid w:val="0"/>
          <w:sz w:val="26"/>
          <w:szCs w:val="26"/>
        </w:rPr>
        <w:t xml:space="preserve"> </w:t>
      </w:r>
      <w:r w:rsidR="004865C7">
        <w:rPr>
          <w:rFonts w:ascii="Arial" w:hAnsi="Arial" w:cs="Arial"/>
          <w:bCs/>
          <w:snapToGrid w:val="0"/>
          <w:sz w:val="26"/>
          <w:szCs w:val="26"/>
        </w:rPr>
        <w:t xml:space="preserve">la autoridad </w:t>
      </w:r>
      <w:r w:rsidR="00721CC7">
        <w:rPr>
          <w:rFonts w:ascii="Arial" w:hAnsi="Arial" w:cs="Arial"/>
          <w:bCs/>
          <w:snapToGrid w:val="0"/>
          <w:sz w:val="26"/>
          <w:szCs w:val="26"/>
        </w:rPr>
        <w:t xml:space="preserve">estableció </w:t>
      </w:r>
      <w:r w:rsidR="004865C7">
        <w:rPr>
          <w:rFonts w:ascii="Arial" w:hAnsi="Arial" w:cs="Arial"/>
          <w:bCs/>
          <w:snapToGrid w:val="0"/>
          <w:sz w:val="26"/>
          <w:szCs w:val="26"/>
        </w:rPr>
        <w:t>que la referida resolución podía ser impugnada dentro del plazo de quince días hábiles, de conformidad con lo dispuesto en el artículo 57</w:t>
      </w:r>
      <w:r w:rsidR="00D04C30">
        <w:rPr>
          <w:rFonts w:ascii="Arial" w:hAnsi="Arial" w:cs="Arial"/>
          <w:bCs/>
          <w:snapToGrid w:val="0"/>
          <w:sz w:val="26"/>
          <w:szCs w:val="26"/>
        </w:rPr>
        <w:t xml:space="preserve"> párrafo primero</w:t>
      </w:r>
      <w:r w:rsidR="004865C7">
        <w:rPr>
          <w:rFonts w:ascii="Arial" w:hAnsi="Arial" w:cs="Arial"/>
          <w:bCs/>
          <w:snapToGrid w:val="0"/>
          <w:sz w:val="26"/>
          <w:szCs w:val="26"/>
        </w:rPr>
        <w:t xml:space="preserve"> de la </w:t>
      </w:r>
      <w:r w:rsidR="00F17D36" w:rsidRPr="00F17D36">
        <w:rPr>
          <w:rFonts w:ascii="Arial" w:hAnsi="Arial" w:cs="Arial"/>
          <w:bCs/>
          <w:i/>
          <w:snapToGrid w:val="0"/>
          <w:sz w:val="26"/>
          <w:szCs w:val="26"/>
        </w:rPr>
        <w:t>Ley de Fiscalización 2013</w:t>
      </w:r>
      <w:r w:rsidR="004865C7">
        <w:rPr>
          <w:rFonts w:ascii="Arial" w:hAnsi="Arial" w:cs="Arial"/>
          <w:bCs/>
          <w:snapToGrid w:val="0"/>
          <w:sz w:val="26"/>
          <w:szCs w:val="26"/>
        </w:rPr>
        <w:t xml:space="preserve">, </w:t>
      </w:r>
    </w:p>
    <w:p w14:paraId="2E487CC6" w14:textId="7D992BB8" w:rsidR="00D4110C" w:rsidRPr="004865C7" w:rsidRDefault="008076CE"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58. T</w:t>
      </w:r>
      <w:r w:rsidR="00721CC7">
        <w:rPr>
          <w:rFonts w:ascii="Arial" w:hAnsi="Arial" w:cs="Arial"/>
          <w:bCs/>
          <w:snapToGrid w:val="0"/>
          <w:sz w:val="26"/>
          <w:szCs w:val="26"/>
        </w:rPr>
        <w:t xml:space="preserve">ambién es cierto que de conformidad con lo dispuesto por el artículo </w:t>
      </w:r>
      <w:r w:rsidR="005F3D9D">
        <w:rPr>
          <w:rFonts w:ascii="Arial" w:hAnsi="Arial" w:cs="Arial"/>
          <w:bCs/>
          <w:snapToGrid w:val="0"/>
          <w:sz w:val="26"/>
          <w:szCs w:val="26"/>
        </w:rPr>
        <w:t xml:space="preserve">Sexto Transitorio </w:t>
      </w:r>
      <w:r w:rsidR="00721CC7">
        <w:rPr>
          <w:rFonts w:ascii="Arial" w:hAnsi="Arial" w:cs="Arial"/>
          <w:bCs/>
          <w:snapToGrid w:val="0"/>
          <w:sz w:val="26"/>
          <w:szCs w:val="26"/>
        </w:rPr>
        <w:t xml:space="preserve">de la referida Ley, hasta en tanto no se expidiera el </w:t>
      </w:r>
      <w:r w:rsidR="00721CC7" w:rsidRPr="008076CE">
        <w:rPr>
          <w:rFonts w:ascii="Arial" w:hAnsi="Arial" w:cs="Arial"/>
          <w:bCs/>
          <w:i/>
          <w:snapToGrid w:val="0"/>
          <w:sz w:val="26"/>
          <w:szCs w:val="26"/>
        </w:rPr>
        <w:t>Código</w:t>
      </w:r>
      <w:r>
        <w:rPr>
          <w:rFonts w:ascii="Arial" w:hAnsi="Arial" w:cs="Arial"/>
          <w:bCs/>
          <w:i/>
          <w:snapToGrid w:val="0"/>
          <w:sz w:val="26"/>
          <w:szCs w:val="26"/>
        </w:rPr>
        <w:t xml:space="preserve"> Administrativo</w:t>
      </w:r>
      <w:r w:rsidR="00D80296">
        <w:rPr>
          <w:rFonts w:ascii="Arial" w:hAnsi="Arial" w:cs="Arial"/>
          <w:bCs/>
          <w:snapToGrid w:val="0"/>
          <w:sz w:val="26"/>
          <w:szCs w:val="26"/>
        </w:rPr>
        <w:t xml:space="preserve"> (legislación que a la fecha no se ha expedido)</w:t>
      </w:r>
      <w:r w:rsidR="00721CC7">
        <w:rPr>
          <w:rFonts w:ascii="Arial" w:hAnsi="Arial" w:cs="Arial"/>
          <w:bCs/>
          <w:snapToGrid w:val="0"/>
          <w:sz w:val="26"/>
          <w:szCs w:val="26"/>
        </w:rPr>
        <w:t xml:space="preserve">, todos los procedimientos que al efecto llevará a cabo la Auditoría Superior del Estado, se tramitarían de conformidad con las disposiciones del </w:t>
      </w:r>
      <w:r w:rsidR="00721CC7" w:rsidRPr="008076CE">
        <w:rPr>
          <w:rFonts w:ascii="Arial" w:hAnsi="Arial" w:cs="Arial"/>
          <w:bCs/>
          <w:i/>
          <w:snapToGrid w:val="0"/>
          <w:sz w:val="26"/>
          <w:szCs w:val="26"/>
        </w:rPr>
        <w:t xml:space="preserve">Código </w:t>
      </w:r>
      <w:r w:rsidRPr="008076CE">
        <w:rPr>
          <w:rFonts w:ascii="Arial" w:hAnsi="Arial" w:cs="Arial"/>
          <w:bCs/>
          <w:i/>
          <w:snapToGrid w:val="0"/>
          <w:sz w:val="26"/>
          <w:szCs w:val="26"/>
        </w:rPr>
        <w:lastRenderedPageBreak/>
        <w:t>Procesal</w:t>
      </w:r>
      <w:r w:rsidR="00721CC7">
        <w:rPr>
          <w:rFonts w:ascii="Arial" w:hAnsi="Arial" w:cs="Arial"/>
          <w:bCs/>
          <w:snapToGrid w:val="0"/>
          <w:sz w:val="26"/>
          <w:szCs w:val="26"/>
        </w:rPr>
        <w:t>, ordenamiento legal que no contiene regulación alguna sobre el referido recurso de reconsideración.</w:t>
      </w:r>
    </w:p>
    <w:p w14:paraId="2DE775F9" w14:textId="72090C3D" w:rsidR="00D4110C" w:rsidRDefault="00D04C30"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w:t>
      </w:r>
      <w:r w:rsidR="008076CE">
        <w:rPr>
          <w:rFonts w:ascii="Arial" w:hAnsi="Arial" w:cs="Arial"/>
          <w:bCs/>
          <w:snapToGrid w:val="0"/>
          <w:sz w:val="26"/>
          <w:szCs w:val="26"/>
        </w:rPr>
        <w:t>9</w:t>
      </w:r>
      <w:r w:rsidR="00247307">
        <w:rPr>
          <w:rFonts w:ascii="Arial" w:hAnsi="Arial" w:cs="Arial"/>
          <w:bCs/>
          <w:snapToGrid w:val="0"/>
          <w:sz w:val="26"/>
          <w:szCs w:val="26"/>
        </w:rPr>
        <w:t xml:space="preserve">. </w:t>
      </w:r>
      <w:r w:rsidR="00D80296">
        <w:rPr>
          <w:rFonts w:ascii="Arial" w:hAnsi="Arial" w:cs="Arial"/>
          <w:bCs/>
          <w:snapToGrid w:val="0"/>
          <w:sz w:val="26"/>
          <w:szCs w:val="26"/>
        </w:rPr>
        <w:t xml:space="preserve">De tal manera que las disposiciones contenidas en los preceptos legales invocados por la propia autoridad demandada, no contienen la información suficiente que brinde certeza jurídica al hoy inconforme, sobre el trámite y resolución del recurso de reconsideración, pues tanto en la </w:t>
      </w:r>
      <w:r w:rsidR="00D80296" w:rsidRPr="008076CE">
        <w:rPr>
          <w:rFonts w:ascii="Arial" w:hAnsi="Arial" w:cs="Arial"/>
          <w:bCs/>
          <w:i/>
          <w:snapToGrid w:val="0"/>
          <w:sz w:val="26"/>
          <w:szCs w:val="26"/>
        </w:rPr>
        <w:t>Ley de Fiscalización</w:t>
      </w:r>
      <w:r w:rsidR="00823288">
        <w:rPr>
          <w:rFonts w:ascii="Arial" w:hAnsi="Arial" w:cs="Arial"/>
          <w:bCs/>
          <w:i/>
          <w:snapToGrid w:val="0"/>
          <w:sz w:val="26"/>
          <w:szCs w:val="26"/>
        </w:rPr>
        <w:t xml:space="preserve"> 2013</w:t>
      </w:r>
      <w:r w:rsidR="00D80296">
        <w:rPr>
          <w:rFonts w:ascii="Arial" w:hAnsi="Arial" w:cs="Arial"/>
          <w:bCs/>
          <w:snapToGrid w:val="0"/>
          <w:sz w:val="26"/>
          <w:szCs w:val="26"/>
        </w:rPr>
        <w:t xml:space="preserve">, como en el </w:t>
      </w:r>
      <w:r w:rsidR="00D80296" w:rsidRPr="008076CE">
        <w:rPr>
          <w:rFonts w:ascii="Arial" w:hAnsi="Arial" w:cs="Arial"/>
          <w:bCs/>
          <w:i/>
          <w:snapToGrid w:val="0"/>
          <w:sz w:val="26"/>
          <w:szCs w:val="26"/>
        </w:rPr>
        <w:t>Código</w:t>
      </w:r>
      <w:r w:rsidR="008076CE">
        <w:rPr>
          <w:rFonts w:ascii="Arial" w:hAnsi="Arial" w:cs="Arial"/>
          <w:bCs/>
          <w:i/>
          <w:snapToGrid w:val="0"/>
          <w:sz w:val="26"/>
          <w:szCs w:val="26"/>
        </w:rPr>
        <w:t xml:space="preserve"> </w:t>
      </w:r>
      <w:r w:rsidR="008076CE" w:rsidRPr="008076CE">
        <w:rPr>
          <w:rFonts w:ascii="Arial" w:hAnsi="Arial" w:cs="Arial"/>
          <w:bCs/>
          <w:i/>
          <w:snapToGrid w:val="0"/>
          <w:sz w:val="26"/>
          <w:szCs w:val="26"/>
        </w:rPr>
        <w:t>Procesal</w:t>
      </w:r>
      <w:r w:rsidR="00D80296">
        <w:rPr>
          <w:rFonts w:ascii="Arial" w:hAnsi="Arial" w:cs="Arial"/>
          <w:bCs/>
          <w:snapToGrid w:val="0"/>
          <w:sz w:val="26"/>
          <w:szCs w:val="26"/>
        </w:rPr>
        <w:t>, no se precisan el plazo para la interposición del referido medio de impugnación, los requisitos que debe cumplir el escrito relativo, ante que autoridad debe promoverse, su tramitación y plazos establecidos para su substanciación, bajo esa premisa, si en el caso concreto la Ley no precisa dichos aspectos esenciales, ello genera incertidumbre al particular.</w:t>
      </w:r>
    </w:p>
    <w:p w14:paraId="5069D298" w14:textId="2DB3F239" w:rsidR="008076CE" w:rsidRDefault="008076CE" w:rsidP="00E55462">
      <w:pPr>
        <w:spacing w:line="360" w:lineRule="auto"/>
        <w:ind w:firstLine="567"/>
        <w:jc w:val="both"/>
        <w:rPr>
          <w:rFonts w:ascii="Arial" w:hAnsi="Arial" w:cs="Arial"/>
          <w:sz w:val="26"/>
          <w:szCs w:val="26"/>
        </w:rPr>
      </w:pPr>
      <w:r>
        <w:rPr>
          <w:rFonts w:ascii="Arial" w:hAnsi="Arial" w:cs="Arial"/>
          <w:sz w:val="26"/>
          <w:szCs w:val="26"/>
        </w:rPr>
        <w:t>60</w:t>
      </w:r>
      <w:r w:rsidR="00247307">
        <w:rPr>
          <w:rFonts w:ascii="Arial" w:hAnsi="Arial" w:cs="Arial"/>
          <w:sz w:val="26"/>
          <w:szCs w:val="26"/>
        </w:rPr>
        <w:t xml:space="preserve">. </w:t>
      </w:r>
      <w:r w:rsidR="00E55462">
        <w:rPr>
          <w:rFonts w:ascii="Arial" w:hAnsi="Arial" w:cs="Arial"/>
          <w:sz w:val="26"/>
          <w:szCs w:val="26"/>
        </w:rPr>
        <w:t xml:space="preserve">Por consiguiente, esta Sala Superior procede a entrar al estudio de la legalidad o ilegalidad de la resolución de </w:t>
      </w:r>
      <w:r w:rsidR="00D04C30">
        <w:rPr>
          <w:rFonts w:ascii="Arial" w:hAnsi="Arial" w:cs="Arial"/>
          <w:bCs/>
          <w:snapToGrid w:val="0"/>
          <w:sz w:val="26"/>
          <w:szCs w:val="26"/>
        </w:rPr>
        <w:t xml:space="preserve">doce de febrero de dos mil diecinueve (12/02/2019), dictada por el Titular de la Unidad de Asuntos Jurídicos del Órgano Superior de </w:t>
      </w:r>
      <w:r w:rsidR="00D04C30" w:rsidRPr="00D04C30">
        <w:rPr>
          <w:rFonts w:ascii="Arial" w:hAnsi="Arial" w:cs="Arial"/>
          <w:bCs/>
          <w:snapToGrid w:val="0"/>
          <w:sz w:val="26"/>
          <w:szCs w:val="26"/>
        </w:rPr>
        <w:t xml:space="preserve">Fiscalización del Estado de Oaxaca en el expediente </w:t>
      </w:r>
      <w:r w:rsidR="00D04C30" w:rsidRPr="00D04C30">
        <w:rPr>
          <w:rFonts w:ascii="Arial" w:hAnsi="Arial" w:cs="Arial"/>
          <w:b/>
          <w:bCs/>
          <w:snapToGrid w:val="0"/>
          <w:sz w:val="26"/>
          <w:szCs w:val="26"/>
        </w:rPr>
        <w:t>ASE/UAJ/P.R./004/2016</w:t>
      </w:r>
      <w:r w:rsidR="00D04C30" w:rsidRPr="00D04C30">
        <w:rPr>
          <w:rFonts w:ascii="Arial" w:hAnsi="Arial" w:cs="Arial"/>
          <w:bCs/>
          <w:snapToGrid w:val="0"/>
          <w:sz w:val="26"/>
          <w:szCs w:val="26"/>
        </w:rPr>
        <w:t>,</w:t>
      </w:r>
      <w:r w:rsidR="00AA4BDB">
        <w:rPr>
          <w:rFonts w:ascii="Arial" w:hAnsi="Arial" w:cs="Arial"/>
          <w:sz w:val="26"/>
          <w:szCs w:val="26"/>
        </w:rPr>
        <w:t xml:space="preserve"> lo anterior a efecto de privilegiar el acceso a la Justicia prevista en el artículo 17 de la </w:t>
      </w:r>
      <w:r w:rsidR="00F17D36" w:rsidRPr="00F17D36">
        <w:rPr>
          <w:rFonts w:ascii="Arial" w:hAnsi="Arial" w:cs="Arial"/>
          <w:i/>
          <w:sz w:val="26"/>
          <w:szCs w:val="26"/>
        </w:rPr>
        <w:t>Constitución Federal</w:t>
      </w:r>
      <w:r>
        <w:rPr>
          <w:rFonts w:ascii="Arial" w:hAnsi="Arial" w:cs="Arial"/>
          <w:sz w:val="26"/>
          <w:szCs w:val="26"/>
        </w:rPr>
        <w:t>.</w:t>
      </w:r>
    </w:p>
    <w:p w14:paraId="623BC7DB" w14:textId="77777777" w:rsidR="008076CE" w:rsidRDefault="008076CE" w:rsidP="00E55462">
      <w:pPr>
        <w:spacing w:line="360" w:lineRule="auto"/>
        <w:ind w:firstLine="567"/>
        <w:jc w:val="both"/>
        <w:rPr>
          <w:rFonts w:ascii="Arial" w:hAnsi="Arial" w:cs="Arial"/>
          <w:sz w:val="26"/>
          <w:szCs w:val="26"/>
        </w:rPr>
      </w:pPr>
      <w:r>
        <w:rPr>
          <w:rFonts w:ascii="Arial" w:hAnsi="Arial" w:cs="Arial"/>
          <w:sz w:val="26"/>
          <w:szCs w:val="26"/>
        </w:rPr>
        <w:t>61.</w:t>
      </w:r>
      <w:r w:rsidR="00AA4BDB">
        <w:rPr>
          <w:rFonts w:ascii="Arial" w:hAnsi="Arial" w:cs="Arial"/>
          <w:sz w:val="26"/>
          <w:szCs w:val="26"/>
        </w:rPr>
        <w:t xml:space="preserve"> </w:t>
      </w:r>
      <w:r>
        <w:rPr>
          <w:rFonts w:ascii="Arial" w:hAnsi="Arial" w:cs="Arial"/>
          <w:sz w:val="26"/>
          <w:szCs w:val="26"/>
        </w:rPr>
        <w:t>Q</w:t>
      </w:r>
      <w:r w:rsidR="00AA4BDB">
        <w:rPr>
          <w:rFonts w:ascii="Arial" w:hAnsi="Arial" w:cs="Arial"/>
          <w:sz w:val="26"/>
          <w:szCs w:val="26"/>
        </w:rPr>
        <w:t xml:space="preserve">ue implica la obligación para los tribunales de resolver los conflictos que se les plantean, sin obstáculos o dilaciones innecesarias y evitando formalismos o interpretaciones no razonables que impidan o dificulten el enjuiciamiento de fondo y la auténtica tutela judicial, motivo por el cual, no debe condicionar su procedencia a requisitos o formalismos excesivos e innecesarios, carentes de razonabilidad respecto del fin que legítimamente puede acortar el acceso a una justicia pronta y expedita. </w:t>
      </w:r>
    </w:p>
    <w:p w14:paraId="2DDD04A0" w14:textId="17CBAD8F" w:rsidR="00E55462" w:rsidRDefault="008076CE" w:rsidP="00E55462">
      <w:pPr>
        <w:spacing w:line="360" w:lineRule="auto"/>
        <w:ind w:firstLine="567"/>
        <w:jc w:val="both"/>
        <w:rPr>
          <w:rFonts w:ascii="Arial" w:hAnsi="Arial" w:cs="Arial"/>
          <w:sz w:val="26"/>
          <w:szCs w:val="26"/>
        </w:rPr>
      </w:pPr>
      <w:r>
        <w:rPr>
          <w:rFonts w:ascii="Arial" w:hAnsi="Arial" w:cs="Arial"/>
          <w:sz w:val="26"/>
          <w:szCs w:val="26"/>
        </w:rPr>
        <w:t xml:space="preserve">62. </w:t>
      </w:r>
      <w:r w:rsidR="00AA4BDB">
        <w:rPr>
          <w:rFonts w:ascii="Arial" w:hAnsi="Arial" w:cs="Arial"/>
          <w:sz w:val="26"/>
          <w:szCs w:val="26"/>
        </w:rPr>
        <w:t>Al respecto sirve de apoyo a lo anterior, la Tesis Aislada 1a. CCXCI/2014 (10a), número de registro 2007064, emitida por la Primera Sala de la Suprema Corte de Justicia de la Nación, publicada en el semanario Judicial de la federación y su Gaceta, en la Décima Época, Tomo I, agosto de 2014, página 536, materia Constitucional Común, de rubro y texto siguiente:</w:t>
      </w:r>
    </w:p>
    <w:p w14:paraId="1AF9AE3A" w14:textId="5A31A85E" w:rsidR="00823AD9" w:rsidRPr="00823AD9" w:rsidRDefault="00823AD9" w:rsidP="00823AD9">
      <w:pPr>
        <w:spacing w:line="360" w:lineRule="auto"/>
        <w:ind w:left="709" w:right="757"/>
        <w:jc w:val="both"/>
        <w:rPr>
          <w:rFonts w:ascii="Arial" w:hAnsi="Arial" w:cs="Arial"/>
          <w:b/>
          <w:i/>
        </w:rPr>
      </w:pPr>
      <w:r w:rsidRPr="00823AD9">
        <w:rPr>
          <w:rFonts w:ascii="Arial" w:hAnsi="Arial" w:cs="Arial"/>
          <w:b/>
          <w:i/>
        </w:rPr>
        <w:t xml:space="preserve">“TUTELA JUDICIAL EFECTIVA. LOS ÓRGANOS ENCARGADOS DE ADMINISTRAR JUSTICIA, AL INTERPRETAR LOS REQUISITOS Y LAS FORMALIDADES ESTABLECIDOS EN LA LEY PARA LA ADMISIBILIDAD Y PROCEDENCIA DE LOS JUICIOS, DEBEN TENER </w:t>
      </w:r>
      <w:r w:rsidRPr="00823AD9">
        <w:rPr>
          <w:rFonts w:ascii="Arial" w:hAnsi="Arial" w:cs="Arial"/>
          <w:b/>
          <w:i/>
        </w:rPr>
        <w:lastRenderedPageBreak/>
        <w:t>PRESENTE LA RATIO DE LA NORMA PARA EVITAR FORMALISMOS QUE IMPIDAN UN ENJUICIAMIENTO DE FONDO DEL ASUNTO.</w:t>
      </w:r>
    </w:p>
    <w:p w14:paraId="77639A51" w14:textId="1DD63BEA" w:rsidR="00823AD9" w:rsidRPr="00823AD9" w:rsidRDefault="00823AD9" w:rsidP="00823AD9">
      <w:pPr>
        <w:spacing w:line="360" w:lineRule="auto"/>
        <w:ind w:left="709" w:right="757"/>
        <w:jc w:val="both"/>
        <w:rPr>
          <w:rFonts w:ascii="Arial" w:hAnsi="Arial" w:cs="Arial"/>
          <w:i/>
        </w:rPr>
      </w:pPr>
      <w:r w:rsidRPr="00823AD9">
        <w:rPr>
          <w:rFonts w:ascii="Arial" w:hAnsi="Arial" w:cs="Arial"/>
          <w:i/>
        </w:rPr>
        <w:t xml:space="preserve">La tutela judicial efectiva, consagrada como derecho humano en los artículos 17 de la </w:t>
      </w:r>
      <w:r w:rsidR="00F17D36" w:rsidRPr="00F17D36">
        <w:rPr>
          <w:rFonts w:ascii="Arial" w:hAnsi="Arial" w:cs="Arial"/>
          <w:i/>
        </w:rPr>
        <w:t>Constitución Federal</w:t>
      </w:r>
      <w:r w:rsidRPr="00823AD9">
        <w:rPr>
          <w:rFonts w:ascii="Arial" w:hAnsi="Arial" w:cs="Arial"/>
          <w:i/>
        </w:rPr>
        <w:t xml:space="preserve"> y 8, numeral 1 y 25, numeral 1, de la Convención Americana sobre Derechos Humanos, 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homine e in dubio pro </w:t>
      </w:r>
      <w:proofErr w:type="spellStart"/>
      <w:r w:rsidRPr="00823AD9">
        <w:rPr>
          <w:rFonts w:ascii="Arial" w:hAnsi="Arial" w:cs="Arial"/>
          <w:i/>
        </w:rPr>
        <w:t>actione</w:t>
      </w:r>
      <w:proofErr w:type="spellEnd"/>
      <w:r w:rsidRPr="00823AD9">
        <w:rPr>
          <w:rFonts w:ascii="Arial" w:hAnsi="Arial" w:cs="Arial"/>
          <w:i/>
        </w:rPr>
        <w:t>, la interpretación más favorable al ejercicio de ese derecho humano, sin soslayarse los presupuestos esenciales de admisibilidad y procedencia de los juicios, incidentes en éstos permitidos o recursos intentados.”</w:t>
      </w:r>
    </w:p>
    <w:p w14:paraId="0F0D584C" w14:textId="77777777" w:rsidR="008076CE" w:rsidRDefault="008076CE" w:rsidP="008E2D40">
      <w:pPr>
        <w:pStyle w:val="corte4fondo"/>
        <w:tabs>
          <w:tab w:val="left" w:pos="0"/>
        </w:tabs>
        <w:spacing w:after="240"/>
        <w:ind w:right="51"/>
        <w:rPr>
          <w:sz w:val="26"/>
          <w:szCs w:val="26"/>
        </w:rPr>
      </w:pPr>
      <w:r>
        <w:rPr>
          <w:sz w:val="26"/>
          <w:szCs w:val="26"/>
        </w:rPr>
        <w:t>6</w:t>
      </w:r>
      <w:r w:rsidR="00D04C30">
        <w:rPr>
          <w:sz w:val="26"/>
          <w:szCs w:val="26"/>
        </w:rPr>
        <w:t>3</w:t>
      </w:r>
      <w:r w:rsidR="00247307">
        <w:rPr>
          <w:sz w:val="26"/>
          <w:szCs w:val="26"/>
        </w:rPr>
        <w:t xml:space="preserve">. </w:t>
      </w:r>
      <w:r w:rsidR="00425D18">
        <w:rPr>
          <w:sz w:val="26"/>
          <w:szCs w:val="26"/>
        </w:rPr>
        <w:t xml:space="preserve">En esas condiciones y atentos al principio de mayor beneficio, lo procedente es realizar el análisis de los conceptos de impugnación hechos valer por el actor en contra de la resolución dictada el </w:t>
      </w:r>
      <w:r w:rsidR="00D04C30">
        <w:rPr>
          <w:rFonts w:cs="Arial"/>
          <w:bCs/>
          <w:snapToGrid w:val="0"/>
          <w:sz w:val="26"/>
          <w:szCs w:val="26"/>
        </w:rPr>
        <w:t xml:space="preserve">de doce de febrero de dos mil diecinueve (12/02/2019), dictada por el Titular de la Unidad de Asuntos Jurídicos del Órgano Superior de </w:t>
      </w:r>
      <w:r w:rsidR="00D04C30" w:rsidRPr="00D04C30">
        <w:rPr>
          <w:rFonts w:cs="Arial"/>
          <w:bCs/>
          <w:snapToGrid w:val="0"/>
          <w:sz w:val="26"/>
          <w:szCs w:val="26"/>
        </w:rPr>
        <w:t xml:space="preserve">Fiscalización del Estado de Oaxaca en el expediente </w:t>
      </w:r>
      <w:r w:rsidR="00D04C30" w:rsidRPr="00D04C30">
        <w:rPr>
          <w:rFonts w:cs="Arial"/>
          <w:b/>
          <w:bCs/>
          <w:snapToGrid w:val="0"/>
          <w:sz w:val="26"/>
          <w:szCs w:val="26"/>
        </w:rPr>
        <w:t>ASE/UAJ/P.R./004/2016</w:t>
      </w:r>
      <w:r w:rsidR="00D04C30" w:rsidRPr="00D04C30">
        <w:rPr>
          <w:rFonts w:cs="Arial"/>
          <w:bCs/>
          <w:snapToGrid w:val="0"/>
          <w:sz w:val="26"/>
          <w:szCs w:val="26"/>
        </w:rPr>
        <w:t>,</w:t>
      </w:r>
      <w:r w:rsidR="00425D18">
        <w:rPr>
          <w:sz w:val="26"/>
          <w:szCs w:val="26"/>
        </w:rPr>
        <w:t xml:space="preserve"> privilegiando el estudio de aquellos </w:t>
      </w:r>
      <w:r w:rsidR="005C1EA1">
        <w:rPr>
          <w:sz w:val="26"/>
          <w:szCs w:val="26"/>
        </w:rPr>
        <w:t>que de resultar fundados</w:t>
      </w:r>
      <w:r w:rsidR="008E2D40">
        <w:rPr>
          <w:sz w:val="26"/>
          <w:szCs w:val="26"/>
        </w:rPr>
        <w:t xml:space="preserve"> redunden en un mayor beneficio para la parte actora en el presente juicio. </w:t>
      </w:r>
    </w:p>
    <w:p w14:paraId="205B375A" w14:textId="796E10C3" w:rsidR="008E2D40" w:rsidRPr="008E2D40" w:rsidRDefault="008076CE" w:rsidP="008E2D40">
      <w:pPr>
        <w:pStyle w:val="corte4fondo"/>
        <w:tabs>
          <w:tab w:val="left" w:pos="0"/>
        </w:tabs>
        <w:spacing w:after="240"/>
        <w:ind w:right="51"/>
        <w:rPr>
          <w:sz w:val="26"/>
          <w:szCs w:val="26"/>
        </w:rPr>
      </w:pPr>
      <w:r>
        <w:rPr>
          <w:sz w:val="26"/>
          <w:szCs w:val="26"/>
        </w:rPr>
        <w:t xml:space="preserve">64. </w:t>
      </w:r>
      <w:r w:rsidR="008E2D40">
        <w:rPr>
          <w:sz w:val="26"/>
          <w:szCs w:val="26"/>
        </w:rPr>
        <w:t>Sirve de apoyo a lo anterior la Jurisprudencia, cuyos datos de identificación son del tenor siguiente:</w:t>
      </w:r>
      <w:r w:rsidR="008E2D40" w:rsidRPr="008E2D40">
        <w:t xml:space="preserve"> </w:t>
      </w:r>
      <w:r w:rsidR="008E2D40" w:rsidRPr="008E2D40">
        <w:rPr>
          <w:sz w:val="26"/>
          <w:szCs w:val="26"/>
        </w:rPr>
        <w:t>Registro digital: 166717</w:t>
      </w:r>
      <w:r w:rsidR="008E2D40">
        <w:rPr>
          <w:sz w:val="26"/>
          <w:szCs w:val="26"/>
        </w:rPr>
        <w:t xml:space="preserve">, </w:t>
      </w:r>
      <w:r w:rsidR="008E2D40" w:rsidRPr="008E2D40">
        <w:rPr>
          <w:sz w:val="26"/>
          <w:szCs w:val="26"/>
        </w:rPr>
        <w:t>Instancia: Tribunales Colegiados de Circuito</w:t>
      </w:r>
      <w:r w:rsidR="008E2D40">
        <w:rPr>
          <w:sz w:val="26"/>
          <w:szCs w:val="26"/>
        </w:rPr>
        <w:t xml:space="preserve">, </w:t>
      </w:r>
      <w:r w:rsidR="008E2D40" w:rsidRPr="008E2D40">
        <w:rPr>
          <w:sz w:val="26"/>
          <w:szCs w:val="26"/>
        </w:rPr>
        <w:t>Novena Época</w:t>
      </w:r>
      <w:r w:rsidR="008E2D40">
        <w:rPr>
          <w:sz w:val="26"/>
          <w:szCs w:val="26"/>
        </w:rPr>
        <w:t xml:space="preserve">, </w:t>
      </w:r>
      <w:r w:rsidR="008E2D40" w:rsidRPr="008E2D40">
        <w:rPr>
          <w:sz w:val="26"/>
          <w:szCs w:val="26"/>
        </w:rPr>
        <w:t>Materias(s): Administrativa</w:t>
      </w:r>
      <w:r w:rsidR="008E2D40">
        <w:rPr>
          <w:sz w:val="26"/>
          <w:szCs w:val="26"/>
        </w:rPr>
        <w:t xml:space="preserve">, </w:t>
      </w:r>
      <w:r w:rsidR="008E2D40" w:rsidRPr="008E2D40">
        <w:rPr>
          <w:sz w:val="26"/>
          <w:szCs w:val="26"/>
        </w:rPr>
        <w:t>Tesis: XVI.1o.A.T. J/9</w:t>
      </w:r>
      <w:r w:rsidR="008E2D40">
        <w:rPr>
          <w:sz w:val="26"/>
          <w:szCs w:val="26"/>
        </w:rPr>
        <w:t xml:space="preserve">, </w:t>
      </w:r>
      <w:r w:rsidR="008E2D40" w:rsidRPr="008E2D40">
        <w:rPr>
          <w:sz w:val="26"/>
          <w:szCs w:val="26"/>
        </w:rPr>
        <w:t xml:space="preserve">Fuente: Semanario Judicial de la Federación y su Gaceta. Tomo XXX, </w:t>
      </w:r>
      <w:proofErr w:type="gramStart"/>
      <w:r w:rsidR="008E2D40" w:rsidRPr="008E2D40">
        <w:rPr>
          <w:sz w:val="26"/>
          <w:szCs w:val="26"/>
        </w:rPr>
        <w:t>Agosto</w:t>
      </w:r>
      <w:proofErr w:type="gramEnd"/>
      <w:r w:rsidR="008E2D40" w:rsidRPr="008E2D40">
        <w:rPr>
          <w:sz w:val="26"/>
          <w:szCs w:val="26"/>
        </w:rPr>
        <w:t xml:space="preserve"> de 2009, página 1275</w:t>
      </w:r>
      <w:r w:rsidR="008E2D40">
        <w:rPr>
          <w:sz w:val="26"/>
          <w:szCs w:val="26"/>
        </w:rPr>
        <w:t>:</w:t>
      </w:r>
    </w:p>
    <w:p w14:paraId="21099079" w14:textId="4920DFD2" w:rsidR="008E2D40" w:rsidRPr="008E2D40" w:rsidRDefault="008E2D40" w:rsidP="008E2D40">
      <w:pPr>
        <w:pStyle w:val="corte4fondo"/>
        <w:tabs>
          <w:tab w:val="left" w:pos="567"/>
        </w:tabs>
        <w:spacing w:after="240"/>
        <w:ind w:left="709" w:right="757" w:firstLine="0"/>
        <w:rPr>
          <w:b/>
          <w:i/>
          <w:sz w:val="22"/>
          <w:szCs w:val="26"/>
        </w:rPr>
      </w:pPr>
      <w:r w:rsidRPr="008E2D40">
        <w:rPr>
          <w:b/>
          <w:i/>
          <w:sz w:val="22"/>
          <w:szCs w:val="26"/>
        </w:rPr>
        <w:t xml:space="preserve">“CONCEPTOS DE ANULACIÓN EN EL JUICIO CONTENCIOSO ADMINISTRATIVO. ES PREFERENTE EL ESTUDIO DE AQUELLOS QUE CONDUZCAN A DECLARAR LA NULIDAD LISA Y LLANA DEL ACTO </w:t>
      </w:r>
      <w:r w:rsidRPr="008E2D40">
        <w:rPr>
          <w:b/>
          <w:i/>
          <w:sz w:val="22"/>
          <w:szCs w:val="26"/>
        </w:rPr>
        <w:lastRenderedPageBreak/>
        <w:t>IMPUGNADO POR REPRESENTAR UN MAYOR BENEFICIO PARA EL ACTOR (LEGISLACIÓN DEL ESTADO DE GUANAJUATO).</w:t>
      </w:r>
    </w:p>
    <w:p w14:paraId="7DEE0960" w14:textId="4A2E19F2" w:rsidR="008E2D40" w:rsidRPr="008E2D40" w:rsidRDefault="008E2D40" w:rsidP="008E2D40">
      <w:pPr>
        <w:pStyle w:val="corte4fondo"/>
        <w:tabs>
          <w:tab w:val="left" w:pos="567"/>
        </w:tabs>
        <w:spacing w:after="240"/>
        <w:ind w:left="709" w:right="757" w:firstLine="0"/>
        <w:rPr>
          <w:i/>
          <w:sz w:val="22"/>
          <w:szCs w:val="26"/>
        </w:rPr>
      </w:pPr>
      <w:r w:rsidRPr="008E2D40">
        <w:rPr>
          <w:i/>
          <w:sz w:val="22"/>
          <w:szCs w:val="26"/>
        </w:rPr>
        <w:t>El artículo 17 constitucional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87 y 89, fracción I, de la Ley de Justicia Administrativa del Estado de Guanajuato,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13B36DDB" w14:textId="77777777" w:rsidR="008076CE" w:rsidRDefault="008076CE" w:rsidP="000D7007">
      <w:pPr>
        <w:pStyle w:val="corte4fondo"/>
        <w:tabs>
          <w:tab w:val="left" w:pos="0"/>
        </w:tabs>
        <w:spacing w:after="240"/>
        <w:ind w:right="51"/>
        <w:rPr>
          <w:sz w:val="26"/>
          <w:szCs w:val="26"/>
        </w:rPr>
      </w:pPr>
      <w:r>
        <w:rPr>
          <w:sz w:val="26"/>
          <w:szCs w:val="26"/>
        </w:rPr>
        <w:t>65</w:t>
      </w:r>
      <w:r w:rsidR="00247307">
        <w:rPr>
          <w:sz w:val="26"/>
          <w:szCs w:val="26"/>
        </w:rPr>
        <w:t xml:space="preserve">. </w:t>
      </w:r>
      <w:r w:rsidR="0092699E">
        <w:rPr>
          <w:sz w:val="26"/>
          <w:szCs w:val="26"/>
        </w:rPr>
        <w:t>En seguida se procede al análisis de</w:t>
      </w:r>
      <w:r w:rsidR="00AD3C4A">
        <w:rPr>
          <w:sz w:val="26"/>
          <w:szCs w:val="26"/>
        </w:rPr>
        <w:t xml:space="preserve"> </w:t>
      </w:r>
      <w:r w:rsidR="0092699E">
        <w:rPr>
          <w:sz w:val="26"/>
          <w:szCs w:val="26"/>
        </w:rPr>
        <w:t>l</w:t>
      </w:r>
      <w:r w:rsidR="00AD3C4A">
        <w:rPr>
          <w:sz w:val="26"/>
          <w:szCs w:val="26"/>
        </w:rPr>
        <w:t>os</w:t>
      </w:r>
      <w:r w:rsidR="0092699E">
        <w:rPr>
          <w:sz w:val="26"/>
          <w:szCs w:val="26"/>
        </w:rPr>
        <w:t xml:space="preserve"> concepto</w:t>
      </w:r>
      <w:r w:rsidR="00AD3C4A">
        <w:rPr>
          <w:sz w:val="26"/>
          <w:szCs w:val="26"/>
        </w:rPr>
        <w:t>s</w:t>
      </w:r>
      <w:r w:rsidR="0092699E">
        <w:rPr>
          <w:sz w:val="26"/>
          <w:szCs w:val="26"/>
        </w:rPr>
        <w:t xml:space="preserve"> de impugnación</w:t>
      </w:r>
      <w:r w:rsidR="00D04C30">
        <w:rPr>
          <w:sz w:val="26"/>
          <w:szCs w:val="26"/>
        </w:rPr>
        <w:t xml:space="preserve"> marcado</w:t>
      </w:r>
      <w:r w:rsidR="00AD3C4A">
        <w:rPr>
          <w:sz w:val="26"/>
          <w:szCs w:val="26"/>
        </w:rPr>
        <w:t>s</w:t>
      </w:r>
      <w:r w:rsidR="00D04C30">
        <w:rPr>
          <w:sz w:val="26"/>
          <w:szCs w:val="26"/>
        </w:rPr>
        <w:t xml:space="preserve"> </w:t>
      </w:r>
      <w:r w:rsidR="00D04C30" w:rsidRPr="00D04C30">
        <w:rPr>
          <w:sz w:val="26"/>
          <w:szCs w:val="26"/>
        </w:rPr>
        <w:t>como</w:t>
      </w:r>
      <w:r w:rsidR="0092699E" w:rsidRPr="00D04C30">
        <w:rPr>
          <w:sz w:val="26"/>
          <w:szCs w:val="26"/>
        </w:rPr>
        <w:t xml:space="preserve"> </w:t>
      </w:r>
      <w:r w:rsidR="00D04C30" w:rsidRPr="00D04C30">
        <w:rPr>
          <w:b/>
          <w:sz w:val="26"/>
          <w:szCs w:val="26"/>
        </w:rPr>
        <w:t>IV</w:t>
      </w:r>
      <w:r w:rsidR="00AD3C4A">
        <w:rPr>
          <w:b/>
          <w:sz w:val="26"/>
          <w:szCs w:val="26"/>
        </w:rPr>
        <w:t xml:space="preserve"> </w:t>
      </w:r>
      <w:r w:rsidR="00AD3C4A">
        <w:rPr>
          <w:sz w:val="26"/>
          <w:szCs w:val="26"/>
        </w:rPr>
        <w:t xml:space="preserve">y </w:t>
      </w:r>
      <w:r w:rsidR="00AD3C4A">
        <w:rPr>
          <w:b/>
          <w:sz w:val="26"/>
          <w:szCs w:val="26"/>
        </w:rPr>
        <w:t>V</w:t>
      </w:r>
      <w:r w:rsidR="0092699E" w:rsidRPr="00D04C30">
        <w:rPr>
          <w:sz w:val="26"/>
          <w:szCs w:val="26"/>
        </w:rPr>
        <w:t>,</w:t>
      </w:r>
      <w:r w:rsidR="00AD3C4A">
        <w:rPr>
          <w:sz w:val="26"/>
          <w:szCs w:val="26"/>
        </w:rPr>
        <w:t xml:space="preserve"> </w:t>
      </w:r>
      <w:r w:rsidR="0092699E" w:rsidRPr="00D04C30">
        <w:rPr>
          <w:sz w:val="26"/>
          <w:szCs w:val="26"/>
        </w:rPr>
        <w:t>hecho</w:t>
      </w:r>
      <w:r w:rsidR="00AD3C4A">
        <w:rPr>
          <w:sz w:val="26"/>
          <w:szCs w:val="26"/>
        </w:rPr>
        <w:t>s</w:t>
      </w:r>
      <w:r w:rsidR="0092699E">
        <w:rPr>
          <w:sz w:val="26"/>
          <w:szCs w:val="26"/>
        </w:rPr>
        <w:t xml:space="preserve"> valer por el promovente en su escrito de ampliación de demanda, relativos a la resolución </w:t>
      </w:r>
      <w:r w:rsidR="00D04C30">
        <w:rPr>
          <w:rFonts w:cs="Arial"/>
          <w:bCs/>
          <w:snapToGrid w:val="0"/>
          <w:sz w:val="26"/>
          <w:szCs w:val="26"/>
        </w:rPr>
        <w:t xml:space="preserve">de doce de febrero de dos mil diecinueve (12/02/2019), dictada </w:t>
      </w:r>
      <w:r w:rsidR="00D04C30" w:rsidRPr="00D04C30">
        <w:rPr>
          <w:rFonts w:cs="Arial"/>
          <w:bCs/>
          <w:snapToGrid w:val="0"/>
          <w:sz w:val="26"/>
          <w:szCs w:val="26"/>
        </w:rPr>
        <w:t xml:space="preserve">en el expediente </w:t>
      </w:r>
      <w:r w:rsidR="00D04C30" w:rsidRPr="00D04C30">
        <w:rPr>
          <w:rFonts w:cs="Arial"/>
          <w:b/>
          <w:bCs/>
          <w:snapToGrid w:val="0"/>
          <w:sz w:val="26"/>
          <w:szCs w:val="26"/>
        </w:rPr>
        <w:t>ASE/UAJ/P.R./004/2016</w:t>
      </w:r>
      <w:r w:rsidR="00D04C30" w:rsidRPr="00D04C30">
        <w:rPr>
          <w:rFonts w:cs="Arial"/>
          <w:bCs/>
          <w:snapToGrid w:val="0"/>
          <w:sz w:val="26"/>
          <w:szCs w:val="26"/>
        </w:rPr>
        <w:t>,</w:t>
      </w:r>
      <w:r w:rsidR="00AD3C4A">
        <w:rPr>
          <w:rFonts w:cs="Arial"/>
          <w:bCs/>
          <w:snapToGrid w:val="0"/>
          <w:sz w:val="26"/>
          <w:szCs w:val="26"/>
        </w:rPr>
        <w:t xml:space="preserve"> por</w:t>
      </w:r>
      <w:r w:rsidR="00AD3C4A">
        <w:rPr>
          <w:sz w:val="26"/>
          <w:szCs w:val="26"/>
        </w:rPr>
        <w:t xml:space="preserve"> e</w:t>
      </w:r>
      <w:r>
        <w:rPr>
          <w:sz w:val="26"/>
          <w:szCs w:val="26"/>
        </w:rPr>
        <w:t>star estrechamente relacionados.</w:t>
      </w:r>
    </w:p>
    <w:p w14:paraId="50E9D9B9" w14:textId="77777777" w:rsidR="008076CE" w:rsidRDefault="008076CE" w:rsidP="000D7007">
      <w:pPr>
        <w:pStyle w:val="corte4fondo"/>
        <w:tabs>
          <w:tab w:val="left" w:pos="0"/>
        </w:tabs>
        <w:spacing w:after="240"/>
        <w:ind w:right="51"/>
        <w:rPr>
          <w:sz w:val="26"/>
          <w:szCs w:val="26"/>
        </w:rPr>
      </w:pPr>
      <w:r>
        <w:rPr>
          <w:sz w:val="26"/>
          <w:szCs w:val="26"/>
        </w:rPr>
        <w:t>66.</w:t>
      </w:r>
      <w:r w:rsidR="003554BD">
        <w:rPr>
          <w:sz w:val="26"/>
          <w:szCs w:val="26"/>
        </w:rPr>
        <w:t xml:space="preserve"> </w:t>
      </w:r>
      <w:r>
        <w:rPr>
          <w:sz w:val="26"/>
          <w:szCs w:val="26"/>
        </w:rPr>
        <w:t>E</w:t>
      </w:r>
      <w:r w:rsidR="003554BD">
        <w:rPr>
          <w:sz w:val="26"/>
          <w:szCs w:val="26"/>
        </w:rPr>
        <w:t>n l</w:t>
      </w:r>
      <w:r w:rsidR="00AD3C4A">
        <w:rPr>
          <w:sz w:val="26"/>
          <w:szCs w:val="26"/>
        </w:rPr>
        <w:t>os</w:t>
      </w:r>
      <w:r w:rsidR="003554BD">
        <w:rPr>
          <w:sz w:val="26"/>
          <w:szCs w:val="26"/>
        </w:rPr>
        <w:t xml:space="preserve"> cual</w:t>
      </w:r>
      <w:r w:rsidR="00AD3C4A">
        <w:rPr>
          <w:sz w:val="26"/>
          <w:szCs w:val="26"/>
        </w:rPr>
        <w:t>es</w:t>
      </w:r>
      <w:r w:rsidR="003554BD">
        <w:rPr>
          <w:sz w:val="26"/>
          <w:szCs w:val="26"/>
        </w:rPr>
        <w:t xml:space="preserve"> manifiesta que la </w:t>
      </w:r>
      <w:r w:rsidR="00D04C30">
        <w:rPr>
          <w:rFonts w:cs="Arial"/>
          <w:bCs/>
          <w:snapToGrid w:val="0"/>
          <w:sz w:val="26"/>
          <w:szCs w:val="26"/>
        </w:rPr>
        <w:t xml:space="preserve">Titular de la Unidad de Asuntos Jurídicos del Órgano Superior de </w:t>
      </w:r>
      <w:r w:rsidR="00D04C30" w:rsidRPr="00D04C30">
        <w:rPr>
          <w:rFonts w:cs="Arial"/>
          <w:bCs/>
          <w:snapToGrid w:val="0"/>
          <w:sz w:val="26"/>
          <w:szCs w:val="26"/>
        </w:rPr>
        <w:t>Fiscalización del Estado de Oaxaca</w:t>
      </w:r>
      <w:r w:rsidR="00D04C30">
        <w:rPr>
          <w:rFonts w:cs="Arial"/>
          <w:bCs/>
          <w:snapToGrid w:val="0"/>
          <w:sz w:val="26"/>
          <w:szCs w:val="26"/>
        </w:rPr>
        <w:t>,</w:t>
      </w:r>
      <w:r w:rsidR="00D04C30" w:rsidRPr="00D04C30">
        <w:rPr>
          <w:rFonts w:cs="Arial"/>
          <w:bCs/>
          <w:snapToGrid w:val="0"/>
          <w:sz w:val="26"/>
          <w:szCs w:val="26"/>
        </w:rPr>
        <w:t xml:space="preserve"> </w:t>
      </w:r>
      <w:r w:rsidR="00D04C30">
        <w:rPr>
          <w:sz w:val="26"/>
          <w:szCs w:val="26"/>
        </w:rPr>
        <w:t>carece de atribuciones legales para emitir la referida resolución, en virtud de que en ningún momento hace mención, respecto al documento por el cual el Titular del Órgano Superior de Fiscalización del Estado, le delego la facultad para instruir e iniciar el procedimiento para el fincamiento de responsabili</w:t>
      </w:r>
      <w:r>
        <w:rPr>
          <w:sz w:val="26"/>
          <w:szCs w:val="26"/>
        </w:rPr>
        <w:t>dad administrativa resarcitoria.</w:t>
      </w:r>
    </w:p>
    <w:p w14:paraId="64E84CEC" w14:textId="75102CE5" w:rsidR="00D04C30" w:rsidRDefault="008076CE" w:rsidP="000D7007">
      <w:pPr>
        <w:pStyle w:val="corte4fondo"/>
        <w:tabs>
          <w:tab w:val="left" w:pos="0"/>
        </w:tabs>
        <w:spacing w:after="240"/>
        <w:ind w:right="51"/>
        <w:rPr>
          <w:sz w:val="26"/>
          <w:szCs w:val="26"/>
        </w:rPr>
      </w:pPr>
      <w:r>
        <w:rPr>
          <w:sz w:val="26"/>
          <w:szCs w:val="26"/>
        </w:rPr>
        <w:t>67.</w:t>
      </w:r>
      <w:r w:rsidR="00D04C30">
        <w:rPr>
          <w:sz w:val="26"/>
          <w:szCs w:val="26"/>
        </w:rPr>
        <w:t xml:space="preserve"> </w:t>
      </w:r>
      <w:r>
        <w:rPr>
          <w:sz w:val="26"/>
          <w:szCs w:val="26"/>
        </w:rPr>
        <w:t>S</w:t>
      </w:r>
      <w:r w:rsidR="00D04C30">
        <w:rPr>
          <w:sz w:val="26"/>
          <w:szCs w:val="26"/>
        </w:rPr>
        <w:t xml:space="preserve">iendo omisa en precisar los artículos que le atribuyen la facultad de iniciar dicho procedimiento, y que si bien la demandada invoco los </w:t>
      </w:r>
      <w:r w:rsidR="00D04C30">
        <w:rPr>
          <w:sz w:val="26"/>
          <w:szCs w:val="26"/>
        </w:rPr>
        <w:lastRenderedPageBreak/>
        <w:t xml:space="preserve">artículos 31 fracciones XXVII y XXIX, 56, 58 fracciones I y IV, 67 fracción II y Sexto Transitorio de la </w:t>
      </w:r>
      <w:r w:rsidR="00F17D36" w:rsidRPr="00F17D36">
        <w:rPr>
          <w:i/>
          <w:sz w:val="26"/>
          <w:szCs w:val="26"/>
        </w:rPr>
        <w:t>Ley de Fiscalización 2013</w:t>
      </w:r>
      <w:r w:rsidR="00B96AFF">
        <w:rPr>
          <w:sz w:val="26"/>
          <w:szCs w:val="26"/>
        </w:rPr>
        <w:t>, también es cierto que el artículo 67 fracción II de la referida Ley de Fiscalización</w:t>
      </w:r>
      <w:r w:rsidR="00823288">
        <w:rPr>
          <w:sz w:val="26"/>
          <w:szCs w:val="26"/>
        </w:rPr>
        <w:t xml:space="preserve"> 2013</w:t>
      </w:r>
      <w:r w:rsidR="00B96AFF">
        <w:rPr>
          <w:sz w:val="26"/>
          <w:szCs w:val="26"/>
        </w:rPr>
        <w:t xml:space="preserve"> prevé la existencia de un </w:t>
      </w:r>
      <w:r w:rsidR="00B96AFF" w:rsidRPr="00B96AFF">
        <w:rPr>
          <w:i/>
          <w:sz w:val="26"/>
          <w:szCs w:val="26"/>
          <w:u w:val="single"/>
        </w:rPr>
        <w:t>“procedimiento resarcitorio</w:t>
      </w:r>
      <w:r w:rsidR="00B96AFF">
        <w:rPr>
          <w:i/>
          <w:sz w:val="26"/>
          <w:szCs w:val="26"/>
          <w:u w:val="single"/>
        </w:rPr>
        <w:t>”</w:t>
      </w:r>
      <w:r w:rsidR="00B96AFF">
        <w:rPr>
          <w:sz w:val="26"/>
          <w:szCs w:val="26"/>
        </w:rPr>
        <w:t>, que corresponde desahogar a la Unidad de Asuntos Jurídicos, y no hace referencia propiamente al “Procedimiento para el Fincamiento de Responsabilidad Administrativa Resarcitoria”.</w:t>
      </w:r>
    </w:p>
    <w:p w14:paraId="58E2D660" w14:textId="668738DE" w:rsidR="00B96AFF" w:rsidRDefault="008076CE" w:rsidP="000D7007">
      <w:pPr>
        <w:pStyle w:val="corte4fondo"/>
        <w:tabs>
          <w:tab w:val="left" w:pos="0"/>
        </w:tabs>
        <w:spacing w:after="240"/>
        <w:ind w:right="51"/>
        <w:rPr>
          <w:sz w:val="26"/>
          <w:szCs w:val="26"/>
        </w:rPr>
      </w:pPr>
      <w:r>
        <w:rPr>
          <w:sz w:val="26"/>
          <w:szCs w:val="26"/>
        </w:rPr>
        <w:t>68</w:t>
      </w:r>
      <w:r w:rsidR="00B96AFF">
        <w:rPr>
          <w:sz w:val="26"/>
          <w:szCs w:val="26"/>
        </w:rPr>
        <w:t>. entendiéndose ello como dos procedimientos distintos, pues por simple lógica y de la simple lectura se observa que</w:t>
      </w:r>
      <w:r w:rsidR="00EB5148">
        <w:rPr>
          <w:sz w:val="26"/>
          <w:szCs w:val="26"/>
        </w:rPr>
        <w:t>,</w:t>
      </w:r>
      <w:r w:rsidR="00B96AFF">
        <w:rPr>
          <w:sz w:val="26"/>
          <w:szCs w:val="26"/>
        </w:rPr>
        <w:t xml:space="preserve"> en el procedimiento para el fincamiento de responsabilidad administrativa resarcitoria, apenas se fincara la responsabilidad administrativa resarcitoria.</w:t>
      </w:r>
    </w:p>
    <w:p w14:paraId="48DC2A11" w14:textId="01644817" w:rsidR="00B96AFF" w:rsidRDefault="008076CE" w:rsidP="00AD3C4A">
      <w:pPr>
        <w:pStyle w:val="corte4fondo"/>
        <w:tabs>
          <w:tab w:val="left" w:pos="0"/>
        </w:tabs>
        <w:spacing w:after="240"/>
        <w:ind w:right="51"/>
        <w:rPr>
          <w:sz w:val="26"/>
          <w:szCs w:val="26"/>
        </w:rPr>
      </w:pPr>
      <w:r>
        <w:rPr>
          <w:sz w:val="26"/>
          <w:szCs w:val="26"/>
        </w:rPr>
        <w:t>69</w:t>
      </w:r>
      <w:r w:rsidR="00B96AFF">
        <w:rPr>
          <w:sz w:val="26"/>
          <w:szCs w:val="26"/>
        </w:rPr>
        <w:t>. En tanto que</w:t>
      </w:r>
      <w:r w:rsidR="00EB5148">
        <w:rPr>
          <w:sz w:val="26"/>
          <w:szCs w:val="26"/>
        </w:rPr>
        <w:t>,</w:t>
      </w:r>
      <w:r w:rsidR="00B96AFF">
        <w:rPr>
          <w:sz w:val="26"/>
          <w:szCs w:val="26"/>
        </w:rPr>
        <w:t xml:space="preserve"> en el procedimiento resarcitorio, en el </w:t>
      </w:r>
      <w:r w:rsidR="00EB5148">
        <w:rPr>
          <w:sz w:val="26"/>
          <w:szCs w:val="26"/>
        </w:rPr>
        <w:t>cual,</w:t>
      </w:r>
      <w:r w:rsidR="00B96AFF">
        <w:rPr>
          <w:sz w:val="26"/>
          <w:szCs w:val="26"/>
        </w:rPr>
        <w:t xml:space="preserve"> si tiene </w:t>
      </w:r>
      <w:r w:rsidR="00EB5148">
        <w:rPr>
          <w:sz w:val="26"/>
          <w:szCs w:val="26"/>
        </w:rPr>
        <w:t xml:space="preserve">facultades </w:t>
      </w:r>
      <w:r w:rsidR="00B96AFF">
        <w:rPr>
          <w:sz w:val="26"/>
          <w:szCs w:val="26"/>
        </w:rPr>
        <w:t xml:space="preserve">para </w:t>
      </w:r>
      <w:r w:rsidR="00EB5148">
        <w:rPr>
          <w:sz w:val="26"/>
          <w:szCs w:val="26"/>
        </w:rPr>
        <w:t>su desahogo</w:t>
      </w:r>
      <w:r w:rsidR="00B96AFF">
        <w:rPr>
          <w:sz w:val="26"/>
          <w:szCs w:val="26"/>
        </w:rPr>
        <w:t xml:space="preserve"> la Unidad de Asuntos Jurídicos, se procederá al resarc</w:t>
      </w:r>
      <w:r w:rsidR="00AD3C4A">
        <w:rPr>
          <w:sz w:val="26"/>
          <w:szCs w:val="26"/>
        </w:rPr>
        <w:t xml:space="preserve">imiento de los supuestos daños, y, </w:t>
      </w:r>
      <w:r w:rsidR="00B96AFF">
        <w:rPr>
          <w:sz w:val="26"/>
          <w:szCs w:val="26"/>
        </w:rPr>
        <w:t>que para el caso de que la Unidad de Asuntos Jurídicos responda dicho agravio, en el sentido de que se trata del mismo procedimiento</w:t>
      </w:r>
      <w:r w:rsidR="00C16D2F">
        <w:rPr>
          <w:sz w:val="26"/>
          <w:szCs w:val="26"/>
        </w:rPr>
        <w:t xml:space="preserve">, dicha manifestación resultaría infundada, pues la tramitación y resolución del procedimiento para el fincamiento de responsabilidad administrativa resarcitoria, es una facultad indelegable que tiene el Auditor Superior del Estado de Oaxaca, de conformidad con lo dispuesto en el artículo 63 fracción X y último párrafo, en relación con el diverso 31 fracción XXIX de la </w:t>
      </w:r>
      <w:r w:rsidR="00F17D36" w:rsidRPr="00F17D36">
        <w:rPr>
          <w:i/>
          <w:sz w:val="26"/>
          <w:szCs w:val="26"/>
        </w:rPr>
        <w:t>Ley de Fiscalización 2013</w:t>
      </w:r>
      <w:r w:rsidR="00C16D2F">
        <w:rPr>
          <w:sz w:val="26"/>
          <w:szCs w:val="26"/>
        </w:rPr>
        <w:t>.</w:t>
      </w:r>
    </w:p>
    <w:p w14:paraId="18564BC1" w14:textId="1FA3698B" w:rsidR="00AD3C4A" w:rsidRDefault="008076CE" w:rsidP="000D7007">
      <w:pPr>
        <w:pStyle w:val="corte4fondo"/>
        <w:tabs>
          <w:tab w:val="left" w:pos="0"/>
        </w:tabs>
        <w:spacing w:after="240"/>
        <w:ind w:right="51"/>
        <w:rPr>
          <w:sz w:val="26"/>
          <w:szCs w:val="26"/>
        </w:rPr>
      </w:pPr>
      <w:r>
        <w:rPr>
          <w:sz w:val="26"/>
          <w:szCs w:val="26"/>
        </w:rPr>
        <w:t>70</w:t>
      </w:r>
      <w:r w:rsidR="00C16D2F">
        <w:rPr>
          <w:sz w:val="26"/>
          <w:szCs w:val="26"/>
        </w:rPr>
        <w:t xml:space="preserve">. </w:t>
      </w:r>
      <w:r w:rsidR="00AD3C4A">
        <w:rPr>
          <w:sz w:val="26"/>
          <w:szCs w:val="26"/>
        </w:rPr>
        <w:t>Causando agravios a su esfera jurídica y patrimonial, que la Unidad de Asuntos Jurídicos haya emitido la resolución condenatoria dentro del expediente ASE/UAJ/P.R./004/2016 por la cantidad de $ 3,728,893.35 (Tres millones setecientos veintiocho mil ochocientos noventa y tres pesos 35/100 M.N.), sin tener facultades legales para tramitar y resolver el referido procedimiento, y más aún, sin contar con bases legales para ello, basando su resolución en un documento inexistente.</w:t>
      </w:r>
    </w:p>
    <w:p w14:paraId="0A142FEC" w14:textId="742174F7" w:rsidR="00AD3C4A" w:rsidRDefault="008076CE" w:rsidP="000D7007">
      <w:pPr>
        <w:pStyle w:val="corte4fondo"/>
        <w:tabs>
          <w:tab w:val="left" w:pos="0"/>
        </w:tabs>
        <w:spacing w:after="240"/>
        <w:ind w:right="51"/>
        <w:rPr>
          <w:sz w:val="26"/>
          <w:szCs w:val="26"/>
        </w:rPr>
      </w:pPr>
      <w:r>
        <w:rPr>
          <w:sz w:val="26"/>
          <w:szCs w:val="26"/>
        </w:rPr>
        <w:t>71</w:t>
      </w:r>
      <w:r w:rsidR="00AD3C4A">
        <w:rPr>
          <w:sz w:val="26"/>
          <w:szCs w:val="26"/>
        </w:rPr>
        <w:t xml:space="preserve">. Lo anterior en virtud de que la demandada expone en la resolución impugnada </w:t>
      </w:r>
      <w:r w:rsidR="00F31510">
        <w:rPr>
          <w:sz w:val="26"/>
          <w:szCs w:val="26"/>
        </w:rPr>
        <w:t>que la conducta omisa del suscrito, misma que a la postre derivaría en un supuesto daño a la hacienda pública municipal de Valerio trujano, Distrito de Cuicatlán, Oaxaca, encuentra sustento en la determinación de daños visible a fojas trescientos quince a trescientos treinta y cinco (315 a 3</w:t>
      </w:r>
      <w:r w:rsidR="007D68EB">
        <w:rPr>
          <w:sz w:val="26"/>
          <w:szCs w:val="26"/>
        </w:rPr>
        <w:t>3</w:t>
      </w:r>
      <w:r w:rsidR="00F31510">
        <w:rPr>
          <w:sz w:val="26"/>
          <w:szCs w:val="26"/>
        </w:rPr>
        <w:t xml:space="preserve">5), Tomo I del expediente </w:t>
      </w:r>
      <w:r w:rsidR="00F31510">
        <w:rPr>
          <w:b/>
          <w:sz w:val="26"/>
          <w:szCs w:val="26"/>
        </w:rPr>
        <w:t>ASE/UAJ/P.R./004/2016</w:t>
      </w:r>
      <w:r w:rsidR="00F218B1">
        <w:rPr>
          <w:sz w:val="26"/>
          <w:szCs w:val="26"/>
        </w:rPr>
        <w:t>.</w:t>
      </w:r>
    </w:p>
    <w:p w14:paraId="560D885D" w14:textId="5F42D315" w:rsidR="00B96AFF" w:rsidRDefault="008076CE" w:rsidP="000D7007">
      <w:pPr>
        <w:pStyle w:val="corte4fondo"/>
        <w:tabs>
          <w:tab w:val="left" w:pos="0"/>
        </w:tabs>
        <w:spacing w:after="240"/>
        <w:ind w:right="51"/>
        <w:rPr>
          <w:sz w:val="26"/>
          <w:szCs w:val="26"/>
        </w:rPr>
      </w:pPr>
      <w:r>
        <w:rPr>
          <w:sz w:val="26"/>
          <w:szCs w:val="26"/>
        </w:rPr>
        <w:lastRenderedPageBreak/>
        <w:t>72</w:t>
      </w:r>
      <w:r w:rsidR="00F218B1">
        <w:rPr>
          <w:sz w:val="26"/>
          <w:szCs w:val="26"/>
        </w:rPr>
        <w:t>. Sin embargo, de la revisión exhaustiva al expediente antes mencionado, se puede advertir que en las fojas que refiere la autoridad se encuentra un documento denominado “Dictamen Técnico de Presunta Responsabilidad”, el cual no tiene fundamento legal alguno, s</w:t>
      </w:r>
      <w:r w:rsidR="00C16D2F">
        <w:rPr>
          <w:sz w:val="26"/>
          <w:szCs w:val="26"/>
        </w:rPr>
        <w:t>ituación que lo deja en estado de indefensión y conculca su garantía const</w:t>
      </w:r>
      <w:r w:rsidR="00F218B1">
        <w:rPr>
          <w:sz w:val="26"/>
          <w:szCs w:val="26"/>
        </w:rPr>
        <w:t xml:space="preserve">itucional de seguridad jurídica, al pretender privársele de sus bienes, tomando como base un documento inexistente dentro del expediente, y el Dictamen que obra dentro del expediente antes mencionado resulta ilegal al carecer de sustento en la </w:t>
      </w:r>
      <w:r w:rsidR="00F17D36" w:rsidRPr="00F17D36">
        <w:rPr>
          <w:i/>
          <w:sz w:val="26"/>
          <w:szCs w:val="26"/>
        </w:rPr>
        <w:t>Ley de Fiscalización 2013</w:t>
      </w:r>
      <w:r w:rsidR="00F218B1">
        <w:rPr>
          <w:sz w:val="26"/>
          <w:szCs w:val="26"/>
        </w:rPr>
        <w:t>.</w:t>
      </w:r>
    </w:p>
    <w:p w14:paraId="1D6FD74F" w14:textId="37CB92E4" w:rsidR="00527B1D" w:rsidRDefault="008076CE" w:rsidP="000D7007">
      <w:pPr>
        <w:pStyle w:val="corte4fondo"/>
        <w:tabs>
          <w:tab w:val="left" w:pos="0"/>
        </w:tabs>
        <w:spacing w:after="240"/>
        <w:ind w:right="51"/>
        <w:rPr>
          <w:i/>
          <w:sz w:val="22"/>
          <w:szCs w:val="26"/>
        </w:rPr>
      </w:pPr>
      <w:r>
        <w:rPr>
          <w:sz w:val="26"/>
          <w:szCs w:val="26"/>
        </w:rPr>
        <w:t>73</w:t>
      </w:r>
      <w:r w:rsidR="00C16D2F">
        <w:rPr>
          <w:sz w:val="26"/>
          <w:szCs w:val="26"/>
        </w:rPr>
        <w:t xml:space="preserve">. Por su parte, </w:t>
      </w:r>
      <w:r w:rsidR="00527B1D">
        <w:rPr>
          <w:sz w:val="26"/>
          <w:szCs w:val="26"/>
        </w:rPr>
        <w:t>el Titular de la Unidad de Asuntos Jurídicos de la Auditoría Superior de Fiscalización del Estado de Oaxaca, refiere en su informe rendido en ampliación de demanda lo siguiente:</w:t>
      </w:r>
      <w:r w:rsidR="006D2F08">
        <w:rPr>
          <w:sz w:val="26"/>
          <w:szCs w:val="26"/>
        </w:rPr>
        <w:t xml:space="preserve"> </w:t>
      </w:r>
      <w:r w:rsidR="007505AF">
        <w:rPr>
          <w:i/>
          <w:sz w:val="22"/>
          <w:szCs w:val="26"/>
        </w:rPr>
        <w:t>“</w:t>
      </w:r>
      <w:r w:rsidR="00AD3C4A">
        <w:rPr>
          <w:i/>
          <w:sz w:val="22"/>
          <w:szCs w:val="26"/>
        </w:rPr>
        <w:t xml:space="preserve">Por lo que hace al agravio </w:t>
      </w:r>
      <w:r w:rsidR="00AD3C4A" w:rsidRPr="007977D0">
        <w:rPr>
          <w:b/>
          <w:i/>
          <w:sz w:val="22"/>
          <w:szCs w:val="26"/>
        </w:rPr>
        <w:t>IV</w:t>
      </w:r>
      <w:r w:rsidR="007977D0">
        <w:rPr>
          <w:i/>
          <w:sz w:val="22"/>
          <w:szCs w:val="26"/>
        </w:rPr>
        <w:t>)</w:t>
      </w:r>
      <w:r w:rsidR="00196BEA">
        <w:rPr>
          <w:i/>
          <w:sz w:val="22"/>
          <w:szCs w:val="26"/>
        </w:rPr>
        <w:t xml:space="preserve">, el mismo resulta ser </w:t>
      </w:r>
      <w:r w:rsidR="00915A6F" w:rsidRPr="00915A6F">
        <w:rPr>
          <w:b/>
          <w:i/>
          <w:sz w:val="22"/>
          <w:szCs w:val="26"/>
        </w:rPr>
        <w:t>INFUNDADO</w:t>
      </w:r>
      <w:r w:rsidR="00C20235">
        <w:rPr>
          <w:i/>
          <w:sz w:val="22"/>
          <w:szCs w:val="26"/>
        </w:rPr>
        <w:t xml:space="preserve"> en virtud de que contrario  a lo que manifiesta el actor, la Titular de la Unidad de Asuntos Jurídicos del entonces Órgano Superior de Fiscalización  fue legalmente competente para resolver el Procedimiento para el Fincamiento de Responsabilidad Administrativa número ASE/AUJ/P.R./004/2016</w:t>
      </w:r>
      <w:r w:rsidR="00F47B6B">
        <w:rPr>
          <w:i/>
          <w:sz w:val="22"/>
          <w:szCs w:val="26"/>
        </w:rPr>
        <w:t xml:space="preserve">, de conformidad con lo establecido en los artículos 31 fracción XXIX y 67 fracción II de la </w:t>
      </w:r>
      <w:r w:rsidR="00F17D36" w:rsidRPr="00F17D36">
        <w:rPr>
          <w:i/>
          <w:sz w:val="22"/>
          <w:szCs w:val="26"/>
        </w:rPr>
        <w:t>Ley de Fiscalización</w:t>
      </w:r>
      <w:r w:rsidR="00823288">
        <w:rPr>
          <w:i/>
          <w:sz w:val="22"/>
          <w:szCs w:val="26"/>
        </w:rPr>
        <w:t xml:space="preserve"> Superior</w:t>
      </w:r>
      <w:r w:rsidR="00F17D36" w:rsidRPr="00F17D36">
        <w:rPr>
          <w:i/>
          <w:sz w:val="22"/>
          <w:szCs w:val="26"/>
        </w:rPr>
        <w:t xml:space="preserve"> </w:t>
      </w:r>
      <w:r w:rsidR="00823288">
        <w:rPr>
          <w:i/>
          <w:sz w:val="22"/>
          <w:szCs w:val="26"/>
        </w:rPr>
        <w:t>para el estado de Oaxaca</w:t>
      </w:r>
      <w:r w:rsidR="0064496F">
        <w:rPr>
          <w:i/>
          <w:sz w:val="22"/>
          <w:szCs w:val="26"/>
        </w:rPr>
        <w:t xml:space="preserve">, mismos que fueron citados como fundamento, tanto en el acuerdo de inicio de fecha cuatro de enero de dos mil dieciséis, así como en el Considerando PRIMERO.- Competencia, de la resolución del Procedimiento para el Fincamiento de Responsabilidad Administrativa Resarcitoria de fecha doce de febrero de dos mil diecinueve, ambas actuaciones emitidas en el expediente número </w:t>
      </w:r>
      <w:r w:rsidR="0064496F">
        <w:rPr>
          <w:b/>
          <w:i/>
          <w:sz w:val="22"/>
          <w:szCs w:val="26"/>
        </w:rPr>
        <w:t>ASE/UAJ/P.R./004/2016</w:t>
      </w:r>
      <w:r w:rsidR="0064496F">
        <w:rPr>
          <w:i/>
          <w:sz w:val="22"/>
          <w:szCs w:val="26"/>
        </w:rPr>
        <w:t xml:space="preserve">, artículos que se transcriben a continuación: - - - - - - - - - - - - - - </w:t>
      </w:r>
    </w:p>
    <w:p w14:paraId="309F7F63" w14:textId="270263E0" w:rsidR="0064496F" w:rsidRDefault="0064496F" w:rsidP="0064496F">
      <w:pPr>
        <w:pStyle w:val="corte4fondo"/>
        <w:tabs>
          <w:tab w:val="left" w:pos="709"/>
        </w:tabs>
        <w:spacing w:after="240"/>
        <w:ind w:left="709" w:right="757" w:firstLine="0"/>
        <w:rPr>
          <w:i/>
          <w:sz w:val="22"/>
          <w:szCs w:val="26"/>
        </w:rPr>
      </w:pPr>
      <w:r>
        <w:rPr>
          <w:b/>
          <w:i/>
          <w:sz w:val="22"/>
          <w:szCs w:val="26"/>
        </w:rPr>
        <w:t xml:space="preserve">Artículo 31. </w:t>
      </w:r>
      <w:r>
        <w:rPr>
          <w:i/>
          <w:sz w:val="22"/>
          <w:szCs w:val="26"/>
        </w:rPr>
        <w:t>La auditoría tendrá las siguientes facultades y atribuciones:</w:t>
      </w:r>
    </w:p>
    <w:p w14:paraId="6E02B644" w14:textId="33999A76" w:rsidR="0064496F" w:rsidRDefault="0064496F" w:rsidP="0064496F">
      <w:pPr>
        <w:pStyle w:val="corte4fondo"/>
        <w:tabs>
          <w:tab w:val="left" w:pos="709"/>
        </w:tabs>
        <w:spacing w:after="240"/>
        <w:ind w:left="709" w:right="757" w:firstLine="0"/>
        <w:rPr>
          <w:i/>
          <w:sz w:val="22"/>
          <w:szCs w:val="26"/>
        </w:rPr>
      </w:pPr>
      <w:r>
        <w:rPr>
          <w:b/>
          <w:i/>
          <w:sz w:val="22"/>
          <w:szCs w:val="26"/>
        </w:rPr>
        <w:t>XXIX.</w:t>
      </w:r>
      <w:r>
        <w:rPr>
          <w:i/>
          <w:sz w:val="22"/>
          <w:szCs w:val="26"/>
        </w:rPr>
        <w:t xml:space="preserve"> Tramitar y resolver el procedimiento para el fincamiento de responsabilidades administrativas resarcitorias;</w:t>
      </w:r>
    </w:p>
    <w:p w14:paraId="26C77E3B" w14:textId="2DEEC49A" w:rsidR="0064496F" w:rsidRDefault="0064496F" w:rsidP="0064496F">
      <w:pPr>
        <w:pStyle w:val="corte4fondo"/>
        <w:tabs>
          <w:tab w:val="left" w:pos="709"/>
        </w:tabs>
        <w:spacing w:after="240"/>
        <w:ind w:left="709" w:right="757" w:firstLine="0"/>
        <w:rPr>
          <w:i/>
          <w:sz w:val="22"/>
          <w:szCs w:val="26"/>
        </w:rPr>
      </w:pPr>
      <w:r w:rsidRPr="0064496F">
        <w:rPr>
          <w:b/>
          <w:i/>
          <w:sz w:val="22"/>
          <w:szCs w:val="26"/>
        </w:rPr>
        <w:t xml:space="preserve">Artículo 67.- </w:t>
      </w:r>
      <w:r w:rsidRPr="0064496F">
        <w:rPr>
          <w:i/>
          <w:sz w:val="22"/>
          <w:szCs w:val="26"/>
        </w:rPr>
        <w:t>La A</w:t>
      </w:r>
      <w:r>
        <w:rPr>
          <w:i/>
          <w:sz w:val="22"/>
          <w:szCs w:val="26"/>
        </w:rPr>
        <w:t>uditorí</w:t>
      </w:r>
      <w:r w:rsidRPr="0064496F">
        <w:rPr>
          <w:i/>
          <w:sz w:val="22"/>
          <w:szCs w:val="26"/>
        </w:rPr>
        <w:t>a contará con una Unidad de Asuntos Jurídicos</w:t>
      </w:r>
      <w:r>
        <w:rPr>
          <w:i/>
          <w:sz w:val="22"/>
          <w:szCs w:val="26"/>
        </w:rPr>
        <w:t>, que tendrá las siguientes atribuciones:</w:t>
      </w:r>
    </w:p>
    <w:p w14:paraId="3BF90D1B" w14:textId="3ACAF945" w:rsidR="0064496F" w:rsidRDefault="0064496F" w:rsidP="0064496F">
      <w:pPr>
        <w:pStyle w:val="corte4fondo"/>
        <w:tabs>
          <w:tab w:val="left" w:pos="709"/>
        </w:tabs>
        <w:spacing w:after="240"/>
        <w:ind w:left="709" w:right="757" w:firstLine="0"/>
        <w:rPr>
          <w:i/>
          <w:sz w:val="22"/>
          <w:szCs w:val="26"/>
        </w:rPr>
      </w:pPr>
      <w:r w:rsidRPr="0064496F">
        <w:rPr>
          <w:i/>
          <w:sz w:val="22"/>
          <w:szCs w:val="26"/>
        </w:rPr>
        <w:t xml:space="preserve">II. </w:t>
      </w:r>
      <w:r>
        <w:rPr>
          <w:i/>
          <w:sz w:val="22"/>
          <w:szCs w:val="26"/>
        </w:rPr>
        <w:t>Instruir y resolver el procedimiento resarcitorio; y, […]</w:t>
      </w:r>
    </w:p>
    <w:p w14:paraId="17C99FFD" w14:textId="4A9BE591" w:rsidR="0064496F" w:rsidRDefault="0064496F" w:rsidP="007977D0">
      <w:pPr>
        <w:pStyle w:val="corte4fondo"/>
        <w:tabs>
          <w:tab w:val="left" w:pos="993"/>
        </w:tabs>
        <w:spacing w:after="240"/>
        <w:ind w:right="48" w:firstLine="0"/>
        <w:rPr>
          <w:i/>
          <w:sz w:val="22"/>
          <w:szCs w:val="26"/>
        </w:rPr>
      </w:pPr>
      <w:r>
        <w:rPr>
          <w:i/>
          <w:sz w:val="22"/>
          <w:szCs w:val="26"/>
        </w:rPr>
        <w:t xml:space="preserve">Resultando improcedente la parte que argumenta el inconforme se debió </w:t>
      </w:r>
      <w:r w:rsidR="007977D0">
        <w:rPr>
          <w:i/>
          <w:sz w:val="22"/>
          <w:szCs w:val="26"/>
        </w:rPr>
        <w:t>suscribir un documento de delegación de dicha atribución, por parte del entonces auditor o titular de este Órgano Fiscalizador, toda vez que basta con lo establecido en el artículo 67 fracción II, misma que delega dicha facultad a la Titular de la Unidad de Asuntos Jurídicos para instruir y resolver el procedimiento incoado contra el inconforme</w:t>
      </w:r>
      <w:r w:rsidR="009111F5">
        <w:rPr>
          <w:i/>
          <w:sz w:val="22"/>
          <w:szCs w:val="26"/>
        </w:rPr>
        <w:t xml:space="preserve"> </w:t>
      </w:r>
      <w:r w:rsidR="009111F5">
        <w:rPr>
          <w:rFonts w:cs="Arial"/>
          <w:b/>
          <w:sz w:val="26"/>
          <w:szCs w:val="26"/>
        </w:rPr>
        <w:t>**********</w:t>
      </w:r>
      <w:r w:rsidR="007977D0">
        <w:rPr>
          <w:i/>
          <w:sz w:val="22"/>
          <w:szCs w:val="26"/>
        </w:rPr>
        <w:t>.</w:t>
      </w:r>
    </w:p>
    <w:p w14:paraId="54E5BA70" w14:textId="36514A51" w:rsidR="007977D0" w:rsidRDefault="007977D0" w:rsidP="007977D0">
      <w:pPr>
        <w:pStyle w:val="corte4fondo"/>
        <w:tabs>
          <w:tab w:val="left" w:pos="993"/>
        </w:tabs>
        <w:spacing w:after="240"/>
        <w:ind w:right="48"/>
        <w:rPr>
          <w:i/>
          <w:sz w:val="22"/>
          <w:szCs w:val="26"/>
        </w:rPr>
      </w:pPr>
      <w:r>
        <w:rPr>
          <w:i/>
          <w:sz w:val="22"/>
          <w:szCs w:val="26"/>
        </w:rPr>
        <w:t xml:space="preserve">Ahora bien, en contestación al agravio marcado en el inciso </w:t>
      </w:r>
      <w:r>
        <w:rPr>
          <w:b/>
          <w:i/>
          <w:sz w:val="22"/>
          <w:szCs w:val="26"/>
        </w:rPr>
        <w:t>V)</w:t>
      </w:r>
      <w:r>
        <w:rPr>
          <w:i/>
          <w:sz w:val="22"/>
          <w:szCs w:val="26"/>
        </w:rPr>
        <w:t>, el mismo</w:t>
      </w:r>
      <w:r w:rsidR="00915A6F">
        <w:rPr>
          <w:i/>
          <w:sz w:val="22"/>
          <w:szCs w:val="26"/>
        </w:rPr>
        <w:t xml:space="preserve"> resulta </w:t>
      </w:r>
      <w:r w:rsidR="00915A6F">
        <w:rPr>
          <w:b/>
          <w:i/>
          <w:sz w:val="22"/>
          <w:szCs w:val="26"/>
        </w:rPr>
        <w:t>INFUNDADO</w:t>
      </w:r>
      <w:r w:rsidR="00915A6F">
        <w:rPr>
          <w:i/>
          <w:sz w:val="22"/>
          <w:szCs w:val="26"/>
        </w:rPr>
        <w:t xml:space="preserve">, toda vez que el documento del que se adolece se encuentra previsto en el </w:t>
      </w:r>
      <w:r w:rsidR="00F17D36" w:rsidRPr="00F17D36">
        <w:rPr>
          <w:i/>
          <w:sz w:val="22"/>
          <w:szCs w:val="26"/>
        </w:rPr>
        <w:lastRenderedPageBreak/>
        <w:t>Reglamento</w:t>
      </w:r>
      <w:r w:rsidR="00915A6F">
        <w:rPr>
          <w:i/>
          <w:sz w:val="22"/>
          <w:szCs w:val="26"/>
        </w:rPr>
        <w:t>, el cual establece como una atribución de los Directores la elaboración de “Dictámenes Técnicos”</w:t>
      </w:r>
      <w:r w:rsidR="00623FA8">
        <w:rPr>
          <w:i/>
          <w:sz w:val="22"/>
          <w:szCs w:val="26"/>
        </w:rPr>
        <w:t>, conforme a lo dispuesto en su artículo 14 fracciones IV y XVII, precepto legal que se inserta a continuación, para una mejor ilustración:</w:t>
      </w:r>
    </w:p>
    <w:p w14:paraId="7B3AFC70" w14:textId="71469697" w:rsidR="00623FA8" w:rsidRDefault="00623FA8" w:rsidP="00623FA8">
      <w:pPr>
        <w:pStyle w:val="corte4fondo"/>
        <w:tabs>
          <w:tab w:val="left" w:pos="993"/>
        </w:tabs>
        <w:spacing w:after="240"/>
        <w:ind w:left="709" w:right="757" w:firstLine="0"/>
        <w:rPr>
          <w:i/>
          <w:sz w:val="22"/>
          <w:szCs w:val="26"/>
        </w:rPr>
      </w:pPr>
      <w:r>
        <w:rPr>
          <w:i/>
          <w:sz w:val="22"/>
          <w:szCs w:val="26"/>
        </w:rPr>
        <w:t>“Artículo 14.- Corresponde a los Titulares de las Direcciones, las siguientes atribuciones generales:</w:t>
      </w:r>
    </w:p>
    <w:p w14:paraId="3C0C0D4D" w14:textId="7351E447" w:rsidR="00623FA8" w:rsidRDefault="00623FA8" w:rsidP="00623FA8">
      <w:pPr>
        <w:pStyle w:val="corte4fondo"/>
        <w:tabs>
          <w:tab w:val="left" w:pos="993"/>
        </w:tabs>
        <w:spacing w:after="240"/>
        <w:ind w:left="709" w:right="757" w:firstLine="0"/>
        <w:rPr>
          <w:i/>
          <w:sz w:val="22"/>
          <w:szCs w:val="26"/>
        </w:rPr>
      </w:pPr>
      <w:r>
        <w:rPr>
          <w:i/>
          <w:sz w:val="22"/>
          <w:szCs w:val="26"/>
        </w:rPr>
        <w:t>IV. Formular los estudios, opiniones, dictámenes, informes y demás documentos que le sean requeridos por su superior jerárquico.</w:t>
      </w:r>
    </w:p>
    <w:p w14:paraId="27AF5D79" w14:textId="67290665" w:rsidR="00623FA8" w:rsidRDefault="00623FA8" w:rsidP="00623FA8">
      <w:pPr>
        <w:pStyle w:val="corte4fondo"/>
        <w:tabs>
          <w:tab w:val="left" w:pos="993"/>
        </w:tabs>
        <w:spacing w:after="240"/>
        <w:ind w:left="709" w:right="757" w:firstLine="0"/>
        <w:rPr>
          <w:i/>
          <w:sz w:val="22"/>
          <w:szCs w:val="26"/>
        </w:rPr>
      </w:pPr>
      <w:r>
        <w:rPr>
          <w:i/>
          <w:sz w:val="22"/>
          <w:szCs w:val="26"/>
        </w:rPr>
        <w:t>[…]</w:t>
      </w:r>
    </w:p>
    <w:p w14:paraId="2BE747E7" w14:textId="1DB8F028" w:rsidR="00623FA8" w:rsidRDefault="00623FA8" w:rsidP="00623FA8">
      <w:pPr>
        <w:pStyle w:val="corte4fondo"/>
        <w:tabs>
          <w:tab w:val="left" w:pos="993"/>
        </w:tabs>
        <w:spacing w:after="240"/>
        <w:ind w:left="709" w:right="757" w:firstLine="0"/>
        <w:rPr>
          <w:i/>
          <w:sz w:val="22"/>
          <w:szCs w:val="26"/>
        </w:rPr>
      </w:pPr>
      <w:r>
        <w:rPr>
          <w:i/>
          <w:sz w:val="22"/>
          <w:szCs w:val="26"/>
        </w:rPr>
        <w:t xml:space="preserve">XVII. Formular dictámenes técnicos a solicitud de su superior jerárquico, así como solicitar y recabar la documentación e información necesarias para la promoción de responsabilidades a que se refiere la Ley y en su caso, </w:t>
      </w:r>
      <w:r>
        <w:rPr>
          <w:b/>
          <w:i/>
          <w:sz w:val="22"/>
          <w:szCs w:val="26"/>
          <w:u w:val="single"/>
        </w:rPr>
        <w:t>cuantificar los daños y perjuicios correspondientes:</w:t>
      </w:r>
      <w:r>
        <w:rPr>
          <w:i/>
          <w:sz w:val="22"/>
          <w:szCs w:val="26"/>
        </w:rPr>
        <w:t>”</w:t>
      </w:r>
    </w:p>
    <w:p w14:paraId="5AE1F423" w14:textId="543AC4AC" w:rsidR="00623FA8" w:rsidRDefault="00623FA8" w:rsidP="00623FA8">
      <w:pPr>
        <w:pStyle w:val="corte4fondo"/>
        <w:tabs>
          <w:tab w:val="left" w:pos="993"/>
        </w:tabs>
        <w:spacing w:after="240"/>
        <w:ind w:right="48"/>
        <w:rPr>
          <w:i/>
          <w:sz w:val="22"/>
          <w:szCs w:val="26"/>
        </w:rPr>
      </w:pPr>
      <w:r>
        <w:rPr>
          <w:i/>
          <w:sz w:val="22"/>
          <w:szCs w:val="26"/>
        </w:rPr>
        <w:t>Así mismo, su estructura se encontraba regulada en el numeral 12.2 del Manual de Fiscalización de los Recursos Públicos para la Auditoría Superior del Estado de Oaxaca, publicado en el Periódico Oficial</w:t>
      </w:r>
      <w:r w:rsidR="008E25F3">
        <w:rPr>
          <w:i/>
          <w:sz w:val="22"/>
          <w:szCs w:val="26"/>
        </w:rPr>
        <w:t xml:space="preserve"> del Gobierno del estado el día nueve de mayo de dos mil nueve, en donde se establecen los requisitos que debe contener el Dictamen Técnico de Presunta Responsabilidad, los cuales se transcriben para mayor claridad:</w:t>
      </w:r>
    </w:p>
    <w:p w14:paraId="6D97DCA3" w14:textId="3D5B62B0" w:rsidR="008E25F3" w:rsidRDefault="008E25F3" w:rsidP="008E25F3">
      <w:pPr>
        <w:pStyle w:val="corte4fondo"/>
        <w:tabs>
          <w:tab w:val="left" w:pos="993"/>
        </w:tabs>
        <w:spacing w:after="240"/>
        <w:ind w:left="709" w:right="48" w:firstLine="0"/>
        <w:rPr>
          <w:i/>
          <w:sz w:val="22"/>
          <w:szCs w:val="26"/>
        </w:rPr>
      </w:pPr>
      <w:r>
        <w:rPr>
          <w:i/>
          <w:sz w:val="22"/>
          <w:szCs w:val="26"/>
        </w:rPr>
        <w:t>° Antecedentes y datos generales de la auditoría.</w:t>
      </w:r>
    </w:p>
    <w:p w14:paraId="75E5CC6E" w14:textId="18598746" w:rsidR="008E25F3" w:rsidRDefault="008E25F3" w:rsidP="008E25F3">
      <w:pPr>
        <w:pStyle w:val="corte4fondo"/>
        <w:tabs>
          <w:tab w:val="left" w:pos="993"/>
        </w:tabs>
        <w:spacing w:after="240"/>
        <w:ind w:left="709" w:right="48" w:firstLine="0"/>
        <w:rPr>
          <w:i/>
          <w:sz w:val="22"/>
          <w:szCs w:val="26"/>
        </w:rPr>
      </w:pPr>
      <w:r>
        <w:rPr>
          <w:i/>
          <w:sz w:val="22"/>
          <w:szCs w:val="26"/>
        </w:rPr>
        <w:t>° La descripción de la irregularidad.</w:t>
      </w:r>
    </w:p>
    <w:p w14:paraId="3DA746EC" w14:textId="69AC9740" w:rsidR="008E25F3" w:rsidRDefault="008E25F3" w:rsidP="008E25F3">
      <w:pPr>
        <w:pStyle w:val="corte4fondo"/>
        <w:tabs>
          <w:tab w:val="left" w:pos="993"/>
        </w:tabs>
        <w:spacing w:after="240"/>
        <w:ind w:left="709" w:right="48" w:firstLine="0"/>
        <w:rPr>
          <w:i/>
          <w:sz w:val="22"/>
          <w:szCs w:val="26"/>
        </w:rPr>
      </w:pPr>
      <w:r>
        <w:rPr>
          <w:i/>
          <w:sz w:val="22"/>
          <w:szCs w:val="26"/>
        </w:rPr>
        <w:t>° El monto de los probables daños o perjuicios.</w:t>
      </w:r>
    </w:p>
    <w:p w14:paraId="1D3370E2" w14:textId="2A8A358F" w:rsidR="008E25F3" w:rsidRDefault="008E25F3" w:rsidP="008E25F3">
      <w:pPr>
        <w:pStyle w:val="corte4fondo"/>
        <w:tabs>
          <w:tab w:val="left" w:pos="993"/>
        </w:tabs>
        <w:spacing w:after="240"/>
        <w:ind w:left="709" w:right="48" w:firstLine="0"/>
        <w:rPr>
          <w:i/>
          <w:sz w:val="22"/>
          <w:szCs w:val="26"/>
        </w:rPr>
      </w:pPr>
      <w:r>
        <w:rPr>
          <w:i/>
          <w:sz w:val="22"/>
          <w:szCs w:val="26"/>
        </w:rPr>
        <w:t>° Las disposiciones legales infringidas.</w:t>
      </w:r>
    </w:p>
    <w:p w14:paraId="1335716A" w14:textId="1BEBC4A9" w:rsidR="008E25F3" w:rsidRDefault="008E25F3" w:rsidP="008E25F3">
      <w:pPr>
        <w:pStyle w:val="corte4fondo"/>
        <w:tabs>
          <w:tab w:val="left" w:pos="993"/>
        </w:tabs>
        <w:spacing w:after="240"/>
        <w:ind w:left="709" w:right="48" w:firstLine="0"/>
        <w:rPr>
          <w:i/>
          <w:sz w:val="22"/>
          <w:szCs w:val="26"/>
        </w:rPr>
      </w:pPr>
      <w:r>
        <w:rPr>
          <w:i/>
          <w:sz w:val="22"/>
          <w:szCs w:val="26"/>
        </w:rPr>
        <w:t>° El nombre de los presuntos responsables.</w:t>
      </w:r>
    </w:p>
    <w:p w14:paraId="37A9BC39" w14:textId="41363227" w:rsidR="008E25F3" w:rsidRPr="00623FA8" w:rsidRDefault="008E25F3" w:rsidP="008E25F3">
      <w:pPr>
        <w:pStyle w:val="corte4fondo"/>
        <w:tabs>
          <w:tab w:val="left" w:pos="993"/>
        </w:tabs>
        <w:spacing w:after="240"/>
        <w:ind w:left="709" w:right="48" w:firstLine="0"/>
        <w:rPr>
          <w:i/>
          <w:sz w:val="22"/>
          <w:szCs w:val="26"/>
        </w:rPr>
      </w:pPr>
      <w:r>
        <w:rPr>
          <w:i/>
          <w:sz w:val="22"/>
          <w:szCs w:val="26"/>
        </w:rPr>
        <w:t>° Conclusión</w:t>
      </w:r>
      <w:r w:rsidR="003A3E28">
        <w:rPr>
          <w:i/>
          <w:sz w:val="22"/>
          <w:szCs w:val="26"/>
        </w:rPr>
        <w:t>.</w:t>
      </w:r>
    </w:p>
    <w:p w14:paraId="03E087A8" w14:textId="076F7F25" w:rsidR="007977D0" w:rsidRPr="003A3E28" w:rsidRDefault="003A3E28" w:rsidP="003A3E28">
      <w:pPr>
        <w:pStyle w:val="corte4fondo"/>
        <w:spacing w:after="240"/>
        <w:ind w:right="48"/>
        <w:rPr>
          <w:i/>
          <w:sz w:val="22"/>
          <w:szCs w:val="26"/>
        </w:rPr>
      </w:pPr>
      <w:r>
        <w:rPr>
          <w:i/>
          <w:sz w:val="22"/>
          <w:szCs w:val="26"/>
        </w:rPr>
        <w:t xml:space="preserve">En esa tesitura, el Dictamen Técnico emitido del cual se adolece el ahora inconforme, cumplía en su totalidad con los requisitos establecidos en el Manual de Fiscalización de los Recursos Públicos para la Auditoría Superior del Estado de Oaxaca, reiterándose el hecho, de que el mismo fue elaborado en términos de los artículos 49 fracción I de la </w:t>
      </w:r>
      <w:r w:rsidR="00F17D36" w:rsidRPr="00F17D36">
        <w:rPr>
          <w:i/>
          <w:sz w:val="22"/>
          <w:szCs w:val="26"/>
        </w:rPr>
        <w:t xml:space="preserve">Ley de Fiscalización </w:t>
      </w:r>
      <w:r w:rsidR="00823288">
        <w:rPr>
          <w:i/>
          <w:sz w:val="22"/>
          <w:szCs w:val="26"/>
        </w:rPr>
        <w:t>Superior para el estado de Oaxaca</w:t>
      </w:r>
      <w:r>
        <w:rPr>
          <w:i/>
          <w:sz w:val="22"/>
          <w:szCs w:val="26"/>
        </w:rPr>
        <w:t xml:space="preserve">, vigente hasta el veintiuno de septiembre de dos mil diecisiete y 14 fracciones IV y XVII del Reglamento Interior de la entonces Auditoría Superior del Estado de Oaxaca, consecuentemente al ser dicho dictamen técnico el documento que pone fin al procedimiento de revisión y fiscalización de la cuenta pública, y mediante el cual se presentan datos de información como observaciones, es decir, donde se </w:t>
      </w:r>
      <w:r>
        <w:rPr>
          <w:b/>
          <w:i/>
          <w:sz w:val="22"/>
          <w:szCs w:val="26"/>
        </w:rPr>
        <w:t xml:space="preserve">“determinan daños y perjuicios” </w:t>
      </w:r>
      <w:r>
        <w:rPr>
          <w:i/>
          <w:sz w:val="22"/>
          <w:szCs w:val="26"/>
        </w:rPr>
        <w:t>ocasionados a la entidad fiscalizada</w:t>
      </w:r>
      <w:r w:rsidR="005B4925">
        <w:rPr>
          <w:i/>
          <w:sz w:val="22"/>
          <w:szCs w:val="26"/>
        </w:rPr>
        <w:t>, mismos que no podrán modificarse con algún otro tipo de análisis de la cuenta Pública Municipal, por lo que deberá declararse infundado dicho agravio.”</w:t>
      </w:r>
    </w:p>
    <w:p w14:paraId="0DE45EC1" w14:textId="2FCD4365" w:rsidR="00B849C8" w:rsidRPr="00B849C8" w:rsidRDefault="008076CE" w:rsidP="00B849C8">
      <w:pPr>
        <w:pStyle w:val="corte4fondo"/>
        <w:tabs>
          <w:tab w:val="left" w:pos="0"/>
        </w:tabs>
        <w:spacing w:after="240"/>
        <w:ind w:right="51"/>
        <w:rPr>
          <w:sz w:val="26"/>
          <w:szCs w:val="26"/>
        </w:rPr>
      </w:pPr>
      <w:r>
        <w:rPr>
          <w:sz w:val="26"/>
          <w:szCs w:val="26"/>
        </w:rPr>
        <w:lastRenderedPageBreak/>
        <w:t>74</w:t>
      </w:r>
      <w:r w:rsidR="00247307">
        <w:rPr>
          <w:sz w:val="26"/>
          <w:szCs w:val="26"/>
        </w:rPr>
        <w:t xml:space="preserve">. </w:t>
      </w:r>
      <w:r w:rsidR="00157CF5">
        <w:rPr>
          <w:sz w:val="26"/>
          <w:szCs w:val="26"/>
        </w:rPr>
        <w:t>De la lectura integral de los argumentos vertidos por el actor en su ampliación de demanda</w:t>
      </w:r>
      <w:r w:rsidR="00EE36B9">
        <w:rPr>
          <w:sz w:val="26"/>
          <w:szCs w:val="26"/>
        </w:rPr>
        <w:t xml:space="preserve"> y lo expuesto por la autoridad en su informe de ampliación de demanda, esta Sala Superior procede a suplir la deficiencia de la queja y configura la causa de pedir, lo que implica que la interpretación jurídica siempre debe buscar el mayor beneficio, acudiendo a la norma más amplia o a la interpretación más favorable, conforme a lo dispuesto en el artículo 149</w:t>
      </w:r>
      <w:r w:rsidR="00EE36B9">
        <w:rPr>
          <w:rStyle w:val="Refdenotaalpie"/>
          <w:sz w:val="26"/>
          <w:szCs w:val="26"/>
        </w:rPr>
        <w:footnoteReference w:id="21"/>
      </w:r>
      <w:r w:rsidR="00EE36B9">
        <w:rPr>
          <w:sz w:val="26"/>
          <w:szCs w:val="26"/>
        </w:rPr>
        <w:t xml:space="preserve"> de la </w:t>
      </w:r>
      <w:r w:rsidR="00F17D36" w:rsidRPr="00F17D36">
        <w:rPr>
          <w:i/>
          <w:sz w:val="26"/>
          <w:szCs w:val="26"/>
        </w:rPr>
        <w:t>Ley de Procedimiento</w:t>
      </w:r>
      <w:r w:rsidR="00EE36B9">
        <w:rPr>
          <w:sz w:val="26"/>
          <w:szCs w:val="26"/>
        </w:rPr>
        <w:t xml:space="preserve">, aplicable supletoriamente a la </w:t>
      </w:r>
      <w:r w:rsidR="00F17D36" w:rsidRPr="00F17D36">
        <w:rPr>
          <w:i/>
          <w:sz w:val="26"/>
          <w:szCs w:val="26"/>
        </w:rPr>
        <w:t>Ley de Justicia</w:t>
      </w:r>
      <w:r w:rsidR="00EE36B9">
        <w:rPr>
          <w:sz w:val="26"/>
          <w:szCs w:val="26"/>
        </w:rPr>
        <w:t xml:space="preserve">, y, a la </w:t>
      </w:r>
      <w:r w:rsidR="00B849C8">
        <w:rPr>
          <w:sz w:val="26"/>
          <w:szCs w:val="26"/>
        </w:rPr>
        <w:t>Jurisprudencia</w:t>
      </w:r>
      <w:r w:rsidR="00EE36B9">
        <w:rPr>
          <w:sz w:val="26"/>
          <w:szCs w:val="26"/>
        </w:rPr>
        <w:t xml:space="preserve"> cuyos datos de identificación son del tenor siguiente:</w:t>
      </w:r>
      <w:r w:rsidR="00B849C8">
        <w:rPr>
          <w:sz w:val="26"/>
          <w:szCs w:val="26"/>
        </w:rPr>
        <w:t xml:space="preserve"> </w:t>
      </w:r>
      <w:r w:rsidR="00B849C8" w:rsidRPr="00B849C8">
        <w:rPr>
          <w:sz w:val="26"/>
          <w:szCs w:val="26"/>
        </w:rPr>
        <w:t>Registro digital: 195518</w:t>
      </w:r>
      <w:r w:rsidR="00B849C8">
        <w:rPr>
          <w:sz w:val="26"/>
          <w:szCs w:val="26"/>
        </w:rPr>
        <w:t xml:space="preserve">, </w:t>
      </w:r>
      <w:r w:rsidR="00B849C8" w:rsidRPr="00B849C8">
        <w:rPr>
          <w:sz w:val="26"/>
          <w:szCs w:val="26"/>
        </w:rPr>
        <w:t>Instancia: Segunda Sala</w:t>
      </w:r>
      <w:r w:rsidR="00B849C8">
        <w:rPr>
          <w:sz w:val="26"/>
          <w:szCs w:val="26"/>
        </w:rPr>
        <w:t xml:space="preserve">, </w:t>
      </w:r>
      <w:r w:rsidR="00B849C8" w:rsidRPr="00B849C8">
        <w:rPr>
          <w:sz w:val="26"/>
          <w:szCs w:val="26"/>
        </w:rPr>
        <w:t>Novena Época</w:t>
      </w:r>
      <w:r w:rsidR="00B849C8">
        <w:rPr>
          <w:sz w:val="26"/>
          <w:szCs w:val="26"/>
        </w:rPr>
        <w:t xml:space="preserve">, </w:t>
      </w:r>
      <w:r w:rsidR="00B849C8" w:rsidRPr="00B849C8">
        <w:rPr>
          <w:sz w:val="26"/>
          <w:szCs w:val="26"/>
        </w:rPr>
        <w:t>Materias(s): Común</w:t>
      </w:r>
      <w:r w:rsidR="00B849C8">
        <w:rPr>
          <w:sz w:val="26"/>
          <w:szCs w:val="26"/>
        </w:rPr>
        <w:t xml:space="preserve">, Tesis: 2a./J. 63/98, </w:t>
      </w:r>
      <w:r w:rsidR="00B849C8" w:rsidRPr="00B849C8">
        <w:rPr>
          <w:sz w:val="26"/>
          <w:szCs w:val="26"/>
        </w:rPr>
        <w:t xml:space="preserve">Fuente: Semanario Judicial de la Federación y su Gaceta. Tomo VIII, </w:t>
      </w:r>
      <w:proofErr w:type="gramStart"/>
      <w:r w:rsidR="00B849C8" w:rsidRPr="00B849C8">
        <w:rPr>
          <w:sz w:val="26"/>
          <w:szCs w:val="26"/>
        </w:rPr>
        <w:t>Septiembre</w:t>
      </w:r>
      <w:proofErr w:type="gramEnd"/>
      <w:r w:rsidR="00B849C8" w:rsidRPr="00B849C8">
        <w:rPr>
          <w:sz w:val="26"/>
          <w:szCs w:val="26"/>
        </w:rPr>
        <w:t xml:space="preserve"> de 1998, página 323</w:t>
      </w:r>
      <w:r w:rsidR="00B849C8">
        <w:rPr>
          <w:sz w:val="26"/>
          <w:szCs w:val="26"/>
        </w:rPr>
        <w:t>.</w:t>
      </w:r>
    </w:p>
    <w:p w14:paraId="54DD9EA2" w14:textId="77777777" w:rsidR="00B849C8" w:rsidRPr="00B849C8" w:rsidRDefault="00B849C8" w:rsidP="00B849C8">
      <w:pPr>
        <w:pStyle w:val="corte4fondo"/>
        <w:tabs>
          <w:tab w:val="left" w:pos="709"/>
        </w:tabs>
        <w:spacing w:after="240"/>
        <w:ind w:left="709" w:right="757" w:firstLine="0"/>
        <w:rPr>
          <w:b/>
          <w:i/>
          <w:sz w:val="22"/>
          <w:szCs w:val="26"/>
        </w:rPr>
      </w:pPr>
      <w:r w:rsidRPr="00B849C8">
        <w:rPr>
          <w:b/>
          <w:i/>
          <w:sz w:val="22"/>
          <w:szCs w:val="26"/>
        </w:rPr>
        <w:t>CONCEPTOS DE VIOLACIÓN. PARA QUE SE ESTUDIEN, BASTA CON EXPRESAR CLARAMENTE EN LA DEMANDA DE GARANTÍAS LA CAUSA DE PEDIR.</w:t>
      </w:r>
    </w:p>
    <w:p w14:paraId="1F6F1EEB" w14:textId="7AB85CD2" w:rsidR="00B849C8" w:rsidRPr="00B849C8" w:rsidRDefault="00B849C8" w:rsidP="00B849C8">
      <w:pPr>
        <w:pStyle w:val="corte4fondo"/>
        <w:tabs>
          <w:tab w:val="left" w:pos="709"/>
        </w:tabs>
        <w:spacing w:after="240"/>
        <w:ind w:left="709" w:right="757" w:firstLine="0"/>
        <w:rPr>
          <w:i/>
          <w:sz w:val="22"/>
          <w:szCs w:val="26"/>
        </w:rPr>
      </w:pPr>
      <w:r w:rsidRPr="00B849C8">
        <w:rPr>
          <w:i/>
          <w:sz w:val="22"/>
          <w:szCs w:val="26"/>
        </w:rPr>
        <w:t xml:space="preserve">Esta Segunda Sala de la Suprema Corte de Justicia de la Nación, abandona el criterio formalista sustentado por la anterior Tercera Sala de este Alto Tribunal, contenido en la tesis de jurisprudencia número 3a./J. 6/94, </w:t>
      </w:r>
      <w:proofErr w:type="gramStart"/>
      <w:r w:rsidRPr="00B849C8">
        <w:rPr>
          <w:i/>
          <w:sz w:val="22"/>
          <w:szCs w:val="26"/>
        </w:rPr>
        <w:t>que</w:t>
      </w:r>
      <w:proofErr w:type="gramEnd"/>
      <w:r w:rsidRPr="00B849C8">
        <w:rPr>
          <w:i/>
          <w:sz w:val="22"/>
          <w:szCs w:val="26"/>
        </w:rPr>
        <w:t xml:space="preserv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w:t>
      </w:r>
      <w:r w:rsidRPr="00B849C8">
        <w:rPr>
          <w:i/>
          <w:sz w:val="22"/>
          <w:szCs w:val="26"/>
        </w:rPr>
        <w:lastRenderedPageBreak/>
        <w:t>impugnada y los motivos que originaron ese agravio, para que el Juez de amparo deba estudiarlo.”</w:t>
      </w:r>
    </w:p>
    <w:p w14:paraId="077167DE" w14:textId="1FD4A5D5" w:rsidR="00A14308" w:rsidRPr="00A14308" w:rsidRDefault="008076CE" w:rsidP="00A14308">
      <w:pPr>
        <w:pStyle w:val="corte4fondo"/>
        <w:tabs>
          <w:tab w:val="left" w:pos="0"/>
        </w:tabs>
        <w:spacing w:after="240"/>
        <w:ind w:right="51"/>
        <w:rPr>
          <w:sz w:val="26"/>
          <w:szCs w:val="26"/>
        </w:rPr>
      </w:pPr>
      <w:r>
        <w:rPr>
          <w:sz w:val="26"/>
          <w:szCs w:val="26"/>
        </w:rPr>
        <w:t>75</w:t>
      </w:r>
      <w:r w:rsidR="00247307">
        <w:rPr>
          <w:sz w:val="26"/>
          <w:szCs w:val="26"/>
        </w:rPr>
        <w:t xml:space="preserve">. </w:t>
      </w:r>
      <w:r w:rsidR="00A14308">
        <w:rPr>
          <w:sz w:val="26"/>
          <w:szCs w:val="26"/>
        </w:rPr>
        <w:t xml:space="preserve">También resulta aplicable la Jurisprudencia cuyos datos de identificación, son los siguientes: </w:t>
      </w:r>
      <w:r w:rsidR="00A14308" w:rsidRPr="00A14308">
        <w:rPr>
          <w:sz w:val="26"/>
          <w:szCs w:val="26"/>
        </w:rPr>
        <w:t>Registro digital: 191048</w:t>
      </w:r>
      <w:r w:rsidR="00A14308">
        <w:rPr>
          <w:sz w:val="26"/>
          <w:szCs w:val="26"/>
        </w:rPr>
        <w:t xml:space="preserve">. </w:t>
      </w:r>
      <w:r w:rsidR="00A14308" w:rsidRPr="00A14308">
        <w:rPr>
          <w:sz w:val="26"/>
          <w:szCs w:val="26"/>
        </w:rPr>
        <w:t>Instancia: Primera Sala</w:t>
      </w:r>
      <w:r w:rsidR="00A14308">
        <w:rPr>
          <w:sz w:val="26"/>
          <w:szCs w:val="26"/>
        </w:rPr>
        <w:t xml:space="preserve">, </w:t>
      </w:r>
      <w:r w:rsidR="00A14308" w:rsidRPr="00A14308">
        <w:rPr>
          <w:sz w:val="26"/>
          <w:szCs w:val="26"/>
        </w:rPr>
        <w:t>Novena Época</w:t>
      </w:r>
      <w:r w:rsidR="00A14308">
        <w:rPr>
          <w:sz w:val="26"/>
          <w:szCs w:val="26"/>
        </w:rPr>
        <w:t xml:space="preserve">, </w:t>
      </w:r>
      <w:r w:rsidR="00A14308" w:rsidRPr="00A14308">
        <w:rPr>
          <w:sz w:val="26"/>
          <w:szCs w:val="26"/>
        </w:rPr>
        <w:t>Materias(s): Administrativa</w:t>
      </w:r>
      <w:r w:rsidR="00A14308">
        <w:rPr>
          <w:sz w:val="26"/>
          <w:szCs w:val="26"/>
        </w:rPr>
        <w:t xml:space="preserve">, Tesis: 1a./J. 17/2000, </w:t>
      </w:r>
      <w:r w:rsidR="00A14308" w:rsidRPr="00A14308">
        <w:rPr>
          <w:sz w:val="26"/>
          <w:szCs w:val="26"/>
        </w:rPr>
        <w:t xml:space="preserve">Fuente: Semanario Judicial de la Federación y su Gaceta. Tomo XII, </w:t>
      </w:r>
      <w:proofErr w:type="gramStart"/>
      <w:r w:rsidR="00A14308" w:rsidRPr="00A14308">
        <w:rPr>
          <w:sz w:val="26"/>
          <w:szCs w:val="26"/>
        </w:rPr>
        <w:t>Octubre</w:t>
      </w:r>
      <w:proofErr w:type="gramEnd"/>
      <w:r w:rsidR="00A14308" w:rsidRPr="00A14308">
        <w:rPr>
          <w:sz w:val="26"/>
          <w:szCs w:val="26"/>
        </w:rPr>
        <w:t xml:space="preserve"> de 2000, página 189</w:t>
      </w:r>
      <w:r w:rsidR="00A14308">
        <w:rPr>
          <w:sz w:val="26"/>
          <w:szCs w:val="26"/>
        </w:rPr>
        <w:t>.</w:t>
      </w:r>
    </w:p>
    <w:p w14:paraId="3C54367A" w14:textId="77777777" w:rsidR="00A14308" w:rsidRPr="00A14308" w:rsidRDefault="00A14308" w:rsidP="00A14308">
      <w:pPr>
        <w:pStyle w:val="corte4fondo"/>
        <w:tabs>
          <w:tab w:val="left" w:pos="426"/>
        </w:tabs>
        <w:spacing w:after="240"/>
        <w:ind w:left="709" w:right="757" w:firstLine="0"/>
        <w:rPr>
          <w:b/>
          <w:i/>
          <w:sz w:val="22"/>
          <w:szCs w:val="26"/>
        </w:rPr>
      </w:pPr>
      <w:r w:rsidRPr="00A14308">
        <w:rPr>
          <w:b/>
          <w:i/>
          <w:sz w:val="22"/>
          <w:szCs w:val="26"/>
        </w:rPr>
        <w:t>SUPLENCIA DE LA QUEJA DEFICIENTE EN MATERIA ADMINISTRATIVA. PROCEDENCIA.</w:t>
      </w:r>
    </w:p>
    <w:p w14:paraId="66BE69D5" w14:textId="2AA683CD" w:rsidR="00A14308" w:rsidRPr="00A14308" w:rsidRDefault="00A14308" w:rsidP="00A14308">
      <w:pPr>
        <w:pStyle w:val="corte4fondo"/>
        <w:tabs>
          <w:tab w:val="left" w:pos="426"/>
        </w:tabs>
        <w:spacing w:after="240"/>
        <w:ind w:left="709" w:right="757" w:firstLine="0"/>
        <w:rPr>
          <w:i/>
          <w:sz w:val="22"/>
          <w:szCs w:val="26"/>
        </w:rPr>
      </w:pPr>
      <w:r w:rsidRPr="00A14308">
        <w:rPr>
          <w:i/>
          <w:sz w:val="22"/>
          <w:szCs w:val="26"/>
        </w:rPr>
        <w:t>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p>
    <w:p w14:paraId="20FD5DB8" w14:textId="25B12001" w:rsidR="006D2F08" w:rsidRPr="00D31FD3" w:rsidRDefault="008076CE" w:rsidP="00A14308">
      <w:pPr>
        <w:pStyle w:val="corte4fondo"/>
        <w:tabs>
          <w:tab w:val="left" w:pos="0"/>
        </w:tabs>
        <w:spacing w:after="240"/>
        <w:ind w:right="51"/>
        <w:rPr>
          <w:sz w:val="26"/>
          <w:szCs w:val="26"/>
        </w:rPr>
      </w:pPr>
      <w:r>
        <w:rPr>
          <w:sz w:val="26"/>
          <w:szCs w:val="26"/>
        </w:rPr>
        <w:t>76</w:t>
      </w:r>
      <w:r w:rsidR="00247307">
        <w:rPr>
          <w:sz w:val="26"/>
          <w:szCs w:val="26"/>
        </w:rPr>
        <w:t xml:space="preserve">. </w:t>
      </w:r>
      <w:r w:rsidR="00D31FD3">
        <w:rPr>
          <w:sz w:val="26"/>
          <w:szCs w:val="26"/>
        </w:rPr>
        <w:t xml:space="preserve">Ahora bien, del análisis realizado a la resolución de </w:t>
      </w:r>
      <w:r w:rsidR="005B4925">
        <w:rPr>
          <w:sz w:val="26"/>
          <w:szCs w:val="26"/>
        </w:rPr>
        <w:t>doce de febrero de dos mil diecinueve (12/02/2019)</w:t>
      </w:r>
      <w:r w:rsidR="00D31FD3">
        <w:rPr>
          <w:sz w:val="26"/>
          <w:szCs w:val="26"/>
        </w:rPr>
        <w:t>, dictada por el entonces Titular de la</w:t>
      </w:r>
      <w:r w:rsidR="005B4925">
        <w:rPr>
          <w:sz w:val="26"/>
          <w:szCs w:val="26"/>
        </w:rPr>
        <w:t xml:space="preserve"> Unidad de Asuntos Jurídicos del Órgano Superior de Fiscalización del Estado de Oaxaca</w:t>
      </w:r>
      <w:r w:rsidR="00D31FD3">
        <w:rPr>
          <w:sz w:val="26"/>
          <w:szCs w:val="26"/>
        </w:rPr>
        <w:t xml:space="preserve"> dentro del expediente </w:t>
      </w:r>
      <w:r w:rsidR="00D31FD3">
        <w:rPr>
          <w:b/>
          <w:sz w:val="26"/>
          <w:szCs w:val="26"/>
        </w:rPr>
        <w:t>ASE/UAJ/</w:t>
      </w:r>
      <w:r w:rsidR="005B4925">
        <w:rPr>
          <w:b/>
          <w:sz w:val="26"/>
          <w:szCs w:val="26"/>
        </w:rPr>
        <w:t>P.R./004/2016</w:t>
      </w:r>
      <w:r w:rsidR="00D31FD3">
        <w:rPr>
          <w:sz w:val="26"/>
          <w:szCs w:val="26"/>
        </w:rPr>
        <w:t xml:space="preserve">, que obra a </w:t>
      </w:r>
      <w:r w:rsidR="002F01AE">
        <w:rPr>
          <w:rFonts w:cs="Arial"/>
          <w:bCs/>
          <w:spacing w:val="-3"/>
          <w:sz w:val="26"/>
          <w:szCs w:val="26"/>
        </w:rPr>
        <w:t>folios</w:t>
      </w:r>
      <w:r w:rsidR="002F01AE" w:rsidRPr="00EE4752">
        <w:rPr>
          <w:rFonts w:cs="Arial"/>
          <w:bCs/>
          <w:spacing w:val="-3"/>
          <w:sz w:val="26"/>
          <w:szCs w:val="26"/>
        </w:rPr>
        <w:t xml:space="preserve"> </w:t>
      </w:r>
      <w:r w:rsidR="002F01AE">
        <w:rPr>
          <w:rFonts w:cs="Arial"/>
          <w:bCs/>
          <w:spacing w:val="-3"/>
          <w:sz w:val="26"/>
          <w:szCs w:val="26"/>
        </w:rPr>
        <w:t xml:space="preserve">dos mil quinientos setenta y uno a dos mil seiscientos cuarenta y seis (2571 a 2646), Tomo V, del expediente relativo al Procedimiento para el Fincamiento de Responsabilidad Administrativa Resarcitoria </w:t>
      </w:r>
      <w:r w:rsidR="002F01AE">
        <w:rPr>
          <w:rFonts w:cs="Arial"/>
          <w:b/>
          <w:sz w:val="26"/>
          <w:szCs w:val="26"/>
        </w:rPr>
        <w:t>ASE</w:t>
      </w:r>
      <w:r w:rsidR="002F01AE" w:rsidRPr="006F6E97">
        <w:rPr>
          <w:rFonts w:cs="Arial"/>
          <w:b/>
          <w:sz w:val="26"/>
          <w:szCs w:val="26"/>
        </w:rPr>
        <w:t>/</w:t>
      </w:r>
      <w:r w:rsidR="002F01AE">
        <w:rPr>
          <w:rFonts w:cs="Arial"/>
          <w:b/>
          <w:sz w:val="26"/>
          <w:szCs w:val="26"/>
        </w:rPr>
        <w:t>UAJ/P.R./004/2016</w:t>
      </w:r>
      <w:r w:rsidR="00723A99">
        <w:rPr>
          <w:sz w:val="26"/>
          <w:szCs w:val="26"/>
        </w:rPr>
        <w:t xml:space="preserve">, </w:t>
      </w:r>
      <w:r w:rsidR="002F01AE">
        <w:rPr>
          <w:sz w:val="26"/>
          <w:szCs w:val="26"/>
        </w:rPr>
        <w:t xml:space="preserve">documental </w:t>
      </w:r>
      <w:r w:rsidR="00723A99">
        <w:rPr>
          <w:sz w:val="26"/>
          <w:szCs w:val="26"/>
        </w:rPr>
        <w:t xml:space="preserve">a la cual se le da valor probatorio pleno de conformidad con lo </w:t>
      </w:r>
      <w:r w:rsidR="00723A99">
        <w:rPr>
          <w:sz w:val="26"/>
          <w:szCs w:val="26"/>
        </w:rPr>
        <w:lastRenderedPageBreak/>
        <w:t>dispuesto en el artículo 25</w:t>
      </w:r>
      <w:r w:rsidR="00593D8A">
        <w:rPr>
          <w:rStyle w:val="Refdenotaalpie"/>
          <w:sz w:val="26"/>
          <w:szCs w:val="26"/>
        </w:rPr>
        <w:footnoteReference w:id="22"/>
      </w:r>
      <w:r w:rsidR="00723A99">
        <w:rPr>
          <w:sz w:val="26"/>
          <w:szCs w:val="26"/>
        </w:rPr>
        <w:t xml:space="preserve"> de </w:t>
      </w:r>
      <w:r w:rsidR="00723A99" w:rsidRPr="002F01AE">
        <w:rPr>
          <w:sz w:val="26"/>
          <w:szCs w:val="26"/>
          <w:shd w:val="clear" w:color="auto" w:fill="FFFFFF" w:themeFill="background1"/>
        </w:rPr>
        <w:t xml:space="preserve">la </w:t>
      </w:r>
      <w:r w:rsidR="00F17D36" w:rsidRPr="00F17D36">
        <w:rPr>
          <w:i/>
          <w:sz w:val="26"/>
          <w:szCs w:val="26"/>
          <w:shd w:val="clear" w:color="auto" w:fill="FFFFFF" w:themeFill="background1"/>
        </w:rPr>
        <w:t>Ley de Justicia</w:t>
      </w:r>
      <w:r w:rsidR="00723A99" w:rsidRPr="002F01AE">
        <w:rPr>
          <w:sz w:val="26"/>
          <w:szCs w:val="26"/>
          <w:shd w:val="clear" w:color="auto" w:fill="FFFFFF" w:themeFill="background1"/>
        </w:rPr>
        <w:t xml:space="preserve">, al tratarse de copias certificadas de un documento público, </w:t>
      </w:r>
      <w:r w:rsidR="00593D8A" w:rsidRPr="002F01AE">
        <w:rPr>
          <w:sz w:val="26"/>
          <w:szCs w:val="26"/>
          <w:shd w:val="clear" w:color="auto" w:fill="FFFFFF" w:themeFill="background1"/>
        </w:rPr>
        <w:t>resolución que dispone en</w:t>
      </w:r>
      <w:r w:rsidR="00593D8A">
        <w:rPr>
          <w:sz w:val="26"/>
          <w:szCs w:val="26"/>
        </w:rPr>
        <w:t xml:space="preserve"> su parte considerativa lo siguiente:</w:t>
      </w:r>
    </w:p>
    <w:p w14:paraId="59230BFB" w14:textId="030371F5" w:rsidR="00F82355" w:rsidRPr="00F82355" w:rsidRDefault="00711FF8" w:rsidP="00AD3C4A">
      <w:pPr>
        <w:pStyle w:val="corte4fondo"/>
        <w:tabs>
          <w:tab w:val="left" w:pos="709"/>
        </w:tabs>
        <w:spacing w:after="240"/>
        <w:ind w:left="709" w:right="757" w:firstLine="0"/>
        <w:rPr>
          <w:b/>
          <w:i/>
          <w:sz w:val="22"/>
          <w:szCs w:val="26"/>
        </w:rPr>
      </w:pPr>
      <w:r>
        <w:rPr>
          <w:i/>
          <w:sz w:val="22"/>
          <w:szCs w:val="26"/>
        </w:rPr>
        <w:t>“</w:t>
      </w:r>
      <w:r w:rsidR="002F01AE">
        <w:rPr>
          <w:b/>
          <w:i/>
          <w:sz w:val="22"/>
          <w:szCs w:val="26"/>
        </w:rPr>
        <w:t xml:space="preserve">PRIMERO. Competencia. </w:t>
      </w:r>
      <w:r w:rsidR="002F01AE">
        <w:rPr>
          <w:i/>
          <w:sz w:val="22"/>
          <w:szCs w:val="26"/>
        </w:rPr>
        <w:t>El Órgano Superior de Fiscalización del Estado de Oaxaca</w:t>
      </w:r>
      <w:r w:rsidR="002C7174">
        <w:rPr>
          <w:i/>
          <w:sz w:val="22"/>
          <w:szCs w:val="26"/>
        </w:rPr>
        <w:t>, creado mediante Decreto 695 de la Sexagésima Tercera Legislatura Constitucional</w:t>
      </w:r>
      <w:r w:rsidR="003D14A8">
        <w:rPr>
          <w:i/>
          <w:sz w:val="22"/>
          <w:szCs w:val="26"/>
        </w:rPr>
        <w:t xml:space="preserve"> </w:t>
      </w:r>
      <w:r w:rsidR="002C7174">
        <w:rPr>
          <w:i/>
          <w:sz w:val="22"/>
          <w:szCs w:val="26"/>
        </w:rPr>
        <w:t xml:space="preserve">del Estado Libre y Soberano de Oaxaca, publicado en el Extra del Periódico Oficial del Gobierno del Estado de Oaxaca, el día veintiuno de septiembre de dos mil diecisiete, en el cual se reforma el artículo 65 BIS, de la </w:t>
      </w:r>
      <w:r w:rsidR="00F17D36" w:rsidRPr="00F17D36">
        <w:rPr>
          <w:i/>
          <w:sz w:val="22"/>
          <w:szCs w:val="26"/>
        </w:rPr>
        <w:t>Constitución Local</w:t>
      </w:r>
      <w:r w:rsidR="002C7174">
        <w:rPr>
          <w:i/>
          <w:sz w:val="22"/>
          <w:szCs w:val="26"/>
        </w:rPr>
        <w:t xml:space="preserve">, y que sustituyo a la Auditoría Superior del Estado, para revisar y fiscalizar las cuentas públicas de las entidades fiscalizables y su gestión financiera, así como las situaciones irregulares que se denuncien respecto al ejercicio fiscal en curso o a los ejercicios anteriores a la cuenta pública en revisión y promover las responsabilidades correspondientes; a través de la unidad de Asuntos Jurídicos es competente para conocer y resolver el presente asunto, de conformidad con lo establecido en los artículos 1, 14 párrafos primero y segundo, 16, párrafo primero, y 116, fracción II, sexto párrafo de la </w:t>
      </w:r>
      <w:r w:rsidR="00F17D36" w:rsidRPr="00F17D36">
        <w:rPr>
          <w:i/>
          <w:sz w:val="22"/>
          <w:szCs w:val="26"/>
        </w:rPr>
        <w:t>Constitución Federal</w:t>
      </w:r>
      <w:r w:rsidR="00153C8A">
        <w:rPr>
          <w:i/>
          <w:sz w:val="22"/>
          <w:szCs w:val="26"/>
        </w:rPr>
        <w:t xml:space="preserve">; siendo aplicable para la emisión de la resolución el artículo Tercero Transitorio de la Ley de Fiscalización Superior y Rendición de Cuentas para el Estado de Oaxaca, publicada en el periódico oficial Extra de fecha veintiuno de septiembre de dos mil diecisiete, mediante Decreto 699; en consecuencia es aplicable al procedimiento y resolución del expediente que nos ocupa: los artículos 1, 3, 4, 6, 31 fracciones XXVI y XXIX, 56, 58 fracciones I y IV, 67 fracción II y Sexto Transitorio de la </w:t>
      </w:r>
      <w:r w:rsidR="00F17D36" w:rsidRPr="00F17D36">
        <w:rPr>
          <w:i/>
          <w:sz w:val="22"/>
          <w:szCs w:val="26"/>
        </w:rPr>
        <w:t>Ley de Fiscalización</w:t>
      </w:r>
      <w:r w:rsidR="00823288">
        <w:rPr>
          <w:i/>
          <w:sz w:val="22"/>
          <w:szCs w:val="26"/>
        </w:rPr>
        <w:t xml:space="preserve"> Superior</w:t>
      </w:r>
      <w:r w:rsidR="00F17D36" w:rsidRPr="00F17D36">
        <w:rPr>
          <w:i/>
          <w:sz w:val="22"/>
          <w:szCs w:val="26"/>
        </w:rPr>
        <w:t xml:space="preserve"> </w:t>
      </w:r>
      <w:r w:rsidR="00823288">
        <w:rPr>
          <w:i/>
          <w:sz w:val="22"/>
          <w:szCs w:val="26"/>
        </w:rPr>
        <w:t>para el Estado de Oaxaca</w:t>
      </w:r>
      <w:r w:rsidR="00153C8A">
        <w:rPr>
          <w:i/>
          <w:sz w:val="22"/>
          <w:szCs w:val="26"/>
        </w:rPr>
        <w:t>, vigente hasta el veintiuno de septiembre de dos mil diecisiete, siendo esta Ley la que sirvió de fundamento para la revisión y fiscalización de la cuenta pública municipal correspondiente al ejercicio fiscal dos mil trece, de Valerio trujano, Distrito de Cuicat</w:t>
      </w:r>
      <w:r w:rsidR="004C0E4F">
        <w:rPr>
          <w:i/>
          <w:sz w:val="22"/>
          <w:szCs w:val="26"/>
        </w:rPr>
        <w:t>l</w:t>
      </w:r>
      <w:r w:rsidR="00153C8A">
        <w:rPr>
          <w:i/>
          <w:sz w:val="22"/>
          <w:szCs w:val="26"/>
        </w:rPr>
        <w:t>án, Oaxaca; en relación con las facultades otorgadas por los artículos 1, 3, fracción</w:t>
      </w:r>
      <w:r w:rsidR="004C0E4F">
        <w:rPr>
          <w:i/>
          <w:sz w:val="22"/>
          <w:szCs w:val="26"/>
        </w:rPr>
        <w:t xml:space="preserve"> IV, 12 fracciones VIII y XXV del </w:t>
      </w:r>
      <w:r w:rsidR="00F17D36" w:rsidRPr="00F17D36">
        <w:rPr>
          <w:i/>
          <w:sz w:val="22"/>
          <w:szCs w:val="26"/>
        </w:rPr>
        <w:t>Reglamento</w:t>
      </w:r>
      <w:r w:rsidR="004C0E4F">
        <w:rPr>
          <w:i/>
          <w:sz w:val="22"/>
          <w:szCs w:val="26"/>
        </w:rPr>
        <w:t>, decreto 690, publicado en el Periódico Oficial del Gobierno del Estado de fecha veinte de septiembre de dos mil ocho, que regulan las facultades con la cual se inició el procedimiento que se resuelve; así como las disposiciones 1, 2, 4, fracciones I y VIII, 7, fracciones I y XVIII, 16 fracción VII, y 18, fracciones I y XVIII</w:t>
      </w:r>
      <w:r w:rsidR="00E778A4">
        <w:rPr>
          <w:i/>
          <w:sz w:val="22"/>
          <w:szCs w:val="26"/>
        </w:rPr>
        <w:t xml:space="preserve">, del Reglamento Interior el Órgano Superior de Fiscalización del Estado de Oaxaca, en el que se distribuyen las atribuciones de los servidores públicos, con las que se acredita la personalidad y existencia del nuevo órgano, aplicando las disposiciones anteriores, conforme al artículo </w:t>
      </w:r>
      <w:r w:rsidR="00E778A4">
        <w:rPr>
          <w:i/>
          <w:sz w:val="22"/>
          <w:szCs w:val="26"/>
        </w:rPr>
        <w:lastRenderedPageBreak/>
        <w:t xml:space="preserve">Tercero transitorio de la </w:t>
      </w:r>
      <w:r w:rsidR="00823288">
        <w:rPr>
          <w:i/>
          <w:sz w:val="22"/>
          <w:szCs w:val="26"/>
        </w:rPr>
        <w:t>Ley de Fiscalización Superior para el Estado de Oaxaca</w:t>
      </w:r>
      <w:r w:rsidR="00E778A4">
        <w:rPr>
          <w:i/>
          <w:sz w:val="22"/>
          <w:szCs w:val="26"/>
        </w:rPr>
        <w:t>.”</w:t>
      </w:r>
    </w:p>
    <w:p w14:paraId="2D12446E" w14:textId="7367C153" w:rsidR="00E778A4" w:rsidRDefault="008076CE" w:rsidP="003A0A70">
      <w:pPr>
        <w:pStyle w:val="corte4fondo"/>
        <w:tabs>
          <w:tab w:val="left" w:pos="0"/>
        </w:tabs>
        <w:spacing w:after="240"/>
        <w:ind w:right="51"/>
        <w:rPr>
          <w:sz w:val="26"/>
          <w:szCs w:val="26"/>
        </w:rPr>
      </w:pPr>
      <w:r>
        <w:rPr>
          <w:sz w:val="26"/>
          <w:szCs w:val="26"/>
        </w:rPr>
        <w:t>77</w:t>
      </w:r>
      <w:r w:rsidR="00247307">
        <w:rPr>
          <w:sz w:val="26"/>
          <w:szCs w:val="26"/>
        </w:rPr>
        <w:t xml:space="preserve">. </w:t>
      </w:r>
      <w:r w:rsidR="003A0A70">
        <w:rPr>
          <w:sz w:val="26"/>
          <w:szCs w:val="26"/>
        </w:rPr>
        <w:t xml:space="preserve">De lo cual se advierte que el Titular de la </w:t>
      </w:r>
      <w:r w:rsidR="00E778A4">
        <w:rPr>
          <w:sz w:val="26"/>
          <w:szCs w:val="26"/>
        </w:rPr>
        <w:t>Unidad de Asuntos Jurídicos del</w:t>
      </w:r>
      <w:r w:rsidR="00731B0D">
        <w:rPr>
          <w:sz w:val="26"/>
          <w:szCs w:val="26"/>
        </w:rPr>
        <w:t xml:space="preserve"> entonces</w:t>
      </w:r>
      <w:r w:rsidR="00E778A4">
        <w:rPr>
          <w:sz w:val="26"/>
          <w:szCs w:val="26"/>
        </w:rPr>
        <w:t xml:space="preserve"> Órgano Superior de Fiscalización del Estado de Oaxaca, pretendió fundar su competencia para instruir y resolver el Procedimiento para el Fincamiento de Responsabilidades Administrativas Resarcitorias, fundando dicha atribución en diversos preceptos legales, de los cuales, llaman particularmente la atención </w:t>
      </w:r>
      <w:r w:rsidR="00731B0D">
        <w:rPr>
          <w:sz w:val="26"/>
          <w:szCs w:val="26"/>
        </w:rPr>
        <w:t>l</w:t>
      </w:r>
      <w:r w:rsidR="00E778A4">
        <w:rPr>
          <w:sz w:val="26"/>
          <w:szCs w:val="26"/>
        </w:rPr>
        <w:t xml:space="preserve">os artículos 31 fracciones </w:t>
      </w:r>
      <w:r w:rsidR="00731B0D">
        <w:rPr>
          <w:sz w:val="26"/>
          <w:szCs w:val="26"/>
        </w:rPr>
        <w:t xml:space="preserve">XXVI y XXIX, 56, 67 fracción II de la </w:t>
      </w:r>
      <w:r w:rsidR="00F17D36" w:rsidRPr="00F17D36">
        <w:rPr>
          <w:i/>
          <w:sz w:val="26"/>
          <w:szCs w:val="26"/>
        </w:rPr>
        <w:t>Ley de Fiscalización 2013</w:t>
      </w:r>
      <w:r w:rsidR="00731B0D">
        <w:rPr>
          <w:sz w:val="26"/>
          <w:szCs w:val="26"/>
        </w:rPr>
        <w:t xml:space="preserve">; 1 y 12 fracciones VIII del </w:t>
      </w:r>
      <w:r w:rsidR="00F17D36" w:rsidRPr="00F17D36">
        <w:rPr>
          <w:i/>
          <w:sz w:val="26"/>
          <w:szCs w:val="26"/>
        </w:rPr>
        <w:t>Reglamento</w:t>
      </w:r>
      <w:r w:rsidR="00731B0D">
        <w:rPr>
          <w:sz w:val="26"/>
          <w:szCs w:val="26"/>
        </w:rPr>
        <w:t xml:space="preserve">, </w:t>
      </w:r>
      <w:r w:rsidR="006941A0">
        <w:rPr>
          <w:sz w:val="26"/>
          <w:szCs w:val="26"/>
        </w:rPr>
        <w:t>los cuales se transcriben a continuación para una mejor comprensión:</w:t>
      </w:r>
    </w:p>
    <w:p w14:paraId="7F8E9D1F" w14:textId="13B50446" w:rsidR="00731B0D" w:rsidRDefault="00731B0D" w:rsidP="00E74399">
      <w:pPr>
        <w:pStyle w:val="corte4fondo"/>
        <w:tabs>
          <w:tab w:val="left" w:pos="0"/>
          <w:tab w:val="left" w:pos="7797"/>
        </w:tabs>
        <w:spacing w:after="240"/>
        <w:ind w:right="757"/>
        <w:jc w:val="center"/>
        <w:rPr>
          <w:b/>
          <w:i/>
          <w:sz w:val="22"/>
          <w:szCs w:val="26"/>
        </w:rPr>
      </w:pPr>
      <w:r>
        <w:rPr>
          <w:b/>
          <w:i/>
          <w:sz w:val="22"/>
          <w:szCs w:val="26"/>
        </w:rPr>
        <w:t>“</w:t>
      </w:r>
      <w:r w:rsidR="00F17D36" w:rsidRPr="00F17D36">
        <w:rPr>
          <w:b/>
          <w:i/>
          <w:sz w:val="22"/>
          <w:szCs w:val="26"/>
        </w:rPr>
        <w:t>Ley de Fiscalización 2013</w:t>
      </w:r>
    </w:p>
    <w:p w14:paraId="74D80FE7" w14:textId="306FED02" w:rsidR="00731B0D" w:rsidRDefault="00731B0D" w:rsidP="00E74399">
      <w:pPr>
        <w:pStyle w:val="corte4fondo"/>
        <w:tabs>
          <w:tab w:val="left" w:pos="709"/>
          <w:tab w:val="left" w:pos="7797"/>
        </w:tabs>
        <w:spacing w:after="240"/>
        <w:ind w:left="709" w:right="757" w:firstLine="0"/>
        <w:rPr>
          <w:i/>
          <w:sz w:val="22"/>
          <w:szCs w:val="26"/>
        </w:rPr>
      </w:pPr>
      <w:r w:rsidRPr="00731B0D">
        <w:rPr>
          <w:b/>
          <w:i/>
          <w:sz w:val="22"/>
          <w:szCs w:val="26"/>
        </w:rPr>
        <w:t xml:space="preserve">Artículo </w:t>
      </w:r>
      <w:r>
        <w:rPr>
          <w:b/>
          <w:i/>
          <w:sz w:val="22"/>
          <w:szCs w:val="26"/>
        </w:rPr>
        <w:t xml:space="preserve">31.- </w:t>
      </w:r>
      <w:r>
        <w:rPr>
          <w:i/>
          <w:sz w:val="22"/>
          <w:szCs w:val="26"/>
        </w:rPr>
        <w:t>La Auditoría tendrá las siguientes facultades y atribuciones:</w:t>
      </w:r>
    </w:p>
    <w:p w14:paraId="50E44483" w14:textId="5D4021B2" w:rsidR="00731B0D" w:rsidRDefault="00731B0D" w:rsidP="00E74399">
      <w:pPr>
        <w:pStyle w:val="corte4fondo"/>
        <w:tabs>
          <w:tab w:val="left" w:pos="851"/>
          <w:tab w:val="left" w:pos="7797"/>
        </w:tabs>
        <w:spacing w:after="240"/>
        <w:ind w:left="709" w:right="757" w:firstLine="0"/>
        <w:rPr>
          <w:i/>
          <w:sz w:val="22"/>
          <w:szCs w:val="26"/>
        </w:rPr>
      </w:pPr>
      <w:r>
        <w:rPr>
          <w:i/>
          <w:sz w:val="22"/>
          <w:szCs w:val="26"/>
        </w:rPr>
        <w:t>[…]</w:t>
      </w:r>
    </w:p>
    <w:p w14:paraId="00599EDB" w14:textId="15D7607C" w:rsidR="00731B0D" w:rsidRDefault="00731B0D" w:rsidP="00E74399">
      <w:pPr>
        <w:pStyle w:val="corte4fondo"/>
        <w:tabs>
          <w:tab w:val="left" w:pos="709"/>
          <w:tab w:val="left" w:pos="7797"/>
        </w:tabs>
        <w:spacing w:after="240"/>
        <w:ind w:left="709" w:right="757" w:firstLine="0"/>
        <w:rPr>
          <w:i/>
          <w:sz w:val="22"/>
          <w:szCs w:val="26"/>
        </w:rPr>
      </w:pPr>
      <w:r>
        <w:rPr>
          <w:i/>
          <w:sz w:val="22"/>
          <w:szCs w:val="26"/>
        </w:rPr>
        <w:t>XXVI</w:t>
      </w:r>
      <w:r w:rsidR="00E74399">
        <w:rPr>
          <w:i/>
          <w:sz w:val="22"/>
          <w:szCs w:val="26"/>
        </w:rPr>
        <w:t xml:space="preserve">. </w:t>
      </w:r>
      <w:r>
        <w:rPr>
          <w:i/>
          <w:sz w:val="22"/>
          <w:szCs w:val="26"/>
        </w:rPr>
        <w:t>Determinar los daños, perjuicios o ambos, que afecten las haciendas públicas estatal o municipal, o en su caso, al patrimonio de las entidades</w:t>
      </w:r>
      <w:r w:rsidR="00E74399">
        <w:rPr>
          <w:i/>
          <w:sz w:val="22"/>
          <w:szCs w:val="26"/>
        </w:rPr>
        <w:t xml:space="preserve"> fiscalizables, y </w:t>
      </w:r>
      <w:r w:rsidR="00E74399">
        <w:rPr>
          <w:b/>
          <w:i/>
          <w:sz w:val="22"/>
          <w:szCs w:val="26"/>
        </w:rPr>
        <w:t>fincar directamente las responsabilidades administrativas resarcitorias;</w:t>
      </w:r>
    </w:p>
    <w:p w14:paraId="029D1FC3" w14:textId="6E0E44AD" w:rsidR="00E74399" w:rsidRDefault="00E74399" w:rsidP="00E74399">
      <w:pPr>
        <w:pStyle w:val="corte4fondo"/>
        <w:tabs>
          <w:tab w:val="left" w:pos="709"/>
          <w:tab w:val="left" w:pos="7797"/>
        </w:tabs>
        <w:spacing w:after="240"/>
        <w:ind w:left="709" w:right="757" w:firstLine="0"/>
        <w:rPr>
          <w:i/>
          <w:sz w:val="22"/>
          <w:szCs w:val="26"/>
        </w:rPr>
      </w:pPr>
      <w:r>
        <w:rPr>
          <w:i/>
          <w:sz w:val="22"/>
          <w:szCs w:val="26"/>
        </w:rPr>
        <w:t>[…]</w:t>
      </w:r>
    </w:p>
    <w:p w14:paraId="346D9044" w14:textId="5876EDC5" w:rsidR="00E74399" w:rsidRPr="00E74399" w:rsidRDefault="00E74399" w:rsidP="00E74399">
      <w:pPr>
        <w:pStyle w:val="corte4fondo"/>
        <w:tabs>
          <w:tab w:val="left" w:pos="709"/>
          <w:tab w:val="left" w:pos="7797"/>
        </w:tabs>
        <w:spacing w:after="240"/>
        <w:ind w:left="709" w:right="757" w:firstLine="0"/>
        <w:rPr>
          <w:b/>
          <w:i/>
          <w:sz w:val="22"/>
          <w:szCs w:val="26"/>
        </w:rPr>
      </w:pPr>
      <w:r>
        <w:rPr>
          <w:i/>
          <w:sz w:val="22"/>
          <w:szCs w:val="26"/>
        </w:rPr>
        <w:t xml:space="preserve">XXIX. Tramitar y resolver el </w:t>
      </w:r>
      <w:r w:rsidRPr="00E74399">
        <w:rPr>
          <w:b/>
          <w:i/>
          <w:sz w:val="22"/>
          <w:szCs w:val="26"/>
        </w:rPr>
        <w:t xml:space="preserve">procedimiento para el fincamiento </w:t>
      </w:r>
      <w:r>
        <w:rPr>
          <w:b/>
          <w:i/>
          <w:sz w:val="22"/>
          <w:szCs w:val="26"/>
        </w:rPr>
        <w:t>de responsabilidades administrativo resarcitorio.</w:t>
      </w:r>
    </w:p>
    <w:p w14:paraId="659A89A0" w14:textId="26DF713A" w:rsidR="00E74399" w:rsidRDefault="00E74399" w:rsidP="00E74399">
      <w:pPr>
        <w:pStyle w:val="corte4fondo"/>
        <w:tabs>
          <w:tab w:val="left" w:pos="709"/>
          <w:tab w:val="left" w:pos="7797"/>
        </w:tabs>
        <w:spacing w:after="240"/>
        <w:ind w:left="709" w:right="757" w:firstLine="0"/>
        <w:rPr>
          <w:i/>
          <w:sz w:val="22"/>
          <w:szCs w:val="26"/>
        </w:rPr>
      </w:pPr>
      <w:r>
        <w:rPr>
          <w:i/>
          <w:sz w:val="22"/>
          <w:szCs w:val="26"/>
        </w:rPr>
        <w:t>[…]</w:t>
      </w:r>
    </w:p>
    <w:p w14:paraId="12F46EFD" w14:textId="0772699F" w:rsidR="00E74399" w:rsidRPr="00E74399" w:rsidRDefault="00E74399" w:rsidP="00E74399">
      <w:pPr>
        <w:pStyle w:val="corte4fondo"/>
        <w:tabs>
          <w:tab w:val="left" w:pos="709"/>
          <w:tab w:val="left" w:pos="7797"/>
        </w:tabs>
        <w:spacing w:after="240"/>
        <w:ind w:left="709" w:right="757" w:firstLine="0"/>
        <w:rPr>
          <w:i/>
          <w:sz w:val="22"/>
          <w:szCs w:val="26"/>
        </w:rPr>
      </w:pPr>
      <w:r>
        <w:rPr>
          <w:b/>
          <w:i/>
          <w:sz w:val="22"/>
          <w:szCs w:val="26"/>
        </w:rPr>
        <w:t xml:space="preserve">Artículo 56.- </w:t>
      </w:r>
      <w:r>
        <w:rPr>
          <w:i/>
          <w:sz w:val="22"/>
          <w:szCs w:val="26"/>
        </w:rPr>
        <w:t xml:space="preserve">El </w:t>
      </w:r>
      <w:r w:rsidRPr="00E74399">
        <w:rPr>
          <w:b/>
          <w:i/>
          <w:sz w:val="22"/>
          <w:szCs w:val="26"/>
        </w:rPr>
        <w:t>procedimiento para el fincamiento de responsabilidades administrativas resarcitorias</w:t>
      </w:r>
      <w:r>
        <w:rPr>
          <w:i/>
          <w:sz w:val="22"/>
          <w:szCs w:val="26"/>
        </w:rPr>
        <w:t xml:space="preserve"> previstas en la presente ley, se tramitará en la forma y términos previsto en el Código.</w:t>
      </w:r>
    </w:p>
    <w:p w14:paraId="03C998B2" w14:textId="064293C6" w:rsidR="00E74399" w:rsidRDefault="00E74399" w:rsidP="00E74399">
      <w:pPr>
        <w:pStyle w:val="corte4fondo"/>
        <w:tabs>
          <w:tab w:val="left" w:pos="709"/>
          <w:tab w:val="left" w:pos="7797"/>
        </w:tabs>
        <w:spacing w:after="240"/>
        <w:ind w:left="709" w:right="757" w:firstLine="0"/>
        <w:rPr>
          <w:i/>
          <w:sz w:val="22"/>
          <w:szCs w:val="26"/>
        </w:rPr>
      </w:pPr>
      <w:r>
        <w:rPr>
          <w:b/>
          <w:i/>
          <w:sz w:val="22"/>
          <w:szCs w:val="26"/>
        </w:rPr>
        <w:t xml:space="preserve">Artículo 67.- </w:t>
      </w:r>
      <w:r>
        <w:rPr>
          <w:i/>
          <w:sz w:val="22"/>
          <w:szCs w:val="26"/>
        </w:rPr>
        <w:t>La Auditoría contará con una Unidad de Asuntos Jurídicos, cuyo titular tendrá las siguientes atribuciones:</w:t>
      </w:r>
    </w:p>
    <w:p w14:paraId="432BB4B9" w14:textId="41FCF752" w:rsidR="00E74399" w:rsidRPr="00E74399" w:rsidRDefault="00E74399" w:rsidP="00E74399">
      <w:pPr>
        <w:pStyle w:val="corte4fondo"/>
        <w:tabs>
          <w:tab w:val="left" w:pos="709"/>
          <w:tab w:val="left" w:pos="7797"/>
        </w:tabs>
        <w:spacing w:after="240"/>
        <w:ind w:left="709" w:right="757" w:firstLine="0"/>
        <w:rPr>
          <w:i/>
          <w:sz w:val="22"/>
          <w:szCs w:val="26"/>
        </w:rPr>
      </w:pPr>
      <w:r w:rsidRPr="00E74399">
        <w:rPr>
          <w:i/>
          <w:sz w:val="22"/>
          <w:szCs w:val="26"/>
        </w:rPr>
        <w:t>[…]</w:t>
      </w:r>
    </w:p>
    <w:p w14:paraId="6AEEEF1F" w14:textId="666288A0" w:rsidR="00E74399" w:rsidRDefault="00E74399" w:rsidP="00E74399">
      <w:pPr>
        <w:pStyle w:val="corte4fondo"/>
        <w:tabs>
          <w:tab w:val="left" w:pos="709"/>
          <w:tab w:val="left" w:pos="7797"/>
        </w:tabs>
        <w:spacing w:after="240"/>
        <w:ind w:left="709" w:right="757" w:firstLine="0"/>
        <w:rPr>
          <w:i/>
          <w:sz w:val="22"/>
          <w:szCs w:val="26"/>
        </w:rPr>
      </w:pPr>
      <w:r>
        <w:rPr>
          <w:i/>
          <w:sz w:val="22"/>
          <w:szCs w:val="26"/>
        </w:rPr>
        <w:t xml:space="preserve">II. Instruir y tramitar el </w:t>
      </w:r>
      <w:r w:rsidRPr="00E74399">
        <w:rPr>
          <w:i/>
          <w:sz w:val="22"/>
          <w:szCs w:val="26"/>
          <w:u w:val="single"/>
        </w:rPr>
        <w:t>procedimiento resarcitorio</w:t>
      </w:r>
      <w:r>
        <w:rPr>
          <w:i/>
          <w:sz w:val="22"/>
          <w:szCs w:val="26"/>
        </w:rPr>
        <w:t>; y,</w:t>
      </w:r>
    </w:p>
    <w:p w14:paraId="6D205FA1" w14:textId="7D446AD3" w:rsidR="00E74399" w:rsidRDefault="00E74399" w:rsidP="00E74399">
      <w:pPr>
        <w:pStyle w:val="corte4fondo"/>
        <w:tabs>
          <w:tab w:val="left" w:pos="709"/>
          <w:tab w:val="left" w:pos="7797"/>
        </w:tabs>
        <w:spacing w:after="240"/>
        <w:ind w:left="709" w:right="757" w:firstLine="0"/>
        <w:rPr>
          <w:i/>
          <w:sz w:val="22"/>
          <w:szCs w:val="26"/>
        </w:rPr>
      </w:pPr>
      <w:r>
        <w:rPr>
          <w:i/>
          <w:sz w:val="22"/>
          <w:szCs w:val="26"/>
        </w:rPr>
        <w:t>[…]”</w:t>
      </w:r>
    </w:p>
    <w:p w14:paraId="1BDEEAF0" w14:textId="729C3441" w:rsidR="00E74399" w:rsidRDefault="00634E0F" w:rsidP="00634E0F">
      <w:pPr>
        <w:pStyle w:val="corte4fondo"/>
        <w:tabs>
          <w:tab w:val="left" w:pos="709"/>
          <w:tab w:val="left" w:pos="7797"/>
        </w:tabs>
        <w:spacing w:after="240"/>
        <w:ind w:left="709" w:right="757" w:firstLine="0"/>
        <w:jc w:val="center"/>
        <w:rPr>
          <w:b/>
          <w:i/>
          <w:sz w:val="22"/>
          <w:szCs w:val="26"/>
        </w:rPr>
      </w:pPr>
      <w:r>
        <w:rPr>
          <w:b/>
          <w:i/>
          <w:sz w:val="22"/>
          <w:szCs w:val="26"/>
        </w:rPr>
        <w:t>“</w:t>
      </w:r>
      <w:r w:rsidR="00F17D36" w:rsidRPr="00F17D36">
        <w:rPr>
          <w:b/>
          <w:i/>
          <w:sz w:val="22"/>
          <w:szCs w:val="26"/>
        </w:rPr>
        <w:t>Reglamento</w:t>
      </w:r>
      <w:r>
        <w:rPr>
          <w:b/>
          <w:i/>
          <w:sz w:val="22"/>
          <w:szCs w:val="26"/>
        </w:rPr>
        <w:t>.</w:t>
      </w:r>
    </w:p>
    <w:p w14:paraId="06F78092" w14:textId="71BBD9E1" w:rsidR="00634E0F" w:rsidRDefault="004C12BA" w:rsidP="00634E0F">
      <w:pPr>
        <w:pStyle w:val="corte4fondo"/>
        <w:tabs>
          <w:tab w:val="left" w:pos="709"/>
          <w:tab w:val="left" w:pos="7797"/>
        </w:tabs>
        <w:spacing w:after="240"/>
        <w:ind w:left="709" w:right="757" w:firstLine="0"/>
        <w:rPr>
          <w:i/>
          <w:sz w:val="22"/>
          <w:szCs w:val="26"/>
        </w:rPr>
      </w:pPr>
      <w:r>
        <w:rPr>
          <w:b/>
          <w:i/>
          <w:sz w:val="22"/>
          <w:szCs w:val="26"/>
        </w:rPr>
        <w:lastRenderedPageBreak/>
        <w:t>Artículo 1.</w:t>
      </w:r>
      <w:r w:rsidR="008722BC">
        <w:rPr>
          <w:b/>
          <w:i/>
          <w:sz w:val="22"/>
          <w:szCs w:val="26"/>
        </w:rPr>
        <w:t xml:space="preserve">- </w:t>
      </w:r>
      <w:r>
        <w:rPr>
          <w:i/>
          <w:sz w:val="22"/>
          <w:szCs w:val="26"/>
        </w:rPr>
        <w:t xml:space="preserve">La Auditoría Superior del Estado de Oaxaca es el órgano técnico del Congreso del Estado de Oaxaca que tiene a su cargo la fiscalización de los informes de avance de gestión y de las cuentas públicas, así como las demás funciones que expresamente le encomiende la </w:t>
      </w:r>
      <w:r w:rsidR="00F17D36" w:rsidRPr="00F17D36">
        <w:rPr>
          <w:i/>
          <w:sz w:val="22"/>
          <w:szCs w:val="26"/>
        </w:rPr>
        <w:t>Constitución Local</w:t>
      </w:r>
      <w:r>
        <w:rPr>
          <w:i/>
          <w:sz w:val="22"/>
          <w:szCs w:val="26"/>
        </w:rPr>
        <w:t xml:space="preserve">, </w:t>
      </w:r>
      <w:r>
        <w:rPr>
          <w:b/>
          <w:i/>
          <w:sz w:val="22"/>
          <w:szCs w:val="26"/>
        </w:rPr>
        <w:t xml:space="preserve">la </w:t>
      </w:r>
      <w:r w:rsidR="00F17D36" w:rsidRPr="00F17D36">
        <w:rPr>
          <w:b/>
          <w:i/>
          <w:sz w:val="22"/>
          <w:szCs w:val="26"/>
        </w:rPr>
        <w:t xml:space="preserve">Ley de Fiscalización </w:t>
      </w:r>
      <w:r w:rsidR="00823288">
        <w:rPr>
          <w:b/>
          <w:i/>
          <w:sz w:val="22"/>
          <w:szCs w:val="26"/>
        </w:rPr>
        <w:t>Superior del Estado de Oaxaca</w:t>
      </w:r>
      <w:r>
        <w:rPr>
          <w:i/>
          <w:sz w:val="22"/>
          <w:szCs w:val="26"/>
        </w:rPr>
        <w:t xml:space="preserve"> y demás ordenamientos legales aplicables.</w:t>
      </w:r>
    </w:p>
    <w:p w14:paraId="3139FC85" w14:textId="7D3FEC5E" w:rsidR="004C12BA" w:rsidRDefault="004C12BA" w:rsidP="00634E0F">
      <w:pPr>
        <w:pStyle w:val="corte4fondo"/>
        <w:tabs>
          <w:tab w:val="left" w:pos="709"/>
          <w:tab w:val="left" w:pos="7797"/>
        </w:tabs>
        <w:spacing w:after="240"/>
        <w:ind w:left="709" w:right="757" w:firstLine="0"/>
        <w:rPr>
          <w:i/>
          <w:sz w:val="22"/>
          <w:szCs w:val="26"/>
        </w:rPr>
      </w:pPr>
      <w:r>
        <w:rPr>
          <w:b/>
          <w:i/>
          <w:sz w:val="22"/>
          <w:szCs w:val="26"/>
        </w:rPr>
        <w:t xml:space="preserve">Artículo 12.- </w:t>
      </w:r>
      <w:r>
        <w:rPr>
          <w:i/>
          <w:sz w:val="22"/>
          <w:szCs w:val="26"/>
        </w:rPr>
        <w:t>Corresponde al Titular de la Unidad de Asuntos Jurídicos, las siguientes atribuciones:</w:t>
      </w:r>
    </w:p>
    <w:p w14:paraId="185BE071" w14:textId="11461F24" w:rsidR="004C12BA" w:rsidRPr="004C12BA" w:rsidRDefault="004C12BA" w:rsidP="00634E0F">
      <w:pPr>
        <w:pStyle w:val="corte4fondo"/>
        <w:tabs>
          <w:tab w:val="left" w:pos="709"/>
          <w:tab w:val="left" w:pos="7797"/>
        </w:tabs>
        <w:spacing w:after="240"/>
        <w:ind w:left="709" w:right="757" w:firstLine="0"/>
        <w:rPr>
          <w:i/>
          <w:sz w:val="22"/>
          <w:szCs w:val="26"/>
        </w:rPr>
      </w:pPr>
      <w:r w:rsidRPr="004C12BA">
        <w:rPr>
          <w:i/>
          <w:sz w:val="22"/>
          <w:szCs w:val="26"/>
        </w:rPr>
        <w:t>[…]</w:t>
      </w:r>
    </w:p>
    <w:p w14:paraId="4A2569DD" w14:textId="4BC09BDC" w:rsidR="004C12BA" w:rsidRDefault="004C12BA" w:rsidP="00634E0F">
      <w:pPr>
        <w:pStyle w:val="corte4fondo"/>
        <w:tabs>
          <w:tab w:val="left" w:pos="709"/>
          <w:tab w:val="left" w:pos="7797"/>
        </w:tabs>
        <w:spacing w:after="240"/>
        <w:ind w:left="709" w:right="757" w:firstLine="0"/>
        <w:rPr>
          <w:i/>
          <w:sz w:val="22"/>
          <w:szCs w:val="26"/>
        </w:rPr>
      </w:pPr>
      <w:r>
        <w:rPr>
          <w:i/>
          <w:sz w:val="22"/>
          <w:szCs w:val="26"/>
        </w:rPr>
        <w:t>VIII</w:t>
      </w:r>
      <w:r w:rsidRPr="004C12BA">
        <w:rPr>
          <w:b/>
          <w:i/>
          <w:sz w:val="22"/>
          <w:szCs w:val="26"/>
        </w:rPr>
        <w:t>. Instruir el Procedimiento a que se refiere el Titulo Tercero, Capítulo Tercero de la Ley</w:t>
      </w:r>
      <w:r>
        <w:rPr>
          <w:i/>
          <w:sz w:val="22"/>
          <w:szCs w:val="26"/>
        </w:rPr>
        <w:t>.</w:t>
      </w:r>
    </w:p>
    <w:p w14:paraId="4AF1376B" w14:textId="5AE41AE1" w:rsidR="004C12BA" w:rsidRPr="004C12BA" w:rsidRDefault="006941A0" w:rsidP="006941A0">
      <w:pPr>
        <w:pStyle w:val="corte4fondo"/>
        <w:tabs>
          <w:tab w:val="left" w:pos="709"/>
          <w:tab w:val="left" w:pos="7797"/>
        </w:tabs>
        <w:spacing w:after="240"/>
        <w:ind w:left="709" w:right="757" w:firstLine="0"/>
        <w:rPr>
          <w:i/>
          <w:sz w:val="22"/>
          <w:szCs w:val="26"/>
        </w:rPr>
      </w:pPr>
      <w:r>
        <w:rPr>
          <w:i/>
          <w:sz w:val="22"/>
          <w:szCs w:val="26"/>
        </w:rPr>
        <w:t>[…]</w:t>
      </w:r>
      <w:r w:rsidR="004C12BA">
        <w:rPr>
          <w:i/>
          <w:sz w:val="22"/>
          <w:szCs w:val="26"/>
        </w:rPr>
        <w:t>”</w:t>
      </w:r>
    </w:p>
    <w:p w14:paraId="3E07E012" w14:textId="15D2B659" w:rsidR="002C25B6" w:rsidRPr="002C25B6" w:rsidRDefault="008076CE" w:rsidP="002C25B6">
      <w:pPr>
        <w:pStyle w:val="corte4fondo"/>
        <w:tabs>
          <w:tab w:val="left" w:pos="0"/>
        </w:tabs>
        <w:spacing w:after="240"/>
        <w:ind w:right="51"/>
        <w:rPr>
          <w:sz w:val="28"/>
          <w:szCs w:val="26"/>
        </w:rPr>
      </w:pPr>
      <w:r>
        <w:rPr>
          <w:sz w:val="26"/>
          <w:szCs w:val="26"/>
        </w:rPr>
        <w:t>78</w:t>
      </w:r>
      <w:r w:rsidR="00247307">
        <w:rPr>
          <w:sz w:val="26"/>
          <w:szCs w:val="26"/>
        </w:rPr>
        <w:t xml:space="preserve">. </w:t>
      </w:r>
      <w:r w:rsidR="002C25B6">
        <w:rPr>
          <w:sz w:val="26"/>
          <w:szCs w:val="26"/>
        </w:rPr>
        <w:t>Preceptos legales de los cuales se advierte</w:t>
      </w:r>
      <w:r w:rsidR="00C72FA3">
        <w:rPr>
          <w:sz w:val="26"/>
          <w:szCs w:val="26"/>
        </w:rPr>
        <w:t xml:space="preserve"> en una primera instancia</w:t>
      </w:r>
      <w:r w:rsidR="002C25B6">
        <w:rPr>
          <w:sz w:val="26"/>
          <w:szCs w:val="26"/>
        </w:rPr>
        <w:t xml:space="preserve"> que</w:t>
      </w:r>
      <w:r w:rsidR="00C72FA3">
        <w:rPr>
          <w:sz w:val="26"/>
          <w:szCs w:val="26"/>
        </w:rPr>
        <w:t>,</w:t>
      </w:r>
      <w:r w:rsidR="002C25B6">
        <w:rPr>
          <w:sz w:val="26"/>
          <w:szCs w:val="26"/>
        </w:rPr>
        <w:t xml:space="preserve"> </w:t>
      </w:r>
      <w:r w:rsidR="00C72FA3">
        <w:rPr>
          <w:sz w:val="26"/>
          <w:szCs w:val="26"/>
        </w:rPr>
        <w:t>si bien l</w:t>
      </w:r>
      <w:r w:rsidR="002C25B6">
        <w:rPr>
          <w:sz w:val="26"/>
          <w:szCs w:val="26"/>
        </w:rPr>
        <w:t xml:space="preserve">a </w:t>
      </w:r>
      <w:r w:rsidR="000D7109">
        <w:rPr>
          <w:sz w:val="26"/>
          <w:szCs w:val="26"/>
        </w:rPr>
        <w:t xml:space="preserve">Auditoría </w:t>
      </w:r>
      <w:r w:rsidR="000D7109" w:rsidRPr="002C25B6">
        <w:rPr>
          <w:sz w:val="26"/>
          <w:szCs w:val="26"/>
        </w:rPr>
        <w:t xml:space="preserve">Superior del Estado de Oaxaca </w:t>
      </w:r>
      <w:r w:rsidR="002C25B6" w:rsidRPr="002C25B6">
        <w:rPr>
          <w:sz w:val="26"/>
          <w:szCs w:val="26"/>
        </w:rPr>
        <w:t xml:space="preserve">tiene facultades para determinar los daños, perjuicios o ambos, que afecten las haciendas públicas estatal o municipal, o en su caso, al patrimonio de las entidades fiscalizables, fincar directamente las responsabilidades administrativas resarcitorias y tramitar y resolver el referido procedimiento, de conformidad con lo dispuesto por el artículo 31 fracciones </w:t>
      </w:r>
      <w:r w:rsidR="000D7109">
        <w:rPr>
          <w:sz w:val="26"/>
          <w:szCs w:val="26"/>
        </w:rPr>
        <w:t xml:space="preserve">XXVI y XXI de la </w:t>
      </w:r>
      <w:r w:rsidR="00F17D36" w:rsidRPr="00F17D36">
        <w:rPr>
          <w:i/>
          <w:sz w:val="26"/>
          <w:szCs w:val="26"/>
        </w:rPr>
        <w:t>Ley de Fiscalización 2013</w:t>
      </w:r>
      <w:r w:rsidR="002C25B6">
        <w:rPr>
          <w:sz w:val="26"/>
          <w:szCs w:val="26"/>
        </w:rPr>
        <w:t>.</w:t>
      </w:r>
    </w:p>
    <w:p w14:paraId="6433F9A9" w14:textId="538502D9" w:rsidR="00D83974" w:rsidRDefault="008076CE" w:rsidP="00D83974">
      <w:pPr>
        <w:pStyle w:val="corte4fondo"/>
        <w:tabs>
          <w:tab w:val="left" w:pos="0"/>
        </w:tabs>
        <w:spacing w:after="240"/>
        <w:ind w:right="51"/>
        <w:rPr>
          <w:sz w:val="26"/>
          <w:szCs w:val="26"/>
        </w:rPr>
      </w:pPr>
      <w:r>
        <w:rPr>
          <w:sz w:val="26"/>
          <w:szCs w:val="26"/>
        </w:rPr>
        <w:t>79</w:t>
      </w:r>
      <w:r w:rsidR="002C25B6">
        <w:rPr>
          <w:sz w:val="26"/>
          <w:szCs w:val="26"/>
        </w:rPr>
        <w:t xml:space="preserve">. </w:t>
      </w:r>
      <w:r w:rsidR="00C72FA3">
        <w:rPr>
          <w:sz w:val="26"/>
          <w:szCs w:val="26"/>
        </w:rPr>
        <w:t>T</w:t>
      </w:r>
      <w:r w:rsidR="002C25B6">
        <w:rPr>
          <w:sz w:val="26"/>
          <w:szCs w:val="26"/>
        </w:rPr>
        <w:t xml:space="preserve">ambién </w:t>
      </w:r>
      <w:r w:rsidR="00C72FA3">
        <w:rPr>
          <w:sz w:val="26"/>
          <w:szCs w:val="26"/>
        </w:rPr>
        <w:t>es cierto que, posterior a un</w:t>
      </w:r>
      <w:r w:rsidR="002C25B6">
        <w:rPr>
          <w:sz w:val="26"/>
          <w:szCs w:val="26"/>
        </w:rPr>
        <w:t xml:space="preserve"> análisis efectuado a la </w:t>
      </w:r>
      <w:r w:rsidR="00F17D36" w:rsidRPr="00F17D36">
        <w:rPr>
          <w:i/>
          <w:sz w:val="26"/>
          <w:szCs w:val="26"/>
        </w:rPr>
        <w:t>Ley de Fiscalización 2013</w:t>
      </w:r>
      <w:r w:rsidR="002C25B6">
        <w:rPr>
          <w:sz w:val="26"/>
          <w:szCs w:val="26"/>
        </w:rPr>
        <w:t xml:space="preserve"> (normatividad empleada </w:t>
      </w:r>
      <w:r w:rsidR="00C72FA3">
        <w:rPr>
          <w:sz w:val="26"/>
          <w:szCs w:val="26"/>
        </w:rPr>
        <w:t xml:space="preserve">por la autoridad demandada </w:t>
      </w:r>
      <w:r w:rsidR="002C25B6">
        <w:rPr>
          <w:sz w:val="26"/>
          <w:szCs w:val="26"/>
        </w:rPr>
        <w:t xml:space="preserve">para resolver el procedimiento para el fincamiento de responsabilidad administrativa resarcitoria </w:t>
      </w:r>
      <w:r w:rsidR="002C25B6">
        <w:rPr>
          <w:b/>
          <w:sz w:val="26"/>
          <w:szCs w:val="26"/>
        </w:rPr>
        <w:t>ASE/UAJ/P.R./004/2016</w:t>
      </w:r>
      <w:r w:rsidR="002C25B6">
        <w:rPr>
          <w:sz w:val="26"/>
          <w:szCs w:val="26"/>
        </w:rPr>
        <w:t xml:space="preserve">), se advierte que conforme </w:t>
      </w:r>
      <w:r w:rsidR="00C72FA3">
        <w:rPr>
          <w:sz w:val="26"/>
          <w:szCs w:val="26"/>
        </w:rPr>
        <w:t>a</w:t>
      </w:r>
      <w:r w:rsidR="002C25B6">
        <w:rPr>
          <w:sz w:val="26"/>
          <w:szCs w:val="26"/>
        </w:rPr>
        <w:t xml:space="preserve"> lo dispuesto </w:t>
      </w:r>
      <w:r w:rsidR="00C72FA3">
        <w:rPr>
          <w:sz w:val="26"/>
          <w:szCs w:val="26"/>
        </w:rPr>
        <w:t>en la fracción X y último párrafo del artículo 63, corresponde al Titular de la Auditoría Superior del Estado de Oaxaca, ejercer las atribuciones que corresponden a la Auditoría, en los términos precisados en la Constitución Local, la referida Ley de Fiscalización</w:t>
      </w:r>
      <w:r w:rsidR="00823288">
        <w:rPr>
          <w:sz w:val="26"/>
          <w:szCs w:val="26"/>
        </w:rPr>
        <w:t xml:space="preserve"> 2013</w:t>
      </w:r>
      <w:r w:rsidR="00C72FA3">
        <w:rPr>
          <w:sz w:val="26"/>
          <w:szCs w:val="26"/>
        </w:rPr>
        <w:t xml:space="preserve"> y demás disposiciones aplicables</w:t>
      </w:r>
      <w:r w:rsidR="0055096D">
        <w:rPr>
          <w:sz w:val="26"/>
          <w:szCs w:val="26"/>
        </w:rPr>
        <w:t>.</w:t>
      </w:r>
    </w:p>
    <w:p w14:paraId="3F03229C" w14:textId="0DE42AE9" w:rsidR="0055096D" w:rsidRDefault="008076CE" w:rsidP="00D83974">
      <w:pPr>
        <w:pStyle w:val="corte4fondo"/>
        <w:tabs>
          <w:tab w:val="left" w:pos="0"/>
        </w:tabs>
        <w:spacing w:after="240"/>
        <w:ind w:right="51"/>
        <w:rPr>
          <w:sz w:val="26"/>
          <w:szCs w:val="26"/>
        </w:rPr>
      </w:pPr>
      <w:r>
        <w:rPr>
          <w:sz w:val="26"/>
          <w:szCs w:val="26"/>
        </w:rPr>
        <w:t>80</w:t>
      </w:r>
      <w:r w:rsidR="0055096D">
        <w:rPr>
          <w:sz w:val="26"/>
          <w:szCs w:val="26"/>
        </w:rPr>
        <w:t>. Facultad que acorde con el último párrafo del referido artículo 63, no es delegable, tal como se advierte del referido precepto legal, mismo que se transcribe para una mejor ilustración:</w:t>
      </w:r>
    </w:p>
    <w:p w14:paraId="29765FEF" w14:textId="4EA2A1C0" w:rsidR="0055096D" w:rsidRDefault="0055096D" w:rsidP="0055096D">
      <w:pPr>
        <w:pStyle w:val="corte4fondo"/>
        <w:tabs>
          <w:tab w:val="left" w:pos="709"/>
        </w:tabs>
        <w:spacing w:after="240"/>
        <w:ind w:left="709" w:right="757" w:firstLine="0"/>
        <w:jc w:val="center"/>
        <w:rPr>
          <w:b/>
          <w:i/>
          <w:sz w:val="22"/>
          <w:szCs w:val="22"/>
        </w:rPr>
      </w:pPr>
      <w:proofErr w:type="gramStart"/>
      <w:r w:rsidRPr="0055096D">
        <w:rPr>
          <w:b/>
          <w:i/>
          <w:sz w:val="22"/>
          <w:szCs w:val="22"/>
        </w:rPr>
        <w:t>”</w:t>
      </w:r>
      <w:r w:rsidR="00F17D36" w:rsidRPr="00F17D36">
        <w:rPr>
          <w:b/>
          <w:i/>
          <w:sz w:val="22"/>
          <w:szCs w:val="22"/>
        </w:rPr>
        <w:t>Ley</w:t>
      </w:r>
      <w:proofErr w:type="gramEnd"/>
      <w:r w:rsidR="00F17D36" w:rsidRPr="00F17D36">
        <w:rPr>
          <w:b/>
          <w:i/>
          <w:sz w:val="22"/>
          <w:szCs w:val="22"/>
        </w:rPr>
        <w:t xml:space="preserve"> de Fiscalización 2013</w:t>
      </w:r>
    </w:p>
    <w:p w14:paraId="0D7CDA4C" w14:textId="7AE73B82" w:rsidR="0055096D" w:rsidRDefault="0055096D" w:rsidP="0055096D">
      <w:pPr>
        <w:pStyle w:val="corte4fondo"/>
        <w:tabs>
          <w:tab w:val="left" w:pos="709"/>
        </w:tabs>
        <w:spacing w:after="240"/>
        <w:ind w:left="709" w:right="757" w:firstLine="0"/>
        <w:rPr>
          <w:i/>
          <w:sz w:val="22"/>
          <w:szCs w:val="22"/>
        </w:rPr>
      </w:pPr>
      <w:r w:rsidRPr="0055096D">
        <w:rPr>
          <w:b/>
          <w:i/>
          <w:sz w:val="22"/>
          <w:szCs w:val="22"/>
        </w:rPr>
        <w:lastRenderedPageBreak/>
        <w:t xml:space="preserve">Artículo 63.- </w:t>
      </w:r>
      <w:r>
        <w:rPr>
          <w:i/>
          <w:sz w:val="22"/>
          <w:szCs w:val="22"/>
        </w:rPr>
        <w:t>El Auditor Superior tendrá las siguientes atribuciones:</w:t>
      </w:r>
    </w:p>
    <w:p w14:paraId="13E2E244" w14:textId="7016691A" w:rsidR="0055096D" w:rsidRPr="0055096D" w:rsidRDefault="0055096D" w:rsidP="0055096D">
      <w:pPr>
        <w:pStyle w:val="corte4fondo"/>
        <w:tabs>
          <w:tab w:val="left" w:pos="709"/>
        </w:tabs>
        <w:spacing w:after="240"/>
        <w:ind w:left="709" w:right="757" w:firstLine="0"/>
        <w:rPr>
          <w:i/>
          <w:sz w:val="22"/>
          <w:szCs w:val="22"/>
        </w:rPr>
      </w:pPr>
      <w:r w:rsidRPr="0055096D">
        <w:rPr>
          <w:i/>
          <w:sz w:val="22"/>
          <w:szCs w:val="22"/>
        </w:rPr>
        <w:t>[…]</w:t>
      </w:r>
    </w:p>
    <w:p w14:paraId="26CAEE54" w14:textId="636DFF3C" w:rsidR="0055096D" w:rsidRDefault="0055096D" w:rsidP="0055096D">
      <w:pPr>
        <w:pStyle w:val="corte4fondo"/>
        <w:tabs>
          <w:tab w:val="left" w:pos="709"/>
        </w:tabs>
        <w:spacing w:after="240"/>
        <w:ind w:left="709" w:right="757" w:firstLine="0"/>
        <w:rPr>
          <w:i/>
          <w:sz w:val="22"/>
          <w:szCs w:val="22"/>
        </w:rPr>
      </w:pPr>
      <w:r>
        <w:rPr>
          <w:i/>
          <w:sz w:val="22"/>
          <w:szCs w:val="22"/>
        </w:rPr>
        <w:t>X.</w:t>
      </w:r>
      <w:r>
        <w:rPr>
          <w:i/>
          <w:sz w:val="22"/>
          <w:szCs w:val="22"/>
        </w:rPr>
        <w:tab/>
        <w:t>Ejercer las Atribuciones que corresponden a la Auditoría, en los términos de la Constitución Local, la presente Ley y demás disposiciones aplicables;</w:t>
      </w:r>
    </w:p>
    <w:p w14:paraId="0DE57DA3" w14:textId="7E0BF792" w:rsidR="0055096D" w:rsidRDefault="0055096D" w:rsidP="0055096D">
      <w:pPr>
        <w:pStyle w:val="corte4fondo"/>
        <w:tabs>
          <w:tab w:val="left" w:pos="709"/>
        </w:tabs>
        <w:spacing w:after="240"/>
        <w:ind w:left="709" w:right="757" w:firstLine="0"/>
        <w:rPr>
          <w:i/>
          <w:sz w:val="22"/>
          <w:szCs w:val="22"/>
        </w:rPr>
      </w:pPr>
      <w:r>
        <w:rPr>
          <w:i/>
          <w:sz w:val="22"/>
          <w:szCs w:val="22"/>
        </w:rPr>
        <w:t>[…]</w:t>
      </w:r>
    </w:p>
    <w:p w14:paraId="2C259187" w14:textId="44C92D6F" w:rsidR="0055096D" w:rsidRDefault="0055096D" w:rsidP="0055096D">
      <w:pPr>
        <w:pStyle w:val="corte4fondo"/>
        <w:tabs>
          <w:tab w:val="left" w:pos="709"/>
        </w:tabs>
        <w:spacing w:after="240"/>
        <w:ind w:left="709" w:right="757" w:firstLine="0"/>
        <w:rPr>
          <w:i/>
          <w:sz w:val="22"/>
          <w:szCs w:val="22"/>
        </w:rPr>
      </w:pPr>
      <w:r>
        <w:rPr>
          <w:i/>
          <w:sz w:val="22"/>
          <w:szCs w:val="22"/>
        </w:rPr>
        <w:t xml:space="preserve">Las atribuciones previstas en las fracciones II, IV, V, VII, VIII, IX, </w:t>
      </w:r>
      <w:r w:rsidRPr="00EE1E42">
        <w:rPr>
          <w:b/>
          <w:i/>
          <w:sz w:val="22"/>
          <w:szCs w:val="22"/>
        </w:rPr>
        <w:t>X</w:t>
      </w:r>
      <w:r>
        <w:rPr>
          <w:i/>
          <w:sz w:val="22"/>
          <w:szCs w:val="22"/>
        </w:rPr>
        <w:t>, XI, XII, XIII, XV, XVI y XVII, son del ejercicio directo del Auditor Superior y por tanto no podrán ser delegadas.”</w:t>
      </w:r>
    </w:p>
    <w:p w14:paraId="274B7F70" w14:textId="2171E4E6" w:rsidR="00004D21" w:rsidRPr="00004D21" w:rsidRDefault="008076CE" w:rsidP="00004D21">
      <w:pPr>
        <w:pStyle w:val="corte4fondo"/>
        <w:tabs>
          <w:tab w:val="left" w:pos="0"/>
        </w:tabs>
        <w:spacing w:after="240"/>
        <w:ind w:right="51"/>
        <w:rPr>
          <w:sz w:val="26"/>
          <w:szCs w:val="26"/>
        </w:rPr>
      </w:pPr>
      <w:r>
        <w:rPr>
          <w:sz w:val="26"/>
          <w:szCs w:val="26"/>
        </w:rPr>
        <w:t>81</w:t>
      </w:r>
      <w:r w:rsidR="0055096D">
        <w:rPr>
          <w:sz w:val="26"/>
          <w:szCs w:val="26"/>
        </w:rPr>
        <w:t xml:space="preserve">. Aunado a lo antes expuesto, se advierte que si bien el artículo 12 fracción VIII del Reglamento Interior de la Auditoría Superior para el Estado </w:t>
      </w:r>
      <w:r w:rsidR="00004D21">
        <w:rPr>
          <w:sz w:val="26"/>
          <w:szCs w:val="26"/>
        </w:rPr>
        <w:t xml:space="preserve">de Oaxaca, faculta al Titular de la Unidad de Asuntos Jurídicos para </w:t>
      </w:r>
      <w:r w:rsidR="00004D21" w:rsidRPr="00004D21">
        <w:rPr>
          <w:sz w:val="26"/>
          <w:szCs w:val="26"/>
        </w:rPr>
        <w:t>Instruir el Procedimiento a que se refiere el Titulo Tercero, Capítulo Tercero de la Ley</w:t>
      </w:r>
      <w:r w:rsidR="00004D21">
        <w:rPr>
          <w:sz w:val="26"/>
          <w:szCs w:val="26"/>
        </w:rPr>
        <w:t xml:space="preserve">, del análisis que se haga a los artículos 1 y 2 fracción II del Reglamento antes mencionado, se advierte que dicho procedimiento hace alusión a la </w:t>
      </w:r>
      <w:r w:rsidR="00F17D36" w:rsidRPr="00F17D36">
        <w:rPr>
          <w:i/>
          <w:sz w:val="26"/>
          <w:szCs w:val="26"/>
        </w:rPr>
        <w:t>Ley de Fiscalización 2008</w:t>
      </w:r>
      <w:r w:rsidR="00004D21">
        <w:rPr>
          <w:sz w:val="26"/>
          <w:szCs w:val="26"/>
        </w:rPr>
        <w:t>, preceptos legales que se transcriben para una mejor comprensión:</w:t>
      </w:r>
    </w:p>
    <w:p w14:paraId="04501AFD" w14:textId="69EDCA0E" w:rsidR="00004D21" w:rsidRDefault="00004D21" w:rsidP="00004D21">
      <w:pPr>
        <w:pStyle w:val="corte4fondo"/>
        <w:tabs>
          <w:tab w:val="left" w:pos="709"/>
          <w:tab w:val="left" w:pos="7797"/>
        </w:tabs>
        <w:spacing w:after="240"/>
        <w:ind w:left="709" w:right="757" w:firstLine="0"/>
        <w:jc w:val="center"/>
        <w:rPr>
          <w:b/>
          <w:i/>
          <w:sz w:val="22"/>
          <w:szCs w:val="26"/>
        </w:rPr>
      </w:pPr>
      <w:r>
        <w:rPr>
          <w:b/>
          <w:i/>
          <w:sz w:val="22"/>
          <w:szCs w:val="26"/>
        </w:rPr>
        <w:t>“</w:t>
      </w:r>
      <w:r w:rsidR="00F17D36" w:rsidRPr="00F17D36">
        <w:rPr>
          <w:b/>
          <w:i/>
          <w:sz w:val="22"/>
          <w:szCs w:val="26"/>
        </w:rPr>
        <w:t>Reglamento</w:t>
      </w:r>
      <w:r>
        <w:rPr>
          <w:b/>
          <w:i/>
          <w:sz w:val="22"/>
          <w:szCs w:val="26"/>
        </w:rPr>
        <w:t>.</w:t>
      </w:r>
    </w:p>
    <w:p w14:paraId="1027FB88" w14:textId="54905078" w:rsidR="00004D21" w:rsidRDefault="00004D21" w:rsidP="00004D21">
      <w:pPr>
        <w:pStyle w:val="corte4fondo"/>
        <w:tabs>
          <w:tab w:val="left" w:pos="709"/>
          <w:tab w:val="left" w:pos="7797"/>
        </w:tabs>
        <w:spacing w:after="240"/>
        <w:ind w:left="709" w:right="757" w:firstLine="0"/>
        <w:rPr>
          <w:i/>
          <w:sz w:val="22"/>
          <w:szCs w:val="26"/>
        </w:rPr>
      </w:pPr>
      <w:r>
        <w:rPr>
          <w:b/>
          <w:i/>
          <w:sz w:val="22"/>
          <w:szCs w:val="26"/>
        </w:rPr>
        <w:t xml:space="preserve">Artículo 1.- </w:t>
      </w:r>
      <w:r>
        <w:rPr>
          <w:i/>
          <w:sz w:val="22"/>
          <w:szCs w:val="26"/>
        </w:rPr>
        <w:t xml:space="preserve">La Auditoría Superior del Estado de Oaxaca es el órgano técnico del Congreso del Estado de Oaxaca que tiene a su cargo la fiscalización de los informes de avance de gestión y de las cuentas públicas, así como las demás funciones que expresamente le encomiende la </w:t>
      </w:r>
      <w:r w:rsidR="00F17D36" w:rsidRPr="00F17D36">
        <w:rPr>
          <w:i/>
          <w:sz w:val="22"/>
          <w:szCs w:val="26"/>
        </w:rPr>
        <w:t>Constitución Local</w:t>
      </w:r>
      <w:r>
        <w:rPr>
          <w:i/>
          <w:sz w:val="22"/>
          <w:szCs w:val="26"/>
        </w:rPr>
        <w:t xml:space="preserve">, </w:t>
      </w:r>
      <w:r>
        <w:rPr>
          <w:b/>
          <w:i/>
          <w:sz w:val="22"/>
          <w:szCs w:val="26"/>
        </w:rPr>
        <w:t xml:space="preserve">la </w:t>
      </w:r>
      <w:r w:rsidR="00F17D36" w:rsidRPr="00F17D36">
        <w:rPr>
          <w:b/>
          <w:i/>
          <w:sz w:val="22"/>
          <w:szCs w:val="26"/>
        </w:rPr>
        <w:t xml:space="preserve">Ley de Fiscalización </w:t>
      </w:r>
      <w:r w:rsidR="008076CE">
        <w:rPr>
          <w:b/>
          <w:i/>
          <w:sz w:val="22"/>
          <w:szCs w:val="26"/>
        </w:rPr>
        <w:t>Superior del Estado de Oaxaca</w:t>
      </w:r>
      <w:r>
        <w:rPr>
          <w:i/>
          <w:sz w:val="22"/>
          <w:szCs w:val="26"/>
        </w:rPr>
        <w:t xml:space="preserve"> y demás ordenamientos legales aplicables.</w:t>
      </w:r>
    </w:p>
    <w:p w14:paraId="7E7DB5D1" w14:textId="77777777" w:rsidR="00004D21" w:rsidRPr="00004D21" w:rsidRDefault="00004D21" w:rsidP="00004D21">
      <w:pPr>
        <w:pStyle w:val="corte4fondo"/>
        <w:tabs>
          <w:tab w:val="left" w:pos="709"/>
          <w:tab w:val="left" w:pos="7797"/>
        </w:tabs>
        <w:spacing w:after="240"/>
        <w:ind w:left="709" w:right="757" w:firstLine="0"/>
        <w:rPr>
          <w:i/>
          <w:sz w:val="22"/>
          <w:szCs w:val="22"/>
        </w:rPr>
      </w:pPr>
      <w:r w:rsidRPr="00004D21">
        <w:rPr>
          <w:b/>
          <w:i/>
          <w:sz w:val="22"/>
          <w:szCs w:val="26"/>
        </w:rPr>
        <w:t>Artículo 2.-</w:t>
      </w:r>
      <w:r>
        <w:rPr>
          <w:b/>
          <w:i/>
          <w:sz w:val="22"/>
          <w:szCs w:val="26"/>
        </w:rPr>
        <w:t xml:space="preserve"> </w:t>
      </w:r>
      <w:r w:rsidRPr="00004D21">
        <w:rPr>
          <w:i/>
          <w:sz w:val="22"/>
          <w:szCs w:val="22"/>
        </w:rPr>
        <w:t xml:space="preserve">El presente Reglamento tiene por objeto regular la organización y funcionamiento de la Auditoria, así como distribuir las atribuciones a las unidades administrativas y titulares de la misma. </w:t>
      </w:r>
    </w:p>
    <w:p w14:paraId="5E018371" w14:textId="77777777" w:rsidR="00004D21" w:rsidRPr="00004D21" w:rsidRDefault="00004D21" w:rsidP="00004D21">
      <w:pPr>
        <w:pStyle w:val="corte4fondo"/>
        <w:tabs>
          <w:tab w:val="left" w:pos="709"/>
          <w:tab w:val="left" w:pos="7797"/>
        </w:tabs>
        <w:spacing w:after="240"/>
        <w:ind w:left="709" w:right="757" w:firstLine="0"/>
        <w:rPr>
          <w:i/>
          <w:sz w:val="22"/>
          <w:szCs w:val="22"/>
        </w:rPr>
      </w:pPr>
      <w:r w:rsidRPr="00004D21">
        <w:rPr>
          <w:i/>
          <w:sz w:val="22"/>
          <w:szCs w:val="22"/>
        </w:rPr>
        <w:t xml:space="preserve">Para efectos del presente Reglamento Interior, se entenderá por: </w:t>
      </w:r>
    </w:p>
    <w:p w14:paraId="3CFD9136" w14:textId="77777777" w:rsidR="00004D21" w:rsidRPr="00004D21" w:rsidRDefault="00004D21" w:rsidP="00004D21">
      <w:pPr>
        <w:pStyle w:val="corte4fondo"/>
        <w:tabs>
          <w:tab w:val="left" w:pos="709"/>
          <w:tab w:val="left" w:pos="7797"/>
        </w:tabs>
        <w:spacing w:after="240"/>
        <w:ind w:left="709" w:right="757" w:firstLine="0"/>
        <w:rPr>
          <w:i/>
          <w:sz w:val="22"/>
          <w:szCs w:val="22"/>
        </w:rPr>
      </w:pPr>
      <w:r w:rsidRPr="00004D21">
        <w:rPr>
          <w:i/>
          <w:sz w:val="22"/>
          <w:szCs w:val="22"/>
        </w:rPr>
        <w:t>[…]</w:t>
      </w:r>
    </w:p>
    <w:p w14:paraId="4243405C" w14:textId="6E03B02C" w:rsidR="00004D21" w:rsidRPr="00004D21" w:rsidRDefault="00004D21" w:rsidP="00004D21">
      <w:pPr>
        <w:pStyle w:val="corte4fondo"/>
        <w:tabs>
          <w:tab w:val="left" w:pos="709"/>
          <w:tab w:val="left" w:pos="7797"/>
        </w:tabs>
        <w:spacing w:after="240"/>
        <w:ind w:left="709" w:right="757" w:firstLine="0"/>
        <w:rPr>
          <w:i/>
          <w:sz w:val="22"/>
          <w:szCs w:val="22"/>
        </w:rPr>
      </w:pPr>
      <w:r w:rsidRPr="00004D21">
        <w:rPr>
          <w:i/>
          <w:sz w:val="22"/>
          <w:szCs w:val="22"/>
        </w:rPr>
        <w:t>II</w:t>
      </w:r>
      <w:r w:rsidRPr="00004D21">
        <w:rPr>
          <w:b/>
          <w:i/>
          <w:sz w:val="22"/>
          <w:szCs w:val="22"/>
        </w:rPr>
        <w:t xml:space="preserve">. Ley: </w:t>
      </w:r>
      <w:r w:rsidR="008076CE">
        <w:rPr>
          <w:b/>
          <w:i/>
          <w:sz w:val="22"/>
          <w:szCs w:val="22"/>
        </w:rPr>
        <w:t>Ley de Fiscalización Superior del Estado de Oaxaca</w:t>
      </w:r>
      <w:r w:rsidRPr="00004D21">
        <w:rPr>
          <w:i/>
          <w:sz w:val="22"/>
          <w:szCs w:val="22"/>
        </w:rPr>
        <w:t>;</w:t>
      </w:r>
    </w:p>
    <w:p w14:paraId="3D233AF2" w14:textId="42571306" w:rsidR="00004D21" w:rsidRPr="00004D21" w:rsidRDefault="00004D21" w:rsidP="00004D21">
      <w:pPr>
        <w:pStyle w:val="corte4fondo"/>
        <w:tabs>
          <w:tab w:val="left" w:pos="709"/>
          <w:tab w:val="left" w:pos="7797"/>
        </w:tabs>
        <w:spacing w:after="240"/>
        <w:ind w:left="709" w:right="757" w:firstLine="0"/>
        <w:rPr>
          <w:i/>
          <w:sz w:val="22"/>
          <w:szCs w:val="22"/>
        </w:rPr>
      </w:pPr>
      <w:r w:rsidRPr="00004D21">
        <w:rPr>
          <w:i/>
          <w:sz w:val="22"/>
          <w:szCs w:val="22"/>
        </w:rPr>
        <w:t>[…]</w:t>
      </w:r>
    </w:p>
    <w:p w14:paraId="68E95CE8" w14:textId="77777777" w:rsidR="00004D21" w:rsidRDefault="00004D21" w:rsidP="00004D21">
      <w:pPr>
        <w:pStyle w:val="corte4fondo"/>
        <w:tabs>
          <w:tab w:val="left" w:pos="709"/>
          <w:tab w:val="left" w:pos="7797"/>
        </w:tabs>
        <w:spacing w:after="240"/>
        <w:ind w:left="709" w:right="757" w:firstLine="0"/>
        <w:rPr>
          <w:i/>
          <w:sz w:val="22"/>
          <w:szCs w:val="26"/>
        </w:rPr>
      </w:pPr>
      <w:r>
        <w:rPr>
          <w:b/>
          <w:i/>
          <w:sz w:val="22"/>
          <w:szCs w:val="26"/>
        </w:rPr>
        <w:t xml:space="preserve">Artículo 12.- </w:t>
      </w:r>
      <w:r>
        <w:rPr>
          <w:i/>
          <w:sz w:val="22"/>
          <w:szCs w:val="26"/>
        </w:rPr>
        <w:t>Corresponde al Titular de la Unidad de Asuntos Jurídicos, las siguientes atribuciones:</w:t>
      </w:r>
    </w:p>
    <w:p w14:paraId="5B9E1B94" w14:textId="77777777" w:rsidR="00004D21" w:rsidRPr="004C12BA" w:rsidRDefault="00004D21" w:rsidP="00004D21">
      <w:pPr>
        <w:pStyle w:val="corte4fondo"/>
        <w:tabs>
          <w:tab w:val="left" w:pos="709"/>
          <w:tab w:val="left" w:pos="7797"/>
        </w:tabs>
        <w:spacing w:after="240"/>
        <w:ind w:left="709" w:right="757" w:firstLine="0"/>
        <w:rPr>
          <w:i/>
          <w:sz w:val="22"/>
          <w:szCs w:val="26"/>
        </w:rPr>
      </w:pPr>
      <w:r w:rsidRPr="004C12BA">
        <w:rPr>
          <w:i/>
          <w:sz w:val="22"/>
          <w:szCs w:val="26"/>
        </w:rPr>
        <w:lastRenderedPageBreak/>
        <w:t>[…]</w:t>
      </w:r>
    </w:p>
    <w:p w14:paraId="5B94DACD" w14:textId="77777777" w:rsidR="00004D21" w:rsidRDefault="00004D21" w:rsidP="00004D21">
      <w:pPr>
        <w:pStyle w:val="corte4fondo"/>
        <w:tabs>
          <w:tab w:val="left" w:pos="709"/>
          <w:tab w:val="left" w:pos="7797"/>
        </w:tabs>
        <w:spacing w:after="240"/>
        <w:ind w:left="709" w:right="757" w:firstLine="0"/>
        <w:rPr>
          <w:i/>
          <w:sz w:val="22"/>
          <w:szCs w:val="26"/>
        </w:rPr>
      </w:pPr>
      <w:r>
        <w:rPr>
          <w:i/>
          <w:sz w:val="22"/>
          <w:szCs w:val="26"/>
        </w:rPr>
        <w:t>VIII</w:t>
      </w:r>
      <w:r w:rsidRPr="004C12BA">
        <w:rPr>
          <w:b/>
          <w:i/>
          <w:sz w:val="22"/>
          <w:szCs w:val="26"/>
        </w:rPr>
        <w:t>. Instruir el Procedimiento a que se refiere el Titulo Tercero, Capítulo Tercero de la Ley</w:t>
      </w:r>
      <w:r>
        <w:rPr>
          <w:i/>
          <w:sz w:val="22"/>
          <w:szCs w:val="26"/>
        </w:rPr>
        <w:t>.</w:t>
      </w:r>
    </w:p>
    <w:p w14:paraId="789AC2BC" w14:textId="77777777" w:rsidR="00004D21" w:rsidRDefault="00004D21" w:rsidP="00004D21">
      <w:pPr>
        <w:pStyle w:val="corte4fondo"/>
        <w:tabs>
          <w:tab w:val="left" w:pos="709"/>
          <w:tab w:val="left" w:pos="7797"/>
        </w:tabs>
        <w:spacing w:after="240"/>
        <w:ind w:left="709" w:right="757" w:firstLine="0"/>
        <w:rPr>
          <w:i/>
          <w:sz w:val="22"/>
          <w:szCs w:val="26"/>
        </w:rPr>
      </w:pPr>
      <w:r>
        <w:rPr>
          <w:i/>
          <w:sz w:val="22"/>
          <w:szCs w:val="26"/>
        </w:rPr>
        <w:t>[…]</w:t>
      </w:r>
    </w:p>
    <w:p w14:paraId="38A07FB2" w14:textId="79694797" w:rsidR="000D7109" w:rsidRDefault="008076CE" w:rsidP="00D83974">
      <w:pPr>
        <w:pStyle w:val="corte4fondo"/>
        <w:tabs>
          <w:tab w:val="left" w:pos="0"/>
        </w:tabs>
        <w:spacing w:after="240"/>
        <w:ind w:right="51"/>
        <w:rPr>
          <w:sz w:val="26"/>
          <w:szCs w:val="26"/>
        </w:rPr>
      </w:pPr>
      <w:r>
        <w:rPr>
          <w:sz w:val="26"/>
          <w:szCs w:val="26"/>
        </w:rPr>
        <w:t>82</w:t>
      </w:r>
      <w:r w:rsidR="00004D21">
        <w:rPr>
          <w:sz w:val="26"/>
          <w:szCs w:val="26"/>
        </w:rPr>
        <w:t>. Normatividad que fue abrogada mediante Decreto 2037 publicado en el Periódico Oficial del Gobierno del Estado el 30 de agosto de 2013, cuyo artículo Segundo Transitorio dispone textualmente:</w:t>
      </w:r>
    </w:p>
    <w:p w14:paraId="3BFE30E9" w14:textId="77777777" w:rsidR="006941A0" w:rsidRDefault="006941A0" w:rsidP="006941A0">
      <w:pPr>
        <w:pStyle w:val="corte4fondo"/>
        <w:tabs>
          <w:tab w:val="left" w:pos="709"/>
        </w:tabs>
        <w:spacing w:after="240"/>
        <w:ind w:left="709" w:right="757" w:firstLine="0"/>
        <w:rPr>
          <w:i/>
          <w:sz w:val="22"/>
          <w:szCs w:val="22"/>
        </w:rPr>
      </w:pPr>
      <w:r w:rsidRPr="006941A0">
        <w:rPr>
          <w:b/>
          <w:i/>
          <w:sz w:val="22"/>
          <w:szCs w:val="22"/>
        </w:rPr>
        <w:t>DECRETO NÚMERO 2037 PPOE EXTRA DE 30 DE AGOSTO DE 2013</w:t>
      </w:r>
      <w:r>
        <w:rPr>
          <w:i/>
          <w:sz w:val="22"/>
          <w:szCs w:val="22"/>
        </w:rPr>
        <w:t>.</w:t>
      </w:r>
    </w:p>
    <w:p w14:paraId="0B29FD5A" w14:textId="77777777" w:rsidR="006941A0" w:rsidRDefault="006941A0" w:rsidP="006941A0">
      <w:pPr>
        <w:pStyle w:val="corte4fondo"/>
        <w:tabs>
          <w:tab w:val="left" w:pos="709"/>
        </w:tabs>
        <w:spacing w:after="240"/>
        <w:ind w:left="709" w:right="757" w:firstLine="0"/>
        <w:rPr>
          <w:i/>
          <w:sz w:val="22"/>
          <w:szCs w:val="22"/>
        </w:rPr>
      </w:pPr>
      <w:r>
        <w:rPr>
          <w:i/>
          <w:sz w:val="22"/>
          <w:szCs w:val="22"/>
        </w:rPr>
        <w:t>[…]</w:t>
      </w:r>
    </w:p>
    <w:p w14:paraId="71C4FFEF" w14:textId="6D82C3A5" w:rsidR="000D7109" w:rsidRDefault="006941A0" w:rsidP="006941A0">
      <w:pPr>
        <w:pStyle w:val="corte4fondo"/>
        <w:tabs>
          <w:tab w:val="left" w:pos="709"/>
        </w:tabs>
        <w:spacing w:after="240"/>
        <w:ind w:left="709" w:right="757" w:firstLine="0"/>
        <w:rPr>
          <w:i/>
          <w:sz w:val="22"/>
          <w:szCs w:val="22"/>
        </w:rPr>
      </w:pPr>
      <w:proofErr w:type="gramStart"/>
      <w:r w:rsidRPr="006941A0">
        <w:rPr>
          <w:b/>
          <w:i/>
          <w:sz w:val="22"/>
          <w:szCs w:val="22"/>
        </w:rPr>
        <w:t>SEGUNDO.-</w:t>
      </w:r>
      <w:proofErr w:type="gramEnd"/>
      <w:r w:rsidRPr="006941A0">
        <w:rPr>
          <w:i/>
          <w:sz w:val="22"/>
          <w:szCs w:val="22"/>
        </w:rPr>
        <w:t xml:space="preserve"> Se </w:t>
      </w:r>
      <w:r w:rsidRPr="00EE1E42">
        <w:rPr>
          <w:b/>
          <w:i/>
          <w:sz w:val="22"/>
          <w:szCs w:val="22"/>
        </w:rPr>
        <w:t xml:space="preserve">abroga la </w:t>
      </w:r>
      <w:r w:rsidR="00F17D36" w:rsidRPr="00F17D36">
        <w:rPr>
          <w:b/>
          <w:i/>
          <w:sz w:val="22"/>
          <w:szCs w:val="22"/>
        </w:rPr>
        <w:t xml:space="preserve">Ley de Fiscalización </w:t>
      </w:r>
      <w:r w:rsidR="008076CE">
        <w:rPr>
          <w:b/>
          <w:i/>
          <w:sz w:val="22"/>
          <w:szCs w:val="22"/>
        </w:rPr>
        <w:t>Superior del Estado de Oaxaca</w:t>
      </w:r>
      <w:r w:rsidRPr="006941A0">
        <w:rPr>
          <w:i/>
          <w:sz w:val="22"/>
          <w:szCs w:val="22"/>
        </w:rPr>
        <w:t>, publicada en el Periódico Oficial del Gobierno del Estado de Oaxaca, mediante Decreto 606, de fecha 23 de abril de 2008.</w:t>
      </w:r>
    </w:p>
    <w:p w14:paraId="63D150B8" w14:textId="6D1D4BA9" w:rsidR="006941A0" w:rsidRPr="006941A0" w:rsidRDefault="006941A0" w:rsidP="006941A0">
      <w:pPr>
        <w:pStyle w:val="corte4fondo"/>
        <w:tabs>
          <w:tab w:val="left" w:pos="709"/>
        </w:tabs>
        <w:spacing w:after="240"/>
        <w:ind w:left="709" w:right="757" w:firstLine="0"/>
        <w:rPr>
          <w:i/>
          <w:sz w:val="22"/>
          <w:szCs w:val="22"/>
        </w:rPr>
      </w:pPr>
      <w:r>
        <w:rPr>
          <w:i/>
          <w:sz w:val="22"/>
          <w:szCs w:val="22"/>
        </w:rPr>
        <w:t>[…]”</w:t>
      </w:r>
    </w:p>
    <w:p w14:paraId="12ED9346" w14:textId="7F819EDA" w:rsidR="007D68EB" w:rsidRDefault="008076CE" w:rsidP="00162904">
      <w:pPr>
        <w:pStyle w:val="corte4fondo"/>
        <w:tabs>
          <w:tab w:val="left" w:pos="0"/>
        </w:tabs>
        <w:spacing w:after="240"/>
        <w:ind w:right="51"/>
        <w:rPr>
          <w:sz w:val="26"/>
          <w:szCs w:val="26"/>
        </w:rPr>
      </w:pPr>
      <w:r>
        <w:rPr>
          <w:sz w:val="26"/>
          <w:szCs w:val="26"/>
        </w:rPr>
        <w:t>83</w:t>
      </w:r>
      <w:r w:rsidR="006941A0">
        <w:rPr>
          <w:sz w:val="26"/>
          <w:szCs w:val="26"/>
        </w:rPr>
        <w:t xml:space="preserve">. </w:t>
      </w:r>
      <w:r w:rsidR="00162904">
        <w:rPr>
          <w:sz w:val="26"/>
          <w:szCs w:val="26"/>
        </w:rPr>
        <w:t>En ese orden de ideas esta autoridad también advierte que</w:t>
      </w:r>
      <w:r w:rsidR="007D68EB">
        <w:rPr>
          <w:sz w:val="26"/>
          <w:szCs w:val="26"/>
        </w:rPr>
        <w:t>, en</w:t>
      </w:r>
      <w:r w:rsidR="00162904">
        <w:rPr>
          <w:sz w:val="26"/>
          <w:szCs w:val="26"/>
        </w:rPr>
        <w:t xml:space="preserve"> la determinación de daños</w:t>
      </w:r>
      <w:r w:rsidR="00162904" w:rsidRPr="00162904">
        <w:rPr>
          <w:sz w:val="26"/>
          <w:szCs w:val="26"/>
        </w:rPr>
        <w:t xml:space="preserve"> en que la autoridad </w:t>
      </w:r>
      <w:r w:rsidR="00162904">
        <w:rPr>
          <w:sz w:val="26"/>
          <w:szCs w:val="26"/>
        </w:rPr>
        <w:t>demandada funda su determinación</w:t>
      </w:r>
      <w:r w:rsidR="00162904">
        <w:rPr>
          <w:rStyle w:val="Refdenotaalpie"/>
          <w:sz w:val="26"/>
          <w:szCs w:val="26"/>
        </w:rPr>
        <w:footnoteReference w:id="23"/>
      </w:r>
      <w:r w:rsidR="00162904">
        <w:rPr>
          <w:sz w:val="26"/>
          <w:szCs w:val="26"/>
        </w:rPr>
        <w:t xml:space="preserve"> para condenar al ciudadano</w:t>
      </w:r>
      <w:r w:rsidR="009111F5">
        <w:rPr>
          <w:b/>
          <w:sz w:val="26"/>
          <w:szCs w:val="26"/>
        </w:rPr>
        <w:t xml:space="preserve"> </w:t>
      </w:r>
      <w:r w:rsidR="009111F5">
        <w:rPr>
          <w:rFonts w:cs="Arial"/>
          <w:b/>
          <w:sz w:val="26"/>
          <w:szCs w:val="26"/>
        </w:rPr>
        <w:t>**********</w:t>
      </w:r>
      <w:r w:rsidR="00162904">
        <w:rPr>
          <w:sz w:val="26"/>
          <w:szCs w:val="26"/>
        </w:rPr>
        <w:t>,</w:t>
      </w:r>
      <w:r w:rsidR="007D68EB">
        <w:rPr>
          <w:sz w:val="26"/>
          <w:szCs w:val="26"/>
        </w:rPr>
        <w:t xml:space="preserve"> al resarcimiento de los daños causados a la hacienda pública municipal, los servidores públicos encargados de su elaboración, revisión y autorización, omitieron fundar debidamente las facultades legales previstas en la Ley de Fiscalización </w:t>
      </w:r>
      <w:r w:rsidR="00823288">
        <w:rPr>
          <w:sz w:val="26"/>
          <w:szCs w:val="26"/>
        </w:rPr>
        <w:t>2013</w:t>
      </w:r>
      <w:r w:rsidR="007D68EB">
        <w:rPr>
          <w:sz w:val="26"/>
          <w:szCs w:val="26"/>
        </w:rPr>
        <w:t xml:space="preserve"> y el </w:t>
      </w:r>
      <w:r w:rsidR="00F17D36" w:rsidRPr="00F17D36">
        <w:rPr>
          <w:i/>
          <w:sz w:val="26"/>
          <w:szCs w:val="26"/>
        </w:rPr>
        <w:t>Reglamento</w:t>
      </w:r>
      <w:r w:rsidR="007D68EB">
        <w:rPr>
          <w:sz w:val="26"/>
          <w:szCs w:val="26"/>
        </w:rPr>
        <w:t xml:space="preserve"> que los faculte para tales efectos.</w:t>
      </w:r>
    </w:p>
    <w:p w14:paraId="7588CEDF" w14:textId="5A161780" w:rsidR="00162904" w:rsidRDefault="008076CE" w:rsidP="00EE1E42">
      <w:pPr>
        <w:pStyle w:val="corte4fondo"/>
        <w:tabs>
          <w:tab w:val="left" w:pos="0"/>
        </w:tabs>
        <w:spacing w:after="240"/>
        <w:ind w:right="51"/>
        <w:rPr>
          <w:sz w:val="26"/>
          <w:szCs w:val="26"/>
        </w:rPr>
      </w:pPr>
      <w:r>
        <w:rPr>
          <w:sz w:val="26"/>
          <w:szCs w:val="26"/>
        </w:rPr>
        <w:t>84</w:t>
      </w:r>
      <w:r w:rsidR="007D68EB">
        <w:rPr>
          <w:sz w:val="26"/>
          <w:szCs w:val="26"/>
        </w:rPr>
        <w:t xml:space="preserve">. Lo anterior cobra particular relevancia, en atención al hecho, que, posterior a un análisis exhaustivo realizado a las constancias certificadas que remitió la autoridad demandada en su informe </w:t>
      </w:r>
      <w:r w:rsidR="007D68EB">
        <w:rPr>
          <w:rFonts w:cs="Arial"/>
          <w:sz w:val="26"/>
          <w:szCs w:val="26"/>
          <w:lang w:val="es-ES"/>
        </w:rPr>
        <w:t xml:space="preserve">de fecha nueve de marzo de dos mil veintitrés (09/03/2023), contenido en el oficio </w:t>
      </w:r>
      <w:r w:rsidR="007D68EB" w:rsidRPr="00030636">
        <w:rPr>
          <w:rFonts w:cs="Arial"/>
          <w:b/>
          <w:sz w:val="26"/>
          <w:szCs w:val="26"/>
          <w:lang w:val="es-ES"/>
        </w:rPr>
        <w:t>OSFE/UAJ/00106/2023</w:t>
      </w:r>
      <w:r w:rsidR="007D68EB">
        <w:rPr>
          <w:rStyle w:val="Refdenotaalpie"/>
          <w:rFonts w:cs="Arial"/>
          <w:b/>
          <w:sz w:val="26"/>
          <w:szCs w:val="26"/>
          <w:lang w:val="es-ES"/>
        </w:rPr>
        <w:footnoteReference w:id="24"/>
      </w:r>
      <w:r w:rsidR="007D68EB">
        <w:rPr>
          <w:rFonts w:cs="Arial"/>
          <w:sz w:val="26"/>
          <w:szCs w:val="26"/>
          <w:lang w:val="es-ES"/>
        </w:rPr>
        <w:t xml:space="preserve">, no se advierte documento alguno en el cual, el Titular de la entonces Auditoría Superior del Estado de Oaxaca, en uso de </w:t>
      </w:r>
      <w:r w:rsidR="00EE1E42">
        <w:rPr>
          <w:rFonts w:cs="Arial"/>
          <w:sz w:val="26"/>
          <w:szCs w:val="26"/>
          <w:lang w:val="es-ES"/>
        </w:rPr>
        <w:t xml:space="preserve">sus facultades legales, contempladas en los artículos 31 fracción XXVI, en relación con el diverso 63 fracción X de la </w:t>
      </w:r>
      <w:r w:rsidR="00F17D36" w:rsidRPr="00F17D36">
        <w:rPr>
          <w:rFonts w:cs="Arial"/>
          <w:i/>
          <w:sz w:val="26"/>
          <w:szCs w:val="26"/>
          <w:lang w:val="es-ES"/>
        </w:rPr>
        <w:t>Ley de Fiscalización 2013</w:t>
      </w:r>
      <w:r w:rsidR="00EE1E42">
        <w:rPr>
          <w:rFonts w:cs="Arial"/>
          <w:sz w:val="26"/>
          <w:szCs w:val="26"/>
          <w:lang w:val="es-ES"/>
        </w:rPr>
        <w:t xml:space="preserve">, haya determinado </w:t>
      </w:r>
      <w:r w:rsidR="00EE1E42" w:rsidRPr="00EE1E42">
        <w:rPr>
          <w:sz w:val="26"/>
          <w:szCs w:val="26"/>
        </w:rPr>
        <w:t xml:space="preserve">los daños, perjuicios o ambos, que afecten las haciendas </w:t>
      </w:r>
      <w:r w:rsidR="00EE1E42" w:rsidRPr="00EE1E42">
        <w:rPr>
          <w:sz w:val="26"/>
          <w:szCs w:val="26"/>
        </w:rPr>
        <w:lastRenderedPageBreak/>
        <w:t>públicas estatal o municipal, o en su caso, al patrimonio de las entidades</w:t>
      </w:r>
      <w:r w:rsidR="00EE1E42">
        <w:rPr>
          <w:sz w:val="26"/>
          <w:szCs w:val="26"/>
        </w:rPr>
        <w:t xml:space="preserve"> fiscalizables.</w:t>
      </w:r>
    </w:p>
    <w:p w14:paraId="1BF091C0" w14:textId="2AC390FD" w:rsidR="00EE1E42" w:rsidRDefault="008076CE" w:rsidP="00EE1E42">
      <w:pPr>
        <w:pStyle w:val="corte4fondo"/>
        <w:tabs>
          <w:tab w:val="left" w:pos="0"/>
        </w:tabs>
        <w:spacing w:after="240"/>
        <w:ind w:right="51"/>
        <w:rPr>
          <w:sz w:val="26"/>
          <w:szCs w:val="26"/>
        </w:rPr>
      </w:pPr>
      <w:r>
        <w:rPr>
          <w:sz w:val="26"/>
          <w:szCs w:val="26"/>
        </w:rPr>
        <w:t>85</w:t>
      </w:r>
      <w:r w:rsidR="00EE1E42">
        <w:rPr>
          <w:sz w:val="26"/>
          <w:szCs w:val="26"/>
        </w:rPr>
        <w:t xml:space="preserve">. Sin que sea dable aceptar, como erróneamente pretende justificar la autoridad demanda, que dicha determinación de daños (Dictamen Técnico de Presunta Responsabilidad), tenga sustento en el artículo 14 fracciones IV y XVII del </w:t>
      </w:r>
      <w:r w:rsidR="00F17D36" w:rsidRPr="00F17D36">
        <w:rPr>
          <w:i/>
          <w:sz w:val="26"/>
          <w:szCs w:val="26"/>
        </w:rPr>
        <w:t>Reglamento</w:t>
      </w:r>
      <w:r w:rsidR="00EE1E42">
        <w:rPr>
          <w:sz w:val="26"/>
          <w:szCs w:val="26"/>
        </w:rPr>
        <w:t>, por las siguientes consideraciones:</w:t>
      </w:r>
    </w:p>
    <w:p w14:paraId="2E72ED14" w14:textId="27B40E28" w:rsidR="00EE1E42" w:rsidRDefault="008076CE" w:rsidP="00EE1E42">
      <w:pPr>
        <w:pStyle w:val="corte4fondo"/>
        <w:tabs>
          <w:tab w:val="left" w:pos="0"/>
        </w:tabs>
        <w:spacing w:after="240"/>
        <w:ind w:right="51"/>
        <w:rPr>
          <w:rFonts w:cs="Arial"/>
          <w:sz w:val="26"/>
          <w:szCs w:val="26"/>
          <w:lang w:val="es-ES"/>
        </w:rPr>
      </w:pPr>
      <w:r>
        <w:rPr>
          <w:sz w:val="26"/>
          <w:szCs w:val="26"/>
        </w:rPr>
        <w:t>86</w:t>
      </w:r>
      <w:r w:rsidR="00EE1E42">
        <w:rPr>
          <w:sz w:val="26"/>
          <w:szCs w:val="26"/>
        </w:rPr>
        <w:t xml:space="preserve">. En primer lugar, porque la determinación de daños, perjuicios o ambos, que afecten a la hacienda pública municipal estatal o municipal, es una atribución indelegable del Titular de la Auditoría Superior del Estado de Oaxaca de conformidad con los </w:t>
      </w:r>
      <w:r w:rsidR="00EE1E42">
        <w:rPr>
          <w:rFonts w:cs="Arial"/>
          <w:sz w:val="26"/>
          <w:szCs w:val="26"/>
          <w:lang w:val="es-ES"/>
        </w:rPr>
        <w:t xml:space="preserve">los artículos 31 fracción XXVI, en relación con el diverso 63 fracción X de la </w:t>
      </w:r>
      <w:r w:rsidR="00F17D36" w:rsidRPr="00F17D36">
        <w:rPr>
          <w:rFonts w:cs="Arial"/>
          <w:i/>
          <w:sz w:val="26"/>
          <w:szCs w:val="26"/>
          <w:lang w:val="es-ES"/>
        </w:rPr>
        <w:t>Ley de Fiscalización 2013</w:t>
      </w:r>
      <w:r w:rsidR="00EE1E42">
        <w:rPr>
          <w:rFonts w:cs="Arial"/>
          <w:sz w:val="26"/>
          <w:szCs w:val="26"/>
          <w:lang w:val="es-ES"/>
        </w:rPr>
        <w:t>.</w:t>
      </w:r>
    </w:p>
    <w:p w14:paraId="138CBC99" w14:textId="1304F8B8" w:rsidR="00EE1E42" w:rsidRPr="00EE1E42" w:rsidRDefault="008076CE" w:rsidP="00EE1E42">
      <w:pPr>
        <w:pStyle w:val="corte4fondo"/>
        <w:tabs>
          <w:tab w:val="left" w:pos="0"/>
        </w:tabs>
        <w:spacing w:after="240"/>
        <w:ind w:right="51"/>
        <w:rPr>
          <w:sz w:val="26"/>
          <w:szCs w:val="26"/>
        </w:rPr>
      </w:pPr>
      <w:r>
        <w:rPr>
          <w:rFonts w:cs="Arial"/>
          <w:sz w:val="26"/>
          <w:szCs w:val="26"/>
          <w:lang w:val="es-ES"/>
        </w:rPr>
        <w:t>87</w:t>
      </w:r>
      <w:r w:rsidR="00EE1E42">
        <w:rPr>
          <w:rFonts w:cs="Arial"/>
          <w:sz w:val="26"/>
          <w:szCs w:val="26"/>
          <w:lang w:val="es-ES"/>
        </w:rPr>
        <w:t xml:space="preserve">. En segundo lugar, porque no existe constancia alguna dentro de los autos que integran el expediente </w:t>
      </w:r>
      <w:r w:rsidR="00EE1E42">
        <w:rPr>
          <w:rFonts w:cs="Arial"/>
          <w:b/>
          <w:sz w:val="26"/>
          <w:szCs w:val="26"/>
          <w:lang w:val="es-ES"/>
        </w:rPr>
        <w:t>ASE/UAJ/P.R./004/2016</w:t>
      </w:r>
      <w:r w:rsidR="00A269E0">
        <w:rPr>
          <w:rFonts w:cs="Arial"/>
          <w:sz w:val="26"/>
          <w:szCs w:val="26"/>
          <w:lang w:val="es-ES"/>
        </w:rPr>
        <w:t>, de la cual se advierta</w:t>
      </w:r>
      <w:r w:rsidR="00EE1E42">
        <w:rPr>
          <w:rFonts w:cs="Arial"/>
          <w:sz w:val="26"/>
          <w:szCs w:val="26"/>
          <w:lang w:val="es-ES"/>
        </w:rPr>
        <w:t xml:space="preserve"> que Dictamen Técnico de Presunta Responsabilidad en el cual la autoridad demandada fundó su determinación para condenar al hoy actor a un resarcimiento por los supuestos daños causados a la hacienda pública municipal de Valerio trujano, Distrito de Cuicatlán, Oaxaca</w:t>
      </w:r>
      <w:r w:rsidR="00A269E0">
        <w:rPr>
          <w:rFonts w:cs="Arial"/>
          <w:sz w:val="26"/>
          <w:szCs w:val="26"/>
          <w:lang w:val="es-ES"/>
        </w:rPr>
        <w:t>, haya sido requerido a solicitud del superior jerárquico de los servidores públicos que lo elaboraron, revisaron y autorizaron, acorde a lo dispuesto por las fracciones IV y XVII del artículo 14 del Reglamento Interno de la Auditoría Superior del Estado de Oaxaca, transgrediendo así el requisito de procedibilidad, para la elaboración del referido dictamen técnico.</w:t>
      </w:r>
    </w:p>
    <w:p w14:paraId="047472F9" w14:textId="55A1026B" w:rsidR="00162904" w:rsidRDefault="008076CE" w:rsidP="008E2D40">
      <w:pPr>
        <w:pStyle w:val="corte4fondo"/>
        <w:tabs>
          <w:tab w:val="left" w:pos="0"/>
        </w:tabs>
        <w:spacing w:after="240"/>
        <w:ind w:right="51"/>
        <w:rPr>
          <w:sz w:val="26"/>
          <w:szCs w:val="26"/>
        </w:rPr>
      </w:pPr>
      <w:r>
        <w:rPr>
          <w:sz w:val="26"/>
          <w:szCs w:val="26"/>
        </w:rPr>
        <w:t>88</w:t>
      </w:r>
      <w:r w:rsidR="00A269E0">
        <w:rPr>
          <w:sz w:val="26"/>
          <w:szCs w:val="26"/>
        </w:rPr>
        <w:t xml:space="preserve">. Y finalmente, porque el Reglamento Interno </w:t>
      </w:r>
      <w:r w:rsidR="00A269E0">
        <w:rPr>
          <w:rFonts w:cs="Arial"/>
          <w:sz w:val="26"/>
          <w:szCs w:val="26"/>
          <w:lang w:val="es-ES"/>
        </w:rPr>
        <w:t>de la Auditoría Superior del Estado de Oaxaca</w:t>
      </w:r>
      <w:r w:rsidR="00A269E0">
        <w:rPr>
          <w:sz w:val="26"/>
          <w:szCs w:val="26"/>
        </w:rPr>
        <w:t xml:space="preserve"> con el cual la autoridad demandada pretender justificar la existencia y legalidad del referido Dictamen Técnico de Presunta Responsabilidad, reglamento las atribuciones de la Auditoría Superior del Estado de Oaxaca, contenidas en una Ley Abrogada, como lo es la </w:t>
      </w:r>
      <w:r w:rsidR="00F17D36" w:rsidRPr="00F17D36">
        <w:rPr>
          <w:i/>
          <w:sz w:val="26"/>
          <w:szCs w:val="26"/>
        </w:rPr>
        <w:t>Ley de Fiscalización 2008</w:t>
      </w:r>
      <w:r w:rsidR="00A269E0">
        <w:rPr>
          <w:sz w:val="26"/>
          <w:szCs w:val="26"/>
        </w:rPr>
        <w:t>, acorde a lo dispuesto por los artículos 1 y 2 fracción II del Reglamento</w:t>
      </w:r>
      <w:r>
        <w:rPr>
          <w:sz w:val="26"/>
          <w:szCs w:val="26"/>
        </w:rPr>
        <w:t xml:space="preserve"> Interno</w:t>
      </w:r>
      <w:r w:rsidR="00A269E0">
        <w:rPr>
          <w:sz w:val="26"/>
          <w:szCs w:val="26"/>
        </w:rPr>
        <w:t xml:space="preserve"> antes invocado.</w:t>
      </w:r>
    </w:p>
    <w:p w14:paraId="38EE33D7" w14:textId="66602E81" w:rsidR="009175B5" w:rsidRPr="00501710" w:rsidRDefault="008076CE" w:rsidP="008E2D40">
      <w:pPr>
        <w:pStyle w:val="corte4fondo"/>
        <w:tabs>
          <w:tab w:val="left" w:pos="0"/>
        </w:tabs>
        <w:spacing w:after="240"/>
        <w:ind w:right="51"/>
        <w:rPr>
          <w:sz w:val="26"/>
          <w:szCs w:val="26"/>
        </w:rPr>
      </w:pPr>
      <w:r>
        <w:rPr>
          <w:sz w:val="26"/>
          <w:szCs w:val="26"/>
        </w:rPr>
        <w:t>89</w:t>
      </w:r>
      <w:r w:rsidR="00A269E0">
        <w:rPr>
          <w:sz w:val="26"/>
          <w:szCs w:val="26"/>
        </w:rPr>
        <w:t>.</w:t>
      </w:r>
      <w:r w:rsidR="009175B5">
        <w:rPr>
          <w:sz w:val="26"/>
          <w:szCs w:val="26"/>
        </w:rPr>
        <w:t xml:space="preserve">En razón de lo antes expuesto, </w:t>
      </w:r>
      <w:r w:rsidR="009175B5" w:rsidRPr="006941A0">
        <w:rPr>
          <w:b/>
          <w:sz w:val="26"/>
          <w:szCs w:val="26"/>
        </w:rPr>
        <w:t>los conceptos de violación planteados por el actor resultan fundados</w:t>
      </w:r>
      <w:r w:rsidR="009175B5">
        <w:rPr>
          <w:sz w:val="26"/>
          <w:szCs w:val="26"/>
        </w:rPr>
        <w:t xml:space="preserve">, ahora bien, es importante resaltar que, por fundamentación se entiende la cita de los preceptos legales que sirven de base a la autoridad para emitir su acto en el sentido en el que </w:t>
      </w:r>
      <w:r w:rsidR="009175B5">
        <w:rPr>
          <w:sz w:val="26"/>
          <w:szCs w:val="26"/>
        </w:rPr>
        <w:lastRenderedPageBreak/>
        <w:t>lo hace; debiendo además expresar las causas inmediatas, razones particulares o circunstancias especiales que la llevaron a tomar la determinación en el sentido en el que lo hace, lo que constituye la correspondiente motivación de su actuación.</w:t>
      </w:r>
    </w:p>
    <w:p w14:paraId="25C82861" w14:textId="36D633C4" w:rsidR="00425D18" w:rsidRPr="00501710" w:rsidRDefault="008076CE" w:rsidP="00227923">
      <w:pPr>
        <w:pStyle w:val="corte4fondo"/>
        <w:tabs>
          <w:tab w:val="left" w:pos="0"/>
        </w:tabs>
        <w:spacing w:after="240"/>
        <w:ind w:right="51"/>
        <w:rPr>
          <w:sz w:val="26"/>
          <w:szCs w:val="26"/>
        </w:rPr>
      </w:pPr>
      <w:r>
        <w:rPr>
          <w:sz w:val="26"/>
          <w:szCs w:val="26"/>
        </w:rPr>
        <w:t>90</w:t>
      </w:r>
      <w:r w:rsidR="00247307">
        <w:rPr>
          <w:sz w:val="26"/>
          <w:szCs w:val="26"/>
        </w:rPr>
        <w:t xml:space="preserve">. </w:t>
      </w:r>
      <w:r w:rsidR="00505245">
        <w:rPr>
          <w:sz w:val="26"/>
          <w:szCs w:val="26"/>
        </w:rPr>
        <w:t>La debida fundamentación y motivación exige, además, que las razones expuestas por la autoridad se adecuen a los fundamentos legales invocados, a efecto de garantizar al administrado que su actuar está apegado a derecho, satisfaciendo los principios de certeza y seguridad jurídica, en esa tesitura, un acto de autoridad que no está debidamente fundado y motivado, resulta ilegal.</w:t>
      </w:r>
    </w:p>
    <w:p w14:paraId="2D5889D9" w14:textId="24AA8983" w:rsidR="005F586A" w:rsidRPr="00D7722A" w:rsidRDefault="008076CE" w:rsidP="00227923">
      <w:pPr>
        <w:pStyle w:val="corte4fondo"/>
        <w:tabs>
          <w:tab w:val="left" w:pos="0"/>
        </w:tabs>
        <w:spacing w:after="240"/>
        <w:ind w:right="51"/>
        <w:rPr>
          <w:sz w:val="26"/>
          <w:szCs w:val="26"/>
        </w:rPr>
      </w:pPr>
      <w:r>
        <w:rPr>
          <w:sz w:val="26"/>
          <w:szCs w:val="26"/>
        </w:rPr>
        <w:t>91</w:t>
      </w:r>
      <w:r w:rsidR="00247307">
        <w:rPr>
          <w:sz w:val="26"/>
          <w:szCs w:val="26"/>
        </w:rPr>
        <w:t xml:space="preserve">. </w:t>
      </w:r>
      <w:r w:rsidR="005F586A">
        <w:rPr>
          <w:sz w:val="26"/>
          <w:szCs w:val="26"/>
        </w:rPr>
        <w:t xml:space="preserve">En respaldo a lo anterior, se invoca </w:t>
      </w:r>
      <w:r w:rsidR="005F586A" w:rsidRPr="00D7722A">
        <w:rPr>
          <w:sz w:val="26"/>
          <w:szCs w:val="26"/>
        </w:rPr>
        <w:t>la jurisprudencia de la Segunda Sala de la Suprema Corte de Justicia de la Nación emitida en la Séptima Época, publicada en el Semanario Judicial de la Federación, volumen 97-102, Tercera Parte, página 143, con registro digital 238212, con el rubro y texto siguiente:</w:t>
      </w:r>
    </w:p>
    <w:p w14:paraId="61D47678" w14:textId="77777777" w:rsidR="005F586A" w:rsidRDefault="005F586A" w:rsidP="00227923">
      <w:pPr>
        <w:spacing w:after="240" w:line="360" w:lineRule="auto"/>
        <w:ind w:left="709" w:right="758"/>
        <w:jc w:val="both"/>
        <w:rPr>
          <w:rFonts w:ascii="Arial" w:hAnsi="Arial" w:cs="Arial"/>
          <w:i/>
        </w:rPr>
      </w:pPr>
      <w:r w:rsidRPr="001A0E58">
        <w:rPr>
          <w:rFonts w:ascii="Arial" w:hAnsi="Arial" w:cs="Arial"/>
          <w:b/>
          <w:i/>
        </w:rPr>
        <w:t>“FUNDAMENTACIÓN Y MOTIVACIÓN</w:t>
      </w:r>
      <w:r w:rsidRPr="001A0E58">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1921052" w14:textId="6CBFE961" w:rsidR="005F586A" w:rsidRDefault="008076CE" w:rsidP="00227923">
      <w:pPr>
        <w:pStyle w:val="corte4fondo"/>
        <w:tabs>
          <w:tab w:val="left" w:pos="0"/>
        </w:tabs>
        <w:spacing w:after="240"/>
        <w:ind w:right="51"/>
        <w:rPr>
          <w:sz w:val="26"/>
          <w:szCs w:val="26"/>
          <w:lang w:val="es-MX"/>
        </w:rPr>
      </w:pPr>
      <w:r>
        <w:rPr>
          <w:sz w:val="26"/>
          <w:szCs w:val="26"/>
          <w:lang w:val="es-MX"/>
        </w:rPr>
        <w:t>92</w:t>
      </w:r>
      <w:r w:rsidR="00247307">
        <w:rPr>
          <w:sz w:val="26"/>
          <w:szCs w:val="26"/>
          <w:lang w:val="es-MX"/>
        </w:rPr>
        <w:t xml:space="preserve">. </w:t>
      </w:r>
      <w:r w:rsidR="00505245">
        <w:rPr>
          <w:sz w:val="26"/>
          <w:szCs w:val="26"/>
          <w:lang w:val="es-MX"/>
        </w:rPr>
        <w:t>Además,</w:t>
      </w:r>
      <w:r w:rsidR="005F586A">
        <w:rPr>
          <w:sz w:val="26"/>
          <w:szCs w:val="26"/>
          <w:lang w:val="es-MX"/>
        </w:rPr>
        <w:t xml:space="preserve"> es aplicable </w:t>
      </w:r>
      <w:r w:rsidR="005F586A" w:rsidRPr="007D3F95">
        <w:rPr>
          <w:sz w:val="26"/>
          <w:szCs w:val="26"/>
          <w:lang w:val="es-MX"/>
        </w:rPr>
        <w:t>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6D50D7AE" w14:textId="77777777" w:rsidR="005F586A" w:rsidRPr="009A5ACB" w:rsidRDefault="005F586A" w:rsidP="00227923">
      <w:pPr>
        <w:spacing w:after="0" w:line="360" w:lineRule="auto"/>
        <w:ind w:left="709" w:right="758"/>
        <w:jc w:val="both"/>
        <w:rPr>
          <w:rFonts w:ascii="Arial" w:hAnsi="Arial" w:cs="Arial"/>
          <w:i/>
        </w:rPr>
      </w:pPr>
      <w:r w:rsidRPr="009A5ACB">
        <w:rPr>
          <w:rFonts w:ascii="Arial" w:hAnsi="Arial" w:cs="Arial"/>
          <w:b/>
          <w:i/>
        </w:rPr>
        <w:t>“FUNDAMENTACIÓN Y MOTIVACIÓN. SU DISTINCIÓN ENTRE SU FALTA Y CUANDO ES INDEBIDA</w:t>
      </w:r>
      <w:r w:rsidRPr="009A5ACB">
        <w:rPr>
          <w:rFonts w:ascii="Arial" w:hAnsi="Arial" w:cs="Arial"/>
          <w:i/>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w:t>
      </w:r>
      <w:r w:rsidRPr="009A5ACB">
        <w:rPr>
          <w:rFonts w:ascii="Arial" w:hAnsi="Arial" w:cs="Arial"/>
          <w:i/>
        </w:rPr>
        <w:lastRenderedPageBreak/>
        <w:t>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3E6031FB" w14:textId="59E50243" w:rsidR="00FE648B" w:rsidRPr="005F3D9D" w:rsidRDefault="00FE648B" w:rsidP="005F3D9D">
      <w:pPr>
        <w:pStyle w:val="Prrafodelista"/>
        <w:numPr>
          <w:ilvl w:val="0"/>
          <w:numId w:val="15"/>
        </w:numPr>
        <w:tabs>
          <w:tab w:val="left" w:pos="0"/>
          <w:tab w:val="left" w:pos="5670"/>
        </w:tabs>
        <w:spacing w:before="240" w:after="0" w:line="360" w:lineRule="auto"/>
        <w:ind w:right="51"/>
        <w:jc w:val="both"/>
        <w:rPr>
          <w:rFonts w:ascii="Arial" w:hAnsi="Arial" w:cs="Arial"/>
          <w:b/>
          <w:sz w:val="26"/>
          <w:szCs w:val="26"/>
        </w:rPr>
      </w:pPr>
      <w:r w:rsidRPr="005F3D9D">
        <w:rPr>
          <w:rFonts w:ascii="Arial" w:hAnsi="Arial" w:cs="Arial"/>
          <w:b/>
          <w:sz w:val="26"/>
          <w:szCs w:val="26"/>
        </w:rPr>
        <w:t>Decisión.</w:t>
      </w:r>
    </w:p>
    <w:p w14:paraId="079F0023" w14:textId="77777777" w:rsidR="008076CE" w:rsidRDefault="008076CE" w:rsidP="00247307">
      <w:pPr>
        <w:tabs>
          <w:tab w:val="left" w:pos="0"/>
          <w:tab w:val="left" w:pos="5670"/>
        </w:tabs>
        <w:spacing w:before="240" w:line="360" w:lineRule="auto"/>
        <w:ind w:right="51" w:firstLine="709"/>
        <w:jc w:val="both"/>
        <w:rPr>
          <w:rFonts w:ascii="Arial" w:hAnsi="Arial" w:cs="Arial"/>
          <w:sz w:val="26"/>
          <w:szCs w:val="26"/>
          <w:lang w:val="es-ES"/>
        </w:rPr>
      </w:pPr>
      <w:r>
        <w:rPr>
          <w:rFonts w:ascii="Arial" w:hAnsi="Arial" w:cs="Arial"/>
          <w:sz w:val="26"/>
          <w:szCs w:val="26"/>
          <w:lang w:val="es-ES_tradnl"/>
        </w:rPr>
        <w:t>93</w:t>
      </w:r>
      <w:r w:rsidR="00247307">
        <w:rPr>
          <w:rFonts w:ascii="Arial" w:hAnsi="Arial" w:cs="Arial"/>
          <w:sz w:val="26"/>
          <w:szCs w:val="26"/>
          <w:lang w:val="es-ES_tradnl"/>
        </w:rPr>
        <w:t xml:space="preserve">. </w:t>
      </w:r>
      <w:r w:rsidR="005F586A" w:rsidRPr="00FE648B">
        <w:rPr>
          <w:rFonts w:ascii="Arial" w:hAnsi="Arial" w:cs="Arial"/>
          <w:sz w:val="26"/>
          <w:szCs w:val="26"/>
          <w:lang w:val="es-ES_tradnl"/>
        </w:rPr>
        <w:t>Po</w:t>
      </w:r>
      <w:r w:rsidR="00C35350">
        <w:rPr>
          <w:rFonts w:ascii="Arial" w:hAnsi="Arial" w:cs="Arial"/>
          <w:sz w:val="26"/>
          <w:szCs w:val="26"/>
          <w:lang w:val="es-ES_tradnl"/>
        </w:rPr>
        <w:t>r lo anterior, se colige que</w:t>
      </w:r>
      <w:r w:rsidR="0084681F">
        <w:rPr>
          <w:rFonts w:ascii="Arial" w:hAnsi="Arial" w:cs="Arial"/>
          <w:sz w:val="26"/>
          <w:szCs w:val="26"/>
          <w:lang w:val="es-ES_tradnl"/>
        </w:rPr>
        <w:t xml:space="preserve"> </w:t>
      </w:r>
      <w:r w:rsidR="0084681F">
        <w:rPr>
          <w:rFonts w:ascii="Arial" w:hAnsi="Arial" w:cs="Arial"/>
          <w:sz w:val="26"/>
          <w:szCs w:val="26"/>
          <w:lang w:val="es-ES"/>
        </w:rPr>
        <w:t xml:space="preserve">la notificación de la resolución de doce de febrero de dos mil diecinueve (12/02/2019), dictada dentro del Procedimiento para el Fincamiento de Responsabilidad Administrativa Resarcitoria </w:t>
      </w:r>
      <w:r w:rsidR="0084681F">
        <w:rPr>
          <w:rFonts w:ascii="Arial" w:hAnsi="Arial" w:cs="Arial"/>
          <w:b/>
          <w:sz w:val="26"/>
          <w:szCs w:val="26"/>
          <w:lang w:val="es-ES"/>
        </w:rPr>
        <w:t>ASE/UAJ/P.R./004</w:t>
      </w:r>
      <w:r w:rsidR="0084681F" w:rsidRPr="00757C66">
        <w:rPr>
          <w:rFonts w:ascii="Arial" w:hAnsi="Arial" w:cs="Arial"/>
          <w:b/>
          <w:sz w:val="26"/>
          <w:szCs w:val="26"/>
          <w:lang w:val="es-ES"/>
        </w:rPr>
        <w:t>/2016</w:t>
      </w:r>
      <w:r w:rsidR="0084681F">
        <w:rPr>
          <w:rFonts w:ascii="Arial" w:hAnsi="Arial" w:cs="Arial"/>
          <w:sz w:val="26"/>
          <w:szCs w:val="26"/>
          <w:lang w:val="es-ES"/>
        </w:rPr>
        <w:t xml:space="preserve">, no se ajustó a lo dispuesto en el </w:t>
      </w:r>
      <w:r w:rsidR="0084681F" w:rsidRPr="008076CE">
        <w:rPr>
          <w:rFonts w:ascii="Arial" w:hAnsi="Arial" w:cs="Arial"/>
          <w:i/>
          <w:sz w:val="26"/>
          <w:szCs w:val="26"/>
          <w:lang w:val="es-ES"/>
        </w:rPr>
        <w:t xml:space="preserve">Código </w:t>
      </w:r>
      <w:r w:rsidRPr="008076CE">
        <w:rPr>
          <w:rFonts w:ascii="Arial" w:hAnsi="Arial" w:cs="Arial"/>
          <w:i/>
          <w:sz w:val="26"/>
          <w:szCs w:val="26"/>
          <w:lang w:val="es-ES"/>
        </w:rPr>
        <w:t>Procesal</w:t>
      </w:r>
      <w:r w:rsidR="0084681F">
        <w:rPr>
          <w:rFonts w:ascii="Arial" w:hAnsi="Arial" w:cs="Arial"/>
          <w:sz w:val="26"/>
          <w:szCs w:val="26"/>
          <w:lang w:val="es-ES"/>
        </w:rPr>
        <w:t xml:space="preserve">, aplicado en términos del artículo Sexto Transitorio de la </w:t>
      </w:r>
      <w:r w:rsidR="00F17D36" w:rsidRPr="00F17D36">
        <w:rPr>
          <w:rFonts w:ascii="Arial" w:hAnsi="Arial" w:cs="Arial"/>
          <w:i/>
          <w:sz w:val="26"/>
          <w:szCs w:val="26"/>
          <w:lang w:val="es-ES"/>
        </w:rPr>
        <w:t>Ley de Fiscalización 2013</w:t>
      </w:r>
      <w:r>
        <w:rPr>
          <w:rFonts w:ascii="Arial" w:hAnsi="Arial" w:cs="Arial"/>
          <w:sz w:val="26"/>
          <w:szCs w:val="26"/>
          <w:lang w:val="es-ES"/>
        </w:rPr>
        <w:t>.</w:t>
      </w:r>
    </w:p>
    <w:p w14:paraId="754096B7" w14:textId="42BB9D5D" w:rsidR="008076CE" w:rsidRDefault="008076CE" w:rsidP="00247307">
      <w:pPr>
        <w:tabs>
          <w:tab w:val="left" w:pos="0"/>
          <w:tab w:val="left" w:pos="5670"/>
        </w:tabs>
        <w:spacing w:before="240" w:line="360" w:lineRule="auto"/>
        <w:ind w:right="51" w:firstLine="709"/>
        <w:jc w:val="both"/>
        <w:rPr>
          <w:rFonts w:ascii="Arial" w:hAnsi="Arial" w:cs="Arial"/>
          <w:sz w:val="26"/>
          <w:szCs w:val="26"/>
          <w:lang w:val="es-ES_tradnl"/>
        </w:rPr>
      </w:pPr>
      <w:r>
        <w:rPr>
          <w:rFonts w:ascii="Arial" w:hAnsi="Arial" w:cs="Arial"/>
          <w:sz w:val="26"/>
          <w:szCs w:val="26"/>
          <w:lang w:val="es-ES"/>
        </w:rPr>
        <w:t>94. A</w:t>
      </w:r>
      <w:r w:rsidR="0084681F">
        <w:rPr>
          <w:rFonts w:ascii="Arial" w:hAnsi="Arial" w:cs="Arial"/>
          <w:sz w:val="26"/>
          <w:szCs w:val="26"/>
          <w:lang w:val="es-ES"/>
        </w:rPr>
        <w:t xml:space="preserve">sí también, </w:t>
      </w:r>
      <w:r w:rsidR="00C35350">
        <w:rPr>
          <w:rFonts w:ascii="Arial" w:hAnsi="Arial" w:cs="Arial"/>
          <w:sz w:val="26"/>
          <w:szCs w:val="26"/>
          <w:lang w:val="es-ES_tradnl"/>
        </w:rPr>
        <w:t>la resolución</w:t>
      </w:r>
      <w:r w:rsidR="00917AD8">
        <w:rPr>
          <w:rFonts w:ascii="Arial" w:hAnsi="Arial" w:cs="Arial"/>
          <w:sz w:val="26"/>
          <w:szCs w:val="26"/>
          <w:lang w:val="es-ES_tradnl"/>
        </w:rPr>
        <w:t xml:space="preserve"> </w:t>
      </w:r>
      <w:r w:rsidR="00D83974">
        <w:rPr>
          <w:rFonts w:ascii="Arial" w:eastAsia="Times New Roman" w:hAnsi="Arial" w:cs="Arial"/>
          <w:bCs/>
          <w:sz w:val="26"/>
          <w:szCs w:val="26"/>
          <w:lang w:val="es-ES_tradnl" w:eastAsia="es-ES"/>
        </w:rPr>
        <w:t xml:space="preserve">la resolución de doce de febrero de dos mil diecinueve (12/02/2019) dictada dentro del expediente </w:t>
      </w:r>
      <w:r w:rsidR="00D83974">
        <w:rPr>
          <w:rFonts w:ascii="Arial" w:hAnsi="Arial" w:cs="Arial"/>
          <w:b/>
          <w:sz w:val="26"/>
          <w:szCs w:val="26"/>
        </w:rPr>
        <w:t>ASE</w:t>
      </w:r>
      <w:r w:rsidR="00D83974" w:rsidRPr="006F6E97">
        <w:rPr>
          <w:rFonts w:ascii="Arial" w:hAnsi="Arial" w:cs="Arial"/>
          <w:b/>
          <w:sz w:val="26"/>
          <w:szCs w:val="26"/>
        </w:rPr>
        <w:t>/</w:t>
      </w:r>
      <w:r w:rsidR="00D83974">
        <w:rPr>
          <w:rFonts w:ascii="Arial" w:hAnsi="Arial" w:cs="Arial"/>
          <w:b/>
          <w:sz w:val="26"/>
          <w:szCs w:val="26"/>
        </w:rPr>
        <w:t xml:space="preserve">UAJ/P.R./004/2016, </w:t>
      </w:r>
      <w:r w:rsidR="00D83974">
        <w:rPr>
          <w:rFonts w:ascii="Arial" w:hAnsi="Arial" w:cs="Arial"/>
          <w:sz w:val="26"/>
          <w:szCs w:val="26"/>
        </w:rPr>
        <w:t xml:space="preserve">relativo al Procedimiento para el Fincamiento de Responsabilidad Administrativa Resarcitoria, del índice del entonces Órgano Superior de Fiscalización del Estado de Oaxaca actualmente Auditoría Superior de Fiscalización del Estado de Oaxaca, </w:t>
      </w:r>
      <w:r w:rsidR="00D83974">
        <w:rPr>
          <w:rFonts w:ascii="Arial" w:hAnsi="Arial" w:cs="Arial"/>
          <w:sz w:val="26"/>
          <w:szCs w:val="26"/>
          <w:lang w:val="es-ES_tradnl"/>
        </w:rPr>
        <w:t xml:space="preserve">por la cual se impuso al ciudadano </w:t>
      </w:r>
      <w:r w:rsidR="009111F5">
        <w:rPr>
          <w:rFonts w:ascii="Arial" w:hAnsi="Arial" w:cs="Arial"/>
          <w:b/>
          <w:sz w:val="26"/>
          <w:szCs w:val="26"/>
        </w:rPr>
        <w:t>**********</w:t>
      </w:r>
      <w:r w:rsidR="00D83974" w:rsidRPr="00917AD8">
        <w:rPr>
          <w:rFonts w:ascii="Arial" w:hAnsi="Arial" w:cs="Arial"/>
          <w:sz w:val="26"/>
          <w:szCs w:val="26"/>
          <w:lang w:val="es-ES_tradnl"/>
        </w:rPr>
        <w:t xml:space="preserve">, </w:t>
      </w:r>
      <w:r w:rsidR="00D83974">
        <w:rPr>
          <w:rFonts w:ascii="Arial" w:hAnsi="Arial" w:cs="Arial"/>
          <w:sz w:val="26"/>
          <w:szCs w:val="26"/>
          <w:lang w:val="es-ES_tradnl"/>
        </w:rPr>
        <w:t>la obligación de resarcir al Municipio de Valerio Trujano, Distrito de Cuicatlán, Oaxaca, la cantidad de $3,728,893.35 (Tres millones setecientos veintiocho mil ochocientos noventa y tres pesos 35/100 M.N.)</w:t>
      </w:r>
      <w:r w:rsidR="00F313C6">
        <w:rPr>
          <w:rFonts w:ascii="Arial" w:hAnsi="Arial" w:cs="Arial"/>
          <w:sz w:val="26"/>
          <w:szCs w:val="26"/>
          <w:lang w:val="es-ES_tradnl"/>
        </w:rPr>
        <w:t>, por los daños causados a su h</w:t>
      </w:r>
      <w:r w:rsidR="00D83974">
        <w:rPr>
          <w:rFonts w:ascii="Arial" w:hAnsi="Arial" w:cs="Arial"/>
          <w:sz w:val="26"/>
          <w:szCs w:val="26"/>
          <w:lang w:val="es-ES_tradnl"/>
        </w:rPr>
        <w:t>acienda pública, durante el ejercicio fiscal dos mil trece, contiene</w:t>
      </w:r>
      <w:r w:rsidR="005F586A" w:rsidRPr="00FE648B">
        <w:rPr>
          <w:rFonts w:ascii="Arial" w:hAnsi="Arial" w:cs="Arial"/>
          <w:sz w:val="26"/>
          <w:szCs w:val="26"/>
          <w:lang w:val="es-ES_tradnl"/>
        </w:rPr>
        <w:t xml:space="preserve"> deficiencias en la fundamentación </w:t>
      </w:r>
      <w:r w:rsidR="00917AD8">
        <w:rPr>
          <w:rFonts w:ascii="Arial" w:hAnsi="Arial" w:cs="Arial"/>
          <w:sz w:val="26"/>
          <w:szCs w:val="26"/>
          <w:lang w:val="es-ES_tradnl"/>
        </w:rPr>
        <w:t>y motivación de la resolución</w:t>
      </w:r>
      <w:r>
        <w:rPr>
          <w:rFonts w:ascii="Arial" w:hAnsi="Arial" w:cs="Arial"/>
          <w:sz w:val="26"/>
          <w:szCs w:val="26"/>
          <w:lang w:val="es-ES_tradnl"/>
        </w:rPr>
        <w:t>.</w:t>
      </w:r>
    </w:p>
    <w:p w14:paraId="1B3AD838" w14:textId="77777777" w:rsidR="008076CE" w:rsidRDefault="008076CE" w:rsidP="00247307">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lang w:val="es-ES_tradnl"/>
        </w:rPr>
        <w:t>95.</w:t>
      </w:r>
      <w:r w:rsidR="005F586A" w:rsidRPr="00FE648B">
        <w:rPr>
          <w:rFonts w:ascii="Arial" w:hAnsi="Arial" w:cs="Arial"/>
          <w:sz w:val="26"/>
          <w:szCs w:val="26"/>
          <w:lang w:val="es-ES_tradnl"/>
        </w:rPr>
        <w:t xml:space="preserve"> </w:t>
      </w:r>
      <w:r>
        <w:rPr>
          <w:rFonts w:ascii="Arial" w:hAnsi="Arial" w:cs="Arial"/>
          <w:sz w:val="26"/>
          <w:szCs w:val="26"/>
          <w:lang w:val="es-ES_tradnl"/>
        </w:rPr>
        <w:t>R</w:t>
      </w:r>
      <w:r w:rsidR="005F586A" w:rsidRPr="00FE648B">
        <w:rPr>
          <w:rFonts w:ascii="Arial" w:hAnsi="Arial" w:cs="Arial"/>
          <w:sz w:val="26"/>
          <w:szCs w:val="26"/>
          <w:lang w:val="es-ES_tradnl"/>
        </w:rPr>
        <w:t>equisito exigido por los artículos 16 de la Constitución Federal, y 17 fracción V</w:t>
      </w:r>
      <w:r w:rsidR="005F586A">
        <w:rPr>
          <w:rStyle w:val="Refdenotaalpie"/>
          <w:rFonts w:ascii="Arial" w:hAnsi="Arial" w:cs="Arial"/>
          <w:sz w:val="26"/>
          <w:szCs w:val="26"/>
          <w:lang w:val="es-ES_tradnl"/>
        </w:rPr>
        <w:footnoteReference w:id="25"/>
      </w:r>
      <w:r w:rsidR="005F586A" w:rsidRPr="00FE648B">
        <w:rPr>
          <w:rFonts w:ascii="Arial" w:hAnsi="Arial" w:cs="Arial"/>
          <w:sz w:val="26"/>
          <w:szCs w:val="26"/>
          <w:lang w:val="es-ES_tradnl"/>
        </w:rPr>
        <w:t xml:space="preserve"> de la </w:t>
      </w:r>
      <w:r w:rsidR="00F17D36" w:rsidRPr="00F17D36">
        <w:rPr>
          <w:rFonts w:ascii="Arial" w:hAnsi="Arial" w:cs="Arial"/>
          <w:i/>
          <w:sz w:val="26"/>
          <w:szCs w:val="26"/>
          <w:lang w:val="es-ES_tradnl"/>
        </w:rPr>
        <w:t>Ley de Procedimiento</w:t>
      </w:r>
      <w:r w:rsidR="005F586A" w:rsidRPr="00FE648B">
        <w:rPr>
          <w:rFonts w:ascii="Arial" w:hAnsi="Arial" w:cs="Arial"/>
          <w:sz w:val="26"/>
          <w:szCs w:val="26"/>
          <w:lang w:val="es-ES_tradnl"/>
        </w:rPr>
        <w:t xml:space="preserve">, lo cual incide en su validez y en sus efectos, porque constituye una violación formal en las resoluciones referidas, que al no ser subsanable, obliga en </w:t>
      </w:r>
      <w:r w:rsidR="008E34EE" w:rsidRPr="008E34EE">
        <w:rPr>
          <w:rFonts w:ascii="Arial" w:hAnsi="Arial" w:cs="Arial"/>
          <w:b/>
          <w:sz w:val="26"/>
          <w:szCs w:val="26"/>
          <w:lang w:val="es-ES_tradnl"/>
        </w:rPr>
        <w:t xml:space="preserve">CONSECUENCIA A DEJAR SIN EFECTOS </w:t>
      </w:r>
      <w:r w:rsidR="00917AD8">
        <w:rPr>
          <w:rFonts w:ascii="Arial" w:hAnsi="Arial" w:cs="Arial"/>
          <w:b/>
          <w:sz w:val="26"/>
          <w:szCs w:val="26"/>
        </w:rPr>
        <w:t xml:space="preserve">TOTALES </w:t>
      </w:r>
      <w:r w:rsidR="0084681F">
        <w:rPr>
          <w:rFonts w:ascii="Arial" w:hAnsi="Arial" w:cs="Arial"/>
          <w:b/>
          <w:sz w:val="26"/>
          <w:szCs w:val="26"/>
        </w:rPr>
        <w:t xml:space="preserve">a) </w:t>
      </w:r>
      <w:r w:rsidR="0084681F">
        <w:rPr>
          <w:rFonts w:ascii="Arial" w:hAnsi="Arial" w:cs="Arial"/>
          <w:sz w:val="26"/>
          <w:szCs w:val="26"/>
          <w:lang w:val="es-ES"/>
        </w:rPr>
        <w:t xml:space="preserve">la notificación de la resolución de doce de febrero de dos mil diecinueve (12/02/2019), dictada dentro del Procedimiento para el Fincamiento de Responsabilidad Administrativa Resarcitoria </w:t>
      </w:r>
      <w:r w:rsidR="0084681F" w:rsidRPr="0084681F">
        <w:rPr>
          <w:rFonts w:ascii="Arial" w:hAnsi="Arial" w:cs="Arial"/>
          <w:sz w:val="26"/>
          <w:szCs w:val="26"/>
          <w:lang w:val="es-ES"/>
        </w:rPr>
        <w:t>ASE/UAJ/P.R./004/2016</w:t>
      </w:r>
      <w:r w:rsidR="0084681F">
        <w:rPr>
          <w:rFonts w:ascii="Arial" w:hAnsi="Arial" w:cs="Arial"/>
          <w:sz w:val="26"/>
          <w:szCs w:val="26"/>
          <w:lang w:val="es-ES"/>
        </w:rPr>
        <w:t xml:space="preserve">; </w:t>
      </w:r>
      <w:r w:rsidR="0084681F">
        <w:rPr>
          <w:rFonts w:ascii="Arial" w:hAnsi="Arial" w:cs="Arial"/>
          <w:b/>
          <w:sz w:val="26"/>
          <w:szCs w:val="26"/>
          <w:lang w:val="es-ES"/>
        </w:rPr>
        <w:t xml:space="preserve">b) </w:t>
      </w:r>
      <w:r w:rsidR="00A5382C" w:rsidRPr="0084681F">
        <w:rPr>
          <w:rFonts w:ascii="Arial" w:hAnsi="Arial" w:cs="Arial"/>
          <w:sz w:val="26"/>
          <w:szCs w:val="26"/>
        </w:rPr>
        <w:t xml:space="preserve">la resolución </w:t>
      </w:r>
      <w:r w:rsidR="00F231A8" w:rsidRPr="0084681F">
        <w:rPr>
          <w:rFonts w:ascii="Arial" w:eastAsia="Times New Roman" w:hAnsi="Arial" w:cs="Arial"/>
          <w:bCs/>
          <w:sz w:val="26"/>
          <w:szCs w:val="26"/>
          <w:lang w:val="es-ES_tradnl" w:eastAsia="es-ES"/>
        </w:rPr>
        <w:t xml:space="preserve">de doce de febrero de dos mil diecinueve (12/02/2019) dictada dentro del expediente </w:t>
      </w:r>
      <w:r w:rsidR="00F231A8" w:rsidRPr="0084681F">
        <w:rPr>
          <w:rFonts w:ascii="Arial" w:hAnsi="Arial" w:cs="Arial"/>
          <w:sz w:val="26"/>
          <w:szCs w:val="26"/>
        </w:rPr>
        <w:lastRenderedPageBreak/>
        <w:t>ASE/UAJ/P.R./004/2016</w:t>
      </w:r>
      <w:r w:rsidR="0084681F">
        <w:rPr>
          <w:rFonts w:ascii="Arial" w:hAnsi="Arial" w:cs="Arial"/>
          <w:sz w:val="26"/>
          <w:szCs w:val="26"/>
        </w:rPr>
        <w:t xml:space="preserve">; y </w:t>
      </w:r>
      <w:r w:rsidR="0084681F">
        <w:rPr>
          <w:rFonts w:ascii="Arial" w:hAnsi="Arial" w:cs="Arial"/>
          <w:b/>
          <w:sz w:val="26"/>
          <w:szCs w:val="26"/>
        </w:rPr>
        <w:t>c)</w:t>
      </w:r>
      <w:r w:rsidR="0084681F">
        <w:rPr>
          <w:rFonts w:ascii="Arial" w:hAnsi="Arial" w:cs="Arial"/>
          <w:sz w:val="26"/>
          <w:szCs w:val="26"/>
        </w:rPr>
        <w:t xml:space="preserve"> </w:t>
      </w:r>
      <w:r>
        <w:rPr>
          <w:rFonts w:ascii="Arial" w:hAnsi="Arial" w:cs="Arial"/>
          <w:sz w:val="26"/>
          <w:szCs w:val="26"/>
        </w:rPr>
        <w:t>Derivado de lo anterior, l</w:t>
      </w:r>
      <w:r w:rsidR="00A5382C" w:rsidRPr="0084681F">
        <w:rPr>
          <w:rFonts w:ascii="Arial" w:hAnsi="Arial" w:cs="Arial"/>
          <w:sz w:val="26"/>
          <w:szCs w:val="26"/>
        </w:rPr>
        <w:t xml:space="preserve">as demás actuaciones subsecuentes, incluido el oficio </w:t>
      </w:r>
      <w:r w:rsidR="00F231A8" w:rsidRPr="0084681F">
        <w:rPr>
          <w:rFonts w:ascii="Arial" w:hAnsi="Arial" w:cs="Arial"/>
          <w:sz w:val="26"/>
          <w:szCs w:val="26"/>
        </w:rPr>
        <w:t>OSFE/UAJ/01586/2019, de cuatro de septiembre de dos mil diecinueve (04/09/2019), por el que se solicitó a la Secretaría de Finanzas del Gobierno del Estado que proceda a hacer efectivo el cobro de la sanción impuesta</w:t>
      </w:r>
      <w:r>
        <w:rPr>
          <w:rFonts w:ascii="Arial" w:hAnsi="Arial" w:cs="Arial"/>
          <w:sz w:val="26"/>
          <w:szCs w:val="26"/>
        </w:rPr>
        <w:t>.</w:t>
      </w:r>
    </w:p>
    <w:p w14:paraId="167E7907" w14:textId="24D8F57F" w:rsidR="005F586A" w:rsidRPr="00FE648B" w:rsidRDefault="008076CE" w:rsidP="00247307">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rPr>
        <w:t>96. Lo anterior</w:t>
      </w:r>
      <w:r w:rsidR="00F231A8">
        <w:rPr>
          <w:rFonts w:ascii="Arial" w:hAnsi="Arial" w:cs="Arial"/>
          <w:sz w:val="26"/>
          <w:szCs w:val="26"/>
        </w:rPr>
        <w:t xml:space="preserve"> de conformidad con</w:t>
      </w:r>
      <w:r w:rsidR="005F586A" w:rsidRPr="00FE648B">
        <w:rPr>
          <w:rFonts w:ascii="Arial" w:hAnsi="Arial" w:cs="Arial"/>
          <w:sz w:val="26"/>
          <w:szCs w:val="26"/>
        </w:rPr>
        <w:t xml:space="preserve"> lo dispuesto en el artículo 40 fracción IV</w:t>
      </w:r>
      <w:r w:rsidR="005F586A">
        <w:rPr>
          <w:rStyle w:val="Refdenotaalpie"/>
          <w:rFonts w:ascii="Arial" w:hAnsi="Arial" w:cs="Arial"/>
          <w:sz w:val="26"/>
          <w:szCs w:val="26"/>
        </w:rPr>
        <w:footnoteReference w:id="26"/>
      </w:r>
      <w:r w:rsidR="005F586A" w:rsidRPr="00FE648B">
        <w:rPr>
          <w:rFonts w:ascii="Arial" w:hAnsi="Arial" w:cs="Arial"/>
          <w:sz w:val="26"/>
          <w:szCs w:val="26"/>
        </w:rPr>
        <w:t xml:space="preserve"> de la </w:t>
      </w:r>
      <w:r w:rsidR="00F17D36" w:rsidRPr="00F17D36">
        <w:rPr>
          <w:rFonts w:ascii="Arial" w:hAnsi="Arial" w:cs="Arial"/>
          <w:i/>
          <w:sz w:val="26"/>
          <w:szCs w:val="26"/>
        </w:rPr>
        <w:t>Ley de Justicia</w:t>
      </w:r>
      <w:r w:rsidR="005F586A" w:rsidRPr="00FE648B">
        <w:rPr>
          <w:rFonts w:ascii="Arial" w:hAnsi="Arial" w:cs="Arial"/>
          <w:sz w:val="26"/>
          <w:szCs w:val="26"/>
        </w:rPr>
        <w:t xml:space="preserve">, </w:t>
      </w:r>
      <w:r w:rsidR="005F586A" w:rsidRPr="008E34EE">
        <w:rPr>
          <w:rFonts w:ascii="Arial" w:hAnsi="Arial" w:cs="Arial"/>
          <w:b/>
          <w:sz w:val="26"/>
          <w:szCs w:val="26"/>
        </w:rPr>
        <w:t>siendo idénticos los efectos de esta sentencia a la declaración de nulidad lisa y llana de los actos administrativos</w:t>
      </w:r>
      <w:r w:rsidR="005F586A" w:rsidRPr="00FE648B">
        <w:rPr>
          <w:rFonts w:ascii="Arial" w:hAnsi="Arial" w:cs="Arial"/>
          <w:sz w:val="26"/>
          <w:szCs w:val="26"/>
        </w:rPr>
        <w:t xml:space="preserve"> prevista en el numeral 18 fracciones I y II</w:t>
      </w:r>
      <w:r w:rsidR="005F586A">
        <w:rPr>
          <w:rStyle w:val="Refdenotaalpie"/>
          <w:rFonts w:ascii="Arial" w:hAnsi="Arial" w:cs="Arial"/>
          <w:sz w:val="26"/>
          <w:szCs w:val="26"/>
        </w:rPr>
        <w:footnoteReference w:id="27"/>
      </w:r>
      <w:r w:rsidR="005F586A" w:rsidRPr="00FE648B">
        <w:rPr>
          <w:rFonts w:ascii="Arial" w:hAnsi="Arial" w:cs="Arial"/>
          <w:sz w:val="26"/>
          <w:szCs w:val="26"/>
        </w:rPr>
        <w:t xml:space="preserve"> de la </w:t>
      </w:r>
      <w:r w:rsidR="00F17D36" w:rsidRPr="00F17D36">
        <w:rPr>
          <w:rFonts w:ascii="Arial" w:hAnsi="Arial" w:cs="Arial"/>
          <w:i/>
          <w:sz w:val="26"/>
          <w:szCs w:val="26"/>
        </w:rPr>
        <w:t>Ley de Procedimiento</w:t>
      </w:r>
      <w:r w:rsidR="005F586A" w:rsidRPr="00FE648B">
        <w:rPr>
          <w:rFonts w:ascii="Arial" w:hAnsi="Arial" w:cs="Arial"/>
          <w:sz w:val="26"/>
          <w:szCs w:val="26"/>
        </w:rPr>
        <w:t xml:space="preserve">. </w:t>
      </w:r>
    </w:p>
    <w:p w14:paraId="779EC513" w14:textId="4189DFD9" w:rsidR="008E34EE" w:rsidRPr="008E34EE" w:rsidRDefault="008E34EE" w:rsidP="00227923">
      <w:pPr>
        <w:tabs>
          <w:tab w:val="left" w:pos="5670"/>
        </w:tabs>
        <w:autoSpaceDE w:val="0"/>
        <w:autoSpaceDN w:val="0"/>
        <w:adjustRightInd w:val="0"/>
        <w:spacing w:after="240" w:line="360" w:lineRule="auto"/>
        <w:ind w:firstLine="708"/>
        <w:jc w:val="both"/>
        <w:rPr>
          <w:rFonts w:ascii="Arial" w:eastAsia="Arial Unicode MS" w:hAnsi="Arial" w:cs="Arial"/>
          <w:b/>
          <w:sz w:val="26"/>
          <w:szCs w:val="26"/>
        </w:rPr>
      </w:pPr>
      <w:r>
        <w:rPr>
          <w:rFonts w:ascii="Arial" w:eastAsia="Arial Unicode MS" w:hAnsi="Arial" w:cs="Arial"/>
          <w:b/>
          <w:sz w:val="26"/>
          <w:szCs w:val="26"/>
        </w:rPr>
        <w:t>DÉCIMO. NOTIFICACIÓN.</w:t>
      </w:r>
    </w:p>
    <w:p w14:paraId="615D6185" w14:textId="4B061F71" w:rsidR="008E34EE" w:rsidRPr="008E34EE" w:rsidRDefault="008076CE" w:rsidP="00227923">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Pr>
          <w:rFonts w:ascii="Arial" w:eastAsia="Arial Unicode MS" w:hAnsi="Arial" w:cs="Arial"/>
          <w:sz w:val="26"/>
          <w:szCs w:val="26"/>
        </w:rPr>
        <w:t>97</w:t>
      </w:r>
      <w:r w:rsidR="00247307">
        <w:rPr>
          <w:rFonts w:ascii="Arial" w:eastAsia="Arial Unicode MS" w:hAnsi="Arial" w:cs="Arial"/>
          <w:sz w:val="26"/>
          <w:szCs w:val="26"/>
        </w:rPr>
        <w:t xml:space="preserve">. </w:t>
      </w:r>
      <w:r w:rsidR="008E34EE">
        <w:rPr>
          <w:rFonts w:ascii="Arial" w:eastAsia="Arial Unicode MS" w:hAnsi="Arial" w:cs="Arial"/>
          <w:sz w:val="26"/>
          <w:szCs w:val="26"/>
        </w:rPr>
        <w:t xml:space="preserve">Notifíquese personalmente a la parte actora y mediante oficio a la autoridad demandada; lo anterior de conformidad con lo establecido en los artículos 172, fracción I y 173, fracciones I y II de la </w:t>
      </w:r>
      <w:r w:rsidR="00F17D36" w:rsidRPr="00F17D36">
        <w:rPr>
          <w:rFonts w:ascii="Arial" w:hAnsi="Arial" w:cs="Arial"/>
          <w:i/>
          <w:sz w:val="26"/>
          <w:szCs w:val="26"/>
        </w:rPr>
        <w:t xml:space="preserve">Ley de </w:t>
      </w:r>
      <w:proofErr w:type="gramStart"/>
      <w:r w:rsidR="00F17D36" w:rsidRPr="00F17D36">
        <w:rPr>
          <w:rFonts w:ascii="Arial" w:hAnsi="Arial" w:cs="Arial"/>
          <w:i/>
          <w:sz w:val="26"/>
          <w:szCs w:val="26"/>
        </w:rPr>
        <w:t>Procedimiento</w:t>
      </w:r>
      <w:r w:rsidR="00F231A8" w:rsidRPr="00FE648B">
        <w:rPr>
          <w:rFonts w:ascii="Arial" w:hAnsi="Arial" w:cs="Arial"/>
          <w:sz w:val="26"/>
          <w:szCs w:val="26"/>
        </w:rPr>
        <w:t>.</w:t>
      </w:r>
      <w:r w:rsidR="008E34EE">
        <w:rPr>
          <w:rFonts w:ascii="Arial" w:eastAsia="Arial Unicode MS" w:hAnsi="Arial" w:cs="Arial"/>
          <w:i/>
          <w:sz w:val="26"/>
          <w:szCs w:val="26"/>
        </w:rPr>
        <w:t>-</w:t>
      </w:r>
      <w:proofErr w:type="gramEnd"/>
      <w:r w:rsidR="008E34EE">
        <w:rPr>
          <w:rFonts w:ascii="Arial" w:eastAsia="Arial Unicode MS" w:hAnsi="Arial" w:cs="Arial"/>
          <w:i/>
          <w:sz w:val="26"/>
          <w:szCs w:val="26"/>
        </w:rPr>
        <w:t xml:space="preserve"> </w:t>
      </w:r>
      <w:r w:rsidR="008E34EE">
        <w:rPr>
          <w:rFonts w:ascii="Arial" w:eastAsia="Arial Unicode MS" w:hAnsi="Arial" w:cs="Arial"/>
          <w:sz w:val="26"/>
          <w:szCs w:val="26"/>
        </w:rPr>
        <w:t>Cúmplase</w:t>
      </w:r>
    </w:p>
    <w:p w14:paraId="0CF5CECC" w14:textId="3596F973" w:rsidR="005F586A" w:rsidRPr="00F00209" w:rsidRDefault="008076CE" w:rsidP="00227923">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Pr>
          <w:rFonts w:ascii="Arial" w:eastAsia="Arial Unicode MS" w:hAnsi="Arial" w:cs="Arial"/>
          <w:sz w:val="26"/>
          <w:szCs w:val="26"/>
        </w:rPr>
        <w:t>98</w:t>
      </w:r>
      <w:r w:rsidR="00247307">
        <w:rPr>
          <w:rFonts w:ascii="Arial" w:eastAsia="Arial Unicode MS" w:hAnsi="Arial" w:cs="Arial"/>
          <w:sz w:val="26"/>
          <w:szCs w:val="26"/>
        </w:rPr>
        <w:t xml:space="preserve">. </w:t>
      </w:r>
      <w:r w:rsidR="005F586A" w:rsidRPr="00F00209">
        <w:rPr>
          <w:rFonts w:ascii="Arial" w:eastAsia="Arial Unicode MS" w:hAnsi="Arial" w:cs="Arial"/>
          <w:sz w:val="26"/>
          <w:szCs w:val="26"/>
        </w:rPr>
        <w:t xml:space="preserve">En mérito de lo expuesto y con apoyo en los artículos 4, 5, 27, </w:t>
      </w:r>
      <w:r w:rsidR="005F586A" w:rsidRPr="00F00209">
        <w:rPr>
          <w:rFonts w:ascii="Arial" w:eastAsia="Arial Unicode MS" w:hAnsi="Arial" w:cs="Arial"/>
          <w:bCs/>
          <w:iCs/>
          <w:sz w:val="26"/>
          <w:szCs w:val="26"/>
        </w:rPr>
        <w:t xml:space="preserve">39, 40 y 43 </w:t>
      </w:r>
      <w:r w:rsidR="00F17D36" w:rsidRPr="00F17D36">
        <w:rPr>
          <w:rFonts w:ascii="Arial" w:eastAsia="Arial Unicode MS" w:hAnsi="Arial" w:cs="Arial"/>
          <w:i/>
          <w:sz w:val="26"/>
          <w:szCs w:val="26"/>
        </w:rPr>
        <w:t>Ley de Justicia</w:t>
      </w:r>
      <w:r w:rsidR="005F586A" w:rsidRPr="00F00209">
        <w:rPr>
          <w:rFonts w:ascii="Arial" w:eastAsia="Arial Unicode MS" w:hAnsi="Arial" w:cs="Arial"/>
          <w:bCs/>
          <w:iCs/>
          <w:sz w:val="26"/>
          <w:szCs w:val="26"/>
        </w:rPr>
        <w:t>,</w:t>
      </w:r>
      <w:r w:rsidR="00AF59CA">
        <w:rPr>
          <w:rFonts w:ascii="Arial" w:eastAsia="Arial Unicode MS" w:hAnsi="Arial" w:cs="Arial"/>
          <w:sz w:val="26"/>
          <w:szCs w:val="26"/>
        </w:rPr>
        <w:t xml:space="preserve"> se:</w:t>
      </w:r>
    </w:p>
    <w:p w14:paraId="4D0B2600" w14:textId="701B889F" w:rsidR="005F586A" w:rsidRPr="00F00209" w:rsidRDefault="00AF59CA" w:rsidP="00227923">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r>
        <w:rPr>
          <w:rFonts w:ascii="Arial" w:eastAsia="Arial Unicode MS" w:hAnsi="Arial" w:cs="Arial"/>
          <w:b/>
          <w:sz w:val="26"/>
          <w:szCs w:val="26"/>
          <w:lang w:val="es-ES_tradnl"/>
        </w:rPr>
        <w:t xml:space="preserve">3. </w:t>
      </w:r>
      <w:r w:rsidR="005F586A" w:rsidRPr="00F00209">
        <w:rPr>
          <w:rFonts w:ascii="Arial" w:eastAsia="Arial Unicode MS" w:hAnsi="Arial" w:cs="Arial"/>
          <w:b/>
          <w:sz w:val="26"/>
          <w:szCs w:val="26"/>
          <w:lang w:val="es-ES_tradnl"/>
        </w:rPr>
        <w:t>R E S U E L V E</w:t>
      </w:r>
    </w:p>
    <w:p w14:paraId="6A107272" w14:textId="0613D98F" w:rsidR="005F586A" w:rsidRPr="00F00209" w:rsidRDefault="005F586A" w:rsidP="00227923">
      <w:pPr>
        <w:tabs>
          <w:tab w:val="left" w:pos="5670"/>
        </w:tabs>
        <w:spacing w:after="100" w:afterAutospacing="1" w:line="360" w:lineRule="auto"/>
        <w:ind w:firstLine="709"/>
        <w:jc w:val="both"/>
        <w:rPr>
          <w:rFonts w:ascii="Arial" w:eastAsia="Arial Unicode MS" w:hAnsi="Arial" w:cs="Arial"/>
          <w:sz w:val="26"/>
          <w:szCs w:val="26"/>
          <w:lang w:val="es-ES" w:eastAsia="es-ES"/>
        </w:rPr>
      </w:pPr>
      <w:r w:rsidRPr="00F00209">
        <w:rPr>
          <w:rFonts w:ascii="Arial" w:eastAsia="Arial Unicode MS" w:hAnsi="Arial" w:cs="Arial"/>
          <w:b/>
          <w:sz w:val="26"/>
          <w:szCs w:val="26"/>
          <w:lang w:eastAsia="es-ES"/>
        </w:rPr>
        <w:t xml:space="preserve">PRIMERO. </w:t>
      </w:r>
      <w:r w:rsidRPr="00F00209">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w:t>
      </w:r>
      <w:r w:rsidR="008E34EE">
        <w:rPr>
          <w:rFonts w:ascii="Arial" w:eastAsia="Arial Unicode MS" w:hAnsi="Arial" w:cs="Arial"/>
          <w:sz w:val="26"/>
          <w:szCs w:val="26"/>
          <w:lang w:eastAsia="es-ES"/>
        </w:rPr>
        <w:t>- - - - - - - - - - - - - - - - - - - - - - - - - - - - - - - - - - - - -</w:t>
      </w:r>
    </w:p>
    <w:p w14:paraId="140381B8" w14:textId="77777777" w:rsidR="005F586A" w:rsidRPr="00F00209" w:rsidRDefault="005F586A" w:rsidP="00227923">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SEGUNDO</w:t>
      </w:r>
      <w:r w:rsidRPr="00F00209">
        <w:rPr>
          <w:rFonts w:ascii="Arial" w:eastAsia="Arial Unicode MS" w:hAnsi="Arial" w:cs="Arial"/>
          <w:sz w:val="26"/>
          <w:szCs w:val="26"/>
          <w:lang w:eastAsia="es-ES"/>
        </w:rPr>
        <w:t xml:space="preserve">. La personalidad de las partes quedó acreditada en autos. </w:t>
      </w:r>
    </w:p>
    <w:p w14:paraId="65941E72" w14:textId="428E027D" w:rsidR="005F586A" w:rsidRPr="00F00209" w:rsidRDefault="005F586A" w:rsidP="00227923">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lastRenderedPageBreak/>
        <w:t xml:space="preserve">TERCERO. </w:t>
      </w:r>
      <w:r w:rsidRPr="00F00209">
        <w:rPr>
          <w:rFonts w:ascii="Arial" w:eastAsia="Arial Unicode MS" w:hAnsi="Arial" w:cs="Arial"/>
          <w:sz w:val="26"/>
          <w:szCs w:val="26"/>
          <w:lang w:eastAsia="es-ES"/>
        </w:rPr>
        <w:t xml:space="preserve"> No se actualiza causal de improcedencia alguna, por lo que </w:t>
      </w:r>
      <w:r w:rsidRPr="00F00209">
        <w:rPr>
          <w:rFonts w:ascii="Arial" w:eastAsia="Arial Unicode MS" w:hAnsi="Arial" w:cs="Arial"/>
          <w:b/>
          <w:sz w:val="26"/>
          <w:szCs w:val="26"/>
          <w:lang w:eastAsia="es-ES"/>
        </w:rPr>
        <w:t>NO SE SOBRESEE EL JUICIO</w:t>
      </w:r>
      <w:r w:rsidRPr="00F00209">
        <w:rPr>
          <w:rFonts w:ascii="Arial" w:eastAsia="Arial Unicode MS" w:hAnsi="Arial" w:cs="Arial"/>
          <w:sz w:val="26"/>
          <w:szCs w:val="26"/>
          <w:lang w:eastAsia="es-ES"/>
        </w:rPr>
        <w:t xml:space="preserve">. </w:t>
      </w:r>
      <w:r w:rsidR="008E34EE">
        <w:rPr>
          <w:rFonts w:ascii="Arial" w:eastAsia="Arial Unicode MS" w:hAnsi="Arial" w:cs="Arial"/>
          <w:sz w:val="26"/>
          <w:szCs w:val="26"/>
          <w:lang w:eastAsia="es-ES"/>
        </w:rPr>
        <w:t>- - - - - - - - - - - - - - - - - - - - - - - - - - - - -</w:t>
      </w:r>
    </w:p>
    <w:p w14:paraId="6C276458" w14:textId="3046557C" w:rsidR="0084681F" w:rsidRDefault="005F586A" w:rsidP="00227923">
      <w:pPr>
        <w:tabs>
          <w:tab w:val="left" w:pos="5670"/>
        </w:tabs>
        <w:autoSpaceDE w:val="0"/>
        <w:autoSpaceDN w:val="0"/>
        <w:adjustRightInd w:val="0"/>
        <w:spacing w:after="240" w:line="360" w:lineRule="auto"/>
        <w:ind w:firstLine="708"/>
        <w:jc w:val="both"/>
        <w:rPr>
          <w:rFonts w:ascii="Arial" w:eastAsia="Times New Roman" w:hAnsi="Arial" w:cs="Arial"/>
          <w:bCs/>
          <w:sz w:val="26"/>
          <w:szCs w:val="26"/>
          <w:lang w:val="es-ES_tradnl" w:eastAsia="es-ES"/>
        </w:rPr>
      </w:pPr>
      <w:r w:rsidRPr="00F00209">
        <w:rPr>
          <w:rFonts w:ascii="Arial" w:eastAsia="Arial Unicode MS" w:hAnsi="Arial" w:cs="Arial"/>
          <w:b/>
          <w:sz w:val="26"/>
          <w:szCs w:val="26"/>
        </w:rPr>
        <w:t xml:space="preserve">CUARTO. </w:t>
      </w:r>
      <w:r w:rsidRPr="00F00209">
        <w:rPr>
          <w:rFonts w:ascii="Arial" w:eastAsia="Arial Unicode MS" w:hAnsi="Arial" w:cs="Arial"/>
          <w:sz w:val="26"/>
          <w:szCs w:val="26"/>
        </w:rPr>
        <w:t xml:space="preserve"> Por las razones expuestas en el considerando</w:t>
      </w:r>
      <w:r>
        <w:rPr>
          <w:rFonts w:ascii="Arial" w:eastAsia="Arial Unicode MS" w:hAnsi="Arial" w:cs="Arial"/>
          <w:sz w:val="26"/>
          <w:szCs w:val="26"/>
        </w:rPr>
        <w:t xml:space="preserve"> anterior</w:t>
      </w:r>
      <w:r w:rsidRPr="00F00209">
        <w:rPr>
          <w:rFonts w:ascii="Arial" w:eastAsia="Arial Unicode MS" w:hAnsi="Arial" w:cs="Arial"/>
          <w:sz w:val="26"/>
          <w:szCs w:val="26"/>
        </w:rPr>
        <w:t xml:space="preserve"> de este fallo, </w:t>
      </w:r>
      <w:r w:rsidR="00E84ABB">
        <w:rPr>
          <w:rFonts w:ascii="Arial" w:eastAsia="Times New Roman" w:hAnsi="Arial" w:cs="Arial"/>
          <w:b/>
          <w:bCs/>
          <w:sz w:val="26"/>
          <w:szCs w:val="26"/>
          <w:lang w:val="es-ES_tradnl" w:eastAsia="es-ES"/>
        </w:rPr>
        <w:t>DEJA SIN EFECTOS TOTALES</w:t>
      </w:r>
      <w:r w:rsidR="00E84ABB">
        <w:rPr>
          <w:rFonts w:ascii="Arial" w:eastAsia="Times New Roman" w:hAnsi="Arial" w:cs="Arial"/>
          <w:bCs/>
          <w:sz w:val="26"/>
          <w:szCs w:val="26"/>
          <w:lang w:val="es-ES_tradnl" w:eastAsia="es-ES"/>
        </w:rPr>
        <w:t xml:space="preserve"> </w:t>
      </w:r>
      <w:r w:rsidR="0084681F">
        <w:rPr>
          <w:rFonts w:ascii="Arial" w:hAnsi="Arial" w:cs="Arial"/>
          <w:sz w:val="26"/>
          <w:szCs w:val="26"/>
          <w:lang w:val="es-ES"/>
        </w:rPr>
        <w:t xml:space="preserve">la notificación de la resolución de doce de febrero de dos mil diecinueve (12/02/2019), dictada dentro del Procedimiento para el Fincamiento de Responsabilidad Administrativa Resarcitoria </w:t>
      </w:r>
      <w:r w:rsidR="0084681F" w:rsidRPr="0084681F">
        <w:rPr>
          <w:rFonts w:ascii="Arial" w:hAnsi="Arial" w:cs="Arial"/>
          <w:sz w:val="26"/>
          <w:szCs w:val="26"/>
          <w:lang w:val="es-ES"/>
        </w:rPr>
        <w:t>ASE/UAJ/P.R./004/2016</w:t>
      </w:r>
      <w:r w:rsidR="00E534D2">
        <w:rPr>
          <w:rFonts w:ascii="Arial" w:hAnsi="Arial" w:cs="Arial"/>
          <w:sz w:val="26"/>
          <w:szCs w:val="26"/>
        </w:rPr>
        <w:t>, únicamente por lo que hace al promovente de este juicio</w:t>
      </w:r>
      <w:r w:rsidR="00E534D2">
        <w:rPr>
          <w:rFonts w:ascii="Arial" w:hAnsi="Arial" w:cs="Arial"/>
          <w:sz w:val="26"/>
          <w:szCs w:val="26"/>
          <w:lang w:val="es-ES_tradnl"/>
        </w:rPr>
        <w:t>.</w:t>
      </w:r>
      <w:r w:rsidR="0084681F">
        <w:rPr>
          <w:rFonts w:ascii="Arial" w:hAnsi="Arial" w:cs="Arial"/>
          <w:sz w:val="26"/>
          <w:szCs w:val="26"/>
          <w:lang w:val="es-ES"/>
        </w:rPr>
        <w:t xml:space="preserve"> - - - - - - - - - - - - - - - - - - - - - - - - - - - - </w:t>
      </w:r>
      <w:r w:rsidR="00E534D2">
        <w:rPr>
          <w:rFonts w:ascii="Arial" w:hAnsi="Arial" w:cs="Arial"/>
          <w:sz w:val="26"/>
          <w:szCs w:val="26"/>
          <w:lang w:val="es-ES"/>
        </w:rPr>
        <w:t>- - - - - -  - -</w:t>
      </w:r>
    </w:p>
    <w:p w14:paraId="7E60FADD" w14:textId="2C9D5BA0" w:rsidR="005F586A" w:rsidRPr="00F00209" w:rsidRDefault="0084681F" w:rsidP="00227923">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rPr>
      </w:pPr>
      <w:r>
        <w:rPr>
          <w:rFonts w:ascii="Arial" w:eastAsia="Arial Unicode MS" w:hAnsi="Arial" w:cs="Arial"/>
          <w:b/>
          <w:sz w:val="26"/>
          <w:szCs w:val="26"/>
        </w:rPr>
        <w:t>QUINTO</w:t>
      </w:r>
      <w:r w:rsidRPr="00F00209">
        <w:rPr>
          <w:rFonts w:ascii="Arial" w:eastAsia="Arial Unicode MS" w:hAnsi="Arial" w:cs="Arial"/>
          <w:b/>
          <w:sz w:val="26"/>
          <w:szCs w:val="26"/>
        </w:rPr>
        <w:t xml:space="preserve">. </w:t>
      </w:r>
      <w:r w:rsidRPr="00F00209">
        <w:rPr>
          <w:rFonts w:ascii="Arial" w:eastAsia="Arial Unicode MS" w:hAnsi="Arial" w:cs="Arial"/>
          <w:sz w:val="26"/>
          <w:szCs w:val="26"/>
        </w:rPr>
        <w:t xml:space="preserve"> Por las razones expuestas en el considerando</w:t>
      </w:r>
      <w:r>
        <w:rPr>
          <w:rFonts w:ascii="Arial" w:eastAsia="Arial Unicode MS" w:hAnsi="Arial" w:cs="Arial"/>
          <w:sz w:val="26"/>
          <w:szCs w:val="26"/>
        </w:rPr>
        <w:t xml:space="preserve"> anterior</w:t>
      </w:r>
      <w:r w:rsidRPr="00F00209">
        <w:rPr>
          <w:rFonts w:ascii="Arial" w:eastAsia="Arial Unicode MS" w:hAnsi="Arial" w:cs="Arial"/>
          <w:sz w:val="26"/>
          <w:szCs w:val="26"/>
        </w:rPr>
        <w:t xml:space="preserve"> de este fallo, </w:t>
      </w:r>
      <w:r>
        <w:rPr>
          <w:rFonts w:ascii="Arial" w:eastAsia="Times New Roman" w:hAnsi="Arial" w:cs="Arial"/>
          <w:b/>
          <w:bCs/>
          <w:sz w:val="26"/>
          <w:szCs w:val="26"/>
          <w:lang w:val="es-ES_tradnl" w:eastAsia="es-ES"/>
        </w:rPr>
        <w:t>DEJA SIN EFECTOS TOTALES</w:t>
      </w:r>
      <w:r>
        <w:rPr>
          <w:rFonts w:ascii="Arial" w:eastAsia="Times New Roman" w:hAnsi="Arial" w:cs="Arial"/>
          <w:bCs/>
          <w:sz w:val="26"/>
          <w:szCs w:val="26"/>
          <w:lang w:val="es-ES_tradnl" w:eastAsia="es-ES"/>
        </w:rPr>
        <w:t xml:space="preserve"> </w:t>
      </w:r>
      <w:r w:rsidR="00E84ABB">
        <w:rPr>
          <w:rFonts w:ascii="Arial" w:eastAsia="Times New Roman" w:hAnsi="Arial" w:cs="Arial"/>
          <w:bCs/>
          <w:sz w:val="26"/>
          <w:szCs w:val="26"/>
          <w:lang w:val="es-ES_tradnl" w:eastAsia="es-ES"/>
        </w:rPr>
        <w:t xml:space="preserve">la </w:t>
      </w:r>
      <w:r w:rsidR="00F231A8">
        <w:rPr>
          <w:rFonts w:ascii="Arial" w:eastAsia="Times New Roman" w:hAnsi="Arial" w:cs="Arial"/>
          <w:bCs/>
          <w:sz w:val="26"/>
          <w:szCs w:val="26"/>
          <w:lang w:val="es-ES_tradnl" w:eastAsia="es-ES"/>
        </w:rPr>
        <w:t xml:space="preserve">resolución de doce de febrero de dos mil diecinueve (12/02/2019) dictada dentro del expediente </w:t>
      </w:r>
      <w:r w:rsidR="00F231A8">
        <w:rPr>
          <w:rFonts w:ascii="Arial" w:hAnsi="Arial" w:cs="Arial"/>
          <w:b/>
          <w:sz w:val="26"/>
          <w:szCs w:val="26"/>
        </w:rPr>
        <w:t>ASE</w:t>
      </w:r>
      <w:r w:rsidR="00F231A8" w:rsidRPr="006F6E97">
        <w:rPr>
          <w:rFonts w:ascii="Arial" w:hAnsi="Arial" w:cs="Arial"/>
          <w:b/>
          <w:sz w:val="26"/>
          <w:szCs w:val="26"/>
        </w:rPr>
        <w:t>/</w:t>
      </w:r>
      <w:r w:rsidR="00F231A8">
        <w:rPr>
          <w:rFonts w:ascii="Arial" w:hAnsi="Arial" w:cs="Arial"/>
          <w:b/>
          <w:sz w:val="26"/>
          <w:szCs w:val="26"/>
        </w:rPr>
        <w:t xml:space="preserve">UAJ/P.R./004/2016, </w:t>
      </w:r>
      <w:r w:rsidR="00F231A8">
        <w:rPr>
          <w:rFonts w:ascii="Arial" w:hAnsi="Arial" w:cs="Arial"/>
          <w:sz w:val="26"/>
          <w:szCs w:val="26"/>
        </w:rPr>
        <w:t xml:space="preserve">relativo al Procedimiento para el Fincamiento de Responsabilidad Administrativa Resarcitoria, del índice del entonces Órgano Superior de Fiscalización del Estado de Oaxaca actualmente Auditoría Superior de Fiscalización del Estado de Oaxaca, </w:t>
      </w:r>
      <w:r w:rsidR="00F231A8">
        <w:rPr>
          <w:rFonts w:ascii="Arial" w:hAnsi="Arial" w:cs="Arial"/>
          <w:sz w:val="26"/>
          <w:szCs w:val="26"/>
          <w:lang w:val="es-ES_tradnl"/>
        </w:rPr>
        <w:t>por la cual se impuso al ciudadano</w:t>
      </w:r>
      <w:r w:rsidR="009111F5">
        <w:rPr>
          <w:rFonts w:ascii="Arial" w:hAnsi="Arial" w:cs="Arial"/>
          <w:b/>
          <w:sz w:val="26"/>
          <w:szCs w:val="26"/>
          <w:lang w:val="es-ES_tradnl"/>
        </w:rPr>
        <w:t xml:space="preserve"> </w:t>
      </w:r>
      <w:r w:rsidR="009111F5">
        <w:rPr>
          <w:rFonts w:ascii="Arial" w:hAnsi="Arial" w:cs="Arial"/>
          <w:b/>
          <w:sz w:val="26"/>
          <w:szCs w:val="26"/>
        </w:rPr>
        <w:t>**********</w:t>
      </w:r>
      <w:r w:rsidR="00F231A8" w:rsidRPr="00917AD8">
        <w:rPr>
          <w:rFonts w:ascii="Arial" w:hAnsi="Arial" w:cs="Arial"/>
          <w:sz w:val="26"/>
          <w:szCs w:val="26"/>
          <w:lang w:val="es-ES_tradnl"/>
        </w:rPr>
        <w:t xml:space="preserve">, </w:t>
      </w:r>
      <w:r w:rsidR="00F231A8">
        <w:rPr>
          <w:rFonts w:ascii="Arial" w:hAnsi="Arial" w:cs="Arial"/>
          <w:sz w:val="26"/>
          <w:szCs w:val="26"/>
          <w:lang w:val="es-ES_tradnl"/>
        </w:rPr>
        <w:t>la obligación de resarcir al Municipio de Valerio Trujano, Distrito de Cuicatlán, Oaxaca, la cantidad de $3,728,893.35 (Tres millones setecientos veintiocho mil ochocientos noventa y tres pesos 35/100 M.N.)</w:t>
      </w:r>
      <w:r w:rsidR="00F313C6">
        <w:rPr>
          <w:rFonts w:ascii="Arial" w:hAnsi="Arial" w:cs="Arial"/>
          <w:sz w:val="26"/>
          <w:szCs w:val="26"/>
          <w:lang w:val="es-ES_tradnl"/>
        </w:rPr>
        <w:t>, por los daños causados a su h</w:t>
      </w:r>
      <w:r w:rsidR="00F231A8">
        <w:rPr>
          <w:rFonts w:ascii="Arial" w:hAnsi="Arial" w:cs="Arial"/>
          <w:sz w:val="26"/>
          <w:szCs w:val="26"/>
          <w:lang w:val="es-ES_tradnl"/>
        </w:rPr>
        <w:t>acienda pública, durante el ejercicio fiscal dos mil trece, temporalidad en la que fungió como Presidente Municipal</w:t>
      </w:r>
      <w:r w:rsidR="00BE7173">
        <w:rPr>
          <w:rFonts w:ascii="Arial" w:hAnsi="Arial" w:cs="Arial"/>
          <w:sz w:val="26"/>
          <w:szCs w:val="26"/>
        </w:rPr>
        <w:t>, únicamente por lo que hace al promovente de este juicio</w:t>
      </w:r>
      <w:r w:rsidR="005F586A">
        <w:rPr>
          <w:rFonts w:ascii="Arial" w:hAnsi="Arial" w:cs="Arial"/>
          <w:sz w:val="26"/>
          <w:szCs w:val="26"/>
          <w:lang w:val="es-ES_tradnl"/>
        </w:rPr>
        <w:t>.</w:t>
      </w:r>
      <w:r w:rsidR="008E34EE">
        <w:rPr>
          <w:rFonts w:ascii="Arial" w:hAnsi="Arial" w:cs="Arial"/>
          <w:sz w:val="26"/>
          <w:szCs w:val="26"/>
          <w:lang w:val="es-ES_tradnl"/>
        </w:rPr>
        <w:t xml:space="preserve"> - - - - - - - - - - - - - - - - - - - - </w:t>
      </w:r>
      <w:r w:rsidR="00BE7173">
        <w:rPr>
          <w:rFonts w:ascii="Arial" w:hAnsi="Arial" w:cs="Arial"/>
          <w:sz w:val="26"/>
          <w:szCs w:val="26"/>
          <w:lang w:val="es-ES_tradnl"/>
        </w:rPr>
        <w:t>- - - - - - - - - - - - - - -</w:t>
      </w:r>
      <w:r w:rsidR="00F231A8">
        <w:rPr>
          <w:rFonts w:ascii="Arial" w:hAnsi="Arial" w:cs="Arial"/>
          <w:sz w:val="26"/>
          <w:szCs w:val="26"/>
          <w:lang w:val="es-ES_tradnl"/>
        </w:rPr>
        <w:t xml:space="preserve"> - - - - - - - - - - -  - - - - -</w:t>
      </w:r>
    </w:p>
    <w:p w14:paraId="6984EF5C" w14:textId="51D07276" w:rsidR="005F586A" w:rsidRPr="00F00209" w:rsidRDefault="0084681F" w:rsidP="00227923">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rPr>
      </w:pPr>
      <w:proofErr w:type="gramStart"/>
      <w:r>
        <w:rPr>
          <w:rFonts w:ascii="Arial" w:hAnsi="Arial" w:cs="Arial"/>
          <w:b/>
          <w:bCs/>
          <w:sz w:val="26"/>
          <w:szCs w:val="26"/>
        </w:rPr>
        <w:t>SEX</w:t>
      </w:r>
      <w:r w:rsidR="005F586A">
        <w:rPr>
          <w:rFonts w:ascii="Arial" w:hAnsi="Arial" w:cs="Arial"/>
          <w:b/>
          <w:bCs/>
          <w:sz w:val="26"/>
          <w:szCs w:val="26"/>
        </w:rPr>
        <w:t>TO.-</w:t>
      </w:r>
      <w:proofErr w:type="gramEnd"/>
      <w:r w:rsidR="005F586A">
        <w:rPr>
          <w:rFonts w:ascii="Arial" w:hAnsi="Arial" w:cs="Arial"/>
          <w:b/>
          <w:bCs/>
          <w:sz w:val="26"/>
          <w:szCs w:val="26"/>
        </w:rPr>
        <w:t xml:space="preserve"> </w:t>
      </w:r>
      <w:r w:rsidR="005F586A">
        <w:rPr>
          <w:rFonts w:ascii="Arial" w:eastAsia="Arial Unicode MS" w:hAnsi="Arial" w:cs="Arial"/>
          <w:sz w:val="26"/>
          <w:szCs w:val="26"/>
        </w:rPr>
        <w:t>Por lo</w:t>
      </w:r>
      <w:r w:rsidR="005F586A" w:rsidRPr="00F00209">
        <w:rPr>
          <w:rFonts w:ascii="Arial" w:eastAsia="Arial Unicode MS" w:hAnsi="Arial" w:cs="Arial"/>
          <w:sz w:val="26"/>
          <w:szCs w:val="26"/>
        </w:rPr>
        <w:t xml:space="preserve">s </w:t>
      </w:r>
      <w:r w:rsidR="005F586A">
        <w:rPr>
          <w:rFonts w:ascii="Arial" w:eastAsia="Arial Unicode MS" w:hAnsi="Arial" w:cs="Arial"/>
          <w:sz w:val="26"/>
          <w:szCs w:val="26"/>
        </w:rPr>
        <w:t xml:space="preserve">motivos </w:t>
      </w:r>
      <w:r w:rsidR="005F586A" w:rsidRPr="00F00209">
        <w:rPr>
          <w:rFonts w:ascii="Arial" w:eastAsia="Arial Unicode MS" w:hAnsi="Arial" w:cs="Arial"/>
          <w:sz w:val="26"/>
          <w:szCs w:val="26"/>
        </w:rPr>
        <w:t>exp</w:t>
      </w:r>
      <w:r w:rsidR="005F586A">
        <w:rPr>
          <w:rFonts w:ascii="Arial" w:eastAsia="Arial Unicode MS" w:hAnsi="Arial" w:cs="Arial"/>
          <w:sz w:val="26"/>
          <w:szCs w:val="26"/>
        </w:rPr>
        <w:t>licados</w:t>
      </w:r>
      <w:r w:rsidR="005F586A" w:rsidRPr="00F00209">
        <w:rPr>
          <w:rFonts w:ascii="Arial" w:eastAsia="Arial Unicode MS" w:hAnsi="Arial" w:cs="Arial"/>
          <w:sz w:val="26"/>
          <w:szCs w:val="26"/>
        </w:rPr>
        <w:t xml:space="preserve"> en el considerando </w:t>
      </w:r>
      <w:r w:rsidR="00BE7173">
        <w:rPr>
          <w:rFonts w:ascii="Arial" w:eastAsia="Arial Unicode MS" w:hAnsi="Arial" w:cs="Arial"/>
          <w:sz w:val="26"/>
          <w:szCs w:val="26"/>
        </w:rPr>
        <w:t>Noveno</w:t>
      </w:r>
      <w:r w:rsidR="005F586A" w:rsidRPr="00F00209">
        <w:rPr>
          <w:rFonts w:ascii="Arial" w:eastAsia="Arial Unicode MS" w:hAnsi="Arial" w:cs="Arial"/>
          <w:sz w:val="26"/>
          <w:szCs w:val="26"/>
        </w:rPr>
        <w:t xml:space="preserve">, de este fallo, </w:t>
      </w:r>
      <w:r w:rsidR="005F586A">
        <w:rPr>
          <w:rFonts w:ascii="Arial" w:hAnsi="Arial" w:cs="Arial"/>
          <w:b/>
          <w:sz w:val="26"/>
          <w:szCs w:val="26"/>
        </w:rPr>
        <w:t>SE DEJA</w:t>
      </w:r>
      <w:r w:rsidR="00BE7173">
        <w:rPr>
          <w:rFonts w:ascii="Arial" w:hAnsi="Arial" w:cs="Arial"/>
          <w:b/>
          <w:sz w:val="26"/>
          <w:szCs w:val="26"/>
        </w:rPr>
        <w:t>N</w:t>
      </w:r>
      <w:r w:rsidR="005F586A">
        <w:rPr>
          <w:rFonts w:ascii="Arial" w:hAnsi="Arial" w:cs="Arial"/>
          <w:b/>
          <w:sz w:val="26"/>
          <w:szCs w:val="26"/>
        </w:rPr>
        <w:t xml:space="preserve"> SIN EFECTOS</w:t>
      </w:r>
      <w:r w:rsidR="00F231A8">
        <w:rPr>
          <w:rFonts w:ascii="Arial" w:hAnsi="Arial" w:cs="Arial"/>
          <w:b/>
          <w:sz w:val="26"/>
          <w:szCs w:val="26"/>
        </w:rPr>
        <w:t xml:space="preserve"> TOTALES</w:t>
      </w:r>
      <w:r w:rsidR="00E84ABB">
        <w:rPr>
          <w:rFonts w:ascii="Arial" w:hAnsi="Arial" w:cs="Arial"/>
          <w:b/>
          <w:sz w:val="26"/>
          <w:szCs w:val="26"/>
        </w:rPr>
        <w:t xml:space="preserve"> </w:t>
      </w:r>
      <w:r w:rsidR="00BE7173">
        <w:rPr>
          <w:rFonts w:ascii="Arial" w:hAnsi="Arial" w:cs="Arial"/>
          <w:sz w:val="26"/>
          <w:szCs w:val="26"/>
        </w:rPr>
        <w:t xml:space="preserve">las demás actuaciones subsecuentes, incluido el oficio </w:t>
      </w:r>
      <w:r w:rsidR="00F231A8" w:rsidRPr="00F231A8">
        <w:rPr>
          <w:rFonts w:ascii="Arial" w:hAnsi="Arial" w:cs="Arial"/>
          <w:b/>
          <w:sz w:val="26"/>
          <w:szCs w:val="26"/>
        </w:rPr>
        <w:t>OSFE/UAJ/01586/2019</w:t>
      </w:r>
      <w:r w:rsidR="00F231A8" w:rsidRPr="00F231A8">
        <w:rPr>
          <w:rFonts w:ascii="Arial" w:hAnsi="Arial" w:cs="Arial"/>
          <w:sz w:val="26"/>
          <w:szCs w:val="26"/>
        </w:rPr>
        <w:t>, de cuatro de septiembre de dos mil diecinueve (04/09/2019), por el que se solicitó a la Secretaría de Finanzas del Gobierno del Estado que proceda a hacer efectivo el cobro de la sanción impuesta</w:t>
      </w:r>
      <w:r w:rsidR="005F586A">
        <w:rPr>
          <w:rFonts w:ascii="Arial" w:hAnsi="Arial" w:cs="Arial"/>
          <w:color w:val="000000"/>
          <w:sz w:val="26"/>
          <w:szCs w:val="26"/>
        </w:rPr>
        <w:t xml:space="preserve">, únicamente respecto del promovente de este juicio. </w:t>
      </w:r>
      <w:r w:rsidR="00BE7173">
        <w:rPr>
          <w:rFonts w:ascii="Arial" w:hAnsi="Arial" w:cs="Arial"/>
          <w:color w:val="000000"/>
          <w:sz w:val="26"/>
          <w:szCs w:val="26"/>
        </w:rPr>
        <w:t xml:space="preserve">- - - - - - - - - - </w:t>
      </w:r>
      <w:r w:rsidR="00F231A8">
        <w:rPr>
          <w:rFonts w:ascii="Arial" w:hAnsi="Arial" w:cs="Arial"/>
          <w:color w:val="000000"/>
          <w:sz w:val="26"/>
          <w:szCs w:val="26"/>
        </w:rPr>
        <w:t xml:space="preserve">- - - - - - - - - - - - - - - - - - - - - - - - - - - - - - - - - - - - - - - - - </w:t>
      </w:r>
    </w:p>
    <w:p w14:paraId="2BDF9F06" w14:textId="272A7CF1" w:rsidR="005F586A" w:rsidRPr="00F00209" w:rsidRDefault="0084681F" w:rsidP="00227923">
      <w:pPr>
        <w:tabs>
          <w:tab w:val="left" w:pos="5670"/>
        </w:tabs>
        <w:autoSpaceDE w:val="0"/>
        <w:autoSpaceDN w:val="0"/>
        <w:adjustRightInd w:val="0"/>
        <w:spacing w:after="240" w:line="360" w:lineRule="auto"/>
        <w:ind w:firstLine="708"/>
        <w:jc w:val="both"/>
        <w:rPr>
          <w:rFonts w:ascii="Arial" w:hAnsi="Arial" w:cs="Arial"/>
          <w:color w:val="000000"/>
          <w:sz w:val="26"/>
          <w:szCs w:val="26"/>
        </w:rPr>
      </w:pPr>
      <w:r>
        <w:rPr>
          <w:rFonts w:ascii="Arial" w:eastAsia="Arial Unicode MS" w:hAnsi="Arial" w:cs="Arial"/>
          <w:b/>
          <w:color w:val="000000"/>
          <w:sz w:val="26"/>
          <w:szCs w:val="26"/>
        </w:rPr>
        <w:t>SÉPTIM</w:t>
      </w:r>
      <w:r w:rsidR="005F586A">
        <w:rPr>
          <w:rFonts w:ascii="Arial" w:eastAsia="Arial Unicode MS" w:hAnsi="Arial" w:cs="Arial"/>
          <w:b/>
          <w:color w:val="000000"/>
          <w:sz w:val="26"/>
          <w:szCs w:val="26"/>
        </w:rPr>
        <w:t>O</w:t>
      </w:r>
      <w:r w:rsidR="005F586A" w:rsidRPr="00F00209">
        <w:rPr>
          <w:rFonts w:ascii="Arial" w:eastAsia="Arial Unicode MS" w:hAnsi="Arial" w:cs="Arial"/>
          <w:b/>
          <w:color w:val="000000"/>
          <w:sz w:val="26"/>
          <w:szCs w:val="26"/>
        </w:rPr>
        <w:t xml:space="preserve">. </w:t>
      </w:r>
      <w:r w:rsidR="005F586A" w:rsidRPr="00F00209">
        <w:rPr>
          <w:rFonts w:ascii="Arial" w:eastAsia="Arial" w:hAnsi="Arial" w:cs="Arial"/>
          <w:bCs/>
          <w:color w:val="000000"/>
          <w:sz w:val="26"/>
          <w:szCs w:val="26"/>
        </w:rPr>
        <w:t xml:space="preserve">Conforme a los artículos 45 y 46, fracción I de la </w:t>
      </w:r>
      <w:r w:rsidR="00F17D36" w:rsidRPr="00F17D36">
        <w:rPr>
          <w:rFonts w:ascii="Arial" w:eastAsia="Arial" w:hAnsi="Arial" w:cs="Arial"/>
          <w:bCs/>
          <w:i/>
          <w:color w:val="000000"/>
          <w:sz w:val="26"/>
          <w:szCs w:val="26"/>
        </w:rPr>
        <w:t>Ley de Justicia</w:t>
      </w:r>
      <w:r w:rsidR="005F586A" w:rsidRPr="00F00209">
        <w:rPr>
          <w:rFonts w:ascii="Arial" w:eastAsia="Arial" w:hAnsi="Arial" w:cs="Arial"/>
          <w:bCs/>
          <w:color w:val="000000"/>
          <w:sz w:val="26"/>
          <w:szCs w:val="26"/>
        </w:rPr>
        <w:t xml:space="preserve">, </w:t>
      </w:r>
      <w:r w:rsidR="005F586A" w:rsidRPr="00F00209">
        <w:rPr>
          <w:rFonts w:ascii="Arial" w:eastAsia="Arial" w:hAnsi="Arial" w:cs="Arial"/>
          <w:b/>
          <w:bCs/>
          <w:color w:val="000000"/>
          <w:sz w:val="26"/>
          <w:szCs w:val="26"/>
        </w:rPr>
        <w:t>NOTIFÍQUESE PERSONALMENTE AL ACTOR Y POR OFICIO A LA DEMANDADA. CÚMPLASE</w:t>
      </w:r>
      <w:r w:rsidR="005F586A" w:rsidRPr="00F00209">
        <w:rPr>
          <w:rFonts w:ascii="Arial" w:eastAsia="Arial" w:hAnsi="Arial" w:cs="Arial"/>
          <w:bCs/>
          <w:color w:val="000000"/>
          <w:sz w:val="26"/>
          <w:szCs w:val="26"/>
        </w:rPr>
        <w:t xml:space="preserve">. - - - - - - - - - - - - - - - - - - - - </w:t>
      </w:r>
      <w:r w:rsidR="008E34EE">
        <w:rPr>
          <w:rFonts w:ascii="Arial" w:eastAsia="Arial" w:hAnsi="Arial" w:cs="Arial"/>
          <w:bCs/>
          <w:color w:val="000000"/>
          <w:sz w:val="26"/>
          <w:szCs w:val="26"/>
        </w:rPr>
        <w:t xml:space="preserve">- - - - - - - - - - - - </w:t>
      </w:r>
    </w:p>
    <w:p w14:paraId="7871818F" w14:textId="6449761F" w:rsidR="00822337" w:rsidRDefault="00822337" w:rsidP="007B4929">
      <w:pPr>
        <w:spacing w:before="240" w:line="360" w:lineRule="auto"/>
        <w:ind w:firstLine="708"/>
        <w:jc w:val="both"/>
        <w:rPr>
          <w:rFonts w:ascii="Arial" w:hAnsi="Arial" w:cs="Arial"/>
          <w:color w:val="000000" w:themeColor="text1"/>
          <w:sz w:val="26"/>
          <w:szCs w:val="26"/>
        </w:rPr>
      </w:pPr>
      <w:r w:rsidRPr="007B04EE">
        <w:rPr>
          <w:rFonts w:ascii="Arial" w:hAnsi="Arial" w:cs="Arial"/>
          <w:sz w:val="26"/>
          <w:szCs w:val="26"/>
        </w:rPr>
        <w:lastRenderedPageBreak/>
        <w:t xml:space="preserve">Por unanimidad de votos, lo resolvieron y firmaron los Magistrados </w:t>
      </w:r>
      <w:r w:rsidRPr="00822337">
        <w:rPr>
          <w:rFonts w:ascii="Arial" w:hAnsi="Arial" w:cs="Arial"/>
          <w:color w:val="000000" w:themeColor="text1"/>
          <w:sz w:val="26"/>
          <w:szCs w:val="26"/>
        </w:rPr>
        <w:t xml:space="preserve">Mateo Martínez </w:t>
      </w:r>
      <w:proofErr w:type="spellStart"/>
      <w:r w:rsidRPr="00822337">
        <w:rPr>
          <w:rFonts w:ascii="Arial" w:hAnsi="Arial" w:cs="Arial"/>
          <w:color w:val="000000" w:themeColor="text1"/>
          <w:sz w:val="26"/>
          <w:szCs w:val="26"/>
        </w:rPr>
        <w:t>Martínez</w:t>
      </w:r>
      <w:proofErr w:type="spellEnd"/>
      <w:r w:rsidR="00E80D05">
        <w:rPr>
          <w:rFonts w:ascii="Arial" w:hAnsi="Arial" w:cs="Arial"/>
          <w:color w:val="000000" w:themeColor="text1"/>
          <w:sz w:val="26"/>
          <w:szCs w:val="26"/>
        </w:rPr>
        <w:t xml:space="preserve"> </w:t>
      </w:r>
      <w:r w:rsidR="00E80D05" w:rsidRPr="008076CE">
        <w:rPr>
          <w:rFonts w:ascii="Arial" w:hAnsi="Arial" w:cs="Arial"/>
          <w:color w:val="000000" w:themeColor="text1"/>
          <w:sz w:val="26"/>
          <w:szCs w:val="26"/>
        </w:rPr>
        <w:t>(ponente)</w:t>
      </w:r>
      <w:r w:rsidRPr="00822337">
        <w:rPr>
          <w:rFonts w:ascii="Arial" w:hAnsi="Arial" w:cs="Arial"/>
          <w:color w:val="000000" w:themeColor="text1"/>
          <w:sz w:val="26"/>
          <w:szCs w:val="26"/>
        </w:rPr>
        <w:t xml:space="preserve">, Manuel de Jesús López </w:t>
      </w:r>
      <w:proofErr w:type="spellStart"/>
      <w:r w:rsidRPr="00822337">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 xml:space="preserve">  y Cruz Itzel Espinosa Rojas, quienes actúan con la Maestra Lizbeth Jessica Gallardo Martínez, Secretaria General de Acuerdos de este Tribunal, que autoriza y da fe, de conformidad con lo dispuesto en el artículo 157 párrafos cuarto y quinto de la </w:t>
      </w:r>
      <w:r w:rsidR="00F17D36" w:rsidRPr="00F17D36">
        <w:rPr>
          <w:rFonts w:ascii="Arial" w:hAnsi="Arial" w:cs="Arial"/>
          <w:i/>
          <w:color w:val="000000" w:themeColor="text1"/>
          <w:sz w:val="26"/>
          <w:szCs w:val="26"/>
        </w:rPr>
        <w:t>Ley de Procedimiento</w:t>
      </w:r>
      <w:r w:rsidRPr="00822337">
        <w:rPr>
          <w:rFonts w:ascii="Arial" w:hAnsi="Arial" w:cs="Arial"/>
          <w:color w:val="000000" w:themeColor="text1"/>
          <w:sz w:val="26"/>
          <w:szCs w:val="26"/>
        </w:rPr>
        <w:t>. –</w:t>
      </w:r>
      <w:r w:rsidR="007B4929">
        <w:rPr>
          <w:rFonts w:ascii="Arial" w:hAnsi="Arial" w:cs="Arial"/>
          <w:color w:val="000000" w:themeColor="text1"/>
          <w:sz w:val="26"/>
          <w:szCs w:val="26"/>
        </w:rPr>
        <w:t xml:space="preserve"> </w:t>
      </w:r>
      <w:r w:rsidR="007B4929">
        <w:rPr>
          <w:rFonts w:ascii="Arial" w:hAnsi="Arial" w:cs="Arial"/>
          <w:color w:val="000000"/>
          <w:sz w:val="26"/>
          <w:szCs w:val="26"/>
        </w:rPr>
        <w:t xml:space="preserve">- - - - - - - - - - - - - - - - - - - - - - - - - - - - - - - - - - </w:t>
      </w:r>
    </w:p>
    <w:p w14:paraId="5F032E14" w14:textId="18D558B2" w:rsidR="00822337" w:rsidRDefault="00822337" w:rsidP="00822337">
      <w:pPr>
        <w:spacing w:before="240" w:line="360" w:lineRule="auto"/>
        <w:ind w:firstLine="708"/>
        <w:jc w:val="both"/>
        <w:rPr>
          <w:rFonts w:ascii="Arial" w:hAnsi="Arial" w:cs="Arial"/>
          <w:color w:val="000000" w:themeColor="text1"/>
          <w:sz w:val="26"/>
          <w:szCs w:val="26"/>
        </w:rPr>
      </w:pPr>
    </w:p>
    <w:p w14:paraId="4BB86481" w14:textId="77777777" w:rsidR="007B4929" w:rsidRPr="00822337" w:rsidRDefault="007B4929" w:rsidP="00822337">
      <w:pPr>
        <w:spacing w:before="240" w:line="360" w:lineRule="auto"/>
        <w:ind w:firstLine="708"/>
        <w:jc w:val="both"/>
        <w:rPr>
          <w:rFonts w:ascii="Arial" w:hAnsi="Arial" w:cs="Arial"/>
          <w:color w:val="000000" w:themeColor="text1"/>
          <w:sz w:val="26"/>
          <w:szCs w:val="26"/>
        </w:rPr>
      </w:pPr>
    </w:p>
    <w:p w14:paraId="3584515F" w14:textId="77777777" w:rsidR="00822337" w:rsidRPr="00822337" w:rsidRDefault="00822337" w:rsidP="007B4929">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MATEO MARTÍNEZ </w:t>
      </w:r>
      <w:proofErr w:type="spellStart"/>
      <w:r w:rsidRPr="00822337">
        <w:rPr>
          <w:rFonts w:ascii="Arial" w:hAnsi="Arial" w:cs="Arial"/>
          <w:color w:val="000000" w:themeColor="text1"/>
          <w:sz w:val="26"/>
          <w:szCs w:val="26"/>
        </w:rPr>
        <w:t>MARTÍNEZ</w:t>
      </w:r>
      <w:proofErr w:type="spellEnd"/>
      <w:r w:rsidRPr="00822337">
        <w:rPr>
          <w:rFonts w:ascii="Arial" w:hAnsi="Arial" w:cs="Arial"/>
          <w:color w:val="000000" w:themeColor="text1"/>
          <w:sz w:val="26"/>
          <w:szCs w:val="26"/>
        </w:rPr>
        <w:t>.</w:t>
      </w:r>
    </w:p>
    <w:p w14:paraId="30327E42" w14:textId="77777777" w:rsidR="00822337" w:rsidRPr="00822337" w:rsidRDefault="00822337" w:rsidP="007B4929">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PRESIDENTE.</w:t>
      </w:r>
    </w:p>
    <w:p w14:paraId="0B58BF45" w14:textId="77777777" w:rsidR="00E80D05" w:rsidRPr="00822337" w:rsidRDefault="00E80D05" w:rsidP="00E80D05">
      <w:pPr>
        <w:tabs>
          <w:tab w:val="center" w:pos="4135"/>
          <w:tab w:val="left" w:pos="7515"/>
        </w:tabs>
        <w:spacing w:after="0" w:line="360" w:lineRule="auto"/>
        <w:jc w:val="center"/>
        <w:rPr>
          <w:rFonts w:ascii="Arial" w:eastAsia="Times New Roman" w:hAnsi="Arial" w:cs="Arial"/>
          <w:color w:val="000000" w:themeColor="text1"/>
          <w:sz w:val="26"/>
          <w:szCs w:val="26"/>
        </w:rPr>
      </w:pPr>
      <w:r w:rsidRPr="008076CE">
        <w:rPr>
          <w:rFonts w:ascii="Arial" w:eastAsia="Times New Roman" w:hAnsi="Arial" w:cs="Arial"/>
          <w:color w:val="000000" w:themeColor="text1"/>
          <w:sz w:val="26"/>
          <w:szCs w:val="26"/>
        </w:rPr>
        <w:t>(PONENTE).</w:t>
      </w:r>
    </w:p>
    <w:p w14:paraId="1C226E2A" w14:textId="3C2C6836" w:rsid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p>
    <w:p w14:paraId="0EA6AC0C" w14:textId="55961896" w:rsidR="007B4929" w:rsidRDefault="007B4929" w:rsidP="00822337">
      <w:pPr>
        <w:tabs>
          <w:tab w:val="center" w:pos="4135"/>
          <w:tab w:val="left" w:pos="7515"/>
        </w:tabs>
        <w:spacing w:after="0" w:line="360" w:lineRule="auto"/>
        <w:jc w:val="center"/>
        <w:rPr>
          <w:rFonts w:ascii="Arial" w:hAnsi="Arial" w:cs="Arial"/>
          <w:color w:val="000000" w:themeColor="text1"/>
          <w:sz w:val="26"/>
          <w:szCs w:val="26"/>
        </w:rPr>
      </w:pPr>
    </w:p>
    <w:p w14:paraId="7A3A06EF" w14:textId="77777777" w:rsidR="007B4929" w:rsidRPr="00822337" w:rsidRDefault="007B4929" w:rsidP="00822337">
      <w:pPr>
        <w:tabs>
          <w:tab w:val="center" w:pos="4135"/>
          <w:tab w:val="left" w:pos="7515"/>
        </w:tabs>
        <w:spacing w:after="0" w:line="360" w:lineRule="auto"/>
        <w:jc w:val="center"/>
        <w:rPr>
          <w:rFonts w:ascii="Arial" w:hAnsi="Arial" w:cs="Arial"/>
          <w:color w:val="000000" w:themeColor="text1"/>
          <w:sz w:val="26"/>
          <w:szCs w:val="26"/>
        </w:rPr>
      </w:pPr>
    </w:p>
    <w:p w14:paraId="6FE8FFF8" w14:textId="77777777" w:rsidR="00822337" w:rsidRP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MANUEL DE JESÚS LÓPEZ </w:t>
      </w:r>
      <w:proofErr w:type="spellStart"/>
      <w:r w:rsidRPr="00822337">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w:t>
      </w:r>
    </w:p>
    <w:p w14:paraId="11F18C16" w14:textId="4F130924" w:rsid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28527C47" w14:textId="5D934481" w:rsidR="007B4929"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5B8041E" w14:textId="77777777" w:rsidR="007B4929" w:rsidRPr="00822337"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A97E1AF" w14:textId="77777777" w:rsidR="00822337" w:rsidRP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r w:rsidRPr="00822337">
        <w:rPr>
          <w:rFonts w:ascii="Arial" w:eastAsia="Times New Roman" w:hAnsi="Arial" w:cs="Arial"/>
          <w:color w:val="000000" w:themeColor="text1"/>
          <w:sz w:val="26"/>
          <w:szCs w:val="26"/>
        </w:rPr>
        <w:t>MAGISTRADA CRUZ ITZEL ESPINOSA ROJAS.</w:t>
      </w:r>
    </w:p>
    <w:p w14:paraId="5C109EE3" w14:textId="37616A3B" w:rsidR="007B4929" w:rsidRDefault="007B4929" w:rsidP="009111F5">
      <w:pPr>
        <w:tabs>
          <w:tab w:val="center" w:pos="4135"/>
          <w:tab w:val="left" w:pos="7515"/>
        </w:tabs>
        <w:spacing w:after="0" w:line="360" w:lineRule="auto"/>
        <w:rPr>
          <w:rFonts w:ascii="Arial" w:eastAsia="Times New Roman" w:hAnsi="Arial" w:cs="Arial"/>
          <w:color w:val="000000" w:themeColor="text1"/>
          <w:sz w:val="26"/>
          <w:szCs w:val="26"/>
        </w:rPr>
      </w:pPr>
    </w:p>
    <w:p w14:paraId="2F351933" w14:textId="77777777" w:rsidR="007B4929" w:rsidRPr="00822337"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0B73CB19" w14:textId="77777777" w:rsidR="00822337" w:rsidRP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p>
    <w:p w14:paraId="744325A4" w14:textId="77777777" w:rsidR="00822337" w:rsidRPr="00822337" w:rsidRDefault="00822337" w:rsidP="00822337">
      <w:pPr>
        <w:spacing w:after="0"/>
        <w:jc w:val="center"/>
        <w:rPr>
          <w:rFonts w:ascii="Arial" w:hAnsi="Arial" w:cs="Arial"/>
          <w:color w:val="000000" w:themeColor="text1"/>
          <w:sz w:val="26"/>
          <w:szCs w:val="26"/>
        </w:rPr>
      </w:pPr>
      <w:r w:rsidRPr="00822337">
        <w:rPr>
          <w:rFonts w:ascii="Arial" w:hAnsi="Arial" w:cs="Arial"/>
          <w:color w:val="000000" w:themeColor="text1"/>
          <w:sz w:val="26"/>
          <w:szCs w:val="26"/>
        </w:rPr>
        <w:t>MTRA. LIZBETH JESSICA GALLARDO MARTÍNEZ.</w:t>
      </w:r>
    </w:p>
    <w:p w14:paraId="7C4A7907" w14:textId="2BD0DA6C" w:rsidR="00102315" w:rsidRPr="009111F5" w:rsidRDefault="00822337" w:rsidP="009111F5">
      <w:pPr>
        <w:spacing w:after="0"/>
        <w:jc w:val="center"/>
        <w:rPr>
          <w:color w:val="000000" w:themeColor="text1"/>
          <w:sz w:val="26"/>
          <w:szCs w:val="26"/>
        </w:rPr>
      </w:pPr>
      <w:r w:rsidRPr="00822337">
        <w:rPr>
          <w:rFonts w:ascii="Arial" w:hAnsi="Arial" w:cs="Arial"/>
          <w:color w:val="000000" w:themeColor="text1"/>
          <w:sz w:val="26"/>
          <w:szCs w:val="26"/>
        </w:rPr>
        <w:t>SECRETARIA GENERAL DE ACUERDOS.</w:t>
      </w:r>
    </w:p>
    <w:sectPr w:rsidR="00102315" w:rsidRPr="009111F5" w:rsidSect="009111F5">
      <w:headerReference w:type="even" r:id="rId8"/>
      <w:headerReference w:type="default" r:id="rId9"/>
      <w:footerReference w:type="default" r:id="rId10"/>
      <w:headerReference w:type="first" r:id="rId11"/>
      <w:pgSz w:w="12240" w:h="20160" w:code="5"/>
      <w:pgMar w:top="1702" w:right="851" w:bottom="2268" w:left="2552"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AC029" w14:textId="77777777" w:rsidR="003B3330" w:rsidRDefault="003B3330" w:rsidP="00604752">
      <w:pPr>
        <w:spacing w:after="0" w:line="240" w:lineRule="auto"/>
      </w:pPr>
      <w:r>
        <w:separator/>
      </w:r>
    </w:p>
  </w:endnote>
  <w:endnote w:type="continuationSeparator" w:id="0">
    <w:p w14:paraId="0EB0464D" w14:textId="77777777" w:rsidR="003B3330" w:rsidRDefault="003B3330"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3B3330" w:rsidRPr="00604752" w:rsidRDefault="003B3330">
    <w:pPr>
      <w:pStyle w:val="Piedepgina"/>
      <w:jc w:val="center"/>
      <w:rPr>
        <w:rFonts w:ascii="Arial" w:hAnsi="Arial" w:cs="Arial"/>
        <w:sz w:val="24"/>
        <w:szCs w:val="24"/>
      </w:rPr>
    </w:pPr>
  </w:p>
  <w:p w14:paraId="7ECC4F9D" w14:textId="77777777" w:rsidR="003B3330" w:rsidRDefault="003B33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8A292" w14:textId="77777777" w:rsidR="003B3330" w:rsidRDefault="003B3330" w:rsidP="00604752">
      <w:pPr>
        <w:spacing w:after="0" w:line="240" w:lineRule="auto"/>
      </w:pPr>
      <w:r>
        <w:separator/>
      </w:r>
    </w:p>
  </w:footnote>
  <w:footnote w:type="continuationSeparator" w:id="0">
    <w:p w14:paraId="2D863DC8" w14:textId="77777777" w:rsidR="003B3330" w:rsidRDefault="003B3330" w:rsidP="00604752">
      <w:pPr>
        <w:spacing w:after="0" w:line="240" w:lineRule="auto"/>
      </w:pPr>
      <w:r>
        <w:continuationSeparator/>
      </w:r>
    </w:p>
  </w:footnote>
  <w:footnote w:id="1">
    <w:p w14:paraId="0002B3BF" w14:textId="77777777" w:rsidR="003B3330" w:rsidRPr="002462D0" w:rsidRDefault="003B3330" w:rsidP="005F3D9D">
      <w:pPr>
        <w:spacing w:after="240" w:line="240" w:lineRule="auto"/>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bCs/>
          <w:i/>
          <w:color w:val="000000"/>
          <w:sz w:val="16"/>
          <w:szCs w:val="16"/>
        </w:rPr>
        <w:t xml:space="preserve">ARTÍCULO 10.- </w:t>
      </w:r>
      <w:r w:rsidRPr="002462D0">
        <w:rPr>
          <w:rFonts w:ascii="Arial" w:hAnsi="Arial" w:cs="Arial"/>
          <w:i/>
          <w:sz w:val="16"/>
          <w:szCs w:val="16"/>
        </w:rPr>
        <w:t>El Juicio de Inconformidad deberá promoverse dentro de los quince días hábiles contados a partir del día siguiente a aquél en que surta efectos la notificación, o de que se tenga conocimiento, de la resolución o acto impugnado, salvo las excepciones previstas expresamente en el presente ordenamiento.</w:t>
      </w:r>
    </w:p>
    <w:p w14:paraId="02B65F69" w14:textId="77777777" w:rsidR="003B3330" w:rsidRPr="002462D0" w:rsidRDefault="003B3330" w:rsidP="005F3D9D">
      <w:pPr>
        <w:pStyle w:val="NormalWeb"/>
        <w:shd w:val="clear" w:color="auto" w:fill="FFFFFF"/>
        <w:spacing w:before="0" w:beforeAutospacing="0" w:after="240" w:afterAutospacing="0"/>
        <w:jc w:val="both"/>
        <w:rPr>
          <w:rFonts w:ascii="Arial" w:eastAsiaTheme="minorHAnsi" w:hAnsi="Arial" w:cs="Arial"/>
          <w:i/>
          <w:sz w:val="16"/>
          <w:szCs w:val="16"/>
          <w:lang w:eastAsia="en-US"/>
        </w:rPr>
      </w:pPr>
      <w:r w:rsidRPr="002462D0">
        <w:rPr>
          <w:rFonts w:ascii="Arial" w:eastAsiaTheme="minorHAnsi" w:hAnsi="Arial" w:cs="Arial"/>
          <w:i/>
          <w:sz w:val="16"/>
          <w:szCs w:val="16"/>
          <w:lang w:eastAsia="en-US"/>
        </w:rPr>
        <w:t>Los plazos previstos en esta Ley, se contarán en días hábiles, salvo disposición en contrario.</w:t>
      </w:r>
    </w:p>
    <w:p w14:paraId="2976FB64" w14:textId="77777777" w:rsidR="003B3330" w:rsidRPr="002462D0" w:rsidRDefault="003B3330" w:rsidP="005F3D9D">
      <w:pPr>
        <w:pStyle w:val="NormalWeb"/>
        <w:shd w:val="clear" w:color="auto" w:fill="FFFFFF"/>
        <w:spacing w:before="0" w:beforeAutospacing="0" w:after="240" w:afterAutospacing="0"/>
        <w:jc w:val="both"/>
        <w:rPr>
          <w:rFonts w:ascii="Arial" w:hAnsi="Arial" w:cs="Arial"/>
          <w:i/>
          <w:sz w:val="16"/>
          <w:szCs w:val="16"/>
        </w:rPr>
      </w:pPr>
      <w:r w:rsidRPr="002462D0">
        <w:rPr>
          <w:rFonts w:ascii="Arial" w:eastAsiaTheme="minorHAnsi" w:hAnsi="Arial" w:cs="Arial"/>
          <w:i/>
          <w:sz w:val="16"/>
          <w:szCs w:val="16"/>
          <w:lang w:eastAsia="en-US"/>
        </w:rPr>
        <w:t>No se consideraran días hábiles, los sábados, domingos, y demás señalados en la </w:t>
      </w:r>
      <w:hyperlink r:id="rId1" w:history="1">
        <w:r w:rsidRPr="002462D0">
          <w:rPr>
            <w:rFonts w:ascii="Arial" w:eastAsiaTheme="minorHAnsi" w:hAnsi="Arial" w:cs="Arial"/>
            <w:i/>
            <w:sz w:val="16"/>
            <w:szCs w:val="16"/>
            <w:lang w:eastAsia="en-US"/>
          </w:rPr>
          <w:t>Ley Federal del Trabajo</w:t>
        </w:r>
      </w:hyperlink>
      <w:r w:rsidRPr="002462D0">
        <w:rPr>
          <w:rFonts w:ascii="Arial" w:eastAsiaTheme="minorHAnsi" w:hAnsi="Arial" w:cs="Arial"/>
          <w:i/>
          <w:sz w:val="16"/>
          <w:szCs w:val="16"/>
          <w:lang w:eastAsia="en-US"/>
        </w:rPr>
        <w:t>, aquellos en que así lo determine el Consejo de la Judicatura del Poder Judicial del Estado, así como los días en que tenga vacaciones generales el Tribunal o aquellos en que se suspendan las labores, los que se harán del conocimiento público mediante acuerdo que emita la Sala Superior y se publicarán en la forma que ésta lo determine.</w:t>
      </w:r>
      <w:r w:rsidRPr="002462D0">
        <w:rPr>
          <w:rFonts w:ascii="Arial" w:hAnsi="Arial" w:cs="Arial"/>
          <w:i/>
          <w:sz w:val="16"/>
          <w:szCs w:val="16"/>
        </w:rPr>
        <w:t>”</w:t>
      </w:r>
    </w:p>
  </w:footnote>
  <w:footnote w:id="2">
    <w:p w14:paraId="74CFB557" w14:textId="77777777" w:rsidR="003B3330" w:rsidRPr="002462D0" w:rsidRDefault="003B3330" w:rsidP="002462D0">
      <w:pPr>
        <w:pStyle w:val="Textonotapie"/>
        <w:spacing w:after="240"/>
        <w:jc w:val="both"/>
        <w:rPr>
          <w:rFonts w:ascii="Arial" w:hAnsi="Arial" w:cs="Arial"/>
          <w:i/>
          <w:sz w:val="16"/>
          <w:szCs w:val="16"/>
        </w:rPr>
      </w:pPr>
      <w:r w:rsidRPr="00E84ABB">
        <w:rPr>
          <w:rStyle w:val="Refdenotaalpie"/>
          <w:rFonts w:ascii="Arial" w:hAnsi="Arial" w:cs="Arial"/>
          <w:i/>
          <w:sz w:val="16"/>
          <w:szCs w:val="16"/>
        </w:rPr>
        <w:footnoteRef/>
      </w:r>
      <w:r w:rsidRPr="00E84ABB">
        <w:rPr>
          <w:rFonts w:ascii="Arial" w:hAnsi="Arial" w:cs="Arial"/>
          <w:i/>
          <w:sz w:val="16"/>
          <w:szCs w:val="16"/>
        </w:rPr>
        <w:t xml:space="preserve"> </w:t>
      </w:r>
      <w:r w:rsidRPr="00E84ABB">
        <w:rPr>
          <w:rFonts w:ascii="Arial" w:hAnsi="Arial" w:cs="Arial"/>
          <w:b/>
          <w:i/>
          <w:sz w:val="16"/>
          <w:szCs w:val="16"/>
        </w:rPr>
        <w:t>ARTÍCULO 148.-</w:t>
      </w:r>
      <w:r w:rsidRPr="00E84ABB">
        <w:rPr>
          <w:rFonts w:ascii="Arial" w:hAnsi="Arial" w:cs="Arial"/>
          <w:i/>
          <w:sz w:val="16"/>
          <w:szCs w:val="16"/>
        </w:rPr>
        <w:t xml:space="preserve"> La representación de las autoridades corresponderá a los titulares de las mismas por si o a través de las </w:t>
      </w:r>
      <w:r w:rsidRPr="002462D0">
        <w:rPr>
          <w:rFonts w:ascii="Arial" w:hAnsi="Arial" w:cs="Arial"/>
          <w:i/>
          <w:sz w:val="16"/>
          <w:szCs w:val="16"/>
        </w:rPr>
        <w:t>unidades administrativas encargadas de su defensa jurídica, conforme lo establezcan las disposiciones legales aplicables.</w:t>
      </w:r>
    </w:p>
  </w:footnote>
  <w:footnote w:id="3">
    <w:p w14:paraId="5F6CB1EE" w14:textId="77777777" w:rsidR="003B3330" w:rsidRPr="002462D0" w:rsidRDefault="003B3330" w:rsidP="002462D0">
      <w:pPr>
        <w:pStyle w:val="Textonotapie"/>
        <w:spacing w:after="240"/>
        <w:jc w:val="both"/>
        <w:rPr>
          <w:rFonts w:ascii="Arial" w:hAnsi="Arial" w:cs="Arial"/>
          <w:i/>
          <w:sz w:val="16"/>
          <w:szCs w:val="16"/>
          <w:lang w:val="es-ES"/>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 xml:space="preserve">“ARTÍCULO 3.- </w:t>
      </w:r>
      <w:r w:rsidRPr="002462D0">
        <w:rPr>
          <w:rFonts w:ascii="Arial" w:hAnsi="Arial" w:cs="Arial"/>
          <w:i/>
          <w:sz w:val="16"/>
          <w:szCs w:val="16"/>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p>
  </w:footnote>
  <w:footnote w:id="4">
    <w:p w14:paraId="67F2E3E1" w14:textId="77777777" w:rsidR="003B3330" w:rsidRPr="002462D0" w:rsidRDefault="003B3330" w:rsidP="002462D0">
      <w:pPr>
        <w:autoSpaceDE w:val="0"/>
        <w:autoSpaceDN w:val="0"/>
        <w:adjustRightInd w:val="0"/>
        <w:spacing w:after="240" w:line="240" w:lineRule="auto"/>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bCs/>
          <w:i/>
          <w:color w:val="000000"/>
          <w:sz w:val="16"/>
          <w:szCs w:val="16"/>
        </w:rPr>
        <w:t xml:space="preserve">Artículo 25.- </w:t>
      </w:r>
      <w:r w:rsidRPr="002462D0">
        <w:rPr>
          <w:rFonts w:ascii="Arial" w:hAnsi="Arial" w:cs="Arial"/>
          <w:i/>
          <w:color w:val="000000"/>
          <w:sz w:val="16"/>
          <w:szCs w:val="16"/>
        </w:rPr>
        <w:t>Los documentos públicos tendrán valor probatorio pleno, salvo prueba en contrario respecto de su autenticidad o de la veracidad de los hechos a que se refieran.</w:t>
      </w:r>
    </w:p>
  </w:footnote>
  <w:footnote w:id="5">
    <w:p w14:paraId="2C7B9CDC" w14:textId="2A4D343D" w:rsidR="003B3330" w:rsidRPr="002462D0" w:rsidRDefault="003B3330"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148.-</w:t>
      </w:r>
      <w:r w:rsidRPr="002462D0">
        <w:rPr>
          <w:rFonts w:ascii="Arial" w:hAnsi="Arial" w:cs="Arial"/>
          <w:i/>
          <w:sz w:val="16"/>
          <w:szCs w:val="16"/>
        </w:rPr>
        <w:t xml:space="preserve"> La representación de las personas físicas para comparecer en juicio, se otorgará en escritura pública o carta poder firmada ante dos testigos y ratificada ante Notario Público o ante el secretario de acuerdos que corresponda.</w:t>
      </w:r>
    </w:p>
    <w:p w14:paraId="5F3004C0" w14:textId="50B4F10E" w:rsidR="003B3330" w:rsidRPr="002462D0" w:rsidRDefault="003B3330" w:rsidP="002462D0">
      <w:pPr>
        <w:pStyle w:val="Textonotapie"/>
        <w:spacing w:after="240"/>
        <w:jc w:val="both"/>
        <w:rPr>
          <w:rFonts w:ascii="Arial" w:hAnsi="Arial" w:cs="Arial"/>
          <w:i/>
          <w:sz w:val="16"/>
          <w:szCs w:val="16"/>
        </w:rPr>
      </w:pPr>
      <w:r w:rsidRPr="002462D0">
        <w:rPr>
          <w:rFonts w:ascii="Arial" w:hAnsi="Arial" w:cs="Arial"/>
          <w:i/>
          <w:sz w:val="16"/>
          <w:szCs w:val="16"/>
        </w:rPr>
        <w:t>(…)</w:t>
      </w:r>
    </w:p>
    <w:p w14:paraId="489077FB" w14:textId="1C17C966" w:rsidR="003B3330" w:rsidRPr="002462D0" w:rsidRDefault="003B3330" w:rsidP="002462D0">
      <w:pPr>
        <w:pStyle w:val="Textonotapie"/>
        <w:spacing w:after="240"/>
        <w:jc w:val="both"/>
        <w:rPr>
          <w:rFonts w:ascii="Arial" w:hAnsi="Arial" w:cs="Arial"/>
          <w:i/>
          <w:sz w:val="16"/>
          <w:szCs w:val="16"/>
        </w:rPr>
      </w:pPr>
      <w:r w:rsidRPr="002462D0">
        <w:rPr>
          <w:rFonts w:ascii="Arial" w:hAnsi="Arial" w:cs="Arial"/>
          <w:i/>
          <w:sz w:val="16"/>
          <w:szCs w:val="16"/>
        </w:rPr>
        <w:t>La representación de las autoridades corresponderá a los titulares de las mismas por si o a través de las unidades administrativas encargadas de su defensa jurídica, conforme lo establezcan las disposiciones legales aplicables.”</w:t>
      </w:r>
    </w:p>
  </w:footnote>
  <w:footnote w:id="6">
    <w:p w14:paraId="34B682B0" w14:textId="01F580EF" w:rsidR="003B3330" w:rsidRPr="002462D0" w:rsidRDefault="003B3330" w:rsidP="002462D0">
      <w:pPr>
        <w:autoSpaceDE w:val="0"/>
        <w:autoSpaceDN w:val="0"/>
        <w:adjustRightInd w:val="0"/>
        <w:spacing w:after="240" w:line="240" w:lineRule="auto"/>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bCs/>
          <w:i/>
          <w:color w:val="000000"/>
          <w:sz w:val="16"/>
          <w:szCs w:val="16"/>
        </w:rPr>
        <w:t xml:space="preserve">ARTÍCULO 151.- </w:t>
      </w:r>
      <w:r w:rsidRPr="002462D0">
        <w:rPr>
          <w:rFonts w:ascii="Arial" w:hAnsi="Arial" w:cs="Arial"/>
          <w:i/>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7">
    <w:p w14:paraId="2D86150E" w14:textId="77777777" w:rsidR="003B3330" w:rsidRPr="002462D0" w:rsidRDefault="003B3330"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 xml:space="preserve">ARTÍCULO 203.- </w:t>
      </w:r>
      <w:r w:rsidRPr="002462D0">
        <w:rPr>
          <w:rFonts w:ascii="Arial" w:hAnsi="Arial" w:cs="Arial"/>
          <w:i/>
          <w:sz w:val="16"/>
          <w:szCs w:val="16"/>
        </w:rPr>
        <w:t>La valoración de las pruebas se hará de acuerdo con las siguientes reglas:</w:t>
      </w:r>
    </w:p>
    <w:p w14:paraId="09D9B03F" w14:textId="4550A6A4" w:rsidR="003B3330" w:rsidRPr="002462D0" w:rsidRDefault="003B3330" w:rsidP="002462D0">
      <w:pPr>
        <w:pStyle w:val="Textonotapie"/>
        <w:spacing w:after="240"/>
        <w:jc w:val="both"/>
        <w:rPr>
          <w:rFonts w:ascii="Arial" w:hAnsi="Arial" w:cs="Arial"/>
          <w:i/>
          <w:sz w:val="16"/>
          <w:szCs w:val="16"/>
        </w:rPr>
      </w:pPr>
      <w:r w:rsidRPr="002462D0">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footnote>
  <w:footnote w:id="8">
    <w:p w14:paraId="20D0243A" w14:textId="77777777" w:rsidR="003B3330" w:rsidRPr="002462D0" w:rsidRDefault="003B3330" w:rsidP="00BC04EA">
      <w:pPr>
        <w:pStyle w:val="Textonotapie"/>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16.-</w:t>
      </w:r>
      <w:r w:rsidRPr="002462D0">
        <w:rPr>
          <w:rFonts w:ascii="Arial" w:hAnsi="Arial" w:cs="Arial"/>
          <w:i/>
          <w:sz w:val="16"/>
          <w:szCs w:val="16"/>
        </w:rPr>
        <w:t xml:space="preserve"> El Juicio de Inconformidad es improcedente:</w:t>
      </w:r>
    </w:p>
    <w:p w14:paraId="6C0A8189" w14:textId="77777777" w:rsidR="003B3330" w:rsidRPr="002462D0" w:rsidRDefault="003B3330" w:rsidP="00BC04EA">
      <w:pPr>
        <w:pStyle w:val="Textonotapie"/>
        <w:jc w:val="both"/>
        <w:rPr>
          <w:rFonts w:ascii="Arial" w:hAnsi="Arial" w:cs="Arial"/>
          <w:i/>
          <w:sz w:val="16"/>
          <w:szCs w:val="16"/>
        </w:rPr>
      </w:pPr>
      <w:r w:rsidRPr="002462D0">
        <w:rPr>
          <w:rFonts w:ascii="Arial" w:hAnsi="Arial" w:cs="Arial"/>
          <w:i/>
          <w:sz w:val="16"/>
          <w:szCs w:val="16"/>
        </w:rPr>
        <w:t>I. Contra actos o resoluciones que no afecten el interés jurídico del actor;</w:t>
      </w:r>
    </w:p>
    <w:p w14:paraId="6A185503" w14:textId="77777777" w:rsidR="003B3330" w:rsidRPr="002462D0" w:rsidRDefault="003B3330" w:rsidP="00BC04EA">
      <w:pPr>
        <w:pStyle w:val="Textonotapie"/>
        <w:jc w:val="both"/>
        <w:rPr>
          <w:rFonts w:ascii="Arial" w:hAnsi="Arial" w:cs="Arial"/>
          <w:i/>
          <w:sz w:val="16"/>
          <w:szCs w:val="16"/>
        </w:rPr>
      </w:pPr>
      <w:r w:rsidRPr="002462D0">
        <w:rPr>
          <w:rFonts w:ascii="Arial" w:hAnsi="Arial" w:cs="Arial"/>
          <w:i/>
          <w:sz w:val="16"/>
          <w:szCs w:val="16"/>
        </w:rPr>
        <w:t>II. Contra actos o resoluciones que se hayan consumado de un modo irreparable;</w:t>
      </w:r>
    </w:p>
    <w:p w14:paraId="428231D3" w14:textId="77777777" w:rsidR="003B3330" w:rsidRPr="002462D0" w:rsidRDefault="003B3330" w:rsidP="00BC04EA">
      <w:pPr>
        <w:pStyle w:val="Textonotapie"/>
        <w:jc w:val="both"/>
        <w:rPr>
          <w:rFonts w:ascii="Arial" w:hAnsi="Arial" w:cs="Arial"/>
          <w:i/>
          <w:sz w:val="16"/>
          <w:szCs w:val="16"/>
        </w:rPr>
      </w:pPr>
      <w:r w:rsidRPr="002462D0">
        <w:rPr>
          <w:rFonts w:ascii="Arial" w:hAnsi="Arial" w:cs="Arial"/>
          <w:i/>
          <w:sz w:val="16"/>
          <w:szCs w:val="16"/>
        </w:rPr>
        <w:t>III. Contra actos o resoluciones que se hubiesen consentido expresa o tácitamente por el actor;</w:t>
      </w:r>
    </w:p>
    <w:p w14:paraId="17BE4E69" w14:textId="77777777" w:rsidR="003B3330" w:rsidRPr="002462D0" w:rsidRDefault="003B3330" w:rsidP="00BC04EA">
      <w:pPr>
        <w:pStyle w:val="Textonotapie"/>
        <w:jc w:val="both"/>
        <w:rPr>
          <w:rFonts w:ascii="Arial" w:hAnsi="Arial" w:cs="Arial"/>
          <w:i/>
          <w:sz w:val="16"/>
          <w:szCs w:val="16"/>
        </w:rPr>
      </w:pPr>
      <w:r w:rsidRPr="002462D0">
        <w:rPr>
          <w:rFonts w:ascii="Arial" w:hAnsi="Arial" w:cs="Arial"/>
          <w:i/>
          <w:sz w:val="16"/>
          <w:szCs w:val="16"/>
        </w:rPr>
        <w:t>IV. Contra actos o resoluciones que no sean de la competencia del Tribunal;</w:t>
      </w:r>
    </w:p>
    <w:p w14:paraId="7AD2D50D" w14:textId="79E23B65" w:rsidR="003B3330" w:rsidRPr="002462D0" w:rsidRDefault="003B3330" w:rsidP="00BC04EA">
      <w:pPr>
        <w:pStyle w:val="Textonotapie"/>
        <w:jc w:val="both"/>
        <w:rPr>
          <w:rFonts w:ascii="Arial" w:hAnsi="Arial" w:cs="Arial"/>
          <w:i/>
          <w:sz w:val="16"/>
          <w:szCs w:val="16"/>
          <w:lang w:val="es-ES"/>
        </w:rPr>
      </w:pPr>
      <w:r w:rsidRPr="002462D0">
        <w:rPr>
          <w:rFonts w:ascii="Arial" w:hAnsi="Arial" w:cs="Arial"/>
          <w:i/>
          <w:sz w:val="16"/>
          <w:szCs w:val="16"/>
          <w:lang w:val="es-ES"/>
        </w:rPr>
        <w:t xml:space="preserve">V. Cuando el acto o resolución impugnado sea materia de un Recurso de Reconsideración, en trámite, en términos del Capítulo IV, del Título Tercero de la </w:t>
      </w:r>
      <w:r w:rsidR="00F17D36" w:rsidRPr="00F17D36">
        <w:rPr>
          <w:rFonts w:ascii="Arial" w:hAnsi="Arial" w:cs="Arial"/>
          <w:i/>
          <w:sz w:val="16"/>
          <w:szCs w:val="16"/>
          <w:lang w:val="es-ES"/>
        </w:rPr>
        <w:t xml:space="preserve">Ley de Fiscalización </w:t>
      </w:r>
      <w:r w:rsidR="00823288">
        <w:rPr>
          <w:rFonts w:ascii="Arial" w:hAnsi="Arial" w:cs="Arial"/>
          <w:i/>
          <w:sz w:val="16"/>
          <w:szCs w:val="16"/>
          <w:lang w:val="es-ES"/>
        </w:rPr>
        <w:t>Superior del Estado de Oaxaca</w:t>
      </w:r>
      <w:r w:rsidRPr="002462D0">
        <w:rPr>
          <w:rFonts w:ascii="Arial" w:hAnsi="Arial" w:cs="Arial"/>
          <w:i/>
          <w:sz w:val="16"/>
          <w:szCs w:val="16"/>
          <w:lang w:val="es-ES"/>
        </w:rPr>
        <w:t>; y</w:t>
      </w:r>
    </w:p>
    <w:p w14:paraId="05445BCC" w14:textId="77777777" w:rsidR="003B3330" w:rsidRPr="002462D0" w:rsidRDefault="003B3330" w:rsidP="002462D0">
      <w:pPr>
        <w:pStyle w:val="Textonotapie"/>
        <w:spacing w:after="240"/>
        <w:jc w:val="both"/>
        <w:rPr>
          <w:rFonts w:ascii="Arial" w:hAnsi="Arial" w:cs="Arial"/>
          <w:i/>
          <w:sz w:val="16"/>
          <w:szCs w:val="16"/>
          <w:lang w:val="es-ES"/>
        </w:rPr>
      </w:pPr>
      <w:r w:rsidRPr="002462D0">
        <w:rPr>
          <w:rFonts w:ascii="Arial" w:hAnsi="Arial" w:cs="Arial"/>
          <w:i/>
          <w:sz w:val="16"/>
          <w:szCs w:val="16"/>
          <w:lang w:val="es-ES"/>
        </w:rPr>
        <w:t>VI. Cuando el promovente carezca de legitimación, en los términos de la presente Ley.</w:t>
      </w:r>
    </w:p>
  </w:footnote>
  <w:footnote w:id="9">
    <w:p w14:paraId="2A824F31" w14:textId="77777777" w:rsidR="003B3330" w:rsidRPr="002462D0" w:rsidRDefault="003B3330" w:rsidP="00BC04EA">
      <w:pPr>
        <w:pStyle w:val="Textonotapie"/>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17.-</w:t>
      </w:r>
      <w:r w:rsidRPr="002462D0">
        <w:rPr>
          <w:rFonts w:ascii="Arial" w:hAnsi="Arial" w:cs="Arial"/>
          <w:i/>
          <w:sz w:val="16"/>
          <w:szCs w:val="16"/>
        </w:rPr>
        <w:t xml:space="preserve"> Son causales de sobreseimiento del Juicio de Inconformidad:</w:t>
      </w:r>
    </w:p>
    <w:p w14:paraId="6424D979" w14:textId="77777777" w:rsidR="003B3330" w:rsidRPr="002462D0" w:rsidRDefault="003B3330" w:rsidP="00BC04EA">
      <w:pPr>
        <w:pStyle w:val="Textonotapie"/>
        <w:jc w:val="both"/>
        <w:rPr>
          <w:rFonts w:ascii="Arial" w:hAnsi="Arial" w:cs="Arial"/>
          <w:i/>
          <w:sz w:val="16"/>
          <w:szCs w:val="16"/>
        </w:rPr>
      </w:pPr>
      <w:r w:rsidRPr="002462D0">
        <w:rPr>
          <w:rFonts w:ascii="Arial" w:hAnsi="Arial" w:cs="Arial"/>
          <w:i/>
          <w:sz w:val="16"/>
          <w:szCs w:val="16"/>
        </w:rPr>
        <w:t>I. El desistimiento de la demanda hecho por el promovente;</w:t>
      </w:r>
    </w:p>
    <w:p w14:paraId="74B7EC84" w14:textId="77777777" w:rsidR="003B3330" w:rsidRPr="002462D0" w:rsidRDefault="003B3330" w:rsidP="00BC04EA">
      <w:pPr>
        <w:pStyle w:val="Textonotapie"/>
        <w:jc w:val="both"/>
        <w:rPr>
          <w:rFonts w:ascii="Arial" w:hAnsi="Arial" w:cs="Arial"/>
          <w:i/>
          <w:sz w:val="16"/>
          <w:szCs w:val="16"/>
        </w:rPr>
      </w:pPr>
      <w:r w:rsidRPr="002462D0">
        <w:rPr>
          <w:rFonts w:ascii="Arial" w:hAnsi="Arial" w:cs="Arial"/>
          <w:i/>
          <w:sz w:val="16"/>
          <w:szCs w:val="16"/>
        </w:rPr>
        <w:t>II. Aparezca o sobrevenga alguna causal de improcedencia en el trámite del juicio, en</w:t>
      </w:r>
    </w:p>
    <w:p w14:paraId="4EF983EE" w14:textId="77777777" w:rsidR="003B3330" w:rsidRPr="002462D0" w:rsidRDefault="003B3330" w:rsidP="00BC04EA">
      <w:pPr>
        <w:pStyle w:val="Textonotapie"/>
        <w:jc w:val="both"/>
        <w:rPr>
          <w:rFonts w:ascii="Arial" w:hAnsi="Arial" w:cs="Arial"/>
          <w:i/>
          <w:sz w:val="16"/>
          <w:szCs w:val="16"/>
        </w:rPr>
      </w:pPr>
      <w:r w:rsidRPr="002462D0">
        <w:rPr>
          <w:rFonts w:ascii="Arial" w:hAnsi="Arial" w:cs="Arial"/>
          <w:i/>
          <w:sz w:val="16"/>
          <w:szCs w:val="16"/>
        </w:rPr>
        <w:t>términos de la presente Ley; y</w:t>
      </w:r>
    </w:p>
    <w:p w14:paraId="55472497" w14:textId="77777777" w:rsidR="003B3330" w:rsidRPr="002462D0" w:rsidRDefault="003B3330" w:rsidP="002462D0">
      <w:pPr>
        <w:pStyle w:val="Textonotapie"/>
        <w:spacing w:after="240"/>
        <w:jc w:val="both"/>
        <w:rPr>
          <w:rFonts w:ascii="Arial" w:hAnsi="Arial" w:cs="Arial"/>
          <w:i/>
          <w:sz w:val="16"/>
          <w:szCs w:val="16"/>
          <w:lang w:val="es-ES"/>
        </w:rPr>
      </w:pPr>
      <w:r w:rsidRPr="002462D0">
        <w:rPr>
          <w:rFonts w:ascii="Arial" w:hAnsi="Arial" w:cs="Arial"/>
          <w:i/>
          <w:sz w:val="16"/>
          <w:szCs w:val="16"/>
        </w:rPr>
        <w:t>III. Cuando el interesado o el agraviado fallezca. (…)”</w:t>
      </w:r>
    </w:p>
  </w:footnote>
  <w:footnote w:id="10">
    <w:p w14:paraId="329FF6D7" w14:textId="5059F7AD" w:rsidR="003B3330" w:rsidRPr="002462D0" w:rsidRDefault="003B3330" w:rsidP="002462D0">
      <w:pPr>
        <w:autoSpaceDE w:val="0"/>
        <w:autoSpaceDN w:val="0"/>
        <w:adjustRightInd w:val="0"/>
        <w:spacing w:after="240" w:line="240" w:lineRule="auto"/>
        <w:jc w:val="both"/>
        <w:rPr>
          <w:rFonts w:ascii="Arial" w:hAnsi="Arial" w:cs="Arial"/>
          <w:i/>
          <w:color w:val="000000"/>
          <w:sz w:val="16"/>
          <w:szCs w:val="16"/>
        </w:rPr>
      </w:pPr>
      <w:r w:rsidRPr="002462D0">
        <w:rPr>
          <w:rFonts w:ascii="Arial" w:hAnsi="Arial" w:cs="Arial"/>
          <w:i/>
          <w:color w:val="000000"/>
          <w:sz w:val="16"/>
          <w:szCs w:val="16"/>
        </w:rPr>
        <w:footnoteRef/>
      </w:r>
      <w:r w:rsidRPr="002462D0">
        <w:rPr>
          <w:rFonts w:ascii="Arial" w:hAnsi="Arial" w:cs="Arial"/>
          <w:i/>
          <w:color w:val="000000"/>
          <w:sz w:val="16"/>
          <w:szCs w:val="16"/>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footnote>
  <w:footnote w:id="11">
    <w:p w14:paraId="4AE26398" w14:textId="24E9CA61" w:rsidR="003B3330" w:rsidRPr="002462D0" w:rsidRDefault="003B3330" w:rsidP="002462D0">
      <w:pPr>
        <w:autoSpaceDE w:val="0"/>
        <w:autoSpaceDN w:val="0"/>
        <w:adjustRightInd w:val="0"/>
        <w:spacing w:after="240" w:line="240" w:lineRule="auto"/>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“El artículo </w:t>
      </w:r>
      <w:hyperlink r:id="rId2" w:history="1">
        <w:r w:rsidRPr="002462D0">
          <w:rPr>
            <w:rStyle w:val="Hipervnculo"/>
            <w:rFonts w:ascii="Arial" w:eastAsia="PMingLiU" w:hAnsi="Arial" w:cs="Arial"/>
            <w:bCs/>
            <w:i/>
            <w:sz w:val="16"/>
            <w:szCs w:val="16"/>
          </w:rPr>
          <w:t>76 de la Ley de Amparo</w:t>
        </w:r>
      </w:hyperlink>
      <w:r w:rsidRPr="002462D0">
        <w:rPr>
          <w:rFonts w:ascii="Arial" w:hAnsi="Arial" w:cs="Arial"/>
          <w:i/>
          <w:sz w:val="16"/>
          <w:szCs w:val="16"/>
        </w:rPr>
        <w:t xml:space="preserve">,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w:t>
      </w:r>
      <w:r w:rsidRPr="002462D0">
        <w:rPr>
          <w:rFonts w:ascii="Arial" w:hAnsi="Arial" w:cs="Arial"/>
          <w:i/>
          <w:color w:val="000000"/>
          <w:sz w:val="16"/>
          <w:szCs w:val="16"/>
        </w:rPr>
        <w:t>obligación</w:t>
      </w:r>
      <w:r w:rsidRPr="002462D0">
        <w:rPr>
          <w:rFonts w:ascii="Arial" w:hAnsi="Arial" w:cs="Arial"/>
          <w:i/>
          <w:sz w:val="16"/>
          <w:szCs w:val="16"/>
        </w:rPr>
        <w:t xml:space="preserve">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footnote>
  <w:footnote w:id="12">
    <w:p w14:paraId="021DD3D7" w14:textId="29C8FCC4" w:rsidR="003B3330" w:rsidRPr="00C243A2" w:rsidRDefault="003B3330" w:rsidP="005B4925">
      <w:pPr>
        <w:pStyle w:val="Textonotapie"/>
        <w:spacing w:after="240"/>
        <w:jc w:val="both"/>
        <w:rPr>
          <w:rFonts w:ascii="Arial" w:hAnsi="Arial" w:cs="Arial"/>
          <w:i/>
          <w:sz w:val="16"/>
          <w:szCs w:val="16"/>
        </w:rPr>
      </w:pPr>
      <w:r w:rsidRPr="00C243A2">
        <w:rPr>
          <w:rStyle w:val="Refdenotaalpie"/>
          <w:rFonts w:ascii="Arial" w:hAnsi="Arial" w:cs="Arial"/>
          <w:i/>
          <w:sz w:val="16"/>
          <w:szCs w:val="16"/>
        </w:rPr>
        <w:footnoteRef/>
      </w:r>
      <w:r w:rsidRPr="00C243A2">
        <w:rPr>
          <w:rFonts w:ascii="Arial" w:hAnsi="Arial" w:cs="Arial"/>
          <w:i/>
          <w:sz w:val="16"/>
          <w:szCs w:val="16"/>
        </w:rPr>
        <w:t xml:space="preserve"> </w:t>
      </w:r>
      <w:r>
        <w:rPr>
          <w:rFonts w:ascii="Arial" w:hAnsi="Arial" w:cs="Arial"/>
          <w:i/>
          <w:sz w:val="16"/>
          <w:szCs w:val="16"/>
        </w:rPr>
        <w:t>Folios dos mil quinientos sesenta y dos (2562) y dos mil quinientos sesenta y nueve (2569), Tomo V del expediente ASE/UAJ/P.R./004/2016.</w:t>
      </w:r>
    </w:p>
  </w:footnote>
  <w:footnote w:id="13">
    <w:p w14:paraId="5B77D328" w14:textId="77777777" w:rsidR="003B3330" w:rsidRPr="005B4925" w:rsidRDefault="003B3330" w:rsidP="005B4925">
      <w:pPr>
        <w:pStyle w:val="Textonotapie"/>
        <w:jc w:val="both"/>
        <w:rPr>
          <w:rFonts w:ascii="Arial" w:hAnsi="Arial" w:cs="Arial"/>
          <w:i/>
          <w:sz w:val="16"/>
          <w:lang w:val="es-ES"/>
        </w:rPr>
      </w:pPr>
      <w:r w:rsidRPr="00D0774A">
        <w:rPr>
          <w:rStyle w:val="Refdenotaalpie"/>
          <w:rFonts w:ascii="Arial" w:hAnsi="Arial" w:cs="Arial"/>
        </w:rPr>
        <w:footnoteRef/>
      </w:r>
      <w:r>
        <w:rPr>
          <w:rFonts w:ascii="Arial" w:hAnsi="Arial" w:cs="Arial"/>
        </w:rPr>
        <w:t xml:space="preserve"> </w:t>
      </w:r>
      <w:r w:rsidRPr="005B4925">
        <w:rPr>
          <w:rFonts w:ascii="Arial" w:hAnsi="Arial" w:cs="Arial"/>
          <w:i/>
          <w:sz w:val="16"/>
        </w:rPr>
        <w:t>Consultable en: http://sctj.tfja.gob.mx/SCJI/assembly/detalleTesis?idTesis=25222.</w:t>
      </w:r>
    </w:p>
  </w:footnote>
  <w:footnote w:id="14">
    <w:p w14:paraId="601BEF53" w14:textId="1E4D232B" w:rsidR="003B3330" w:rsidRPr="0014654E" w:rsidRDefault="003B3330" w:rsidP="0014654E">
      <w:pPr>
        <w:pStyle w:val="Textonotapie"/>
        <w:jc w:val="both"/>
        <w:rPr>
          <w:rFonts w:ascii="Arial" w:hAnsi="Arial" w:cs="Arial"/>
          <w:i/>
          <w:sz w:val="12"/>
        </w:rPr>
      </w:pPr>
      <w:r w:rsidRPr="0014654E">
        <w:rPr>
          <w:rStyle w:val="Refdenotaalpie"/>
          <w:rFonts w:ascii="Arial" w:hAnsi="Arial" w:cs="Arial"/>
          <w:b/>
          <w:i/>
          <w:sz w:val="16"/>
        </w:rPr>
        <w:footnoteRef/>
      </w:r>
      <w:r w:rsidRPr="0014654E">
        <w:rPr>
          <w:rFonts w:ascii="Arial" w:hAnsi="Arial" w:cs="Arial"/>
          <w:b/>
          <w:i/>
          <w:sz w:val="16"/>
        </w:rPr>
        <w:t xml:space="preserve"> </w:t>
      </w:r>
      <w:proofErr w:type="gramStart"/>
      <w:r w:rsidRPr="0014654E">
        <w:rPr>
          <w:rFonts w:ascii="Arial" w:hAnsi="Arial" w:cs="Arial"/>
          <w:b/>
          <w:i/>
          <w:sz w:val="16"/>
        </w:rPr>
        <w:t>SEXTO.-</w:t>
      </w:r>
      <w:proofErr w:type="gramEnd"/>
      <w:r w:rsidRPr="0014654E">
        <w:rPr>
          <w:rFonts w:ascii="Arial" w:hAnsi="Arial" w:cs="Arial"/>
          <w:i/>
          <w:sz w:val="16"/>
        </w:rPr>
        <w:t xml:space="preserve"> Hasta en tanto no se expida el Código de Procedimientos Administrativos de la Auditoría Superior del Estado de Oaxaca, todos los procedimientos que al efecto lleve a cabo la Auditoría, se tramitarán de conformidad con las disposiciones del Código de Procedimientos Civiles para el Estado de Oaxaca.</w:t>
      </w:r>
    </w:p>
  </w:footnote>
  <w:footnote w:id="15">
    <w:p w14:paraId="04A9E61F" w14:textId="2D27F469" w:rsidR="003B3330" w:rsidRPr="00214832" w:rsidRDefault="003B3330" w:rsidP="00214832">
      <w:pPr>
        <w:pStyle w:val="Textonotapie"/>
        <w:jc w:val="both"/>
        <w:rPr>
          <w:rFonts w:ascii="Arial" w:hAnsi="Arial" w:cs="Arial"/>
          <w:i/>
        </w:rPr>
      </w:pPr>
      <w:r w:rsidRPr="00214832">
        <w:rPr>
          <w:rStyle w:val="Refdenotaalpie"/>
          <w:rFonts w:ascii="Arial" w:hAnsi="Arial" w:cs="Arial"/>
          <w:i/>
          <w:sz w:val="16"/>
        </w:rPr>
        <w:footnoteRef/>
      </w:r>
      <w:r w:rsidRPr="00214832">
        <w:rPr>
          <w:rFonts w:ascii="Arial" w:hAnsi="Arial" w:cs="Arial"/>
          <w:i/>
          <w:sz w:val="16"/>
        </w:rPr>
        <w:t xml:space="preserve"> </w:t>
      </w:r>
      <w:r>
        <w:rPr>
          <w:rFonts w:ascii="Arial" w:hAnsi="Arial" w:cs="Arial"/>
          <w:i/>
          <w:sz w:val="16"/>
        </w:rPr>
        <w:t>Visible a folio dos mil seiscientos cuarenta y siete (2647), Tomo V del expediente ASE/UAJ/P.R./004/2016.</w:t>
      </w:r>
    </w:p>
  </w:footnote>
  <w:footnote w:id="16">
    <w:p w14:paraId="282AED18" w14:textId="55127DA8" w:rsidR="003B3330" w:rsidRPr="00FC2928" w:rsidRDefault="003B3330" w:rsidP="00FC2928">
      <w:pPr>
        <w:pStyle w:val="Textonotapie"/>
        <w:spacing w:after="240"/>
        <w:jc w:val="both"/>
        <w:rPr>
          <w:rFonts w:ascii="Arial" w:hAnsi="Arial" w:cs="Arial"/>
          <w:i/>
          <w:sz w:val="16"/>
        </w:rPr>
      </w:pPr>
      <w:r w:rsidRPr="00FC2928">
        <w:rPr>
          <w:rStyle w:val="Refdenotaalpie"/>
          <w:rFonts w:ascii="Arial" w:hAnsi="Arial" w:cs="Arial"/>
          <w:i/>
          <w:sz w:val="16"/>
        </w:rPr>
        <w:footnoteRef/>
      </w:r>
      <w:r w:rsidRPr="00FC2928">
        <w:rPr>
          <w:rFonts w:ascii="Arial" w:hAnsi="Arial" w:cs="Arial"/>
          <w:i/>
          <w:sz w:val="16"/>
        </w:rPr>
        <w:t xml:space="preserve"> </w:t>
      </w:r>
      <w:r>
        <w:rPr>
          <w:rFonts w:ascii="Arial" w:hAnsi="Arial" w:cs="Arial"/>
          <w:i/>
          <w:sz w:val="16"/>
        </w:rPr>
        <w:t>Visible a folio dos mil seiscientos cuarenta y ocho (2648), del Tomo V del expediente ASE/UAJ/P.R./004/2016.</w:t>
      </w:r>
    </w:p>
  </w:footnote>
  <w:footnote w:id="17">
    <w:p w14:paraId="3B6C943C" w14:textId="4D0CFAE8" w:rsidR="003B3330" w:rsidRDefault="003B3330" w:rsidP="0009746A">
      <w:pPr>
        <w:pStyle w:val="Textonotapie"/>
        <w:spacing w:after="240"/>
        <w:jc w:val="both"/>
      </w:pPr>
      <w:r>
        <w:rPr>
          <w:rStyle w:val="Refdenotaalpie"/>
        </w:rPr>
        <w:footnoteRef/>
      </w:r>
      <w:r>
        <w:t xml:space="preserve"> </w:t>
      </w:r>
      <w:r w:rsidRPr="002462D0">
        <w:rPr>
          <w:rFonts w:ascii="Arial" w:hAnsi="Arial" w:cs="Arial"/>
          <w:b/>
          <w:i/>
          <w:sz w:val="16"/>
          <w:szCs w:val="16"/>
        </w:rPr>
        <w:t>Artículo 25.-</w:t>
      </w:r>
      <w:r w:rsidRPr="002462D0">
        <w:rPr>
          <w:rFonts w:ascii="Arial" w:hAnsi="Arial" w:cs="Arial"/>
          <w:i/>
          <w:sz w:val="16"/>
          <w:szCs w:val="16"/>
        </w:rPr>
        <w:t xml:space="preserve"> Los documentos públicos tendrán valor probatorio pleno, salvo prueba en contrario respecto de su autenticidad o de la veracidad de los hechos a que se refieran.</w:t>
      </w:r>
    </w:p>
  </w:footnote>
  <w:footnote w:id="18">
    <w:p w14:paraId="2C6D0FE9" w14:textId="0F40B144" w:rsidR="003B3330" w:rsidRDefault="003B3330" w:rsidP="00364B5B">
      <w:pPr>
        <w:pStyle w:val="Textonotapie"/>
        <w:jc w:val="both"/>
        <w:rPr>
          <w:rFonts w:ascii="Arial" w:hAnsi="Arial" w:cs="Arial"/>
          <w:i/>
          <w:sz w:val="16"/>
        </w:rPr>
      </w:pPr>
      <w:r w:rsidRPr="00364B5B">
        <w:rPr>
          <w:rStyle w:val="Refdenotaalpie"/>
          <w:rFonts w:ascii="Arial" w:hAnsi="Arial" w:cs="Arial"/>
          <w:i/>
          <w:sz w:val="16"/>
        </w:rPr>
        <w:footnoteRef/>
      </w:r>
      <w:r>
        <w:rPr>
          <w:rFonts w:ascii="Arial" w:hAnsi="Arial" w:cs="Arial"/>
          <w:i/>
          <w:sz w:val="16"/>
        </w:rPr>
        <w:t xml:space="preserve"> </w:t>
      </w:r>
      <w:r>
        <w:rPr>
          <w:rFonts w:ascii="Arial" w:hAnsi="Arial" w:cs="Arial"/>
          <w:b/>
          <w:i/>
          <w:sz w:val="16"/>
        </w:rPr>
        <w:t xml:space="preserve">Artículo 115.- </w:t>
      </w:r>
      <w:r>
        <w:rPr>
          <w:rFonts w:ascii="Arial" w:hAnsi="Arial" w:cs="Arial"/>
          <w:i/>
          <w:sz w:val="16"/>
        </w:rPr>
        <w:t>Procede la notificación por edictos:</w:t>
      </w:r>
    </w:p>
    <w:p w14:paraId="3FDD353A" w14:textId="04944DD6" w:rsidR="003B3330" w:rsidRDefault="003B3330" w:rsidP="00364B5B">
      <w:pPr>
        <w:pStyle w:val="Textonotapie"/>
        <w:jc w:val="both"/>
        <w:rPr>
          <w:rFonts w:ascii="Arial" w:hAnsi="Arial" w:cs="Arial"/>
          <w:i/>
          <w:sz w:val="16"/>
        </w:rPr>
      </w:pPr>
      <w:r>
        <w:rPr>
          <w:rFonts w:ascii="Arial" w:hAnsi="Arial" w:cs="Arial"/>
          <w:i/>
          <w:sz w:val="16"/>
        </w:rPr>
        <w:t>I. …</w:t>
      </w:r>
    </w:p>
    <w:p w14:paraId="1E2D5784" w14:textId="27B6BCD4" w:rsidR="003B3330" w:rsidRDefault="003B3330" w:rsidP="00364B5B">
      <w:pPr>
        <w:pStyle w:val="Textonotapie"/>
        <w:jc w:val="both"/>
        <w:rPr>
          <w:rFonts w:ascii="Arial" w:hAnsi="Arial" w:cs="Arial"/>
          <w:i/>
          <w:sz w:val="16"/>
        </w:rPr>
      </w:pPr>
      <w:r>
        <w:rPr>
          <w:rFonts w:ascii="Arial" w:hAnsi="Arial" w:cs="Arial"/>
          <w:i/>
          <w:sz w:val="16"/>
        </w:rPr>
        <w:t>II. Cuando se trate de personas cuyo domicilio se ignora;</w:t>
      </w:r>
      <w:r w:rsidRPr="00364B5B">
        <w:rPr>
          <w:rFonts w:ascii="Arial" w:hAnsi="Arial" w:cs="Arial"/>
          <w:i/>
          <w:sz w:val="16"/>
        </w:rPr>
        <w:t xml:space="preserve"> </w:t>
      </w:r>
    </w:p>
    <w:p w14:paraId="2876D846" w14:textId="1DBB2E25" w:rsidR="003B3330" w:rsidRDefault="003B3330" w:rsidP="00364B5B">
      <w:pPr>
        <w:pStyle w:val="Textonotapie"/>
        <w:jc w:val="both"/>
        <w:rPr>
          <w:rFonts w:ascii="Arial" w:hAnsi="Arial" w:cs="Arial"/>
          <w:i/>
          <w:sz w:val="16"/>
        </w:rPr>
      </w:pPr>
      <w:r>
        <w:rPr>
          <w:rFonts w:ascii="Arial" w:hAnsi="Arial" w:cs="Arial"/>
          <w:i/>
          <w:sz w:val="16"/>
        </w:rPr>
        <w:t>III. …</w:t>
      </w:r>
    </w:p>
    <w:p w14:paraId="3EA6E4DA" w14:textId="2F1E02D1" w:rsidR="003B3330" w:rsidRPr="00364B5B" w:rsidRDefault="003B3330" w:rsidP="00364B5B">
      <w:pPr>
        <w:pStyle w:val="Textonotapie"/>
        <w:spacing w:after="240"/>
        <w:jc w:val="both"/>
        <w:rPr>
          <w:rFonts w:ascii="Arial" w:hAnsi="Arial" w:cs="Arial"/>
          <w:i/>
          <w:sz w:val="12"/>
        </w:rPr>
      </w:pPr>
      <w:r w:rsidRPr="00364B5B">
        <w:rPr>
          <w:rFonts w:ascii="Arial" w:hAnsi="Arial" w:cs="Arial"/>
          <w:i/>
          <w:sz w:val="16"/>
        </w:rPr>
        <w:t>En los casos de las fracciones I y II, los edictos se publicarán por tres veces, con intervalos no menores de siete días en el Periódico Oficial y en uno de los diarios de mayor circulación en el Estado, haciéndose saber al citado que deberá presentarse dentro de un plazo que no será menor de quince ni excederá de treinta días.</w:t>
      </w:r>
    </w:p>
  </w:footnote>
  <w:footnote w:id="19">
    <w:p w14:paraId="577320A7" w14:textId="77777777" w:rsidR="003B3330" w:rsidRPr="00FC2928" w:rsidRDefault="003B3330" w:rsidP="00757C66">
      <w:pPr>
        <w:pStyle w:val="Textonotapie"/>
        <w:spacing w:after="240"/>
        <w:jc w:val="both"/>
        <w:rPr>
          <w:rFonts w:ascii="Arial" w:hAnsi="Arial" w:cs="Arial"/>
          <w:i/>
          <w:sz w:val="16"/>
        </w:rPr>
      </w:pPr>
      <w:r w:rsidRPr="00FC2928">
        <w:rPr>
          <w:rStyle w:val="Refdenotaalpie"/>
          <w:rFonts w:ascii="Arial" w:hAnsi="Arial" w:cs="Arial"/>
          <w:i/>
          <w:sz w:val="16"/>
        </w:rPr>
        <w:footnoteRef/>
      </w:r>
      <w:r w:rsidRPr="00FC2928">
        <w:rPr>
          <w:rFonts w:ascii="Arial" w:hAnsi="Arial" w:cs="Arial"/>
          <w:i/>
          <w:sz w:val="16"/>
        </w:rPr>
        <w:t xml:space="preserve"> </w:t>
      </w:r>
      <w:hyperlink r:id="rId3" w:history="1">
        <w:r w:rsidRPr="00FC2928">
          <w:rPr>
            <w:rStyle w:val="Hipervnculo"/>
            <w:rFonts w:ascii="Arial" w:hAnsi="Arial" w:cs="Arial"/>
            <w:i/>
            <w:sz w:val="16"/>
          </w:rPr>
          <w:t>http://sctj.tfja.gob.mx/SCJI/assembly/detalleTesis?idTesis=26534#</w:t>
        </w:r>
      </w:hyperlink>
      <w:r w:rsidRPr="00FC2928">
        <w:rPr>
          <w:rFonts w:ascii="Arial" w:hAnsi="Arial" w:cs="Arial"/>
          <w:i/>
          <w:sz w:val="16"/>
        </w:rPr>
        <w:t xml:space="preserve"> </w:t>
      </w:r>
    </w:p>
  </w:footnote>
  <w:footnote w:id="20">
    <w:p w14:paraId="0C3CF314" w14:textId="77777777" w:rsidR="003B3330" w:rsidRPr="002462D0" w:rsidRDefault="003B3330" w:rsidP="002462D0">
      <w:pPr>
        <w:spacing w:after="240" w:line="240" w:lineRule="auto"/>
        <w:ind w:left="119" w:right="124"/>
        <w:jc w:val="both"/>
        <w:rPr>
          <w:rFonts w:ascii="Arial" w:eastAsia="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eastAsia="Arial" w:hAnsi="Arial" w:cs="Arial"/>
          <w:b/>
          <w:i/>
          <w:spacing w:val="-13"/>
          <w:sz w:val="16"/>
          <w:szCs w:val="16"/>
        </w:rPr>
        <w:t>A</w:t>
      </w:r>
      <w:r w:rsidRPr="002462D0">
        <w:rPr>
          <w:rFonts w:ascii="Arial" w:eastAsia="Arial" w:hAnsi="Arial" w:cs="Arial"/>
          <w:b/>
          <w:i/>
          <w:spacing w:val="3"/>
          <w:sz w:val="16"/>
          <w:szCs w:val="16"/>
        </w:rPr>
        <w:t>r</w:t>
      </w:r>
      <w:r w:rsidRPr="002462D0">
        <w:rPr>
          <w:rFonts w:ascii="Arial" w:eastAsia="Arial" w:hAnsi="Arial" w:cs="Arial"/>
          <w:b/>
          <w:i/>
          <w:spacing w:val="1"/>
          <w:sz w:val="16"/>
          <w:szCs w:val="16"/>
        </w:rPr>
        <w:t>tí</w:t>
      </w:r>
      <w:r w:rsidRPr="002462D0">
        <w:rPr>
          <w:rFonts w:ascii="Arial" w:eastAsia="Arial" w:hAnsi="Arial" w:cs="Arial"/>
          <w:b/>
          <w:i/>
          <w:sz w:val="16"/>
          <w:szCs w:val="16"/>
        </w:rPr>
        <w:t>c</w:t>
      </w:r>
      <w:r w:rsidRPr="002462D0">
        <w:rPr>
          <w:rFonts w:ascii="Arial" w:eastAsia="Arial" w:hAnsi="Arial" w:cs="Arial"/>
          <w:b/>
          <w:i/>
          <w:spacing w:val="-1"/>
          <w:sz w:val="16"/>
          <w:szCs w:val="16"/>
        </w:rPr>
        <w:t>u</w:t>
      </w:r>
      <w:r w:rsidRPr="002462D0">
        <w:rPr>
          <w:rFonts w:ascii="Arial" w:eastAsia="Arial" w:hAnsi="Arial" w:cs="Arial"/>
          <w:b/>
          <w:i/>
          <w:spacing w:val="1"/>
          <w:sz w:val="16"/>
          <w:szCs w:val="16"/>
        </w:rPr>
        <w:t>l</w:t>
      </w:r>
      <w:r w:rsidRPr="002462D0">
        <w:rPr>
          <w:rFonts w:ascii="Arial" w:eastAsia="Arial" w:hAnsi="Arial" w:cs="Arial"/>
          <w:b/>
          <w:i/>
          <w:sz w:val="16"/>
          <w:szCs w:val="16"/>
        </w:rPr>
        <w:t>o</w:t>
      </w:r>
      <w:r w:rsidRPr="002462D0">
        <w:rPr>
          <w:rFonts w:ascii="Arial" w:eastAsia="Arial" w:hAnsi="Arial" w:cs="Arial"/>
          <w:b/>
          <w:i/>
          <w:spacing w:val="42"/>
          <w:sz w:val="16"/>
          <w:szCs w:val="16"/>
        </w:rPr>
        <w:t xml:space="preserve"> </w:t>
      </w:r>
      <w:r w:rsidRPr="002462D0">
        <w:rPr>
          <w:rFonts w:ascii="Arial" w:eastAsia="Arial" w:hAnsi="Arial" w:cs="Arial"/>
          <w:b/>
          <w:i/>
          <w:sz w:val="16"/>
          <w:szCs w:val="16"/>
        </w:rPr>
        <w:t>57</w:t>
      </w:r>
      <w:r w:rsidRPr="002462D0">
        <w:rPr>
          <w:rFonts w:ascii="Arial" w:eastAsia="Arial" w:hAnsi="Arial" w:cs="Arial"/>
          <w:b/>
          <w:i/>
          <w:spacing w:val="-1"/>
          <w:sz w:val="16"/>
          <w:szCs w:val="16"/>
        </w:rPr>
        <w:t>.</w:t>
      </w:r>
      <w:r w:rsidRPr="002462D0">
        <w:rPr>
          <w:rFonts w:ascii="Arial" w:eastAsia="Arial" w:hAnsi="Arial" w:cs="Arial"/>
          <w:b/>
          <w:i/>
          <w:sz w:val="16"/>
          <w:szCs w:val="16"/>
        </w:rPr>
        <w:t>-</w:t>
      </w:r>
      <w:r w:rsidRPr="002462D0">
        <w:rPr>
          <w:rFonts w:ascii="Arial" w:eastAsia="Arial" w:hAnsi="Arial" w:cs="Arial"/>
          <w:b/>
          <w:i/>
          <w:spacing w:val="34"/>
          <w:sz w:val="16"/>
          <w:szCs w:val="16"/>
        </w:rPr>
        <w:t xml:space="preserve"> </w:t>
      </w:r>
      <w:r w:rsidRPr="002462D0">
        <w:rPr>
          <w:rFonts w:ascii="Arial" w:eastAsia="Arial" w:hAnsi="Arial" w:cs="Arial"/>
          <w:i/>
          <w:spacing w:val="-3"/>
          <w:sz w:val="16"/>
          <w:szCs w:val="16"/>
        </w:rPr>
        <w:t>C</w:t>
      </w:r>
      <w:r w:rsidRPr="002462D0">
        <w:rPr>
          <w:rFonts w:ascii="Arial" w:eastAsia="Arial" w:hAnsi="Arial" w:cs="Arial"/>
          <w:i/>
          <w:sz w:val="16"/>
          <w:szCs w:val="16"/>
        </w:rPr>
        <w:t>o</w:t>
      </w:r>
      <w:r w:rsidRPr="002462D0">
        <w:rPr>
          <w:rFonts w:ascii="Arial" w:eastAsia="Arial" w:hAnsi="Arial" w:cs="Arial"/>
          <w:i/>
          <w:spacing w:val="-5"/>
          <w:sz w:val="16"/>
          <w:szCs w:val="16"/>
        </w:rPr>
        <w:t>n</w:t>
      </w:r>
      <w:r w:rsidRPr="002462D0">
        <w:rPr>
          <w:rFonts w:ascii="Arial" w:eastAsia="Arial" w:hAnsi="Arial" w:cs="Arial"/>
          <w:i/>
          <w:spacing w:val="1"/>
          <w:sz w:val="16"/>
          <w:szCs w:val="16"/>
        </w:rPr>
        <w:t>tr</w:t>
      </w:r>
      <w:r w:rsidRPr="002462D0">
        <w:rPr>
          <w:rFonts w:ascii="Arial" w:eastAsia="Arial" w:hAnsi="Arial" w:cs="Arial"/>
          <w:i/>
          <w:sz w:val="16"/>
          <w:szCs w:val="16"/>
        </w:rPr>
        <w:t>a</w:t>
      </w:r>
      <w:r w:rsidRPr="002462D0">
        <w:rPr>
          <w:rFonts w:ascii="Arial" w:eastAsia="Arial" w:hAnsi="Arial" w:cs="Arial"/>
          <w:i/>
          <w:spacing w:val="30"/>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33"/>
          <w:sz w:val="16"/>
          <w:szCs w:val="16"/>
        </w:rPr>
        <w:t xml:space="preserve"> </w:t>
      </w:r>
      <w:r w:rsidRPr="002462D0">
        <w:rPr>
          <w:rFonts w:ascii="Arial" w:eastAsia="Arial" w:hAnsi="Arial" w:cs="Arial"/>
          <w:i/>
          <w:sz w:val="16"/>
          <w:szCs w:val="16"/>
        </w:rPr>
        <w:t>ac</w:t>
      </w:r>
      <w:r w:rsidRPr="002462D0">
        <w:rPr>
          <w:rFonts w:ascii="Arial" w:eastAsia="Arial" w:hAnsi="Arial" w:cs="Arial"/>
          <w:i/>
          <w:spacing w:val="-3"/>
          <w:sz w:val="16"/>
          <w:szCs w:val="16"/>
        </w:rPr>
        <w:t>ue</w:t>
      </w:r>
      <w:r w:rsidRPr="002462D0">
        <w:rPr>
          <w:rFonts w:ascii="Arial" w:eastAsia="Arial" w:hAnsi="Arial" w:cs="Arial"/>
          <w:i/>
          <w:spacing w:val="1"/>
          <w:sz w:val="16"/>
          <w:szCs w:val="16"/>
        </w:rPr>
        <w:t>r</w:t>
      </w:r>
      <w:r w:rsidRPr="002462D0">
        <w:rPr>
          <w:rFonts w:ascii="Arial" w:eastAsia="Arial" w:hAnsi="Arial" w:cs="Arial"/>
          <w:i/>
          <w:sz w:val="16"/>
          <w:szCs w:val="16"/>
        </w:rPr>
        <w:t>d</w:t>
      </w:r>
      <w:r w:rsidRPr="002462D0">
        <w:rPr>
          <w:rFonts w:ascii="Arial" w:eastAsia="Arial" w:hAnsi="Arial" w:cs="Arial"/>
          <w:i/>
          <w:spacing w:val="-3"/>
          <w:sz w:val="16"/>
          <w:szCs w:val="16"/>
        </w:rPr>
        <w:t>o</w:t>
      </w:r>
      <w:r w:rsidRPr="002462D0">
        <w:rPr>
          <w:rFonts w:ascii="Arial" w:eastAsia="Arial" w:hAnsi="Arial" w:cs="Arial"/>
          <w:i/>
          <w:sz w:val="16"/>
          <w:szCs w:val="16"/>
        </w:rPr>
        <w:t>s</w:t>
      </w:r>
      <w:r w:rsidRPr="002462D0">
        <w:rPr>
          <w:rFonts w:ascii="Arial" w:eastAsia="Arial" w:hAnsi="Arial" w:cs="Arial"/>
          <w:i/>
          <w:spacing w:val="33"/>
          <w:sz w:val="16"/>
          <w:szCs w:val="16"/>
        </w:rPr>
        <w:t xml:space="preserve"> </w:t>
      </w:r>
      <w:r w:rsidRPr="002462D0">
        <w:rPr>
          <w:rFonts w:ascii="Arial" w:eastAsia="Arial" w:hAnsi="Arial" w:cs="Arial"/>
          <w:i/>
          <w:sz w:val="16"/>
          <w:szCs w:val="16"/>
        </w:rPr>
        <w:t>de</w:t>
      </w:r>
      <w:r w:rsidRPr="002462D0">
        <w:rPr>
          <w:rFonts w:ascii="Arial" w:eastAsia="Arial" w:hAnsi="Arial" w:cs="Arial"/>
          <w:i/>
          <w:spacing w:val="32"/>
          <w:sz w:val="16"/>
          <w:szCs w:val="16"/>
        </w:rPr>
        <w:t xml:space="preserve"> </w:t>
      </w:r>
      <w:r w:rsidRPr="002462D0">
        <w:rPr>
          <w:rFonts w:ascii="Arial" w:eastAsia="Arial" w:hAnsi="Arial" w:cs="Arial"/>
          <w:i/>
          <w:spacing w:val="-6"/>
          <w:sz w:val="16"/>
          <w:szCs w:val="16"/>
        </w:rPr>
        <w:t>i</w:t>
      </w:r>
      <w:r w:rsidRPr="002462D0">
        <w:rPr>
          <w:rFonts w:ascii="Arial" w:eastAsia="Arial" w:hAnsi="Arial" w:cs="Arial"/>
          <w:i/>
          <w:spacing w:val="1"/>
          <w:sz w:val="16"/>
          <w:szCs w:val="16"/>
        </w:rPr>
        <w:t>m</w:t>
      </w:r>
      <w:r w:rsidRPr="002462D0">
        <w:rPr>
          <w:rFonts w:ascii="Arial" w:eastAsia="Arial" w:hAnsi="Arial" w:cs="Arial"/>
          <w:i/>
          <w:sz w:val="16"/>
          <w:szCs w:val="16"/>
        </w:rPr>
        <w:t>pos</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33"/>
          <w:sz w:val="16"/>
          <w:szCs w:val="16"/>
        </w:rPr>
        <w:t xml:space="preserve"> </w:t>
      </w:r>
      <w:r w:rsidRPr="002462D0">
        <w:rPr>
          <w:rFonts w:ascii="Arial" w:eastAsia="Arial" w:hAnsi="Arial" w:cs="Arial"/>
          <w:i/>
          <w:sz w:val="16"/>
          <w:szCs w:val="16"/>
        </w:rPr>
        <w:t>de</w:t>
      </w:r>
      <w:r w:rsidRPr="002462D0">
        <w:rPr>
          <w:rFonts w:ascii="Arial" w:eastAsia="Arial" w:hAnsi="Arial" w:cs="Arial"/>
          <w:i/>
          <w:spacing w:val="27"/>
          <w:sz w:val="16"/>
          <w:szCs w:val="16"/>
        </w:rPr>
        <w:t xml:space="preserve"> </w:t>
      </w:r>
      <w:r w:rsidRPr="002462D0">
        <w:rPr>
          <w:rFonts w:ascii="Arial" w:eastAsia="Arial" w:hAnsi="Arial" w:cs="Arial"/>
          <w:i/>
          <w:spacing w:val="1"/>
          <w:sz w:val="16"/>
          <w:szCs w:val="16"/>
        </w:rPr>
        <w:t>m</w:t>
      </w:r>
      <w:r w:rsidRPr="002462D0">
        <w:rPr>
          <w:rFonts w:ascii="Arial" w:eastAsia="Arial" w:hAnsi="Arial" w:cs="Arial"/>
          <w:i/>
          <w:sz w:val="16"/>
          <w:szCs w:val="16"/>
        </w:rPr>
        <w:t>u</w:t>
      </w:r>
      <w:r w:rsidRPr="002462D0">
        <w:rPr>
          <w:rFonts w:ascii="Arial" w:eastAsia="Arial" w:hAnsi="Arial" w:cs="Arial"/>
          <w:i/>
          <w:spacing w:val="-3"/>
          <w:sz w:val="16"/>
          <w:szCs w:val="16"/>
        </w:rPr>
        <w:t>l</w:t>
      </w:r>
      <w:r w:rsidRPr="002462D0">
        <w:rPr>
          <w:rFonts w:ascii="Arial" w:eastAsia="Arial" w:hAnsi="Arial" w:cs="Arial"/>
          <w:i/>
          <w:spacing w:val="1"/>
          <w:sz w:val="16"/>
          <w:szCs w:val="16"/>
        </w:rPr>
        <w:t>t</w:t>
      </w:r>
      <w:r w:rsidRPr="002462D0">
        <w:rPr>
          <w:rFonts w:ascii="Arial" w:eastAsia="Arial" w:hAnsi="Arial" w:cs="Arial"/>
          <w:i/>
          <w:sz w:val="16"/>
          <w:szCs w:val="16"/>
        </w:rPr>
        <w:t>a</w:t>
      </w:r>
      <w:r w:rsidRPr="002462D0">
        <w:rPr>
          <w:rFonts w:ascii="Arial" w:eastAsia="Arial" w:hAnsi="Arial" w:cs="Arial"/>
          <w:i/>
          <w:spacing w:val="-3"/>
          <w:sz w:val="16"/>
          <w:szCs w:val="16"/>
        </w:rPr>
        <w:t>s</w:t>
      </w:r>
      <w:r w:rsidRPr="002462D0">
        <w:rPr>
          <w:rFonts w:ascii="Arial" w:eastAsia="Arial" w:hAnsi="Arial" w:cs="Arial"/>
          <w:i/>
          <w:sz w:val="16"/>
          <w:szCs w:val="16"/>
        </w:rPr>
        <w:t>,</w:t>
      </w:r>
      <w:r w:rsidRPr="002462D0">
        <w:rPr>
          <w:rFonts w:ascii="Arial" w:eastAsia="Arial" w:hAnsi="Arial" w:cs="Arial"/>
          <w:i/>
          <w:spacing w:val="36"/>
          <w:sz w:val="16"/>
          <w:szCs w:val="16"/>
        </w:rPr>
        <w:t xml:space="preserve"> </w:t>
      </w:r>
      <w:r w:rsidRPr="002462D0">
        <w:rPr>
          <w:rFonts w:ascii="Arial" w:eastAsia="Arial" w:hAnsi="Arial" w:cs="Arial"/>
          <w:i/>
          <w:spacing w:val="-3"/>
          <w:sz w:val="16"/>
          <w:szCs w:val="16"/>
        </w:rPr>
        <w:t>i</w:t>
      </w:r>
      <w:r w:rsidRPr="002462D0">
        <w:rPr>
          <w:rFonts w:ascii="Arial" w:eastAsia="Arial" w:hAnsi="Arial" w:cs="Arial"/>
          <w:i/>
          <w:spacing w:val="-5"/>
          <w:sz w:val="16"/>
          <w:szCs w:val="16"/>
        </w:rPr>
        <w:t>n</w:t>
      </w:r>
      <w:r w:rsidRPr="002462D0">
        <w:rPr>
          <w:rFonts w:ascii="Arial" w:eastAsia="Arial" w:hAnsi="Arial" w:cs="Arial"/>
          <w:i/>
          <w:spacing w:val="1"/>
          <w:sz w:val="16"/>
          <w:szCs w:val="16"/>
        </w:rPr>
        <w:t>f</w:t>
      </w:r>
      <w:r w:rsidRPr="002462D0">
        <w:rPr>
          <w:rFonts w:ascii="Arial" w:eastAsia="Arial" w:hAnsi="Arial" w:cs="Arial"/>
          <w:i/>
          <w:sz w:val="16"/>
          <w:szCs w:val="16"/>
        </w:rPr>
        <w:t>o</w:t>
      </w:r>
      <w:r w:rsidRPr="002462D0">
        <w:rPr>
          <w:rFonts w:ascii="Arial" w:eastAsia="Arial" w:hAnsi="Arial" w:cs="Arial"/>
          <w:i/>
          <w:spacing w:val="-4"/>
          <w:sz w:val="16"/>
          <w:szCs w:val="16"/>
        </w:rPr>
        <w:t>r</w:t>
      </w:r>
      <w:r w:rsidRPr="002462D0">
        <w:rPr>
          <w:rFonts w:ascii="Arial" w:eastAsia="Arial" w:hAnsi="Arial" w:cs="Arial"/>
          <w:i/>
          <w:spacing w:val="1"/>
          <w:sz w:val="16"/>
          <w:szCs w:val="16"/>
        </w:rPr>
        <w:t>m</w:t>
      </w:r>
      <w:r w:rsidRPr="002462D0">
        <w:rPr>
          <w:rFonts w:ascii="Arial" w:eastAsia="Arial" w:hAnsi="Arial" w:cs="Arial"/>
          <w:i/>
          <w:sz w:val="16"/>
          <w:szCs w:val="16"/>
        </w:rPr>
        <w:t>e</w:t>
      </w:r>
      <w:r w:rsidRPr="002462D0">
        <w:rPr>
          <w:rFonts w:ascii="Arial" w:eastAsia="Arial" w:hAnsi="Arial" w:cs="Arial"/>
          <w:i/>
          <w:spacing w:val="32"/>
          <w:sz w:val="16"/>
          <w:szCs w:val="16"/>
        </w:rPr>
        <w:t xml:space="preserve"> </w:t>
      </w:r>
      <w:r w:rsidRPr="002462D0">
        <w:rPr>
          <w:rFonts w:ascii="Arial" w:eastAsia="Arial" w:hAnsi="Arial" w:cs="Arial"/>
          <w:i/>
          <w:sz w:val="16"/>
          <w:szCs w:val="16"/>
        </w:rPr>
        <w:t>de</w:t>
      </w:r>
      <w:r w:rsidRPr="002462D0">
        <w:rPr>
          <w:rFonts w:ascii="Arial" w:eastAsia="Arial" w:hAnsi="Arial" w:cs="Arial"/>
          <w:i/>
          <w:spacing w:val="25"/>
          <w:sz w:val="16"/>
          <w:szCs w:val="16"/>
        </w:rPr>
        <w:t xml:space="preserve"> </w:t>
      </w:r>
      <w:r w:rsidRPr="002462D0">
        <w:rPr>
          <w:rFonts w:ascii="Arial" w:eastAsia="Arial" w:hAnsi="Arial" w:cs="Arial"/>
          <w:i/>
          <w:sz w:val="16"/>
          <w:szCs w:val="16"/>
        </w:rPr>
        <w:t>aud</w:t>
      </w:r>
      <w:r w:rsidRPr="002462D0">
        <w:rPr>
          <w:rFonts w:ascii="Arial" w:eastAsia="Arial" w:hAnsi="Arial" w:cs="Arial"/>
          <w:i/>
          <w:spacing w:val="-3"/>
          <w:sz w:val="16"/>
          <w:szCs w:val="16"/>
        </w:rPr>
        <w:t>i</w:t>
      </w:r>
      <w:r w:rsidRPr="002462D0">
        <w:rPr>
          <w:rFonts w:ascii="Arial" w:eastAsia="Arial" w:hAnsi="Arial" w:cs="Arial"/>
          <w:i/>
          <w:spacing w:val="1"/>
          <w:sz w:val="16"/>
          <w:szCs w:val="16"/>
        </w:rPr>
        <w:t>t</w:t>
      </w:r>
      <w:r w:rsidRPr="002462D0">
        <w:rPr>
          <w:rFonts w:ascii="Arial" w:eastAsia="Arial" w:hAnsi="Arial" w:cs="Arial"/>
          <w:i/>
          <w:sz w:val="16"/>
          <w:szCs w:val="16"/>
        </w:rPr>
        <w:t>o</w:t>
      </w:r>
      <w:r w:rsidRPr="002462D0">
        <w:rPr>
          <w:rFonts w:ascii="Arial" w:eastAsia="Arial" w:hAnsi="Arial" w:cs="Arial"/>
          <w:i/>
          <w:spacing w:val="1"/>
          <w:sz w:val="16"/>
          <w:szCs w:val="16"/>
        </w:rPr>
        <w:t>r</w:t>
      </w:r>
      <w:r w:rsidRPr="002462D0">
        <w:rPr>
          <w:rFonts w:ascii="Arial" w:eastAsia="Arial" w:hAnsi="Arial" w:cs="Arial"/>
          <w:i/>
          <w:spacing w:val="-9"/>
          <w:sz w:val="16"/>
          <w:szCs w:val="16"/>
        </w:rPr>
        <w:t>í</w:t>
      </w:r>
      <w:r w:rsidRPr="002462D0">
        <w:rPr>
          <w:rFonts w:ascii="Arial" w:eastAsia="Arial" w:hAnsi="Arial" w:cs="Arial"/>
          <w:i/>
          <w:sz w:val="16"/>
          <w:szCs w:val="16"/>
        </w:rPr>
        <w:t>a</w:t>
      </w:r>
      <w:r w:rsidRPr="002462D0">
        <w:rPr>
          <w:rFonts w:ascii="Arial" w:eastAsia="Arial" w:hAnsi="Arial" w:cs="Arial"/>
          <w:i/>
          <w:spacing w:val="35"/>
          <w:sz w:val="16"/>
          <w:szCs w:val="16"/>
        </w:rPr>
        <w:t xml:space="preserve"> </w:t>
      </w:r>
      <w:r w:rsidRPr="002462D0">
        <w:rPr>
          <w:rFonts w:ascii="Arial" w:eastAsia="Arial" w:hAnsi="Arial" w:cs="Arial"/>
          <w:i/>
          <w:sz w:val="16"/>
          <w:szCs w:val="16"/>
        </w:rPr>
        <w:t>y</w:t>
      </w:r>
      <w:r w:rsidRPr="002462D0">
        <w:rPr>
          <w:rFonts w:ascii="Arial" w:eastAsia="Arial" w:hAnsi="Arial" w:cs="Arial"/>
          <w:i/>
          <w:spacing w:val="30"/>
          <w:sz w:val="16"/>
          <w:szCs w:val="16"/>
        </w:rPr>
        <w:t xml:space="preserve"> </w:t>
      </w:r>
      <w:r w:rsidRPr="002462D0">
        <w:rPr>
          <w:rFonts w:ascii="Arial" w:eastAsia="Arial" w:hAnsi="Arial" w:cs="Arial"/>
          <w:i/>
          <w:spacing w:val="1"/>
          <w:sz w:val="16"/>
          <w:szCs w:val="16"/>
        </w:rPr>
        <w:t>r</w:t>
      </w:r>
      <w:r w:rsidRPr="002462D0">
        <w:rPr>
          <w:rFonts w:ascii="Arial" w:eastAsia="Arial" w:hAnsi="Arial" w:cs="Arial"/>
          <w:i/>
          <w:sz w:val="16"/>
          <w:szCs w:val="16"/>
        </w:rPr>
        <w:t>eso</w:t>
      </w:r>
      <w:r w:rsidRPr="002462D0">
        <w:rPr>
          <w:rFonts w:ascii="Arial" w:eastAsia="Arial" w:hAnsi="Arial" w:cs="Arial"/>
          <w:i/>
          <w:spacing w:val="-3"/>
          <w:sz w:val="16"/>
          <w:szCs w:val="16"/>
        </w:rPr>
        <w:t>l</w:t>
      </w:r>
      <w:r w:rsidRPr="002462D0">
        <w:rPr>
          <w:rFonts w:ascii="Arial" w:eastAsia="Arial" w:hAnsi="Arial" w:cs="Arial"/>
          <w:i/>
          <w:sz w:val="16"/>
          <w:szCs w:val="16"/>
        </w:rPr>
        <w:t>uc</w:t>
      </w:r>
      <w:r w:rsidRPr="002462D0">
        <w:rPr>
          <w:rFonts w:ascii="Arial" w:eastAsia="Arial" w:hAnsi="Arial" w:cs="Arial"/>
          <w:i/>
          <w:spacing w:val="-3"/>
          <w:sz w:val="16"/>
          <w:szCs w:val="16"/>
        </w:rPr>
        <w:t>i</w:t>
      </w:r>
      <w:r w:rsidRPr="002462D0">
        <w:rPr>
          <w:rFonts w:ascii="Arial" w:eastAsia="Arial" w:hAnsi="Arial" w:cs="Arial"/>
          <w:i/>
          <w:sz w:val="16"/>
          <w:szCs w:val="16"/>
        </w:rPr>
        <w:t xml:space="preserve">ones </w:t>
      </w:r>
      <w:r w:rsidRPr="002462D0">
        <w:rPr>
          <w:rFonts w:ascii="Arial" w:eastAsia="Arial" w:hAnsi="Arial" w:cs="Arial"/>
          <w:i/>
          <w:spacing w:val="2"/>
          <w:sz w:val="16"/>
          <w:szCs w:val="16"/>
        </w:rPr>
        <w:t>q</w:t>
      </w:r>
      <w:r w:rsidRPr="002462D0">
        <w:rPr>
          <w:rFonts w:ascii="Arial" w:eastAsia="Arial" w:hAnsi="Arial" w:cs="Arial"/>
          <w:i/>
          <w:sz w:val="16"/>
          <w:szCs w:val="16"/>
        </w:rPr>
        <w:t xml:space="preserve">ue </w:t>
      </w:r>
      <w:r w:rsidRPr="002462D0">
        <w:rPr>
          <w:rFonts w:ascii="Arial" w:eastAsia="Arial" w:hAnsi="Arial" w:cs="Arial"/>
          <w:i/>
          <w:spacing w:val="6"/>
          <w:sz w:val="16"/>
          <w:szCs w:val="16"/>
        </w:rPr>
        <w:t>f</w:t>
      </w:r>
      <w:r w:rsidRPr="002462D0">
        <w:rPr>
          <w:rFonts w:ascii="Arial" w:eastAsia="Arial" w:hAnsi="Arial" w:cs="Arial"/>
          <w:i/>
          <w:spacing w:val="-3"/>
          <w:sz w:val="16"/>
          <w:szCs w:val="16"/>
        </w:rPr>
        <w:t>in</w:t>
      </w:r>
      <w:r w:rsidRPr="002462D0">
        <w:rPr>
          <w:rFonts w:ascii="Arial" w:eastAsia="Arial" w:hAnsi="Arial" w:cs="Arial"/>
          <w:i/>
          <w:spacing w:val="2"/>
          <w:sz w:val="16"/>
          <w:szCs w:val="16"/>
        </w:rPr>
        <w:t>q</w:t>
      </w:r>
      <w:r w:rsidRPr="002462D0">
        <w:rPr>
          <w:rFonts w:ascii="Arial" w:eastAsia="Arial" w:hAnsi="Arial" w:cs="Arial"/>
          <w:i/>
          <w:spacing w:val="-3"/>
          <w:sz w:val="16"/>
          <w:szCs w:val="16"/>
        </w:rPr>
        <w:t>u</w:t>
      </w:r>
      <w:r w:rsidRPr="002462D0">
        <w:rPr>
          <w:rFonts w:ascii="Arial" w:eastAsia="Arial" w:hAnsi="Arial" w:cs="Arial"/>
          <w:i/>
          <w:sz w:val="16"/>
          <w:szCs w:val="16"/>
        </w:rPr>
        <w:t>en</w:t>
      </w:r>
      <w:r w:rsidRPr="002462D0">
        <w:rPr>
          <w:rFonts w:ascii="Arial" w:eastAsia="Arial" w:hAnsi="Arial" w:cs="Arial"/>
          <w:i/>
          <w:spacing w:val="5"/>
          <w:sz w:val="16"/>
          <w:szCs w:val="16"/>
        </w:rPr>
        <w:t xml:space="preserve"> </w:t>
      </w:r>
      <w:r w:rsidRPr="002462D0">
        <w:rPr>
          <w:rFonts w:ascii="Arial" w:eastAsia="Arial" w:hAnsi="Arial" w:cs="Arial"/>
          <w:i/>
          <w:sz w:val="16"/>
          <w:szCs w:val="16"/>
        </w:rPr>
        <w:t>a</w:t>
      </w:r>
      <w:r w:rsidRPr="002462D0">
        <w:rPr>
          <w:rFonts w:ascii="Arial" w:eastAsia="Arial" w:hAnsi="Arial" w:cs="Arial"/>
          <w:i/>
          <w:spacing w:val="-6"/>
          <w:sz w:val="16"/>
          <w:szCs w:val="16"/>
        </w:rPr>
        <w:t>l</w:t>
      </w:r>
      <w:r w:rsidRPr="002462D0">
        <w:rPr>
          <w:rFonts w:ascii="Arial" w:eastAsia="Arial" w:hAnsi="Arial" w:cs="Arial"/>
          <w:i/>
          <w:spacing w:val="2"/>
          <w:sz w:val="16"/>
          <w:szCs w:val="16"/>
        </w:rPr>
        <w:t>g</w:t>
      </w:r>
      <w:r w:rsidRPr="002462D0">
        <w:rPr>
          <w:rFonts w:ascii="Arial" w:eastAsia="Arial" w:hAnsi="Arial" w:cs="Arial"/>
          <w:i/>
          <w:sz w:val="16"/>
          <w:szCs w:val="16"/>
        </w:rPr>
        <w:t>una</w:t>
      </w:r>
      <w:r w:rsidRPr="002462D0">
        <w:rPr>
          <w:rFonts w:ascii="Arial" w:eastAsia="Arial" w:hAnsi="Arial" w:cs="Arial"/>
          <w:i/>
          <w:spacing w:val="2"/>
          <w:sz w:val="16"/>
          <w:szCs w:val="16"/>
        </w:rPr>
        <w:t xml:space="preserve"> </w:t>
      </w:r>
      <w:r w:rsidRPr="002462D0">
        <w:rPr>
          <w:rFonts w:ascii="Arial" w:eastAsia="Arial" w:hAnsi="Arial" w:cs="Arial"/>
          <w:i/>
          <w:spacing w:val="1"/>
          <w:sz w:val="16"/>
          <w:szCs w:val="16"/>
        </w:rPr>
        <w:t>r</w:t>
      </w:r>
      <w:r w:rsidRPr="002462D0">
        <w:rPr>
          <w:rFonts w:ascii="Arial" w:eastAsia="Arial" w:hAnsi="Arial" w:cs="Arial"/>
          <w:i/>
          <w:spacing w:val="-5"/>
          <w:sz w:val="16"/>
          <w:szCs w:val="16"/>
        </w:rPr>
        <w:t>e</w:t>
      </w:r>
      <w:r w:rsidRPr="002462D0">
        <w:rPr>
          <w:rFonts w:ascii="Arial" w:eastAsia="Arial" w:hAnsi="Arial" w:cs="Arial"/>
          <w:i/>
          <w:sz w:val="16"/>
          <w:szCs w:val="16"/>
        </w:rPr>
        <w:t>s</w:t>
      </w:r>
      <w:r w:rsidRPr="002462D0">
        <w:rPr>
          <w:rFonts w:ascii="Arial" w:eastAsia="Arial" w:hAnsi="Arial" w:cs="Arial"/>
          <w:i/>
          <w:spacing w:val="-5"/>
          <w:sz w:val="16"/>
          <w:szCs w:val="16"/>
        </w:rPr>
        <w:t>p</w:t>
      </w:r>
      <w:r w:rsidRPr="002462D0">
        <w:rPr>
          <w:rFonts w:ascii="Arial" w:eastAsia="Arial" w:hAnsi="Arial" w:cs="Arial"/>
          <w:i/>
          <w:sz w:val="16"/>
          <w:szCs w:val="16"/>
        </w:rPr>
        <w:t>o</w:t>
      </w:r>
      <w:r w:rsidRPr="002462D0">
        <w:rPr>
          <w:rFonts w:ascii="Arial" w:eastAsia="Arial" w:hAnsi="Arial" w:cs="Arial"/>
          <w:i/>
          <w:spacing w:val="2"/>
          <w:sz w:val="16"/>
          <w:szCs w:val="16"/>
        </w:rPr>
        <w:t>n</w:t>
      </w:r>
      <w:r w:rsidRPr="002462D0">
        <w:rPr>
          <w:rFonts w:ascii="Arial" w:eastAsia="Arial" w:hAnsi="Arial" w:cs="Arial"/>
          <w:i/>
          <w:sz w:val="16"/>
          <w:szCs w:val="16"/>
        </w:rPr>
        <w:t>sab</w:t>
      </w:r>
      <w:r w:rsidRPr="002462D0">
        <w:rPr>
          <w:rFonts w:ascii="Arial" w:eastAsia="Arial" w:hAnsi="Arial" w:cs="Arial"/>
          <w:i/>
          <w:spacing w:val="-3"/>
          <w:sz w:val="16"/>
          <w:szCs w:val="16"/>
        </w:rPr>
        <w:t>ili</w:t>
      </w:r>
      <w:r w:rsidRPr="002462D0">
        <w:rPr>
          <w:rFonts w:ascii="Arial" w:eastAsia="Arial" w:hAnsi="Arial" w:cs="Arial"/>
          <w:i/>
          <w:sz w:val="16"/>
          <w:szCs w:val="16"/>
        </w:rPr>
        <w:t>dad</w:t>
      </w:r>
      <w:r w:rsidRPr="002462D0">
        <w:rPr>
          <w:rFonts w:ascii="Arial" w:eastAsia="Arial" w:hAnsi="Arial" w:cs="Arial"/>
          <w:i/>
          <w:spacing w:val="7"/>
          <w:sz w:val="16"/>
          <w:szCs w:val="16"/>
        </w:rPr>
        <w:t xml:space="preserve"> </w:t>
      </w:r>
      <w:r w:rsidRPr="002462D0">
        <w:rPr>
          <w:rFonts w:ascii="Arial" w:eastAsia="Arial" w:hAnsi="Arial" w:cs="Arial"/>
          <w:i/>
          <w:sz w:val="16"/>
          <w:szCs w:val="16"/>
        </w:rPr>
        <w:t>ad</w:t>
      </w:r>
      <w:r w:rsidRPr="002462D0">
        <w:rPr>
          <w:rFonts w:ascii="Arial" w:eastAsia="Arial" w:hAnsi="Arial" w:cs="Arial"/>
          <w:i/>
          <w:spacing w:val="1"/>
          <w:sz w:val="16"/>
          <w:szCs w:val="16"/>
        </w:rPr>
        <w:t>m</w:t>
      </w:r>
      <w:r w:rsidRPr="002462D0">
        <w:rPr>
          <w:rFonts w:ascii="Arial" w:eastAsia="Arial" w:hAnsi="Arial" w:cs="Arial"/>
          <w:i/>
          <w:spacing w:val="-3"/>
          <w:sz w:val="16"/>
          <w:szCs w:val="16"/>
        </w:rPr>
        <w:t>i</w:t>
      </w:r>
      <w:r w:rsidRPr="002462D0">
        <w:rPr>
          <w:rFonts w:ascii="Arial" w:eastAsia="Arial" w:hAnsi="Arial" w:cs="Arial"/>
          <w:i/>
          <w:sz w:val="16"/>
          <w:szCs w:val="16"/>
        </w:rPr>
        <w:t>n</w:t>
      </w:r>
      <w:r w:rsidRPr="002462D0">
        <w:rPr>
          <w:rFonts w:ascii="Arial" w:eastAsia="Arial" w:hAnsi="Arial" w:cs="Arial"/>
          <w:i/>
          <w:spacing w:val="-3"/>
          <w:sz w:val="16"/>
          <w:szCs w:val="16"/>
        </w:rPr>
        <w:t>i</w:t>
      </w:r>
      <w:r w:rsidRPr="002462D0">
        <w:rPr>
          <w:rFonts w:ascii="Arial" w:eastAsia="Arial" w:hAnsi="Arial" w:cs="Arial"/>
          <w:i/>
          <w:sz w:val="16"/>
          <w:szCs w:val="16"/>
        </w:rPr>
        <w:t>s</w:t>
      </w:r>
      <w:r w:rsidRPr="002462D0">
        <w:rPr>
          <w:rFonts w:ascii="Arial" w:eastAsia="Arial" w:hAnsi="Arial" w:cs="Arial"/>
          <w:i/>
          <w:spacing w:val="1"/>
          <w:sz w:val="16"/>
          <w:szCs w:val="16"/>
        </w:rPr>
        <w:t>tr</w:t>
      </w:r>
      <w:r w:rsidRPr="002462D0">
        <w:rPr>
          <w:rFonts w:ascii="Arial" w:eastAsia="Arial" w:hAnsi="Arial" w:cs="Arial"/>
          <w:i/>
          <w:spacing w:val="-5"/>
          <w:sz w:val="16"/>
          <w:szCs w:val="16"/>
        </w:rPr>
        <w:t>a</w:t>
      </w:r>
      <w:r w:rsidRPr="002462D0">
        <w:rPr>
          <w:rFonts w:ascii="Arial" w:eastAsia="Arial" w:hAnsi="Arial" w:cs="Arial"/>
          <w:i/>
          <w:spacing w:val="1"/>
          <w:sz w:val="16"/>
          <w:szCs w:val="16"/>
        </w:rPr>
        <w:t>t</w:t>
      </w:r>
      <w:r w:rsidRPr="002462D0">
        <w:rPr>
          <w:rFonts w:ascii="Arial" w:eastAsia="Arial" w:hAnsi="Arial" w:cs="Arial"/>
          <w:i/>
          <w:spacing w:val="-3"/>
          <w:sz w:val="16"/>
          <w:szCs w:val="16"/>
        </w:rPr>
        <w:t>i</w:t>
      </w:r>
      <w:r w:rsidRPr="002462D0">
        <w:rPr>
          <w:rFonts w:ascii="Arial" w:eastAsia="Arial" w:hAnsi="Arial" w:cs="Arial"/>
          <w:i/>
          <w:spacing w:val="-2"/>
          <w:sz w:val="16"/>
          <w:szCs w:val="16"/>
        </w:rPr>
        <w:t>v</w:t>
      </w:r>
      <w:r w:rsidRPr="002462D0">
        <w:rPr>
          <w:rFonts w:ascii="Arial" w:eastAsia="Arial" w:hAnsi="Arial" w:cs="Arial"/>
          <w:i/>
          <w:sz w:val="16"/>
          <w:szCs w:val="16"/>
        </w:rPr>
        <w:t>a</w:t>
      </w:r>
      <w:r w:rsidRPr="002462D0">
        <w:rPr>
          <w:rFonts w:ascii="Arial" w:eastAsia="Arial" w:hAnsi="Arial" w:cs="Arial"/>
          <w:i/>
          <w:spacing w:val="8"/>
          <w:sz w:val="16"/>
          <w:szCs w:val="16"/>
        </w:rPr>
        <w:t xml:space="preserve"> </w:t>
      </w:r>
      <w:r w:rsidRPr="002462D0">
        <w:rPr>
          <w:rFonts w:ascii="Arial" w:eastAsia="Arial" w:hAnsi="Arial" w:cs="Arial"/>
          <w:i/>
          <w:spacing w:val="1"/>
          <w:sz w:val="16"/>
          <w:szCs w:val="16"/>
        </w:rPr>
        <w:t>r</w:t>
      </w:r>
      <w:r w:rsidRPr="002462D0">
        <w:rPr>
          <w:rFonts w:ascii="Arial" w:eastAsia="Arial" w:hAnsi="Arial" w:cs="Arial"/>
          <w:i/>
          <w:spacing w:val="-3"/>
          <w:sz w:val="16"/>
          <w:szCs w:val="16"/>
        </w:rPr>
        <w:t>e</w:t>
      </w:r>
      <w:r w:rsidRPr="002462D0">
        <w:rPr>
          <w:rFonts w:ascii="Arial" w:eastAsia="Arial" w:hAnsi="Arial" w:cs="Arial"/>
          <w:i/>
          <w:sz w:val="16"/>
          <w:szCs w:val="16"/>
        </w:rPr>
        <w:t>sarc</w:t>
      </w:r>
      <w:r w:rsidRPr="002462D0">
        <w:rPr>
          <w:rFonts w:ascii="Arial" w:eastAsia="Arial" w:hAnsi="Arial" w:cs="Arial"/>
          <w:i/>
          <w:spacing w:val="-3"/>
          <w:sz w:val="16"/>
          <w:szCs w:val="16"/>
        </w:rPr>
        <w:t>i</w:t>
      </w:r>
      <w:r w:rsidRPr="002462D0">
        <w:rPr>
          <w:rFonts w:ascii="Arial" w:eastAsia="Arial" w:hAnsi="Arial" w:cs="Arial"/>
          <w:i/>
          <w:spacing w:val="1"/>
          <w:sz w:val="16"/>
          <w:szCs w:val="16"/>
        </w:rPr>
        <w:t>t</w:t>
      </w:r>
      <w:r w:rsidRPr="002462D0">
        <w:rPr>
          <w:rFonts w:ascii="Arial" w:eastAsia="Arial" w:hAnsi="Arial" w:cs="Arial"/>
          <w:i/>
          <w:spacing w:val="-3"/>
          <w:sz w:val="16"/>
          <w:szCs w:val="16"/>
        </w:rPr>
        <w:t>o</w:t>
      </w:r>
      <w:r w:rsidRPr="002462D0">
        <w:rPr>
          <w:rFonts w:ascii="Arial" w:eastAsia="Arial" w:hAnsi="Arial" w:cs="Arial"/>
          <w:i/>
          <w:spacing w:val="1"/>
          <w:sz w:val="16"/>
          <w:szCs w:val="16"/>
        </w:rPr>
        <w:t>r</w:t>
      </w:r>
      <w:r w:rsidRPr="002462D0">
        <w:rPr>
          <w:rFonts w:ascii="Arial" w:eastAsia="Arial" w:hAnsi="Arial" w:cs="Arial"/>
          <w:i/>
          <w:spacing w:val="-3"/>
          <w:sz w:val="16"/>
          <w:szCs w:val="16"/>
        </w:rPr>
        <w:t>i</w:t>
      </w:r>
      <w:r w:rsidRPr="002462D0">
        <w:rPr>
          <w:rFonts w:ascii="Arial" w:eastAsia="Arial" w:hAnsi="Arial" w:cs="Arial"/>
          <w:i/>
          <w:sz w:val="16"/>
          <w:szCs w:val="16"/>
        </w:rPr>
        <w:t>a</w:t>
      </w:r>
      <w:r w:rsidRPr="002462D0">
        <w:rPr>
          <w:rFonts w:ascii="Arial" w:eastAsia="Arial" w:hAnsi="Arial" w:cs="Arial"/>
          <w:i/>
          <w:spacing w:val="5"/>
          <w:sz w:val="16"/>
          <w:szCs w:val="16"/>
        </w:rPr>
        <w:t xml:space="preserve"> </w:t>
      </w:r>
      <w:r w:rsidRPr="002462D0">
        <w:rPr>
          <w:rFonts w:ascii="Arial" w:eastAsia="Arial" w:hAnsi="Arial" w:cs="Arial"/>
          <w:i/>
          <w:spacing w:val="-3"/>
          <w:sz w:val="16"/>
          <w:szCs w:val="16"/>
        </w:rPr>
        <w:t>e</w:t>
      </w:r>
      <w:r w:rsidRPr="002462D0">
        <w:rPr>
          <w:rFonts w:ascii="Arial" w:eastAsia="Arial" w:hAnsi="Arial" w:cs="Arial"/>
          <w:i/>
          <w:spacing w:val="1"/>
          <w:sz w:val="16"/>
          <w:szCs w:val="16"/>
        </w:rPr>
        <w:t>m</w:t>
      </w:r>
      <w:r w:rsidRPr="002462D0">
        <w:rPr>
          <w:rFonts w:ascii="Arial" w:eastAsia="Arial" w:hAnsi="Arial" w:cs="Arial"/>
          <w:i/>
          <w:spacing w:val="-1"/>
          <w:sz w:val="16"/>
          <w:szCs w:val="16"/>
        </w:rPr>
        <w:t>i</w:t>
      </w:r>
      <w:r w:rsidRPr="002462D0">
        <w:rPr>
          <w:rFonts w:ascii="Arial" w:eastAsia="Arial" w:hAnsi="Arial" w:cs="Arial"/>
          <w:i/>
          <w:spacing w:val="1"/>
          <w:sz w:val="16"/>
          <w:szCs w:val="16"/>
        </w:rPr>
        <w:t>t</w:t>
      </w:r>
      <w:r w:rsidRPr="002462D0">
        <w:rPr>
          <w:rFonts w:ascii="Arial" w:eastAsia="Arial" w:hAnsi="Arial" w:cs="Arial"/>
          <w:i/>
          <w:sz w:val="16"/>
          <w:szCs w:val="16"/>
        </w:rPr>
        <w:t>idas</w:t>
      </w:r>
      <w:r w:rsidRPr="002462D0">
        <w:rPr>
          <w:rFonts w:ascii="Arial" w:eastAsia="Arial" w:hAnsi="Arial" w:cs="Arial"/>
          <w:i/>
          <w:spacing w:val="2"/>
          <w:sz w:val="16"/>
          <w:szCs w:val="16"/>
        </w:rPr>
        <w:t xml:space="preserve"> </w:t>
      </w:r>
      <w:r w:rsidRPr="002462D0">
        <w:rPr>
          <w:rFonts w:ascii="Arial" w:eastAsia="Arial" w:hAnsi="Arial" w:cs="Arial"/>
          <w:i/>
          <w:spacing w:val="-5"/>
          <w:sz w:val="16"/>
          <w:szCs w:val="16"/>
        </w:rPr>
        <w:t>p</w:t>
      </w:r>
      <w:r w:rsidRPr="002462D0">
        <w:rPr>
          <w:rFonts w:ascii="Arial" w:eastAsia="Arial" w:hAnsi="Arial" w:cs="Arial"/>
          <w:i/>
          <w:sz w:val="16"/>
          <w:szCs w:val="16"/>
        </w:rPr>
        <w:t>or</w:t>
      </w:r>
      <w:r w:rsidRPr="002462D0">
        <w:rPr>
          <w:rFonts w:ascii="Arial" w:eastAsia="Arial" w:hAnsi="Arial" w:cs="Arial"/>
          <w:i/>
          <w:spacing w:val="9"/>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a</w:t>
      </w:r>
      <w:r w:rsidRPr="002462D0">
        <w:rPr>
          <w:rFonts w:ascii="Arial" w:eastAsia="Arial" w:hAnsi="Arial" w:cs="Arial"/>
          <w:i/>
          <w:spacing w:val="5"/>
          <w:sz w:val="16"/>
          <w:szCs w:val="16"/>
        </w:rPr>
        <w:t xml:space="preserve"> </w:t>
      </w:r>
      <w:r w:rsidRPr="002462D0">
        <w:rPr>
          <w:rFonts w:ascii="Arial" w:eastAsia="Arial" w:hAnsi="Arial" w:cs="Arial"/>
          <w:i/>
          <w:spacing w:val="-1"/>
          <w:sz w:val="16"/>
          <w:szCs w:val="16"/>
        </w:rPr>
        <w:t>A</w:t>
      </w:r>
      <w:r w:rsidRPr="002462D0">
        <w:rPr>
          <w:rFonts w:ascii="Arial" w:eastAsia="Arial" w:hAnsi="Arial" w:cs="Arial"/>
          <w:i/>
          <w:sz w:val="16"/>
          <w:szCs w:val="16"/>
        </w:rPr>
        <w:t>ud</w:t>
      </w:r>
      <w:r w:rsidRPr="002462D0">
        <w:rPr>
          <w:rFonts w:ascii="Arial" w:eastAsia="Arial" w:hAnsi="Arial" w:cs="Arial"/>
          <w:i/>
          <w:spacing w:val="-3"/>
          <w:sz w:val="16"/>
          <w:szCs w:val="16"/>
        </w:rPr>
        <w:t>i</w:t>
      </w:r>
      <w:r w:rsidRPr="002462D0">
        <w:rPr>
          <w:rFonts w:ascii="Arial" w:eastAsia="Arial" w:hAnsi="Arial" w:cs="Arial"/>
          <w:i/>
          <w:spacing w:val="1"/>
          <w:sz w:val="16"/>
          <w:szCs w:val="16"/>
        </w:rPr>
        <w:t>t</w:t>
      </w:r>
      <w:r w:rsidRPr="002462D0">
        <w:rPr>
          <w:rFonts w:ascii="Arial" w:eastAsia="Arial" w:hAnsi="Arial" w:cs="Arial"/>
          <w:i/>
          <w:spacing w:val="-5"/>
          <w:sz w:val="16"/>
          <w:szCs w:val="16"/>
        </w:rPr>
        <w:t>o</w:t>
      </w:r>
      <w:r w:rsidRPr="002462D0">
        <w:rPr>
          <w:rFonts w:ascii="Arial" w:eastAsia="Arial" w:hAnsi="Arial" w:cs="Arial"/>
          <w:i/>
          <w:spacing w:val="1"/>
          <w:sz w:val="16"/>
          <w:szCs w:val="16"/>
        </w:rPr>
        <w:t>r</w:t>
      </w:r>
      <w:r w:rsidRPr="002462D0">
        <w:rPr>
          <w:rFonts w:ascii="Arial" w:eastAsia="Arial" w:hAnsi="Arial" w:cs="Arial"/>
          <w:i/>
          <w:spacing w:val="-9"/>
          <w:sz w:val="16"/>
          <w:szCs w:val="16"/>
        </w:rPr>
        <w:t>í</w:t>
      </w:r>
      <w:r w:rsidRPr="002462D0">
        <w:rPr>
          <w:rFonts w:ascii="Arial" w:eastAsia="Arial" w:hAnsi="Arial" w:cs="Arial"/>
          <w:i/>
          <w:sz w:val="16"/>
          <w:szCs w:val="16"/>
        </w:rPr>
        <w:t>a,</w:t>
      </w:r>
      <w:r w:rsidRPr="002462D0">
        <w:rPr>
          <w:rFonts w:ascii="Arial" w:eastAsia="Arial" w:hAnsi="Arial" w:cs="Arial"/>
          <w:i/>
          <w:spacing w:val="9"/>
          <w:sz w:val="16"/>
          <w:szCs w:val="16"/>
        </w:rPr>
        <w:t xml:space="preserve"> </w:t>
      </w:r>
      <w:r w:rsidRPr="002462D0">
        <w:rPr>
          <w:rFonts w:ascii="Arial" w:eastAsia="Arial" w:hAnsi="Arial" w:cs="Arial"/>
          <w:i/>
          <w:sz w:val="16"/>
          <w:szCs w:val="16"/>
        </w:rPr>
        <w:t>procede</w:t>
      </w:r>
      <w:r w:rsidRPr="002462D0">
        <w:rPr>
          <w:rFonts w:ascii="Arial" w:eastAsia="Arial" w:hAnsi="Arial" w:cs="Arial"/>
          <w:i/>
          <w:spacing w:val="2"/>
          <w:sz w:val="16"/>
          <w:szCs w:val="16"/>
        </w:rPr>
        <w:t xml:space="preserve"> </w:t>
      </w:r>
      <w:r w:rsidRPr="002462D0">
        <w:rPr>
          <w:rFonts w:ascii="Arial" w:eastAsia="Arial" w:hAnsi="Arial" w:cs="Arial"/>
          <w:i/>
          <w:sz w:val="16"/>
          <w:szCs w:val="16"/>
        </w:rPr>
        <w:t xml:space="preserve">el </w:t>
      </w:r>
      <w:r w:rsidRPr="002462D0">
        <w:rPr>
          <w:rFonts w:ascii="Arial" w:eastAsia="Arial" w:hAnsi="Arial" w:cs="Arial"/>
          <w:i/>
          <w:spacing w:val="1"/>
          <w:sz w:val="16"/>
          <w:szCs w:val="16"/>
        </w:rPr>
        <w:t>r</w:t>
      </w:r>
      <w:r w:rsidRPr="002462D0">
        <w:rPr>
          <w:rFonts w:ascii="Arial" w:eastAsia="Arial" w:hAnsi="Arial" w:cs="Arial"/>
          <w:i/>
          <w:sz w:val="16"/>
          <w:szCs w:val="16"/>
        </w:rPr>
        <w:t>ec</w:t>
      </w:r>
      <w:r w:rsidRPr="002462D0">
        <w:rPr>
          <w:rFonts w:ascii="Arial" w:eastAsia="Arial" w:hAnsi="Arial" w:cs="Arial"/>
          <w:i/>
          <w:spacing w:val="-3"/>
          <w:sz w:val="16"/>
          <w:szCs w:val="16"/>
        </w:rPr>
        <w:t>u</w:t>
      </w:r>
      <w:r w:rsidRPr="002462D0">
        <w:rPr>
          <w:rFonts w:ascii="Arial" w:eastAsia="Arial" w:hAnsi="Arial" w:cs="Arial"/>
          <w:i/>
          <w:spacing w:val="1"/>
          <w:sz w:val="16"/>
          <w:szCs w:val="16"/>
        </w:rPr>
        <w:t>r</w:t>
      </w:r>
      <w:r w:rsidRPr="002462D0">
        <w:rPr>
          <w:rFonts w:ascii="Arial" w:eastAsia="Arial" w:hAnsi="Arial" w:cs="Arial"/>
          <w:i/>
          <w:sz w:val="16"/>
          <w:szCs w:val="16"/>
        </w:rPr>
        <w:t>so</w:t>
      </w:r>
      <w:r w:rsidRPr="002462D0">
        <w:rPr>
          <w:rFonts w:ascii="Arial" w:eastAsia="Arial" w:hAnsi="Arial" w:cs="Arial"/>
          <w:i/>
          <w:spacing w:val="-1"/>
          <w:sz w:val="16"/>
          <w:szCs w:val="16"/>
        </w:rPr>
        <w:t xml:space="preserve"> </w:t>
      </w:r>
      <w:r w:rsidRPr="002462D0">
        <w:rPr>
          <w:rFonts w:ascii="Arial" w:eastAsia="Arial" w:hAnsi="Arial" w:cs="Arial"/>
          <w:i/>
          <w:sz w:val="16"/>
          <w:szCs w:val="16"/>
        </w:rPr>
        <w:t>de</w:t>
      </w:r>
      <w:r w:rsidRPr="002462D0">
        <w:rPr>
          <w:rFonts w:ascii="Arial" w:eastAsia="Arial" w:hAnsi="Arial" w:cs="Arial"/>
          <w:i/>
          <w:spacing w:val="-2"/>
          <w:sz w:val="16"/>
          <w:szCs w:val="16"/>
        </w:rPr>
        <w:t xml:space="preserve"> </w:t>
      </w:r>
      <w:r w:rsidRPr="002462D0">
        <w:rPr>
          <w:rFonts w:ascii="Arial" w:eastAsia="Arial" w:hAnsi="Arial" w:cs="Arial"/>
          <w:i/>
          <w:spacing w:val="-3"/>
          <w:sz w:val="16"/>
          <w:szCs w:val="16"/>
        </w:rPr>
        <w:t>R</w:t>
      </w:r>
      <w:r w:rsidRPr="002462D0">
        <w:rPr>
          <w:rFonts w:ascii="Arial" w:eastAsia="Arial" w:hAnsi="Arial" w:cs="Arial"/>
          <w:i/>
          <w:sz w:val="16"/>
          <w:szCs w:val="16"/>
        </w:rPr>
        <w:t>eco</w:t>
      </w:r>
      <w:r w:rsidRPr="002462D0">
        <w:rPr>
          <w:rFonts w:ascii="Arial" w:eastAsia="Arial" w:hAnsi="Arial" w:cs="Arial"/>
          <w:i/>
          <w:spacing w:val="-3"/>
          <w:sz w:val="16"/>
          <w:szCs w:val="16"/>
        </w:rPr>
        <w:t>n</w:t>
      </w:r>
      <w:r w:rsidRPr="002462D0">
        <w:rPr>
          <w:rFonts w:ascii="Arial" w:eastAsia="Arial" w:hAnsi="Arial" w:cs="Arial"/>
          <w:i/>
          <w:sz w:val="16"/>
          <w:szCs w:val="16"/>
        </w:rPr>
        <w:t>s</w:t>
      </w:r>
      <w:r w:rsidRPr="002462D0">
        <w:rPr>
          <w:rFonts w:ascii="Arial" w:eastAsia="Arial" w:hAnsi="Arial" w:cs="Arial"/>
          <w:i/>
          <w:spacing w:val="-3"/>
          <w:sz w:val="16"/>
          <w:szCs w:val="16"/>
        </w:rPr>
        <w:t>i</w:t>
      </w:r>
      <w:r w:rsidRPr="002462D0">
        <w:rPr>
          <w:rFonts w:ascii="Arial" w:eastAsia="Arial" w:hAnsi="Arial" w:cs="Arial"/>
          <w:i/>
          <w:sz w:val="16"/>
          <w:szCs w:val="16"/>
        </w:rPr>
        <w:t>d</w:t>
      </w:r>
      <w:r w:rsidRPr="002462D0">
        <w:rPr>
          <w:rFonts w:ascii="Arial" w:eastAsia="Arial" w:hAnsi="Arial" w:cs="Arial"/>
          <w:i/>
          <w:spacing w:val="-3"/>
          <w:sz w:val="16"/>
          <w:szCs w:val="16"/>
        </w:rPr>
        <w:t>e</w:t>
      </w:r>
      <w:r w:rsidRPr="002462D0">
        <w:rPr>
          <w:rFonts w:ascii="Arial" w:eastAsia="Arial" w:hAnsi="Arial" w:cs="Arial"/>
          <w:i/>
          <w:spacing w:val="1"/>
          <w:sz w:val="16"/>
          <w:szCs w:val="16"/>
        </w:rPr>
        <w:t>r</w:t>
      </w:r>
      <w:r w:rsidRPr="002462D0">
        <w:rPr>
          <w:rFonts w:ascii="Arial" w:eastAsia="Arial" w:hAnsi="Arial" w:cs="Arial"/>
          <w:i/>
          <w:sz w:val="16"/>
          <w:szCs w:val="16"/>
        </w:rPr>
        <w:t>a</w:t>
      </w:r>
      <w:r w:rsidRPr="002462D0">
        <w:rPr>
          <w:rFonts w:ascii="Arial" w:eastAsia="Arial" w:hAnsi="Arial" w:cs="Arial"/>
          <w:i/>
          <w:spacing w:val="-4"/>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5"/>
          <w:sz w:val="16"/>
          <w:szCs w:val="16"/>
        </w:rPr>
        <w:t xml:space="preserve"> </w:t>
      </w:r>
      <w:r w:rsidRPr="002462D0">
        <w:rPr>
          <w:rFonts w:ascii="Arial" w:eastAsia="Arial" w:hAnsi="Arial" w:cs="Arial"/>
          <w:i/>
          <w:sz w:val="16"/>
          <w:szCs w:val="16"/>
        </w:rPr>
        <w:t>en</w:t>
      </w:r>
      <w:r w:rsidRPr="002462D0">
        <w:rPr>
          <w:rFonts w:ascii="Arial" w:eastAsia="Arial" w:hAnsi="Arial" w:cs="Arial"/>
          <w:i/>
          <w:spacing w:val="-2"/>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1"/>
          <w:sz w:val="16"/>
          <w:szCs w:val="16"/>
        </w:rPr>
        <w:t xml:space="preserve"> t</w:t>
      </w:r>
      <w:r w:rsidRPr="002462D0">
        <w:rPr>
          <w:rFonts w:ascii="Arial" w:eastAsia="Arial" w:hAnsi="Arial" w:cs="Arial"/>
          <w:i/>
          <w:spacing w:val="-3"/>
          <w:sz w:val="16"/>
          <w:szCs w:val="16"/>
        </w:rPr>
        <w:t>é</w:t>
      </w:r>
      <w:r w:rsidRPr="002462D0">
        <w:rPr>
          <w:rFonts w:ascii="Arial" w:eastAsia="Arial" w:hAnsi="Arial" w:cs="Arial"/>
          <w:i/>
          <w:spacing w:val="-2"/>
          <w:sz w:val="16"/>
          <w:szCs w:val="16"/>
        </w:rPr>
        <w:t>r</w:t>
      </w:r>
      <w:r w:rsidRPr="002462D0">
        <w:rPr>
          <w:rFonts w:ascii="Arial" w:eastAsia="Arial" w:hAnsi="Arial" w:cs="Arial"/>
          <w:i/>
          <w:spacing w:val="1"/>
          <w:sz w:val="16"/>
          <w:szCs w:val="16"/>
        </w:rPr>
        <w:t>m</w:t>
      </w:r>
      <w:r w:rsidRPr="002462D0">
        <w:rPr>
          <w:rFonts w:ascii="Arial" w:eastAsia="Arial" w:hAnsi="Arial" w:cs="Arial"/>
          <w:i/>
          <w:spacing w:val="-3"/>
          <w:sz w:val="16"/>
          <w:szCs w:val="16"/>
        </w:rPr>
        <w:t>i</w:t>
      </w:r>
      <w:r w:rsidRPr="002462D0">
        <w:rPr>
          <w:rFonts w:ascii="Arial" w:eastAsia="Arial" w:hAnsi="Arial" w:cs="Arial"/>
          <w:i/>
          <w:sz w:val="16"/>
          <w:szCs w:val="16"/>
        </w:rPr>
        <w:t>nos</w:t>
      </w:r>
      <w:r w:rsidRPr="002462D0">
        <w:rPr>
          <w:rFonts w:ascii="Arial" w:eastAsia="Arial" w:hAnsi="Arial" w:cs="Arial"/>
          <w:i/>
          <w:spacing w:val="-1"/>
          <w:sz w:val="16"/>
          <w:szCs w:val="16"/>
        </w:rPr>
        <w:t xml:space="preserve"> </w:t>
      </w:r>
      <w:r w:rsidRPr="002462D0">
        <w:rPr>
          <w:rFonts w:ascii="Arial" w:eastAsia="Arial" w:hAnsi="Arial" w:cs="Arial"/>
          <w:i/>
          <w:sz w:val="16"/>
          <w:szCs w:val="16"/>
        </w:rPr>
        <w:t>y</w:t>
      </w:r>
      <w:r w:rsidRPr="002462D0">
        <w:rPr>
          <w:rFonts w:ascii="Arial" w:eastAsia="Arial" w:hAnsi="Arial" w:cs="Arial"/>
          <w:i/>
          <w:spacing w:val="-3"/>
          <w:sz w:val="16"/>
          <w:szCs w:val="16"/>
        </w:rPr>
        <w:t xml:space="preserve"> </w:t>
      </w:r>
      <w:r w:rsidRPr="002462D0">
        <w:rPr>
          <w:rFonts w:ascii="Arial" w:eastAsia="Arial" w:hAnsi="Arial" w:cs="Arial"/>
          <w:i/>
          <w:sz w:val="16"/>
          <w:szCs w:val="16"/>
        </w:rPr>
        <w:t>c</w:t>
      </w:r>
      <w:r w:rsidRPr="002462D0">
        <w:rPr>
          <w:rFonts w:ascii="Arial" w:eastAsia="Arial" w:hAnsi="Arial" w:cs="Arial"/>
          <w:i/>
          <w:spacing w:val="-5"/>
          <w:sz w:val="16"/>
          <w:szCs w:val="16"/>
        </w:rPr>
        <w:t>o</w:t>
      </w:r>
      <w:r w:rsidRPr="002462D0">
        <w:rPr>
          <w:rFonts w:ascii="Arial" w:eastAsia="Arial" w:hAnsi="Arial" w:cs="Arial"/>
          <w:i/>
          <w:sz w:val="16"/>
          <w:szCs w:val="16"/>
        </w:rPr>
        <w:t>n las</w:t>
      </w:r>
      <w:r w:rsidRPr="002462D0">
        <w:rPr>
          <w:rFonts w:ascii="Arial" w:eastAsia="Arial" w:hAnsi="Arial" w:cs="Arial"/>
          <w:i/>
          <w:spacing w:val="-3"/>
          <w:sz w:val="16"/>
          <w:szCs w:val="16"/>
        </w:rPr>
        <w:t xml:space="preserve"> </w:t>
      </w:r>
      <w:r w:rsidRPr="002462D0">
        <w:rPr>
          <w:rFonts w:ascii="Arial" w:eastAsia="Arial" w:hAnsi="Arial" w:cs="Arial"/>
          <w:i/>
          <w:spacing w:val="3"/>
          <w:sz w:val="16"/>
          <w:szCs w:val="16"/>
        </w:rPr>
        <w:t>f</w:t>
      </w:r>
      <w:r w:rsidRPr="002462D0">
        <w:rPr>
          <w:rFonts w:ascii="Arial" w:eastAsia="Arial" w:hAnsi="Arial" w:cs="Arial"/>
          <w:i/>
          <w:spacing w:val="-3"/>
          <w:sz w:val="16"/>
          <w:szCs w:val="16"/>
        </w:rPr>
        <w:t>o</w:t>
      </w:r>
      <w:r w:rsidRPr="002462D0">
        <w:rPr>
          <w:rFonts w:ascii="Arial" w:eastAsia="Arial" w:hAnsi="Arial" w:cs="Arial"/>
          <w:i/>
          <w:spacing w:val="-4"/>
          <w:sz w:val="16"/>
          <w:szCs w:val="16"/>
        </w:rPr>
        <w:t>r</w:t>
      </w:r>
      <w:r w:rsidRPr="002462D0">
        <w:rPr>
          <w:rFonts w:ascii="Arial" w:eastAsia="Arial" w:hAnsi="Arial" w:cs="Arial"/>
          <w:i/>
          <w:spacing w:val="1"/>
          <w:sz w:val="16"/>
          <w:szCs w:val="16"/>
        </w:rPr>
        <w:t>m</w:t>
      </w:r>
      <w:r w:rsidRPr="002462D0">
        <w:rPr>
          <w:rFonts w:ascii="Arial" w:eastAsia="Arial" w:hAnsi="Arial" w:cs="Arial"/>
          <w:i/>
          <w:sz w:val="16"/>
          <w:szCs w:val="16"/>
        </w:rPr>
        <w:t>a</w:t>
      </w:r>
      <w:r w:rsidRPr="002462D0">
        <w:rPr>
          <w:rFonts w:ascii="Arial" w:eastAsia="Arial" w:hAnsi="Arial" w:cs="Arial"/>
          <w:i/>
          <w:spacing w:val="-3"/>
          <w:sz w:val="16"/>
          <w:szCs w:val="16"/>
        </w:rPr>
        <w:t>li</w:t>
      </w:r>
      <w:r w:rsidRPr="002462D0">
        <w:rPr>
          <w:rFonts w:ascii="Arial" w:eastAsia="Arial" w:hAnsi="Arial" w:cs="Arial"/>
          <w:i/>
          <w:sz w:val="16"/>
          <w:szCs w:val="16"/>
        </w:rPr>
        <w:t>dades</w:t>
      </w:r>
      <w:r w:rsidRPr="002462D0">
        <w:rPr>
          <w:rFonts w:ascii="Arial" w:eastAsia="Arial" w:hAnsi="Arial" w:cs="Arial"/>
          <w:i/>
          <w:spacing w:val="1"/>
          <w:sz w:val="16"/>
          <w:szCs w:val="16"/>
        </w:rPr>
        <w:t xml:space="preserve"> </w:t>
      </w:r>
      <w:r w:rsidRPr="002462D0">
        <w:rPr>
          <w:rFonts w:ascii="Arial" w:eastAsia="Arial" w:hAnsi="Arial" w:cs="Arial"/>
          <w:i/>
          <w:sz w:val="16"/>
          <w:szCs w:val="16"/>
        </w:rPr>
        <w:t>pre</w:t>
      </w:r>
      <w:r w:rsidRPr="002462D0">
        <w:rPr>
          <w:rFonts w:ascii="Arial" w:eastAsia="Arial" w:hAnsi="Arial" w:cs="Arial"/>
          <w:i/>
          <w:spacing w:val="-5"/>
          <w:sz w:val="16"/>
          <w:szCs w:val="16"/>
        </w:rPr>
        <w:t>v</w:t>
      </w:r>
      <w:r w:rsidRPr="002462D0">
        <w:rPr>
          <w:rFonts w:ascii="Arial" w:eastAsia="Arial" w:hAnsi="Arial" w:cs="Arial"/>
          <w:i/>
          <w:spacing w:val="-3"/>
          <w:sz w:val="16"/>
          <w:szCs w:val="16"/>
        </w:rPr>
        <w:t>i</w:t>
      </w:r>
      <w:r w:rsidRPr="002462D0">
        <w:rPr>
          <w:rFonts w:ascii="Arial" w:eastAsia="Arial" w:hAnsi="Arial" w:cs="Arial"/>
          <w:i/>
          <w:sz w:val="16"/>
          <w:szCs w:val="16"/>
        </w:rPr>
        <w:t>s</w:t>
      </w:r>
      <w:r w:rsidRPr="002462D0">
        <w:rPr>
          <w:rFonts w:ascii="Arial" w:eastAsia="Arial" w:hAnsi="Arial" w:cs="Arial"/>
          <w:i/>
          <w:spacing w:val="1"/>
          <w:sz w:val="16"/>
          <w:szCs w:val="16"/>
        </w:rPr>
        <w:t>t</w:t>
      </w:r>
      <w:r w:rsidRPr="002462D0">
        <w:rPr>
          <w:rFonts w:ascii="Arial" w:eastAsia="Arial" w:hAnsi="Arial" w:cs="Arial"/>
          <w:i/>
          <w:sz w:val="16"/>
          <w:szCs w:val="16"/>
        </w:rPr>
        <w:t>as en</w:t>
      </w:r>
      <w:r w:rsidRPr="002462D0">
        <w:rPr>
          <w:rFonts w:ascii="Arial" w:eastAsia="Arial" w:hAnsi="Arial" w:cs="Arial"/>
          <w:i/>
          <w:spacing w:val="-3"/>
          <w:sz w:val="16"/>
          <w:szCs w:val="16"/>
        </w:rPr>
        <w:t xml:space="preserve"> l</w:t>
      </w:r>
      <w:r w:rsidRPr="002462D0">
        <w:rPr>
          <w:rFonts w:ascii="Arial" w:eastAsia="Arial" w:hAnsi="Arial" w:cs="Arial"/>
          <w:i/>
          <w:sz w:val="16"/>
          <w:szCs w:val="16"/>
        </w:rPr>
        <w:t>a p</w:t>
      </w:r>
      <w:r w:rsidRPr="002462D0">
        <w:rPr>
          <w:rFonts w:ascii="Arial" w:eastAsia="Arial" w:hAnsi="Arial" w:cs="Arial"/>
          <w:i/>
          <w:spacing w:val="1"/>
          <w:sz w:val="16"/>
          <w:szCs w:val="16"/>
        </w:rPr>
        <w:t>r</w:t>
      </w:r>
      <w:r w:rsidRPr="002462D0">
        <w:rPr>
          <w:rFonts w:ascii="Arial" w:eastAsia="Arial" w:hAnsi="Arial" w:cs="Arial"/>
          <w:i/>
          <w:spacing w:val="-5"/>
          <w:sz w:val="16"/>
          <w:szCs w:val="16"/>
        </w:rPr>
        <w:t>e</w:t>
      </w:r>
      <w:r w:rsidRPr="002462D0">
        <w:rPr>
          <w:rFonts w:ascii="Arial" w:eastAsia="Arial" w:hAnsi="Arial" w:cs="Arial"/>
          <w:i/>
          <w:sz w:val="16"/>
          <w:szCs w:val="16"/>
        </w:rPr>
        <w:t>se</w:t>
      </w:r>
      <w:r w:rsidRPr="002462D0">
        <w:rPr>
          <w:rFonts w:ascii="Arial" w:eastAsia="Arial" w:hAnsi="Arial" w:cs="Arial"/>
          <w:i/>
          <w:spacing w:val="-3"/>
          <w:sz w:val="16"/>
          <w:szCs w:val="16"/>
        </w:rPr>
        <w:t>n</w:t>
      </w:r>
      <w:r w:rsidRPr="002462D0">
        <w:rPr>
          <w:rFonts w:ascii="Arial" w:eastAsia="Arial" w:hAnsi="Arial" w:cs="Arial"/>
          <w:i/>
          <w:spacing w:val="1"/>
          <w:sz w:val="16"/>
          <w:szCs w:val="16"/>
        </w:rPr>
        <w:t>t</w:t>
      </w:r>
      <w:r w:rsidRPr="002462D0">
        <w:rPr>
          <w:rFonts w:ascii="Arial" w:eastAsia="Arial" w:hAnsi="Arial" w:cs="Arial"/>
          <w:i/>
          <w:sz w:val="16"/>
          <w:szCs w:val="16"/>
        </w:rPr>
        <w:t>e</w:t>
      </w:r>
      <w:r w:rsidRPr="002462D0">
        <w:rPr>
          <w:rFonts w:ascii="Arial" w:eastAsia="Arial" w:hAnsi="Arial" w:cs="Arial"/>
          <w:i/>
          <w:spacing w:val="-1"/>
          <w:sz w:val="16"/>
          <w:szCs w:val="16"/>
        </w:rPr>
        <w:t xml:space="preserve"> </w:t>
      </w:r>
      <w:r w:rsidRPr="002462D0">
        <w:rPr>
          <w:rFonts w:ascii="Arial" w:eastAsia="Arial" w:hAnsi="Arial" w:cs="Arial"/>
          <w:i/>
          <w:sz w:val="16"/>
          <w:szCs w:val="16"/>
        </w:rPr>
        <w:t>Le</w:t>
      </w:r>
      <w:r w:rsidRPr="002462D0">
        <w:rPr>
          <w:rFonts w:ascii="Arial" w:eastAsia="Arial" w:hAnsi="Arial" w:cs="Arial"/>
          <w:i/>
          <w:spacing w:val="-5"/>
          <w:sz w:val="16"/>
          <w:szCs w:val="16"/>
        </w:rPr>
        <w:t>y</w:t>
      </w:r>
      <w:r w:rsidRPr="002462D0">
        <w:rPr>
          <w:rFonts w:ascii="Arial" w:eastAsia="Arial" w:hAnsi="Arial" w:cs="Arial"/>
          <w:i/>
          <w:sz w:val="16"/>
          <w:szCs w:val="16"/>
        </w:rPr>
        <w:t>.</w:t>
      </w:r>
    </w:p>
    <w:p w14:paraId="78018EC7" w14:textId="2E5C3508" w:rsidR="003B3330" w:rsidRPr="005F3D9D" w:rsidRDefault="003B3330" w:rsidP="005F3D9D">
      <w:pPr>
        <w:spacing w:after="240" w:line="240" w:lineRule="auto"/>
        <w:ind w:left="119" w:right="118"/>
        <w:jc w:val="both"/>
        <w:rPr>
          <w:rFonts w:ascii="Arial" w:eastAsia="Arial" w:hAnsi="Arial" w:cs="Arial"/>
          <w:i/>
          <w:sz w:val="16"/>
          <w:szCs w:val="16"/>
        </w:rPr>
      </w:pPr>
      <w:r w:rsidRPr="002462D0">
        <w:rPr>
          <w:rFonts w:ascii="Arial" w:eastAsia="Arial" w:hAnsi="Arial" w:cs="Arial"/>
          <w:i/>
          <w:spacing w:val="-3"/>
          <w:sz w:val="16"/>
          <w:szCs w:val="16"/>
        </w:rPr>
        <w:t>C</w:t>
      </w:r>
      <w:r w:rsidRPr="002462D0">
        <w:rPr>
          <w:rFonts w:ascii="Arial" w:eastAsia="Arial" w:hAnsi="Arial" w:cs="Arial"/>
          <w:i/>
          <w:sz w:val="16"/>
          <w:szCs w:val="16"/>
        </w:rPr>
        <w:t>on</w:t>
      </w:r>
      <w:r w:rsidRPr="002462D0">
        <w:rPr>
          <w:rFonts w:ascii="Arial" w:eastAsia="Arial" w:hAnsi="Arial" w:cs="Arial"/>
          <w:i/>
          <w:spacing w:val="1"/>
          <w:sz w:val="16"/>
          <w:szCs w:val="16"/>
        </w:rPr>
        <w:t>tr</w:t>
      </w:r>
      <w:r w:rsidRPr="002462D0">
        <w:rPr>
          <w:rFonts w:ascii="Arial" w:eastAsia="Arial" w:hAnsi="Arial" w:cs="Arial"/>
          <w:i/>
          <w:sz w:val="16"/>
          <w:szCs w:val="16"/>
        </w:rPr>
        <w:t>a</w:t>
      </w:r>
      <w:r w:rsidRPr="002462D0">
        <w:rPr>
          <w:rFonts w:ascii="Arial" w:eastAsia="Arial" w:hAnsi="Arial" w:cs="Arial"/>
          <w:i/>
          <w:spacing w:val="8"/>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as</w:t>
      </w:r>
      <w:r w:rsidRPr="002462D0">
        <w:rPr>
          <w:rFonts w:ascii="Arial" w:eastAsia="Arial" w:hAnsi="Arial" w:cs="Arial"/>
          <w:i/>
          <w:spacing w:val="8"/>
          <w:sz w:val="16"/>
          <w:szCs w:val="16"/>
        </w:rPr>
        <w:t xml:space="preserve"> </w:t>
      </w:r>
      <w:r w:rsidRPr="002462D0">
        <w:rPr>
          <w:rFonts w:ascii="Arial" w:eastAsia="Arial" w:hAnsi="Arial" w:cs="Arial"/>
          <w:i/>
          <w:spacing w:val="1"/>
          <w:sz w:val="16"/>
          <w:szCs w:val="16"/>
        </w:rPr>
        <w:t>r</w:t>
      </w:r>
      <w:r w:rsidRPr="002462D0">
        <w:rPr>
          <w:rFonts w:ascii="Arial" w:eastAsia="Arial" w:hAnsi="Arial" w:cs="Arial"/>
          <w:i/>
          <w:spacing w:val="-3"/>
          <w:sz w:val="16"/>
          <w:szCs w:val="16"/>
        </w:rPr>
        <w:t>e</w:t>
      </w:r>
      <w:r w:rsidRPr="002462D0">
        <w:rPr>
          <w:rFonts w:ascii="Arial" w:eastAsia="Arial" w:hAnsi="Arial" w:cs="Arial"/>
          <w:i/>
          <w:sz w:val="16"/>
          <w:szCs w:val="16"/>
        </w:rPr>
        <w:t>so</w:t>
      </w:r>
      <w:r w:rsidRPr="002462D0">
        <w:rPr>
          <w:rFonts w:ascii="Arial" w:eastAsia="Arial" w:hAnsi="Arial" w:cs="Arial"/>
          <w:i/>
          <w:spacing w:val="-3"/>
          <w:sz w:val="16"/>
          <w:szCs w:val="16"/>
        </w:rPr>
        <w:t>l</w:t>
      </w:r>
      <w:r w:rsidRPr="002462D0">
        <w:rPr>
          <w:rFonts w:ascii="Arial" w:eastAsia="Arial" w:hAnsi="Arial" w:cs="Arial"/>
          <w:i/>
          <w:sz w:val="16"/>
          <w:szCs w:val="16"/>
        </w:rPr>
        <w:t>uc</w:t>
      </w:r>
      <w:r w:rsidRPr="002462D0">
        <w:rPr>
          <w:rFonts w:ascii="Arial" w:eastAsia="Arial" w:hAnsi="Arial" w:cs="Arial"/>
          <w:i/>
          <w:spacing w:val="-3"/>
          <w:sz w:val="16"/>
          <w:szCs w:val="16"/>
        </w:rPr>
        <w:t>i</w:t>
      </w:r>
      <w:r w:rsidRPr="002462D0">
        <w:rPr>
          <w:rFonts w:ascii="Arial" w:eastAsia="Arial" w:hAnsi="Arial" w:cs="Arial"/>
          <w:i/>
          <w:sz w:val="16"/>
          <w:szCs w:val="16"/>
        </w:rPr>
        <w:t>ones</w:t>
      </w:r>
      <w:r w:rsidRPr="002462D0">
        <w:rPr>
          <w:rFonts w:ascii="Arial" w:eastAsia="Arial" w:hAnsi="Arial" w:cs="Arial"/>
          <w:i/>
          <w:spacing w:val="6"/>
          <w:sz w:val="16"/>
          <w:szCs w:val="16"/>
        </w:rPr>
        <w:t xml:space="preserve"> </w:t>
      </w:r>
      <w:r w:rsidRPr="002462D0">
        <w:rPr>
          <w:rFonts w:ascii="Arial" w:eastAsia="Arial" w:hAnsi="Arial" w:cs="Arial"/>
          <w:i/>
          <w:spacing w:val="2"/>
          <w:sz w:val="16"/>
          <w:szCs w:val="16"/>
        </w:rPr>
        <w:t>q</w:t>
      </w:r>
      <w:r w:rsidRPr="002462D0">
        <w:rPr>
          <w:rFonts w:ascii="Arial" w:eastAsia="Arial" w:hAnsi="Arial" w:cs="Arial"/>
          <w:i/>
          <w:sz w:val="16"/>
          <w:szCs w:val="16"/>
        </w:rPr>
        <w:t>ue</w:t>
      </w:r>
      <w:r w:rsidRPr="002462D0">
        <w:rPr>
          <w:rFonts w:ascii="Arial" w:eastAsia="Arial" w:hAnsi="Arial" w:cs="Arial"/>
          <w:i/>
          <w:spacing w:val="10"/>
          <w:sz w:val="16"/>
          <w:szCs w:val="16"/>
        </w:rPr>
        <w:t xml:space="preserve"> </w:t>
      </w:r>
      <w:r w:rsidRPr="002462D0">
        <w:rPr>
          <w:rFonts w:ascii="Arial" w:eastAsia="Arial" w:hAnsi="Arial" w:cs="Arial"/>
          <w:i/>
          <w:spacing w:val="-3"/>
          <w:sz w:val="16"/>
          <w:szCs w:val="16"/>
        </w:rPr>
        <w:t>p</w:t>
      </w:r>
      <w:r w:rsidRPr="002462D0">
        <w:rPr>
          <w:rFonts w:ascii="Arial" w:eastAsia="Arial" w:hAnsi="Arial" w:cs="Arial"/>
          <w:i/>
          <w:sz w:val="16"/>
          <w:szCs w:val="16"/>
        </w:rPr>
        <w:t>o</w:t>
      </w:r>
      <w:r w:rsidRPr="002462D0">
        <w:rPr>
          <w:rFonts w:ascii="Arial" w:eastAsia="Arial" w:hAnsi="Arial" w:cs="Arial"/>
          <w:i/>
          <w:spacing w:val="-5"/>
          <w:sz w:val="16"/>
          <w:szCs w:val="16"/>
        </w:rPr>
        <w:t>n</w:t>
      </w:r>
      <w:r w:rsidRPr="002462D0">
        <w:rPr>
          <w:rFonts w:ascii="Arial" w:eastAsia="Arial" w:hAnsi="Arial" w:cs="Arial"/>
          <w:i/>
          <w:spacing w:val="2"/>
          <w:sz w:val="16"/>
          <w:szCs w:val="16"/>
        </w:rPr>
        <w:t>g</w:t>
      </w:r>
      <w:r w:rsidRPr="002462D0">
        <w:rPr>
          <w:rFonts w:ascii="Arial" w:eastAsia="Arial" w:hAnsi="Arial" w:cs="Arial"/>
          <w:i/>
          <w:sz w:val="16"/>
          <w:szCs w:val="16"/>
        </w:rPr>
        <w:t xml:space="preserve">an </w:t>
      </w:r>
      <w:r w:rsidRPr="002462D0">
        <w:rPr>
          <w:rFonts w:ascii="Arial" w:eastAsia="Arial" w:hAnsi="Arial" w:cs="Arial"/>
          <w:i/>
          <w:spacing w:val="6"/>
          <w:sz w:val="16"/>
          <w:szCs w:val="16"/>
        </w:rPr>
        <w:t>f</w:t>
      </w:r>
      <w:r w:rsidRPr="002462D0">
        <w:rPr>
          <w:rFonts w:ascii="Arial" w:eastAsia="Arial" w:hAnsi="Arial" w:cs="Arial"/>
          <w:i/>
          <w:spacing w:val="-3"/>
          <w:sz w:val="16"/>
          <w:szCs w:val="16"/>
        </w:rPr>
        <w:t>i</w:t>
      </w:r>
      <w:r w:rsidRPr="002462D0">
        <w:rPr>
          <w:rFonts w:ascii="Arial" w:eastAsia="Arial" w:hAnsi="Arial" w:cs="Arial"/>
          <w:i/>
          <w:sz w:val="16"/>
          <w:szCs w:val="16"/>
        </w:rPr>
        <w:t>n</w:t>
      </w:r>
      <w:r w:rsidRPr="002462D0">
        <w:rPr>
          <w:rFonts w:ascii="Arial" w:eastAsia="Arial" w:hAnsi="Arial" w:cs="Arial"/>
          <w:i/>
          <w:spacing w:val="10"/>
          <w:sz w:val="16"/>
          <w:szCs w:val="16"/>
        </w:rPr>
        <w:t xml:space="preserve"> </w:t>
      </w:r>
      <w:r w:rsidRPr="002462D0">
        <w:rPr>
          <w:rFonts w:ascii="Arial" w:eastAsia="Arial" w:hAnsi="Arial" w:cs="Arial"/>
          <w:i/>
          <w:sz w:val="16"/>
          <w:szCs w:val="16"/>
        </w:rPr>
        <w:t>al</w:t>
      </w:r>
      <w:r w:rsidRPr="002462D0">
        <w:rPr>
          <w:rFonts w:ascii="Arial" w:eastAsia="Arial" w:hAnsi="Arial" w:cs="Arial"/>
          <w:i/>
          <w:spacing w:val="7"/>
          <w:sz w:val="16"/>
          <w:szCs w:val="16"/>
        </w:rPr>
        <w:t xml:space="preserve"> </w:t>
      </w:r>
      <w:r w:rsidRPr="002462D0">
        <w:rPr>
          <w:rFonts w:ascii="Arial" w:eastAsia="Arial" w:hAnsi="Arial" w:cs="Arial"/>
          <w:i/>
          <w:spacing w:val="-3"/>
          <w:sz w:val="16"/>
          <w:szCs w:val="16"/>
        </w:rPr>
        <w:t>R</w:t>
      </w:r>
      <w:r w:rsidRPr="002462D0">
        <w:rPr>
          <w:rFonts w:ascii="Arial" w:eastAsia="Arial" w:hAnsi="Arial" w:cs="Arial"/>
          <w:i/>
          <w:sz w:val="16"/>
          <w:szCs w:val="16"/>
        </w:rPr>
        <w:t>e</w:t>
      </w:r>
      <w:r w:rsidRPr="002462D0">
        <w:rPr>
          <w:rFonts w:ascii="Arial" w:eastAsia="Arial" w:hAnsi="Arial" w:cs="Arial"/>
          <w:i/>
          <w:spacing w:val="-2"/>
          <w:sz w:val="16"/>
          <w:szCs w:val="16"/>
        </w:rPr>
        <w:t>c</w:t>
      </w:r>
      <w:r w:rsidRPr="002462D0">
        <w:rPr>
          <w:rFonts w:ascii="Arial" w:eastAsia="Arial" w:hAnsi="Arial" w:cs="Arial"/>
          <w:i/>
          <w:spacing w:val="-3"/>
          <w:sz w:val="16"/>
          <w:szCs w:val="16"/>
        </w:rPr>
        <w:t>u</w:t>
      </w:r>
      <w:r w:rsidRPr="002462D0">
        <w:rPr>
          <w:rFonts w:ascii="Arial" w:eastAsia="Arial" w:hAnsi="Arial" w:cs="Arial"/>
          <w:i/>
          <w:spacing w:val="1"/>
          <w:sz w:val="16"/>
          <w:szCs w:val="16"/>
        </w:rPr>
        <w:t>r</w:t>
      </w:r>
      <w:r w:rsidRPr="002462D0">
        <w:rPr>
          <w:rFonts w:ascii="Arial" w:eastAsia="Arial" w:hAnsi="Arial" w:cs="Arial"/>
          <w:i/>
          <w:sz w:val="16"/>
          <w:szCs w:val="16"/>
        </w:rPr>
        <w:t>so</w:t>
      </w:r>
      <w:r w:rsidRPr="002462D0">
        <w:rPr>
          <w:rFonts w:ascii="Arial" w:eastAsia="Arial" w:hAnsi="Arial" w:cs="Arial"/>
          <w:i/>
          <w:spacing w:val="11"/>
          <w:sz w:val="16"/>
          <w:szCs w:val="16"/>
        </w:rPr>
        <w:t xml:space="preserve"> </w:t>
      </w:r>
      <w:r w:rsidRPr="002462D0">
        <w:rPr>
          <w:rFonts w:ascii="Arial" w:eastAsia="Arial" w:hAnsi="Arial" w:cs="Arial"/>
          <w:i/>
          <w:sz w:val="16"/>
          <w:szCs w:val="16"/>
        </w:rPr>
        <w:t>de</w:t>
      </w:r>
      <w:r w:rsidRPr="002462D0">
        <w:rPr>
          <w:rFonts w:ascii="Arial" w:eastAsia="Arial" w:hAnsi="Arial" w:cs="Arial"/>
          <w:i/>
          <w:spacing w:val="10"/>
          <w:sz w:val="16"/>
          <w:szCs w:val="16"/>
        </w:rPr>
        <w:t xml:space="preserve"> </w:t>
      </w:r>
      <w:r w:rsidRPr="002462D0">
        <w:rPr>
          <w:rFonts w:ascii="Arial" w:eastAsia="Arial" w:hAnsi="Arial" w:cs="Arial"/>
          <w:i/>
          <w:spacing w:val="-3"/>
          <w:sz w:val="16"/>
          <w:szCs w:val="16"/>
        </w:rPr>
        <w:t>R</w:t>
      </w:r>
      <w:r w:rsidRPr="002462D0">
        <w:rPr>
          <w:rFonts w:ascii="Arial" w:eastAsia="Arial" w:hAnsi="Arial" w:cs="Arial"/>
          <w:i/>
          <w:sz w:val="16"/>
          <w:szCs w:val="16"/>
        </w:rPr>
        <w:t>e</w:t>
      </w:r>
      <w:r w:rsidRPr="002462D0">
        <w:rPr>
          <w:rFonts w:ascii="Arial" w:eastAsia="Arial" w:hAnsi="Arial" w:cs="Arial"/>
          <w:i/>
          <w:spacing w:val="-2"/>
          <w:sz w:val="16"/>
          <w:szCs w:val="16"/>
        </w:rPr>
        <w:t>c</w:t>
      </w:r>
      <w:r w:rsidRPr="002462D0">
        <w:rPr>
          <w:rFonts w:ascii="Arial" w:eastAsia="Arial" w:hAnsi="Arial" w:cs="Arial"/>
          <w:i/>
          <w:sz w:val="16"/>
          <w:szCs w:val="16"/>
        </w:rPr>
        <w:t>ons</w:t>
      </w:r>
      <w:r w:rsidRPr="002462D0">
        <w:rPr>
          <w:rFonts w:ascii="Arial" w:eastAsia="Arial" w:hAnsi="Arial" w:cs="Arial"/>
          <w:i/>
          <w:spacing w:val="-3"/>
          <w:sz w:val="16"/>
          <w:szCs w:val="16"/>
        </w:rPr>
        <w:t>i</w:t>
      </w:r>
      <w:r w:rsidRPr="002462D0">
        <w:rPr>
          <w:rFonts w:ascii="Arial" w:eastAsia="Arial" w:hAnsi="Arial" w:cs="Arial"/>
          <w:i/>
          <w:sz w:val="16"/>
          <w:szCs w:val="16"/>
        </w:rPr>
        <w:t>de</w:t>
      </w:r>
      <w:r w:rsidRPr="002462D0">
        <w:rPr>
          <w:rFonts w:ascii="Arial" w:eastAsia="Arial" w:hAnsi="Arial" w:cs="Arial"/>
          <w:i/>
          <w:spacing w:val="1"/>
          <w:sz w:val="16"/>
          <w:szCs w:val="16"/>
        </w:rPr>
        <w:t>r</w:t>
      </w:r>
      <w:r w:rsidRPr="002462D0">
        <w:rPr>
          <w:rFonts w:ascii="Arial" w:eastAsia="Arial" w:hAnsi="Arial" w:cs="Arial"/>
          <w:i/>
          <w:sz w:val="16"/>
          <w:szCs w:val="16"/>
        </w:rPr>
        <w:t>ac</w:t>
      </w:r>
      <w:r w:rsidRPr="002462D0">
        <w:rPr>
          <w:rFonts w:ascii="Arial" w:eastAsia="Arial" w:hAnsi="Arial" w:cs="Arial"/>
          <w:i/>
          <w:spacing w:val="-3"/>
          <w:sz w:val="16"/>
          <w:szCs w:val="16"/>
        </w:rPr>
        <w:t>ió</w:t>
      </w:r>
      <w:r w:rsidRPr="002462D0">
        <w:rPr>
          <w:rFonts w:ascii="Arial" w:eastAsia="Arial" w:hAnsi="Arial" w:cs="Arial"/>
          <w:i/>
          <w:sz w:val="16"/>
          <w:szCs w:val="16"/>
        </w:rPr>
        <w:t>n</w:t>
      </w:r>
      <w:r w:rsidRPr="002462D0">
        <w:rPr>
          <w:rFonts w:ascii="Arial" w:eastAsia="Arial" w:hAnsi="Arial" w:cs="Arial"/>
          <w:i/>
          <w:spacing w:val="8"/>
          <w:sz w:val="16"/>
          <w:szCs w:val="16"/>
        </w:rPr>
        <w:t xml:space="preserve"> </w:t>
      </w:r>
      <w:r w:rsidRPr="002462D0">
        <w:rPr>
          <w:rFonts w:ascii="Arial" w:eastAsia="Arial" w:hAnsi="Arial" w:cs="Arial"/>
          <w:i/>
          <w:sz w:val="16"/>
          <w:szCs w:val="16"/>
        </w:rPr>
        <w:t>pr</w:t>
      </w:r>
      <w:r w:rsidRPr="002462D0">
        <w:rPr>
          <w:rFonts w:ascii="Arial" w:eastAsia="Arial" w:hAnsi="Arial" w:cs="Arial"/>
          <w:i/>
          <w:spacing w:val="1"/>
          <w:sz w:val="16"/>
          <w:szCs w:val="16"/>
        </w:rPr>
        <w:t>e</w:t>
      </w:r>
      <w:r w:rsidRPr="002462D0">
        <w:rPr>
          <w:rFonts w:ascii="Arial" w:eastAsia="Arial" w:hAnsi="Arial" w:cs="Arial"/>
          <w:i/>
          <w:spacing w:val="-5"/>
          <w:sz w:val="16"/>
          <w:szCs w:val="16"/>
        </w:rPr>
        <w:t>v</w:t>
      </w:r>
      <w:r w:rsidRPr="002462D0">
        <w:rPr>
          <w:rFonts w:ascii="Arial" w:eastAsia="Arial" w:hAnsi="Arial" w:cs="Arial"/>
          <w:i/>
          <w:spacing w:val="-3"/>
          <w:sz w:val="16"/>
          <w:szCs w:val="16"/>
        </w:rPr>
        <w:t>i</w:t>
      </w:r>
      <w:r w:rsidRPr="002462D0">
        <w:rPr>
          <w:rFonts w:ascii="Arial" w:eastAsia="Arial" w:hAnsi="Arial" w:cs="Arial"/>
          <w:i/>
          <w:sz w:val="16"/>
          <w:szCs w:val="16"/>
        </w:rPr>
        <w:t>s</w:t>
      </w:r>
      <w:r w:rsidRPr="002462D0">
        <w:rPr>
          <w:rFonts w:ascii="Arial" w:eastAsia="Arial" w:hAnsi="Arial" w:cs="Arial"/>
          <w:i/>
          <w:spacing w:val="1"/>
          <w:sz w:val="16"/>
          <w:szCs w:val="16"/>
        </w:rPr>
        <w:t>t</w:t>
      </w:r>
      <w:r w:rsidRPr="002462D0">
        <w:rPr>
          <w:rFonts w:ascii="Arial" w:eastAsia="Arial" w:hAnsi="Arial" w:cs="Arial"/>
          <w:i/>
          <w:sz w:val="16"/>
          <w:szCs w:val="16"/>
        </w:rPr>
        <w:t>o</w:t>
      </w:r>
      <w:r w:rsidRPr="002462D0">
        <w:rPr>
          <w:rFonts w:ascii="Arial" w:eastAsia="Arial" w:hAnsi="Arial" w:cs="Arial"/>
          <w:i/>
          <w:spacing w:val="8"/>
          <w:sz w:val="16"/>
          <w:szCs w:val="16"/>
        </w:rPr>
        <w:t xml:space="preserve"> </w:t>
      </w:r>
      <w:r w:rsidRPr="002462D0">
        <w:rPr>
          <w:rFonts w:ascii="Arial" w:eastAsia="Arial" w:hAnsi="Arial" w:cs="Arial"/>
          <w:i/>
          <w:sz w:val="16"/>
          <w:szCs w:val="16"/>
        </w:rPr>
        <w:t>en</w:t>
      </w:r>
      <w:r w:rsidRPr="002462D0">
        <w:rPr>
          <w:rFonts w:ascii="Arial" w:eastAsia="Arial" w:hAnsi="Arial" w:cs="Arial"/>
          <w:i/>
          <w:spacing w:val="10"/>
          <w:sz w:val="16"/>
          <w:szCs w:val="16"/>
        </w:rPr>
        <w:t xml:space="preserve"> </w:t>
      </w:r>
      <w:r w:rsidRPr="002462D0">
        <w:rPr>
          <w:rFonts w:ascii="Arial" w:eastAsia="Arial" w:hAnsi="Arial" w:cs="Arial"/>
          <w:i/>
          <w:spacing w:val="4"/>
          <w:sz w:val="16"/>
          <w:szCs w:val="16"/>
        </w:rPr>
        <w:t>e</w:t>
      </w:r>
      <w:r w:rsidRPr="002462D0">
        <w:rPr>
          <w:rFonts w:ascii="Arial" w:eastAsia="Arial" w:hAnsi="Arial" w:cs="Arial"/>
          <w:i/>
          <w:sz w:val="16"/>
          <w:szCs w:val="16"/>
        </w:rPr>
        <w:t>l</w:t>
      </w:r>
      <w:r w:rsidRPr="002462D0">
        <w:rPr>
          <w:rFonts w:ascii="Arial" w:eastAsia="Arial" w:hAnsi="Arial" w:cs="Arial"/>
          <w:i/>
          <w:spacing w:val="7"/>
          <w:sz w:val="16"/>
          <w:szCs w:val="16"/>
        </w:rPr>
        <w:t xml:space="preserve"> </w:t>
      </w:r>
      <w:r w:rsidRPr="002462D0">
        <w:rPr>
          <w:rFonts w:ascii="Arial" w:eastAsia="Arial" w:hAnsi="Arial" w:cs="Arial"/>
          <w:i/>
          <w:spacing w:val="-3"/>
          <w:sz w:val="16"/>
          <w:szCs w:val="16"/>
        </w:rPr>
        <w:t>p</w:t>
      </w:r>
      <w:r w:rsidRPr="002462D0">
        <w:rPr>
          <w:rFonts w:ascii="Arial" w:eastAsia="Arial" w:hAnsi="Arial" w:cs="Arial"/>
          <w:i/>
          <w:spacing w:val="1"/>
          <w:sz w:val="16"/>
          <w:szCs w:val="16"/>
        </w:rPr>
        <w:t>r</w:t>
      </w:r>
      <w:r w:rsidRPr="002462D0">
        <w:rPr>
          <w:rFonts w:ascii="Arial" w:eastAsia="Arial" w:hAnsi="Arial" w:cs="Arial"/>
          <w:i/>
          <w:sz w:val="16"/>
          <w:szCs w:val="16"/>
        </w:rPr>
        <w:t>es</w:t>
      </w:r>
      <w:r w:rsidRPr="002462D0">
        <w:rPr>
          <w:rFonts w:ascii="Arial" w:eastAsia="Arial" w:hAnsi="Arial" w:cs="Arial"/>
          <w:i/>
          <w:spacing w:val="-1"/>
          <w:sz w:val="16"/>
          <w:szCs w:val="16"/>
        </w:rPr>
        <w:t>e</w:t>
      </w:r>
      <w:r w:rsidRPr="002462D0">
        <w:rPr>
          <w:rFonts w:ascii="Arial" w:eastAsia="Arial" w:hAnsi="Arial" w:cs="Arial"/>
          <w:i/>
          <w:sz w:val="16"/>
          <w:szCs w:val="16"/>
        </w:rPr>
        <w:t>n</w:t>
      </w:r>
      <w:r w:rsidRPr="002462D0">
        <w:rPr>
          <w:rFonts w:ascii="Arial" w:eastAsia="Arial" w:hAnsi="Arial" w:cs="Arial"/>
          <w:i/>
          <w:spacing w:val="-4"/>
          <w:sz w:val="16"/>
          <w:szCs w:val="16"/>
        </w:rPr>
        <w:t>t</w:t>
      </w:r>
      <w:r w:rsidRPr="002462D0">
        <w:rPr>
          <w:rFonts w:ascii="Arial" w:eastAsia="Arial" w:hAnsi="Arial" w:cs="Arial"/>
          <w:i/>
          <w:sz w:val="16"/>
          <w:szCs w:val="16"/>
        </w:rPr>
        <w:t xml:space="preserve">e </w:t>
      </w:r>
      <w:r w:rsidRPr="002462D0">
        <w:rPr>
          <w:rFonts w:ascii="Arial" w:eastAsia="Arial" w:hAnsi="Arial" w:cs="Arial"/>
          <w:i/>
          <w:spacing w:val="-3"/>
          <w:sz w:val="16"/>
          <w:szCs w:val="16"/>
        </w:rPr>
        <w:t>C</w:t>
      </w:r>
      <w:r w:rsidRPr="002462D0">
        <w:rPr>
          <w:rFonts w:ascii="Arial" w:eastAsia="Arial" w:hAnsi="Arial" w:cs="Arial"/>
          <w:i/>
          <w:sz w:val="16"/>
          <w:szCs w:val="16"/>
        </w:rPr>
        <w:t>ód</w:t>
      </w:r>
      <w:r w:rsidRPr="002462D0">
        <w:rPr>
          <w:rFonts w:ascii="Arial" w:eastAsia="Arial" w:hAnsi="Arial" w:cs="Arial"/>
          <w:i/>
          <w:spacing w:val="-3"/>
          <w:sz w:val="16"/>
          <w:szCs w:val="16"/>
        </w:rPr>
        <w:t>i</w:t>
      </w:r>
      <w:r w:rsidRPr="002462D0">
        <w:rPr>
          <w:rFonts w:ascii="Arial" w:eastAsia="Arial" w:hAnsi="Arial" w:cs="Arial"/>
          <w:i/>
          <w:spacing w:val="2"/>
          <w:sz w:val="16"/>
          <w:szCs w:val="16"/>
        </w:rPr>
        <w:t>g</w:t>
      </w:r>
      <w:r w:rsidRPr="002462D0">
        <w:rPr>
          <w:rFonts w:ascii="Arial" w:eastAsia="Arial" w:hAnsi="Arial" w:cs="Arial"/>
          <w:i/>
          <w:sz w:val="16"/>
          <w:szCs w:val="16"/>
        </w:rPr>
        <w:t>o</w:t>
      </w:r>
      <w:r w:rsidRPr="002462D0">
        <w:rPr>
          <w:rFonts w:ascii="Arial" w:eastAsia="Arial" w:hAnsi="Arial" w:cs="Arial"/>
          <w:i/>
          <w:spacing w:val="12"/>
          <w:sz w:val="16"/>
          <w:szCs w:val="16"/>
        </w:rPr>
        <w:t xml:space="preserve"> </w:t>
      </w:r>
      <w:r w:rsidRPr="002462D0">
        <w:rPr>
          <w:rFonts w:ascii="Arial" w:eastAsia="Arial" w:hAnsi="Arial" w:cs="Arial"/>
          <w:i/>
          <w:sz w:val="16"/>
          <w:szCs w:val="16"/>
        </w:rPr>
        <w:t>o</w:t>
      </w:r>
      <w:r w:rsidRPr="002462D0">
        <w:rPr>
          <w:rFonts w:ascii="Arial" w:eastAsia="Arial" w:hAnsi="Arial" w:cs="Arial"/>
          <w:i/>
          <w:spacing w:val="9"/>
          <w:sz w:val="16"/>
          <w:szCs w:val="16"/>
        </w:rPr>
        <w:t xml:space="preserve"> </w:t>
      </w:r>
      <w:r w:rsidRPr="002462D0">
        <w:rPr>
          <w:rFonts w:ascii="Arial" w:eastAsia="Arial" w:hAnsi="Arial" w:cs="Arial"/>
          <w:i/>
          <w:spacing w:val="-5"/>
          <w:sz w:val="16"/>
          <w:szCs w:val="16"/>
        </w:rPr>
        <w:t>a</w:t>
      </w:r>
      <w:r w:rsidRPr="002462D0">
        <w:rPr>
          <w:rFonts w:ascii="Arial" w:eastAsia="Arial" w:hAnsi="Arial" w:cs="Arial"/>
          <w:i/>
          <w:spacing w:val="2"/>
          <w:sz w:val="16"/>
          <w:szCs w:val="16"/>
        </w:rPr>
        <w:t>q</w:t>
      </w:r>
      <w:r w:rsidRPr="002462D0">
        <w:rPr>
          <w:rFonts w:ascii="Arial" w:eastAsia="Arial" w:hAnsi="Arial" w:cs="Arial"/>
          <w:i/>
          <w:sz w:val="16"/>
          <w:szCs w:val="16"/>
        </w:rPr>
        <w:t>ue</w:t>
      </w:r>
      <w:r w:rsidRPr="002462D0">
        <w:rPr>
          <w:rFonts w:ascii="Arial" w:eastAsia="Arial" w:hAnsi="Arial" w:cs="Arial"/>
          <w:i/>
          <w:spacing w:val="-3"/>
          <w:sz w:val="16"/>
          <w:szCs w:val="16"/>
        </w:rPr>
        <w:t>ll</w:t>
      </w:r>
      <w:r w:rsidRPr="002462D0">
        <w:rPr>
          <w:rFonts w:ascii="Arial" w:eastAsia="Arial" w:hAnsi="Arial" w:cs="Arial"/>
          <w:i/>
          <w:sz w:val="16"/>
          <w:szCs w:val="16"/>
        </w:rPr>
        <w:t>as</w:t>
      </w:r>
      <w:r w:rsidRPr="002462D0">
        <w:rPr>
          <w:rFonts w:ascii="Arial" w:eastAsia="Arial" w:hAnsi="Arial" w:cs="Arial"/>
          <w:i/>
          <w:spacing w:val="12"/>
          <w:sz w:val="16"/>
          <w:szCs w:val="16"/>
        </w:rPr>
        <w:t xml:space="preserve"> </w:t>
      </w:r>
      <w:r w:rsidRPr="002462D0">
        <w:rPr>
          <w:rFonts w:ascii="Arial" w:eastAsia="Arial" w:hAnsi="Arial" w:cs="Arial"/>
          <w:i/>
          <w:sz w:val="16"/>
          <w:szCs w:val="16"/>
        </w:rPr>
        <w:t>d</w:t>
      </w:r>
      <w:r w:rsidRPr="002462D0">
        <w:rPr>
          <w:rFonts w:ascii="Arial" w:eastAsia="Arial" w:hAnsi="Arial" w:cs="Arial"/>
          <w:i/>
          <w:spacing w:val="-5"/>
          <w:sz w:val="16"/>
          <w:szCs w:val="16"/>
        </w:rPr>
        <w:t>e</w:t>
      </w:r>
      <w:r w:rsidRPr="002462D0">
        <w:rPr>
          <w:rFonts w:ascii="Arial" w:eastAsia="Arial" w:hAnsi="Arial" w:cs="Arial"/>
          <w:i/>
          <w:spacing w:val="-4"/>
          <w:sz w:val="16"/>
          <w:szCs w:val="16"/>
        </w:rPr>
        <w:t>r</w:t>
      </w:r>
      <w:r w:rsidRPr="002462D0">
        <w:rPr>
          <w:rFonts w:ascii="Arial" w:eastAsia="Arial" w:hAnsi="Arial" w:cs="Arial"/>
          <w:i/>
          <w:spacing w:val="-3"/>
          <w:sz w:val="16"/>
          <w:szCs w:val="16"/>
        </w:rPr>
        <w:t>i</w:t>
      </w:r>
      <w:r w:rsidRPr="002462D0">
        <w:rPr>
          <w:rFonts w:ascii="Arial" w:eastAsia="Arial" w:hAnsi="Arial" w:cs="Arial"/>
          <w:i/>
          <w:spacing w:val="-5"/>
          <w:sz w:val="16"/>
          <w:szCs w:val="16"/>
        </w:rPr>
        <w:t>v</w:t>
      </w:r>
      <w:r w:rsidRPr="002462D0">
        <w:rPr>
          <w:rFonts w:ascii="Arial" w:eastAsia="Arial" w:hAnsi="Arial" w:cs="Arial"/>
          <w:i/>
          <w:sz w:val="16"/>
          <w:szCs w:val="16"/>
        </w:rPr>
        <w:t>adas</w:t>
      </w:r>
      <w:r w:rsidRPr="002462D0">
        <w:rPr>
          <w:rFonts w:ascii="Arial" w:eastAsia="Arial" w:hAnsi="Arial" w:cs="Arial"/>
          <w:i/>
          <w:spacing w:val="12"/>
          <w:sz w:val="16"/>
          <w:szCs w:val="16"/>
        </w:rPr>
        <w:t xml:space="preserve"> </w:t>
      </w:r>
      <w:r w:rsidRPr="002462D0">
        <w:rPr>
          <w:rFonts w:ascii="Arial" w:eastAsia="Arial" w:hAnsi="Arial" w:cs="Arial"/>
          <w:i/>
          <w:sz w:val="16"/>
          <w:szCs w:val="16"/>
        </w:rPr>
        <w:t>de</w:t>
      </w:r>
      <w:r w:rsidRPr="002462D0">
        <w:rPr>
          <w:rFonts w:ascii="Arial" w:eastAsia="Arial" w:hAnsi="Arial" w:cs="Arial"/>
          <w:i/>
          <w:spacing w:val="12"/>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a</w:t>
      </w:r>
      <w:r w:rsidRPr="002462D0">
        <w:rPr>
          <w:rFonts w:ascii="Arial" w:eastAsia="Arial" w:hAnsi="Arial" w:cs="Arial"/>
          <w:i/>
          <w:spacing w:val="12"/>
          <w:sz w:val="16"/>
          <w:szCs w:val="16"/>
        </w:rPr>
        <w:t xml:space="preserve"> </w:t>
      </w:r>
      <w:r w:rsidRPr="002462D0">
        <w:rPr>
          <w:rFonts w:ascii="Arial" w:eastAsia="Arial" w:hAnsi="Arial" w:cs="Arial"/>
          <w:i/>
          <w:sz w:val="16"/>
          <w:szCs w:val="16"/>
        </w:rPr>
        <w:t>p</w:t>
      </w:r>
      <w:r w:rsidRPr="002462D0">
        <w:rPr>
          <w:rFonts w:ascii="Arial" w:eastAsia="Arial" w:hAnsi="Arial" w:cs="Arial"/>
          <w:i/>
          <w:spacing w:val="1"/>
          <w:sz w:val="16"/>
          <w:szCs w:val="16"/>
        </w:rPr>
        <w:t>r</w:t>
      </w:r>
      <w:r w:rsidRPr="002462D0">
        <w:rPr>
          <w:rFonts w:ascii="Arial" w:eastAsia="Arial" w:hAnsi="Arial" w:cs="Arial"/>
          <w:i/>
          <w:spacing w:val="-3"/>
          <w:sz w:val="16"/>
          <w:szCs w:val="16"/>
        </w:rPr>
        <w:t>e</w:t>
      </w:r>
      <w:r w:rsidRPr="002462D0">
        <w:rPr>
          <w:rFonts w:ascii="Arial" w:eastAsia="Arial" w:hAnsi="Arial" w:cs="Arial"/>
          <w:i/>
          <w:sz w:val="16"/>
          <w:szCs w:val="16"/>
        </w:rPr>
        <w:t>se</w:t>
      </w:r>
      <w:r w:rsidRPr="002462D0">
        <w:rPr>
          <w:rFonts w:ascii="Arial" w:eastAsia="Arial" w:hAnsi="Arial" w:cs="Arial"/>
          <w:i/>
          <w:spacing w:val="-3"/>
          <w:sz w:val="16"/>
          <w:szCs w:val="16"/>
        </w:rPr>
        <w:t>n</w:t>
      </w:r>
      <w:r w:rsidRPr="002462D0">
        <w:rPr>
          <w:rFonts w:ascii="Arial" w:eastAsia="Arial" w:hAnsi="Arial" w:cs="Arial"/>
          <w:i/>
          <w:spacing w:val="1"/>
          <w:sz w:val="16"/>
          <w:szCs w:val="16"/>
        </w:rPr>
        <w:t>t</w:t>
      </w:r>
      <w:r w:rsidRPr="002462D0">
        <w:rPr>
          <w:rFonts w:ascii="Arial" w:eastAsia="Arial" w:hAnsi="Arial" w:cs="Arial"/>
          <w:i/>
          <w:spacing w:val="-5"/>
          <w:sz w:val="16"/>
          <w:szCs w:val="16"/>
        </w:rPr>
        <w:t>a</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14"/>
          <w:sz w:val="16"/>
          <w:szCs w:val="16"/>
        </w:rPr>
        <w:t xml:space="preserve"> </w:t>
      </w:r>
      <w:r w:rsidRPr="002462D0">
        <w:rPr>
          <w:rFonts w:ascii="Arial" w:eastAsia="Arial" w:hAnsi="Arial" w:cs="Arial"/>
          <w:i/>
          <w:sz w:val="16"/>
          <w:szCs w:val="16"/>
        </w:rPr>
        <w:t>del</w:t>
      </w:r>
      <w:r w:rsidRPr="002462D0">
        <w:rPr>
          <w:rFonts w:ascii="Arial" w:eastAsia="Arial" w:hAnsi="Arial" w:cs="Arial"/>
          <w:i/>
          <w:spacing w:val="11"/>
          <w:sz w:val="16"/>
          <w:szCs w:val="16"/>
        </w:rPr>
        <w:t xml:space="preserve"> </w:t>
      </w:r>
      <w:r w:rsidRPr="002462D0">
        <w:rPr>
          <w:rFonts w:ascii="Arial" w:eastAsia="Arial" w:hAnsi="Arial" w:cs="Arial"/>
          <w:i/>
          <w:spacing w:val="1"/>
          <w:sz w:val="16"/>
          <w:szCs w:val="16"/>
        </w:rPr>
        <w:t>I</w:t>
      </w:r>
      <w:r w:rsidRPr="002462D0">
        <w:rPr>
          <w:rFonts w:ascii="Arial" w:eastAsia="Arial" w:hAnsi="Arial" w:cs="Arial"/>
          <w:i/>
          <w:spacing w:val="-5"/>
          <w:sz w:val="16"/>
          <w:szCs w:val="16"/>
        </w:rPr>
        <w:t>n</w:t>
      </w:r>
      <w:r w:rsidRPr="002462D0">
        <w:rPr>
          <w:rFonts w:ascii="Arial" w:eastAsia="Arial" w:hAnsi="Arial" w:cs="Arial"/>
          <w:i/>
          <w:spacing w:val="1"/>
          <w:sz w:val="16"/>
          <w:szCs w:val="16"/>
        </w:rPr>
        <w:t>f</w:t>
      </w:r>
      <w:r w:rsidRPr="002462D0">
        <w:rPr>
          <w:rFonts w:ascii="Arial" w:eastAsia="Arial" w:hAnsi="Arial" w:cs="Arial"/>
          <w:i/>
          <w:sz w:val="16"/>
          <w:szCs w:val="16"/>
        </w:rPr>
        <w:t>o</w:t>
      </w:r>
      <w:r w:rsidRPr="002462D0">
        <w:rPr>
          <w:rFonts w:ascii="Arial" w:eastAsia="Arial" w:hAnsi="Arial" w:cs="Arial"/>
          <w:i/>
          <w:spacing w:val="-4"/>
          <w:sz w:val="16"/>
          <w:szCs w:val="16"/>
        </w:rPr>
        <w:t>r</w:t>
      </w:r>
      <w:r w:rsidRPr="002462D0">
        <w:rPr>
          <w:rFonts w:ascii="Arial" w:eastAsia="Arial" w:hAnsi="Arial" w:cs="Arial"/>
          <w:i/>
          <w:spacing w:val="1"/>
          <w:sz w:val="16"/>
          <w:szCs w:val="16"/>
        </w:rPr>
        <w:t>m</w:t>
      </w:r>
      <w:r w:rsidRPr="002462D0">
        <w:rPr>
          <w:rFonts w:ascii="Arial" w:eastAsia="Arial" w:hAnsi="Arial" w:cs="Arial"/>
          <w:i/>
          <w:sz w:val="16"/>
          <w:szCs w:val="16"/>
        </w:rPr>
        <w:t>e</w:t>
      </w:r>
      <w:r w:rsidRPr="002462D0">
        <w:rPr>
          <w:rFonts w:ascii="Arial" w:eastAsia="Arial" w:hAnsi="Arial" w:cs="Arial"/>
          <w:i/>
          <w:spacing w:val="9"/>
          <w:sz w:val="16"/>
          <w:szCs w:val="16"/>
        </w:rPr>
        <w:t xml:space="preserve"> </w:t>
      </w:r>
      <w:r w:rsidRPr="002462D0">
        <w:rPr>
          <w:rFonts w:ascii="Arial" w:eastAsia="Arial" w:hAnsi="Arial" w:cs="Arial"/>
          <w:i/>
          <w:sz w:val="16"/>
          <w:szCs w:val="16"/>
        </w:rPr>
        <w:t xml:space="preserve">de </w:t>
      </w:r>
      <w:r w:rsidRPr="002462D0">
        <w:rPr>
          <w:rFonts w:ascii="Arial" w:eastAsia="Arial" w:hAnsi="Arial" w:cs="Arial"/>
          <w:i/>
          <w:spacing w:val="-3"/>
          <w:sz w:val="16"/>
          <w:szCs w:val="16"/>
        </w:rPr>
        <w:t>R</w:t>
      </w:r>
      <w:r w:rsidRPr="002462D0">
        <w:rPr>
          <w:rFonts w:ascii="Arial" w:eastAsia="Arial" w:hAnsi="Arial" w:cs="Arial"/>
          <w:i/>
          <w:sz w:val="16"/>
          <w:szCs w:val="16"/>
        </w:rPr>
        <w:t>esu</w:t>
      </w:r>
      <w:r w:rsidRPr="002462D0">
        <w:rPr>
          <w:rFonts w:ascii="Arial" w:eastAsia="Arial" w:hAnsi="Arial" w:cs="Arial"/>
          <w:i/>
          <w:spacing w:val="-3"/>
          <w:sz w:val="16"/>
          <w:szCs w:val="16"/>
        </w:rPr>
        <w:t>l</w:t>
      </w:r>
      <w:r w:rsidRPr="002462D0">
        <w:rPr>
          <w:rFonts w:ascii="Arial" w:eastAsia="Arial" w:hAnsi="Arial" w:cs="Arial"/>
          <w:i/>
          <w:spacing w:val="1"/>
          <w:sz w:val="16"/>
          <w:szCs w:val="16"/>
        </w:rPr>
        <w:t>t</w:t>
      </w:r>
      <w:r w:rsidRPr="002462D0">
        <w:rPr>
          <w:rFonts w:ascii="Arial" w:eastAsia="Arial" w:hAnsi="Arial" w:cs="Arial"/>
          <w:i/>
          <w:sz w:val="16"/>
          <w:szCs w:val="16"/>
        </w:rPr>
        <w:t>ados</w:t>
      </w:r>
      <w:r w:rsidRPr="002462D0">
        <w:rPr>
          <w:rFonts w:ascii="Arial" w:eastAsia="Arial" w:hAnsi="Arial" w:cs="Arial"/>
          <w:i/>
          <w:spacing w:val="7"/>
          <w:sz w:val="16"/>
          <w:szCs w:val="16"/>
        </w:rPr>
        <w:t xml:space="preserve"> </w:t>
      </w:r>
      <w:r w:rsidRPr="002462D0">
        <w:rPr>
          <w:rFonts w:ascii="Arial" w:eastAsia="Arial" w:hAnsi="Arial" w:cs="Arial"/>
          <w:i/>
          <w:spacing w:val="1"/>
          <w:sz w:val="16"/>
          <w:szCs w:val="16"/>
        </w:rPr>
        <w:t>r</w:t>
      </w:r>
      <w:r w:rsidRPr="002462D0">
        <w:rPr>
          <w:rFonts w:ascii="Arial" w:eastAsia="Arial" w:hAnsi="Arial" w:cs="Arial"/>
          <w:i/>
          <w:sz w:val="16"/>
          <w:szCs w:val="16"/>
        </w:rPr>
        <w:t>e</w:t>
      </w:r>
      <w:r w:rsidRPr="002462D0">
        <w:rPr>
          <w:rFonts w:ascii="Arial" w:eastAsia="Arial" w:hAnsi="Arial" w:cs="Arial"/>
          <w:i/>
          <w:spacing w:val="-3"/>
          <w:sz w:val="16"/>
          <w:szCs w:val="16"/>
        </w:rPr>
        <w:t>l</w:t>
      </w:r>
      <w:r w:rsidRPr="002462D0">
        <w:rPr>
          <w:rFonts w:ascii="Arial" w:eastAsia="Arial" w:hAnsi="Arial" w:cs="Arial"/>
          <w:i/>
          <w:sz w:val="16"/>
          <w:szCs w:val="16"/>
        </w:rPr>
        <w:t>ati</w:t>
      </w:r>
      <w:r w:rsidRPr="002462D0">
        <w:rPr>
          <w:rFonts w:ascii="Arial" w:eastAsia="Arial" w:hAnsi="Arial" w:cs="Arial"/>
          <w:i/>
          <w:spacing w:val="-5"/>
          <w:sz w:val="16"/>
          <w:szCs w:val="16"/>
        </w:rPr>
        <w:t>v</w:t>
      </w:r>
      <w:r w:rsidRPr="002462D0">
        <w:rPr>
          <w:rFonts w:ascii="Arial" w:eastAsia="Arial" w:hAnsi="Arial" w:cs="Arial"/>
          <w:i/>
          <w:sz w:val="16"/>
          <w:szCs w:val="16"/>
        </w:rPr>
        <w:t>as</w:t>
      </w:r>
      <w:r w:rsidRPr="002462D0">
        <w:rPr>
          <w:rFonts w:ascii="Arial" w:eastAsia="Arial" w:hAnsi="Arial" w:cs="Arial"/>
          <w:i/>
          <w:spacing w:val="12"/>
          <w:sz w:val="16"/>
          <w:szCs w:val="16"/>
        </w:rPr>
        <w:t xml:space="preserve"> </w:t>
      </w:r>
      <w:r w:rsidRPr="002462D0">
        <w:rPr>
          <w:rFonts w:ascii="Arial" w:eastAsia="Arial" w:hAnsi="Arial" w:cs="Arial"/>
          <w:i/>
          <w:sz w:val="16"/>
          <w:szCs w:val="16"/>
        </w:rPr>
        <w:t>al proce</w:t>
      </w:r>
      <w:r w:rsidRPr="002462D0">
        <w:rPr>
          <w:rFonts w:ascii="Arial" w:eastAsia="Arial" w:hAnsi="Arial" w:cs="Arial"/>
          <w:i/>
          <w:spacing w:val="-1"/>
          <w:sz w:val="16"/>
          <w:szCs w:val="16"/>
        </w:rPr>
        <w:t>d</w:t>
      </w:r>
      <w:r w:rsidRPr="002462D0">
        <w:rPr>
          <w:rFonts w:ascii="Arial" w:eastAsia="Arial" w:hAnsi="Arial" w:cs="Arial"/>
          <w:i/>
          <w:spacing w:val="-3"/>
          <w:sz w:val="16"/>
          <w:szCs w:val="16"/>
        </w:rPr>
        <w:t>i</w:t>
      </w:r>
      <w:r w:rsidRPr="002462D0">
        <w:rPr>
          <w:rFonts w:ascii="Arial" w:eastAsia="Arial" w:hAnsi="Arial" w:cs="Arial"/>
          <w:i/>
          <w:spacing w:val="1"/>
          <w:sz w:val="16"/>
          <w:szCs w:val="16"/>
        </w:rPr>
        <w:t>m</w:t>
      </w:r>
      <w:r w:rsidRPr="002462D0">
        <w:rPr>
          <w:rFonts w:ascii="Arial" w:eastAsia="Arial" w:hAnsi="Arial" w:cs="Arial"/>
          <w:i/>
          <w:spacing w:val="-3"/>
          <w:sz w:val="16"/>
          <w:szCs w:val="16"/>
        </w:rPr>
        <w:t>i</w:t>
      </w:r>
      <w:r w:rsidRPr="002462D0">
        <w:rPr>
          <w:rFonts w:ascii="Arial" w:eastAsia="Arial" w:hAnsi="Arial" w:cs="Arial"/>
          <w:i/>
          <w:sz w:val="16"/>
          <w:szCs w:val="16"/>
        </w:rPr>
        <w:t>en</w:t>
      </w:r>
      <w:r w:rsidRPr="002462D0">
        <w:rPr>
          <w:rFonts w:ascii="Arial" w:eastAsia="Arial" w:hAnsi="Arial" w:cs="Arial"/>
          <w:i/>
          <w:spacing w:val="1"/>
          <w:sz w:val="16"/>
          <w:szCs w:val="16"/>
        </w:rPr>
        <w:t>t</w:t>
      </w:r>
      <w:r w:rsidRPr="002462D0">
        <w:rPr>
          <w:rFonts w:ascii="Arial" w:eastAsia="Arial" w:hAnsi="Arial" w:cs="Arial"/>
          <w:i/>
          <w:sz w:val="16"/>
          <w:szCs w:val="16"/>
        </w:rPr>
        <w:t>o</w:t>
      </w:r>
      <w:r w:rsidRPr="002462D0">
        <w:rPr>
          <w:rFonts w:ascii="Arial" w:eastAsia="Arial" w:hAnsi="Arial" w:cs="Arial"/>
          <w:i/>
          <w:spacing w:val="5"/>
          <w:sz w:val="16"/>
          <w:szCs w:val="16"/>
        </w:rPr>
        <w:t xml:space="preserve"> </w:t>
      </w:r>
      <w:r w:rsidRPr="002462D0">
        <w:rPr>
          <w:rFonts w:ascii="Arial" w:eastAsia="Arial" w:hAnsi="Arial" w:cs="Arial"/>
          <w:i/>
          <w:sz w:val="16"/>
          <w:szCs w:val="16"/>
        </w:rPr>
        <w:t>de</w:t>
      </w:r>
      <w:r w:rsidRPr="002462D0">
        <w:rPr>
          <w:rFonts w:ascii="Arial" w:eastAsia="Arial" w:hAnsi="Arial" w:cs="Arial"/>
          <w:i/>
          <w:spacing w:val="3"/>
          <w:sz w:val="16"/>
          <w:szCs w:val="16"/>
        </w:rPr>
        <w:t xml:space="preserve"> </w:t>
      </w:r>
      <w:r w:rsidRPr="002462D0">
        <w:rPr>
          <w:rFonts w:ascii="Arial" w:eastAsia="Arial" w:hAnsi="Arial" w:cs="Arial"/>
          <w:i/>
          <w:spacing w:val="1"/>
          <w:sz w:val="16"/>
          <w:szCs w:val="16"/>
        </w:rPr>
        <w:t>r</w:t>
      </w:r>
      <w:r w:rsidRPr="002462D0">
        <w:rPr>
          <w:rFonts w:ascii="Arial" w:eastAsia="Arial" w:hAnsi="Arial" w:cs="Arial"/>
          <w:i/>
          <w:sz w:val="16"/>
          <w:szCs w:val="16"/>
        </w:rPr>
        <w:t>e</w:t>
      </w:r>
      <w:r w:rsidRPr="002462D0">
        <w:rPr>
          <w:rFonts w:ascii="Arial" w:eastAsia="Arial" w:hAnsi="Arial" w:cs="Arial"/>
          <w:i/>
          <w:spacing w:val="-5"/>
          <w:sz w:val="16"/>
          <w:szCs w:val="16"/>
        </w:rPr>
        <w:t>v</w:t>
      </w:r>
      <w:r w:rsidRPr="002462D0">
        <w:rPr>
          <w:rFonts w:ascii="Arial" w:eastAsia="Arial" w:hAnsi="Arial" w:cs="Arial"/>
          <w:i/>
          <w:spacing w:val="-3"/>
          <w:sz w:val="16"/>
          <w:szCs w:val="16"/>
        </w:rPr>
        <w:t>i</w:t>
      </w:r>
      <w:r w:rsidRPr="002462D0">
        <w:rPr>
          <w:rFonts w:ascii="Arial" w:eastAsia="Arial" w:hAnsi="Arial" w:cs="Arial"/>
          <w:i/>
          <w:sz w:val="16"/>
          <w:szCs w:val="16"/>
        </w:rPr>
        <w:t>sión</w:t>
      </w:r>
      <w:r w:rsidRPr="002462D0">
        <w:rPr>
          <w:rFonts w:ascii="Arial" w:eastAsia="Arial" w:hAnsi="Arial" w:cs="Arial"/>
          <w:i/>
          <w:spacing w:val="8"/>
          <w:sz w:val="16"/>
          <w:szCs w:val="16"/>
        </w:rPr>
        <w:t xml:space="preserve"> </w:t>
      </w:r>
      <w:r w:rsidRPr="002462D0">
        <w:rPr>
          <w:rFonts w:ascii="Arial" w:eastAsia="Arial" w:hAnsi="Arial" w:cs="Arial"/>
          <w:i/>
          <w:sz w:val="16"/>
          <w:szCs w:val="16"/>
        </w:rPr>
        <w:t>y</w:t>
      </w:r>
      <w:r w:rsidRPr="002462D0">
        <w:rPr>
          <w:rFonts w:ascii="Arial" w:eastAsia="Arial" w:hAnsi="Arial" w:cs="Arial"/>
          <w:i/>
          <w:spacing w:val="1"/>
          <w:sz w:val="16"/>
          <w:szCs w:val="16"/>
        </w:rPr>
        <w:t xml:space="preserve"> </w:t>
      </w:r>
      <w:r w:rsidRPr="002462D0">
        <w:rPr>
          <w:rFonts w:ascii="Arial" w:eastAsia="Arial" w:hAnsi="Arial" w:cs="Arial"/>
          <w:i/>
          <w:spacing w:val="6"/>
          <w:sz w:val="16"/>
          <w:szCs w:val="16"/>
        </w:rPr>
        <w:t>f</w:t>
      </w:r>
      <w:r w:rsidRPr="002462D0">
        <w:rPr>
          <w:rFonts w:ascii="Arial" w:eastAsia="Arial" w:hAnsi="Arial" w:cs="Arial"/>
          <w:i/>
          <w:spacing w:val="-3"/>
          <w:sz w:val="16"/>
          <w:szCs w:val="16"/>
        </w:rPr>
        <w:t>i</w:t>
      </w:r>
      <w:r w:rsidRPr="002462D0">
        <w:rPr>
          <w:rFonts w:ascii="Arial" w:eastAsia="Arial" w:hAnsi="Arial" w:cs="Arial"/>
          <w:i/>
          <w:sz w:val="16"/>
          <w:szCs w:val="16"/>
        </w:rPr>
        <w:t>sca</w:t>
      </w:r>
      <w:r w:rsidRPr="002462D0">
        <w:rPr>
          <w:rFonts w:ascii="Arial" w:eastAsia="Arial" w:hAnsi="Arial" w:cs="Arial"/>
          <w:i/>
          <w:spacing w:val="-3"/>
          <w:sz w:val="16"/>
          <w:szCs w:val="16"/>
        </w:rPr>
        <w:t>li</w:t>
      </w:r>
      <w:r w:rsidRPr="002462D0">
        <w:rPr>
          <w:rFonts w:ascii="Arial" w:eastAsia="Arial" w:hAnsi="Arial" w:cs="Arial"/>
          <w:i/>
          <w:spacing w:val="-5"/>
          <w:sz w:val="16"/>
          <w:szCs w:val="16"/>
        </w:rPr>
        <w:t>z</w:t>
      </w:r>
      <w:r w:rsidRPr="002462D0">
        <w:rPr>
          <w:rFonts w:ascii="Arial" w:eastAsia="Arial" w:hAnsi="Arial" w:cs="Arial"/>
          <w:i/>
          <w:sz w:val="16"/>
          <w:szCs w:val="16"/>
        </w:rPr>
        <w:t>a</w:t>
      </w:r>
      <w:r w:rsidRPr="002462D0">
        <w:rPr>
          <w:rFonts w:ascii="Arial" w:eastAsia="Arial" w:hAnsi="Arial" w:cs="Arial"/>
          <w:i/>
          <w:spacing w:val="2"/>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8"/>
          <w:sz w:val="16"/>
          <w:szCs w:val="16"/>
        </w:rPr>
        <w:t xml:space="preserve"> </w:t>
      </w:r>
      <w:r w:rsidRPr="002462D0">
        <w:rPr>
          <w:rFonts w:ascii="Arial" w:eastAsia="Arial" w:hAnsi="Arial" w:cs="Arial"/>
          <w:i/>
          <w:sz w:val="16"/>
          <w:szCs w:val="16"/>
        </w:rPr>
        <w:t>de</w:t>
      </w:r>
      <w:r w:rsidRPr="002462D0">
        <w:rPr>
          <w:rFonts w:ascii="Arial" w:eastAsia="Arial" w:hAnsi="Arial" w:cs="Arial"/>
          <w:i/>
          <w:spacing w:val="8"/>
          <w:sz w:val="16"/>
          <w:szCs w:val="16"/>
        </w:rPr>
        <w:t xml:space="preserve"> </w:t>
      </w:r>
      <w:r w:rsidRPr="002462D0">
        <w:rPr>
          <w:rFonts w:ascii="Arial" w:eastAsia="Arial" w:hAnsi="Arial" w:cs="Arial"/>
          <w:i/>
          <w:spacing w:val="-3"/>
          <w:sz w:val="16"/>
          <w:szCs w:val="16"/>
        </w:rPr>
        <w:t>la</w:t>
      </w:r>
      <w:r w:rsidRPr="002462D0">
        <w:rPr>
          <w:rFonts w:ascii="Arial" w:eastAsia="Arial" w:hAnsi="Arial" w:cs="Arial"/>
          <w:i/>
          <w:sz w:val="16"/>
          <w:szCs w:val="16"/>
        </w:rPr>
        <w:t>s</w:t>
      </w:r>
      <w:r w:rsidRPr="002462D0">
        <w:rPr>
          <w:rFonts w:ascii="Arial" w:eastAsia="Arial" w:hAnsi="Arial" w:cs="Arial"/>
          <w:i/>
          <w:spacing w:val="11"/>
          <w:sz w:val="16"/>
          <w:szCs w:val="16"/>
        </w:rPr>
        <w:t xml:space="preserve"> </w:t>
      </w:r>
      <w:r w:rsidRPr="002462D0">
        <w:rPr>
          <w:rFonts w:ascii="Arial" w:eastAsia="Arial" w:hAnsi="Arial" w:cs="Arial"/>
          <w:i/>
          <w:spacing w:val="-3"/>
          <w:sz w:val="16"/>
          <w:szCs w:val="16"/>
        </w:rPr>
        <w:t>C</w:t>
      </w:r>
      <w:r w:rsidRPr="002462D0">
        <w:rPr>
          <w:rFonts w:ascii="Arial" w:eastAsia="Arial" w:hAnsi="Arial" w:cs="Arial"/>
          <w:i/>
          <w:sz w:val="16"/>
          <w:szCs w:val="16"/>
        </w:rPr>
        <w:t>ue</w:t>
      </w:r>
      <w:r w:rsidRPr="002462D0">
        <w:rPr>
          <w:rFonts w:ascii="Arial" w:eastAsia="Arial" w:hAnsi="Arial" w:cs="Arial"/>
          <w:i/>
          <w:spacing w:val="-3"/>
          <w:sz w:val="16"/>
          <w:szCs w:val="16"/>
        </w:rPr>
        <w:t>n</w:t>
      </w:r>
      <w:r w:rsidRPr="002462D0">
        <w:rPr>
          <w:rFonts w:ascii="Arial" w:eastAsia="Arial" w:hAnsi="Arial" w:cs="Arial"/>
          <w:i/>
          <w:spacing w:val="1"/>
          <w:sz w:val="16"/>
          <w:szCs w:val="16"/>
        </w:rPr>
        <w:t>t</w:t>
      </w:r>
      <w:r w:rsidRPr="002462D0">
        <w:rPr>
          <w:rFonts w:ascii="Arial" w:eastAsia="Arial" w:hAnsi="Arial" w:cs="Arial"/>
          <w:i/>
          <w:sz w:val="16"/>
          <w:szCs w:val="16"/>
        </w:rPr>
        <w:t>as</w:t>
      </w:r>
      <w:r w:rsidRPr="002462D0">
        <w:rPr>
          <w:rFonts w:ascii="Arial" w:eastAsia="Arial" w:hAnsi="Arial" w:cs="Arial"/>
          <w:i/>
          <w:spacing w:val="5"/>
          <w:sz w:val="16"/>
          <w:szCs w:val="16"/>
        </w:rPr>
        <w:t xml:space="preserve"> </w:t>
      </w:r>
      <w:r w:rsidRPr="002462D0">
        <w:rPr>
          <w:rFonts w:ascii="Arial" w:eastAsia="Arial" w:hAnsi="Arial" w:cs="Arial"/>
          <w:i/>
          <w:spacing w:val="-1"/>
          <w:sz w:val="16"/>
          <w:szCs w:val="16"/>
        </w:rPr>
        <w:t>P</w:t>
      </w:r>
      <w:r w:rsidRPr="002462D0">
        <w:rPr>
          <w:rFonts w:ascii="Arial" w:eastAsia="Arial" w:hAnsi="Arial" w:cs="Arial"/>
          <w:i/>
          <w:sz w:val="16"/>
          <w:szCs w:val="16"/>
        </w:rPr>
        <w:t>úb</w:t>
      </w:r>
      <w:r w:rsidRPr="002462D0">
        <w:rPr>
          <w:rFonts w:ascii="Arial" w:eastAsia="Arial" w:hAnsi="Arial" w:cs="Arial"/>
          <w:i/>
          <w:spacing w:val="-3"/>
          <w:sz w:val="16"/>
          <w:szCs w:val="16"/>
        </w:rPr>
        <w:t>li</w:t>
      </w:r>
      <w:r w:rsidRPr="002462D0">
        <w:rPr>
          <w:rFonts w:ascii="Arial" w:eastAsia="Arial" w:hAnsi="Arial" w:cs="Arial"/>
          <w:i/>
          <w:sz w:val="16"/>
          <w:szCs w:val="16"/>
        </w:rPr>
        <w:t>cas</w:t>
      </w:r>
      <w:r w:rsidRPr="002462D0">
        <w:rPr>
          <w:rFonts w:ascii="Arial" w:eastAsia="Arial" w:hAnsi="Arial" w:cs="Arial"/>
          <w:i/>
          <w:spacing w:val="8"/>
          <w:sz w:val="16"/>
          <w:szCs w:val="16"/>
        </w:rPr>
        <w:t xml:space="preserve"> </w:t>
      </w:r>
      <w:r w:rsidRPr="002462D0">
        <w:rPr>
          <w:rFonts w:ascii="Arial" w:eastAsia="Arial" w:hAnsi="Arial" w:cs="Arial"/>
          <w:i/>
          <w:sz w:val="16"/>
          <w:szCs w:val="16"/>
        </w:rPr>
        <w:t xml:space="preserve">de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9"/>
          <w:sz w:val="16"/>
          <w:szCs w:val="16"/>
        </w:rPr>
        <w:t xml:space="preserve"> </w:t>
      </w:r>
      <w:r w:rsidRPr="002462D0">
        <w:rPr>
          <w:rFonts w:ascii="Arial" w:eastAsia="Arial" w:hAnsi="Arial" w:cs="Arial"/>
          <w:i/>
          <w:spacing w:val="-1"/>
          <w:sz w:val="16"/>
          <w:szCs w:val="16"/>
        </w:rPr>
        <w:t>P</w:t>
      </w:r>
      <w:r w:rsidRPr="002462D0">
        <w:rPr>
          <w:rFonts w:ascii="Arial" w:eastAsia="Arial" w:hAnsi="Arial" w:cs="Arial"/>
          <w:i/>
          <w:sz w:val="16"/>
          <w:szCs w:val="16"/>
        </w:rPr>
        <w:t>oderes</w:t>
      </w:r>
      <w:r w:rsidRPr="002462D0">
        <w:rPr>
          <w:rFonts w:ascii="Arial" w:eastAsia="Arial" w:hAnsi="Arial" w:cs="Arial"/>
          <w:i/>
          <w:spacing w:val="6"/>
          <w:sz w:val="16"/>
          <w:szCs w:val="16"/>
        </w:rPr>
        <w:t xml:space="preserve"> </w:t>
      </w:r>
      <w:r w:rsidRPr="002462D0">
        <w:rPr>
          <w:rFonts w:ascii="Arial" w:eastAsia="Arial" w:hAnsi="Arial" w:cs="Arial"/>
          <w:i/>
          <w:sz w:val="16"/>
          <w:szCs w:val="16"/>
        </w:rPr>
        <w:t>del</w:t>
      </w:r>
      <w:r w:rsidRPr="002462D0">
        <w:rPr>
          <w:rFonts w:ascii="Arial" w:eastAsia="Arial" w:hAnsi="Arial" w:cs="Arial"/>
          <w:i/>
          <w:spacing w:val="5"/>
          <w:sz w:val="16"/>
          <w:szCs w:val="16"/>
        </w:rPr>
        <w:t xml:space="preserve"> </w:t>
      </w:r>
      <w:r w:rsidRPr="002462D0">
        <w:rPr>
          <w:rFonts w:ascii="Arial" w:eastAsia="Arial" w:hAnsi="Arial" w:cs="Arial"/>
          <w:i/>
          <w:spacing w:val="-1"/>
          <w:sz w:val="16"/>
          <w:szCs w:val="16"/>
        </w:rPr>
        <w:t>E</w:t>
      </w:r>
      <w:r w:rsidRPr="002462D0">
        <w:rPr>
          <w:rFonts w:ascii="Arial" w:eastAsia="Arial" w:hAnsi="Arial" w:cs="Arial"/>
          <w:i/>
          <w:sz w:val="16"/>
          <w:szCs w:val="16"/>
        </w:rPr>
        <w:t>s</w:t>
      </w:r>
      <w:r w:rsidRPr="002462D0">
        <w:rPr>
          <w:rFonts w:ascii="Arial" w:eastAsia="Arial" w:hAnsi="Arial" w:cs="Arial"/>
          <w:i/>
          <w:spacing w:val="1"/>
          <w:sz w:val="16"/>
          <w:szCs w:val="16"/>
        </w:rPr>
        <w:t>t</w:t>
      </w:r>
      <w:r w:rsidRPr="002462D0">
        <w:rPr>
          <w:rFonts w:ascii="Arial" w:eastAsia="Arial" w:hAnsi="Arial" w:cs="Arial"/>
          <w:i/>
          <w:spacing w:val="-3"/>
          <w:sz w:val="16"/>
          <w:szCs w:val="16"/>
        </w:rPr>
        <w:t>a</w:t>
      </w:r>
      <w:r w:rsidRPr="002462D0">
        <w:rPr>
          <w:rFonts w:ascii="Arial" w:eastAsia="Arial" w:hAnsi="Arial" w:cs="Arial"/>
          <w:i/>
          <w:sz w:val="16"/>
          <w:szCs w:val="16"/>
        </w:rPr>
        <w:t>d</w:t>
      </w:r>
      <w:r w:rsidRPr="002462D0">
        <w:rPr>
          <w:rFonts w:ascii="Arial" w:eastAsia="Arial" w:hAnsi="Arial" w:cs="Arial"/>
          <w:i/>
          <w:spacing w:val="-5"/>
          <w:sz w:val="16"/>
          <w:szCs w:val="16"/>
        </w:rPr>
        <w:t>o</w:t>
      </w:r>
      <w:r w:rsidRPr="002462D0">
        <w:rPr>
          <w:rFonts w:ascii="Arial" w:eastAsia="Arial" w:hAnsi="Arial" w:cs="Arial"/>
          <w:i/>
          <w:sz w:val="16"/>
          <w:szCs w:val="16"/>
        </w:rPr>
        <w:t xml:space="preserve">, </w:t>
      </w:r>
      <w:r w:rsidRPr="002462D0">
        <w:rPr>
          <w:rFonts w:ascii="Arial" w:eastAsia="Arial" w:hAnsi="Arial" w:cs="Arial"/>
          <w:i/>
          <w:spacing w:val="1"/>
          <w:sz w:val="16"/>
          <w:szCs w:val="16"/>
        </w:rPr>
        <w:t>Ó</w:t>
      </w:r>
      <w:r w:rsidRPr="002462D0">
        <w:rPr>
          <w:rFonts w:ascii="Arial" w:eastAsia="Arial" w:hAnsi="Arial" w:cs="Arial"/>
          <w:i/>
          <w:spacing w:val="-4"/>
          <w:sz w:val="16"/>
          <w:szCs w:val="16"/>
        </w:rPr>
        <w:t>r</w:t>
      </w:r>
      <w:r w:rsidRPr="002462D0">
        <w:rPr>
          <w:rFonts w:ascii="Arial" w:eastAsia="Arial" w:hAnsi="Arial" w:cs="Arial"/>
          <w:i/>
          <w:spacing w:val="2"/>
          <w:sz w:val="16"/>
          <w:szCs w:val="16"/>
        </w:rPr>
        <w:t>g</w:t>
      </w:r>
      <w:r w:rsidRPr="002462D0">
        <w:rPr>
          <w:rFonts w:ascii="Arial" w:eastAsia="Arial" w:hAnsi="Arial" w:cs="Arial"/>
          <w:i/>
          <w:sz w:val="16"/>
          <w:szCs w:val="16"/>
        </w:rPr>
        <w:t>ano</w:t>
      </w:r>
      <w:r w:rsidRPr="002462D0">
        <w:rPr>
          <w:rFonts w:ascii="Arial" w:eastAsia="Arial" w:hAnsi="Arial" w:cs="Arial"/>
          <w:i/>
          <w:spacing w:val="1"/>
          <w:sz w:val="16"/>
          <w:szCs w:val="16"/>
        </w:rPr>
        <w:t xml:space="preserve"> </w:t>
      </w:r>
      <w:r w:rsidRPr="002462D0">
        <w:rPr>
          <w:rFonts w:ascii="Arial" w:eastAsia="Arial" w:hAnsi="Arial" w:cs="Arial"/>
          <w:i/>
          <w:spacing w:val="-1"/>
          <w:sz w:val="16"/>
          <w:szCs w:val="16"/>
        </w:rPr>
        <w:t>A</w:t>
      </w:r>
      <w:r w:rsidRPr="002462D0">
        <w:rPr>
          <w:rFonts w:ascii="Arial" w:eastAsia="Arial" w:hAnsi="Arial" w:cs="Arial"/>
          <w:i/>
          <w:sz w:val="16"/>
          <w:szCs w:val="16"/>
        </w:rPr>
        <w:t>utón</w:t>
      </w:r>
      <w:r w:rsidRPr="002462D0">
        <w:rPr>
          <w:rFonts w:ascii="Arial" w:eastAsia="Arial" w:hAnsi="Arial" w:cs="Arial"/>
          <w:i/>
          <w:spacing w:val="-5"/>
          <w:sz w:val="16"/>
          <w:szCs w:val="16"/>
        </w:rPr>
        <w:t>o</w:t>
      </w:r>
      <w:r w:rsidRPr="002462D0">
        <w:rPr>
          <w:rFonts w:ascii="Arial" w:eastAsia="Arial" w:hAnsi="Arial" w:cs="Arial"/>
          <w:i/>
          <w:spacing w:val="1"/>
          <w:sz w:val="16"/>
          <w:szCs w:val="16"/>
        </w:rPr>
        <w:t>m</w:t>
      </w:r>
      <w:r w:rsidRPr="002462D0">
        <w:rPr>
          <w:rFonts w:ascii="Arial" w:eastAsia="Arial" w:hAnsi="Arial" w:cs="Arial"/>
          <w:i/>
          <w:sz w:val="16"/>
          <w:szCs w:val="16"/>
        </w:rPr>
        <w:t>os</w:t>
      </w:r>
      <w:r w:rsidRPr="002462D0">
        <w:rPr>
          <w:rFonts w:ascii="Arial" w:eastAsia="Arial" w:hAnsi="Arial" w:cs="Arial"/>
          <w:i/>
          <w:spacing w:val="1"/>
          <w:sz w:val="16"/>
          <w:szCs w:val="16"/>
        </w:rPr>
        <w:t xml:space="preserve"> </w:t>
      </w:r>
      <w:r w:rsidRPr="002462D0">
        <w:rPr>
          <w:rFonts w:ascii="Arial" w:eastAsia="Arial" w:hAnsi="Arial" w:cs="Arial"/>
          <w:i/>
          <w:sz w:val="16"/>
          <w:szCs w:val="16"/>
        </w:rPr>
        <w:t>y</w:t>
      </w:r>
      <w:r w:rsidRPr="002462D0">
        <w:rPr>
          <w:rFonts w:ascii="Arial" w:eastAsia="Arial" w:hAnsi="Arial" w:cs="Arial"/>
          <w:i/>
          <w:spacing w:val="4"/>
          <w:sz w:val="16"/>
          <w:szCs w:val="16"/>
        </w:rPr>
        <w:t xml:space="preserve"> </w:t>
      </w:r>
      <w:r w:rsidRPr="002462D0">
        <w:rPr>
          <w:rFonts w:ascii="Arial" w:eastAsia="Arial" w:hAnsi="Arial" w:cs="Arial"/>
          <w:i/>
          <w:spacing w:val="-6"/>
          <w:sz w:val="16"/>
          <w:szCs w:val="16"/>
        </w:rPr>
        <w:t>M</w:t>
      </w:r>
      <w:r w:rsidRPr="002462D0">
        <w:rPr>
          <w:rFonts w:ascii="Arial" w:eastAsia="Arial" w:hAnsi="Arial" w:cs="Arial"/>
          <w:i/>
          <w:sz w:val="16"/>
          <w:szCs w:val="16"/>
        </w:rPr>
        <w:t>u</w:t>
      </w:r>
      <w:r w:rsidRPr="002462D0">
        <w:rPr>
          <w:rFonts w:ascii="Arial" w:eastAsia="Arial" w:hAnsi="Arial" w:cs="Arial"/>
          <w:i/>
          <w:spacing w:val="2"/>
          <w:sz w:val="16"/>
          <w:szCs w:val="16"/>
        </w:rPr>
        <w:t>n</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pa</w:t>
      </w:r>
      <w:r w:rsidRPr="002462D0">
        <w:rPr>
          <w:rFonts w:ascii="Arial" w:eastAsia="Arial" w:hAnsi="Arial" w:cs="Arial"/>
          <w:i/>
          <w:spacing w:val="-3"/>
          <w:sz w:val="16"/>
          <w:szCs w:val="16"/>
        </w:rPr>
        <w:t>l</w:t>
      </w:r>
      <w:r w:rsidRPr="002462D0">
        <w:rPr>
          <w:rFonts w:ascii="Arial" w:eastAsia="Arial" w:hAnsi="Arial" w:cs="Arial"/>
          <w:i/>
          <w:sz w:val="16"/>
          <w:szCs w:val="16"/>
        </w:rPr>
        <w:t>es,</w:t>
      </w:r>
      <w:r w:rsidRPr="002462D0">
        <w:rPr>
          <w:rFonts w:ascii="Arial" w:eastAsia="Arial" w:hAnsi="Arial" w:cs="Arial"/>
          <w:i/>
          <w:spacing w:val="11"/>
          <w:sz w:val="16"/>
          <w:szCs w:val="16"/>
        </w:rPr>
        <w:t xml:space="preserve"> </w:t>
      </w:r>
      <w:r w:rsidRPr="002462D0">
        <w:rPr>
          <w:rFonts w:ascii="Arial" w:eastAsia="Arial" w:hAnsi="Arial" w:cs="Arial"/>
          <w:i/>
          <w:sz w:val="16"/>
          <w:szCs w:val="16"/>
        </w:rPr>
        <w:t>procede</w:t>
      </w:r>
      <w:r w:rsidRPr="002462D0">
        <w:rPr>
          <w:rFonts w:ascii="Arial" w:eastAsia="Arial" w:hAnsi="Arial" w:cs="Arial"/>
          <w:i/>
          <w:spacing w:val="5"/>
          <w:sz w:val="16"/>
          <w:szCs w:val="16"/>
        </w:rPr>
        <w:t xml:space="preserve"> </w:t>
      </w:r>
      <w:r w:rsidRPr="002462D0">
        <w:rPr>
          <w:rFonts w:ascii="Arial" w:eastAsia="Arial" w:hAnsi="Arial" w:cs="Arial"/>
          <w:i/>
          <w:spacing w:val="-5"/>
          <w:sz w:val="16"/>
          <w:szCs w:val="16"/>
        </w:rPr>
        <w:t>e</w:t>
      </w:r>
      <w:r w:rsidRPr="002462D0">
        <w:rPr>
          <w:rFonts w:ascii="Arial" w:eastAsia="Arial" w:hAnsi="Arial" w:cs="Arial"/>
          <w:i/>
          <w:sz w:val="16"/>
          <w:szCs w:val="16"/>
        </w:rPr>
        <w:t>l</w:t>
      </w:r>
      <w:r w:rsidRPr="002462D0">
        <w:rPr>
          <w:rFonts w:ascii="Arial" w:eastAsia="Arial" w:hAnsi="Arial" w:cs="Arial"/>
          <w:i/>
          <w:spacing w:val="5"/>
          <w:sz w:val="16"/>
          <w:szCs w:val="16"/>
        </w:rPr>
        <w:t xml:space="preserve"> </w:t>
      </w:r>
      <w:r w:rsidRPr="002462D0">
        <w:rPr>
          <w:rFonts w:ascii="Arial" w:eastAsia="Arial" w:hAnsi="Arial" w:cs="Arial"/>
          <w:i/>
          <w:sz w:val="16"/>
          <w:szCs w:val="16"/>
        </w:rPr>
        <w:t>Ju</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o</w:t>
      </w:r>
      <w:r w:rsidRPr="002462D0">
        <w:rPr>
          <w:rFonts w:ascii="Arial" w:eastAsia="Arial" w:hAnsi="Arial" w:cs="Arial"/>
          <w:i/>
          <w:spacing w:val="8"/>
          <w:sz w:val="16"/>
          <w:szCs w:val="16"/>
        </w:rPr>
        <w:t xml:space="preserve"> </w:t>
      </w:r>
      <w:r w:rsidRPr="002462D0">
        <w:rPr>
          <w:rFonts w:ascii="Arial" w:eastAsia="Arial" w:hAnsi="Arial" w:cs="Arial"/>
          <w:i/>
          <w:sz w:val="16"/>
          <w:szCs w:val="16"/>
        </w:rPr>
        <w:t>de</w:t>
      </w:r>
      <w:r w:rsidRPr="002462D0">
        <w:rPr>
          <w:rFonts w:ascii="Arial" w:eastAsia="Arial" w:hAnsi="Arial" w:cs="Arial"/>
          <w:i/>
          <w:spacing w:val="3"/>
          <w:sz w:val="16"/>
          <w:szCs w:val="16"/>
        </w:rPr>
        <w:t xml:space="preserve"> </w:t>
      </w:r>
      <w:r w:rsidRPr="002462D0">
        <w:rPr>
          <w:rFonts w:ascii="Arial" w:eastAsia="Arial" w:hAnsi="Arial" w:cs="Arial"/>
          <w:i/>
          <w:spacing w:val="1"/>
          <w:sz w:val="16"/>
          <w:szCs w:val="16"/>
        </w:rPr>
        <w:t>I</w:t>
      </w:r>
      <w:r w:rsidRPr="002462D0">
        <w:rPr>
          <w:rFonts w:ascii="Arial" w:eastAsia="Arial" w:hAnsi="Arial" w:cs="Arial"/>
          <w:i/>
          <w:sz w:val="16"/>
          <w:szCs w:val="16"/>
        </w:rPr>
        <w:t>nco</w:t>
      </w:r>
      <w:r w:rsidRPr="002462D0">
        <w:rPr>
          <w:rFonts w:ascii="Arial" w:eastAsia="Arial" w:hAnsi="Arial" w:cs="Arial"/>
          <w:i/>
          <w:spacing w:val="-5"/>
          <w:sz w:val="16"/>
          <w:szCs w:val="16"/>
        </w:rPr>
        <w:t>n</w:t>
      </w:r>
      <w:r w:rsidRPr="002462D0">
        <w:rPr>
          <w:rFonts w:ascii="Arial" w:eastAsia="Arial" w:hAnsi="Arial" w:cs="Arial"/>
          <w:i/>
          <w:spacing w:val="3"/>
          <w:sz w:val="16"/>
          <w:szCs w:val="16"/>
        </w:rPr>
        <w:t>f</w:t>
      </w:r>
      <w:r w:rsidRPr="002462D0">
        <w:rPr>
          <w:rFonts w:ascii="Arial" w:eastAsia="Arial" w:hAnsi="Arial" w:cs="Arial"/>
          <w:i/>
          <w:spacing w:val="-3"/>
          <w:sz w:val="16"/>
          <w:szCs w:val="16"/>
        </w:rPr>
        <w:t>o</w:t>
      </w:r>
      <w:r w:rsidRPr="002462D0">
        <w:rPr>
          <w:rFonts w:ascii="Arial" w:eastAsia="Arial" w:hAnsi="Arial" w:cs="Arial"/>
          <w:i/>
          <w:spacing w:val="-2"/>
          <w:sz w:val="16"/>
          <w:szCs w:val="16"/>
        </w:rPr>
        <w:t>r</w:t>
      </w:r>
      <w:r w:rsidRPr="002462D0">
        <w:rPr>
          <w:rFonts w:ascii="Arial" w:eastAsia="Arial" w:hAnsi="Arial" w:cs="Arial"/>
          <w:i/>
          <w:spacing w:val="1"/>
          <w:sz w:val="16"/>
          <w:szCs w:val="16"/>
        </w:rPr>
        <w:t>m</w:t>
      </w:r>
      <w:r w:rsidRPr="002462D0">
        <w:rPr>
          <w:rFonts w:ascii="Arial" w:eastAsia="Arial" w:hAnsi="Arial" w:cs="Arial"/>
          <w:i/>
          <w:spacing w:val="-3"/>
          <w:sz w:val="16"/>
          <w:szCs w:val="16"/>
        </w:rPr>
        <w:t>id</w:t>
      </w:r>
      <w:r w:rsidRPr="002462D0">
        <w:rPr>
          <w:rFonts w:ascii="Arial" w:eastAsia="Arial" w:hAnsi="Arial" w:cs="Arial"/>
          <w:i/>
          <w:sz w:val="16"/>
          <w:szCs w:val="16"/>
        </w:rPr>
        <w:t>ad</w:t>
      </w:r>
      <w:r w:rsidRPr="002462D0">
        <w:rPr>
          <w:rFonts w:ascii="Arial" w:eastAsia="Arial" w:hAnsi="Arial" w:cs="Arial"/>
          <w:i/>
          <w:spacing w:val="18"/>
          <w:sz w:val="16"/>
          <w:szCs w:val="16"/>
        </w:rPr>
        <w:t xml:space="preserve"> </w:t>
      </w:r>
      <w:r w:rsidRPr="002462D0">
        <w:rPr>
          <w:rFonts w:ascii="Arial" w:eastAsia="Arial" w:hAnsi="Arial" w:cs="Arial"/>
          <w:i/>
          <w:sz w:val="16"/>
          <w:szCs w:val="16"/>
        </w:rPr>
        <w:t>a</w:t>
      </w:r>
      <w:r w:rsidRPr="002462D0">
        <w:rPr>
          <w:rFonts w:ascii="Arial" w:eastAsia="Arial" w:hAnsi="Arial" w:cs="Arial"/>
          <w:i/>
          <w:spacing w:val="-3"/>
          <w:sz w:val="16"/>
          <w:szCs w:val="16"/>
        </w:rPr>
        <w:t>n</w:t>
      </w:r>
      <w:r w:rsidRPr="002462D0">
        <w:rPr>
          <w:rFonts w:ascii="Arial" w:eastAsia="Arial" w:hAnsi="Arial" w:cs="Arial"/>
          <w:i/>
          <w:spacing w:val="1"/>
          <w:sz w:val="16"/>
          <w:szCs w:val="16"/>
        </w:rPr>
        <w:t>t</w:t>
      </w:r>
      <w:r w:rsidRPr="002462D0">
        <w:rPr>
          <w:rFonts w:ascii="Arial" w:eastAsia="Arial" w:hAnsi="Arial" w:cs="Arial"/>
          <w:i/>
          <w:sz w:val="16"/>
          <w:szCs w:val="16"/>
        </w:rPr>
        <w:t>e</w:t>
      </w:r>
      <w:r w:rsidRPr="002462D0">
        <w:rPr>
          <w:rFonts w:ascii="Arial" w:eastAsia="Arial" w:hAnsi="Arial" w:cs="Arial"/>
          <w:i/>
          <w:spacing w:val="3"/>
          <w:sz w:val="16"/>
          <w:szCs w:val="16"/>
        </w:rPr>
        <w:t xml:space="preserve"> </w:t>
      </w:r>
      <w:r w:rsidRPr="002462D0">
        <w:rPr>
          <w:rFonts w:ascii="Arial" w:eastAsia="Arial" w:hAnsi="Arial" w:cs="Arial"/>
          <w:i/>
          <w:sz w:val="16"/>
          <w:szCs w:val="16"/>
        </w:rPr>
        <w:t xml:space="preserve">el </w:t>
      </w:r>
      <w:r w:rsidRPr="002462D0">
        <w:rPr>
          <w:rFonts w:ascii="Arial" w:eastAsia="Arial" w:hAnsi="Arial" w:cs="Arial"/>
          <w:i/>
          <w:spacing w:val="2"/>
          <w:sz w:val="16"/>
          <w:szCs w:val="16"/>
        </w:rPr>
        <w:t>T</w:t>
      </w:r>
      <w:r w:rsidRPr="002462D0">
        <w:rPr>
          <w:rFonts w:ascii="Arial" w:eastAsia="Arial" w:hAnsi="Arial" w:cs="Arial"/>
          <w:i/>
          <w:spacing w:val="1"/>
          <w:sz w:val="16"/>
          <w:szCs w:val="16"/>
        </w:rPr>
        <w:t>r</w:t>
      </w:r>
      <w:r w:rsidRPr="002462D0">
        <w:rPr>
          <w:rFonts w:ascii="Arial" w:eastAsia="Arial" w:hAnsi="Arial" w:cs="Arial"/>
          <w:i/>
          <w:spacing w:val="-1"/>
          <w:sz w:val="16"/>
          <w:szCs w:val="16"/>
        </w:rPr>
        <w:t>i</w:t>
      </w:r>
      <w:r w:rsidRPr="002462D0">
        <w:rPr>
          <w:rFonts w:ascii="Arial" w:eastAsia="Arial" w:hAnsi="Arial" w:cs="Arial"/>
          <w:i/>
          <w:spacing w:val="-3"/>
          <w:sz w:val="16"/>
          <w:szCs w:val="16"/>
        </w:rPr>
        <w:t>b</w:t>
      </w:r>
      <w:r w:rsidRPr="002462D0">
        <w:rPr>
          <w:rFonts w:ascii="Arial" w:eastAsia="Arial" w:hAnsi="Arial" w:cs="Arial"/>
          <w:i/>
          <w:sz w:val="16"/>
          <w:szCs w:val="16"/>
        </w:rPr>
        <w:t>unal</w:t>
      </w:r>
      <w:r w:rsidRPr="002462D0">
        <w:rPr>
          <w:rFonts w:ascii="Arial" w:eastAsia="Arial" w:hAnsi="Arial" w:cs="Arial"/>
          <w:i/>
          <w:spacing w:val="2"/>
          <w:sz w:val="16"/>
          <w:szCs w:val="16"/>
        </w:rPr>
        <w:t xml:space="preserve"> </w:t>
      </w:r>
      <w:r w:rsidRPr="002462D0">
        <w:rPr>
          <w:rFonts w:ascii="Arial" w:eastAsia="Arial" w:hAnsi="Arial" w:cs="Arial"/>
          <w:i/>
          <w:spacing w:val="-5"/>
          <w:sz w:val="16"/>
          <w:szCs w:val="16"/>
        </w:rPr>
        <w:t>d</w:t>
      </w:r>
      <w:r w:rsidRPr="002462D0">
        <w:rPr>
          <w:rFonts w:ascii="Arial" w:eastAsia="Arial" w:hAnsi="Arial" w:cs="Arial"/>
          <w:i/>
          <w:sz w:val="16"/>
          <w:szCs w:val="16"/>
        </w:rPr>
        <w:t xml:space="preserve">e </w:t>
      </w:r>
      <w:r w:rsidRPr="002462D0">
        <w:rPr>
          <w:rFonts w:ascii="Arial" w:eastAsia="Arial" w:hAnsi="Arial" w:cs="Arial"/>
          <w:i/>
          <w:spacing w:val="-1"/>
          <w:sz w:val="16"/>
          <w:szCs w:val="16"/>
        </w:rPr>
        <w:t>F</w:t>
      </w:r>
      <w:r w:rsidRPr="002462D0">
        <w:rPr>
          <w:rFonts w:ascii="Arial" w:eastAsia="Arial" w:hAnsi="Arial" w:cs="Arial"/>
          <w:i/>
          <w:spacing w:val="-3"/>
          <w:sz w:val="16"/>
          <w:szCs w:val="16"/>
        </w:rPr>
        <w:t>i</w:t>
      </w:r>
      <w:r w:rsidRPr="002462D0">
        <w:rPr>
          <w:rFonts w:ascii="Arial" w:eastAsia="Arial" w:hAnsi="Arial" w:cs="Arial"/>
          <w:i/>
          <w:sz w:val="16"/>
          <w:szCs w:val="16"/>
        </w:rPr>
        <w:t>sca</w:t>
      </w:r>
      <w:r w:rsidRPr="002462D0">
        <w:rPr>
          <w:rFonts w:ascii="Arial" w:eastAsia="Arial" w:hAnsi="Arial" w:cs="Arial"/>
          <w:i/>
          <w:spacing w:val="-1"/>
          <w:sz w:val="16"/>
          <w:szCs w:val="16"/>
        </w:rPr>
        <w:t>li</w:t>
      </w:r>
      <w:r w:rsidRPr="002462D0">
        <w:rPr>
          <w:rFonts w:ascii="Arial" w:eastAsia="Arial" w:hAnsi="Arial" w:cs="Arial"/>
          <w:i/>
          <w:spacing w:val="-5"/>
          <w:sz w:val="16"/>
          <w:szCs w:val="16"/>
        </w:rPr>
        <w:t>z</w:t>
      </w:r>
      <w:r w:rsidRPr="002462D0">
        <w:rPr>
          <w:rFonts w:ascii="Arial" w:eastAsia="Arial" w:hAnsi="Arial" w:cs="Arial"/>
          <w:i/>
          <w:sz w:val="16"/>
          <w:szCs w:val="16"/>
        </w:rPr>
        <w:t>ac</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1"/>
          <w:sz w:val="16"/>
          <w:szCs w:val="16"/>
        </w:rPr>
        <w:t xml:space="preserve"> </w:t>
      </w:r>
      <w:r w:rsidRPr="002462D0">
        <w:rPr>
          <w:rFonts w:ascii="Arial" w:eastAsia="Arial" w:hAnsi="Arial" w:cs="Arial"/>
          <w:i/>
          <w:sz w:val="16"/>
          <w:szCs w:val="16"/>
        </w:rPr>
        <w:t xml:space="preserve">del </w:t>
      </w:r>
      <w:r w:rsidRPr="002462D0">
        <w:rPr>
          <w:rFonts w:ascii="Arial" w:eastAsia="Arial" w:hAnsi="Arial" w:cs="Arial"/>
          <w:i/>
          <w:spacing w:val="-1"/>
          <w:sz w:val="16"/>
          <w:szCs w:val="16"/>
        </w:rPr>
        <w:t>P</w:t>
      </w:r>
      <w:r w:rsidRPr="002462D0">
        <w:rPr>
          <w:rFonts w:ascii="Arial" w:eastAsia="Arial" w:hAnsi="Arial" w:cs="Arial"/>
          <w:i/>
          <w:sz w:val="16"/>
          <w:szCs w:val="16"/>
        </w:rPr>
        <w:t>oder</w:t>
      </w:r>
      <w:r w:rsidRPr="002462D0">
        <w:rPr>
          <w:rFonts w:ascii="Arial" w:eastAsia="Arial" w:hAnsi="Arial" w:cs="Arial"/>
          <w:i/>
          <w:spacing w:val="2"/>
          <w:sz w:val="16"/>
          <w:szCs w:val="16"/>
        </w:rPr>
        <w:t xml:space="preserve"> </w:t>
      </w:r>
      <w:r w:rsidRPr="002462D0">
        <w:rPr>
          <w:rFonts w:ascii="Arial" w:eastAsia="Arial" w:hAnsi="Arial" w:cs="Arial"/>
          <w:i/>
          <w:spacing w:val="-4"/>
          <w:sz w:val="16"/>
          <w:szCs w:val="16"/>
        </w:rPr>
        <w:t>J</w:t>
      </w:r>
      <w:r w:rsidRPr="002462D0">
        <w:rPr>
          <w:rFonts w:ascii="Arial" w:eastAsia="Arial" w:hAnsi="Arial" w:cs="Arial"/>
          <w:i/>
          <w:sz w:val="16"/>
          <w:szCs w:val="16"/>
        </w:rPr>
        <w:t>ud</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 xml:space="preserve">al del </w:t>
      </w:r>
      <w:r w:rsidRPr="002462D0">
        <w:rPr>
          <w:rFonts w:ascii="Arial" w:eastAsia="Arial" w:hAnsi="Arial" w:cs="Arial"/>
          <w:i/>
          <w:spacing w:val="-1"/>
          <w:sz w:val="16"/>
          <w:szCs w:val="16"/>
        </w:rPr>
        <w:t>E</w:t>
      </w:r>
      <w:r w:rsidRPr="002462D0">
        <w:rPr>
          <w:rFonts w:ascii="Arial" w:eastAsia="Arial" w:hAnsi="Arial" w:cs="Arial"/>
          <w:i/>
          <w:spacing w:val="-2"/>
          <w:sz w:val="16"/>
          <w:szCs w:val="16"/>
        </w:rPr>
        <w:t>s</w:t>
      </w:r>
      <w:r w:rsidRPr="002462D0">
        <w:rPr>
          <w:rFonts w:ascii="Arial" w:eastAsia="Arial" w:hAnsi="Arial" w:cs="Arial"/>
          <w:i/>
          <w:spacing w:val="1"/>
          <w:sz w:val="16"/>
          <w:szCs w:val="16"/>
        </w:rPr>
        <w:t>t</w:t>
      </w:r>
      <w:r w:rsidRPr="002462D0">
        <w:rPr>
          <w:rFonts w:ascii="Arial" w:eastAsia="Arial" w:hAnsi="Arial" w:cs="Arial"/>
          <w:i/>
          <w:sz w:val="16"/>
          <w:szCs w:val="16"/>
        </w:rPr>
        <w:t>ado</w:t>
      </w:r>
      <w:r w:rsidRPr="002462D0">
        <w:rPr>
          <w:rFonts w:ascii="Arial" w:eastAsia="Arial" w:hAnsi="Arial" w:cs="Arial"/>
          <w:i/>
          <w:spacing w:val="-2"/>
          <w:sz w:val="16"/>
          <w:szCs w:val="16"/>
        </w:rPr>
        <w:t xml:space="preserve"> </w:t>
      </w:r>
      <w:r w:rsidRPr="002462D0">
        <w:rPr>
          <w:rFonts w:ascii="Arial" w:eastAsia="Arial" w:hAnsi="Arial" w:cs="Arial"/>
          <w:i/>
          <w:sz w:val="16"/>
          <w:szCs w:val="16"/>
        </w:rPr>
        <w:t>de</w:t>
      </w:r>
      <w:r w:rsidRPr="002462D0">
        <w:rPr>
          <w:rFonts w:ascii="Arial" w:eastAsia="Arial" w:hAnsi="Arial" w:cs="Arial"/>
          <w:i/>
          <w:spacing w:val="-4"/>
          <w:sz w:val="16"/>
          <w:szCs w:val="16"/>
        </w:rPr>
        <w:t xml:space="preserve"> </w:t>
      </w:r>
      <w:r w:rsidRPr="002462D0">
        <w:rPr>
          <w:rFonts w:ascii="Arial" w:eastAsia="Arial" w:hAnsi="Arial" w:cs="Arial"/>
          <w:i/>
          <w:spacing w:val="1"/>
          <w:sz w:val="16"/>
          <w:szCs w:val="16"/>
        </w:rPr>
        <w:t>O</w:t>
      </w:r>
      <w:r w:rsidRPr="002462D0">
        <w:rPr>
          <w:rFonts w:ascii="Arial" w:eastAsia="Arial" w:hAnsi="Arial" w:cs="Arial"/>
          <w:i/>
          <w:spacing w:val="-5"/>
          <w:sz w:val="16"/>
          <w:szCs w:val="16"/>
        </w:rPr>
        <w:t>a</w:t>
      </w:r>
      <w:r w:rsidRPr="002462D0">
        <w:rPr>
          <w:rFonts w:ascii="Arial" w:eastAsia="Arial" w:hAnsi="Arial" w:cs="Arial"/>
          <w:i/>
          <w:spacing w:val="-4"/>
          <w:sz w:val="16"/>
          <w:szCs w:val="16"/>
        </w:rPr>
        <w:t>x</w:t>
      </w:r>
      <w:r w:rsidRPr="002462D0">
        <w:rPr>
          <w:rFonts w:ascii="Arial" w:eastAsia="Arial" w:hAnsi="Arial" w:cs="Arial"/>
          <w:i/>
          <w:sz w:val="16"/>
          <w:szCs w:val="16"/>
        </w:rPr>
        <w:t>aca.</w:t>
      </w:r>
    </w:p>
  </w:footnote>
  <w:footnote w:id="21">
    <w:p w14:paraId="1383884B" w14:textId="3420CDF2" w:rsidR="003B3330" w:rsidRPr="002462D0" w:rsidRDefault="003B3330"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 xml:space="preserve">Artículo 149.- </w:t>
      </w:r>
      <w:r w:rsidRPr="002462D0">
        <w:rPr>
          <w:rFonts w:ascii="Arial" w:hAnsi="Arial" w:cs="Arial"/>
          <w:i/>
          <w:sz w:val="16"/>
          <w:szCs w:val="16"/>
        </w:rPr>
        <w:t>El juicio ante el Tribunal será de estricto derecho, pero se deberá suplir la deficiencia de la queja siempre que se trate del administrado.</w:t>
      </w:r>
    </w:p>
  </w:footnote>
  <w:footnote w:id="22">
    <w:p w14:paraId="03B48D45" w14:textId="01E2E7E6" w:rsidR="003B3330" w:rsidRPr="002462D0" w:rsidRDefault="003B3330"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25.-</w:t>
      </w:r>
      <w:r w:rsidRPr="002462D0">
        <w:rPr>
          <w:rFonts w:ascii="Arial" w:hAnsi="Arial" w:cs="Arial"/>
          <w:i/>
          <w:sz w:val="16"/>
          <w:szCs w:val="16"/>
        </w:rPr>
        <w:t xml:space="preserve"> Los documentos públicos tendrán valor probatorio pleno, salvo prueba en contrario respecto de su autenticidad o de la veracidad de los hechos a que se refieran.</w:t>
      </w:r>
    </w:p>
  </w:footnote>
  <w:footnote w:id="23">
    <w:p w14:paraId="6F611500" w14:textId="6E6870A7" w:rsidR="003B3330" w:rsidRPr="007D68EB" w:rsidRDefault="003B3330" w:rsidP="00162904">
      <w:pPr>
        <w:pStyle w:val="corte4fondo"/>
        <w:tabs>
          <w:tab w:val="left" w:pos="0"/>
        </w:tabs>
        <w:spacing w:after="240"/>
        <w:ind w:right="51" w:firstLine="0"/>
        <w:rPr>
          <w:rFonts w:cs="Arial"/>
          <w:i/>
          <w:sz w:val="16"/>
          <w:szCs w:val="16"/>
        </w:rPr>
      </w:pPr>
      <w:r w:rsidRPr="00162904">
        <w:rPr>
          <w:rStyle w:val="Refdenotaalpie"/>
          <w:rFonts w:cs="Arial"/>
          <w:sz w:val="16"/>
          <w:szCs w:val="16"/>
        </w:rPr>
        <w:footnoteRef/>
      </w:r>
      <w:r w:rsidRPr="00162904">
        <w:rPr>
          <w:rFonts w:cs="Arial"/>
          <w:sz w:val="16"/>
          <w:szCs w:val="16"/>
        </w:rPr>
        <w:t xml:space="preserve"> </w:t>
      </w:r>
      <w:r w:rsidRPr="007D68EB">
        <w:rPr>
          <w:rFonts w:cs="Arial"/>
          <w:i/>
          <w:sz w:val="16"/>
          <w:szCs w:val="16"/>
        </w:rPr>
        <w:t xml:space="preserve">Dictamen Técnico de Presunta Responsabilidad, visible a fojas trescientos quince a trescientos treinta y cinco (315 a 335), Tomo I del expediente </w:t>
      </w:r>
      <w:r w:rsidRPr="007D68EB">
        <w:rPr>
          <w:rFonts w:cs="Arial"/>
          <w:b/>
          <w:i/>
          <w:sz w:val="16"/>
          <w:szCs w:val="16"/>
        </w:rPr>
        <w:t>ASE/UAJ/P.R./004/2016</w:t>
      </w:r>
      <w:r w:rsidRPr="007D68EB">
        <w:rPr>
          <w:rFonts w:cs="Arial"/>
          <w:i/>
          <w:sz w:val="16"/>
          <w:szCs w:val="16"/>
        </w:rPr>
        <w:t>.</w:t>
      </w:r>
    </w:p>
  </w:footnote>
  <w:footnote w:id="24">
    <w:p w14:paraId="23A1308A" w14:textId="58DBAB99" w:rsidR="003B3330" w:rsidRPr="007D68EB" w:rsidRDefault="003B3330" w:rsidP="007D68EB">
      <w:pPr>
        <w:pStyle w:val="Textonotapie"/>
        <w:jc w:val="both"/>
        <w:rPr>
          <w:rFonts w:ascii="Arial" w:hAnsi="Arial" w:cs="Arial"/>
          <w:i/>
          <w:sz w:val="16"/>
          <w:szCs w:val="16"/>
        </w:rPr>
      </w:pPr>
      <w:r w:rsidRPr="007D68EB">
        <w:rPr>
          <w:rStyle w:val="Refdenotaalpie"/>
          <w:rFonts w:ascii="Arial" w:hAnsi="Arial" w:cs="Arial"/>
          <w:i/>
          <w:sz w:val="16"/>
          <w:szCs w:val="16"/>
        </w:rPr>
        <w:footnoteRef/>
      </w:r>
      <w:r w:rsidRPr="007D68EB">
        <w:rPr>
          <w:rFonts w:ascii="Arial" w:hAnsi="Arial" w:cs="Arial"/>
          <w:i/>
          <w:sz w:val="16"/>
          <w:szCs w:val="16"/>
        </w:rPr>
        <w:t xml:space="preserve"> </w:t>
      </w:r>
      <w:r>
        <w:rPr>
          <w:rFonts w:ascii="Arial" w:hAnsi="Arial" w:cs="Arial"/>
          <w:i/>
          <w:sz w:val="16"/>
          <w:szCs w:val="16"/>
        </w:rPr>
        <w:t>Hojas cincuenta y tres a cincuenta y ocho (53 a 58) del expediente JI/008/2023, del índice de esta Sala Superior.</w:t>
      </w:r>
    </w:p>
  </w:footnote>
  <w:footnote w:id="25">
    <w:p w14:paraId="110FFE95" w14:textId="77777777" w:rsidR="003B3330" w:rsidRPr="002462D0" w:rsidRDefault="003B3330" w:rsidP="002462D0">
      <w:pPr>
        <w:pStyle w:val="Textonotapie"/>
        <w:spacing w:after="240"/>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17.-</w:t>
      </w:r>
      <w:r w:rsidRPr="002462D0">
        <w:rPr>
          <w:rFonts w:ascii="Arial" w:hAnsi="Arial" w:cs="Arial"/>
          <w:i/>
          <w:sz w:val="16"/>
          <w:szCs w:val="16"/>
        </w:rPr>
        <w:t xml:space="preserve"> Son elementos y requisitos de validez del acto administrativo:</w:t>
      </w:r>
    </w:p>
    <w:p w14:paraId="2DA65E04" w14:textId="77777777" w:rsidR="003B3330" w:rsidRPr="002462D0" w:rsidRDefault="003B3330" w:rsidP="002462D0">
      <w:pPr>
        <w:pStyle w:val="Textonotapie"/>
        <w:spacing w:after="240"/>
        <w:rPr>
          <w:rFonts w:ascii="Arial" w:hAnsi="Arial" w:cs="Arial"/>
          <w:i/>
          <w:sz w:val="16"/>
          <w:szCs w:val="16"/>
          <w:lang w:val="es-ES"/>
        </w:rPr>
      </w:pPr>
      <w:r w:rsidRPr="002462D0">
        <w:rPr>
          <w:rFonts w:ascii="Arial" w:hAnsi="Arial" w:cs="Arial"/>
          <w:i/>
          <w:sz w:val="16"/>
          <w:szCs w:val="16"/>
          <w:lang w:val="es-ES"/>
        </w:rPr>
        <w:t>V. Estar fundado y motivado;”</w:t>
      </w:r>
    </w:p>
  </w:footnote>
  <w:footnote w:id="26">
    <w:p w14:paraId="627188A8" w14:textId="77777777" w:rsidR="003B3330" w:rsidRPr="002462D0" w:rsidRDefault="003B3330"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40.-</w:t>
      </w:r>
      <w:r w:rsidRPr="002462D0">
        <w:rPr>
          <w:rFonts w:ascii="Arial" w:hAnsi="Arial" w:cs="Arial"/>
          <w:i/>
          <w:sz w:val="16"/>
          <w:szCs w:val="16"/>
        </w:rPr>
        <w:t xml:space="preserve"> Las sentencias serán definitivas e inatacables; éstas podrán:</w:t>
      </w:r>
    </w:p>
    <w:p w14:paraId="389480A1" w14:textId="77777777" w:rsidR="003B3330" w:rsidRPr="002462D0" w:rsidRDefault="003B3330" w:rsidP="002462D0">
      <w:pPr>
        <w:pStyle w:val="Textonotapie"/>
        <w:spacing w:after="240"/>
        <w:jc w:val="both"/>
        <w:rPr>
          <w:rFonts w:ascii="Arial" w:hAnsi="Arial" w:cs="Arial"/>
          <w:i/>
          <w:sz w:val="16"/>
          <w:szCs w:val="16"/>
          <w:lang w:val="es-ES"/>
        </w:rPr>
      </w:pPr>
      <w:r w:rsidRPr="002462D0">
        <w:rPr>
          <w:rFonts w:ascii="Arial" w:hAnsi="Arial" w:cs="Arial"/>
          <w:i/>
          <w:sz w:val="16"/>
          <w:szCs w:val="16"/>
          <w:lang w:val="es-ES"/>
        </w:rPr>
        <w:t>IV. Dejar sin efectos el acto impugnado o revocarlo total o parcialmente;</w:t>
      </w:r>
    </w:p>
  </w:footnote>
  <w:footnote w:id="27">
    <w:p w14:paraId="34177409" w14:textId="77777777" w:rsidR="003B3330" w:rsidRPr="002462D0" w:rsidRDefault="003B3330"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18.-</w:t>
      </w:r>
      <w:r w:rsidRPr="002462D0">
        <w:rPr>
          <w:rFonts w:ascii="Arial" w:hAnsi="Arial" w:cs="Arial"/>
          <w:i/>
          <w:sz w:val="16"/>
          <w:szCs w:val="16"/>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02CB450E" w14:textId="77777777" w:rsidR="003B3330" w:rsidRPr="002462D0" w:rsidRDefault="003B3330" w:rsidP="002462D0">
      <w:pPr>
        <w:pStyle w:val="Textonotapie"/>
        <w:spacing w:after="240"/>
        <w:jc w:val="both"/>
        <w:rPr>
          <w:rFonts w:ascii="Arial" w:hAnsi="Arial" w:cs="Arial"/>
          <w:i/>
          <w:sz w:val="16"/>
          <w:szCs w:val="16"/>
          <w:lang w:val="es-ES"/>
        </w:rPr>
      </w:pPr>
      <w:r w:rsidRPr="002462D0">
        <w:rPr>
          <w:rFonts w:ascii="Arial" w:hAnsi="Arial" w:cs="Arial"/>
          <w:i/>
          <w:sz w:val="16"/>
          <w:szCs w:val="16"/>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4B24DE03" w14:textId="77777777" w:rsidR="003B3330" w:rsidRPr="002462D0" w:rsidRDefault="003B3330" w:rsidP="002462D0">
      <w:pPr>
        <w:pStyle w:val="Textonotapie"/>
        <w:spacing w:after="240"/>
        <w:jc w:val="both"/>
        <w:rPr>
          <w:rFonts w:ascii="Arial" w:hAnsi="Arial" w:cs="Arial"/>
          <w:i/>
          <w:sz w:val="16"/>
          <w:szCs w:val="16"/>
          <w:lang w:val="es-ES"/>
        </w:rPr>
      </w:pPr>
      <w:r w:rsidRPr="002462D0">
        <w:rPr>
          <w:rFonts w:ascii="Arial" w:hAnsi="Arial" w:cs="Arial"/>
          <w:i/>
          <w:sz w:val="16"/>
          <w:szCs w:val="16"/>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ACB13" w14:textId="159520F5" w:rsidR="009111F5" w:rsidRDefault="009111F5">
    <w:pPr>
      <w:pStyle w:val="Encabezado"/>
    </w:pPr>
    <w:r>
      <w:rPr>
        <w:noProof/>
      </w:rPr>
      <w:drawing>
        <wp:anchor distT="0" distB="0" distL="114300" distR="114300" simplePos="0" relativeHeight="251663360" behindDoc="1" locked="0" layoutInCell="1" allowOverlap="1" wp14:anchorId="723A9831" wp14:editId="76572BB1">
          <wp:simplePos x="0" y="0"/>
          <wp:positionH relativeFrom="column">
            <wp:posOffset>5822315</wp:posOffset>
          </wp:positionH>
          <wp:positionV relativeFrom="paragraph">
            <wp:posOffset>2950210</wp:posOffset>
          </wp:positionV>
          <wp:extent cx="1030605" cy="1256030"/>
          <wp:effectExtent l="0" t="0" r="0" b="1270"/>
          <wp:wrapNone/>
          <wp:docPr id="2142992821" name="Imagen 214299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706123"/>
      <w:docPartObj>
        <w:docPartGallery w:val="Page Numbers (Top of Page)"/>
        <w:docPartUnique/>
      </w:docPartObj>
    </w:sdtPr>
    <w:sdtEndPr/>
    <w:sdtContent>
      <w:p w14:paraId="3BD03D80" w14:textId="7AA124C4" w:rsidR="003B3330" w:rsidRDefault="003B3330">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6A8F0612">
              <wp:simplePos x="0" y="0"/>
              <wp:positionH relativeFrom="column">
                <wp:posOffset>99695</wp:posOffset>
              </wp:positionH>
              <wp:positionV relativeFrom="paragraph">
                <wp:posOffset>-362585</wp:posOffset>
              </wp:positionV>
              <wp:extent cx="2495550" cy="63119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7B4929" w:rsidRPr="007B4929">
          <w:rPr>
            <w:noProof/>
            <w:lang w:val="es-ES"/>
          </w:rPr>
          <w:t>42</w:t>
        </w:r>
        <w:r>
          <w:fldChar w:fldCharType="end"/>
        </w:r>
      </w:p>
    </w:sdtContent>
  </w:sdt>
  <w:p w14:paraId="6DE680F6" w14:textId="6E60B18F" w:rsidR="003B3330" w:rsidRDefault="009111F5">
    <w:pPr>
      <w:pStyle w:val="Encabezado"/>
    </w:pPr>
    <w:r>
      <w:rPr>
        <w:noProof/>
      </w:rPr>
      <w:drawing>
        <wp:anchor distT="0" distB="0" distL="114300" distR="114300" simplePos="0" relativeHeight="251664384" behindDoc="1" locked="0" layoutInCell="1" allowOverlap="1" wp14:anchorId="0E88B8E8" wp14:editId="6CDE4B1D">
          <wp:simplePos x="0" y="0"/>
          <wp:positionH relativeFrom="column">
            <wp:posOffset>-1174750</wp:posOffset>
          </wp:positionH>
          <wp:positionV relativeFrom="paragraph">
            <wp:posOffset>3360420</wp:posOffset>
          </wp:positionV>
          <wp:extent cx="1030605" cy="1256030"/>
          <wp:effectExtent l="0" t="0" r="0" b="1270"/>
          <wp:wrapNone/>
          <wp:docPr id="909102883" name="Imagen 909102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895062"/>
      <w:docPartObj>
        <w:docPartGallery w:val="Page Numbers (Top of Page)"/>
        <w:docPartUnique/>
      </w:docPartObj>
    </w:sdtPr>
    <w:sdtEndPr/>
    <w:sdtContent>
      <w:p w14:paraId="43039DC9" w14:textId="5B0839D5" w:rsidR="003B3330" w:rsidRDefault="003B3330">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29C57FA5">
              <wp:simplePos x="0" y="0"/>
              <wp:positionH relativeFrom="column">
                <wp:posOffset>-254959</wp:posOffset>
              </wp:positionH>
              <wp:positionV relativeFrom="paragraph">
                <wp:posOffset>-152113</wp:posOffset>
              </wp:positionV>
              <wp:extent cx="2495550" cy="6311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7B4929" w:rsidRPr="007B4929">
          <w:rPr>
            <w:noProof/>
            <w:lang w:val="es-ES"/>
          </w:rPr>
          <w:t>1</w:t>
        </w:r>
        <w:r>
          <w:fldChar w:fldCharType="end"/>
        </w:r>
      </w:p>
    </w:sdtContent>
  </w:sdt>
  <w:p w14:paraId="703CC1EE" w14:textId="6ECCF25A" w:rsidR="003B3330" w:rsidRDefault="009111F5">
    <w:pPr>
      <w:pStyle w:val="Encabezado"/>
    </w:pPr>
    <w:r>
      <w:rPr>
        <w:noProof/>
      </w:rPr>
      <w:drawing>
        <wp:anchor distT="0" distB="0" distL="114300" distR="114300" simplePos="0" relativeHeight="251662336" behindDoc="1" locked="0" layoutInCell="1" allowOverlap="1" wp14:anchorId="0C579F4C" wp14:editId="2432AF8D">
          <wp:simplePos x="0" y="0"/>
          <wp:positionH relativeFrom="column">
            <wp:posOffset>-1010920</wp:posOffset>
          </wp:positionH>
          <wp:positionV relativeFrom="paragraph">
            <wp:posOffset>2522220</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169FF"/>
    <w:multiLevelType w:val="hybridMultilevel"/>
    <w:tmpl w:val="937A4CC4"/>
    <w:lvl w:ilvl="0" w:tplc="60F4C86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12DA634B"/>
    <w:multiLevelType w:val="hybridMultilevel"/>
    <w:tmpl w:val="9C1C611E"/>
    <w:lvl w:ilvl="0" w:tplc="1114AB8C">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161B3D42"/>
    <w:multiLevelType w:val="hybridMultilevel"/>
    <w:tmpl w:val="9642C6E0"/>
    <w:lvl w:ilvl="0" w:tplc="D9C85086">
      <w:start w:val="1"/>
      <w:numFmt w:val="upperRoman"/>
      <w:lvlText w:val="%1."/>
      <w:lvlJc w:val="left"/>
      <w:pPr>
        <w:ind w:left="1287" w:hanging="720"/>
      </w:pPr>
      <w:rPr>
        <w:rFonts w:asciiTheme="minorHAnsi" w:hAnsiTheme="minorHAnsi" w:cstheme="minorBidi"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4"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39FD5C82"/>
    <w:multiLevelType w:val="hybridMultilevel"/>
    <w:tmpl w:val="2D325098"/>
    <w:lvl w:ilvl="0" w:tplc="382414E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41947D3C"/>
    <w:multiLevelType w:val="hybridMultilevel"/>
    <w:tmpl w:val="498029F0"/>
    <w:lvl w:ilvl="0" w:tplc="FAAEAEC4">
      <w:start w:val="3"/>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58BF679F"/>
    <w:multiLevelType w:val="hybridMultilevel"/>
    <w:tmpl w:val="B7C6BA0A"/>
    <w:lvl w:ilvl="0" w:tplc="A878A514">
      <w:start w:val="1"/>
      <w:numFmt w:val="upperRoman"/>
      <w:lvlText w:val="%1."/>
      <w:lvlJc w:val="left"/>
      <w:pPr>
        <w:ind w:left="1287" w:hanging="720"/>
      </w:pPr>
      <w:rPr>
        <w:rFonts w:ascii="Arial" w:hAnsi="Arial" w:cs="Arial"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16483148">
    <w:abstractNumId w:val="8"/>
  </w:num>
  <w:num w:numId="2" w16cid:durableId="666133033">
    <w:abstractNumId w:val="11"/>
  </w:num>
  <w:num w:numId="3" w16cid:durableId="1919175157">
    <w:abstractNumId w:val="15"/>
  </w:num>
  <w:num w:numId="4" w16cid:durableId="260532902">
    <w:abstractNumId w:val="6"/>
  </w:num>
  <w:num w:numId="5" w16cid:durableId="1080564374">
    <w:abstractNumId w:val="13"/>
  </w:num>
  <w:num w:numId="6" w16cid:durableId="530849376">
    <w:abstractNumId w:val="7"/>
  </w:num>
  <w:num w:numId="7" w16cid:durableId="200284024">
    <w:abstractNumId w:val="14"/>
  </w:num>
  <w:num w:numId="8" w16cid:durableId="972710063">
    <w:abstractNumId w:val="4"/>
  </w:num>
  <w:num w:numId="9" w16cid:durableId="1520463013">
    <w:abstractNumId w:val="5"/>
  </w:num>
  <w:num w:numId="10" w16cid:durableId="1011760648">
    <w:abstractNumId w:val="3"/>
  </w:num>
  <w:num w:numId="11" w16cid:durableId="2081637819">
    <w:abstractNumId w:val="9"/>
  </w:num>
  <w:num w:numId="12" w16cid:durableId="133066222">
    <w:abstractNumId w:val="12"/>
  </w:num>
  <w:num w:numId="13" w16cid:durableId="511916201">
    <w:abstractNumId w:val="2"/>
  </w:num>
  <w:num w:numId="14" w16cid:durableId="2005357114">
    <w:abstractNumId w:val="0"/>
  </w:num>
  <w:num w:numId="15" w16cid:durableId="1351761605">
    <w:abstractNumId w:val="10"/>
  </w:num>
  <w:num w:numId="16" w16cid:durableId="464081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0"/>
  <w:proofState w:spelling="clean" w:grammar="clean"/>
  <w:defaultTabStop w:val="708"/>
  <w:hyphenationZone w:val="425"/>
  <w:evenAndOddHeaders/>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D21"/>
    <w:rsid w:val="000066B4"/>
    <w:rsid w:val="00007750"/>
    <w:rsid w:val="00010FF4"/>
    <w:rsid w:val="00012F54"/>
    <w:rsid w:val="0001384A"/>
    <w:rsid w:val="00015085"/>
    <w:rsid w:val="000203B2"/>
    <w:rsid w:val="00021165"/>
    <w:rsid w:val="00022009"/>
    <w:rsid w:val="00022D0A"/>
    <w:rsid w:val="00023E0F"/>
    <w:rsid w:val="00024B09"/>
    <w:rsid w:val="0002521A"/>
    <w:rsid w:val="0002541F"/>
    <w:rsid w:val="0002562D"/>
    <w:rsid w:val="00026BB2"/>
    <w:rsid w:val="00026F4A"/>
    <w:rsid w:val="000272BD"/>
    <w:rsid w:val="00030491"/>
    <w:rsid w:val="00030636"/>
    <w:rsid w:val="00031C21"/>
    <w:rsid w:val="00032827"/>
    <w:rsid w:val="000337D1"/>
    <w:rsid w:val="00035E01"/>
    <w:rsid w:val="000363E1"/>
    <w:rsid w:val="00036966"/>
    <w:rsid w:val="00036A0C"/>
    <w:rsid w:val="0003716E"/>
    <w:rsid w:val="000400D4"/>
    <w:rsid w:val="000426C9"/>
    <w:rsid w:val="00043075"/>
    <w:rsid w:val="000431D9"/>
    <w:rsid w:val="00043748"/>
    <w:rsid w:val="00044C65"/>
    <w:rsid w:val="00045E11"/>
    <w:rsid w:val="000463EA"/>
    <w:rsid w:val="000504AB"/>
    <w:rsid w:val="00051177"/>
    <w:rsid w:val="0005145D"/>
    <w:rsid w:val="00052656"/>
    <w:rsid w:val="0005415A"/>
    <w:rsid w:val="00054AF9"/>
    <w:rsid w:val="00055C88"/>
    <w:rsid w:val="00057B7A"/>
    <w:rsid w:val="00060198"/>
    <w:rsid w:val="000606F7"/>
    <w:rsid w:val="00064AC2"/>
    <w:rsid w:val="000662B7"/>
    <w:rsid w:val="00070605"/>
    <w:rsid w:val="00075A85"/>
    <w:rsid w:val="00083AB0"/>
    <w:rsid w:val="000857E9"/>
    <w:rsid w:val="00090D04"/>
    <w:rsid w:val="00092E1F"/>
    <w:rsid w:val="00093A8B"/>
    <w:rsid w:val="000948A2"/>
    <w:rsid w:val="00094E83"/>
    <w:rsid w:val="000951F5"/>
    <w:rsid w:val="00096FC9"/>
    <w:rsid w:val="0009746A"/>
    <w:rsid w:val="0009786A"/>
    <w:rsid w:val="000A003F"/>
    <w:rsid w:val="000A25F3"/>
    <w:rsid w:val="000A2814"/>
    <w:rsid w:val="000A2A86"/>
    <w:rsid w:val="000A3369"/>
    <w:rsid w:val="000A3F92"/>
    <w:rsid w:val="000A4C89"/>
    <w:rsid w:val="000A5413"/>
    <w:rsid w:val="000A5644"/>
    <w:rsid w:val="000A5C47"/>
    <w:rsid w:val="000A5C7A"/>
    <w:rsid w:val="000A5CA8"/>
    <w:rsid w:val="000B149F"/>
    <w:rsid w:val="000B1C0B"/>
    <w:rsid w:val="000B3FDD"/>
    <w:rsid w:val="000B426C"/>
    <w:rsid w:val="000B440B"/>
    <w:rsid w:val="000B48CB"/>
    <w:rsid w:val="000B4A0F"/>
    <w:rsid w:val="000B522E"/>
    <w:rsid w:val="000B52EA"/>
    <w:rsid w:val="000B6196"/>
    <w:rsid w:val="000C0FC6"/>
    <w:rsid w:val="000C1184"/>
    <w:rsid w:val="000C14B9"/>
    <w:rsid w:val="000C35D8"/>
    <w:rsid w:val="000C5987"/>
    <w:rsid w:val="000C5EA0"/>
    <w:rsid w:val="000C6172"/>
    <w:rsid w:val="000C67C3"/>
    <w:rsid w:val="000C6FAD"/>
    <w:rsid w:val="000D1115"/>
    <w:rsid w:val="000D1520"/>
    <w:rsid w:val="000D1985"/>
    <w:rsid w:val="000D23FD"/>
    <w:rsid w:val="000D7007"/>
    <w:rsid w:val="000D7109"/>
    <w:rsid w:val="000E1601"/>
    <w:rsid w:val="000E2FD3"/>
    <w:rsid w:val="000E728E"/>
    <w:rsid w:val="000F22D4"/>
    <w:rsid w:val="000F4860"/>
    <w:rsid w:val="000F7F12"/>
    <w:rsid w:val="001009AB"/>
    <w:rsid w:val="00100A21"/>
    <w:rsid w:val="00100BF6"/>
    <w:rsid w:val="00101208"/>
    <w:rsid w:val="00101601"/>
    <w:rsid w:val="00102315"/>
    <w:rsid w:val="00103B0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40805"/>
    <w:rsid w:val="0014099C"/>
    <w:rsid w:val="001412D9"/>
    <w:rsid w:val="00141E3E"/>
    <w:rsid w:val="00144D47"/>
    <w:rsid w:val="00145DE8"/>
    <w:rsid w:val="0014654E"/>
    <w:rsid w:val="00147686"/>
    <w:rsid w:val="00147B36"/>
    <w:rsid w:val="00151127"/>
    <w:rsid w:val="0015148F"/>
    <w:rsid w:val="001514E4"/>
    <w:rsid w:val="0015175F"/>
    <w:rsid w:val="00153004"/>
    <w:rsid w:val="00153C8A"/>
    <w:rsid w:val="00155A52"/>
    <w:rsid w:val="00155F12"/>
    <w:rsid w:val="00157CF5"/>
    <w:rsid w:val="0016023B"/>
    <w:rsid w:val="001604C8"/>
    <w:rsid w:val="001612DC"/>
    <w:rsid w:val="00161E06"/>
    <w:rsid w:val="001628B3"/>
    <w:rsid w:val="00162904"/>
    <w:rsid w:val="00163799"/>
    <w:rsid w:val="001658D6"/>
    <w:rsid w:val="00166E0B"/>
    <w:rsid w:val="0016783D"/>
    <w:rsid w:val="0017009A"/>
    <w:rsid w:val="00170155"/>
    <w:rsid w:val="00170B83"/>
    <w:rsid w:val="001719F5"/>
    <w:rsid w:val="00173126"/>
    <w:rsid w:val="0017704F"/>
    <w:rsid w:val="00177478"/>
    <w:rsid w:val="001776F9"/>
    <w:rsid w:val="00181533"/>
    <w:rsid w:val="001824EB"/>
    <w:rsid w:val="00182786"/>
    <w:rsid w:val="00182F11"/>
    <w:rsid w:val="00184940"/>
    <w:rsid w:val="00190EE6"/>
    <w:rsid w:val="001915E8"/>
    <w:rsid w:val="0019199C"/>
    <w:rsid w:val="00192276"/>
    <w:rsid w:val="00192D4C"/>
    <w:rsid w:val="00193860"/>
    <w:rsid w:val="00196279"/>
    <w:rsid w:val="00196BEA"/>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A7BD5"/>
    <w:rsid w:val="001B0663"/>
    <w:rsid w:val="001B3711"/>
    <w:rsid w:val="001B3A76"/>
    <w:rsid w:val="001B4CFD"/>
    <w:rsid w:val="001B5DC7"/>
    <w:rsid w:val="001B77BA"/>
    <w:rsid w:val="001C0539"/>
    <w:rsid w:val="001C0F76"/>
    <w:rsid w:val="001C1AEF"/>
    <w:rsid w:val="001C3689"/>
    <w:rsid w:val="001C4D66"/>
    <w:rsid w:val="001C505A"/>
    <w:rsid w:val="001C54B4"/>
    <w:rsid w:val="001C6514"/>
    <w:rsid w:val="001D267C"/>
    <w:rsid w:val="001D3740"/>
    <w:rsid w:val="001D3A36"/>
    <w:rsid w:val="001D4A72"/>
    <w:rsid w:val="001E1A1B"/>
    <w:rsid w:val="001E49C1"/>
    <w:rsid w:val="001E4A0B"/>
    <w:rsid w:val="001E5543"/>
    <w:rsid w:val="001F28A5"/>
    <w:rsid w:val="001F2FF9"/>
    <w:rsid w:val="001F31F1"/>
    <w:rsid w:val="001F4905"/>
    <w:rsid w:val="001F5A9D"/>
    <w:rsid w:val="001F7521"/>
    <w:rsid w:val="001F79C0"/>
    <w:rsid w:val="0020106B"/>
    <w:rsid w:val="00203B91"/>
    <w:rsid w:val="0020517C"/>
    <w:rsid w:val="00206AF9"/>
    <w:rsid w:val="0020764C"/>
    <w:rsid w:val="00207950"/>
    <w:rsid w:val="002119B0"/>
    <w:rsid w:val="00214024"/>
    <w:rsid w:val="00214832"/>
    <w:rsid w:val="00214E4D"/>
    <w:rsid w:val="00215C5C"/>
    <w:rsid w:val="002161AA"/>
    <w:rsid w:val="00216B34"/>
    <w:rsid w:val="002175BF"/>
    <w:rsid w:val="00220F2F"/>
    <w:rsid w:val="0022127C"/>
    <w:rsid w:val="00221CC8"/>
    <w:rsid w:val="002226BD"/>
    <w:rsid w:val="00223548"/>
    <w:rsid w:val="002257D3"/>
    <w:rsid w:val="00226128"/>
    <w:rsid w:val="00226621"/>
    <w:rsid w:val="00227923"/>
    <w:rsid w:val="0023099F"/>
    <w:rsid w:val="00230C55"/>
    <w:rsid w:val="00230E4C"/>
    <w:rsid w:val="002318D5"/>
    <w:rsid w:val="00231C63"/>
    <w:rsid w:val="00232A48"/>
    <w:rsid w:val="00233486"/>
    <w:rsid w:val="00233508"/>
    <w:rsid w:val="00233ACB"/>
    <w:rsid w:val="00234E76"/>
    <w:rsid w:val="00240B34"/>
    <w:rsid w:val="00240C50"/>
    <w:rsid w:val="002419CF"/>
    <w:rsid w:val="002432AA"/>
    <w:rsid w:val="00244364"/>
    <w:rsid w:val="00245075"/>
    <w:rsid w:val="002462D0"/>
    <w:rsid w:val="00247307"/>
    <w:rsid w:val="00247C06"/>
    <w:rsid w:val="00250448"/>
    <w:rsid w:val="00251577"/>
    <w:rsid w:val="002519E7"/>
    <w:rsid w:val="00252425"/>
    <w:rsid w:val="002524BD"/>
    <w:rsid w:val="00252E0F"/>
    <w:rsid w:val="00256E14"/>
    <w:rsid w:val="002616D1"/>
    <w:rsid w:val="0026393D"/>
    <w:rsid w:val="00263D95"/>
    <w:rsid w:val="00265704"/>
    <w:rsid w:val="00267C69"/>
    <w:rsid w:val="0027164D"/>
    <w:rsid w:val="00273FAA"/>
    <w:rsid w:val="002747AF"/>
    <w:rsid w:val="00274E07"/>
    <w:rsid w:val="002750B0"/>
    <w:rsid w:val="0027572E"/>
    <w:rsid w:val="00275F15"/>
    <w:rsid w:val="0027767F"/>
    <w:rsid w:val="00280E8D"/>
    <w:rsid w:val="0028174D"/>
    <w:rsid w:val="00283AD6"/>
    <w:rsid w:val="0028475A"/>
    <w:rsid w:val="00284A85"/>
    <w:rsid w:val="00285699"/>
    <w:rsid w:val="00290314"/>
    <w:rsid w:val="002914F2"/>
    <w:rsid w:val="00292090"/>
    <w:rsid w:val="00292144"/>
    <w:rsid w:val="002921D4"/>
    <w:rsid w:val="00292797"/>
    <w:rsid w:val="002946B1"/>
    <w:rsid w:val="00295133"/>
    <w:rsid w:val="002962FA"/>
    <w:rsid w:val="00296314"/>
    <w:rsid w:val="00296A0F"/>
    <w:rsid w:val="002A3075"/>
    <w:rsid w:val="002A3806"/>
    <w:rsid w:val="002A4A0C"/>
    <w:rsid w:val="002A51B3"/>
    <w:rsid w:val="002A59B5"/>
    <w:rsid w:val="002A6281"/>
    <w:rsid w:val="002A7FE6"/>
    <w:rsid w:val="002B197F"/>
    <w:rsid w:val="002B245A"/>
    <w:rsid w:val="002B2700"/>
    <w:rsid w:val="002B2C0E"/>
    <w:rsid w:val="002B52BC"/>
    <w:rsid w:val="002B5D36"/>
    <w:rsid w:val="002B773A"/>
    <w:rsid w:val="002C096F"/>
    <w:rsid w:val="002C0FD7"/>
    <w:rsid w:val="002C2370"/>
    <w:rsid w:val="002C25B6"/>
    <w:rsid w:val="002C48D3"/>
    <w:rsid w:val="002C4C27"/>
    <w:rsid w:val="002C501F"/>
    <w:rsid w:val="002C526B"/>
    <w:rsid w:val="002C654E"/>
    <w:rsid w:val="002C7174"/>
    <w:rsid w:val="002D0236"/>
    <w:rsid w:val="002D1A74"/>
    <w:rsid w:val="002D1F19"/>
    <w:rsid w:val="002D696F"/>
    <w:rsid w:val="002D794E"/>
    <w:rsid w:val="002E00DA"/>
    <w:rsid w:val="002E0F64"/>
    <w:rsid w:val="002E177A"/>
    <w:rsid w:val="002E26F6"/>
    <w:rsid w:val="002E51ED"/>
    <w:rsid w:val="002E6A31"/>
    <w:rsid w:val="002F01AE"/>
    <w:rsid w:val="002F02FB"/>
    <w:rsid w:val="002F08AA"/>
    <w:rsid w:val="002F0F70"/>
    <w:rsid w:val="002F2F88"/>
    <w:rsid w:val="002F4A47"/>
    <w:rsid w:val="002F5B67"/>
    <w:rsid w:val="002F5D8A"/>
    <w:rsid w:val="002F62ED"/>
    <w:rsid w:val="002F71C8"/>
    <w:rsid w:val="00300257"/>
    <w:rsid w:val="00300882"/>
    <w:rsid w:val="00301470"/>
    <w:rsid w:val="003039BE"/>
    <w:rsid w:val="00304F2A"/>
    <w:rsid w:val="003054D8"/>
    <w:rsid w:val="003056FB"/>
    <w:rsid w:val="003057ED"/>
    <w:rsid w:val="0031131E"/>
    <w:rsid w:val="003119B9"/>
    <w:rsid w:val="00312C45"/>
    <w:rsid w:val="00314C35"/>
    <w:rsid w:val="003173F3"/>
    <w:rsid w:val="00317C62"/>
    <w:rsid w:val="0032516A"/>
    <w:rsid w:val="00327322"/>
    <w:rsid w:val="00327ABE"/>
    <w:rsid w:val="00330516"/>
    <w:rsid w:val="0033075F"/>
    <w:rsid w:val="00330E66"/>
    <w:rsid w:val="00331255"/>
    <w:rsid w:val="003337E5"/>
    <w:rsid w:val="00334E8F"/>
    <w:rsid w:val="00335E07"/>
    <w:rsid w:val="003363CD"/>
    <w:rsid w:val="00337745"/>
    <w:rsid w:val="0034010C"/>
    <w:rsid w:val="0034140C"/>
    <w:rsid w:val="0034472A"/>
    <w:rsid w:val="003455EB"/>
    <w:rsid w:val="00345708"/>
    <w:rsid w:val="00346EA0"/>
    <w:rsid w:val="00347C32"/>
    <w:rsid w:val="00350309"/>
    <w:rsid w:val="00350413"/>
    <w:rsid w:val="00351EF2"/>
    <w:rsid w:val="00352A96"/>
    <w:rsid w:val="0035344A"/>
    <w:rsid w:val="003535ED"/>
    <w:rsid w:val="0035374B"/>
    <w:rsid w:val="00354B88"/>
    <w:rsid w:val="003554BD"/>
    <w:rsid w:val="0035585B"/>
    <w:rsid w:val="00356717"/>
    <w:rsid w:val="003569E3"/>
    <w:rsid w:val="00360D09"/>
    <w:rsid w:val="003620DA"/>
    <w:rsid w:val="00363EFF"/>
    <w:rsid w:val="0036421E"/>
    <w:rsid w:val="00364AFA"/>
    <w:rsid w:val="00364B5B"/>
    <w:rsid w:val="00370E42"/>
    <w:rsid w:val="00371394"/>
    <w:rsid w:val="00371465"/>
    <w:rsid w:val="003721BC"/>
    <w:rsid w:val="00374B30"/>
    <w:rsid w:val="00375C9A"/>
    <w:rsid w:val="00376D3E"/>
    <w:rsid w:val="003775C1"/>
    <w:rsid w:val="003778A9"/>
    <w:rsid w:val="00377B5E"/>
    <w:rsid w:val="00380B47"/>
    <w:rsid w:val="003849B2"/>
    <w:rsid w:val="00387930"/>
    <w:rsid w:val="00387A09"/>
    <w:rsid w:val="00387B42"/>
    <w:rsid w:val="003905EF"/>
    <w:rsid w:val="0039133D"/>
    <w:rsid w:val="00391E8A"/>
    <w:rsid w:val="0039203D"/>
    <w:rsid w:val="00392476"/>
    <w:rsid w:val="00393BA0"/>
    <w:rsid w:val="0039553C"/>
    <w:rsid w:val="00396C5D"/>
    <w:rsid w:val="00396CF4"/>
    <w:rsid w:val="00396F45"/>
    <w:rsid w:val="00397D65"/>
    <w:rsid w:val="003A0A70"/>
    <w:rsid w:val="003A1210"/>
    <w:rsid w:val="003A263E"/>
    <w:rsid w:val="003A36D0"/>
    <w:rsid w:val="003A3E28"/>
    <w:rsid w:val="003A4498"/>
    <w:rsid w:val="003A4813"/>
    <w:rsid w:val="003A568C"/>
    <w:rsid w:val="003A616F"/>
    <w:rsid w:val="003A66BF"/>
    <w:rsid w:val="003B106F"/>
    <w:rsid w:val="003B1245"/>
    <w:rsid w:val="003B3330"/>
    <w:rsid w:val="003B457A"/>
    <w:rsid w:val="003B5A3A"/>
    <w:rsid w:val="003B6237"/>
    <w:rsid w:val="003C017E"/>
    <w:rsid w:val="003C1032"/>
    <w:rsid w:val="003C27E4"/>
    <w:rsid w:val="003C2967"/>
    <w:rsid w:val="003C37D1"/>
    <w:rsid w:val="003C3CAD"/>
    <w:rsid w:val="003C4D97"/>
    <w:rsid w:val="003C501A"/>
    <w:rsid w:val="003C6BA7"/>
    <w:rsid w:val="003C709B"/>
    <w:rsid w:val="003C797E"/>
    <w:rsid w:val="003C7C99"/>
    <w:rsid w:val="003D14A8"/>
    <w:rsid w:val="003D2AA8"/>
    <w:rsid w:val="003D2D38"/>
    <w:rsid w:val="003D38DE"/>
    <w:rsid w:val="003D39C4"/>
    <w:rsid w:val="003D5F62"/>
    <w:rsid w:val="003D64AE"/>
    <w:rsid w:val="003D6C41"/>
    <w:rsid w:val="003E0CBC"/>
    <w:rsid w:val="003E127B"/>
    <w:rsid w:val="003E1D74"/>
    <w:rsid w:val="003E3CFA"/>
    <w:rsid w:val="003E4EAB"/>
    <w:rsid w:val="003E5FB0"/>
    <w:rsid w:val="003E65D9"/>
    <w:rsid w:val="003E696C"/>
    <w:rsid w:val="003E726F"/>
    <w:rsid w:val="003E727C"/>
    <w:rsid w:val="003F0142"/>
    <w:rsid w:val="003F0DC1"/>
    <w:rsid w:val="003F1272"/>
    <w:rsid w:val="003F20D1"/>
    <w:rsid w:val="003F2C6F"/>
    <w:rsid w:val="003F2E0D"/>
    <w:rsid w:val="003F318A"/>
    <w:rsid w:val="003F38F5"/>
    <w:rsid w:val="003F43EB"/>
    <w:rsid w:val="003F44D9"/>
    <w:rsid w:val="003F6F05"/>
    <w:rsid w:val="003F7E3F"/>
    <w:rsid w:val="00401323"/>
    <w:rsid w:val="004018A4"/>
    <w:rsid w:val="00402160"/>
    <w:rsid w:val="00402287"/>
    <w:rsid w:val="00402B10"/>
    <w:rsid w:val="004032FF"/>
    <w:rsid w:val="0040395C"/>
    <w:rsid w:val="00406647"/>
    <w:rsid w:val="004107AC"/>
    <w:rsid w:val="00410B01"/>
    <w:rsid w:val="00411AB4"/>
    <w:rsid w:val="00414886"/>
    <w:rsid w:val="00414AF5"/>
    <w:rsid w:val="00414E9B"/>
    <w:rsid w:val="0041568C"/>
    <w:rsid w:val="004158E6"/>
    <w:rsid w:val="00421E9B"/>
    <w:rsid w:val="0042225B"/>
    <w:rsid w:val="004223B7"/>
    <w:rsid w:val="00423C8C"/>
    <w:rsid w:val="00425036"/>
    <w:rsid w:val="00425D18"/>
    <w:rsid w:val="00426D28"/>
    <w:rsid w:val="00426E11"/>
    <w:rsid w:val="00427278"/>
    <w:rsid w:val="00427C97"/>
    <w:rsid w:val="004301EB"/>
    <w:rsid w:val="00430B1C"/>
    <w:rsid w:val="00431034"/>
    <w:rsid w:val="0043159F"/>
    <w:rsid w:val="004318E7"/>
    <w:rsid w:val="00431F5F"/>
    <w:rsid w:val="00432832"/>
    <w:rsid w:val="00434D22"/>
    <w:rsid w:val="00434DA8"/>
    <w:rsid w:val="0043687D"/>
    <w:rsid w:val="00440813"/>
    <w:rsid w:val="00440BA2"/>
    <w:rsid w:val="00442558"/>
    <w:rsid w:val="00443701"/>
    <w:rsid w:val="0044437F"/>
    <w:rsid w:val="00444C6D"/>
    <w:rsid w:val="00445B88"/>
    <w:rsid w:val="00446691"/>
    <w:rsid w:val="00446701"/>
    <w:rsid w:val="004471F8"/>
    <w:rsid w:val="00450F79"/>
    <w:rsid w:val="00451061"/>
    <w:rsid w:val="00451A91"/>
    <w:rsid w:val="00451D96"/>
    <w:rsid w:val="00452383"/>
    <w:rsid w:val="004530CE"/>
    <w:rsid w:val="00454871"/>
    <w:rsid w:val="00454F38"/>
    <w:rsid w:val="00455F10"/>
    <w:rsid w:val="00460CAD"/>
    <w:rsid w:val="004625BC"/>
    <w:rsid w:val="00464066"/>
    <w:rsid w:val="00464CDE"/>
    <w:rsid w:val="004658F8"/>
    <w:rsid w:val="004660BC"/>
    <w:rsid w:val="00466AFA"/>
    <w:rsid w:val="00471718"/>
    <w:rsid w:val="00471CD3"/>
    <w:rsid w:val="00471CEB"/>
    <w:rsid w:val="004720BB"/>
    <w:rsid w:val="004723BF"/>
    <w:rsid w:val="00481380"/>
    <w:rsid w:val="00481700"/>
    <w:rsid w:val="0048308A"/>
    <w:rsid w:val="00483C33"/>
    <w:rsid w:val="00484994"/>
    <w:rsid w:val="00485E2A"/>
    <w:rsid w:val="004865C7"/>
    <w:rsid w:val="004865E5"/>
    <w:rsid w:val="004901A3"/>
    <w:rsid w:val="00492932"/>
    <w:rsid w:val="00493C88"/>
    <w:rsid w:val="004950D5"/>
    <w:rsid w:val="004975BA"/>
    <w:rsid w:val="00497B08"/>
    <w:rsid w:val="004A0097"/>
    <w:rsid w:val="004A0EDA"/>
    <w:rsid w:val="004A0F5E"/>
    <w:rsid w:val="004A0FF9"/>
    <w:rsid w:val="004A1E32"/>
    <w:rsid w:val="004A23FF"/>
    <w:rsid w:val="004A3D3D"/>
    <w:rsid w:val="004A543C"/>
    <w:rsid w:val="004A672B"/>
    <w:rsid w:val="004A6DB8"/>
    <w:rsid w:val="004A7B1D"/>
    <w:rsid w:val="004B030F"/>
    <w:rsid w:val="004B0D7E"/>
    <w:rsid w:val="004B101E"/>
    <w:rsid w:val="004B1477"/>
    <w:rsid w:val="004B194C"/>
    <w:rsid w:val="004B2265"/>
    <w:rsid w:val="004B22DE"/>
    <w:rsid w:val="004B2E34"/>
    <w:rsid w:val="004B68F5"/>
    <w:rsid w:val="004B7904"/>
    <w:rsid w:val="004C0019"/>
    <w:rsid w:val="004C070D"/>
    <w:rsid w:val="004C0E4F"/>
    <w:rsid w:val="004C12BA"/>
    <w:rsid w:val="004C1757"/>
    <w:rsid w:val="004C23FE"/>
    <w:rsid w:val="004C3A80"/>
    <w:rsid w:val="004C46F3"/>
    <w:rsid w:val="004C4DF5"/>
    <w:rsid w:val="004C582E"/>
    <w:rsid w:val="004C6111"/>
    <w:rsid w:val="004D2FF0"/>
    <w:rsid w:val="004D316E"/>
    <w:rsid w:val="004D3171"/>
    <w:rsid w:val="004D3D4E"/>
    <w:rsid w:val="004D40B5"/>
    <w:rsid w:val="004D51BF"/>
    <w:rsid w:val="004D5D72"/>
    <w:rsid w:val="004D6BE1"/>
    <w:rsid w:val="004D7A9C"/>
    <w:rsid w:val="004D7BA5"/>
    <w:rsid w:val="004E1EA0"/>
    <w:rsid w:val="004E22C7"/>
    <w:rsid w:val="004E3830"/>
    <w:rsid w:val="004E4FDB"/>
    <w:rsid w:val="004E6EA5"/>
    <w:rsid w:val="004E7FD4"/>
    <w:rsid w:val="004F0CDF"/>
    <w:rsid w:val="004F149B"/>
    <w:rsid w:val="004F1C6F"/>
    <w:rsid w:val="004F1EED"/>
    <w:rsid w:val="004F202C"/>
    <w:rsid w:val="004F4B4D"/>
    <w:rsid w:val="004F5109"/>
    <w:rsid w:val="004F5D47"/>
    <w:rsid w:val="004F5EA4"/>
    <w:rsid w:val="004F7A31"/>
    <w:rsid w:val="00501710"/>
    <w:rsid w:val="00501CD2"/>
    <w:rsid w:val="00502859"/>
    <w:rsid w:val="00504B18"/>
    <w:rsid w:val="00504C8D"/>
    <w:rsid w:val="00504CD6"/>
    <w:rsid w:val="00505245"/>
    <w:rsid w:val="00506A85"/>
    <w:rsid w:val="00506E7D"/>
    <w:rsid w:val="0050709E"/>
    <w:rsid w:val="00510E7F"/>
    <w:rsid w:val="005117EA"/>
    <w:rsid w:val="00511877"/>
    <w:rsid w:val="00511EC3"/>
    <w:rsid w:val="00512A2F"/>
    <w:rsid w:val="00513137"/>
    <w:rsid w:val="00513631"/>
    <w:rsid w:val="00517932"/>
    <w:rsid w:val="005202AA"/>
    <w:rsid w:val="005204E6"/>
    <w:rsid w:val="00521411"/>
    <w:rsid w:val="00521B5E"/>
    <w:rsid w:val="00522225"/>
    <w:rsid w:val="005222BD"/>
    <w:rsid w:val="00523C6A"/>
    <w:rsid w:val="005249F7"/>
    <w:rsid w:val="00524C59"/>
    <w:rsid w:val="00524C88"/>
    <w:rsid w:val="00525777"/>
    <w:rsid w:val="0052682C"/>
    <w:rsid w:val="005277D3"/>
    <w:rsid w:val="00527B1D"/>
    <w:rsid w:val="00531921"/>
    <w:rsid w:val="00531F63"/>
    <w:rsid w:val="00533365"/>
    <w:rsid w:val="0053425C"/>
    <w:rsid w:val="005359BA"/>
    <w:rsid w:val="00535D70"/>
    <w:rsid w:val="00537BAE"/>
    <w:rsid w:val="005402F1"/>
    <w:rsid w:val="005428ED"/>
    <w:rsid w:val="00543C9A"/>
    <w:rsid w:val="005454DF"/>
    <w:rsid w:val="00546E77"/>
    <w:rsid w:val="0055096D"/>
    <w:rsid w:val="00551613"/>
    <w:rsid w:val="005526DF"/>
    <w:rsid w:val="00554D73"/>
    <w:rsid w:val="00555D1C"/>
    <w:rsid w:val="00555F9A"/>
    <w:rsid w:val="0055660F"/>
    <w:rsid w:val="00556B8B"/>
    <w:rsid w:val="00557402"/>
    <w:rsid w:val="005579FF"/>
    <w:rsid w:val="005601A7"/>
    <w:rsid w:val="00560A5C"/>
    <w:rsid w:val="0056124F"/>
    <w:rsid w:val="00564CAA"/>
    <w:rsid w:val="00564CE2"/>
    <w:rsid w:val="0056513E"/>
    <w:rsid w:val="00566787"/>
    <w:rsid w:val="00571382"/>
    <w:rsid w:val="00571779"/>
    <w:rsid w:val="00571FEB"/>
    <w:rsid w:val="00573D74"/>
    <w:rsid w:val="005749C1"/>
    <w:rsid w:val="005767FA"/>
    <w:rsid w:val="005776D4"/>
    <w:rsid w:val="00580B33"/>
    <w:rsid w:val="005814B7"/>
    <w:rsid w:val="00581667"/>
    <w:rsid w:val="00583B55"/>
    <w:rsid w:val="00583E3A"/>
    <w:rsid w:val="00584541"/>
    <w:rsid w:val="0058481F"/>
    <w:rsid w:val="0058547F"/>
    <w:rsid w:val="00590AE5"/>
    <w:rsid w:val="00591D82"/>
    <w:rsid w:val="00592098"/>
    <w:rsid w:val="0059353C"/>
    <w:rsid w:val="00593D8A"/>
    <w:rsid w:val="005A1323"/>
    <w:rsid w:val="005A1A86"/>
    <w:rsid w:val="005A1E73"/>
    <w:rsid w:val="005A2B09"/>
    <w:rsid w:val="005A2F42"/>
    <w:rsid w:val="005A3221"/>
    <w:rsid w:val="005A4A79"/>
    <w:rsid w:val="005A5A1F"/>
    <w:rsid w:val="005A63CC"/>
    <w:rsid w:val="005A6658"/>
    <w:rsid w:val="005B0909"/>
    <w:rsid w:val="005B099E"/>
    <w:rsid w:val="005B18A3"/>
    <w:rsid w:val="005B2116"/>
    <w:rsid w:val="005B332B"/>
    <w:rsid w:val="005B48E3"/>
    <w:rsid w:val="005B4925"/>
    <w:rsid w:val="005B4AF2"/>
    <w:rsid w:val="005B5E0B"/>
    <w:rsid w:val="005B650F"/>
    <w:rsid w:val="005B71FD"/>
    <w:rsid w:val="005C1019"/>
    <w:rsid w:val="005C122F"/>
    <w:rsid w:val="005C1EA1"/>
    <w:rsid w:val="005C329C"/>
    <w:rsid w:val="005C3D34"/>
    <w:rsid w:val="005C3E3A"/>
    <w:rsid w:val="005C4ECD"/>
    <w:rsid w:val="005C5CFD"/>
    <w:rsid w:val="005C6522"/>
    <w:rsid w:val="005D186E"/>
    <w:rsid w:val="005D1CB6"/>
    <w:rsid w:val="005D28D8"/>
    <w:rsid w:val="005D3B58"/>
    <w:rsid w:val="005D444A"/>
    <w:rsid w:val="005D4C8F"/>
    <w:rsid w:val="005D64B5"/>
    <w:rsid w:val="005D6536"/>
    <w:rsid w:val="005E3D37"/>
    <w:rsid w:val="005E5744"/>
    <w:rsid w:val="005E6CF4"/>
    <w:rsid w:val="005F0087"/>
    <w:rsid w:val="005F1F72"/>
    <w:rsid w:val="005F25C8"/>
    <w:rsid w:val="005F2B3A"/>
    <w:rsid w:val="005F3D9D"/>
    <w:rsid w:val="005F4250"/>
    <w:rsid w:val="005F5334"/>
    <w:rsid w:val="005F586A"/>
    <w:rsid w:val="005F60C6"/>
    <w:rsid w:val="005F6C33"/>
    <w:rsid w:val="00600ABC"/>
    <w:rsid w:val="00600AF3"/>
    <w:rsid w:val="00604752"/>
    <w:rsid w:val="00605164"/>
    <w:rsid w:val="00605CD0"/>
    <w:rsid w:val="00607220"/>
    <w:rsid w:val="00610138"/>
    <w:rsid w:val="0061381B"/>
    <w:rsid w:val="00615005"/>
    <w:rsid w:val="00615417"/>
    <w:rsid w:val="00616DE4"/>
    <w:rsid w:val="0062037C"/>
    <w:rsid w:val="00620928"/>
    <w:rsid w:val="00620938"/>
    <w:rsid w:val="006217D7"/>
    <w:rsid w:val="006221D9"/>
    <w:rsid w:val="00623011"/>
    <w:rsid w:val="00623FA8"/>
    <w:rsid w:val="00625AC0"/>
    <w:rsid w:val="00625ECE"/>
    <w:rsid w:val="0062715A"/>
    <w:rsid w:val="00627291"/>
    <w:rsid w:val="00631280"/>
    <w:rsid w:val="006339AE"/>
    <w:rsid w:val="00633E37"/>
    <w:rsid w:val="00634E0F"/>
    <w:rsid w:val="006374CD"/>
    <w:rsid w:val="00640B63"/>
    <w:rsid w:val="00640D35"/>
    <w:rsid w:val="00640F4A"/>
    <w:rsid w:val="00641215"/>
    <w:rsid w:val="00641CD0"/>
    <w:rsid w:val="00642D22"/>
    <w:rsid w:val="00642DF7"/>
    <w:rsid w:val="00643C79"/>
    <w:rsid w:val="0064496F"/>
    <w:rsid w:val="006466A2"/>
    <w:rsid w:val="00646FEE"/>
    <w:rsid w:val="00652C2B"/>
    <w:rsid w:val="00653CF6"/>
    <w:rsid w:val="0065435E"/>
    <w:rsid w:val="00654EEC"/>
    <w:rsid w:val="00655705"/>
    <w:rsid w:val="00657FA2"/>
    <w:rsid w:val="0066005E"/>
    <w:rsid w:val="00661DF3"/>
    <w:rsid w:val="00662D5D"/>
    <w:rsid w:val="00663D6B"/>
    <w:rsid w:val="0066436A"/>
    <w:rsid w:val="00670A60"/>
    <w:rsid w:val="00671A70"/>
    <w:rsid w:val="00672582"/>
    <w:rsid w:val="0067503D"/>
    <w:rsid w:val="006801B9"/>
    <w:rsid w:val="0068021E"/>
    <w:rsid w:val="00682F1F"/>
    <w:rsid w:val="00683324"/>
    <w:rsid w:val="006834CB"/>
    <w:rsid w:val="00684FE5"/>
    <w:rsid w:val="00686148"/>
    <w:rsid w:val="006862B1"/>
    <w:rsid w:val="0068647A"/>
    <w:rsid w:val="00686B45"/>
    <w:rsid w:val="00687079"/>
    <w:rsid w:val="00687E10"/>
    <w:rsid w:val="0069002D"/>
    <w:rsid w:val="006908BC"/>
    <w:rsid w:val="006917C4"/>
    <w:rsid w:val="00692FC6"/>
    <w:rsid w:val="00692FF7"/>
    <w:rsid w:val="00693CF3"/>
    <w:rsid w:val="006941A0"/>
    <w:rsid w:val="00694F98"/>
    <w:rsid w:val="0069518A"/>
    <w:rsid w:val="00696743"/>
    <w:rsid w:val="006A0574"/>
    <w:rsid w:val="006A3386"/>
    <w:rsid w:val="006A46E5"/>
    <w:rsid w:val="006A47AD"/>
    <w:rsid w:val="006A54B9"/>
    <w:rsid w:val="006B022F"/>
    <w:rsid w:val="006B091C"/>
    <w:rsid w:val="006B1648"/>
    <w:rsid w:val="006B2272"/>
    <w:rsid w:val="006B2FCC"/>
    <w:rsid w:val="006B37B5"/>
    <w:rsid w:val="006B58DE"/>
    <w:rsid w:val="006B6D85"/>
    <w:rsid w:val="006B6EE7"/>
    <w:rsid w:val="006B7946"/>
    <w:rsid w:val="006B7E96"/>
    <w:rsid w:val="006C065C"/>
    <w:rsid w:val="006C20FD"/>
    <w:rsid w:val="006C2429"/>
    <w:rsid w:val="006C37A1"/>
    <w:rsid w:val="006C387D"/>
    <w:rsid w:val="006C66B7"/>
    <w:rsid w:val="006C7EBF"/>
    <w:rsid w:val="006D29F5"/>
    <w:rsid w:val="006D2F08"/>
    <w:rsid w:val="006D3D3C"/>
    <w:rsid w:val="006D5469"/>
    <w:rsid w:val="006D70AE"/>
    <w:rsid w:val="006D7956"/>
    <w:rsid w:val="006D7F02"/>
    <w:rsid w:val="006E0AD6"/>
    <w:rsid w:val="006E2286"/>
    <w:rsid w:val="006E68F9"/>
    <w:rsid w:val="006E6CDF"/>
    <w:rsid w:val="006E71B3"/>
    <w:rsid w:val="006E7E37"/>
    <w:rsid w:val="006F04EE"/>
    <w:rsid w:val="006F0524"/>
    <w:rsid w:val="006F1050"/>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6868"/>
    <w:rsid w:val="00707920"/>
    <w:rsid w:val="00707F17"/>
    <w:rsid w:val="00710FBC"/>
    <w:rsid w:val="00711B7F"/>
    <w:rsid w:val="00711DCC"/>
    <w:rsid w:val="00711FF8"/>
    <w:rsid w:val="0071481E"/>
    <w:rsid w:val="00714DB4"/>
    <w:rsid w:val="0071655A"/>
    <w:rsid w:val="0072000E"/>
    <w:rsid w:val="00720051"/>
    <w:rsid w:val="00720658"/>
    <w:rsid w:val="0072112F"/>
    <w:rsid w:val="007212E3"/>
    <w:rsid w:val="00721CC7"/>
    <w:rsid w:val="00723A99"/>
    <w:rsid w:val="00723C67"/>
    <w:rsid w:val="0072588F"/>
    <w:rsid w:val="0073124E"/>
    <w:rsid w:val="00731762"/>
    <w:rsid w:val="0073192D"/>
    <w:rsid w:val="00731A17"/>
    <w:rsid w:val="00731B0D"/>
    <w:rsid w:val="007325E9"/>
    <w:rsid w:val="00732F50"/>
    <w:rsid w:val="007345E0"/>
    <w:rsid w:val="00734A25"/>
    <w:rsid w:val="007350E0"/>
    <w:rsid w:val="00736743"/>
    <w:rsid w:val="00736F5B"/>
    <w:rsid w:val="0073704A"/>
    <w:rsid w:val="00737389"/>
    <w:rsid w:val="00741456"/>
    <w:rsid w:val="00742B73"/>
    <w:rsid w:val="00742C49"/>
    <w:rsid w:val="00742D1B"/>
    <w:rsid w:val="00742D40"/>
    <w:rsid w:val="007438B6"/>
    <w:rsid w:val="0074408F"/>
    <w:rsid w:val="00744CA8"/>
    <w:rsid w:val="00744DEE"/>
    <w:rsid w:val="00746507"/>
    <w:rsid w:val="007473EC"/>
    <w:rsid w:val="00747A8F"/>
    <w:rsid w:val="00747EB3"/>
    <w:rsid w:val="007505AF"/>
    <w:rsid w:val="00750B8A"/>
    <w:rsid w:val="00750EC5"/>
    <w:rsid w:val="00751C3D"/>
    <w:rsid w:val="00754B12"/>
    <w:rsid w:val="007559C0"/>
    <w:rsid w:val="00755EFB"/>
    <w:rsid w:val="00756756"/>
    <w:rsid w:val="00756E31"/>
    <w:rsid w:val="00757C66"/>
    <w:rsid w:val="0076119B"/>
    <w:rsid w:val="007617C7"/>
    <w:rsid w:val="007619E1"/>
    <w:rsid w:val="00762681"/>
    <w:rsid w:val="00763032"/>
    <w:rsid w:val="0076338B"/>
    <w:rsid w:val="00763C70"/>
    <w:rsid w:val="00765C49"/>
    <w:rsid w:val="00767BE1"/>
    <w:rsid w:val="00773FFE"/>
    <w:rsid w:val="00775EA3"/>
    <w:rsid w:val="00776DDD"/>
    <w:rsid w:val="00777B44"/>
    <w:rsid w:val="00777D5B"/>
    <w:rsid w:val="00782CC2"/>
    <w:rsid w:val="00783959"/>
    <w:rsid w:val="00785B67"/>
    <w:rsid w:val="007864A7"/>
    <w:rsid w:val="007866EA"/>
    <w:rsid w:val="00786B7D"/>
    <w:rsid w:val="00787341"/>
    <w:rsid w:val="00787626"/>
    <w:rsid w:val="0079051A"/>
    <w:rsid w:val="007909E1"/>
    <w:rsid w:val="007917DD"/>
    <w:rsid w:val="00793DA7"/>
    <w:rsid w:val="0079422F"/>
    <w:rsid w:val="00794F85"/>
    <w:rsid w:val="00794FC9"/>
    <w:rsid w:val="007960F5"/>
    <w:rsid w:val="007973A3"/>
    <w:rsid w:val="007977D0"/>
    <w:rsid w:val="007A0C62"/>
    <w:rsid w:val="007A14F2"/>
    <w:rsid w:val="007A6C7A"/>
    <w:rsid w:val="007A6C7F"/>
    <w:rsid w:val="007B07C2"/>
    <w:rsid w:val="007B1421"/>
    <w:rsid w:val="007B2A1F"/>
    <w:rsid w:val="007B2C4C"/>
    <w:rsid w:val="007B3AC5"/>
    <w:rsid w:val="007B482D"/>
    <w:rsid w:val="007B4929"/>
    <w:rsid w:val="007B4EC2"/>
    <w:rsid w:val="007B5995"/>
    <w:rsid w:val="007B5A31"/>
    <w:rsid w:val="007C166F"/>
    <w:rsid w:val="007C4592"/>
    <w:rsid w:val="007C4EBB"/>
    <w:rsid w:val="007C5D60"/>
    <w:rsid w:val="007C7071"/>
    <w:rsid w:val="007C75B7"/>
    <w:rsid w:val="007C7924"/>
    <w:rsid w:val="007D0938"/>
    <w:rsid w:val="007D0F26"/>
    <w:rsid w:val="007D1E1B"/>
    <w:rsid w:val="007D22FE"/>
    <w:rsid w:val="007D51B6"/>
    <w:rsid w:val="007D5781"/>
    <w:rsid w:val="007D6488"/>
    <w:rsid w:val="007D64EC"/>
    <w:rsid w:val="007D64ED"/>
    <w:rsid w:val="007D68EB"/>
    <w:rsid w:val="007D75B9"/>
    <w:rsid w:val="007E019F"/>
    <w:rsid w:val="007E03E1"/>
    <w:rsid w:val="007E112A"/>
    <w:rsid w:val="007E6E97"/>
    <w:rsid w:val="007E7555"/>
    <w:rsid w:val="007F03CD"/>
    <w:rsid w:val="007F0C57"/>
    <w:rsid w:val="007F252F"/>
    <w:rsid w:val="007F379C"/>
    <w:rsid w:val="007F3CD0"/>
    <w:rsid w:val="007F4B21"/>
    <w:rsid w:val="007F54D9"/>
    <w:rsid w:val="00800787"/>
    <w:rsid w:val="00801C91"/>
    <w:rsid w:val="00802C86"/>
    <w:rsid w:val="00804B71"/>
    <w:rsid w:val="008051D7"/>
    <w:rsid w:val="00805745"/>
    <w:rsid w:val="008061A6"/>
    <w:rsid w:val="0080670D"/>
    <w:rsid w:val="008067B1"/>
    <w:rsid w:val="00806EAC"/>
    <w:rsid w:val="008072E7"/>
    <w:rsid w:val="008076CE"/>
    <w:rsid w:val="00807E34"/>
    <w:rsid w:val="00807EE4"/>
    <w:rsid w:val="008111D1"/>
    <w:rsid w:val="00814D10"/>
    <w:rsid w:val="00817051"/>
    <w:rsid w:val="00817A5C"/>
    <w:rsid w:val="00820DC4"/>
    <w:rsid w:val="008219D3"/>
    <w:rsid w:val="00822337"/>
    <w:rsid w:val="0082290F"/>
    <w:rsid w:val="00823288"/>
    <w:rsid w:val="00823644"/>
    <w:rsid w:val="00823AD9"/>
    <w:rsid w:val="00825FAF"/>
    <w:rsid w:val="00826527"/>
    <w:rsid w:val="00827F9C"/>
    <w:rsid w:val="00830200"/>
    <w:rsid w:val="00830B82"/>
    <w:rsid w:val="0083186B"/>
    <w:rsid w:val="00832B4F"/>
    <w:rsid w:val="00832B5C"/>
    <w:rsid w:val="00833A74"/>
    <w:rsid w:val="00833E3B"/>
    <w:rsid w:val="00835131"/>
    <w:rsid w:val="008357E7"/>
    <w:rsid w:val="00835922"/>
    <w:rsid w:val="008362A2"/>
    <w:rsid w:val="00842D14"/>
    <w:rsid w:val="00844411"/>
    <w:rsid w:val="0084681F"/>
    <w:rsid w:val="0084703A"/>
    <w:rsid w:val="0085255B"/>
    <w:rsid w:val="00853484"/>
    <w:rsid w:val="00854937"/>
    <w:rsid w:val="00855326"/>
    <w:rsid w:val="00856627"/>
    <w:rsid w:val="00856D6D"/>
    <w:rsid w:val="0085715B"/>
    <w:rsid w:val="00857C91"/>
    <w:rsid w:val="00857D1F"/>
    <w:rsid w:val="00860775"/>
    <w:rsid w:val="00861089"/>
    <w:rsid w:val="00861CFB"/>
    <w:rsid w:val="008634D1"/>
    <w:rsid w:val="00864F7F"/>
    <w:rsid w:val="00865653"/>
    <w:rsid w:val="00867A41"/>
    <w:rsid w:val="00871DB9"/>
    <w:rsid w:val="008722BC"/>
    <w:rsid w:val="0087255D"/>
    <w:rsid w:val="0087390F"/>
    <w:rsid w:val="008801CF"/>
    <w:rsid w:val="00881C2B"/>
    <w:rsid w:val="00881C3E"/>
    <w:rsid w:val="00885546"/>
    <w:rsid w:val="0088558F"/>
    <w:rsid w:val="00885E7B"/>
    <w:rsid w:val="00886F1B"/>
    <w:rsid w:val="00887780"/>
    <w:rsid w:val="00891558"/>
    <w:rsid w:val="00892003"/>
    <w:rsid w:val="00892B5A"/>
    <w:rsid w:val="00892E54"/>
    <w:rsid w:val="00893130"/>
    <w:rsid w:val="00893D88"/>
    <w:rsid w:val="00894E7C"/>
    <w:rsid w:val="008966EA"/>
    <w:rsid w:val="008A000E"/>
    <w:rsid w:val="008A04E2"/>
    <w:rsid w:val="008A2064"/>
    <w:rsid w:val="008A2348"/>
    <w:rsid w:val="008A2FD4"/>
    <w:rsid w:val="008A3A19"/>
    <w:rsid w:val="008A4435"/>
    <w:rsid w:val="008A5277"/>
    <w:rsid w:val="008A5A2D"/>
    <w:rsid w:val="008A671C"/>
    <w:rsid w:val="008A6D6F"/>
    <w:rsid w:val="008B0405"/>
    <w:rsid w:val="008B0DBF"/>
    <w:rsid w:val="008B24EC"/>
    <w:rsid w:val="008B283F"/>
    <w:rsid w:val="008B7C4F"/>
    <w:rsid w:val="008B7D59"/>
    <w:rsid w:val="008C0D59"/>
    <w:rsid w:val="008C16FA"/>
    <w:rsid w:val="008C1AC1"/>
    <w:rsid w:val="008C25FD"/>
    <w:rsid w:val="008C2D6A"/>
    <w:rsid w:val="008C69A6"/>
    <w:rsid w:val="008C6A3C"/>
    <w:rsid w:val="008C7539"/>
    <w:rsid w:val="008C764E"/>
    <w:rsid w:val="008D0183"/>
    <w:rsid w:val="008D15F1"/>
    <w:rsid w:val="008D1A6D"/>
    <w:rsid w:val="008D1F5B"/>
    <w:rsid w:val="008D27FB"/>
    <w:rsid w:val="008D43C8"/>
    <w:rsid w:val="008D49F2"/>
    <w:rsid w:val="008D5C86"/>
    <w:rsid w:val="008D71C0"/>
    <w:rsid w:val="008D748B"/>
    <w:rsid w:val="008E0BC7"/>
    <w:rsid w:val="008E1F2E"/>
    <w:rsid w:val="008E25F3"/>
    <w:rsid w:val="008E2D40"/>
    <w:rsid w:val="008E34EE"/>
    <w:rsid w:val="008E453F"/>
    <w:rsid w:val="008E5A51"/>
    <w:rsid w:val="008E7E61"/>
    <w:rsid w:val="008F0098"/>
    <w:rsid w:val="008F010F"/>
    <w:rsid w:val="008F0BB7"/>
    <w:rsid w:val="008F0BE4"/>
    <w:rsid w:val="008F10E9"/>
    <w:rsid w:val="008F2CC4"/>
    <w:rsid w:val="008F5B16"/>
    <w:rsid w:val="008F5E34"/>
    <w:rsid w:val="008F7281"/>
    <w:rsid w:val="008F7468"/>
    <w:rsid w:val="00900CC1"/>
    <w:rsid w:val="009020A2"/>
    <w:rsid w:val="00903B51"/>
    <w:rsid w:val="00904C8C"/>
    <w:rsid w:val="0090593F"/>
    <w:rsid w:val="00905AE7"/>
    <w:rsid w:val="009071CF"/>
    <w:rsid w:val="009077DC"/>
    <w:rsid w:val="00907C79"/>
    <w:rsid w:val="00907EE3"/>
    <w:rsid w:val="00910A50"/>
    <w:rsid w:val="00910D69"/>
    <w:rsid w:val="00910E7B"/>
    <w:rsid w:val="009111F5"/>
    <w:rsid w:val="009119AC"/>
    <w:rsid w:val="0091257C"/>
    <w:rsid w:val="00912E3C"/>
    <w:rsid w:val="00915A6F"/>
    <w:rsid w:val="009164EB"/>
    <w:rsid w:val="009175B5"/>
    <w:rsid w:val="0091764C"/>
    <w:rsid w:val="00917AD8"/>
    <w:rsid w:val="00917BCC"/>
    <w:rsid w:val="00917E3A"/>
    <w:rsid w:val="00920C87"/>
    <w:rsid w:val="009210BB"/>
    <w:rsid w:val="0092699E"/>
    <w:rsid w:val="00926B88"/>
    <w:rsid w:val="0093055C"/>
    <w:rsid w:val="00930DDD"/>
    <w:rsid w:val="00931B9E"/>
    <w:rsid w:val="00934A43"/>
    <w:rsid w:val="009353D5"/>
    <w:rsid w:val="00937DB0"/>
    <w:rsid w:val="009420B1"/>
    <w:rsid w:val="00942F68"/>
    <w:rsid w:val="009441FE"/>
    <w:rsid w:val="00944977"/>
    <w:rsid w:val="00945DEA"/>
    <w:rsid w:val="00946B83"/>
    <w:rsid w:val="0094786F"/>
    <w:rsid w:val="0095049C"/>
    <w:rsid w:val="00951451"/>
    <w:rsid w:val="009518EB"/>
    <w:rsid w:val="00953FA6"/>
    <w:rsid w:val="009544F4"/>
    <w:rsid w:val="00954BB5"/>
    <w:rsid w:val="00956581"/>
    <w:rsid w:val="00960A43"/>
    <w:rsid w:val="00961B74"/>
    <w:rsid w:val="00961D75"/>
    <w:rsid w:val="00965E59"/>
    <w:rsid w:val="0096662B"/>
    <w:rsid w:val="00966F53"/>
    <w:rsid w:val="0096758A"/>
    <w:rsid w:val="00971D5E"/>
    <w:rsid w:val="00972EE0"/>
    <w:rsid w:val="00973054"/>
    <w:rsid w:val="00974E13"/>
    <w:rsid w:val="00975C4C"/>
    <w:rsid w:val="009764FF"/>
    <w:rsid w:val="00980023"/>
    <w:rsid w:val="00981629"/>
    <w:rsid w:val="00982481"/>
    <w:rsid w:val="00982D7B"/>
    <w:rsid w:val="00983F52"/>
    <w:rsid w:val="00985C06"/>
    <w:rsid w:val="00986708"/>
    <w:rsid w:val="0099116A"/>
    <w:rsid w:val="009917C7"/>
    <w:rsid w:val="00992690"/>
    <w:rsid w:val="00992BDD"/>
    <w:rsid w:val="00993332"/>
    <w:rsid w:val="00994A50"/>
    <w:rsid w:val="0099611D"/>
    <w:rsid w:val="009973B9"/>
    <w:rsid w:val="009A0FA5"/>
    <w:rsid w:val="009A13C0"/>
    <w:rsid w:val="009A355A"/>
    <w:rsid w:val="009A37A0"/>
    <w:rsid w:val="009A3A46"/>
    <w:rsid w:val="009A4EB1"/>
    <w:rsid w:val="009A5429"/>
    <w:rsid w:val="009A55D0"/>
    <w:rsid w:val="009A572A"/>
    <w:rsid w:val="009A6C30"/>
    <w:rsid w:val="009A75A4"/>
    <w:rsid w:val="009A776E"/>
    <w:rsid w:val="009A7918"/>
    <w:rsid w:val="009B13B2"/>
    <w:rsid w:val="009B15B7"/>
    <w:rsid w:val="009B2080"/>
    <w:rsid w:val="009B2C8C"/>
    <w:rsid w:val="009B70EA"/>
    <w:rsid w:val="009B727A"/>
    <w:rsid w:val="009B7618"/>
    <w:rsid w:val="009C03E9"/>
    <w:rsid w:val="009C0C09"/>
    <w:rsid w:val="009C0CF7"/>
    <w:rsid w:val="009C23A4"/>
    <w:rsid w:val="009C2DCB"/>
    <w:rsid w:val="009C3AB3"/>
    <w:rsid w:val="009C68FE"/>
    <w:rsid w:val="009D2D51"/>
    <w:rsid w:val="009D3AE7"/>
    <w:rsid w:val="009D7C28"/>
    <w:rsid w:val="009E0F1C"/>
    <w:rsid w:val="009E2C90"/>
    <w:rsid w:val="009E317D"/>
    <w:rsid w:val="009E364D"/>
    <w:rsid w:val="009E4DBD"/>
    <w:rsid w:val="009E5B18"/>
    <w:rsid w:val="009E6F49"/>
    <w:rsid w:val="009F1C38"/>
    <w:rsid w:val="009F22D6"/>
    <w:rsid w:val="009F3E45"/>
    <w:rsid w:val="009F4F91"/>
    <w:rsid w:val="009F5247"/>
    <w:rsid w:val="009F638E"/>
    <w:rsid w:val="009F7EC0"/>
    <w:rsid w:val="00A02773"/>
    <w:rsid w:val="00A04B22"/>
    <w:rsid w:val="00A061F4"/>
    <w:rsid w:val="00A067E5"/>
    <w:rsid w:val="00A0698B"/>
    <w:rsid w:val="00A11EE4"/>
    <w:rsid w:val="00A127E8"/>
    <w:rsid w:val="00A12CD4"/>
    <w:rsid w:val="00A14308"/>
    <w:rsid w:val="00A155F9"/>
    <w:rsid w:val="00A15671"/>
    <w:rsid w:val="00A17D80"/>
    <w:rsid w:val="00A21D11"/>
    <w:rsid w:val="00A22C54"/>
    <w:rsid w:val="00A2358D"/>
    <w:rsid w:val="00A24489"/>
    <w:rsid w:val="00A2537F"/>
    <w:rsid w:val="00A25714"/>
    <w:rsid w:val="00A25FB6"/>
    <w:rsid w:val="00A269E0"/>
    <w:rsid w:val="00A27E25"/>
    <w:rsid w:val="00A30630"/>
    <w:rsid w:val="00A30C64"/>
    <w:rsid w:val="00A330B6"/>
    <w:rsid w:val="00A33A91"/>
    <w:rsid w:val="00A35883"/>
    <w:rsid w:val="00A36900"/>
    <w:rsid w:val="00A40006"/>
    <w:rsid w:val="00A40330"/>
    <w:rsid w:val="00A4179A"/>
    <w:rsid w:val="00A43413"/>
    <w:rsid w:val="00A4496C"/>
    <w:rsid w:val="00A46078"/>
    <w:rsid w:val="00A511E0"/>
    <w:rsid w:val="00A5350D"/>
    <w:rsid w:val="00A53753"/>
    <w:rsid w:val="00A5382C"/>
    <w:rsid w:val="00A54C84"/>
    <w:rsid w:val="00A56DBD"/>
    <w:rsid w:val="00A642E6"/>
    <w:rsid w:val="00A646F1"/>
    <w:rsid w:val="00A650C2"/>
    <w:rsid w:val="00A65340"/>
    <w:rsid w:val="00A65537"/>
    <w:rsid w:val="00A66CB3"/>
    <w:rsid w:val="00A70289"/>
    <w:rsid w:val="00A710F1"/>
    <w:rsid w:val="00A75BA6"/>
    <w:rsid w:val="00A76F90"/>
    <w:rsid w:val="00A775C0"/>
    <w:rsid w:val="00A77769"/>
    <w:rsid w:val="00A81AD2"/>
    <w:rsid w:val="00A82939"/>
    <w:rsid w:val="00A82BD5"/>
    <w:rsid w:val="00A83C94"/>
    <w:rsid w:val="00A84898"/>
    <w:rsid w:val="00A853A8"/>
    <w:rsid w:val="00A853EE"/>
    <w:rsid w:val="00A86463"/>
    <w:rsid w:val="00A86917"/>
    <w:rsid w:val="00A870BF"/>
    <w:rsid w:val="00A877A0"/>
    <w:rsid w:val="00A87F32"/>
    <w:rsid w:val="00A90E17"/>
    <w:rsid w:val="00A911EA"/>
    <w:rsid w:val="00A9124C"/>
    <w:rsid w:val="00A92EC1"/>
    <w:rsid w:val="00A94211"/>
    <w:rsid w:val="00A94B98"/>
    <w:rsid w:val="00A9514B"/>
    <w:rsid w:val="00A95593"/>
    <w:rsid w:val="00A95BE1"/>
    <w:rsid w:val="00A95C95"/>
    <w:rsid w:val="00A96768"/>
    <w:rsid w:val="00A96B17"/>
    <w:rsid w:val="00AA32BD"/>
    <w:rsid w:val="00AA4BDB"/>
    <w:rsid w:val="00AA4F1D"/>
    <w:rsid w:val="00AA5876"/>
    <w:rsid w:val="00AA68B4"/>
    <w:rsid w:val="00AB07F0"/>
    <w:rsid w:val="00AB34AE"/>
    <w:rsid w:val="00AB447D"/>
    <w:rsid w:val="00AB5A0D"/>
    <w:rsid w:val="00AC195E"/>
    <w:rsid w:val="00AC1B63"/>
    <w:rsid w:val="00AC1D35"/>
    <w:rsid w:val="00AC21A3"/>
    <w:rsid w:val="00AC2EA9"/>
    <w:rsid w:val="00AC3430"/>
    <w:rsid w:val="00AC41BB"/>
    <w:rsid w:val="00AC53DF"/>
    <w:rsid w:val="00AC7A12"/>
    <w:rsid w:val="00AC7EA2"/>
    <w:rsid w:val="00AD15F9"/>
    <w:rsid w:val="00AD2811"/>
    <w:rsid w:val="00AD2DBD"/>
    <w:rsid w:val="00AD364C"/>
    <w:rsid w:val="00AD3C4A"/>
    <w:rsid w:val="00AD4F5A"/>
    <w:rsid w:val="00AD659C"/>
    <w:rsid w:val="00AE00FF"/>
    <w:rsid w:val="00AE01F1"/>
    <w:rsid w:val="00AE1F96"/>
    <w:rsid w:val="00AE4D35"/>
    <w:rsid w:val="00AE51B3"/>
    <w:rsid w:val="00AE577A"/>
    <w:rsid w:val="00AE606E"/>
    <w:rsid w:val="00AE7C5D"/>
    <w:rsid w:val="00AE7F6F"/>
    <w:rsid w:val="00AF0B46"/>
    <w:rsid w:val="00AF23B9"/>
    <w:rsid w:val="00AF3614"/>
    <w:rsid w:val="00AF4B3A"/>
    <w:rsid w:val="00AF4DC2"/>
    <w:rsid w:val="00AF5622"/>
    <w:rsid w:val="00AF584C"/>
    <w:rsid w:val="00AF591A"/>
    <w:rsid w:val="00AF59CA"/>
    <w:rsid w:val="00AF5EE6"/>
    <w:rsid w:val="00AF69FC"/>
    <w:rsid w:val="00AF6B03"/>
    <w:rsid w:val="00AF7620"/>
    <w:rsid w:val="00B006D3"/>
    <w:rsid w:val="00B027D1"/>
    <w:rsid w:val="00B03C6B"/>
    <w:rsid w:val="00B040C0"/>
    <w:rsid w:val="00B058FC"/>
    <w:rsid w:val="00B05A41"/>
    <w:rsid w:val="00B06005"/>
    <w:rsid w:val="00B1041B"/>
    <w:rsid w:val="00B106C4"/>
    <w:rsid w:val="00B10C7A"/>
    <w:rsid w:val="00B12B53"/>
    <w:rsid w:val="00B12B90"/>
    <w:rsid w:val="00B14904"/>
    <w:rsid w:val="00B15B86"/>
    <w:rsid w:val="00B17526"/>
    <w:rsid w:val="00B20292"/>
    <w:rsid w:val="00B20A18"/>
    <w:rsid w:val="00B2367A"/>
    <w:rsid w:val="00B23F14"/>
    <w:rsid w:val="00B25059"/>
    <w:rsid w:val="00B26266"/>
    <w:rsid w:val="00B267BE"/>
    <w:rsid w:val="00B31321"/>
    <w:rsid w:val="00B324A6"/>
    <w:rsid w:val="00B3372D"/>
    <w:rsid w:val="00B345E7"/>
    <w:rsid w:val="00B347FE"/>
    <w:rsid w:val="00B36CE6"/>
    <w:rsid w:val="00B36E9D"/>
    <w:rsid w:val="00B3778C"/>
    <w:rsid w:val="00B4066A"/>
    <w:rsid w:val="00B40EA8"/>
    <w:rsid w:val="00B416AA"/>
    <w:rsid w:val="00B41B7D"/>
    <w:rsid w:val="00B43639"/>
    <w:rsid w:val="00B443A5"/>
    <w:rsid w:val="00B44973"/>
    <w:rsid w:val="00B45725"/>
    <w:rsid w:val="00B45CC8"/>
    <w:rsid w:val="00B471EC"/>
    <w:rsid w:val="00B516D6"/>
    <w:rsid w:val="00B5245F"/>
    <w:rsid w:val="00B537D4"/>
    <w:rsid w:val="00B54960"/>
    <w:rsid w:val="00B565E6"/>
    <w:rsid w:val="00B57DB6"/>
    <w:rsid w:val="00B605A5"/>
    <w:rsid w:val="00B60642"/>
    <w:rsid w:val="00B6175C"/>
    <w:rsid w:val="00B624EE"/>
    <w:rsid w:val="00B6330E"/>
    <w:rsid w:val="00B65AEB"/>
    <w:rsid w:val="00B65D31"/>
    <w:rsid w:val="00B67A5D"/>
    <w:rsid w:val="00B67B89"/>
    <w:rsid w:val="00B72088"/>
    <w:rsid w:val="00B736D1"/>
    <w:rsid w:val="00B73D91"/>
    <w:rsid w:val="00B7672E"/>
    <w:rsid w:val="00B773FE"/>
    <w:rsid w:val="00B7791A"/>
    <w:rsid w:val="00B77C54"/>
    <w:rsid w:val="00B8023E"/>
    <w:rsid w:val="00B810CD"/>
    <w:rsid w:val="00B823D0"/>
    <w:rsid w:val="00B82C06"/>
    <w:rsid w:val="00B84660"/>
    <w:rsid w:val="00B848F6"/>
    <w:rsid w:val="00B849C8"/>
    <w:rsid w:val="00B85A9B"/>
    <w:rsid w:val="00B8697C"/>
    <w:rsid w:val="00B9125C"/>
    <w:rsid w:val="00B92E47"/>
    <w:rsid w:val="00B9594E"/>
    <w:rsid w:val="00B96496"/>
    <w:rsid w:val="00B96541"/>
    <w:rsid w:val="00B96781"/>
    <w:rsid w:val="00B96AFF"/>
    <w:rsid w:val="00B97E75"/>
    <w:rsid w:val="00BA097E"/>
    <w:rsid w:val="00BA0F6A"/>
    <w:rsid w:val="00BA763A"/>
    <w:rsid w:val="00BB1EA1"/>
    <w:rsid w:val="00BB485D"/>
    <w:rsid w:val="00BB490D"/>
    <w:rsid w:val="00BB6D7F"/>
    <w:rsid w:val="00BC04EA"/>
    <w:rsid w:val="00BC0632"/>
    <w:rsid w:val="00BC1A52"/>
    <w:rsid w:val="00BC417D"/>
    <w:rsid w:val="00BC653C"/>
    <w:rsid w:val="00BC7B6D"/>
    <w:rsid w:val="00BD0277"/>
    <w:rsid w:val="00BD124E"/>
    <w:rsid w:val="00BD30B0"/>
    <w:rsid w:val="00BD3FC3"/>
    <w:rsid w:val="00BD5D6A"/>
    <w:rsid w:val="00BD5FBE"/>
    <w:rsid w:val="00BD6012"/>
    <w:rsid w:val="00BD7643"/>
    <w:rsid w:val="00BD7CCF"/>
    <w:rsid w:val="00BE1028"/>
    <w:rsid w:val="00BE15CD"/>
    <w:rsid w:val="00BE292A"/>
    <w:rsid w:val="00BE3D26"/>
    <w:rsid w:val="00BE5B63"/>
    <w:rsid w:val="00BE617D"/>
    <w:rsid w:val="00BE6CDD"/>
    <w:rsid w:val="00BE7173"/>
    <w:rsid w:val="00BF034F"/>
    <w:rsid w:val="00BF0BC3"/>
    <w:rsid w:val="00BF1D3E"/>
    <w:rsid w:val="00BF612C"/>
    <w:rsid w:val="00BF7DBC"/>
    <w:rsid w:val="00C0152B"/>
    <w:rsid w:val="00C0218C"/>
    <w:rsid w:val="00C03999"/>
    <w:rsid w:val="00C04190"/>
    <w:rsid w:val="00C06C30"/>
    <w:rsid w:val="00C074EB"/>
    <w:rsid w:val="00C07985"/>
    <w:rsid w:val="00C07DAF"/>
    <w:rsid w:val="00C07F53"/>
    <w:rsid w:val="00C10DE8"/>
    <w:rsid w:val="00C11C6E"/>
    <w:rsid w:val="00C11F70"/>
    <w:rsid w:val="00C1240F"/>
    <w:rsid w:val="00C166CD"/>
    <w:rsid w:val="00C16D2F"/>
    <w:rsid w:val="00C17411"/>
    <w:rsid w:val="00C20235"/>
    <w:rsid w:val="00C21B1E"/>
    <w:rsid w:val="00C22BD2"/>
    <w:rsid w:val="00C243A2"/>
    <w:rsid w:val="00C26985"/>
    <w:rsid w:val="00C26A2D"/>
    <w:rsid w:val="00C27623"/>
    <w:rsid w:val="00C3147A"/>
    <w:rsid w:val="00C316E5"/>
    <w:rsid w:val="00C31EEF"/>
    <w:rsid w:val="00C32B29"/>
    <w:rsid w:val="00C33E0E"/>
    <w:rsid w:val="00C35350"/>
    <w:rsid w:val="00C35AD9"/>
    <w:rsid w:val="00C3660B"/>
    <w:rsid w:val="00C36E94"/>
    <w:rsid w:val="00C372A6"/>
    <w:rsid w:val="00C40F67"/>
    <w:rsid w:val="00C42B59"/>
    <w:rsid w:val="00C44636"/>
    <w:rsid w:val="00C5262C"/>
    <w:rsid w:val="00C53217"/>
    <w:rsid w:val="00C53AEE"/>
    <w:rsid w:val="00C54C02"/>
    <w:rsid w:val="00C55CA1"/>
    <w:rsid w:val="00C572E0"/>
    <w:rsid w:val="00C57303"/>
    <w:rsid w:val="00C57648"/>
    <w:rsid w:val="00C604AB"/>
    <w:rsid w:val="00C60B50"/>
    <w:rsid w:val="00C61559"/>
    <w:rsid w:val="00C61607"/>
    <w:rsid w:val="00C61D30"/>
    <w:rsid w:val="00C63136"/>
    <w:rsid w:val="00C63B5E"/>
    <w:rsid w:val="00C65644"/>
    <w:rsid w:val="00C659D1"/>
    <w:rsid w:val="00C662A1"/>
    <w:rsid w:val="00C6739D"/>
    <w:rsid w:val="00C7057E"/>
    <w:rsid w:val="00C70983"/>
    <w:rsid w:val="00C729CD"/>
    <w:rsid w:val="00C72FA3"/>
    <w:rsid w:val="00C7360C"/>
    <w:rsid w:val="00C7592B"/>
    <w:rsid w:val="00C8163F"/>
    <w:rsid w:val="00C81C24"/>
    <w:rsid w:val="00C82299"/>
    <w:rsid w:val="00C83BBD"/>
    <w:rsid w:val="00C8425A"/>
    <w:rsid w:val="00C84671"/>
    <w:rsid w:val="00C86257"/>
    <w:rsid w:val="00C8754F"/>
    <w:rsid w:val="00C908F5"/>
    <w:rsid w:val="00C91EE6"/>
    <w:rsid w:val="00C92C7D"/>
    <w:rsid w:val="00C934CE"/>
    <w:rsid w:val="00CA0FC8"/>
    <w:rsid w:val="00CA18A3"/>
    <w:rsid w:val="00CA1A10"/>
    <w:rsid w:val="00CA1CE6"/>
    <w:rsid w:val="00CA5BE7"/>
    <w:rsid w:val="00CA6047"/>
    <w:rsid w:val="00CA613F"/>
    <w:rsid w:val="00CA6F7F"/>
    <w:rsid w:val="00CA7574"/>
    <w:rsid w:val="00CB17FC"/>
    <w:rsid w:val="00CB3521"/>
    <w:rsid w:val="00CB3B80"/>
    <w:rsid w:val="00CB43BB"/>
    <w:rsid w:val="00CB481A"/>
    <w:rsid w:val="00CB512D"/>
    <w:rsid w:val="00CB5F39"/>
    <w:rsid w:val="00CB6CC1"/>
    <w:rsid w:val="00CB7813"/>
    <w:rsid w:val="00CC01DB"/>
    <w:rsid w:val="00CC0259"/>
    <w:rsid w:val="00CC10B7"/>
    <w:rsid w:val="00CC2EBB"/>
    <w:rsid w:val="00CC3575"/>
    <w:rsid w:val="00CC3A04"/>
    <w:rsid w:val="00CC41BD"/>
    <w:rsid w:val="00CC5F40"/>
    <w:rsid w:val="00CC7A42"/>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3075"/>
    <w:rsid w:val="00CF31A1"/>
    <w:rsid w:val="00CF43EA"/>
    <w:rsid w:val="00CF61E3"/>
    <w:rsid w:val="00CF6650"/>
    <w:rsid w:val="00CF77DA"/>
    <w:rsid w:val="00D00C31"/>
    <w:rsid w:val="00D019AA"/>
    <w:rsid w:val="00D01EFB"/>
    <w:rsid w:val="00D03C91"/>
    <w:rsid w:val="00D04C30"/>
    <w:rsid w:val="00D05AA7"/>
    <w:rsid w:val="00D061CD"/>
    <w:rsid w:val="00D06592"/>
    <w:rsid w:val="00D06B45"/>
    <w:rsid w:val="00D07184"/>
    <w:rsid w:val="00D12D6A"/>
    <w:rsid w:val="00D130FA"/>
    <w:rsid w:val="00D136EF"/>
    <w:rsid w:val="00D1401E"/>
    <w:rsid w:val="00D151EF"/>
    <w:rsid w:val="00D17B34"/>
    <w:rsid w:val="00D20475"/>
    <w:rsid w:val="00D20772"/>
    <w:rsid w:val="00D234A1"/>
    <w:rsid w:val="00D23BC6"/>
    <w:rsid w:val="00D24E89"/>
    <w:rsid w:val="00D2762C"/>
    <w:rsid w:val="00D30457"/>
    <w:rsid w:val="00D306BE"/>
    <w:rsid w:val="00D30D1C"/>
    <w:rsid w:val="00D30DDB"/>
    <w:rsid w:val="00D31568"/>
    <w:rsid w:val="00D31FD3"/>
    <w:rsid w:val="00D32531"/>
    <w:rsid w:val="00D325F8"/>
    <w:rsid w:val="00D33186"/>
    <w:rsid w:val="00D33188"/>
    <w:rsid w:val="00D352E5"/>
    <w:rsid w:val="00D35D99"/>
    <w:rsid w:val="00D3679B"/>
    <w:rsid w:val="00D36828"/>
    <w:rsid w:val="00D4110C"/>
    <w:rsid w:val="00D419D5"/>
    <w:rsid w:val="00D41CB1"/>
    <w:rsid w:val="00D436FF"/>
    <w:rsid w:val="00D46647"/>
    <w:rsid w:val="00D46D29"/>
    <w:rsid w:val="00D46F27"/>
    <w:rsid w:val="00D475EF"/>
    <w:rsid w:val="00D52F55"/>
    <w:rsid w:val="00D55A47"/>
    <w:rsid w:val="00D560A0"/>
    <w:rsid w:val="00D56901"/>
    <w:rsid w:val="00D5781F"/>
    <w:rsid w:val="00D604D6"/>
    <w:rsid w:val="00D62BDF"/>
    <w:rsid w:val="00D63CB2"/>
    <w:rsid w:val="00D63F7E"/>
    <w:rsid w:val="00D670DA"/>
    <w:rsid w:val="00D67268"/>
    <w:rsid w:val="00D67D43"/>
    <w:rsid w:val="00D744C6"/>
    <w:rsid w:val="00D7479B"/>
    <w:rsid w:val="00D75A2B"/>
    <w:rsid w:val="00D80296"/>
    <w:rsid w:val="00D80AB3"/>
    <w:rsid w:val="00D810D9"/>
    <w:rsid w:val="00D8149F"/>
    <w:rsid w:val="00D81B9E"/>
    <w:rsid w:val="00D81DB4"/>
    <w:rsid w:val="00D82372"/>
    <w:rsid w:val="00D829B2"/>
    <w:rsid w:val="00D83974"/>
    <w:rsid w:val="00D83D36"/>
    <w:rsid w:val="00D8698F"/>
    <w:rsid w:val="00D86AFF"/>
    <w:rsid w:val="00D870CD"/>
    <w:rsid w:val="00D912EF"/>
    <w:rsid w:val="00D918A9"/>
    <w:rsid w:val="00D9197A"/>
    <w:rsid w:val="00D92E55"/>
    <w:rsid w:val="00D93CA4"/>
    <w:rsid w:val="00D966ED"/>
    <w:rsid w:val="00D96FCD"/>
    <w:rsid w:val="00DA09BA"/>
    <w:rsid w:val="00DA15D5"/>
    <w:rsid w:val="00DA1BDF"/>
    <w:rsid w:val="00DA2981"/>
    <w:rsid w:val="00DA47F6"/>
    <w:rsid w:val="00DA6A9E"/>
    <w:rsid w:val="00DA7961"/>
    <w:rsid w:val="00DA7969"/>
    <w:rsid w:val="00DA7A5A"/>
    <w:rsid w:val="00DB03A8"/>
    <w:rsid w:val="00DB0414"/>
    <w:rsid w:val="00DB0670"/>
    <w:rsid w:val="00DB0821"/>
    <w:rsid w:val="00DB1E04"/>
    <w:rsid w:val="00DB2E20"/>
    <w:rsid w:val="00DB3BD6"/>
    <w:rsid w:val="00DB3E7B"/>
    <w:rsid w:val="00DB4088"/>
    <w:rsid w:val="00DB45C0"/>
    <w:rsid w:val="00DB669C"/>
    <w:rsid w:val="00DC0461"/>
    <w:rsid w:val="00DC2B07"/>
    <w:rsid w:val="00DC37B7"/>
    <w:rsid w:val="00DC47AE"/>
    <w:rsid w:val="00DC5150"/>
    <w:rsid w:val="00DC6C1F"/>
    <w:rsid w:val="00DC6F3F"/>
    <w:rsid w:val="00DC7145"/>
    <w:rsid w:val="00DC765E"/>
    <w:rsid w:val="00DD0D63"/>
    <w:rsid w:val="00DD155C"/>
    <w:rsid w:val="00DD3CCF"/>
    <w:rsid w:val="00DD4023"/>
    <w:rsid w:val="00DD4FB7"/>
    <w:rsid w:val="00DD6510"/>
    <w:rsid w:val="00DD658D"/>
    <w:rsid w:val="00DD6947"/>
    <w:rsid w:val="00DE0C3D"/>
    <w:rsid w:val="00DE3154"/>
    <w:rsid w:val="00DE37D8"/>
    <w:rsid w:val="00DE59D1"/>
    <w:rsid w:val="00DE681C"/>
    <w:rsid w:val="00DF027D"/>
    <w:rsid w:val="00DF02E6"/>
    <w:rsid w:val="00DF0467"/>
    <w:rsid w:val="00DF1A1F"/>
    <w:rsid w:val="00DF1F3C"/>
    <w:rsid w:val="00DF473B"/>
    <w:rsid w:val="00DF56DB"/>
    <w:rsid w:val="00DF63A3"/>
    <w:rsid w:val="00DF6559"/>
    <w:rsid w:val="00E02BC5"/>
    <w:rsid w:val="00E02E0C"/>
    <w:rsid w:val="00E0496E"/>
    <w:rsid w:val="00E06C2E"/>
    <w:rsid w:val="00E079E6"/>
    <w:rsid w:val="00E07FD1"/>
    <w:rsid w:val="00E12823"/>
    <w:rsid w:val="00E12B61"/>
    <w:rsid w:val="00E13151"/>
    <w:rsid w:val="00E13CE0"/>
    <w:rsid w:val="00E17401"/>
    <w:rsid w:val="00E20206"/>
    <w:rsid w:val="00E22633"/>
    <w:rsid w:val="00E23014"/>
    <w:rsid w:val="00E23869"/>
    <w:rsid w:val="00E23892"/>
    <w:rsid w:val="00E24A0B"/>
    <w:rsid w:val="00E25135"/>
    <w:rsid w:val="00E263E2"/>
    <w:rsid w:val="00E26635"/>
    <w:rsid w:val="00E309E5"/>
    <w:rsid w:val="00E30A39"/>
    <w:rsid w:val="00E32BB5"/>
    <w:rsid w:val="00E331C9"/>
    <w:rsid w:val="00E3338C"/>
    <w:rsid w:val="00E34B87"/>
    <w:rsid w:val="00E374B4"/>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7755"/>
    <w:rsid w:val="00E50D2D"/>
    <w:rsid w:val="00E534D2"/>
    <w:rsid w:val="00E55462"/>
    <w:rsid w:val="00E6000E"/>
    <w:rsid w:val="00E61E0B"/>
    <w:rsid w:val="00E6239C"/>
    <w:rsid w:val="00E63948"/>
    <w:rsid w:val="00E65858"/>
    <w:rsid w:val="00E65E18"/>
    <w:rsid w:val="00E66464"/>
    <w:rsid w:val="00E70102"/>
    <w:rsid w:val="00E70E1C"/>
    <w:rsid w:val="00E7100A"/>
    <w:rsid w:val="00E71758"/>
    <w:rsid w:val="00E7190F"/>
    <w:rsid w:val="00E71EEC"/>
    <w:rsid w:val="00E728E9"/>
    <w:rsid w:val="00E7377C"/>
    <w:rsid w:val="00E73793"/>
    <w:rsid w:val="00E7387D"/>
    <w:rsid w:val="00E74399"/>
    <w:rsid w:val="00E74FB8"/>
    <w:rsid w:val="00E75093"/>
    <w:rsid w:val="00E75B34"/>
    <w:rsid w:val="00E75B62"/>
    <w:rsid w:val="00E778A4"/>
    <w:rsid w:val="00E80D05"/>
    <w:rsid w:val="00E81217"/>
    <w:rsid w:val="00E81231"/>
    <w:rsid w:val="00E81450"/>
    <w:rsid w:val="00E823FD"/>
    <w:rsid w:val="00E84ABB"/>
    <w:rsid w:val="00E84D05"/>
    <w:rsid w:val="00E8722C"/>
    <w:rsid w:val="00E872E6"/>
    <w:rsid w:val="00E9031A"/>
    <w:rsid w:val="00E92A84"/>
    <w:rsid w:val="00E92A8C"/>
    <w:rsid w:val="00E936A2"/>
    <w:rsid w:val="00E93845"/>
    <w:rsid w:val="00E93CF8"/>
    <w:rsid w:val="00E93CFD"/>
    <w:rsid w:val="00E94112"/>
    <w:rsid w:val="00E94133"/>
    <w:rsid w:val="00E975D0"/>
    <w:rsid w:val="00EA3080"/>
    <w:rsid w:val="00EA4712"/>
    <w:rsid w:val="00EA4CFD"/>
    <w:rsid w:val="00EA6E69"/>
    <w:rsid w:val="00EA6EDA"/>
    <w:rsid w:val="00EB0CEB"/>
    <w:rsid w:val="00EB15E3"/>
    <w:rsid w:val="00EB1F6F"/>
    <w:rsid w:val="00EB3214"/>
    <w:rsid w:val="00EB3262"/>
    <w:rsid w:val="00EB46C8"/>
    <w:rsid w:val="00EB5148"/>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335E"/>
    <w:rsid w:val="00ED4674"/>
    <w:rsid w:val="00EE1D16"/>
    <w:rsid w:val="00EE1E42"/>
    <w:rsid w:val="00EE33B0"/>
    <w:rsid w:val="00EE36B9"/>
    <w:rsid w:val="00EE3CE0"/>
    <w:rsid w:val="00EE4132"/>
    <w:rsid w:val="00EE425B"/>
    <w:rsid w:val="00EE4752"/>
    <w:rsid w:val="00EE565F"/>
    <w:rsid w:val="00EE59A6"/>
    <w:rsid w:val="00EE613E"/>
    <w:rsid w:val="00EE7A94"/>
    <w:rsid w:val="00EE7B78"/>
    <w:rsid w:val="00EF1864"/>
    <w:rsid w:val="00EF2097"/>
    <w:rsid w:val="00EF3E25"/>
    <w:rsid w:val="00EF4813"/>
    <w:rsid w:val="00EF598A"/>
    <w:rsid w:val="00EF59ED"/>
    <w:rsid w:val="00EF689F"/>
    <w:rsid w:val="00EF7151"/>
    <w:rsid w:val="00EF72DC"/>
    <w:rsid w:val="00EF7930"/>
    <w:rsid w:val="00F01957"/>
    <w:rsid w:val="00F0315A"/>
    <w:rsid w:val="00F05913"/>
    <w:rsid w:val="00F05B5F"/>
    <w:rsid w:val="00F05FF3"/>
    <w:rsid w:val="00F11637"/>
    <w:rsid w:val="00F11D3A"/>
    <w:rsid w:val="00F12439"/>
    <w:rsid w:val="00F125FA"/>
    <w:rsid w:val="00F16CA0"/>
    <w:rsid w:val="00F17D36"/>
    <w:rsid w:val="00F2057D"/>
    <w:rsid w:val="00F2137D"/>
    <w:rsid w:val="00F218B1"/>
    <w:rsid w:val="00F231A8"/>
    <w:rsid w:val="00F23495"/>
    <w:rsid w:val="00F24602"/>
    <w:rsid w:val="00F27766"/>
    <w:rsid w:val="00F27C28"/>
    <w:rsid w:val="00F31017"/>
    <w:rsid w:val="00F313C6"/>
    <w:rsid w:val="00F31510"/>
    <w:rsid w:val="00F3172C"/>
    <w:rsid w:val="00F31FB2"/>
    <w:rsid w:val="00F326A8"/>
    <w:rsid w:val="00F3684C"/>
    <w:rsid w:val="00F40571"/>
    <w:rsid w:val="00F412C3"/>
    <w:rsid w:val="00F41707"/>
    <w:rsid w:val="00F42FC7"/>
    <w:rsid w:val="00F439A1"/>
    <w:rsid w:val="00F43B3B"/>
    <w:rsid w:val="00F43D20"/>
    <w:rsid w:val="00F4400B"/>
    <w:rsid w:val="00F444B9"/>
    <w:rsid w:val="00F44562"/>
    <w:rsid w:val="00F446A8"/>
    <w:rsid w:val="00F45547"/>
    <w:rsid w:val="00F46AB7"/>
    <w:rsid w:val="00F47253"/>
    <w:rsid w:val="00F4736A"/>
    <w:rsid w:val="00F47B6B"/>
    <w:rsid w:val="00F5135D"/>
    <w:rsid w:val="00F5245A"/>
    <w:rsid w:val="00F53072"/>
    <w:rsid w:val="00F53B7A"/>
    <w:rsid w:val="00F53C55"/>
    <w:rsid w:val="00F54ED1"/>
    <w:rsid w:val="00F55045"/>
    <w:rsid w:val="00F571F9"/>
    <w:rsid w:val="00F6100D"/>
    <w:rsid w:val="00F627FD"/>
    <w:rsid w:val="00F64899"/>
    <w:rsid w:val="00F65A57"/>
    <w:rsid w:val="00F67F53"/>
    <w:rsid w:val="00F706E7"/>
    <w:rsid w:val="00F75388"/>
    <w:rsid w:val="00F76551"/>
    <w:rsid w:val="00F76855"/>
    <w:rsid w:val="00F77E91"/>
    <w:rsid w:val="00F80253"/>
    <w:rsid w:val="00F80B07"/>
    <w:rsid w:val="00F82355"/>
    <w:rsid w:val="00F85F1A"/>
    <w:rsid w:val="00F86678"/>
    <w:rsid w:val="00F9040D"/>
    <w:rsid w:val="00F92915"/>
    <w:rsid w:val="00F93B65"/>
    <w:rsid w:val="00F94186"/>
    <w:rsid w:val="00F950F5"/>
    <w:rsid w:val="00F95125"/>
    <w:rsid w:val="00F9606D"/>
    <w:rsid w:val="00F97BD9"/>
    <w:rsid w:val="00FA3926"/>
    <w:rsid w:val="00FA3E8A"/>
    <w:rsid w:val="00FA46E9"/>
    <w:rsid w:val="00FA5E4E"/>
    <w:rsid w:val="00FB1D3A"/>
    <w:rsid w:val="00FB1F69"/>
    <w:rsid w:val="00FB3950"/>
    <w:rsid w:val="00FB4B36"/>
    <w:rsid w:val="00FB5700"/>
    <w:rsid w:val="00FB6589"/>
    <w:rsid w:val="00FB740D"/>
    <w:rsid w:val="00FC14CA"/>
    <w:rsid w:val="00FC2772"/>
    <w:rsid w:val="00FC2928"/>
    <w:rsid w:val="00FC2A97"/>
    <w:rsid w:val="00FC2EEB"/>
    <w:rsid w:val="00FC3B2A"/>
    <w:rsid w:val="00FC3CD5"/>
    <w:rsid w:val="00FC6644"/>
    <w:rsid w:val="00FC7341"/>
    <w:rsid w:val="00FC7822"/>
    <w:rsid w:val="00FD0735"/>
    <w:rsid w:val="00FD1C30"/>
    <w:rsid w:val="00FD35F8"/>
    <w:rsid w:val="00FD3D53"/>
    <w:rsid w:val="00FD4141"/>
    <w:rsid w:val="00FD4FF2"/>
    <w:rsid w:val="00FD51E9"/>
    <w:rsid w:val="00FD6FE7"/>
    <w:rsid w:val="00FD7E44"/>
    <w:rsid w:val="00FE0849"/>
    <w:rsid w:val="00FE1816"/>
    <w:rsid w:val="00FE2D95"/>
    <w:rsid w:val="00FE3F7D"/>
    <w:rsid w:val="00FE4BAB"/>
    <w:rsid w:val="00FE5F7B"/>
    <w:rsid w:val="00FE626D"/>
    <w:rsid w:val="00FE648B"/>
    <w:rsid w:val="00FE6D5A"/>
    <w:rsid w:val="00FF297A"/>
    <w:rsid w:val="00FF2E5C"/>
    <w:rsid w:val="00FF5124"/>
    <w:rsid w:val="00FF6AA2"/>
    <w:rsid w:val="00FF6CA1"/>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85FDD3A"/>
  <w15:docId w15:val="{9211221A-22A2-4634-AE85-08424A77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qFormat/>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corte4fondoCar3">
    <w:name w:val="corte4 fondo Car3"/>
    <w:locked/>
    <w:rsid w:val="00D475EF"/>
    <w:rPr>
      <w:rFonts w:ascii="Arial" w:hAnsi="Arial" w:cs="Arial"/>
      <w:sz w:val="30"/>
      <w:szCs w:val="30"/>
      <w:lang w:val="es-ES_tradnl"/>
    </w:rPr>
  </w:style>
  <w:style w:type="character" w:customStyle="1" w:styleId="l1">
    <w:name w:val="l1"/>
    <w:basedOn w:val="Fuentedeprrafopredeter"/>
    <w:rsid w:val="00216B34"/>
  </w:style>
  <w:style w:type="character" w:customStyle="1" w:styleId="l2">
    <w:name w:val="l2"/>
    <w:basedOn w:val="Fuentedeprrafopredeter"/>
    <w:rsid w:val="00216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993609304">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6043703">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ctj.tfja.gob.mx/SCJI/assembly/detalleTesis?idTesis=26534" TargetMode="External"/><Relationship Id="rId2" Type="http://schemas.openxmlformats.org/officeDocument/2006/relationships/hyperlink" Target="javascript:void(0)" TargetMode="External"/><Relationship Id="rId1" Type="http://schemas.openxmlformats.org/officeDocument/2006/relationships/hyperlink" Target="https://vlex.com.mx/vid/ley-federal-trabajo-4259867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25B6B-8019-4EFB-B805-079AD54BE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2520</TotalTime>
  <Pages>41</Pages>
  <Words>13381</Words>
  <Characters>73601</Characters>
  <Application>Microsoft Office Word</Application>
  <DocSecurity>0</DocSecurity>
  <Lines>613</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tjao_personal</cp:lastModifiedBy>
  <cp:revision>41</cp:revision>
  <cp:lastPrinted>2023-09-07T20:30:00Z</cp:lastPrinted>
  <dcterms:created xsi:type="dcterms:W3CDTF">2023-08-18T17:42:00Z</dcterms:created>
  <dcterms:modified xsi:type="dcterms:W3CDTF">2023-10-24T22:21:00Z</dcterms:modified>
</cp:coreProperties>
</file>