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A96B17">
      <w:pPr>
        <w:spacing w:line="240" w:lineRule="auto"/>
        <w:ind w:left="3686"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339DAEDF" w:rsidR="001658D6" w:rsidRPr="00EE4752" w:rsidRDefault="001612DC" w:rsidP="00A96B17">
      <w:pPr>
        <w:spacing w:line="240" w:lineRule="auto"/>
        <w:ind w:left="3686"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044F54BB" w:rsidR="00140805" w:rsidRPr="00EE4752" w:rsidRDefault="00140805" w:rsidP="00A96B17">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JUICIO DE </w:t>
      </w:r>
      <w:r w:rsidR="001612DC">
        <w:rPr>
          <w:rFonts w:ascii="Arial" w:eastAsia="Times New Roman" w:hAnsi="Arial" w:cs="Arial"/>
          <w:b/>
          <w:sz w:val="26"/>
          <w:szCs w:val="26"/>
          <w:lang w:val="es-ES_tradnl" w:eastAsia="es-ES"/>
        </w:rPr>
        <w:t>INCONFORMIDAD</w:t>
      </w:r>
      <w:r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5222BD" w:rsidRPr="00EE4752">
        <w:rPr>
          <w:rFonts w:ascii="Arial" w:eastAsia="Times New Roman" w:hAnsi="Arial" w:cs="Arial"/>
          <w:bCs/>
          <w:sz w:val="26"/>
          <w:szCs w:val="26"/>
          <w:lang w:val="es-ES_tradnl" w:eastAsia="es-ES"/>
        </w:rPr>
        <w:t>00</w:t>
      </w:r>
      <w:r w:rsidR="00A722BE">
        <w:rPr>
          <w:rFonts w:ascii="Arial" w:eastAsia="Times New Roman" w:hAnsi="Arial" w:cs="Arial"/>
          <w:bCs/>
          <w:sz w:val="26"/>
          <w:szCs w:val="26"/>
          <w:lang w:val="es-ES_tradnl" w:eastAsia="es-ES"/>
        </w:rPr>
        <w:t>20</w:t>
      </w:r>
      <w:r w:rsidR="001612DC">
        <w:rPr>
          <w:rFonts w:ascii="Arial" w:eastAsia="Times New Roman" w:hAnsi="Arial" w:cs="Arial"/>
          <w:bCs/>
          <w:sz w:val="26"/>
          <w:szCs w:val="26"/>
          <w:lang w:val="es-ES_tradnl" w:eastAsia="es-ES"/>
        </w:rPr>
        <w:t>/2023</w:t>
      </w:r>
      <w:r w:rsidR="00900CC1" w:rsidRPr="00EE4752">
        <w:rPr>
          <w:rFonts w:ascii="Arial" w:eastAsia="Times New Roman" w:hAnsi="Arial" w:cs="Arial"/>
          <w:bCs/>
          <w:sz w:val="26"/>
          <w:szCs w:val="26"/>
          <w:lang w:val="es-ES_tradnl" w:eastAsia="es-ES"/>
        </w:rPr>
        <w:t>.</w:t>
      </w:r>
      <w:r w:rsidRPr="00EE4752">
        <w:rPr>
          <w:rFonts w:ascii="Arial" w:eastAsia="Times New Roman" w:hAnsi="Arial" w:cs="Arial"/>
          <w:bCs/>
          <w:sz w:val="26"/>
          <w:szCs w:val="26"/>
          <w:lang w:val="es-ES_tradnl" w:eastAsia="es-ES"/>
        </w:rPr>
        <w:t xml:space="preserve"> </w:t>
      </w:r>
    </w:p>
    <w:p w14:paraId="4AE0D200" w14:textId="70F87343" w:rsidR="003569E3" w:rsidRPr="00EE4752" w:rsidRDefault="003569E3" w:rsidP="00A96B17">
      <w:pPr>
        <w:spacing w:line="240" w:lineRule="auto"/>
        <w:ind w:left="3686" w:right="51"/>
        <w:jc w:val="both"/>
        <w:rPr>
          <w:rFonts w:ascii="Arial" w:eastAsia="Times New Roman" w:hAnsi="Arial" w:cs="Arial"/>
          <w:sz w:val="26"/>
          <w:szCs w:val="26"/>
          <w:lang w:val="es-ES_tradnl" w:eastAsia="es-ES"/>
        </w:rPr>
      </w:pPr>
      <w:r w:rsidRPr="00EE4752">
        <w:rPr>
          <w:rFonts w:ascii="Arial" w:eastAsia="Times New Roman" w:hAnsi="Arial" w:cs="Arial"/>
          <w:b/>
          <w:sz w:val="26"/>
          <w:szCs w:val="26"/>
          <w:lang w:val="es-ES_tradnl" w:eastAsia="es-ES"/>
        </w:rPr>
        <w:t>ACTOR:</w:t>
      </w:r>
      <w:r w:rsidR="00F85F1A" w:rsidRPr="00EE4752">
        <w:rPr>
          <w:rFonts w:ascii="Arial" w:eastAsia="Times New Roman" w:hAnsi="Arial" w:cs="Arial"/>
          <w:sz w:val="26"/>
          <w:szCs w:val="26"/>
          <w:lang w:val="es-ES_tradnl" w:eastAsia="es-ES"/>
        </w:rPr>
        <w:t xml:space="preserve"> </w:t>
      </w:r>
      <w:r w:rsidR="00CB7617">
        <w:rPr>
          <w:rFonts w:ascii="Arial" w:eastAsia="Times New Roman" w:hAnsi="Arial" w:cs="Arial"/>
          <w:sz w:val="26"/>
          <w:szCs w:val="26"/>
          <w:lang w:val="es-ES_tradnl" w:eastAsia="es-ES"/>
        </w:rPr>
        <w:t>************</w:t>
      </w:r>
    </w:p>
    <w:p w14:paraId="427298C6" w14:textId="73FDD4C0" w:rsidR="00214E4D" w:rsidRPr="00A722BE" w:rsidRDefault="00C07F53" w:rsidP="00961B74">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1612DC" w:rsidRPr="00A722BE">
        <w:rPr>
          <w:rFonts w:ascii="Arial" w:eastAsia="Times New Roman" w:hAnsi="Arial" w:cs="Arial"/>
          <w:sz w:val="26"/>
          <w:szCs w:val="26"/>
          <w:lang w:val="es-ES_tradnl" w:eastAsia="es-ES"/>
        </w:rPr>
        <w:t>ÓRGANO SUPERIOR DE FIS</w:t>
      </w:r>
      <w:r w:rsidR="00A722BE">
        <w:rPr>
          <w:rFonts w:ascii="Arial" w:eastAsia="Times New Roman" w:hAnsi="Arial" w:cs="Arial"/>
          <w:sz w:val="26"/>
          <w:szCs w:val="26"/>
          <w:lang w:val="es-ES_tradnl" w:eastAsia="es-ES"/>
        </w:rPr>
        <w:t>CALIZACIÓN DEL ESTADO DE OAXACA AHORA AUDITORÍA SUPERIOR DE FISCALIZACIÓN DEL ESTADO DE OAXACA.</w:t>
      </w:r>
    </w:p>
    <w:p w14:paraId="457C35AC" w14:textId="0AE3979B" w:rsidR="003721BC" w:rsidRPr="00EE4752" w:rsidRDefault="003721BC" w:rsidP="00961B74">
      <w:pPr>
        <w:spacing w:line="240" w:lineRule="auto"/>
        <w:ind w:left="3686"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924D3E">
        <w:rPr>
          <w:rFonts w:ascii="Arial" w:eastAsia="Times New Roman" w:hAnsi="Arial" w:cs="Arial"/>
          <w:bCs/>
          <w:sz w:val="26"/>
          <w:szCs w:val="26"/>
          <w:lang w:val="es-ES_tradnl" w:eastAsia="es-ES"/>
        </w:rPr>
        <w:t xml:space="preserve">MATEO MARTÍNEZ </w:t>
      </w:r>
      <w:proofErr w:type="spellStart"/>
      <w:r w:rsidR="00924D3E">
        <w:rPr>
          <w:rFonts w:ascii="Arial" w:eastAsia="Times New Roman" w:hAnsi="Arial" w:cs="Arial"/>
          <w:bCs/>
          <w:sz w:val="26"/>
          <w:szCs w:val="26"/>
          <w:lang w:val="es-ES_tradnl" w:eastAsia="es-ES"/>
        </w:rPr>
        <w:t>MARTÍNEZ</w:t>
      </w:r>
      <w:proofErr w:type="spellEnd"/>
      <w:r w:rsidR="001A14DE">
        <w:rPr>
          <w:rFonts w:ascii="Arial" w:eastAsia="Times New Roman" w:hAnsi="Arial" w:cs="Arial"/>
          <w:bCs/>
          <w:sz w:val="26"/>
          <w:szCs w:val="26"/>
          <w:lang w:val="es-ES_tradnl" w:eastAsia="es-ES"/>
        </w:rPr>
        <w:t>.</w:t>
      </w:r>
    </w:p>
    <w:bookmarkEnd w:id="0"/>
    <w:bookmarkEnd w:id="1"/>
    <w:p w14:paraId="2EAC3FDF" w14:textId="77777777" w:rsidR="002F64E7" w:rsidRDefault="002F64E7" w:rsidP="00273FAA">
      <w:pPr>
        <w:widowControl w:val="0"/>
        <w:spacing w:line="360" w:lineRule="auto"/>
        <w:ind w:right="51" w:firstLine="567"/>
        <w:jc w:val="both"/>
        <w:rPr>
          <w:rFonts w:ascii="Arial" w:eastAsia="Times New Roman" w:hAnsi="Arial" w:cs="Arial"/>
          <w:b/>
          <w:sz w:val="26"/>
          <w:szCs w:val="26"/>
          <w:lang w:val="es-ES" w:eastAsia="es-ES"/>
        </w:rPr>
      </w:pPr>
    </w:p>
    <w:p w14:paraId="70DB9FE9" w14:textId="4292DDB0" w:rsidR="008C764E" w:rsidRPr="00EE4752" w:rsidRDefault="003569E3" w:rsidP="00273FAA">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2F64E7">
        <w:rPr>
          <w:rFonts w:ascii="Arial" w:eastAsia="Times New Roman" w:hAnsi="Arial" w:cs="Arial"/>
          <w:b/>
          <w:sz w:val="26"/>
          <w:szCs w:val="26"/>
          <w:lang w:val="es-ES" w:eastAsia="es-ES"/>
        </w:rPr>
        <w:t>TRECE</w:t>
      </w:r>
      <w:r w:rsidR="00273FAA">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A722BE">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p>
    <w:p w14:paraId="42F9C32D" w14:textId="5429E651" w:rsidR="001612DC" w:rsidRDefault="007331F4" w:rsidP="00A722BE">
      <w:pPr>
        <w:tabs>
          <w:tab w:val="left" w:pos="5670"/>
        </w:tabs>
        <w:autoSpaceDE w:val="0"/>
        <w:autoSpaceDN w:val="0"/>
        <w:adjustRightInd w:val="0"/>
        <w:spacing w:after="240" w:line="360" w:lineRule="auto"/>
        <w:ind w:firstLine="708"/>
        <w:jc w:val="both"/>
        <w:rPr>
          <w:rFonts w:ascii="Arial" w:hAnsi="Arial" w:cs="Arial"/>
          <w:sz w:val="26"/>
          <w:szCs w:val="26"/>
        </w:rPr>
      </w:pPr>
      <w:r>
        <w:rPr>
          <w:rFonts w:ascii="Arial" w:eastAsia="Times New Roman" w:hAnsi="Arial" w:cs="Arial"/>
          <w:bCs/>
          <w:sz w:val="26"/>
          <w:szCs w:val="26"/>
          <w:lang w:val="es-ES_tradnl" w:eastAsia="es-ES"/>
        </w:rPr>
        <w:t xml:space="preserve">1. </w:t>
      </w:r>
      <w:r w:rsidR="002B5D36">
        <w:rPr>
          <w:rFonts w:ascii="Arial" w:eastAsia="Times New Roman" w:hAnsi="Arial" w:cs="Arial"/>
          <w:bCs/>
          <w:sz w:val="26"/>
          <w:szCs w:val="26"/>
          <w:lang w:val="es-ES_tradnl" w:eastAsia="es-ES"/>
        </w:rPr>
        <w:t xml:space="preserve">Sentencia que </w:t>
      </w:r>
      <w:r w:rsidR="00A722BE">
        <w:rPr>
          <w:rFonts w:ascii="Arial" w:eastAsia="Times New Roman" w:hAnsi="Arial" w:cs="Arial"/>
          <w:b/>
          <w:bCs/>
          <w:sz w:val="26"/>
          <w:szCs w:val="26"/>
          <w:lang w:val="es-ES_tradnl" w:eastAsia="es-ES"/>
        </w:rPr>
        <w:t>DEJA SIN EFECTOS TOTALES</w:t>
      </w:r>
      <w:r w:rsidR="001612DC">
        <w:rPr>
          <w:rFonts w:ascii="Arial" w:eastAsia="Times New Roman" w:hAnsi="Arial" w:cs="Arial"/>
          <w:bCs/>
          <w:sz w:val="26"/>
          <w:szCs w:val="26"/>
          <w:lang w:val="es-ES_tradnl" w:eastAsia="es-ES"/>
        </w:rPr>
        <w:t xml:space="preserve"> la resolución </w:t>
      </w:r>
      <w:r w:rsidR="002E26F6">
        <w:rPr>
          <w:rFonts w:ascii="Arial" w:eastAsia="Times New Roman" w:hAnsi="Arial" w:cs="Arial"/>
          <w:bCs/>
          <w:sz w:val="26"/>
          <w:szCs w:val="26"/>
          <w:lang w:val="es-ES_tradnl" w:eastAsia="es-ES"/>
        </w:rPr>
        <w:t xml:space="preserve">de fecha </w:t>
      </w:r>
      <w:r w:rsidR="00A722BE" w:rsidRPr="00AE3ADE">
        <w:rPr>
          <w:rFonts w:ascii="Arial" w:hAnsi="Arial" w:cs="Arial"/>
          <w:sz w:val="26"/>
          <w:szCs w:val="26"/>
        </w:rPr>
        <w:t xml:space="preserve">veinticuatro de octubre de dos mil veintidós dictada en el recurso de reconsideración </w:t>
      </w:r>
      <w:r w:rsidR="00A722BE" w:rsidRPr="00AE3ADE">
        <w:rPr>
          <w:rFonts w:ascii="Arial" w:hAnsi="Arial" w:cs="Arial"/>
          <w:b/>
          <w:sz w:val="26"/>
          <w:szCs w:val="26"/>
        </w:rPr>
        <w:t xml:space="preserve">OSFE/REC.R./0084/2019 </w:t>
      </w:r>
      <w:r w:rsidR="00A722BE" w:rsidRPr="00AE3ADE">
        <w:rPr>
          <w:rFonts w:ascii="Arial" w:hAnsi="Arial" w:cs="Arial"/>
          <w:sz w:val="26"/>
          <w:szCs w:val="26"/>
        </w:rPr>
        <w:t>y su acumulado</w:t>
      </w:r>
      <w:r w:rsidR="00A722BE">
        <w:rPr>
          <w:rFonts w:ascii="Arial" w:hAnsi="Arial" w:cs="Arial"/>
          <w:b/>
          <w:sz w:val="26"/>
          <w:szCs w:val="26"/>
        </w:rPr>
        <w:t xml:space="preserve"> OSFE/REC.R./0085/2019</w:t>
      </w:r>
      <w:r w:rsidR="00A722BE">
        <w:rPr>
          <w:rFonts w:ascii="Arial" w:hAnsi="Arial" w:cs="Arial"/>
          <w:sz w:val="26"/>
          <w:szCs w:val="26"/>
        </w:rPr>
        <w:t xml:space="preserve">, así como la diversa de fecha </w:t>
      </w:r>
      <w:r w:rsidR="00A722BE" w:rsidRPr="00FB0F36">
        <w:rPr>
          <w:rFonts w:ascii="Arial" w:hAnsi="Arial" w:cs="Arial"/>
          <w:sz w:val="26"/>
          <w:szCs w:val="26"/>
        </w:rPr>
        <w:t xml:space="preserve">tres de agosto de dos mil veinte en el expediente </w:t>
      </w:r>
      <w:r w:rsidR="00A722BE" w:rsidRPr="00AC58DE">
        <w:rPr>
          <w:rFonts w:ascii="Arial" w:hAnsi="Arial" w:cs="Arial"/>
          <w:b/>
          <w:sz w:val="26"/>
          <w:szCs w:val="26"/>
        </w:rPr>
        <w:t>ASE/UAJ/P.R</w:t>
      </w:r>
      <w:r w:rsidR="00A722BE">
        <w:rPr>
          <w:rFonts w:ascii="Arial" w:hAnsi="Arial" w:cs="Arial"/>
          <w:b/>
          <w:sz w:val="26"/>
          <w:szCs w:val="26"/>
        </w:rPr>
        <w:t>.</w:t>
      </w:r>
      <w:r w:rsidR="00A722BE" w:rsidRPr="00AC58DE">
        <w:rPr>
          <w:rFonts w:ascii="Arial" w:hAnsi="Arial" w:cs="Arial"/>
          <w:b/>
          <w:sz w:val="26"/>
          <w:szCs w:val="26"/>
        </w:rPr>
        <w:t>/027/2017</w:t>
      </w:r>
      <w:r w:rsidR="00A722BE">
        <w:rPr>
          <w:rFonts w:ascii="Arial" w:hAnsi="Arial" w:cs="Arial"/>
          <w:sz w:val="26"/>
          <w:szCs w:val="26"/>
        </w:rPr>
        <w:t xml:space="preserve">, ambas </w:t>
      </w:r>
      <w:r w:rsidR="001612DC">
        <w:rPr>
          <w:rFonts w:ascii="Arial" w:hAnsi="Arial" w:cs="Arial"/>
          <w:sz w:val="26"/>
          <w:szCs w:val="26"/>
        </w:rPr>
        <w:t xml:space="preserve">del índice del entonces Órgano Superior de Fiscalización del Estado de Oaxaca (ahora Auditoría Superior de Fiscalización del Estado de Oaxaca), </w:t>
      </w:r>
      <w:r w:rsidR="00DB0670">
        <w:rPr>
          <w:rFonts w:ascii="Arial" w:hAnsi="Arial" w:cs="Arial"/>
          <w:sz w:val="26"/>
          <w:szCs w:val="26"/>
        </w:rPr>
        <w:t>por indebida fundamentación y motivación del acto.</w:t>
      </w:r>
    </w:p>
    <w:sdt>
      <w:sdtPr>
        <w:rPr>
          <w:rFonts w:ascii="Arial" w:eastAsiaTheme="minorEastAsia" w:hAnsi="Arial" w:cs="Arial"/>
          <w:color w:val="auto"/>
          <w:sz w:val="24"/>
          <w:szCs w:val="24"/>
          <w:lang w:val="es-ES_tradnl"/>
        </w:rPr>
        <w:id w:val="571169328"/>
        <w:docPartObj>
          <w:docPartGallery w:val="Table of Contents"/>
          <w:docPartUnique/>
        </w:docPartObj>
      </w:sdtPr>
      <w:sdtEndPr>
        <w:rPr>
          <w:b/>
          <w:bCs/>
        </w:rPr>
      </w:sdtEndPr>
      <w:sdtContent>
        <w:p w14:paraId="21CB0E83" w14:textId="77777777" w:rsidR="007331F4" w:rsidRPr="00EE4752" w:rsidRDefault="007331F4" w:rsidP="007331F4">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05F87556" w14:textId="77777777" w:rsidR="007331F4" w:rsidRPr="00EE4752" w:rsidRDefault="007331F4" w:rsidP="007331F4">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t>2</w:t>
          </w:r>
        </w:p>
        <w:p w14:paraId="27BA0B22" w14:textId="77777777" w:rsidR="007331F4" w:rsidRPr="00EE4752" w:rsidRDefault="007331F4" w:rsidP="007331F4">
          <w:pPr>
            <w:pStyle w:val="TDC1"/>
            <w:spacing w:line="276" w:lineRule="auto"/>
            <w:rPr>
              <w:rStyle w:val="Hipervnculo"/>
              <w:b w:val="0"/>
            </w:rPr>
          </w:pPr>
          <w:r w:rsidRPr="00EE4752">
            <w:rPr>
              <w:b w:val="0"/>
            </w:rPr>
            <w:t>1. RESULTANDO</w:t>
          </w:r>
          <w:r w:rsidRPr="00EE4752">
            <w:rPr>
              <w:b w:val="0"/>
              <w:webHidden/>
              <w:lang w:val="es-ES_tradnl"/>
            </w:rPr>
            <w:tab/>
          </w:r>
          <w:r>
            <w:rPr>
              <w:b w:val="0"/>
              <w:webHidden/>
              <w:lang w:val="es-ES_tradnl"/>
            </w:rPr>
            <w:t>2</w:t>
          </w:r>
        </w:p>
        <w:p w14:paraId="2749D53F" w14:textId="5582ED8B"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eastAsia="es-MX"/>
            </w:rPr>
          </w:pPr>
          <w:hyperlink w:anchor="_Toc57989556" w:history="1">
            <w:r w:rsidR="007331F4" w:rsidRPr="00EE4752">
              <w:rPr>
                <w:rFonts w:ascii="Arial" w:hAnsi="Arial" w:cs="Arial"/>
                <w:sz w:val="24"/>
                <w:szCs w:val="24"/>
              </w:rPr>
              <w:t xml:space="preserve">PRIMERO. DEMANDA DE </w:t>
            </w:r>
            <w:r w:rsidR="007331F4">
              <w:rPr>
                <w:rFonts w:ascii="Arial" w:hAnsi="Arial" w:cs="Arial"/>
                <w:sz w:val="24"/>
                <w:szCs w:val="24"/>
              </w:rPr>
              <w:t>NULIDAD</w:t>
            </w:r>
            <w:r w:rsidR="007331F4" w:rsidRPr="00EE4752">
              <w:rPr>
                <w:rFonts w:ascii="Arial" w:hAnsi="Arial" w:cs="Arial"/>
                <w:noProof/>
                <w:webHidden/>
                <w:sz w:val="24"/>
                <w:szCs w:val="24"/>
                <w:lang w:val="es-ES_tradnl"/>
              </w:rPr>
              <w:tab/>
            </w:r>
            <w:r w:rsidR="007331F4">
              <w:rPr>
                <w:rFonts w:ascii="Arial" w:hAnsi="Arial" w:cs="Arial"/>
                <w:noProof/>
                <w:webHidden/>
                <w:sz w:val="24"/>
                <w:szCs w:val="24"/>
                <w:lang w:val="es-ES_tradnl"/>
              </w:rPr>
              <w:t>2</w:t>
            </w:r>
          </w:hyperlink>
        </w:p>
        <w:p w14:paraId="568686B6" w14:textId="18188819" w:rsidR="007331F4"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57" w:history="1">
            <w:r w:rsidR="007331F4" w:rsidRPr="00EE4752">
              <w:rPr>
                <w:rStyle w:val="Hipervnculo"/>
                <w:rFonts w:ascii="Arial" w:hAnsi="Arial" w:cs="Arial"/>
                <w:noProof/>
                <w:sz w:val="24"/>
                <w:szCs w:val="24"/>
              </w:rPr>
              <w:t xml:space="preserve">SEGUNDO. ADMISIÓN DE LA DEMANDA Y SU </w:t>
            </w:r>
            <w:r w:rsidR="00A3781F">
              <w:rPr>
                <w:rStyle w:val="Hipervnculo"/>
                <w:rFonts w:ascii="Arial" w:hAnsi="Arial" w:cs="Arial"/>
                <w:noProof/>
                <w:sz w:val="24"/>
                <w:szCs w:val="24"/>
              </w:rPr>
              <w:t>REENCAUSAMIENTO</w:t>
            </w:r>
            <w:r w:rsidR="007331F4" w:rsidRPr="00EE4752">
              <w:rPr>
                <w:rFonts w:ascii="Arial" w:hAnsi="Arial" w:cs="Arial"/>
                <w:noProof/>
                <w:webHidden/>
                <w:sz w:val="24"/>
                <w:szCs w:val="24"/>
                <w:lang w:val="es-ES_tradnl"/>
              </w:rPr>
              <w:tab/>
            </w:r>
          </w:hyperlink>
          <w:r w:rsidR="00A3781F">
            <w:rPr>
              <w:rFonts w:ascii="Arial" w:hAnsi="Arial" w:cs="Arial"/>
              <w:noProof/>
              <w:sz w:val="24"/>
              <w:szCs w:val="24"/>
              <w:lang w:val="es-ES_tradnl"/>
            </w:rPr>
            <w:t>3</w:t>
          </w:r>
        </w:p>
        <w:p w14:paraId="01EAD022" w14:textId="2EF79A48" w:rsidR="007331F4"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7331F4" w:rsidRPr="00EE4752">
              <w:rPr>
                <w:rStyle w:val="Hipervnculo"/>
                <w:rFonts w:ascii="Arial" w:hAnsi="Arial" w:cs="Arial"/>
                <w:noProof/>
                <w:sz w:val="24"/>
                <w:szCs w:val="24"/>
              </w:rPr>
              <w:t xml:space="preserve">TERCERO. </w:t>
            </w:r>
            <w:r w:rsidR="007331F4">
              <w:rPr>
                <w:rStyle w:val="Hipervnculo"/>
                <w:rFonts w:ascii="Arial" w:hAnsi="Arial" w:cs="Arial"/>
                <w:noProof/>
                <w:sz w:val="24"/>
                <w:szCs w:val="24"/>
              </w:rPr>
              <w:t>A</w:t>
            </w:r>
            <w:r w:rsidR="00A3781F">
              <w:rPr>
                <w:rStyle w:val="Hipervnculo"/>
                <w:rFonts w:ascii="Arial" w:hAnsi="Arial" w:cs="Arial"/>
                <w:noProof/>
                <w:sz w:val="24"/>
                <w:szCs w:val="24"/>
              </w:rPr>
              <w:t>DMISIÓN DEL JUICIO DE INCONFORMIDAD</w:t>
            </w:r>
            <w:r w:rsidR="007331F4">
              <w:rPr>
                <w:rStyle w:val="Hipervnculo"/>
                <w:rFonts w:ascii="Arial" w:hAnsi="Arial" w:cs="Arial"/>
                <w:noProof/>
                <w:sz w:val="24"/>
                <w:szCs w:val="24"/>
              </w:rPr>
              <w:t xml:space="preserve"> Y SU CONTESTACIÓN</w:t>
            </w:r>
            <w:r w:rsidR="007331F4" w:rsidRPr="00EE4752">
              <w:rPr>
                <w:rFonts w:ascii="Arial" w:hAnsi="Arial" w:cs="Arial"/>
                <w:noProof/>
                <w:webHidden/>
                <w:sz w:val="24"/>
                <w:szCs w:val="24"/>
                <w:lang w:val="es-ES_tradnl"/>
              </w:rPr>
              <w:tab/>
            </w:r>
          </w:hyperlink>
          <w:r w:rsidR="007331F4">
            <w:rPr>
              <w:rFonts w:ascii="Arial" w:hAnsi="Arial" w:cs="Arial"/>
              <w:noProof/>
              <w:sz w:val="24"/>
              <w:szCs w:val="24"/>
              <w:lang w:val="es-ES_tradnl"/>
            </w:rPr>
            <w:t>3</w:t>
          </w:r>
        </w:p>
        <w:p w14:paraId="283F5DED" w14:textId="451C392E" w:rsidR="007331F4"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7331F4">
              <w:rPr>
                <w:rStyle w:val="Hipervnculo"/>
                <w:rFonts w:ascii="Arial" w:hAnsi="Arial" w:cs="Arial"/>
                <w:noProof/>
                <w:sz w:val="24"/>
                <w:szCs w:val="24"/>
              </w:rPr>
              <w:t>CUARTO</w:t>
            </w:r>
            <w:r w:rsidR="007331F4" w:rsidRPr="00EE4752">
              <w:rPr>
                <w:rStyle w:val="Hipervnculo"/>
                <w:rFonts w:ascii="Arial" w:hAnsi="Arial" w:cs="Arial"/>
                <w:noProof/>
                <w:sz w:val="24"/>
                <w:szCs w:val="24"/>
              </w:rPr>
              <w:t>. AUDIENCIA DE LEY</w:t>
            </w:r>
            <w:r w:rsidR="007331F4" w:rsidRPr="00EE4752">
              <w:rPr>
                <w:rFonts w:ascii="Arial" w:hAnsi="Arial" w:cs="Arial"/>
                <w:noProof/>
                <w:webHidden/>
                <w:sz w:val="24"/>
                <w:szCs w:val="24"/>
                <w:lang w:val="es-ES_tradnl"/>
              </w:rPr>
              <w:tab/>
            </w:r>
          </w:hyperlink>
          <w:r w:rsidR="00A3781F">
            <w:rPr>
              <w:rFonts w:ascii="Arial" w:hAnsi="Arial" w:cs="Arial"/>
              <w:noProof/>
              <w:sz w:val="24"/>
              <w:szCs w:val="24"/>
              <w:lang w:val="es-ES_tradnl"/>
            </w:rPr>
            <w:t>3</w:t>
          </w:r>
        </w:p>
        <w:p w14:paraId="22032212" w14:textId="77777777" w:rsidR="007331F4" w:rsidRPr="00EE4752" w:rsidRDefault="00CB7617" w:rsidP="007331F4">
          <w:pPr>
            <w:pStyle w:val="TDC2"/>
            <w:tabs>
              <w:tab w:val="left" w:pos="660"/>
              <w:tab w:val="right" w:leader="dot" w:pos="8828"/>
            </w:tabs>
            <w:spacing w:line="276" w:lineRule="auto"/>
            <w:ind w:left="0"/>
            <w:rPr>
              <w:rFonts w:ascii="Arial" w:hAnsi="Arial" w:cs="Arial"/>
              <w:noProof/>
              <w:sz w:val="24"/>
              <w:szCs w:val="24"/>
              <w:lang w:val="es-ES_tradnl" w:eastAsia="es-MX"/>
            </w:rPr>
          </w:pPr>
          <w:hyperlink w:anchor="_Toc57989559" w:history="1">
            <w:r w:rsidR="007331F4" w:rsidRPr="00EE4752">
              <w:rPr>
                <w:rStyle w:val="Hipervnculo"/>
                <w:rFonts w:ascii="Arial" w:hAnsi="Arial" w:cs="Arial"/>
                <w:noProof/>
                <w:sz w:val="24"/>
                <w:szCs w:val="24"/>
              </w:rPr>
              <w:t>2.</w:t>
            </w:r>
            <w:r w:rsidR="007331F4" w:rsidRPr="00EE4752">
              <w:rPr>
                <w:rFonts w:ascii="Arial" w:hAnsi="Arial" w:cs="Arial"/>
                <w:noProof/>
                <w:sz w:val="24"/>
                <w:szCs w:val="24"/>
                <w:lang w:val="es-ES_tradnl" w:eastAsia="es-MX"/>
              </w:rPr>
              <w:t xml:space="preserve"> CONSIDERANDO</w:t>
            </w:r>
            <w:r w:rsidR="007331F4" w:rsidRPr="00EE4752">
              <w:rPr>
                <w:rFonts w:ascii="Arial" w:hAnsi="Arial" w:cs="Arial"/>
                <w:noProof/>
                <w:webHidden/>
                <w:sz w:val="24"/>
                <w:szCs w:val="24"/>
                <w:lang w:val="es-ES_tradnl"/>
              </w:rPr>
              <w:tab/>
            </w:r>
            <w:r w:rsidR="007331F4">
              <w:rPr>
                <w:rFonts w:ascii="Arial" w:hAnsi="Arial" w:cs="Arial"/>
                <w:noProof/>
                <w:webHidden/>
                <w:sz w:val="24"/>
                <w:szCs w:val="24"/>
                <w:lang w:val="es-ES_tradnl"/>
              </w:rPr>
              <w:t>4</w:t>
            </w:r>
          </w:hyperlink>
        </w:p>
        <w:p w14:paraId="6D3ED644" w14:textId="77777777"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eastAsia="es-MX"/>
            </w:rPr>
          </w:pPr>
          <w:hyperlink w:anchor="_Toc57989560" w:history="1">
            <w:r w:rsidR="007331F4" w:rsidRPr="00EE4752">
              <w:rPr>
                <w:rStyle w:val="Hipervnculo"/>
                <w:rFonts w:ascii="Arial" w:hAnsi="Arial" w:cs="Arial"/>
                <w:noProof/>
                <w:sz w:val="24"/>
                <w:szCs w:val="24"/>
              </w:rPr>
              <w:t>PRIMERO. COMPETENCIA LEGAL</w:t>
            </w:r>
            <w:r w:rsidR="007331F4" w:rsidRPr="00EE4752">
              <w:rPr>
                <w:rFonts w:ascii="Arial" w:hAnsi="Arial" w:cs="Arial"/>
                <w:noProof/>
                <w:webHidden/>
                <w:sz w:val="24"/>
                <w:szCs w:val="24"/>
                <w:lang w:val="es-ES_tradnl"/>
              </w:rPr>
              <w:tab/>
            </w:r>
          </w:hyperlink>
          <w:r w:rsidR="007331F4">
            <w:rPr>
              <w:rFonts w:ascii="Arial" w:hAnsi="Arial" w:cs="Arial"/>
              <w:noProof/>
              <w:sz w:val="24"/>
              <w:szCs w:val="24"/>
              <w:lang w:val="es-ES_tradnl"/>
            </w:rPr>
            <w:t>4</w:t>
          </w:r>
        </w:p>
        <w:p w14:paraId="1EAEE4B8" w14:textId="77777777"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eastAsia="es-MX"/>
            </w:rPr>
          </w:pPr>
          <w:hyperlink w:anchor="_Toc57989561" w:history="1">
            <w:r w:rsidR="007331F4" w:rsidRPr="00EE4752">
              <w:rPr>
                <w:rStyle w:val="Hipervnculo"/>
                <w:rFonts w:ascii="Arial" w:hAnsi="Arial" w:cs="Arial"/>
                <w:noProof/>
                <w:sz w:val="24"/>
                <w:szCs w:val="24"/>
              </w:rPr>
              <w:t>SEGUNDO. PROCEDENCIA</w:t>
            </w:r>
            <w:r w:rsidR="007331F4" w:rsidRPr="00EE4752">
              <w:rPr>
                <w:rFonts w:ascii="Arial" w:hAnsi="Arial" w:cs="Arial"/>
                <w:noProof/>
                <w:webHidden/>
                <w:sz w:val="24"/>
                <w:szCs w:val="24"/>
                <w:lang w:val="es-ES_tradnl"/>
              </w:rPr>
              <w:tab/>
            </w:r>
          </w:hyperlink>
          <w:r w:rsidR="007331F4">
            <w:rPr>
              <w:rFonts w:ascii="Arial" w:hAnsi="Arial" w:cs="Arial"/>
              <w:noProof/>
              <w:sz w:val="24"/>
              <w:szCs w:val="24"/>
              <w:lang w:val="es-ES_tradnl"/>
            </w:rPr>
            <w:t>4</w:t>
          </w:r>
        </w:p>
        <w:p w14:paraId="36891D9E" w14:textId="77777777"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eastAsia="es-MX"/>
            </w:rPr>
          </w:pPr>
          <w:hyperlink w:anchor="_Toc57989562" w:history="1">
            <w:r w:rsidR="007331F4" w:rsidRPr="00EE4752">
              <w:rPr>
                <w:rStyle w:val="Hipervnculo"/>
                <w:rFonts w:ascii="Arial" w:hAnsi="Arial" w:cs="Arial"/>
                <w:noProof/>
                <w:sz w:val="24"/>
                <w:szCs w:val="24"/>
              </w:rPr>
              <w:t>TERCERO. OPORTUNIDAD</w:t>
            </w:r>
            <w:r w:rsidR="007331F4" w:rsidRPr="00EE4752">
              <w:rPr>
                <w:rFonts w:ascii="Arial" w:hAnsi="Arial" w:cs="Arial"/>
                <w:noProof/>
                <w:webHidden/>
                <w:sz w:val="24"/>
                <w:szCs w:val="24"/>
                <w:lang w:val="es-ES_tradnl"/>
              </w:rPr>
              <w:tab/>
            </w:r>
          </w:hyperlink>
          <w:r w:rsidR="007331F4">
            <w:rPr>
              <w:rFonts w:ascii="Arial" w:hAnsi="Arial" w:cs="Arial"/>
              <w:noProof/>
              <w:sz w:val="24"/>
              <w:szCs w:val="24"/>
              <w:lang w:val="es-ES_tradnl"/>
            </w:rPr>
            <w:t>5</w:t>
          </w:r>
        </w:p>
        <w:p w14:paraId="454207C5" w14:textId="77777777"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331F4" w:rsidRPr="00EE4752">
              <w:rPr>
                <w:rStyle w:val="Hipervnculo"/>
                <w:rFonts w:ascii="Arial" w:hAnsi="Arial" w:cs="Arial"/>
                <w:noProof/>
                <w:sz w:val="24"/>
                <w:szCs w:val="24"/>
              </w:rPr>
              <w:t>CUARTO. LEGITIMACIÓN Y PERSONALIDAD</w:t>
            </w:r>
            <w:r w:rsidR="007331F4" w:rsidRPr="00EE4752">
              <w:rPr>
                <w:rFonts w:ascii="Arial" w:hAnsi="Arial" w:cs="Arial"/>
                <w:noProof/>
                <w:webHidden/>
                <w:sz w:val="24"/>
                <w:szCs w:val="24"/>
                <w:lang w:val="es-ES_tradnl"/>
              </w:rPr>
              <w:tab/>
            </w:r>
          </w:hyperlink>
          <w:r w:rsidR="007331F4">
            <w:rPr>
              <w:rFonts w:ascii="Arial" w:hAnsi="Arial" w:cs="Arial"/>
              <w:noProof/>
              <w:sz w:val="24"/>
              <w:szCs w:val="24"/>
              <w:lang w:val="es-ES_tradnl"/>
            </w:rPr>
            <w:t>6</w:t>
          </w:r>
        </w:p>
        <w:p w14:paraId="1130F473" w14:textId="77777777"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331F4" w:rsidRPr="00EE4752">
              <w:rPr>
                <w:rStyle w:val="Hipervnculo"/>
                <w:rFonts w:ascii="Arial" w:hAnsi="Arial" w:cs="Arial"/>
                <w:noProof/>
                <w:sz w:val="24"/>
                <w:szCs w:val="24"/>
              </w:rPr>
              <w:t>QUINTO. CERTEZA DEL ACTO IMPUGNADO</w:t>
            </w:r>
            <w:r w:rsidR="007331F4" w:rsidRPr="00EE4752">
              <w:rPr>
                <w:rFonts w:ascii="Arial" w:hAnsi="Arial" w:cs="Arial"/>
                <w:noProof/>
                <w:webHidden/>
                <w:sz w:val="24"/>
                <w:szCs w:val="24"/>
                <w:lang w:val="es-ES_tradnl"/>
              </w:rPr>
              <w:tab/>
            </w:r>
          </w:hyperlink>
          <w:r w:rsidR="007331F4">
            <w:rPr>
              <w:rFonts w:ascii="Arial" w:hAnsi="Arial" w:cs="Arial"/>
              <w:noProof/>
              <w:sz w:val="24"/>
              <w:szCs w:val="24"/>
              <w:lang w:val="es-ES_tradnl"/>
            </w:rPr>
            <w:t>7</w:t>
          </w:r>
        </w:p>
        <w:p w14:paraId="1E1E9820" w14:textId="31A2572F"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331F4" w:rsidRPr="00EE4752">
              <w:rPr>
                <w:rStyle w:val="Hipervnculo"/>
                <w:rFonts w:ascii="Arial" w:hAnsi="Arial" w:cs="Arial"/>
                <w:noProof/>
                <w:sz w:val="24"/>
                <w:szCs w:val="24"/>
              </w:rPr>
              <w:t>SEXTO. CAUSALES DE IMPROCEDENCIA</w:t>
            </w:r>
            <w:r w:rsidR="007331F4" w:rsidRPr="00EE4752">
              <w:rPr>
                <w:rFonts w:ascii="Arial" w:hAnsi="Arial" w:cs="Arial"/>
                <w:noProof/>
                <w:webHidden/>
                <w:sz w:val="24"/>
                <w:szCs w:val="24"/>
                <w:lang w:val="es-ES_tradnl"/>
              </w:rPr>
              <w:tab/>
            </w:r>
          </w:hyperlink>
          <w:r w:rsidR="00A3781F">
            <w:rPr>
              <w:rFonts w:ascii="Arial" w:hAnsi="Arial" w:cs="Arial"/>
              <w:noProof/>
              <w:sz w:val="24"/>
              <w:szCs w:val="24"/>
              <w:lang w:val="es-ES_tradnl"/>
            </w:rPr>
            <w:t>7</w:t>
          </w:r>
        </w:p>
        <w:p w14:paraId="16BECDE2" w14:textId="1071B6A0"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331F4" w:rsidRPr="00EE4752">
              <w:rPr>
                <w:rStyle w:val="Hipervnculo"/>
                <w:rFonts w:ascii="Arial" w:hAnsi="Arial" w:cs="Arial"/>
                <w:noProof/>
                <w:sz w:val="24"/>
                <w:szCs w:val="24"/>
              </w:rPr>
              <w:t>SÉPTIMO. FIJACIÓN DE LA LITIS</w:t>
            </w:r>
            <w:r w:rsidR="007331F4" w:rsidRPr="00EE4752">
              <w:rPr>
                <w:rFonts w:ascii="Arial" w:hAnsi="Arial" w:cs="Arial"/>
                <w:noProof/>
                <w:webHidden/>
                <w:sz w:val="24"/>
                <w:szCs w:val="24"/>
                <w:lang w:val="es-ES_tradnl"/>
              </w:rPr>
              <w:tab/>
            </w:r>
          </w:hyperlink>
          <w:r w:rsidR="00A3781F">
            <w:rPr>
              <w:rFonts w:ascii="Arial" w:hAnsi="Arial" w:cs="Arial"/>
              <w:noProof/>
              <w:sz w:val="24"/>
              <w:szCs w:val="24"/>
              <w:lang w:val="es-ES_tradnl"/>
            </w:rPr>
            <w:t>8</w:t>
          </w:r>
        </w:p>
        <w:p w14:paraId="30ED0ACE" w14:textId="240ABF0D"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331F4" w:rsidRPr="00EE4752">
              <w:rPr>
                <w:rStyle w:val="Hipervnculo"/>
                <w:rFonts w:ascii="Arial" w:hAnsi="Arial" w:cs="Arial"/>
                <w:noProof/>
                <w:sz w:val="24"/>
                <w:szCs w:val="24"/>
              </w:rPr>
              <w:t xml:space="preserve">OCTAVO. </w:t>
            </w:r>
            <w:r w:rsidR="006B6B3A">
              <w:rPr>
                <w:rStyle w:val="Hipervnculo"/>
                <w:rFonts w:ascii="Arial" w:hAnsi="Arial" w:cs="Arial"/>
                <w:noProof/>
                <w:sz w:val="24"/>
                <w:szCs w:val="24"/>
              </w:rPr>
              <w:t>ESTUDIO OFICIOSO DE LA COMPETENCIA</w:t>
            </w:r>
            <w:r w:rsidR="007331F4" w:rsidRPr="00EE4752">
              <w:rPr>
                <w:rFonts w:ascii="Arial" w:hAnsi="Arial" w:cs="Arial"/>
                <w:noProof/>
                <w:webHidden/>
                <w:sz w:val="24"/>
                <w:szCs w:val="24"/>
                <w:lang w:val="es-ES_tradnl"/>
              </w:rPr>
              <w:tab/>
            </w:r>
          </w:hyperlink>
          <w:r w:rsidR="007331F4">
            <w:rPr>
              <w:rFonts w:ascii="Arial" w:hAnsi="Arial" w:cs="Arial"/>
              <w:noProof/>
              <w:sz w:val="24"/>
              <w:szCs w:val="24"/>
              <w:lang w:val="es-ES_tradnl"/>
            </w:rPr>
            <w:t>9</w:t>
          </w:r>
        </w:p>
        <w:p w14:paraId="017E03A3" w14:textId="16A778B0" w:rsidR="007331F4" w:rsidRDefault="00CB7617" w:rsidP="006B6B3A">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331F4" w:rsidRPr="00EE4752">
              <w:rPr>
                <w:rStyle w:val="Hipervnculo"/>
                <w:rFonts w:ascii="Arial" w:hAnsi="Arial" w:cs="Arial"/>
                <w:noProof/>
                <w:sz w:val="24"/>
                <w:szCs w:val="24"/>
              </w:rPr>
              <w:t>NOVENO.</w:t>
            </w:r>
            <w:r w:rsidR="007331F4">
              <w:rPr>
                <w:rStyle w:val="Hipervnculo"/>
                <w:rFonts w:ascii="Arial" w:hAnsi="Arial" w:cs="Arial"/>
                <w:noProof/>
                <w:sz w:val="24"/>
                <w:szCs w:val="24"/>
              </w:rPr>
              <w:t xml:space="preserve"> </w:t>
            </w:r>
          </w:hyperlink>
          <w:hyperlink w:anchor="_Toc57989557" w:history="1">
            <w:r w:rsidR="007331F4" w:rsidRPr="00EE4752">
              <w:rPr>
                <w:rStyle w:val="Hipervnculo"/>
                <w:rFonts w:ascii="Arial" w:hAnsi="Arial" w:cs="Arial"/>
                <w:noProof/>
                <w:sz w:val="24"/>
                <w:szCs w:val="24"/>
              </w:rPr>
              <w:t>DECISIÓN</w:t>
            </w:r>
            <w:r w:rsidR="007331F4" w:rsidRPr="00EE4752">
              <w:rPr>
                <w:rFonts w:ascii="Arial" w:hAnsi="Arial" w:cs="Arial"/>
                <w:noProof/>
                <w:webHidden/>
                <w:sz w:val="24"/>
                <w:szCs w:val="24"/>
                <w:lang w:val="es-ES_tradnl"/>
              </w:rPr>
              <w:tab/>
            </w:r>
          </w:hyperlink>
          <w:r w:rsidR="00A3781F">
            <w:rPr>
              <w:rFonts w:ascii="Arial" w:hAnsi="Arial" w:cs="Arial"/>
              <w:noProof/>
              <w:sz w:val="24"/>
              <w:szCs w:val="24"/>
              <w:lang w:val="es-ES_tradnl"/>
            </w:rPr>
            <w:t>21</w:t>
          </w:r>
        </w:p>
        <w:p w14:paraId="5A5E38BD" w14:textId="5478F688" w:rsidR="007331F4" w:rsidRPr="00EE4752" w:rsidRDefault="00CB7617" w:rsidP="007331F4">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331F4">
              <w:rPr>
                <w:rStyle w:val="Hipervnculo"/>
                <w:rFonts w:ascii="Arial" w:hAnsi="Arial" w:cs="Arial"/>
                <w:noProof/>
                <w:sz w:val="24"/>
                <w:szCs w:val="24"/>
              </w:rPr>
              <w:t>DÉCIMO</w:t>
            </w:r>
            <w:r w:rsidR="007331F4" w:rsidRPr="00EE4752">
              <w:rPr>
                <w:rStyle w:val="Hipervnculo"/>
                <w:rFonts w:ascii="Arial" w:hAnsi="Arial" w:cs="Arial"/>
                <w:noProof/>
                <w:sz w:val="24"/>
                <w:szCs w:val="24"/>
              </w:rPr>
              <w:t>.</w:t>
            </w:r>
            <w:r w:rsidR="007331F4">
              <w:rPr>
                <w:rStyle w:val="Hipervnculo"/>
                <w:rFonts w:ascii="Arial" w:hAnsi="Arial" w:cs="Arial"/>
                <w:noProof/>
                <w:sz w:val="24"/>
                <w:szCs w:val="24"/>
              </w:rPr>
              <w:t xml:space="preserve"> NOTIFICACIÓN</w:t>
            </w:r>
            <w:r w:rsidR="007331F4" w:rsidRPr="00EE4752">
              <w:rPr>
                <w:rFonts w:ascii="Arial" w:hAnsi="Arial" w:cs="Arial"/>
                <w:noProof/>
                <w:webHidden/>
                <w:sz w:val="24"/>
                <w:szCs w:val="24"/>
                <w:lang w:val="es-ES_tradnl"/>
              </w:rPr>
              <w:tab/>
            </w:r>
          </w:hyperlink>
          <w:r w:rsidR="00A3781F">
            <w:rPr>
              <w:rFonts w:ascii="Arial" w:hAnsi="Arial" w:cs="Arial"/>
              <w:noProof/>
              <w:sz w:val="24"/>
              <w:szCs w:val="24"/>
              <w:lang w:val="es-ES_tradnl"/>
            </w:rPr>
            <w:t>22</w:t>
          </w:r>
        </w:p>
        <w:p w14:paraId="6BB39129" w14:textId="3C0254EF" w:rsidR="007331F4" w:rsidRPr="00FA6255" w:rsidRDefault="007331F4" w:rsidP="007331F4">
          <w:pPr>
            <w:pStyle w:val="TDC2"/>
            <w:tabs>
              <w:tab w:val="left" w:pos="660"/>
              <w:tab w:val="right" w:leader="dot" w:pos="8828"/>
            </w:tabs>
            <w:spacing w:line="276" w:lineRule="auto"/>
            <w:ind w:left="0"/>
            <w:rPr>
              <w:rFonts w:ascii="Arial" w:hAnsi="Arial" w:cs="Arial"/>
              <w:noProof/>
              <w:sz w:val="24"/>
              <w:szCs w:val="24"/>
              <w:lang w:val="es-ES_tradnl"/>
            </w:rPr>
          </w:pPr>
          <w:r w:rsidRPr="00EE4752">
            <w:rPr>
              <w:rFonts w:ascii="Arial" w:hAnsi="Arial" w:cs="Arial"/>
              <w:bCs/>
              <w:sz w:val="24"/>
              <w:szCs w:val="24"/>
              <w:lang w:val="es-ES_tradnl"/>
            </w:rPr>
            <w:fldChar w:fldCharType="end"/>
          </w: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hyperlink>
          <w:r w:rsidR="00A3781F">
            <w:rPr>
              <w:rFonts w:ascii="Arial" w:hAnsi="Arial" w:cs="Arial"/>
              <w:noProof/>
              <w:sz w:val="24"/>
              <w:szCs w:val="24"/>
              <w:lang w:val="es-ES_tradnl"/>
            </w:rPr>
            <w:t>22</w:t>
          </w:r>
        </w:p>
      </w:sdtContent>
    </w:sdt>
    <w:p w14:paraId="5FB7754E" w14:textId="367BA2C6" w:rsidR="007331F4" w:rsidRPr="005E3FC5" w:rsidRDefault="007331F4" w:rsidP="007331F4">
      <w:pPr>
        <w:pStyle w:val="TDC2"/>
        <w:tabs>
          <w:tab w:val="left" w:pos="660"/>
          <w:tab w:val="right" w:leader="dot" w:pos="8828"/>
        </w:tabs>
        <w:spacing w:line="276" w:lineRule="auto"/>
        <w:rPr>
          <w:rFonts w:ascii="Arial" w:hAnsi="Arial" w:cs="Arial"/>
          <w:noProof/>
          <w:sz w:val="6"/>
          <w:szCs w:val="24"/>
          <w:lang w:val="es-ES_tradnl"/>
        </w:rPr>
      </w:pPr>
    </w:p>
    <w:p w14:paraId="1C1C1930" w14:textId="77777777" w:rsidR="007331F4" w:rsidRPr="00FA6255" w:rsidRDefault="007331F4" w:rsidP="007331F4">
      <w:pPr>
        <w:tabs>
          <w:tab w:val="center" w:pos="4418"/>
          <w:tab w:val="left" w:pos="6330"/>
        </w:tabs>
        <w:spacing w:line="360" w:lineRule="auto"/>
        <w:jc w:val="center"/>
        <w:rPr>
          <w:rFonts w:ascii="Arial" w:hAnsi="Arial" w:cs="Arial"/>
          <w:b/>
          <w:sz w:val="8"/>
          <w:szCs w:val="24"/>
        </w:rPr>
      </w:pPr>
    </w:p>
    <w:p w14:paraId="7CFF16D5" w14:textId="77777777" w:rsidR="007331F4" w:rsidRPr="00EE4752" w:rsidRDefault="007331F4" w:rsidP="007331F4">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331F4" w:rsidRPr="00EE4752" w14:paraId="6755DB70" w14:textId="77777777" w:rsidTr="007331F4">
        <w:tc>
          <w:tcPr>
            <w:tcW w:w="3256" w:type="dxa"/>
          </w:tcPr>
          <w:p w14:paraId="611BE5C2" w14:textId="77777777" w:rsidR="007331F4" w:rsidRPr="00EE4752" w:rsidRDefault="007331F4" w:rsidP="007331F4">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Federal:</w:t>
            </w:r>
          </w:p>
        </w:tc>
        <w:tc>
          <w:tcPr>
            <w:tcW w:w="5571" w:type="dxa"/>
          </w:tcPr>
          <w:p w14:paraId="064A3166" w14:textId="77777777"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Constitución Federal.</w:t>
            </w:r>
          </w:p>
        </w:tc>
      </w:tr>
      <w:tr w:rsidR="007331F4" w:rsidRPr="00EE4752" w14:paraId="6FA34BB7" w14:textId="77777777" w:rsidTr="007331F4">
        <w:tc>
          <w:tcPr>
            <w:tcW w:w="3256" w:type="dxa"/>
          </w:tcPr>
          <w:p w14:paraId="63D0392B" w14:textId="77777777" w:rsidR="007331F4" w:rsidRPr="00EE4752" w:rsidRDefault="007331F4" w:rsidP="007331F4">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462E0C86" w14:textId="77777777"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Constitución Local.</w:t>
            </w:r>
          </w:p>
        </w:tc>
      </w:tr>
      <w:tr w:rsidR="007331F4" w:rsidRPr="00EE4752" w14:paraId="72FF5B2E" w14:textId="77777777" w:rsidTr="007331F4">
        <w:tc>
          <w:tcPr>
            <w:tcW w:w="3256" w:type="dxa"/>
          </w:tcPr>
          <w:p w14:paraId="669C9FEB" w14:textId="77777777" w:rsidR="007331F4" w:rsidRPr="00992690" w:rsidRDefault="007331F4" w:rsidP="007331F4">
            <w:pPr>
              <w:tabs>
                <w:tab w:val="center" w:pos="4418"/>
                <w:tab w:val="left" w:pos="6330"/>
              </w:tabs>
              <w:jc w:val="center"/>
              <w:rPr>
                <w:rFonts w:ascii="Arial" w:hAnsi="Arial" w:cs="Arial"/>
                <w:b/>
                <w:i/>
                <w:sz w:val="24"/>
                <w:szCs w:val="24"/>
              </w:rPr>
            </w:pPr>
            <w:r>
              <w:rPr>
                <w:rFonts w:ascii="Arial" w:hAnsi="Arial" w:cs="Arial"/>
                <w:b/>
                <w:i/>
                <w:sz w:val="24"/>
                <w:szCs w:val="24"/>
              </w:rPr>
              <w:t>Código Procesal:</w:t>
            </w:r>
          </w:p>
        </w:tc>
        <w:tc>
          <w:tcPr>
            <w:tcW w:w="5571" w:type="dxa"/>
          </w:tcPr>
          <w:p w14:paraId="21AFDEB4" w14:textId="77777777"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Código de Procedimientos Civiles para el Estado de Oaxaca</w:t>
            </w:r>
          </w:p>
        </w:tc>
      </w:tr>
      <w:tr w:rsidR="007331F4" w:rsidRPr="00EE4752" w14:paraId="30FAF051" w14:textId="77777777" w:rsidTr="007331F4">
        <w:tc>
          <w:tcPr>
            <w:tcW w:w="3256" w:type="dxa"/>
          </w:tcPr>
          <w:p w14:paraId="4959F1F7" w14:textId="77777777" w:rsidR="007331F4" w:rsidRPr="00992690" w:rsidRDefault="007331F4" w:rsidP="007331F4">
            <w:pPr>
              <w:tabs>
                <w:tab w:val="center" w:pos="4418"/>
                <w:tab w:val="left" w:pos="6330"/>
              </w:tabs>
              <w:jc w:val="center"/>
              <w:rPr>
                <w:rFonts w:ascii="Arial" w:hAnsi="Arial" w:cs="Arial"/>
                <w:b/>
                <w:i/>
                <w:sz w:val="24"/>
                <w:szCs w:val="24"/>
              </w:rPr>
            </w:pPr>
            <w:r>
              <w:rPr>
                <w:rFonts w:ascii="Arial" w:hAnsi="Arial" w:cs="Arial"/>
                <w:b/>
                <w:i/>
                <w:sz w:val="24"/>
                <w:szCs w:val="24"/>
              </w:rPr>
              <w:t>Código Administrativo:</w:t>
            </w:r>
          </w:p>
        </w:tc>
        <w:tc>
          <w:tcPr>
            <w:tcW w:w="5571" w:type="dxa"/>
          </w:tcPr>
          <w:p w14:paraId="1AA46D1F" w14:textId="77777777"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Código de Procedimientos Administrativos para la Auditoría Superior del Estado de Oaxaca.</w:t>
            </w:r>
          </w:p>
        </w:tc>
      </w:tr>
      <w:tr w:rsidR="007331F4" w:rsidRPr="00EE4752" w14:paraId="340CA871" w14:textId="77777777" w:rsidTr="007331F4">
        <w:tc>
          <w:tcPr>
            <w:tcW w:w="3256" w:type="dxa"/>
          </w:tcPr>
          <w:p w14:paraId="25E213CB" w14:textId="77777777" w:rsidR="007331F4" w:rsidRPr="00EE4752" w:rsidRDefault="007331F4" w:rsidP="007331F4">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6D1E0758" w14:textId="77777777"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Ley de Procedimiento y Justicia Administrativa para el estado de Oaxaca.</w:t>
            </w:r>
          </w:p>
        </w:tc>
      </w:tr>
      <w:tr w:rsidR="007331F4" w:rsidRPr="00EE4752" w14:paraId="57AB5AA8" w14:textId="77777777" w:rsidTr="007331F4">
        <w:tc>
          <w:tcPr>
            <w:tcW w:w="3256" w:type="dxa"/>
          </w:tcPr>
          <w:p w14:paraId="64A6B910" w14:textId="30AAE5EB" w:rsidR="007331F4" w:rsidRPr="00EE4752" w:rsidRDefault="007331F4" w:rsidP="000C2B0F">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sidR="000C2B0F">
              <w:rPr>
                <w:rFonts w:ascii="Arial" w:hAnsi="Arial" w:cs="Arial"/>
                <w:b/>
                <w:i/>
                <w:sz w:val="24"/>
                <w:szCs w:val="24"/>
              </w:rPr>
              <w:t>Fiscalización 2017</w:t>
            </w:r>
            <w:r>
              <w:rPr>
                <w:rFonts w:ascii="Arial" w:hAnsi="Arial" w:cs="Arial"/>
                <w:b/>
                <w:i/>
                <w:sz w:val="24"/>
                <w:szCs w:val="24"/>
              </w:rPr>
              <w:t>:</w:t>
            </w:r>
          </w:p>
        </w:tc>
        <w:tc>
          <w:tcPr>
            <w:tcW w:w="5571" w:type="dxa"/>
          </w:tcPr>
          <w:p w14:paraId="6B1675A0" w14:textId="0A931381" w:rsidR="007331F4" w:rsidRPr="00A3781F" w:rsidRDefault="007331F4" w:rsidP="000C2B0F">
            <w:pPr>
              <w:tabs>
                <w:tab w:val="center" w:pos="4418"/>
                <w:tab w:val="left" w:pos="6330"/>
              </w:tabs>
              <w:jc w:val="both"/>
              <w:rPr>
                <w:rFonts w:ascii="Arial" w:hAnsi="Arial" w:cs="Arial"/>
                <w:b/>
                <w:i/>
                <w:sz w:val="24"/>
                <w:szCs w:val="24"/>
              </w:rPr>
            </w:pPr>
            <w:r w:rsidRPr="00A3781F">
              <w:rPr>
                <w:rFonts w:ascii="Arial" w:hAnsi="Arial" w:cs="Arial"/>
                <w:i/>
                <w:sz w:val="24"/>
                <w:szCs w:val="24"/>
              </w:rPr>
              <w:t xml:space="preserve">Ley de Fiscalización Superior </w:t>
            </w:r>
            <w:r w:rsidR="000C2B0F" w:rsidRPr="00A3781F">
              <w:rPr>
                <w:rFonts w:ascii="Arial" w:hAnsi="Arial" w:cs="Arial"/>
                <w:i/>
                <w:sz w:val="24"/>
                <w:szCs w:val="24"/>
              </w:rPr>
              <w:t>y Rendición de Cuentas para el Estado de Oaxaca</w:t>
            </w:r>
            <w:r w:rsidRPr="00A3781F">
              <w:rPr>
                <w:rFonts w:ascii="Arial" w:hAnsi="Arial" w:cs="Arial"/>
                <w:i/>
                <w:sz w:val="24"/>
                <w:szCs w:val="24"/>
              </w:rPr>
              <w:t>.</w:t>
            </w:r>
          </w:p>
        </w:tc>
      </w:tr>
      <w:tr w:rsidR="007331F4" w:rsidRPr="00EE4752" w14:paraId="6B6A15B9" w14:textId="77777777" w:rsidTr="007331F4">
        <w:tc>
          <w:tcPr>
            <w:tcW w:w="3256" w:type="dxa"/>
          </w:tcPr>
          <w:p w14:paraId="63C1CFA6" w14:textId="77777777" w:rsidR="007331F4" w:rsidRPr="00EE4752" w:rsidRDefault="007331F4" w:rsidP="007331F4">
            <w:pPr>
              <w:tabs>
                <w:tab w:val="center" w:pos="4418"/>
                <w:tab w:val="left" w:pos="6330"/>
              </w:tabs>
              <w:jc w:val="center"/>
              <w:rPr>
                <w:rFonts w:ascii="Arial" w:hAnsi="Arial" w:cs="Arial"/>
                <w:b/>
                <w:i/>
                <w:sz w:val="24"/>
                <w:szCs w:val="24"/>
              </w:rPr>
            </w:pPr>
            <w:r>
              <w:rPr>
                <w:rFonts w:ascii="Arial" w:hAnsi="Arial" w:cs="Arial"/>
                <w:b/>
                <w:i/>
                <w:sz w:val="24"/>
                <w:szCs w:val="24"/>
              </w:rPr>
              <w:t>Ley de Fiscalización 2013:</w:t>
            </w:r>
          </w:p>
        </w:tc>
        <w:tc>
          <w:tcPr>
            <w:tcW w:w="5571" w:type="dxa"/>
          </w:tcPr>
          <w:p w14:paraId="1D47ED5F" w14:textId="6970E89D"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Ley de Fiscalización</w:t>
            </w:r>
            <w:r w:rsidR="000C2B0F" w:rsidRPr="00A3781F">
              <w:rPr>
                <w:rFonts w:ascii="Arial" w:hAnsi="Arial" w:cs="Arial"/>
                <w:i/>
                <w:sz w:val="24"/>
                <w:szCs w:val="24"/>
              </w:rPr>
              <w:t xml:space="preserve"> Superior para el Estado de </w:t>
            </w:r>
            <w:proofErr w:type="gramStart"/>
            <w:r w:rsidR="000C2B0F" w:rsidRPr="00A3781F">
              <w:rPr>
                <w:rFonts w:ascii="Arial" w:hAnsi="Arial" w:cs="Arial"/>
                <w:i/>
                <w:sz w:val="24"/>
                <w:szCs w:val="24"/>
              </w:rPr>
              <w:t>Oaxaca</w:t>
            </w:r>
            <w:r w:rsidRPr="00A3781F">
              <w:rPr>
                <w:rFonts w:ascii="Arial" w:hAnsi="Arial" w:cs="Arial"/>
                <w:i/>
                <w:sz w:val="24"/>
                <w:szCs w:val="24"/>
              </w:rPr>
              <w:t xml:space="preserve">  (</w:t>
            </w:r>
            <w:proofErr w:type="gramEnd"/>
            <w:r w:rsidRPr="00A3781F">
              <w:rPr>
                <w:rFonts w:ascii="Arial" w:hAnsi="Arial" w:cs="Arial"/>
                <w:i/>
                <w:sz w:val="24"/>
                <w:szCs w:val="24"/>
              </w:rPr>
              <w:t>vigente del 23 de abril de 2008 al 30 de agosto de 2013).</w:t>
            </w:r>
          </w:p>
        </w:tc>
      </w:tr>
      <w:tr w:rsidR="007331F4" w:rsidRPr="00EE4752" w14:paraId="3B795303" w14:textId="77777777" w:rsidTr="007331F4">
        <w:tc>
          <w:tcPr>
            <w:tcW w:w="3256" w:type="dxa"/>
          </w:tcPr>
          <w:p w14:paraId="5FD04D98" w14:textId="77777777" w:rsidR="007331F4" w:rsidRPr="00EE4752" w:rsidRDefault="007331F4" w:rsidP="007331F4">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553DB5EE" w14:textId="77777777"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Ley Orgánica del Tribunal de Justicia Administrativa del Estado de Oaxaca</w:t>
            </w:r>
          </w:p>
        </w:tc>
      </w:tr>
      <w:tr w:rsidR="007331F4" w:rsidRPr="00EE4752" w14:paraId="53B41336" w14:textId="77777777" w:rsidTr="007331F4">
        <w:tc>
          <w:tcPr>
            <w:tcW w:w="3256" w:type="dxa"/>
          </w:tcPr>
          <w:p w14:paraId="387274FB" w14:textId="77777777" w:rsidR="007331F4" w:rsidRPr="00EE4752" w:rsidRDefault="007331F4" w:rsidP="007331F4">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Pr>
                <w:rFonts w:ascii="Arial" w:hAnsi="Arial" w:cs="Arial"/>
                <w:b/>
                <w:i/>
                <w:sz w:val="24"/>
                <w:szCs w:val="24"/>
              </w:rPr>
              <w:t>Justicia:</w:t>
            </w:r>
          </w:p>
        </w:tc>
        <w:tc>
          <w:tcPr>
            <w:tcW w:w="5571" w:type="dxa"/>
          </w:tcPr>
          <w:p w14:paraId="19FE8153" w14:textId="77777777" w:rsidR="007331F4" w:rsidRPr="00A3781F" w:rsidRDefault="007331F4" w:rsidP="007331F4">
            <w:pPr>
              <w:tabs>
                <w:tab w:val="center" w:pos="4418"/>
                <w:tab w:val="left" w:pos="6330"/>
              </w:tabs>
              <w:jc w:val="both"/>
              <w:rPr>
                <w:rFonts w:ascii="Arial" w:hAnsi="Arial" w:cs="Arial"/>
                <w:b/>
                <w:i/>
                <w:sz w:val="24"/>
                <w:szCs w:val="24"/>
              </w:rPr>
            </w:pPr>
            <w:r w:rsidRPr="00A3781F">
              <w:rPr>
                <w:rFonts w:ascii="Arial" w:hAnsi="Arial" w:cs="Arial"/>
                <w:i/>
                <w:sz w:val="24"/>
                <w:szCs w:val="24"/>
              </w:rPr>
              <w:t>Ley de Justicia.</w:t>
            </w:r>
          </w:p>
        </w:tc>
      </w:tr>
      <w:tr w:rsidR="007331F4" w:rsidRPr="00EE4752" w14:paraId="5BCFB908" w14:textId="77777777" w:rsidTr="007331F4">
        <w:tc>
          <w:tcPr>
            <w:tcW w:w="3256" w:type="dxa"/>
          </w:tcPr>
          <w:p w14:paraId="3E51D216" w14:textId="77777777" w:rsidR="007331F4" w:rsidRPr="00EE4752" w:rsidRDefault="007331F4" w:rsidP="007331F4">
            <w:pPr>
              <w:tabs>
                <w:tab w:val="center" w:pos="4418"/>
                <w:tab w:val="left" w:pos="6330"/>
              </w:tabs>
              <w:jc w:val="center"/>
              <w:rPr>
                <w:rFonts w:ascii="Arial" w:hAnsi="Arial" w:cs="Arial"/>
                <w:b/>
                <w:i/>
                <w:sz w:val="24"/>
                <w:szCs w:val="24"/>
              </w:rPr>
            </w:pPr>
            <w:r>
              <w:rPr>
                <w:rFonts w:ascii="Arial" w:hAnsi="Arial" w:cs="Arial"/>
                <w:b/>
                <w:i/>
                <w:sz w:val="24"/>
                <w:szCs w:val="24"/>
              </w:rPr>
              <w:t>Ley Municipal</w:t>
            </w:r>
          </w:p>
        </w:tc>
        <w:tc>
          <w:tcPr>
            <w:tcW w:w="5571" w:type="dxa"/>
          </w:tcPr>
          <w:p w14:paraId="63F57D2B" w14:textId="77777777" w:rsidR="007331F4" w:rsidRPr="00A3781F" w:rsidRDefault="007331F4" w:rsidP="007331F4">
            <w:pPr>
              <w:tabs>
                <w:tab w:val="center" w:pos="4418"/>
                <w:tab w:val="left" w:pos="6330"/>
              </w:tabs>
              <w:jc w:val="both"/>
              <w:rPr>
                <w:rFonts w:ascii="Arial" w:hAnsi="Arial" w:cs="Arial"/>
                <w:i/>
                <w:sz w:val="24"/>
                <w:szCs w:val="24"/>
              </w:rPr>
            </w:pPr>
            <w:r w:rsidRPr="00A3781F">
              <w:rPr>
                <w:rFonts w:ascii="Arial" w:hAnsi="Arial" w:cs="Arial"/>
                <w:i/>
                <w:sz w:val="24"/>
                <w:szCs w:val="24"/>
              </w:rPr>
              <w:t>Ley Orgánica Municipal del Estado de Oaxaca</w:t>
            </w:r>
          </w:p>
        </w:tc>
      </w:tr>
      <w:tr w:rsidR="00B047FC" w:rsidRPr="00EE4752" w14:paraId="13CDF201" w14:textId="77777777" w:rsidTr="007331F4">
        <w:tc>
          <w:tcPr>
            <w:tcW w:w="3256" w:type="dxa"/>
          </w:tcPr>
          <w:p w14:paraId="1E8D52A7" w14:textId="515E309D" w:rsidR="00B047FC" w:rsidRDefault="00B047FC" w:rsidP="007331F4">
            <w:pPr>
              <w:tabs>
                <w:tab w:val="center" w:pos="4418"/>
                <w:tab w:val="left" w:pos="6330"/>
              </w:tabs>
              <w:jc w:val="center"/>
              <w:rPr>
                <w:rFonts w:ascii="Arial" w:hAnsi="Arial" w:cs="Arial"/>
                <w:b/>
                <w:i/>
                <w:sz w:val="24"/>
                <w:szCs w:val="24"/>
              </w:rPr>
            </w:pPr>
            <w:r>
              <w:rPr>
                <w:rFonts w:ascii="Arial" w:hAnsi="Arial" w:cs="Arial"/>
                <w:b/>
                <w:i/>
                <w:sz w:val="24"/>
                <w:szCs w:val="24"/>
              </w:rPr>
              <w:t>Reglamento OSFE</w:t>
            </w:r>
          </w:p>
        </w:tc>
        <w:tc>
          <w:tcPr>
            <w:tcW w:w="5571" w:type="dxa"/>
          </w:tcPr>
          <w:p w14:paraId="2EA890F6" w14:textId="00D542E4" w:rsidR="00B047FC" w:rsidRPr="00A3781F" w:rsidRDefault="00B047FC" w:rsidP="007331F4">
            <w:pPr>
              <w:tabs>
                <w:tab w:val="center" w:pos="4418"/>
                <w:tab w:val="left" w:pos="6330"/>
              </w:tabs>
              <w:jc w:val="both"/>
              <w:rPr>
                <w:rFonts w:ascii="Arial" w:hAnsi="Arial" w:cs="Arial"/>
                <w:i/>
                <w:sz w:val="24"/>
                <w:szCs w:val="24"/>
              </w:rPr>
            </w:pPr>
            <w:r w:rsidRPr="00A3781F">
              <w:rPr>
                <w:rFonts w:ascii="Arial" w:hAnsi="Arial" w:cs="Arial"/>
                <w:i/>
                <w:sz w:val="24"/>
                <w:szCs w:val="24"/>
              </w:rPr>
              <w:t xml:space="preserve">Reglamento Interior del Órgano Superior de Fiscalización del Estado de Oaxaca, publicado en el P.O.G.E. el </w:t>
            </w:r>
            <w:r w:rsidR="008D6F9A" w:rsidRPr="00A3781F">
              <w:rPr>
                <w:rFonts w:ascii="Arial" w:hAnsi="Arial" w:cs="Arial"/>
                <w:i/>
                <w:sz w:val="24"/>
                <w:szCs w:val="24"/>
              </w:rPr>
              <w:t>16 de noviembre de 2019</w:t>
            </w:r>
          </w:p>
        </w:tc>
      </w:tr>
      <w:tr w:rsidR="007331F4" w:rsidRPr="00EE4752" w14:paraId="74A90E45" w14:textId="77777777" w:rsidTr="007331F4">
        <w:tc>
          <w:tcPr>
            <w:tcW w:w="3256" w:type="dxa"/>
          </w:tcPr>
          <w:p w14:paraId="4AFA3CA6" w14:textId="2A508CF1" w:rsidR="007331F4" w:rsidRDefault="007331F4" w:rsidP="007331F4">
            <w:pPr>
              <w:tabs>
                <w:tab w:val="center" w:pos="4418"/>
                <w:tab w:val="left" w:pos="6330"/>
              </w:tabs>
              <w:jc w:val="center"/>
              <w:rPr>
                <w:rFonts w:ascii="Arial" w:hAnsi="Arial" w:cs="Arial"/>
                <w:b/>
                <w:i/>
                <w:sz w:val="24"/>
                <w:szCs w:val="24"/>
              </w:rPr>
            </w:pPr>
            <w:r>
              <w:rPr>
                <w:rFonts w:ascii="Arial" w:hAnsi="Arial" w:cs="Arial"/>
                <w:b/>
                <w:i/>
                <w:sz w:val="24"/>
                <w:szCs w:val="24"/>
              </w:rPr>
              <w:t>Reglamento</w:t>
            </w:r>
            <w:r w:rsidR="00B047FC">
              <w:rPr>
                <w:rFonts w:ascii="Arial" w:hAnsi="Arial" w:cs="Arial"/>
                <w:b/>
                <w:i/>
                <w:sz w:val="24"/>
                <w:szCs w:val="24"/>
              </w:rPr>
              <w:t xml:space="preserve"> ASE</w:t>
            </w:r>
            <w:r>
              <w:rPr>
                <w:rFonts w:ascii="Arial" w:hAnsi="Arial" w:cs="Arial"/>
                <w:b/>
                <w:i/>
                <w:sz w:val="24"/>
                <w:szCs w:val="24"/>
              </w:rPr>
              <w:t>:</w:t>
            </w:r>
          </w:p>
        </w:tc>
        <w:tc>
          <w:tcPr>
            <w:tcW w:w="5571" w:type="dxa"/>
          </w:tcPr>
          <w:p w14:paraId="7CF596D9" w14:textId="46D4C7FD" w:rsidR="007331F4" w:rsidRPr="00EE4752" w:rsidRDefault="007331F4" w:rsidP="007331F4">
            <w:pPr>
              <w:tabs>
                <w:tab w:val="center" w:pos="4418"/>
                <w:tab w:val="left" w:pos="6330"/>
              </w:tabs>
              <w:jc w:val="both"/>
              <w:rPr>
                <w:rFonts w:ascii="Arial" w:hAnsi="Arial" w:cs="Arial"/>
                <w:sz w:val="24"/>
                <w:szCs w:val="24"/>
              </w:rPr>
            </w:pPr>
            <w:r w:rsidRPr="00F17D36">
              <w:rPr>
                <w:rFonts w:ascii="Arial" w:hAnsi="Arial" w:cs="Arial"/>
                <w:i/>
                <w:sz w:val="24"/>
                <w:szCs w:val="24"/>
              </w:rPr>
              <w:t>Reglamento</w:t>
            </w:r>
            <w:r w:rsidR="000C2B0F">
              <w:rPr>
                <w:rFonts w:ascii="Arial" w:hAnsi="Arial" w:cs="Arial"/>
                <w:i/>
                <w:sz w:val="24"/>
                <w:szCs w:val="24"/>
              </w:rPr>
              <w:t xml:space="preserve"> Interior de la Auditoría Superior del Estado de Oaxaca</w:t>
            </w:r>
          </w:p>
        </w:tc>
      </w:tr>
      <w:tr w:rsidR="007331F4" w:rsidRPr="00EE4752" w14:paraId="71449AF3" w14:textId="77777777" w:rsidTr="007331F4">
        <w:tc>
          <w:tcPr>
            <w:tcW w:w="3256" w:type="dxa"/>
          </w:tcPr>
          <w:p w14:paraId="14956E9F" w14:textId="77777777" w:rsidR="007331F4" w:rsidRDefault="007331F4" w:rsidP="007331F4">
            <w:pPr>
              <w:tabs>
                <w:tab w:val="center" w:pos="4418"/>
                <w:tab w:val="left" w:pos="6330"/>
              </w:tabs>
              <w:jc w:val="center"/>
              <w:rPr>
                <w:rFonts w:ascii="Arial" w:hAnsi="Arial" w:cs="Arial"/>
                <w:b/>
                <w:i/>
                <w:sz w:val="24"/>
                <w:szCs w:val="24"/>
              </w:rPr>
            </w:pPr>
            <w:r>
              <w:rPr>
                <w:rFonts w:ascii="Arial" w:hAnsi="Arial" w:cs="Arial"/>
                <w:b/>
                <w:i/>
                <w:sz w:val="24"/>
                <w:szCs w:val="24"/>
              </w:rPr>
              <w:t>Acuerdo General</w:t>
            </w:r>
          </w:p>
        </w:tc>
        <w:tc>
          <w:tcPr>
            <w:tcW w:w="5571" w:type="dxa"/>
          </w:tcPr>
          <w:p w14:paraId="43C17F7C" w14:textId="227356F9" w:rsidR="007331F4" w:rsidRPr="007331F4" w:rsidRDefault="007331F4" w:rsidP="007331F4">
            <w:pPr>
              <w:tabs>
                <w:tab w:val="center" w:pos="4418"/>
                <w:tab w:val="left" w:pos="6330"/>
              </w:tabs>
              <w:jc w:val="both"/>
              <w:rPr>
                <w:rFonts w:ascii="Arial" w:hAnsi="Arial" w:cs="Arial"/>
                <w:i/>
                <w:sz w:val="24"/>
                <w:szCs w:val="24"/>
              </w:rPr>
            </w:pPr>
            <w:r w:rsidRPr="007331F4">
              <w:rPr>
                <w:rFonts w:ascii="Arial" w:hAnsi="Arial" w:cs="Arial"/>
                <w:i/>
                <w:snapToGrid w:val="0"/>
                <w:sz w:val="26"/>
                <w:szCs w:val="26"/>
              </w:rPr>
              <w:t>A</w:t>
            </w:r>
            <w:r>
              <w:rPr>
                <w:rFonts w:ascii="Arial" w:hAnsi="Arial" w:cs="Arial"/>
                <w:i/>
                <w:snapToGrid w:val="0"/>
                <w:sz w:val="26"/>
                <w:szCs w:val="26"/>
              </w:rPr>
              <w:t>cuerdo</w:t>
            </w:r>
            <w:r w:rsidRPr="007331F4">
              <w:rPr>
                <w:rFonts w:ascii="Arial" w:hAnsi="Arial" w:cs="Arial"/>
                <w:i/>
                <w:snapToGrid w:val="0"/>
                <w:sz w:val="26"/>
                <w:szCs w:val="26"/>
              </w:rPr>
              <w:t xml:space="preserve"> G</w:t>
            </w:r>
            <w:r>
              <w:rPr>
                <w:rFonts w:ascii="Arial" w:hAnsi="Arial" w:cs="Arial"/>
                <w:i/>
                <w:snapToGrid w:val="0"/>
                <w:sz w:val="26"/>
                <w:szCs w:val="26"/>
              </w:rPr>
              <w:t>eneral</w:t>
            </w:r>
            <w:r w:rsidRPr="007331F4">
              <w:rPr>
                <w:rFonts w:ascii="Arial" w:hAnsi="Arial" w:cs="Arial"/>
                <w:i/>
                <w:snapToGrid w:val="0"/>
                <w:sz w:val="26"/>
                <w:szCs w:val="26"/>
              </w:rPr>
              <w:t xml:space="preserve"> AG/TJA</w:t>
            </w:r>
            <w:r w:rsidR="00F7451C">
              <w:rPr>
                <w:rFonts w:ascii="Arial" w:hAnsi="Arial" w:cs="Arial"/>
                <w:i/>
                <w:snapToGrid w:val="0"/>
                <w:sz w:val="26"/>
                <w:szCs w:val="26"/>
              </w:rPr>
              <w:t>O/12/2021</w:t>
            </w:r>
            <w:r w:rsidRPr="007331F4">
              <w:rPr>
                <w:rFonts w:ascii="Arial" w:hAnsi="Arial" w:cs="Arial"/>
                <w:i/>
                <w:snapToGrid w:val="0"/>
                <w:sz w:val="26"/>
                <w:szCs w:val="26"/>
              </w:rPr>
              <w:t xml:space="preserve"> </w:t>
            </w:r>
            <w:r>
              <w:rPr>
                <w:rFonts w:ascii="Arial" w:hAnsi="Arial" w:cs="Arial"/>
                <w:i/>
                <w:snapToGrid w:val="0"/>
                <w:sz w:val="26"/>
                <w:szCs w:val="26"/>
              </w:rPr>
              <w:t>d</w:t>
            </w:r>
            <w:r w:rsidRPr="007331F4">
              <w:rPr>
                <w:rFonts w:ascii="Arial" w:hAnsi="Arial" w:cs="Arial"/>
                <w:i/>
                <w:snapToGrid w:val="0"/>
                <w:sz w:val="26"/>
                <w:szCs w:val="26"/>
              </w:rPr>
              <w:t xml:space="preserve">el Pleno </w:t>
            </w:r>
            <w:r>
              <w:rPr>
                <w:rFonts w:ascii="Arial" w:hAnsi="Arial" w:cs="Arial"/>
                <w:i/>
                <w:snapToGrid w:val="0"/>
                <w:sz w:val="26"/>
                <w:szCs w:val="26"/>
              </w:rPr>
              <w:t>d</w:t>
            </w:r>
            <w:r w:rsidRPr="007331F4">
              <w:rPr>
                <w:rFonts w:ascii="Arial" w:hAnsi="Arial" w:cs="Arial"/>
                <w:i/>
                <w:snapToGrid w:val="0"/>
                <w:sz w:val="26"/>
                <w:szCs w:val="26"/>
              </w:rPr>
              <w:t xml:space="preserve">el Tribunal </w:t>
            </w:r>
            <w:r>
              <w:rPr>
                <w:rFonts w:ascii="Arial" w:hAnsi="Arial" w:cs="Arial"/>
                <w:i/>
                <w:snapToGrid w:val="0"/>
                <w:sz w:val="26"/>
                <w:szCs w:val="26"/>
              </w:rPr>
              <w:t>d</w:t>
            </w:r>
            <w:r w:rsidRPr="007331F4">
              <w:rPr>
                <w:rFonts w:ascii="Arial" w:hAnsi="Arial" w:cs="Arial"/>
                <w:i/>
                <w:snapToGrid w:val="0"/>
                <w:sz w:val="26"/>
                <w:szCs w:val="26"/>
              </w:rPr>
              <w:t xml:space="preserve">e Justicia Administrativa </w:t>
            </w:r>
            <w:r>
              <w:rPr>
                <w:rFonts w:ascii="Arial" w:hAnsi="Arial" w:cs="Arial"/>
                <w:i/>
                <w:snapToGrid w:val="0"/>
                <w:sz w:val="26"/>
                <w:szCs w:val="26"/>
              </w:rPr>
              <w:t>del Estado d</w:t>
            </w:r>
            <w:r w:rsidRPr="007331F4">
              <w:rPr>
                <w:rFonts w:ascii="Arial" w:hAnsi="Arial" w:cs="Arial"/>
                <w:i/>
                <w:snapToGrid w:val="0"/>
                <w:sz w:val="26"/>
                <w:szCs w:val="26"/>
              </w:rPr>
              <w:t xml:space="preserve">e Oaxaca, </w:t>
            </w:r>
            <w:r>
              <w:rPr>
                <w:rFonts w:ascii="Arial" w:hAnsi="Arial" w:cs="Arial"/>
                <w:i/>
                <w:snapToGrid w:val="0"/>
                <w:sz w:val="26"/>
                <w:szCs w:val="26"/>
              </w:rPr>
              <w:t>mediante e</w:t>
            </w:r>
            <w:r w:rsidRPr="007331F4">
              <w:rPr>
                <w:rFonts w:ascii="Arial" w:hAnsi="Arial" w:cs="Arial"/>
                <w:i/>
                <w:snapToGrid w:val="0"/>
                <w:sz w:val="26"/>
                <w:szCs w:val="26"/>
              </w:rPr>
              <w:t xml:space="preserve">l </w:t>
            </w:r>
            <w:r>
              <w:rPr>
                <w:rFonts w:ascii="Arial" w:hAnsi="Arial" w:cs="Arial"/>
                <w:i/>
                <w:snapToGrid w:val="0"/>
                <w:sz w:val="26"/>
                <w:szCs w:val="26"/>
              </w:rPr>
              <w:t>cual se establece el Calendario Oficial, c</w:t>
            </w:r>
            <w:r w:rsidRPr="007331F4">
              <w:rPr>
                <w:rFonts w:ascii="Arial" w:hAnsi="Arial" w:cs="Arial"/>
                <w:i/>
                <w:snapToGrid w:val="0"/>
                <w:sz w:val="26"/>
                <w:szCs w:val="26"/>
              </w:rPr>
              <w:t>orrespondiente</w:t>
            </w:r>
            <w:r>
              <w:rPr>
                <w:rFonts w:ascii="Arial" w:hAnsi="Arial" w:cs="Arial"/>
                <w:i/>
                <w:snapToGrid w:val="0"/>
                <w:sz w:val="26"/>
                <w:szCs w:val="26"/>
              </w:rPr>
              <w:t xml:space="preserve"> al</w:t>
            </w:r>
            <w:r w:rsidRPr="007331F4">
              <w:rPr>
                <w:rFonts w:ascii="Arial" w:hAnsi="Arial" w:cs="Arial"/>
                <w:i/>
                <w:snapToGrid w:val="0"/>
                <w:sz w:val="26"/>
                <w:szCs w:val="26"/>
              </w:rPr>
              <w:t xml:space="preserve"> </w:t>
            </w:r>
            <w:r>
              <w:rPr>
                <w:rFonts w:ascii="Arial" w:hAnsi="Arial" w:cs="Arial"/>
                <w:i/>
                <w:snapToGrid w:val="0"/>
                <w:sz w:val="26"/>
                <w:szCs w:val="26"/>
              </w:rPr>
              <w:t>a</w:t>
            </w:r>
            <w:r w:rsidRPr="007331F4">
              <w:rPr>
                <w:rFonts w:ascii="Arial" w:hAnsi="Arial" w:cs="Arial"/>
                <w:i/>
                <w:snapToGrid w:val="0"/>
                <w:sz w:val="26"/>
                <w:szCs w:val="26"/>
              </w:rPr>
              <w:t xml:space="preserve">ño </w:t>
            </w:r>
            <w:r>
              <w:rPr>
                <w:rFonts w:ascii="Arial" w:hAnsi="Arial" w:cs="Arial"/>
                <w:i/>
                <w:snapToGrid w:val="0"/>
                <w:sz w:val="26"/>
                <w:szCs w:val="26"/>
              </w:rPr>
              <w:t>d</w:t>
            </w:r>
            <w:r w:rsidRPr="007331F4">
              <w:rPr>
                <w:rFonts w:ascii="Arial" w:hAnsi="Arial" w:cs="Arial"/>
                <w:i/>
                <w:snapToGrid w:val="0"/>
                <w:sz w:val="26"/>
                <w:szCs w:val="26"/>
              </w:rPr>
              <w:t xml:space="preserve">os </w:t>
            </w:r>
            <w:r>
              <w:rPr>
                <w:rFonts w:ascii="Arial" w:hAnsi="Arial" w:cs="Arial"/>
                <w:i/>
                <w:snapToGrid w:val="0"/>
                <w:sz w:val="26"/>
                <w:szCs w:val="26"/>
              </w:rPr>
              <w:t>m</w:t>
            </w:r>
            <w:r w:rsidRPr="007331F4">
              <w:rPr>
                <w:rFonts w:ascii="Arial" w:hAnsi="Arial" w:cs="Arial"/>
                <w:i/>
                <w:snapToGrid w:val="0"/>
                <w:sz w:val="26"/>
                <w:szCs w:val="26"/>
              </w:rPr>
              <w:t xml:space="preserve">il </w:t>
            </w:r>
            <w:r>
              <w:rPr>
                <w:rFonts w:ascii="Arial" w:hAnsi="Arial" w:cs="Arial"/>
                <w:i/>
                <w:snapToGrid w:val="0"/>
                <w:sz w:val="26"/>
                <w:szCs w:val="26"/>
              </w:rPr>
              <w:t>v</w:t>
            </w:r>
            <w:r w:rsidR="00F7451C">
              <w:rPr>
                <w:rFonts w:ascii="Arial" w:hAnsi="Arial" w:cs="Arial"/>
                <w:i/>
                <w:snapToGrid w:val="0"/>
                <w:sz w:val="26"/>
                <w:szCs w:val="26"/>
              </w:rPr>
              <w:t>eintidó</w:t>
            </w:r>
            <w:r w:rsidRPr="007331F4">
              <w:rPr>
                <w:rFonts w:ascii="Arial" w:hAnsi="Arial" w:cs="Arial"/>
                <w:i/>
                <w:snapToGrid w:val="0"/>
                <w:sz w:val="26"/>
                <w:szCs w:val="26"/>
              </w:rPr>
              <w:t xml:space="preserve">s, </w:t>
            </w:r>
            <w:r>
              <w:rPr>
                <w:rFonts w:ascii="Arial" w:hAnsi="Arial" w:cs="Arial"/>
                <w:i/>
                <w:snapToGrid w:val="0"/>
                <w:sz w:val="26"/>
                <w:szCs w:val="26"/>
              </w:rPr>
              <w:t>p</w:t>
            </w:r>
            <w:r w:rsidRPr="007331F4">
              <w:rPr>
                <w:rFonts w:ascii="Arial" w:hAnsi="Arial" w:cs="Arial"/>
                <w:i/>
                <w:snapToGrid w:val="0"/>
                <w:sz w:val="26"/>
                <w:szCs w:val="26"/>
              </w:rPr>
              <w:t xml:space="preserve">ara </w:t>
            </w:r>
            <w:r>
              <w:rPr>
                <w:rFonts w:ascii="Arial" w:hAnsi="Arial" w:cs="Arial"/>
                <w:i/>
                <w:snapToGrid w:val="0"/>
                <w:sz w:val="26"/>
                <w:szCs w:val="26"/>
              </w:rPr>
              <w:t>e</w:t>
            </w:r>
            <w:r w:rsidRPr="007331F4">
              <w:rPr>
                <w:rFonts w:ascii="Arial" w:hAnsi="Arial" w:cs="Arial"/>
                <w:i/>
                <w:snapToGrid w:val="0"/>
                <w:sz w:val="26"/>
                <w:szCs w:val="26"/>
              </w:rPr>
              <w:t>ste Órgano Jurisdiccional</w:t>
            </w:r>
          </w:p>
        </w:tc>
      </w:tr>
    </w:tbl>
    <w:p w14:paraId="6FF9537C" w14:textId="77777777" w:rsidR="007331F4" w:rsidRPr="00A3781F" w:rsidRDefault="007331F4" w:rsidP="007331F4">
      <w:pPr>
        <w:tabs>
          <w:tab w:val="center" w:pos="4418"/>
          <w:tab w:val="left" w:pos="6330"/>
        </w:tabs>
        <w:spacing w:line="360" w:lineRule="auto"/>
        <w:jc w:val="center"/>
        <w:rPr>
          <w:rFonts w:ascii="Arial" w:hAnsi="Arial" w:cs="Arial"/>
          <w:b/>
          <w:sz w:val="8"/>
          <w:szCs w:val="26"/>
        </w:rPr>
      </w:pPr>
    </w:p>
    <w:p w14:paraId="4B04BBF3" w14:textId="77777777" w:rsidR="007331F4" w:rsidRPr="00EE4752" w:rsidRDefault="007331F4" w:rsidP="007331F4">
      <w:pPr>
        <w:tabs>
          <w:tab w:val="center" w:pos="4418"/>
          <w:tab w:val="left" w:pos="6330"/>
        </w:tabs>
        <w:spacing w:line="360" w:lineRule="auto"/>
        <w:jc w:val="center"/>
        <w:rPr>
          <w:rFonts w:ascii="Arial" w:hAnsi="Arial" w:cs="Arial"/>
          <w:b/>
          <w:spacing w:val="-3"/>
          <w:sz w:val="26"/>
          <w:szCs w:val="26"/>
          <w:lang w:val="es-ES_tradnl"/>
        </w:rPr>
      </w:pPr>
      <w:r w:rsidRPr="00EE4752">
        <w:rPr>
          <w:rFonts w:ascii="Arial" w:hAnsi="Arial" w:cs="Arial"/>
          <w:b/>
          <w:sz w:val="26"/>
          <w:szCs w:val="26"/>
        </w:rPr>
        <w:t>1. R E</w:t>
      </w:r>
      <w:r w:rsidRPr="00EE4752">
        <w:rPr>
          <w:rFonts w:ascii="Arial" w:hAnsi="Arial" w:cs="Arial"/>
          <w:b/>
          <w:spacing w:val="-3"/>
          <w:sz w:val="26"/>
          <w:szCs w:val="26"/>
          <w:lang w:val="es-ES_tradnl"/>
        </w:rPr>
        <w:t xml:space="preserve"> S U L T A N D O</w:t>
      </w:r>
    </w:p>
    <w:p w14:paraId="5EC95681" w14:textId="56CFE488" w:rsidR="00643C79" w:rsidRPr="00EE4752" w:rsidRDefault="00D82372" w:rsidP="003A1210">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643C79" w:rsidRPr="00EE4752">
        <w:rPr>
          <w:rFonts w:ascii="Arial" w:hAnsi="Arial" w:cs="Arial"/>
          <w:b/>
          <w:bCs/>
          <w:spacing w:val="-3"/>
          <w:sz w:val="26"/>
          <w:szCs w:val="26"/>
          <w:lang w:val="es-ES_tradnl"/>
        </w:rPr>
        <w:t>DEMANDA DE NULIDAD.</w:t>
      </w:r>
    </w:p>
    <w:p w14:paraId="2A4EFA52" w14:textId="4CF71F92" w:rsidR="003E4EAB" w:rsidRPr="00EE4752" w:rsidRDefault="007331F4" w:rsidP="003A1210">
      <w:pPr>
        <w:spacing w:line="360" w:lineRule="auto"/>
        <w:ind w:firstLine="567"/>
        <w:jc w:val="both"/>
        <w:rPr>
          <w:rFonts w:ascii="Arial" w:hAnsi="Arial" w:cs="Arial"/>
          <w:bCs/>
          <w:spacing w:val="-3"/>
          <w:sz w:val="26"/>
          <w:szCs w:val="26"/>
          <w:lang w:val="es-ES_tradnl"/>
        </w:rPr>
      </w:pPr>
      <w:r>
        <w:rPr>
          <w:rFonts w:ascii="Arial" w:eastAsia="Times New Roman" w:hAnsi="Arial" w:cs="Arial"/>
          <w:sz w:val="26"/>
          <w:szCs w:val="26"/>
          <w:lang w:val="es-ES_tradnl" w:eastAsia="es-ES"/>
        </w:rPr>
        <w:t>2</w:t>
      </w:r>
      <w:r w:rsidR="0093013C">
        <w:rPr>
          <w:rFonts w:ascii="Arial" w:eastAsia="Times New Roman" w:hAnsi="Arial" w:cs="Arial"/>
          <w:sz w:val="26"/>
          <w:szCs w:val="26"/>
          <w:lang w:val="es-ES_tradnl" w:eastAsia="es-ES"/>
        </w:rPr>
        <w:t xml:space="preserve">. </w:t>
      </w:r>
      <w:r w:rsidR="00643C79" w:rsidRPr="00EE4752">
        <w:rPr>
          <w:rFonts w:ascii="Arial" w:eastAsia="Times New Roman" w:hAnsi="Arial" w:cs="Arial"/>
          <w:sz w:val="26"/>
          <w:szCs w:val="26"/>
          <w:lang w:val="es-ES_tradnl" w:eastAsia="es-ES"/>
        </w:rPr>
        <w:t>Por escrito presentado el</w:t>
      </w:r>
      <w:r w:rsidR="00643C79" w:rsidRPr="00EE4752">
        <w:rPr>
          <w:rFonts w:ascii="Arial" w:hAnsi="Arial" w:cs="Arial"/>
          <w:bCs/>
          <w:spacing w:val="-3"/>
          <w:sz w:val="26"/>
          <w:szCs w:val="26"/>
          <w:lang w:val="es-ES_tradnl"/>
        </w:rPr>
        <w:t xml:space="preserve"> </w:t>
      </w:r>
      <w:r w:rsidR="0093013C">
        <w:rPr>
          <w:rFonts w:ascii="Arial" w:hAnsi="Arial" w:cs="Arial"/>
          <w:bCs/>
          <w:spacing w:val="-3"/>
          <w:sz w:val="26"/>
          <w:szCs w:val="26"/>
          <w:lang w:val="es-ES_tradnl"/>
        </w:rPr>
        <w:t>veinticinco de noviembre de dos mil veintidós (25/11/2022)</w:t>
      </w:r>
      <w:r w:rsidR="00643C79" w:rsidRPr="00EE4752">
        <w:rPr>
          <w:rFonts w:ascii="Arial" w:hAnsi="Arial" w:cs="Arial"/>
          <w:bCs/>
          <w:spacing w:val="-3"/>
          <w:sz w:val="26"/>
          <w:szCs w:val="26"/>
          <w:lang w:val="es-ES_tradnl"/>
        </w:rPr>
        <w:t>, en la Oficialía de Partes Común de este Tribunal, con residencia en esta ciudad,</w:t>
      </w:r>
      <w:r w:rsidR="003E4EAB">
        <w:rPr>
          <w:rFonts w:ascii="Arial" w:hAnsi="Arial" w:cs="Arial"/>
          <w:sz w:val="26"/>
          <w:szCs w:val="26"/>
        </w:rPr>
        <w:t xml:space="preserve"> </w:t>
      </w:r>
      <w:r w:rsidR="00CB7617">
        <w:rPr>
          <w:rFonts w:ascii="Arial" w:eastAsia="Times New Roman" w:hAnsi="Arial" w:cs="Arial"/>
          <w:sz w:val="26"/>
          <w:szCs w:val="26"/>
          <w:lang w:val="es-ES_tradnl" w:eastAsia="es-ES"/>
        </w:rPr>
        <w:t>************</w:t>
      </w:r>
      <w:r w:rsidR="003E4EAB">
        <w:rPr>
          <w:rFonts w:ascii="Arial" w:hAnsi="Arial" w:cs="Arial"/>
          <w:b/>
          <w:sz w:val="26"/>
          <w:szCs w:val="26"/>
        </w:rPr>
        <w:t xml:space="preserve">, </w:t>
      </w:r>
      <w:r w:rsidR="003E4EAB" w:rsidRPr="003E4EAB">
        <w:rPr>
          <w:rFonts w:ascii="Arial" w:hAnsi="Arial" w:cs="Arial"/>
          <w:sz w:val="26"/>
          <w:szCs w:val="26"/>
        </w:rPr>
        <w:t>quien fungió como</w:t>
      </w:r>
      <w:r w:rsidR="003E4EAB">
        <w:rPr>
          <w:rFonts w:ascii="Arial" w:hAnsi="Arial" w:cs="Arial"/>
          <w:b/>
          <w:sz w:val="26"/>
          <w:szCs w:val="26"/>
        </w:rPr>
        <w:t xml:space="preserve"> </w:t>
      </w:r>
      <w:r w:rsidR="0093013C" w:rsidRPr="0093013C">
        <w:rPr>
          <w:rFonts w:ascii="Arial" w:hAnsi="Arial" w:cs="Arial"/>
          <w:sz w:val="26"/>
          <w:szCs w:val="26"/>
        </w:rPr>
        <w:t>Presidente Municipal</w:t>
      </w:r>
      <w:r w:rsidR="003E4EAB">
        <w:rPr>
          <w:rFonts w:ascii="Arial" w:hAnsi="Arial" w:cs="Arial"/>
          <w:sz w:val="26"/>
          <w:szCs w:val="26"/>
        </w:rPr>
        <w:t xml:space="preserve"> de </w:t>
      </w:r>
      <w:r w:rsidR="0093013C">
        <w:rPr>
          <w:rFonts w:ascii="Arial" w:hAnsi="Arial" w:cs="Arial"/>
          <w:sz w:val="26"/>
          <w:szCs w:val="26"/>
        </w:rPr>
        <w:t xml:space="preserve">Santo Domingo </w:t>
      </w:r>
      <w:proofErr w:type="spellStart"/>
      <w:r w:rsidR="0093013C">
        <w:rPr>
          <w:rFonts w:ascii="Arial" w:hAnsi="Arial" w:cs="Arial"/>
          <w:sz w:val="26"/>
          <w:szCs w:val="26"/>
        </w:rPr>
        <w:t>Tomaltepec</w:t>
      </w:r>
      <w:proofErr w:type="spellEnd"/>
      <w:r w:rsidR="0093013C">
        <w:rPr>
          <w:rFonts w:ascii="Arial" w:hAnsi="Arial" w:cs="Arial"/>
          <w:sz w:val="26"/>
          <w:szCs w:val="26"/>
        </w:rPr>
        <w:t>, Distrito del Centro, Oaxaca</w:t>
      </w:r>
      <w:r w:rsidR="003E4EAB">
        <w:rPr>
          <w:rFonts w:ascii="Arial" w:hAnsi="Arial" w:cs="Arial"/>
          <w:sz w:val="26"/>
          <w:szCs w:val="26"/>
        </w:rPr>
        <w:t xml:space="preserve">, durante el ejercicio fiscal </w:t>
      </w:r>
      <w:r w:rsidR="0093013C">
        <w:rPr>
          <w:rFonts w:ascii="Arial" w:hAnsi="Arial" w:cs="Arial"/>
          <w:sz w:val="26"/>
          <w:szCs w:val="26"/>
        </w:rPr>
        <w:lastRenderedPageBreak/>
        <w:t>dos mil trece</w:t>
      </w:r>
      <w:r w:rsidR="003E4EAB">
        <w:rPr>
          <w:rFonts w:ascii="Arial" w:hAnsi="Arial" w:cs="Arial"/>
          <w:sz w:val="26"/>
          <w:szCs w:val="26"/>
        </w:rPr>
        <w:t xml:space="preserve">, promovió </w:t>
      </w:r>
      <w:r w:rsidR="003E4EAB">
        <w:rPr>
          <w:rFonts w:ascii="Arial" w:hAnsi="Arial" w:cs="Arial"/>
          <w:bCs/>
          <w:iCs/>
          <w:kern w:val="2"/>
          <w:sz w:val="26"/>
          <w:szCs w:val="26"/>
        </w:rPr>
        <w:t xml:space="preserve">por propio derecho juicio de </w:t>
      </w:r>
      <w:r w:rsidR="0093013C">
        <w:rPr>
          <w:rFonts w:ascii="Arial" w:hAnsi="Arial" w:cs="Arial"/>
          <w:bCs/>
          <w:iCs/>
          <w:kern w:val="2"/>
          <w:sz w:val="26"/>
          <w:szCs w:val="26"/>
        </w:rPr>
        <w:t>nuli</w:t>
      </w:r>
      <w:r w:rsidR="003E4EAB" w:rsidRPr="00F00209">
        <w:rPr>
          <w:rFonts w:ascii="Arial" w:hAnsi="Arial" w:cs="Arial"/>
          <w:bCs/>
          <w:iCs/>
          <w:kern w:val="2"/>
          <w:sz w:val="26"/>
          <w:szCs w:val="26"/>
        </w:rPr>
        <w:t>dad</w:t>
      </w:r>
      <w:r w:rsidR="003E4EAB">
        <w:rPr>
          <w:rFonts w:ascii="Arial" w:hAnsi="Arial" w:cs="Arial"/>
          <w:bCs/>
          <w:iCs/>
          <w:kern w:val="2"/>
          <w:sz w:val="26"/>
          <w:szCs w:val="26"/>
        </w:rPr>
        <w:t xml:space="preserve">, en contra de la resolución dictada dentro del Recurso de Reconsideración </w:t>
      </w:r>
      <w:r w:rsidR="0093013C" w:rsidRPr="00AE3ADE">
        <w:rPr>
          <w:rFonts w:ascii="Arial" w:hAnsi="Arial" w:cs="Arial"/>
          <w:b/>
          <w:sz w:val="26"/>
          <w:szCs w:val="26"/>
        </w:rPr>
        <w:t xml:space="preserve">OSFE/REC.R./0084/2019 </w:t>
      </w:r>
      <w:r w:rsidR="0093013C" w:rsidRPr="00AE3ADE">
        <w:rPr>
          <w:rFonts w:ascii="Arial" w:hAnsi="Arial" w:cs="Arial"/>
          <w:sz w:val="26"/>
          <w:szCs w:val="26"/>
        </w:rPr>
        <w:t>y su acumulado</w:t>
      </w:r>
      <w:r w:rsidR="0093013C">
        <w:rPr>
          <w:rFonts w:ascii="Arial" w:hAnsi="Arial" w:cs="Arial"/>
          <w:b/>
          <w:sz w:val="26"/>
          <w:szCs w:val="26"/>
        </w:rPr>
        <w:t xml:space="preserve"> OSFE/REC.R./0085/2019</w:t>
      </w:r>
      <w:r w:rsidR="003E4EAB">
        <w:rPr>
          <w:rFonts w:ascii="Arial" w:hAnsi="Arial" w:cs="Arial"/>
          <w:b/>
          <w:sz w:val="26"/>
          <w:szCs w:val="26"/>
        </w:rPr>
        <w:t xml:space="preserve"> </w:t>
      </w:r>
      <w:r w:rsidR="003E4EAB">
        <w:rPr>
          <w:rFonts w:ascii="Arial" w:hAnsi="Arial" w:cs="Arial"/>
          <w:sz w:val="26"/>
          <w:szCs w:val="26"/>
        </w:rPr>
        <w:t>del índice del entonces Órgano Superior de Fiscalización del Estado de Oaxaca (ahora Auditoría Superior de Fiscalización del Estado de Oaxaca).</w:t>
      </w:r>
    </w:p>
    <w:p w14:paraId="3054FCA2" w14:textId="171C383E" w:rsidR="00643C79" w:rsidRPr="00EE4752" w:rsidRDefault="00643C79" w:rsidP="003A1210">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 xml:space="preserve">SEGUNDO. </w:t>
      </w:r>
      <w:r w:rsidR="00396F45" w:rsidRPr="00EE4752">
        <w:rPr>
          <w:rFonts w:ascii="Arial" w:hAnsi="Arial" w:cs="Arial"/>
          <w:b/>
          <w:spacing w:val="-3"/>
          <w:sz w:val="26"/>
          <w:szCs w:val="26"/>
          <w:lang w:val="es-ES_tradnl"/>
        </w:rPr>
        <w:t xml:space="preserve">ADMISIÓN DE LA DEMANDA Y SU </w:t>
      </w:r>
      <w:r w:rsidR="0093013C">
        <w:rPr>
          <w:rFonts w:ascii="Arial" w:hAnsi="Arial" w:cs="Arial"/>
          <w:b/>
          <w:spacing w:val="-3"/>
          <w:sz w:val="26"/>
          <w:szCs w:val="26"/>
          <w:lang w:val="es-ES_tradnl"/>
        </w:rPr>
        <w:t>REENCAUZAMIENTO</w:t>
      </w:r>
    </w:p>
    <w:p w14:paraId="016E7930" w14:textId="0EEF91D6" w:rsidR="0093013C" w:rsidRDefault="0093013C" w:rsidP="003A1210">
      <w:pPr>
        <w:spacing w:line="360" w:lineRule="auto"/>
        <w:ind w:firstLine="567"/>
        <w:jc w:val="both"/>
        <w:rPr>
          <w:rFonts w:ascii="Arial" w:hAnsi="Arial" w:cs="Arial"/>
          <w:sz w:val="26"/>
          <w:szCs w:val="26"/>
        </w:rPr>
      </w:pPr>
      <w:r>
        <w:rPr>
          <w:rFonts w:ascii="Arial" w:hAnsi="Arial" w:cs="Arial"/>
          <w:bCs/>
          <w:spacing w:val="-3"/>
          <w:sz w:val="26"/>
          <w:szCs w:val="26"/>
          <w:lang w:val="es-ES_tradnl"/>
        </w:rPr>
        <w:t xml:space="preserve">2. </w:t>
      </w:r>
      <w:r w:rsidR="00643C79" w:rsidRPr="00EE4752">
        <w:rPr>
          <w:rFonts w:ascii="Arial" w:hAnsi="Arial" w:cs="Arial"/>
          <w:bCs/>
          <w:spacing w:val="-3"/>
          <w:sz w:val="26"/>
          <w:szCs w:val="26"/>
          <w:lang w:val="es-ES_tradnl"/>
        </w:rPr>
        <w:t xml:space="preserve">Por auto de </w:t>
      </w:r>
      <w:r>
        <w:rPr>
          <w:rFonts w:ascii="Arial" w:hAnsi="Arial" w:cs="Arial"/>
          <w:bCs/>
          <w:spacing w:val="-3"/>
          <w:sz w:val="26"/>
          <w:szCs w:val="26"/>
          <w:lang w:val="es-ES_tradnl"/>
        </w:rPr>
        <w:t>veintinueve</w:t>
      </w:r>
      <w:r w:rsidR="003E4EAB">
        <w:rPr>
          <w:rFonts w:ascii="Arial" w:hAnsi="Arial" w:cs="Arial"/>
          <w:bCs/>
          <w:iCs/>
          <w:kern w:val="2"/>
          <w:sz w:val="26"/>
          <w:szCs w:val="26"/>
        </w:rPr>
        <w:t xml:space="preserve"> de </w:t>
      </w:r>
      <w:r>
        <w:rPr>
          <w:rFonts w:ascii="Arial" w:hAnsi="Arial" w:cs="Arial"/>
          <w:bCs/>
          <w:iCs/>
          <w:kern w:val="2"/>
          <w:sz w:val="26"/>
          <w:szCs w:val="26"/>
        </w:rPr>
        <w:t>noviembre de dos mil veintidós</w:t>
      </w:r>
      <w:r w:rsidR="00C241E6">
        <w:rPr>
          <w:rFonts w:ascii="Arial" w:hAnsi="Arial" w:cs="Arial"/>
          <w:bCs/>
          <w:iCs/>
          <w:kern w:val="2"/>
          <w:sz w:val="26"/>
          <w:szCs w:val="26"/>
        </w:rPr>
        <w:t xml:space="preserve"> (29/11/2022)</w:t>
      </w:r>
      <w:r w:rsidR="00EF598A" w:rsidRPr="00EE4752">
        <w:rPr>
          <w:rFonts w:ascii="Arial" w:hAnsi="Arial" w:cs="Arial"/>
          <w:bCs/>
          <w:spacing w:val="-3"/>
          <w:sz w:val="26"/>
          <w:szCs w:val="26"/>
          <w:lang w:val="es-ES_tradnl"/>
        </w:rPr>
        <w:t>,</w:t>
      </w:r>
      <w:r w:rsidR="00E44306" w:rsidRPr="00EE4752">
        <w:rPr>
          <w:rFonts w:ascii="Arial" w:hAnsi="Arial" w:cs="Arial"/>
          <w:bCs/>
          <w:spacing w:val="-3"/>
          <w:sz w:val="26"/>
          <w:szCs w:val="26"/>
          <w:lang w:val="es-ES_tradnl"/>
        </w:rPr>
        <w:t xml:space="preserve"> </w:t>
      </w:r>
      <w:r>
        <w:rPr>
          <w:rFonts w:ascii="Arial" w:hAnsi="Arial" w:cs="Arial"/>
          <w:bCs/>
          <w:spacing w:val="-3"/>
          <w:sz w:val="26"/>
          <w:szCs w:val="26"/>
          <w:lang w:val="es-ES_tradnl"/>
        </w:rPr>
        <w:t xml:space="preserve">el Titular de la Primera Sala Unitaria de Primera Instancia de este Tribunal se declaró incompetente para conocer </w:t>
      </w:r>
      <w:r w:rsidR="00C241E6">
        <w:rPr>
          <w:rFonts w:ascii="Arial" w:hAnsi="Arial" w:cs="Arial"/>
          <w:bCs/>
          <w:spacing w:val="-3"/>
          <w:sz w:val="26"/>
          <w:szCs w:val="26"/>
          <w:lang w:val="es-ES_tradnl"/>
        </w:rPr>
        <w:t xml:space="preserve">de la demanda interpuesta en contra de la resolución emitida en el recurso de reconsideración </w:t>
      </w:r>
      <w:r w:rsidR="00C241E6" w:rsidRPr="00AE3ADE">
        <w:rPr>
          <w:rFonts w:ascii="Arial" w:hAnsi="Arial" w:cs="Arial"/>
          <w:b/>
          <w:sz w:val="26"/>
          <w:szCs w:val="26"/>
        </w:rPr>
        <w:t xml:space="preserve">OSFE/REC.R./0084/2019 </w:t>
      </w:r>
      <w:r w:rsidR="00C241E6" w:rsidRPr="00AE3ADE">
        <w:rPr>
          <w:rFonts w:ascii="Arial" w:hAnsi="Arial" w:cs="Arial"/>
          <w:sz w:val="26"/>
          <w:szCs w:val="26"/>
        </w:rPr>
        <w:t>y su acumulado</w:t>
      </w:r>
      <w:r w:rsidR="00C241E6">
        <w:rPr>
          <w:rFonts w:ascii="Arial" w:hAnsi="Arial" w:cs="Arial"/>
          <w:b/>
          <w:sz w:val="26"/>
          <w:szCs w:val="26"/>
        </w:rPr>
        <w:t xml:space="preserve"> OSFE/REC.R./0085/2019</w:t>
      </w:r>
      <w:r w:rsidR="00C241E6">
        <w:rPr>
          <w:rFonts w:ascii="Arial" w:hAnsi="Arial" w:cs="Arial"/>
          <w:sz w:val="26"/>
          <w:szCs w:val="26"/>
        </w:rPr>
        <w:t>, y ordenó remitir a la Sala Superior de este Órgano Jurisdiccional el expediente formado, para la tramitación y substanciación del Juicio de Inconformidad en caso de determinarse su procedencia.</w:t>
      </w:r>
    </w:p>
    <w:p w14:paraId="379A5BBD" w14:textId="3B44FA3F" w:rsidR="00C241E6" w:rsidRPr="00C241E6" w:rsidRDefault="00C241E6" w:rsidP="003A1210">
      <w:pPr>
        <w:spacing w:line="360" w:lineRule="auto"/>
        <w:ind w:firstLine="567"/>
        <w:jc w:val="both"/>
        <w:rPr>
          <w:rFonts w:ascii="Arial" w:hAnsi="Arial" w:cs="Arial"/>
          <w:b/>
          <w:bCs/>
          <w:spacing w:val="-3"/>
          <w:sz w:val="26"/>
          <w:szCs w:val="26"/>
          <w:lang w:val="es-ES_tradnl"/>
        </w:rPr>
      </w:pPr>
      <w:r>
        <w:rPr>
          <w:rFonts w:ascii="Arial" w:hAnsi="Arial" w:cs="Arial"/>
          <w:b/>
          <w:sz w:val="26"/>
          <w:szCs w:val="26"/>
        </w:rPr>
        <w:t>TERCERO ADMISIÓN DEL JUICIO DE INCONFORMIDAD Y SU CONTESTACIÓN.</w:t>
      </w:r>
    </w:p>
    <w:p w14:paraId="118969B9" w14:textId="717B3F5D" w:rsidR="00EA4CFD" w:rsidRDefault="00C241E6" w:rsidP="003A1210">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3. Mediante acuerdo de nueve de marzo de dos mil veintitrés (09/03/2023), </w:t>
      </w:r>
      <w:r w:rsidR="00E44306" w:rsidRPr="00EE4752">
        <w:rPr>
          <w:rFonts w:ascii="Arial" w:hAnsi="Arial" w:cs="Arial"/>
          <w:bCs/>
          <w:spacing w:val="-3"/>
          <w:sz w:val="26"/>
          <w:szCs w:val="26"/>
          <w:lang w:val="es-ES_tradnl"/>
        </w:rPr>
        <w:t>se admitió a trámite la demanda interpuesta</w:t>
      </w:r>
      <w:r w:rsidR="00292090" w:rsidRPr="00EE4752">
        <w:rPr>
          <w:rFonts w:ascii="Arial" w:hAnsi="Arial" w:cs="Arial"/>
          <w:bCs/>
          <w:spacing w:val="-3"/>
          <w:sz w:val="26"/>
          <w:szCs w:val="26"/>
          <w:lang w:val="es-ES_tradnl"/>
        </w:rPr>
        <w:t>,</w:t>
      </w:r>
      <w:r w:rsidR="00E44306" w:rsidRPr="00EE4752">
        <w:rPr>
          <w:rFonts w:ascii="Arial" w:hAnsi="Arial" w:cs="Arial"/>
          <w:bCs/>
          <w:spacing w:val="-3"/>
          <w:sz w:val="26"/>
          <w:szCs w:val="26"/>
          <w:lang w:val="es-ES_tradnl"/>
        </w:rPr>
        <w:t xml:space="preserve"> </w:t>
      </w:r>
      <w:r w:rsidR="00D475EF" w:rsidRPr="00F00209">
        <w:rPr>
          <w:rFonts w:ascii="Arial" w:hAnsi="Arial" w:cs="Arial"/>
          <w:bCs/>
          <w:iCs/>
          <w:kern w:val="2"/>
          <w:sz w:val="26"/>
          <w:szCs w:val="26"/>
        </w:rPr>
        <w:t xml:space="preserve">respecto a la </w:t>
      </w:r>
      <w:r w:rsidR="00D475EF" w:rsidRPr="00F00209">
        <w:rPr>
          <w:rFonts w:ascii="Arial" w:hAnsi="Arial" w:cs="Arial"/>
          <w:sz w:val="26"/>
          <w:szCs w:val="26"/>
        </w:rPr>
        <w:t>resolución dictada</w:t>
      </w:r>
      <w:r w:rsidR="00D475EF" w:rsidRPr="00124109">
        <w:rPr>
          <w:rFonts w:ascii="Arial" w:hAnsi="Arial" w:cs="Arial"/>
          <w:sz w:val="26"/>
          <w:szCs w:val="26"/>
        </w:rPr>
        <w:t xml:space="preserve"> </w:t>
      </w:r>
      <w:r w:rsidR="00D475EF" w:rsidRPr="00F00209">
        <w:rPr>
          <w:rFonts w:ascii="Arial" w:hAnsi="Arial" w:cs="Arial"/>
          <w:sz w:val="26"/>
          <w:szCs w:val="26"/>
        </w:rPr>
        <w:t xml:space="preserve">por el </w:t>
      </w:r>
      <w:r w:rsidR="00D475EF" w:rsidRPr="00F00209">
        <w:rPr>
          <w:rFonts w:ascii="Arial" w:hAnsi="Arial" w:cs="Arial"/>
          <w:b/>
          <w:sz w:val="26"/>
          <w:szCs w:val="26"/>
        </w:rPr>
        <w:t>TITULAR DEL ÓRGANO SUPERIOR DE FISCALIZACIÓN DEL ESTADO DE OAXACA</w:t>
      </w:r>
      <w:r w:rsidR="00D475EF" w:rsidRPr="00F00209">
        <w:rPr>
          <w:rFonts w:ascii="Arial" w:hAnsi="Arial" w:cs="Arial"/>
          <w:sz w:val="26"/>
          <w:szCs w:val="26"/>
        </w:rPr>
        <w:t xml:space="preserve"> en el recurso de reconsideración</w:t>
      </w:r>
      <w:r w:rsidR="00D475EF">
        <w:rPr>
          <w:rFonts w:ascii="Arial" w:hAnsi="Arial" w:cs="Arial"/>
          <w:b/>
          <w:sz w:val="26"/>
          <w:szCs w:val="26"/>
        </w:rPr>
        <w:t xml:space="preserve"> </w:t>
      </w:r>
      <w:r w:rsidRPr="00AE3ADE">
        <w:rPr>
          <w:rFonts w:ascii="Arial" w:hAnsi="Arial" w:cs="Arial"/>
          <w:b/>
          <w:sz w:val="26"/>
          <w:szCs w:val="26"/>
        </w:rPr>
        <w:t xml:space="preserve">OSFE/REC.R./0084/2019 </w:t>
      </w:r>
      <w:r w:rsidRPr="00AE3ADE">
        <w:rPr>
          <w:rFonts w:ascii="Arial" w:hAnsi="Arial" w:cs="Arial"/>
          <w:sz w:val="26"/>
          <w:szCs w:val="26"/>
        </w:rPr>
        <w:t>y su acumulado</w:t>
      </w:r>
      <w:r>
        <w:rPr>
          <w:rFonts w:ascii="Arial" w:hAnsi="Arial" w:cs="Arial"/>
          <w:b/>
          <w:sz w:val="26"/>
          <w:szCs w:val="26"/>
        </w:rPr>
        <w:t xml:space="preserve"> OSFE/REC.R./0085/2019</w:t>
      </w:r>
      <w:r w:rsidR="00D475EF" w:rsidRPr="00F00209">
        <w:rPr>
          <w:rFonts w:ascii="Arial" w:hAnsi="Arial" w:cs="Arial"/>
          <w:sz w:val="26"/>
          <w:szCs w:val="26"/>
        </w:rPr>
        <w:t xml:space="preserve">; y </w:t>
      </w:r>
      <w:r w:rsidR="00D475EF">
        <w:rPr>
          <w:rFonts w:ascii="Arial" w:hAnsi="Arial" w:cs="Arial"/>
          <w:sz w:val="26"/>
          <w:szCs w:val="26"/>
        </w:rPr>
        <w:t xml:space="preserve">se les tuvo ofreciendo pruebas, </w:t>
      </w:r>
      <w:r w:rsidR="00E44306" w:rsidRPr="00EE4752">
        <w:rPr>
          <w:rFonts w:ascii="Arial" w:hAnsi="Arial" w:cs="Arial"/>
          <w:bCs/>
          <w:spacing w:val="-3"/>
          <w:sz w:val="26"/>
          <w:szCs w:val="26"/>
          <w:lang w:val="es-ES_tradnl"/>
        </w:rPr>
        <w:t xml:space="preserve">ordenándose correr traslado, emplazar a juicio y apercibir a la autoridad demandada, para que dentro del </w:t>
      </w:r>
      <w:r w:rsidR="004F4B4D" w:rsidRPr="00EE4752">
        <w:rPr>
          <w:rFonts w:ascii="Arial" w:hAnsi="Arial" w:cs="Arial"/>
          <w:bCs/>
          <w:spacing w:val="-3"/>
          <w:sz w:val="26"/>
          <w:szCs w:val="26"/>
          <w:lang w:val="es-ES_tradnl"/>
        </w:rPr>
        <w:t>plazo</w:t>
      </w:r>
      <w:r w:rsidR="00E44306" w:rsidRPr="00EE4752">
        <w:rPr>
          <w:rFonts w:ascii="Arial" w:hAnsi="Arial" w:cs="Arial"/>
          <w:bCs/>
          <w:spacing w:val="-3"/>
          <w:sz w:val="26"/>
          <w:szCs w:val="26"/>
          <w:lang w:val="es-ES_tradnl"/>
        </w:rPr>
        <w:t xml:space="preserve"> que marca la </w:t>
      </w:r>
      <w:r w:rsidR="00193860">
        <w:rPr>
          <w:rFonts w:ascii="Arial" w:hAnsi="Arial" w:cs="Arial"/>
          <w:bCs/>
          <w:spacing w:val="-3"/>
          <w:sz w:val="26"/>
          <w:szCs w:val="26"/>
          <w:lang w:val="es-ES_tradnl"/>
        </w:rPr>
        <w:t>Ley de Procedimiento</w:t>
      </w:r>
      <w:r w:rsidR="00E44306" w:rsidRPr="00EE4752">
        <w:rPr>
          <w:rFonts w:ascii="Arial" w:hAnsi="Arial" w:cs="Arial"/>
          <w:bCs/>
          <w:spacing w:val="-3"/>
          <w:sz w:val="26"/>
          <w:szCs w:val="26"/>
          <w:lang w:val="es-ES_tradnl"/>
        </w:rPr>
        <w:t xml:space="preserve">, produjera su contestación. </w:t>
      </w:r>
    </w:p>
    <w:p w14:paraId="01FEA784" w14:textId="3A721924" w:rsidR="00D475EF" w:rsidRPr="00D475EF" w:rsidRDefault="00C241E6" w:rsidP="00D475EF">
      <w:pPr>
        <w:spacing w:line="360" w:lineRule="auto"/>
        <w:ind w:firstLine="567"/>
        <w:jc w:val="both"/>
        <w:rPr>
          <w:rFonts w:ascii="Arial" w:hAnsi="Arial" w:cs="Arial"/>
          <w:sz w:val="26"/>
          <w:szCs w:val="26"/>
        </w:rPr>
      </w:pPr>
      <w:r>
        <w:rPr>
          <w:rFonts w:ascii="Arial" w:hAnsi="Arial" w:cs="Arial"/>
          <w:bCs/>
          <w:spacing w:val="-3"/>
          <w:sz w:val="26"/>
          <w:szCs w:val="26"/>
          <w:lang w:val="es-ES_tradnl"/>
        </w:rPr>
        <w:t xml:space="preserve">4. </w:t>
      </w:r>
      <w:r w:rsidR="00300882" w:rsidRPr="00EE4752">
        <w:rPr>
          <w:rFonts w:ascii="Arial" w:hAnsi="Arial" w:cs="Arial"/>
          <w:bCs/>
          <w:spacing w:val="-3"/>
          <w:sz w:val="26"/>
          <w:szCs w:val="26"/>
          <w:lang w:val="es-ES_tradnl"/>
        </w:rPr>
        <w:t>Mediante acuerdo de</w:t>
      </w:r>
      <w:r w:rsidR="003B457A">
        <w:rPr>
          <w:rFonts w:ascii="Arial" w:hAnsi="Arial" w:cs="Arial"/>
          <w:bCs/>
          <w:spacing w:val="-3"/>
          <w:sz w:val="26"/>
          <w:szCs w:val="26"/>
          <w:lang w:val="es-ES_tradnl"/>
        </w:rPr>
        <w:t xml:space="preserve"> </w:t>
      </w:r>
      <w:r w:rsidR="00D475EF" w:rsidRPr="00D475EF">
        <w:rPr>
          <w:rFonts w:ascii="Arial" w:hAnsi="Arial" w:cs="Arial"/>
          <w:bCs/>
          <w:spacing w:val="-3"/>
          <w:sz w:val="26"/>
          <w:szCs w:val="26"/>
          <w:lang w:val="es-ES_tradnl"/>
        </w:rPr>
        <w:t>veinte</w:t>
      </w:r>
      <w:r>
        <w:rPr>
          <w:rFonts w:ascii="Arial" w:hAnsi="Arial" w:cs="Arial"/>
          <w:bCs/>
          <w:spacing w:val="-3"/>
          <w:sz w:val="26"/>
          <w:szCs w:val="26"/>
          <w:lang w:val="es-ES_tradnl"/>
        </w:rPr>
        <w:t xml:space="preserve"> de abril de dos mil veintitrés (20/04/2023), se tuvo a</w:t>
      </w:r>
      <w:r w:rsidR="00D475EF" w:rsidRPr="00D475EF">
        <w:rPr>
          <w:rFonts w:ascii="Arial" w:hAnsi="Arial" w:cs="Arial"/>
          <w:bCs/>
          <w:spacing w:val="-3"/>
          <w:sz w:val="26"/>
          <w:szCs w:val="26"/>
          <w:lang w:val="es-ES_tradnl"/>
        </w:rPr>
        <w:t>l Titular de la Unidad de Asuntos Jurídicos de</w:t>
      </w:r>
      <w:r>
        <w:rPr>
          <w:rFonts w:ascii="Arial" w:hAnsi="Arial" w:cs="Arial"/>
          <w:bCs/>
          <w:spacing w:val="-3"/>
          <w:sz w:val="26"/>
          <w:szCs w:val="26"/>
          <w:lang w:val="es-ES_tradnl"/>
        </w:rPr>
        <w:t xml:space="preserve"> </w:t>
      </w:r>
      <w:r w:rsidR="00D475EF" w:rsidRPr="00D475EF">
        <w:rPr>
          <w:rFonts w:ascii="Arial" w:hAnsi="Arial" w:cs="Arial"/>
          <w:bCs/>
          <w:spacing w:val="-3"/>
          <w:sz w:val="26"/>
          <w:szCs w:val="26"/>
          <w:lang w:val="es-ES_tradnl"/>
        </w:rPr>
        <w:t>l</w:t>
      </w:r>
      <w:r>
        <w:rPr>
          <w:rFonts w:ascii="Arial" w:hAnsi="Arial" w:cs="Arial"/>
          <w:bCs/>
          <w:spacing w:val="-3"/>
          <w:sz w:val="26"/>
          <w:szCs w:val="26"/>
          <w:lang w:val="es-ES_tradnl"/>
        </w:rPr>
        <w:t>a</w:t>
      </w:r>
      <w:r w:rsidR="00D475EF" w:rsidRPr="00D475EF">
        <w:rPr>
          <w:rFonts w:ascii="Arial" w:hAnsi="Arial" w:cs="Arial"/>
          <w:bCs/>
          <w:spacing w:val="-3"/>
          <w:sz w:val="26"/>
          <w:szCs w:val="26"/>
          <w:lang w:val="es-ES_tradnl"/>
        </w:rPr>
        <w:t xml:space="preserve"> </w:t>
      </w:r>
      <w:r>
        <w:rPr>
          <w:rFonts w:ascii="Arial" w:hAnsi="Arial" w:cs="Arial"/>
          <w:bCs/>
          <w:spacing w:val="-3"/>
          <w:sz w:val="26"/>
          <w:szCs w:val="26"/>
          <w:lang w:val="es-ES_tradnl"/>
        </w:rPr>
        <w:t xml:space="preserve">Auditoría Superior </w:t>
      </w:r>
      <w:r w:rsidR="00D475EF" w:rsidRPr="00D475EF">
        <w:rPr>
          <w:rFonts w:ascii="Arial" w:hAnsi="Arial" w:cs="Arial"/>
          <w:sz w:val="26"/>
          <w:szCs w:val="26"/>
        </w:rPr>
        <w:t xml:space="preserve">de Fiscalización del Estado de Oaxaca, en representación del Titular de </w:t>
      </w:r>
      <w:r>
        <w:rPr>
          <w:rFonts w:ascii="Arial" w:hAnsi="Arial" w:cs="Arial"/>
          <w:sz w:val="26"/>
          <w:szCs w:val="26"/>
        </w:rPr>
        <w:t>la referida Auditoría</w:t>
      </w:r>
      <w:r w:rsidR="00D475EF" w:rsidRPr="00D475EF">
        <w:rPr>
          <w:rFonts w:ascii="Arial" w:hAnsi="Arial" w:cs="Arial"/>
          <w:sz w:val="26"/>
          <w:szCs w:val="26"/>
        </w:rPr>
        <w:t xml:space="preserve">, rindiendo el informe que le fue requerido, a través del oficio número </w:t>
      </w:r>
      <w:r>
        <w:rPr>
          <w:rFonts w:ascii="Arial" w:hAnsi="Arial" w:cs="Arial"/>
          <w:sz w:val="26"/>
          <w:szCs w:val="26"/>
        </w:rPr>
        <w:t>ASFE/UAJ/00006/2023</w:t>
      </w:r>
      <w:r w:rsidR="00D475EF" w:rsidRPr="00D475EF">
        <w:rPr>
          <w:rFonts w:ascii="Arial" w:hAnsi="Arial" w:cs="Arial"/>
          <w:sz w:val="26"/>
          <w:szCs w:val="26"/>
        </w:rPr>
        <w:t xml:space="preserve"> de </w:t>
      </w:r>
      <w:r>
        <w:rPr>
          <w:rFonts w:ascii="Arial" w:hAnsi="Arial" w:cs="Arial"/>
          <w:sz w:val="26"/>
          <w:szCs w:val="26"/>
        </w:rPr>
        <w:t>diecisiete de abril de dos mil veintitrés (17/04/2023)</w:t>
      </w:r>
      <w:r w:rsidR="00D475EF" w:rsidRPr="00D475EF">
        <w:rPr>
          <w:rFonts w:ascii="Arial" w:hAnsi="Arial" w:cs="Arial"/>
          <w:sz w:val="26"/>
          <w:szCs w:val="26"/>
        </w:rPr>
        <w:t>, asimismo se admitieron las pruebas ofrecidas por las partes.</w:t>
      </w:r>
    </w:p>
    <w:p w14:paraId="04C19CA1" w14:textId="7ECF2695" w:rsidR="00524C88" w:rsidRPr="00EE4752" w:rsidRDefault="00305031" w:rsidP="00B823D0">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CUARTO</w:t>
      </w:r>
      <w:r w:rsidR="00A46078" w:rsidRPr="00EE4752">
        <w:rPr>
          <w:rFonts w:ascii="Arial" w:hAnsi="Arial" w:cs="Arial"/>
          <w:b/>
          <w:bCs/>
          <w:spacing w:val="-3"/>
          <w:sz w:val="26"/>
          <w:szCs w:val="26"/>
          <w:lang w:val="es-ES_tradnl"/>
        </w:rPr>
        <w:t>. AUDIENCIA DE LEY.</w:t>
      </w:r>
    </w:p>
    <w:p w14:paraId="4F74A562" w14:textId="54A20D61" w:rsidR="00B823D0" w:rsidRPr="00EE4752" w:rsidRDefault="00305031" w:rsidP="00B823D0">
      <w:pPr>
        <w:spacing w:line="360" w:lineRule="auto"/>
        <w:ind w:firstLine="567"/>
        <w:jc w:val="both"/>
        <w:rPr>
          <w:rFonts w:ascii="Arial" w:hAnsi="Arial" w:cs="Arial"/>
          <w:spacing w:val="-3"/>
          <w:sz w:val="26"/>
          <w:szCs w:val="26"/>
          <w:lang w:val="es-ES_tradnl"/>
        </w:rPr>
      </w:pPr>
      <w:r>
        <w:rPr>
          <w:rFonts w:ascii="Arial" w:hAnsi="Arial" w:cs="Arial"/>
          <w:bCs/>
          <w:spacing w:val="-3"/>
          <w:sz w:val="26"/>
          <w:szCs w:val="26"/>
          <w:lang w:val="es-ES_tradnl"/>
        </w:rPr>
        <w:t xml:space="preserve">5. </w:t>
      </w:r>
      <w:r w:rsidR="00646FEE" w:rsidRPr="00EE4752">
        <w:rPr>
          <w:rFonts w:ascii="Arial" w:hAnsi="Arial" w:cs="Arial"/>
          <w:bCs/>
          <w:spacing w:val="-3"/>
          <w:sz w:val="26"/>
          <w:szCs w:val="26"/>
          <w:lang w:val="es-ES_tradnl"/>
        </w:rPr>
        <w:t xml:space="preserve">Mediante </w:t>
      </w:r>
      <w:r w:rsidR="00646FEE" w:rsidRPr="005C6522">
        <w:rPr>
          <w:rFonts w:ascii="Arial" w:hAnsi="Arial" w:cs="Arial"/>
          <w:bCs/>
          <w:spacing w:val="-3"/>
          <w:sz w:val="26"/>
          <w:szCs w:val="26"/>
          <w:lang w:val="es-ES_tradnl"/>
        </w:rPr>
        <w:t xml:space="preserve">acuerdo </w:t>
      </w:r>
      <w:r w:rsidRPr="00D475EF">
        <w:rPr>
          <w:rFonts w:ascii="Arial" w:hAnsi="Arial" w:cs="Arial"/>
          <w:bCs/>
          <w:spacing w:val="-3"/>
          <w:sz w:val="26"/>
          <w:szCs w:val="26"/>
          <w:lang w:val="es-ES_tradnl"/>
        </w:rPr>
        <w:t>veinte</w:t>
      </w:r>
      <w:r>
        <w:rPr>
          <w:rFonts w:ascii="Arial" w:hAnsi="Arial" w:cs="Arial"/>
          <w:bCs/>
          <w:spacing w:val="-3"/>
          <w:sz w:val="26"/>
          <w:szCs w:val="26"/>
          <w:lang w:val="es-ES_tradnl"/>
        </w:rPr>
        <w:t xml:space="preserve"> de abril de dos mil veintitrés (20/04/2023)</w:t>
      </w:r>
      <w:r w:rsidR="0090593F" w:rsidRPr="005C6522">
        <w:rPr>
          <w:rFonts w:ascii="Arial" w:hAnsi="Arial" w:cs="Arial"/>
          <w:spacing w:val="-3"/>
          <w:sz w:val="26"/>
          <w:szCs w:val="26"/>
          <w:lang w:val="es-ES_tradnl"/>
        </w:rPr>
        <w:t xml:space="preserve">, </w:t>
      </w:r>
      <w:r w:rsidR="00C662A1" w:rsidRPr="005C6522">
        <w:rPr>
          <w:rFonts w:ascii="Arial" w:hAnsi="Arial" w:cs="Arial"/>
          <w:spacing w:val="-3"/>
          <w:sz w:val="26"/>
          <w:szCs w:val="26"/>
          <w:lang w:val="es-ES_tradnl"/>
        </w:rPr>
        <w:t>se</w:t>
      </w:r>
      <w:r w:rsidR="00C662A1" w:rsidRPr="00EE4752">
        <w:rPr>
          <w:rFonts w:ascii="Arial" w:hAnsi="Arial" w:cs="Arial"/>
          <w:spacing w:val="-3"/>
          <w:sz w:val="26"/>
          <w:szCs w:val="26"/>
          <w:lang w:val="es-ES_tradnl"/>
        </w:rPr>
        <w:t xml:space="preserve"> señaló fecha y hora para la celebración de la audiencia final.</w:t>
      </w:r>
    </w:p>
    <w:p w14:paraId="07FA2234" w14:textId="4AE50BD1" w:rsidR="00D475EF" w:rsidRDefault="00305031" w:rsidP="00305031">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lastRenderedPageBreak/>
        <w:t xml:space="preserve">6. </w:t>
      </w:r>
      <w:r w:rsidR="00F53072" w:rsidRPr="00EE4752">
        <w:rPr>
          <w:rFonts w:ascii="Arial" w:hAnsi="Arial" w:cs="Arial"/>
          <w:bCs/>
          <w:spacing w:val="-3"/>
          <w:sz w:val="26"/>
          <w:szCs w:val="26"/>
          <w:lang w:val="es-ES_tradnl"/>
        </w:rPr>
        <w:t>El</w:t>
      </w:r>
      <w:r w:rsidR="00CE3F36" w:rsidRPr="00EE4752">
        <w:rPr>
          <w:rFonts w:ascii="Arial" w:hAnsi="Arial" w:cs="Arial"/>
          <w:bCs/>
          <w:spacing w:val="-3"/>
          <w:sz w:val="26"/>
          <w:szCs w:val="26"/>
          <w:lang w:val="es-ES_tradnl"/>
        </w:rPr>
        <w:t xml:space="preserve"> </w:t>
      </w:r>
      <w:r>
        <w:rPr>
          <w:rFonts w:ascii="Arial" w:hAnsi="Arial" w:cs="Arial"/>
          <w:bCs/>
          <w:spacing w:val="-3"/>
          <w:sz w:val="26"/>
          <w:szCs w:val="26"/>
          <w:lang w:val="es-ES_tradnl"/>
        </w:rPr>
        <w:t>veintiséis de mayo de dos mil veintitrés</w:t>
      </w:r>
      <w:r w:rsidR="00D475EF" w:rsidRPr="00D475EF">
        <w:rPr>
          <w:rFonts w:ascii="Arial" w:hAnsi="Arial" w:cs="Arial"/>
          <w:bCs/>
          <w:spacing w:val="-3"/>
          <w:sz w:val="26"/>
          <w:szCs w:val="26"/>
          <w:lang w:val="es-ES_tradnl"/>
        </w:rPr>
        <w:t>, se llevó a cabo la audiencia de pruebas y alegatos, sin asistencia de las partes, en la que se desa</w:t>
      </w:r>
      <w:r>
        <w:rPr>
          <w:rFonts w:ascii="Arial" w:hAnsi="Arial" w:cs="Arial"/>
          <w:bCs/>
          <w:spacing w:val="-3"/>
          <w:sz w:val="26"/>
          <w:szCs w:val="26"/>
          <w:lang w:val="es-ES_tradnl"/>
        </w:rPr>
        <w:t>hogaron las pruebas admitidas a</w:t>
      </w:r>
      <w:r w:rsidR="00D475EF" w:rsidRPr="00D475EF">
        <w:rPr>
          <w:rFonts w:ascii="Arial" w:hAnsi="Arial" w:cs="Arial"/>
          <w:bCs/>
          <w:spacing w:val="-3"/>
          <w:sz w:val="26"/>
          <w:szCs w:val="26"/>
          <w:lang w:val="es-ES_tradnl"/>
        </w:rPr>
        <w:t>l</w:t>
      </w:r>
      <w:r>
        <w:rPr>
          <w:rFonts w:ascii="Arial" w:hAnsi="Arial" w:cs="Arial"/>
          <w:bCs/>
          <w:spacing w:val="-3"/>
          <w:sz w:val="26"/>
          <w:szCs w:val="26"/>
          <w:lang w:val="es-ES_tradnl"/>
        </w:rPr>
        <w:t xml:space="preserve"> demandante</w:t>
      </w:r>
      <w:r w:rsidR="00D475EF" w:rsidRPr="00D475EF">
        <w:rPr>
          <w:rFonts w:ascii="Arial" w:hAnsi="Arial" w:cs="Arial"/>
          <w:bCs/>
          <w:spacing w:val="-3"/>
          <w:sz w:val="26"/>
          <w:szCs w:val="26"/>
          <w:lang w:val="es-ES_tradnl"/>
        </w:rPr>
        <w:t xml:space="preserve"> y a la autoridad fiscalizadora, y concluido su desahogo, se abrió el periodo de alegatos, fase en la que se dio cuenta </w:t>
      </w:r>
      <w:r>
        <w:rPr>
          <w:rFonts w:ascii="Arial" w:hAnsi="Arial" w:cs="Arial"/>
          <w:bCs/>
          <w:spacing w:val="-3"/>
          <w:sz w:val="26"/>
          <w:szCs w:val="26"/>
          <w:lang w:val="es-ES_tradnl"/>
        </w:rPr>
        <w:t xml:space="preserve">con un escrito de la parte actora por medio del cual formula sus alegatos, ordenándose su engrose al expediente, el cual se tomará en consideración al momento de dictar resolución, sin que la autoridad demandada haya presentado escrito alguno en ese sentido, </w:t>
      </w:r>
      <w:r w:rsidR="00D475EF" w:rsidRPr="00D475EF">
        <w:rPr>
          <w:rFonts w:ascii="Arial" w:hAnsi="Arial" w:cs="Arial"/>
          <w:bCs/>
          <w:spacing w:val="-3"/>
          <w:sz w:val="26"/>
          <w:szCs w:val="26"/>
          <w:lang w:val="es-ES_tradnl"/>
        </w:rPr>
        <w:t xml:space="preserve">declarándose </w:t>
      </w:r>
      <w:proofErr w:type="spellStart"/>
      <w:r w:rsidR="00D475EF" w:rsidRPr="00D475EF">
        <w:rPr>
          <w:rFonts w:ascii="Arial" w:hAnsi="Arial" w:cs="Arial"/>
          <w:bCs/>
          <w:spacing w:val="-3"/>
          <w:sz w:val="26"/>
          <w:szCs w:val="26"/>
          <w:lang w:val="es-ES_tradnl"/>
        </w:rPr>
        <w:t>precluído</w:t>
      </w:r>
      <w:proofErr w:type="spellEnd"/>
      <w:r w:rsidR="00D475EF" w:rsidRPr="00D475EF">
        <w:rPr>
          <w:rFonts w:ascii="Arial" w:hAnsi="Arial" w:cs="Arial"/>
          <w:bCs/>
          <w:spacing w:val="-3"/>
          <w:sz w:val="26"/>
          <w:szCs w:val="26"/>
          <w:lang w:val="es-ES_tradnl"/>
        </w:rPr>
        <w:t xml:space="preserve"> el derecho de las </w:t>
      </w:r>
      <w:r>
        <w:rPr>
          <w:rFonts w:ascii="Arial" w:hAnsi="Arial" w:cs="Arial"/>
          <w:bCs/>
          <w:spacing w:val="-3"/>
          <w:sz w:val="26"/>
          <w:szCs w:val="26"/>
          <w:lang w:val="es-ES_tradnl"/>
        </w:rPr>
        <w:t xml:space="preserve">autoridad demandada </w:t>
      </w:r>
      <w:r w:rsidR="00D475EF" w:rsidRPr="00D475EF">
        <w:rPr>
          <w:rFonts w:ascii="Arial" w:hAnsi="Arial" w:cs="Arial"/>
          <w:bCs/>
          <w:spacing w:val="-3"/>
          <w:sz w:val="26"/>
          <w:szCs w:val="26"/>
          <w:lang w:val="es-ES_tradnl"/>
        </w:rPr>
        <w:t>partes para alegar</w:t>
      </w:r>
      <w:r>
        <w:rPr>
          <w:rFonts w:ascii="Arial" w:hAnsi="Arial" w:cs="Arial"/>
          <w:bCs/>
          <w:spacing w:val="-3"/>
          <w:sz w:val="26"/>
          <w:szCs w:val="26"/>
          <w:lang w:val="es-ES_tradnl"/>
        </w:rPr>
        <w:t>, cerrándose</w:t>
      </w:r>
      <w:r w:rsidR="00D475EF" w:rsidRPr="00D475EF">
        <w:rPr>
          <w:rFonts w:ascii="Arial" w:hAnsi="Arial" w:cs="Arial"/>
          <w:bCs/>
          <w:spacing w:val="-3"/>
          <w:sz w:val="26"/>
          <w:szCs w:val="26"/>
          <w:lang w:val="es-ES_tradnl"/>
        </w:rPr>
        <w:t xml:space="preserve"> periodo del juici</w:t>
      </w:r>
      <w:r w:rsidR="00D475EF">
        <w:rPr>
          <w:rFonts w:ascii="Arial" w:hAnsi="Arial" w:cs="Arial"/>
          <w:bCs/>
          <w:spacing w:val="-3"/>
          <w:sz w:val="26"/>
          <w:szCs w:val="26"/>
          <w:lang w:val="es-ES_tradnl"/>
        </w:rPr>
        <w:t>o.</w:t>
      </w:r>
    </w:p>
    <w:p w14:paraId="3F418BFA" w14:textId="7922AC74" w:rsidR="00D475EF" w:rsidRPr="00F00209" w:rsidRDefault="00431F5F" w:rsidP="00305031">
      <w:pPr>
        <w:pStyle w:val="corte4fondo"/>
        <w:tabs>
          <w:tab w:val="left" w:pos="0"/>
        </w:tabs>
        <w:spacing w:before="240" w:after="240"/>
        <w:ind w:right="51" w:firstLine="0"/>
        <w:rPr>
          <w:b/>
          <w:sz w:val="26"/>
          <w:szCs w:val="26"/>
          <w:lang w:val="es-MX"/>
        </w:rPr>
      </w:pPr>
      <w:r>
        <w:rPr>
          <w:rFonts w:cs="Arial"/>
          <w:bCs/>
          <w:spacing w:val="-3"/>
          <w:sz w:val="26"/>
          <w:szCs w:val="26"/>
        </w:rPr>
        <w:tab/>
      </w:r>
      <w:r w:rsidR="00305031">
        <w:rPr>
          <w:rFonts w:cs="Arial"/>
          <w:bCs/>
          <w:spacing w:val="-3"/>
          <w:sz w:val="26"/>
          <w:szCs w:val="26"/>
        </w:rPr>
        <w:t xml:space="preserve">7. </w:t>
      </w:r>
      <w:r w:rsidR="00D475EF">
        <w:rPr>
          <w:sz w:val="26"/>
          <w:szCs w:val="26"/>
        </w:rPr>
        <w:t xml:space="preserve">Por acuerdo de ocho de </w:t>
      </w:r>
      <w:r w:rsidR="00305031">
        <w:rPr>
          <w:sz w:val="26"/>
          <w:szCs w:val="26"/>
        </w:rPr>
        <w:t>junio de dos mil veintitrés (08/06/2023)</w:t>
      </w:r>
      <w:r w:rsidR="00D475EF" w:rsidRPr="00F00209">
        <w:rPr>
          <w:sz w:val="26"/>
          <w:szCs w:val="26"/>
        </w:rPr>
        <w:t>, se dictó acuerdo en el que se determinó agotada l</w:t>
      </w:r>
      <w:r w:rsidR="00D475EF">
        <w:rPr>
          <w:sz w:val="26"/>
          <w:szCs w:val="26"/>
        </w:rPr>
        <w:t>a instrucción del procedimiento,</w:t>
      </w:r>
      <w:r w:rsidR="00D475EF" w:rsidRPr="00F00209">
        <w:rPr>
          <w:sz w:val="26"/>
          <w:szCs w:val="26"/>
        </w:rPr>
        <w:t xml:space="preserve"> quedando el presente juicio en estado de resolución; y, </w:t>
      </w:r>
    </w:p>
    <w:p w14:paraId="258CE6C0" w14:textId="2E11EF85" w:rsidR="00102315" w:rsidRPr="00EE4752" w:rsidRDefault="003E5FB0" w:rsidP="00B823D0">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73A3A46A" w14:textId="77D35705" w:rsidR="00350309" w:rsidRPr="00EE4752" w:rsidRDefault="00102315" w:rsidP="00605164">
      <w:pPr>
        <w:spacing w:line="360" w:lineRule="auto"/>
        <w:ind w:firstLine="567"/>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002F64E7">
        <w:rPr>
          <w:rFonts w:ascii="Arial" w:hAnsi="Arial" w:cs="Arial"/>
          <w:b/>
          <w:sz w:val="26"/>
          <w:szCs w:val="26"/>
        </w:rPr>
        <w:t xml:space="preserve"> JURISDICCIÓN</w:t>
      </w:r>
      <w:r w:rsidR="00DC765E" w:rsidRPr="00EE4752">
        <w:rPr>
          <w:rFonts w:ascii="Arial" w:hAnsi="Arial" w:cs="Arial"/>
          <w:b/>
          <w:sz w:val="26"/>
          <w:szCs w:val="26"/>
        </w:rPr>
        <w:t xml:space="preserve">. </w:t>
      </w:r>
    </w:p>
    <w:p w14:paraId="4A139DD9" w14:textId="66444EC5" w:rsidR="007331F4" w:rsidRPr="008A04E2" w:rsidRDefault="00305031" w:rsidP="007331F4">
      <w:pPr>
        <w:spacing w:line="360" w:lineRule="auto"/>
        <w:ind w:firstLine="567"/>
        <w:jc w:val="both"/>
        <w:rPr>
          <w:rFonts w:ascii="Arial" w:hAnsi="Arial" w:cs="Arial"/>
          <w:sz w:val="26"/>
          <w:szCs w:val="26"/>
        </w:rPr>
      </w:pPr>
      <w:r>
        <w:rPr>
          <w:rFonts w:ascii="Arial" w:hAnsi="Arial" w:cs="Arial"/>
          <w:sz w:val="26"/>
          <w:szCs w:val="26"/>
        </w:rPr>
        <w:t xml:space="preserve">8. </w:t>
      </w:r>
      <w:r w:rsidR="007331F4" w:rsidRPr="00EE4752">
        <w:rPr>
          <w:rFonts w:ascii="Arial" w:hAnsi="Arial" w:cs="Arial"/>
          <w:sz w:val="26"/>
          <w:szCs w:val="26"/>
        </w:rPr>
        <w:t xml:space="preserve">Esta Sala </w:t>
      </w:r>
      <w:r w:rsidR="007331F4">
        <w:rPr>
          <w:rFonts w:ascii="Arial" w:hAnsi="Arial" w:cs="Arial"/>
          <w:sz w:val="26"/>
          <w:szCs w:val="26"/>
        </w:rPr>
        <w:t xml:space="preserve">Superior </w:t>
      </w:r>
      <w:r w:rsidR="007331F4" w:rsidRPr="00EE4752">
        <w:rPr>
          <w:rFonts w:ascii="Arial" w:hAnsi="Arial" w:cs="Arial"/>
          <w:sz w:val="26"/>
          <w:szCs w:val="26"/>
        </w:rPr>
        <w:t>del Tribunal de Justicia Administrativa y Combate a la Corrupción del Estado de Oaxaca, es competente para conocer y resolver el presente juicio</w:t>
      </w:r>
      <w:r w:rsidR="007331F4">
        <w:rPr>
          <w:rFonts w:ascii="Arial" w:hAnsi="Arial" w:cs="Arial"/>
          <w:sz w:val="26"/>
          <w:szCs w:val="26"/>
        </w:rPr>
        <w:t xml:space="preserve"> de inconformidad</w:t>
      </w:r>
      <w:r w:rsidR="007331F4" w:rsidRPr="00EE4752">
        <w:rPr>
          <w:rFonts w:ascii="Arial" w:hAnsi="Arial" w:cs="Arial"/>
          <w:sz w:val="26"/>
          <w:szCs w:val="26"/>
        </w:rPr>
        <w:t xml:space="preserve">, con fundamento en los artículos </w:t>
      </w:r>
      <w:r w:rsidR="007331F4" w:rsidRPr="003E1D74">
        <w:rPr>
          <w:rFonts w:ascii="Arial" w:hAnsi="Arial" w:cs="Arial"/>
          <w:sz w:val="26"/>
          <w:szCs w:val="26"/>
        </w:rPr>
        <w:t xml:space="preserve">116 párrafo primero de la fracción V de la </w:t>
      </w:r>
      <w:r w:rsidR="007331F4" w:rsidRPr="00F17D36">
        <w:rPr>
          <w:rFonts w:ascii="Arial" w:hAnsi="Arial" w:cs="Arial"/>
          <w:i/>
          <w:sz w:val="26"/>
          <w:szCs w:val="26"/>
        </w:rPr>
        <w:t>Constitución Federal</w:t>
      </w:r>
      <w:r w:rsidR="007331F4" w:rsidRPr="003E1D74">
        <w:rPr>
          <w:rFonts w:ascii="Arial" w:hAnsi="Arial" w:cs="Arial"/>
          <w:sz w:val="26"/>
          <w:szCs w:val="26"/>
        </w:rPr>
        <w:t>;</w:t>
      </w:r>
      <w:r w:rsidR="007331F4" w:rsidRPr="00EE4752">
        <w:rPr>
          <w:rFonts w:ascii="Arial" w:hAnsi="Arial" w:cs="Arial"/>
          <w:sz w:val="26"/>
          <w:szCs w:val="26"/>
        </w:rPr>
        <w:t xml:space="preserve"> 114 QUATER </w:t>
      </w:r>
      <w:r w:rsidR="007331F4">
        <w:rPr>
          <w:rFonts w:ascii="Arial" w:hAnsi="Arial" w:cs="Arial"/>
          <w:sz w:val="26"/>
          <w:szCs w:val="26"/>
        </w:rPr>
        <w:t xml:space="preserve"> </w:t>
      </w:r>
      <w:r w:rsidR="007331F4" w:rsidRPr="003E1D74">
        <w:rPr>
          <w:rFonts w:ascii="Arial" w:hAnsi="Arial" w:cs="Arial"/>
          <w:sz w:val="26"/>
          <w:szCs w:val="26"/>
        </w:rPr>
        <w:t>inciso B) fracción I de la</w:t>
      </w:r>
      <w:r w:rsidR="007331F4" w:rsidRPr="00EE4752">
        <w:rPr>
          <w:rFonts w:ascii="Arial" w:hAnsi="Arial" w:cs="Arial"/>
          <w:sz w:val="26"/>
          <w:szCs w:val="26"/>
        </w:rPr>
        <w:t xml:space="preserve"> </w:t>
      </w:r>
      <w:r w:rsidR="007331F4" w:rsidRPr="00F17D36">
        <w:rPr>
          <w:rFonts w:ascii="Arial" w:hAnsi="Arial" w:cs="Arial"/>
          <w:i/>
          <w:sz w:val="26"/>
          <w:szCs w:val="26"/>
        </w:rPr>
        <w:t>Constitución Local, vigente</w:t>
      </w:r>
      <w:r w:rsidR="007331F4">
        <w:rPr>
          <w:rFonts w:ascii="Arial" w:hAnsi="Arial" w:cs="Arial"/>
          <w:sz w:val="26"/>
          <w:szCs w:val="26"/>
        </w:rPr>
        <w:t>;</w:t>
      </w:r>
      <w:r w:rsidR="007331F4" w:rsidRPr="008A04E2">
        <w:rPr>
          <w:rFonts w:ascii="Arial" w:hAnsi="Arial" w:cs="Arial"/>
          <w:sz w:val="26"/>
          <w:szCs w:val="26"/>
        </w:rPr>
        <w:t xml:space="preserve"> </w:t>
      </w:r>
      <w:r w:rsidR="007331F4">
        <w:rPr>
          <w:rFonts w:ascii="Arial" w:hAnsi="Arial" w:cs="Arial"/>
          <w:sz w:val="26"/>
          <w:szCs w:val="26"/>
        </w:rPr>
        <w:t xml:space="preserve">1, 2 párrafos primero y tercero, </w:t>
      </w:r>
      <w:r w:rsidR="007331F4" w:rsidRPr="008A04E2">
        <w:rPr>
          <w:rFonts w:ascii="Arial" w:hAnsi="Arial" w:cs="Arial"/>
          <w:sz w:val="26"/>
          <w:szCs w:val="26"/>
        </w:rPr>
        <w:t xml:space="preserve">4 </w:t>
      </w:r>
      <w:r w:rsidR="007331F4" w:rsidRPr="00F17D36">
        <w:rPr>
          <w:rFonts w:ascii="Arial" w:hAnsi="Arial" w:cs="Arial"/>
          <w:sz w:val="26"/>
          <w:szCs w:val="26"/>
        </w:rPr>
        <w:t xml:space="preserve">fracciones I, II y XII, y 24 fracciones I y VIII de la </w:t>
      </w:r>
      <w:r w:rsidR="007331F4" w:rsidRPr="00F17D36">
        <w:rPr>
          <w:rFonts w:ascii="Arial" w:hAnsi="Arial" w:cs="Arial"/>
          <w:i/>
          <w:sz w:val="26"/>
          <w:szCs w:val="26"/>
        </w:rPr>
        <w:t>Ley Orgánica</w:t>
      </w:r>
      <w:r w:rsidR="007331F4" w:rsidRPr="00F17D36">
        <w:rPr>
          <w:rFonts w:ascii="Arial" w:hAnsi="Arial" w:cs="Arial"/>
          <w:sz w:val="26"/>
          <w:szCs w:val="26"/>
        </w:rPr>
        <w:t xml:space="preserve">, </w:t>
      </w:r>
      <w:r w:rsidR="007331F4">
        <w:rPr>
          <w:rFonts w:ascii="Arial" w:hAnsi="Arial" w:cs="Arial"/>
          <w:bCs/>
          <w:iCs/>
          <w:sz w:val="26"/>
          <w:szCs w:val="26"/>
        </w:rPr>
        <w:t>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w:t>
      </w:r>
      <w:r w:rsidR="007331F4" w:rsidRPr="00F17D36">
        <w:rPr>
          <w:rFonts w:ascii="Arial" w:hAnsi="Arial" w:cs="Arial"/>
          <w:sz w:val="26"/>
          <w:szCs w:val="26"/>
        </w:rPr>
        <w:t xml:space="preserve">1, 2, 5, 8, 10 28 y 38 de la </w:t>
      </w:r>
      <w:r w:rsidR="007331F4" w:rsidRPr="00F17D36">
        <w:rPr>
          <w:rFonts w:ascii="Arial" w:hAnsi="Arial" w:cs="Arial"/>
          <w:i/>
          <w:sz w:val="26"/>
          <w:szCs w:val="26"/>
        </w:rPr>
        <w:t>Ley de Justicia</w:t>
      </w:r>
      <w:r w:rsidR="007331F4" w:rsidRPr="00F17D36">
        <w:rPr>
          <w:rFonts w:ascii="Arial" w:hAnsi="Arial" w:cs="Arial"/>
          <w:sz w:val="26"/>
          <w:szCs w:val="26"/>
        </w:rPr>
        <w:t>, con relación a los artículos 1, 3, 118, 119 párrafos primero y tercero, 120 fracción VI, 130 fracción X y 131 de la</w:t>
      </w:r>
      <w:r w:rsidR="007331F4" w:rsidRPr="00EE4752">
        <w:rPr>
          <w:rFonts w:ascii="Arial" w:hAnsi="Arial" w:cs="Arial"/>
          <w:sz w:val="26"/>
          <w:szCs w:val="26"/>
        </w:rPr>
        <w:t xml:space="preserve"> </w:t>
      </w:r>
      <w:r w:rsidR="007331F4" w:rsidRPr="00992690">
        <w:rPr>
          <w:rFonts w:ascii="Arial" w:hAnsi="Arial" w:cs="Arial"/>
          <w:i/>
          <w:sz w:val="26"/>
          <w:szCs w:val="26"/>
        </w:rPr>
        <w:t>Ley de Procedimiento</w:t>
      </w:r>
      <w:r w:rsidR="007331F4" w:rsidRPr="00EE4752">
        <w:rPr>
          <w:rFonts w:ascii="Arial" w:hAnsi="Arial" w:cs="Arial"/>
          <w:sz w:val="26"/>
          <w:szCs w:val="26"/>
        </w:rPr>
        <w:t xml:space="preserve">, por tratarse de determinaciones atribuidas a una autoridad cuya competencia corresponde al ámbito territorial y material </w:t>
      </w:r>
      <w:r w:rsidR="00F7451C">
        <w:rPr>
          <w:rFonts w:ascii="Arial" w:hAnsi="Arial" w:cs="Arial"/>
          <w:sz w:val="26"/>
          <w:szCs w:val="26"/>
        </w:rPr>
        <w:t>de</w:t>
      </w:r>
      <w:r w:rsidR="007331F4">
        <w:rPr>
          <w:rFonts w:ascii="Arial" w:hAnsi="Arial" w:cs="Arial"/>
          <w:sz w:val="26"/>
          <w:szCs w:val="26"/>
        </w:rPr>
        <w:t xml:space="preserve"> esta Sala Superior del Tribunal de Justicia Administrativa y Combate a la Corrupción del Estado de Oaxaca.</w:t>
      </w:r>
    </w:p>
    <w:p w14:paraId="416DC7DE" w14:textId="30BC7CFC" w:rsidR="00350309" w:rsidRPr="00EE4752" w:rsidRDefault="00350309" w:rsidP="00350309">
      <w:pPr>
        <w:spacing w:line="360" w:lineRule="auto"/>
        <w:ind w:firstLine="567"/>
        <w:jc w:val="both"/>
        <w:rPr>
          <w:rFonts w:ascii="Arial" w:hAnsi="Arial" w:cs="Arial"/>
          <w:b/>
          <w:snapToGrid w:val="0"/>
          <w:sz w:val="26"/>
          <w:szCs w:val="26"/>
        </w:rPr>
      </w:pPr>
      <w:r w:rsidRPr="00EE4752">
        <w:rPr>
          <w:rFonts w:ascii="Arial" w:hAnsi="Arial" w:cs="Arial"/>
          <w:b/>
          <w:snapToGrid w:val="0"/>
          <w:sz w:val="26"/>
          <w:szCs w:val="26"/>
        </w:rPr>
        <w:t>SEGUNDO. PROCEDENCIA.</w:t>
      </w:r>
    </w:p>
    <w:p w14:paraId="48CFF6A5" w14:textId="601A3450" w:rsidR="00350309" w:rsidRPr="00EE4752" w:rsidRDefault="00305031" w:rsidP="00350309">
      <w:pPr>
        <w:spacing w:line="360" w:lineRule="auto"/>
        <w:ind w:firstLine="567"/>
        <w:jc w:val="both"/>
        <w:rPr>
          <w:rFonts w:ascii="Arial" w:hAnsi="Arial" w:cs="Arial"/>
          <w:sz w:val="26"/>
          <w:szCs w:val="26"/>
        </w:rPr>
      </w:pPr>
      <w:r>
        <w:rPr>
          <w:rFonts w:ascii="Arial" w:hAnsi="Arial" w:cs="Arial"/>
          <w:snapToGrid w:val="0"/>
          <w:sz w:val="26"/>
          <w:szCs w:val="26"/>
        </w:rPr>
        <w:t xml:space="preserve">9. </w:t>
      </w:r>
      <w:r w:rsidR="00350309" w:rsidRPr="00EE4752">
        <w:rPr>
          <w:rFonts w:ascii="Arial" w:hAnsi="Arial" w:cs="Arial"/>
          <w:snapToGrid w:val="0"/>
          <w:sz w:val="26"/>
          <w:szCs w:val="26"/>
        </w:rPr>
        <w:t xml:space="preserve">Es procedente el </w:t>
      </w:r>
      <w:r w:rsidR="007C7924">
        <w:rPr>
          <w:rFonts w:ascii="Arial" w:hAnsi="Arial" w:cs="Arial"/>
          <w:snapToGrid w:val="0"/>
          <w:sz w:val="26"/>
          <w:szCs w:val="26"/>
        </w:rPr>
        <w:t xml:space="preserve">presente </w:t>
      </w:r>
      <w:r w:rsidR="00350309" w:rsidRPr="00EE4752">
        <w:rPr>
          <w:rFonts w:ascii="Arial" w:hAnsi="Arial" w:cs="Arial"/>
          <w:snapToGrid w:val="0"/>
          <w:sz w:val="26"/>
          <w:szCs w:val="26"/>
        </w:rPr>
        <w:t xml:space="preserve">juicio de </w:t>
      </w:r>
      <w:r w:rsidR="007C7924">
        <w:rPr>
          <w:rFonts w:ascii="Arial" w:hAnsi="Arial" w:cs="Arial"/>
          <w:snapToGrid w:val="0"/>
          <w:sz w:val="26"/>
          <w:szCs w:val="26"/>
        </w:rPr>
        <w:t>inconformidad</w:t>
      </w:r>
      <w:r w:rsidR="00350309" w:rsidRPr="00EE4752">
        <w:rPr>
          <w:rFonts w:ascii="Arial" w:hAnsi="Arial" w:cs="Arial"/>
          <w:snapToGrid w:val="0"/>
          <w:sz w:val="26"/>
          <w:szCs w:val="26"/>
        </w:rPr>
        <w:t xml:space="preserve">, dado que el acto administrativo impugnado constituye </w:t>
      </w:r>
      <w:r w:rsidR="00BD3FC3" w:rsidRPr="00EE4752">
        <w:rPr>
          <w:rFonts w:ascii="Arial" w:hAnsi="Arial" w:cs="Arial"/>
          <w:snapToGrid w:val="0"/>
          <w:sz w:val="26"/>
          <w:szCs w:val="26"/>
        </w:rPr>
        <w:t xml:space="preserve">una controversia de carácter </w:t>
      </w:r>
      <w:r w:rsidR="00BD3FC3" w:rsidRPr="00EE4752">
        <w:rPr>
          <w:rFonts w:ascii="Arial" w:hAnsi="Arial" w:cs="Arial"/>
          <w:snapToGrid w:val="0"/>
          <w:sz w:val="26"/>
          <w:szCs w:val="26"/>
        </w:rPr>
        <w:lastRenderedPageBreak/>
        <w:t>administrativo</w:t>
      </w:r>
      <w:r w:rsidR="00777D5B" w:rsidRPr="00EE4752">
        <w:rPr>
          <w:rFonts w:ascii="Arial" w:hAnsi="Arial" w:cs="Arial"/>
          <w:snapToGrid w:val="0"/>
          <w:sz w:val="26"/>
          <w:szCs w:val="26"/>
        </w:rPr>
        <w:t xml:space="preserve">, </w:t>
      </w:r>
      <w:r w:rsidR="00B106C4">
        <w:rPr>
          <w:rFonts w:ascii="Arial" w:hAnsi="Arial" w:cs="Arial"/>
          <w:snapToGrid w:val="0"/>
          <w:sz w:val="26"/>
          <w:szCs w:val="26"/>
        </w:rPr>
        <w:t xml:space="preserve">relativa a la </w:t>
      </w:r>
      <w:r w:rsidR="00B106C4">
        <w:rPr>
          <w:rFonts w:ascii="Arial" w:eastAsia="Times New Roman" w:hAnsi="Arial" w:cs="Arial"/>
          <w:bCs/>
          <w:sz w:val="26"/>
          <w:szCs w:val="26"/>
          <w:lang w:val="es-ES_tradnl" w:eastAsia="es-ES"/>
        </w:rPr>
        <w:t xml:space="preserve">resolución dictada dentro del Recurso de Reconsideración </w:t>
      </w:r>
      <w:r w:rsidRPr="00AE3ADE">
        <w:rPr>
          <w:rFonts w:ascii="Arial" w:hAnsi="Arial" w:cs="Arial"/>
          <w:b/>
          <w:sz w:val="26"/>
          <w:szCs w:val="26"/>
        </w:rPr>
        <w:t xml:space="preserve">OSFE/REC.R./0084/2019 </w:t>
      </w:r>
      <w:r w:rsidRPr="00AE3ADE">
        <w:rPr>
          <w:rFonts w:ascii="Arial" w:hAnsi="Arial" w:cs="Arial"/>
          <w:sz w:val="26"/>
          <w:szCs w:val="26"/>
        </w:rPr>
        <w:t>y su acumulado</w:t>
      </w:r>
      <w:r>
        <w:rPr>
          <w:rFonts w:ascii="Arial" w:hAnsi="Arial" w:cs="Arial"/>
          <w:b/>
          <w:sz w:val="26"/>
          <w:szCs w:val="26"/>
        </w:rPr>
        <w:t xml:space="preserve"> OSFE/REC.R./0085/2019</w:t>
      </w:r>
      <w:r>
        <w:rPr>
          <w:rFonts w:ascii="Arial" w:hAnsi="Arial" w:cs="Arial"/>
          <w:sz w:val="26"/>
          <w:szCs w:val="26"/>
        </w:rPr>
        <w:t xml:space="preserve">, </w:t>
      </w:r>
      <w:r w:rsidR="00B106C4">
        <w:rPr>
          <w:rFonts w:ascii="Arial" w:hAnsi="Arial" w:cs="Arial"/>
          <w:sz w:val="26"/>
          <w:szCs w:val="26"/>
        </w:rPr>
        <w:t>del índice del entonces Órgano Superior de Fiscalización del Estado de Oaxaca (ahora Auditoría Superior de Fiscalización del Estado de Oaxaca)</w:t>
      </w:r>
      <w:r w:rsidR="006A47AD" w:rsidRPr="00EE4752">
        <w:rPr>
          <w:rFonts w:ascii="Arial" w:hAnsi="Arial" w:cs="Arial"/>
          <w:sz w:val="26"/>
          <w:szCs w:val="26"/>
        </w:rPr>
        <w:t>.</w:t>
      </w:r>
    </w:p>
    <w:p w14:paraId="04ACADBB" w14:textId="1EE94238" w:rsidR="00141E3E" w:rsidRPr="00EE4752" w:rsidRDefault="00141E3E" w:rsidP="00141E3E">
      <w:pPr>
        <w:spacing w:line="360" w:lineRule="auto"/>
        <w:ind w:firstLine="567"/>
        <w:jc w:val="both"/>
        <w:rPr>
          <w:rFonts w:ascii="Arial" w:hAnsi="Arial" w:cs="Arial"/>
          <w:b/>
          <w:snapToGrid w:val="0"/>
          <w:sz w:val="26"/>
          <w:szCs w:val="26"/>
        </w:rPr>
      </w:pPr>
      <w:r w:rsidRPr="00EE4752">
        <w:rPr>
          <w:rFonts w:ascii="Arial" w:hAnsi="Arial" w:cs="Arial"/>
          <w:b/>
          <w:snapToGrid w:val="0"/>
          <w:sz w:val="26"/>
          <w:szCs w:val="26"/>
        </w:rPr>
        <w:t>TERCERO. OPORTUNIDAD.</w:t>
      </w:r>
    </w:p>
    <w:p w14:paraId="1A51CB90" w14:textId="039102FF" w:rsidR="00924D3E" w:rsidRDefault="00F7451C" w:rsidP="00924D3E">
      <w:pPr>
        <w:spacing w:line="360" w:lineRule="auto"/>
        <w:ind w:firstLine="567"/>
        <w:jc w:val="both"/>
        <w:rPr>
          <w:rFonts w:ascii="Arial" w:hAnsi="Arial" w:cs="Arial"/>
          <w:sz w:val="26"/>
          <w:szCs w:val="26"/>
        </w:rPr>
      </w:pPr>
      <w:r>
        <w:rPr>
          <w:rFonts w:ascii="Arial" w:hAnsi="Arial" w:cs="Arial"/>
          <w:sz w:val="26"/>
          <w:szCs w:val="26"/>
        </w:rPr>
        <w:t xml:space="preserve">10. </w:t>
      </w:r>
      <w:r w:rsidR="00924D3E">
        <w:rPr>
          <w:rFonts w:ascii="Arial" w:hAnsi="Arial" w:cs="Arial"/>
          <w:sz w:val="26"/>
          <w:szCs w:val="26"/>
        </w:rPr>
        <w:t xml:space="preserve">Tomando en consideración que el ciudadano </w:t>
      </w:r>
      <w:r w:rsidR="00CB7617">
        <w:rPr>
          <w:rFonts w:ascii="Arial" w:eastAsia="Times New Roman" w:hAnsi="Arial" w:cs="Arial"/>
          <w:sz w:val="26"/>
          <w:szCs w:val="26"/>
          <w:lang w:val="es-ES_tradnl" w:eastAsia="es-ES"/>
        </w:rPr>
        <w:t>************</w:t>
      </w:r>
      <w:r w:rsidR="00CB7617">
        <w:rPr>
          <w:rFonts w:ascii="Arial" w:eastAsia="Times New Roman" w:hAnsi="Arial" w:cs="Arial"/>
          <w:sz w:val="26"/>
          <w:szCs w:val="26"/>
          <w:lang w:val="es-ES_tradnl" w:eastAsia="es-ES"/>
        </w:rPr>
        <w:t xml:space="preserve"> </w:t>
      </w:r>
      <w:r w:rsidR="00924D3E">
        <w:rPr>
          <w:rFonts w:ascii="Arial" w:hAnsi="Arial" w:cs="Arial"/>
          <w:sz w:val="26"/>
          <w:szCs w:val="26"/>
        </w:rPr>
        <w:t xml:space="preserve">fue notificado de la resolución dictada dentro del expediente </w:t>
      </w:r>
      <w:r w:rsidR="00924D3E" w:rsidRPr="00AE3ADE">
        <w:rPr>
          <w:rFonts w:ascii="Arial" w:hAnsi="Arial" w:cs="Arial"/>
          <w:b/>
          <w:sz w:val="26"/>
          <w:szCs w:val="26"/>
        </w:rPr>
        <w:t xml:space="preserve">OSFE/REC.R./0084/2019 </w:t>
      </w:r>
      <w:r w:rsidR="00924D3E" w:rsidRPr="00AE3ADE">
        <w:rPr>
          <w:rFonts w:ascii="Arial" w:hAnsi="Arial" w:cs="Arial"/>
          <w:sz w:val="26"/>
          <w:szCs w:val="26"/>
        </w:rPr>
        <w:t>y su acumulado</w:t>
      </w:r>
      <w:r w:rsidR="00924D3E">
        <w:rPr>
          <w:rFonts w:ascii="Arial" w:hAnsi="Arial" w:cs="Arial"/>
          <w:b/>
          <w:sz w:val="26"/>
          <w:szCs w:val="26"/>
        </w:rPr>
        <w:t xml:space="preserve"> OSFE/REC.R./0085/2019</w:t>
      </w:r>
      <w:r w:rsidR="00924D3E">
        <w:rPr>
          <w:rFonts w:ascii="Arial" w:hAnsi="Arial" w:cs="Arial"/>
          <w:sz w:val="26"/>
          <w:szCs w:val="26"/>
        </w:rPr>
        <w:t>, el día cuatro de noviembre de dos mil veintidós (04/11/2022), tal como se advierte de la cédula de notificación</w:t>
      </w:r>
      <w:r w:rsidR="00924D3E">
        <w:rPr>
          <w:rStyle w:val="Refdenotaalpie"/>
          <w:rFonts w:ascii="Arial" w:hAnsi="Arial" w:cs="Arial"/>
          <w:sz w:val="26"/>
          <w:szCs w:val="26"/>
        </w:rPr>
        <w:footnoteReference w:id="1"/>
      </w:r>
      <w:r w:rsidR="00924D3E">
        <w:rPr>
          <w:rFonts w:ascii="Arial" w:hAnsi="Arial" w:cs="Arial"/>
          <w:sz w:val="26"/>
          <w:szCs w:val="26"/>
        </w:rPr>
        <w:t xml:space="preserve">, </w:t>
      </w:r>
      <w:r w:rsidR="00924D3E" w:rsidRPr="00992016">
        <w:rPr>
          <w:rFonts w:ascii="Arial" w:hAnsi="Arial" w:cs="Arial"/>
          <w:b/>
          <w:sz w:val="26"/>
          <w:szCs w:val="26"/>
        </w:rPr>
        <w:t>el término de quince días para la presentación del juicio de inconformidad, transcurrió del</w:t>
      </w:r>
      <w:r w:rsidR="00576440">
        <w:rPr>
          <w:rFonts w:ascii="Arial" w:hAnsi="Arial" w:cs="Arial"/>
          <w:sz w:val="26"/>
          <w:szCs w:val="26"/>
        </w:rPr>
        <w:t xml:space="preserve"> </w:t>
      </w:r>
      <w:r w:rsidR="00576440" w:rsidRPr="00992016">
        <w:rPr>
          <w:rFonts w:ascii="Arial" w:hAnsi="Arial" w:cs="Arial"/>
          <w:b/>
          <w:sz w:val="26"/>
          <w:szCs w:val="26"/>
        </w:rPr>
        <w:t>ocho al veintinueve de noviembre de dos mil veintidós</w:t>
      </w:r>
      <w:r w:rsidR="00576440">
        <w:rPr>
          <w:rFonts w:ascii="Arial" w:hAnsi="Arial" w:cs="Arial"/>
          <w:sz w:val="26"/>
          <w:szCs w:val="26"/>
        </w:rPr>
        <w:t>, sin contar los días cinco, seis, doce, trece, diecinueve, veinte, veintiséis y veintisiete de noviembre</w:t>
      </w:r>
      <w:r w:rsidR="00924D3E">
        <w:rPr>
          <w:rFonts w:ascii="Arial" w:hAnsi="Arial" w:cs="Arial"/>
          <w:sz w:val="26"/>
          <w:szCs w:val="26"/>
        </w:rPr>
        <w:t xml:space="preserve">, por corresponder a sábados </w:t>
      </w:r>
      <w:r w:rsidR="00576440">
        <w:rPr>
          <w:rFonts w:ascii="Arial" w:hAnsi="Arial" w:cs="Arial"/>
          <w:sz w:val="26"/>
          <w:szCs w:val="26"/>
        </w:rPr>
        <w:t>y domingos, así como el día lunes veintiuno de noviembre de dos mil veintidós, por ser inhábil</w:t>
      </w:r>
      <w:r w:rsidR="00924D3E">
        <w:rPr>
          <w:rFonts w:ascii="Arial" w:hAnsi="Arial" w:cs="Arial"/>
          <w:sz w:val="26"/>
          <w:szCs w:val="26"/>
        </w:rPr>
        <w:t xml:space="preserve">, </w:t>
      </w:r>
    </w:p>
    <w:p w14:paraId="01A72B6E" w14:textId="56BB7ABF" w:rsidR="006A47AD" w:rsidRDefault="00924D3E" w:rsidP="00350309">
      <w:pPr>
        <w:spacing w:line="360" w:lineRule="auto"/>
        <w:ind w:firstLine="567"/>
        <w:jc w:val="both"/>
        <w:rPr>
          <w:rFonts w:ascii="Arial" w:hAnsi="Arial" w:cs="Arial"/>
          <w:sz w:val="26"/>
          <w:szCs w:val="26"/>
        </w:rPr>
      </w:pPr>
      <w:r>
        <w:rPr>
          <w:rFonts w:ascii="Arial" w:hAnsi="Arial" w:cs="Arial"/>
          <w:sz w:val="26"/>
          <w:szCs w:val="26"/>
        </w:rPr>
        <w:t>1</w:t>
      </w:r>
      <w:r w:rsidR="00D945CA">
        <w:rPr>
          <w:rFonts w:ascii="Arial" w:hAnsi="Arial" w:cs="Arial"/>
          <w:sz w:val="26"/>
          <w:szCs w:val="26"/>
        </w:rPr>
        <w:t>1</w:t>
      </w:r>
      <w:r>
        <w:rPr>
          <w:rFonts w:ascii="Arial" w:hAnsi="Arial" w:cs="Arial"/>
          <w:sz w:val="26"/>
          <w:szCs w:val="26"/>
        </w:rPr>
        <w:t xml:space="preserve">. Lo anterior </w:t>
      </w:r>
      <w:r>
        <w:rPr>
          <w:rFonts w:ascii="Arial" w:hAnsi="Arial" w:cs="Arial"/>
          <w:snapToGrid w:val="0"/>
          <w:sz w:val="26"/>
          <w:szCs w:val="26"/>
        </w:rPr>
        <w:t xml:space="preserve">de conformidad con el artículo 10 párrafos segundo y tercero de la </w:t>
      </w:r>
      <w:r w:rsidRPr="00624B7A">
        <w:rPr>
          <w:rFonts w:ascii="Arial" w:hAnsi="Arial" w:cs="Arial"/>
          <w:i/>
          <w:snapToGrid w:val="0"/>
          <w:sz w:val="26"/>
          <w:szCs w:val="26"/>
        </w:rPr>
        <w:t>Ley de Justicia</w:t>
      </w:r>
      <w:r>
        <w:rPr>
          <w:rFonts w:ascii="Arial" w:hAnsi="Arial" w:cs="Arial"/>
          <w:snapToGrid w:val="0"/>
          <w:sz w:val="26"/>
          <w:szCs w:val="26"/>
        </w:rPr>
        <w:t xml:space="preserve"> y del </w:t>
      </w:r>
      <w:r w:rsidRPr="00624B7A">
        <w:rPr>
          <w:rFonts w:ascii="Arial" w:hAnsi="Arial" w:cs="Arial"/>
          <w:i/>
          <w:snapToGrid w:val="0"/>
          <w:sz w:val="26"/>
          <w:szCs w:val="26"/>
        </w:rPr>
        <w:t>Acuerdo General</w:t>
      </w:r>
      <w:r>
        <w:rPr>
          <w:rFonts w:ascii="Arial" w:hAnsi="Arial" w:cs="Arial"/>
          <w:snapToGrid w:val="0"/>
          <w:sz w:val="26"/>
          <w:szCs w:val="26"/>
        </w:rPr>
        <w:t xml:space="preserve">; y toda vez que la parte actora presento su demanda </w:t>
      </w:r>
      <w:r w:rsidR="00B35DE8">
        <w:rPr>
          <w:rFonts w:ascii="Arial" w:hAnsi="Arial" w:cs="Arial"/>
          <w:snapToGrid w:val="0"/>
          <w:sz w:val="26"/>
          <w:szCs w:val="26"/>
        </w:rPr>
        <w:t>el veinticinco de noviembre de dos mil veintidós</w:t>
      </w:r>
      <w:r>
        <w:rPr>
          <w:rFonts w:ascii="Arial" w:hAnsi="Arial" w:cs="Arial"/>
          <w:snapToGrid w:val="0"/>
          <w:sz w:val="26"/>
          <w:szCs w:val="26"/>
        </w:rPr>
        <w:t xml:space="preserve">, resulta inconcuso que la misma </w:t>
      </w:r>
      <w:r w:rsidR="00141E3E" w:rsidRPr="00EE4752">
        <w:rPr>
          <w:rFonts w:ascii="Arial" w:hAnsi="Arial" w:cs="Arial"/>
          <w:sz w:val="26"/>
          <w:szCs w:val="26"/>
        </w:rPr>
        <w:t xml:space="preserve">se presentó dentro del plazo legal de </w:t>
      </w:r>
      <w:r w:rsidR="00B106C4">
        <w:rPr>
          <w:rFonts w:ascii="Arial" w:hAnsi="Arial" w:cs="Arial"/>
          <w:sz w:val="26"/>
          <w:szCs w:val="26"/>
        </w:rPr>
        <w:t>quince</w:t>
      </w:r>
      <w:r w:rsidR="00141E3E" w:rsidRPr="00EE4752">
        <w:rPr>
          <w:rFonts w:ascii="Arial" w:hAnsi="Arial" w:cs="Arial"/>
          <w:sz w:val="26"/>
          <w:szCs w:val="26"/>
        </w:rPr>
        <w:t xml:space="preserve"> días que prevé el artículo 1</w:t>
      </w:r>
      <w:r w:rsidR="00B106C4">
        <w:rPr>
          <w:rFonts w:ascii="Arial" w:hAnsi="Arial" w:cs="Arial"/>
          <w:sz w:val="26"/>
          <w:szCs w:val="26"/>
        </w:rPr>
        <w:t>0</w:t>
      </w:r>
      <w:r w:rsidR="000426C9" w:rsidRPr="00EE4752">
        <w:rPr>
          <w:rStyle w:val="Refdenotaalpie"/>
          <w:rFonts w:ascii="Arial" w:hAnsi="Arial" w:cs="Arial"/>
          <w:sz w:val="26"/>
          <w:szCs w:val="26"/>
        </w:rPr>
        <w:footnoteReference w:id="2"/>
      </w:r>
      <w:r w:rsidR="00216B34">
        <w:rPr>
          <w:rFonts w:ascii="Arial" w:hAnsi="Arial" w:cs="Arial"/>
          <w:sz w:val="26"/>
          <w:szCs w:val="26"/>
        </w:rPr>
        <w:t xml:space="preserve"> </w:t>
      </w:r>
      <w:r w:rsidR="00141E3E" w:rsidRPr="00EE4752">
        <w:rPr>
          <w:rFonts w:ascii="Arial" w:hAnsi="Arial" w:cs="Arial"/>
          <w:sz w:val="26"/>
          <w:szCs w:val="26"/>
        </w:rPr>
        <w:t xml:space="preserve">de la </w:t>
      </w:r>
      <w:r w:rsidR="00992690" w:rsidRPr="00992690">
        <w:rPr>
          <w:rFonts w:ascii="Arial" w:eastAsia="Times New Roman" w:hAnsi="Arial" w:cs="Arial"/>
          <w:i/>
          <w:sz w:val="26"/>
          <w:szCs w:val="26"/>
        </w:rPr>
        <w:t xml:space="preserve">Ley de </w:t>
      </w:r>
      <w:r w:rsidR="00B106C4">
        <w:rPr>
          <w:rFonts w:ascii="Arial" w:eastAsia="Times New Roman" w:hAnsi="Arial" w:cs="Arial"/>
          <w:i/>
          <w:sz w:val="26"/>
          <w:szCs w:val="26"/>
        </w:rPr>
        <w:t>Justicia</w:t>
      </w:r>
      <w:r w:rsidR="00141E3E" w:rsidRPr="00EE4752">
        <w:rPr>
          <w:rFonts w:ascii="Arial" w:hAnsi="Arial" w:cs="Arial"/>
          <w:sz w:val="26"/>
          <w:szCs w:val="26"/>
        </w:rPr>
        <w:t>; como se podrá observar a continuación:</w:t>
      </w:r>
    </w:p>
    <w:p w14:paraId="51253EED" w14:textId="0CBB1B33" w:rsidR="00141E3E" w:rsidRDefault="00141E3E" w:rsidP="00141E3E">
      <w:pPr>
        <w:spacing w:line="360" w:lineRule="auto"/>
        <w:ind w:firstLine="567"/>
        <w:jc w:val="center"/>
        <w:rPr>
          <w:rFonts w:ascii="Arial" w:hAnsi="Arial" w:cs="Arial"/>
          <w:i/>
          <w:sz w:val="26"/>
          <w:szCs w:val="26"/>
        </w:rPr>
      </w:pPr>
      <w:r w:rsidRPr="00B35DE8">
        <w:rPr>
          <w:rFonts w:ascii="Arial" w:hAnsi="Arial" w:cs="Arial"/>
          <w:i/>
          <w:sz w:val="26"/>
          <w:szCs w:val="26"/>
        </w:rPr>
        <w:lastRenderedPageBreak/>
        <w:t>(calendario: acto administrativo demandado, notificación, surte efectos, plazos transcurridos, presenta la demanda)</w:t>
      </w: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591"/>
        <w:gridCol w:w="794"/>
        <w:gridCol w:w="592"/>
        <w:gridCol w:w="846"/>
        <w:gridCol w:w="717"/>
        <w:gridCol w:w="721"/>
        <w:gridCol w:w="649"/>
      </w:tblGrid>
      <w:tr w:rsidR="003A568C" w:rsidRPr="005D6AEA" w14:paraId="18C766E9" w14:textId="77777777" w:rsidTr="006B6B3A">
        <w:trPr>
          <w:cantSplit/>
          <w:trHeight w:val="289"/>
          <w:tblHeader/>
          <w:jc w:val="center"/>
        </w:trPr>
        <w:tc>
          <w:tcPr>
            <w:tcW w:w="601" w:type="pct"/>
            <w:tcBorders>
              <w:top w:val="single" w:sz="4" w:space="0" w:color="7C91B9"/>
              <w:left w:val="single" w:sz="4" w:space="0" w:color="7C91B9"/>
              <w:bottom w:val="single" w:sz="8" w:space="0" w:color="E6E6E6"/>
              <w:right w:val="nil"/>
            </w:tcBorders>
            <w:shd w:val="clear" w:color="auto" w:fill="F0F3F7"/>
            <w:vAlign w:val="bottom"/>
          </w:tcPr>
          <w:p w14:paraId="5706F3C1" w14:textId="77777777" w:rsidR="003A568C" w:rsidRPr="009F73B7" w:rsidRDefault="003A568C" w:rsidP="004A0FF9">
            <w:pPr>
              <w:spacing w:after="0" w:line="240" w:lineRule="auto"/>
              <w:rPr>
                <w:rFonts w:ascii="Arial" w:hAnsi="Arial" w:cs="Arial"/>
                <w:color w:val="345393"/>
                <w:sz w:val="16"/>
                <w:szCs w:val="16"/>
              </w:rPr>
            </w:pPr>
          </w:p>
        </w:tc>
        <w:tc>
          <w:tcPr>
            <w:tcW w:w="3737" w:type="pct"/>
            <w:gridSpan w:val="5"/>
            <w:tcBorders>
              <w:top w:val="single" w:sz="4" w:space="0" w:color="7C91B9"/>
              <w:left w:val="nil"/>
              <w:bottom w:val="single" w:sz="8" w:space="0" w:color="E6E6E6"/>
              <w:right w:val="nil"/>
            </w:tcBorders>
            <w:shd w:val="clear" w:color="auto" w:fill="F0F3F7"/>
            <w:vAlign w:val="bottom"/>
          </w:tcPr>
          <w:p w14:paraId="40C2121F" w14:textId="644AFCE2" w:rsidR="003A568C" w:rsidRPr="009F73B7" w:rsidRDefault="00F7451C" w:rsidP="004A0FF9">
            <w:pPr>
              <w:spacing w:after="0" w:line="240" w:lineRule="auto"/>
              <w:jc w:val="center"/>
              <w:rPr>
                <w:rFonts w:ascii="Arial" w:hAnsi="Arial" w:cs="Arial"/>
                <w:b/>
                <w:color w:val="25478B"/>
                <w:sz w:val="16"/>
                <w:szCs w:val="16"/>
              </w:rPr>
            </w:pPr>
            <w:r>
              <w:rPr>
                <w:rFonts w:ascii="Arial" w:hAnsi="Arial" w:cs="Arial"/>
                <w:b/>
                <w:color w:val="25478B"/>
                <w:sz w:val="16"/>
                <w:szCs w:val="16"/>
              </w:rPr>
              <w:t>NOVIEMBRE 2022</w:t>
            </w:r>
          </w:p>
        </w:tc>
        <w:tc>
          <w:tcPr>
            <w:tcW w:w="662" w:type="pct"/>
            <w:tcBorders>
              <w:top w:val="single" w:sz="4" w:space="0" w:color="7C91B9"/>
              <w:left w:val="nil"/>
              <w:bottom w:val="single" w:sz="8" w:space="0" w:color="E6E6E6"/>
              <w:right w:val="single" w:sz="4" w:space="0" w:color="7C91B9"/>
            </w:tcBorders>
            <w:shd w:val="clear" w:color="auto" w:fill="F0F3F7"/>
            <w:vAlign w:val="bottom"/>
          </w:tcPr>
          <w:p w14:paraId="703E1563" w14:textId="77777777" w:rsidR="003A568C" w:rsidRPr="009F73B7" w:rsidRDefault="003A568C" w:rsidP="004A0FF9">
            <w:pPr>
              <w:spacing w:after="0" w:line="240" w:lineRule="auto"/>
              <w:jc w:val="right"/>
              <w:rPr>
                <w:rFonts w:ascii="Arial" w:hAnsi="Arial" w:cs="Arial"/>
                <w:color w:val="345393"/>
                <w:sz w:val="16"/>
                <w:szCs w:val="16"/>
              </w:rPr>
            </w:pPr>
            <w:bookmarkStart w:id="2" w:name="Mayo_2022"/>
          </w:p>
        </w:tc>
      </w:tr>
      <w:bookmarkEnd w:id="2"/>
      <w:tr w:rsidR="003A568C" w:rsidRPr="005D6AEA" w14:paraId="625C8E2F" w14:textId="77777777" w:rsidTr="006B6B3A">
        <w:trPr>
          <w:cantSplit/>
          <w:trHeight w:val="157"/>
          <w:tblHeader/>
          <w:jc w:val="center"/>
        </w:trPr>
        <w:tc>
          <w:tcPr>
            <w:tcW w:w="601" w:type="pct"/>
            <w:tcBorders>
              <w:top w:val="single" w:sz="8" w:space="0" w:color="E6E6E6"/>
              <w:left w:val="single" w:sz="4" w:space="0" w:color="25478B"/>
              <w:bottom w:val="nil"/>
              <w:right w:val="single" w:sz="8" w:space="0" w:color="E6E6E6"/>
            </w:tcBorders>
            <w:shd w:val="clear" w:color="auto" w:fill="25478B"/>
            <w:vAlign w:val="bottom"/>
          </w:tcPr>
          <w:p w14:paraId="34C3BA82" w14:textId="77777777" w:rsidR="003A568C" w:rsidRPr="009F73B7" w:rsidRDefault="003A568C" w:rsidP="004A0FF9">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809" w:type="pct"/>
            <w:tcBorders>
              <w:top w:val="single" w:sz="8" w:space="0" w:color="E6E6E6"/>
              <w:left w:val="single" w:sz="8" w:space="0" w:color="E6E6E6"/>
              <w:bottom w:val="nil"/>
              <w:right w:val="single" w:sz="8" w:space="0" w:color="E6E6E6"/>
            </w:tcBorders>
            <w:shd w:val="clear" w:color="auto" w:fill="25478B"/>
            <w:vAlign w:val="bottom"/>
          </w:tcPr>
          <w:p w14:paraId="53D6DA1A" w14:textId="77777777" w:rsidR="003A568C" w:rsidRPr="009F73B7" w:rsidRDefault="003A568C" w:rsidP="004A0FF9">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603" w:type="pct"/>
            <w:tcBorders>
              <w:top w:val="single" w:sz="8" w:space="0" w:color="E6E6E6"/>
              <w:left w:val="single" w:sz="8" w:space="0" w:color="E6E6E6"/>
              <w:bottom w:val="nil"/>
              <w:right w:val="single" w:sz="8" w:space="0" w:color="E6E6E6"/>
            </w:tcBorders>
            <w:shd w:val="clear" w:color="auto" w:fill="25478B"/>
            <w:vAlign w:val="bottom"/>
          </w:tcPr>
          <w:p w14:paraId="7479FF38" w14:textId="77777777" w:rsidR="003A568C" w:rsidRPr="009F73B7" w:rsidRDefault="003A568C" w:rsidP="004A0FF9">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862" w:type="pct"/>
            <w:tcBorders>
              <w:top w:val="single" w:sz="8" w:space="0" w:color="E6E6E6"/>
              <w:left w:val="single" w:sz="8" w:space="0" w:color="E6E6E6"/>
              <w:bottom w:val="nil"/>
              <w:right w:val="single" w:sz="8" w:space="0" w:color="E6E6E6"/>
            </w:tcBorders>
            <w:shd w:val="clear" w:color="auto" w:fill="25478B"/>
            <w:vAlign w:val="bottom"/>
          </w:tcPr>
          <w:p w14:paraId="0740F724" w14:textId="77777777" w:rsidR="003A568C" w:rsidRPr="009F73B7" w:rsidRDefault="003A568C" w:rsidP="004A0FF9">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30" w:type="pct"/>
            <w:tcBorders>
              <w:top w:val="single" w:sz="8" w:space="0" w:color="E6E6E6"/>
              <w:left w:val="single" w:sz="8" w:space="0" w:color="E6E6E6"/>
              <w:bottom w:val="nil"/>
              <w:right w:val="single" w:sz="8" w:space="0" w:color="E6E6E6"/>
            </w:tcBorders>
            <w:shd w:val="clear" w:color="auto" w:fill="25478B"/>
            <w:vAlign w:val="bottom"/>
          </w:tcPr>
          <w:p w14:paraId="6255D3DA" w14:textId="77777777" w:rsidR="003A568C" w:rsidRPr="009F73B7" w:rsidRDefault="003A568C" w:rsidP="004A0FF9">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34" w:type="pct"/>
            <w:tcBorders>
              <w:top w:val="single" w:sz="8" w:space="0" w:color="E6E6E6"/>
              <w:left w:val="single" w:sz="8" w:space="0" w:color="E6E6E6"/>
              <w:bottom w:val="nil"/>
              <w:right w:val="single" w:sz="8" w:space="0" w:color="E6E6E6"/>
            </w:tcBorders>
            <w:shd w:val="clear" w:color="auto" w:fill="25478B"/>
            <w:vAlign w:val="bottom"/>
          </w:tcPr>
          <w:p w14:paraId="11AD3FBE" w14:textId="77777777" w:rsidR="003A568C" w:rsidRPr="009F73B7" w:rsidRDefault="003A568C" w:rsidP="004A0FF9">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662" w:type="pct"/>
            <w:tcBorders>
              <w:top w:val="single" w:sz="8" w:space="0" w:color="E6E6E6"/>
              <w:left w:val="single" w:sz="8" w:space="0" w:color="E6E6E6"/>
              <w:bottom w:val="nil"/>
              <w:right w:val="single" w:sz="4" w:space="0" w:color="25478B"/>
            </w:tcBorders>
            <w:shd w:val="clear" w:color="auto" w:fill="25478B"/>
            <w:vAlign w:val="bottom"/>
          </w:tcPr>
          <w:p w14:paraId="3E7324EE" w14:textId="77777777" w:rsidR="003A568C" w:rsidRPr="009F73B7" w:rsidRDefault="003A568C" w:rsidP="004A0FF9">
            <w:pPr>
              <w:spacing w:before="20" w:after="0" w:line="24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3A568C" w:rsidRPr="003D6B5B" w14:paraId="0D595F19" w14:textId="77777777" w:rsidTr="006B6B3A">
        <w:trPr>
          <w:cantSplit/>
          <w:trHeight w:val="543"/>
          <w:jc w:val="center"/>
        </w:trPr>
        <w:tc>
          <w:tcPr>
            <w:tcW w:w="601" w:type="pct"/>
            <w:tcBorders>
              <w:top w:val="nil"/>
              <w:left w:val="single" w:sz="4" w:space="0" w:color="25478B"/>
              <w:bottom w:val="single" w:sz="8" w:space="0" w:color="25478B"/>
              <w:right w:val="single" w:sz="8" w:space="0" w:color="25478B"/>
            </w:tcBorders>
            <w:shd w:val="clear" w:color="auto" w:fill="808080" w:themeFill="background1" w:themeFillShade="80"/>
          </w:tcPr>
          <w:p w14:paraId="684A2317" w14:textId="77777777" w:rsidR="003A568C" w:rsidRPr="009F73B7" w:rsidRDefault="003A568C" w:rsidP="00F7451C">
            <w:pPr>
              <w:pStyle w:val="CalendarText"/>
              <w:jc w:val="center"/>
              <w:rPr>
                <w:rStyle w:val="WinCalendarBLANKCELLSTYLE0"/>
                <w:b/>
                <w:bCs/>
                <w:szCs w:val="16"/>
              </w:rPr>
            </w:pPr>
          </w:p>
        </w:tc>
        <w:tc>
          <w:tcPr>
            <w:tcW w:w="809" w:type="pct"/>
            <w:tcBorders>
              <w:top w:val="nil"/>
              <w:left w:val="single" w:sz="8" w:space="0" w:color="25478B"/>
              <w:bottom w:val="single" w:sz="8" w:space="0" w:color="25478B"/>
              <w:right w:val="single" w:sz="8" w:space="0" w:color="25478B"/>
            </w:tcBorders>
            <w:shd w:val="clear" w:color="auto" w:fill="auto"/>
          </w:tcPr>
          <w:p w14:paraId="18820DC0" w14:textId="22B60AE4" w:rsidR="003A568C" w:rsidRPr="009F73B7" w:rsidRDefault="003A568C" w:rsidP="00F7451C">
            <w:pPr>
              <w:pStyle w:val="CalendarText"/>
              <w:jc w:val="center"/>
              <w:rPr>
                <w:rStyle w:val="WinCalendarBLANKCELLSTYLE0"/>
                <w:b/>
                <w:bCs/>
                <w:szCs w:val="16"/>
              </w:rPr>
            </w:pPr>
          </w:p>
        </w:tc>
        <w:tc>
          <w:tcPr>
            <w:tcW w:w="603" w:type="pct"/>
            <w:tcBorders>
              <w:top w:val="nil"/>
              <w:left w:val="single" w:sz="8" w:space="0" w:color="25478B"/>
              <w:bottom w:val="single" w:sz="8" w:space="0" w:color="25478B"/>
              <w:right w:val="single" w:sz="8" w:space="0" w:color="25478B"/>
            </w:tcBorders>
            <w:shd w:val="clear" w:color="auto" w:fill="auto"/>
          </w:tcPr>
          <w:p w14:paraId="16AC22EB" w14:textId="16EC8694" w:rsidR="003A568C" w:rsidRPr="009F73B7" w:rsidRDefault="00B35DE8" w:rsidP="00F7451C">
            <w:pPr>
              <w:pStyle w:val="CalendarText"/>
              <w:jc w:val="center"/>
              <w:rPr>
                <w:rStyle w:val="WinCalendarBLANKCELLSTYLE0"/>
                <w:b/>
                <w:bCs/>
                <w:szCs w:val="16"/>
              </w:rPr>
            </w:pPr>
            <w:r>
              <w:rPr>
                <w:rStyle w:val="WinCalendarBLANKCELLSTYLE0"/>
                <w:b/>
                <w:bCs/>
                <w:szCs w:val="16"/>
              </w:rPr>
              <w:t>1</w:t>
            </w:r>
          </w:p>
        </w:tc>
        <w:tc>
          <w:tcPr>
            <w:tcW w:w="862" w:type="pct"/>
            <w:tcBorders>
              <w:top w:val="nil"/>
              <w:left w:val="single" w:sz="8" w:space="0" w:color="25478B"/>
              <w:bottom w:val="single" w:sz="8" w:space="0" w:color="25478B"/>
              <w:right w:val="single" w:sz="8" w:space="0" w:color="25478B"/>
            </w:tcBorders>
            <w:shd w:val="clear" w:color="auto" w:fill="auto"/>
          </w:tcPr>
          <w:p w14:paraId="578F5624" w14:textId="45C01F8F" w:rsidR="003A568C" w:rsidRPr="009F73B7" w:rsidRDefault="00B35DE8" w:rsidP="00F7451C">
            <w:pPr>
              <w:pStyle w:val="CalendarText"/>
              <w:jc w:val="center"/>
              <w:rPr>
                <w:rStyle w:val="WinCalendarBLANKCELLSTYLE0"/>
                <w:b/>
                <w:bCs/>
                <w:szCs w:val="16"/>
              </w:rPr>
            </w:pPr>
            <w:r>
              <w:rPr>
                <w:rStyle w:val="WinCalendarBLANKCELLSTYLE0"/>
                <w:b/>
                <w:bCs/>
                <w:szCs w:val="16"/>
              </w:rPr>
              <w:t>2</w:t>
            </w:r>
          </w:p>
        </w:tc>
        <w:tc>
          <w:tcPr>
            <w:tcW w:w="730" w:type="pct"/>
            <w:tcBorders>
              <w:top w:val="nil"/>
              <w:left w:val="single" w:sz="8" w:space="0" w:color="25478B"/>
              <w:bottom w:val="single" w:sz="8" w:space="0" w:color="25478B"/>
              <w:right w:val="single" w:sz="8" w:space="0" w:color="25478B"/>
            </w:tcBorders>
            <w:shd w:val="clear" w:color="auto" w:fill="FFFFFF" w:themeFill="background1"/>
          </w:tcPr>
          <w:p w14:paraId="65D2E996" w14:textId="35BD5A35" w:rsidR="003A568C" w:rsidRPr="009F73B7" w:rsidRDefault="00B35DE8" w:rsidP="00F7451C">
            <w:pPr>
              <w:pStyle w:val="CalendarText"/>
              <w:jc w:val="center"/>
              <w:rPr>
                <w:rStyle w:val="WinCalendarBLANKCELLSTYLE0"/>
                <w:b/>
                <w:bCs/>
                <w:szCs w:val="16"/>
              </w:rPr>
            </w:pPr>
            <w:r>
              <w:rPr>
                <w:rStyle w:val="WinCalendarBLANKCELLSTYLE0"/>
                <w:b/>
                <w:bCs/>
                <w:szCs w:val="16"/>
              </w:rPr>
              <w:t>3</w:t>
            </w:r>
          </w:p>
        </w:tc>
        <w:tc>
          <w:tcPr>
            <w:tcW w:w="734" w:type="pct"/>
            <w:tcBorders>
              <w:top w:val="nil"/>
              <w:left w:val="single" w:sz="8" w:space="0" w:color="25478B"/>
              <w:bottom w:val="single" w:sz="8" w:space="0" w:color="25478B"/>
              <w:right w:val="single" w:sz="8" w:space="0" w:color="25478B"/>
            </w:tcBorders>
            <w:shd w:val="clear" w:color="auto" w:fill="00B050"/>
          </w:tcPr>
          <w:p w14:paraId="01ED593A" w14:textId="77777777" w:rsidR="003A568C" w:rsidRPr="002F64E7" w:rsidRDefault="00B35DE8" w:rsidP="00F7451C">
            <w:pPr>
              <w:pStyle w:val="CalendarText"/>
              <w:jc w:val="center"/>
              <w:rPr>
                <w:rStyle w:val="WinCalendarBLANKCELLSTYLE0"/>
                <w:b/>
                <w:bCs/>
                <w:szCs w:val="16"/>
                <w:lang w:val="es-ES"/>
              </w:rPr>
            </w:pPr>
            <w:r w:rsidRPr="002F64E7">
              <w:rPr>
                <w:rStyle w:val="WinCalendarBLANKCELLSTYLE0"/>
                <w:b/>
                <w:bCs/>
                <w:szCs w:val="16"/>
                <w:lang w:val="es-ES"/>
              </w:rPr>
              <w:t>4</w:t>
            </w:r>
          </w:p>
          <w:p w14:paraId="3A298852" w14:textId="360373C1" w:rsidR="00992016" w:rsidRPr="002F64E7" w:rsidRDefault="00992016" w:rsidP="00F7451C">
            <w:pPr>
              <w:pStyle w:val="CalendarText"/>
              <w:jc w:val="center"/>
              <w:rPr>
                <w:rStyle w:val="WinCalendarBLANKCELLSTYLE0"/>
                <w:b/>
                <w:bCs/>
                <w:szCs w:val="16"/>
                <w:lang w:val="es-ES"/>
              </w:rPr>
            </w:pPr>
            <w:r w:rsidRPr="002F64E7">
              <w:rPr>
                <w:rStyle w:val="WinCalendarBLANKCELLSTYLE0"/>
                <w:b/>
                <w:bCs/>
                <w:szCs w:val="16"/>
                <w:lang w:val="es-ES"/>
              </w:rPr>
              <w:t>Se notifica de la resolución</w:t>
            </w:r>
          </w:p>
        </w:tc>
        <w:tc>
          <w:tcPr>
            <w:tcW w:w="662" w:type="pct"/>
            <w:tcBorders>
              <w:top w:val="nil"/>
              <w:left w:val="single" w:sz="8" w:space="0" w:color="25478B"/>
              <w:bottom w:val="single" w:sz="8" w:space="0" w:color="25478B"/>
              <w:right w:val="single" w:sz="4" w:space="0" w:color="25478B"/>
            </w:tcBorders>
            <w:shd w:val="clear" w:color="auto" w:fill="808080" w:themeFill="background1" w:themeFillShade="80"/>
          </w:tcPr>
          <w:p w14:paraId="7945FF20" w14:textId="5C5B8891" w:rsidR="003A568C" w:rsidRPr="009F73B7" w:rsidRDefault="00B35DE8" w:rsidP="00F7451C">
            <w:pPr>
              <w:pStyle w:val="CalendarText"/>
              <w:jc w:val="center"/>
              <w:rPr>
                <w:rStyle w:val="WinCalendarBLANKCELLSTYLE0"/>
                <w:b/>
                <w:bCs/>
                <w:szCs w:val="16"/>
              </w:rPr>
            </w:pPr>
            <w:r>
              <w:rPr>
                <w:rStyle w:val="WinCalendarBLANKCELLSTYLE0"/>
                <w:b/>
                <w:bCs/>
                <w:szCs w:val="16"/>
              </w:rPr>
              <w:t>5</w:t>
            </w:r>
          </w:p>
        </w:tc>
      </w:tr>
      <w:tr w:rsidR="00992016" w:rsidRPr="003D6B5B" w14:paraId="687CEDFE" w14:textId="77777777" w:rsidTr="006B6B3A">
        <w:trPr>
          <w:cantSplit/>
          <w:trHeight w:val="561"/>
          <w:jc w:val="center"/>
        </w:trPr>
        <w:tc>
          <w:tcPr>
            <w:tcW w:w="60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64B1829" w14:textId="41C47613" w:rsidR="003A568C" w:rsidRPr="009F73B7" w:rsidRDefault="00B35DE8" w:rsidP="00F7451C">
            <w:pPr>
              <w:pStyle w:val="CalendarText"/>
              <w:jc w:val="center"/>
              <w:rPr>
                <w:rStyle w:val="WinCalendarBLANKCELLSTYLE0"/>
                <w:b/>
                <w:bCs/>
                <w:szCs w:val="16"/>
              </w:rPr>
            </w:pPr>
            <w:r>
              <w:rPr>
                <w:rStyle w:val="WinCalendarBLANKCELLSTYLE0"/>
                <w:b/>
                <w:bCs/>
                <w:szCs w:val="16"/>
              </w:rPr>
              <w:t>6</w:t>
            </w:r>
          </w:p>
        </w:tc>
        <w:tc>
          <w:tcPr>
            <w:tcW w:w="809" w:type="pct"/>
            <w:tcBorders>
              <w:top w:val="single" w:sz="8" w:space="0" w:color="25478B"/>
              <w:left w:val="single" w:sz="8" w:space="0" w:color="25478B"/>
              <w:bottom w:val="single" w:sz="8" w:space="0" w:color="25478B"/>
              <w:right w:val="single" w:sz="8" w:space="0" w:color="25478B"/>
            </w:tcBorders>
            <w:shd w:val="clear" w:color="auto" w:fill="92D050"/>
          </w:tcPr>
          <w:p w14:paraId="2CAB5910" w14:textId="77777777" w:rsidR="003A568C" w:rsidRDefault="00B35DE8" w:rsidP="00F7451C">
            <w:pPr>
              <w:pStyle w:val="CalendarText"/>
              <w:jc w:val="center"/>
              <w:rPr>
                <w:rStyle w:val="WinCalendarBLANKCELLSTYLE0"/>
                <w:b/>
                <w:bCs/>
                <w:szCs w:val="16"/>
              </w:rPr>
            </w:pPr>
            <w:r>
              <w:rPr>
                <w:rStyle w:val="WinCalendarBLANKCELLSTYLE0"/>
                <w:b/>
                <w:bCs/>
                <w:szCs w:val="16"/>
              </w:rPr>
              <w:t>7</w:t>
            </w:r>
          </w:p>
          <w:p w14:paraId="39CABA7E" w14:textId="36483699" w:rsidR="00992016" w:rsidRPr="009F73B7" w:rsidRDefault="00992016" w:rsidP="00F7451C">
            <w:pPr>
              <w:pStyle w:val="CalendarText"/>
              <w:jc w:val="center"/>
              <w:rPr>
                <w:rStyle w:val="WinCalendarBLANKCELLSTYLE0"/>
                <w:b/>
                <w:bCs/>
                <w:szCs w:val="16"/>
              </w:rPr>
            </w:pPr>
            <w:proofErr w:type="spellStart"/>
            <w:r>
              <w:rPr>
                <w:rStyle w:val="WinCalendarBLANKCELLSTYLE0"/>
                <w:b/>
                <w:bCs/>
                <w:szCs w:val="16"/>
              </w:rPr>
              <w:t>Surte</w:t>
            </w:r>
            <w:proofErr w:type="spellEnd"/>
            <w:r>
              <w:rPr>
                <w:rStyle w:val="WinCalendarBLANKCELLSTYLE0"/>
                <w:b/>
                <w:bCs/>
                <w:szCs w:val="16"/>
              </w:rPr>
              <w:t xml:space="preserve"> </w:t>
            </w:r>
            <w:proofErr w:type="spellStart"/>
            <w:r>
              <w:rPr>
                <w:rStyle w:val="WinCalendarBLANKCELLSTYLE0"/>
                <w:b/>
                <w:bCs/>
                <w:szCs w:val="16"/>
              </w:rPr>
              <w:t>efectos</w:t>
            </w:r>
            <w:proofErr w:type="spellEnd"/>
            <w:r>
              <w:rPr>
                <w:rStyle w:val="WinCalendarBLANKCELLSTYLE0"/>
                <w:b/>
                <w:bCs/>
                <w:szCs w:val="16"/>
              </w:rPr>
              <w:t xml:space="preserve"> la </w:t>
            </w:r>
            <w:proofErr w:type="spellStart"/>
            <w:r>
              <w:rPr>
                <w:rStyle w:val="WinCalendarBLANKCELLSTYLE0"/>
                <w:b/>
                <w:bCs/>
                <w:szCs w:val="16"/>
              </w:rPr>
              <w:t>notificación</w:t>
            </w:r>
            <w:proofErr w:type="spellEnd"/>
          </w:p>
        </w:tc>
        <w:tc>
          <w:tcPr>
            <w:tcW w:w="603" w:type="pct"/>
            <w:tcBorders>
              <w:top w:val="single" w:sz="8" w:space="0" w:color="25478B"/>
              <w:left w:val="single" w:sz="8" w:space="0" w:color="25478B"/>
              <w:bottom w:val="single" w:sz="8" w:space="0" w:color="25478B"/>
              <w:right w:val="single" w:sz="8" w:space="0" w:color="25478B"/>
            </w:tcBorders>
            <w:shd w:val="clear" w:color="auto" w:fill="FFFF00"/>
          </w:tcPr>
          <w:p w14:paraId="1CBF5FC9" w14:textId="77777777" w:rsidR="003A568C" w:rsidRDefault="00B35DE8" w:rsidP="00992016">
            <w:pPr>
              <w:pStyle w:val="CalendarText"/>
              <w:jc w:val="center"/>
              <w:rPr>
                <w:rStyle w:val="WinCalendarBLANKCELLSTYLE0"/>
                <w:b/>
                <w:bCs/>
                <w:szCs w:val="16"/>
              </w:rPr>
            </w:pPr>
            <w:r>
              <w:rPr>
                <w:rStyle w:val="WinCalendarBLANKCELLSTYLE0"/>
                <w:b/>
                <w:bCs/>
                <w:szCs w:val="16"/>
              </w:rPr>
              <w:t>8</w:t>
            </w:r>
          </w:p>
          <w:p w14:paraId="79257D28" w14:textId="28CDA971" w:rsidR="00B364B7" w:rsidRPr="009F73B7" w:rsidRDefault="00B364B7" w:rsidP="00992016">
            <w:pPr>
              <w:pStyle w:val="CalendarText"/>
              <w:jc w:val="center"/>
              <w:rPr>
                <w:rStyle w:val="WinCalendarBLANKCELLSTYLE0"/>
                <w:b/>
                <w:bCs/>
                <w:szCs w:val="16"/>
              </w:rPr>
            </w:pPr>
            <w:proofErr w:type="spellStart"/>
            <w:r>
              <w:rPr>
                <w:rStyle w:val="WinCalendarBLANKCELLSTYLE0"/>
                <w:b/>
                <w:bCs/>
                <w:szCs w:val="16"/>
              </w:rPr>
              <w:t>Inicia</w:t>
            </w:r>
            <w:proofErr w:type="spellEnd"/>
            <w:r>
              <w:rPr>
                <w:rStyle w:val="WinCalendarBLANKCELLSTYLE0"/>
                <w:b/>
                <w:bCs/>
                <w:szCs w:val="16"/>
              </w:rPr>
              <w:t xml:space="preserve"> </w:t>
            </w:r>
            <w:proofErr w:type="spellStart"/>
            <w:r>
              <w:rPr>
                <w:rStyle w:val="WinCalendarBLANKCELLSTYLE0"/>
                <w:b/>
                <w:bCs/>
                <w:szCs w:val="16"/>
              </w:rPr>
              <w:t>el</w:t>
            </w:r>
            <w:proofErr w:type="spellEnd"/>
            <w:r>
              <w:rPr>
                <w:rStyle w:val="WinCalendarBLANKCELLSTYLE0"/>
                <w:b/>
                <w:bCs/>
                <w:szCs w:val="16"/>
              </w:rPr>
              <w:t xml:space="preserve"> </w:t>
            </w:r>
            <w:proofErr w:type="spellStart"/>
            <w:r>
              <w:rPr>
                <w:rStyle w:val="WinCalendarBLANKCELLSTYLE0"/>
                <w:b/>
                <w:bCs/>
                <w:szCs w:val="16"/>
              </w:rPr>
              <w:t>plazo</w:t>
            </w:r>
            <w:proofErr w:type="spellEnd"/>
          </w:p>
        </w:tc>
        <w:tc>
          <w:tcPr>
            <w:tcW w:w="862" w:type="pct"/>
            <w:tcBorders>
              <w:top w:val="single" w:sz="8" w:space="0" w:color="25478B"/>
              <w:left w:val="single" w:sz="8" w:space="0" w:color="25478B"/>
              <w:bottom w:val="single" w:sz="8" w:space="0" w:color="25478B"/>
              <w:right w:val="single" w:sz="8" w:space="0" w:color="25478B"/>
            </w:tcBorders>
            <w:shd w:val="clear" w:color="auto" w:fill="FFFF00"/>
          </w:tcPr>
          <w:p w14:paraId="1E070AC4" w14:textId="74ABD66C" w:rsidR="003A568C" w:rsidRPr="009F73B7" w:rsidRDefault="00B35DE8" w:rsidP="00F7451C">
            <w:pPr>
              <w:pStyle w:val="CalendarText"/>
              <w:jc w:val="center"/>
              <w:rPr>
                <w:rStyle w:val="WinCalendarBLANKCELLSTYLE0"/>
                <w:b/>
                <w:bCs/>
                <w:szCs w:val="16"/>
              </w:rPr>
            </w:pPr>
            <w:r>
              <w:rPr>
                <w:rStyle w:val="WinCalendarBLANKCELLSTYLE0"/>
                <w:b/>
                <w:bCs/>
                <w:szCs w:val="16"/>
              </w:rPr>
              <w:t>9</w:t>
            </w:r>
          </w:p>
        </w:tc>
        <w:tc>
          <w:tcPr>
            <w:tcW w:w="730" w:type="pct"/>
            <w:tcBorders>
              <w:top w:val="single" w:sz="8" w:space="0" w:color="25478B"/>
              <w:left w:val="single" w:sz="8" w:space="0" w:color="25478B"/>
              <w:bottom w:val="single" w:sz="8" w:space="0" w:color="25478B"/>
              <w:right w:val="single" w:sz="8" w:space="0" w:color="25478B"/>
            </w:tcBorders>
            <w:shd w:val="clear" w:color="auto" w:fill="FFFF00"/>
          </w:tcPr>
          <w:p w14:paraId="636CDF7D" w14:textId="7A9F3BFC" w:rsidR="003A568C" w:rsidRPr="009F73B7" w:rsidRDefault="00B35DE8" w:rsidP="00F7451C">
            <w:pPr>
              <w:pStyle w:val="CalendarText"/>
              <w:jc w:val="center"/>
              <w:rPr>
                <w:rStyle w:val="WinCalendarBLANKCELLSTYLE0"/>
                <w:b/>
                <w:bCs/>
                <w:szCs w:val="16"/>
              </w:rPr>
            </w:pPr>
            <w:r>
              <w:rPr>
                <w:rStyle w:val="WinCalendarBLANKCELLSTYLE0"/>
                <w:b/>
                <w:bCs/>
                <w:szCs w:val="16"/>
              </w:rPr>
              <w:t>10</w:t>
            </w:r>
          </w:p>
        </w:tc>
        <w:tc>
          <w:tcPr>
            <w:tcW w:w="734" w:type="pct"/>
            <w:tcBorders>
              <w:top w:val="single" w:sz="8" w:space="0" w:color="25478B"/>
              <w:left w:val="single" w:sz="8" w:space="0" w:color="25478B"/>
              <w:bottom w:val="single" w:sz="8" w:space="0" w:color="25478B"/>
              <w:right w:val="single" w:sz="8" w:space="0" w:color="25478B"/>
            </w:tcBorders>
            <w:shd w:val="clear" w:color="auto" w:fill="FFFF00"/>
          </w:tcPr>
          <w:p w14:paraId="04785D85" w14:textId="14650B4E" w:rsidR="003A568C" w:rsidRPr="009F73B7" w:rsidRDefault="00B35DE8" w:rsidP="00F7451C">
            <w:pPr>
              <w:pStyle w:val="CalendarText"/>
              <w:jc w:val="center"/>
              <w:rPr>
                <w:rStyle w:val="WinCalendarBLANKCELLSTYLE0"/>
                <w:b/>
                <w:bCs/>
                <w:szCs w:val="16"/>
              </w:rPr>
            </w:pPr>
            <w:r>
              <w:rPr>
                <w:rStyle w:val="WinCalendarBLANKCELLSTYLE0"/>
                <w:b/>
                <w:bCs/>
                <w:szCs w:val="16"/>
              </w:rPr>
              <w:t>11</w:t>
            </w:r>
          </w:p>
        </w:tc>
        <w:tc>
          <w:tcPr>
            <w:tcW w:w="66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0FCDE2A8" w14:textId="0530827C" w:rsidR="003A568C" w:rsidRPr="009F73B7" w:rsidRDefault="00B35DE8" w:rsidP="00F7451C">
            <w:pPr>
              <w:pStyle w:val="CalendarText"/>
              <w:jc w:val="center"/>
              <w:rPr>
                <w:rStyle w:val="WinCalendarBLANKCELLSTYLE0"/>
                <w:b/>
                <w:bCs/>
                <w:szCs w:val="16"/>
              </w:rPr>
            </w:pPr>
            <w:r>
              <w:rPr>
                <w:rStyle w:val="WinCalendarBLANKCELLSTYLE0"/>
                <w:b/>
                <w:bCs/>
                <w:szCs w:val="16"/>
              </w:rPr>
              <w:t>12</w:t>
            </w:r>
          </w:p>
        </w:tc>
      </w:tr>
      <w:tr w:rsidR="00992016" w:rsidRPr="003D6B5B" w14:paraId="20ED6A96" w14:textId="77777777" w:rsidTr="006B6B3A">
        <w:trPr>
          <w:cantSplit/>
          <w:trHeight w:val="556"/>
          <w:jc w:val="center"/>
        </w:trPr>
        <w:tc>
          <w:tcPr>
            <w:tcW w:w="60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25F62335" w14:textId="5EBB1002" w:rsidR="003A568C" w:rsidRPr="009F73B7" w:rsidRDefault="00B35DE8" w:rsidP="00F7451C">
            <w:pPr>
              <w:pStyle w:val="CalendarText"/>
              <w:jc w:val="center"/>
              <w:rPr>
                <w:rStyle w:val="WinCalendarBLANKCELLSTYLE0"/>
                <w:b/>
                <w:bCs/>
                <w:szCs w:val="16"/>
              </w:rPr>
            </w:pPr>
            <w:r>
              <w:rPr>
                <w:rStyle w:val="WinCalendarBLANKCELLSTYLE0"/>
                <w:b/>
                <w:bCs/>
                <w:szCs w:val="16"/>
              </w:rPr>
              <w:t>13</w:t>
            </w:r>
          </w:p>
        </w:tc>
        <w:tc>
          <w:tcPr>
            <w:tcW w:w="809" w:type="pct"/>
            <w:tcBorders>
              <w:top w:val="single" w:sz="8" w:space="0" w:color="25478B"/>
              <w:left w:val="single" w:sz="8" w:space="0" w:color="25478B"/>
              <w:bottom w:val="single" w:sz="8" w:space="0" w:color="25478B"/>
              <w:right w:val="single" w:sz="8" w:space="0" w:color="25478B"/>
            </w:tcBorders>
            <w:shd w:val="clear" w:color="auto" w:fill="FFFF00"/>
          </w:tcPr>
          <w:p w14:paraId="6CADB1FA" w14:textId="19324001" w:rsidR="003A568C" w:rsidRPr="009F73B7" w:rsidRDefault="00B35DE8" w:rsidP="00F7451C">
            <w:pPr>
              <w:pStyle w:val="CalendarText"/>
              <w:jc w:val="center"/>
              <w:rPr>
                <w:rStyle w:val="WinCalendarBLANKCELLSTYLE0"/>
                <w:b/>
                <w:bCs/>
                <w:szCs w:val="16"/>
              </w:rPr>
            </w:pPr>
            <w:r>
              <w:rPr>
                <w:rStyle w:val="WinCalendarBLANKCELLSTYLE0"/>
                <w:b/>
                <w:bCs/>
                <w:szCs w:val="16"/>
              </w:rPr>
              <w:t>14</w:t>
            </w:r>
          </w:p>
        </w:tc>
        <w:tc>
          <w:tcPr>
            <w:tcW w:w="603" w:type="pct"/>
            <w:tcBorders>
              <w:top w:val="single" w:sz="8" w:space="0" w:color="25478B"/>
              <w:left w:val="single" w:sz="8" w:space="0" w:color="25478B"/>
              <w:bottom w:val="single" w:sz="8" w:space="0" w:color="25478B"/>
              <w:right w:val="single" w:sz="8" w:space="0" w:color="25478B"/>
            </w:tcBorders>
            <w:shd w:val="clear" w:color="auto" w:fill="FFFF00"/>
          </w:tcPr>
          <w:p w14:paraId="089FD7B1" w14:textId="0E009C0C" w:rsidR="003A568C" w:rsidRPr="009F73B7" w:rsidRDefault="00B35DE8" w:rsidP="00F7451C">
            <w:pPr>
              <w:pStyle w:val="CalendarText"/>
              <w:jc w:val="center"/>
              <w:rPr>
                <w:rStyle w:val="WinCalendarBLANKCELLSTYLE0"/>
                <w:b/>
                <w:bCs/>
                <w:szCs w:val="16"/>
              </w:rPr>
            </w:pPr>
            <w:r>
              <w:rPr>
                <w:rStyle w:val="WinCalendarBLANKCELLSTYLE0"/>
                <w:b/>
                <w:bCs/>
                <w:szCs w:val="16"/>
              </w:rPr>
              <w:t>15</w:t>
            </w:r>
          </w:p>
        </w:tc>
        <w:tc>
          <w:tcPr>
            <w:tcW w:w="862" w:type="pct"/>
            <w:tcBorders>
              <w:top w:val="single" w:sz="8" w:space="0" w:color="25478B"/>
              <w:left w:val="single" w:sz="8" w:space="0" w:color="25478B"/>
              <w:bottom w:val="single" w:sz="8" w:space="0" w:color="25478B"/>
              <w:right w:val="single" w:sz="8" w:space="0" w:color="25478B"/>
            </w:tcBorders>
            <w:shd w:val="clear" w:color="auto" w:fill="FFFF00"/>
          </w:tcPr>
          <w:p w14:paraId="039670E6" w14:textId="61B28050" w:rsidR="003A568C" w:rsidRPr="009F73B7" w:rsidRDefault="00B35DE8" w:rsidP="00F7451C">
            <w:pPr>
              <w:pStyle w:val="CalendarText"/>
              <w:jc w:val="center"/>
              <w:rPr>
                <w:rStyle w:val="WinCalendarBLANKCELLSTYLE0"/>
                <w:b/>
                <w:bCs/>
                <w:szCs w:val="16"/>
              </w:rPr>
            </w:pPr>
            <w:r>
              <w:rPr>
                <w:rStyle w:val="WinCalendarBLANKCELLSTYLE0"/>
                <w:b/>
                <w:bCs/>
                <w:szCs w:val="16"/>
              </w:rPr>
              <w:t>16</w:t>
            </w:r>
          </w:p>
        </w:tc>
        <w:tc>
          <w:tcPr>
            <w:tcW w:w="730" w:type="pct"/>
            <w:tcBorders>
              <w:top w:val="single" w:sz="8" w:space="0" w:color="25478B"/>
              <w:left w:val="single" w:sz="8" w:space="0" w:color="25478B"/>
              <w:bottom w:val="single" w:sz="8" w:space="0" w:color="25478B"/>
              <w:right w:val="single" w:sz="8" w:space="0" w:color="25478B"/>
            </w:tcBorders>
            <w:shd w:val="clear" w:color="auto" w:fill="FFFF00"/>
          </w:tcPr>
          <w:p w14:paraId="370956E7" w14:textId="6B25C19C" w:rsidR="003A568C" w:rsidRPr="009F73B7" w:rsidRDefault="00B35DE8" w:rsidP="00F7451C">
            <w:pPr>
              <w:pStyle w:val="CalendarText"/>
              <w:jc w:val="center"/>
              <w:rPr>
                <w:rStyle w:val="WinCalendarBLANKCELLSTYLE0"/>
                <w:b/>
                <w:bCs/>
                <w:szCs w:val="16"/>
              </w:rPr>
            </w:pPr>
            <w:r>
              <w:rPr>
                <w:rStyle w:val="WinCalendarBLANKCELLSTYLE0"/>
                <w:b/>
                <w:bCs/>
                <w:szCs w:val="16"/>
              </w:rPr>
              <w:t>17</w:t>
            </w:r>
          </w:p>
        </w:tc>
        <w:tc>
          <w:tcPr>
            <w:tcW w:w="734" w:type="pct"/>
            <w:tcBorders>
              <w:top w:val="single" w:sz="8" w:space="0" w:color="25478B"/>
              <w:left w:val="single" w:sz="8" w:space="0" w:color="25478B"/>
              <w:bottom w:val="single" w:sz="8" w:space="0" w:color="25478B"/>
              <w:right w:val="single" w:sz="8" w:space="0" w:color="25478B"/>
            </w:tcBorders>
            <w:shd w:val="clear" w:color="auto" w:fill="FFFF00"/>
          </w:tcPr>
          <w:p w14:paraId="4B6BEA94" w14:textId="7252CBD3" w:rsidR="003A568C" w:rsidRPr="009F73B7" w:rsidRDefault="00B35DE8" w:rsidP="00F7451C">
            <w:pPr>
              <w:pStyle w:val="CalendarText"/>
              <w:jc w:val="center"/>
              <w:rPr>
                <w:rStyle w:val="WinCalendarBLANKCELLSTYLE0"/>
                <w:b/>
                <w:bCs/>
                <w:szCs w:val="16"/>
              </w:rPr>
            </w:pPr>
            <w:r>
              <w:rPr>
                <w:rStyle w:val="WinCalendarBLANKCELLSTYLE0"/>
                <w:b/>
                <w:bCs/>
                <w:szCs w:val="16"/>
              </w:rPr>
              <w:t>18</w:t>
            </w:r>
          </w:p>
        </w:tc>
        <w:tc>
          <w:tcPr>
            <w:tcW w:w="66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26442FE0" w14:textId="7E278539" w:rsidR="003A568C" w:rsidRPr="009F73B7" w:rsidRDefault="00B35DE8" w:rsidP="00F7451C">
            <w:pPr>
              <w:pStyle w:val="CalendarText"/>
              <w:jc w:val="center"/>
              <w:rPr>
                <w:rStyle w:val="WinCalendarBLANKCELLSTYLE0"/>
                <w:b/>
                <w:bCs/>
                <w:szCs w:val="16"/>
              </w:rPr>
            </w:pPr>
            <w:r>
              <w:rPr>
                <w:rStyle w:val="WinCalendarBLANKCELLSTYLE0"/>
                <w:b/>
                <w:bCs/>
                <w:szCs w:val="16"/>
              </w:rPr>
              <w:t>19</w:t>
            </w:r>
          </w:p>
        </w:tc>
      </w:tr>
      <w:tr w:rsidR="00992016" w:rsidRPr="003D6B5B" w14:paraId="3A722CA0" w14:textId="77777777" w:rsidTr="006B6B3A">
        <w:trPr>
          <w:cantSplit/>
          <w:trHeight w:val="587"/>
          <w:jc w:val="center"/>
        </w:trPr>
        <w:tc>
          <w:tcPr>
            <w:tcW w:w="60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873E1B4" w14:textId="508B1B57" w:rsidR="003A568C" w:rsidRPr="009F73B7" w:rsidRDefault="00B35DE8" w:rsidP="00F7451C">
            <w:pPr>
              <w:pStyle w:val="CalendarText"/>
              <w:jc w:val="center"/>
              <w:rPr>
                <w:rStyle w:val="WinCalendarBLANKCELLSTYLE0"/>
                <w:b/>
                <w:bCs/>
                <w:szCs w:val="16"/>
              </w:rPr>
            </w:pPr>
            <w:r>
              <w:rPr>
                <w:rStyle w:val="WinCalendarBLANKCELLSTYLE0"/>
                <w:b/>
                <w:bCs/>
                <w:szCs w:val="16"/>
              </w:rPr>
              <w:t>20</w:t>
            </w:r>
          </w:p>
        </w:tc>
        <w:tc>
          <w:tcPr>
            <w:tcW w:w="809" w:type="pct"/>
            <w:tcBorders>
              <w:top w:val="single" w:sz="8" w:space="0" w:color="25478B"/>
              <w:left w:val="single" w:sz="8" w:space="0" w:color="25478B"/>
              <w:bottom w:val="single" w:sz="8" w:space="0" w:color="25478B"/>
              <w:right w:val="single" w:sz="8" w:space="0" w:color="25478B"/>
            </w:tcBorders>
            <w:shd w:val="clear" w:color="auto" w:fill="FFFF00"/>
          </w:tcPr>
          <w:p w14:paraId="4BAFF66A" w14:textId="77777777" w:rsidR="003A568C" w:rsidRDefault="00B35DE8" w:rsidP="00F7451C">
            <w:pPr>
              <w:pStyle w:val="CalendarText"/>
              <w:jc w:val="center"/>
              <w:rPr>
                <w:rStyle w:val="WinCalendarBLANKCELLSTYLE0"/>
                <w:b/>
                <w:bCs/>
                <w:szCs w:val="16"/>
              </w:rPr>
            </w:pPr>
            <w:r>
              <w:rPr>
                <w:rStyle w:val="WinCalendarBLANKCELLSTYLE0"/>
                <w:b/>
                <w:bCs/>
                <w:szCs w:val="16"/>
              </w:rPr>
              <w:t>21</w:t>
            </w:r>
          </w:p>
          <w:p w14:paraId="51C40FEC" w14:textId="33226F49" w:rsidR="005E3FC5" w:rsidRPr="009F73B7" w:rsidRDefault="005E3FC5" w:rsidP="00F7451C">
            <w:pPr>
              <w:pStyle w:val="CalendarText"/>
              <w:jc w:val="center"/>
              <w:rPr>
                <w:rStyle w:val="WinCalendarBLANKCELLSTYLE0"/>
                <w:b/>
                <w:bCs/>
                <w:szCs w:val="16"/>
              </w:rPr>
            </w:pPr>
            <w:proofErr w:type="spellStart"/>
            <w:r>
              <w:rPr>
                <w:rStyle w:val="WinCalendarBLANKCELLSTYLE0"/>
                <w:b/>
                <w:bCs/>
                <w:szCs w:val="16"/>
              </w:rPr>
              <w:t>inhabil</w:t>
            </w:r>
            <w:proofErr w:type="spellEnd"/>
          </w:p>
        </w:tc>
        <w:tc>
          <w:tcPr>
            <w:tcW w:w="603" w:type="pct"/>
            <w:tcBorders>
              <w:top w:val="single" w:sz="8" w:space="0" w:color="25478B"/>
              <w:left w:val="single" w:sz="8" w:space="0" w:color="25478B"/>
              <w:bottom w:val="single" w:sz="8" w:space="0" w:color="25478B"/>
              <w:right w:val="single" w:sz="8" w:space="0" w:color="25478B"/>
            </w:tcBorders>
            <w:shd w:val="clear" w:color="auto" w:fill="FFFF00"/>
          </w:tcPr>
          <w:p w14:paraId="48E76326" w14:textId="5617E90C" w:rsidR="003A568C" w:rsidRPr="009F73B7" w:rsidRDefault="00B35DE8" w:rsidP="00F7451C">
            <w:pPr>
              <w:pStyle w:val="CalendarText"/>
              <w:jc w:val="center"/>
              <w:rPr>
                <w:rStyle w:val="WinCalendarBLANKCELLSTYLE0"/>
                <w:b/>
                <w:bCs/>
                <w:szCs w:val="16"/>
              </w:rPr>
            </w:pPr>
            <w:r>
              <w:rPr>
                <w:rStyle w:val="WinCalendarBLANKCELLSTYLE0"/>
                <w:b/>
                <w:bCs/>
                <w:szCs w:val="16"/>
              </w:rPr>
              <w:t>22</w:t>
            </w:r>
          </w:p>
        </w:tc>
        <w:tc>
          <w:tcPr>
            <w:tcW w:w="862" w:type="pct"/>
            <w:tcBorders>
              <w:top w:val="single" w:sz="8" w:space="0" w:color="25478B"/>
              <w:left w:val="single" w:sz="8" w:space="0" w:color="25478B"/>
              <w:bottom w:val="single" w:sz="8" w:space="0" w:color="25478B"/>
              <w:right w:val="single" w:sz="8" w:space="0" w:color="25478B"/>
            </w:tcBorders>
            <w:shd w:val="clear" w:color="auto" w:fill="FFFF00"/>
          </w:tcPr>
          <w:p w14:paraId="20F15DFC" w14:textId="37D8850A" w:rsidR="003A568C" w:rsidRPr="009F73B7" w:rsidRDefault="00B35DE8" w:rsidP="00F7451C">
            <w:pPr>
              <w:pStyle w:val="CalendarText"/>
              <w:jc w:val="center"/>
              <w:rPr>
                <w:rStyle w:val="WinCalendarBLANKCELLSTYLE0"/>
                <w:b/>
                <w:bCs/>
                <w:szCs w:val="16"/>
              </w:rPr>
            </w:pPr>
            <w:r>
              <w:rPr>
                <w:rStyle w:val="WinCalendarBLANKCELLSTYLE0"/>
                <w:b/>
                <w:bCs/>
                <w:szCs w:val="16"/>
              </w:rPr>
              <w:t>23</w:t>
            </w:r>
          </w:p>
        </w:tc>
        <w:tc>
          <w:tcPr>
            <w:tcW w:w="730" w:type="pct"/>
            <w:tcBorders>
              <w:top w:val="single" w:sz="8" w:space="0" w:color="25478B"/>
              <w:left w:val="single" w:sz="8" w:space="0" w:color="25478B"/>
              <w:bottom w:val="single" w:sz="8" w:space="0" w:color="25478B"/>
              <w:right w:val="single" w:sz="8" w:space="0" w:color="25478B"/>
            </w:tcBorders>
            <w:shd w:val="clear" w:color="auto" w:fill="FFFF00"/>
          </w:tcPr>
          <w:p w14:paraId="6FF80CA7" w14:textId="58982E76" w:rsidR="003A568C" w:rsidRPr="009F73B7" w:rsidRDefault="00B35DE8" w:rsidP="00F7451C">
            <w:pPr>
              <w:pStyle w:val="CalendarText"/>
              <w:jc w:val="center"/>
              <w:rPr>
                <w:rStyle w:val="WinCalendarBLANKCELLSTYLE0"/>
                <w:b/>
                <w:bCs/>
                <w:szCs w:val="16"/>
              </w:rPr>
            </w:pPr>
            <w:r>
              <w:rPr>
                <w:rStyle w:val="WinCalendarBLANKCELLSTYLE0"/>
                <w:b/>
                <w:bCs/>
                <w:szCs w:val="16"/>
              </w:rPr>
              <w:t>24</w:t>
            </w:r>
          </w:p>
        </w:tc>
        <w:tc>
          <w:tcPr>
            <w:tcW w:w="734" w:type="pct"/>
            <w:tcBorders>
              <w:top w:val="single" w:sz="8" w:space="0" w:color="25478B"/>
              <w:left w:val="single" w:sz="8" w:space="0" w:color="25478B"/>
              <w:bottom w:val="single" w:sz="8" w:space="0" w:color="25478B"/>
              <w:right w:val="single" w:sz="8" w:space="0" w:color="25478B"/>
            </w:tcBorders>
            <w:shd w:val="clear" w:color="auto" w:fill="FFFF00"/>
          </w:tcPr>
          <w:p w14:paraId="34F07A7E" w14:textId="77777777" w:rsidR="003A568C" w:rsidRDefault="00B35DE8" w:rsidP="00F7451C">
            <w:pPr>
              <w:pStyle w:val="CalendarText"/>
              <w:jc w:val="center"/>
              <w:rPr>
                <w:rStyle w:val="WinCalendarBLANKCELLSTYLE0"/>
                <w:b/>
                <w:bCs/>
                <w:szCs w:val="16"/>
              </w:rPr>
            </w:pPr>
            <w:r>
              <w:rPr>
                <w:rStyle w:val="WinCalendarBLANKCELLSTYLE0"/>
                <w:b/>
                <w:bCs/>
                <w:szCs w:val="16"/>
              </w:rPr>
              <w:t>25</w:t>
            </w:r>
          </w:p>
          <w:p w14:paraId="1C20CF85" w14:textId="7F51F250" w:rsidR="00992016" w:rsidRPr="009F73B7" w:rsidRDefault="00992016" w:rsidP="00F7451C">
            <w:pPr>
              <w:pStyle w:val="CalendarText"/>
              <w:jc w:val="center"/>
              <w:rPr>
                <w:rStyle w:val="WinCalendarBLANKCELLSTYLE0"/>
                <w:b/>
                <w:bCs/>
                <w:szCs w:val="16"/>
              </w:rPr>
            </w:pPr>
            <w:r>
              <w:rPr>
                <w:rStyle w:val="WinCalendarBLANKCELLSTYLE0"/>
                <w:b/>
                <w:bCs/>
                <w:szCs w:val="16"/>
              </w:rPr>
              <w:t xml:space="preserve">Presenta </w:t>
            </w:r>
            <w:proofErr w:type="spellStart"/>
            <w:r>
              <w:rPr>
                <w:rStyle w:val="WinCalendarBLANKCELLSTYLE0"/>
                <w:b/>
                <w:bCs/>
                <w:szCs w:val="16"/>
              </w:rPr>
              <w:t>demanda</w:t>
            </w:r>
            <w:proofErr w:type="spellEnd"/>
          </w:p>
        </w:tc>
        <w:tc>
          <w:tcPr>
            <w:tcW w:w="662"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0E645734" w14:textId="32C7EC23" w:rsidR="003A568C" w:rsidRPr="009F73B7" w:rsidRDefault="00B35DE8" w:rsidP="00F7451C">
            <w:pPr>
              <w:pStyle w:val="CalendarText"/>
              <w:jc w:val="center"/>
              <w:rPr>
                <w:rStyle w:val="WinCalendarBLANKCELLSTYLE0"/>
                <w:b/>
                <w:bCs/>
                <w:szCs w:val="16"/>
              </w:rPr>
            </w:pPr>
            <w:r>
              <w:rPr>
                <w:rStyle w:val="WinCalendarBLANKCELLSTYLE0"/>
                <w:b/>
                <w:bCs/>
                <w:szCs w:val="16"/>
              </w:rPr>
              <w:t>26</w:t>
            </w:r>
          </w:p>
        </w:tc>
      </w:tr>
      <w:tr w:rsidR="003A568C" w:rsidRPr="003D6B5B" w14:paraId="5365914A" w14:textId="77777777" w:rsidTr="006B6B3A">
        <w:trPr>
          <w:cantSplit/>
          <w:trHeight w:val="495"/>
          <w:jc w:val="center"/>
        </w:trPr>
        <w:tc>
          <w:tcPr>
            <w:tcW w:w="601"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6DF72B94" w14:textId="5D091AD1" w:rsidR="003A568C" w:rsidRPr="009F73B7" w:rsidRDefault="00B35DE8" w:rsidP="00F7451C">
            <w:pPr>
              <w:pStyle w:val="CalendarText"/>
              <w:jc w:val="center"/>
              <w:rPr>
                <w:rStyle w:val="WinCalendarBLANKCELLSTYLE0"/>
                <w:b/>
                <w:bCs/>
                <w:szCs w:val="16"/>
              </w:rPr>
            </w:pPr>
            <w:r>
              <w:rPr>
                <w:rStyle w:val="WinCalendarBLANKCELLSTYLE0"/>
                <w:b/>
                <w:bCs/>
                <w:szCs w:val="16"/>
              </w:rPr>
              <w:t>27</w:t>
            </w:r>
          </w:p>
        </w:tc>
        <w:tc>
          <w:tcPr>
            <w:tcW w:w="809" w:type="pct"/>
            <w:tcBorders>
              <w:top w:val="single" w:sz="8" w:space="0" w:color="25478B"/>
              <w:left w:val="single" w:sz="8" w:space="0" w:color="25478B"/>
              <w:bottom w:val="single" w:sz="4" w:space="0" w:color="25478B"/>
              <w:right w:val="single" w:sz="8" w:space="0" w:color="25478B"/>
            </w:tcBorders>
            <w:shd w:val="clear" w:color="auto" w:fill="FFFF00"/>
          </w:tcPr>
          <w:p w14:paraId="11E80C5A" w14:textId="6D82337D" w:rsidR="003A568C" w:rsidRPr="00990A0F" w:rsidRDefault="00B35DE8" w:rsidP="00F7451C">
            <w:pPr>
              <w:pStyle w:val="CalendarText"/>
              <w:jc w:val="center"/>
              <w:rPr>
                <w:rStyle w:val="WinCalendarBLANKCELLSTYLE0"/>
                <w:b/>
                <w:bCs/>
                <w:color w:val="auto"/>
                <w:szCs w:val="16"/>
              </w:rPr>
            </w:pPr>
            <w:r>
              <w:rPr>
                <w:rStyle w:val="WinCalendarBLANKCELLSTYLE0"/>
                <w:b/>
                <w:bCs/>
                <w:color w:val="auto"/>
                <w:szCs w:val="16"/>
              </w:rPr>
              <w:t>28</w:t>
            </w:r>
          </w:p>
        </w:tc>
        <w:tc>
          <w:tcPr>
            <w:tcW w:w="603" w:type="pct"/>
            <w:tcBorders>
              <w:top w:val="single" w:sz="8" w:space="0" w:color="25478B"/>
              <w:left w:val="single" w:sz="8" w:space="0" w:color="25478B"/>
              <w:bottom w:val="single" w:sz="4" w:space="0" w:color="25478B"/>
              <w:right w:val="single" w:sz="8" w:space="0" w:color="25478B"/>
            </w:tcBorders>
            <w:shd w:val="clear" w:color="auto" w:fill="FF0000"/>
          </w:tcPr>
          <w:p w14:paraId="07698C43" w14:textId="77777777" w:rsidR="003A568C" w:rsidRDefault="00B35DE8" w:rsidP="00F7451C">
            <w:pPr>
              <w:pStyle w:val="CalendarText"/>
              <w:jc w:val="center"/>
              <w:rPr>
                <w:rStyle w:val="WinCalendarBLANKCELLSTYLE0"/>
                <w:b/>
                <w:bCs/>
                <w:color w:val="auto"/>
                <w:szCs w:val="16"/>
              </w:rPr>
            </w:pPr>
            <w:r>
              <w:rPr>
                <w:rStyle w:val="WinCalendarBLANKCELLSTYLE0"/>
                <w:b/>
                <w:bCs/>
                <w:color w:val="auto"/>
                <w:szCs w:val="16"/>
              </w:rPr>
              <w:t>29</w:t>
            </w:r>
          </w:p>
          <w:p w14:paraId="29853403" w14:textId="7C8594FA" w:rsidR="00B364B7" w:rsidRPr="00990A0F" w:rsidRDefault="00B364B7" w:rsidP="00F7451C">
            <w:pPr>
              <w:pStyle w:val="CalendarText"/>
              <w:jc w:val="center"/>
              <w:rPr>
                <w:rStyle w:val="WinCalendarBLANKCELLSTYLE0"/>
                <w:b/>
                <w:bCs/>
                <w:color w:val="auto"/>
                <w:szCs w:val="16"/>
              </w:rPr>
            </w:pPr>
            <w:r>
              <w:rPr>
                <w:rStyle w:val="WinCalendarBLANKCELLSTYLE0"/>
                <w:b/>
                <w:bCs/>
                <w:color w:val="auto"/>
                <w:szCs w:val="16"/>
              </w:rPr>
              <w:t xml:space="preserve">Vence el </w:t>
            </w:r>
            <w:proofErr w:type="spellStart"/>
            <w:r>
              <w:rPr>
                <w:rStyle w:val="WinCalendarBLANKCELLSTYLE0"/>
                <w:b/>
                <w:bCs/>
                <w:color w:val="auto"/>
                <w:szCs w:val="16"/>
              </w:rPr>
              <w:t>plazo</w:t>
            </w:r>
            <w:proofErr w:type="spellEnd"/>
          </w:p>
        </w:tc>
        <w:tc>
          <w:tcPr>
            <w:tcW w:w="862"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76292D8E" w14:textId="7ACF18A1" w:rsidR="003A568C" w:rsidRPr="00990A0F" w:rsidRDefault="00B35DE8" w:rsidP="00F7451C">
            <w:pPr>
              <w:pStyle w:val="CalendarText"/>
              <w:jc w:val="center"/>
              <w:rPr>
                <w:rStyle w:val="CalendarNumbers"/>
                <w:color w:val="auto"/>
                <w:sz w:val="16"/>
                <w:szCs w:val="16"/>
              </w:rPr>
            </w:pPr>
            <w:r>
              <w:rPr>
                <w:rStyle w:val="CalendarNumbers"/>
                <w:color w:val="auto"/>
                <w:sz w:val="16"/>
                <w:szCs w:val="16"/>
              </w:rPr>
              <w:t>30</w:t>
            </w:r>
          </w:p>
        </w:tc>
        <w:tc>
          <w:tcPr>
            <w:tcW w:w="730"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24C591F4" w14:textId="2CF194B8" w:rsidR="003A568C" w:rsidRPr="00990A0F" w:rsidRDefault="003A568C" w:rsidP="00F7451C">
            <w:pPr>
              <w:pStyle w:val="CalendarText"/>
              <w:jc w:val="center"/>
              <w:rPr>
                <w:rStyle w:val="CalendarNumbers"/>
                <w:color w:val="auto"/>
                <w:sz w:val="16"/>
                <w:szCs w:val="16"/>
              </w:rPr>
            </w:pPr>
          </w:p>
        </w:tc>
        <w:tc>
          <w:tcPr>
            <w:tcW w:w="734" w:type="pct"/>
            <w:tcBorders>
              <w:top w:val="single" w:sz="8" w:space="0" w:color="25478B"/>
              <w:left w:val="single" w:sz="8" w:space="0" w:color="25478B"/>
              <w:bottom w:val="single" w:sz="4" w:space="0" w:color="25478B"/>
              <w:right w:val="single" w:sz="4" w:space="0" w:color="25478B"/>
            </w:tcBorders>
            <w:shd w:val="clear" w:color="auto" w:fill="D9D9D9" w:themeFill="background1" w:themeFillShade="D9"/>
          </w:tcPr>
          <w:p w14:paraId="4A7D10BC" w14:textId="0759CC10" w:rsidR="003A568C" w:rsidRPr="00990A0F" w:rsidRDefault="003A568C" w:rsidP="00F7451C">
            <w:pPr>
              <w:pStyle w:val="CalendarText"/>
              <w:jc w:val="center"/>
              <w:rPr>
                <w:rStyle w:val="CalendarNumbers"/>
                <w:color w:val="auto"/>
                <w:sz w:val="16"/>
                <w:szCs w:val="16"/>
              </w:rPr>
            </w:pPr>
          </w:p>
        </w:tc>
        <w:tc>
          <w:tcPr>
            <w:tcW w:w="662" w:type="pct"/>
            <w:tcBorders>
              <w:top w:val="single" w:sz="8" w:space="0" w:color="25478B"/>
              <w:left w:val="single" w:sz="8" w:space="0" w:color="25478B"/>
              <w:bottom w:val="single" w:sz="4" w:space="0" w:color="25478B"/>
              <w:right w:val="single" w:sz="4" w:space="0" w:color="25478B"/>
            </w:tcBorders>
            <w:shd w:val="clear" w:color="auto" w:fill="E6E6E6"/>
          </w:tcPr>
          <w:p w14:paraId="3AF7E6FF" w14:textId="72222CA8" w:rsidR="003A568C" w:rsidRPr="00990A0F" w:rsidRDefault="003A568C" w:rsidP="00F7451C">
            <w:pPr>
              <w:pStyle w:val="CalendarText"/>
              <w:jc w:val="center"/>
              <w:rPr>
                <w:rStyle w:val="CalendarNumbers"/>
                <w:color w:val="auto"/>
                <w:sz w:val="16"/>
                <w:szCs w:val="16"/>
              </w:rPr>
            </w:pPr>
          </w:p>
        </w:tc>
      </w:tr>
    </w:tbl>
    <w:p w14:paraId="111E08EF" w14:textId="77777777" w:rsidR="003A568C" w:rsidRPr="00EE4752" w:rsidRDefault="003A568C" w:rsidP="00141E3E">
      <w:pPr>
        <w:spacing w:line="360" w:lineRule="auto"/>
        <w:ind w:firstLine="567"/>
        <w:jc w:val="center"/>
        <w:rPr>
          <w:rFonts w:ascii="Arial" w:hAnsi="Arial" w:cs="Arial"/>
          <w:i/>
          <w:sz w:val="26"/>
          <w:szCs w:val="26"/>
        </w:rPr>
      </w:pPr>
    </w:p>
    <w:p w14:paraId="361DF1BA" w14:textId="3E11AE58" w:rsidR="00350309" w:rsidRPr="00EE4752" w:rsidRDefault="00D81B9E" w:rsidP="00605164">
      <w:pPr>
        <w:spacing w:line="360" w:lineRule="auto"/>
        <w:ind w:firstLine="567"/>
        <w:jc w:val="both"/>
        <w:rPr>
          <w:rFonts w:ascii="Arial" w:hAnsi="Arial" w:cs="Arial"/>
          <w:b/>
          <w:snapToGrid w:val="0"/>
          <w:sz w:val="26"/>
          <w:szCs w:val="26"/>
        </w:rPr>
      </w:pPr>
      <w:r w:rsidRPr="00EE4752">
        <w:rPr>
          <w:rFonts w:ascii="Arial" w:hAnsi="Arial" w:cs="Arial"/>
          <w:b/>
          <w:snapToGrid w:val="0"/>
          <w:sz w:val="26"/>
          <w:szCs w:val="26"/>
        </w:rPr>
        <w:t xml:space="preserve">CUARTO. LEGITIMACIÓN Y PERSONALIDAD. </w:t>
      </w:r>
    </w:p>
    <w:p w14:paraId="734BB860" w14:textId="2920FCDD" w:rsidR="005E3FC5" w:rsidRDefault="00D945CA" w:rsidP="005E3FC5">
      <w:pPr>
        <w:spacing w:line="360" w:lineRule="auto"/>
        <w:ind w:firstLine="567"/>
        <w:jc w:val="both"/>
        <w:rPr>
          <w:rFonts w:ascii="Arial" w:hAnsi="Arial" w:cs="Arial"/>
          <w:sz w:val="26"/>
          <w:szCs w:val="26"/>
        </w:rPr>
      </w:pPr>
      <w:r>
        <w:rPr>
          <w:rFonts w:ascii="Arial" w:hAnsi="Arial" w:cs="Arial"/>
          <w:bCs/>
          <w:snapToGrid w:val="0"/>
          <w:sz w:val="26"/>
          <w:szCs w:val="26"/>
        </w:rPr>
        <w:t xml:space="preserve">12. </w:t>
      </w:r>
      <w:r w:rsidR="00D81B9E" w:rsidRPr="00EE4752">
        <w:rPr>
          <w:rFonts w:ascii="Arial" w:hAnsi="Arial" w:cs="Arial"/>
          <w:bCs/>
          <w:snapToGrid w:val="0"/>
          <w:sz w:val="26"/>
          <w:szCs w:val="26"/>
        </w:rPr>
        <w:t xml:space="preserve">El juicio de </w:t>
      </w:r>
      <w:r w:rsidR="00216B34">
        <w:rPr>
          <w:rFonts w:ascii="Arial" w:hAnsi="Arial" w:cs="Arial"/>
          <w:bCs/>
          <w:snapToGrid w:val="0"/>
          <w:sz w:val="26"/>
          <w:szCs w:val="26"/>
        </w:rPr>
        <w:t>Inconformidad</w:t>
      </w:r>
      <w:r w:rsidR="00D81B9E" w:rsidRPr="00EE4752">
        <w:rPr>
          <w:rFonts w:ascii="Arial" w:hAnsi="Arial" w:cs="Arial"/>
          <w:bCs/>
          <w:snapToGrid w:val="0"/>
          <w:sz w:val="26"/>
          <w:szCs w:val="26"/>
        </w:rPr>
        <w:t xml:space="preserve"> se promovió por persona legitimada para ello, a saber, por</w:t>
      </w:r>
      <w:r w:rsidR="00CB7617">
        <w:rPr>
          <w:rFonts w:ascii="Arial" w:hAnsi="Arial" w:cs="Arial"/>
          <w:b/>
          <w:bCs/>
          <w:spacing w:val="-3"/>
          <w:sz w:val="26"/>
          <w:szCs w:val="26"/>
          <w:lang w:val="es-ES_tradnl"/>
        </w:rPr>
        <w:t xml:space="preserve"> </w:t>
      </w:r>
      <w:r w:rsidR="00CB7617">
        <w:rPr>
          <w:rFonts w:ascii="Arial" w:eastAsia="Times New Roman" w:hAnsi="Arial" w:cs="Arial"/>
          <w:sz w:val="26"/>
          <w:szCs w:val="26"/>
          <w:lang w:val="es-ES_tradnl" w:eastAsia="es-ES"/>
        </w:rPr>
        <w:t>************</w:t>
      </w:r>
      <w:r w:rsidR="00D81B9E" w:rsidRPr="00EE4752">
        <w:rPr>
          <w:rFonts w:ascii="Arial" w:eastAsia="Times New Roman" w:hAnsi="Arial" w:cs="Arial"/>
          <w:sz w:val="26"/>
          <w:szCs w:val="26"/>
          <w:lang w:val="es-ES_tradnl" w:eastAsia="es-ES"/>
        </w:rPr>
        <w:t xml:space="preserve">, </w:t>
      </w:r>
      <w:r w:rsidR="00216B34" w:rsidRPr="00D7722A">
        <w:rPr>
          <w:rFonts w:ascii="Arial" w:hAnsi="Arial" w:cs="Arial"/>
          <w:sz w:val="26"/>
          <w:szCs w:val="26"/>
        </w:rPr>
        <w:t>en contra de la resolución de</w:t>
      </w:r>
      <w:r w:rsidR="00216B34">
        <w:rPr>
          <w:rFonts w:ascii="Arial" w:hAnsi="Arial" w:cs="Arial"/>
          <w:sz w:val="26"/>
          <w:szCs w:val="26"/>
        </w:rPr>
        <w:t xml:space="preserve"> </w:t>
      </w:r>
      <w:r w:rsidR="005E3FC5">
        <w:rPr>
          <w:rFonts w:ascii="Arial" w:hAnsi="Arial" w:cs="Arial"/>
          <w:sz w:val="26"/>
          <w:szCs w:val="26"/>
        </w:rPr>
        <w:t>veinticuatro de octubre de dos mil veintidós (24/10/2022)</w:t>
      </w:r>
      <w:r w:rsidR="00216B34">
        <w:rPr>
          <w:rFonts w:ascii="Arial" w:hAnsi="Arial" w:cs="Arial"/>
          <w:sz w:val="26"/>
          <w:szCs w:val="26"/>
        </w:rPr>
        <w:t>, d</w:t>
      </w:r>
      <w:r w:rsidR="00216B34" w:rsidRPr="00F00209">
        <w:rPr>
          <w:rFonts w:ascii="Arial" w:hAnsi="Arial" w:cs="Arial"/>
          <w:sz w:val="26"/>
          <w:szCs w:val="26"/>
        </w:rPr>
        <w:t xml:space="preserve">ictada </w:t>
      </w:r>
      <w:r w:rsidR="00216B34">
        <w:rPr>
          <w:rFonts w:ascii="Arial" w:hAnsi="Arial" w:cs="Arial"/>
          <w:sz w:val="26"/>
          <w:szCs w:val="26"/>
        </w:rPr>
        <w:t>en el recurso de reconsideración</w:t>
      </w:r>
      <w:r w:rsidR="005E3FC5">
        <w:rPr>
          <w:rFonts w:ascii="Arial" w:hAnsi="Arial" w:cs="Arial"/>
          <w:sz w:val="26"/>
          <w:szCs w:val="26"/>
        </w:rPr>
        <w:t xml:space="preserve"> </w:t>
      </w:r>
      <w:r w:rsidR="005E3FC5" w:rsidRPr="00AE3ADE">
        <w:rPr>
          <w:rFonts w:ascii="Arial" w:hAnsi="Arial" w:cs="Arial"/>
          <w:b/>
          <w:sz w:val="26"/>
          <w:szCs w:val="26"/>
        </w:rPr>
        <w:t xml:space="preserve">OSFE/REC.R./0084/2019 </w:t>
      </w:r>
      <w:r w:rsidR="005E3FC5" w:rsidRPr="00AE3ADE">
        <w:rPr>
          <w:rFonts w:ascii="Arial" w:hAnsi="Arial" w:cs="Arial"/>
          <w:sz w:val="26"/>
          <w:szCs w:val="26"/>
        </w:rPr>
        <w:t>y su acumulado</w:t>
      </w:r>
      <w:r w:rsidR="005E3FC5">
        <w:rPr>
          <w:rFonts w:ascii="Arial" w:hAnsi="Arial" w:cs="Arial"/>
          <w:b/>
          <w:sz w:val="26"/>
          <w:szCs w:val="26"/>
        </w:rPr>
        <w:t xml:space="preserve"> OSFE/REC.R./0085/2019</w:t>
      </w:r>
      <w:r w:rsidR="005E3FC5">
        <w:rPr>
          <w:rFonts w:ascii="Arial" w:hAnsi="Arial" w:cs="Arial"/>
          <w:sz w:val="26"/>
          <w:szCs w:val="26"/>
        </w:rPr>
        <w:t>, por el Licenciado René Fuentes Cruz, en suplencia del Titular del Órgano Superior de Fiscalización del Estado de Oaxaca.</w:t>
      </w:r>
    </w:p>
    <w:p w14:paraId="31E5C437" w14:textId="56756FED" w:rsidR="00216B34" w:rsidRPr="00950730" w:rsidRDefault="00D945CA" w:rsidP="00D945CA">
      <w:pPr>
        <w:spacing w:line="360" w:lineRule="auto"/>
        <w:ind w:firstLine="567"/>
        <w:jc w:val="both"/>
        <w:rPr>
          <w:rFonts w:ascii="Arial" w:hAnsi="Arial" w:cs="Arial"/>
          <w:sz w:val="26"/>
          <w:szCs w:val="26"/>
        </w:rPr>
      </w:pPr>
      <w:r>
        <w:rPr>
          <w:rFonts w:ascii="Arial" w:hAnsi="Arial" w:cs="Arial"/>
          <w:sz w:val="26"/>
          <w:szCs w:val="26"/>
        </w:rPr>
        <w:t>13.</w:t>
      </w:r>
      <w:r w:rsidR="00216B34">
        <w:rPr>
          <w:rFonts w:ascii="Arial" w:hAnsi="Arial" w:cs="Arial"/>
          <w:b/>
          <w:sz w:val="26"/>
          <w:szCs w:val="26"/>
        </w:rPr>
        <w:t xml:space="preserve"> </w:t>
      </w:r>
      <w:r w:rsidR="00216B34" w:rsidRPr="00D7722A">
        <w:rPr>
          <w:rFonts w:ascii="Arial" w:eastAsia="Times New Roman" w:hAnsi="Arial" w:cs="Arial"/>
          <w:sz w:val="26"/>
          <w:szCs w:val="26"/>
          <w:lang w:val="es-ES_tradnl"/>
        </w:rPr>
        <w:t>En tanto</w:t>
      </w:r>
      <w:r w:rsidR="00216B34">
        <w:rPr>
          <w:rFonts w:ascii="Arial" w:eastAsia="Times New Roman" w:hAnsi="Arial" w:cs="Arial"/>
          <w:sz w:val="26"/>
          <w:szCs w:val="26"/>
          <w:lang w:val="es-ES_tradnl"/>
        </w:rPr>
        <w:t>, la autoridad demandada</w:t>
      </w:r>
      <w:r w:rsidR="00216B34" w:rsidRPr="00D7722A">
        <w:rPr>
          <w:rFonts w:ascii="Arial" w:eastAsia="Times New Roman" w:hAnsi="Arial" w:cs="Arial"/>
          <w:sz w:val="26"/>
          <w:szCs w:val="26"/>
          <w:lang w:val="es-ES_tradnl"/>
        </w:rPr>
        <w:t xml:space="preserve"> compareció en términos del artículo 148</w:t>
      </w:r>
      <w:r w:rsidR="00216B34" w:rsidRPr="00D7722A">
        <w:rPr>
          <w:rStyle w:val="Refdenotaalpie"/>
          <w:rFonts w:ascii="Arial" w:eastAsia="Times New Roman" w:hAnsi="Arial" w:cs="Arial"/>
          <w:sz w:val="26"/>
          <w:szCs w:val="26"/>
          <w:lang w:val="es-ES_tradnl"/>
        </w:rPr>
        <w:footnoteReference w:id="3"/>
      </w:r>
      <w:r w:rsidR="00216B34" w:rsidRPr="00D7722A">
        <w:rPr>
          <w:rFonts w:ascii="Arial" w:eastAsia="Times New Roman" w:hAnsi="Arial" w:cs="Arial"/>
          <w:sz w:val="26"/>
          <w:szCs w:val="26"/>
          <w:lang w:val="es-ES_tradnl"/>
        </w:rPr>
        <w:t>, cuarto párrafo, de la Ley de Procedimiento, de aplicación supletoria</w:t>
      </w:r>
      <w:r w:rsidR="00216B34">
        <w:rPr>
          <w:rFonts w:ascii="Arial" w:eastAsia="Times New Roman" w:hAnsi="Arial" w:cs="Arial"/>
          <w:sz w:val="26"/>
          <w:szCs w:val="26"/>
          <w:lang w:val="es-ES_tradnl"/>
        </w:rPr>
        <w:t xml:space="preserve"> en términos del artículo 3</w:t>
      </w:r>
      <w:r w:rsidR="00216B34">
        <w:rPr>
          <w:rStyle w:val="Refdenotaalpie"/>
          <w:rFonts w:ascii="Arial" w:eastAsia="Times New Roman" w:hAnsi="Arial" w:cs="Arial"/>
          <w:sz w:val="26"/>
          <w:szCs w:val="26"/>
          <w:lang w:val="es-ES_tradnl"/>
        </w:rPr>
        <w:footnoteReference w:id="4"/>
      </w:r>
      <w:r w:rsidR="00216B34">
        <w:rPr>
          <w:rFonts w:ascii="Arial" w:eastAsia="Times New Roman" w:hAnsi="Arial" w:cs="Arial"/>
          <w:sz w:val="26"/>
          <w:szCs w:val="26"/>
          <w:lang w:val="es-ES_tradnl"/>
        </w:rPr>
        <w:t xml:space="preserve"> de esta misma ley</w:t>
      </w:r>
      <w:r w:rsidR="00216B34" w:rsidRPr="00D7722A">
        <w:rPr>
          <w:rFonts w:ascii="Arial" w:eastAsia="Times New Roman" w:hAnsi="Arial" w:cs="Arial"/>
          <w:sz w:val="26"/>
          <w:szCs w:val="26"/>
          <w:lang w:val="es-ES_tradnl"/>
        </w:rPr>
        <w:t xml:space="preserve">, por conducto del Titular de la Unidad de Asuntos Jurídicos, </w:t>
      </w:r>
      <w:r>
        <w:rPr>
          <w:rFonts w:ascii="Arial" w:eastAsia="Times New Roman" w:hAnsi="Arial" w:cs="Arial"/>
          <w:sz w:val="26"/>
          <w:szCs w:val="26"/>
          <w:lang w:val="es-ES_tradnl"/>
        </w:rPr>
        <w:t xml:space="preserve">de la Auditoría Superior de Fiscalización del Estado de Oaxaca (antes Órgano Superior de Fiscalización del Estado de Oaxaca), cuya personalidad </w:t>
      </w:r>
      <w:r w:rsidR="00216B34" w:rsidRPr="00D7722A">
        <w:rPr>
          <w:rFonts w:ascii="Arial" w:eastAsia="Times New Roman" w:hAnsi="Arial" w:cs="Arial"/>
          <w:sz w:val="26"/>
          <w:szCs w:val="26"/>
          <w:lang w:val="es-ES_tradnl"/>
        </w:rPr>
        <w:t xml:space="preserve">quedó debidamente acreditada con la copia certificada que exhibió, relativa al nombramiento </w:t>
      </w:r>
      <w:r>
        <w:rPr>
          <w:rFonts w:ascii="Arial" w:eastAsia="Times New Roman" w:hAnsi="Arial" w:cs="Arial"/>
          <w:sz w:val="26"/>
          <w:szCs w:val="26"/>
          <w:lang w:val="es-ES_tradnl"/>
        </w:rPr>
        <w:t xml:space="preserve">tres de abril de </w:t>
      </w:r>
      <w:r>
        <w:rPr>
          <w:rFonts w:ascii="Arial" w:eastAsia="Times New Roman" w:hAnsi="Arial" w:cs="Arial"/>
          <w:sz w:val="26"/>
          <w:szCs w:val="26"/>
          <w:lang w:val="es-ES_tradnl"/>
        </w:rPr>
        <w:lastRenderedPageBreak/>
        <w:t>dos mil veintitrés (03/04/2023),</w:t>
      </w:r>
      <w:r w:rsidR="00216B34" w:rsidRPr="00D7722A">
        <w:rPr>
          <w:rFonts w:ascii="Arial" w:eastAsia="Times New Roman" w:hAnsi="Arial" w:cs="Arial"/>
          <w:sz w:val="26"/>
          <w:szCs w:val="26"/>
          <w:lang w:val="es-ES_tradnl"/>
        </w:rPr>
        <w:t xml:space="preserve"> agregada en autos en la foja</w:t>
      </w:r>
      <w:r w:rsidR="00216B34">
        <w:rPr>
          <w:rFonts w:ascii="Arial" w:eastAsia="Times New Roman" w:hAnsi="Arial" w:cs="Arial"/>
          <w:sz w:val="26"/>
          <w:szCs w:val="26"/>
          <w:lang w:val="es-ES_tradnl"/>
        </w:rPr>
        <w:t xml:space="preserve"> </w:t>
      </w:r>
      <w:r>
        <w:rPr>
          <w:rFonts w:ascii="Arial" w:eastAsia="Times New Roman" w:hAnsi="Arial" w:cs="Arial"/>
          <w:sz w:val="26"/>
          <w:szCs w:val="26"/>
          <w:lang w:val="es-ES_tradnl"/>
        </w:rPr>
        <w:t>setenta (70)</w:t>
      </w:r>
      <w:r w:rsidR="00216B34" w:rsidRPr="00D7722A">
        <w:rPr>
          <w:rFonts w:ascii="Arial" w:eastAsia="Times New Roman" w:hAnsi="Arial" w:cs="Arial"/>
          <w:sz w:val="26"/>
          <w:szCs w:val="26"/>
          <w:lang w:val="es-ES_tradnl"/>
        </w:rPr>
        <w:t xml:space="preserve">; </w:t>
      </w:r>
      <w:r>
        <w:rPr>
          <w:rFonts w:ascii="Arial" w:eastAsia="Times New Roman" w:hAnsi="Arial" w:cs="Arial"/>
          <w:sz w:val="26"/>
          <w:szCs w:val="26"/>
          <w:lang w:val="es-ES_tradnl"/>
        </w:rPr>
        <w:t xml:space="preserve">documental </w:t>
      </w:r>
      <w:r w:rsidR="00216B34" w:rsidRPr="00D7722A">
        <w:rPr>
          <w:rFonts w:ascii="Arial" w:eastAsia="Times New Roman" w:hAnsi="Arial" w:cs="Arial"/>
          <w:sz w:val="26"/>
          <w:szCs w:val="26"/>
          <w:lang w:val="es-ES_tradnl"/>
        </w:rPr>
        <w:t>que tiene pleno valor probatorio, ya que constituye una d</w:t>
      </w:r>
      <w:r w:rsidR="00216B34">
        <w:rPr>
          <w:rFonts w:ascii="Arial" w:eastAsia="Times New Roman" w:hAnsi="Arial" w:cs="Arial"/>
          <w:sz w:val="26"/>
          <w:szCs w:val="26"/>
          <w:lang w:val="es-ES_tradnl"/>
        </w:rPr>
        <w:t>ocumental pública, esto es, que fue expedida</w:t>
      </w:r>
      <w:r w:rsidR="00216B34" w:rsidRPr="00D7722A">
        <w:rPr>
          <w:rFonts w:ascii="Arial" w:eastAsia="Times New Roman" w:hAnsi="Arial" w:cs="Arial"/>
          <w:sz w:val="26"/>
          <w:szCs w:val="26"/>
          <w:lang w:val="es-ES_tradnl"/>
        </w:rPr>
        <w:t xml:space="preserve"> por autoridad en ejercicio de sus funciones, y además fue exhibida en copia debidame</w:t>
      </w:r>
      <w:r w:rsidR="00216B34">
        <w:rPr>
          <w:rFonts w:ascii="Arial" w:eastAsia="Times New Roman" w:hAnsi="Arial" w:cs="Arial"/>
          <w:sz w:val="26"/>
          <w:szCs w:val="26"/>
          <w:lang w:val="es-ES_tradnl"/>
        </w:rPr>
        <w:t>nte certificada, conforme a lo establecido en</w:t>
      </w:r>
      <w:r w:rsidR="00216B34" w:rsidRPr="00D7722A">
        <w:rPr>
          <w:rFonts w:ascii="Arial" w:eastAsia="Times New Roman" w:hAnsi="Arial" w:cs="Arial"/>
          <w:sz w:val="26"/>
          <w:szCs w:val="26"/>
          <w:lang w:val="es-ES_tradnl"/>
        </w:rPr>
        <w:t xml:space="preserve"> el numeral 25</w:t>
      </w:r>
      <w:r w:rsidR="00216B34" w:rsidRPr="00D7722A">
        <w:rPr>
          <w:rStyle w:val="Refdenotaalpie"/>
          <w:rFonts w:ascii="Arial" w:eastAsia="Times New Roman" w:hAnsi="Arial" w:cs="Arial"/>
          <w:sz w:val="26"/>
          <w:szCs w:val="26"/>
          <w:lang w:val="es-ES_tradnl"/>
        </w:rPr>
        <w:footnoteReference w:id="5"/>
      </w:r>
      <w:r w:rsidR="00216B34" w:rsidRPr="00D7722A">
        <w:rPr>
          <w:rFonts w:ascii="Arial" w:eastAsia="Times New Roman" w:hAnsi="Arial" w:cs="Arial"/>
          <w:sz w:val="26"/>
          <w:szCs w:val="26"/>
          <w:lang w:val="es-ES_tradnl"/>
        </w:rPr>
        <w:t xml:space="preserve"> de la Ley de Justicia</w:t>
      </w:r>
      <w:r w:rsidR="00216B34">
        <w:rPr>
          <w:rFonts w:ascii="Arial" w:eastAsia="Times New Roman" w:hAnsi="Arial" w:cs="Arial"/>
          <w:sz w:val="26"/>
          <w:szCs w:val="26"/>
          <w:lang w:val="es-ES_tradnl"/>
        </w:rPr>
        <w:t xml:space="preserve">. </w:t>
      </w:r>
    </w:p>
    <w:p w14:paraId="5059F1E5" w14:textId="2B6EE8CB" w:rsidR="00216B34" w:rsidRDefault="008A539F" w:rsidP="00605164">
      <w:pPr>
        <w:spacing w:line="360" w:lineRule="auto"/>
        <w:ind w:firstLine="567"/>
        <w:jc w:val="both"/>
        <w:rPr>
          <w:rFonts w:ascii="Arial" w:hAnsi="Arial" w:cs="Arial"/>
          <w:sz w:val="26"/>
          <w:szCs w:val="26"/>
        </w:rPr>
      </w:pPr>
      <w:r>
        <w:rPr>
          <w:rFonts w:ascii="Arial" w:hAnsi="Arial" w:cs="Arial"/>
          <w:bCs/>
          <w:snapToGrid w:val="0"/>
          <w:sz w:val="26"/>
          <w:szCs w:val="26"/>
        </w:rPr>
        <w:t xml:space="preserve">14. </w:t>
      </w:r>
      <w:r w:rsidR="009764FF" w:rsidRPr="00EE4752">
        <w:rPr>
          <w:rFonts w:ascii="Arial" w:hAnsi="Arial" w:cs="Arial"/>
          <w:bCs/>
          <w:snapToGrid w:val="0"/>
          <w:sz w:val="26"/>
          <w:szCs w:val="26"/>
        </w:rPr>
        <w:t>La personalidad de las partes quedó acreditada en autos, en términos de los artículos 148</w:t>
      </w:r>
      <w:r w:rsidR="003C4D97" w:rsidRPr="00EE4752">
        <w:rPr>
          <w:rFonts w:ascii="Arial" w:hAnsi="Arial" w:cs="Arial"/>
          <w:bCs/>
          <w:snapToGrid w:val="0"/>
          <w:sz w:val="26"/>
          <w:szCs w:val="26"/>
        </w:rPr>
        <w:t>, primero y cuarto párrafo</w:t>
      </w:r>
      <w:r w:rsidR="003C4D97" w:rsidRPr="00EE4752">
        <w:rPr>
          <w:rStyle w:val="Refdenotaalpie"/>
          <w:rFonts w:ascii="Arial" w:hAnsi="Arial" w:cs="Arial"/>
          <w:bCs/>
          <w:snapToGrid w:val="0"/>
          <w:sz w:val="26"/>
          <w:szCs w:val="26"/>
        </w:rPr>
        <w:footnoteReference w:id="6"/>
      </w:r>
      <w:r w:rsidR="003C4D97" w:rsidRPr="00EE4752">
        <w:rPr>
          <w:rFonts w:ascii="Arial" w:hAnsi="Arial" w:cs="Arial"/>
          <w:bCs/>
          <w:snapToGrid w:val="0"/>
          <w:sz w:val="26"/>
          <w:szCs w:val="26"/>
        </w:rPr>
        <w:t xml:space="preserve"> </w:t>
      </w:r>
      <w:r w:rsidR="009764FF" w:rsidRPr="00EE4752">
        <w:rPr>
          <w:rFonts w:ascii="Arial" w:hAnsi="Arial" w:cs="Arial"/>
          <w:bCs/>
          <w:snapToGrid w:val="0"/>
          <w:sz w:val="26"/>
          <w:szCs w:val="26"/>
        </w:rPr>
        <w:t>y 151</w:t>
      </w:r>
      <w:r w:rsidR="003C4D97" w:rsidRPr="00EE4752">
        <w:rPr>
          <w:rStyle w:val="Refdenotaalpie"/>
          <w:rFonts w:ascii="Arial" w:hAnsi="Arial" w:cs="Arial"/>
          <w:bCs/>
          <w:snapToGrid w:val="0"/>
          <w:sz w:val="26"/>
          <w:szCs w:val="26"/>
        </w:rPr>
        <w:footnoteReference w:id="7"/>
      </w:r>
      <w:r w:rsidR="009764FF" w:rsidRPr="00EE4752">
        <w:rPr>
          <w:rFonts w:ascii="Arial" w:hAnsi="Arial" w:cs="Arial"/>
          <w:bCs/>
          <w:snapToGrid w:val="0"/>
          <w:sz w:val="26"/>
          <w:szCs w:val="26"/>
        </w:rPr>
        <w:t xml:space="preserve"> de la </w:t>
      </w:r>
      <w:r w:rsidR="00992690" w:rsidRPr="00992690">
        <w:rPr>
          <w:rFonts w:ascii="Arial" w:hAnsi="Arial" w:cs="Arial"/>
          <w:bCs/>
          <w:i/>
          <w:snapToGrid w:val="0"/>
          <w:sz w:val="26"/>
          <w:szCs w:val="26"/>
        </w:rPr>
        <w:t>Ley de Procedimiento</w:t>
      </w:r>
      <w:r w:rsidR="009764FF" w:rsidRPr="00EE4752">
        <w:rPr>
          <w:rFonts w:ascii="Arial" w:hAnsi="Arial" w:cs="Arial"/>
          <w:sz w:val="26"/>
          <w:szCs w:val="26"/>
        </w:rPr>
        <w:t xml:space="preserve">, dado que la parte actora compareció por sí misma y la autoridad demandada </w:t>
      </w:r>
      <w:r w:rsidR="002E26F6">
        <w:rPr>
          <w:rFonts w:ascii="Arial" w:hAnsi="Arial" w:cs="Arial"/>
          <w:sz w:val="26"/>
          <w:szCs w:val="26"/>
        </w:rPr>
        <w:t>por conducto del</w:t>
      </w:r>
      <w:r w:rsidR="00216B34">
        <w:rPr>
          <w:rFonts w:ascii="Arial" w:hAnsi="Arial" w:cs="Arial"/>
          <w:sz w:val="26"/>
          <w:szCs w:val="26"/>
        </w:rPr>
        <w:t xml:space="preserve"> </w:t>
      </w:r>
      <w:r w:rsidR="00216B34" w:rsidRPr="00D7722A">
        <w:rPr>
          <w:rFonts w:ascii="Arial" w:eastAsia="Times New Roman" w:hAnsi="Arial" w:cs="Arial"/>
          <w:sz w:val="26"/>
          <w:szCs w:val="26"/>
          <w:lang w:val="es-ES_tradnl"/>
        </w:rPr>
        <w:t>Titular de la Unidad de Asuntos Jurídicos, en representación del Titular del Órgano Superior de Fiscalización del Estado de Oaxaca</w:t>
      </w:r>
      <w:r w:rsidR="002E26F6">
        <w:rPr>
          <w:rFonts w:ascii="Arial" w:eastAsia="Times New Roman" w:hAnsi="Arial" w:cs="Arial"/>
          <w:sz w:val="26"/>
          <w:szCs w:val="26"/>
          <w:lang w:val="es-ES_tradnl"/>
        </w:rPr>
        <w:t>.</w:t>
      </w:r>
    </w:p>
    <w:p w14:paraId="029DFDB4" w14:textId="01329C11" w:rsidR="00396F45" w:rsidRPr="00EE4752" w:rsidRDefault="00396F45" w:rsidP="00605164">
      <w:pPr>
        <w:spacing w:line="360" w:lineRule="auto"/>
        <w:ind w:firstLine="567"/>
        <w:jc w:val="both"/>
        <w:rPr>
          <w:rFonts w:ascii="Arial" w:hAnsi="Arial" w:cs="Arial"/>
          <w:b/>
          <w:bCs/>
          <w:sz w:val="26"/>
          <w:szCs w:val="26"/>
        </w:rPr>
      </w:pPr>
      <w:r w:rsidRPr="00EE4752">
        <w:rPr>
          <w:rFonts w:ascii="Arial" w:hAnsi="Arial" w:cs="Arial"/>
          <w:b/>
          <w:bCs/>
          <w:sz w:val="26"/>
          <w:szCs w:val="26"/>
        </w:rPr>
        <w:t xml:space="preserve">QUINTO. CERTEZA DEL ACTO IMPUGNADO. </w:t>
      </w:r>
    </w:p>
    <w:p w14:paraId="197BB5DA" w14:textId="28F95305" w:rsidR="00396F45" w:rsidRPr="00EE4752" w:rsidRDefault="008A539F" w:rsidP="00396F45">
      <w:pPr>
        <w:spacing w:line="360" w:lineRule="auto"/>
        <w:ind w:firstLine="567"/>
        <w:jc w:val="both"/>
        <w:rPr>
          <w:rFonts w:ascii="Arial" w:hAnsi="Arial" w:cs="Arial"/>
          <w:bCs/>
          <w:spacing w:val="-3"/>
          <w:sz w:val="26"/>
          <w:szCs w:val="26"/>
          <w:lang w:val="es-ES_tradnl"/>
        </w:rPr>
      </w:pPr>
      <w:r>
        <w:rPr>
          <w:rFonts w:ascii="Arial" w:hAnsi="Arial" w:cs="Arial"/>
          <w:bCs/>
          <w:sz w:val="26"/>
          <w:szCs w:val="26"/>
        </w:rPr>
        <w:t xml:space="preserve">15 </w:t>
      </w:r>
      <w:r w:rsidR="00396F45" w:rsidRPr="00EE4752">
        <w:rPr>
          <w:rFonts w:ascii="Arial" w:hAnsi="Arial" w:cs="Arial"/>
          <w:bCs/>
          <w:sz w:val="26"/>
          <w:szCs w:val="26"/>
        </w:rPr>
        <w:t xml:space="preserve">Lo </w:t>
      </w:r>
      <w:r w:rsidR="002E26F6">
        <w:rPr>
          <w:rFonts w:ascii="Arial" w:hAnsi="Arial" w:cs="Arial"/>
          <w:bCs/>
          <w:sz w:val="26"/>
          <w:szCs w:val="26"/>
        </w:rPr>
        <w:t xml:space="preserve">constituye </w:t>
      </w:r>
      <w:r w:rsidRPr="00D7722A">
        <w:rPr>
          <w:rFonts w:ascii="Arial" w:hAnsi="Arial" w:cs="Arial"/>
          <w:sz w:val="26"/>
          <w:szCs w:val="26"/>
        </w:rPr>
        <w:t>la resolución de</w:t>
      </w:r>
      <w:r>
        <w:rPr>
          <w:rFonts w:ascii="Arial" w:hAnsi="Arial" w:cs="Arial"/>
          <w:sz w:val="26"/>
          <w:szCs w:val="26"/>
        </w:rPr>
        <w:t xml:space="preserve"> veinticuatro de octubre de dos mil veintidós (24/10/2022), d</w:t>
      </w:r>
      <w:r w:rsidRPr="00F00209">
        <w:rPr>
          <w:rFonts w:ascii="Arial" w:hAnsi="Arial" w:cs="Arial"/>
          <w:sz w:val="26"/>
          <w:szCs w:val="26"/>
        </w:rPr>
        <w:t xml:space="preserve">ictada </w:t>
      </w:r>
      <w:r>
        <w:rPr>
          <w:rFonts w:ascii="Arial" w:hAnsi="Arial" w:cs="Arial"/>
          <w:sz w:val="26"/>
          <w:szCs w:val="26"/>
        </w:rPr>
        <w:t xml:space="preserve">en el recurso de reconsideración </w:t>
      </w:r>
      <w:r w:rsidRPr="00AE3ADE">
        <w:rPr>
          <w:rFonts w:ascii="Arial" w:hAnsi="Arial" w:cs="Arial"/>
          <w:b/>
          <w:sz w:val="26"/>
          <w:szCs w:val="26"/>
        </w:rPr>
        <w:t xml:space="preserve">OSFE/REC.R./0084/2019 </w:t>
      </w:r>
      <w:r w:rsidRPr="00AE3ADE">
        <w:rPr>
          <w:rFonts w:ascii="Arial" w:hAnsi="Arial" w:cs="Arial"/>
          <w:sz w:val="26"/>
          <w:szCs w:val="26"/>
        </w:rPr>
        <w:t>y su acumulado</w:t>
      </w:r>
      <w:r>
        <w:rPr>
          <w:rFonts w:ascii="Arial" w:hAnsi="Arial" w:cs="Arial"/>
          <w:b/>
          <w:sz w:val="26"/>
          <w:szCs w:val="26"/>
        </w:rPr>
        <w:t xml:space="preserve"> OSFE/REC.R./0085/2019</w:t>
      </w:r>
      <w:r>
        <w:rPr>
          <w:rFonts w:ascii="Arial" w:hAnsi="Arial" w:cs="Arial"/>
          <w:sz w:val="26"/>
          <w:szCs w:val="26"/>
        </w:rPr>
        <w:t>, por el Licenciado René Fuentes Cruz, en suplencia del Titular del Órgano Superior de Fiscalización del Estado de Oaxaca</w:t>
      </w:r>
      <w:r w:rsidR="00396F45" w:rsidRPr="00EE4752">
        <w:rPr>
          <w:rFonts w:ascii="Arial" w:hAnsi="Arial" w:cs="Arial"/>
          <w:bCs/>
          <w:spacing w:val="-3"/>
          <w:sz w:val="26"/>
          <w:szCs w:val="26"/>
          <w:lang w:val="es-ES_tradnl"/>
        </w:rPr>
        <w:t xml:space="preserve">. </w:t>
      </w:r>
    </w:p>
    <w:p w14:paraId="02123770" w14:textId="3E7CB6FD" w:rsidR="005D444A" w:rsidRPr="00EE4752" w:rsidRDefault="008A539F" w:rsidP="00396F45">
      <w:pPr>
        <w:spacing w:line="360" w:lineRule="auto"/>
        <w:ind w:firstLine="567"/>
        <w:jc w:val="both"/>
        <w:rPr>
          <w:rFonts w:ascii="Arial" w:eastAsia="Calibri" w:hAnsi="Arial" w:cs="Arial"/>
          <w:bCs/>
          <w:sz w:val="26"/>
          <w:szCs w:val="26"/>
          <w:lang w:val="es-ES"/>
        </w:rPr>
      </w:pPr>
      <w:r>
        <w:rPr>
          <w:rFonts w:ascii="Arial" w:hAnsi="Arial" w:cs="Arial"/>
          <w:bCs/>
          <w:spacing w:val="-3"/>
          <w:sz w:val="26"/>
          <w:szCs w:val="26"/>
          <w:lang w:val="es-ES_tradnl"/>
        </w:rPr>
        <w:t xml:space="preserve">16. </w:t>
      </w:r>
      <w:r w:rsidR="005D444A" w:rsidRPr="00EE4752">
        <w:rPr>
          <w:rFonts w:ascii="Arial" w:hAnsi="Arial" w:cs="Arial"/>
          <w:bCs/>
          <w:spacing w:val="-3"/>
          <w:sz w:val="26"/>
          <w:szCs w:val="26"/>
          <w:lang w:val="es-ES_tradnl"/>
        </w:rPr>
        <w:t xml:space="preserve">Lo que se corrobora con </w:t>
      </w:r>
      <w:r w:rsidR="002E26F6">
        <w:rPr>
          <w:rFonts w:ascii="Arial" w:hAnsi="Arial" w:cs="Arial"/>
          <w:bCs/>
          <w:spacing w:val="-3"/>
          <w:sz w:val="26"/>
          <w:szCs w:val="26"/>
          <w:lang w:val="es-ES_tradnl"/>
        </w:rPr>
        <w:t>la</w:t>
      </w:r>
      <w:r>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copia</w:t>
      </w:r>
      <w:r>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certificada</w:t>
      </w:r>
      <w:r>
        <w:rPr>
          <w:rFonts w:ascii="Arial" w:hAnsi="Arial" w:cs="Arial"/>
          <w:bCs/>
          <w:spacing w:val="-3"/>
          <w:sz w:val="26"/>
          <w:szCs w:val="26"/>
          <w:lang w:val="es-ES_tradnl"/>
        </w:rPr>
        <w:t>s digitalizadas</w:t>
      </w:r>
      <w:r w:rsidR="002E26F6">
        <w:rPr>
          <w:rFonts w:ascii="Arial" w:hAnsi="Arial" w:cs="Arial"/>
          <w:bCs/>
          <w:spacing w:val="-3"/>
          <w:sz w:val="26"/>
          <w:szCs w:val="26"/>
          <w:lang w:val="es-ES_tradnl"/>
        </w:rPr>
        <w:t xml:space="preserve"> de la referida resolución misma que la autoridad demandada adjunto a su informe, la cual</w:t>
      </w:r>
      <w:r w:rsidR="005D444A" w:rsidRPr="00EE4752">
        <w:rPr>
          <w:rFonts w:ascii="Arial" w:hAnsi="Arial" w:cs="Arial"/>
          <w:bCs/>
          <w:spacing w:val="-3"/>
          <w:sz w:val="26"/>
          <w:szCs w:val="26"/>
          <w:lang w:val="es-ES_tradnl"/>
        </w:rPr>
        <w:t xml:space="preserve"> obra a foja </w:t>
      </w:r>
      <w:r>
        <w:rPr>
          <w:rFonts w:ascii="Arial" w:hAnsi="Arial" w:cs="Arial"/>
          <w:bCs/>
          <w:spacing w:val="-3"/>
          <w:sz w:val="26"/>
          <w:szCs w:val="26"/>
          <w:lang w:val="es-ES_tradnl"/>
        </w:rPr>
        <w:t>setenta y uno</w:t>
      </w:r>
      <w:r w:rsidR="005D444A" w:rsidRPr="00EE4752">
        <w:rPr>
          <w:rFonts w:ascii="Arial" w:hAnsi="Arial" w:cs="Arial"/>
          <w:bCs/>
          <w:spacing w:val="-3"/>
          <w:sz w:val="26"/>
          <w:szCs w:val="26"/>
          <w:lang w:val="es-ES_tradnl"/>
        </w:rPr>
        <w:t xml:space="preserve"> del expediente del juicio de </w:t>
      </w:r>
      <w:r w:rsidR="002E26F6">
        <w:rPr>
          <w:rFonts w:ascii="Arial" w:hAnsi="Arial" w:cs="Arial"/>
          <w:bCs/>
          <w:spacing w:val="-3"/>
          <w:sz w:val="26"/>
          <w:szCs w:val="26"/>
          <w:lang w:val="es-ES_tradnl"/>
        </w:rPr>
        <w:t>inconformidad</w:t>
      </w:r>
      <w:r w:rsidR="005D444A" w:rsidRPr="00EE4752">
        <w:rPr>
          <w:rFonts w:ascii="Arial" w:hAnsi="Arial" w:cs="Arial"/>
          <w:bCs/>
          <w:spacing w:val="-3"/>
          <w:sz w:val="26"/>
          <w:szCs w:val="26"/>
          <w:lang w:val="es-ES_tradnl"/>
        </w:rPr>
        <w:t xml:space="preserve"> </w:t>
      </w:r>
      <w:r>
        <w:rPr>
          <w:rFonts w:ascii="Arial" w:eastAsia="Times New Roman" w:hAnsi="Arial" w:cs="Arial"/>
          <w:bCs/>
          <w:sz w:val="26"/>
          <w:szCs w:val="26"/>
          <w:lang w:val="es-ES_tradnl" w:eastAsia="es-ES"/>
        </w:rPr>
        <w:t>0020/2023</w:t>
      </w:r>
      <w:r w:rsidR="005D444A" w:rsidRPr="00EE4752">
        <w:rPr>
          <w:rFonts w:ascii="Arial" w:eastAsia="Times New Roman" w:hAnsi="Arial" w:cs="Arial"/>
          <w:bCs/>
          <w:sz w:val="26"/>
          <w:szCs w:val="26"/>
          <w:lang w:val="es-ES_tradnl" w:eastAsia="es-ES"/>
        </w:rPr>
        <w:t xml:space="preserve">, documental que alcanza valor probatorio pleno </w:t>
      </w:r>
      <w:r w:rsidR="005D444A" w:rsidRPr="00EE4752">
        <w:rPr>
          <w:rFonts w:ascii="Arial" w:eastAsia="Calibri" w:hAnsi="Arial" w:cs="Arial"/>
          <w:bCs/>
          <w:sz w:val="26"/>
          <w:szCs w:val="26"/>
          <w:lang w:val="es-ES"/>
        </w:rPr>
        <w:t xml:space="preserve">conforme a lo </w:t>
      </w:r>
      <w:r w:rsidR="005D444A" w:rsidRPr="00EE4752">
        <w:rPr>
          <w:rFonts w:ascii="Arial" w:eastAsia="Calibri" w:hAnsi="Arial" w:cs="Arial"/>
          <w:bCs/>
          <w:sz w:val="26"/>
          <w:szCs w:val="26"/>
          <w:lang w:val="es-ES"/>
        </w:rPr>
        <w:lastRenderedPageBreak/>
        <w:t>dispuesto por el artículo 203 fracción I</w:t>
      </w:r>
      <w:r w:rsidR="005D444A" w:rsidRPr="00EE4752">
        <w:rPr>
          <w:rFonts w:ascii="Arial" w:eastAsia="Calibri" w:hAnsi="Arial" w:cs="Arial"/>
          <w:bCs/>
          <w:sz w:val="26"/>
          <w:szCs w:val="26"/>
          <w:vertAlign w:val="superscript"/>
          <w:lang w:val="es-ES"/>
        </w:rPr>
        <w:footnoteReference w:id="8"/>
      </w:r>
      <w:r w:rsidR="005D444A" w:rsidRPr="00EE4752">
        <w:rPr>
          <w:rFonts w:ascii="Arial" w:eastAsia="Calibri" w:hAnsi="Arial" w:cs="Arial"/>
          <w:bCs/>
          <w:sz w:val="26"/>
          <w:szCs w:val="26"/>
          <w:lang w:val="es-ES"/>
        </w:rPr>
        <w:t xml:space="preserve"> de la </w:t>
      </w:r>
      <w:r w:rsidR="00992690" w:rsidRPr="00992690">
        <w:rPr>
          <w:rFonts w:ascii="Arial" w:eastAsia="Calibri" w:hAnsi="Arial" w:cs="Arial"/>
          <w:bCs/>
          <w:i/>
          <w:sz w:val="26"/>
          <w:szCs w:val="26"/>
          <w:lang w:val="es-ES"/>
        </w:rPr>
        <w:t>Ley de Procedimiento</w:t>
      </w:r>
      <w:r w:rsidR="005D444A" w:rsidRPr="00EE4752">
        <w:rPr>
          <w:rFonts w:ascii="Arial" w:eastAsia="Calibri" w:hAnsi="Arial" w:cs="Arial"/>
          <w:bCs/>
          <w:sz w:val="26"/>
          <w:szCs w:val="26"/>
          <w:lang w:val="es-ES"/>
        </w:rPr>
        <w:t>, por tratarse de actuaciones judiciales.</w:t>
      </w:r>
    </w:p>
    <w:p w14:paraId="6DAE8ADB" w14:textId="446080E7" w:rsidR="00981629" w:rsidRPr="00EE4752" w:rsidRDefault="00981629" w:rsidP="00981629">
      <w:pPr>
        <w:spacing w:line="360" w:lineRule="auto"/>
        <w:ind w:firstLine="567"/>
        <w:jc w:val="both"/>
        <w:rPr>
          <w:rFonts w:ascii="Arial" w:hAnsi="Arial" w:cs="Arial"/>
          <w:b/>
          <w:bCs/>
          <w:sz w:val="26"/>
          <w:szCs w:val="26"/>
        </w:rPr>
      </w:pPr>
      <w:r w:rsidRPr="00EE4752">
        <w:rPr>
          <w:rFonts w:ascii="Arial" w:hAnsi="Arial" w:cs="Arial"/>
          <w:b/>
          <w:bCs/>
          <w:spacing w:val="-3"/>
          <w:sz w:val="26"/>
          <w:szCs w:val="26"/>
          <w:lang w:val="es-ES_tradnl"/>
        </w:rPr>
        <w:t>SEXTO</w:t>
      </w:r>
      <w:r w:rsidRPr="00EE4752">
        <w:rPr>
          <w:rFonts w:ascii="Arial" w:hAnsi="Arial" w:cs="Arial"/>
          <w:b/>
          <w:bCs/>
          <w:sz w:val="26"/>
          <w:szCs w:val="26"/>
        </w:rPr>
        <w:t>.</w:t>
      </w:r>
      <w:r w:rsidRPr="00EE4752">
        <w:rPr>
          <w:rFonts w:ascii="Arial" w:hAnsi="Arial" w:cs="Arial"/>
          <w:sz w:val="26"/>
          <w:szCs w:val="26"/>
        </w:rPr>
        <w:t xml:space="preserve"> </w:t>
      </w:r>
      <w:r w:rsidRPr="00EE4752">
        <w:rPr>
          <w:rFonts w:ascii="Arial" w:hAnsi="Arial" w:cs="Arial"/>
          <w:b/>
          <w:bCs/>
          <w:sz w:val="26"/>
          <w:szCs w:val="26"/>
        </w:rPr>
        <w:t xml:space="preserve">CAUSALES DE IMPROCEDENCIA. </w:t>
      </w:r>
    </w:p>
    <w:p w14:paraId="11EFBE84" w14:textId="49665869" w:rsidR="00FD3D53" w:rsidRDefault="008A539F" w:rsidP="00FD3D53">
      <w:pPr>
        <w:tabs>
          <w:tab w:val="left" w:pos="5670"/>
        </w:tabs>
        <w:spacing w:before="240" w:line="360" w:lineRule="auto"/>
        <w:ind w:firstLine="708"/>
        <w:jc w:val="both"/>
        <w:rPr>
          <w:rFonts w:ascii="Arial" w:hAnsi="Arial" w:cs="Arial"/>
          <w:sz w:val="26"/>
          <w:szCs w:val="26"/>
        </w:rPr>
      </w:pPr>
      <w:r>
        <w:rPr>
          <w:rFonts w:ascii="Arial" w:hAnsi="Arial" w:cs="Arial"/>
          <w:sz w:val="26"/>
          <w:szCs w:val="26"/>
        </w:rPr>
        <w:t xml:space="preserve">17. </w:t>
      </w:r>
      <w:r w:rsidR="00FD3D53" w:rsidRPr="00F00209">
        <w:rPr>
          <w:rFonts w:ascii="Arial" w:hAnsi="Arial" w:cs="Arial"/>
          <w:sz w:val="26"/>
          <w:szCs w:val="26"/>
        </w:rPr>
        <w:t xml:space="preserve">Las causales de improcedencia tienen el carácter de presupuestos procesales que deben colmarse previo al dictado de la determinación de fondo, </w:t>
      </w:r>
      <w:r w:rsidR="00FD3D53">
        <w:rPr>
          <w:rFonts w:ascii="Arial" w:hAnsi="Arial" w:cs="Arial"/>
          <w:sz w:val="26"/>
          <w:szCs w:val="26"/>
        </w:rPr>
        <w:t>porque el estudio</w:t>
      </w:r>
      <w:r w:rsidR="00FD3D53" w:rsidRPr="00F00209">
        <w:rPr>
          <w:rFonts w:ascii="Arial" w:hAnsi="Arial" w:cs="Arial"/>
          <w:sz w:val="26"/>
          <w:szCs w:val="26"/>
        </w:rPr>
        <w:t xml:space="preserve"> de las pre</w:t>
      </w:r>
      <w:r w:rsidR="00FD3D53">
        <w:rPr>
          <w:rFonts w:ascii="Arial" w:hAnsi="Arial" w:cs="Arial"/>
          <w:sz w:val="26"/>
          <w:szCs w:val="26"/>
        </w:rPr>
        <w:t>tensiones sólo puede realizarse</w:t>
      </w:r>
      <w:r w:rsidR="00FD3D53"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p>
    <w:p w14:paraId="356C93B6" w14:textId="52E59C1A" w:rsidR="00FD3D53" w:rsidRPr="00F00209" w:rsidRDefault="00FD3D53" w:rsidP="00FD3D53">
      <w:pPr>
        <w:spacing w:line="360" w:lineRule="auto"/>
        <w:jc w:val="both"/>
        <w:rPr>
          <w:rFonts w:ascii="Arial" w:hAnsi="Arial" w:cs="Arial"/>
          <w:sz w:val="26"/>
          <w:szCs w:val="26"/>
        </w:rPr>
      </w:pPr>
      <w:r>
        <w:rPr>
          <w:rFonts w:ascii="Arial" w:hAnsi="Arial" w:cs="Arial"/>
          <w:sz w:val="26"/>
          <w:szCs w:val="26"/>
        </w:rPr>
        <w:tab/>
      </w:r>
      <w:r w:rsidR="008A539F">
        <w:rPr>
          <w:rFonts w:ascii="Arial" w:hAnsi="Arial" w:cs="Arial"/>
          <w:sz w:val="26"/>
          <w:szCs w:val="26"/>
        </w:rPr>
        <w:t xml:space="preserve">18. </w:t>
      </w:r>
      <w:r w:rsidRPr="00F00209">
        <w:rPr>
          <w:rFonts w:ascii="Arial" w:hAnsi="Arial" w:cs="Arial"/>
          <w:sz w:val="26"/>
          <w:szCs w:val="26"/>
        </w:rPr>
        <w:t xml:space="preserve">Esto, porque conforme al artículo 17 de la Constitución Federal, las autoridades </w:t>
      </w:r>
      <w:r>
        <w:rPr>
          <w:rFonts w:ascii="Arial" w:hAnsi="Arial" w:cs="Arial"/>
          <w:sz w:val="26"/>
          <w:szCs w:val="26"/>
        </w:rPr>
        <w:t>tienen</w:t>
      </w:r>
      <w:r w:rsidRPr="00F00209">
        <w:rPr>
          <w:rFonts w:ascii="Arial" w:hAnsi="Arial" w:cs="Arial"/>
          <w:sz w:val="26"/>
          <w:szCs w:val="26"/>
        </w:rPr>
        <w:t xml:space="preserve"> el deber de ajustarse a los mecanismos jurídicos establecidos por el legislador para el ejercicio de la jurisdicción.</w:t>
      </w:r>
      <w:r>
        <w:rPr>
          <w:rFonts w:ascii="Arial" w:hAnsi="Arial" w:cs="Arial"/>
          <w:sz w:val="26"/>
          <w:szCs w:val="26"/>
        </w:rPr>
        <w:t xml:space="preserve"> </w:t>
      </w:r>
    </w:p>
    <w:p w14:paraId="216B8B14" w14:textId="6323B4E5" w:rsidR="00FD3D53" w:rsidRDefault="008A539F" w:rsidP="00FD3D53">
      <w:pPr>
        <w:tabs>
          <w:tab w:val="left" w:pos="5670"/>
        </w:tabs>
        <w:spacing w:before="240" w:after="0" w:line="360" w:lineRule="auto"/>
        <w:ind w:firstLine="708"/>
        <w:jc w:val="both"/>
        <w:rPr>
          <w:rFonts w:ascii="Arial" w:hAnsi="Arial" w:cs="Arial"/>
          <w:sz w:val="26"/>
          <w:szCs w:val="26"/>
        </w:rPr>
      </w:pPr>
      <w:r>
        <w:rPr>
          <w:rFonts w:ascii="Arial" w:hAnsi="Arial" w:cs="Arial"/>
          <w:sz w:val="26"/>
          <w:szCs w:val="26"/>
        </w:rPr>
        <w:t xml:space="preserve">19. </w:t>
      </w:r>
      <w:r w:rsidR="00FD3D53" w:rsidRPr="00F00209">
        <w:rPr>
          <w:rFonts w:ascii="Arial" w:hAnsi="Arial" w:cs="Arial"/>
          <w:sz w:val="26"/>
          <w:szCs w:val="26"/>
        </w:rPr>
        <w:t>Por esta razón, se estima que la</w:t>
      </w:r>
      <w:r w:rsidR="00FD3D53">
        <w:rPr>
          <w:rFonts w:ascii="Arial" w:hAnsi="Arial" w:cs="Arial"/>
          <w:sz w:val="26"/>
          <w:szCs w:val="26"/>
        </w:rPr>
        <w:t>s causales de</w:t>
      </w:r>
      <w:r w:rsidR="00FD3D53" w:rsidRPr="00F00209">
        <w:rPr>
          <w:rFonts w:ascii="Arial" w:hAnsi="Arial" w:cs="Arial"/>
          <w:sz w:val="26"/>
          <w:szCs w:val="26"/>
        </w:rPr>
        <w:t xml:space="preserve"> improcedencia del juicio, al ser de orden público, debe</w:t>
      </w:r>
      <w:r w:rsidR="00FD3D53">
        <w:rPr>
          <w:rFonts w:ascii="Arial" w:hAnsi="Arial" w:cs="Arial"/>
          <w:sz w:val="26"/>
          <w:szCs w:val="26"/>
        </w:rPr>
        <w:t>n</w:t>
      </w:r>
      <w:r w:rsidR="00FD3D53" w:rsidRPr="00F00209">
        <w:rPr>
          <w:rFonts w:ascii="Arial" w:hAnsi="Arial" w:cs="Arial"/>
          <w:sz w:val="26"/>
          <w:szCs w:val="26"/>
        </w:rPr>
        <w:t xml:space="preserve"> </w:t>
      </w:r>
      <w:r w:rsidR="00FD3D53">
        <w:rPr>
          <w:rFonts w:ascii="Arial" w:hAnsi="Arial" w:cs="Arial"/>
          <w:sz w:val="26"/>
          <w:szCs w:val="26"/>
        </w:rPr>
        <w:t>examinarse de oficio au</w:t>
      </w:r>
      <w:r w:rsidR="00FD3D53" w:rsidRPr="00F00209">
        <w:rPr>
          <w:rFonts w:ascii="Arial" w:hAnsi="Arial" w:cs="Arial"/>
          <w:sz w:val="26"/>
          <w:szCs w:val="26"/>
        </w:rPr>
        <w:t>n cuando las partes no lo hayan propuesto a la resolutora. En tales condiciones procede analizar si se actualiza alguna causal de improcedencia.</w:t>
      </w:r>
      <w:r w:rsidR="00FD3D53">
        <w:rPr>
          <w:rFonts w:ascii="Arial" w:hAnsi="Arial" w:cs="Arial"/>
          <w:sz w:val="26"/>
          <w:szCs w:val="26"/>
        </w:rPr>
        <w:t xml:space="preserve"> </w:t>
      </w:r>
    </w:p>
    <w:p w14:paraId="495ABF1F" w14:textId="506BAB72" w:rsidR="00981629" w:rsidRPr="00EE4752" w:rsidRDefault="008A539F" w:rsidP="008A539F">
      <w:pPr>
        <w:tabs>
          <w:tab w:val="left" w:pos="5670"/>
        </w:tabs>
        <w:spacing w:before="240" w:line="360" w:lineRule="auto"/>
        <w:ind w:firstLine="708"/>
        <w:jc w:val="both"/>
        <w:rPr>
          <w:rFonts w:ascii="Arial" w:hAnsi="Arial" w:cs="Arial"/>
          <w:bCs/>
          <w:snapToGrid w:val="0"/>
          <w:sz w:val="26"/>
          <w:szCs w:val="26"/>
        </w:rPr>
      </w:pPr>
      <w:r>
        <w:rPr>
          <w:rFonts w:ascii="Arial" w:hAnsi="Arial" w:cs="Arial"/>
          <w:sz w:val="26"/>
          <w:szCs w:val="26"/>
        </w:rPr>
        <w:t xml:space="preserve">20. </w:t>
      </w:r>
      <w:r w:rsidR="00FD3D53">
        <w:rPr>
          <w:rFonts w:ascii="Arial" w:hAnsi="Arial" w:cs="Arial"/>
          <w:sz w:val="26"/>
          <w:szCs w:val="26"/>
        </w:rPr>
        <w:t>En ese orden de ideas</w:t>
      </w:r>
      <w:r w:rsidR="00FD3D53" w:rsidRPr="00F00209">
        <w:rPr>
          <w:rFonts w:ascii="Arial" w:hAnsi="Arial" w:cs="Arial"/>
          <w:sz w:val="26"/>
          <w:szCs w:val="26"/>
        </w:rPr>
        <w:t>,</w:t>
      </w:r>
      <w:r w:rsidR="00FD3D53" w:rsidRPr="00F00209">
        <w:rPr>
          <w:rFonts w:ascii="Arial" w:hAnsi="Arial" w:cs="Arial"/>
          <w:b/>
          <w:sz w:val="26"/>
          <w:szCs w:val="26"/>
        </w:rPr>
        <w:t xml:space="preserve"> </w:t>
      </w:r>
      <w:r w:rsidR="00FD3D53" w:rsidRPr="00F00209">
        <w:rPr>
          <w:rFonts w:ascii="Arial" w:hAnsi="Arial" w:cs="Arial"/>
          <w:sz w:val="26"/>
          <w:szCs w:val="26"/>
        </w:rPr>
        <w:t xml:space="preserve">del análisis de las constancias </w:t>
      </w:r>
      <w:r w:rsidR="00FD3D53">
        <w:rPr>
          <w:rFonts w:ascii="Arial" w:hAnsi="Arial" w:cs="Arial"/>
          <w:sz w:val="26"/>
          <w:szCs w:val="26"/>
        </w:rPr>
        <w:t>procesales que integran el juicio de inconformidad</w:t>
      </w:r>
      <w:r w:rsidR="00FD3D53" w:rsidRPr="00F00209">
        <w:rPr>
          <w:rFonts w:ascii="Arial" w:hAnsi="Arial" w:cs="Arial"/>
          <w:sz w:val="26"/>
          <w:szCs w:val="26"/>
        </w:rPr>
        <w:t xml:space="preserve">, con valor probatorio pleno en términos del artículo 25 de la </w:t>
      </w:r>
      <w:r w:rsidR="00FD3D53" w:rsidRPr="008A539F">
        <w:rPr>
          <w:rFonts w:ascii="Arial" w:hAnsi="Arial" w:cs="Arial"/>
          <w:i/>
          <w:sz w:val="26"/>
          <w:szCs w:val="26"/>
        </w:rPr>
        <w:t>Ley de Justicia</w:t>
      </w:r>
      <w:r w:rsidR="00FD3D53" w:rsidRPr="00F00209">
        <w:rPr>
          <w:rFonts w:ascii="Arial" w:hAnsi="Arial" w:cs="Arial"/>
          <w:sz w:val="26"/>
          <w:szCs w:val="26"/>
        </w:rPr>
        <w:t xml:space="preserve">, al tratarse de actuaciones judiciales, esta </w:t>
      </w:r>
      <w:r w:rsidR="00FD3D53">
        <w:rPr>
          <w:rFonts w:ascii="Arial" w:hAnsi="Arial" w:cs="Arial"/>
          <w:sz w:val="26"/>
          <w:szCs w:val="26"/>
        </w:rPr>
        <w:t xml:space="preserve">Sala Superior </w:t>
      </w:r>
      <w:r w:rsidR="00FD3D53" w:rsidRPr="00F00209">
        <w:rPr>
          <w:rFonts w:ascii="Arial" w:hAnsi="Arial" w:cs="Arial"/>
          <w:sz w:val="26"/>
          <w:szCs w:val="26"/>
        </w:rPr>
        <w:t xml:space="preserve">advierte que no se actualiza alguna de las causales previstas </w:t>
      </w:r>
      <w:r w:rsidR="00FD3D53" w:rsidRPr="00F00209">
        <w:rPr>
          <w:rFonts w:ascii="Arial" w:hAnsi="Arial" w:cs="Arial"/>
          <w:sz w:val="26"/>
          <w:szCs w:val="26"/>
        </w:rPr>
        <w:lastRenderedPageBreak/>
        <w:t>por los artículos 16</w:t>
      </w:r>
      <w:r w:rsidR="00FD3D53">
        <w:rPr>
          <w:rStyle w:val="Refdenotaalpie"/>
          <w:rFonts w:ascii="Arial" w:hAnsi="Arial" w:cs="Arial"/>
          <w:sz w:val="26"/>
          <w:szCs w:val="26"/>
        </w:rPr>
        <w:footnoteReference w:id="9"/>
      </w:r>
      <w:r w:rsidR="00FD3D53" w:rsidRPr="00F00209">
        <w:rPr>
          <w:rFonts w:ascii="Arial" w:hAnsi="Arial" w:cs="Arial"/>
          <w:sz w:val="26"/>
          <w:szCs w:val="26"/>
        </w:rPr>
        <w:t xml:space="preserve"> y 17</w:t>
      </w:r>
      <w:r w:rsidR="00FD3D53">
        <w:rPr>
          <w:rStyle w:val="Refdenotaalpie"/>
          <w:rFonts w:ascii="Arial" w:hAnsi="Arial" w:cs="Arial"/>
          <w:sz w:val="26"/>
          <w:szCs w:val="26"/>
        </w:rPr>
        <w:footnoteReference w:id="10"/>
      </w:r>
      <w:r>
        <w:rPr>
          <w:rFonts w:ascii="Arial" w:hAnsi="Arial" w:cs="Arial"/>
          <w:sz w:val="26"/>
          <w:szCs w:val="26"/>
        </w:rPr>
        <w:t xml:space="preserve"> de la </w:t>
      </w:r>
      <w:r w:rsidR="00FD3D53" w:rsidRPr="008A539F">
        <w:rPr>
          <w:rFonts w:ascii="Arial" w:hAnsi="Arial" w:cs="Arial"/>
          <w:i/>
          <w:sz w:val="26"/>
          <w:szCs w:val="26"/>
        </w:rPr>
        <w:t>Ley de Justicia</w:t>
      </w:r>
      <w:r w:rsidR="00981629" w:rsidRPr="00EE4752">
        <w:rPr>
          <w:rFonts w:ascii="Arial" w:hAnsi="Arial" w:cs="Arial"/>
          <w:sz w:val="26"/>
          <w:szCs w:val="26"/>
        </w:rPr>
        <w:t>, por tanto</w:t>
      </w:r>
      <w:r w:rsidR="00981629" w:rsidRPr="00EE4752">
        <w:rPr>
          <w:rFonts w:ascii="Arial" w:hAnsi="Arial" w:cs="Arial"/>
          <w:bCs/>
          <w:snapToGrid w:val="0"/>
          <w:sz w:val="26"/>
          <w:szCs w:val="26"/>
        </w:rPr>
        <w:t xml:space="preserve">, </w:t>
      </w:r>
      <w:r w:rsidR="00981629" w:rsidRPr="00EE4752">
        <w:rPr>
          <w:rFonts w:ascii="Arial" w:hAnsi="Arial" w:cs="Arial"/>
          <w:b/>
          <w:snapToGrid w:val="0"/>
          <w:sz w:val="26"/>
          <w:szCs w:val="26"/>
        </w:rPr>
        <w:t>NO SE SOBRESEE EL PRESENTE JUICIO</w:t>
      </w:r>
      <w:r w:rsidR="00981629" w:rsidRPr="00EE4752">
        <w:rPr>
          <w:rFonts w:ascii="Arial" w:hAnsi="Arial" w:cs="Arial"/>
          <w:bCs/>
          <w:snapToGrid w:val="0"/>
          <w:sz w:val="26"/>
          <w:szCs w:val="26"/>
        </w:rPr>
        <w:t>.</w:t>
      </w:r>
    </w:p>
    <w:p w14:paraId="4E0BC179" w14:textId="6F665890" w:rsidR="005D444A" w:rsidRPr="00EE4752" w:rsidRDefault="00981629" w:rsidP="005D444A">
      <w:pPr>
        <w:spacing w:line="360" w:lineRule="auto"/>
        <w:ind w:firstLine="567"/>
        <w:jc w:val="both"/>
        <w:rPr>
          <w:rFonts w:ascii="Arial" w:hAnsi="Arial" w:cs="Arial"/>
          <w:b/>
          <w:bCs/>
          <w:spacing w:val="-3"/>
          <w:sz w:val="26"/>
          <w:szCs w:val="26"/>
          <w:lang w:val="es-ES_tradnl"/>
        </w:rPr>
      </w:pPr>
      <w:r w:rsidRPr="00EE4752">
        <w:rPr>
          <w:rFonts w:ascii="Arial" w:hAnsi="Arial" w:cs="Arial"/>
          <w:b/>
          <w:bCs/>
          <w:sz w:val="26"/>
          <w:szCs w:val="26"/>
        </w:rPr>
        <w:t>SÉPTIMO</w:t>
      </w:r>
      <w:r w:rsidR="005D444A" w:rsidRPr="00EE4752">
        <w:rPr>
          <w:rFonts w:ascii="Arial" w:hAnsi="Arial" w:cs="Arial"/>
          <w:b/>
          <w:bCs/>
          <w:spacing w:val="-3"/>
          <w:sz w:val="26"/>
          <w:szCs w:val="26"/>
          <w:lang w:val="es-ES_tradnl"/>
        </w:rPr>
        <w:t xml:space="preserve">. FIJACIÓN DE LA LITIS. </w:t>
      </w:r>
    </w:p>
    <w:p w14:paraId="19AC83EB" w14:textId="680EB8A9" w:rsidR="00EF3E25" w:rsidRPr="008A539F" w:rsidRDefault="008A539F" w:rsidP="008A539F">
      <w:pPr>
        <w:spacing w:line="360" w:lineRule="auto"/>
        <w:ind w:firstLine="567"/>
        <w:jc w:val="both"/>
        <w:rPr>
          <w:rFonts w:ascii="Arial" w:hAnsi="Arial" w:cs="Arial"/>
          <w:bCs/>
          <w:sz w:val="26"/>
          <w:szCs w:val="26"/>
        </w:rPr>
      </w:pPr>
      <w:r>
        <w:rPr>
          <w:rFonts w:ascii="Arial" w:hAnsi="Arial" w:cs="Arial"/>
          <w:bCs/>
          <w:spacing w:val="-3"/>
          <w:sz w:val="26"/>
          <w:szCs w:val="26"/>
          <w:lang w:val="es-ES_tradnl"/>
        </w:rPr>
        <w:t xml:space="preserve">21. </w:t>
      </w:r>
      <w:r w:rsidR="005D444A" w:rsidRPr="00EE4752">
        <w:rPr>
          <w:rFonts w:ascii="Arial" w:hAnsi="Arial" w:cs="Arial"/>
          <w:bCs/>
          <w:spacing w:val="-3"/>
          <w:sz w:val="26"/>
          <w:szCs w:val="26"/>
          <w:lang w:val="es-ES_tradnl"/>
        </w:rPr>
        <w:t>El litigio surge derivado del planteamiento de ilegalidad que hace la parte actora en relación con l</w:t>
      </w:r>
      <w:r w:rsidR="00EF3E25" w:rsidRPr="00EE4752">
        <w:rPr>
          <w:rFonts w:ascii="Arial" w:hAnsi="Arial" w:cs="Arial"/>
          <w:bCs/>
          <w:spacing w:val="-3"/>
          <w:sz w:val="26"/>
          <w:szCs w:val="26"/>
          <w:lang w:val="es-ES_tradnl"/>
        </w:rPr>
        <w:t>a emisión</w:t>
      </w:r>
      <w:r w:rsidR="005D444A" w:rsidRPr="00EE4752">
        <w:rPr>
          <w:rFonts w:ascii="Arial" w:hAnsi="Arial" w:cs="Arial"/>
          <w:bCs/>
          <w:spacing w:val="-3"/>
          <w:sz w:val="26"/>
          <w:szCs w:val="26"/>
          <w:lang w:val="es-ES_tradnl"/>
        </w:rPr>
        <w:t xml:space="preserve"> </w:t>
      </w:r>
      <w:r>
        <w:rPr>
          <w:rFonts w:ascii="Arial" w:hAnsi="Arial" w:cs="Arial"/>
          <w:bCs/>
          <w:spacing w:val="-3"/>
          <w:sz w:val="26"/>
          <w:szCs w:val="26"/>
          <w:lang w:val="es-ES_tradnl"/>
        </w:rPr>
        <w:t>de</w:t>
      </w:r>
      <w:r>
        <w:rPr>
          <w:rFonts w:ascii="Arial" w:hAnsi="Arial" w:cs="Arial"/>
          <w:bCs/>
          <w:sz w:val="26"/>
          <w:szCs w:val="26"/>
        </w:rPr>
        <w:t xml:space="preserve"> la resolución </w:t>
      </w:r>
      <w:r w:rsidRPr="00D7722A">
        <w:rPr>
          <w:rFonts w:ascii="Arial" w:hAnsi="Arial" w:cs="Arial"/>
          <w:sz w:val="26"/>
          <w:szCs w:val="26"/>
        </w:rPr>
        <w:t>de</w:t>
      </w:r>
      <w:r>
        <w:rPr>
          <w:rFonts w:ascii="Arial" w:hAnsi="Arial" w:cs="Arial"/>
          <w:sz w:val="26"/>
          <w:szCs w:val="26"/>
        </w:rPr>
        <w:t xml:space="preserve"> veinticuatro de octubre de dos mil veintidós (24/10/2022), d</w:t>
      </w:r>
      <w:r w:rsidRPr="00F00209">
        <w:rPr>
          <w:rFonts w:ascii="Arial" w:hAnsi="Arial" w:cs="Arial"/>
          <w:sz w:val="26"/>
          <w:szCs w:val="26"/>
        </w:rPr>
        <w:t xml:space="preserve">ictada </w:t>
      </w:r>
      <w:r>
        <w:rPr>
          <w:rFonts w:ascii="Arial" w:hAnsi="Arial" w:cs="Arial"/>
          <w:sz w:val="26"/>
          <w:szCs w:val="26"/>
        </w:rPr>
        <w:t xml:space="preserve">en el recurso de reconsideración </w:t>
      </w:r>
      <w:r w:rsidRPr="00AE3ADE">
        <w:rPr>
          <w:rFonts w:ascii="Arial" w:hAnsi="Arial" w:cs="Arial"/>
          <w:b/>
          <w:sz w:val="26"/>
          <w:szCs w:val="26"/>
        </w:rPr>
        <w:t xml:space="preserve">OSFE/REC.R./0084/2019 </w:t>
      </w:r>
      <w:r w:rsidRPr="00AE3ADE">
        <w:rPr>
          <w:rFonts w:ascii="Arial" w:hAnsi="Arial" w:cs="Arial"/>
          <w:sz w:val="26"/>
          <w:szCs w:val="26"/>
        </w:rPr>
        <w:t>y su acumulado</w:t>
      </w:r>
      <w:r>
        <w:rPr>
          <w:rFonts w:ascii="Arial" w:hAnsi="Arial" w:cs="Arial"/>
          <w:b/>
          <w:sz w:val="26"/>
          <w:szCs w:val="26"/>
        </w:rPr>
        <w:t xml:space="preserve"> OSFE/REC.R./0085/2019</w:t>
      </w:r>
      <w:r>
        <w:rPr>
          <w:rFonts w:ascii="Arial" w:hAnsi="Arial" w:cs="Arial"/>
          <w:sz w:val="26"/>
          <w:szCs w:val="26"/>
        </w:rPr>
        <w:t xml:space="preserve">, por el Licenciado René Fuentes Cruz, en suplencia del Titular del Órgano Superior de Fiscalización del Estado de Oaxaca, </w:t>
      </w:r>
      <w:r w:rsidR="00EF3E25" w:rsidRPr="00EE4752">
        <w:rPr>
          <w:rFonts w:ascii="Arial" w:hAnsi="Arial" w:cs="Arial"/>
          <w:bCs/>
          <w:spacing w:val="-3"/>
          <w:sz w:val="26"/>
          <w:szCs w:val="26"/>
          <w:lang w:val="es-ES_tradnl"/>
        </w:rPr>
        <w:t xml:space="preserve">de cuyo contenido demanda su contravención a lo dispuesto por el artículo 17, fracción V de la </w:t>
      </w:r>
      <w:r w:rsidR="00992690" w:rsidRPr="00992690">
        <w:rPr>
          <w:rFonts w:ascii="Arial" w:eastAsia="Times New Roman" w:hAnsi="Arial" w:cs="Arial"/>
          <w:bCs/>
          <w:i/>
          <w:spacing w:val="-3"/>
          <w:sz w:val="26"/>
          <w:szCs w:val="26"/>
          <w:lang w:val="es-ES_tradnl"/>
        </w:rPr>
        <w:t>Ley de Procedimiento</w:t>
      </w:r>
      <w:r w:rsidR="00EF3E25" w:rsidRPr="00EE4752">
        <w:rPr>
          <w:rFonts w:ascii="Arial" w:eastAsia="Times New Roman" w:hAnsi="Arial" w:cs="Arial"/>
          <w:bCs/>
          <w:spacing w:val="-3"/>
          <w:sz w:val="26"/>
          <w:szCs w:val="26"/>
          <w:lang w:val="es-ES_tradnl"/>
        </w:rPr>
        <w:t>.</w:t>
      </w:r>
      <w:r w:rsidR="00EF3E25" w:rsidRPr="00EE4752">
        <w:rPr>
          <w:rFonts w:ascii="Arial" w:hAnsi="Arial" w:cs="Arial"/>
          <w:bCs/>
          <w:spacing w:val="-3"/>
          <w:sz w:val="26"/>
          <w:szCs w:val="26"/>
          <w:lang w:val="es-ES_tradnl"/>
        </w:rPr>
        <w:t xml:space="preserve"> </w:t>
      </w:r>
    </w:p>
    <w:p w14:paraId="45AFA5E8" w14:textId="64DA7F18" w:rsidR="005D444A" w:rsidRPr="00EE4752" w:rsidRDefault="00710FA0" w:rsidP="005D444A">
      <w:pPr>
        <w:spacing w:line="360" w:lineRule="auto"/>
        <w:ind w:firstLine="567"/>
        <w:jc w:val="both"/>
        <w:rPr>
          <w:rFonts w:ascii="Arial" w:hAnsi="Arial" w:cs="Arial"/>
          <w:bCs/>
          <w:spacing w:val="-3"/>
          <w:sz w:val="26"/>
          <w:szCs w:val="26"/>
          <w:lang w:val="es-ES_tradnl"/>
        </w:rPr>
      </w:pPr>
      <w:bookmarkStart w:id="3" w:name="_Hlk142643296"/>
      <w:r>
        <w:rPr>
          <w:rFonts w:ascii="Arial" w:hAnsi="Arial" w:cs="Arial"/>
          <w:bCs/>
          <w:spacing w:val="-3"/>
          <w:sz w:val="26"/>
          <w:szCs w:val="26"/>
          <w:lang w:val="es-ES_tradnl"/>
        </w:rPr>
        <w:t xml:space="preserve">22. </w:t>
      </w:r>
      <w:r w:rsidR="005D444A" w:rsidRPr="00EE4752">
        <w:rPr>
          <w:rFonts w:ascii="Arial" w:hAnsi="Arial" w:cs="Arial"/>
          <w:bCs/>
          <w:spacing w:val="-3"/>
          <w:sz w:val="26"/>
          <w:szCs w:val="26"/>
          <w:lang w:val="es-ES_tradnl"/>
        </w:rPr>
        <w:t xml:space="preserve">Por su parte la autoridad demandada manifiesta que el actor </w:t>
      </w:r>
      <w:r w:rsidR="0033075F" w:rsidRPr="00EE4752">
        <w:rPr>
          <w:rFonts w:ascii="Arial" w:hAnsi="Arial" w:cs="Arial"/>
          <w:bCs/>
          <w:spacing w:val="-3"/>
          <w:sz w:val="26"/>
          <w:szCs w:val="26"/>
          <w:lang w:val="es-ES_tradnl"/>
        </w:rPr>
        <w:t>incurri</w:t>
      </w:r>
      <w:r w:rsidR="0033075F">
        <w:rPr>
          <w:rFonts w:ascii="Arial" w:hAnsi="Arial" w:cs="Arial"/>
          <w:bCs/>
          <w:spacing w:val="-3"/>
          <w:sz w:val="26"/>
          <w:szCs w:val="26"/>
          <w:lang w:val="es-ES_tradnl"/>
        </w:rPr>
        <w:t>ó</w:t>
      </w:r>
      <w:r w:rsidR="00EF3E25" w:rsidRPr="00EE4752">
        <w:rPr>
          <w:rFonts w:ascii="Arial" w:hAnsi="Arial" w:cs="Arial"/>
          <w:bCs/>
          <w:spacing w:val="-3"/>
          <w:sz w:val="26"/>
          <w:szCs w:val="26"/>
          <w:lang w:val="es-ES_tradnl"/>
        </w:rPr>
        <w:t xml:space="preserve"> en </w:t>
      </w:r>
      <w:r w:rsidR="00FD3D53">
        <w:rPr>
          <w:rFonts w:ascii="Arial" w:hAnsi="Arial" w:cs="Arial"/>
          <w:bCs/>
          <w:spacing w:val="-3"/>
          <w:sz w:val="26"/>
          <w:szCs w:val="26"/>
          <w:lang w:val="es-ES_tradnl"/>
        </w:rPr>
        <w:t xml:space="preserve">un daño a la Hacienda Pública Municipal de </w:t>
      </w:r>
      <w:r>
        <w:rPr>
          <w:rFonts w:ascii="Arial" w:hAnsi="Arial" w:cs="Arial"/>
          <w:bCs/>
          <w:spacing w:val="-3"/>
          <w:sz w:val="26"/>
          <w:szCs w:val="26"/>
          <w:lang w:val="es-ES_tradnl"/>
        </w:rPr>
        <w:t xml:space="preserve">Santo Domingo </w:t>
      </w:r>
      <w:proofErr w:type="spellStart"/>
      <w:r>
        <w:rPr>
          <w:rFonts w:ascii="Arial" w:hAnsi="Arial" w:cs="Arial"/>
          <w:bCs/>
          <w:spacing w:val="-3"/>
          <w:sz w:val="26"/>
          <w:szCs w:val="26"/>
          <w:lang w:val="es-ES_tradnl"/>
        </w:rPr>
        <w:t>Tomaltepec</w:t>
      </w:r>
      <w:proofErr w:type="spellEnd"/>
      <w:r>
        <w:rPr>
          <w:rFonts w:ascii="Arial" w:hAnsi="Arial" w:cs="Arial"/>
          <w:bCs/>
          <w:spacing w:val="-3"/>
          <w:sz w:val="26"/>
          <w:szCs w:val="26"/>
          <w:lang w:val="es-ES_tradnl"/>
        </w:rPr>
        <w:t>, Distrito del centro, Oaxaca</w:t>
      </w:r>
      <w:r w:rsidR="00FD3D53">
        <w:rPr>
          <w:rFonts w:ascii="Arial" w:hAnsi="Arial" w:cs="Arial"/>
          <w:bCs/>
          <w:spacing w:val="-3"/>
          <w:sz w:val="26"/>
          <w:szCs w:val="26"/>
          <w:lang w:val="es-ES_tradnl"/>
        </w:rPr>
        <w:t xml:space="preserve">, durante el ejercicio fiscal </w:t>
      </w:r>
      <w:r>
        <w:rPr>
          <w:rFonts w:ascii="Arial" w:hAnsi="Arial" w:cs="Arial"/>
          <w:bCs/>
          <w:spacing w:val="-3"/>
          <w:sz w:val="26"/>
          <w:szCs w:val="26"/>
          <w:lang w:val="es-ES_tradnl"/>
        </w:rPr>
        <w:t>dos mil trece</w:t>
      </w:r>
      <w:r w:rsidR="00FD3D53">
        <w:rPr>
          <w:rFonts w:ascii="Arial" w:hAnsi="Arial" w:cs="Arial"/>
          <w:bCs/>
          <w:spacing w:val="-3"/>
          <w:sz w:val="26"/>
          <w:szCs w:val="26"/>
          <w:lang w:val="es-ES_tradnl"/>
        </w:rPr>
        <w:t xml:space="preserve">, temporalidad en la cual el ahora actor fungió como </w:t>
      </w:r>
      <w:r>
        <w:rPr>
          <w:rFonts w:ascii="Arial" w:hAnsi="Arial" w:cs="Arial"/>
          <w:bCs/>
          <w:spacing w:val="-3"/>
          <w:sz w:val="26"/>
          <w:szCs w:val="26"/>
          <w:lang w:val="es-ES_tradnl"/>
        </w:rPr>
        <w:t>Presidente Municipal</w:t>
      </w:r>
      <w:r w:rsidR="00FD3D53">
        <w:rPr>
          <w:rFonts w:ascii="Arial" w:hAnsi="Arial" w:cs="Arial"/>
          <w:bCs/>
          <w:spacing w:val="-3"/>
          <w:sz w:val="26"/>
          <w:szCs w:val="26"/>
          <w:lang w:val="es-ES_tradnl"/>
        </w:rPr>
        <w:t xml:space="preserve"> de la referida municipalidad, al no haber desvirtuado las observaciones formuladas en el Pliego de Observaciones con motivo de la revisión y fiscalización d</w:t>
      </w:r>
      <w:r>
        <w:rPr>
          <w:rFonts w:ascii="Arial" w:hAnsi="Arial" w:cs="Arial"/>
          <w:bCs/>
          <w:spacing w:val="-3"/>
          <w:sz w:val="26"/>
          <w:szCs w:val="26"/>
          <w:lang w:val="es-ES_tradnl"/>
        </w:rPr>
        <w:t>e la cuenta pública municipal</w:t>
      </w:r>
      <w:r w:rsidR="00FD3D53">
        <w:rPr>
          <w:rFonts w:ascii="Arial" w:hAnsi="Arial" w:cs="Arial"/>
          <w:bCs/>
          <w:spacing w:val="-3"/>
          <w:sz w:val="26"/>
          <w:szCs w:val="26"/>
          <w:lang w:val="es-ES_tradnl"/>
        </w:rPr>
        <w:t xml:space="preserve"> correspondient</w:t>
      </w:r>
      <w:r>
        <w:rPr>
          <w:rFonts w:ascii="Arial" w:hAnsi="Arial" w:cs="Arial"/>
          <w:bCs/>
          <w:spacing w:val="-3"/>
          <w:sz w:val="26"/>
          <w:szCs w:val="26"/>
          <w:lang w:val="es-ES_tradnl"/>
        </w:rPr>
        <w:t>e al ejercicio fiscal dos mil trece.</w:t>
      </w:r>
    </w:p>
    <w:bookmarkEnd w:id="3"/>
    <w:p w14:paraId="3FBB7A37" w14:textId="586548D9" w:rsidR="006B6B3A" w:rsidRPr="006B6B3A" w:rsidRDefault="006B6B3A" w:rsidP="006B6B3A">
      <w:pPr>
        <w:tabs>
          <w:tab w:val="left" w:pos="0"/>
          <w:tab w:val="left" w:pos="5670"/>
        </w:tabs>
        <w:spacing w:before="240" w:after="0" w:line="360" w:lineRule="auto"/>
        <w:ind w:right="51" w:firstLine="567"/>
        <w:jc w:val="both"/>
        <w:rPr>
          <w:rFonts w:ascii="Arial" w:hAnsi="Arial" w:cs="Arial"/>
          <w:b/>
          <w:sz w:val="26"/>
          <w:szCs w:val="26"/>
        </w:rPr>
      </w:pPr>
      <w:r w:rsidRPr="006B6B3A">
        <w:rPr>
          <w:rFonts w:ascii="Arial" w:hAnsi="Arial" w:cs="Arial"/>
          <w:b/>
          <w:sz w:val="26"/>
          <w:szCs w:val="26"/>
        </w:rPr>
        <w:lastRenderedPageBreak/>
        <w:t>OCTAVO. ESTUDIO OFICIOSO DE LA COMPETENCIA.</w:t>
      </w:r>
    </w:p>
    <w:p w14:paraId="7D67E909" w14:textId="085424AD" w:rsidR="006B6B3A" w:rsidRPr="00D7722A" w:rsidRDefault="006B6B3A" w:rsidP="006B6B3A">
      <w:pPr>
        <w:spacing w:after="120" w:line="360" w:lineRule="auto"/>
        <w:ind w:firstLine="567"/>
        <w:jc w:val="both"/>
        <w:rPr>
          <w:rFonts w:ascii="Arial" w:eastAsia="Arial Unicode MS" w:hAnsi="Arial" w:cs="Arial"/>
          <w:bCs/>
          <w:sz w:val="26"/>
          <w:szCs w:val="26"/>
        </w:rPr>
      </w:pPr>
      <w:r>
        <w:rPr>
          <w:rFonts w:ascii="Arial" w:eastAsia="Arial Unicode MS" w:hAnsi="Arial" w:cs="Arial"/>
          <w:bCs/>
          <w:sz w:val="26"/>
          <w:szCs w:val="26"/>
        </w:rPr>
        <w:t xml:space="preserve">23. </w:t>
      </w:r>
      <w:r w:rsidRPr="00D7722A">
        <w:rPr>
          <w:rFonts w:ascii="Arial" w:eastAsia="Arial Unicode MS" w:hAnsi="Arial" w:cs="Arial"/>
          <w:bCs/>
          <w:sz w:val="26"/>
          <w:szCs w:val="26"/>
        </w:rPr>
        <w:t xml:space="preserve">Antes de resolver el presente asunto, es necesario precisar que la </w:t>
      </w:r>
      <w:r w:rsidRPr="006B6B3A">
        <w:rPr>
          <w:rFonts w:ascii="Arial" w:eastAsia="Arial Unicode MS" w:hAnsi="Arial" w:cs="Arial"/>
          <w:bCs/>
          <w:i/>
          <w:sz w:val="26"/>
          <w:szCs w:val="26"/>
        </w:rPr>
        <w:t>Ley de Procedimiento</w:t>
      </w:r>
      <w:r>
        <w:rPr>
          <w:rFonts w:ascii="Arial" w:eastAsia="Arial Unicode MS" w:hAnsi="Arial" w:cs="Arial"/>
          <w:bCs/>
          <w:i/>
          <w:sz w:val="26"/>
          <w:szCs w:val="26"/>
        </w:rPr>
        <w:t>,</w:t>
      </w:r>
      <w:r w:rsidRPr="00D7722A">
        <w:rPr>
          <w:rFonts w:ascii="Arial" w:eastAsia="Arial Unicode MS" w:hAnsi="Arial" w:cs="Arial"/>
          <w:bCs/>
          <w:sz w:val="26"/>
          <w:szCs w:val="26"/>
        </w:rPr>
        <w:t xml:space="preserve"> </w:t>
      </w:r>
      <w:r>
        <w:rPr>
          <w:rFonts w:ascii="Arial" w:eastAsia="Arial Unicode MS" w:hAnsi="Arial" w:cs="Arial"/>
          <w:bCs/>
          <w:sz w:val="26"/>
          <w:szCs w:val="26"/>
        </w:rPr>
        <w:t>que regula el trámite del juicio contencioso a</w:t>
      </w:r>
      <w:r w:rsidRPr="00D7722A">
        <w:rPr>
          <w:rFonts w:ascii="Arial" w:eastAsia="Arial Unicode MS" w:hAnsi="Arial" w:cs="Arial"/>
          <w:bCs/>
          <w:sz w:val="26"/>
          <w:szCs w:val="26"/>
        </w:rPr>
        <w:t>dministrati</w:t>
      </w:r>
      <w:r>
        <w:rPr>
          <w:rFonts w:ascii="Arial" w:eastAsia="Arial Unicode MS" w:hAnsi="Arial" w:cs="Arial"/>
          <w:bCs/>
          <w:sz w:val="26"/>
          <w:szCs w:val="26"/>
        </w:rPr>
        <w:t>vo, es de aplicación supletoria</w:t>
      </w:r>
      <w:r w:rsidRPr="00D7722A">
        <w:rPr>
          <w:rFonts w:ascii="Arial" w:eastAsia="Arial Unicode MS" w:hAnsi="Arial" w:cs="Arial"/>
          <w:bCs/>
          <w:sz w:val="26"/>
          <w:szCs w:val="26"/>
        </w:rPr>
        <w:t xml:space="preserve"> a la Ley de Justicia de Fiscalización y Rendición de Cuentas para el Estado de Oaxaca</w:t>
      </w:r>
      <w:r w:rsidRPr="00D7722A">
        <w:rPr>
          <w:rStyle w:val="Refdenotaalpie"/>
          <w:rFonts w:ascii="Arial" w:eastAsia="Arial Unicode MS" w:hAnsi="Arial" w:cs="Arial"/>
          <w:bCs/>
          <w:sz w:val="26"/>
          <w:szCs w:val="26"/>
        </w:rPr>
        <w:footnoteReference w:id="11"/>
      </w:r>
      <w:r w:rsidRPr="00D7722A">
        <w:rPr>
          <w:rFonts w:ascii="Arial" w:eastAsia="Arial Unicode MS" w:hAnsi="Arial" w:cs="Arial"/>
          <w:bCs/>
          <w:sz w:val="26"/>
          <w:szCs w:val="26"/>
        </w:rPr>
        <w:t xml:space="preserve">, la cual rige el presente juicio de inconformidad; por lo tanto, también son aplicables los criterios </w:t>
      </w:r>
      <w:r>
        <w:rPr>
          <w:rFonts w:ascii="Arial" w:eastAsia="Arial Unicode MS" w:hAnsi="Arial" w:cs="Arial"/>
          <w:bCs/>
          <w:sz w:val="26"/>
          <w:szCs w:val="26"/>
        </w:rPr>
        <w:t xml:space="preserve">emitidos por los Tribunales Colegiados de Circuito y por la Suprema </w:t>
      </w:r>
      <w:r w:rsidRPr="00D7722A">
        <w:rPr>
          <w:rFonts w:ascii="Arial" w:eastAsia="Arial Unicode MS" w:hAnsi="Arial" w:cs="Arial"/>
          <w:bCs/>
          <w:sz w:val="26"/>
          <w:szCs w:val="26"/>
        </w:rPr>
        <w:t xml:space="preserve">Corte </w:t>
      </w:r>
      <w:r>
        <w:rPr>
          <w:rFonts w:ascii="Arial" w:eastAsia="Arial Unicode MS" w:hAnsi="Arial" w:cs="Arial"/>
          <w:bCs/>
          <w:sz w:val="26"/>
          <w:szCs w:val="26"/>
        </w:rPr>
        <w:t>de Justicia de la Nación, sustentados en los juicios c</w:t>
      </w:r>
      <w:r w:rsidRPr="00D7722A">
        <w:rPr>
          <w:rFonts w:ascii="Arial" w:eastAsia="Arial Unicode MS" w:hAnsi="Arial" w:cs="Arial"/>
          <w:bCs/>
          <w:sz w:val="26"/>
          <w:szCs w:val="26"/>
        </w:rPr>
        <w:t xml:space="preserve">ontenciosos </w:t>
      </w:r>
      <w:r>
        <w:rPr>
          <w:rFonts w:ascii="Arial" w:eastAsia="Arial Unicode MS" w:hAnsi="Arial" w:cs="Arial"/>
          <w:bCs/>
          <w:sz w:val="26"/>
          <w:szCs w:val="26"/>
        </w:rPr>
        <w:t>a</w:t>
      </w:r>
      <w:r w:rsidRPr="00D7722A">
        <w:rPr>
          <w:rFonts w:ascii="Arial" w:eastAsia="Arial Unicode MS" w:hAnsi="Arial" w:cs="Arial"/>
          <w:bCs/>
          <w:sz w:val="26"/>
          <w:szCs w:val="26"/>
        </w:rPr>
        <w:t xml:space="preserve">dministrativos. </w:t>
      </w:r>
    </w:p>
    <w:p w14:paraId="1663EF57" w14:textId="3C23F72D" w:rsidR="006B6B3A" w:rsidRPr="00D7722A" w:rsidRDefault="006B6B3A" w:rsidP="006B6B3A">
      <w:pPr>
        <w:spacing w:before="120" w:after="0" w:line="360" w:lineRule="auto"/>
        <w:ind w:right="51" w:firstLine="708"/>
        <w:jc w:val="both"/>
        <w:rPr>
          <w:rFonts w:ascii="Arial" w:hAnsi="Arial" w:cs="Arial"/>
          <w:bCs/>
          <w:sz w:val="26"/>
          <w:szCs w:val="26"/>
        </w:rPr>
      </w:pPr>
      <w:r>
        <w:rPr>
          <w:rFonts w:ascii="Arial" w:hAnsi="Arial" w:cs="Arial"/>
          <w:bCs/>
          <w:sz w:val="26"/>
          <w:szCs w:val="26"/>
        </w:rPr>
        <w:t>24. En esa tesitura</w:t>
      </w:r>
      <w:r w:rsidRPr="00DD194A">
        <w:rPr>
          <w:rFonts w:ascii="Arial" w:hAnsi="Arial" w:cs="Arial"/>
          <w:bCs/>
          <w:sz w:val="26"/>
          <w:szCs w:val="26"/>
        </w:rPr>
        <w:t>, esta</w:t>
      </w:r>
      <w:r w:rsidRPr="00D7722A">
        <w:rPr>
          <w:rFonts w:ascii="Arial" w:hAnsi="Arial" w:cs="Arial"/>
          <w:bCs/>
          <w:sz w:val="26"/>
          <w:szCs w:val="26"/>
        </w:rPr>
        <w:t xml:space="preserve"> Sala Superior está facultada para examinar oficiosamente la competencia de la autoridad demandada, conforme</w:t>
      </w:r>
      <w:r>
        <w:rPr>
          <w:rFonts w:ascii="Arial" w:hAnsi="Arial" w:cs="Arial"/>
          <w:bCs/>
          <w:sz w:val="26"/>
          <w:szCs w:val="26"/>
        </w:rPr>
        <w:t xml:space="preserve"> a</w:t>
      </w:r>
      <w:r w:rsidRPr="00D7722A">
        <w:rPr>
          <w:rFonts w:ascii="Arial" w:hAnsi="Arial" w:cs="Arial"/>
          <w:bCs/>
          <w:sz w:val="26"/>
          <w:szCs w:val="26"/>
        </w:rPr>
        <w:t xml:space="preserve"> lo dispuesto en el último párrafo, del artículo 208</w:t>
      </w:r>
      <w:r w:rsidRPr="00D7722A">
        <w:rPr>
          <w:rStyle w:val="Refdenotaalpie"/>
          <w:rFonts w:ascii="Arial" w:hAnsi="Arial" w:cs="Arial"/>
          <w:bCs/>
          <w:sz w:val="26"/>
          <w:szCs w:val="26"/>
        </w:rPr>
        <w:footnoteReference w:id="12"/>
      </w:r>
      <w:r w:rsidRPr="00D7722A">
        <w:rPr>
          <w:rFonts w:ascii="Arial" w:hAnsi="Arial" w:cs="Arial"/>
          <w:bCs/>
          <w:sz w:val="26"/>
          <w:szCs w:val="26"/>
        </w:rPr>
        <w:t xml:space="preserve">, de la </w:t>
      </w:r>
      <w:r w:rsidRPr="006B6B3A">
        <w:rPr>
          <w:rFonts w:ascii="Arial" w:hAnsi="Arial" w:cs="Arial"/>
          <w:bCs/>
          <w:i/>
          <w:sz w:val="26"/>
          <w:szCs w:val="26"/>
        </w:rPr>
        <w:t>Ley de Procedimiento</w:t>
      </w:r>
      <w:r w:rsidRPr="00D7722A">
        <w:rPr>
          <w:rFonts w:ascii="Arial" w:hAnsi="Arial" w:cs="Arial"/>
          <w:bCs/>
          <w:sz w:val="26"/>
          <w:szCs w:val="26"/>
        </w:rPr>
        <w:t xml:space="preserve">; aunado </w:t>
      </w:r>
      <w:r>
        <w:rPr>
          <w:rFonts w:ascii="Arial" w:hAnsi="Arial" w:cs="Arial"/>
          <w:bCs/>
          <w:sz w:val="26"/>
          <w:szCs w:val="26"/>
        </w:rPr>
        <w:t xml:space="preserve">a </w:t>
      </w:r>
      <w:r w:rsidRPr="00D7722A">
        <w:rPr>
          <w:rFonts w:ascii="Arial" w:hAnsi="Arial" w:cs="Arial"/>
          <w:bCs/>
          <w:sz w:val="26"/>
          <w:szCs w:val="26"/>
        </w:rPr>
        <w:t xml:space="preserve">que la </w:t>
      </w:r>
      <w:r w:rsidRPr="00D7722A">
        <w:rPr>
          <w:rFonts w:ascii="Arial" w:hAnsi="Arial" w:cs="Arial"/>
          <w:b/>
          <w:bCs/>
          <w:sz w:val="26"/>
          <w:szCs w:val="26"/>
        </w:rPr>
        <w:t xml:space="preserve">competencia de la autoridad demandada </w:t>
      </w:r>
      <w:r w:rsidRPr="00D7722A">
        <w:rPr>
          <w:rFonts w:ascii="Arial" w:hAnsi="Arial" w:cs="Arial"/>
          <w:bCs/>
          <w:sz w:val="26"/>
          <w:szCs w:val="26"/>
        </w:rPr>
        <w:t xml:space="preserve">es el primer presupuesto </w:t>
      </w:r>
      <w:r>
        <w:rPr>
          <w:rFonts w:ascii="Arial" w:hAnsi="Arial" w:cs="Arial"/>
          <w:bCs/>
          <w:sz w:val="26"/>
          <w:szCs w:val="26"/>
        </w:rPr>
        <w:t xml:space="preserve">que debe cumplirse </w:t>
      </w:r>
      <w:r w:rsidRPr="00D7722A">
        <w:rPr>
          <w:rFonts w:ascii="Arial" w:hAnsi="Arial" w:cs="Arial"/>
          <w:bCs/>
          <w:sz w:val="26"/>
          <w:szCs w:val="26"/>
        </w:rPr>
        <w:t xml:space="preserve">para la emisión del acto de molestia, </w:t>
      </w:r>
      <w:r>
        <w:rPr>
          <w:rFonts w:ascii="Arial" w:hAnsi="Arial" w:cs="Arial"/>
          <w:bCs/>
          <w:sz w:val="26"/>
          <w:szCs w:val="26"/>
        </w:rPr>
        <w:t xml:space="preserve">por lo que esta Sala Superior </w:t>
      </w:r>
      <w:r w:rsidRPr="00D7722A">
        <w:rPr>
          <w:rFonts w:ascii="Arial" w:hAnsi="Arial" w:cs="Arial"/>
          <w:bCs/>
          <w:sz w:val="26"/>
          <w:szCs w:val="26"/>
        </w:rPr>
        <w:t xml:space="preserve">procede a su estudio, que es preferente, de orden público y de análisis oficioso. </w:t>
      </w:r>
    </w:p>
    <w:p w14:paraId="12E193D5" w14:textId="6CEEB655" w:rsidR="006B6B3A" w:rsidRPr="00D7722A" w:rsidRDefault="000C2B0F" w:rsidP="006B6B3A">
      <w:pPr>
        <w:spacing w:before="120" w:after="0" w:line="360" w:lineRule="auto"/>
        <w:ind w:right="51" w:firstLine="708"/>
        <w:jc w:val="both"/>
        <w:rPr>
          <w:rFonts w:ascii="Arial" w:hAnsi="Arial" w:cs="Arial"/>
          <w:bCs/>
          <w:sz w:val="26"/>
          <w:szCs w:val="26"/>
        </w:rPr>
      </w:pPr>
      <w:r>
        <w:rPr>
          <w:rFonts w:ascii="Arial" w:hAnsi="Arial" w:cs="Arial"/>
          <w:bCs/>
          <w:sz w:val="26"/>
          <w:szCs w:val="26"/>
        </w:rPr>
        <w:t xml:space="preserve">25. </w:t>
      </w:r>
      <w:r w:rsidR="006B6B3A" w:rsidRPr="00D7722A">
        <w:rPr>
          <w:rFonts w:ascii="Arial" w:hAnsi="Arial" w:cs="Arial"/>
          <w:bCs/>
          <w:sz w:val="26"/>
          <w:szCs w:val="26"/>
        </w:rPr>
        <w:t>Sirve de apoyo por identidad jurídica la Jurisprudencia con número de registro 170827, de la Novena Época, sustentada por la Segunda Sala de la Suprema Corte de Justicia de la Nación, visible en el Semanario Judicial de la Fede</w:t>
      </w:r>
      <w:r w:rsidR="006B6B3A">
        <w:rPr>
          <w:rFonts w:ascii="Arial" w:hAnsi="Arial" w:cs="Arial"/>
          <w:bCs/>
          <w:sz w:val="26"/>
          <w:szCs w:val="26"/>
        </w:rPr>
        <w:t>ración y su Gaceta, tomo XXVI, d</w:t>
      </w:r>
      <w:r w:rsidR="006B6B3A" w:rsidRPr="00D7722A">
        <w:rPr>
          <w:rFonts w:ascii="Arial" w:hAnsi="Arial" w:cs="Arial"/>
          <w:bCs/>
          <w:sz w:val="26"/>
          <w:szCs w:val="26"/>
        </w:rPr>
        <w:t>iciembre de 2007, página 154, con el texto y rubro siguiente:</w:t>
      </w:r>
    </w:p>
    <w:p w14:paraId="72F100D5" w14:textId="77777777" w:rsidR="006B6B3A" w:rsidRDefault="006B6B3A" w:rsidP="006B6B3A">
      <w:pPr>
        <w:spacing w:before="120" w:after="0" w:line="360" w:lineRule="auto"/>
        <w:ind w:left="709" w:right="758"/>
        <w:jc w:val="both"/>
        <w:rPr>
          <w:rFonts w:ascii="Arial" w:hAnsi="Arial" w:cs="Arial"/>
          <w:i/>
          <w:color w:val="000000" w:themeColor="text1"/>
        </w:rPr>
      </w:pPr>
      <w:r w:rsidRPr="00703CE5">
        <w:rPr>
          <w:rFonts w:ascii="Arial" w:hAnsi="Arial" w:cs="Arial"/>
          <w:bCs/>
          <w:i/>
          <w:color w:val="000000" w:themeColor="text1"/>
        </w:rPr>
        <w:t>“</w:t>
      </w:r>
      <w:r w:rsidRPr="00703CE5">
        <w:rPr>
          <w:rFonts w:ascii="Arial" w:hAnsi="Arial" w:cs="Arial"/>
          <w:b/>
          <w:i/>
          <w:color w:val="000000" w:themeColor="text1"/>
        </w:rPr>
        <w:t>COMPETENCIA. SU ESTUDIO OFICIOSO RESPECTO DE LA AUTORIDAD DEMANDADA EN EL JUICIO CONTENCIOSO ADMINISTRATIVO, DEBE SER ANALIZADA POR LAS SALAS DEL TRIBUNAL FEDERAL DE JUSTICIA FISCAL Y ADMINISTRATIVA</w:t>
      </w:r>
      <w:r w:rsidRPr="00703CE5">
        <w:rPr>
          <w:rFonts w:ascii="Arial" w:hAnsi="Arial" w:cs="Arial"/>
          <w:bCs/>
          <w:i/>
          <w:color w:val="000000" w:themeColor="text1"/>
        </w:rPr>
        <w:t xml:space="preserve">.” </w:t>
      </w:r>
      <w:r w:rsidRPr="00703CE5">
        <w:rPr>
          <w:rFonts w:ascii="Arial" w:hAnsi="Arial" w:cs="Arial"/>
          <w:i/>
          <w:color w:val="000000" w:themeColor="text1"/>
        </w:rPr>
        <w:t>El artículo </w:t>
      </w:r>
      <w:hyperlink r:id="rId8" w:history="1">
        <w:r w:rsidRPr="00703CE5">
          <w:rPr>
            <w:rStyle w:val="Hipervnculo"/>
            <w:rFonts w:cs="Arial"/>
            <w:bCs/>
            <w:i/>
            <w:color w:val="000000" w:themeColor="text1"/>
          </w:rPr>
          <w:t>238, penúltimo párrafo, del Código Fiscal de la Federación</w:t>
        </w:r>
      </w:hyperlink>
      <w:r w:rsidRPr="00703CE5">
        <w:rPr>
          <w:rFonts w:ascii="Arial" w:hAnsi="Arial" w:cs="Arial"/>
          <w:i/>
          <w:color w:val="000000" w:themeColor="text1"/>
        </w:rPr>
        <w:t> y su correlativo </w:t>
      </w:r>
      <w:hyperlink r:id="rId9" w:history="1">
        <w:r w:rsidRPr="00703CE5">
          <w:rPr>
            <w:rStyle w:val="Hipervnculo"/>
            <w:rFonts w:cs="Arial"/>
            <w:bCs/>
            <w:i/>
            <w:color w:val="000000" w:themeColor="text1"/>
          </w:rPr>
          <w:t>51, penúltimo párrafo, de la Ley Federal de Procedimiento Contencioso Administrativo</w:t>
        </w:r>
      </w:hyperlink>
      <w:r w:rsidRPr="00703CE5">
        <w:rPr>
          <w:rFonts w:ascii="Arial" w:hAnsi="Arial" w:cs="Arial"/>
          <w:i/>
          <w:color w:val="000000" w:themeColor="text1"/>
        </w:rPr>
        <w:t xml:space="preserve">, establece que ese Tribunal podrá hacer valer de oficio, por ser de orden público, la incompetencia de la autoridad para dictar la resolución impugnada. Al respecto debe decirse que ese estudio implica </w:t>
      </w:r>
      <w:r w:rsidRPr="00703CE5">
        <w:rPr>
          <w:rFonts w:ascii="Arial" w:hAnsi="Arial" w:cs="Arial"/>
          <w:i/>
          <w:color w:val="000000" w:themeColor="text1"/>
        </w:rPr>
        <w:lastRenderedPageBreak/>
        <w:t xml:space="preserve">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w:t>
      </w:r>
      <w:r>
        <w:rPr>
          <w:rFonts w:ascii="Arial" w:hAnsi="Arial" w:cs="Arial"/>
          <w:i/>
          <w:color w:val="000000" w:themeColor="text1"/>
        </w:rPr>
        <w:t>juicio de nulidad.</w:t>
      </w:r>
    </w:p>
    <w:p w14:paraId="78D6DD66" w14:textId="77777777" w:rsidR="000C2B0F" w:rsidRDefault="000C2B0F" w:rsidP="006B6B3A">
      <w:pPr>
        <w:spacing w:before="120" w:after="0" w:line="360" w:lineRule="auto"/>
        <w:ind w:right="49" w:firstLine="709"/>
        <w:jc w:val="both"/>
        <w:rPr>
          <w:rFonts w:ascii="Arial" w:eastAsia="Times New Roman" w:hAnsi="Arial" w:cs="Arial"/>
          <w:sz w:val="26"/>
          <w:szCs w:val="26"/>
        </w:rPr>
      </w:pPr>
      <w:r>
        <w:rPr>
          <w:rFonts w:ascii="Arial" w:hAnsi="Arial" w:cs="Arial"/>
          <w:sz w:val="26"/>
          <w:szCs w:val="26"/>
        </w:rPr>
        <w:t xml:space="preserve">26. </w:t>
      </w:r>
      <w:r w:rsidR="006B6B3A" w:rsidRPr="00170A44">
        <w:rPr>
          <w:rFonts w:ascii="Arial" w:hAnsi="Arial" w:cs="Arial"/>
          <w:sz w:val="26"/>
          <w:szCs w:val="26"/>
        </w:rPr>
        <w:t xml:space="preserve">También es dable destacar que en los actos de molestia que emita toda autoridad, ésta tiene la obligación de cumplir con el </w:t>
      </w:r>
      <w:r w:rsidR="006B6B3A" w:rsidRPr="00170A44">
        <w:rPr>
          <w:rFonts w:ascii="Arial" w:eastAsia="Times New Roman" w:hAnsi="Arial" w:cs="Arial"/>
          <w:sz w:val="26"/>
          <w:szCs w:val="26"/>
        </w:rPr>
        <w:t>requisito esencial de fundar debidamente su competencia,</w:t>
      </w:r>
      <w:r w:rsidR="006B6B3A">
        <w:rPr>
          <w:rFonts w:ascii="Arial" w:eastAsia="Times New Roman" w:hAnsi="Arial" w:cs="Arial"/>
          <w:sz w:val="26"/>
          <w:szCs w:val="26"/>
        </w:rPr>
        <w:t xml:space="preserve"> como lo exige el artículo 16 de la Constitución Política de los Estados Unidos Mexicanos, </w:t>
      </w:r>
      <w:r w:rsidR="006B6B3A" w:rsidRPr="00170A44">
        <w:rPr>
          <w:rFonts w:ascii="Arial" w:eastAsia="Times New Roman" w:hAnsi="Arial" w:cs="Arial"/>
          <w:sz w:val="26"/>
          <w:szCs w:val="26"/>
        </w:rPr>
        <w:t xml:space="preserve"> pues la validez de sus actos dependerá de que hayan sido realizados por la autoridad facultada legalmente para ello dentro de su respectivo ámbito de competencia, regido específicamente por una o </w:t>
      </w:r>
      <w:r>
        <w:rPr>
          <w:rFonts w:ascii="Arial" w:eastAsia="Times New Roman" w:hAnsi="Arial" w:cs="Arial"/>
          <w:sz w:val="26"/>
          <w:szCs w:val="26"/>
        </w:rPr>
        <w:t>varias normas que lo autoricen.</w:t>
      </w:r>
    </w:p>
    <w:p w14:paraId="22B9DCE6" w14:textId="7AE41168" w:rsidR="006B6B3A" w:rsidRPr="00170A44" w:rsidRDefault="000C2B0F" w:rsidP="006B6B3A">
      <w:pPr>
        <w:spacing w:before="120" w:after="0" w:line="360" w:lineRule="auto"/>
        <w:ind w:right="49" w:firstLine="709"/>
        <w:jc w:val="both"/>
        <w:rPr>
          <w:rFonts w:ascii="Arial" w:eastAsia="Times New Roman" w:hAnsi="Arial" w:cs="Arial"/>
          <w:i/>
          <w:color w:val="000000" w:themeColor="text1"/>
        </w:rPr>
      </w:pPr>
      <w:r>
        <w:rPr>
          <w:rFonts w:ascii="Arial" w:eastAsia="Times New Roman" w:hAnsi="Arial" w:cs="Arial"/>
          <w:sz w:val="26"/>
          <w:szCs w:val="26"/>
        </w:rPr>
        <w:t>27. P</w:t>
      </w:r>
      <w:r w:rsidR="006B6B3A" w:rsidRPr="00170A44">
        <w:rPr>
          <w:rFonts w:ascii="Arial" w:eastAsia="Times New Roman" w:hAnsi="Arial" w:cs="Arial"/>
          <w:sz w:val="26"/>
          <w:szCs w:val="26"/>
        </w:rPr>
        <w:t xml:space="preserve">or tanto, es necesario que la autoridad precise exhaustivamente su competencia con base en la ley, reglamento, decreto o acuerdo que le otorgue la atribución ejercida, citando en su caso el apartado, fracción, inciso o </w:t>
      </w:r>
      <w:proofErr w:type="spellStart"/>
      <w:r w:rsidR="006B6B3A" w:rsidRPr="00170A44">
        <w:rPr>
          <w:rFonts w:ascii="Arial" w:eastAsia="Times New Roman" w:hAnsi="Arial" w:cs="Arial"/>
          <w:sz w:val="26"/>
          <w:szCs w:val="26"/>
        </w:rPr>
        <w:t>subinciso</w:t>
      </w:r>
      <w:proofErr w:type="spellEnd"/>
      <w:r w:rsidR="006B6B3A" w:rsidRPr="00170A44">
        <w:rPr>
          <w:rFonts w:ascii="Arial" w:eastAsia="Times New Roman" w:hAnsi="Arial" w:cs="Arial"/>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p>
    <w:p w14:paraId="4F5C1E39" w14:textId="47D9E846" w:rsidR="006B6B3A" w:rsidRDefault="000C2B0F" w:rsidP="006B6B3A">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t xml:space="preserve">28. </w:t>
      </w:r>
      <w:r w:rsidR="006B6B3A">
        <w:rPr>
          <w:rFonts w:ascii="Arial" w:hAnsi="Arial" w:cs="Arial"/>
          <w:sz w:val="26"/>
          <w:szCs w:val="26"/>
        </w:rPr>
        <w:t>A mayor abundamiento, e</w:t>
      </w:r>
      <w:r w:rsidR="006B6B3A" w:rsidRPr="00544C10">
        <w:rPr>
          <w:rFonts w:ascii="Arial" w:hAnsi="Arial" w:cs="Arial"/>
          <w:sz w:val="26"/>
          <w:szCs w:val="26"/>
        </w:rPr>
        <w:t xml:space="preserve">s pertinente señalar que la Suprema Corte de Justicia de la Nación, ha definido </w:t>
      </w:r>
      <w:r w:rsidR="006B6B3A">
        <w:rPr>
          <w:rFonts w:ascii="Arial" w:hAnsi="Arial" w:cs="Arial"/>
          <w:sz w:val="26"/>
          <w:szCs w:val="26"/>
        </w:rPr>
        <w:t xml:space="preserve">que la garantía de legalidad prevista en el artículo 16 de la Constitución Política de los Estados Unidos Mexicanos, obliga a </w:t>
      </w:r>
      <w:r w:rsidR="006B6B3A" w:rsidRPr="00D434AA">
        <w:rPr>
          <w:rFonts w:ascii="Arial" w:hAnsi="Arial" w:cs="Arial"/>
          <w:sz w:val="26"/>
          <w:szCs w:val="26"/>
        </w:rPr>
        <w:t>que</w:t>
      </w:r>
      <w:r w:rsidR="006B6B3A" w:rsidRPr="00442DB3">
        <w:rPr>
          <w:rFonts w:ascii="Arial" w:hAnsi="Arial" w:cs="Arial"/>
          <w:i/>
          <w:sz w:val="26"/>
          <w:szCs w:val="26"/>
        </w:rPr>
        <w:t xml:space="preserve"> “todo acto de autoridad debe estar adecuada y </w:t>
      </w:r>
      <w:r w:rsidR="006B6B3A" w:rsidRPr="00442DB3">
        <w:rPr>
          <w:rFonts w:ascii="Arial" w:hAnsi="Arial" w:cs="Arial"/>
          <w:i/>
          <w:sz w:val="26"/>
          <w:szCs w:val="26"/>
        </w:rPr>
        <w:lastRenderedPageBreak/>
        <w:t>suficientemente fundado y motivado”</w:t>
      </w:r>
      <w:r w:rsidR="006B6B3A">
        <w:rPr>
          <w:rStyle w:val="Refdenotaalpie"/>
          <w:rFonts w:ascii="Arial" w:hAnsi="Arial" w:cs="Arial"/>
          <w:sz w:val="26"/>
          <w:szCs w:val="26"/>
        </w:rPr>
        <w:footnoteReference w:id="13"/>
      </w:r>
      <w:r w:rsidR="006B6B3A" w:rsidRPr="00544C10">
        <w:rPr>
          <w:rFonts w:ascii="Arial" w:hAnsi="Arial" w:cs="Arial"/>
          <w:sz w:val="26"/>
          <w:szCs w:val="26"/>
        </w:rPr>
        <w:t xml:space="preserve"> , entendiéndose que la fundamentación implica </w:t>
      </w:r>
      <w:r w:rsidR="006B6B3A" w:rsidRPr="00442DB3">
        <w:rPr>
          <w:rFonts w:ascii="Arial" w:hAnsi="Arial" w:cs="Arial"/>
          <w:i/>
          <w:sz w:val="26"/>
          <w:szCs w:val="26"/>
        </w:rPr>
        <w:t>“que ha de expresarse con precisión el precepto legal aplicable al caso”</w:t>
      </w:r>
      <w:r w:rsidR="006B6B3A" w:rsidRPr="00544C10">
        <w:rPr>
          <w:rFonts w:ascii="Arial" w:hAnsi="Arial" w:cs="Arial"/>
          <w:sz w:val="26"/>
          <w:szCs w:val="26"/>
        </w:rPr>
        <w:t xml:space="preserve"> y la motivación se refiere al señalamiento preciso </w:t>
      </w:r>
      <w:r w:rsidR="006B6B3A" w:rsidRPr="004B7453">
        <w:rPr>
          <w:rFonts w:ascii="Arial"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C00532A" w14:textId="5CD8BA61" w:rsidR="006B6B3A" w:rsidRDefault="000C2B0F" w:rsidP="006B6B3A">
      <w:pPr>
        <w:tabs>
          <w:tab w:val="left" w:pos="0"/>
          <w:tab w:val="left" w:pos="5670"/>
        </w:tabs>
        <w:spacing w:before="240" w:after="240" w:line="360" w:lineRule="auto"/>
        <w:ind w:right="51" w:firstLine="709"/>
        <w:jc w:val="both"/>
        <w:rPr>
          <w:rFonts w:ascii="Arial" w:eastAsia="Times New Roman" w:hAnsi="Arial" w:cs="Arial"/>
          <w:sz w:val="26"/>
          <w:szCs w:val="26"/>
        </w:rPr>
      </w:pPr>
      <w:r>
        <w:rPr>
          <w:rFonts w:ascii="Arial" w:eastAsia="Times New Roman" w:hAnsi="Arial" w:cs="Arial"/>
          <w:sz w:val="26"/>
          <w:szCs w:val="26"/>
        </w:rPr>
        <w:t xml:space="preserve">29. </w:t>
      </w:r>
      <w:r w:rsidR="006B6B3A" w:rsidRPr="00170A44">
        <w:rPr>
          <w:rFonts w:ascii="Arial" w:eastAsia="Times New Roman" w:hAnsi="Arial" w:cs="Arial"/>
          <w:sz w:val="26"/>
          <w:szCs w:val="26"/>
        </w:rPr>
        <w:t xml:space="preserve">En ese sentido, las autoridades del Órgano Superior de Fiscalización del Estado de Oaxaca, que </w:t>
      </w:r>
      <w:r w:rsidR="006B6B3A">
        <w:rPr>
          <w:rFonts w:ascii="Arial" w:eastAsia="Times New Roman" w:hAnsi="Arial" w:cs="Arial"/>
          <w:sz w:val="26"/>
          <w:szCs w:val="26"/>
        </w:rPr>
        <w:t xml:space="preserve">emitieron </w:t>
      </w:r>
      <w:r w:rsidR="006B6B3A" w:rsidRPr="00170A44">
        <w:rPr>
          <w:rFonts w:ascii="Arial" w:eastAsia="Times New Roman" w:hAnsi="Arial" w:cs="Arial"/>
          <w:sz w:val="26"/>
          <w:szCs w:val="26"/>
        </w:rPr>
        <w:t xml:space="preserve">las resoluciones </w:t>
      </w:r>
      <w:bookmarkStart w:id="4" w:name="_Hlk74911187"/>
      <w:r w:rsidR="006B6B3A" w:rsidRPr="00170A44">
        <w:rPr>
          <w:rFonts w:ascii="Arial" w:eastAsia="Times New Roman" w:hAnsi="Arial" w:cs="Arial"/>
          <w:sz w:val="26"/>
          <w:szCs w:val="26"/>
        </w:rPr>
        <w:t xml:space="preserve">dictadas tanto en el </w:t>
      </w:r>
      <w:r w:rsidR="006B6B3A" w:rsidRPr="00F00209">
        <w:rPr>
          <w:rFonts w:ascii="Arial" w:hAnsi="Arial" w:cs="Arial"/>
          <w:sz w:val="26"/>
          <w:szCs w:val="26"/>
        </w:rPr>
        <w:t>recurso de reconsideración</w:t>
      </w:r>
      <w:r w:rsidR="006B6B3A" w:rsidRPr="00935D7F">
        <w:rPr>
          <w:rFonts w:ascii="Arial" w:hAnsi="Arial" w:cs="Arial"/>
          <w:b/>
          <w:sz w:val="26"/>
          <w:szCs w:val="26"/>
        </w:rPr>
        <w:t xml:space="preserve"> </w:t>
      </w:r>
      <w:r w:rsidR="006B6B3A">
        <w:rPr>
          <w:rFonts w:ascii="Arial" w:hAnsi="Arial" w:cs="Arial"/>
          <w:b/>
          <w:sz w:val="26"/>
          <w:szCs w:val="26"/>
        </w:rPr>
        <w:t>OSFE/REC.R./0084/2019 Y SU ACUMULADO OSFE/REC.R./0085/2019</w:t>
      </w:r>
      <w:r w:rsidR="006B6B3A">
        <w:rPr>
          <w:rFonts w:ascii="Arial" w:hAnsi="Arial" w:cs="Arial"/>
          <w:sz w:val="26"/>
          <w:szCs w:val="26"/>
        </w:rPr>
        <w:t xml:space="preserve"> como en el expediente administrativo </w:t>
      </w:r>
      <w:r w:rsidR="006B6B3A" w:rsidRPr="00B52FD4">
        <w:rPr>
          <w:rFonts w:ascii="Arial" w:hAnsi="Arial" w:cs="Arial"/>
          <w:b/>
          <w:sz w:val="26"/>
          <w:szCs w:val="26"/>
        </w:rPr>
        <w:t>ASE/UAJ/P.R./0</w:t>
      </w:r>
      <w:r w:rsidR="006B6B3A">
        <w:rPr>
          <w:rFonts w:ascii="Arial" w:hAnsi="Arial" w:cs="Arial"/>
          <w:b/>
          <w:sz w:val="26"/>
          <w:szCs w:val="26"/>
        </w:rPr>
        <w:t>27</w:t>
      </w:r>
      <w:r w:rsidR="006B6B3A" w:rsidRPr="00B52FD4">
        <w:rPr>
          <w:rFonts w:ascii="Arial" w:hAnsi="Arial" w:cs="Arial"/>
          <w:b/>
          <w:sz w:val="26"/>
          <w:szCs w:val="26"/>
        </w:rPr>
        <w:t>/201</w:t>
      </w:r>
      <w:bookmarkEnd w:id="4"/>
      <w:r w:rsidR="006B6B3A">
        <w:rPr>
          <w:rFonts w:ascii="Arial" w:hAnsi="Arial" w:cs="Arial"/>
          <w:b/>
          <w:sz w:val="26"/>
          <w:szCs w:val="26"/>
        </w:rPr>
        <w:t>6</w:t>
      </w:r>
      <w:r w:rsidR="006B6B3A" w:rsidRPr="00B52FD4">
        <w:rPr>
          <w:rFonts w:ascii="Arial" w:hAnsi="Arial" w:cs="Arial"/>
          <w:b/>
          <w:sz w:val="26"/>
          <w:szCs w:val="26"/>
        </w:rPr>
        <w:t>,</w:t>
      </w:r>
      <w:r w:rsidR="006B6B3A">
        <w:rPr>
          <w:rFonts w:ascii="Arial" w:hAnsi="Arial" w:cs="Arial"/>
          <w:sz w:val="26"/>
          <w:szCs w:val="26"/>
        </w:rPr>
        <w:t xml:space="preserve"> </w:t>
      </w:r>
      <w:r w:rsidR="006B6B3A" w:rsidRPr="00170A44">
        <w:rPr>
          <w:rFonts w:ascii="Arial" w:eastAsia="Times New Roman" w:hAnsi="Arial" w:cs="Arial"/>
          <w:sz w:val="26"/>
          <w:szCs w:val="26"/>
        </w:rPr>
        <w:t>tienen la obligación de fundar debidamente su competencia</w:t>
      </w:r>
      <w:r w:rsidR="006B6B3A">
        <w:rPr>
          <w:rFonts w:ascii="Arial" w:eastAsia="Times New Roman" w:hAnsi="Arial" w:cs="Arial"/>
          <w:sz w:val="26"/>
          <w:szCs w:val="26"/>
        </w:rPr>
        <w:t>.</w:t>
      </w:r>
    </w:p>
    <w:p w14:paraId="53833FA8" w14:textId="024B8146" w:rsidR="006B6B3A" w:rsidRPr="00C853F3" w:rsidRDefault="000C2B0F" w:rsidP="006B6B3A">
      <w:pPr>
        <w:tabs>
          <w:tab w:val="left" w:pos="0"/>
          <w:tab w:val="left" w:pos="5670"/>
        </w:tabs>
        <w:spacing w:before="240" w:after="240" w:line="360" w:lineRule="auto"/>
        <w:ind w:right="51" w:firstLine="709"/>
        <w:jc w:val="both"/>
        <w:rPr>
          <w:rFonts w:ascii="Arial" w:hAnsi="Arial" w:cs="Arial"/>
          <w:b/>
          <w:sz w:val="26"/>
          <w:szCs w:val="26"/>
        </w:rPr>
      </w:pPr>
      <w:r>
        <w:rPr>
          <w:rFonts w:ascii="Arial" w:eastAsia="Times New Roman" w:hAnsi="Arial" w:cs="Arial"/>
          <w:sz w:val="26"/>
          <w:szCs w:val="26"/>
        </w:rPr>
        <w:t xml:space="preserve">30. </w:t>
      </w:r>
      <w:r w:rsidR="006B6B3A">
        <w:rPr>
          <w:rFonts w:ascii="Arial" w:eastAsia="Times New Roman" w:hAnsi="Arial" w:cs="Arial"/>
          <w:sz w:val="26"/>
          <w:szCs w:val="26"/>
        </w:rPr>
        <w:t>Bajo esa consideración se tiene que, d</w:t>
      </w:r>
      <w:r w:rsidR="006B6B3A" w:rsidRPr="00DF5CB3">
        <w:rPr>
          <w:rFonts w:ascii="Arial" w:eastAsia="Times New Roman" w:hAnsi="Arial" w:cs="Arial"/>
          <w:sz w:val="26"/>
          <w:szCs w:val="26"/>
        </w:rPr>
        <w:t xml:space="preserve">el análisis </w:t>
      </w:r>
      <w:r w:rsidR="006B6B3A">
        <w:rPr>
          <w:rFonts w:ascii="Arial" w:eastAsia="Times New Roman" w:hAnsi="Arial" w:cs="Arial"/>
          <w:sz w:val="26"/>
          <w:szCs w:val="26"/>
        </w:rPr>
        <w:t xml:space="preserve">realizado </w:t>
      </w:r>
      <w:r w:rsidR="006B6B3A" w:rsidRPr="00DF5CB3">
        <w:rPr>
          <w:rFonts w:ascii="Arial" w:eastAsia="Times New Roman" w:hAnsi="Arial" w:cs="Arial"/>
          <w:sz w:val="26"/>
          <w:szCs w:val="26"/>
        </w:rPr>
        <w:t xml:space="preserve">a las constancias que integran el presente expediente de inconformidad, con valor probatorio pleno según lo dispuesto por el artículo 25 de la Ley de Justicia de Fiscalización y Rendición de Cuentas para el Estado de Oaxaca, por tratarse de documentos públicos, </w:t>
      </w:r>
      <w:r w:rsidR="006B6B3A" w:rsidRPr="00F00209">
        <w:rPr>
          <w:rFonts w:ascii="Arial" w:hAnsi="Arial" w:cs="Arial"/>
          <w:sz w:val="26"/>
          <w:szCs w:val="26"/>
        </w:rPr>
        <w:t>la resolución de</w:t>
      </w:r>
      <w:r w:rsidR="006B6B3A">
        <w:rPr>
          <w:rFonts w:ascii="Arial" w:hAnsi="Arial" w:cs="Arial"/>
          <w:sz w:val="26"/>
          <w:szCs w:val="26"/>
        </w:rPr>
        <w:t xml:space="preserve"> veinticuatro de octubre de dos mil veintidós</w:t>
      </w:r>
      <w:r w:rsidR="006B6B3A" w:rsidRPr="007D533E">
        <w:rPr>
          <w:rFonts w:ascii="Arial" w:hAnsi="Arial" w:cs="Arial"/>
          <w:sz w:val="26"/>
          <w:szCs w:val="26"/>
        </w:rPr>
        <w:t xml:space="preserve">, </w:t>
      </w:r>
      <w:r w:rsidR="006B6B3A">
        <w:rPr>
          <w:rFonts w:ascii="Arial" w:hAnsi="Arial" w:cs="Arial"/>
          <w:sz w:val="26"/>
          <w:szCs w:val="26"/>
        </w:rPr>
        <w:t>d</w:t>
      </w:r>
      <w:r w:rsidR="006B6B3A" w:rsidRPr="00F00209">
        <w:rPr>
          <w:rFonts w:ascii="Arial" w:hAnsi="Arial" w:cs="Arial"/>
          <w:sz w:val="26"/>
          <w:szCs w:val="26"/>
        </w:rPr>
        <w:t xml:space="preserve">ictada por el </w:t>
      </w:r>
      <w:r w:rsidR="006B6B3A" w:rsidRPr="00706240">
        <w:rPr>
          <w:rFonts w:ascii="Arial" w:hAnsi="Arial" w:cs="Arial"/>
          <w:b/>
          <w:sz w:val="26"/>
          <w:szCs w:val="26"/>
        </w:rPr>
        <w:t xml:space="preserve">LICENCIADO RENE FUENTES CRUZ, EN SUPLENCIA DEL </w:t>
      </w:r>
      <w:r w:rsidR="006B6B3A" w:rsidRPr="00F00209">
        <w:rPr>
          <w:rFonts w:ascii="Arial" w:hAnsi="Arial" w:cs="Arial"/>
          <w:b/>
          <w:sz w:val="26"/>
          <w:szCs w:val="26"/>
        </w:rPr>
        <w:t>TITULAR DEL ÓRGANO SUPERIOR DE FISCALIZACIÓN DEL ESTADO DE OAXACA</w:t>
      </w:r>
      <w:r w:rsidR="006B6B3A">
        <w:rPr>
          <w:rFonts w:ascii="Arial" w:hAnsi="Arial" w:cs="Arial"/>
          <w:b/>
          <w:sz w:val="26"/>
          <w:szCs w:val="26"/>
        </w:rPr>
        <w:t xml:space="preserve">, </w:t>
      </w:r>
      <w:r w:rsidR="006B6B3A">
        <w:rPr>
          <w:rFonts w:ascii="Arial" w:hAnsi="Arial" w:cs="Arial"/>
          <w:sz w:val="26"/>
          <w:szCs w:val="26"/>
        </w:rPr>
        <w:t>en el recurso de reconsideración</w:t>
      </w:r>
      <w:r w:rsidR="006B6B3A">
        <w:rPr>
          <w:rFonts w:ascii="Arial" w:hAnsi="Arial" w:cs="Arial"/>
          <w:b/>
          <w:sz w:val="26"/>
          <w:szCs w:val="26"/>
        </w:rPr>
        <w:t xml:space="preserve"> OSFE/REC.R./0084/2019 Y SU ACUMULADO OSFE/REC.R./0085/2019</w:t>
      </w:r>
      <w:r w:rsidR="006B6B3A" w:rsidRPr="00F00209">
        <w:rPr>
          <w:rFonts w:ascii="Arial" w:hAnsi="Arial" w:cs="Arial"/>
          <w:b/>
          <w:sz w:val="26"/>
          <w:szCs w:val="26"/>
        </w:rPr>
        <w:t>,</w:t>
      </w:r>
      <w:r w:rsidR="006B6B3A">
        <w:rPr>
          <w:rFonts w:ascii="Arial" w:hAnsi="Arial" w:cs="Arial"/>
          <w:b/>
          <w:sz w:val="26"/>
          <w:szCs w:val="26"/>
        </w:rPr>
        <w:t xml:space="preserve"> </w:t>
      </w:r>
      <w:r w:rsidR="006B6B3A" w:rsidRPr="00DF5CB3">
        <w:rPr>
          <w:rFonts w:ascii="Arial" w:eastAsia="Times New Roman" w:hAnsi="Arial" w:cs="Arial"/>
          <w:sz w:val="26"/>
          <w:szCs w:val="26"/>
        </w:rPr>
        <w:t>en la que resolvió lo siguiente:</w:t>
      </w:r>
    </w:p>
    <w:p w14:paraId="6D2E0238" w14:textId="77777777" w:rsidR="006B6B3A" w:rsidRPr="00C853F3" w:rsidRDefault="006B6B3A" w:rsidP="006B6B3A">
      <w:pPr>
        <w:tabs>
          <w:tab w:val="left" w:pos="5670"/>
        </w:tabs>
        <w:spacing w:before="240" w:after="240" w:line="360" w:lineRule="auto"/>
        <w:ind w:left="567" w:right="758"/>
        <w:jc w:val="both"/>
        <w:rPr>
          <w:rFonts w:ascii="Arial" w:eastAsia="Times New Roman" w:hAnsi="Arial" w:cs="Arial"/>
          <w:bCs/>
          <w:i/>
        </w:rPr>
      </w:pPr>
      <w:r w:rsidRPr="00CB0385">
        <w:rPr>
          <w:rFonts w:ascii="Arial" w:eastAsia="Times New Roman" w:hAnsi="Arial" w:cs="Arial"/>
          <w:b/>
          <w:i/>
        </w:rPr>
        <w:t>“PRIMERO. -</w:t>
      </w:r>
      <w:r w:rsidRPr="006852F8">
        <w:rPr>
          <w:rFonts w:ascii="Arial" w:eastAsia="Times New Roman" w:hAnsi="Arial" w:cs="Arial"/>
          <w:i/>
        </w:rPr>
        <w:t xml:space="preserve"> </w:t>
      </w:r>
      <w:r>
        <w:rPr>
          <w:rFonts w:ascii="Arial" w:eastAsia="Times New Roman" w:hAnsi="Arial" w:cs="Arial"/>
          <w:i/>
        </w:rPr>
        <w:t xml:space="preserve">Por las razones expuestas en el </w:t>
      </w:r>
      <w:r>
        <w:rPr>
          <w:rFonts w:ascii="Arial" w:eastAsia="Times New Roman" w:hAnsi="Arial" w:cs="Arial"/>
          <w:b/>
          <w:bCs/>
          <w:i/>
        </w:rPr>
        <w:t xml:space="preserve">CONSIDERANDO PRIMERO, </w:t>
      </w:r>
      <w:r>
        <w:rPr>
          <w:rFonts w:ascii="Arial" w:eastAsia="Times New Roman" w:hAnsi="Arial" w:cs="Arial"/>
          <w:bCs/>
          <w:i/>
        </w:rPr>
        <w:t xml:space="preserve">esta autoridad es competente para conocer y resolver el presente asunto. </w:t>
      </w:r>
    </w:p>
    <w:p w14:paraId="191817A8" w14:textId="101EAA1E" w:rsidR="006B6B3A" w:rsidRDefault="006B6B3A" w:rsidP="006B6B3A">
      <w:pPr>
        <w:tabs>
          <w:tab w:val="left" w:pos="5670"/>
        </w:tabs>
        <w:spacing w:before="240" w:after="240" w:line="360" w:lineRule="auto"/>
        <w:ind w:left="567" w:right="758"/>
        <w:jc w:val="both"/>
        <w:rPr>
          <w:rFonts w:ascii="Arial" w:hAnsi="Arial" w:cs="Arial"/>
          <w:i/>
          <w:szCs w:val="26"/>
        </w:rPr>
      </w:pPr>
      <w:r>
        <w:rPr>
          <w:rFonts w:ascii="Arial" w:eastAsia="Times New Roman" w:hAnsi="Arial" w:cs="Arial"/>
          <w:b/>
          <w:i/>
        </w:rPr>
        <w:t>SEGUNDO.</w:t>
      </w:r>
      <w:r>
        <w:rPr>
          <w:rFonts w:ascii="Arial" w:eastAsia="Times New Roman" w:hAnsi="Arial" w:cs="Arial"/>
          <w:i/>
        </w:rPr>
        <w:t xml:space="preserve"> – Por las razones expuestas en el </w:t>
      </w:r>
      <w:r w:rsidRPr="00C40296">
        <w:rPr>
          <w:rFonts w:ascii="Arial" w:eastAsia="Times New Roman" w:hAnsi="Arial" w:cs="Arial"/>
          <w:b/>
          <w:i/>
        </w:rPr>
        <w:t>CONSIDERANDO SEGUNDO</w:t>
      </w:r>
      <w:r>
        <w:rPr>
          <w:rFonts w:ascii="Arial" w:eastAsia="Times New Roman" w:hAnsi="Arial" w:cs="Arial"/>
          <w:i/>
        </w:rPr>
        <w:t xml:space="preserve"> de la presente resolución, se </w:t>
      </w:r>
      <w:r w:rsidRPr="00C40296">
        <w:rPr>
          <w:rFonts w:ascii="Arial" w:eastAsia="Times New Roman" w:hAnsi="Arial" w:cs="Arial"/>
          <w:b/>
          <w:i/>
        </w:rPr>
        <w:t>CONFIRMA</w:t>
      </w:r>
      <w:r>
        <w:rPr>
          <w:rFonts w:ascii="Arial" w:eastAsia="Times New Roman" w:hAnsi="Arial" w:cs="Arial"/>
          <w:i/>
        </w:rPr>
        <w:t xml:space="preserve"> en todas y cada una de sus partes la </w:t>
      </w:r>
      <w:r w:rsidRPr="00C40296">
        <w:rPr>
          <w:rFonts w:ascii="Arial" w:eastAsia="Times New Roman" w:hAnsi="Arial" w:cs="Arial"/>
          <w:b/>
          <w:i/>
        </w:rPr>
        <w:t>RESOLUCION</w:t>
      </w:r>
      <w:r>
        <w:rPr>
          <w:rFonts w:ascii="Arial" w:eastAsia="Times New Roman" w:hAnsi="Arial" w:cs="Arial"/>
          <w:i/>
        </w:rPr>
        <w:t xml:space="preserve"> de fecha siete de octubre de dos mil diecinueve, dictada dentro del expediente </w:t>
      </w:r>
      <w:r w:rsidRPr="00C853F3">
        <w:rPr>
          <w:rFonts w:ascii="Arial" w:hAnsi="Arial" w:cs="Arial"/>
          <w:b/>
          <w:i/>
          <w:szCs w:val="26"/>
        </w:rPr>
        <w:t xml:space="preserve">ASE/UAJ/P.R./027/2016, </w:t>
      </w:r>
      <w:r w:rsidRPr="00C853F3">
        <w:rPr>
          <w:rFonts w:ascii="Arial" w:hAnsi="Arial" w:cs="Arial"/>
          <w:i/>
          <w:szCs w:val="26"/>
        </w:rPr>
        <w:t>del índice de la Unidad de Asuntos Jurídicos de la entonces Auditoría Superior del Estado de Oaxaca, ahora Órgano Superior de Fiscalización del Estado de Oaxaca</w:t>
      </w:r>
      <w:r>
        <w:rPr>
          <w:rFonts w:ascii="Arial" w:hAnsi="Arial" w:cs="Arial"/>
          <w:i/>
          <w:szCs w:val="26"/>
        </w:rPr>
        <w:t>, en contra de los ciudadanos</w:t>
      </w:r>
      <w:r w:rsidR="00CB7617">
        <w:rPr>
          <w:rFonts w:ascii="Arial" w:hAnsi="Arial" w:cs="Arial"/>
          <w:b/>
          <w:i/>
          <w:szCs w:val="26"/>
        </w:rPr>
        <w:t xml:space="preserve"> </w:t>
      </w:r>
      <w:r w:rsidR="00CB7617">
        <w:rPr>
          <w:rFonts w:ascii="Arial" w:eastAsia="Times New Roman" w:hAnsi="Arial" w:cs="Arial"/>
          <w:sz w:val="26"/>
          <w:szCs w:val="26"/>
          <w:lang w:val="es-ES_tradnl" w:eastAsia="es-ES"/>
        </w:rPr>
        <w:t>************</w:t>
      </w:r>
      <w:r>
        <w:rPr>
          <w:rFonts w:ascii="Arial" w:hAnsi="Arial" w:cs="Arial"/>
          <w:i/>
          <w:szCs w:val="26"/>
        </w:rPr>
        <w:t xml:space="preserve">, quien fungió como Presidente Municipal; y </w:t>
      </w:r>
      <w:r w:rsidRPr="000A2E5B">
        <w:rPr>
          <w:rFonts w:ascii="Arial" w:hAnsi="Arial" w:cs="Arial"/>
          <w:b/>
          <w:i/>
          <w:szCs w:val="26"/>
        </w:rPr>
        <w:lastRenderedPageBreak/>
        <w:t>Roberto Pedro Martínez Cortez y/o</w:t>
      </w:r>
      <w:r w:rsidRPr="000A2E5B">
        <w:rPr>
          <w:rFonts w:ascii="Arial" w:hAnsi="Arial" w:cs="Arial"/>
          <w:b/>
          <w:szCs w:val="26"/>
        </w:rPr>
        <w:t xml:space="preserve"> </w:t>
      </w:r>
      <w:r w:rsidRPr="000A2E5B">
        <w:rPr>
          <w:rFonts w:ascii="Arial" w:hAnsi="Arial" w:cs="Arial"/>
          <w:b/>
          <w:i/>
          <w:szCs w:val="26"/>
        </w:rPr>
        <w:t>Roberto Pedro Martínez Cortes</w:t>
      </w:r>
      <w:r>
        <w:rPr>
          <w:rFonts w:ascii="Arial" w:hAnsi="Arial" w:cs="Arial"/>
          <w:i/>
          <w:szCs w:val="26"/>
        </w:rPr>
        <w:t xml:space="preserve">, quien fungió como Regidor de Hacienda, ambos del Municipio de </w:t>
      </w:r>
      <w:r w:rsidRPr="000A2E5B">
        <w:rPr>
          <w:rFonts w:ascii="Arial" w:hAnsi="Arial" w:cs="Arial"/>
          <w:b/>
          <w:i/>
          <w:szCs w:val="26"/>
        </w:rPr>
        <w:t xml:space="preserve">Santo Domingo </w:t>
      </w:r>
      <w:proofErr w:type="spellStart"/>
      <w:r w:rsidRPr="000A2E5B">
        <w:rPr>
          <w:rFonts w:ascii="Arial" w:hAnsi="Arial" w:cs="Arial"/>
          <w:b/>
          <w:i/>
          <w:szCs w:val="26"/>
        </w:rPr>
        <w:t>Tomaltepec</w:t>
      </w:r>
      <w:proofErr w:type="spellEnd"/>
      <w:r w:rsidRPr="000A2E5B">
        <w:rPr>
          <w:rFonts w:ascii="Arial" w:hAnsi="Arial" w:cs="Arial"/>
          <w:b/>
          <w:i/>
          <w:szCs w:val="26"/>
        </w:rPr>
        <w:t>, Distrito del Centro, Oaxaca</w:t>
      </w:r>
      <w:r>
        <w:rPr>
          <w:rFonts w:ascii="Arial" w:hAnsi="Arial" w:cs="Arial"/>
          <w:i/>
          <w:szCs w:val="26"/>
        </w:rPr>
        <w:t xml:space="preserve">, durante el ejercicio fiscal dos mil trece, en la cual se les condenó a título de indemnización a resarcir la cantidad de </w:t>
      </w:r>
      <w:r w:rsidRPr="000A2E5B">
        <w:rPr>
          <w:rFonts w:ascii="Arial" w:hAnsi="Arial" w:cs="Arial"/>
          <w:b/>
          <w:i/>
          <w:szCs w:val="26"/>
        </w:rPr>
        <w:t>$1,604,613.19 (UN MILLON SEISCIENTOS CUATRO MIL SEISCIENTOS TRECE PESOS 19/100 M.N.),</w:t>
      </w:r>
      <w:r>
        <w:rPr>
          <w:rFonts w:ascii="Arial" w:hAnsi="Arial" w:cs="Arial"/>
          <w:i/>
          <w:szCs w:val="26"/>
        </w:rPr>
        <w:t xml:space="preserve"> por los daños causados a la Hacienda Pública Municipal de Santa Domingo </w:t>
      </w:r>
      <w:proofErr w:type="spellStart"/>
      <w:r>
        <w:rPr>
          <w:rFonts w:ascii="Arial" w:hAnsi="Arial" w:cs="Arial"/>
          <w:i/>
          <w:szCs w:val="26"/>
        </w:rPr>
        <w:t>Tomaltepec</w:t>
      </w:r>
      <w:proofErr w:type="spellEnd"/>
      <w:r>
        <w:rPr>
          <w:rFonts w:ascii="Arial" w:hAnsi="Arial" w:cs="Arial"/>
          <w:i/>
          <w:szCs w:val="26"/>
        </w:rPr>
        <w:t xml:space="preserve">, Distrito del Centro, Oaxaca, durante el ejercicio fiscal dos mil trece.  </w:t>
      </w:r>
    </w:p>
    <w:p w14:paraId="4C503E81" w14:textId="041110AD" w:rsidR="006B6B3A" w:rsidRDefault="006B6B3A" w:rsidP="006B6B3A">
      <w:pPr>
        <w:tabs>
          <w:tab w:val="left" w:pos="5670"/>
        </w:tabs>
        <w:spacing w:before="240" w:after="240" w:line="360" w:lineRule="auto"/>
        <w:ind w:left="567" w:right="758"/>
        <w:jc w:val="both"/>
        <w:rPr>
          <w:rFonts w:ascii="Arial" w:hAnsi="Arial" w:cs="Arial"/>
          <w:i/>
          <w:szCs w:val="26"/>
        </w:rPr>
      </w:pPr>
      <w:r>
        <w:rPr>
          <w:rFonts w:ascii="Arial" w:eastAsia="Times New Roman" w:hAnsi="Arial" w:cs="Arial"/>
          <w:b/>
          <w:i/>
        </w:rPr>
        <w:t xml:space="preserve">TERCERO. </w:t>
      </w:r>
      <w:r w:rsidRPr="004B6EC1">
        <w:rPr>
          <w:rFonts w:ascii="Arial" w:eastAsia="Times New Roman" w:hAnsi="Arial" w:cs="Arial"/>
          <w:i/>
        </w:rPr>
        <w:t>Hágase del conocimiento</w:t>
      </w:r>
      <w:r>
        <w:rPr>
          <w:rFonts w:ascii="Arial" w:eastAsia="Times New Roman" w:hAnsi="Arial" w:cs="Arial"/>
          <w:b/>
          <w:i/>
        </w:rPr>
        <w:t xml:space="preserve"> </w:t>
      </w:r>
      <w:r>
        <w:rPr>
          <w:rFonts w:ascii="Arial" w:eastAsia="Times New Roman" w:hAnsi="Arial" w:cs="Arial"/>
          <w:i/>
        </w:rPr>
        <w:t>de los ciudadanos</w:t>
      </w:r>
      <w:r w:rsidR="00CB7617">
        <w:rPr>
          <w:rFonts w:ascii="Arial" w:hAnsi="Arial" w:cs="Arial"/>
          <w:b/>
          <w:i/>
          <w:szCs w:val="26"/>
        </w:rPr>
        <w:t xml:space="preserve"> </w:t>
      </w:r>
      <w:r w:rsidR="00CB7617">
        <w:rPr>
          <w:rFonts w:ascii="Arial" w:eastAsia="Times New Roman" w:hAnsi="Arial" w:cs="Arial"/>
          <w:sz w:val="26"/>
          <w:szCs w:val="26"/>
          <w:lang w:val="es-ES_tradnl" w:eastAsia="es-ES"/>
        </w:rPr>
        <w:t>************</w:t>
      </w:r>
      <w:r w:rsidRPr="000A2E5B">
        <w:rPr>
          <w:rFonts w:ascii="Arial" w:hAnsi="Arial" w:cs="Arial"/>
          <w:b/>
          <w:i/>
          <w:szCs w:val="26"/>
        </w:rPr>
        <w:t>, quien fungió como Presidente Municipal; y</w:t>
      </w:r>
      <w:r w:rsidR="00CB7617">
        <w:rPr>
          <w:rFonts w:ascii="Arial" w:hAnsi="Arial" w:cs="Arial"/>
          <w:b/>
          <w:i/>
          <w:szCs w:val="26"/>
        </w:rPr>
        <w:t xml:space="preserve"> </w:t>
      </w:r>
      <w:r w:rsidR="00CB7617">
        <w:rPr>
          <w:rFonts w:ascii="Arial" w:eastAsia="Times New Roman" w:hAnsi="Arial" w:cs="Arial"/>
          <w:sz w:val="26"/>
          <w:szCs w:val="26"/>
          <w:lang w:val="es-ES_tradnl" w:eastAsia="es-ES"/>
        </w:rPr>
        <w:t>************</w:t>
      </w:r>
      <w:r>
        <w:rPr>
          <w:rFonts w:ascii="Arial" w:hAnsi="Arial" w:cs="Arial"/>
          <w:i/>
          <w:szCs w:val="26"/>
        </w:rPr>
        <w:t xml:space="preserve">, que deberán acudir a las oficinas de recaudación de la Secretaría de Finanzas del Poder ejecutivo del Gobierno del Estado, a realizar el pago de la cantidad señalada en el resolutivo que antecede, dentro del plazo de quince días hábiles contados a partir del siguiente día en que surta efectos la notificación de esta resolución, informando inmediatamente a esta autoridad de tal circunstancia, con los documentos que acrediten el pago respectivo, conforme al artículo 22 segundo párrafo del Código Fiscal para el Estado de Oaxaca. </w:t>
      </w:r>
    </w:p>
    <w:p w14:paraId="3D7AB6BA" w14:textId="45D0D1E0" w:rsidR="006B6B3A" w:rsidRDefault="006B6B3A" w:rsidP="006B6B3A">
      <w:pPr>
        <w:tabs>
          <w:tab w:val="left" w:pos="5670"/>
        </w:tabs>
        <w:spacing w:before="240" w:after="240" w:line="360" w:lineRule="auto"/>
        <w:ind w:left="567" w:right="758"/>
        <w:jc w:val="both"/>
        <w:rPr>
          <w:rFonts w:ascii="Arial" w:hAnsi="Arial" w:cs="Arial"/>
          <w:i/>
          <w:szCs w:val="26"/>
        </w:rPr>
      </w:pPr>
      <w:r>
        <w:rPr>
          <w:rFonts w:ascii="Arial" w:eastAsia="Times New Roman" w:hAnsi="Arial" w:cs="Arial"/>
          <w:b/>
          <w:i/>
        </w:rPr>
        <w:t xml:space="preserve">CUARTO. </w:t>
      </w:r>
      <w:r w:rsidRPr="004B6EC1">
        <w:rPr>
          <w:rFonts w:ascii="Arial" w:eastAsia="Times New Roman" w:hAnsi="Arial" w:cs="Arial"/>
          <w:i/>
        </w:rPr>
        <w:t>S</w:t>
      </w:r>
      <w:r>
        <w:rPr>
          <w:rFonts w:ascii="Arial" w:eastAsia="Times New Roman" w:hAnsi="Arial" w:cs="Arial"/>
          <w:i/>
        </w:rPr>
        <w:t xml:space="preserve">e hace del conocimiento a los ciudadanos </w:t>
      </w:r>
      <w:r w:rsidR="00CB7617">
        <w:rPr>
          <w:rFonts w:ascii="Arial" w:eastAsia="Times New Roman" w:hAnsi="Arial" w:cs="Arial"/>
          <w:sz w:val="26"/>
          <w:szCs w:val="26"/>
          <w:lang w:val="es-ES_tradnl" w:eastAsia="es-ES"/>
        </w:rPr>
        <w:t>************</w:t>
      </w:r>
      <w:r w:rsidRPr="000A2E5B">
        <w:rPr>
          <w:rFonts w:ascii="Arial" w:hAnsi="Arial" w:cs="Arial"/>
          <w:b/>
          <w:i/>
          <w:szCs w:val="26"/>
        </w:rPr>
        <w:t>, quien fungió como Presidente Municipal; y</w:t>
      </w:r>
      <w:r w:rsidR="00CB7617">
        <w:rPr>
          <w:rFonts w:ascii="Arial" w:hAnsi="Arial" w:cs="Arial"/>
          <w:b/>
          <w:i/>
          <w:szCs w:val="26"/>
        </w:rPr>
        <w:t xml:space="preserve"> </w:t>
      </w:r>
      <w:r w:rsidR="00CB7617">
        <w:rPr>
          <w:rFonts w:ascii="Arial" w:eastAsia="Times New Roman" w:hAnsi="Arial" w:cs="Arial"/>
          <w:sz w:val="26"/>
          <w:szCs w:val="26"/>
          <w:lang w:val="es-ES_tradnl" w:eastAsia="es-ES"/>
        </w:rPr>
        <w:t>************</w:t>
      </w:r>
      <w:r>
        <w:rPr>
          <w:rFonts w:ascii="Arial" w:hAnsi="Arial" w:cs="Arial"/>
          <w:i/>
          <w:szCs w:val="26"/>
        </w:rPr>
        <w:t xml:space="preserve">, que de conformidad con lo establecido en el artículo 57, segundo párrafo, de la Ley de Fiscalización para el Estado de Oaxaca, en atención a lo establecido por el artículo Transitorio Tercero de la Ley de Fiscalización Superior y Rendición de Cuentas para el Estado de Oaxaca, publicada en el Periódico Oficial del Gobierno del Estado, de fecha veintiuno de septiembre de dos mil diecisiete, tienen como medio de defensa en contra de la presente Resolución el juicio de inconformidad, mismo que debe ser promovido ante el Tribunal de Justicia Administrativa del Estado de Oaxaca, dentro de los quince días hábiles posteriores a que surta efectos la notificación de la presente, de conformidad con el artículo 10 de la Ley de Justicia de Fiscalización y Rendición de Cuentas para el Estado de Oaxaca.   </w:t>
      </w:r>
    </w:p>
    <w:p w14:paraId="27C0CB93" w14:textId="1474EED0" w:rsidR="006B6B3A" w:rsidRDefault="006B6B3A" w:rsidP="006B6B3A">
      <w:pPr>
        <w:tabs>
          <w:tab w:val="left" w:pos="5670"/>
        </w:tabs>
        <w:spacing w:before="240" w:after="240" w:line="360" w:lineRule="auto"/>
        <w:ind w:left="567" w:right="758"/>
        <w:jc w:val="both"/>
        <w:rPr>
          <w:rFonts w:ascii="Arial" w:hAnsi="Arial" w:cs="Arial"/>
          <w:i/>
          <w:szCs w:val="26"/>
        </w:rPr>
      </w:pPr>
      <w:r>
        <w:rPr>
          <w:rFonts w:ascii="Arial" w:eastAsia="Times New Roman" w:hAnsi="Arial" w:cs="Arial"/>
          <w:b/>
          <w:i/>
        </w:rPr>
        <w:t xml:space="preserve">QUINTO. - </w:t>
      </w:r>
      <w:r>
        <w:rPr>
          <w:rFonts w:ascii="Arial" w:eastAsia="Times New Roman" w:hAnsi="Arial" w:cs="Arial"/>
          <w:i/>
        </w:rPr>
        <w:t>Asimismo, dígasele a los ciudadanos</w:t>
      </w:r>
      <w:r w:rsidR="00CB7617">
        <w:rPr>
          <w:rFonts w:ascii="Arial" w:hAnsi="Arial" w:cs="Arial"/>
          <w:b/>
          <w:i/>
          <w:szCs w:val="26"/>
        </w:rPr>
        <w:t xml:space="preserve"> </w:t>
      </w:r>
      <w:r w:rsidR="00CB7617">
        <w:rPr>
          <w:rFonts w:ascii="Arial" w:eastAsia="Times New Roman" w:hAnsi="Arial" w:cs="Arial"/>
          <w:sz w:val="26"/>
          <w:szCs w:val="26"/>
          <w:lang w:val="es-ES_tradnl" w:eastAsia="es-ES"/>
        </w:rPr>
        <w:t>************</w:t>
      </w:r>
      <w:r w:rsidRPr="000A2E5B">
        <w:rPr>
          <w:rFonts w:ascii="Arial" w:hAnsi="Arial" w:cs="Arial"/>
          <w:b/>
          <w:i/>
          <w:szCs w:val="26"/>
        </w:rPr>
        <w:t xml:space="preserve">, quien fungió como </w:t>
      </w:r>
      <w:proofErr w:type="gramStart"/>
      <w:r w:rsidRPr="000A2E5B">
        <w:rPr>
          <w:rFonts w:ascii="Arial" w:hAnsi="Arial" w:cs="Arial"/>
          <w:b/>
          <w:i/>
          <w:szCs w:val="26"/>
        </w:rPr>
        <w:t>Presidente</w:t>
      </w:r>
      <w:proofErr w:type="gramEnd"/>
      <w:r w:rsidRPr="000A2E5B">
        <w:rPr>
          <w:rFonts w:ascii="Arial" w:hAnsi="Arial" w:cs="Arial"/>
          <w:b/>
          <w:i/>
          <w:szCs w:val="26"/>
        </w:rPr>
        <w:t xml:space="preserve"> Municipal; y</w:t>
      </w:r>
      <w:r w:rsidR="00CB7617">
        <w:rPr>
          <w:rFonts w:ascii="Arial" w:hAnsi="Arial" w:cs="Arial"/>
          <w:b/>
          <w:i/>
          <w:szCs w:val="26"/>
        </w:rPr>
        <w:t xml:space="preserve"> </w:t>
      </w:r>
      <w:r w:rsidR="00CB7617">
        <w:rPr>
          <w:rFonts w:ascii="Arial" w:eastAsia="Times New Roman" w:hAnsi="Arial" w:cs="Arial"/>
          <w:sz w:val="26"/>
          <w:szCs w:val="26"/>
          <w:lang w:val="es-ES_tradnl" w:eastAsia="es-ES"/>
        </w:rPr>
        <w:t>************</w:t>
      </w:r>
      <w:r>
        <w:rPr>
          <w:rFonts w:ascii="Arial" w:hAnsi="Arial" w:cs="Arial"/>
          <w:i/>
          <w:szCs w:val="26"/>
        </w:rPr>
        <w:t xml:space="preserve">, en caso de no haber realizado el pago en los términos del resolutivo segundo, se ordena remitir copia certificada de la presente resolución y sus antecedentes a la Secretaría de Finanzas del Poder Ejecutivo del Estado de Oaxaca, para que en el ámbito de sus atribuciones instruya el procedimiento administrativo de ejecución. </w:t>
      </w:r>
    </w:p>
    <w:p w14:paraId="2A4E7D40" w14:textId="77777777" w:rsidR="006B6B3A" w:rsidRDefault="006B6B3A" w:rsidP="006B6B3A">
      <w:pPr>
        <w:tabs>
          <w:tab w:val="left" w:pos="5670"/>
        </w:tabs>
        <w:spacing w:before="240" w:after="240" w:line="360" w:lineRule="auto"/>
        <w:ind w:left="567" w:right="758"/>
        <w:jc w:val="both"/>
        <w:rPr>
          <w:rFonts w:ascii="Arial" w:eastAsia="Times New Roman" w:hAnsi="Arial" w:cs="Arial"/>
          <w:i/>
        </w:rPr>
      </w:pPr>
      <w:r>
        <w:rPr>
          <w:rFonts w:ascii="Arial" w:eastAsia="Times New Roman" w:hAnsi="Arial" w:cs="Arial"/>
          <w:b/>
          <w:i/>
        </w:rPr>
        <w:t xml:space="preserve">SEXTO. - </w:t>
      </w:r>
      <w:r w:rsidRPr="0021355D">
        <w:rPr>
          <w:rFonts w:ascii="Arial" w:eastAsia="Times New Roman" w:hAnsi="Arial" w:cs="Arial"/>
          <w:i/>
        </w:rPr>
        <w:t>A</w:t>
      </w:r>
      <w:r>
        <w:rPr>
          <w:rFonts w:ascii="Arial" w:eastAsia="Times New Roman" w:hAnsi="Arial" w:cs="Arial"/>
          <w:i/>
        </w:rPr>
        <w:t xml:space="preserve">gréguese un tanto de la presente resolución a los autos del expediente número </w:t>
      </w:r>
      <w:r w:rsidRPr="000A2E5B">
        <w:rPr>
          <w:rFonts w:ascii="Arial" w:eastAsia="Times New Roman" w:hAnsi="Arial" w:cs="Arial"/>
          <w:b/>
          <w:i/>
        </w:rPr>
        <w:t>ASE/UAJ/P.R./027/2016</w:t>
      </w:r>
      <w:r>
        <w:rPr>
          <w:rFonts w:ascii="Arial" w:eastAsia="Times New Roman" w:hAnsi="Arial" w:cs="Arial"/>
          <w:i/>
        </w:rPr>
        <w:t xml:space="preserve">, y devuélvase los originales a la Unidad de Asuntos Jurídicos, para los efectos legales correspondiente.  </w:t>
      </w:r>
    </w:p>
    <w:p w14:paraId="2027D898" w14:textId="77777777" w:rsidR="006B6B3A" w:rsidRDefault="006B6B3A" w:rsidP="006B6B3A">
      <w:pPr>
        <w:tabs>
          <w:tab w:val="left" w:pos="5670"/>
        </w:tabs>
        <w:spacing w:before="240" w:after="240" w:line="360" w:lineRule="auto"/>
        <w:ind w:left="567" w:right="758"/>
        <w:jc w:val="both"/>
        <w:rPr>
          <w:rFonts w:ascii="Arial" w:eastAsia="Times New Roman" w:hAnsi="Arial" w:cs="Arial"/>
          <w:i/>
        </w:rPr>
      </w:pPr>
      <w:r>
        <w:rPr>
          <w:rFonts w:ascii="Arial" w:eastAsia="Times New Roman" w:hAnsi="Arial" w:cs="Arial"/>
          <w:b/>
          <w:i/>
        </w:rPr>
        <w:lastRenderedPageBreak/>
        <w:t>SÉPTIMO.</w:t>
      </w:r>
      <w:r>
        <w:rPr>
          <w:rFonts w:ascii="Arial" w:eastAsia="Times New Roman" w:hAnsi="Arial" w:cs="Arial"/>
          <w:i/>
        </w:rPr>
        <w:t xml:space="preserve"> – NOTIFIQUESE a través de la Unidad de Asuntos Jurídicos de este Órgano Superior de Fiscalización del Estado de Oaxaca.  </w:t>
      </w:r>
    </w:p>
    <w:p w14:paraId="33ACF89D" w14:textId="77777777" w:rsidR="006B6B3A" w:rsidRDefault="006B6B3A" w:rsidP="006B6B3A">
      <w:pPr>
        <w:tabs>
          <w:tab w:val="left" w:pos="5670"/>
        </w:tabs>
        <w:spacing w:before="240" w:after="240" w:line="360" w:lineRule="auto"/>
        <w:ind w:left="567" w:right="758"/>
        <w:jc w:val="both"/>
        <w:rPr>
          <w:rFonts w:ascii="Arial" w:eastAsia="Times New Roman" w:hAnsi="Arial" w:cs="Arial"/>
          <w:i/>
        </w:rPr>
      </w:pPr>
      <w:r>
        <w:rPr>
          <w:rFonts w:ascii="Arial" w:eastAsia="Times New Roman" w:hAnsi="Arial" w:cs="Arial"/>
          <w:b/>
          <w:i/>
        </w:rPr>
        <w:t>CÚMPLASE.</w:t>
      </w:r>
      <w:r>
        <w:rPr>
          <w:rFonts w:ascii="Arial" w:eastAsia="Times New Roman" w:hAnsi="Arial" w:cs="Arial"/>
          <w:i/>
        </w:rPr>
        <w:t xml:space="preserve">  </w:t>
      </w:r>
    </w:p>
    <w:p w14:paraId="0DCA7E1F" w14:textId="77777777" w:rsidR="006B6B3A" w:rsidRDefault="006B6B3A" w:rsidP="006B6B3A">
      <w:pPr>
        <w:tabs>
          <w:tab w:val="left" w:pos="5670"/>
        </w:tabs>
        <w:spacing w:before="240" w:after="240" w:line="360" w:lineRule="auto"/>
        <w:ind w:left="567" w:right="758"/>
        <w:jc w:val="both"/>
        <w:rPr>
          <w:rFonts w:ascii="Arial" w:eastAsia="Times New Roman" w:hAnsi="Arial" w:cs="Arial"/>
          <w:i/>
        </w:rPr>
      </w:pPr>
      <w:r>
        <w:rPr>
          <w:rFonts w:ascii="Arial" w:eastAsia="Times New Roman" w:hAnsi="Arial" w:cs="Arial"/>
          <w:i/>
        </w:rPr>
        <w:t xml:space="preserve">Así lo resolvió y firma el licenciado </w:t>
      </w:r>
      <w:r w:rsidRPr="000A2E5B">
        <w:rPr>
          <w:rFonts w:ascii="Arial" w:eastAsia="Times New Roman" w:hAnsi="Arial" w:cs="Arial"/>
          <w:b/>
          <w:i/>
        </w:rPr>
        <w:t>RENE FUENTES CRUZ</w:t>
      </w:r>
      <w:r>
        <w:rPr>
          <w:rFonts w:ascii="Arial" w:eastAsia="Times New Roman" w:hAnsi="Arial" w:cs="Arial"/>
          <w:i/>
        </w:rPr>
        <w:t>, en suplencia del Titular del Órgano Superior de Fiscalización del Estado de Oaxaca, por ministerio de ley, en términos de los artículos 65 Bis de la Constitución Política del Estado Libre y Soberano de Oaxaca, 75, 80 párrafo segundo, 82 fracción V de la Ley de Fiscalización Superior y Rendición de Cuentas para</w:t>
      </w:r>
      <w:r>
        <w:rPr>
          <w:rFonts w:ascii="Arial" w:hAnsi="Arial" w:cs="Arial"/>
          <w:i/>
          <w:szCs w:val="26"/>
        </w:rPr>
        <w:t xml:space="preserve"> el Estado de Oaxaca</w:t>
      </w:r>
      <w:r>
        <w:rPr>
          <w:rFonts w:ascii="Arial" w:eastAsia="Times New Roman" w:hAnsi="Arial" w:cs="Arial"/>
          <w:i/>
        </w:rPr>
        <w:t xml:space="preserve">, 36 del Reglamento Interior del Órgano SUPERIOR DE Fiscalización del Estado de Oaxaca y segundo del decreto número 754, expedido por la LXIII Legislatura del Honorable Congreso del Estado de Oaxaca, quien actúa con la presencia de testigos de asistencia, los Licenciados en Derecho Héctor Manuel Ruiz González y Felipe Neri Casas Pérez, personal adscrito al Órgano Superior de Fiscalización del Estado de Oaxaca, quienes para constancia firman al calce. </w:t>
      </w:r>
      <w:r w:rsidRPr="000A2E5B">
        <w:rPr>
          <w:rFonts w:ascii="Arial" w:eastAsia="Times New Roman" w:hAnsi="Arial" w:cs="Arial"/>
          <w:b/>
          <w:i/>
        </w:rPr>
        <w:t>CONSTE</w:t>
      </w:r>
      <w:r>
        <w:rPr>
          <w:rFonts w:ascii="Arial" w:eastAsia="Times New Roman" w:hAnsi="Arial" w:cs="Arial"/>
          <w:i/>
        </w:rPr>
        <w:t>.”</w:t>
      </w:r>
    </w:p>
    <w:p w14:paraId="2C5531FF" w14:textId="232404B2" w:rsidR="006B6B3A" w:rsidRDefault="000C2B0F" w:rsidP="006B6B3A">
      <w:pPr>
        <w:pStyle w:val="corte4fondo"/>
        <w:tabs>
          <w:tab w:val="left" w:pos="0"/>
        </w:tabs>
        <w:spacing w:before="240"/>
        <w:ind w:right="51"/>
        <w:rPr>
          <w:bCs/>
          <w:iCs/>
          <w:kern w:val="2"/>
          <w:sz w:val="26"/>
          <w:szCs w:val="26"/>
        </w:rPr>
      </w:pPr>
      <w:r>
        <w:rPr>
          <w:bCs/>
          <w:iCs/>
          <w:kern w:val="2"/>
          <w:sz w:val="26"/>
          <w:szCs w:val="26"/>
        </w:rPr>
        <w:t xml:space="preserve">31. </w:t>
      </w:r>
      <w:r w:rsidR="006B6B3A" w:rsidRPr="00D7722A">
        <w:rPr>
          <w:bCs/>
          <w:iCs/>
          <w:kern w:val="2"/>
          <w:sz w:val="26"/>
          <w:szCs w:val="26"/>
        </w:rPr>
        <w:t>Asimismo, se advierte que</w:t>
      </w:r>
      <w:r w:rsidR="006B6B3A">
        <w:rPr>
          <w:bCs/>
          <w:iCs/>
          <w:kern w:val="2"/>
          <w:sz w:val="26"/>
          <w:szCs w:val="26"/>
        </w:rPr>
        <w:t xml:space="preserve"> en la resolución de veinticuatro de octubre de dos mil veintidós, dictada en el recurso de reconsideración </w:t>
      </w:r>
      <w:r w:rsidR="006B6B3A">
        <w:rPr>
          <w:b/>
          <w:sz w:val="26"/>
          <w:szCs w:val="26"/>
        </w:rPr>
        <w:t>OSFE/REC.R./0084/2019 y su acumulado OSFE/REC.R./0085/2019</w:t>
      </w:r>
      <w:r w:rsidR="006B6B3A">
        <w:rPr>
          <w:bCs/>
          <w:iCs/>
          <w:kern w:val="2"/>
          <w:sz w:val="26"/>
          <w:szCs w:val="26"/>
        </w:rPr>
        <w:t xml:space="preserve">, </w:t>
      </w:r>
      <w:r w:rsidR="006B6B3A" w:rsidRPr="00F00209">
        <w:rPr>
          <w:sz w:val="26"/>
          <w:szCs w:val="26"/>
        </w:rPr>
        <w:t>dictada</w:t>
      </w:r>
      <w:r w:rsidR="006B6B3A" w:rsidRPr="00124109">
        <w:rPr>
          <w:sz w:val="26"/>
          <w:szCs w:val="26"/>
        </w:rPr>
        <w:t xml:space="preserve"> </w:t>
      </w:r>
      <w:r w:rsidR="006B6B3A" w:rsidRPr="00F00209">
        <w:rPr>
          <w:sz w:val="26"/>
          <w:szCs w:val="26"/>
        </w:rPr>
        <w:t xml:space="preserve">por el </w:t>
      </w:r>
      <w:r w:rsidR="006B6B3A" w:rsidRPr="00706240">
        <w:rPr>
          <w:b/>
          <w:sz w:val="26"/>
          <w:szCs w:val="26"/>
        </w:rPr>
        <w:t xml:space="preserve">LICENCIADO RENE FUENTES CRUZ, EN SUPLENCIA DEL </w:t>
      </w:r>
      <w:r w:rsidR="006B6B3A" w:rsidRPr="00F00209">
        <w:rPr>
          <w:b/>
          <w:sz w:val="26"/>
          <w:szCs w:val="26"/>
        </w:rPr>
        <w:t>TITULAR DEL ÓRGANO SUPERIOR DE FISCALIZACIÓN DEL ESTADO DE OAXACA</w:t>
      </w:r>
      <w:r w:rsidR="006B6B3A">
        <w:rPr>
          <w:bCs/>
          <w:iCs/>
          <w:kern w:val="2"/>
          <w:sz w:val="26"/>
          <w:szCs w:val="26"/>
        </w:rPr>
        <w:t>,</w:t>
      </w:r>
      <w:r w:rsidR="006B6B3A" w:rsidRPr="00D7722A">
        <w:rPr>
          <w:bCs/>
          <w:iCs/>
          <w:kern w:val="2"/>
          <w:sz w:val="26"/>
          <w:szCs w:val="26"/>
        </w:rPr>
        <w:t xml:space="preserve"> </w:t>
      </w:r>
      <w:r w:rsidR="006B6B3A">
        <w:rPr>
          <w:b/>
          <w:sz w:val="26"/>
          <w:szCs w:val="26"/>
        </w:rPr>
        <w:t>ahora AUDITORÍA SUPERIOR DEL ESTADO DE OAXACA,</w:t>
      </w:r>
      <w:r w:rsidR="006B6B3A">
        <w:rPr>
          <w:sz w:val="26"/>
          <w:szCs w:val="26"/>
        </w:rPr>
        <w:t xml:space="preserve"> </w:t>
      </w:r>
      <w:r w:rsidR="006B6B3A" w:rsidRPr="00D7722A">
        <w:rPr>
          <w:bCs/>
          <w:iCs/>
          <w:kern w:val="2"/>
          <w:sz w:val="26"/>
          <w:szCs w:val="26"/>
        </w:rPr>
        <w:t xml:space="preserve">en la que </w:t>
      </w:r>
      <w:r w:rsidR="006B6B3A">
        <w:rPr>
          <w:bCs/>
          <w:iCs/>
          <w:kern w:val="2"/>
          <w:sz w:val="26"/>
          <w:szCs w:val="26"/>
        </w:rPr>
        <w:t xml:space="preserve">esta </w:t>
      </w:r>
      <w:r w:rsidR="006B6B3A" w:rsidRPr="00D7722A">
        <w:rPr>
          <w:bCs/>
          <w:iCs/>
          <w:kern w:val="2"/>
          <w:sz w:val="26"/>
          <w:szCs w:val="26"/>
        </w:rPr>
        <w:t xml:space="preserve">autoridad respecto a su competencia señaló lo siguiente: </w:t>
      </w:r>
    </w:p>
    <w:p w14:paraId="705D4CF2" w14:textId="64FA4FCB" w:rsidR="00263337" w:rsidRPr="00CB7617" w:rsidRDefault="006B6B3A" w:rsidP="00CB7617">
      <w:pPr>
        <w:pStyle w:val="corte4fondo"/>
        <w:tabs>
          <w:tab w:val="left" w:pos="709"/>
          <w:tab w:val="left" w:pos="5670"/>
        </w:tabs>
        <w:spacing w:before="240"/>
        <w:ind w:left="709" w:right="616"/>
        <w:rPr>
          <w:i/>
          <w:sz w:val="22"/>
          <w:szCs w:val="22"/>
          <w:lang w:val="es-MX"/>
        </w:rPr>
      </w:pPr>
      <w:r w:rsidRPr="00834D6B">
        <w:rPr>
          <w:b/>
          <w:i/>
          <w:sz w:val="22"/>
          <w:szCs w:val="22"/>
          <w:lang w:val="es-MX"/>
        </w:rPr>
        <w:t>“PRIMERO.-</w:t>
      </w:r>
      <w:r w:rsidRPr="00834D6B">
        <w:rPr>
          <w:i/>
          <w:sz w:val="22"/>
          <w:szCs w:val="22"/>
          <w:lang w:val="es-MX"/>
        </w:rPr>
        <w:t xml:space="preserve"> </w:t>
      </w:r>
      <w:r w:rsidRPr="00834D6B">
        <w:rPr>
          <w:b/>
          <w:i/>
          <w:sz w:val="22"/>
          <w:szCs w:val="22"/>
          <w:lang w:val="es-MX"/>
        </w:rPr>
        <w:t>Competencia.</w:t>
      </w:r>
      <w:r>
        <w:rPr>
          <w:b/>
          <w:i/>
          <w:sz w:val="22"/>
          <w:szCs w:val="22"/>
          <w:lang w:val="es-MX"/>
        </w:rPr>
        <w:t xml:space="preserve"> </w:t>
      </w:r>
      <w:r w:rsidRPr="00B73D06">
        <w:rPr>
          <w:i/>
          <w:sz w:val="22"/>
          <w:szCs w:val="22"/>
          <w:lang w:val="es-MX"/>
        </w:rPr>
        <w:t xml:space="preserve">Que </w:t>
      </w:r>
      <w:r>
        <w:rPr>
          <w:i/>
          <w:sz w:val="22"/>
          <w:szCs w:val="22"/>
          <w:lang w:val="es-MX"/>
        </w:rPr>
        <w:t>el ó</w:t>
      </w:r>
      <w:r w:rsidRPr="00C40296">
        <w:rPr>
          <w:i/>
          <w:sz w:val="22"/>
          <w:szCs w:val="22"/>
          <w:lang w:val="es-MX"/>
        </w:rPr>
        <w:t xml:space="preserve">rgano Superior de Fiscalización del Estado de Oaxaca, creado mediante Decreto 695, publicado en el Periódico Oficial de Gobierno del Estado de Oaxaca, el día veintiuno de septiembre de dos mil diecisiete, que se instaló y entró en funciones conforme al Decreto número 754, expedido por la LXIII Legislatura del Honorable Congreso del Estado de Oaxaca, publicado en el Periódico Oficial del Gobierno del Estado de Oaxaca el once de noviembre de dos mil diecisiete, recibido de la extinta Auditoría Superior del Estado de Oaxaca, el expediente número ASE/UAJ/P.R./027/2016 como asunto en trámite, mismo que una vez resuelto, dio origen a los Recursos de Reconsideración, radicados bajo los números de expediente OSFE/REC.R./0084/2019 y OSFE/REC.R./0085/2019; en ese contexto, el artículo Tercero Transitorio de la Ley de Fiscalización Superior y Rendición de Cuentas para el Estado de Oaxaca, publicada en el Periódico Oficial del Gobierno del Estado de Oaxaca, de fecha veintiuno de septiembre de dos mil diecisiete, mediante Decreto 699, la cual reglamenta las atribuciones y facultades del Órgano Superior de Fiscalización del Estado de Oaxaca, establece que los procedimientos </w:t>
      </w:r>
      <w:r w:rsidRPr="00C40296">
        <w:rPr>
          <w:i/>
          <w:sz w:val="22"/>
          <w:szCs w:val="22"/>
          <w:lang w:val="es-MX"/>
        </w:rPr>
        <w:lastRenderedPageBreak/>
        <w:t xml:space="preserve">administrativos iniciados con anterioridad a la entrada en vigor de la Ley de Fiscalización Superior y Rendición de Cuentas para el Estado de Oaxaca, que se encuentren en trámite o pendientes de resolución, se concluirán en términos de la Ley de Fiscalización Superior para el Estado de Oaxaca, misma que en sus artículos 57 párrafo primero, 58 fracción I, 63 fracción IX y Sexto Transitorio, establecía la procedencia del Recurso de Reconsideración y facultaba al Auditor Superior del Estado de Oaxaca para su instrucción y resolución, en ese tenor, tomando en consideración que el artículo 82 fracción XXXII de la Ley de Fiscalización Superior y Rendición de Cuentas para el Estado de Oaxaca, faculta al Titular del Órgano Superior de Fiscalización del Estado de Oaxaca, para ejercer las demás disposiciones legales aplicables, como lo es la Ley de Fiscalización Superior para el Estado de Oaxaca, en lo relativo al presente Recurso de Reconsideración por encontrarse en trámite y pendiente de resolución a la entrada en vigor de la Ley de Fiscalización Superior y Rendición de Cuentas para el Estado de Oaxaca, en estricto cumplimiento al referido artículo tercero transitorio, el Órgano Superior de Fiscalización del Estado de Oaxaca, es competente para resolver el Recurso de Reconsideración, por conducto del Sub Auditor a Cargo de la Fiscalización de la Cuenta Pública Estatal, en suplencia del Titular del Órgano Superior de Fiscalización del Estado de Oaxaca por ministerio de ley, en términos de los artículos 65 bis de la Constitución Política del Estado Libre y Soberano de Oaxaca, 75, 80, párrafo segundo, 82 fracción V de la Ley de Fiscalización Superior y Rendición de Cuentas para el Estado de Oaxaca, 36 del Reglamento Interior del Órgano Superior de Fiscalización del Estado de Oaxaca y Segundo del Decreto número 754 expedido por la LXIII Legislatura del Honorable Congreso del Estado de Oaxaca, los cuales prevén que en caso de ausencia definitiva del Titular </w:t>
      </w:r>
      <w:r w:rsidRPr="002B4C1E">
        <w:rPr>
          <w:i/>
          <w:sz w:val="22"/>
          <w:szCs w:val="22"/>
          <w:lang w:val="es-MX"/>
        </w:rPr>
        <w:t>se aplicará el orden de suplencia conforme al Decreto Número 754.</w:t>
      </w:r>
      <w:r>
        <w:rPr>
          <w:i/>
          <w:sz w:val="22"/>
          <w:szCs w:val="22"/>
          <w:lang w:val="es-MX"/>
        </w:rPr>
        <w:t xml:space="preserve"> </w:t>
      </w:r>
    </w:p>
    <w:p w14:paraId="4A47B8E9" w14:textId="77777777" w:rsidR="000C2B0F" w:rsidRDefault="000C2B0F" w:rsidP="006B6B3A">
      <w:pPr>
        <w:spacing w:before="240" w:after="0" w:line="360" w:lineRule="auto"/>
        <w:ind w:right="51" w:firstLine="709"/>
        <w:jc w:val="both"/>
        <w:rPr>
          <w:rFonts w:ascii="Arial" w:eastAsia="Calibri" w:hAnsi="Arial" w:cs="Arial"/>
          <w:sz w:val="26"/>
          <w:szCs w:val="26"/>
        </w:rPr>
      </w:pPr>
      <w:r>
        <w:rPr>
          <w:rFonts w:ascii="Arial" w:eastAsia="Calibri" w:hAnsi="Arial" w:cs="Arial"/>
          <w:sz w:val="26"/>
          <w:szCs w:val="26"/>
        </w:rPr>
        <w:t xml:space="preserve">32. </w:t>
      </w:r>
      <w:r w:rsidR="006B6B3A" w:rsidRPr="00700CE4">
        <w:rPr>
          <w:rFonts w:ascii="Arial" w:eastAsia="Calibri" w:hAnsi="Arial" w:cs="Arial"/>
          <w:sz w:val="26"/>
          <w:szCs w:val="26"/>
        </w:rPr>
        <w:t xml:space="preserve">De las transcripciones precedentes, esta Sala Superior advierte que </w:t>
      </w:r>
      <w:r w:rsidR="006B6B3A" w:rsidRPr="00700CE4">
        <w:rPr>
          <w:rFonts w:ascii="Arial" w:hAnsi="Arial" w:cs="Arial"/>
          <w:sz w:val="26"/>
          <w:szCs w:val="26"/>
        </w:rPr>
        <w:t xml:space="preserve">el Licenciado </w:t>
      </w:r>
      <w:r w:rsidR="006B6B3A" w:rsidRPr="00700CE4">
        <w:rPr>
          <w:rFonts w:ascii="Arial" w:hAnsi="Arial" w:cs="Arial"/>
          <w:b/>
          <w:sz w:val="26"/>
          <w:szCs w:val="26"/>
        </w:rPr>
        <w:t>RENÉ FUENTES CRUZ</w:t>
      </w:r>
      <w:r w:rsidR="006B6B3A" w:rsidRPr="00700CE4">
        <w:rPr>
          <w:rFonts w:ascii="Arial" w:eastAsia="Calibri" w:hAnsi="Arial" w:cs="Arial"/>
          <w:sz w:val="26"/>
          <w:szCs w:val="26"/>
        </w:rPr>
        <w:t xml:space="preserve">, </w:t>
      </w:r>
      <w:r w:rsidR="006B6B3A" w:rsidRPr="00700CE4">
        <w:rPr>
          <w:rFonts w:ascii="Arial" w:eastAsia="Times New Roman" w:hAnsi="Arial" w:cs="Arial"/>
          <w:sz w:val="26"/>
          <w:szCs w:val="26"/>
        </w:rPr>
        <w:t>emitió la resolución impugnada en</w:t>
      </w:r>
      <w:r w:rsidR="006B6B3A" w:rsidRPr="00700CE4">
        <w:rPr>
          <w:rFonts w:ascii="Arial" w:eastAsia="Times New Roman" w:hAnsi="Arial" w:cs="Arial"/>
          <w:b/>
          <w:sz w:val="26"/>
          <w:szCs w:val="26"/>
        </w:rPr>
        <w:t xml:space="preserve"> SUPLENCIA DEL</w:t>
      </w:r>
      <w:r w:rsidR="006B6B3A" w:rsidRPr="00700CE4">
        <w:rPr>
          <w:rFonts w:ascii="Arial" w:eastAsia="Times New Roman" w:hAnsi="Arial" w:cs="Arial"/>
          <w:sz w:val="26"/>
          <w:szCs w:val="26"/>
        </w:rPr>
        <w:t xml:space="preserve"> </w:t>
      </w:r>
      <w:r w:rsidR="006B6B3A" w:rsidRPr="00700CE4">
        <w:rPr>
          <w:rFonts w:ascii="Arial" w:eastAsia="Times New Roman" w:hAnsi="Arial" w:cs="Arial"/>
          <w:b/>
          <w:sz w:val="26"/>
          <w:szCs w:val="26"/>
        </w:rPr>
        <w:t xml:space="preserve">TITULAR DEL ÓRGANO SUPERIOR DE FISCALIZACIÓN DEL ESTADO DE OAXACA, </w:t>
      </w:r>
      <w:r w:rsidR="006B6B3A" w:rsidRPr="00700CE4">
        <w:rPr>
          <w:rFonts w:ascii="Arial" w:eastAsia="Calibri" w:hAnsi="Arial" w:cs="Arial"/>
          <w:sz w:val="26"/>
          <w:szCs w:val="26"/>
        </w:rPr>
        <w:t>sin embargo, contravino las garantías de legalidad y seguridad jurídica previstas en los artículos 14 y 16 de la Constitución Federal y 17 fracción V de la Ley de Procedimiento, porque dejó de cumplir con las formalidades esenciales que le dan eficacia jur</w:t>
      </w:r>
      <w:r>
        <w:rPr>
          <w:rFonts w:ascii="Arial" w:eastAsia="Calibri" w:hAnsi="Arial" w:cs="Arial"/>
          <w:sz w:val="26"/>
          <w:szCs w:val="26"/>
        </w:rPr>
        <w:t>ídica a todo acto de autoridad.</w:t>
      </w:r>
    </w:p>
    <w:p w14:paraId="6ABDED2F" w14:textId="3A0784C6" w:rsidR="000C2B0F" w:rsidRDefault="000C2B0F" w:rsidP="006B6B3A">
      <w:pPr>
        <w:spacing w:before="240" w:after="0" w:line="360" w:lineRule="auto"/>
        <w:ind w:right="51" w:firstLine="709"/>
        <w:jc w:val="both"/>
        <w:rPr>
          <w:rFonts w:ascii="Arial" w:eastAsia="Times New Roman" w:hAnsi="Arial" w:cs="Arial"/>
          <w:sz w:val="26"/>
          <w:szCs w:val="26"/>
        </w:rPr>
      </w:pPr>
      <w:r>
        <w:rPr>
          <w:rFonts w:ascii="Arial" w:eastAsia="Calibri" w:hAnsi="Arial" w:cs="Arial"/>
          <w:sz w:val="26"/>
          <w:szCs w:val="26"/>
        </w:rPr>
        <w:t>33. Y</w:t>
      </w:r>
      <w:r w:rsidR="006B6B3A" w:rsidRPr="00700CE4">
        <w:rPr>
          <w:rFonts w:ascii="Arial" w:eastAsia="Calibri" w:hAnsi="Arial" w:cs="Arial"/>
          <w:sz w:val="26"/>
          <w:szCs w:val="26"/>
        </w:rPr>
        <w:t xml:space="preserve">a que si bien es cierto que en la resolución </w:t>
      </w:r>
      <w:r w:rsidR="006B6B3A" w:rsidRPr="00700CE4">
        <w:rPr>
          <w:rFonts w:ascii="Arial" w:hAnsi="Arial" w:cs="Arial"/>
          <w:sz w:val="26"/>
          <w:szCs w:val="26"/>
        </w:rPr>
        <w:t>de</w:t>
      </w:r>
      <w:r w:rsidR="006B6B3A" w:rsidRPr="00EE72A4">
        <w:rPr>
          <w:rFonts w:ascii="Arial" w:hAnsi="Arial" w:cs="Arial"/>
          <w:sz w:val="26"/>
          <w:szCs w:val="26"/>
        </w:rPr>
        <w:t xml:space="preserve"> veinticuatro de octubre de dos mil veintidós, dictada en el recurso de reconsideración</w:t>
      </w:r>
      <w:r w:rsidR="006B6B3A">
        <w:rPr>
          <w:rFonts w:ascii="Arial" w:hAnsi="Arial" w:cs="Arial"/>
          <w:sz w:val="26"/>
          <w:szCs w:val="26"/>
        </w:rPr>
        <w:t xml:space="preserve"> </w:t>
      </w:r>
      <w:r w:rsidR="006B6B3A" w:rsidRPr="00EE72A4">
        <w:rPr>
          <w:rFonts w:ascii="Arial" w:hAnsi="Arial" w:cs="Arial"/>
          <w:b/>
          <w:sz w:val="26"/>
          <w:szCs w:val="26"/>
        </w:rPr>
        <w:t>OSFE/REC.R./0084/2019</w:t>
      </w:r>
      <w:r w:rsidR="006B6B3A" w:rsidRPr="003A1001">
        <w:rPr>
          <w:rFonts w:ascii="Arial" w:hAnsi="Arial" w:cs="Arial"/>
          <w:sz w:val="26"/>
          <w:szCs w:val="26"/>
        </w:rPr>
        <w:t xml:space="preserve"> y su acumulado </w:t>
      </w:r>
      <w:r w:rsidR="006B6B3A" w:rsidRPr="00EE72A4">
        <w:rPr>
          <w:rFonts w:ascii="Arial" w:hAnsi="Arial" w:cs="Arial"/>
          <w:b/>
          <w:sz w:val="26"/>
          <w:szCs w:val="26"/>
        </w:rPr>
        <w:t>OSFE/REC.R./0085/2019</w:t>
      </w:r>
      <w:r w:rsidR="006B6B3A" w:rsidRPr="003A1001">
        <w:rPr>
          <w:rFonts w:ascii="Arial" w:hAnsi="Arial" w:cs="Arial"/>
          <w:sz w:val="26"/>
          <w:szCs w:val="26"/>
        </w:rPr>
        <w:t xml:space="preserve">, dictada </w:t>
      </w:r>
      <w:r w:rsidR="006B6B3A" w:rsidRPr="003A1001">
        <w:rPr>
          <w:rFonts w:ascii="Arial" w:hAnsi="Arial" w:cs="Arial"/>
          <w:sz w:val="26"/>
          <w:szCs w:val="26"/>
        </w:rPr>
        <w:lastRenderedPageBreak/>
        <w:t xml:space="preserve">por el </w:t>
      </w:r>
      <w:r w:rsidR="006B6B3A" w:rsidRPr="00EE72A4">
        <w:rPr>
          <w:rFonts w:ascii="Arial" w:hAnsi="Arial" w:cs="Arial"/>
          <w:b/>
          <w:sz w:val="26"/>
          <w:szCs w:val="26"/>
        </w:rPr>
        <w:t>LICENCIADO RENE FUENTES CRUZ, EN SUPLENCIA DEL TITULAR DEL ÓRGANO SUPERIOR DE FISCALIZACIÓN DEL ESTADO DE OAXACA,</w:t>
      </w:r>
      <w:r w:rsidR="006B6B3A">
        <w:rPr>
          <w:rFonts w:ascii="Arial" w:hAnsi="Arial" w:cs="Arial"/>
          <w:b/>
          <w:sz w:val="26"/>
          <w:szCs w:val="26"/>
        </w:rPr>
        <w:t xml:space="preserve"> </w:t>
      </w:r>
      <w:r w:rsidR="006B6B3A" w:rsidRPr="00700CE4">
        <w:rPr>
          <w:rFonts w:ascii="Arial" w:eastAsia="Times New Roman" w:hAnsi="Arial" w:cs="Arial"/>
          <w:sz w:val="26"/>
          <w:szCs w:val="26"/>
        </w:rPr>
        <w:t>el</w:t>
      </w:r>
      <w:r w:rsidR="006B6B3A" w:rsidRPr="00700CE4">
        <w:rPr>
          <w:rFonts w:ascii="Arial" w:eastAsia="Times New Roman" w:hAnsi="Arial" w:cs="Arial"/>
          <w:b/>
          <w:sz w:val="26"/>
          <w:szCs w:val="26"/>
        </w:rPr>
        <w:t xml:space="preserve"> SUB AUDITOR A CARGO DE LA FISCALIZACIÓN DE LA CUENTA PÚBLICA ESTATAL, </w:t>
      </w:r>
      <w:r w:rsidR="006B6B3A" w:rsidRPr="00700CE4">
        <w:rPr>
          <w:rFonts w:ascii="Arial" w:eastAsia="Times New Roman" w:hAnsi="Arial" w:cs="Arial"/>
          <w:sz w:val="26"/>
          <w:szCs w:val="26"/>
        </w:rPr>
        <w:t>invocó</w:t>
      </w:r>
      <w:r w:rsidR="006B6B3A" w:rsidRPr="00700CE4">
        <w:rPr>
          <w:rFonts w:ascii="Arial" w:eastAsia="Calibri" w:hAnsi="Arial" w:cs="Arial"/>
          <w:sz w:val="26"/>
          <w:szCs w:val="26"/>
        </w:rPr>
        <w:t xml:space="preserve"> de manera genérica</w:t>
      </w:r>
      <w:r w:rsidR="006B6B3A" w:rsidRPr="00700CE4">
        <w:rPr>
          <w:rFonts w:ascii="Arial" w:eastAsia="Times New Roman" w:hAnsi="Arial" w:cs="Arial"/>
          <w:b/>
          <w:sz w:val="26"/>
          <w:szCs w:val="26"/>
        </w:rPr>
        <w:t xml:space="preserve"> </w:t>
      </w:r>
      <w:r w:rsidR="006B6B3A" w:rsidRPr="00700CE4">
        <w:rPr>
          <w:rFonts w:ascii="Arial" w:eastAsia="Times New Roman" w:hAnsi="Arial" w:cs="Arial"/>
          <w:sz w:val="26"/>
          <w:szCs w:val="26"/>
        </w:rPr>
        <w:t xml:space="preserve">los artículos 65 bis de la Constitución </w:t>
      </w:r>
      <w:r>
        <w:rPr>
          <w:rFonts w:ascii="Arial" w:eastAsia="Times New Roman" w:hAnsi="Arial" w:cs="Arial"/>
          <w:sz w:val="26"/>
          <w:szCs w:val="26"/>
        </w:rPr>
        <w:t>Local</w:t>
      </w:r>
      <w:r w:rsidR="006B6B3A" w:rsidRPr="00700CE4">
        <w:rPr>
          <w:rFonts w:ascii="Arial" w:eastAsia="Times New Roman" w:hAnsi="Arial" w:cs="Arial"/>
          <w:sz w:val="26"/>
          <w:szCs w:val="26"/>
        </w:rPr>
        <w:t xml:space="preserve">, 75, 80, párrafo segundo y 82 fracción V de la Ley de Fiscalización </w:t>
      </w:r>
      <w:r>
        <w:rPr>
          <w:rFonts w:ascii="Arial" w:eastAsia="Times New Roman" w:hAnsi="Arial" w:cs="Arial"/>
          <w:sz w:val="26"/>
          <w:szCs w:val="26"/>
        </w:rPr>
        <w:t>2017</w:t>
      </w:r>
      <w:r w:rsidR="006B6B3A" w:rsidRPr="00700CE4">
        <w:rPr>
          <w:rFonts w:ascii="Arial" w:eastAsia="Times New Roman" w:hAnsi="Arial" w:cs="Arial"/>
          <w:sz w:val="26"/>
          <w:szCs w:val="26"/>
        </w:rPr>
        <w:t xml:space="preserve">, 36 del Reglamento </w:t>
      </w:r>
      <w:r w:rsidR="008D6F9A">
        <w:rPr>
          <w:rFonts w:ascii="Arial" w:eastAsia="Times New Roman" w:hAnsi="Arial" w:cs="Arial"/>
          <w:sz w:val="26"/>
          <w:szCs w:val="26"/>
        </w:rPr>
        <w:t xml:space="preserve">OSFE </w:t>
      </w:r>
      <w:r w:rsidR="006B6B3A" w:rsidRPr="00700CE4">
        <w:rPr>
          <w:rFonts w:ascii="Arial" w:eastAsia="Times New Roman" w:hAnsi="Arial" w:cs="Arial"/>
          <w:sz w:val="26"/>
          <w:szCs w:val="26"/>
        </w:rPr>
        <w:t xml:space="preserve">y Segundo del Decreto número 754 expedido por la LXIII Legislatura del Honorable Congreso del Estado de Oaxaca, para sustentar las atribuciones ejercidas en suplencia por ausencia del </w:t>
      </w:r>
      <w:r w:rsidR="006B6B3A" w:rsidRPr="00700CE4">
        <w:rPr>
          <w:rFonts w:ascii="Arial" w:eastAsia="Times New Roman" w:hAnsi="Arial" w:cs="Arial"/>
          <w:b/>
          <w:sz w:val="26"/>
          <w:szCs w:val="26"/>
        </w:rPr>
        <w:t xml:space="preserve">TITULAR DEL ÓRGANO SUPERIOR DE FISCALIZACIÓN DEL ESTADO DE OAXACA, </w:t>
      </w:r>
      <w:r w:rsidR="006B6B3A" w:rsidRPr="00700CE4">
        <w:rPr>
          <w:rFonts w:ascii="Arial" w:eastAsia="Times New Roman" w:hAnsi="Arial" w:cs="Arial"/>
          <w:sz w:val="26"/>
          <w:szCs w:val="26"/>
        </w:rPr>
        <w:t xml:space="preserve">para emitir una resolución recaída </w:t>
      </w:r>
      <w:r>
        <w:rPr>
          <w:rFonts w:ascii="Arial" w:eastAsia="Times New Roman" w:hAnsi="Arial" w:cs="Arial"/>
          <w:sz w:val="26"/>
          <w:szCs w:val="26"/>
        </w:rPr>
        <w:t>a un recurso de reconsideración.</w:t>
      </w:r>
    </w:p>
    <w:p w14:paraId="353E0167" w14:textId="708354B4" w:rsidR="006B6B3A" w:rsidRPr="00700CE4" w:rsidRDefault="000C2B0F" w:rsidP="006B6B3A">
      <w:pPr>
        <w:spacing w:before="240" w:after="0" w:line="360" w:lineRule="auto"/>
        <w:ind w:right="51" w:firstLine="709"/>
        <w:jc w:val="both"/>
        <w:rPr>
          <w:rFonts w:ascii="Arial" w:eastAsia="Times New Roman" w:hAnsi="Arial" w:cs="Arial"/>
          <w:sz w:val="26"/>
          <w:szCs w:val="26"/>
        </w:rPr>
      </w:pPr>
      <w:r>
        <w:rPr>
          <w:rFonts w:ascii="Arial" w:eastAsia="Times New Roman" w:hAnsi="Arial" w:cs="Arial"/>
          <w:sz w:val="26"/>
          <w:szCs w:val="26"/>
        </w:rPr>
        <w:t>34.</w:t>
      </w:r>
      <w:r w:rsidR="006B6B3A" w:rsidRPr="00700CE4">
        <w:rPr>
          <w:rFonts w:ascii="Arial" w:eastAsia="Times New Roman" w:hAnsi="Arial" w:cs="Arial"/>
          <w:sz w:val="26"/>
          <w:szCs w:val="26"/>
        </w:rPr>
        <w:t xml:space="preserve"> </w:t>
      </w:r>
      <w:r>
        <w:rPr>
          <w:rFonts w:ascii="Arial" w:eastAsia="Times New Roman" w:hAnsi="Arial" w:cs="Arial"/>
          <w:sz w:val="26"/>
          <w:szCs w:val="26"/>
        </w:rPr>
        <w:t>T</w:t>
      </w:r>
      <w:proofErr w:type="spellStart"/>
      <w:r w:rsidR="006B6B3A" w:rsidRPr="002B4C1E">
        <w:rPr>
          <w:rFonts w:ascii="Arial" w:eastAsia="Calibri" w:hAnsi="Arial" w:cs="Arial"/>
          <w:iCs/>
          <w:sz w:val="26"/>
          <w:szCs w:val="26"/>
          <w:lang w:val="es-ES_tradnl"/>
        </w:rPr>
        <w:t>ambién</w:t>
      </w:r>
      <w:proofErr w:type="spellEnd"/>
      <w:r w:rsidR="006B6B3A" w:rsidRPr="002B4C1E">
        <w:rPr>
          <w:rFonts w:ascii="Arial" w:eastAsia="Calibri" w:hAnsi="Arial" w:cs="Arial"/>
          <w:iCs/>
          <w:sz w:val="26"/>
          <w:szCs w:val="26"/>
          <w:lang w:val="es-ES_tradnl"/>
        </w:rPr>
        <w:t xml:space="preserve"> es cierto que dicho funcionario omitió precisar el cargo que desempeñaba dentro de la estructura de la dependencia emisora del acto, aunado a que pasó por alto indicar con exactitud y precisión cuál era el artículo, </w:t>
      </w:r>
      <w:r w:rsidR="006B6B3A" w:rsidRPr="002B4C1E">
        <w:rPr>
          <w:rFonts w:ascii="Arial" w:eastAsia="Times New Roman" w:hAnsi="Arial" w:cs="Arial"/>
          <w:sz w:val="26"/>
          <w:szCs w:val="26"/>
          <w:shd w:val="clear" w:color="auto" w:fill="FFFFFF"/>
        </w:rPr>
        <w:t xml:space="preserve">el apartado, la fracción o fracciones, incisos y </w:t>
      </w:r>
      <w:proofErr w:type="spellStart"/>
      <w:r w:rsidR="006B6B3A" w:rsidRPr="002B4C1E">
        <w:rPr>
          <w:rFonts w:ascii="Arial" w:eastAsia="Times New Roman" w:hAnsi="Arial" w:cs="Arial"/>
          <w:sz w:val="26"/>
          <w:szCs w:val="26"/>
          <w:shd w:val="clear" w:color="auto" w:fill="FFFFFF"/>
        </w:rPr>
        <w:t>subincisos</w:t>
      </w:r>
      <w:proofErr w:type="spellEnd"/>
      <w:r w:rsidR="006B6B3A" w:rsidRPr="002B4C1E">
        <w:rPr>
          <w:rFonts w:ascii="Arial" w:eastAsia="Times New Roman" w:hAnsi="Arial" w:cs="Arial"/>
          <w:sz w:val="26"/>
          <w:szCs w:val="26"/>
          <w:shd w:val="clear" w:color="auto" w:fill="FFFFFF"/>
        </w:rPr>
        <w:t>,</w:t>
      </w:r>
      <w:r w:rsidR="006B6B3A" w:rsidRPr="00700CE4">
        <w:rPr>
          <w:rFonts w:ascii="Arial" w:eastAsia="Times New Roman" w:hAnsi="Arial" w:cs="Arial"/>
          <w:sz w:val="26"/>
          <w:szCs w:val="26"/>
          <w:shd w:val="clear" w:color="auto" w:fill="FFFFFF"/>
        </w:rPr>
        <w:t xml:space="preserve"> que le permite asumir temporalmente esa facultad propia del </w:t>
      </w:r>
      <w:r w:rsidR="006B6B3A" w:rsidRPr="00700CE4">
        <w:rPr>
          <w:rFonts w:ascii="Arial" w:eastAsia="Times New Roman" w:hAnsi="Arial" w:cs="Arial"/>
          <w:b/>
          <w:sz w:val="26"/>
          <w:szCs w:val="26"/>
        </w:rPr>
        <w:t xml:space="preserve">TITULAR DEL ÓRGANO SUPERIOR DE FISCALIZACIÓN DEL ESTADO DE OAXACA </w:t>
      </w:r>
      <w:r w:rsidR="006B6B3A" w:rsidRPr="00700CE4">
        <w:rPr>
          <w:rFonts w:ascii="Arial" w:eastAsia="Times New Roman" w:hAnsi="Arial" w:cs="Arial"/>
          <w:sz w:val="26"/>
          <w:szCs w:val="26"/>
        </w:rPr>
        <w:t xml:space="preserve">a falta de éste, para resolver el recurso de reconsideración </w:t>
      </w:r>
      <w:r w:rsidR="006B6B3A" w:rsidRPr="00EE72A4">
        <w:rPr>
          <w:rFonts w:ascii="Arial" w:hAnsi="Arial" w:cs="Arial"/>
          <w:b/>
          <w:sz w:val="26"/>
          <w:szCs w:val="26"/>
        </w:rPr>
        <w:t>OSFE/REC.R./0084/2019</w:t>
      </w:r>
      <w:r w:rsidR="006B6B3A" w:rsidRPr="003A1001">
        <w:rPr>
          <w:rFonts w:ascii="Arial" w:hAnsi="Arial" w:cs="Arial"/>
          <w:sz w:val="26"/>
          <w:szCs w:val="26"/>
        </w:rPr>
        <w:t xml:space="preserve"> y su acumulado </w:t>
      </w:r>
      <w:r w:rsidR="006B6B3A" w:rsidRPr="00EE72A4">
        <w:rPr>
          <w:rFonts w:ascii="Arial" w:hAnsi="Arial" w:cs="Arial"/>
          <w:b/>
          <w:sz w:val="26"/>
          <w:szCs w:val="26"/>
        </w:rPr>
        <w:t>OSFE/REC.R./0085/2019</w:t>
      </w:r>
      <w:r w:rsidR="006B6B3A" w:rsidRPr="003A1001">
        <w:rPr>
          <w:rFonts w:ascii="Arial" w:hAnsi="Arial" w:cs="Arial"/>
          <w:sz w:val="26"/>
          <w:szCs w:val="26"/>
        </w:rPr>
        <w:t>,</w:t>
      </w:r>
      <w:r w:rsidR="006B6B3A">
        <w:rPr>
          <w:rFonts w:ascii="Arial" w:hAnsi="Arial" w:cs="Arial"/>
          <w:sz w:val="26"/>
          <w:szCs w:val="26"/>
        </w:rPr>
        <w:t xml:space="preserve"> </w:t>
      </w:r>
      <w:r w:rsidR="006B6B3A" w:rsidRPr="009A5139">
        <w:rPr>
          <w:rFonts w:ascii="Arial" w:eastAsia="Times New Roman" w:hAnsi="Arial" w:cs="Arial"/>
          <w:sz w:val="26"/>
          <w:szCs w:val="26"/>
        </w:rPr>
        <w:t>omisión que</w:t>
      </w:r>
      <w:r w:rsidR="006B6B3A" w:rsidRPr="009A5139">
        <w:rPr>
          <w:rFonts w:ascii="Arial" w:eastAsia="Times New Roman" w:hAnsi="Arial" w:cs="Arial"/>
          <w:sz w:val="26"/>
          <w:szCs w:val="26"/>
          <w:shd w:val="clear" w:color="auto" w:fill="FFFFFF"/>
        </w:rPr>
        <w:t xml:space="preserve"> dejó en estado de indefensión al afectado, y</w:t>
      </w:r>
      <w:r w:rsidR="006B6B3A" w:rsidRPr="009A5139">
        <w:rPr>
          <w:rFonts w:ascii="Arial" w:eastAsia="Times New Roman" w:hAnsi="Arial" w:cs="Arial"/>
          <w:sz w:val="26"/>
          <w:szCs w:val="26"/>
        </w:rPr>
        <w:t>a que al desconocer éste el cargo que ostentaba el servidor público que firmó el acto impugnado, no está en condiciones de corroborar si los preceptos legales en los que se sustenta la resolución controvertida, permiten a ese servidor público emitir dicho fallo, con lo que evidentemente se le priva de la oportunidad de examinar si esa actuación se encuentra o no dentro del ámbito competencial respectivo, y si es conforme o no a la Constitución y a las leyes aplicables.</w:t>
      </w:r>
    </w:p>
    <w:p w14:paraId="26C8A7D5" w14:textId="5BA24314" w:rsidR="006B6B3A" w:rsidRPr="00700CE4" w:rsidRDefault="008D6F9A" w:rsidP="006B6B3A">
      <w:pPr>
        <w:tabs>
          <w:tab w:val="left" w:pos="0"/>
        </w:tabs>
        <w:spacing w:before="240" w:after="0" w:line="360" w:lineRule="auto"/>
        <w:ind w:right="51" w:firstLine="709"/>
        <w:jc w:val="both"/>
        <w:rPr>
          <w:rFonts w:ascii="Arial" w:hAnsi="Arial" w:cs="Arial"/>
          <w:bCs/>
          <w:iCs/>
          <w:kern w:val="2"/>
          <w:sz w:val="26"/>
          <w:szCs w:val="26"/>
          <w:lang w:val="es-ES_tradnl"/>
        </w:rPr>
      </w:pPr>
      <w:r>
        <w:rPr>
          <w:rFonts w:ascii="Arial" w:hAnsi="Arial" w:cs="Arial"/>
          <w:bCs/>
          <w:iCs/>
          <w:kern w:val="2"/>
          <w:sz w:val="26"/>
          <w:szCs w:val="26"/>
          <w:lang w:val="es-ES_tradnl"/>
        </w:rPr>
        <w:t xml:space="preserve">35. </w:t>
      </w:r>
      <w:r w:rsidR="006B6B3A" w:rsidRPr="00700CE4">
        <w:rPr>
          <w:rFonts w:ascii="Arial" w:hAnsi="Arial" w:cs="Arial"/>
          <w:bCs/>
          <w:iCs/>
          <w:kern w:val="2"/>
          <w:sz w:val="26"/>
          <w:szCs w:val="26"/>
          <w:lang w:val="es-ES_tradnl"/>
        </w:rPr>
        <w:t>Asimismo, se advierte que en la resolución del procedimiento para el fincamiento de responsabilidad administrativa resarcitoria, dictada el tres de agosto de dos mil veinte</w:t>
      </w:r>
      <w:r w:rsidR="006B6B3A" w:rsidRPr="00700CE4">
        <w:rPr>
          <w:rFonts w:ascii="Arial" w:hAnsi="Arial" w:cs="Arial"/>
          <w:sz w:val="26"/>
          <w:szCs w:val="26"/>
          <w:lang w:val="es-ES_tradnl"/>
        </w:rPr>
        <w:t xml:space="preserve"> en el expediente </w:t>
      </w:r>
      <w:r w:rsidR="006B6B3A" w:rsidRPr="00700CE4">
        <w:rPr>
          <w:rFonts w:ascii="Arial" w:hAnsi="Arial" w:cs="Arial"/>
          <w:b/>
          <w:sz w:val="26"/>
          <w:szCs w:val="26"/>
          <w:lang w:val="es-ES_tradnl"/>
        </w:rPr>
        <w:t>ASE/UAJ/P.R/0</w:t>
      </w:r>
      <w:r w:rsidR="006B6B3A">
        <w:rPr>
          <w:rFonts w:ascii="Arial" w:hAnsi="Arial" w:cs="Arial"/>
          <w:b/>
          <w:sz w:val="26"/>
          <w:szCs w:val="26"/>
          <w:lang w:val="es-ES_tradnl"/>
        </w:rPr>
        <w:t>27</w:t>
      </w:r>
      <w:r w:rsidR="006B6B3A" w:rsidRPr="00700CE4">
        <w:rPr>
          <w:rFonts w:ascii="Arial" w:hAnsi="Arial" w:cs="Arial"/>
          <w:b/>
          <w:sz w:val="26"/>
          <w:szCs w:val="26"/>
          <w:lang w:val="es-ES_tradnl"/>
        </w:rPr>
        <w:t>/2017</w:t>
      </w:r>
      <w:r w:rsidR="006B6B3A" w:rsidRPr="00700CE4">
        <w:rPr>
          <w:rFonts w:ascii="Arial" w:hAnsi="Arial" w:cs="Arial"/>
          <w:bCs/>
          <w:iCs/>
          <w:kern w:val="2"/>
          <w:sz w:val="26"/>
          <w:szCs w:val="26"/>
          <w:lang w:val="es-ES_tradnl"/>
        </w:rPr>
        <w:t xml:space="preserve">, la </w:t>
      </w:r>
      <w:r w:rsidR="006B6B3A" w:rsidRPr="00700CE4">
        <w:rPr>
          <w:rFonts w:ascii="Arial" w:hAnsi="Arial" w:cs="Arial"/>
          <w:b/>
          <w:sz w:val="26"/>
          <w:szCs w:val="26"/>
          <w:lang w:val="es-ES_tradnl"/>
        </w:rPr>
        <w:t>TITULAR DE LA UNIDAD DE ASUNTOS JURÍDICOS DEL ÓRGANO SUPERIOR DE FISCALIZACIÓN DEL ESTADO DE OAXACA,</w:t>
      </w:r>
      <w:r w:rsidR="006B6B3A" w:rsidRPr="00700CE4">
        <w:rPr>
          <w:rFonts w:ascii="Arial" w:hAnsi="Arial" w:cs="Arial"/>
          <w:sz w:val="26"/>
          <w:szCs w:val="26"/>
          <w:lang w:val="es-ES_tradnl"/>
        </w:rPr>
        <w:t xml:space="preserve"> </w:t>
      </w:r>
      <w:r w:rsidR="006B6B3A" w:rsidRPr="00700CE4">
        <w:rPr>
          <w:rFonts w:ascii="Arial" w:hAnsi="Arial" w:cs="Arial"/>
          <w:bCs/>
          <w:iCs/>
          <w:kern w:val="2"/>
          <w:sz w:val="26"/>
          <w:szCs w:val="26"/>
          <w:lang w:val="es-ES_tradnl"/>
        </w:rPr>
        <w:t xml:space="preserve">respecto a su competencia señaló lo siguiente: </w:t>
      </w:r>
    </w:p>
    <w:p w14:paraId="7ADB60EE" w14:textId="77777777" w:rsidR="006B6B3A" w:rsidRDefault="006B6B3A" w:rsidP="006B6B3A">
      <w:pPr>
        <w:tabs>
          <w:tab w:val="left" w:pos="709"/>
          <w:tab w:val="left" w:pos="5670"/>
        </w:tabs>
        <w:spacing w:before="240" w:after="0" w:line="360" w:lineRule="auto"/>
        <w:ind w:left="709" w:right="616"/>
        <w:jc w:val="both"/>
        <w:rPr>
          <w:rFonts w:ascii="Arial" w:hAnsi="Arial" w:cs="Arial"/>
          <w:i/>
        </w:rPr>
      </w:pPr>
      <w:r w:rsidRPr="00700CE4">
        <w:rPr>
          <w:rFonts w:ascii="Arial" w:hAnsi="Arial" w:cs="Arial"/>
          <w:b/>
          <w:i/>
        </w:rPr>
        <w:t>“PRIMERO.-</w:t>
      </w:r>
      <w:r w:rsidRPr="00700CE4">
        <w:rPr>
          <w:rFonts w:ascii="Arial" w:hAnsi="Arial" w:cs="Arial"/>
          <w:i/>
        </w:rPr>
        <w:t xml:space="preserve"> </w:t>
      </w:r>
      <w:r w:rsidRPr="00700CE4">
        <w:rPr>
          <w:rFonts w:ascii="Arial" w:hAnsi="Arial" w:cs="Arial"/>
          <w:b/>
          <w:i/>
        </w:rPr>
        <w:t xml:space="preserve">Competencia. </w:t>
      </w:r>
      <w:r w:rsidRPr="00700CE4">
        <w:rPr>
          <w:rFonts w:ascii="Arial" w:hAnsi="Arial" w:cs="Arial"/>
          <w:i/>
        </w:rPr>
        <w:t xml:space="preserve">Que el Órgano Superior de Fiscalización del Estado de Oaxaca, creado mediante Decreto 695 publicado en el Periódico Oficial del Gobierno del Estado de Oaxaca, el día veintiuno de septiembre de </w:t>
      </w:r>
      <w:r w:rsidRPr="00700CE4">
        <w:rPr>
          <w:rFonts w:ascii="Arial" w:hAnsi="Arial" w:cs="Arial"/>
          <w:i/>
        </w:rPr>
        <w:lastRenderedPageBreak/>
        <w:t xml:space="preserve">dos mil diecisiete … a través de la Unidad de Asuntos Jurídicos con que cuenta, es competente para conocer en cuanto al fondo, procedimiento y resolución del presente asunto, de conformidad con lo establecido en los artículos 1, 14, párrafos primero y segundo, 16 párrafo primero, y 116, fracción II, sexto párrafo, de la Constitución Política de los Estados Unidos Mexicanos; 65 Bis, de la Constitución Política del Estado Libre y Soberano de Oaxaca; </w:t>
      </w:r>
      <w:r>
        <w:rPr>
          <w:rFonts w:ascii="Arial" w:hAnsi="Arial" w:cs="Arial"/>
          <w:i/>
        </w:rPr>
        <w:t>...</w:t>
      </w:r>
      <w:r w:rsidRPr="00700CE4">
        <w:rPr>
          <w:rFonts w:ascii="Arial" w:hAnsi="Arial" w:cs="Arial"/>
          <w:i/>
        </w:rPr>
        <w:t xml:space="preserve">Tercero Transitorio de la Ley de Fiscalización Superior y Rendición de Cuentas para el Estado de Oaxaca, publicada en el periódico oficial extra de fecha 21 de septiembre de dos mil diecisiete, mediante decreto número 699; </w:t>
      </w:r>
      <w:r>
        <w:rPr>
          <w:rFonts w:ascii="Arial" w:hAnsi="Arial" w:cs="Arial"/>
          <w:i/>
        </w:rPr>
        <w:t xml:space="preserve">… </w:t>
      </w:r>
      <w:r w:rsidRPr="00700CE4">
        <w:rPr>
          <w:rFonts w:ascii="Arial" w:hAnsi="Arial" w:cs="Arial"/>
          <w:i/>
        </w:rPr>
        <w:t>1, 3, 4, 6, 31 fracciones XXVI y XXIX, 48, 49, fracción I y III, 50, 51, 52, 54, 55, 56, 58 fracciones I y IV, 67 fracción II y Sexto Transitorio de la Ley de Fiscalización Superior para el Estado de Oaxaca, vigente hasta el veintiuno de septiembre de dos mil diecisiete,</w:t>
      </w:r>
      <w:r>
        <w:rPr>
          <w:rFonts w:ascii="Arial" w:hAnsi="Arial" w:cs="Arial"/>
          <w:i/>
        </w:rPr>
        <w:t xml:space="preserve"> </w:t>
      </w:r>
      <w:r w:rsidRPr="00700CE4">
        <w:rPr>
          <w:rFonts w:ascii="Arial" w:hAnsi="Arial" w:cs="Arial"/>
          <w:i/>
        </w:rPr>
        <w:t>1, 2, 4, fracciones I y VIII, 16 fracción VII, y 18, fracciones I y XVI , del Reglamento Interior del Órgano Superior de Fiscal</w:t>
      </w:r>
      <w:r>
        <w:rPr>
          <w:rFonts w:ascii="Arial" w:hAnsi="Arial" w:cs="Arial"/>
          <w:i/>
        </w:rPr>
        <w:t xml:space="preserve">ización del Estado de Oaxaca; </w:t>
      </w:r>
      <w:r w:rsidRPr="00700CE4">
        <w:rPr>
          <w:rFonts w:ascii="Arial" w:hAnsi="Arial" w:cs="Arial"/>
          <w:i/>
        </w:rPr>
        <w:t xml:space="preserve">dado que el </w:t>
      </w:r>
      <w:r>
        <w:rPr>
          <w:rFonts w:ascii="Arial" w:hAnsi="Arial" w:cs="Arial"/>
          <w:i/>
        </w:rPr>
        <w:t xml:space="preserve">presente </w:t>
      </w:r>
      <w:r w:rsidRPr="00700CE4">
        <w:rPr>
          <w:rFonts w:ascii="Arial" w:hAnsi="Arial" w:cs="Arial"/>
          <w:i/>
        </w:rPr>
        <w:t>Procedimiento</w:t>
      </w:r>
      <w:r>
        <w:rPr>
          <w:rFonts w:ascii="Arial" w:hAnsi="Arial" w:cs="Arial"/>
          <w:i/>
        </w:rPr>
        <w:t xml:space="preserve"> para el Fincamiento de Responsabilidad Administrativa Resarcitoria número ASE/UAJ/P.R./027/2016, se inició, tramitó y sustanció, bajo la vigencia de la Ley de Fiscalización Superior para el Estado de Oaxaca.”</w:t>
      </w:r>
    </w:p>
    <w:p w14:paraId="08E26585" w14:textId="77777777" w:rsidR="00263337" w:rsidRDefault="00263337" w:rsidP="00AA3DFA">
      <w:pPr>
        <w:tabs>
          <w:tab w:val="left" w:pos="5670"/>
        </w:tabs>
        <w:spacing w:before="240" w:line="360" w:lineRule="auto"/>
        <w:ind w:right="51" w:firstLine="709"/>
        <w:jc w:val="both"/>
        <w:rPr>
          <w:rFonts w:ascii="Arial" w:hAnsi="Arial" w:cs="Arial"/>
          <w:sz w:val="26"/>
          <w:szCs w:val="26"/>
        </w:rPr>
      </w:pPr>
    </w:p>
    <w:p w14:paraId="41BE1283" w14:textId="692D233A" w:rsidR="008D6F9A" w:rsidRPr="008D6F9A" w:rsidRDefault="00AA3DFA" w:rsidP="00AA3DFA">
      <w:pPr>
        <w:tabs>
          <w:tab w:val="left" w:pos="5670"/>
        </w:tabs>
        <w:spacing w:before="240" w:line="360" w:lineRule="auto"/>
        <w:ind w:right="51" w:firstLine="709"/>
        <w:jc w:val="both"/>
        <w:rPr>
          <w:rFonts w:ascii="Arial" w:hAnsi="Arial" w:cs="Arial"/>
          <w:sz w:val="26"/>
          <w:szCs w:val="26"/>
        </w:rPr>
      </w:pPr>
      <w:r>
        <w:rPr>
          <w:rFonts w:ascii="Arial" w:hAnsi="Arial" w:cs="Arial"/>
          <w:sz w:val="26"/>
          <w:szCs w:val="26"/>
        </w:rPr>
        <w:t xml:space="preserve">36. </w:t>
      </w:r>
      <w:r w:rsidR="006B6B3A" w:rsidRPr="00700CE4">
        <w:rPr>
          <w:rFonts w:ascii="Arial" w:hAnsi="Arial" w:cs="Arial"/>
          <w:sz w:val="26"/>
          <w:szCs w:val="26"/>
        </w:rPr>
        <w:t xml:space="preserve">Como se ve, la Titular de la Unidad de Asuntos Jurídicos del Órgano Superior de Fiscalización del Estado de Oaxaca, </w:t>
      </w:r>
      <w:r w:rsidR="008D6F9A" w:rsidRPr="008D6F9A">
        <w:rPr>
          <w:rFonts w:ascii="Arial" w:hAnsi="Arial" w:cs="Arial"/>
          <w:sz w:val="26"/>
          <w:szCs w:val="26"/>
        </w:rPr>
        <w:t xml:space="preserve">pretendió fundar su competencia para instruir y resolver el Procedimiento para el Fincamiento de Responsabilidades Administrativas Resarcitorias, en diversos preceptos legales, de los cuales, llaman particularmente la atención los artículos 31 fracciones XXVI y XXIX, 56, 67 fracción II de la </w:t>
      </w:r>
      <w:r w:rsidR="008D6F9A" w:rsidRPr="008D6F9A">
        <w:rPr>
          <w:rFonts w:ascii="Arial" w:hAnsi="Arial" w:cs="Arial"/>
          <w:i/>
          <w:sz w:val="26"/>
          <w:szCs w:val="26"/>
        </w:rPr>
        <w:t>Ley de Fiscalización 2013</w:t>
      </w:r>
      <w:r w:rsidR="008D6F9A" w:rsidRPr="008D6F9A">
        <w:rPr>
          <w:rFonts w:ascii="Arial" w:hAnsi="Arial" w:cs="Arial"/>
          <w:sz w:val="26"/>
          <w:szCs w:val="26"/>
        </w:rPr>
        <w:t>, los cuales se transcriben a continuación para una mejor comprensión:</w:t>
      </w:r>
    </w:p>
    <w:p w14:paraId="33D8F386" w14:textId="77777777" w:rsidR="008D6F9A" w:rsidRDefault="008D6F9A" w:rsidP="008D6F9A">
      <w:pPr>
        <w:pStyle w:val="corte4fondo"/>
        <w:tabs>
          <w:tab w:val="left" w:pos="0"/>
          <w:tab w:val="left" w:pos="7797"/>
        </w:tabs>
        <w:spacing w:after="240"/>
        <w:ind w:right="757"/>
        <w:jc w:val="center"/>
        <w:rPr>
          <w:b/>
          <w:i/>
          <w:sz w:val="22"/>
          <w:szCs w:val="26"/>
        </w:rPr>
      </w:pPr>
      <w:r>
        <w:rPr>
          <w:b/>
          <w:i/>
          <w:sz w:val="22"/>
          <w:szCs w:val="26"/>
        </w:rPr>
        <w:t>“</w:t>
      </w:r>
      <w:r w:rsidRPr="00F17D36">
        <w:rPr>
          <w:b/>
          <w:i/>
          <w:sz w:val="22"/>
          <w:szCs w:val="26"/>
        </w:rPr>
        <w:t>Ley de Fiscalización 2013</w:t>
      </w:r>
    </w:p>
    <w:p w14:paraId="25031D8B" w14:textId="77777777" w:rsidR="008D6F9A" w:rsidRDefault="008D6F9A" w:rsidP="008D6F9A">
      <w:pPr>
        <w:pStyle w:val="corte4fondo"/>
        <w:tabs>
          <w:tab w:val="left" w:pos="709"/>
          <w:tab w:val="left" w:pos="7797"/>
        </w:tabs>
        <w:spacing w:after="240"/>
        <w:ind w:left="709" w:right="757" w:firstLine="0"/>
        <w:rPr>
          <w:i/>
          <w:sz w:val="22"/>
          <w:szCs w:val="26"/>
        </w:rPr>
      </w:pPr>
      <w:r w:rsidRPr="00731B0D">
        <w:rPr>
          <w:b/>
          <w:i/>
          <w:sz w:val="22"/>
          <w:szCs w:val="26"/>
        </w:rPr>
        <w:t xml:space="preserve">Artículo </w:t>
      </w:r>
      <w:r>
        <w:rPr>
          <w:b/>
          <w:i/>
          <w:sz w:val="22"/>
          <w:szCs w:val="26"/>
        </w:rPr>
        <w:t xml:space="preserve">31.- </w:t>
      </w:r>
      <w:r>
        <w:rPr>
          <w:i/>
          <w:sz w:val="22"/>
          <w:szCs w:val="26"/>
        </w:rPr>
        <w:t>La Auditoría tendrá las siguientes facultades y atribuciones:</w:t>
      </w:r>
    </w:p>
    <w:p w14:paraId="03912A60" w14:textId="77777777" w:rsidR="008D6F9A" w:rsidRDefault="008D6F9A" w:rsidP="008D6F9A">
      <w:pPr>
        <w:pStyle w:val="corte4fondo"/>
        <w:tabs>
          <w:tab w:val="left" w:pos="851"/>
          <w:tab w:val="left" w:pos="7797"/>
        </w:tabs>
        <w:spacing w:after="240"/>
        <w:ind w:left="709" w:right="757" w:firstLine="0"/>
        <w:rPr>
          <w:i/>
          <w:sz w:val="22"/>
          <w:szCs w:val="26"/>
        </w:rPr>
      </w:pPr>
      <w:r>
        <w:rPr>
          <w:i/>
          <w:sz w:val="22"/>
          <w:szCs w:val="26"/>
        </w:rPr>
        <w:t>[…]</w:t>
      </w:r>
    </w:p>
    <w:p w14:paraId="73136649" w14:textId="77777777" w:rsidR="008D6F9A" w:rsidRDefault="008D6F9A" w:rsidP="008D6F9A">
      <w:pPr>
        <w:pStyle w:val="corte4fondo"/>
        <w:tabs>
          <w:tab w:val="left" w:pos="709"/>
          <w:tab w:val="left" w:pos="7797"/>
        </w:tabs>
        <w:spacing w:after="240"/>
        <w:ind w:left="709" w:right="757" w:firstLine="0"/>
        <w:rPr>
          <w:i/>
          <w:sz w:val="22"/>
          <w:szCs w:val="26"/>
        </w:rPr>
      </w:pPr>
      <w:r>
        <w:rPr>
          <w:i/>
          <w:sz w:val="22"/>
          <w:szCs w:val="26"/>
        </w:rPr>
        <w:t xml:space="preserve">XXVI. Determinar los daños, perjuicios o ambos, que afecten las haciendas públicas estatal o municipal, o en su caso, al patrimonio de las entidades fiscalizables, y </w:t>
      </w:r>
      <w:r>
        <w:rPr>
          <w:b/>
          <w:i/>
          <w:sz w:val="22"/>
          <w:szCs w:val="26"/>
        </w:rPr>
        <w:t>fincar directamente las responsabilidades administrativas resarcitorias;</w:t>
      </w:r>
    </w:p>
    <w:p w14:paraId="4A47EE50" w14:textId="77777777" w:rsidR="008D6F9A" w:rsidRDefault="008D6F9A" w:rsidP="008D6F9A">
      <w:pPr>
        <w:pStyle w:val="corte4fondo"/>
        <w:tabs>
          <w:tab w:val="left" w:pos="709"/>
          <w:tab w:val="left" w:pos="7797"/>
        </w:tabs>
        <w:spacing w:after="240"/>
        <w:ind w:left="709" w:right="757" w:firstLine="0"/>
        <w:rPr>
          <w:i/>
          <w:sz w:val="22"/>
          <w:szCs w:val="26"/>
        </w:rPr>
      </w:pPr>
      <w:r>
        <w:rPr>
          <w:i/>
          <w:sz w:val="22"/>
          <w:szCs w:val="26"/>
        </w:rPr>
        <w:t>[…]</w:t>
      </w:r>
    </w:p>
    <w:p w14:paraId="448E4D34" w14:textId="77777777" w:rsidR="008D6F9A" w:rsidRPr="00E74399" w:rsidRDefault="008D6F9A" w:rsidP="008D6F9A">
      <w:pPr>
        <w:pStyle w:val="corte4fondo"/>
        <w:tabs>
          <w:tab w:val="left" w:pos="709"/>
          <w:tab w:val="left" w:pos="7797"/>
        </w:tabs>
        <w:spacing w:after="240"/>
        <w:ind w:left="709" w:right="757" w:firstLine="0"/>
        <w:rPr>
          <w:b/>
          <w:i/>
          <w:sz w:val="22"/>
          <w:szCs w:val="26"/>
        </w:rPr>
      </w:pPr>
      <w:r>
        <w:rPr>
          <w:i/>
          <w:sz w:val="22"/>
          <w:szCs w:val="26"/>
        </w:rPr>
        <w:t xml:space="preserve">XXIX. Tramitar y resolver el </w:t>
      </w:r>
      <w:r w:rsidRPr="00E74399">
        <w:rPr>
          <w:b/>
          <w:i/>
          <w:sz w:val="22"/>
          <w:szCs w:val="26"/>
        </w:rPr>
        <w:t xml:space="preserve">procedimiento para el fincamiento </w:t>
      </w:r>
      <w:r>
        <w:rPr>
          <w:b/>
          <w:i/>
          <w:sz w:val="22"/>
          <w:szCs w:val="26"/>
        </w:rPr>
        <w:t>de responsabilidades administrativo resarcitorio.</w:t>
      </w:r>
    </w:p>
    <w:p w14:paraId="22348B13" w14:textId="77777777" w:rsidR="008D6F9A" w:rsidRDefault="008D6F9A" w:rsidP="008D6F9A">
      <w:pPr>
        <w:pStyle w:val="corte4fondo"/>
        <w:tabs>
          <w:tab w:val="left" w:pos="709"/>
          <w:tab w:val="left" w:pos="7797"/>
        </w:tabs>
        <w:spacing w:after="240"/>
        <w:ind w:left="709" w:right="757" w:firstLine="0"/>
        <w:rPr>
          <w:i/>
          <w:sz w:val="22"/>
          <w:szCs w:val="26"/>
        </w:rPr>
      </w:pPr>
      <w:r>
        <w:rPr>
          <w:i/>
          <w:sz w:val="22"/>
          <w:szCs w:val="26"/>
        </w:rPr>
        <w:lastRenderedPageBreak/>
        <w:t>[…]</w:t>
      </w:r>
    </w:p>
    <w:p w14:paraId="54C820CE" w14:textId="77777777" w:rsidR="008D6F9A" w:rsidRPr="00E74399" w:rsidRDefault="008D6F9A" w:rsidP="008D6F9A">
      <w:pPr>
        <w:pStyle w:val="corte4fondo"/>
        <w:tabs>
          <w:tab w:val="left" w:pos="709"/>
          <w:tab w:val="left" w:pos="7797"/>
        </w:tabs>
        <w:spacing w:after="240"/>
        <w:ind w:left="709" w:right="757" w:firstLine="0"/>
        <w:rPr>
          <w:i/>
          <w:sz w:val="22"/>
          <w:szCs w:val="26"/>
        </w:rPr>
      </w:pPr>
      <w:r>
        <w:rPr>
          <w:b/>
          <w:i/>
          <w:sz w:val="22"/>
          <w:szCs w:val="26"/>
        </w:rPr>
        <w:t xml:space="preserve">Artículo 56.- </w:t>
      </w:r>
      <w:r>
        <w:rPr>
          <w:i/>
          <w:sz w:val="22"/>
          <w:szCs w:val="26"/>
        </w:rPr>
        <w:t xml:space="preserve">El </w:t>
      </w:r>
      <w:r w:rsidRPr="00E74399">
        <w:rPr>
          <w:b/>
          <w:i/>
          <w:sz w:val="22"/>
          <w:szCs w:val="26"/>
        </w:rPr>
        <w:t>procedimiento para el fincamiento de responsabilidades administrativas resarcitorias</w:t>
      </w:r>
      <w:r>
        <w:rPr>
          <w:i/>
          <w:sz w:val="22"/>
          <w:szCs w:val="26"/>
        </w:rPr>
        <w:t xml:space="preserve"> previstas en la presente ley, se tramitará en la forma y términos previsto en el Código.</w:t>
      </w:r>
    </w:p>
    <w:p w14:paraId="1C9F74ED" w14:textId="77777777" w:rsidR="008D6F9A" w:rsidRDefault="008D6F9A" w:rsidP="008D6F9A">
      <w:pPr>
        <w:pStyle w:val="corte4fondo"/>
        <w:tabs>
          <w:tab w:val="left" w:pos="709"/>
          <w:tab w:val="left" w:pos="7797"/>
        </w:tabs>
        <w:spacing w:after="240"/>
        <w:ind w:left="709" w:right="757" w:firstLine="0"/>
        <w:rPr>
          <w:i/>
          <w:sz w:val="22"/>
          <w:szCs w:val="26"/>
        </w:rPr>
      </w:pPr>
      <w:r>
        <w:rPr>
          <w:b/>
          <w:i/>
          <w:sz w:val="22"/>
          <w:szCs w:val="26"/>
        </w:rPr>
        <w:t xml:space="preserve">Artículo 67.- </w:t>
      </w:r>
      <w:r>
        <w:rPr>
          <w:i/>
          <w:sz w:val="22"/>
          <w:szCs w:val="26"/>
        </w:rPr>
        <w:t>La Auditoría contará con una Unidad de Asuntos Jurídicos, cuyo titular tendrá las siguientes atribuciones:</w:t>
      </w:r>
    </w:p>
    <w:p w14:paraId="2C5565C4" w14:textId="77777777" w:rsidR="008D6F9A" w:rsidRPr="00E74399" w:rsidRDefault="008D6F9A" w:rsidP="008D6F9A">
      <w:pPr>
        <w:pStyle w:val="corte4fondo"/>
        <w:tabs>
          <w:tab w:val="left" w:pos="709"/>
          <w:tab w:val="left" w:pos="7797"/>
        </w:tabs>
        <w:spacing w:after="240"/>
        <w:ind w:left="709" w:right="757" w:firstLine="0"/>
        <w:rPr>
          <w:i/>
          <w:sz w:val="22"/>
          <w:szCs w:val="26"/>
        </w:rPr>
      </w:pPr>
      <w:r w:rsidRPr="00E74399">
        <w:rPr>
          <w:i/>
          <w:sz w:val="22"/>
          <w:szCs w:val="26"/>
        </w:rPr>
        <w:t>[…]</w:t>
      </w:r>
    </w:p>
    <w:p w14:paraId="632DD67C" w14:textId="77777777" w:rsidR="008D6F9A" w:rsidRDefault="008D6F9A" w:rsidP="008D6F9A">
      <w:pPr>
        <w:pStyle w:val="corte4fondo"/>
        <w:tabs>
          <w:tab w:val="left" w:pos="709"/>
          <w:tab w:val="left" w:pos="7797"/>
        </w:tabs>
        <w:spacing w:after="240"/>
        <w:ind w:left="709" w:right="757" w:firstLine="0"/>
        <w:rPr>
          <w:i/>
          <w:sz w:val="22"/>
          <w:szCs w:val="26"/>
        </w:rPr>
      </w:pPr>
      <w:r>
        <w:rPr>
          <w:i/>
          <w:sz w:val="22"/>
          <w:szCs w:val="26"/>
        </w:rPr>
        <w:t xml:space="preserve">II. Instruir y tramitar el </w:t>
      </w:r>
      <w:r w:rsidRPr="00E74399">
        <w:rPr>
          <w:i/>
          <w:sz w:val="22"/>
          <w:szCs w:val="26"/>
          <w:u w:val="single"/>
        </w:rPr>
        <w:t>procedimiento resarcitorio</w:t>
      </w:r>
      <w:r>
        <w:rPr>
          <w:i/>
          <w:sz w:val="22"/>
          <w:szCs w:val="26"/>
        </w:rPr>
        <w:t>; y,</w:t>
      </w:r>
    </w:p>
    <w:p w14:paraId="708A3B6B" w14:textId="77777777" w:rsidR="008D6F9A" w:rsidRDefault="008D6F9A" w:rsidP="008D6F9A">
      <w:pPr>
        <w:pStyle w:val="corte4fondo"/>
        <w:tabs>
          <w:tab w:val="left" w:pos="709"/>
          <w:tab w:val="left" w:pos="7797"/>
        </w:tabs>
        <w:spacing w:after="240"/>
        <w:ind w:left="709" w:right="757" w:firstLine="0"/>
        <w:rPr>
          <w:i/>
          <w:sz w:val="22"/>
          <w:szCs w:val="26"/>
        </w:rPr>
      </w:pPr>
      <w:r>
        <w:rPr>
          <w:i/>
          <w:sz w:val="22"/>
          <w:szCs w:val="26"/>
        </w:rPr>
        <w:t>[…]”</w:t>
      </w:r>
    </w:p>
    <w:p w14:paraId="5C08023A" w14:textId="456A9268" w:rsidR="008D6F9A" w:rsidRPr="002C25B6" w:rsidRDefault="00AA3DFA" w:rsidP="008D6F9A">
      <w:pPr>
        <w:pStyle w:val="corte4fondo"/>
        <w:tabs>
          <w:tab w:val="left" w:pos="0"/>
        </w:tabs>
        <w:spacing w:after="240"/>
        <w:ind w:right="51"/>
        <w:rPr>
          <w:sz w:val="28"/>
          <w:szCs w:val="26"/>
        </w:rPr>
      </w:pPr>
      <w:r>
        <w:rPr>
          <w:sz w:val="26"/>
          <w:szCs w:val="26"/>
        </w:rPr>
        <w:t>37</w:t>
      </w:r>
      <w:r w:rsidR="008D6F9A">
        <w:rPr>
          <w:sz w:val="26"/>
          <w:szCs w:val="26"/>
        </w:rPr>
        <w:t xml:space="preserve">. Preceptos legales de los cuales se advierte en una primera instancia que, si bien la Auditoría </w:t>
      </w:r>
      <w:r w:rsidR="008D6F9A" w:rsidRPr="002C25B6">
        <w:rPr>
          <w:sz w:val="26"/>
          <w:szCs w:val="26"/>
        </w:rPr>
        <w:t xml:space="preserve">Superior del Estado de Oaxaca tiene facultades para determinar los daños, perjuicios o ambos, que afecten las haciendas públicas estatal o municipal, o en su caso, al patrimonio de las entidades fiscalizables, fincar directamente las responsabilidades administrativas resarcitorias y tramitar y resolver el referido procedimiento, de conformidad con lo dispuesto por el artículo 31 fracciones </w:t>
      </w:r>
      <w:r w:rsidR="008D6F9A">
        <w:rPr>
          <w:sz w:val="26"/>
          <w:szCs w:val="26"/>
        </w:rPr>
        <w:t xml:space="preserve">XXVI y XXI de la </w:t>
      </w:r>
      <w:r w:rsidR="008D6F9A" w:rsidRPr="00F17D36">
        <w:rPr>
          <w:i/>
          <w:sz w:val="26"/>
          <w:szCs w:val="26"/>
        </w:rPr>
        <w:t>Ley de Fiscalización 2013</w:t>
      </w:r>
      <w:r w:rsidR="008D6F9A">
        <w:rPr>
          <w:sz w:val="26"/>
          <w:szCs w:val="26"/>
        </w:rPr>
        <w:t>.</w:t>
      </w:r>
    </w:p>
    <w:p w14:paraId="3A4A5C23" w14:textId="0768ED95" w:rsidR="008D6F9A" w:rsidRDefault="00AA3DFA" w:rsidP="008D6F9A">
      <w:pPr>
        <w:pStyle w:val="corte4fondo"/>
        <w:tabs>
          <w:tab w:val="left" w:pos="0"/>
        </w:tabs>
        <w:spacing w:after="240"/>
        <w:ind w:right="51"/>
        <w:rPr>
          <w:sz w:val="26"/>
          <w:szCs w:val="26"/>
        </w:rPr>
      </w:pPr>
      <w:r>
        <w:rPr>
          <w:sz w:val="26"/>
          <w:szCs w:val="26"/>
        </w:rPr>
        <w:t>38</w:t>
      </w:r>
      <w:r w:rsidR="008D6F9A">
        <w:rPr>
          <w:sz w:val="26"/>
          <w:szCs w:val="26"/>
        </w:rPr>
        <w:t xml:space="preserve">. También es cierto que, posterior a un análisis efectuado a la </w:t>
      </w:r>
      <w:r w:rsidR="008D6F9A" w:rsidRPr="00F17D36">
        <w:rPr>
          <w:i/>
          <w:sz w:val="26"/>
          <w:szCs w:val="26"/>
        </w:rPr>
        <w:t>Ley de Fiscalización 2013</w:t>
      </w:r>
      <w:r w:rsidR="008D6F9A">
        <w:rPr>
          <w:sz w:val="26"/>
          <w:szCs w:val="26"/>
        </w:rPr>
        <w:t xml:space="preserve"> (normatividad empleada por la autoridad demandada para resolver el procedimiento para el fincamiento de responsabilidad administrativa resarcitoria </w:t>
      </w:r>
      <w:r>
        <w:rPr>
          <w:b/>
          <w:sz w:val="26"/>
          <w:szCs w:val="26"/>
        </w:rPr>
        <w:t>ASE/UAJ/P.R./027</w:t>
      </w:r>
      <w:r w:rsidR="008D6F9A">
        <w:rPr>
          <w:b/>
          <w:sz w:val="26"/>
          <w:szCs w:val="26"/>
        </w:rPr>
        <w:t>/2016</w:t>
      </w:r>
      <w:r w:rsidR="008D6F9A">
        <w:rPr>
          <w:sz w:val="26"/>
          <w:szCs w:val="26"/>
        </w:rPr>
        <w:t>), se advierte que conforme a lo dispuesto en la fracción X y último párrafo del artículo 63, corresponde al Titular de la Auditoría Superior del Estado de Oaxaca, ejercer las atribuciones que corresponden a la Auditoría, en los términos precisados en la Constitución Local, la referida Ley de Fiscalización 2013 y demás disposiciones aplicables.</w:t>
      </w:r>
    </w:p>
    <w:p w14:paraId="51BD8839" w14:textId="619772EB" w:rsidR="008D6F9A" w:rsidRDefault="00AA3DFA" w:rsidP="008D6F9A">
      <w:pPr>
        <w:pStyle w:val="corte4fondo"/>
        <w:tabs>
          <w:tab w:val="left" w:pos="0"/>
        </w:tabs>
        <w:spacing w:after="240"/>
        <w:ind w:right="51"/>
        <w:rPr>
          <w:sz w:val="26"/>
          <w:szCs w:val="26"/>
        </w:rPr>
      </w:pPr>
      <w:r>
        <w:rPr>
          <w:sz w:val="26"/>
          <w:szCs w:val="26"/>
        </w:rPr>
        <w:t>40</w:t>
      </w:r>
      <w:r w:rsidR="008D6F9A">
        <w:rPr>
          <w:sz w:val="26"/>
          <w:szCs w:val="26"/>
        </w:rPr>
        <w:t>. Facultad que acorde con el último párrafo del referido artículo 63, no es delegable, tal como se advierte del referido precepto legal, mismo que se transcribe para una mejor ilustración:</w:t>
      </w:r>
    </w:p>
    <w:p w14:paraId="6F1FE6EB" w14:textId="77777777" w:rsidR="008D6F9A" w:rsidRDefault="008D6F9A" w:rsidP="008D6F9A">
      <w:pPr>
        <w:pStyle w:val="corte4fondo"/>
        <w:tabs>
          <w:tab w:val="left" w:pos="709"/>
        </w:tabs>
        <w:spacing w:after="240"/>
        <w:ind w:left="709" w:right="757" w:firstLine="0"/>
        <w:jc w:val="center"/>
        <w:rPr>
          <w:b/>
          <w:i/>
          <w:sz w:val="22"/>
          <w:szCs w:val="22"/>
        </w:rPr>
      </w:pPr>
      <w:r w:rsidRPr="0055096D">
        <w:rPr>
          <w:b/>
          <w:i/>
          <w:sz w:val="22"/>
          <w:szCs w:val="22"/>
        </w:rPr>
        <w:t>”</w:t>
      </w:r>
      <w:r w:rsidRPr="00F17D36">
        <w:rPr>
          <w:b/>
          <w:i/>
          <w:sz w:val="22"/>
          <w:szCs w:val="22"/>
        </w:rPr>
        <w:t>Ley de Fiscalización 2013</w:t>
      </w:r>
    </w:p>
    <w:p w14:paraId="35EABB02" w14:textId="77777777" w:rsidR="008D6F9A" w:rsidRDefault="008D6F9A" w:rsidP="008D6F9A">
      <w:pPr>
        <w:pStyle w:val="corte4fondo"/>
        <w:tabs>
          <w:tab w:val="left" w:pos="709"/>
        </w:tabs>
        <w:spacing w:after="240"/>
        <w:ind w:left="709" w:right="757" w:firstLine="0"/>
        <w:rPr>
          <w:i/>
          <w:sz w:val="22"/>
          <w:szCs w:val="22"/>
        </w:rPr>
      </w:pPr>
      <w:r w:rsidRPr="0055096D">
        <w:rPr>
          <w:b/>
          <w:i/>
          <w:sz w:val="22"/>
          <w:szCs w:val="22"/>
        </w:rPr>
        <w:t xml:space="preserve">Artículo 63.- </w:t>
      </w:r>
      <w:r>
        <w:rPr>
          <w:i/>
          <w:sz w:val="22"/>
          <w:szCs w:val="22"/>
        </w:rPr>
        <w:t>El Auditor Superior tendrá las siguientes atribuciones:</w:t>
      </w:r>
    </w:p>
    <w:p w14:paraId="09151C76" w14:textId="77777777" w:rsidR="008D6F9A" w:rsidRPr="0055096D" w:rsidRDefault="008D6F9A" w:rsidP="008D6F9A">
      <w:pPr>
        <w:pStyle w:val="corte4fondo"/>
        <w:tabs>
          <w:tab w:val="left" w:pos="709"/>
        </w:tabs>
        <w:spacing w:after="240"/>
        <w:ind w:left="709" w:right="757" w:firstLine="0"/>
        <w:rPr>
          <w:i/>
          <w:sz w:val="22"/>
          <w:szCs w:val="22"/>
        </w:rPr>
      </w:pPr>
      <w:r w:rsidRPr="0055096D">
        <w:rPr>
          <w:i/>
          <w:sz w:val="22"/>
          <w:szCs w:val="22"/>
        </w:rPr>
        <w:t>[…]</w:t>
      </w:r>
    </w:p>
    <w:p w14:paraId="09F1A174" w14:textId="77777777" w:rsidR="008D6F9A" w:rsidRDefault="008D6F9A" w:rsidP="008D6F9A">
      <w:pPr>
        <w:pStyle w:val="corte4fondo"/>
        <w:tabs>
          <w:tab w:val="left" w:pos="709"/>
        </w:tabs>
        <w:spacing w:after="240"/>
        <w:ind w:left="709" w:right="757" w:firstLine="0"/>
        <w:rPr>
          <w:i/>
          <w:sz w:val="22"/>
          <w:szCs w:val="22"/>
        </w:rPr>
      </w:pPr>
      <w:r>
        <w:rPr>
          <w:i/>
          <w:sz w:val="22"/>
          <w:szCs w:val="22"/>
        </w:rPr>
        <w:lastRenderedPageBreak/>
        <w:t>X.</w:t>
      </w:r>
      <w:r>
        <w:rPr>
          <w:i/>
          <w:sz w:val="22"/>
          <w:szCs w:val="22"/>
        </w:rPr>
        <w:tab/>
        <w:t>Ejercer las Atribuciones que corresponden a la Auditoría, en los términos de la Constitución Local, la presente Ley y demás disposiciones aplicables;</w:t>
      </w:r>
    </w:p>
    <w:p w14:paraId="15CB96AA" w14:textId="77777777" w:rsidR="008D6F9A" w:rsidRDefault="008D6F9A" w:rsidP="008D6F9A">
      <w:pPr>
        <w:pStyle w:val="corte4fondo"/>
        <w:tabs>
          <w:tab w:val="left" w:pos="709"/>
        </w:tabs>
        <w:spacing w:after="240"/>
        <w:ind w:left="709" w:right="757" w:firstLine="0"/>
        <w:rPr>
          <w:i/>
          <w:sz w:val="22"/>
          <w:szCs w:val="22"/>
        </w:rPr>
      </w:pPr>
      <w:r>
        <w:rPr>
          <w:i/>
          <w:sz w:val="22"/>
          <w:szCs w:val="22"/>
        </w:rPr>
        <w:t>[…]</w:t>
      </w:r>
    </w:p>
    <w:p w14:paraId="3E5FC216" w14:textId="77777777" w:rsidR="008D6F9A" w:rsidRDefault="008D6F9A" w:rsidP="008D6F9A">
      <w:pPr>
        <w:pStyle w:val="corte4fondo"/>
        <w:tabs>
          <w:tab w:val="left" w:pos="709"/>
        </w:tabs>
        <w:spacing w:after="240"/>
        <w:ind w:left="709" w:right="757" w:firstLine="0"/>
        <w:rPr>
          <w:i/>
          <w:sz w:val="22"/>
          <w:szCs w:val="22"/>
        </w:rPr>
      </w:pPr>
      <w:r>
        <w:rPr>
          <w:i/>
          <w:sz w:val="22"/>
          <w:szCs w:val="22"/>
        </w:rPr>
        <w:t xml:space="preserve">Las atribuciones previstas en las fracciones II, IV, V, VII, VIII, IX, </w:t>
      </w:r>
      <w:r w:rsidRPr="00EE1E42">
        <w:rPr>
          <w:b/>
          <w:i/>
          <w:sz w:val="22"/>
          <w:szCs w:val="22"/>
        </w:rPr>
        <w:t>X</w:t>
      </w:r>
      <w:r>
        <w:rPr>
          <w:i/>
          <w:sz w:val="22"/>
          <w:szCs w:val="22"/>
        </w:rPr>
        <w:t>, XI, XII, XIII, XV, XVI y XVII, son del ejercicio directo del Auditor Superior y por tanto no podrán ser delegadas.”</w:t>
      </w:r>
    </w:p>
    <w:p w14:paraId="7C4EA3AE" w14:textId="77777777" w:rsidR="00263337" w:rsidRDefault="00263337" w:rsidP="006B6B3A">
      <w:pPr>
        <w:tabs>
          <w:tab w:val="left" w:pos="5670"/>
        </w:tabs>
        <w:spacing w:before="240" w:after="0" w:line="360" w:lineRule="auto"/>
        <w:ind w:right="51" w:firstLine="709"/>
        <w:jc w:val="both"/>
        <w:rPr>
          <w:rFonts w:ascii="Arial" w:hAnsi="Arial" w:cs="Arial"/>
          <w:sz w:val="26"/>
          <w:szCs w:val="26"/>
        </w:rPr>
      </w:pPr>
    </w:p>
    <w:p w14:paraId="4D228066" w14:textId="50CF6782" w:rsidR="006B6B3A" w:rsidRDefault="00AA3DFA" w:rsidP="006B6B3A">
      <w:pPr>
        <w:tabs>
          <w:tab w:val="left" w:pos="5670"/>
        </w:tabs>
        <w:spacing w:before="240" w:after="0" w:line="360" w:lineRule="auto"/>
        <w:ind w:right="51" w:firstLine="709"/>
        <w:jc w:val="both"/>
        <w:rPr>
          <w:rFonts w:ascii="Arial" w:hAnsi="Arial" w:cs="Arial"/>
          <w:sz w:val="26"/>
          <w:szCs w:val="26"/>
        </w:rPr>
      </w:pPr>
      <w:r>
        <w:rPr>
          <w:rFonts w:ascii="Arial" w:hAnsi="Arial" w:cs="Arial"/>
          <w:sz w:val="26"/>
          <w:szCs w:val="26"/>
        </w:rPr>
        <w:t>41. L</w:t>
      </w:r>
      <w:r w:rsidR="006B6B3A" w:rsidRPr="00700CE4">
        <w:rPr>
          <w:rFonts w:ascii="Arial" w:hAnsi="Arial" w:cs="Arial"/>
          <w:sz w:val="26"/>
          <w:szCs w:val="26"/>
        </w:rPr>
        <w:t xml:space="preserve">o </w:t>
      </w:r>
      <w:r>
        <w:rPr>
          <w:rFonts w:ascii="Arial" w:hAnsi="Arial" w:cs="Arial"/>
          <w:sz w:val="26"/>
          <w:szCs w:val="26"/>
        </w:rPr>
        <w:t>que evidentemente vulnera</w:t>
      </w:r>
      <w:r w:rsidR="006B6B3A" w:rsidRPr="00700CE4">
        <w:rPr>
          <w:rFonts w:ascii="Arial" w:hAnsi="Arial" w:cs="Arial"/>
          <w:sz w:val="26"/>
          <w:szCs w:val="26"/>
        </w:rPr>
        <w:t xml:space="preserve"> la garantía de legalidad y seguridad jurídica prevista en el artículo 16 de la </w:t>
      </w:r>
      <w:r>
        <w:rPr>
          <w:rFonts w:ascii="Arial" w:hAnsi="Arial" w:cs="Arial"/>
          <w:sz w:val="26"/>
          <w:szCs w:val="26"/>
        </w:rPr>
        <w:t>Federal</w:t>
      </w:r>
      <w:r w:rsidR="006B6B3A" w:rsidRPr="00700CE4">
        <w:rPr>
          <w:rFonts w:ascii="Arial" w:hAnsi="Arial" w:cs="Arial"/>
          <w:sz w:val="26"/>
          <w:szCs w:val="26"/>
        </w:rPr>
        <w:t>, en perjuicio del</w:t>
      </w:r>
      <w:r>
        <w:rPr>
          <w:rFonts w:ascii="Arial" w:hAnsi="Arial" w:cs="Arial"/>
          <w:sz w:val="26"/>
          <w:szCs w:val="26"/>
        </w:rPr>
        <w:t xml:space="preserve"> demandante</w:t>
      </w:r>
      <w:r w:rsidR="006B6B3A" w:rsidRPr="00700CE4">
        <w:rPr>
          <w:rFonts w:ascii="Arial" w:hAnsi="Arial" w:cs="Arial"/>
          <w:sz w:val="26"/>
          <w:szCs w:val="26"/>
        </w:rPr>
        <w:t>.</w:t>
      </w:r>
    </w:p>
    <w:p w14:paraId="3FA49F4C" w14:textId="40D21B2F" w:rsidR="006B6B3A" w:rsidRPr="00700CE4" w:rsidRDefault="00AA3DFA" w:rsidP="00AA3DFA">
      <w:pPr>
        <w:tabs>
          <w:tab w:val="left" w:pos="5670"/>
        </w:tabs>
        <w:spacing w:before="240" w:line="360" w:lineRule="auto"/>
        <w:ind w:right="51" w:firstLine="709"/>
        <w:jc w:val="both"/>
        <w:rPr>
          <w:rFonts w:ascii="Arial" w:hAnsi="Arial" w:cs="Arial"/>
          <w:sz w:val="26"/>
          <w:szCs w:val="26"/>
          <w:lang w:val="es-ES_tradnl"/>
        </w:rPr>
      </w:pPr>
      <w:r>
        <w:rPr>
          <w:rFonts w:ascii="Arial" w:hAnsi="Arial" w:cs="Arial"/>
          <w:sz w:val="26"/>
          <w:szCs w:val="26"/>
        </w:rPr>
        <w:t xml:space="preserve">42. </w:t>
      </w:r>
      <w:r w:rsidR="006B6B3A" w:rsidRPr="00700CE4">
        <w:rPr>
          <w:rFonts w:ascii="Arial" w:hAnsi="Arial" w:cs="Arial"/>
          <w:color w:val="000000"/>
          <w:sz w:val="26"/>
          <w:szCs w:val="26"/>
          <w:lang w:val="es-ES_tradnl"/>
        </w:rPr>
        <w:t xml:space="preserve">De </w:t>
      </w:r>
      <w:r w:rsidR="006B6B3A" w:rsidRPr="00700CE4">
        <w:rPr>
          <w:rFonts w:ascii="Arial" w:hAnsi="Arial" w:cs="Arial"/>
          <w:sz w:val="26"/>
          <w:szCs w:val="26"/>
          <w:lang w:val="es-ES_tradnl"/>
        </w:rPr>
        <w:t>modo que, en el presente caso, no es dable estimar debidamente fundadas las atribuciones de la aut</w:t>
      </w:r>
      <w:r w:rsidR="006B6B3A">
        <w:rPr>
          <w:rFonts w:ascii="Arial" w:hAnsi="Arial" w:cs="Arial"/>
          <w:sz w:val="26"/>
          <w:szCs w:val="26"/>
          <w:lang w:val="es-ES_tradnl"/>
        </w:rPr>
        <w:t xml:space="preserve">oridad fiscalizadora para </w:t>
      </w:r>
      <w:r w:rsidR="006B6B3A" w:rsidRPr="00A0632E">
        <w:rPr>
          <w:rFonts w:ascii="Arial" w:hAnsi="Arial" w:cs="Arial"/>
          <w:sz w:val="26"/>
          <w:szCs w:val="26"/>
          <w:lang w:val="es-ES_tradnl"/>
        </w:rPr>
        <w:t>condenar al hoy actor, al resarcimiento de los daños ocasionados a la Hacienda Pública</w:t>
      </w:r>
      <w:r w:rsidR="006B6B3A">
        <w:rPr>
          <w:rFonts w:ascii="Arial" w:hAnsi="Arial" w:cs="Arial"/>
          <w:sz w:val="26"/>
          <w:szCs w:val="26"/>
          <w:lang w:val="es-ES_tradnl"/>
        </w:rPr>
        <w:t xml:space="preserve"> del municipio en mención, </w:t>
      </w:r>
      <w:r w:rsidR="006B6B3A" w:rsidRPr="00700CE4">
        <w:rPr>
          <w:rFonts w:ascii="Arial" w:hAnsi="Arial" w:cs="Arial"/>
          <w:sz w:val="26"/>
          <w:szCs w:val="26"/>
          <w:lang w:val="es-ES_tradnl"/>
        </w:rPr>
        <w:t xml:space="preserve">considerando que la </w:t>
      </w:r>
      <w:r w:rsidR="006B6B3A" w:rsidRPr="00700CE4">
        <w:rPr>
          <w:rFonts w:ascii="Arial" w:hAnsi="Arial" w:cs="Arial"/>
          <w:sz w:val="26"/>
          <w:szCs w:val="26"/>
        </w:rPr>
        <w:t xml:space="preserve">Titular de la Unidad de Asuntos Jurídicos </w:t>
      </w:r>
      <w:r w:rsidR="006B6B3A" w:rsidRPr="00700CE4">
        <w:rPr>
          <w:rFonts w:ascii="Arial" w:hAnsi="Arial" w:cs="Arial"/>
          <w:sz w:val="26"/>
          <w:szCs w:val="26"/>
          <w:lang w:val="es-ES_tradnl"/>
        </w:rPr>
        <w:t xml:space="preserve">del Órgano Superior de Fiscalización del Estado de Oaxaca, </w:t>
      </w:r>
      <w:r>
        <w:rPr>
          <w:rFonts w:ascii="Arial" w:hAnsi="Arial" w:cs="Arial"/>
          <w:sz w:val="26"/>
          <w:szCs w:val="26"/>
          <w:lang w:val="es-ES_tradnl"/>
        </w:rPr>
        <w:t>carecía de atribuciones legales para instruir y resolver el procedimiento para el fincamiento de responsabilidad administrativa resarcitoria.</w:t>
      </w:r>
      <w:r w:rsidR="006B6B3A" w:rsidRPr="00700CE4">
        <w:rPr>
          <w:rFonts w:ascii="Arial" w:hAnsi="Arial" w:cs="Arial"/>
          <w:sz w:val="26"/>
          <w:szCs w:val="26"/>
          <w:lang w:val="es-ES_tradnl"/>
        </w:rPr>
        <w:t xml:space="preserve"> </w:t>
      </w:r>
    </w:p>
    <w:p w14:paraId="29800313" w14:textId="05DC737C" w:rsidR="006B6B3A" w:rsidRPr="00700CE4" w:rsidRDefault="00AA3DFA" w:rsidP="006B6B3A">
      <w:pPr>
        <w:tabs>
          <w:tab w:val="left" w:pos="0"/>
        </w:tabs>
        <w:spacing w:after="0" w:line="360" w:lineRule="auto"/>
        <w:ind w:right="51" w:firstLine="709"/>
        <w:jc w:val="both"/>
        <w:rPr>
          <w:rFonts w:ascii="Arial" w:hAnsi="Arial" w:cs="Arial"/>
          <w:sz w:val="26"/>
          <w:szCs w:val="26"/>
          <w:lang w:val="es-ES_tradnl"/>
        </w:rPr>
      </w:pPr>
      <w:r>
        <w:rPr>
          <w:rFonts w:ascii="Arial" w:hAnsi="Arial" w:cs="Arial"/>
          <w:sz w:val="26"/>
          <w:szCs w:val="26"/>
          <w:lang w:val="es-ES_tradnl"/>
        </w:rPr>
        <w:t xml:space="preserve">43. </w:t>
      </w:r>
      <w:r w:rsidR="006B6B3A" w:rsidRPr="00700CE4">
        <w:rPr>
          <w:rFonts w:ascii="Arial" w:hAnsi="Arial" w:cs="Arial"/>
          <w:sz w:val="26"/>
          <w:szCs w:val="26"/>
          <w:lang w:val="es-ES_tradnl"/>
        </w:rPr>
        <w:t>En respaldo a lo anterior, se invoca 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2F02A8ED" w14:textId="77777777" w:rsidR="006B6B3A" w:rsidRPr="00700CE4" w:rsidRDefault="006B6B3A" w:rsidP="006B6B3A">
      <w:pPr>
        <w:spacing w:after="0" w:line="360" w:lineRule="auto"/>
        <w:jc w:val="both"/>
        <w:rPr>
          <w:rFonts w:ascii="Arial" w:hAnsi="Arial" w:cs="Arial"/>
        </w:rPr>
      </w:pPr>
    </w:p>
    <w:p w14:paraId="14174858" w14:textId="77777777" w:rsidR="006B6B3A" w:rsidRPr="00700CE4" w:rsidRDefault="006B6B3A" w:rsidP="006B6B3A">
      <w:pPr>
        <w:spacing w:after="0" w:line="360" w:lineRule="auto"/>
        <w:ind w:left="709" w:right="758"/>
        <w:jc w:val="both"/>
        <w:rPr>
          <w:rFonts w:ascii="Arial" w:hAnsi="Arial" w:cs="Arial"/>
          <w:i/>
        </w:rPr>
      </w:pPr>
      <w:r w:rsidRPr="00700CE4">
        <w:rPr>
          <w:rFonts w:ascii="Arial" w:hAnsi="Arial" w:cs="Arial"/>
          <w:b/>
          <w:i/>
        </w:rPr>
        <w:t>“FUNDAMENTACIÓN Y MOTIVACIÓN</w:t>
      </w:r>
      <w:r w:rsidRPr="00700CE4">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5C3F0CF1" w14:textId="77777777" w:rsidR="006B6B3A" w:rsidRPr="00700CE4" w:rsidRDefault="006B6B3A" w:rsidP="006B6B3A">
      <w:pPr>
        <w:spacing w:after="0" w:line="360" w:lineRule="auto"/>
        <w:ind w:left="709" w:right="758"/>
        <w:jc w:val="both"/>
        <w:rPr>
          <w:rFonts w:ascii="Arial" w:hAnsi="Arial" w:cs="Arial"/>
          <w:i/>
        </w:rPr>
      </w:pPr>
    </w:p>
    <w:p w14:paraId="79E0637F" w14:textId="42D5E6B1" w:rsidR="006B6B3A" w:rsidRPr="00700CE4" w:rsidRDefault="00AA3DFA" w:rsidP="006B6B3A">
      <w:pPr>
        <w:tabs>
          <w:tab w:val="left" w:pos="0"/>
        </w:tabs>
        <w:spacing w:after="0" w:line="360" w:lineRule="auto"/>
        <w:ind w:right="51" w:firstLine="709"/>
        <w:jc w:val="both"/>
        <w:rPr>
          <w:rFonts w:ascii="Arial" w:hAnsi="Arial" w:cs="Arial"/>
          <w:sz w:val="26"/>
          <w:szCs w:val="26"/>
        </w:rPr>
      </w:pPr>
      <w:r>
        <w:rPr>
          <w:rFonts w:ascii="Arial" w:hAnsi="Arial" w:cs="Arial"/>
          <w:sz w:val="26"/>
          <w:szCs w:val="26"/>
        </w:rPr>
        <w:t xml:space="preserve">44. </w:t>
      </w:r>
      <w:r w:rsidR="006B6B3A" w:rsidRPr="00700CE4">
        <w:rPr>
          <w:rFonts w:ascii="Arial" w:hAnsi="Arial" w:cs="Arial"/>
          <w:sz w:val="26"/>
          <w:szCs w:val="26"/>
        </w:rPr>
        <w:t xml:space="preserve">Además es aplicable la jurisprudencia I.6o.C. J/52 del Sexto Tribunal Colegiado en Materia Civil del Primer Circuito, dictada en la Novena </w:t>
      </w:r>
      <w:r w:rsidR="006B6B3A" w:rsidRPr="00700CE4">
        <w:rPr>
          <w:rFonts w:ascii="Arial" w:hAnsi="Arial" w:cs="Arial"/>
          <w:sz w:val="26"/>
          <w:szCs w:val="26"/>
        </w:rPr>
        <w:lastRenderedPageBreak/>
        <w:t>Época, y publicada en la página 2127 del Semanario Judicial de la Federación y su Gaceta en el Tomo XXV de enero de 2007, con registro digital 173565, con el rubro y texto siguiente:</w:t>
      </w:r>
    </w:p>
    <w:p w14:paraId="3055F932" w14:textId="77777777" w:rsidR="006B6B3A" w:rsidRPr="00700CE4" w:rsidRDefault="006B6B3A" w:rsidP="006B6B3A">
      <w:pPr>
        <w:tabs>
          <w:tab w:val="left" w:pos="0"/>
        </w:tabs>
        <w:spacing w:after="0" w:line="360" w:lineRule="auto"/>
        <w:ind w:right="51" w:firstLine="709"/>
        <w:jc w:val="both"/>
        <w:rPr>
          <w:rFonts w:ascii="Arial" w:hAnsi="Arial" w:cs="Arial"/>
          <w:sz w:val="26"/>
          <w:szCs w:val="26"/>
        </w:rPr>
      </w:pPr>
    </w:p>
    <w:p w14:paraId="6D45C8F4" w14:textId="77777777" w:rsidR="006B6B3A" w:rsidRPr="00700CE4" w:rsidRDefault="006B6B3A" w:rsidP="006B6B3A">
      <w:pPr>
        <w:spacing w:after="0" w:line="360" w:lineRule="auto"/>
        <w:ind w:left="709" w:right="758"/>
        <w:jc w:val="both"/>
        <w:rPr>
          <w:rFonts w:ascii="Arial" w:hAnsi="Arial" w:cs="Arial"/>
          <w:i/>
        </w:rPr>
      </w:pPr>
      <w:r w:rsidRPr="00700CE4">
        <w:rPr>
          <w:rFonts w:ascii="Arial" w:hAnsi="Arial" w:cs="Arial"/>
          <w:b/>
          <w:i/>
        </w:rPr>
        <w:t>“FUNDAMENTACIÓN Y MOTIVACIÓN. SU DISTINCIÓN ENTRE SU FALTA Y CUANDO ES INDEBIDA</w:t>
      </w:r>
      <w:r w:rsidRPr="00700CE4">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6E6A3A62" w14:textId="77777777" w:rsidR="00263337" w:rsidRDefault="00263337" w:rsidP="006B6B3A">
      <w:pPr>
        <w:spacing w:before="240" w:line="360" w:lineRule="auto"/>
        <w:ind w:firstLine="360"/>
        <w:jc w:val="both"/>
        <w:rPr>
          <w:rFonts w:ascii="Arial" w:hAnsi="Arial" w:cs="Arial"/>
          <w:sz w:val="26"/>
          <w:szCs w:val="26"/>
        </w:rPr>
      </w:pPr>
    </w:p>
    <w:p w14:paraId="5FE0E990" w14:textId="7649F571" w:rsidR="006B6B3A" w:rsidRPr="00700CE4" w:rsidRDefault="00AA3DFA" w:rsidP="006B6B3A">
      <w:pPr>
        <w:spacing w:before="240" w:line="360" w:lineRule="auto"/>
        <w:ind w:firstLine="360"/>
        <w:jc w:val="both"/>
        <w:rPr>
          <w:rFonts w:ascii="Arial" w:hAnsi="Arial" w:cs="Arial"/>
          <w:sz w:val="26"/>
          <w:szCs w:val="26"/>
        </w:rPr>
      </w:pPr>
      <w:r>
        <w:rPr>
          <w:rFonts w:ascii="Arial" w:hAnsi="Arial" w:cs="Arial"/>
          <w:sz w:val="26"/>
          <w:szCs w:val="26"/>
        </w:rPr>
        <w:t xml:space="preserve">45. </w:t>
      </w:r>
      <w:r w:rsidR="006B6B3A" w:rsidRPr="00700CE4">
        <w:rPr>
          <w:rFonts w:ascii="Arial" w:hAnsi="Arial" w:cs="Arial"/>
          <w:sz w:val="26"/>
          <w:szCs w:val="26"/>
        </w:rPr>
        <w:t>También resulta aplicable la tesis</w:t>
      </w:r>
      <w:r w:rsidR="006B6B3A" w:rsidRPr="00700CE4">
        <w:t xml:space="preserve"> </w:t>
      </w:r>
      <w:r w:rsidR="006B6B3A" w:rsidRPr="00700CE4">
        <w:rPr>
          <w:rFonts w:ascii="Arial" w:hAnsi="Arial" w:cs="Arial"/>
          <w:sz w:val="26"/>
          <w:szCs w:val="26"/>
        </w:rPr>
        <w:t>2a./J. 57/2001, con número de registro digital 188432, emitida por la Segunda Sala de la Suprema Corte de Justicia de la Nación, perteneciente a la Novena Época, visible en el Semanario Judicial de la Federación y su Gaceta, Tomo XIV, Noviembre de 2001, página 31, de rubro y texto siguientes:</w:t>
      </w:r>
    </w:p>
    <w:p w14:paraId="526D19AB" w14:textId="77777777" w:rsidR="006B6B3A" w:rsidRPr="00700CE4" w:rsidRDefault="006B6B3A" w:rsidP="006B6B3A">
      <w:pPr>
        <w:spacing w:before="240" w:line="360" w:lineRule="auto"/>
        <w:ind w:left="567" w:right="616"/>
        <w:jc w:val="both"/>
        <w:rPr>
          <w:rFonts w:ascii="Arial" w:hAnsi="Arial" w:cs="Arial"/>
          <w:i/>
        </w:rPr>
      </w:pPr>
      <w:r w:rsidRPr="00700CE4">
        <w:rPr>
          <w:rFonts w:ascii="Arial" w:hAnsi="Arial" w:cs="Arial"/>
          <w:b/>
          <w:i/>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Pr="00700CE4">
        <w:rPr>
          <w:rFonts w:ascii="Arial" w:hAnsi="Arial" w:cs="Arial"/>
          <w:i/>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w:t>
      </w:r>
      <w:r w:rsidRPr="00700CE4">
        <w:rPr>
          <w:rFonts w:ascii="Arial" w:hAnsi="Arial" w:cs="Arial"/>
          <w:i/>
        </w:rPr>
        <w:lastRenderedPageBreak/>
        <w:t xml:space="preserve">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700CE4">
        <w:rPr>
          <w:rFonts w:ascii="Arial" w:hAnsi="Arial" w:cs="Arial"/>
          <w:i/>
        </w:rPr>
        <w:t>subincisos</w:t>
      </w:r>
      <w:proofErr w:type="spellEnd"/>
      <w:r w:rsidRPr="00700CE4">
        <w:rPr>
          <w:rFonts w:ascii="Arial" w:hAnsi="Arial" w:cs="Arial"/>
          <w:i/>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 Contradicción de tesis 94/2000-SS. Entre las sustentadas por el Tercer Tribunal Colegiado en Materia Administrativa del Sexto Circuito y el Primer y Cuarto Tribunales Colegiados en Materia Administrativa, ambos del Primer Circuito. 26 de octubre de 2001. Unanimidad de cuatro votos. Ausente: Juan Díaz Romero. Ponente: Guillermo I. Ortiz </w:t>
      </w:r>
      <w:proofErr w:type="spellStart"/>
      <w:r w:rsidRPr="00700CE4">
        <w:rPr>
          <w:rFonts w:ascii="Arial" w:hAnsi="Arial" w:cs="Arial"/>
          <w:i/>
        </w:rPr>
        <w:t>Mayagoitia</w:t>
      </w:r>
      <w:proofErr w:type="spellEnd"/>
      <w:r w:rsidRPr="00700CE4">
        <w:rPr>
          <w:rFonts w:ascii="Arial" w:hAnsi="Arial" w:cs="Arial"/>
          <w:i/>
        </w:rPr>
        <w:t>. Secretaria: Lourdes Margarita García Galicia.</w:t>
      </w:r>
    </w:p>
    <w:p w14:paraId="6C6F1CFA" w14:textId="77777777" w:rsidR="00AA3DFA" w:rsidRDefault="00AA3DFA" w:rsidP="006B6B3A">
      <w:pPr>
        <w:tabs>
          <w:tab w:val="left" w:pos="0"/>
          <w:tab w:val="left" w:pos="5670"/>
        </w:tabs>
        <w:spacing w:before="240" w:after="0" w:line="360" w:lineRule="auto"/>
        <w:ind w:right="51" w:firstLine="709"/>
        <w:jc w:val="both"/>
        <w:rPr>
          <w:rFonts w:ascii="Arial" w:hAnsi="Arial" w:cs="Arial"/>
          <w:sz w:val="26"/>
          <w:szCs w:val="26"/>
          <w:lang w:val="es-ES_tradnl"/>
        </w:rPr>
      </w:pPr>
    </w:p>
    <w:p w14:paraId="6B605711" w14:textId="186D5696" w:rsidR="00AA3DFA" w:rsidRPr="00AA3DFA" w:rsidRDefault="00AA3DFA" w:rsidP="006B6B3A">
      <w:pPr>
        <w:tabs>
          <w:tab w:val="left" w:pos="0"/>
          <w:tab w:val="left" w:pos="5670"/>
        </w:tabs>
        <w:spacing w:before="240" w:after="0" w:line="360" w:lineRule="auto"/>
        <w:ind w:right="51" w:firstLine="709"/>
        <w:jc w:val="both"/>
        <w:rPr>
          <w:rFonts w:ascii="Arial" w:hAnsi="Arial" w:cs="Arial"/>
          <w:b/>
          <w:sz w:val="26"/>
          <w:szCs w:val="26"/>
          <w:lang w:val="es-ES_tradnl"/>
        </w:rPr>
      </w:pPr>
      <w:r>
        <w:rPr>
          <w:rFonts w:ascii="Arial" w:hAnsi="Arial" w:cs="Arial"/>
          <w:b/>
          <w:sz w:val="26"/>
          <w:szCs w:val="26"/>
          <w:lang w:val="es-ES_tradnl"/>
        </w:rPr>
        <w:t>NOVENO. DECISIÓN.</w:t>
      </w:r>
    </w:p>
    <w:p w14:paraId="14E7B0E1" w14:textId="77777777" w:rsidR="00AA3DFA" w:rsidRDefault="00AA3DFA" w:rsidP="006B6B3A">
      <w:pPr>
        <w:tabs>
          <w:tab w:val="left" w:pos="0"/>
          <w:tab w:val="left" w:pos="5670"/>
        </w:tabs>
        <w:spacing w:before="240" w:after="0" w:line="360" w:lineRule="auto"/>
        <w:ind w:right="51" w:firstLine="709"/>
        <w:jc w:val="both"/>
        <w:rPr>
          <w:rFonts w:ascii="Arial" w:hAnsi="Arial" w:cs="Arial"/>
          <w:sz w:val="26"/>
          <w:szCs w:val="26"/>
          <w:lang w:val="es-ES_tradnl"/>
        </w:rPr>
      </w:pPr>
      <w:r>
        <w:rPr>
          <w:rFonts w:ascii="Arial" w:hAnsi="Arial" w:cs="Arial"/>
          <w:sz w:val="26"/>
          <w:szCs w:val="26"/>
          <w:lang w:val="es-ES_tradnl"/>
        </w:rPr>
        <w:t xml:space="preserve">46. </w:t>
      </w:r>
      <w:r w:rsidR="006B6B3A" w:rsidRPr="00700CE4">
        <w:rPr>
          <w:rFonts w:ascii="Arial" w:hAnsi="Arial" w:cs="Arial"/>
          <w:sz w:val="26"/>
          <w:szCs w:val="26"/>
          <w:lang w:val="es-ES_tradnl"/>
        </w:rPr>
        <w:t xml:space="preserve">Por lo anterior, se colige que las resoluciones dictadas tanto en el expediente de recurso de reconsideración </w:t>
      </w:r>
      <w:r w:rsidR="006B6B3A" w:rsidRPr="00A424E6">
        <w:rPr>
          <w:rFonts w:ascii="Arial" w:hAnsi="Arial" w:cs="Arial"/>
          <w:b/>
          <w:sz w:val="26"/>
          <w:szCs w:val="26"/>
          <w:lang w:val="es-ES_tradnl"/>
        </w:rPr>
        <w:t>OSFE/REC.R./0084/2019</w:t>
      </w:r>
      <w:r w:rsidR="006B6B3A" w:rsidRPr="00A424E6">
        <w:rPr>
          <w:rFonts w:ascii="Arial" w:hAnsi="Arial" w:cs="Arial"/>
          <w:sz w:val="26"/>
          <w:szCs w:val="26"/>
          <w:lang w:val="es-ES_tradnl"/>
        </w:rPr>
        <w:t xml:space="preserve"> y su acumulado </w:t>
      </w:r>
      <w:r w:rsidR="006B6B3A" w:rsidRPr="00A424E6">
        <w:rPr>
          <w:rFonts w:ascii="Arial" w:hAnsi="Arial" w:cs="Arial"/>
          <w:b/>
          <w:sz w:val="26"/>
          <w:szCs w:val="26"/>
          <w:lang w:val="es-ES_tradnl"/>
        </w:rPr>
        <w:t>OSFE/REC.R./0085/2019,</w:t>
      </w:r>
      <w:r w:rsidR="006B6B3A">
        <w:rPr>
          <w:rFonts w:ascii="Arial" w:hAnsi="Arial" w:cs="Arial"/>
          <w:b/>
          <w:sz w:val="26"/>
          <w:szCs w:val="26"/>
          <w:lang w:val="es-ES_tradnl"/>
        </w:rPr>
        <w:t xml:space="preserve"> </w:t>
      </w:r>
      <w:r w:rsidR="006B6B3A" w:rsidRPr="00700CE4">
        <w:rPr>
          <w:rFonts w:ascii="Arial" w:hAnsi="Arial" w:cs="Arial"/>
          <w:sz w:val="26"/>
          <w:szCs w:val="26"/>
          <w:lang w:val="es-ES_tradnl"/>
        </w:rPr>
        <w:t>como en el procedimiento primigenio en el diverso expediente número</w:t>
      </w:r>
      <w:r w:rsidR="006B6B3A">
        <w:rPr>
          <w:rFonts w:ascii="Arial" w:hAnsi="Arial" w:cs="Arial"/>
          <w:sz w:val="26"/>
          <w:szCs w:val="26"/>
          <w:lang w:val="es-ES_tradnl"/>
        </w:rPr>
        <w:t xml:space="preserve"> </w:t>
      </w:r>
      <w:r w:rsidR="006B6B3A" w:rsidRPr="00A424E6">
        <w:rPr>
          <w:rFonts w:ascii="Arial" w:hAnsi="Arial" w:cs="Arial"/>
          <w:b/>
          <w:sz w:val="26"/>
          <w:szCs w:val="26"/>
          <w:lang w:val="es-ES_tradnl"/>
        </w:rPr>
        <w:t>ASE/UAJ/P.R/027/2017</w:t>
      </w:r>
      <w:r w:rsidR="006B6B3A" w:rsidRPr="00A424E6">
        <w:rPr>
          <w:rFonts w:ascii="Arial" w:hAnsi="Arial" w:cs="Arial"/>
          <w:sz w:val="26"/>
          <w:szCs w:val="26"/>
          <w:lang w:val="es-ES_tradnl"/>
        </w:rPr>
        <w:t>,</w:t>
      </w:r>
      <w:r w:rsidR="006B6B3A">
        <w:rPr>
          <w:rFonts w:ascii="Arial" w:hAnsi="Arial" w:cs="Arial"/>
          <w:sz w:val="26"/>
          <w:szCs w:val="26"/>
          <w:lang w:val="es-ES_tradnl"/>
        </w:rPr>
        <w:t xml:space="preserve"> </w:t>
      </w:r>
      <w:r w:rsidR="006B6B3A" w:rsidRPr="00700CE4">
        <w:rPr>
          <w:rFonts w:ascii="Arial" w:hAnsi="Arial" w:cs="Arial"/>
          <w:sz w:val="26"/>
          <w:szCs w:val="26"/>
          <w:lang w:val="es-ES_tradnl"/>
        </w:rPr>
        <w:t>contienen deficiencias en la fundamentación de la competencia de las autoridades emisoras, requisito exigido por los artículos 16 de la Constitución Federal, y 17 fracción V</w:t>
      </w:r>
      <w:r w:rsidR="006B6B3A" w:rsidRPr="00700CE4">
        <w:rPr>
          <w:rFonts w:ascii="Arial" w:hAnsi="Arial" w:cs="Arial"/>
          <w:sz w:val="26"/>
          <w:szCs w:val="26"/>
          <w:vertAlign w:val="superscript"/>
          <w:lang w:val="es-ES_tradnl"/>
        </w:rPr>
        <w:footnoteReference w:id="14"/>
      </w:r>
      <w:r w:rsidR="006B6B3A" w:rsidRPr="00700CE4">
        <w:rPr>
          <w:rFonts w:ascii="Arial" w:hAnsi="Arial" w:cs="Arial"/>
          <w:sz w:val="26"/>
          <w:szCs w:val="26"/>
          <w:lang w:val="es-ES_tradnl"/>
        </w:rPr>
        <w:t xml:space="preserve"> de la Ley de Procedimiento y Justicia Administr</w:t>
      </w:r>
      <w:r>
        <w:rPr>
          <w:rFonts w:ascii="Arial" w:hAnsi="Arial" w:cs="Arial"/>
          <w:sz w:val="26"/>
          <w:szCs w:val="26"/>
          <w:lang w:val="es-ES_tradnl"/>
        </w:rPr>
        <w:t>ativa para el Estado de Oaxaca.</w:t>
      </w:r>
    </w:p>
    <w:p w14:paraId="4CED85DE" w14:textId="77777777" w:rsidR="00AA3DFA" w:rsidRDefault="00AA3DFA" w:rsidP="006B6B3A">
      <w:pPr>
        <w:tabs>
          <w:tab w:val="left" w:pos="0"/>
          <w:tab w:val="left" w:pos="5670"/>
        </w:tabs>
        <w:spacing w:before="240" w:after="0" w:line="360" w:lineRule="auto"/>
        <w:ind w:right="51" w:firstLine="709"/>
        <w:jc w:val="both"/>
        <w:rPr>
          <w:rFonts w:ascii="Arial" w:hAnsi="Arial" w:cs="Arial"/>
          <w:sz w:val="26"/>
          <w:szCs w:val="26"/>
        </w:rPr>
      </w:pPr>
      <w:r>
        <w:rPr>
          <w:rFonts w:ascii="Arial" w:hAnsi="Arial" w:cs="Arial"/>
          <w:sz w:val="26"/>
          <w:szCs w:val="26"/>
          <w:lang w:val="es-ES_tradnl"/>
        </w:rPr>
        <w:t>47. L</w:t>
      </w:r>
      <w:r w:rsidR="006B6B3A" w:rsidRPr="00700CE4">
        <w:rPr>
          <w:rFonts w:ascii="Arial" w:hAnsi="Arial" w:cs="Arial"/>
          <w:sz w:val="26"/>
          <w:szCs w:val="26"/>
          <w:lang w:val="es-ES_tradnl"/>
        </w:rPr>
        <w:t xml:space="preserve">o cual incide en su validez y en sus efectos, porque constituye una violación formal en las resoluciones referidas, que al no ser subsanable, obliga en consecuencia </w:t>
      </w:r>
      <w:r w:rsidR="006B6B3A" w:rsidRPr="00700CE4">
        <w:rPr>
          <w:rFonts w:ascii="Arial" w:hAnsi="Arial" w:cs="Arial"/>
          <w:b/>
          <w:sz w:val="26"/>
          <w:szCs w:val="26"/>
          <w:lang w:val="es-ES_tradnl"/>
        </w:rPr>
        <w:t>a dejar sin efectos</w:t>
      </w:r>
      <w:r w:rsidR="006B6B3A" w:rsidRPr="00700CE4">
        <w:rPr>
          <w:rFonts w:ascii="Arial" w:hAnsi="Arial" w:cs="Arial"/>
          <w:sz w:val="26"/>
          <w:szCs w:val="26"/>
          <w:lang w:val="es-ES_tradnl"/>
        </w:rPr>
        <w:t xml:space="preserve"> </w:t>
      </w:r>
      <w:r w:rsidR="006B6B3A" w:rsidRPr="00700CE4">
        <w:rPr>
          <w:rFonts w:ascii="Arial" w:hAnsi="Arial" w:cs="Arial"/>
          <w:sz w:val="26"/>
          <w:szCs w:val="26"/>
        </w:rPr>
        <w:t xml:space="preserve">los actos consistentes en: </w:t>
      </w:r>
      <w:r w:rsidR="006B6B3A" w:rsidRPr="00700CE4">
        <w:rPr>
          <w:rFonts w:ascii="Arial" w:hAnsi="Arial" w:cs="Arial"/>
          <w:b/>
          <w:sz w:val="26"/>
          <w:szCs w:val="26"/>
        </w:rPr>
        <w:t>a)</w:t>
      </w:r>
      <w:r w:rsidR="006B6B3A" w:rsidRPr="00700CE4">
        <w:rPr>
          <w:rFonts w:ascii="Arial" w:hAnsi="Arial" w:cs="Arial"/>
          <w:sz w:val="26"/>
          <w:szCs w:val="26"/>
        </w:rPr>
        <w:t xml:space="preserve"> </w:t>
      </w:r>
      <w:r w:rsidR="006B6B3A" w:rsidRPr="00AC58DE">
        <w:rPr>
          <w:rFonts w:ascii="Arial" w:hAnsi="Arial" w:cs="Arial"/>
          <w:sz w:val="26"/>
          <w:szCs w:val="26"/>
        </w:rPr>
        <w:t xml:space="preserve">la </w:t>
      </w:r>
      <w:r w:rsidR="006B6B3A" w:rsidRPr="00AC58DE">
        <w:rPr>
          <w:rFonts w:ascii="Arial" w:hAnsi="Arial" w:cs="Arial"/>
          <w:sz w:val="26"/>
          <w:szCs w:val="26"/>
        </w:rPr>
        <w:lastRenderedPageBreak/>
        <w:t xml:space="preserve">resolución de veinticuatro </w:t>
      </w:r>
      <w:r w:rsidR="006B6B3A">
        <w:rPr>
          <w:rFonts w:ascii="Arial" w:hAnsi="Arial" w:cs="Arial"/>
          <w:sz w:val="26"/>
          <w:szCs w:val="26"/>
        </w:rPr>
        <w:t xml:space="preserve">de octubre de dos mil veintidós dictada en el </w:t>
      </w:r>
      <w:r w:rsidR="006B6B3A" w:rsidRPr="00700CE4">
        <w:rPr>
          <w:rFonts w:ascii="Arial" w:hAnsi="Arial" w:cs="Arial"/>
          <w:sz w:val="26"/>
          <w:szCs w:val="26"/>
          <w:lang w:val="es-ES_tradnl"/>
        </w:rPr>
        <w:t xml:space="preserve">recurso de reconsideración </w:t>
      </w:r>
      <w:r w:rsidR="006B6B3A" w:rsidRPr="00A424E6">
        <w:rPr>
          <w:rFonts w:ascii="Arial" w:hAnsi="Arial" w:cs="Arial"/>
          <w:b/>
          <w:sz w:val="26"/>
          <w:szCs w:val="26"/>
          <w:lang w:val="es-ES_tradnl"/>
        </w:rPr>
        <w:t>OSFE/REC.R./0084/2019</w:t>
      </w:r>
      <w:r w:rsidR="006B6B3A" w:rsidRPr="00A424E6">
        <w:rPr>
          <w:rFonts w:ascii="Arial" w:hAnsi="Arial" w:cs="Arial"/>
          <w:sz w:val="26"/>
          <w:szCs w:val="26"/>
          <w:lang w:val="es-ES_tradnl"/>
        </w:rPr>
        <w:t xml:space="preserve"> y su acumulado </w:t>
      </w:r>
      <w:r w:rsidR="006B6B3A" w:rsidRPr="00A424E6">
        <w:rPr>
          <w:rFonts w:ascii="Arial" w:hAnsi="Arial" w:cs="Arial"/>
          <w:b/>
          <w:sz w:val="26"/>
          <w:szCs w:val="26"/>
          <w:lang w:val="es-ES_tradnl"/>
        </w:rPr>
        <w:t>OSFE/REC.R./0085/2019</w:t>
      </w:r>
      <w:r w:rsidR="006B6B3A">
        <w:rPr>
          <w:rFonts w:ascii="Arial" w:hAnsi="Arial" w:cs="Arial"/>
          <w:b/>
          <w:sz w:val="26"/>
          <w:szCs w:val="26"/>
          <w:lang w:val="es-ES_tradnl"/>
        </w:rPr>
        <w:t xml:space="preserve">, </w:t>
      </w:r>
      <w:r w:rsidR="006B6B3A" w:rsidRPr="00700CE4">
        <w:rPr>
          <w:rFonts w:ascii="Arial" w:hAnsi="Arial" w:cs="Arial"/>
          <w:b/>
          <w:sz w:val="26"/>
          <w:szCs w:val="26"/>
        </w:rPr>
        <w:t xml:space="preserve">y b) </w:t>
      </w:r>
      <w:r w:rsidR="006B6B3A" w:rsidRPr="00FB0F36">
        <w:rPr>
          <w:rFonts w:ascii="Arial" w:hAnsi="Arial" w:cs="Arial"/>
          <w:sz w:val="26"/>
          <w:szCs w:val="26"/>
        </w:rPr>
        <w:t xml:space="preserve">la resolución del procedimiento para el fincamiento de responsabilidad administrativa resarcitoria, dictada el tres de agosto de dos mil veinte en el expediente </w:t>
      </w:r>
      <w:r w:rsidR="006B6B3A" w:rsidRPr="00AC58DE">
        <w:rPr>
          <w:rFonts w:ascii="Arial" w:hAnsi="Arial" w:cs="Arial"/>
          <w:b/>
          <w:sz w:val="26"/>
          <w:szCs w:val="26"/>
        </w:rPr>
        <w:t>ASE/UAJ/P.R/027/2017</w:t>
      </w:r>
      <w:r w:rsidR="006B6B3A" w:rsidRPr="00FB0F36">
        <w:rPr>
          <w:rFonts w:ascii="Arial" w:hAnsi="Arial" w:cs="Arial"/>
          <w:sz w:val="26"/>
          <w:szCs w:val="26"/>
        </w:rPr>
        <w:t>,</w:t>
      </w:r>
      <w:r w:rsidR="006B6B3A">
        <w:rPr>
          <w:rFonts w:ascii="Arial" w:hAnsi="Arial" w:cs="Arial"/>
          <w:sz w:val="26"/>
          <w:szCs w:val="26"/>
        </w:rPr>
        <w:t xml:space="preserve"> </w:t>
      </w:r>
      <w:r w:rsidR="006B6B3A" w:rsidRPr="00700CE4">
        <w:rPr>
          <w:rFonts w:ascii="Arial" w:hAnsi="Arial" w:cs="Arial"/>
          <w:sz w:val="26"/>
          <w:szCs w:val="26"/>
        </w:rPr>
        <w:t>que han sido impugnados a través del juicio de in</w:t>
      </w:r>
      <w:r>
        <w:rPr>
          <w:rFonts w:ascii="Arial" w:hAnsi="Arial" w:cs="Arial"/>
          <w:sz w:val="26"/>
          <w:szCs w:val="26"/>
        </w:rPr>
        <w:t>conformidad que hoy se resuelve.</w:t>
      </w:r>
    </w:p>
    <w:p w14:paraId="3E7EA597" w14:textId="35376E19" w:rsidR="006B6B3A" w:rsidRPr="00700CE4" w:rsidRDefault="00AA3DFA" w:rsidP="006B6B3A">
      <w:pPr>
        <w:tabs>
          <w:tab w:val="left" w:pos="0"/>
          <w:tab w:val="left" w:pos="5670"/>
        </w:tabs>
        <w:spacing w:before="240" w:after="0" w:line="360" w:lineRule="auto"/>
        <w:ind w:right="51" w:firstLine="709"/>
        <w:jc w:val="both"/>
        <w:rPr>
          <w:rFonts w:ascii="Arial" w:hAnsi="Arial" w:cs="Arial"/>
          <w:sz w:val="26"/>
          <w:szCs w:val="26"/>
        </w:rPr>
      </w:pPr>
      <w:r>
        <w:rPr>
          <w:rFonts w:ascii="Arial" w:hAnsi="Arial" w:cs="Arial"/>
          <w:sz w:val="26"/>
          <w:szCs w:val="26"/>
        </w:rPr>
        <w:t>48. Lo anterior de conformidad con</w:t>
      </w:r>
      <w:r w:rsidR="006B6B3A" w:rsidRPr="00700CE4">
        <w:rPr>
          <w:rFonts w:ascii="Arial" w:hAnsi="Arial" w:cs="Arial"/>
          <w:sz w:val="26"/>
          <w:szCs w:val="26"/>
        </w:rPr>
        <w:t xml:space="preserve"> lo dispuesto en el artículo 40 fracción IV</w:t>
      </w:r>
      <w:r w:rsidR="006B6B3A" w:rsidRPr="00700CE4">
        <w:rPr>
          <w:rFonts w:ascii="Arial" w:hAnsi="Arial" w:cs="Arial"/>
          <w:sz w:val="26"/>
          <w:szCs w:val="26"/>
          <w:vertAlign w:val="superscript"/>
        </w:rPr>
        <w:footnoteReference w:id="15"/>
      </w:r>
      <w:r w:rsidR="006B6B3A" w:rsidRPr="00700CE4">
        <w:rPr>
          <w:rFonts w:ascii="Arial" w:hAnsi="Arial" w:cs="Arial"/>
          <w:sz w:val="26"/>
          <w:szCs w:val="26"/>
        </w:rPr>
        <w:t xml:space="preserve"> de la </w:t>
      </w:r>
      <w:r w:rsidR="006B6B3A" w:rsidRPr="00AA3DFA">
        <w:rPr>
          <w:rFonts w:ascii="Arial" w:hAnsi="Arial" w:cs="Arial"/>
          <w:i/>
          <w:sz w:val="26"/>
          <w:szCs w:val="26"/>
        </w:rPr>
        <w:t>Ley de Justicia</w:t>
      </w:r>
      <w:r w:rsidR="006B6B3A" w:rsidRPr="00700CE4">
        <w:rPr>
          <w:rFonts w:ascii="Arial" w:hAnsi="Arial" w:cs="Arial"/>
          <w:sz w:val="26"/>
          <w:szCs w:val="26"/>
        </w:rPr>
        <w:t xml:space="preserve">, </w:t>
      </w:r>
      <w:r w:rsidR="006B6B3A" w:rsidRPr="00AA3DFA">
        <w:rPr>
          <w:rFonts w:ascii="Arial" w:hAnsi="Arial" w:cs="Arial"/>
          <w:b/>
          <w:sz w:val="26"/>
          <w:szCs w:val="26"/>
        </w:rPr>
        <w:t>siendo idénticos los efectos de esta sentencia a la declaración de nulidad lisa y llana de los actos administrativos</w:t>
      </w:r>
      <w:r w:rsidR="006B6B3A" w:rsidRPr="00700CE4">
        <w:rPr>
          <w:rFonts w:ascii="Arial" w:hAnsi="Arial" w:cs="Arial"/>
          <w:sz w:val="26"/>
          <w:szCs w:val="26"/>
        </w:rPr>
        <w:t xml:space="preserve"> prevista en el numeral 18 fracciones I y II</w:t>
      </w:r>
      <w:r w:rsidR="006B6B3A" w:rsidRPr="00700CE4">
        <w:rPr>
          <w:rFonts w:ascii="Arial" w:hAnsi="Arial" w:cs="Arial"/>
          <w:sz w:val="26"/>
          <w:szCs w:val="26"/>
          <w:vertAlign w:val="superscript"/>
        </w:rPr>
        <w:footnoteReference w:id="16"/>
      </w:r>
      <w:r w:rsidR="006B6B3A" w:rsidRPr="00700CE4">
        <w:rPr>
          <w:rFonts w:ascii="Arial" w:hAnsi="Arial" w:cs="Arial"/>
          <w:sz w:val="26"/>
          <w:szCs w:val="26"/>
        </w:rPr>
        <w:t xml:space="preserve"> de la </w:t>
      </w:r>
      <w:r w:rsidR="006B6B3A" w:rsidRPr="00AA3DFA">
        <w:rPr>
          <w:rFonts w:ascii="Arial" w:hAnsi="Arial" w:cs="Arial"/>
          <w:i/>
          <w:sz w:val="26"/>
          <w:szCs w:val="26"/>
        </w:rPr>
        <w:t>Ley de Procedimiento</w:t>
      </w:r>
      <w:r w:rsidR="006B6B3A" w:rsidRPr="00700CE4">
        <w:rPr>
          <w:rFonts w:ascii="Arial" w:hAnsi="Arial" w:cs="Arial"/>
          <w:sz w:val="26"/>
          <w:szCs w:val="26"/>
        </w:rPr>
        <w:t xml:space="preserve">. </w:t>
      </w:r>
    </w:p>
    <w:p w14:paraId="779EC513" w14:textId="4189DFD9" w:rsidR="008E34EE" w:rsidRPr="008E34EE" w:rsidRDefault="008E34EE" w:rsidP="005F586A">
      <w:pPr>
        <w:tabs>
          <w:tab w:val="left" w:pos="5670"/>
        </w:tabs>
        <w:autoSpaceDE w:val="0"/>
        <w:autoSpaceDN w:val="0"/>
        <w:adjustRightInd w:val="0"/>
        <w:spacing w:after="240" w:line="360" w:lineRule="auto"/>
        <w:ind w:firstLine="708"/>
        <w:jc w:val="both"/>
        <w:rPr>
          <w:rFonts w:ascii="Arial" w:eastAsia="Arial Unicode MS" w:hAnsi="Arial" w:cs="Arial"/>
          <w:b/>
          <w:sz w:val="26"/>
          <w:szCs w:val="26"/>
        </w:rPr>
      </w:pPr>
      <w:r>
        <w:rPr>
          <w:rFonts w:ascii="Arial" w:eastAsia="Arial Unicode MS" w:hAnsi="Arial" w:cs="Arial"/>
          <w:b/>
          <w:sz w:val="26"/>
          <w:szCs w:val="26"/>
        </w:rPr>
        <w:t>DÉCIMO. NOTIFICACIÓN.</w:t>
      </w:r>
    </w:p>
    <w:p w14:paraId="615D6185" w14:textId="4A690B5D" w:rsidR="008E34EE" w:rsidRPr="008E34EE" w:rsidRDefault="00AA3DFA" w:rsidP="005F586A">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49. </w:t>
      </w:r>
      <w:r w:rsidR="008E34EE">
        <w:rPr>
          <w:rFonts w:ascii="Arial" w:eastAsia="Arial Unicode MS" w:hAnsi="Arial" w:cs="Arial"/>
          <w:sz w:val="26"/>
          <w:szCs w:val="26"/>
        </w:rPr>
        <w:t xml:space="preserve">Notifíquese personalmente a la parte actora y mediante oficio a la autoridad demandada; lo anterior de conformidad con lo establecido en los artículos 172, fracción I y 173, fracciones I y II de la </w:t>
      </w:r>
      <w:r w:rsidR="008E34EE">
        <w:rPr>
          <w:rFonts w:ascii="Arial" w:eastAsia="Arial Unicode MS" w:hAnsi="Arial" w:cs="Arial"/>
          <w:i/>
          <w:sz w:val="26"/>
          <w:szCs w:val="26"/>
        </w:rPr>
        <w:t xml:space="preserve">Ley de Procedimiento.- </w:t>
      </w:r>
      <w:r w:rsidR="008E34EE">
        <w:rPr>
          <w:rFonts w:ascii="Arial" w:eastAsia="Arial Unicode MS" w:hAnsi="Arial" w:cs="Arial"/>
          <w:sz w:val="26"/>
          <w:szCs w:val="26"/>
        </w:rPr>
        <w:t>Cúmplase</w:t>
      </w:r>
    </w:p>
    <w:p w14:paraId="0CF5CECC" w14:textId="6BD05040" w:rsidR="005F586A" w:rsidRPr="00F00209" w:rsidRDefault="00AA3DFA" w:rsidP="005F586A">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lastRenderedPageBreak/>
        <w:t xml:space="preserve">50. </w:t>
      </w:r>
      <w:r w:rsidR="005F586A" w:rsidRPr="00F00209">
        <w:rPr>
          <w:rFonts w:ascii="Arial" w:eastAsia="Arial Unicode MS" w:hAnsi="Arial" w:cs="Arial"/>
          <w:sz w:val="26"/>
          <w:szCs w:val="26"/>
        </w:rPr>
        <w:t xml:space="preserve">En mérito de lo expuesto y con apoyo en los artículos 4, 5, 27, </w:t>
      </w:r>
      <w:r w:rsidR="005F586A" w:rsidRPr="00F00209">
        <w:rPr>
          <w:rFonts w:ascii="Arial" w:eastAsia="Arial Unicode MS" w:hAnsi="Arial" w:cs="Arial"/>
          <w:bCs/>
          <w:iCs/>
          <w:sz w:val="26"/>
          <w:szCs w:val="26"/>
        </w:rPr>
        <w:t xml:space="preserve">39, 40 y 43 </w:t>
      </w:r>
      <w:r w:rsidR="005F586A" w:rsidRPr="00F00209">
        <w:rPr>
          <w:rFonts w:ascii="Arial" w:eastAsia="Arial Unicode MS" w:hAnsi="Arial" w:cs="Arial"/>
          <w:sz w:val="26"/>
          <w:szCs w:val="26"/>
        </w:rPr>
        <w:t>Ley de Justicia de Fiscalización y Rendición de Cuentas para el Estado de Oaxaca</w:t>
      </w:r>
      <w:r w:rsidR="005F586A" w:rsidRPr="00F00209">
        <w:rPr>
          <w:rFonts w:ascii="Arial" w:eastAsia="Arial Unicode MS" w:hAnsi="Arial" w:cs="Arial"/>
          <w:bCs/>
          <w:iCs/>
          <w:sz w:val="26"/>
          <w:szCs w:val="26"/>
        </w:rPr>
        <w:t>,</w:t>
      </w:r>
      <w:r w:rsidR="005F586A" w:rsidRPr="00F00209">
        <w:rPr>
          <w:rFonts w:ascii="Arial" w:eastAsia="Arial Unicode MS" w:hAnsi="Arial" w:cs="Arial"/>
          <w:sz w:val="26"/>
          <w:szCs w:val="26"/>
        </w:rPr>
        <w:t xml:space="preserve"> se: </w:t>
      </w:r>
    </w:p>
    <w:p w14:paraId="4D0B2600" w14:textId="6395384F" w:rsidR="005F586A" w:rsidRPr="00F00209" w:rsidRDefault="00243B92" w:rsidP="005F586A">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Pr>
          <w:rFonts w:ascii="Arial" w:eastAsia="Arial Unicode MS" w:hAnsi="Arial" w:cs="Arial"/>
          <w:b/>
          <w:sz w:val="26"/>
          <w:szCs w:val="26"/>
          <w:lang w:val="es-ES_tradnl"/>
        </w:rPr>
        <w:t xml:space="preserve">3. </w:t>
      </w:r>
      <w:r w:rsidR="005F586A" w:rsidRPr="00F00209">
        <w:rPr>
          <w:rFonts w:ascii="Arial" w:eastAsia="Arial Unicode MS" w:hAnsi="Arial" w:cs="Arial"/>
          <w:b/>
          <w:sz w:val="26"/>
          <w:szCs w:val="26"/>
          <w:lang w:val="es-ES_tradnl"/>
        </w:rPr>
        <w:t>R E S U E L V E</w:t>
      </w:r>
    </w:p>
    <w:p w14:paraId="3FBDA930" w14:textId="77777777" w:rsidR="005F586A" w:rsidRPr="00F00209" w:rsidRDefault="005F586A" w:rsidP="005F586A">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6A107272" w14:textId="28B55889" w:rsidR="005F586A" w:rsidRPr="00F00209" w:rsidRDefault="005F586A" w:rsidP="005F586A">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w:t>
      </w:r>
      <w:r w:rsidR="0065429C">
        <w:rPr>
          <w:rFonts w:ascii="Arial" w:eastAsia="Arial Unicode MS" w:hAnsi="Arial" w:cs="Arial"/>
          <w:sz w:val="26"/>
          <w:szCs w:val="26"/>
          <w:lang w:eastAsia="es-ES"/>
        </w:rPr>
        <w:t xml:space="preserve">Y Combate a la Corrupción </w:t>
      </w:r>
      <w:r w:rsidRPr="00F00209">
        <w:rPr>
          <w:rFonts w:ascii="Arial" w:eastAsia="Arial Unicode MS" w:hAnsi="Arial" w:cs="Arial"/>
          <w:sz w:val="26"/>
          <w:szCs w:val="26"/>
          <w:lang w:eastAsia="es-ES"/>
        </w:rPr>
        <w:t xml:space="preserve">del Estado de Oaxaca, es competente para conocer y resolver del presente Juicio de Inconformidad. </w:t>
      </w:r>
      <w:r w:rsidR="008E34EE">
        <w:rPr>
          <w:rFonts w:ascii="Arial" w:eastAsia="Arial Unicode MS" w:hAnsi="Arial" w:cs="Arial"/>
          <w:sz w:val="26"/>
          <w:szCs w:val="26"/>
          <w:lang w:eastAsia="es-ES"/>
        </w:rPr>
        <w:t xml:space="preserve">- - - - - - - - - - - - - - - - - - - - - </w:t>
      </w:r>
    </w:p>
    <w:p w14:paraId="140381B8" w14:textId="77777777" w:rsidR="005F586A" w:rsidRPr="00F00209" w:rsidRDefault="005F586A" w:rsidP="005F586A">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SEGUNDO</w:t>
      </w:r>
      <w:r w:rsidRPr="00F00209">
        <w:rPr>
          <w:rFonts w:ascii="Arial" w:eastAsia="Arial Unicode MS" w:hAnsi="Arial" w:cs="Arial"/>
          <w:sz w:val="26"/>
          <w:szCs w:val="26"/>
          <w:lang w:eastAsia="es-ES"/>
        </w:rPr>
        <w:t xml:space="preserve">. La personalidad de las partes quedó acreditada en autos. </w:t>
      </w:r>
    </w:p>
    <w:p w14:paraId="65941E72" w14:textId="428E027D" w:rsidR="005F586A" w:rsidRPr="00F00209" w:rsidRDefault="005F586A" w:rsidP="005F586A">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w:t>
      </w:r>
      <w:r w:rsidR="008E34EE">
        <w:rPr>
          <w:rFonts w:ascii="Arial" w:eastAsia="Arial Unicode MS" w:hAnsi="Arial" w:cs="Arial"/>
          <w:sz w:val="26"/>
          <w:szCs w:val="26"/>
          <w:lang w:eastAsia="es-ES"/>
        </w:rPr>
        <w:t>- - - - - - - - - - - - - - - - - - - - - - - - - - - - -</w:t>
      </w:r>
    </w:p>
    <w:p w14:paraId="09666FDA" w14:textId="45C9B7FD" w:rsidR="0006465E" w:rsidRPr="0006465E" w:rsidRDefault="0006465E" w:rsidP="0006465E">
      <w:pPr>
        <w:tabs>
          <w:tab w:val="left" w:pos="5670"/>
        </w:tabs>
        <w:autoSpaceDE w:val="0"/>
        <w:autoSpaceDN w:val="0"/>
        <w:adjustRightInd w:val="0"/>
        <w:spacing w:after="240" w:line="360" w:lineRule="auto"/>
        <w:ind w:firstLine="708"/>
        <w:jc w:val="both"/>
        <w:rPr>
          <w:rFonts w:ascii="Arial" w:hAnsi="Arial" w:cs="Arial"/>
          <w:sz w:val="26"/>
          <w:szCs w:val="26"/>
        </w:rPr>
      </w:pPr>
      <w:r w:rsidRPr="00700CE4">
        <w:rPr>
          <w:rFonts w:ascii="Arial" w:eastAsia="Arial Unicode MS" w:hAnsi="Arial" w:cs="Arial"/>
          <w:b/>
          <w:sz w:val="26"/>
          <w:szCs w:val="26"/>
        </w:rPr>
        <w:t xml:space="preserve">CUARTO. </w:t>
      </w:r>
      <w:r w:rsidRPr="00700CE4">
        <w:rPr>
          <w:rFonts w:ascii="Arial" w:eastAsia="Arial Unicode MS" w:hAnsi="Arial" w:cs="Arial"/>
          <w:sz w:val="26"/>
          <w:szCs w:val="26"/>
        </w:rPr>
        <w:t xml:space="preserve"> Por las razones expuestas en el considerando anterior de este fallo, </w:t>
      </w:r>
      <w:r w:rsidRPr="00700CE4">
        <w:rPr>
          <w:rFonts w:ascii="Arial" w:hAnsi="Arial" w:cs="Arial"/>
          <w:b/>
          <w:sz w:val="26"/>
          <w:szCs w:val="26"/>
        </w:rPr>
        <w:t xml:space="preserve">SE DEJA SIN EFECTOS </w:t>
      </w:r>
      <w:r w:rsidRPr="00AE3ADE">
        <w:rPr>
          <w:rFonts w:ascii="Arial" w:hAnsi="Arial" w:cs="Arial"/>
          <w:sz w:val="26"/>
          <w:szCs w:val="26"/>
        </w:rPr>
        <w:t xml:space="preserve">la resolución de veinticuatro de octubre de dos mil veintidós dictada en el recurso de reconsideración </w:t>
      </w:r>
      <w:r w:rsidRPr="00AE3ADE">
        <w:rPr>
          <w:rFonts w:ascii="Arial" w:hAnsi="Arial" w:cs="Arial"/>
          <w:b/>
          <w:sz w:val="26"/>
          <w:szCs w:val="26"/>
        </w:rPr>
        <w:t xml:space="preserve">OSFE/REC.R./0084/2019 </w:t>
      </w:r>
      <w:r w:rsidRPr="00AE3ADE">
        <w:rPr>
          <w:rFonts w:ascii="Arial" w:hAnsi="Arial" w:cs="Arial"/>
          <w:sz w:val="26"/>
          <w:szCs w:val="26"/>
        </w:rPr>
        <w:t>y su acumulado</w:t>
      </w:r>
      <w:r>
        <w:rPr>
          <w:rFonts w:ascii="Arial" w:hAnsi="Arial" w:cs="Arial"/>
          <w:b/>
          <w:sz w:val="26"/>
          <w:szCs w:val="26"/>
        </w:rPr>
        <w:t xml:space="preserve"> OSFE/REC.R./0085/2019</w:t>
      </w:r>
      <w:r>
        <w:rPr>
          <w:rFonts w:ascii="Arial" w:hAnsi="Arial" w:cs="Arial"/>
          <w:sz w:val="26"/>
          <w:szCs w:val="26"/>
        </w:rPr>
        <w:t>, únicamente por lo que hace al promovente. - - - - - - - - - - - - - - - - - - - - - - - -</w:t>
      </w:r>
    </w:p>
    <w:p w14:paraId="39DDC574" w14:textId="354E8617" w:rsidR="0006465E" w:rsidRPr="00700CE4" w:rsidRDefault="0006465E" w:rsidP="0006465E">
      <w:pPr>
        <w:tabs>
          <w:tab w:val="left" w:pos="5670"/>
        </w:tabs>
        <w:autoSpaceDE w:val="0"/>
        <w:autoSpaceDN w:val="0"/>
        <w:adjustRightInd w:val="0"/>
        <w:spacing w:after="240" w:line="360" w:lineRule="auto"/>
        <w:ind w:firstLine="708"/>
        <w:jc w:val="both"/>
        <w:rPr>
          <w:rFonts w:ascii="Arial" w:hAnsi="Arial" w:cs="Arial"/>
          <w:b/>
          <w:sz w:val="26"/>
          <w:szCs w:val="26"/>
        </w:rPr>
      </w:pPr>
      <w:r w:rsidRPr="00700CE4">
        <w:rPr>
          <w:rFonts w:ascii="Arial" w:hAnsi="Arial" w:cs="Arial"/>
          <w:b/>
          <w:bCs/>
          <w:sz w:val="26"/>
          <w:szCs w:val="26"/>
        </w:rPr>
        <w:t xml:space="preserve">QUINTO.- </w:t>
      </w:r>
      <w:r w:rsidRPr="00700CE4">
        <w:rPr>
          <w:rFonts w:ascii="Arial" w:eastAsia="Arial Unicode MS" w:hAnsi="Arial" w:cs="Arial"/>
          <w:sz w:val="26"/>
          <w:szCs w:val="26"/>
        </w:rPr>
        <w:t>Por los motivos explicados en el considerando</w:t>
      </w:r>
      <w:r>
        <w:rPr>
          <w:rFonts w:ascii="Arial" w:eastAsia="Arial Unicode MS" w:hAnsi="Arial" w:cs="Arial"/>
          <w:sz w:val="26"/>
          <w:szCs w:val="26"/>
        </w:rPr>
        <w:t xml:space="preserve"> que antecede</w:t>
      </w:r>
      <w:r w:rsidRPr="00700CE4">
        <w:rPr>
          <w:rFonts w:ascii="Arial" w:eastAsia="Arial Unicode MS" w:hAnsi="Arial" w:cs="Arial"/>
          <w:sz w:val="26"/>
          <w:szCs w:val="26"/>
        </w:rPr>
        <w:t xml:space="preserve"> de este fallo, </w:t>
      </w:r>
      <w:r w:rsidRPr="00700CE4">
        <w:rPr>
          <w:rFonts w:ascii="Arial" w:hAnsi="Arial" w:cs="Arial"/>
          <w:b/>
          <w:sz w:val="26"/>
          <w:szCs w:val="26"/>
        </w:rPr>
        <w:t xml:space="preserve">SE DEJA SIN EFECTOS </w:t>
      </w:r>
      <w:r>
        <w:rPr>
          <w:rFonts w:ascii="Arial" w:hAnsi="Arial" w:cs="Arial"/>
          <w:color w:val="000000"/>
          <w:sz w:val="26"/>
          <w:szCs w:val="26"/>
        </w:rPr>
        <w:t>la resolución</w:t>
      </w:r>
      <w:r w:rsidRPr="00700CE4">
        <w:rPr>
          <w:rFonts w:ascii="Arial" w:hAnsi="Arial" w:cs="Arial"/>
          <w:color w:val="000000"/>
          <w:sz w:val="26"/>
          <w:szCs w:val="26"/>
        </w:rPr>
        <w:t xml:space="preserve"> </w:t>
      </w:r>
      <w:r w:rsidRPr="00FB0F36">
        <w:rPr>
          <w:rFonts w:ascii="Arial" w:hAnsi="Arial" w:cs="Arial"/>
          <w:sz w:val="26"/>
          <w:szCs w:val="26"/>
        </w:rPr>
        <w:t xml:space="preserve">del procedimiento para el fincamiento de responsabilidad administrativa resarcitoria, dictada el tres de agosto de dos mil veinte en el expediente </w:t>
      </w:r>
      <w:r w:rsidRPr="00AC58DE">
        <w:rPr>
          <w:rFonts w:ascii="Arial" w:hAnsi="Arial" w:cs="Arial"/>
          <w:b/>
          <w:sz w:val="26"/>
          <w:szCs w:val="26"/>
        </w:rPr>
        <w:t>ASE/UAJ/P.R/027/2017</w:t>
      </w:r>
      <w:r>
        <w:rPr>
          <w:rFonts w:ascii="Arial" w:hAnsi="Arial" w:cs="Arial"/>
          <w:sz w:val="26"/>
          <w:szCs w:val="26"/>
        </w:rPr>
        <w:t>, únicamente por lo que hace al promovente. - - - - - - - - - - - - - - - - - - - - - - - -</w:t>
      </w:r>
    </w:p>
    <w:p w14:paraId="0BECC305" w14:textId="3692B609" w:rsidR="0006465E" w:rsidRPr="00700CE4" w:rsidRDefault="0006465E" w:rsidP="0006465E">
      <w:pPr>
        <w:tabs>
          <w:tab w:val="left" w:pos="5670"/>
        </w:tabs>
        <w:autoSpaceDE w:val="0"/>
        <w:autoSpaceDN w:val="0"/>
        <w:adjustRightInd w:val="0"/>
        <w:spacing w:after="240" w:line="360" w:lineRule="auto"/>
        <w:ind w:firstLine="708"/>
        <w:jc w:val="both"/>
        <w:rPr>
          <w:rFonts w:ascii="Arial" w:hAnsi="Arial" w:cs="Arial"/>
          <w:color w:val="000000"/>
          <w:sz w:val="26"/>
          <w:szCs w:val="26"/>
        </w:rPr>
      </w:pPr>
      <w:r w:rsidRPr="00700CE4">
        <w:rPr>
          <w:rFonts w:ascii="Arial" w:eastAsia="Arial Unicode MS" w:hAnsi="Arial" w:cs="Arial"/>
          <w:b/>
          <w:color w:val="000000"/>
          <w:sz w:val="26"/>
          <w:szCs w:val="26"/>
        </w:rPr>
        <w:t xml:space="preserve">SEXTO. </w:t>
      </w:r>
      <w:r w:rsidRPr="00700CE4">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Pr="00700CE4">
        <w:rPr>
          <w:rFonts w:ascii="Arial" w:eastAsia="Arial" w:hAnsi="Arial" w:cs="Arial"/>
          <w:b/>
          <w:bCs/>
          <w:color w:val="000000"/>
          <w:sz w:val="26"/>
          <w:szCs w:val="26"/>
        </w:rPr>
        <w:t>NOTIFÍQUESE PERSONALMENTE AL ACTOR Y POR OFICIO A LA DEMANDADA. CÚMPLASE</w:t>
      </w:r>
      <w:r w:rsidRPr="00700CE4">
        <w:rPr>
          <w:rFonts w:ascii="Arial" w:eastAsia="Arial" w:hAnsi="Arial" w:cs="Arial"/>
          <w:bCs/>
          <w:color w:val="000000"/>
          <w:sz w:val="26"/>
          <w:szCs w:val="26"/>
        </w:rPr>
        <w:t xml:space="preserve">. - - - - - - - - - - - - - - - - - - - - </w:t>
      </w:r>
      <w:r>
        <w:rPr>
          <w:rFonts w:ascii="Arial" w:eastAsia="Arial" w:hAnsi="Arial" w:cs="Arial"/>
          <w:bCs/>
          <w:color w:val="000000"/>
          <w:sz w:val="26"/>
          <w:szCs w:val="26"/>
        </w:rPr>
        <w:t>- - - - - - - - - - - - - -</w:t>
      </w:r>
    </w:p>
    <w:p w14:paraId="28AF0593" w14:textId="77777777" w:rsidR="00CB7617" w:rsidRDefault="00822337" w:rsidP="00CB7617">
      <w:pPr>
        <w:spacing w:before="240" w:line="360" w:lineRule="auto"/>
        <w:ind w:firstLine="708"/>
        <w:jc w:val="both"/>
        <w:rPr>
          <w:rFonts w:ascii="Arial" w:hAnsi="Arial" w:cs="Arial"/>
          <w:color w:val="000000" w:themeColor="text1"/>
          <w:sz w:val="26"/>
          <w:szCs w:val="26"/>
        </w:rPr>
      </w:pPr>
      <w:r w:rsidRPr="007B04EE">
        <w:rPr>
          <w:rFonts w:ascii="Arial" w:hAnsi="Arial" w:cs="Arial"/>
          <w:sz w:val="26"/>
          <w:szCs w:val="26"/>
        </w:rPr>
        <w:t xml:space="preserve">Por unanimidad de votos, lo resolvieron y firmaron los Magistrados </w:t>
      </w:r>
      <w:r w:rsidRPr="00822337">
        <w:rPr>
          <w:rFonts w:ascii="Arial" w:hAnsi="Arial" w:cs="Arial"/>
          <w:color w:val="000000" w:themeColor="text1"/>
          <w:sz w:val="26"/>
          <w:szCs w:val="26"/>
        </w:rPr>
        <w:t xml:space="preserve">Mateo Martínez </w:t>
      </w:r>
      <w:proofErr w:type="spellStart"/>
      <w:r w:rsidRPr="00822337">
        <w:rPr>
          <w:rFonts w:ascii="Arial" w:hAnsi="Arial" w:cs="Arial"/>
          <w:color w:val="000000" w:themeColor="text1"/>
          <w:sz w:val="26"/>
          <w:szCs w:val="26"/>
        </w:rPr>
        <w:t>Martín</w:t>
      </w:r>
      <w:r w:rsidR="0006465E">
        <w:rPr>
          <w:rFonts w:ascii="Arial" w:hAnsi="Arial" w:cs="Arial"/>
          <w:color w:val="000000" w:themeColor="text1"/>
          <w:sz w:val="26"/>
          <w:szCs w:val="26"/>
        </w:rPr>
        <w:t>ez</w:t>
      </w:r>
      <w:proofErr w:type="spellEnd"/>
      <w:r w:rsidR="0006465E">
        <w:rPr>
          <w:rFonts w:ascii="Arial" w:hAnsi="Arial" w:cs="Arial"/>
          <w:color w:val="000000" w:themeColor="text1"/>
          <w:sz w:val="26"/>
          <w:szCs w:val="26"/>
        </w:rPr>
        <w:t xml:space="preserve">, (ponente) Manuel de Jesús López </w:t>
      </w:r>
      <w:proofErr w:type="spellStart"/>
      <w:r w:rsidR="0006465E">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 xml:space="preserve"> y Cruz Itzel Espinosa Rojas, quienes actúan con la Maestra Lizbeth Jessica Gallardo Martínez, Secretaria General de Acuerdos de este Tribunal, que autoriza y da fe, de conformidad con lo dispuesto en el artículo 157 párrafos cuarto y quinto de la </w:t>
      </w:r>
      <w:r w:rsidRPr="00243B92">
        <w:rPr>
          <w:rFonts w:ascii="Arial" w:hAnsi="Arial" w:cs="Arial"/>
          <w:i/>
          <w:color w:val="000000" w:themeColor="text1"/>
          <w:sz w:val="26"/>
          <w:szCs w:val="26"/>
        </w:rPr>
        <w:t>Ley de</w:t>
      </w:r>
      <w:r w:rsidR="00243B92" w:rsidRPr="00243B92">
        <w:rPr>
          <w:rFonts w:ascii="Arial" w:hAnsi="Arial" w:cs="Arial"/>
          <w:i/>
          <w:color w:val="000000" w:themeColor="text1"/>
          <w:sz w:val="26"/>
          <w:szCs w:val="26"/>
        </w:rPr>
        <w:t xml:space="preserve"> Procedimiento</w:t>
      </w:r>
      <w:r w:rsidRPr="00822337">
        <w:rPr>
          <w:rFonts w:ascii="Arial" w:hAnsi="Arial" w:cs="Arial"/>
          <w:color w:val="000000" w:themeColor="text1"/>
          <w:sz w:val="26"/>
          <w:szCs w:val="26"/>
        </w:rPr>
        <w:t>. –</w:t>
      </w:r>
      <w:r w:rsidR="00243B92">
        <w:rPr>
          <w:rFonts w:ascii="Arial" w:hAnsi="Arial" w:cs="Arial"/>
          <w:color w:val="000000" w:themeColor="text1"/>
          <w:sz w:val="26"/>
          <w:szCs w:val="26"/>
        </w:rPr>
        <w:t xml:space="preserve"> - - - - - - - - - - - - - - - - - - - - - - - - - - - - - - - - - </w:t>
      </w:r>
    </w:p>
    <w:p w14:paraId="3584515F" w14:textId="0F32BDFB" w:rsidR="00822337" w:rsidRPr="00822337" w:rsidRDefault="00822337" w:rsidP="00CB7617">
      <w:pPr>
        <w:spacing w:before="240" w:line="360" w:lineRule="auto"/>
        <w:ind w:firstLine="708"/>
        <w:jc w:val="center"/>
        <w:rPr>
          <w:rFonts w:ascii="Arial" w:hAnsi="Arial" w:cs="Arial"/>
          <w:color w:val="000000" w:themeColor="text1"/>
          <w:sz w:val="26"/>
          <w:szCs w:val="26"/>
        </w:rPr>
      </w:pPr>
      <w:r w:rsidRPr="00822337">
        <w:rPr>
          <w:rFonts w:ascii="Arial" w:hAnsi="Arial" w:cs="Arial"/>
          <w:color w:val="000000" w:themeColor="text1"/>
          <w:sz w:val="26"/>
          <w:szCs w:val="26"/>
        </w:rPr>
        <w:lastRenderedPageBreak/>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30327E42" w14:textId="073CC041" w:rsidR="00822337" w:rsidRDefault="00822337" w:rsidP="00CB761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40A83D61" w14:textId="15A1FB86" w:rsidR="0006465E" w:rsidRPr="00822337" w:rsidRDefault="0006465E" w:rsidP="00CB7617">
      <w:pPr>
        <w:tabs>
          <w:tab w:val="center" w:pos="4135"/>
          <w:tab w:val="left" w:pos="7515"/>
        </w:tabs>
        <w:spacing w:after="0" w:line="360" w:lineRule="auto"/>
        <w:jc w:val="center"/>
        <w:rPr>
          <w:rFonts w:ascii="Arial" w:hAnsi="Arial" w:cs="Arial"/>
          <w:color w:val="000000" w:themeColor="text1"/>
          <w:sz w:val="26"/>
          <w:szCs w:val="26"/>
        </w:rPr>
      </w:pPr>
      <w:r>
        <w:rPr>
          <w:rFonts w:ascii="Arial" w:hAnsi="Arial" w:cs="Arial"/>
          <w:color w:val="000000" w:themeColor="text1"/>
          <w:sz w:val="26"/>
          <w:szCs w:val="26"/>
        </w:rPr>
        <w:t>(PONENTE)</w:t>
      </w:r>
    </w:p>
    <w:p w14:paraId="1C226E2A" w14:textId="77777777" w:rsid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p>
    <w:p w14:paraId="183B29CB" w14:textId="77777777" w:rsidR="00263337" w:rsidRDefault="00263337" w:rsidP="00822337">
      <w:pPr>
        <w:tabs>
          <w:tab w:val="center" w:pos="4135"/>
          <w:tab w:val="left" w:pos="7515"/>
        </w:tabs>
        <w:spacing w:after="0" w:line="360" w:lineRule="auto"/>
        <w:jc w:val="center"/>
        <w:rPr>
          <w:rFonts w:ascii="Arial" w:hAnsi="Arial" w:cs="Arial"/>
          <w:color w:val="000000" w:themeColor="text1"/>
          <w:sz w:val="26"/>
          <w:szCs w:val="26"/>
        </w:rPr>
      </w:pPr>
    </w:p>
    <w:p w14:paraId="30BF01C0" w14:textId="77777777" w:rsidR="00263337" w:rsidRPr="00822337" w:rsidRDefault="00263337" w:rsidP="00822337">
      <w:pPr>
        <w:tabs>
          <w:tab w:val="center" w:pos="4135"/>
          <w:tab w:val="left" w:pos="7515"/>
        </w:tabs>
        <w:spacing w:after="0" w:line="360" w:lineRule="auto"/>
        <w:jc w:val="center"/>
        <w:rPr>
          <w:rFonts w:ascii="Arial" w:hAnsi="Arial" w:cs="Arial"/>
          <w:color w:val="000000" w:themeColor="text1"/>
          <w:sz w:val="26"/>
          <w:szCs w:val="26"/>
        </w:rPr>
      </w:pPr>
    </w:p>
    <w:p w14:paraId="6FE8FFF8" w14:textId="77777777" w:rsid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2AB2F4A6" w14:textId="77777777" w:rsidR="00263337" w:rsidRPr="00822337" w:rsidRDefault="00263337" w:rsidP="00822337">
      <w:pPr>
        <w:tabs>
          <w:tab w:val="center" w:pos="4135"/>
          <w:tab w:val="left" w:pos="7515"/>
        </w:tabs>
        <w:spacing w:after="0" w:line="360" w:lineRule="auto"/>
        <w:jc w:val="center"/>
        <w:rPr>
          <w:rFonts w:ascii="Arial" w:hAnsi="Arial" w:cs="Arial"/>
          <w:color w:val="000000" w:themeColor="text1"/>
          <w:sz w:val="26"/>
          <w:szCs w:val="26"/>
        </w:rPr>
      </w:pPr>
    </w:p>
    <w:p w14:paraId="11F18C16" w14:textId="658BD350"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403680FA" w14:textId="77777777" w:rsidR="0006465E" w:rsidRPr="00822337" w:rsidRDefault="0006465E"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47DC19DD" w14:textId="77777777" w:rsidR="00263337" w:rsidRDefault="00263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A97E1AF" w14:textId="67DDED0E"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w:t>
      </w:r>
      <w:r w:rsidR="00263337">
        <w:rPr>
          <w:rFonts w:ascii="Arial" w:eastAsia="Times New Roman" w:hAnsi="Arial" w:cs="Arial"/>
          <w:color w:val="000000" w:themeColor="text1"/>
          <w:sz w:val="26"/>
          <w:szCs w:val="26"/>
        </w:rPr>
        <w:t>TRADA CRUZ ITZEL ESPINOSA ROJAS</w:t>
      </w:r>
    </w:p>
    <w:p w14:paraId="3F598206" w14:textId="77777777" w:rsidR="00263337" w:rsidRPr="00822337" w:rsidRDefault="00263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2FB9F188" w14:textId="77777777" w:rsidR="00822337" w:rsidRP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0B73CB19" w14:textId="77777777" w:rsid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p>
    <w:p w14:paraId="61D8FCB7" w14:textId="77777777" w:rsidR="00263337" w:rsidRPr="00822337" w:rsidRDefault="00263337" w:rsidP="00822337">
      <w:pPr>
        <w:tabs>
          <w:tab w:val="center" w:pos="4135"/>
          <w:tab w:val="left" w:pos="7515"/>
        </w:tabs>
        <w:spacing w:after="0" w:line="360" w:lineRule="auto"/>
        <w:jc w:val="center"/>
        <w:rPr>
          <w:rFonts w:ascii="Arial" w:hAnsi="Arial" w:cs="Arial"/>
          <w:color w:val="000000" w:themeColor="text1"/>
          <w:sz w:val="26"/>
          <w:szCs w:val="26"/>
        </w:rPr>
      </w:pPr>
    </w:p>
    <w:p w14:paraId="744325A4" w14:textId="39EA2711" w:rsidR="00822337" w:rsidRPr="00822337" w:rsidRDefault="00C25F36" w:rsidP="00822337">
      <w:pPr>
        <w:spacing w:after="0"/>
        <w:jc w:val="center"/>
        <w:rPr>
          <w:rFonts w:ascii="Arial" w:hAnsi="Arial" w:cs="Arial"/>
          <w:color w:val="000000" w:themeColor="text1"/>
          <w:sz w:val="26"/>
          <w:szCs w:val="26"/>
        </w:rPr>
      </w:pPr>
      <w:r>
        <w:rPr>
          <w:rFonts w:ascii="Arial" w:hAnsi="Arial" w:cs="Arial"/>
          <w:color w:val="000000" w:themeColor="text1"/>
          <w:sz w:val="26"/>
          <w:szCs w:val="26"/>
        </w:rPr>
        <w:t>MAESTRA</w:t>
      </w:r>
      <w:r w:rsidR="00822337" w:rsidRPr="00822337">
        <w:rPr>
          <w:rFonts w:ascii="Arial" w:hAnsi="Arial" w:cs="Arial"/>
          <w:color w:val="000000" w:themeColor="text1"/>
          <w:sz w:val="26"/>
          <w:szCs w:val="26"/>
        </w:rPr>
        <w:t xml:space="preserve"> LIZBETH JESSICA GALLARDO MARTÍNEZ.</w:t>
      </w:r>
    </w:p>
    <w:p w14:paraId="4F08012F" w14:textId="77777777" w:rsidR="00822337" w:rsidRPr="00822337" w:rsidRDefault="00822337" w:rsidP="00822337">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p w14:paraId="7C4A7907" w14:textId="0A2CEC4A" w:rsidR="00102315" w:rsidRPr="006A47AD" w:rsidRDefault="00102315" w:rsidP="00822337">
      <w:pPr>
        <w:spacing w:line="360" w:lineRule="auto"/>
        <w:ind w:firstLine="567"/>
        <w:jc w:val="both"/>
        <w:rPr>
          <w:rFonts w:ascii="Arial" w:eastAsia="Times New Roman" w:hAnsi="Arial" w:cs="Arial"/>
          <w:b/>
          <w:sz w:val="26"/>
          <w:szCs w:val="26"/>
          <w:lang w:val="es-ES" w:eastAsia="es-ES"/>
        </w:rPr>
      </w:pPr>
    </w:p>
    <w:sectPr w:rsidR="00102315" w:rsidRPr="006A47AD" w:rsidSect="00CB7617">
      <w:headerReference w:type="even" r:id="rId10"/>
      <w:headerReference w:type="default" r:id="rId11"/>
      <w:footerReference w:type="default" r:id="rId12"/>
      <w:headerReference w:type="first" r:id="rId13"/>
      <w:pgSz w:w="12240" w:h="20160" w:code="5"/>
      <w:pgMar w:top="1702"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47093" w14:textId="77777777" w:rsidR="00AD7AF4" w:rsidRDefault="00AD7AF4" w:rsidP="00604752">
      <w:pPr>
        <w:spacing w:after="0" w:line="240" w:lineRule="auto"/>
      </w:pPr>
      <w:r>
        <w:separator/>
      </w:r>
    </w:p>
  </w:endnote>
  <w:endnote w:type="continuationSeparator" w:id="0">
    <w:p w14:paraId="0CF0DEED" w14:textId="77777777" w:rsidR="00AD7AF4" w:rsidRDefault="00AD7AF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723FB4B8" w:rsidR="007331F4" w:rsidRPr="00604752" w:rsidRDefault="007331F4">
    <w:pPr>
      <w:pStyle w:val="Piedepgina"/>
      <w:jc w:val="center"/>
      <w:rPr>
        <w:rFonts w:ascii="Arial" w:hAnsi="Arial" w:cs="Arial"/>
        <w:sz w:val="24"/>
        <w:szCs w:val="24"/>
      </w:rPr>
    </w:pPr>
  </w:p>
  <w:p w14:paraId="7ECC4F9D" w14:textId="74EA5D41" w:rsidR="007331F4" w:rsidRDefault="007331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6F812" w14:textId="77777777" w:rsidR="00AD7AF4" w:rsidRDefault="00AD7AF4" w:rsidP="00604752">
      <w:pPr>
        <w:spacing w:after="0" w:line="240" w:lineRule="auto"/>
      </w:pPr>
      <w:r>
        <w:separator/>
      </w:r>
    </w:p>
  </w:footnote>
  <w:footnote w:type="continuationSeparator" w:id="0">
    <w:p w14:paraId="472B749A" w14:textId="77777777" w:rsidR="00AD7AF4" w:rsidRDefault="00AD7AF4" w:rsidP="00604752">
      <w:pPr>
        <w:spacing w:after="0" w:line="240" w:lineRule="auto"/>
      </w:pPr>
      <w:r>
        <w:continuationSeparator/>
      </w:r>
    </w:p>
  </w:footnote>
  <w:footnote w:id="1">
    <w:p w14:paraId="23EFD3E4" w14:textId="7C2ECB5A" w:rsidR="00924D3E" w:rsidRPr="00263337" w:rsidRDefault="00924D3E" w:rsidP="00924D3E">
      <w:pPr>
        <w:pStyle w:val="Textonotapie"/>
        <w:spacing w:after="240"/>
        <w:jc w:val="both"/>
        <w:rPr>
          <w:rFonts w:ascii="Arial" w:hAnsi="Arial" w:cs="Arial"/>
          <w:i/>
        </w:rPr>
      </w:pPr>
      <w:r w:rsidRPr="00263337">
        <w:rPr>
          <w:rStyle w:val="Refdenotaalpie"/>
          <w:rFonts w:ascii="Arial" w:hAnsi="Arial" w:cs="Arial"/>
          <w:i/>
        </w:rPr>
        <w:footnoteRef/>
      </w:r>
      <w:r w:rsidRPr="00263337">
        <w:rPr>
          <w:rFonts w:ascii="Arial" w:hAnsi="Arial" w:cs="Arial"/>
          <w:i/>
        </w:rPr>
        <w:t xml:space="preserve"> Visible a foja 11 (once) del ex</w:t>
      </w:r>
      <w:r w:rsidR="00523F7A" w:rsidRPr="00263337">
        <w:rPr>
          <w:rFonts w:ascii="Arial" w:hAnsi="Arial" w:cs="Arial"/>
          <w:i/>
        </w:rPr>
        <w:t>p</w:t>
      </w:r>
      <w:r w:rsidRPr="00263337">
        <w:rPr>
          <w:rFonts w:ascii="Arial" w:hAnsi="Arial" w:cs="Arial"/>
          <w:i/>
        </w:rPr>
        <w:t>ediente JI/0020/2023 del índice de esta Sala Superior.</w:t>
      </w:r>
    </w:p>
  </w:footnote>
  <w:footnote w:id="2">
    <w:p w14:paraId="6379F5AC" w14:textId="56EBCB3B" w:rsidR="007331F4" w:rsidRPr="00263337" w:rsidRDefault="007331F4" w:rsidP="00216B34">
      <w:pPr>
        <w:jc w:val="both"/>
        <w:rPr>
          <w:rFonts w:ascii="Arial" w:hAnsi="Arial" w:cs="Arial"/>
          <w:i/>
          <w:sz w:val="20"/>
          <w:szCs w:val="20"/>
        </w:rPr>
      </w:pPr>
      <w:r w:rsidRPr="00263337">
        <w:rPr>
          <w:rStyle w:val="Refdenotaalpie"/>
          <w:rFonts w:ascii="Arial" w:hAnsi="Arial" w:cs="Arial"/>
          <w:i/>
          <w:sz w:val="20"/>
          <w:szCs w:val="20"/>
        </w:rPr>
        <w:footnoteRef/>
      </w:r>
      <w:r w:rsidRPr="00263337">
        <w:rPr>
          <w:rFonts w:ascii="Arial" w:hAnsi="Arial" w:cs="Arial"/>
          <w:i/>
          <w:sz w:val="20"/>
          <w:szCs w:val="20"/>
        </w:rPr>
        <w:t xml:space="preserve"> </w:t>
      </w:r>
      <w:r w:rsidRPr="00263337">
        <w:rPr>
          <w:rFonts w:ascii="Arial" w:hAnsi="Arial" w:cs="Arial"/>
          <w:b/>
          <w:bCs/>
          <w:i/>
          <w:color w:val="000000"/>
          <w:sz w:val="20"/>
          <w:szCs w:val="20"/>
        </w:rPr>
        <w:t>ARTÍCULO 10.-</w:t>
      </w:r>
      <w:r w:rsidRPr="00263337">
        <w:rPr>
          <w:rFonts w:ascii="Arial" w:hAnsi="Arial" w:cs="Arial"/>
          <w:bCs/>
          <w:i/>
          <w:color w:val="000000"/>
          <w:sz w:val="20"/>
          <w:szCs w:val="20"/>
        </w:rPr>
        <w:t xml:space="preserve"> </w:t>
      </w:r>
      <w:r w:rsidRPr="00263337">
        <w:rPr>
          <w:rFonts w:ascii="Arial" w:hAnsi="Arial" w:cs="Arial"/>
          <w:i/>
          <w:sz w:val="20"/>
          <w:szCs w:val="20"/>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3EC9FB4D" w14:textId="77777777" w:rsidR="00B35DE8" w:rsidRPr="00263337" w:rsidRDefault="00576440" w:rsidP="00B35DE8">
      <w:pPr>
        <w:spacing w:line="360" w:lineRule="auto"/>
        <w:jc w:val="both"/>
        <w:rPr>
          <w:rFonts w:ascii="Arial" w:hAnsi="Arial" w:cs="Arial"/>
          <w:i/>
          <w:sz w:val="20"/>
          <w:szCs w:val="20"/>
        </w:rPr>
      </w:pPr>
      <w:r w:rsidRPr="00263337">
        <w:rPr>
          <w:rFonts w:ascii="Arial" w:hAnsi="Arial" w:cs="Arial"/>
          <w:i/>
          <w:color w:val="000000"/>
          <w:sz w:val="20"/>
          <w:szCs w:val="20"/>
        </w:rPr>
        <w:t>Los plazos previstos en esta Ley se contarán en días hábiles, salvo disposición en contrario.</w:t>
      </w:r>
      <w:r w:rsidR="00B35DE8" w:rsidRPr="00263337">
        <w:rPr>
          <w:rFonts w:ascii="Arial" w:hAnsi="Arial" w:cs="Arial"/>
          <w:i/>
          <w:sz w:val="20"/>
          <w:szCs w:val="20"/>
        </w:rPr>
        <w:t xml:space="preserve"> </w:t>
      </w:r>
    </w:p>
    <w:p w14:paraId="366EAF1B" w14:textId="12444AB9" w:rsidR="00576440" w:rsidRPr="00263337" w:rsidRDefault="00B35DE8" w:rsidP="00B35DE8">
      <w:pPr>
        <w:spacing w:line="360" w:lineRule="auto"/>
        <w:jc w:val="both"/>
        <w:rPr>
          <w:rFonts w:ascii="Arial" w:hAnsi="Arial" w:cs="Arial"/>
          <w:i/>
          <w:sz w:val="20"/>
          <w:szCs w:val="20"/>
        </w:rPr>
      </w:pPr>
      <w:r w:rsidRPr="00263337">
        <w:rPr>
          <w:rFonts w:ascii="Arial" w:hAnsi="Arial" w:cs="Arial"/>
          <w:i/>
          <w:sz w:val="20"/>
          <w:szCs w:val="20"/>
        </w:rPr>
        <w:t>No se consideraran días hábiles, los sábados, domingos, y demás señalados en la </w:t>
      </w:r>
      <w:hyperlink r:id="rId1" w:history="1">
        <w:r w:rsidRPr="00263337">
          <w:rPr>
            <w:rFonts w:ascii="Arial" w:hAnsi="Arial" w:cs="Arial"/>
            <w:i/>
            <w:sz w:val="20"/>
            <w:szCs w:val="20"/>
          </w:rPr>
          <w:t>Ley Federal del Trabajo</w:t>
        </w:r>
      </w:hyperlink>
      <w:r w:rsidRPr="00263337">
        <w:rPr>
          <w:rFonts w:ascii="Arial" w:hAnsi="Arial" w:cs="Arial"/>
          <w:i/>
          <w:sz w:val="20"/>
          <w:szCs w:val="20"/>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p>
  </w:footnote>
  <w:footnote w:id="3">
    <w:p w14:paraId="5551745F" w14:textId="07BD3A0B" w:rsidR="008A539F" w:rsidRPr="00263337" w:rsidRDefault="007331F4" w:rsidP="00B35DE8">
      <w:pPr>
        <w:pStyle w:val="Textonotapie"/>
        <w:spacing w:after="240" w:line="276" w:lineRule="auto"/>
        <w:jc w:val="both"/>
        <w:rPr>
          <w:rFonts w:ascii="Arial" w:hAnsi="Arial" w:cs="Arial"/>
          <w:i/>
        </w:rPr>
      </w:pPr>
      <w:r w:rsidRPr="00263337">
        <w:rPr>
          <w:rStyle w:val="Refdenotaalpie"/>
          <w:rFonts w:ascii="Arial" w:hAnsi="Arial" w:cs="Arial"/>
          <w:i/>
        </w:rPr>
        <w:footnoteRef/>
      </w:r>
      <w:r w:rsidRPr="00263337">
        <w:rPr>
          <w:rFonts w:ascii="Arial" w:hAnsi="Arial" w:cs="Arial"/>
          <w:i/>
        </w:rPr>
        <w:t xml:space="preserve"> ARTÍCULO 148.- </w:t>
      </w:r>
      <w:r w:rsidR="008A539F" w:rsidRPr="00263337">
        <w:rPr>
          <w:rFonts w:ascii="Arial" w:hAnsi="Arial" w:cs="Arial"/>
          <w:i/>
        </w:rPr>
        <w:t>…</w:t>
      </w:r>
    </w:p>
    <w:p w14:paraId="74CFB557" w14:textId="609F2B6A"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La representación de las autoridades corresponderá a los titulares de las mismas por si o a través de las unidades administrativas encargadas de su defensa jurídica, conforme lo establezcan las disposiciones legales aplicables.</w:t>
      </w:r>
    </w:p>
  </w:footnote>
  <w:footnote w:id="4">
    <w:p w14:paraId="5F6CB1EE" w14:textId="77777777" w:rsidR="007331F4" w:rsidRPr="00263337" w:rsidRDefault="007331F4" w:rsidP="00B35DE8">
      <w:pPr>
        <w:pStyle w:val="Textonotapie"/>
        <w:spacing w:after="240" w:line="276" w:lineRule="auto"/>
        <w:jc w:val="both"/>
        <w:rPr>
          <w:rFonts w:ascii="Arial" w:hAnsi="Arial" w:cs="Arial"/>
          <w:i/>
          <w:lang w:val="es-ES"/>
        </w:rPr>
      </w:pPr>
      <w:r w:rsidRPr="00263337">
        <w:rPr>
          <w:rStyle w:val="Refdenotaalpie"/>
          <w:rFonts w:ascii="Arial" w:hAnsi="Arial" w:cs="Arial"/>
          <w:i/>
        </w:rPr>
        <w:footnoteRef/>
      </w:r>
      <w:r w:rsidRPr="00263337">
        <w:rPr>
          <w:rFonts w:ascii="Arial" w:hAnsi="Arial" w:cs="Arial"/>
          <w:i/>
        </w:rPr>
        <w:t xml:space="preserve"> “ARTÍCULO 3.- 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5">
    <w:p w14:paraId="67F2E3E1" w14:textId="77777777" w:rsidR="007331F4" w:rsidRPr="00263337" w:rsidRDefault="007331F4" w:rsidP="00B35DE8">
      <w:pPr>
        <w:autoSpaceDE w:val="0"/>
        <w:autoSpaceDN w:val="0"/>
        <w:adjustRightInd w:val="0"/>
        <w:spacing w:after="240"/>
        <w:jc w:val="both"/>
        <w:rPr>
          <w:rFonts w:ascii="Arial" w:hAnsi="Arial" w:cs="Arial"/>
          <w:i/>
          <w:sz w:val="20"/>
          <w:szCs w:val="20"/>
        </w:rPr>
      </w:pPr>
      <w:r w:rsidRPr="00263337">
        <w:rPr>
          <w:rStyle w:val="Refdenotaalpie"/>
          <w:rFonts w:ascii="Arial" w:hAnsi="Arial" w:cs="Arial"/>
          <w:i/>
          <w:sz w:val="20"/>
          <w:szCs w:val="20"/>
        </w:rPr>
        <w:footnoteRef/>
      </w:r>
      <w:r w:rsidRPr="00263337">
        <w:rPr>
          <w:rFonts w:ascii="Arial" w:hAnsi="Arial" w:cs="Arial"/>
          <w:i/>
          <w:sz w:val="20"/>
          <w:szCs w:val="20"/>
        </w:rPr>
        <w:t xml:space="preserve"> </w:t>
      </w:r>
      <w:r w:rsidRPr="00263337">
        <w:rPr>
          <w:rFonts w:ascii="Arial" w:hAnsi="Arial" w:cs="Arial"/>
          <w:bCs/>
          <w:i/>
          <w:color w:val="000000"/>
          <w:sz w:val="20"/>
          <w:szCs w:val="20"/>
        </w:rPr>
        <w:t xml:space="preserve">Artículo 25.- </w:t>
      </w:r>
      <w:r w:rsidRPr="00263337">
        <w:rPr>
          <w:rFonts w:ascii="Arial" w:hAnsi="Arial" w:cs="Arial"/>
          <w:i/>
          <w:color w:val="000000"/>
          <w:sz w:val="20"/>
          <w:szCs w:val="20"/>
        </w:rPr>
        <w:t>Los documentos públicos tendrán valor probatorio pleno, salvo prueba en contrario respecto de su autenticidad o de la veracidad de los hechos a que se refieran.</w:t>
      </w:r>
    </w:p>
  </w:footnote>
  <w:footnote w:id="6">
    <w:p w14:paraId="2C7B9CDC" w14:textId="2A4D343D" w:rsidR="007331F4" w:rsidRPr="00263337" w:rsidRDefault="007331F4" w:rsidP="00B35DE8">
      <w:pPr>
        <w:pStyle w:val="Textonotapie"/>
        <w:spacing w:after="240" w:line="276" w:lineRule="auto"/>
        <w:jc w:val="both"/>
        <w:rPr>
          <w:rFonts w:ascii="Arial" w:hAnsi="Arial" w:cs="Arial"/>
          <w:i/>
        </w:rPr>
      </w:pPr>
      <w:r w:rsidRPr="00263337">
        <w:rPr>
          <w:rStyle w:val="Refdenotaalpie"/>
          <w:rFonts w:ascii="Arial" w:hAnsi="Arial" w:cs="Arial"/>
          <w:i/>
        </w:rPr>
        <w:footnoteRef/>
      </w:r>
      <w:r w:rsidRPr="00263337">
        <w:rPr>
          <w:rFonts w:ascii="Arial" w:hAnsi="Arial" w:cs="Arial"/>
          <w:i/>
        </w:rPr>
        <w:t xml:space="preserve"> “ARTÍCULO 148.- La representación de las personas físicas para comparecer en juicio, se otorgará en escritura pública o carta poder firmada ante dos testigos y ratificada ante Notario Público o ante el secretario de acuerdos que corresponda.</w:t>
      </w:r>
    </w:p>
    <w:p w14:paraId="5F3004C0" w14:textId="50B4F10E"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w:t>
      </w:r>
    </w:p>
    <w:p w14:paraId="489077FB" w14:textId="1C17C966"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La representación de las autoridades corresponderá a los titulares de las mismas por si o a través de las unidades administrativas encargadas de su defensa jurídica, conforme lo establezcan las disposiciones legales aplicables.”</w:t>
      </w:r>
    </w:p>
  </w:footnote>
  <w:footnote w:id="7">
    <w:p w14:paraId="34B682B0" w14:textId="01F580EF" w:rsidR="007331F4" w:rsidRPr="00263337" w:rsidRDefault="007331F4" w:rsidP="00B35DE8">
      <w:pPr>
        <w:autoSpaceDE w:val="0"/>
        <w:autoSpaceDN w:val="0"/>
        <w:adjustRightInd w:val="0"/>
        <w:spacing w:after="240"/>
        <w:rPr>
          <w:rFonts w:ascii="Arial" w:hAnsi="Arial" w:cs="Arial"/>
          <w:i/>
          <w:sz w:val="20"/>
          <w:szCs w:val="20"/>
        </w:rPr>
      </w:pPr>
      <w:r w:rsidRPr="00263337">
        <w:rPr>
          <w:rStyle w:val="Refdenotaalpie"/>
          <w:rFonts w:ascii="Arial" w:hAnsi="Arial" w:cs="Arial"/>
          <w:i/>
          <w:sz w:val="20"/>
          <w:szCs w:val="20"/>
        </w:rPr>
        <w:footnoteRef/>
      </w:r>
      <w:r w:rsidRPr="00263337">
        <w:rPr>
          <w:rFonts w:ascii="Arial" w:hAnsi="Arial" w:cs="Arial"/>
          <w:i/>
          <w:sz w:val="20"/>
          <w:szCs w:val="20"/>
        </w:rPr>
        <w:t xml:space="preserve"> “</w:t>
      </w:r>
      <w:r w:rsidRPr="00263337">
        <w:rPr>
          <w:rFonts w:ascii="Arial" w:hAnsi="Arial" w:cs="Arial"/>
          <w:bCs/>
          <w:i/>
          <w:color w:val="000000"/>
          <w:sz w:val="20"/>
          <w:szCs w:val="20"/>
        </w:rPr>
        <w:t xml:space="preserve">ARTÍCULO 151.- </w:t>
      </w:r>
      <w:r w:rsidRPr="00263337">
        <w:rPr>
          <w:rFonts w:ascii="Arial" w:hAnsi="Arial" w:cs="Arial"/>
          <w:i/>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8">
    <w:p w14:paraId="2D86150E" w14:textId="77777777" w:rsidR="007331F4" w:rsidRPr="00263337" w:rsidRDefault="007331F4" w:rsidP="00B35DE8">
      <w:pPr>
        <w:pStyle w:val="Textonotapie"/>
        <w:spacing w:after="240" w:line="276" w:lineRule="auto"/>
        <w:jc w:val="both"/>
        <w:rPr>
          <w:rFonts w:ascii="Arial" w:hAnsi="Arial" w:cs="Arial"/>
          <w:i/>
        </w:rPr>
      </w:pPr>
      <w:r w:rsidRPr="00263337">
        <w:rPr>
          <w:rStyle w:val="Refdenotaalpie"/>
          <w:rFonts w:ascii="Arial" w:hAnsi="Arial" w:cs="Arial"/>
          <w:i/>
        </w:rPr>
        <w:footnoteRef/>
      </w:r>
      <w:r w:rsidRPr="00263337">
        <w:rPr>
          <w:rFonts w:ascii="Arial" w:hAnsi="Arial" w:cs="Arial"/>
          <w:i/>
        </w:rPr>
        <w:t xml:space="preserve"> “ARTÍCULO 203.- La valoración de las pruebas se hará de acuerdo con las siguientes reglas:</w:t>
      </w:r>
    </w:p>
    <w:p w14:paraId="0BE2761B"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p w14:paraId="09D9B03F" w14:textId="77777777" w:rsidR="007331F4" w:rsidRPr="00B35DE8" w:rsidRDefault="007331F4" w:rsidP="00B35DE8">
      <w:pPr>
        <w:pStyle w:val="Textonotapie"/>
        <w:spacing w:after="240" w:line="276" w:lineRule="auto"/>
        <w:jc w:val="both"/>
        <w:rPr>
          <w:rFonts w:ascii="Arial" w:hAnsi="Arial" w:cs="Arial"/>
          <w:i/>
          <w:sz w:val="16"/>
          <w:szCs w:val="16"/>
        </w:rPr>
      </w:pPr>
    </w:p>
  </w:footnote>
  <w:footnote w:id="9">
    <w:p w14:paraId="20D0243A" w14:textId="77777777" w:rsidR="007331F4" w:rsidRPr="00263337" w:rsidRDefault="007331F4" w:rsidP="00B35DE8">
      <w:pPr>
        <w:pStyle w:val="Textonotapie"/>
        <w:spacing w:after="240" w:line="276" w:lineRule="auto"/>
        <w:jc w:val="both"/>
        <w:rPr>
          <w:rFonts w:ascii="Arial" w:hAnsi="Arial" w:cs="Arial"/>
          <w:i/>
        </w:rPr>
      </w:pPr>
      <w:r w:rsidRPr="00263337">
        <w:rPr>
          <w:rStyle w:val="Refdenotaalpie"/>
          <w:rFonts w:ascii="Arial" w:hAnsi="Arial" w:cs="Arial"/>
          <w:i/>
        </w:rPr>
        <w:footnoteRef/>
      </w:r>
      <w:r w:rsidRPr="00263337">
        <w:rPr>
          <w:rFonts w:ascii="Arial" w:hAnsi="Arial" w:cs="Arial"/>
          <w:i/>
        </w:rPr>
        <w:t xml:space="preserve"> Artículo 16.- El Juicio de Inconformidad es improcedente:</w:t>
      </w:r>
    </w:p>
    <w:p w14:paraId="6C0A8189"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I. Contra actos o resoluciones que no afecten el interés jurídico del actor;</w:t>
      </w:r>
    </w:p>
    <w:p w14:paraId="6A185503"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II. Contra actos o resoluciones que se hayan consumado de un modo irreparable;</w:t>
      </w:r>
    </w:p>
    <w:p w14:paraId="428231D3"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III. Contra actos o resoluciones que se hubiesen consentido expresa o tácitamente por el actor;</w:t>
      </w:r>
    </w:p>
    <w:p w14:paraId="17BE4E69"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IV. Contra actos o resoluciones que no sean de la competencia del Tribunal;</w:t>
      </w:r>
    </w:p>
    <w:p w14:paraId="7AD2D50D" w14:textId="77777777" w:rsidR="007331F4" w:rsidRPr="00263337" w:rsidRDefault="007331F4" w:rsidP="00B35DE8">
      <w:pPr>
        <w:pStyle w:val="Textonotapie"/>
        <w:spacing w:after="240" w:line="276" w:lineRule="auto"/>
        <w:jc w:val="both"/>
        <w:rPr>
          <w:rFonts w:ascii="Arial" w:hAnsi="Arial" w:cs="Arial"/>
          <w:i/>
          <w:lang w:val="es-ES"/>
        </w:rPr>
      </w:pPr>
      <w:r w:rsidRPr="00263337">
        <w:rPr>
          <w:rFonts w:ascii="Arial" w:hAnsi="Arial" w:cs="Arial"/>
          <w:i/>
          <w:lang w:val="es-ES"/>
        </w:rPr>
        <w:t>V. Cuando el acto o resolución impugnado sea materia de un Recurso de Reconsideración, en trámite, en términos del Capítulo IV, del Título Tercero de la Ley de Fiscalización Superior del Estado de Oaxaca; y</w:t>
      </w:r>
    </w:p>
    <w:p w14:paraId="05445BCC" w14:textId="77777777" w:rsidR="007331F4" w:rsidRPr="00263337" w:rsidRDefault="007331F4" w:rsidP="00B35DE8">
      <w:pPr>
        <w:pStyle w:val="Textonotapie"/>
        <w:spacing w:after="240" w:line="276" w:lineRule="auto"/>
        <w:jc w:val="both"/>
        <w:rPr>
          <w:rFonts w:ascii="Arial" w:hAnsi="Arial" w:cs="Arial"/>
          <w:i/>
          <w:lang w:val="es-ES"/>
        </w:rPr>
      </w:pPr>
      <w:r w:rsidRPr="00263337">
        <w:rPr>
          <w:rFonts w:ascii="Arial" w:hAnsi="Arial" w:cs="Arial"/>
          <w:i/>
          <w:lang w:val="es-ES"/>
        </w:rPr>
        <w:t>VI. Cuando el promovente carezca de legitimación, en los términos de la presente Ley.</w:t>
      </w:r>
    </w:p>
  </w:footnote>
  <w:footnote w:id="10">
    <w:p w14:paraId="2A824F31" w14:textId="77777777" w:rsidR="007331F4" w:rsidRPr="00263337" w:rsidRDefault="007331F4" w:rsidP="00B35DE8">
      <w:pPr>
        <w:pStyle w:val="Textonotapie"/>
        <w:spacing w:after="240" w:line="276" w:lineRule="auto"/>
        <w:jc w:val="both"/>
        <w:rPr>
          <w:rFonts w:ascii="Arial" w:hAnsi="Arial" w:cs="Arial"/>
          <w:i/>
        </w:rPr>
      </w:pPr>
      <w:r w:rsidRPr="00263337">
        <w:rPr>
          <w:rStyle w:val="Refdenotaalpie"/>
          <w:rFonts w:ascii="Arial" w:hAnsi="Arial" w:cs="Arial"/>
          <w:i/>
        </w:rPr>
        <w:footnoteRef/>
      </w:r>
      <w:r w:rsidRPr="00263337">
        <w:rPr>
          <w:rFonts w:ascii="Arial" w:hAnsi="Arial" w:cs="Arial"/>
          <w:i/>
        </w:rPr>
        <w:t xml:space="preserve"> “Artículo 17.- Son causales de sobreseimiento del Juicio de Inconformidad:</w:t>
      </w:r>
    </w:p>
    <w:p w14:paraId="6424D979"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I. El desistimiento de la demanda hecho por el promovente;</w:t>
      </w:r>
    </w:p>
    <w:p w14:paraId="74B7EC84"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II. Aparezca o sobrevenga alguna causal de improcedencia en el trámite del juicio, en</w:t>
      </w:r>
    </w:p>
    <w:p w14:paraId="4EF983EE" w14:textId="77777777" w:rsidR="007331F4" w:rsidRPr="00263337" w:rsidRDefault="007331F4" w:rsidP="00B35DE8">
      <w:pPr>
        <w:pStyle w:val="Textonotapie"/>
        <w:spacing w:after="240" w:line="276" w:lineRule="auto"/>
        <w:jc w:val="both"/>
        <w:rPr>
          <w:rFonts w:ascii="Arial" w:hAnsi="Arial" w:cs="Arial"/>
          <w:i/>
        </w:rPr>
      </w:pPr>
      <w:r w:rsidRPr="00263337">
        <w:rPr>
          <w:rFonts w:ascii="Arial" w:hAnsi="Arial" w:cs="Arial"/>
          <w:i/>
        </w:rPr>
        <w:t>términos de la presente Ley; y</w:t>
      </w:r>
    </w:p>
    <w:p w14:paraId="55472497" w14:textId="77777777" w:rsidR="007331F4" w:rsidRPr="00B35DE8" w:rsidRDefault="007331F4" w:rsidP="00B35DE8">
      <w:pPr>
        <w:pStyle w:val="Textonotapie"/>
        <w:spacing w:after="240" w:line="276" w:lineRule="auto"/>
        <w:jc w:val="both"/>
        <w:rPr>
          <w:rFonts w:ascii="Arial" w:hAnsi="Arial" w:cs="Arial"/>
          <w:i/>
          <w:sz w:val="16"/>
          <w:szCs w:val="16"/>
          <w:lang w:val="es-ES"/>
        </w:rPr>
      </w:pPr>
      <w:r w:rsidRPr="00263337">
        <w:rPr>
          <w:rFonts w:ascii="Arial" w:hAnsi="Arial" w:cs="Arial"/>
          <w:i/>
        </w:rPr>
        <w:t>III. Cuando el interesado o el agraviado fallezca. (…)”</w:t>
      </w:r>
    </w:p>
  </w:footnote>
  <w:footnote w:id="11">
    <w:p w14:paraId="1BA35DFC" w14:textId="77777777" w:rsidR="006B6B3A" w:rsidRPr="006B1BE8" w:rsidRDefault="006B6B3A" w:rsidP="006B6B3A">
      <w:pPr>
        <w:pStyle w:val="Textonotapie"/>
        <w:jc w:val="both"/>
        <w:rPr>
          <w:rFonts w:ascii="Arial" w:hAnsi="Arial" w:cs="Arial"/>
          <w:i/>
        </w:rPr>
      </w:pPr>
      <w:r w:rsidRPr="006B1BE8">
        <w:rPr>
          <w:rStyle w:val="Refdenotaalpie"/>
          <w:rFonts w:ascii="Arial" w:hAnsi="Arial" w:cs="Arial"/>
          <w:i/>
        </w:rPr>
        <w:footnoteRef/>
      </w:r>
      <w:r w:rsidRPr="006B1BE8">
        <w:rPr>
          <w:rFonts w:ascii="Arial" w:hAnsi="Arial" w:cs="Arial"/>
          <w:i/>
        </w:rPr>
        <w:t xml:space="preserve"> Supletoriedad que tiene sustento en el artículo 6 de la Ley de Justicia de Fiscalización y Rendición de Cuentas para el Estado de Oaxaca, que dice: </w:t>
      </w:r>
    </w:p>
    <w:p w14:paraId="65595500" w14:textId="77777777" w:rsidR="006B6B3A" w:rsidRPr="006B1BE8" w:rsidRDefault="006B6B3A" w:rsidP="006B6B3A">
      <w:pPr>
        <w:pStyle w:val="Textonotapie"/>
        <w:jc w:val="both"/>
        <w:rPr>
          <w:rFonts w:ascii="Arial" w:hAnsi="Arial" w:cs="Arial"/>
          <w:i/>
        </w:rPr>
      </w:pPr>
      <w:r w:rsidRPr="006B1BE8">
        <w:rPr>
          <w:rFonts w:ascii="Arial" w:hAnsi="Arial" w:cs="Arial"/>
          <w:i/>
        </w:rPr>
        <w:t>“</w:t>
      </w:r>
      <w:r w:rsidRPr="006B1BE8">
        <w:rPr>
          <w:rFonts w:ascii="Arial" w:hAnsi="Arial" w:cs="Arial"/>
          <w:b/>
          <w:i/>
        </w:rPr>
        <w:t>Artículo 6.-</w:t>
      </w:r>
      <w:r w:rsidRPr="006B1BE8">
        <w:rPr>
          <w:rFonts w:ascii="Arial" w:hAnsi="Arial" w:cs="Arial"/>
          <w:i/>
        </w:rP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12">
    <w:p w14:paraId="2F1ED3A4" w14:textId="77777777" w:rsidR="006B6B3A" w:rsidRPr="0028642F" w:rsidRDefault="006B6B3A" w:rsidP="006B6B3A">
      <w:pPr>
        <w:pStyle w:val="Textonotapie"/>
        <w:jc w:val="both"/>
        <w:rPr>
          <w:rFonts w:ascii="Arial" w:hAnsi="Arial" w:cs="Arial"/>
          <w:i/>
        </w:rPr>
      </w:pPr>
      <w:r w:rsidRPr="0028642F">
        <w:rPr>
          <w:rStyle w:val="Refdenotaalpie"/>
          <w:rFonts w:ascii="Arial" w:hAnsi="Arial" w:cs="Arial"/>
          <w:i/>
        </w:rPr>
        <w:footnoteRef/>
      </w:r>
      <w:r w:rsidRPr="0028642F">
        <w:rPr>
          <w:rFonts w:ascii="Arial" w:hAnsi="Arial" w:cs="Arial"/>
          <w:i/>
        </w:rPr>
        <w:t xml:space="preserve"> “</w:t>
      </w:r>
      <w:r w:rsidRPr="0028642F">
        <w:rPr>
          <w:rFonts w:ascii="Arial" w:hAnsi="Arial" w:cs="Arial"/>
          <w:b/>
          <w:bCs/>
          <w:i/>
        </w:rPr>
        <w:t>ARTÍCULO 208.-</w:t>
      </w:r>
      <w:r w:rsidRPr="0028642F">
        <w:rPr>
          <w:rFonts w:ascii="Arial" w:hAnsi="Arial" w:cs="Arial"/>
          <w:i/>
        </w:rPr>
        <w:t xml:space="preserve"> Se declarará que un acto administrativo es ilegal si de esa ilegalidad nace su nulidad relativa o absoluta, cuando se demuestre alguna de las siguientes causales:  </w:t>
      </w:r>
    </w:p>
    <w:p w14:paraId="4CAA10F8" w14:textId="77777777" w:rsidR="006B6B3A" w:rsidRPr="0028642F" w:rsidRDefault="006B6B3A" w:rsidP="006B6B3A">
      <w:pPr>
        <w:pStyle w:val="Textonotapie"/>
        <w:jc w:val="both"/>
        <w:rPr>
          <w:rFonts w:ascii="Arial" w:hAnsi="Arial" w:cs="Arial"/>
          <w:i/>
        </w:rPr>
      </w:pPr>
      <w:r w:rsidRPr="0028642F">
        <w:rPr>
          <w:rFonts w:ascii="Arial" w:hAnsi="Arial" w:cs="Arial"/>
          <w:i/>
        </w:rPr>
        <w:t>(…)</w:t>
      </w:r>
    </w:p>
    <w:p w14:paraId="3359E47E" w14:textId="77777777" w:rsidR="006B6B3A" w:rsidRPr="0028642F" w:rsidRDefault="006B6B3A" w:rsidP="006B6B3A">
      <w:pPr>
        <w:pStyle w:val="Textonotapie"/>
        <w:jc w:val="both"/>
        <w:rPr>
          <w:rFonts w:ascii="Arial" w:hAnsi="Arial" w:cs="Arial"/>
          <w:i/>
        </w:rPr>
      </w:pPr>
      <w:r w:rsidRPr="0028642F">
        <w:rPr>
          <w:rFonts w:ascii="Arial" w:hAnsi="Arial" w:cs="Arial"/>
          <w:i/>
        </w:rPr>
        <w:t>El Tribunal podrá hacer valer de oficio, por ser de orden público, la incompetencia de la autoridad para dictar la resolución impugnada y la ausencia total o parcial de fundamentación o motivación en dicha resolución.”</w:t>
      </w:r>
    </w:p>
  </w:footnote>
  <w:footnote w:id="13">
    <w:p w14:paraId="1A9F8CEB" w14:textId="77777777" w:rsidR="006B6B3A" w:rsidRPr="00544C10" w:rsidRDefault="006B6B3A" w:rsidP="006B6B3A">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14">
    <w:p w14:paraId="75EDD05C" w14:textId="77777777" w:rsidR="006B6B3A" w:rsidRPr="00237C14" w:rsidRDefault="006B6B3A" w:rsidP="006B6B3A">
      <w:pPr>
        <w:pStyle w:val="Textonotapie"/>
        <w:rPr>
          <w:rFonts w:ascii="Arial" w:hAnsi="Arial" w:cs="Arial"/>
          <w:i/>
        </w:rPr>
      </w:pPr>
      <w:r w:rsidRPr="00237C14">
        <w:rPr>
          <w:rStyle w:val="Refdenotaalpie"/>
          <w:rFonts w:ascii="Arial" w:hAnsi="Arial" w:cs="Arial"/>
          <w:i/>
        </w:rPr>
        <w:footnoteRef/>
      </w:r>
      <w:r w:rsidRPr="00237C14">
        <w:rPr>
          <w:rFonts w:ascii="Arial" w:hAnsi="Arial" w:cs="Arial"/>
          <w:i/>
        </w:rPr>
        <w:t xml:space="preserve"> </w:t>
      </w:r>
      <w:r>
        <w:rPr>
          <w:rFonts w:ascii="Arial" w:hAnsi="Arial" w:cs="Arial"/>
          <w:i/>
        </w:rPr>
        <w:t>“</w:t>
      </w:r>
      <w:r w:rsidRPr="00E96147">
        <w:rPr>
          <w:rFonts w:ascii="Arial" w:hAnsi="Arial" w:cs="Arial"/>
          <w:b/>
          <w:i/>
        </w:rPr>
        <w:t>ARTÍCULO 17.-</w:t>
      </w:r>
      <w:r w:rsidRPr="00237C14">
        <w:rPr>
          <w:rFonts w:ascii="Arial" w:hAnsi="Arial" w:cs="Arial"/>
          <w:i/>
        </w:rPr>
        <w:t xml:space="preserve"> Son elementos y requisitos de validez del acto administrativo:</w:t>
      </w:r>
    </w:p>
    <w:p w14:paraId="3F5F5414" w14:textId="77777777" w:rsidR="006B6B3A" w:rsidRDefault="006B6B3A" w:rsidP="006B6B3A">
      <w:pPr>
        <w:pStyle w:val="Textonotapie"/>
        <w:rPr>
          <w:rFonts w:ascii="Arial" w:hAnsi="Arial" w:cs="Arial"/>
          <w:i/>
          <w:lang w:val="es-ES"/>
        </w:rPr>
      </w:pPr>
      <w:r w:rsidRPr="00237C14">
        <w:rPr>
          <w:rFonts w:ascii="Arial" w:hAnsi="Arial" w:cs="Arial"/>
          <w:i/>
          <w:lang w:val="es-ES"/>
        </w:rPr>
        <w:t>V. Estar fundado y motivado;</w:t>
      </w:r>
      <w:r>
        <w:rPr>
          <w:rFonts w:ascii="Arial" w:hAnsi="Arial" w:cs="Arial"/>
          <w:i/>
          <w:lang w:val="es-ES"/>
        </w:rPr>
        <w:t>”</w:t>
      </w:r>
    </w:p>
    <w:p w14:paraId="465DD181" w14:textId="77777777" w:rsidR="00263337" w:rsidRPr="00237C14" w:rsidRDefault="00263337" w:rsidP="006B6B3A">
      <w:pPr>
        <w:pStyle w:val="Textonotapie"/>
        <w:rPr>
          <w:lang w:val="es-ES"/>
        </w:rPr>
      </w:pPr>
    </w:p>
  </w:footnote>
  <w:footnote w:id="15">
    <w:p w14:paraId="47296A71" w14:textId="77777777" w:rsidR="006B6B3A" w:rsidRPr="00C14B7C" w:rsidRDefault="006B6B3A" w:rsidP="00263337">
      <w:pPr>
        <w:pStyle w:val="Textonotapie"/>
        <w:spacing w:line="360" w:lineRule="auto"/>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40.-</w:t>
      </w:r>
      <w:r w:rsidRPr="00C14B7C">
        <w:rPr>
          <w:rFonts w:ascii="Arial" w:hAnsi="Arial" w:cs="Arial"/>
          <w:i/>
        </w:rPr>
        <w:t xml:space="preserve"> Las sentencias serán definitivas e inatacables; éstas podrán:</w:t>
      </w:r>
    </w:p>
    <w:p w14:paraId="1AE54F77" w14:textId="77777777" w:rsidR="006B6B3A" w:rsidRPr="00C14B7C" w:rsidRDefault="006B6B3A" w:rsidP="00263337">
      <w:pPr>
        <w:pStyle w:val="Textonotapie"/>
        <w:spacing w:line="360" w:lineRule="auto"/>
        <w:jc w:val="both"/>
        <w:rPr>
          <w:rFonts w:ascii="Arial" w:hAnsi="Arial" w:cs="Arial"/>
          <w:i/>
          <w:lang w:val="es-ES"/>
        </w:rPr>
      </w:pPr>
      <w:r w:rsidRPr="00C14B7C">
        <w:rPr>
          <w:rFonts w:ascii="Arial" w:hAnsi="Arial" w:cs="Arial"/>
          <w:i/>
          <w:lang w:val="es-ES"/>
        </w:rPr>
        <w:t>IV. Dejar sin efectos el acto impugnado o revocarlo total o parcialmente;</w:t>
      </w:r>
    </w:p>
  </w:footnote>
  <w:footnote w:id="16">
    <w:p w14:paraId="6A26369C" w14:textId="77777777" w:rsidR="006B6B3A" w:rsidRDefault="006B6B3A" w:rsidP="00263337">
      <w:pPr>
        <w:pStyle w:val="Textonotapie"/>
        <w:spacing w:line="360" w:lineRule="auto"/>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5709E938" w14:textId="77777777" w:rsidR="006B6B3A" w:rsidRPr="00A72062" w:rsidRDefault="006B6B3A" w:rsidP="00263337">
      <w:pPr>
        <w:pStyle w:val="Textonotapie"/>
        <w:spacing w:line="360" w:lineRule="auto"/>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3244EE6C" w14:textId="77777777" w:rsidR="006B6B3A" w:rsidRPr="00A72062" w:rsidRDefault="006B6B3A" w:rsidP="00263337">
      <w:pPr>
        <w:pStyle w:val="Textonotapie"/>
        <w:spacing w:line="360" w:lineRule="auto"/>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546D1" w14:textId="1FC7FBB6" w:rsidR="00CB7617" w:rsidRDefault="00CB7617">
    <w:pPr>
      <w:pStyle w:val="Encabezado"/>
    </w:pPr>
    <w:r>
      <w:rPr>
        <w:noProof/>
      </w:rPr>
      <w:drawing>
        <wp:anchor distT="0" distB="0" distL="114300" distR="114300" simplePos="0" relativeHeight="251662336" behindDoc="1" locked="0" layoutInCell="1" allowOverlap="1" wp14:anchorId="58CDECC9" wp14:editId="273B7112">
          <wp:simplePos x="0" y="0"/>
          <wp:positionH relativeFrom="column">
            <wp:posOffset>5972810</wp:posOffset>
          </wp:positionH>
          <wp:positionV relativeFrom="paragraph">
            <wp:posOffset>4064635</wp:posOffset>
          </wp:positionV>
          <wp:extent cx="1030605" cy="1256030"/>
          <wp:effectExtent l="0" t="0" r="0" b="1270"/>
          <wp:wrapNone/>
          <wp:docPr id="210353387" name="Imagen 21035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099803"/>
      <w:docPartObj>
        <w:docPartGallery w:val="Page Numbers (Top of Page)"/>
        <w:docPartUnique/>
      </w:docPartObj>
    </w:sdtPr>
    <w:sdtEndPr/>
    <w:sdtContent>
      <w:p w14:paraId="3BD03D80" w14:textId="1E2EC649" w:rsidR="007331F4" w:rsidRDefault="007331F4">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61312" behindDoc="0" locked="0" layoutInCell="1" allowOverlap="1" wp14:anchorId="7E4D2DD9" wp14:editId="6A8F0612">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F7244A" w:rsidRPr="00F7244A">
          <w:rPr>
            <w:noProof/>
            <w:lang w:val="es-ES"/>
          </w:rPr>
          <w:t>23</w:t>
        </w:r>
        <w:r>
          <w:fldChar w:fldCharType="end"/>
        </w:r>
      </w:p>
    </w:sdtContent>
  </w:sdt>
  <w:p w14:paraId="6DE680F6" w14:textId="1104EF7B" w:rsidR="007331F4" w:rsidRDefault="00CB7617">
    <w:pPr>
      <w:pStyle w:val="Encabezado"/>
    </w:pPr>
    <w:r>
      <w:rPr>
        <w:noProof/>
      </w:rPr>
      <w:drawing>
        <wp:anchor distT="0" distB="0" distL="114300" distR="114300" simplePos="0" relativeHeight="251664384" behindDoc="1" locked="0" layoutInCell="1" allowOverlap="1" wp14:anchorId="2CCB531A" wp14:editId="39873ADA">
          <wp:simplePos x="0" y="0"/>
          <wp:positionH relativeFrom="column">
            <wp:posOffset>-1220470</wp:posOffset>
          </wp:positionH>
          <wp:positionV relativeFrom="paragraph">
            <wp:posOffset>3808095</wp:posOffset>
          </wp:positionV>
          <wp:extent cx="1030605" cy="1256030"/>
          <wp:effectExtent l="0" t="0" r="0" b="1270"/>
          <wp:wrapNone/>
          <wp:docPr id="456705553" name="Imagen 45670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286702"/>
      <w:docPartObj>
        <w:docPartGallery w:val="Page Numbers (Top of Page)"/>
        <w:docPartUnique/>
      </w:docPartObj>
    </w:sdtPr>
    <w:sdtEndPr/>
    <w:sdtContent>
      <w:p w14:paraId="43039DC9" w14:textId="6419A962" w:rsidR="007331F4" w:rsidRDefault="007331F4">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59264" behindDoc="0" locked="0" layoutInCell="1" allowOverlap="1" wp14:anchorId="1E5F3248" wp14:editId="00A77CDE">
              <wp:simplePos x="0" y="0"/>
              <wp:positionH relativeFrom="column">
                <wp:posOffset>-327025</wp:posOffset>
              </wp:positionH>
              <wp:positionV relativeFrom="paragraph">
                <wp:posOffset>-121920</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263337" w:rsidRPr="00263337">
          <w:rPr>
            <w:noProof/>
            <w:lang w:val="es-ES"/>
          </w:rPr>
          <w:t>1</w:t>
        </w:r>
        <w:r>
          <w:fldChar w:fldCharType="end"/>
        </w:r>
      </w:p>
    </w:sdtContent>
  </w:sdt>
  <w:p w14:paraId="703CC1EE" w14:textId="1DC900FA" w:rsidR="007331F4" w:rsidRDefault="00CB7617">
    <w:pPr>
      <w:pStyle w:val="Encabezado"/>
    </w:pPr>
    <w:r>
      <w:rPr>
        <w:noProof/>
      </w:rPr>
      <w:drawing>
        <wp:anchor distT="0" distB="0" distL="114300" distR="114300" simplePos="0" relativeHeight="251663360" behindDoc="1" locked="0" layoutInCell="1" allowOverlap="1" wp14:anchorId="7D22BBC5" wp14:editId="4F6808B5">
          <wp:simplePos x="0" y="0"/>
          <wp:positionH relativeFrom="column">
            <wp:posOffset>-1229995</wp:posOffset>
          </wp:positionH>
          <wp:positionV relativeFrom="paragraph">
            <wp:posOffset>4265295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B3D42"/>
    <w:multiLevelType w:val="hybridMultilevel"/>
    <w:tmpl w:val="9642C6E0"/>
    <w:lvl w:ilvl="0" w:tplc="D9C85086">
      <w:start w:val="1"/>
      <w:numFmt w:val="upperRoman"/>
      <w:lvlText w:val="%1."/>
      <w:lvlJc w:val="left"/>
      <w:pPr>
        <w:ind w:left="1287" w:hanging="720"/>
      </w:pPr>
      <w:rPr>
        <w:rFonts w:asciiTheme="minorHAnsi" w:hAnsiTheme="minorHAnsi" w:cstheme="minorBidi"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2"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39FD5C82"/>
    <w:multiLevelType w:val="hybridMultilevel"/>
    <w:tmpl w:val="2D325098"/>
    <w:lvl w:ilvl="0" w:tplc="382414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58BF679F"/>
    <w:multiLevelType w:val="hybridMultilevel"/>
    <w:tmpl w:val="B7C6BA0A"/>
    <w:lvl w:ilvl="0" w:tplc="A878A514">
      <w:start w:val="1"/>
      <w:numFmt w:val="upperRoman"/>
      <w:lvlText w:val="%1."/>
      <w:lvlJc w:val="left"/>
      <w:pPr>
        <w:ind w:left="1287" w:hanging="720"/>
      </w:pPr>
      <w:rPr>
        <w:rFonts w:ascii="Arial" w:hAnsi="Arial" w:cs="Arial"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49421149">
    <w:abstractNumId w:val="6"/>
  </w:num>
  <w:num w:numId="2" w16cid:durableId="1344358100">
    <w:abstractNumId w:val="8"/>
  </w:num>
  <w:num w:numId="3" w16cid:durableId="1120344862">
    <w:abstractNumId w:val="12"/>
  </w:num>
  <w:num w:numId="4" w16cid:durableId="1789544695">
    <w:abstractNumId w:val="4"/>
  </w:num>
  <w:num w:numId="5" w16cid:durableId="241841408">
    <w:abstractNumId w:val="10"/>
  </w:num>
  <w:num w:numId="6" w16cid:durableId="124812716">
    <w:abstractNumId w:val="5"/>
  </w:num>
  <w:num w:numId="7" w16cid:durableId="632903755">
    <w:abstractNumId w:val="11"/>
  </w:num>
  <w:num w:numId="8" w16cid:durableId="604507253">
    <w:abstractNumId w:val="2"/>
  </w:num>
  <w:num w:numId="9" w16cid:durableId="1312128522">
    <w:abstractNumId w:val="3"/>
  </w:num>
  <w:num w:numId="10" w16cid:durableId="1684547749">
    <w:abstractNumId w:val="1"/>
  </w:num>
  <w:num w:numId="11" w16cid:durableId="672613896">
    <w:abstractNumId w:val="7"/>
  </w:num>
  <w:num w:numId="12" w16cid:durableId="1006861815">
    <w:abstractNumId w:val="9"/>
  </w:num>
  <w:num w:numId="13" w16cid:durableId="2135443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0"/>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0FF4"/>
    <w:rsid w:val="00012F54"/>
    <w:rsid w:val="0001384A"/>
    <w:rsid w:val="00015085"/>
    <w:rsid w:val="000203B2"/>
    <w:rsid w:val="00021165"/>
    <w:rsid w:val="00022009"/>
    <w:rsid w:val="00022D0A"/>
    <w:rsid w:val="00023E0F"/>
    <w:rsid w:val="00024B09"/>
    <w:rsid w:val="0002521A"/>
    <w:rsid w:val="0002541F"/>
    <w:rsid w:val="00026BB2"/>
    <w:rsid w:val="00026F4A"/>
    <w:rsid w:val="000272BD"/>
    <w:rsid w:val="00030491"/>
    <w:rsid w:val="00031C21"/>
    <w:rsid w:val="00032827"/>
    <w:rsid w:val="000337D1"/>
    <w:rsid w:val="00035E01"/>
    <w:rsid w:val="000363E1"/>
    <w:rsid w:val="00036966"/>
    <w:rsid w:val="00036A0C"/>
    <w:rsid w:val="000400D4"/>
    <w:rsid w:val="000426C9"/>
    <w:rsid w:val="00043075"/>
    <w:rsid w:val="000431D9"/>
    <w:rsid w:val="00043748"/>
    <w:rsid w:val="00044C65"/>
    <w:rsid w:val="00045E11"/>
    <w:rsid w:val="000463EA"/>
    <w:rsid w:val="000504AB"/>
    <w:rsid w:val="00051177"/>
    <w:rsid w:val="0005145D"/>
    <w:rsid w:val="0005415A"/>
    <w:rsid w:val="00054AF9"/>
    <w:rsid w:val="00055C88"/>
    <w:rsid w:val="00057B7A"/>
    <w:rsid w:val="00060198"/>
    <w:rsid w:val="000606F7"/>
    <w:rsid w:val="0006465E"/>
    <w:rsid w:val="00064AC2"/>
    <w:rsid w:val="000662B7"/>
    <w:rsid w:val="00070605"/>
    <w:rsid w:val="00075A85"/>
    <w:rsid w:val="00083AB0"/>
    <w:rsid w:val="00090D04"/>
    <w:rsid w:val="00092E1F"/>
    <w:rsid w:val="00093A8B"/>
    <w:rsid w:val="00094E83"/>
    <w:rsid w:val="000951F5"/>
    <w:rsid w:val="00096FC9"/>
    <w:rsid w:val="0009786A"/>
    <w:rsid w:val="000A003F"/>
    <w:rsid w:val="000A25F3"/>
    <w:rsid w:val="000A2814"/>
    <w:rsid w:val="000A2A86"/>
    <w:rsid w:val="000A3369"/>
    <w:rsid w:val="000A4C89"/>
    <w:rsid w:val="000A5644"/>
    <w:rsid w:val="000A5C47"/>
    <w:rsid w:val="000A5C7A"/>
    <w:rsid w:val="000B149F"/>
    <w:rsid w:val="000B1C0B"/>
    <w:rsid w:val="000B426C"/>
    <w:rsid w:val="000B48CB"/>
    <w:rsid w:val="000B4A0F"/>
    <w:rsid w:val="000B522E"/>
    <w:rsid w:val="000B52EA"/>
    <w:rsid w:val="000B6196"/>
    <w:rsid w:val="000C1184"/>
    <w:rsid w:val="000C14B9"/>
    <w:rsid w:val="000C2B0F"/>
    <w:rsid w:val="000C35D8"/>
    <w:rsid w:val="000C5EA0"/>
    <w:rsid w:val="000C6172"/>
    <w:rsid w:val="000C67C3"/>
    <w:rsid w:val="000C6FAD"/>
    <w:rsid w:val="000D1115"/>
    <w:rsid w:val="000D1520"/>
    <w:rsid w:val="000D23FD"/>
    <w:rsid w:val="000E1601"/>
    <w:rsid w:val="000E2FD3"/>
    <w:rsid w:val="000E728E"/>
    <w:rsid w:val="000F22D4"/>
    <w:rsid w:val="000F4860"/>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5DE8"/>
    <w:rsid w:val="00147686"/>
    <w:rsid w:val="00151127"/>
    <w:rsid w:val="0015148F"/>
    <w:rsid w:val="001514E4"/>
    <w:rsid w:val="0015175F"/>
    <w:rsid w:val="00153004"/>
    <w:rsid w:val="00155A52"/>
    <w:rsid w:val="00155F12"/>
    <w:rsid w:val="0016023B"/>
    <w:rsid w:val="001604C8"/>
    <w:rsid w:val="001612DC"/>
    <w:rsid w:val="00161E06"/>
    <w:rsid w:val="001628B3"/>
    <w:rsid w:val="00163799"/>
    <w:rsid w:val="001658D6"/>
    <w:rsid w:val="00166E0B"/>
    <w:rsid w:val="0016783D"/>
    <w:rsid w:val="0017009A"/>
    <w:rsid w:val="00170B83"/>
    <w:rsid w:val="00173126"/>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E1A1B"/>
    <w:rsid w:val="001E49C1"/>
    <w:rsid w:val="001E4A0B"/>
    <w:rsid w:val="001E5543"/>
    <w:rsid w:val="001F28A5"/>
    <w:rsid w:val="001F2FF9"/>
    <w:rsid w:val="001F31F1"/>
    <w:rsid w:val="001F4905"/>
    <w:rsid w:val="001F5A9D"/>
    <w:rsid w:val="001F7521"/>
    <w:rsid w:val="001F79C0"/>
    <w:rsid w:val="0020106B"/>
    <w:rsid w:val="00203B91"/>
    <w:rsid w:val="0020517C"/>
    <w:rsid w:val="00206AF9"/>
    <w:rsid w:val="0020764C"/>
    <w:rsid w:val="002119B0"/>
    <w:rsid w:val="00214024"/>
    <w:rsid w:val="00214E4D"/>
    <w:rsid w:val="00215C5C"/>
    <w:rsid w:val="002161AA"/>
    <w:rsid w:val="00216B34"/>
    <w:rsid w:val="002175BF"/>
    <w:rsid w:val="00220F2F"/>
    <w:rsid w:val="0022127C"/>
    <w:rsid w:val="00221CC8"/>
    <w:rsid w:val="002257D3"/>
    <w:rsid w:val="00226128"/>
    <w:rsid w:val="00230C55"/>
    <w:rsid w:val="00230E4C"/>
    <w:rsid w:val="002318D5"/>
    <w:rsid w:val="00232A48"/>
    <w:rsid w:val="00233486"/>
    <w:rsid w:val="00233ACB"/>
    <w:rsid w:val="00234E76"/>
    <w:rsid w:val="00240B34"/>
    <w:rsid w:val="00240C50"/>
    <w:rsid w:val="002419CF"/>
    <w:rsid w:val="002432AA"/>
    <w:rsid w:val="00243B92"/>
    <w:rsid w:val="00244364"/>
    <w:rsid w:val="00245075"/>
    <w:rsid w:val="00247C06"/>
    <w:rsid w:val="00251577"/>
    <w:rsid w:val="002519E7"/>
    <w:rsid w:val="00252425"/>
    <w:rsid w:val="002524BD"/>
    <w:rsid w:val="00252E0F"/>
    <w:rsid w:val="00256E14"/>
    <w:rsid w:val="002616D1"/>
    <w:rsid w:val="00263337"/>
    <w:rsid w:val="00263D95"/>
    <w:rsid w:val="00265704"/>
    <w:rsid w:val="00267C69"/>
    <w:rsid w:val="0027164D"/>
    <w:rsid w:val="00273FAA"/>
    <w:rsid w:val="002747AF"/>
    <w:rsid w:val="00274E07"/>
    <w:rsid w:val="0027572E"/>
    <w:rsid w:val="00275F15"/>
    <w:rsid w:val="0027767F"/>
    <w:rsid w:val="00280E8D"/>
    <w:rsid w:val="0028174D"/>
    <w:rsid w:val="00283AD6"/>
    <w:rsid w:val="0028475A"/>
    <w:rsid w:val="00284A85"/>
    <w:rsid w:val="00285699"/>
    <w:rsid w:val="00290314"/>
    <w:rsid w:val="002914F2"/>
    <w:rsid w:val="00291FFD"/>
    <w:rsid w:val="00292090"/>
    <w:rsid w:val="00292144"/>
    <w:rsid w:val="00292797"/>
    <w:rsid w:val="00295133"/>
    <w:rsid w:val="002962FA"/>
    <w:rsid w:val="00296314"/>
    <w:rsid w:val="00296A0F"/>
    <w:rsid w:val="002A3075"/>
    <w:rsid w:val="002A3806"/>
    <w:rsid w:val="002A59B5"/>
    <w:rsid w:val="002A6281"/>
    <w:rsid w:val="002A7FE6"/>
    <w:rsid w:val="002B197F"/>
    <w:rsid w:val="002B245A"/>
    <w:rsid w:val="002B2700"/>
    <w:rsid w:val="002B2C0E"/>
    <w:rsid w:val="002B52BC"/>
    <w:rsid w:val="002B5D36"/>
    <w:rsid w:val="002C096F"/>
    <w:rsid w:val="002C0FD7"/>
    <w:rsid w:val="002C2370"/>
    <w:rsid w:val="002C48D3"/>
    <w:rsid w:val="002C4C27"/>
    <w:rsid w:val="002C501F"/>
    <w:rsid w:val="002D0236"/>
    <w:rsid w:val="002D1F19"/>
    <w:rsid w:val="002D696F"/>
    <w:rsid w:val="002D794E"/>
    <w:rsid w:val="002E00DA"/>
    <w:rsid w:val="002E0F64"/>
    <w:rsid w:val="002E26F6"/>
    <w:rsid w:val="002E51ED"/>
    <w:rsid w:val="002E6A31"/>
    <w:rsid w:val="002F02FB"/>
    <w:rsid w:val="002F08AA"/>
    <w:rsid w:val="002F0F70"/>
    <w:rsid w:val="002F2F88"/>
    <w:rsid w:val="002F4A47"/>
    <w:rsid w:val="002F5B67"/>
    <w:rsid w:val="002F62ED"/>
    <w:rsid w:val="002F64E7"/>
    <w:rsid w:val="002F71C8"/>
    <w:rsid w:val="00300882"/>
    <w:rsid w:val="00301470"/>
    <w:rsid w:val="003039BE"/>
    <w:rsid w:val="00304F2A"/>
    <w:rsid w:val="00305031"/>
    <w:rsid w:val="003054D8"/>
    <w:rsid w:val="003056FB"/>
    <w:rsid w:val="003057ED"/>
    <w:rsid w:val="0031131E"/>
    <w:rsid w:val="003119B9"/>
    <w:rsid w:val="00312C45"/>
    <w:rsid w:val="00314C35"/>
    <w:rsid w:val="003173F3"/>
    <w:rsid w:val="00317C62"/>
    <w:rsid w:val="0032516A"/>
    <w:rsid w:val="00327322"/>
    <w:rsid w:val="00327ABE"/>
    <w:rsid w:val="00330516"/>
    <w:rsid w:val="0033075F"/>
    <w:rsid w:val="00330E66"/>
    <w:rsid w:val="00331255"/>
    <w:rsid w:val="003337E5"/>
    <w:rsid w:val="00334E8F"/>
    <w:rsid w:val="00335E07"/>
    <w:rsid w:val="003363CD"/>
    <w:rsid w:val="00337745"/>
    <w:rsid w:val="0034010C"/>
    <w:rsid w:val="0034140C"/>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C9A"/>
    <w:rsid w:val="00376D3E"/>
    <w:rsid w:val="003775C1"/>
    <w:rsid w:val="003778A9"/>
    <w:rsid w:val="00377B5E"/>
    <w:rsid w:val="00380B47"/>
    <w:rsid w:val="003849B2"/>
    <w:rsid w:val="00387930"/>
    <w:rsid w:val="00387A09"/>
    <w:rsid w:val="00387B42"/>
    <w:rsid w:val="003905EF"/>
    <w:rsid w:val="0039133D"/>
    <w:rsid w:val="0039203D"/>
    <w:rsid w:val="00392476"/>
    <w:rsid w:val="0039553C"/>
    <w:rsid w:val="00396C5D"/>
    <w:rsid w:val="00396CF4"/>
    <w:rsid w:val="00396F45"/>
    <w:rsid w:val="00397D65"/>
    <w:rsid w:val="003A1210"/>
    <w:rsid w:val="003A36D0"/>
    <w:rsid w:val="003A4498"/>
    <w:rsid w:val="003A4813"/>
    <w:rsid w:val="003A568C"/>
    <w:rsid w:val="003A616F"/>
    <w:rsid w:val="003A66BF"/>
    <w:rsid w:val="003B1245"/>
    <w:rsid w:val="003B457A"/>
    <w:rsid w:val="003B5A3A"/>
    <w:rsid w:val="003B6237"/>
    <w:rsid w:val="003C017E"/>
    <w:rsid w:val="003C1032"/>
    <w:rsid w:val="003C27E4"/>
    <w:rsid w:val="003C2967"/>
    <w:rsid w:val="003C37D1"/>
    <w:rsid w:val="003C3CAD"/>
    <w:rsid w:val="003C4D97"/>
    <w:rsid w:val="003C6BA7"/>
    <w:rsid w:val="003C709B"/>
    <w:rsid w:val="003C797E"/>
    <w:rsid w:val="003C7C99"/>
    <w:rsid w:val="003D2D38"/>
    <w:rsid w:val="003D38DE"/>
    <w:rsid w:val="003D39C4"/>
    <w:rsid w:val="003D5F62"/>
    <w:rsid w:val="003D64AE"/>
    <w:rsid w:val="003D6C41"/>
    <w:rsid w:val="003E0CBC"/>
    <w:rsid w:val="003E127B"/>
    <w:rsid w:val="003E3CFA"/>
    <w:rsid w:val="003E4EAB"/>
    <w:rsid w:val="003E5FB0"/>
    <w:rsid w:val="003E65D9"/>
    <w:rsid w:val="003E696C"/>
    <w:rsid w:val="003E727C"/>
    <w:rsid w:val="003F1272"/>
    <w:rsid w:val="003F2C6F"/>
    <w:rsid w:val="003F2E0D"/>
    <w:rsid w:val="003F318A"/>
    <w:rsid w:val="003F38F5"/>
    <w:rsid w:val="003F44D9"/>
    <w:rsid w:val="003F6F05"/>
    <w:rsid w:val="00401323"/>
    <w:rsid w:val="004018A4"/>
    <w:rsid w:val="00402287"/>
    <w:rsid w:val="00402B10"/>
    <w:rsid w:val="0040395C"/>
    <w:rsid w:val="004107AC"/>
    <w:rsid w:val="00410B01"/>
    <w:rsid w:val="00411AB4"/>
    <w:rsid w:val="00414886"/>
    <w:rsid w:val="00414AF5"/>
    <w:rsid w:val="00414E9B"/>
    <w:rsid w:val="0041568C"/>
    <w:rsid w:val="004158E6"/>
    <w:rsid w:val="00421E9B"/>
    <w:rsid w:val="0042225B"/>
    <w:rsid w:val="004223B7"/>
    <w:rsid w:val="00423C8C"/>
    <w:rsid w:val="00425036"/>
    <w:rsid w:val="00426D28"/>
    <w:rsid w:val="00426E11"/>
    <w:rsid w:val="00427278"/>
    <w:rsid w:val="00427C97"/>
    <w:rsid w:val="004301EB"/>
    <w:rsid w:val="00430B1C"/>
    <w:rsid w:val="00431034"/>
    <w:rsid w:val="0043159F"/>
    <w:rsid w:val="00431F5F"/>
    <w:rsid w:val="00432832"/>
    <w:rsid w:val="00434D22"/>
    <w:rsid w:val="00434DA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60CAD"/>
    <w:rsid w:val="00464066"/>
    <w:rsid w:val="004658F8"/>
    <w:rsid w:val="004660BC"/>
    <w:rsid w:val="00466AFA"/>
    <w:rsid w:val="00471718"/>
    <w:rsid w:val="00471CD3"/>
    <w:rsid w:val="00471CEB"/>
    <w:rsid w:val="004720BB"/>
    <w:rsid w:val="004723BF"/>
    <w:rsid w:val="00481380"/>
    <w:rsid w:val="0048308A"/>
    <w:rsid w:val="00483C33"/>
    <w:rsid w:val="00484994"/>
    <w:rsid w:val="00485E2A"/>
    <w:rsid w:val="004865E5"/>
    <w:rsid w:val="004901A3"/>
    <w:rsid w:val="00492932"/>
    <w:rsid w:val="00493C88"/>
    <w:rsid w:val="004950D5"/>
    <w:rsid w:val="004975BA"/>
    <w:rsid w:val="00497B08"/>
    <w:rsid w:val="004A0097"/>
    <w:rsid w:val="004A0EDA"/>
    <w:rsid w:val="004A0FF9"/>
    <w:rsid w:val="004A1E32"/>
    <w:rsid w:val="004A23FF"/>
    <w:rsid w:val="004A3D3D"/>
    <w:rsid w:val="004A543C"/>
    <w:rsid w:val="004A672B"/>
    <w:rsid w:val="004A6DB8"/>
    <w:rsid w:val="004B030F"/>
    <w:rsid w:val="004B0D7E"/>
    <w:rsid w:val="004B1477"/>
    <w:rsid w:val="004B2265"/>
    <w:rsid w:val="004B22DE"/>
    <w:rsid w:val="004B2E34"/>
    <w:rsid w:val="004B68F5"/>
    <w:rsid w:val="004B7904"/>
    <w:rsid w:val="004C0019"/>
    <w:rsid w:val="004C070D"/>
    <w:rsid w:val="004C1757"/>
    <w:rsid w:val="004C23FE"/>
    <w:rsid w:val="004C3A80"/>
    <w:rsid w:val="004C46F3"/>
    <w:rsid w:val="004C4D05"/>
    <w:rsid w:val="004C4DF5"/>
    <w:rsid w:val="004C582E"/>
    <w:rsid w:val="004C6111"/>
    <w:rsid w:val="004D316E"/>
    <w:rsid w:val="004D3D4E"/>
    <w:rsid w:val="004D40B5"/>
    <w:rsid w:val="004D51BF"/>
    <w:rsid w:val="004D6BE1"/>
    <w:rsid w:val="004E1EA0"/>
    <w:rsid w:val="004E22C7"/>
    <w:rsid w:val="004E3830"/>
    <w:rsid w:val="004E6EA5"/>
    <w:rsid w:val="004F149B"/>
    <w:rsid w:val="004F1C6F"/>
    <w:rsid w:val="004F1EED"/>
    <w:rsid w:val="004F202C"/>
    <w:rsid w:val="004F4B4D"/>
    <w:rsid w:val="004F5109"/>
    <w:rsid w:val="004F5D47"/>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3F7A"/>
    <w:rsid w:val="005249F7"/>
    <w:rsid w:val="00524C59"/>
    <w:rsid w:val="00524C88"/>
    <w:rsid w:val="00525777"/>
    <w:rsid w:val="0052682C"/>
    <w:rsid w:val="005277D3"/>
    <w:rsid w:val="00531F63"/>
    <w:rsid w:val="00533365"/>
    <w:rsid w:val="0053425C"/>
    <w:rsid w:val="005359BA"/>
    <w:rsid w:val="00535D70"/>
    <w:rsid w:val="00537BAE"/>
    <w:rsid w:val="005402F1"/>
    <w:rsid w:val="005428ED"/>
    <w:rsid w:val="005454DF"/>
    <w:rsid w:val="00546E77"/>
    <w:rsid w:val="00551613"/>
    <w:rsid w:val="00554D73"/>
    <w:rsid w:val="00555D1C"/>
    <w:rsid w:val="0055660F"/>
    <w:rsid w:val="00556B8B"/>
    <w:rsid w:val="00557402"/>
    <w:rsid w:val="005579FF"/>
    <w:rsid w:val="005601A7"/>
    <w:rsid w:val="00560A5C"/>
    <w:rsid w:val="0056124F"/>
    <w:rsid w:val="00564CAA"/>
    <w:rsid w:val="00564CE2"/>
    <w:rsid w:val="0056513E"/>
    <w:rsid w:val="00566787"/>
    <w:rsid w:val="00571382"/>
    <w:rsid w:val="00571779"/>
    <w:rsid w:val="00571FEB"/>
    <w:rsid w:val="005732BC"/>
    <w:rsid w:val="00573D74"/>
    <w:rsid w:val="005749C1"/>
    <w:rsid w:val="00576440"/>
    <w:rsid w:val="005767FA"/>
    <w:rsid w:val="005776D4"/>
    <w:rsid w:val="00580B33"/>
    <w:rsid w:val="005814B7"/>
    <w:rsid w:val="00581667"/>
    <w:rsid w:val="00583B55"/>
    <w:rsid w:val="00583E3A"/>
    <w:rsid w:val="00584541"/>
    <w:rsid w:val="0058481F"/>
    <w:rsid w:val="0058547F"/>
    <w:rsid w:val="00590AE5"/>
    <w:rsid w:val="00591D82"/>
    <w:rsid w:val="00592098"/>
    <w:rsid w:val="0059353C"/>
    <w:rsid w:val="005A1A86"/>
    <w:rsid w:val="005A1E73"/>
    <w:rsid w:val="005A2B09"/>
    <w:rsid w:val="005A2F42"/>
    <w:rsid w:val="005A3221"/>
    <w:rsid w:val="005A4A79"/>
    <w:rsid w:val="005A5A1F"/>
    <w:rsid w:val="005A63CC"/>
    <w:rsid w:val="005A6658"/>
    <w:rsid w:val="005B0909"/>
    <w:rsid w:val="005B18A3"/>
    <w:rsid w:val="005B2116"/>
    <w:rsid w:val="005B332B"/>
    <w:rsid w:val="005B48E3"/>
    <w:rsid w:val="005B5E0B"/>
    <w:rsid w:val="005B650F"/>
    <w:rsid w:val="005B71FD"/>
    <w:rsid w:val="005C1019"/>
    <w:rsid w:val="005C122F"/>
    <w:rsid w:val="005C329C"/>
    <w:rsid w:val="005C3D34"/>
    <w:rsid w:val="005C3E3A"/>
    <w:rsid w:val="005C4ECD"/>
    <w:rsid w:val="005C5CFD"/>
    <w:rsid w:val="005C6522"/>
    <w:rsid w:val="005D186E"/>
    <w:rsid w:val="005D1CB6"/>
    <w:rsid w:val="005D28D8"/>
    <w:rsid w:val="005D3B58"/>
    <w:rsid w:val="005D444A"/>
    <w:rsid w:val="005D64B5"/>
    <w:rsid w:val="005D6536"/>
    <w:rsid w:val="005E3D37"/>
    <w:rsid w:val="005E3FC5"/>
    <w:rsid w:val="005E6CF4"/>
    <w:rsid w:val="005F0087"/>
    <w:rsid w:val="005F25C8"/>
    <w:rsid w:val="005F2B3A"/>
    <w:rsid w:val="005F4250"/>
    <w:rsid w:val="005F5334"/>
    <w:rsid w:val="005F586A"/>
    <w:rsid w:val="005F60C6"/>
    <w:rsid w:val="005F6C33"/>
    <w:rsid w:val="00600ABC"/>
    <w:rsid w:val="00600AF3"/>
    <w:rsid w:val="00604752"/>
    <w:rsid w:val="00605164"/>
    <w:rsid w:val="00605CD0"/>
    <w:rsid w:val="00607220"/>
    <w:rsid w:val="00610138"/>
    <w:rsid w:val="0061381B"/>
    <w:rsid w:val="00615005"/>
    <w:rsid w:val="00615417"/>
    <w:rsid w:val="00616DE4"/>
    <w:rsid w:val="00620928"/>
    <w:rsid w:val="00620938"/>
    <w:rsid w:val="006217D7"/>
    <w:rsid w:val="006221D9"/>
    <w:rsid w:val="00625ECE"/>
    <w:rsid w:val="0062715A"/>
    <w:rsid w:val="00627291"/>
    <w:rsid w:val="00631280"/>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29C"/>
    <w:rsid w:val="0065435E"/>
    <w:rsid w:val="00654EEC"/>
    <w:rsid w:val="00655705"/>
    <w:rsid w:val="0066005E"/>
    <w:rsid w:val="00661DF3"/>
    <w:rsid w:val="00662D5D"/>
    <w:rsid w:val="00663D6B"/>
    <w:rsid w:val="0066436A"/>
    <w:rsid w:val="00670A60"/>
    <w:rsid w:val="00671A70"/>
    <w:rsid w:val="00672582"/>
    <w:rsid w:val="0067564A"/>
    <w:rsid w:val="006801B9"/>
    <w:rsid w:val="0068021E"/>
    <w:rsid w:val="00683324"/>
    <w:rsid w:val="006834CB"/>
    <w:rsid w:val="00684FE5"/>
    <w:rsid w:val="006862B1"/>
    <w:rsid w:val="0068647A"/>
    <w:rsid w:val="00686B45"/>
    <w:rsid w:val="00687079"/>
    <w:rsid w:val="0069002D"/>
    <w:rsid w:val="006908BC"/>
    <w:rsid w:val="006917C4"/>
    <w:rsid w:val="00692FC6"/>
    <w:rsid w:val="00692FF7"/>
    <w:rsid w:val="00693CF3"/>
    <w:rsid w:val="00694F98"/>
    <w:rsid w:val="0069518A"/>
    <w:rsid w:val="00696743"/>
    <w:rsid w:val="006A0574"/>
    <w:rsid w:val="006A3386"/>
    <w:rsid w:val="006A46E5"/>
    <w:rsid w:val="006A47AD"/>
    <w:rsid w:val="006A54B9"/>
    <w:rsid w:val="006B022F"/>
    <w:rsid w:val="006B091C"/>
    <w:rsid w:val="006B2272"/>
    <w:rsid w:val="006B2FCC"/>
    <w:rsid w:val="006B37B5"/>
    <w:rsid w:val="006B6B3A"/>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F04EE"/>
    <w:rsid w:val="006F0524"/>
    <w:rsid w:val="006F1050"/>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7920"/>
    <w:rsid w:val="00707F17"/>
    <w:rsid w:val="00710FA0"/>
    <w:rsid w:val="00710FBC"/>
    <w:rsid w:val="00711B7F"/>
    <w:rsid w:val="00711DCC"/>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31F4"/>
    <w:rsid w:val="007345E0"/>
    <w:rsid w:val="00734A25"/>
    <w:rsid w:val="007350E0"/>
    <w:rsid w:val="00736743"/>
    <w:rsid w:val="00736F5B"/>
    <w:rsid w:val="00741456"/>
    <w:rsid w:val="00742B73"/>
    <w:rsid w:val="00742C49"/>
    <w:rsid w:val="00742D1B"/>
    <w:rsid w:val="00742D40"/>
    <w:rsid w:val="007438B6"/>
    <w:rsid w:val="00744DEE"/>
    <w:rsid w:val="00746507"/>
    <w:rsid w:val="00747A8F"/>
    <w:rsid w:val="00747EB3"/>
    <w:rsid w:val="00750B8A"/>
    <w:rsid w:val="00750EC5"/>
    <w:rsid w:val="00751C3D"/>
    <w:rsid w:val="00754B12"/>
    <w:rsid w:val="007559C0"/>
    <w:rsid w:val="00755EFB"/>
    <w:rsid w:val="00756756"/>
    <w:rsid w:val="00756E31"/>
    <w:rsid w:val="0076119B"/>
    <w:rsid w:val="007617C7"/>
    <w:rsid w:val="007619E1"/>
    <w:rsid w:val="00762681"/>
    <w:rsid w:val="00763032"/>
    <w:rsid w:val="0076338B"/>
    <w:rsid w:val="00763C70"/>
    <w:rsid w:val="00765C49"/>
    <w:rsid w:val="00767BE1"/>
    <w:rsid w:val="00773FFE"/>
    <w:rsid w:val="00775EA3"/>
    <w:rsid w:val="00776DDD"/>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A0C62"/>
    <w:rsid w:val="007A14F2"/>
    <w:rsid w:val="007A6C7F"/>
    <w:rsid w:val="007B1421"/>
    <w:rsid w:val="007B2A1F"/>
    <w:rsid w:val="007B2C4C"/>
    <w:rsid w:val="007B3AC5"/>
    <w:rsid w:val="007B482D"/>
    <w:rsid w:val="007B4EC2"/>
    <w:rsid w:val="007B5995"/>
    <w:rsid w:val="007B5A31"/>
    <w:rsid w:val="007C166F"/>
    <w:rsid w:val="007C4592"/>
    <w:rsid w:val="007C4EBB"/>
    <w:rsid w:val="007C5D60"/>
    <w:rsid w:val="007C7071"/>
    <w:rsid w:val="007C75B7"/>
    <w:rsid w:val="007C7924"/>
    <w:rsid w:val="007D0938"/>
    <w:rsid w:val="007D0F26"/>
    <w:rsid w:val="007D1E1B"/>
    <w:rsid w:val="007D22FE"/>
    <w:rsid w:val="007D51B6"/>
    <w:rsid w:val="007D5781"/>
    <w:rsid w:val="007D64EC"/>
    <w:rsid w:val="007D64ED"/>
    <w:rsid w:val="007D75B9"/>
    <w:rsid w:val="007E019F"/>
    <w:rsid w:val="007E03E1"/>
    <w:rsid w:val="007E112A"/>
    <w:rsid w:val="007E6E97"/>
    <w:rsid w:val="007E7555"/>
    <w:rsid w:val="007F03CD"/>
    <w:rsid w:val="007F0C57"/>
    <w:rsid w:val="007F252F"/>
    <w:rsid w:val="007F379C"/>
    <w:rsid w:val="007F4B21"/>
    <w:rsid w:val="007F54D9"/>
    <w:rsid w:val="00800787"/>
    <w:rsid w:val="00801C91"/>
    <w:rsid w:val="00802C86"/>
    <w:rsid w:val="00804B71"/>
    <w:rsid w:val="008051D7"/>
    <w:rsid w:val="00805745"/>
    <w:rsid w:val="008061A6"/>
    <w:rsid w:val="0080670D"/>
    <w:rsid w:val="008067B1"/>
    <w:rsid w:val="00806EAC"/>
    <w:rsid w:val="008072E7"/>
    <w:rsid w:val="00807E34"/>
    <w:rsid w:val="00807EE4"/>
    <w:rsid w:val="008111D1"/>
    <w:rsid w:val="00814D10"/>
    <w:rsid w:val="00817051"/>
    <w:rsid w:val="00817A5C"/>
    <w:rsid w:val="00820DC4"/>
    <w:rsid w:val="008219D3"/>
    <w:rsid w:val="00822337"/>
    <w:rsid w:val="0082290F"/>
    <w:rsid w:val="00823644"/>
    <w:rsid w:val="00825FAF"/>
    <w:rsid w:val="00826527"/>
    <w:rsid w:val="00827F9C"/>
    <w:rsid w:val="00830200"/>
    <w:rsid w:val="00830B82"/>
    <w:rsid w:val="0083186B"/>
    <w:rsid w:val="00832B4F"/>
    <w:rsid w:val="00832B5C"/>
    <w:rsid w:val="00833A74"/>
    <w:rsid w:val="00835131"/>
    <w:rsid w:val="008357E7"/>
    <w:rsid w:val="00835922"/>
    <w:rsid w:val="008362A2"/>
    <w:rsid w:val="00842D14"/>
    <w:rsid w:val="00844411"/>
    <w:rsid w:val="0084703A"/>
    <w:rsid w:val="0085255B"/>
    <w:rsid w:val="00853484"/>
    <w:rsid w:val="00854937"/>
    <w:rsid w:val="00855326"/>
    <w:rsid w:val="00856627"/>
    <w:rsid w:val="00856D6D"/>
    <w:rsid w:val="0085715B"/>
    <w:rsid w:val="00857C91"/>
    <w:rsid w:val="00857D1F"/>
    <w:rsid w:val="00860775"/>
    <w:rsid w:val="00861089"/>
    <w:rsid w:val="008634D1"/>
    <w:rsid w:val="00864F7F"/>
    <w:rsid w:val="00865653"/>
    <w:rsid w:val="00867A41"/>
    <w:rsid w:val="00871DB9"/>
    <w:rsid w:val="0087255D"/>
    <w:rsid w:val="0087390F"/>
    <w:rsid w:val="008801CF"/>
    <w:rsid w:val="00881C2B"/>
    <w:rsid w:val="00881C3E"/>
    <w:rsid w:val="00885546"/>
    <w:rsid w:val="0088558F"/>
    <w:rsid w:val="00885E7B"/>
    <w:rsid w:val="00886F1B"/>
    <w:rsid w:val="00891558"/>
    <w:rsid w:val="00892003"/>
    <w:rsid w:val="00892B5A"/>
    <w:rsid w:val="00892E54"/>
    <w:rsid w:val="00893130"/>
    <w:rsid w:val="00893D88"/>
    <w:rsid w:val="00894E7C"/>
    <w:rsid w:val="008966EA"/>
    <w:rsid w:val="008A000E"/>
    <w:rsid w:val="008A04E2"/>
    <w:rsid w:val="008A2064"/>
    <w:rsid w:val="008A2FD4"/>
    <w:rsid w:val="008A3A19"/>
    <w:rsid w:val="008A4435"/>
    <w:rsid w:val="008A539F"/>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6F9A"/>
    <w:rsid w:val="008D71C0"/>
    <w:rsid w:val="008D748B"/>
    <w:rsid w:val="008E0BC7"/>
    <w:rsid w:val="008E1F2E"/>
    <w:rsid w:val="008E34EE"/>
    <w:rsid w:val="008E453F"/>
    <w:rsid w:val="008E7E61"/>
    <w:rsid w:val="008F0098"/>
    <w:rsid w:val="008F010F"/>
    <w:rsid w:val="008F0BB7"/>
    <w:rsid w:val="008F0BE4"/>
    <w:rsid w:val="008F2CC4"/>
    <w:rsid w:val="008F7281"/>
    <w:rsid w:val="008F7468"/>
    <w:rsid w:val="00900CC1"/>
    <w:rsid w:val="009020A2"/>
    <w:rsid w:val="00903B51"/>
    <w:rsid w:val="00904C8C"/>
    <w:rsid w:val="0090593F"/>
    <w:rsid w:val="00905AE7"/>
    <w:rsid w:val="009071CF"/>
    <w:rsid w:val="009077DC"/>
    <w:rsid w:val="00907EE3"/>
    <w:rsid w:val="00910A50"/>
    <w:rsid w:val="00910D69"/>
    <w:rsid w:val="00910E7B"/>
    <w:rsid w:val="009119AC"/>
    <w:rsid w:val="0091257C"/>
    <w:rsid w:val="00912E3C"/>
    <w:rsid w:val="009164EB"/>
    <w:rsid w:val="00917BCC"/>
    <w:rsid w:val="00917E3A"/>
    <w:rsid w:val="00920C87"/>
    <w:rsid w:val="009210BB"/>
    <w:rsid w:val="00924D3E"/>
    <w:rsid w:val="00926B88"/>
    <w:rsid w:val="0093013C"/>
    <w:rsid w:val="0093055C"/>
    <w:rsid w:val="00930DDD"/>
    <w:rsid w:val="00934A43"/>
    <w:rsid w:val="009353D5"/>
    <w:rsid w:val="00937DB0"/>
    <w:rsid w:val="009420B1"/>
    <w:rsid w:val="00942F68"/>
    <w:rsid w:val="009441FE"/>
    <w:rsid w:val="00944977"/>
    <w:rsid w:val="00945DEA"/>
    <w:rsid w:val="00946B83"/>
    <w:rsid w:val="0095049C"/>
    <w:rsid w:val="00951451"/>
    <w:rsid w:val="009518EB"/>
    <w:rsid w:val="00953FA6"/>
    <w:rsid w:val="009544F4"/>
    <w:rsid w:val="00954BB5"/>
    <w:rsid w:val="00956581"/>
    <w:rsid w:val="00960A43"/>
    <w:rsid w:val="00961B74"/>
    <w:rsid w:val="00961D75"/>
    <w:rsid w:val="00965E59"/>
    <w:rsid w:val="0096662B"/>
    <w:rsid w:val="00966F53"/>
    <w:rsid w:val="0096758A"/>
    <w:rsid w:val="00971D5E"/>
    <w:rsid w:val="00972EE0"/>
    <w:rsid w:val="00973054"/>
    <w:rsid w:val="00974E13"/>
    <w:rsid w:val="00975C4C"/>
    <w:rsid w:val="009764FF"/>
    <w:rsid w:val="00980023"/>
    <w:rsid w:val="00981629"/>
    <w:rsid w:val="00982481"/>
    <w:rsid w:val="00982D7B"/>
    <w:rsid w:val="00985C06"/>
    <w:rsid w:val="00986708"/>
    <w:rsid w:val="0099116A"/>
    <w:rsid w:val="009917C7"/>
    <w:rsid w:val="00992016"/>
    <w:rsid w:val="00992690"/>
    <w:rsid w:val="00992BDD"/>
    <w:rsid w:val="00993332"/>
    <w:rsid w:val="00994A50"/>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2080"/>
    <w:rsid w:val="009B2C8C"/>
    <w:rsid w:val="009B70EA"/>
    <w:rsid w:val="009B727A"/>
    <w:rsid w:val="009B7618"/>
    <w:rsid w:val="009C0C09"/>
    <w:rsid w:val="009C0CF7"/>
    <w:rsid w:val="009C3AB3"/>
    <w:rsid w:val="009C68FE"/>
    <w:rsid w:val="009D3AE7"/>
    <w:rsid w:val="009D7C28"/>
    <w:rsid w:val="009E0F1C"/>
    <w:rsid w:val="009E2C90"/>
    <w:rsid w:val="009E317D"/>
    <w:rsid w:val="009E364D"/>
    <w:rsid w:val="009E4DBD"/>
    <w:rsid w:val="009E5B18"/>
    <w:rsid w:val="009E6F49"/>
    <w:rsid w:val="009F1C38"/>
    <w:rsid w:val="009F22D6"/>
    <w:rsid w:val="009F3E45"/>
    <w:rsid w:val="009F5247"/>
    <w:rsid w:val="009F7EC0"/>
    <w:rsid w:val="00A02773"/>
    <w:rsid w:val="00A04B22"/>
    <w:rsid w:val="00A061F4"/>
    <w:rsid w:val="00A067E5"/>
    <w:rsid w:val="00A0698B"/>
    <w:rsid w:val="00A11EE4"/>
    <w:rsid w:val="00A127E8"/>
    <w:rsid w:val="00A12CD4"/>
    <w:rsid w:val="00A155F9"/>
    <w:rsid w:val="00A15671"/>
    <w:rsid w:val="00A17D80"/>
    <w:rsid w:val="00A21D11"/>
    <w:rsid w:val="00A22C54"/>
    <w:rsid w:val="00A2358D"/>
    <w:rsid w:val="00A24489"/>
    <w:rsid w:val="00A2537F"/>
    <w:rsid w:val="00A25714"/>
    <w:rsid w:val="00A25FB6"/>
    <w:rsid w:val="00A30630"/>
    <w:rsid w:val="00A30C64"/>
    <w:rsid w:val="00A33A91"/>
    <w:rsid w:val="00A35883"/>
    <w:rsid w:val="00A36900"/>
    <w:rsid w:val="00A3781F"/>
    <w:rsid w:val="00A40006"/>
    <w:rsid w:val="00A40330"/>
    <w:rsid w:val="00A4179A"/>
    <w:rsid w:val="00A43413"/>
    <w:rsid w:val="00A4496C"/>
    <w:rsid w:val="00A46078"/>
    <w:rsid w:val="00A511E0"/>
    <w:rsid w:val="00A5350D"/>
    <w:rsid w:val="00A53753"/>
    <w:rsid w:val="00A54C84"/>
    <w:rsid w:val="00A56DBD"/>
    <w:rsid w:val="00A642E6"/>
    <w:rsid w:val="00A646F1"/>
    <w:rsid w:val="00A650C2"/>
    <w:rsid w:val="00A65340"/>
    <w:rsid w:val="00A65537"/>
    <w:rsid w:val="00A66CB3"/>
    <w:rsid w:val="00A70289"/>
    <w:rsid w:val="00A710F1"/>
    <w:rsid w:val="00A722BE"/>
    <w:rsid w:val="00A75BA6"/>
    <w:rsid w:val="00A76F90"/>
    <w:rsid w:val="00A775C0"/>
    <w:rsid w:val="00A77769"/>
    <w:rsid w:val="00A81AD2"/>
    <w:rsid w:val="00A82939"/>
    <w:rsid w:val="00A82BD5"/>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C95"/>
    <w:rsid w:val="00A96768"/>
    <w:rsid w:val="00A96B17"/>
    <w:rsid w:val="00AA32BD"/>
    <w:rsid w:val="00AA3DFA"/>
    <w:rsid w:val="00AA4F1D"/>
    <w:rsid w:val="00AA5876"/>
    <w:rsid w:val="00AA68B4"/>
    <w:rsid w:val="00AB07F0"/>
    <w:rsid w:val="00AB34AE"/>
    <w:rsid w:val="00AB447D"/>
    <w:rsid w:val="00AB5A0D"/>
    <w:rsid w:val="00AC195E"/>
    <w:rsid w:val="00AC1B63"/>
    <w:rsid w:val="00AC1D35"/>
    <w:rsid w:val="00AC2EA9"/>
    <w:rsid w:val="00AC3430"/>
    <w:rsid w:val="00AC41BB"/>
    <w:rsid w:val="00AC53DF"/>
    <w:rsid w:val="00AC7A12"/>
    <w:rsid w:val="00AD15F9"/>
    <w:rsid w:val="00AD2811"/>
    <w:rsid w:val="00AD2DBD"/>
    <w:rsid w:val="00AD364C"/>
    <w:rsid w:val="00AD4F5A"/>
    <w:rsid w:val="00AD659C"/>
    <w:rsid w:val="00AD7AF4"/>
    <w:rsid w:val="00AE00FF"/>
    <w:rsid w:val="00AE01F1"/>
    <w:rsid w:val="00AE1F96"/>
    <w:rsid w:val="00AE4D35"/>
    <w:rsid w:val="00AE51B3"/>
    <w:rsid w:val="00AE606E"/>
    <w:rsid w:val="00AE7C5D"/>
    <w:rsid w:val="00AE7F6F"/>
    <w:rsid w:val="00AF0B46"/>
    <w:rsid w:val="00AF23B9"/>
    <w:rsid w:val="00AF3614"/>
    <w:rsid w:val="00AF4B3A"/>
    <w:rsid w:val="00AF4DC2"/>
    <w:rsid w:val="00AF5622"/>
    <w:rsid w:val="00AF584C"/>
    <w:rsid w:val="00AF5EE6"/>
    <w:rsid w:val="00AF69FC"/>
    <w:rsid w:val="00AF6B03"/>
    <w:rsid w:val="00AF7620"/>
    <w:rsid w:val="00B006D3"/>
    <w:rsid w:val="00B027D1"/>
    <w:rsid w:val="00B03C6B"/>
    <w:rsid w:val="00B040C0"/>
    <w:rsid w:val="00B047FC"/>
    <w:rsid w:val="00B058FC"/>
    <w:rsid w:val="00B05A41"/>
    <w:rsid w:val="00B06005"/>
    <w:rsid w:val="00B1041B"/>
    <w:rsid w:val="00B106C4"/>
    <w:rsid w:val="00B10C7A"/>
    <w:rsid w:val="00B12B90"/>
    <w:rsid w:val="00B14904"/>
    <w:rsid w:val="00B15B86"/>
    <w:rsid w:val="00B17526"/>
    <w:rsid w:val="00B20292"/>
    <w:rsid w:val="00B20A18"/>
    <w:rsid w:val="00B2367A"/>
    <w:rsid w:val="00B23F14"/>
    <w:rsid w:val="00B25059"/>
    <w:rsid w:val="00B26266"/>
    <w:rsid w:val="00B267BE"/>
    <w:rsid w:val="00B31321"/>
    <w:rsid w:val="00B3372D"/>
    <w:rsid w:val="00B345E7"/>
    <w:rsid w:val="00B347FE"/>
    <w:rsid w:val="00B35DE8"/>
    <w:rsid w:val="00B364B7"/>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65E6"/>
    <w:rsid w:val="00B57DB6"/>
    <w:rsid w:val="00B605A5"/>
    <w:rsid w:val="00B60642"/>
    <w:rsid w:val="00B6175C"/>
    <w:rsid w:val="00B6330E"/>
    <w:rsid w:val="00B65AEB"/>
    <w:rsid w:val="00B65D31"/>
    <w:rsid w:val="00B67A5D"/>
    <w:rsid w:val="00B67B89"/>
    <w:rsid w:val="00B72088"/>
    <w:rsid w:val="00B736D1"/>
    <w:rsid w:val="00B73D91"/>
    <w:rsid w:val="00B762C0"/>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E75"/>
    <w:rsid w:val="00BA097E"/>
    <w:rsid w:val="00BA0F6A"/>
    <w:rsid w:val="00BA763A"/>
    <w:rsid w:val="00BB1EA1"/>
    <w:rsid w:val="00BB485D"/>
    <w:rsid w:val="00BB490D"/>
    <w:rsid w:val="00BB6D7F"/>
    <w:rsid w:val="00BC0632"/>
    <w:rsid w:val="00BC417D"/>
    <w:rsid w:val="00BC653C"/>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612C"/>
    <w:rsid w:val="00C0152B"/>
    <w:rsid w:val="00C0218C"/>
    <w:rsid w:val="00C04190"/>
    <w:rsid w:val="00C06C30"/>
    <w:rsid w:val="00C074EB"/>
    <w:rsid w:val="00C07985"/>
    <w:rsid w:val="00C07DAF"/>
    <w:rsid w:val="00C07F53"/>
    <w:rsid w:val="00C11C6E"/>
    <w:rsid w:val="00C1240F"/>
    <w:rsid w:val="00C166CD"/>
    <w:rsid w:val="00C21B1E"/>
    <w:rsid w:val="00C22BD2"/>
    <w:rsid w:val="00C241E6"/>
    <w:rsid w:val="00C25F36"/>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29CD"/>
    <w:rsid w:val="00C7360C"/>
    <w:rsid w:val="00C7592B"/>
    <w:rsid w:val="00C8163F"/>
    <w:rsid w:val="00C81C24"/>
    <w:rsid w:val="00C83BBD"/>
    <w:rsid w:val="00C8425A"/>
    <w:rsid w:val="00C84671"/>
    <w:rsid w:val="00C86257"/>
    <w:rsid w:val="00C8754F"/>
    <w:rsid w:val="00C908F5"/>
    <w:rsid w:val="00C91EE6"/>
    <w:rsid w:val="00C934CE"/>
    <w:rsid w:val="00CA0FC8"/>
    <w:rsid w:val="00CA18A3"/>
    <w:rsid w:val="00CA1A10"/>
    <w:rsid w:val="00CA6047"/>
    <w:rsid w:val="00CA6F7F"/>
    <w:rsid w:val="00CB17FC"/>
    <w:rsid w:val="00CB3521"/>
    <w:rsid w:val="00CB3B80"/>
    <w:rsid w:val="00CB43BB"/>
    <w:rsid w:val="00CB481A"/>
    <w:rsid w:val="00CB512D"/>
    <w:rsid w:val="00CB5F39"/>
    <w:rsid w:val="00CB6CC1"/>
    <w:rsid w:val="00CB7617"/>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3075"/>
    <w:rsid w:val="00CF31A1"/>
    <w:rsid w:val="00CF43EA"/>
    <w:rsid w:val="00CF61E3"/>
    <w:rsid w:val="00CF77DA"/>
    <w:rsid w:val="00D019AA"/>
    <w:rsid w:val="00D03C91"/>
    <w:rsid w:val="00D05AA7"/>
    <w:rsid w:val="00D061CD"/>
    <w:rsid w:val="00D06592"/>
    <w:rsid w:val="00D06B45"/>
    <w:rsid w:val="00D07184"/>
    <w:rsid w:val="00D12D6A"/>
    <w:rsid w:val="00D136EF"/>
    <w:rsid w:val="00D1401E"/>
    <w:rsid w:val="00D17B34"/>
    <w:rsid w:val="00D20475"/>
    <w:rsid w:val="00D20772"/>
    <w:rsid w:val="00D234A1"/>
    <w:rsid w:val="00D23BC6"/>
    <w:rsid w:val="00D24E89"/>
    <w:rsid w:val="00D2762C"/>
    <w:rsid w:val="00D306BE"/>
    <w:rsid w:val="00D30D1C"/>
    <w:rsid w:val="00D32531"/>
    <w:rsid w:val="00D33186"/>
    <w:rsid w:val="00D33188"/>
    <w:rsid w:val="00D352E5"/>
    <w:rsid w:val="00D35D99"/>
    <w:rsid w:val="00D3679B"/>
    <w:rsid w:val="00D36828"/>
    <w:rsid w:val="00D419D5"/>
    <w:rsid w:val="00D41CB1"/>
    <w:rsid w:val="00D46647"/>
    <w:rsid w:val="00D46D29"/>
    <w:rsid w:val="00D475EF"/>
    <w:rsid w:val="00D52F55"/>
    <w:rsid w:val="00D55A47"/>
    <w:rsid w:val="00D560A0"/>
    <w:rsid w:val="00D5781F"/>
    <w:rsid w:val="00D604D6"/>
    <w:rsid w:val="00D62BDF"/>
    <w:rsid w:val="00D63CB2"/>
    <w:rsid w:val="00D670DA"/>
    <w:rsid w:val="00D67268"/>
    <w:rsid w:val="00D67D43"/>
    <w:rsid w:val="00D744C6"/>
    <w:rsid w:val="00D7479B"/>
    <w:rsid w:val="00D75A2B"/>
    <w:rsid w:val="00D80AB3"/>
    <w:rsid w:val="00D810D9"/>
    <w:rsid w:val="00D8149F"/>
    <w:rsid w:val="00D81B9E"/>
    <w:rsid w:val="00D81DB4"/>
    <w:rsid w:val="00D82372"/>
    <w:rsid w:val="00D829B2"/>
    <w:rsid w:val="00D83D36"/>
    <w:rsid w:val="00D8698F"/>
    <w:rsid w:val="00D870CD"/>
    <w:rsid w:val="00D912EF"/>
    <w:rsid w:val="00D918A9"/>
    <w:rsid w:val="00D9197A"/>
    <w:rsid w:val="00D92E55"/>
    <w:rsid w:val="00D93CA4"/>
    <w:rsid w:val="00D945CA"/>
    <w:rsid w:val="00D966ED"/>
    <w:rsid w:val="00D96FCD"/>
    <w:rsid w:val="00DA09BA"/>
    <w:rsid w:val="00DA15D5"/>
    <w:rsid w:val="00DA1BDF"/>
    <w:rsid w:val="00DA2981"/>
    <w:rsid w:val="00DA47F6"/>
    <w:rsid w:val="00DA68BA"/>
    <w:rsid w:val="00DA6A9E"/>
    <w:rsid w:val="00DA7961"/>
    <w:rsid w:val="00DA7969"/>
    <w:rsid w:val="00DA7A5A"/>
    <w:rsid w:val="00DB03A8"/>
    <w:rsid w:val="00DB0414"/>
    <w:rsid w:val="00DB0670"/>
    <w:rsid w:val="00DB0821"/>
    <w:rsid w:val="00DB1E04"/>
    <w:rsid w:val="00DB2E20"/>
    <w:rsid w:val="00DB3BD6"/>
    <w:rsid w:val="00DB3E7B"/>
    <w:rsid w:val="00DB669C"/>
    <w:rsid w:val="00DC0461"/>
    <w:rsid w:val="00DC2B07"/>
    <w:rsid w:val="00DC37B7"/>
    <w:rsid w:val="00DC47AE"/>
    <w:rsid w:val="00DC5150"/>
    <w:rsid w:val="00DC6C1F"/>
    <w:rsid w:val="00DC6F3F"/>
    <w:rsid w:val="00DC7145"/>
    <w:rsid w:val="00DC765E"/>
    <w:rsid w:val="00DD155C"/>
    <w:rsid w:val="00DD3CCF"/>
    <w:rsid w:val="00DD4023"/>
    <w:rsid w:val="00DD4FB7"/>
    <w:rsid w:val="00DD6510"/>
    <w:rsid w:val="00DD658D"/>
    <w:rsid w:val="00DD6947"/>
    <w:rsid w:val="00DE0C3D"/>
    <w:rsid w:val="00DE3154"/>
    <w:rsid w:val="00DE37D8"/>
    <w:rsid w:val="00DE59D1"/>
    <w:rsid w:val="00DE681C"/>
    <w:rsid w:val="00DF027D"/>
    <w:rsid w:val="00DF0467"/>
    <w:rsid w:val="00DF1A1F"/>
    <w:rsid w:val="00DF1F3C"/>
    <w:rsid w:val="00DF473B"/>
    <w:rsid w:val="00DF63A3"/>
    <w:rsid w:val="00DF6559"/>
    <w:rsid w:val="00E02BC5"/>
    <w:rsid w:val="00E02E0C"/>
    <w:rsid w:val="00E0496E"/>
    <w:rsid w:val="00E06C2E"/>
    <w:rsid w:val="00E079E6"/>
    <w:rsid w:val="00E07FD1"/>
    <w:rsid w:val="00E12823"/>
    <w:rsid w:val="00E12B61"/>
    <w:rsid w:val="00E13151"/>
    <w:rsid w:val="00E13CE0"/>
    <w:rsid w:val="00E20206"/>
    <w:rsid w:val="00E22633"/>
    <w:rsid w:val="00E23014"/>
    <w:rsid w:val="00E23869"/>
    <w:rsid w:val="00E23892"/>
    <w:rsid w:val="00E24A0B"/>
    <w:rsid w:val="00E25135"/>
    <w:rsid w:val="00E26635"/>
    <w:rsid w:val="00E309E5"/>
    <w:rsid w:val="00E30A39"/>
    <w:rsid w:val="00E32BB5"/>
    <w:rsid w:val="00E331C9"/>
    <w:rsid w:val="00E3338C"/>
    <w:rsid w:val="00E34B87"/>
    <w:rsid w:val="00E374B4"/>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6000E"/>
    <w:rsid w:val="00E61E0B"/>
    <w:rsid w:val="00E6239C"/>
    <w:rsid w:val="00E63948"/>
    <w:rsid w:val="00E65858"/>
    <w:rsid w:val="00E65E18"/>
    <w:rsid w:val="00E66464"/>
    <w:rsid w:val="00E70102"/>
    <w:rsid w:val="00E70E1C"/>
    <w:rsid w:val="00E71758"/>
    <w:rsid w:val="00E7190F"/>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722C"/>
    <w:rsid w:val="00E872E6"/>
    <w:rsid w:val="00E9031A"/>
    <w:rsid w:val="00E92A8C"/>
    <w:rsid w:val="00E936A2"/>
    <w:rsid w:val="00E93845"/>
    <w:rsid w:val="00E93CFD"/>
    <w:rsid w:val="00E94112"/>
    <w:rsid w:val="00E94133"/>
    <w:rsid w:val="00E975D0"/>
    <w:rsid w:val="00EA3080"/>
    <w:rsid w:val="00EA4712"/>
    <w:rsid w:val="00EA4CFD"/>
    <w:rsid w:val="00EA6E69"/>
    <w:rsid w:val="00EA6EDA"/>
    <w:rsid w:val="00EB0CEB"/>
    <w:rsid w:val="00EB15E3"/>
    <w:rsid w:val="00EB1F6F"/>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1D16"/>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1D3A"/>
    <w:rsid w:val="00F12439"/>
    <w:rsid w:val="00F125FA"/>
    <w:rsid w:val="00F16CA0"/>
    <w:rsid w:val="00F2057D"/>
    <w:rsid w:val="00F23495"/>
    <w:rsid w:val="00F24602"/>
    <w:rsid w:val="00F27766"/>
    <w:rsid w:val="00F31017"/>
    <w:rsid w:val="00F31FB2"/>
    <w:rsid w:val="00F326A8"/>
    <w:rsid w:val="00F3684C"/>
    <w:rsid w:val="00F40571"/>
    <w:rsid w:val="00F412C3"/>
    <w:rsid w:val="00F41707"/>
    <w:rsid w:val="00F42FC7"/>
    <w:rsid w:val="00F439A1"/>
    <w:rsid w:val="00F43B3B"/>
    <w:rsid w:val="00F4400B"/>
    <w:rsid w:val="00F444B9"/>
    <w:rsid w:val="00F446A8"/>
    <w:rsid w:val="00F45547"/>
    <w:rsid w:val="00F47253"/>
    <w:rsid w:val="00F4736A"/>
    <w:rsid w:val="00F5135D"/>
    <w:rsid w:val="00F5245A"/>
    <w:rsid w:val="00F53072"/>
    <w:rsid w:val="00F53B7A"/>
    <w:rsid w:val="00F53C55"/>
    <w:rsid w:val="00F54ED1"/>
    <w:rsid w:val="00F55045"/>
    <w:rsid w:val="00F571F9"/>
    <w:rsid w:val="00F6100D"/>
    <w:rsid w:val="00F64899"/>
    <w:rsid w:val="00F65A57"/>
    <w:rsid w:val="00F67F53"/>
    <w:rsid w:val="00F706E7"/>
    <w:rsid w:val="00F7244A"/>
    <w:rsid w:val="00F7451C"/>
    <w:rsid w:val="00F75388"/>
    <w:rsid w:val="00F76551"/>
    <w:rsid w:val="00F76855"/>
    <w:rsid w:val="00F77E91"/>
    <w:rsid w:val="00F80253"/>
    <w:rsid w:val="00F80B07"/>
    <w:rsid w:val="00F85F1A"/>
    <w:rsid w:val="00F86678"/>
    <w:rsid w:val="00F9040D"/>
    <w:rsid w:val="00F92915"/>
    <w:rsid w:val="00F94186"/>
    <w:rsid w:val="00F950F5"/>
    <w:rsid w:val="00F9606D"/>
    <w:rsid w:val="00F97BD9"/>
    <w:rsid w:val="00FA3926"/>
    <w:rsid w:val="00FA3E8A"/>
    <w:rsid w:val="00FA46E9"/>
    <w:rsid w:val="00FA5E4E"/>
    <w:rsid w:val="00FB1D3A"/>
    <w:rsid w:val="00FB1F69"/>
    <w:rsid w:val="00FB3950"/>
    <w:rsid w:val="00FB4B36"/>
    <w:rsid w:val="00FB5700"/>
    <w:rsid w:val="00FB6589"/>
    <w:rsid w:val="00FB740D"/>
    <w:rsid w:val="00FC14CA"/>
    <w:rsid w:val="00FC2772"/>
    <w:rsid w:val="00FC3B2A"/>
    <w:rsid w:val="00FC3CD5"/>
    <w:rsid w:val="00FC7341"/>
    <w:rsid w:val="00FC7822"/>
    <w:rsid w:val="00FD0735"/>
    <w:rsid w:val="00FD1C30"/>
    <w:rsid w:val="00FD3D53"/>
    <w:rsid w:val="00FD4141"/>
    <w:rsid w:val="00FD4FF2"/>
    <w:rsid w:val="00FD51E9"/>
    <w:rsid w:val="00FD6FE7"/>
    <w:rsid w:val="00FD7E44"/>
    <w:rsid w:val="00FE0849"/>
    <w:rsid w:val="00FE1816"/>
    <w:rsid w:val="00FE3F7D"/>
    <w:rsid w:val="00FE5F7B"/>
    <w:rsid w:val="00FE626D"/>
    <w:rsid w:val="00FE648B"/>
    <w:rsid w:val="00FF2E5C"/>
    <w:rsid w:val="00FF5124"/>
    <w:rsid w:val="00FF6AA2"/>
    <w:rsid w:val="00FF6CA1"/>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5FDD3A"/>
  <w15:docId w15:val="{3709718B-3B0D-4C35-827C-15D3BB58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3609304">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lex.com.mx/vid/ley-federal-trabajo-4259867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E5726-5F4E-43B6-874E-B4A133431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7142</Words>
  <Characters>39286</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tjao_personal</cp:lastModifiedBy>
  <cp:revision>10</cp:revision>
  <cp:lastPrinted>2023-09-06T19:32:00Z</cp:lastPrinted>
  <dcterms:created xsi:type="dcterms:W3CDTF">2023-09-12T20:38:00Z</dcterms:created>
  <dcterms:modified xsi:type="dcterms:W3CDTF">2023-10-25T17:47:00Z</dcterms:modified>
</cp:coreProperties>
</file>