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7ED025" w14:textId="77777777" w:rsidR="00397FC3" w:rsidRPr="003509B6" w:rsidRDefault="00397FC3" w:rsidP="00397FC3">
      <w:pPr>
        <w:spacing w:line="240" w:lineRule="auto"/>
        <w:ind w:left="2124"/>
        <w:jc w:val="both"/>
        <w:rPr>
          <w:rFonts w:ascii="Arial" w:hAnsi="Arial" w:cs="Arial"/>
          <w:b/>
          <w:sz w:val="26"/>
          <w:szCs w:val="26"/>
        </w:rPr>
      </w:pPr>
      <w:r>
        <w:rPr>
          <w:rFonts w:ascii="Arial" w:hAnsi="Arial" w:cs="Arial"/>
          <w:b/>
          <w:sz w:val="26"/>
          <w:szCs w:val="26"/>
        </w:rPr>
        <w:t xml:space="preserve">SALA SUPERIOR DEL </w:t>
      </w:r>
      <w:r w:rsidRPr="003509B6">
        <w:rPr>
          <w:rFonts w:ascii="Arial" w:hAnsi="Arial" w:cs="Arial"/>
          <w:b/>
          <w:sz w:val="26"/>
          <w:szCs w:val="26"/>
        </w:rPr>
        <w:t xml:space="preserve">TRIBUNAL DE JUSTICIA ADMINISTRATIVA DEL ESTADO DE OAXACA. </w:t>
      </w:r>
    </w:p>
    <w:p w14:paraId="6D03C16D" w14:textId="77777777" w:rsidR="00397FC3" w:rsidRPr="003509B6" w:rsidRDefault="00397FC3" w:rsidP="00397FC3">
      <w:pPr>
        <w:spacing w:line="240" w:lineRule="auto"/>
        <w:ind w:left="2124"/>
        <w:jc w:val="both"/>
        <w:rPr>
          <w:rFonts w:ascii="Arial" w:hAnsi="Arial" w:cs="Arial"/>
          <w:b/>
          <w:sz w:val="26"/>
          <w:szCs w:val="26"/>
        </w:rPr>
      </w:pPr>
      <w:r w:rsidRPr="003509B6">
        <w:rPr>
          <w:rFonts w:ascii="Arial" w:hAnsi="Arial" w:cs="Arial"/>
          <w:b/>
          <w:sz w:val="26"/>
          <w:szCs w:val="26"/>
        </w:rPr>
        <w:t xml:space="preserve">RECURSO DE REVISIÓN: </w:t>
      </w:r>
      <w:r>
        <w:rPr>
          <w:rFonts w:ascii="Arial" w:hAnsi="Arial" w:cs="Arial"/>
          <w:b/>
          <w:sz w:val="26"/>
          <w:szCs w:val="26"/>
        </w:rPr>
        <w:t>0358</w:t>
      </w:r>
      <w:r w:rsidRPr="003509B6">
        <w:rPr>
          <w:rFonts w:ascii="Arial" w:hAnsi="Arial" w:cs="Arial"/>
          <w:b/>
          <w:sz w:val="26"/>
          <w:szCs w:val="26"/>
        </w:rPr>
        <w:t>/201</w:t>
      </w:r>
      <w:r>
        <w:rPr>
          <w:rFonts w:ascii="Arial" w:hAnsi="Arial" w:cs="Arial"/>
          <w:b/>
          <w:sz w:val="26"/>
          <w:szCs w:val="26"/>
        </w:rPr>
        <w:t>9.</w:t>
      </w:r>
    </w:p>
    <w:p w14:paraId="44207652" w14:textId="77777777" w:rsidR="00397FC3" w:rsidRPr="003509B6" w:rsidRDefault="00397FC3" w:rsidP="00397FC3">
      <w:pPr>
        <w:spacing w:line="240" w:lineRule="auto"/>
        <w:ind w:left="212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Pr>
          <w:rFonts w:ascii="Arial" w:hAnsi="Arial" w:cs="Arial"/>
          <w:b/>
          <w:sz w:val="26"/>
          <w:szCs w:val="26"/>
        </w:rPr>
        <w:t>0104</w:t>
      </w:r>
      <w:r w:rsidRPr="003509B6">
        <w:rPr>
          <w:rFonts w:ascii="Arial" w:hAnsi="Arial" w:cs="Arial"/>
          <w:b/>
          <w:sz w:val="26"/>
          <w:szCs w:val="26"/>
        </w:rPr>
        <w:t>/201</w:t>
      </w:r>
      <w:r>
        <w:rPr>
          <w:rFonts w:ascii="Arial" w:hAnsi="Arial" w:cs="Arial"/>
          <w:b/>
          <w:sz w:val="26"/>
          <w:szCs w:val="26"/>
        </w:rPr>
        <w:t>9</w:t>
      </w:r>
      <w:r w:rsidRPr="003509B6">
        <w:rPr>
          <w:rFonts w:ascii="Arial" w:hAnsi="Arial" w:cs="Arial"/>
          <w:b/>
          <w:sz w:val="26"/>
          <w:szCs w:val="26"/>
        </w:rPr>
        <w:t xml:space="preserve"> </w:t>
      </w:r>
      <w:r>
        <w:rPr>
          <w:rFonts w:ascii="Arial" w:hAnsi="Arial" w:cs="Arial"/>
          <w:b/>
          <w:sz w:val="26"/>
          <w:szCs w:val="26"/>
        </w:rPr>
        <w:t xml:space="preserve">SÉPTIMA </w:t>
      </w:r>
      <w:r w:rsidRPr="003509B6">
        <w:rPr>
          <w:rFonts w:ascii="Arial" w:hAnsi="Arial" w:cs="Arial"/>
          <w:b/>
          <w:sz w:val="26"/>
          <w:szCs w:val="26"/>
        </w:rPr>
        <w:t>SALA UNITARIA DE PRIMERA INSTANCIA</w:t>
      </w:r>
      <w:r>
        <w:rPr>
          <w:rFonts w:ascii="Arial" w:hAnsi="Arial" w:cs="Arial"/>
          <w:b/>
          <w:sz w:val="26"/>
          <w:szCs w:val="26"/>
        </w:rPr>
        <w:t>.</w:t>
      </w:r>
    </w:p>
    <w:p w14:paraId="2C680E38" w14:textId="77777777" w:rsidR="00397FC3" w:rsidRPr="003509B6" w:rsidRDefault="00397FC3" w:rsidP="00397FC3">
      <w:pPr>
        <w:spacing w:line="240" w:lineRule="auto"/>
        <w:ind w:left="2124"/>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O ADRIÁN QUIROGA AVENDAÑO.</w:t>
      </w:r>
    </w:p>
    <w:p w14:paraId="2EF6396F" w14:textId="77777777" w:rsidR="00397FC3" w:rsidRPr="003509B6" w:rsidRDefault="00397FC3" w:rsidP="00397FC3">
      <w:pPr>
        <w:spacing w:line="240" w:lineRule="auto"/>
        <w:ind w:left="2124"/>
        <w:jc w:val="both"/>
        <w:rPr>
          <w:rFonts w:ascii="Arial" w:hAnsi="Arial" w:cs="Arial"/>
          <w:b/>
          <w:sz w:val="26"/>
          <w:szCs w:val="26"/>
        </w:rPr>
      </w:pPr>
    </w:p>
    <w:p w14:paraId="37062EEB" w14:textId="77777777" w:rsidR="00397FC3" w:rsidRDefault="00397FC3" w:rsidP="00397FC3">
      <w:pPr>
        <w:spacing w:line="360" w:lineRule="auto"/>
        <w:jc w:val="both"/>
        <w:rPr>
          <w:rFonts w:ascii="Arial" w:hAnsi="Arial" w:cs="Arial"/>
          <w:b/>
          <w:sz w:val="26"/>
          <w:szCs w:val="26"/>
        </w:rPr>
      </w:pPr>
      <w:r>
        <w:rPr>
          <w:rFonts w:ascii="Arial" w:hAnsi="Arial" w:cs="Arial"/>
          <w:b/>
          <w:sz w:val="26"/>
          <w:szCs w:val="26"/>
        </w:rPr>
        <w:t xml:space="preserve">OAXACA DE JUÁREZ, OAXACA, A VEINTISIETE DE FEBRERO </w:t>
      </w:r>
      <w:r w:rsidRPr="003509B6">
        <w:rPr>
          <w:rFonts w:ascii="Arial" w:hAnsi="Arial" w:cs="Arial"/>
          <w:b/>
          <w:sz w:val="26"/>
          <w:szCs w:val="26"/>
        </w:rPr>
        <w:t xml:space="preserve">DE DOS MIL </w:t>
      </w:r>
      <w:r>
        <w:rPr>
          <w:rFonts w:ascii="Arial" w:hAnsi="Arial" w:cs="Arial"/>
          <w:b/>
          <w:sz w:val="26"/>
          <w:szCs w:val="26"/>
        </w:rPr>
        <w:t>VEINTE.</w:t>
      </w:r>
    </w:p>
    <w:p w14:paraId="0342ADD0" w14:textId="752FA28B" w:rsidR="00397FC3" w:rsidRDefault="00397FC3" w:rsidP="00397FC3">
      <w:pPr>
        <w:spacing w:line="360" w:lineRule="auto"/>
        <w:jc w:val="both"/>
        <w:rPr>
          <w:rFonts w:ascii="Arial" w:hAnsi="Arial" w:cs="Arial"/>
          <w:sz w:val="26"/>
          <w:szCs w:val="26"/>
        </w:rPr>
      </w:pPr>
      <w:r>
        <w:rPr>
          <w:rFonts w:ascii="Arial" w:hAnsi="Arial" w:cs="Arial"/>
          <w:sz w:val="26"/>
          <w:szCs w:val="26"/>
        </w:rPr>
        <w:tab/>
      </w:r>
      <w:r w:rsidRPr="003509B6">
        <w:rPr>
          <w:rFonts w:ascii="Arial" w:hAnsi="Arial" w:cs="Arial"/>
          <w:sz w:val="26"/>
          <w:szCs w:val="26"/>
        </w:rPr>
        <w:t xml:space="preserve">Por recibido el Cuaderno de Revisión </w:t>
      </w:r>
      <w:r>
        <w:rPr>
          <w:rFonts w:ascii="Arial" w:hAnsi="Arial" w:cs="Arial"/>
          <w:b/>
          <w:sz w:val="26"/>
          <w:szCs w:val="26"/>
        </w:rPr>
        <w:t>0358</w:t>
      </w:r>
      <w:r w:rsidRPr="003509B6">
        <w:rPr>
          <w:rFonts w:ascii="Arial" w:hAnsi="Arial" w:cs="Arial"/>
          <w:b/>
          <w:sz w:val="26"/>
          <w:szCs w:val="26"/>
        </w:rPr>
        <w:t>/201</w:t>
      </w:r>
      <w:r>
        <w:rPr>
          <w:rFonts w:ascii="Arial" w:hAnsi="Arial" w:cs="Arial"/>
          <w:b/>
          <w:sz w:val="26"/>
          <w:szCs w:val="26"/>
        </w:rPr>
        <w:t>9</w:t>
      </w:r>
      <w:r w:rsidRPr="003509B6">
        <w:rPr>
          <w:rFonts w:ascii="Arial" w:hAnsi="Arial" w:cs="Arial"/>
          <w:sz w:val="26"/>
          <w:szCs w:val="26"/>
        </w:rPr>
        <w:t xml:space="preserve">, que remite la Secretaría General de Acuerdos, con motivo del recurso de revisión interpuesto por </w:t>
      </w:r>
      <w:r w:rsidR="00836089" w:rsidRPr="00836089">
        <w:rPr>
          <w:rFonts w:ascii="Arial" w:eastAsia="Calibri" w:hAnsi="Arial" w:cs="Arial"/>
          <w:b/>
          <w:bCs/>
          <w:sz w:val="26"/>
          <w:szCs w:val="26"/>
        </w:rPr>
        <w:t>**********</w:t>
      </w:r>
      <w:r w:rsidRPr="003509B6">
        <w:rPr>
          <w:rFonts w:ascii="Arial" w:hAnsi="Arial" w:cs="Arial"/>
          <w:b/>
          <w:sz w:val="26"/>
          <w:szCs w:val="26"/>
        </w:rPr>
        <w:t xml:space="preserve">, </w:t>
      </w:r>
      <w:r w:rsidRPr="003509B6">
        <w:rPr>
          <w:rFonts w:ascii="Arial" w:hAnsi="Arial" w:cs="Arial"/>
          <w:sz w:val="26"/>
          <w:szCs w:val="26"/>
        </w:rPr>
        <w:t xml:space="preserve">en contra del acuerdo de </w:t>
      </w:r>
      <w:r>
        <w:rPr>
          <w:rFonts w:ascii="Arial" w:hAnsi="Arial" w:cs="Arial"/>
          <w:sz w:val="26"/>
          <w:szCs w:val="26"/>
        </w:rPr>
        <w:t xml:space="preserve">veinticuatro de septiembre de </w:t>
      </w:r>
      <w:r w:rsidRPr="003509B6">
        <w:rPr>
          <w:rFonts w:ascii="Arial" w:hAnsi="Arial" w:cs="Arial"/>
          <w:sz w:val="26"/>
          <w:szCs w:val="26"/>
        </w:rPr>
        <w:t>dos mil dieci</w:t>
      </w:r>
      <w:r>
        <w:rPr>
          <w:rFonts w:ascii="Arial" w:hAnsi="Arial" w:cs="Arial"/>
          <w:sz w:val="26"/>
          <w:szCs w:val="26"/>
        </w:rPr>
        <w:t>nueve</w:t>
      </w:r>
      <w:r w:rsidRPr="003509B6">
        <w:rPr>
          <w:rFonts w:ascii="Arial" w:hAnsi="Arial" w:cs="Arial"/>
          <w:sz w:val="26"/>
          <w:szCs w:val="26"/>
        </w:rPr>
        <w:t xml:space="preserve">, dictado en el expediente </w:t>
      </w:r>
      <w:r w:rsidRPr="00E97BE5">
        <w:rPr>
          <w:rFonts w:ascii="Arial" w:hAnsi="Arial" w:cs="Arial"/>
          <w:b/>
          <w:sz w:val="26"/>
          <w:szCs w:val="26"/>
        </w:rPr>
        <w:t>0</w:t>
      </w:r>
      <w:r>
        <w:rPr>
          <w:rFonts w:ascii="Arial" w:hAnsi="Arial" w:cs="Arial"/>
          <w:b/>
          <w:sz w:val="26"/>
          <w:szCs w:val="26"/>
        </w:rPr>
        <w:t>104</w:t>
      </w:r>
      <w:r w:rsidRPr="003509B6">
        <w:rPr>
          <w:rFonts w:ascii="Arial" w:hAnsi="Arial" w:cs="Arial"/>
          <w:b/>
          <w:sz w:val="26"/>
          <w:szCs w:val="26"/>
        </w:rPr>
        <w:t>/201</w:t>
      </w:r>
      <w:r>
        <w:rPr>
          <w:rFonts w:ascii="Arial" w:hAnsi="Arial" w:cs="Arial"/>
          <w:b/>
          <w:sz w:val="26"/>
          <w:szCs w:val="26"/>
        </w:rPr>
        <w:t>9</w:t>
      </w:r>
      <w:r w:rsidRPr="003509B6">
        <w:rPr>
          <w:rFonts w:ascii="Arial" w:hAnsi="Arial" w:cs="Arial"/>
          <w:sz w:val="26"/>
          <w:szCs w:val="26"/>
        </w:rPr>
        <w:t xml:space="preserve"> de la </w:t>
      </w:r>
      <w:r>
        <w:rPr>
          <w:rFonts w:ascii="Arial" w:hAnsi="Arial" w:cs="Arial"/>
          <w:sz w:val="26"/>
          <w:szCs w:val="26"/>
        </w:rPr>
        <w:t>Séptima</w:t>
      </w:r>
      <w:r w:rsidRPr="003509B6">
        <w:rPr>
          <w:rFonts w:ascii="Arial" w:hAnsi="Arial" w:cs="Arial"/>
          <w:sz w:val="26"/>
          <w:szCs w:val="26"/>
        </w:rPr>
        <w:t xml:space="preserve"> Sala Unitaria de Primera Instancia, relativo al juicio de nulidad promovido por l</w:t>
      </w:r>
      <w:r>
        <w:rPr>
          <w:rFonts w:ascii="Arial" w:hAnsi="Arial" w:cs="Arial"/>
          <w:sz w:val="26"/>
          <w:szCs w:val="26"/>
        </w:rPr>
        <w:t>os</w:t>
      </w:r>
      <w:r w:rsidRPr="003509B6">
        <w:rPr>
          <w:rFonts w:ascii="Arial" w:hAnsi="Arial" w:cs="Arial"/>
          <w:sz w:val="26"/>
          <w:szCs w:val="26"/>
        </w:rPr>
        <w:t xml:space="preserve"> recurrente</w:t>
      </w:r>
      <w:r>
        <w:rPr>
          <w:rFonts w:ascii="Arial" w:hAnsi="Arial" w:cs="Arial"/>
          <w:sz w:val="26"/>
          <w:szCs w:val="26"/>
        </w:rPr>
        <w:t>s</w:t>
      </w:r>
      <w:r w:rsidRPr="003509B6">
        <w:rPr>
          <w:rFonts w:ascii="Arial" w:hAnsi="Arial" w:cs="Arial"/>
          <w:sz w:val="26"/>
          <w:szCs w:val="26"/>
        </w:rPr>
        <w:t>, contra actos de</w:t>
      </w:r>
      <w:r>
        <w:rPr>
          <w:rFonts w:ascii="Arial" w:hAnsi="Arial" w:cs="Arial"/>
          <w:sz w:val="26"/>
          <w:szCs w:val="26"/>
        </w:rPr>
        <w:t xml:space="preserve"> </w:t>
      </w:r>
      <w:r w:rsidRPr="001623CB">
        <w:rPr>
          <w:rFonts w:ascii="Arial" w:hAnsi="Arial" w:cs="Arial"/>
          <w:bCs/>
          <w:sz w:val="26"/>
          <w:szCs w:val="26"/>
        </w:rPr>
        <w:t xml:space="preserve">la </w:t>
      </w:r>
      <w:r>
        <w:rPr>
          <w:rFonts w:ascii="Arial" w:hAnsi="Arial" w:cs="Arial"/>
          <w:b/>
          <w:bCs/>
          <w:sz w:val="26"/>
          <w:szCs w:val="26"/>
        </w:rPr>
        <w:t xml:space="preserve">COORDINADORA DE COBRO COACTIVO DE LA </w:t>
      </w:r>
      <w:r w:rsidRPr="00C62EEF">
        <w:rPr>
          <w:rFonts w:ascii="Arial" w:hAnsi="Arial" w:cs="Arial"/>
          <w:b/>
          <w:bCs/>
          <w:sz w:val="26"/>
          <w:szCs w:val="26"/>
        </w:rPr>
        <w:t>SECRETARÍA DE FINANZAS DEL PODER EJECUTIVO DEL ESTADO DE OAXAC</w:t>
      </w:r>
      <w:r>
        <w:rPr>
          <w:rFonts w:ascii="Arial" w:hAnsi="Arial" w:cs="Arial"/>
          <w:b/>
          <w:bCs/>
          <w:sz w:val="26"/>
          <w:szCs w:val="26"/>
        </w:rPr>
        <w:t>A</w:t>
      </w:r>
      <w:r>
        <w:rPr>
          <w:rFonts w:ascii="Arial" w:hAnsi="Arial" w:cs="Arial"/>
          <w:b/>
          <w:sz w:val="26"/>
          <w:szCs w:val="26"/>
        </w:rPr>
        <w:t>.</w:t>
      </w:r>
      <w:r w:rsidRPr="000C4EA3">
        <w:rPr>
          <w:rFonts w:ascii="Arial" w:hAnsi="Arial" w:cs="Arial"/>
          <w:b/>
          <w:sz w:val="26"/>
          <w:szCs w:val="26"/>
        </w:rPr>
        <w:t xml:space="preserve"> </w:t>
      </w:r>
      <w:r w:rsidRPr="000C4EA3">
        <w:rPr>
          <w:rFonts w:ascii="Arial" w:hAnsi="Arial" w:cs="Arial"/>
          <w:sz w:val="26"/>
          <w:szCs w:val="26"/>
        </w:rPr>
        <w:t>Por lo que con fundamento en los artículos 2</w:t>
      </w:r>
      <w:r>
        <w:rPr>
          <w:rFonts w:ascii="Arial" w:hAnsi="Arial" w:cs="Arial"/>
          <w:sz w:val="26"/>
          <w:szCs w:val="26"/>
        </w:rPr>
        <w:t>3</w:t>
      </w:r>
      <w:r w:rsidRPr="000C4EA3">
        <w:rPr>
          <w:rFonts w:ascii="Arial" w:hAnsi="Arial" w:cs="Arial"/>
          <w:sz w:val="26"/>
          <w:szCs w:val="26"/>
        </w:rPr>
        <w:t>7 y 2</w:t>
      </w:r>
      <w:r>
        <w:rPr>
          <w:rFonts w:ascii="Arial" w:hAnsi="Arial" w:cs="Arial"/>
          <w:sz w:val="26"/>
          <w:szCs w:val="26"/>
        </w:rPr>
        <w:t>3</w:t>
      </w:r>
      <w:r w:rsidRPr="000C4EA3">
        <w:rPr>
          <w:rFonts w:ascii="Arial" w:hAnsi="Arial" w:cs="Arial"/>
          <w:sz w:val="26"/>
          <w:szCs w:val="26"/>
        </w:rPr>
        <w:t xml:space="preserve">8 de la Ley de </w:t>
      </w:r>
      <w:r>
        <w:rPr>
          <w:rFonts w:ascii="Arial" w:hAnsi="Arial" w:cs="Arial"/>
          <w:sz w:val="26"/>
          <w:szCs w:val="26"/>
        </w:rPr>
        <w:t xml:space="preserve">Procedimiento y </w:t>
      </w:r>
      <w:r w:rsidRPr="000C4EA3">
        <w:rPr>
          <w:rFonts w:ascii="Arial" w:hAnsi="Arial" w:cs="Arial"/>
          <w:sz w:val="26"/>
          <w:szCs w:val="26"/>
        </w:rPr>
        <w:t>Justicia Administrativa para</w:t>
      </w:r>
      <w:r>
        <w:rPr>
          <w:rFonts w:ascii="Arial" w:hAnsi="Arial" w:cs="Arial"/>
          <w:sz w:val="26"/>
          <w:szCs w:val="26"/>
        </w:rPr>
        <w:t xml:space="preserve"> el Estado de Oaxaca, se admite; E</w:t>
      </w:r>
      <w:r w:rsidRPr="003509B6">
        <w:rPr>
          <w:rFonts w:ascii="Arial" w:hAnsi="Arial" w:cs="Arial"/>
          <w:sz w:val="26"/>
          <w:szCs w:val="26"/>
        </w:rPr>
        <w:t>n consecuencia, se procede a dictar resolución en los siguientes términos:</w:t>
      </w:r>
    </w:p>
    <w:p w14:paraId="3012C022" w14:textId="77777777" w:rsidR="00397FC3" w:rsidRDefault="00397FC3" w:rsidP="00397FC3">
      <w:pPr>
        <w:spacing w:line="360" w:lineRule="auto"/>
        <w:jc w:val="center"/>
        <w:rPr>
          <w:rFonts w:ascii="Arial" w:hAnsi="Arial" w:cs="Arial"/>
          <w:bCs/>
          <w:sz w:val="26"/>
          <w:szCs w:val="26"/>
        </w:rPr>
      </w:pPr>
      <w:r w:rsidRPr="003509B6">
        <w:rPr>
          <w:rFonts w:ascii="Arial" w:hAnsi="Arial" w:cs="Arial"/>
          <w:b/>
          <w:bCs/>
          <w:sz w:val="26"/>
          <w:szCs w:val="26"/>
        </w:rPr>
        <w:t>R E S U L T A N D O:</w:t>
      </w:r>
    </w:p>
    <w:p w14:paraId="5A619B57" w14:textId="3C605BBE" w:rsidR="00397FC3" w:rsidRDefault="00397FC3" w:rsidP="00397FC3">
      <w:pPr>
        <w:spacing w:line="360" w:lineRule="auto"/>
        <w:jc w:val="both"/>
        <w:rPr>
          <w:rFonts w:ascii="Arial" w:hAnsi="Arial" w:cs="Arial"/>
          <w:sz w:val="26"/>
          <w:szCs w:val="26"/>
        </w:rPr>
      </w:pPr>
      <w:r>
        <w:rPr>
          <w:rFonts w:ascii="Arial" w:hAnsi="Arial" w:cs="Arial"/>
          <w:b/>
          <w:bCs/>
          <w:sz w:val="26"/>
          <w:szCs w:val="26"/>
        </w:rPr>
        <w:tab/>
      </w:r>
      <w:r w:rsidRPr="003509B6">
        <w:rPr>
          <w:rFonts w:ascii="Arial" w:hAnsi="Arial" w:cs="Arial"/>
          <w:b/>
          <w:bCs/>
          <w:sz w:val="26"/>
          <w:szCs w:val="26"/>
        </w:rPr>
        <w:t xml:space="preserve">PRIMERO. </w:t>
      </w:r>
      <w:r w:rsidRPr="003509B6">
        <w:rPr>
          <w:rFonts w:ascii="Arial" w:hAnsi="Arial" w:cs="Arial"/>
          <w:sz w:val="26"/>
          <w:szCs w:val="26"/>
        </w:rPr>
        <w:t>Inconforme con el acuerdo de</w:t>
      </w:r>
      <w:r>
        <w:rPr>
          <w:rFonts w:ascii="Arial" w:hAnsi="Arial" w:cs="Arial"/>
          <w:sz w:val="26"/>
          <w:szCs w:val="26"/>
        </w:rPr>
        <w:t xml:space="preserve"> veinticuatro de septiembre </w:t>
      </w:r>
      <w:r w:rsidRPr="003509B6">
        <w:rPr>
          <w:rFonts w:ascii="Arial" w:hAnsi="Arial" w:cs="Arial"/>
          <w:sz w:val="26"/>
          <w:szCs w:val="26"/>
        </w:rPr>
        <w:t>de dos mil dieci</w:t>
      </w:r>
      <w:r>
        <w:rPr>
          <w:rFonts w:ascii="Arial" w:hAnsi="Arial" w:cs="Arial"/>
          <w:sz w:val="26"/>
          <w:szCs w:val="26"/>
        </w:rPr>
        <w:t xml:space="preserve">nueve, </w:t>
      </w:r>
      <w:r w:rsidRPr="003509B6">
        <w:rPr>
          <w:rFonts w:ascii="Arial" w:hAnsi="Arial" w:cs="Arial"/>
          <w:sz w:val="26"/>
          <w:szCs w:val="26"/>
        </w:rPr>
        <w:t xml:space="preserve">dictado por </w:t>
      </w:r>
      <w:r>
        <w:rPr>
          <w:rFonts w:ascii="Arial" w:hAnsi="Arial" w:cs="Arial"/>
          <w:sz w:val="26"/>
          <w:szCs w:val="26"/>
        </w:rPr>
        <w:t xml:space="preserve">la Magistrada de </w:t>
      </w:r>
      <w:r w:rsidRPr="003509B6">
        <w:rPr>
          <w:rFonts w:ascii="Arial" w:hAnsi="Arial" w:cs="Arial"/>
          <w:sz w:val="26"/>
          <w:szCs w:val="26"/>
        </w:rPr>
        <w:t xml:space="preserve">la </w:t>
      </w:r>
      <w:r>
        <w:rPr>
          <w:rFonts w:ascii="Arial" w:hAnsi="Arial" w:cs="Arial"/>
          <w:sz w:val="26"/>
          <w:szCs w:val="26"/>
        </w:rPr>
        <w:t xml:space="preserve">Séptima </w:t>
      </w:r>
      <w:r w:rsidRPr="003509B6">
        <w:rPr>
          <w:rFonts w:ascii="Arial" w:hAnsi="Arial" w:cs="Arial"/>
          <w:sz w:val="26"/>
          <w:szCs w:val="26"/>
        </w:rPr>
        <w:t xml:space="preserve">Sala Unitaria de Primera Instancia, </w:t>
      </w:r>
      <w:r w:rsidR="00836089" w:rsidRPr="00836089">
        <w:rPr>
          <w:rFonts w:ascii="Arial" w:eastAsia="Calibri" w:hAnsi="Arial" w:cs="Arial"/>
          <w:b/>
          <w:bCs/>
          <w:sz w:val="26"/>
          <w:szCs w:val="26"/>
        </w:rPr>
        <w:t>**********</w:t>
      </w:r>
      <w:r w:rsidR="00836089">
        <w:rPr>
          <w:rFonts w:ascii="Arial" w:eastAsia="Calibri" w:hAnsi="Arial" w:cs="Arial"/>
          <w:b/>
          <w:bCs/>
          <w:sz w:val="26"/>
          <w:szCs w:val="26"/>
        </w:rPr>
        <w:t xml:space="preserve"> </w:t>
      </w:r>
      <w:r w:rsidRPr="003509B6">
        <w:rPr>
          <w:rFonts w:ascii="Arial" w:hAnsi="Arial" w:cs="Arial"/>
          <w:sz w:val="26"/>
          <w:szCs w:val="26"/>
        </w:rPr>
        <w:t>interpus</w:t>
      </w:r>
      <w:r>
        <w:rPr>
          <w:rFonts w:ascii="Arial" w:hAnsi="Arial" w:cs="Arial"/>
          <w:sz w:val="26"/>
          <w:szCs w:val="26"/>
        </w:rPr>
        <w:t>ieron</w:t>
      </w:r>
      <w:r w:rsidRPr="003509B6">
        <w:rPr>
          <w:rFonts w:ascii="Arial" w:hAnsi="Arial" w:cs="Arial"/>
          <w:sz w:val="26"/>
          <w:szCs w:val="26"/>
        </w:rPr>
        <w:t xml:space="preserve"> en su contra recurso de revisión.</w:t>
      </w:r>
    </w:p>
    <w:p w14:paraId="6D9131EB" w14:textId="77777777" w:rsidR="00397FC3" w:rsidRDefault="00397FC3" w:rsidP="00397FC3">
      <w:pPr>
        <w:spacing w:line="360" w:lineRule="auto"/>
        <w:jc w:val="both"/>
        <w:rPr>
          <w:rFonts w:ascii="Arial" w:hAnsi="Arial" w:cs="Arial"/>
          <w:sz w:val="26"/>
          <w:szCs w:val="26"/>
        </w:rPr>
      </w:pPr>
      <w:r>
        <w:rPr>
          <w:rFonts w:ascii="Arial" w:hAnsi="Arial" w:cs="Arial"/>
          <w:b/>
          <w:bCs/>
          <w:sz w:val="26"/>
          <w:szCs w:val="26"/>
        </w:rPr>
        <w:tab/>
      </w:r>
      <w:r w:rsidRPr="003509B6">
        <w:rPr>
          <w:rFonts w:ascii="Arial" w:hAnsi="Arial" w:cs="Arial"/>
          <w:b/>
          <w:bCs/>
          <w:sz w:val="26"/>
          <w:szCs w:val="26"/>
        </w:rPr>
        <w:t xml:space="preserve">SEGUNDO. </w:t>
      </w:r>
      <w:r w:rsidRPr="003509B6">
        <w:rPr>
          <w:rFonts w:ascii="Arial" w:hAnsi="Arial" w:cs="Arial"/>
          <w:bCs/>
          <w:sz w:val="26"/>
          <w:szCs w:val="26"/>
        </w:rPr>
        <w:t>El</w:t>
      </w:r>
      <w:r w:rsidRPr="003509B6">
        <w:rPr>
          <w:rFonts w:ascii="Arial" w:hAnsi="Arial" w:cs="Arial"/>
          <w:b/>
          <w:bCs/>
          <w:sz w:val="26"/>
          <w:szCs w:val="26"/>
        </w:rPr>
        <w:t xml:space="preserve"> </w:t>
      </w:r>
      <w:r w:rsidRPr="003509B6">
        <w:rPr>
          <w:rFonts w:ascii="Arial" w:hAnsi="Arial" w:cs="Arial"/>
          <w:bCs/>
          <w:sz w:val="26"/>
          <w:szCs w:val="26"/>
        </w:rPr>
        <w:t xml:space="preserve">contenido del acuerdo </w:t>
      </w:r>
      <w:r>
        <w:rPr>
          <w:rFonts w:ascii="Arial" w:hAnsi="Arial" w:cs="Arial"/>
          <w:bCs/>
          <w:sz w:val="26"/>
          <w:szCs w:val="26"/>
        </w:rPr>
        <w:t xml:space="preserve">recurrido </w:t>
      </w:r>
      <w:r w:rsidRPr="003509B6">
        <w:rPr>
          <w:rFonts w:ascii="Arial" w:hAnsi="Arial" w:cs="Arial"/>
          <w:sz w:val="26"/>
          <w:szCs w:val="26"/>
        </w:rPr>
        <w:t>es:</w:t>
      </w:r>
    </w:p>
    <w:p w14:paraId="7634F1FD" w14:textId="56AA3FBB" w:rsidR="00397FC3" w:rsidRDefault="00397FC3" w:rsidP="00397FC3">
      <w:pPr>
        <w:spacing w:after="0" w:line="360" w:lineRule="auto"/>
        <w:ind w:left="851" w:right="758" w:firstLine="707"/>
        <w:jc w:val="both"/>
        <w:rPr>
          <w:rFonts w:ascii="Arial" w:hAnsi="Arial" w:cs="Arial"/>
          <w:b/>
          <w:i/>
        </w:rPr>
      </w:pPr>
      <w:r>
        <w:rPr>
          <w:rFonts w:ascii="Arial" w:hAnsi="Arial" w:cs="Arial"/>
          <w:i/>
        </w:rPr>
        <w:t xml:space="preserve">“Por recibida la demanda en la Oficialía de Partes Común de este Tribunal, el día veintitrés de septiembre del año en curso, suscrito por los  </w:t>
      </w:r>
      <w:r w:rsidR="00836089" w:rsidRPr="00836089">
        <w:rPr>
          <w:rFonts w:ascii="Arial" w:eastAsia="Calibri" w:hAnsi="Arial" w:cs="Arial"/>
          <w:b/>
          <w:bCs/>
          <w:sz w:val="26"/>
          <w:szCs w:val="26"/>
        </w:rPr>
        <w:t>**********</w:t>
      </w:r>
      <w:r w:rsidRPr="00ED1745">
        <w:rPr>
          <w:rFonts w:ascii="Arial" w:hAnsi="Arial" w:cs="Arial"/>
          <w:i/>
        </w:rPr>
        <w:t xml:space="preserve">; </w:t>
      </w:r>
      <w:r>
        <w:rPr>
          <w:rFonts w:ascii="Arial" w:hAnsi="Arial" w:cs="Arial"/>
          <w:i/>
        </w:rPr>
        <w:t xml:space="preserve">contra actos de la Coordinadora de Cobro Coactivo de la Secretaría de Finanzas del Gobierno del Estado; en consecuencia, fórmese expediente y regístrese en el Libro de Gobierno que para tal efecto lleva esta Séptima Sala Unitaria  con el número </w:t>
      </w:r>
      <w:r>
        <w:rPr>
          <w:rFonts w:ascii="Arial" w:hAnsi="Arial" w:cs="Arial"/>
          <w:b/>
          <w:i/>
        </w:rPr>
        <w:t>0104/2019.</w:t>
      </w:r>
    </w:p>
    <w:p w14:paraId="68346D38" w14:textId="7916943F" w:rsidR="00397FC3" w:rsidRDefault="00397FC3" w:rsidP="00397FC3">
      <w:pPr>
        <w:spacing w:after="0" w:line="360" w:lineRule="auto"/>
        <w:ind w:left="851" w:right="758" w:firstLine="707"/>
        <w:jc w:val="both"/>
        <w:rPr>
          <w:rFonts w:ascii="Arial" w:hAnsi="Arial" w:cs="Arial"/>
          <w:i/>
        </w:rPr>
      </w:pPr>
      <w:r>
        <w:rPr>
          <w:rFonts w:ascii="Arial" w:hAnsi="Arial" w:cs="Arial"/>
          <w:i/>
        </w:rPr>
        <w:t xml:space="preserve">Esta Juzgadora advierte que los actores señalaron como actos impugnados </w:t>
      </w:r>
      <w:r>
        <w:rPr>
          <w:rFonts w:ascii="Arial" w:hAnsi="Arial" w:cs="Arial"/>
          <w:b/>
          <w:i/>
        </w:rPr>
        <w:t xml:space="preserve">1.- </w:t>
      </w:r>
      <w:r>
        <w:rPr>
          <w:rFonts w:ascii="Arial" w:hAnsi="Arial" w:cs="Arial"/>
          <w:i/>
        </w:rPr>
        <w:t xml:space="preserve">El crédito fiscal número </w:t>
      </w:r>
      <w:r w:rsidR="00836089" w:rsidRPr="00836089">
        <w:rPr>
          <w:rFonts w:ascii="Arial" w:eastAsia="Calibri" w:hAnsi="Arial" w:cs="Arial"/>
          <w:b/>
          <w:bCs/>
          <w:sz w:val="26"/>
          <w:szCs w:val="26"/>
        </w:rPr>
        <w:t>**********</w:t>
      </w:r>
      <w:r>
        <w:rPr>
          <w:rFonts w:ascii="Arial" w:hAnsi="Arial" w:cs="Arial"/>
          <w:i/>
        </w:rPr>
        <w:t xml:space="preserve">; </w:t>
      </w:r>
      <w:r>
        <w:rPr>
          <w:rFonts w:ascii="Arial" w:hAnsi="Arial" w:cs="Arial"/>
          <w:b/>
          <w:i/>
        </w:rPr>
        <w:t xml:space="preserve">2.- </w:t>
      </w:r>
      <w:r>
        <w:rPr>
          <w:rFonts w:ascii="Arial" w:hAnsi="Arial" w:cs="Arial"/>
          <w:i/>
        </w:rPr>
        <w:t xml:space="preserve">El </w:t>
      </w:r>
      <w:r>
        <w:rPr>
          <w:rFonts w:ascii="Arial" w:hAnsi="Arial" w:cs="Arial"/>
          <w:i/>
        </w:rPr>
        <w:lastRenderedPageBreak/>
        <w:t xml:space="preserve">mandamiento de ejecución </w:t>
      </w:r>
      <w:r w:rsidR="00836089" w:rsidRPr="00836089">
        <w:rPr>
          <w:rFonts w:ascii="Arial" w:eastAsia="Calibri" w:hAnsi="Arial" w:cs="Arial"/>
          <w:b/>
          <w:bCs/>
          <w:sz w:val="26"/>
          <w:szCs w:val="26"/>
        </w:rPr>
        <w:t>**********</w:t>
      </w:r>
      <w:r>
        <w:rPr>
          <w:rFonts w:ascii="Arial" w:hAnsi="Arial" w:cs="Arial"/>
          <w:i/>
        </w:rPr>
        <w:t xml:space="preserve">, de fecha diecisiete de abril de dos mil diecinueve; </w:t>
      </w:r>
      <w:r>
        <w:rPr>
          <w:rFonts w:ascii="Arial" w:hAnsi="Arial" w:cs="Arial"/>
          <w:b/>
          <w:i/>
        </w:rPr>
        <w:t xml:space="preserve">3.- </w:t>
      </w:r>
      <w:r>
        <w:rPr>
          <w:rFonts w:ascii="Arial" w:hAnsi="Arial" w:cs="Arial"/>
          <w:i/>
        </w:rPr>
        <w:t xml:space="preserve">La resolución determinante </w:t>
      </w:r>
      <w:r w:rsidR="00836089" w:rsidRPr="00836089">
        <w:rPr>
          <w:rFonts w:ascii="Arial" w:eastAsia="Calibri" w:hAnsi="Arial" w:cs="Arial"/>
          <w:b/>
          <w:bCs/>
          <w:sz w:val="26"/>
          <w:szCs w:val="26"/>
        </w:rPr>
        <w:t>**********</w:t>
      </w:r>
      <w:r>
        <w:rPr>
          <w:rFonts w:ascii="Arial" w:hAnsi="Arial" w:cs="Arial"/>
          <w:i/>
        </w:rPr>
        <w:t xml:space="preserve">de treinta de septiembre de dos mil catorce;  anexando a su demanda dichas documentales, advirtiéndose que todos los actos impugnados forman parte de un expediente iniciado con motivo de la omisión del segundo informe de avance de gestión financiera, del trimestre abril-junio, del ejercicio fiscal 2014, omitidos por el Presidente, Tesorero, Síndico y Regidor de Hacienda, todos del Municipio de San Miguel Mixtepec, Distrito de Zimatlán, Oaxaca; es decir, se trata de una sanción impuesta con motivo de </w:t>
      </w:r>
      <w:r>
        <w:rPr>
          <w:rFonts w:ascii="Arial" w:hAnsi="Arial" w:cs="Arial"/>
          <w:i/>
          <w:u w:val="single"/>
        </w:rPr>
        <w:t>rendición de cuentas</w:t>
      </w:r>
      <w:r>
        <w:rPr>
          <w:rFonts w:ascii="Arial" w:hAnsi="Arial" w:cs="Arial"/>
          <w:i/>
        </w:rPr>
        <w:t xml:space="preserve">, pues condenó a los actores al resarcimiento de daños y perjuicios, por lo que de conformidad  con lo dispuesto en el artículo 152 fracción V, de la Ley Orgánica del Poder Judicial del Estado Libre y Soberano de Oaxaca, es la </w:t>
      </w:r>
      <w:r>
        <w:rPr>
          <w:rFonts w:ascii="Arial" w:hAnsi="Arial" w:cs="Arial"/>
          <w:b/>
          <w:i/>
        </w:rPr>
        <w:t xml:space="preserve">Sala Superior de éste Tribunal la instancia competente </w:t>
      </w:r>
      <w:r>
        <w:rPr>
          <w:rFonts w:ascii="Arial" w:hAnsi="Arial" w:cs="Arial"/>
          <w:i/>
        </w:rPr>
        <w:t>quien a través del Juicio de Inconformidad entrará al estudio de fondo, tal y como lo dispone el artículo 146 fracción I del mismo ordenamiento legal, por ser una controversia que se suscitó en materia de cuentas supervisada por la Auditoría Superior del Estado.</w:t>
      </w:r>
    </w:p>
    <w:p w14:paraId="3E4EF65A" w14:textId="1866841E" w:rsidR="00397FC3" w:rsidRDefault="00397FC3" w:rsidP="00397FC3">
      <w:pPr>
        <w:spacing w:after="0" w:line="360" w:lineRule="auto"/>
        <w:ind w:left="851" w:right="758" w:firstLine="707"/>
        <w:jc w:val="both"/>
        <w:rPr>
          <w:rFonts w:ascii="Arial" w:hAnsi="Arial" w:cs="Arial"/>
          <w:i/>
        </w:rPr>
      </w:pPr>
      <w:r>
        <w:rPr>
          <w:rFonts w:ascii="Arial" w:hAnsi="Arial" w:cs="Arial"/>
          <w:i/>
        </w:rPr>
        <w:t xml:space="preserve">Esto es así porque el presente asunto debe conocerse como una unidad indivisible, por ser actos con coherencia interna, por lo que no es factible separarlos para su estudio, porque el crédito fiscal, embargo y ampliación de embargo impugnados, son vinculantes a la resolución dictada por la Auditoría Superior del Estado, en el expediente administrativo </w:t>
      </w:r>
      <w:r w:rsidR="00836089" w:rsidRPr="00836089">
        <w:rPr>
          <w:rFonts w:ascii="Arial" w:eastAsia="Calibri" w:hAnsi="Arial" w:cs="Arial"/>
          <w:b/>
          <w:bCs/>
          <w:sz w:val="26"/>
          <w:szCs w:val="26"/>
        </w:rPr>
        <w:t>**********</w:t>
      </w:r>
      <w:r>
        <w:rPr>
          <w:rFonts w:ascii="Arial" w:hAnsi="Arial" w:cs="Arial"/>
          <w:i/>
        </w:rPr>
        <w:t xml:space="preserve">, por lo que de resolverse por separado, se podrían originar dos resoluciones que podrían ser diferentes, contraviniendo el </w:t>
      </w:r>
      <w:r>
        <w:rPr>
          <w:rFonts w:ascii="Arial" w:hAnsi="Arial" w:cs="Arial"/>
          <w:i/>
          <w:u w:val="single"/>
        </w:rPr>
        <w:t>Principio de Continencia de la Causa,</w:t>
      </w:r>
      <w:r>
        <w:rPr>
          <w:rFonts w:ascii="Arial" w:hAnsi="Arial" w:cs="Arial"/>
          <w:i/>
        </w:rPr>
        <w:t xml:space="preserve"> que debe regir toda resolución, tal y como lo establece el artículo 31 del Código de Procedimientos Civiles para el Estado de Oaxaca, el cuál es aplicado supletoriamente, criterio que también es sustentado por la Suprema Corte de Justicia de la Nación, en las Jurisprudencia con datos de identificación:</w:t>
      </w:r>
    </w:p>
    <w:p w14:paraId="764DC1F2" w14:textId="77777777" w:rsidR="00397FC3" w:rsidRDefault="00397FC3" w:rsidP="00397FC3">
      <w:pPr>
        <w:spacing w:after="0" w:line="360" w:lineRule="auto"/>
        <w:ind w:left="851" w:right="758" w:firstLine="707"/>
        <w:jc w:val="both"/>
        <w:rPr>
          <w:rFonts w:ascii="Arial" w:hAnsi="Arial" w:cs="Arial"/>
          <w:i/>
        </w:rPr>
      </w:pPr>
      <w:r>
        <w:rPr>
          <w:rFonts w:ascii="Arial" w:hAnsi="Arial" w:cs="Arial"/>
          <w:i/>
        </w:rPr>
        <w:t>Apéndice de 2011, VIII, Electoral, Primera Parte,-Vigentes, Tercera Época, pág. 97, registro 1000718, Jurisprudencia Electoral, Sala Superior, y de rubro: “CONTINENCIA DE LA CAUSA. ES INACEPTABLE DIVIDIRLA PARA SU IMPUGNACIÓN.”</w:t>
      </w:r>
    </w:p>
    <w:p w14:paraId="2016464B" w14:textId="6CD89BB5" w:rsidR="00397FC3" w:rsidRDefault="00397FC3" w:rsidP="00397FC3">
      <w:pPr>
        <w:spacing w:after="0" w:line="360" w:lineRule="auto"/>
        <w:ind w:left="851" w:right="758" w:firstLine="707"/>
        <w:jc w:val="both"/>
        <w:rPr>
          <w:rFonts w:ascii="Arial" w:hAnsi="Arial" w:cs="Arial"/>
          <w:i/>
        </w:rPr>
      </w:pPr>
      <w:r>
        <w:rPr>
          <w:rFonts w:ascii="Arial" w:hAnsi="Arial" w:cs="Arial"/>
          <w:i/>
        </w:rPr>
        <w:t>Semanario Judicial de la Federación y su Gaceta, Tomo XXV, Mayo de 2007, Novena Época, pág. 1925, registro 172318, Jurisprudencia Común, Tribunales Colegiados de Circuito, y de rubro: “SENTENCIA RECLAMADA EN EL JUICIO DE AMPARO INDIRECTO QUE CONTIENE CONDENA EN CONSTAS. EL PRINCPIO DE CONTINENCIA DE LA CAUSA OBLIGA AL JUZGADOR A ESTUDIAR LA RESOLUCIÓN EN SU INTEGRIDAD, AUQUE DESCANSE EN ACTOS QUE POR SÍ SOLOS NO SEAN DE EJECUCIÓN IRREPARABLE.”</w:t>
      </w:r>
    </w:p>
    <w:p w14:paraId="11937BF2" w14:textId="77777777" w:rsidR="00397FC3" w:rsidRDefault="00397FC3" w:rsidP="00397FC3">
      <w:pPr>
        <w:spacing w:after="0" w:line="360" w:lineRule="auto"/>
        <w:ind w:left="851" w:right="758" w:firstLine="707"/>
        <w:jc w:val="both"/>
        <w:rPr>
          <w:rFonts w:ascii="Arial" w:hAnsi="Arial" w:cs="Arial"/>
          <w:i/>
        </w:rPr>
      </w:pPr>
      <w:r>
        <w:rPr>
          <w:rFonts w:ascii="Arial" w:hAnsi="Arial" w:cs="Arial"/>
          <w:i/>
        </w:rPr>
        <w:t xml:space="preserve">Semanario Judicial de la Federación y su Gaceta, Libro I, Octubre de 2011, Tomo 3, Décima Época, pág. 1412, registro 160967, Jurisprudencia Común, Tribunales Colegiados de Circuito, y </w:t>
      </w:r>
      <w:r>
        <w:rPr>
          <w:rFonts w:ascii="Arial" w:hAnsi="Arial" w:cs="Arial"/>
          <w:i/>
        </w:rPr>
        <w:lastRenderedPageBreak/>
        <w:t>de rubro: “ACTO RECLAMADO EN EL JUICIO DE AMPARO INDIRECTO. EL PRINCIPIO DE CONTINENCIA DE LA CAUSA OBLIGA AL JUZGADOR A ESTUDIAR TODOS SUS COMPONENTES, AUQUE  ALGUNOS NO SEAN DE EJECUCIÓN IRREPARABLE.”</w:t>
      </w:r>
    </w:p>
    <w:p w14:paraId="6206BE71" w14:textId="1D678667" w:rsidR="00397FC3" w:rsidRDefault="00397FC3" w:rsidP="00397FC3">
      <w:pPr>
        <w:spacing w:after="0" w:line="360" w:lineRule="auto"/>
        <w:ind w:left="851" w:right="758" w:firstLine="707"/>
        <w:jc w:val="both"/>
        <w:rPr>
          <w:rFonts w:ascii="Arial" w:hAnsi="Arial" w:cs="Arial"/>
          <w:i/>
        </w:rPr>
      </w:pPr>
      <w:r>
        <w:rPr>
          <w:rFonts w:ascii="Arial" w:hAnsi="Arial" w:cs="Arial"/>
          <w:i/>
        </w:rPr>
        <w:t>Gaceta del Semanario Judicial de la Federación, Libro 15, Febrero de 2015, Tomo II, Décima Época, pág. 2079, registro 2008443, Jurisprudencia Común, Plenos de Circuito, y de rubro: “SENTENCIAS QUE DECIDE DOS O MÁS ACCIONES O CUESTIONES JURÍDICAS EN EL MISMO DOCUMENTO. FORMA DE IMPUGNARLA, TANTO EN EL SUPUESTO DE QUE AQUÉLLAS ESTÉN ESTRECHAMENTE VINCULADAS O QUE UNA ACCIÓN DEPENDA DE OTRA, COMO CUANDO DICHAS ACCIONES SEAN AUTÓNOMAS O INDEPENDIENTES ENTRE SÍ.”</w:t>
      </w:r>
    </w:p>
    <w:p w14:paraId="37C4D27D" w14:textId="77777777" w:rsidR="00397FC3" w:rsidRDefault="00397FC3" w:rsidP="00397FC3">
      <w:pPr>
        <w:spacing w:after="0" w:line="360" w:lineRule="auto"/>
        <w:ind w:left="851" w:right="758" w:firstLine="707"/>
        <w:jc w:val="both"/>
        <w:rPr>
          <w:rFonts w:ascii="Arial" w:hAnsi="Arial" w:cs="Arial"/>
          <w:i/>
        </w:rPr>
      </w:pPr>
      <w:r>
        <w:rPr>
          <w:rFonts w:ascii="Arial" w:hAnsi="Arial" w:cs="Arial"/>
          <w:i/>
        </w:rPr>
        <w:t xml:space="preserve">En esas consideraciones, y para evitar mayores dilaciones, que trasgredan los derechos del administrado, ésta Séptima Sala Unitaria, se declara </w:t>
      </w:r>
      <w:r>
        <w:rPr>
          <w:rFonts w:ascii="Arial" w:hAnsi="Arial" w:cs="Arial"/>
          <w:i/>
          <w:u w:val="single"/>
        </w:rPr>
        <w:t>incompetente</w:t>
      </w:r>
      <w:r>
        <w:rPr>
          <w:rFonts w:ascii="Arial" w:hAnsi="Arial" w:cs="Arial"/>
          <w:b/>
          <w:i/>
        </w:rPr>
        <w:t xml:space="preserve"> </w:t>
      </w:r>
      <w:r>
        <w:rPr>
          <w:rFonts w:ascii="Arial" w:hAnsi="Arial" w:cs="Arial"/>
          <w:i/>
        </w:rPr>
        <w:t xml:space="preserve">para conocer actos referentes a la rendición de cuentas, porque de hacerlo, invadiría la esfera de competencia de la Sala Superior, violentando el Principio de Legalidad previsto en el artículo 147 de la Ley Orgánica del Poder Judicial del Estado Libre y Soberano de Oaxaca, y el Principio de Seguridad Jurídica, contenido en el artículo 16 de la Constitución Política de los Estados Unidos Mexicanos, en cuanto a que las autoridades solo pueden hacer lo que la ley les permite; criterio del más alto Tribunal de este País, plasmado en la Jurisprudencia, visible en el Apéndice de 2011, tomo I. Constitucional 3. Derechos Fundamentales Primera </w:t>
      </w:r>
      <w:r w:rsidRPr="00FD674D">
        <w:rPr>
          <w:rFonts w:ascii="Arial" w:hAnsi="Arial" w:cs="Arial"/>
          <w:i/>
        </w:rPr>
        <w:t xml:space="preserve">Parte, -SCJN Décima Tercera Sección </w:t>
      </w:r>
      <w:r>
        <w:rPr>
          <w:rFonts w:ascii="Arial" w:hAnsi="Arial" w:cs="Arial"/>
          <w:i/>
        </w:rPr>
        <w:t>– Fundamentación y Motivación, Quinta Época. Pág. 1228, registro 1011549, Jurisprudencia Común, Pleno, y de rubro: “AUTORIDADES” y en la contenida en la Gaceta del Semanario Judicial de la Federación Núm, 77 Mayo de 1994, Octava Época, Pág. 12, registro 205463, Jurisprudencia Común, pleno, y de rubro: “COMPETENCIA. SU FUNDAMENTACIÓN ES REQUISITO ESENCIAL DEL ACTO DE AUTORIDAD.”</w:t>
      </w:r>
    </w:p>
    <w:p w14:paraId="14CBCC4C" w14:textId="46B22703" w:rsidR="00397FC3" w:rsidRDefault="00397FC3" w:rsidP="00397FC3">
      <w:pPr>
        <w:spacing w:after="0" w:line="360" w:lineRule="auto"/>
        <w:ind w:left="851" w:right="758" w:firstLine="707"/>
        <w:jc w:val="both"/>
        <w:rPr>
          <w:rFonts w:ascii="Arial" w:hAnsi="Arial" w:cs="Arial"/>
          <w:i/>
        </w:rPr>
      </w:pPr>
      <w:r>
        <w:rPr>
          <w:rFonts w:ascii="Arial" w:hAnsi="Arial" w:cs="Arial"/>
          <w:i/>
        </w:rPr>
        <w:t xml:space="preserve"> Consecuentemente, se considera actualizada la causal de IMPROCEDENCIA DEL JUICIO  de nulidad, prevista en la fracción X, del artículo 161 de la Ley de Procedimiento (sic) Justicia Administrativa para el Estado de Oaxaca, respeto de los actos impugnados, contenidos en el expediente de origen </w:t>
      </w:r>
      <w:r w:rsidR="00836089" w:rsidRPr="00836089">
        <w:rPr>
          <w:rFonts w:ascii="Arial" w:eastAsia="Calibri" w:hAnsi="Arial" w:cs="Arial"/>
          <w:b/>
          <w:bCs/>
          <w:sz w:val="26"/>
          <w:szCs w:val="26"/>
        </w:rPr>
        <w:t>**********</w:t>
      </w:r>
      <w:r>
        <w:rPr>
          <w:rFonts w:ascii="Arial" w:hAnsi="Arial" w:cs="Arial"/>
          <w:i/>
        </w:rPr>
        <w:t xml:space="preserve">, y como consecuencia, lo procedente es declarar el </w:t>
      </w:r>
      <w:r>
        <w:rPr>
          <w:rFonts w:ascii="Arial" w:hAnsi="Arial" w:cs="Arial"/>
          <w:b/>
          <w:i/>
        </w:rPr>
        <w:t xml:space="preserve">SOBRESEIMIENTO DEL PRESENTE JUICIO, </w:t>
      </w:r>
      <w:r>
        <w:rPr>
          <w:rFonts w:ascii="Arial" w:hAnsi="Arial" w:cs="Arial"/>
          <w:i/>
        </w:rPr>
        <w:t>de conformidad con lo dispuesto en el artículo 162 fracciones II y VI de la Ley de Procedimiento y Justicia Administrativa para el Estado de Oaxaca.</w:t>
      </w:r>
    </w:p>
    <w:p w14:paraId="69692CA4" w14:textId="77777777" w:rsidR="00397FC3" w:rsidRPr="005F234D" w:rsidRDefault="00397FC3" w:rsidP="00397FC3">
      <w:pPr>
        <w:spacing w:after="0" w:line="360" w:lineRule="auto"/>
        <w:ind w:left="851" w:right="758" w:firstLine="707"/>
        <w:jc w:val="both"/>
      </w:pPr>
      <w:r>
        <w:rPr>
          <w:rFonts w:ascii="Arial" w:hAnsi="Arial" w:cs="Arial"/>
          <w:i/>
        </w:rPr>
        <w:t>[…]”</w:t>
      </w:r>
    </w:p>
    <w:p w14:paraId="02E26FCA" w14:textId="77777777" w:rsidR="00397FC3" w:rsidRDefault="00397FC3" w:rsidP="00397FC3">
      <w:pPr>
        <w:spacing w:after="120" w:line="360" w:lineRule="auto"/>
        <w:ind w:right="49"/>
        <w:jc w:val="center"/>
        <w:rPr>
          <w:rFonts w:ascii="Arial" w:eastAsia="Calibri" w:hAnsi="Arial" w:cs="Arial"/>
          <w:b/>
          <w:bCs/>
          <w:sz w:val="26"/>
          <w:szCs w:val="26"/>
        </w:rPr>
      </w:pPr>
      <w:r w:rsidRPr="00E66317">
        <w:rPr>
          <w:rFonts w:ascii="Arial" w:eastAsia="Calibri" w:hAnsi="Arial" w:cs="Arial"/>
          <w:b/>
          <w:bCs/>
          <w:sz w:val="26"/>
          <w:szCs w:val="26"/>
        </w:rPr>
        <w:t>C O N S I D E R A N D O:</w:t>
      </w:r>
    </w:p>
    <w:p w14:paraId="43E7548D" w14:textId="66EC96F1" w:rsidR="00397FC3" w:rsidRDefault="00397FC3" w:rsidP="00397FC3">
      <w:pPr>
        <w:spacing w:after="120" w:line="360" w:lineRule="auto"/>
        <w:ind w:right="49"/>
        <w:jc w:val="both"/>
        <w:rPr>
          <w:rFonts w:ascii="Arial" w:hAnsi="Arial" w:cs="Arial"/>
          <w:bCs/>
          <w:iCs/>
          <w:sz w:val="26"/>
          <w:szCs w:val="26"/>
        </w:rPr>
      </w:pPr>
      <w:r>
        <w:rPr>
          <w:rFonts w:ascii="Arial" w:hAnsi="Arial" w:cs="Arial"/>
          <w:b/>
          <w:bCs/>
          <w:iCs/>
          <w:sz w:val="26"/>
          <w:szCs w:val="26"/>
        </w:rPr>
        <w:lastRenderedPageBreak/>
        <w:tab/>
      </w: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Pr>
          <w:rFonts w:ascii="Arial" w:hAnsi="Arial" w:cs="Arial"/>
          <w:bCs/>
          <w:iCs/>
          <w:sz w:val="26"/>
          <w:szCs w:val="26"/>
        </w:rPr>
        <w:t xml:space="preserve">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w:t>
      </w:r>
      <w:r w:rsidRPr="00DB04B5">
        <w:rPr>
          <w:rFonts w:ascii="Arial" w:hAnsi="Arial" w:cs="Arial"/>
          <w:bCs/>
          <w:iCs/>
          <w:sz w:val="26"/>
          <w:szCs w:val="26"/>
        </w:rPr>
        <w:t>así como los diversos</w:t>
      </w:r>
      <w:r>
        <w:rPr>
          <w:rFonts w:ascii="Arial" w:hAnsi="Arial" w:cs="Arial"/>
          <w:bCs/>
          <w:iCs/>
          <w:sz w:val="26"/>
          <w:szCs w:val="26"/>
        </w:rPr>
        <w:t xml:space="preserve"> </w:t>
      </w:r>
      <w:r w:rsidRPr="005A12C4">
        <w:rPr>
          <w:rFonts w:ascii="Arial" w:hAnsi="Arial" w:cs="Arial"/>
          <w:bCs/>
          <w:iCs/>
          <w:sz w:val="26"/>
          <w:szCs w:val="26"/>
          <w:lang w:eastAsia="es-ES"/>
        </w:rPr>
        <w:t>125, 130 fracción I, 131, 236 y 23</w:t>
      </w:r>
      <w:r>
        <w:rPr>
          <w:rFonts w:ascii="Arial" w:hAnsi="Arial" w:cs="Arial"/>
          <w:bCs/>
          <w:iCs/>
          <w:sz w:val="26"/>
          <w:szCs w:val="26"/>
          <w:lang w:eastAsia="es-ES"/>
        </w:rPr>
        <w:t>7 de la Ley del Procedimiento y</w:t>
      </w:r>
      <w:r w:rsidRPr="005A12C4">
        <w:rPr>
          <w:rFonts w:ascii="Arial" w:hAnsi="Arial" w:cs="Arial"/>
          <w:bCs/>
          <w:iCs/>
          <w:sz w:val="26"/>
          <w:szCs w:val="26"/>
          <w:lang w:eastAsia="es-ES"/>
        </w:rPr>
        <w:t xml:space="preserve"> Justicia Administrativa para el Estado de Oaxaca</w:t>
      </w:r>
      <w:r>
        <w:rPr>
          <w:rFonts w:ascii="Arial" w:hAnsi="Arial" w:cs="Arial"/>
          <w:bCs/>
          <w:iCs/>
          <w:sz w:val="26"/>
          <w:szCs w:val="26"/>
          <w:lang w:eastAsia="es-ES"/>
        </w:rPr>
        <w:t xml:space="preserve">, </w:t>
      </w:r>
      <w:r w:rsidRPr="00DB04B5">
        <w:rPr>
          <w:rFonts w:ascii="Arial" w:hAnsi="Arial" w:cs="Arial"/>
          <w:bCs/>
          <w:iCs/>
          <w:sz w:val="26"/>
          <w:szCs w:val="26"/>
        </w:rPr>
        <w:t>dado que se trata de un Recurso de Revisión en contra del</w:t>
      </w:r>
      <w:r>
        <w:rPr>
          <w:rFonts w:ascii="Arial" w:hAnsi="Arial" w:cs="Arial"/>
          <w:bCs/>
          <w:iCs/>
          <w:sz w:val="26"/>
          <w:szCs w:val="26"/>
        </w:rPr>
        <w:t xml:space="preserve"> acuerdo dictado el </w:t>
      </w:r>
      <w:r w:rsidR="00EC1888">
        <w:rPr>
          <w:rFonts w:ascii="Arial" w:hAnsi="Arial" w:cs="Arial"/>
          <w:bCs/>
          <w:iCs/>
          <w:sz w:val="26"/>
          <w:szCs w:val="26"/>
        </w:rPr>
        <w:t>veinticuatro</w:t>
      </w:r>
      <w:r>
        <w:rPr>
          <w:rFonts w:ascii="Arial" w:hAnsi="Arial" w:cs="Arial"/>
          <w:bCs/>
          <w:iCs/>
          <w:sz w:val="26"/>
          <w:szCs w:val="26"/>
        </w:rPr>
        <w:t xml:space="preserve"> de septiembre de dos mil diecinueve</w:t>
      </w:r>
      <w:r w:rsidRPr="00DB04B5">
        <w:rPr>
          <w:rFonts w:ascii="Arial" w:hAnsi="Arial" w:cs="Arial"/>
          <w:bCs/>
          <w:iCs/>
          <w:sz w:val="26"/>
          <w:szCs w:val="26"/>
        </w:rPr>
        <w:t xml:space="preserve">, en el expediente </w:t>
      </w:r>
      <w:r>
        <w:rPr>
          <w:rFonts w:ascii="Arial" w:hAnsi="Arial" w:cs="Arial"/>
          <w:b/>
          <w:bCs/>
          <w:iCs/>
          <w:sz w:val="26"/>
          <w:szCs w:val="26"/>
        </w:rPr>
        <w:t>0104/2019</w:t>
      </w:r>
      <w:r w:rsidRPr="00DB04B5">
        <w:rPr>
          <w:rFonts w:ascii="Arial" w:hAnsi="Arial" w:cs="Arial"/>
          <w:b/>
          <w:bCs/>
          <w:iCs/>
          <w:sz w:val="26"/>
          <w:szCs w:val="26"/>
        </w:rPr>
        <w:t xml:space="preserve"> </w:t>
      </w:r>
      <w:r>
        <w:rPr>
          <w:rFonts w:ascii="Arial" w:hAnsi="Arial" w:cs="Arial"/>
          <w:bCs/>
          <w:iCs/>
          <w:sz w:val="26"/>
          <w:szCs w:val="26"/>
        </w:rPr>
        <w:t>de la Séptima</w:t>
      </w:r>
      <w:r w:rsidRPr="00DB04B5">
        <w:rPr>
          <w:rFonts w:ascii="Arial" w:hAnsi="Arial" w:cs="Arial"/>
          <w:bCs/>
          <w:iCs/>
          <w:sz w:val="26"/>
          <w:szCs w:val="26"/>
        </w:rPr>
        <w:t xml:space="preserve"> Sala Unitaria de Primera Instancia</w:t>
      </w:r>
      <w:r>
        <w:rPr>
          <w:rFonts w:ascii="Arial" w:hAnsi="Arial" w:cs="Arial"/>
          <w:bCs/>
          <w:iCs/>
          <w:sz w:val="26"/>
          <w:szCs w:val="26"/>
        </w:rPr>
        <w:t xml:space="preserve">. </w:t>
      </w:r>
    </w:p>
    <w:p w14:paraId="1CA37999" w14:textId="77777777" w:rsidR="00397FC3" w:rsidRPr="005F234D" w:rsidRDefault="00397FC3" w:rsidP="00397FC3">
      <w:pPr>
        <w:spacing w:after="120" w:line="360" w:lineRule="auto"/>
        <w:ind w:right="49"/>
        <w:jc w:val="both"/>
        <w:rPr>
          <w:rFonts w:ascii="Arial" w:hAnsi="Arial" w:cs="Arial"/>
          <w:b/>
          <w:bCs/>
          <w:iCs/>
          <w:sz w:val="26"/>
          <w:szCs w:val="26"/>
        </w:rPr>
      </w:pPr>
      <w:r>
        <w:rPr>
          <w:rFonts w:ascii="Arial" w:hAnsi="Arial" w:cs="Arial"/>
          <w:bCs/>
          <w:iCs/>
          <w:sz w:val="26"/>
          <w:szCs w:val="26"/>
        </w:rPr>
        <w:tab/>
      </w:r>
      <w:r w:rsidRPr="00F66D81">
        <w:rPr>
          <w:rFonts w:ascii="Arial" w:hAnsi="Arial" w:cs="Arial"/>
          <w:b/>
          <w:bCs/>
          <w:sz w:val="26"/>
          <w:szCs w:val="26"/>
        </w:rPr>
        <w:t xml:space="preserve">SEGUNDO. </w:t>
      </w:r>
      <w:r w:rsidRPr="00F66D81">
        <w:rPr>
          <w:rFonts w:ascii="Arial" w:hAnsi="Arial" w:cs="Arial"/>
          <w:bCs/>
          <w:sz w:val="26"/>
          <w:szCs w:val="26"/>
        </w:rPr>
        <w:t>Los agravios hechos valer se encuentran expuestos en el escrito del recurrente, y no existe necesidad de transcribirlos, al no transgredírsele derecho alguno, como tampoco se vulnera disposición expresa que imponga tal obligación</w:t>
      </w:r>
      <w:r w:rsidRPr="00F66D81">
        <w:rPr>
          <w:rFonts w:ascii="Arial" w:hAnsi="Arial" w:cs="Arial"/>
          <w:sz w:val="26"/>
          <w:szCs w:val="26"/>
        </w:rPr>
        <w:t>.</w:t>
      </w:r>
      <w:r>
        <w:rPr>
          <w:rFonts w:ascii="Arial" w:hAnsi="Arial" w:cs="Arial"/>
          <w:sz w:val="26"/>
          <w:szCs w:val="26"/>
        </w:rPr>
        <w:t xml:space="preserve"> </w:t>
      </w:r>
      <w:r w:rsidRPr="00F66D81">
        <w:rPr>
          <w:rFonts w:ascii="Arial" w:hAnsi="Arial" w:cs="Arial"/>
          <w:sz w:val="26"/>
          <w:szCs w:val="26"/>
        </w:rPr>
        <w:t>Sirve de apoyo a la siguiente consideración la jurisprudencia VI.2o. J/129, visible a página 599, Tomo VII, abril de 1998, Novena Época del Semanario Judicial de la Federación y su Gaceta de epígrafe y contenido:</w:t>
      </w:r>
    </w:p>
    <w:p w14:paraId="467C9AEE" w14:textId="77777777" w:rsidR="00397FC3" w:rsidRDefault="00397FC3" w:rsidP="00397FC3">
      <w:pPr>
        <w:pStyle w:val="NormalCenturyGothic"/>
        <w:spacing w:after="120" w:line="360" w:lineRule="auto"/>
        <w:ind w:left="993" w:right="900"/>
        <w:jc w:val="both"/>
        <w:rPr>
          <w:rFonts w:ascii="Arial" w:hAnsi="Arial" w:cs="Arial"/>
          <w:b/>
          <w:sz w:val="26"/>
          <w:szCs w:val="26"/>
        </w:rPr>
      </w:pPr>
      <w:r w:rsidRPr="00F66D81">
        <w:rPr>
          <w:rFonts w:ascii="Arial" w:hAnsi="Arial" w:cs="Arial"/>
          <w:i/>
        </w:rPr>
        <w:t xml:space="preserve"> “</w:t>
      </w:r>
      <w:r w:rsidRPr="00F66D81">
        <w:rPr>
          <w:rFonts w:ascii="Arial" w:hAnsi="Arial" w:cs="Arial"/>
          <w:b/>
          <w:i/>
        </w:rPr>
        <w:t xml:space="preserve">CONCEPTOS DE VIOLACIÓN. EL JUEZ NO ESTÁ OBLIGADO A TRANSCRIBIRLOS.- </w:t>
      </w:r>
      <w:r w:rsidRPr="00F66D81">
        <w:rPr>
          <w:rFonts w:ascii="Arial" w:hAnsi="Arial" w:cs="Arial"/>
          <w:i/>
        </w:rPr>
        <w:t>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w:t>
      </w:r>
      <w:r>
        <w:rPr>
          <w:rFonts w:ascii="Arial" w:hAnsi="Arial" w:cs="Arial"/>
          <w:i/>
        </w:rPr>
        <w:t xml:space="preserve">so, la ilegalidad de la misma.”- </w:t>
      </w:r>
    </w:p>
    <w:p w14:paraId="355066B7" w14:textId="4CA969FF" w:rsidR="00397FC3" w:rsidRDefault="00397FC3" w:rsidP="00397FC3">
      <w:pPr>
        <w:pStyle w:val="Textoindependiente"/>
        <w:spacing w:line="360" w:lineRule="auto"/>
        <w:jc w:val="both"/>
        <w:rPr>
          <w:rFonts w:ascii="Arial" w:eastAsia="Calibri" w:hAnsi="Arial" w:cs="Arial"/>
          <w:sz w:val="26"/>
          <w:szCs w:val="26"/>
        </w:rPr>
      </w:pPr>
      <w:r>
        <w:rPr>
          <w:rFonts w:ascii="Arial" w:eastAsia="Calibri" w:hAnsi="Arial" w:cs="Arial"/>
          <w:b/>
          <w:sz w:val="26"/>
          <w:szCs w:val="26"/>
        </w:rPr>
        <w:tab/>
      </w:r>
      <w:r w:rsidRPr="007D72FD">
        <w:rPr>
          <w:rFonts w:ascii="Arial" w:eastAsia="Calibri" w:hAnsi="Arial" w:cs="Arial"/>
          <w:b/>
          <w:sz w:val="26"/>
          <w:szCs w:val="26"/>
        </w:rPr>
        <w:t xml:space="preserve">TERCERO. </w:t>
      </w:r>
      <w:r>
        <w:rPr>
          <w:rFonts w:ascii="Arial" w:eastAsia="Calibri" w:hAnsi="Arial" w:cs="Arial"/>
          <w:sz w:val="26"/>
          <w:szCs w:val="26"/>
        </w:rPr>
        <w:t>Los</w:t>
      </w:r>
      <w:r w:rsidRPr="007D72FD">
        <w:rPr>
          <w:rFonts w:ascii="Arial" w:eastAsia="Calibri" w:hAnsi="Arial" w:cs="Arial"/>
          <w:sz w:val="26"/>
          <w:szCs w:val="26"/>
        </w:rPr>
        <w:t xml:space="preserve"> revisionista</w:t>
      </w:r>
      <w:r>
        <w:rPr>
          <w:rFonts w:ascii="Arial" w:eastAsia="Calibri" w:hAnsi="Arial" w:cs="Arial"/>
          <w:sz w:val="26"/>
          <w:szCs w:val="26"/>
        </w:rPr>
        <w:t xml:space="preserve">s alegan una indebida aplicación de los artículos 152 fracción V y 146 de la Ley Orgánica del Poder Judicial del Estado, 31 del Código de Procedimientos Civiles en el Estado, Jurisprudencia Electoral registro </w:t>
      </w:r>
      <w:r w:rsidR="00C54E50" w:rsidRPr="00C54E50">
        <w:rPr>
          <w:rFonts w:ascii="Arial" w:eastAsia="Calibri" w:hAnsi="Arial" w:cs="Arial"/>
          <w:b/>
          <w:sz w:val="26"/>
          <w:szCs w:val="26"/>
        </w:rPr>
        <w:t>********</w:t>
      </w:r>
      <w:r w:rsidRPr="00C54E50">
        <w:rPr>
          <w:rFonts w:ascii="Arial" w:eastAsia="Calibri" w:hAnsi="Arial" w:cs="Arial"/>
          <w:b/>
          <w:sz w:val="26"/>
          <w:szCs w:val="26"/>
        </w:rPr>
        <w:t>,</w:t>
      </w:r>
      <w:r>
        <w:rPr>
          <w:rFonts w:ascii="Arial" w:eastAsia="Calibri" w:hAnsi="Arial" w:cs="Arial"/>
          <w:sz w:val="26"/>
          <w:szCs w:val="26"/>
        </w:rPr>
        <w:t xml:space="preserve"> Jurisprudencias Común registro </w:t>
      </w:r>
      <w:r w:rsidR="00C54E50" w:rsidRPr="00C54E50">
        <w:rPr>
          <w:rFonts w:ascii="Arial" w:eastAsia="Calibri" w:hAnsi="Arial" w:cs="Arial"/>
          <w:b/>
          <w:sz w:val="26"/>
          <w:szCs w:val="26"/>
        </w:rPr>
        <w:t>*********</w:t>
      </w:r>
      <w:r w:rsidRPr="00C54E50">
        <w:rPr>
          <w:rFonts w:ascii="Arial" w:eastAsia="Calibri" w:hAnsi="Arial" w:cs="Arial"/>
          <w:b/>
          <w:sz w:val="26"/>
          <w:szCs w:val="26"/>
        </w:rPr>
        <w:t>,</w:t>
      </w:r>
      <w:r>
        <w:rPr>
          <w:rFonts w:ascii="Arial" w:eastAsia="Calibri" w:hAnsi="Arial" w:cs="Arial"/>
          <w:sz w:val="26"/>
          <w:szCs w:val="26"/>
        </w:rPr>
        <w:t xml:space="preserve"> </w:t>
      </w:r>
      <w:r w:rsidRPr="00C54E50">
        <w:rPr>
          <w:rFonts w:ascii="Arial" w:eastAsia="Calibri" w:hAnsi="Arial" w:cs="Arial"/>
          <w:b/>
          <w:sz w:val="26"/>
          <w:szCs w:val="26"/>
        </w:rPr>
        <w:t>registro</w:t>
      </w:r>
      <w:r>
        <w:rPr>
          <w:rFonts w:ascii="Arial" w:eastAsia="Calibri" w:hAnsi="Arial" w:cs="Arial"/>
          <w:sz w:val="26"/>
          <w:szCs w:val="26"/>
        </w:rPr>
        <w:t xml:space="preserve"> </w:t>
      </w:r>
      <w:r w:rsidR="00C54E50">
        <w:rPr>
          <w:rFonts w:ascii="Arial" w:eastAsia="Calibri" w:hAnsi="Arial" w:cs="Arial"/>
          <w:sz w:val="26"/>
          <w:szCs w:val="26"/>
        </w:rPr>
        <w:t>*********</w:t>
      </w:r>
      <w:r>
        <w:rPr>
          <w:rFonts w:ascii="Arial" w:eastAsia="Calibri" w:hAnsi="Arial" w:cs="Arial"/>
          <w:sz w:val="26"/>
          <w:szCs w:val="26"/>
        </w:rPr>
        <w:t xml:space="preserve"> y registro </w:t>
      </w:r>
      <w:r w:rsidR="00C54E50" w:rsidRPr="00C54E50">
        <w:rPr>
          <w:rFonts w:ascii="Arial" w:eastAsia="Calibri" w:hAnsi="Arial" w:cs="Arial"/>
          <w:b/>
          <w:sz w:val="26"/>
          <w:szCs w:val="26"/>
        </w:rPr>
        <w:t>*********</w:t>
      </w:r>
      <w:r w:rsidRPr="00C54E50">
        <w:rPr>
          <w:rFonts w:ascii="Arial" w:eastAsia="Calibri" w:hAnsi="Arial" w:cs="Arial"/>
          <w:b/>
          <w:sz w:val="26"/>
          <w:szCs w:val="26"/>
        </w:rPr>
        <w:t>,</w:t>
      </w:r>
      <w:r>
        <w:rPr>
          <w:rFonts w:ascii="Arial" w:eastAsia="Calibri" w:hAnsi="Arial" w:cs="Arial"/>
          <w:sz w:val="26"/>
          <w:szCs w:val="26"/>
        </w:rPr>
        <w:t xml:space="preserve"> 16 de la Constitución Política de los Estados Unidos Mexicanos, 161 fracciones II y VI de la Ley de Procedimiento y Justicia Administrativa para el Estado de Oaxaca, toda vez que la Magistrada de la Séptima Sala Unitaria hace un análisis equivocado de los actos impugnados y aplica indebidamente los artículos citados, pues dicen que promovieron juicio demandando la nulidad de diversos actos administrativos como son, el mandamiento de </w:t>
      </w:r>
      <w:r>
        <w:rPr>
          <w:rFonts w:ascii="Arial" w:eastAsia="Calibri" w:hAnsi="Arial" w:cs="Arial"/>
          <w:sz w:val="26"/>
          <w:szCs w:val="26"/>
        </w:rPr>
        <w:lastRenderedPageBreak/>
        <w:t>ejecución, los créditos fiscales y una resolución determinante que dictó la Auditoría Superior del Estado por concepto de multa y no por resarcimiento de daños a la hacienda pública municipal de San Miguel Mixtepec; esto, al habérseles requerido de su cobro por la Coordinadora de Cobro Coactivo de la Secretaría de Finanzas del Gobierno del Estado, por lo que dicen, se trata de actos administrativos a cargo de dicha autoridad ejecutora.</w:t>
      </w:r>
    </w:p>
    <w:p w14:paraId="6881548B" w14:textId="77777777" w:rsidR="00397FC3" w:rsidRDefault="00397FC3" w:rsidP="00397FC3">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t>Refieren que no se está impugnando la resolución determinante de la Auditoría Superior del Estado, porque dicha autoridad no los requirió y notificó, sino que es la Coordinadora de Cobro Coactivo de la Secretaría de Finanzas del Gobierno del Estado, quien pretende hacer efectivos los mandamientos de ejecución, los créditos fiscales formados con motivo de dicha resolución determinante.</w:t>
      </w:r>
    </w:p>
    <w:p w14:paraId="44953F13" w14:textId="77777777" w:rsidR="00397FC3" w:rsidRDefault="00397FC3" w:rsidP="00397FC3">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t>Por tanto, exponen que no resulta correcto lo que ha resuelto la autoridad responsable al apreciar equivocadamente los actos que impugnan, pues no es procedente estimar que se trata de actos vinculados con la rendición de cuentas, porque la resolución de la Auditoría Superior del Estado ya fue dictada años atrás y lo que pretende la Coordinadora de Cobro Coactivo de Finanzas, es hacer efectiva esa resolución a través de los mandamientos de ejecución y los créditos fiscales que son actos administrativos, de los cuales solicitaron su nulidad que por competencia y turno le correspondió a la Séptima Sala Unitaria de este Tribunal.</w:t>
      </w:r>
    </w:p>
    <w:p w14:paraId="2CA188EE" w14:textId="73001DEA" w:rsidR="00397FC3" w:rsidRDefault="00397FC3" w:rsidP="00397FC3">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t xml:space="preserve">Por tanto, manifiestan que hacer lo contrario sería someterse a las reglas y plazos del juicio de inconformidad ante la Sala Superior, lo cual los deja en estado de indefensión porque no están combatiendo directamente una resolución definitiva de la Auditoría Superior del Estado, pues en tal caso si lo hubieran intentado en la vía de juicio de inconformidad; sin embargo, lo que están combatiendo son los actos administrativos consistentes en los mandamientos de ejecución, los créditos fiscales asociados con la resolución determinante de la Auditoría Superior del Estado. </w:t>
      </w:r>
      <w:r w:rsidR="000F162C">
        <w:rPr>
          <w:rFonts w:ascii="Arial" w:eastAsia="Calibri" w:hAnsi="Arial" w:cs="Arial"/>
          <w:sz w:val="26"/>
          <w:szCs w:val="26"/>
        </w:rPr>
        <w:t>Además,</w:t>
      </w:r>
      <w:r>
        <w:rPr>
          <w:rFonts w:ascii="Arial" w:eastAsia="Calibri" w:hAnsi="Arial" w:cs="Arial"/>
          <w:sz w:val="26"/>
          <w:szCs w:val="26"/>
        </w:rPr>
        <w:t xml:space="preserve"> señalan que en los documentos con los que le corrió traslado la Coordinadora de Cobro Coactivo de Finanzas, establece la competencia de este Tribunal para conocer del juicio de nulidad contra tales actos.</w:t>
      </w:r>
    </w:p>
    <w:p w14:paraId="4C0EE1CF" w14:textId="77777777" w:rsidR="00397FC3" w:rsidRDefault="00397FC3" w:rsidP="00397FC3">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t xml:space="preserve">Finalmente, exponen que en su demanda de nulidad señalaron diversos aspectos de falta de fundamentación y motivación, respecto a </w:t>
      </w:r>
      <w:r>
        <w:rPr>
          <w:rFonts w:ascii="Arial" w:eastAsia="Calibri" w:hAnsi="Arial" w:cs="Arial"/>
          <w:sz w:val="26"/>
          <w:szCs w:val="26"/>
        </w:rPr>
        <w:lastRenderedPageBreak/>
        <w:t>la competencia de las autoridades para emitir y ejecutar los créditos fiscales que se formaron de la resolución determinante de la Auditoría Superior del Estado, que son los que ha pretendido cobrarle la Coordinadora de Cobro Coactivo de la Secretaría de Finanzas; por tanto, dicen que existe la materia para que la Sala Séptima Unitaria, conozca de su demanda y la resuelva, porque al no hacerlo así se les está violando sus derechos humanos al debido proceso, legalidad y de justicia pronta y expedita, reconocidos en los artículos 14, 16 y 17 de la Constitución Política de los Estados Unidos Mexicanos, debiendo ser reparados a través de este recurso de revisión , por lo que solicitan se revoque la resolución impugnada y se dicte otra en la que se termine que es competencia de dicha Sala de Primera Instancia, para conocer de su demanda de nulidad.</w:t>
      </w:r>
    </w:p>
    <w:p w14:paraId="71F9A9BF" w14:textId="77777777" w:rsidR="00397FC3" w:rsidRDefault="00397FC3" w:rsidP="00397FC3">
      <w:pPr>
        <w:pStyle w:val="Textoindependiente"/>
        <w:spacing w:line="360" w:lineRule="auto"/>
        <w:jc w:val="both"/>
        <w:rPr>
          <w:rFonts w:ascii="Arial" w:hAnsi="Arial" w:cs="Arial"/>
          <w:sz w:val="26"/>
          <w:szCs w:val="26"/>
        </w:rPr>
      </w:pPr>
      <w:r>
        <w:rPr>
          <w:rFonts w:ascii="Arial" w:eastAsia="Calibri" w:hAnsi="Arial" w:cs="Arial"/>
          <w:sz w:val="26"/>
          <w:szCs w:val="26"/>
        </w:rPr>
        <w:tab/>
      </w:r>
      <w:r w:rsidRPr="006776B8">
        <w:rPr>
          <w:rFonts w:ascii="Arial" w:eastAsia="Calibri" w:hAnsi="Arial" w:cs="Arial"/>
          <w:b/>
          <w:bCs/>
          <w:sz w:val="26"/>
          <w:szCs w:val="26"/>
        </w:rPr>
        <w:t>D</w:t>
      </w:r>
      <w:r w:rsidRPr="006776B8">
        <w:rPr>
          <w:rFonts w:ascii="Arial" w:hAnsi="Arial" w:cs="Arial"/>
          <w:b/>
          <w:sz w:val="26"/>
          <w:szCs w:val="26"/>
        </w:rPr>
        <w:t>e</w:t>
      </w:r>
      <w:r w:rsidRPr="006776B8">
        <w:rPr>
          <w:rFonts w:ascii="Arial" w:hAnsi="Arial" w:cs="Arial"/>
          <w:b/>
          <w:color w:val="000000"/>
          <w:sz w:val="26"/>
          <w:szCs w:val="26"/>
        </w:rPr>
        <w:t xml:space="preserve">l </w:t>
      </w:r>
      <w:r w:rsidRPr="00FC7072">
        <w:rPr>
          <w:rFonts w:ascii="Arial" w:hAnsi="Arial" w:cs="Arial"/>
          <w:color w:val="000000"/>
          <w:sz w:val="26"/>
          <w:szCs w:val="26"/>
        </w:rPr>
        <w:t>expediente remitido a esta Sala para la sustanciación del presente recu</w:t>
      </w:r>
      <w:r>
        <w:rPr>
          <w:rFonts w:ascii="Arial" w:hAnsi="Arial" w:cs="Arial"/>
          <w:color w:val="000000"/>
          <w:sz w:val="26"/>
          <w:szCs w:val="26"/>
        </w:rPr>
        <w:t>rso, con valor probatorio pleno</w:t>
      </w:r>
      <w:r w:rsidRPr="00FC7072">
        <w:rPr>
          <w:rFonts w:ascii="Arial" w:hAnsi="Arial" w:cs="Arial"/>
          <w:color w:val="000000"/>
          <w:sz w:val="26"/>
          <w:szCs w:val="26"/>
        </w:rPr>
        <w:t xml:space="preserve"> de conformidad con el artículo </w:t>
      </w:r>
      <w:r>
        <w:rPr>
          <w:rFonts w:ascii="Arial" w:hAnsi="Arial" w:cs="Arial"/>
          <w:color w:val="000000"/>
          <w:sz w:val="26"/>
          <w:szCs w:val="26"/>
        </w:rPr>
        <w:t>20</w:t>
      </w:r>
      <w:r w:rsidRPr="00FC7072">
        <w:rPr>
          <w:rFonts w:ascii="Arial" w:hAnsi="Arial" w:cs="Arial"/>
          <w:color w:val="000000"/>
          <w:sz w:val="26"/>
          <w:szCs w:val="26"/>
        </w:rPr>
        <w:t xml:space="preserve">3 </w:t>
      </w:r>
      <w:r w:rsidRPr="00F26FE4">
        <w:rPr>
          <w:rFonts w:ascii="Arial" w:hAnsi="Arial" w:cs="Arial"/>
          <w:color w:val="000000"/>
          <w:sz w:val="26"/>
          <w:szCs w:val="26"/>
        </w:rPr>
        <w:t>fracción I de la Ley de Procedimiento y Justicia Administrativa para el Estado, al tratarse de actuaciones judiciales, se advierte  que m</w:t>
      </w:r>
      <w:r w:rsidRPr="00F26FE4">
        <w:rPr>
          <w:rFonts w:ascii="Arial" w:hAnsi="Arial" w:cs="Arial"/>
          <w:sz w:val="26"/>
          <w:szCs w:val="26"/>
        </w:rPr>
        <w:t>ediante acuerdo dictado el veinticuatro de septiembre de dos mil diecinueve, la Magistrada de la S</w:t>
      </w:r>
      <w:r>
        <w:rPr>
          <w:rFonts w:ascii="Arial" w:hAnsi="Arial" w:cs="Arial"/>
          <w:sz w:val="26"/>
          <w:szCs w:val="26"/>
        </w:rPr>
        <w:t>éptima</w:t>
      </w:r>
      <w:r w:rsidRPr="00F26FE4">
        <w:rPr>
          <w:rFonts w:ascii="Arial" w:hAnsi="Arial" w:cs="Arial"/>
          <w:sz w:val="26"/>
          <w:szCs w:val="26"/>
        </w:rPr>
        <w:t xml:space="preserve"> Sala Unitaria de Primera Instancia, procede sobreseer el juicio de conformidad con lo dispuesto en el artículo 162, fracciones II y VI de la Ley de Procedimiento y Justicia Administrativa para el Estado de Oaxaca, al actualizársela causal de improcedencia prevista en la fracción X del artículo 161 de la referida ley, al señalar </w:t>
      </w:r>
      <w:r>
        <w:rPr>
          <w:rFonts w:ascii="Arial" w:hAnsi="Arial" w:cs="Arial"/>
          <w:sz w:val="26"/>
          <w:szCs w:val="26"/>
        </w:rPr>
        <w:t>lo siguiente:</w:t>
      </w:r>
    </w:p>
    <w:p w14:paraId="11F205A4" w14:textId="77777777" w:rsidR="00397FC3" w:rsidRDefault="00397FC3" w:rsidP="00397FC3">
      <w:pPr>
        <w:pStyle w:val="Prrafodelista"/>
        <w:numPr>
          <w:ilvl w:val="0"/>
          <w:numId w:val="15"/>
        </w:numPr>
        <w:spacing w:line="360" w:lineRule="auto"/>
        <w:ind w:left="1701" w:hanging="567"/>
        <w:jc w:val="both"/>
        <w:rPr>
          <w:rFonts w:ascii="Arial" w:hAnsi="Arial" w:cs="Arial"/>
          <w:sz w:val="24"/>
          <w:szCs w:val="24"/>
        </w:rPr>
      </w:pPr>
      <w:r>
        <w:rPr>
          <w:rFonts w:ascii="Arial" w:hAnsi="Arial" w:cs="Arial"/>
          <w:sz w:val="24"/>
          <w:szCs w:val="24"/>
        </w:rPr>
        <w:t>Q</w:t>
      </w:r>
      <w:r w:rsidRPr="007C5292">
        <w:rPr>
          <w:rFonts w:ascii="Arial" w:hAnsi="Arial" w:cs="Arial"/>
          <w:sz w:val="24"/>
          <w:szCs w:val="24"/>
        </w:rPr>
        <w:t xml:space="preserve">ue es competencia de la Sala Superior de este Tribunal de Justicia Administrativa, conocer de dicho asunto pues el acto impugnado forma parte de un expediente iniciado con motivo del resarcimiento de los daños ocasionados a la Hacienda Municipal de San </w:t>
      </w:r>
      <w:r>
        <w:rPr>
          <w:rFonts w:ascii="Arial" w:hAnsi="Arial" w:cs="Arial"/>
          <w:sz w:val="24"/>
          <w:szCs w:val="24"/>
        </w:rPr>
        <w:t>Miguel Mixtepec, Distrito de Zimatlán</w:t>
      </w:r>
      <w:r w:rsidRPr="007C5292">
        <w:rPr>
          <w:rFonts w:ascii="Arial" w:hAnsi="Arial" w:cs="Arial"/>
          <w:sz w:val="24"/>
          <w:szCs w:val="24"/>
        </w:rPr>
        <w:t>, Oaxaca, por lo que se trata de una sanción impuesta con motivo de rendición de cuentas, al haberse condenado a</w:t>
      </w:r>
      <w:r>
        <w:rPr>
          <w:rFonts w:ascii="Arial" w:hAnsi="Arial" w:cs="Arial"/>
          <w:sz w:val="24"/>
          <w:szCs w:val="24"/>
        </w:rPr>
        <w:t xml:space="preserve"> </w:t>
      </w:r>
      <w:r w:rsidRPr="007C5292">
        <w:rPr>
          <w:rFonts w:ascii="Arial" w:hAnsi="Arial" w:cs="Arial"/>
          <w:sz w:val="24"/>
          <w:szCs w:val="24"/>
        </w:rPr>
        <w:t>l</w:t>
      </w:r>
      <w:r>
        <w:rPr>
          <w:rFonts w:ascii="Arial" w:hAnsi="Arial" w:cs="Arial"/>
          <w:sz w:val="24"/>
          <w:szCs w:val="24"/>
        </w:rPr>
        <w:t>os</w:t>
      </w:r>
      <w:r w:rsidRPr="007C5292">
        <w:rPr>
          <w:rFonts w:ascii="Arial" w:hAnsi="Arial" w:cs="Arial"/>
          <w:sz w:val="24"/>
          <w:szCs w:val="24"/>
        </w:rPr>
        <w:t xml:space="preserve"> actor</w:t>
      </w:r>
      <w:r>
        <w:rPr>
          <w:rFonts w:ascii="Arial" w:hAnsi="Arial" w:cs="Arial"/>
          <w:sz w:val="24"/>
          <w:szCs w:val="24"/>
        </w:rPr>
        <w:t>es</w:t>
      </w:r>
      <w:r w:rsidRPr="007C5292">
        <w:rPr>
          <w:rFonts w:ascii="Arial" w:hAnsi="Arial" w:cs="Arial"/>
          <w:sz w:val="24"/>
          <w:szCs w:val="24"/>
        </w:rPr>
        <w:t xml:space="preserve"> al resarcimiento de daños y perjuicios, lo anterior de conformidad con lo dispuesto por el artículo 152, fracción V de la Ley Orgánica del Poder Judicial del Estado Libre y Soberano de Oaxaca, </w:t>
      </w:r>
      <w:r>
        <w:rPr>
          <w:rFonts w:ascii="Arial" w:hAnsi="Arial" w:cs="Arial"/>
          <w:sz w:val="24"/>
          <w:szCs w:val="24"/>
        </w:rPr>
        <w:t>en relación con el artículo 146 fracción I del mismo ordenamiento legal</w:t>
      </w:r>
      <w:r w:rsidRPr="007C5292">
        <w:rPr>
          <w:rFonts w:ascii="Arial" w:hAnsi="Arial" w:cs="Arial"/>
          <w:sz w:val="24"/>
          <w:szCs w:val="24"/>
        </w:rPr>
        <w:t>.</w:t>
      </w:r>
    </w:p>
    <w:p w14:paraId="0CCF24CC" w14:textId="70496FC5" w:rsidR="00397FC3" w:rsidRPr="008F3908" w:rsidRDefault="00397FC3" w:rsidP="00397FC3">
      <w:pPr>
        <w:pStyle w:val="Prrafodelista"/>
        <w:numPr>
          <w:ilvl w:val="0"/>
          <w:numId w:val="15"/>
        </w:numPr>
        <w:spacing w:line="360" w:lineRule="auto"/>
        <w:ind w:left="1560"/>
        <w:jc w:val="both"/>
        <w:rPr>
          <w:rFonts w:ascii="Arial" w:hAnsi="Arial" w:cs="Arial"/>
          <w:sz w:val="24"/>
          <w:szCs w:val="24"/>
        </w:rPr>
      </w:pPr>
      <w:r w:rsidRPr="008F3908">
        <w:rPr>
          <w:rFonts w:ascii="Arial" w:hAnsi="Arial" w:cs="Arial"/>
          <w:sz w:val="24"/>
          <w:szCs w:val="24"/>
        </w:rPr>
        <w:t xml:space="preserve">Que el asunto debe conocerse en una unidad indivisible por guardar coherencia interna y que no es factible separar para su estudio, porque el crédito fiscal, embargo y ampliación de embargo impugnados, son vinculantes a la resolución dictada por  la Auditoría Superior del Estado en el expediente </w:t>
      </w:r>
      <w:r w:rsidRPr="008F3908">
        <w:rPr>
          <w:rFonts w:ascii="Arial" w:hAnsi="Arial" w:cs="Arial"/>
          <w:sz w:val="24"/>
          <w:szCs w:val="24"/>
        </w:rPr>
        <w:lastRenderedPageBreak/>
        <w:t xml:space="preserve">administrativo </w:t>
      </w:r>
      <w:r w:rsidR="00836089" w:rsidRPr="00836089">
        <w:rPr>
          <w:rFonts w:ascii="Arial" w:eastAsia="Calibri" w:hAnsi="Arial" w:cs="Arial"/>
          <w:b/>
          <w:bCs/>
          <w:sz w:val="26"/>
          <w:szCs w:val="26"/>
        </w:rPr>
        <w:t>**********</w:t>
      </w:r>
      <w:r w:rsidRPr="008F3908">
        <w:rPr>
          <w:rFonts w:ascii="Arial" w:hAnsi="Arial" w:cs="Arial"/>
          <w:sz w:val="24"/>
          <w:szCs w:val="24"/>
        </w:rPr>
        <w:t xml:space="preserve">, por lo que de resolverse por separado, se podría originar dos resoluciones que podrían diferentes, </w:t>
      </w:r>
      <w:r>
        <w:rPr>
          <w:rFonts w:ascii="Arial" w:hAnsi="Arial" w:cs="Arial"/>
          <w:sz w:val="24"/>
          <w:szCs w:val="24"/>
        </w:rPr>
        <w:t>c</w:t>
      </w:r>
      <w:r w:rsidRPr="008F3908">
        <w:rPr>
          <w:rFonts w:ascii="Arial" w:hAnsi="Arial" w:cs="Arial"/>
          <w:sz w:val="24"/>
          <w:szCs w:val="24"/>
        </w:rPr>
        <w:t>ontravin</w:t>
      </w:r>
      <w:r>
        <w:rPr>
          <w:rFonts w:ascii="Arial" w:hAnsi="Arial" w:cs="Arial"/>
          <w:sz w:val="24"/>
          <w:szCs w:val="24"/>
        </w:rPr>
        <w:t xml:space="preserve">iendo </w:t>
      </w:r>
      <w:r w:rsidRPr="008F3908">
        <w:rPr>
          <w:rFonts w:ascii="Arial" w:hAnsi="Arial" w:cs="Arial"/>
          <w:sz w:val="24"/>
          <w:szCs w:val="24"/>
        </w:rPr>
        <w:t xml:space="preserve">el principio de continencia de la causa, </w:t>
      </w:r>
      <w:r>
        <w:rPr>
          <w:rFonts w:ascii="Arial" w:hAnsi="Arial" w:cs="Arial"/>
          <w:sz w:val="24"/>
          <w:szCs w:val="24"/>
        </w:rPr>
        <w:t xml:space="preserve">que debe regir toda resolución, </w:t>
      </w:r>
      <w:r w:rsidRPr="008F3908">
        <w:rPr>
          <w:rFonts w:ascii="Arial" w:hAnsi="Arial" w:cs="Arial"/>
          <w:sz w:val="24"/>
          <w:szCs w:val="24"/>
        </w:rPr>
        <w:t>tal y como lo establece el artículo 31 del Código de Procedimientos Civiles para el Estado de Oaxaca, aplicado en forma supl</w:t>
      </w:r>
      <w:r>
        <w:rPr>
          <w:rFonts w:ascii="Arial" w:hAnsi="Arial" w:cs="Arial"/>
          <w:sz w:val="24"/>
          <w:szCs w:val="24"/>
        </w:rPr>
        <w:t>etoria a la ley de la materia.</w:t>
      </w:r>
    </w:p>
    <w:p w14:paraId="30FD1108" w14:textId="15BA7461" w:rsidR="009B1A81" w:rsidRDefault="00397FC3" w:rsidP="0082584E">
      <w:pPr>
        <w:spacing w:after="0" w:line="360" w:lineRule="auto"/>
        <w:ind w:left="284"/>
        <w:jc w:val="both"/>
        <w:rPr>
          <w:rFonts w:ascii="Arial" w:hAnsi="Arial" w:cs="Arial"/>
          <w:sz w:val="26"/>
          <w:szCs w:val="26"/>
        </w:rPr>
      </w:pPr>
      <w:r>
        <w:rPr>
          <w:rFonts w:ascii="Arial" w:hAnsi="Arial" w:cs="Arial"/>
          <w:b/>
          <w:sz w:val="26"/>
          <w:szCs w:val="26"/>
        </w:rPr>
        <w:tab/>
      </w:r>
      <w:r w:rsidRPr="003540B7">
        <w:rPr>
          <w:rFonts w:ascii="Arial" w:hAnsi="Arial" w:cs="Arial"/>
          <w:b/>
          <w:sz w:val="26"/>
          <w:szCs w:val="26"/>
        </w:rPr>
        <w:t>Ahora</w:t>
      </w:r>
      <w:r>
        <w:rPr>
          <w:rFonts w:ascii="Arial" w:hAnsi="Arial" w:cs="Arial"/>
          <w:sz w:val="26"/>
          <w:szCs w:val="26"/>
        </w:rPr>
        <w:t xml:space="preserve"> bien, los actores </w:t>
      </w:r>
      <w:r w:rsidR="00836089" w:rsidRPr="00836089">
        <w:rPr>
          <w:rFonts w:ascii="Arial" w:eastAsia="Calibri" w:hAnsi="Arial" w:cs="Arial"/>
          <w:b/>
          <w:bCs/>
          <w:sz w:val="26"/>
          <w:szCs w:val="26"/>
        </w:rPr>
        <w:t>**********</w:t>
      </w:r>
      <w:r w:rsidRPr="00C87D3B">
        <w:rPr>
          <w:rFonts w:ascii="Arial" w:hAnsi="Arial" w:cs="Arial"/>
          <w:sz w:val="26"/>
          <w:szCs w:val="26"/>
        </w:rPr>
        <w:t>,</w:t>
      </w:r>
      <w:r w:rsidRPr="003509B6">
        <w:rPr>
          <w:rFonts w:ascii="Arial" w:hAnsi="Arial" w:cs="Arial"/>
          <w:b/>
          <w:sz w:val="26"/>
          <w:szCs w:val="26"/>
        </w:rPr>
        <w:t xml:space="preserve"> </w:t>
      </w:r>
      <w:r>
        <w:rPr>
          <w:rFonts w:ascii="Arial" w:hAnsi="Arial" w:cs="Arial"/>
          <w:sz w:val="26"/>
          <w:szCs w:val="26"/>
        </w:rPr>
        <w:t xml:space="preserve"> mediante escrito presentado el veintitrés de septiembre de dos mil diecinueve ante este Tribunal de Justicia Administrativa del Estado, demandan lo siguiente: </w:t>
      </w:r>
    </w:p>
    <w:p w14:paraId="3C651747" w14:textId="3224216B" w:rsidR="00397FC3" w:rsidRDefault="00397FC3" w:rsidP="00397FC3">
      <w:pPr>
        <w:spacing w:after="0" w:line="360" w:lineRule="auto"/>
        <w:ind w:left="851" w:right="900"/>
        <w:jc w:val="both"/>
        <w:rPr>
          <w:rFonts w:ascii="Arial" w:hAnsi="Arial" w:cs="Arial"/>
          <w:sz w:val="26"/>
          <w:szCs w:val="26"/>
        </w:rPr>
      </w:pPr>
      <w:r>
        <w:rPr>
          <w:rFonts w:ascii="Arial" w:hAnsi="Arial" w:cs="Arial"/>
          <w:i/>
        </w:rPr>
        <w:t>“</w:t>
      </w:r>
      <w:r w:rsidRPr="00C87D3B">
        <w:rPr>
          <w:rFonts w:ascii="Arial" w:hAnsi="Arial" w:cs="Arial"/>
          <w:b/>
          <w:i/>
        </w:rPr>
        <w:t>RESOLUCI</w:t>
      </w:r>
      <w:r>
        <w:rPr>
          <w:rFonts w:ascii="Arial" w:hAnsi="Arial" w:cs="Arial"/>
          <w:b/>
          <w:i/>
        </w:rPr>
        <w:t>Ó</w:t>
      </w:r>
      <w:r w:rsidRPr="00C87D3B">
        <w:rPr>
          <w:rFonts w:ascii="Arial" w:hAnsi="Arial" w:cs="Arial"/>
          <w:b/>
          <w:i/>
        </w:rPr>
        <w:t>N O ACTO ADMINISTRATIVO QUE SE IMPUGNA:</w:t>
      </w:r>
      <w:r>
        <w:rPr>
          <w:rFonts w:ascii="Arial" w:hAnsi="Arial" w:cs="Arial"/>
          <w:b/>
          <w:i/>
        </w:rPr>
        <w:t xml:space="preserve"> </w:t>
      </w:r>
      <w:r>
        <w:rPr>
          <w:rFonts w:ascii="Arial" w:hAnsi="Arial" w:cs="Arial"/>
          <w:i/>
        </w:rPr>
        <w:t xml:space="preserve">Mandamiento de Ejecución número </w:t>
      </w:r>
      <w:r w:rsidR="00836089" w:rsidRPr="00836089">
        <w:rPr>
          <w:rFonts w:ascii="Arial" w:eastAsia="Calibri" w:hAnsi="Arial" w:cs="Arial"/>
          <w:b/>
          <w:bCs/>
          <w:sz w:val="26"/>
          <w:szCs w:val="26"/>
        </w:rPr>
        <w:t>**********</w:t>
      </w:r>
      <w:r w:rsidR="00836089">
        <w:rPr>
          <w:rFonts w:ascii="Arial" w:eastAsia="Calibri" w:hAnsi="Arial" w:cs="Arial"/>
          <w:b/>
          <w:bCs/>
          <w:sz w:val="26"/>
          <w:szCs w:val="26"/>
        </w:rPr>
        <w:t xml:space="preserve"> </w:t>
      </w:r>
      <w:r>
        <w:rPr>
          <w:rFonts w:ascii="Arial" w:hAnsi="Arial" w:cs="Arial"/>
          <w:i/>
        </w:rPr>
        <w:t xml:space="preserve">de fecha 17 de abril de 2019, crédito número </w:t>
      </w:r>
      <w:r w:rsidR="00836089" w:rsidRPr="00836089">
        <w:rPr>
          <w:rFonts w:ascii="Arial" w:eastAsia="Calibri" w:hAnsi="Arial" w:cs="Arial"/>
          <w:b/>
          <w:bCs/>
          <w:sz w:val="26"/>
          <w:szCs w:val="26"/>
        </w:rPr>
        <w:t>**********</w:t>
      </w:r>
      <w:r>
        <w:rPr>
          <w:rFonts w:ascii="Arial" w:hAnsi="Arial" w:cs="Arial"/>
          <w:i/>
        </w:rPr>
        <w:t xml:space="preserve">, Resolución determinante </w:t>
      </w:r>
      <w:r w:rsidR="00836089" w:rsidRPr="00836089">
        <w:rPr>
          <w:rFonts w:ascii="Arial" w:eastAsia="Calibri" w:hAnsi="Arial" w:cs="Arial"/>
          <w:b/>
          <w:bCs/>
          <w:sz w:val="26"/>
          <w:szCs w:val="26"/>
        </w:rPr>
        <w:t>**********</w:t>
      </w:r>
      <w:r w:rsidR="00836089">
        <w:rPr>
          <w:rFonts w:ascii="Arial" w:eastAsia="Calibri" w:hAnsi="Arial" w:cs="Arial"/>
          <w:b/>
          <w:bCs/>
          <w:sz w:val="26"/>
          <w:szCs w:val="26"/>
        </w:rPr>
        <w:t xml:space="preserve"> </w:t>
      </w:r>
      <w:r>
        <w:rPr>
          <w:rFonts w:ascii="Arial" w:hAnsi="Arial" w:cs="Arial"/>
          <w:i/>
        </w:rPr>
        <w:t xml:space="preserve">emitida por la Auditoría Superior del Estado, hoy Órgano  Superior de Fiscalización del Estado de Oaxaca de fecha 30 de septiembre del 2014, por concepto de una multa impuesta por la omisión </w:t>
      </w:r>
      <w:r w:rsidR="00836089">
        <w:rPr>
          <w:rFonts w:ascii="Arial" w:hAnsi="Arial" w:cs="Arial"/>
          <w:i/>
        </w:rPr>
        <w:t>de (</w:t>
      </w:r>
      <w:r>
        <w:rPr>
          <w:rFonts w:ascii="Arial" w:hAnsi="Arial" w:cs="Arial"/>
          <w:i/>
        </w:rPr>
        <w:t>sic) segundo informe de avance de gestión financiera del trimestre abril-junio del ejercicio fiscal dos mil catorce.”</w:t>
      </w:r>
      <w:r>
        <w:rPr>
          <w:rFonts w:ascii="Arial" w:hAnsi="Arial" w:cs="Arial"/>
          <w:sz w:val="26"/>
          <w:szCs w:val="26"/>
        </w:rPr>
        <w:t xml:space="preserve"> </w:t>
      </w:r>
    </w:p>
    <w:p w14:paraId="0D3AE65A" w14:textId="77777777" w:rsidR="00397FC3" w:rsidRPr="00777D97" w:rsidRDefault="00397FC3" w:rsidP="00397FC3">
      <w:pPr>
        <w:spacing w:after="0" w:line="360" w:lineRule="auto"/>
        <w:ind w:left="851" w:right="900"/>
        <w:jc w:val="both"/>
        <w:rPr>
          <w:rFonts w:ascii="Arial" w:hAnsi="Arial" w:cs="Arial"/>
          <w:b/>
          <w:i/>
        </w:rPr>
      </w:pPr>
      <w:r w:rsidRPr="00777D97">
        <w:rPr>
          <w:rFonts w:ascii="Arial" w:hAnsi="Arial" w:cs="Arial"/>
          <w:b/>
          <w:i/>
        </w:rPr>
        <w:t>LA RELACIÓN CLARA Y SUCINTA DE LOS HECHOS QUE CONSTITUYEN LOS ANTECEDE</w:t>
      </w:r>
      <w:r>
        <w:rPr>
          <w:rFonts w:ascii="Arial" w:hAnsi="Arial" w:cs="Arial"/>
          <w:b/>
          <w:i/>
        </w:rPr>
        <w:t>NTE</w:t>
      </w:r>
      <w:r w:rsidRPr="00777D97">
        <w:rPr>
          <w:rFonts w:ascii="Arial" w:hAnsi="Arial" w:cs="Arial"/>
          <w:b/>
          <w:i/>
        </w:rPr>
        <w:t>S DE LA DEMANDA:</w:t>
      </w:r>
    </w:p>
    <w:p w14:paraId="27A3AFDD" w14:textId="4FAAB5AE" w:rsidR="00397FC3" w:rsidRDefault="00397FC3" w:rsidP="00397FC3">
      <w:pPr>
        <w:spacing w:after="0" w:line="360" w:lineRule="auto"/>
        <w:ind w:left="851" w:right="900"/>
        <w:jc w:val="both"/>
        <w:rPr>
          <w:rFonts w:ascii="Arial" w:hAnsi="Arial" w:cs="Arial"/>
          <w:i/>
        </w:rPr>
      </w:pPr>
      <w:r>
        <w:rPr>
          <w:rFonts w:ascii="Arial" w:hAnsi="Arial" w:cs="Arial"/>
          <w:sz w:val="26"/>
          <w:szCs w:val="26"/>
        </w:rPr>
        <w:t xml:space="preserve"> </w:t>
      </w:r>
      <w:r>
        <w:rPr>
          <w:rFonts w:ascii="Arial" w:hAnsi="Arial" w:cs="Arial"/>
          <w:sz w:val="26"/>
          <w:szCs w:val="26"/>
        </w:rPr>
        <w:tab/>
      </w:r>
      <w:r>
        <w:rPr>
          <w:rFonts w:ascii="Arial" w:hAnsi="Arial" w:cs="Arial"/>
          <w:i/>
        </w:rPr>
        <w:t>“Fungimos como Presidente Municipal, Síndico Municipal, Regidor de Hacienda y Tesorero Municipal en el Municipio de San Miguel Mixtepec Zimatlán, Oaxaca, durante el ejercicio fiscal 2014. Transcurrido que fue dicho periodo, cumplimos con todas las disposiciones legales y normativas respecto de la aplicación de los recursos públicos que fueron entregados para el municipio y a su vez cumplimos, con todas las obligaciones respecto de la rendición de cuentas ante el Congresos(sic) del Estado, ante la Secretaría de Contraloría del Poder Ejecutivo y ante la Auditoría Superior del Estado, d</w:t>
      </w:r>
      <w:r w:rsidRPr="00637CEB">
        <w:rPr>
          <w:rFonts w:ascii="Arial" w:hAnsi="Arial" w:cs="Arial"/>
          <w:i/>
        </w:rPr>
        <w:t xml:space="preserve">esconociendo el crédito fiscal </w:t>
      </w:r>
      <w:r w:rsidR="00836089" w:rsidRPr="00836089">
        <w:rPr>
          <w:rFonts w:ascii="Arial" w:eastAsia="Calibri" w:hAnsi="Arial" w:cs="Arial"/>
          <w:b/>
          <w:bCs/>
          <w:sz w:val="26"/>
          <w:szCs w:val="26"/>
        </w:rPr>
        <w:t>**********</w:t>
      </w:r>
      <w:r w:rsidRPr="00637CEB">
        <w:rPr>
          <w:rFonts w:ascii="Arial" w:hAnsi="Arial" w:cs="Arial"/>
          <w:i/>
        </w:rPr>
        <w:t xml:space="preserve">, mismo que no se encuentra fundado y motivado y </w:t>
      </w:r>
      <w:r w:rsidR="00C54E50">
        <w:rPr>
          <w:rFonts w:ascii="Arial" w:hAnsi="Arial" w:cs="Arial"/>
          <w:i/>
        </w:rPr>
        <w:t xml:space="preserve">desconociéndola  </w:t>
      </w:r>
      <w:bookmarkStart w:id="0" w:name="_GoBack"/>
      <w:bookmarkEnd w:id="0"/>
      <w:r w:rsidRPr="00637CEB">
        <w:rPr>
          <w:rFonts w:ascii="Arial" w:hAnsi="Arial" w:cs="Arial"/>
          <w:i/>
        </w:rPr>
        <w:t xml:space="preserve">(sic) resolución determinante </w:t>
      </w:r>
      <w:r>
        <w:rPr>
          <w:rFonts w:ascii="Arial" w:hAnsi="Arial" w:cs="Arial"/>
          <w:i/>
        </w:rPr>
        <w:t xml:space="preserve">que dice la responsable, se dictó el </w:t>
      </w:r>
      <w:r w:rsidRPr="00637CEB">
        <w:rPr>
          <w:rFonts w:ascii="Arial" w:hAnsi="Arial" w:cs="Arial"/>
          <w:i/>
        </w:rPr>
        <w:t xml:space="preserve"> 30 treinta de septiembre de 2014 dictada dentro del expediente </w:t>
      </w:r>
      <w:r w:rsidR="00836089" w:rsidRPr="00836089">
        <w:rPr>
          <w:rFonts w:ascii="Arial" w:eastAsia="Calibri" w:hAnsi="Arial" w:cs="Arial"/>
          <w:b/>
          <w:bCs/>
          <w:sz w:val="26"/>
          <w:szCs w:val="26"/>
        </w:rPr>
        <w:t>**********</w:t>
      </w:r>
      <w:r w:rsidRPr="00637CEB">
        <w:rPr>
          <w:rFonts w:ascii="Arial" w:hAnsi="Arial" w:cs="Arial"/>
          <w:i/>
        </w:rPr>
        <w:t>, mismo que seguramente la Auditoría Superior tramitó ilegalmente, sin fundar ni motivar, sin cumplir las formalidades esenciales del procedimiento</w:t>
      </w:r>
      <w:r>
        <w:rPr>
          <w:rFonts w:ascii="Arial" w:hAnsi="Arial" w:cs="Arial"/>
          <w:i/>
        </w:rPr>
        <w:t>”.</w:t>
      </w:r>
    </w:p>
    <w:p w14:paraId="4D9E685B" w14:textId="77777777" w:rsidR="00397FC3" w:rsidRDefault="00397FC3" w:rsidP="00397FC3">
      <w:pPr>
        <w:spacing w:after="0" w:line="360" w:lineRule="auto"/>
        <w:ind w:left="851" w:right="760"/>
        <w:jc w:val="center"/>
        <w:rPr>
          <w:rFonts w:ascii="Arial" w:hAnsi="Arial" w:cs="Arial"/>
          <w:b/>
          <w:i/>
        </w:rPr>
      </w:pPr>
      <w:r>
        <w:rPr>
          <w:rFonts w:ascii="Arial" w:hAnsi="Arial" w:cs="Arial"/>
          <w:b/>
          <w:i/>
        </w:rPr>
        <w:t>CONCEPTOS DE IMPUGNACIÓN:</w:t>
      </w:r>
    </w:p>
    <w:p w14:paraId="5116584E" w14:textId="77777777" w:rsidR="00397FC3" w:rsidRPr="00EF076C" w:rsidRDefault="00397FC3" w:rsidP="009B1A81">
      <w:pPr>
        <w:spacing w:after="120" w:line="360" w:lineRule="auto"/>
        <w:ind w:left="851" w:right="760"/>
        <w:jc w:val="both"/>
        <w:rPr>
          <w:rFonts w:ascii="Arial" w:hAnsi="Arial" w:cs="Arial"/>
          <w:i/>
        </w:rPr>
      </w:pPr>
      <w:r>
        <w:rPr>
          <w:rFonts w:ascii="Arial" w:hAnsi="Arial" w:cs="Arial"/>
          <w:b/>
          <w:i/>
        </w:rPr>
        <w:t xml:space="preserve">PRIMERO.- </w:t>
      </w:r>
      <w:r>
        <w:rPr>
          <w:rFonts w:ascii="Arial" w:hAnsi="Arial" w:cs="Arial"/>
          <w:i/>
        </w:rPr>
        <w:t>En el caso específico, el mandamiento de ejecución, el crédito fiscal y la Resolución determinantes ahora impugnados, no están fundados ni motivados en ninguna ley de carácter fiscal…”</w:t>
      </w:r>
    </w:p>
    <w:p w14:paraId="61467BBB" w14:textId="5CFC0251" w:rsidR="00397FC3" w:rsidRDefault="00397FC3" w:rsidP="00397FC3">
      <w:pPr>
        <w:spacing w:after="120" w:line="360" w:lineRule="auto"/>
        <w:jc w:val="both"/>
        <w:rPr>
          <w:rFonts w:ascii="Arial" w:hAnsi="Arial" w:cs="Arial"/>
          <w:sz w:val="26"/>
          <w:szCs w:val="26"/>
        </w:rPr>
      </w:pPr>
      <w:r>
        <w:rPr>
          <w:rFonts w:ascii="Arial" w:hAnsi="Arial" w:cs="Arial"/>
          <w:b/>
          <w:sz w:val="26"/>
          <w:szCs w:val="26"/>
        </w:rPr>
        <w:tab/>
      </w:r>
      <w:r w:rsidRPr="00FD6372">
        <w:rPr>
          <w:rFonts w:ascii="Arial" w:hAnsi="Arial" w:cs="Arial"/>
          <w:b/>
          <w:sz w:val="26"/>
          <w:szCs w:val="26"/>
        </w:rPr>
        <w:t>Como</w:t>
      </w:r>
      <w:r>
        <w:rPr>
          <w:rFonts w:ascii="Arial" w:hAnsi="Arial" w:cs="Arial"/>
          <w:sz w:val="26"/>
          <w:szCs w:val="26"/>
        </w:rPr>
        <w:t xml:space="preserve"> se advierte de lo anteriormente transcrito, los aquí recurrentes señalan como acto impugnado </w:t>
      </w:r>
      <w:r w:rsidRPr="004745E9">
        <w:rPr>
          <w:rFonts w:ascii="Arial" w:hAnsi="Arial" w:cs="Arial"/>
          <w:sz w:val="26"/>
          <w:szCs w:val="26"/>
          <w:u w:val="single"/>
        </w:rPr>
        <w:t xml:space="preserve">la resolución de fecha 30 de septiembre del 2014 emitida por la Auditoría Superior del Estado, hoy </w:t>
      </w:r>
      <w:r w:rsidRPr="004745E9">
        <w:rPr>
          <w:rFonts w:ascii="Arial" w:hAnsi="Arial" w:cs="Arial"/>
          <w:sz w:val="26"/>
          <w:szCs w:val="26"/>
          <w:u w:val="single"/>
        </w:rPr>
        <w:lastRenderedPageBreak/>
        <w:t xml:space="preserve">Órgano  Superior de Fiscalización del Estado de Oaxaca, dentro del expediente    </w:t>
      </w:r>
      <w:r w:rsidR="00836089" w:rsidRPr="00836089">
        <w:rPr>
          <w:rFonts w:ascii="Arial" w:eastAsia="Calibri" w:hAnsi="Arial" w:cs="Arial"/>
          <w:b/>
          <w:bCs/>
          <w:sz w:val="26"/>
          <w:szCs w:val="26"/>
        </w:rPr>
        <w:t>**********</w:t>
      </w:r>
      <w:r w:rsidR="00C54E50">
        <w:rPr>
          <w:rFonts w:ascii="Arial" w:hAnsi="Arial" w:cs="Arial"/>
          <w:sz w:val="26"/>
          <w:szCs w:val="26"/>
        </w:rPr>
        <w:t>,</w:t>
      </w:r>
      <w:r>
        <w:rPr>
          <w:rFonts w:ascii="Arial" w:hAnsi="Arial" w:cs="Arial"/>
          <w:sz w:val="26"/>
          <w:szCs w:val="26"/>
        </w:rPr>
        <w:t xml:space="preserve">en la cual se impuso a los aquí recurrentes </w:t>
      </w:r>
      <w:r w:rsidRPr="00FD6372">
        <w:rPr>
          <w:rFonts w:ascii="Arial" w:hAnsi="Arial" w:cs="Arial"/>
          <w:sz w:val="26"/>
          <w:szCs w:val="26"/>
        </w:rPr>
        <w:t xml:space="preserve"> una multa por la omisión de</w:t>
      </w:r>
      <w:r>
        <w:rPr>
          <w:rFonts w:ascii="Arial" w:hAnsi="Arial" w:cs="Arial"/>
          <w:sz w:val="26"/>
          <w:szCs w:val="26"/>
        </w:rPr>
        <w:t>l</w:t>
      </w:r>
      <w:r w:rsidRPr="00FD6372">
        <w:rPr>
          <w:rFonts w:ascii="Arial" w:hAnsi="Arial" w:cs="Arial"/>
          <w:sz w:val="26"/>
          <w:szCs w:val="26"/>
        </w:rPr>
        <w:t xml:space="preserve"> segundo informe de avance de gestión financiera del trimestre abril-junio del ejercicio fiscal dos mil catorce</w:t>
      </w:r>
      <w:r>
        <w:rPr>
          <w:rFonts w:ascii="Arial" w:hAnsi="Arial" w:cs="Arial"/>
          <w:sz w:val="26"/>
          <w:szCs w:val="26"/>
        </w:rPr>
        <w:t xml:space="preserve">, </w:t>
      </w:r>
      <w:r w:rsidRPr="004745E9">
        <w:rPr>
          <w:rFonts w:ascii="Arial" w:hAnsi="Arial" w:cs="Arial"/>
          <w:sz w:val="26"/>
          <w:szCs w:val="26"/>
          <w:u w:val="single"/>
        </w:rPr>
        <w:t>la cual alegan que no está fundada ni motivada, además de efectuar conceptos de impugnación en su contra,</w:t>
      </w:r>
      <w:r>
        <w:rPr>
          <w:rFonts w:ascii="Arial" w:hAnsi="Arial" w:cs="Arial"/>
          <w:sz w:val="26"/>
          <w:szCs w:val="26"/>
        </w:rPr>
        <w:t xml:space="preserve"> por lo que </w:t>
      </w:r>
      <w:r>
        <w:rPr>
          <w:rFonts w:ascii="Arial" w:hAnsi="Arial" w:cs="Arial"/>
          <w:sz w:val="24"/>
          <w:szCs w:val="24"/>
        </w:rPr>
        <w:t>se c</w:t>
      </w:r>
      <w:r>
        <w:rPr>
          <w:rFonts w:ascii="Arial" w:hAnsi="Arial" w:cs="Arial"/>
          <w:bCs/>
          <w:sz w:val="26"/>
          <w:szCs w:val="26"/>
        </w:rPr>
        <w:t xml:space="preserve">alifican como </w:t>
      </w:r>
      <w:r>
        <w:rPr>
          <w:rFonts w:ascii="Arial" w:hAnsi="Arial" w:cs="Arial"/>
          <w:b/>
          <w:bCs/>
          <w:sz w:val="26"/>
          <w:szCs w:val="26"/>
        </w:rPr>
        <w:t>infundados</w:t>
      </w:r>
      <w:r w:rsidRPr="004C000E">
        <w:rPr>
          <w:rFonts w:ascii="Arial" w:hAnsi="Arial" w:cs="Arial"/>
          <w:bCs/>
          <w:sz w:val="26"/>
          <w:szCs w:val="26"/>
        </w:rPr>
        <w:t xml:space="preserve"> </w:t>
      </w:r>
      <w:r w:rsidRPr="00B87B46">
        <w:rPr>
          <w:rFonts w:ascii="Arial" w:hAnsi="Arial" w:cs="Arial"/>
          <w:sz w:val="26"/>
          <w:szCs w:val="26"/>
        </w:rPr>
        <w:t>los agravios expre</w:t>
      </w:r>
      <w:r>
        <w:rPr>
          <w:rFonts w:ascii="Arial" w:hAnsi="Arial" w:cs="Arial"/>
          <w:sz w:val="26"/>
          <w:szCs w:val="26"/>
        </w:rPr>
        <w:t>sados por el</w:t>
      </w:r>
      <w:r w:rsidRPr="00B87B46">
        <w:rPr>
          <w:rFonts w:ascii="Arial" w:hAnsi="Arial" w:cs="Arial"/>
          <w:sz w:val="26"/>
          <w:szCs w:val="26"/>
        </w:rPr>
        <w:t xml:space="preserve"> recurrente</w:t>
      </w:r>
      <w:r>
        <w:rPr>
          <w:rFonts w:ascii="Arial" w:hAnsi="Arial" w:cs="Arial"/>
          <w:sz w:val="26"/>
          <w:szCs w:val="26"/>
        </w:rPr>
        <w:t>.</w:t>
      </w:r>
    </w:p>
    <w:p w14:paraId="68059524" w14:textId="77777777" w:rsidR="00397FC3" w:rsidRDefault="00397FC3" w:rsidP="00397FC3">
      <w:pPr>
        <w:spacing w:after="120" w:line="360" w:lineRule="auto"/>
        <w:jc w:val="both"/>
        <w:rPr>
          <w:rFonts w:ascii="Arial" w:hAnsi="Arial" w:cs="Arial"/>
          <w:sz w:val="26"/>
          <w:szCs w:val="26"/>
        </w:rPr>
      </w:pPr>
      <w:r>
        <w:rPr>
          <w:rFonts w:ascii="Arial" w:hAnsi="Arial" w:cs="Arial"/>
          <w:b/>
          <w:sz w:val="26"/>
          <w:szCs w:val="26"/>
        </w:rPr>
        <w:tab/>
      </w:r>
      <w:r w:rsidRPr="0005522B">
        <w:rPr>
          <w:rFonts w:ascii="Arial" w:hAnsi="Arial" w:cs="Arial"/>
          <w:b/>
          <w:sz w:val="26"/>
          <w:szCs w:val="26"/>
        </w:rPr>
        <w:t>Se</w:t>
      </w:r>
      <w:r>
        <w:rPr>
          <w:rFonts w:ascii="Arial" w:hAnsi="Arial" w:cs="Arial"/>
          <w:sz w:val="26"/>
          <w:szCs w:val="26"/>
        </w:rPr>
        <w:t xml:space="preserve"> dice lo anterior, toda vez que como lo señaló la primera instancia, esta Sala Superior tiene competencia para c</w:t>
      </w:r>
      <w:r w:rsidRPr="00814766">
        <w:rPr>
          <w:rFonts w:ascii="Arial" w:hAnsi="Arial" w:cs="Arial"/>
          <w:sz w:val="26"/>
          <w:szCs w:val="26"/>
        </w:rPr>
        <w:t>onocer y resolver las controversias</w:t>
      </w:r>
      <w:r>
        <w:rPr>
          <w:rFonts w:ascii="Arial" w:hAnsi="Arial" w:cs="Arial"/>
          <w:sz w:val="26"/>
          <w:szCs w:val="26"/>
        </w:rPr>
        <w:t xml:space="preserve"> que se susciten en materia de c</w:t>
      </w:r>
      <w:r w:rsidRPr="00814766">
        <w:rPr>
          <w:rFonts w:ascii="Arial" w:hAnsi="Arial" w:cs="Arial"/>
          <w:sz w:val="26"/>
          <w:szCs w:val="26"/>
        </w:rPr>
        <w:t xml:space="preserve">uentas y las impugnaciones de resoluciones sancionatorias que emita la </w:t>
      </w:r>
      <w:r>
        <w:rPr>
          <w:rFonts w:ascii="Arial" w:hAnsi="Arial" w:cs="Arial"/>
          <w:sz w:val="26"/>
          <w:szCs w:val="26"/>
        </w:rPr>
        <w:t xml:space="preserve">otrora </w:t>
      </w:r>
      <w:r w:rsidRPr="00814766">
        <w:rPr>
          <w:rFonts w:ascii="Arial" w:hAnsi="Arial" w:cs="Arial"/>
          <w:sz w:val="26"/>
          <w:szCs w:val="26"/>
        </w:rPr>
        <w:t>Auditoría Superior del Estad</w:t>
      </w:r>
      <w:r>
        <w:rPr>
          <w:rFonts w:ascii="Arial" w:hAnsi="Arial" w:cs="Arial"/>
          <w:sz w:val="26"/>
          <w:szCs w:val="26"/>
        </w:rPr>
        <w:t xml:space="preserve">o, ahora Órgano Superior de Fiscalización del Estado de Oaxaca; de conformidad con los </w:t>
      </w:r>
      <w:r>
        <w:rPr>
          <w:rFonts w:ascii="Arial" w:eastAsia="Calibri" w:hAnsi="Arial" w:cs="Arial"/>
          <w:bCs/>
          <w:iCs/>
          <w:sz w:val="26"/>
          <w:szCs w:val="26"/>
        </w:rPr>
        <w:t xml:space="preserve">artículos 111 fracciones I, II, VII de </w:t>
      </w:r>
      <w:r>
        <w:rPr>
          <w:rFonts w:ascii="Arial" w:hAnsi="Arial" w:cs="Arial"/>
          <w:bCs/>
          <w:iCs/>
          <w:sz w:val="26"/>
          <w:szCs w:val="26"/>
          <w:lang w:eastAsia="es-ES"/>
        </w:rPr>
        <w:t xml:space="preserve">Constitución Política del Estado Libre y Soberano de Oaxaca, 146 fracciones I y II, 152 fracción V de la Ley Orgánica del Poder Judicial del Estado, </w:t>
      </w:r>
      <w:r>
        <w:rPr>
          <w:rFonts w:ascii="Arial" w:hAnsi="Arial" w:cs="Arial"/>
          <w:sz w:val="26"/>
          <w:szCs w:val="26"/>
        </w:rPr>
        <w:t>1, 2, 3, fracción VI, 58 y 39, de la Ley de Justicia</w:t>
      </w:r>
      <w:r w:rsidRPr="00203903">
        <w:rPr>
          <w:rFonts w:ascii="Arial" w:hAnsi="Arial" w:cs="Arial"/>
          <w:sz w:val="26"/>
          <w:szCs w:val="26"/>
        </w:rPr>
        <w:t xml:space="preserve"> </w:t>
      </w:r>
      <w:r>
        <w:rPr>
          <w:rFonts w:ascii="Arial" w:hAnsi="Arial" w:cs="Arial"/>
          <w:sz w:val="26"/>
          <w:szCs w:val="26"/>
        </w:rPr>
        <w:t>de Fiscalización y Rendición de Cuentas para el Estado de Oaxaca, al establecer dichos preceptos que el Tribunal de Justicia Administrativa para el Estado de Oaxaca,</w:t>
      </w:r>
      <w:r w:rsidRPr="002A6CBB">
        <w:rPr>
          <w:rFonts w:ascii="Arial" w:hAnsi="Arial" w:cs="Arial"/>
          <w:sz w:val="26"/>
          <w:szCs w:val="26"/>
        </w:rPr>
        <w:t xml:space="preserve"> es la máxima autoridad jurisdiccional en materia de fiscalización y rendición de cuentas</w:t>
      </w:r>
      <w:r>
        <w:rPr>
          <w:rFonts w:ascii="Arial" w:hAnsi="Arial" w:cs="Arial"/>
          <w:sz w:val="26"/>
          <w:szCs w:val="26"/>
        </w:rPr>
        <w:t xml:space="preserve">. </w:t>
      </w:r>
    </w:p>
    <w:p w14:paraId="3937689C" w14:textId="759EA2B7" w:rsidR="00397FC3" w:rsidRDefault="00397FC3" w:rsidP="00397FC3">
      <w:pPr>
        <w:spacing w:after="120" w:line="360" w:lineRule="auto"/>
        <w:jc w:val="both"/>
        <w:rPr>
          <w:rFonts w:ascii="Arial" w:hAnsi="Arial" w:cs="Arial"/>
          <w:sz w:val="26"/>
          <w:szCs w:val="26"/>
        </w:rPr>
      </w:pPr>
      <w:r>
        <w:rPr>
          <w:rFonts w:ascii="Arial" w:hAnsi="Arial" w:cs="Arial"/>
          <w:b/>
          <w:sz w:val="26"/>
          <w:szCs w:val="26"/>
        </w:rPr>
        <w:tab/>
      </w:r>
      <w:r w:rsidRPr="003E2362">
        <w:rPr>
          <w:rFonts w:ascii="Arial" w:hAnsi="Arial" w:cs="Arial"/>
          <w:b/>
          <w:sz w:val="26"/>
          <w:szCs w:val="26"/>
        </w:rPr>
        <w:t>Por</w:t>
      </w:r>
      <w:r w:rsidRPr="002F02E0">
        <w:rPr>
          <w:rFonts w:ascii="Arial" w:hAnsi="Arial" w:cs="Arial"/>
          <w:sz w:val="26"/>
          <w:szCs w:val="26"/>
        </w:rPr>
        <w:t xml:space="preserve"> consiguiente, </w:t>
      </w:r>
      <w:r w:rsidRPr="0058382E">
        <w:rPr>
          <w:rFonts w:ascii="Arial" w:eastAsia="Calibri" w:hAnsi="Arial" w:cs="Arial"/>
          <w:b/>
          <w:bCs/>
          <w:sz w:val="26"/>
          <w:szCs w:val="26"/>
        </w:rPr>
        <w:t>resulta improcedente</w:t>
      </w:r>
      <w:r w:rsidRPr="002F02E0">
        <w:rPr>
          <w:rFonts w:ascii="Arial" w:eastAsia="Calibri" w:hAnsi="Arial" w:cs="Arial"/>
          <w:bCs/>
          <w:sz w:val="26"/>
          <w:szCs w:val="26"/>
        </w:rPr>
        <w:t xml:space="preserve"> el juicio de nulidad interpuesto por </w:t>
      </w:r>
      <w:r>
        <w:rPr>
          <w:rFonts w:ascii="Arial" w:hAnsi="Arial" w:cs="Arial"/>
          <w:sz w:val="26"/>
          <w:szCs w:val="26"/>
        </w:rPr>
        <w:t xml:space="preserve"> </w:t>
      </w:r>
      <w:r w:rsidR="00836089" w:rsidRPr="00836089">
        <w:rPr>
          <w:rFonts w:ascii="Arial" w:eastAsia="Calibri" w:hAnsi="Arial" w:cs="Arial"/>
          <w:b/>
          <w:bCs/>
          <w:sz w:val="26"/>
          <w:szCs w:val="26"/>
        </w:rPr>
        <w:t>**********</w:t>
      </w:r>
      <w:r>
        <w:rPr>
          <w:rFonts w:ascii="Arial" w:eastAsia="Calibri" w:hAnsi="Arial" w:cs="Arial"/>
          <w:bCs/>
          <w:sz w:val="26"/>
          <w:szCs w:val="26"/>
        </w:rPr>
        <w:t>, en contra de</w:t>
      </w:r>
      <w:r>
        <w:rPr>
          <w:rFonts w:ascii="Arial" w:hAnsi="Arial" w:cs="Arial"/>
          <w:sz w:val="26"/>
          <w:szCs w:val="26"/>
        </w:rPr>
        <w:t xml:space="preserve"> la resolución </w:t>
      </w:r>
      <w:r w:rsidRPr="00FD6372">
        <w:rPr>
          <w:rFonts w:ascii="Arial" w:hAnsi="Arial" w:cs="Arial"/>
          <w:sz w:val="26"/>
          <w:szCs w:val="26"/>
        </w:rPr>
        <w:t>de fecha 30 de septiembre del 2014, emitida</w:t>
      </w:r>
      <w:r w:rsidRPr="003C4BB3">
        <w:rPr>
          <w:rFonts w:ascii="Arial" w:hAnsi="Arial" w:cs="Arial"/>
          <w:sz w:val="26"/>
          <w:szCs w:val="26"/>
        </w:rPr>
        <w:t xml:space="preserve"> </w:t>
      </w:r>
      <w:r>
        <w:rPr>
          <w:rFonts w:ascii="Arial" w:hAnsi="Arial" w:cs="Arial"/>
          <w:sz w:val="26"/>
          <w:szCs w:val="26"/>
        </w:rPr>
        <w:t xml:space="preserve">dentro del expediente </w:t>
      </w:r>
      <w:r w:rsidRPr="00FD6372">
        <w:rPr>
          <w:rFonts w:ascii="Arial" w:hAnsi="Arial" w:cs="Arial"/>
          <w:sz w:val="26"/>
          <w:szCs w:val="26"/>
        </w:rPr>
        <w:t xml:space="preserve"> </w:t>
      </w:r>
      <w:r>
        <w:rPr>
          <w:rFonts w:ascii="Arial" w:hAnsi="Arial" w:cs="Arial"/>
          <w:sz w:val="26"/>
          <w:szCs w:val="26"/>
        </w:rPr>
        <w:t xml:space="preserve"> </w:t>
      </w:r>
      <w:r w:rsidR="00836089" w:rsidRPr="00836089">
        <w:rPr>
          <w:rFonts w:ascii="Arial" w:eastAsia="Calibri" w:hAnsi="Arial" w:cs="Arial"/>
          <w:b/>
          <w:bCs/>
          <w:sz w:val="26"/>
          <w:szCs w:val="26"/>
        </w:rPr>
        <w:t>**********</w:t>
      </w:r>
      <w:r>
        <w:rPr>
          <w:rFonts w:ascii="Arial" w:hAnsi="Arial" w:cs="Arial"/>
          <w:sz w:val="26"/>
          <w:szCs w:val="26"/>
        </w:rPr>
        <w:t>, por la otrora Auditoría Superior del Estado de Oaxaca, supuesto que no encuadra en lo establecido por el artículo 133 fracción I de la Ley de Procedimiento y Justicia Administrativa para el Estado de Oaxaca, toda vez que las Salas de Primera Instancia solo conocerán de los actos emanados de las autoridades del Poder Ejecutivo, de los Municipios y de sus organismos descentralizados y desconcentrados, cuando éstos causen agravios a los particulares, además por no ajustarse a los elementos y requisitos establecidos en el artículo 17 de la citada ley.</w:t>
      </w:r>
    </w:p>
    <w:p w14:paraId="1DB4FD0B" w14:textId="2C77609B" w:rsidR="00397FC3" w:rsidRDefault="00397FC3" w:rsidP="00397FC3">
      <w:pPr>
        <w:spacing w:after="120" w:line="360" w:lineRule="auto"/>
        <w:jc w:val="both"/>
        <w:rPr>
          <w:rFonts w:ascii="Arial" w:hAnsi="Arial" w:cs="Arial"/>
          <w:sz w:val="26"/>
          <w:szCs w:val="26"/>
        </w:rPr>
      </w:pPr>
      <w:r>
        <w:rPr>
          <w:rFonts w:ascii="Arial" w:hAnsi="Arial" w:cs="Arial"/>
          <w:b/>
          <w:sz w:val="26"/>
          <w:szCs w:val="26"/>
        </w:rPr>
        <w:tab/>
        <w:t xml:space="preserve">De </w:t>
      </w:r>
      <w:r>
        <w:rPr>
          <w:rFonts w:ascii="Arial" w:hAnsi="Arial" w:cs="Arial"/>
          <w:sz w:val="26"/>
          <w:szCs w:val="26"/>
        </w:rPr>
        <w:t>igual forma</w:t>
      </w:r>
      <w:r w:rsidRPr="0086627A">
        <w:rPr>
          <w:rFonts w:ascii="Arial" w:hAnsi="Arial" w:cs="Arial"/>
          <w:b/>
          <w:sz w:val="26"/>
          <w:szCs w:val="26"/>
        </w:rPr>
        <w:t>,</w:t>
      </w:r>
      <w:r>
        <w:rPr>
          <w:rFonts w:ascii="Arial" w:hAnsi="Arial" w:cs="Arial"/>
          <w:sz w:val="26"/>
          <w:szCs w:val="26"/>
        </w:rPr>
        <w:t xml:space="preserve"> </w:t>
      </w:r>
      <w:r w:rsidRPr="0058382E">
        <w:rPr>
          <w:rFonts w:ascii="Arial" w:eastAsia="Calibri" w:hAnsi="Arial" w:cs="Arial"/>
          <w:b/>
          <w:bCs/>
          <w:sz w:val="26"/>
          <w:szCs w:val="26"/>
        </w:rPr>
        <w:t>resulta improcedente</w:t>
      </w:r>
      <w:r w:rsidRPr="002F02E0">
        <w:rPr>
          <w:rFonts w:ascii="Arial" w:eastAsia="Calibri" w:hAnsi="Arial" w:cs="Arial"/>
          <w:bCs/>
          <w:sz w:val="26"/>
          <w:szCs w:val="26"/>
        </w:rPr>
        <w:t xml:space="preserve"> el juicio de nulidad interpuesto</w:t>
      </w:r>
      <w:r>
        <w:rPr>
          <w:rFonts w:ascii="Arial" w:eastAsia="Calibri" w:hAnsi="Arial" w:cs="Arial"/>
          <w:bCs/>
          <w:sz w:val="26"/>
          <w:szCs w:val="26"/>
        </w:rPr>
        <w:t xml:space="preserve"> en contra del </w:t>
      </w:r>
      <w:r w:rsidRPr="00344B74">
        <w:rPr>
          <w:rFonts w:ascii="Arial" w:hAnsi="Arial" w:cs="Arial"/>
          <w:sz w:val="26"/>
          <w:szCs w:val="26"/>
        </w:rPr>
        <w:t xml:space="preserve">Mandamiento de Ejecución número </w:t>
      </w:r>
      <w:r w:rsidR="00836089">
        <w:rPr>
          <w:rFonts w:ascii="Arial" w:hAnsi="Arial" w:cs="Arial"/>
          <w:b/>
          <w:bCs/>
          <w:sz w:val="26"/>
          <w:szCs w:val="26"/>
        </w:rPr>
        <w:t xml:space="preserve">********** </w:t>
      </w:r>
      <w:r w:rsidRPr="00344B74">
        <w:rPr>
          <w:rFonts w:ascii="Arial" w:hAnsi="Arial" w:cs="Arial"/>
          <w:sz w:val="26"/>
          <w:szCs w:val="26"/>
        </w:rPr>
        <w:t xml:space="preserve">de fecha </w:t>
      </w:r>
      <w:r>
        <w:rPr>
          <w:rFonts w:ascii="Arial" w:hAnsi="Arial" w:cs="Arial"/>
          <w:sz w:val="26"/>
          <w:szCs w:val="26"/>
        </w:rPr>
        <w:t xml:space="preserve">diecisiete </w:t>
      </w:r>
      <w:r w:rsidRPr="00344B74">
        <w:rPr>
          <w:rFonts w:ascii="Arial" w:hAnsi="Arial" w:cs="Arial"/>
          <w:sz w:val="26"/>
          <w:szCs w:val="26"/>
        </w:rPr>
        <w:t xml:space="preserve">de abril de </w:t>
      </w:r>
      <w:r>
        <w:rPr>
          <w:rFonts w:ascii="Arial" w:hAnsi="Arial" w:cs="Arial"/>
          <w:sz w:val="26"/>
          <w:szCs w:val="26"/>
        </w:rPr>
        <w:t>dos mil diecinueve y</w:t>
      </w:r>
      <w:r w:rsidRPr="00344B74">
        <w:rPr>
          <w:rFonts w:ascii="Arial" w:hAnsi="Arial" w:cs="Arial"/>
          <w:sz w:val="26"/>
          <w:szCs w:val="26"/>
        </w:rPr>
        <w:t xml:space="preserve"> </w:t>
      </w:r>
      <w:r>
        <w:rPr>
          <w:rFonts w:ascii="Arial" w:hAnsi="Arial" w:cs="Arial"/>
          <w:sz w:val="26"/>
          <w:szCs w:val="26"/>
        </w:rPr>
        <w:t xml:space="preserve">del </w:t>
      </w:r>
      <w:r w:rsidRPr="00344B74">
        <w:rPr>
          <w:rFonts w:ascii="Arial" w:hAnsi="Arial" w:cs="Arial"/>
          <w:sz w:val="26"/>
          <w:szCs w:val="26"/>
        </w:rPr>
        <w:t>crédito</w:t>
      </w:r>
      <w:r>
        <w:rPr>
          <w:rFonts w:ascii="Arial" w:hAnsi="Arial" w:cs="Arial"/>
          <w:sz w:val="26"/>
          <w:szCs w:val="26"/>
        </w:rPr>
        <w:t xml:space="preserve"> fiscal</w:t>
      </w:r>
      <w:r w:rsidRPr="00344B74">
        <w:rPr>
          <w:rFonts w:ascii="Arial" w:hAnsi="Arial" w:cs="Arial"/>
          <w:sz w:val="26"/>
          <w:szCs w:val="26"/>
        </w:rPr>
        <w:t xml:space="preserve"> número </w:t>
      </w:r>
      <w:r>
        <w:rPr>
          <w:rFonts w:ascii="Arial" w:hAnsi="Arial" w:cs="Arial"/>
          <w:sz w:val="26"/>
          <w:szCs w:val="26"/>
        </w:rPr>
        <w:t xml:space="preserve">cuarenta y cuatro mil </w:t>
      </w:r>
      <w:r w:rsidR="000F162C">
        <w:rPr>
          <w:rFonts w:ascii="Arial" w:hAnsi="Arial" w:cs="Arial"/>
          <w:sz w:val="26"/>
          <w:szCs w:val="26"/>
        </w:rPr>
        <w:t>ochocientos</w:t>
      </w:r>
      <w:r>
        <w:rPr>
          <w:rFonts w:ascii="Arial" w:hAnsi="Arial" w:cs="Arial"/>
          <w:sz w:val="26"/>
          <w:szCs w:val="26"/>
        </w:rPr>
        <w:t xml:space="preserve"> dos</w:t>
      </w:r>
      <w:r w:rsidRPr="00344B74">
        <w:rPr>
          <w:rFonts w:ascii="Arial" w:hAnsi="Arial" w:cs="Arial"/>
          <w:sz w:val="26"/>
          <w:szCs w:val="26"/>
        </w:rPr>
        <w:t xml:space="preserve">, </w:t>
      </w:r>
      <w:r>
        <w:rPr>
          <w:rFonts w:ascii="Arial" w:hAnsi="Arial" w:cs="Arial"/>
          <w:sz w:val="26"/>
          <w:szCs w:val="26"/>
        </w:rPr>
        <w:t xml:space="preserve">toda vez que dichos actos fueron emitidos en un procedimiento efectuado únicamente para el cobro de la multa impuesta a </w:t>
      </w:r>
      <w:r w:rsidR="00836089">
        <w:rPr>
          <w:rFonts w:ascii="Arial" w:hAnsi="Arial" w:cs="Arial"/>
          <w:b/>
          <w:bCs/>
          <w:sz w:val="26"/>
          <w:szCs w:val="26"/>
        </w:rPr>
        <w:t>**********</w:t>
      </w:r>
      <w:r>
        <w:rPr>
          <w:rFonts w:ascii="Arial" w:hAnsi="Arial" w:cs="Arial"/>
          <w:sz w:val="26"/>
          <w:szCs w:val="26"/>
        </w:rPr>
        <w:t xml:space="preserve">, en su calidad de Presidente Municipal, Síndico Municipal, Regidor de Hacienda  y Tesorero Municipal, del Municipio de San Miguel Mixtepec, Zimatlán, Oaxaca, por la Auditoría </w:t>
      </w:r>
      <w:r>
        <w:rPr>
          <w:rFonts w:ascii="Arial" w:hAnsi="Arial" w:cs="Arial"/>
          <w:sz w:val="26"/>
          <w:szCs w:val="26"/>
        </w:rPr>
        <w:lastRenderedPageBreak/>
        <w:t xml:space="preserve">Superior del Estado dentro del expediente </w:t>
      </w:r>
      <w:r w:rsidRPr="00FD6372">
        <w:rPr>
          <w:rFonts w:ascii="Arial" w:hAnsi="Arial" w:cs="Arial"/>
          <w:sz w:val="26"/>
          <w:szCs w:val="26"/>
        </w:rPr>
        <w:t xml:space="preserve"> </w:t>
      </w:r>
      <w:r w:rsidR="00836089">
        <w:rPr>
          <w:rFonts w:ascii="Arial" w:hAnsi="Arial" w:cs="Arial"/>
          <w:b/>
          <w:bCs/>
          <w:sz w:val="26"/>
          <w:szCs w:val="26"/>
        </w:rPr>
        <w:t>**********</w:t>
      </w:r>
      <w:r>
        <w:rPr>
          <w:rFonts w:ascii="Arial" w:hAnsi="Arial" w:cs="Arial"/>
          <w:sz w:val="26"/>
          <w:szCs w:val="26"/>
        </w:rPr>
        <w:t>, una vez que dicha resolución quedó firme.</w:t>
      </w:r>
    </w:p>
    <w:p w14:paraId="435C56B4" w14:textId="77777777" w:rsidR="00397FC3" w:rsidRDefault="00397FC3" w:rsidP="00397FC3">
      <w:pPr>
        <w:spacing w:after="120" w:line="360" w:lineRule="auto"/>
        <w:jc w:val="both"/>
        <w:rPr>
          <w:rFonts w:ascii="Arial" w:hAnsi="Arial" w:cs="Arial"/>
          <w:sz w:val="26"/>
          <w:szCs w:val="26"/>
        </w:rPr>
      </w:pPr>
      <w:r>
        <w:rPr>
          <w:rFonts w:ascii="Arial" w:hAnsi="Arial" w:cs="Arial"/>
          <w:b/>
          <w:sz w:val="26"/>
          <w:szCs w:val="26"/>
        </w:rPr>
        <w:tab/>
      </w:r>
      <w:r w:rsidRPr="0037652C">
        <w:rPr>
          <w:rFonts w:ascii="Arial" w:hAnsi="Arial" w:cs="Arial"/>
          <w:b/>
          <w:sz w:val="26"/>
          <w:szCs w:val="26"/>
        </w:rPr>
        <w:t>Po</w:t>
      </w:r>
      <w:r>
        <w:rPr>
          <w:rFonts w:ascii="Arial" w:hAnsi="Arial" w:cs="Arial"/>
          <w:sz w:val="26"/>
          <w:szCs w:val="26"/>
        </w:rPr>
        <w:t xml:space="preserve">r tanto la Séptima Sala Unitaria de Primera Instancia de este Tribunal, no tiene competencia para conocer de actos que deriven de resolución emitidas en materia de cuentas por la </w:t>
      </w:r>
      <w:r w:rsidRPr="00814766">
        <w:rPr>
          <w:rFonts w:ascii="Arial" w:hAnsi="Arial" w:cs="Arial"/>
          <w:sz w:val="26"/>
          <w:szCs w:val="26"/>
        </w:rPr>
        <w:t>Auditoría Superior del Estad</w:t>
      </w:r>
      <w:r>
        <w:rPr>
          <w:rFonts w:ascii="Arial" w:hAnsi="Arial" w:cs="Arial"/>
          <w:sz w:val="26"/>
          <w:szCs w:val="26"/>
        </w:rPr>
        <w:t>o, ahora Órgano Superior de Fiscalización del Estado de Oaxaca, aun cuando se trate de actos diferentes y emitidos por diversa autoridad.</w:t>
      </w:r>
    </w:p>
    <w:p w14:paraId="48770AB6" w14:textId="5063D817" w:rsidR="00397FC3" w:rsidRDefault="00397FC3" w:rsidP="00397FC3">
      <w:pPr>
        <w:spacing w:after="120" w:line="360" w:lineRule="auto"/>
        <w:jc w:val="both"/>
        <w:rPr>
          <w:rFonts w:ascii="Arial" w:eastAsia="Calibri" w:hAnsi="Arial" w:cs="Arial"/>
          <w:sz w:val="26"/>
          <w:szCs w:val="26"/>
        </w:rPr>
      </w:pPr>
      <w:r>
        <w:rPr>
          <w:rFonts w:ascii="Arial" w:hAnsi="Arial" w:cs="Arial"/>
          <w:sz w:val="26"/>
          <w:szCs w:val="26"/>
        </w:rPr>
        <w:tab/>
        <w:t xml:space="preserve"> </w:t>
      </w:r>
      <w:r w:rsidRPr="00DE3228">
        <w:rPr>
          <w:rFonts w:ascii="Arial" w:hAnsi="Arial" w:cs="Arial"/>
          <w:b/>
          <w:sz w:val="26"/>
          <w:szCs w:val="26"/>
        </w:rPr>
        <w:t>E</w:t>
      </w:r>
      <w:r w:rsidRPr="00DE3228">
        <w:rPr>
          <w:rFonts w:ascii="Arial" w:eastAsia="Calibri" w:hAnsi="Arial" w:cs="Arial"/>
          <w:b/>
          <w:sz w:val="26"/>
          <w:szCs w:val="26"/>
        </w:rPr>
        <w:t xml:space="preserve">n </w:t>
      </w:r>
      <w:r>
        <w:rPr>
          <w:rFonts w:ascii="Arial" w:eastAsia="Calibri" w:hAnsi="Arial" w:cs="Arial"/>
          <w:sz w:val="26"/>
          <w:szCs w:val="26"/>
        </w:rPr>
        <w:t xml:space="preserve">consecuencia, </w:t>
      </w:r>
      <w:r w:rsidRPr="00D82C07">
        <w:rPr>
          <w:rFonts w:ascii="Arial" w:eastAsia="Calibri" w:hAnsi="Arial" w:cs="Arial"/>
          <w:sz w:val="26"/>
          <w:szCs w:val="26"/>
        </w:rPr>
        <w:t xml:space="preserve">se </w:t>
      </w:r>
      <w:r w:rsidRPr="00D82C07">
        <w:rPr>
          <w:rFonts w:ascii="Arial" w:eastAsia="Calibri" w:hAnsi="Arial" w:cs="Arial"/>
          <w:b/>
          <w:sz w:val="26"/>
          <w:szCs w:val="26"/>
          <w:u w:val="single"/>
        </w:rPr>
        <w:t>confirma</w:t>
      </w:r>
      <w:r>
        <w:rPr>
          <w:rFonts w:ascii="Arial" w:eastAsia="Calibri" w:hAnsi="Arial" w:cs="Arial"/>
          <w:b/>
          <w:sz w:val="26"/>
          <w:szCs w:val="26"/>
          <w:u w:val="single"/>
        </w:rPr>
        <w:t xml:space="preserve"> </w:t>
      </w:r>
      <w:r w:rsidRPr="00077661">
        <w:rPr>
          <w:rFonts w:ascii="Arial" w:eastAsia="Calibri" w:hAnsi="Arial" w:cs="Arial"/>
          <w:sz w:val="26"/>
          <w:szCs w:val="26"/>
        </w:rPr>
        <w:t>el acuerdo recurrido,</w:t>
      </w:r>
      <w:r>
        <w:rPr>
          <w:rFonts w:ascii="Arial" w:eastAsia="Calibri" w:hAnsi="Arial" w:cs="Arial"/>
          <w:sz w:val="26"/>
          <w:szCs w:val="26"/>
        </w:rPr>
        <w:t xml:space="preserve"> r</w:t>
      </w:r>
      <w:r w:rsidRPr="00077661">
        <w:rPr>
          <w:rFonts w:ascii="Arial" w:eastAsia="Calibri" w:hAnsi="Arial" w:cs="Arial"/>
          <w:sz w:val="26"/>
          <w:szCs w:val="26"/>
        </w:rPr>
        <w:t>especto a</w:t>
      </w:r>
      <w:r w:rsidRPr="00D82C07">
        <w:rPr>
          <w:rFonts w:ascii="Arial" w:eastAsia="Calibri" w:hAnsi="Arial" w:cs="Arial"/>
          <w:sz w:val="26"/>
          <w:szCs w:val="26"/>
        </w:rPr>
        <w:t xml:space="preserve"> </w:t>
      </w:r>
      <w:r>
        <w:rPr>
          <w:rFonts w:ascii="Arial" w:eastAsia="Calibri" w:hAnsi="Arial" w:cs="Arial"/>
          <w:sz w:val="26"/>
          <w:szCs w:val="26"/>
        </w:rPr>
        <w:t xml:space="preserve">la improcedencia de la demanda de nulidad presentada por </w:t>
      </w:r>
      <w:r w:rsidR="00836089">
        <w:rPr>
          <w:rFonts w:ascii="Arial" w:hAnsi="Arial" w:cs="Arial"/>
          <w:b/>
          <w:bCs/>
          <w:sz w:val="26"/>
          <w:szCs w:val="26"/>
        </w:rPr>
        <w:t>**********</w:t>
      </w:r>
      <w:r>
        <w:rPr>
          <w:rFonts w:ascii="Arial" w:eastAsia="Calibri" w:hAnsi="Arial" w:cs="Arial"/>
          <w:sz w:val="26"/>
          <w:szCs w:val="26"/>
        </w:rPr>
        <w:t>; por lo que</w:t>
      </w:r>
      <w:r w:rsidRPr="00D82C07">
        <w:rPr>
          <w:rFonts w:ascii="Arial" w:eastAsia="Calibri" w:hAnsi="Arial" w:cs="Arial"/>
          <w:sz w:val="26"/>
          <w:szCs w:val="26"/>
        </w:rPr>
        <w:t>, con fundamento en los artículos 2</w:t>
      </w:r>
      <w:r>
        <w:rPr>
          <w:rFonts w:ascii="Arial" w:eastAsia="Calibri" w:hAnsi="Arial" w:cs="Arial"/>
          <w:sz w:val="26"/>
          <w:szCs w:val="26"/>
        </w:rPr>
        <w:t>3</w:t>
      </w:r>
      <w:r w:rsidRPr="00D82C07">
        <w:rPr>
          <w:rFonts w:ascii="Arial" w:eastAsia="Calibri" w:hAnsi="Arial" w:cs="Arial"/>
          <w:sz w:val="26"/>
          <w:szCs w:val="26"/>
        </w:rPr>
        <w:t>7 y 2</w:t>
      </w:r>
      <w:r>
        <w:rPr>
          <w:rFonts w:ascii="Arial" w:eastAsia="Calibri" w:hAnsi="Arial" w:cs="Arial"/>
          <w:sz w:val="26"/>
          <w:szCs w:val="26"/>
        </w:rPr>
        <w:t>3</w:t>
      </w:r>
      <w:r w:rsidRPr="00D82C07">
        <w:rPr>
          <w:rFonts w:ascii="Arial" w:eastAsia="Calibri" w:hAnsi="Arial" w:cs="Arial"/>
          <w:sz w:val="26"/>
          <w:szCs w:val="26"/>
        </w:rPr>
        <w:t xml:space="preserve">8 de la Ley </w:t>
      </w:r>
      <w:r w:rsidR="00C4418B" w:rsidRPr="00D82C07">
        <w:rPr>
          <w:rFonts w:ascii="Arial" w:eastAsia="Calibri" w:hAnsi="Arial" w:cs="Arial"/>
          <w:sz w:val="26"/>
          <w:szCs w:val="26"/>
        </w:rPr>
        <w:t xml:space="preserve">de </w:t>
      </w:r>
      <w:r w:rsidR="00C4418B">
        <w:rPr>
          <w:rFonts w:ascii="Arial" w:eastAsia="Calibri" w:hAnsi="Arial" w:cs="Arial"/>
          <w:sz w:val="26"/>
          <w:szCs w:val="26"/>
        </w:rPr>
        <w:t>Procedimiento</w:t>
      </w:r>
      <w:r>
        <w:rPr>
          <w:rFonts w:ascii="Arial" w:eastAsia="Calibri" w:hAnsi="Arial" w:cs="Arial"/>
          <w:sz w:val="26"/>
          <w:szCs w:val="26"/>
        </w:rPr>
        <w:t xml:space="preserve"> y </w:t>
      </w:r>
      <w:r w:rsidRPr="00D82C07">
        <w:rPr>
          <w:rFonts w:ascii="Arial" w:eastAsia="Calibri" w:hAnsi="Arial" w:cs="Arial"/>
          <w:sz w:val="26"/>
          <w:szCs w:val="26"/>
        </w:rPr>
        <w:t>Justicia Administrativa para el Estado,</w:t>
      </w:r>
      <w:r>
        <w:rPr>
          <w:rFonts w:ascii="Arial" w:eastAsia="Calibri" w:hAnsi="Arial" w:cs="Arial"/>
          <w:sz w:val="26"/>
          <w:szCs w:val="26"/>
        </w:rPr>
        <w:t xml:space="preserve"> vigente hasta el veinte de octubre de dos mil diecisiete,</w:t>
      </w:r>
      <w:r w:rsidRPr="00D82C07">
        <w:rPr>
          <w:rFonts w:ascii="Arial" w:eastAsia="Calibri" w:hAnsi="Arial" w:cs="Arial"/>
          <w:sz w:val="26"/>
          <w:szCs w:val="26"/>
        </w:rPr>
        <w:t xml:space="preserve"> se:</w:t>
      </w:r>
    </w:p>
    <w:p w14:paraId="19E2C15C" w14:textId="77777777" w:rsidR="00397FC3" w:rsidRDefault="00397FC3" w:rsidP="00397FC3">
      <w:pPr>
        <w:spacing w:after="120" w:line="360" w:lineRule="auto"/>
        <w:jc w:val="center"/>
        <w:rPr>
          <w:rFonts w:ascii="Arial" w:eastAsia="Calibri" w:hAnsi="Arial" w:cs="Arial"/>
          <w:sz w:val="26"/>
          <w:szCs w:val="26"/>
        </w:rPr>
      </w:pPr>
      <w:r w:rsidRPr="00D82C07">
        <w:rPr>
          <w:rFonts w:ascii="Arial" w:eastAsia="Calibri" w:hAnsi="Arial" w:cs="Arial"/>
          <w:b/>
          <w:sz w:val="26"/>
          <w:szCs w:val="26"/>
        </w:rPr>
        <w:t>R E S U E L V E</w:t>
      </w:r>
      <w:r>
        <w:rPr>
          <w:rFonts w:ascii="Arial" w:eastAsia="Calibri" w:hAnsi="Arial" w:cs="Arial"/>
          <w:b/>
          <w:sz w:val="26"/>
          <w:szCs w:val="26"/>
        </w:rPr>
        <w:t>:</w:t>
      </w:r>
    </w:p>
    <w:p w14:paraId="2B20A6B6" w14:textId="77777777" w:rsidR="00397FC3" w:rsidRDefault="00397FC3" w:rsidP="00397FC3">
      <w:pPr>
        <w:spacing w:after="120" w:line="360" w:lineRule="auto"/>
        <w:jc w:val="both"/>
        <w:rPr>
          <w:rFonts w:ascii="Arial" w:eastAsia="Calibri" w:hAnsi="Arial" w:cs="Arial"/>
          <w:sz w:val="26"/>
          <w:szCs w:val="26"/>
        </w:rPr>
      </w:pPr>
      <w:r>
        <w:rPr>
          <w:rFonts w:ascii="Arial" w:eastAsia="Calibri" w:hAnsi="Arial" w:cs="Arial"/>
          <w:b/>
          <w:sz w:val="26"/>
          <w:szCs w:val="26"/>
        </w:rPr>
        <w:tab/>
      </w:r>
      <w:r w:rsidRPr="00D82C07">
        <w:rPr>
          <w:rFonts w:ascii="Arial" w:eastAsia="Calibri" w:hAnsi="Arial" w:cs="Arial"/>
          <w:b/>
          <w:sz w:val="26"/>
          <w:szCs w:val="26"/>
        </w:rPr>
        <w:t>PRIMERO</w:t>
      </w:r>
      <w:r w:rsidRPr="00D82C07">
        <w:rPr>
          <w:rFonts w:ascii="Arial" w:eastAsia="Calibri" w:hAnsi="Arial" w:cs="Arial"/>
          <w:sz w:val="26"/>
          <w:szCs w:val="26"/>
        </w:rPr>
        <w:t xml:space="preserve">. </w:t>
      </w:r>
      <w:r>
        <w:rPr>
          <w:rFonts w:ascii="Arial" w:eastAsia="Calibri" w:hAnsi="Arial" w:cs="Arial"/>
          <w:sz w:val="26"/>
          <w:szCs w:val="26"/>
        </w:rPr>
        <w:t>Se</w:t>
      </w:r>
      <w:r w:rsidRPr="00D82C07">
        <w:rPr>
          <w:rFonts w:ascii="Arial" w:eastAsia="Calibri" w:hAnsi="Arial" w:cs="Arial"/>
          <w:b/>
          <w:sz w:val="26"/>
          <w:szCs w:val="26"/>
        </w:rPr>
        <w:t xml:space="preserve"> CONFIRMA </w:t>
      </w:r>
      <w:r>
        <w:rPr>
          <w:rFonts w:ascii="Arial" w:eastAsia="Calibri" w:hAnsi="Arial" w:cs="Arial"/>
          <w:sz w:val="26"/>
          <w:szCs w:val="26"/>
        </w:rPr>
        <w:t>el</w:t>
      </w:r>
      <w:r w:rsidRPr="00D82C07">
        <w:rPr>
          <w:rFonts w:ascii="Arial" w:eastAsia="Calibri" w:hAnsi="Arial" w:cs="Arial"/>
          <w:sz w:val="26"/>
          <w:szCs w:val="26"/>
        </w:rPr>
        <w:t xml:space="preserve"> </w:t>
      </w:r>
      <w:r>
        <w:rPr>
          <w:rFonts w:ascii="Arial" w:eastAsia="Calibri" w:hAnsi="Arial" w:cs="Arial"/>
          <w:sz w:val="26"/>
          <w:szCs w:val="26"/>
        </w:rPr>
        <w:t>acuerdo dictado el veinticuatro de septiembre de dos mil diecinueve, por la Magistrada de la Séptima Sala Unitaria de Primera Instancia</w:t>
      </w:r>
      <w:r w:rsidRPr="00D82C07">
        <w:rPr>
          <w:rFonts w:ascii="Arial" w:eastAsia="Calibri" w:hAnsi="Arial" w:cs="Arial"/>
          <w:sz w:val="26"/>
          <w:szCs w:val="26"/>
        </w:rPr>
        <w:t>, por las razones expuestas en el considerando que antecede.</w:t>
      </w:r>
    </w:p>
    <w:p w14:paraId="1EA8681D" w14:textId="77777777" w:rsidR="00397FC3" w:rsidRPr="00397FC3" w:rsidRDefault="00397FC3" w:rsidP="00397FC3">
      <w:pPr>
        <w:spacing w:after="120" w:line="360" w:lineRule="auto"/>
        <w:jc w:val="both"/>
        <w:rPr>
          <w:rFonts w:ascii="Arial" w:hAnsi="Arial" w:cs="Arial"/>
          <w:sz w:val="26"/>
          <w:szCs w:val="26"/>
        </w:rPr>
      </w:pPr>
      <w:r>
        <w:rPr>
          <w:rFonts w:ascii="Arial" w:hAnsi="Arial" w:cs="Arial"/>
          <w:b/>
          <w:sz w:val="26"/>
          <w:szCs w:val="26"/>
        </w:rPr>
        <w:tab/>
      </w:r>
      <w:r w:rsidRPr="00D82C07">
        <w:rPr>
          <w:rFonts w:ascii="Arial" w:hAnsi="Arial" w:cs="Arial"/>
          <w:b/>
          <w:sz w:val="26"/>
          <w:szCs w:val="26"/>
        </w:rPr>
        <w:t>SEGUNDO</w:t>
      </w:r>
      <w:r w:rsidRPr="00D82C07">
        <w:rPr>
          <w:rFonts w:ascii="Arial" w:hAnsi="Arial" w:cs="Arial"/>
          <w:sz w:val="26"/>
          <w:szCs w:val="26"/>
        </w:rPr>
        <w:t>.</w:t>
      </w:r>
      <w:r w:rsidRPr="00D82C07">
        <w:rPr>
          <w:rFonts w:ascii="Arial" w:hAnsi="Arial" w:cs="Arial"/>
          <w:b/>
          <w:sz w:val="26"/>
          <w:szCs w:val="26"/>
        </w:rPr>
        <w:t xml:space="preserve"> NOTIFÍQUESE y CÚMPLASE,</w:t>
      </w:r>
      <w:r w:rsidRPr="00D82C07">
        <w:rPr>
          <w:rFonts w:ascii="Arial" w:hAnsi="Arial" w:cs="Arial"/>
          <w:sz w:val="26"/>
          <w:szCs w:val="26"/>
        </w:rPr>
        <w:t xml:space="preserve"> con copia certificada de la presente resolución, vuelvan las constancias remitidas a la </w:t>
      </w:r>
      <w:r>
        <w:rPr>
          <w:rFonts w:ascii="Arial" w:hAnsi="Arial" w:cs="Arial"/>
          <w:sz w:val="26"/>
          <w:szCs w:val="26"/>
        </w:rPr>
        <w:t>Séptima</w:t>
      </w:r>
      <w:r w:rsidRPr="00D82C07">
        <w:rPr>
          <w:rFonts w:ascii="Arial" w:hAnsi="Arial" w:cs="Arial"/>
          <w:sz w:val="26"/>
          <w:szCs w:val="26"/>
        </w:rPr>
        <w:t xml:space="preserve"> Sala Unitaria de Primera Instancia, y en su oportunidad archívese el cuaderno de revisión como concluido.</w:t>
      </w:r>
    </w:p>
    <w:p w14:paraId="3DAEEBC3" w14:textId="77777777" w:rsidR="00710B03" w:rsidRPr="00873285" w:rsidRDefault="00710B03" w:rsidP="00710B03">
      <w:pPr>
        <w:spacing w:before="240" w:line="360" w:lineRule="auto"/>
        <w:ind w:firstLine="708"/>
        <w:jc w:val="both"/>
        <w:rPr>
          <w:rFonts w:ascii="Arial" w:hAnsi="Arial" w:cs="Arial"/>
          <w:sz w:val="26"/>
          <w:szCs w:val="26"/>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14:paraId="7A977FC3" w14:textId="77777777" w:rsidR="00710B03" w:rsidRDefault="00710B03" w:rsidP="00710B03">
      <w:pPr>
        <w:pStyle w:val="Sinespaciado"/>
        <w:spacing w:before="240" w:after="120" w:line="360" w:lineRule="auto"/>
        <w:jc w:val="both"/>
        <w:rPr>
          <w:rFonts w:ascii="Arial" w:eastAsia="Calibri" w:hAnsi="Arial" w:cs="Arial"/>
          <w:b/>
          <w:bCs/>
          <w:sz w:val="26"/>
          <w:szCs w:val="26"/>
        </w:rPr>
      </w:pPr>
    </w:p>
    <w:p w14:paraId="210D5992" w14:textId="77777777" w:rsidR="00710B03" w:rsidRDefault="00710B03" w:rsidP="00710B03">
      <w:pPr>
        <w:pStyle w:val="Sinespaciado"/>
        <w:spacing w:before="240" w:after="120" w:line="360" w:lineRule="auto"/>
        <w:jc w:val="both"/>
        <w:rPr>
          <w:rFonts w:ascii="Arial" w:eastAsia="Calibri" w:hAnsi="Arial" w:cs="Arial"/>
          <w:b/>
          <w:bCs/>
          <w:sz w:val="26"/>
          <w:szCs w:val="26"/>
        </w:rPr>
      </w:pPr>
    </w:p>
    <w:p w14:paraId="18320817" w14:textId="77777777" w:rsidR="00710B03" w:rsidRDefault="00710B03" w:rsidP="00710B03">
      <w:pPr>
        <w:spacing w:after="0" w:line="240" w:lineRule="auto"/>
        <w:jc w:val="center"/>
        <w:rPr>
          <w:rFonts w:ascii="Arial" w:eastAsia="Calibri" w:hAnsi="Arial" w:cs="Arial"/>
          <w:sz w:val="26"/>
          <w:szCs w:val="26"/>
        </w:rPr>
      </w:pPr>
    </w:p>
    <w:p w14:paraId="526D09DC" w14:textId="77777777" w:rsidR="00710B03" w:rsidRDefault="00710B03" w:rsidP="00710B03">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14:paraId="3C201CE8" w14:textId="77777777" w:rsidR="00710B03" w:rsidRDefault="00710B03" w:rsidP="00710B03">
      <w:pPr>
        <w:spacing w:after="0" w:line="240" w:lineRule="auto"/>
        <w:jc w:val="center"/>
        <w:rPr>
          <w:rFonts w:ascii="Arial" w:eastAsia="Calibri" w:hAnsi="Arial" w:cs="Arial"/>
          <w:sz w:val="26"/>
          <w:szCs w:val="26"/>
        </w:rPr>
      </w:pPr>
      <w:r>
        <w:rPr>
          <w:rFonts w:ascii="Arial" w:eastAsia="Calibri" w:hAnsi="Arial" w:cs="Arial"/>
          <w:sz w:val="26"/>
          <w:szCs w:val="26"/>
        </w:rPr>
        <w:t>PRESIDENTA</w:t>
      </w:r>
    </w:p>
    <w:p w14:paraId="3701BDE8" w14:textId="77777777" w:rsidR="00710B03" w:rsidRDefault="00710B03" w:rsidP="00710B03">
      <w:pPr>
        <w:spacing w:line="360" w:lineRule="auto"/>
        <w:rPr>
          <w:rFonts w:ascii="Arial" w:eastAsia="Calibri" w:hAnsi="Arial" w:cs="Arial"/>
          <w:sz w:val="26"/>
          <w:szCs w:val="26"/>
        </w:rPr>
      </w:pPr>
    </w:p>
    <w:p w14:paraId="58DF4E03" w14:textId="77777777" w:rsidR="00710B03" w:rsidRDefault="00710B03" w:rsidP="00710B03">
      <w:pPr>
        <w:spacing w:line="360" w:lineRule="auto"/>
        <w:rPr>
          <w:rFonts w:ascii="Arial" w:eastAsia="Calibri" w:hAnsi="Arial" w:cs="Arial"/>
          <w:sz w:val="26"/>
          <w:szCs w:val="26"/>
        </w:rPr>
      </w:pPr>
    </w:p>
    <w:p w14:paraId="09C0B60A" w14:textId="77777777" w:rsidR="00710B03" w:rsidRDefault="00710B03" w:rsidP="00710B03">
      <w:pPr>
        <w:spacing w:line="360" w:lineRule="auto"/>
        <w:rPr>
          <w:rFonts w:ascii="Arial" w:eastAsia="Calibri" w:hAnsi="Arial" w:cs="Arial"/>
          <w:sz w:val="26"/>
          <w:szCs w:val="26"/>
        </w:rPr>
      </w:pPr>
    </w:p>
    <w:p w14:paraId="41145528" w14:textId="77777777" w:rsidR="00710B03" w:rsidRDefault="00710B03" w:rsidP="00710B03">
      <w:pPr>
        <w:spacing w:line="360" w:lineRule="auto"/>
        <w:jc w:val="center"/>
        <w:rPr>
          <w:rFonts w:ascii="Arial" w:eastAsia="Calibri" w:hAnsi="Arial" w:cs="Arial"/>
          <w:sz w:val="26"/>
          <w:szCs w:val="26"/>
        </w:rPr>
      </w:pPr>
      <w:r>
        <w:rPr>
          <w:rFonts w:ascii="Arial" w:eastAsia="Calibri" w:hAnsi="Arial" w:cs="Arial"/>
          <w:sz w:val="26"/>
          <w:szCs w:val="26"/>
          <w:lang w:val="es-MX"/>
        </w:rPr>
        <w:t>MAGISTRADO MANUEL VELASCO ALCÁNTARA</w:t>
      </w:r>
    </w:p>
    <w:p w14:paraId="4413A9DC" w14:textId="77777777" w:rsidR="00710B03" w:rsidRDefault="00710B03" w:rsidP="00710B03">
      <w:pPr>
        <w:spacing w:line="360" w:lineRule="auto"/>
        <w:jc w:val="center"/>
        <w:rPr>
          <w:rFonts w:ascii="Arial" w:eastAsia="Calibri" w:hAnsi="Arial" w:cs="Arial"/>
          <w:sz w:val="26"/>
          <w:szCs w:val="26"/>
        </w:rPr>
      </w:pPr>
    </w:p>
    <w:p w14:paraId="41683DF4" w14:textId="77777777" w:rsidR="00710B03" w:rsidRDefault="00710B03" w:rsidP="00710B03">
      <w:pPr>
        <w:spacing w:line="360" w:lineRule="auto"/>
        <w:jc w:val="center"/>
        <w:rPr>
          <w:rFonts w:ascii="Arial" w:eastAsia="Calibri" w:hAnsi="Arial" w:cs="Arial"/>
          <w:sz w:val="26"/>
          <w:szCs w:val="26"/>
        </w:rPr>
      </w:pPr>
    </w:p>
    <w:p w14:paraId="571D9C18" w14:textId="77777777" w:rsidR="00710B03" w:rsidRDefault="00710B03" w:rsidP="00710B03">
      <w:pPr>
        <w:spacing w:line="360" w:lineRule="auto"/>
        <w:jc w:val="center"/>
        <w:rPr>
          <w:rFonts w:ascii="Arial" w:eastAsia="Calibri" w:hAnsi="Arial" w:cs="Arial"/>
          <w:sz w:val="26"/>
          <w:szCs w:val="26"/>
        </w:rPr>
      </w:pPr>
    </w:p>
    <w:p w14:paraId="25FA387C" w14:textId="77777777" w:rsidR="00710B03" w:rsidRDefault="00710B03" w:rsidP="00710B03">
      <w:pPr>
        <w:spacing w:line="360" w:lineRule="auto"/>
        <w:jc w:val="center"/>
        <w:rPr>
          <w:rFonts w:ascii="Arial" w:eastAsia="Calibri" w:hAnsi="Arial" w:cs="Arial"/>
          <w:sz w:val="26"/>
          <w:szCs w:val="26"/>
        </w:rPr>
      </w:pPr>
      <w:r>
        <w:rPr>
          <w:rFonts w:ascii="Arial" w:eastAsia="Calibri" w:hAnsi="Arial" w:cs="Arial"/>
          <w:sz w:val="26"/>
          <w:szCs w:val="26"/>
        </w:rPr>
        <w:t>MAGISTRADO RAÚL PALOMARES PALOMINO.</w:t>
      </w:r>
    </w:p>
    <w:p w14:paraId="0B55B8E1" w14:textId="77777777" w:rsidR="00710B03" w:rsidRDefault="00710B03" w:rsidP="00710B03">
      <w:pPr>
        <w:jc w:val="center"/>
        <w:rPr>
          <w:rFonts w:ascii="Arial" w:eastAsia="Calibri" w:hAnsi="Arial" w:cs="Arial"/>
          <w:sz w:val="26"/>
          <w:szCs w:val="26"/>
        </w:rPr>
      </w:pPr>
    </w:p>
    <w:p w14:paraId="72A23C51" w14:textId="77777777" w:rsidR="00710B03" w:rsidRDefault="00710B03" w:rsidP="00710B03">
      <w:pPr>
        <w:jc w:val="center"/>
        <w:rPr>
          <w:rFonts w:ascii="Arial" w:eastAsia="Calibri" w:hAnsi="Arial" w:cs="Arial"/>
          <w:sz w:val="26"/>
          <w:szCs w:val="26"/>
        </w:rPr>
      </w:pPr>
    </w:p>
    <w:p w14:paraId="54F0F28D" w14:textId="77777777" w:rsidR="00710B03" w:rsidRDefault="00710B03" w:rsidP="00710B03">
      <w:pPr>
        <w:spacing w:after="0" w:line="240" w:lineRule="auto"/>
        <w:jc w:val="center"/>
        <w:rPr>
          <w:rFonts w:ascii="Arial" w:eastAsia="Calibri" w:hAnsi="Arial" w:cs="Arial"/>
          <w:sz w:val="26"/>
          <w:szCs w:val="26"/>
        </w:rPr>
      </w:pPr>
    </w:p>
    <w:p w14:paraId="3A95E044" w14:textId="77777777" w:rsidR="00710B03" w:rsidRDefault="00710B03" w:rsidP="00710B03">
      <w:pPr>
        <w:spacing w:after="0" w:line="240" w:lineRule="auto"/>
        <w:jc w:val="center"/>
        <w:rPr>
          <w:rFonts w:ascii="Arial" w:eastAsia="Calibri" w:hAnsi="Arial" w:cs="Arial"/>
          <w:sz w:val="26"/>
          <w:szCs w:val="26"/>
        </w:rPr>
      </w:pPr>
    </w:p>
    <w:p w14:paraId="22C970C3" w14:textId="77777777" w:rsidR="00710B03" w:rsidRDefault="00710B03" w:rsidP="00710B03">
      <w:pPr>
        <w:spacing w:after="0" w:line="240" w:lineRule="auto"/>
        <w:jc w:val="center"/>
        <w:rPr>
          <w:rFonts w:ascii="Arial" w:eastAsia="Calibri" w:hAnsi="Arial" w:cs="Arial"/>
          <w:sz w:val="26"/>
          <w:szCs w:val="26"/>
        </w:rPr>
      </w:pPr>
    </w:p>
    <w:p w14:paraId="24F7BD70" w14:textId="77777777" w:rsidR="00710B03" w:rsidRDefault="00710B03" w:rsidP="00710B03">
      <w:pPr>
        <w:tabs>
          <w:tab w:val="center" w:pos="4135"/>
          <w:tab w:val="left" w:pos="7515"/>
        </w:tabs>
        <w:spacing w:line="360" w:lineRule="auto"/>
        <w:jc w:val="center"/>
        <w:rPr>
          <w:rFonts w:ascii="Arial" w:hAnsi="Arial" w:cs="Arial"/>
          <w:sz w:val="14"/>
          <w:szCs w:val="26"/>
          <w:lang w:val="es-MX"/>
        </w:rPr>
      </w:pPr>
      <w:r>
        <w:rPr>
          <w:rFonts w:ascii="Arial" w:hAnsi="Arial" w:cs="Arial"/>
          <w:sz w:val="26"/>
          <w:szCs w:val="26"/>
        </w:rPr>
        <w:t>MAGISTRADO ABRAHAM SANTIAGO SORIANO</w:t>
      </w:r>
    </w:p>
    <w:p w14:paraId="4F2B27EF" w14:textId="77777777" w:rsidR="00710B03" w:rsidRDefault="00710B03" w:rsidP="00710B03">
      <w:pPr>
        <w:spacing w:after="0" w:line="240" w:lineRule="auto"/>
        <w:jc w:val="center"/>
        <w:rPr>
          <w:rFonts w:ascii="Arial" w:eastAsia="Calibri" w:hAnsi="Arial" w:cs="Arial"/>
          <w:sz w:val="26"/>
          <w:szCs w:val="26"/>
        </w:rPr>
      </w:pPr>
    </w:p>
    <w:p w14:paraId="45A7E925" w14:textId="77777777" w:rsidR="00710B03" w:rsidRDefault="00710B03" w:rsidP="00710B03">
      <w:pPr>
        <w:rPr>
          <w:rFonts w:ascii="Arial" w:eastAsia="Calibri" w:hAnsi="Arial" w:cs="Arial"/>
          <w:sz w:val="26"/>
          <w:szCs w:val="26"/>
        </w:rPr>
      </w:pPr>
    </w:p>
    <w:p w14:paraId="55A80ACE" w14:textId="77777777" w:rsidR="00710B03" w:rsidRDefault="00710B03" w:rsidP="00710B03">
      <w:pPr>
        <w:jc w:val="center"/>
        <w:rPr>
          <w:rFonts w:ascii="Arial" w:eastAsia="Calibri" w:hAnsi="Arial" w:cs="Arial"/>
          <w:sz w:val="26"/>
          <w:szCs w:val="26"/>
        </w:rPr>
      </w:pPr>
    </w:p>
    <w:p w14:paraId="2AB35CED" w14:textId="77777777" w:rsidR="00710B03" w:rsidRDefault="00710B03" w:rsidP="00710B03">
      <w:pPr>
        <w:jc w:val="center"/>
        <w:rPr>
          <w:rFonts w:ascii="Arial" w:eastAsia="Calibri" w:hAnsi="Arial" w:cs="Arial"/>
          <w:sz w:val="26"/>
          <w:szCs w:val="26"/>
        </w:rPr>
      </w:pPr>
      <w:r>
        <w:rPr>
          <w:rFonts w:ascii="Arial" w:eastAsia="Calibri" w:hAnsi="Arial" w:cs="Arial"/>
          <w:sz w:val="26"/>
          <w:szCs w:val="26"/>
        </w:rPr>
        <w:t>MAGISTRADO ADRIÁN QUIROGA AVENDAÑO</w:t>
      </w:r>
    </w:p>
    <w:p w14:paraId="3E00ACA4" w14:textId="77777777" w:rsidR="00710B03" w:rsidRDefault="00710B03" w:rsidP="00710B03">
      <w:pPr>
        <w:spacing w:line="360" w:lineRule="auto"/>
        <w:rPr>
          <w:rFonts w:ascii="Arial" w:eastAsia="Calibri" w:hAnsi="Arial" w:cs="Arial"/>
          <w:sz w:val="26"/>
          <w:szCs w:val="26"/>
        </w:rPr>
      </w:pPr>
    </w:p>
    <w:p w14:paraId="3AEBE06D" w14:textId="77777777" w:rsidR="00710B03" w:rsidRDefault="00710B03" w:rsidP="00710B03">
      <w:pPr>
        <w:spacing w:line="360" w:lineRule="auto"/>
        <w:jc w:val="center"/>
        <w:rPr>
          <w:rFonts w:ascii="Arial" w:eastAsia="Calibri" w:hAnsi="Arial" w:cs="Arial"/>
          <w:sz w:val="26"/>
          <w:szCs w:val="26"/>
        </w:rPr>
      </w:pPr>
    </w:p>
    <w:p w14:paraId="060D8F11" w14:textId="77777777" w:rsidR="00710B03" w:rsidRDefault="00710B03" w:rsidP="00710B03">
      <w:pPr>
        <w:spacing w:after="0" w:line="240" w:lineRule="auto"/>
        <w:jc w:val="center"/>
        <w:rPr>
          <w:rFonts w:ascii="Arial" w:eastAsia="Calibri" w:hAnsi="Arial" w:cs="Arial"/>
          <w:sz w:val="26"/>
          <w:szCs w:val="26"/>
        </w:rPr>
      </w:pPr>
      <w:r>
        <w:rPr>
          <w:rFonts w:ascii="Arial" w:eastAsia="Calibri" w:hAnsi="Arial" w:cs="Arial"/>
          <w:sz w:val="26"/>
          <w:szCs w:val="26"/>
        </w:rPr>
        <w:t>LICENCIADA FELICITAS DIAZ VÁZQUEZ</w:t>
      </w:r>
    </w:p>
    <w:p w14:paraId="7160B14F" w14:textId="681BDD18" w:rsidR="00C22D4A" w:rsidRPr="00C4418B" w:rsidRDefault="00710B03" w:rsidP="00C4418B">
      <w:pPr>
        <w:spacing w:line="360" w:lineRule="auto"/>
        <w:jc w:val="center"/>
        <w:rPr>
          <w:rFonts w:ascii="Arial" w:eastAsia="Calibri" w:hAnsi="Arial" w:cs="Arial"/>
          <w:sz w:val="28"/>
          <w:szCs w:val="28"/>
        </w:rPr>
      </w:pPr>
      <w:r>
        <w:rPr>
          <w:rFonts w:ascii="Arial" w:eastAsia="Calibri" w:hAnsi="Arial" w:cs="Arial"/>
          <w:sz w:val="26"/>
          <w:szCs w:val="26"/>
        </w:rPr>
        <w:t>SECRETARIA GENERAL DE ACUERDO</w:t>
      </w:r>
    </w:p>
    <w:sectPr w:rsidR="00C22D4A" w:rsidRPr="00C4418B" w:rsidSect="00A01965">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BDA4A6" w14:textId="77777777" w:rsidR="0028713B" w:rsidRDefault="0028713B">
      <w:pPr>
        <w:spacing w:after="0" w:line="240" w:lineRule="auto"/>
      </w:pPr>
      <w:r>
        <w:separator/>
      </w:r>
    </w:p>
  </w:endnote>
  <w:endnote w:type="continuationSeparator" w:id="0">
    <w:p w14:paraId="5555EE63" w14:textId="77777777" w:rsidR="0028713B" w:rsidRDefault="00287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1F7BB6" w14:textId="77777777" w:rsidR="0028713B" w:rsidRDefault="0028713B">
      <w:pPr>
        <w:spacing w:after="0" w:line="240" w:lineRule="auto"/>
      </w:pPr>
      <w:r>
        <w:separator/>
      </w:r>
    </w:p>
  </w:footnote>
  <w:footnote w:type="continuationSeparator" w:id="0">
    <w:p w14:paraId="4C5B64E2" w14:textId="77777777" w:rsidR="0028713B" w:rsidRDefault="002871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5A2D24B9" w14:textId="77777777" w:rsidR="00E61AB6" w:rsidRDefault="00E61AB6" w:rsidP="00D25099">
        <w:pPr>
          <w:pStyle w:val="Encabezado"/>
          <w:jc w:val="center"/>
        </w:pPr>
        <w:r>
          <w:fldChar w:fldCharType="begin"/>
        </w:r>
        <w:r>
          <w:instrText>PAGE   \* MERGEFORMAT</w:instrText>
        </w:r>
        <w:r>
          <w:fldChar w:fldCharType="separate"/>
        </w:r>
        <w:r w:rsidR="00C54E50">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7C21C356" w14:textId="77777777" w:rsidR="00E61AB6" w:rsidRDefault="00E61AB6" w:rsidP="00206B99">
        <w:pPr>
          <w:pStyle w:val="Encabezado"/>
          <w:jc w:val="center"/>
          <w:rPr>
            <w:noProof/>
          </w:rPr>
        </w:pPr>
        <w:r>
          <w:fldChar w:fldCharType="begin"/>
        </w:r>
        <w:r>
          <w:instrText xml:space="preserve"> PAGE   \* MERGEFORMAT </w:instrText>
        </w:r>
        <w:r>
          <w:fldChar w:fldCharType="separate"/>
        </w:r>
        <w:r w:rsidR="00C54E50">
          <w:rPr>
            <w:noProof/>
          </w:rPr>
          <w:t>9</w:t>
        </w:r>
        <w:r>
          <w:rPr>
            <w:noProof/>
          </w:rPr>
          <w:fldChar w:fldCharType="end"/>
        </w:r>
      </w:p>
      <w:p w14:paraId="364FC47C" w14:textId="77777777" w:rsidR="00E61AB6" w:rsidRDefault="0028713B" w:rsidP="008C74CA">
        <w:pPr>
          <w:pStyle w:val="Encabezado"/>
          <w:jc w:val="center"/>
        </w:pPr>
      </w:p>
    </w:sdtContent>
  </w:sdt>
  <w:p w14:paraId="2D31A7D5" w14:textId="77777777" w:rsidR="00E61AB6" w:rsidRDefault="00E61AB6" w:rsidP="00256B01">
    <w:pPr>
      <w:pStyle w:val="Encabezado"/>
      <w:jc w:val="center"/>
    </w:pPr>
  </w:p>
  <w:p w14:paraId="65006799" w14:textId="77777777" w:rsidR="00E61AB6" w:rsidRDefault="00E61AB6" w:rsidP="00256B01">
    <w:pPr>
      <w:pStyle w:val="Encabezado"/>
      <w:jc w:val="center"/>
    </w:pPr>
    <w:r>
      <w:rPr>
        <w:noProof/>
        <w:lang w:val="es-MX" w:eastAsia="es-MX"/>
      </w:rPr>
      <w:drawing>
        <wp:anchor distT="0" distB="0" distL="114300" distR="114300" simplePos="0" relativeHeight="251661312" behindDoc="1" locked="0" layoutInCell="1" allowOverlap="1" wp14:anchorId="49BB2560" wp14:editId="2B95B4FC">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294CEA9C" wp14:editId="06D12BF5">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AED784E"/>
    <w:multiLevelType w:val="hybridMultilevel"/>
    <w:tmpl w:val="E0302C5E"/>
    <w:lvl w:ilvl="0" w:tplc="3A46FBF0">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F2B3FA2"/>
    <w:multiLevelType w:val="hybridMultilevel"/>
    <w:tmpl w:val="5A700EB4"/>
    <w:lvl w:ilvl="0" w:tplc="D0585FD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777D70"/>
    <w:multiLevelType w:val="hybridMultilevel"/>
    <w:tmpl w:val="FB54585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DF11478"/>
    <w:multiLevelType w:val="hybridMultilevel"/>
    <w:tmpl w:val="EEBC4A1E"/>
    <w:lvl w:ilvl="0" w:tplc="62B086C6">
      <w:start w:val="1"/>
      <w:numFmt w:val="lowerLetter"/>
      <w:lvlText w:val="%1)"/>
      <w:lvlJc w:val="left"/>
      <w:pPr>
        <w:ind w:left="2484" w:hanging="360"/>
      </w:pPr>
      <w:rPr>
        <w:rFonts w:hint="default"/>
      </w:rPr>
    </w:lvl>
    <w:lvl w:ilvl="1" w:tplc="080A0019" w:tentative="1">
      <w:start w:val="1"/>
      <w:numFmt w:val="lowerLetter"/>
      <w:lvlText w:val="%2."/>
      <w:lvlJc w:val="left"/>
      <w:pPr>
        <w:ind w:left="3204" w:hanging="360"/>
      </w:pPr>
    </w:lvl>
    <w:lvl w:ilvl="2" w:tplc="080A001B" w:tentative="1">
      <w:start w:val="1"/>
      <w:numFmt w:val="lowerRoman"/>
      <w:lvlText w:val="%3."/>
      <w:lvlJc w:val="right"/>
      <w:pPr>
        <w:ind w:left="3924" w:hanging="180"/>
      </w:pPr>
    </w:lvl>
    <w:lvl w:ilvl="3" w:tplc="080A000F" w:tentative="1">
      <w:start w:val="1"/>
      <w:numFmt w:val="decimal"/>
      <w:lvlText w:val="%4."/>
      <w:lvlJc w:val="left"/>
      <w:pPr>
        <w:ind w:left="4644" w:hanging="360"/>
      </w:pPr>
    </w:lvl>
    <w:lvl w:ilvl="4" w:tplc="080A0019" w:tentative="1">
      <w:start w:val="1"/>
      <w:numFmt w:val="lowerLetter"/>
      <w:lvlText w:val="%5."/>
      <w:lvlJc w:val="left"/>
      <w:pPr>
        <w:ind w:left="5364" w:hanging="360"/>
      </w:pPr>
    </w:lvl>
    <w:lvl w:ilvl="5" w:tplc="080A001B" w:tentative="1">
      <w:start w:val="1"/>
      <w:numFmt w:val="lowerRoman"/>
      <w:lvlText w:val="%6."/>
      <w:lvlJc w:val="right"/>
      <w:pPr>
        <w:ind w:left="6084" w:hanging="180"/>
      </w:pPr>
    </w:lvl>
    <w:lvl w:ilvl="6" w:tplc="080A000F" w:tentative="1">
      <w:start w:val="1"/>
      <w:numFmt w:val="decimal"/>
      <w:lvlText w:val="%7."/>
      <w:lvlJc w:val="left"/>
      <w:pPr>
        <w:ind w:left="6804" w:hanging="360"/>
      </w:pPr>
    </w:lvl>
    <w:lvl w:ilvl="7" w:tplc="080A0019" w:tentative="1">
      <w:start w:val="1"/>
      <w:numFmt w:val="lowerLetter"/>
      <w:lvlText w:val="%8."/>
      <w:lvlJc w:val="left"/>
      <w:pPr>
        <w:ind w:left="7524" w:hanging="360"/>
      </w:pPr>
    </w:lvl>
    <w:lvl w:ilvl="8" w:tplc="080A001B" w:tentative="1">
      <w:start w:val="1"/>
      <w:numFmt w:val="lowerRoman"/>
      <w:lvlText w:val="%9."/>
      <w:lvlJc w:val="right"/>
      <w:pPr>
        <w:ind w:left="8244"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214B24"/>
    <w:multiLevelType w:val="hybridMultilevel"/>
    <w:tmpl w:val="6D2A41E6"/>
    <w:lvl w:ilvl="0" w:tplc="1B04D5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5"/>
  </w:num>
  <w:num w:numId="7">
    <w:abstractNumId w:val="2"/>
  </w:num>
  <w:num w:numId="8">
    <w:abstractNumId w:val="8"/>
  </w:num>
  <w:num w:numId="9">
    <w:abstractNumId w:val="6"/>
  </w:num>
  <w:num w:numId="10">
    <w:abstractNumId w:val="7"/>
  </w:num>
  <w:num w:numId="11">
    <w:abstractNumId w:val="14"/>
  </w:num>
  <w:num w:numId="12">
    <w:abstractNumId w:val="4"/>
  </w:num>
  <w:num w:numId="13">
    <w:abstractNumId w:val="10"/>
  </w:num>
  <w:num w:numId="14">
    <w:abstractNumId w:val="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594"/>
    <w:rsid w:val="000138F0"/>
    <w:rsid w:val="00013E4D"/>
    <w:rsid w:val="000169A3"/>
    <w:rsid w:val="00017C09"/>
    <w:rsid w:val="0002043C"/>
    <w:rsid w:val="00021DF1"/>
    <w:rsid w:val="0002236D"/>
    <w:rsid w:val="00023C0F"/>
    <w:rsid w:val="00026119"/>
    <w:rsid w:val="000265E3"/>
    <w:rsid w:val="00026C11"/>
    <w:rsid w:val="000330FB"/>
    <w:rsid w:val="0003331C"/>
    <w:rsid w:val="00035047"/>
    <w:rsid w:val="00035379"/>
    <w:rsid w:val="00036D01"/>
    <w:rsid w:val="000410A1"/>
    <w:rsid w:val="00041D15"/>
    <w:rsid w:val="0004288B"/>
    <w:rsid w:val="00042B31"/>
    <w:rsid w:val="0004387E"/>
    <w:rsid w:val="000451B6"/>
    <w:rsid w:val="0004575F"/>
    <w:rsid w:val="000458B9"/>
    <w:rsid w:val="00045A11"/>
    <w:rsid w:val="00050B7F"/>
    <w:rsid w:val="00053617"/>
    <w:rsid w:val="00053C13"/>
    <w:rsid w:val="00055CE8"/>
    <w:rsid w:val="0005701D"/>
    <w:rsid w:val="00057174"/>
    <w:rsid w:val="00057817"/>
    <w:rsid w:val="000612E4"/>
    <w:rsid w:val="000616B5"/>
    <w:rsid w:val="00061ABC"/>
    <w:rsid w:val="00061FEE"/>
    <w:rsid w:val="0006757B"/>
    <w:rsid w:val="00070777"/>
    <w:rsid w:val="00070E09"/>
    <w:rsid w:val="00070EF0"/>
    <w:rsid w:val="000737BF"/>
    <w:rsid w:val="0007458B"/>
    <w:rsid w:val="000752E9"/>
    <w:rsid w:val="0007568E"/>
    <w:rsid w:val="00075FE9"/>
    <w:rsid w:val="00076CEA"/>
    <w:rsid w:val="000803AB"/>
    <w:rsid w:val="00081361"/>
    <w:rsid w:val="000822AF"/>
    <w:rsid w:val="00083BEB"/>
    <w:rsid w:val="00085132"/>
    <w:rsid w:val="000856F6"/>
    <w:rsid w:val="00085F69"/>
    <w:rsid w:val="000862F6"/>
    <w:rsid w:val="00090B95"/>
    <w:rsid w:val="00093F83"/>
    <w:rsid w:val="00094546"/>
    <w:rsid w:val="0009618C"/>
    <w:rsid w:val="000961D2"/>
    <w:rsid w:val="000A1494"/>
    <w:rsid w:val="000A4E40"/>
    <w:rsid w:val="000A6360"/>
    <w:rsid w:val="000A6EC7"/>
    <w:rsid w:val="000A71C1"/>
    <w:rsid w:val="000A7BA9"/>
    <w:rsid w:val="000B0E70"/>
    <w:rsid w:val="000B1A06"/>
    <w:rsid w:val="000B2429"/>
    <w:rsid w:val="000B2654"/>
    <w:rsid w:val="000B3B3B"/>
    <w:rsid w:val="000B4122"/>
    <w:rsid w:val="000C1D4F"/>
    <w:rsid w:val="000C1F7C"/>
    <w:rsid w:val="000C313C"/>
    <w:rsid w:val="000C3DBF"/>
    <w:rsid w:val="000C4061"/>
    <w:rsid w:val="000C5F37"/>
    <w:rsid w:val="000D0E1D"/>
    <w:rsid w:val="000D1BD0"/>
    <w:rsid w:val="000D29A1"/>
    <w:rsid w:val="000D2FDE"/>
    <w:rsid w:val="000D3A61"/>
    <w:rsid w:val="000D6784"/>
    <w:rsid w:val="000E12D3"/>
    <w:rsid w:val="000E218B"/>
    <w:rsid w:val="000E2E24"/>
    <w:rsid w:val="000E322A"/>
    <w:rsid w:val="000E661D"/>
    <w:rsid w:val="000E7B02"/>
    <w:rsid w:val="000F018A"/>
    <w:rsid w:val="000F162C"/>
    <w:rsid w:val="000F1C5E"/>
    <w:rsid w:val="000F3FF9"/>
    <w:rsid w:val="000F54B0"/>
    <w:rsid w:val="000F5D12"/>
    <w:rsid w:val="000F62C3"/>
    <w:rsid w:val="000F7CF6"/>
    <w:rsid w:val="000F7D7D"/>
    <w:rsid w:val="00103D64"/>
    <w:rsid w:val="00103FE7"/>
    <w:rsid w:val="00104403"/>
    <w:rsid w:val="001058D3"/>
    <w:rsid w:val="00105DF0"/>
    <w:rsid w:val="0010644A"/>
    <w:rsid w:val="00111465"/>
    <w:rsid w:val="00111B33"/>
    <w:rsid w:val="00111BFC"/>
    <w:rsid w:val="001144A1"/>
    <w:rsid w:val="00114AC5"/>
    <w:rsid w:val="00116579"/>
    <w:rsid w:val="00117924"/>
    <w:rsid w:val="00120740"/>
    <w:rsid w:val="001208F4"/>
    <w:rsid w:val="00121600"/>
    <w:rsid w:val="0012217B"/>
    <w:rsid w:val="00122F5E"/>
    <w:rsid w:val="001249CE"/>
    <w:rsid w:val="00125C8E"/>
    <w:rsid w:val="00126917"/>
    <w:rsid w:val="00126F80"/>
    <w:rsid w:val="00127839"/>
    <w:rsid w:val="00127D14"/>
    <w:rsid w:val="00130500"/>
    <w:rsid w:val="001308D4"/>
    <w:rsid w:val="00131CDF"/>
    <w:rsid w:val="00132794"/>
    <w:rsid w:val="00133C57"/>
    <w:rsid w:val="00133D64"/>
    <w:rsid w:val="00136897"/>
    <w:rsid w:val="0014067A"/>
    <w:rsid w:val="00140B67"/>
    <w:rsid w:val="00141175"/>
    <w:rsid w:val="00142893"/>
    <w:rsid w:val="001438A5"/>
    <w:rsid w:val="001441D3"/>
    <w:rsid w:val="0014459C"/>
    <w:rsid w:val="0014484E"/>
    <w:rsid w:val="0014634E"/>
    <w:rsid w:val="00146509"/>
    <w:rsid w:val="00147A8B"/>
    <w:rsid w:val="00151D48"/>
    <w:rsid w:val="00152A17"/>
    <w:rsid w:val="00152D3F"/>
    <w:rsid w:val="00152EF4"/>
    <w:rsid w:val="0015351E"/>
    <w:rsid w:val="00154584"/>
    <w:rsid w:val="00154C09"/>
    <w:rsid w:val="0015751B"/>
    <w:rsid w:val="00164061"/>
    <w:rsid w:val="0016462A"/>
    <w:rsid w:val="00164BAD"/>
    <w:rsid w:val="00171831"/>
    <w:rsid w:val="00172205"/>
    <w:rsid w:val="00172B29"/>
    <w:rsid w:val="001761CB"/>
    <w:rsid w:val="00177C76"/>
    <w:rsid w:val="00180F55"/>
    <w:rsid w:val="001822E2"/>
    <w:rsid w:val="001827CF"/>
    <w:rsid w:val="001843E8"/>
    <w:rsid w:val="00184B23"/>
    <w:rsid w:val="001858DC"/>
    <w:rsid w:val="00186B0E"/>
    <w:rsid w:val="00190DE9"/>
    <w:rsid w:val="00191A27"/>
    <w:rsid w:val="00192287"/>
    <w:rsid w:val="00194A88"/>
    <w:rsid w:val="00194C5C"/>
    <w:rsid w:val="00195F2D"/>
    <w:rsid w:val="0019600D"/>
    <w:rsid w:val="001A2DD1"/>
    <w:rsid w:val="001A2EEB"/>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254"/>
    <w:rsid w:val="001D0A5A"/>
    <w:rsid w:val="001D2397"/>
    <w:rsid w:val="001D27A6"/>
    <w:rsid w:val="001D3995"/>
    <w:rsid w:val="001D3B81"/>
    <w:rsid w:val="001D4ABD"/>
    <w:rsid w:val="001D68F4"/>
    <w:rsid w:val="001D694C"/>
    <w:rsid w:val="001D730F"/>
    <w:rsid w:val="001D7F75"/>
    <w:rsid w:val="001D7FCD"/>
    <w:rsid w:val="001E1453"/>
    <w:rsid w:val="001E1758"/>
    <w:rsid w:val="001E3B11"/>
    <w:rsid w:val="001E503D"/>
    <w:rsid w:val="001E631B"/>
    <w:rsid w:val="001E680E"/>
    <w:rsid w:val="001E713F"/>
    <w:rsid w:val="001F03C6"/>
    <w:rsid w:val="001F3EC3"/>
    <w:rsid w:val="001F6B9A"/>
    <w:rsid w:val="001F72DF"/>
    <w:rsid w:val="00200843"/>
    <w:rsid w:val="0020247E"/>
    <w:rsid w:val="00202ECA"/>
    <w:rsid w:val="00203FD3"/>
    <w:rsid w:val="00205B4A"/>
    <w:rsid w:val="00206222"/>
    <w:rsid w:val="00206B99"/>
    <w:rsid w:val="002113FA"/>
    <w:rsid w:val="00211AEE"/>
    <w:rsid w:val="00211DEF"/>
    <w:rsid w:val="00212CDB"/>
    <w:rsid w:val="00212D0A"/>
    <w:rsid w:val="002142F8"/>
    <w:rsid w:val="00214B69"/>
    <w:rsid w:val="00216474"/>
    <w:rsid w:val="00216595"/>
    <w:rsid w:val="0021705A"/>
    <w:rsid w:val="00220280"/>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6BA4"/>
    <w:rsid w:val="002378DE"/>
    <w:rsid w:val="00242891"/>
    <w:rsid w:val="00243181"/>
    <w:rsid w:val="0024497C"/>
    <w:rsid w:val="00245BAC"/>
    <w:rsid w:val="00246862"/>
    <w:rsid w:val="00246915"/>
    <w:rsid w:val="00246F70"/>
    <w:rsid w:val="00247875"/>
    <w:rsid w:val="00247D11"/>
    <w:rsid w:val="00254ED2"/>
    <w:rsid w:val="00256B01"/>
    <w:rsid w:val="00256DFE"/>
    <w:rsid w:val="0025722F"/>
    <w:rsid w:val="00261857"/>
    <w:rsid w:val="00262666"/>
    <w:rsid w:val="00263720"/>
    <w:rsid w:val="0026762A"/>
    <w:rsid w:val="00267A88"/>
    <w:rsid w:val="00271A24"/>
    <w:rsid w:val="00271BBE"/>
    <w:rsid w:val="002729E4"/>
    <w:rsid w:val="00273171"/>
    <w:rsid w:val="00274366"/>
    <w:rsid w:val="00275D15"/>
    <w:rsid w:val="002802EC"/>
    <w:rsid w:val="002805AC"/>
    <w:rsid w:val="002811D0"/>
    <w:rsid w:val="0028174E"/>
    <w:rsid w:val="0028299E"/>
    <w:rsid w:val="002836D7"/>
    <w:rsid w:val="00283967"/>
    <w:rsid w:val="00283B3F"/>
    <w:rsid w:val="0028420C"/>
    <w:rsid w:val="002844AF"/>
    <w:rsid w:val="002870CA"/>
    <w:rsid w:val="0028713B"/>
    <w:rsid w:val="002908C0"/>
    <w:rsid w:val="00291333"/>
    <w:rsid w:val="00292316"/>
    <w:rsid w:val="002923BB"/>
    <w:rsid w:val="00292C7D"/>
    <w:rsid w:val="00293A57"/>
    <w:rsid w:val="0029542B"/>
    <w:rsid w:val="00296549"/>
    <w:rsid w:val="00296748"/>
    <w:rsid w:val="00297F23"/>
    <w:rsid w:val="002A0B1C"/>
    <w:rsid w:val="002A28E5"/>
    <w:rsid w:val="002A2985"/>
    <w:rsid w:val="002A4088"/>
    <w:rsid w:val="002A411F"/>
    <w:rsid w:val="002A5510"/>
    <w:rsid w:val="002A63FB"/>
    <w:rsid w:val="002A6EF0"/>
    <w:rsid w:val="002A72DF"/>
    <w:rsid w:val="002A7D29"/>
    <w:rsid w:val="002B2AF4"/>
    <w:rsid w:val="002B3CD7"/>
    <w:rsid w:val="002B5C82"/>
    <w:rsid w:val="002B73F3"/>
    <w:rsid w:val="002B7422"/>
    <w:rsid w:val="002B79C4"/>
    <w:rsid w:val="002C01EA"/>
    <w:rsid w:val="002C0324"/>
    <w:rsid w:val="002C1CEA"/>
    <w:rsid w:val="002C291C"/>
    <w:rsid w:val="002C68FE"/>
    <w:rsid w:val="002C7363"/>
    <w:rsid w:val="002D0ACC"/>
    <w:rsid w:val="002D1979"/>
    <w:rsid w:val="002D2BC6"/>
    <w:rsid w:val="002D3B49"/>
    <w:rsid w:val="002D7BCE"/>
    <w:rsid w:val="002E07CB"/>
    <w:rsid w:val="002E26EB"/>
    <w:rsid w:val="002E30AB"/>
    <w:rsid w:val="002E31CA"/>
    <w:rsid w:val="002E5004"/>
    <w:rsid w:val="002E796C"/>
    <w:rsid w:val="002F19AF"/>
    <w:rsid w:val="002F45B6"/>
    <w:rsid w:val="002F4F72"/>
    <w:rsid w:val="002F69D0"/>
    <w:rsid w:val="002F7173"/>
    <w:rsid w:val="002F7484"/>
    <w:rsid w:val="002F7C56"/>
    <w:rsid w:val="00302511"/>
    <w:rsid w:val="00302C57"/>
    <w:rsid w:val="00303020"/>
    <w:rsid w:val="003032E2"/>
    <w:rsid w:val="00304999"/>
    <w:rsid w:val="003076B0"/>
    <w:rsid w:val="00307E06"/>
    <w:rsid w:val="00310EFD"/>
    <w:rsid w:val="00312470"/>
    <w:rsid w:val="003124A7"/>
    <w:rsid w:val="00315C76"/>
    <w:rsid w:val="0031730E"/>
    <w:rsid w:val="00317BA9"/>
    <w:rsid w:val="00321708"/>
    <w:rsid w:val="00321AAB"/>
    <w:rsid w:val="00321C10"/>
    <w:rsid w:val="003253CA"/>
    <w:rsid w:val="003312FD"/>
    <w:rsid w:val="00331836"/>
    <w:rsid w:val="0033426E"/>
    <w:rsid w:val="0033591A"/>
    <w:rsid w:val="00335EF4"/>
    <w:rsid w:val="00337583"/>
    <w:rsid w:val="0034180B"/>
    <w:rsid w:val="00342CE5"/>
    <w:rsid w:val="00343662"/>
    <w:rsid w:val="00345FEC"/>
    <w:rsid w:val="003462AA"/>
    <w:rsid w:val="003505C2"/>
    <w:rsid w:val="00351298"/>
    <w:rsid w:val="003548E8"/>
    <w:rsid w:val="00355E72"/>
    <w:rsid w:val="00360A0B"/>
    <w:rsid w:val="00362E0E"/>
    <w:rsid w:val="003633B9"/>
    <w:rsid w:val="003646B9"/>
    <w:rsid w:val="003667C2"/>
    <w:rsid w:val="003708D3"/>
    <w:rsid w:val="003731F5"/>
    <w:rsid w:val="00373BA6"/>
    <w:rsid w:val="003749AE"/>
    <w:rsid w:val="00375176"/>
    <w:rsid w:val="003779D8"/>
    <w:rsid w:val="00380BAC"/>
    <w:rsid w:val="003818BD"/>
    <w:rsid w:val="00381DC3"/>
    <w:rsid w:val="00382FD0"/>
    <w:rsid w:val="003873E7"/>
    <w:rsid w:val="00387C97"/>
    <w:rsid w:val="003911F5"/>
    <w:rsid w:val="00391ED4"/>
    <w:rsid w:val="00392CD9"/>
    <w:rsid w:val="00395197"/>
    <w:rsid w:val="00395802"/>
    <w:rsid w:val="003965ED"/>
    <w:rsid w:val="00397FC3"/>
    <w:rsid w:val="003A0ACC"/>
    <w:rsid w:val="003A1F55"/>
    <w:rsid w:val="003A3A38"/>
    <w:rsid w:val="003A6E94"/>
    <w:rsid w:val="003B1512"/>
    <w:rsid w:val="003B1F45"/>
    <w:rsid w:val="003B20F0"/>
    <w:rsid w:val="003B2E9F"/>
    <w:rsid w:val="003B2FF4"/>
    <w:rsid w:val="003B303C"/>
    <w:rsid w:val="003B373B"/>
    <w:rsid w:val="003B4BAF"/>
    <w:rsid w:val="003B4FA7"/>
    <w:rsid w:val="003B68EA"/>
    <w:rsid w:val="003B6C7E"/>
    <w:rsid w:val="003B7C3A"/>
    <w:rsid w:val="003B7C7A"/>
    <w:rsid w:val="003C0AC1"/>
    <w:rsid w:val="003C3C72"/>
    <w:rsid w:val="003C4A93"/>
    <w:rsid w:val="003C63BE"/>
    <w:rsid w:val="003C6F64"/>
    <w:rsid w:val="003C7351"/>
    <w:rsid w:val="003D1C8C"/>
    <w:rsid w:val="003D1EF2"/>
    <w:rsid w:val="003D5E2A"/>
    <w:rsid w:val="003D62DC"/>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B8B"/>
    <w:rsid w:val="003F47AD"/>
    <w:rsid w:val="003F5E8A"/>
    <w:rsid w:val="003F7C34"/>
    <w:rsid w:val="00400164"/>
    <w:rsid w:val="004029F5"/>
    <w:rsid w:val="00403D47"/>
    <w:rsid w:val="0040457E"/>
    <w:rsid w:val="00404D0E"/>
    <w:rsid w:val="00405695"/>
    <w:rsid w:val="00407B2F"/>
    <w:rsid w:val="00411707"/>
    <w:rsid w:val="00412972"/>
    <w:rsid w:val="0041349D"/>
    <w:rsid w:val="004138D3"/>
    <w:rsid w:val="0041760B"/>
    <w:rsid w:val="00417A04"/>
    <w:rsid w:val="00423A9D"/>
    <w:rsid w:val="00424229"/>
    <w:rsid w:val="00425A0A"/>
    <w:rsid w:val="00425E38"/>
    <w:rsid w:val="00427081"/>
    <w:rsid w:val="00427DB7"/>
    <w:rsid w:val="0043026A"/>
    <w:rsid w:val="00433FAD"/>
    <w:rsid w:val="004365BF"/>
    <w:rsid w:val="004374C9"/>
    <w:rsid w:val="004400FB"/>
    <w:rsid w:val="004407BC"/>
    <w:rsid w:val="00441D6B"/>
    <w:rsid w:val="004426E6"/>
    <w:rsid w:val="00444733"/>
    <w:rsid w:val="004503A6"/>
    <w:rsid w:val="00454494"/>
    <w:rsid w:val="00454525"/>
    <w:rsid w:val="004547D3"/>
    <w:rsid w:val="004567C7"/>
    <w:rsid w:val="00457CC7"/>
    <w:rsid w:val="00460696"/>
    <w:rsid w:val="004633DC"/>
    <w:rsid w:val="004715AF"/>
    <w:rsid w:val="00472E19"/>
    <w:rsid w:val="0047436D"/>
    <w:rsid w:val="00474E30"/>
    <w:rsid w:val="0047763B"/>
    <w:rsid w:val="00477B24"/>
    <w:rsid w:val="00485388"/>
    <w:rsid w:val="004870D8"/>
    <w:rsid w:val="00491DA5"/>
    <w:rsid w:val="004961AD"/>
    <w:rsid w:val="00496E71"/>
    <w:rsid w:val="00497E3B"/>
    <w:rsid w:val="004A1C7E"/>
    <w:rsid w:val="004A2326"/>
    <w:rsid w:val="004A319F"/>
    <w:rsid w:val="004A4ECC"/>
    <w:rsid w:val="004A54A3"/>
    <w:rsid w:val="004B0F4C"/>
    <w:rsid w:val="004B2234"/>
    <w:rsid w:val="004B3A33"/>
    <w:rsid w:val="004B3D2E"/>
    <w:rsid w:val="004B483F"/>
    <w:rsid w:val="004B6F87"/>
    <w:rsid w:val="004B748E"/>
    <w:rsid w:val="004B74CE"/>
    <w:rsid w:val="004B7A3D"/>
    <w:rsid w:val="004C10F3"/>
    <w:rsid w:val="004C20AC"/>
    <w:rsid w:val="004C3E13"/>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3DB"/>
    <w:rsid w:val="004E570F"/>
    <w:rsid w:val="004E661E"/>
    <w:rsid w:val="004F03BE"/>
    <w:rsid w:val="004F151E"/>
    <w:rsid w:val="004F1CDA"/>
    <w:rsid w:val="004F3CA8"/>
    <w:rsid w:val="004F3D2D"/>
    <w:rsid w:val="004F4970"/>
    <w:rsid w:val="004F4B8D"/>
    <w:rsid w:val="004F5821"/>
    <w:rsid w:val="004F674E"/>
    <w:rsid w:val="00501DFC"/>
    <w:rsid w:val="00501EAB"/>
    <w:rsid w:val="005043E1"/>
    <w:rsid w:val="00504407"/>
    <w:rsid w:val="005053FA"/>
    <w:rsid w:val="00505B50"/>
    <w:rsid w:val="005068F2"/>
    <w:rsid w:val="00510956"/>
    <w:rsid w:val="00510C9F"/>
    <w:rsid w:val="0051131D"/>
    <w:rsid w:val="005115C3"/>
    <w:rsid w:val="00512FF2"/>
    <w:rsid w:val="0051428C"/>
    <w:rsid w:val="00515E05"/>
    <w:rsid w:val="00516F56"/>
    <w:rsid w:val="00517C59"/>
    <w:rsid w:val="00520000"/>
    <w:rsid w:val="00521C06"/>
    <w:rsid w:val="00524659"/>
    <w:rsid w:val="00526DC4"/>
    <w:rsid w:val="005300DF"/>
    <w:rsid w:val="00531A5A"/>
    <w:rsid w:val="00531A6D"/>
    <w:rsid w:val="00531B0F"/>
    <w:rsid w:val="00531B2A"/>
    <w:rsid w:val="00531DE3"/>
    <w:rsid w:val="0053422E"/>
    <w:rsid w:val="00534C95"/>
    <w:rsid w:val="00535B74"/>
    <w:rsid w:val="00535C19"/>
    <w:rsid w:val="0053715D"/>
    <w:rsid w:val="005410B3"/>
    <w:rsid w:val="00541ACF"/>
    <w:rsid w:val="00541B18"/>
    <w:rsid w:val="00542671"/>
    <w:rsid w:val="00542F3C"/>
    <w:rsid w:val="005443FC"/>
    <w:rsid w:val="00544A76"/>
    <w:rsid w:val="00544EE8"/>
    <w:rsid w:val="00545D35"/>
    <w:rsid w:val="005478F9"/>
    <w:rsid w:val="00551263"/>
    <w:rsid w:val="00551897"/>
    <w:rsid w:val="00553578"/>
    <w:rsid w:val="00557727"/>
    <w:rsid w:val="005609AA"/>
    <w:rsid w:val="00563B9C"/>
    <w:rsid w:val="00565465"/>
    <w:rsid w:val="00567E8E"/>
    <w:rsid w:val="005700D1"/>
    <w:rsid w:val="00570117"/>
    <w:rsid w:val="0057052D"/>
    <w:rsid w:val="005707BD"/>
    <w:rsid w:val="00571B02"/>
    <w:rsid w:val="005720EB"/>
    <w:rsid w:val="005758AC"/>
    <w:rsid w:val="005770F4"/>
    <w:rsid w:val="005776B9"/>
    <w:rsid w:val="00580F64"/>
    <w:rsid w:val="005817AB"/>
    <w:rsid w:val="005856A6"/>
    <w:rsid w:val="005864C3"/>
    <w:rsid w:val="00587EE4"/>
    <w:rsid w:val="005903F7"/>
    <w:rsid w:val="005913ED"/>
    <w:rsid w:val="00593333"/>
    <w:rsid w:val="00594670"/>
    <w:rsid w:val="00595186"/>
    <w:rsid w:val="00597A8F"/>
    <w:rsid w:val="00597C5A"/>
    <w:rsid w:val="005A0A32"/>
    <w:rsid w:val="005A0D5F"/>
    <w:rsid w:val="005A10FA"/>
    <w:rsid w:val="005A1C28"/>
    <w:rsid w:val="005A3800"/>
    <w:rsid w:val="005A415D"/>
    <w:rsid w:val="005A493F"/>
    <w:rsid w:val="005A717E"/>
    <w:rsid w:val="005B1192"/>
    <w:rsid w:val="005B13A7"/>
    <w:rsid w:val="005B2365"/>
    <w:rsid w:val="005B74A1"/>
    <w:rsid w:val="005C09C8"/>
    <w:rsid w:val="005C0B46"/>
    <w:rsid w:val="005C18BB"/>
    <w:rsid w:val="005C2C8E"/>
    <w:rsid w:val="005C32A7"/>
    <w:rsid w:val="005C3AA7"/>
    <w:rsid w:val="005C414F"/>
    <w:rsid w:val="005C770C"/>
    <w:rsid w:val="005C7C2F"/>
    <w:rsid w:val="005C7EFF"/>
    <w:rsid w:val="005D1684"/>
    <w:rsid w:val="005D3503"/>
    <w:rsid w:val="005D3F0B"/>
    <w:rsid w:val="005D4300"/>
    <w:rsid w:val="005D536A"/>
    <w:rsid w:val="005D5E20"/>
    <w:rsid w:val="005D62CD"/>
    <w:rsid w:val="005D65FC"/>
    <w:rsid w:val="005D74CC"/>
    <w:rsid w:val="005D751A"/>
    <w:rsid w:val="005E18B0"/>
    <w:rsid w:val="005E3275"/>
    <w:rsid w:val="005E40A8"/>
    <w:rsid w:val="005E5273"/>
    <w:rsid w:val="005E76E1"/>
    <w:rsid w:val="005F0B76"/>
    <w:rsid w:val="005F1575"/>
    <w:rsid w:val="005F1FFD"/>
    <w:rsid w:val="005F35AE"/>
    <w:rsid w:val="005F6650"/>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42A0"/>
    <w:rsid w:val="006150FB"/>
    <w:rsid w:val="00621035"/>
    <w:rsid w:val="00621070"/>
    <w:rsid w:val="00626DD6"/>
    <w:rsid w:val="00630C62"/>
    <w:rsid w:val="006331D2"/>
    <w:rsid w:val="00633FA0"/>
    <w:rsid w:val="006345EE"/>
    <w:rsid w:val="006361ED"/>
    <w:rsid w:val="006418C8"/>
    <w:rsid w:val="00641ABB"/>
    <w:rsid w:val="006422F6"/>
    <w:rsid w:val="0064256C"/>
    <w:rsid w:val="006427D9"/>
    <w:rsid w:val="0064316D"/>
    <w:rsid w:val="00643498"/>
    <w:rsid w:val="00643506"/>
    <w:rsid w:val="00645439"/>
    <w:rsid w:val="00645E2A"/>
    <w:rsid w:val="00647B58"/>
    <w:rsid w:val="0065279D"/>
    <w:rsid w:val="00653354"/>
    <w:rsid w:val="006534F5"/>
    <w:rsid w:val="00653C7A"/>
    <w:rsid w:val="00655BA3"/>
    <w:rsid w:val="00655D87"/>
    <w:rsid w:val="006609C0"/>
    <w:rsid w:val="00661E08"/>
    <w:rsid w:val="00662EA5"/>
    <w:rsid w:val="0066306B"/>
    <w:rsid w:val="0066335A"/>
    <w:rsid w:val="0066407D"/>
    <w:rsid w:val="006640C5"/>
    <w:rsid w:val="00667874"/>
    <w:rsid w:val="00670A3B"/>
    <w:rsid w:val="006735F6"/>
    <w:rsid w:val="00674D05"/>
    <w:rsid w:val="00675661"/>
    <w:rsid w:val="00676994"/>
    <w:rsid w:val="00676DFB"/>
    <w:rsid w:val="006776E3"/>
    <w:rsid w:val="0068180A"/>
    <w:rsid w:val="00681F17"/>
    <w:rsid w:val="00682164"/>
    <w:rsid w:val="006826DA"/>
    <w:rsid w:val="0068325D"/>
    <w:rsid w:val="00683DC9"/>
    <w:rsid w:val="00685A2A"/>
    <w:rsid w:val="00686E73"/>
    <w:rsid w:val="00687B92"/>
    <w:rsid w:val="006921D8"/>
    <w:rsid w:val="00692778"/>
    <w:rsid w:val="00696616"/>
    <w:rsid w:val="00696F11"/>
    <w:rsid w:val="00697ECB"/>
    <w:rsid w:val="006A141D"/>
    <w:rsid w:val="006A4C24"/>
    <w:rsid w:val="006A5F24"/>
    <w:rsid w:val="006A634D"/>
    <w:rsid w:val="006A6FE7"/>
    <w:rsid w:val="006B0915"/>
    <w:rsid w:val="006B0B08"/>
    <w:rsid w:val="006B10A8"/>
    <w:rsid w:val="006B119B"/>
    <w:rsid w:val="006B201F"/>
    <w:rsid w:val="006B26D3"/>
    <w:rsid w:val="006B3BEA"/>
    <w:rsid w:val="006B4FD6"/>
    <w:rsid w:val="006B52CD"/>
    <w:rsid w:val="006B78C5"/>
    <w:rsid w:val="006C12EE"/>
    <w:rsid w:val="006C1383"/>
    <w:rsid w:val="006C2F23"/>
    <w:rsid w:val="006C31AF"/>
    <w:rsid w:val="006C3540"/>
    <w:rsid w:val="006D1203"/>
    <w:rsid w:val="006D4142"/>
    <w:rsid w:val="006D4B71"/>
    <w:rsid w:val="006D7AAA"/>
    <w:rsid w:val="006D7DDD"/>
    <w:rsid w:val="006E01BD"/>
    <w:rsid w:val="006E04EF"/>
    <w:rsid w:val="006E19FC"/>
    <w:rsid w:val="006E1B16"/>
    <w:rsid w:val="006E22F2"/>
    <w:rsid w:val="006E27BA"/>
    <w:rsid w:val="006E3292"/>
    <w:rsid w:val="006E43D3"/>
    <w:rsid w:val="006E44A9"/>
    <w:rsid w:val="006E6519"/>
    <w:rsid w:val="006F0897"/>
    <w:rsid w:val="006F0D29"/>
    <w:rsid w:val="006F2412"/>
    <w:rsid w:val="006F2D83"/>
    <w:rsid w:val="006F3312"/>
    <w:rsid w:val="006F3363"/>
    <w:rsid w:val="006F53BB"/>
    <w:rsid w:val="006F5760"/>
    <w:rsid w:val="006F6BE0"/>
    <w:rsid w:val="006F72C4"/>
    <w:rsid w:val="00700013"/>
    <w:rsid w:val="0070099B"/>
    <w:rsid w:val="0070169E"/>
    <w:rsid w:val="00701FA5"/>
    <w:rsid w:val="00702862"/>
    <w:rsid w:val="00702D97"/>
    <w:rsid w:val="00703F64"/>
    <w:rsid w:val="00704CD1"/>
    <w:rsid w:val="00705520"/>
    <w:rsid w:val="0070679D"/>
    <w:rsid w:val="00707019"/>
    <w:rsid w:val="00707245"/>
    <w:rsid w:val="00710B03"/>
    <w:rsid w:val="00710E5B"/>
    <w:rsid w:val="00712EE0"/>
    <w:rsid w:val="0071697F"/>
    <w:rsid w:val="0071716F"/>
    <w:rsid w:val="0071748C"/>
    <w:rsid w:val="00720148"/>
    <w:rsid w:val="0072215B"/>
    <w:rsid w:val="0072271C"/>
    <w:rsid w:val="00723286"/>
    <w:rsid w:val="0072595C"/>
    <w:rsid w:val="007272DA"/>
    <w:rsid w:val="00727C09"/>
    <w:rsid w:val="00733866"/>
    <w:rsid w:val="007372AF"/>
    <w:rsid w:val="007372F0"/>
    <w:rsid w:val="007402AF"/>
    <w:rsid w:val="00742461"/>
    <w:rsid w:val="00742758"/>
    <w:rsid w:val="0074315B"/>
    <w:rsid w:val="00745F93"/>
    <w:rsid w:val="00747AB7"/>
    <w:rsid w:val="007508A5"/>
    <w:rsid w:val="00752052"/>
    <w:rsid w:val="00752A88"/>
    <w:rsid w:val="00752B02"/>
    <w:rsid w:val="0075416A"/>
    <w:rsid w:val="00755251"/>
    <w:rsid w:val="007568F4"/>
    <w:rsid w:val="007569A2"/>
    <w:rsid w:val="007571C0"/>
    <w:rsid w:val="0075724E"/>
    <w:rsid w:val="007618AE"/>
    <w:rsid w:val="0076494C"/>
    <w:rsid w:val="00766389"/>
    <w:rsid w:val="0077356E"/>
    <w:rsid w:val="007737E8"/>
    <w:rsid w:val="00773DC9"/>
    <w:rsid w:val="007744C1"/>
    <w:rsid w:val="0077478C"/>
    <w:rsid w:val="007758EE"/>
    <w:rsid w:val="00776E5E"/>
    <w:rsid w:val="0077739D"/>
    <w:rsid w:val="007806D4"/>
    <w:rsid w:val="0078132A"/>
    <w:rsid w:val="00782019"/>
    <w:rsid w:val="0078202A"/>
    <w:rsid w:val="00782337"/>
    <w:rsid w:val="00783317"/>
    <w:rsid w:val="00785325"/>
    <w:rsid w:val="00787152"/>
    <w:rsid w:val="00790C1A"/>
    <w:rsid w:val="00790E52"/>
    <w:rsid w:val="00792E46"/>
    <w:rsid w:val="007931B7"/>
    <w:rsid w:val="00795CE3"/>
    <w:rsid w:val="007A0DD5"/>
    <w:rsid w:val="007A1ABA"/>
    <w:rsid w:val="007A25A8"/>
    <w:rsid w:val="007A2B3C"/>
    <w:rsid w:val="007A3ECB"/>
    <w:rsid w:val="007A4CC0"/>
    <w:rsid w:val="007A6908"/>
    <w:rsid w:val="007B0E0D"/>
    <w:rsid w:val="007B29E4"/>
    <w:rsid w:val="007B448D"/>
    <w:rsid w:val="007B4995"/>
    <w:rsid w:val="007B6958"/>
    <w:rsid w:val="007C4D7C"/>
    <w:rsid w:val="007C4FC7"/>
    <w:rsid w:val="007C5134"/>
    <w:rsid w:val="007C6CD3"/>
    <w:rsid w:val="007C7AD1"/>
    <w:rsid w:val="007D2543"/>
    <w:rsid w:val="007D345B"/>
    <w:rsid w:val="007D4645"/>
    <w:rsid w:val="007D4E0F"/>
    <w:rsid w:val="007D55DA"/>
    <w:rsid w:val="007D6D8D"/>
    <w:rsid w:val="007D7972"/>
    <w:rsid w:val="007E0BAE"/>
    <w:rsid w:val="007E1BC3"/>
    <w:rsid w:val="007E2D66"/>
    <w:rsid w:val="007E32FC"/>
    <w:rsid w:val="007E503E"/>
    <w:rsid w:val="007E52F1"/>
    <w:rsid w:val="007E6C99"/>
    <w:rsid w:val="007E6F05"/>
    <w:rsid w:val="007E7DD4"/>
    <w:rsid w:val="007F0F74"/>
    <w:rsid w:val="007F1451"/>
    <w:rsid w:val="007F3488"/>
    <w:rsid w:val="007F4057"/>
    <w:rsid w:val="007F43B4"/>
    <w:rsid w:val="007F4ED0"/>
    <w:rsid w:val="007F566C"/>
    <w:rsid w:val="007F5AE4"/>
    <w:rsid w:val="007F62DC"/>
    <w:rsid w:val="007F64F9"/>
    <w:rsid w:val="007F7B65"/>
    <w:rsid w:val="007F7BAE"/>
    <w:rsid w:val="007F7F91"/>
    <w:rsid w:val="0080043A"/>
    <w:rsid w:val="008014CB"/>
    <w:rsid w:val="00801F35"/>
    <w:rsid w:val="0080399F"/>
    <w:rsid w:val="00805C67"/>
    <w:rsid w:val="00807736"/>
    <w:rsid w:val="00807A29"/>
    <w:rsid w:val="00807D70"/>
    <w:rsid w:val="00815878"/>
    <w:rsid w:val="008158F8"/>
    <w:rsid w:val="0082010D"/>
    <w:rsid w:val="00821C04"/>
    <w:rsid w:val="008229A4"/>
    <w:rsid w:val="008234B9"/>
    <w:rsid w:val="0082584E"/>
    <w:rsid w:val="00827DD2"/>
    <w:rsid w:val="0083002A"/>
    <w:rsid w:val="00830234"/>
    <w:rsid w:val="00830884"/>
    <w:rsid w:val="008308BC"/>
    <w:rsid w:val="00831537"/>
    <w:rsid w:val="00831727"/>
    <w:rsid w:val="00832757"/>
    <w:rsid w:val="00832BFA"/>
    <w:rsid w:val="00832F03"/>
    <w:rsid w:val="00832FE5"/>
    <w:rsid w:val="00836089"/>
    <w:rsid w:val="00836C5E"/>
    <w:rsid w:val="0084114B"/>
    <w:rsid w:val="00841573"/>
    <w:rsid w:val="00841AEF"/>
    <w:rsid w:val="00841CA9"/>
    <w:rsid w:val="00842ED4"/>
    <w:rsid w:val="00844A42"/>
    <w:rsid w:val="00845EA4"/>
    <w:rsid w:val="00847A1D"/>
    <w:rsid w:val="00847D32"/>
    <w:rsid w:val="00847F39"/>
    <w:rsid w:val="00851407"/>
    <w:rsid w:val="008525A5"/>
    <w:rsid w:val="008550F0"/>
    <w:rsid w:val="00855650"/>
    <w:rsid w:val="008561AA"/>
    <w:rsid w:val="00857BD3"/>
    <w:rsid w:val="00860037"/>
    <w:rsid w:val="008602E9"/>
    <w:rsid w:val="00860FEF"/>
    <w:rsid w:val="008618D9"/>
    <w:rsid w:val="00861BBB"/>
    <w:rsid w:val="0086361E"/>
    <w:rsid w:val="0086364F"/>
    <w:rsid w:val="008649E5"/>
    <w:rsid w:val="00864F72"/>
    <w:rsid w:val="00866FC9"/>
    <w:rsid w:val="00872B14"/>
    <w:rsid w:val="008738A1"/>
    <w:rsid w:val="00873D60"/>
    <w:rsid w:val="00874C23"/>
    <w:rsid w:val="00874D05"/>
    <w:rsid w:val="0087504D"/>
    <w:rsid w:val="00875CD2"/>
    <w:rsid w:val="00880B66"/>
    <w:rsid w:val="00881A6F"/>
    <w:rsid w:val="00881FFB"/>
    <w:rsid w:val="008827C3"/>
    <w:rsid w:val="00883E64"/>
    <w:rsid w:val="0088403D"/>
    <w:rsid w:val="008850E5"/>
    <w:rsid w:val="00885C97"/>
    <w:rsid w:val="00885CDE"/>
    <w:rsid w:val="008946EA"/>
    <w:rsid w:val="008947B5"/>
    <w:rsid w:val="00894942"/>
    <w:rsid w:val="00894D4A"/>
    <w:rsid w:val="00897C9D"/>
    <w:rsid w:val="008A0C2E"/>
    <w:rsid w:val="008A20F1"/>
    <w:rsid w:val="008A2A09"/>
    <w:rsid w:val="008A3E11"/>
    <w:rsid w:val="008A4071"/>
    <w:rsid w:val="008A47B2"/>
    <w:rsid w:val="008A5670"/>
    <w:rsid w:val="008A6B4E"/>
    <w:rsid w:val="008B1D4F"/>
    <w:rsid w:val="008B2E64"/>
    <w:rsid w:val="008B2FDE"/>
    <w:rsid w:val="008B4B2E"/>
    <w:rsid w:val="008B4EBC"/>
    <w:rsid w:val="008B57AB"/>
    <w:rsid w:val="008B5E35"/>
    <w:rsid w:val="008C0452"/>
    <w:rsid w:val="008C297E"/>
    <w:rsid w:val="008C3544"/>
    <w:rsid w:val="008C380D"/>
    <w:rsid w:val="008C508D"/>
    <w:rsid w:val="008C74CA"/>
    <w:rsid w:val="008D04B8"/>
    <w:rsid w:val="008D1236"/>
    <w:rsid w:val="008D38EC"/>
    <w:rsid w:val="008E030D"/>
    <w:rsid w:val="008E1DB3"/>
    <w:rsid w:val="008E215F"/>
    <w:rsid w:val="008E2F27"/>
    <w:rsid w:val="008E4231"/>
    <w:rsid w:val="008E586E"/>
    <w:rsid w:val="008E5A8E"/>
    <w:rsid w:val="008E7F37"/>
    <w:rsid w:val="008F05C2"/>
    <w:rsid w:val="008F52F4"/>
    <w:rsid w:val="008F6A42"/>
    <w:rsid w:val="008F7D31"/>
    <w:rsid w:val="00900115"/>
    <w:rsid w:val="009007FC"/>
    <w:rsid w:val="00900A88"/>
    <w:rsid w:val="0090282D"/>
    <w:rsid w:val="009031EC"/>
    <w:rsid w:val="00903BE5"/>
    <w:rsid w:val="009049BE"/>
    <w:rsid w:val="00904D09"/>
    <w:rsid w:val="009050C9"/>
    <w:rsid w:val="0090661F"/>
    <w:rsid w:val="009073DD"/>
    <w:rsid w:val="00907FE3"/>
    <w:rsid w:val="00910E44"/>
    <w:rsid w:val="009111EA"/>
    <w:rsid w:val="0091170B"/>
    <w:rsid w:val="00912837"/>
    <w:rsid w:val="00912C68"/>
    <w:rsid w:val="0091304F"/>
    <w:rsid w:val="009133A9"/>
    <w:rsid w:val="009159DA"/>
    <w:rsid w:val="00920D15"/>
    <w:rsid w:val="00920E02"/>
    <w:rsid w:val="009210A6"/>
    <w:rsid w:val="009233B3"/>
    <w:rsid w:val="00923F4E"/>
    <w:rsid w:val="00926FCD"/>
    <w:rsid w:val="00927607"/>
    <w:rsid w:val="00930306"/>
    <w:rsid w:val="00931E3D"/>
    <w:rsid w:val="00931E6C"/>
    <w:rsid w:val="009320FF"/>
    <w:rsid w:val="00935CFF"/>
    <w:rsid w:val="0094005B"/>
    <w:rsid w:val="00940AD4"/>
    <w:rsid w:val="00941CE1"/>
    <w:rsid w:val="00943709"/>
    <w:rsid w:val="00943B62"/>
    <w:rsid w:val="009443A6"/>
    <w:rsid w:val="0094607A"/>
    <w:rsid w:val="00947785"/>
    <w:rsid w:val="0095436D"/>
    <w:rsid w:val="0095524F"/>
    <w:rsid w:val="0095564D"/>
    <w:rsid w:val="00956CD1"/>
    <w:rsid w:val="009623FA"/>
    <w:rsid w:val="00963968"/>
    <w:rsid w:val="00963AB5"/>
    <w:rsid w:val="00964969"/>
    <w:rsid w:val="00964A87"/>
    <w:rsid w:val="00965794"/>
    <w:rsid w:val="00965870"/>
    <w:rsid w:val="00970BC4"/>
    <w:rsid w:val="0097108A"/>
    <w:rsid w:val="00973D8D"/>
    <w:rsid w:val="00974E8B"/>
    <w:rsid w:val="009752F6"/>
    <w:rsid w:val="009758DB"/>
    <w:rsid w:val="009768B5"/>
    <w:rsid w:val="009773A7"/>
    <w:rsid w:val="0097768E"/>
    <w:rsid w:val="009801AA"/>
    <w:rsid w:val="00981C46"/>
    <w:rsid w:val="00983201"/>
    <w:rsid w:val="00984197"/>
    <w:rsid w:val="00984587"/>
    <w:rsid w:val="00986534"/>
    <w:rsid w:val="009874A8"/>
    <w:rsid w:val="009913D4"/>
    <w:rsid w:val="00991B75"/>
    <w:rsid w:val="00993A3D"/>
    <w:rsid w:val="00995692"/>
    <w:rsid w:val="0099574B"/>
    <w:rsid w:val="00996B6C"/>
    <w:rsid w:val="00997217"/>
    <w:rsid w:val="00997F96"/>
    <w:rsid w:val="009A33AC"/>
    <w:rsid w:val="009A33BE"/>
    <w:rsid w:val="009A595E"/>
    <w:rsid w:val="009A5AE2"/>
    <w:rsid w:val="009A5D8D"/>
    <w:rsid w:val="009B1106"/>
    <w:rsid w:val="009B1A81"/>
    <w:rsid w:val="009B1EAF"/>
    <w:rsid w:val="009B38C8"/>
    <w:rsid w:val="009B3FAA"/>
    <w:rsid w:val="009B4DEF"/>
    <w:rsid w:val="009B7683"/>
    <w:rsid w:val="009C4221"/>
    <w:rsid w:val="009C4881"/>
    <w:rsid w:val="009C5CF3"/>
    <w:rsid w:val="009C5CFE"/>
    <w:rsid w:val="009D1ED8"/>
    <w:rsid w:val="009D3911"/>
    <w:rsid w:val="009D4A0A"/>
    <w:rsid w:val="009D6659"/>
    <w:rsid w:val="009D7058"/>
    <w:rsid w:val="009E0336"/>
    <w:rsid w:val="009E10EC"/>
    <w:rsid w:val="009E3A9A"/>
    <w:rsid w:val="009E5841"/>
    <w:rsid w:val="009F50FA"/>
    <w:rsid w:val="009F7944"/>
    <w:rsid w:val="00A01965"/>
    <w:rsid w:val="00A01E9B"/>
    <w:rsid w:val="00A022D9"/>
    <w:rsid w:val="00A033BB"/>
    <w:rsid w:val="00A0357E"/>
    <w:rsid w:val="00A03702"/>
    <w:rsid w:val="00A045F4"/>
    <w:rsid w:val="00A04F63"/>
    <w:rsid w:val="00A05B4F"/>
    <w:rsid w:val="00A072A0"/>
    <w:rsid w:val="00A10387"/>
    <w:rsid w:val="00A10467"/>
    <w:rsid w:val="00A20393"/>
    <w:rsid w:val="00A21B13"/>
    <w:rsid w:val="00A22D3D"/>
    <w:rsid w:val="00A2508C"/>
    <w:rsid w:val="00A2572E"/>
    <w:rsid w:val="00A25FC0"/>
    <w:rsid w:val="00A262B6"/>
    <w:rsid w:val="00A26D41"/>
    <w:rsid w:val="00A27138"/>
    <w:rsid w:val="00A30AAA"/>
    <w:rsid w:val="00A3359F"/>
    <w:rsid w:val="00A33A89"/>
    <w:rsid w:val="00A35046"/>
    <w:rsid w:val="00A3709C"/>
    <w:rsid w:val="00A3728F"/>
    <w:rsid w:val="00A40958"/>
    <w:rsid w:val="00A4105D"/>
    <w:rsid w:val="00A41837"/>
    <w:rsid w:val="00A43EDC"/>
    <w:rsid w:val="00A442A4"/>
    <w:rsid w:val="00A4466C"/>
    <w:rsid w:val="00A4628E"/>
    <w:rsid w:val="00A51216"/>
    <w:rsid w:val="00A5314A"/>
    <w:rsid w:val="00A5422F"/>
    <w:rsid w:val="00A57F60"/>
    <w:rsid w:val="00A61A6E"/>
    <w:rsid w:val="00A65B8D"/>
    <w:rsid w:val="00A66FFF"/>
    <w:rsid w:val="00A670F3"/>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016B"/>
    <w:rsid w:val="00A923D9"/>
    <w:rsid w:val="00A93F22"/>
    <w:rsid w:val="00A94D13"/>
    <w:rsid w:val="00A94E2C"/>
    <w:rsid w:val="00A97437"/>
    <w:rsid w:val="00A977D1"/>
    <w:rsid w:val="00A97A74"/>
    <w:rsid w:val="00AA0100"/>
    <w:rsid w:val="00AA0A4A"/>
    <w:rsid w:val="00AA1DF2"/>
    <w:rsid w:val="00AA27AB"/>
    <w:rsid w:val="00AA29D9"/>
    <w:rsid w:val="00AA29E9"/>
    <w:rsid w:val="00AA38C5"/>
    <w:rsid w:val="00AA3DF2"/>
    <w:rsid w:val="00AA512C"/>
    <w:rsid w:val="00AA7DE5"/>
    <w:rsid w:val="00AB00F1"/>
    <w:rsid w:val="00AB0764"/>
    <w:rsid w:val="00AB10A6"/>
    <w:rsid w:val="00AB19C6"/>
    <w:rsid w:val="00AB1E7B"/>
    <w:rsid w:val="00AB4741"/>
    <w:rsid w:val="00AB6195"/>
    <w:rsid w:val="00AB628D"/>
    <w:rsid w:val="00AB641E"/>
    <w:rsid w:val="00AB6F46"/>
    <w:rsid w:val="00AC03C7"/>
    <w:rsid w:val="00AC1530"/>
    <w:rsid w:val="00AC1D64"/>
    <w:rsid w:val="00AC2BA3"/>
    <w:rsid w:val="00AC4CF3"/>
    <w:rsid w:val="00AC52C6"/>
    <w:rsid w:val="00AC68EB"/>
    <w:rsid w:val="00AD1E25"/>
    <w:rsid w:val="00AD38ED"/>
    <w:rsid w:val="00AD4282"/>
    <w:rsid w:val="00AD77FD"/>
    <w:rsid w:val="00AE1A7A"/>
    <w:rsid w:val="00AE4894"/>
    <w:rsid w:val="00AE5AC8"/>
    <w:rsid w:val="00AF32B0"/>
    <w:rsid w:val="00AF6B54"/>
    <w:rsid w:val="00AF6F6A"/>
    <w:rsid w:val="00AF71F0"/>
    <w:rsid w:val="00AF75C3"/>
    <w:rsid w:val="00B049EC"/>
    <w:rsid w:val="00B04DD6"/>
    <w:rsid w:val="00B078A6"/>
    <w:rsid w:val="00B10264"/>
    <w:rsid w:val="00B10FF6"/>
    <w:rsid w:val="00B1153A"/>
    <w:rsid w:val="00B1212B"/>
    <w:rsid w:val="00B14213"/>
    <w:rsid w:val="00B15800"/>
    <w:rsid w:val="00B173E2"/>
    <w:rsid w:val="00B177F2"/>
    <w:rsid w:val="00B216FE"/>
    <w:rsid w:val="00B219F8"/>
    <w:rsid w:val="00B240E3"/>
    <w:rsid w:val="00B244A4"/>
    <w:rsid w:val="00B259E2"/>
    <w:rsid w:val="00B26CCB"/>
    <w:rsid w:val="00B31114"/>
    <w:rsid w:val="00B31B5C"/>
    <w:rsid w:val="00B347AA"/>
    <w:rsid w:val="00B34D98"/>
    <w:rsid w:val="00B35503"/>
    <w:rsid w:val="00B37C1A"/>
    <w:rsid w:val="00B37E5F"/>
    <w:rsid w:val="00B408F8"/>
    <w:rsid w:val="00B45AA5"/>
    <w:rsid w:val="00B461BE"/>
    <w:rsid w:val="00B466DA"/>
    <w:rsid w:val="00B5088E"/>
    <w:rsid w:val="00B517B3"/>
    <w:rsid w:val="00B51D39"/>
    <w:rsid w:val="00B53176"/>
    <w:rsid w:val="00B53626"/>
    <w:rsid w:val="00B55C20"/>
    <w:rsid w:val="00B573D1"/>
    <w:rsid w:val="00B57E76"/>
    <w:rsid w:val="00B60F70"/>
    <w:rsid w:val="00B61D3E"/>
    <w:rsid w:val="00B61F76"/>
    <w:rsid w:val="00B626F5"/>
    <w:rsid w:val="00B62A45"/>
    <w:rsid w:val="00B64A03"/>
    <w:rsid w:val="00B64AED"/>
    <w:rsid w:val="00B64EFA"/>
    <w:rsid w:val="00B661E3"/>
    <w:rsid w:val="00B66885"/>
    <w:rsid w:val="00B7058E"/>
    <w:rsid w:val="00B70873"/>
    <w:rsid w:val="00B70EC1"/>
    <w:rsid w:val="00B7103E"/>
    <w:rsid w:val="00B71315"/>
    <w:rsid w:val="00B7173A"/>
    <w:rsid w:val="00B72FDD"/>
    <w:rsid w:val="00B737DD"/>
    <w:rsid w:val="00B73E27"/>
    <w:rsid w:val="00B758E5"/>
    <w:rsid w:val="00B76BB2"/>
    <w:rsid w:val="00B76F62"/>
    <w:rsid w:val="00B77236"/>
    <w:rsid w:val="00B77B2E"/>
    <w:rsid w:val="00B8098C"/>
    <w:rsid w:val="00B81A09"/>
    <w:rsid w:val="00B81A76"/>
    <w:rsid w:val="00B83381"/>
    <w:rsid w:val="00B8390D"/>
    <w:rsid w:val="00B860B7"/>
    <w:rsid w:val="00B86AC7"/>
    <w:rsid w:val="00B87E94"/>
    <w:rsid w:val="00B90D57"/>
    <w:rsid w:val="00B90ED9"/>
    <w:rsid w:val="00B91207"/>
    <w:rsid w:val="00B92A38"/>
    <w:rsid w:val="00B9309D"/>
    <w:rsid w:val="00B94DC9"/>
    <w:rsid w:val="00B95F1A"/>
    <w:rsid w:val="00B96976"/>
    <w:rsid w:val="00BA05BF"/>
    <w:rsid w:val="00BA0DB3"/>
    <w:rsid w:val="00BA0E31"/>
    <w:rsid w:val="00BA2A3B"/>
    <w:rsid w:val="00BA2FEE"/>
    <w:rsid w:val="00BA3827"/>
    <w:rsid w:val="00BA3BBE"/>
    <w:rsid w:val="00BA42E0"/>
    <w:rsid w:val="00BB1EC2"/>
    <w:rsid w:val="00BB2686"/>
    <w:rsid w:val="00BB60AA"/>
    <w:rsid w:val="00BB62D7"/>
    <w:rsid w:val="00BB7BCF"/>
    <w:rsid w:val="00BC05E2"/>
    <w:rsid w:val="00BC0C9A"/>
    <w:rsid w:val="00BC578F"/>
    <w:rsid w:val="00BC7BD0"/>
    <w:rsid w:val="00BD08FE"/>
    <w:rsid w:val="00BD249F"/>
    <w:rsid w:val="00BD3D4C"/>
    <w:rsid w:val="00BD5CAE"/>
    <w:rsid w:val="00BD5DA1"/>
    <w:rsid w:val="00BD6297"/>
    <w:rsid w:val="00BD6C96"/>
    <w:rsid w:val="00BD7208"/>
    <w:rsid w:val="00BD7515"/>
    <w:rsid w:val="00BD7C52"/>
    <w:rsid w:val="00BE01B0"/>
    <w:rsid w:val="00BE17E5"/>
    <w:rsid w:val="00BE1BBE"/>
    <w:rsid w:val="00BE2486"/>
    <w:rsid w:val="00BE32C7"/>
    <w:rsid w:val="00BE4652"/>
    <w:rsid w:val="00BE4A75"/>
    <w:rsid w:val="00BE4FDC"/>
    <w:rsid w:val="00BE5C36"/>
    <w:rsid w:val="00BF01B4"/>
    <w:rsid w:val="00BF0DCB"/>
    <w:rsid w:val="00BF1EC0"/>
    <w:rsid w:val="00BF2AD9"/>
    <w:rsid w:val="00BF2F98"/>
    <w:rsid w:val="00BF4398"/>
    <w:rsid w:val="00BF5BE2"/>
    <w:rsid w:val="00C00D17"/>
    <w:rsid w:val="00C02A64"/>
    <w:rsid w:val="00C052EA"/>
    <w:rsid w:val="00C05316"/>
    <w:rsid w:val="00C06278"/>
    <w:rsid w:val="00C06502"/>
    <w:rsid w:val="00C06661"/>
    <w:rsid w:val="00C11344"/>
    <w:rsid w:val="00C1297D"/>
    <w:rsid w:val="00C13734"/>
    <w:rsid w:val="00C14017"/>
    <w:rsid w:val="00C148AE"/>
    <w:rsid w:val="00C14B07"/>
    <w:rsid w:val="00C1506F"/>
    <w:rsid w:val="00C22D01"/>
    <w:rsid w:val="00C22D4A"/>
    <w:rsid w:val="00C22D64"/>
    <w:rsid w:val="00C236E4"/>
    <w:rsid w:val="00C25ED1"/>
    <w:rsid w:val="00C31741"/>
    <w:rsid w:val="00C31CFE"/>
    <w:rsid w:val="00C32E20"/>
    <w:rsid w:val="00C33CFB"/>
    <w:rsid w:val="00C34493"/>
    <w:rsid w:val="00C35B04"/>
    <w:rsid w:val="00C35CE7"/>
    <w:rsid w:val="00C362F6"/>
    <w:rsid w:val="00C3656D"/>
    <w:rsid w:val="00C37A09"/>
    <w:rsid w:val="00C40905"/>
    <w:rsid w:val="00C412FF"/>
    <w:rsid w:val="00C41357"/>
    <w:rsid w:val="00C4233C"/>
    <w:rsid w:val="00C42EFC"/>
    <w:rsid w:val="00C439D5"/>
    <w:rsid w:val="00C43BCA"/>
    <w:rsid w:val="00C4418B"/>
    <w:rsid w:val="00C446B2"/>
    <w:rsid w:val="00C45315"/>
    <w:rsid w:val="00C46841"/>
    <w:rsid w:val="00C46DE0"/>
    <w:rsid w:val="00C51424"/>
    <w:rsid w:val="00C51952"/>
    <w:rsid w:val="00C52510"/>
    <w:rsid w:val="00C539E3"/>
    <w:rsid w:val="00C54E50"/>
    <w:rsid w:val="00C55168"/>
    <w:rsid w:val="00C5557D"/>
    <w:rsid w:val="00C56885"/>
    <w:rsid w:val="00C57680"/>
    <w:rsid w:val="00C57997"/>
    <w:rsid w:val="00C57C9F"/>
    <w:rsid w:val="00C57DE8"/>
    <w:rsid w:val="00C607C9"/>
    <w:rsid w:val="00C60EB1"/>
    <w:rsid w:val="00C61DC9"/>
    <w:rsid w:val="00C6230B"/>
    <w:rsid w:val="00C625C8"/>
    <w:rsid w:val="00C669B9"/>
    <w:rsid w:val="00C674AD"/>
    <w:rsid w:val="00C70AD4"/>
    <w:rsid w:val="00C725E6"/>
    <w:rsid w:val="00C72D55"/>
    <w:rsid w:val="00C732C5"/>
    <w:rsid w:val="00C734EC"/>
    <w:rsid w:val="00C747C2"/>
    <w:rsid w:val="00C80261"/>
    <w:rsid w:val="00C80B4A"/>
    <w:rsid w:val="00C80FE1"/>
    <w:rsid w:val="00C8246A"/>
    <w:rsid w:val="00C830CA"/>
    <w:rsid w:val="00C83120"/>
    <w:rsid w:val="00C8387E"/>
    <w:rsid w:val="00C83BAB"/>
    <w:rsid w:val="00C84197"/>
    <w:rsid w:val="00C84410"/>
    <w:rsid w:val="00C84663"/>
    <w:rsid w:val="00C85BEE"/>
    <w:rsid w:val="00C861DF"/>
    <w:rsid w:val="00C8777A"/>
    <w:rsid w:val="00C904A0"/>
    <w:rsid w:val="00C9115E"/>
    <w:rsid w:val="00C9167C"/>
    <w:rsid w:val="00C926A1"/>
    <w:rsid w:val="00C9405A"/>
    <w:rsid w:val="00C94AA0"/>
    <w:rsid w:val="00C95207"/>
    <w:rsid w:val="00C962CF"/>
    <w:rsid w:val="00C96DB7"/>
    <w:rsid w:val="00CA1B76"/>
    <w:rsid w:val="00CA4E8C"/>
    <w:rsid w:val="00CA4F35"/>
    <w:rsid w:val="00CA6573"/>
    <w:rsid w:val="00CA7887"/>
    <w:rsid w:val="00CB27A4"/>
    <w:rsid w:val="00CB621B"/>
    <w:rsid w:val="00CB65EC"/>
    <w:rsid w:val="00CB6E8A"/>
    <w:rsid w:val="00CB742F"/>
    <w:rsid w:val="00CB7D13"/>
    <w:rsid w:val="00CC1DB1"/>
    <w:rsid w:val="00CC5A7E"/>
    <w:rsid w:val="00CC7CEF"/>
    <w:rsid w:val="00CD0468"/>
    <w:rsid w:val="00CD0E3B"/>
    <w:rsid w:val="00CD1491"/>
    <w:rsid w:val="00CD64DE"/>
    <w:rsid w:val="00CD6EC0"/>
    <w:rsid w:val="00CD7121"/>
    <w:rsid w:val="00CE49FC"/>
    <w:rsid w:val="00CE50AD"/>
    <w:rsid w:val="00CE5195"/>
    <w:rsid w:val="00CE51E4"/>
    <w:rsid w:val="00CF10FC"/>
    <w:rsid w:val="00CF1E45"/>
    <w:rsid w:val="00CF5631"/>
    <w:rsid w:val="00CF6971"/>
    <w:rsid w:val="00CF7993"/>
    <w:rsid w:val="00D00AC1"/>
    <w:rsid w:val="00D014AF"/>
    <w:rsid w:val="00D03926"/>
    <w:rsid w:val="00D03B93"/>
    <w:rsid w:val="00D05227"/>
    <w:rsid w:val="00D12214"/>
    <w:rsid w:val="00D12D3B"/>
    <w:rsid w:val="00D1615A"/>
    <w:rsid w:val="00D16225"/>
    <w:rsid w:val="00D16547"/>
    <w:rsid w:val="00D16B1C"/>
    <w:rsid w:val="00D2010F"/>
    <w:rsid w:val="00D20368"/>
    <w:rsid w:val="00D22035"/>
    <w:rsid w:val="00D24260"/>
    <w:rsid w:val="00D2478C"/>
    <w:rsid w:val="00D2489A"/>
    <w:rsid w:val="00D24BE6"/>
    <w:rsid w:val="00D25099"/>
    <w:rsid w:val="00D26CAF"/>
    <w:rsid w:val="00D279B8"/>
    <w:rsid w:val="00D309C0"/>
    <w:rsid w:val="00D33C66"/>
    <w:rsid w:val="00D34A5A"/>
    <w:rsid w:val="00D35A50"/>
    <w:rsid w:val="00D35BF1"/>
    <w:rsid w:val="00D3635F"/>
    <w:rsid w:val="00D378CF"/>
    <w:rsid w:val="00D40179"/>
    <w:rsid w:val="00D434D5"/>
    <w:rsid w:val="00D44218"/>
    <w:rsid w:val="00D4494B"/>
    <w:rsid w:val="00D45843"/>
    <w:rsid w:val="00D45EB6"/>
    <w:rsid w:val="00D51380"/>
    <w:rsid w:val="00D5482F"/>
    <w:rsid w:val="00D566F5"/>
    <w:rsid w:val="00D56752"/>
    <w:rsid w:val="00D56F54"/>
    <w:rsid w:val="00D5720A"/>
    <w:rsid w:val="00D60C8A"/>
    <w:rsid w:val="00D62375"/>
    <w:rsid w:val="00D63A6F"/>
    <w:rsid w:val="00D70AB8"/>
    <w:rsid w:val="00D7104A"/>
    <w:rsid w:val="00D718E2"/>
    <w:rsid w:val="00D73B5B"/>
    <w:rsid w:val="00D74FDC"/>
    <w:rsid w:val="00D750D6"/>
    <w:rsid w:val="00D81429"/>
    <w:rsid w:val="00D82506"/>
    <w:rsid w:val="00D871A9"/>
    <w:rsid w:val="00D9154A"/>
    <w:rsid w:val="00D91AF2"/>
    <w:rsid w:val="00D927CA"/>
    <w:rsid w:val="00D93271"/>
    <w:rsid w:val="00D94A8E"/>
    <w:rsid w:val="00D96319"/>
    <w:rsid w:val="00DA0CA2"/>
    <w:rsid w:val="00DA158D"/>
    <w:rsid w:val="00DA30A9"/>
    <w:rsid w:val="00DA4B87"/>
    <w:rsid w:val="00DB03CE"/>
    <w:rsid w:val="00DB04B5"/>
    <w:rsid w:val="00DB0766"/>
    <w:rsid w:val="00DB225F"/>
    <w:rsid w:val="00DB31F5"/>
    <w:rsid w:val="00DB4D86"/>
    <w:rsid w:val="00DB53F2"/>
    <w:rsid w:val="00DB55B5"/>
    <w:rsid w:val="00DB5D12"/>
    <w:rsid w:val="00DB685F"/>
    <w:rsid w:val="00DC016C"/>
    <w:rsid w:val="00DC0207"/>
    <w:rsid w:val="00DC1DD2"/>
    <w:rsid w:val="00DC1DEF"/>
    <w:rsid w:val="00DC25C1"/>
    <w:rsid w:val="00DC3F3A"/>
    <w:rsid w:val="00DC638A"/>
    <w:rsid w:val="00DC68E2"/>
    <w:rsid w:val="00DC691A"/>
    <w:rsid w:val="00DC6A6C"/>
    <w:rsid w:val="00DC6CDC"/>
    <w:rsid w:val="00DC6D72"/>
    <w:rsid w:val="00DC71EE"/>
    <w:rsid w:val="00DC76BD"/>
    <w:rsid w:val="00DC7E64"/>
    <w:rsid w:val="00DD0702"/>
    <w:rsid w:val="00DD1BAF"/>
    <w:rsid w:val="00DD2130"/>
    <w:rsid w:val="00DD4CC6"/>
    <w:rsid w:val="00DD4DB8"/>
    <w:rsid w:val="00DD4E98"/>
    <w:rsid w:val="00DD58B8"/>
    <w:rsid w:val="00DD664B"/>
    <w:rsid w:val="00DE06FD"/>
    <w:rsid w:val="00DE2129"/>
    <w:rsid w:val="00DE28BF"/>
    <w:rsid w:val="00DE44E9"/>
    <w:rsid w:val="00DE5048"/>
    <w:rsid w:val="00DE52C3"/>
    <w:rsid w:val="00DE6690"/>
    <w:rsid w:val="00DE756E"/>
    <w:rsid w:val="00DE7637"/>
    <w:rsid w:val="00DF09B8"/>
    <w:rsid w:val="00DF0D73"/>
    <w:rsid w:val="00DF15EE"/>
    <w:rsid w:val="00DF2313"/>
    <w:rsid w:val="00DF382F"/>
    <w:rsid w:val="00DF53EA"/>
    <w:rsid w:val="00E006B6"/>
    <w:rsid w:val="00E006CC"/>
    <w:rsid w:val="00E013E9"/>
    <w:rsid w:val="00E02840"/>
    <w:rsid w:val="00E02932"/>
    <w:rsid w:val="00E06CE6"/>
    <w:rsid w:val="00E07702"/>
    <w:rsid w:val="00E1020C"/>
    <w:rsid w:val="00E1033E"/>
    <w:rsid w:val="00E10F14"/>
    <w:rsid w:val="00E11F28"/>
    <w:rsid w:val="00E125BC"/>
    <w:rsid w:val="00E12B19"/>
    <w:rsid w:val="00E14744"/>
    <w:rsid w:val="00E14816"/>
    <w:rsid w:val="00E1487F"/>
    <w:rsid w:val="00E154AB"/>
    <w:rsid w:val="00E164E7"/>
    <w:rsid w:val="00E16654"/>
    <w:rsid w:val="00E2108B"/>
    <w:rsid w:val="00E21CDD"/>
    <w:rsid w:val="00E22360"/>
    <w:rsid w:val="00E23669"/>
    <w:rsid w:val="00E25425"/>
    <w:rsid w:val="00E25B8B"/>
    <w:rsid w:val="00E25C3E"/>
    <w:rsid w:val="00E2789A"/>
    <w:rsid w:val="00E31D43"/>
    <w:rsid w:val="00E32EEE"/>
    <w:rsid w:val="00E33520"/>
    <w:rsid w:val="00E3623E"/>
    <w:rsid w:val="00E37775"/>
    <w:rsid w:val="00E40BC0"/>
    <w:rsid w:val="00E411D3"/>
    <w:rsid w:val="00E41A8D"/>
    <w:rsid w:val="00E41EAA"/>
    <w:rsid w:val="00E427DF"/>
    <w:rsid w:val="00E43435"/>
    <w:rsid w:val="00E475A6"/>
    <w:rsid w:val="00E47828"/>
    <w:rsid w:val="00E50DBE"/>
    <w:rsid w:val="00E52305"/>
    <w:rsid w:val="00E526B7"/>
    <w:rsid w:val="00E53BFB"/>
    <w:rsid w:val="00E553C7"/>
    <w:rsid w:val="00E57493"/>
    <w:rsid w:val="00E60ED0"/>
    <w:rsid w:val="00E613F2"/>
    <w:rsid w:val="00E61AB6"/>
    <w:rsid w:val="00E61CDE"/>
    <w:rsid w:val="00E65459"/>
    <w:rsid w:val="00E66317"/>
    <w:rsid w:val="00E66951"/>
    <w:rsid w:val="00E67D3C"/>
    <w:rsid w:val="00E7006D"/>
    <w:rsid w:val="00E705F5"/>
    <w:rsid w:val="00E75BB5"/>
    <w:rsid w:val="00E808D6"/>
    <w:rsid w:val="00E80E37"/>
    <w:rsid w:val="00E83450"/>
    <w:rsid w:val="00E8389D"/>
    <w:rsid w:val="00E83965"/>
    <w:rsid w:val="00E86739"/>
    <w:rsid w:val="00E90E54"/>
    <w:rsid w:val="00E91457"/>
    <w:rsid w:val="00E9157A"/>
    <w:rsid w:val="00E91FF2"/>
    <w:rsid w:val="00E94929"/>
    <w:rsid w:val="00E94FF3"/>
    <w:rsid w:val="00E9514D"/>
    <w:rsid w:val="00E96BEB"/>
    <w:rsid w:val="00EA0F7F"/>
    <w:rsid w:val="00EA2C19"/>
    <w:rsid w:val="00EA379C"/>
    <w:rsid w:val="00EA37E1"/>
    <w:rsid w:val="00EA4780"/>
    <w:rsid w:val="00EA4997"/>
    <w:rsid w:val="00EA4DC3"/>
    <w:rsid w:val="00EA4F63"/>
    <w:rsid w:val="00EA5167"/>
    <w:rsid w:val="00EA7123"/>
    <w:rsid w:val="00EB37B1"/>
    <w:rsid w:val="00EB4DFF"/>
    <w:rsid w:val="00EB5240"/>
    <w:rsid w:val="00EC1888"/>
    <w:rsid w:val="00EC2DA8"/>
    <w:rsid w:val="00EC45FC"/>
    <w:rsid w:val="00EC4A4E"/>
    <w:rsid w:val="00EC6A8E"/>
    <w:rsid w:val="00EC6BCB"/>
    <w:rsid w:val="00ED073E"/>
    <w:rsid w:val="00ED2E55"/>
    <w:rsid w:val="00ED54D9"/>
    <w:rsid w:val="00ED5DDA"/>
    <w:rsid w:val="00ED7D48"/>
    <w:rsid w:val="00EE06BA"/>
    <w:rsid w:val="00EE082B"/>
    <w:rsid w:val="00EE1352"/>
    <w:rsid w:val="00EE3E2A"/>
    <w:rsid w:val="00EE480B"/>
    <w:rsid w:val="00EE695C"/>
    <w:rsid w:val="00EF452B"/>
    <w:rsid w:val="00EF4ADB"/>
    <w:rsid w:val="00F0156D"/>
    <w:rsid w:val="00F02DE0"/>
    <w:rsid w:val="00F0430C"/>
    <w:rsid w:val="00F053FC"/>
    <w:rsid w:val="00F06CB3"/>
    <w:rsid w:val="00F06E50"/>
    <w:rsid w:val="00F079CC"/>
    <w:rsid w:val="00F07A83"/>
    <w:rsid w:val="00F07FC2"/>
    <w:rsid w:val="00F123A4"/>
    <w:rsid w:val="00F13DD5"/>
    <w:rsid w:val="00F14677"/>
    <w:rsid w:val="00F1519C"/>
    <w:rsid w:val="00F16359"/>
    <w:rsid w:val="00F21698"/>
    <w:rsid w:val="00F22195"/>
    <w:rsid w:val="00F24A07"/>
    <w:rsid w:val="00F2514D"/>
    <w:rsid w:val="00F27F68"/>
    <w:rsid w:val="00F321E1"/>
    <w:rsid w:val="00F3389F"/>
    <w:rsid w:val="00F347DD"/>
    <w:rsid w:val="00F3568E"/>
    <w:rsid w:val="00F35DBE"/>
    <w:rsid w:val="00F36D77"/>
    <w:rsid w:val="00F37880"/>
    <w:rsid w:val="00F42116"/>
    <w:rsid w:val="00F43423"/>
    <w:rsid w:val="00F4377C"/>
    <w:rsid w:val="00F4392A"/>
    <w:rsid w:val="00F43B62"/>
    <w:rsid w:val="00F4491E"/>
    <w:rsid w:val="00F466A1"/>
    <w:rsid w:val="00F469C7"/>
    <w:rsid w:val="00F469E3"/>
    <w:rsid w:val="00F46C66"/>
    <w:rsid w:val="00F512B9"/>
    <w:rsid w:val="00F530D1"/>
    <w:rsid w:val="00F54415"/>
    <w:rsid w:val="00F54463"/>
    <w:rsid w:val="00F54E38"/>
    <w:rsid w:val="00F551B0"/>
    <w:rsid w:val="00F57E57"/>
    <w:rsid w:val="00F62D24"/>
    <w:rsid w:val="00F6398A"/>
    <w:rsid w:val="00F668B1"/>
    <w:rsid w:val="00F72E7B"/>
    <w:rsid w:val="00F74BA1"/>
    <w:rsid w:val="00F762D5"/>
    <w:rsid w:val="00F76381"/>
    <w:rsid w:val="00F7668F"/>
    <w:rsid w:val="00F76E79"/>
    <w:rsid w:val="00F81765"/>
    <w:rsid w:val="00F821AA"/>
    <w:rsid w:val="00F82312"/>
    <w:rsid w:val="00F83C99"/>
    <w:rsid w:val="00F841EA"/>
    <w:rsid w:val="00F8426B"/>
    <w:rsid w:val="00F84FA2"/>
    <w:rsid w:val="00F85E40"/>
    <w:rsid w:val="00F8623A"/>
    <w:rsid w:val="00F8652F"/>
    <w:rsid w:val="00F9081B"/>
    <w:rsid w:val="00F90B7E"/>
    <w:rsid w:val="00F90CCF"/>
    <w:rsid w:val="00F915A6"/>
    <w:rsid w:val="00F91F19"/>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247"/>
    <w:rsid w:val="00FD46BA"/>
    <w:rsid w:val="00FD50B6"/>
    <w:rsid w:val="00FD5D4A"/>
    <w:rsid w:val="00FD7489"/>
    <w:rsid w:val="00FE09B0"/>
    <w:rsid w:val="00FE0F9D"/>
    <w:rsid w:val="00FE0FB0"/>
    <w:rsid w:val="00FE10E6"/>
    <w:rsid w:val="00FE1705"/>
    <w:rsid w:val="00FE2152"/>
    <w:rsid w:val="00FE3242"/>
    <w:rsid w:val="00FE45F5"/>
    <w:rsid w:val="00FE48CB"/>
    <w:rsid w:val="00FE6F33"/>
    <w:rsid w:val="00FF1B0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D5CE5"/>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5422F"/>
    <w:pPr>
      <w:spacing w:after="0" w:line="360" w:lineRule="auto"/>
      <w:ind w:firstLine="709"/>
      <w:jc w:val="both"/>
    </w:pPr>
    <w:rPr>
      <w:rFonts w:ascii="Arial" w:eastAsia="Times New Roman" w:hAnsi="Arial" w:cs="Times New Roman"/>
      <w:sz w:val="30"/>
      <w:szCs w:val="20"/>
      <w:lang w:val="es-ES_tradnl" w:eastAsia="x-none"/>
    </w:rPr>
  </w:style>
  <w:style w:type="paragraph" w:customStyle="1" w:styleId="corte5transcripcion">
    <w:name w:val="corte5 transcripcion"/>
    <w:basedOn w:val="Normal"/>
    <w:link w:val="corte5transcripcionCar1"/>
    <w:qFormat/>
    <w:rsid w:val="00A5422F"/>
    <w:pPr>
      <w:spacing w:after="0" w:line="360" w:lineRule="auto"/>
      <w:ind w:left="709" w:right="709"/>
      <w:jc w:val="both"/>
    </w:pPr>
    <w:rPr>
      <w:rFonts w:ascii="Arial" w:eastAsia="Times New Roman" w:hAnsi="Arial" w:cs="Times New Roman"/>
      <w:b/>
      <w:i/>
      <w:sz w:val="30"/>
      <w:szCs w:val="20"/>
      <w:lang w:val="es-ES_tradnl" w:eastAsia="x-none"/>
    </w:rPr>
  </w:style>
  <w:style w:type="character" w:customStyle="1" w:styleId="corte4fondoCar">
    <w:name w:val="corte4 fondo Car"/>
    <w:link w:val="corte4fondo"/>
    <w:rsid w:val="00A5422F"/>
    <w:rPr>
      <w:rFonts w:ascii="Arial" w:eastAsia="Times New Roman" w:hAnsi="Arial" w:cs="Times New Roman"/>
      <w:sz w:val="30"/>
      <w:szCs w:val="20"/>
      <w:lang w:val="es-ES_tradnl" w:eastAsia="x-none"/>
    </w:rPr>
  </w:style>
  <w:style w:type="character" w:customStyle="1" w:styleId="corte5transcripcionCar1">
    <w:name w:val="corte5 transcripcion Car1"/>
    <w:link w:val="corte5transcripcion"/>
    <w:locked/>
    <w:rsid w:val="00A5422F"/>
    <w:rPr>
      <w:rFonts w:ascii="Arial" w:eastAsia="Times New Roman" w:hAnsi="Arial" w:cs="Times New Roman"/>
      <w:b/>
      <w:i/>
      <w:sz w:val="30"/>
      <w:szCs w:val="20"/>
      <w:lang w:val="es-ES_tradnl" w:eastAsia="x-none"/>
    </w:rPr>
  </w:style>
  <w:style w:type="character" w:customStyle="1" w:styleId="corte5transcripcionCar">
    <w:name w:val="corte5 transcripcion Car"/>
    <w:rsid w:val="00A5422F"/>
    <w:rPr>
      <w:rFonts w:ascii="Arial" w:hAnsi="Arial"/>
      <w:b/>
      <w:i/>
      <w:sz w:val="30"/>
    </w:rPr>
  </w:style>
  <w:style w:type="character" w:customStyle="1" w:styleId="red">
    <w:name w:val="red"/>
    <w:basedOn w:val="Fuentedeprrafopredeter"/>
    <w:rsid w:val="00E613F2"/>
  </w:style>
  <w:style w:type="paragraph" w:styleId="Textoindependiente">
    <w:name w:val="Body Text"/>
    <w:basedOn w:val="Normal"/>
    <w:link w:val="TextoindependienteCar"/>
    <w:uiPriority w:val="99"/>
    <w:semiHidden/>
    <w:unhideWhenUsed/>
    <w:rsid w:val="00397FC3"/>
    <w:pPr>
      <w:spacing w:after="120"/>
    </w:pPr>
  </w:style>
  <w:style w:type="character" w:customStyle="1" w:styleId="TextoindependienteCar">
    <w:name w:val="Texto independiente Car"/>
    <w:basedOn w:val="Fuentedeprrafopredeter"/>
    <w:link w:val="Textoindependiente"/>
    <w:uiPriority w:val="99"/>
    <w:semiHidden/>
    <w:rsid w:val="00397FC3"/>
    <w:rPr>
      <w:lang w:val="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397FC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40416444">
      <w:bodyDiv w:val="1"/>
      <w:marLeft w:val="0"/>
      <w:marRight w:val="0"/>
      <w:marTop w:val="0"/>
      <w:marBottom w:val="0"/>
      <w:divBdr>
        <w:top w:val="none" w:sz="0" w:space="0" w:color="auto"/>
        <w:left w:val="none" w:sz="0" w:space="0" w:color="auto"/>
        <w:bottom w:val="none" w:sz="0" w:space="0" w:color="auto"/>
        <w:right w:val="none" w:sz="0" w:space="0" w:color="auto"/>
      </w:divBdr>
      <w:divsChild>
        <w:div w:id="325397696">
          <w:marLeft w:val="0"/>
          <w:marRight w:val="0"/>
          <w:marTop w:val="0"/>
          <w:marBottom w:val="0"/>
          <w:divBdr>
            <w:top w:val="none" w:sz="0" w:space="0" w:color="auto"/>
            <w:left w:val="none" w:sz="0" w:space="0" w:color="auto"/>
            <w:bottom w:val="none" w:sz="0" w:space="0" w:color="auto"/>
            <w:right w:val="none" w:sz="0" w:space="0" w:color="auto"/>
          </w:divBdr>
        </w:div>
      </w:divsChild>
    </w:div>
    <w:div w:id="1448966308">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1CCF4-87A4-4488-8DEF-83E600DDE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3349</Words>
  <Characters>18425</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4</cp:revision>
  <cp:lastPrinted>2020-03-02T15:53:00Z</cp:lastPrinted>
  <dcterms:created xsi:type="dcterms:W3CDTF">2020-09-23T17:05:00Z</dcterms:created>
  <dcterms:modified xsi:type="dcterms:W3CDTF">2020-09-24T14:59:00Z</dcterms:modified>
</cp:coreProperties>
</file>