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AEAA20"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47C13171"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4243A2">
        <w:rPr>
          <w:rFonts w:ascii="Arial" w:hAnsi="Arial" w:cs="Arial"/>
          <w:b/>
          <w:sz w:val="26"/>
          <w:szCs w:val="26"/>
        </w:rPr>
        <w:t>412</w:t>
      </w:r>
      <w:r w:rsidRPr="00CB6405">
        <w:rPr>
          <w:rFonts w:ascii="Arial" w:hAnsi="Arial" w:cs="Arial"/>
          <w:b/>
          <w:sz w:val="26"/>
          <w:szCs w:val="26"/>
        </w:rPr>
        <w:t>/201</w:t>
      </w:r>
      <w:r w:rsidR="005A4C18">
        <w:rPr>
          <w:rFonts w:ascii="Arial" w:hAnsi="Arial" w:cs="Arial"/>
          <w:b/>
          <w:sz w:val="26"/>
          <w:szCs w:val="26"/>
        </w:rPr>
        <w:t>9</w:t>
      </w:r>
    </w:p>
    <w:p w14:paraId="59928F25"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43A2">
        <w:rPr>
          <w:rFonts w:ascii="Arial" w:hAnsi="Arial" w:cs="Arial"/>
          <w:b/>
          <w:sz w:val="26"/>
          <w:szCs w:val="26"/>
        </w:rPr>
        <w:t>111</w:t>
      </w:r>
      <w:r>
        <w:rPr>
          <w:rFonts w:ascii="Arial" w:hAnsi="Arial" w:cs="Arial"/>
          <w:b/>
          <w:sz w:val="26"/>
          <w:szCs w:val="26"/>
        </w:rPr>
        <w:t>/</w:t>
      </w:r>
      <w:r w:rsidRPr="00CB6405">
        <w:rPr>
          <w:rFonts w:ascii="Arial" w:hAnsi="Arial" w:cs="Arial"/>
          <w:b/>
          <w:sz w:val="26"/>
          <w:szCs w:val="26"/>
        </w:rPr>
        <w:t>201</w:t>
      </w:r>
      <w:r w:rsidR="00C5669E">
        <w:rPr>
          <w:rFonts w:ascii="Arial" w:hAnsi="Arial" w:cs="Arial"/>
          <w:b/>
          <w:sz w:val="26"/>
          <w:szCs w:val="26"/>
        </w:rPr>
        <w:t>9</w:t>
      </w:r>
      <w:r w:rsidRPr="00CB6405">
        <w:rPr>
          <w:rFonts w:ascii="Arial" w:hAnsi="Arial" w:cs="Arial"/>
          <w:b/>
          <w:sz w:val="26"/>
          <w:szCs w:val="26"/>
        </w:rPr>
        <w:t xml:space="preserve"> </w:t>
      </w:r>
      <w:r w:rsidR="004243A2">
        <w:rPr>
          <w:rFonts w:ascii="Arial" w:hAnsi="Arial" w:cs="Arial"/>
          <w:b/>
          <w:sz w:val="26"/>
          <w:szCs w:val="26"/>
        </w:rPr>
        <w:t xml:space="preserve">SEXTA </w:t>
      </w:r>
      <w:r w:rsidRPr="00CB6405">
        <w:rPr>
          <w:rFonts w:ascii="Arial" w:hAnsi="Arial" w:cs="Arial"/>
          <w:b/>
          <w:sz w:val="26"/>
          <w:szCs w:val="26"/>
        </w:rPr>
        <w:t>SALA UNITARIA DE PRIMERA INSTANCIA</w:t>
      </w:r>
    </w:p>
    <w:p w14:paraId="668A749A"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14:paraId="68A822F1" w14:textId="77777777" w:rsidR="005770C1" w:rsidRPr="00CB6405" w:rsidRDefault="005770C1" w:rsidP="005770C1">
      <w:pPr>
        <w:spacing w:line="240" w:lineRule="auto"/>
        <w:ind w:left="2124"/>
        <w:jc w:val="both"/>
        <w:rPr>
          <w:rFonts w:ascii="Arial" w:hAnsi="Arial" w:cs="Arial"/>
          <w:b/>
          <w:sz w:val="26"/>
          <w:szCs w:val="26"/>
        </w:rPr>
      </w:pPr>
    </w:p>
    <w:p w14:paraId="15516014" w14:textId="2BF44274"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OAXACA DE JUÁREZ, OAXACA</w:t>
      </w:r>
      <w:r w:rsidR="0081111B">
        <w:rPr>
          <w:rFonts w:ascii="Arial" w:hAnsi="Arial" w:cs="Arial"/>
          <w:b/>
          <w:sz w:val="26"/>
          <w:szCs w:val="26"/>
        </w:rPr>
        <w:t xml:space="preserve">, A </w:t>
      </w:r>
      <w:r w:rsidR="005049FB">
        <w:rPr>
          <w:rFonts w:ascii="Arial" w:hAnsi="Arial" w:cs="Arial"/>
          <w:b/>
          <w:sz w:val="26"/>
          <w:szCs w:val="26"/>
        </w:rPr>
        <w:t xml:space="preserve">VEINTISIETE </w:t>
      </w:r>
      <w:r w:rsidRPr="00CB6405">
        <w:rPr>
          <w:rFonts w:ascii="Arial" w:hAnsi="Arial" w:cs="Arial"/>
          <w:b/>
          <w:sz w:val="26"/>
          <w:szCs w:val="26"/>
        </w:rPr>
        <w:t xml:space="preserve">DE </w:t>
      </w:r>
      <w:r w:rsidR="00764679">
        <w:rPr>
          <w:rFonts w:ascii="Arial" w:hAnsi="Arial" w:cs="Arial"/>
          <w:b/>
          <w:sz w:val="26"/>
          <w:szCs w:val="26"/>
        </w:rPr>
        <w:t xml:space="preserve">FEBRERO </w:t>
      </w:r>
      <w:r w:rsidRPr="00CB6405">
        <w:rPr>
          <w:rFonts w:ascii="Arial" w:hAnsi="Arial" w:cs="Arial"/>
          <w:b/>
          <w:sz w:val="26"/>
          <w:szCs w:val="26"/>
        </w:rPr>
        <w:t xml:space="preserve">DE DOS MIL </w:t>
      </w:r>
      <w:r w:rsidR="00A036C0">
        <w:rPr>
          <w:rFonts w:ascii="Arial" w:hAnsi="Arial" w:cs="Arial"/>
          <w:b/>
          <w:sz w:val="26"/>
          <w:szCs w:val="26"/>
        </w:rPr>
        <w:t>VEINTE</w:t>
      </w:r>
      <w:r w:rsidRPr="00CB6405">
        <w:rPr>
          <w:rFonts w:ascii="Arial" w:hAnsi="Arial" w:cs="Arial"/>
          <w:b/>
          <w:sz w:val="26"/>
          <w:szCs w:val="26"/>
        </w:rPr>
        <w:t>.</w:t>
      </w:r>
    </w:p>
    <w:p w14:paraId="6DDFA1A6" w14:textId="6E7BEFB2" w:rsidR="005770C1" w:rsidRPr="00CB6405" w:rsidRDefault="005770C1" w:rsidP="004243A2">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4243A2">
        <w:rPr>
          <w:rFonts w:ascii="Arial" w:hAnsi="Arial" w:cs="Arial"/>
          <w:b/>
          <w:sz w:val="26"/>
          <w:szCs w:val="26"/>
        </w:rPr>
        <w:t>412</w:t>
      </w:r>
      <w:r w:rsidRPr="00CB6405">
        <w:rPr>
          <w:rFonts w:ascii="Arial" w:hAnsi="Arial" w:cs="Arial"/>
          <w:b/>
          <w:sz w:val="26"/>
          <w:szCs w:val="26"/>
        </w:rPr>
        <w:t>/201</w:t>
      </w:r>
      <w:r w:rsidR="005A4C18">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w:t>
      </w:r>
      <w:r w:rsidRPr="00C5669E">
        <w:rPr>
          <w:rFonts w:ascii="Arial" w:hAnsi="Arial" w:cs="Arial"/>
          <w:sz w:val="26"/>
          <w:szCs w:val="26"/>
        </w:rPr>
        <w:t>por</w:t>
      </w:r>
      <w:r w:rsidR="005A4C18" w:rsidRPr="00C5669E">
        <w:rPr>
          <w:rFonts w:ascii="Arial" w:hAnsi="Arial" w:cs="Arial"/>
          <w:sz w:val="26"/>
          <w:szCs w:val="26"/>
        </w:rPr>
        <w:t xml:space="preserve"> </w:t>
      </w:r>
      <w:r w:rsidR="00A06C57">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l</w:t>
      </w:r>
      <w:r w:rsidR="004243A2">
        <w:rPr>
          <w:rFonts w:ascii="Arial" w:hAnsi="Arial" w:cs="Arial"/>
          <w:sz w:val="26"/>
          <w:szCs w:val="26"/>
        </w:rPr>
        <w:t xml:space="preserve"> auto de veintidós de octubre </w:t>
      </w:r>
      <w:r w:rsidR="005A4C18">
        <w:rPr>
          <w:rFonts w:ascii="Arial" w:hAnsi="Arial" w:cs="Arial"/>
          <w:sz w:val="26"/>
          <w:szCs w:val="26"/>
        </w:rPr>
        <w:t xml:space="preserve">de </w:t>
      </w:r>
      <w:r w:rsidRPr="00CB6405">
        <w:rPr>
          <w:rFonts w:ascii="Arial" w:hAnsi="Arial" w:cs="Arial"/>
          <w:sz w:val="26"/>
          <w:szCs w:val="26"/>
        </w:rPr>
        <w:t>dos mil diec</w:t>
      </w:r>
      <w:r w:rsidR="005A4C18">
        <w:rPr>
          <w:rFonts w:ascii="Arial" w:hAnsi="Arial" w:cs="Arial"/>
          <w:sz w:val="26"/>
          <w:szCs w:val="26"/>
        </w:rPr>
        <w:t>inueve</w:t>
      </w:r>
      <w:r>
        <w:rPr>
          <w:rFonts w:ascii="Arial" w:hAnsi="Arial" w:cs="Arial"/>
          <w:sz w:val="26"/>
          <w:szCs w:val="26"/>
        </w:rPr>
        <w:t>, dictad</w:t>
      </w:r>
      <w:r w:rsidR="004243A2">
        <w:rPr>
          <w:rFonts w:ascii="Arial" w:hAnsi="Arial" w:cs="Arial"/>
          <w:sz w:val="26"/>
          <w:szCs w:val="26"/>
        </w:rPr>
        <w:t>o</w:t>
      </w:r>
      <w:r w:rsidRPr="00CB6405">
        <w:rPr>
          <w:rFonts w:ascii="Arial" w:hAnsi="Arial" w:cs="Arial"/>
          <w:sz w:val="26"/>
          <w:szCs w:val="26"/>
        </w:rPr>
        <w:t xml:space="preserve"> en el expediente </w:t>
      </w:r>
      <w:r w:rsidR="004243A2">
        <w:rPr>
          <w:rFonts w:ascii="Arial" w:hAnsi="Arial" w:cs="Arial"/>
          <w:b/>
          <w:sz w:val="26"/>
          <w:szCs w:val="26"/>
        </w:rPr>
        <w:t>111</w:t>
      </w:r>
      <w:r w:rsidRPr="00CB6405">
        <w:rPr>
          <w:rFonts w:ascii="Arial" w:hAnsi="Arial" w:cs="Arial"/>
          <w:b/>
          <w:sz w:val="26"/>
          <w:szCs w:val="26"/>
        </w:rPr>
        <w:t>/201</w:t>
      </w:r>
      <w:r w:rsidR="00C5669E">
        <w:rPr>
          <w:rFonts w:ascii="Arial" w:hAnsi="Arial" w:cs="Arial"/>
          <w:b/>
          <w:sz w:val="26"/>
          <w:szCs w:val="26"/>
        </w:rPr>
        <w:t>9</w:t>
      </w:r>
      <w:r w:rsidRPr="00CB6405">
        <w:rPr>
          <w:rFonts w:ascii="Arial" w:hAnsi="Arial" w:cs="Arial"/>
          <w:sz w:val="26"/>
          <w:szCs w:val="26"/>
        </w:rPr>
        <w:t xml:space="preserve"> de la </w:t>
      </w:r>
      <w:r w:rsidR="004243A2">
        <w:rPr>
          <w:rFonts w:ascii="Arial" w:hAnsi="Arial" w:cs="Arial"/>
          <w:sz w:val="26"/>
          <w:szCs w:val="26"/>
        </w:rPr>
        <w:t xml:space="preserve">Sexta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4243A2">
        <w:rPr>
          <w:rFonts w:ascii="Arial" w:hAnsi="Arial" w:cs="Arial"/>
          <w:sz w:val="26"/>
          <w:szCs w:val="26"/>
        </w:rPr>
        <w:t>el</w:t>
      </w:r>
      <w:r w:rsidR="00C5669E">
        <w:rPr>
          <w:rFonts w:ascii="Arial" w:hAnsi="Arial" w:cs="Arial"/>
          <w:sz w:val="26"/>
          <w:szCs w:val="26"/>
        </w:rPr>
        <w:t xml:space="preserve"> </w:t>
      </w:r>
      <w:r w:rsidR="00A06C57">
        <w:rPr>
          <w:rFonts w:ascii="Arial" w:hAnsi="Arial" w:cs="Arial"/>
          <w:b/>
          <w:sz w:val="26"/>
          <w:szCs w:val="26"/>
        </w:rPr>
        <w:t>**********</w:t>
      </w:r>
      <w:r w:rsidR="00A644EC">
        <w:rPr>
          <w:rFonts w:ascii="Arial" w:hAnsi="Arial" w:cs="Arial"/>
          <w:b/>
          <w:sz w:val="26"/>
          <w:szCs w:val="26"/>
        </w:rPr>
        <w:t xml:space="preserve">, </w:t>
      </w:r>
      <w:r w:rsidR="00A644EC">
        <w:rPr>
          <w:rFonts w:ascii="Arial" w:hAnsi="Arial" w:cs="Arial"/>
          <w:bCs/>
          <w:sz w:val="26"/>
          <w:szCs w:val="26"/>
        </w:rPr>
        <w:t>en contra de</w:t>
      </w:r>
      <w:r w:rsidR="00764679">
        <w:rPr>
          <w:rFonts w:ascii="Arial" w:hAnsi="Arial" w:cs="Arial"/>
          <w:bCs/>
          <w:sz w:val="26"/>
          <w:szCs w:val="26"/>
        </w:rPr>
        <w:t xml:space="preserve"> </w:t>
      </w:r>
      <w:r w:rsidR="004243A2">
        <w:rPr>
          <w:rFonts w:ascii="Arial" w:hAnsi="Arial" w:cs="Arial"/>
          <w:bCs/>
          <w:sz w:val="26"/>
          <w:szCs w:val="26"/>
        </w:rPr>
        <w:t xml:space="preserve">los </w:t>
      </w:r>
      <w:r w:rsidR="004243A2" w:rsidRPr="004243A2">
        <w:rPr>
          <w:rFonts w:ascii="Arial" w:hAnsi="Arial" w:cs="Arial"/>
          <w:b/>
          <w:bCs/>
          <w:sz w:val="26"/>
          <w:szCs w:val="26"/>
        </w:rPr>
        <w:t>DIRECTORES DE PROCEDIMIENTOS JURÍDICOS y de REPONSABILIDADES ADMINISTRATIVAS Y RESPONSABILIDAD PATRIMONIAL ambos de la SECRETARÍA DE LA CONTRALORÍA Y TRANSPARENCIA GUBERNAMENTAL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14:paraId="37495AF6" w14:textId="77777777"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4335A60" w14:textId="6A126E4A"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4243A2">
        <w:rPr>
          <w:rFonts w:ascii="Arial" w:hAnsi="Arial" w:cs="Arial"/>
          <w:sz w:val="26"/>
          <w:szCs w:val="26"/>
        </w:rPr>
        <w:t xml:space="preserve">el auto de veintidós de octubre de </w:t>
      </w:r>
      <w:r w:rsidR="00764679" w:rsidRPr="00CB6405">
        <w:rPr>
          <w:rFonts w:ascii="Arial" w:hAnsi="Arial" w:cs="Arial"/>
          <w:sz w:val="26"/>
          <w:szCs w:val="26"/>
        </w:rPr>
        <w:t>dos mil diec</w:t>
      </w:r>
      <w:r w:rsidR="00764679">
        <w:rPr>
          <w:rFonts w:ascii="Arial" w:hAnsi="Arial" w:cs="Arial"/>
          <w:sz w:val="26"/>
          <w:szCs w:val="26"/>
        </w:rPr>
        <w:t>inueve</w:t>
      </w:r>
      <w:r w:rsidRPr="00CB6405">
        <w:rPr>
          <w:rFonts w:ascii="Arial" w:hAnsi="Arial" w:cs="Arial"/>
          <w:sz w:val="26"/>
          <w:szCs w:val="26"/>
        </w:rPr>
        <w:t>, dictad</w:t>
      </w:r>
      <w:r w:rsidR="004243A2">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4243A2">
        <w:rPr>
          <w:rFonts w:ascii="Arial" w:hAnsi="Arial" w:cs="Arial"/>
          <w:sz w:val="26"/>
          <w:szCs w:val="26"/>
        </w:rPr>
        <w:t xml:space="preserve">Sexta </w:t>
      </w:r>
      <w:r w:rsidRPr="00CB6405">
        <w:rPr>
          <w:rFonts w:ascii="Arial" w:hAnsi="Arial" w:cs="Arial"/>
          <w:sz w:val="26"/>
          <w:szCs w:val="26"/>
        </w:rPr>
        <w:t xml:space="preserve">Sala Unitaria de Primera Instancia, </w:t>
      </w:r>
      <w:r w:rsidR="00A06C57">
        <w:rPr>
          <w:rFonts w:ascii="Arial" w:hAnsi="Arial" w:cs="Arial"/>
          <w:b/>
          <w:sz w:val="26"/>
          <w:szCs w:val="26"/>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111EC189" w14:textId="77777777"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4243A2">
        <w:rPr>
          <w:rFonts w:ascii="Arial" w:hAnsi="Arial" w:cs="Arial"/>
          <w:bCs/>
          <w:sz w:val="26"/>
          <w:szCs w:val="26"/>
        </w:rPr>
        <w:t>El auto recurrido es el siguiente</w:t>
      </w:r>
      <w:r>
        <w:rPr>
          <w:rFonts w:ascii="Arial" w:hAnsi="Arial" w:cs="Arial"/>
          <w:bCs/>
          <w:sz w:val="26"/>
          <w:szCs w:val="26"/>
        </w:rPr>
        <w:t>:</w:t>
      </w:r>
    </w:p>
    <w:p w14:paraId="63F36222" w14:textId="4E068FBD" w:rsidR="005770C1" w:rsidRPr="00C06661" w:rsidRDefault="005770C1" w:rsidP="007F302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4243A2">
        <w:rPr>
          <w:rFonts w:ascii="Arial" w:eastAsia="Times New Roman" w:hAnsi="Arial" w:cs="Arial"/>
          <w:bCs/>
          <w:i/>
          <w:iCs/>
          <w:sz w:val="24"/>
          <w:szCs w:val="24"/>
          <w:lang w:eastAsia="es-ES"/>
        </w:rPr>
        <w:t>Por recibido en la Oficialía de Partes</w:t>
      </w:r>
      <w:r w:rsidR="007A6F8C">
        <w:rPr>
          <w:rFonts w:ascii="Arial" w:eastAsia="Times New Roman" w:hAnsi="Arial" w:cs="Arial"/>
          <w:bCs/>
          <w:i/>
          <w:iCs/>
          <w:sz w:val="24"/>
          <w:szCs w:val="24"/>
          <w:lang w:eastAsia="es-ES"/>
        </w:rPr>
        <w:t xml:space="preserve"> Común de Primera Instancia de este Tribunal el uno del presente mes y año, el escrito de demanda de </w:t>
      </w:r>
      <w:r w:rsidR="00A06C57">
        <w:rPr>
          <w:rFonts w:ascii="Arial" w:eastAsia="Times New Roman" w:hAnsi="Arial" w:cs="Arial"/>
          <w:b/>
          <w:bCs/>
          <w:i/>
          <w:iCs/>
          <w:sz w:val="24"/>
          <w:szCs w:val="24"/>
          <w:lang w:eastAsia="es-ES"/>
        </w:rPr>
        <w:t>**********</w:t>
      </w:r>
      <w:r w:rsidR="007A6F8C">
        <w:rPr>
          <w:rFonts w:ascii="Arial" w:eastAsia="Times New Roman" w:hAnsi="Arial" w:cs="Arial"/>
          <w:b/>
          <w:bCs/>
          <w:i/>
          <w:iCs/>
          <w:sz w:val="24"/>
          <w:szCs w:val="24"/>
          <w:lang w:eastAsia="es-ES"/>
        </w:rPr>
        <w:t xml:space="preserve"> </w:t>
      </w:r>
      <w:r w:rsidR="007A6F8C">
        <w:rPr>
          <w:rFonts w:ascii="Arial" w:eastAsia="Times New Roman" w:hAnsi="Arial" w:cs="Arial"/>
          <w:bCs/>
          <w:i/>
          <w:iCs/>
          <w:sz w:val="24"/>
          <w:szCs w:val="24"/>
          <w:lang w:eastAsia="es-ES"/>
        </w:rPr>
        <w:t xml:space="preserve">quien por derecho propio e indicando como prestación lo siguiente: ´…a) la declaración administrativa mediante resolución definitiva de </w:t>
      </w:r>
      <w:r w:rsidR="007A6F8C">
        <w:rPr>
          <w:rFonts w:ascii="Arial" w:eastAsia="Times New Roman" w:hAnsi="Arial" w:cs="Arial"/>
          <w:b/>
          <w:bCs/>
          <w:i/>
          <w:iCs/>
          <w:sz w:val="24"/>
          <w:szCs w:val="24"/>
          <w:lang w:eastAsia="es-ES"/>
        </w:rPr>
        <w:t xml:space="preserve">NULIDAD ABSOLUTA DEL PROCEDIMIENTO ADMINISTRATIVO CONCLUIDO SEGUIDO ENFORMA (sic) DE JUICIO </w:t>
      </w:r>
      <w:r w:rsidR="007A6F8C">
        <w:rPr>
          <w:rFonts w:ascii="Arial" w:eastAsia="Times New Roman" w:hAnsi="Arial" w:cs="Arial"/>
          <w:bCs/>
          <w:i/>
          <w:iCs/>
          <w:sz w:val="24"/>
          <w:szCs w:val="24"/>
          <w:lang w:eastAsia="es-ES"/>
        </w:rPr>
        <w:t xml:space="preserve">radicado bajo el número de expediente 1274/RA/2011, iniciado en contra del Ciudadano </w:t>
      </w:r>
      <w:r w:rsidR="00A06C57" w:rsidRPr="00A06C57">
        <w:rPr>
          <w:rFonts w:ascii="Arial" w:eastAsia="Times New Roman" w:hAnsi="Arial" w:cs="Arial"/>
          <w:b/>
          <w:bCs/>
          <w:i/>
          <w:iCs/>
          <w:sz w:val="24"/>
          <w:szCs w:val="24"/>
          <w:lang w:eastAsia="es-ES"/>
        </w:rPr>
        <w:t>**********</w:t>
      </w:r>
      <w:r w:rsidR="007A6F8C">
        <w:rPr>
          <w:rFonts w:ascii="Arial" w:eastAsia="Times New Roman" w:hAnsi="Arial" w:cs="Arial"/>
          <w:bCs/>
          <w:i/>
          <w:iCs/>
          <w:sz w:val="24"/>
          <w:szCs w:val="24"/>
          <w:lang w:eastAsia="es-ES"/>
        </w:rPr>
        <w:t xml:space="preserve"> en el desempeño </w:t>
      </w:r>
      <w:r w:rsidR="007A6F8C">
        <w:rPr>
          <w:rFonts w:ascii="Arial" w:eastAsia="Times New Roman" w:hAnsi="Arial" w:cs="Arial"/>
          <w:bCs/>
          <w:i/>
          <w:iCs/>
          <w:sz w:val="24"/>
          <w:szCs w:val="24"/>
          <w:lang w:eastAsia="es-ES"/>
        </w:rPr>
        <w:lastRenderedPageBreak/>
        <w:t xml:space="preserve">de sus funciones como Director Administrativo de los Servidores de Salud de Oaxaca, iniciado con motivo de presuntas faltas administrativas atribuidas al entonces Servidor Público, antes mencionado; expediente que radicó y resolvió la Dirección de Procedimientos Jurídicos de la Secretaría de la Contraloría y Transparencia Gubernamental y actualmente se encuentra en la Dirección de Responsabilidades Administrativas y Situación Patrimonial, en el departamento de procedimientos Administrativos ´A´..´, del mismo modo, en su demanda, apunta hacia el tema de cosa juzgada, indicando lo siguiente… </w:t>
      </w:r>
      <w:r w:rsidR="007A6F8C">
        <w:rPr>
          <w:rFonts w:ascii="Arial" w:eastAsia="Times New Roman" w:hAnsi="Arial" w:cs="Arial"/>
          <w:b/>
          <w:bCs/>
          <w:i/>
          <w:iCs/>
          <w:sz w:val="24"/>
          <w:szCs w:val="24"/>
          <w:lang w:eastAsia="es-ES"/>
        </w:rPr>
        <w:t xml:space="preserve">De otra parte, </w:t>
      </w:r>
      <w:r w:rsidR="007A6F8C">
        <w:rPr>
          <w:rFonts w:ascii="Arial" w:eastAsia="Times New Roman" w:hAnsi="Arial" w:cs="Arial"/>
          <w:bCs/>
          <w:i/>
          <w:iCs/>
          <w:sz w:val="24"/>
          <w:szCs w:val="24"/>
          <w:lang w:eastAsia="es-ES"/>
        </w:rPr>
        <w:t xml:space="preserve">es de anotarse que constituye un </w:t>
      </w:r>
      <w:r w:rsidR="007A6F8C">
        <w:rPr>
          <w:rFonts w:ascii="Arial" w:eastAsia="Times New Roman" w:hAnsi="Arial" w:cs="Arial"/>
          <w:b/>
          <w:bCs/>
          <w:i/>
          <w:iCs/>
          <w:sz w:val="24"/>
          <w:szCs w:val="24"/>
          <w:lang w:eastAsia="es-ES"/>
        </w:rPr>
        <w:t xml:space="preserve">hecho notorio </w:t>
      </w:r>
      <w:r w:rsidR="007A6F8C">
        <w:rPr>
          <w:rFonts w:ascii="Arial" w:eastAsia="Times New Roman" w:hAnsi="Arial" w:cs="Arial"/>
          <w:bCs/>
          <w:i/>
          <w:iCs/>
          <w:sz w:val="24"/>
          <w:szCs w:val="24"/>
          <w:lang w:eastAsia="es-ES"/>
        </w:rPr>
        <w:t xml:space="preserve">para esta Sexta Sala Unitaria de Primera Instancia de este Tribunal que mediante escrito presentado en la Oficialía de Partes Común de este Tribunal el nueve de octubre de dos mil quince </w:t>
      </w:r>
      <w:r w:rsidR="00A06C57">
        <w:rPr>
          <w:rFonts w:ascii="Arial" w:eastAsia="Times New Roman" w:hAnsi="Arial" w:cs="Arial"/>
          <w:b/>
          <w:bCs/>
          <w:i/>
          <w:iCs/>
          <w:sz w:val="24"/>
          <w:szCs w:val="24"/>
          <w:lang w:eastAsia="es-ES"/>
        </w:rPr>
        <w:t>***********</w:t>
      </w:r>
      <w:r w:rsidR="007A6F8C">
        <w:rPr>
          <w:rFonts w:ascii="Arial" w:eastAsia="Times New Roman" w:hAnsi="Arial" w:cs="Arial"/>
          <w:b/>
          <w:bCs/>
          <w:i/>
          <w:iCs/>
          <w:sz w:val="24"/>
          <w:szCs w:val="24"/>
          <w:lang w:eastAsia="es-ES"/>
        </w:rPr>
        <w:t xml:space="preserve"> </w:t>
      </w:r>
      <w:r w:rsidR="007A6F8C">
        <w:rPr>
          <w:rFonts w:ascii="Arial" w:eastAsia="Times New Roman" w:hAnsi="Arial" w:cs="Arial"/>
          <w:bCs/>
          <w:i/>
          <w:iCs/>
          <w:sz w:val="24"/>
          <w:szCs w:val="24"/>
          <w:lang w:eastAsia="es-ES"/>
        </w:rPr>
        <w:t xml:space="preserve">presentó demanda de nulidad en contra del acuerdo de veintinueve de agosto de dos mil catorce derivado del expediente administrativo 1274/RA/2011 que desecha su recurso de revisión interpuesto en contra de la resolución de veinte de junio de dos mil catorce, juicio que quedó registrado bajo el número 330/2015 del índice del entonces Juzgado Segundo del Tribunal de lo Contencioso Administrativo y de Cuentas del Poder Judicial el Estado de Oaxaca y que posteriormente cambió su nomenclatura a juicio de nulidad </w:t>
      </w:r>
      <w:r w:rsidR="007A6F8C">
        <w:rPr>
          <w:rFonts w:ascii="Arial" w:eastAsia="Times New Roman" w:hAnsi="Arial" w:cs="Arial"/>
          <w:b/>
          <w:bCs/>
          <w:i/>
          <w:iCs/>
          <w:sz w:val="24"/>
          <w:szCs w:val="24"/>
          <w:lang w:eastAsia="es-ES"/>
        </w:rPr>
        <w:t xml:space="preserve">413/2016 de la Sexta Sala Unitaria de Primera Instancia del Tribunal de Justicia Administrativa del Estado de Oaxaca. </w:t>
      </w:r>
      <w:r w:rsidR="007A6F8C">
        <w:rPr>
          <w:rFonts w:ascii="Arial" w:eastAsia="Times New Roman" w:hAnsi="Arial" w:cs="Arial"/>
          <w:bCs/>
          <w:i/>
          <w:iCs/>
          <w:sz w:val="24"/>
          <w:szCs w:val="24"/>
          <w:lang w:eastAsia="es-ES"/>
        </w:rPr>
        <w:t xml:space="preserve">A este respecto importa destacar </w:t>
      </w:r>
      <w:r w:rsidR="00EC7068">
        <w:rPr>
          <w:rFonts w:ascii="Arial" w:eastAsia="Times New Roman" w:hAnsi="Arial" w:cs="Arial"/>
          <w:bCs/>
          <w:i/>
          <w:iCs/>
          <w:sz w:val="24"/>
          <w:szCs w:val="24"/>
          <w:lang w:eastAsia="es-ES"/>
        </w:rPr>
        <w:t xml:space="preserve">que en el relatado juicio, mediante resolución de veintinueve de noviembre de dos mil dieciséis se sobreseyó el juicio al considerar que se actualizaba la causal de improcedencia consistente en que el acto impugnado es un acto consentido por no haberse interpuesto demanda dentro del plazo que marca el artículo 136 de la Ley de Justicia Administrativa para el Estado de Oaxaca y, por ende se decretó el sobreseimiento del juicio con fundamento en los artículos 131 fracción V y 132 fracción II de la Ley Administrativa en cita. Más adelante en el relatado juicio el aquí demandante promovió recurso de revisión ante la Sala Superior de este Tribunal, la cual, hacia el trece de julio de dos mil diecisiete confirmo la resolución de sobreseimiento. Es pertinente destacar que en contra de esta última resolución </w:t>
      </w:r>
      <w:r w:rsidR="00A06C57" w:rsidRPr="00A06C57">
        <w:rPr>
          <w:rFonts w:ascii="Arial" w:eastAsia="Times New Roman" w:hAnsi="Arial" w:cs="Arial"/>
          <w:b/>
          <w:bCs/>
          <w:i/>
          <w:iCs/>
          <w:sz w:val="24"/>
          <w:szCs w:val="24"/>
          <w:lang w:eastAsia="es-ES"/>
        </w:rPr>
        <w:t>**********</w:t>
      </w:r>
      <w:r w:rsidR="00EC7068" w:rsidRPr="00A06C57">
        <w:rPr>
          <w:rFonts w:ascii="Arial" w:eastAsia="Times New Roman" w:hAnsi="Arial" w:cs="Arial"/>
          <w:b/>
          <w:bCs/>
          <w:i/>
          <w:iCs/>
          <w:sz w:val="24"/>
          <w:szCs w:val="24"/>
          <w:lang w:eastAsia="es-ES"/>
        </w:rPr>
        <w:t>,</w:t>
      </w:r>
      <w:r w:rsidR="00EC7068">
        <w:rPr>
          <w:rFonts w:ascii="Arial" w:eastAsia="Times New Roman" w:hAnsi="Arial" w:cs="Arial"/>
          <w:bCs/>
          <w:i/>
          <w:iCs/>
          <w:sz w:val="24"/>
          <w:szCs w:val="24"/>
          <w:lang w:eastAsia="es-ES"/>
        </w:rPr>
        <w:t xml:space="preserve"> promovió Juicio de Amparo indirecto y por ejecutoria de veintiocho de agosto de dos mil dieciocho se negó el Amparo y Protección de la Justicia </w:t>
      </w:r>
      <w:r w:rsidR="00EC7068">
        <w:rPr>
          <w:rFonts w:ascii="Arial" w:eastAsia="Times New Roman" w:hAnsi="Arial" w:cs="Arial"/>
          <w:bCs/>
          <w:i/>
          <w:iCs/>
          <w:sz w:val="24"/>
          <w:szCs w:val="24"/>
          <w:lang w:eastAsia="es-ES"/>
        </w:rPr>
        <w:lastRenderedPageBreak/>
        <w:t>Federal al aquí ocursante.</w:t>
      </w:r>
      <w:r w:rsidR="00A036C0">
        <w:rPr>
          <w:rFonts w:ascii="Arial" w:eastAsia="Times New Roman" w:hAnsi="Arial" w:cs="Arial"/>
          <w:bCs/>
          <w:i/>
          <w:iCs/>
          <w:sz w:val="24"/>
          <w:szCs w:val="24"/>
          <w:lang w:eastAsia="es-ES"/>
        </w:rPr>
        <w:t xml:space="preserve">- - - </w:t>
      </w:r>
      <w:r w:rsidR="00664AD1">
        <w:rPr>
          <w:rFonts w:ascii="Arial" w:eastAsia="Times New Roman" w:hAnsi="Arial" w:cs="Arial"/>
          <w:bCs/>
          <w:i/>
          <w:iCs/>
          <w:sz w:val="24"/>
          <w:szCs w:val="24"/>
          <w:lang w:eastAsia="es-ES"/>
        </w:rPr>
        <w:t xml:space="preserve">- - - - </w:t>
      </w:r>
      <w:r w:rsidR="00EC7068">
        <w:rPr>
          <w:rFonts w:ascii="Arial" w:eastAsia="Times New Roman" w:hAnsi="Arial" w:cs="Arial"/>
          <w:bCs/>
          <w:i/>
          <w:iCs/>
          <w:sz w:val="24"/>
          <w:szCs w:val="24"/>
          <w:lang w:eastAsia="es-ES"/>
        </w:rPr>
        <w:t>- - - - - - - - - - - - - - - - - - - - - - - - - - - - - - En otro aspecto, debe precisarse que con el escrito de cuenta, como lo indica el demandante, exhibió la copia certificada de las resoluciones dictadas en los recurso de revocación 21/2014, 18/2014 y 02/RR/2017 de uno de septiembre de dos mil dieciséis, diecisiete y diez de marzo de dos mil diecisiete, todas del índice de la Secretaría de la Contraloría y Transparencia Gubernamental del Estado de Oaxaca, en las que se modificó, en la parte conducente, las sanciones impuestas a los servidores públicos ahí señalados dentro del procedimiento administrativo de responsabilidad 1274/RA/2011. Igualmente, exhibió la copia certificada de la resolución de veinte de junio de dos mil catorce dictada dentro del expediente administrativo de responsabilidad 1274/RA/2011 de la Secretaría de la Contralorí</w:t>
      </w:r>
      <w:r w:rsidR="0097281A">
        <w:rPr>
          <w:rFonts w:ascii="Arial" w:eastAsia="Times New Roman" w:hAnsi="Arial" w:cs="Arial"/>
          <w:bCs/>
          <w:i/>
          <w:iCs/>
          <w:sz w:val="24"/>
          <w:szCs w:val="24"/>
          <w:lang w:eastAsia="es-ES"/>
        </w:rPr>
        <w:t xml:space="preserve">a y Transparencia Gubernamental, en la que se sancionó al hoy demandante y tales documentales tiene valor probatorio pleno conforme a lo dispuesto por el artículo 203 fracción I de la Ley de Procedimiento y Justicia Administrativa para el Estado de Oaxaca, al haber sido certificadas por servidor público en ejercicio de sus funciones como lo es el Jefe del Departamento de Procedimientos Administrativos ´A´ en ausencia del Director de Responsabilidades Administrativa y Situación Patrimonial de la Subsecretaría de Responsabilidades Administrativa y Anticorrupción de la Secretaría de la Contraloría y Transparencia Gubernamental del Estado de Oaxaca. </w:t>
      </w:r>
      <w:r w:rsidR="0097281A">
        <w:rPr>
          <w:rFonts w:ascii="Arial" w:eastAsia="Times New Roman" w:hAnsi="Arial" w:cs="Arial"/>
          <w:b/>
          <w:bCs/>
          <w:i/>
          <w:iCs/>
          <w:sz w:val="24"/>
          <w:szCs w:val="24"/>
          <w:lang w:eastAsia="es-ES"/>
        </w:rPr>
        <w:t xml:space="preserve">Esto porque, </w:t>
      </w:r>
      <w:r w:rsidR="0097281A">
        <w:rPr>
          <w:rFonts w:ascii="Arial" w:eastAsia="Times New Roman" w:hAnsi="Arial" w:cs="Arial"/>
          <w:bCs/>
          <w:i/>
          <w:iCs/>
          <w:sz w:val="24"/>
          <w:szCs w:val="24"/>
          <w:lang w:eastAsia="es-ES"/>
        </w:rPr>
        <w:t xml:space="preserve">como el mismo accionante lo adelante (sic) haciendo un estudio concatenado de su escrito de demanda, las constancias judiciales que corresponde al juicio de nulidad </w:t>
      </w:r>
      <w:r w:rsidR="0097281A">
        <w:rPr>
          <w:rFonts w:ascii="Arial" w:eastAsia="Times New Roman" w:hAnsi="Arial" w:cs="Arial"/>
          <w:b/>
          <w:bCs/>
          <w:i/>
          <w:iCs/>
          <w:sz w:val="24"/>
          <w:szCs w:val="24"/>
          <w:lang w:eastAsia="es-ES"/>
        </w:rPr>
        <w:t xml:space="preserve">413/2016 de la Sexta Sala Unitaria de Primera Instancia del Tribunal de Justicia Administrativa del Estado de Oaxaca </w:t>
      </w:r>
      <w:r w:rsidR="0097281A">
        <w:rPr>
          <w:rFonts w:ascii="Arial" w:eastAsia="Times New Roman" w:hAnsi="Arial" w:cs="Arial"/>
          <w:bCs/>
          <w:i/>
          <w:iCs/>
          <w:sz w:val="24"/>
          <w:szCs w:val="24"/>
          <w:lang w:eastAsia="es-ES"/>
        </w:rPr>
        <w:t xml:space="preserve">y las documentales que agrega en su libelo, permite arribar a la convicción de que la pretensión que señala en su ocurso (la declaración administrativa mediante resolución definitiva de </w:t>
      </w:r>
      <w:r w:rsidR="0097281A">
        <w:rPr>
          <w:rFonts w:ascii="Arial" w:eastAsia="Times New Roman" w:hAnsi="Arial" w:cs="Arial"/>
          <w:b/>
          <w:bCs/>
          <w:i/>
          <w:iCs/>
          <w:sz w:val="24"/>
          <w:szCs w:val="24"/>
          <w:lang w:eastAsia="es-ES"/>
        </w:rPr>
        <w:t xml:space="preserve">NULIDAD ABSOLUTA DEL PROCEDIMIENTO ADMINISTRATIVO CONCLUIDO SEGUIDO ENFORMA (sic) DE JUICIO </w:t>
      </w:r>
      <w:r w:rsidR="0097281A">
        <w:rPr>
          <w:rFonts w:ascii="Arial" w:eastAsia="Times New Roman" w:hAnsi="Arial" w:cs="Arial"/>
          <w:bCs/>
          <w:i/>
          <w:iCs/>
          <w:sz w:val="24"/>
          <w:szCs w:val="24"/>
          <w:lang w:eastAsia="es-ES"/>
        </w:rPr>
        <w:t xml:space="preserve">radicado bajo el número de expediente 1274/RA/2011, iniciado en contra del Ciudadano José Yuri Arias Cruz en el desempeño de sus funciones como Director Administrativo de los Servidores de Salud de Oaxaca, iniciado con motivo de </w:t>
      </w:r>
      <w:r w:rsidR="0097281A">
        <w:rPr>
          <w:rFonts w:ascii="Arial" w:eastAsia="Times New Roman" w:hAnsi="Arial" w:cs="Arial"/>
          <w:bCs/>
          <w:i/>
          <w:iCs/>
          <w:sz w:val="24"/>
          <w:szCs w:val="24"/>
          <w:lang w:eastAsia="es-ES"/>
        </w:rPr>
        <w:lastRenderedPageBreak/>
        <w:t xml:space="preserve">presuntas faltas administrativas atribuidas al entonces Servidor Público, antes mencionado; expediente que radicó y resolvió la Dirección de Procedimientos Jurídicos de la Secretaría de la Contraloría y Transparencia Gubernamental y actualmente se encuentra en la Dirección de Responsabilidades Administrativas y Situación Patrimonial, en el departamento de procedimientos Administrativos ´A´), pretende </w:t>
      </w:r>
      <w:r w:rsidR="0097281A">
        <w:rPr>
          <w:rFonts w:ascii="Arial" w:eastAsia="Times New Roman" w:hAnsi="Arial" w:cs="Arial"/>
          <w:b/>
          <w:bCs/>
          <w:i/>
          <w:iCs/>
          <w:sz w:val="24"/>
          <w:szCs w:val="24"/>
          <w:lang w:eastAsia="es-ES"/>
        </w:rPr>
        <w:t xml:space="preserve">por un lado, </w:t>
      </w:r>
      <w:r w:rsidR="0097281A">
        <w:rPr>
          <w:rFonts w:ascii="Arial" w:eastAsia="Times New Roman" w:hAnsi="Arial" w:cs="Arial"/>
          <w:bCs/>
          <w:i/>
          <w:iCs/>
          <w:sz w:val="24"/>
          <w:szCs w:val="24"/>
          <w:lang w:eastAsia="es-ES"/>
        </w:rPr>
        <w:t xml:space="preserve">que se realice un estudio de cuestiones que ya han sido sometidas a la jurisdicción de este mismo Tribunal. Pues con su demanda presentada el nueve de octubre de dos mil quince, impugnó la resolución que en sede administrativa desecho su recurso de revocación intentado en contra de la resolución de veinte de junio de dos mil catorce del expediente administrativo de responsabilidad 1274/RA/2011, la cual ni siquiera fue analizada por este Tribunal al considerar que los actos que demandó constituyen actos consentidos conforme  al artículo 131 fracción VI, en relación con el diversos 136 de la Ley de Justicia Administrativa para el Estado de Oaxaca por lo que sobreseyó el relatado juicio, sobreseimiento que fue confirmado por la segunda instancia de este Órgano Jurisdiccional, incluso por la Autoridad Federal quien negó el Amparo y Protección </w:t>
      </w:r>
      <w:r w:rsidR="007B26B8">
        <w:rPr>
          <w:rFonts w:ascii="Arial" w:eastAsia="Times New Roman" w:hAnsi="Arial" w:cs="Arial"/>
          <w:bCs/>
          <w:i/>
          <w:iCs/>
          <w:sz w:val="24"/>
          <w:szCs w:val="24"/>
          <w:lang w:eastAsia="es-ES"/>
        </w:rPr>
        <w:t xml:space="preserve"> de la Justicia Federal al aquí demandante. Y de esta manera pretende que se haga un estudio sobre </w:t>
      </w:r>
      <w:r w:rsidR="007B26B8">
        <w:rPr>
          <w:rFonts w:ascii="Arial" w:eastAsia="Times New Roman" w:hAnsi="Arial" w:cs="Arial"/>
          <w:b/>
          <w:bCs/>
          <w:i/>
          <w:iCs/>
          <w:sz w:val="24"/>
          <w:szCs w:val="24"/>
          <w:lang w:eastAsia="es-ES"/>
        </w:rPr>
        <w:t xml:space="preserve">cosa juzgada. </w:t>
      </w:r>
      <w:r w:rsidR="007B26B8">
        <w:rPr>
          <w:rFonts w:ascii="Arial" w:eastAsia="Times New Roman" w:hAnsi="Arial" w:cs="Arial"/>
          <w:bCs/>
          <w:i/>
          <w:iCs/>
          <w:sz w:val="24"/>
          <w:szCs w:val="24"/>
          <w:lang w:eastAsia="es-ES"/>
        </w:rPr>
        <w:t xml:space="preserve">Y por </w:t>
      </w:r>
      <w:r w:rsidR="007B26B8">
        <w:rPr>
          <w:rFonts w:ascii="Arial" w:eastAsia="Times New Roman" w:hAnsi="Arial" w:cs="Arial"/>
          <w:b/>
          <w:bCs/>
          <w:i/>
          <w:iCs/>
          <w:sz w:val="24"/>
          <w:szCs w:val="24"/>
          <w:lang w:eastAsia="es-ES"/>
        </w:rPr>
        <w:t xml:space="preserve">otro lado, </w:t>
      </w:r>
      <w:r w:rsidR="007B26B8">
        <w:rPr>
          <w:rFonts w:ascii="Arial" w:eastAsia="Times New Roman" w:hAnsi="Arial" w:cs="Arial"/>
          <w:bCs/>
          <w:i/>
          <w:iCs/>
          <w:sz w:val="24"/>
          <w:szCs w:val="24"/>
          <w:lang w:eastAsia="es-ES"/>
        </w:rPr>
        <w:t xml:space="preserve">pretende que se revoque un procedimiento administrativo de responsabilidad el cual ha sufrido modificaciones debido a los recursos de revocación que han intentado, por su parte algunas o todas, las personas en contra de quienes estaba instaurado. Y que se ha ido modificando conforme a lo planteado por cada uno de los administrados y lo resuelto en cada uno de sus recursos, como se deduce de las copias certificadas exhibidas en este expediente (recurso de revocación 21/2017, 18/2014 y 02/RR/2017de (sic) uno de septiembre de dos mil dieciséis, diecisiete y diez de marzo de dos mil diecisiete, todas del índice de la Secretaría de la Contraloría y Transparencia Gubernamental del Estado de Oaxaca).- - - - - - - - - - - - - - - - En cuanto al tema de cosa juzgada, debe precisarse que tal figura jurídica implica que se ha establecido, que un asunto analizado por un Tribunal ha quedado firme y que esa firmeza obedece, , o bien al transcurso del tiempo o bien a que se han agotado los medios jurisdiccionales que se pueden hacer valer dentro de una secuela procedimental. De donde, la cosa </w:t>
      </w:r>
      <w:r w:rsidR="007B26B8">
        <w:rPr>
          <w:rFonts w:ascii="Arial" w:eastAsia="Times New Roman" w:hAnsi="Arial" w:cs="Arial"/>
          <w:bCs/>
          <w:i/>
          <w:iCs/>
          <w:sz w:val="24"/>
          <w:szCs w:val="24"/>
          <w:lang w:eastAsia="es-ES"/>
        </w:rPr>
        <w:lastRenderedPageBreak/>
        <w:t>juzgada, supone certeza y seguridad jurídica para las personas, debido que a partir de la firmeza de las determinaciones, aquéllos que han sido sometidos a un juicio tiene la seguridad de que las determinaciones tomadas dentro del juicio quedarán inmutables. En ese sentido, no debe perderse de vista que el propio actor indica que por una resolución de diecinueve de enero de dos mil diecisiete la Sala Superior del Tribunal de lo Contencioso Administrativo y de Cuentas del Poder Judicial del Estado de Oaxaca declaró la nulidad lisa y llana de la resolución de veinticinco de junio de dos mil catorce</w:t>
      </w:r>
      <w:r w:rsidR="000D5CD7">
        <w:rPr>
          <w:rFonts w:ascii="Arial" w:eastAsia="Times New Roman" w:hAnsi="Arial" w:cs="Arial"/>
          <w:bCs/>
          <w:i/>
          <w:iCs/>
          <w:sz w:val="24"/>
          <w:szCs w:val="24"/>
          <w:lang w:eastAsia="es-ES"/>
        </w:rPr>
        <w:t xml:space="preserve"> y, que a consecuencia de ello, el diecisiete de marzo del año dos mil diecisiete la Unidad Auxiliar y de Recursos de la Subsecretaría de Responsabilidades y Transparencia de la Secretaría de la Contraloría y Transparencia Gubernamental, dentro del recurso de revocación 18/2014, dictó una nueva resolución en la que esencialmente absolvió a los servidores públicos </w:t>
      </w:r>
      <w:r w:rsidR="00A06C57" w:rsidRPr="00A06C57">
        <w:rPr>
          <w:rFonts w:ascii="Arial" w:eastAsia="Times New Roman" w:hAnsi="Arial" w:cs="Arial"/>
          <w:b/>
          <w:bCs/>
          <w:i/>
          <w:iCs/>
          <w:sz w:val="24"/>
          <w:szCs w:val="24"/>
          <w:lang w:eastAsia="es-ES"/>
        </w:rPr>
        <w:t>************</w:t>
      </w:r>
      <w:r w:rsidR="000D5CD7">
        <w:rPr>
          <w:rFonts w:ascii="Arial" w:eastAsia="Times New Roman" w:hAnsi="Arial" w:cs="Arial"/>
          <w:bCs/>
          <w:i/>
          <w:iCs/>
          <w:sz w:val="24"/>
          <w:szCs w:val="24"/>
          <w:lang w:eastAsia="es-ES"/>
        </w:rPr>
        <w:t xml:space="preserve"> en contra de quienes se instauró el mismo procedimiento de responsabilidad 1274/RA/2011, luego, la determinación de la sede administrativa surgió como una consecuencia de la decisión adoptada por la Segunda Instancia de este Tribunal, es decir, en cumplimiento a esa decisión. Por tanto, la determinación de la Sala Superior en ese caso, ya produjo sus consecuencias legales en la sede administrativa y para las personas a quienes va dirigida. De ahí que plantear la posibilidad de variar tal circunstancia es contrario a derecho, como lo pretende el accionante al indicar que pretende la declaración de nulidad absoluta del procedimiento administrativo de responsabilidad 1275/RA/2011; ya que pretende alterar determinaciones que a más que han quedado firmes (sic) han generado otras consecuencias jurídicas. </w:t>
      </w:r>
      <w:r w:rsidR="000D5CD7">
        <w:rPr>
          <w:rFonts w:ascii="Arial" w:eastAsia="Times New Roman" w:hAnsi="Arial" w:cs="Arial"/>
          <w:b/>
          <w:bCs/>
          <w:i/>
          <w:iCs/>
          <w:sz w:val="24"/>
          <w:szCs w:val="24"/>
          <w:lang w:eastAsia="es-ES"/>
        </w:rPr>
        <w:t xml:space="preserve">Luego, </w:t>
      </w:r>
      <w:r w:rsidR="000D5CD7">
        <w:rPr>
          <w:rFonts w:ascii="Arial" w:eastAsia="Times New Roman" w:hAnsi="Arial" w:cs="Arial"/>
          <w:bCs/>
          <w:i/>
          <w:iCs/>
          <w:sz w:val="24"/>
          <w:szCs w:val="24"/>
          <w:lang w:eastAsia="es-ES"/>
        </w:rPr>
        <w:t>no es posible admitir a trámite la demanda hoy instaurada, porque tiene por objeto que este Tribunal analice debates jurídicos sobre los que ya se pronunció y además busca dejar sin efecto decisiones que han quedado firmes dentro del Tribunal y también para las partes en otras instancias como la sede administrativa. Es por ello que con fundamento</w:t>
      </w:r>
      <w:r w:rsidR="00E54112">
        <w:rPr>
          <w:rFonts w:ascii="Arial" w:eastAsia="Times New Roman" w:hAnsi="Arial" w:cs="Arial"/>
          <w:bCs/>
          <w:i/>
          <w:iCs/>
          <w:sz w:val="24"/>
          <w:szCs w:val="24"/>
          <w:lang w:eastAsia="es-ES"/>
        </w:rPr>
        <w:t xml:space="preserve"> en los artículos 161 fracción IV y 158 de la Ley de procedimiento y Justicia Administrativa para el Estado de Oaxaca, </w:t>
      </w:r>
      <w:r w:rsidR="00E54112">
        <w:rPr>
          <w:rFonts w:ascii="Arial" w:eastAsia="Times New Roman" w:hAnsi="Arial" w:cs="Arial"/>
          <w:b/>
          <w:bCs/>
          <w:i/>
          <w:iCs/>
          <w:sz w:val="24"/>
          <w:szCs w:val="24"/>
          <w:lang w:eastAsia="es-ES"/>
        </w:rPr>
        <w:t xml:space="preserve">se desecha </w:t>
      </w:r>
      <w:r w:rsidR="00E54112">
        <w:rPr>
          <w:rFonts w:ascii="Arial" w:eastAsia="Times New Roman" w:hAnsi="Arial" w:cs="Arial"/>
          <w:bCs/>
          <w:i/>
          <w:iCs/>
          <w:sz w:val="24"/>
          <w:szCs w:val="24"/>
          <w:lang w:eastAsia="es-ES"/>
        </w:rPr>
        <w:t xml:space="preserve">la demanda de </w:t>
      </w:r>
      <w:r w:rsidR="00A06C57" w:rsidRPr="00A06C57">
        <w:rPr>
          <w:rFonts w:ascii="Arial" w:eastAsia="Times New Roman" w:hAnsi="Arial" w:cs="Arial"/>
          <w:b/>
          <w:bCs/>
          <w:i/>
          <w:iCs/>
          <w:sz w:val="24"/>
          <w:szCs w:val="24"/>
          <w:lang w:eastAsia="es-ES"/>
        </w:rPr>
        <w:t>**********</w:t>
      </w:r>
      <w:r w:rsidR="00E54112" w:rsidRPr="00A06C57">
        <w:rPr>
          <w:rFonts w:ascii="Arial" w:eastAsia="Times New Roman" w:hAnsi="Arial" w:cs="Arial"/>
          <w:b/>
          <w:bCs/>
          <w:i/>
          <w:iCs/>
          <w:sz w:val="24"/>
          <w:szCs w:val="24"/>
          <w:lang w:eastAsia="es-ES"/>
        </w:rPr>
        <w:t>…</w:t>
      </w:r>
      <w:r w:rsidRPr="00A06C57">
        <w:rPr>
          <w:rFonts w:ascii="Arial" w:eastAsia="Times New Roman" w:hAnsi="Arial" w:cs="Arial"/>
          <w:b/>
          <w:bCs/>
          <w:i/>
          <w:iCs/>
          <w:sz w:val="24"/>
          <w:szCs w:val="24"/>
          <w:lang w:eastAsia="es-ES"/>
        </w:rPr>
        <w:t>”</w:t>
      </w:r>
    </w:p>
    <w:p w14:paraId="0B08A97E" w14:textId="77777777"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665AF2E7" w14:textId="77777777" w:rsidR="005770C1" w:rsidRPr="00CB6405" w:rsidRDefault="00A036C0"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lastRenderedPageBreak/>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w:t>
      </w:r>
      <w:bookmarkStart w:id="0" w:name="_GoBack"/>
      <w:bookmarkEnd w:id="0"/>
      <w:r>
        <w:rPr>
          <w:rFonts w:ascii="Arial" w:hAnsi="Arial" w:cs="Arial"/>
          <w:bCs/>
          <w:iCs/>
          <w:sz w:val="26"/>
          <w:szCs w:val="26"/>
        </w:rPr>
        <w:t>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del</w:t>
      </w:r>
      <w:r w:rsidR="004243A2">
        <w:rPr>
          <w:rFonts w:ascii="Arial" w:hAnsi="Arial" w:cs="Arial"/>
          <w:bCs/>
          <w:iCs/>
          <w:sz w:val="26"/>
          <w:szCs w:val="26"/>
        </w:rPr>
        <w:t xml:space="preserve"> auto de veintidós de octubre </w:t>
      </w:r>
      <w:r w:rsidR="005770C1">
        <w:rPr>
          <w:rFonts w:ascii="Arial" w:hAnsi="Arial" w:cs="Arial"/>
          <w:bCs/>
          <w:iCs/>
          <w:sz w:val="26"/>
          <w:szCs w:val="26"/>
        </w:rPr>
        <w:t>de dos mil dieci</w:t>
      </w:r>
      <w:r w:rsidR="006B5FFF">
        <w:rPr>
          <w:rFonts w:ascii="Arial" w:hAnsi="Arial" w:cs="Arial"/>
          <w:bCs/>
          <w:iCs/>
          <w:sz w:val="26"/>
          <w:szCs w:val="26"/>
        </w:rPr>
        <w:t>nueve</w:t>
      </w:r>
      <w:r w:rsidR="005770C1">
        <w:rPr>
          <w:rFonts w:ascii="Arial" w:hAnsi="Arial" w:cs="Arial"/>
          <w:bCs/>
          <w:iCs/>
          <w:sz w:val="26"/>
          <w:szCs w:val="26"/>
        </w:rPr>
        <w:t>,</w:t>
      </w:r>
      <w:r w:rsidR="004243A2">
        <w:rPr>
          <w:rFonts w:ascii="Arial" w:hAnsi="Arial" w:cs="Arial"/>
          <w:bCs/>
          <w:iCs/>
          <w:sz w:val="26"/>
          <w:szCs w:val="26"/>
        </w:rPr>
        <w:t xml:space="preserve"> dictado </w:t>
      </w:r>
      <w:r w:rsidR="005770C1" w:rsidRPr="00CB6405">
        <w:rPr>
          <w:rFonts w:ascii="Arial" w:hAnsi="Arial" w:cs="Arial"/>
          <w:bCs/>
          <w:iCs/>
          <w:sz w:val="26"/>
          <w:szCs w:val="26"/>
        </w:rPr>
        <w:t xml:space="preserve">por la </w:t>
      </w:r>
      <w:r w:rsidR="004243A2">
        <w:rPr>
          <w:rFonts w:ascii="Arial" w:hAnsi="Arial" w:cs="Arial"/>
          <w:bCs/>
          <w:iCs/>
          <w:sz w:val="26"/>
          <w:szCs w:val="26"/>
        </w:rPr>
        <w:t xml:space="preserve">Sexta </w:t>
      </w:r>
      <w:r w:rsidR="005770C1" w:rsidRPr="00CB6405">
        <w:rPr>
          <w:rFonts w:ascii="Arial" w:hAnsi="Arial" w:cs="Arial"/>
          <w:bCs/>
          <w:iCs/>
          <w:sz w:val="26"/>
          <w:szCs w:val="26"/>
        </w:rPr>
        <w:t xml:space="preserve">Sala Unitaria de Primera Instancia de este Tribunal, en el expediente </w:t>
      </w:r>
      <w:r w:rsidR="004243A2">
        <w:rPr>
          <w:rFonts w:ascii="Arial" w:hAnsi="Arial" w:cs="Arial"/>
          <w:b/>
          <w:bCs/>
          <w:iCs/>
          <w:sz w:val="26"/>
          <w:szCs w:val="26"/>
        </w:rPr>
        <w:t>111</w:t>
      </w:r>
      <w:r w:rsidR="00664AD1">
        <w:rPr>
          <w:rFonts w:ascii="Arial" w:hAnsi="Arial" w:cs="Arial"/>
          <w:b/>
          <w:bCs/>
          <w:iCs/>
          <w:sz w:val="26"/>
          <w:szCs w:val="26"/>
        </w:rPr>
        <w:t>/2019</w:t>
      </w:r>
      <w:r w:rsidR="005770C1" w:rsidRPr="00CB6405">
        <w:rPr>
          <w:rFonts w:ascii="Arial" w:hAnsi="Arial" w:cs="Arial"/>
          <w:sz w:val="26"/>
          <w:szCs w:val="26"/>
        </w:rPr>
        <w:t>.</w:t>
      </w:r>
    </w:p>
    <w:p w14:paraId="4A258798" w14:textId="77777777"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1CCFBFD7" w14:textId="77777777" w:rsidR="00EB0FE9" w:rsidRDefault="00EB0FE9" w:rsidP="00227A95">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 xml:space="preserve">CONCEPTOS DE </w:t>
      </w:r>
      <w:r w:rsidR="009D79D7">
        <w:rPr>
          <w:rFonts w:ascii="Arial" w:hAnsi="Arial" w:cs="Arial"/>
          <w:b/>
          <w:i/>
        </w:rPr>
        <w:t>VIOLACIÓN</w:t>
      </w:r>
      <w:r>
        <w:rPr>
          <w:rFonts w:ascii="Arial" w:hAnsi="Arial" w:cs="Arial"/>
          <w:b/>
          <w:i/>
        </w:rPr>
        <w:t>.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68FF6AFA" w14:textId="77777777" w:rsidR="004243A2" w:rsidRDefault="00A036C0"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Pr>
          <w:rFonts w:ascii="Arial" w:eastAsia="Calibri" w:hAnsi="Arial" w:cs="Arial"/>
          <w:b/>
          <w:bCs/>
          <w:sz w:val="26"/>
          <w:szCs w:val="26"/>
        </w:rPr>
        <w:t>TERCERO.</w:t>
      </w:r>
      <w:r w:rsidR="008B3583">
        <w:rPr>
          <w:rFonts w:ascii="Arial" w:eastAsia="Calibri" w:hAnsi="Arial" w:cs="Arial"/>
          <w:b/>
          <w:bCs/>
          <w:sz w:val="26"/>
          <w:szCs w:val="26"/>
        </w:rPr>
        <w:t xml:space="preserve"> </w:t>
      </w:r>
      <w:r w:rsidR="004243A2">
        <w:rPr>
          <w:rFonts w:ascii="Arial" w:hAnsi="Arial" w:cs="Arial"/>
          <w:bCs/>
          <w:color w:val="000000"/>
          <w:sz w:val="26"/>
          <w:szCs w:val="26"/>
        </w:rPr>
        <w:t xml:space="preserve">Alega que le agravia el auto </w:t>
      </w:r>
      <w:r w:rsidR="006D53C0">
        <w:rPr>
          <w:rFonts w:ascii="Arial" w:hAnsi="Arial" w:cs="Arial"/>
          <w:bCs/>
          <w:color w:val="000000"/>
          <w:sz w:val="26"/>
          <w:szCs w:val="26"/>
        </w:rPr>
        <w:t>en revisión</w:t>
      </w:r>
      <w:r w:rsidR="004243A2">
        <w:rPr>
          <w:rFonts w:ascii="Arial" w:hAnsi="Arial" w:cs="Arial"/>
          <w:bCs/>
          <w:color w:val="000000"/>
          <w:sz w:val="26"/>
          <w:szCs w:val="26"/>
        </w:rPr>
        <w:t xml:space="preserve">, porque se le niega la posibilidad de hacer valer su garantía de debido proceso; </w:t>
      </w:r>
      <w:r w:rsidR="006D53C0">
        <w:rPr>
          <w:rFonts w:ascii="Arial" w:hAnsi="Arial" w:cs="Arial"/>
          <w:bCs/>
          <w:color w:val="000000"/>
          <w:sz w:val="26"/>
          <w:szCs w:val="26"/>
        </w:rPr>
        <w:t xml:space="preserve">al respecto </w:t>
      </w:r>
      <w:r w:rsidR="004243A2">
        <w:rPr>
          <w:rFonts w:ascii="Arial" w:hAnsi="Arial" w:cs="Arial"/>
          <w:bCs/>
          <w:color w:val="000000"/>
          <w:sz w:val="26"/>
          <w:szCs w:val="26"/>
        </w:rPr>
        <w:t>precisa que su demanda la ejerció como una excepción al principio de cosa juzgada</w:t>
      </w:r>
      <w:r w:rsidR="006D53C0">
        <w:rPr>
          <w:rFonts w:ascii="Arial" w:hAnsi="Arial" w:cs="Arial"/>
          <w:bCs/>
          <w:color w:val="000000"/>
          <w:sz w:val="26"/>
          <w:szCs w:val="26"/>
        </w:rPr>
        <w:t>, la cual tiene lugar cuando el primer procedimiento o juicio se haya tramitado sin observar el proceso legal; siendo así que su demanda la fundó en que no se tomaron en cuenta las pruebas que obraban en el procedimiento administrativo</w:t>
      </w:r>
      <w:r w:rsidR="004243A2">
        <w:rPr>
          <w:rFonts w:ascii="Arial" w:hAnsi="Arial" w:cs="Arial"/>
          <w:bCs/>
          <w:color w:val="000000"/>
          <w:sz w:val="26"/>
          <w:szCs w:val="26"/>
        </w:rPr>
        <w:t>,</w:t>
      </w:r>
      <w:r w:rsidR="006D53C0">
        <w:rPr>
          <w:rFonts w:ascii="Arial" w:hAnsi="Arial" w:cs="Arial"/>
          <w:bCs/>
          <w:color w:val="000000"/>
          <w:sz w:val="26"/>
          <w:szCs w:val="26"/>
        </w:rPr>
        <w:t xml:space="preserve"> con la que </w:t>
      </w:r>
      <w:r w:rsidR="006D53C0">
        <w:rPr>
          <w:rFonts w:ascii="Arial" w:hAnsi="Arial" w:cs="Arial"/>
          <w:bCs/>
          <w:color w:val="000000"/>
          <w:sz w:val="26"/>
          <w:szCs w:val="26"/>
        </w:rPr>
        <w:lastRenderedPageBreak/>
        <w:t>se demostraba la inexistencia de la responsabilidad que le fue atribuida.</w:t>
      </w:r>
    </w:p>
    <w:p w14:paraId="29B7EACA" w14:textId="794EF530" w:rsidR="003348B1" w:rsidRDefault="006D53C0"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Contin</w:t>
      </w:r>
      <w:r w:rsidR="003348B1">
        <w:rPr>
          <w:rFonts w:ascii="Arial" w:hAnsi="Arial" w:cs="Arial"/>
          <w:bCs/>
          <w:color w:val="000000"/>
          <w:sz w:val="26"/>
          <w:szCs w:val="26"/>
        </w:rPr>
        <w:t xml:space="preserve">úa indicado, </w:t>
      </w:r>
      <w:r>
        <w:rPr>
          <w:rFonts w:ascii="Arial" w:hAnsi="Arial" w:cs="Arial"/>
          <w:bCs/>
          <w:color w:val="000000"/>
          <w:sz w:val="26"/>
          <w:szCs w:val="26"/>
        </w:rPr>
        <w:t>que si bien es cierto que la cosa juzgada es una institución procesal que se entiende como la inmutabilidad de lo resuelto en una sentencia firm</w:t>
      </w:r>
      <w:r w:rsidR="0081111B">
        <w:rPr>
          <w:rFonts w:ascii="Arial" w:hAnsi="Arial" w:cs="Arial"/>
          <w:bCs/>
          <w:color w:val="000000"/>
          <w:sz w:val="26"/>
          <w:szCs w:val="26"/>
        </w:rPr>
        <w:t>e</w:t>
      </w:r>
      <w:r>
        <w:rPr>
          <w:rFonts w:ascii="Arial" w:hAnsi="Arial" w:cs="Arial"/>
          <w:bCs/>
          <w:color w:val="000000"/>
          <w:sz w:val="26"/>
          <w:szCs w:val="26"/>
        </w:rPr>
        <w:t xml:space="preserve">, sin que pueda admitirse su modificación por circunstancias posteriores; debe tomarse en cuenta que no existen derechos humanos absolutos, </w:t>
      </w:r>
      <w:r w:rsidR="003348B1">
        <w:rPr>
          <w:rFonts w:ascii="Arial" w:hAnsi="Arial" w:cs="Arial"/>
          <w:bCs/>
          <w:color w:val="000000"/>
          <w:sz w:val="26"/>
          <w:szCs w:val="26"/>
        </w:rPr>
        <w:t>y que por ello no puede afirmarse que la inmutabilidad de la cosa juzgada sea absoluta y negar a priori toda posibilidad de mutabilidad de ésta, en aras de obtener certeza jurídica; que tampoco asiste razón a la Primera Instancia, cuando argumenta que no se puede entrar al estudio de la acción que intent</w:t>
      </w:r>
      <w:r w:rsidR="00C8400D">
        <w:rPr>
          <w:rFonts w:ascii="Arial" w:hAnsi="Arial" w:cs="Arial"/>
          <w:bCs/>
          <w:color w:val="000000"/>
          <w:sz w:val="26"/>
          <w:szCs w:val="26"/>
        </w:rPr>
        <w:t>ó</w:t>
      </w:r>
      <w:r w:rsidR="003348B1">
        <w:rPr>
          <w:rFonts w:ascii="Arial" w:hAnsi="Arial" w:cs="Arial"/>
          <w:bCs/>
          <w:color w:val="000000"/>
          <w:sz w:val="26"/>
          <w:szCs w:val="26"/>
        </w:rPr>
        <w:t xml:space="preserve">, al existir diversas resolución que recayeron a </w:t>
      </w:r>
      <w:r w:rsidR="00C8400D">
        <w:rPr>
          <w:rFonts w:ascii="Arial" w:hAnsi="Arial" w:cs="Arial"/>
          <w:bCs/>
          <w:color w:val="000000"/>
          <w:sz w:val="26"/>
          <w:szCs w:val="26"/>
        </w:rPr>
        <w:t>varios</w:t>
      </w:r>
      <w:r w:rsidR="003348B1">
        <w:rPr>
          <w:rFonts w:ascii="Arial" w:hAnsi="Arial" w:cs="Arial"/>
          <w:bCs/>
          <w:color w:val="000000"/>
          <w:sz w:val="26"/>
          <w:szCs w:val="26"/>
        </w:rPr>
        <w:t xml:space="preserve"> procesos y que estas ya surtieron efectos sobre ellos y que al entrar al estudio de la nulidad se trastocaría la seguridad jurídica de las partes que ya fueron absueltas; porque la acción que intenta, resulta aplicable al suscrito.</w:t>
      </w:r>
    </w:p>
    <w:p w14:paraId="0FB7056D" w14:textId="77777777" w:rsidR="005218BF" w:rsidRDefault="003348B1"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También señala que no es correcta la determinación de la Primera Instancia, en la que precisó que al establecerse la procedencia de la acción, se violentaría la garantía de seguridad jurídica prevista por el artículo 14 de la Constitución Política de los Estados Unidos Mexicanos; pues dice el recurrente sustentó su demanda en bases sólidas y reales en las que se demuestran los vicios atribuidos al juicio cuestionado</w:t>
      </w:r>
      <w:r w:rsidR="005218BF">
        <w:rPr>
          <w:rFonts w:ascii="Arial" w:hAnsi="Arial" w:cs="Arial"/>
          <w:bCs/>
          <w:color w:val="000000"/>
          <w:sz w:val="26"/>
          <w:szCs w:val="26"/>
        </w:rPr>
        <w:t xml:space="preserve">; que ello es así, porque mediante resolución de dos de septiembre de dos mil once, la autoridad administrativa ordenó iniciar formal procedimiento de responsabilidad administrativa disciplinaria en contra de él y otros más; siendo solamente a él y a unos cuantos </w:t>
      </w:r>
      <w:r w:rsidR="00C8400D">
        <w:rPr>
          <w:rFonts w:ascii="Arial" w:hAnsi="Arial" w:cs="Arial"/>
          <w:bCs/>
          <w:color w:val="000000"/>
          <w:sz w:val="26"/>
          <w:szCs w:val="26"/>
        </w:rPr>
        <w:t xml:space="preserve">a los que </w:t>
      </w:r>
      <w:r w:rsidR="005218BF">
        <w:rPr>
          <w:rFonts w:ascii="Arial" w:hAnsi="Arial" w:cs="Arial"/>
          <w:bCs/>
          <w:color w:val="000000"/>
          <w:sz w:val="26"/>
          <w:szCs w:val="26"/>
        </w:rPr>
        <w:t>declara</w:t>
      </w:r>
      <w:r w:rsidR="00C8400D">
        <w:rPr>
          <w:rFonts w:ascii="Arial" w:hAnsi="Arial" w:cs="Arial"/>
          <w:bCs/>
          <w:color w:val="000000"/>
          <w:sz w:val="26"/>
          <w:szCs w:val="26"/>
        </w:rPr>
        <w:t xml:space="preserve">ron </w:t>
      </w:r>
      <w:r w:rsidR="005218BF">
        <w:rPr>
          <w:rFonts w:ascii="Arial" w:hAnsi="Arial" w:cs="Arial"/>
          <w:bCs/>
          <w:color w:val="000000"/>
          <w:sz w:val="26"/>
          <w:szCs w:val="26"/>
        </w:rPr>
        <w:t>responsables de las faltas administrativas atribuidas; pero, respecto a la misma falta administrativas, a los restantes se les declaró absueltos, dictando así en el mismo procedimiento sentencias contradictorias.</w:t>
      </w:r>
    </w:p>
    <w:p w14:paraId="7B57E95B" w14:textId="77777777" w:rsidR="005218BF" w:rsidRDefault="005218BF" w:rsidP="005218BF">
      <w:pPr>
        <w:widowControl w:val="0"/>
        <w:tabs>
          <w:tab w:val="left" w:pos="0"/>
        </w:tabs>
        <w:spacing w:before="240" w:after="0" w:line="360" w:lineRule="auto"/>
        <w:ind w:right="18"/>
        <w:jc w:val="both"/>
        <w:rPr>
          <w:rFonts w:ascii="Arial" w:hAnsi="Arial" w:cs="Arial"/>
          <w:sz w:val="26"/>
          <w:szCs w:val="26"/>
        </w:rPr>
      </w:pPr>
      <w:r>
        <w:rPr>
          <w:rFonts w:ascii="Arial" w:hAnsi="Arial" w:cs="Arial"/>
          <w:bCs/>
          <w:color w:val="000000"/>
          <w:sz w:val="26"/>
          <w:szCs w:val="26"/>
        </w:rPr>
        <w:tab/>
        <w:t>Todas e</w:t>
      </w:r>
      <w:r w:rsidR="000145B7">
        <w:rPr>
          <w:rFonts w:ascii="Arial" w:hAnsi="Arial" w:cs="Arial"/>
          <w:bCs/>
          <w:color w:val="000000"/>
          <w:sz w:val="26"/>
          <w:szCs w:val="26"/>
        </w:rPr>
        <w:t>st</w:t>
      </w:r>
      <w:r w:rsidR="006C4589">
        <w:rPr>
          <w:rFonts w:ascii="Arial" w:hAnsi="Arial" w:cs="Arial"/>
          <w:bCs/>
          <w:color w:val="000000"/>
          <w:sz w:val="26"/>
          <w:szCs w:val="26"/>
        </w:rPr>
        <w:t xml:space="preserve">as alegaciones son </w:t>
      </w:r>
      <w:r w:rsidR="006C4589" w:rsidRPr="006C4589">
        <w:rPr>
          <w:rFonts w:ascii="Arial" w:hAnsi="Arial" w:cs="Arial"/>
          <w:b/>
          <w:bCs/>
          <w:color w:val="000000"/>
          <w:sz w:val="26"/>
          <w:szCs w:val="26"/>
        </w:rPr>
        <w:t>i</w:t>
      </w:r>
      <w:r w:rsidR="000145B7" w:rsidRPr="006C4589">
        <w:rPr>
          <w:rFonts w:ascii="Arial" w:hAnsi="Arial" w:cs="Arial"/>
          <w:b/>
          <w:bCs/>
          <w:color w:val="000000"/>
          <w:sz w:val="26"/>
          <w:szCs w:val="26"/>
        </w:rPr>
        <w:t>noperante</w:t>
      </w:r>
      <w:r w:rsidR="006C4589">
        <w:rPr>
          <w:rFonts w:ascii="Arial" w:hAnsi="Arial" w:cs="Arial"/>
          <w:b/>
          <w:bCs/>
          <w:color w:val="000000"/>
          <w:sz w:val="26"/>
          <w:szCs w:val="26"/>
        </w:rPr>
        <w:t>s</w:t>
      </w:r>
      <w:r w:rsidR="006C4589">
        <w:rPr>
          <w:rFonts w:ascii="Arial" w:hAnsi="Arial" w:cs="Arial"/>
          <w:bCs/>
          <w:color w:val="000000"/>
          <w:sz w:val="26"/>
          <w:szCs w:val="26"/>
        </w:rPr>
        <w:t>, al no controvertir la</w:t>
      </w:r>
      <w:r>
        <w:rPr>
          <w:rFonts w:ascii="Arial" w:hAnsi="Arial" w:cs="Arial"/>
          <w:bCs/>
          <w:color w:val="000000"/>
          <w:sz w:val="26"/>
          <w:szCs w:val="26"/>
        </w:rPr>
        <w:t>s</w:t>
      </w:r>
      <w:r w:rsidR="006C4589">
        <w:rPr>
          <w:rFonts w:ascii="Arial" w:hAnsi="Arial" w:cs="Arial"/>
          <w:bCs/>
          <w:color w:val="000000"/>
          <w:sz w:val="26"/>
          <w:szCs w:val="26"/>
        </w:rPr>
        <w:t xml:space="preserve"> consideraci</w:t>
      </w:r>
      <w:r>
        <w:rPr>
          <w:rFonts w:ascii="Arial" w:hAnsi="Arial" w:cs="Arial"/>
          <w:bCs/>
          <w:color w:val="000000"/>
          <w:sz w:val="26"/>
          <w:szCs w:val="26"/>
        </w:rPr>
        <w:t xml:space="preserve">ones presentadas por </w:t>
      </w:r>
      <w:r w:rsidR="006C4589">
        <w:rPr>
          <w:rFonts w:ascii="Arial" w:hAnsi="Arial" w:cs="Arial"/>
          <w:bCs/>
          <w:color w:val="000000"/>
          <w:sz w:val="26"/>
          <w:szCs w:val="26"/>
        </w:rPr>
        <w:t xml:space="preserve">la Primera Instancia para </w:t>
      </w:r>
      <w:r>
        <w:rPr>
          <w:rFonts w:ascii="Arial" w:hAnsi="Arial" w:cs="Arial"/>
          <w:bCs/>
          <w:color w:val="000000"/>
          <w:sz w:val="26"/>
          <w:szCs w:val="26"/>
        </w:rPr>
        <w:t>desechar la demanda de nulidad interpuesta por el aquí recurrente;</w:t>
      </w:r>
      <w:r w:rsidR="006C4589">
        <w:rPr>
          <w:rFonts w:ascii="Arial" w:hAnsi="Arial" w:cs="Arial"/>
          <w:bCs/>
          <w:color w:val="000000"/>
          <w:sz w:val="26"/>
          <w:szCs w:val="26"/>
        </w:rPr>
        <w:t xml:space="preserve"> consistente en</w:t>
      </w:r>
      <w:r>
        <w:rPr>
          <w:rFonts w:ascii="Arial" w:hAnsi="Arial" w:cs="Arial"/>
          <w:bCs/>
          <w:color w:val="000000"/>
          <w:sz w:val="26"/>
          <w:szCs w:val="26"/>
        </w:rPr>
        <w:t xml:space="preserve"> que la demanda </w:t>
      </w:r>
      <w:r>
        <w:rPr>
          <w:rFonts w:ascii="Arial" w:hAnsi="Arial" w:cs="Arial"/>
          <w:sz w:val="26"/>
          <w:szCs w:val="26"/>
        </w:rPr>
        <w:t xml:space="preserve">tiene por objeto, que se realice el estudio sobre debates jurídicos sobre los que ya se pronunció la Primera Instancia, cuando resolvió la demanda interpuesta por el propio actor el nueve de octubre de dos mil quince, con la que se impugnó la resolución que desechó recurso de revocación que interpuso en sede administrativa contra la resolución de veinte de julio de dos mil catorce; además porque busca </w:t>
      </w:r>
      <w:r>
        <w:rPr>
          <w:rFonts w:ascii="Arial" w:hAnsi="Arial" w:cs="Arial"/>
          <w:sz w:val="26"/>
          <w:szCs w:val="26"/>
        </w:rPr>
        <w:lastRenderedPageBreak/>
        <w:t>dejar sin efecto decisiones que han quedado firmes dentro del Tribunal y por las partes en otras instancias como es la sede administrativa.</w:t>
      </w:r>
    </w:p>
    <w:p w14:paraId="76A04230" w14:textId="77777777" w:rsidR="00A34F6E" w:rsidRDefault="00A34F6E" w:rsidP="00A34F6E">
      <w:pPr>
        <w:spacing w:before="240" w:line="360" w:lineRule="auto"/>
        <w:ind w:firstLine="709"/>
        <w:jc w:val="both"/>
        <w:rPr>
          <w:rFonts w:ascii="Arial" w:eastAsia="Times New Roman" w:hAnsi="Arial"/>
          <w:color w:val="000000" w:themeColor="text1"/>
          <w:sz w:val="26"/>
          <w:szCs w:val="26"/>
          <w:lang w:val="es-MX"/>
        </w:rPr>
      </w:pPr>
      <w:r>
        <w:rPr>
          <w:rFonts w:ascii="Arial" w:hAnsi="Arial" w:cs="Arial"/>
          <w:bCs/>
          <w:color w:val="000000" w:themeColor="text1"/>
          <w:sz w:val="26"/>
          <w:szCs w:val="26"/>
          <w:lang w:val="es-MX"/>
        </w:rPr>
        <w:t xml:space="preserve">Sirve de apoyo a lo anterior la jurisprudencia </w:t>
      </w:r>
      <w:r>
        <w:rPr>
          <w:rFonts w:ascii="Arial" w:eastAsia="Times New Roman" w:hAnsi="Arial"/>
          <w:color w:val="000000" w:themeColor="text1"/>
          <w:sz w:val="26"/>
          <w:szCs w:val="26"/>
          <w:lang w:val="es-MX"/>
        </w:rPr>
        <w:t>IV.3o. J/12 dictada por el Tercer Tribunal Colegiado del Cuarto Circuito, publicada en la Gaceta del Semanario Judicial de la Federación, en la Octava Época, Septiembre de 1992, consultable a página 57, cuyo rubro y texto son el siguiente:</w:t>
      </w:r>
    </w:p>
    <w:p w14:paraId="7D182EA2" w14:textId="77777777" w:rsidR="00A34F6E" w:rsidRDefault="00A34F6E" w:rsidP="00A34F6E">
      <w:pPr>
        <w:spacing w:line="360" w:lineRule="auto"/>
        <w:ind w:left="1134" w:right="709"/>
        <w:jc w:val="both"/>
        <w:rPr>
          <w:rFonts w:ascii="Arial" w:hAnsi="Arial" w:cs="Arial"/>
          <w:bCs/>
          <w:i/>
          <w:color w:val="000000" w:themeColor="text1"/>
          <w:sz w:val="24"/>
          <w:szCs w:val="24"/>
          <w:lang w:val="es-MX"/>
        </w:rPr>
      </w:pPr>
      <w:r>
        <w:rPr>
          <w:rFonts w:ascii="Arial" w:eastAsia="Times New Roman" w:hAnsi="Arial"/>
          <w:i/>
          <w:color w:val="000000" w:themeColor="text1"/>
          <w:sz w:val="24"/>
          <w:szCs w:val="24"/>
          <w:lang w:val="es-MX"/>
        </w:rPr>
        <w:t>“</w:t>
      </w:r>
      <w:r>
        <w:rPr>
          <w:rFonts w:ascii="Arial" w:eastAsia="Times New Roman" w:hAnsi="Arial"/>
          <w:b/>
          <w:i/>
          <w:color w:val="000000" w:themeColor="text1"/>
          <w:sz w:val="24"/>
          <w:szCs w:val="24"/>
          <w:lang w:val="es-MX"/>
        </w:rPr>
        <w:t xml:space="preserve">AGRAVIOS. DEBEN DE IMPUGNAR LA ILEGALIDAD DEL FALLO RECURRIDO. </w:t>
      </w:r>
      <w:r>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3C1FF27" w14:textId="77777777" w:rsidR="00D77774" w:rsidRDefault="005218BF" w:rsidP="005218BF">
      <w:pPr>
        <w:tabs>
          <w:tab w:val="left" w:pos="1197"/>
        </w:tabs>
        <w:spacing w:before="240" w:line="360" w:lineRule="auto"/>
        <w:ind w:firstLine="708"/>
        <w:jc w:val="both"/>
        <w:rPr>
          <w:rFonts w:ascii="Arial" w:hAnsi="Arial" w:cs="Arial"/>
          <w:bCs/>
          <w:color w:val="000000"/>
          <w:sz w:val="26"/>
          <w:szCs w:val="26"/>
        </w:rPr>
      </w:pPr>
      <w:r>
        <w:rPr>
          <w:rFonts w:ascii="Arial" w:eastAsia="Calibri" w:hAnsi="Arial" w:cs="Arial"/>
          <w:bCs/>
          <w:sz w:val="26"/>
          <w:szCs w:val="26"/>
        </w:rPr>
        <w:t xml:space="preserve">Cabe apuntar, que la consideración del recurrente, en el sentido de que </w:t>
      </w:r>
      <w:r>
        <w:rPr>
          <w:rFonts w:ascii="Arial" w:hAnsi="Arial" w:cs="Arial"/>
          <w:bCs/>
          <w:color w:val="000000"/>
          <w:sz w:val="26"/>
          <w:szCs w:val="26"/>
        </w:rPr>
        <w:t xml:space="preserve">se le niega la posibilidad de hacer valer su garantía de debido proceso, porque en el primer juicio no se tomaron en cuenta las pruebas que obraban en el procedimiento administrativo, </w:t>
      </w:r>
      <w:r w:rsidR="00D77774">
        <w:rPr>
          <w:rFonts w:ascii="Arial" w:hAnsi="Arial" w:cs="Arial"/>
          <w:bCs/>
          <w:color w:val="000000"/>
          <w:sz w:val="26"/>
          <w:szCs w:val="26"/>
        </w:rPr>
        <w:t xml:space="preserve">y </w:t>
      </w:r>
      <w:r>
        <w:rPr>
          <w:rFonts w:ascii="Arial" w:hAnsi="Arial" w:cs="Arial"/>
          <w:bCs/>
          <w:color w:val="000000"/>
          <w:sz w:val="26"/>
          <w:szCs w:val="26"/>
        </w:rPr>
        <w:t>con la que se demostr</w:t>
      </w:r>
      <w:r w:rsidR="00C8400D">
        <w:rPr>
          <w:rFonts w:ascii="Arial" w:hAnsi="Arial" w:cs="Arial"/>
          <w:bCs/>
          <w:color w:val="000000"/>
          <w:sz w:val="26"/>
          <w:szCs w:val="26"/>
        </w:rPr>
        <w:t xml:space="preserve">ó </w:t>
      </w:r>
      <w:r>
        <w:rPr>
          <w:rFonts w:ascii="Arial" w:hAnsi="Arial" w:cs="Arial"/>
          <w:bCs/>
          <w:color w:val="000000"/>
          <w:sz w:val="26"/>
          <w:szCs w:val="26"/>
        </w:rPr>
        <w:t>la inexistencia de la responsabilidad que le fue atribuida</w:t>
      </w:r>
      <w:r w:rsidR="00D77774">
        <w:rPr>
          <w:rFonts w:ascii="Arial" w:hAnsi="Arial" w:cs="Arial"/>
          <w:bCs/>
          <w:color w:val="000000"/>
          <w:sz w:val="26"/>
          <w:szCs w:val="26"/>
        </w:rPr>
        <w:t xml:space="preserve">; resulta </w:t>
      </w:r>
      <w:r w:rsidR="00D77774">
        <w:rPr>
          <w:rFonts w:ascii="Arial" w:hAnsi="Arial" w:cs="Arial"/>
          <w:b/>
          <w:bCs/>
          <w:color w:val="000000"/>
          <w:sz w:val="26"/>
          <w:szCs w:val="26"/>
        </w:rPr>
        <w:t xml:space="preserve">ineficaz, </w:t>
      </w:r>
      <w:r w:rsidR="00D77774">
        <w:rPr>
          <w:rFonts w:ascii="Arial" w:hAnsi="Arial" w:cs="Arial"/>
          <w:bCs/>
          <w:color w:val="000000"/>
          <w:sz w:val="26"/>
          <w:szCs w:val="26"/>
        </w:rPr>
        <w:t>porque tal omisión de la que se duele, se debió a que el juicio que indica fue sobreseído</w:t>
      </w:r>
      <w:r w:rsidR="00C8400D">
        <w:rPr>
          <w:rFonts w:ascii="Arial" w:hAnsi="Arial" w:cs="Arial"/>
          <w:bCs/>
          <w:color w:val="000000"/>
          <w:sz w:val="26"/>
          <w:szCs w:val="26"/>
        </w:rPr>
        <w:t>, porque no presentó</w:t>
      </w:r>
      <w:r w:rsidR="00D77774">
        <w:rPr>
          <w:rFonts w:ascii="Arial" w:hAnsi="Arial" w:cs="Arial"/>
          <w:bCs/>
          <w:color w:val="000000"/>
          <w:sz w:val="26"/>
          <w:szCs w:val="26"/>
        </w:rPr>
        <w:t xml:space="preserve"> la demanda de nulidad dentro del plazo legal correspondiente, siendo así, que por ello, n</w:t>
      </w:r>
      <w:r w:rsidR="00C8400D">
        <w:rPr>
          <w:rFonts w:ascii="Arial" w:hAnsi="Arial" w:cs="Arial"/>
          <w:bCs/>
          <w:color w:val="000000"/>
          <w:sz w:val="26"/>
          <w:szCs w:val="26"/>
        </w:rPr>
        <w:t xml:space="preserve">o se analizaron sus alegaciones, </w:t>
      </w:r>
      <w:r w:rsidR="00D77774">
        <w:rPr>
          <w:rFonts w:ascii="Arial" w:hAnsi="Arial" w:cs="Arial"/>
          <w:bCs/>
          <w:color w:val="000000"/>
          <w:sz w:val="26"/>
          <w:szCs w:val="26"/>
        </w:rPr>
        <w:t>ni probanzas</w:t>
      </w:r>
      <w:r>
        <w:rPr>
          <w:rFonts w:ascii="Arial" w:hAnsi="Arial" w:cs="Arial"/>
          <w:bCs/>
          <w:color w:val="000000"/>
          <w:sz w:val="26"/>
          <w:szCs w:val="26"/>
        </w:rPr>
        <w:t>.</w:t>
      </w:r>
    </w:p>
    <w:p w14:paraId="64665036" w14:textId="77777777" w:rsidR="00D77774" w:rsidRDefault="00D77774" w:rsidP="005218BF">
      <w:pPr>
        <w:tabs>
          <w:tab w:val="left" w:pos="1197"/>
        </w:tabs>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Por último alega, que resulta contrario a derecho el desechamiento decretado, bajo el argumento de que existe cosa juzgada, porque la naturaleza del juicio de nulidad, tiene por objeto atacar resoluciones judiciales que hayan adquirido la autoridad de cosa juzgada; cita únicamente como referencia el criterio de rubor: “</w:t>
      </w:r>
      <w:r w:rsidRPr="00D77774">
        <w:rPr>
          <w:rFonts w:ascii="Arial" w:hAnsi="Arial" w:cs="Arial"/>
          <w:bCs/>
          <w:i/>
          <w:color w:val="000000"/>
        </w:rPr>
        <w:t>NULIDAD DEL JUICIO CONCLUIDO. QUIEN FUE PARTE EN ESTE TIENE LEGITIMACIÓN PARA EJERCER DICHA ACCIÓN, AUN CUANDO COMPARECIÓ, TUVO LA OPORTUNIDAD DE DEFENDERSE Y SE DICTÓ SENTENCIA CON CARÁCTER DE COSA JUZGADA APARENTE O FRAUDULENTA (LEGISLACIÓN APLIACABLE PAR LA CIUDAD DE MÉXICO).</w:t>
      </w:r>
      <w:r>
        <w:rPr>
          <w:rFonts w:ascii="Arial" w:hAnsi="Arial" w:cs="Arial"/>
          <w:bCs/>
          <w:color w:val="000000"/>
          <w:sz w:val="26"/>
          <w:szCs w:val="26"/>
        </w:rPr>
        <w:t>”.</w:t>
      </w:r>
    </w:p>
    <w:p w14:paraId="442007AD" w14:textId="77777777" w:rsidR="00D77774" w:rsidRDefault="00D77774" w:rsidP="005218BF">
      <w:pPr>
        <w:tabs>
          <w:tab w:val="left" w:pos="1197"/>
        </w:tabs>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lastRenderedPageBreak/>
        <w:t xml:space="preserve">Esta parte de sus alegaciones también es </w:t>
      </w:r>
      <w:r w:rsidRPr="00D77774">
        <w:rPr>
          <w:rFonts w:ascii="Arial" w:hAnsi="Arial" w:cs="Arial"/>
          <w:b/>
          <w:bCs/>
          <w:color w:val="000000"/>
          <w:sz w:val="26"/>
          <w:szCs w:val="26"/>
        </w:rPr>
        <w:t>ineficaz</w:t>
      </w:r>
      <w:r>
        <w:rPr>
          <w:rFonts w:ascii="Arial" w:hAnsi="Arial" w:cs="Arial"/>
          <w:bCs/>
          <w:color w:val="000000"/>
          <w:sz w:val="26"/>
          <w:szCs w:val="26"/>
        </w:rPr>
        <w:t>, porque parte de una apreciación errónea del recurrente, pues si bien, como lo dice la naturaleza del juicio en este Tribuna, es analizar resoluciones firmes, ello se refiere a aquellas emitidas por las autoridades administrativas, pero en el caso, se habla de la cosa juzgada, cuando se dice que lo que pretende impugnar, ya fue analizado y resuelto por este Tribunal.</w:t>
      </w:r>
    </w:p>
    <w:p w14:paraId="1BD34C72" w14:textId="77777777" w:rsidR="00A036C0" w:rsidRDefault="00A036C0" w:rsidP="005218BF">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in</w:t>
      </w:r>
      <w:r w:rsidR="006D53C0">
        <w:rPr>
          <w:rFonts w:ascii="Arial" w:eastAsia="Calibri" w:hAnsi="Arial" w:cs="Arial"/>
          <w:b/>
          <w:bCs/>
          <w:sz w:val="26"/>
          <w:szCs w:val="26"/>
        </w:rPr>
        <w:t xml:space="preserve">operante </w:t>
      </w:r>
      <w:r w:rsidR="00D77774" w:rsidRPr="00D77774">
        <w:rPr>
          <w:rFonts w:ascii="Arial" w:eastAsia="Calibri" w:hAnsi="Arial" w:cs="Arial"/>
          <w:bCs/>
          <w:sz w:val="26"/>
          <w:szCs w:val="26"/>
        </w:rPr>
        <w:t>e</w:t>
      </w:r>
      <w:r w:rsidR="00D77774">
        <w:rPr>
          <w:rFonts w:ascii="Arial" w:eastAsia="Calibri" w:hAnsi="Arial" w:cs="Arial"/>
          <w:b/>
          <w:bCs/>
          <w:sz w:val="26"/>
          <w:szCs w:val="26"/>
        </w:rPr>
        <w:t xml:space="preserve"> ineficaz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sidR="006D53C0">
        <w:rPr>
          <w:rFonts w:ascii="Arial" w:eastAsia="Calibri" w:hAnsi="Arial" w:cs="Arial"/>
          <w:bCs/>
          <w:sz w:val="26"/>
          <w:szCs w:val="26"/>
        </w:rPr>
        <w:t>el auto recurrido</w:t>
      </w:r>
      <w:r>
        <w:rPr>
          <w:rFonts w:ascii="Arial" w:eastAsia="Calibri" w:hAnsi="Arial" w:cs="Arial"/>
          <w:bCs/>
          <w:sz w:val="26"/>
          <w:szCs w:val="26"/>
        </w:rPr>
        <w:t>, en</w:t>
      </w:r>
      <w:r>
        <w:rPr>
          <w:rFonts w:ascii="Arial" w:hAnsi="Arial" w:cs="Arial"/>
          <w:sz w:val="26"/>
          <w:szCs w:val="26"/>
        </w:rPr>
        <w:t xml:space="preserve"> mérito de lo anterior, con fundamento en los artículos 237 y 238 de la Ley de Procedimiento y Justicia Administrativa para el Estado, se:</w:t>
      </w:r>
    </w:p>
    <w:p w14:paraId="142867AA" w14:textId="4584621A" w:rsidR="00A036C0" w:rsidRDefault="00A036C0" w:rsidP="002B681B">
      <w:pPr>
        <w:pStyle w:val="Sinespaciado"/>
        <w:spacing w:line="360" w:lineRule="auto"/>
        <w:jc w:val="center"/>
        <w:rPr>
          <w:rFonts w:ascii="Arial" w:hAnsi="Arial" w:cs="Arial"/>
          <w:b/>
          <w:sz w:val="24"/>
          <w:szCs w:val="24"/>
        </w:rPr>
      </w:pPr>
      <w:r>
        <w:rPr>
          <w:rFonts w:ascii="Arial" w:hAnsi="Arial" w:cs="Arial"/>
          <w:b/>
          <w:sz w:val="24"/>
          <w:szCs w:val="24"/>
        </w:rPr>
        <w:t>R E S U E L V E</w:t>
      </w:r>
    </w:p>
    <w:p w14:paraId="02B460A2" w14:textId="77777777" w:rsidR="002B681B" w:rsidRDefault="002B681B" w:rsidP="002B681B">
      <w:pPr>
        <w:pStyle w:val="Sinespaciado"/>
        <w:spacing w:line="360" w:lineRule="auto"/>
        <w:jc w:val="center"/>
        <w:rPr>
          <w:rFonts w:ascii="Arial" w:hAnsi="Arial" w:cs="Arial"/>
          <w:b/>
          <w:sz w:val="24"/>
          <w:szCs w:val="24"/>
        </w:rPr>
      </w:pPr>
    </w:p>
    <w:p w14:paraId="6D1DABB6" w14:textId="3AF40E44" w:rsidR="00A036C0" w:rsidRDefault="00A036C0" w:rsidP="002B681B">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6D53C0">
        <w:rPr>
          <w:rFonts w:ascii="Arial" w:hAnsi="Arial" w:cs="Arial"/>
          <w:color w:val="000000"/>
          <w:sz w:val="26"/>
          <w:szCs w:val="26"/>
          <w:lang w:val="es-MX"/>
        </w:rPr>
        <w:t xml:space="preserve">el auto </w:t>
      </w:r>
      <w:r>
        <w:rPr>
          <w:rFonts w:ascii="Arial" w:hAnsi="Arial" w:cs="Arial"/>
          <w:color w:val="000000"/>
          <w:sz w:val="26"/>
          <w:szCs w:val="26"/>
          <w:lang w:val="es-MX"/>
        </w:rPr>
        <w:t>recurrid</w:t>
      </w:r>
      <w:r w:rsidR="006D53C0">
        <w:rPr>
          <w:rFonts w:ascii="Arial" w:hAnsi="Arial" w:cs="Arial"/>
          <w:color w:val="000000"/>
          <w:sz w:val="26"/>
          <w:szCs w:val="26"/>
          <w:lang w:val="es-MX"/>
        </w:rPr>
        <w:t>o</w:t>
      </w:r>
      <w:r>
        <w:rPr>
          <w:rFonts w:ascii="Arial" w:hAnsi="Arial" w:cs="Arial"/>
          <w:color w:val="000000"/>
          <w:sz w:val="26"/>
          <w:szCs w:val="26"/>
          <w:lang w:val="es-MX"/>
        </w:rPr>
        <w:t>, por las razones expuestas en el considerando que antecede.</w:t>
      </w:r>
    </w:p>
    <w:p w14:paraId="3FD4105C" w14:textId="77777777" w:rsidR="002B681B" w:rsidRDefault="002B681B" w:rsidP="002B681B">
      <w:pPr>
        <w:pStyle w:val="Sinespaciado"/>
        <w:spacing w:line="360" w:lineRule="auto"/>
        <w:ind w:firstLine="708"/>
        <w:jc w:val="both"/>
        <w:rPr>
          <w:rFonts w:ascii="Arial" w:hAnsi="Arial" w:cs="Arial"/>
          <w:color w:val="000000"/>
          <w:sz w:val="26"/>
          <w:szCs w:val="26"/>
          <w:lang w:val="es-MX"/>
        </w:rPr>
      </w:pPr>
    </w:p>
    <w:p w14:paraId="48CBFA53" w14:textId="13728E04" w:rsidR="004B7227" w:rsidRDefault="00A036C0" w:rsidP="002B681B">
      <w:pPr>
        <w:pStyle w:val="Sinespaciado"/>
        <w:spacing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w:t>
      </w:r>
      <w:r w:rsidR="006D53C0">
        <w:rPr>
          <w:rFonts w:ascii="Arial" w:hAnsi="Arial" w:cs="Arial"/>
          <w:sz w:val="26"/>
          <w:szCs w:val="26"/>
        </w:rPr>
        <w:t xml:space="preserve">Sexta </w:t>
      </w:r>
      <w:r>
        <w:rPr>
          <w:rFonts w:ascii="Arial" w:hAnsi="Arial" w:cs="Arial"/>
          <w:sz w:val="26"/>
          <w:szCs w:val="26"/>
        </w:rPr>
        <w:t>Sala Unitaria de Primera Instancia de este Tribunal y en su oportunidad archívese el presente cuaderno de revisión como asunto conc</w:t>
      </w:r>
      <w:r w:rsidR="006D53C0">
        <w:rPr>
          <w:rFonts w:ascii="Arial" w:hAnsi="Arial" w:cs="Arial"/>
          <w:sz w:val="26"/>
          <w:szCs w:val="26"/>
        </w:rPr>
        <w:t>luido.</w:t>
      </w:r>
    </w:p>
    <w:p w14:paraId="2CBEFA28" w14:textId="77777777" w:rsidR="002B681B" w:rsidRDefault="002B681B" w:rsidP="002B681B">
      <w:pPr>
        <w:pStyle w:val="Sinespaciado"/>
        <w:spacing w:line="360" w:lineRule="auto"/>
        <w:ind w:firstLine="708"/>
        <w:jc w:val="both"/>
        <w:rPr>
          <w:rFonts w:ascii="Arial" w:hAnsi="Arial" w:cs="Arial"/>
          <w:sz w:val="26"/>
          <w:szCs w:val="26"/>
        </w:rPr>
      </w:pPr>
    </w:p>
    <w:p w14:paraId="6B88CB48" w14:textId="77777777" w:rsidR="004B7227" w:rsidRDefault="004B7227" w:rsidP="002B681B">
      <w:pPr>
        <w:spacing w:line="360" w:lineRule="auto"/>
        <w:ind w:firstLine="709"/>
        <w:jc w:val="both"/>
        <w:rPr>
          <w:rFonts w:ascii="Arial" w:hAnsi="Arial" w:cs="Arial"/>
          <w:sz w:val="26"/>
          <w:szCs w:val="26"/>
        </w:rPr>
      </w:pPr>
      <w:r w:rsidRPr="00426B77">
        <w:rPr>
          <w:rFonts w:ascii="Arial" w:hAnsi="Arial" w:cs="Arial"/>
          <w:sz w:val="26"/>
          <w:szCs w:val="26"/>
        </w:rPr>
        <w:t>Por unanimidad de votos, lo resolvieron y firmaron los Magistrados María Elena Villa de Jarquín, Presidenta, Magist</w:t>
      </w:r>
      <w:r>
        <w:rPr>
          <w:rFonts w:ascii="Arial" w:hAnsi="Arial" w:cs="Arial"/>
          <w:sz w:val="26"/>
          <w:szCs w:val="26"/>
        </w:rPr>
        <w:t>rados Manuel Velasco Alcántara,</w:t>
      </w:r>
      <w:r w:rsidRPr="00426B77">
        <w:rPr>
          <w:rFonts w:ascii="Arial" w:hAnsi="Arial" w:cs="Arial"/>
          <w:sz w:val="26"/>
          <w:szCs w:val="26"/>
        </w:rPr>
        <w:t xml:space="preserve"> Abraham Santiago Soriano</w:t>
      </w:r>
      <w:r>
        <w:rPr>
          <w:rFonts w:ascii="Arial" w:hAnsi="Arial" w:cs="Arial"/>
          <w:sz w:val="26"/>
          <w:szCs w:val="26"/>
        </w:rPr>
        <w:t xml:space="preserve">, y </w:t>
      </w:r>
      <w:r w:rsidRPr="00426B77">
        <w:rPr>
          <w:rFonts w:ascii="Arial" w:hAnsi="Arial" w:cs="Arial"/>
          <w:sz w:val="26"/>
          <w:szCs w:val="26"/>
        </w:rPr>
        <w:t>Adrián Quiroga Avendaño; con Excusa aprobada del Magistrado Raúl Palomares Palomino, para conocer, discutir y resolver en la presente Resolución; quienes actúan con la Licenciada Felicitas Díaz Vázquez, Secretaria General de Acuerdos de este Tribunal, que autoriza y da fe.</w:t>
      </w:r>
    </w:p>
    <w:p w14:paraId="578673B2" w14:textId="77777777" w:rsidR="004B7227" w:rsidRDefault="004B7227" w:rsidP="002B681B">
      <w:pPr>
        <w:spacing w:line="360" w:lineRule="auto"/>
        <w:jc w:val="center"/>
        <w:rPr>
          <w:rFonts w:ascii="Arial" w:hAnsi="Arial" w:cs="Arial"/>
          <w:sz w:val="26"/>
          <w:szCs w:val="26"/>
        </w:rPr>
      </w:pPr>
    </w:p>
    <w:p w14:paraId="5C1147CF" w14:textId="77777777" w:rsidR="004B7227" w:rsidRDefault="004B7227" w:rsidP="002B681B">
      <w:pPr>
        <w:spacing w:line="360" w:lineRule="auto"/>
        <w:jc w:val="center"/>
        <w:rPr>
          <w:rFonts w:ascii="Arial" w:hAnsi="Arial" w:cs="Arial"/>
          <w:sz w:val="26"/>
          <w:szCs w:val="26"/>
        </w:rPr>
      </w:pPr>
    </w:p>
    <w:p w14:paraId="1DFCA95E" w14:textId="77777777" w:rsidR="004B7227" w:rsidRDefault="004B7227" w:rsidP="002B681B">
      <w:pPr>
        <w:spacing w:after="0" w:line="360" w:lineRule="auto"/>
        <w:jc w:val="center"/>
        <w:rPr>
          <w:rFonts w:ascii="Arial" w:hAnsi="Arial" w:cs="Arial"/>
          <w:sz w:val="26"/>
          <w:szCs w:val="26"/>
        </w:rPr>
      </w:pPr>
    </w:p>
    <w:p w14:paraId="00FA3479" w14:textId="77777777" w:rsidR="004B7227" w:rsidRDefault="004B7227" w:rsidP="002B681B">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19BBB7B6" w14:textId="77777777" w:rsidR="004B7227" w:rsidRDefault="004B7227" w:rsidP="002B681B">
      <w:pPr>
        <w:spacing w:after="0" w:line="240" w:lineRule="auto"/>
        <w:jc w:val="center"/>
        <w:rPr>
          <w:rFonts w:ascii="Arial" w:hAnsi="Arial" w:cs="Arial"/>
          <w:sz w:val="26"/>
          <w:szCs w:val="26"/>
        </w:rPr>
      </w:pPr>
      <w:r>
        <w:rPr>
          <w:rFonts w:ascii="Arial" w:hAnsi="Arial" w:cs="Arial"/>
          <w:sz w:val="26"/>
          <w:szCs w:val="26"/>
        </w:rPr>
        <w:t>PRESIDENTA</w:t>
      </w:r>
    </w:p>
    <w:p w14:paraId="51838BF9" w14:textId="77777777" w:rsidR="004B7227" w:rsidRDefault="004B7227" w:rsidP="002B681B">
      <w:pPr>
        <w:tabs>
          <w:tab w:val="left" w:pos="1680"/>
          <w:tab w:val="center" w:pos="4277"/>
        </w:tabs>
        <w:spacing w:line="360" w:lineRule="auto"/>
        <w:jc w:val="center"/>
        <w:rPr>
          <w:rFonts w:ascii="Arial" w:hAnsi="Arial" w:cs="Arial"/>
          <w:sz w:val="26"/>
          <w:szCs w:val="26"/>
        </w:rPr>
      </w:pPr>
    </w:p>
    <w:p w14:paraId="5D179803" w14:textId="77777777" w:rsidR="002B681B" w:rsidRDefault="002B681B" w:rsidP="002B681B">
      <w:pPr>
        <w:tabs>
          <w:tab w:val="left" w:pos="1680"/>
          <w:tab w:val="center" w:pos="4277"/>
        </w:tabs>
        <w:spacing w:line="360" w:lineRule="auto"/>
        <w:jc w:val="center"/>
        <w:rPr>
          <w:rFonts w:ascii="Arial" w:hAnsi="Arial" w:cs="Arial"/>
          <w:b/>
          <w:bCs/>
          <w:sz w:val="14"/>
          <w:szCs w:val="14"/>
        </w:rPr>
      </w:pPr>
    </w:p>
    <w:p w14:paraId="3E9DA00B" w14:textId="2EDFDC6A" w:rsidR="004B7227" w:rsidRPr="002B681B" w:rsidRDefault="002B681B" w:rsidP="002B681B">
      <w:pPr>
        <w:tabs>
          <w:tab w:val="left" w:pos="1680"/>
          <w:tab w:val="center" w:pos="4277"/>
        </w:tabs>
        <w:spacing w:line="360" w:lineRule="auto"/>
        <w:jc w:val="center"/>
        <w:rPr>
          <w:rFonts w:ascii="Arial" w:hAnsi="Arial" w:cs="Arial"/>
          <w:b/>
          <w:bCs/>
          <w:sz w:val="14"/>
          <w:szCs w:val="14"/>
        </w:rPr>
      </w:pPr>
      <w:r w:rsidRPr="002B681B">
        <w:rPr>
          <w:rFonts w:ascii="Arial" w:hAnsi="Arial" w:cs="Arial"/>
          <w:b/>
          <w:bCs/>
          <w:sz w:val="14"/>
          <w:szCs w:val="14"/>
        </w:rPr>
        <w:t>LAS PRESENTES FIRMAS CORRESPONDEN AL RECURSO DE REVISIÓN 412/2019</w:t>
      </w:r>
    </w:p>
    <w:p w14:paraId="40119A37" w14:textId="7A93AE0D" w:rsidR="004B7227" w:rsidRDefault="004B7227" w:rsidP="004B7227">
      <w:pPr>
        <w:tabs>
          <w:tab w:val="left" w:pos="1680"/>
          <w:tab w:val="center" w:pos="4277"/>
        </w:tabs>
        <w:spacing w:line="360" w:lineRule="auto"/>
        <w:jc w:val="center"/>
        <w:rPr>
          <w:rFonts w:ascii="Arial" w:hAnsi="Arial" w:cs="Arial"/>
          <w:sz w:val="26"/>
          <w:szCs w:val="26"/>
        </w:rPr>
      </w:pPr>
    </w:p>
    <w:p w14:paraId="0E891380" w14:textId="3BBDC2D5" w:rsidR="002B681B" w:rsidRDefault="002B681B" w:rsidP="004B7227">
      <w:pPr>
        <w:tabs>
          <w:tab w:val="left" w:pos="1680"/>
          <w:tab w:val="center" w:pos="4277"/>
        </w:tabs>
        <w:spacing w:line="360" w:lineRule="auto"/>
        <w:jc w:val="center"/>
        <w:rPr>
          <w:rFonts w:ascii="Arial" w:hAnsi="Arial" w:cs="Arial"/>
          <w:sz w:val="26"/>
          <w:szCs w:val="26"/>
        </w:rPr>
      </w:pPr>
    </w:p>
    <w:p w14:paraId="79E83B18" w14:textId="5D300021" w:rsidR="002B681B" w:rsidRDefault="002B681B" w:rsidP="004B7227">
      <w:pPr>
        <w:tabs>
          <w:tab w:val="left" w:pos="1680"/>
          <w:tab w:val="center" w:pos="4277"/>
        </w:tabs>
        <w:spacing w:line="360" w:lineRule="auto"/>
        <w:jc w:val="center"/>
        <w:rPr>
          <w:rFonts w:ascii="Arial" w:hAnsi="Arial" w:cs="Arial"/>
          <w:sz w:val="26"/>
          <w:szCs w:val="26"/>
        </w:rPr>
      </w:pPr>
    </w:p>
    <w:p w14:paraId="1581C7EF" w14:textId="77777777" w:rsidR="002B681B" w:rsidRDefault="002B681B" w:rsidP="004B7227">
      <w:pPr>
        <w:tabs>
          <w:tab w:val="left" w:pos="1680"/>
          <w:tab w:val="center" w:pos="4277"/>
        </w:tabs>
        <w:spacing w:line="360" w:lineRule="auto"/>
        <w:jc w:val="center"/>
        <w:rPr>
          <w:rFonts w:ascii="Arial" w:hAnsi="Arial" w:cs="Arial"/>
          <w:sz w:val="26"/>
          <w:szCs w:val="26"/>
        </w:rPr>
      </w:pPr>
    </w:p>
    <w:p w14:paraId="7E56101C" w14:textId="77777777" w:rsidR="004B7227" w:rsidRDefault="004B7227" w:rsidP="004B7227">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MAGISTRADO MANUEL VELASCO ALCANTARA </w:t>
      </w:r>
    </w:p>
    <w:p w14:paraId="46B50419" w14:textId="77777777" w:rsidR="004B7227" w:rsidRDefault="004B7227" w:rsidP="004B7227">
      <w:pPr>
        <w:tabs>
          <w:tab w:val="center" w:pos="4135"/>
          <w:tab w:val="left" w:pos="7515"/>
        </w:tabs>
        <w:spacing w:line="360" w:lineRule="auto"/>
        <w:jc w:val="center"/>
        <w:rPr>
          <w:rFonts w:ascii="Arial" w:hAnsi="Arial" w:cs="Arial"/>
          <w:sz w:val="26"/>
          <w:szCs w:val="26"/>
        </w:rPr>
      </w:pPr>
    </w:p>
    <w:p w14:paraId="296B0BB9" w14:textId="77777777" w:rsidR="004B7227" w:rsidRDefault="004B7227" w:rsidP="004B7227">
      <w:pPr>
        <w:tabs>
          <w:tab w:val="center" w:pos="4135"/>
          <w:tab w:val="left" w:pos="7515"/>
        </w:tabs>
        <w:spacing w:line="360" w:lineRule="auto"/>
        <w:jc w:val="center"/>
        <w:rPr>
          <w:rFonts w:ascii="Arial" w:hAnsi="Arial" w:cs="Arial"/>
          <w:sz w:val="26"/>
          <w:szCs w:val="26"/>
        </w:rPr>
      </w:pPr>
    </w:p>
    <w:p w14:paraId="0AAD8D7B" w14:textId="77777777" w:rsidR="004B7227" w:rsidRDefault="004B7227" w:rsidP="004B7227">
      <w:pPr>
        <w:tabs>
          <w:tab w:val="center" w:pos="4135"/>
          <w:tab w:val="left" w:pos="7515"/>
        </w:tabs>
        <w:spacing w:line="360" w:lineRule="auto"/>
        <w:jc w:val="center"/>
        <w:rPr>
          <w:rFonts w:ascii="Arial" w:hAnsi="Arial" w:cs="Arial"/>
          <w:sz w:val="26"/>
          <w:szCs w:val="26"/>
        </w:rPr>
      </w:pPr>
    </w:p>
    <w:p w14:paraId="3F194FEC" w14:textId="77777777" w:rsidR="004B7227" w:rsidRDefault="004B7227" w:rsidP="004B7227">
      <w:pPr>
        <w:tabs>
          <w:tab w:val="center" w:pos="4135"/>
          <w:tab w:val="left" w:pos="7515"/>
        </w:tabs>
        <w:spacing w:line="360" w:lineRule="auto"/>
        <w:jc w:val="center"/>
        <w:rPr>
          <w:rFonts w:ascii="Arial" w:hAnsi="Arial" w:cs="Arial"/>
          <w:sz w:val="26"/>
          <w:szCs w:val="26"/>
        </w:rPr>
      </w:pPr>
    </w:p>
    <w:p w14:paraId="491BD8F7" w14:textId="77777777" w:rsidR="004B7227" w:rsidRDefault="004B7227" w:rsidP="004B722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4C5F5977" w14:textId="77777777" w:rsidR="004B7227" w:rsidRDefault="004B7227" w:rsidP="004B7227">
      <w:pPr>
        <w:tabs>
          <w:tab w:val="center" w:pos="4135"/>
          <w:tab w:val="left" w:pos="7515"/>
        </w:tabs>
        <w:spacing w:line="360" w:lineRule="auto"/>
        <w:jc w:val="center"/>
        <w:rPr>
          <w:rFonts w:ascii="Arial" w:hAnsi="Arial" w:cs="Arial"/>
          <w:sz w:val="26"/>
          <w:szCs w:val="26"/>
        </w:rPr>
      </w:pPr>
    </w:p>
    <w:p w14:paraId="00F80CFD" w14:textId="77777777" w:rsidR="004B7227" w:rsidRDefault="004B7227" w:rsidP="004B7227">
      <w:pPr>
        <w:tabs>
          <w:tab w:val="center" w:pos="4135"/>
          <w:tab w:val="left" w:pos="7515"/>
        </w:tabs>
        <w:spacing w:line="360" w:lineRule="auto"/>
        <w:rPr>
          <w:rFonts w:ascii="Arial" w:hAnsi="Arial" w:cs="Arial"/>
          <w:sz w:val="26"/>
          <w:szCs w:val="26"/>
        </w:rPr>
      </w:pPr>
    </w:p>
    <w:p w14:paraId="471708D2" w14:textId="77777777" w:rsidR="004B7227" w:rsidRDefault="004B7227" w:rsidP="004B7227">
      <w:pPr>
        <w:tabs>
          <w:tab w:val="center" w:pos="4135"/>
          <w:tab w:val="left" w:pos="7515"/>
        </w:tabs>
        <w:spacing w:line="360" w:lineRule="auto"/>
        <w:jc w:val="center"/>
        <w:rPr>
          <w:rFonts w:ascii="Arial" w:hAnsi="Arial" w:cs="Arial"/>
          <w:sz w:val="26"/>
          <w:szCs w:val="26"/>
        </w:rPr>
      </w:pPr>
    </w:p>
    <w:p w14:paraId="59BA41FF" w14:textId="77777777" w:rsidR="004B7227" w:rsidRDefault="004B7227" w:rsidP="004B7227">
      <w:pPr>
        <w:tabs>
          <w:tab w:val="center" w:pos="4135"/>
          <w:tab w:val="left" w:pos="7515"/>
        </w:tabs>
        <w:spacing w:line="360" w:lineRule="auto"/>
        <w:jc w:val="center"/>
        <w:rPr>
          <w:rFonts w:ascii="Arial" w:hAnsi="Arial" w:cs="Arial"/>
          <w:sz w:val="26"/>
          <w:szCs w:val="26"/>
        </w:rPr>
      </w:pPr>
    </w:p>
    <w:p w14:paraId="5982B38B" w14:textId="77777777" w:rsidR="004B7227" w:rsidRDefault="004B7227" w:rsidP="004B7227">
      <w:pPr>
        <w:spacing w:line="360" w:lineRule="auto"/>
        <w:jc w:val="center"/>
        <w:rPr>
          <w:rFonts w:ascii="Arial" w:hAnsi="Arial" w:cs="Arial"/>
          <w:sz w:val="26"/>
          <w:szCs w:val="26"/>
        </w:rPr>
      </w:pPr>
      <w:r>
        <w:rPr>
          <w:rFonts w:ascii="Arial" w:hAnsi="Arial" w:cs="Arial"/>
          <w:sz w:val="26"/>
          <w:szCs w:val="26"/>
        </w:rPr>
        <w:t>MAGISTRADO ADRIÁN QUIROGA AVENDAÑO</w:t>
      </w:r>
    </w:p>
    <w:p w14:paraId="062EC885" w14:textId="77777777" w:rsidR="004B7227" w:rsidRDefault="004B7227" w:rsidP="004B7227">
      <w:pPr>
        <w:tabs>
          <w:tab w:val="center" w:pos="4135"/>
          <w:tab w:val="left" w:pos="7515"/>
        </w:tabs>
        <w:spacing w:line="360" w:lineRule="auto"/>
        <w:jc w:val="center"/>
        <w:rPr>
          <w:rFonts w:ascii="Arial" w:hAnsi="Arial" w:cs="Arial"/>
          <w:sz w:val="26"/>
          <w:szCs w:val="26"/>
        </w:rPr>
      </w:pPr>
    </w:p>
    <w:p w14:paraId="4BCF54CE" w14:textId="77777777" w:rsidR="004B7227" w:rsidRDefault="004B7227" w:rsidP="004B7227">
      <w:pPr>
        <w:tabs>
          <w:tab w:val="center" w:pos="4135"/>
          <w:tab w:val="left" w:pos="7515"/>
        </w:tabs>
        <w:spacing w:line="360" w:lineRule="auto"/>
        <w:jc w:val="center"/>
        <w:rPr>
          <w:rFonts w:ascii="Arial" w:hAnsi="Arial" w:cs="Arial"/>
          <w:sz w:val="26"/>
          <w:szCs w:val="26"/>
        </w:rPr>
      </w:pPr>
    </w:p>
    <w:p w14:paraId="6BF54F68" w14:textId="77777777" w:rsidR="004B7227" w:rsidRDefault="004B7227" w:rsidP="004B7227">
      <w:pPr>
        <w:tabs>
          <w:tab w:val="center" w:pos="4135"/>
          <w:tab w:val="left" w:pos="7515"/>
        </w:tabs>
        <w:spacing w:line="360" w:lineRule="auto"/>
        <w:jc w:val="center"/>
        <w:rPr>
          <w:rFonts w:ascii="Arial" w:hAnsi="Arial" w:cs="Arial"/>
          <w:sz w:val="26"/>
          <w:szCs w:val="26"/>
        </w:rPr>
      </w:pPr>
    </w:p>
    <w:p w14:paraId="3CF42A30" w14:textId="77777777" w:rsidR="004B7227" w:rsidRDefault="004B7227" w:rsidP="004B7227">
      <w:pPr>
        <w:tabs>
          <w:tab w:val="center" w:pos="4135"/>
          <w:tab w:val="left" w:pos="7515"/>
        </w:tabs>
        <w:spacing w:line="360" w:lineRule="auto"/>
        <w:jc w:val="center"/>
        <w:rPr>
          <w:rFonts w:ascii="Arial" w:hAnsi="Arial" w:cs="Arial"/>
          <w:sz w:val="26"/>
          <w:szCs w:val="26"/>
        </w:rPr>
      </w:pPr>
    </w:p>
    <w:p w14:paraId="7E03525E" w14:textId="77777777" w:rsidR="004B7227" w:rsidRDefault="004B7227" w:rsidP="004B7227">
      <w:pPr>
        <w:tabs>
          <w:tab w:val="left" w:pos="1925"/>
          <w:tab w:val="center" w:pos="4135"/>
        </w:tabs>
        <w:spacing w:after="0"/>
        <w:jc w:val="center"/>
        <w:rPr>
          <w:rFonts w:ascii="Arial" w:hAnsi="Arial" w:cs="Arial"/>
          <w:sz w:val="26"/>
          <w:szCs w:val="26"/>
        </w:rPr>
      </w:pPr>
      <w:r>
        <w:rPr>
          <w:rFonts w:ascii="Arial" w:hAnsi="Arial" w:cs="Arial"/>
          <w:sz w:val="26"/>
          <w:szCs w:val="26"/>
        </w:rPr>
        <w:t>LICENCIADA FELICITAS DÍAZ VÁZQUEZ</w:t>
      </w:r>
    </w:p>
    <w:p w14:paraId="607BE5AB" w14:textId="77777777" w:rsidR="004B7227" w:rsidRDefault="004B7227" w:rsidP="004B7227">
      <w:pPr>
        <w:spacing w:after="0"/>
        <w:jc w:val="center"/>
        <w:rPr>
          <w:sz w:val="26"/>
          <w:szCs w:val="26"/>
        </w:rPr>
      </w:pPr>
      <w:r>
        <w:rPr>
          <w:rFonts w:ascii="Arial" w:hAnsi="Arial" w:cs="Arial"/>
          <w:sz w:val="26"/>
          <w:szCs w:val="26"/>
        </w:rPr>
        <w:t>SECRETARIA GENERAL DE ACUERDOS</w:t>
      </w:r>
    </w:p>
    <w:p w14:paraId="0C26C557" w14:textId="77777777" w:rsidR="004B7227" w:rsidRPr="00426B77" w:rsidRDefault="004B7227" w:rsidP="004B7227"/>
    <w:p w14:paraId="74A70FEF" w14:textId="5BBC8D62" w:rsidR="00A036C0" w:rsidRDefault="00A036C0" w:rsidP="004B7227">
      <w:pPr>
        <w:spacing w:before="240" w:line="360" w:lineRule="auto"/>
        <w:ind w:firstLine="708"/>
        <w:jc w:val="both"/>
        <w:rPr>
          <w:sz w:val="26"/>
          <w:szCs w:val="26"/>
        </w:rPr>
      </w:pPr>
    </w:p>
    <w:sectPr w:rsidR="00A036C0"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57B10" w14:textId="77777777" w:rsidR="00174C14" w:rsidRDefault="00174C14">
      <w:pPr>
        <w:spacing w:after="0" w:line="240" w:lineRule="auto"/>
      </w:pPr>
      <w:r>
        <w:separator/>
      </w:r>
    </w:p>
  </w:endnote>
  <w:endnote w:type="continuationSeparator" w:id="0">
    <w:p w14:paraId="6FC7729B" w14:textId="77777777" w:rsidR="00174C14" w:rsidRDefault="00174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6E6E7" w14:textId="77777777" w:rsidR="00174C14" w:rsidRDefault="00174C14">
      <w:pPr>
        <w:spacing w:after="0" w:line="240" w:lineRule="auto"/>
      </w:pPr>
      <w:r>
        <w:separator/>
      </w:r>
    </w:p>
  </w:footnote>
  <w:footnote w:type="continuationSeparator" w:id="0">
    <w:p w14:paraId="15063F09" w14:textId="77777777" w:rsidR="00174C14" w:rsidRDefault="00174C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D573D07" w14:textId="77777777" w:rsidR="007A6F8C" w:rsidRDefault="007A6F8C" w:rsidP="00D25099">
        <w:pPr>
          <w:pStyle w:val="Encabezado"/>
          <w:jc w:val="center"/>
        </w:pPr>
        <w:r>
          <w:fldChar w:fldCharType="begin"/>
        </w:r>
        <w:r>
          <w:instrText>PAGE   \* MERGEFORMAT</w:instrText>
        </w:r>
        <w:r>
          <w:fldChar w:fldCharType="separate"/>
        </w:r>
        <w:r w:rsidR="00A06C57">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366356CA" w14:textId="77777777" w:rsidR="007A6F8C" w:rsidRDefault="007A6F8C" w:rsidP="00206B99">
        <w:pPr>
          <w:pStyle w:val="Encabezado"/>
          <w:jc w:val="center"/>
          <w:rPr>
            <w:noProof/>
          </w:rPr>
        </w:pPr>
        <w:r>
          <w:fldChar w:fldCharType="begin"/>
        </w:r>
        <w:r>
          <w:instrText xml:space="preserve"> PAGE   \* MERGEFORMAT </w:instrText>
        </w:r>
        <w:r>
          <w:fldChar w:fldCharType="separate"/>
        </w:r>
        <w:r w:rsidR="00A06C57">
          <w:rPr>
            <w:noProof/>
          </w:rPr>
          <w:t>7</w:t>
        </w:r>
        <w:r>
          <w:rPr>
            <w:noProof/>
          </w:rPr>
          <w:fldChar w:fldCharType="end"/>
        </w:r>
      </w:p>
      <w:p w14:paraId="1C054A0B" w14:textId="77777777" w:rsidR="007A6F8C" w:rsidRDefault="00174C14" w:rsidP="008C74CA">
        <w:pPr>
          <w:pStyle w:val="Encabezado"/>
          <w:jc w:val="center"/>
        </w:pPr>
      </w:p>
    </w:sdtContent>
  </w:sdt>
  <w:p w14:paraId="11F6467D" w14:textId="77777777" w:rsidR="007A6F8C" w:rsidRDefault="007A6F8C" w:rsidP="00256B01">
    <w:pPr>
      <w:pStyle w:val="Encabezado"/>
      <w:jc w:val="center"/>
    </w:pPr>
  </w:p>
  <w:p w14:paraId="2FFAEF9F" w14:textId="77777777" w:rsidR="007A6F8C" w:rsidRDefault="007A6F8C" w:rsidP="00256B01">
    <w:pPr>
      <w:pStyle w:val="Encabezado"/>
      <w:jc w:val="center"/>
    </w:pPr>
    <w:r>
      <w:rPr>
        <w:noProof/>
        <w:lang w:val="es-MX" w:eastAsia="es-MX"/>
      </w:rPr>
      <w:drawing>
        <wp:anchor distT="0" distB="0" distL="114300" distR="114300" simplePos="0" relativeHeight="251661312" behindDoc="1" locked="0" layoutInCell="1" allowOverlap="1" wp14:anchorId="2E4436BA" wp14:editId="09F44B46">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7BF87DC4" wp14:editId="06FDB108">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65E7"/>
    <w:rsid w:val="0000725B"/>
    <w:rsid w:val="00011594"/>
    <w:rsid w:val="000145B7"/>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B45F8"/>
    <w:rsid w:val="000C1F7C"/>
    <w:rsid w:val="000C2197"/>
    <w:rsid w:val="000C313C"/>
    <w:rsid w:val="000C3DBF"/>
    <w:rsid w:val="000D0E1D"/>
    <w:rsid w:val="000D1BD0"/>
    <w:rsid w:val="000D29A1"/>
    <w:rsid w:val="000D2FDE"/>
    <w:rsid w:val="000D595D"/>
    <w:rsid w:val="000D5CD7"/>
    <w:rsid w:val="000E0AB1"/>
    <w:rsid w:val="000E12D3"/>
    <w:rsid w:val="000E218B"/>
    <w:rsid w:val="000E2E24"/>
    <w:rsid w:val="000E322A"/>
    <w:rsid w:val="000E3C08"/>
    <w:rsid w:val="000E505F"/>
    <w:rsid w:val="000F00A6"/>
    <w:rsid w:val="000F018A"/>
    <w:rsid w:val="000F0F6A"/>
    <w:rsid w:val="000F3C98"/>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4FA7"/>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782"/>
    <w:rsid w:val="00164BAD"/>
    <w:rsid w:val="00166BBF"/>
    <w:rsid w:val="00171831"/>
    <w:rsid w:val="00172205"/>
    <w:rsid w:val="00172B29"/>
    <w:rsid w:val="00174C14"/>
    <w:rsid w:val="001761CB"/>
    <w:rsid w:val="00180F55"/>
    <w:rsid w:val="001827CF"/>
    <w:rsid w:val="001843E8"/>
    <w:rsid w:val="00184B23"/>
    <w:rsid w:val="00185B10"/>
    <w:rsid w:val="00186F84"/>
    <w:rsid w:val="00190DE9"/>
    <w:rsid w:val="0019198F"/>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A09"/>
    <w:rsid w:val="001E6F05"/>
    <w:rsid w:val="001F03C6"/>
    <w:rsid w:val="001F4D20"/>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681B"/>
    <w:rsid w:val="002B73F3"/>
    <w:rsid w:val="002B7422"/>
    <w:rsid w:val="002B79C4"/>
    <w:rsid w:val="002C01EA"/>
    <w:rsid w:val="002C0324"/>
    <w:rsid w:val="002C03B4"/>
    <w:rsid w:val="002C0C96"/>
    <w:rsid w:val="002C291C"/>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48B1"/>
    <w:rsid w:val="00335EF4"/>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0EAE"/>
    <w:rsid w:val="00371AB7"/>
    <w:rsid w:val="003731F5"/>
    <w:rsid w:val="00375176"/>
    <w:rsid w:val="003779D8"/>
    <w:rsid w:val="00380776"/>
    <w:rsid w:val="00380BAC"/>
    <w:rsid w:val="003818BD"/>
    <w:rsid w:val="00381DC3"/>
    <w:rsid w:val="00382FD0"/>
    <w:rsid w:val="00383A19"/>
    <w:rsid w:val="00386D6B"/>
    <w:rsid w:val="003873E7"/>
    <w:rsid w:val="00387C97"/>
    <w:rsid w:val="00395802"/>
    <w:rsid w:val="003965ED"/>
    <w:rsid w:val="00397369"/>
    <w:rsid w:val="003A0ACC"/>
    <w:rsid w:val="003A1F55"/>
    <w:rsid w:val="003A3A38"/>
    <w:rsid w:val="003A7001"/>
    <w:rsid w:val="003B1512"/>
    <w:rsid w:val="003B20F0"/>
    <w:rsid w:val="003B26C0"/>
    <w:rsid w:val="003B2E9F"/>
    <w:rsid w:val="003B2FF4"/>
    <w:rsid w:val="003B373B"/>
    <w:rsid w:val="003B4AF5"/>
    <w:rsid w:val="003B4BAF"/>
    <w:rsid w:val="003B5D64"/>
    <w:rsid w:val="003B619E"/>
    <w:rsid w:val="003B68EA"/>
    <w:rsid w:val="003B6C7E"/>
    <w:rsid w:val="003B7C7A"/>
    <w:rsid w:val="003C0AC1"/>
    <w:rsid w:val="003C289C"/>
    <w:rsid w:val="003C3C72"/>
    <w:rsid w:val="003C4A93"/>
    <w:rsid w:val="003C522D"/>
    <w:rsid w:val="003C63BE"/>
    <w:rsid w:val="003C6424"/>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43A2"/>
    <w:rsid w:val="00427081"/>
    <w:rsid w:val="00433FAD"/>
    <w:rsid w:val="00435B66"/>
    <w:rsid w:val="004365BF"/>
    <w:rsid w:val="004407BC"/>
    <w:rsid w:val="00441D6B"/>
    <w:rsid w:val="004426E6"/>
    <w:rsid w:val="00444733"/>
    <w:rsid w:val="004503A6"/>
    <w:rsid w:val="00454494"/>
    <w:rsid w:val="004547D3"/>
    <w:rsid w:val="004567C7"/>
    <w:rsid w:val="00457592"/>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E71"/>
    <w:rsid w:val="00497AD8"/>
    <w:rsid w:val="00497E3B"/>
    <w:rsid w:val="004A2326"/>
    <w:rsid w:val="004A234C"/>
    <w:rsid w:val="004A319F"/>
    <w:rsid w:val="004A399A"/>
    <w:rsid w:val="004A4ECC"/>
    <w:rsid w:val="004A54A3"/>
    <w:rsid w:val="004A7AC3"/>
    <w:rsid w:val="004B3512"/>
    <w:rsid w:val="004B3921"/>
    <w:rsid w:val="004B3A33"/>
    <w:rsid w:val="004B3D2E"/>
    <w:rsid w:val="004B4161"/>
    <w:rsid w:val="004B483F"/>
    <w:rsid w:val="004B6F87"/>
    <w:rsid w:val="004B7227"/>
    <w:rsid w:val="004B748E"/>
    <w:rsid w:val="004B74CE"/>
    <w:rsid w:val="004B7A3D"/>
    <w:rsid w:val="004C10F3"/>
    <w:rsid w:val="004C1D17"/>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197"/>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49FB"/>
    <w:rsid w:val="005053FA"/>
    <w:rsid w:val="005068F2"/>
    <w:rsid w:val="00510956"/>
    <w:rsid w:val="00510C9F"/>
    <w:rsid w:val="00510FE5"/>
    <w:rsid w:val="005115C3"/>
    <w:rsid w:val="00512FF2"/>
    <w:rsid w:val="0051428C"/>
    <w:rsid w:val="00515E05"/>
    <w:rsid w:val="00516F56"/>
    <w:rsid w:val="00517C59"/>
    <w:rsid w:val="00520000"/>
    <w:rsid w:val="005218BF"/>
    <w:rsid w:val="0052374B"/>
    <w:rsid w:val="00526DC4"/>
    <w:rsid w:val="005300DF"/>
    <w:rsid w:val="00531A5A"/>
    <w:rsid w:val="00531A6D"/>
    <w:rsid w:val="00531B0F"/>
    <w:rsid w:val="00531B2A"/>
    <w:rsid w:val="00531DE3"/>
    <w:rsid w:val="0053422E"/>
    <w:rsid w:val="00534C95"/>
    <w:rsid w:val="00536750"/>
    <w:rsid w:val="0053715D"/>
    <w:rsid w:val="005410B3"/>
    <w:rsid w:val="00541ACF"/>
    <w:rsid w:val="00541B18"/>
    <w:rsid w:val="00542671"/>
    <w:rsid w:val="005443FC"/>
    <w:rsid w:val="00544A76"/>
    <w:rsid w:val="005459A5"/>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216C"/>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A4C18"/>
    <w:rsid w:val="005B13A7"/>
    <w:rsid w:val="005B2365"/>
    <w:rsid w:val="005B6F41"/>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64AD1"/>
    <w:rsid w:val="00670A3B"/>
    <w:rsid w:val="00671447"/>
    <w:rsid w:val="006735F6"/>
    <w:rsid w:val="00674D05"/>
    <w:rsid w:val="00674F8D"/>
    <w:rsid w:val="00675661"/>
    <w:rsid w:val="00676DFB"/>
    <w:rsid w:val="00677BEF"/>
    <w:rsid w:val="00681387"/>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548"/>
    <w:rsid w:val="006A5F24"/>
    <w:rsid w:val="006A6FE7"/>
    <w:rsid w:val="006B0915"/>
    <w:rsid w:val="006B0B08"/>
    <w:rsid w:val="006B10A8"/>
    <w:rsid w:val="006B119B"/>
    <w:rsid w:val="006B26D3"/>
    <w:rsid w:val="006B3BEA"/>
    <w:rsid w:val="006B4FD6"/>
    <w:rsid w:val="006B52CD"/>
    <w:rsid w:val="006B5FFF"/>
    <w:rsid w:val="006B6381"/>
    <w:rsid w:val="006B78C5"/>
    <w:rsid w:val="006C1383"/>
    <w:rsid w:val="006C2BAC"/>
    <w:rsid w:val="006C2F23"/>
    <w:rsid w:val="006C31AF"/>
    <w:rsid w:val="006C3540"/>
    <w:rsid w:val="006C4589"/>
    <w:rsid w:val="006D1203"/>
    <w:rsid w:val="006D173E"/>
    <w:rsid w:val="006D4142"/>
    <w:rsid w:val="006D4B71"/>
    <w:rsid w:val="006D53C0"/>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4033"/>
    <w:rsid w:val="00727231"/>
    <w:rsid w:val="00727C09"/>
    <w:rsid w:val="00733866"/>
    <w:rsid w:val="007372AF"/>
    <w:rsid w:val="007372F0"/>
    <w:rsid w:val="00737CB4"/>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679"/>
    <w:rsid w:val="0076494C"/>
    <w:rsid w:val="00766389"/>
    <w:rsid w:val="007674BC"/>
    <w:rsid w:val="0077356E"/>
    <w:rsid w:val="007737E8"/>
    <w:rsid w:val="00773DC9"/>
    <w:rsid w:val="007758EE"/>
    <w:rsid w:val="00776E5E"/>
    <w:rsid w:val="0077739D"/>
    <w:rsid w:val="007806D4"/>
    <w:rsid w:val="0078132A"/>
    <w:rsid w:val="00782019"/>
    <w:rsid w:val="0078202A"/>
    <w:rsid w:val="00785325"/>
    <w:rsid w:val="007863FD"/>
    <w:rsid w:val="00787152"/>
    <w:rsid w:val="00790C1A"/>
    <w:rsid w:val="00790E52"/>
    <w:rsid w:val="00792E46"/>
    <w:rsid w:val="007931B7"/>
    <w:rsid w:val="007931C4"/>
    <w:rsid w:val="007936F6"/>
    <w:rsid w:val="00793C97"/>
    <w:rsid w:val="00794B18"/>
    <w:rsid w:val="00795CE3"/>
    <w:rsid w:val="007A0DD5"/>
    <w:rsid w:val="007A1ABA"/>
    <w:rsid w:val="007A25A8"/>
    <w:rsid w:val="007A2B3C"/>
    <w:rsid w:val="007A3ECB"/>
    <w:rsid w:val="007A452B"/>
    <w:rsid w:val="007A4CC0"/>
    <w:rsid w:val="007A6F8C"/>
    <w:rsid w:val="007B0E0D"/>
    <w:rsid w:val="007B26B8"/>
    <w:rsid w:val="007B29E4"/>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A06"/>
    <w:rsid w:val="00805C67"/>
    <w:rsid w:val="00807736"/>
    <w:rsid w:val="00807D70"/>
    <w:rsid w:val="0081111B"/>
    <w:rsid w:val="00815878"/>
    <w:rsid w:val="00816BA3"/>
    <w:rsid w:val="0082010D"/>
    <w:rsid w:val="00820FA9"/>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3583"/>
    <w:rsid w:val="008B4B2E"/>
    <w:rsid w:val="008B4EBC"/>
    <w:rsid w:val="008B5E35"/>
    <w:rsid w:val="008C0259"/>
    <w:rsid w:val="008C0D28"/>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D15"/>
    <w:rsid w:val="009210A6"/>
    <w:rsid w:val="009233B3"/>
    <w:rsid w:val="00926FCD"/>
    <w:rsid w:val="00927607"/>
    <w:rsid w:val="00930FEF"/>
    <w:rsid w:val="009311C8"/>
    <w:rsid w:val="00931E3D"/>
    <w:rsid w:val="0094005B"/>
    <w:rsid w:val="0094041C"/>
    <w:rsid w:val="00942A46"/>
    <w:rsid w:val="00943709"/>
    <w:rsid w:val="00943B62"/>
    <w:rsid w:val="009443A6"/>
    <w:rsid w:val="0094607A"/>
    <w:rsid w:val="00947785"/>
    <w:rsid w:val="00956CD1"/>
    <w:rsid w:val="00962084"/>
    <w:rsid w:val="009623FA"/>
    <w:rsid w:val="00962A6C"/>
    <w:rsid w:val="00963968"/>
    <w:rsid w:val="00964069"/>
    <w:rsid w:val="00964969"/>
    <w:rsid w:val="00964A87"/>
    <w:rsid w:val="00964EDF"/>
    <w:rsid w:val="00965794"/>
    <w:rsid w:val="00965870"/>
    <w:rsid w:val="00970BC4"/>
    <w:rsid w:val="0097228A"/>
    <w:rsid w:val="0097281A"/>
    <w:rsid w:val="00973D8D"/>
    <w:rsid w:val="00974D4D"/>
    <w:rsid w:val="009752F6"/>
    <w:rsid w:val="009758DB"/>
    <w:rsid w:val="009768B5"/>
    <w:rsid w:val="0097768E"/>
    <w:rsid w:val="00983201"/>
    <w:rsid w:val="009837FD"/>
    <w:rsid w:val="00983827"/>
    <w:rsid w:val="00984197"/>
    <w:rsid w:val="00986534"/>
    <w:rsid w:val="00991B75"/>
    <w:rsid w:val="00991F69"/>
    <w:rsid w:val="00993688"/>
    <w:rsid w:val="00995692"/>
    <w:rsid w:val="00996B6C"/>
    <w:rsid w:val="00997217"/>
    <w:rsid w:val="00997F96"/>
    <w:rsid w:val="009A33AC"/>
    <w:rsid w:val="009A33BE"/>
    <w:rsid w:val="009A3714"/>
    <w:rsid w:val="009A3FFF"/>
    <w:rsid w:val="009A5AE2"/>
    <w:rsid w:val="009A5D8D"/>
    <w:rsid w:val="009A6537"/>
    <w:rsid w:val="009B1106"/>
    <w:rsid w:val="009B1EAF"/>
    <w:rsid w:val="009B38C8"/>
    <w:rsid w:val="009B3FAA"/>
    <w:rsid w:val="009B4DEF"/>
    <w:rsid w:val="009C2394"/>
    <w:rsid w:val="009C4221"/>
    <w:rsid w:val="009D04F3"/>
    <w:rsid w:val="009D0710"/>
    <w:rsid w:val="009D1ED8"/>
    <w:rsid w:val="009D4A0A"/>
    <w:rsid w:val="009D56DE"/>
    <w:rsid w:val="009D6659"/>
    <w:rsid w:val="009D7058"/>
    <w:rsid w:val="009D70CC"/>
    <w:rsid w:val="009D79D7"/>
    <w:rsid w:val="009E0336"/>
    <w:rsid w:val="009E10EC"/>
    <w:rsid w:val="009E3A9A"/>
    <w:rsid w:val="009E42B9"/>
    <w:rsid w:val="009E5841"/>
    <w:rsid w:val="009F230B"/>
    <w:rsid w:val="009F3F92"/>
    <w:rsid w:val="009F50FA"/>
    <w:rsid w:val="00A022D9"/>
    <w:rsid w:val="00A033BB"/>
    <w:rsid w:val="00A0357E"/>
    <w:rsid w:val="00A036C0"/>
    <w:rsid w:val="00A045F4"/>
    <w:rsid w:val="00A05B4F"/>
    <w:rsid w:val="00A063DF"/>
    <w:rsid w:val="00A06C57"/>
    <w:rsid w:val="00A10387"/>
    <w:rsid w:val="00A1146D"/>
    <w:rsid w:val="00A14A52"/>
    <w:rsid w:val="00A21B13"/>
    <w:rsid w:val="00A23A1B"/>
    <w:rsid w:val="00A2508C"/>
    <w:rsid w:val="00A2572E"/>
    <w:rsid w:val="00A25FC0"/>
    <w:rsid w:val="00A262B6"/>
    <w:rsid w:val="00A26D41"/>
    <w:rsid w:val="00A27138"/>
    <w:rsid w:val="00A30F61"/>
    <w:rsid w:val="00A3359F"/>
    <w:rsid w:val="00A33A89"/>
    <w:rsid w:val="00A34F6E"/>
    <w:rsid w:val="00A367AB"/>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44EC"/>
    <w:rsid w:val="00A65B8D"/>
    <w:rsid w:val="00A67424"/>
    <w:rsid w:val="00A703CE"/>
    <w:rsid w:val="00A7188F"/>
    <w:rsid w:val="00A71896"/>
    <w:rsid w:val="00A7216C"/>
    <w:rsid w:val="00A7309B"/>
    <w:rsid w:val="00A7622C"/>
    <w:rsid w:val="00A77949"/>
    <w:rsid w:val="00A8007D"/>
    <w:rsid w:val="00A80B43"/>
    <w:rsid w:val="00A8244C"/>
    <w:rsid w:val="00A83D36"/>
    <w:rsid w:val="00A85B29"/>
    <w:rsid w:val="00A85B97"/>
    <w:rsid w:val="00A86899"/>
    <w:rsid w:val="00A870FA"/>
    <w:rsid w:val="00A87174"/>
    <w:rsid w:val="00A879B5"/>
    <w:rsid w:val="00A923D9"/>
    <w:rsid w:val="00A923FC"/>
    <w:rsid w:val="00A93F22"/>
    <w:rsid w:val="00A94D13"/>
    <w:rsid w:val="00A94E2C"/>
    <w:rsid w:val="00A977D1"/>
    <w:rsid w:val="00AA0100"/>
    <w:rsid w:val="00AA0A4A"/>
    <w:rsid w:val="00AA0D46"/>
    <w:rsid w:val="00AA27AB"/>
    <w:rsid w:val="00AA29E9"/>
    <w:rsid w:val="00AA38C5"/>
    <w:rsid w:val="00AA3DF2"/>
    <w:rsid w:val="00AA512C"/>
    <w:rsid w:val="00AB00F1"/>
    <w:rsid w:val="00AB0764"/>
    <w:rsid w:val="00AB10A6"/>
    <w:rsid w:val="00AB19C6"/>
    <w:rsid w:val="00AB1E66"/>
    <w:rsid w:val="00AB1E7B"/>
    <w:rsid w:val="00AB4741"/>
    <w:rsid w:val="00AB5339"/>
    <w:rsid w:val="00AB628D"/>
    <w:rsid w:val="00AB641E"/>
    <w:rsid w:val="00AB6F46"/>
    <w:rsid w:val="00AB7A11"/>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17CE7"/>
    <w:rsid w:val="00B216FE"/>
    <w:rsid w:val="00B219F8"/>
    <w:rsid w:val="00B244A4"/>
    <w:rsid w:val="00B26CCB"/>
    <w:rsid w:val="00B305FF"/>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1E29"/>
    <w:rsid w:val="00BC2BF5"/>
    <w:rsid w:val="00BC3F2F"/>
    <w:rsid w:val="00BC6D43"/>
    <w:rsid w:val="00BC788B"/>
    <w:rsid w:val="00BC7BD0"/>
    <w:rsid w:val="00BD08FE"/>
    <w:rsid w:val="00BD12B6"/>
    <w:rsid w:val="00BD249F"/>
    <w:rsid w:val="00BD4175"/>
    <w:rsid w:val="00BD5CAE"/>
    <w:rsid w:val="00BD7208"/>
    <w:rsid w:val="00BD7C52"/>
    <w:rsid w:val="00BE01B0"/>
    <w:rsid w:val="00BE0AF7"/>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1D1B"/>
    <w:rsid w:val="00C22D01"/>
    <w:rsid w:val="00C22D64"/>
    <w:rsid w:val="00C25EBF"/>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69E"/>
    <w:rsid w:val="00C56885"/>
    <w:rsid w:val="00C57680"/>
    <w:rsid w:val="00C57997"/>
    <w:rsid w:val="00C57C9F"/>
    <w:rsid w:val="00C57DE8"/>
    <w:rsid w:val="00C607C9"/>
    <w:rsid w:val="00C60EB1"/>
    <w:rsid w:val="00C6230B"/>
    <w:rsid w:val="00C625C8"/>
    <w:rsid w:val="00C644BE"/>
    <w:rsid w:val="00C669B9"/>
    <w:rsid w:val="00C7039E"/>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00D"/>
    <w:rsid w:val="00C84197"/>
    <w:rsid w:val="00C84663"/>
    <w:rsid w:val="00C904A0"/>
    <w:rsid w:val="00C9115E"/>
    <w:rsid w:val="00C9167C"/>
    <w:rsid w:val="00C926A1"/>
    <w:rsid w:val="00C9405A"/>
    <w:rsid w:val="00C94220"/>
    <w:rsid w:val="00C94AA0"/>
    <w:rsid w:val="00C95207"/>
    <w:rsid w:val="00C962CF"/>
    <w:rsid w:val="00CA15FF"/>
    <w:rsid w:val="00CA1B76"/>
    <w:rsid w:val="00CA4E8C"/>
    <w:rsid w:val="00CA6573"/>
    <w:rsid w:val="00CA7887"/>
    <w:rsid w:val="00CB27A4"/>
    <w:rsid w:val="00CB621B"/>
    <w:rsid w:val="00CB65EC"/>
    <w:rsid w:val="00CB6E8A"/>
    <w:rsid w:val="00CB7070"/>
    <w:rsid w:val="00CC18F6"/>
    <w:rsid w:val="00CC1DB1"/>
    <w:rsid w:val="00CC7CEF"/>
    <w:rsid w:val="00CD0468"/>
    <w:rsid w:val="00CD1491"/>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556D"/>
    <w:rsid w:val="00D65FB7"/>
    <w:rsid w:val="00D70AB8"/>
    <w:rsid w:val="00D7104A"/>
    <w:rsid w:val="00D718E2"/>
    <w:rsid w:val="00D722CD"/>
    <w:rsid w:val="00D73B5B"/>
    <w:rsid w:val="00D74FDC"/>
    <w:rsid w:val="00D77684"/>
    <w:rsid w:val="00D77774"/>
    <w:rsid w:val="00D81429"/>
    <w:rsid w:val="00D82506"/>
    <w:rsid w:val="00D831CE"/>
    <w:rsid w:val="00D871A9"/>
    <w:rsid w:val="00D90931"/>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09F0"/>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53EA"/>
    <w:rsid w:val="00DF61CB"/>
    <w:rsid w:val="00E006B6"/>
    <w:rsid w:val="00E013E9"/>
    <w:rsid w:val="00E02840"/>
    <w:rsid w:val="00E02932"/>
    <w:rsid w:val="00E07A5F"/>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7ED"/>
    <w:rsid w:val="00E32EEE"/>
    <w:rsid w:val="00E33520"/>
    <w:rsid w:val="00E3623E"/>
    <w:rsid w:val="00E37775"/>
    <w:rsid w:val="00E40BC0"/>
    <w:rsid w:val="00E41A8D"/>
    <w:rsid w:val="00E427DF"/>
    <w:rsid w:val="00E43435"/>
    <w:rsid w:val="00E475A6"/>
    <w:rsid w:val="00E47828"/>
    <w:rsid w:val="00E52305"/>
    <w:rsid w:val="00E54112"/>
    <w:rsid w:val="00E5497D"/>
    <w:rsid w:val="00E57113"/>
    <w:rsid w:val="00E57493"/>
    <w:rsid w:val="00E60ED0"/>
    <w:rsid w:val="00E61AB6"/>
    <w:rsid w:val="00E61CDE"/>
    <w:rsid w:val="00E65459"/>
    <w:rsid w:val="00E66951"/>
    <w:rsid w:val="00E67D3C"/>
    <w:rsid w:val="00E67EC9"/>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042"/>
    <w:rsid w:val="00EB37B1"/>
    <w:rsid w:val="00EB4DFF"/>
    <w:rsid w:val="00EC2DA8"/>
    <w:rsid w:val="00EC45FC"/>
    <w:rsid w:val="00EC4A4E"/>
    <w:rsid w:val="00EC6A8E"/>
    <w:rsid w:val="00EC6BCB"/>
    <w:rsid w:val="00EC7068"/>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24F"/>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24B2"/>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A86"/>
    <w:rsid w:val="00FD0C4D"/>
    <w:rsid w:val="00FD0CFA"/>
    <w:rsid w:val="00FD0F89"/>
    <w:rsid w:val="00FD41C0"/>
    <w:rsid w:val="00FD424A"/>
    <w:rsid w:val="00FD4382"/>
    <w:rsid w:val="00FD46BA"/>
    <w:rsid w:val="00FD5D4A"/>
    <w:rsid w:val="00FD7489"/>
    <w:rsid w:val="00FE016C"/>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58083"/>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80822503">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00576-B6C4-4CD2-A50F-BE74C1180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3164</Words>
  <Characters>17402</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2020-02-11T20:15:00Z</cp:lastPrinted>
  <dcterms:created xsi:type="dcterms:W3CDTF">2020-09-29T16:14:00Z</dcterms:created>
  <dcterms:modified xsi:type="dcterms:W3CDTF">2020-09-29T16:14:00Z</dcterms:modified>
</cp:coreProperties>
</file>