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5316" w:rsidRPr="00C2761A" w:rsidRDefault="003F5316" w:rsidP="003F5316">
      <w:pPr>
        <w:spacing w:line="240" w:lineRule="auto"/>
        <w:ind w:left="2835"/>
        <w:jc w:val="both"/>
        <w:rPr>
          <w:rFonts w:ascii="Arial" w:hAnsi="Arial" w:cs="Arial"/>
          <w:b/>
          <w:sz w:val="24"/>
          <w:szCs w:val="24"/>
        </w:rPr>
      </w:pPr>
      <w:r w:rsidRPr="00C2761A">
        <w:rPr>
          <w:rFonts w:ascii="Arial" w:hAnsi="Arial" w:cs="Arial"/>
          <w:b/>
          <w:sz w:val="24"/>
          <w:szCs w:val="24"/>
        </w:rPr>
        <w:t>SALA SUPERIOR DEL TRIBUNAL DE JUSTICIA ADMINISTRATIVA DEL ESTADO DE OAXACA</w:t>
      </w:r>
    </w:p>
    <w:p w:rsidR="003F5316" w:rsidRPr="00C2761A" w:rsidRDefault="003F5316" w:rsidP="003F5316">
      <w:pPr>
        <w:spacing w:line="240" w:lineRule="auto"/>
        <w:ind w:left="2835"/>
        <w:jc w:val="both"/>
        <w:rPr>
          <w:rFonts w:ascii="Arial" w:hAnsi="Arial" w:cs="Arial"/>
          <w:b/>
          <w:sz w:val="24"/>
          <w:szCs w:val="24"/>
        </w:rPr>
      </w:pPr>
      <w:r w:rsidRPr="00C2761A">
        <w:rPr>
          <w:rFonts w:ascii="Arial" w:hAnsi="Arial" w:cs="Arial"/>
          <w:b/>
          <w:sz w:val="24"/>
          <w:szCs w:val="24"/>
        </w:rPr>
        <w:t>RECURSO DE REVISIÓN:</w:t>
      </w:r>
      <w:r w:rsidRPr="00C2761A">
        <w:rPr>
          <w:rFonts w:ascii="Arial" w:hAnsi="Arial" w:cs="Arial"/>
          <w:b/>
          <w:sz w:val="24"/>
          <w:szCs w:val="24"/>
        </w:rPr>
        <w:tab/>
        <w:t>0164/2019</w:t>
      </w:r>
    </w:p>
    <w:p w:rsidR="003F5316" w:rsidRPr="00C2761A" w:rsidRDefault="003F5316" w:rsidP="003F5316">
      <w:pPr>
        <w:spacing w:line="240" w:lineRule="auto"/>
        <w:ind w:left="2835"/>
        <w:jc w:val="both"/>
        <w:rPr>
          <w:rFonts w:ascii="Arial" w:hAnsi="Arial" w:cs="Arial"/>
          <w:b/>
          <w:sz w:val="24"/>
          <w:szCs w:val="24"/>
        </w:rPr>
      </w:pPr>
      <w:r w:rsidRPr="00C2761A">
        <w:rPr>
          <w:rFonts w:ascii="Arial" w:hAnsi="Arial" w:cs="Arial"/>
          <w:b/>
          <w:sz w:val="24"/>
          <w:szCs w:val="24"/>
        </w:rPr>
        <w:t>EXPEDIENTE:</w:t>
      </w:r>
      <w:r w:rsidRPr="00C2761A">
        <w:rPr>
          <w:rFonts w:ascii="Arial" w:hAnsi="Arial" w:cs="Arial"/>
          <w:b/>
          <w:sz w:val="24"/>
          <w:szCs w:val="24"/>
        </w:rPr>
        <w:tab/>
        <w:t>0109/2018 PRIMERA SALA UNITARIA DE PRIMERA INSTANCIA</w:t>
      </w:r>
    </w:p>
    <w:p w:rsidR="003F5316" w:rsidRPr="00C2761A" w:rsidRDefault="003F5316" w:rsidP="003F5316">
      <w:pPr>
        <w:spacing w:line="240" w:lineRule="auto"/>
        <w:ind w:left="2835"/>
        <w:jc w:val="both"/>
        <w:rPr>
          <w:rFonts w:ascii="Arial" w:hAnsi="Arial" w:cs="Arial"/>
          <w:b/>
          <w:sz w:val="24"/>
          <w:szCs w:val="24"/>
        </w:rPr>
      </w:pPr>
      <w:r w:rsidRPr="00C2761A">
        <w:rPr>
          <w:rFonts w:ascii="Arial" w:hAnsi="Arial" w:cs="Arial"/>
          <w:b/>
          <w:sz w:val="24"/>
          <w:szCs w:val="24"/>
        </w:rPr>
        <w:t>PONENTE: MAGISTRADA MARÍA ELENA VILLA DE JARQUÍN.</w:t>
      </w:r>
    </w:p>
    <w:p w:rsidR="003F5316" w:rsidRPr="00C2761A" w:rsidRDefault="003F5316" w:rsidP="008D4B11">
      <w:pPr>
        <w:spacing w:after="0" w:line="360" w:lineRule="auto"/>
        <w:jc w:val="both"/>
        <w:rPr>
          <w:rFonts w:ascii="Arial" w:hAnsi="Arial" w:cs="Arial"/>
          <w:b/>
          <w:sz w:val="24"/>
          <w:szCs w:val="24"/>
          <w:lang w:val="es-MX"/>
        </w:rPr>
      </w:pPr>
      <w:r w:rsidRPr="00C2761A">
        <w:rPr>
          <w:rFonts w:ascii="Arial" w:hAnsi="Arial" w:cs="Arial"/>
          <w:b/>
          <w:sz w:val="24"/>
          <w:szCs w:val="24"/>
        </w:rPr>
        <w:t>OAXACA DE JUÁREZ, OAXACA</w:t>
      </w:r>
      <w:r w:rsidR="008D4B11" w:rsidRPr="00C2761A">
        <w:rPr>
          <w:rFonts w:ascii="Arial" w:hAnsi="Arial" w:cs="Arial"/>
          <w:b/>
          <w:sz w:val="24"/>
          <w:szCs w:val="24"/>
        </w:rPr>
        <w:t>,</w:t>
      </w:r>
      <w:r w:rsidRPr="00C2761A">
        <w:rPr>
          <w:rFonts w:ascii="Arial" w:hAnsi="Arial" w:cs="Arial"/>
          <w:b/>
          <w:sz w:val="24"/>
          <w:szCs w:val="24"/>
        </w:rPr>
        <w:t xml:space="preserve"> A TRECE DE FEBRERO DE DOS MIL VEINTE. </w:t>
      </w:r>
    </w:p>
    <w:p w:rsidR="003F5316" w:rsidRPr="00C2761A" w:rsidRDefault="003F5316" w:rsidP="008D4B11">
      <w:pPr>
        <w:spacing w:after="0" w:line="360" w:lineRule="auto"/>
        <w:ind w:firstLine="708"/>
        <w:jc w:val="both"/>
        <w:rPr>
          <w:rFonts w:ascii="Arial" w:hAnsi="Arial" w:cs="Arial"/>
          <w:sz w:val="24"/>
          <w:szCs w:val="24"/>
        </w:rPr>
      </w:pPr>
      <w:r w:rsidRPr="00C2761A">
        <w:rPr>
          <w:rFonts w:ascii="Arial" w:hAnsi="Arial" w:cs="Arial"/>
          <w:sz w:val="24"/>
          <w:szCs w:val="24"/>
        </w:rPr>
        <w:t xml:space="preserve">Por recibido el Cuaderno de Revisión </w:t>
      </w:r>
      <w:r w:rsidRPr="00C2761A">
        <w:rPr>
          <w:rFonts w:ascii="Arial" w:hAnsi="Arial" w:cs="Arial"/>
          <w:b/>
          <w:sz w:val="24"/>
          <w:szCs w:val="24"/>
        </w:rPr>
        <w:t>0164/2019</w:t>
      </w:r>
      <w:r w:rsidRPr="00C2761A">
        <w:rPr>
          <w:rFonts w:ascii="Arial" w:hAnsi="Arial" w:cs="Arial"/>
          <w:sz w:val="24"/>
          <w:szCs w:val="24"/>
        </w:rPr>
        <w:t>, que remite la Secretaría General de Acuerdos, con motivo del recurso de revisión interpuesto por</w:t>
      </w:r>
      <w:r w:rsidRPr="00C2761A">
        <w:rPr>
          <w:rFonts w:ascii="Arial" w:hAnsi="Arial" w:cs="Arial"/>
          <w:b/>
          <w:sz w:val="24"/>
          <w:szCs w:val="24"/>
        </w:rPr>
        <w:t xml:space="preserve"> </w:t>
      </w:r>
      <w:r w:rsidRPr="00C2761A">
        <w:rPr>
          <w:rFonts w:ascii="Arial" w:hAnsi="Arial" w:cs="Arial"/>
          <w:bCs/>
          <w:sz w:val="24"/>
          <w:szCs w:val="24"/>
        </w:rPr>
        <w:t xml:space="preserve">el </w:t>
      </w:r>
      <w:r w:rsidR="00D821F8">
        <w:rPr>
          <w:rFonts w:ascii="Arial" w:hAnsi="Arial" w:cs="Arial"/>
          <w:b/>
          <w:sz w:val="24"/>
          <w:szCs w:val="24"/>
        </w:rPr>
        <w:t>************</w:t>
      </w:r>
      <w:r w:rsidRPr="00C2761A">
        <w:rPr>
          <w:rFonts w:ascii="Arial" w:hAnsi="Arial" w:cs="Arial"/>
          <w:sz w:val="24"/>
          <w:szCs w:val="24"/>
        </w:rPr>
        <w:t xml:space="preserve">, en contra de la sentencia de ocho de abril de dos mil diecinueve, dictada en el expediente </w:t>
      </w:r>
      <w:r w:rsidRPr="00C2761A">
        <w:rPr>
          <w:rFonts w:ascii="Arial" w:hAnsi="Arial" w:cs="Arial"/>
          <w:b/>
          <w:sz w:val="24"/>
          <w:szCs w:val="24"/>
        </w:rPr>
        <w:t>0109/2018</w:t>
      </w:r>
      <w:r w:rsidRPr="00C2761A">
        <w:rPr>
          <w:rFonts w:ascii="Arial" w:hAnsi="Arial" w:cs="Arial"/>
          <w:sz w:val="24"/>
          <w:szCs w:val="24"/>
        </w:rPr>
        <w:t xml:space="preserve"> de la Primera Sala Unitaria de Primera Instancia, relativo al juicio de nulidad promovido por </w:t>
      </w:r>
      <w:r w:rsidR="00D821F8">
        <w:rPr>
          <w:rFonts w:ascii="Arial" w:hAnsi="Arial" w:cs="Arial"/>
          <w:b/>
          <w:sz w:val="24"/>
          <w:szCs w:val="24"/>
        </w:rPr>
        <w:t>************</w:t>
      </w:r>
      <w:r w:rsidRPr="00C2761A">
        <w:rPr>
          <w:rFonts w:ascii="Arial" w:hAnsi="Arial" w:cs="Arial"/>
          <w:b/>
          <w:bCs/>
          <w:sz w:val="24"/>
          <w:szCs w:val="24"/>
        </w:rPr>
        <w:t>,</w:t>
      </w:r>
      <w:r w:rsidRPr="00C2761A">
        <w:rPr>
          <w:rFonts w:ascii="Arial" w:hAnsi="Arial" w:cs="Arial"/>
          <w:b/>
          <w:sz w:val="24"/>
          <w:szCs w:val="24"/>
        </w:rPr>
        <w:t xml:space="preserve"> </w:t>
      </w:r>
      <w:r w:rsidRPr="00C2761A">
        <w:rPr>
          <w:rFonts w:ascii="Arial" w:hAnsi="Arial" w:cs="Arial"/>
          <w:bCs/>
          <w:sz w:val="24"/>
          <w:szCs w:val="24"/>
        </w:rPr>
        <w:t xml:space="preserve">en contra del entonces </w:t>
      </w:r>
      <w:r w:rsidRPr="00C2761A">
        <w:rPr>
          <w:rFonts w:ascii="Arial" w:hAnsi="Arial" w:cs="Arial"/>
          <w:b/>
          <w:sz w:val="24"/>
          <w:szCs w:val="24"/>
        </w:rPr>
        <w:t xml:space="preserve">DIRECTOR GENERAL DE DESARROLLO URBANO, CENTRO HISTÓRICO Y ECOLOGÍA DEL MUNICIPIO DE OAXACA DE JUÁREZ, OAXACA, </w:t>
      </w:r>
      <w:r w:rsidRPr="00C2761A">
        <w:rPr>
          <w:rFonts w:ascii="Arial" w:hAnsi="Arial" w:cs="Arial"/>
          <w:sz w:val="24"/>
          <w:szCs w:val="24"/>
        </w:rPr>
        <w:t>por lo que con fundamento en los artículos 236 y 238 de la Ley de Procedimiento y Justicia Administrativa para el Estado de Oaxaca, se admite. En consecuencia, se procede a dictar resolución en los siguientes términos:</w:t>
      </w:r>
    </w:p>
    <w:p w:rsidR="003F5316" w:rsidRPr="00C2761A" w:rsidRDefault="003F5316" w:rsidP="008D4B11">
      <w:pPr>
        <w:spacing w:after="0" w:line="360" w:lineRule="auto"/>
        <w:jc w:val="center"/>
        <w:rPr>
          <w:rFonts w:ascii="Arial" w:hAnsi="Arial" w:cs="Arial"/>
          <w:b/>
          <w:bCs/>
          <w:sz w:val="24"/>
          <w:szCs w:val="24"/>
        </w:rPr>
      </w:pPr>
      <w:r w:rsidRPr="00C2761A">
        <w:rPr>
          <w:rFonts w:ascii="Arial" w:hAnsi="Arial" w:cs="Arial"/>
          <w:b/>
          <w:bCs/>
          <w:sz w:val="24"/>
          <w:szCs w:val="24"/>
        </w:rPr>
        <w:t>R E S U L T A N D O</w:t>
      </w:r>
    </w:p>
    <w:p w:rsidR="003F5316" w:rsidRPr="00C2761A" w:rsidRDefault="003F5316" w:rsidP="008D4B11">
      <w:pPr>
        <w:spacing w:after="0" w:line="360" w:lineRule="auto"/>
        <w:ind w:firstLine="708"/>
        <w:jc w:val="both"/>
        <w:rPr>
          <w:rFonts w:ascii="Arial" w:hAnsi="Arial" w:cs="Arial"/>
          <w:sz w:val="24"/>
          <w:szCs w:val="24"/>
        </w:rPr>
      </w:pPr>
      <w:r w:rsidRPr="00C2761A">
        <w:rPr>
          <w:rFonts w:ascii="Arial" w:hAnsi="Arial" w:cs="Arial"/>
          <w:b/>
          <w:bCs/>
          <w:sz w:val="24"/>
          <w:szCs w:val="24"/>
        </w:rPr>
        <w:t xml:space="preserve">PRIMERO. </w:t>
      </w:r>
      <w:r w:rsidRPr="00C2761A">
        <w:rPr>
          <w:rFonts w:ascii="Arial" w:hAnsi="Arial" w:cs="Arial"/>
          <w:sz w:val="24"/>
          <w:szCs w:val="24"/>
        </w:rPr>
        <w:t xml:space="preserve">Inconforme con la sentencia de ocho de abril de dos mil diecinueve, dictada por la Primera Sala Unitaria de Primera Instancia, </w:t>
      </w:r>
      <w:r w:rsidRPr="00C2761A">
        <w:rPr>
          <w:rFonts w:ascii="Arial" w:hAnsi="Arial" w:cs="Arial"/>
          <w:bCs/>
          <w:sz w:val="24"/>
          <w:szCs w:val="24"/>
        </w:rPr>
        <w:t xml:space="preserve">el </w:t>
      </w:r>
      <w:r w:rsidR="00E33715">
        <w:rPr>
          <w:rFonts w:ascii="Arial" w:hAnsi="Arial" w:cs="Arial"/>
          <w:b/>
          <w:sz w:val="24"/>
          <w:szCs w:val="24"/>
        </w:rPr>
        <w:t>**********</w:t>
      </w:r>
      <w:r w:rsidRPr="00C2761A">
        <w:rPr>
          <w:rFonts w:ascii="Arial" w:hAnsi="Arial" w:cs="Arial"/>
          <w:sz w:val="24"/>
          <w:szCs w:val="24"/>
        </w:rPr>
        <w:t>, interpuso en su contra recurso de revisión.</w:t>
      </w:r>
    </w:p>
    <w:p w:rsidR="003F5316" w:rsidRPr="00C2761A" w:rsidRDefault="003F5316" w:rsidP="008D4B11">
      <w:pPr>
        <w:spacing w:after="0" w:line="360" w:lineRule="auto"/>
        <w:ind w:firstLine="708"/>
        <w:jc w:val="both"/>
        <w:rPr>
          <w:rFonts w:ascii="Arial" w:hAnsi="Arial" w:cs="Arial"/>
          <w:bCs/>
          <w:sz w:val="24"/>
          <w:szCs w:val="24"/>
        </w:rPr>
      </w:pPr>
      <w:r w:rsidRPr="00C2761A">
        <w:rPr>
          <w:rFonts w:ascii="Arial" w:hAnsi="Arial" w:cs="Arial"/>
          <w:b/>
          <w:bCs/>
          <w:sz w:val="24"/>
          <w:szCs w:val="24"/>
          <w:lang w:val="es-MX"/>
        </w:rPr>
        <w:t xml:space="preserve">SEGUNDO. </w:t>
      </w:r>
      <w:r w:rsidRPr="00C2761A">
        <w:rPr>
          <w:rFonts w:ascii="Arial" w:hAnsi="Arial" w:cs="Arial"/>
          <w:bCs/>
          <w:sz w:val="24"/>
          <w:szCs w:val="24"/>
        </w:rPr>
        <w:t>Los puntos resolutivos de la sentencia recurrida son los siguientes:</w:t>
      </w:r>
    </w:p>
    <w:p w:rsidR="003F5316" w:rsidRPr="003F5316" w:rsidRDefault="003F5316" w:rsidP="008D4B11">
      <w:pPr>
        <w:widowControl w:val="0"/>
        <w:tabs>
          <w:tab w:val="left" w:pos="7938"/>
        </w:tabs>
        <w:spacing w:after="0"/>
        <w:ind w:left="1134" w:right="616"/>
        <w:jc w:val="both"/>
        <w:rPr>
          <w:rFonts w:ascii="Arial" w:eastAsia="Times New Roman" w:hAnsi="Arial" w:cs="Arial"/>
          <w:b/>
          <w:bCs/>
          <w:i/>
          <w:iCs/>
          <w:lang w:eastAsia="es-ES"/>
        </w:rPr>
      </w:pPr>
      <w:r w:rsidRPr="00C06661">
        <w:rPr>
          <w:rFonts w:ascii="Arial" w:eastAsia="Times New Roman" w:hAnsi="Arial" w:cs="Arial"/>
          <w:bCs/>
          <w:i/>
          <w:iCs/>
          <w:sz w:val="24"/>
          <w:szCs w:val="24"/>
          <w:lang w:eastAsia="es-ES"/>
        </w:rPr>
        <w:t>“</w:t>
      </w:r>
      <w:r w:rsidRPr="003F5316">
        <w:rPr>
          <w:rFonts w:ascii="Arial" w:eastAsia="Times New Roman" w:hAnsi="Arial" w:cs="Arial"/>
          <w:b/>
          <w:bCs/>
          <w:i/>
          <w:iCs/>
          <w:lang w:eastAsia="es-ES"/>
        </w:rPr>
        <w:t xml:space="preserve">PRIMERO. </w:t>
      </w:r>
      <w:r w:rsidRPr="003F5316">
        <w:rPr>
          <w:rFonts w:ascii="Arial" w:eastAsia="Times New Roman" w:hAnsi="Arial" w:cs="Arial"/>
          <w:bCs/>
          <w:i/>
          <w:iCs/>
          <w:lang w:eastAsia="es-ES"/>
        </w:rPr>
        <w:t>Esta Primera Sala Unitaria del Tribunal de Justicia Administrativa del Estado de Oaxaca, es competente para conocer y resolver el presente juicio. - - - - - - - - - - - - - -</w:t>
      </w:r>
      <w:r>
        <w:rPr>
          <w:rFonts w:ascii="Arial" w:eastAsia="Times New Roman" w:hAnsi="Arial" w:cs="Arial"/>
          <w:bCs/>
          <w:i/>
          <w:iCs/>
          <w:lang w:eastAsia="es-ES"/>
        </w:rPr>
        <w:t xml:space="preserve"> - - - - - - -</w:t>
      </w:r>
      <w:r w:rsidRPr="003F5316">
        <w:rPr>
          <w:rFonts w:ascii="Arial" w:eastAsia="Times New Roman" w:hAnsi="Arial" w:cs="Arial"/>
          <w:b/>
          <w:bCs/>
          <w:i/>
          <w:iCs/>
          <w:lang w:eastAsia="es-ES"/>
        </w:rPr>
        <w:t xml:space="preserve">SEGUNDO. </w:t>
      </w:r>
      <w:r w:rsidRPr="003F5316">
        <w:rPr>
          <w:rFonts w:ascii="Arial" w:eastAsia="Times New Roman" w:hAnsi="Arial" w:cs="Arial"/>
          <w:bCs/>
          <w:i/>
          <w:iCs/>
          <w:lang w:eastAsia="es-ES"/>
        </w:rPr>
        <w:t xml:space="preserve">La personalidad de las partes quedó asentada dentro del considerando SEGUNDO de la presente resolución. - - - - - - - - </w:t>
      </w:r>
      <w:r w:rsidRPr="003F5316">
        <w:rPr>
          <w:rFonts w:ascii="Arial" w:eastAsia="Times New Roman" w:hAnsi="Arial" w:cs="Arial"/>
          <w:b/>
          <w:bCs/>
          <w:i/>
          <w:iCs/>
          <w:lang w:eastAsia="es-ES"/>
        </w:rPr>
        <w:t xml:space="preserve">TERCERO. </w:t>
      </w:r>
      <w:r w:rsidRPr="003F5316">
        <w:rPr>
          <w:rFonts w:ascii="Arial" w:eastAsia="Times New Roman" w:hAnsi="Arial" w:cs="Arial"/>
          <w:bCs/>
          <w:i/>
          <w:iCs/>
          <w:lang w:eastAsia="es-ES"/>
        </w:rPr>
        <w:t xml:space="preserve">Este Juzgador advierte que, en el presente juicio no se configura alguna causal de improcedencia o sobreseimiento expuesta en el considerando TERCERO, por lo tanto, </w:t>
      </w:r>
      <w:r w:rsidRPr="003F5316">
        <w:rPr>
          <w:rFonts w:ascii="Arial" w:eastAsia="Times New Roman" w:hAnsi="Arial" w:cs="Arial"/>
          <w:b/>
          <w:bCs/>
          <w:i/>
          <w:iCs/>
          <w:lang w:eastAsia="es-ES"/>
        </w:rPr>
        <w:t xml:space="preserve">NO SE SOBRESEE. </w:t>
      </w:r>
      <w:r w:rsidRPr="003F5316">
        <w:rPr>
          <w:rFonts w:ascii="Arial" w:eastAsia="Times New Roman" w:hAnsi="Arial" w:cs="Arial"/>
          <w:bCs/>
          <w:i/>
          <w:iCs/>
          <w:lang w:eastAsia="es-ES"/>
        </w:rPr>
        <w:t xml:space="preserve">- - - - - - - - - - - - - - - - - - </w:t>
      </w:r>
      <w:r>
        <w:rPr>
          <w:rFonts w:ascii="Arial" w:eastAsia="Times New Roman" w:hAnsi="Arial" w:cs="Arial"/>
          <w:bCs/>
          <w:i/>
          <w:iCs/>
          <w:lang w:eastAsia="es-ES"/>
        </w:rPr>
        <w:t>- - - - - - - - - - - - - -</w:t>
      </w:r>
      <w:r w:rsidRPr="003F5316">
        <w:rPr>
          <w:rFonts w:ascii="Arial" w:eastAsia="Times New Roman" w:hAnsi="Arial" w:cs="Arial"/>
          <w:b/>
          <w:bCs/>
          <w:i/>
          <w:iCs/>
          <w:lang w:eastAsia="es-ES"/>
        </w:rPr>
        <w:t xml:space="preserve">CUARTO.- </w:t>
      </w:r>
      <w:r w:rsidRPr="003F5316">
        <w:rPr>
          <w:rFonts w:ascii="Arial" w:eastAsia="Times New Roman" w:hAnsi="Arial" w:cs="Arial"/>
          <w:bCs/>
          <w:i/>
          <w:iCs/>
          <w:lang w:eastAsia="es-ES"/>
        </w:rPr>
        <w:t xml:space="preserve">Se declara la </w:t>
      </w:r>
      <w:r w:rsidRPr="003F5316">
        <w:rPr>
          <w:rFonts w:ascii="Arial" w:eastAsia="Times New Roman" w:hAnsi="Arial" w:cs="Arial"/>
          <w:b/>
          <w:i/>
          <w:iCs/>
          <w:lang w:eastAsia="es-ES"/>
        </w:rPr>
        <w:t xml:space="preserve">NULIDAD LISA Y LLANA </w:t>
      </w:r>
      <w:r w:rsidRPr="003F5316">
        <w:rPr>
          <w:rFonts w:ascii="Arial" w:eastAsia="Times New Roman" w:hAnsi="Arial" w:cs="Arial"/>
          <w:bCs/>
          <w:i/>
          <w:iCs/>
          <w:lang w:eastAsia="es-ES"/>
        </w:rPr>
        <w:t xml:space="preserve">del acuerdo de sanción de multa número </w:t>
      </w:r>
      <w:r w:rsidR="00D821F8">
        <w:rPr>
          <w:rFonts w:ascii="Arial" w:hAnsi="Arial" w:cs="Arial"/>
          <w:b/>
          <w:sz w:val="24"/>
          <w:szCs w:val="24"/>
        </w:rPr>
        <w:t>************</w:t>
      </w:r>
      <w:r w:rsidRPr="003F5316">
        <w:rPr>
          <w:rFonts w:ascii="Arial" w:eastAsia="Times New Roman" w:hAnsi="Arial" w:cs="Arial"/>
          <w:bCs/>
          <w:i/>
          <w:iCs/>
          <w:lang w:eastAsia="es-ES"/>
        </w:rPr>
        <w:t xml:space="preserve">de fecha dieciocho de septiembre de dos mil dieciocho (18/09/2018), emitida por la Dirección General de Desarrollo Urbano, Centro Histórico y Ecología del Municipio de Oaxaca de Juárez, mediante la cual se impone una sanción económica en cantidad </w:t>
      </w:r>
      <w:r w:rsidR="00D821F8">
        <w:rPr>
          <w:rFonts w:ascii="Arial" w:hAnsi="Arial" w:cs="Arial"/>
          <w:b/>
          <w:sz w:val="24"/>
          <w:szCs w:val="24"/>
        </w:rPr>
        <w:t>************</w:t>
      </w:r>
      <w:r w:rsidRPr="003F5316">
        <w:rPr>
          <w:rFonts w:ascii="Arial" w:eastAsia="Times New Roman" w:hAnsi="Arial" w:cs="Arial"/>
          <w:bCs/>
          <w:i/>
          <w:iCs/>
          <w:lang w:eastAsia="es-ES"/>
        </w:rPr>
        <w:t xml:space="preserve">, </w:t>
      </w:r>
      <w:r w:rsidRPr="003F5316">
        <w:rPr>
          <w:rFonts w:ascii="Arial" w:eastAsia="Times New Roman" w:hAnsi="Arial" w:cs="Arial"/>
          <w:bCs/>
          <w:i/>
          <w:iCs/>
          <w:u w:val="single"/>
          <w:lang w:eastAsia="es-ES"/>
        </w:rPr>
        <w:t>en consecuencia, se ordena a esa autoridad fiscal para que por sí misma o a través de quien sea competente realice la baja de la citada multa del sistema electrónico y/o documental que para tal efecto lleve esa autoridad-</w:t>
      </w:r>
      <w:r w:rsidRPr="003F5316">
        <w:rPr>
          <w:rFonts w:ascii="Arial" w:eastAsia="Times New Roman" w:hAnsi="Arial" w:cs="Arial"/>
          <w:bCs/>
          <w:i/>
          <w:iCs/>
          <w:lang w:eastAsia="es-ES"/>
        </w:rPr>
        <w:t xml:space="preserve">  </w:t>
      </w:r>
      <w:r w:rsidRPr="003F5316">
        <w:rPr>
          <w:rFonts w:ascii="Arial" w:eastAsia="Times New Roman" w:hAnsi="Arial" w:cs="Arial"/>
          <w:b/>
          <w:bCs/>
          <w:i/>
          <w:iCs/>
          <w:lang w:eastAsia="es-ES"/>
        </w:rPr>
        <w:t xml:space="preserve">QUINTO.- </w:t>
      </w:r>
      <w:r w:rsidRPr="003F5316">
        <w:rPr>
          <w:rFonts w:ascii="Arial" w:eastAsia="Times New Roman" w:hAnsi="Arial" w:cs="Arial"/>
          <w:bCs/>
          <w:i/>
          <w:iCs/>
          <w:lang w:eastAsia="es-ES"/>
        </w:rPr>
        <w:t xml:space="preserve">Conforme a lo dispuesto por los artículos 172 y 173 de la Ley de Procedimiento y Justicia Administrativa para el Estado de Oaxaca, </w:t>
      </w:r>
      <w:r w:rsidRPr="003F5316">
        <w:rPr>
          <w:rFonts w:ascii="Arial" w:eastAsia="Times New Roman" w:hAnsi="Arial" w:cs="Arial"/>
          <w:b/>
          <w:bCs/>
          <w:i/>
          <w:iCs/>
          <w:lang w:eastAsia="es-ES"/>
        </w:rPr>
        <w:t xml:space="preserve">NOTIFÍQUESE </w:t>
      </w:r>
      <w:r w:rsidRPr="003F5316">
        <w:rPr>
          <w:rFonts w:ascii="Arial" w:eastAsia="Times New Roman" w:hAnsi="Arial" w:cs="Arial"/>
          <w:bCs/>
          <w:i/>
          <w:iCs/>
          <w:lang w:eastAsia="es-ES"/>
        </w:rPr>
        <w:t xml:space="preserve">y </w:t>
      </w:r>
      <w:r w:rsidRPr="003F5316">
        <w:rPr>
          <w:rFonts w:ascii="Arial" w:eastAsia="Times New Roman" w:hAnsi="Arial" w:cs="Arial"/>
          <w:b/>
          <w:bCs/>
          <w:i/>
          <w:iCs/>
          <w:lang w:eastAsia="es-ES"/>
        </w:rPr>
        <w:t>CÚMPLASE</w:t>
      </w:r>
      <w:r w:rsidRPr="003F5316">
        <w:rPr>
          <w:rFonts w:ascii="Arial" w:eastAsia="Times New Roman" w:hAnsi="Arial" w:cs="Arial"/>
          <w:bCs/>
          <w:i/>
          <w:iCs/>
          <w:lang w:eastAsia="es-ES"/>
        </w:rPr>
        <w:t>.- - - - - - -”</w:t>
      </w:r>
    </w:p>
    <w:p w:rsidR="003F5316" w:rsidRPr="00C2761A" w:rsidRDefault="003F5316" w:rsidP="003F5316">
      <w:pPr>
        <w:spacing w:before="240" w:line="360" w:lineRule="auto"/>
        <w:ind w:left="851" w:right="616"/>
        <w:jc w:val="center"/>
        <w:rPr>
          <w:rFonts w:ascii="Arial" w:eastAsia="Calibri" w:hAnsi="Arial" w:cs="Arial"/>
          <w:b/>
          <w:bCs/>
          <w:sz w:val="24"/>
          <w:szCs w:val="24"/>
        </w:rPr>
      </w:pPr>
      <w:r w:rsidRPr="00C2761A">
        <w:rPr>
          <w:rFonts w:ascii="Arial" w:eastAsia="Calibri" w:hAnsi="Arial" w:cs="Arial"/>
          <w:b/>
          <w:bCs/>
          <w:sz w:val="24"/>
          <w:szCs w:val="24"/>
        </w:rPr>
        <w:lastRenderedPageBreak/>
        <w:t>C O N S I D E R A N D O:</w:t>
      </w:r>
    </w:p>
    <w:p w:rsidR="003F5316" w:rsidRPr="00C2761A" w:rsidRDefault="003F5316" w:rsidP="003F5316">
      <w:pPr>
        <w:spacing w:before="240" w:line="360" w:lineRule="auto"/>
        <w:ind w:firstLine="708"/>
        <w:jc w:val="both"/>
        <w:rPr>
          <w:rFonts w:ascii="Arial" w:hAnsi="Arial" w:cs="Arial"/>
          <w:b/>
          <w:bCs/>
          <w:iCs/>
          <w:sz w:val="24"/>
          <w:szCs w:val="24"/>
        </w:rPr>
      </w:pPr>
      <w:r w:rsidRPr="00C2761A">
        <w:rPr>
          <w:rFonts w:ascii="Arial" w:hAnsi="Arial" w:cs="Arial"/>
          <w:b/>
          <w:bCs/>
          <w:iCs/>
          <w:sz w:val="24"/>
          <w:szCs w:val="24"/>
          <w:lang w:eastAsia="es-ES"/>
        </w:rPr>
        <w:t>PRIMERO.</w:t>
      </w:r>
      <w:r w:rsidRPr="00C2761A">
        <w:rPr>
          <w:rFonts w:ascii="Arial" w:hAnsi="Arial" w:cs="Arial"/>
          <w:b/>
          <w:bCs/>
          <w:iCs/>
          <w:sz w:val="24"/>
          <w:szCs w:val="24"/>
        </w:rPr>
        <w:t xml:space="preserve"> </w:t>
      </w:r>
      <w:r w:rsidRPr="00C2761A">
        <w:rPr>
          <w:rFonts w:ascii="Arial" w:hAnsi="Arial" w:cs="Arial"/>
          <w:bCs/>
          <w:iCs/>
          <w:sz w:val="24"/>
          <w:szCs w:val="24"/>
        </w:rPr>
        <w:t xml:space="preserve">Esta Sala Superior es competente para conocer del presente asunto, de conformidad con lo dispuesto por los artículos 114 </w:t>
      </w:r>
      <w:proofErr w:type="spellStart"/>
      <w:r w:rsidRPr="00C2761A">
        <w:rPr>
          <w:rFonts w:ascii="Arial" w:hAnsi="Arial" w:cs="Arial"/>
          <w:bCs/>
          <w:iCs/>
          <w:sz w:val="24"/>
          <w:szCs w:val="24"/>
        </w:rPr>
        <w:t>Quáter</w:t>
      </w:r>
      <w:proofErr w:type="spellEnd"/>
      <w:r w:rsidRPr="00C2761A">
        <w:rPr>
          <w:rFonts w:ascii="Arial" w:hAnsi="Arial" w:cs="Arial"/>
          <w:bCs/>
          <w:iCs/>
          <w:sz w:val="24"/>
          <w:szCs w:val="24"/>
        </w:rPr>
        <w:t xml:space="preserve">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7 siete de noviembre de 2019 dos mil diecinueve; así como los diversos</w:t>
      </w:r>
      <w:r w:rsidRPr="00C2761A">
        <w:rPr>
          <w:rFonts w:ascii="Arial" w:hAnsi="Arial" w:cs="Arial"/>
          <w:bCs/>
          <w:iCs/>
          <w:sz w:val="24"/>
          <w:szCs w:val="24"/>
          <w:lang w:eastAsia="es-ES"/>
        </w:rPr>
        <w:t xml:space="preserve"> 125</w:t>
      </w:r>
      <w:r w:rsidRPr="00C2761A">
        <w:rPr>
          <w:rFonts w:ascii="Arial" w:hAnsi="Arial" w:cs="Arial"/>
          <w:bCs/>
          <w:iCs/>
          <w:sz w:val="24"/>
          <w:szCs w:val="24"/>
        </w:rPr>
        <w:t xml:space="preserve">, 127, 129, 130, fracción I, 131, 231, 236 y 238 de la Ley de Procedimiento y Justicia Administrativa para el Estado de Oaxaca, dado que se trata de un Recurso de Revisión interpuesto en contra de la sentencia de </w:t>
      </w:r>
      <w:r w:rsidRPr="00C2761A">
        <w:rPr>
          <w:rFonts w:ascii="Arial" w:hAnsi="Arial" w:cs="Arial"/>
          <w:sz w:val="24"/>
          <w:szCs w:val="24"/>
        </w:rPr>
        <w:t>ocho de abril de dos mil diecinueve</w:t>
      </w:r>
      <w:r w:rsidRPr="00C2761A">
        <w:rPr>
          <w:rFonts w:ascii="Arial" w:hAnsi="Arial" w:cs="Arial"/>
          <w:bCs/>
          <w:iCs/>
          <w:sz w:val="24"/>
          <w:szCs w:val="24"/>
        </w:rPr>
        <w:t xml:space="preserve">, dictada por la Primera Sala Unitaria de Primera Instancia de este Tribunal, en el expediente </w:t>
      </w:r>
      <w:r w:rsidRPr="00C2761A">
        <w:rPr>
          <w:rFonts w:ascii="Arial" w:hAnsi="Arial" w:cs="Arial"/>
          <w:b/>
          <w:bCs/>
          <w:iCs/>
          <w:sz w:val="24"/>
          <w:szCs w:val="24"/>
        </w:rPr>
        <w:t>0109/2018</w:t>
      </w:r>
      <w:r w:rsidRPr="00C2761A">
        <w:rPr>
          <w:rFonts w:ascii="Arial" w:hAnsi="Arial" w:cs="Arial"/>
          <w:sz w:val="24"/>
          <w:szCs w:val="24"/>
        </w:rPr>
        <w:t>.</w:t>
      </w:r>
    </w:p>
    <w:p w:rsidR="003F5316" w:rsidRPr="00C2761A" w:rsidRDefault="003F5316" w:rsidP="003F5316">
      <w:pPr>
        <w:spacing w:before="240" w:after="0" w:line="360" w:lineRule="auto"/>
        <w:ind w:firstLine="709"/>
        <w:jc w:val="both"/>
        <w:rPr>
          <w:rFonts w:ascii="Arial" w:hAnsi="Arial" w:cs="Arial"/>
          <w:sz w:val="24"/>
          <w:szCs w:val="24"/>
        </w:rPr>
      </w:pPr>
      <w:r w:rsidRPr="00C2761A">
        <w:rPr>
          <w:rFonts w:ascii="Arial" w:hAnsi="Arial" w:cs="Arial"/>
          <w:b/>
          <w:sz w:val="24"/>
          <w:szCs w:val="24"/>
        </w:rPr>
        <w:t>SEGUNDO</w:t>
      </w:r>
      <w:r w:rsidRPr="00C2761A">
        <w:rPr>
          <w:rFonts w:ascii="Arial" w:hAnsi="Arial" w:cs="Arial"/>
          <w:sz w:val="24"/>
          <w:szCs w:val="24"/>
        </w:rPr>
        <w:t>.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rsidR="003F5316" w:rsidRPr="003F5316" w:rsidRDefault="003F5316" w:rsidP="003F5316">
      <w:pPr>
        <w:spacing w:before="240" w:after="0"/>
        <w:ind w:left="1134" w:right="474"/>
        <w:jc w:val="both"/>
        <w:rPr>
          <w:rFonts w:ascii="Arial" w:hAnsi="Arial" w:cs="Arial"/>
        </w:rPr>
      </w:pPr>
      <w:r w:rsidRPr="003F5316">
        <w:rPr>
          <w:rFonts w:ascii="Arial" w:hAnsi="Arial" w:cs="Arial"/>
        </w:rPr>
        <w:t>“</w:t>
      </w:r>
      <w:r w:rsidRPr="003F5316">
        <w:rPr>
          <w:rFonts w:ascii="Arial" w:hAnsi="Arial" w:cs="Arial"/>
          <w:b/>
          <w:i/>
        </w:rPr>
        <w:t>CONCEPTOS DE VIOLACION. NO ES OBLIGATORIO TRANSCRIBIRLOS EN LA SENTENCIA</w:t>
      </w:r>
      <w:r w:rsidRPr="003F5316">
        <w:rPr>
          <w:rFonts w:ascii="Arial" w:hAnsi="Arial" w:cs="Arial"/>
        </w:rPr>
        <w:t xml:space="preserve">. </w:t>
      </w:r>
      <w:r w:rsidRPr="003F5316">
        <w:rPr>
          <w:rFonts w:ascii="Arial" w:hAnsi="Arial" w:cs="Arial"/>
          <w:i/>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3F5316">
        <w:rPr>
          <w:rFonts w:ascii="Arial" w:hAnsi="Arial" w:cs="Arial"/>
        </w:rPr>
        <w:t>.”</w:t>
      </w:r>
    </w:p>
    <w:p w:rsidR="003F5316" w:rsidRPr="00C2761A" w:rsidRDefault="003F5316" w:rsidP="003F5316">
      <w:pPr>
        <w:widowControl w:val="0"/>
        <w:tabs>
          <w:tab w:val="left" w:pos="0"/>
        </w:tabs>
        <w:spacing w:before="240" w:after="0" w:line="360" w:lineRule="auto"/>
        <w:ind w:right="18"/>
        <w:jc w:val="both"/>
        <w:rPr>
          <w:rFonts w:ascii="Arial" w:hAnsi="Arial" w:cs="Arial"/>
          <w:bCs/>
          <w:color w:val="000000"/>
          <w:sz w:val="24"/>
          <w:szCs w:val="24"/>
        </w:rPr>
      </w:pPr>
      <w:r>
        <w:rPr>
          <w:rFonts w:ascii="Arial" w:eastAsia="Calibri" w:hAnsi="Arial" w:cs="Arial"/>
          <w:b/>
          <w:bCs/>
          <w:sz w:val="26"/>
          <w:szCs w:val="26"/>
          <w:lang w:val="es-MX"/>
        </w:rPr>
        <w:tab/>
      </w:r>
      <w:r w:rsidRPr="00C2761A">
        <w:rPr>
          <w:rFonts w:ascii="Arial" w:eastAsia="Calibri" w:hAnsi="Arial" w:cs="Arial"/>
          <w:b/>
          <w:bCs/>
          <w:sz w:val="24"/>
          <w:szCs w:val="24"/>
        </w:rPr>
        <w:t xml:space="preserve">TERCERO. </w:t>
      </w:r>
      <w:r w:rsidRPr="00C2761A">
        <w:rPr>
          <w:rFonts w:ascii="Arial" w:eastAsia="Calibri" w:hAnsi="Arial" w:cs="Arial"/>
          <w:bCs/>
          <w:sz w:val="24"/>
          <w:szCs w:val="24"/>
        </w:rPr>
        <w:t xml:space="preserve">Alega en esencia en sus agravios marcados como I y III de su escrito de inconformidades, </w:t>
      </w:r>
      <w:r w:rsidRPr="00C2761A">
        <w:rPr>
          <w:rFonts w:ascii="Arial" w:hAnsi="Arial" w:cs="Arial"/>
          <w:bCs/>
          <w:color w:val="000000"/>
          <w:sz w:val="24"/>
          <w:szCs w:val="24"/>
        </w:rPr>
        <w:t xml:space="preserve">que la determinación contenida en el considerando tercero de la sentencia recurrida, en la que la Primera Instancia precisó que no se configuró causal de improcedencia o sobreseimiento, le causa agravio, porque no se valoró el interés jurídico del actor para acudir al juicio, precisando el recurrente que tal carácter no lo demostró, porque no acreditó contar con licencia de construcción vigente, para llevar a cabo los trabajos que ejecutó en su domicilio, porque si bien manifestó le fue autorizada licencia de construcción </w:t>
      </w:r>
      <w:r w:rsidR="00D821F8">
        <w:rPr>
          <w:rFonts w:ascii="Arial" w:hAnsi="Arial" w:cs="Arial"/>
          <w:b/>
          <w:sz w:val="24"/>
          <w:szCs w:val="24"/>
        </w:rPr>
        <w:t xml:space="preserve">************ </w:t>
      </w:r>
      <w:r w:rsidRPr="00C2761A">
        <w:rPr>
          <w:rFonts w:ascii="Arial" w:hAnsi="Arial" w:cs="Arial"/>
          <w:bCs/>
          <w:color w:val="000000"/>
          <w:sz w:val="24"/>
          <w:szCs w:val="24"/>
        </w:rPr>
        <w:t>de nueve de noviembre de dos mil diecisiete, al efectuarse la verificación a la obra, está ya había fenecido.</w:t>
      </w:r>
    </w:p>
    <w:p w:rsidR="003F5316" w:rsidRPr="00C2761A" w:rsidRDefault="003F5316" w:rsidP="003F5316">
      <w:pPr>
        <w:spacing w:before="240" w:line="360" w:lineRule="auto"/>
        <w:ind w:firstLine="708"/>
        <w:jc w:val="both"/>
        <w:rPr>
          <w:rFonts w:ascii="Arial" w:hAnsi="Arial" w:cs="Arial"/>
          <w:bCs/>
          <w:sz w:val="24"/>
          <w:szCs w:val="24"/>
          <w:lang w:val="es-MX"/>
        </w:rPr>
      </w:pPr>
      <w:r w:rsidRPr="00C2761A">
        <w:rPr>
          <w:rFonts w:ascii="Arial" w:hAnsi="Arial" w:cs="Arial"/>
          <w:bCs/>
          <w:color w:val="000000"/>
          <w:sz w:val="24"/>
          <w:szCs w:val="24"/>
        </w:rPr>
        <w:lastRenderedPageBreak/>
        <w:t xml:space="preserve">Del análisis a las </w:t>
      </w:r>
      <w:r w:rsidRPr="00C2761A">
        <w:rPr>
          <w:rFonts w:ascii="Arial" w:hAnsi="Arial" w:cs="Arial"/>
          <w:bCs/>
          <w:sz w:val="24"/>
          <w:szCs w:val="24"/>
          <w:lang w:val="es-MX"/>
        </w:rPr>
        <w:t>constancias que integran el expediente natural, a las que por tratarse de actuaciones judiciales tienen pleno valor probatorio conforme lo dispuesto por el artículo 203 fracción I</w:t>
      </w:r>
      <w:r w:rsidRPr="00C2761A">
        <w:rPr>
          <w:rStyle w:val="Refdenotaalpie"/>
          <w:rFonts w:ascii="Arial" w:hAnsi="Arial" w:cs="Arial"/>
          <w:bCs/>
          <w:sz w:val="24"/>
          <w:szCs w:val="24"/>
          <w:lang w:val="es-MX"/>
        </w:rPr>
        <w:footnoteReference w:id="1"/>
      </w:r>
      <w:r w:rsidRPr="00C2761A">
        <w:rPr>
          <w:rFonts w:ascii="Arial" w:hAnsi="Arial" w:cs="Arial"/>
          <w:bCs/>
          <w:sz w:val="24"/>
          <w:szCs w:val="24"/>
          <w:lang w:val="es-MX"/>
        </w:rPr>
        <w:t xml:space="preserve"> de la Ley de Procedimientos y Justicia Administrativa para el Estado de Oaxaca, se obtiene de la sentencia en revisión que la resolutora al analizar las casuales de improcedencia únicamente señaló:</w:t>
      </w:r>
    </w:p>
    <w:p w:rsidR="003F5316" w:rsidRPr="003F5316" w:rsidRDefault="003F5316" w:rsidP="003F5316">
      <w:pPr>
        <w:spacing w:before="240"/>
        <w:ind w:left="1134" w:right="616"/>
        <w:jc w:val="both"/>
        <w:rPr>
          <w:rFonts w:ascii="Arial" w:hAnsi="Arial" w:cs="Arial"/>
          <w:bCs/>
          <w:lang w:val="es-MX"/>
        </w:rPr>
      </w:pPr>
      <w:r w:rsidRPr="003F5316">
        <w:rPr>
          <w:rFonts w:ascii="Arial" w:hAnsi="Arial" w:cs="Arial"/>
          <w:bCs/>
          <w:lang w:val="es-MX"/>
        </w:rPr>
        <w:t>“…</w:t>
      </w:r>
      <w:r w:rsidRPr="003F5316">
        <w:rPr>
          <w:rFonts w:ascii="Arial" w:hAnsi="Arial" w:cs="Arial"/>
          <w:bCs/>
          <w:i/>
          <w:lang w:val="es-MX"/>
        </w:rPr>
        <w:t xml:space="preserve">esta Primera Sala Unitaria de Primera Instancia del Tribunal de Justicia Administrativa para el Estado de Oaxaca, advierte que no se configura alguna causal de improcedencia o sobreseimiento por lo tanto, </w:t>
      </w:r>
      <w:r w:rsidRPr="003F5316">
        <w:rPr>
          <w:rFonts w:ascii="Arial" w:hAnsi="Arial" w:cs="Arial"/>
          <w:b/>
          <w:bCs/>
          <w:i/>
          <w:lang w:val="es-MX"/>
        </w:rPr>
        <w:t>NO SE SOBRESEE EL PRESENTE JUICIO.</w:t>
      </w:r>
      <w:r w:rsidRPr="003F5316">
        <w:rPr>
          <w:rFonts w:ascii="Arial" w:hAnsi="Arial" w:cs="Arial"/>
          <w:bCs/>
          <w:lang w:val="es-MX"/>
        </w:rPr>
        <w:t>”</w:t>
      </w:r>
    </w:p>
    <w:p w:rsidR="003F5316" w:rsidRPr="00C2761A" w:rsidRDefault="003F5316" w:rsidP="003F5316">
      <w:pPr>
        <w:spacing w:before="240" w:line="360" w:lineRule="auto"/>
        <w:ind w:right="49" w:firstLine="708"/>
        <w:jc w:val="both"/>
        <w:rPr>
          <w:rFonts w:ascii="Arial" w:hAnsi="Arial" w:cs="Arial"/>
          <w:bCs/>
          <w:color w:val="000000"/>
          <w:sz w:val="24"/>
          <w:szCs w:val="24"/>
        </w:rPr>
      </w:pPr>
      <w:r w:rsidRPr="00C2761A">
        <w:rPr>
          <w:rFonts w:ascii="Arial" w:hAnsi="Arial" w:cs="Arial"/>
          <w:bCs/>
          <w:sz w:val="24"/>
          <w:szCs w:val="24"/>
          <w:lang w:val="es-MX"/>
        </w:rPr>
        <w:t xml:space="preserve">Lo anterior, sin tomar en cuenta </w:t>
      </w:r>
      <w:r w:rsidRPr="00C2761A">
        <w:rPr>
          <w:rFonts w:ascii="Arial" w:hAnsi="Arial" w:cs="Arial"/>
          <w:bCs/>
          <w:color w:val="000000"/>
          <w:sz w:val="24"/>
          <w:szCs w:val="24"/>
        </w:rPr>
        <w:t xml:space="preserve">las manifestaciones que realizó el aquí recurrente al contestar la demandada, respecto a las causales de improcedencia y sobreseimiento; en la que señaló actualizada la </w:t>
      </w:r>
      <w:r w:rsidRPr="00C2761A">
        <w:rPr>
          <w:rFonts w:ascii="Arial" w:hAnsi="Arial" w:cs="Arial"/>
          <w:bCs/>
          <w:sz w:val="24"/>
          <w:szCs w:val="24"/>
          <w:lang w:val="es-MX"/>
        </w:rPr>
        <w:t xml:space="preserve">prevista en el artículo </w:t>
      </w:r>
      <w:r w:rsidRPr="00C2761A">
        <w:rPr>
          <w:rFonts w:ascii="Arial" w:hAnsi="Arial" w:cs="Arial"/>
          <w:bCs/>
          <w:color w:val="000000"/>
          <w:sz w:val="24"/>
          <w:szCs w:val="24"/>
        </w:rPr>
        <w:t>161</w:t>
      </w:r>
      <w:r w:rsidRPr="00C2761A">
        <w:rPr>
          <w:rStyle w:val="Refdenotaalpie"/>
          <w:rFonts w:ascii="Arial" w:hAnsi="Arial" w:cs="Arial"/>
          <w:bCs/>
          <w:color w:val="000000"/>
          <w:sz w:val="24"/>
          <w:szCs w:val="24"/>
        </w:rPr>
        <w:footnoteReference w:id="2"/>
      </w:r>
      <w:r w:rsidRPr="00C2761A">
        <w:rPr>
          <w:rFonts w:ascii="Arial" w:hAnsi="Arial" w:cs="Arial"/>
          <w:bCs/>
          <w:color w:val="000000"/>
          <w:sz w:val="24"/>
          <w:szCs w:val="24"/>
        </w:rPr>
        <w:t xml:space="preserve"> en su fracción III </w:t>
      </w:r>
      <w:r w:rsidRPr="00C2761A">
        <w:rPr>
          <w:rFonts w:ascii="Arial" w:hAnsi="Arial" w:cs="Arial"/>
          <w:bCs/>
          <w:sz w:val="24"/>
          <w:szCs w:val="24"/>
          <w:lang w:val="es-MX"/>
        </w:rPr>
        <w:t xml:space="preserve">de la Ley de Procedimiento y Justicia Administrativa para el Estado de Oaxaca; actuación que transgredió lo estatuido en la parte final de dicho precepto legal, </w:t>
      </w:r>
      <w:r w:rsidRPr="00C2761A">
        <w:rPr>
          <w:rFonts w:ascii="Arial" w:hAnsi="Arial" w:cs="Arial"/>
          <w:bCs/>
          <w:color w:val="000000"/>
          <w:sz w:val="24"/>
          <w:szCs w:val="24"/>
        </w:rPr>
        <w:t xml:space="preserve">en el que puntualmente se establece que las causales de improcedencia deben ser examinadas de oficio; esto aunado </w:t>
      </w:r>
      <w:r w:rsidRPr="00C2761A">
        <w:rPr>
          <w:rFonts w:ascii="Arial" w:hAnsi="Arial" w:cs="Arial"/>
          <w:sz w:val="24"/>
          <w:szCs w:val="24"/>
        </w:rPr>
        <w:t>a que tal alegación de la falta de interés jurídico del actor, fue propuesta por la demandada al dar contestación a la demanda, y la Primera Instancia la ignoró</w:t>
      </w:r>
      <w:r w:rsidRPr="00C2761A">
        <w:rPr>
          <w:rFonts w:ascii="Arial" w:hAnsi="Arial" w:cs="Arial"/>
          <w:bCs/>
          <w:color w:val="000000"/>
          <w:sz w:val="24"/>
          <w:szCs w:val="24"/>
        </w:rPr>
        <w:t>.</w:t>
      </w:r>
    </w:p>
    <w:p w:rsidR="003F5316" w:rsidRPr="00C2761A" w:rsidRDefault="003F5316" w:rsidP="003F5316">
      <w:pPr>
        <w:spacing w:before="240" w:line="360" w:lineRule="auto"/>
        <w:ind w:firstLine="708"/>
        <w:jc w:val="both"/>
        <w:rPr>
          <w:rFonts w:ascii="Arial" w:eastAsia="Calibri" w:hAnsi="Arial" w:cs="Arial"/>
          <w:bCs/>
          <w:sz w:val="24"/>
          <w:szCs w:val="24"/>
        </w:rPr>
      </w:pPr>
      <w:r w:rsidRPr="00C2761A">
        <w:rPr>
          <w:rFonts w:ascii="Arial" w:eastAsia="Calibri" w:hAnsi="Arial" w:cs="Arial"/>
          <w:bCs/>
          <w:sz w:val="24"/>
          <w:szCs w:val="24"/>
        </w:rPr>
        <w:t xml:space="preserve">Sin embargo, aun cuando asiste razón al recurrente, respecto de la falta de pronunciamiento de la Primera Instancia, su alegación de torna </w:t>
      </w:r>
      <w:r w:rsidRPr="00C2761A">
        <w:rPr>
          <w:rFonts w:ascii="Arial" w:eastAsia="Calibri" w:hAnsi="Arial" w:cs="Arial"/>
          <w:b/>
          <w:bCs/>
          <w:sz w:val="24"/>
          <w:szCs w:val="24"/>
        </w:rPr>
        <w:t xml:space="preserve">inoperante, </w:t>
      </w:r>
      <w:r w:rsidRPr="00C2761A">
        <w:rPr>
          <w:rFonts w:ascii="Arial" w:eastAsia="Calibri" w:hAnsi="Arial" w:cs="Arial"/>
          <w:bCs/>
          <w:sz w:val="24"/>
          <w:szCs w:val="24"/>
        </w:rPr>
        <w:t>porque el artículo 164</w:t>
      </w:r>
      <w:r w:rsidRPr="00C2761A">
        <w:rPr>
          <w:rStyle w:val="Refdenotaalpie"/>
          <w:rFonts w:ascii="Arial" w:eastAsia="Calibri" w:hAnsi="Arial" w:cs="Arial"/>
          <w:bCs/>
          <w:sz w:val="24"/>
          <w:szCs w:val="24"/>
        </w:rPr>
        <w:footnoteReference w:id="3"/>
      </w:r>
      <w:r w:rsidRPr="00C2761A">
        <w:rPr>
          <w:rFonts w:ascii="Arial" w:eastAsia="Calibri" w:hAnsi="Arial" w:cs="Arial"/>
          <w:bCs/>
          <w:sz w:val="24"/>
          <w:szCs w:val="24"/>
        </w:rPr>
        <w:t xml:space="preserve"> de la Ley de Procedimiento y Justicia Administrativa para el Estado de Oaxaca, indica que sólo pueden demandar o intervenir en el juicio las personas que tengan un interés jurídico o legítimo que funde su pretensión.</w:t>
      </w:r>
    </w:p>
    <w:p w:rsidR="003F5316" w:rsidRPr="00C2761A" w:rsidRDefault="003F5316" w:rsidP="003F5316">
      <w:pPr>
        <w:spacing w:line="360" w:lineRule="auto"/>
        <w:ind w:firstLine="708"/>
        <w:jc w:val="both"/>
        <w:rPr>
          <w:rFonts w:ascii="Arial" w:hAnsi="Arial" w:cs="Arial"/>
          <w:sz w:val="24"/>
          <w:szCs w:val="24"/>
        </w:rPr>
      </w:pPr>
      <w:r w:rsidRPr="00C2761A">
        <w:rPr>
          <w:rFonts w:ascii="Arial" w:hAnsi="Arial" w:cs="Arial"/>
          <w:sz w:val="24"/>
          <w:szCs w:val="24"/>
        </w:rPr>
        <w:t xml:space="preserve">Ahora los elementos constitutivos del </w:t>
      </w:r>
      <w:r w:rsidRPr="00C2761A">
        <w:rPr>
          <w:rStyle w:val="red"/>
          <w:rFonts w:ascii="Arial" w:hAnsi="Arial" w:cs="Arial"/>
          <w:sz w:val="24"/>
          <w:szCs w:val="24"/>
        </w:rPr>
        <w:t>interés</w:t>
      </w:r>
      <w:r w:rsidRPr="00C2761A">
        <w:rPr>
          <w:rFonts w:ascii="Arial" w:hAnsi="Arial" w:cs="Arial"/>
          <w:sz w:val="24"/>
          <w:szCs w:val="24"/>
        </w:rPr>
        <w:t xml:space="preserve"> </w:t>
      </w:r>
      <w:r w:rsidRPr="00C2761A">
        <w:rPr>
          <w:rStyle w:val="red"/>
          <w:rFonts w:ascii="Arial" w:hAnsi="Arial" w:cs="Arial"/>
          <w:sz w:val="24"/>
          <w:szCs w:val="24"/>
        </w:rPr>
        <w:t>jurídico</w:t>
      </w:r>
      <w:r w:rsidRPr="00C2761A">
        <w:rPr>
          <w:rFonts w:ascii="Arial" w:hAnsi="Arial" w:cs="Arial"/>
          <w:sz w:val="24"/>
          <w:szCs w:val="24"/>
        </w:rPr>
        <w:t xml:space="preserve"> consisten en demostrar: a) la existencia del derecho subjetivo que se dice vulnerado; y, b) que el acto de autoridad afecta ese derecho, de donde deriva el agravio correspondiente. Por su parte, para probar el </w:t>
      </w:r>
      <w:r w:rsidRPr="00C2761A">
        <w:rPr>
          <w:rStyle w:val="red"/>
          <w:rFonts w:ascii="Arial" w:hAnsi="Arial" w:cs="Arial"/>
          <w:sz w:val="24"/>
          <w:szCs w:val="24"/>
        </w:rPr>
        <w:t>interés</w:t>
      </w:r>
      <w:r w:rsidRPr="00C2761A">
        <w:rPr>
          <w:rFonts w:ascii="Arial" w:hAnsi="Arial" w:cs="Arial"/>
          <w:sz w:val="24"/>
          <w:szCs w:val="24"/>
        </w:rPr>
        <w:t xml:space="preserve"> </w:t>
      </w:r>
      <w:r w:rsidRPr="00C2761A">
        <w:rPr>
          <w:rStyle w:val="red"/>
          <w:rFonts w:ascii="Arial" w:hAnsi="Arial" w:cs="Arial"/>
          <w:sz w:val="24"/>
          <w:szCs w:val="24"/>
        </w:rPr>
        <w:t>legítimo</w:t>
      </w:r>
      <w:r w:rsidRPr="00C2761A">
        <w:rPr>
          <w:rFonts w:ascii="Arial" w:hAnsi="Arial" w:cs="Arial"/>
          <w:sz w:val="24"/>
          <w:szCs w:val="24"/>
        </w:rPr>
        <w:t xml:space="preserve">, deberá acreditarse que: a) exista una norma constitucional en la que se establezca o tutele algún </w:t>
      </w:r>
      <w:r w:rsidRPr="00C2761A">
        <w:rPr>
          <w:rStyle w:val="red"/>
          <w:rFonts w:ascii="Arial" w:hAnsi="Arial" w:cs="Arial"/>
          <w:sz w:val="24"/>
          <w:szCs w:val="24"/>
        </w:rPr>
        <w:t>interés</w:t>
      </w:r>
      <w:r w:rsidRPr="00C2761A">
        <w:rPr>
          <w:rFonts w:ascii="Arial" w:hAnsi="Arial" w:cs="Arial"/>
          <w:sz w:val="24"/>
          <w:szCs w:val="24"/>
        </w:rPr>
        <w:t xml:space="preserve"> difuso en beneficio de una colectividad determinada; b) el </w:t>
      </w:r>
      <w:r w:rsidRPr="00C2761A">
        <w:rPr>
          <w:rFonts w:ascii="Arial" w:hAnsi="Arial" w:cs="Arial"/>
          <w:sz w:val="24"/>
          <w:szCs w:val="24"/>
        </w:rPr>
        <w:lastRenderedPageBreak/>
        <w:t xml:space="preserve">acto reclamado transgreda ese </w:t>
      </w:r>
      <w:r w:rsidRPr="00C2761A">
        <w:rPr>
          <w:rStyle w:val="red"/>
          <w:rFonts w:ascii="Arial" w:hAnsi="Arial" w:cs="Arial"/>
          <w:sz w:val="24"/>
          <w:szCs w:val="24"/>
        </w:rPr>
        <w:t>interés</w:t>
      </w:r>
      <w:r w:rsidRPr="00C2761A">
        <w:rPr>
          <w:rFonts w:ascii="Arial" w:hAnsi="Arial" w:cs="Arial"/>
          <w:sz w:val="24"/>
          <w:szCs w:val="24"/>
        </w:rPr>
        <w:t xml:space="preserve"> difuso, ya sea de manera individual o colectiva; y, c) el promovente pertenezca a esa colectividad.</w:t>
      </w:r>
    </w:p>
    <w:p w:rsidR="003F5316" w:rsidRPr="00C2761A" w:rsidRDefault="003F5316" w:rsidP="003F5316">
      <w:pPr>
        <w:spacing w:line="360" w:lineRule="auto"/>
        <w:ind w:firstLine="708"/>
        <w:jc w:val="both"/>
        <w:rPr>
          <w:rFonts w:ascii="Arial" w:hAnsi="Arial" w:cs="Arial"/>
          <w:sz w:val="24"/>
          <w:szCs w:val="24"/>
        </w:rPr>
      </w:pPr>
      <w:r w:rsidRPr="00C2761A">
        <w:rPr>
          <w:rFonts w:ascii="Arial" w:hAnsi="Arial" w:cs="Arial"/>
          <w:sz w:val="24"/>
          <w:szCs w:val="24"/>
        </w:rPr>
        <w:t xml:space="preserve">En el caso, si el actor demandó la nulidad </w:t>
      </w:r>
      <w:r w:rsidRPr="00C2761A">
        <w:rPr>
          <w:rFonts w:ascii="Arial" w:eastAsia="Calibri" w:hAnsi="Arial" w:cs="Arial"/>
          <w:bCs/>
          <w:sz w:val="24"/>
          <w:szCs w:val="24"/>
        </w:rPr>
        <w:t xml:space="preserve">del acuerdo de sanción, multa número </w:t>
      </w:r>
      <w:r w:rsidR="00D821F8">
        <w:rPr>
          <w:rFonts w:ascii="Arial" w:hAnsi="Arial" w:cs="Arial"/>
          <w:b/>
          <w:sz w:val="24"/>
          <w:szCs w:val="24"/>
        </w:rPr>
        <w:t>************</w:t>
      </w:r>
      <w:r w:rsidRPr="00C2761A">
        <w:rPr>
          <w:rFonts w:ascii="Arial" w:eastAsia="Calibri" w:hAnsi="Arial" w:cs="Arial"/>
          <w:bCs/>
          <w:sz w:val="24"/>
          <w:szCs w:val="24"/>
        </w:rPr>
        <w:t xml:space="preserve">, de dieciocho de septiembre de dos mil dieciocho, por medio del cual la Directora General de Desarrollo Urbano, Centro Histórico y Ecología del Estado de Oaxaca, asistida por la Directora del Centro Histórico y Patrimonio Edificado, le impuso a </w:t>
      </w:r>
      <w:r w:rsidR="00D821F8">
        <w:rPr>
          <w:rFonts w:ascii="Arial" w:hAnsi="Arial" w:cs="Arial"/>
          <w:b/>
          <w:sz w:val="24"/>
          <w:szCs w:val="24"/>
        </w:rPr>
        <w:t>************</w:t>
      </w:r>
      <w:r w:rsidRPr="00C2761A">
        <w:rPr>
          <w:rFonts w:ascii="Arial" w:eastAsia="Calibri" w:hAnsi="Arial" w:cs="Arial"/>
          <w:bCs/>
          <w:sz w:val="24"/>
          <w:szCs w:val="24"/>
        </w:rPr>
        <w:t xml:space="preserve">, sanción económica; por continuar realizando trabajos de construcción y ampliación en segundo y tercer nivel de su inmueble, sin licencia de construcción y/o planos autorizados a pesar de haber sido notificada, por no haber presentado en ninguna de las verificaciones que se le realizó a su inmueble, licencia de construcción y planos autorizados, por construir fuera del alineamiento; </w:t>
      </w:r>
      <w:r w:rsidRPr="00C2761A">
        <w:rPr>
          <w:rFonts w:ascii="Arial" w:hAnsi="Arial" w:cs="Arial"/>
          <w:sz w:val="24"/>
          <w:szCs w:val="24"/>
        </w:rPr>
        <w:t xml:space="preserve">su interés para demandar, recae precisamente en la multa que le fue impuesta, porque tal actuación es la que le causa una afectación directa a su esfera jurídica y le da el derecho de demandar su ilegalidad; y para demostrar lo anterior, junto con su demanda exhibió la cédula de notificación con el que se le notificó el acuerdo de sanción multa </w:t>
      </w:r>
      <w:r w:rsidR="00D821F8">
        <w:rPr>
          <w:rFonts w:ascii="Arial" w:hAnsi="Arial" w:cs="Arial"/>
          <w:b/>
          <w:sz w:val="24"/>
          <w:szCs w:val="24"/>
        </w:rPr>
        <w:t>************</w:t>
      </w:r>
      <w:r w:rsidRPr="00C2761A">
        <w:rPr>
          <w:rFonts w:ascii="Arial" w:eastAsia="Calibri" w:hAnsi="Arial" w:cs="Arial"/>
          <w:bCs/>
          <w:sz w:val="24"/>
          <w:szCs w:val="24"/>
        </w:rPr>
        <w:t xml:space="preserve">, </w:t>
      </w:r>
      <w:r w:rsidRPr="00C2761A">
        <w:rPr>
          <w:rFonts w:ascii="Arial" w:hAnsi="Arial" w:cs="Arial"/>
          <w:sz w:val="24"/>
          <w:szCs w:val="24"/>
        </w:rPr>
        <w:t>siendo esta documental, con la que demuestra la afectación y el derecho a demandar.</w:t>
      </w:r>
    </w:p>
    <w:p w:rsidR="003F5316" w:rsidRPr="00C2761A" w:rsidRDefault="003F5316" w:rsidP="003F5316">
      <w:pPr>
        <w:tabs>
          <w:tab w:val="left" w:pos="1197"/>
        </w:tabs>
        <w:spacing w:before="240" w:line="360" w:lineRule="auto"/>
        <w:ind w:firstLine="708"/>
        <w:jc w:val="both"/>
        <w:rPr>
          <w:rFonts w:ascii="Arial" w:eastAsia="Calibri" w:hAnsi="Arial" w:cs="Arial"/>
          <w:bCs/>
          <w:sz w:val="24"/>
          <w:szCs w:val="24"/>
        </w:rPr>
      </w:pPr>
      <w:r w:rsidRPr="00C2761A">
        <w:rPr>
          <w:rFonts w:ascii="Arial" w:eastAsia="Calibri" w:hAnsi="Arial" w:cs="Arial"/>
          <w:b/>
          <w:bCs/>
          <w:sz w:val="24"/>
          <w:szCs w:val="24"/>
        </w:rPr>
        <w:t xml:space="preserve">Por otra parte en su agravio marcado como II, </w:t>
      </w:r>
      <w:r w:rsidRPr="00C2761A">
        <w:rPr>
          <w:rFonts w:ascii="Arial" w:eastAsia="Calibri" w:hAnsi="Arial" w:cs="Arial"/>
          <w:bCs/>
          <w:sz w:val="24"/>
          <w:szCs w:val="24"/>
        </w:rPr>
        <w:t>alega que el criterio adoptado por la Primera Instancia es inexacto, porque no tomó en cuenta lo que dispone el artículo 158 del Bando de Policía y Gobierno, en el que se establece que la Dirección General de Desarrollo Urbano, Centro Histórico y Ecología, para lograr el desempeño eficaz de sus atribuciones contenidas en el diverso artículo 157 fracción II del propio Bando de Policía, se podrá apoyar y delegar funciones a la Dirección del Centro Histórico y Patrimonio Edificado.</w:t>
      </w:r>
    </w:p>
    <w:p w:rsidR="003F5316" w:rsidRPr="00C2761A" w:rsidRDefault="003F5316" w:rsidP="003F5316">
      <w:pPr>
        <w:tabs>
          <w:tab w:val="left" w:pos="1197"/>
        </w:tabs>
        <w:spacing w:before="240" w:line="360" w:lineRule="auto"/>
        <w:ind w:firstLine="708"/>
        <w:jc w:val="both"/>
        <w:rPr>
          <w:rFonts w:ascii="Arial" w:eastAsia="Calibri" w:hAnsi="Arial" w:cs="Arial"/>
          <w:bCs/>
          <w:sz w:val="24"/>
          <w:szCs w:val="24"/>
        </w:rPr>
      </w:pPr>
      <w:r w:rsidRPr="00C2761A">
        <w:rPr>
          <w:rFonts w:ascii="Arial" w:eastAsia="Calibri" w:hAnsi="Arial" w:cs="Arial"/>
          <w:bCs/>
          <w:sz w:val="24"/>
          <w:szCs w:val="24"/>
        </w:rPr>
        <w:t xml:space="preserve">Esta alegación es </w:t>
      </w:r>
      <w:r w:rsidRPr="00C2761A">
        <w:rPr>
          <w:rFonts w:ascii="Arial" w:eastAsia="Calibri" w:hAnsi="Arial" w:cs="Arial"/>
          <w:b/>
          <w:bCs/>
          <w:sz w:val="24"/>
          <w:szCs w:val="24"/>
        </w:rPr>
        <w:t xml:space="preserve">ineficaz, </w:t>
      </w:r>
      <w:r w:rsidRPr="00C2761A">
        <w:rPr>
          <w:rFonts w:ascii="Arial" w:eastAsia="Calibri" w:hAnsi="Arial" w:cs="Arial"/>
          <w:bCs/>
          <w:sz w:val="24"/>
          <w:szCs w:val="24"/>
        </w:rPr>
        <w:t xml:space="preserve">porque únicamente se concreta a señalar que la determinación de la Primera Instancia le causa agravio, porque no se tomó en cuenta lo dispuesto por el artículo 158 del Bando de Policía y Gobierno, en el que se establece que la Dirección General de Desarrollo Urbano, Centro Histórico y Ecología, para el desempeño de sus atribuciones se podrá apoyar y delegar funciones a la Dirección del Centro Histórico y Patrimonio Edificado; lo que resulta </w:t>
      </w:r>
      <w:r w:rsidRPr="00C2761A">
        <w:rPr>
          <w:rFonts w:ascii="Arial" w:eastAsia="Calibri" w:hAnsi="Arial" w:cs="Arial"/>
          <w:b/>
          <w:bCs/>
          <w:sz w:val="24"/>
          <w:szCs w:val="24"/>
        </w:rPr>
        <w:t>insuficiente</w:t>
      </w:r>
      <w:r w:rsidRPr="00C2761A">
        <w:rPr>
          <w:rFonts w:ascii="Arial" w:eastAsia="Calibri" w:hAnsi="Arial" w:cs="Arial"/>
          <w:bCs/>
          <w:sz w:val="24"/>
          <w:szCs w:val="24"/>
        </w:rPr>
        <w:t xml:space="preserve"> para controvertir lo determinado por la resolutora en el sentido de que la Directora del Centro Histórico y Patrimonio Edificado, no podía dar inicio al Procedimiento Administrativo y menos emitir orden de verificación, al carecer de facultades para ello, porque a quien corresponde es a la Dirección General de Desarrollo Urbano, Centro Histórico y Ecología; y que por ello el procedimiento administrativo se encuentra viciado de origen y provoca que su acto subsecuente (multa) sea ilegal.</w:t>
      </w:r>
    </w:p>
    <w:p w:rsidR="003F5316" w:rsidRPr="00C2761A" w:rsidRDefault="003F5316" w:rsidP="003F5316">
      <w:pPr>
        <w:tabs>
          <w:tab w:val="left" w:pos="1197"/>
        </w:tabs>
        <w:spacing w:before="240" w:line="360" w:lineRule="auto"/>
        <w:ind w:firstLine="708"/>
        <w:jc w:val="both"/>
        <w:rPr>
          <w:rFonts w:ascii="Arial" w:eastAsia="Calibri" w:hAnsi="Arial" w:cs="Arial"/>
          <w:bCs/>
          <w:sz w:val="24"/>
          <w:szCs w:val="24"/>
        </w:rPr>
      </w:pPr>
      <w:r w:rsidRPr="00C2761A">
        <w:rPr>
          <w:rFonts w:ascii="Arial" w:eastAsia="Calibri" w:hAnsi="Arial" w:cs="Arial"/>
          <w:bCs/>
          <w:sz w:val="24"/>
          <w:szCs w:val="24"/>
        </w:rPr>
        <w:lastRenderedPageBreak/>
        <w:t>Aunado a esto, es dable señalar que esta consideración de la Primera Instancia, es correcta, porque en efecto como lo sostuvo la Primera Instancia, del artículo 161</w:t>
      </w:r>
      <w:r w:rsidRPr="00C2761A">
        <w:rPr>
          <w:rStyle w:val="Refdenotaalpie"/>
          <w:rFonts w:ascii="Arial" w:eastAsia="Calibri" w:hAnsi="Arial" w:cs="Arial"/>
          <w:bCs/>
          <w:sz w:val="24"/>
          <w:szCs w:val="24"/>
        </w:rPr>
        <w:footnoteReference w:id="4"/>
      </w:r>
      <w:r w:rsidRPr="00C2761A">
        <w:rPr>
          <w:rFonts w:ascii="Arial" w:eastAsia="Calibri" w:hAnsi="Arial" w:cs="Arial"/>
          <w:bCs/>
          <w:sz w:val="24"/>
          <w:szCs w:val="24"/>
        </w:rPr>
        <w:t xml:space="preserve"> del B</w:t>
      </w:r>
      <w:bookmarkStart w:id="0" w:name="_GoBack"/>
      <w:r w:rsidRPr="00C2761A">
        <w:rPr>
          <w:rFonts w:ascii="Arial" w:eastAsia="Calibri" w:hAnsi="Arial" w:cs="Arial"/>
          <w:bCs/>
          <w:sz w:val="24"/>
          <w:szCs w:val="24"/>
        </w:rPr>
        <w:t xml:space="preserve">ando </w:t>
      </w:r>
      <w:bookmarkEnd w:id="0"/>
      <w:r w:rsidRPr="00C2761A">
        <w:rPr>
          <w:rFonts w:ascii="Arial" w:eastAsia="Calibri" w:hAnsi="Arial" w:cs="Arial"/>
          <w:bCs/>
          <w:sz w:val="24"/>
          <w:szCs w:val="24"/>
        </w:rPr>
        <w:t>de Policía y Gobierno del Municipio de Oaxaca de Juárez, Oaxaca, para el periodo 2017-2018, se señalan la obligaciones y atribuciones de la Dirección del Centro Histórico y Patrimonio Edificado, y de la lectura a cada una de ellas, no se advierte que le faculte para emitir orden de verificación o inspección; y si bien el diverso artículo 158 fracción III</w:t>
      </w:r>
      <w:r w:rsidRPr="00C2761A">
        <w:rPr>
          <w:rStyle w:val="Refdenotaalpie"/>
          <w:rFonts w:ascii="Arial" w:eastAsia="Calibri" w:hAnsi="Arial" w:cs="Arial"/>
          <w:bCs/>
          <w:sz w:val="24"/>
          <w:szCs w:val="24"/>
        </w:rPr>
        <w:footnoteReference w:id="5"/>
      </w:r>
      <w:r w:rsidRPr="00C2761A">
        <w:rPr>
          <w:rFonts w:ascii="Arial" w:eastAsia="Calibri" w:hAnsi="Arial" w:cs="Arial"/>
          <w:bCs/>
          <w:sz w:val="24"/>
          <w:szCs w:val="24"/>
        </w:rPr>
        <w:t xml:space="preserve"> del referido Bando de Policía indica que la Dirección General de Desarrollo Urbano, Centro Histórico y Ecología, para el desempeño de sus funciones contara con la Dirección del Centro Histórico y Patrimonio Edificado; también lo es que, las facultades indicadas, no le fueron delegadas al no encontrarse establecidas en ninguno de los supuestos indicados por el artículo 161.</w:t>
      </w:r>
    </w:p>
    <w:p w:rsidR="00C2761A" w:rsidRPr="00C2761A" w:rsidRDefault="003F5316" w:rsidP="00C2761A">
      <w:pPr>
        <w:tabs>
          <w:tab w:val="left" w:pos="1197"/>
        </w:tabs>
        <w:spacing w:before="240" w:line="360" w:lineRule="auto"/>
        <w:ind w:firstLine="708"/>
        <w:jc w:val="both"/>
        <w:rPr>
          <w:rFonts w:ascii="Arial" w:hAnsi="Arial" w:cs="Arial"/>
          <w:sz w:val="24"/>
          <w:szCs w:val="24"/>
        </w:rPr>
      </w:pPr>
      <w:r w:rsidRPr="00C2761A">
        <w:rPr>
          <w:rFonts w:ascii="Arial" w:eastAsia="Calibri" w:hAnsi="Arial" w:cs="Arial"/>
          <w:bCs/>
          <w:sz w:val="24"/>
          <w:szCs w:val="24"/>
        </w:rPr>
        <w:t xml:space="preserve">Por lo anteriormente expuesto lo procedente es </w:t>
      </w:r>
      <w:r w:rsidRPr="00C2761A">
        <w:rPr>
          <w:rFonts w:ascii="Arial" w:eastAsia="Calibri" w:hAnsi="Arial" w:cs="Arial"/>
          <w:b/>
          <w:bCs/>
          <w:sz w:val="24"/>
          <w:szCs w:val="24"/>
        </w:rPr>
        <w:t xml:space="preserve">CONFIRMAR </w:t>
      </w:r>
      <w:r w:rsidRPr="00C2761A">
        <w:rPr>
          <w:rFonts w:ascii="Arial" w:eastAsia="Calibri" w:hAnsi="Arial" w:cs="Arial"/>
          <w:bCs/>
          <w:sz w:val="24"/>
          <w:szCs w:val="24"/>
        </w:rPr>
        <w:t xml:space="preserve">la sentencia de ocho de abril de dos mil diecinueve, recurrida; por lo que </w:t>
      </w:r>
      <w:r w:rsidRPr="00C2761A">
        <w:rPr>
          <w:rFonts w:ascii="Arial" w:hAnsi="Arial" w:cs="Arial"/>
          <w:sz w:val="24"/>
          <w:szCs w:val="24"/>
        </w:rPr>
        <w:t>con fundamento en los artículos 237 y 238 de la Ley de Procedimiento y Justicia Administrativa para el Estado, se:</w:t>
      </w:r>
    </w:p>
    <w:p w:rsidR="003F5316" w:rsidRPr="00C2761A" w:rsidRDefault="003F5316" w:rsidP="003F5316">
      <w:pPr>
        <w:pStyle w:val="Sinespaciado"/>
        <w:spacing w:before="240" w:line="360" w:lineRule="auto"/>
        <w:jc w:val="center"/>
        <w:rPr>
          <w:rFonts w:ascii="Arial" w:hAnsi="Arial" w:cs="Arial"/>
          <w:b/>
          <w:sz w:val="24"/>
          <w:szCs w:val="24"/>
        </w:rPr>
      </w:pPr>
      <w:r w:rsidRPr="00C2761A">
        <w:rPr>
          <w:rFonts w:ascii="Arial" w:hAnsi="Arial" w:cs="Arial"/>
          <w:b/>
          <w:sz w:val="24"/>
          <w:szCs w:val="24"/>
        </w:rPr>
        <w:t>R E S U E L V E</w:t>
      </w:r>
    </w:p>
    <w:p w:rsidR="003F5316" w:rsidRPr="00C2761A" w:rsidRDefault="003F5316" w:rsidP="003F5316">
      <w:pPr>
        <w:pStyle w:val="Sinespaciado"/>
        <w:spacing w:before="240" w:line="360" w:lineRule="auto"/>
        <w:ind w:firstLine="708"/>
        <w:jc w:val="both"/>
        <w:rPr>
          <w:rFonts w:ascii="Arial" w:hAnsi="Arial" w:cs="Arial"/>
          <w:color w:val="000000"/>
          <w:sz w:val="24"/>
          <w:szCs w:val="24"/>
          <w:lang w:val="es-MX"/>
        </w:rPr>
      </w:pPr>
      <w:r w:rsidRPr="00C2761A">
        <w:rPr>
          <w:rFonts w:ascii="Arial" w:hAnsi="Arial" w:cs="Arial"/>
          <w:b/>
          <w:color w:val="000000"/>
          <w:sz w:val="24"/>
          <w:szCs w:val="24"/>
        </w:rPr>
        <w:t>PRIMERO</w:t>
      </w:r>
      <w:r w:rsidRPr="00C2761A">
        <w:rPr>
          <w:rFonts w:ascii="Arial" w:hAnsi="Arial" w:cs="Arial"/>
          <w:color w:val="000000"/>
          <w:sz w:val="24"/>
          <w:szCs w:val="24"/>
        </w:rPr>
        <w:t xml:space="preserve">. </w:t>
      </w:r>
      <w:r w:rsidRPr="00C2761A">
        <w:rPr>
          <w:rFonts w:ascii="Arial" w:hAnsi="Arial" w:cs="Arial"/>
          <w:color w:val="000000"/>
          <w:sz w:val="24"/>
          <w:szCs w:val="24"/>
          <w:lang w:val="es-MX"/>
        </w:rPr>
        <w:t xml:space="preserve">Se </w:t>
      </w:r>
      <w:r w:rsidRPr="00C2761A">
        <w:rPr>
          <w:rFonts w:ascii="Arial" w:hAnsi="Arial" w:cs="Arial"/>
          <w:b/>
          <w:color w:val="000000"/>
          <w:sz w:val="24"/>
          <w:szCs w:val="24"/>
          <w:lang w:val="es-MX"/>
        </w:rPr>
        <w:t xml:space="preserve">CONFIRMA </w:t>
      </w:r>
      <w:r w:rsidRPr="00C2761A">
        <w:rPr>
          <w:rFonts w:ascii="Arial" w:hAnsi="Arial" w:cs="Arial"/>
          <w:color w:val="000000"/>
          <w:sz w:val="24"/>
          <w:szCs w:val="24"/>
          <w:lang w:val="es-MX"/>
        </w:rPr>
        <w:t xml:space="preserve">la </w:t>
      </w:r>
      <w:r w:rsidRPr="00C2761A">
        <w:rPr>
          <w:rFonts w:ascii="Arial" w:hAnsi="Arial" w:cs="Arial"/>
          <w:sz w:val="24"/>
          <w:szCs w:val="24"/>
          <w:lang w:val="es-MX"/>
        </w:rPr>
        <w:t xml:space="preserve">sentencia </w:t>
      </w:r>
      <w:r w:rsidRPr="00C2761A">
        <w:rPr>
          <w:rFonts w:ascii="Arial" w:hAnsi="Arial" w:cs="Arial"/>
          <w:color w:val="000000"/>
          <w:sz w:val="24"/>
          <w:szCs w:val="24"/>
          <w:lang w:val="es-MX"/>
        </w:rPr>
        <w:t>recurrida, por las razones expuestas en el considerando que antecede.</w:t>
      </w:r>
    </w:p>
    <w:p w:rsidR="00C2761A" w:rsidRDefault="003F5316" w:rsidP="00C2761A">
      <w:pPr>
        <w:pStyle w:val="Sinespaciado"/>
        <w:spacing w:before="240" w:line="360" w:lineRule="auto"/>
        <w:ind w:firstLine="708"/>
        <w:jc w:val="both"/>
        <w:rPr>
          <w:rFonts w:ascii="Arial" w:hAnsi="Arial" w:cs="Arial"/>
          <w:sz w:val="24"/>
          <w:szCs w:val="24"/>
        </w:rPr>
      </w:pPr>
      <w:r w:rsidRPr="00C2761A">
        <w:rPr>
          <w:rFonts w:ascii="Arial" w:hAnsi="Arial" w:cs="Arial"/>
          <w:b/>
          <w:sz w:val="24"/>
          <w:szCs w:val="24"/>
        </w:rPr>
        <w:t>SEGUNDO. NOTIFÍQUESE Y CÚMPLASE,</w:t>
      </w:r>
      <w:r w:rsidRPr="00C2761A">
        <w:rPr>
          <w:rFonts w:ascii="Arial" w:hAnsi="Arial" w:cs="Arial"/>
          <w:sz w:val="24"/>
          <w:szCs w:val="24"/>
        </w:rPr>
        <w:t xml:space="preserve"> remítase copia certificada de la presente resolución a la Primera Sala Unitaria de Primera Instancia de este Tribunal y en su oportunidad archívese el presente cuaderno de revisión como asunto concluido.</w:t>
      </w:r>
    </w:p>
    <w:p w:rsidR="00C2761A" w:rsidRPr="00C2761A" w:rsidRDefault="00C2761A" w:rsidP="00C2761A">
      <w:pPr>
        <w:pStyle w:val="Sinespaciado"/>
        <w:spacing w:before="240" w:line="360" w:lineRule="auto"/>
        <w:ind w:firstLine="708"/>
        <w:jc w:val="both"/>
        <w:rPr>
          <w:rFonts w:ascii="Arial" w:hAnsi="Arial" w:cs="Arial"/>
          <w:sz w:val="24"/>
          <w:szCs w:val="24"/>
        </w:rPr>
      </w:pPr>
    </w:p>
    <w:p w:rsidR="008D4B11" w:rsidRPr="00C2761A" w:rsidRDefault="008D4B11" w:rsidP="008D4B11">
      <w:pPr>
        <w:spacing w:line="360" w:lineRule="auto"/>
        <w:ind w:firstLine="709"/>
        <w:jc w:val="both"/>
        <w:rPr>
          <w:rFonts w:ascii="Arial" w:hAnsi="Arial" w:cs="Arial"/>
          <w:sz w:val="24"/>
          <w:szCs w:val="24"/>
        </w:rPr>
      </w:pPr>
      <w:r w:rsidRPr="00C2761A">
        <w:rPr>
          <w:rFonts w:ascii="Arial" w:hAnsi="Arial" w:cs="Arial"/>
          <w:sz w:val="24"/>
          <w:szCs w:val="24"/>
        </w:rPr>
        <w:t>Así por unanimidad de votos, lo resolvieron y firmaron los Magistrados integrantes de la Sala Superior del Tribunal de Justicia Administrativa del Estado; quienes actúan con la Secretaria General de Acuerdos de este Tribunal, que autoriza y da fe.</w:t>
      </w:r>
    </w:p>
    <w:p w:rsidR="008D4B11" w:rsidRPr="00C2761A" w:rsidRDefault="008D4B11" w:rsidP="008D4B11">
      <w:pPr>
        <w:spacing w:line="360" w:lineRule="auto"/>
        <w:rPr>
          <w:rFonts w:ascii="Arial" w:hAnsi="Arial" w:cs="Arial"/>
          <w:sz w:val="24"/>
          <w:szCs w:val="24"/>
        </w:rPr>
      </w:pPr>
    </w:p>
    <w:p w:rsidR="008D4B11" w:rsidRDefault="008D4B11" w:rsidP="008D4B11">
      <w:pPr>
        <w:spacing w:line="360" w:lineRule="auto"/>
        <w:jc w:val="center"/>
        <w:rPr>
          <w:rFonts w:ascii="Arial" w:hAnsi="Arial" w:cs="Arial"/>
          <w:sz w:val="24"/>
          <w:szCs w:val="24"/>
        </w:rPr>
      </w:pPr>
    </w:p>
    <w:p w:rsidR="00C2761A" w:rsidRPr="00C2761A" w:rsidRDefault="00C2761A" w:rsidP="008D4B11">
      <w:pPr>
        <w:spacing w:line="360" w:lineRule="auto"/>
        <w:jc w:val="center"/>
        <w:rPr>
          <w:rFonts w:ascii="Arial" w:hAnsi="Arial" w:cs="Arial"/>
          <w:sz w:val="24"/>
          <w:szCs w:val="24"/>
        </w:rPr>
      </w:pPr>
    </w:p>
    <w:p w:rsidR="008D4B11" w:rsidRPr="00C2761A" w:rsidRDefault="008D4B11" w:rsidP="008D4B11">
      <w:pPr>
        <w:spacing w:after="0" w:line="240" w:lineRule="auto"/>
        <w:jc w:val="center"/>
        <w:rPr>
          <w:rFonts w:ascii="Arial" w:eastAsia="Calibri" w:hAnsi="Arial" w:cs="Arial"/>
          <w:sz w:val="24"/>
          <w:szCs w:val="24"/>
        </w:rPr>
      </w:pPr>
      <w:r w:rsidRPr="00C2761A">
        <w:rPr>
          <w:rFonts w:ascii="Arial" w:eastAsia="Calibri" w:hAnsi="Arial" w:cs="Arial"/>
          <w:sz w:val="24"/>
          <w:szCs w:val="24"/>
        </w:rPr>
        <w:t>MAGISTRADA MARÍA ELENA VILLA DE JARQUÍN</w:t>
      </w:r>
    </w:p>
    <w:p w:rsidR="008D4B11" w:rsidRPr="00C2761A" w:rsidRDefault="008D4B11" w:rsidP="008D4B11">
      <w:pPr>
        <w:spacing w:after="0" w:line="240" w:lineRule="auto"/>
        <w:jc w:val="center"/>
        <w:rPr>
          <w:rFonts w:ascii="Arial" w:eastAsia="Calibri" w:hAnsi="Arial" w:cs="Arial"/>
          <w:sz w:val="24"/>
          <w:szCs w:val="24"/>
        </w:rPr>
      </w:pPr>
      <w:r w:rsidRPr="00C2761A">
        <w:rPr>
          <w:rFonts w:ascii="Arial" w:eastAsia="Calibri" w:hAnsi="Arial" w:cs="Arial"/>
          <w:sz w:val="24"/>
          <w:szCs w:val="24"/>
        </w:rPr>
        <w:t>PRESIDENTA</w:t>
      </w:r>
    </w:p>
    <w:p w:rsidR="008D4B11" w:rsidRPr="00C2761A" w:rsidRDefault="008D4B11" w:rsidP="008D4B11">
      <w:pPr>
        <w:spacing w:after="0" w:line="240" w:lineRule="auto"/>
        <w:jc w:val="center"/>
        <w:rPr>
          <w:rFonts w:ascii="Arial" w:eastAsia="Calibri" w:hAnsi="Arial" w:cs="Arial"/>
          <w:sz w:val="24"/>
          <w:szCs w:val="24"/>
        </w:rPr>
      </w:pPr>
    </w:p>
    <w:p w:rsidR="008D4B11" w:rsidRPr="00C2761A" w:rsidRDefault="008D4B11" w:rsidP="008D4B11">
      <w:pPr>
        <w:spacing w:after="0" w:line="240" w:lineRule="auto"/>
        <w:jc w:val="center"/>
        <w:rPr>
          <w:rFonts w:ascii="Arial" w:eastAsia="Calibri" w:hAnsi="Arial" w:cs="Arial"/>
          <w:sz w:val="24"/>
          <w:szCs w:val="24"/>
        </w:rPr>
      </w:pPr>
    </w:p>
    <w:p w:rsidR="008D4B11" w:rsidRPr="00C2761A" w:rsidRDefault="008D4B11" w:rsidP="008D4B11">
      <w:pPr>
        <w:spacing w:after="0" w:line="240" w:lineRule="auto"/>
        <w:rPr>
          <w:rFonts w:ascii="Arial" w:eastAsia="Calibri" w:hAnsi="Arial" w:cs="Arial"/>
          <w:sz w:val="24"/>
          <w:szCs w:val="24"/>
        </w:rPr>
      </w:pPr>
    </w:p>
    <w:p w:rsidR="008D4B11" w:rsidRPr="00C2761A" w:rsidRDefault="008D4B11" w:rsidP="008D4B11">
      <w:pPr>
        <w:spacing w:after="0" w:line="240" w:lineRule="auto"/>
        <w:jc w:val="center"/>
        <w:rPr>
          <w:rFonts w:ascii="Arial" w:eastAsia="Calibri" w:hAnsi="Arial" w:cs="Arial"/>
          <w:sz w:val="24"/>
          <w:szCs w:val="24"/>
        </w:rPr>
      </w:pPr>
    </w:p>
    <w:p w:rsidR="008D4B11" w:rsidRDefault="008D4B11" w:rsidP="008D4B11">
      <w:pPr>
        <w:spacing w:after="0" w:line="240" w:lineRule="auto"/>
        <w:jc w:val="center"/>
        <w:rPr>
          <w:rFonts w:ascii="Arial" w:eastAsia="Calibri" w:hAnsi="Arial" w:cs="Arial"/>
          <w:sz w:val="24"/>
          <w:szCs w:val="24"/>
        </w:rPr>
      </w:pPr>
    </w:p>
    <w:p w:rsidR="00C2761A" w:rsidRPr="00C2761A" w:rsidRDefault="00C2761A" w:rsidP="008D4B11">
      <w:pPr>
        <w:spacing w:after="0" w:line="240" w:lineRule="auto"/>
        <w:jc w:val="center"/>
        <w:rPr>
          <w:rFonts w:ascii="Arial" w:eastAsia="Calibri" w:hAnsi="Arial" w:cs="Arial"/>
          <w:sz w:val="24"/>
          <w:szCs w:val="24"/>
        </w:rPr>
      </w:pPr>
    </w:p>
    <w:p w:rsidR="008D4B11" w:rsidRPr="00C2761A" w:rsidRDefault="008D4B11" w:rsidP="008D4B11">
      <w:pPr>
        <w:spacing w:after="0" w:line="240" w:lineRule="auto"/>
        <w:jc w:val="center"/>
        <w:rPr>
          <w:rFonts w:ascii="Arial" w:eastAsia="Calibri" w:hAnsi="Arial" w:cs="Arial"/>
          <w:sz w:val="24"/>
          <w:szCs w:val="24"/>
        </w:rPr>
      </w:pPr>
    </w:p>
    <w:p w:rsidR="008D4B11" w:rsidRPr="00C2761A" w:rsidRDefault="008D4B11" w:rsidP="008D4B11">
      <w:pPr>
        <w:spacing w:line="360" w:lineRule="auto"/>
        <w:jc w:val="center"/>
        <w:rPr>
          <w:rFonts w:ascii="Arial" w:eastAsia="Calibri" w:hAnsi="Arial" w:cs="Arial"/>
          <w:sz w:val="24"/>
          <w:szCs w:val="24"/>
        </w:rPr>
      </w:pPr>
      <w:r w:rsidRPr="00C2761A">
        <w:rPr>
          <w:rFonts w:ascii="Arial" w:eastAsia="Calibri" w:hAnsi="Arial" w:cs="Arial"/>
          <w:sz w:val="24"/>
          <w:szCs w:val="24"/>
        </w:rPr>
        <w:t>MAGISTRADO MANUEL VELASCO ALCÁNTARA</w:t>
      </w:r>
    </w:p>
    <w:p w:rsidR="008D4B11" w:rsidRDefault="008D4B11" w:rsidP="00C2761A">
      <w:pPr>
        <w:spacing w:line="360" w:lineRule="auto"/>
        <w:rPr>
          <w:rFonts w:ascii="Arial" w:eastAsia="Calibri" w:hAnsi="Arial" w:cs="Arial"/>
          <w:sz w:val="24"/>
          <w:szCs w:val="24"/>
        </w:rPr>
      </w:pPr>
    </w:p>
    <w:p w:rsidR="00C2761A" w:rsidRPr="00C2761A" w:rsidRDefault="00C2761A" w:rsidP="00C2761A">
      <w:pPr>
        <w:spacing w:line="360" w:lineRule="auto"/>
        <w:rPr>
          <w:rFonts w:ascii="Arial" w:eastAsia="Calibri" w:hAnsi="Arial" w:cs="Arial"/>
          <w:sz w:val="24"/>
          <w:szCs w:val="24"/>
        </w:rPr>
      </w:pPr>
    </w:p>
    <w:p w:rsidR="008D4B11" w:rsidRPr="00C2761A" w:rsidRDefault="008D4B11" w:rsidP="008D4B11">
      <w:pPr>
        <w:spacing w:line="360" w:lineRule="auto"/>
        <w:rPr>
          <w:rFonts w:ascii="Arial" w:eastAsia="Calibri" w:hAnsi="Arial" w:cs="Arial"/>
          <w:sz w:val="24"/>
          <w:szCs w:val="24"/>
        </w:rPr>
      </w:pPr>
    </w:p>
    <w:p w:rsidR="008D4B11" w:rsidRPr="00C2761A" w:rsidRDefault="008D4B11" w:rsidP="008D4B11">
      <w:pPr>
        <w:spacing w:line="360" w:lineRule="auto"/>
        <w:jc w:val="center"/>
        <w:rPr>
          <w:rFonts w:ascii="Arial" w:eastAsia="Calibri" w:hAnsi="Arial" w:cs="Arial"/>
          <w:sz w:val="24"/>
          <w:szCs w:val="24"/>
        </w:rPr>
      </w:pPr>
      <w:r w:rsidRPr="00C2761A">
        <w:rPr>
          <w:rFonts w:ascii="Arial" w:eastAsia="Calibri" w:hAnsi="Arial" w:cs="Arial"/>
          <w:sz w:val="24"/>
          <w:szCs w:val="24"/>
        </w:rPr>
        <w:t>MAGISTRADO RAÚL PALOMARES PALOMINO.</w:t>
      </w:r>
    </w:p>
    <w:p w:rsidR="008D4B11" w:rsidRPr="00C2761A" w:rsidRDefault="008D4B11" w:rsidP="008D4B11">
      <w:pPr>
        <w:spacing w:line="360" w:lineRule="auto"/>
        <w:rPr>
          <w:rFonts w:ascii="Arial" w:eastAsia="Calibri" w:hAnsi="Arial" w:cs="Arial"/>
          <w:b/>
          <w:sz w:val="24"/>
          <w:szCs w:val="24"/>
        </w:rPr>
      </w:pPr>
    </w:p>
    <w:p w:rsidR="008D4B11" w:rsidRPr="00C2761A" w:rsidRDefault="008D4B11" w:rsidP="008D4B11">
      <w:pPr>
        <w:rPr>
          <w:rFonts w:ascii="Arial" w:eastAsia="Calibri" w:hAnsi="Arial" w:cs="Arial"/>
          <w:sz w:val="24"/>
          <w:szCs w:val="24"/>
        </w:rPr>
      </w:pPr>
    </w:p>
    <w:p w:rsidR="008D4B11" w:rsidRPr="00C2761A" w:rsidRDefault="008D4B11" w:rsidP="008D4B11">
      <w:pPr>
        <w:jc w:val="center"/>
        <w:rPr>
          <w:rFonts w:ascii="Arial" w:eastAsia="Calibri" w:hAnsi="Arial" w:cs="Arial"/>
          <w:sz w:val="24"/>
          <w:szCs w:val="24"/>
        </w:rPr>
      </w:pPr>
    </w:p>
    <w:p w:rsidR="008D4B11" w:rsidRPr="00C2761A" w:rsidRDefault="008D4B11" w:rsidP="008D4B11">
      <w:pPr>
        <w:jc w:val="center"/>
        <w:rPr>
          <w:rFonts w:ascii="Arial" w:eastAsia="Calibri" w:hAnsi="Arial" w:cs="Arial"/>
          <w:sz w:val="24"/>
          <w:szCs w:val="24"/>
        </w:rPr>
      </w:pPr>
      <w:r w:rsidRPr="00C2761A">
        <w:rPr>
          <w:rFonts w:ascii="Arial" w:eastAsia="Calibri" w:hAnsi="Arial" w:cs="Arial"/>
          <w:sz w:val="24"/>
          <w:szCs w:val="24"/>
        </w:rPr>
        <w:t>MAGISTRADO ABRAHAM SANTIAGO SORIANO.</w:t>
      </w:r>
    </w:p>
    <w:p w:rsidR="008D4B11" w:rsidRPr="00C2761A" w:rsidRDefault="008D4B11" w:rsidP="008D4B11">
      <w:pPr>
        <w:jc w:val="center"/>
        <w:rPr>
          <w:rFonts w:ascii="Arial" w:eastAsia="Calibri" w:hAnsi="Arial" w:cs="Arial"/>
          <w:sz w:val="24"/>
          <w:szCs w:val="24"/>
        </w:rPr>
      </w:pPr>
    </w:p>
    <w:p w:rsidR="008D4B11" w:rsidRPr="00C2761A" w:rsidRDefault="008D4B11" w:rsidP="008D4B11">
      <w:pPr>
        <w:rPr>
          <w:rFonts w:ascii="Arial" w:eastAsia="Calibri" w:hAnsi="Arial" w:cs="Arial"/>
          <w:sz w:val="24"/>
          <w:szCs w:val="24"/>
        </w:rPr>
      </w:pPr>
    </w:p>
    <w:p w:rsidR="008D4B11" w:rsidRPr="00C2761A" w:rsidRDefault="008D4B11" w:rsidP="008D4B11">
      <w:pPr>
        <w:jc w:val="center"/>
        <w:rPr>
          <w:rFonts w:ascii="Arial" w:eastAsia="Calibri" w:hAnsi="Arial" w:cs="Arial"/>
          <w:sz w:val="24"/>
          <w:szCs w:val="24"/>
        </w:rPr>
      </w:pPr>
    </w:p>
    <w:p w:rsidR="008D4B11" w:rsidRPr="00C2761A" w:rsidRDefault="008D4B11" w:rsidP="008D4B11">
      <w:pPr>
        <w:spacing w:after="0" w:line="240" w:lineRule="auto"/>
        <w:jc w:val="center"/>
        <w:rPr>
          <w:rFonts w:ascii="Arial" w:eastAsia="Calibri" w:hAnsi="Arial" w:cs="Arial"/>
          <w:sz w:val="24"/>
          <w:szCs w:val="24"/>
        </w:rPr>
      </w:pPr>
    </w:p>
    <w:p w:rsidR="00C2761A" w:rsidRPr="00C2761A" w:rsidRDefault="00C2761A" w:rsidP="00C2761A">
      <w:pPr>
        <w:spacing w:line="360" w:lineRule="auto"/>
        <w:jc w:val="center"/>
        <w:rPr>
          <w:rFonts w:ascii="Arial" w:eastAsia="Calibri" w:hAnsi="Arial" w:cs="Arial"/>
          <w:b/>
          <w:sz w:val="14"/>
          <w:szCs w:val="14"/>
        </w:rPr>
      </w:pPr>
      <w:r w:rsidRPr="00C2761A">
        <w:rPr>
          <w:rFonts w:ascii="Arial" w:eastAsia="Calibri" w:hAnsi="Arial" w:cs="Arial"/>
          <w:b/>
          <w:sz w:val="14"/>
          <w:szCs w:val="14"/>
        </w:rPr>
        <w:t>LAS PRESENTES FIRMAS CORRESPONDEN AL RECURSO DE REVISIÓN 1</w:t>
      </w:r>
      <w:r>
        <w:rPr>
          <w:rFonts w:ascii="Arial" w:eastAsia="Calibri" w:hAnsi="Arial" w:cs="Arial"/>
          <w:b/>
          <w:sz w:val="14"/>
          <w:szCs w:val="14"/>
        </w:rPr>
        <w:t>64</w:t>
      </w:r>
      <w:r w:rsidRPr="00C2761A">
        <w:rPr>
          <w:rFonts w:ascii="Arial" w:eastAsia="Calibri" w:hAnsi="Arial" w:cs="Arial"/>
          <w:b/>
          <w:sz w:val="14"/>
          <w:szCs w:val="14"/>
        </w:rPr>
        <w:t>/2019</w:t>
      </w:r>
    </w:p>
    <w:p w:rsidR="008D4B11" w:rsidRPr="00C2761A" w:rsidRDefault="008D4B11" w:rsidP="008D4B11">
      <w:pPr>
        <w:spacing w:after="0" w:line="240" w:lineRule="auto"/>
        <w:jc w:val="center"/>
        <w:rPr>
          <w:rFonts w:ascii="Arial" w:eastAsia="Calibri" w:hAnsi="Arial" w:cs="Arial"/>
          <w:sz w:val="24"/>
          <w:szCs w:val="24"/>
        </w:rPr>
      </w:pPr>
    </w:p>
    <w:p w:rsidR="00C2761A" w:rsidRDefault="00C2761A" w:rsidP="008D4B11">
      <w:pPr>
        <w:jc w:val="center"/>
        <w:rPr>
          <w:rFonts w:ascii="Arial" w:eastAsia="Calibri" w:hAnsi="Arial" w:cs="Arial"/>
          <w:sz w:val="24"/>
          <w:szCs w:val="24"/>
        </w:rPr>
      </w:pPr>
    </w:p>
    <w:p w:rsidR="00C2761A" w:rsidRDefault="00C2761A" w:rsidP="008D4B11">
      <w:pPr>
        <w:jc w:val="center"/>
        <w:rPr>
          <w:rFonts w:ascii="Arial" w:eastAsia="Calibri" w:hAnsi="Arial" w:cs="Arial"/>
          <w:sz w:val="24"/>
          <w:szCs w:val="24"/>
        </w:rPr>
      </w:pPr>
    </w:p>
    <w:p w:rsidR="00C2761A" w:rsidRDefault="00C2761A" w:rsidP="008D4B11">
      <w:pPr>
        <w:jc w:val="center"/>
        <w:rPr>
          <w:rFonts w:ascii="Arial" w:eastAsia="Calibri" w:hAnsi="Arial" w:cs="Arial"/>
          <w:sz w:val="24"/>
          <w:szCs w:val="24"/>
        </w:rPr>
      </w:pPr>
    </w:p>
    <w:p w:rsidR="008D4B11" w:rsidRPr="00C2761A" w:rsidRDefault="008D4B11" w:rsidP="008D4B11">
      <w:pPr>
        <w:jc w:val="center"/>
        <w:rPr>
          <w:rFonts w:ascii="Arial" w:eastAsia="Calibri" w:hAnsi="Arial" w:cs="Arial"/>
          <w:sz w:val="24"/>
          <w:szCs w:val="24"/>
        </w:rPr>
      </w:pPr>
      <w:r w:rsidRPr="00C2761A">
        <w:rPr>
          <w:rFonts w:ascii="Arial" w:eastAsia="Calibri" w:hAnsi="Arial" w:cs="Arial"/>
          <w:sz w:val="24"/>
          <w:szCs w:val="24"/>
        </w:rPr>
        <w:t>MAGISTRADO ADRIÁN QUIROGA AVENDAÑO</w:t>
      </w:r>
    </w:p>
    <w:p w:rsidR="008D4B11" w:rsidRPr="00C2761A" w:rsidRDefault="008D4B11" w:rsidP="008D4B11">
      <w:pPr>
        <w:spacing w:line="360" w:lineRule="auto"/>
        <w:rPr>
          <w:rFonts w:ascii="Arial" w:eastAsia="Calibri" w:hAnsi="Arial" w:cs="Arial"/>
          <w:sz w:val="24"/>
          <w:szCs w:val="24"/>
        </w:rPr>
      </w:pPr>
    </w:p>
    <w:p w:rsidR="008D4B11" w:rsidRDefault="008D4B11" w:rsidP="008D4B11">
      <w:pPr>
        <w:spacing w:line="360" w:lineRule="auto"/>
        <w:jc w:val="center"/>
        <w:rPr>
          <w:rFonts w:ascii="Arial" w:eastAsia="Calibri" w:hAnsi="Arial" w:cs="Arial"/>
          <w:sz w:val="24"/>
          <w:szCs w:val="24"/>
        </w:rPr>
      </w:pPr>
    </w:p>
    <w:p w:rsidR="00477E8A" w:rsidRPr="00C2761A" w:rsidRDefault="00477E8A" w:rsidP="008D4B11">
      <w:pPr>
        <w:spacing w:line="360" w:lineRule="auto"/>
        <w:jc w:val="center"/>
        <w:rPr>
          <w:rFonts w:ascii="Arial" w:eastAsia="Calibri" w:hAnsi="Arial" w:cs="Arial"/>
          <w:sz w:val="24"/>
          <w:szCs w:val="24"/>
        </w:rPr>
      </w:pPr>
    </w:p>
    <w:p w:rsidR="008D4B11" w:rsidRPr="00C2761A" w:rsidRDefault="008D4B11" w:rsidP="008D4B11">
      <w:pPr>
        <w:spacing w:line="360" w:lineRule="auto"/>
        <w:jc w:val="center"/>
        <w:rPr>
          <w:rFonts w:ascii="Arial" w:eastAsia="Calibri" w:hAnsi="Arial" w:cs="Arial"/>
          <w:sz w:val="24"/>
          <w:szCs w:val="24"/>
        </w:rPr>
      </w:pPr>
    </w:p>
    <w:p w:rsidR="008D4B11" w:rsidRPr="00C2761A" w:rsidRDefault="008D4B11" w:rsidP="008D4B11">
      <w:pPr>
        <w:spacing w:after="0" w:line="240" w:lineRule="auto"/>
        <w:jc w:val="center"/>
        <w:rPr>
          <w:rFonts w:ascii="Arial" w:eastAsia="Calibri" w:hAnsi="Arial" w:cs="Arial"/>
          <w:sz w:val="24"/>
          <w:szCs w:val="24"/>
        </w:rPr>
      </w:pPr>
      <w:r w:rsidRPr="00C2761A">
        <w:rPr>
          <w:rFonts w:ascii="Arial" w:eastAsia="Calibri" w:hAnsi="Arial" w:cs="Arial"/>
          <w:sz w:val="24"/>
          <w:szCs w:val="24"/>
        </w:rPr>
        <w:t>LICENCIADA FELICITAS DIAZ VÁZQUEZ</w:t>
      </w:r>
    </w:p>
    <w:p w:rsidR="008D4B11" w:rsidRPr="00C2761A" w:rsidRDefault="008D4B11" w:rsidP="008D4B11">
      <w:pPr>
        <w:spacing w:after="0" w:line="240" w:lineRule="auto"/>
        <w:jc w:val="center"/>
        <w:rPr>
          <w:rFonts w:ascii="Arial" w:eastAsia="Calibri" w:hAnsi="Arial" w:cs="Arial"/>
          <w:bCs/>
          <w:sz w:val="24"/>
          <w:szCs w:val="24"/>
        </w:rPr>
      </w:pPr>
      <w:r w:rsidRPr="00C2761A">
        <w:rPr>
          <w:rFonts w:ascii="Arial" w:eastAsia="Calibri" w:hAnsi="Arial" w:cs="Arial"/>
          <w:sz w:val="24"/>
          <w:szCs w:val="24"/>
        </w:rPr>
        <w:t>SECRETARIA GENERAL DE ACUERDOS.</w:t>
      </w:r>
    </w:p>
    <w:p w:rsidR="008D4B11" w:rsidRPr="00C2761A" w:rsidRDefault="008D4B11" w:rsidP="008D4B11">
      <w:pPr>
        <w:spacing w:line="360" w:lineRule="auto"/>
        <w:jc w:val="center"/>
        <w:rPr>
          <w:rFonts w:ascii="Arial" w:eastAsia="Calibri" w:hAnsi="Arial" w:cs="Arial"/>
          <w:sz w:val="24"/>
          <w:szCs w:val="24"/>
        </w:rPr>
      </w:pPr>
    </w:p>
    <w:p w:rsidR="008D4B11" w:rsidRDefault="008D4B11" w:rsidP="008D4B11"/>
    <w:p w:rsidR="008D4B11" w:rsidRPr="002916A9" w:rsidRDefault="008D4B11" w:rsidP="008D4B11"/>
    <w:p w:rsidR="008D4B11" w:rsidRPr="00F86E9C" w:rsidRDefault="008D4B11" w:rsidP="008D4B11">
      <w:pPr>
        <w:spacing w:before="240" w:line="360" w:lineRule="auto"/>
        <w:ind w:firstLine="708"/>
        <w:jc w:val="both"/>
        <w:rPr>
          <w:rFonts w:ascii="Arial" w:hAnsi="Arial" w:cs="Arial"/>
          <w:sz w:val="26"/>
          <w:szCs w:val="26"/>
        </w:rPr>
      </w:pPr>
    </w:p>
    <w:p w:rsidR="008D4B11" w:rsidRPr="00BB23E2" w:rsidRDefault="008D4B11" w:rsidP="008D4B11">
      <w:pPr>
        <w:spacing w:line="360" w:lineRule="auto"/>
        <w:jc w:val="center"/>
      </w:pPr>
    </w:p>
    <w:p w:rsidR="008D4B11" w:rsidRPr="00AA332E" w:rsidRDefault="008D4B11" w:rsidP="008D4B11">
      <w:pPr>
        <w:spacing w:before="240" w:line="360" w:lineRule="auto"/>
        <w:ind w:firstLine="708"/>
        <w:jc w:val="both"/>
      </w:pPr>
    </w:p>
    <w:p w:rsidR="00BA554F" w:rsidRPr="003F5316" w:rsidRDefault="00BA554F" w:rsidP="008D4B11">
      <w:pPr>
        <w:spacing w:before="240" w:line="360" w:lineRule="auto"/>
        <w:ind w:firstLine="708"/>
        <w:jc w:val="both"/>
      </w:pPr>
    </w:p>
    <w:sectPr w:rsidR="00BA554F" w:rsidRPr="003F5316" w:rsidSect="00525DB7">
      <w:headerReference w:type="even" r:id="rId8"/>
      <w:headerReference w:type="default"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57C3" w:rsidRDefault="006F57C3">
      <w:pPr>
        <w:spacing w:after="0" w:line="240" w:lineRule="auto"/>
      </w:pPr>
      <w:r>
        <w:separator/>
      </w:r>
    </w:p>
  </w:endnote>
  <w:endnote w:type="continuationSeparator" w:id="0">
    <w:p w:rsidR="006F57C3" w:rsidRDefault="006F57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font280">
    <w:charset w:val="00"/>
    <w:family w:val="auto"/>
    <w:pitch w:val="variable"/>
  </w:font>
  <w:font w:name="font242">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57C3" w:rsidRDefault="006F57C3">
      <w:pPr>
        <w:spacing w:after="0" w:line="240" w:lineRule="auto"/>
      </w:pPr>
      <w:r>
        <w:separator/>
      </w:r>
    </w:p>
  </w:footnote>
  <w:footnote w:type="continuationSeparator" w:id="0">
    <w:p w:rsidR="006F57C3" w:rsidRDefault="006F57C3">
      <w:pPr>
        <w:spacing w:after="0" w:line="240" w:lineRule="auto"/>
      </w:pPr>
      <w:r>
        <w:continuationSeparator/>
      </w:r>
    </w:p>
  </w:footnote>
  <w:footnote w:id="1">
    <w:p w:rsidR="003F5316" w:rsidRDefault="003F5316" w:rsidP="003F5316">
      <w:pPr>
        <w:pStyle w:val="Textonotapie"/>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rsidR="003F5316" w:rsidRDefault="003F5316" w:rsidP="003F5316">
      <w:pPr>
        <w:pStyle w:val="Textonotapie"/>
        <w:jc w:val="both"/>
        <w:rPr>
          <w:lang w:val="es-MX"/>
        </w:rPr>
      </w:pPr>
      <w:r>
        <w:rPr>
          <w:lang w:val="es-MX"/>
        </w:rPr>
        <w:t xml:space="preserve">   I. Harán prueba plena las confesión expresa de las partes y los actos contenidos en documentos públicos, si en éstos últimos se contienen declaraciones de verdad o manifestaciones de hechos de particulares; y</w:t>
      </w:r>
    </w:p>
    <w:p w:rsidR="003F5316" w:rsidRPr="00CE4666" w:rsidRDefault="003F5316" w:rsidP="003F5316">
      <w:pPr>
        <w:pStyle w:val="Textonotapie"/>
        <w:jc w:val="both"/>
        <w:rPr>
          <w:lang w:val="es-MX"/>
        </w:rPr>
      </w:pPr>
      <w:r>
        <w:rPr>
          <w:lang w:val="es-MX"/>
        </w:rPr>
        <w:t xml:space="preserve">   …”</w:t>
      </w:r>
    </w:p>
  </w:footnote>
  <w:footnote w:id="2">
    <w:p w:rsidR="003F5316" w:rsidRDefault="003F5316" w:rsidP="003F5316">
      <w:pPr>
        <w:pStyle w:val="Textonotapie"/>
        <w:jc w:val="both"/>
        <w:rPr>
          <w:lang w:val="es-MX"/>
        </w:rPr>
      </w:pPr>
      <w:r>
        <w:rPr>
          <w:rStyle w:val="Refdenotaalpie"/>
        </w:rPr>
        <w:footnoteRef/>
      </w:r>
      <w:r>
        <w:t xml:space="preserve"> </w:t>
      </w:r>
      <w:r>
        <w:rPr>
          <w:lang w:val="es-MX"/>
        </w:rPr>
        <w:t>“</w:t>
      </w:r>
      <w:r>
        <w:rPr>
          <w:b/>
          <w:lang w:val="es-MX"/>
        </w:rPr>
        <w:t xml:space="preserve">ARTÍCULO 161.- </w:t>
      </w:r>
      <w:r>
        <w:rPr>
          <w:lang w:val="es-MX"/>
        </w:rPr>
        <w:t>Es improcedente el juicio ante el Tribunal Contencioso Administrativo y de Cuentas contra actos:</w:t>
      </w:r>
    </w:p>
    <w:p w:rsidR="003F5316" w:rsidRDefault="003F5316" w:rsidP="003F5316">
      <w:pPr>
        <w:pStyle w:val="Textonotapie"/>
        <w:jc w:val="both"/>
        <w:rPr>
          <w:lang w:val="es-MX"/>
        </w:rPr>
      </w:pPr>
      <w:r>
        <w:rPr>
          <w:lang w:val="es-MX"/>
        </w:rPr>
        <w:t xml:space="preserve">   …</w:t>
      </w:r>
    </w:p>
    <w:p w:rsidR="003F5316" w:rsidRDefault="003F5316" w:rsidP="003F5316">
      <w:pPr>
        <w:pStyle w:val="Textonotapie"/>
        <w:jc w:val="both"/>
        <w:rPr>
          <w:lang w:val="es-MX"/>
        </w:rPr>
      </w:pPr>
      <w:r>
        <w:rPr>
          <w:lang w:val="es-MX"/>
        </w:rPr>
        <w:t xml:space="preserve">   II. Que no afecten los intereses jurídicos o legítimos del actor;</w:t>
      </w:r>
    </w:p>
    <w:p w:rsidR="003F5316" w:rsidRDefault="003F5316" w:rsidP="003F5316">
      <w:pPr>
        <w:pStyle w:val="Textonotapie"/>
        <w:jc w:val="both"/>
        <w:rPr>
          <w:lang w:val="es-MX"/>
        </w:rPr>
      </w:pPr>
      <w:r>
        <w:rPr>
          <w:lang w:val="es-MX"/>
        </w:rPr>
        <w:t xml:space="preserve">   …</w:t>
      </w:r>
    </w:p>
    <w:p w:rsidR="003F5316" w:rsidRPr="00662820" w:rsidRDefault="003F5316" w:rsidP="003F5316">
      <w:pPr>
        <w:pStyle w:val="Textonotapie"/>
        <w:jc w:val="both"/>
        <w:rPr>
          <w:lang w:val="es-MX"/>
        </w:rPr>
      </w:pPr>
      <w:r>
        <w:rPr>
          <w:lang w:val="es-MX"/>
        </w:rPr>
        <w:t xml:space="preserve">   Las causales de improcedencia deben ser examinadas de oficio.”</w:t>
      </w:r>
    </w:p>
  </w:footnote>
  <w:footnote w:id="3">
    <w:p w:rsidR="003F5316" w:rsidRPr="00964262" w:rsidRDefault="003F5316" w:rsidP="003F5316">
      <w:pPr>
        <w:pStyle w:val="Textonotapie"/>
        <w:jc w:val="both"/>
        <w:rPr>
          <w:lang w:val="es-MX"/>
        </w:rPr>
      </w:pPr>
      <w:r>
        <w:rPr>
          <w:rStyle w:val="Refdenotaalpie"/>
        </w:rPr>
        <w:footnoteRef/>
      </w:r>
      <w:r>
        <w:t xml:space="preserve"> </w:t>
      </w:r>
      <w:r>
        <w:rPr>
          <w:lang w:val="es-MX"/>
        </w:rPr>
        <w:t>“</w:t>
      </w:r>
      <w:r>
        <w:rPr>
          <w:b/>
          <w:lang w:val="es-MX"/>
        </w:rPr>
        <w:t xml:space="preserve">ARTÍCULO 164.- </w:t>
      </w:r>
      <w:r>
        <w:rPr>
          <w:lang w:val="es-MX"/>
        </w:rPr>
        <w:t>Sólo podrán demandar o intervenir en el juicio, las personas que tengan un interés jurídico o legítimo que funde su pretensión.”</w:t>
      </w:r>
    </w:p>
  </w:footnote>
  <w:footnote w:id="4">
    <w:p w:rsidR="003F5316" w:rsidRDefault="003F5316" w:rsidP="003F5316">
      <w:pPr>
        <w:pStyle w:val="Textonotapie"/>
        <w:jc w:val="both"/>
        <w:rPr>
          <w:lang w:val="es-MX"/>
        </w:rPr>
      </w:pPr>
      <w:r>
        <w:rPr>
          <w:rStyle w:val="Refdenotaalpie"/>
        </w:rPr>
        <w:footnoteRef/>
      </w:r>
      <w:r>
        <w:t xml:space="preserve"> </w:t>
      </w:r>
      <w:r>
        <w:rPr>
          <w:lang w:val="es-MX"/>
        </w:rPr>
        <w:t>“</w:t>
      </w:r>
      <w:r>
        <w:rPr>
          <w:b/>
          <w:lang w:val="es-MX"/>
        </w:rPr>
        <w:t xml:space="preserve">ARTÍCULO 161.- </w:t>
      </w:r>
      <w:r>
        <w:rPr>
          <w:lang w:val="es-MX"/>
        </w:rPr>
        <w:t>A la Dirección del Centro Histórico y Patrimonio Edificado: le corresponde coordinar, analizar, realizar, dictaminar, autorizar o negar licencias y permiso para el otorgamiento del alineamiento, número oficial, uso del suelo, subdivisión, fusión, régimen en condominio, de imagen urbana y ejecución de obras dentro del polígono del Centro Histórico.</w:t>
      </w:r>
    </w:p>
    <w:p w:rsidR="003F5316" w:rsidRDefault="003F5316" w:rsidP="003F5316">
      <w:pPr>
        <w:pStyle w:val="Textonotapie"/>
        <w:jc w:val="both"/>
        <w:rPr>
          <w:lang w:val="es-MX"/>
        </w:rPr>
      </w:pPr>
      <w:r>
        <w:rPr>
          <w:lang w:val="es-MX"/>
        </w:rPr>
        <w:t xml:space="preserve">   Tendrá las siguientes atribuciones y obligaciones:</w:t>
      </w:r>
    </w:p>
    <w:p w:rsidR="003F5316" w:rsidRDefault="003F5316" w:rsidP="003F5316">
      <w:pPr>
        <w:pStyle w:val="Textonotapie"/>
        <w:jc w:val="both"/>
        <w:rPr>
          <w:lang w:val="es-MX"/>
        </w:rPr>
      </w:pPr>
      <w:r>
        <w:rPr>
          <w:lang w:val="es-MX"/>
        </w:rPr>
        <w:t xml:space="preserve">   I. Participar en acciones conjuntas con el Instituto Nacional de Antropología e Historia para las obras requeridas;</w:t>
      </w:r>
    </w:p>
    <w:p w:rsidR="003F5316" w:rsidRDefault="003F5316" w:rsidP="003F5316">
      <w:pPr>
        <w:pStyle w:val="Textonotapie"/>
        <w:jc w:val="both"/>
        <w:rPr>
          <w:lang w:val="es-MX"/>
        </w:rPr>
      </w:pPr>
      <w:r>
        <w:rPr>
          <w:lang w:val="es-MX"/>
        </w:rPr>
        <w:t xml:space="preserve">   II. Sancionar la irregularidad en materia de construcción dispuestas en el Plan Parcial de Conservación de Conservación del Centro Histórico de la Ciudad de Oaxaca de Juárez. Así como en el Reglamento General de Aplicación del Plan Parcial de Conservación del Centro Histórico de la Ciudad de Oaxaca de Juárez;</w:t>
      </w:r>
    </w:p>
    <w:p w:rsidR="003F5316" w:rsidRDefault="003F5316" w:rsidP="003F5316">
      <w:pPr>
        <w:pStyle w:val="Textonotapie"/>
        <w:jc w:val="both"/>
        <w:rPr>
          <w:lang w:val="es-MX"/>
        </w:rPr>
      </w:pPr>
      <w:r>
        <w:rPr>
          <w:lang w:val="es-MX"/>
        </w:rPr>
        <w:t xml:space="preserve">   III. Coordinar la Ventanilla Única de acuerdo con los convenios celebrados con Instituciones Federales, Estatales y Municipales. Participar ante la Asociación Nacional de Ciudades Mexicanas del Patrimonio Mundial Asociación Civil y ante la Organización de Ciudades del patrimonio Mundial;</w:t>
      </w:r>
    </w:p>
    <w:p w:rsidR="003F5316" w:rsidRDefault="003F5316" w:rsidP="003F5316">
      <w:pPr>
        <w:pStyle w:val="Textonotapie"/>
        <w:jc w:val="both"/>
        <w:rPr>
          <w:lang w:val="es-MX"/>
        </w:rPr>
      </w:pPr>
      <w:r>
        <w:rPr>
          <w:lang w:val="es-MX"/>
        </w:rPr>
        <w:t xml:space="preserve">   IV. Realizar proyectos arquitectónicos, de imagen urbana, de rehabilitación e intervención encaminados a preservar el Centro Histórico de la Ciudad de Oaxaca;</w:t>
      </w:r>
    </w:p>
    <w:p w:rsidR="003F5316" w:rsidRDefault="003F5316" w:rsidP="003F5316">
      <w:pPr>
        <w:pStyle w:val="Textonotapie"/>
        <w:jc w:val="both"/>
        <w:rPr>
          <w:lang w:val="es-MX"/>
        </w:rPr>
      </w:pPr>
      <w:r>
        <w:rPr>
          <w:lang w:val="es-MX"/>
        </w:rPr>
        <w:t xml:space="preserve">   V. Vigilar que las acciones en materia de edificación, cambio o alteración en el patrimonio edificado se realicen dentro del marco del Plan Parcial de Conservación del Centro Histórico y su Reglamento; y</w:t>
      </w:r>
    </w:p>
    <w:p w:rsidR="003F5316" w:rsidRPr="002164B6" w:rsidRDefault="003F5316" w:rsidP="003F5316">
      <w:pPr>
        <w:pStyle w:val="Textonotapie"/>
        <w:jc w:val="both"/>
        <w:rPr>
          <w:lang w:val="es-MX"/>
        </w:rPr>
      </w:pPr>
      <w:r>
        <w:rPr>
          <w:lang w:val="es-MX"/>
        </w:rPr>
        <w:t xml:space="preserve">   VI. Las demás relativas a la Protección del Patrimonio Cultural, en cumplimiento a las disposiciones legales y las que le sean delegadas o encomendadas por la Dirección General de Desarrollo Urbano, Centro Histórico y Ecología.”</w:t>
      </w:r>
    </w:p>
  </w:footnote>
  <w:footnote w:id="5">
    <w:p w:rsidR="003F5316" w:rsidRDefault="003F5316" w:rsidP="003F5316">
      <w:pPr>
        <w:pStyle w:val="Textonotapie"/>
        <w:rPr>
          <w:lang w:val="es-MX"/>
        </w:rPr>
      </w:pPr>
      <w:r>
        <w:rPr>
          <w:rStyle w:val="Refdenotaalpie"/>
        </w:rPr>
        <w:footnoteRef/>
      </w:r>
      <w:r>
        <w:t xml:space="preserve"> </w:t>
      </w:r>
      <w:r>
        <w:rPr>
          <w:lang w:val="es-MX"/>
        </w:rPr>
        <w:t>“</w:t>
      </w:r>
      <w:r>
        <w:rPr>
          <w:b/>
          <w:lang w:val="es-MX"/>
        </w:rPr>
        <w:t xml:space="preserve">ARTÍCULO 158.- </w:t>
      </w:r>
      <w:r>
        <w:rPr>
          <w:lang w:val="es-MX"/>
        </w:rPr>
        <w:t>Para el desempeño de sus atribuciones la Dirección General de Desarrollo Urbano, Centro Histórico y Ecología contara con las siguientes dependencias:</w:t>
      </w:r>
    </w:p>
    <w:p w:rsidR="003F5316" w:rsidRDefault="003F5316" w:rsidP="003F5316">
      <w:pPr>
        <w:pStyle w:val="Textonotapie"/>
        <w:rPr>
          <w:lang w:val="es-MX"/>
        </w:rPr>
      </w:pPr>
      <w:r>
        <w:rPr>
          <w:lang w:val="es-MX"/>
        </w:rPr>
        <w:t xml:space="preserve">   …</w:t>
      </w:r>
    </w:p>
    <w:p w:rsidR="003F5316" w:rsidRDefault="003F5316" w:rsidP="003F5316">
      <w:pPr>
        <w:pStyle w:val="Textonotapie"/>
        <w:rPr>
          <w:lang w:val="es-MX"/>
        </w:rPr>
      </w:pPr>
      <w:r>
        <w:rPr>
          <w:lang w:val="es-MX"/>
        </w:rPr>
        <w:t xml:space="preserve">   III. Dirección del Centro Histórico y Patrimonio Edificado; y</w:t>
      </w:r>
    </w:p>
    <w:p w:rsidR="003F5316" w:rsidRPr="004A4975" w:rsidRDefault="003F5316" w:rsidP="003F5316">
      <w:pPr>
        <w:pStyle w:val="Textonotapie"/>
        <w:rPr>
          <w:lang w:val="es-MX"/>
        </w:rPr>
      </w:pP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BB0BF8" w:rsidRDefault="00BB0BF8">
        <w:pPr>
          <w:pStyle w:val="Encabezado"/>
          <w:jc w:val="center"/>
        </w:pPr>
        <w:r>
          <w:fldChar w:fldCharType="begin"/>
        </w:r>
        <w:r>
          <w:instrText>PAGE   \* MERGEFORMAT</w:instrText>
        </w:r>
        <w:r>
          <w:fldChar w:fldCharType="separate"/>
        </w:r>
        <w:r w:rsidR="00E33715">
          <w:rPr>
            <w:noProof/>
          </w:rPr>
          <w:t>6</w:t>
        </w:r>
        <w:r>
          <w:fldChar w:fldCharType="end"/>
        </w:r>
      </w:p>
    </w:sdtContent>
  </w:sdt>
  <w:p w:rsidR="00BB0BF8" w:rsidRDefault="00BB0BF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BB0BF8" w:rsidRDefault="00BB0BF8" w:rsidP="00314953">
        <w:pPr>
          <w:pStyle w:val="Encabezado"/>
          <w:jc w:val="center"/>
          <w:rPr>
            <w:noProof/>
          </w:rPr>
        </w:pPr>
        <w:r>
          <w:fldChar w:fldCharType="begin"/>
        </w:r>
        <w:r>
          <w:instrText xml:space="preserve"> PAGE   \* MERGEFORMAT </w:instrText>
        </w:r>
        <w:r>
          <w:fldChar w:fldCharType="separate"/>
        </w:r>
        <w:r w:rsidR="00E33715">
          <w:rPr>
            <w:noProof/>
          </w:rPr>
          <w:t>7</w:t>
        </w:r>
        <w:r>
          <w:rPr>
            <w:noProof/>
          </w:rPr>
          <w:fldChar w:fldCharType="end"/>
        </w:r>
      </w:p>
      <w:p w:rsidR="00BB0BF8" w:rsidRDefault="006F57C3" w:rsidP="00314953">
        <w:pPr>
          <w:pStyle w:val="Encabezado"/>
          <w:jc w:val="center"/>
        </w:pPr>
      </w:p>
    </w:sdtContent>
  </w:sdt>
  <w:p w:rsidR="00BB0BF8" w:rsidRDefault="00C2761A" w:rsidP="00314953">
    <w:pPr>
      <w:pStyle w:val="Encabezado"/>
      <w:tabs>
        <w:tab w:val="left" w:pos="142"/>
      </w:tabs>
      <w:ind w:left="284"/>
    </w:pPr>
    <w:r w:rsidRPr="003E6AD7">
      <w:rPr>
        <w:noProof/>
        <w:lang w:val="es-MX" w:eastAsia="es-MX"/>
      </w:rPr>
      <w:drawing>
        <wp:anchor distT="0" distB="0" distL="114300" distR="114300" simplePos="0" relativeHeight="251657216" behindDoc="0" locked="0" layoutInCell="1" allowOverlap="1" wp14:anchorId="1E4FD35E" wp14:editId="776C7A83">
          <wp:simplePos x="0" y="0"/>
          <wp:positionH relativeFrom="page">
            <wp:posOffset>419100</wp:posOffset>
          </wp:positionH>
          <wp:positionV relativeFrom="paragraph">
            <wp:posOffset>2767330</wp:posOffset>
          </wp:positionV>
          <wp:extent cx="1133475" cy="987448"/>
          <wp:effectExtent l="0" t="0" r="0" b="3175"/>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98744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76754"/>
    <w:multiLevelType w:val="multilevel"/>
    <w:tmpl w:val="14683B76"/>
    <w:lvl w:ilvl="0">
      <w:start w:val="1"/>
      <w:numFmt w:val="decimal"/>
      <w:lvlText w:val="%1."/>
      <w:lvlJc w:val="left"/>
      <w:pPr>
        <w:ind w:left="1069" w:hanging="360"/>
      </w:pPr>
      <w:rPr>
        <w:rFonts w:hint="default"/>
      </w:rPr>
    </w:lvl>
    <w:lvl w:ilvl="1">
      <w:start w:val="1"/>
      <w:numFmt w:val="decimalZero"/>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1">
    <w:nsid w:val="07532711"/>
    <w:multiLevelType w:val="hybridMultilevel"/>
    <w:tmpl w:val="3DEE639E"/>
    <w:lvl w:ilvl="0" w:tplc="FD3A3D34">
      <w:start w:val="1"/>
      <w:numFmt w:val="upperLetter"/>
      <w:lvlText w:val="%1."/>
      <w:lvlJc w:val="left"/>
      <w:pPr>
        <w:ind w:left="2574" w:hanging="360"/>
      </w:pPr>
      <w:rPr>
        <w:rFonts w:hint="default"/>
      </w:rPr>
    </w:lvl>
    <w:lvl w:ilvl="1" w:tplc="080A0019" w:tentative="1">
      <w:start w:val="1"/>
      <w:numFmt w:val="lowerLetter"/>
      <w:lvlText w:val="%2."/>
      <w:lvlJc w:val="left"/>
      <w:pPr>
        <w:ind w:left="3294" w:hanging="360"/>
      </w:pPr>
    </w:lvl>
    <w:lvl w:ilvl="2" w:tplc="080A001B" w:tentative="1">
      <w:start w:val="1"/>
      <w:numFmt w:val="lowerRoman"/>
      <w:lvlText w:val="%3."/>
      <w:lvlJc w:val="right"/>
      <w:pPr>
        <w:ind w:left="4014" w:hanging="180"/>
      </w:pPr>
    </w:lvl>
    <w:lvl w:ilvl="3" w:tplc="080A000F" w:tentative="1">
      <w:start w:val="1"/>
      <w:numFmt w:val="decimal"/>
      <w:lvlText w:val="%4."/>
      <w:lvlJc w:val="left"/>
      <w:pPr>
        <w:ind w:left="4734" w:hanging="360"/>
      </w:pPr>
    </w:lvl>
    <w:lvl w:ilvl="4" w:tplc="080A0019" w:tentative="1">
      <w:start w:val="1"/>
      <w:numFmt w:val="lowerLetter"/>
      <w:lvlText w:val="%5."/>
      <w:lvlJc w:val="left"/>
      <w:pPr>
        <w:ind w:left="5454" w:hanging="360"/>
      </w:pPr>
    </w:lvl>
    <w:lvl w:ilvl="5" w:tplc="080A001B" w:tentative="1">
      <w:start w:val="1"/>
      <w:numFmt w:val="lowerRoman"/>
      <w:lvlText w:val="%6."/>
      <w:lvlJc w:val="right"/>
      <w:pPr>
        <w:ind w:left="6174" w:hanging="180"/>
      </w:pPr>
    </w:lvl>
    <w:lvl w:ilvl="6" w:tplc="080A000F" w:tentative="1">
      <w:start w:val="1"/>
      <w:numFmt w:val="decimal"/>
      <w:lvlText w:val="%7."/>
      <w:lvlJc w:val="left"/>
      <w:pPr>
        <w:ind w:left="6894" w:hanging="360"/>
      </w:pPr>
    </w:lvl>
    <w:lvl w:ilvl="7" w:tplc="080A0019" w:tentative="1">
      <w:start w:val="1"/>
      <w:numFmt w:val="lowerLetter"/>
      <w:lvlText w:val="%8."/>
      <w:lvlJc w:val="left"/>
      <w:pPr>
        <w:ind w:left="7614" w:hanging="360"/>
      </w:pPr>
    </w:lvl>
    <w:lvl w:ilvl="8" w:tplc="080A001B" w:tentative="1">
      <w:start w:val="1"/>
      <w:numFmt w:val="lowerRoman"/>
      <w:lvlText w:val="%9."/>
      <w:lvlJc w:val="right"/>
      <w:pPr>
        <w:ind w:left="8334" w:hanging="180"/>
      </w:pPr>
    </w:lvl>
  </w:abstractNum>
  <w:abstractNum w:abstractNumId="2">
    <w:nsid w:val="0A93639C"/>
    <w:multiLevelType w:val="hybridMultilevel"/>
    <w:tmpl w:val="54687B26"/>
    <w:lvl w:ilvl="0" w:tplc="3D7AFA2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nsid w:val="0CBD6DD0"/>
    <w:multiLevelType w:val="hybridMultilevel"/>
    <w:tmpl w:val="05F6EF7A"/>
    <w:lvl w:ilvl="0" w:tplc="9F2846EA">
      <w:start w:val="1"/>
      <w:numFmt w:val="lowerLetter"/>
      <w:lvlText w:val="%1)"/>
      <w:lvlJc w:val="left"/>
      <w:pPr>
        <w:ind w:left="1429"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4">
    <w:nsid w:val="0F4635B8"/>
    <w:multiLevelType w:val="hybridMultilevel"/>
    <w:tmpl w:val="B614B134"/>
    <w:lvl w:ilvl="0" w:tplc="2F7CEF1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F68382B"/>
    <w:multiLevelType w:val="hybridMultilevel"/>
    <w:tmpl w:val="4CA49D42"/>
    <w:lvl w:ilvl="0" w:tplc="99AAA0C6">
      <w:start w:val="1"/>
      <w:numFmt w:val="upperRoman"/>
      <w:lvlText w:val="%1."/>
      <w:lvlJc w:val="left"/>
      <w:pPr>
        <w:ind w:left="1004" w:hanging="720"/>
      </w:pPr>
      <w:rPr>
        <w:rFonts w:hint="default"/>
      </w:rPr>
    </w:lvl>
    <w:lvl w:ilvl="1" w:tplc="080A0019" w:tentative="1">
      <w:start w:val="1"/>
      <w:numFmt w:val="lowerLetter"/>
      <w:lvlText w:val="%2."/>
      <w:lvlJc w:val="left"/>
      <w:pPr>
        <w:ind w:left="2841" w:hanging="360"/>
      </w:pPr>
    </w:lvl>
    <w:lvl w:ilvl="2" w:tplc="080A001B" w:tentative="1">
      <w:start w:val="1"/>
      <w:numFmt w:val="lowerRoman"/>
      <w:lvlText w:val="%3."/>
      <w:lvlJc w:val="right"/>
      <w:pPr>
        <w:ind w:left="3561" w:hanging="180"/>
      </w:pPr>
    </w:lvl>
    <w:lvl w:ilvl="3" w:tplc="080A000F" w:tentative="1">
      <w:start w:val="1"/>
      <w:numFmt w:val="decimal"/>
      <w:lvlText w:val="%4."/>
      <w:lvlJc w:val="left"/>
      <w:pPr>
        <w:ind w:left="4281" w:hanging="360"/>
      </w:pPr>
    </w:lvl>
    <w:lvl w:ilvl="4" w:tplc="080A0019" w:tentative="1">
      <w:start w:val="1"/>
      <w:numFmt w:val="lowerLetter"/>
      <w:lvlText w:val="%5."/>
      <w:lvlJc w:val="left"/>
      <w:pPr>
        <w:ind w:left="5001" w:hanging="360"/>
      </w:pPr>
    </w:lvl>
    <w:lvl w:ilvl="5" w:tplc="080A001B" w:tentative="1">
      <w:start w:val="1"/>
      <w:numFmt w:val="lowerRoman"/>
      <w:lvlText w:val="%6."/>
      <w:lvlJc w:val="right"/>
      <w:pPr>
        <w:ind w:left="5721" w:hanging="180"/>
      </w:pPr>
    </w:lvl>
    <w:lvl w:ilvl="6" w:tplc="080A000F" w:tentative="1">
      <w:start w:val="1"/>
      <w:numFmt w:val="decimal"/>
      <w:lvlText w:val="%7."/>
      <w:lvlJc w:val="left"/>
      <w:pPr>
        <w:ind w:left="6441" w:hanging="360"/>
      </w:pPr>
    </w:lvl>
    <w:lvl w:ilvl="7" w:tplc="080A0019" w:tentative="1">
      <w:start w:val="1"/>
      <w:numFmt w:val="lowerLetter"/>
      <w:lvlText w:val="%8."/>
      <w:lvlJc w:val="left"/>
      <w:pPr>
        <w:ind w:left="7161" w:hanging="360"/>
      </w:pPr>
    </w:lvl>
    <w:lvl w:ilvl="8" w:tplc="080A001B" w:tentative="1">
      <w:start w:val="1"/>
      <w:numFmt w:val="lowerRoman"/>
      <w:lvlText w:val="%9."/>
      <w:lvlJc w:val="right"/>
      <w:pPr>
        <w:ind w:left="7881" w:hanging="180"/>
      </w:pPr>
    </w:lvl>
  </w:abstractNum>
  <w:abstractNum w:abstractNumId="6">
    <w:nsid w:val="1F385570"/>
    <w:multiLevelType w:val="hybridMultilevel"/>
    <w:tmpl w:val="E3E0AA9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0EA6D40"/>
    <w:multiLevelType w:val="hybridMultilevel"/>
    <w:tmpl w:val="3ED83754"/>
    <w:lvl w:ilvl="0" w:tplc="04EAD0F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9">
    <w:nsid w:val="2777392F"/>
    <w:multiLevelType w:val="hybridMultilevel"/>
    <w:tmpl w:val="45E0135C"/>
    <w:lvl w:ilvl="0" w:tplc="A52045DA">
      <w:start w:val="8"/>
      <w:numFmt w:val="upperRoman"/>
      <w:lvlText w:val="%1."/>
      <w:lvlJc w:val="left"/>
      <w:pPr>
        <w:ind w:left="1095" w:hanging="720"/>
      </w:pPr>
      <w:rPr>
        <w:rFonts w:hint="default"/>
      </w:rPr>
    </w:lvl>
    <w:lvl w:ilvl="1" w:tplc="080A0019" w:tentative="1">
      <w:start w:val="1"/>
      <w:numFmt w:val="lowerLetter"/>
      <w:lvlText w:val="%2."/>
      <w:lvlJc w:val="left"/>
      <w:pPr>
        <w:ind w:left="1455" w:hanging="360"/>
      </w:pPr>
    </w:lvl>
    <w:lvl w:ilvl="2" w:tplc="080A001B" w:tentative="1">
      <w:start w:val="1"/>
      <w:numFmt w:val="lowerRoman"/>
      <w:lvlText w:val="%3."/>
      <w:lvlJc w:val="right"/>
      <w:pPr>
        <w:ind w:left="2175" w:hanging="180"/>
      </w:pPr>
    </w:lvl>
    <w:lvl w:ilvl="3" w:tplc="080A000F" w:tentative="1">
      <w:start w:val="1"/>
      <w:numFmt w:val="decimal"/>
      <w:lvlText w:val="%4."/>
      <w:lvlJc w:val="left"/>
      <w:pPr>
        <w:ind w:left="2895" w:hanging="360"/>
      </w:pPr>
    </w:lvl>
    <w:lvl w:ilvl="4" w:tplc="080A0019" w:tentative="1">
      <w:start w:val="1"/>
      <w:numFmt w:val="lowerLetter"/>
      <w:lvlText w:val="%5."/>
      <w:lvlJc w:val="left"/>
      <w:pPr>
        <w:ind w:left="3615" w:hanging="360"/>
      </w:pPr>
    </w:lvl>
    <w:lvl w:ilvl="5" w:tplc="080A001B" w:tentative="1">
      <w:start w:val="1"/>
      <w:numFmt w:val="lowerRoman"/>
      <w:lvlText w:val="%6."/>
      <w:lvlJc w:val="right"/>
      <w:pPr>
        <w:ind w:left="4335" w:hanging="180"/>
      </w:pPr>
    </w:lvl>
    <w:lvl w:ilvl="6" w:tplc="080A000F" w:tentative="1">
      <w:start w:val="1"/>
      <w:numFmt w:val="decimal"/>
      <w:lvlText w:val="%7."/>
      <w:lvlJc w:val="left"/>
      <w:pPr>
        <w:ind w:left="5055" w:hanging="360"/>
      </w:pPr>
    </w:lvl>
    <w:lvl w:ilvl="7" w:tplc="080A0019" w:tentative="1">
      <w:start w:val="1"/>
      <w:numFmt w:val="lowerLetter"/>
      <w:lvlText w:val="%8."/>
      <w:lvlJc w:val="left"/>
      <w:pPr>
        <w:ind w:left="5775" w:hanging="360"/>
      </w:pPr>
    </w:lvl>
    <w:lvl w:ilvl="8" w:tplc="080A001B" w:tentative="1">
      <w:start w:val="1"/>
      <w:numFmt w:val="lowerRoman"/>
      <w:lvlText w:val="%9."/>
      <w:lvlJc w:val="right"/>
      <w:pPr>
        <w:ind w:left="6495" w:hanging="180"/>
      </w:pPr>
    </w:lvl>
  </w:abstractNum>
  <w:abstractNum w:abstractNumId="10">
    <w:nsid w:val="2791286A"/>
    <w:multiLevelType w:val="hybridMultilevel"/>
    <w:tmpl w:val="0F86F454"/>
    <w:lvl w:ilvl="0" w:tplc="F90A9E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28FB6089"/>
    <w:multiLevelType w:val="hybridMultilevel"/>
    <w:tmpl w:val="D9A296AC"/>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E437F14"/>
    <w:multiLevelType w:val="hybridMultilevel"/>
    <w:tmpl w:val="A93AA7F4"/>
    <w:lvl w:ilvl="0" w:tplc="9992DBCC">
      <w:start w:val="1"/>
      <w:numFmt w:val="lowerLetter"/>
      <w:lvlText w:val="%1)"/>
      <w:lvlJc w:val="left"/>
      <w:pPr>
        <w:ind w:left="1072" w:hanging="360"/>
      </w:pPr>
      <w:rPr>
        <w:rFonts w:hint="default"/>
      </w:rPr>
    </w:lvl>
    <w:lvl w:ilvl="1" w:tplc="080A0019" w:tentative="1">
      <w:start w:val="1"/>
      <w:numFmt w:val="lowerLetter"/>
      <w:lvlText w:val="%2."/>
      <w:lvlJc w:val="left"/>
      <w:pPr>
        <w:ind w:left="1792" w:hanging="360"/>
      </w:pPr>
    </w:lvl>
    <w:lvl w:ilvl="2" w:tplc="080A001B" w:tentative="1">
      <w:start w:val="1"/>
      <w:numFmt w:val="lowerRoman"/>
      <w:lvlText w:val="%3."/>
      <w:lvlJc w:val="right"/>
      <w:pPr>
        <w:ind w:left="2512" w:hanging="180"/>
      </w:pPr>
    </w:lvl>
    <w:lvl w:ilvl="3" w:tplc="080A000F" w:tentative="1">
      <w:start w:val="1"/>
      <w:numFmt w:val="decimal"/>
      <w:lvlText w:val="%4."/>
      <w:lvlJc w:val="left"/>
      <w:pPr>
        <w:ind w:left="3232" w:hanging="360"/>
      </w:pPr>
    </w:lvl>
    <w:lvl w:ilvl="4" w:tplc="080A0019" w:tentative="1">
      <w:start w:val="1"/>
      <w:numFmt w:val="lowerLetter"/>
      <w:lvlText w:val="%5."/>
      <w:lvlJc w:val="left"/>
      <w:pPr>
        <w:ind w:left="3952" w:hanging="360"/>
      </w:pPr>
    </w:lvl>
    <w:lvl w:ilvl="5" w:tplc="080A001B" w:tentative="1">
      <w:start w:val="1"/>
      <w:numFmt w:val="lowerRoman"/>
      <w:lvlText w:val="%6."/>
      <w:lvlJc w:val="right"/>
      <w:pPr>
        <w:ind w:left="4672" w:hanging="180"/>
      </w:pPr>
    </w:lvl>
    <w:lvl w:ilvl="6" w:tplc="080A000F" w:tentative="1">
      <w:start w:val="1"/>
      <w:numFmt w:val="decimal"/>
      <w:lvlText w:val="%7."/>
      <w:lvlJc w:val="left"/>
      <w:pPr>
        <w:ind w:left="5392" w:hanging="360"/>
      </w:pPr>
    </w:lvl>
    <w:lvl w:ilvl="7" w:tplc="080A0019" w:tentative="1">
      <w:start w:val="1"/>
      <w:numFmt w:val="lowerLetter"/>
      <w:lvlText w:val="%8."/>
      <w:lvlJc w:val="left"/>
      <w:pPr>
        <w:ind w:left="6112" w:hanging="360"/>
      </w:pPr>
    </w:lvl>
    <w:lvl w:ilvl="8" w:tplc="080A001B" w:tentative="1">
      <w:start w:val="1"/>
      <w:numFmt w:val="lowerRoman"/>
      <w:lvlText w:val="%9."/>
      <w:lvlJc w:val="right"/>
      <w:pPr>
        <w:ind w:left="6832" w:hanging="180"/>
      </w:pPr>
    </w:lvl>
  </w:abstractNum>
  <w:abstractNum w:abstractNumId="13">
    <w:nsid w:val="2F016B7B"/>
    <w:multiLevelType w:val="hybridMultilevel"/>
    <w:tmpl w:val="CA3ABB48"/>
    <w:lvl w:ilvl="0" w:tplc="78663E7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3C4B492D"/>
    <w:multiLevelType w:val="hybridMultilevel"/>
    <w:tmpl w:val="67245A9C"/>
    <w:lvl w:ilvl="0" w:tplc="55A4C57A">
      <w:start w:val="10"/>
      <w:numFmt w:val="bullet"/>
      <w:lvlText w:val="-"/>
      <w:lvlJc w:val="left"/>
      <w:pPr>
        <w:ind w:left="1429" w:hanging="360"/>
      </w:pPr>
      <w:rPr>
        <w:rFonts w:ascii="Arial" w:eastAsiaTheme="minorHAnsi" w:hAnsi="Arial"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5">
    <w:nsid w:val="47833F8B"/>
    <w:multiLevelType w:val="hybridMultilevel"/>
    <w:tmpl w:val="5AB6584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49E06007"/>
    <w:multiLevelType w:val="hybridMultilevel"/>
    <w:tmpl w:val="8EC21528"/>
    <w:lvl w:ilvl="0" w:tplc="53C085E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4F8C6290"/>
    <w:multiLevelType w:val="hybridMultilevel"/>
    <w:tmpl w:val="7BE46816"/>
    <w:lvl w:ilvl="0" w:tplc="EB92CCF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nsid w:val="5C242953"/>
    <w:multiLevelType w:val="hybridMultilevel"/>
    <w:tmpl w:val="4C8AD3B4"/>
    <w:lvl w:ilvl="0" w:tplc="53043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62B9168A"/>
    <w:multiLevelType w:val="multilevel"/>
    <w:tmpl w:val="BA0294BC"/>
    <w:lvl w:ilvl="0">
      <w:start w:val="1"/>
      <w:numFmt w:val="decimal"/>
      <w:lvlText w:val="%1"/>
      <w:lvlJc w:val="left"/>
      <w:pPr>
        <w:ind w:left="600" w:hanging="600"/>
      </w:pPr>
      <w:rPr>
        <w:rFonts w:hint="default"/>
      </w:rPr>
    </w:lvl>
    <w:lvl w:ilvl="1">
      <w:numFmt w:val="decimal"/>
      <w:lvlText w:val="%1.%2"/>
      <w:lvlJc w:val="left"/>
      <w:pPr>
        <w:ind w:left="1134" w:hanging="60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072" w:hanging="1800"/>
      </w:pPr>
      <w:rPr>
        <w:rFonts w:hint="default"/>
      </w:rPr>
    </w:lvl>
  </w:abstractNum>
  <w:abstractNum w:abstractNumId="20">
    <w:nsid w:val="71DE10F0"/>
    <w:multiLevelType w:val="multilevel"/>
    <w:tmpl w:val="DB4A357C"/>
    <w:lvl w:ilvl="0">
      <w:start w:val="1"/>
      <w:numFmt w:val="decimal"/>
      <w:lvlText w:val="%1"/>
      <w:lvlJc w:val="left"/>
      <w:pPr>
        <w:ind w:left="795" w:hanging="795"/>
      </w:pPr>
      <w:rPr>
        <w:rFonts w:hint="default"/>
      </w:rPr>
    </w:lvl>
    <w:lvl w:ilvl="1">
      <w:start w:val="1"/>
      <w:numFmt w:val="decimal"/>
      <w:lvlText w:val="%1.%2"/>
      <w:lvlJc w:val="left"/>
      <w:pPr>
        <w:ind w:left="1173" w:hanging="795"/>
      </w:pPr>
      <w:rPr>
        <w:rFonts w:hint="default"/>
      </w:rPr>
    </w:lvl>
    <w:lvl w:ilvl="2">
      <w:numFmt w:val="decimal"/>
      <w:lvlText w:val="%1.%2.%3"/>
      <w:lvlJc w:val="left"/>
      <w:pPr>
        <w:ind w:left="1551" w:hanging="795"/>
      </w:pPr>
      <w:rPr>
        <w:rFonts w:hint="default"/>
      </w:rPr>
    </w:lvl>
    <w:lvl w:ilvl="3">
      <w:start w:val="1"/>
      <w:numFmt w:val="decimal"/>
      <w:lvlText w:val="%1.%2.%3.%4"/>
      <w:lvlJc w:val="left"/>
      <w:pPr>
        <w:ind w:left="2214" w:hanging="108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4824" w:hanging="1800"/>
      </w:pPr>
      <w:rPr>
        <w:rFonts w:hint="default"/>
      </w:rPr>
    </w:lvl>
  </w:abstractNum>
  <w:abstractNum w:abstractNumId="21">
    <w:nsid w:val="724A60C6"/>
    <w:multiLevelType w:val="hybridMultilevel"/>
    <w:tmpl w:val="B59A5646"/>
    <w:lvl w:ilvl="0" w:tplc="482416F2">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2">
    <w:nsid w:val="74010BEC"/>
    <w:multiLevelType w:val="hybridMultilevel"/>
    <w:tmpl w:val="1346A84A"/>
    <w:lvl w:ilvl="0" w:tplc="B230805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3">
    <w:nsid w:val="74135571"/>
    <w:multiLevelType w:val="hybridMultilevel"/>
    <w:tmpl w:val="B3EE5E56"/>
    <w:lvl w:ilvl="0" w:tplc="75860CB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77344BA4"/>
    <w:multiLevelType w:val="hybridMultilevel"/>
    <w:tmpl w:val="6BAC3BA8"/>
    <w:lvl w:ilvl="0" w:tplc="2C00599E">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5">
    <w:nsid w:val="77B47A3A"/>
    <w:multiLevelType w:val="hybridMultilevel"/>
    <w:tmpl w:val="239EC2B0"/>
    <w:lvl w:ilvl="0" w:tplc="F68E436E">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6">
    <w:nsid w:val="783A1C2D"/>
    <w:multiLevelType w:val="hybridMultilevel"/>
    <w:tmpl w:val="077680AE"/>
    <w:lvl w:ilvl="0" w:tplc="50EA989C">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7">
    <w:nsid w:val="7C547BEF"/>
    <w:multiLevelType w:val="hybridMultilevel"/>
    <w:tmpl w:val="05AC19C8"/>
    <w:lvl w:ilvl="0" w:tplc="B324DEB2">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26"/>
  </w:num>
  <w:num w:numId="2">
    <w:abstractNumId w:val="21"/>
  </w:num>
  <w:num w:numId="3">
    <w:abstractNumId w:val="22"/>
  </w:num>
  <w:num w:numId="4">
    <w:abstractNumId w:val="12"/>
  </w:num>
  <w:num w:numId="5">
    <w:abstractNumId w:val="2"/>
  </w:num>
  <w:num w:numId="6">
    <w:abstractNumId w:val="15"/>
  </w:num>
  <w:num w:numId="7">
    <w:abstractNumId w:val="11"/>
  </w:num>
  <w:num w:numId="8">
    <w:abstractNumId w:val="17"/>
  </w:num>
  <w:num w:numId="9">
    <w:abstractNumId w:val="16"/>
  </w:num>
  <w:num w:numId="10">
    <w:abstractNumId w:val="3"/>
  </w:num>
  <w:num w:numId="11">
    <w:abstractNumId w:val="27"/>
  </w:num>
  <w:num w:numId="12">
    <w:abstractNumId w:val="6"/>
  </w:num>
  <w:num w:numId="13">
    <w:abstractNumId w:val="13"/>
  </w:num>
  <w:num w:numId="14">
    <w:abstractNumId w:val="25"/>
  </w:num>
  <w:num w:numId="15">
    <w:abstractNumId w:val="8"/>
  </w:num>
  <w:num w:numId="16">
    <w:abstractNumId w:val="23"/>
  </w:num>
  <w:num w:numId="17">
    <w:abstractNumId w:val="14"/>
  </w:num>
  <w:num w:numId="18">
    <w:abstractNumId w:val="18"/>
  </w:num>
  <w:num w:numId="19">
    <w:abstractNumId w:val="10"/>
  </w:num>
  <w:num w:numId="20">
    <w:abstractNumId w:val="0"/>
  </w:num>
  <w:num w:numId="21">
    <w:abstractNumId w:val="19"/>
  </w:num>
  <w:num w:numId="22">
    <w:abstractNumId w:val="20"/>
  </w:num>
  <w:num w:numId="23">
    <w:abstractNumId w:val="1"/>
  </w:num>
  <w:num w:numId="24">
    <w:abstractNumId w:val="7"/>
  </w:num>
  <w:num w:numId="25">
    <w:abstractNumId w:val="24"/>
  </w:num>
  <w:num w:numId="26">
    <w:abstractNumId w:val="5"/>
  </w:num>
  <w:num w:numId="27">
    <w:abstractNumId w:val="4"/>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953"/>
    <w:rsid w:val="000053D7"/>
    <w:rsid w:val="000160CA"/>
    <w:rsid w:val="00016EC5"/>
    <w:rsid w:val="00020CA5"/>
    <w:rsid w:val="00021010"/>
    <w:rsid w:val="0002257A"/>
    <w:rsid w:val="00024D4D"/>
    <w:rsid w:val="00024FF0"/>
    <w:rsid w:val="00027390"/>
    <w:rsid w:val="00033D5B"/>
    <w:rsid w:val="0003416C"/>
    <w:rsid w:val="00037003"/>
    <w:rsid w:val="00040BF3"/>
    <w:rsid w:val="00045AB1"/>
    <w:rsid w:val="00052E42"/>
    <w:rsid w:val="0006434F"/>
    <w:rsid w:val="000937D1"/>
    <w:rsid w:val="000A5095"/>
    <w:rsid w:val="000A58F2"/>
    <w:rsid w:val="000B2702"/>
    <w:rsid w:val="000B2761"/>
    <w:rsid w:val="000C7ED0"/>
    <w:rsid w:val="000F0630"/>
    <w:rsid w:val="000F095A"/>
    <w:rsid w:val="000F3F0A"/>
    <w:rsid w:val="00111422"/>
    <w:rsid w:val="0012268D"/>
    <w:rsid w:val="00126FD3"/>
    <w:rsid w:val="001340EF"/>
    <w:rsid w:val="00137833"/>
    <w:rsid w:val="001417F3"/>
    <w:rsid w:val="00146647"/>
    <w:rsid w:val="00152E9C"/>
    <w:rsid w:val="00156644"/>
    <w:rsid w:val="00156E97"/>
    <w:rsid w:val="0016340C"/>
    <w:rsid w:val="001715F3"/>
    <w:rsid w:val="0017486D"/>
    <w:rsid w:val="00177531"/>
    <w:rsid w:val="00181B4B"/>
    <w:rsid w:val="0018549D"/>
    <w:rsid w:val="00193F30"/>
    <w:rsid w:val="00195E2D"/>
    <w:rsid w:val="001A05B6"/>
    <w:rsid w:val="001B36D9"/>
    <w:rsid w:val="001B5C29"/>
    <w:rsid w:val="001B6152"/>
    <w:rsid w:val="001C3FB4"/>
    <w:rsid w:val="001D14F5"/>
    <w:rsid w:val="001D4459"/>
    <w:rsid w:val="001D7D9F"/>
    <w:rsid w:val="001E0B65"/>
    <w:rsid w:val="001E2413"/>
    <w:rsid w:val="001E461F"/>
    <w:rsid w:val="001E5B99"/>
    <w:rsid w:val="001F5384"/>
    <w:rsid w:val="002070C5"/>
    <w:rsid w:val="00211414"/>
    <w:rsid w:val="00221FF9"/>
    <w:rsid w:val="00222022"/>
    <w:rsid w:val="0022231B"/>
    <w:rsid w:val="002225BC"/>
    <w:rsid w:val="00223770"/>
    <w:rsid w:val="00223CE4"/>
    <w:rsid w:val="002254AA"/>
    <w:rsid w:val="00225A6E"/>
    <w:rsid w:val="00226770"/>
    <w:rsid w:val="00227009"/>
    <w:rsid w:val="00244791"/>
    <w:rsid w:val="0024747F"/>
    <w:rsid w:val="00253D57"/>
    <w:rsid w:val="00261216"/>
    <w:rsid w:val="0026273C"/>
    <w:rsid w:val="002628B1"/>
    <w:rsid w:val="002678CE"/>
    <w:rsid w:val="00276E2F"/>
    <w:rsid w:val="002811D5"/>
    <w:rsid w:val="00290D90"/>
    <w:rsid w:val="0029537D"/>
    <w:rsid w:val="002970EA"/>
    <w:rsid w:val="00297FEB"/>
    <w:rsid w:val="002A1D92"/>
    <w:rsid w:val="002A3892"/>
    <w:rsid w:val="002A4883"/>
    <w:rsid w:val="002A575A"/>
    <w:rsid w:val="002A62A8"/>
    <w:rsid w:val="002A68BB"/>
    <w:rsid w:val="002A78F5"/>
    <w:rsid w:val="002B080B"/>
    <w:rsid w:val="002B10A8"/>
    <w:rsid w:val="002B588E"/>
    <w:rsid w:val="002B6854"/>
    <w:rsid w:val="002C0A27"/>
    <w:rsid w:val="002C1E47"/>
    <w:rsid w:val="002C1FB2"/>
    <w:rsid w:val="002C5F88"/>
    <w:rsid w:val="002D268A"/>
    <w:rsid w:val="002D3609"/>
    <w:rsid w:val="002D52AD"/>
    <w:rsid w:val="002D730C"/>
    <w:rsid w:val="002D7C45"/>
    <w:rsid w:val="002E1E90"/>
    <w:rsid w:val="002F28E7"/>
    <w:rsid w:val="002F412D"/>
    <w:rsid w:val="00302A8E"/>
    <w:rsid w:val="00303C3F"/>
    <w:rsid w:val="00306CFE"/>
    <w:rsid w:val="00314953"/>
    <w:rsid w:val="003171C0"/>
    <w:rsid w:val="00326D43"/>
    <w:rsid w:val="00331F8B"/>
    <w:rsid w:val="00332260"/>
    <w:rsid w:val="00336791"/>
    <w:rsid w:val="00337A7E"/>
    <w:rsid w:val="003426A8"/>
    <w:rsid w:val="00351948"/>
    <w:rsid w:val="00351A93"/>
    <w:rsid w:val="00355400"/>
    <w:rsid w:val="0037197A"/>
    <w:rsid w:val="0038129A"/>
    <w:rsid w:val="0038787C"/>
    <w:rsid w:val="00392D27"/>
    <w:rsid w:val="003A705E"/>
    <w:rsid w:val="003B60D3"/>
    <w:rsid w:val="003C55D0"/>
    <w:rsid w:val="003D18F6"/>
    <w:rsid w:val="003E4055"/>
    <w:rsid w:val="003F0A7A"/>
    <w:rsid w:val="003F26BE"/>
    <w:rsid w:val="003F5316"/>
    <w:rsid w:val="004051F7"/>
    <w:rsid w:val="00406CE3"/>
    <w:rsid w:val="00407738"/>
    <w:rsid w:val="00413B6C"/>
    <w:rsid w:val="00416E49"/>
    <w:rsid w:val="00417FC3"/>
    <w:rsid w:val="004216C4"/>
    <w:rsid w:val="004218CC"/>
    <w:rsid w:val="004334BC"/>
    <w:rsid w:val="0043577D"/>
    <w:rsid w:val="00435851"/>
    <w:rsid w:val="00436689"/>
    <w:rsid w:val="00436B1D"/>
    <w:rsid w:val="004375AF"/>
    <w:rsid w:val="00445B0D"/>
    <w:rsid w:val="00445F8D"/>
    <w:rsid w:val="00454E55"/>
    <w:rsid w:val="00455891"/>
    <w:rsid w:val="0045651A"/>
    <w:rsid w:val="00466005"/>
    <w:rsid w:val="00467197"/>
    <w:rsid w:val="0047223B"/>
    <w:rsid w:val="00472A91"/>
    <w:rsid w:val="00477E8A"/>
    <w:rsid w:val="00481203"/>
    <w:rsid w:val="004926AF"/>
    <w:rsid w:val="00495588"/>
    <w:rsid w:val="004A250B"/>
    <w:rsid w:val="004A3C04"/>
    <w:rsid w:val="004B12CA"/>
    <w:rsid w:val="004B5956"/>
    <w:rsid w:val="004B68A6"/>
    <w:rsid w:val="004B7D71"/>
    <w:rsid w:val="004C18D9"/>
    <w:rsid w:val="004C7D2D"/>
    <w:rsid w:val="004D1101"/>
    <w:rsid w:val="004D63C5"/>
    <w:rsid w:val="004E0E31"/>
    <w:rsid w:val="004E116F"/>
    <w:rsid w:val="004F0B44"/>
    <w:rsid w:val="004F137F"/>
    <w:rsid w:val="004F3473"/>
    <w:rsid w:val="0051330B"/>
    <w:rsid w:val="00520234"/>
    <w:rsid w:val="00525DB7"/>
    <w:rsid w:val="005356E7"/>
    <w:rsid w:val="0054037F"/>
    <w:rsid w:val="00552768"/>
    <w:rsid w:val="00553F18"/>
    <w:rsid w:val="0055601D"/>
    <w:rsid w:val="005609EF"/>
    <w:rsid w:val="00562FF0"/>
    <w:rsid w:val="00571759"/>
    <w:rsid w:val="00575632"/>
    <w:rsid w:val="00575E30"/>
    <w:rsid w:val="00575E77"/>
    <w:rsid w:val="00576925"/>
    <w:rsid w:val="00577990"/>
    <w:rsid w:val="00582199"/>
    <w:rsid w:val="00591A15"/>
    <w:rsid w:val="00592119"/>
    <w:rsid w:val="005925E6"/>
    <w:rsid w:val="00593718"/>
    <w:rsid w:val="0059412D"/>
    <w:rsid w:val="005B5D82"/>
    <w:rsid w:val="005C0505"/>
    <w:rsid w:val="005C28FF"/>
    <w:rsid w:val="005C4711"/>
    <w:rsid w:val="005D0DC3"/>
    <w:rsid w:val="005D10A0"/>
    <w:rsid w:val="005D217E"/>
    <w:rsid w:val="005D433E"/>
    <w:rsid w:val="005D5E40"/>
    <w:rsid w:val="005E0978"/>
    <w:rsid w:val="005E24A1"/>
    <w:rsid w:val="005E3F29"/>
    <w:rsid w:val="005E55BD"/>
    <w:rsid w:val="005F0D47"/>
    <w:rsid w:val="006001E8"/>
    <w:rsid w:val="006048C4"/>
    <w:rsid w:val="00606E3B"/>
    <w:rsid w:val="00616E3B"/>
    <w:rsid w:val="006309AE"/>
    <w:rsid w:val="00631104"/>
    <w:rsid w:val="00634B10"/>
    <w:rsid w:val="0063524D"/>
    <w:rsid w:val="006438E9"/>
    <w:rsid w:val="00647666"/>
    <w:rsid w:val="00653B27"/>
    <w:rsid w:val="00654D22"/>
    <w:rsid w:val="0065533D"/>
    <w:rsid w:val="00660202"/>
    <w:rsid w:val="00663B6E"/>
    <w:rsid w:val="00664D53"/>
    <w:rsid w:val="00667027"/>
    <w:rsid w:val="00671170"/>
    <w:rsid w:val="0067397D"/>
    <w:rsid w:val="00681296"/>
    <w:rsid w:val="00686049"/>
    <w:rsid w:val="006A6FC1"/>
    <w:rsid w:val="006B23B4"/>
    <w:rsid w:val="006C3778"/>
    <w:rsid w:val="006D391E"/>
    <w:rsid w:val="006D3E27"/>
    <w:rsid w:val="006D4A78"/>
    <w:rsid w:val="006D64A5"/>
    <w:rsid w:val="006E021B"/>
    <w:rsid w:val="006E557F"/>
    <w:rsid w:val="006E59A1"/>
    <w:rsid w:val="006F42B6"/>
    <w:rsid w:val="006F4750"/>
    <w:rsid w:val="006F49ED"/>
    <w:rsid w:val="006F57C3"/>
    <w:rsid w:val="006F72EB"/>
    <w:rsid w:val="006F7AC2"/>
    <w:rsid w:val="00703FB2"/>
    <w:rsid w:val="00705138"/>
    <w:rsid w:val="00710784"/>
    <w:rsid w:val="00711436"/>
    <w:rsid w:val="007135A6"/>
    <w:rsid w:val="00717378"/>
    <w:rsid w:val="007221E5"/>
    <w:rsid w:val="0072286C"/>
    <w:rsid w:val="00726D1E"/>
    <w:rsid w:val="00736D1B"/>
    <w:rsid w:val="00742564"/>
    <w:rsid w:val="0075265E"/>
    <w:rsid w:val="00755E06"/>
    <w:rsid w:val="0075726E"/>
    <w:rsid w:val="00761D42"/>
    <w:rsid w:val="007632E9"/>
    <w:rsid w:val="00763C70"/>
    <w:rsid w:val="00773427"/>
    <w:rsid w:val="0078477A"/>
    <w:rsid w:val="00792CB7"/>
    <w:rsid w:val="00794024"/>
    <w:rsid w:val="00795238"/>
    <w:rsid w:val="007A121E"/>
    <w:rsid w:val="007A27CD"/>
    <w:rsid w:val="007A69A0"/>
    <w:rsid w:val="007A7121"/>
    <w:rsid w:val="007A7319"/>
    <w:rsid w:val="007A7ACF"/>
    <w:rsid w:val="007C47CE"/>
    <w:rsid w:val="007C4A0C"/>
    <w:rsid w:val="007D601A"/>
    <w:rsid w:val="007F2B65"/>
    <w:rsid w:val="007F3AA6"/>
    <w:rsid w:val="00804812"/>
    <w:rsid w:val="008107CD"/>
    <w:rsid w:val="00812C2C"/>
    <w:rsid w:val="008168A1"/>
    <w:rsid w:val="008243D5"/>
    <w:rsid w:val="00842FEC"/>
    <w:rsid w:val="008623DD"/>
    <w:rsid w:val="0087071E"/>
    <w:rsid w:val="00874696"/>
    <w:rsid w:val="008767D1"/>
    <w:rsid w:val="00877920"/>
    <w:rsid w:val="0088271D"/>
    <w:rsid w:val="008842CA"/>
    <w:rsid w:val="00884F22"/>
    <w:rsid w:val="00893DCD"/>
    <w:rsid w:val="008B049C"/>
    <w:rsid w:val="008B595C"/>
    <w:rsid w:val="008C09D2"/>
    <w:rsid w:val="008C72B2"/>
    <w:rsid w:val="008D40F6"/>
    <w:rsid w:val="008D4778"/>
    <w:rsid w:val="008D4B11"/>
    <w:rsid w:val="008E7B2E"/>
    <w:rsid w:val="009020E8"/>
    <w:rsid w:val="00902311"/>
    <w:rsid w:val="009168DA"/>
    <w:rsid w:val="0092293C"/>
    <w:rsid w:val="00936B81"/>
    <w:rsid w:val="00943A15"/>
    <w:rsid w:val="00944CFE"/>
    <w:rsid w:val="00951AB6"/>
    <w:rsid w:val="00953731"/>
    <w:rsid w:val="0095455C"/>
    <w:rsid w:val="009550E3"/>
    <w:rsid w:val="00956FBA"/>
    <w:rsid w:val="00963553"/>
    <w:rsid w:val="0096527B"/>
    <w:rsid w:val="0097075E"/>
    <w:rsid w:val="00972050"/>
    <w:rsid w:val="00985124"/>
    <w:rsid w:val="00985C16"/>
    <w:rsid w:val="00987248"/>
    <w:rsid w:val="009A6956"/>
    <w:rsid w:val="009B13B0"/>
    <w:rsid w:val="009C19A9"/>
    <w:rsid w:val="009C5A47"/>
    <w:rsid w:val="009D16EF"/>
    <w:rsid w:val="009D545A"/>
    <w:rsid w:val="009D78F7"/>
    <w:rsid w:val="009E3865"/>
    <w:rsid w:val="009E5CB4"/>
    <w:rsid w:val="009E725A"/>
    <w:rsid w:val="009E7DE7"/>
    <w:rsid w:val="009F2236"/>
    <w:rsid w:val="009F334A"/>
    <w:rsid w:val="00A05CFB"/>
    <w:rsid w:val="00A066BA"/>
    <w:rsid w:val="00A06E19"/>
    <w:rsid w:val="00A122E4"/>
    <w:rsid w:val="00A20651"/>
    <w:rsid w:val="00A2764D"/>
    <w:rsid w:val="00A3072C"/>
    <w:rsid w:val="00A31D1A"/>
    <w:rsid w:val="00A36B75"/>
    <w:rsid w:val="00A36DD0"/>
    <w:rsid w:val="00A37CF5"/>
    <w:rsid w:val="00A45C8D"/>
    <w:rsid w:val="00A50101"/>
    <w:rsid w:val="00A7042D"/>
    <w:rsid w:val="00A73A97"/>
    <w:rsid w:val="00A73BD5"/>
    <w:rsid w:val="00A75F73"/>
    <w:rsid w:val="00A81897"/>
    <w:rsid w:val="00A81964"/>
    <w:rsid w:val="00A8223B"/>
    <w:rsid w:val="00A86A16"/>
    <w:rsid w:val="00A86CE8"/>
    <w:rsid w:val="00A942AC"/>
    <w:rsid w:val="00AA332E"/>
    <w:rsid w:val="00AA3ED9"/>
    <w:rsid w:val="00AA48B9"/>
    <w:rsid w:val="00AA4D3F"/>
    <w:rsid w:val="00AA7F9C"/>
    <w:rsid w:val="00AB2CD5"/>
    <w:rsid w:val="00AB77CB"/>
    <w:rsid w:val="00AE13B8"/>
    <w:rsid w:val="00AE72FE"/>
    <w:rsid w:val="00AF7F5D"/>
    <w:rsid w:val="00B005F3"/>
    <w:rsid w:val="00B03758"/>
    <w:rsid w:val="00B060D8"/>
    <w:rsid w:val="00B06BD0"/>
    <w:rsid w:val="00B076E8"/>
    <w:rsid w:val="00B123AE"/>
    <w:rsid w:val="00B163F8"/>
    <w:rsid w:val="00B26224"/>
    <w:rsid w:val="00B32B49"/>
    <w:rsid w:val="00B341AD"/>
    <w:rsid w:val="00B36249"/>
    <w:rsid w:val="00B37BCD"/>
    <w:rsid w:val="00B4206A"/>
    <w:rsid w:val="00B42BA6"/>
    <w:rsid w:val="00B42E4D"/>
    <w:rsid w:val="00B541C6"/>
    <w:rsid w:val="00B57451"/>
    <w:rsid w:val="00B616F7"/>
    <w:rsid w:val="00B66556"/>
    <w:rsid w:val="00B7278F"/>
    <w:rsid w:val="00B827F2"/>
    <w:rsid w:val="00B8449F"/>
    <w:rsid w:val="00B94191"/>
    <w:rsid w:val="00B95B01"/>
    <w:rsid w:val="00BA1ADB"/>
    <w:rsid w:val="00BA554F"/>
    <w:rsid w:val="00BB0BF8"/>
    <w:rsid w:val="00BB114D"/>
    <w:rsid w:val="00BB4F45"/>
    <w:rsid w:val="00BC0841"/>
    <w:rsid w:val="00BC1304"/>
    <w:rsid w:val="00BC7654"/>
    <w:rsid w:val="00BE621E"/>
    <w:rsid w:val="00BE776D"/>
    <w:rsid w:val="00BF3073"/>
    <w:rsid w:val="00BF3C63"/>
    <w:rsid w:val="00C013B4"/>
    <w:rsid w:val="00C109BF"/>
    <w:rsid w:val="00C10A8F"/>
    <w:rsid w:val="00C15583"/>
    <w:rsid w:val="00C204E2"/>
    <w:rsid w:val="00C22C7A"/>
    <w:rsid w:val="00C2761A"/>
    <w:rsid w:val="00C322D1"/>
    <w:rsid w:val="00C438A8"/>
    <w:rsid w:val="00C445D5"/>
    <w:rsid w:val="00C52FCE"/>
    <w:rsid w:val="00C64FB6"/>
    <w:rsid w:val="00C65F9A"/>
    <w:rsid w:val="00C72651"/>
    <w:rsid w:val="00C72BCA"/>
    <w:rsid w:val="00C74023"/>
    <w:rsid w:val="00C75A02"/>
    <w:rsid w:val="00C871BC"/>
    <w:rsid w:val="00C9061C"/>
    <w:rsid w:val="00C90832"/>
    <w:rsid w:val="00C93142"/>
    <w:rsid w:val="00C9535B"/>
    <w:rsid w:val="00CB1C7C"/>
    <w:rsid w:val="00CB615A"/>
    <w:rsid w:val="00CD7FFA"/>
    <w:rsid w:val="00CE03C2"/>
    <w:rsid w:val="00CF3D58"/>
    <w:rsid w:val="00D0306E"/>
    <w:rsid w:val="00D03276"/>
    <w:rsid w:val="00D034F9"/>
    <w:rsid w:val="00D046AF"/>
    <w:rsid w:val="00D20823"/>
    <w:rsid w:val="00D2471E"/>
    <w:rsid w:val="00D24C5D"/>
    <w:rsid w:val="00D255F2"/>
    <w:rsid w:val="00D27926"/>
    <w:rsid w:val="00D324A9"/>
    <w:rsid w:val="00D364FD"/>
    <w:rsid w:val="00D41D98"/>
    <w:rsid w:val="00D45F25"/>
    <w:rsid w:val="00D629F9"/>
    <w:rsid w:val="00D64E45"/>
    <w:rsid w:val="00D6635D"/>
    <w:rsid w:val="00D6644B"/>
    <w:rsid w:val="00D7233F"/>
    <w:rsid w:val="00D738D8"/>
    <w:rsid w:val="00D821F8"/>
    <w:rsid w:val="00D83498"/>
    <w:rsid w:val="00D844AD"/>
    <w:rsid w:val="00D91EC4"/>
    <w:rsid w:val="00D9407E"/>
    <w:rsid w:val="00DA1E23"/>
    <w:rsid w:val="00DB0FBB"/>
    <w:rsid w:val="00DB3EC5"/>
    <w:rsid w:val="00DB5A83"/>
    <w:rsid w:val="00DB6D11"/>
    <w:rsid w:val="00DC6947"/>
    <w:rsid w:val="00DD57C2"/>
    <w:rsid w:val="00DD6C15"/>
    <w:rsid w:val="00DE2A09"/>
    <w:rsid w:val="00DE5181"/>
    <w:rsid w:val="00DF077C"/>
    <w:rsid w:val="00DF1DB3"/>
    <w:rsid w:val="00DF2264"/>
    <w:rsid w:val="00E0184D"/>
    <w:rsid w:val="00E056A5"/>
    <w:rsid w:val="00E062FB"/>
    <w:rsid w:val="00E06726"/>
    <w:rsid w:val="00E067D0"/>
    <w:rsid w:val="00E13839"/>
    <w:rsid w:val="00E1411E"/>
    <w:rsid w:val="00E15EF1"/>
    <w:rsid w:val="00E21D9C"/>
    <w:rsid w:val="00E27B9A"/>
    <w:rsid w:val="00E33715"/>
    <w:rsid w:val="00E34706"/>
    <w:rsid w:val="00E34B66"/>
    <w:rsid w:val="00E358CD"/>
    <w:rsid w:val="00E367CF"/>
    <w:rsid w:val="00E370C7"/>
    <w:rsid w:val="00E41BB2"/>
    <w:rsid w:val="00E50E9C"/>
    <w:rsid w:val="00E52431"/>
    <w:rsid w:val="00E533D9"/>
    <w:rsid w:val="00E54153"/>
    <w:rsid w:val="00E56932"/>
    <w:rsid w:val="00E605B1"/>
    <w:rsid w:val="00E70704"/>
    <w:rsid w:val="00E73A20"/>
    <w:rsid w:val="00E87DFF"/>
    <w:rsid w:val="00E904FC"/>
    <w:rsid w:val="00E91077"/>
    <w:rsid w:val="00E918C5"/>
    <w:rsid w:val="00E93231"/>
    <w:rsid w:val="00E964CC"/>
    <w:rsid w:val="00EA193B"/>
    <w:rsid w:val="00EA1B27"/>
    <w:rsid w:val="00EB3E1C"/>
    <w:rsid w:val="00EB6B2F"/>
    <w:rsid w:val="00EC230A"/>
    <w:rsid w:val="00ED1CCA"/>
    <w:rsid w:val="00ED40BD"/>
    <w:rsid w:val="00ED4DAF"/>
    <w:rsid w:val="00EE115F"/>
    <w:rsid w:val="00EE178E"/>
    <w:rsid w:val="00EE2523"/>
    <w:rsid w:val="00EE4E5A"/>
    <w:rsid w:val="00EF230C"/>
    <w:rsid w:val="00EF38E1"/>
    <w:rsid w:val="00EF55E8"/>
    <w:rsid w:val="00EF7E42"/>
    <w:rsid w:val="00F003DA"/>
    <w:rsid w:val="00F00617"/>
    <w:rsid w:val="00F014F5"/>
    <w:rsid w:val="00F01CA3"/>
    <w:rsid w:val="00F03AFD"/>
    <w:rsid w:val="00F10975"/>
    <w:rsid w:val="00F16FF2"/>
    <w:rsid w:val="00F215E2"/>
    <w:rsid w:val="00F25DE8"/>
    <w:rsid w:val="00F376E7"/>
    <w:rsid w:val="00F37EEB"/>
    <w:rsid w:val="00F4474D"/>
    <w:rsid w:val="00F463AB"/>
    <w:rsid w:val="00F503A5"/>
    <w:rsid w:val="00F6019E"/>
    <w:rsid w:val="00F6168B"/>
    <w:rsid w:val="00F6578D"/>
    <w:rsid w:val="00F7489A"/>
    <w:rsid w:val="00F776DA"/>
    <w:rsid w:val="00F777F6"/>
    <w:rsid w:val="00F91D37"/>
    <w:rsid w:val="00FA1930"/>
    <w:rsid w:val="00FA7918"/>
    <w:rsid w:val="00FB5AC6"/>
    <w:rsid w:val="00FB6C3A"/>
    <w:rsid w:val="00FC1591"/>
    <w:rsid w:val="00FC2538"/>
    <w:rsid w:val="00FC4A44"/>
    <w:rsid w:val="00FD370A"/>
    <w:rsid w:val="00FD4018"/>
    <w:rsid w:val="00FE5159"/>
    <w:rsid w:val="00FE5C0C"/>
    <w:rsid w:val="00FE771A"/>
    <w:rsid w:val="00FF318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693E89-60B8-4F28-B565-0E49EEC5B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5316"/>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31495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314953"/>
    <w:rPr>
      <w:rFonts w:ascii="Times New Roman" w:eastAsia="PMingLiU" w:hAnsi="Times New Roman" w:cs="Times New Roman"/>
      <w:sz w:val="24"/>
      <w:szCs w:val="24"/>
      <w:lang w:eastAsia="zh-TW"/>
    </w:rPr>
  </w:style>
  <w:style w:type="paragraph" w:styleId="Sinespaciado">
    <w:name w:val="No Spacing"/>
    <w:uiPriority w:val="1"/>
    <w:qFormat/>
    <w:rsid w:val="00314953"/>
    <w:pPr>
      <w:spacing w:after="0" w:line="240" w:lineRule="auto"/>
    </w:pPr>
  </w:style>
  <w:style w:type="paragraph" w:styleId="Textodeglobo">
    <w:name w:val="Balloon Text"/>
    <w:basedOn w:val="Normal"/>
    <w:link w:val="TextodegloboCar"/>
    <w:uiPriority w:val="99"/>
    <w:semiHidden/>
    <w:unhideWhenUsed/>
    <w:rsid w:val="00C9061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061C"/>
    <w:rPr>
      <w:rFonts w:ascii="Segoe UI" w:hAnsi="Segoe UI" w:cs="Segoe UI"/>
      <w:sz w:val="18"/>
      <w:szCs w:val="18"/>
    </w:rPr>
  </w:style>
  <w:style w:type="paragraph" w:styleId="Prrafodelista">
    <w:name w:val="List Paragraph"/>
    <w:basedOn w:val="Normal"/>
    <w:uiPriority w:val="34"/>
    <w:qFormat/>
    <w:rsid w:val="003C55D0"/>
    <w:pPr>
      <w:ind w:left="720"/>
      <w:contextualSpacing/>
    </w:pPr>
  </w:style>
  <w:style w:type="paragraph" w:styleId="Textonotapie">
    <w:name w:val="footnote text"/>
    <w:basedOn w:val="Normal"/>
    <w:link w:val="TextonotapieCar"/>
    <w:uiPriority w:val="99"/>
    <w:unhideWhenUsed/>
    <w:rsid w:val="0018549D"/>
    <w:pPr>
      <w:spacing w:after="0" w:line="240" w:lineRule="auto"/>
    </w:pPr>
    <w:rPr>
      <w:sz w:val="20"/>
      <w:szCs w:val="20"/>
    </w:rPr>
  </w:style>
  <w:style w:type="character" w:customStyle="1" w:styleId="TextonotapieCar">
    <w:name w:val="Texto nota pie Car"/>
    <w:basedOn w:val="Fuentedeprrafopredeter"/>
    <w:link w:val="Textonotapie"/>
    <w:uiPriority w:val="99"/>
    <w:rsid w:val="0018549D"/>
    <w:rPr>
      <w:sz w:val="20"/>
      <w:szCs w:val="20"/>
    </w:rPr>
  </w:style>
  <w:style w:type="character" w:styleId="Refdenotaalpie">
    <w:name w:val="footnote reference"/>
    <w:basedOn w:val="Fuentedeprrafopredeter"/>
    <w:uiPriority w:val="99"/>
    <w:semiHidden/>
    <w:unhideWhenUsed/>
    <w:rsid w:val="0018549D"/>
    <w:rPr>
      <w:vertAlign w:val="superscript"/>
    </w:rPr>
  </w:style>
  <w:style w:type="paragraph" w:styleId="Revisin">
    <w:name w:val="Revision"/>
    <w:hidden/>
    <w:uiPriority w:val="99"/>
    <w:semiHidden/>
    <w:rsid w:val="00016EC5"/>
    <w:pPr>
      <w:spacing w:after="0" w:line="240" w:lineRule="auto"/>
    </w:pPr>
  </w:style>
  <w:style w:type="character" w:styleId="Hipervnculo">
    <w:name w:val="Hyperlink"/>
    <w:basedOn w:val="Fuentedeprrafopredeter"/>
    <w:uiPriority w:val="99"/>
    <w:unhideWhenUsed/>
    <w:rsid w:val="00FA7918"/>
    <w:rPr>
      <w:color w:val="0000FF"/>
      <w:u w:val="single"/>
    </w:rPr>
  </w:style>
  <w:style w:type="character" w:customStyle="1" w:styleId="apple-converted-space">
    <w:name w:val="apple-converted-space"/>
    <w:basedOn w:val="Fuentedeprrafopredeter"/>
    <w:rsid w:val="00FA7918"/>
  </w:style>
  <w:style w:type="paragraph" w:customStyle="1" w:styleId="Textoindependiente21">
    <w:name w:val="Texto independiente 21"/>
    <w:basedOn w:val="Normal"/>
    <w:rsid w:val="003A705E"/>
    <w:pPr>
      <w:widowControl w:val="0"/>
      <w:spacing w:after="0" w:line="480" w:lineRule="auto"/>
      <w:ind w:right="51" w:firstLine="1134"/>
      <w:jc w:val="both"/>
    </w:pPr>
    <w:rPr>
      <w:rFonts w:ascii="Courier" w:eastAsia="Times New Roman" w:hAnsi="Courier" w:cs="Times New Roman"/>
      <w:sz w:val="24"/>
      <w:szCs w:val="20"/>
      <w:lang w:eastAsia="es-ES"/>
    </w:rPr>
  </w:style>
  <w:style w:type="paragraph" w:customStyle="1" w:styleId="Sangradetextonormal2">
    <w:name w:val="Sangría de texto normal2"/>
    <w:rsid w:val="00181B4B"/>
    <w:pPr>
      <w:widowControl w:val="0"/>
      <w:suppressAutoHyphens/>
      <w:spacing w:after="0" w:line="276" w:lineRule="auto"/>
      <w:ind w:firstLine="360"/>
    </w:pPr>
    <w:rPr>
      <w:rFonts w:ascii="Calibri" w:eastAsia="Arial Unicode MS" w:hAnsi="Calibri" w:cs="font280"/>
      <w:kern w:val="1"/>
      <w:lang w:val="es-MX" w:eastAsia="ar-SA"/>
    </w:rPr>
  </w:style>
  <w:style w:type="paragraph" w:customStyle="1" w:styleId="Textoindependienteprimerasangra21">
    <w:name w:val="Texto independiente primera sangría 21"/>
    <w:rsid w:val="00181B4B"/>
    <w:pPr>
      <w:widowControl w:val="0"/>
      <w:suppressAutoHyphens/>
      <w:spacing w:after="0" w:line="276" w:lineRule="auto"/>
      <w:ind w:left="360" w:firstLine="360"/>
    </w:pPr>
    <w:rPr>
      <w:rFonts w:ascii="Calibri" w:eastAsia="Arial Unicode MS" w:hAnsi="Calibri" w:cs="font242"/>
      <w:kern w:val="1"/>
      <w:lang w:val="es-MX" w:eastAsia="ar-SA"/>
    </w:rPr>
  </w:style>
  <w:style w:type="paragraph" w:customStyle="1" w:styleId="Textoindependiente231">
    <w:name w:val="Texto independiente 231"/>
    <w:basedOn w:val="Normal"/>
    <w:rsid w:val="00181B4B"/>
    <w:pPr>
      <w:widowControl w:val="0"/>
      <w:spacing w:after="0" w:line="240" w:lineRule="auto"/>
      <w:ind w:left="851"/>
      <w:jc w:val="both"/>
    </w:pPr>
    <w:rPr>
      <w:rFonts w:ascii="Courier" w:eastAsia="Times New Roman" w:hAnsi="Courier" w:cs="Times New Roman"/>
      <w:sz w:val="28"/>
      <w:szCs w:val="20"/>
      <w:lang w:val="es-ES_tradnl" w:eastAsia="es-ES"/>
    </w:rPr>
  </w:style>
  <w:style w:type="paragraph" w:styleId="Piedepgina">
    <w:name w:val="footer"/>
    <w:basedOn w:val="Normal"/>
    <w:link w:val="PiedepginaCar"/>
    <w:uiPriority w:val="99"/>
    <w:unhideWhenUsed/>
    <w:rsid w:val="00525DB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25DB7"/>
  </w:style>
  <w:style w:type="character" w:customStyle="1" w:styleId="red">
    <w:name w:val="red"/>
    <w:basedOn w:val="Fuentedeprrafopredeter"/>
    <w:rsid w:val="003F5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805A28-36E0-4D17-90AD-9E681494C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1932</Words>
  <Characters>10626</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4</cp:revision>
  <cp:lastPrinted>2020-02-14T21:59:00Z</cp:lastPrinted>
  <dcterms:created xsi:type="dcterms:W3CDTF">2020-09-22T20:48:00Z</dcterms:created>
  <dcterms:modified xsi:type="dcterms:W3CDTF">2020-09-24T16:18:00Z</dcterms:modified>
</cp:coreProperties>
</file>