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F22539" w14:textId="77777777" w:rsidR="00E15BB1" w:rsidRPr="00CB6405" w:rsidRDefault="00E15BB1" w:rsidP="00E15BB1">
      <w:pPr>
        <w:spacing w:line="240" w:lineRule="auto"/>
        <w:ind w:left="2124"/>
        <w:jc w:val="both"/>
        <w:rPr>
          <w:rFonts w:ascii="Arial" w:hAnsi="Arial" w:cs="Arial"/>
          <w:b/>
          <w:sz w:val="26"/>
          <w:szCs w:val="26"/>
        </w:rPr>
      </w:pPr>
      <w:bookmarkStart w:id="0" w:name="_Hlk30078419"/>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508AE02F" w14:textId="77777777" w:rsidR="00E15BB1" w:rsidRPr="00CB6405" w:rsidRDefault="00E15BB1" w:rsidP="00E15BB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Pr>
          <w:rFonts w:ascii="Arial" w:hAnsi="Arial" w:cs="Arial"/>
          <w:b/>
          <w:sz w:val="26"/>
          <w:szCs w:val="26"/>
        </w:rPr>
        <w:t>0184/2019.</w:t>
      </w:r>
    </w:p>
    <w:p w14:paraId="7AC75B2A" w14:textId="77777777" w:rsidR="00E15BB1" w:rsidRPr="00CB6405" w:rsidRDefault="00E15BB1" w:rsidP="00E15BB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0081/2018</w:t>
      </w:r>
      <w:r w:rsidRPr="00CB6405">
        <w:rPr>
          <w:rFonts w:ascii="Arial" w:hAnsi="Arial" w:cs="Arial"/>
          <w:b/>
          <w:sz w:val="26"/>
          <w:szCs w:val="26"/>
        </w:rPr>
        <w:t xml:space="preserve"> </w:t>
      </w:r>
      <w:r>
        <w:rPr>
          <w:rFonts w:ascii="Arial" w:hAnsi="Arial" w:cs="Arial"/>
          <w:b/>
          <w:sz w:val="26"/>
          <w:szCs w:val="26"/>
        </w:rPr>
        <w:t xml:space="preserve">SEGUNDA </w:t>
      </w:r>
      <w:r w:rsidRPr="00CB6405">
        <w:rPr>
          <w:rFonts w:ascii="Arial" w:hAnsi="Arial" w:cs="Arial"/>
          <w:b/>
          <w:sz w:val="26"/>
          <w:szCs w:val="26"/>
        </w:rPr>
        <w:t>SALA UNITARIA DE PRIMERA INSTANCIA</w:t>
      </w:r>
      <w:r>
        <w:rPr>
          <w:rFonts w:ascii="Arial" w:hAnsi="Arial" w:cs="Arial"/>
          <w:b/>
          <w:sz w:val="26"/>
          <w:szCs w:val="26"/>
        </w:rPr>
        <w:t>.</w:t>
      </w:r>
    </w:p>
    <w:p w14:paraId="4D015045" w14:textId="77777777" w:rsidR="00E15BB1" w:rsidRDefault="00E15BB1" w:rsidP="00E15BB1">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46714434" w14:textId="77777777" w:rsidR="00E15BB1" w:rsidRPr="00CB6405" w:rsidRDefault="00E15BB1" w:rsidP="00E15BB1">
      <w:pPr>
        <w:spacing w:line="240" w:lineRule="auto"/>
        <w:ind w:left="2124"/>
        <w:jc w:val="both"/>
        <w:rPr>
          <w:rFonts w:ascii="Arial" w:hAnsi="Arial" w:cs="Arial"/>
          <w:b/>
          <w:sz w:val="26"/>
          <w:szCs w:val="26"/>
        </w:rPr>
      </w:pPr>
    </w:p>
    <w:p w14:paraId="02525044" w14:textId="77777777" w:rsidR="00E15BB1" w:rsidRDefault="00E15BB1" w:rsidP="00E15BB1">
      <w:pPr>
        <w:spacing w:before="240" w:line="360" w:lineRule="auto"/>
        <w:jc w:val="both"/>
        <w:rPr>
          <w:rFonts w:ascii="Arial" w:hAnsi="Arial" w:cs="Arial"/>
          <w:b/>
          <w:sz w:val="26"/>
          <w:szCs w:val="26"/>
        </w:rPr>
      </w:pPr>
      <w:r>
        <w:rPr>
          <w:rFonts w:ascii="Arial" w:hAnsi="Arial" w:cs="Arial"/>
          <w:b/>
          <w:sz w:val="26"/>
          <w:szCs w:val="26"/>
        </w:rPr>
        <w:t xml:space="preserve">OAXACA DE JUÁREZ, OAXACA, A VEINTISIETE DE FEBRERO DE DOS MIL VEINTE. </w:t>
      </w:r>
    </w:p>
    <w:p w14:paraId="2ADDFE39" w14:textId="7B2DC272" w:rsidR="00E15BB1" w:rsidRDefault="00E15BB1" w:rsidP="00CD78E1">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CB6405">
        <w:rPr>
          <w:rFonts w:ascii="Arial" w:hAnsi="Arial" w:cs="Arial"/>
          <w:sz w:val="26"/>
          <w:szCs w:val="26"/>
        </w:rPr>
        <w:t xml:space="preserve">evisión </w:t>
      </w:r>
      <w:r w:rsidRPr="00403348">
        <w:rPr>
          <w:rFonts w:ascii="Arial" w:hAnsi="Arial" w:cs="Arial"/>
          <w:b/>
          <w:sz w:val="26"/>
          <w:szCs w:val="26"/>
        </w:rPr>
        <w:t>0</w:t>
      </w:r>
      <w:r>
        <w:rPr>
          <w:rFonts w:ascii="Arial" w:hAnsi="Arial" w:cs="Arial"/>
          <w:b/>
          <w:sz w:val="26"/>
          <w:szCs w:val="26"/>
        </w:rPr>
        <w:t>184/</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la Secretaría General de Acuerdos, con motivo del recurso de revisión interpuesto por</w:t>
      </w:r>
      <w:r>
        <w:rPr>
          <w:rFonts w:ascii="Arial" w:hAnsi="Arial" w:cs="Arial"/>
          <w:b/>
          <w:bCs/>
          <w:sz w:val="26"/>
          <w:szCs w:val="26"/>
        </w:rPr>
        <w:t xml:space="preserve"> </w:t>
      </w:r>
      <w:r w:rsidR="00026FD6">
        <w:rPr>
          <w:rFonts w:ascii="Arial" w:hAnsi="Arial" w:cs="Arial"/>
          <w:b/>
          <w:bCs/>
          <w:sz w:val="26"/>
          <w:szCs w:val="26"/>
        </w:rPr>
        <w:t>**********</w:t>
      </w:r>
      <w:r w:rsidRPr="001213C8">
        <w:rPr>
          <w:rFonts w:ascii="Arial" w:hAnsi="Arial" w:cs="Arial"/>
          <w:b/>
          <w:sz w:val="26"/>
          <w:szCs w:val="26"/>
        </w:rPr>
        <w:t>,</w:t>
      </w:r>
      <w:r w:rsidRPr="00CB6405">
        <w:rPr>
          <w:rFonts w:ascii="Arial" w:hAnsi="Arial" w:cs="Arial"/>
          <w:sz w:val="26"/>
          <w:szCs w:val="26"/>
        </w:rPr>
        <w:t xml:space="preserve"> en contra </w:t>
      </w:r>
      <w:r>
        <w:rPr>
          <w:rFonts w:ascii="Arial" w:hAnsi="Arial" w:cs="Arial"/>
          <w:sz w:val="26"/>
          <w:szCs w:val="26"/>
        </w:rPr>
        <w:t>de la sentencia de fecha veintidós de abril de dos mil diecinueve, dictada</w:t>
      </w:r>
      <w:r w:rsidRPr="00CB6405">
        <w:rPr>
          <w:rFonts w:ascii="Arial" w:hAnsi="Arial" w:cs="Arial"/>
          <w:sz w:val="26"/>
          <w:szCs w:val="26"/>
        </w:rPr>
        <w:t xml:space="preserve"> en el expediente </w:t>
      </w:r>
      <w:r w:rsidRPr="009A270A">
        <w:rPr>
          <w:rFonts w:ascii="Arial" w:hAnsi="Arial" w:cs="Arial"/>
          <w:b/>
          <w:sz w:val="26"/>
          <w:szCs w:val="26"/>
        </w:rPr>
        <w:t>0</w:t>
      </w:r>
      <w:r>
        <w:rPr>
          <w:rFonts w:ascii="Arial" w:hAnsi="Arial" w:cs="Arial"/>
          <w:b/>
          <w:sz w:val="26"/>
          <w:szCs w:val="26"/>
        </w:rPr>
        <w:t>081/201</w:t>
      </w:r>
      <w:r w:rsidR="00CD78E1">
        <w:rPr>
          <w:rFonts w:ascii="Arial" w:hAnsi="Arial" w:cs="Arial"/>
          <w:b/>
          <w:sz w:val="26"/>
          <w:szCs w:val="26"/>
        </w:rPr>
        <w:t>8</w:t>
      </w:r>
      <w:r w:rsidRPr="00CB6405">
        <w:rPr>
          <w:rFonts w:ascii="Arial" w:hAnsi="Arial" w:cs="Arial"/>
          <w:b/>
          <w:sz w:val="26"/>
          <w:szCs w:val="26"/>
        </w:rPr>
        <w:t xml:space="preserve"> </w:t>
      </w:r>
      <w:r w:rsidRPr="00CB6405">
        <w:rPr>
          <w:rFonts w:ascii="Arial" w:hAnsi="Arial" w:cs="Arial"/>
          <w:sz w:val="26"/>
          <w:szCs w:val="26"/>
        </w:rPr>
        <w:t>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Segunda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00026FD6" w:rsidRPr="00026FD6">
        <w:rPr>
          <w:rFonts w:ascii="Arial" w:hAnsi="Arial" w:cs="Arial"/>
          <w:b/>
          <w:bCs/>
          <w:sz w:val="26"/>
          <w:szCs w:val="26"/>
        </w:rPr>
        <w:t>**********</w:t>
      </w:r>
      <w:r w:rsidRPr="00026FD6">
        <w:rPr>
          <w:rFonts w:ascii="Arial" w:hAnsi="Arial" w:cs="Arial"/>
          <w:b/>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sz w:val="26"/>
          <w:szCs w:val="26"/>
        </w:rPr>
        <w:t xml:space="preserve"> </w:t>
      </w:r>
      <w:r w:rsidRPr="00F40105">
        <w:rPr>
          <w:rFonts w:ascii="Arial" w:hAnsi="Arial" w:cs="Arial"/>
          <w:b/>
          <w:sz w:val="26"/>
          <w:szCs w:val="26"/>
        </w:rPr>
        <w:t>POLICÍA VIAL PASCUAL LÓPEZ RUIZ, CON NÚMERO ESTADÍSTICO PV-199 DE LA COMISARÍA DE VIALIDAD DEL MUNICIPIO DE OAXACA DE JUÁREZ, OAXACA;</w:t>
      </w:r>
      <w:r w:rsidRPr="00CB6405">
        <w:rPr>
          <w:rFonts w:ascii="Arial" w:hAnsi="Arial" w:cs="Arial"/>
          <w:b/>
          <w:sz w:val="26"/>
          <w:szCs w:val="26"/>
        </w:rPr>
        <w:t xml:space="preserve"> </w:t>
      </w:r>
      <w:r>
        <w:rPr>
          <w:rFonts w:ascii="Arial" w:hAnsi="Arial" w:cs="Arial"/>
          <w:sz w:val="26"/>
          <w:szCs w:val="26"/>
        </w:rPr>
        <w:t>por lo que, con fundamento en los artículos 236 y 237 de la Ley de Procedimiento y Justicia Administrativa para el Estado de Oaxaca vigente, se admite. Por consiguiente, se procede a dictar resolución en los siguientes términos:</w:t>
      </w:r>
    </w:p>
    <w:p w14:paraId="216E890F" w14:textId="77777777" w:rsidR="00E15BB1" w:rsidRPr="00CB6405" w:rsidRDefault="00E15BB1" w:rsidP="00E15BB1">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88CBF58" w14:textId="27662898" w:rsidR="00E15BB1" w:rsidRPr="00CB6405" w:rsidRDefault="00E15BB1" w:rsidP="00E15BB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Pr>
          <w:rFonts w:ascii="Arial" w:hAnsi="Arial" w:cs="Arial"/>
          <w:sz w:val="26"/>
          <w:szCs w:val="26"/>
        </w:rPr>
        <w:t>Inconforme con la sentencia de fecha veintidós de abril de dos mil diecinueve,</w:t>
      </w:r>
      <w:r w:rsidRPr="00CB6405">
        <w:rPr>
          <w:rFonts w:ascii="Arial" w:hAnsi="Arial" w:cs="Arial"/>
          <w:sz w:val="26"/>
          <w:szCs w:val="26"/>
        </w:rPr>
        <w:t xml:space="preserve">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Segunda </w:t>
      </w:r>
      <w:r w:rsidRPr="00CB6405">
        <w:rPr>
          <w:rFonts w:ascii="Arial" w:hAnsi="Arial" w:cs="Arial"/>
          <w:sz w:val="26"/>
          <w:szCs w:val="26"/>
        </w:rPr>
        <w:t xml:space="preserve">Sala Unitaria de Primera Instancia, </w:t>
      </w:r>
      <w:r>
        <w:rPr>
          <w:rFonts w:ascii="Arial" w:hAnsi="Arial" w:cs="Arial"/>
          <w:sz w:val="26"/>
          <w:szCs w:val="26"/>
        </w:rPr>
        <w:t>el ciudadano</w:t>
      </w:r>
      <w:r w:rsidRPr="00F40105">
        <w:rPr>
          <w:rFonts w:ascii="Arial" w:hAnsi="Arial" w:cs="Arial"/>
          <w:b/>
          <w:bCs/>
          <w:sz w:val="26"/>
          <w:szCs w:val="26"/>
        </w:rPr>
        <w:t xml:space="preserve"> </w:t>
      </w:r>
      <w:r w:rsidR="00026FD6">
        <w:rPr>
          <w:rFonts w:ascii="Arial" w:hAnsi="Arial" w:cs="Arial"/>
          <w:b/>
          <w:bCs/>
          <w:sz w:val="26"/>
          <w:szCs w:val="26"/>
        </w:rPr>
        <w:t>**********</w:t>
      </w:r>
      <w:r>
        <w:rPr>
          <w:rFonts w:ascii="Arial" w:hAnsi="Arial" w:cs="Arial"/>
          <w:b/>
          <w:sz w:val="26"/>
          <w:szCs w:val="26"/>
        </w:rPr>
        <w:t>,</w:t>
      </w:r>
      <w:r w:rsidRPr="00CB6405">
        <w:rPr>
          <w:rFonts w:ascii="Arial" w:hAnsi="Arial" w:cs="Arial"/>
          <w:sz w:val="26"/>
          <w:szCs w:val="26"/>
        </w:rPr>
        <w:t xml:space="preserve"> interpuso en su contra recurso de revisión.</w:t>
      </w:r>
    </w:p>
    <w:p w14:paraId="3A9563F8" w14:textId="77777777" w:rsidR="00E15BB1" w:rsidRDefault="00E15BB1" w:rsidP="00E15BB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Los puntos resolutivos de la sentencia recurrida son los siguientes:</w:t>
      </w:r>
    </w:p>
    <w:p w14:paraId="1028E222" w14:textId="77777777" w:rsidR="00E15BB1" w:rsidRPr="00AE0C3E" w:rsidRDefault="00E15BB1" w:rsidP="00E15BB1">
      <w:pPr>
        <w:spacing w:after="0" w:line="360" w:lineRule="auto"/>
        <w:ind w:left="709" w:right="616" w:hanging="1"/>
        <w:jc w:val="both"/>
        <w:rPr>
          <w:rFonts w:ascii="Arial" w:hAnsi="Arial" w:cs="Arial"/>
          <w:bCs/>
          <w:i/>
        </w:rPr>
      </w:pPr>
      <w:r w:rsidRPr="00AE0C3E">
        <w:rPr>
          <w:rFonts w:ascii="Arial" w:hAnsi="Arial" w:cs="Arial"/>
          <w:b/>
          <w:bCs/>
          <w:i/>
        </w:rPr>
        <w:t xml:space="preserve">“PRIMERO.- </w:t>
      </w:r>
      <w:r w:rsidRPr="00AE0C3E">
        <w:rPr>
          <w:rFonts w:ascii="Arial" w:hAnsi="Arial" w:cs="Arial"/>
          <w:bCs/>
          <w:i/>
        </w:rPr>
        <w:t>Esta Sala Unitaria de Primera Instancia es competente para conocer y resolver de la presente causa, por las razones dadas en el considerando primero de este fallo.</w:t>
      </w:r>
    </w:p>
    <w:p w14:paraId="0B77FF4E" w14:textId="77777777" w:rsidR="00E15BB1" w:rsidRPr="00AE0C3E" w:rsidRDefault="00E15BB1" w:rsidP="00E15BB1">
      <w:pPr>
        <w:spacing w:after="0" w:line="360" w:lineRule="auto"/>
        <w:ind w:left="709" w:right="616" w:hanging="1"/>
        <w:jc w:val="both"/>
        <w:rPr>
          <w:rFonts w:ascii="Arial" w:hAnsi="Arial" w:cs="Arial"/>
          <w:bCs/>
          <w:i/>
        </w:rPr>
      </w:pPr>
      <w:r w:rsidRPr="00AE0C3E">
        <w:rPr>
          <w:rFonts w:ascii="Arial" w:hAnsi="Arial" w:cs="Arial"/>
          <w:b/>
          <w:bCs/>
          <w:i/>
        </w:rPr>
        <w:t>SEGUNDO.-</w:t>
      </w:r>
      <w:r w:rsidRPr="00AE0C3E">
        <w:rPr>
          <w:rFonts w:ascii="Arial" w:hAnsi="Arial" w:cs="Arial"/>
          <w:bCs/>
          <w:i/>
        </w:rPr>
        <w:t xml:space="preserve"> La personalidad de las partes quedó acreditada en autos.</w:t>
      </w:r>
    </w:p>
    <w:p w14:paraId="158A1BB8" w14:textId="5760B698" w:rsidR="00E15BB1" w:rsidRPr="00026FD6" w:rsidRDefault="00E15BB1" w:rsidP="00026FD6">
      <w:pPr>
        <w:spacing w:after="0" w:line="360" w:lineRule="auto"/>
        <w:ind w:left="709" w:right="616" w:hanging="1"/>
        <w:jc w:val="both"/>
        <w:rPr>
          <w:rFonts w:ascii="Arial" w:hAnsi="Arial" w:cs="Arial"/>
          <w:b/>
          <w:bCs/>
          <w:i/>
        </w:rPr>
      </w:pPr>
      <w:r w:rsidRPr="00AE0C3E">
        <w:rPr>
          <w:rFonts w:ascii="Arial" w:hAnsi="Arial" w:cs="Arial"/>
          <w:b/>
          <w:bCs/>
          <w:i/>
        </w:rPr>
        <w:t>TERCERO.-</w:t>
      </w:r>
      <w:r w:rsidRPr="00AE0C3E">
        <w:rPr>
          <w:rFonts w:ascii="Arial" w:hAnsi="Arial" w:cs="Arial"/>
          <w:bCs/>
          <w:i/>
        </w:rPr>
        <w:t xml:space="preserve"> Se reconoce la </w:t>
      </w:r>
      <w:r w:rsidRPr="00AE0C3E">
        <w:rPr>
          <w:rFonts w:ascii="Arial" w:hAnsi="Arial" w:cs="Arial"/>
          <w:b/>
          <w:bCs/>
          <w:i/>
        </w:rPr>
        <w:t>LEGALIDAD y VALIDEZ</w:t>
      </w:r>
      <w:r w:rsidRPr="00AE0C3E">
        <w:rPr>
          <w:rFonts w:ascii="Arial" w:hAnsi="Arial" w:cs="Arial"/>
          <w:bCs/>
          <w:i/>
        </w:rPr>
        <w:t xml:space="preserve"> del acta de infracción de folio </w:t>
      </w:r>
      <w:r w:rsidR="00026FD6" w:rsidRPr="00026FD6">
        <w:rPr>
          <w:rFonts w:ascii="Arial" w:hAnsi="Arial" w:cs="Arial"/>
          <w:b/>
          <w:bCs/>
          <w:i/>
        </w:rPr>
        <w:t>**********</w:t>
      </w:r>
      <w:r w:rsidRPr="00026FD6">
        <w:rPr>
          <w:rFonts w:ascii="Arial" w:hAnsi="Arial" w:cs="Arial"/>
          <w:b/>
          <w:bCs/>
          <w:i/>
        </w:rPr>
        <w:t>,</w:t>
      </w:r>
      <w:r w:rsidRPr="00AE0C3E">
        <w:rPr>
          <w:rFonts w:ascii="Arial" w:hAnsi="Arial" w:cs="Arial"/>
          <w:bCs/>
          <w:i/>
        </w:rPr>
        <w:t xml:space="preserve"> de diecinueve de septiembre de dos mil dieciocho, elaborada por el Policía Vial </w:t>
      </w:r>
      <w:r w:rsidR="00026FD6">
        <w:rPr>
          <w:rFonts w:ascii="Arial" w:hAnsi="Arial" w:cs="Arial"/>
          <w:b/>
          <w:bCs/>
          <w:i/>
        </w:rPr>
        <w:t>**********</w:t>
      </w:r>
      <w:r w:rsidRPr="00AE0C3E">
        <w:rPr>
          <w:rFonts w:ascii="Arial" w:hAnsi="Arial" w:cs="Arial"/>
          <w:b/>
          <w:bCs/>
          <w:i/>
        </w:rPr>
        <w:t>,</w:t>
      </w:r>
      <w:r w:rsidRPr="00AE0C3E">
        <w:rPr>
          <w:rFonts w:ascii="Arial" w:hAnsi="Arial" w:cs="Arial"/>
          <w:bCs/>
          <w:i/>
        </w:rPr>
        <w:t xml:space="preserve"> con número estadístico </w:t>
      </w:r>
      <w:r w:rsidR="00026FD6">
        <w:rPr>
          <w:rFonts w:ascii="Arial" w:hAnsi="Arial" w:cs="Arial"/>
          <w:b/>
          <w:bCs/>
          <w:i/>
        </w:rPr>
        <w:t>**********</w:t>
      </w:r>
      <w:r w:rsidRPr="00AE0C3E">
        <w:rPr>
          <w:rFonts w:ascii="Arial" w:hAnsi="Arial" w:cs="Arial"/>
          <w:bCs/>
          <w:i/>
        </w:rPr>
        <w:t xml:space="preserve"> de la Comisaría de Vialidad del Municipio de Oaxaca de Juárez, Oaxaca; en consecuencia, no ha lugar a la </w:t>
      </w:r>
      <w:r w:rsidRPr="00AE0C3E">
        <w:rPr>
          <w:rFonts w:ascii="Arial" w:hAnsi="Arial" w:cs="Arial"/>
          <w:bCs/>
          <w:i/>
        </w:rPr>
        <w:lastRenderedPageBreak/>
        <w:t>devolución de la licencia de conducir ni la cancelación del acta de infracción.</w:t>
      </w:r>
    </w:p>
    <w:p w14:paraId="6E562726" w14:textId="77777777" w:rsidR="00E15BB1" w:rsidRPr="00AE0C3E" w:rsidRDefault="00E15BB1" w:rsidP="00E15BB1">
      <w:pPr>
        <w:spacing w:after="0" w:line="360" w:lineRule="auto"/>
        <w:ind w:left="709" w:right="616" w:hanging="1"/>
        <w:jc w:val="both"/>
        <w:rPr>
          <w:rFonts w:ascii="Arial" w:hAnsi="Arial" w:cs="Arial"/>
          <w:b/>
          <w:bCs/>
          <w:i/>
        </w:rPr>
      </w:pPr>
      <w:r w:rsidRPr="00AE0C3E">
        <w:rPr>
          <w:rFonts w:ascii="Arial" w:hAnsi="Arial" w:cs="Arial"/>
          <w:b/>
          <w:bCs/>
          <w:i/>
        </w:rPr>
        <w:t xml:space="preserve">CUARTO.- NOTIFÍQUESE </w:t>
      </w:r>
      <w:r w:rsidRPr="00AE0C3E">
        <w:rPr>
          <w:rFonts w:ascii="Arial" w:hAnsi="Arial" w:cs="Arial"/>
          <w:bCs/>
          <w:i/>
        </w:rPr>
        <w:t xml:space="preserve">personalmente al actor y por oficio a la Autoridad demandada. </w:t>
      </w:r>
      <w:r w:rsidRPr="00AE0C3E">
        <w:rPr>
          <w:rFonts w:ascii="Arial" w:hAnsi="Arial" w:cs="Arial"/>
          <w:b/>
          <w:bCs/>
          <w:i/>
        </w:rPr>
        <w:t>CÚMPLASE.”</w:t>
      </w:r>
    </w:p>
    <w:p w14:paraId="7A28DDAE" w14:textId="77777777" w:rsidR="00E15BB1" w:rsidRPr="00CB6405" w:rsidRDefault="00E15BB1" w:rsidP="00E15BB1">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CCD463D" w14:textId="77777777" w:rsidR="00E15BB1" w:rsidRDefault="00E15BB1" w:rsidP="00E15BB1">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artículos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artículos</w:t>
      </w:r>
      <w:r w:rsidRPr="00403CFB">
        <w:rPr>
          <w:rFonts w:ascii="Arial" w:hAnsi="Arial" w:cs="Arial"/>
          <w:bCs/>
          <w:iCs/>
          <w:sz w:val="26"/>
          <w:szCs w:val="26"/>
          <w:lang w:eastAsia="es-ES"/>
        </w:rPr>
        <w:t xml:space="preserve"> 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w:t>
      </w:r>
      <w:r w:rsidRPr="00535FF3">
        <w:rPr>
          <w:rFonts w:ascii="Arial" w:hAnsi="Arial" w:cs="Arial"/>
          <w:sz w:val="26"/>
          <w:szCs w:val="26"/>
        </w:rPr>
        <w:t xml:space="preserve"> </w:t>
      </w:r>
      <w:r>
        <w:rPr>
          <w:rFonts w:ascii="Arial" w:hAnsi="Arial" w:cs="Arial"/>
          <w:sz w:val="26"/>
          <w:szCs w:val="26"/>
        </w:rPr>
        <w:t>de la sentencia de fecha veintidós de abril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Segunda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en el juicio de nulidad </w:t>
      </w:r>
      <w:r>
        <w:rPr>
          <w:rFonts w:ascii="Arial" w:hAnsi="Arial" w:cs="Arial"/>
          <w:b/>
          <w:sz w:val="26"/>
          <w:szCs w:val="26"/>
        </w:rPr>
        <w:t>0081/2018</w:t>
      </w:r>
      <w:r w:rsidRPr="00DD4D5B">
        <w:rPr>
          <w:rFonts w:ascii="Arial" w:hAnsi="Arial" w:cs="Arial"/>
          <w:b/>
          <w:bCs/>
          <w:iCs/>
          <w:sz w:val="26"/>
          <w:szCs w:val="26"/>
        </w:rPr>
        <w:t>.</w:t>
      </w:r>
    </w:p>
    <w:p w14:paraId="3A0C4689" w14:textId="77777777" w:rsidR="00E15BB1" w:rsidRDefault="00E15BB1" w:rsidP="00E15BB1">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14:paraId="03FACE57" w14:textId="77777777" w:rsidR="00E15BB1" w:rsidRDefault="00E15BB1" w:rsidP="00E15BB1">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r>
        <w:rPr>
          <w:rFonts w:ascii="Arial" w:hAnsi="Arial" w:cs="Arial"/>
          <w:bCs/>
          <w:color w:val="000000"/>
          <w:sz w:val="26"/>
          <w:szCs w:val="26"/>
          <w:lang w:val="es-MX"/>
        </w:rPr>
        <w:t>esis emitida por los Tribunales Colegiados de Circuito, con número de registro 254280, publicada en la Gaceta del Semanario Judicial de la Federación, Volumen 81, Sexta Parte, Séptima Época, pagina 23, bajo el rubro y texto siguiente:</w:t>
      </w:r>
    </w:p>
    <w:p w14:paraId="47CA878B" w14:textId="77777777" w:rsidR="00E15BB1" w:rsidRPr="00AE0C3E" w:rsidRDefault="00E15BB1" w:rsidP="00E15BB1">
      <w:pPr>
        <w:widowControl w:val="0"/>
        <w:tabs>
          <w:tab w:val="left" w:pos="7938"/>
        </w:tabs>
        <w:spacing w:after="0" w:line="360" w:lineRule="auto"/>
        <w:ind w:right="18" w:firstLine="709"/>
        <w:jc w:val="both"/>
        <w:rPr>
          <w:rFonts w:ascii="Arial" w:hAnsi="Arial" w:cs="Arial"/>
        </w:rPr>
      </w:pPr>
    </w:p>
    <w:p w14:paraId="3FBEB238" w14:textId="77777777" w:rsidR="00E15BB1" w:rsidRPr="00AE0C3E" w:rsidRDefault="00E15BB1" w:rsidP="00E15BB1">
      <w:pPr>
        <w:ind w:left="567" w:right="616"/>
        <w:jc w:val="both"/>
        <w:rPr>
          <w:rFonts w:ascii="Arial" w:eastAsia="Times New Roman" w:hAnsi="Arial" w:cs="Arial"/>
          <w:lang w:val="es-MX" w:eastAsia="es-MX"/>
        </w:rPr>
      </w:pPr>
      <w:r w:rsidRPr="00AE0C3E">
        <w:rPr>
          <w:rFonts w:ascii="Arial" w:eastAsia="Times New Roman" w:hAnsi="Arial" w:cs="Arial"/>
          <w:b/>
          <w:bCs/>
          <w:lang w:val="es-MX" w:eastAsia="es-MX"/>
        </w:rPr>
        <w:t>“</w:t>
      </w:r>
      <w:r w:rsidRPr="00AE0C3E">
        <w:rPr>
          <w:rFonts w:ascii="Arial" w:eastAsia="Times New Roman" w:hAnsi="Arial" w:cs="Arial"/>
          <w:b/>
          <w:i/>
          <w:lang w:val="es-MX" w:eastAsia="es-MX"/>
        </w:rPr>
        <w:t xml:space="preserve">CONCEPTOS DE VIOLACIÓN. NO ES OBLIGATORIO TRANSCRIBIRLOS EN LA SENTENCIA. </w:t>
      </w:r>
      <w:r w:rsidRPr="00AE0C3E">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AE0C3E">
        <w:rPr>
          <w:rFonts w:ascii="Arial" w:eastAsia="Times New Roman" w:hAnsi="Arial" w:cs="Arial"/>
          <w:bCs/>
          <w:i/>
          <w:bdr w:val="none" w:sz="0" w:space="0" w:color="auto" w:frame="1"/>
          <w:lang w:val="es-MX" w:eastAsia="es-MX"/>
        </w:rPr>
        <w:t>es</w:t>
      </w:r>
      <w:r w:rsidRPr="00AE0C3E">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AE0C3E">
        <w:rPr>
          <w:rFonts w:ascii="Arial" w:eastAsia="Times New Roman" w:hAnsi="Arial" w:cs="Arial"/>
          <w:lang w:val="es-MX" w:eastAsia="es-MX"/>
        </w:rPr>
        <w:t>(sic).”</w:t>
      </w:r>
    </w:p>
    <w:p w14:paraId="11C7D634" w14:textId="77777777" w:rsidR="00E15BB1" w:rsidRDefault="00E15BB1" w:rsidP="00E15BB1">
      <w:pPr>
        <w:spacing w:line="360" w:lineRule="auto"/>
        <w:ind w:firstLine="567"/>
        <w:jc w:val="both"/>
        <w:rPr>
          <w:rFonts w:ascii="Arial" w:hAnsi="Arial" w:cs="Arial"/>
          <w:sz w:val="26"/>
          <w:szCs w:val="26"/>
          <w:lang w:val="es-MX"/>
        </w:rPr>
      </w:pPr>
      <w:r w:rsidRPr="00702E8A">
        <w:rPr>
          <w:rFonts w:ascii="Arial" w:hAnsi="Arial" w:cs="Arial"/>
          <w:b/>
          <w:sz w:val="26"/>
          <w:szCs w:val="26"/>
          <w:lang w:val="es-MX"/>
        </w:rPr>
        <w:t xml:space="preserve">TERCERO.- </w:t>
      </w:r>
      <w:r w:rsidRPr="00702E8A">
        <w:rPr>
          <w:rFonts w:ascii="Arial" w:hAnsi="Arial" w:cs="Arial"/>
          <w:sz w:val="26"/>
          <w:szCs w:val="26"/>
          <w:lang w:val="es-MX"/>
        </w:rPr>
        <w:t>El recurrente argumenta</w:t>
      </w:r>
      <w:r>
        <w:rPr>
          <w:rFonts w:ascii="Arial" w:hAnsi="Arial" w:cs="Arial"/>
          <w:sz w:val="26"/>
          <w:szCs w:val="26"/>
          <w:lang w:val="es-MX"/>
        </w:rPr>
        <w:t xml:space="preserve"> en su único agravio, señalado como primero, que la sentencia combatida es del todo ilegal, </w:t>
      </w:r>
      <w:r w:rsidRPr="00B5368B">
        <w:rPr>
          <w:rFonts w:ascii="Arial" w:hAnsi="Arial" w:cs="Arial"/>
          <w:sz w:val="26"/>
          <w:szCs w:val="26"/>
          <w:lang w:val="es-MX"/>
        </w:rPr>
        <w:t xml:space="preserve">por lo cual resulta violatoria de las garantías individuales consagradas a su favor por los artículos 14, 16 y 17 Constitucionales, en relación con el artículo </w:t>
      </w:r>
      <w:r w:rsidRPr="00B5368B">
        <w:rPr>
          <w:rFonts w:ascii="Arial" w:hAnsi="Arial" w:cs="Arial"/>
          <w:sz w:val="26"/>
          <w:szCs w:val="26"/>
          <w:lang w:val="es-MX"/>
        </w:rPr>
        <w:lastRenderedPageBreak/>
        <w:t>207, fracción I y II, de la Ley de Procedimiento y Justicia Administrativa para el Estado de Oaxaca,</w:t>
      </w:r>
      <w:r>
        <w:rPr>
          <w:rFonts w:ascii="Arial" w:hAnsi="Arial" w:cs="Arial"/>
          <w:sz w:val="26"/>
          <w:szCs w:val="26"/>
          <w:lang w:val="es-MX"/>
        </w:rPr>
        <w:t xml:space="preserve"> </w:t>
      </w:r>
      <w:r w:rsidRPr="00B5368B">
        <w:rPr>
          <w:rFonts w:ascii="Arial" w:hAnsi="Arial" w:cs="Arial"/>
          <w:sz w:val="26"/>
          <w:szCs w:val="26"/>
          <w:lang w:val="es-MX"/>
        </w:rPr>
        <w:t>en virtud de lo res</w:t>
      </w:r>
      <w:r>
        <w:rPr>
          <w:rFonts w:ascii="Arial" w:hAnsi="Arial" w:cs="Arial"/>
          <w:sz w:val="26"/>
          <w:szCs w:val="26"/>
          <w:lang w:val="es-MX"/>
        </w:rPr>
        <w:t>uelto en el considerando cuarto</w:t>
      </w:r>
      <w:r w:rsidRPr="00B5368B">
        <w:rPr>
          <w:rFonts w:ascii="Arial" w:hAnsi="Arial" w:cs="Arial"/>
          <w:sz w:val="26"/>
          <w:szCs w:val="26"/>
          <w:lang w:val="es-MX"/>
        </w:rPr>
        <w:t xml:space="preserve"> no se ajusta a derecho, y así es procedente que se revoque la sentencia reclamada y se emita otra en la que se declare la nulidad del acta de infracción impugnada</w:t>
      </w:r>
      <w:r>
        <w:rPr>
          <w:rFonts w:ascii="Arial" w:hAnsi="Arial" w:cs="Arial"/>
          <w:sz w:val="26"/>
          <w:szCs w:val="26"/>
          <w:lang w:val="es-MX"/>
        </w:rPr>
        <w:t>.</w:t>
      </w:r>
    </w:p>
    <w:p w14:paraId="3A7143C9" w14:textId="77777777" w:rsidR="00E15BB1" w:rsidRDefault="00E15BB1" w:rsidP="00E15BB1">
      <w:pPr>
        <w:spacing w:line="360" w:lineRule="auto"/>
        <w:ind w:firstLine="567"/>
        <w:jc w:val="both"/>
        <w:rPr>
          <w:rFonts w:ascii="Arial" w:hAnsi="Arial" w:cs="Arial"/>
          <w:sz w:val="26"/>
          <w:szCs w:val="26"/>
          <w:lang w:val="es-MX"/>
        </w:rPr>
      </w:pPr>
      <w:r>
        <w:rPr>
          <w:rFonts w:ascii="Arial" w:hAnsi="Arial" w:cs="Arial"/>
          <w:sz w:val="26"/>
          <w:szCs w:val="26"/>
          <w:lang w:val="es-MX"/>
        </w:rPr>
        <w:t xml:space="preserve">Alega el recurrente que el Magistrado de la Segunda Sala </w:t>
      </w:r>
      <w:r w:rsidRPr="006B010A">
        <w:rPr>
          <w:rFonts w:ascii="Arial" w:hAnsi="Arial" w:cs="Arial"/>
          <w:sz w:val="26"/>
          <w:szCs w:val="26"/>
          <w:lang w:val="es-MX"/>
        </w:rPr>
        <w:t xml:space="preserve">no toma en cuenta la gravedad y el perjuicio que recae sobre </w:t>
      </w:r>
      <w:r>
        <w:rPr>
          <w:rFonts w:ascii="Arial" w:hAnsi="Arial" w:cs="Arial"/>
          <w:sz w:val="26"/>
          <w:szCs w:val="26"/>
          <w:lang w:val="es-MX"/>
        </w:rPr>
        <w:t>el recurrente</w:t>
      </w:r>
      <w:r w:rsidRPr="006B010A">
        <w:rPr>
          <w:rFonts w:ascii="Arial" w:hAnsi="Arial" w:cs="Arial"/>
          <w:sz w:val="26"/>
          <w:szCs w:val="26"/>
          <w:lang w:val="es-MX"/>
        </w:rPr>
        <w:t xml:space="preserve"> al dictarse una resolución que no está fundada ni motivada, </w:t>
      </w:r>
      <w:r>
        <w:rPr>
          <w:rFonts w:ascii="Arial" w:hAnsi="Arial" w:cs="Arial"/>
          <w:sz w:val="26"/>
          <w:szCs w:val="26"/>
          <w:lang w:val="es-MX"/>
        </w:rPr>
        <w:t xml:space="preserve">indicando </w:t>
      </w:r>
      <w:r w:rsidRPr="006B010A">
        <w:rPr>
          <w:rFonts w:ascii="Arial" w:hAnsi="Arial" w:cs="Arial"/>
          <w:sz w:val="26"/>
          <w:szCs w:val="26"/>
          <w:lang w:val="es-MX"/>
        </w:rPr>
        <w:t>que el acta de infracción impugnada es ilegal, en virtud de que se violó en su perjuicio el artículo 17, fracción V, de la Ley de Procedimiento y Justicia Administrativa para el Estado de Oaxaca, pues, la autoridad demandada, emitió un acta de infracción que no se encuentra debidamente fundada y motivada, ya que el policía vial omitió señalar con precisión, las circunstancias especiales, razones particulares o causas inmediatas que se hayan tenido en consideración para la emisión el acto, toda vez que no se advierte del texto del acta de infracción que el policía vial haya señalado la parte específicamente aplicable del precepto legal, en donde se describa el concepto de la infracción en la que supuestamente se incurrió y la sanción impuesta como multa.</w:t>
      </w:r>
    </w:p>
    <w:p w14:paraId="26424705" w14:textId="48A57966" w:rsidR="00E15BB1" w:rsidRDefault="00E15BB1" w:rsidP="00E15BB1">
      <w:pPr>
        <w:spacing w:line="360" w:lineRule="auto"/>
        <w:ind w:firstLine="567"/>
        <w:jc w:val="both"/>
        <w:rPr>
          <w:rFonts w:ascii="Arial" w:hAnsi="Arial" w:cs="Arial"/>
          <w:sz w:val="26"/>
          <w:szCs w:val="26"/>
          <w:lang w:val="es-MX"/>
        </w:rPr>
      </w:pPr>
      <w:r w:rsidRPr="00D62254">
        <w:rPr>
          <w:rFonts w:ascii="Arial" w:hAnsi="Arial" w:cs="Arial"/>
          <w:sz w:val="26"/>
          <w:szCs w:val="26"/>
          <w:lang w:val="es-MX"/>
        </w:rPr>
        <w:t xml:space="preserve">Los </w:t>
      </w:r>
      <w:r>
        <w:rPr>
          <w:rFonts w:ascii="Arial" w:hAnsi="Arial" w:cs="Arial"/>
          <w:sz w:val="26"/>
          <w:szCs w:val="26"/>
          <w:lang w:val="es-MX"/>
        </w:rPr>
        <w:t xml:space="preserve">anteriores </w:t>
      </w:r>
      <w:r w:rsidRPr="00D62254">
        <w:rPr>
          <w:rFonts w:ascii="Arial" w:hAnsi="Arial" w:cs="Arial"/>
          <w:sz w:val="26"/>
          <w:szCs w:val="26"/>
          <w:lang w:val="es-MX"/>
        </w:rPr>
        <w:t xml:space="preserve">argumentos </w:t>
      </w:r>
      <w:r>
        <w:rPr>
          <w:rFonts w:ascii="Arial" w:hAnsi="Arial" w:cs="Arial"/>
          <w:sz w:val="26"/>
          <w:szCs w:val="26"/>
          <w:lang w:val="es-MX"/>
        </w:rPr>
        <w:t xml:space="preserve">vertidos por el recurrente en su escrito de recurso de revisión son </w:t>
      </w:r>
      <w:r w:rsidRPr="00D62254">
        <w:rPr>
          <w:rFonts w:ascii="Arial" w:hAnsi="Arial" w:cs="Arial"/>
          <w:b/>
          <w:sz w:val="26"/>
          <w:szCs w:val="26"/>
          <w:lang w:val="es-MX"/>
        </w:rPr>
        <w:t>inoperantes,</w:t>
      </w:r>
      <w:r w:rsidRPr="00D62254">
        <w:rPr>
          <w:rFonts w:ascii="Arial" w:hAnsi="Arial" w:cs="Arial"/>
          <w:sz w:val="26"/>
          <w:szCs w:val="26"/>
          <w:lang w:val="es-MX"/>
        </w:rPr>
        <w:t xml:space="preserve"> </w:t>
      </w:r>
      <w:r>
        <w:rPr>
          <w:rFonts w:ascii="Arial" w:hAnsi="Arial" w:cs="Arial"/>
          <w:sz w:val="26"/>
          <w:szCs w:val="26"/>
          <w:lang w:val="es-MX"/>
        </w:rPr>
        <w:t>en virtud de que se limita a exponer</w:t>
      </w:r>
      <w:r w:rsidRPr="00D62254">
        <w:rPr>
          <w:rFonts w:ascii="Arial" w:hAnsi="Arial" w:cs="Arial"/>
          <w:sz w:val="26"/>
          <w:szCs w:val="26"/>
          <w:lang w:val="es-MX"/>
        </w:rPr>
        <w:t xml:space="preserve"> que existe una violación de los artículos 14, 16 y 27 Constitucionales, en relación con el</w:t>
      </w:r>
      <w:r>
        <w:rPr>
          <w:rFonts w:ascii="Arial" w:hAnsi="Arial" w:cs="Arial"/>
          <w:sz w:val="26"/>
          <w:szCs w:val="26"/>
          <w:lang w:val="es-MX"/>
        </w:rPr>
        <w:t xml:space="preserve"> numeral</w:t>
      </w:r>
      <w:r w:rsidRPr="00D62254">
        <w:rPr>
          <w:rFonts w:ascii="Arial" w:hAnsi="Arial" w:cs="Arial"/>
          <w:sz w:val="26"/>
          <w:szCs w:val="26"/>
          <w:lang w:val="es-MX"/>
        </w:rPr>
        <w:t xml:space="preserve"> 207 fracciones I y II de la Ley de Procedimiento y Justicia Administrativa para el Estado de Oaxaca, toda vez que es ilegal la sentencia de fecha </w:t>
      </w:r>
      <w:r>
        <w:rPr>
          <w:rFonts w:ascii="Arial" w:hAnsi="Arial" w:cs="Arial"/>
          <w:sz w:val="26"/>
          <w:szCs w:val="26"/>
          <w:lang w:val="es-MX"/>
        </w:rPr>
        <w:t>veintidós de abril</w:t>
      </w:r>
      <w:r w:rsidRPr="00D62254">
        <w:rPr>
          <w:rFonts w:ascii="Arial" w:hAnsi="Arial" w:cs="Arial"/>
          <w:sz w:val="26"/>
          <w:szCs w:val="26"/>
          <w:lang w:val="es-MX"/>
        </w:rPr>
        <w:t xml:space="preserve"> dos mil diecinueve, </w:t>
      </w:r>
      <w:r>
        <w:rPr>
          <w:rFonts w:ascii="Arial" w:hAnsi="Arial" w:cs="Arial"/>
          <w:sz w:val="26"/>
          <w:szCs w:val="26"/>
          <w:lang w:val="es-MX"/>
        </w:rPr>
        <w:t>emitida por la Segunda Sala Unitaria de Primera Instancia</w:t>
      </w:r>
      <w:r w:rsidRPr="00D62254">
        <w:rPr>
          <w:rFonts w:ascii="Arial" w:hAnsi="Arial" w:cs="Arial"/>
          <w:sz w:val="26"/>
          <w:szCs w:val="26"/>
          <w:lang w:val="es-MX"/>
        </w:rPr>
        <w:t xml:space="preserve">, </w:t>
      </w:r>
      <w:r>
        <w:rPr>
          <w:rFonts w:ascii="Arial" w:hAnsi="Arial" w:cs="Arial"/>
          <w:sz w:val="26"/>
          <w:szCs w:val="26"/>
          <w:lang w:val="es-MX"/>
        </w:rPr>
        <w:t>ya que</w:t>
      </w:r>
      <w:r w:rsidRPr="00D62254">
        <w:rPr>
          <w:rFonts w:ascii="Arial" w:hAnsi="Arial" w:cs="Arial"/>
          <w:sz w:val="26"/>
          <w:szCs w:val="26"/>
          <w:lang w:val="es-MX"/>
        </w:rPr>
        <w:t xml:space="preserve"> la autoridad demandada no fundó ni motivó debidamente el acta de infracción impugnada en el juicio</w:t>
      </w:r>
      <w:r>
        <w:rPr>
          <w:rFonts w:ascii="Arial" w:hAnsi="Arial" w:cs="Arial"/>
          <w:sz w:val="26"/>
          <w:szCs w:val="26"/>
          <w:lang w:val="es-MX"/>
        </w:rPr>
        <w:t xml:space="preserve"> natural</w:t>
      </w:r>
      <w:r w:rsidRPr="00D62254">
        <w:rPr>
          <w:rFonts w:ascii="Arial" w:hAnsi="Arial" w:cs="Arial"/>
          <w:sz w:val="26"/>
          <w:szCs w:val="26"/>
          <w:lang w:val="es-MX"/>
        </w:rPr>
        <w:t xml:space="preserve">, al no señalar las circunstancias especiales, razones particulares o causas inmediatas que se hayan tenido en consideración para </w:t>
      </w:r>
      <w:r>
        <w:rPr>
          <w:rFonts w:ascii="Arial" w:hAnsi="Arial" w:cs="Arial"/>
          <w:sz w:val="26"/>
          <w:szCs w:val="26"/>
          <w:lang w:val="es-MX"/>
        </w:rPr>
        <w:t xml:space="preserve">el levantamiento </w:t>
      </w:r>
      <w:r w:rsidRPr="00D62254">
        <w:rPr>
          <w:rFonts w:ascii="Arial" w:hAnsi="Arial" w:cs="Arial"/>
          <w:sz w:val="26"/>
          <w:szCs w:val="26"/>
          <w:lang w:val="es-MX"/>
        </w:rPr>
        <w:t>del acta</w:t>
      </w:r>
      <w:r>
        <w:rPr>
          <w:rFonts w:ascii="Arial" w:hAnsi="Arial" w:cs="Arial"/>
          <w:sz w:val="26"/>
          <w:szCs w:val="26"/>
          <w:lang w:val="es-MX"/>
        </w:rPr>
        <w:t xml:space="preserve"> de infracción controvertida</w:t>
      </w:r>
      <w:r w:rsidRPr="00D62254">
        <w:rPr>
          <w:rFonts w:ascii="Arial" w:hAnsi="Arial" w:cs="Arial"/>
          <w:sz w:val="26"/>
          <w:szCs w:val="26"/>
          <w:lang w:val="es-MX"/>
        </w:rPr>
        <w:t>, y que además haya adecuación entre los motivos aducidos y las normas aplicables, sin que explique con argument</w:t>
      </w:r>
      <w:r>
        <w:rPr>
          <w:rFonts w:ascii="Arial" w:hAnsi="Arial" w:cs="Arial"/>
          <w:sz w:val="26"/>
          <w:szCs w:val="26"/>
          <w:lang w:val="es-MX"/>
        </w:rPr>
        <w:t xml:space="preserve">os lógicos jurídicos el por qué </w:t>
      </w:r>
      <w:r w:rsidRPr="00D62254">
        <w:rPr>
          <w:rFonts w:ascii="Arial" w:hAnsi="Arial" w:cs="Arial"/>
          <w:sz w:val="26"/>
          <w:szCs w:val="26"/>
          <w:lang w:val="es-MX"/>
        </w:rPr>
        <w:t xml:space="preserve">a su </w:t>
      </w:r>
      <w:r>
        <w:rPr>
          <w:rFonts w:ascii="Arial" w:hAnsi="Arial" w:cs="Arial"/>
          <w:sz w:val="26"/>
          <w:szCs w:val="26"/>
          <w:lang w:val="es-MX"/>
        </w:rPr>
        <w:t>entendimiento</w:t>
      </w:r>
      <w:r w:rsidRPr="00D62254">
        <w:rPr>
          <w:rFonts w:ascii="Arial" w:hAnsi="Arial" w:cs="Arial"/>
          <w:sz w:val="26"/>
          <w:szCs w:val="26"/>
          <w:lang w:val="es-MX"/>
        </w:rPr>
        <w:t xml:space="preserve">, </w:t>
      </w:r>
      <w:r>
        <w:rPr>
          <w:rFonts w:ascii="Arial" w:hAnsi="Arial" w:cs="Arial"/>
          <w:sz w:val="26"/>
          <w:szCs w:val="26"/>
          <w:lang w:val="es-MX"/>
        </w:rPr>
        <w:t>la sentencia referida</w:t>
      </w:r>
      <w:r w:rsidRPr="00D62254">
        <w:rPr>
          <w:rFonts w:ascii="Arial" w:hAnsi="Arial" w:cs="Arial"/>
          <w:sz w:val="26"/>
          <w:szCs w:val="26"/>
          <w:lang w:val="es-MX"/>
        </w:rPr>
        <w:t xml:space="preserve"> </w:t>
      </w:r>
      <w:r>
        <w:rPr>
          <w:rFonts w:ascii="Arial" w:hAnsi="Arial" w:cs="Arial"/>
          <w:sz w:val="26"/>
          <w:szCs w:val="26"/>
          <w:lang w:val="es-MX"/>
        </w:rPr>
        <w:t xml:space="preserve">conculca los preceptos legales que refiere </w:t>
      </w:r>
      <w:r w:rsidRPr="00D62254">
        <w:rPr>
          <w:rFonts w:ascii="Arial" w:hAnsi="Arial" w:cs="Arial"/>
          <w:sz w:val="26"/>
          <w:szCs w:val="26"/>
          <w:lang w:val="es-MX"/>
        </w:rPr>
        <w:t>y por</w:t>
      </w:r>
      <w:r>
        <w:rPr>
          <w:rFonts w:ascii="Arial" w:hAnsi="Arial" w:cs="Arial"/>
          <w:sz w:val="26"/>
          <w:szCs w:val="26"/>
          <w:lang w:val="es-MX"/>
        </w:rPr>
        <w:t xml:space="preserve"> qué</w:t>
      </w:r>
      <w:r w:rsidRPr="00D62254">
        <w:rPr>
          <w:rFonts w:ascii="Arial" w:hAnsi="Arial" w:cs="Arial"/>
          <w:sz w:val="26"/>
          <w:szCs w:val="26"/>
          <w:lang w:val="es-MX"/>
        </w:rPr>
        <w:t xml:space="preserve"> </w:t>
      </w:r>
      <w:r>
        <w:rPr>
          <w:rFonts w:ascii="Arial" w:hAnsi="Arial" w:cs="Arial"/>
          <w:sz w:val="26"/>
          <w:szCs w:val="26"/>
          <w:lang w:val="es-MX"/>
        </w:rPr>
        <w:t>estima ilegal la</w:t>
      </w:r>
      <w:r w:rsidRPr="00D62254">
        <w:rPr>
          <w:rFonts w:ascii="Arial" w:hAnsi="Arial" w:cs="Arial"/>
          <w:sz w:val="26"/>
          <w:szCs w:val="26"/>
          <w:lang w:val="es-MX"/>
        </w:rPr>
        <w:t xml:space="preserve"> </w:t>
      </w:r>
      <w:r>
        <w:rPr>
          <w:rFonts w:ascii="Arial" w:hAnsi="Arial" w:cs="Arial"/>
          <w:sz w:val="26"/>
          <w:szCs w:val="26"/>
          <w:lang w:val="es-MX"/>
        </w:rPr>
        <w:t xml:space="preserve">determinación del </w:t>
      </w:r>
      <w:r w:rsidRPr="0055787D">
        <w:rPr>
          <w:rFonts w:ascii="Arial" w:hAnsi="Arial" w:cs="Arial"/>
          <w:i/>
          <w:sz w:val="26"/>
          <w:szCs w:val="26"/>
          <w:lang w:val="es-MX"/>
        </w:rPr>
        <w:t>A quo,</w:t>
      </w:r>
      <w:r w:rsidRPr="00D62254">
        <w:rPr>
          <w:rFonts w:ascii="Arial" w:hAnsi="Arial" w:cs="Arial"/>
          <w:sz w:val="26"/>
          <w:szCs w:val="26"/>
          <w:lang w:val="es-MX"/>
        </w:rPr>
        <w:t xml:space="preserve"> al </w:t>
      </w:r>
      <w:r>
        <w:rPr>
          <w:rFonts w:ascii="Arial" w:hAnsi="Arial" w:cs="Arial"/>
          <w:sz w:val="26"/>
          <w:szCs w:val="26"/>
          <w:lang w:val="es-MX"/>
        </w:rPr>
        <w:t>haber declarado</w:t>
      </w:r>
      <w:r w:rsidRPr="00D62254">
        <w:rPr>
          <w:rFonts w:ascii="Arial" w:hAnsi="Arial" w:cs="Arial"/>
          <w:sz w:val="26"/>
          <w:szCs w:val="26"/>
          <w:lang w:val="es-MX"/>
        </w:rPr>
        <w:t xml:space="preserve"> la validez del acta de infracción </w:t>
      </w:r>
      <w:r>
        <w:rPr>
          <w:rFonts w:ascii="Arial" w:hAnsi="Arial" w:cs="Arial"/>
          <w:sz w:val="26"/>
          <w:szCs w:val="26"/>
          <w:lang w:val="es-MX"/>
        </w:rPr>
        <w:t xml:space="preserve">con número de </w:t>
      </w:r>
      <w:r w:rsidRPr="00D62254">
        <w:rPr>
          <w:rFonts w:ascii="Arial" w:hAnsi="Arial" w:cs="Arial"/>
          <w:sz w:val="26"/>
          <w:szCs w:val="26"/>
          <w:lang w:val="es-MX"/>
        </w:rPr>
        <w:t xml:space="preserve">folio </w:t>
      </w:r>
      <w:r w:rsidR="00026FD6" w:rsidRPr="00026FD6">
        <w:rPr>
          <w:rFonts w:ascii="Arial" w:hAnsi="Arial" w:cs="Arial"/>
          <w:b/>
          <w:sz w:val="26"/>
          <w:szCs w:val="26"/>
          <w:lang w:val="es-MX"/>
        </w:rPr>
        <w:t>**********</w:t>
      </w:r>
      <w:r w:rsidRPr="00D62254">
        <w:rPr>
          <w:rFonts w:ascii="Arial" w:hAnsi="Arial" w:cs="Arial"/>
          <w:sz w:val="26"/>
          <w:szCs w:val="26"/>
          <w:lang w:val="es-MX"/>
        </w:rPr>
        <w:t xml:space="preserve"> levantada el </w:t>
      </w:r>
      <w:r>
        <w:rPr>
          <w:rFonts w:ascii="Arial" w:hAnsi="Arial" w:cs="Arial"/>
          <w:sz w:val="26"/>
          <w:szCs w:val="26"/>
          <w:lang w:val="es-MX"/>
        </w:rPr>
        <w:t>diecinueve de septiembre de dos mil</w:t>
      </w:r>
      <w:r w:rsidRPr="00D62254">
        <w:rPr>
          <w:rFonts w:ascii="Arial" w:hAnsi="Arial" w:cs="Arial"/>
          <w:sz w:val="26"/>
          <w:szCs w:val="26"/>
          <w:lang w:val="es-MX"/>
        </w:rPr>
        <w:t xml:space="preserve"> dieciocho, por el policía vial con número </w:t>
      </w:r>
      <w:r w:rsidRPr="00D62254">
        <w:rPr>
          <w:rFonts w:ascii="Arial" w:hAnsi="Arial" w:cs="Arial"/>
          <w:sz w:val="26"/>
          <w:szCs w:val="26"/>
          <w:lang w:val="es-MX"/>
        </w:rPr>
        <w:lastRenderedPageBreak/>
        <w:t xml:space="preserve">estadístico </w:t>
      </w:r>
      <w:r w:rsidR="00026FD6" w:rsidRPr="00026FD6">
        <w:rPr>
          <w:rFonts w:ascii="Arial" w:hAnsi="Arial" w:cs="Arial"/>
          <w:b/>
          <w:sz w:val="26"/>
          <w:szCs w:val="26"/>
          <w:lang w:val="es-MX"/>
        </w:rPr>
        <w:t>**********</w:t>
      </w:r>
      <w:r w:rsidRPr="00D62254">
        <w:rPr>
          <w:rFonts w:ascii="Arial" w:hAnsi="Arial" w:cs="Arial"/>
          <w:sz w:val="26"/>
          <w:szCs w:val="26"/>
          <w:lang w:val="es-MX"/>
        </w:rPr>
        <w:t xml:space="preserve"> de la Comis</w:t>
      </w:r>
      <w:r>
        <w:rPr>
          <w:rFonts w:ascii="Arial" w:hAnsi="Arial" w:cs="Arial"/>
          <w:sz w:val="26"/>
          <w:szCs w:val="26"/>
          <w:lang w:val="es-MX"/>
        </w:rPr>
        <w:t>aría</w:t>
      </w:r>
      <w:r w:rsidRPr="00D62254">
        <w:rPr>
          <w:rFonts w:ascii="Arial" w:hAnsi="Arial" w:cs="Arial"/>
          <w:sz w:val="26"/>
          <w:szCs w:val="26"/>
          <w:lang w:val="es-MX"/>
        </w:rPr>
        <w:t xml:space="preserve"> de Vialidad del Municipio de Oaxaca de Juárez</w:t>
      </w:r>
      <w:r>
        <w:rPr>
          <w:rFonts w:ascii="Arial" w:hAnsi="Arial" w:cs="Arial"/>
          <w:sz w:val="26"/>
          <w:szCs w:val="26"/>
          <w:lang w:val="es-MX"/>
        </w:rPr>
        <w:t>, Oaxaca.</w:t>
      </w:r>
    </w:p>
    <w:p w14:paraId="57AB4BDA" w14:textId="77777777" w:rsidR="00E15BB1" w:rsidRDefault="00E15BB1" w:rsidP="00E15BB1">
      <w:pPr>
        <w:spacing w:line="360" w:lineRule="auto"/>
        <w:ind w:firstLine="567"/>
        <w:jc w:val="both"/>
        <w:rPr>
          <w:rFonts w:ascii="Arial" w:hAnsi="Arial" w:cs="Arial"/>
          <w:sz w:val="26"/>
          <w:szCs w:val="26"/>
          <w:lang w:val="es-MX"/>
        </w:rPr>
      </w:pPr>
      <w:r>
        <w:rPr>
          <w:rFonts w:ascii="Arial" w:hAnsi="Arial" w:cs="Arial"/>
          <w:sz w:val="26"/>
          <w:szCs w:val="26"/>
          <w:lang w:val="es-MX"/>
        </w:rPr>
        <w:t xml:space="preserve">Al respecto, resulta aplicable </w:t>
      </w:r>
      <w:r w:rsidRPr="007B72C9">
        <w:rPr>
          <w:rFonts w:ascii="Arial" w:hAnsi="Arial" w:cs="Arial"/>
          <w:sz w:val="26"/>
          <w:szCs w:val="26"/>
          <w:lang w:val="es-MX"/>
        </w:rPr>
        <w:t>la jurisprudencia IV.3o.A. J/20 (9a.)</w:t>
      </w:r>
      <w:r>
        <w:rPr>
          <w:rFonts w:ascii="Arial" w:hAnsi="Arial" w:cs="Arial"/>
          <w:sz w:val="26"/>
          <w:szCs w:val="26"/>
          <w:lang w:val="es-MX"/>
        </w:rPr>
        <w:t>, emitida por el Tercer Tribunal Colegiado en Materia A</w:t>
      </w:r>
      <w:r w:rsidRPr="007B72C9">
        <w:rPr>
          <w:rFonts w:ascii="Arial" w:hAnsi="Arial" w:cs="Arial"/>
          <w:sz w:val="26"/>
          <w:szCs w:val="26"/>
          <w:lang w:val="es-MX"/>
        </w:rPr>
        <w:t xml:space="preserve">dministrativa del Cuarto Circuito, </w:t>
      </w:r>
      <w:r>
        <w:rPr>
          <w:rFonts w:ascii="Arial" w:hAnsi="Arial" w:cs="Arial"/>
          <w:sz w:val="26"/>
          <w:szCs w:val="26"/>
          <w:lang w:val="es-MX"/>
        </w:rPr>
        <w:t>visible en el</w:t>
      </w:r>
      <w:r w:rsidRPr="007B72C9">
        <w:rPr>
          <w:rFonts w:ascii="Arial" w:hAnsi="Arial" w:cs="Arial"/>
          <w:sz w:val="26"/>
          <w:szCs w:val="26"/>
          <w:lang w:val="es-MX"/>
        </w:rPr>
        <w:t xml:space="preserve"> Semanario Judicial de la Federación y su Gaceta Libro XII, Septie</w:t>
      </w:r>
      <w:r>
        <w:rPr>
          <w:rFonts w:ascii="Arial" w:hAnsi="Arial" w:cs="Arial"/>
          <w:sz w:val="26"/>
          <w:szCs w:val="26"/>
          <w:lang w:val="es-MX"/>
        </w:rPr>
        <w:t>mbre de 2012, Tomo 3, Materia Administrativa, Página</w:t>
      </w:r>
      <w:r w:rsidRPr="007B72C9">
        <w:rPr>
          <w:rFonts w:ascii="Arial" w:hAnsi="Arial" w:cs="Arial"/>
          <w:sz w:val="26"/>
          <w:szCs w:val="26"/>
          <w:lang w:val="es-MX"/>
        </w:rPr>
        <w:t xml:space="preserve"> 1347, con rubro y texto </w:t>
      </w:r>
      <w:r>
        <w:rPr>
          <w:rFonts w:ascii="Arial" w:hAnsi="Arial" w:cs="Arial"/>
          <w:sz w:val="26"/>
          <w:szCs w:val="26"/>
          <w:lang w:val="es-MX"/>
        </w:rPr>
        <w:t>se insertan enseguida</w:t>
      </w:r>
      <w:r w:rsidRPr="007B72C9">
        <w:rPr>
          <w:rFonts w:ascii="Arial" w:hAnsi="Arial" w:cs="Arial"/>
          <w:sz w:val="26"/>
          <w:szCs w:val="26"/>
          <w:lang w:val="es-MX"/>
        </w:rPr>
        <w:t>:</w:t>
      </w:r>
    </w:p>
    <w:p w14:paraId="6189DD82" w14:textId="77777777" w:rsidR="00E15BB1" w:rsidRPr="00AE0C3E" w:rsidRDefault="00E15BB1" w:rsidP="00E15BB1">
      <w:pPr>
        <w:spacing w:line="360" w:lineRule="auto"/>
        <w:ind w:left="567" w:right="474"/>
        <w:jc w:val="both"/>
        <w:rPr>
          <w:rFonts w:ascii="Arial" w:hAnsi="Arial" w:cs="Arial"/>
          <w:i/>
          <w:lang w:val="es-MX"/>
        </w:rPr>
      </w:pPr>
      <w:r w:rsidRPr="00AE0C3E">
        <w:rPr>
          <w:rFonts w:ascii="Arial" w:hAnsi="Arial" w:cs="Arial"/>
          <w:b/>
          <w:i/>
          <w:lang w:val="es-MX"/>
        </w:rPr>
        <w:t xml:space="preserve"> “AGRAVIOS INOPERANTES EN LA REVISIÓN FISCAL. LO SON AQUELLOS QUE EN LUGAR DE CONTROVERTIR LA OMISIÓN O INEXACTITUD DE LA SALA A QUO EN EL ANÁLISIS DE LOS ARGUMENTOS DE DEFENSA EXPUESTOS EN LA DEMANDA SÓLO LOS REPRODUCEN.</w:t>
      </w:r>
      <w:r w:rsidRPr="00AE0C3E">
        <w:rPr>
          <w:rFonts w:ascii="Arial" w:hAnsi="Arial" w:cs="Arial"/>
          <w:i/>
          <w:lang w:val="es-MX"/>
        </w:rPr>
        <w:t xml:space="preserve"> Los agravios en la revisión fiscal son inoperantes si lo alegado en ellos se limita a reproducir el planteamiento defensivo que se esbozó ante la instancia natural para sustentar la validez del acto o actos materia del juicio contencioso administrativo, en lugar de controvertir la omisión o inexactitud de la Sala a quo en el análisis de los argumentos a ese fin estructurados, merced a que la litis, tratándose del mencionado recurso, se circunscribe a examinar la legalidad o no de la determinación que la autoridad jurisdiccional de origen asumió frente a las exposiciones defensivas hechas valer, pero no a estudiar, de primera mano, el tema de discusión en el contexto primario, ya que de no estimarlo así, se inobservaría la técnica procesal que rige al comentado medio extraordinario de impugnación.”</w:t>
      </w:r>
    </w:p>
    <w:p w14:paraId="0103B2FA" w14:textId="77777777" w:rsidR="00E15BB1" w:rsidRDefault="00E15BB1" w:rsidP="00E15BB1">
      <w:pPr>
        <w:spacing w:line="360" w:lineRule="auto"/>
        <w:ind w:firstLine="567"/>
        <w:jc w:val="both"/>
        <w:rPr>
          <w:rFonts w:ascii="Arial" w:hAnsi="Arial" w:cs="Arial"/>
          <w:sz w:val="26"/>
          <w:szCs w:val="26"/>
          <w:lang w:val="es-MX"/>
        </w:rPr>
      </w:pPr>
      <w:r>
        <w:rPr>
          <w:rFonts w:ascii="Arial" w:hAnsi="Arial" w:cs="Arial"/>
          <w:sz w:val="26"/>
          <w:szCs w:val="26"/>
          <w:lang w:val="es-MX"/>
        </w:rPr>
        <w:t>A lo anterior, cabe agregar</w:t>
      </w:r>
      <w:r w:rsidRPr="007B72C9">
        <w:rPr>
          <w:rFonts w:ascii="Arial" w:hAnsi="Arial" w:cs="Arial"/>
          <w:sz w:val="26"/>
          <w:szCs w:val="26"/>
          <w:lang w:val="es-MX"/>
        </w:rPr>
        <w:t xml:space="preserve"> que las </w:t>
      </w:r>
      <w:r>
        <w:rPr>
          <w:rFonts w:ascii="Arial" w:hAnsi="Arial" w:cs="Arial"/>
          <w:sz w:val="26"/>
          <w:szCs w:val="26"/>
          <w:lang w:val="es-MX"/>
        </w:rPr>
        <w:t>manifestaciones previas realizadas por</w:t>
      </w:r>
      <w:r w:rsidRPr="007B72C9">
        <w:rPr>
          <w:rFonts w:ascii="Arial" w:hAnsi="Arial" w:cs="Arial"/>
          <w:sz w:val="26"/>
          <w:szCs w:val="26"/>
          <w:lang w:val="es-MX"/>
        </w:rPr>
        <w:t xml:space="preserve"> recurrente en su </w:t>
      </w:r>
      <w:r>
        <w:rPr>
          <w:rFonts w:ascii="Arial" w:hAnsi="Arial" w:cs="Arial"/>
          <w:sz w:val="26"/>
          <w:szCs w:val="26"/>
          <w:lang w:val="es-MX"/>
        </w:rPr>
        <w:t>escrito de recurso</w:t>
      </w:r>
      <w:r w:rsidRPr="007B72C9">
        <w:rPr>
          <w:rFonts w:ascii="Arial" w:hAnsi="Arial" w:cs="Arial"/>
          <w:sz w:val="26"/>
          <w:szCs w:val="26"/>
          <w:lang w:val="es-MX"/>
        </w:rPr>
        <w:t xml:space="preserve"> </w:t>
      </w:r>
      <w:r>
        <w:rPr>
          <w:rFonts w:ascii="Arial" w:hAnsi="Arial" w:cs="Arial"/>
          <w:sz w:val="26"/>
          <w:szCs w:val="26"/>
          <w:lang w:val="es-MX"/>
        </w:rPr>
        <w:t>de revisión</w:t>
      </w:r>
      <w:r w:rsidRPr="007B72C9">
        <w:rPr>
          <w:rFonts w:ascii="Arial" w:hAnsi="Arial" w:cs="Arial"/>
          <w:sz w:val="26"/>
          <w:szCs w:val="26"/>
          <w:lang w:val="es-MX"/>
        </w:rPr>
        <w:t>, son</w:t>
      </w:r>
      <w:r>
        <w:rPr>
          <w:rFonts w:ascii="Arial" w:hAnsi="Arial" w:cs="Arial"/>
          <w:sz w:val="26"/>
          <w:szCs w:val="26"/>
          <w:lang w:val="es-MX"/>
        </w:rPr>
        <w:t xml:space="preserve"> una</w:t>
      </w:r>
      <w:r w:rsidRPr="007B72C9">
        <w:rPr>
          <w:rFonts w:ascii="Arial" w:hAnsi="Arial" w:cs="Arial"/>
          <w:sz w:val="26"/>
          <w:szCs w:val="26"/>
          <w:lang w:val="es-MX"/>
        </w:rPr>
        <w:t xml:space="preserve"> </w:t>
      </w:r>
      <w:r>
        <w:rPr>
          <w:rFonts w:ascii="Arial" w:hAnsi="Arial" w:cs="Arial"/>
          <w:sz w:val="26"/>
          <w:szCs w:val="26"/>
          <w:lang w:val="es-MX"/>
        </w:rPr>
        <w:t>reproducción del</w:t>
      </w:r>
      <w:r w:rsidRPr="007B72C9">
        <w:rPr>
          <w:rFonts w:ascii="Arial" w:hAnsi="Arial" w:cs="Arial"/>
          <w:sz w:val="26"/>
          <w:szCs w:val="26"/>
          <w:lang w:val="es-MX"/>
        </w:rPr>
        <w:t xml:space="preserve"> concepto de imp</w:t>
      </w:r>
      <w:r>
        <w:rPr>
          <w:rFonts w:ascii="Arial" w:hAnsi="Arial" w:cs="Arial"/>
          <w:sz w:val="26"/>
          <w:szCs w:val="26"/>
          <w:lang w:val="es-MX"/>
        </w:rPr>
        <w:t>ugnación</w:t>
      </w:r>
      <w:r w:rsidRPr="007B72C9">
        <w:rPr>
          <w:rFonts w:ascii="Arial" w:hAnsi="Arial" w:cs="Arial"/>
          <w:sz w:val="26"/>
          <w:szCs w:val="26"/>
          <w:lang w:val="es-MX"/>
        </w:rPr>
        <w:t xml:space="preserve"> tercero, </w:t>
      </w:r>
      <w:r>
        <w:rPr>
          <w:rFonts w:ascii="Arial" w:hAnsi="Arial" w:cs="Arial"/>
          <w:sz w:val="26"/>
          <w:szCs w:val="26"/>
          <w:lang w:val="es-MX"/>
        </w:rPr>
        <w:t>expresado</w:t>
      </w:r>
      <w:r w:rsidRPr="007B72C9">
        <w:rPr>
          <w:rFonts w:ascii="Arial" w:hAnsi="Arial" w:cs="Arial"/>
          <w:sz w:val="26"/>
          <w:szCs w:val="26"/>
          <w:lang w:val="es-MX"/>
        </w:rPr>
        <w:t xml:space="preserve"> en el </w:t>
      </w:r>
      <w:r>
        <w:rPr>
          <w:rFonts w:ascii="Arial" w:hAnsi="Arial" w:cs="Arial"/>
          <w:sz w:val="26"/>
          <w:szCs w:val="26"/>
          <w:lang w:val="es-MX"/>
        </w:rPr>
        <w:t>escrito</w:t>
      </w:r>
      <w:r w:rsidRPr="007B72C9">
        <w:rPr>
          <w:rFonts w:ascii="Arial" w:hAnsi="Arial" w:cs="Arial"/>
          <w:sz w:val="26"/>
          <w:szCs w:val="26"/>
          <w:lang w:val="es-MX"/>
        </w:rPr>
        <w:t xml:space="preserve"> de demanda y que ya fueron </w:t>
      </w:r>
      <w:r>
        <w:rPr>
          <w:rFonts w:ascii="Arial" w:hAnsi="Arial" w:cs="Arial"/>
          <w:sz w:val="26"/>
          <w:szCs w:val="26"/>
          <w:lang w:val="es-MX"/>
        </w:rPr>
        <w:t>analizados</w:t>
      </w:r>
      <w:r w:rsidRPr="007B72C9">
        <w:rPr>
          <w:rFonts w:ascii="Arial" w:hAnsi="Arial" w:cs="Arial"/>
          <w:sz w:val="26"/>
          <w:szCs w:val="26"/>
          <w:lang w:val="es-MX"/>
        </w:rPr>
        <w:t xml:space="preserve"> por </w:t>
      </w:r>
      <w:r>
        <w:rPr>
          <w:rFonts w:ascii="Arial" w:hAnsi="Arial" w:cs="Arial"/>
          <w:sz w:val="26"/>
          <w:szCs w:val="26"/>
          <w:lang w:val="es-MX"/>
        </w:rPr>
        <w:t xml:space="preserve">parte de </w:t>
      </w:r>
      <w:r w:rsidRPr="007B72C9">
        <w:rPr>
          <w:rFonts w:ascii="Arial" w:hAnsi="Arial" w:cs="Arial"/>
          <w:sz w:val="26"/>
          <w:szCs w:val="26"/>
          <w:lang w:val="es-MX"/>
        </w:rPr>
        <w:t xml:space="preserve">la primera instancia, </w:t>
      </w:r>
      <w:r>
        <w:rPr>
          <w:rFonts w:ascii="Arial" w:hAnsi="Arial" w:cs="Arial"/>
          <w:sz w:val="26"/>
          <w:szCs w:val="26"/>
          <w:lang w:val="es-MX"/>
        </w:rPr>
        <w:t xml:space="preserve">siendo </w:t>
      </w:r>
      <w:r w:rsidRPr="007B72C9">
        <w:rPr>
          <w:rFonts w:ascii="Arial" w:hAnsi="Arial" w:cs="Arial"/>
          <w:sz w:val="26"/>
          <w:szCs w:val="26"/>
          <w:lang w:val="es-MX"/>
        </w:rPr>
        <w:t xml:space="preserve">necesario que </w:t>
      </w:r>
      <w:r>
        <w:rPr>
          <w:rFonts w:ascii="Arial" w:hAnsi="Arial" w:cs="Arial"/>
          <w:sz w:val="26"/>
          <w:szCs w:val="26"/>
          <w:lang w:val="es-MX"/>
        </w:rPr>
        <w:t xml:space="preserve">el recurrente </w:t>
      </w:r>
      <w:r w:rsidRPr="007B72C9">
        <w:rPr>
          <w:rFonts w:ascii="Arial" w:hAnsi="Arial" w:cs="Arial"/>
          <w:sz w:val="26"/>
          <w:szCs w:val="26"/>
          <w:lang w:val="es-MX"/>
        </w:rPr>
        <w:t xml:space="preserve">no se </w:t>
      </w:r>
      <w:r>
        <w:rPr>
          <w:rFonts w:ascii="Arial" w:hAnsi="Arial" w:cs="Arial"/>
          <w:sz w:val="26"/>
          <w:szCs w:val="26"/>
          <w:lang w:val="es-MX"/>
        </w:rPr>
        <w:t>acotara</w:t>
      </w:r>
      <w:r w:rsidRPr="007B72C9">
        <w:rPr>
          <w:rFonts w:ascii="Arial" w:hAnsi="Arial" w:cs="Arial"/>
          <w:sz w:val="26"/>
          <w:szCs w:val="26"/>
          <w:lang w:val="es-MX"/>
        </w:rPr>
        <w:t xml:space="preserve"> a reiterar, lo que ya fue </w:t>
      </w:r>
      <w:r>
        <w:rPr>
          <w:rFonts w:ascii="Arial" w:hAnsi="Arial" w:cs="Arial"/>
          <w:sz w:val="26"/>
          <w:szCs w:val="26"/>
          <w:lang w:val="es-MX"/>
        </w:rPr>
        <w:t>materia de estudio</w:t>
      </w:r>
      <w:r w:rsidRPr="007B72C9">
        <w:rPr>
          <w:rFonts w:ascii="Arial" w:hAnsi="Arial" w:cs="Arial"/>
          <w:sz w:val="26"/>
          <w:szCs w:val="26"/>
          <w:lang w:val="es-MX"/>
        </w:rPr>
        <w:t xml:space="preserve"> y sobre lo que ya existe</w:t>
      </w:r>
      <w:r>
        <w:rPr>
          <w:rFonts w:ascii="Arial" w:hAnsi="Arial" w:cs="Arial"/>
          <w:sz w:val="26"/>
          <w:szCs w:val="26"/>
          <w:lang w:val="es-MX"/>
        </w:rPr>
        <w:t xml:space="preserve"> un pronunciamiento específico, pues el estudio del recurso de </w:t>
      </w:r>
      <w:r w:rsidRPr="007B72C9">
        <w:rPr>
          <w:rFonts w:ascii="Arial" w:hAnsi="Arial" w:cs="Arial"/>
          <w:sz w:val="26"/>
          <w:szCs w:val="26"/>
          <w:lang w:val="es-MX"/>
        </w:rPr>
        <w:t xml:space="preserve">revisión se circunscribe a examinar la legalidad o no de la </w:t>
      </w:r>
      <w:r>
        <w:rPr>
          <w:rFonts w:ascii="Arial" w:hAnsi="Arial" w:cs="Arial"/>
          <w:sz w:val="26"/>
          <w:szCs w:val="26"/>
          <w:lang w:val="es-MX"/>
        </w:rPr>
        <w:t xml:space="preserve">sentencia </w:t>
      </w:r>
      <w:r w:rsidRPr="007B72C9">
        <w:rPr>
          <w:rFonts w:ascii="Arial" w:hAnsi="Arial" w:cs="Arial"/>
          <w:sz w:val="26"/>
          <w:szCs w:val="26"/>
          <w:lang w:val="es-MX"/>
        </w:rPr>
        <w:t xml:space="preserve">que la </w:t>
      </w:r>
      <w:r>
        <w:rPr>
          <w:rFonts w:ascii="Arial" w:hAnsi="Arial" w:cs="Arial"/>
          <w:sz w:val="26"/>
          <w:szCs w:val="26"/>
          <w:lang w:val="es-MX"/>
        </w:rPr>
        <w:t>Sala de Primera Instancia emitió</w:t>
      </w:r>
      <w:r w:rsidRPr="007B72C9">
        <w:rPr>
          <w:rFonts w:ascii="Arial" w:hAnsi="Arial" w:cs="Arial"/>
          <w:sz w:val="26"/>
          <w:szCs w:val="26"/>
          <w:lang w:val="es-MX"/>
        </w:rPr>
        <w:t xml:space="preserve">, frente a </w:t>
      </w:r>
      <w:r>
        <w:rPr>
          <w:rFonts w:ascii="Arial" w:hAnsi="Arial" w:cs="Arial"/>
          <w:sz w:val="26"/>
          <w:szCs w:val="26"/>
          <w:lang w:val="es-MX"/>
        </w:rPr>
        <w:t>los agravios hechos</w:t>
      </w:r>
      <w:r w:rsidRPr="007B72C9">
        <w:rPr>
          <w:rFonts w:ascii="Arial" w:hAnsi="Arial" w:cs="Arial"/>
          <w:sz w:val="26"/>
          <w:szCs w:val="26"/>
          <w:lang w:val="es-MX"/>
        </w:rPr>
        <w:t xml:space="preserve"> valer</w:t>
      </w:r>
      <w:r>
        <w:rPr>
          <w:rFonts w:ascii="Arial" w:hAnsi="Arial" w:cs="Arial"/>
          <w:sz w:val="26"/>
          <w:szCs w:val="26"/>
          <w:lang w:val="es-MX"/>
        </w:rPr>
        <w:t xml:space="preserve"> por el recurrente en la alzada, pero no a examinar los argumentos planteados en la demanda de nulidad.</w:t>
      </w:r>
    </w:p>
    <w:p w14:paraId="05F5BFC5" w14:textId="77777777" w:rsidR="00E15BB1" w:rsidRPr="007B72C9" w:rsidRDefault="00E15BB1" w:rsidP="00E15BB1">
      <w:pPr>
        <w:spacing w:line="360" w:lineRule="auto"/>
        <w:ind w:firstLine="567"/>
        <w:jc w:val="both"/>
        <w:rPr>
          <w:rFonts w:ascii="Arial" w:hAnsi="Arial" w:cs="Arial"/>
          <w:sz w:val="26"/>
          <w:szCs w:val="26"/>
          <w:lang w:val="es-MX"/>
        </w:rPr>
      </w:pPr>
      <w:r>
        <w:rPr>
          <w:rFonts w:ascii="Arial" w:hAnsi="Arial" w:cs="Arial"/>
          <w:sz w:val="26"/>
          <w:szCs w:val="26"/>
          <w:lang w:val="es-MX"/>
        </w:rPr>
        <w:t xml:space="preserve">Se sostiene la anterior determinación, </w:t>
      </w:r>
      <w:r w:rsidRPr="007B72C9">
        <w:rPr>
          <w:rFonts w:ascii="Arial" w:hAnsi="Arial" w:cs="Arial"/>
          <w:sz w:val="26"/>
          <w:szCs w:val="26"/>
          <w:lang w:val="es-MX"/>
        </w:rPr>
        <w:t xml:space="preserve">en la jurisprudencia IV.3o.A.J/20(9a) </w:t>
      </w:r>
      <w:r>
        <w:rPr>
          <w:rFonts w:ascii="Arial" w:hAnsi="Arial" w:cs="Arial"/>
          <w:sz w:val="26"/>
          <w:szCs w:val="26"/>
          <w:lang w:val="es-MX"/>
        </w:rPr>
        <w:t>emitida por el</w:t>
      </w:r>
      <w:r w:rsidRPr="007B72C9">
        <w:rPr>
          <w:rFonts w:ascii="Arial" w:hAnsi="Arial" w:cs="Arial"/>
          <w:sz w:val="26"/>
          <w:szCs w:val="26"/>
          <w:lang w:val="es-MX"/>
        </w:rPr>
        <w:t xml:space="preserve"> Tercer Tribunal Colegiado en materia Administrativa del Cuarto Circuito, </w:t>
      </w:r>
      <w:r>
        <w:rPr>
          <w:rFonts w:ascii="Arial" w:hAnsi="Arial" w:cs="Arial"/>
          <w:sz w:val="26"/>
          <w:szCs w:val="26"/>
          <w:lang w:val="es-MX"/>
        </w:rPr>
        <w:t>perteneciente a</w:t>
      </w:r>
      <w:r w:rsidRPr="007B72C9">
        <w:rPr>
          <w:rFonts w:ascii="Arial" w:hAnsi="Arial" w:cs="Arial"/>
          <w:sz w:val="26"/>
          <w:szCs w:val="26"/>
          <w:lang w:val="es-MX"/>
        </w:rPr>
        <w:t xml:space="preserve"> la Décima Época, </w:t>
      </w:r>
      <w:r>
        <w:rPr>
          <w:rFonts w:ascii="Arial" w:hAnsi="Arial" w:cs="Arial"/>
          <w:sz w:val="26"/>
          <w:szCs w:val="26"/>
          <w:lang w:val="es-MX"/>
        </w:rPr>
        <w:t>consultable</w:t>
      </w:r>
      <w:r w:rsidRPr="007B72C9">
        <w:rPr>
          <w:rFonts w:ascii="Arial" w:hAnsi="Arial" w:cs="Arial"/>
          <w:sz w:val="26"/>
          <w:szCs w:val="26"/>
          <w:lang w:val="es-MX"/>
        </w:rPr>
        <w:t xml:space="preserve"> en el Semanario Judicial de la Federación y su Gaceta, Libro XII</w:t>
      </w:r>
      <w:r>
        <w:rPr>
          <w:rFonts w:ascii="Arial" w:hAnsi="Arial" w:cs="Arial"/>
          <w:sz w:val="26"/>
          <w:szCs w:val="26"/>
          <w:lang w:val="es-MX"/>
        </w:rPr>
        <w:t xml:space="preserve">, de septiembre de 2012, tomo 3, página 1347, cuyo </w:t>
      </w:r>
      <w:r w:rsidRPr="007B72C9">
        <w:rPr>
          <w:rFonts w:ascii="Arial" w:hAnsi="Arial" w:cs="Arial"/>
          <w:sz w:val="26"/>
          <w:szCs w:val="26"/>
          <w:lang w:val="es-MX"/>
        </w:rPr>
        <w:t xml:space="preserve">rubro y texto </w:t>
      </w:r>
      <w:r>
        <w:rPr>
          <w:rFonts w:ascii="Arial" w:hAnsi="Arial" w:cs="Arial"/>
          <w:sz w:val="26"/>
          <w:szCs w:val="26"/>
          <w:lang w:val="es-MX"/>
        </w:rPr>
        <w:t>son los</w:t>
      </w:r>
      <w:r w:rsidRPr="007B72C9">
        <w:rPr>
          <w:rFonts w:ascii="Arial" w:hAnsi="Arial" w:cs="Arial"/>
          <w:sz w:val="26"/>
          <w:szCs w:val="26"/>
          <w:lang w:val="es-MX"/>
        </w:rPr>
        <w:t xml:space="preserve"> siguiente</w:t>
      </w:r>
      <w:r>
        <w:rPr>
          <w:rFonts w:ascii="Arial" w:hAnsi="Arial" w:cs="Arial"/>
          <w:sz w:val="26"/>
          <w:szCs w:val="26"/>
          <w:lang w:val="es-MX"/>
        </w:rPr>
        <w:t>s:</w:t>
      </w:r>
    </w:p>
    <w:p w14:paraId="3FCA9CB8" w14:textId="77777777" w:rsidR="00E15BB1" w:rsidRPr="00AE0C3E" w:rsidRDefault="00E15BB1" w:rsidP="00E15BB1">
      <w:pPr>
        <w:spacing w:line="360" w:lineRule="auto"/>
        <w:ind w:left="567" w:right="333"/>
        <w:jc w:val="both"/>
        <w:rPr>
          <w:rFonts w:ascii="Arial" w:hAnsi="Arial" w:cs="Arial"/>
          <w:i/>
          <w:lang w:val="es-MX"/>
        </w:rPr>
      </w:pPr>
      <w:r w:rsidRPr="00AE0C3E">
        <w:rPr>
          <w:rFonts w:ascii="Arial" w:hAnsi="Arial" w:cs="Arial"/>
          <w:b/>
          <w:i/>
          <w:lang w:val="es-MX"/>
        </w:rPr>
        <w:lastRenderedPageBreak/>
        <w:t>“AGRAVIOS INOPERANTES EN LA REVISIÓN. SON AQUELLOS QUE REITERAN LOS CONCEPTOS DE VIOLACIÓN, ABUNDAN SOBRE ELLOS O LOS COMPLEMENTAN, SIN COMBATIR LAS CONSIDERACIONES DE LA SENTENCIA RECURRIDA.</w:t>
      </w:r>
      <w:r w:rsidRPr="00AE0C3E">
        <w:rPr>
          <w:rFonts w:ascii="Arial" w:hAnsi="Arial" w:cs="Arial"/>
          <w:i/>
          <w:lang w:val="es-MX"/>
        </w:rPr>
        <w:t xml:space="preserve">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5AEB0E00" w14:textId="77777777" w:rsidR="00E15BB1" w:rsidRDefault="00E15BB1" w:rsidP="00E15BB1">
      <w:pPr>
        <w:spacing w:after="0" w:line="360" w:lineRule="auto"/>
        <w:ind w:firstLine="708"/>
        <w:jc w:val="both"/>
        <w:rPr>
          <w:rFonts w:ascii="Arial" w:hAnsi="Arial" w:cs="Arial"/>
          <w:bCs/>
          <w:iCs/>
          <w:sz w:val="26"/>
          <w:szCs w:val="26"/>
          <w:lang w:val="es-MX"/>
        </w:rPr>
      </w:pPr>
      <w:r w:rsidRPr="00943580">
        <w:rPr>
          <w:rFonts w:ascii="Arial" w:hAnsi="Arial" w:cs="Arial"/>
          <w:bCs/>
          <w:iCs/>
          <w:sz w:val="26"/>
          <w:szCs w:val="26"/>
          <w:lang w:val="es-MX"/>
        </w:rPr>
        <w:t>Por otra parte,</w:t>
      </w:r>
      <w:r>
        <w:rPr>
          <w:rFonts w:ascii="Arial" w:hAnsi="Arial" w:cs="Arial"/>
          <w:bCs/>
          <w:iCs/>
          <w:sz w:val="26"/>
          <w:szCs w:val="26"/>
          <w:lang w:val="es-MX"/>
        </w:rPr>
        <w:t xml:space="preserve"> </w:t>
      </w:r>
      <w:r w:rsidRPr="00943580">
        <w:rPr>
          <w:rFonts w:ascii="Arial" w:hAnsi="Arial" w:cs="Arial"/>
          <w:bCs/>
          <w:iCs/>
          <w:sz w:val="26"/>
          <w:szCs w:val="26"/>
          <w:lang w:val="es-MX"/>
        </w:rPr>
        <w:t xml:space="preserve">en su </w:t>
      </w:r>
      <w:r>
        <w:rPr>
          <w:rFonts w:ascii="Arial" w:hAnsi="Arial" w:cs="Arial"/>
          <w:bCs/>
          <w:iCs/>
          <w:sz w:val="26"/>
          <w:szCs w:val="26"/>
          <w:lang w:val="es-MX"/>
        </w:rPr>
        <w:t xml:space="preserve">primer </w:t>
      </w:r>
      <w:r w:rsidRPr="00943580">
        <w:rPr>
          <w:rFonts w:ascii="Arial" w:hAnsi="Arial" w:cs="Arial"/>
          <w:bCs/>
          <w:iCs/>
          <w:sz w:val="26"/>
          <w:szCs w:val="26"/>
          <w:lang w:val="es-MX"/>
        </w:rPr>
        <w:t xml:space="preserve">agravio </w:t>
      </w:r>
      <w:r>
        <w:rPr>
          <w:rFonts w:ascii="Arial" w:hAnsi="Arial" w:cs="Arial"/>
          <w:bCs/>
          <w:iCs/>
          <w:sz w:val="26"/>
          <w:szCs w:val="26"/>
          <w:lang w:val="es-MX"/>
        </w:rPr>
        <w:t xml:space="preserve">también plantea </w:t>
      </w:r>
      <w:r w:rsidRPr="00943580">
        <w:rPr>
          <w:rFonts w:ascii="Arial" w:hAnsi="Arial" w:cs="Arial"/>
          <w:bCs/>
          <w:iCs/>
          <w:sz w:val="26"/>
          <w:szCs w:val="26"/>
          <w:lang w:val="es-MX"/>
        </w:rPr>
        <w:t xml:space="preserve">que la forma de resolver de la </w:t>
      </w:r>
      <w:r w:rsidRPr="007B712A">
        <w:rPr>
          <w:rFonts w:ascii="Arial" w:hAnsi="Arial" w:cs="Arial"/>
          <w:bCs/>
          <w:i/>
          <w:iCs/>
          <w:sz w:val="26"/>
          <w:szCs w:val="26"/>
          <w:lang w:val="es-MX"/>
        </w:rPr>
        <w:t>A quo</w:t>
      </w:r>
      <w:r w:rsidRPr="00943580">
        <w:rPr>
          <w:rFonts w:ascii="Arial" w:hAnsi="Arial" w:cs="Arial"/>
          <w:bCs/>
          <w:iCs/>
          <w:sz w:val="26"/>
          <w:szCs w:val="26"/>
          <w:lang w:val="es-MX"/>
        </w:rPr>
        <w:t xml:space="preserve"> es ilegal y violatoria</w:t>
      </w:r>
      <w:r>
        <w:rPr>
          <w:rFonts w:ascii="Arial" w:hAnsi="Arial" w:cs="Arial"/>
          <w:bCs/>
          <w:iCs/>
          <w:sz w:val="26"/>
          <w:szCs w:val="26"/>
          <w:lang w:val="es-MX"/>
        </w:rPr>
        <w:t xml:space="preserve"> del artículo 207 fracción I y II</w:t>
      </w:r>
      <w:r>
        <w:rPr>
          <w:rStyle w:val="Refdenotaalpie"/>
          <w:rFonts w:ascii="Arial" w:hAnsi="Arial" w:cs="Arial"/>
          <w:bCs/>
          <w:iCs/>
          <w:sz w:val="26"/>
          <w:szCs w:val="26"/>
          <w:lang w:val="es-MX"/>
        </w:rPr>
        <w:footnoteReference w:id="1"/>
      </w:r>
      <w:r>
        <w:rPr>
          <w:rFonts w:ascii="Arial" w:hAnsi="Arial" w:cs="Arial"/>
          <w:bCs/>
          <w:iCs/>
          <w:sz w:val="26"/>
          <w:szCs w:val="26"/>
          <w:lang w:val="es-MX"/>
        </w:rPr>
        <w:t xml:space="preserve"> de la Ley de Procedimiento y Justicia Administrativa para el Estado de Oaxaca</w:t>
      </w:r>
      <w:r w:rsidRPr="00943580">
        <w:rPr>
          <w:rFonts w:ascii="Arial" w:hAnsi="Arial" w:cs="Arial"/>
          <w:bCs/>
          <w:iCs/>
          <w:sz w:val="26"/>
          <w:szCs w:val="26"/>
          <w:lang w:val="es-MX"/>
        </w:rPr>
        <w:t xml:space="preserve">, ya que la sentencia </w:t>
      </w:r>
      <w:r>
        <w:rPr>
          <w:rFonts w:ascii="Arial" w:hAnsi="Arial" w:cs="Arial"/>
          <w:bCs/>
          <w:iCs/>
          <w:sz w:val="26"/>
          <w:szCs w:val="26"/>
          <w:lang w:val="es-MX"/>
        </w:rPr>
        <w:t>combatida infringe</w:t>
      </w:r>
      <w:r w:rsidRPr="00943580">
        <w:rPr>
          <w:rFonts w:ascii="Arial" w:hAnsi="Arial" w:cs="Arial"/>
          <w:bCs/>
          <w:iCs/>
          <w:sz w:val="26"/>
          <w:szCs w:val="26"/>
          <w:lang w:val="es-MX"/>
        </w:rPr>
        <w:t xml:space="preserve"> los principios de exhaustividad y congruencia que exige </w:t>
      </w:r>
      <w:r>
        <w:rPr>
          <w:rFonts w:ascii="Arial" w:hAnsi="Arial" w:cs="Arial"/>
          <w:bCs/>
          <w:iCs/>
          <w:sz w:val="26"/>
          <w:szCs w:val="26"/>
          <w:lang w:val="es-MX"/>
        </w:rPr>
        <w:t>el precepto legal citado</w:t>
      </w:r>
      <w:r w:rsidRPr="00943580">
        <w:rPr>
          <w:rFonts w:ascii="Arial" w:hAnsi="Arial" w:cs="Arial"/>
          <w:bCs/>
          <w:iCs/>
          <w:sz w:val="26"/>
          <w:szCs w:val="26"/>
          <w:lang w:val="es-MX"/>
        </w:rPr>
        <w:t xml:space="preserve">, ya que la </w:t>
      </w:r>
      <w:r w:rsidRPr="00B15538">
        <w:rPr>
          <w:rFonts w:ascii="Arial" w:hAnsi="Arial" w:cs="Arial"/>
          <w:bCs/>
          <w:i/>
          <w:iCs/>
          <w:sz w:val="26"/>
          <w:szCs w:val="26"/>
          <w:lang w:val="es-MX"/>
        </w:rPr>
        <w:t>A quo</w:t>
      </w:r>
      <w:r>
        <w:rPr>
          <w:rFonts w:ascii="Arial" w:hAnsi="Arial" w:cs="Arial"/>
          <w:bCs/>
          <w:iCs/>
          <w:sz w:val="26"/>
          <w:szCs w:val="26"/>
          <w:lang w:val="es-MX"/>
        </w:rPr>
        <w:t xml:space="preserve"> </w:t>
      </w:r>
      <w:r w:rsidRPr="00943580">
        <w:rPr>
          <w:rFonts w:ascii="Arial" w:hAnsi="Arial" w:cs="Arial"/>
          <w:bCs/>
          <w:iCs/>
          <w:sz w:val="26"/>
          <w:szCs w:val="26"/>
          <w:lang w:val="es-MX"/>
        </w:rPr>
        <w:t xml:space="preserve">se encontraba obligada a examinar </w:t>
      </w:r>
      <w:r>
        <w:rPr>
          <w:rFonts w:ascii="Arial" w:hAnsi="Arial" w:cs="Arial"/>
          <w:bCs/>
          <w:iCs/>
          <w:sz w:val="26"/>
          <w:szCs w:val="26"/>
          <w:lang w:val="es-MX"/>
        </w:rPr>
        <w:t xml:space="preserve">la totalidad de los </w:t>
      </w:r>
      <w:r w:rsidRPr="00943580">
        <w:rPr>
          <w:rFonts w:ascii="Arial" w:hAnsi="Arial" w:cs="Arial"/>
          <w:bCs/>
          <w:iCs/>
          <w:sz w:val="26"/>
          <w:szCs w:val="26"/>
          <w:lang w:val="es-MX"/>
        </w:rPr>
        <w:t>puntos controvertidos en el juicio de nulidad y debió pronunciarse respecto de todos los argumentos escritos en la demanda, por lo que es procedente que se revoque la sentencia y se emita otra en la que se dec</w:t>
      </w:r>
      <w:r>
        <w:rPr>
          <w:rFonts w:ascii="Arial" w:hAnsi="Arial" w:cs="Arial"/>
          <w:bCs/>
          <w:iCs/>
          <w:sz w:val="26"/>
          <w:szCs w:val="26"/>
          <w:lang w:val="es-MX"/>
        </w:rPr>
        <w:t>lare la nulidad que se pide.</w:t>
      </w:r>
    </w:p>
    <w:p w14:paraId="0684F7B6" w14:textId="77777777" w:rsidR="00E15BB1" w:rsidRDefault="00E15BB1" w:rsidP="00E15BB1">
      <w:pPr>
        <w:spacing w:after="0" w:line="360" w:lineRule="auto"/>
        <w:ind w:firstLine="708"/>
        <w:jc w:val="both"/>
        <w:rPr>
          <w:rFonts w:ascii="Arial" w:hAnsi="Arial" w:cs="Arial"/>
          <w:bCs/>
          <w:iCs/>
          <w:sz w:val="26"/>
          <w:szCs w:val="26"/>
          <w:lang w:val="es-MX"/>
        </w:rPr>
      </w:pPr>
      <w:r>
        <w:rPr>
          <w:rFonts w:ascii="Arial" w:hAnsi="Arial" w:cs="Arial"/>
          <w:bCs/>
          <w:iCs/>
          <w:sz w:val="26"/>
          <w:szCs w:val="26"/>
          <w:lang w:val="es-MX"/>
        </w:rPr>
        <w:t>Indica que la Segunda Sala de Primera Instancia</w:t>
      </w:r>
      <w:r w:rsidRPr="00943580">
        <w:rPr>
          <w:rFonts w:ascii="Arial" w:hAnsi="Arial" w:cs="Arial"/>
          <w:bCs/>
          <w:iCs/>
          <w:sz w:val="26"/>
          <w:szCs w:val="26"/>
          <w:lang w:val="es-MX"/>
        </w:rPr>
        <w:t xml:space="preserve">, omitió pronunciarse respecto de los conceptos de impugnación números primero, segundo y cuarto </w:t>
      </w:r>
      <w:r>
        <w:rPr>
          <w:rFonts w:ascii="Arial" w:hAnsi="Arial" w:cs="Arial"/>
          <w:bCs/>
          <w:iCs/>
          <w:sz w:val="26"/>
          <w:szCs w:val="26"/>
          <w:lang w:val="es-MX"/>
        </w:rPr>
        <w:t>formulados en la</w:t>
      </w:r>
      <w:r w:rsidRPr="00943580">
        <w:rPr>
          <w:rFonts w:ascii="Arial" w:hAnsi="Arial" w:cs="Arial"/>
          <w:bCs/>
          <w:iCs/>
          <w:sz w:val="26"/>
          <w:szCs w:val="26"/>
          <w:lang w:val="es-MX"/>
        </w:rPr>
        <w:t xml:space="preserve"> demanda de nulidad, en el que se alegó la violación a lo dispuesto por el artículo 129, incisos i) y j), y 130, fracción II del Reglamento de Vialidad para el Municipio de Oaxaca de Juárez, toda vez que el policía vial no circunstanció en el acta de infracción </w:t>
      </w:r>
      <w:r>
        <w:rPr>
          <w:rFonts w:ascii="Arial" w:hAnsi="Arial" w:cs="Arial"/>
          <w:bCs/>
          <w:iCs/>
          <w:sz w:val="26"/>
          <w:szCs w:val="26"/>
          <w:lang w:val="es-MX"/>
        </w:rPr>
        <w:t>los datos de su identificación</w:t>
      </w:r>
      <w:r w:rsidRPr="00943580">
        <w:rPr>
          <w:rFonts w:ascii="Arial" w:hAnsi="Arial" w:cs="Arial"/>
          <w:bCs/>
          <w:iCs/>
          <w:sz w:val="26"/>
          <w:szCs w:val="26"/>
          <w:lang w:val="es-MX"/>
        </w:rPr>
        <w:t>, y la ilegalidad por falta de competencia de la autoridad emisora del acta de infracción, mismo que señala que de haber sido analizados, conducirían a una nulidad lisa y llana; o en su caso, a obtener un mayor beneficio para el recurrente, y al no ha</w:t>
      </w:r>
      <w:r>
        <w:rPr>
          <w:rFonts w:ascii="Arial" w:hAnsi="Arial" w:cs="Arial"/>
          <w:bCs/>
          <w:iCs/>
          <w:sz w:val="26"/>
          <w:szCs w:val="26"/>
          <w:lang w:val="es-MX"/>
        </w:rPr>
        <w:t>berlo considerando así, se violaron</w:t>
      </w:r>
      <w:r w:rsidRPr="00943580">
        <w:rPr>
          <w:rFonts w:ascii="Arial" w:hAnsi="Arial" w:cs="Arial"/>
          <w:bCs/>
          <w:iCs/>
          <w:sz w:val="26"/>
          <w:szCs w:val="26"/>
          <w:lang w:val="es-MX"/>
        </w:rPr>
        <w:t xml:space="preserve"> en su perjuicio las garantías de audiencia, legalidad y seguridad jurídica, tuteladas por los artículos 1, 14 y 16 Constitucionales, en relación con el 207, fracciones I y II de </w:t>
      </w:r>
      <w:r>
        <w:rPr>
          <w:rFonts w:ascii="Arial" w:hAnsi="Arial" w:cs="Arial"/>
          <w:bCs/>
          <w:iCs/>
          <w:sz w:val="26"/>
          <w:szCs w:val="26"/>
          <w:lang w:val="es-MX"/>
        </w:rPr>
        <w:t xml:space="preserve">la Ley </w:t>
      </w:r>
      <w:r>
        <w:rPr>
          <w:rFonts w:ascii="Arial" w:hAnsi="Arial" w:cs="Arial"/>
          <w:bCs/>
          <w:iCs/>
          <w:sz w:val="26"/>
          <w:szCs w:val="26"/>
          <w:lang w:val="es-MX"/>
        </w:rPr>
        <w:lastRenderedPageBreak/>
        <w:t>de P</w:t>
      </w:r>
      <w:r w:rsidRPr="00943580">
        <w:rPr>
          <w:rFonts w:ascii="Arial" w:hAnsi="Arial" w:cs="Arial"/>
          <w:bCs/>
          <w:iCs/>
          <w:sz w:val="26"/>
          <w:szCs w:val="26"/>
          <w:lang w:val="es-MX"/>
        </w:rPr>
        <w:t>rocedimiento y Justicia Administrativa para el Estado de Oaxaca, por lo cual dice, es procedente se modifique la sentencia y se declare la nulidad del acta de infracción impugnada.</w:t>
      </w:r>
    </w:p>
    <w:p w14:paraId="361FAF33" w14:textId="77777777" w:rsidR="00E15BB1" w:rsidRDefault="00E15BB1" w:rsidP="00E15BB1">
      <w:pPr>
        <w:spacing w:after="0" w:line="360" w:lineRule="auto"/>
        <w:ind w:firstLine="708"/>
        <w:jc w:val="both"/>
        <w:rPr>
          <w:rFonts w:ascii="Arial" w:hAnsi="Arial" w:cs="Arial"/>
          <w:color w:val="000000"/>
          <w:sz w:val="26"/>
          <w:szCs w:val="26"/>
        </w:rPr>
      </w:pPr>
      <w:r>
        <w:rPr>
          <w:rFonts w:ascii="Arial" w:hAnsi="Arial" w:cs="Arial"/>
          <w:bCs/>
          <w:iCs/>
          <w:sz w:val="26"/>
          <w:szCs w:val="26"/>
          <w:lang w:val="es-MX"/>
        </w:rPr>
        <w:t xml:space="preserve">Ahora bien, del </w:t>
      </w:r>
      <w:r w:rsidRPr="00FE7757">
        <w:rPr>
          <w:rFonts w:ascii="Arial" w:hAnsi="Arial" w:cs="Arial"/>
          <w:color w:val="000000"/>
          <w:sz w:val="26"/>
          <w:szCs w:val="26"/>
        </w:rPr>
        <w:t xml:space="preserve">expediente remitido a esta Sala </w:t>
      </w:r>
      <w:r>
        <w:rPr>
          <w:rFonts w:ascii="Arial" w:hAnsi="Arial" w:cs="Arial"/>
          <w:color w:val="000000"/>
          <w:sz w:val="26"/>
          <w:szCs w:val="26"/>
        </w:rPr>
        <w:t xml:space="preserve">Superior </w:t>
      </w:r>
      <w:r w:rsidRPr="00FE7757">
        <w:rPr>
          <w:rFonts w:ascii="Arial" w:hAnsi="Arial" w:cs="Arial"/>
          <w:color w:val="000000"/>
          <w:sz w:val="26"/>
          <w:szCs w:val="26"/>
        </w:rPr>
        <w:t xml:space="preserve">para la </w:t>
      </w:r>
      <w:r>
        <w:rPr>
          <w:rFonts w:ascii="Arial" w:hAnsi="Arial" w:cs="Arial"/>
          <w:color w:val="000000"/>
          <w:sz w:val="26"/>
          <w:szCs w:val="26"/>
        </w:rPr>
        <w:t>tramitación</w:t>
      </w:r>
      <w:r w:rsidRPr="00FE7757">
        <w:rPr>
          <w:rFonts w:ascii="Arial" w:hAnsi="Arial" w:cs="Arial"/>
          <w:color w:val="000000"/>
          <w:sz w:val="26"/>
          <w:szCs w:val="26"/>
        </w:rPr>
        <w:t xml:space="preserve"> del presente recurso</w:t>
      </w:r>
      <w:r>
        <w:rPr>
          <w:rFonts w:ascii="Arial" w:hAnsi="Arial" w:cs="Arial"/>
          <w:color w:val="000000"/>
          <w:sz w:val="26"/>
          <w:szCs w:val="26"/>
        </w:rPr>
        <w:t xml:space="preserve"> de revisión</w:t>
      </w:r>
      <w:r w:rsidRPr="00FE7757">
        <w:rPr>
          <w:rFonts w:ascii="Arial" w:hAnsi="Arial" w:cs="Arial"/>
          <w:color w:val="000000"/>
          <w:sz w:val="26"/>
          <w:szCs w:val="26"/>
        </w:rPr>
        <w:t xml:space="preserve">, </w:t>
      </w:r>
      <w:r>
        <w:rPr>
          <w:rFonts w:ascii="Arial" w:hAnsi="Arial" w:cs="Arial"/>
          <w:color w:val="000000"/>
          <w:sz w:val="26"/>
          <w:szCs w:val="26"/>
        </w:rPr>
        <w:t>al cual se le confiere valor probatorio pleno</w:t>
      </w:r>
      <w:r w:rsidRPr="00FE7757">
        <w:rPr>
          <w:rFonts w:ascii="Arial" w:hAnsi="Arial" w:cs="Arial"/>
          <w:color w:val="000000"/>
          <w:sz w:val="26"/>
          <w:szCs w:val="26"/>
        </w:rPr>
        <w:t xml:space="preserve"> </w:t>
      </w:r>
      <w:r>
        <w:rPr>
          <w:rFonts w:ascii="Arial" w:hAnsi="Arial" w:cs="Arial"/>
          <w:color w:val="000000"/>
          <w:sz w:val="26"/>
          <w:szCs w:val="26"/>
        </w:rPr>
        <w:t xml:space="preserve">en términos del </w:t>
      </w:r>
      <w:r w:rsidRPr="00FE7757">
        <w:rPr>
          <w:rFonts w:ascii="Arial" w:hAnsi="Arial" w:cs="Arial"/>
          <w:color w:val="000000"/>
          <w:sz w:val="26"/>
          <w:szCs w:val="26"/>
        </w:rPr>
        <w:t>artículo 203 fracción I</w:t>
      </w:r>
      <w:r>
        <w:rPr>
          <w:rStyle w:val="Refdenotaalpie"/>
          <w:rFonts w:ascii="Arial" w:hAnsi="Arial" w:cs="Arial"/>
          <w:color w:val="000000"/>
          <w:sz w:val="26"/>
          <w:szCs w:val="26"/>
        </w:rPr>
        <w:footnoteReference w:id="2"/>
      </w:r>
      <w:r w:rsidRPr="00FE7757">
        <w:rPr>
          <w:rFonts w:ascii="Arial" w:hAnsi="Arial" w:cs="Arial"/>
          <w:color w:val="000000"/>
          <w:sz w:val="26"/>
          <w:szCs w:val="26"/>
        </w:rPr>
        <w:t xml:space="preserve"> de la Ley de Procedimiento y Justicia Administrativa para el Estado</w:t>
      </w:r>
      <w:r>
        <w:rPr>
          <w:rFonts w:ascii="Arial" w:hAnsi="Arial" w:cs="Arial"/>
          <w:color w:val="000000"/>
          <w:sz w:val="26"/>
          <w:szCs w:val="26"/>
        </w:rPr>
        <w:t xml:space="preserve"> de Oaxaca</w:t>
      </w:r>
      <w:r w:rsidRPr="00FE7757">
        <w:rPr>
          <w:rFonts w:ascii="Arial" w:hAnsi="Arial" w:cs="Arial"/>
          <w:color w:val="000000"/>
          <w:sz w:val="26"/>
          <w:szCs w:val="26"/>
        </w:rPr>
        <w:t>, al tratarse de actuaciones judiciales, se advierte que la Primera Instancia en la parte relativa del considerando</w:t>
      </w:r>
      <w:r>
        <w:rPr>
          <w:rFonts w:ascii="Arial" w:hAnsi="Arial" w:cs="Arial"/>
          <w:color w:val="000000"/>
          <w:sz w:val="26"/>
          <w:szCs w:val="26"/>
        </w:rPr>
        <w:t xml:space="preserve"> </w:t>
      </w:r>
      <w:r w:rsidRPr="00846D9A">
        <w:rPr>
          <w:rFonts w:ascii="Arial" w:hAnsi="Arial" w:cs="Arial"/>
          <w:b/>
          <w:color w:val="000000"/>
          <w:sz w:val="26"/>
          <w:szCs w:val="26"/>
        </w:rPr>
        <w:t>CUARTO</w:t>
      </w:r>
      <w:r w:rsidRPr="00FE7757">
        <w:rPr>
          <w:rFonts w:ascii="Arial" w:hAnsi="Arial" w:cs="Arial"/>
          <w:color w:val="000000"/>
          <w:sz w:val="26"/>
          <w:szCs w:val="26"/>
        </w:rPr>
        <w:t xml:space="preserve"> determinó</w:t>
      </w:r>
      <w:r>
        <w:rPr>
          <w:rFonts w:ascii="Arial" w:hAnsi="Arial" w:cs="Arial"/>
          <w:color w:val="000000"/>
          <w:sz w:val="26"/>
          <w:szCs w:val="26"/>
        </w:rPr>
        <w:t xml:space="preserve"> lo siguiente</w:t>
      </w:r>
      <w:r w:rsidRPr="00FE7757">
        <w:rPr>
          <w:rFonts w:ascii="Arial" w:hAnsi="Arial" w:cs="Arial"/>
          <w:color w:val="000000"/>
          <w:sz w:val="26"/>
          <w:szCs w:val="26"/>
        </w:rPr>
        <w:t>:</w:t>
      </w:r>
    </w:p>
    <w:p w14:paraId="78910633" w14:textId="0AA977A0" w:rsidR="00E15BB1" w:rsidRPr="00AE0C3E" w:rsidRDefault="00E15BB1" w:rsidP="00E15BB1">
      <w:pPr>
        <w:spacing w:after="0" w:line="360" w:lineRule="auto"/>
        <w:ind w:left="567" w:right="51"/>
        <w:jc w:val="both"/>
        <w:rPr>
          <w:rFonts w:ascii="Arial" w:eastAsia="Times New Roman" w:hAnsi="Arial" w:cs="Arial"/>
          <w:i/>
          <w:lang w:val="es-ES_tradnl" w:eastAsia="es-ES"/>
        </w:rPr>
      </w:pPr>
      <w:r w:rsidRPr="00AE0C3E">
        <w:rPr>
          <w:rFonts w:ascii="Arial" w:eastAsia="Times New Roman" w:hAnsi="Arial" w:cs="Arial"/>
          <w:b/>
          <w:i/>
          <w:lang w:val="es-ES_tradnl" w:eastAsia="es-ES"/>
        </w:rPr>
        <w:t>“CUARTO.-</w:t>
      </w:r>
      <w:r w:rsidRPr="00AE0C3E">
        <w:rPr>
          <w:rFonts w:ascii="Arial" w:eastAsia="Times New Roman" w:hAnsi="Arial" w:cs="Arial"/>
          <w:i/>
          <w:lang w:val="es-ES_tradnl" w:eastAsia="es-ES"/>
        </w:rPr>
        <w:t xml:space="preserve"> La parte actora demandó la nulidad del acta de infracción del </w:t>
      </w:r>
      <w:r w:rsidRPr="00AE0C3E">
        <w:rPr>
          <w:rFonts w:ascii="Arial" w:eastAsia="Times New Roman" w:hAnsi="Arial" w:cs="Arial"/>
          <w:b/>
          <w:i/>
          <w:lang w:val="es-ES_tradnl" w:eastAsia="es-ES"/>
        </w:rPr>
        <w:t xml:space="preserve">folio </w:t>
      </w:r>
      <w:r w:rsidR="00026FD6">
        <w:rPr>
          <w:rFonts w:ascii="Arial" w:eastAsia="Times New Roman" w:hAnsi="Arial" w:cs="Arial"/>
          <w:b/>
          <w:i/>
          <w:lang w:val="es-ES_tradnl" w:eastAsia="es-ES"/>
        </w:rPr>
        <w:t>**********</w:t>
      </w:r>
      <w:r w:rsidRPr="00AE0C3E">
        <w:rPr>
          <w:rFonts w:ascii="Arial" w:eastAsia="Times New Roman" w:hAnsi="Arial" w:cs="Arial"/>
          <w:i/>
          <w:lang w:val="es-ES_tradnl" w:eastAsia="es-ES"/>
        </w:rPr>
        <w:t xml:space="preserve">, de diecinueve de septiembre de dos mil dieciocho, elaborada por el </w:t>
      </w:r>
      <w:r w:rsidRPr="00AE0C3E">
        <w:rPr>
          <w:rFonts w:ascii="Arial" w:eastAsia="Times New Roman" w:hAnsi="Arial" w:cs="Arial"/>
          <w:b/>
          <w:i/>
          <w:lang w:val="es-ES_tradnl" w:eastAsia="es-ES"/>
        </w:rPr>
        <w:t xml:space="preserve">Policía Vial </w:t>
      </w:r>
      <w:r w:rsidR="00026FD6">
        <w:rPr>
          <w:rFonts w:ascii="Arial" w:eastAsia="Times New Roman" w:hAnsi="Arial" w:cs="Arial"/>
          <w:b/>
          <w:i/>
          <w:lang w:val="es-ES_tradnl" w:eastAsia="es-ES"/>
        </w:rPr>
        <w:t>**********</w:t>
      </w:r>
      <w:r w:rsidRPr="00AE0C3E">
        <w:rPr>
          <w:rFonts w:ascii="Arial" w:eastAsia="Times New Roman" w:hAnsi="Arial" w:cs="Arial"/>
          <w:b/>
          <w:i/>
          <w:lang w:val="es-ES_tradnl" w:eastAsia="es-ES"/>
        </w:rPr>
        <w:t xml:space="preserve">, con número estadístico </w:t>
      </w:r>
      <w:r w:rsidR="00026FD6">
        <w:rPr>
          <w:rFonts w:ascii="Arial" w:eastAsia="Times New Roman" w:hAnsi="Arial" w:cs="Arial"/>
          <w:b/>
          <w:i/>
          <w:lang w:val="es-ES_tradnl" w:eastAsia="es-ES"/>
        </w:rPr>
        <w:t>**********</w:t>
      </w:r>
      <w:r w:rsidRPr="00AE0C3E">
        <w:rPr>
          <w:rFonts w:ascii="Arial" w:eastAsia="Times New Roman" w:hAnsi="Arial" w:cs="Arial"/>
          <w:b/>
          <w:i/>
          <w:lang w:val="es-ES_tradnl" w:eastAsia="es-ES"/>
        </w:rPr>
        <w:t xml:space="preserve"> de la Comisaria de Vialidad del Municipio de Oaxaca de Juárez, Oaxaca</w:t>
      </w:r>
      <w:r w:rsidRPr="00AE0C3E">
        <w:rPr>
          <w:rFonts w:ascii="Arial" w:eastAsia="Times New Roman" w:hAnsi="Arial" w:cs="Arial"/>
          <w:i/>
          <w:lang w:val="es-ES_tradnl" w:eastAsia="es-ES"/>
        </w:rPr>
        <w:t xml:space="preserve">; respecto de la cual formuló  conceptos de impugnación y ofreció pruebas.  </w:t>
      </w:r>
    </w:p>
    <w:p w14:paraId="6EA7C816" w14:textId="77777777" w:rsidR="00E15BB1" w:rsidRPr="00AE0C3E" w:rsidRDefault="00E15BB1" w:rsidP="00E15BB1">
      <w:pPr>
        <w:widowControl w:val="0"/>
        <w:spacing w:after="0" w:line="360" w:lineRule="auto"/>
        <w:ind w:left="567" w:right="51" w:firstLine="708"/>
        <w:jc w:val="both"/>
        <w:rPr>
          <w:rFonts w:ascii="Arial" w:eastAsia="Times New Roman" w:hAnsi="Arial" w:cs="Arial"/>
          <w:i/>
          <w:lang w:eastAsia="es-ES"/>
        </w:rPr>
      </w:pPr>
      <w:r w:rsidRPr="00AE0C3E">
        <w:rPr>
          <w:rFonts w:ascii="Arial" w:eastAsia="Times New Roman" w:hAnsi="Arial" w:cs="Arial"/>
          <w:b/>
          <w:bCs/>
          <w:i/>
          <w:lang w:eastAsia="es-ES"/>
        </w:rPr>
        <w:t xml:space="preserve">Estudio de los conceptos de impugnación y pruebas ofrecidas por el actor. </w:t>
      </w:r>
      <w:r w:rsidRPr="00AE0C3E">
        <w:rPr>
          <w:rFonts w:ascii="Arial" w:eastAsia="Times New Roman" w:hAnsi="Arial" w:cs="Arial"/>
          <w:bCs/>
          <w:i/>
          <w:lang w:eastAsia="es-ES"/>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AE0C3E">
        <w:rPr>
          <w:rFonts w:ascii="Arial" w:eastAsia="Times New Roman" w:hAnsi="Arial" w:cs="Arial"/>
          <w:i/>
          <w:lang w:eastAsia="es-ES"/>
        </w:rPr>
        <w:t xml:space="preserve">; no obstante ello, serán valorados en el cuerpo de esta sentencia. </w:t>
      </w:r>
    </w:p>
    <w:p w14:paraId="35B3F40C" w14:textId="77777777" w:rsidR="00E15BB1" w:rsidRPr="00AE0C3E" w:rsidRDefault="00E15BB1" w:rsidP="00E15BB1">
      <w:pPr>
        <w:widowControl w:val="0"/>
        <w:autoSpaceDE w:val="0"/>
        <w:autoSpaceDN w:val="0"/>
        <w:spacing w:after="0" w:line="360" w:lineRule="auto"/>
        <w:ind w:left="567" w:right="51" w:firstLine="709"/>
        <w:jc w:val="both"/>
        <w:rPr>
          <w:rFonts w:ascii="Arial" w:eastAsia="Times New Roman" w:hAnsi="Arial" w:cs="Arial"/>
          <w:i/>
          <w:lang w:eastAsia="es-MX"/>
        </w:rPr>
      </w:pPr>
      <w:r w:rsidRPr="00AE0C3E">
        <w:rPr>
          <w:rFonts w:ascii="Arial" w:eastAsia="Times New Roman" w:hAnsi="Arial" w:cs="Arial"/>
          <w:i/>
          <w:lang w:val="es-MX" w:eastAsia="es-MX"/>
        </w:rPr>
        <w:t>Al respecto, resulta aplicable</w:t>
      </w:r>
      <w:r w:rsidRPr="00AE0C3E">
        <w:rPr>
          <w:rFonts w:ascii="Arial" w:eastAsia="Times New Roman" w:hAnsi="Arial" w:cs="Arial"/>
          <w:i/>
          <w:lang w:eastAsia="es-MX"/>
        </w:rPr>
        <w:t xml:space="preserve"> la Jurisprudencia por contradicción de tesis 2a./J. 58/2010, publicada en la Novena Época, por la Segunda Sala de la Suprema Corte de Justicia de la Nación, consultable en el Semanario Judicial de la Federación y su Gaceta, Tomo XXXI, mayo de 2010, página 830, de rubro y texto siguiente: </w:t>
      </w:r>
    </w:p>
    <w:p w14:paraId="53A6342B" w14:textId="77777777" w:rsidR="00E15BB1" w:rsidRPr="00AE0C3E" w:rsidRDefault="00E15BB1" w:rsidP="00E15BB1">
      <w:pPr>
        <w:widowControl w:val="0"/>
        <w:autoSpaceDE w:val="0"/>
        <w:autoSpaceDN w:val="0"/>
        <w:spacing w:after="0" w:line="360" w:lineRule="auto"/>
        <w:ind w:left="567" w:right="51" w:firstLine="709"/>
        <w:jc w:val="both"/>
        <w:rPr>
          <w:rFonts w:ascii="Arial" w:eastAsia="Times New Roman" w:hAnsi="Arial" w:cs="Arial"/>
          <w:i/>
          <w:lang w:eastAsia="es-MX"/>
        </w:rPr>
      </w:pPr>
    </w:p>
    <w:p w14:paraId="2A2C3E39" w14:textId="77777777" w:rsidR="00E15BB1" w:rsidRPr="00AE0C3E" w:rsidRDefault="00E15BB1" w:rsidP="00E15BB1">
      <w:pPr>
        <w:widowControl w:val="0"/>
        <w:spacing w:after="0" w:line="240" w:lineRule="auto"/>
        <w:ind w:left="851" w:right="618" w:firstLine="425"/>
        <w:jc w:val="both"/>
        <w:rPr>
          <w:rFonts w:ascii="Times New Roman" w:eastAsia="Times New Roman" w:hAnsi="Times New Roman" w:cs="Times New Roman"/>
          <w:i/>
          <w:lang w:eastAsia="es-ES"/>
        </w:rPr>
      </w:pPr>
      <w:r w:rsidRPr="00AE0C3E">
        <w:rPr>
          <w:rFonts w:ascii="Arial" w:eastAsia="Times New Roman" w:hAnsi="Arial" w:cs="Arial"/>
          <w:b/>
          <w:i/>
          <w:lang w:eastAsia="es-ES"/>
        </w:rPr>
        <w:t xml:space="preserve">“CONGRUENCIA Y EXHAUSTIVIDAD EN LAS SENTENCIAS DE AMPARO ES INNECESARIA SU TRANSCRIPCIÓN. </w:t>
      </w:r>
      <w:r w:rsidRPr="00AE0C3E">
        <w:rPr>
          <w:rFonts w:ascii="Arial" w:eastAsia="Times New Roman" w:hAnsi="Arial" w:cs="Arial"/>
          <w:i/>
          <w:lang w:eastAsia="es-E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E5BDA0F" w14:textId="77777777" w:rsidR="00E15BB1" w:rsidRPr="00AE0C3E" w:rsidRDefault="00E15BB1" w:rsidP="00E15BB1">
      <w:pPr>
        <w:widowControl w:val="0"/>
        <w:autoSpaceDE w:val="0"/>
        <w:autoSpaceDN w:val="0"/>
        <w:spacing w:after="0" w:line="360" w:lineRule="auto"/>
        <w:ind w:left="567" w:right="51" w:firstLine="709"/>
        <w:jc w:val="both"/>
        <w:rPr>
          <w:rFonts w:ascii="Arial" w:eastAsia="Times New Roman" w:hAnsi="Arial" w:cs="Arial"/>
          <w:b/>
          <w:i/>
          <w:lang w:eastAsia="es-MX"/>
        </w:rPr>
      </w:pPr>
    </w:p>
    <w:p w14:paraId="24C96AFC"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r w:rsidRPr="00AE0C3E">
        <w:rPr>
          <w:rFonts w:ascii="Arial" w:eastAsia="Times New Roman" w:hAnsi="Arial" w:cs="Arial"/>
          <w:b/>
          <w:i/>
          <w:lang w:val="es-ES_tradnl" w:eastAsia="es-ES"/>
        </w:rPr>
        <w:t>Del estudio de los conceptos de impugnación narrados en la demanda de la parte actora, resultan infundados</w:t>
      </w:r>
      <w:r w:rsidRPr="00AE0C3E">
        <w:rPr>
          <w:rFonts w:ascii="Arial" w:eastAsia="Times New Roman" w:hAnsi="Arial" w:cs="Arial"/>
          <w:i/>
          <w:lang w:val="es-ES_tradnl" w:eastAsia="es-ES"/>
        </w:rPr>
        <w:t xml:space="preserve">, ya que no le asiste razón </w:t>
      </w:r>
      <w:r w:rsidRPr="00AE0C3E">
        <w:rPr>
          <w:rFonts w:ascii="Arial" w:eastAsia="Times New Roman" w:hAnsi="Arial" w:cs="Arial"/>
          <w:i/>
          <w:lang w:val="es-ES_tradnl" w:eastAsia="es-ES"/>
        </w:rPr>
        <w:lastRenderedPageBreak/>
        <w:t>a la actora de que el acta de infracción se encuentra indebidamente fundada y motivada, porque no especificó si la fundamentación o motivación es indebida o ambas. Tomando en consideración que un acto se encuentra indebidamente fundado y motivado cuando la fundamentación no corresponde a la motivación o viceversa.</w:t>
      </w:r>
    </w:p>
    <w:p w14:paraId="5E1A1100"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p>
    <w:p w14:paraId="290B0378"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r w:rsidRPr="00AE0C3E">
        <w:rPr>
          <w:rFonts w:ascii="Arial" w:eastAsia="Times New Roman" w:hAnsi="Arial" w:cs="Arial"/>
          <w:i/>
          <w:lang w:val="es-ES_tradnl" w:eastAsia="es-ES"/>
        </w:rPr>
        <w:t>El original del acta de infracción se trata de una documental con valor pleno en términos del artículo 203 fracción I de la Ley de Procedimiento y Justicia Administrativa para el estado de Oaxaca, ya que fue elaborada por autoridad competente, en ejercicio de sus funciones y siguiendo con el análisis de la citada acta se advierte que, es un formato pre-impreso, el cual fue diseñado dada la especial y singular forma en que son realizados estos actos administrativos, ya que resultan ser infracciones de tránsito hechas en las calles del Municipio de Oaxaca de Juárez.</w:t>
      </w:r>
    </w:p>
    <w:p w14:paraId="2690DD99"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p>
    <w:p w14:paraId="1E92099B"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r w:rsidRPr="00AE0C3E">
        <w:rPr>
          <w:rFonts w:ascii="Arial" w:eastAsia="Times New Roman" w:hAnsi="Arial" w:cs="Arial"/>
          <w:i/>
          <w:lang w:val="es-ES_tradnl" w:eastAsia="es-ES"/>
        </w:rPr>
        <w:t>Del contenido del acta de infracción se advierte que el Policía Vial invocó como fundamentación los artículos 59, fracción I, inciso d) y 137 del Reglamento de Vialidad para el Municipio de Oaxaca de Juárez, Oaxaca; y como motivación plasmó pasarse la luz roja del semáforo,</w:t>
      </w:r>
      <w:r w:rsidRPr="00AE0C3E">
        <w:rPr>
          <w:rFonts w:ascii="Arial" w:eastAsia="Times New Roman" w:hAnsi="Arial" w:cs="Arial"/>
          <w:b/>
          <w:i/>
          <w:lang w:val="es-ES_tradnl" w:eastAsia="es-ES"/>
        </w:rPr>
        <w:t xml:space="preserve"> </w:t>
      </w:r>
      <w:r w:rsidRPr="00AE0C3E">
        <w:rPr>
          <w:rFonts w:ascii="Arial" w:eastAsia="Times New Roman" w:hAnsi="Arial" w:cs="Arial"/>
          <w:i/>
          <w:lang w:val="es-ES_tradnl" w:eastAsia="es-ES"/>
        </w:rPr>
        <w:t>actualizándose como falta la obligación como conductor de detener la marcha de la unidad de motor antes de la raya de alto total y respetar el señalamiento del paso peatonal; al no hacerlo así de motu proprio se ubicó en la hipótesis normativa.</w:t>
      </w:r>
    </w:p>
    <w:p w14:paraId="63873CAC"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p>
    <w:p w14:paraId="562F899F"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r w:rsidRPr="00AE0C3E">
        <w:rPr>
          <w:rFonts w:ascii="Arial" w:eastAsia="Times New Roman" w:hAnsi="Arial" w:cs="Arial"/>
          <w:i/>
          <w:lang w:val="es-ES_tradnl" w:eastAsia="es-ES"/>
        </w:rPr>
        <w:t>Dichos numerales disponen:</w:t>
      </w:r>
    </w:p>
    <w:p w14:paraId="78BF6B41"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p>
    <w:p w14:paraId="62829C4A" w14:textId="77777777" w:rsidR="00E15BB1" w:rsidRPr="00AE0C3E" w:rsidRDefault="00E15BB1" w:rsidP="00E15BB1">
      <w:pPr>
        <w:spacing w:after="0" w:line="240" w:lineRule="auto"/>
        <w:ind w:left="567" w:right="51" w:firstLine="708"/>
        <w:jc w:val="both"/>
        <w:rPr>
          <w:rFonts w:ascii="Arial" w:eastAsia="Times New Roman" w:hAnsi="Arial" w:cs="Arial"/>
          <w:b/>
          <w:bCs/>
          <w:i/>
          <w:lang w:val="es-MX" w:eastAsia="es-ES"/>
        </w:rPr>
      </w:pPr>
      <w:r w:rsidRPr="00AE0C3E">
        <w:rPr>
          <w:rFonts w:ascii="Arial" w:eastAsia="Times New Roman" w:hAnsi="Arial" w:cs="Arial"/>
          <w:b/>
          <w:bCs/>
          <w:i/>
          <w:lang w:val="es-MX" w:eastAsia="es-ES"/>
        </w:rPr>
        <w:t xml:space="preserve">“ARTÍCULO 59.- </w:t>
      </w:r>
      <w:r w:rsidRPr="00AE0C3E">
        <w:rPr>
          <w:rFonts w:ascii="Arial" w:eastAsia="Times New Roman" w:hAnsi="Arial" w:cs="Arial"/>
          <w:bCs/>
          <w:i/>
          <w:lang w:val="es-MX" w:eastAsia="es-ES"/>
        </w:rPr>
        <w:t>Son obligaciones de los conductores de vehículos automotores para que puedan circular libremente en la jurisdicción del Municipio de Oaxaca de Juárez:</w:t>
      </w:r>
      <w:r w:rsidRPr="00AE0C3E">
        <w:rPr>
          <w:rFonts w:ascii="Arial" w:eastAsia="Times New Roman" w:hAnsi="Arial" w:cs="Arial"/>
          <w:b/>
          <w:bCs/>
          <w:i/>
          <w:lang w:val="es-MX" w:eastAsia="es-ES"/>
        </w:rPr>
        <w:t xml:space="preserve"> </w:t>
      </w:r>
    </w:p>
    <w:p w14:paraId="47B2B081" w14:textId="77777777" w:rsidR="00E15BB1" w:rsidRPr="00AE0C3E" w:rsidRDefault="00E15BB1" w:rsidP="00E15BB1">
      <w:pPr>
        <w:spacing w:after="0" w:line="360" w:lineRule="auto"/>
        <w:ind w:left="567" w:right="51" w:firstLine="708"/>
        <w:jc w:val="both"/>
        <w:rPr>
          <w:rFonts w:ascii="Arial" w:eastAsia="Times New Roman" w:hAnsi="Arial" w:cs="Arial"/>
          <w:i/>
          <w:lang w:val="es-MX" w:eastAsia="es-ES"/>
        </w:rPr>
      </w:pPr>
    </w:p>
    <w:p w14:paraId="2D2A14BD" w14:textId="77777777" w:rsidR="00E15BB1" w:rsidRPr="00AE0C3E" w:rsidRDefault="00E15BB1" w:rsidP="00E15BB1">
      <w:pPr>
        <w:numPr>
          <w:ilvl w:val="1"/>
          <w:numId w:val="18"/>
        </w:numPr>
        <w:spacing w:after="0" w:line="240" w:lineRule="auto"/>
        <w:ind w:left="567" w:right="51" w:firstLine="709"/>
        <w:jc w:val="both"/>
        <w:rPr>
          <w:rFonts w:ascii="Arial" w:eastAsia="Times New Roman" w:hAnsi="Arial" w:cs="Arial"/>
          <w:i/>
          <w:lang w:val="es-MX" w:eastAsia="es-ES"/>
        </w:rPr>
      </w:pPr>
      <w:r w:rsidRPr="00AE0C3E">
        <w:rPr>
          <w:rFonts w:ascii="Arial" w:eastAsia="Times New Roman" w:hAnsi="Arial" w:cs="Arial"/>
          <w:b/>
          <w:bCs/>
          <w:i/>
          <w:lang w:val="es-MX" w:eastAsia="es-ES"/>
        </w:rPr>
        <w:t xml:space="preserve">I. </w:t>
      </w:r>
      <w:r w:rsidRPr="00AE0C3E">
        <w:rPr>
          <w:rFonts w:ascii="Arial" w:eastAsia="Times New Roman" w:hAnsi="Arial" w:cs="Arial"/>
          <w:i/>
          <w:lang w:val="es-MX" w:eastAsia="es-ES"/>
        </w:rPr>
        <w:t>Obedecer las indicaciones de los semáforos para vehículos, de la siguiente manera:</w:t>
      </w:r>
    </w:p>
    <w:p w14:paraId="426A6243" w14:textId="77777777" w:rsidR="00E15BB1" w:rsidRPr="00AE0C3E" w:rsidRDefault="00E15BB1" w:rsidP="00E15BB1">
      <w:pPr>
        <w:numPr>
          <w:ilvl w:val="1"/>
          <w:numId w:val="18"/>
        </w:numPr>
        <w:spacing w:after="0" w:line="240" w:lineRule="auto"/>
        <w:ind w:left="567" w:right="51" w:firstLine="709"/>
        <w:jc w:val="both"/>
        <w:rPr>
          <w:rFonts w:ascii="Arial" w:eastAsia="Times New Roman" w:hAnsi="Arial" w:cs="Arial"/>
          <w:i/>
          <w:lang w:val="es-MX" w:eastAsia="es-ES"/>
        </w:rPr>
      </w:pPr>
    </w:p>
    <w:p w14:paraId="064888BF" w14:textId="77777777" w:rsidR="00E15BB1" w:rsidRPr="00AE0C3E" w:rsidRDefault="00E15BB1" w:rsidP="00E15BB1">
      <w:pPr>
        <w:numPr>
          <w:ilvl w:val="1"/>
          <w:numId w:val="18"/>
        </w:numPr>
        <w:spacing w:after="0" w:line="240" w:lineRule="auto"/>
        <w:ind w:left="567" w:right="51" w:firstLine="709"/>
        <w:jc w:val="both"/>
        <w:rPr>
          <w:rFonts w:ascii="Arial" w:eastAsia="Times New Roman" w:hAnsi="Arial" w:cs="Arial"/>
          <w:i/>
          <w:lang w:val="es-MX" w:eastAsia="es-ES"/>
        </w:rPr>
      </w:pPr>
      <w:r w:rsidRPr="00AE0C3E">
        <w:rPr>
          <w:rFonts w:ascii="Arial" w:eastAsia="Times New Roman" w:hAnsi="Arial" w:cs="Arial"/>
          <w:b/>
          <w:bCs/>
          <w:i/>
          <w:lang w:val="es-MX" w:eastAsia="es-ES"/>
        </w:rPr>
        <w:t>(…</w:t>
      </w:r>
      <w:r w:rsidRPr="00AE0C3E">
        <w:rPr>
          <w:rFonts w:ascii="Arial" w:eastAsia="Times New Roman" w:hAnsi="Arial" w:cs="Arial"/>
          <w:i/>
          <w:lang w:val="es-MX" w:eastAsia="es-ES"/>
        </w:rPr>
        <w:t>)</w:t>
      </w:r>
    </w:p>
    <w:p w14:paraId="27B2CA26" w14:textId="77777777" w:rsidR="00E15BB1" w:rsidRPr="00AE0C3E" w:rsidRDefault="00E15BB1" w:rsidP="00E15BB1">
      <w:pPr>
        <w:numPr>
          <w:ilvl w:val="1"/>
          <w:numId w:val="18"/>
        </w:numPr>
        <w:spacing w:after="0" w:line="240" w:lineRule="auto"/>
        <w:ind w:left="567" w:right="51" w:firstLine="709"/>
        <w:jc w:val="both"/>
        <w:rPr>
          <w:rFonts w:ascii="Arial" w:eastAsia="Times New Roman" w:hAnsi="Arial" w:cs="Arial"/>
          <w:i/>
          <w:lang w:val="es-MX" w:eastAsia="es-ES"/>
        </w:rPr>
      </w:pPr>
    </w:p>
    <w:p w14:paraId="1101E794" w14:textId="77777777" w:rsidR="00E15BB1" w:rsidRPr="00AE0C3E" w:rsidRDefault="00E15BB1" w:rsidP="00E15BB1">
      <w:pPr>
        <w:numPr>
          <w:ilvl w:val="1"/>
          <w:numId w:val="18"/>
        </w:numPr>
        <w:spacing w:after="0" w:line="240" w:lineRule="auto"/>
        <w:ind w:left="567" w:right="51" w:firstLine="709"/>
        <w:jc w:val="both"/>
        <w:rPr>
          <w:rFonts w:ascii="Arial" w:eastAsia="Times New Roman" w:hAnsi="Arial" w:cs="Arial"/>
          <w:i/>
          <w:lang w:val="es-MX" w:eastAsia="es-ES"/>
        </w:rPr>
      </w:pPr>
      <w:r w:rsidRPr="00AE0C3E">
        <w:rPr>
          <w:rFonts w:ascii="Arial" w:eastAsia="Times New Roman" w:hAnsi="Arial" w:cs="Arial"/>
          <w:b/>
          <w:bCs/>
          <w:i/>
          <w:lang w:val="es-MX" w:eastAsia="es-ES"/>
        </w:rPr>
        <w:t xml:space="preserve">d) </w:t>
      </w:r>
      <w:r w:rsidRPr="00AE0C3E">
        <w:rPr>
          <w:rFonts w:ascii="Arial" w:eastAsia="Times New Roman" w:hAnsi="Arial" w:cs="Arial"/>
          <w:i/>
          <w:lang w:val="es-MX" w:eastAsia="es-ES"/>
        </w:rPr>
        <w:t xml:space="preserve">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 </w:t>
      </w:r>
    </w:p>
    <w:p w14:paraId="111DCF18" w14:textId="77777777" w:rsidR="00E15BB1" w:rsidRPr="00AE0C3E" w:rsidRDefault="00E15BB1" w:rsidP="00E15BB1">
      <w:pPr>
        <w:numPr>
          <w:ilvl w:val="1"/>
          <w:numId w:val="18"/>
        </w:numPr>
        <w:spacing w:after="0" w:line="240" w:lineRule="auto"/>
        <w:ind w:left="567" w:right="51" w:firstLine="709"/>
        <w:jc w:val="both"/>
        <w:rPr>
          <w:rFonts w:ascii="Arial" w:eastAsia="Times New Roman" w:hAnsi="Arial" w:cs="Arial"/>
          <w:i/>
          <w:lang w:val="es-MX" w:eastAsia="es-ES"/>
        </w:rPr>
      </w:pPr>
    </w:p>
    <w:p w14:paraId="3F9E7348" w14:textId="77777777" w:rsidR="00E15BB1" w:rsidRPr="00AE0C3E" w:rsidRDefault="00E15BB1" w:rsidP="00E15BB1">
      <w:pPr>
        <w:spacing w:after="0" w:line="360" w:lineRule="auto"/>
        <w:ind w:left="567" w:right="51" w:firstLine="708"/>
        <w:jc w:val="both"/>
        <w:rPr>
          <w:rFonts w:ascii="Arial" w:eastAsia="Times New Roman" w:hAnsi="Arial" w:cs="Arial"/>
          <w:i/>
          <w:lang w:val="es-MX" w:eastAsia="es-ES"/>
        </w:rPr>
      </w:pPr>
      <w:r w:rsidRPr="00AE0C3E">
        <w:rPr>
          <w:rFonts w:ascii="Arial" w:eastAsia="Times New Roman" w:hAnsi="Arial" w:cs="Arial"/>
          <w:i/>
          <w:lang w:val="es-MX" w:eastAsia="es-ES"/>
        </w:rPr>
        <w:t>(…).</w:t>
      </w:r>
    </w:p>
    <w:p w14:paraId="3CB96766" w14:textId="77777777" w:rsidR="00E15BB1" w:rsidRPr="00AE0C3E" w:rsidRDefault="00E15BB1" w:rsidP="00E15BB1">
      <w:pPr>
        <w:spacing w:after="0" w:line="240" w:lineRule="auto"/>
        <w:ind w:left="567" w:right="51" w:firstLine="708"/>
        <w:jc w:val="both"/>
        <w:rPr>
          <w:rFonts w:ascii="Arial" w:eastAsia="Times New Roman" w:hAnsi="Arial" w:cs="Arial"/>
          <w:b/>
          <w:bCs/>
          <w:i/>
          <w:lang w:val="es-MX" w:eastAsia="es-ES"/>
        </w:rPr>
      </w:pPr>
    </w:p>
    <w:p w14:paraId="2FC09084" w14:textId="77777777" w:rsidR="00E15BB1" w:rsidRPr="00AE0C3E" w:rsidRDefault="00E15BB1" w:rsidP="00E15BB1">
      <w:pPr>
        <w:spacing w:after="0" w:line="240" w:lineRule="auto"/>
        <w:ind w:left="567" w:right="51" w:firstLine="708"/>
        <w:jc w:val="both"/>
        <w:rPr>
          <w:rFonts w:ascii="Arial" w:eastAsia="Times New Roman" w:hAnsi="Arial" w:cs="Arial"/>
          <w:i/>
          <w:lang w:val="es-ES_tradnl" w:eastAsia="es-ES"/>
        </w:rPr>
      </w:pPr>
      <w:r w:rsidRPr="00AE0C3E">
        <w:rPr>
          <w:rFonts w:ascii="Arial" w:eastAsia="Times New Roman" w:hAnsi="Arial" w:cs="Arial"/>
          <w:b/>
          <w:bCs/>
          <w:i/>
          <w:lang w:val="es-MX" w:eastAsia="es-ES"/>
        </w:rPr>
        <w:t xml:space="preserve">“ARTÍCULO 137- </w:t>
      </w:r>
      <w:r w:rsidRPr="00AE0C3E">
        <w:rPr>
          <w:rFonts w:ascii="Arial" w:eastAsia="Times New Roman" w:hAnsi="Arial" w:cs="Arial"/>
          <w:i/>
          <w:lang w:val="es-MX" w:eastAsia="es-ES"/>
        </w:rPr>
        <w:t>Los elementos de la Policía Vial están facultados en caso de una infracción a las disposiciones que dicta este Reglamento, para recoger licencias, tarjetas de circulación, placas de circulación y vehículos, a fin de garantizar el pago de las sanciones administrativas correspondientes.”</w:t>
      </w:r>
      <w:r w:rsidRPr="00AE0C3E">
        <w:rPr>
          <w:rFonts w:ascii="Arial" w:eastAsia="Times New Roman" w:hAnsi="Arial" w:cs="Arial"/>
          <w:i/>
          <w:lang w:val="es-ES_tradnl" w:eastAsia="es-ES"/>
        </w:rPr>
        <w:t xml:space="preserve"> </w:t>
      </w:r>
    </w:p>
    <w:p w14:paraId="0974F757"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p>
    <w:p w14:paraId="674180D9"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r w:rsidRPr="00AE0C3E">
        <w:rPr>
          <w:rFonts w:ascii="Arial" w:eastAsia="Times New Roman" w:hAnsi="Arial" w:cs="Arial"/>
          <w:i/>
          <w:lang w:val="es-ES_tradnl" w:eastAsia="es-ES"/>
        </w:rPr>
        <w:t>Del contenido de dichos numerales se advierte que se encuentra prohibido pasarse la luz roja de un semáforo y a quien lo haga se le infracciona, y para garantizar el pago se le puede retener la licencia, tarjeta y placas de circulación, incluso el automotor.</w:t>
      </w:r>
    </w:p>
    <w:p w14:paraId="56F8E02B"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p>
    <w:p w14:paraId="24BCBB92"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r w:rsidRPr="00AE0C3E">
        <w:rPr>
          <w:rFonts w:ascii="Arial" w:eastAsia="Times New Roman" w:hAnsi="Arial" w:cs="Arial"/>
          <w:i/>
          <w:lang w:val="es-ES_tradnl" w:eastAsia="es-ES"/>
        </w:rPr>
        <w:t>Es por ello que en el caso concreto, no se aprecia que la fundamentación y motivación sea incorrecta o indebida como la expresa el actor, sino que sí corresponde a la infracción cometida.</w:t>
      </w:r>
    </w:p>
    <w:p w14:paraId="7774A3BB" w14:textId="77777777" w:rsidR="00E15BB1" w:rsidRPr="00AE0C3E" w:rsidRDefault="00E15BB1" w:rsidP="00E15BB1">
      <w:pPr>
        <w:spacing w:after="0" w:line="360" w:lineRule="auto"/>
        <w:ind w:left="567" w:right="51" w:firstLine="708"/>
        <w:jc w:val="both"/>
        <w:rPr>
          <w:rFonts w:ascii="Arial" w:eastAsia="Times New Roman" w:hAnsi="Arial" w:cs="Arial"/>
          <w:i/>
          <w:lang w:val="es-ES_tradnl" w:eastAsia="es-ES"/>
        </w:rPr>
      </w:pPr>
    </w:p>
    <w:p w14:paraId="50BA3904" w14:textId="77777777" w:rsidR="00E15BB1" w:rsidRPr="00AE0C3E" w:rsidRDefault="00E15BB1" w:rsidP="00E15BB1">
      <w:pPr>
        <w:spacing w:after="0" w:line="360" w:lineRule="auto"/>
        <w:ind w:left="567"/>
        <w:jc w:val="both"/>
        <w:rPr>
          <w:rFonts w:ascii="Arial" w:eastAsia="Times New Roman" w:hAnsi="Arial" w:cs="Arial"/>
          <w:i/>
          <w:lang w:eastAsia="es-MX"/>
        </w:rPr>
      </w:pPr>
      <w:r w:rsidRPr="00AE0C3E">
        <w:rPr>
          <w:rFonts w:ascii="Arial" w:eastAsia="Times New Roman" w:hAnsi="Arial" w:cs="Arial"/>
          <w:i/>
          <w:lang w:eastAsia="es-MX"/>
        </w:rPr>
        <w:tab/>
        <w:t>Sirve de apoyo a lo anterior la Jurisprudencia de rubro y texto:</w:t>
      </w:r>
    </w:p>
    <w:p w14:paraId="132A2081" w14:textId="77777777" w:rsidR="00E15BB1" w:rsidRPr="00AE0C3E" w:rsidRDefault="00E15BB1" w:rsidP="00E15BB1">
      <w:pPr>
        <w:spacing w:after="0" w:line="240" w:lineRule="auto"/>
        <w:ind w:left="567"/>
        <w:jc w:val="both"/>
        <w:rPr>
          <w:rFonts w:ascii="Arial" w:eastAsia="Times New Roman" w:hAnsi="Arial" w:cs="Arial"/>
          <w:i/>
          <w:lang w:eastAsia="es-MX"/>
        </w:rPr>
      </w:pPr>
    </w:p>
    <w:p w14:paraId="522DA45E"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Época: Novena Época </w:t>
      </w:r>
    </w:p>
    <w:p w14:paraId="3C078A22"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Registro: 175082 </w:t>
      </w:r>
    </w:p>
    <w:p w14:paraId="084B07FB"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Instancia: Tribunales Colegiados de Circuito </w:t>
      </w:r>
    </w:p>
    <w:p w14:paraId="417DE28E"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Tipo de Tesis: Jurisprudencia </w:t>
      </w:r>
    </w:p>
    <w:p w14:paraId="1569282C"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Fuente: Semanario Judicial de la Federación y su Gaceta </w:t>
      </w:r>
    </w:p>
    <w:p w14:paraId="7E36D781"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Tomo XXIII, Mayo de 2006 </w:t>
      </w:r>
    </w:p>
    <w:p w14:paraId="18F6608F"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Materia(s): Común </w:t>
      </w:r>
    </w:p>
    <w:p w14:paraId="3EE3089E"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Tesis: I.4o.A. J/43 </w:t>
      </w:r>
    </w:p>
    <w:p w14:paraId="26CE77DB"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Página: 1531 </w:t>
      </w:r>
    </w:p>
    <w:p w14:paraId="59D8D9F5" w14:textId="77777777" w:rsidR="00E15BB1" w:rsidRPr="00AE0C3E" w:rsidRDefault="00E15BB1" w:rsidP="00E15BB1">
      <w:pPr>
        <w:spacing w:after="0" w:line="240" w:lineRule="auto"/>
        <w:ind w:left="567"/>
        <w:jc w:val="both"/>
        <w:rPr>
          <w:rFonts w:ascii="Arial" w:eastAsia="Times New Roman" w:hAnsi="Arial" w:cs="Arial"/>
          <w:i/>
          <w:lang w:eastAsia="es-MX"/>
        </w:rPr>
      </w:pPr>
    </w:p>
    <w:p w14:paraId="6F2E7E31"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b/>
          <w:i/>
          <w:lang w:eastAsia="es-MX"/>
        </w:rPr>
        <w:t>“FUNDAMENTACIÓN Y MOTIVACIÓN. EL ASPECTO FORMAL DE LA GARANTÍA Y SU FINALIDAD SE TRADUCEN EN EXPLICAR, JUSTIFICAR, POSIBILITAR LA DEFENSA Y COMUNICAR LA DECISIÓN</w:t>
      </w:r>
      <w:r w:rsidRPr="00AE0C3E">
        <w:rPr>
          <w:rFonts w:ascii="Arial" w:eastAsia="Times New Roman" w:hAnsi="Arial" w:cs="Arial"/>
          <w:i/>
          <w:lang w:eastAsia="es-MX"/>
        </w:rPr>
        <w:t xml:space="preserve">. 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w:t>
      </w:r>
      <w:r w:rsidRPr="00AE0C3E">
        <w:rPr>
          <w:rFonts w:ascii="Arial" w:eastAsia="Times New Roman" w:hAnsi="Arial" w:cs="Arial"/>
          <w:b/>
          <w:i/>
          <w:lang w:eastAsia="es-MX"/>
        </w:rPr>
        <w:t xml:space="preserve">ni es válido exigirle una amplitud o abundancia superflua, pues es suficiente la expresión de lo estrictamente necesario para explicar, justificar y posibilitar la defensa, así como para comunicar la decisión a efecto de que se considere debidamente fundado y motivado, </w:t>
      </w:r>
      <w:r w:rsidRPr="00AE0C3E">
        <w:rPr>
          <w:rFonts w:ascii="Arial" w:eastAsia="Times New Roman" w:hAnsi="Arial" w:cs="Arial"/>
          <w:i/>
          <w:lang w:eastAsia="es-MX"/>
        </w:rPr>
        <w:t>exponiendo los hechos relevantes para decidir,</w:t>
      </w:r>
      <w:r w:rsidRPr="00AE0C3E">
        <w:rPr>
          <w:rFonts w:ascii="Arial" w:eastAsia="Times New Roman" w:hAnsi="Arial" w:cs="Arial"/>
          <w:b/>
          <w:i/>
          <w:lang w:eastAsia="es-MX"/>
        </w:rPr>
        <w:t xml:space="preserve"> citando la norma habilitante y un argumento mínimo pero suficiente para acreditar el razonamiento del que se deduzca la relación de pertenencia lógica de los hechos al derecho invocado, que es la subsunción</w:t>
      </w:r>
      <w:r w:rsidRPr="00AE0C3E">
        <w:rPr>
          <w:rFonts w:ascii="Arial" w:eastAsia="Times New Roman" w:hAnsi="Arial" w:cs="Arial"/>
          <w:i/>
          <w:lang w:eastAsia="es-MX"/>
        </w:rPr>
        <w:t>.</w:t>
      </w:r>
    </w:p>
    <w:p w14:paraId="65AC171C" w14:textId="77777777" w:rsidR="00E15BB1" w:rsidRPr="00AE0C3E" w:rsidRDefault="00E15BB1" w:rsidP="00E15BB1">
      <w:pPr>
        <w:spacing w:after="0" w:line="240" w:lineRule="auto"/>
        <w:ind w:left="567"/>
        <w:jc w:val="both"/>
        <w:rPr>
          <w:rFonts w:ascii="Arial" w:eastAsia="Times New Roman" w:hAnsi="Arial" w:cs="Arial"/>
          <w:i/>
          <w:lang w:eastAsia="es-MX"/>
        </w:rPr>
      </w:pPr>
    </w:p>
    <w:p w14:paraId="15FF6A03"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CUARTO TRIBUNAL COLEGIADO EN MATERIA ADMINISTRATIVA DEL PRIMER CIRCUITO.”</w:t>
      </w:r>
    </w:p>
    <w:p w14:paraId="0292AA98" w14:textId="77777777" w:rsidR="00E15BB1" w:rsidRPr="00AE0C3E" w:rsidRDefault="00E15BB1" w:rsidP="00E15BB1">
      <w:pPr>
        <w:spacing w:after="0" w:line="240" w:lineRule="auto"/>
        <w:ind w:left="567"/>
        <w:jc w:val="both"/>
        <w:rPr>
          <w:rFonts w:ascii="Arial" w:eastAsia="Times New Roman" w:hAnsi="Arial" w:cs="Arial"/>
          <w:i/>
          <w:lang w:eastAsia="es-MX"/>
        </w:rPr>
      </w:pPr>
    </w:p>
    <w:p w14:paraId="4FA730DB" w14:textId="77777777" w:rsidR="00E15BB1" w:rsidRPr="00AE0C3E" w:rsidRDefault="00E15BB1" w:rsidP="00E15BB1">
      <w:pPr>
        <w:spacing w:after="0" w:line="360" w:lineRule="auto"/>
        <w:ind w:left="567" w:firstLine="141"/>
        <w:jc w:val="both"/>
        <w:rPr>
          <w:rFonts w:ascii="Arial" w:eastAsia="Times New Roman" w:hAnsi="Arial" w:cs="Arial"/>
          <w:i/>
          <w:lang w:eastAsia="es-MX"/>
        </w:rPr>
      </w:pPr>
      <w:r w:rsidRPr="00AE0C3E">
        <w:rPr>
          <w:rFonts w:ascii="Arial" w:eastAsia="Times New Roman" w:hAnsi="Arial" w:cs="Arial"/>
          <w:i/>
          <w:lang w:eastAsia="es-MX"/>
        </w:rPr>
        <w:t xml:space="preserve">Por otra parte, en cuanto a la multa impuesta, por el Policía Vial, no asiste razón a la parta actora que en el acta de infracción se le haya impuesto una multa por la infracción cometida de pasarse la luz roja de un semáforo; ello es así, porque lo único que plasmó la autoridad demandada es el código de cobro </w:t>
      </w:r>
      <w:r w:rsidRPr="00AE0C3E">
        <w:rPr>
          <w:rFonts w:ascii="Arial" w:eastAsia="Times New Roman" w:hAnsi="Arial" w:cs="Arial"/>
          <w:b/>
          <w:i/>
          <w:lang w:eastAsia="es-MX"/>
        </w:rPr>
        <w:t>V073,</w:t>
      </w:r>
      <w:r w:rsidRPr="00AE0C3E">
        <w:rPr>
          <w:rFonts w:ascii="Arial" w:eastAsia="Times New Roman" w:hAnsi="Arial" w:cs="Arial"/>
          <w:i/>
          <w:lang w:eastAsia="es-MX"/>
        </w:rPr>
        <w:t xml:space="preserve"> es decir, no se determinó una cantidad concreta para el pago correspondiente.</w:t>
      </w:r>
    </w:p>
    <w:p w14:paraId="5C0A1EC5" w14:textId="77777777" w:rsidR="00E15BB1" w:rsidRPr="00AE0C3E" w:rsidRDefault="00E15BB1" w:rsidP="00E15BB1">
      <w:pPr>
        <w:spacing w:after="0" w:line="360" w:lineRule="auto"/>
        <w:ind w:left="567"/>
        <w:jc w:val="both"/>
        <w:rPr>
          <w:rFonts w:ascii="Arial" w:eastAsia="Times New Roman" w:hAnsi="Arial" w:cs="Arial"/>
          <w:i/>
          <w:lang w:eastAsia="es-MX"/>
        </w:rPr>
      </w:pPr>
    </w:p>
    <w:p w14:paraId="0B4B5AEA" w14:textId="77777777" w:rsidR="00E15BB1" w:rsidRPr="00AE0C3E" w:rsidRDefault="00E15BB1" w:rsidP="00E15BB1">
      <w:pPr>
        <w:spacing w:after="0" w:line="360" w:lineRule="auto"/>
        <w:ind w:left="567"/>
        <w:jc w:val="both"/>
        <w:rPr>
          <w:rFonts w:ascii="Arial" w:eastAsia="Times New Roman" w:hAnsi="Arial" w:cs="Arial"/>
          <w:i/>
          <w:lang w:eastAsia="es-MX"/>
        </w:rPr>
      </w:pPr>
      <w:r w:rsidRPr="00AE0C3E">
        <w:rPr>
          <w:rFonts w:ascii="Arial" w:eastAsia="Times New Roman" w:hAnsi="Arial" w:cs="Arial"/>
          <w:i/>
          <w:lang w:eastAsia="es-MX"/>
        </w:rPr>
        <w:tab/>
        <w:t>En ese contexto, no es la autoridad vial que levantó la infracción quien haya impuesto una multa; sino que esa actividad le corresponde a la exactora lo que de las constancias de autos no se aprecia que haya acontecido.</w:t>
      </w:r>
    </w:p>
    <w:p w14:paraId="64EB7356" w14:textId="77777777" w:rsidR="00E15BB1" w:rsidRPr="00AE0C3E" w:rsidRDefault="00E15BB1" w:rsidP="00E15BB1">
      <w:pPr>
        <w:spacing w:after="0" w:line="360" w:lineRule="auto"/>
        <w:ind w:left="567"/>
        <w:jc w:val="both"/>
        <w:rPr>
          <w:rFonts w:ascii="Arial" w:eastAsia="Times New Roman" w:hAnsi="Arial" w:cs="Arial"/>
          <w:i/>
          <w:lang w:eastAsia="es-MX"/>
        </w:rPr>
      </w:pPr>
    </w:p>
    <w:p w14:paraId="37B48A27" w14:textId="77777777" w:rsidR="00E15BB1" w:rsidRPr="00AE0C3E" w:rsidRDefault="00E15BB1" w:rsidP="00E15BB1">
      <w:pPr>
        <w:spacing w:after="0" w:line="360" w:lineRule="auto"/>
        <w:ind w:left="567"/>
        <w:jc w:val="both"/>
        <w:rPr>
          <w:rFonts w:ascii="Arial" w:eastAsia="Times New Roman" w:hAnsi="Arial" w:cs="Arial"/>
          <w:i/>
          <w:lang w:eastAsia="es-MX"/>
        </w:rPr>
      </w:pPr>
      <w:r w:rsidRPr="00AE0C3E">
        <w:rPr>
          <w:rFonts w:ascii="Arial" w:eastAsia="Times New Roman" w:hAnsi="Arial" w:cs="Arial"/>
          <w:i/>
          <w:lang w:eastAsia="es-MX"/>
        </w:rPr>
        <w:tab/>
        <w:t>Sirve de apoyo en lo conducente la tesis de rubro y texto:</w:t>
      </w:r>
    </w:p>
    <w:p w14:paraId="2424C0D4" w14:textId="77777777" w:rsidR="00E15BB1" w:rsidRPr="00AE0C3E" w:rsidRDefault="00E15BB1" w:rsidP="00E15BB1">
      <w:pPr>
        <w:spacing w:after="0" w:line="360" w:lineRule="auto"/>
        <w:ind w:left="567"/>
        <w:jc w:val="both"/>
        <w:rPr>
          <w:rFonts w:ascii="Arial" w:eastAsia="Times New Roman" w:hAnsi="Arial" w:cs="Arial"/>
          <w:i/>
          <w:lang w:eastAsia="es-MX"/>
        </w:rPr>
      </w:pPr>
      <w:r w:rsidRPr="00AE0C3E">
        <w:rPr>
          <w:rFonts w:ascii="Arial" w:eastAsia="Times New Roman" w:hAnsi="Arial" w:cs="Arial"/>
          <w:i/>
          <w:lang w:eastAsia="es-MX"/>
        </w:rPr>
        <w:tab/>
      </w:r>
    </w:p>
    <w:p w14:paraId="31064382"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Época: Décima Época </w:t>
      </w:r>
    </w:p>
    <w:p w14:paraId="5858986F"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Registro: 2012863 </w:t>
      </w:r>
    </w:p>
    <w:p w14:paraId="59DCBBBB"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Instancia: Tribunales Colegiados de Circuito </w:t>
      </w:r>
    </w:p>
    <w:p w14:paraId="041AD3DF"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Tipo de Tesis: Aislada </w:t>
      </w:r>
    </w:p>
    <w:p w14:paraId="143ECACF"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Fuente: Gaceta del Semanario Judicial de la Federación </w:t>
      </w:r>
    </w:p>
    <w:p w14:paraId="47F734E6"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Libro 35, Octubre de 2016, Tomo IV </w:t>
      </w:r>
    </w:p>
    <w:p w14:paraId="71B54341"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lastRenderedPageBreak/>
        <w:t xml:space="preserve">Materia(s): Común </w:t>
      </w:r>
    </w:p>
    <w:p w14:paraId="51E1FD70"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Tesis: V.2o.P.A.13 A (10a.) </w:t>
      </w:r>
    </w:p>
    <w:p w14:paraId="65C49005"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 xml:space="preserve">Página: 3037 </w:t>
      </w:r>
    </w:p>
    <w:p w14:paraId="40D603F5" w14:textId="77777777" w:rsidR="00E15BB1" w:rsidRPr="00AE0C3E" w:rsidRDefault="00E15BB1" w:rsidP="00E15BB1">
      <w:pPr>
        <w:spacing w:after="0" w:line="240" w:lineRule="auto"/>
        <w:ind w:left="567"/>
        <w:jc w:val="both"/>
        <w:rPr>
          <w:rFonts w:ascii="Arial" w:eastAsia="Times New Roman" w:hAnsi="Arial" w:cs="Arial"/>
          <w:i/>
          <w:lang w:eastAsia="es-MX"/>
        </w:rPr>
      </w:pPr>
    </w:p>
    <w:p w14:paraId="6D62964F"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b/>
          <w:i/>
          <w:lang w:eastAsia="es-MX"/>
        </w:rPr>
        <w:t xml:space="preserve">“RECIBO DE PAGO DE UNA MULTA POR INFRACCIONES DE TRÁNSITO. ES UN ACTO DE AUTORIDAD PARA EFECTOS DEL JUICIO DE AMPARO, CUANDO LA ENTIDAD RECAUDADORA LIQUIDA EL MONTO DE LA INFRACCIÓN Y/O DE CONCEPTOS NO REFERIDOS EN LA BOLETA CORRESPONDIENTE (APLICACIÓN DE LA JURISPRUDENCIA 2a./J. 182/2008). </w:t>
      </w:r>
      <w:r w:rsidRPr="00AE0C3E">
        <w:rPr>
          <w:rFonts w:ascii="Arial" w:eastAsia="Times New Roman" w:hAnsi="Arial" w:cs="Arial"/>
          <w:i/>
          <w:lang w:eastAsia="es-MX"/>
        </w:rPr>
        <w:t xml:space="preserve">De la jurisprudencia 2a./J. 182/2008, publicada en el Semanario Judicial de la Federación y su Gaceta, Novena Época, Tomo XXVIII, diciembre de 2008, página 294, de rubro: "TENENCIA O USO DE VEHÍCULOS. EL RECIBO DE PAGO RELATIVO NO CONSTITUYE UN ACTO DE AUTORIDAD PARA LOS EFECTOS DEL JUICIO DE AMPARO.", así como de la ejecutoria que le dio origen, se advierte que la Segunda Sala de la Suprema Corte de Justicia de la Nación estableció que el recibo de pago del impuesto sobre tenencia o uso de vehículos constituye solamente el medio idóneo para acreditar el cumplimiento de la obligación correspondiente y no un acto de autoridad imputable a la autoridad fiscal, debido a que es el gobernado quien voluntariamente acude a liquidar dicho impuesto, sin que exista un acto coercitivo de la autoridad correspondiente; de igual manera, señaló que no acontece lo mismo en relación con la determinación unilateral del monto a pagar por concepto de dicho impuesto o la negativa a proporcionar los servicios administrativos ante la existencia de algún adeudo por el concepto señalado, al constituir indudablemente actos de autoridad que afectan la esfera jurídica del gobernado, sin necesidad de acudir a los órganos judiciales, ni requerir del consenso de la voluntad del afectado, debido a que la autoridad administrativa encargada del trámite ejerce una facultad de decisión, por lo que constituye una potestad administrativa cuyo ejercicio le es irrenunciable. De esta manera, del criterio referido puede deducirse que, en términos generales, el recibo de pago de una contribución no constituye un acto de autoridad para efectos del juicio de amparo, pues lo único que acredita es la existencia de un acto de autoaplicación de la ley, en el caso de que la autoridad no haya intervenido en la determinación del tributo ni hubiese desarrollado actos diversos e independientes de la autodeterminación realizada por el propio contribuyente. En esas condiciones, si con motivo de una multa determinada por un agente de tránsito, el particular efectúa ante la tesorería el pago respectivo, sin que la entidad recaudadora realice determinación alguna, adoptando la postura pasiva de fungir sólo como receptora del pago, éste no constituye un acto de autoridad para efectos del juicio de amparo; sin embargo, no sucede lo mismo cuando en la boleta de infracción no se advierte que el oficial de tránsito hubiese determinado o liquidado alguna multa o infracción ni establecido las bases para cuantificarla (como acontece por ejemplo cuando se fija en específico el número de salarios mínimos que habrán de pagarse con motivo de la infracción), y en el recibo de pago se precisa la cantidad que el contribuyente debió enterar por concepto de multa por la infracción referida en la boleta, o bien, cuando en el recibo también se hace referencia a otros conceptos como parte del monto pagado, como podrían ser los de asistencia social, mejoras en servicio público, fomento al deporte, servicio de almacenaje, servicio de grúa y certificado médico, entre otros. </w:t>
      </w:r>
      <w:r w:rsidRPr="00AE0C3E">
        <w:rPr>
          <w:rFonts w:ascii="Arial" w:eastAsia="Times New Roman" w:hAnsi="Arial" w:cs="Arial"/>
          <w:b/>
          <w:i/>
          <w:lang w:eastAsia="es-MX"/>
        </w:rPr>
        <w:t>Lo anterior es así, debido a que en esos dos supuestos, es evidente que la liquidación de dicha infracción y de los referidos conceptos fue realizada por la propia autoridad recaudadora, ya que no derivan directamente de la boleta de infracción, ni la actividad de la exactora se contrae a recibir pasivamente el pago que el particular realiza luego de haber sido determinado y liquidado por diversa autoridad, lo que pone de manifiesto que se trata de aspectos introducidos unilateralmente por dicha autoridad al momento del cobro y evidencia la existencia de una relación de supra a subordinación entre el gobernado y la referida autoridad, pues a través del cobro reflejado en el recibo de pago crea, modifica o extingue por sí o ante sí, una situación que afecta la esfera jurídica de aquél, ejerciendo facultades de decisión</w:t>
      </w:r>
      <w:r w:rsidRPr="00AE0C3E">
        <w:rPr>
          <w:rFonts w:ascii="Arial" w:eastAsia="Times New Roman" w:hAnsi="Arial" w:cs="Arial"/>
          <w:i/>
          <w:lang w:eastAsia="es-MX"/>
        </w:rPr>
        <w:t>; de ahí que constituya un acto de autoridad para efectos del juicio constitucional, en términos del artículo 5o., fracción II, de la Ley de Amparo.</w:t>
      </w:r>
    </w:p>
    <w:p w14:paraId="7A2D3966" w14:textId="77777777" w:rsidR="00E15BB1" w:rsidRPr="00AE0C3E" w:rsidRDefault="00E15BB1" w:rsidP="00E15BB1">
      <w:pPr>
        <w:spacing w:after="0" w:line="240" w:lineRule="auto"/>
        <w:ind w:left="567"/>
        <w:jc w:val="both"/>
        <w:rPr>
          <w:rFonts w:ascii="Arial" w:eastAsia="Times New Roman" w:hAnsi="Arial" w:cs="Arial"/>
          <w:i/>
          <w:lang w:eastAsia="es-MX"/>
        </w:rPr>
      </w:pPr>
    </w:p>
    <w:p w14:paraId="3400030E" w14:textId="77777777" w:rsidR="00E15BB1" w:rsidRPr="00AE0C3E" w:rsidRDefault="00E15BB1" w:rsidP="00E15BB1">
      <w:pPr>
        <w:spacing w:after="0" w:line="240" w:lineRule="auto"/>
        <w:ind w:left="567"/>
        <w:jc w:val="both"/>
        <w:rPr>
          <w:rFonts w:ascii="Arial" w:eastAsia="Times New Roman" w:hAnsi="Arial" w:cs="Arial"/>
          <w:i/>
          <w:lang w:eastAsia="es-MX"/>
        </w:rPr>
      </w:pPr>
      <w:r w:rsidRPr="00AE0C3E">
        <w:rPr>
          <w:rFonts w:ascii="Arial" w:eastAsia="Times New Roman" w:hAnsi="Arial" w:cs="Arial"/>
          <w:i/>
          <w:lang w:eastAsia="es-MX"/>
        </w:rPr>
        <w:t>SEGUNDO TRIBUNAL COLEGIADO EN MATERIAS PENAL Y ADMINISTRATIVA DEL QUINTO CIRCUITO.”</w:t>
      </w:r>
    </w:p>
    <w:p w14:paraId="7F81F371" w14:textId="77777777" w:rsidR="00E15BB1" w:rsidRPr="00AE0C3E" w:rsidRDefault="00E15BB1" w:rsidP="00E15BB1">
      <w:pPr>
        <w:spacing w:after="0" w:line="360" w:lineRule="auto"/>
        <w:ind w:left="567"/>
        <w:jc w:val="both"/>
        <w:rPr>
          <w:rFonts w:ascii="Arial" w:eastAsia="Times New Roman" w:hAnsi="Arial" w:cs="Arial"/>
          <w:i/>
          <w:lang w:eastAsia="es-MX"/>
        </w:rPr>
      </w:pPr>
    </w:p>
    <w:p w14:paraId="37654191" w14:textId="77777777" w:rsidR="00E15BB1" w:rsidRPr="00AE0C3E" w:rsidRDefault="00E15BB1" w:rsidP="00E15BB1">
      <w:pPr>
        <w:spacing w:after="0" w:line="360" w:lineRule="auto"/>
        <w:ind w:left="567"/>
        <w:jc w:val="both"/>
        <w:rPr>
          <w:rFonts w:ascii="Arial" w:eastAsia="Times New Roman" w:hAnsi="Arial" w:cs="Arial"/>
          <w:i/>
          <w:lang w:eastAsia="es-MX"/>
        </w:rPr>
      </w:pPr>
      <w:r w:rsidRPr="00AE0C3E">
        <w:rPr>
          <w:rFonts w:ascii="Arial" w:eastAsia="Times New Roman" w:hAnsi="Arial" w:cs="Arial"/>
          <w:bCs/>
          <w:i/>
          <w:lang w:eastAsia="es-MX"/>
        </w:rPr>
        <w:lastRenderedPageBreak/>
        <w:tab/>
        <w:t>A efecto de que no quede duda en relación al significado d</w:t>
      </w:r>
      <w:r w:rsidRPr="00AE0C3E">
        <w:rPr>
          <w:rFonts w:ascii="Arial" w:eastAsia="Times New Roman" w:hAnsi="Arial" w:cs="Arial"/>
          <w:i/>
          <w:lang w:eastAsia="es-MX"/>
        </w:rPr>
        <w:t xml:space="preserve">el código de cobro </w:t>
      </w:r>
      <w:r w:rsidRPr="00AE0C3E">
        <w:rPr>
          <w:rFonts w:ascii="Arial" w:eastAsia="Times New Roman" w:hAnsi="Arial" w:cs="Arial"/>
          <w:b/>
          <w:i/>
          <w:lang w:eastAsia="es-MX"/>
        </w:rPr>
        <w:t xml:space="preserve">V073, </w:t>
      </w:r>
      <w:r w:rsidRPr="00AE0C3E">
        <w:rPr>
          <w:rFonts w:ascii="Arial" w:eastAsia="Times New Roman" w:hAnsi="Arial" w:cs="Arial"/>
          <w:i/>
          <w:lang w:eastAsia="es-MX"/>
        </w:rPr>
        <w:t xml:space="preserve">el numeral 195 fracciones V, IX, X y XI  de la Ley de Ingresos del Municipio de Oaxaca de Juárez, Oaxaca, para el ejercicio fiscal dos mil dieciocho; cuyos contenidos son: </w:t>
      </w:r>
    </w:p>
    <w:p w14:paraId="429139E8" w14:textId="77777777" w:rsidR="00E15BB1" w:rsidRPr="00AE0C3E" w:rsidRDefault="00E15BB1" w:rsidP="00E15BB1">
      <w:pPr>
        <w:spacing w:after="0" w:line="360" w:lineRule="auto"/>
        <w:ind w:left="567" w:right="51" w:firstLine="218"/>
        <w:jc w:val="both"/>
        <w:rPr>
          <w:rFonts w:ascii="Arial" w:eastAsia="Times New Roman" w:hAnsi="Arial" w:cs="Arial"/>
          <w:i/>
          <w:lang w:eastAsia="es-MX"/>
        </w:rPr>
      </w:pPr>
    </w:p>
    <w:p w14:paraId="58675824" w14:textId="77777777" w:rsidR="00E15BB1" w:rsidRPr="00AE0C3E" w:rsidRDefault="00E15BB1" w:rsidP="00E15BB1">
      <w:pPr>
        <w:spacing w:after="0" w:line="360" w:lineRule="auto"/>
        <w:ind w:left="567"/>
        <w:jc w:val="both"/>
        <w:rPr>
          <w:rFonts w:ascii="Arial" w:eastAsia="Times New Roman" w:hAnsi="Arial" w:cs="Arial"/>
          <w:i/>
          <w:lang w:eastAsia="es-MX"/>
        </w:rPr>
      </w:pPr>
    </w:p>
    <w:p w14:paraId="0FAD3546" w14:textId="77777777" w:rsidR="00E15BB1" w:rsidRPr="00AE0C3E" w:rsidRDefault="00E15BB1" w:rsidP="00E15BB1">
      <w:pPr>
        <w:spacing w:after="0" w:line="360" w:lineRule="auto"/>
        <w:ind w:left="567"/>
        <w:jc w:val="both"/>
        <w:rPr>
          <w:rFonts w:ascii="Arial" w:eastAsia="Times New Roman" w:hAnsi="Arial" w:cs="Arial"/>
          <w:i/>
          <w:lang w:eastAsia="es-MX"/>
        </w:rPr>
      </w:pPr>
      <w:r w:rsidRPr="00AE0C3E">
        <w:rPr>
          <w:rFonts w:ascii="Arial" w:eastAsia="Times New Roman" w:hAnsi="Arial" w:cs="Arial"/>
          <w:i/>
          <w:lang w:eastAsia="es-MX"/>
        </w:rPr>
        <w:tab/>
      </w:r>
    </w:p>
    <w:p w14:paraId="02E169E4" w14:textId="77777777" w:rsidR="00E15BB1" w:rsidRPr="00AE0C3E" w:rsidRDefault="00E15BB1" w:rsidP="00E15BB1">
      <w:pPr>
        <w:spacing w:after="0" w:line="240" w:lineRule="auto"/>
        <w:ind w:left="567"/>
        <w:jc w:val="both"/>
        <w:rPr>
          <w:rFonts w:ascii="Arial" w:eastAsia="Times New Roman" w:hAnsi="Arial" w:cs="Arial"/>
          <w:i/>
          <w:lang w:val="es-MX" w:eastAsia="es-MX"/>
        </w:rPr>
      </w:pPr>
      <w:r w:rsidRPr="00AE0C3E">
        <w:rPr>
          <w:rFonts w:ascii="Arial" w:eastAsia="Times New Roman" w:hAnsi="Arial" w:cs="Arial"/>
          <w:i/>
          <w:lang w:eastAsia="es-MX"/>
        </w:rPr>
        <w:tab/>
        <w:t>“</w:t>
      </w:r>
      <w:r w:rsidRPr="00AE0C3E">
        <w:rPr>
          <w:rFonts w:ascii="Arial" w:eastAsia="Times New Roman" w:hAnsi="Arial" w:cs="Arial"/>
          <w:b/>
          <w:bCs/>
          <w:i/>
          <w:lang w:val="es-MX" w:eastAsia="es-MX"/>
        </w:rPr>
        <w:t xml:space="preserve">Artículo 195. </w:t>
      </w:r>
      <w:r w:rsidRPr="00AE0C3E">
        <w:rPr>
          <w:rFonts w:ascii="Arial" w:eastAsia="Times New Roman" w:hAnsi="Arial" w:cs="Arial"/>
          <w:i/>
          <w:lang w:val="es-MX" w:eastAsia="es-MX"/>
        </w:rPr>
        <w:t>La determinación de las sanciones establecidas en el presente apartado para el cobro de infracciones de Vialidad del Municipio de Oaxaca de Juárez, se realizarán en los términos de la presente Ley aplicando supletoriamente en lo que no se oponga a la misma, el Reglamento de Vialidad para el Municipio de Oaxaca de Juárez. Para lo cual los policías viales quedan facultados para imponer las infracciones que se establecen en el presente apartado.</w:t>
      </w:r>
    </w:p>
    <w:p w14:paraId="1CA810CB" w14:textId="77777777" w:rsidR="00E15BB1" w:rsidRPr="00AE0C3E" w:rsidRDefault="00E15BB1" w:rsidP="00E15BB1">
      <w:pPr>
        <w:spacing w:after="0" w:line="360" w:lineRule="auto"/>
        <w:ind w:left="567" w:firstLine="708"/>
        <w:jc w:val="both"/>
        <w:rPr>
          <w:rFonts w:ascii="Arial" w:eastAsia="Times New Roman" w:hAnsi="Arial" w:cs="Arial"/>
          <w:i/>
          <w:lang w:val="es-MX" w:eastAsia="es-MX"/>
        </w:rPr>
      </w:pPr>
    </w:p>
    <w:p w14:paraId="769901BA" w14:textId="77777777" w:rsidR="00E15BB1" w:rsidRPr="00AE0C3E" w:rsidRDefault="00E15BB1" w:rsidP="00E15BB1">
      <w:pPr>
        <w:spacing w:after="0" w:line="240" w:lineRule="auto"/>
        <w:ind w:left="567" w:firstLine="708"/>
        <w:jc w:val="both"/>
        <w:rPr>
          <w:rFonts w:ascii="Arial" w:eastAsia="Times New Roman" w:hAnsi="Arial" w:cs="Arial"/>
          <w:i/>
          <w:lang w:val="es-MX" w:eastAsia="es-MX"/>
        </w:rPr>
      </w:pPr>
      <w:r w:rsidRPr="00AE0C3E">
        <w:rPr>
          <w:rFonts w:ascii="Arial" w:eastAsia="Times New Roman" w:hAnsi="Arial" w:cs="Arial"/>
          <w:i/>
          <w:lang w:val="es-MX" w:eastAsia="es-MX"/>
        </w:rPr>
        <w:t>Para el caso específico de las sanciones establecidas por infracciones al Reglamento de Vialidad, se establece lo siguiente:</w:t>
      </w:r>
    </w:p>
    <w:p w14:paraId="66E44670" w14:textId="77777777" w:rsidR="00E15BB1" w:rsidRPr="00AE0C3E" w:rsidRDefault="00E15BB1" w:rsidP="00E15BB1">
      <w:pPr>
        <w:spacing w:after="0" w:line="240" w:lineRule="auto"/>
        <w:ind w:left="567" w:firstLine="708"/>
        <w:jc w:val="both"/>
        <w:rPr>
          <w:rFonts w:ascii="Arial" w:eastAsia="Times New Roman" w:hAnsi="Arial" w:cs="Arial"/>
          <w:i/>
          <w:lang w:val="es-MX" w:eastAsia="es-MX"/>
        </w:rPr>
      </w:pPr>
    </w:p>
    <w:p w14:paraId="5E6F18EB" w14:textId="77777777" w:rsidR="00E15BB1" w:rsidRPr="00AE0C3E" w:rsidRDefault="00E15BB1" w:rsidP="00E15BB1">
      <w:pPr>
        <w:spacing w:after="0" w:line="240" w:lineRule="auto"/>
        <w:ind w:left="567" w:firstLine="708"/>
        <w:jc w:val="both"/>
        <w:rPr>
          <w:rFonts w:ascii="Arial" w:eastAsia="Times New Roman" w:hAnsi="Arial" w:cs="Arial"/>
          <w:i/>
          <w:lang w:val="es-MX" w:eastAsia="es-MX"/>
        </w:rPr>
      </w:pPr>
      <w:r w:rsidRPr="00AE0C3E">
        <w:rPr>
          <w:rFonts w:ascii="Arial" w:eastAsia="Times New Roman" w:hAnsi="Arial" w:cs="Arial"/>
          <w:i/>
          <w:lang w:val="es-MX" w:eastAsia="es-MX"/>
        </w:rPr>
        <w:t>(…).</w:t>
      </w:r>
    </w:p>
    <w:p w14:paraId="671BCE3A" w14:textId="77777777" w:rsidR="00E15BB1" w:rsidRPr="00AE0C3E" w:rsidRDefault="00E15BB1" w:rsidP="00E15BB1">
      <w:pPr>
        <w:spacing w:after="0" w:line="240" w:lineRule="auto"/>
        <w:ind w:left="567" w:firstLine="708"/>
        <w:jc w:val="both"/>
        <w:rPr>
          <w:rFonts w:ascii="Arial" w:eastAsia="Times New Roman" w:hAnsi="Arial" w:cs="Arial"/>
          <w:i/>
          <w:lang w:val="es-MX" w:eastAsia="es-MX"/>
        </w:rPr>
      </w:pPr>
    </w:p>
    <w:p w14:paraId="30C385A0" w14:textId="77777777" w:rsidR="00E15BB1" w:rsidRPr="00AE0C3E" w:rsidRDefault="00E15BB1" w:rsidP="00E15BB1">
      <w:pPr>
        <w:spacing w:after="0" w:line="240" w:lineRule="auto"/>
        <w:ind w:left="567" w:firstLine="708"/>
        <w:jc w:val="both"/>
        <w:rPr>
          <w:rFonts w:ascii="Arial" w:eastAsia="Times New Roman" w:hAnsi="Arial" w:cs="Arial"/>
          <w:bCs/>
          <w:i/>
          <w:lang w:eastAsia="es-MX"/>
        </w:rPr>
      </w:pPr>
      <w:r w:rsidRPr="00AE0C3E">
        <w:rPr>
          <w:rFonts w:ascii="Arial" w:eastAsia="Times New Roman" w:hAnsi="Arial" w:cs="Arial"/>
          <w:i/>
          <w:lang w:val="es-MX" w:eastAsia="es-MX"/>
        </w:rPr>
        <w:t xml:space="preserve">V. </w:t>
      </w:r>
      <w:r w:rsidRPr="00AE0C3E">
        <w:rPr>
          <w:rFonts w:ascii="Arial" w:eastAsia="Times New Roman" w:hAnsi="Arial" w:cs="Arial"/>
          <w:b/>
          <w:i/>
          <w:u w:val="single"/>
          <w:lang w:val="es-MX" w:eastAsia="es-MX"/>
        </w:rPr>
        <w:t>Es obligación de los policías viales integrantes de la Comisaría de Vialidad sin excepción alguna, retener la licencia de conducir, tarjeta o placas de circulación del vehículo, con el objeto de garantizar el pago de las infracciones aplicadas,</w:t>
      </w:r>
      <w:r w:rsidRPr="00AE0C3E">
        <w:rPr>
          <w:rFonts w:ascii="Arial" w:eastAsia="Times New Roman" w:hAnsi="Arial" w:cs="Arial"/>
          <w:i/>
          <w:lang w:val="es-MX" w:eastAsia="es-MX"/>
        </w:rPr>
        <w:t xml:space="preserve"> dichas garantías se deberán remitir debidamente relacionadas con el fin de garantizar el interés fiscal.</w:t>
      </w:r>
      <w:r w:rsidRPr="00AE0C3E">
        <w:rPr>
          <w:rFonts w:ascii="Arial" w:eastAsia="Times New Roman" w:hAnsi="Arial" w:cs="Arial"/>
          <w:i/>
          <w:lang w:eastAsia="es-MX"/>
        </w:rPr>
        <w:t xml:space="preserve"> </w:t>
      </w:r>
    </w:p>
    <w:p w14:paraId="57EA1CF2" w14:textId="77777777" w:rsidR="00E15BB1" w:rsidRPr="00AE0C3E" w:rsidRDefault="00E15BB1" w:rsidP="00E15BB1">
      <w:pPr>
        <w:spacing w:after="0" w:line="360" w:lineRule="auto"/>
        <w:ind w:left="567"/>
        <w:jc w:val="both"/>
        <w:rPr>
          <w:rFonts w:ascii="Arial" w:eastAsia="Times New Roman" w:hAnsi="Arial" w:cs="Arial"/>
          <w:bCs/>
          <w:i/>
          <w:lang w:eastAsia="es-MX"/>
        </w:rPr>
      </w:pPr>
      <w:r w:rsidRPr="00AE0C3E">
        <w:rPr>
          <w:rFonts w:ascii="Arial" w:eastAsia="Times New Roman" w:hAnsi="Arial" w:cs="Arial"/>
          <w:bCs/>
          <w:i/>
          <w:lang w:eastAsia="es-MX"/>
        </w:rPr>
        <w:tab/>
      </w:r>
    </w:p>
    <w:p w14:paraId="4B65573D" w14:textId="77777777" w:rsidR="00E15BB1" w:rsidRPr="00AE0C3E" w:rsidRDefault="00E15BB1" w:rsidP="00E15BB1">
      <w:pPr>
        <w:autoSpaceDE w:val="0"/>
        <w:autoSpaceDN w:val="0"/>
        <w:adjustRightInd w:val="0"/>
        <w:spacing w:after="0" w:line="240" w:lineRule="auto"/>
        <w:ind w:left="567"/>
        <w:jc w:val="both"/>
        <w:rPr>
          <w:rFonts w:ascii="Arial" w:eastAsia="Calibri" w:hAnsi="Arial" w:cs="Arial"/>
          <w:i/>
          <w:lang w:val="es-MX" w:eastAsia="es-MX"/>
        </w:rPr>
      </w:pPr>
      <w:r w:rsidRPr="00AE0C3E">
        <w:rPr>
          <w:rFonts w:ascii="Arial" w:eastAsia="Times New Roman" w:hAnsi="Arial" w:cs="Arial"/>
          <w:bCs/>
          <w:i/>
          <w:lang w:eastAsia="es-MX"/>
        </w:rPr>
        <w:tab/>
      </w:r>
      <w:r w:rsidRPr="00AE0C3E">
        <w:rPr>
          <w:rFonts w:ascii="Arial" w:eastAsia="Calibri" w:hAnsi="Arial" w:cs="Arial"/>
          <w:i/>
          <w:lang w:val="es-MX" w:eastAsia="es-MX"/>
        </w:rPr>
        <w:t>IX. Las infracciones establecidas en la fracción X del presente artículo tendrán un mínimo y un máximo para su aplicación, el cual se establecerá de acuerdo al grado de reincidencia en la comisión de infracciones de Vialidad en el lapso de un año, contados a partir de la primera violación. La sanción mínima se aplicará para la primera vez que se cometa la infracción; para la reincidencia deberá aplicarse el monto mínimo de la sanción sin derecho a descuento por pago oportuno; a partir de la segunda reincidencia se incrementará un cincuenta por ciento sobre el monto mínimo establecido, sin derecho a descuento por pronto pago; para la tercera reincidencia y adicionales se cobrará el monto máximo de la infracción incrementado en un cincuenta por ciento, sin derecho a descuento por pago oportuno.</w:t>
      </w:r>
    </w:p>
    <w:p w14:paraId="09D0AB83" w14:textId="77777777" w:rsidR="00E15BB1" w:rsidRPr="00AE0C3E" w:rsidRDefault="00E15BB1" w:rsidP="00E15BB1">
      <w:pPr>
        <w:autoSpaceDE w:val="0"/>
        <w:autoSpaceDN w:val="0"/>
        <w:adjustRightInd w:val="0"/>
        <w:spacing w:after="0" w:line="240" w:lineRule="auto"/>
        <w:ind w:left="567"/>
        <w:jc w:val="both"/>
        <w:rPr>
          <w:rFonts w:ascii="Arial" w:eastAsia="Calibri" w:hAnsi="Arial" w:cs="Arial"/>
          <w:i/>
          <w:lang w:val="es-MX" w:eastAsia="es-MX"/>
        </w:rPr>
      </w:pPr>
    </w:p>
    <w:p w14:paraId="255066BB" w14:textId="77777777" w:rsidR="00E15BB1" w:rsidRPr="00AE0C3E" w:rsidRDefault="00E15BB1" w:rsidP="00E15BB1">
      <w:pPr>
        <w:autoSpaceDE w:val="0"/>
        <w:autoSpaceDN w:val="0"/>
        <w:adjustRightInd w:val="0"/>
        <w:spacing w:after="0" w:line="240" w:lineRule="auto"/>
        <w:ind w:left="567"/>
        <w:jc w:val="both"/>
        <w:rPr>
          <w:rFonts w:ascii="Arial" w:eastAsia="Calibri" w:hAnsi="Arial" w:cs="Arial"/>
          <w:i/>
          <w:lang w:val="es-MX" w:eastAsia="es-MX"/>
        </w:rPr>
      </w:pPr>
      <w:r w:rsidRPr="00AE0C3E">
        <w:rPr>
          <w:rFonts w:ascii="Arial" w:eastAsia="Calibri" w:hAnsi="Arial" w:cs="Arial"/>
          <w:i/>
          <w:lang w:val="es-MX" w:eastAsia="es-MX"/>
        </w:rPr>
        <w:tab/>
        <w:t>X. Para el Ejercicio Fiscal 2018, las infracciones al Reglamento de Vialidad del Municipio de Oaxaca de Juárez, y las que se establezcan en esta Ley, se sancionarán conforme a lo dispuesto en la presente fracción:</w:t>
      </w:r>
    </w:p>
    <w:p w14:paraId="1881D8DF" w14:textId="77777777" w:rsidR="00E15BB1" w:rsidRPr="00AE0C3E" w:rsidRDefault="00E15BB1" w:rsidP="00E15BB1">
      <w:pPr>
        <w:autoSpaceDE w:val="0"/>
        <w:autoSpaceDN w:val="0"/>
        <w:adjustRightInd w:val="0"/>
        <w:spacing w:after="0" w:line="240" w:lineRule="auto"/>
        <w:ind w:left="567"/>
        <w:rPr>
          <w:rFonts w:ascii="Arial" w:eastAsia="Calibri" w:hAnsi="Arial" w:cs="Arial"/>
          <w:i/>
          <w:lang w:val="es-MX" w:eastAsia="es-MX"/>
        </w:rPr>
      </w:pPr>
    </w:p>
    <w:p w14:paraId="48699AAF" w14:textId="77777777" w:rsidR="00E15BB1" w:rsidRPr="00AE0C3E" w:rsidRDefault="00E15BB1" w:rsidP="00E15BB1">
      <w:pPr>
        <w:autoSpaceDE w:val="0"/>
        <w:autoSpaceDN w:val="0"/>
        <w:adjustRightInd w:val="0"/>
        <w:spacing w:after="0" w:line="240" w:lineRule="auto"/>
        <w:ind w:left="567"/>
        <w:rPr>
          <w:rFonts w:ascii="Arial" w:eastAsia="Calibri" w:hAnsi="Arial" w:cs="Arial"/>
          <w:i/>
          <w:lang w:val="es-MX" w:eastAsia="es-MX"/>
        </w:rPr>
      </w:pPr>
      <w:r w:rsidRPr="00AE0C3E">
        <w:rPr>
          <w:rFonts w:ascii="Arial" w:eastAsia="Calibri" w:hAnsi="Arial" w:cs="Arial"/>
          <w:i/>
          <w:lang w:val="es-MX" w:eastAsia="es-MX"/>
        </w:rPr>
        <w:tab/>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701"/>
        <w:gridCol w:w="2693"/>
        <w:gridCol w:w="1833"/>
        <w:gridCol w:w="10"/>
      </w:tblGrid>
      <w:tr w:rsidR="00E15BB1" w:rsidRPr="00AE0C3E" w14:paraId="3FE35341" w14:textId="77777777" w:rsidTr="00F96630">
        <w:trPr>
          <w:gridAfter w:val="1"/>
          <w:wAfter w:w="10" w:type="dxa"/>
        </w:trPr>
        <w:tc>
          <w:tcPr>
            <w:tcW w:w="1526" w:type="dxa"/>
            <w:shd w:val="clear" w:color="auto" w:fill="auto"/>
          </w:tcPr>
          <w:p w14:paraId="166003D8" w14:textId="77777777" w:rsidR="00E15BB1" w:rsidRPr="00AE0C3E" w:rsidRDefault="00E15BB1" w:rsidP="00F96630">
            <w:pPr>
              <w:autoSpaceDE w:val="0"/>
              <w:autoSpaceDN w:val="0"/>
              <w:adjustRightInd w:val="0"/>
              <w:spacing w:after="0" w:line="240" w:lineRule="auto"/>
              <w:rPr>
                <w:rFonts w:ascii="Arial" w:eastAsia="Calibri" w:hAnsi="Arial" w:cs="Arial"/>
                <w:i/>
                <w:lang w:val="es-MX" w:eastAsia="es-MX"/>
              </w:rPr>
            </w:pPr>
            <w:r w:rsidRPr="00AE0C3E">
              <w:rPr>
                <w:rFonts w:ascii="Arial" w:eastAsia="Calibri" w:hAnsi="Arial" w:cs="Arial"/>
                <w:b/>
                <w:i/>
                <w:lang w:val="es-MX" w:eastAsia="es-MX"/>
              </w:rPr>
              <w:t>NUMERAL</w:t>
            </w:r>
            <w:r w:rsidRPr="00AE0C3E">
              <w:rPr>
                <w:rFonts w:ascii="Arial" w:eastAsia="Calibri" w:hAnsi="Arial" w:cs="Arial"/>
                <w:i/>
                <w:lang w:val="es-MX" w:eastAsia="es-MX"/>
              </w:rPr>
              <w:t xml:space="preserve"> </w:t>
            </w:r>
          </w:p>
        </w:tc>
        <w:tc>
          <w:tcPr>
            <w:tcW w:w="1276" w:type="dxa"/>
            <w:shd w:val="clear" w:color="auto" w:fill="auto"/>
          </w:tcPr>
          <w:p w14:paraId="7C8027E4" w14:textId="77777777" w:rsidR="00E15BB1" w:rsidRPr="00AE0C3E" w:rsidRDefault="00E15BB1" w:rsidP="00F96630">
            <w:pPr>
              <w:autoSpaceDE w:val="0"/>
              <w:autoSpaceDN w:val="0"/>
              <w:adjustRightInd w:val="0"/>
              <w:spacing w:after="0" w:line="240" w:lineRule="auto"/>
              <w:rPr>
                <w:rFonts w:ascii="Arial" w:eastAsia="Calibri" w:hAnsi="Arial" w:cs="Arial"/>
                <w:i/>
                <w:lang w:val="es-MX" w:eastAsia="es-MX"/>
              </w:rPr>
            </w:pPr>
            <w:r w:rsidRPr="00AE0C3E">
              <w:rPr>
                <w:rFonts w:ascii="Arial" w:eastAsia="Calibri" w:hAnsi="Arial" w:cs="Arial"/>
                <w:b/>
                <w:i/>
                <w:lang w:val="es-MX" w:eastAsia="es-MX"/>
              </w:rPr>
              <w:t>CÓDIGO</w:t>
            </w:r>
          </w:p>
        </w:tc>
        <w:tc>
          <w:tcPr>
            <w:tcW w:w="1701" w:type="dxa"/>
            <w:shd w:val="clear" w:color="auto" w:fill="auto"/>
          </w:tcPr>
          <w:p w14:paraId="5B875F65" w14:textId="77777777" w:rsidR="00E15BB1" w:rsidRPr="00AE0C3E" w:rsidRDefault="00E15BB1" w:rsidP="00F96630">
            <w:pPr>
              <w:autoSpaceDE w:val="0"/>
              <w:autoSpaceDN w:val="0"/>
              <w:adjustRightInd w:val="0"/>
              <w:spacing w:after="0" w:line="240" w:lineRule="auto"/>
              <w:rPr>
                <w:rFonts w:ascii="Arial" w:eastAsia="Calibri" w:hAnsi="Arial" w:cs="Arial"/>
                <w:i/>
                <w:lang w:val="es-MX" w:eastAsia="es-MX"/>
              </w:rPr>
            </w:pPr>
            <w:r w:rsidRPr="00AE0C3E">
              <w:rPr>
                <w:rFonts w:ascii="Arial" w:eastAsia="Calibri" w:hAnsi="Arial" w:cs="Arial"/>
                <w:b/>
                <w:i/>
                <w:lang w:val="es-MX" w:eastAsia="es-MX"/>
              </w:rPr>
              <w:t>CONCEPTO</w:t>
            </w:r>
          </w:p>
        </w:tc>
        <w:tc>
          <w:tcPr>
            <w:tcW w:w="2693" w:type="dxa"/>
            <w:shd w:val="clear" w:color="auto" w:fill="auto"/>
          </w:tcPr>
          <w:p w14:paraId="73639269" w14:textId="77777777" w:rsidR="00E15BB1" w:rsidRPr="00AE0C3E" w:rsidRDefault="00E15BB1" w:rsidP="00F96630">
            <w:pPr>
              <w:autoSpaceDE w:val="0"/>
              <w:autoSpaceDN w:val="0"/>
              <w:adjustRightInd w:val="0"/>
              <w:spacing w:after="0" w:line="240" w:lineRule="auto"/>
              <w:ind w:left="567"/>
              <w:rPr>
                <w:rFonts w:ascii="Arial" w:eastAsia="Calibri" w:hAnsi="Arial" w:cs="Arial"/>
                <w:b/>
                <w:i/>
                <w:lang w:val="es-MX" w:eastAsia="es-MX"/>
              </w:rPr>
            </w:pPr>
            <w:r w:rsidRPr="00AE0C3E">
              <w:rPr>
                <w:rFonts w:ascii="Arial" w:eastAsia="Calibri" w:hAnsi="Arial" w:cs="Arial"/>
                <w:b/>
                <w:i/>
                <w:lang w:val="es-MX" w:eastAsia="es-MX"/>
              </w:rPr>
              <w:t>ARTÍCULO Y ORDENAMIENTO</w:t>
            </w:r>
          </w:p>
        </w:tc>
        <w:tc>
          <w:tcPr>
            <w:tcW w:w="1833" w:type="dxa"/>
            <w:shd w:val="clear" w:color="auto" w:fill="auto"/>
          </w:tcPr>
          <w:p w14:paraId="4DF4B57D" w14:textId="77777777" w:rsidR="00E15BB1" w:rsidRPr="00AE0C3E" w:rsidRDefault="00E15BB1" w:rsidP="00F96630">
            <w:pPr>
              <w:autoSpaceDE w:val="0"/>
              <w:autoSpaceDN w:val="0"/>
              <w:adjustRightInd w:val="0"/>
              <w:spacing w:after="0" w:line="240" w:lineRule="auto"/>
              <w:ind w:left="567"/>
              <w:rPr>
                <w:rFonts w:ascii="Arial" w:eastAsia="Calibri" w:hAnsi="Arial" w:cs="Arial"/>
                <w:b/>
                <w:i/>
                <w:lang w:val="es-MX" w:eastAsia="es-MX"/>
              </w:rPr>
            </w:pPr>
            <w:r w:rsidRPr="00AE0C3E">
              <w:rPr>
                <w:rFonts w:ascii="Arial" w:eastAsia="Calibri" w:hAnsi="Arial" w:cs="Arial"/>
                <w:b/>
                <w:i/>
                <w:lang w:val="es-MX" w:eastAsia="es-MX"/>
              </w:rPr>
              <w:t>(U.M.A)</w:t>
            </w:r>
          </w:p>
        </w:tc>
      </w:tr>
      <w:tr w:rsidR="00E15BB1" w:rsidRPr="00AE0C3E" w14:paraId="43D362BD" w14:textId="77777777" w:rsidTr="00F96630">
        <w:tc>
          <w:tcPr>
            <w:tcW w:w="7196" w:type="dxa"/>
            <w:gridSpan w:val="4"/>
            <w:shd w:val="clear" w:color="auto" w:fill="auto"/>
          </w:tcPr>
          <w:p w14:paraId="0EFDAC19" w14:textId="77777777" w:rsidR="00E15BB1" w:rsidRPr="00AE0C3E" w:rsidRDefault="00E15BB1" w:rsidP="00F96630">
            <w:pPr>
              <w:autoSpaceDE w:val="0"/>
              <w:autoSpaceDN w:val="0"/>
              <w:adjustRightInd w:val="0"/>
              <w:spacing w:after="0" w:line="240" w:lineRule="auto"/>
              <w:ind w:left="567"/>
              <w:jc w:val="center"/>
              <w:rPr>
                <w:rFonts w:ascii="Arial" w:eastAsia="Calibri" w:hAnsi="Arial" w:cs="Arial"/>
                <w:b/>
                <w:i/>
                <w:lang w:val="es-MX" w:eastAsia="es-MX"/>
              </w:rPr>
            </w:pPr>
            <w:r w:rsidRPr="00AE0C3E">
              <w:rPr>
                <w:rFonts w:ascii="Arial" w:eastAsia="Calibri" w:hAnsi="Arial" w:cs="Arial"/>
                <w:b/>
                <w:i/>
                <w:lang w:val="es-MX" w:eastAsia="es-MX"/>
              </w:rPr>
              <w:t>VEHÍCULOS</w:t>
            </w:r>
          </w:p>
        </w:tc>
        <w:tc>
          <w:tcPr>
            <w:tcW w:w="1843" w:type="dxa"/>
            <w:gridSpan w:val="2"/>
            <w:shd w:val="clear" w:color="auto" w:fill="auto"/>
          </w:tcPr>
          <w:p w14:paraId="34BFF980" w14:textId="77777777" w:rsidR="00E15BB1" w:rsidRPr="00AE0C3E" w:rsidRDefault="00E15BB1" w:rsidP="00F96630">
            <w:pPr>
              <w:autoSpaceDE w:val="0"/>
              <w:autoSpaceDN w:val="0"/>
              <w:adjustRightInd w:val="0"/>
              <w:spacing w:after="0" w:line="240" w:lineRule="auto"/>
              <w:ind w:left="567"/>
              <w:jc w:val="center"/>
              <w:rPr>
                <w:rFonts w:ascii="Arial" w:eastAsia="Calibri" w:hAnsi="Arial" w:cs="Arial"/>
                <w:b/>
                <w:i/>
                <w:lang w:val="es-MX" w:eastAsia="es-MX"/>
              </w:rPr>
            </w:pPr>
            <w:r w:rsidRPr="00AE0C3E">
              <w:rPr>
                <w:rFonts w:ascii="Arial" w:eastAsia="Calibri" w:hAnsi="Arial" w:cs="Arial"/>
                <w:b/>
                <w:i/>
                <w:lang w:val="es-MX" w:eastAsia="es-MX"/>
              </w:rPr>
              <w:t>MÍNIMO- MÁXIMO</w:t>
            </w:r>
          </w:p>
        </w:tc>
      </w:tr>
    </w:tbl>
    <w:p w14:paraId="1F7FD231" w14:textId="77777777" w:rsidR="00E15BB1" w:rsidRPr="00AE0C3E" w:rsidRDefault="00E15BB1" w:rsidP="00E15BB1">
      <w:pPr>
        <w:autoSpaceDE w:val="0"/>
        <w:autoSpaceDN w:val="0"/>
        <w:adjustRightInd w:val="0"/>
        <w:spacing w:after="0" w:line="240" w:lineRule="auto"/>
        <w:ind w:left="567"/>
        <w:rPr>
          <w:rFonts w:ascii="Arial" w:eastAsia="Calibri" w:hAnsi="Arial" w:cs="Arial"/>
          <w:i/>
          <w:lang w:val="es-MX" w:eastAsia="es-MX"/>
        </w:rPr>
      </w:pPr>
    </w:p>
    <w:p w14:paraId="05AF5A00" w14:textId="77777777" w:rsidR="00E15BB1" w:rsidRPr="00AE0C3E" w:rsidRDefault="00E15BB1" w:rsidP="00E15BB1">
      <w:pPr>
        <w:autoSpaceDE w:val="0"/>
        <w:autoSpaceDN w:val="0"/>
        <w:adjustRightInd w:val="0"/>
        <w:spacing w:after="0" w:line="240" w:lineRule="auto"/>
        <w:ind w:left="567"/>
        <w:jc w:val="both"/>
        <w:rPr>
          <w:rFonts w:ascii="Arial" w:eastAsia="Times New Roman" w:hAnsi="Arial" w:cs="Arial"/>
          <w:bCs/>
          <w:i/>
          <w:lang w:eastAsia="es-MX"/>
        </w:rPr>
      </w:pPr>
      <w:r w:rsidRPr="00AE0C3E">
        <w:rPr>
          <w:rFonts w:ascii="Arial" w:eastAsia="Times New Roman" w:hAnsi="Arial" w:cs="Arial"/>
          <w:bCs/>
          <w:i/>
          <w:lang w:eastAsia="es-MX"/>
        </w:rPr>
        <w:t>(…)</w:t>
      </w:r>
    </w:p>
    <w:p w14:paraId="331C6E52" w14:textId="77777777" w:rsidR="00E15BB1" w:rsidRPr="00AE0C3E" w:rsidRDefault="00E15BB1" w:rsidP="00E15BB1">
      <w:pPr>
        <w:autoSpaceDE w:val="0"/>
        <w:autoSpaceDN w:val="0"/>
        <w:adjustRightInd w:val="0"/>
        <w:spacing w:after="0" w:line="240" w:lineRule="auto"/>
        <w:ind w:left="567"/>
        <w:jc w:val="both"/>
        <w:rPr>
          <w:rFonts w:ascii="Arial" w:eastAsia="Times New Roman" w:hAnsi="Arial" w:cs="Arial"/>
          <w:bCs/>
          <w:i/>
          <w:lang w:eastAsia="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E15BB1" w:rsidRPr="00AE0C3E" w14:paraId="5A861AC3" w14:textId="77777777" w:rsidTr="00F96630">
        <w:tc>
          <w:tcPr>
            <w:tcW w:w="8897" w:type="dxa"/>
            <w:shd w:val="clear" w:color="auto" w:fill="auto"/>
          </w:tcPr>
          <w:p w14:paraId="64C0FBBB" w14:textId="77777777" w:rsidR="00E15BB1" w:rsidRPr="00AE0C3E" w:rsidRDefault="00E15BB1" w:rsidP="00F96630">
            <w:pPr>
              <w:autoSpaceDE w:val="0"/>
              <w:autoSpaceDN w:val="0"/>
              <w:adjustRightInd w:val="0"/>
              <w:spacing w:after="0" w:line="240" w:lineRule="auto"/>
              <w:ind w:left="567"/>
              <w:jc w:val="both"/>
              <w:rPr>
                <w:rFonts w:ascii="Arial" w:eastAsia="Times New Roman" w:hAnsi="Arial" w:cs="Arial"/>
                <w:b/>
                <w:bCs/>
                <w:i/>
                <w:lang w:eastAsia="es-MX"/>
              </w:rPr>
            </w:pPr>
            <w:r w:rsidRPr="00AE0C3E">
              <w:rPr>
                <w:rFonts w:ascii="Arial" w:eastAsia="Times New Roman" w:hAnsi="Arial" w:cs="Arial"/>
                <w:b/>
                <w:bCs/>
                <w:i/>
                <w:lang w:eastAsia="es-MX"/>
              </w:rPr>
              <w:t>f).- CONDUCCIÓN DE AUTOMOTORES</w:t>
            </w:r>
          </w:p>
        </w:tc>
      </w:tr>
    </w:tbl>
    <w:p w14:paraId="65BD7EE8" w14:textId="77777777" w:rsidR="00E15BB1" w:rsidRPr="00AE0C3E" w:rsidRDefault="00E15BB1" w:rsidP="00E15BB1">
      <w:pPr>
        <w:autoSpaceDE w:val="0"/>
        <w:autoSpaceDN w:val="0"/>
        <w:adjustRightInd w:val="0"/>
        <w:spacing w:after="0" w:line="240" w:lineRule="auto"/>
        <w:ind w:left="567"/>
        <w:jc w:val="both"/>
        <w:rPr>
          <w:rFonts w:ascii="Arial" w:eastAsia="Times New Roman" w:hAnsi="Arial" w:cs="Arial"/>
          <w:bCs/>
          <w:i/>
          <w:lang w:eastAsia="es-MX"/>
        </w:rPr>
      </w:pPr>
    </w:p>
    <w:p w14:paraId="31BA82D8" w14:textId="77777777" w:rsidR="00E15BB1" w:rsidRPr="00AE0C3E" w:rsidRDefault="00E15BB1" w:rsidP="00E15BB1">
      <w:pPr>
        <w:autoSpaceDE w:val="0"/>
        <w:autoSpaceDN w:val="0"/>
        <w:adjustRightInd w:val="0"/>
        <w:spacing w:after="0" w:line="240" w:lineRule="auto"/>
        <w:ind w:left="567"/>
        <w:jc w:val="both"/>
        <w:rPr>
          <w:rFonts w:ascii="Arial" w:eastAsia="Times New Roman" w:hAnsi="Arial" w:cs="Arial"/>
          <w:bCs/>
          <w:i/>
          <w:lang w:eastAsia="es-M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357"/>
        <w:gridCol w:w="2501"/>
        <w:gridCol w:w="1970"/>
        <w:gridCol w:w="1156"/>
      </w:tblGrid>
      <w:tr w:rsidR="00E15BB1" w:rsidRPr="00AE0C3E" w14:paraId="5B2E1ABB" w14:textId="77777777" w:rsidTr="00F96630">
        <w:tc>
          <w:tcPr>
            <w:tcW w:w="1526" w:type="dxa"/>
            <w:shd w:val="clear" w:color="auto" w:fill="auto"/>
          </w:tcPr>
          <w:p w14:paraId="5B3A55E9" w14:textId="77777777" w:rsidR="00E15BB1" w:rsidRPr="00AE0C3E" w:rsidRDefault="00E15BB1" w:rsidP="00F96630">
            <w:pPr>
              <w:autoSpaceDE w:val="0"/>
              <w:autoSpaceDN w:val="0"/>
              <w:adjustRightInd w:val="0"/>
              <w:spacing w:after="0" w:line="240" w:lineRule="auto"/>
              <w:ind w:left="567"/>
              <w:rPr>
                <w:rFonts w:ascii="Arial" w:eastAsia="Calibri" w:hAnsi="Arial" w:cs="Arial"/>
                <w:i/>
                <w:lang w:val="es-MX" w:eastAsia="es-MX"/>
              </w:rPr>
            </w:pPr>
            <w:r w:rsidRPr="00AE0C3E">
              <w:rPr>
                <w:rFonts w:ascii="Arial" w:eastAsia="Calibri" w:hAnsi="Arial" w:cs="Arial"/>
                <w:i/>
                <w:lang w:val="es-MX" w:eastAsia="es-MX"/>
              </w:rPr>
              <w:t xml:space="preserve">27 </w:t>
            </w:r>
          </w:p>
          <w:p w14:paraId="67FEA362" w14:textId="77777777" w:rsidR="00E15BB1" w:rsidRPr="00AE0C3E" w:rsidRDefault="00E15BB1" w:rsidP="00F96630">
            <w:pPr>
              <w:autoSpaceDE w:val="0"/>
              <w:autoSpaceDN w:val="0"/>
              <w:adjustRightInd w:val="0"/>
              <w:spacing w:after="0" w:line="240" w:lineRule="auto"/>
              <w:ind w:left="567"/>
              <w:jc w:val="both"/>
              <w:rPr>
                <w:rFonts w:ascii="Arial" w:eastAsia="Times New Roman" w:hAnsi="Arial" w:cs="Arial"/>
                <w:bCs/>
                <w:i/>
                <w:lang w:eastAsia="es-MX"/>
              </w:rPr>
            </w:pPr>
          </w:p>
        </w:tc>
        <w:tc>
          <w:tcPr>
            <w:tcW w:w="1417" w:type="dxa"/>
            <w:shd w:val="clear" w:color="auto" w:fill="auto"/>
          </w:tcPr>
          <w:p w14:paraId="2ECEDB57" w14:textId="77777777" w:rsidR="00E15BB1" w:rsidRPr="00AE0C3E" w:rsidRDefault="00E15BB1" w:rsidP="00F96630">
            <w:pPr>
              <w:autoSpaceDE w:val="0"/>
              <w:autoSpaceDN w:val="0"/>
              <w:adjustRightInd w:val="0"/>
              <w:spacing w:after="0" w:line="240" w:lineRule="auto"/>
              <w:ind w:left="567"/>
              <w:jc w:val="both"/>
              <w:rPr>
                <w:rFonts w:ascii="Arial" w:eastAsia="Times New Roman" w:hAnsi="Arial" w:cs="Arial"/>
                <w:bCs/>
                <w:i/>
                <w:lang w:eastAsia="es-MX"/>
              </w:rPr>
            </w:pPr>
            <w:r w:rsidRPr="00AE0C3E">
              <w:rPr>
                <w:rFonts w:ascii="Arial" w:eastAsia="Calibri" w:hAnsi="Arial" w:cs="Arial"/>
                <w:i/>
                <w:lang w:val="es-MX" w:eastAsia="es-MX"/>
              </w:rPr>
              <w:t>V073</w:t>
            </w:r>
          </w:p>
        </w:tc>
        <w:tc>
          <w:tcPr>
            <w:tcW w:w="3045" w:type="dxa"/>
            <w:shd w:val="clear" w:color="auto" w:fill="auto"/>
          </w:tcPr>
          <w:p w14:paraId="50C1724B" w14:textId="77777777" w:rsidR="00E15BB1" w:rsidRPr="00AE0C3E" w:rsidRDefault="00E15BB1" w:rsidP="00F96630">
            <w:pPr>
              <w:autoSpaceDE w:val="0"/>
              <w:autoSpaceDN w:val="0"/>
              <w:adjustRightInd w:val="0"/>
              <w:spacing w:after="0" w:line="240" w:lineRule="auto"/>
              <w:ind w:left="567"/>
              <w:jc w:val="both"/>
              <w:rPr>
                <w:rFonts w:ascii="Arial" w:eastAsia="Calibri" w:hAnsi="Arial" w:cs="Arial"/>
                <w:i/>
                <w:lang w:val="es-MX" w:eastAsia="es-MX"/>
              </w:rPr>
            </w:pPr>
            <w:r w:rsidRPr="00AE0C3E">
              <w:rPr>
                <w:rFonts w:ascii="Arial" w:eastAsia="Calibri" w:hAnsi="Arial" w:cs="Arial"/>
                <w:i/>
                <w:lang w:val="es-MX" w:eastAsia="es-MX"/>
              </w:rPr>
              <w:t xml:space="preserve">Por aumentar la velocidad del vehículo ante la indicación de la luz amarilla del semáforo cuando el vehículo aún no haya entrado en intersección </w:t>
            </w:r>
            <w:r w:rsidRPr="00AE0C3E">
              <w:rPr>
                <w:rFonts w:ascii="Arial" w:eastAsia="Calibri" w:hAnsi="Arial" w:cs="Arial"/>
                <w:b/>
                <w:i/>
                <w:u w:val="single"/>
                <w:lang w:val="es-MX" w:eastAsia="es-MX"/>
              </w:rPr>
              <w:t>o pasarse la luz roja de los semáforos</w:t>
            </w:r>
            <w:r w:rsidRPr="00AE0C3E">
              <w:rPr>
                <w:rFonts w:ascii="Arial" w:eastAsia="Calibri" w:hAnsi="Arial" w:cs="Arial"/>
                <w:i/>
                <w:lang w:val="es-MX" w:eastAsia="es-MX"/>
              </w:rPr>
              <w:t>.</w:t>
            </w:r>
          </w:p>
          <w:p w14:paraId="284A9159" w14:textId="77777777" w:rsidR="00E15BB1" w:rsidRPr="00AE0C3E" w:rsidRDefault="00E15BB1" w:rsidP="00F96630">
            <w:pPr>
              <w:autoSpaceDE w:val="0"/>
              <w:autoSpaceDN w:val="0"/>
              <w:adjustRightInd w:val="0"/>
              <w:spacing w:after="0" w:line="240" w:lineRule="auto"/>
              <w:ind w:left="567"/>
              <w:jc w:val="both"/>
              <w:rPr>
                <w:rFonts w:ascii="Arial" w:eastAsia="Times New Roman" w:hAnsi="Arial" w:cs="Arial"/>
                <w:bCs/>
                <w:i/>
                <w:lang w:eastAsia="es-MX"/>
              </w:rPr>
            </w:pPr>
          </w:p>
        </w:tc>
        <w:tc>
          <w:tcPr>
            <w:tcW w:w="1775" w:type="dxa"/>
            <w:shd w:val="clear" w:color="auto" w:fill="auto"/>
          </w:tcPr>
          <w:p w14:paraId="4FB6BE9A" w14:textId="77777777" w:rsidR="00E15BB1" w:rsidRPr="00AE0C3E" w:rsidRDefault="00E15BB1" w:rsidP="00F96630">
            <w:pPr>
              <w:autoSpaceDE w:val="0"/>
              <w:autoSpaceDN w:val="0"/>
              <w:adjustRightInd w:val="0"/>
              <w:spacing w:after="0" w:line="240" w:lineRule="auto"/>
              <w:ind w:left="567"/>
              <w:jc w:val="both"/>
              <w:rPr>
                <w:rFonts w:ascii="Arial" w:eastAsia="Calibri" w:hAnsi="Arial" w:cs="Arial"/>
                <w:i/>
                <w:lang w:val="es-MX" w:eastAsia="es-MX"/>
              </w:rPr>
            </w:pPr>
            <w:r w:rsidRPr="00AE0C3E">
              <w:rPr>
                <w:rFonts w:ascii="Arial" w:eastAsia="Calibri" w:hAnsi="Arial" w:cs="Arial"/>
                <w:i/>
                <w:lang w:val="es-MX" w:eastAsia="es-MX"/>
              </w:rPr>
              <w:t>Artículo 59 fracción I incisos c) y d) del Reglamento de Vialidad</w:t>
            </w:r>
          </w:p>
          <w:p w14:paraId="30BAE76C" w14:textId="77777777" w:rsidR="00E15BB1" w:rsidRPr="00AE0C3E" w:rsidRDefault="00E15BB1" w:rsidP="00F96630">
            <w:pPr>
              <w:autoSpaceDE w:val="0"/>
              <w:autoSpaceDN w:val="0"/>
              <w:adjustRightInd w:val="0"/>
              <w:spacing w:after="0" w:line="240" w:lineRule="auto"/>
              <w:ind w:left="567"/>
              <w:jc w:val="both"/>
              <w:rPr>
                <w:rFonts w:ascii="Arial" w:eastAsia="Times New Roman" w:hAnsi="Arial" w:cs="Arial"/>
                <w:bCs/>
                <w:i/>
                <w:lang w:eastAsia="es-MX"/>
              </w:rPr>
            </w:pPr>
          </w:p>
        </w:tc>
        <w:tc>
          <w:tcPr>
            <w:tcW w:w="1285" w:type="dxa"/>
            <w:shd w:val="clear" w:color="auto" w:fill="auto"/>
          </w:tcPr>
          <w:p w14:paraId="0D4CED09" w14:textId="77777777" w:rsidR="00E15BB1" w:rsidRPr="00AE0C3E" w:rsidRDefault="00E15BB1" w:rsidP="00F96630">
            <w:pPr>
              <w:autoSpaceDE w:val="0"/>
              <w:autoSpaceDN w:val="0"/>
              <w:adjustRightInd w:val="0"/>
              <w:spacing w:after="0" w:line="240" w:lineRule="auto"/>
              <w:ind w:left="567"/>
              <w:jc w:val="both"/>
              <w:rPr>
                <w:rFonts w:ascii="Arial" w:eastAsia="Times New Roman" w:hAnsi="Arial" w:cs="Arial"/>
                <w:bCs/>
                <w:i/>
                <w:lang w:eastAsia="es-MX"/>
              </w:rPr>
            </w:pPr>
            <w:r w:rsidRPr="00AE0C3E">
              <w:rPr>
                <w:rFonts w:ascii="Arial" w:eastAsia="Calibri" w:hAnsi="Arial" w:cs="Arial"/>
                <w:i/>
                <w:lang w:val="es-MX" w:eastAsia="es-MX"/>
              </w:rPr>
              <w:t>20 - 30</w:t>
            </w:r>
          </w:p>
        </w:tc>
      </w:tr>
    </w:tbl>
    <w:p w14:paraId="12C45513" w14:textId="77777777" w:rsidR="00E15BB1" w:rsidRPr="00AE0C3E" w:rsidRDefault="00E15BB1" w:rsidP="00E15BB1">
      <w:pPr>
        <w:autoSpaceDE w:val="0"/>
        <w:autoSpaceDN w:val="0"/>
        <w:adjustRightInd w:val="0"/>
        <w:spacing w:after="0" w:line="240" w:lineRule="auto"/>
        <w:ind w:left="567"/>
        <w:jc w:val="both"/>
        <w:rPr>
          <w:rFonts w:ascii="Arial" w:eastAsia="Times New Roman" w:hAnsi="Arial" w:cs="Arial"/>
          <w:bCs/>
          <w:i/>
          <w:lang w:eastAsia="es-MX"/>
        </w:rPr>
      </w:pPr>
    </w:p>
    <w:p w14:paraId="110064EA" w14:textId="77777777" w:rsidR="00E15BB1" w:rsidRPr="00AE0C3E" w:rsidRDefault="00E15BB1" w:rsidP="00E15BB1">
      <w:pPr>
        <w:spacing w:after="0" w:line="360" w:lineRule="auto"/>
        <w:ind w:left="567" w:firstLine="708"/>
        <w:jc w:val="both"/>
        <w:rPr>
          <w:rFonts w:ascii="Arial" w:eastAsia="Times New Roman" w:hAnsi="Arial" w:cs="Arial"/>
          <w:i/>
          <w:lang w:eastAsia="es-MX"/>
        </w:rPr>
      </w:pPr>
      <w:r w:rsidRPr="00AE0C3E">
        <w:rPr>
          <w:rFonts w:ascii="Arial" w:eastAsia="Times New Roman" w:hAnsi="Arial" w:cs="Arial"/>
          <w:i/>
          <w:lang w:eastAsia="es-MX"/>
        </w:rPr>
        <w:t>(…)”.</w:t>
      </w:r>
    </w:p>
    <w:p w14:paraId="572C2286" w14:textId="77777777" w:rsidR="00E15BB1" w:rsidRPr="00AE0C3E" w:rsidRDefault="00E15BB1" w:rsidP="00E15BB1">
      <w:pPr>
        <w:spacing w:after="0" w:line="360" w:lineRule="auto"/>
        <w:ind w:left="567" w:firstLine="708"/>
        <w:jc w:val="both"/>
        <w:rPr>
          <w:rFonts w:ascii="Arial" w:eastAsia="Times New Roman" w:hAnsi="Arial" w:cs="Arial"/>
          <w:i/>
          <w:lang w:eastAsia="es-MX"/>
        </w:rPr>
      </w:pPr>
    </w:p>
    <w:p w14:paraId="53354D63" w14:textId="2F86C82E" w:rsidR="00E15BB1" w:rsidRPr="00AE0C3E" w:rsidRDefault="00E15BB1" w:rsidP="00E15BB1">
      <w:pPr>
        <w:spacing w:after="0" w:line="360" w:lineRule="auto"/>
        <w:ind w:left="567" w:firstLine="708"/>
        <w:jc w:val="both"/>
        <w:rPr>
          <w:rFonts w:ascii="Arial" w:eastAsia="Times New Roman" w:hAnsi="Arial" w:cs="Arial"/>
          <w:i/>
          <w:u w:val="single"/>
          <w:lang w:eastAsia="es-MX"/>
        </w:rPr>
      </w:pPr>
      <w:r w:rsidRPr="00AE0C3E">
        <w:rPr>
          <w:rFonts w:ascii="Arial" w:eastAsia="Times New Roman" w:hAnsi="Arial" w:cs="Arial"/>
          <w:i/>
          <w:lang w:eastAsia="es-MX"/>
        </w:rPr>
        <w:t xml:space="preserve">En ese sentido, el código de cobro </w:t>
      </w:r>
      <w:r w:rsidR="00026FD6" w:rsidRPr="00026FD6">
        <w:rPr>
          <w:rFonts w:ascii="Arial" w:eastAsia="Times New Roman" w:hAnsi="Arial" w:cs="Arial"/>
          <w:b/>
          <w:i/>
          <w:lang w:eastAsia="es-MX"/>
        </w:rPr>
        <w:t>**********</w:t>
      </w:r>
      <w:r w:rsidRPr="00026FD6">
        <w:rPr>
          <w:rFonts w:ascii="Arial" w:eastAsia="Times New Roman" w:hAnsi="Arial" w:cs="Arial"/>
          <w:b/>
          <w:i/>
          <w:lang w:eastAsia="es-MX"/>
        </w:rPr>
        <w:t>,</w:t>
      </w:r>
      <w:r w:rsidRPr="00AE0C3E">
        <w:rPr>
          <w:rFonts w:ascii="Arial" w:eastAsia="Times New Roman" w:hAnsi="Arial" w:cs="Arial"/>
          <w:i/>
          <w:lang w:eastAsia="es-MX"/>
        </w:rPr>
        <w:t xml:space="preserve"> corresponde a la infracción de pasarse la luz roja de los semáforos, el artículo, fracción e inciso del Reglamento de Vialidad para el Municipio de Oaxaca de Juárez, Oaxaca y que la sanción como multa será de 20 a 30 Unidad de Medida Actualizada; lo que se corrobora que aún no se determina la multa que se le impondrá; y para garantizar el pago correspondiente la autoridad demanda retuvo en garantía la licencia de conducir en estricto apego al artículo 195, fracción V, la Ley de Ingresos del Municipio de Oaxaca de Juárez, Oaxaca, para el ejercicio fiscal dos mil dieciocho.</w:t>
      </w:r>
    </w:p>
    <w:p w14:paraId="3EE6BF95" w14:textId="641DA4C6" w:rsidR="00E15BB1" w:rsidRPr="00AE0C3E" w:rsidRDefault="00E15BB1" w:rsidP="00E15BB1">
      <w:pPr>
        <w:spacing w:after="0" w:line="360" w:lineRule="auto"/>
        <w:ind w:left="567" w:firstLine="708"/>
        <w:jc w:val="both"/>
        <w:rPr>
          <w:rFonts w:ascii="Arial" w:eastAsia="Times New Roman" w:hAnsi="Arial" w:cs="Arial"/>
          <w:i/>
          <w:lang w:eastAsia="es-MX"/>
        </w:rPr>
      </w:pPr>
      <w:r w:rsidRPr="00AE0C3E">
        <w:rPr>
          <w:rFonts w:ascii="Arial" w:eastAsia="Times New Roman" w:hAnsi="Arial" w:cs="Arial"/>
          <w:i/>
          <w:lang w:eastAsia="es-MX"/>
        </w:rPr>
        <w:t xml:space="preserve">En consecuencia, con fundamento en el artículo 209 de la Ley de Procediendo y Justicia Administrativa para el Estado de Oaxaca, se </w:t>
      </w:r>
      <w:r w:rsidRPr="00AE0C3E">
        <w:rPr>
          <w:rFonts w:ascii="Arial" w:eastAsia="Times New Roman" w:hAnsi="Arial" w:cs="Arial"/>
          <w:b/>
          <w:i/>
          <w:lang w:eastAsia="es-MX"/>
        </w:rPr>
        <w:t>RECONOCE LA LEGALIDAD Y VALIDEZ</w:t>
      </w:r>
      <w:r w:rsidRPr="00AE0C3E">
        <w:rPr>
          <w:rFonts w:ascii="Arial" w:eastAsia="Times New Roman" w:hAnsi="Arial" w:cs="Arial"/>
          <w:i/>
          <w:lang w:eastAsia="es-MX"/>
        </w:rPr>
        <w:t xml:space="preserve"> del acta de infracción de folio </w:t>
      </w:r>
      <w:r w:rsidR="00026FD6" w:rsidRPr="00026FD6">
        <w:rPr>
          <w:rFonts w:ascii="Arial" w:eastAsia="Times New Roman" w:hAnsi="Arial" w:cs="Arial"/>
          <w:b/>
          <w:i/>
          <w:lang w:eastAsia="es-MX"/>
        </w:rPr>
        <w:t>**********</w:t>
      </w:r>
      <w:r w:rsidRPr="00026FD6">
        <w:rPr>
          <w:rFonts w:ascii="Arial" w:eastAsia="Times New Roman" w:hAnsi="Arial" w:cs="Arial"/>
          <w:b/>
          <w:i/>
          <w:lang w:eastAsia="es-MX"/>
        </w:rPr>
        <w:t>,</w:t>
      </w:r>
      <w:r w:rsidRPr="00AE0C3E">
        <w:rPr>
          <w:rFonts w:ascii="Arial" w:eastAsia="Times New Roman" w:hAnsi="Arial" w:cs="Arial"/>
          <w:i/>
          <w:lang w:eastAsia="es-MX"/>
        </w:rPr>
        <w:t xml:space="preserve"> de diecinueve de septiembre de dos mil dieciocho, elaborada por el Policía Vial </w:t>
      </w:r>
      <w:r w:rsidR="00026FD6">
        <w:rPr>
          <w:rFonts w:ascii="Arial" w:eastAsia="Times New Roman" w:hAnsi="Arial" w:cs="Arial"/>
          <w:b/>
          <w:i/>
          <w:lang w:eastAsia="es-MX"/>
        </w:rPr>
        <w:t>**********</w:t>
      </w:r>
      <w:r w:rsidRPr="00AE0C3E">
        <w:rPr>
          <w:rFonts w:ascii="Arial" w:eastAsia="Times New Roman" w:hAnsi="Arial" w:cs="Arial"/>
          <w:i/>
          <w:lang w:eastAsia="es-MX"/>
        </w:rPr>
        <w:t xml:space="preserve">, con número estadístico </w:t>
      </w:r>
      <w:r w:rsidR="00026FD6" w:rsidRPr="00026FD6">
        <w:rPr>
          <w:rFonts w:ascii="Arial" w:eastAsia="Times New Roman" w:hAnsi="Arial" w:cs="Arial"/>
          <w:b/>
          <w:i/>
          <w:lang w:eastAsia="es-MX"/>
        </w:rPr>
        <w:t>**********</w:t>
      </w:r>
      <w:r w:rsidRPr="00AE0C3E">
        <w:rPr>
          <w:rFonts w:ascii="Arial" w:eastAsia="Times New Roman" w:hAnsi="Arial" w:cs="Arial"/>
          <w:i/>
          <w:lang w:eastAsia="es-MX"/>
        </w:rPr>
        <w:t xml:space="preserve"> de la Comisaria de Vialidad del Municipio de Oaxaca de Juárez, Oaxaca; en consecuencia, no ha lugar a la devolución de la licencia de conducir, ni la cancelación del acta de infracción, por cumplir la mencionada acta de infracción con los requisitos que alude el artículo 17 de la Ley de Procedimiento y Justicia Administrativa para el Estado de Oaxaca; y del artículo 137 del Reglamento de Vialidad para el Municipio de Oaxaca de Juárez, Oaxaca.”</w:t>
      </w:r>
    </w:p>
    <w:p w14:paraId="35509132" w14:textId="77777777" w:rsidR="00E15BB1" w:rsidRDefault="00E15BB1" w:rsidP="00E15BB1">
      <w:pPr>
        <w:spacing w:after="0" w:line="360" w:lineRule="auto"/>
        <w:jc w:val="both"/>
        <w:rPr>
          <w:rFonts w:ascii="Arial" w:eastAsia="Times New Roman" w:hAnsi="Arial" w:cs="Arial"/>
          <w:sz w:val="26"/>
          <w:szCs w:val="26"/>
          <w:lang w:eastAsia="es-MX"/>
        </w:rPr>
      </w:pPr>
    </w:p>
    <w:p w14:paraId="6EDEEB60" w14:textId="77777777" w:rsidR="00E15BB1" w:rsidRPr="00FF2589" w:rsidRDefault="00E15BB1" w:rsidP="00E15BB1">
      <w:pPr>
        <w:spacing w:after="0" w:line="360" w:lineRule="auto"/>
        <w:ind w:firstLine="567"/>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Atendiendo al contenido de la determinación de la </w:t>
      </w:r>
      <w:r w:rsidRPr="00FF2589">
        <w:rPr>
          <w:rFonts w:ascii="Arial" w:eastAsia="Times New Roman" w:hAnsi="Arial" w:cs="Arial"/>
          <w:i/>
          <w:sz w:val="26"/>
          <w:szCs w:val="26"/>
          <w:lang w:eastAsia="es-MX"/>
        </w:rPr>
        <w:t>A quo</w:t>
      </w:r>
      <w:r w:rsidRPr="004C58B1">
        <w:rPr>
          <w:rFonts w:ascii="Arial" w:eastAsia="Times New Roman" w:hAnsi="Arial" w:cs="Arial"/>
          <w:sz w:val="26"/>
          <w:szCs w:val="26"/>
          <w:lang w:eastAsia="es-MX"/>
        </w:rPr>
        <w:t>,</w:t>
      </w:r>
      <w:r>
        <w:rPr>
          <w:rFonts w:ascii="Arial" w:eastAsia="Times New Roman" w:hAnsi="Arial" w:cs="Arial"/>
          <w:sz w:val="26"/>
          <w:szCs w:val="26"/>
          <w:lang w:eastAsia="es-MX"/>
        </w:rPr>
        <w:t xml:space="preserve"> </w:t>
      </w:r>
      <w:r w:rsidRPr="00FF2589">
        <w:rPr>
          <w:rFonts w:ascii="Arial" w:eastAsia="Times New Roman" w:hAnsi="Arial" w:cs="Arial"/>
          <w:sz w:val="26"/>
          <w:szCs w:val="26"/>
          <w:lang w:eastAsia="es-MX"/>
        </w:rPr>
        <w:t>resulta su</w:t>
      </w:r>
      <w:r>
        <w:rPr>
          <w:rFonts w:ascii="Arial" w:eastAsia="Times New Roman" w:hAnsi="Arial" w:cs="Arial"/>
          <w:sz w:val="26"/>
          <w:szCs w:val="26"/>
          <w:lang w:eastAsia="es-MX"/>
        </w:rPr>
        <w:t>stancialmente fundado el argumento</w:t>
      </w:r>
      <w:r w:rsidRPr="00FF2589">
        <w:rPr>
          <w:rFonts w:ascii="Arial" w:eastAsia="Times New Roman" w:hAnsi="Arial" w:cs="Arial"/>
          <w:sz w:val="26"/>
          <w:szCs w:val="26"/>
          <w:lang w:eastAsia="es-MX"/>
        </w:rPr>
        <w:t xml:space="preserve"> </w:t>
      </w:r>
      <w:r>
        <w:rPr>
          <w:rFonts w:ascii="Arial" w:eastAsia="Times New Roman" w:hAnsi="Arial" w:cs="Arial"/>
          <w:sz w:val="26"/>
          <w:szCs w:val="26"/>
          <w:lang w:eastAsia="es-MX"/>
        </w:rPr>
        <w:t xml:space="preserve">esgrimido </w:t>
      </w:r>
      <w:r w:rsidRPr="00FF2589">
        <w:rPr>
          <w:rFonts w:ascii="Arial" w:eastAsia="Times New Roman" w:hAnsi="Arial" w:cs="Arial"/>
          <w:sz w:val="26"/>
          <w:szCs w:val="26"/>
          <w:lang w:eastAsia="es-MX"/>
        </w:rPr>
        <w:t>por el recurrente; por</w:t>
      </w:r>
      <w:r>
        <w:rPr>
          <w:rFonts w:ascii="Arial" w:eastAsia="Times New Roman" w:hAnsi="Arial" w:cs="Arial"/>
          <w:sz w:val="26"/>
          <w:szCs w:val="26"/>
          <w:lang w:eastAsia="es-MX"/>
        </w:rPr>
        <w:t xml:space="preserve"> lo </w:t>
      </w:r>
      <w:r w:rsidRPr="00FF2589">
        <w:rPr>
          <w:rFonts w:ascii="Arial" w:eastAsia="Times New Roman" w:hAnsi="Arial" w:cs="Arial"/>
          <w:sz w:val="26"/>
          <w:szCs w:val="26"/>
          <w:lang w:eastAsia="es-MX"/>
        </w:rPr>
        <w:t xml:space="preserve"> tanto, </w:t>
      </w:r>
      <w:r>
        <w:rPr>
          <w:rFonts w:ascii="Arial" w:eastAsia="Times New Roman" w:hAnsi="Arial" w:cs="Arial"/>
          <w:sz w:val="26"/>
          <w:szCs w:val="26"/>
          <w:lang w:eastAsia="es-MX"/>
        </w:rPr>
        <w:t xml:space="preserve">a fin </w:t>
      </w:r>
      <w:r w:rsidRPr="00FF2589">
        <w:rPr>
          <w:rFonts w:ascii="Arial" w:eastAsia="Times New Roman" w:hAnsi="Arial" w:cs="Arial"/>
          <w:sz w:val="26"/>
          <w:szCs w:val="26"/>
          <w:lang w:eastAsia="es-MX"/>
        </w:rPr>
        <w:t xml:space="preserve">de reparar el </w:t>
      </w:r>
      <w:r>
        <w:rPr>
          <w:rFonts w:ascii="Arial" w:eastAsia="Times New Roman" w:hAnsi="Arial" w:cs="Arial"/>
          <w:sz w:val="26"/>
          <w:szCs w:val="26"/>
          <w:lang w:eastAsia="es-MX"/>
        </w:rPr>
        <w:t>agraviado ocasionado al recurrente y toda vez que la Sala de Primera Instancia</w:t>
      </w:r>
      <w:r w:rsidRPr="00FF2589">
        <w:rPr>
          <w:rFonts w:ascii="Arial" w:eastAsia="Times New Roman" w:hAnsi="Arial" w:cs="Arial"/>
          <w:sz w:val="26"/>
          <w:szCs w:val="26"/>
          <w:lang w:eastAsia="es-MX"/>
        </w:rPr>
        <w:t xml:space="preserve"> ha agotado su jurisdicción, pues ya existe un pronunciamiento; además, atendiendo al principio de tutela judicial efectiva consagrado en el artículo 17 Constitucional, </w:t>
      </w:r>
      <w:r>
        <w:rPr>
          <w:rFonts w:ascii="Arial" w:eastAsia="Times New Roman" w:hAnsi="Arial" w:cs="Arial"/>
          <w:sz w:val="26"/>
          <w:szCs w:val="26"/>
          <w:lang w:eastAsia="es-MX"/>
        </w:rPr>
        <w:t xml:space="preserve">es </w:t>
      </w:r>
      <w:r w:rsidRPr="00FF2589">
        <w:rPr>
          <w:rFonts w:ascii="Arial" w:eastAsia="Times New Roman" w:hAnsi="Arial" w:cs="Arial"/>
          <w:sz w:val="26"/>
          <w:szCs w:val="26"/>
          <w:lang w:eastAsia="es-MX"/>
        </w:rPr>
        <w:t>procede</w:t>
      </w:r>
      <w:r>
        <w:rPr>
          <w:rFonts w:ascii="Arial" w:eastAsia="Times New Roman" w:hAnsi="Arial" w:cs="Arial"/>
          <w:sz w:val="26"/>
          <w:szCs w:val="26"/>
          <w:lang w:eastAsia="es-MX"/>
        </w:rPr>
        <w:t>nte</w:t>
      </w:r>
      <w:r w:rsidRPr="00FF2589">
        <w:rPr>
          <w:rFonts w:ascii="Arial" w:eastAsia="Times New Roman" w:hAnsi="Arial" w:cs="Arial"/>
          <w:sz w:val="26"/>
          <w:szCs w:val="26"/>
          <w:lang w:eastAsia="es-MX"/>
        </w:rPr>
        <w:t xml:space="preserve"> que esta Sala Superior reasuma jurisdicción, lo que de manera alguna implica la suplencia de agravios. </w:t>
      </w:r>
      <w:r>
        <w:rPr>
          <w:rFonts w:ascii="Arial" w:eastAsia="Times New Roman" w:hAnsi="Arial" w:cs="Arial"/>
          <w:sz w:val="26"/>
          <w:szCs w:val="26"/>
          <w:lang w:eastAsia="es-MX"/>
        </w:rPr>
        <w:t>Este criterio se apoya</w:t>
      </w:r>
      <w:r w:rsidRPr="00FF2589">
        <w:rPr>
          <w:rFonts w:ascii="Arial" w:eastAsia="Times New Roman" w:hAnsi="Arial" w:cs="Arial"/>
          <w:sz w:val="26"/>
          <w:szCs w:val="26"/>
          <w:lang w:eastAsia="es-MX"/>
        </w:rPr>
        <w:t xml:space="preserve"> </w:t>
      </w:r>
      <w:r>
        <w:rPr>
          <w:rFonts w:ascii="Arial" w:eastAsia="Times New Roman" w:hAnsi="Arial" w:cs="Arial"/>
          <w:sz w:val="26"/>
          <w:szCs w:val="26"/>
          <w:lang w:eastAsia="es-MX"/>
        </w:rPr>
        <w:t xml:space="preserve">en </w:t>
      </w:r>
      <w:r w:rsidRPr="00FF2589">
        <w:rPr>
          <w:rFonts w:ascii="Arial" w:eastAsia="Times New Roman" w:hAnsi="Arial" w:cs="Arial"/>
          <w:sz w:val="26"/>
          <w:szCs w:val="26"/>
          <w:lang w:eastAsia="es-MX"/>
        </w:rPr>
        <w:t>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siguientes</w:t>
      </w:r>
      <w:r>
        <w:rPr>
          <w:rFonts w:ascii="Arial" w:eastAsia="Times New Roman" w:hAnsi="Arial" w:cs="Arial"/>
          <w:sz w:val="26"/>
          <w:szCs w:val="26"/>
          <w:lang w:eastAsia="es-MX"/>
        </w:rPr>
        <w:t>:</w:t>
      </w:r>
      <w:r w:rsidRPr="00FF2589">
        <w:rPr>
          <w:rFonts w:ascii="Arial" w:eastAsia="Times New Roman" w:hAnsi="Arial" w:cs="Arial"/>
          <w:sz w:val="26"/>
          <w:szCs w:val="26"/>
          <w:lang w:eastAsia="es-MX"/>
        </w:rPr>
        <w:t xml:space="preserve"> </w:t>
      </w:r>
    </w:p>
    <w:p w14:paraId="78F8B543" w14:textId="77777777" w:rsidR="00E15BB1" w:rsidRPr="00EC63E1" w:rsidRDefault="00E15BB1" w:rsidP="00E15BB1">
      <w:pPr>
        <w:spacing w:after="0" w:line="360" w:lineRule="auto"/>
        <w:ind w:left="567" w:right="333"/>
        <w:jc w:val="both"/>
        <w:rPr>
          <w:rFonts w:ascii="Arial" w:eastAsia="Times New Roman" w:hAnsi="Arial" w:cs="Arial"/>
          <w:lang w:eastAsia="es-MX"/>
        </w:rPr>
      </w:pPr>
      <w:r w:rsidRPr="00EC63E1">
        <w:rPr>
          <w:rFonts w:ascii="Arial" w:eastAsia="Times New Roman" w:hAnsi="Arial" w:cs="Arial"/>
          <w:b/>
          <w:i/>
          <w:lang w:eastAsia="es-MX"/>
        </w:rPr>
        <w:t>“AGRAVIOS EN LA APELACIÓN. AL NO EXISTIR REENVÍO EL AD QUEM DEBE REASUMIR JURISDICCIÓN Y ABORDAR OFICIOSAMENTE SU ANÁLISIS, SIN QUE ELLO IMPLIQUE SUPLENCIA DE AQUÉLLOS.</w:t>
      </w:r>
      <w:r w:rsidRPr="00EC63E1">
        <w:rPr>
          <w:rFonts w:ascii="Arial" w:eastAsia="Times New Roman" w:hAnsi="Arial" w:cs="Arial"/>
          <w:i/>
          <w:lang w:eastAsia="es-MX"/>
        </w:rPr>
        <w:t xml:space="preserve"> Si bien es cierto que en la apelación contra el fallo definitivo de primer grado el tribunal de alzada debe concretarse a examinar, a través de los agravios, las acciones, excepciones y defensas que se hayan hecho </w:t>
      </w:r>
      <w:r w:rsidRPr="00EC63E1">
        <w:rPr>
          <w:rFonts w:ascii="Arial" w:eastAsia="Times New Roman" w:hAnsi="Arial" w:cs="Arial"/>
          <w:i/>
          <w:lang w:eastAsia="es-MX"/>
        </w:rPr>
        <w:lastRenderedPageBreak/>
        <w:t>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w:t>
      </w:r>
      <w:r w:rsidRPr="00EC63E1">
        <w:rPr>
          <w:rFonts w:ascii="Arial" w:eastAsia="Times New Roman" w:hAnsi="Arial" w:cs="Arial"/>
          <w:lang w:eastAsia="es-MX"/>
        </w:rPr>
        <w:t xml:space="preserve"> </w:t>
      </w:r>
    </w:p>
    <w:p w14:paraId="784EC10D" w14:textId="77777777" w:rsidR="00E15BB1" w:rsidRPr="00EC63E1" w:rsidRDefault="00E15BB1" w:rsidP="00E15BB1">
      <w:pPr>
        <w:spacing w:after="0" w:line="360" w:lineRule="auto"/>
        <w:ind w:firstLine="567"/>
        <w:jc w:val="both"/>
        <w:rPr>
          <w:rFonts w:ascii="Arial" w:eastAsia="Times New Roman" w:hAnsi="Arial" w:cs="Arial"/>
          <w:lang w:eastAsia="es-MX"/>
        </w:rPr>
      </w:pPr>
    </w:p>
    <w:p w14:paraId="0050F75A" w14:textId="77777777" w:rsidR="00E15BB1" w:rsidRDefault="00E15BB1" w:rsidP="00E15BB1">
      <w:pPr>
        <w:spacing w:after="0" w:line="360" w:lineRule="auto"/>
        <w:ind w:firstLine="567"/>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En </w:t>
      </w:r>
      <w:r w:rsidRPr="00FF2589">
        <w:rPr>
          <w:rFonts w:ascii="Arial" w:eastAsia="Times New Roman" w:hAnsi="Arial" w:cs="Arial"/>
          <w:sz w:val="26"/>
          <w:szCs w:val="26"/>
          <w:lang w:eastAsia="es-MX"/>
        </w:rPr>
        <w:t>consecuencia</w:t>
      </w:r>
      <w:r>
        <w:rPr>
          <w:rFonts w:ascii="Arial" w:eastAsia="Times New Roman" w:hAnsi="Arial" w:cs="Arial"/>
          <w:sz w:val="26"/>
          <w:szCs w:val="26"/>
          <w:lang w:eastAsia="es-MX"/>
        </w:rPr>
        <w:t>,</w:t>
      </w:r>
      <w:r w:rsidRPr="00FF2589">
        <w:rPr>
          <w:rFonts w:ascii="Arial" w:eastAsia="Times New Roman" w:hAnsi="Arial" w:cs="Arial"/>
          <w:sz w:val="26"/>
          <w:szCs w:val="26"/>
          <w:lang w:eastAsia="es-MX"/>
        </w:rPr>
        <w:t xml:space="preserve"> </w:t>
      </w:r>
      <w:r>
        <w:rPr>
          <w:rFonts w:ascii="Arial" w:eastAsia="Times New Roman" w:hAnsi="Arial" w:cs="Arial"/>
          <w:sz w:val="26"/>
          <w:szCs w:val="26"/>
          <w:lang w:eastAsia="es-MX"/>
        </w:rPr>
        <w:t xml:space="preserve">corresponde </w:t>
      </w:r>
      <w:r w:rsidRPr="00FF2589">
        <w:rPr>
          <w:rFonts w:ascii="Arial" w:eastAsia="Times New Roman" w:hAnsi="Arial" w:cs="Arial"/>
          <w:sz w:val="26"/>
          <w:szCs w:val="26"/>
          <w:lang w:eastAsia="es-MX"/>
        </w:rPr>
        <w:t xml:space="preserve">entrar al estudio de los conceptos de impugnación </w:t>
      </w:r>
      <w:r>
        <w:rPr>
          <w:rFonts w:ascii="Arial" w:eastAsia="Times New Roman" w:hAnsi="Arial" w:cs="Arial"/>
          <w:sz w:val="26"/>
          <w:szCs w:val="26"/>
          <w:lang w:eastAsia="es-MX"/>
        </w:rPr>
        <w:t>formulado</w:t>
      </w:r>
      <w:r w:rsidRPr="00FF2589">
        <w:rPr>
          <w:rFonts w:ascii="Arial" w:eastAsia="Times New Roman" w:hAnsi="Arial" w:cs="Arial"/>
          <w:sz w:val="26"/>
          <w:szCs w:val="26"/>
          <w:lang w:eastAsia="es-MX"/>
        </w:rPr>
        <w:t xml:space="preserve"> por </w:t>
      </w:r>
      <w:r>
        <w:rPr>
          <w:rFonts w:ascii="Arial" w:eastAsia="Times New Roman" w:hAnsi="Arial" w:cs="Arial"/>
          <w:sz w:val="26"/>
          <w:szCs w:val="26"/>
          <w:lang w:eastAsia="es-MX"/>
        </w:rPr>
        <w:t>el actor</w:t>
      </w:r>
      <w:r w:rsidRPr="00FF2589">
        <w:rPr>
          <w:rFonts w:ascii="Arial" w:eastAsia="Times New Roman" w:hAnsi="Arial" w:cs="Arial"/>
          <w:sz w:val="26"/>
          <w:szCs w:val="26"/>
          <w:lang w:eastAsia="es-MX"/>
        </w:rPr>
        <w:t xml:space="preserve"> en </w:t>
      </w:r>
      <w:r>
        <w:rPr>
          <w:rFonts w:ascii="Arial" w:eastAsia="Times New Roman" w:hAnsi="Arial" w:cs="Arial"/>
          <w:sz w:val="26"/>
          <w:szCs w:val="26"/>
          <w:lang w:eastAsia="es-MX"/>
        </w:rPr>
        <w:t xml:space="preserve">su demanda de nulidad, de donde </w:t>
      </w:r>
      <w:r w:rsidRPr="00FF2589">
        <w:rPr>
          <w:rFonts w:ascii="Arial" w:eastAsia="Times New Roman" w:hAnsi="Arial" w:cs="Arial"/>
          <w:sz w:val="26"/>
          <w:szCs w:val="26"/>
          <w:lang w:eastAsia="es-MX"/>
        </w:rPr>
        <w:t xml:space="preserve">se advierte que en el </w:t>
      </w:r>
      <w:r>
        <w:rPr>
          <w:rFonts w:ascii="Arial" w:eastAsia="Times New Roman" w:hAnsi="Arial" w:cs="Arial"/>
          <w:sz w:val="26"/>
          <w:szCs w:val="26"/>
          <w:lang w:eastAsia="es-MX"/>
        </w:rPr>
        <w:t xml:space="preserve">segundo concepto de impugnación </w:t>
      </w:r>
      <w:r w:rsidRPr="00FF2589">
        <w:rPr>
          <w:rFonts w:ascii="Arial" w:eastAsia="Times New Roman" w:hAnsi="Arial" w:cs="Arial"/>
          <w:sz w:val="26"/>
          <w:szCs w:val="26"/>
          <w:lang w:eastAsia="es-MX"/>
        </w:rPr>
        <w:t xml:space="preserve">manifestó lo siguiente: </w:t>
      </w:r>
      <w:r w:rsidRPr="004C58B1">
        <w:rPr>
          <w:rFonts w:ascii="Arial" w:eastAsia="Times New Roman" w:hAnsi="Arial" w:cs="Arial"/>
          <w:sz w:val="26"/>
          <w:szCs w:val="26"/>
          <w:lang w:eastAsia="es-MX"/>
        </w:rPr>
        <w:t xml:space="preserve"> </w:t>
      </w:r>
    </w:p>
    <w:p w14:paraId="3D2DF344" w14:textId="260FE592" w:rsidR="00E15BB1" w:rsidRPr="00EC63E1" w:rsidRDefault="00E15BB1" w:rsidP="00E15BB1">
      <w:pPr>
        <w:pStyle w:val="Sinespaciado"/>
        <w:spacing w:after="120" w:line="360" w:lineRule="auto"/>
        <w:ind w:left="709" w:right="900" w:firstLine="567"/>
        <w:jc w:val="both"/>
        <w:rPr>
          <w:rFonts w:ascii="Arial" w:hAnsi="Arial" w:cs="Arial"/>
          <w:i/>
        </w:rPr>
      </w:pPr>
      <w:r w:rsidRPr="00EC63E1">
        <w:rPr>
          <w:rFonts w:ascii="Arial" w:hAnsi="Arial" w:cs="Arial"/>
          <w:b/>
          <w:i/>
        </w:rPr>
        <w:t xml:space="preserve">“SEGUNDO.- </w:t>
      </w:r>
      <w:r w:rsidRPr="00EC63E1">
        <w:rPr>
          <w:rFonts w:ascii="Arial" w:hAnsi="Arial" w:cs="Arial"/>
          <w:i/>
        </w:rPr>
        <w:t xml:space="preserve">La boleta de infracción con número de folio </w:t>
      </w:r>
      <w:r w:rsidR="00026FD6" w:rsidRPr="00026FD6">
        <w:rPr>
          <w:rFonts w:ascii="Arial" w:hAnsi="Arial" w:cs="Arial"/>
          <w:b/>
          <w:i/>
        </w:rPr>
        <w:t>**********</w:t>
      </w:r>
      <w:r w:rsidRPr="00EC63E1">
        <w:rPr>
          <w:rFonts w:ascii="Arial" w:hAnsi="Arial" w:cs="Arial"/>
          <w:i/>
        </w:rPr>
        <w:t xml:space="preserve"> de fecha 19 de septiembre de 2018 que se impugna, resulta ser ilegal y viola en mi perjuicio lo establecido por el artículo 16 Constitucional en relación con el artículo 17, fracción V, de la Ley de Procedimiento y Justicia Administrativa para el Estado de Oaxaca, ya que la misma carece de la debida fundamentación y motivación de la COMPETENCIA material y territorial de la autoridad que la emite.</w:t>
      </w:r>
    </w:p>
    <w:p w14:paraId="26DA3AB1" w14:textId="77777777" w:rsidR="00E15BB1" w:rsidRPr="00EC63E1" w:rsidRDefault="00E15BB1" w:rsidP="00E15BB1">
      <w:pPr>
        <w:pStyle w:val="Sinespaciado"/>
        <w:spacing w:after="120" w:line="360" w:lineRule="auto"/>
        <w:ind w:left="709" w:right="900" w:firstLine="567"/>
        <w:jc w:val="both"/>
        <w:rPr>
          <w:rFonts w:ascii="Arial" w:hAnsi="Arial" w:cs="Arial"/>
          <w:i/>
        </w:rPr>
      </w:pPr>
      <w:r w:rsidRPr="00EC63E1">
        <w:rPr>
          <w:rFonts w:ascii="Arial" w:hAnsi="Arial" w:cs="Arial"/>
          <w:i/>
        </w:rPr>
        <w:t>En efecto, los artículos antes mencionados relacionados entre sí nos establecen que “Nadie” puede ser molestado en su persona, familia, domicilio, papeles o posesiones, sino en virtud de mandamiento escrito de la autoridad competente, que funde y motive la causa legal del procedimiento”, y por su parte el artículo 17, fracción V, de la Ley de Procedimiento y Justicia Administrativa para el Estado de Oaxaca, establece que: “Son elementos y requisitos de validez del acto administrativo”….V.- Estar fundado y motivado….”</w:t>
      </w:r>
    </w:p>
    <w:p w14:paraId="1D0A6900" w14:textId="77777777" w:rsidR="00E15BB1" w:rsidRPr="00EC63E1" w:rsidRDefault="00E15BB1" w:rsidP="00E15BB1">
      <w:pPr>
        <w:pStyle w:val="Sinespaciado"/>
        <w:spacing w:after="120" w:line="360" w:lineRule="auto"/>
        <w:ind w:left="709" w:right="900" w:firstLine="567"/>
        <w:jc w:val="both"/>
        <w:rPr>
          <w:rFonts w:ascii="Arial" w:hAnsi="Arial" w:cs="Arial"/>
          <w:i/>
        </w:rPr>
      </w:pPr>
      <w:r w:rsidRPr="00EC63E1">
        <w:rPr>
          <w:rFonts w:ascii="Arial" w:hAnsi="Arial" w:cs="Arial"/>
          <w:i/>
        </w:rPr>
        <w:t xml:space="preserve">Y en la especie, se da la violación de los preceptos antes mencionados, ya que de lo anteriormente transcrito se desprende que para atender estrictamente la garantía prevista por el artículo 16 Constitucional, la autoridad emisora debe acreditar su competencia tanto material, como territorial, señalando en el propio acto de molestia, no solamente los dispositivos legales que le otorguen expresamente las facultades para actuar, sino también el precepto, acuerdo o decreto que determine el ámbito territorial dentro del cual pueda ejercitar tales atribuciones, a fin de no dejarme en completo estado de indefensión y así tenga plena posibilidad de examinar si se encuentra ubicado dentro de la circunscripción territorial en donde se suscitaron los hechos, lo que en este caso no sucede, ya que simplemente en el acta de infracción que se impugna para fundamentar la competencia de la autoridad emisora solo cita lo siguiente: “..”…ARTICULO 115 FRACCIÓN II Y III INCISCO H DE LA CONSTITUCIÓN POLÍTICA DE LOS ESTADOS UNIDOS </w:t>
      </w:r>
      <w:r w:rsidRPr="00EC63E1">
        <w:rPr>
          <w:rFonts w:ascii="Arial" w:hAnsi="Arial" w:cs="Arial"/>
          <w:i/>
        </w:rPr>
        <w:lastRenderedPageBreak/>
        <w:t>MEXICANOS, 113 FRACCIONES II, Y III INCISO H DE LA CONSTITUCIÓN POLÍTICA DEL ESTADO LIBRE Y SOBERANO DEL ESTADO DE OAXACA, 143 DE LA LEY ORGÁNICA MUNICIPAL DEL ESTADO DE OAXACA; 1, 3, 4, 18 FRACCIÓN I, 89 FRACCIONES II Y V, 179, FRACCIONES I, III, XXVI, 189, 190 FRACCIÓN XXII DEL BANDO DE POLICIA Y GOBIERO DEL MUNICIPIO DE OAXACA DE JUÁREZ,1, 2, 3, 7, 54, FRACCIÓN XXII DEL REGLAMENTO DE LA COMISIÓN DE SEGURIDAD PÚBLICA, VIALIDAD Y PROTECCIÓN CIVIL DEL MUNICIPIO DE OAXACA DE JUÁREZ; 1, 2, 5, 6 FRACCIONES XXIV Y XXXIV, 11, 60, 136, 137, 138, 139, 149 Y DEMAS RELATIVOS DEL REGLAMENTO DE VIALIDAD PARA EL MUNICIPIO DE OAXACA DE JUÁREZ; Y 1, 2, 195 FRACCIONES V, VII, X, XI DE LA LEY DE INGRESOS DEL MUNICIPIO DE OAXACA DE JUÁREZ,…” De lo anterior no se puede tener por debidamente fundada y motivada la competencia material y territorial de la autoridad que emite el acta de infracción que se impugna, ya que no se menciona el dispositivo legal que exactamente otorgue tal competencia, por lo que es claro que la autoridad emisora viola lo establecido por el artículo 16 Constitucional en relación con el artículo 17, fracción V, de la Ley de Procedimiento y Justicia Administrativa para el Estado de Oaxaca, ya que carece de la debida fundamentación y motivación de la competencia territorial y material de la autoridad que la emite, por lo que procede se deje sin efectos el acta de infracción que se impugna.</w:t>
      </w:r>
    </w:p>
    <w:p w14:paraId="336AF087" w14:textId="77777777" w:rsidR="00E15BB1" w:rsidRPr="00EC63E1" w:rsidRDefault="00E15BB1" w:rsidP="00E15BB1">
      <w:pPr>
        <w:pStyle w:val="Sinespaciado"/>
        <w:spacing w:line="360" w:lineRule="auto"/>
        <w:ind w:left="709" w:right="900" w:firstLine="567"/>
        <w:jc w:val="both"/>
        <w:rPr>
          <w:rFonts w:ascii="Arial" w:hAnsi="Arial" w:cs="Arial"/>
          <w:i/>
        </w:rPr>
      </w:pPr>
      <w:r w:rsidRPr="00EC63E1">
        <w:rPr>
          <w:rFonts w:ascii="Arial" w:hAnsi="Arial" w:cs="Arial"/>
          <w:i/>
        </w:rPr>
        <w:t>[…]”</w:t>
      </w:r>
    </w:p>
    <w:p w14:paraId="289A487B" w14:textId="4B880D93" w:rsidR="00E15BB1" w:rsidRPr="00805079" w:rsidRDefault="00E15BB1" w:rsidP="00E15BB1">
      <w:pPr>
        <w:spacing w:after="0" w:line="360" w:lineRule="auto"/>
        <w:ind w:firstLine="708"/>
        <w:jc w:val="both"/>
        <w:rPr>
          <w:rFonts w:ascii="Arial" w:hAnsi="Arial" w:cs="Arial"/>
          <w:sz w:val="26"/>
          <w:szCs w:val="26"/>
        </w:rPr>
      </w:pPr>
      <w:r>
        <w:rPr>
          <w:rFonts w:ascii="Arial" w:hAnsi="Arial" w:cs="Arial"/>
          <w:sz w:val="26"/>
          <w:szCs w:val="26"/>
        </w:rPr>
        <w:t xml:space="preserve">En relación al concepto de impugnación en estudio, del acta de infracción folio </w:t>
      </w:r>
      <w:r w:rsidR="00026FD6" w:rsidRPr="00026FD6">
        <w:rPr>
          <w:rFonts w:ascii="Arial" w:hAnsi="Arial" w:cs="Arial"/>
          <w:b/>
          <w:sz w:val="26"/>
          <w:szCs w:val="26"/>
        </w:rPr>
        <w:t>**********</w:t>
      </w:r>
      <w:r>
        <w:rPr>
          <w:rFonts w:ascii="Arial" w:hAnsi="Arial" w:cs="Arial"/>
          <w:sz w:val="26"/>
          <w:szCs w:val="26"/>
        </w:rPr>
        <w:t xml:space="preserve"> de diecinueve de septiembre de dos mil dieciocho, se advierte que el Policía Vial con número estadístico </w:t>
      </w:r>
      <w:r w:rsidR="00026FD6" w:rsidRPr="00026FD6">
        <w:rPr>
          <w:rFonts w:ascii="Arial" w:hAnsi="Arial" w:cs="Arial"/>
          <w:b/>
          <w:sz w:val="26"/>
          <w:szCs w:val="26"/>
        </w:rPr>
        <w:t>**********</w:t>
      </w:r>
      <w:r w:rsidRPr="00026FD6">
        <w:rPr>
          <w:rFonts w:ascii="Arial" w:hAnsi="Arial" w:cs="Arial"/>
          <w:b/>
          <w:sz w:val="26"/>
          <w:szCs w:val="26"/>
        </w:rPr>
        <w:t>,</w:t>
      </w:r>
      <w:r>
        <w:rPr>
          <w:rFonts w:ascii="Arial" w:hAnsi="Arial" w:cs="Arial"/>
          <w:sz w:val="26"/>
          <w:szCs w:val="26"/>
        </w:rPr>
        <w:t xml:space="preserve"> adscrito a la Comisaría de Vialidad del Municipio de Oaxaca de Juárez, Oaxaca, invocó como fundamentación para el levantamiento del acta de infracción referida los siguientes preceptos legales: </w:t>
      </w:r>
      <w:r w:rsidRPr="00A06258">
        <w:rPr>
          <w:rFonts w:ascii="Arial" w:hAnsi="Arial" w:cs="Arial"/>
          <w:sz w:val="26"/>
          <w:szCs w:val="26"/>
        </w:rPr>
        <w:t>“</w:t>
      </w:r>
      <w:r w:rsidRPr="00A06258">
        <w:rPr>
          <w:rFonts w:ascii="Arial" w:hAnsi="Arial" w:cs="Arial"/>
          <w:i/>
          <w:sz w:val="26"/>
          <w:szCs w:val="26"/>
        </w:rPr>
        <w:t>ARTIC</w:t>
      </w:r>
      <w:r>
        <w:rPr>
          <w:rFonts w:ascii="Arial" w:hAnsi="Arial" w:cs="Arial"/>
          <w:i/>
          <w:sz w:val="26"/>
          <w:szCs w:val="26"/>
        </w:rPr>
        <w:t>ULO 115 FRACCIÓN II Y III INCIS</w:t>
      </w:r>
      <w:r w:rsidRPr="00A06258">
        <w:rPr>
          <w:rFonts w:ascii="Arial" w:hAnsi="Arial" w:cs="Arial"/>
          <w:i/>
          <w:sz w:val="26"/>
          <w:szCs w:val="26"/>
        </w:rPr>
        <w:t xml:space="preserve">O H DE LA CONSTITUCIÓN POLÍTICA DE LOS ESTADOS UNIDOS MEXICANOS, 113 FRACCIONES II, Y III INCISO H DE LA CONSTITUCIÓN POLÍTICA DEL ESTADO LIBRE Y SOBERANO DEL ESTADO DE OAXACA, 143 DE LA LEY ORGÁNICA MUNICIPAL DEL ESTADO DE OAXACA; 1, 3, 4, 18 FRACCIÓN I, 89 FRACCIONES II Y V, 179, FRACCIONES I, III, XXVI, 189, 190 FRACCIÓN XXII DEL BANDO DE POLICIA Y GOBIERO DEL MUNICIPIO DE OAXACA DE JUÁREZ,1, 2, 3, 7, 54 Y 55 FRACCIÓN XXII DEL REGLAMENTO DE LA COMISIÓN DE SEGURIDAD PÚBLICA, VIALIDAD Y PROTECCIÓN CIVIL DEL MUNICIPIO DE OAXACA DE JUÁREZ; 1, 2, 5, 6 FRACCIONES XXIV Y </w:t>
      </w:r>
      <w:r w:rsidRPr="00A06258">
        <w:rPr>
          <w:rFonts w:ascii="Arial" w:hAnsi="Arial" w:cs="Arial"/>
          <w:i/>
          <w:sz w:val="26"/>
          <w:szCs w:val="26"/>
        </w:rPr>
        <w:lastRenderedPageBreak/>
        <w:t>XXXIV, 11, 60, 136, 137, 138, 139, 149 Y DEMAS RELATIVOS DEL REGLAMENTO DE VIALIDAD PARA EL MUNICIPIO DE OAXACA DE JUÁREZ; Y 1, 2, 195 FRACCIONES V, VII, X, XI DE LA LEY DE INGRESOS DEL</w:t>
      </w:r>
      <w:r>
        <w:rPr>
          <w:rFonts w:ascii="Arial" w:hAnsi="Arial" w:cs="Arial"/>
          <w:i/>
          <w:sz w:val="26"/>
          <w:szCs w:val="26"/>
        </w:rPr>
        <w:t xml:space="preserve"> MUNICIPIO DE OAXACA DE JUÁREZ, </w:t>
      </w:r>
      <w:r w:rsidRPr="00805079">
        <w:rPr>
          <w:rFonts w:ascii="Arial" w:hAnsi="Arial" w:cs="Arial"/>
          <w:sz w:val="26"/>
          <w:szCs w:val="26"/>
        </w:rPr>
        <w:t xml:space="preserve">los cuales disponen lo siguiente: </w:t>
      </w:r>
    </w:p>
    <w:p w14:paraId="41DB5D91" w14:textId="77777777" w:rsidR="00E15BB1" w:rsidRPr="00EC63E1" w:rsidRDefault="00E15BB1" w:rsidP="00E15BB1">
      <w:pPr>
        <w:spacing w:line="360" w:lineRule="auto"/>
        <w:ind w:left="567" w:right="616"/>
        <w:jc w:val="center"/>
        <w:rPr>
          <w:rFonts w:ascii="Arial" w:hAnsi="Arial" w:cs="Arial"/>
          <w:b/>
          <w:bCs/>
          <w:i/>
          <w:u w:val="single"/>
          <w:lang w:val="es-MX"/>
        </w:rPr>
      </w:pPr>
      <w:r w:rsidRPr="00EC63E1">
        <w:rPr>
          <w:rFonts w:ascii="Arial" w:hAnsi="Arial" w:cs="Arial"/>
          <w:b/>
          <w:bCs/>
          <w:i/>
          <w:u w:val="single"/>
          <w:lang w:val="es-MX"/>
        </w:rPr>
        <w:t>“CONSTITUCIÓN POLÍTICA DE LOS ESTADOS UNIDOS MEXICANOS</w:t>
      </w:r>
    </w:p>
    <w:p w14:paraId="17A15713"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b/>
          <w:bCs/>
          <w:i/>
          <w:lang w:val="es-MX"/>
        </w:rPr>
        <w:t xml:space="preserve">Artículo 115. </w:t>
      </w:r>
      <w:r w:rsidRPr="00EC63E1">
        <w:rPr>
          <w:rFonts w:ascii="Arial" w:hAnsi="Arial" w:cs="Arial"/>
          <w:i/>
          <w:lang w:val="es-MX"/>
        </w:rPr>
        <w:t>Los estados adoptarán, para su régimen interior, la forma de gobierno republicano, representativo, democrático, laico y popular, teniendo como base de su división territorial y de su organización política y administrativa, el municipio libre, conforme a las bases siguientes:</w:t>
      </w:r>
    </w:p>
    <w:p w14:paraId="23962DC0"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i/>
          <w:lang w:val="es-MX"/>
        </w:rPr>
        <w:t>(…)</w:t>
      </w:r>
    </w:p>
    <w:p w14:paraId="5365DAEB"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b/>
          <w:bCs/>
          <w:i/>
          <w:lang w:val="es-MX"/>
        </w:rPr>
        <w:t xml:space="preserve">II. </w:t>
      </w:r>
      <w:r w:rsidRPr="00EC63E1">
        <w:rPr>
          <w:rFonts w:ascii="Arial" w:hAnsi="Arial" w:cs="Arial"/>
          <w:i/>
          <w:lang w:val="es-MX"/>
        </w:rPr>
        <w:t xml:space="preserve">Los municipios estarán investidos de personalidad jurídica y manejarán su patrimonio conforme a la ley. </w:t>
      </w:r>
    </w:p>
    <w:p w14:paraId="058C3DBF"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i/>
          <w:lang w:val="es-MX"/>
        </w:rPr>
        <w:t xml:space="preserve">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 </w:t>
      </w:r>
    </w:p>
    <w:p w14:paraId="702969BA"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i/>
          <w:lang w:val="es-MX"/>
        </w:rPr>
        <w:t xml:space="preserve">El objeto de las leyes a que se refiere el párrafo anterior será establecer: </w:t>
      </w:r>
    </w:p>
    <w:p w14:paraId="7FC9FE40"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b/>
          <w:bCs/>
          <w:i/>
          <w:lang w:val="es-MX"/>
        </w:rPr>
        <w:t xml:space="preserve">a) </w:t>
      </w:r>
      <w:r w:rsidRPr="00EC63E1">
        <w:rPr>
          <w:rFonts w:ascii="Arial" w:hAnsi="Arial" w:cs="Arial"/>
          <w:i/>
          <w:lang w:val="es-MX"/>
        </w:rPr>
        <w:t xml:space="preserve">Las bases generales de la administración pública municipal y del procedimiento administrativo, incluyendo los medios de impugnación y los órganos para dirimir las controversias entre dicha administración y los particulares, con sujeción a los principios de igualdad, publicidad, audiencia y legalidad; </w:t>
      </w:r>
    </w:p>
    <w:p w14:paraId="032BDCDB"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b/>
          <w:bCs/>
          <w:i/>
          <w:lang w:val="es-MX"/>
        </w:rPr>
        <w:t xml:space="preserve">b) </w:t>
      </w:r>
      <w:r w:rsidRPr="00EC63E1">
        <w:rPr>
          <w:rFonts w:ascii="Arial" w:hAnsi="Arial" w:cs="Arial"/>
          <w:i/>
          <w:lang w:val="es-MX"/>
        </w:rPr>
        <w:t xml:space="preserve">Los casos en que se requiera el acuerdo de las dos terceras partes de los miembros de los ayuntamientos para dictar resoluciones que afecten el patrimonio inmobiliario municipal o para celebrar actos o convenios que comprometan al Municipio por un plazo mayor al periodo del Ayuntamiento; </w:t>
      </w:r>
    </w:p>
    <w:p w14:paraId="44C47DEC"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b/>
          <w:bCs/>
          <w:i/>
          <w:lang w:val="es-MX"/>
        </w:rPr>
        <w:t xml:space="preserve">c) </w:t>
      </w:r>
      <w:r w:rsidRPr="00EC63E1">
        <w:rPr>
          <w:rFonts w:ascii="Arial" w:hAnsi="Arial" w:cs="Arial"/>
          <w:i/>
          <w:lang w:val="es-MX"/>
        </w:rPr>
        <w:t xml:space="preserve">Las normas de aplicación general para celebrar los convenios a que se refieren tanto las fracciones III y IV de este artículo, como el segundo párrafo de la fracción VII del artículo 116 de esta Constitución; </w:t>
      </w:r>
    </w:p>
    <w:p w14:paraId="411FA1B3"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b/>
          <w:bCs/>
          <w:i/>
          <w:lang w:val="es-MX"/>
        </w:rPr>
        <w:t xml:space="preserve">d) </w:t>
      </w:r>
      <w:r w:rsidRPr="00EC63E1">
        <w:rPr>
          <w:rFonts w:ascii="Arial" w:hAnsi="Arial" w:cs="Arial"/>
          <w:i/>
          <w:lang w:val="es-MX"/>
        </w:rPr>
        <w:t xml:space="preserve">El procedimiento y condiciones para que el gobierno estatal asuma una función o servicio municipal cuando, al no existir el convenio correspondiente, la legislatura estatal considere que el municipio de que se trate esté imposibilitado para ejercerlos o prestarlos; en este caso, será necesaria solicitud previa del ayuntamiento respectivo, aprobada por cuando menos las dos terceras partes de sus integrantes; y </w:t>
      </w:r>
    </w:p>
    <w:p w14:paraId="758B2E22"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b/>
          <w:bCs/>
          <w:i/>
          <w:lang w:val="es-MX"/>
        </w:rPr>
        <w:lastRenderedPageBreak/>
        <w:t xml:space="preserve">e) </w:t>
      </w:r>
      <w:r w:rsidRPr="00EC63E1">
        <w:rPr>
          <w:rFonts w:ascii="Arial" w:hAnsi="Arial" w:cs="Arial"/>
          <w:i/>
          <w:lang w:val="es-MX"/>
        </w:rPr>
        <w:t>Las disposiciones aplicables en aquellos municipios que no cuenten con los bandos o reglamentos correspondientes.</w:t>
      </w:r>
    </w:p>
    <w:p w14:paraId="7775D3F2"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lang w:val="es-MX"/>
        </w:rPr>
      </w:pPr>
      <w:r w:rsidRPr="00EC63E1">
        <w:rPr>
          <w:rFonts w:ascii="Arial" w:hAnsi="Arial" w:cs="Arial"/>
          <w:i/>
          <w:color w:val="000000"/>
          <w:lang w:val="es-MX"/>
        </w:rPr>
        <w:t xml:space="preserve">Las legislaturas estatales emitirán las normas que establezcan los procedimientos mediante los cuales se resolverán los conflictos que se presenten entre los municipios y el gobierno del estado, o entre aquéllos, con motivo de los actos derivados de los incisos c) y d) anteriores; </w:t>
      </w:r>
    </w:p>
    <w:p w14:paraId="7E50E605" w14:textId="77777777" w:rsidR="00E15BB1" w:rsidRPr="00EC63E1" w:rsidRDefault="00E15BB1" w:rsidP="00E15BB1">
      <w:pPr>
        <w:spacing w:line="360" w:lineRule="auto"/>
        <w:ind w:left="567" w:right="616"/>
        <w:jc w:val="both"/>
        <w:rPr>
          <w:rFonts w:ascii="Arial" w:hAnsi="Arial" w:cs="Arial"/>
          <w:b/>
          <w:bCs/>
          <w:i/>
          <w:lang w:val="es-MX"/>
        </w:rPr>
      </w:pPr>
    </w:p>
    <w:p w14:paraId="00953872"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b/>
          <w:bCs/>
          <w:i/>
          <w:lang w:val="es-MX"/>
        </w:rPr>
        <w:t xml:space="preserve">III. </w:t>
      </w:r>
      <w:r w:rsidRPr="00EC63E1">
        <w:rPr>
          <w:rFonts w:ascii="Arial" w:hAnsi="Arial" w:cs="Arial"/>
          <w:i/>
          <w:lang w:val="es-MX"/>
        </w:rPr>
        <w:t>Los Municipios tendrán a su cargo las funciones y servicios públicos siguientes:</w:t>
      </w:r>
    </w:p>
    <w:p w14:paraId="77A30CCE"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i/>
          <w:lang w:val="es-MX"/>
        </w:rPr>
        <w:t>(…)</w:t>
      </w:r>
    </w:p>
    <w:p w14:paraId="452F3F29" w14:textId="77777777" w:rsidR="00E15BB1" w:rsidRPr="00EC63E1" w:rsidRDefault="00E15BB1" w:rsidP="00E15BB1">
      <w:pPr>
        <w:spacing w:line="360" w:lineRule="auto"/>
        <w:ind w:left="567" w:right="616"/>
        <w:jc w:val="both"/>
        <w:rPr>
          <w:rFonts w:ascii="Arial" w:hAnsi="Arial" w:cs="Arial"/>
          <w:i/>
          <w:lang w:val="es-MX"/>
        </w:rPr>
      </w:pPr>
      <w:r w:rsidRPr="00EC63E1">
        <w:rPr>
          <w:rFonts w:ascii="Arial" w:hAnsi="Arial" w:cs="Arial"/>
          <w:b/>
          <w:bCs/>
          <w:i/>
          <w:lang w:val="es-MX"/>
        </w:rPr>
        <w:t xml:space="preserve">h) </w:t>
      </w:r>
      <w:r w:rsidRPr="00EC63E1">
        <w:rPr>
          <w:rFonts w:ascii="Arial" w:hAnsi="Arial" w:cs="Arial"/>
          <w:i/>
          <w:lang w:val="es-MX"/>
        </w:rPr>
        <w:t>Seguridad pública, en los términos del artículo 21 de esta Constitución, policía preventiva municipal y tránsito; e (…)</w:t>
      </w:r>
    </w:p>
    <w:p w14:paraId="4096E4BB" w14:textId="77777777" w:rsidR="00E15BB1" w:rsidRPr="00EC63E1" w:rsidRDefault="00E15BB1" w:rsidP="00E15BB1">
      <w:pPr>
        <w:spacing w:line="360" w:lineRule="auto"/>
        <w:ind w:left="567" w:right="616"/>
        <w:jc w:val="center"/>
        <w:rPr>
          <w:rFonts w:ascii="Arial" w:hAnsi="Arial" w:cs="Arial"/>
          <w:b/>
          <w:i/>
          <w:u w:val="single"/>
          <w:lang w:val="es-MX"/>
        </w:rPr>
      </w:pPr>
      <w:r w:rsidRPr="00EC63E1">
        <w:rPr>
          <w:rFonts w:ascii="Arial" w:hAnsi="Arial" w:cs="Arial"/>
          <w:b/>
          <w:i/>
          <w:u w:val="single"/>
          <w:lang w:val="es-MX"/>
        </w:rPr>
        <w:t>CONSTITUCIÓN POLÍTICA DEL ESTADO LIBRE Y SOBERANO DE OAXACA</w:t>
      </w:r>
    </w:p>
    <w:p w14:paraId="77D1B5CB" w14:textId="77777777" w:rsidR="00E15BB1" w:rsidRPr="00EC63E1" w:rsidRDefault="00E15BB1" w:rsidP="00E15BB1">
      <w:pPr>
        <w:spacing w:line="360" w:lineRule="auto"/>
        <w:ind w:left="567" w:right="616"/>
        <w:jc w:val="both"/>
        <w:rPr>
          <w:rFonts w:ascii="Arial" w:hAnsi="Arial" w:cs="Arial"/>
          <w:b/>
          <w:bCs/>
          <w:i/>
          <w:lang w:val="es-MX"/>
        </w:rPr>
      </w:pPr>
      <w:r w:rsidRPr="00EC63E1">
        <w:rPr>
          <w:rFonts w:ascii="Arial" w:hAnsi="Arial" w:cs="Arial"/>
          <w:b/>
          <w:bCs/>
          <w:i/>
          <w:lang w:val="es-MX"/>
        </w:rPr>
        <w:t>Artículo 113.- …</w:t>
      </w:r>
    </w:p>
    <w:p w14:paraId="4338211C"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II.-</w:t>
      </w:r>
      <w:r w:rsidRPr="00EC63E1">
        <w:rPr>
          <w:rFonts w:ascii="Arial" w:hAnsi="Arial" w:cs="Arial"/>
          <w:i/>
          <w:lang w:val="es-MX"/>
        </w:rPr>
        <w:t xml:space="preserve"> Los Municipios a través de sus Ayuntamientos, administrarán libremente su hacienda, la cual se compondrá de sus bienes propios y de los rendimientos que éstos produzcan, así como de las contribuciones e ingresos que la Legislatura del Estado establezca a su favor y en todo caso:</w:t>
      </w:r>
    </w:p>
    <w:p w14:paraId="5B5B0C75" w14:textId="77777777" w:rsidR="00E15BB1" w:rsidRPr="00EC63E1" w:rsidRDefault="00E15BB1" w:rsidP="00E15BB1">
      <w:pPr>
        <w:spacing w:after="0" w:line="360" w:lineRule="auto"/>
        <w:ind w:left="567" w:right="616"/>
        <w:jc w:val="both"/>
        <w:rPr>
          <w:rFonts w:ascii="Arial" w:hAnsi="Arial" w:cs="Arial"/>
          <w:i/>
          <w:lang w:val="es-MX"/>
        </w:rPr>
      </w:pPr>
    </w:p>
    <w:p w14:paraId="4EF9C3D0"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w:t>
      </w:r>
      <w:r w:rsidRPr="00EC63E1">
        <w:rPr>
          <w:rFonts w:ascii="Arial" w:hAnsi="Arial" w:cs="Arial"/>
          <w:i/>
          <w:lang w:val="es-MX"/>
        </w:rPr>
        <w:t xml:space="preserve"> Percibirán las contribuciones, incluyendo tasas adicionales que establezca el Estado sobre la propiedad inmobiliaria, de su fraccionamiento, división, consolidación, traslación y mejoras, así como las que tengan por base el cambio de valor de los inmuebles.</w:t>
      </w:r>
    </w:p>
    <w:p w14:paraId="5ED9DE33" w14:textId="77777777" w:rsidR="00E15BB1" w:rsidRPr="00EC63E1" w:rsidRDefault="00E15BB1" w:rsidP="00E15BB1">
      <w:pPr>
        <w:spacing w:after="0" w:line="360" w:lineRule="auto"/>
        <w:ind w:left="567" w:right="616"/>
        <w:jc w:val="both"/>
        <w:rPr>
          <w:rFonts w:ascii="Arial" w:hAnsi="Arial" w:cs="Arial"/>
          <w:i/>
          <w:lang w:val="es-MX"/>
        </w:rPr>
      </w:pPr>
    </w:p>
    <w:p w14:paraId="672E29FC"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Los Municipios podrán celebrar convenios con el Estado para que éste se haga cargo de algunas de las funciones relacionadas con la administración de esas contribuciones.</w:t>
      </w:r>
    </w:p>
    <w:p w14:paraId="710D921E" w14:textId="77777777" w:rsidR="00E15BB1" w:rsidRPr="00EC63E1" w:rsidRDefault="00E15BB1" w:rsidP="00E15BB1">
      <w:pPr>
        <w:spacing w:after="0" w:line="360" w:lineRule="auto"/>
        <w:ind w:left="567" w:right="616"/>
        <w:jc w:val="both"/>
        <w:rPr>
          <w:rFonts w:ascii="Arial" w:hAnsi="Arial" w:cs="Arial"/>
          <w:i/>
          <w:lang w:val="es-MX"/>
        </w:rPr>
      </w:pPr>
    </w:p>
    <w:p w14:paraId="30AB867B"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 xml:space="preserve">b) </w:t>
      </w:r>
      <w:r w:rsidRPr="00EC63E1">
        <w:rPr>
          <w:rFonts w:ascii="Arial" w:hAnsi="Arial" w:cs="Arial"/>
          <w:i/>
          <w:lang w:val="es-MX"/>
        </w:rPr>
        <w:t>Las participaciones federales, que serán cubiertas por la Federación a los Municipios, con arreglo a las bases, montos y plazos que anualmente se determinen por las Legislaturas de los Estados, y</w:t>
      </w:r>
    </w:p>
    <w:p w14:paraId="3F52E0A5" w14:textId="77777777" w:rsidR="00E15BB1" w:rsidRPr="00EC63E1" w:rsidRDefault="00E15BB1" w:rsidP="00E15BB1">
      <w:pPr>
        <w:spacing w:after="0" w:line="360" w:lineRule="auto"/>
        <w:ind w:left="567" w:right="616"/>
        <w:jc w:val="both"/>
        <w:rPr>
          <w:rFonts w:ascii="Arial" w:hAnsi="Arial" w:cs="Arial"/>
          <w:i/>
          <w:lang w:val="es-MX"/>
        </w:rPr>
      </w:pPr>
    </w:p>
    <w:p w14:paraId="6980EA1D"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c)</w:t>
      </w:r>
      <w:r w:rsidRPr="00EC63E1">
        <w:rPr>
          <w:rFonts w:ascii="Arial" w:hAnsi="Arial" w:cs="Arial"/>
          <w:i/>
          <w:lang w:val="es-MX"/>
        </w:rPr>
        <w:t xml:space="preserve"> Los ingresos derivados de la prestación de servicios públicos a su cargo.</w:t>
      </w:r>
    </w:p>
    <w:p w14:paraId="11A24204" w14:textId="77777777" w:rsidR="00E15BB1" w:rsidRPr="00EC63E1" w:rsidRDefault="00E15BB1" w:rsidP="00E15BB1">
      <w:pPr>
        <w:spacing w:after="0" w:line="360" w:lineRule="auto"/>
        <w:ind w:left="567" w:right="616"/>
        <w:jc w:val="both"/>
        <w:rPr>
          <w:rFonts w:ascii="Arial" w:hAnsi="Arial" w:cs="Arial"/>
          <w:i/>
          <w:lang w:val="es-MX"/>
        </w:rPr>
      </w:pPr>
    </w:p>
    <w:p w14:paraId="18CB4103"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 xml:space="preserve">Las leyes locales no establecerán exenciones o subsidios respecto de las mismas contribuciones, a favor de personas físicas o morales, ni a instituciones oficiales o privadas. Sólo los bienes del dominio público de la Federación, de los Estados o de los Municipios estarán exentos de </w:t>
      </w:r>
      <w:r w:rsidRPr="00EC63E1">
        <w:rPr>
          <w:rFonts w:ascii="Arial" w:hAnsi="Arial" w:cs="Arial"/>
          <w:i/>
          <w:lang w:val="es-MX"/>
        </w:rPr>
        <w:lastRenderedPageBreak/>
        <w:t>dichas contribuciones, salvo que tales bienes sean utilizados por entidades paraestatales o por  particulares, bajo cualquier título, para fines administrativos o propósitos distintos a los de su objeto público.</w:t>
      </w:r>
    </w:p>
    <w:p w14:paraId="4889D459" w14:textId="77777777" w:rsidR="00E15BB1" w:rsidRPr="00EC63E1" w:rsidRDefault="00E15BB1" w:rsidP="00E15BB1">
      <w:pPr>
        <w:spacing w:after="0" w:line="360" w:lineRule="auto"/>
        <w:ind w:left="567" w:right="616"/>
        <w:jc w:val="both"/>
        <w:rPr>
          <w:rFonts w:ascii="Arial" w:hAnsi="Arial" w:cs="Arial"/>
          <w:i/>
          <w:lang w:val="es-MX"/>
        </w:rPr>
      </w:pPr>
    </w:p>
    <w:p w14:paraId="6AA44660"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Los Ayuntamientos en el ámbito de sus competencias, propondrán a la Legislatura del Estado las tasas, las cuotas y tarifas aplicables a impuestos, derechos, contribuciones de mejoras y las tablas de valores unitarios del suelo y construcciones que sirvan de base para el cobro de las contribuciones sobre la propiedad inmobiliaria.</w:t>
      </w:r>
    </w:p>
    <w:p w14:paraId="3B2CCE3B" w14:textId="77777777" w:rsidR="00E15BB1" w:rsidRPr="00EC63E1" w:rsidRDefault="00E15BB1" w:rsidP="00E15BB1">
      <w:pPr>
        <w:spacing w:after="0" w:line="360" w:lineRule="auto"/>
        <w:ind w:left="567" w:right="616"/>
        <w:jc w:val="both"/>
        <w:rPr>
          <w:rFonts w:ascii="Arial" w:hAnsi="Arial" w:cs="Arial"/>
          <w:i/>
          <w:lang w:val="es-MX"/>
        </w:rPr>
      </w:pPr>
    </w:p>
    <w:p w14:paraId="40F082DA"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La Legislatura del Estado aprobará las leyes de ingresos de los Municipios, revisará y fiscalizará sus cuentas públicas. Los Presupuestos de Egresos serán aprobados por los Ayuntamientos con base en sus ingresos disponibles, autorizando las erogaciones plurianuales para el cumplimiento de las obligaciones de pago derivadas de los proyectos de inversión en infraestructura pública o de prestación de servicios públicos, que se determinen conforme a lo dispuesto en la Ley. Las erogaciones autorizadas deberán incluirse en los subsecuentes Presupuestos de Egresos durante la vigencia de los contratos correspondientes. Adicionalmente los Ayuntamientos deberán incluir en los Presupuestos de Egresos los tabuladores desglosados de las remuneraciones que perciban los servidores públicos municipales, sujetándose a lo dispuesto en el artículo 138 de esta Constitución. Los recursos que integran la hacienda municipal serán ejercidos en forma directa por los ayuntamientos o bien, por quien ellos autoricen, conforme a la ley.</w:t>
      </w:r>
    </w:p>
    <w:p w14:paraId="65D8C1BB" w14:textId="77777777" w:rsidR="00E15BB1" w:rsidRPr="00EC63E1" w:rsidRDefault="00E15BB1" w:rsidP="00E15BB1">
      <w:pPr>
        <w:spacing w:after="0" w:line="360" w:lineRule="auto"/>
        <w:ind w:left="567" w:right="616"/>
        <w:jc w:val="both"/>
        <w:rPr>
          <w:rFonts w:ascii="Arial" w:hAnsi="Arial" w:cs="Arial"/>
          <w:i/>
          <w:lang w:val="es-MX"/>
        </w:rPr>
      </w:pPr>
    </w:p>
    <w:p w14:paraId="478D0949"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Los ayuntamientos por conducto del Presidente Municipal, presentarán al Órgano Superior de Fiscalización del Estado de Oaxaca la Cuenta Pública del año anterior a más tardar el último día hábil del mes de febrero, asimismo, entregarán los informes y demás datos que le sean solicitados de acuerdo a lo establecido en las leyes.</w:t>
      </w:r>
    </w:p>
    <w:p w14:paraId="08AA1402"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7FCE4612"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En el año que concluya su mandato, los Ayuntamientos presentarán dicha Cuenta Pública al Órgano Superior de Fiscalización del Estado de Oaxaca, conforme a los plazos y procedimientos que se establezcan legalmente;</w:t>
      </w:r>
    </w:p>
    <w:p w14:paraId="27632D55"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22CED50C"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bCs/>
          <w:i/>
          <w:lang w:val="es-MX"/>
        </w:rPr>
        <w:t xml:space="preserve">III.- </w:t>
      </w:r>
      <w:r w:rsidRPr="00EC63E1">
        <w:rPr>
          <w:rFonts w:ascii="Arial" w:hAnsi="Arial" w:cs="Arial"/>
          <w:i/>
          <w:lang w:val="es-MX"/>
        </w:rPr>
        <w:t>Los Municipios tendrán a su cargo las funciones y servicios públicos siguientes: (…)</w:t>
      </w:r>
    </w:p>
    <w:p w14:paraId="73CFE58E"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09A65B45"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bCs/>
          <w:i/>
          <w:lang w:val="es-MX"/>
        </w:rPr>
        <w:t xml:space="preserve">h) </w:t>
      </w:r>
      <w:r w:rsidRPr="00EC63E1">
        <w:rPr>
          <w:rFonts w:ascii="Arial" w:hAnsi="Arial" w:cs="Arial"/>
          <w:i/>
          <w:lang w:val="es-MX"/>
        </w:rPr>
        <w:t>Seguridad pública, en los términos del Artículo 21 de la Constitución General de la República, policía preventiva municipal y tránsito; así como protección civil.</w:t>
      </w:r>
    </w:p>
    <w:p w14:paraId="4E082215"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u w:val="single"/>
          <w:lang w:val="es-MX"/>
        </w:rPr>
      </w:pPr>
    </w:p>
    <w:p w14:paraId="29106C6D" w14:textId="77777777" w:rsidR="00E15BB1" w:rsidRPr="00EC63E1" w:rsidRDefault="00E15BB1" w:rsidP="00E15BB1">
      <w:pPr>
        <w:autoSpaceDE w:val="0"/>
        <w:autoSpaceDN w:val="0"/>
        <w:adjustRightInd w:val="0"/>
        <w:spacing w:after="0" w:line="360" w:lineRule="auto"/>
        <w:ind w:left="567" w:right="616"/>
        <w:jc w:val="both"/>
        <w:rPr>
          <w:rFonts w:ascii="Arial" w:hAnsi="Arial" w:cs="Arial"/>
          <w:b/>
          <w:bCs/>
          <w:i/>
          <w:u w:val="single"/>
          <w:lang w:val="es-MX"/>
        </w:rPr>
      </w:pPr>
    </w:p>
    <w:p w14:paraId="761C618B" w14:textId="77777777" w:rsidR="00E15BB1" w:rsidRPr="00EC63E1" w:rsidRDefault="00E15BB1" w:rsidP="00E15BB1">
      <w:pPr>
        <w:autoSpaceDE w:val="0"/>
        <w:autoSpaceDN w:val="0"/>
        <w:adjustRightInd w:val="0"/>
        <w:spacing w:after="0" w:line="360" w:lineRule="auto"/>
        <w:ind w:left="567" w:right="616"/>
        <w:jc w:val="both"/>
        <w:rPr>
          <w:rFonts w:ascii="Arial" w:hAnsi="Arial" w:cs="Arial"/>
          <w:b/>
          <w:bCs/>
          <w:i/>
          <w:u w:val="single"/>
          <w:lang w:val="es-MX"/>
        </w:rPr>
      </w:pPr>
      <w:r w:rsidRPr="00EC63E1">
        <w:rPr>
          <w:rFonts w:ascii="Arial" w:hAnsi="Arial" w:cs="Arial"/>
          <w:b/>
          <w:bCs/>
          <w:i/>
          <w:u w:val="single"/>
          <w:lang w:val="es-MX"/>
        </w:rPr>
        <w:t>LEY ORGÁNICA MUNICIPAL DEL ESTADO DE OAXACA</w:t>
      </w:r>
    </w:p>
    <w:p w14:paraId="39D70A6E" w14:textId="77777777" w:rsidR="00E15BB1" w:rsidRPr="00EC63E1" w:rsidRDefault="00E15BB1" w:rsidP="00E15BB1">
      <w:pPr>
        <w:autoSpaceDE w:val="0"/>
        <w:autoSpaceDN w:val="0"/>
        <w:adjustRightInd w:val="0"/>
        <w:spacing w:after="0" w:line="360" w:lineRule="auto"/>
        <w:ind w:left="567" w:right="616"/>
        <w:jc w:val="both"/>
        <w:rPr>
          <w:rFonts w:ascii="Arial" w:hAnsi="Arial" w:cs="Arial"/>
          <w:b/>
          <w:bCs/>
          <w:i/>
          <w:lang w:val="es-MX"/>
        </w:rPr>
      </w:pPr>
    </w:p>
    <w:p w14:paraId="09B7FE66"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bCs/>
          <w:i/>
          <w:lang w:val="es-MX"/>
        </w:rPr>
        <w:lastRenderedPageBreak/>
        <w:t xml:space="preserve">ARTÍCULO 143.- </w:t>
      </w:r>
      <w:r w:rsidRPr="00EC63E1">
        <w:rPr>
          <w:rFonts w:ascii="Arial" w:hAnsi="Arial" w:cs="Arial"/>
          <w:i/>
          <w:lang w:val="es-MX"/>
        </w:rPr>
        <w:t>Las infracciones a las normas contenidas en los Bandos de Policía y Gobierno, Reglamentos, Circulares, Acuerdos y demás disposiciones normativas de observancia general y carácter municipal, se sancionarán indistintamente, con:</w:t>
      </w:r>
    </w:p>
    <w:p w14:paraId="72A739C3"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145FDC36"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I.-</w:t>
      </w:r>
      <w:r w:rsidRPr="00EC63E1">
        <w:rPr>
          <w:rFonts w:ascii="Arial" w:hAnsi="Arial" w:cs="Arial"/>
          <w:i/>
          <w:lang w:val="es-MX"/>
        </w:rPr>
        <w:t xml:space="preserve"> Amonestación;</w:t>
      </w:r>
    </w:p>
    <w:p w14:paraId="3C8FCC86"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73A60067"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II.-</w:t>
      </w:r>
      <w:r w:rsidRPr="00EC63E1">
        <w:rPr>
          <w:rFonts w:ascii="Arial" w:hAnsi="Arial" w:cs="Arial"/>
          <w:i/>
          <w:lang w:val="es-MX"/>
        </w:rPr>
        <w:t xml:space="preserve"> Multa hasta por doscientos Unidades de Medida y Actualización al momento de cometer la infracción, con las excepciones y permutaciones que establece el artículo 21 de la Constitución Política de los Estados Unidos Mexicanos;</w:t>
      </w:r>
    </w:p>
    <w:p w14:paraId="426A5373"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04102924"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III.-</w:t>
      </w:r>
      <w:r w:rsidRPr="00EC63E1">
        <w:rPr>
          <w:rFonts w:ascii="Arial" w:hAnsi="Arial" w:cs="Arial"/>
          <w:i/>
          <w:lang w:val="es-MX"/>
        </w:rPr>
        <w:t xml:space="preserve"> Suspensión o cancelación de permisos y licencias;</w:t>
      </w:r>
    </w:p>
    <w:p w14:paraId="7B06ECB1"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53B33F5B"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IV.-</w:t>
      </w:r>
      <w:r w:rsidRPr="00EC63E1">
        <w:rPr>
          <w:rFonts w:ascii="Arial" w:hAnsi="Arial" w:cs="Arial"/>
          <w:i/>
          <w:lang w:val="es-MX"/>
        </w:rPr>
        <w:t xml:space="preserve"> Clausura hasta por ochenta días naturales o definitiva;</w:t>
      </w:r>
    </w:p>
    <w:p w14:paraId="1E92660B"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7161819E"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V.-</w:t>
      </w:r>
      <w:r w:rsidRPr="00EC63E1">
        <w:rPr>
          <w:rFonts w:ascii="Arial" w:hAnsi="Arial" w:cs="Arial"/>
          <w:i/>
          <w:lang w:val="es-MX"/>
        </w:rPr>
        <w:t xml:space="preserve"> Arresto hasta por treinta y seis horas; esta sanción podrá conmutarse por la realización de un servicio a favor de la comunidad, en los términos que fije el propio Bando de Policía y Gobierno;</w:t>
      </w:r>
    </w:p>
    <w:p w14:paraId="44B6917F"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2AF87BCC"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VI.-</w:t>
      </w:r>
      <w:r w:rsidRPr="00EC63E1">
        <w:rPr>
          <w:rFonts w:ascii="Arial" w:hAnsi="Arial" w:cs="Arial"/>
          <w:i/>
          <w:lang w:val="es-MX"/>
        </w:rPr>
        <w:t xml:space="preserve"> A los concesionarios de los servicios públicos municipales;</w:t>
      </w:r>
    </w:p>
    <w:p w14:paraId="19B1FF9A"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5CA77D27"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a)</w:t>
      </w:r>
      <w:r w:rsidRPr="00EC63E1">
        <w:rPr>
          <w:rFonts w:ascii="Arial" w:hAnsi="Arial" w:cs="Arial"/>
          <w:i/>
          <w:lang w:val="es-MX"/>
        </w:rPr>
        <w:t xml:space="preserve"> Multa hasta por mil Unidades de Medida y Actualización o las que se fije en el instrumento de concesión; y</w:t>
      </w:r>
    </w:p>
    <w:p w14:paraId="20792294"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62304056"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b)</w:t>
      </w:r>
      <w:r w:rsidRPr="00EC63E1">
        <w:rPr>
          <w:rFonts w:ascii="Arial" w:hAnsi="Arial" w:cs="Arial"/>
          <w:i/>
          <w:lang w:val="es-MX"/>
        </w:rPr>
        <w:t xml:space="preserve"> Revocación de la concesión.</w:t>
      </w:r>
    </w:p>
    <w:p w14:paraId="70210266"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3D65F71E"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VII.-</w:t>
      </w:r>
      <w:r w:rsidRPr="00EC63E1">
        <w:rPr>
          <w:rFonts w:ascii="Arial" w:hAnsi="Arial" w:cs="Arial"/>
          <w:i/>
          <w:lang w:val="es-MX"/>
        </w:rPr>
        <w:t xml:space="preserve"> Pago al erario municipal por el daño causado, sin perjuicio de las demás sanciones que procedan.</w:t>
      </w:r>
    </w:p>
    <w:p w14:paraId="0BC621AD"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4B06B347"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Para la imposición de las sanciones a que se refiere el presente Capítulo se deberán tomar en cuenta las condiciones particulares del infractor, la gravedad y las circunstancias en la comisión de la infracción.</w:t>
      </w:r>
    </w:p>
    <w:p w14:paraId="5B1884EE"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56B08C01" w14:textId="77777777" w:rsidR="00E15BB1" w:rsidRPr="00EC63E1" w:rsidRDefault="00E15BB1" w:rsidP="00E15BB1">
      <w:pPr>
        <w:autoSpaceDE w:val="0"/>
        <w:autoSpaceDN w:val="0"/>
        <w:adjustRightInd w:val="0"/>
        <w:spacing w:after="0" w:line="240" w:lineRule="auto"/>
        <w:ind w:left="567" w:right="616"/>
        <w:jc w:val="both"/>
        <w:rPr>
          <w:rFonts w:ascii="Arial" w:hAnsi="Arial" w:cs="Arial"/>
          <w:b/>
          <w:bCs/>
          <w:u w:val="single"/>
          <w:lang w:val="es-MX"/>
        </w:rPr>
      </w:pPr>
      <w:r w:rsidRPr="00EC63E1">
        <w:rPr>
          <w:rFonts w:ascii="Arial" w:hAnsi="Arial" w:cs="Arial"/>
          <w:b/>
          <w:i/>
          <w:color w:val="000000"/>
          <w:u w:val="single"/>
          <w:lang w:val="es-MX"/>
        </w:rPr>
        <w:t>BANDO DE POLICÍA Y GOBIERNO DEL MUNICIPIO DE OAXACA DE JUÁREZ (2</w:t>
      </w:r>
      <w:r w:rsidRPr="00EC63E1">
        <w:rPr>
          <w:rFonts w:ascii="Arial" w:hAnsi="Arial" w:cs="Arial"/>
          <w:b/>
          <w:bCs/>
          <w:u w:val="single"/>
          <w:lang w:val="es-MX"/>
        </w:rPr>
        <w:t>017-2018)</w:t>
      </w:r>
    </w:p>
    <w:p w14:paraId="4DF7F1A2"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ARTÍCULO 1.-</w:t>
      </w:r>
      <w:r w:rsidRPr="00EC63E1">
        <w:rPr>
          <w:rFonts w:ascii="Arial" w:hAnsi="Arial" w:cs="Arial"/>
          <w:i/>
          <w:lang w:val="es-MX"/>
        </w:rPr>
        <w:t xml:space="preserve"> El presente Bando de Policía y Gobierno del Municipio de Oaxaca de Juárez, es de orden público y tiene por objeto:</w:t>
      </w:r>
    </w:p>
    <w:p w14:paraId="3BFDA393"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Establecer las normas generales básicas para orientar el régimen de gobierno, la organización y funcionamiento de la administración pública municipal. Identificar a sus autoridades así como su ámbito de competencia con estricto apego a las disposiciones previstas por:</w:t>
      </w:r>
    </w:p>
    <w:p w14:paraId="0C79226F"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I. La Constitución Política de los Estados Unidos Mexicanos;</w:t>
      </w:r>
    </w:p>
    <w:p w14:paraId="1E2AC29C"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II. Los Tratados Internacionales suscritos y ratificados por México;</w:t>
      </w:r>
    </w:p>
    <w:p w14:paraId="69789CAE"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III. Las Leyes Federales;</w:t>
      </w:r>
    </w:p>
    <w:p w14:paraId="531FC063"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IV. La Constitución Política del Estado Libre y Soberano de Oaxaca; y</w:t>
      </w:r>
    </w:p>
    <w:p w14:paraId="04247581"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lastRenderedPageBreak/>
        <w:t>V. La Ley Orgánica Municipal del Estado de Oaxaca.</w:t>
      </w:r>
    </w:p>
    <w:p w14:paraId="05BC79AF"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Sus disposiciones son de observancia general y obligatoria en todo el territorio municipal.</w:t>
      </w:r>
    </w:p>
    <w:p w14:paraId="2A94DB4F"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2BAE2A09"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 xml:space="preserve"> </w:t>
      </w:r>
      <w:r w:rsidRPr="00EC63E1">
        <w:rPr>
          <w:rFonts w:ascii="Arial" w:hAnsi="Arial" w:cs="Arial"/>
          <w:b/>
          <w:i/>
          <w:lang w:val="es-MX"/>
        </w:rPr>
        <w:t>ARTÍCULO 3.-</w:t>
      </w:r>
      <w:r w:rsidRPr="00EC63E1">
        <w:rPr>
          <w:rFonts w:ascii="Arial" w:hAnsi="Arial" w:cs="Arial"/>
          <w:i/>
          <w:lang w:val="es-MX"/>
        </w:rPr>
        <w:t xml:space="preserve"> Este Bando de Policía y Gobierno, los reglamentos, acuerdos y demás disposiciones administrativas que expida el Honorable Ayuntamiento, serán obligatorias para autoridades, servidores públicos y todo individuo que se encuentre dentro del Municipio de Oaxaca de Juárez; su aplicación corresponde a las autoridades municipales, quienes en el ámbito de su competencia deberán vigilar su cumplimiento e imponer las sanciones respectivas a sus infractores.</w:t>
      </w:r>
    </w:p>
    <w:p w14:paraId="538F67EC"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3F929B9B"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ARTÍCULO 4.-</w:t>
      </w:r>
      <w:r w:rsidRPr="00EC63E1">
        <w:rPr>
          <w:rFonts w:ascii="Arial" w:hAnsi="Arial" w:cs="Arial"/>
          <w:i/>
          <w:lang w:val="es-MX"/>
        </w:rPr>
        <w:t xml:space="preserve"> El Honorable Ayuntamiento del Municipio de Oaxaca de Juárez, tiene competencia plena sobre el territorio del Municipio de Oaxaca de Juárez para decidir sobre su organización política, administrativa y tributaria, sobre la prestación de los servicios públicos de carácter municipal, ajustándose a lo dispuesto por:</w:t>
      </w:r>
    </w:p>
    <w:p w14:paraId="76685F19"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I. La Constitución Política de los Estados Unidos Mexicanos;</w:t>
      </w:r>
    </w:p>
    <w:p w14:paraId="1D154176"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II. Tratados Internacionales suscritos y ratificados por el Estado Mexicano;</w:t>
      </w:r>
    </w:p>
    <w:p w14:paraId="537D1D9D"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III. Las Leyes Federales;</w:t>
      </w:r>
    </w:p>
    <w:p w14:paraId="01E5F066"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IV. La Constitución Política del Estado Libre y Soberano de Oaxaca;</w:t>
      </w:r>
    </w:p>
    <w:p w14:paraId="6D441CCB"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V. Las Leyes Estatales; y</w:t>
      </w:r>
    </w:p>
    <w:p w14:paraId="69118A3D"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VI. Los Reglamentos Municipales.</w:t>
      </w:r>
    </w:p>
    <w:p w14:paraId="60F125B1"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1E3FE7D8"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ARTÍCULO 18.-</w:t>
      </w:r>
      <w:r w:rsidRPr="00EC63E1">
        <w:rPr>
          <w:rFonts w:ascii="Arial" w:hAnsi="Arial" w:cs="Arial"/>
          <w:i/>
          <w:lang w:val="es-MX"/>
        </w:rPr>
        <w:t xml:space="preserve"> Son obligaciones de la población del Municipio de Oaxaca de Juárez:</w:t>
      </w:r>
    </w:p>
    <w:p w14:paraId="14AE1C91"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I.</w:t>
      </w:r>
      <w:r w:rsidRPr="00EC63E1">
        <w:rPr>
          <w:rFonts w:ascii="Arial" w:hAnsi="Arial" w:cs="Arial"/>
          <w:i/>
          <w:lang w:val="es-MX"/>
        </w:rPr>
        <w:t xml:space="preserve"> Respetar y cumplir el presente Bando de Policía y Gobierno, reglamentos, circulares y disposiciones administrativas de observancia general emanadas del Honorable Ayuntamiento; (…)</w:t>
      </w:r>
    </w:p>
    <w:p w14:paraId="768AAB02"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p>
    <w:p w14:paraId="40CF5EBE"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ARTÍCULO 89.-</w:t>
      </w:r>
      <w:r w:rsidRPr="00EC63E1">
        <w:rPr>
          <w:rFonts w:ascii="Arial" w:hAnsi="Arial" w:cs="Arial"/>
          <w:i/>
          <w:lang w:val="es-MX"/>
        </w:rPr>
        <w:t xml:space="preserve"> Corresponde a la Comisión de Vialidad, proponer al Honorable Ayuntamiento los acuerdos, mecanismos e instrumentos que resulten necesarios para regular el funcionamiento de la vialidad en la circunscripción municipal.</w:t>
      </w:r>
    </w:p>
    <w:p w14:paraId="6E7271F7"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Tendrá a su cargo el despacho de los siguientes asuntos:</w:t>
      </w:r>
    </w:p>
    <w:p w14:paraId="378B13DB" w14:textId="77777777" w:rsidR="00E15BB1" w:rsidRPr="00EC63E1" w:rsidRDefault="00E15BB1" w:rsidP="00E15BB1">
      <w:pPr>
        <w:autoSpaceDE w:val="0"/>
        <w:autoSpaceDN w:val="0"/>
        <w:adjustRightInd w:val="0"/>
        <w:spacing w:after="0" w:line="240" w:lineRule="auto"/>
        <w:ind w:left="567" w:right="616"/>
        <w:jc w:val="both"/>
        <w:rPr>
          <w:rFonts w:ascii="Arial" w:hAnsi="Arial" w:cs="Arial"/>
          <w:color w:val="000000"/>
          <w:lang w:val="es-MX"/>
        </w:rPr>
      </w:pPr>
    </w:p>
    <w:p w14:paraId="6D858D9A"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lang w:val="es-MX"/>
        </w:rPr>
      </w:pPr>
      <w:r w:rsidRPr="00EC63E1">
        <w:rPr>
          <w:rFonts w:ascii="Arial" w:hAnsi="Arial" w:cs="Arial"/>
          <w:b/>
          <w:i/>
          <w:color w:val="000000"/>
          <w:lang w:val="es-MX"/>
        </w:rPr>
        <w:t>II.</w:t>
      </w:r>
      <w:r w:rsidRPr="00EC63E1">
        <w:rPr>
          <w:rFonts w:ascii="Arial" w:hAnsi="Arial" w:cs="Arial"/>
          <w:i/>
          <w:color w:val="000000"/>
          <w:lang w:val="es-MX"/>
        </w:rPr>
        <w:t xml:space="preserve"> Proponer y vigilar programas de Vialidad que resulten necesarios para beneficio de la población del Municipio de Oaxaca de Juárez; </w:t>
      </w:r>
    </w:p>
    <w:p w14:paraId="37962D01"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i/>
          <w:lang w:val="es-MX"/>
        </w:rPr>
        <w:t>(…)</w:t>
      </w:r>
    </w:p>
    <w:p w14:paraId="1749541C"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lang w:val="es-MX"/>
        </w:rPr>
      </w:pPr>
      <w:r w:rsidRPr="00EC63E1">
        <w:rPr>
          <w:rFonts w:ascii="Arial" w:hAnsi="Arial" w:cs="Arial"/>
          <w:b/>
          <w:i/>
          <w:lang w:val="es-MX"/>
        </w:rPr>
        <w:t>V.</w:t>
      </w:r>
      <w:r w:rsidRPr="00EC63E1">
        <w:rPr>
          <w:rFonts w:ascii="Arial" w:hAnsi="Arial" w:cs="Arial"/>
          <w:i/>
          <w:lang w:val="es-MX"/>
        </w:rPr>
        <w:t xml:space="preserve"> Los demás que sean necesarios en el desempeño de sus funciones y aquellos que el Honorable Ayuntamiento le encomiende;</w:t>
      </w:r>
    </w:p>
    <w:p w14:paraId="732C7A5B" w14:textId="77777777" w:rsidR="00E15BB1" w:rsidRPr="00EC63E1" w:rsidRDefault="00E15BB1" w:rsidP="00E15BB1">
      <w:pPr>
        <w:spacing w:after="0" w:line="360" w:lineRule="auto"/>
        <w:ind w:left="567" w:right="616"/>
        <w:jc w:val="both"/>
        <w:rPr>
          <w:rFonts w:ascii="Arial" w:hAnsi="Arial" w:cs="Arial"/>
          <w:i/>
          <w:lang w:val="es-MX"/>
        </w:rPr>
      </w:pPr>
    </w:p>
    <w:p w14:paraId="0C5EDA24"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179.-</w:t>
      </w:r>
      <w:r w:rsidRPr="00EC63E1">
        <w:rPr>
          <w:rFonts w:ascii="Arial" w:hAnsi="Arial" w:cs="Arial"/>
          <w:i/>
          <w:lang w:val="es-MX"/>
        </w:rPr>
        <w:t xml:space="preserve"> La Comisión de Seguridad Pública y Vialidad es un cuerpo preventivo de seguridad; estará bajo el mando directo del Presidente Municipal, salvo en los dos casos a que refiere la fracción VII del artículo 115 de la Constitución Política de los Estados Unidos Mexicanos, será la encargada de dirigir las actividades tendientes a </w:t>
      </w:r>
      <w:r w:rsidRPr="00EC63E1">
        <w:rPr>
          <w:rFonts w:ascii="Arial" w:hAnsi="Arial" w:cs="Arial"/>
          <w:i/>
          <w:lang w:val="es-MX"/>
        </w:rPr>
        <w:lastRenderedPageBreak/>
        <w:t>salvaguardar los intereses de la ciudadanía mediante la planeación, coordinación y ejecución de acciones operativas de seguridad, prevención social del delito, combate a la delincuencia y vialidad, respetando los derechos humanos. Se regirá por su propio reglamento y será auxiliar de las autoridades que señalen las Leyes Federales, Estatales y Reglamentos Municipales; la titularidad de esta Comisión estará a cargo del comisionado que al efecto nombre el Presidente Municipal, con las siguientes atribuciones y obligaciones:</w:t>
      </w:r>
    </w:p>
    <w:p w14:paraId="2DE34BE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I. Preservar el orden, la tranquilidad, la seguridad pública y la paz social dentro del territorio Municipal; (…)</w:t>
      </w:r>
    </w:p>
    <w:p w14:paraId="03E3B8EF"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III. Prevenir la comisión de delitos y de infracciones a los reglamentos de Vialidad, de faltas administrativas en materia de Seguridad Pública y de justicia administrativa, así como de proteger a las personas en sus propiedades y en sus derechos; (…)</w:t>
      </w:r>
    </w:p>
    <w:p w14:paraId="523A5E66"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lang w:val="es-MX"/>
        </w:rPr>
      </w:pPr>
      <w:r w:rsidRPr="00EC63E1">
        <w:rPr>
          <w:rFonts w:ascii="Arial" w:hAnsi="Arial" w:cs="Arial"/>
          <w:i/>
          <w:color w:val="000000"/>
          <w:lang w:val="es-MX"/>
        </w:rPr>
        <w:t>XXVII. Implementar y administrar el Sistema de Información de Seguridad Pública Municipal; (…)</w:t>
      </w:r>
    </w:p>
    <w:p w14:paraId="24444406"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lang w:val="es-MX"/>
        </w:rPr>
      </w:pPr>
      <w:r w:rsidRPr="00EC63E1">
        <w:rPr>
          <w:rFonts w:ascii="Arial" w:hAnsi="Arial" w:cs="Arial"/>
          <w:b/>
          <w:i/>
          <w:color w:val="000000"/>
          <w:lang w:val="es-MX"/>
        </w:rPr>
        <w:t>ARTÍCULO 189.-</w:t>
      </w:r>
      <w:r w:rsidRPr="00EC63E1">
        <w:rPr>
          <w:rFonts w:ascii="Arial" w:hAnsi="Arial" w:cs="Arial"/>
          <w:i/>
          <w:color w:val="000000"/>
          <w:lang w:val="es-MX"/>
        </w:rPr>
        <w:t xml:space="preserve"> La Comisaría de Vialidad, es la dependencia encargada de regular el tránsito peatonal y de vehículos, las vialidades, la prevención y atención de siniestros, y accidentes vehiculares, en cuyos aspectos técnicos de estudio y análisis coadyuvará para salvaguardar la integridad y derechos de las personas, así como preservar las libertades, el orden y la paz pública.</w:t>
      </w:r>
    </w:p>
    <w:p w14:paraId="69F27344"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190.-</w:t>
      </w:r>
      <w:r w:rsidRPr="00EC63E1">
        <w:rPr>
          <w:rFonts w:ascii="Arial" w:hAnsi="Arial" w:cs="Arial"/>
          <w:i/>
          <w:lang w:val="es-MX"/>
        </w:rPr>
        <w:t xml:space="preserve"> La Comisaría de Vialidad tiene las siguientes atribuciones y obligaciones: (…)</w:t>
      </w:r>
    </w:p>
    <w:p w14:paraId="153CF6C9"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XXII.</w:t>
      </w:r>
      <w:r w:rsidRPr="00EC63E1">
        <w:rPr>
          <w:rFonts w:ascii="Arial" w:hAnsi="Arial" w:cs="Arial"/>
          <w:i/>
          <w:lang w:val="es-MX"/>
        </w:rPr>
        <w:t xml:space="preserve"> Imponer sanciones a las personas que infrinjan los Reglamentos de Vialidad con apego a la Ley de Ingresos vigente; y</w:t>
      </w:r>
    </w:p>
    <w:p w14:paraId="5ED432E4" w14:textId="77777777" w:rsidR="00E15BB1" w:rsidRPr="00EC63E1" w:rsidRDefault="00E15BB1" w:rsidP="00E15BB1">
      <w:pPr>
        <w:spacing w:after="0" w:line="360" w:lineRule="auto"/>
        <w:ind w:left="567" w:right="616"/>
        <w:jc w:val="both"/>
        <w:rPr>
          <w:rFonts w:ascii="Arial" w:hAnsi="Arial" w:cs="Arial"/>
          <w:b/>
          <w:i/>
          <w:lang w:val="es-MX"/>
        </w:rPr>
      </w:pPr>
    </w:p>
    <w:p w14:paraId="0DB145AC" w14:textId="77777777" w:rsidR="00E15BB1" w:rsidRPr="00EC63E1" w:rsidRDefault="00E15BB1" w:rsidP="00E15BB1">
      <w:pPr>
        <w:spacing w:after="0" w:line="360" w:lineRule="auto"/>
        <w:ind w:left="567" w:right="616"/>
        <w:jc w:val="both"/>
        <w:rPr>
          <w:rFonts w:ascii="Arial" w:hAnsi="Arial" w:cs="Arial"/>
          <w:b/>
          <w:i/>
          <w:lang w:val="es-MX"/>
        </w:rPr>
      </w:pPr>
      <w:r w:rsidRPr="00EC63E1">
        <w:rPr>
          <w:rFonts w:ascii="Arial" w:hAnsi="Arial" w:cs="Arial"/>
          <w:b/>
          <w:i/>
          <w:lang w:val="es-MX"/>
        </w:rPr>
        <w:t>REGLAMENTO DE LA COMISION DE SEGURIDAD PÚBLICA, VIALIDAD Y PROTECCIÓN CIVIL DEL MUNICIPIO DE OAXACA DE JUÁREZ</w:t>
      </w:r>
    </w:p>
    <w:p w14:paraId="64CAA017" w14:textId="77777777" w:rsidR="00E15BB1" w:rsidRPr="00EC63E1" w:rsidRDefault="00E15BB1" w:rsidP="00E15BB1">
      <w:pPr>
        <w:spacing w:after="0" w:line="360" w:lineRule="auto"/>
        <w:ind w:left="567" w:right="616"/>
        <w:jc w:val="both"/>
        <w:rPr>
          <w:rFonts w:ascii="Arial" w:hAnsi="Arial" w:cs="Arial"/>
          <w:i/>
          <w:lang w:val="es-MX"/>
        </w:rPr>
      </w:pPr>
    </w:p>
    <w:p w14:paraId="4C6C6C92"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w:t>
      </w:r>
      <w:r w:rsidRPr="00EC63E1">
        <w:rPr>
          <w:rFonts w:ascii="Arial" w:hAnsi="Arial" w:cs="Arial"/>
          <w:i/>
          <w:lang w:val="es-MX"/>
        </w:rPr>
        <w:t xml:space="preserve"> El presente reglamento es de interés público y observancia general, y obligatorio para los integrantes de la Comisión de Seguridad Pública Vialidad y Protección Civil Municipal, el cual tiene por objeto, regular el servicio, la organización y funcionamiento de sus integrantes como encargados de la prestación delos (sic) servicios de Seguridad Pública, Vialidad y Protección Civil dentro del Municipio de Oaxaca de Juárez.</w:t>
      </w:r>
    </w:p>
    <w:p w14:paraId="768DEB30" w14:textId="77777777" w:rsidR="00E15BB1" w:rsidRPr="00EC63E1" w:rsidRDefault="00E15BB1" w:rsidP="00E15BB1">
      <w:pPr>
        <w:spacing w:after="0" w:line="360" w:lineRule="auto"/>
        <w:ind w:left="567" w:right="616"/>
        <w:jc w:val="both"/>
        <w:rPr>
          <w:rFonts w:ascii="Arial" w:hAnsi="Arial" w:cs="Arial"/>
          <w:b/>
          <w:i/>
          <w:lang w:val="es-MX"/>
        </w:rPr>
      </w:pPr>
    </w:p>
    <w:p w14:paraId="3D847B96"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 xml:space="preserve">Artículo 2.- </w:t>
      </w:r>
      <w:r w:rsidRPr="00EC63E1">
        <w:rPr>
          <w:rFonts w:ascii="Arial" w:hAnsi="Arial" w:cs="Arial"/>
          <w:i/>
          <w:lang w:val="es-MX"/>
        </w:rPr>
        <w:t xml:space="preserve">La Seguridad Pública, es una función a cargo de la Federación, Estados y Municipios, integrados al Sistema Nacional de Seguridad Pública, que tienen como fines salvaguardar la integridad física y derechos de las personas, preservar la libertad, el orden y la paz pública, a través del respeto irrestricto de los derechos humanos, la aplicación de acciones tendientes a la proximidad social, vialidad pública, </w:t>
      </w:r>
      <w:r w:rsidRPr="00EC63E1">
        <w:rPr>
          <w:rFonts w:ascii="Arial" w:hAnsi="Arial" w:cs="Arial"/>
          <w:i/>
          <w:lang w:val="es-MX"/>
        </w:rPr>
        <w:lastRenderedPageBreak/>
        <w:t>prevención del delito y la participación de la comunidad,  la promoción, atención de la denuncia ciudadana y la denuncia anónima, persecución y sanción de las infracciones y los delitos.</w:t>
      </w:r>
    </w:p>
    <w:p w14:paraId="1E85F9BE"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 xml:space="preserve">Artículo 3.- </w:t>
      </w:r>
      <w:r w:rsidRPr="00EC63E1">
        <w:rPr>
          <w:rFonts w:ascii="Arial" w:hAnsi="Arial" w:cs="Arial"/>
          <w:i/>
          <w:lang w:val="es-MX"/>
        </w:rPr>
        <w:t>La Comisión de Seguridad Pública Vialidad y Protección Civil Municipal, se sujetará a las normas y lineamientos de este Reglamento, y a las disposiciones legales aplicables por el Sistema Nacional de Seguridad Pública.</w:t>
      </w:r>
    </w:p>
    <w:p w14:paraId="14CAB61B"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 xml:space="preserve">Artículo 7.- </w:t>
      </w:r>
      <w:r w:rsidRPr="00EC63E1">
        <w:rPr>
          <w:rFonts w:ascii="Arial" w:hAnsi="Arial" w:cs="Arial"/>
          <w:i/>
          <w:lang w:val="es-MX"/>
        </w:rPr>
        <w:t>La aplicación del presente Reglamento corresponderá, en sus respectivos ámbitos de competencia a las siguientes autoridades:</w:t>
      </w:r>
    </w:p>
    <w:p w14:paraId="3FB8F99C"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I.- El Presidente Municipal;</w:t>
      </w:r>
    </w:p>
    <w:p w14:paraId="364C9A4F"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II.- El Regidor de Seguridad Pública, Vialidad y Protección Civil;</w:t>
      </w:r>
    </w:p>
    <w:p w14:paraId="33C88ADD"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III.- El Comisionado;</w:t>
      </w:r>
    </w:p>
    <w:p w14:paraId="2F8402AC"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IV.- El Comisario de Seguridad Pública;</w:t>
      </w:r>
    </w:p>
    <w:p w14:paraId="766757C6"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V.- El Comisario de Vialidad;</w:t>
      </w:r>
    </w:p>
    <w:p w14:paraId="759F3838"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VI.- El Comisario de Protección Civil;</w:t>
      </w:r>
    </w:p>
    <w:p w14:paraId="783CAEC2"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 xml:space="preserve">VII.- Los mandos operativos de la Comisaría de Seguridad Pública; </w:t>
      </w:r>
    </w:p>
    <w:p w14:paraId="4B09306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VIII.- Los mandos operativos de la Comisaría de Vialidad;</w:t>
      </w:r>
    </w:p>
    <w:p w14:paraId="3A92B6DC"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IX.- Los mandos operativos de la Comisaría de Protección Civil; y</w:t>
      </w:r>
    </w:p>
    <w:p w14:paraId="297DEECA"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X.- El personal operativo integrante de las Comisarías de: Seguridad Pública; de Vialidad y de Protección Civil.</w:t>
      </w:r>
    </w:p>
    <w:p w14:paraId="5F3E7F31" w14:textId="77777777" w:rsidR="00E15BB1" w:rsidRPr="00EC63E1" w:rsidRDefault="00E15BB1" w:rsidP="00E15BB1">
      <w:pPr>
        <w:spacing w:after="0" w:line="360" w:lineRule="auto"/>
        <w:ind w:left="567" w:right="616"/>
        <w:jc w:val="both"/>
        <w:rPr>
          <w:rFonts w:ascii="Arial" w:hAnsi="Arial" w:cs="Arial"/>
          <w:b/>
          <w:i/>
          <w:lang w:val="es-MX"/>
        </w:rPr>
      </w:pPr>
    </w:p>
    <w:p w14:paraId="7BA26366"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 xml:space="preserve">Artículo 54.- </w:t>
      </w:r>
      <w:r w:rsidRPr="00EC63E1">
        <w:rPr>
          <w:rFonts w:ascii="Arial" w:hAnsi="Arial" w:cs="Arial"/>
          <w:i/>
          <w:lang w:val="es-MX"/>
        </w:rPr>
        <w:t>La Comisaría de Vialidad es la dependencia encargada de regular el tránsito peatonal y de vehículos, vialidades, la prevención y atención de siniestros, y accidentes vehiculares, en cuyos aspectos técnicos de estudio, y análisis, coadyuvará para salvaguardar la integridad y derechos de las personas, así como preservar las libertades, el orden y la paz pública.</w:t>
      </w:r>
    </w:p>
    <w:p w14:paraId="1FCC2FC6" w14:textId="77777777" w:rsidR="00E15BB1" w:rsidRPr="00EC63E1" w:rsidRDefault="00E15BB1" w:rsidP="00E15BB1">
      <w:pPr>
        <w:spacing w:after="0" w:line="360" w:lineRule="auto"/>
        <w:ind w:left="567" w:right="616"/>
        <w:jc w:val="both"/>
        <w:rPr>
          <w:rFonts w:ascii="Arial" w:hAnsi="Arial" w:cs="Arial"/>
          <w:i/>
          <w:lang w:val="es-MX"/>
        </w:rPr>
      </w:pPr>
    </w:p>
    <w:p w14:paraId="7751922C"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 xml:space="preserve">Artículo 55.- </w:t>
      </w:r>
      <w:r w:rsidRPr="00EC63E1">
        <w:rPr>
          <w:rFonts w:ascii="Arial" w:hAnsi="Arial" w:cs="Arial"/>
          <w:i/>
          <w:lang w:val="es-MX"/>
        </w:rPr>
        <w:t>La Comisaría de Vialidad tiene las siguientes atribuciones y obligaciones: (…)</w:t>
      </w:r>
    </w:p>
    <w:p w14:paraId="0F619A9F"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 xml:space="preserve">XXII.- </w:t>
      </w:r>
      <w:r w:rsidRPr="00EC63E1">
        <w:rPr>
          <w:rFonts w:ascii="Arial" w:hAnsi="Arial" w:cs="Arial"/>
          <w:i/>
          <w:lang w:val="es-MX"/>
        </w:rPr>
        <w:t>Imponer sanciones a las personas que infrinjan los reglamentos de Vialidad, con apego a la ley de Ingresos Vigente.(…)</w:t>
      </w:r>
    </w:p>
    <w:p w14:paraId="2E758A53"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 xml:space="preserve"> </w:t>
      </w:r>
    </w:p>
    <w:p w14:paraId="6E484D58" w14:textId="77777777" w:rsidR="00E15BB1" w:rsidRPr="00EC63E1" w:rsidRDefault="00E15BB1" w:rsidP="00E15BB1">
      <w:pPr>
        <w:spacing w:after="0" w:line="360" w:lineRule="auto"/>
        <w:ind w:left="567" w:right="616"/>
        <w:jc w:val="both"/>
        <w:rPr>
          <w:rFonts w:ascii="Arial" w:hAnsi="Arial" w:cs="Arial"/>
          <w:b/>
          <w:i/>
          <w:lang w:val="es-MX"/>
        </w:rPr>
      </w:pPr>
      <w:r w:rsidRPr="00EC63E1">
        <w:rPr>
          <w:rFonts w:ascii="Arial" w:hAnsi="Arial" w:cs="Arial"/>
          <w:b/>
          <w:i/>
          <w:lang w:val="es-MX"/>
        </w:rPr>
        <w:t>REGLAMENTO DE VIALIDAD PARA EL MUNICIPIO DE OAXACA DE JUÁREZ</w:t>
      </w:r>
    </w:p>
    <w:p w14:paraId="66CC15D6" w14:textId="77777777" w:rsidR="00E15BB1" w:rsidRPr="00EC63E1" w:rsidRDefault="00E15BB1" w:rsidP="00E15BB1">
      <w:pPr>
        <w:spacing w:after="0" w:line="360" w:lineRule="auto"/>
        <w:ind w:left="567" w:right="616"/>
        <w:jc w:val="both"/>
        <w:rPr>
          <w:rFonts w:ascii="Arial" w:hAnsi="Arial" w:cs="Arial"/>
          <w:i/>
          <w:lang w:val="es-MX"/>
        </w:rPr>
      </w:pPr>
    </w:p>
    <w:p w14:paraId="3E6EB019"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w:t>
      </w:r>
      <w:r w:rsidRPr="00EC63E1">
        <w:rPr>
          <w:rFonts w:ascii="Arial" w:hAnsi="Arial" w:cs="Arial"/>
          <w:i/>
          <w:lang w:val="es-MX"/>
        </w:rPr>
        <w:t xml:space="preserve"> El presente Reglamento es de interés público y observancia general en el Municipio de Oaxaca de Juárez, tiene por objeto, establecer las normas de seguridad, control, supervisión y regulación del tránsito peatonal y vehicular.</w:t>
      </w:r>
    </w:p>
    <w:p w14:paraId="37668480" w14:textId="77777777" w:rsidR="00E15BB1" w:rsidRPr="00EC63E1" w:rsidRDefault="00E15BB1" w:rsidP="00E15BB1">
      <w:pPr>
        <w:spacing w:after="0" w:line="360" w:lineRule="auto"/>
        <w:ind w:left="567" w:right="616"/>
        <w:jc w:val="both"/>
        <w:rPr>
          <w:rFonts w:ascii="Arial" w:hAnsi="Arial" w:cs="Arial"/>
          <w:i/>
          <w:lang w:val="es-MX"/>
        </w:rPr>
      </w:pPr>
    </w:p>
    <w:p w14:paraId="72F5FF09"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2.-</w:t>
      </w:r>
      <w:r w:rsidRPr="00EC63E1">
        <w:rPr>
          <w:rFonts w:ascii="Arial" w:hAnsi="Arial" w:cs="Arial"/>
          <w:i/>
          <w:lang w:val="es-MX"/>
        </w:rPr>
        <w:t xml:space="preserve"> Para los efectos del presente Reglamento, se consideran vía pública a todo espacio de dominio público y de uso común destinado al tránsito de personas y vehículos que por disposiciones de la autoridad municipal, se encuentra destinada al libre tránsito de personas y vehículos, de conformidad con las leyes y reglamentos de la materia; entre las que se encuentran: las vías rápidas, vías alternas, arterias, </w:t>
      </w:r>
      <w:r w:rsidRPr="00EC63E1">
        <w:rPr>
          <w:rFonts w:ascii="Arial" w:hAnsi="Arial" w:cs="Arial"/>
          <w:i/>
          <w:lang w:val="es-MX"/>
        </w:rPr>
        <w:lastRenderedPageBreak/>
        <w:t>calles colectoras, avenidas, calzadas, calles locales, callejones, plazas, paseos, andadores, aceras, pasadizos, bulevares, rotondas, túneles, puentes peatonales y vehiculares, distribuidores viales que estén dentro del territorio municipal.</w:t>
      </w:r>
    </w:p>
    <w:p w14:paraId="6245E29F" w14:textId="77777777" w:rsidR="00E15BB1" w:rsidRPr="00EC63E1" w:rsidRDefault="00E15BB1" w:rsidP="00E15BB1">
      <w:pPr>
        <w:spacing w:after="0" w:line="360" w:lineRule="auto"/>
        <w:ind w:left="567" w:right="616"/>
        <w:jc w:val="both"/>
        <w:rPr>
          <w:rFonts w:ascii="Arial" w:hAnsi="Arial" w:cs="Arial"/>
          <w:i/>
          <w:lang w:val="es-MX"/>
        </w:rPr>
      </w:pPr>
    </w:p>
    <w:p w14:paraId="2E13CC66"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5.-</w:t>
      </w:r>
      <w:r w:rsidRPr="00EC63E1">
        <w:rPr>
          <w:rFonts w:ascii="Arial" w:hAnsi="Arial" w:cs="Arial"/>
          <w:i/>
          <w:lang w:val="es-MX"/>
        </w:rPr>
        <w:t xml:space="preserve"> Corresponde al Honorable Ayuntamiento, por conducto de la Comisión de Seguridad Pública, Vialidad y Protección Civil Municipal, la observancia y aplicación del presente Reglamento.</w:t>
      </w:r>
    </w:p>
    <w:p w14:paraId="4895285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 xml:space="preserve">. </w:t>
      </w:r>
    </w:p>
    <w:p w14:paraId="1D396FCB"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6.-</w:t>
      </w:r>
      <w:r w:rsidRPr="00EC63E1">
        <w:rPr>
          <w:rFonts w:ascii="Arial" w:hAnsi="Arial" w:cs="Arial"/>
          <w:i/>
          <w:lang w:val="es-MX"/>
        </w:rPr>
        <w:t xml:space="preserve"> Para los efectos del presente Reglamento se entiende por: (…)</w:t>
      </w:r>
    </w:p>
    <w:p w14:paraId="3F827E96" w14:textId="77777777" w:rsidR="00E15BB1" w:rsidRPr="00EC63E1" w:rsidRDefault="00E15BB1" w:rsidP="00E15BB1">
      <w:pPr>
        <w:spacing w:after="0" w:line="360" w:lineRule="auto"/>
        <w:ind w:left="567" w:right="616"/>
        <w:jc w:val="both"/>
        <w:rPr>
          <w:rFonts w:ascii="Arial" w:hAnsi="Arial" w:cs="Arial"/>
          <w:i/>
          <w:lang w:val="es-MX"/>
        </w:rPr>
      </w:pPr>
    </w:p>
    <w:p w14:paraId="0C3F110B"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XXIV.</w:t>
      </w:r>
      <w:r w:rsidRPr="00EC63E1">
        <w:rPr>
          <w:rFonts w:ascii="Arial" w:hAnsi="Arial" w:cs="Arial"/>
          <w:i/>
          <w:lang w:val="es-MX"/>
        </w:rPr>
        <w:t xml:space="preserve"> Infracción: Violación de cualquier disposición del presente Reglamento de Vialidad o demás disposiciones aplicables a los usuarios de la vía pública; (…)</w:t>
      </w:r>
    </w:p>
    <w:p w14:paraId="6A7D9096"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XXXIV.</w:t>
      </w:r>
      <w:r w:rsidRPr="00EC63E1">
        <w:rPr>
          <w:rFonts w:ascii="Arial" w:hAnsi="Arial" w:cs="Arial"/>
          <w:i/>
          <w:lang w:val="es-MX"/>
        </w:rPr>
        <w:t xml:space="preserve"> Policía Vial: Al integrante de la Comisaría de Vialidad, que en su carácter de autoridad está facultado para realizar funciones de control, supervisión, regulación del tránsito de personas y vehículos en la vía pública, así como formular las actas de infracción por contravenir las disposiciones establecidas en el presente Reglamento y demás disposiciones jurídicas legales aplicables a la materia;</w:t>
      </w:r>
    </w:p>
    <w:p w14:paraId="6E20B02B" w14:textId="77777777" w:rsidR="00E15BB1" w:rsidRPr="00EC63E1" w:rsidRDefault="00E15BB1" w:rsidP="00E15BB1">
      <w:pPr>
        <w:spacing w:after="0" w:line="360" w:lineRule="auto"/>
        <w:ind w:left="567" w:right="616"/>
        <w:jc w:val="both"/>
        <w:rPr>
          <w:rFonts w:ascii="Arial" w:hAnsi="Arial" w:cs="Arial"/>
          <w:b/>
          <w:i/>
          <w:lang w:val="es-MX"/>
        </w:rPr>
      </w:pPr>
    </w:p>
    <w:p w14:paraId="77134E1D"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11.-</w:t>
      </w:r>
      <w:r w:rsidRPr="00EC63E1">
        <w:rPr>
          <w:rFonts w:ascii="Arial" w:hAnsi="Arial" w:cs="Arial"/>
          <w:i/>
          <w:lang w:val="es-MX"/>
        </w:rPr>
        <w:t xml:space="preserve"> Son atribuciones del Comisario de Vialidad de, además de las establecidas en el Bando de Policía y Gobierno del Municipio de Oaxaca de Juárez:</w:t>
      </w:r>
    </w:p>
    <w:p w14:paraId="3AA8AF56" w14:textId="77777777" w:rsidR="00E15BB1" w:rsidRPr="00EC63E1" w:rsidRDefault="00E15BB1" w:rsidP="00E15BB1">
      <w:pPr>
        <w:spacing w:after="0" w:line="360" w:lineRule="auto"/>
        <w:ind w:left="567" w:right="616"/>
        <w:jc w:val="both"/>
        <w:rPr>
          <w:rFonts w:ascii="Arial" w:hAnsi="Arial" w:cs="Arial"/>
          <w:b/>
          <w:i/>
          <w:lang w:val="es-MX"/>
        </w:rPr>
      </w:pPr>
    </w:p>
    <w:p w14:paraId="745B595F"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w:t>
      </w:r>
      <w:r w:rsidRPr="00EC63E1">
        <w:rPr>
          <w:rFonts w:ascii="Arial" w:hAnsi="Arial" w:cs="Arial"/>
          <w:i/>
          <w:lang w:val="es-MX"/>
        </w:rPr>
        <w:t xml:space="preserve"> Cumplir y hacer cumplir el presente Reglamento y demás disposiciones de la materia;(…)</w:t>
      </w:r>
    </w:p>
    <w:p w14:paraId="6F807743" w14:textId="77777777" w:rsidR="00E15BB1" w:rsidRPr="00EC63E1" w:rsidRDefault="00E15BB1" w:rsidP="00E15BB1">
      <w:pPr>
        <w:spacing w:after="0" w:line="360" w:lineRule="auto"/>
        <w:ind w:left="567" w:right="616"/>
        <w:jc w:val="both"/>
        <w:rPr>
          <w:rFonts w:ascii="Arial" w:hAnsi="Arial" w:cs="Arial"/>
          <w:b/>
          <w:i/>
          <w:lang w:val="es-MX"/>
        </w:rPr>
      </w:pPr>
    </w:p>
    <w:p w14:paraId="2E6C38F5"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VII.</w:t>
      </w:r>
      <w:r w:rsidRPr="00EC63E1">
        <w:rPr>
          <w:rFonts w:ascii="Arial" w:hAnsi="Arial" w:cs="Arial"/>
          <w:i/>
          <w:lang w:val="es-MX"/>
        </w:rPr>
        <w:t xml:space="preserve"> Formular las actas de infracción por sí mismo o a través de los Policías Viales, cuando sea procedente, así como las detectadas mediante dispositivos electrónicos, como comparenderas, cámaras de video, sensores de velocidad;(…)</w:t>
      </w:r>
    </w:p>
    <w:p w14:paraId="08D1CCF9" w14:textId="77777777" w:rsidR="00E15BB1" w:rsidRPr="00EC63E1" w:rsidRDefault="00E15BB1" w:rsidP="00E15BB1">
      <w:pPr>
        <w:spacing w:after="0" w:line="360" w:lineRule="auto"/>
        <w:ind w:left="567" w:right="616"/>
        <w:jc w:val="both"/>
        <w:rPr>
          <w:rFonts w:ascii="Arial" w:hAnsi="Arial" w:cs="Arial"/>
          <w:b/>
          <w:i/>
          <w:lang w:val="es-MX"/>
        </w:rPr>
      </w:pPr>
    </w:p>
    <w:p w14:paraId="73B1283F"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IX.</w:t>
      </w:r>
      <w:r w:rsidRPr="00EC63E1">
        <w:rPr>
          <w:rFonts w:ascii="Arial" w:hAnsi="Arial" w:cs="Arial"/>
          <w:i/>
          <w:lang w:val="es-MX"/>
        </w:rPr>
        <w:t xml:space="preserve"> Las demás que con tal carácter expresamente le atribuyan las disposiciones legales y las que le sean delegadas o encomendadas por el Presidente Municipal o el Comisionado.</w:t>
      </w:r>
    </w:p>
    <w:p w14:paraId="6E61F723" w14:textId="77777777" w:rsidR="00E15BB1" w:rsidRPr="00EC63E1" w:rsidRDefault="00E15BB1" w:rsidP="00E15BB1">
      <w:pPr>
        <w:spacing w:after="0" w:line="360" w:lineRule="auto"/>
        <w:ind w:left="567" w:right="616"/>
        <w:jc w:val="both"/>
        <w:rPr>
          <w:rFonts w:ascii="Arial" w:hAnsi="Arial" w:cs="Arial"/>
          <w:i/>
          <w:lang w:val="es-MX"/>
        </w:rPr>
      </w:pPr>
    </w:p>
    <w:p w14:paraId="3F52FC7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14.-</w:t>
      </w:r>
      <w:r w:rsidRPr="00EC63E1">
        <w:rPr>
          <w:rFonts w:ascii="Arial" w:hAnsi="Arial" w:cs="Arial"/>
          <w:i/>
          <w:lang w:val="es-MX"/>
        </w:rPr>
        <w:t xml:space="preserve"> Son atribuciones y obligaciones del Subcomisario Operativo y Técnico de Vialidad: (…)</w:t>
      </w:r>
    </w:p>
    <w:p w14:paraId="6DAC39B8" w14:textId="77777777" w:rsidR="00E15BB1" w:rsidRPr="00EC63E1" w:rsidRDefault="00E15BB1" w:rsidP="00E15BB1">
      <w:pPr>
        <w:spacing w:after="0" w:line="360" w:lineRule="auto"/>
        <w:ind w:left="567" w:right="616"/>
        <w:jc w:val="both"/>
        <w:rPr>
          <w:rFonts w:ascii="Arial" w:hAnsi="Arial" w:cs="Arial"/>
          <w:i/>
          <w:lang w:val="es-MX"/>
        </w:rPr>
      </w:pPr>
    </w:p>
    <w:p w14:paraId="032F358B"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VII.</w:t>
      </w:r>
      <w:r w:rsidRPr="00EC63E1">
        <w:rPr>
          <w:rFonts w:ascii="Arial" w:hAnsi="Arial" w:cs="Arial"/>
          <w:i/>
          <w:lang w:val="es-MX"/>
        </w:rPr>
        <w:t xml:space="preserve"> Formular las actas de infracción a los conductores que infrinjan el presente Reglamento;</w:t>
      </w:r>
    </w:p>
    <w:p w14:paraId="4525C5FA"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lastRenderedPageBreak/>
        <w:t>VIII.</w:t>
      </w:r>
      <w:r w:rsidRPr="00EC63E1">
        <w:rPr>
          <w:rFonts w:ascii="Arial" w:hAnsi="Arial" w:cs="Arial"/>
          <w:i/>
          <w:lang w:val="es-MX"/>
        </w:rPr>
        <w:t xml:space="preserve"> Ordenar la detención, resguardo y remisión de los vehículos a los depósitos oficiales, por haber infringido sus conductores el presente Reglamento;</w:t>
      </w:r>
    </w:p>
    <w:p w14:paraId="5528CF4E" w14:textId="77777777" w:rsidR="00E15BB1" w:rsidRPr="00EC63E1" w:rsidRDefault="00E15BB1" w:rsidP="00E15BB1">
      <w:pPr>
        <w:spacing w:after="0" w:line="360" w:lineRule="auto"/>
        <w:ind w:left="567" w:right="616"/>
        <w:jc w:val="both"/>
        <w:rPr>
          <w:rFonts w:ascii="Arial" w:hAnsi="Arial" w:cs="Arial"/>
          <w:i/>
          <w:lang w:val="es-MX"/>
        </w:rPr>
      </w:pPr>
    </w:p>
    <w:p w14:paraId="19A5B8C2"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16.-</w:t>
      </w:r>
      <w:r w:rsidRPr="00EC63E1">
        <w:rPr>
          <w:rFonts w:ascii="Arial" w:hAnsi="Arial" w:cs="Arial"/>
          <w:i/>
          <w:lang w:val="es-MX"/>
        </w:rPr>
        <w:t xml:space="preserve"> Independientemente de las obligaciones y atribuciones que contempla el presente Ordenamiento y el Reglamento de la Comisión, son atribuciones y obligaciones de los Policías Viales:</w:t>
      </w:r>
    </w:p>
    <w:p w14:paraId="05ADA0A7" w14:textId="77777777" w:rsidR="00E15BB1" w:rsidRPr="00EC63E1" w:rsidRDefault="00E15BB1" w:rsidP="00E15BB1">
      <w:pPr>
        <w:spacing w:after="0" w:line="360" w:lineRule="auto"/>
        <w:ind w:left="567" w:right="616"/>
        <w:jc w:val="both"/>
        <w:rPr>
          <w:rFonts w:ascii="Arial" w:hAnsi="Arial" w:cs="Arial"/>
          <w:i/>
          <w:lang w:val="es-MX"/>
        </w:rPr>
      </w:pPr>
    </w:p>
    <w:p w14:paraId="70F8E6A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II.</w:t>
      </w:r>
      <w:r w:rsidRPr="00EC63E1">
        <w:rPr>
          <w:rFonts w:ascii="Arial" w:hAnsi="Arial" w:cs="Arial"/>
          <w:i/>
          <w:lang w:val="es-MX"/>
        </w:rPr>
        <w:t xml:space="preserve"> Formular las actas de infracción cometidas por los conductores que infrinjan el presente Reglamento, fundándolas y motivándolas correctamente, evitando abreviaturas o signos que impidan la comprensión del contenido; (…)</w:t>
      </w:r>
    </w:p>
    <w:p w14:paraId="17B59985"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w:t>
      </w:r>
      <w:r w:rsidRPr="00EC63E1">
        <w:rPr>
          <w:rFonts w:ascii="Arial" w:hAnsi="Arial" w:cs="Arial"/>
          <w:i/>
          <w:lang w:val="es-MX"/>
        </w:rPr>
        <w:t xml:space="preserve"> Detener o asegurar un vehículo que represente un riesgo para la ciudadanía, para el propio conductor o demás conductores cuando se perciba que las aptitudes se encuentren disminuidas y puedan ocasionar un accidente; (…)</w:t>
      </w:r>
    </w:p>
    <w:p w14:paraId="2CCF38BE" w14:textId="77777777" w:rsidR="00E15BB1" w:rsidRPr="00EC63E1" w:rsidRDefault="00E15BB1" w:rsidP="00E15BB1">
      <w:pPr>
        <w:spacing w:after="0" w:line="360" w:lineRule="auto"/>
        <w:ind w:left="567" w:right="616"/>
        <w:jc w:val="both"/>
        <w:rPr>
          <w:rFonts w:ascii="Arial" w:hAnsi="Arial" w:cs="Arial"/>
          <w:i/>
          <w:lang w:val="es-MX"/>
        </w:rPr>
      </w:pPr>
    </w:p>
    <w:p w14:paraId="24C0980F"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59.-</w:t>
      </w:r>
      <w:r w:rsidRPr="00EC63E1">
        <w:rPr>
          <w:rFonts w:ascii="Arial" w:hAnsi="Arial" w:cs="Arial"/>
          <w:i/>
          <w:lang w:val="es-MX"/>
        </w:rPr>
        <w:t xml:space="preserve"> Son obligaciones de los conductores de vehículos automotores para que puedan circular libremente en la jurisdicción del Municipio de Oaxaca de Juárez:</w:t>
      </w:r>
    </w:p>
    <w:p w14:paraId="0B96326C"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w:t>
      </w:r>
      <w:r w:rsidRPr="00EC63E1">
        <w:rPr>
          <w:rFonts w:ascii="Arial" w:hAnsi="Arial" w:cs="Arial"/>
          <w:i/>
          <w:lang w:val="es-MX"/>
        </w:rPr>
        <w:t xml:space="preserve"> Obedecer las indicaciones de los semáforos para vehículos, de la siguiente manera:</w:t>
      </w:r>
    </w:p>
    <w:p w14:paraId="1C190AD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w:t>
      </w:r>
      <w:r w:rsidRPr="00EC63E1">
        <w:rPr>
          <w:rFonts w:ascii="Arial" w:hAnsi="Arial" w:cs="Arial"/>
          <w:i/>
          <w:lang w:val="es-MX"/>
        </w:rPr>
        <w:t xml:space="preserve"> Ante una indicación de luz verde del semáforo, los vehículos podrán avanzar en la misma dirección. De no existir semáforos especiales para peatones;</w:t>
      </w:r>
    </w:p>
    <w:p w14:paraId="07C1970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b)</w:t>
      </w:r>
      <w:r w:rsidRPr="00EC63E1">
        <w:rPr>
          <w:rFonts w:ascii="Arial" w:hAnsi="Arial" w:cs="Arial"/>
          <w:i/>
          <w:lang w:val="es-MX"/>
        </w:rPr>
        <w:t xml:space="preserve"> Frente a una indicación de flecha verde exhibida sola o combinada con otra señal, los vehículos podrán entrar en la intersección para efectuar el movimiento indicado por la flecha;</w:t>
      </w:r>
    </w:p>
    <w:p w14:paraId="28CB8E82"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c)</w:t>
      </w:r>
      <w:r w:rsidRPr="00EC63E1">
        <w:rPr>
          <w:rFonts w:ascii="Arial" w:hAnsi="Arial" w:cs="Arial"/>
          <w:i/>
          <w:lang w:val="es-MX"/>
        </w:rPr>
        <w:t xml:space="preserve">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14:paraId="2426D616"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d)</w:t>
      </w:r>
      <w:r w:rsidRPr="00EC63E1">
        <w:rPr>
          <w:rFonts w:ascii="Arial" w:hAnsi="Arial" w:cs="Arial"/>
          <w:i/>
          <w:lang w:val="es-MX"/>
        </w:rPr>
        <w:t xml:space="preserve">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14:paraId="00EFE110"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e)</w:t>
      </w:r>
      <w:r w:rsidRPr="00EC63E1">
        <w:rPr>
          <w:rFonts w:ascii="Arial" w:hAnsi="Arial" w:cs="Arial"/>
          <w:i/>
          <w:lang w:val="es-MX"/>
        </w:rPr>
        <w:t xml:space="preserve"> Cuando la luz roja del semáforo emita señales intermitentes, los conductores de vehículos deberán detener la marcha en la línea de alto, marcada sobre la superficie de rodamiento; en ausencia de esta, deberán detenerse antes de entrar en la zona peatonal o de cruce de peatones u otras áreas de control, y podrán reanudar su marcha una vez que se haya cerciorado que no existe riesgo alguno;</w:t>
      </w:r>
    </w:p>
    <w:p w14:paraId="0D99D8D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f)</w:t>
      </w:r>
      <w:r w:rsidRPr="00EC63E1">
        <w:rPr>
          <w:rFonts w:ascii="Arial" w:hAnsi="Arial" w:cs="Arial"/>
          <w:i/>
          <w:lang w:val="es-MX"/>
        </w:rPr>
        <w:t xml:space="preserve"> Cuando la luz amarilla emita destellos intermitentes, los conductores de vehículos deberán disminuir la velocidad y podrán avanzar a través de </w:t>
      </w:r>
      <w:r w:rsidRPr="00EC63E1">
        <w:rPr>
          <w:rFonts w:ascii="Arial" w:hAnsi="Arial" w:cs="Arial"/>
          <w:i/>
          <w:lang w:val="es-MX"/>
        </w:rPr>
        <w:lastRenderedPageBreak/>
        <w:t>la intersección o pasar dichas señales después de tomar las precauciones necesarias, y</w:t>
      </w:r>
    </w:p>
    <w:p w14:paraId="62206228"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g)</w:t>
      </w:r>
      <w:r w:rsidRPr="00EC63E1">
        <w:rPr>
          <w:rFonts w:ascii="Arial" w:hAnsi="Arial" w:cs="Arial"/>
          <w:i/>
          <w:lang w:val="es-MX"/>
        </w:rPr>
        <w:t xml:space="preserve"> Los semáforos, campanas y barreras instaladas en la intersección de ferrocarriles, deberán ser respetadas tanto por conductores como por peatones, antes de realizar el cruce.</w:t>
      </w:r>
    </w:p>
    <w:p w14:paraId="0F628AC3"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II.</w:t>
      </w:r>
      <w:r w:rsidRPr="00EC63E1">
        <w:rPr>
          <w:rFonts w:ascii="Arial" w:hAnsi="Arial" w:cs="Arial"/>
          <w:i/>
          <w:lang w:val="es-MX"/>
        </w:rPr>
        <w:t xml:space="preserve"> Conducir con precaución, en pleno uso de sus facultades físicas y mentales, sin llevar en los brazos a personas, mascotas en la ventanilla, u objeto alguno;</w:t>
      </w:r>
    </w:p>
    <w:p w14:paraId="52721E20"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III.</w:t>
      </w:r>
      <w:r w:rsidRPr="00EC63E1">
        <w:rPr>
          <w:rFonts w:ascii="Arial" w:hAnsi="Arial" w:cs="Arial"/>
          <w:i/>
          <w:lang w:val="es-MX"/>
        </w:rPr>
        <w:t xml:space="preserve"> Revisar las condiciones mecánicas de la unidad que manejen, comprobar el buen estado de llantas, limpiadores, sistema eléctrico, dirección, frenos y luces, así como verificar que cuentan con llanta de refacción en buenas condiciones, extinguidor, herramientas y reflejantes portátiles;</w:t>
      </w:r>
    </w:p>
    <w:p w14:paraId="7EFA8FCE"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IV.</w:t>
      </w:r>
      <w:r w:rsidRPr="00EC63E1">
        <w:rPr>
          <w:rFonts w:ascii="Arial" w:hAnsi="Arial" w:cs="Arial"/>
          <w:i/>
          <w:lang w:val="es-MX"/>
        </w:rPr>
        <w:t xml:space="preserve"> Estar provisto de placas, licencia, permiso vigente para conducir y tarjeta de circulación del vehículo, derechos que concesiona el Estado.</w:t>
      </w:r>
    </w:p>
    <w:p w14:paraId="6D6BDE66"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w:t>
      </w:r>
      <w:r w:rsidRPr="00EC63E1">
        <w:rPr>
          <w:rFonts w:ascii="Arial" w:hAnsi="Arial" w:cs="Arial"/>
          <w:i/>
          <w:lang w:val="es-MX"/>
        </w:rPr>
        <w:t xml:space="preserve"> Acatar las disposiciones relativas a las señales informativas y restrictivas, de estacionamiento sobre contaminación ambiental y límites de velocidad;</w:t>
      </w:r>
    </w:p>
    <w:p w14:paraId="5E3FE5F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VI.</w:t>
      </w:r>
      <w:r w:rsidRPr="00EC63E1">
        <w:rPr>
          <w:rFonts w:ascii="Arial" w:hAnsi="Arial" w:cs="Arial"/>
          <w:i/>
          <w:lang w:val="es-MX"/>
        </w:rPr>
        <w:t xml:space="preserve"> Usar el cinturón de seguridad el conductor y sus acompañantes;</w:t>
      </w:r>
    </w:p>
    <w:p w14:paraId="546618C2"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VII.</w:t>
      </w:r>
      <w:r w:rsidRPr="00EC63E1">
        <w:rPr>
          <w:rFonts w:ascii="Arial" w:hAnsi="Arial" w:cs="Arial"/>
          <w:i/>
          <w:lang w:val="es-MX"/>
        </w:rPr>
        <w:t xml:space="preserve"> Conservar su carril derecho, para permitir la libre circulación por el izquierdo, respetando el contraflujo exclusivo para vehículos del servicio público de transporte;</w:t>
      </w:r>
    </w:p>
    <w:p w14:paraId="6BD0B71F"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VIII.</w:t>
      </w:r>
      <w:r w:rsidRPr="00EC63E1">
        <w:rPr>
          <w:rFonts w:ascii="Arial" w:hAnsi="Arial" w:cs="Arial"/>
          <w:i/>
          <w:lang w:val="es-MX"/>
        </w:rPr>
        <w:t xml:space="preserve"> Ascender y descender pasajeros en los lugares autorizados aproximándose a treinta centímetros de la banqueta, para evitar accidentes por atropellamiento;</w:t>
      </w:r>
    </w:p>
    <w:p w14:paraId="410E08A3"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IX.</w:t>
      </w:r>
      <w:r w:rsidRPr="00EC63E1">
        <w:rPr>
          <w:rFonts w:ascii="Arial" w:hAnsi="Arial" w:cs="Arial"/>
          <w:i/>
          <w:lang w:val="es-MX"/>
        </w:rPr>
        <w:t xml:space="preserve"> Extremar las precauciones haciendo alto total, respetando el cruce de peatones al incorporarse en cualquier vía, al pasar cruceros, rebasar, cambiar de carril, dar vuelta a la izquierda, a la derecha o en ”U”, al circular en reversa, cuando el pavimento esté húmedo y en casos de accidente o emergencia;</w:t>
      </w:r>
    </w:p>
    <w:p w14:paraId="526E301A"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w:t>
      </w:r>
      <w:r w:rsidRPr="00EC63E1">
        <w:rPr>
          <w:rFonts w:ascii="Arial" w:hAnsi="Arial" w:cs="Arial"/>
          <w:i/>
          <w:lang w:val="es-MX"/>
        </w:rPr>
        <w:t xml:space="preserve"> Entregar, en caso de infracción, a los Policías Viales cuando se requiera, la licencia o permiso para conducir y de la tarjeta de circulación para que procedan al levantamiento del acta correspondiente;</w:t>
      </w:r>
    </w:p>
    <w:p w14:paraId="68383BF2"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XI.</w:t>
      </w:r>
      <w:r w:rsidRPr="00EC63E1">
        <w:rPr>
          <w:rFonts w:ascii="Arial" w:hAnsi="Arial" w:cs="Arial"/>
          <w:i/>
          <w:lang w:val="es-MX"/>
        </w:rPr>
        <w:t xml:space="preserve"> Guardar la distancia de seis metros en las zonas autorizadas para circular a una velocidad de sesenta kilómetros por hora, de tres metros en la de treinta kilómetros por hora y de dos metros en las de veinte kilómetros por hora, en relación al vehículo que circula adelante, y</w:t>
      </w:r>
    </w:p>
    <w:p w14:paraId="50609F56"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XII.</w:t>
      </w:r>
      <w:r w:rsidRPr="00EC63E1">
        <w:rPr>
          <w:rFonts w:ascii="Arial" w:hAnsi="Arial" w:cs="Arial"/>
          <w:i/>
          <w:lang w:val="es-MX"/>
        </w:rPr>
        <w:t xml:space="preserve"> Las demás que imponga el presente Reglamento y otras disposiciones legales.</w:t>
      </w:r>
    </w:p>
    <w:p w14:paraId="25CD79B7" w14:textId="77777777" w:rsidR="00E15BB1" w:rsidRPr="00EC63E1" w:rsidRDefault="00E15BB1" w:rsidP="00E15BB1">
      <w:pPr>
        <w:spacing w:after="0" w:line="360" w:lineRule="auto"/>
        <w:ind w:left="567" w:right="616"/>
        <w:jc w:val="both"/>
        <w:rPr>
          <w:rFonts w:ascii="Arial" w:hAnsi="Arial" w:cs="Arial"/>
          <w:i/>
          <w:lang w:val="es-MX"/>
        </w:rPr>
      </w:pPr>
    </w:p>
    <w:p w14:paraId="56C3224B"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60.-</w:t>
      </w:r>
      <w:r w:rsidRPr="00EC63E1">
        <w:rPr>
          <w:rFonts w:ascii="Arial" w:hAnsi="Arial" w:cs="Arial"/>
          <w:i/>
          <w:lang w:val="es-MX"/>
        </w:rPr>
        <w:t xml:space="preserve"> Son prohibiciones de los conductores de vehículos automotores las siguientes:</w:t>
      </w:r>
    </w:p>
    <w:p w14:paraId="170775A9"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w:t>
      </w:r>
      <w:r w:rsidRPr="00EC63E1">
        <w:rPr>
          <w:rFonts w:ascii="Arial" w:hAnsi="Arial" w:cs="Arial"/>
          <w:i/>
          <w:lang w:val="es-MX"/>
        </w:rPr>
        <w:t xml:space="preserve"> Molestar a los peatones y demás conductores con el uso inapropiado de bocinas y escapes;</w:t>
      </w:r>
    </w:p>
    <w:p w14:paraId="143982C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II.</w:t>
      </w:r>
      <w:r w:rsidRPr="00EC63E1">
        <w:rPr>
          <w:rFonts w:ascii="Arial" w:hAnsi="Arial" w:cs="Arial"/>
          <w:i/>
          <w:lang w:val="es-MX"/>
        </w:rPr>
        <w:t xml:space="preserve"> Permitir que su licencia o permiso sea utilizada por otra persona;</w:t>
      </w:r>
    </w:p>
    <w:p w14:paraId="7D5AD079"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lastRenderedPageBreak/>
        <w:t>III.</w:t>
      </w:r>
      <w:r w:rsidRPr="00EC63E1">
        <w:rPr>
          <w:rFonts w:ascii="Arial" w:hAnsi="Arial" w:cs="Arial"/>
          <w:i/>
          <w:lang w:val="es-MX"/>
        </w:rPr>
        <w:t xml:space="preserve"> Estacionarse en doble fila;</w:t>
      </w:r>
    </w:p>
    <w:p w14:paraId="1FFCBD67"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IV.</w:t>
      </w:r>
      <w:r w:rsidRPr="00EC63E1">
        <w:rPr>
          <w:rFonts w:ascii="Arial" w:hAnsi="Arial" w:cs="Arial"/>
          <w:i/>
          <w:lang w:val="es-MX"/>
        </w:rPr>
        <w:t xml:space="preserve"> Permitir el ascenso y descenso de pasajeros sobre el arroyo vehicular;</w:t>
      </w:r>
    </w:p>
    <w:p w14:paraId="3DFACD3E"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w:t>
      </w:r>
      <w:r w:rsidRPr="00EC63E1">
        <w:rPr>
          <w:rFonts w:ascii="Arial" w:hAnsi="Arial" w:cs="Arial"/>
          <w:i/>
          <w:lang w:val="es-MX"/>
        </w:rPr>
        <w:t xml:space="preserve"> Transportar más pasajeros de los autorizados;</w:t>
      </w:r>
    </w:p>
    <w:p w14:paraId="59A09F89"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VI.</w:t>
      </w:r>
      <w:r w:rsidRPr="00EC63E1">
        <w:rPr>
          <w:rFonts w:ascii="Arial" w:hAnsi="Arial" w:cs="Arial"/>
          <w:i/>
          <w:lang w:val="es-MX"/>
        </w:rPr>
        <w:t xml:space="preserve"> Conducir bajo los efectos de drogas o enervantes;</w:t>
      </w:r>
    </w:p>
    <w:p w14:paraId="021526B6"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VII.</w:t>
      </w:r>
      <w:r w:rsidRPr="00EC63E1">
        <w:rPr>
          <w:rFonts w:ascii="Arial" w:hAnsi="Arial" w:cs="Arial"/>
          <w:i/>
          <w:lang w:val="es-MX"/>
        </w:rPr>
        <w:t xml:space="preserve"> Conducir en estado de ebriedad, así como ingerir bebidas alcohólicas al momento de conducir;</w:t>
      </w:r>
    </w:p>
    <w:p w14:paraId="007AC2BA"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VIII.</w:t>
      </w:r>
      <w:r w:rsidRPr="00EC63E1">
        <w:rPr>
          <w:rFonts w:ascii="Arial" w:hAnsi="Arial" w:cs="Arial"/>
          <w:i/>
          <w:lang w:val="es-MX"/>
        </w:rPr>
        <w:t xml:space="preserve"> Retroceder en la vía pública, de circulación continua o intersecciones, excepto por una obstrucción que impida seguir la marcha;</w:t>
      </w:r>
    </w:p>
    <w:p w14:paraId="008D0C4E"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IX.</w:t>
      </w:r>
      <w:r w:rsidRPr="00EC63E1">
        <w:rPr>
          <w:rFonts w:ascii="Arial" w:hAnsi="Arial" w:cs="Arial"/>
          <w:i/>
          <w:lang w:val="es-MX"/>
        </w:rPr>
        <w:t xml:space="preserve"> Encender fósforos, encendedores, fumar y usar teléfonos celulares en el área de carga de combustible;</w:t>
      </w:r>
    </w:p>
    <w:p w14:paraId="3E1DAF52"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w:t>
      </w:r>
      <w:r w:rsidRPr="00EC63E1">
        <w:rPr>
          <w:rFonts w:ascii="Arial" w:hAnsi="Arial" w:cs="Arial"/>
          <w:i/>
          <w:lang w:val="es-MX"/>
        </w:rPr>
        <w:t xml:space="preserve"> Cargar combustible con el vehículo en marcha;</w:t>
      </w:r>
    </w:p>
    <w:p w14:paraId="13DBC333"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XI.</w:t>
      </w:r>
      <w:r w:rsidRPr="00EC63E1">
        <w:rPr>
          <w:rFonts w:ascii="Arial" w:hAnsi="Arial" w:cs="Arial"/>
          <w:i/>
          <w:lang w:val="es-MX"/>
        </w:rPr>
        <w:t xml:space="preserve"> Cargar combustible con pasajeros en el caso de los vehículos del servicio público;</w:t>
      </w:r>
    </w:p>
    <w:p w14:paraId="70DC427B"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XIII.</w:t>
      </w:r>
      <w:r w:rsidRPr="00EC63E1">
        <w:rPr>
          <w:rFonts w:ascii="Arial" w:hAnsi="Arial" w:cs="Arial"/>
          <w:i/>
          <w:lang w:val="es-MX"/>
        </w:rPr>
        <w:t xml:space="preserve"> Efectuar carreras o arrancones en la vía pública;</w:t>
      </w:r>
    </w:p>
    <w:p w14:paraId="4CEF6969"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XIV.</w:t>
      </w:r>
      <w:r w:rsidRPr="00EC63E1">
        <w:rPr>
          <w:rFonts w:ascii="Arial" w:hAnsi="Arial" w:cs="Arial"/>
          <w:i/>
          <w:lang w:val="es-MX"/>
        </w:rPr>
        <w:t xml:space="preserve"> Obstaculizar los pasos destinados para peatones y rampas exclusivas para el uso de las personas con discapacidad;</w:t>
      </w:r>
    </w:p>
    <w:p w14:paraId="17ABBD62"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XV.</w:t>
      </w:r>
      <w:r w:rsidRPr="00EC63E1">
        <w:rPr>
          <w:rFonts w:ascii="Arial" w:hAnsi="Arial" w:cs="Arial"/>
          <w:i/>
          <w:lang w:val="es-MX"/>
        </w:rPr>
        <w:t xml:space="preserve"> Cruzar las vialidades cuando las luces de los semáforos se encuentren en color rojo o amarillo;</w:t>
      </w:r>
    </w:p>
    <w:p w14:paraId="328D2315"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XVI.</w:t>
      </w:r>
      <w:r w:rsidRPr="00EC63E1">
        <w:rPr>
          <w:rFonts w:ascii="Arial" w:hAnsi="Arial" w:cs="Arial"/>
          <w:i/>
          <w:lang w:val="es-MX"/>
        </w:rPr>
        <w:t xml:space="preserve"> Rebasar a otro por el carril de tránsito opuesto en los siguientes casos:</w:t>
      </w:r>
    </w:p>
    <w:p w14:paraId="6B87A53B"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w:t>
      </w:r>
      <w:r w:rsidRPr="00EC63E1">
        <w:rPr>
          <w:rFonts w:ascii="Arial" w:hAnsi="Arial" w:cs="Arial"/>
          <w:i/>
          <w:lang w:val="es-MX"/>
        </w:rPr>
        <w:t xml:space="preserve"> Cuando el carril de circulación contrario no ofrezca una clara visibilidad o no esté libre de tránsito en una longitud que permita efectuar la maniobra sin riesgo;</w:t>
      </w:r>
    </w:p>
    <w:p w14:paraId="4DDAC903"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b.</w:t>
      </w:r>
      <w:r w:rsidRPr="00EC63E1">
        <w:rPr>
          <w:rFonts w:ascii="Arial" w:hAnsi="Arial" w:cs="Arial"/>
          <w:i/>
          <w:lang w:val="es-MX"/>
        </w:rPr>
        <w:t xml:space="preserve"> Cuando se acerque a una cima o a una curva;</w:t>
      </w:r>
    </w:p>
    <w:p w14:paraId="5D5E463D"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c.</w:t>
      </w:r>
      <w:r w:rsidRPr="00EC63E1">
        <w:rPr>
          <w:rFonts w:ascii="Arial" w:hAnsi="Arial" w:cs="Arial"/>
          <w:i/>
          <w:lang w:val="es-MX"/>
        </w:rPr>
        <w:t xml:space="preserve"> Para adelantar cuando exista formación de vehículos;</w:t>
      </w:r>
    </w:p>
    <w:p w14:paraId="04B97D50"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d.</w:t>
      </w:r>
      <w:r w:rsidRPr="00EC63E1">
        <w:rPr>
          <w:rFonts w:ascii="Arial" w:hAnsi="Arial" w:cs="Arial"/>
          <w:i/>
          <w:lang w:val="es-MX"/>
        </w:rPr>
        <w:t xml:space="preserve"> Cuando la línea o raya en el pavimento sea continua;</w:t>
      </w:r>
    </w:p>
    <w:p w14:paraId="5B090FCC"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e.</w:t>
      </w:r>
      <w:r w:rsidRPr="00EC63E1">
        <w:rPr>
          <w:rFonts w:ascii="Arial" w:hAnsi="Arial" w:cs="Arial"/>
          <w:i/>
          <w:lang w:val="es-MX"/>
        </w:rPr>
        <w:t xml:space="preserve"> Cuando el vehículo que lo precede haya iniciado una maniobra de rebase, y</w:t>
      </w:r>
    </w:p>
    <w:p w14:paraId="05AFE59F"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f.</w:t>
      </w:r>
      <w:r w:rsidRPr="00EC63E1">
        <w:rPr>
          <w:rFonts w:ascii="Arial" w:hAnsi="Arial" w:cs="Arial"/>
          <w:i/>
          <w:lang w:val="es-MX"/>
        </w:rPr>
        <w:t xml:space="preserve"> Cuando se acerque a un puente o sobre el mismo.</w:t>
      </w:r>
    </w:p>
    <w:p w14:paraId="4808B670"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XVII.</w:t>
      </w:r>
      <w:r w:rsidRPr="00EC63E1">
        <w:rPr>
          <w:rFonts w:ascii="Arial" w:hAnsi="Arial" w:cs="Arial"/>
          <w:i/>
          <w:lang w:val="es-MX"/>
        </w:rPr>
        <w:t xml:space="preserve"> Transportar menores de diez años y mascotas en los asientos delanteros del vehículo.</w:t>
      </w:r>
    </w:p>
    <w:p w14:paraId="114BD0F0"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XVIII.</w:t>
      </w:r>
      <w:r w:rsidRPr="00EC63E1">
        <w:rPr>
          <w:rFonts w:ascii="Arial" w:hAnsi="Arial" w:cs="Arial"/>
          <w:i/>
          <w:lang w:val="es-MX"/>
        </w:rPr>
        <w:t xml:space="preserve"> Utilizar teléfonos celulares o cualquier otro dispositivo de telecomunicación mientras se conduce, de modo que distraiga su atención al circular.</w:t>
      </w:r>
    </w:p>
    <w:p w14:paraId="249B5065" w14:textId="77777777" w:rsidR="00E15BB1" w:rsidRPr="00EC63E1" w:rsidRDefault="00E15BB1" w:rsidP="00E15BB1">
      <w:pPr>
        <w:spacing w:after="0" w:line="360" w:lineRule="auto"/>
        <w:ind w:left="567" w:right="616"/>
        <w:jc w:val="both"/>
        <w:rPr>
          <w:rFonts w:ascii="Arial" w:hAnsi="Arial" w:cs="Arial"/>
          <w:b/>
          <w:i/>
          <w:lang w:val="es-MX"/>
        </w:rPr>
      </w:pPr>
      <w:r w:rsidRPr="00EC63E1">
        <w:rPr>
          <w:rFonts w:ascii="Arial" w:hAnsi="Arial" w:cs="Arial"/>
          <w:b/>
          <w:i/>
          <w:lang w:val="es-MX"/>
        </w:rPr>
        <w:t>XIX.</w:t>
      </w:r>
      <w:r w:rsidRPr="00EC63E1">
        <w:rPr>
          <w:rFonts w:ascii="Arial" w:hAnsi="Arial" w:cs="Arial"/>
          <w:i/>
          <w:lang w:val="es-MX"/>
        </w:rPr>
        <w:t xml:space="preserve"> Producir ruido excesivo y realizar perifoneo en la vía pública sin la </w:t>
      </w:r>
      <w:r w:rsidRPr="00EC63E1">
        <w:rPr>
          <w:rFonts w:ascii="Arial" w:hAnsi="Arial" w:cs="Arial"/>
          <w:b/>
          <w:i/>
          <w:lang w:val="es-MX"/>
        </w:rPr>
        <w:t>autorización correspondiente.</w:t>
      </w:r>
    </w:p>
    <w:p w14:paraId="7567F7EC"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XX.</w:t>
      </w:r>
      <w:r w:rsidRPr="00EC63E1">
        <w:rPr>
          <w:rFonts w:ascii="Arial" w:hAnsi="Arial" w:cs="Arial"/>
          <w:i/>
          <w:lang w:val="es-MX"/>
        </w:rPr>
        <w:t xml:space="preserve"> Circular con las puertas abiertas y con ayudantes, cobradores o pasajeros en el estribo, y</w:t>
      </w:r>
    </w:p>
    <w:p w14:paraId="309F12A5"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XXI.</w:t>
      </w:r>
      <w:r w:rsidRPr="00EC63E1">
        <w:rPr>
          <w:rFonts w:ascii="Arial" w:hAnsi="Arial" w:cs="Arial"/>
          <w:i/>
          <w:lang w:val="es-MX"/>
        </w:rPr>
        <w:t xml:space="preserve"> Las demás que imponga el presente Reglamento y otras disposiciones legales.</w:t>
      </w:r>
    </w:p>
    <w:p w14:paraId="619B0BCC" w14:textId="77777777" w:rsidR="00E15BB1" w:rsidRPr="00EC63E1" w:rsidRDefault="00E15BB1" w:rsidP="00E15BB1">
      <w:pPr>
        <w:spacing w:after="0" w:line="360" w:lineRule="auto"/>
        <w:ind w:left="567" w:right="616"/>
        <w:jc w:val="both"/>
        <w:rPr>
          <w:rFonts w:ascii="Arial" w:hAnsi="Arial" w:cs="Arial"/>
          <w:i/>
          <w:lang w:val="es-MX"/>
        </w:rPr>
      </w:pPr>
    </w:p>
    <w:p w14:paraId="1420725F"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136.-</w:t>
      </w:r>
      <w:r w:rsidRPr="00EC63E1">
        <w:rPr>
          <w:rFonts w:ascii="Arial" w:hAnsi="Arial" w:cs="Arial"/>
          <w:i/>
          <w:lang w:val="es-MX"/>
        </w:rPr>
        <w:t xml:space="preserve"> Las sanciones que se impongan a los infractores, se hará atendiendo al presente Reglamento y demás disposiciones de la materia.</w:t>
      </w:r>
    </w:p>
    <w:p w14:paraId="3BD05126" w14:textId="77777777" w:rsidR="00E15BB1" w:rsidRPr="00EC63E1" w:rsidRDefault="00E15BB1" w:rsidP="00E15BB1">
      <w:pPr>
        <w:spacing w:after="0" w:line="360" w:lineRule="auto"/>
        <w:ind w:left="567" w:right="616"/>
        <w:jc w:val="both"/>
        <w:rPr>
          <w:rFonts w:ascii="Arial" w:hAnsi="Arial" w:cs="Arial"/>
          <w:i/>
          <w:lang w:val="es-MX"/>
        </w:rPr>
      </w:pPr>
    </w:p>
    <w:p w14:paraId="41C5DFD8"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137.-</w:t>
      </w:r>
      <w:r w:rsidRPr="00EC63E1">
        <w:rPr>
          <w:rFonts w:ascii="Arial" w:hAnsi="Arial" w:cs="Arial"/>
          <w:i/>
          <w:lang w:val="es-MX"/>
        </w:rPr>
        <w:t xml:space="preserve"> Los elementos de la Policía Vial están facultados en caso de una infracción a las disposiciones que dicta este Reglamento, </w:t>
      </w:r>
      <w:r w:rsidRPr="00EC63E1">
        <w:rPr>
          <w:rFonts w:ascii="Arial" w:hAnsi="Arial" w:cs="Arial"/>
          <w:i/>
          <w:lang w:val="es-MX"/>
        </w:rPr>
        <w:lastRenderedPageBreak/>
        <w:t>para recoger licencias, tarjetas de circulación, placas de circulación y vehículos, a fin de garantizar el pago de las sanciones administrativas correspondientes.</w:t>
      </w:r>
    </w:p>
    <w:p w14:paraId="5F292E6B" w14:textId="77777777" w:rsidR="00E15BB1" w:rsidRPr="00EC63E1" w:rsidRDefault="00E15BB1" w:rsidP="00E15BB1">
      <w:pPr>
        <w:spacing w:after="0" w:line="360" w:lineRule="auto"/>
        <w:ind w:left="567" w:right="616"/>
        <w:jc w:val="both"/>
        <w:rPr>
          <w:rFonts w:ascii="Arial" w:hAnsi="Arial" w:cs="Arial"/>
          <w:i/>
          <w:lang w:val="es-MX"/>
        </w:rPr>
      </w:pPr>
    </w:p>
    <w:p w14:paraId="49E6AD9D"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138.-</w:t>
      </w:r>
      <w:r w:rsidRPr="00EC63E1">
        <w:rPr>
          <w:rFonts w:ascii="Arial" w:hAnsi="Arial" w:cs="Arial"/>
          <w:i/>
          <w:lang w:val="es-MX"/>
        </w:rPr>
        <w:t xml:space="preserve"> El conductor que contravenga las disposiciones del presente Reglamento se hará acreedor al pago de la multa correspondiente.</w:t>
      </w:r>
    </w:p>
    <w:p w14:paraId="319F4BB5" w14:textId="77777777" w:rsidR="00E15BB1" w:rsidRPr="00EC63E1" w:rsidRDefault="00E15BB1" w:rsidP="00E15BB1">
      <w:pPr>
        <w:spacing w:after="0" w:line="360" w:lineRule="auto"/>
        <w:ind w:left="567" w:right="616"/>
        <w:jc w:val="both"/>
        <w:rPr>
          <w:rFonts w:ascii="Arial" w:hAnsi="Arial" w:cs="Arial"/>
          <w:b/>
          <w:i/>
          <w:lang w:val="es-MX"/>
        </w:rPr>
      </w:pPr>
    </w:p>
    <w:p w14:paraId="47283944"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139.-</w:t>
      </w:r>
      <w:r w:rsidRPr="00EC63E1">
        <w:rPr>
          <w:rFonts w:ascii="Arial" w:hAnsi="Arial" w:cs="Arial"/>
          <w:i/>
          <w:lang w:val="es-MX"/>
        </w:rPr>
        <w:t xml:space="preserve"> Cuando el infractor en uno o varios hechos viole varias disposiciones de este Reglamento, se le acumularán y aplicarán las sanciones correspondientes a cada una de ellas.</w:t>
      </w:r>
    </w:p>
    <w:p w14:paraId="6D29CFB9" w14:textId="77777777" w:rsidR="00E15BB1" w:rsidRPr="00EC63E1" w:rsidRDefault="00E15BB1" w:rsidP="00E15BB1">
      <w:pPr>
        <w:spacing w:after="0" w:line="360" w:lineRule="auto"/>
        <w:ind w:left="567" w:right="616"/>
        <w:jc w:val="both"/>
        <w:rPr>
          <w:rFonts w:ascii="Arial" w:hAnsi="Arial" w:cs="Arial"/>
          <w:i/>
          <w:lang w:val="es-MX"/>
        </w:rPr>
      </w:pPr>
    </w:p>
    <w:p w14:paraId="7812ED3B"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b/>
          <w:i/>
          <w:lang w:val="es-MX"/>
        </w:rPr>
        <w:t>ARTÍCULO 149.-</w:t>
      </w:r>
      <w:r w:rsidRPr="00EC63E1">
        <w:rPr>
          <w:rFonts w:ascii="Arial" w:hAnsi="Arial" w:cs="Arial"/>
          <w:i/>
          <w:lang w:val="es-MX"/>
        </w:rPr>
        <w:t xml:space="preserve"> Las multas por las infracciones al presente Reglamento quedarán sujetas a la Ley de Ingresos del Municipio de Oaxaca de Juárez para el ejercicio fiscal vigente y se correlacionaran con el presente Reglamento, en cuanto a las hipótesis normativas contempladas, aun variando el título, capítulo, artículo, fracción o inciso del presente ordenamiento.</w:t>
      </w:r>
    </w:p>
    <w:p w14:paraId="0923E88C" w14:textId="77777777" w:rsidR="00E15BB1" w:rsidRPr="00EC63E1" w:rsidRDefault="00E15BB1" w:rsidP="00E15BB1">
      <w:pPr>
        <w:spacing w:after="0" w:line="360" w:lineRule="auto"/>
        <w:ind w:left="567" w:right="616"/>
        <w:jc w:val="both"/>
        <w:rPr>
          <w:rFonts w:ascii="Arial" w:hAnsi="Arial" w:cs="Arial"/>
          <w:i/>
          <w:lang w:val="es-MX"/>
        </w:rPr>
      </w:pPr>
    </w:p>
    <w:p w14:paraId="419CFCEE" w14:textId="77777777" w:rsidR="00E15BB1" w:rsidRPr="00EC63E1" w:rsidRDefault="00E15BB1" w:rsidP="00E15BB1">
      <w:pPr>
        <w:spacing w:after="0" w:line="360" w:lineRule="auto"/>
        <w:ind w:left="567" w:right="616"/>
        <w:jc w:val="both"/>
        <w:rPr>
          <w:rFonts w:ascii="Arial" w:hAnsi="Arial" w:cs="Arial"/>
          <w:i/>
          <w:lang w:val="es-MX"/>
        </w:rPr>
      </w:pPr>
      <w:r w:rsidRPr="00EC63E1">
        <w:rPr>
          <w:rFonts w:ascii="Arial" w:hAnsi="Arial" w:cs="Arial"/>
          <w:i/>
          <w:lang w:val="es-MX"/>
        </w:rPr>
        <w:t>Por lo anterior se faculta a las autoridades contempladas en el artículo 7 del presente Reglamento a efectuar la correlación jurídica respectiva entre aquellas hipótesis contenidas en este ordenamiento y las sanciones o multas establecidas en la Ley de Ingresos del Municipio de Oaxaca de Juárez en vigor, al momento de determinar la infracción cometida.</w:t>
      </w:r>
    </w:p>
    <w:p w14:paraId="3EA00789" w14:textId="77777777" w:rsidR="00E15BB1" w:rsidRPr="00EC63E1" w:rsidRDefault="00E15BB1" w:rsidP="00E15BB1">
      <w:pPr>
        <w:spacing w:after="0" w:line="360" w:lineRule="auto"/>
        <w:ind w:left="567" w:right="616"/>
        <w:jc w:val="both"/>
        <w:rPr>
          <w:rFonts w:ascii="Arial" w:hAnsi="Arial" w:cs="Arial"/>
          <w:i/>
          <w:lang w:val="es-MX"/>
        </w:rPr>
      </w:pPr>
    </w:p>
    <w:p w14:paraId="1C4DDAC7" w14:textId="77777777" w:rsidR="00E15BB1" w:rsidRPr="00EC63E1" w:rsidRDefault="00E15BB1" w:rsidP="00E15BB1">
      <w:pPr>
        <w:spacing w:after="0" w:line="360" w:lineRule="auto"/>
        <w:ind w:left="567" w:right="616"/>
        <w:jc w:val="both"/>
        <w:rPr>
          <w:rFonts w:ascii="Arial" w:hAnsi="Arial" w:cs="Arial"/>
          <w:b/>
          <w:i/>
          <w:color w:val="000000"/>
          <w:u w:val="single"/>
          <w:lang w:val="es-MX"/>
        </w:rPr>
      </w:pPr>
      <w:r w:rsidRPr="00EC63E1">
        <w:rPr>
          <w:rFonts w:ascii="Arial" w:hAnsi="Arial" w:cs="Arial"/>
          <w:b/>
          <w:i/>
          <w:color w:val="000000"/>
          <w:u w:val="single"/>
          <w:lang w:val="es-MX"/>
        </w:rPr>
        <w:t>LEY DE INGRESOS DEL MUNICIPIO DE OAXACA DE JUÁREZ</w:t>
      </w:r>
    </w:p>
    <w:p w14:paraId="71CECD1F" w14:textId="77777777" w:rsidR="00E15BB1" w:rsidRPr="00EC63E1" w:rsidRDefault="00E15BB1" w:rsidP="00E15BB1">
      <w:pPr>
        <w:spacing w:after="0" w:line="360" w:lineRule="auto"/>
        <w:ind w:left="567" w:right="616"/>
        <w:jc w:val="both"/>
        <w:rPr>
          <w:rFonts w:ascii="Arial" w:hAnsi="Arial" w:cs="Arial"/>
          <w:b/>
          <w:i/>
          <w:color w:val="000000"/>
          <w:u w:val="single"/>
          <w:lang w:val="es-MX"/>
        </w:rPr>
      </w:pPr>
      <w:r w:rsidRPr="00EC63E1">
        <w:rPr>
          <w:rFonts w:ascii="Arial" w:hAnsi="Arial" w:cs="Arial"/>
          <w:b/>
          <w:i/>
          <w:color w:val="000000"/>
          <w:u w:val="single"/>
          <w:lang w:val="es-MX"/>
        </w:rPr>
        <w:t>EJERCICIO 2018</w:t>
      </w:r>
    </w:p>
    <w:p w14:paraId="25A00D62" w14:textId="77777777" w:rsidR="00E15BB1" w:rsidRPr="00EC63E1" w:rsidRDefault="00E15BB1" w:rsidP="00E15BB1">
      <w:pPr>
        <w:autoSpaceDE w:val="0"/>
        <w:autoSpaceDN w:val="0"/>
        <w:adjustRightInd w:val="0"/>
        <w:spacing w:after="0" w:line="360" w:lineRule="auto"/>
        <w:ind w:left="567" w:right="616"/>
        <w:jc w:val="both"/>
        <w:rPr>
          <w:rFonts w:ascii="Arial" w:hAnsi="Arial" w:cs="Arial"/>
          <w:b/>
          <w:i/>
          <w:color w:val="000000" w:themeColor="text1"/>
          <w:lang w:val="es-MX"/>
        </w:rPr>
      </w:pPr>
    </w:p>
    <w:p w14:paraId="082E2A78"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b/>
          <w:i/>
          <w:color w:val="000000" w:themeColor="text1"/>
          <w:lang w:val="es-MX"/>
        </w:rPr>
        <w:t>Artículo 1.</w:t>
      </w:r>
      <w:r w:rsidRPr="00EC63E1">
        <w:rPr>
          <w:rFonts w:ascii="Arial" w:hAnsi="Arial" w:cs="Arial"/>
          <w:i/>
          <w:color w:val="000000" w:themeColor="text1"/>
          <w:lang w:val="es-MX"/>
        </w:rPr>
        <w:t xml:space="preserve"> En el ·Ejercicio Fiscal comprendido del 1 de enero al 31 de diciembre del año 2016. El Municipio de Oaxaca de Juárez, Oaxaca, percibirá ingresos de gestión estimados por concepto de impuestos. Derechos, contribuciones de mejoras, productos </w:t>
      </w:r>
      <w:r w:rsidRPr="00EC63E1">
        <w:rPr>
          <w:rFonts w:ascii="Arial" w:hAnsi="Arial" w:cs="Arial"/>
          <w:i/>
          <w:iCs/>
          <w:color w:val="000000" w:themeColor="text1"/>
          <w:lang w:val="es-MX"/>
        </w:rPr>
        <w:t xml:space="preserve">y </w:t>
      </w:r>
      <w:r w:rsidRPr="00EC63E1">
        <w:rPr>
          <w:rFonts w:ascii="Arial" w:hAnsi="Arial" w:cs="Arial"/>
          <w:i/>
          <w:color w:val="000000" w:themeColor="text1"/>
          <w:lang w:val="es-MX"/>
        </w:rPr>
        <w:t>aprovechamientos: de conformidad con las tasas, cuotas o tarifas señaladas en la Ley de Hacienda Municipal del Estado de Oaxaca y los que se aprueben en la Ley de Ingresos del Municipio de Oaxaca de Juárez, Oaxaca.</w:t>
      </w:r>
    </w:p>
    <w:p w14:paraId="6E1FE41B"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i/>
          <w:color w:val="000000" w:themeColor="text1"/>
          <w:lang w:val="es-MX"/>
        </w:rPr>
        <w:t xml:space="preserve">Además de las Participaciones Federales, los Fondos de Aportaciones Federales de infraestructuras, Social Municipal y de Fortalecimiento Municipal, que resulten de la aplicación de las fórmulas, variables y porcentajes de conformidad con lo establecido en las Leyes de Coordinación Fiscal </w:t>
      </w:r>
      <w:r w:rsidRPr="00EC63E1">
        <w:rPr>
          <w:rFonts w:ascii="Arial" w:hAnsi="Arial" w:cs="Arial"/>
          <w:i/>
          <w:iCs/>
          <w:color w:val="000000" w:themeColor="text1"/>
          <w:lang w:val="es-MX"/>
        </w:rPr>
        <w:t xml:space="preserve">y </w:t>
      </w:r>
      <w:r w:rsidRPr="00EC63E1">
        <w:rPr>
          <w:rFonts w:ascii="Arial" w:hAnsi="Arial" w:cs="Arial"/>
          <w:i/>
          <w:color w:val="000000" w:themeColor="text1"/>
          <w:lang w:val="es-MX"/>
        </w:rPr>
        <w:t xml:space="preserve">Coordinación Fiscal para el Estado do Oaxaca. · </w:t>
      </w:r>
    </w:p>
    <w:p w14:paraId="587EC795"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12BB8F00"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i/>
          <w:color w:val="000000" w:themeColor="text1"/>
          <w:lang w:val="es-MX"/>
        </w:rPr>
        <w:t xml:space="preserve">Así como los montos que se reciban por la inscripción de Convenios, transferencias, Asignaciones, Subsidios y Otras Ayudas que se determinen en el Decreto de Presupuesto de Egresos de la Federación ylo del Estado. </w:t>
      </w:r>
    </w:p>
    <w:p w14:paraId="4069ADBE"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b/>
          <w:i/>
          <w:color w:val="000000" w:themeColor="text1"/>
          <w:lang w:val="es-MX"/>
        </w:rPr>
        <w:lastRenderedPageBreak/>
        <w:t>Artículo 2</w:t>
      </w:r>
      <w:r w:rsidRPr="00EC63E1">
        <w:rPr>
          <w:rFonts w:ascii="Arial" w:hAnsi="Arial" w:cs="Arial"/>
          <w:i/>
          <w:color w:val="000000" w:themeColor="text1"/>
          <w:lang w:val="es-MX"/>
        </w:rPr>
        <w:t xml:space="preserve">. Las disposiciones de la Ley de Ingresos del Municipio de Oaxaca de Juárez. Oaxaca, son de </w:t>
      </w:r>
      <w:r w:rsidRPr="00EC63E1">
        <w:rPr>
          <w:rFonts w:ascii="Arial" w:hAnsi="Arial" w:cs="Arial"/>
          <w:i/>
          <w:iCs/>
          <w:color w:val="000000" w:themeColor="text1"/>
          <w:lang w:val="es-MX"/>
        </w:rPr>
        <w:t xml:space="preserve">orden </w:t>
      </w:r>
      <w:r w:rsidRPr="00EC63E1">
        <w:rPr>
          <w:rFonts w:ascii="Arial" w:hAnsi="Arial" w:cs="Arial"/>
          <w:i/>
          <w:color w:val="000000" w:themeColor="text1"/>
          <w:lang w:val="es-MX"/>
        </w:rPr>
        <w:t xml:space="preserve">público e interés general y tienen por objeto regular la obtención: administración </w:t>
      </w:r>
      <w:r w:rsidRPr="00EC63E1">
        <w:rPr>
          <w:rFonts w:ascii="Arial" w:hAnsi="Arial" w:cs="Arial"/>
          <w:i/>
          <w:iCs/>
          <w:color w:val="000000" w:themeColor="text1"/>
          <w:lang w:val="es-MX"/>
        </w:rPr>
        <w:t xml:space="preserve">y </w:t>
      </w:r>
      <w:r w:rsidRPr="00EC63E1">
        <w:rPr>
          <w:rFonts w:ascii="Arial" w:hAnsi="Arial" w:cs="Arial"/>
          <w:i/>
          <w:color w:val="000000" w:themeColor="text1"/>
          <w:lang w:val="es-MX"/>
        </w:rPr>
        <w:t xml:space="preserve">aplicación  de los Ingresos de la Hacienda Pública del Municipio de Oaxaca de Juárez,  así como los </w:t>
      </w:r>
      <w:r w:rsidRPr="00EC63E1">
        <w:rPr>
          <w:rFonts w:ascii="Arial" w:hAnsi="Arial" w:cs="Arial"/>
          <w:bCs/>
          <w:i/>
          <w:color w:val="000000" w:themeColor="text1"/>
          <w:lang w:val="es-MX"/>
        </w:rPr>
        <w:t xml:space="preserve">procedimientos administrativos en el ejercicio de facultades de comprobación </w:t>
      </w:r>
      <w:r w:rsidRPr="00EC63E1">
        <w:rPr>
          <w:rFonts w:ascii="Arial" w:hAnsi="Arial" w:cs="Arial"/>
          <w:bCs/>
          <w:i/>
          <w:iCs/>
          <w:color w:val="000000" w:themeColor="text1"/>
          <w:lang w:val="es-MX"/>
        </w:rPr>
        <w:t xml:space="preserve">y/o </w:t>
      </w:r>
      <w:r w:rsidRPr="00EC63E1">
        <w:rPr>
          <w:rFonts w:ascii="Arial" w:hAnsi="Arial" w:cs="Arial"/>
          <w:i/>
          <w:color w:val="000000" w:themeColor="text1"/>
          <w:lang w:val="es-MX"/>
        </w:rPr>
        <w:t xml:space="preserve">fiscalización. </w:t>
      </w:r>
      <w:r w:rsidRPr="00EC63E1">
        <w:rPr>
          <w:rFonts w:ascii="Arial" w:hAnsi="Arial" w:cs="Arial"/>
          <w:bCs/>
          <w:i/>
          <w:color w:val="000000" w:themeColor="text1"/>
          <w:lang w:val="es-MX"/>
        </w:rPr>
        <w:t>Así</w:t>
      </w:r>
      <w:r w:rsidRPr="00EC63E1">
        <w:rPr>
          <w:rFonts w:ascii="Arial" w:hAnsi="Arial" w:cs="Arial"/>
          <w:b/>
          <w:bCs/>
          <w:i/>
          <w:color w:val="000000" w:themeColor="text1"/>
          <w:lang w:val="es-MX"/>
        </w:rPr>
        <w:t xml:space="preserve"> </w:t>
      </w:r>
      <w:r w:rsidRPr="00EC63E1">
        <w:rPr>
          <w:rFonts w:ascii="Arial" w:hAnsi="Arial" w:cs="Arial"/>
          <w:i/>
          <w:color w:val="000000" w:themeColor="text1"/>
          <w:lang w:val="es-MX"/>
        </w:rPr>
        <w:t xml:space="preserve">como de los derivados de la imposición de sanciones por violaciones a disposiciones administrativas y fiscales.  </w:t>
      </w:r>
    </w:p>
    <w:p w14:paraId="313B3B73"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4864740F"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i/>
          <w:color w:val="000000" w:themeColor="text1"/>
          <w:lang w:val="es-MX"/>
        </w:rPr>
        <w:t xml:space="preserve">Los servidores públicos municipales obligados a cumplir i3S disposiciones de la Ley de Ingresos del </w:t>
      </w:r>
      <w:r w:rsidRPr="00EC63E1">
        <w:rPr>
          <w:rFonts w:ascii="Arial" w:hAnsi="Arial" w:cs="Arial"/>
          <w:bCs/>
          <w:i/>
          <w:color w:val="000000" w:themeColor="text1"/>
          <w:lang w:val="es-MX"/>
        </w:rPr>
        <w:t xml:space="preserve">Municipio de </w:t>
      </w:r>
      <w:r w:rsidRPr="00EC63E1">
        <w:rPr>
          <w:rFonts w:ascii="Arial" w:hAnsi="Arial" w:cs="Arial"/>
          <w:i/>
          <w:color w:val="000000" w:themeColor="text1"/>
          <w:lang w:val="es-MX"/>
        </w:rPr>
        <w:t xml:space="preserve">Oaxaca </w:t>
      </w:r>
      <w:r w:rsidRPr="00EC63E1">
        <w:rPr>
          <w:rFonts w:ascii="Arial" w:hAnsi="Arial" w:cs="Arial"/>
          <w:bCs/>
          <w:i/>
          <w:color w:val="000000" w:themeColor="text1"/>
          <w:lang w:val="es-MX"/>
        </w:rPr>
        <w:t xml:space="preserve">de Juárez. </w:t>
      </w:r>
      <w:r w:rsidRPr="00EC63E1">
        <w:rPr>
          <w:rFonts w:ascii="Arial" w:hAnsi="Arial" w:cs="Arial"/>
          <w:i/>
          <w:color w:val="000000" w:themeColor="text1"/>
          <w:lang w:val="es-MX"/>
        </w:rPr>
        <w:t xml:space="preserve">Oaxaca, </w:t>
      </w:r>
      <w:r w:rsidRPr="00EC63E1">
        <w:rPr>
          <w:rFonts w:ascii="Arial" w:hAnsi="Arial" w:cs="Arial"/>
          <w:bCs/>
          <w:i/>
          <w:color w:val="000000" w:themeColor="text1"/>
          <w:lang w:val="es-MX"/>
        </w:rPr>
        <w:t xml:space="preserve">deberán observar que la administración de los recursos </w:t>
      </w:r>
      <w:r w:rsidRPr="00EC63E1">
        <w:rPr>
          <w:rFonts w:ascii="Arial" w:hAnsi="Arial" w:cs="Arial"/>
          <w:i/>
          <w:color w:val="000000" w:themeColor="text1"/>
          <w:lang w:val="es-MX"/>
        </w:rPr>
        <w:t xml:space="preserve">públicos federales, estatales o municipales, se realice  con base a criterios de legalidad, honestidad, </w:t>
      </w:r>
      <w:r w:rsidRPr="00EC63E1">
        <w:rPr>
          <w:rFonts w:ascii="Arial" w:hAnsi="Arial" w:cs="Arial"/>
          <w:bCs/>
          <w:i/>
          <w:color w:val="000000" w:themeColor="text1"/>
          <w:lang w:val="es-MX"/>
        </w:rPr>
        <w:t xml:space="preserve">imparcialidad, eficiencia, </w:t>
      </w:r>
      <w:r w:rsidRPr="00EC63E1">
        <w:rPr>
          <w:rFonts w:ascii="Arial" w:hAnsi="Arial" w:cs="Arial"/>
          <w:i/>
          <w:color w:val="000000" w:themeColor="text1"/>
          <w:lang w:val="es-MX"/>
        </w:rPr>
        <w:t>economía, ra</w:t>
      </w:r>
      <w:r w:rsidRPr="00EC63E1">
        <w:rPr>
          <w:rFonts w:ascii="Arial" w:hAnsi="Arial" w:cs="Arial"/>
          <w:bCs/>
          <w:i/>
          <w:color w:val="000000" w:themeColor="text1"/>
          <w:lang w:val="es-MX"/>
        </w:rPr>
        <w:t xml:space="preserve">cionalidad, austeridad, transparencia, control, rendición de </w:t>
      </w:r>
      <w:r w:rsidRPr="00EC63E1">
        <w:rPr>
          <w:rFonts w:ascii="Arial" w:hAnsi="Arial" w:cs="Arial"/>
          <w:i/>
          <w:color w:val="000000" w:themeColor="text1"/>
          <w:lang w:val="es-MX"/>
        </w:rPr>
        <w:t>cuentas, equidad y proporcionalidad.</w:t>
      </w:r>
    </w:p>
    <w:p w14:paraId="50C52FA7" w14:textId="77777777" w:rsidR="00E15BB1" w:rsidRPr="00EC63E1" w:rsidRDefault="00E15BB1" w:rsidP="00E15BB1">
      <w:pPr>
        <w:autoSpaceDE w:val="0"/>
        <w:autoSpaceDN w:val="0"/>
        <w:adjustRightInd w:val="0"/>
        <w:spacing w:after="0" w:line="360" w:lineRule="auto"/>
        <w:ind w:left="567" w:right="616"/>
        <w:jc w:val="both"/>
        <w:rPr>
          <w:rFonts w:ascii="Arial" w:hAnsi="Arial" w:cs="Arial"/>
          <w:b/>
          <w:i/>
          <w:color w:val="000000" w:themeColor="text1"/>
          <w:lang w:val="es-MX"/>
        </w:rPr>
      </w:pPr>
    </w:p>
    <w:p w14:paraId="37C1E918"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b/>
          <w:i/>
          <w:color w:val="000000" w:themeColor="text1"/>
          <w:lang w:val="es-MX"/>
        </w:rPr>
        <w:t>Artículo 195</w:t>
      </w:r>
      <w:r w:rsidRPr="00EC63E1">
        <w:rPr>
          <w:rFonts w:ascii="Arial" w:hAnsi="Arial" w:cs="Arial"/>
          <w:i/>
          <w:color w:val="000000" w:themeColor="text1"/>
          <w:lang w:val="es-MX"/>
        </w:rPr>
        <w:t xml:space="preserve">. La determinación de las sanciones establecidas en el presente apartado para el cobro de infracciones de Vialidad del Municipio, se realizarán en los términos de la Ley de Ingresos aplicando supletoriamente en lo que no se oponga a la misma, el Reglamento de Vialidad. Para o cual los policías viales quedan facultados para imponer las infracciones que se establecen en el presente apartado. · </w:t>
      </w:r>
    </w:p>
    <w:p w14:paraId="251805E0"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25A63925"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i/>
          <w:color w:val="000000" w:themeColor="text1"/>
          <w:lang w:val="es-MX"/>
        </w:rPr>
        <w:t xml:space="preserve">Para el caso específico de las sanciones establecidas por infracciones al Reglamento de Vialidad, se establece lo siguiente: </w:t>
      </w:r>
    </w:p>
    <w:p w14:paraId="74EB00F4"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7690798A"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i/>
          <w:color w:val="000000" w:themeColor="text1"/>
          <w:lang w:val="es-MX"/>
        </w:rPr>
        <w:t xml:space="preserve">En términos de os articulas 20 </w:t>
      </w:r>
      <w:r w:rsidRPr="00EC63E1">
        <w:rPr>
          <w:rFonts w:ascii="Arial" w:hAnsi="Arial" w:cs="Arial"/>
          <w:i/>
          <w:iCs/>
          <w:color w:val="000000" w:themeColor="text1"/>
          <w:lang w:val="es-MX"/>
        </w:rPr>
        <w:t xml:space="preserve">y </w:t>
      </w:r>
      <w:r w:rsidRPr="00EC63E1">
        <w:rPr>
          <w:rFonts w:ascii="Arial" w:hAnsi="Arial" w:cs="Arial"/>
          <w:i/>
          <w:color w:val="000000" w:themeColor="text1"/>
          <w:lang w:val="es-MX"/>
        </w:rPr>
        <w:t xml:space="preserve">21 de la Ley de Ingresos, una vez que el policía vial haya elaborado el acta de inflación por fa tas al Reglamento de la materia en vigor, las Autoridades Fiscales procederán con base en la misma, </w:t>
      </w:r>
      <w:r w:rsidRPr="00EC63E1">
        <w:rPr>
          <w:rFonts w:ascii="Arial" w:hAnsi="Arial" w:cs="Arial"/>
          <w:i/>
          <w:iCs/>
          <w:color w:val="000000" w:themeColor="text1"/>
          <w:lang w:val="es-MX"/>
        </w:rPr>
        <w:t xml:space="preserve">y </w:t>
      </w:r>
      <w:r w:rsidRPr="00EC63E1">
        <w:rPr>
          <w:rFonts w:ascii="Arial" w:hAnsi="Arial" w:cs="Arial"/>
          <w:i/>
          <w:color w:val="000000" w:themeColor="text1"/>
          <w:lang w:val="es-MX"/>
        </w:rPr>
        <w:t xml:space="preserve">al historial de infracciones que tenga registrado el infractor, a determinar el monto de la sanción correspondiente que deberá enterar el infractor o responsable, conforme a la fracción X del presente artículo. La Autoridad Fiscal procederá en su caso a notificarla de conformidad con el artículo 23 de la Ley de Ingresos. </w:t>
      </w:r>
    </w:p>
    <w:p w14:paraId="1F93885D"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79E31A8B"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i/>
          <w:color w:val="000000" w:themeColor="text1"/>
          <w:lang w:val="es-MX"/>
        </w:rPr>
        <w:t xml:space="preserve">Tratándose del pago de los conceptos establecidos en el artículo 173 fracción I en los depósitos o encierros municipales las Autoridades de la Comisaria de Vialidad, e elaborarán la orden de pago correspondiente debidamente fundada </w:t>
      </w:r>
      <w:r w:rsidRPr="00EC63E1">
        <w:rPr>
          <w:rFonts w:ascii="Arial" w:hAnsi="Arial" w:cs="Arial"/>
          <w:i/>
          <w:iCs/>
          <w:color w:val="000000" w:themeColor="text1"/>
          <w:lang w:val="es-MX"/>
        </w:rPr>
        <w:t xml:space="preserve">y </w:t>
      </w:r>
      <w:r w:rsidRPr="00EC63E1">
        <w:rPr>
          <w:rFonts w:ascii="Arial" w:hAnsi="Arial" w:cs="Arial"/>
          <w:i/>
          <w:color w:val="000000" w:themeColor="text1"/>
          <w:lang w:val="es-MX"/>
        </w:rPr>
        <w:t xml:space="preserve">motivada, bastando para ello la anotación clara de los días transcurridos </w:t>
      </w:r>
      <w:r w:rsidRPr="00EC63E1">
        <w:rPr>
          <w:rFonts w:ascii="Arial" w:hAnsi="Arial" w:cs="Arial"/>
          <w:i/>
          <w:iCs/>
          <w:color w:val="000000" w:themeColor="text1"/>
          <w:lang w:val="es-MX"/>
        </w:rPr>
        <w:t xml:space="preserve">y </w:t>
      </w:r>
      <w:r w:rsidRPr="00EC63E1">
        <w:rPr>
          <w:rFonts w:ascii="Arial" w:hAnsi="Arial" w:cs="Arial"/>
          <w:i/>
          <w:color w:val="000000" w:themeColor="text1"/>
          <w:lang w:val="es-MX"/>
        </w:rPr>
        <w:t>el monto total que hasta el día de su elaboración haya generado el vehículo del que se pretenda su entrega, conforme al artículo 173 de la Ley de Ingresos:</w:t>
      </w:r>
    </w:p>
    <w:p w14:paraId="187E40A2"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3E823D53"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i/>
          <w:color w:val="000000" w:themeColor="text1"/>
          <w:lang w:val="es-MX"/>
        </w:rPr>
        <w:t xml:space="preserve"> </w:t>
      </w:r>
      <w:r w:rsidRPr="00EC63E1">
        <w:rPr>
          <w:rFonts w:ascii="Arial" w:hAnsi="Arial" w:cs="Arial"/>
          <w:b/>
          <w:i/>
          <w:color w:val="000000" w:themeColor="text1"/>
          <w:lang w:val="es-MX"/>
        </w:rPr>
        <w:t>V.</w:t>
      </w:r>
      <w:r w:rsidRPr="00EC63E1">
        <w:rPr>
          <w:rFonts w:ascii="Arial" w:hAnsi="Arial" w:cs="Arial"/>
          <w:i/>
          <w:color w:val="000000" w:themeColor="text1"/>
          <w:lang w:val="es-MX"/>
        </w:rPr>
        <w:t xml:space="preserve"> Es obligación de los policías viales, integrantes de la Comisaria de Vialidad sin excepción alguna, retenerla licencia de conducir, tarjeta o placas de circulación del vehículo, con el objeto de garantizar el pago da </w:t>
      </w:r>
      <w:r w:rsidRPr="00EC63E1">
        <w:rPr>
          <w:rFonts w:ascii="Arial" w:hAnsi="Arial" w:cs="Arial"/>
          <w:i/>
          <w:color w:val="000000" w:themeColor="text1"/>
          <w:lang w:val="es-MX"/>
        </w:rPr>
        <w:lastRenderedPageBreak/>
        <w:t>las infracciones aplicadas. Dichas garantías se deberán remitir debidamente relacionadas con el fin de garantizar el interés fiscal. (…)</w:t>
      </w:r>
    </w:p>
    <w:p w14:paraId="25777504" w14:textId="77777777" w:rsidR="00E15BB1" w:rsidRPr="00EC63E1" w:rsidRDefault="00E15BB1" w:rsidP="00E15BB1">
      <w:pPr>
        <w:autoSpaceDE w:val="0"/>
        <w:autoSpaceDN w:val="0"/>
        <w:adjustRightInd w:val="0"/>
        <w:spacing w:after="0" w:line="360" w:lineRule="auto"/>
        <w:ind w:left="567" w:right="616"/>
        <w:jc w:val="both"/>
        <w:rPr>
          <w:rFonts w:ascii="Arial" w:hAnsi="Arial" w:cs="Arial"/>
          <w:b/>
          <w:i/>
          <w:color w:val="000000" w:themeColor="text1"/>
          <w:lang w:val="es-MX"/>
        </w:rPr>
      </w:pPr>
    </w:p>
    <w:p w14:paraId="72D0E873"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b/>
          <w:i/>
          <w:color w:val="000000" w:themeColor="text1"/>
          <w:lang w:val="es-MX"/>
        </w:rPr>
        <w:t>VII.</w:t>
      </w:r>
      <w:r w:rsidRPr="00EC63E1">
        <w:rPr>
          <w:rFonts w:ascii="Arial" w:hAnsi="Arial" w:cs="Arial"/>
          <w:i/>
          <w:color w:val="000000" w:themeColor="text1"/>
          <w:lang w:val="es-MX"/>
        </w:rPr>
        <w:t xml:space="preserve"> Para el caso en que la Autoridad Fiscal haya determinado el crédito fiscal a consecuencia de un acta de infracción que a juicio del Comisionado Vialidad, deba ser recalificada, deberá hacer llegar a la Unidad de Recaudación Municipal, resolución fundada y motivada y la documentación comprobatoria necesaria mediante la cual exprese la causa por la que solicita la baja del sistema de Información correspondiente, procediendo esta dependencia acordar su solicitud. Las infracciones establecidas en la fracción X del presente artículo tendrán un· mínimo y un máximo para su aplicación, el cual se establecerá de acuerdo al grado de reincidencia en la comisión de infracciones de Vialidad en el lapso de un año, contados a partir de la primera violación. </w:t>
      </w:r>
    </w:p>
    <w:p w14:paraId="5372875A"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6BBF6009"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i/>
          <w:color w:val="000000" w:themeColor="text1"/>
          <w:lang w:val="es-MX"/>
        </w:rPr>
        <w:t xml:space="preserve">La sanción mínima se aplicará para la primera vez que se cometa la infracción; para la reincidencia deberá aplicarse el monto mínimo de la sanción sin derecho a descuento por pago oportuno; a partir de la segunda reincidencia se incrementará un cincuenta por ciento sobre el monto mínimo establecido, sin derecho a descuento por pronto pago; para la tercera reincidencia y adicionales se cobrará el monto máximo de la infracción incrementado en un cincuenta por ciento, sin derecho a descuento por pago oportuno. </w:t>
      </w:r>
    </w:p>
    <w:p w14:paraId="27D41908"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0ED100C8"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i/>
          <w:color w:val="000000" w:themeColor="text1"/>
          <w:lang w:val="es-MX"/>
        </w:rPr>
        <w:t xml:space="preserve">Para el Ejercicio Fiscal 2018, las infracciones al Reglamento de Vialidad, y las que se establezcan en la Ley de Ingresos, se sancionarán conforme a lo dispuesto en la presente fracción: </w:t>
      </w:r>
    </w:p>
    <w:p w14:paraId="0317A6F7" w14:textId="77777777" w:rsidR="00E15BB1" w:rsidRPr="00EC63E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3D6D0EF3" w14:textId="4DFEF421" w:rsidR="00E15BB1" w:rsidRDefault="00E15BB1" w:rsidP="00E15BB1">
      <w:pPr>
        <w:autoSpaceDE w:val="0"/>
        <w:autoSpaceDN w:val="0"/>
        <w:adjustRightInd w:val="0"/>
        <w:spacing w:after="0" w:line="360" w:lineRule="auto"/>
        <w:ind w:left="567" w:right="616"/>
        <w:jc w:val="both"/>
        <w:rPr>
          <w:rFonts w:ascii="Arial" w:hAnsi="Arial" w:cs="Arial"/>
          <w:i/>
          <w:color w:val="000000" w:themeColor="text1"/>
          <w:lang w:val="es-MX"/>
        </w:rPr>
      </w:pPr>
      <w:r w:rsidRPr="00EC63E1">
        <w:rPr>
          <w:rFonts w:ascii="Arial" w:hAnsi="Arial" w:cs="Arial"/>
          <w:b/>
          <w:i/>
          <w:color w:val="000000" w:themeColor="text1"/>
          <w:lang w:val="es-MX"/>
        </w:rPr>
        <w:t>XI.</w:t>
      </w:r>
      <w:r w:rsidRPr="00EC63E1">
        <w:rPr>
          <w:rFonts w:ascii="Arial" w:hAnsi="Arial" w:cs="Arial"/>
          <w:i/>
          <w:color w:val="000000" w:themeColor="text1"/>
          <w:lang w:val="es-MX"/>
        </w:rPr>
        <w:t xml:space="preserve"> Tratándose de las sanciones por conducir en primero, segundo o tercer grado de ebriedad contenidos en los códigos V068, MT61 y M036, los Jueces Calificadores podrán imponer al conductor las siguientes sanciones dado el caso de la hipótesis normativa, en caso de que el vehículo que conduce el infractor sea del servicio de transporte público se le impondrá el máximo de la multa de acuerdo al grado de ebriedad en que se encuentre.” </w:t>
      </w:r>
    </w:p>
    <w:p w14:paraId="48E8851B" w14:textId="77777777" w:rsidR="00CD78E1" w:rsidRPr="00EC63E1" w:rsidRDefault="00CD78E1" w:rsidP="00E15BB1">
      <w:pPr>
        <w:autoSpaceDE w:val="0"/>
        <w:autoSpaceDN w:val="0"/>
        <w:adjustRightInd w:val="0"/>
        <w:spacing w:after="0" w:line="360" w:lineRule="auto"/>
        <w:ind w:left="567" w:right="616"/>
        <w:jc w:val="both"/>
        <w:rPr>
          <w:rFonts w:ascii="Arial" w:hAnsi="Arial" w:cs="Arial"/>
          <w:i/>
          <w:color w:val="000000" w:themeColor="text1"/>
          <w:lang w:val="es-MX"/>
        </w:rPr>
      </w:pPr>
    </w:p>
    <w:p w14:paraId="1BE3431E" w14:textId="77777777" w:rsidR="00E15BB1" w:rsidRDefault="00E15BB1" w:rsidP="00E15BB1">
      <w:pPr>
        <w:spacing w:after="0" w:line="360" w:lineRule="auto"/>
        <w:ind w:firstLine="567"/>
        <w:jc w:val="both"/>
        <w:rPr>
          <w:rFonts w:ascii="Arial" w:hAnsi="Arial" w:cs="Arial"/>
          <w:bCs/>
          <w:sz w:val="26"/>
          <w:szCs w:val="26"/>
        </w:rPr>
      </w:pPr>
      <w:r>
        <w:rPr>
          <w:rFonts w:ascii="Arial" w:hAnsi="Arial" w:cs="Arial"/>
          <w:sz w:val="26"/>
          <w:szCs w:val="26"/>
          <w:lang w:val="es-MX"/>
        </w:rPr>
        <w:t>D</w:t>
      </w:r>
      <w:r>
        <w:rPr>
          <w:rFonts w:ascii="Arial" w:hAnsi="Arial" w:cs="Arial"/>
          <w:sz w:val="26"/>
          <w:szCs w:val="26"/>
        </w:rPr>
        <w:t xml:space="preserve">el texto de los preceptos legales citados en el acta de infracción número 10328, </w:t>
      </w:r>
      <w:r w:rsidRPr="00C90C59">
        <w:rPr>
          <w:rFonts w:ascii="Arial" w:hAnsi="Arial" w:cs="Arial"/>
          <w:bCs/>
          <w:sz w:val="26"/>
          <w:szCs w:val="26"/>
        </w:rPr>
        <w:t xml:space="preserve">se </w:t>
      </w:r>
      <w:r>
        <w:rPr>
          <w:rFonts w:ascii="Arial" w:hAnsi="Arial" w:cs="Arial"/>
          <w:bCs/>
          <w:sz w:val="26"/>
          <w:szCs w:val="26"/>
        </w:rPr>
        <w:t xml:space="preserve">identifica </w:t>
      </w:r>
      <w:r w:rsidRPr="00C90C59">
        <w:rPr>
          <w:rFonts w:ascii="Arial" w:hAnsi="Arial" w:cs="Arial"/>
          <w:bCs/>
          <w:sz w:val="26"/>
          <w:szCs w:val="26"/>
        </w:rPr>
        <w:t xml:space="preserve">que en ninguno se determina el ámbito territorial donde </w:t>
      </w:r>
      <w:r>
        <w:rPr>
          <w:rFonts w:ascii="Arial" w:hAnsi="Arial" w:cs="Arial"/>
          <w:bCs/>
          <w:sz w:val="26"/>
          <w:szCs w:val="26"/>
        </w:rPr>
        <w:t>el policía vial puede</w:t>
      </w:r>
      <w:r w:rsidRPr="00C90C59">
        <w:rPr>
          <w:rFonts w:ascii="Arial" w:hAnsi="Arial" w:cs="Arial"/>
          <w:bCs/>
          <w:sz w:val="26"/>
          <w:szCs w:val="26"/>
        </w:rPr>
        <w:t xml:space="preserve"> ejercer </w:t>
      </w:r>
      <w:r>
        <w:rPr>
          <w:rFonts w:ascii="Arial" w:hAnsi="Arial" w:cs="Arial"/>
          <w:bCs/>
          <w:sz w:val="26"/>
          <w:szCs w:val="26"/>
        </w:rPr>
        <w:t>válidamente sus atribuciones</w:t>
      </w:r>
      <w:r w:rsidRPr="00C90C59">
        <w:rPr>
          <w:rFonts w:ascii="Arial" w:hAnsi="Arial" w:cs="Arial"/>
          <w:bCs/>
          <w:sz w:val="26"/>
          <w:szCs w:val="26"/>
        </w:rPr>
        <w:t>, por lo que</w:t>
      </w:r>
      <w:r>
        <w:rPr>
          <w:rFonts w:ascii="Arial" w:hAnsi="Arial" w:cs="Arial"/>
          <w:bCs/>
          <w:sz w:val="26"/>
          <w:szCs w:val="26"/>
        </w:rPr>
        <w:t>, efectivamente, la autoridad demandada</w:t>
      </w:r>
      <w:r w:rsidRPr="00C90C59">
        <w:rPr>
          <w:rFonts w:ascii="Arial" w:hAnsi="Arial" w:cs="Arial"/>
          <w:bCs/>
          <w:sz w:val="26"/>
          <w:szCs w:val="26"/>
        </w:rPr>
        <w:t xml:space="preserve"> </w:t>
      </w:r>
      <w:r>
        <w:rPr>
          <w:rFonts w:ascii="Arial" w:hAnsi="Arial" w:cs="Arial"/>
          <w:bCs/>
          <w:sz w:val="26"/>
          <w:szCs w:val="26"/>
        </w:rPr>
        <w:t>contravino la garantía de legalidad</w:t>
      </w:r>
      <w:r w:rsidRPr="00C90C59">
        <w:rPr>
          <w:rFonts w:ascii="Arial" w:hAnsi="Arial" w:cs="Arial"/>
          <w:bCs/>
          <w:sz w:val="26"/>
          <w:szCs w:val="26"/>
        </w:rPr>
        <w:t xml:space="preserve"> prevista en el artículo 16</w:t>
      </w:r>
      <w:r>
        <w:rPr>
          <w:rFonts w:ascii="Arial" w:hAnsi="Arial" w:cs="Arial"/>
          <w:bCs/>
          <w:sz w:val="26"/>
          <w:szCs w:val="26"/>
        </w:rPr>
        <w:t xml:space="preserve"> párrafo primero</w:t>
      </w:r>
      <w:r w:rsidRPr="00C90C59">
        <w:rPr>
          <w:rFonts w:ascii="Arial" w:hAnsi="Arial" w:cs="Arial"/>
          <w:bCs/>
          <w:sz w:val="26"/>
          <w:szCs w:val="26"/>
        </w:rPr>
        <w:t xml:space="preserve"> Constitucional, </w:t>
      </w:r>
      <w:r>
        <w:rPr>
          <w:rFonts w:ascii="Arial" w:hAnsi="Arial" w:cs="Arial"/>
          <w:bCs/>
          <w:sz w:val="26"/>
          <w:szCs w:val="26"/>
        </w:rPr>
        <w:t xml:space="preserve">que establece </w:t>
      </w:r>
      <w:r w:rsidRPr="00C90C59">
        <w:rPr>
          <w:rFonts w:ascii="Arial" w:hAnsi="Arial" w:cs="Arial"/>
          <w:bCs/>
          <w:sz w:val="26"/>
          <w:szCs w:val="26"/>
        </w:rPr>
        <w:t>que todo acto de autoridad debe estar debidamente fundado y motivado</w:t>
      </w:r>
      <w:r>
        <w:rPr>
          <w:rFonts w:ascii="Arial" w:hAnsi="Arial" w:cs="Arial"/>
          <w:bCs/>
          <w:sz w:val="26"/>
          <w:szCs w:val="26"/>
        </w:rPr>
        <w:t>;</w:t>
      </w:r>
      <w:r w:rsidRPr="00C90C59">
        <w:rPr>
          <w:rFonts w:ascii="Arial" w:hAnsi="Arial" w:cs="Arial"/>
          <w:bCs/>
          <w:sz w:val="26"/>
          <w:szCs w:val="26"/>
        </w:rPr>
        <w:t xml:space="preserve"> por consiguiente, el </w:t>
      </w:r>
      <w:r>
        <w:rPr>
          <w:rFonts w:ascii="Arial" w:hAnsi="Arial" w:cs="Arial"/>
          <w:bCs/>
          <w:sz w:val="26"/>
          <w:szCs w:val="26"/>
        </w:rPr>
        <w:t xml:space="preserve">hecho de </w:t>
      </w:r>
      <w:r w:rsidRPr="00C90C59">
        <w:rPr>
          <w:rFonts w:ascii="Arial" w:hAnsi="Arial" w:cs="Arial"/>
          <w:bCs/>
          <w:sz w:val="26"/>
          <w:szCs w:val="26"/>
        </w:rPr>
        <w:t xml:space="preserve">que un acto emitido por una autoridad en el ejercicio de sus atribuciones, </w:t>
      </w:r>
      <w:r w:rsidRPr="00C90C59">
        <w:rPr>
          <w:rFonts w:ascii="Arial" w:hAnsi="Arial" w:cs="Arial"/>
          <w:bCs/>
          <w:sz w:val="26"/>
          <w:szCs w:val="26"/>
        </w:rPr>
        <w:lastRenderedPageBreak/>
        <w:t xml:space="preserve">no contemple </w:t>
      </w:r>
      <w:r>
        <w:rPr>
          <w:rFonts w:ascii="Arial" w:hAnsi="Arial" w:cs="Arial"/>
          <w:bCs/>
          <w:sz w:val="26"/>
          <w:szCs w:val="26"/>
        </w:rPr>
        <w:t>el ámbito territorial donde la legislación</w:t>
      </w:r>
      <w:r w:rsidRPr="00C90C59">
        <w:rPr>
          <w:rFonts w:ascii="Arial" w:hAnsi="Arial" w:cs="Arial"/>
          <w:bCs/>
          <w:sz w:val="26"/>
          <w:szCs w:val="26"/>
        </w:rPr>
        <w:t xml:space="preserve"> le permite ejercer su</w:t>
      </w:r>
      <w:r>
        <w:rPr>
          <w:rFonts w:ascii="Arial" w:hAnsi="Arial" w:cs="Arial"/>
          <w:bCs/>
          <w:sz w:val="26"/>
          <w:szCs w:val="26"/>
        </w:rPr>
        <w:t>s</w:t>
      </w:r>
      <w:r w:rsidRPr="00C90C59">
        <w:rPr>
          <w:rFonts w:ascii="Arial" w:hAnsi="Arial" w:cs="Arial"/>
          <w:bCs/>
          <w:sz w:val="26"/>
          <w:szCs w:val="26"/>
        </w:rPr>
        <w:t xml:space="preserve"> </w:t>
      </w:r>
      <w:r>
        <w:rPr>
          <w:rFonts w:ascii="Arial" w:hAnsi="Arial" w:cs="Arial"/>
          <w:bCs/>
          <w:sz w:val="26"/>
          <w:szCs w:val="26"/>
        </w:rPr>
        <w:t>atribuciones, implica</w:t>
      </w:r>
      <w:r w:rsidRPr="00C90C59">
        <w:rPr>
          <w:rFonts w:ascii="Arial" w:hAnsi="Arial" w:cs="Arial"/>
          <w:bCs/>
          <w:sz w:val="26"/>
          <w:szCs w:val="26"/>
        </w:rPr>
        <w:t xml:space="preserve"> una </w:t>
      </w:r>
      <w:r>
        <w:rPr>
          <w:rFonts w:ascii="Arial" w:hAnsi="Arial" w:cs="Arial"/>
          <w:bCs/>
          <w:sz w:val="26"/>
          <w:szCs w:val="26"/>
        </w:rPr>
        <w:t>contravención a la mencionada</w:t>
      </w:r>
      <w:r w:rsidRPr="00C90C59">
        <w:rPr>
          <w:rFonts w:ascii="Arial" w:hAnsi="Arial" w:cs="Arial"/>
          <w:bCs/>
          <w:sz w:val="26"/>
          <w:szCs w:val="26"/>
        </w:rPr>
        <w:t xml:space="preserve"> garantía const</w:t>
      </w:r>
      <w:r>
        <w:rPr>
          <w:rFonts w:ascii="Arial" w:hAnsi="Arial" w:cs="Arial"/>
          <w:bCs/>
          <w:sz w:val="26"/>
          <w:szCs w:val="26"/>
        </w:rPr>
        <w:t>itucional, pues es un requisito indispensable precisar</w:t>
      </w:r>
      <w:r w:rsidRPr="00C90C59">
        <w:rPr>
          <w:rFonts w:ascii="Arial" w:hAnsi="Arial" w:cs="Arial"/>
          <w:bCs/>
          <w:sz w:val="26"/>
          <w:szCs w:val="26"/>
        </w:rPr>
        <w:t xml:space="preserve"> la competencia donde una autoridad va a ejercer sus atribuciones, para que el acto sea considerado </w:t>
      </w:r>
      <w:r>
        <w:rPr>
          <w:rFonts w:ascii="Arial" w:hAnsi="Arial" w:cs="Arial"/>
          <w:bCs/>
          <w:sz w:val="26"/>
          <w:szCs w:val="26"/>
        </w:rPr>
        <w:t>legal</w:t>
      </w:r>
      <w:r w:rsidRPr="00C90C59">
        <w:rPr>
          <w:rFonts w:ascii="Arial" w:hAnsi="Arial" w:cs="Arial"/>
          <w:bCs/>
          <w:sz w:val="26"/>
          <w:szCs w:val="26"/>
        </w:rPr>
        <w:t xml:space="preserve">, </w:t>
      </w:r>
      <w:r>
        <w:rPr>
          <w:rFonts w:ascii="Arial" w:hAnsi="Arial" w:cs="Arial"/>
          <w:bCs/>
          <w:sz w:val="26"/>
          <w:szCs w:val="26"/>
        </w:rPr>
        <w:t>lo que no aconteció en el caso en que se estudia</w:t>
      </w:r>
      <w:r w:rsidRPr="00C90C59">
        <w:rPr>
          <w:rFonts w:ascii="Arial" w:hAnsi="Arial" w:cs="Arial"/>
          <w:bCs/>
          <w:sz w:val="26"/>
          <w:szCs w:val="26"/>
        </w:rPr>
        <w:t>.</w:t>
      </w:r>
      <w:r>
        <w:rPr>
          <w:rFonts w:ascii="Arial" w:hAnsi="Arial" w:cs="Arial"/>
          <w:bCs/>
          <w:sz w:val="26"/>
          <w:szCs w:val="26"/>
        </w:rPr>
        <w:t xml:space="preserve"> </w:t>
      </w:r>
    </w:p>
    <w:p w14:paraId="7892A146" w14:textId="77777777" w:rsidR="00E15BB1" w:rsidRDefault="00E15BB1" w:rsidP="00E15BB1">
      <w:pPr>
        <w:spacing w:after="0" w:line="360" w:lineRule="auto"/>
        <w:ind w:firstLine="567"/>
        <w:jc w:val="both"/>
        <w:rPr>
          <w:rFonts w:ascii="Arial" w:hAnsi="Arial" w:cs="Arial"/>
          <w:sz w:val="26"/>
          <w:szCs w:val="26"/>
        </w:rPr>
      </w:pPr>
      <w:r>
        <w:rPr>
          <w:rFonts w:ascii="Arial" w:hAnsi="Arial" w:cs="Arial"/>
          <w:bCs/>
          <w:sz w:val="26"/>
          <w:szCs w:val="26"/>
        </w:rPr>
        <w:t xml:space="preserve">Por ello, </w:t>
      </w:r>
      <w:r w:rsidRPr="0053288D">
        <w:rPr>
          <w:rFonts w:ascii="Arial" w:hAnsi="Arial" w:cs="Arial"/>
          <w:sz w:val="26"/>
          <w:szCs w:val="26"/>
        </w:rPr>
        <w:t xml:space="preserve">para </w:t>
      </w:r>
      <w:r>
        <w:rPr>
          <w:rFonts w:ascii="Arial" w:hAnsi="Arial" w:cs="Arial"/>
          <w:sz w:val="26"/>
          <w:szCs w:val="26"/>
        </w:rPr>
        <w:t>garantizar el cumplimiento</w:t>
      </w:r>
      <w:r w:rsidRPr="0053288D">
        <w:rPr>
          <w:rFonts w:ascii="Arial" w:hAnsi="Arial" w:cs="Arial"/>
          <w:sz w:val="26"/>
          <w:szCs w:val="26"/>
        </w:rPr>
        <w:t xml:space="preserve"> </w:t>
      </w:r>
      <w:r>
        <w:rPr>
          <w:rFonts w:ascii="Arial" w:hAnsi="Arial" w:cs="Arial"/>
          <w:sz w:val="26"/>
          <w:szCs w:val="26"/>
        </w:rPr>
        <w:t>d</w:t>
      </w:r>
      <w:r w:rsidRPr="0053288D">
        <w:rPr>
          <w:rFonts w:ascii="Arial" w:hAnsi="Arial" w:cs="Arial"/>
          <w:sz w:val="26"/>
          <w:szCs w:val="26"/>
        </w:rPr>
        <w:t xml:space="preserve">el principio de fundamentación previsto en el artículo 16 de la Constitución Política de los Estados Unidos Mexicanos, es </w:t>
      </w:r>
      <w:r>
        <w:rPr>
          <w:rFonts w:ascii="Arial" w:hAnsi="Arial" w:cs="Arial"/>
          <w:sz w:val="26"/>
          <w:szCs w:val="26"/>
        </w:rPr>
        <w:t>imprescindible</w:t>
      </w:r>
      <w:r w:rsidRPr="0053288D">
        <w:rPr>
          <w:rFonts w:ascii="Arial" w:hAnsi="Arial" w:cs="Arial"/>
          <w:sz w:val="26"/>
          <w:szCs w:val="26"/>
        </w:rPr>
        <w:t xml:space="preserve"> que la autoridad administrativa precise su competencia por razón de materia, grado o territorio, con base en la ley, reglamento, decreto o acue</w:t>
      </w:r>
      <w:r>
        <w:rPr>
          <w:rFonts w:ascii="Arial" w:hAnsi="Arial" w:cs="Arial"/>
          <w:sz w:val="26"/>
          <w:szCs w:val="26"/>
        </w:rPr>
        <w:t>rdo que le otorgue la atribución</w:t>
      </w:r>
      <w:r w:rsidRPr="0053288D">
        <w:rPr>
          <w:rFonts w:ascii="Arial" w:hAnsi="Arial" w:cs="Arial"/>
          <w:sz w:val="26"/>
          <w:szCs w:val="26"/>
        </w:rPr>
        <w:t xml:space="preserve"> </w:t>
      </w:r>
      <w:r>
        <w:rPr>
          <w:rFonts w:ascii="Arial" w:hAnsi="Arial" w:cs="Arial"/>
          <w:sz w:val="26"/>
          <w:szCs w:val="26"/>
        </w:rPr>
        <w:t>practicada</w:t>
      </w:r>
      <w:r w:rsidRPr="0053288D">
        <w:rPr>
          <w:rFonts w:ascii="Arial" w:hAnsi="Arial" w:cs="Arial"/>
          <w:sz w:val="26"/>
          <w:szCs w:val="26"/>
        </w:rPr>
        <w:t xml:space="preserve">, para lo cual debe </w:t>
      </w:r>
      <w:r>
        <w:rPr>
          <w:rFonts w:ascii="Arial" w:hAnsi="Arial" w:cs="Arial"/>
          <w:sz w:val="26"/>
          <w:szCs w:val="26"/>
        </w:rPr>
        <w:t>invocar</w:t>
      </w:r>
      <w:r w:rsidRPr="0053288D">
        <w:rPr>
          <w:rFonts w:ascii="Arial" w:hAnsi="Arial" w:cs="Arial"/>
          <w:sz w:val="26"/>
          <w:szCs w:val="26"/>
        </w:rPr>
        <w:t>, en su caso, el apartado, fracción, inciso o su</w:t>
      </w:r>
      <w:r>
        <w:rPr>
          <w:rFonts w:ascii="Arial" w:hAnsi="Arial" w:cs="Arial"/>
          <w:sz w:val="26"/>
          <w:szCs w:val="26"/>
        </w:rPr>
        <w:t>binciso correspondiente y, si el ordenamiento no</w:t>
      </w:r>
      <w:r w:rsidRPr="0053288D">
        <w:rPr>
          <w:rFonts w:ascii="Arial" w:hAnsi="Arial" w:cs="Arial"/>
          <w:sz w:val="26"/>
          <w:szCs w:val="26"/>
        </w:rPr>
        <w:t xml:space="preserve"> lo </w:t>
      </w:r>
      <w:r>
        <w:rPr>
          <w:rFonts w:ascii="Arial" w:hAnsi="Arial" w:cs="Arial"/>
          <w:sz w:val="26"/>
          <w:szCs w:val="26"/>
        </w:rPr>
        <w:t>incluye</w:t>
      </w:r>
      <w:r w:rsidRPr="0053288D">
        <w:rPr>
          <w:rFonts w:ascii="Arial" w:hAnsi="Arial" w:cs="Arial"/>
          <w:sz w:val="26"/>
          <w:szCs w:val="26"/>
        </w:rPr>
        <w:t xml:space="preserve"> y se trata de una norma compleja, </w:t>
      </w:r>
      <w:r>
        <w:rPr>
          <w:rFonts w:ascii="Arial" w:hAnsi="Arial" w:cs="Arial"/>
          <w:sz w:val="26"/>
          <w:szCs w:val="26"/>
        </w:rPr>
        <w:t xml:space="preserve">tendrá que </w:t>
      </w:r>
      <w:r w:rsidRPr="0053288D">
        <w:rPr>
          <w:rFonts w:ascii="Arial" w:hAnsi="Arial" w:cs="Arial"/>
          <w:sz w:val="26"/>
          <w:szCs w:val="26"/>
        </w:rPr>
        <w:t xml:space="preserve">transcribirse la parte correspondiente; </w:t>
      </w:r>
      <w:r>
        <w:rPr>
          <w:rFonts w:ascii="Arial" w:hAnsi="Arial" w:cs="Arial"/>
          <w:sz w:val="26"/>
          <w:szCs w:val="26"/>
        </w:rPr>
        <w:t>dicha imposición</w:t>
      </w:r>
      <w:r w:rsidRPr="0053288D">
        <w:rPr>
          <w:rFonts w:ascii="Arial" w:hAnsi="Arial" w:cs="Arial"/>
          <w:sz w:val="26"/>
          <w:szCs w:val="26"/>
        </w:rPr>
        <w:t xml:space="preserve"> tiene como propósito que el </w:t>
      </w:r>
      <w:r>
        <w:rPr>
          <w:rFonts w:ascii="Arial" w:hAnsi="Arial" w:cs="Arial"/>
          <w:sz w:val="26"/>
          <w:szCs w:val="26"/>
        </w:rPr>
        <w:t>administrado</w:t>
      </w:r>
      <w:r w:rsidRPr="0053288D">
        <w:rPr>
          <w:rFonts w:ascii="Arial" w:hAnsi="Arial" w:cs="Arial"/>
          <w:sz w:val="26"/>
          <w:szCs w:val="26"/>
        </w:rPr>
        <w:t xml:space="preserve"> afectado tenga el conocimiento y la certeza </w:t>
      </w:r>
      <w:r>
        <w:rPr>
          <w:rFonts w:ascii="Arial" w:hAnsi="Arial" w:cs="Arial"/>
          <w:sz w:val="26"/>
          <w:szCs w:val="26"/>
        </w:rPr>
        <w:t xml:space="preserve">plena </w:t>
      </w:r>
      <w:r w:rsidRPr="0053288D">
        <w:rPr>
          <w:rFonts w:ascii="Arial" w:hAnsi="Arial" w:cs="Arial"/>
          <w:sz w:val="26"/>
          <w:szCs w:val="26"/>
        </w:rPr>
        <w:t xml:space="preserve">de que la autoridad que invade su esfera </w:t>
      </w:r>
      <w:r>
        <w:rPr>
          <w:rFonts w:ascii="Arial" w:hAnsi="Arial" w:cs="Arial"/>
          <w:sz w:val="26"/>
          <w:szCs w:val="26"/>
        </w:rPr>
        <w:t>jurídica</w:t>
      </w:r>
      <w:r w:rsidRPr="0053288D">
        <w:rPr>
          <w:rFonts w:ascii="Arial" w:hAnsi="Arial" w:cs="Arial"/>
          <w:sz w:val="26"/>
          <w:szCs w:val="26"/>
        </w:rPr>
        <w:t xml:space="preserve"> lo hace con </w:t>
      </w:r>
      <w:r>
        <w:rPr>
          <w:rFonts w:ascii="Arial" w:hAnsi="Arial" w:cs="Arial"/>
          <w:sz w:val="26"/>
          <w:szCs w:val="26"/>
        </w:rPr>
        <w:t>base</w:t>
      </w:r>
      <w:r w:rsidRPr="0053288D">
        <w:rPr>
          <w:rFonts w:ascii="Arial" w:hAnsi="Arial" w:cs="Arial"/>
          <w:sz w:val="26"/>
          <w:szCs w:val="26"/>
        </w:rPr>
        <w:t xml:space="preserve"> en una norma ju</w:t>
      </w:r>
      <w:r>
        <w:rPr>
          <w:rFonts w:ascii="Arial" w:hAnsi="Arial" w:cs="Arial"/>
          <w:sz w:val="26"/>
          <w:szCs w:val="26"/>
        </w:rPr>
        <w:t>rídica que le faculta para actuar</w:t>
      </w:r>
      <w:r w:rsidRPr="0053288D">
        <w:rPr>
          <w:rFonts w:ascii="Arial" w:hAnsi="Arial" w:cs="Arial"/>
          <w:sz w:val="26"/>
          <w:szCs w:val="26"/>
        </w:rPr>
        <w:t xml:space="preserve"> en ese sentido</w:t>
      </w:r>
      <w:r>
        <w:rPr>
          <w:rFonts w:ascii="Arial" w:hAnsi="Arial" w:cs="Arial"/>
          <w:sz w:val="26"/>
          <w:szCs w:val="26"/>
        </w:rPr>
        <w:t xml:space="preserve">. </w:t>
      </w:r>
    </w:p>
    <w:p w14:paraId="2C41F04B" w14:textId="77777777" w:rsidR="00E15BB1" w:rsidRPr="0053288D" w:rsidRDefault="00E15BB1" w:rsidP="00E15BB1">
      <w:pPr>
        <w:spacing w:after="0" w:line="360" w:lineRule="auto"/>
        <w:ind w:firstLine="567"/>
        <w:jc w:val="both"/>
        <w:rPr>
          <w:rFonts w:ascii="Arial" w:hAnsi="Arial" w:cs="Arial"/>
          <w:sz w:val="26"/>
          <w:szCs w:val="26"/>
        </w:rPr>
      </w:pPr>
      <w:r>
        <w:rPr>
          <w:rFonts w:ascii="Arial" w:hAnsi="Arial" w:cs="Arial"/>
          <w:sz w:val="26"/>
          <w:szCs w:val="26"/>
        </w:rPr>
        <w:t>Respalda este criterio, la Jurisprudencia 2a./J. 115/2005, con número de registro</w:t>
      </w:r>
      <w:r w:rsidRPr="0053288D">
        <w:rPr>
          <w:rFonts w:ascii="Arial" w:hAnsi="Arial" w:cs="Arial"/>
          <w:sz w:val="26"/>
          <w:szCs w:val="26"/>
        </w:rPr>
        <w:t xml:space="preserve"> 177347</w:t>
      </w:r>
      <w:r>
        <w:rPr>
          <w:rFonts w:ascii="Arial" w:hAnsi="Arial" w:cs="Arial"/>
          <w:sz w:val="26"/>
          <w:szCs w:val="26"/>
        </w:rPr>
        <w:t xml:space="preserve">, perteneciente a la Novena Época, emitida por la </w:t>
      </w:r>
      <w:r w:rsidRPr="0053288D">
        <w:rPr>
          <w:rFonts w:ascii="Arial" w:hAnsi="Arial" w:cs="Arial"/>
          <w:sz w:val="26"/>
          <w:szCs w:val="26"/>
        </w:rPr>
        <w:t xml:space="preserve"> Segunda Sala</w:t>
      </w:r>
      <w:r>
        <w:rPr>
          <w:rFonts w:ascii="Arial" w:hAnsi="Arial" w:cs="Arial"/>
          <w:sz w:val="26"/>
          <w:szCs w:val="26"/>
        </w:rPr>
        <w:t>,</w:t>
      </w:r>
      <w:r w:rsidRPr="0053288D">
        <w:rPr>
          <w:rFonts w:ascii="Arial" w:hAnsi="Arial" w:cs="Arial"/>
          <w:sz w:val="26"/>
          <w:szCs w:val="26"/>
        </w:rPr>
        <w:t xml:space="preserve"> </w:t>
      </w:r>
      <w:r>
        <w:rPr>
          <w:rFonts w:ascii="Arial" w:hAnsi="Arial" w:cs="Arial"/>
          <w:sz w:val="26"/>
          <w:szCs w:val="26"/>
        </w:rPr>
        <w:t>consultable</w:t>
      </w:r>
      <w:r w:rsidRPr="0053288D">
        <w:rPr>
          <w:rFonts w:ascii="Arial" w:hAnsi="Arial" w:cs="Arial"/>
          <w:sz w:val="26"/>
          <w:szCs w:val="26"/>
        </w:rPr>
        <w:t xml:space="preserve"> </w:t>
      </w:r>
      <w:r>
        <w:rPr>
          <w:rFonts w:ascii="Arial" w:hAnsi="Arial" w:cs="Arial"/>
          <w:sz w:val="26"/>
          <w:szCs w:val="26"/>
        </w:rPr>
        <w:t xml:space="preserve">en el </w:t>
      </w:r>
      <w:r w:rsidRPr="0053288D">
        <w:rPr>
          <w:rFonts w:ascii="Arial" w:hAnsi="Arial" w:cs="Arial"/>
          <w:sz w:val="26"/>
          <w:szCs w:val="26"/>
        </w:rPr>
        <w:t>Semanario Judicial de la Federación y su Gaceta Tomo XXII, Septiembre de 2005</w:t>
      </w:r>
      <w:r>
        <w:rPr>
          <w:rFonts w:ascii="Arial" w:hAnsi="Arial" w:cs="Arial"/>
          <w:sz w:val="26"/>
          <w:szCs w:val="26"/>
        </w:rPr>
        <w:t>, Materia Administrativa, visible en la página</w:t>
      </w:r>
      <w:r w:rsidRPr="0053288D">
        <w:rPr>
          <w:rFonts w:ascii="Arial" w:hAnsi="Arial" w:cs="Arial"/>
          <w:sz w:val="26"/>
          <w:szCs w:val="26"/>
        </w:rPr>
        <w:t xml:space="preserve"> 310</w:t>
      </w:r>
      <w:r>
        <w:rPr>
          <w:rFonts w:ascii="Arial" w:hAnsi="Arial" w:cs="Arial"/>
          <w:sz w:val="26"/>
          <w:szCs w:val="26"/>
        </w:rPr>
        <w:t>, del rubro y texto siguientes:</w:t>
      </w:r>
      <w:r w:rsidRPr="0053288D">
        <w:rPr>
          <w:rFonts w:ascii="Arial" w:hAnsi="Arial" w:cs="Arial"/>
          <w:sz w:val="26"/>
          <w:szCs w:val="26"/>
        </w:rPr>
        <w:t xml:space="preserve"> </w:t>
      </w:r>
    </w:p>
    <w:p w14:paraId="78AC3C71" w14:textId="398B5FD1" w:rsidR="00E15BB1" w:rsidRDefault="00E15BB1" w:rsidP="00E15BB1">
      <w:pPr>
        <w:spacing w:after="0" w:line="360" w:lineRule="auto"/>
        <w:ind w:left="851" w:right="900"/>
        <w:jc w:val="both"/>
        <w:rPr>
          <w:rFonts w:ascii="Arial" w:hAnsi="Arial" w:cs="Arial"/>
          <w:i/>
        </w:rPr>
      </w:pPr>
      <w:r w:rsidRPr="00015A05">
        <w:rPr>
          <w:rFonts w:ascii="Arial" w:hAnsi="Arial" w:cs="Arial"/>
          <w:b/>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015A05">
        <w:rPr>
          <w:rFonts w:ascii="Arial" w:hAnsi="Arial" w:cs="Arial"/>
          <w:i/>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w:t>
      </w:r>
      <w:r w:rsidRPr="00015A05">
        <w:rPr>
          <w:rFonts w:ascii="Arial" w:hAnsi="Arial" w:cs="Arial"/>
          <w:i/>
        </w:rPr>
        <w:lastRenderedPageBreak/>
        <w:t>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32E79BF5" w14:textId="77777777" w:rsidR="00CD78E1" w:rsidRPr="00015A05" w:rsidRDefault="00CD78E1" w:rsidP="00E15BB1">
      <w:pPr>
        <w:spacing w:after="0" w:line="360" w:lineRule="auto"/>
        <w:ind w:left="851" w:right="900"/>
        <w:jc w:val="both"/>
        <w:rPr>
          <w:rFonts w:ascii="Arial" w:hAnsi="Arial" w:cs="Arial"/>
          <w:i/>
        </w:rPr>
      </w:pPr>
    </w:p>
    <w:p w14:paraId="0297BB08" w14:textId="39FC140C" w:rsidR="00E15BB1" w:rsidRDefault="00E15BB1" w:rsidP="00E15BB1">
      <w:pPr>
        <w:spacing w:after="0" w:line="360" w:lineRule="auto"/>
        <w:ind w:right="-518" w:firstLine="708"/>
        <w:jc w:val="both"/>
        <w:rPr>
          <w:rFonts w:ascii="Arial" w:hAnsi="Arial" w:cs="Arial"/>
          <w:sz w:val="26"/>
          <w:szCs w:val="26"/>
        </w:rPr>
      </w:pPr>
      <w:r>
        <w:rPr>
          <w:rFonts w:ascii="Arial" w:hAnsi="Arial" w:cs="Arial"/>
          <w:sz w:val="26"/>
          <w:szCs w:val="26"/>
        </w:rPr>
        <w:t xml:space="preserve">En virtud de lo expuesto, se aprecia que es </w:t>
      </w:r>
      <w:r w:rsidRPr="00A918FA">
        <w:rPr>
          <w:rFonts w:ascii="Arial" w:hAnsi="Arial" w:cs="Arial"/>
          <w:b/>
          <w:sz w:val="26"/>
          <w:szCs w:val="26"/>
        </w:rPr>
        <w:t xml:space="preserve">fundado </w:t>
      </w:r>
      <w:r w:rsidRPr="00634418">
        <w:rPr>
          <w:rFonts w:ascii="Arial" w:hAnsi="Arial" w:cs="Arial"/>
          <w:sz w:val="26"/>
          <w:szCs w:val="26"/>
        </w:rPr>
        <w:t>el segundo concepto de impugnación de la demanda de nulidad,</w:t>
      </w:r>
      <w:r>
        <w:rPr>
          <w:rFonts w:ascii="Arial" w:hAnsi="Arial" w:cs="Arial"/>
          <w:sz w:val="26"/>
          <w:szCs w:val="26"/>
        </w:rPr>
        <w:t xml:space="preserve"> porque no se precisó por parte de la autoridad demandada, su competencia territorial, pues la autoridad demandada, el </w:t>
      </w:r>
      <w:r w:rsidRPr="005C4FBE">
        <w:rPr>
          <w:rFonts w:ascii="Arial" w:hAnsi="Arial" w:cs="Arial"/>
          <w:b/>
          <w:sz w:val="26"/>
          <w:szCs w:val="26"/>
        </w:rPr>
        <w:t xml:space="preserve">POLICÍA VIAL CON NÚMERO ESTADÍSTICO </w:t>
      </w:r>
      <w:r w:rsidR="00EA15A6">
        <w:rPr>
          <w:rFonts w:ascii="Arial" w:hAnsi="Arial" w:cs="Arial"/>
          <w:b/>
          <w:sz w:val="26"/>
          <w:szCs w:val="26"/>
        </w:rPr>
        <w:t>**********</w:t>
      </w:r>
      <w:r w:rsidRPr="005C4FBE">
        <w:rPr>
          <w:rFonts w:ascii="Arial" w:hAnsi="Arial" w:cs="Arial"/>
          <w:b/>
          <w:sz w:val="26"/>
          <w:szCs w:val="26"/>
        </w:rPr>
        <w:t>, ADSCRITO A LA COMISARÍA DE VIALIDAD DEL MUNICIPIO DE OAXACA DE JUÁREZ,</w:t>
      </w:r>
      <w:r>
        <w:rPr>
          <w:rFonts w:ascii="Arial" w:hAnsi="Arial" w:cs="Arial"/>
          <w:sz w:val="26"/>
          <w:szCs w:val="26"/>
        </w:rPr>
        <w:t xml:space="preserve"> Oaxaca, no precisó en qué ley, reglamento, decreto o acuerdo, se encuentra prevista la atribución de levantar una infracción de tránsito municipal dentro del Municipio de Oaxaca de Juárez, Oaxaca, pues </w:t>
      </w:r>
      <w:r>
        <w:rPr>
          <w:rFonts w:ascii="Arial" w:eastAsia="Times New Roman" w:hAnsi="Arial" w:cs="Arial"/>
          <w:bCs/>
          <w:sz w:val="26"/>
          <w:szCs w:val="26"/>
          <w:lang w:eastAsia="es-MX"/>
        </w:rPr>
        <w:t>todas las</w:t>
      </w:r>
      <w:r w:rsidRPr="0058323B">
        <w:rPr>
          <w:rFonts w:ascii="Arial" w:eastAsia="Times New Roman" w:hAnsi="Arial" w:cs="Arial"/>
          <w:bCs/>
          <w:sz w:val="26"/>
          <w:szCs w:val="26"/>
          <w:lang w:eastAsia="es-MX"/>
        </w:rPr>
        <w:t xml:space="preserve"> autoridad</w:t>
      </w:r>
      <w:r>
        <w:rPr>
          <w:rFonts w:ascii="Arial" w:eastAsia="Times New Roman" w:hAnsi="Arial" w:cs="Arial"/>
          <w:bCs/>
          <w:sz w:val="26"/>
          <w:szCs w:val="26"/>
          <w:lang w:eastAsia="es-MX"/>
        </w:rPr>
        <w:t>es</w:t>
      </w:r>
      <w:r w:rsidRPr="0058323B">
        <w:rPr>
          <w:rFonts w:ascii="Arial" w:eastAsia="Times New Roman" w:hAnsi="Arial" w:cs="Arial"/>
          <w:bCs/>
          <w:sz w:val="26"/>
          <w:szCs w:val="26"/>
          <w:lang w:eastAsia="es-MX"/>
        </w:rPr>
        <w:t xml:space="preserve"> tiene</w:t>
      </w:r>
      <w:r>
        <w:rPr>
          <w:rFonts w:ascii="Arial" w:eastAsia="Times New Roman" w:hAnsi="Arial" w:cs="Arial"/>
          <w:bCs/>
          <w:sz w:val="26"/>
          <w:szCs w:val="26"/>
          <w:lang w:eastAsia="es-MX"/>
        </w:rPr>
        <w:t>n</w:t>
      </w:r>
      <w:r w:rsidRPr="0058323B">
        <w:rPr>
          <w:rFonts w:ascii="Arial" w:eastAsia="Times New Roman" w:hAnsi="Arial" w:cs="Arial"/>
          <w:bCs/>
          <w:sz w:val="26"/>
          <w:szCs w:val="26"/>
          <w:lang w:eastAsia="es-MX"/>
        </w:rPr>
        <w:t xml:space="preserve"> </w:t>
      </w:r>
      <w:r>
        <w:rPr>
          <w:rFonts w:ascii="Arial" w:eastAsia="Times New Roman" w:hAnsi="Arial" w:cs="Arial"/>
          <w:bCs/>
          <w:sz w:val="26"/>
          <w:szCs w:val="26"/>
          <w:lang w:eastAsia="es-MX"/>
        </w:rPr>
        <w:t xml:space="preserve">el deber </w:t>
      </w:r>
      <w:r w:rsidRPr="0058323B">
        <w:rPr>
          <w:rFonts w:ascii="Arial" w:eastAsia="Times New Roman" w:hAnsi="Arial" w:cs="Arial"/>
          <w:bCs/>
          <w:sz w:val="26"/>
          <w:szCs w:val="26"/>
          <w:lang w:eastAsia="es-MX"/>
        </w:rPr>
        <w:t xml:space="preserve">de fundar debidamente su competencia, </w:t>
      </w:r>
      <w:r>
        <w:rPr>
          <w:rFonts w:ascii="Arial" w:eastAsia="Times New Roman" w:hAnsi="Arial" w:cs="Arial"/>
          <w:bCs/>
          <w:sz w:val="26"/>
          <w:szCs w:val="26"/>
          <w:lang w:eastAsia="es-MX"/>
        </w:rPr>
        <w:t xml:space="preserve">conforme a </w:t>
      </w:r>
      <w:r w:rsidRPr="0058323B">
        <w:rPr>
          <w:rFonts w:ascii="Arial" w:eastAsia="Times New Roman" w:hAnsi="Arial" w:cs="Arial"/>
          <w:bCs/>
          <w:sz w:val="26"/>
          <w:szCs w:val="26"/>
          <w:lang w:eastAsia="es-MX"/>
        </w:rPr>
        <w:t xml:space="preserve">lo dispuesto en el artículo 16 </w:t>
      </w:r>
      <w:r>
        <w:rPr>
          <w:rFonts w:ascii="Arial" w:eastAsia="Times New Roman" w:hAnsi="Arial" w:cs="Arial"/>
          <w:bCs/>
          <w:sz w:val="26"/>
          <w:szCs w:val="26"/>
          <w:lang w:eastAsia="es-MX"/>
        </w:rPr>
        <w:t xml:space="preserve">párrafo primero </w:t>
      </w:r>
      <w:r w:rsidRPr="0058323B">
        <w:rPr>
          <w:rFonts w:ascii="Arial" w:eastAsia="Times New Roman" w:hAnsi="Arial" w:cs="Arial"/>
          <w:bCs/>
          <w:sz w:val="26"/>
          <w:szCs w:val="26"/>
          <w:lang w:eastAsia="es-MX"/>
        </w:rPr>
        <w:t>de la C</w:t>
      </w:r>
      <w:r>
        <w:rPr>
          <w:rFonts w:ascii="Arial" w:eastAsia="Times New Roman" w:hAnsi="Arial" w:cs="Arial"/>
          <w:bCs/>
          <w:sz w:val="26"/>
          <w:szCs w:val="26"/>
          <w:lang w:eastAsia="es-MX"/>
        </w:rPr>
        <w:t>onstitución Federal, pues en esa</w:t>
      </w:r>
      <w:r w:rsidRPr="0058323B">
        <w:rPr>
          <w:rFonts w:ascii="Arial" w:eastAsia="Times New Roman" w:hAnsi="Arial" w:cs="Arial"/>
          <w:bCs/>
          <w:sz w:val="26"/>
          <w:szCs w:val="26"/>
          <w:lang w:eastAsia="es-MX"/>
        </w:rPr>
        <w:t xml:space="preserve"> </w:t>
      </w:r>
      <w:r>
        <w:rPr>
          <w:rFonts w:ascii="Arial" w:eastAsia="Times New Roman" w:hAnsi="Arial" w:cs="Arial"/>
          <w:bCs/>
          <w:sz w:val="26"/>
          <w:szCs w:val="26"/>
          <w:lang w:eastAsia="es-MX"/>
        </w:rPr>
        <w:t>tesitura</w:t>
      </w:r>
      <w:r w:rsidRPr="0058323B">
        <w:rPr>
          <w:rFonts w:ascii="Arial" w:eastAsia="Times New Roman" w:hAnsi="Arial" w:cs="Arial"/>
          <w:bCs/>
          <w:sz w:val="26"/>
          <w:szCs w:val="26"/>
          <w:lang w:eastAsia="es-MX"/>
        </w:rPr>
        <w:t xml:space="preserve"> todo acto de autoridad debe em</w:t>
      </w:r>
      <w:r>
        <w:rPr>
          <w:rFonts w:ascii="Arial" w:eastAsia="Times New Roman" w:hAnsi="Arial" w:cs="Arial"/>
          <w:bCs/>
          <w:sz w:val="26"/>
          <w:szCs w:val="26"/>
          <w:lang w:eastAsia="es-MX"/>
        </w:rPr>
        <w:t>itirse por quien esté legalmente facultado para ello</w:t>
      </w:r>
      <w:r w:rsidRPr="0058323B">
        <w:rPr>
          <w:rFonts w:ascii="Arial" w:eastAsia="Times New Roman" w:hAnsi="Arial" w:cs="Arial"/>
          <w:bCs/>
          <w:sz w:val="26"/>
          <w:szCs w:val="26"/>
          <w:lang w:eastAsia="es-MX"/>
        </w:rPr>
        <w:t xml:space="preserve">, expresándose en el </w:t>
      </w:r>
      <w:r w:rsidRPr="0058323B">
        <w:rPr>
          <w:rFonts w:ascii="Arial" w:eastAsia="Times New Roman" w:hAnsi="Arial" w:cs="Arial"/>
          <w:bCs/>
          <w:sz w:val="26"/>
          <w:szCs w:val="26"/>
          <w:lang w:eastAsia="es-MX"/>
        </w:rPr>
        <w:lastRenderedPageBreak/>
        <w:t>documento</w:t>
      </w:r>
      <w:r>
        <w:rPr>
          <w:rFonts w:ascii="Arial" w:eastAsia="Times New Roman" w:hAnsi="Arial" w:cs="Arial"/>
          <w:bCs/>
          <w:sz w:val="26"/>
          <w:szCs w:val="26"/>
          <w:lang w:eastAsia="es-MX"/>
        </w:rPr>
        <w:t xml:space="preserve"> en el que conste el acto</w:t>
      </w:r>
      <w:r w:rsidRPr="0058323B">
        <w:rPr>
          <w:rFonts w:ascii="Arial" w:eastAsia="Times New Roman" w:hAnsi="Arial" w:cs="Arial"/>
          <w:bCs/>
          <w:sz w:val="26"/>
          <w:szCs w:val="26"/>
          <w:lang w:eastAsia="es-MX"/>
        </w:rPr>
        <w:t xml:space="preserve">, el carácter con que la autoridad </w:t>
      </w:r>
      <w:r>
        <w:rPr>
          <w:rFonts w:ascii="Arial" w:eastAsia="Times New Roman" w:hAnsi="Arial" w:cs="Arial"/>
          <w:bCs/>
          <w:sz w:val="26"/>
          <w:szCs w:val="26"/>
          <w:lang w:eastAsia="es-MX"/>
        </w:rPr>
        <w:t xml:space="preserve">emisora </w:t>
      </w:r>
      <w:r w:rsidRPr="0058323B">
        <w:rPr>
          <w:rFonts w:ascii="Arial" w:eastAsia="Times New Roman" w:hAnsi="Arial" w:cs="Arial"/>
          <w:bCs/>
          <w:sz w:val="26"/>
          <w:szCs w:val="26"/>
          <w:lang w:eastAsia="es-MX"/>
        </w:rPr>
        <w:t xml:space="preserve">lo suscribe y el </w:t>
      </w:r>
      <w:r>
        <w:rPr>
          <w:rFonts w:ascii="Arial" w:eastAsia="Times New Roman" w:hAnsi="Arial" w:cs="Arial"/>
          <w:bCs/>
          <w:sz w:val="26"/>
          <w:szCs w:val="26"/>
          <w:lang w:eastAsia="es-MX"/>
        </w:rPr>
        <w:t xml:space="preserve">precepto legal </w:t>
      </w:r>
      <w:r w:rsidRPr="0058323B">
        <w:rPr>
          <w:rFonts w:ascii="Arial" w:eastAsia="Times New Roman" w:hAnsi="Arial" w:cs="Arial"/>
          <w:bCs/>
          <w:sz w:val="26"/>
          <w:szCs w:val="26"/>
          <w:lang w:eastAsia="es-MX"/>
        </w:rPr>
        <w:t>que le otorg</w:t>
      </w:r>
      <w:r>
        <w:rPr>
          <w:rFonts w:ascii="Arial" w:eastAsia="Times New Roman" w:hAnsi="Arial" w:cs="Arial"/>
          <w:bCs/>
          <w:sz w:val="26"/>
          <w:szCs w:val="26"/>
          <w:lang w:eastAsia="es-MX"/>
        </w:rPr>
        <w:t>ue dicha legitimación, aun en la</w:t>
      </w:r>
      <w:r w:rsidRPr="0058323B">
        <w:rPr>
          <w:rFonts w:ascii="Arial" w:eastAsia="Times New Roman" w:hAnsi="Arial" w:cs="Arial"/>
          <w:bCs/>
          <w:sz w:val="26"/>
          <w:szCs w:val="26"/>
          <w:lang w:eastAsia="es-MX"/>
        </w:rPr>
        <w:t xml:space="preserve"> </w:t>
      </w:r>
      <w:r>
        <w:rPr>
          <w:rFonts w:ascii="Arial" w:eastAsia="Times New Roman" w:hAnsi="Arial" w:cs="Arial"/>
          <w:bCs/>
          <w:sz w:val="26"/>
          <w:szCs w:val="26"/>
          <w:lang w:eastAsia="es-MX"/>
        </w:rPr>
        <w:t xml:space="preserve">hipótesis </w:t>
      </w:r>
      <w:r w:rsidRPr="0058323B">
        <w:rPr>
          <w:rFonts w:ascii="Arial" w:eastAsia="Times New Roman" w:hAnsi="Arial" w:cs="Arial"/>
          <w:bCs/>
          <w:sz w:val="26"/>
          <w:szCs w:val="26"/>
          <w:lang w:eastAsia="es-MX"/>
        </w:rPr>
        <w:t>de que la norma legal no contemple apartados, fracción o fracciones, inciso</w:t>
      </w:r>
      <w:r>
        <w:rPr>
          <w:rFonts w:ascii="Arial" w:eastAsia="Times New Roman" w:hAnsi="Arial" w:cs="Arial"/>
          <w:bCs/>
          <w:sz w:val="26"/>
          <w:szCs w:val="26"/>
          <w:lang w:eastAsia="es-MX"/>
        </w:rPr>
        <w:t>s y subincisos, pues en ese caso</w:t>
      </w:r>
      <w:r w:rsidRPr="0058323B">
        <w:rPr>
          <w:rFonts w:ascii="Arial" w:eastAsia="Times New Roman" w:hAnsi="Arial" w:cs="Arial"/>
          <w:bCs/>
          <w:sz w:val="26"/>
          <w:szCs w:val="26"/>
          <w:lang w:eastAsia="es-MX"/>
        </w:rPr>
        <w:t xml:space="preserve">, </w:t>
      </w:r>
      <w:r>
        <w:rPr>
          <w:rFonts w:ascii="Arial" w:eastAsia="Times New Roman" w:hAnsi="Arial" w:cs="Arial"/>
          <w:bCs/>
          <w:sz w:val="26"/>
          <w:szCs w:val="26"/>
          <w:lang w:eastAsia="es-MX"/>
        </w:rPr>
        <w:t xml:space="preserve">como ya se dijo, </w:t>
      </w:r>
      <w:r w:rsidRPr="0058323B">
        <w:rPr>
          <w:rFonts w:ascii="Arial" w:eastAsia="Times New Roman" w:hAnsi="Arial" w:cs="Arial"/>
          <w:bCs/>
          <w:sz w:val="26"/>
          <w:szCs w:val="26"/>
          <w:lang w:eastAsia="es-MX"/>
        </w:rPr>
        <w:t xml:space="preserve">la autoridad </w:t>
      </w:r>
      <w:r>
        <w:rPr>
          <w:rFonts w:ascii="Arial" w:eastAsia="Times New Roman" w:hAnsi="Arial" w:cs="Arial"/>
          <w:bCs/>
          <w:sz w:val="26"/>
          <w:szCs w:val="26"/>
          <w:lang w:eastAsia="es-MX"/>
        </w:rPr>
        <w:t xml:space="preserve">estará obligada a </w:t>
      </w:r>
      <w:r w:rsidRPr="0058323B">
        <w:rPr>
          <w:rFonts w:ascii="Arial" w:eastAsia="Times New Roman" w:hAnsi="Arial" w:cs="Arial"/>
          <w:bCs/>
          <w:sz w:val="26"/>
          <w:szCs w:val="26"/>
          <w:lang w:eastAsia="es-MX"/>
        </w:rPr>
        <w:t>transcri</w:t>
      </w:r>
      <w:r>
        <w:rPr>
          <w:rFonts w:ascii="Arial" w:eastAsia="Times New Roman" w:hAnsi="Arial" w:cs="Arial"/>
          <w:bCs/>
          <w:sz w:val="26"/>
          <w:szCs w:val="26"/>
          <w:lang w:eastAsia="es-MX"/>
        </w:rPr>
        <w:t>bir</w:t>
      </w:r>
      <w:r w:rsidRPr="0058323B">
        <w:rPr>
          <w:rFonts w:ascii="Arial" w:eastAsia="Times New Roman" w:hAnsi="Arial" w:cs="Arial"/>
          <w:bCs/>
          <w:sz w:val="26"/>
          <w:szCs w:val="26"/>
          <w:lang w:eastAsia="es-MX"/>
        </w:rPr>
        <w:t xml:space="preserve"> </w:t>
      </w:r>
      <w:r>
        <w:rPr>
          <w:rFonts w:ascii="Arial" w:eastAsia="Times New Roman" w:hAnsi="Arial" w:cs="Arial"/>
          <w:bCs/>
          <w:sz w:val="26"/>
          <w:szCs w:val="26"/>
          <w:lang w:eastAsia="es-MX"/>
        </w:rPr>
        <w:t xml:space="preserve">la parte relativa </w:t>
      </w:r>
      <w:r w:rsidRPr="0058323B">
        <w:rPr>
          <w:rFonts w:ascii="Arial" w:eastAsia="Times New Roman" w:hAnsi="Arial" w:cs="Arial"/>
          <w:bCs/>
          <w:sz w:val="26"/>
          <w:szCs w:val="26"/>
          <w:lang w:eastAsia="es-MX"/>
        </w:rPr>
        <w:t>del precepto en que funde debidamente su competencia.</w:t>
      </w:r>
    </w:p>
    <w:p w14:paraId="11EEDEAD" w14:textId="77777777" w:rsidR="00E15BB1" w:rsidRPr="0058323B" w:rsidRDefault="00E15BB1" w:rsidP="00E15BB1">
      <w:pPr>
        <w:spacing w:after="0" w:line="360" w:lineRule="auto"/>
        <w:ind w:right="-518" w:firstLine="708"/>
        <w:jc w:val="both"/>
        <w:rPr>
          <w:rFonts w:ascii="Arial" w:eastAsia="Times New Roman" w:hAnsi="Arial" w:cs="Arial"/>
          <w:bCs/>
          <w:sz w:val="26"/>
          <w:szCs w:val="26"/>
          <w:lang w:eastAsia="es-MX"/>
        </w:rPr>
      </w:pPr>
      <w:r>
        <w:rPr>
          <w:rFonts w:ascii="Arial" w:eastAsia="Times New Roman" w:hAnsi="Arial" w:cs="Arial"/>
          <w:bCs/>
          <w:sz w:val="26"/>
          <w:szCs w:val="26"/>
          <w:lang w:eastAsia="es-MX"/>
        </w:rPr>
        <w:t>Lo anterior</w:t>
      </w:r>
      <w:r w:rsidRPr="0058323B">
        <w:rPr>
          <w:rFonts w:ascii="Arial" w:eastAsia="Times New Roman" w:hAnsi="Arial" w:cs="Arial"/>
          <w:bCs/>
          <w:sz w:val="26"/>
          <w:szCs w:val="26"/>
          <w:lang w:eastAsia="es-MX"/>
        </w:rPr>
        <w:t xml:space="preserve">, con la finalidad de dar certeza y seguridad jurídica al particular frente a los actos de las autoridades que afecten o lesionen su interés jurídico, pues de esta </w:t>
      </w:r>
      <w:r>
        <w:rPr>
          <w:rFonts w:ascii="Arial" w:eastAsia="Times New Roman" w:hAnsi="Arial" w:cs="Arial"/>
          <w:bCs/>
          <w:sz w:val="26"/>
          <w:szCs w:val="26"/>
          <w:lang w:eastAsia="es-MX"/>
        </w:rPr>
        <w:t xml:space="preserve">manera </w:t>
      </w:r>
      <w:r w:rsidRPr="0058323B">
        <w:rPr>
          <w:rFonts w:ascii="Arial" w:eastAsia="Times New Roman" w:hAnsi="Arial" w:cs="Arial"/>
          <w:bCs/>
          <w:sz w:val="26"/>
          <w:szCs w:val="26"/>
          <w:lang w:eastAsia="es-MX"/>
        </w:rPr>
        <w:t>el gobernado tiene conocimi</w:t>
      </w:r>
      <w:r>
        <w:rPr>
          <w:rFonts w:ascii="Arial" w:eastAsia="Times New Roman" w:hAnsi="Arial" w:cs="Arial"/>
          <w:bCs/>
          <w:sz w:val="26"/>
          <w:szCs w:val="26"/>
          <w:lang w:eastAsia="es-MX"/>
        </w:rPr>
        <w:t>ento de las referencias que le permitan</w:t>
      </w:r>
      <w:r w:rsidRPr="0058323B">
        <w:rPr>
          <w:rFonts w:ascii="Arial" w:eastAsia="Times New Roman" w:hAnsi="Arial" w:cs="Arial"/>
          <w:bCs/>
          <w:sz w:val="26"/>
          <w:szCs w:val="26"/>
          <w:lang w:eastAsia="es-MX"/>
        </w:rPr>
        <w:t xml:space="preserve"> </w:t>
      </w:r>
      <w:r>
        <w:rPr>
          <w:rFonts w:ascii="Arial" w:eastAsia="Times New Roman" w:hAnsi="Arial" w:cs="Arial"/>
          <w:bCs/>
          <w:sz w:val="26"/>
          <w:szCs w:val="26"/>
          <w:lang w:eastAsia="es-MX"/>
        </w:rPr>
        <w:t>defender</w:t>
      </w:r>
      <w:r w:rsidRPr="0058323B">
        <w:rPr>
          <w:rFonts w:ascii="Arial" w:eastAsia="Times New Roman" w:hAnsi="Arial" w:cs="Arial"/>
          <w:bCs/>
          <w:sz w:val="26"/>
          <w:szCs w:val="26"/>
          <w:lang w:eastAsia="es-MX"/>
        </w:rPr>
        <w:t xml:space="preserve"> sus intereses, ya que de lo contrario se </w:t>
      </w:r>
      <w:r>
        <w:rPr>
          <w:rFonts w:ascii="Arial" w:eastAsia="Times New Roman" w:hAnsi="Arial" w:cs="Arial"/>
          <w:bCs/>
          <w:sz w:val="26"/>
          <w:szCs w:val="26"/>
          <w:lang w:eastAsia="es-MX"/>
        </w:rPr>
        <w:t xml:space="preserve">le </w:t>
      </w:r>
      <w:r w:rsidRPr="0058323B">
        <w:rPr>
          <w:rFonts w:ascii="Arial" w:eastAsia="Times New Roman" w:hAnsi="Arial" w:cs="Arial"/>
          <w:bCs/>
          <w:sz w:val="26"/>
          <w:szCs w:val="26"/>
          <w:lang w:eastAsia="es-MX"/>
        </w:rPr>
        <w:t xml:space="preserve">privaría al afectado de un elemento que pudiera </w:t>
      </w:r>
      <w:r>
        <w:rPr>
          <w:rFonts w:ascii="Arial" w:eastAsia="Times New Roman" w:hAnsi="Arial" w:cs="Arial"/>
          <w:bCs/>
          <w:sz w:val="26"/>
          <w:szCs w:val="26"/>
          <w:lang w:eastAsia="es-MX"/>
        </w:rPr>
        <w:t>ser fundamental para impugnarlo porque ignoraría</w:t>
      </w:r>
      <w:r w:rsidRPr="0058323B">
        <w:rPr>
          <w:rFonts w:ascii="Arial" w:eastAsia="Times New Roman" w:hAnsi="Arial" w:cs="Arial"/>
          <w:bCs/>
          <w:sz w:val="26"/>
          <w:szCs w:val="26"/>
          <w:lang w:eastAsia="es-MX"/>
        </w:rPr>
        <w:t xml:space="preserve"> el precepto legal que da competencia a la autoridad para emitir el acto de molestia</w:t>
      </w:r>
      <w:r>
        <w:rPr>
          <w:rFonts w:ascii="Arial" w:eastAsia="Times New Roman" w:hAnsi="Arial" w:cs="Arial"/>
          <w:bCs/>
          <w:sz w:val="26"/>
          <w:szCs w:val="26"/>
          <w:lang w:eastAsia="es-MX"/>
        </w:rPr>
        <w:t>,</w:t>
      </w:r>
      <w:r w:rsidRPr="0058323B">
        <w:rPr>
          <w:rFonts w:ascii="Arial" w:eastAsia="Times New Roman" w:hAnsi="Arial" w:cs="Arial"/>
          <w:bCs/>
          <w:sz w:val="26"/>
          <w:szCs w:val="26"/>
          <w:lang w:eastAsia="es-MX"/>
        </w:rPr>
        <w:t xml:space="preserve"> y </w:t>
      </w:r>
      <w:r>
        <w:rPr>
          <w:rFonts w:ascii="Arial" w:eastAsia="Times New Roman" w:hAnsi="Arial" w:cs="Arial"/>
          <w:bCs/>
          <w:sz w:val="26"/>
          <w:szCs w:val="26"/>
          <w:lang w:eastAsia="es-MX"/>
        </w:rPr>
        <w:t>se le vedaría la posibilidad de combatir ese acto</w:t>
      </w:r>
      <w:r w:rsidRPr="0058323B">
        <w:rPr>
          <w:rFonts w:ascii="Arial" w:eastAsia="Times New Roman" w:hAnsi="Arial" w:cs="Arial"/>
          <w:bCs/>
          <w:sz w:val="26"/>
          <w:szCs w:val="26"/>
          <w:lang w:eastAsia="es-MX"/>
        </w:rPr>
        <w:t xml:space="preserve"> cuando estime que no se </w:t>
      </w:r>
      <w:r>
        <w:rPr>
          <w:rFonts w:ascii="Arial" w:eastAsia="Times New Roman" w:hAnsi="Arial" w:cs="Arial"/>
          <w:bCs/>
          <w:sz w:val="26"/>
          <w:szCs w:val="26"/>
          <w:lang w:eastAsia="es-MX"/>
        </w:rPr>
        <w:t>apega</w:t>
      </w:r>
      <w:r w:rsidRPr="0058323B">
        <w:rPr>
          <w:rFonts w:ascii="Arial" w:eastAsia="Times New Roman" w:hAnsi="Arial" w:cs="Arial"/>
          <w:bCs/>
          <w:sz w:val="26"/>
          <w:szCs w:val="26"/>
          <w:lang w:eastAsia="es-MX"/>
        </w:rPr>
        <w:t xml:space="preserve"> al ordenamiento jurídico que le otorga facultades.</w:t>
      </w:r>
    </w:p>
    <w:p w14:paraId="13E1523E" w14:textId="54F622AF" w:rsidR="00E15BB1" w:rsidRDefault="00E15BB1" w:rsidP="00E15BB1">
      <w:pPr>
        <w:spacing w:after="0" w:line="360" w:lineRule="auto"/>
        <w:ind w:right="-518" w:firstLine="708"/>
        <w:jc w:val="both"/>
        <w:rPr>
          <w:rFonts w:ascii="Arial" w:eastAsia="Times New Roman" w:hAnsi="Arial" w:cs="Arial"/>
          <w:bCs/>
          <w:sz w:val="26"/>
          <w:szCs w:val="26"/>
          <w:lang w:eastAsia="es-MX"/>
        </w:rPr>
      </w:pPr>
      <w:r>
        <w:rPr>
          <w:rFonts w:ascii="Arial" w:eastAsia="Times New Roman" w:hAnsi="Arial" w:cs="Arial"/>
          <w:bCs/>
          <w:sz w:val="26"/>
          <w:szCs w:val="26"/>
          <w:lang w:eastAsia="es-MX"/>
        </w:rPr>
        <w:t>Siendo así</w:t>
      </w:r>
      <w:r w:rsidRPr="0058323B">
        <w:rPr>
          <w:rFonts w:ascii="Arial" w:eastAsia="Times New Roman" w:hAnsi="Arial" w:cs="Arial"/>
          <w:bCs/>
          <w:sz w:val="26"/>
          <w:szCs w:val="26"/>
          <w:lang w:eastAsia="es-MX"/>
        </w:rPr>
        <w:t xml:space="preserve">, </w:t>
      </w:r>
      <w:r>
        <w:rPr>
          <w:rFonts w:ascii="Arial" w:eastAsia="Times New Roman" w:hAnsi="Arial" w:cs="Arial"/>
          <w:bCs/>
          <w:sz w:val="26"/>
          <w:szCs w:val="26"/>
          <w:lang w:eastAsia="es-MX"/>
        </w:rPr>
        <w:t>se concluye</w:t>
      </w:r>
      <w:r w:rsidRPr="0058323B">
        <w:rPr>
          <w:rFonts w:ascii="Arial" w:eastAsia="Times New Roman" w:hAnsi="Arial" w:cs="Arial"/>
          <w:bCs/>
          <w:sz w:val="26"/>
          <w:szCs w:val="26"/>
          <w:lang w:eastAsia="es-MX"/>
        </w:rPr>
        <w:t xml:space="preserve"> que </w:t>
      </w:r>
      <w:r>
        <w:rPr>
          <w:rFonts w:ascii="Arial" w:eastAsia="Times New Roman" w:hAnsi="Arial" w:cs="Arial"/>
          <w:bCs/>
          <w:sz w:val="26"/>
          <w:szCs w:val="26"/>
          <w:lang w:eastAsia="es-MX"/>
        </w:rPr>
        <w:t xml:space="preserve">citar </w:t>
      </w:r>
      <w:r w:rsidRPr="0058323B">
        <w:rPr>
          <w:rFonts w:ascii="Arial" w:eastAsia="Times New Roman" w:hAnsi="Arial" w:cs="Arial"/>
          <w:bCs/>
          <w:sz w:val="26"/>
          <w:szCs w:val="26"/>
          <w:lang w:eastAsia="es-MX"/>
        </w:rPr>
        <w:t xml:space="preserve">en el acto de molestia </w:t>
      </w:r>
      <w:r>
        <w:rPr>
          <w:rFonts w:ascii="Arial" w:eastAsia="Times New Roman" w:hAnsi="Arial" w:cs="Arial"/>
          <w:bCs/>
          <w:sz w:val="26"/>
          <w:szCs w:val="26"/>
          <w:lang w:eastAsia="es-MX"/>
        </w:rPr>
        <w:t xml:space="preserve">el fundamento de </w:t>
      </w:r>
      <w:r w:rsidRPr="0058323B">
        <w:rPr>
          <w:rFonts w:ascii="Arial" w:eastAsia="Times New Roman" w:hAnsi="Arial" w:cs="Arial"/>
          <w:bCs/>
          <w:sz w:val="26"/>
          <w:szCs w:val="26"/>
          <w:lang w:eastAsia="es-MX"/>
        </w:rPr>
        <w:t>la competencia de la autoridad</w:t>
      </w:r>
      <w:r>
        <w:rPr>
          <w:rFonts w:ascii="Arial" w:eastAsia="Times New Roman" w:hAnsi="Arial" w:cs="Arial"/>
          <w:bCs/>
          <w:sz w:val="26"/>
          <w:szCs w:val="26"/>
          <w:lang w:eastAsia="es-MX"/>
        </w:rPr>
        <w:t xml:space="preserve"> emisora</w:t>
      </w:r>
      <w:r w:rsidRPr="0058323B">
        <w:rPr>
          <w:rFonts w:ascii="Arial" w:eastAsia="Times New Roman" w:hAnsi="Arial" w:cs="Arial"/>
          <w:bCs/>
          <w:sz w:val="26"/>
          <w:szCs w:val="26"/>
          <w:lang w:eastAsia="es-MX"/>
        </w:rPr>
        <w:t xml:space="preserve">, constituye un requisito esencial y una obligación </w:t>
      </w:r>
      <w:r>
        <w:rPr>
          <w:rFonts w:ascii="Arial" w:eastAsia="Times New Roman" w:hAnsi="Arial" w:cs="Arial"/>
          <w:bCs/>
          <w:sz w:val="26"/>
          <w:szCs w:val="26"/>
          <w:lang w:eastAsia="es-MX"/>
        </w:rPr>
        <w:t xml:space="preserve">ineludible </w:t>
      </w:r>
      <w:r w:rsidRPr="0058323B">
        <w:rPr>
          <w:rFonts w:ascii="Arial" w:eastAsia="Times New Roman" w:hAnsi="Arial" w:cs="Arial"/>
          <w:bCs/>
          <w:sz w:val="26"/>
          <w:szCs w:val="26"/>
          <w:lang w:eastAsia="es-MX"/>
        </w:rPr>
        <w:t>de la autoridad, pues ésta sólo puede hacer lo que la ley le permite, de ahí que la validez del acto dependerá de que haya sido realizado por la autoridad facultada leg</w:t>
      </w:r>
      <w:r>
        <w:rPr>
          <w:rFonts w:ascii="Arial" w:eastAsia="Times New Roman" w:hAnsi="Arial" w:cs="Arial"/>
          <w:bCs/>
          <w:sz w:val="26"/>
          <w:szCs w:val="26"/>
          <w:lang w:eastAsia="es-MX"/>
        </w:rPr>
        <w:t>almente para ello, dentro del ámbito de su</w:t>
      </w:r>
      <w:r w:rsidRPr="0058323B">
        <w:rPr>
          <w:rFonts w:ascii="Arial" w:eastAsia="Times New Roman" w:hAnsi="Arial" w:cs="Arial"/>
          <w:bCs/>
          <w:sz w:val="26"/>
          <w:szCs w:val="26"/>
          <w:lang w:eastAsia="es-MX"/>
        </w:rPr>
        <w:t xml:space="preserve"> competencia, </w:t>
      </w:r>
      <w:r w:rsidR="00CD78E1">
        <w:rPr>
          <w:rFonts w:ascii="Arial" w:eastAsia="Times New Roman" w:hAnsi="Arial" w:cs="Arial"/>
          <w:bCs/>
          <w:sz w:val="26"/>
          <w:szCs w:val="26"/>
          <w:lang w:eastAsia="es-MX"/>
        </w:rPr>
        <w:t>normado</w:t>
      </w:r>
      <w:r w:rsidR="00CD78E1" w:rsidRPr="0058323B">
        <w:rPr>
          <w:rFonts w:ascii="Arial" w:eastAsia="Times New Roman" w:hAnsi="Arial" w:cs="Arial"/>
          <w:bCs/>
          <w:sz w:val="26"/>
          <w:szCs w:val="26"/>
          <w:lang w:eastAsia="es-MX"/>
        </w:rPr>
        <w:t xml:space="preserve"> por</w:t>
      </w:r>
      <w:r w:rsidRPr="0058323B">
        <w:rPr>
          <w:rFonts w:ascii="Arial" w:eastAsia="Times New Roman" w:hAnsi="Arial" w:cs="Arial"/>
          <w:bCs/>
          <w:sz w:val="26"/>
          <w:szCs w:val="26"/>
          <w:lang w:eastAsia="es-MX"/>
        </w:rPr>
        <w:t xml:space="preserve"> una o </w:t>
      </w:r>
      <w:r>
        <w:rPr>
          <w:rFonts w:ascii="Arial" w:eastAsia="Times New Roman" w:hAnsi="Arial" w:cs="Arial"/>
          <w:bCs/>
          <w:sz w:val="26"/>
          <w:szCs w:val="26"/>
          <w:lang w:eastAsia="es-MX"/>
        </w:rPr>
        <w:t>varias normas que así lo permitan.</w:t>
      </w:r>
    </w:p>
    <w:p w14:paraId="461CD244" w14:textId="440F7E3A" w:rsidR="00E15BB1" w:rsidRDefault="00E15BB1" w:rsidP="00E15BB1">
      <w:pPr>
        <w:spacing w:after="0" w:line="360" w:lineRule="auto"/>
        <w:ind w:firstLine="708"/>
        <w:jc w:val="both"/>
        <w:rPr>
          <w:rFonts w:ascii="Arial" w:eastAsia="Times New Roman" w:hAnsi="Arial" w:cs="Arial"/>
          <w:bCs/>
          <w:sz w:val="26"/>
          <w:szCs w:val="26"/>
          <w:lang w:eastAsia="es-MX"/>
        </w:rPr>
      </w:pPr>
      <w:r>
        <w:rPr>
          <w:rFonts w:ascii="Arial" w:eastAsia="Times New Roman" w:hAnsi="Arial" w:cs="Arial"/>
          <w:bCs/>
          <w:sz w:val="26"/>
          <w:szCs w:val="26"/>
          <w:lang w:eastAsia="es-MX"/>
        </w:rPr>
        <w:t>Lo precedente</w:t>
      </w:r>
      <w:r w:rsidRPr="0058323B">
        <w:rPr>
          <w:rFonts w:ascii="Arial" w:eastAsia="Times New Roman" w:hAnsi="Arial" w:cs="Arial"/>
          <w:bCs/>
          <w:sz w:val="26"/>
          <w:szCs w:val="26"/>
          <w:lang w:eastAsia="es-MX"/>
        </w:rPr>
        <w:t xml:space="preserve"> es así, porque no es </w:t>
      </w:r>
      <w:r>
        <w:rPr>
          <w:rFonts w:ascii="Arial" w:eastAsia="Times New Roman" w:hAnsi="Arial" w:cs="Arial"/>
          <w:bCs/>
          <w:sz w:val="26"/>
          <w:szCs w:val="26"/>
          <w:lang w:eastAsia="es-MX"/>
        </w:rPr>
        <w:t>admisible</w:t>
      </w:r>
      <w:r w:rsidRPr="0058323B">
        <w:rPr>
          <w:rFonts w:ascii="Arial" w:eastAsia="Times New Roman" w:hAnsi="Arial" w:cs="Arial"/>
          <w:bCs/>
          <w:sz w:val="26"/>
          <w:szCs w:val="26"/>
          <w:lang w:eastAsia="es-MX"/>
        </w:rPr>
        <w:t xml:space="preserve"> </w:t>
      </w:r>
      <w:r>
        <w:rPr>
          <w:rFonts w:ascii="Arial" w:eastAsia="Times New Roman" w:hAnsi="Arial" w:cs="Arial"/>
          <w:bCs/>
          <w:sz w:val="26"/>
          <w:szCs w:val="26"/>
          <w:lang w:eastAsia="es-MX"/>
        </w:rPr>
        <w:t>guarecer en la garantía de legalidad</w:t>
      </w:r>
      <w:r w:rsidRPr="0058323B">
        <w:rPr>
          <w:rFonts w:ascii="Arial" w:eastAsia="Times New Roman" w:hAnsi="Arial" w:cs="Arial"/>
          <w:bCs/>
          <w:sz w:val="26"/>
          <w:szCs w:val="26"/>
          <w:lang w:eastAsia="es-MX"/>
        </w:rPr>
        <w:t xml:space="preserve">, ninguna clase de ambigüedad, </w:t>
      </w:r>
      <w:r>
        <w:rPr>
          <w:rFonts w:ascii="Arial" w:eastAsia="Times New Roman" w:hAnsi="Arial" w:cs="Arial"/>
          <w:bCs/>
          <w:sz w:val="26"/>
          <w:szCs w:val="26"/>
          <w:lang w:eastAsia="es-MX"/>
        </w:rPr>
        <w:t>porque su</w:t>
      </w:r>
      <w:r w:rsidRPr="0058323B">
        <w:rPr>
          <w:rFonts w:ascii="Arial" w:eastAsia="Times New Roman" w:hAnsi="Arial" w:cs="Arial"/>
          <w:bCs/>
          <w:sz w:val="26"/>
          <w:szCs w:val="26"/>
          <w:lang w:eastAsia="es-MX"/>
        </w:rPr>
        <w:t xml:space="preserve"> finalidad </w:t>
      </w:r>
      <w:r>
        <w:rPr>
          <w:rFonts w:ascii="Arial" w:eastAsia="Times New Roman" w:hAnsi="Arial" w:cs="Arial"/>
          <w:bCs/>
          <w:sz w:val="26"/>
          <w:szCs w:val="26"/>
          <w:lang w:eastAsia="es-MX"/>
        </w:rPr>
        <w:t>consiste en una particularización</w:t>
      </w:r>
      <w:r w:rsidRPr="0058323B">
        <w:rPr>
          <w:rFonts w:ascii="Arial" w:eastAsia="Times New Roman" w:hAnsi="Arial" w:cs="Arial"/>
          <w:bCs/>
          <w:sz w:val="26"/>
          <w:szCs w:val="26"/>
          <w:lang w:eastAsia="es-MX"/>
        </w:rPr>
        <w:t xml:space="preserve"> del acto de </w:t>
      </w:r>
      <w:r w:rsidR="00CD78E1" w:rsidRPr="0058323B">
        <w:rPr>
          <w:rFonts w:ascii="Arial" w:eastAsia="Times New Roman" w:hAnsi="Arial" w:cs="Arial"/>
          <w:bCs/>
          <w:sz w:val="26"/>
          <w:szCs w:val="26"/>
          <w:lang w:eastAsia="es-MX"/>
        </w:rPr>
        <w:t>autoridad, acorde</w:t>
      </w:r>
      <w:r w:rsidRPr="0058323B">
        <w:rPr>
          <w:rFonts w:ascii="Arial" w:eastAsia="Times New Roman" w:hAnsi="Arial" w:cs="Arial"/>
          <w:bCs/>
          <w:sz w:val="26"/>
          <w:szCs w:val="26"/>
          <w:lang w:eastAsia="es-MX"/>
        </w:rPr>
        <w:t xml:space="preserve"> a la hipótesis jurídica en que se ubique el </w:t>
      </w:r>
      <w:r>
        <w:rPr>
          <w:rFonts w:ascii="Arial" w:eastAsia="Times New Roman" w:hAnsi="Arial" w:cs="Arial"/>
          <w:bCs/>
          <w:sz w:val="26"/>
          <w:szCs w:val="26"/>
          <w:lang w:eastAsia="es-MX"/>
        </w:rPr>
        <w:t>administrado</w:t>
      </w:r>
      <w:r w:rsidRPr="0058323B">
        <w:rPr>
          <w:rFonts w:ascii="Arial" w:eastAsia="Times New Roman" w:hAnsi="Arial" w:cs="Arial"/>
          <w:bCs/>
          <w:sz w:val="26"/>
          <w:szCs w:val="26"/>
          <w:lang w:eastAsia="es-MX"/>
        </w:rPr>
        <w:t xml:space="preserve"> en relación con las faculta</w:t>
      </w:r>
      <w:r>
        <w:rPr>
          <w:rFonts w:ascii="Arial" w:eastAsia="Times New Roman" w:hAnsi="Arial" w:cs="Arial"/>
          <w:bCs/>
          <w:sz w:val="26"/>
          <w:szCs w:val="26"/>
          <w:lang w:eastAsia="es-MX"/>
        </w:rPr>
        <w:t>des de la autoridad, por motivos</w:t>
      </w:r>
      <w:r w:rsidRPr="0058323B">
        <w:rPr>
          <w:rFonts w:ascii="Arial" w:eastAsia="Times New Roman" w:hAnsi="Arial" w:cs="Arial"/>
          <w:bCs/>
          <w:sz w:val="26"/>
          <w:szCs w:val="26"/>
          <w:lang w:eastAsia="es-MX"/>
        </w:rPr>
        <w:t xml:space="preserve"> de seguridad jurídica.</w:t>
      </w:r>
    </w:p>
    <w:p w14:paraId="5ABB47F4" w14:textId="300072B5" w:rsidR="00E15BB1" w:rsidRDefault="00E15BB1" w:rsidP="00E15BB1">
      <w:pPr>
        <w:spacing w:after="0" w:line="360" w:lineRule="auto"/>
        <w:ind w:firstLine="708"/>
        <w:jc w:val="both"/>
        <w:rPr>
          <w:rFonts w:ascii="Arial" w:hAnsi="Arial" w:cs="Arial"/>
          <w:sz w:val="26"/>
          <w:szCs w:val="26"/>
        </w:rPr>
      </w:pPr>
      <w:r>
        <w:rPr>
          <w:rFonts w:ascii="Arial" w:hAnsi="Arial" w:cs="Arial"/>
          <w:sz w:val="26"/>
          <w:szCs w:val="26"/>
        </w:rPr>
        <w:t>Por lo anteriormente expuesto, es procedente</w:t>
      </w:r>
      <w:r w:rsidRPr="00894AC8">
        <w:rPr>
          <w:rFonts w:ascii="Arial" w:hAnsi="Arial" w:cs="Arial"/>
          <w:sz w:val="26"/>
          <w:szCs w:val="26"/>
        </w:rPr>
        <w:t xml:space="preserve"> </w:t>
      </w:r>
      <w:r w:rsidRPr="00490F6E">
        <w:rPr>
          <w:rFonts w:ascii="Arial" w:hAnsi="Arial" w:cs="Arial"/>
          <w:b/>
          <w:sz w:val="26"/>
          <w:szCs w:val="26"/>
        </w:rPr>
        <w:t>REVOCA</w:t>
      </w:r>
      <w:r>
        <w:rPr>
          <w:rFonts w:ascii="Arial" w:hAnsi="Arial" w:cs="Arial"/>
          <w:b/>
          <w:sz w:val="26"/>
          <w:szCs w:val="26"/>
        </w:rPr>
        <w:t>R</w:t>
      </w:r>
      <w:r w:rsidRPr="00894AC8">
        <w:rPr>
          <w:rFonts w:ascii="Arial" w:hAnsi="Arial" w:cs="Arial"/>
          <w:b/>
          <w:sz w:val="26"/>
          <w:szCs w:val="26"/>
        </w:rPr>
        <w:t xml:space="preserve"> </w:t>
      </w:r>
      <w:r w:rsidRPr="00894AC8">
        <w:rPr>
          <w:rFonts w:ascii="Arial" w:hAnsi="Arial" w:cs="Arial"/>
          <w:sz w:val="26"/>
          <w:szCs w:val="26"/>
        </w:rPr>
        <w:t xml:space="preserve">la sentencia </w:t>
      </w:r>
      <w:r>
        <w:rPr>
          <w:rFonts w:ascii="Arial" w:hAnsi="Arial" w:cs="Arial"/>
          <w:sz w:val="26"/>
          <w:szCs w:val="26"/>
        </w:rPr>
        <w:t xml:space="preserve">de fecha veintidós de abril de dos mil diecinueve y se  </w:t>
      </w:r>
      <w:r>
        <w:rPr>
          <w:rFonts w:ascii="Arial" w:hAnsi="Arial" w:cs="Arial"/>
          <w:b/>
          <w:sz w:val="26"/>
          <w:szCs w:val="26"/>
        </w:rPr>
        <w:t>DECLARA</w:t>
      </w:r>
      <w:r w:rsidRPr="00490F6E">
        <w:rPr>
          <w:rFonts w:ascii="Arial" w:hAnsi="Arial" w:cs="Arial"/>
          <w:b/>
          <w:sz w:val="26"/>
          <w:szCs w:val="26"/>
        </w:rPr>
        <w:t xml:space="preserve"> LA NULIDAD LISA Y LLANA</w:t>
      </w:r>
      <w:r>
        <w:rPr>
          <w:rFonts w:ascii="Arial" w:hAnsi="Arial" w:cs="Arial"/>
          <w:b/>
          <w:sz w:val="26"/>
          <w:szCs w:val="26"/>
        </w:rPr>
        <w:t xml:space="preserve"> </w:t>
      </w:r>
      <w:r>
        <w:rPr>
          <w:rFonts w:ascii="Arial" w:hAnsi="Arial" w:cs="Arial"/>
          <w:sz w:val="26"/>
          <w:szCs w:val="26"/>
        </w:rPr>
        <w:t xml:space="preserve">del acta de infracción con folio </w:t>
      </w:r>
      <w:r w:rsidR="00EA15A6" w:rsidRPr="00EA15A6">
        <w:rPr>
          <w:rFonts w:ascii="Arial" w:hAnsi="Arial" w:cs="Arial"/>
          <w:b/>
          <w:sz w:val="26"/>
          <w:szCs w:val="26"/>
        </w:rPr>
        <w:t>*********</w:t>
      </w:r>
      <w:r>
        <w:rPr>
          <w:rFonts w:ascii="Arial" w:hAnsi="Arial" w:cs="Arial"/>
          <w:sz w:val="26"/>
          <w:szCs w:val="26"/>
        </w:rPr>
        <w:t xml:space="preserve"> de veintidós de abril de dos mil diecinueve, levantada por el Policía Vial con número estadístico </w:t>
      </w:r>
      <w:r w:rsidR="00EA15A6" w:rsidRPr="00EA15A6">
        <w:rPr>
          <w:rFonts w:ascii="Arial" w:hAnsi="Arial" w:cs="Arial"/>
          <w:b/>
          <w:sz w:val="26"/>
          <w:szCs w:val="26"/>
        </w:rPr>
        <w:t>**********</w:t>
      </w:r>
      <w:r w:rsidRPr="00EA15A6">
        <w:rPr>
          <w:rFonts w:ascii="Arial" w:hAnsi="Arial" w:cs="Arial"/>
          <w:b/>
          <w:sz w:val="26"/>
          <w:szCs w:val="26"/>
        </w:rPr>
        <w:t>,</w:t>
      </w:r>
      <w:r>
        <w:rPr>
          <w:rFonts w:ascii="Arial" w:hAnsi="Arial" w:cs="Arial"/>
          <w:sz w:val="26"/>
          <w:szCs w:val="26"/>
        </w:rPr>
        <w:t xml:space="preserve"> adscrito a la Comisaría de Vialidad del Municipio de Oaxaca de Juárez;</w:t>
      </w:r>
      <w:r w:rsidRPr="00FC7072">
        <w:rPr>
          <w:rFonts w:ascii="Arial" w:hAnsi="Arial" w:cs="Arial"/>
          <w:sz w:val="26"/>
          <w:szCs w:val="26"/>
        </w:rPr>
        <w:t xml:space="preserve"> </w:t>
      </w:r>
      <w:r>
        <w:rPr>
          <w:rFonts w:ascii="Arial" w:eastAsia="Times New Roman" w:hAnsi="Arial" w:cs="Arial"/>
          <w:bCs/>
          <w:sz w:val="26"/>
          <w:szCs w:val="26"/>
          <w:lang w:eastAsia="es-ES"/>
        </w:rPr>
        <w:t>y derivado de ello, conforme</w:t>
      </w:r>
      <w:r w:rsidRPr="00C17828">
        <w:rPr>
          <w:rFonts w:ascii="Arial" w:hAnsi="Arial" w:cs="Arial"/>
          <w:sz w:val="26"/>
          <w:szCs w:val="26"/>
        </w:rPr>
        <w:t xml:space="preserve"> al principio general de derecho que </w:t>
      </w:r>
      <w:r>
        <w:rPr>
          <w:rFonts w:ascii="Arial" w:hAnsi="Arial" w:cs="Arial"/>
          <w:sz w:val="26"/>
          <w:szCs w:val="26"/>
        </w:rPr>
        <w:t xml:space="preserve">estipula </w:t>
      </w:r>
      <w:r w:rsidRPr="00C17828">
        <w:rPr>
          <w:rFonts w:ascii="Arial" w:hAnsi="Arial" w:cs="Arial"/>
          <w:sz w:val="26"/>
          <w:szCs w:val="26"/>
        </w:rPr>
        <w:t xml:space="preserve">que </w:t>
      </w:r>
      <w:r>
        <w:rPr>
          <w:rFonts w:ascii="Arial" w:hAnsi="Arial" w:cs="Arial"/>
          <w:sz w:val="26"/>
          <w:szCs w:val="26"/>
        </w:rPr>
        <w:t>“</w:t>
      </w:r>
      <w:r w:rsidRPr="00180950">
        <w:rPr>
          <w:rFonts w:ascii="Arial" w:hAnsi="Arial" w:cs="Arial"/>
          <w:i/>
          <w:sz w:val="26"/>
          <w:szCs w:val="26"/>
        </w:rPr>
        <w:t>lo accesorio sigue la suerte de lo principal</w:t>
      </w:r>
      <w:r>
        <w:rPr>
          <w:rFonts w:ascii="Arial" w:hAnsi="Arial" w:cs="Arial"/>
          <w:i/>
          <w:sz w:val="26"/>
          <w:szCs w:val="26"/>
        </w:rPr>
        <w:t>”</w:t>
      </w:r>
      <w:r w:rsidRPr="00180950">
        <w:rPr>
          <w:rFonts w:ascii="Arial" w:hAnsi="Arial" w:cs="Arial"/>
          <w:sz w:val="26"/>
          <w:szCs w:val="26"/>
        </w:rPr>
        <w:t>,</w:t>
      </w:r>
      <w:r w:rsidRPr="00C17828">
        <w:rPr>
          <w:rFonts w:ascii="Arial" w:hAnsi="Arial" w:cs="Arial"/>
          <w:sz w:val="26"/>
          <w:szCs w:val="26"/>
        </w:rPr>
        <w:t xml:space="preserve"> </w:t>
      </w:r>
      <w:r w:rsidRPr="00215966">
        <w:rPr>
          <w:rFonts w:ascii="Arial" w:eastAsia="Times New Roman" w:hAnsi="Arial" w:cs="Arial"/>
          <w:bCs/>
          <w:sz w:val="26"/>
          <w:szCs w:val="26"/>
          <w:lang w:eastAsia="es-ES"/>
        </w:rPr>
        <w:t xml:space="preserve">se ordena a la autoridad </w:t>
      </w:r>
      <w:r>
        <w:rPr>
          <w:rFonts w:ascii="Arial" w:eastAsia="Times New Roman" w:hAnsi="Arial" w:cs="Arial"/>
          <w:bCs/>
          <w:sz w:val="26"/>
          <w:szCs w:val="26"/>
          <w:lang w:eastAsia="es-ES"/>
        </w:rPr>
        <w:t xml:space="preserve">demandada que </w:t>
      </w:r>
      <w:r w:rsidRPr="00F70B0E">
        <w:rPr>
          <w:rFonts w:ascii="Arial" w:eastAsia="Times New Roman" w:hAnsi="Arial" w:cs="Arial"/>
          <w:bCs/>
          <w:sz w:val="26"/>
          <w:szCs w:val="26"/>
          <w:lang w:eastAsia="es-ES"/>
        </w:rPr>
        <w:t>haga entrega a</w:t>
      </w:r>
      <w:r>
        <w:rPr>
          <w:rFonts w:ascii="Arial" w:eastAsia="Times New Roman" w:hAnsi="Arial" w:cs="Arial"/>
          <w:b/>
          <w:bCs/>
          <w:sz w:val="26"/>
          <w:szCs w:val="26"/>
          <w:lang w:eastAsia="es-ES"/>
        </w:rPr>
        <w:t xml:space="preserve"> </w:t>
      </w:r>
      <w:r w:rsidR="00EA15A6">
        <w:rPr>
          <w:rFonts w:ascii="Arial" w:eastAsia="Times New Roman" w:hAnsi="Arial" w:cs="Arial"/>
          <w:b/>
          <w:bCs/>
          <w:sz w:val="26"/>
          <w:szCs w:val="26"/>
          <w:lang w:eastAsia="es-ES"/>
        </w:rPr>
        <w:t>**********</w:t>
      </w:r>
      <w:r w:rsidRPr="00180950">
        <w:rPr>
          <w:rFonts w:ascii="Arial" w:eastAsia="Times New Roman" w:hAnsi="Arial" w:cs="Arial"/>
          <w:b/>
          <w:bCs/>
          <w:sz w:val="26"/>
          <w:szCs w:val="26"/>
          <w:lang w:eastAsia="es-ES"/>
        </w:rPr>
        <w:t xml:space="preserve">, </w:t>
      </w:r>
      <w:r w:rsidRPr="00F70B0E">
        <w:rPr>
          <w:rFonts w:ascii="Arial" w:eastAsia="Times New Roman" w:hAnsi="Arial" w:cs="Arial"/>
          <w:bCs/>
          <w:sz w:val="26"/>
          <w:szCs w:val="26"/>
          <w:lang w:eastAsia="es-ES"/>
        </w:rPr>
        <w:t>de</w:t>
      </w:r>
      <w:r w:rsidRPr="00F70B0E">
        <w:rPr>
          <w:rFonts w:ascii="Arial" w:eastAsia="Times New Roman" w:hAnsi="Arial" w:cs="Arial"/>
          <w:b/>
          <w:bCs/>
          <w:sz w:val="26"/>
          <w:szCs w:val="26"/>
          <w:lang w:eastAsia="es-ES"/>
        </w:rPr>
        <w:t xml:space="preserve"> </w:t>
      </w:r>
      <w:r w:rsidRPr="00F70B0E">
        <w:rPr>
          <w:rFonts w:ascii="Arial" w:eastAsia="Times New Roman" w:hAnsi="Arial" w:cs="Arial"/>
          <w:bCs/>
          <w:sz w:val="26"/>
          <w:szCs w:val="26"/>
          <w:lang w:eastAsia="es-ES"/>
        </w:rPr>
        <w:t xml:space="preserve">la </w:t>
      </w:r>
      <w:r>
        <w:rPr>
          <w:rFonts w:ascii="Arial" w:eastAsia="Times New Roman" w:hAnsi="Arial" w:cs="Arial"/>
          <w:bCs/>
          <w:sz w:val="26"/>
          <w:szCs w:val="26"/>
          <w:lang w:eastAsia="es-ES"/>
        </w:rPr>
        <w:t xml:space="preserve">licencia de conducir </w:t>
      </w:r>
      <w:r w:rsidRPr="00F70B0E">
        <w:rPr>
          <w:rFonts w:ascii="Arial" w:eastAsia="Times New Roman" w:hAnsi="Arial" w:cs="Arial"/>
          <w:bCs/>
          <w:sz w:val="26"/>
          <w:szCs w:val="26"/>
          <w:lang w:eastAsia="es-ES"/>
        </w:rPr>
        <w:t>que le fue retenida como garantía de pago</w:t>
      </w:r>
      <w:r w:rsidRPr="00F70B0E">
        <w:rPr>
          <w:rFonts w:ascii="Arial" w:hAnsi="Arial" w:cs="Arial"/>
          <w:sz w:val="26"/>
          <w:szCs w:val="26"/>
        </w:rPr>
        <w:t xml:space="preserve">; </w:t>
      </w:r>
      <w:r>
        <w:rPr>
          <w:rFonts w:ascii="Arial" w:hAnsi="Arial" w:cs="Arial"/>
          <w:sz w:val="26"/>
          <w:szCs w:val="26"/>
        </w:rPr>
        <w:t>porque ese acto</w:t>
      </w:r>
      <w:r w:rsidRPr="00C17828">
        <w:rPr>
          <w:rFonts w:ascii="Arial" w:hAnsi="Arial" w:cs="Arial"/>
          <w:sz w:val="26"/>
          <w:szCs w:val="26"/>
        </w:rPr>
        <w:t xml:space="preserve"> </w:t>
      </w:r>
      <w:r>
        <w:rPr>
          <w:rFonts w:ascii="Arial" w:hAnsi="Arial" w:cs="Arial"/>
          <w:sz w:val="26"/>
          <w:szCs w:val="26"/>
        </w:rPr>
        <w:t xml:space="preserve">proviene </w:t>
      </w:r>
      <w:r w:rsidRPr="00C17828">
        <w:rPr>
          <w:rFonts w:ascii="Arial" w:hAnsi="Arial" w:cs="Arial"/>
          <w:sz w:val="26"/>
          <w:szCs w:val="26"/>
        </w:rPr>
        <w:t xml:space="preserve">de </w:t>
      </w:r>
      <w:r>
        <w:rPr>
          <w:rFonts w:ascii="Arial" w:hAnsi="Arial" w:cs="Arial"/>
          <w:sz w:val="26"/>
          <w:szCs w:val="26"/>
        </w:rPr>
        <w:t>otro</w:t>
      </w:r>
      <w:r w:rsidRPr="00C17828">
        <w:rPr>
          <w:rFonts w:ascii="Arial" w:hAnsi="Arial" w:cs="Arial"/>
          <w:sz w:val="26"/>
          <w:szCs w:val="26"/>
        </w:rPr>
        <w:t xml:space="preserve"> viciado de origen, </w:t>
      </w:r>
      <w:r>
        <w:rPr>
          <w:rFonts w:ascii="Arial" w:hAnsi="Arial" w:cs="Arial"/>
          <w:sz w:val="26"/>
          <w:szCs w:val="26"/>
        </w:rPr>
        <w:t xml:space="preserve">como </w:t>
      </w:r>
      <w:r w:rsidRPr="00C17828">
        <w:rPr>
          <w:rFonts w:ascii="Arial" w:hAnsi="Arial" w:cs="Arial"/>
          <w:sz w:val="26"/>
          <w:szCs w:val="26"/>
        </w:rPr>
        <w:t>es la ilegal acta de infracción impugnada en el presente juicio.</w:t>
      </w:r>
    </w:p>
    <w:p w14:paraId="5DC43FE5" w14:textId="77777777" w:rsidR="00E15BB1" w:rsidRPr="00F70B0E" w:rsidRDefault="00E15BB1" w:rsidP="00E15BB1">
      <w:pPr>
        <w:spacing w:after="0" w:line="360" w:lineRule="auto"/>
        <w:ind w:firstLine="708"/>
        <w:jc w:val="both"/>
        <w:rPr>
          <w:rFonts w:ascii="Arial" w:hAnsi="Arial" w:cs="Arial"/>
          <w:sz w:val="26"/>
          <w:szCs w:val="26"/>
        </w:rPr>
      </w:pPr>
      <w:r w:rsidRPr="00F70B0E">
        <w:rPr>
          <w:rFonts w:ascii="Arial" w:hAnsi="Arial" w:cs="Arial"/>
          <w:sz w:val="26"/>
          <w:szCs w:val="26"/>
        </w:rPr>
        <w:t xml:space="preserve">Resulta aplicable </w:t>
      </w:r>
      <w:r>
        <w:rPr>
          <w:rFonts w:ascii="Arial" w:hAnsi="Arial" w:cs="Arial"/>
          <w:sz w:val="26"/>
          <w:szCs w:val="26"/>
        </w:rPr>
        <w:t xml:space="preserve">al presente </w:t>
      </w:r>
      <w:r w:rsidRPr="00F70B0E">
        <w:rPr>
          <w:rFonts w:ascii="Arial" w:hAnsi="Arial" w:cs="Arial"/>
          <w:sz w:val="26"/>
          <w:szCs w:val="26"/>
        </w:rPr>
        <w:t>caso</w:t>
      </w:r>
      <w:r>
        <w:rPr>
          <w:rFonts w:ascii="Arial" w:hAnsi="Arial" w:cs="Arial"/>
          <w:sz w:val="26"/>
          <w:szCs w:val="26"/>
        </w:rPr>
        <w:t>,</w:t>
      </w:r>
      <w:r w:rsidRPr="00F70B0E">
        <w:rPr>
          <w:rFonts w:ascii="Arial" w:hAnsi="Arial" w:cs="Arial"/>
          <w:sz w:val="26"/>
          <w:szCs w:val="26"/>
        </w:rPr>
        <w:t xml:space="preserve"> la Jurisprudencia con número de registro 252,103, </w:t>
      </w:r>
      <w:r>
        <w:rPr>
          <w:rFonts w:ascii="Arial" w:hAnsi="Arial" w:cs="Arial"/>
          <w:sz w:val="26"/>
          <w:szCs w:val="26"/>
        </w:rPr>
        <w:t xml:space="preserve">perteneciente a la </w:t>
      </w:r>
      <w:r w:rsidRPr="00F70B0E">
        <w:rPr>
          <w:rFonts w:ascii="Arial" w:hAnsi="Arial" w:cs="Arial"/>
          <w:sz w:val="26"/>
          <w:szCs w:val="26"/>
        </w:rPr>
        <w:t xml:space="preserve">Séptima Época, </w:t>
      </w:r>
      <w:r>
        <w:rPr>
          <w:rFonts w:ascii="Arial" w:hAnsi="Arial" w:cs="Arial"/>
          <w:sz w:val="26"/>
          <w:szCs w:val="26"/>
        </w:rPr>
        <w:t xml:space="preserve">emitida por los </w:t>
      </w:r>
      <w:r w:rsidRPr="00F70B0E">
        <w:rPr>
          <w:rFonts w:ascii="Arial" w:hAnsi="Arial" w:cs="Arial"/>
          <w:sz w:val="26"/>
          <w:szCs w:val="26"/>
        </w:rPr>
        <w:lastRenderedPageBreak/>
        <w:t xml:space="preserve">Tribunales Colegiados de Circuito, </w:t>
      </w:r>
      <w:r>
        <w:rPr>
          <w:rFonts w:ascii="Arial" w:hAnsi="Arial" w:cs="Arial"/>
          <w:sz w:val="26"/>
          <w:szCs w:val="26"/>
        </w:rPr>
        <w:t>consultable en el</w:t>
      </w:r>
      <w:r w:rsidRPr="00F70B0E">
        <w:rPr>
          <w:rFonts w:ascii="Arial" w:hAnsi="Arial" w:cs="Arial"/>
          <w:sz w:val="26"/>
          <w:szCs w:val="26"/>
        </w:rPr>
        <w:t xml:space="preserve"> Semanario J</w:t>
      </w:r>
      <w:r>
        <w:rPr>
          <w:rFonts w:ascii="Arial" w:hAnsi="Arial" w:cs="Arial"/>
          <w:sz w:val="26"/>
          <w:szCs w:val="26"/>
        </w:rPr>
        <w:t>udicial de la Federación, Sexta Parte, página</w:t>
      </w:r>
      <w:r w:rsidRPr="00F70B0E">
        <w:rPr>
          <w:rFonts w:ascii="Arial" w:hAnsi="Arial" w:cs="Arial"/>
          <w:sz w:val="26"/>
          <w:szCs w:val="26"/>
        </w:rPr>
        <w:t xml:space="preserve"> 280</w:t>
      </w:r>
      <w:r>
        <w:rPr>
          <w:rFonts w:ascii="Arial" w:hAnsi="Arial" w:cs="Arial"/>
          <w:sz w:val="26"/>
          <w:szCs w:val="26"/>
        </w:rPr>
        <w:t xml:space="preserve">, de rubro y texto siguientes: </w:t>
      </w:r>
    </w:p>
    <w:p w14:paraId="4CD40F61" w14:textId="77777777" w:rsidR="00E15BB1" w:rsidRPr="001674DF" w:rsidRDefault="00E15BB1" w:rsidP="00E15BB1">
      <w:pPr>
        <w:pStyle w:val="Normal0"/>
        <w:spacing w:after="120" w:line="360" w:lineRule="auto"/>
        <w:ind w:left="851" w:right="758"/>
        <w:jc w:val="both"/>
        <w:rPr>
          <w:i/>
          <w:sz w:val="22"/>
          <w:szCs w:val="22"/>
        </w:rPr>
      </w:pPr>
      <w:r w:rsidRPr="001674DF">
        <w:rPr>
          <w:b/>
          <w:i/>
          <w:sz w:val="22"/>
          <w:szCs w:val="22"/>
        </w:rPr>
        <w:t>“ACTOS VICIADOS, FRUTOS DE.</w:t>
      </w:r>
      <w:r w:rsidRPr="001674DF">
        <w:rPr>
          <w:i/>
          <w:sz w:val="22"/>
          <w:szCs w:val="22"/>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 </w:t>
      </w:r>
    </w:p>
    <w:p w14:paraId="7E5ED83F" w14:textId="791FDB87" w:rsidR="00E15BB1" w:rsidRDefault="00E15BB1" w:rsidP="00E15BB1">
      <w:pPr>
        <w:spacing w:after="0" w:line="360" w:lineRule="auto"/>
        <w:ind w:right="49" w:firstLine="708"/>
        <w:jc w:val="both"/>
        <w:rPr>
          <w:rFonts w:ascii="Arial" w:hAnsi="Arial" w:cs="Arial"/>
          <w:i/>
          <w:sz w:val="26"/>
          <w:szCs w:val="26"/>
        </w:rPr>
      </w:pPr>
      <w:r>
        <w:rPr>
          <w:rFonts w:ascii="Arial" w:eastAsia="Calibri" w:hAnsi="Arial" w:cs="Arial"/>
          <w:sz w:val="26"/>
          <w:szCs w:val="26"/>
        </w:rPr>
        <w:t xml:space="preserve">Bajo esa consideración, </w:t>
      </w:r>
      <w:r w:rsidRPr="00B20ADC">
        <w:rPr>
          <w:rFonts w:ascii="Arial" w:eastAsia="Calibri" w:hAnsi="Arial" w:cs="Arial"/>
          <w:sz w:val="26"/>
          <w:szCs w:val="26"/>
        </w:rPr>
        <w:t xml:space="preserve">al haber resultado suficiente </w:t>
      </w:r>
      <w:r>
        <w:rPr>
          <w:rFonts w:ascii="Arial" w:eastAsia="Calibri" w:hAnsi="Arial" w:cs="Arial"/>
          <w:sz w:val="26"/>
          <w:szCs w:val="26"/>
        </w:rPr>
        <w:t xml:space="preserve">el estudio del segundo concepto </w:t>
      </w:r>
      <w:r w:rsidRPr="00B20ADC">
        <w:rPr>
          <w:rFonts w:ascii="Arial" w:eastAsia="Calibri" w:hAnsi="Arial" w:cs="Arial"/>
          <w:sz w:val="26"/>
          <w:szCs w:val="26"/>
        </w:rPr>
        <w:t>de impugnación</w:t>
      </w:r>
      <w:r>
        <w:rPr>
          <w:rFonts w:ascii="Arial" w:eastAsia="Calibri" w:hAnsi="Arial" w:cs="Arial"/>
          <w:sz w:val="26"/>
          <w:szCs w:val="26"/>
        </w:rPr>
        <w:t>,</w:t>
      </w:r>
      <w:r w:rsidRPr="00B20ADC">
        <w:rPr>
          <w:rFonts w:ascii="Arial" w:eastAsia="Calibri" w:hAnsi="Arial" w:cs="Arial"/>
          <w:sz w:val="26"/>
          <w:szCs w:val="26"/>
        </w:rPr>
        <w:t xml:space="preserve"> </w:t>
      </w:r>
      <w:r>
        <w:rPr>
          <w:rFonts w:ascii="Arial" w:eastAsia="Calibri" w:hAnsi="Arial" w:cs="Arial"/>
          <w:sz w:val="26"/>
          <w:szCs w:val="26"/>
        </w:rPr>
        <w:t xml:space="preserve">en el que se demostró la ilegalidad del acta de </w:t>
      </w:r>
      <w:r w:rsidRPr="000A326B">
        <w:rPr>
          <w:rFonts w:ascii="Arial" w:eastAsia="Calibri" w:hAnsi="Arial" w:cs="Arial"/>
          <w:sz w:val="26"/>
          <w:szCs w:val="26"/>
        </w:rPr>
        <w:t xml:space="preserve">infracción con folio </w:t>
      </w:r>
      <w:r w:rsidR="00EA15A6" w:rsidRPr="00EA15A6">
        <w:rPr>
          <w:rFonts w:ascii="Arial" w:eastAsia="Calibri" w:hAnsi="Arial" w:cs="Arial"/>
          <w:b/>
          <w:sz w:val="26"/>
          <w:szCs w:val="26"/>
        </w:rPr>
        <w:t>**********</w:t>
      </w:r>
      <w:r w:rsidRPr="000A326B">
        <w:rPr>
          <w:rFonts w:ascii="Arial" w:eastAsia="Calibri" w:hAnsi="Arial" w:cs="Arial"/>
          <w:sz w:val="26"/>
          <w:szCs w:val="26"/>
        </w:rPr>
        <w:t xml:space="preserve"> de veintidós de abril de dos mil diecinueve,</w:t>
      </w:r>
      <w:r>
        <w:rPr>
          <w:rFonts w:ascii="Arial" w:eastAsia="Calibri" w:hAnsi="Arial" w:cs="Arial"/>
          <w:sz w:val="26"/>
          <w:szCs w:val="26"/>
        </w:rPr>
        <w:t xml:space="preserve"> </w:t>
      </w:r>
      <w:r w:rsidRPr="00B20ADC">
        <w:rPr>
          <w:rFonts w:ascii="Arial" w:eastAsia="Calibri" w:hAnsi="Arial" w:cs="Arial"/>
          <w:sz w:val="26"/>
          <w:szCs w:val="26"/>
        </w:rPr>
        <w:t xml:space="preserve">por la </w:t>
      </w:r>
      <w:r>
        <w:rPr>
          <w:rFonts w:ascii="Arial" w:eastAsia="Calibri" w:hAnsi="Arial" w:cs="Arial"/>
          <w:sz w:val="26"/>
          <w:szCs w:val="26"/>
        </w:rPr>
        <w:t>falta de competencia territorial de la autoridad emisora</w:t>
      </w:r>
      <w:r w:rsidRPr="00B20ADC">
        <w:rPr>
          <w:rFonts w:ascii="Arial" w:eastAsia="Calibri" w:hAnsi="Arial" w:cs="Arial"/>
          <w:sz w:val="26"/>
          <w:szCs w:val="26"/>
        </w:rPr>
        <w:t xml:space="preserve">, </w:t>
      </w:r>
      <w:r>
        <w:rPr>
          <w:rFonts w:ascii="Arial" w:eastAsia="Calibri" w:hAnsi="Arial" w:cs="Arial"/>
          <w:sz w:val="26"/>
          <w:szCs w:val="26"/>
        </w:rPr>
        <w:t xml:space="preserve">lo </w:t>
      </w:r>
      <w:r w:rsidRPr="00B20ADC">
        <w:rPr>
          <w:rFonts w:ascii="Arial" w:eastAsia="Calibri" w:hAnsi="Arial" w:cs="Arial"/>
          <w:sz w:val="26"/>
          <w:szCs w:val="26"/>
        </w:rPr>
        <w:t xml:space="preserve">que </w:t>
      </w:r>
      <w:r>
        <w:rPr>
          <w:rFonts w:ascii="Arial" w:eastAsia="Calibri" w:hAnsi="Arial" w:cs="Arial"/>
          <w:sz w:val="26"/>
          <w:szCs w:val="26"/>
        </w:rPr>
        <w:t xml:space="preserve">implica declarar la nulidad lisa y llana del acto impugnado; por lo tanto, es innecesario analizar </w:t>
      </w:r>
      <w:r w:rsidRPr="00B20ADC">
        <w:rPr>
          <w:rFonts w:ascii="Arial" w:eastAsia="Calibri" w:hAnsi="Arial" w:cs="Arial"/>
          <w:sz w:val="26"/>
          <w:szCs w:val="26"/>
        </w:rPr>
        <w:t>l</w:t>
      </w:r>
      <w:r>
        <w:rPr>
          <w:rFonts w:ascii="Arial" w:eastAsia="Calibri" w:hAnsi="Arial" w:cs="Arial"/>
          <w:sz w:val="26"/>
          <w:szCs w:val="26"/>
        </w:rPr>
        <w:t>os</w:t>
      </w:r>
      <w:r w:rsidRPr="00B20ADC">
        <w:rPr>
          <w:rFonts w:ascii="Arial" w:eastAsia="Calibri" w:hAnsi="Arial" w:cs="Arial"/>
          <w:sz w:val="26"/>
          <w:szCs w:val="26"/>
        </w:rPr>
        <w:t xml:space="preserve"> demás motivos de </w:t>
      </w:r>
      <w:r>
        <w:rPr>
          <w:rFonts w:ascii="Arial" w:eastAsia="Calibri" w:hAnsi="Arial" w:cs="Arial"/>
          <w:sz w:val="26"/>
          <w:szCs w:val="26"/>
        </w:rPr>
        <w:t>inconformidad del escrito de demanda,</w:t>
      </w:r>
      <w:r w:rsidRPr="00B20ADC">
        <w:rPr>
          <w:rFonts w:ascii="Arial" w:eastAsia="Calibri" w:hAnsi="Arial" w:cs="Arial"/>
          <w:sz w:val="26"/>
          <w:szCs w:val="26"/>
        </w:rPr>
        <w:t xml:space="preserve"> pues en nada</w:t>
      </w:r>
      <w:r>
        <w:rPr>
          <w:rFonts w:ascii="Arial" w:eastAsia="Calibri" w:hAnsi="Arial" w:cs="Arial"/>
          <w:sz w:val="26"/>
          <w:szCs w:val="26"/>
        </w:rPr>
        <w:t xml:space="preserve"> variaría el sentido del fallo. Este señalamiento, se apoya</w:t>
      </w:r>
      <w:r w:rsidRPr="00B20ADC">
        <w:rPr>
          <w:rFonts w:ascii="Arial" w:eastAsia="Calibri" w:hAnsi="Arial" w:cs="Arial"/>
          <w:sz w:val="26"/>
          <w:szCs w:val="26"/>
        </w:rPr>
        <w:t xml:space="preserve"> en la </w:t>
      </w:r>
      <w:r w:rsidR="00CD78E1" w:rsidRPr="00B20ADC">
        <w:rPr>
          <w:rFonts w:ascii="Arial" w:eastAsia="Calibri" w:hAnsi="Arial" w:cs="Arial"/>
          <w:sz w:val="26"/>
          <w:szCs w:val="26"/>
        </w:rPr>
        <w:t xml:space="preserve">jurisprudencia </w:t>
      </w:r>
      <w:r w:rsidR="00CD78E1">
        <w:rPr>
          <w:rFonts w:ascii="Arial" w:hAnsi="Arial" w:cs="Arial"/>
          <w:sz w:val="26"/>
          <w:szCs w:val="26"/>
        </w:rPr>
        <w:t>I.2o.</w:t>
      </w:r>
      <w:r>
        <w:rPr>
          <w:rFonts w:ascii="Arial" w:hAnsi="Arial" w:cs="Arial"/>
          <w:sz w:val="26"/>
          <w:szCs w:val="26"/>
        </w:rPr>
        <w:t xml:space="preserve"> J/32, emitida por el</w:t>
      </w:r>
      <w:r w:rsidRPr="00B20ADC">
        <w:rPr>
          <w:rFonts w:ascii="Arial" w:hAnsi="Arial" w:cs="Arial"/>
          <w:sz w:val="26"/>
          <w:szCs w:val="26"/>
        </w:rPr>
        <w:t xml:space="preserve"> Segundo Tribunal </w:t>
      </w:r>
      <w:r w:rsidR="00CD78E1" w:rsidRPr="00B20ADC">
        <w:rPr>
          <w:rFonts w:ascii="Arial" w:hAnsi="Arial" w:cs="Arial"/>
          <w:sz w:val="26"/>
          <w:szCs w:val="26"/>
        </w:rPr>
        <w:t>Colegiado en</w:t>
      </w:r>
      <w:r w:rsidRPr="00B20ADC">
        <w:rPr>
          <w:rFonts w:ascii="Arial" w:hAnsi="Arial" w:cs="Arial"/>
          <w:sz w:val="26"/>
          <w:szCs w:val="26"/>
        </w:rPr>
        <w:t xml:space="preserve"> materia adminis</w:t>
      </w:r>
      <w:r>
        <w:rPr>
          <w:rFonts w:ascii="Arial" w:hAnsi="Arial" w:cs="Arial"/>
          <w:sz w:val="26"/>
          <w:szCs w:val="26"/>
        </w:rPr>
        <w:t>trativa del Primer Circuito, en la Novena É</w:t>
      </w:r>
      <w:r w:rsidRPr="00B20ADC">
        <w:rPr>
          <w:rFonts w:ascii="Arial" w:hAnsi="Arial" w:cs="Arial"/>
          <w:sz w:val="26"/>
          <w:szCs w:val="26"/>
        </w:rPr>
        <w:t>poca, publicada en el Sema</w:t>
      </w:r>
      <w:r>
        <w:rPr>
          <w:rFonts w:ascii="Arial" w:hAnsi="Arial" w:cs="Arial"/>
          <w:sz w:val="26"/>
          <w:szCs w:val="26"/>
        </w:rPr>
        <w:t xml:space="preserve">nario Judicial de la </w:t>
      </w:r>
      <w:r w:rsidR="00CD78E1">
        <w:rPr>
          <w:rFonts w:ascii="Arial" w:hAnsi="Arial" w:cs="Arial"/>
          <w:sz w:val="26"/>
          <w:szCs w:val="26"/>
        </w:rPr>
        <w:t>Federación</w:t>
      </w:r>
      <w:r w:rsidR="00CD78E1" w:rsidRPr="00B20ADC">
        <w:rPr>
          <w:rFonts w:ascii="Arial" w:hAnsi="Arial" w:cs="Arial"/>
          <w:sz w:val="26"/>
          <w:szCs w:val="26"/>
        </w:rPr>
        <w:t xml:space="preserve"> y</w:t>
      </w:r>
      <w:r w:rsidRPr="00B20ADC">
        <w:rPr>
          <w:rFonts w:ascii="Arial" w:hAnsi="Arial" w:cs="Arial"/>
          <w:sz w:val="26"/>
          <w:szCs w:val="26"/>
        </w:rPr>
        <w:t xml:space="preserve"> su Gaceta</w:t>
      </w:r>
      <w:r>
        <w:rPr>
          <w:rFonts w:ascii="Arial" w:hAnsi="Arial" w:cs="Arial"/>
          <w:sz w:val="26"/>
          <w:szCs w:val="26"/>
        </w:rPr>
        <w:t>,</w:t>
      </w:r>
      <w:r w:rsidRPr="00B20ADC">
        <w:rPr>
          <w:rFonts w:ascii="Arial" w:hAnsi="Arial" w:cs="Arial"/>
          <w:sz w:val="26"/>
          <w:szCs w:val="26"/>
        </w:rPr>
        <w:t xml:space="preserve"> Tomo X de agosto de 1</w:t>
      </w:r>
      <w:r>
        <w:rPr>
          <w:rFonts w:ascii="Arial" w:hAnsi="Arial" w:cs="Arial"/>
          <w:sz w:val="26"/>
          <w:szCs w:val="26"/>
        </w:rPr>
        <w:t xml:space="preserve">999, consultable a página 647, </w:t>
      </w:r>
      <w:r w:rsidRPr="00B20ADC">
        <w:rPr>
          <w:rFonts w:ascii="Arial" w:hAnsi="Arial" w:cs="Arial"/>
          <w:sz w:val="26"/>
          <w:szCs w:val="26"/>
        </w:rPr>
        <w:t xml:space="preserve">con </w:t>
      </w:r>
      <w:r w:rsidR="00CD78E1" w:rsidRPr="00B20ADC">
        <w:rPr>
          <w:rFonts w:ascii="Arial" w:hAnsi="Arial" w:cs="Arial"/>
          <w:sz w:val="26"/>
          <w:szCs w:val="26"/>
        </w:rPr>
        <w:t>el rubro</w:t>
      </w:r>
      <w:r w:rsidRPr="00B20ADC">
        <w:rPr>
          <w:rFonts w:ascii="Arial" w:hAnsi="Arial" w:cs="Arial"/>
          <w:sz w:val="26"/>
          <w:szCs w:val="26"/>
        </w:rPr>
        <w:t xml:space="preserve"> y texto del tenor literal siguientes</w:t>
      </w:r>
      <w:r w:rsidRPr="00606506">
        <w:rPr>
          <w:rFonts w:ascii="Arial" w:hAnsi="Arial" w:cs="Arial"/>
          <w:i/>
          <w:sz w:val="26"/>
          <w:szCs w:val="26"/>
        </w:rPr>
        <w:t>:</w:t>
      </w:r>
    </w:p>
    <w:p w14:paraId="179AEB31" w14:textId="77777777" w:rsidR="00E15BB1" w:rsidRPr="000A326B" w:rsidRDefault="00E15BB1" w:rsidP="00E15BB1">
      <w:pPr>
        <w:spacing w:after="0" w:line="360" w:lineRule="auto"/>
        <w:ind w:left="567" w:right="333"/>
        <w:jc w:val="both"/>
        <w:rPr>
          <w:rFonts w:ascii="Arial" w:hAnsi="Arial" w:cs="Arial"/>
          <w:i/>
          <w:sz w:val="26"/>
          <w:szCs w:val="26"/>
        </w:rPr>
      </w:pPr>
    </w:p>
    <w:p w14:paraId="2D3D657C" w14:textId="77777777" w:rsidR="00E15BB1" w:rsidRPr="001674DF" w:rsidRDefault="00E15BB1" w:rsidP="00E15BB1">
      <w:pPr>
        <w:spacing w:after="0" w:line="360" w:lineRule="auto"/>
        <w:ind w:left="567" w:right="333"/>
        <w:jc w:val="both"/>
        <w:rPr>
          <w:rFonts w:ascii="Arial" w:hAnsi="Arial" w:cs="Arial"/>
          <w:i/>
        </w:rPr>
      </w:pPr>
      <w:r w:rsidRPr="001674DF">
        <w:rPr>
          <w:rFonts w:ascii="Arial" w:hAnsi="Arial" w:cs="Arial"/>
          <w:b/>
          <w:i/>
        </w:rPr>
        <w:t>“CONCEPTOS DE ANULACIÓN. LA EXIGENCIA DE EXAMINARLOS EXHAUSTIVAMENTE DEBE PONDERARSE A LA LUZ DE CADA CONTROVERSIA EN PARTICULAR.</w:t>
      </w:r>
      <w:r w:rsidRPr="001674DF">
        <w:rPr>
          <w:rFonts w:ascii="Arial" w:hAnsi="Arial" w:cs="Arial"/>
          <w:i/>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sólo propiciaría la dilación de la justicia.</w:t>
      </w:r>
    </w:p>
    <w:p w14:paraId="276AFFBE" w14:textId="77777777" w:rsidR="00E15BB1" w:rsidRPr="001674DF" w:rsidRDefault="00E15BB1" w:rsidP="00E15BB1">
      <w:pPr>
        <w:spacing w:after="0" w:line="360" w:lineRule="auto"/>
        <w:ind w:left="567" w:right="333"/>
        <w:jc w:val="both"/>
        <w:rPr>
          <w:rFonts w:ascii="Arial" w:hAnsi="Arial" w:cs="Arial"/>
          <w:i/>
        </w:rPr>
      </w:pPr>
    </w:p>
    <w:p w14:paraId="4EE1F09E" w14:textId="77777777" w:rsidR="00E15BB1" w:rsidRPr="001674DF" w:rsidRDefault="00E15BB1" w:rsidP="00E15BB1">
      <w:pPr>
        <w:spacing w:after="0" w:line="360" w:lineRule="auto"/>
        <w:ind w:left="567" w:right="333"/>
        <w:jc w:val="both"/>
        <w:rPr>
          <w:rFonts w:ascii="Arial" w:hAnsi="Arial" w:cs="Arial"/>
          <w:i/>
        </w:rPr>
      </w:pPr>
      <w:r w:rsidRPr="001674DF">
        <w:rPr>
          <w:rFonts w:ascii="Arial" w:hAnsi="Arial" w:cs="Arial"/>
          <w:i/>
        </w:rPr>
        <w:t>SEGUNDO TRIBUNAL COLEGIADO EN MATERIA ADMINISTRATIVA DEL PRIMER CIRCUITO.”</w:t>
      </w:r>
    </w:p>
    <w:p w14:paraId="4CD8BA02" w14:textId="77777777" w:rsidR="00E15BB1" w:rsidRPr="00F96C3F" w:rsidRDefault="00E15BB1" w:rsidP="00E15BB1">
      <w:pPr>
        <w:spacing w:before="240" w:after="0" w:line="360" w:lineRule="auto"/>
        <w:ind w:firstLine="567"/>
        <w:jc w:val="both"/>
        <w:rPr>
          <w:rFonts w:ascii="Arial" w:hAnsi="Arial" w:cs="Arial"/>
          <w:b/>
          <w:sz w:val="26"/>
          <w:szCs w:val="26"/>
        </w:rPr>
      </w:pPr>
      <w:r>
        <w:rPr>
          <w:rFonts w:ascii="Arial" w:hAnsi="Arial" w:cs="Arial"/>
          <w:sz w:val="26"/>
          <w:szCs w:val="26"/>
        </w:rPr>
        <w:t>P</w:t>
      </w:r>
      <w:r w:rsidRPr="00403CFB">
        <w:rPr>
          <w:rFonts w:ascii="Arial" w:hAnsi="Arial" w:cs="Arial"/>
          <w:sz w:val="26"/>
          <w:szCs w:val="26"/>
        </w:rPr>
        <w:t xml:space="preserve">or </w:t>
      </w:r>
      <w:r>
        <w:rPr>
          <w:rFonts w:ascii="Arial" w:hAnsi="Arial" w:cs="Arial"/>
          <w:sz w:val="26"/>
          <w:szCs w:val="26"/>
        </w:rPr>
        <w:t>las razones antes expuestas</w:t>
      </w:r>
      <w:r w:rsidRPr="00403CFB">
        <w:rPr>
          <w:rFonts w:ascii="Arial" w:hAnsi="Arial" w:cs="Arial"/>
          <w:sz w:val="26"/>
          <w:szCs w:val="26"/>
        </w:rPr>
        <w:t xml:space="preserve">, </w:t>
      </w:r>
      <w:r>
        <w:rPr>
          <w:rFonts w:ascii="Arial" w:hAnsi="Arial" w:cs="Arial"/>
          <w:sz w:val="26"/>
          <w:szCs w:val="26"/>
        </w:rPr>
        <w:t xml:space="preserve">y por lo </w:t>
      </w:r>
      <w:r w:rsidRPr="00F81EC9">
        <w:rPr>
          <w:rFonts w:ascii="Arial" w:hAnsi="Arial" w:cs="Arial"/>
          <w:b/>
          <w:sz w:val="26"/>
          <w:szCs w:val="26"/>
        </w:rPr>
        <w:t>fundado</w:t>
      </w:r>
      <w:r>
        <w:rPr>
          <w:rFonts w:ascii="Arial" w:hAnsi="Arial" w:cs="Arial"/>
          <w:sz w:val="26"/>
          <w:szCs w:val="26"/>
        </w:rPr>
        <w:t xml:space="preserve"> de l</w:t>
      </w:r>
      <w:r w:rsidRPr="00403CFB">
        <w:rPr>
          <w:rFonts w:ascii="Arial" w:hAnsi="Arial" w:cs="Arial"/>
          <w:sz w:val="26"/>
          <w:szCs w:val="26"/>
        </w:rPr>
        <w:t xml:space="preserve">os </w:t>
      </w:r>
      <w:r>
        <w:rPr>
          <w:rFonts w:ascii="Arial" w:hAnsi="Arial" w:cs="Arial"/>
          <w:sz w:val="26"/>
          <w:szCs w:val="26"/>
        </w:rPr>
        <w:t>agravios esgrimidos por el recurrente, se</w:t>
      </w:r>
      <w:r w:rsidRPr="00403CFB">
        <w:rPr>
          <w:rFonts w:ascii="Arial" w:hAnsi="Arial" w:cs="Arial"/>
          <w:sz w:val="26"/>
          <w:szCs w:val="26"/>
        </w:rPr>
        <w:t xml:space="preserve"> </w:t>
      </w:r>
      <w:r>
        <w:rPr>
          <w:rFonts w:ascii="Arial" w:hAnsi="Arial" w:cs="Arial"/>
          <w:b/>
          <w:sz w:val="26"/>
          <w:szCs w:val="26"/>
        </w:rPr>
        <w:t>REVOCA</w:t>
      </w:r>
      <w:r>
        <w:rPr>
          <w:rFonts w:ascii="Arial" w:hAnsi="Arial" w:cs="Arial"/>
          <w:sz w:val="26"/>
          <w:szCs w:val="26"/>
        </w:rPr>
        <w:t xml:space="preserve"> la sentencia recurrida; y</w:t>
      </w:r>
      <w:r w:rsidRPr="00403CFB">
        <w:rPr>
          <w:rFonts w:ascii="Arial" w:hAnsi="Arial" w:cs="Arial"/>
          <w:sz w:val="26"/>
          <w:szCs w:val="26"/>
        </w:rPr>
        <w:t xml:space="preserve"> </w:t>
      </w:r>
      <w:r w:rsidRPr="00403CFB">
        <w:rPr>
          <w:rFonts w:ascii="Arial" w:eastAsia="Calibri" w:hAnsi="Arial" w:cs="Arial"/>
          <w:bCs/>
          <w:sz w:val="26"/>
          <w:szCs w:val="26"/>
        </w:rPr>
        <w:t>c</w:t>
      </w:r>
      <w:r w:rsidRPr="00403CFB">
        <w:rPr>
          <w:rFonts w:ascii="Arial" w:hAnsi="Arial" w:cs="Arial"/>
          <w:sz w:val="26"/>
          <w:szCs w:val="26"/>
        </w:rPr>
        <w:t xml:space="preserve">on </w:t>
      </w:r>
      <w:r w:rsidRPr="00403CFB">
        <w:rPr>
          <w:rFonts w:ascii="Arial" w:hAnsi="Arial" w:cs="Arial"/>
          <w:sz w:val="26"/>
          <w:szCs w:val="26"/>
        </w:rPr>
        <w:lastRenderedPageBreak/>
        <w:t>fundamento en los artículos 237 y 238 de la Ley de Procedimiento y Justicia Administrativa para el Estado de Oaxaca, se:</w:t>
      </w:r>
    </w:p>
    <w:p w14:paraId="3164CC0C" w14:textId="77777777" w:rsidR="00E15BB1" w:rsidRPr="00403CFB" w:rsidRDefault="00E15BB1" w:rsidP="00E15BB1">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02F4C2BA" w14:textId="5AF7AD08" w:rsidR="00E15BB1" w:rsidRPr="00F96C3F" w:rsidRDefault="00E15BB1" w:rsidP="00E15BB1">
      <w:pPr>
        <w:spacing w:before="240" w:line="360" w:lineRule="auto"/>
        <w:ind w:firstLine="708"/>
        <w:jc w:val="both"/>
        <w:rPr>
          <w:rFonts w:ascii="Arial" w:eastAsia="Calibri" w:hAnsi="Arial" w:cs="Arial"/>
          <w:b/>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Pr>
          <w:rFonts w:ascii="Arial" w:eastAsia="Calibri" w:hAnsi="Arial" w:cs="Arial"/>
          <w:b/>
          <w:sz w:val="26"/>
          <w:szCs w:val="26"/>
        </w:rPr>
        <w:t xml:space="preserve">REVOCA </w:t>
      </w:r>
      <w:r w:rsidRPr="00894AC8">
        <w:rPr>
          <w:rFonts w:ascii="Arial" w:hAnsi="Arial" w:cs="Arial"/>
          <w:sz w:val="26"/>
          <w:szCs w:val="26"/>
        </w:rPr>
        <w:t xml:space="preserve">la sentencia </w:t>
      </w:r>
      <w:r>
        <w:rPr>
          <w:rFonts w:ascii="Arial" w:hAnsi="Arial" w:cs="Arial"/>
          <w:sz w:val="26"/>
          <w:szCs w:val="26"/>
        </w:rPr>
        <w:t>de fecha veintidós de abril de dos mil diecinueve</w:t>
      </w:r>
      <w:r>
        <w:rPr>
          <w:rFonts w:ascii="Arial" w:eastAsia="Calibri" w:hAnsi="Arial" w:cs="Arial"/>
          <w:sz w:val="26"/>
          <w:szCs w:val="26"/>
        </w:rPr>
        <w:t xml:space="preserve">, y se declara la </w:t>
      </w:r>
      <w:r w:rsidRPr="00BD672C">
        <w:rPr>
          <w:rFonts w:ascii="Arial" w:eastAsia="Calibri" w:hAnsi="Arial" w:cs="Arial"/>
          <w:b/>
          <w:sz w:val="26"/>
          <w:szCs w:val="26"/>
        </w:rPr>
        <w:t>NULIDAD LISA Y LLANA</w:t>
      </w:r>
      <w:r>
        <w:rPr>
          <w:rFonts w:ascii="Arial" w:eastAsia="Calibri" w:hAnsi="Arial" w:cs="Arial"/>
          <w:sz w:val="26"/>
          <w:szCs w:val="26"/>
        </w:rPr>
        <w:t xml:space="preserve"> del acta de infracción de folio </w:t>
      </w:r>
      <w:r w:rsidR="00EA15A6" w:rsidRPr="00EA15A6">
        <w:rPr>
          <w:rFonts w:ascii="Arial" w:eastAsia="Calibri" w:hAnsi="Arial" w:cs="Arial"/>
          <w:b/>
          <w:sz w:val="26"/>
          <w:szCs w:val="26"/>
        </w:rPr>
        <w:t>**********</w:t>
      </w:r>
      <w:r>
        <w:rPr>
          <w:rFonts w:ascii="Arial" w:eastAsia="Calibri" w:hAnsi="Arial" w:cs="Arial"/>
          <w:sz w:val="26"/>
          <w:szCs w:val="26"/>
        </w:rPr>
        <w:t xml:space="preserve"> de diecinueve de septiembre de dos mil dieciocho, levantada por el Policía Vial con número estadístico </w:t>
      </w:r>
      <w:bookmarkStart w:id="1" w:name="_GoBack"/>
      <w:r w:rsidR="00EA15A6" w:rsidRPr="00EA15A6">
        <w:rPr>
          <w:rFonts w:ascii="Arial" w:eastAsia="Calibri" w:hAnsi="Arial" w:cs="Arial"/>
          <w:b/>
          <w:sz w:val="26"/>
          <w:szCs w:val="26"/>
        </w:rPr>
        <w:t>**********</w:t>
      </w:r>
      <w:r>
        <w:rPr>
          <w:rFonts w:ascii="Arial" w:eastAsia="Calibri" w:hAnsi="Arial" w:cs="Arial"/>
          <w:sz w:val="26"/>
          <w:szCs w:val="26"/>
        </w:rPr>
        <w:t xml:space="preserve"> </w:t>
      </w:r>
      <w:bookmarkEnd w:id="1"/>
      <w:r>
        <w:rPr>
          <w:rFonts w:ascii="Arial" w:eastAsia="Calibri" w:hAnsi="Arial" w:cs="Arial"/>
          <w:sz w:val="26"/>
          <w:szCs w:val="26"/>
        </w:rPr>
        <w:t>de la Comisaría de Vialidad del Municipio de Oaxaca de Juárez, Oaxaca</w:t>
      </w:r>
      <w:r w:rsidRPr="00BD672C">
        <w:rPr>
          <w:rFonts w:ascii="Arial" w:eastAsia="Calibri" w:hAnsi="Arial" w:cs="Arial"/>
          <w:sz w:val="26"/>
          <w:szCs w:val="26"/>
        </w:rPr>
        <w:t xml:space="preserve">, </w:t>
      </w:r>
      <w:r w:rsidRPr="00BD672C">
        <w:rPr>
          <w:rFonts w:ascii="Arial" w:eastAsia="Calibri" w:hAnsi="Arial" w:cs="Arial"/>
          <w:sz w:val="26"/>
          <w:szCs w:val="26"/>
          <w:lang w:eastAsia="es-ES"/>
        </w:rPr>
        <w:t>por las razones expuestas en el considerando que antecede</w:t>
      </w:r>
      <w:r w:rsidRPr="00BD672C">
        <w:rPr>
          <w:rFonts w:ascii="Arial" w:eastAsia="Calibri" w:hAnsi="Arial" w:cs="Arial"/>
          <w:sz w:val="26"/>
          <w:szCs w:val="26"/>
        </w:rPr>
        <w:t>.</w:t>
      </w:r>
      <w:r>
        <w:rPr>
          <w:rFonts w:ascii="Arial" w:eastAsia="Calibri" w:hAnsi="Arial" w:cs="Arial"/>
          <w:sz w:val="26"/>
          <w:szCs w:val="26"/>
        </w:rPr>
        <w:t xml:space="preserve"> </w:t>
      </w:r>
    </w:p>
    <w:p w14:paraId="02DF0F4C" w14:textId="77777777" w:rsidR="00E15BB1" w:rsidRDefault="00E15BB1" w:rsidP="00E15BB1">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p>
    <w:bookmarkEnd w:id="0"/>
    <w:p w14:paraId="425A9327" w14:textId="77777777" w:rsidR="00710B03" w:rsidRPr="00873285" w:rsidRDefault="00710B03" w:rsidP="00710B03">
      <w:pPr>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14:paraId="27CC2704" w14:textId="77777777" w:rsidR="00710B03" w:rsidRDefault="00710B03" w:rsidP="00710B03">
      <w:pPr>
        <w:pStyle w:val="Sinespaciado"/>
        <w:spacing w:before="240" w:after="120" w:line="360" w:lineRule="auto"/>
        <w:jc w:val="both"/>
        <w:rPr>
          <w:rFonts w:ascii="Arial" w:eastAsia="Calibri" w:hAnsi="Arial" w:cs="Arial"/>
          <w:b/>
          <w:bCs/>
          <w:sz w:val="26"/>
          <w:szCs w:val="26"/>
        </w:rPr>
      </w:pPr>
    </w:p>
    <w:p w14:paraId="5E018D35" w14:textId="6D7DEBA5" w:rsidR="00710B03" w:rsidRDefault="00710B03" w:rsidP="00710B03">
      <w:pPr>
        <w:pStyle w:val="Sinespaciado"/>
        <w:spacing w:before="240" w:after="120" w:line="360" w:lineRule="auto"/>
        <w:jc w:val="both"/>
        <w:rPr>
          <w:rFonts w:ascii="Arial" w:eastAsia="Calibri" w:hAnsi="Arial" w:cs="Arial"/>
          <w:b/>
          <w:bCs/>
          <w:sz w:val="26"/>
          <w:szCs w:val="26"/>
        </w:rPr>
      </w:pPr>
    </w:p>
    <w:p w14:paraId="12C60837" w14:textId="77777777" w:rsidR="00CD78E1" w:rsidRDefault="00CD78E1" w:rsidP="00710B03">
      <w:pPr>
        <w:pStyle w:val="Sinespaciado"/>
        <w:spacing w:before="240" w:after="120" w:line="360" w:lineRule="auto"/>
        <w:jc w:val="both"/>
        <w:rPr>
          <w:rFonts w:ascii="Arial" w:eastAsia="Calibri" w:hAnsi="Arial" w:cs="Arial"/>
          <w:b/>
          <w:bCs/>
          <w:sz w:val="26"/>
          <w:szCs w:val="26"/>
        </w:rPr>
      </w:pPr>
    </w:p>
    <w:p w14:paraId="7C931267" w14:textId="77777777" w:rsidR="00710B03" w:rsidRDefault="00710B03" w:rsidP="00710B03">
      <w:pPr>
        <w:spacing w:after="0" w:line="240" w:lineRule="auto"/>
        <w:jc w:val="center"/>
        <w:rPr>
          <w:rFonts w:ascii="Arial" w:eastAsia="Calibri" w:hAnsi="Arial" w:cs="Arial"/>
          <w:sz w:val="26"/>
          <w:szCs w:val="26"/>
        </w:rPr>
      </w:pPr>
    </w:p>
    <w:p w14:paraId="3135E5B1"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7BB97CE8"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PRESIDENTA</w:t>
      </w:r>
    </w:p>
    <w:p w14:paraId="15F9C6AC" w14:textId="77777777" w:rsidR="00710B03" w:rsidRDefault="00710B03" w:rsidP="00710B03">
      <w:pPr>
        <w:spacing w:line="360" w:lineRule="auto"/>
        <w:rPr>
          <w:rFonts w:ascii="Arial" w:eastAsia="Calibri" w:hAnsi="Arial" w:cs="Arial"/>
          <w:sz w:val="26"/>
          <w:szCs w:val="26"/>
        </w:rPr>
      </w:pPr>
    </w:p>
    <w:p w14:paraId="2A4767A9" w14:textId="5235CF6A" w:rsidR="00710B03" w:rsidRDefault="00710B03" w:rsidP="00710B03">
      <w:pPr>
        <w:spacing w:line="360" w:lineRule="auto"/>
        <w:rPr>
          <w:rFonts w:ascii="Arial" w:eastAsia="Calibri" w:hAnsi="Arial" w:cs="Arial"/>
          <w:sz w:val="26"/>
          <w:szCs w:val="26"/>
        </w:rPr>
      </w:pPr>
    </w:p>
    <w:p w14:paraId="75630081" w14:textId="77777777" w:rsidR="00CD78E1" w:rsidRDefault="00CD78E1" w:rsidP="00710B03">
      <w:pPr>
        <w:spacing w:line="360" w:lineRule="auto"/>
        <w:rPr>
          <w:rFonts w:ascii="Arial" w:eastAsia="Calibri" w:hAnsi="Arial" w:cs="Arial"/>
          <w:sz w:val="26"/>
          <w:szCs w:val="26"/>
        </w:rPr>
      </w:pPr>
    </w:p>
    <w:p w14:paraId="10609A8F" w14:textId="77777777" w:rsidR="00710B03" w:rsidRDefault="00710B03" w:rsidP="00710B03">
      <w:pPr>
        <w:spacing w:line="360" w:lineRule="auto"/>
        <w:rPr>
          <w:rFonts w:ascii="Arial" w:eastAsia="Calibri" w:hAnsi="Arial" w:cs="Arial"/>
          <w:sz w:val="26"/>
          <w:szCs w:val="26"/>
        </w:rPr>
      </w:pPr>
    </w:p>
    <w:p w14:paraId="65162375"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lang w:val="es-MX"/>
        </w:rPr>
        <w:t>MAGISTRADO MANUEL VELASCO ALCÁNTARA</w:t>
      </w:r>
    </w:p>
    <w:p w14:paraId="1D5B3299" w14:textId="77777777" w:rsidR="00710B03" w:rsidRDefault="00710B03" w:rsidP="00710B03">
      <w:pPr>
        <w:spacing w:line="360" w:lineRule="auto"/>
        <w:jc w:val="center"/>
        <w:rPr>
          <w:rFonts w:ascii="Arial" w:eastAsia="Calibri" w:hAnsi="Arial" w:cs="Arial"/>
          <w:sz w:val="26"/>
          <w:szCs w:val="26"/>
        </w:rPr>
      </w:pPr>
    </w:p>
    <w:p w14:paraId="4EB0CB0F" w14:textId="72173D63" w:rsidR="00710B03" w:rsidRDefault="00710B03" w:rsidP="00710B03">
      <w:pPr>
        <w:spacing w:line="360" w:lineRule="auto"/>
        <w:jc w:val="center"/>
        <w:rPr>
          <w:rFonts w:ascii="Arial" w:eastAsia="Calibri" w:hAnsi="Arial" w:cs="Arial"/>
          <w:sz w:val="26"/>
          <w:szCs w:val="26"/>
        </w:rPr>
      </w:pPr>
    </w:p>
    <w:p w14:paraId="009AE7CB" w14:textId="77777777" w:rsidR="00CD78E1" w:rsidRDefault="00CD78E1" w:rsidP="00710B03">
      <w:pPr>
        <w:spacing w:line="360" w:lineRule="auto"/>
        <w:jc w:val="center"/>
        <w:rPr>
          <w:rFonts w:ascii="Arial" w:eastAsia="Calibri" w:hAnsi="Arial" w:cs="Arial"/>
          <w:sz w:val="26"/>
          <w:szCs w:val="26"/>
        </w:rPr>
      </w:pPr>
    </w:p>
    <w:p w14:paraId="6F6AD01E" w14:textId="77777777" w:rsidR="00710B03" w:rsidRDefault="00710B03" w:rsidP="00710B03">
      <w:pPr>
        <w:spacing w:line="360" w:lineRule="auto"/>
        <w:jc w:val="center"/>
        <w:rPr>
          <w:rFonts w:ascii="Arial" w:eastAsia="Calibri" w:hAnsi="Arial" w:cs="Arial"/>
          <w:sz w:val="26"/>
          <w:szCs w:val="26"/>
        </w:rPr>
      </w:pPr>
    </w:p>
    <w:p w14:paraId="6FBF0EA6"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14:paraId="0FA1EAF9" w14:textId="6F82CD7F" w:rsidR="00710B03" w:rsidRPr="00CD78E1" w:rsidRDefault="00CD78E1" w:rsidP="00710B03">
      <w:pPr>
        <w:jc w:val="center"/>
        <w:rPr>
          <w:rFonts w:ascii="Arial" w:eastAsia="Calibri" w:hAnsi="Arial" w:cs="Arial"/>
          <w:b/>
          <w:bCs/>
          <w:sz w:val="14"/>
          <w:szCs w:val="14"/>
        </w:rPr>
      </w:pPr>
      <w:r w:rsidRPr="00CD78E1">
        <w:rPr>
          <w:rFonts w:ascii="Arial" w:eastAsia="Calibri" w:hAnsi="Arial" w:cs="Arial"/>
          <w:b/>
          <w:bCs/>
          <w:sz w:val="14"/>
          <w:szCs w:val="14"/>
        </w:rPr>
        <w:lastRenderedPageBreak/>
        <w:t>LAS PRESENTES FIRMAS CORRESPONDEN AL RECURSO DE REVISIÓN 184/2019</w:t>
      </w:r>
    </w:p>
    <w:p w14:paraId="51BFFEE4" w14:textId="77777777" w:rsidR="00710B03" w:rsidRPr="00CD78E1" w:rsidRDefault="00710B03" w:rsidP="00710B03">
      <w:pPr>
        <w:jc w:val="center"/>
        <w:rPr>
          <w:rFonts w:ascii="Arial" w:eastAsia="Calibri" w:hAnsi="Arial" w:cs="Arial"/>
          <w:b/>
          <w:bCs/>
          <w:sz w:val="14"/>
          <w:szCs w:val="14"/>
        </w:rPr>
      </w:pPr>
    </w:p>
    <w:p w14:paraId="4DA23FA7" w14:textId="08127E58" w:rsidR="00710B03" w:rsidRDefault="00710B03" w:rsidP="00710B03">
      <w:pPr>
        <w:spacing w:after="0" w:line="240" w:lineRule="auto"/>
        <w:jc w:val="center"/>
        <w:rPr>
          <w:rFonts w:ascii="Arial" w:eastAsia="Calibri" w:hAnsi="Arial" w:cs="Arial"/>
          <w:sz w:val="26"/>
          <w:szCs w:val="26"/>
        </w:rPr>
      </w:pPr>
    </w:p>
    <w:p w14:paraId="4885BD86" w14:textId="4DC4A96D" w:rsidR="00CD78E1" w:rsidRDefault="00CD78E1" w:rsidP="00710B03">
      <w:pPr>
        <w:spacing w:after="0" w:line="240" w:lineRule="auto"/>
        <w:jc w:val="center"/>
        <w:rPr>
          <w:rFonts w:ascii="Arial" w:eastAsia="Calibri" w:hAnsi="Arial" w:cs="Arial"/>
          <w:sz w:val="26"/>
          <w:szCs w:val="26"/>
        </w:rPr>
      </w:pPr>
    </w:p>
    <w:p w14:paraId="0CA49C15" w14:textId="2204912C" w:rsidR="00CD78E1" w:rsidRDefault="00CD78E1" w:rsidP="00710B03">
      <w:pPr>
        <w:spacing w:after="0" w:line="240" w:lineRule="auto"/>
        <w:jc w:val="center"/>
        <w:rPr>
          <w:rFonts w:ascii="Arial" w:eastAsia="Calibri" w:hAnsi="Arial" w:cs="Arial"/>
          <w:sz w:val="26"/>
          <w:szCs w:val="26"/>
        </w:rPr>
      </w:pPr>
    </w:p>
    <w:p w14:paraId="2441F9A9" w14:textId="77777777" w:rsidR="00CD78E1" w:rsidRDefault="00CD78E1" w:rsidP="00710B03">
      <w:pPr>
        <w:spacing w:after="0" w:line="240" w:lineRule="auto"/>
        <w:jc w:val="center"/>
        <w:rPr>
          <w:rFonts w:ascii="Arial" w:eastAsia="Calibri" w:hAnsi="Arial" w:cs="Arial"/>
          <w:sz w:val="26"/>
          <w:szCs w:val="26"/>
        </w:rPr>
      </w:pPr>
    </w:p>
    <w:p w14:paraId="6470C6CD" w14:textId="17297DE7" w:rsidR="00710B03" w:rsidRDefault="00710B03" w:rsidP="00710B03">
      <w:pPr>
        <w:spacing w:after="0" w:line="240" w:lineRule="auto"/>
        <w:jc w:val="center"/>
        <w:rPr>
          <w:rFonts w:ascii="Arial" w:eastAsia="Calibri" w:hAnsi="Arial" w:cs="Arial"/>
          <w:sz w:val="26"/>
          <w:szCs w:val="26"/>
        </w:rPr>
      </w:pPr>
    </w:p>
    <w:p w14:paraId="2DCFD0D6" w14:textId="77777777" w:rsidR="00CD78E1" w:rsidRDefault="00CD78E1" w:rsidP="00710B03">
      <w:pPr>
        <w:spacing w:after="0" w:line="240" w:lineRule="auto"/>
        <w:jc w:val="center"/>
        <w:rPr>
          <w:rFonts w:ascii="Arial" w:eastAsia="Calibri" w:hAnsi="Arial" w:cs="Arial"/>
          <w:sz w:val="26"/>
          <w:szCs w:val="26"/>
        </w:rPr>
      </w:pPr>
    </w:p>
    <w:p w14:paraId="55879E35" w14:textId="77777777" w:rsidR="00710B03" w:rsidRDefault="00710B03" w:rsidP="00710B03">
      <w:pPr>
        <w:spacing w:after="0" w:line="240" w:lineRule="auto"/>
        <w:jc w:val="center"/>
        <w:rPr>
          <w:rFonts w:ascii="Arial" w:eastAsia="Calibri" w:hAnsi="Arial" w:cs="Arial"/>
          <w:sz w:val="26"/>
          <w:szCs w:val="26"/>
        </w:rPr>
      </w:pPr>
    </w:p>
    <w:p w14:paraId="4ECD3B22" w14:textId="77777777" w:rsidR="00710B03" w:rsidRDefault="00710B03" w:rsidP="00710B03">
      <w:pPr>
        <w:tabs>
          <w:tab w:val="center" w:pos="4135"/>
          <w:tab w:val="left" w:pos="7515"/>
        </w:tabs>
        <w:spacing w:line="360" w:lineRule="auto"/>
        <w:jc w:val="center"/>
        <w:rPr>
          <w:rFonts w:ascii="Arial" w:hAnsi="Arial" w:cs="Arial"/>
          <w:sz w:val="14"/>
          <w:szCs w:val="26"/>
          <w:lang w:val="es-MX"/>
        </w:rPr>
      </w:pPr>
      <w:r>
        <w:rPr>
          <w:rFonts w:ascii="Arial" w:hAnsi="Arial" w:cs="Arial"/>
          <w:sz w:val="26"/>
          <w:szCs w:val="26"/>
        </w:rPr>
        <w:t>MAGISTRADO ABRAHAM SANTIAGO SORIANO</w:t>
      </w:r>
    </w:p>
    <w:p w14:paraId="32626610" w14:textId="77777777" w:rsidR="00710B03" w:rsidRDefault="00710B03" w:rsidP="00710B03">
      <w:pPr>
        <w:spacing w:after="0" w:line="240" w:lineRule="auto"/>
        <w:jc w:val="center"/>
        <w:rPr>
          <w:rFonts w:ascii="Arial" w:eastAsia="Calibri" w:hAnsi="Arial" w:cs="Arial"/>
          <w:sz w:val="26"/>
          <w:szCs w:val="26"/>
        </w:rPr>
      </w:pPr>
    </w:p>
    <w:p w14:paraId="03F23E12" w14:textId="12139679" w:rsidR="00710B03" w:rsidRDefault="00710B03" w:rsidP="00710B03">
      <w:pPr>
        <w:rPr>
          <w:rFonts w:ascii="Arial" w:eastAsia="Calibri" w:hAnsi="Arial" w:cs="Arial"/>
          <w:sz w:val="26"/>
          <w:szCs w:val="26"/>
        </w:rPr>
      </w:pPr>
    </w:p>
    <w:p w14:paraId="14805DC7" w14:textId="1B9A4927" w:rsidR="00CD78E1" w:rsidRDefault="00CD78E1" w:rsidP="00710B03">
      <w:pPr>
        <w:rPr>
          <w:rFonts w:ascii="Arial" w:eastAsia="Calibri" w:hAnsi="Arial" w:cs="Arial"/>
          <w:sz w:val="26"/>
          <w:szCs w:val="26"/>
        </w:rPr>
      </w:pPr>
    </w:p>
    <w:p w14:paraId="08F516F1" w14:textId="77777777" w:rsidR="00CD78E1" w:rsidRDefault="00CD78E1" w:rsidP="00710B03">
      <w:pPr>
        <w:rPr>
          <w:rFonts w:ascii="Arial" w:eastAsia="Calibri" w:hAnsi="Arial" w:cs="Arial"/>
          <w:sz w:val="26"/>
          <w:szCs w:val="26"/>
        </w:rPr>
      </w:pPr>
    </w:p>
    <w:p w14:paraId="7F43EC3C" w14:textId="77777777" w:rsidR="00710B03" w:rsidRDefault="00710B03" w:rsidP="00710B03">
      <w:pPr>
        <w:jc w:val="center"/>
        <w:rPr>
          <w:rFonts w:ascii="Arial" w:eastAsia="Calibri" w:hAnsi="Arial" w:cs="Arial"/>
          <w:sz w:val="26"/>
          <w:szCs w:val="26"/>
        </w:rPr>
      </w:pPr>
    </w:p>
    <w:p w14:paraId="6BCAC6BC" w14:textId="77777777" w:rsidR="00710B03" w:rsidRDefault="00710B03" w:rsidP="00710B03">
      <w:pPr>
        <w:jc w:val="center"/>
        <w:rPr>
          <w:rFonts w:ascii="Arial" w:eastAsia="Calibri" w:hAnsi="Arial" w:cs="Arial"/>
          <w:sz w:val="26"/>
          <w:szCs w:val="26"/>
        </w:rPr>
      </w:pPr>
      <w:r>
        <w:rPr>
          <w:rFonts w:ascii="Arial" w:eastAsia="Calibri" w:hAnsi="Arial" w:cs="Arial"/>
          <w:sz w:val="26"/>
          <w:szCs w:val="26"/>
        </w:rPr>
        <w:t>MAGISTRADO ADRIÁN QUIROGA AVENDAÑO</w:t>
      </w:r>
    </w:p>
    <w:p w14:paraId="5D370DC3" w14:textId="3D7DD0C0" w:rsidR="00710B03" w:rsidRDefault="00710B03" w:rsidP="00710B03">
      <w:pPr>
        <w:spacing w:line="360" w:lineRule="auto"/>
        <w:rPr>
          <w:rFonts w:ascii="Arial" w:eastAsia="Calibri" w:hAnsi="Arial" w:cs="Arial"/>
          <w:sz w:val="26"/>
          <w:szCs w:val="26"/>
        </w:rPr>
      </w:pPr>
    </w:p>
    <w:p w14:paraId="1EBE2E3E" w14:textId="0100C7DC" w:rsidR="00CD78E1" w:rsidRDefault="00CD78E1" w:rsidP="00710B03">
      <w:pPr>
        <w:spacing w:line="360" w:lineRule="auto"/>
        <w:rPr>
          <w:rFonts w:ascii="Arial" w:eastAsia="Calibri" w:hAnsi="Arial" w:cs="Arial"/>
          <w:sz w:val="26"/>
          <w:szCs w:val="26"/>
        </w:rPr>
      </w:pPr>
    </w:p>
    <w:p w14:paraId="15FFF367" w14:textId="77777777" w:rsidR="00CD78E1" w:rsidRDefault="00CD78E1" w:rsidP="00710B03">
      <w:pPr>
        <w:spacing w:line="360" w:lineRule="auto"/>
        <w:rPr>
          <w:rFonts w:ascii="Arial" w:eastAsia="Calibri" w:hAnsi="Arial" w:cs="Arial"/>
          <w:sz w:val="26"/>
          <w:szCs w:val="26"/>
        </w:rPr>
      </w:pPr>
    </w:p>
    <w:p w14:paraId="2417C83C" w14:textId="77777777" w:rsidR="00710B03" w:rsidRDefault="00710B03" w:rsidP="00710B03">
      <w:pPr>
        <w:spacing w:line="360" w:lineRule="auto"/>
        <w:jc w:val="center"/>
        <w:rPr>
          <w:rFonts w:ascii="Arial" w:eastAsia="Calibri" w:hAnsi="Arial" w:cs="Arial"/>
          <w:sz w:val="26"/>
          <w:szCs w:val="26"/>
        </w:rPr>
      </w:pPr>
    </w:p>
    <w:p w14:paraId="3F6969D5"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VÁZQUEZ</w:t>
      </w:r>
    </w:p>
    <w:p w14:paraId="4A0DE785" w14:textId="77777777" w:rsidR="00710B03" w:rsidRDefault="00710B03" w:rsidP="00710B03">
      <w:pPr>
        <w:spacing w:line="360" w:lineRule="auto"/>
        <w:jc w:val="center"/>
        <w:rPr>
          <w:rFonts w:ascii="Arial" w:eastAsia="Calibri" w:hAnsi="Arial" w:cs="Arial"/>
          <w:sz w:val="28"/>
          <w:szCs w:val="28"/>
        </w:rPr>
      </w:pPr>
      <w:r>
        <w:rPr>
          <w:rFonts w:ascii="Arial" w:eastAsia="Calibri" w:hAnsi="Arial" w:cs="Arial"/>
          <w:sz w:val="26"/>
          <w:szCs w:val="26"/>
        </w:rPr>
        <w:t>SECRETARIA GENERAL DE ACUERDOS</w:t>
      </w:r>
    </w:p>
    <w:p w14:paraId="1277BCAD" w14:textId="77777777" w:rsidR="00710B03" w:rsidRDefault="00710B03" w:rsidP="00710B03"/>
    <w:p w14:paraId="168DE6C8" w14:textId="77777777" w:rsidR="00710B03" w:rsidRDefault="00710B03" w:rsidP="00710B03">
      <w:pPr>
        <w:spacing w:line="360" w:lineRule="auto"/>
        <w:jc w:val="both"/>
        <w:rPr>
          <w:rFonts w:ascii="Arial" w:hAnsi="Arial" w:cs="Arial"/>
          <w:sz w:val="26"/>
          <w:szCs w:val="26"/>
        </w:rPr>
      </w:pPr>
    </w:p>
    <w:p w14:paraId="5CDB4765" w14:textId="77777777" w:rsidR="00710B03" w:rsidRDefault="00710B03" w:rsidP="00710B03">
      <w:pPr>
        <w:spacing w:before="240" w:line="360" w:lineRule="auto"/>
        <w:ind w:firstLine="708"/>
        <w:jc w:val="both"/>
        <w:rPr>
          <w:sz w:val="26"/>
          <w:szCs w:val="26"/>
        </w:rPr>
      </w:pPr>
    </w:p>
    <w:p w14:paraId="634EC522" w14:textId="77777777" w:rsidR="00C22D4A" w:rsidRDefault="00C22D4A" w:rsidP="00710B03">
      <w:pPr>
        <w:pStyle w:val="Sinespaciado"/>
        <w:spacing w:line="360" w:lineRule="auto"/>
        <w:jc w:val="both"/>
        <w:rPr>
          <w:rFonts w:ascii="Arial" w:hAnsi="Arial" w:cs="Arial"/>
          <w:sz w:val="26"/>
          <w:szCs w:val="26"/>
        </w:rPr>
      </w:pPr>
    </w:p>
    <w:sectPr w:rsidR="00C22D4A" w:rsidSect="00A01965">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406C3" w14:textId="77777777" w:rsidR="009C0EAC" w:rsidRDefault="009C0EAC">
      <w:pPr>
        <w:spacing w:after="0" w:line="240" w:lineRule="auto"/>
      </w:pPr>
      <w:r>
        <w:separator/>
      </w:r>
    </w:p>
  </w:endnote>
  <w:endnote w:type="continuationSeparator" w:id="0">
    <w:p w14:paraId="0BAE2B27" w14:textId="77777777" w:rsidR="009C0EAC" w:rsidRDefault="009C0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A3A713" w14:textId="77777777" w:rsidR="009C0EAC" w:rsidRDefault="009C0EAC">
      <w:pPr>
        <w:spacing w:after="0" w:line="240" w:lineRule="auto"/>
      </w:pPr>
      <w:r>
        <w:separator/>
      </w:r>
    </w:p>
  </w:footnote>
  <w:footnote w:type="continuationSeparator" w:id="0">
    <w:p w14:paraId="711B8CDB" w14:textId="77777777" w:rsidR="009C0EAC" w:rsidRDefault="009C0EAC">
      <w:pPr>
        <w:spacing w:after="0" w:line="240" w:lineRule="auto"/>
      </w:pPr>
      <w:r>
        <w:continuationSeparator/>
      </w:r>
    </w:p>
  </w:footnote>
  <w:footnote w:id="1">
    <w:p w14:paraId="2EB6592D" w14:textId="77777777" w:rsidR="00E15BB1" w:rsidRPr="00B15538" w:rsidRDefault="00E15BB1" w:rsidP="00E15BB1">
      <w:pPr>
        <w:pStyle w:val="Textonotapie"/>
        <w:jc w:val="both"/>
        <w:rPr>
          <w:rFonts w:ascii="Arial" w:hAnsi="Arial" w:cs="Arial"/>
          <w:i/>
        </w:rPr>
      </w:pPr>
      <w:r>
        <w:rPr>
          <w:rStyle w:val="Refdenotaalpie"/>
        </w:rPr>
        <w:footnoteRef/>
      </w:r>
      <w:r>
        <w:t xml:space="preserve"> “</w:t>
      </w:r>
      <w:r w:rsidRPr="00B15538">
        <w:rPr>
          <w:rFonts w:ascii="Arial" w:hAnsi="Arial" w:cs="Arial"/>
          <w:b/>
          <w:i/>
        </w:rPr>
        <w:t>ARTÍCULO 207.-</w:t>
      </w:r>
      <w:r w:rsidRPr="00B15538">
        <w:rPr>
          <w:rFonts w:ascii="Arial" w:hAnsi="Arial" w:cs="Arial"/>
          <w:i/>
        </w:rPr>
        <w:t xml:space="preserve"> Las sentencias que emita el Tribunal, deberán de contener:</w:t>
      </w:r>
    </w:p>
    <w:p w14:paraId="2487E120" w14:textId="77777777" w:rsidR="00E15BB1" w:rsidRPr="00B15538" w:rsidRDefault="00E15BB1" w:rsidP="00E15BB1">
      <w:pPr>
        <w:pStyle w:val="Textonotapie"/>
        <w:jc w:val="both"/>
        <w:rPr>
          <w:rFonts w:ascii="Arial" w:hAnsi="Arial" w:cs="Arial"/>
          <w:i/>
        </w:rPr>
      </w:pPr>
      <w:r w:rsidRPr="00B15538">
        <w:rPr>
          <w:rFonts w:ascii="Arial" w:hAnsi="Arial" w:cs="Arial"/>
          <w:b/>
          <w:i/>
        </w:rPr>
        <w:t>I.</w:t>
      </w:r>
      <w:r w:rsidRPr="00B15538">
        <w:rPr>
          <w:rFonts w:ascii="Arial" w:hAnsi="Arial" w:cs="Arial"/>
          <w:i/>
        </w:rPr>
        <w:t xml:space="preserve"> La fijación clara y precisa de los puntos controvertidos, la exposición de las razones por las que, en su caso, se haga uso de la facultad para suplir la deficiencia de la queja, así como el examen y  valoración de las pruebas que se hayan rendido;</w:t>
      </w:r>
    </w:p>
    <w:p w14:paraId="0BD450EF" w14:textId="77777777" w:rsidR="00E15BB1" w:rsidRPr="00B15538" w:rsidRDefault="00E15BB1" w:rsidP="00E15BB1">
      <w:pPr>
        <w:pStyle w:val="Textonotapie"/>
        <w:jc w:val="both"/>
        <w:rPr>
          <w:rFonts w:ascii="Arial" w:hAnsi="Arial" w:cs="Arial"/>
          <w:i/>
          <w:lang w:val="es-MX"/>
        </w:rPr>
      </w:pPr>
      <w:r w:rsidRPr="00B15538">
        <w:rPr>
          <w:rFonts w:ascii="Arial" w:hAnsi="Arial" w:cs="Arial"/>
          <w:b/>
          <w:i/>
        </w:rPr>
        <w:t>II.</w:t>
      </w:r>
      <w:r w:rsidRPr="00B15538">
        <w:rPr>
          <w:rFonts w:ascii="Arial" w:hAnsi="Arial" w:cs="Arial"/>
          <w:i/>
        </w:rPr>
        <w:t xml:space="preserve"> La exposición debidamente fundada y motivada de las consideraciones en que se basa la  resolución; y</w:t>
      </w:r>
      <w:r>
        <w:rPr>
          <w:rFonts w:ascii="Arial" w:hAnsi="Arial" w:cs="Arial"/>
          <w:i/>
        </w:rPr>
        <w:t>(…)”</w:t>
      </w:r>
    </w:p>
  </w:footnote>
  <w:footnote w:id="2">
    <w:p w14:paraId="6B319F2A" w14:textId="77777777" w:rsidR="00E15BB1" w:rsidRDefault="00E15BB1" w:rsidP="00E15BB1">
      <w:pPr>
        <w:pStyle w:val="Textonotapie"/>
        <w:jc w:val="both"/>
        <w:rPr>
          <w:rFonts w:ascii="Arial" w:hAnsi="Arial" w:cs="Arial"/>
          <w:i/>
        </w:rPr>
      </w:pPr>
      <w:r w:rsidRPr="00076FB9">
        <w:rPr>
          <w:rStyle w:val="Refdenotaalpie"/>
          <w:rFonts w:ascii="Arial" w:hAnsi="Arial" w:cs="Arial"/>
          <w:i/>
        </w:rPr>
        <w:footnoteRef/>
      </w:r>
      <w:r w:rsidRPr="00076FB9">
        <w:rPr>
          <w:rFonts w:ascii="Arial" w:hAnsi="Arial" w:cs="Arial"/>
          <w:i/>
        </w:rPr>
        <w:t xml:space="preserve"> </w:t>
      </w:r>
      <w:r w:rsidRPr="00076FB9">
        <w:rPr>
          <w:rFonts w:ascii="Arial" w:hAnsi="Arial" w:cs="Arial"/>
          <w:b/>
          <w:i/>
        </w:rPr>
        <w:t>ARTÍCULO 203.-</w:t>
      </w:r>
      <w:r w:rsidRPr="00076FB9">
        <w:rPr>
          <w:rFonts w:ascii="Arial" w:hAnsi="Arial" w:cs="Arial"/>
          <w:i/>
        </w:rPr>
        <w:t xml:space="preserve"> La valoración de las pruebas se hará de acuerdo con las siguientes reglas:</w:t>
      </w:r>
    </w:p>
    <w:p w14:paraId="69B3ECE4" w14:textId="77777777" w:rsidR="00E15BB1" w:rsidRPr="00076FB9" w:rsidRDefault="00E15BB1" w:rsidP="00E15BB1">
      <w:pPr>
        <w:pStyle w:val="Textonotapie"/>
        <w:jc w:val="both"/>
        <w:rPr>
          <w:rFonts w:ascii="Arial" w:hAnsi="Arial" w:cs="Arial"/>
          <w:i/>
          <w:lang w:val="es-MX"/>
        </w:rPr>
      </w:pPr>
      <w:r w:rsidRPr="00076FB9">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776CF2F1" w14:textId="77777777" w:rsidR="00E61AB6" w:rsidRDefault="00E61AB6" w:rsidP="00D25099">
        <w:pPr>
          <w:pStyle w:val="Encabezado"/>
          <w:jc w:val="center"/>
        </w:pPr>
        <w:r>
          <w:fldChar w:fldCharType="begin"/>
        </w:r>
        <w:r>
          <w:instrText>PAGE   \* MERGEFORMAT</w:instrText>
        </w:r>
        <w:r>
          <w:fldChar w:fldCharType="separate"/>
        </w:r>
        <w:r w:rsidR="00EA15A6">
          <w:rPr>
            <w:noProof/>
          </w:rPr>
          <w:t>26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055881E6" w14:textId="77777777" w:rsidR="00E61AB6" w:rsidRDefault="00E61AB6" w:rsidP="00206B99">
        <w:pPr>
          <w:pStyle w:val="Encabezado"/>
          <w:jc w:val="center"/>
          <w:rPr>
            <w:noProof/>
          </w:rPr>
        </w:pPr>
        <w:r>
          <w:fldChar w:fldCharType="begin"/>
        </w:r>
        <w:r>
          <w:instrText xml:space="preserve"> PAGE   \* MERGEFORMAT </w:instrText>
        </w:r>
        <w:r>
          <w:fldChar w:fldCharType="separate"/>
        </w:r>
        <w:r w:rsidR="00EA15A6">
          <w:rPr>
            <w:noProof/>
          </w:rPr>
          <w:t>29</w:t>
        </w:r>
        <w:r>
          <w:rPr>
            <w:noProof/>
          </w:rPr>
          <w:fldChar w:fldCharType="end"/>
        </w:r>
      </w:p>
      <w:p w14:paraId="2F7C0B41" w14:textId="77777777" w:rsidR="00E61AB6" w:rsidRDefault="009C0EAC" w:rsidP="008C74CA">
        <w:pPr>
          <w:pStyle w:val="Encabezado"/>
          <w:jc w:val="center"/>
        </w:pPr>
      </w:p>
    </w:sdtContent>
  </w:sdt>
  <w:p w14:paraId="44C88704" w14:textId="77777777" w:rsidR="00E61AB6" w:rsidRDefault="00E61AB6" w:rsidP="00256B01">
    <w:pPr>
      <w:pStyle w:val="Encabezado"/>
      <w:jc w:val="center"/>
    </w:pPr>
  </w:p>
  <w:p w14:paraId="5BF08C74" w14:textId="77777777" w:rsidR="00E61AB6" w:rsidRDefault="00E61AB6" w:rsidP="00256B01">
    <w:pPr>
      <w:pStyle w:val="Encabezado"/>
      <w:jc w:val="center"/>
    </w:pPr>
    <w:r>
      <w:rPr>
        <w:noProof/>
        <w:lang w:val="es-MX" w:eastAsia="es-MX"/>
      </w:rPr>
      <w:drawing>
        <wp:anchor distT="0" distB="0" distL="114300" distR="114300" simplePos="0" relativeHeight="251661312" behindDoc="1" locked="0" layoutInCell="1" allowOverlap="1" wp14:anchorId="0FB28164" wp14:editId="4E1A97AB">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6D3959C1" wp14:editId="4C352AC3">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46890E"/>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ED784E"/>
    <w:multiLevelType w:val="hybridMultilevel"/>
    <w:tmpl w:val="E0302C5E"/>
    <w:lvl w:ilvl="0" w:tplc="3A46FBF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1FBE76F"/>
    <w:multiLevelType w:val="hybridMultilevel"/>
    <w:tmpl w:val="C708260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DF11478"/>
    <w:multiLevelType w:val="hybridMultilevel"/>
    <w:tmpl w:val="EEBC4A1E"/>
    <w:lvl w:ilvl="0" w:tplc="62B086C6">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6"/>
  </w:num>
  <w:num w:numId="2">
    <w:abstractNumId w:val="3"/>
  </w:num>
  <w:num w:numId="3">
    <w:abstractNumId w:val="1"/>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8"/>
  </w:num>
  <w:num w:numId="7">
    <w:abstractNumId w:val="4"/>
  </w:num>
  <w:num w:numId="8">
    <w:abstractNumId w:val="11"/>
  </w:num>
  <w:num w:numId="9">
    <w:abstractNumId w:val="9"/>
  </w:num>
  <w:num w:numId="10">
    <w:abstractNumId w:val="10"/>
  </w:num>
  <w:num w:numId="11">
    <w:abstractNumId w:val="17"/>
  </w:num>
  <w:num w:numId="12">
    <w:abstractNumId w:val="6"/>
  </w:num>
  <w:num w:numId="13">
    <w:abstractNumId w:val="13"/>
  </w:num>
  <w:num w:numId="14">
    <w:abstractNumId w:val="5"/>
  </w:num>
  <w:num w:numId="15">
    <w:abstractNumId w:val="15"/>
  </w:num>
  <w:num w:numId="16">
    <w:abstractNumId w:val="2"/>
  </w:num>
  <w:num w:numId="17">
    <w:abstractNumId w:val="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38F0"/>
    <w:rsid w:val="00013E4D"/>
    <w:rsid w:val="000169A3"/>
    <w:rsid w:val="00017C09"/>
    <w:rsid w:val="0002043C"/>
    <w:rsid w:val="00021DF1"/>
    <w:rsid w:val="0002236D"/>
    <w:rsid w:val="00023C0F"/>
    <w:rsid w:val="00026119"/>
    <w:rsid w:val="000265E3"/>
    <w:rsid w:val="00026C11"/>
    <w:rsid w:val="00026FD6"/>
    <w:rsid w:val="000330FB"/>
    <w:rsid w:val="0003331C"/>
    <w:rsid w:val="00035047"/>
    <w:rsid w:val="00035379"/>
    <w:rsid w:val="00036D01"/>
    <w:rsid w:val="000410A1"/>
    <w:rsid w:val="00041D15"/>
    <w:rsid w:val="0004288B"/>
    <w:rsid w:val="00042B31"/>
    <w:rsid w:val="0004387E"/>
    <w:rsid w:val="000451B6"/>
    <w:rsid w:val="0004575F"/>
    <w:rsid w:val="000458B9"/>
    <w:rsid w:val="00045A11"/>
    <w:rsid w:val="00050B7F"/>
    <w:rsid w:val="00053617"/>
    <w:rsid w:val="00053C13"/>
    <w:rsid w:val="00055CE8"/>
    <w:rsid w:val="0005701D"/>
    <w:rsid w:val="00057174"/>
    <w:rsid w:val="00057817"/>
    <w:rsid w:val="000612E4"/>
    <w:rsid w:val="000616B5"/>
    <w:rsid w:val="00061ABC"/>
    <w:rsid w:val="00061FEE"/>
    <w:rsid w:val="0006757B"/>
    <w:rsid w:val="00070777"/>
    <w:rsid w:val="00070E09"/>
    <w:rsid w:val="00070EF0"/>
    <w:rsid w:val="000737BF"/>
    <w:rsid w:val="0007458B"/>
    <w:rsid w:val="000752E9"/>
    <w:rsid w:val="0007568E"/>
    <w:rsid w:val="00075FE9"/>
    <w:rsid w:val="00076CEA"/>
    <w:rsid w:val="000803AB"/>
    <w:rsid w:val="00081361"/>
    <w:rsid w:val="000822AF"/>
    <w:rsid w:val="00083BEB"/>
    <w:rsid w:val="00085132"/>
    <w:rsid w:val="000856F6"/>
    <w:rsid w:val="00085F69"/>
    <w:rsid w:val="000862F6"/>
    <w:rsid w:val="00090B95"/>
    <w:rsid w:val="00093F83"/>
    <w:rsid w:val="00094546"/>
    <w:rsid w:val="0009618C"/>
    <w:rsid w:val="000961D2"/>
    <w:rsid w:val="000A1494"/>
    <w:rsid w:val="000A4E40"/>
    <w:rsid w:val="000A6360"/>
    <w:rsid w:val="000A6EC7"/>
    <w:rsid w:val="000A71C1"/>
    <w:rsid w:val="000A7BA9"/>
    <w:rsid w:val="000B0E70"/>
    <w:rsid w:val="000B1A06"/>
    <w:rsid w:val="000B2429"/>
    <w:rsid w:val="000B2654"/>
    <w:rsid w:val="000B3B3B"/>
    <w:rsid w:val="000B4122"/>
    <w:rsid w:val="000C1D4F"/>
    <w:rsid w:val="000C1F7C"/>
    <w:rsid w:val="000C313C"/>
    <w:rsid w:val="000C3DBF"/>
    <w:rsid w:val="000C4061"/>
    <w:rsid w:val="000C5F37"/>
    <w:rsid w:val="000D0E1D"/>
    <w:rsid w:val="000D1BD0"/>
    <w:rsid w:val="000D29A1"/>
    <w:rsid w:val="000D2FDE"/>
    <w:rsid w:val="000D3A61"/>
    <w:rsid w:val="000D6784"/>
    <w:rsid w:val="000E12D3"/>
    <w:rsid w:val="000E218B"/>
    <w:rsid w:val="000E2E24"/>
    <w:rsid w:val="000E322A"/>
    <w:rsid w:val="000E661D"/>
    <w:rsid w:val="000E7B02"/>
    <w:rsid w:val="000F018A"/>
    <w:rsid w:val="000F1C5E"/>
    <w:rsid w:val="000F3FF9"/>
    <w:rsid w:val="000F54B0"/>
    <w:rsid w:val="000F5D12"/>
    <w:rsid w:val="000F62C3"/>
    <w:rsid w:val="000F7CF6"/>
    <w:rsid w:val="000F7D7D"/>
    <w:rsid w:val="00103D64"/>
    <w:rsid w:val="00103FE7"/>
    <w:rsid w:val="00104403"/>
    <w:rsid w:val="001058D3"/>
    <w:rsid w:val="00105DF0"/>
    <w:rsid w:val="0010644A"/>
    <w:rsid w:val="00111465"/>
    <w:rsid w:val="00111B33"/>
    <w:rsid w:val="00111BFC"/>
    <w:rsid w:val="001144A1"/>
    <w:rsid w:val="00114AC5"/>
    <w:rsid w:val="00116579"/>
    <w:rsid w:val="00117924"/>
    <w:rsid w:val="00120740"/>
    <w:rsid w:val="001208F4"/>
    <w:rsid w:val="00121600"/>
    <w:rsid w:val="0012217B"/>
    <w:rsid w:val="00122F5E"/>
    <w:rsid w:val="001249CE"/>
    <w:rsid w:val="00125C8E"/>
    <w:rsid w:val="00126917"/>
    <w:rsid w:val="00126F80"/>
    <w:rsid w:val="00127839"/>
    <w:rsid w:val="00127D14"/>
    <w:rsid w:val="00130500"/>
    <w:rsid w:val="001308D4"/>
    <w:rsid w:val="00131CDF"/>
    <w:rsid w:val="00132794"/>
    <w:rsid w:val="00133C57"/>
    <w:rsid w:val="00133D64"/>
    <w:rsid w:val="00136897"/>
    <w:rsid w:val="0014067A"/>
    <w:rsid w:val="00140B67"/>
    <w:rsid w:val="00141175"/>
    <w:rsid w:val="00142893"/>
    <w:rsid w:val="001438A5"/>
    <w:rsid w:val="001441D3"/>
    <w:rsid w:val="0014459C"/>
    <w:rsid w:val="0014484E"/>
    <w:rsid w:val="0014634E"/>
    <w:rsid w:val="00146509"/>
    <w:rsid w:val="00147A8B"/>
    <w:rsid w:val="00151D48"/>
    <w:rsid w:val="00152A17"/>
    <w:rsid w:val="00152D3F"/>
    <w:rsid w:val="00152EF4"/>
    <w:rsid w:val="0015351E"/>
    <w:rsid w:val="00154584"/>
    <w:rsid w:val="00154C09"/>
    <w:rsid w:val="0015751B"/>
    <w:rsid w:val="00164061"/>
    <w:rsid w:val="0016462A"/>
    <w:rsid w:val="00164BAD"/>
    <w:rsid w:val="00171831"/>
    <w:rsid w:val="00172205"/>
    <w:rsid w:val="00172B29"/>
    <w:rsid w:val="001761CB"/>
    <w:rsid w:val="00177C76"/>
    <w:rsid w:val="00180F55"/>
    <w:rsid w:val="001822E2"/>
    <w:rsid w:val="001827CF"/>
    <w:rsid w:val="001843E8"/>
    <w:rsid w:val="00184B23"/>
    <w:rsid w:val="001858DC"/>
    <w:rsid w:val="00186B0E"/>
    <w:rsid w:val="00190DE9"/>
    <w:rsid w:val="00191A27"/>
    <w:rsid w:val="00192287"/>
    <w:rsid w:val="00194A88"/>
    <w:rsid w:val="00194C5C"/>
    <w:rsid w:val="00195F2D"/>
    <w:rsid w:val="0019600D"/>
    <w:rsid w:val="001A2DD1"/>
    <w:rsid w:val="001A2EEB"/>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254"/>
    <w:rsid w:val="001D0A5A"/>
    <w:rsid w:val="001D2397"/>
    <w:rsid w:val="001D27A6"/>
    <w:rsid w:val="001D3995"/>
    <w:rsid w:val="001D3B81"/>
    <w:rsid w:val="001D4ABD"/>
    <w:rsid w:val="001D68F4"/>
    <w:rsid w:val="001D694C"/>
    <w:rsid w:val="001D730F"/>
    <w:rsid w:val="001D7F75"/>
    <w:rsid w:val="001D7FCD"/>
    <w:rsid w:val="001E1453"/>
    <w:rsid w:val="001E1758"/>
    <w:rsid w:val="001E3B11"/>
    <w:rsid w:val="001E503D"/>
    <w:rsid w:val="001E631B"/>
    <w:rsid w:val="001E680E"/>
    <w:rsid w:val="001E713F"/>
    <w:rsid w:val="001F03C6"/>
    <w:rsid w:val="001F3EC3"/>
    <w:rsid w:val="001F6B9A"/>
    <w:rsid w:val="001F72DF"/>
    <w:rsid w:val="00200843"/>
    <w:rsid w:val="0020247E"/>
    <w:rsid w:val="00202ECA"/>
    <w:rsid w:val="00203FD3"/>
    <w:rsid w:val="00205B4A"/>
    <w:rsid w:val="00206222"/>
    <w:rsid w:val="00206B99"/>
    <w:rsid w:val="002113FA"/>
    <w:rsid w:val="00211AEE"/>
    <w:rsid w:val="00211DEF"/>
    <w:rsid w:val="00212CDB"/>
    <w:rsid w:val="00212D0A"/>
    <w:rsid w:val="002142F8"/>
    <w:rsid w:val="00214B69"/>
    <w:rsid w:val="00216474"/>
    <w:rsid w:val="00216595"/>
    <w:rsid w:val="0021705A"/>
    <w:rsid w:val="00220280"/>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BA4"/>
    <w:rsid w:val="002378DE"/>
    <w:rsid w:val="00242891"/>
    <w:rsid w:val="00243181"/>
    <w:rsid w:val="0024497C"/>
    <w:rsid w:val="00245BAC"/>
    <w:rsid w:val="00246862"/>
    <w:rsid w:val="00246915"/>
    <w:rsid w:val="00246F70"/>
    <w:rsid w:val="00247875"/>
    <w:rsid w:val="00247D11"/>
    <w:rsid w:val="00254ED2"/>
    <w:rsid w:val="00256B01"/>
    <w:rsid w:val="00256DFE"/>
    <w:rsid w:val="0025722F"/>
    <w:rsid w:val="00261857"/>
    <w:rsid w:val="00262666"/>
    <w:rsid w:val="00263720"/>
    <w:rsid w:val="0026762A"/>
    <w:rsid w:val="00267A88"/>
    <w:rsid w:val="00271A24"/>
    <w:rsid w:val="00271BBE"/>
    <w:rsid w:val="002729E4"/>
    <w:rsid w:val="00273171"/>
    <w:rsid w:val="00274366"/>
    <w:rsid w:val="00275D15"/>
    <w:rsid w:val="002802EC"/>
    <w:rsid w:val="002805AC"/>
    <w:rsid w:val="002811D0"/>
    <w:rsid w:val="0028174E"/>
    <w:rsid w:val="0028299E"/>
    <w:rsid w:val="002836D7"/>
    <w:rsid w:val="00283967"/>
    <w:rsid w:val="00283B3F"/>
    <w:rsid w:val="0028420C"/>
    <w:rsid w:val="002844AF"/>
    <w:rsid w:val="002870CA"/>
    <w:rsid w:val="002908C0"/>
    <w:rsid w:val="00291333"/>
    <w:rsid w:val="00292316"/>
    <w:rsid w:val="002923BB"/>
    <w:rsid w:val="00292C7D"/>
    <w:rsid w:val="00293A57"/>
    <w:rsid w:val="0029542B"/>
    <w:rsid w:val="00296549"/>
    <w:rsid w:val="00296748"/>
    <w:rsid w:val="00297F23"/>
    <w:rsid w:val="002A0B1C"/>
    <w:rsid w:val="002A28E5"/>
    <w:rsid w:val="002A2985"/>
    <w:rsid w:val="002A4088"/>
    <w:rsid w:val="002A411F"/>
    <w:rsid w:val="002A5510"/>
    <w:rsid w:val="002A63FB"/>
    <w:rsid w:val="002A6EF0"/>
    <w:rsid w:val="002A72DF"/>
    <w:rsid w:val="002A7D29"/>
    <w:rsid w:val="002B2AF4"/>
    <w:rsid w:val="002B3CD7"/>
    <w:rsid w:val="002B5C82"/>
    <w:rsid w:val="002B73F3"/>
    <w:rsid w:val="002B7422"/>
    <w:rsid w:val="002B79C4"/>
    <w:rsid w:val="002C01EA"/>
    <w:rsid w:val="002C0324"/>
    <w:rsid w:val="002C1CEA"/>
    <w:rsid w:val="002C291C"/>
    <w:rsid w:val="002C68FE"/>
    <w:rsid w:val="002C7363"/>
    <w:rsid w:val="002D0ACC"/>
    <w:rsid w:val="002D1979"/>
    <w:rsid w:val="002D2BC6"/>
    <w:rsid w:val="002D3B49"/>
    <w:rsid w:val="002D7BCE"/>
    <w:rsid w:val="002E07CB"/>
    <w:rsid w:val="002E26EB"/>
    <w:rsid w:val="002E30AB"/>
    <w:rsid w:val="002E31CA"/>
    <w:rsid w:val="002E5004"/>
    <w:rsid w:val="002E796C"/>
    <w:rsid w:val="002F19AF"/>
    <w:rsid w:val="002F45B6"/>
    <w:rsid w:val="002F4F72"/>
    <w:rsid w:val="002F69D0"/>
    <w:rsid w:val="002F7173"/>
    <w:rsid w:val="002F7484"/>
    <w:rsid w:val="002F7C56"/>
    <w:rsid w:val="00302511"/>
    <w:rsid w:val="00302C57"/>
    <w:rsid w:val="00303020"/>
    <w:rsid w:val="003032E2"/>
    <w:rsid w:val="00304999"/>
    <w:rsid w:val="003076B0"/>
    <w:rsid w:val="00307E06"/>
    <w:rsid w:val="00310EFD"/>
    <w:rsid w:val="00312470"/>
    <w:rsid w:val="003124A7"/>
    <w:rsid w:val="00315C76"/>
    <w:rsid w:val="0031730E"/>
    <w:rsid w:val="00317BA9"/>
    <w:rsid w:val="00321708"/>
    <w:rsid w:val="00321AAB"/>
    <w:rsid w:val="00321C10"/>
    <w:rsid w:val="003253CA"/>
    <w:rsid w:val="003312FD"/>
    <w:rsid w:val="00331836"/>
    <w:rsid w:val="0033426E"/>
    <w:rsid w:val="0033591A"/>
    <w:rsid w:val="00335EF4"/>
    <w:rsid w:val="00337583"/>
    <w:rsid w:val="0034180B"/>
    <w:rsid w:val="00342CE5"/>
    <w:rsid w:val="00343662"/>
    <w:rsid w:val="00345FEC"/>
    <w:rsid w:val="003462AA"/>
    <w:rsid w:val="003505C2"/>
    <w:rsid w:val="00351298"/>
    <w:rsid w:val="003548E8"/>
    <w:rsid w:val="00355E72"/>
    <w:rsid w:val="00360A0B"/>
    <w:rsid w:val="00362E0E"/>
    <w:rsid w:val="003633B9"/>
    <w:rsid w:val="003646B9"/>
    <w:rsid w:val="003667C2"/>
    <w:rsid w:val="003708D3"/>
    <w:rsid w:val="003731F5"/>
    <w:rsid w:val="00373BA6"/>
    <w:rsid w:val="003749AE"/>
    <w:rsid w:val="00375176"/>
    <w:rsid w:val="003779D8"/>
    <w:rsid w:val="00380BAC"/>
    <w:rsid w:val="003818BD"/>
    <w:rsid w:val="00381DC3"/>
    <w:rsid w:val="00382FD0"/>
    <w:rsid w:val="003873E7"/>
    <w:rsid w:val="00387C97"/>
    <w:rsid w:val="003911F5"/>
    <w:rsid w:val="00391ED4"/>
    <w:rsid w:val="00392CD9"/>
    <w:rsid w:val="00395197"/>
    <w:rsid w:val="00395802"/>
    <w:rsid w:val="003965ED"/>
    <w:rsid w:val="00397FC3"/>
    <w:rsid w:val="003A0ACC"/>
    <w:rsid w:val="003A1F55"/>
    <w:rsid w:val="003A3A38"/>
    <w:rsid w:val="003A6E94"/>
    <w:rsid w:val="003B1512"/>
    <w:rsid w:val="003B1F45"/>
    <w:rsid w:val="003B20F0"/>
    <w:rsid w:val="003B2E9F"/>
    <w:rsid w:val="003B2FF4"/>
    <w:rsid w:val="003B303C"/>
    <w:rsid w:val="003B373B"/>
    <w:rsid w:val="003B4BAF"/>
    <w:rsid w:val="003B4FA7"/>
    <w:rsid w:val="003B68EA"/>
    <w:rsid w:val="003B6C7E"/>
    <w:rsid w:val="003B7C3A"/>
    <w:rsid w:val="003B7C7A"/>
    <w:rsid w:val="003C0AC1"/>
    <w:rsid w:val="003C3C72"/>
    <w:rsid w:val="003C4A93"/>
    <w:rsid w:val="003C63BE"/>
    <w:rsid w:val="003C6F64"/>
    <w:rsid w:val="003C7351"/>
    <w:rsid w:val="003D1C8C"/>
    <w:rsid w:val="003D1EF2"/>
    <w:rsid w:val="003D5E2A"/>
    <w:rsid w:val="003D62DC"/>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B8B"/>
    <w:rsid w:val="003F47AD"/>
    <w:rsid w:val="003F5E8A"/>
    <w:rsid w:val="003F7C34"/>
    <w:rsid w:val="00400164"/>
    <w:rsid w:val="004029F5"/>
    <w:rsid w:val="00403D47"/>
    <w:rsid w:val="0040457E"/>
    <w:rsid w:val="00404D0E"/>
    <w:rsid w:val="00405695"/>
    <w:rsid w:val="00407B2F"/>
    <w:rsid w:val="00411707"/>
    <w:rsid w:val="00412972"/>
    <w:rsid w:val="0041349D"/>
    <w:rsid w:val="004138D3"/>
    <w:rsid w:val="0041760B"/>
    <w:rsid w:val="00417A04"/>
    <w:rsid w:val="00423A9D"/>
    <w:rsid w:val="00424229"/>
    <w:rsid w:val="00425A0A"/>
    <w:rsid w:val="00425E38"/>
    <w:rsid w:val="00427081"/>
    <w:rsid w:val="00427DB7"/>
    <w:rsid w:val="0043026A"/>
    <w:rsid w:val="00433FAD"/>
    <w:rsid w:val="004365BF"/>
    <w:rsid w:val="004374C9"/>
    <w:rsid w:val="004400FB"/>
    <w:rsid w:val="004407BC"/>
    <w:rsid w:val="00441D6B"/>
    <w:rsid w:val="004426E6"/>
    <w:rsid w:val="00444733"/>
    <w:rsid w:val="004503A6"/>
    <w:rsid w:val="00454494"/>
    <w:rsid w:val="00454525"/>
    <w:rsid w:val="004547D3"/>
    <w:rsid w:val="004567C7"/>
    <w:rsid w:val="00457CC7"/>
    <w:rsid w:val="00460696"/>
    <w:rsid w:val="004633DC"/>
    <w:rsid w:val="004715AF"/>
    <w:rsid w:val="00472E19"/>
    <w:rsid w:val="0047436D"/>
    <w:rsid w:val="00474E30"/>
    <w:rsid w:val="0047763B"/>
    <w:rsid w:val="00477B24"/>
    <w:rsid w:val="00485388"/>
    <w:rsid w:val="004870D8"/>
    <w:rsid w:val="00491DA5"/>
    <w:rsid w:val="004961AD"/>
    <w:rsid w:val="00496E71"/>
    <w:rsid w:val="00497E3B"/>
    <w:rsid w:val="004A1C7E"/>
    <w:rsid w:val="004A2326"/>
    <w:rsid w:val="004A319F"/>
    <w:rsid w:val="004A4ECC"/>
    <w:rsid w:val="004A54A3"/>
    <w:rsid w:val="004B0F4C"/>
    <w:rsid w:val="004B2234"/>
    <w:rsid w:val="004B3A33"/>
    <w:rsid w:val="004B3D2E"/>
    <w:rsid w:val="004B483F"/>
    <w:rsid w:val="004B6F87"/>
    <w:rsid w:val="004B748E"/>
    <w:rsid w:val="004B74CE"/>
    <w:rsid w:val="004B7A3D"/>
    <w:rsid w:val="004C10F3"/>
    <w:rsid w:val="004C20AC"/>
    <w:rsid w:val="004C3E13"/>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3DB"/>
    <w:rsid w:val="004E570F"/>
    <w:rsid w:val="004E661E"/>
    <w:rsid w:val="004F03BE"/>
    <w:rsid w:val="004F151E"/>
    <w:rsid w:val="004F1CDA"/>
    <w:rsid w:val="004F3CA8"/>
    <w:rsid w:val="004F3D2D"/>
    <w:rsid w:val="004F4970"/>
    <w:rsid w:val="004F4B8D"/>
    <w:rsid w:val="004F5821"/>
    <w:rsid w:val="004F674E"/>
    <w:rsid w:val="00501DFC"/>
    <w:rsid w:val="00501EAB"/>
    <w:rsid w:val="005043E1"/>
    <w:rsid w:val="00504407"/>
    <w:rsid w:val="005053FA"/>
    <w:rsid w:val="00505B50"/>
    <w:rsid w:val="005068F2"/>
    <w:rsid w:val="00510956"/>
    <w:rsid w:val="00510C9F"/>
    <w:rsid w:val="0051131D"/>
    <w:rsid w:val="005115C3"/>
    <w:rsid w:val="00512FF2"/>
    <w:rsid w:val="0051428C"/>
    <w:rsid w:val="00515E05"/>
    <w:rsid w:val="00516F56"/>
    <w:rsid w:val="00517C59"/>
    <w:rsid w:val="00520000"/>
    <w:rsid w:val="00521C06"/>
    <w:rsid w:val="00524659"/>
    <w:rsid w:val="00526DC4"/>
    <w:rsid w:val="005300DF"/>
    <w:rsid w:val="00531A5A"/>
    <w:rsid w:val="00531A6D"/>
    <w:rsid w:val="00531B0F"/>
    <w:rsid w:val="00531B2A"/>
    <w:rsid w:val="00531DE3"/>
    <w:rsid w:val="0053422E"/>
    <w:rsid w:val="00534C95"/>
    <w:rsid w:val="00535B74"/>
    <w:rsid w:val="00535C19"/>
    <w:rsid w:val="0053715D"/>
    <w:rsid w:val="005410B3"/>
    <w:rsid w:val="00541ACF"/>
    <w:rsid w:val="00541B18"/>
    <w:rsid w:val="00542671"/>
    <w:rsid w:val="00542F3C"/>
    <w:rsid w:val="005443FC"/>
    <w:rsid w:val="00544A76"/>
    <w:rsid w:val="00544EE8"/>
    <w:rsid w:val="00545D35"/>
    <w:rsid w:val="005478F9"/>
    <w:rsid w:val="00551263"/>
    <w:rsid w:val="00551897"/>
    <w:rsid w:val="00553578"/>
    <w:rsid w:val="00557727"/>
    <w:rsid w:val="005609AA"/>
    <w:rsid w:val="00563B9C"/>
    <w:rsid w:val="00565465"/>
    <w:rsid w:val="00567E8E"/>
    <w:rsid w:val="005700D1"/>
    <w:rsid w:val="00570117"/>
    <w:rsid w:val="0057052D"/>
    <w:rsid w:val="005707BD"/>
    <w:rsid w:val="00571B02"/>
    <w:rsid w:val="005720EB"/>
    <w:rsid w:val="005758AC"/>
    <w:rsid w:val="005770F4"/>
    <w:rsid w:val="005776B9"/>
    <w:rsid w:val="00580F64"/>
    <w:rsid w:val="005817AB"/>
    <w:rsid w:val="005856A6"/>
    <w:rsid w:val="005864C3"/>
    <w:rsid w:val="00587EE4"/>
    <w:rsid w:val="005903F7"/>
    <w:rsid w:val="005913ED"/>
    <w:rsid w:val="00593333"/>
    <w:rsid w:val="00594670"/>
    <w:rsid w:val="00595186"/>
    <w:rsid w:val="00597A8F"/>
    <w:rsid w:val="00597C5A"/>
    <w:rsid w:val="005A0A32"/>
    <w:rsid w:val="005A0D5F"/>
    <w:rsid w:val="005A10FA"/>
    <w:rsid w:val="005A1C28"/>
    <w:rsid w:val="005A3800"/>
    <w:rsid w:val="005A415D"/>
    <w:rsid w:val="005A493F"/>
    <w:rsid w:val="005A717E"/>
    <w:rsid w:val="005B1192"/>
    <w:rsid w:val="005B13A7"/>
    <w:rsid w:val="005B2365"/>
    <w:rsid w:val="005B74A1"/>
    <w:rsid w:val="005C09C8"/>
    <w:rsid w:val="005C0B46"/>
    <w:rsid w:val="005C18BB"/>
    <w:rsid w:val="005C2C8E"/>
    <w:rsid w:val="005C32A7"/>
    <w:rsid w:val="005C3AA7"/>
    <w:rsid w:val="005C414F"/>
    <w:rsid w:val="005C770C"/>
    <w:rsid w:val="005C7C2F"/>
    <w:rsid w:val="005C7EFF"/>
    <w:rsid w:val="005D1684"/>
    <w:rsid w:val="005D3503"/>
    <w:rsid w:val="005D3F0B"/>
    <w:rsid w:val="005D4300"/>
    <w:rsid w:val="005D536A"/>
    <w:rsid w:val="005D5E20"/>
    <w:rsid w:val="005D62CD"/>
    <w:rsid w:val="005D65FC"/>
    <w:rsid w:val="005D74CC"/>
    <w:rsid w:val="005D751A"/>
    <w:rsid w:val="005E18B0"/>
    <w:rsid w:val="005E3275"/>
    <w:rsid w:val="005E40A8"/>
    <w:rsid w:val="005E5273"/>
    <w:rsid w:val="005E76E1"/>
    <w:rsid w:val="005F0B76"/>
    <w:rsid w:val="005F1575"/>
    <w:rsid w:val="005F1FFD"/>
    <w:rsid w:val="005F35AE"/>
    <w:rsid w:val="005F6650"/>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42A0"/>
    <w:rsid w:val="006150FB"/>
    <w:rsid w:val="00621035"/>
    <w:rsid w:val="00621070"/>
    <w:rsid w:val="00626DD6"/>
    <w:rsid w:val="00630C62"/>
    <w:rsid w:val="006331D2"/>
    <w:rsid w:val="00633FA0"/>
    <w:rsid w:val="006345EE"/>
    <w:rsid w:val="006361ED"/>
    <w:rsid w:val="006418C8"/>
    <w:rsid w:val="00641ABB"/>
    <w:rsid w:val="006422F6"/>
    <w:rsid w:val="0064256C"/>
    <w:rsid w:val="006427D9"/>
    <w:rsid w:val="0064316D"/>
    <w:rsid w:val="00643498"/>
    <w:rsid w:val="00643506"/>
    <w:rsid w:val="00645439"/>
    <w:rsid w:val="00645E2A"/>
    <w:rsid w:val="00647B58"/>
    <w:rsid w:val="0065279D"/>
    <w:rsid w:val="00653354"/>
    <w:rsid w:val="006534F5"/>
    <w:rsid w:val="00653C7A"/>
    <w:rsid w:val="00655BA3"/>
    <w:rsid w:val="00655D87"/>
    <w:rsid w:val="006609C0"/>
    <w:rsid w:val="00661E08"/>
    <w:rsid w:val="00662EA5"/>
    <w:rsid w:val="0066306B"/>
    <w:rsid w:val="0066335A"/>
    <w:rsid w:val="0066407D"/>
    <w:rsid w:val="006640C5"/>
    <w:rsid w:val="00667874"/>
    <w:rsid w:val="00670A3B"/>
    <w:rsid w:val="006735F6"/>
    <w:rsid w:val="00674D05"/>
    <w:rsid w:val="00675661"/>
    <w:rsid w:val="00676994"/>
    <w:rsid w:val="00676DFB"/>
    <w:rsid w:val="006776E3"/>
    <w:rsid w:val="0068180A"/>
    <w:rsid w:val="00681F17"/>
    <w:rsid w:val="00682164"/>
    <w:rsid w:val="006826DA"/>
    <w:rsid w:val="0068325D"/>
    <w:rsid w:val="00683DC9"/>
    <w:rsid w:val="00685A2A"/>
    <w:rsid w:val="00686E73"/>
    <w:rsid w:val="00687B92"/>
    <w:rsid w:val="006921D8"/>
    <w:rsid w:val="00692778"/>
    <w:rsid w:val="00696616"/>
    <w:rsid w:val="00696F11"/>
    <w:rsid w:val="00697ECB"/>
    <w:rsid w:val="006A141D"/>
    <w:rsid w:val="006A4C24"/>
    <w:rsid w:val="006A5F24"/>
    <w:rsid w:val="006A634D"/>
    <w:rsid w:val="006A6FE7"/>
    <w:rsid w:val="006B0915"/>
    <w:rsid w:val="006B0B08"/>
    <w:rsid w:val="006B10A8"/>
    <w:rsid w:val="006B119B"/>
    <w:rsid w:val="006B201F"/>
    <w:rsid w:val="006B26D3"/>
    <w:rsid w:val="006B3BEA"/>
    <w:rsid w:val="006B4FD6"/>
    <w:rsid w:val="006B52CD"/>
    <w:rsid w:val="006B78C5"/>
    <w:rsid w:val="006C12EE"/>
    <w:rsid w:val="006C1383"/>
    <w:rsid w:val="006C2F23"/>
    <w:rsid w:val="006C31AF"/>
    <w:rsid w:val="006C3540"/>
    <w:rsid w:val="006D1203"/>
    <w:rsid w:val="006D4142"/>
    <w:rsid w:val="006D4B71"/>
    <w:rsid w:val="006D7AAA"/>
    <w:rsid w:val="006D7DDD"/>
    <w:rsid w:val="006E01BD"/>
    <w:rsid w:val="006E04EF"/>
    <w:rsid w:val="006E19FC"/>
    <w:rsid w:val="006E1B16"/>
    <w:rsid w:val="006E22F2"/>
    <w:rsid w:val="006E27BA"/>
    <w:rsid w:val="006E3292"/>
    <w:rsid w:val="006E43D3"/>
    <w:rsid w:val="006E44A9"/>
    <w:rsid w:val="006E6519"/>
    <w:rsid w:val="006F0897"/>
    <w:rsid w:val="006F0D29"/>
    <w:rsid w:val="006F2412"/>
    <w:rsid w:val="006F2D83"/>
    <w:rsid w:val="006F3312"/>
    <w:rsid w:val="006F3363"/>
    <w:rsid w:val="006F53BB"/>
    <w:rsid w:val="006F5760"/>
    <w:rsid w:val="006F6BE0"/>
    <w:rsid w:val="006F72C4"/>
    <w:rsid w:val="00700013"/>
    <w:rsid w:val="0070099B"/>
    <w:rsid w:val="0070169E"/>
    <w:rsid w:val="00701FA5"/>
    <w:rsid w:val="00702862"/>
    <w:rsid w:val="00702D97"/>
    <w:rsid w:val="00703F64"/>
    <w:rsid w:val="00704CD1"/>
    <w:rsid w:val="00705520"/>
    <w:rsid w:val="0070679D"/>
    <w:rsid w:val="00707019"/>
    <w:rsid w:val="00707245"/>
    <w:rsid w:val="00710B03"/>
    <w:rsid w:val="00710E5B"/>
    <w:rsid w:val="00712EE0"/>
    <w:rsid w:val="0071697F"/>
    <w:rsid w:val="0071716F"/>
    <w:rsid w:val="0071748C"/>
    <w:rsid w:val="00720148"/>
    <w:rsid w:val="0072215B"/>
    <w:rsid w:val="0072271C"/>
    <w:rsid w:val="00723286"/>
    <w:rsid w:val="0072595C"/>
    <w:rsid w:val="007272DA"/>
    <w:rsid w:val="00727C09"/>
    <w:rsid w:val="00733866"/>
    <w:rsid w:val="007372AF"/>
    <w:rsid w:val="007372F0"/>
    <w:rsid w:val="007402AF"/>
    <w:rsid w:val="00742461"/>
    <w:rsid w:val="00742758"/>
    <w:rsid w:val="0074315B"/>
    <w:rsid w:val="00745F93"/>
    <w:rsid w:val="00747AB7"/>
    <w:rsid w:val="007508A5"/>
    <w:rsid w:val="00752052"/>
    <w:rsid w:val="00752A88"/>
    <w:rsid w:val="00752B02"/>
    <w:rsid w:val="0075416A"/>
    <w:rsid w:val="00755251"/>
    <w:rsid w:val="007568F4"/>
    <w:rsid w:val="007569A2"/>
    <w:rsid w:val="007571C0"/>
    <w:rsid w:val="0075724E"/>
    <w:rsid w:val="007618AE"/>
    <w:rsid w:val="0076494C"/>
    <w:rsid w:val="00766389"/>
    <w:rsid w:val="0077356E"/>
    <w:rsid w:val="007737E8"/>
    <w:rsid w:val="00773DC9"/>
    <w:rsid w:val="007744C1"/>
    <w:rsid w:val="0077478C"/>
    <w:rsid w:val="007758EE"/>
    <w:rsid w:val="00776E5E"/>
    <w:rsid w:val="0077739D"/>
    <w:rsid w:val="007806D4"/>
    <w:rsid w:val="0078132A"/>
    <w:rsid w:val="00782019"/>
    <w:rsid w:val="0078202A"/>
    <w:rsid w:val="00782337"/>
    <w:rsid w:val="00783317"/>
    <w:rsid w:val="00785325"/>
    <w:rsid w:val="00787152"/>
    <w:rsid w:val="00790C1A"/>
    <w:rsid w:val="00790E52"/>
    <w:rsid w:val="00792E46"/>
    <w:rsid w:val="007931B7"/>
    <w:rsid w:val="00795CE3"/>
    <w:rsid w:val="007A0DD5"/>
    <w:rsid w:val="007A1ABA"/>
    <w:rsid w:val="007A25A8"/>
    <w:rsid w:val="007A2B3C"/>
    <w:rsid w:val="007A3ECB"/>
    <w:rsid w:val="007A4CC0"/>
    <w:rsid w:val="007A6908"/>
    <w:rsid w:val="007B0E0D"/>
    <w:rsid w:val="007B29E4"/>
    <w:rsid w:val="007B448D"/>
    <w:rsid w:val="007B4995"/>
    <w:rsid w:val="007B6958"/>
    <w:rsid w:val="007C4D7C"/>
    <w:rsid w:val="007C4FC7"/>
    <w:rsid w:val="007C5134"/>
    <w:rsid w:val="007C6CD3"/>
    <w:rsid w:val="007C7AD1"/>
    <w:rsid w:val="007D2543"/>
    <w:rsid w:val="007D345B"/>
    <w:rsid w:val="007D4645"/>
    <w:rsid w:val="007D4E0F"/>
    <w:rsid w:val="007D55DA"/>
    <w:rsid w:val="007D6D8D"/>
    <w:rsid w:val="007D7972"/>
    <w:rsid w:val="007E0BAE"/>
    <w:rsid w:val="007E1BC3"/>
    <w:rsid w:val="007E2D66"/>
    <w:rsid w:val="007E32FC"/>
    <w:rsid w:val="007E503E"/>
    <w:rsid w:val="007E52F1"/>
    <w:rsid w:val="007E6C99"/>
    <w:rsid w:val="007E6F05"/>
    <w:rsid w:val="007E7DD4"/>
    <w:rsid w:val="007F0F74"/>
    <w:rsid w:val="007F1451"/>
    <w:rsid w:val="007F3488"/>
    <w:rsid w:val="007F4057"/>
    <w:rsid w:val="007F43B4"/>
    <w:rsid w:val="007F4ED0"/>
    <w:rsid w:val="007F566C"/>
    <w:rsid w:val="007F5AE4"/>
    <w:rsid w:val="007F62DC"/>
    <w:rsid w:val="007F64F9"/>
    <w:rsid w:val="007F7B65"/>
    <w:rsid w:val="007F7BAE"/>
    <w:rsid w:val="007F7F91"/>
    <w:rsid w:val="0080043A"/>
    <w:rsid w:val="008014CB"/>
    <w:rsid w:val="00801F35"/>
    <w:rsid w:val="0080399F"/>
    <w:rsid w:val="00805C67"/>
    <w:rsid w:val="00807736"/>
    <w:rsid w:val="00807A29"/>
    <w:rsid w:val="00807D70"/>
    <w:rsid w:val="00815878"/>
    <w:rsid w:val="008158F8"/>
    <w:rsid w:val="0082010D"/>
    <w:rsid w:val="00821C04"/>
    <w:rsid w:val="008229A4"/>
    <w:rsid w:val="008234B9"/>
    <w:rsid w:val="00827DD2"/>
    <w:rsid w:val="0083002A"/>
    <w:rsid w:val="00830234"/>
    <w:rsid w:val="00830884"/>
    <w:rsid w:val="008308BC"/>
    <w:rsid w:val="00831537"/>
    <w:rsid w:val="00831727"/>
    <w:rsid w:val="00832757"/>
    <w:rsid w:val="00832BFA"/>
    <w:rsid w:val="00832F03"/>
    <w:rsid w:val="00832FE5"/>
    <w:rsid w:val="00836C5E"/>
    <w:rsid w:val="0084114B"/>
    <w:rsid w:val="00841573"/>
    <w:rsid w:val="00841AEF"/>
    <w:rsid w:val="00841CA9"/>
    <w:rsid w:val="00842ED4"/>
    <w:rsid w:val="00844A42"/>
    <w:rsid w:val="00845EA4"/>
    <w:rsid w:val="00847A1D"/>
    <w:rsid w:val="00847D32"/>
    <w:rsid w:val="00847F39"/>
    <w:rsid w:val="00851407"/>
    <w:rsid w:val="008525A5"/>
    <w:rsid w:val="008550F0"/>
    <w:rsid w:val="00855650"/>
    <w:rsid w:val="008561AA"/>
    <w:rsid w:val="00857BD3"/>
    <w:rsid w:val="00860037"/>
    <w:rsid w:val="008602E9"/>
    <w:rsid w:val="00860FEF"/>
    <w:rsid w:val="008618D9"/>
    <w:rsid w:val="00861BBB"/>
    <w:rsid w:val="0086361E"/>
    <w:rsid w:val="0086364F"/>
    <w:rsid w:val="008649E5"/>
    <w:rsid w:val="00864F72"/>
    <w:rsid w:val="00866FC9"/>
    <w:rsid w:val="00872B14"/>
    <w:rsid w:val="008738A1"/>
    <w:rsid w:val="00873D60"/>
    <w:rsid w:val="00874C23"/>
    <w:rsid w:val="00874D05"/>
    <w:rsid w:val="0087504D"/>
    <w:rsid w:val="00875CD2"/>
    <w:rsid w:val="00880B66"/>
    <w:rsid w:val="00881A6F"/>
    <w:rsid w:val="00881FFB"/>
    <w:rsid w:val="008827C3"/>
    <w:rsid w:val="00883E64"/>
    <w:rsid w:val="0088403D"/>
    <w:rsid w:val="008850E5"/>
    <w:rsid w:val="00885C97"/>
    <w:rsid w:val="00885CDE"/>
    <w:rsid w:val="008946EA"/>
    <w:rsid w:val="008947B5"/>
    <w:rsid w:val="00894942"/>
    <w:rsid w:val="00894D4A"/>
    <w:rsid w:val="00897C9D"/>
    <w:rsid w:val="008A0C2E"/>
    <w:rsid w:val="008A20F1"/>
    <w:rsid w:val="008A2A09"/>
    <w:rsid w:val="008A3E11"/>
    <w:rsid w:val="008A4071"/>
    <w:rsid w:val="008A47B2"/>
    <w:rsid w:val="008A5670"/>
    <w:rsid w:val="008A6B4E"/>
    <w:rsid w:val="008B1D4F"/>
    <w:rsid w:val="008B2E64"/>
    <w:rsid w:val="008B2FDE"/>
    <w:rsid w:val="008B4B2E"/>
    <w:rsid w:val="008B4EBC"/>
    <w:rsid w:val="008B57AB"/>
    <w:rsid w:val="008B5E35"/>
    <w:rsid w:val="008C0452"/>
    <w:rsid w:val="008C297E"/>
    <w:rsid w:val="008C3544"/>
    <w:rsid w:val="008C380D"/>
    <w:rsid w:val="008C508D"/>
    <w:rsid w:val="008C74CA"/>
    <w:rsid w:val="008D04B8"/>
    <w:rsid w:val="008D1236"/>
    <w:rsid w:val="008D38EC"/>
    <w:rsid w:val="008E030D"/>
    <w:rsid w:val="008E215F"/>
    <w:rsid w:val="008E2F27"/>
    <w:rsid w:val="008E4231"/>
    <w:rsid w:val="008E586E"/>
    <w:rsid w:val="008E5A8E"/>
    <w:rsid w:val="008E7F37"/>
    <w:rsid w:val="008F05C2"/>
    <w:rsid w:val="008F52F4"/>
    <w:rsid w:val="008F6A42"/>
    <w:rsid w:val="008F7D31"/>
    <w:rsid w:val="00900115"/>
    <w:rsid w:val="009007FC"/>
    <w:rsid w:val="00900A88"/>
    <w:rsid w:val="0090282D"/>
    <w:rsid w:val="009031EC"/>
    <w:rsid w:val="00903BE5"/>
    <w:rsid w:val="009049BE"/>
    <w:rsid w:val="00904D09"/>
    <w:rsid w:val="009050C9"/>
    <w:rsid w:val="0090661F"/>
    <w:rsid w:val="009073DD"/>
    <w:rsid w:val="00907FE3"/>
    <w:rsid w:val="00910E44"/>
    <w:rsid w:val="009111EA"/>
    <w:rsid w:val="0091170B"/>
    <w:rsid w:val="00912837"/>
    <w:rsid w:val="00912C68"/>
    <w:rsid w:val="0091304F"/>
    <w:rsid w:val="009133A9"/>
    <w:rsid w:val="009159DA"/>
    <w:rsid w:val="00920D15"/>
    <w:rsid w:val="00920E02"/>
    <w:rsid w:val="009210A6"/>
    <w:rsid w:val="009233B3"/>
    <w:rsid w:val="00923F4E"/>
    <w:rsid w:val="00926FCD"/>
    <w:rsid w:val="00927607"/>
    <w:rsid w:val="00930306"/>
    <w:rsid w:val="00931E3D"/>
    <w:rsid w:val="00931E6C"/>
    <w:rsid w:val="009320FF"/>
    <w:rsid w:val="00935CFF"/>
    <w:rsid w:val="0094005B"/>
    <w:rsid w:val="00940AD4"/>
    <w:rsid w:val="00941CE1"/>
    <w:rsid w:val="00943709"/>
    <w:rsid w:val="00943B62"/>
    <w:rsid w:val="009443A6"/>
    <w:rsid w:val="0094607A"/>
    <w:rsid w:val="00947785"/>
    <w:rsid w:val="0095436D"/>
    <w:rsid w:val="0095524F"/>
    <w:rsid w:val="0095564D"/>
    <w:rsid w:val="00956CD1"/>
    <w:rsid w:val="009623FA"/>
    <w:rsid w:val="00963968"/>
    <w:rsid w:val="00963AB5"/>
    <w:rsid w:val="00964969"/>
    <w:rsid w:val="00964A87"/>
    <w:rsid w:val="00965794"/>
    <w:rsid w:val="00965870"/>
    <w:rsid w:val="00970BC4"/>
    <w:rsid w:val="0097108A"/>
    <w:rsid w:val="00973D8D"/>
    <w:rsid w:val="00974E8B"/>
    <w:rsid w:val="009752F6"/>
    <w:rsid w:val="009758DB"/>
    <w:rsid w:val="009768B5"/>
    <w:rsid w:val="009773A7"/>
    <w:rsid w:val="0097768E"/>
    <w:rsid w:val="009801AA"/>
    <w:rsid w:val="00981C46"/>
    <w:rsid w:val="00983201"/>
    <w:rsid w:val="00984197"/>
    <w:rsid w:val="00984587"/>
    <w:rsid w:val="00986534"/>
    <w:rsid w:val="009874A8"/>
    <w:rsid w:val="009913D4"/>
    <w:rsid w:val="00991B75"/>
    <w:rsid w:val="00993A3D"/>
    <w:rsid w:val="00995692"/>
    <w:rsid w:val="0099574B"/>
    <w:rsid w:val="00996B6C"/>
    <w:rsid w:val="00997217"/>
    <w:rsid w:val="00997F96"/>
    <w:rsid w:val="009A33AC"/>
    <w:rsid w:val="009A33BE"/>
    <w:rsid w:val="009A595E"/>
    <w:rsid w:val="009A5AE2"/>
    <w:rsid w:val="009A5D8D"/>
    <w:rsid w:val="009B1106"/>
    <w:rsid w:val="009B1EAF"/>
    <w:rsid w:val="009B38C8"/>
    <w:rsid w:val="009B3FAA"/>
    <w:rsid w:val="009B4DEF"/>
    <w:rsid w:val="009B7683"/>
    <w:rsid w:val="009C0EAC"/>
    <w:rsid w:val="009C4221"/>
    <w:rsid w:val="009C4881"/>
    <w:rsid w:val="009C5CF3"/>
    <w:rsid w:val="009C5CFE"/>
    <w:rsid w:val="009D1ED8"/>
    <w:rsid w:val="009D3911"/>
    <w:rsid w:val="009D4A0A"/>
    <w:rsid w:val="009D6659"/>
    <w:rsid w:val="009D7058"/>
    <w:rsid w:val="009E0336"/>
    <w:rsid w:val="009E10EC"/>
    <w:rsid w:val="009E3A9A"/>
    <w:rsid w:val="009E5841"/>
    <w:rsid w:val="009F50FA"/>
    <w:rsid w:val="009F7944"/>
    <w:rsid w:val="00A01965"/>
    <w:rsid w:val="00A01E9B"/>
    <w:rsid w:val="00A022D9"/>
    <w:rsid w:val="00A033BB"/>
    <w:rsid w:val="00A0357E"/>
    <w:rsid w:val="00A03702"/>
    <w:rsid w:val="00A045F4"/>
    <w:rsid w:val="00A04F63"/>
    <w:rsid w:val="00A05B4F"/>
    <w:rsid w:val="00A072A0"/>
    <w:rsid w:val="00A10387"/>
    <w:rsid w:val="00A10467"/>
    <w:rsid w:val="00A20393"/>
    <w:rsid w:val="00A21B13"/>
    <w:rsid w:val="00A22D3D"/>
    <w:rsid w:val="00A2508C"/>
    <w:rsid w:val="00A2572E"/>
    <w:rsid w:val="00A25FC0"/>
    <w:rsid w:val="00A262B6"/>
    <w:rsid w:val="00A26D41"/>
    <w:rsid w:val="00A27138"/>
    <w:rsid w:val="00A30AAA"/>
    <w:rsid w:val="00A3359F"/>
    <w:rsid w:val="00A33A89"/>
    <w:rsid w:val="00A35046"/>
    <w:rsid w:val="00A3709C"/>
    <w:rsid w:val="00A3728F"/>
    <w:rsid w:val="00A40958"/>
    <w:rsid w:val="00A4105D"/>
    <w:rsid w:val="00A41837"/>
    <w:rsid w:val="00A43EDC"/>
    <w:rsid w:val="00A442A4"/>
    <w:rsid w:val="00A4466C"/>
    <w:rsid w:val="00A4628E"/>
    <w:rsid w:val="00A51216"/>
    <w:rsid w:val="00A5314A"/>
    <w:rsid w:val="00A5422F"/>
    <w:rsid w:val="00A57F60"/>
    <w:rsid w:val="00A61A6E"/>
    <w:rsid w:val="00A65B8D"/>
    <w:rsid w:val="00A66FFF"/>
    <w:rsid w:val="00A670F3"/>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016B"/>
    <w:rsid w:val="00A923D9"/>
    <w:rsid w:val="00A93F22"/>
    <w:rsid w:val="00A94D13"/>
    <w:rsid w:val="00A94E2C"/>
    <w:rsid w:val="00A97437"/>
    <w:rsid w:val="00A977D1"/>
    <w:rsid w:val="00A97A74"/>
    <w:rsid w:val="00AA0100"/>
    <w:rsid w:val="00AA0A4A"/>
    <w:rsid w:val="00AA1DF2"/>
    <w:rsid w:val="00AA27AB"/>
    <w:rsid w:val="00AA29E9"/>
    <w:rsid w:val="00AA38C5"/>
    <w:rsid w:val="00AA3DF2"/>
    <w:rsid w:val="00AA512C"/>
    <w:rsid w:val="00AA7DE5"/>
    <w:rsid w:val="00AB00F1"/>
    <w:rsid w:val="00AB0764"/>
    <w:rsid w:val="00AB10A6"/>
    <w:rsid w:val="00AB19C6"/>
    <w:rsid w:val="00AB1E7B"/>
    <w:rsid w:val="00AB4741"/>
    <w:rsid w:val="00AB6195"/>
    <w:rsid w:val="00AB628D"/>
    <w:rsid w:val="00AB641E"/>
    <w:rsid w:val="00AB6F46"/>
    <w:rsid w:val="00AC03C7"/>
    <w:rsid w:val="00AC1530"/>
    <w:rsid w:val="00AC1D64"/>
    <w:rsid w:val="00AC2BA3"/>
    <w:rsid w:val="00AC4CF3"/>
    <w:rsid w:val="00AC52C6"/>
    <w:rsid w:val="00AC68EB"/>
    <w:rsid w:val="00AD1E25"/>
    <w:rsid w:val="00AD38ED"/>
    <w:rsid w:val="00AD4282"/>
    <w:rsid w:val="00AD77FD"/>
    <w:rsid w:val="00AE1A7A"/>
    <w:rsid w:val="00AE4894"/>
    <w:rsid w:val="00AE5AC8"/>
    <w:rsid w:val="00AF32B0"/>
    <w:rsid w:val="00AF6B54"/>
    <w:rsid w:val="00AF6F6A"/>
    <w:rsid w:val="00AF71F0"/>
    <w:rsid w:val="00AF75C3"/>
    <w:rsid w:val="00B049EC"/>
    <w:rsid w:val="00B04DD6"/>
    <w:rsid w:val="00B078A6"/>
    <w:rsid w:val="00B10264"/>
    <w:rsid w:val="00B10FF6"/>
    <w:rsid w:val="00B1153A"/>
    <w:rsid w:val="00B1212B"/>
    <w:rsid w:val="00B14213"/>
    <w:rsid w:val="00B15800"/>
    <w:rsid w:val="00B173E2"/>
    <w:rsid w:val="00B177F2"/>
    <w:rsid w:val="00B216FE"/>
    <w:rsid w:val="00B219F8"/>
    <w:rsid w:val="00B240E3"/>
    <w:rsid w:val="00B244A4"/>
    <w:rsid w:val="00B259E2"/>
    <w:rsid w:val="00B26CCB"/>
    <w:rsid w:val="00B31114"/>
    <w:rsid w:val="00B31B5C"/>
    <w:rsid w:val="00B347AA"/>
    <w:rsid w:val="00B34D98"/>
    <w:rsid w:val="00B35503"/>
    <w:rsid w:val="00B37C1A"/>
    <w:rsid w:val="00B37E5F"/>
    <w:rsid w:val="00B408F8"/>
    <w:rsid w:val="00B45AA5"/>
    <w:rsid w:val="00B461BE"/>
    <w:rsid w:val="00B466DA"/>
    <w:rsid w:val="00B5088E"/>
    <w:rsid w:val="00B517B3"/>
    <w:rsid w:val="00B51D39"/>
    <w:rsid w:val="00B53176"/>
    <w:rsid w:val="00B53626"/>
    <w:rsid w:val="00B55C20"/>
    <w:rsid w:val="00B573D1"/>
    <w:rsid w:val="00B57E76"/>
    <w:rsid w:val="00B60F70"/>
    <w:rsid w:val="00B61D3E"/>
    <w:rsid w:val="00B61F76"/>
    <w:rsid w:val="00B626F5"/>
    <w:rsid w:val="00B62A45"/>
    <w:rsid w:val="00B64A03"/>
    <w:rsid w:val="00B64AED"/>
    <w:rsid w:val="00B64EFA"/>
    <w:rsid w:val="00B661E3"/>
    <w:rsid w:val="00B66885"/>
    <w:rsid w:val="00B7058E"/>
    <w:rsid w:val="00B70873"/>
    <w:rsid w:val="00B70EC1"/>
    <w:rsid w:val="00B7103E"/>
    <w:rsid w:val="00B71315"/>
    <w:rsid w:val="00B7173A"/>
    <w:rsid w:val="00B72FDD"/>
    <w:rsid w:val="00B737DD"/>
    <w:rsid w:val="00B73E27"/>
    <w:rsid w:val="00B758E5"/>
    <w:rsid w:val="00B76BB2"/>
    <w:rsid w:val="00B76F62"/>
    <w:rsid w:val="00B77236"/>
    <w:rsid w:val="00B77B2E"/>
    <w:rsid w:val="00B8098C"/>
    <w:rsid w:val="00B81A09"/>
    <w:rsid w:val="00B81A76"/>
    <w:rsid w:val="00B83381"/>
    <w:rsid w:val="00B8390D"/>
    <w:rsid w:val="00B860B7"/>
    <w:rsid w:val="00B86AC7"/>
    <w:rsid w:val="00B87E94"/>
    <w:rsid w:val="00B90D57"/>
    <w:rsid w:val="00B90ED9"/>
    <w:rsid w:val="00B91207"/>
    <w:rsid w:val="00B92A38"/>
    <w:rsid w:val="00B9309D"/>
    <w:rsid w:val="00B94DC9"/>
    <w:rsid w:val="00B95F1A"/>
    <w:rsid w:val="00B96976"/>
    <w:rsid w:val="00BA05BF"/>
    <w:rsid w:val="00BA0DB3"/>
    <w:rsid w:val="00BA0E31"/>
    <w:rsid w:val="00BA2A3B"/>
    <w:rsid w:val="00BA2FEE"/>
    <w:rsid w:val="00BA3827"/>
    <w:rsid w:val="00BA3BBE"/>
    <w:rsid w:val="00BA42E0"/>
    <w:rsid w:val="00BB1EC2"/>
    <w:rsid w:val="00BB2686"/>
    <w:rsid w:val="00BB60AA"/>
    <w:rsid w:val="00BB62D7"/>
    <w:rsid w:val="00BB7BCF"/>
    <w:rsid w:val="00BC05E2"/>
    <w:rsid w:val="00BC0C9A"/>
    <w:rsid w:val="00BC578F"/>
    <w:rsid w:val="00BC7BD0"/>
    <w:rsid w:val="00BD08FE"/>
    <w:rsid w:val="00BD249F"/>
    <w:rsid w:val="00BD3D4C"/>
    <w:rsid w:val="00BD5CAE"/>
    <w:rsid w:val="00BD5DA1"/>
    <w:rsid w:val="00BD6297"/>
    <w:rsid w:val="00BD6C96"/>
    <w:rsid w:val="00BD7208"/>
    <w:rsid w:val="00BD7515"/>
    <w:rsid w:val="00BD7C52"/>
    <w:rsid w:val="00BE01B0"/>
    <w:rsid w:val="00BE17E5"/>
    <w:rsid w:val="00BE1BBE"/>
    <w:rsid w:val="00BE2486"/>
    <w:rsid w:val="00BE32C7"/>
    <w:rsid w:val="00BE4652"/>
    <w:rsid w:val="00BE4A75"/>
    <w:rsid w:val="00BE4FDC"/>
    <w:rsid w:val="00BE5C36"/>
    <w:rsid w:val="00BF01B4"/>
    <w:rsid w:val="00BF0DCB"/>
    <w:rsid w:val="00BF1EC0"/>
    <w:rsid w:val="00BF2AD9"/>
    <w:rsid w:val="00BF2F98"/>
    <w:rsid w:val="00BF4398"/>
    <w:rsid w:val="00BF5BE2"/>
    <w:rsid w:val="00C00D17"/>
    <w:rsid w:val="00C02A64"/>
    <w:rsid w:val="00C052EA"/>
    <w:rsid w:val="00C05316"/>
    <w:rsid w:val="00C06278"/>
    <w:rsid w:val="00C06502"/>
    <w:rsid w:val="00C06661"/>
    <w:rsid w:val="00C11344"/>
    <w:rsid w:val="00C1297D"/>
    <w:rsid w:val="00C13734"/>
    <w:rsid w:val="00C14017"/>
    <w:rsid w:val="00C148AE"/>
    <w:rsid w:val="00C14B07"/>
    <w:rsid w:val="00C1506F"/>
    <w:rsid w:val="00C22D01"/>
    <w:rsid w:val="00C22D4A"/>
    <w:rsid w:val="00C22D64"/>
    <w:rsid w:val="00C236E4"/>
    <w:rsid w:val="00C25ED1"/>
    <w:rsid w:val="00C31741"/>
    <w:rsid w:val="00C31CFE"/>
    <w:rsid w:val="00C32E20"/>
    <w:rsid w:val="00C33CFB"/>
    <w:rsid w:val="00C34493"/>
    <w:rsid w:val="00C35B04"/>
    <w:rsid w:val="00C35CE7"/>
    <w:rsid w:val="00C362F6"/>
    <w:rsid w:val="00C3656D"/>
    <w:rsid w:val="00C37A09"/>
    <w:rsid w:val="00C40905"/>
    <w:rsid w:val="00C412FF"/>
    <w:rsid w:val="00C41357"/>
    <w:rsid w:val="00C4233C"/>
    <w:rsid w:val="00C42EFC"/>
    <w:rsid w:val="00C439D5"/>
    <w:rsid w:val="00C43BCA"/>
    <w:rsid w:val="00C446B2"/>
    <w:rsid w:val="00C45315"/>
    <w:rsid w:val="00C46841"/>
    <w:rsid w:val="00C46DE0"/>
    <w:rsid w:val="00C51424"/>
    <w:rsid w:val="00C51952"/>
    <w:rsid w:val="00C52510"/>
    <w:rsid w:val="00C539E3"/>
    <w:rsid w:val="00C55168"/>
    <w:rsid w:val="00C5557D"/>
    <w:rsid w:val="00C56885"/>
    <w:rsid w:val="00C57680"/>
    <w:rsid w:val="00C57997"/>
    <w:rsid w:val="00C57C9F"/>
    <w:rsid w:val="00C57DE8"/>
    <w:rsid w:val="00C607C9"/>
    <w:rsid w:val="00C60EB1"/>
    <w:rsid w:val="00C61DC9"/>
    <w:rsid w:val="00C6230B"/>
    <w:rsid w:val="00C625C8"/>
    <w:rsid w:val="00C669B9"/>
    <w:rsid w:val="00C674AD"/>
    <w:rsid w:val="00C70AD4"/>
    <w:rsid w:val="00C725E6"/>
    <w:rsid w:val="00C72D55"/>
    <w:rsid w:val="00C732C5"/>
    <w:rsid w:val="00C734EC"/>
    <w:rsid w:val="00C747C2"/>
    <w:rsid w:val="00C80261"/>
    <w:rsid w:val="00C80B4A"/>
    <w:rsid w:val="00C80FE1"/>
    <w:rsid w:val="00C8246A"/>
    <w:rsid w:val="00C830CA"/>
    <w:rsid w:val="00C83120"/>
    <w:rsid w:val="00C8387E"/>
    <w:rsid w:val="00C83BAB"/>
    <w:rsid w:val="00C84197"/>
    <w:rsid w:val="00C84410"/>
    <w:rsid w:val="00C84663"/>
    <w:rsid w:val="00C85BEE"/>
    <w:rsid w:val="00C861DF"/>
    <w:rsid w:val="00C8777A"/>
    <w:rsid w:val="00C904A0"/>
    <w:rsid w:val="00C9115E"/>
    <w:rsid w:val="00C9167C"/>
    <w:rsid w:val="00C926A1"/>
    <w:rsid w:val="00C9405A"/>
    <w:rsid w:val="00C94AA0"/>
    <w:rsid w:val="00C95207"/>
    <w:rsid w:val="00C962CF"/>
    <w:rsid w:val="00C96DB7"/>
    <w:rsid w:val="00CA1B76"/>
    <w:rsid w:val="00CA4E8C"/>
    <w:rsid w:val="00CA4F35"/>
    <w:rsid w:val="00CA6573"/>
    <w:rsid w:val="00CA7887"/>
    <w:rsid w:val="00CB27A4"/>
    <w:rsid w:val="00CB621B"/>
    <w:rsid w:val="00CB65EC"/>
    <w:rsid w:val="00CB6E8A"/>
    <w:rsid w:val="00CB742F"/>
    <w:rsid w:val="00CB7D13"/>
    <w:rsid w:val="00CC1DB1"/>
    <w:rsid w:val="00CC5A7E"/>
    <w:rsid w:val="00CC7CEF"/>
    <w:rsid w:val="00CD0468"/>
    <w:rsid w:val="00CD0E3B"/>
    <w:rsid w:val="00CD1491"/>
    <w:rsid w:val="00CD64DE"/>
    <w:rsid w:val="00CD6EC0"/>
    <w:rsid w:val="00CD7121"/>
    <w:rsid w:val="00CD78E1"/>
    <w:rsid w:val="00CE49FC"/>
    <w:rsid w:val="00CE50AD"/>
    <w:rsid w:val="00CE5195"/>
    <w:rsid w:val="00CE51E4"/>
    <w:rsid w:val="00CF10FC"/>
    <w:rsid w:val="00CF1E45"/>
    <w:rsid w:val="00CF5631"/>
    <w:rsid w:val="00CF6971"/>
    <w:rsid w:val="00CF7993"/>
    <w:rsid w:val="00D00AC1"/>
    <w:rsid w:val="00D014AF"/>
    <w:rsid w:val="00D03926"/>
    <w:rsid w:val="00D03B93"/>
    <w:rsid w:val="00D05227"/>
    <w:rsid w:val="00D12214"/>
    <w:rsid w:val="00D12D3B"/>
    <w:rsid w:val="00D1615A"/>
    <w:rsid w:val="00D16225"/>
    <w:rsid w:val="00D16547"/>
    <w:rsid w:val="00D16B1C"/>
    <w:rsid w:val="00D2010F"/>
    <w:rsid w:val="00D20368"/>
    <w:rsid w:val="00D22035"/>
    <w:rsid w:val="00D24260"/>
    <w:rsid w:val="00D2478C"/>
    <w:rsid w:val="00D2489A"/>
    <w:rsid w:val="00D24BE6"/>
    <w:rsid w:val="00D25099"/>
    <w:rsid w:val="00D26CAF"/>
    <w:rsid w:val="00D279B8"/>
    <w:rsid w:val="00D309C0"/>
    <w:rsid w:val="00D33C66"/>
    <w:rsid w:val="00D34A5A"/>
    <w:rsid w:val="00D35A50"/>
    <w:rsid w:val="00D35BF1"/>
    <w:rsid w:val="00D3635F"/>
    <w:rsid w:val="00D378CF"/>
    <w:rsid w:val="00D40179"/>
    <w:rsid w:val="00D406B0"/>
    <w:rsid w:val="00D434D5"/>
    <w:rsid w:val="00D44218"/>
    <w:rsid w:val="00D4494B"/>
    <w:rsid w:val="00D45843"/>
    <w:rsid w:val="00D45EB6"/>
    <w:rsid w:val="00D51380"/>
    <w:rsid w:val="00D5482F"/>
    <w:rsid w:val="00D566F5"/>
    <w:rsid w:val="00D56752"/>
    <w:rsid w:val="00D56F54"/>
    <w:rsid w:val="00D5720A"/>
    <w:rsid w:val="00D60C8A"/>
    <w:rsid w:val="00D62375"/>
    <w:rsid w:val="00D63A6F"/>
    <w:rsid w:val="00D70AB8"/>
    <w:rsid w:val="00D7104A"/>
    <w:rsid w:val="00D718E2"/>
    <w:rsid w:val="00D73B5B"/>
    <w:rsid w:val="00D74FDC"/>
    <w:rsid w:val="00D750D6"/>
    <w:rsid w:val="00D81429"/>
    <w:rsid w:val="00D82506"/>
    <w:rsid w:val="00D871A9"/>
    <w:rsid w:val="00D9154A"/>
    <w:rsid w:val="00D91AF2"/>
    <w:rsid w:val="00D927CA"/>
    <w:rsid w:val="00D93271"/>
    <w:rsid w:val="00D94A8E"/>
    <w:rsid w:val="00D96319"/>
    <w:rsid w:val="00DA0CA2"/>
    <w:rsid w:val="00DA158D"/>
    <w:rsid w:val="00DA30A9"/>
    <w:rsid w:val="00DA4B87"/>
    <w:rsid w:val="00DB03CE"/>
    <w:rsid w:val="00DB04B5"/>
    <w:rsid w:val="00DB0766"/>
    <w:rsid w:val="00DB225F"/>
    <w:rsid w:val="00DB31F5"/>
    <w:rsid w:val="00DB4D86"/>
    <w:rsid w:val="00DB53F2"/>
    <w:rsid w:val="00DB55B5"/>
    <w:rsid w:val="00DB5D12"/>
    <w:rsid w:val="00DB685F"/>
    <w:rsid w:val="00DC016C"/>
    <w:rsid w:val="00DC0207"/>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4CC6"/>
    <w:rsid w:val="00DD4DB8"/>
    <w:rsid w:val="00DD4E98"/>
    <w:rsid w:val="00DD58B8"/>
    <w:rsid w:val="00DD664B"/>
    <w:rsid w:val="00DE06FD"/>
    <w:rsid w:val="00DE2129"/>
    <w:rsid w:val="00DE28BF"/>
    <w:rsid w:val="00DE44E9"/>
    <w:rsid w:val="00DE5048"/>
    <w:rsid w:val="00DE52C3"/>
    <w:rsid w:val="00DE6690"/>
    <w:rsid w:val="00DE756E"/>
    <w:rsid w:val="00DE7637"/>
    <w:rsid w:val="00DF09B8"/>
    <w:rsid w:val="00DF0D73"/>
    <w:rsid w:val="00DF15EE"/>
    <w:rsid w:val="00DF2313"/>
    <w:rsid w:val="00DF382F"/>
    <w:rsid w:val="00DF53EA"/>
    <w:rsid w:val="00E006B6"/>
    <w:rsid w:val="00E006CC"/>
    <w:rsid w:val="00E013E9"/>
    <w:rsid w:val="00E02840"/>
    <w:rsid w:val="00E02932"/>
    <w:rsid w:val="00E06CE6"/>
    <w:rsid w:val="00E07702"/>
    <w:rsid w:val="00E1020C"/>
    <w:rsid w:val="00E1033E"/>
    <w:rsid w:val="00E10F14"/>
    <w:rsid w:val="00E11F28"/>
    <w:rsid w:val="00E125BC"/>
    <w:rsid w:val="00E12B19"/>
    <w:rsid w:val="00E14744"/>
    <w:rsid w:val="00E14816"/>
    <w:rsid w:val="00E1487F"/>
    <w:rsid w:val="00E154AB"/>
    <w:rsid w:val="00E15BB1"/>
    <w:rsid w:val="00E164E7"/>
    <w:rsid w:val="00E16654"/>
    <w:rsid w:val="00E2108B"/>
    <w:rsid w:val="00E21CDD"/>
    <w:rsid w:val="00E22360"/>
    <w:rsid w:val="00E23669"/>
    <w:rsid w:val="00E25425"/>
    <w:rsid w:val="00E25B8B"/>
    <w:rsid w:val="00E25C3E"/>
    <w:rsid w:val="00E2789A"/>
    <w:rsid w:val="00E31D43"/>
    <w:rsid w:val="00E32EEE"/>
    <w:rsid w:val="00E33520"/>
    <w:rsid w:val="00E3623E"/>
    <w:rsid w:val="00E37775"/>
    <w:rsid w:val="00E40BC0"/>
    <w:rsid w:val="00E411D3"/>
    <w:rsid w:val="00E41A8D"/>
    <w:rsid w:val="00E41EAA"/>
    <w:rsid w:val="00E427DF"/>
    <w:rsid w:val="00E43435"/>
    <w:rsid w:val="00E475A6"/>
    <w:rsid w:val="00E47828"/>
    <w:rsid w:val="00E50DBE"/>
    <w:rsid w:val="00E52305"/>
    <w:rsid w:val="00E526B7"/>
    <w:rsid w:val="00E53BFB"/>
    <w:rsid w:val="00E553C7"/>
    <w:rsid w:val="00E57493"/>
    <w:rsid w:val="00E60ED0"/>
    <w:rsid w:val="00E613F2"/>
    <w:rsid w:val="00E61AB6"/>
    <w:rsid w:val="00E61CDE"/>
    <w:rsid w:val="00E65459"/>
    <w:rsid w:val="00E66317"/>
    <w:rsid w:val="00E66951"/>
    <w:rsid w:val="00E67D3C"/>
    <w:rsid w:val="00E7006D"/>
    <w:rsid w:val="00E705F5"/>
    <w:rsid w:val="00E75BB5"/>
    <w:rsid w:val="00E808D6"/>
    <w:rsid w:val="00E80E37"/>
    <w:rsid w:val="00E83450"/>
    <w:rsid w:val="00E8389D"/>
    <w:rsid w:val="00E83965"/>
    <w:rsid w:val="00E86739"/>
    <w:rsid w:val="00E90E54"/>
    <w:rsid w:val="00E91457"/>
    <w:rsid w:val="00E9157A"/>
    <w:rsid w:val="00E91FF2"/>
    <w:rsid w:val="00E94929"/>
    <w:rsid w:val="00E94FF3"/>
    <w:rsid w:val="00E9514D"/>
    <w:rsid w:val="00E96BEB"/>
    <w:rsid w:val="00EA0F7F"/>
    <w:rsid w:val="00EA15A6"/>
    <w:rsid w:val="00EA2C19"/>
    <w:rsid w:val="00EA379C"/>
    <w:rsid w:val="00EA37E1"/>
    <w:rsid w:val="00EA4780"/>
    <w:rsid w:val="00EA4997"/>
    <w:rsid w:val="00EA4DC3"/>
    <w:rsid w:val="00EA4F63"/>
    <w:rsid w:val="00EA5167"/>
    <w:rsid w:val="00EA7123"/>
    <w:rsid w:val="00EB37B1"/>
    <w:rsid w:val="00EB4DFF"/>
    <w:rsid w:val="00EB5240"/>
    <w:rsid w:val="00EC2DA8"/>
    <w:rsid w:val="00EC45FC"/>
    <w:rsid w:val="00EC4A4E"/>
    <w:rsid w:val="00EC6A8E"/>
    <w:rsid w:val="00EC6BCB"/>
    <w:rsid w:val="00ED073E"/>
    <w:rsid w:val="00ED2E55"/>
    <w:rsid w:val="00ED54D9"/>
    <w:rsid w:val="00ED5DDA"/>
    <w:rsid w:val="00ED7D48"/>
    <w:rsid w:val="00EE06BA"/>
    <w:rsid w:val="00EE082B"/>
    <w:rsid w:val="00EE1352"/>
    <w:rsid w:val="00EE3E2A"/>
    <w:rsid w:val="00EE480B"/>
    <w:rsid w:val="00EE695C"/>
    <w:rsid w:val="00EF452B"/>
    <w:rsid w:val="00EF4ADB"/>
    <w:rsid w:val="00F0156D"/>
    <w:rsid w:val="00F02DE0"/>
    <w:rsid w:val="00F0430C"/>
    <w:rsid w:val="00F053FC"/>
    <w:rsid w:val="00F06CB3"/>
    <w:rsid w:val="00F06E50"/>
    <w:rsid w:val="00F079CC"/>
    <w:rsid w:val="00F07A83"/>
    <w:rsid w:val="00F07FC2"/>
    <w:rsid w:val="00F123A4"/>
    <w:rsid w:val="00F13DD5"/>
    <w:rsid w:val="00F14677"/>
    <w:rsid w:val="00F1519C"/>
    <w:rsid w:val="00F16359"/>
    <w:rsid w:val="00F21698"/>
    <w:rsid w:val="00F22195"/>
    <w:rsid w:val="00F24A07"/>
    <w:rsid w:val="00F2514D"/>
    <w:rsid w:val="00F27F68"/>
    <w:rsid w:val="00F321E1"/>
    <w:rsid w:val="00F3389F"/>
    <w:rsid w:val="00F347DD"/>
    <w:rsid w:val="00F3568E"/>
    <w:rsid w:val="00F35DBE"/>
    <w:rsid w:val="00F36D77"/>
    <w:rsid w:val="00F37880"/>
    <w:rsid w:val="00F42116"/>
    <w:rsid w:val="00F43423"/>
    <w:rsid w:val="00F4377C"/>
    <w:rsid w:val="00F4392A"/>
    <w:rsid w:val="00F43B62"/>
    <w:rsid w:val="00F4491E"/>
    <w:rsid w:val="00F466A1"/>
    <w:rsid w:val="00F469C7"/>
    <w:rsid w:val="00F469E3"/>
    <w:rsid w:val="00F46C66"/>
    <w:rsid w:val="00F512B9"/>
    <w:rsid w:val="00F530D1"/>
    <w:rsid w:val="00F54415"/>
    <w:rsid w:val="00F54463"/>
    <w:rsid w:val="00F54E38"/>
    <w:rsid w:val="00F551B0"/>
    <w:rsid w:val="00F57E57"/>
    <w:rsid w:val="00F62D24"/>
    <w:rsid w:val="00F6398A"/>
    <w:rsid w:val="00F668B1"/>
    <w:rsid w:val="00F72E7B"/>
    <w:rsid w:val="00F74BA1"/>
    <w:rsid w:val="00F762D5"/>
    <w:rsid w:val="00F76381"/>
    <w:rsid w:val="00F7668F"/>
    <w:rsid w:val="00F76E79"/>
    <w:rsid w:val="00F81765"/>
    <w:rsid w:val="00F821AA"/>
    <w:rsid w:val="00F82312"/>
    <w:rsid w:val="00F83C99"/>
    <w:rsid w:val="00F841EA"/>
    <w:rsid w:val="00F8426B"/>
    <w:rsid w:val="00F84FA2"/>
    <w:rsid w:val="00F85E40"/>
    <w:rsid w:val="00F8623A"/>
    <w:rsid w:val="00F8652F"/>
    <w:rsid w:val="00F9081B"/>
    <w:rsid w:val="00F90B7E"/>
    <w:rsid w:val="00F90CCF"/>
    <w:rsid w:val="00F915A6"/>
    <w:rsid w:val="00F91F19"/>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247"/>
    <w:rsid w:val="00FD46BA"/>
    <w:rsid w:val="00FD50B6"/>
    <w:rsid w:val="00FD5D4A"/>
    <w:rsid w:val="00FD7489"/>
    <w:rsid w:val="00FE09B0"/>
    <w:rsid w:val="00FE0F9D"/>
    <w:rsid w:val="00FE0FB0"/>
    <w:rsid w:val="00FE10E6"/>
    <w:rsid w:val="00FE1705"/>
    <w:rsid w:val="00FE2152"/>
    <w:rsid w:val="00FE3242"/>
    <w:rsid w:val="00FE45F5"/>
    <w:rsid w:val="00FE48CB"/>
    <w:rsid w:val="00FE6F33"/>
    <w:rsid w:val="00FF1B0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9C2F5"/>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 w:type="character" w:customStyle="1" w:styleId="red">
    <w:name w:val="red"/>
    <w:basedOn w:val="Fuentedeprrafopredeter"/>
    <w:rsid w:val="00E613F2"/>
  </w:style>
  <w:style w:type="paragraph" w:styleId="Textoindependiente">
    <w:name w:val="Body Text"/>
    <w:basedOn w:val="Normal"/>
    <w:link w:val="TextoindependienteCar"/>
    <w:uiPriority w:val="99"/>
    <w:semiHidden/>
    <w:unhideWhenUsed/>
    <w:rsid w:val="00397FC3"/>
    <w:pPr>
      <w:spacing w:after="120"/>
    </w:pPr>
  </w:style>
  <w:style w:type="character" w:customStyle="1" w:styleId="TextoindependienteCar">
    <w:name w:val="Texto independiente Car"/>
    <w:basedOn w:val="Fuentedeprrafopredeter"/>
    <w:link w:val="Textoindependiente"/>
    <w:uiPriority w:val="99"/>
    <w:semiHidden/>
    <w:rsid w:val="00397FC3"/>
    <w:rPr>
      <w:lang w:val="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397FC3"/>
    <w:rPr>
      <w:rFonts w:ascii="Calibri" w:eastAsia="Calibri" w:hAnsi="Calibri" w:cs="Times New Roman"/>
    </w:rPr>
  </w:style>
  <w:style w:type="paragraph" w:customStyle="1" w:styleId="Default">
    <w:name w:val="Default"/>
    <w:rsid w:val="00E15BB1"/>
    <w:pPr>
      <w:autoSpaceDE w:val="0"/>
      <w:autoSpaceDN w:val="0"/>
      <w:adjustRightInd w:val="0"/>
      <w:spacing w:after="0" w:line="240" w:lineRule="auto"/>
    </w:pPr>
    <w:rPr>
      <w:rFonts w:ascii="Arial" w:hAnsi="Arial" w:cs="Arial"/>
      <w:color w:val="000000"/>
      <w:sz w:val="24"/>
      <w:szCs w:val="24"/>
      <w:lang w:val="es-ES"/>
    </w:rPr>
  </w:style>
  <w:style w:type="paragraph" w:styleId="Listaconvietas">
    <w:name w:val="List Bullet"/>
    <w:basedOn w:val="Normal"/>
    <w:uiPriority w:val="99"/>
    <w:unhideWhenUsed/>
    <w:rsid w:val="00E15BB1"/>
    <w:pPr>
      <w:numPr>
        <w:numId w:val="17"/>
      </w:numPr>
      <w:contextualSpacing/>
    </w:pPr>
  </w:style>
  <w:style w:type="paragraph" w:styleId="Subttulo">
    <w:name w:val="Subtitle"/>
    <w:basedOn w:val="Normal"/>
    <w:next w:val="Normal"/>
    <w:link w:val="SubttuloCar"/>
    <w:uiPriority w:val="11"/>
    <w:qFormat/>
    <w:rsid w:val="00E15BB1"/>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E15BB1"/>
    <w:rPr>
      <w:rFonts w:eastAsiaTheme="minorEastAsia"/>
      <w:color w:val="5A5A5A" w:themeColor="text1" w:themeTint="A5"/>
      <w:spacing w:val="15"/>
      <w:lang w:val="es-ES"/>
    </w:rPr>
  </w:style>
  <w:style w:type="paragraph" w:customStyle="1" w:styleId="Normal0">
    <w:name w:val="[Normal]"/>
    <w:rsid w:val="00E15BB1"/>
    <w:pPr>
      <w:widowControl w:val="0"/>
      <w:autoSpaceDE w:val="0"/>
      <w:autoSpaceDN w:val="0"/>
      <w:adjustRightInd w:val="0"/>
      <w:spacing w:after="0" w:line="240" w:lineRule="auto"/>
    </w:pPr>
    <w:rPr>
      <w:rFonts w:ascii="Arial" w:eastAsia="Times New Roman" w:hAnsi="Arial" w:cs="Arial"/>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40416444">
      <w:bodyDiv w:val="1"/>
      <w:marLeft w:val="0"/>
      <w:marRight w:val="0"/>
      <w:marTop w:val="0"/>
      <w:marBottom w:val="0"/>
      <w:divBdr>
        <w:top w:val="none" w:sz="0" w:space="0" w:color="auto"/>
        <w:left w:val="none" w:sz="0" w:space="0" w:color="auto"/>
        <w:bottom w:val="none" w:sz="0" w:space="0" w:color="auto"/>
        <w:right w:val="none" w:sz="0" w:space="0" w:color="auto"/>
      </w:divBdr>
      <w:divsChild>
        <w:div w:id="325397696">
          <w:marLeft w:val="0"/>
          <w:marRight w:val="0"/>
          <w:marTop w:val="0"/>
          <w:marBottom w:val="0"/>
          <w:divBdr>
            <w:top w:val="none" w:sz="0" w:space="0" w:color="auto"/>
            <w:left w:val="none" w:sz="0" w:space="0" w:color="auto"/>
            <w:bottom w:val="none" w:sz="0" w:space="0" w:color="auto"/>
            <w:right w:val="none" w:sz="0" w:space="0" w:color="auto"/>
          </w:divBdr>
        </w:div>
      </w:divsChild>
    </w:div>
    <w:div w:id="1448966308">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9D7675-67CE-481E-B7FD-DC3FD06FF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12469</Words>
  <Characters>68582</Characters>
  <Application>Microsoft Office Word</Application>
  <DocSecurity>0</DocSecurity>
  <Lines>571</Lines>
  <Paragraphs>161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2</cp:revision>
  <cp:lastPrinted>2019-03-28T19:02:00Z</cp:lastPrinted>
  <dcterms:created xsi:type="dcterms:W3CDTF">2020-09-29T16:30:00Z</dcterms:created>
  <dcterms:modified xsi:type="dcterms:W3CDTF">2020-09-29T16:30:00Z</dcterms:modified>
</cp:coreProperties>
</file>