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B54FCC" w:rsidRPr="006E349D" w:rsidTr="00965474">
        <w:tc>
          <w:tcPr>
            <w:tcW w:w="2356" w:type="dxa"/>
          </w:tcPr>
          <w:p w:rsidR="00B54FCC" w:rsidRPr="006E349D" w:rsidRDefault="00B54FCC" w:rsidP="00965474">
            <w:pPr>
              <w:pStyle w:val="Ttulo1"/>
            </w:pPr>
          </w:p>
        </w:tc>
        <w:tc>
          <w:tcPr>
            <w:tcW w:w="6859" w:type="dxa"/>
          </w:tcPr>
          <w:p w:rsidR="00B54FCC" w:rsidRPr="00787AC6" w:rsidRDefault="00B54FCC" w:rsidP="00965474">
            <w:pPr>
              <w:ind w:left="1119" w:right="497"/>
              <w:jc w:val="both"/>
              <w:rPr>
                <w:rFonts w:ascii="Arial" w:hAnsi="Arial" w:cs="Arial"/>
                <w:b/>
                <w:sz w:val="26"/>
                <w:szCs w:val="26"/>
              </w:rPr>
            </w:pPr>
            <w:r>
              <w:rPr>
                <w:rFonts w:ascii="Arial" w:hAnsi="Arial" w:cs="Arial"/>
                <w:b/>
                <w:sz w:val="26"/>
                <w:szCs w:val="26"/>
              </w:rPr>
              <w:t>SALA SUPERIOR DEL TRIBUNAL DE JUSTICIA ADMINISTRATIVA DEL ESTADO DE OAXACA.</w:t>
            </w:r>
          </w:p>
          <w:p w:rsidR="00B54FCC" w:rsidRPr="006E349D" w:rsidRDefault="00B54FCC" w:rsidP="00965474">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B54FCC" w:rsidRDefault="00B54FCC" w:rsidP="00965474">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RECURSO DE REVISIÓN: 0210/2019</w:t>
            </w:r>
          </w:p>
          <w:p w:rsidR="00B54FCC" w:rsidRPr="006E349D" w:rsidRDefault="00B54FCC" w:rsidP="00965474">
            <w:pPr>
              <w:pStyle w:val="Encabezado"/>
              <w:tabs>
                <w:tab w:val="clear" w:pos="4252"/>
              </w:tabs>
              <w:ind w:right="51"/>
              <w:jc w:val="both"/>
              <w:rPr>
                <w:rFonts w:ascii="Arial" w:hAnsi="Arial" w:cs="Arial"/>
                <w:b/>
                <w:iCs/>
                <w:caps/>
                <w:sz w:val="26"/>
                <w:szCs w:val="26"/>
              </w:rPr>
            </w:pPr>
          </w:p>
          <w:p w:rsidR="00B54FCC" w:rsidRPr="006E349D" w:rsidRDefault="00B54FCC" w:rsidP="00965474">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w:t>
            </w:r>
            <w:r>
              <w:rPr>
                <w:rFonts w:ascii="Arial" w:hAnsi="Arial" w:cs="Arial"/>
                <w:b/>
                <w:iCs/>
                <w:caps/>
                <w:sz w:val="26"/>
                <w:szCs w:val="26"/>
              </w:rPr>
              <w:t xml:space="preserve"> </w:t>
            </w:r>
            <w:r w:rsidRPr="006E349D">
              <w:rPr>
                <w:rFonts w:ascii="Arial" w:hAnsi="Arial" w:cs="Arial"/>
                <w:b/>
                <w:iCs/>
                <w:caps/>
                <w:sz w:val="26"/>
                <w:szCs w:val="26"/>
              </w:rPr>
              <w:t xml:space="preserve">EXPEDIENTE: </w:t>
            </w:r>
            <w:r>
              <w:rPr>
                <w:rFonts w:ascii="Arial" w:hAnsi="Arial" w:cs="Arial"/>
                <w:b/>
                <w:iCs/>
                <w:caps/>
                <w:sz w:val="26"/>
                <w:szCs w:val="26"/>
              </w:rPr>
              <w:t>0105/2018</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Pr>
                <w:rFonts w:ascii="Arial" w:hAnsi="Arial" w:cs="Arial"/>
                <w:b/>
                <w:iCs/>
                <w:caps/>
                <w:sz w:val="26"/>
                <w:szCs w:val="26"/>
              </w:rPr>
              <w:t xml:space="preserve">SEGUNDA SALA UNITARIA DE PRIMERA INSTANCIA </w:t>
            </w:r>
          </w:p>
          <w:p w:rsidR="00B54FCC" w:rsidRPr="006E349D" w:rsidRDefault="00B54FCC" w:rsidP="00965474">
            <w:pPr>
              <w:pStyle w:val="Encabezado"/>
              <w:tabs>
                <w:tab w:val="clear" w:pos="4252"/>
              </w:tabs>
              <w:ind w:left="1119" w:right="51" w:hanging="1119"/>
              <w:jc w:val="both"/>
              <w:rPr>
                <w:rFonts w:ascii="Arial" w:hAnsi="Arial" w:cs="Arial"/>
                <w:b/>
                <w:iCs/>
                <w:caps/>
                <w:sz w:val="26"/>
                <w:szCs w:val="26"/>
              </w:rPr>
            </w:pPr>
          </w:p>
          <w:p w:rsidR="00B54FCC" w:rsidRPr="006E349D" w:rsidRDefault="00B54FCC" w:rsidP="00965474">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w:t>
            </w:r>
            <w:r>
              <w:rPr>
                <w:rFonts w:ascii="Arial" w:hAnsi="Arial" w:cs="Arial"/>
                <w:b/>
                <w:iCs/>
                <w:caps/>
                <w:sz w:val="26"/>
                <w:szCs w:val="26"/>
              </w:rPr>
              <w:t xml:space="preserve"> </w:t>
            </w:r>
            <w:r w:rsidRPr="006E349D">
              <w:rPr>
                <w:rFonts w:ascii="Arial" w:hAnsi="Arial" w:cs="Arial"/>
                <w:b/>
                <w:iCs/>
                <w:caps/>
                <w:sz w:val="26"/>
                <w:szCs w:val="26"/>
              </w:rPr>
              <w:t>ponente:</w:t>
            </w:r>
            <w:r>
              <w:rPr>
                <w:rFonts w:ascii="Arial" w:hAnsi="Arial" w:cs="Arial"/>
                <w:b/>
                <w:iCs/>
                <w:caps/>
                <w:sz w:val="26"/>
                <w:szCs w:val="26"/>
              </w:rPr>
              <w:t xml:space="preserve"> MAGISTRADO MaNUEL vElaSCO ALCÁNTARA.</w:t>
            </w:r>
          </w:p>
        </w:tc>
      </w:tr>
      <w:tr w:rsidR="00B54FCC" w:rsidRPr="006E349D" w:rsidTr="00965474">
        <w:tc>
          <w:tcPr>
            <w:tcW w:w="2356" w:type="dxa"/>
          </w:tcPr>
          <w:p w:rsidR="00B54FCC" w:rsidRPr="006E349D" w:rsidRDefault="00B54FCC" w:rsidP="00965474">
            <w:pPr>
              <w:rPr>
                <w:rFonts w:ascii="Arial" w:hAnsi="Arial" w:cs="Arial"/>
                <w:b/>
                <w:sz w:val="26"/>
                <w:szCs w:val="26"/>
              </w:rPr>
            </w:pPr>
          </w:p>
        </w:tc>
        <w:tc>
          <w:tcPr>
            <w:tcW w:w="6859" w:type="dxa"/>
          </w:tcPr>
          <w:p w:rsidR="00B54FCC" w:rsidRPr="006E349D" w:rsidRDefault="00B54FCC" w:rsidP="00965474">
            <w:pPr>
              <w:tabs>
                <w:tab w:val="left" w:pos="3103"/>
              </w:tabs>
              <w:spacing w:line="360" w:lineRule="auto"/>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B54FCC" w:rsidRPr="006E349D" w:rsidTr="00965474">
        <w:tc>
          <w:tcPr>
            <w:tcW w:w="2356" w:type="dxa"/>
          </w:tcPr>
          <w:p w:rsidR="00B54FCC" w:rsidRPr="006E349D" w:rsidRDefault="00B54FCC" w:rsidP="00965474">
            <w:pPr>
              <w:rPr>
                <w:rFonts w:ascii="Arial" w:hAnsi="Arial" w:cs="Arial"/>
                <w:b/>
                <w:sz w:val="26"/>
                <w:szCs w:val="26"/>
              </w:rPr>
            </w:pPr>
          </w:p>
        </w:tc>
        <w:tc>
          <w:tcPr>
            <w:tcW w:w="6859" w:type="dxa"/>
          </w:tcPr>
          <w:p w:rsidR="00B54FCC" w:rsidRPr="006E349D" w:rsidRDefault="00B54FCC" w:rsidP="00965474">
            <w:pPr>
              <w:tabs>
                <w:tab w:val="left" w:pos="3103"/>
              </w:tabs>
              <w:ind w:left="2961" w:hanging="2961"/>
              <w:jc w:val="both"/>
              <w:rPr>
                <w:rFonts w:ascii="Arial" w:hAnsi="Arial" w:cs="Arial"/>
                <w:b/>
                <w:i/>
                <w:iCs/>
                <w:caps/>
                <w:sz w:val="26"/>
                <w:szCs w:val="26"/>
              </w:rPr>
            </w:pPr>
          </w:p>
        </w:tc>
      </w:tr>
    </w:tbl>
    <w:p w:rsidR="00B54FCC" w:rsidRPr="00372D3D" w:rsidRDefault="00B54FCC" w:rsidP="00B54FCC">
      <w:pPr>
        <w:spacing w:line="360" w:lineRule="auto"/>
        <w:ind w:left="-426"/>
        <w:jc w:val="both"/>
        <w:rPr>
          <w:rFonts w:ascii="Arial" w:eastAsia="Calibri" w:hAnsi="Arial" w:cs="Arial"/>
          <w:b/>
          <w:sz w:val="26"/>
          <w:szCs w:val="26"/>
        </w:rPr>
      </w:pPr>
      <w:r>
        <w:rPr>
          <w:rFonts w:ascii="Arial" w:eastAsia="Calibri" w:hAnsi="Arial" w:cs="Arial"/>
          <w:b/>
          <w:sz w:val="26"/>
          <w:szCs w:val="26"/>
        </w:rPr>
        <w:t xml:space="preserve">OAXACA DE JUÁREZ, OAXACA, A TRECE DE FEBRERO DE DOS MIL VEINTE. </w:t>
      </w:r>
    </w:p>
    <w:p w:rsidR="00B54FCC" w:rsidRPr="004A49C5" w:rsidRDefault="00B54FCC" w:rsidP="004A49C5">
      <w:pPr>
        <w:spacing w:line="360" w:lineRule="auto"/>
        <w:ind w:left="-426" w:firstLine="708"/>
        <w:jc w:val="both"/>
        <w:rPr>
          <w:rFonts w:ascii="Arial" w:eastAsia="Calibri" w:hAnsi="Arial" w:cs="Arial"/>
          <w:sz w:val="26"/>
          <w:szCs w:val="26"/>
        </w:rPr>
      </w:pPr>
      <w:r w:rsidRPr="00372D3D">
        <w:rPr>
          <w:rFonts w:ascii="Arial" w:eastAsia="Calibri" w:hAnsi="Arial" w:cs="Arial"/>
          <w:sz w:val="26"/>
          <w:szCs w:val="26"/>
        </w:rPr>
        <w:t xml:space="preserve">Por recibido el Cuaderno de Revisión </w:t>
      </w:r>
      <w:r w:rsidRPr="00A92AD7">
        <w:rPr>
          <w:rFonts w:ascii="Arial" w:eastAsia="Calibri" w:hAnsi="Arial" w:cs="Arial"/>
          <w:b/>
          <w:sz w:val="26"/>
          <w:szCs w:val="26"/>
        </w:rPr>
        <w:t>0</w:t>
      </w:r>
      <w:r>
        <w:rPr>
          <w:rFonts w:ascii="Arial" w:eastAsia="Calibri" w:hAnsi="Arial" w:cs="Arial"/>
          <w:b/>
          <w:sz w:val="26"/>
          <w:szCs w:val="26"/>
        </w:rPr>
        <w:t>210/2019</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Pr>
          <w:rFonts w:ascii="Arial" w:eastAsia="Calibri" w:hAnsi="Arial" w:cs="Arial"/>
          <w:b/>
          <w:sz w:val="26"/>
          <w:szCs w:val="26"/>
        </w:rPr>
        <w:t xml:space="preserve"> </w:t>
      </w:r>
      <w:r w:rsidR="00E87F6D">
        <w:rPr>
          <w:rFonts w:ascii="Arial" w:eastAsia="Calibri" w:hAnsi="Arial" w:cs="Arial"/>
          <w:b/>
          <w:sz w:val="26"/>
          <w:szCs w:val="26"/>
        </w:rPr>
        <w:t>***********</w:t>
      </w:r>
      <w:r>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 la sentencia de fecha 28 veintiocho de mayo de 2019 dos mil diecinueve, dictada en el expediente</w:t>
      </w:r>
      <w:r>
        <w:rPr>
          <w:rFonts w:ascii="Arial" w:eastAsia="Calibri" w:hAnsi="Arial" w:cs="Arial"/>
          <w:b/>
          <w:sz w:val="26"/>
          <w:szCs w:val="26"/>
        </w:rPr>
        <w:t xml:space="preserve"> 0105/2018</w:t>
      </w:r>
      <w:r>
        <w:rPr>
          <w:rFonts w:ascii="Arial" w:hAnsi="Arial" w:cs="Arial"/>
          <w:sz w:val="26"/>
          <w:szCs w:val="26"/>
        </w:rPr>
        <w:t xml:space="preserve">, del índice de la Segunda Sala Unitaria de Primera Instancia de este Tribunal, promovido </w:t>
      </w:r>
      <w:r w:rsidRPr="00120984">
        <w:rPr>
          <w:rFonts w:ascii="Arial" w:hAnsi="Arial" w:cs="Arial"/>
          <w:sz w:val="26"/>
          <w:szCs w:val="26"/>
        </w:rPr>
        <w:t xml:space="preserve">por </w:t>
      </w:r>
      <w:r w:rsidR="00E87F6D">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eastAsia="Calibri" w:hAnsi="Arial" w:cs="Arial"/>
          <w:b/>
          <w:sz w:val="26"/>
          <w:szCs w:val="26"/>
        </w:rPr>
        <w:t>DIRECTOR GENERAL DE LA OFICINA DE PENSIONES DEL ESTADO</w:t>
      </w:r>
      <w:r w:rsidRPr="00103F85">
        <w:rPr>
          <w:rFonts w:ascii="Arial" w:hAnsi="Arial" w:cs="Arial"/>
          <w:b/>
          <w:sz w:val="26"/>
          <w:szCs w:val="26"/>
        </w:rPr>
        <w:t xml:space="preserve"> DE OAXACA</w:t>
      </w:r>
      <w:r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w:t>
      </w:r>
      <w:r>
        <w:rPr>
          <w:rFonts w:ascii="Arial" w:eastAsia="Calibri" w:hAnsi="Arial" w:cs="Arial"/>
          <w:sz w:val="26"/>
          <w:szCs w:val="26"/>
        </w:rPr>
        <w:t xml:space="preserve">fundamento en los artículos 237 </w:t>
      </w:r>
      <w:r w:rsidRPr="00372D3D">
        <w:rPr>
          <w:rFonts w:ascii="Arial" w:hAnsi="Arial" w:cs="Arial"/>
          <w:sz w:val="26"/>
          <w:szCs w:val="26"/>
        </w:rPr>
        <w:t>y 2</w:t>
      </w:r>
      <w:r>
        <w:rPr>
          <w:rFonts w:ascii="Arial" w:hAnsi="Arial" w:cs="Arial"/>
          <w:sz w:val="26"/>
          <w:szCs w:val="26"/>
        </w:rPr>
        <w:t>3</w:t>
      </w:r>
      <w:r w:rsidRPr="00372D3D">
        <w:rPr>
          <w:rFonts w:ascii="Arial" w:hAnsi="Arial" w:cs="Arial"/>
          <w:sz w:val="26"/>
          <w:szCs w:val="26"/>
        </w:rPr>
        <w:t xml:space="preserve">8, de la Ley de </w:t>
      </w:r>
      <w:r>
        <w:rPr>
          <w:rFonts w:ascii="Arial" w:hAnsi="Arial" w:cs="Arial"/>
          <w:sz w:val="26"/>
          <w:szCs w:val="26"/>
        </w:rPr>
        <w:t xml:space="preserve">Procedimiento y </w:t>
      </w:r>
      <w:r w:rsidRPr="00372D3D">
        <w:rPr>
          <w:rFonts w:ascii="Arial" w:hAnsi="Arial" w:cs="Arial"/>
          <w:sz w:val="26"/>
          <w:szCs w:val="26"/>
        </w:rPr>
        <w:t xml:space="preserve">Justicia Administrativa para el Estado de Oaxaca, </w:t>
      </w:r>
      <w:r>
        <w:rPr>
          <w:rFonts w:ascii="Arial" w:hAnsi="Arial" w:cs="Arial"/>
          <w:sz w:val="26"/>
          <w:szCs w:val="26"/>
        </w:rPr>
        <w:t>se admite.</w:t>
      </w:r>
      <w:r w:rsidRPr="00372D3D">
        <w:rPr>
          <w:rFonts w:ascii="Arial" w:hAnsi="Arial" w:cs="Arial"/>
          <w:sz w:val="26"/>
          <w:szCs w:val="26"/>
        </w:rPr>
        <w:t xml:space="preserve"> En consecuencia, se procede a dictar resolución en los siguientes términos</w:t>
      </w:r>
      <w:r w:rsidRPr="00372D3D">
        <w:rPr>
          <w:rFonts w:ascii="Arial" w:eastAsia="Calibri" w:hAnsi="Arial" w:cs="Arial"/>
          <w:sz w:val="26"/>
          <w:szCs w:val="26"/>
        </w:rPr>
        <w:t>:</w:t>
      </w:r>
    </w:p>
    <w:p w:rsidR="00B54FCC" w:rsidRPr="00372D3D" w:rsidRDefault="00B54FCC" w:rsidP="004A49C5">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B54FCC" w:rsidRPr="00372D3D" w:rsidRDefault="00B54FCC" w:rsidP="004A49C5">
      <w:pPr>
        <w:spacing w:line="360" w:lineRule="auto"/>
        <w:ind w:left="-426"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Pr>
          <w:rFonts w:ascii="Arial" w:eastAsia="Calibri" w:hAnsi="Arial" w:cs="Arial"/>
          <w:sz w:val="26"/>
          <w:szCs w:val="26"/>
        </w:rPr>
        <w:t xml:space="preserve">Inconforme con la sentencia de 28 veintiocho de mayo de 2019 dos mil diecinueve, dictada por el Titular de la Segunda Sala Unitaria de Primera Instancia del Tribunal de Justicia Administrativa del Estado de Oaxaca, </w:t>
      </w:r>
      <w:r w:rsidR="00E87F6D">
        <w:rPr>
          <w:rFonts w:ascii="Arial" w:eastAsia="Calibri" w:hAnsi="Arial" w:cs="Arial"/>
          <w:b/>
          <w:sz w:val="26"/>
          <w:szCs w:val="26"/>
        </w:rPr>
        <w:t>************</w:t>
      </w:r>
      <w:r>
        <w:rPr>
          <w:rFonts w:ascii="Arial" w:eastAsia="Calibri" w:hAnsi="Arial" w:cs="Arial"/>
          <w:b/>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w:t>
      </w:r>
    </w:p>
    <w:p w:rsidR="00B54FCC" w:rsidRDefault="00B54FCC" w:rsidP="004A49C5">
      <w:pPr>
        <w:spacing w:line="360" w:lineRule="auto"/>
        <w:ind w:left="-426"/>
        <w:jc w:val="both"/>
        <w:rPr>
          <w:rFonts w:ascii="Arial" w:eastAsia="Calibri" w:hAnsi="Arial" w:cs="Arial"/>
          <w:bCs/>
          <w:sz w:val="26"/>
          <w:szCs w:val="26"/>
        </w:rPr>
      </w:pPr>
      <w:r>
        <w:rPr>
          <w:rFonts w:ascii="Arial" w:eastAsia="Calibri" w:hAnsi="Arial" w:cs="Arial"/>
          <w:b/>
          <w:bCs/>
          <w:sz w:val="26"/>
          <w:szCs w:val="26"/>
        </w:rPr>
        <w:tab/>
        <w:t xml:space="preserve">SEGUNDO. </w:t>
      </w:r>
      <w:r w:rsidRPr="00B60D14">
        <w:rPr>
          <w:rFonts w:ascii="Arial" w:eastAsia="Calibri" w:hAnsi="Arial" w:cs="Arial"/>
          <w:bCs/>
          <w:sz w:val="26"/>
          <w:szCs w:val="26"/>
        </w:rPr>
        <w:t>Los puntos resolutivos de la sentencia recurrida son los siguientes</w:t>
      </w:r>
      <w:r w:rsidRPr="00B60D14">
        <w:rPr>
          <w:rFonts w:ascii="Arial" w:eastAsia="Calibri" w:hAnsi="Arial" w:cs="Arial"/>
          <w:b/>
          <w:bCs/>
          <w:sz w:val="26"/>
          <w:szCs w:val="26"/>
        </w:rPr>
        <w:t xml:space="preserve">:  </w:t>
      </w:r>
    </w:p>
    <w:p w:rsidR="00B54FCC" w:rsidRDefault="00B54FCC" w:rsidP="004A49C5">
      <w:pPr>
        <w:spacing w:line="360" w:lineRule="auto"/>
        <w:ind w:left="567" w:right="900"/>
        <w:jc w:val="both"/>
        <w:rPr>
          <w:rFonts w:ascii="Arial" w:eastAsia="Calibri" w:hAnsi="Arial" w:cs="Arial"/>
          <w:b/>
          <w:bCs/>
          <w:i/>
        </w:rPr>
      </w:pPr>
      <w:r w:rsidRPr="001B054F">
        <w:rPr>
          <w:rFonts w:ascii="Arial" w:eastAsia="Calibri" w:hAnsi="Arial" w:cs="Arial"/>
          <w:bCs/>
          <w:i/>
        </w:rPr>
        <w:t>“</w:t>
      </w:r>
      <w:r w:rsidRPr="00F37F5B">
        <w:rPr>
          <w:rFonts w:ascii="Arial" w:eastAsia="Calibri" w:hAnsi="Arial" w:cs="Arial"/>
          <w:b/>
          <w:bCs/>
          <w:i/>
        </w:rPr>
        <w:t>PRIMERO.</w:t>
      </w:r>
      <w:r>
        <w:rPr>
          <w:rFonts w:ascii="Arial" w:eastAsia="Calibri" w:hAnsi="Arial" w:cs="Arial"/>
          <w:bCs/>
          <w:i/>
        </w:rPr>
        <w:t xml:space="preserve"> Esta Segunda Sala Unitaria del Tribunal de Justicia Administrativa del Estado de Oaxaca, fue competente para conocer y resolver el presente asunto</w:t>
      </w:r>
      <w:r w:rsidR="004A49C5">
        <w:rPr>
          <w:rFonts w:ascii="Arial" w:eastAsia="Calibri" w:hAnsi="Arial" w:cs="Arial"/>
          <w:bCs/>
          <w:i/>
        </w:rPr>
        <w:t>.</w:t>
      </w:r>
    </w:p>
    <w:p w:rsidR="004A49C5" w:rsidRDefault="00B54FCC" w:rsidP="00B54FCC">
      <w:pPr>
        <w:spacing w:line="360" w:lineRule="auto"/>
        <w:ind w:left="567" w:right="474"/>
        <w:jc w:val="both"/>
        <w:rPr>
          <w:rFonts w:ascii="Arial" w:eastAsia="Calibri" w:hAnsi="Arial" w:cs="Arial"/>
          <w:bCs/>
          <w:i/>
        </w:rPr>
      </w:pPr>
      <w:r>
        <w:rPr>
          <w:rFonts w:ascii="Arial" w:eastAsia="Calibri" w:hAnsi="Arial" w:cs="Arial"/>
          <w:b/>
          <w:bCs/>
          <w:i/>
        </w:rPr>
        <w:t xml:space="preserve">SEGUNDO. </w:t>
      </w:r>
      <w:r>
        <w:rPr>
          <w:rFonts w:ascii="Arial" w:eastAsia="Calibri" w:hAnsi="Arial" w:cs="Arial"/>
          <w:bCs/>
          <w:i/>
        </w:rPr>
        <w:t>La personalidad de las partes quedó acreditada en autos.</w:t>
      </w:r>
    </w:p>
    <w:p w:rsidR="004A49C5" w:rsidRDefault="00B54FCC" w:rsidP="004A49C5">
      <w:pPr>
        <w:spacing w:line="360" w:lineRule="auto"/>
        <w:ind w:left="567" w:right="900"/>
        <w:jc w:val="both"/>
        <w:rPr>
          <w:rFonts w:ascii="Arial" w:eastAsia="Calibri" w:hAnsi="Arial" w:cs="Arial"/>
          <w:bCs/>
          <w:i/>
        </w:rPr>
      </w:pPr>
      <w:r>
        <w:rPr>
          <w:rFonts w:ascii="Arial" w:eastAsia="Calibri" w:hAnsi="Arial" w:cs="Arial"/>
          <w:b/>
          <w:bCs/>
          <w:i/>
        </w:rPr>
        <w:t>TERCERO.</w:t>
      </w:r>
      <w:r>
        <w:rPr>
          <w:rFonts w:ascii="Arial" w:eastAsia="Calibri" w:hAnsi="Arial" w:cs="Arial"/>
          <w:bCs/>
          <w:i/>
        </w:rPr>
        <w:t xml:space="preserve"> No se actualizaron causales de improcedencia y sobreseimiento hechas valer por la autoridad demandada.</w:t>
      </w:r>
    </w:p>
    <w:p w:rsidR="00B54FCC" w:rsidRDefault="00B54FCC" w:rsidP="00C62C56">
      <w:pPr>
        <w:tabs>
          <w:tab w:val="left" w:pos="1276"/>
        </w:tabs>
        <w:spacing w:line="360" w:lineRule="auto"/>
        <w:ind w:left="993" w:right="474"/>
        <w:jc w:val="both"/>
        <w:rPr>
          <w:rFonts w:ascii="Arial" w:eastAsia="Calibri" w:hAnsi="Arial" w:cs="Arial"/>
          <w:bCs/>
          <w:i/>
        </w:rPr>
      </w:pPr>
      <w:r>
        <w:rPr>
          <w:rFonts w:ascii="Arial" w:eastAsia="Calibri" w:hAnsi="Arial" w:cs="Arial"/>
          <w:b/>
          <w:bCs/>
          <w:i/>
        </w:rPr>
        <w:t xml:space="preserve"> CUARTO</w:t>
      </w:r>
      <w:r w:rsidRPr="00120984">
        <w:rPr>
          <w:rFonts w:ascii="Arial" w:eastAsia="Calibri" w:hAnsi="Arial" w:cs="Arial"/>
          <w:bCs/>
          <w:i/>
        </w:rPr>
        <w:t>.</w:t>
      </w:r>
      <w:r>
        <w:rPr>
          <w:rFonts w:ascii="Arial" w:eastAsia="Calibri" w:hAnsi="Arial" w:cs="Arial"/>
          <w:bCs/>
          <w:i/>
        </w:rPr>
        <w:t xml:space="preserve"> Se declara la </w:t>
      </w:r>
      <w:r w:rsidRPr="009239F3">
        <w:rPr>
          <w:rFonts w:ascii="Arial" w:eastAsia="Calibri" w:hAnsi="Arial" w:cs="Arial"/>
          <w:b/>
          <w:bCs/>
          <w:i/>
        </w:rPr>
        <w:t xml:space="preserve">NULIDAD </w:t>
      </w:r>
      <w:r>
        <w:rPr>
          <w:rFonts w:ascii="Arial" w:eastAsia="Calibri" w:hAnsi="Arial" w:cs="Arial"/>
          <w:bCs/>
          <w:i/>
        </w:rPr>
        <w:t xml:space="preserve">de la resolución contenida en el oficio </w:t>
      </w:r>
      <w:r w:rsidR="008804AC" w:rsidRPr="008804AC">
        <w:rPr>
          <w:rFonts w:ascii="Arial" w:eastAsia="Calibri" w:hAnsi="Arial" w:cs="Arial"/>
          <w:b/>
          <w:bCs/>
          <w:i/>
        </w:rPr>
        <w:t>**********</w:t>
      </w:r>
      <w:r>
        <w:rPr>
          <w:rFonts w:ascii="Arial" w:eastAsia="Calibri" w:hAnsi="Arial" w:cs="Arial"/>
          <w:bCs/>
          <w:i/>
        </w:rPr>
        <w:t xml:space="preserve"> de fecha diecinueve de julio de dos mil dieciocho, para el </w:t>
      </w:r>
      <w:r>
        <w:rPr>
          <w:rFonts w:ascii="Arial" w:eastAsia="Calibri" w:hAnsi="Arial" w:cs="Arial"/>
          <w:b/>
          <w:bCs/>
          <w:i/>
        </w:rPr>
        <w:t>EFECTO</w:t>
      </w:r>
      <w:r>
        <w:rPr>
          <w:rFonts w:ascii="Arial" w:eastAsia="Calibri" w:hAnsi="Arial" w:cs="Arial"/>
          <w:bCs/>
          <w:i/>
        </w:rPr>
        <w:t xml:space="preserve"> que el Director General de la Oficina de Pensiones del Gobierno del Estado de Oaxaca, dicte otra, en la que otorgue al actor </w:t>
      </w:r>
      <w:r w:rsidR="008804AC" w:rsidRPr="008804AC">
        <w:rPr>
          <w:rFonts w:ascii="Arial" w:eastAsia="Calibri" w:hAnsi="Arial" w:cs="Arial"/>
          <w:b/>
          <w:bCs/>
          <w:i/>
        </w:rPr>
        <w:t>**********</w:t>
      </w:r>
      <w:r w:rsidRPr="008804AC">
        <w:rPr>
          <w:rFonts w:ascii="Arial" w:eastAsia="Calibri" w:hAnsi="Arial" w:cs="Arial"/>
          <w:b/>
          <w:bCs/>
          <w:i/>
        </w:rPr>
        <w:t>,</w:t>
      </w:r>
      <w:r>
        <w:rPr>
          <w:rFonts w:ascii="Arial" w:eastAsia="Calibri" w:hAnsi="Arial" w:cs="Arial"/>
          <w:bCs/>
          <w:i/>
        </w:rPr>
        <w:t xml:space="preserve"> la pensión por jubilación con las mismas prestaciones que </w:t>
      </w:r>
      <w:r>
        <w:rPr>
          <w:rFonts w:ascii="Arial" w:eastAsia="Calibri" w:hAnsi="Arial" w:cs="Arial"/>
          <w:bCs/>
          <w:i/>
        </w:rPr>
        <w:lastRenderedPageBreak/>
        <w:t>percibe un trabajador jubilado de base en términos del artículo 54 de la Ley de Pensiones para los Trabajadores del Gobierno del Estado.</w:t>
      </w:r>
    </w:p>
    <w:p w:rsidR="00B54FCC" w:rsidRDefault="00B54FCC" w:rsidP="00C62C56">
      <w:pPr>
        <w:tabs>
          <w:tab w:val="left" w:pos="1276"/>
        </w:tabs>
        <w:spacing w:after="240" w:line="360" w:lineRule="auto"/>
        <w:ind w:left="993" w:right="474"/>
        <w:jc w:val="both"/>
        <w:rPr>
          <w:rFonts w:ascii="Arial" w:eastAsia="Calibri" w:hAnsi="Arial" w:cs="Arial"/>
          <w:bCs/>
          <w:i/>
        </w:rPr>
      </w:pPr>
      <w:r>
        <w:rPr>
          <w:rFonts w:ascii="Arial" w:eastAsia="Calibri" w:hAnsi="Arial" w:cs="Arial"/>
          <w:b/>
          <w:bCs/>
          <w:i/>
        </w:rPr>
        <w:t>QUINTO.</w:t>
      </w:r>
      <w:r>
        <w:rPr>
          <w:rFonts w:ascii="Arial" w:eastAsia="Calibri" w:hAnsi="Arial" w:cs="Arial"/>
          <w:bCs/>
          <w:i/>
        </w:rPr>
        <w:t xml:space="preserve"> </w:t>
      </w:r>
      <w:r w:rsidRPr="00B87D56">
        <w:rPr>
          <w:rFonts w:ascii="Arial" w:eastAsia="Calibri" w:hAnsi="Arial" w:cs="Arial"/>
          <w:b/>
          <w:bCs/>
          <w:i/>
        </w:rPr>
        <w:t>NOTIFÍQUESE</w:t>
      </w:r>
      <w:r>
        <w:rPr>
          <w:rFonts w:ascii="Arial" w:eastAsia="Calibri" w:hAnsi="Arial" w:cs="Arial"/>
          <w:b/>
          <w:bCs/>
          <w:i/>
        </w:rPr>
        <w:t xml:space="preserve"> PERSONALMENTE AL ACTOR Y POR OFICIO A LA AUTORIDAD DEMANDADA.</w:t>
      </w:r>
      <w:r>
        <w:rPr>
          <w:rFonts w:ascii="Arial" w:eastAsia="Calibri" w:hAnsi="Arial" w:cs="Arial"/>
          <w:bCs/>
          <w:i/>
        </w:rPr>
        <w:t xml:space="preserve"> ”.</w:t>
      </w:r>
    </w:p>
    <w:p w:rsidR="00B54FCC" w:rsidRPr="00372D3D" w:rsidRDefault="00B54FCC" w:rsidP="00B54FCC">
      <w:pPr>
        <w:spacing w:line="360" w:lineRule="auto"/>
        <w:ind w:left="567" w:right="474"/>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p>
    <w:p w:rsidR="00B54FCC" w:rsidRDefault="00B54FCC" w:rsidP="004A49C5">
      <w:pPr>
        <w:pStyle w:val="Textoindependiente21"/>
        <w:spacing w:line="360" w:lineRule="auto"/>
        <w:ind w:right="-518" w:firstLine="567"/>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w:t>
      </w:r>
      <w:r w:rsidR="00AA66B6">
        <w:rPr>
          <w:rFonts w:ascii="Arial" w:hAnsi="Arial" w:cs="Arial"/>
          <w:bCs/>
          <w:iCs/>
          <w:sz w:val="26"/>
          <w:szCs w:val="26"/>
        </w:rPr>
        <w:t>;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0E0374">
        <w:rPr>
          <w:rFonts w:ascii="Arial" w:hAnsi="Arial" w:cs="Arial"/>
          <w:bCs/>
          <w:iCs/>
          <w:sz w:val="26"/>
          <w:szCs w:val="26"/>
        </w:rPr>
        <w:t xml:space="preserve">, </w:t>
      </w:r>
      <w:r>
        <w:rPr>
          <w:rFonts w:ascii="Arial" w:hAnsi="Arial" w:cs="Arial"/>
          <w:bCs/>
          <w:iCs/>
          <w:sz w:val="26"/>
          <w:szCs w:val="26"/>
        </w:rPr>
        <w:t>125</w:t>
      </w:r>
      <w:r w:rsidRPr="000E0374">
        <w:rPr>
          <w:rFonts w:ascii="Arial" w:hAnsi="Arial" w:cs="Arial"/>
          <w:bCs/>
          <w:iCs/>
          <w:sz w:val="26"/>
          <w:szCs w:val="26"/>
        </w:rPr>
        <w:t xml:space="preserve">, </w:t>
      </w:r>
      <w:r>
        <w:rPr>
          <w:rFonts w:ascii="Arial" w:hAnsi="Arial" w:cs="Arial"/>
          <w:bCs/>
          <w:iCs/>
          <w:sz w:val="26"/>
          <w:szCs w:val="26"/>
        </w:rPr>
        <w:t>127,129</w:t>
      </w:r>
      <w:r w:rsidRPr="000E0374">
        <w:rPr>
          <w:rFonts w:ascii="Arial" w:hAnsi="Arial" w:cs="Arial"/>
          <w:bCs/>
          <w:iCs/>
          <w:sz w:val="26"/>
          <w:szCs w:val="26"/>
        </w:rPr>
        <w:t xml:space="preserve">, </w:t>
      </w:r>
      <w:r>
        <w:rPr>
          <w:rFonts w:ascii="Arial" w:hAnsi="Arial" w:cs="Arial"/>
          <w:bCs/>
          <w:iCs/>
          <w:sz w:val="26"/>
          <w:szCs w:val="26"/>
        </w:rPr>
        <w:t>130,</w:t>
      </w:r>
      <w:r w:rsidRPr="000E0374">
        <w:rPr>
          <w:rFonts w:ascii="Arial" w:hAnsi="Arial" w:cs="Arial"/>
          <w:bCs/>
          <w:iCs/>
          <w:sz w:val="26"/>
          <w:szCs w:val="26"/>
        </w:rPr>
        <w:t xml:space="preserve"> fracción I, </w:t>
      </w:r>
      <w:r>
        <w:rPr>
          <w:rFonts w:ascii="Arial" w:hAnsi="Arial" w:cs="Arial"/>
          <w:bCs/>
          <w:iCs/>
          <w:sz w:val="26"/>
          <w:szCs w:val="26"/>
        </w:rPr>
        <w:t>131, 231</w:t>
      </w:r>
      <w:r w:rsidRPr="000E0374">
        <w:rPr>
          <w:rFonts w:ascii="Arial" w:hAnsi="Arial" w:cs="Arial"/>
          <w:bCs/>
          <w:iCs/>
          <w:sz w:val="26"/>
          <w:szCs w:val="26"/>
        </w:rPr>
        <w:t xml:space="preserve">, </w:t>
      </w:r>
      <w:r>
        <w:rPr>
          <w:rFonts w:ascii="Arial" w:hAnsi="Arial" w:cs="Arial"/>
          <w:bCs/>
          <w:iCs/>
          <w:sz w:val="26"/>
          <w:szCs w:val="26"/>
        </w:rPr>
        <w:t>236</w:t>
      </w:r>
      <w:r w:rsidRPr="000E0374">
        <w:rPr>
          <w:rFonts w:ascii="Arial" w:hAnsi="Arial" w:cs="Arial"/>
          <w:bCs/>
          <w:iCs/>
          <w:sz w:val="26"/>
          <w:szCs w:val="26"/>
        </w:rPr>
        <w:t xml:space="preserve"> y 2</w:t>
      </w:r>
      <w:r>
        <w:rPr>
          <w:rFonts w:ascii="Arial" w:hAnsi="Arial" w:cs="Arial"/>
          <w:bCs/>
          <w:iCs/>
          <w:sz w:val="26"/>
          <w:szCs w:val="26"/>
        </w:rPr>
        <w:t>38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 sentencia </w:t>
      </w:r>
      <w:r>
        <w:rPr>
          <w:rFonts w:ascii="Arial" w:hAnsi="Arial" w:cs="Arial"/>
          <w:sz w:val="26"/>
          <w:szCs w:val="26"/>
        </w:rPr>
        <w:t>de veintiocho de mayo de dos mil diecinueve, dictada por el Magistrado Titular de la Segunda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0105/2018.</w:t>
      </w:r>
    </w:p>
    <w:p w:rsidR="00B54FCC" w:rsidRDefault="00B54FCC" w:rsidP="00C62C56">
      <w:pPr>
        <w:pStyle w:val="Textoindependiente21"/>
        <w:spacing w:line="360" w:lineRule="auto"/>
        <w:ind w:right="-518" w:firstLine="567"/>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B54FCC" w:rsidRDefault="00B54FCC" w:rsidP="00C62C56">
      <w:pPr>
        <w:spacing w:line="360" w:lineRule="auto"/>
        <w:ind w:right="-518"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B54FCC" w:rsidRDefault="00B54FCC" w:rsidP="00C62C56">
      <w:pPr>
        <w:ind w:left="993" w:right="616"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Pr>
          <w:rFonts w:cs="Calibri"/>
          <w:bCs/>
          <w:i/>
          <w:color w:val="000000"/>
        </w:rPr>
        <w:t xml:space="preserve">”. </w:t>
      </w:r>
    </w:p>
    <w:p w:rsidR="00C62C56" w:rsidRPr="00FB403B" w:rsidRDefault="00C62C56" w:rsidP="00C62C56">
      <w:pPr>
        <w:ind w:left="993" w:right="616" w:firstLine="567"/>
        <w:jc w:val="both"/>
        <w:rPr>
          <w:rFonts w:cs="Calibri"/>
          <w:bCs/>
          <w:i/>
          <w:color w:val="000000"/>
        </w:rPr>
      </w:pPr>
    </w:p>
    <w:p w:rsidR="00B54FCC" w:rsidRDefault="00B54FCC" w:rsidP="00C62C56">
      <w:pPr>
        <w:spacing w:line="360" w:lineRule="auto"/>
        <w:ind w:left="-426" w:firstLine="708"/>
        <w:jc w:val="both"/>
        <w:rPr>
          <w:rFonts w:ascii="Arial" w:hAnsi="Arial" w:cs="Arial"/>
          <w:bCs/>
          <w:sz w:val="26"/>
          <w:szCs w:val="26"/>
        </w:rPr>
      </w:pPr>
      <w:r>
        <w:rPr>
          <w:rFonts w:ascii="Arial" w:hAnsi="Arial" w:cs="Arial"/>
          <w:b/>
          <w:bCs/>
          <w:color w:val="000000"/>
          <w:sz w:val="26"/>
          <w:szCs w:val="26"/>
        </w:rPr>
        <w:t xml:space="preserve">TERCERO. </w:t>
      </w:r>
      <w:r>
        <w:rPr>
          <w:rFonts w:ascii="Arial" w:hAnsi="Arial" w:cs="Arial"/>
          <w:bCs/>
          <w:sz w:val="26"/>
          <w:szCs w:val="26"/>
        </w:rPr>
        <w:t xml:space="preserve">Son </w:t>
      </w:r>
      <w:r>
        <w:rPr>
          <w:rFonts w:ascii="Arial" w:hAnsi="Arial" w:cs="Arial"/>
          <w:b/>
          <w:bCs/>
          <w:sz w:val="26"/>
          <w:szCs w:val="26"/>
        </w:rPr>
        <w:t xml:space="preserve">INOPERANTES </w:t>
      </w:r>
      <w:r>
        <w:rPr>
          <w:rFonts w:ascii="Arial" w:hAnsi="Arial" w:cs="Arial"/>
          <w:bCs/>
          <w:sz w:val="26"/>
          <w:szCs w:val="26"/>
        </w:rPr>
        <w:t>los agravios expresados por el recurrente.</w:t>
      </w:r>
    </w:p>
    <w:p w:rsidR="00B54FCC" w:rsidRDefault="00B54FCC" w:rsidP="00C62C56">
      <w:pPr>
        <w:spacing w:line="360" w:lineRule="auto"/>
        <w:ind w:left="-426" w:firstLine="709"/>
        <w:jc w:val="both"/>
        <w:rPr>
          <w:rFonts w:ascii="Arial" w:hAnsi="Arial" w:cs="Arial"/>
          <w:bCs/>
          <w:color w:val="000000"/>
          <w:sz w:val="26"/>
          <w:szCs w:val="26"/>
        </w:rPr>
      </w:pPr>
      <w:r>
        <w:rPr>
          <w:rFonts w:ascii="Arial" w:hAnsi="Arial" w:cs="Arial"/>
          <w:bCs/>
          <w:sz w:val="26"/>
          <w:szCs w:val="26"/>
        </w:rPr>
        <w:t>Señala el recurrente le causa agravio la sentencia</w:t>
      </w:r>
      <w:r>
        <w:rPr>
          <w:rFonts w:ascii="Arial" w:hAnsi="Arial" w:cs="Arial"/>
          <w:bCs/>
          <w:color w:val="000000"/>
          <w:sz w:val="26"/>
          <w:szCs w:val="26"/>
        </w:rPr>
        <w:t xml:space="preserve">, porque los actos fueron consentidos por el administrado; además de que esa autoridad aplicó lo dispuesto por los artículos 53 y 54 de la Ley de Pensiones del Estado, de lo que se puede deducir que no existe discriminación, dado que los supuestos que menciona no son equivalentes, ya que el interesado no se encuentra en las mismas condiciones de la vigencia de la legislación actual, </w:t>
      </w:r>
      <w:r>
        <w:rPr>
          <w:rFonts w:ascii="Arial" w:hAnsi="Arial" w:cs="Arial"/>
          <w:bCs/>
          <w:color w:val="000000"/>
          <w:sz w:val="26"/>
          <w:szCs w:val="26"/>
        </w:rPr>
        <w:lastRenderedPageBreak/>
        <w:t>para volver aplicable</w:t>
      </w:r>
      <w:r w:rsidRPr="001D492F">
        <w:rPr>
          <w:rFonts w:ascii="Arial" w:hAnsi="Arial" w:cs="Arial"/>
          <w:bCs/>
          <w:color w:val="000000"/>
          <w:sz w:val="26"/>
          <w:szCs w:val="26"/>
        </w:rPr>
        <w:t xml:space="preserve"> </w:t>
      </w:r>
      <w:proofErr w:type="spellStart"/>
      <w:r w:rsidRPr="001D492F">
        <w:rPr>
          <w:rFonts w:ascii="Arial" w:hAnsi="Arial" w:cs="Arial"/>
          <w:bCs/>
          <w:color w:val="000000"/>
          <w:sz w:val="26"/>
          <w:szCs w:val="26"/>
        </w:rPr>
        <w:t>ultractivamente</w:t>
      </w:r>
      <w:proofErr w:type="spellEnd"/>
      <w:r>
        <w:rPr>
          <w:rFonts w:ascii="Arial" w:hAnsi="Arial" w:cs="Arial"/>
          <w:bCs/>
          <w:color w:val="000000"/>
          <w:sz w:val="26"/>
          <w:szCs w:val="26"/>
        </w:rPr>
        <w:t xml:space="preserve"> una ley que quedo abrogada, por lo que no hay un trato desigual en lo relativo al otorgamiento de la pensión; precisa que se debe comparar al peticionario desde un punto de vista determinado, este al momento de otorgarse la jubilación le fue concedida con el cargo que venía desempañando, por ello no existe desigualdad frente a los jubilados de base, porque estos desde su vida laboral generaron las prestaciones que establece la Ley de Pensiones, y que por ello el trato que se le da a uno y otro es diferente, pero no desigual, porque el artículo 54 sólo prevé a los jubilados. Pretendiendo sustentar sus afirmaciones en los criterios de rubros: “</w:t>
      </w:r>
      <w:r w:rsidRPr="00023385">
        <w:rPr>
          <w:rFonts w:ascii="Arial" w:hAnsi="Arial" w:cs="Arial"/>
          <w:bCs/>
          <w:i/>
          <w:color w:val="000000"/>
        </w:rPr>
        <w:t>IGUALDAD. CRITERIOS QUE DEBEN OBSERVARSE EN EL CONTROL DE LA CONSTITUCIONALIDAD DE NORMAS QUE SE ESTIMAN VIOLATORIAS DE DICHA GARANTÍA.</w:t>
      </w:r>
      <w:r>
        <w:rPr>
          <w:rFonts w:ascii="Arial" w:hAnsi="Arial" w:cs="Arial"/>
          <w:bCs/>
          <w:color w:val="000000"/>
          <w:sz w:val="26"/>
          <w:szCs w:val="26"/>
        </w:rPr>
        <w:t>” y “</w:t>
      </w:r>
      <w:r>
        <w:rPr>
          <w:rFonts w:ascii="Arial" w:hAnsi="Arial" w:cs="Arial"/>
          <w:bCs/>
          <w:i/>
          <w:color w:val="000000"/>
        </w:rPr>
        <w:t>SEGURIDAD SOCIAL PARA LOS SERVIDORES PÚBLICOS DEL ESTADO DE MÉXICO Y MUNICIPIOS. LOS ARTÍCULOS SEGUNDO Y CUARTO TRANSITORIOS DEL DECRETO NÚMERO 227, POR EL QUE SE REFORMAN, ADICIONAN Y DEROGAN DIVERSOS PRECEPTOS DE LA LEY RELATIVA, PUBLICADO EN LA GACETA DEL GOBIERNO LOCAL EL 2 DE ABRIL DE 2009, NO VIOLAN EL DERECHO A LA IGUALDAD, PREVISTO EN EL ARTÍCULO 1o., PRMER PÁRRAFO, DE LA CONSTITUCIÓN FEDERAL</w:t>
      </w:r>
      <w:r w:rsidRPr="00023385">
        <w:rPr>
          <w:rFonts w:ascii="Arial" w:hAnsi="Arial" w:cs="Arial"/>
          <w:bCs/>
          <w:i/>
          <w:color w:val="000000"/>
        </w:rPr>
        <w:t>.</w:t>
      </w:r>
      <w:r>
        <w:rPr>
          <w:rFonts w:ascii="Arial" w:hAnsi="Arial" w:cs="Arial"/>
          <w:bCs/>
          <w:color w:val="000000"/>
          <w:sz w:val="26"/>
          <w:szCs w:val="26"/>
        </w:rPr>
        <w:t>”.</w:t>
      </w:r>
    </w:p>
    <w:p w:rsidR="00B54FCC" w:rsidRDefault="00B54FCC" w:rsidP="004A49C5">
      <w:pPr>
        <w:spacing w:line="360" w:lineRule="auto"/>
        <w:ind w:left="-426" w:firstLine="709"/>
        <w:jc w:val="both"/>
        <w:rPr>
          <w:rFonts w:ascii="Arial" w:hAnsi="Arial" w:cs="Arial"/>
          <w:bCs/>
          <w:color w:val="000000"/>
          <w:sz w:val="26"/>
          <w:szCs w:val="26"/>
        </w:rPr>
      </w:pPr>
      <w:r>
        <w:rPr>
          <w:rFonts w:ascii="Arial" w:hAnsi="Arial" w:cs="Arial"/>
          <w:bCs/>
          <w:color w:val="000000"/>
          <w:sz w:val="26"/>
          <w:szCs w:val="26"/>
        </w:rPr>
        <w:t>Refiere que para determinar la procedencia o improcedencia del pago de las prestaciones extralegales indicadas, debe estarse a lo estipulado sobre el particular en las condiciones generales de trabajo y considerar cómo se originaron estas condiciones, para poder aplicar lo dispuesto por el artículo 184, de la Ley Federal del Trabajo; precisando que las prestaciones indicadas se concederán a los jubilados, calidad, que no tiene el actor y que por ello no puede acceder al derecho de exigir el pago de esas prestaciones; sin que sean objeto de negociación las condiciones generales del trabajo, que son equivalentes al Reglamento Interior del Trabajo del Apartado A del artículo 123 de la Ley Federal del Trabajo.</w:t>
      </w:r>
    </w:p>
    <w:p w:rsidR="00B54FCC" w:rsidRDefault="00B54FCC" w:rsidP="004A49C5">
      <w:pPr>
        <w:spacing w:line="360" w:lineRule="auto"/>
        <w:ind w:left="-426" w:firstLine="709"/>
        <w:jc w:val="both"/>
        <w:rPr>
          <w:rFonts w:ascii="Arial" w:hAnsi="Arial" w:cs="Arial"/>
          <w:bCs/>
          <w:color w:val="000000"/>
          <w:sz w:val="26"/>
          <w:szCs w:val="26"/>
        </w:rPr>
      </w:pPr>
      <w:r>
        <w:rPr>
          <w:rFonts w:ascii="Arial" w:hAnsi="Arial" w:cs="Arial"/>
          <w:bCs/>
          <w:color w:val="000000"/>
          <w:sz w:val="26"/>
          <w:szCs w:val="26"/>
        </w:rPr>
        <w:t>Señala que la Corte ha sustentado que la jubilación no encuentra fundamento dentro de la Constitución, ni en la Ley Federal del trabajo, al tratarse de una prestación de naturaleza extra legal, que se funda en el acuerdo de voluntades entre patrones y trabajadores. Cita el criterio de rubro: “</w:t>
      </w:r>
      <w:r w:rsidRPr="00D073BC">
        <w:rPr>
          <w:rFonts w:ascii="Arial" w:hAnsi="Arial" w:cs="Arial"/>
          <w:bCs/>
          <w:i/>
          <w:color w:val="000000"/>
        </w:rPr>
        <w:t>JUBILACIÓN. ES UN DERECHO EXTRA LEGAL.</w:t>
      </w:r>
      <w:r>
        <w:rPr>
          <w:rFonts w:ascii="Arial" w:hAnsi="Arial" w:cs="Arial"/>
          <w:bCs/>
          <w:color w:val="000000"/>
          <w:sz w:val="26"/>
          <w:szCs w:val="26"/>
        </w:rPr>
        <w:t>”</w:t>
      </w:r>
    </w:p>
    <w:p w:rsidR="00B54FCC" w:rsidRDefault="00B54FCC" w:rsidP="004A49C5">
      <w:pPr>
        <w:spacing w:line="360" w:lineRule="auto"/>
        <w:ind w:left="-426" w:firstLine="709"/>
        <w:jc w:val="both"/>
        <w:rPr>
          <w:rFonts w:ascii="Arial" w:hAnsi="Arial" w:cs="Arial"/>
          <w:bCs/>
          <w:sz w:val="26"/>
          <w:szCs w:val="26"/>
        </w:rPr>
      </w:pPr>
      <w:r>
        <w:rPr>
          <w:rFonts w:ascii="Arial" w:hAnsi="Arial" w:cs="Arial"/>
          <w:bCs/>
          <w:color w:val="000000"/>
          <w:sz w:val="26"/>
          <w:szCs w:val="26"/>
        </w:rPr>
        <w:t>Aduce, que la primera instancia no tiene razón para integrar las prestaciones que señala el artículo 54 de la Ley de Pensiones para los Trabajadores del Gobierno del Estado de O</w:t>
      </w:r>
      <w:r w:rsidR="0087426E">
        <w:rPr>
          <w:rFonts w:ascii="Arial" w:hAnsi="Arial" w:cs="Arial"/>
          <w:bCs/>
          <w:color w:val="000000"/>
          <w:sz w:val="26"/>
          <w:szCs w:val="26"/>
        </w:rPr>
        <w:t>axaca, porque el actor no generó</w:t>
      </w:r>
      <w:r>
        <w:rPr>
          <w:rFonts w:ascii="Arial" w:hAnsi="Arial" w:cs="Arial"/>
          <w:bCs/>
          <w:color w:val="000000"/>
          <w:sz w:val="26"/>
          <w:szCs w:val="26"/>
        </w:rPr>
        <w:t xml:space="preserve"> un derecho de jubilado, sino además, que el principio pro persona no es absoluto, sino relativo, que no permite una aplicación lineal, por lo que la </w:t>
      </w:r>
      <w:r>
        <w:rPr>
          <w:rFonts w:ascii="Arial" w:hAnsi="Arial" w:cs="Arial"/>
          <w:bCs/>
          <w:color w:val="000000"/>
          <w:sz w:val="26"/>
          <w:szCs w:val="26"/>
        </w:rPr>
        <w:lastRenderedPageBreak/>
        <w:t>Sala debió buscar simetrías, para que el pronunciamiento a favor del actor no fuera en detrimento del derecho de otros; toda vez que, el objeto de la Ley de Pensiones, es que todos los trabajadores puedan ser beneficiados con alguna de las pensiones, previstas en dicho ordenamiento legal, siempre que cumplan los requisitos correspondientes; que el artículo 6 de la citada Ley de Pensiones, establece que el financiamiento del régimen de seguridad social, se constituye con las aportaciones a cargo del Gobierno del Estado, del sueldo de los trabajadores y de las pensiones de jubilados y pensionados y cuotas a cargo de los trabajadores.</w:t>
      </w:r>
    </w:p>
    <w:p w:rsidR="00B54FCC" w:rsidRDefault="00B54FCC" w:rsidP="00C62C56">
      <w:pPr>
        <w:tabs>
          <w:tab w:val="left" w:pos="709"/>
        </w:tabs>
        <w:spacing w:line="360" w:lineRule="auto"/>
        <w:ind w:left="-426" w:firstLine="709"/>
        <w:jc w:val="both"/>
        <w:rPr>
          <w:rFonts w:ascii="Arial" w:eastAsia="Times New Roman" w:hAnsi="Arial" w:cs="Arial"/>
          <w:color w:val="000000"/>
          <w:sz w:val="26"/>
          <w:szCs w:val="26"/>
        </w:rPr>
      </w:pPr>
      <w:r>
        <w:rPr>
          <w:rFonts w:ascii="Arial" w:hAnsi="Arial" w:cs="Arial"/>
          <w:sz w:val="26"/>
          <w:szCs w:val="26"/>
        </w:rPr>
        <w:t>Ahora, d</w:t>
      </w:r>
      <w:r w:rsidRPr="00DE5A87">
        <w:rPr>
          <w:rFonts w:ascii="Arial" w:hAnsi="Arial" w:cs="Arial"/>
          <w:sz w:val="26"/>
          <w:szCs w:val="26"/>
        </w:rPr>
        <w:t>e las constancias de autos</w:t>
      </w:r>
      <w:r>
        <w:rPr>
          <w:rFonts w:ascii="Arial" w:hAnsi="Arial" w:cs="Arial"/>
          <w:sz w:val="26"/>
          <w:szCs w:val="26"/>
        </w:rPr>
        <w:t xml:space="preserve"> que fueron</w:t>
      </w:r>
      <w:r w:rsidRPr="00DE5A87">
        <w:rPr>
          <w:rFonts w:ascii="Arial" w:hAnsi="Arial" w:cs="Arial"/>
          <w:sz w:val="26"/>
          <w:szCs w:val="26"/>
        </w:rPr>
        <w:t xml:space="preserve"> remitidas para la </w:t>
      </w:r>
      <w:r>
        <w:rPr>
          <w:rFonts w:ascii="Arial" w:hAnsi="Arial" w:cs="Arial"/>
          <w:sz w:val="26"/>
          <w:szCs w:val="26"/>
        </w:rPr>
        <w:t xml:space="preserve">substanciación </w:t>
      </w:r>
      <w:r w:rsidRPr="00DE5A87">
        <w:rPr>
          <w:rFonts w:ascii="Arial" w:hAnsi="Arial" w:cs="Arial"/>
          <w:sz w:val="26"/>
          <w:szCs w:val="26"/>
        </w:rPr>
        <w:t>del presente asunto, que</w:t>
      </w:r>
      <w:r>
        <w:rPr>
          <w:rFonts w:ascii="Arial" w:hAnsi="Arial" w:cs="Arial"/>
          <w:sz w:val="26"/>
          <w:szCs w:val="26"/>
        </w:rPr>
        <w:t xml:space="preserve"> hacen prueba plena en términos del artículo 203, fracción I, de la Ley de Procedimiento y Justicia Administrativa para el Estado de Oaxaca, se advierte que los argumentos expresados por el recurrente son inoperantes, al no controvertir las consideraciones torales de la sentencia alzada; ello es así, dado que con sus manifestaciones no controvierte las consideraciones en que funda su determinación el Magistrado de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rPr>
        <w:t xml:space="preserve">sin que </w:t>
      </w:r>
      <w:r>
        <w:rPr>
          <w:rFonts w:ascii="Arial" w:eastAsia="Times New Roman" w:hAnsi="Arial" w:cs="Arial"/>
          <w:color w:val="000000"/>
          <w:sz w:val="26"/>
          <w:szCs w:val="26"/>
        </w:rPr>
        <w:t>en el recurso en estudio se</w:t>
      </w:r>
      <w:r w:rsidRPr="00C636AB">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precise </w:t>
      </w:r>
      <w:r w:rsidRPr="00C636AB">
        <w:rPr>
          <w:rFonts w:ascii="Arial" w:eastAsia="Times New Roman" w:hAnsi="Arial" w:cs="Arial"/>
          <w:color w:val="000000"/>
          <w:sz w:val="26"/>
          <w:szCs w:val="26"/>
        </w:rPr>
        <w:t xml:space="preserve">argumentos tendentes a </w:t>
      </w:r>
      <w:r>
        <w:rPr>
          <w:rFonts w:ascii="Arial" w:eastAsia="Times New Roman" w:hAnsi="Arial" w:cs="Arial"/>
          <w:color w:val="000000"/>
          <w:sz w:val="26"/>
          <w:szCs w:val="26"/>
        </w:rPr>
        <w:t>evidenciar</w:t>
      </w:r>
      <w:r w:rsidRPr="00C636AB">
        <w:rPr>
          <w:rFonts w:ascii="Arial" w:eastAsia="Times New Roman" w:hAnsi="Arial" w:cs="Arial"/>
          <w:color w:val="000000"/>
          <w:sz w:val="26"/>
          <w:szCs w:val="26"/>
        </w:rPr>
        <w:t xml:space="preserve"> la ilegalidad </w:t>
      </w:r>
      <w:r>
        <w:rPr>
          <w:rFonts w:ascii="Arial" w:eastAsia="Times New Roman" w:hAnsi="Arial" w:cs="Arial"/>
          <w:color w:val="000000"/>
          <w:sz w:val="26"/>
          <w:szCs w:val="26"/>
        </w:rPr>
        <w:t xml:space="preserve">de la resolución recurrida, pues no se combaten los </w:t>
      </w:r>
      <w:r w:rsidRPr="00C636AB">
        <w:rPr>
          <w:rFonts w:ascii="Arial" w:eastAsia="Times New Roman" w:hAnsi="Arial" w:cs="Arial"/>
          <w:color w:val="000000"/>
          <w:sz w:val="26"/>
          <w:szCs w:val="26"/>
        </w:rPr>
        <w:t>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Pr>
          <w:rFonts w:ascii="Arial" w:eastAsia="Times New Roman" w:hAnsi="Arial" w:cs="Arial"/>
          <w:color w:val="000000"/>
          <w:sz w:val="26"/>
          <w:szCs w:val="26"/>
        </w:rPr>
        <w:t>la resolución.</w:t>
      </w:r>
    </w:p>
    <w:p w:rsidR="00C62C56" w:rsidRDefault="00B54FCC" w:rsidP="00C62C56">
      <w:pPr>
        <w:spacing w:line="360" w:lineRule="auto"/>
        <w:ind w:left="-426" w:firstLine="709"/>
        <w:jc w:val="both"/>
        <w:rPr>
          <w:rFonts w:ascii="Arial" w:hAnsi="Arial" w:cs="Arial"/>
          <w:bCs/>
          <w:sz w:val="26"/>
          <w:szCs w:val="26"/>
        </w:rPr>
      </w:pPr>
      <w:r w:rsidRPr="00787CD5">
        <w:rPr>
          <w:rFonts w:ascii="Arial" w:hAnsi="Arial" w:cs="Arial"/>
          <w:bCs/>
          <w:sz w:val="26"/>
          <w:szCs w:val="26"/>
        </w:rPr>
        <w:t xml:space="preserve">Es así, pues los agravios expresados no se destinan a combatir la materia del presente recurso de revisión, esto es, los motivos y fundamentos dados por la primera instancia para </w:t>
      </w:r>
      <w:r>
        <w:rPr>
          <w:rFonts w:ascii="Arial" w:hAnsi="Arial" w:cs="Arial"/>
          <w:bCs/>
          <w:sz w:val="26"/>
          <w:szCs w:val="26"/>
        </w:rPr>
        <w:t xml:space="preserve">declarar la </w:t>
      </w:r>
      <w:r>
        <w:rPr>
          <w:rFonts w:ascii="Arial" w:hAnsi="Arial" w:cs="Arial"/>
          <w:b/>
          <w:bCs/>
          <w:sz w:val="26"/>
          <w:szCs w:val="26"/>
        </w:rPr>
        <w:t xml:space="preserve">NULIDAD </w:t>
      </w:r>
      <w:r>
        <w:rPr>
          <w:rFonts w:ascii="Arial" w:hAnsi="Arial" w:cs="Arial"/>
          <w:bCs/>
          <w:sz w:val="26"/>
          <w:szCs w:val="26"/>
        </w:rPr>
        <w:t xml:space="preserve">del oficio </w:t>
      </w:r>
      <w:r w:rsidR="00E87F6D" w:rsidRPr="00E87F6D">
        <w:rPr>
          <w:rFonts w:ascii="Arial" w:hAnsi="Arial" w:cs="Arial"/>
          <w:b/>
          <w:bCs/>
          <w:sz w:val="26"/>
          <w:szCs w:val="26"/>
        </w:rPr>
        <w:t>**********</w:t>
      </w:r>
      <w:r w:rsidRPr="00E87F6D">
        <w:rPr>
          <w:rFonts w:ascii="Arial" w:hAnsi="Arial" w:cs="Arial"/>
          <w:b/>
          <w:bCs/>
          <w:sz w:val="26"/>
          <w:szCs w:val="26"/>
        </w:rPr>
        <w:t>,</w:t>
      </w:r>
      <w:r>
        <w:rPr>
          <w:rFonts w:ascii="Arial" w:hAnsi="Arial" w:cs="Arial"/>
          <w:bCs/>
          <w:sz w:val="26"/>
          <w:szCs w:val="26"/>
        </w:rPr>
        <w:t xml:space="preserve"> emitido por el Director General de la Oficina de Pensiones del Gobierno del Estado de Oaxaca, el diecinueve de julio de dos mil dieciocho, para el EFECTO que el Director General de la Oficina de Pensiones del Gobierno del Estado, dicte otra.</w:t>
      </w:r>
      <w:r w:rsidRPr="00787CD5">
        <w:rPr>
          <w:rFonts w:ascii="Arial" w:hAnsi="Arial" w:cs="Arial"/>
          <w:bCs/>
          <w:sz w:val="26"/>
          <w:szCs w:val="26"/>
        </w:rPr>
        <w:t xml:space="preserve"> </w:t>
      </w:r>
    </w:p>
    <w:p w:rsidR="00B54FCC" w:rsidRDefault="00B54FCC" w:rsidP="00C62C56">
      <w:pPr>
        <w:spacing w:line="360" w:lineRule="auto"/>
        <w:ind w:firstLine="708"/>
        <w:jc w:val="both"/>
        <w:rPr>
          <w:rFonts w:ascii="Arial" w:hAnsi="Arial" w:cs="Arial"/>
          <w:bCs/>
          <w:sz w:val="26"/>
          <w:szCs w:val="26"/>
        </w:rPr>
      </w:pPr>
      <w:r>
        <w:rPr>
          <w:rFonts w:ascii="Arial" w:hAnsi="Arial" w:cs="Arial"/>
          <w:bCs/>
          <w:sz w:val="26"/>
          <w:szCs w:val="26"/>
        </w:rPr>
        <w:t xml:space="preserve"> Expresándolo en la forma siguiente:</w:t>
      </w:r>
    </w:p>
    <w:p w:rsidR="00B54FCC" w:rsidRDefault="00B54FCC" w:rsidP="00B54FCC">
      <w:pPr>
        <w:ind w:left="851" w:right="709"/>
        <w:jc w:val="both"/>
        <w:rPr>
          <w:b/>
        </w:rPr>
      </w:pPr>
      <w:r w:rsidRPr="006A272C">
        <w:rPr>
          <w:rFonts w:cs="Calibri"/>
          <w:bCs/>
          <w:i/>
          <w:sz w:val="24"/>
          <w:szCs w:val="24"/>
        </w:rPr>
        <w:t>“…</w:t>
      </w:r>
      <w:r>
        <w:rPr>
          <w:b/>
        </w:rPr>
        <w:tab/>
      </w:r>
    </w:p>
    <w:p w:rsidR="00B54FCC" w:rsidRPr="00713DC6" w:rsidRDefault="00B54FCC" w:rsidP="00C62C56">
      <w:pPr>
        <w:ind w:left="709" w:right="191" w:firstLine="567"/>
        <w:jc w:val="both"/>
        <w:rPr>
          <w:rFonts w:cstheme="minorHAnsi"/>
          <w:i/>
        </w:rPr>
      </w:pPr>
      <w:r w:rsidRPr="00713DC6">
        <w:rPr>
          <w:rFonts w:cstheme="minorHAnsi"/>
          <w:b/>
          <w:i/>
          <w:color w:val="000000"/>
        </w:rPr>
        <w:t xml:space="preserve">SEXTO.- Estudio de Fondo. </w:t>
      </w:r>
      <w:r w:rsidRPr="00713DC6">
        <w:rPr>
          <w:rFonts w:cstheme="minorHAnsi"/>
          <w:i/>
        </w:rPr>
        <w:t>Previo al estudio de los conceptos de impugnación, es conveniente transcribir los artículos 53 y 54 de la Ley de Pensiones para los Trabajadores del Gobierno del Estado de Oaxaca, citados como fundamento legal en la resolución impugnada, entre otros, precisando que el numeral 54, cuya aplicación se inconforma la accionante, aduciendo que el mismo es ilegal y discriminatorio:</w:t>
      </w:r>
    </w:p>
    <w:p w:rsidR="00B54FCC" w:rsidRPr="00713DC6" w:rsidRDefault="00B54FCC" w:rsidP="00C62C56">
      <w:pPr>
        <w:ind w:left="709" w:right="191"/>
        <w:jc w:val="both"/>
        <w:rPr>
          <w:rFonts w:cstheme="minorHAnsi"/>
          <w:i/>
        </w:rPr>
      </w:pPr>
      <w:r w:rsidRPr="00713DC6">
        <w:rPr>
          <w:rFonts w:cstheme="minorHAnsi"/>
          <w:i/>
        </w:rPr>
        <w:t xml:space="preserve">“ARTÍCULO 53. El monto de las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w:t>
      </w:r>
      <w:r w:rsidRPr="00713DC6">
        <w:rPr>
          <w:rFonts w:cstheme="minorHAnsi"/>
          <w:i/>
        </w:rPr>
        <w:lastRenderedPageBreak/>
        <w:t>Directivo; Dicho incremento será igual al incremento porcentual otorgado al salario base de los trabajadores activos en el año en que se trate”.</w:t>
      </w:r>
    </w:p>
    <w:p w:rsidR="00B54FCC" w:rsidRPr="00713DC6" w:rsidRDefault="00B54FCC" w:rsidP="00C62C56">
      <w:pPr>
        <w:ind w:left="709" w:right="191"/>
        <w:jc w:val="both"/>
        <w:rPr>
          <w:rFonts w:cstheme="minorHAnsi"/>
          <w:i/>
        </w:rPr>
      </w:pPr>
      <w:r w:rsidRPr="00713DC6">
        <w:rPr>
          <w:rFonts w:cstheme="minorHAnsi"/>
          <w:i/>
        </w:rPr>
        <w:t>ARTÍCULO 54. Al monto resultante de la pensión señalada en el artículo anterior, se integrarán las prestaciones siguientes:</w:t>
      </w:r>
    </w:p>
    <w:p w:rsidR="00B54FCC" w:rsidRPr="00713DC6" w:rsidRDefault="00B54FCC" w:rsidP="00C62C56">
      <w:pPr>
        <w:ind w:left="709" w:right="191"/>
        <w:jc w:val="both"/>
        <w:rPr>
          <w:rFonts w:cstheme="minorHAnsi"/>
          <w:b/>
          <w:i/>
        </w:rPr>
      </w:pPr>
      <w:r w:rsidRPr="00713DC6">
        <w:rPr>
          <w:rFonts w:cstheme="minorHAnsi"/>
          <w:i/>
        </w:rPr>
        <w:t xml:space="preserve">I.- Jubilados: tratándose </w:t>
      </w:r>
      <w:r w:rsidRPr="00713DC6">
        <w:rPr>
          <w:rFonts w:cstheme="minorHAnsi"/>
          <w:b/>
          <w:i/>
        </w:rPr>
        <w:t xml:space="preserve">solo de aquéllos que fueron trabajadores de base se integrarán la previsión social múltiple, despensa, vida cara, quinquenios, aguinaldo, estímulo del día del jubilado, día de las madres y canasta navideña. </w:t>
      </w:r>
    </w:p>
    <w:p w:rsidR="00B54FCC" w:rsidRPr="00713DC6" w:rsidRDefault="00B54FCC" w:rsidP="00C62C56">
      <w:pPr>
        <w:ind w:left="709" w:right="191"/>
        <w:jc w:val="both"/>
        <w:rPr>
          <w:rFonts w:cstheme="minorHAnsi"/>
          <w:b/>
          <w:i/>
        </w:rPr>
      </w:pPr>
      <w:r w:rsidRPr="00713DC6">
        <w:rPr>
          <w:rFonts w:cstheme="minorHAnsi"/>
          <w:b/>
          <w:i/>
        </w:rPr>
        <w:t>El aguinaldo para jubilados será equivalente a 70 días de la cuantía diaria; y</w:t>
      </w:r>
    </w:p>
    <w:p w:rsidR="00B54FCC" w:rsidRPr="00713DC6" w:rsidRDefault="00B54FCC" w:rsidP="00C62C56">
      <w:pPr>
        <w:ind w:left="709" w:right="191"/>
        <w:jc w:val="both"/>
        <w:rPr>
          <w:rFonts w:cstheme="minorHAnsi"/>
          <w:i/>
        </w:rPr>
      </w:pPr>
      <w:r w:rsidRPr="00713DC6">
        <w:rPr>
          <w:rFonts w:cstheme="minorHAnsi"/>
          <w:i/>
        </w:rPr>
        <w:t>II. Pensionados y pensionistas: canasta navideña.</w:t>
      </w:r>
    </w:p>
    <w:p w:rsidR="00B54FCC" w:rsidRPr="00713DC6" w:rsidRDefault="00B54FCC" w:rsidP="00C62C56">
      <w:pPr>
        <w:ind w:left="709" w:right="191"/>
        <w:jc w:val="both"/>
        <w:rPr>
          <w:rFonts w:cstheme="minorHAnsi"/>
          <w:i/>
        </w:rPr>
      </w:pPr>
      <w:r w:rsidRPr="00713DC6">
        <w:rPr>
          <w:rFonts w:cstheme="minorHAnsi"/>
          <w:i/>
        </w:rPr>
        <w:t>Los montos de las prestaciones señaladas en las fracciones anteriores serán determinados por acuerdo del Consejo Directivo, mismos que no deberán ser superiores a los montos que se otorguen a los trabajadores activos.</w:t>
      </w:r>
    </w:p>
    <w:p w:rsidR="00B54FCC" w:rsidRPr="00713DC6" w:rsidRDefault="00B54FCC" w:rsidP="00C62C56">
      <w:pPr>
        <w:ind w:left="709" w:right="191"/>
        <w:jc w:val="both"/>
        <w:rPr>
          <w:rFonts w:cstheme="minorHAnsi"/>
          <w:i/>
        </w:rPr>
      </w:pPr>
      <w:r w:rsidRPr="00713DC6">
        <w:rPr>
          <w:rFonts w:cstheme="minorHAnsi"/>
          <w:i/>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B54FCC" w:rsidRPr="00713DC6" w:rsidRDefault="00B54FCC" w:rsidP="00C62C56">
      <w:pPr>
        <w:ind w:left="709" w:right="191" w:firstLine="426"/>
        <w:jc w:val="both"/>
        <w:rPr>
          <w:rFonts w:cstheme="minorHAnsi"/>
          <w:i/>
        </w:rPr>
      </w:pPr>
      <w:r w:rsidRPr="00713DC6">
        <w:rPr>
          <w:rFonts w:cstheme="minorHAnsi"/>
          <w:i/>
        </w:rPr>
        <w:t>Como se advierte de lo transcrito, el artículo 54 de la Ley de Pensiones para los Trabajadores del Gobierno del Estado de Oaxaca, es discriminatorio para los trabajadores jubilados de confianza, porque sólo se refiere a que los trabajadores jubilados de base, tienen las siguientes prestaciones: Previsión social múltiple, despensa, vida cara, quinquenios, aguinaldos, estímulos del día del jubilado, día de las madres y canasta navideña, el aguinaldo para jubilados será equivalente a setenta días de la cuantía diaria y a canasta navideña; por tanto, como se ha establecido en la presente sentencia, al encontrarse con un acto discriminatorio, resulta violario del artículo 1º de la Constitución Política de los Estados Unidos Mexicanos.</w:t>
      </w:r>
    </w:p>
    <w:p w:rsidR="00B54FCC" w:rsidRDefault="00B54FCC" w:rsidP="00C62C56">
      <w:pPr>
        <w:ind w:left="709" w:right="191" w:firstLine="426"/>
        <w:jc w:val="both"/>
        <w:rPr>
          <w:rFonts w:cstheme="minorHAnsi"/>
          <w:i/>
        </w:rPr>
      </w:pPr>
      <w:r w:rsidRPr="00713DC6">
        <w:rPr>
          <w:rFonts w:cstheme="minorHAnsi"/>
          <w:i/>
        </w:rPr>
        <w:t>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87426E" w:rsidRPr="00713DC6" w:rsidRDefault="0087426E" w:rsidP="00C62C56">
      <w:pPr>
        <w:ind w:left="709" w:right="191" w:firstLine="426"/>
        <w:jc w:val="both"/>
        <w:rPr>
          <w:rFonts w:cstheme="minorHAnsi"/>
          <w:i/>
        </w:rPr>
      </w:pPr>
    </w:p>
    <w:p w:rsidR="00B54FCC" w:rsidRDefault="0087426E" w:rsidP="0087426E">
      <w:pPr>
        <w:ind w:right="-518"/>
        <w:jc w:val="both"/>
        <w:rPr>
          <w:rFonts w:cstheme="minorHAnsi"/>
          <w:i/>
        </w:rPr>
      </w:pPr>
      <w:r>
        <w:rPr>
          <w:rFonts w:cstheme="minorHAnsi"/>
          <w:i/>
        </w:rPr>
        <w:t xml:space="preserve">                    </w:t>
      </w:r>
      <w:r w:rsidR="00B54FCC" w:rsidRPr="00713DC6">
        <w:rPr>
          <w:rFonts w:cstheme="minorHAnsi"/>
          <w:i/>
        </w:rPr>
        <w:t>En ese tenor, el artículo 1 de la Constitución Federal señala:</w:t>
      </w:r>
    </w:p>
    <w:p w:rsidR="0087426E" w:rsidRPr="00713DC6" w:rsidRDefault="0087426E" w:rsidP="0087426E">
      <w:pPr>
        <w:ind w:right="-518"/>
        <w:jc w:val="both"/>
        <w:rPr>
          <w:rFonts w:cstheme="minorHAnsi"/>
          <w:i/>
        </w:rPr>
      </w:pPr>
    </w:p>
    <w:p w:rsidR="0087426E" w:rsidRDefault="0087426E" w:rsidP="0087426E">
      <w:pPr>
        <w:ind w:left="709" w:right="191"/>
        <w:jc w:val="both"/>
        <w:rPr>
          <w:rFonts w:cstheme="minorHAnsi"/>
          <w:i/>
        </w:rPr>
      </w:pPr>
      <w:r>
        <w:rPr>
          <w:rFonts w:cstheme="minorHAnsi"/>
          <w:i/>
        </w:rPr>
        <w:t xml:space="preserve">     </w:t>
      </w:r>
      <w:r w:rsidR="00B54FCC" w:rsidRPr="00713DC6">
        <w:rPr>
          <w:rFonts w:cstheme="minorHAnsi"/>
          <w:i/>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B54FCC" w:rsidRPr="00713DC6" w:rsidRDefault="0087426E" w:rsidP="0087426E">
      <w:pPr>
        <w:ind w:left="709" w:right="191"/>
        <w:jc w:val="both"/>
        <w:rPr>
          <w:rFonts w:cstheme="minorHAnsi"/>
          <w:i/>
        </w:rPr>
      </w:pPr>
      <w:r>
        <w:rPr>
          <w:rFonts w:cstheme="minorHAnsi"/>
          <w:i/>
        </w:rPr>
        <w:t xml:space="preserve">    </w:t>
      </w:r>
      <w:r w:rsidR="00B54FCC" w:rsidRPr="00713DC6">
        <w:rPr>
          <w:rFonts w:cstheme="minorHAnsi"/>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B54FCC" w:rsidRPr="00713DC6" w:rsidRDefault="00B54FCC" w:rsidP="00C62C56">
      <w:pPr>
        <w:spacing w:line="276" w:lineRule="auto"/>
        <w:ind w:left="567" w:right="49"/>
        <w:jc w:val="both"/>
        <w:rPr>
          <w:rFonts w:cstheme="minorHAnsi"/>
          <w:i/>
        </w:rPr>
      </w:pPr>
      <w:r w:rsidRPr="00713DC6">
        <w:rPr>
          <w:rFonts w:cstheme="minorHAnsi"/>
          <w:i/>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B54FCC" w:rsidRPr="00713DC6" w:rsidRDefault="0087426E" w:rsidP="00C62C56">
      <w:pPr>
        <w:spacing w:line="276" w:lineRule="auto"/>
        <w:ind w:left="567" w:right="49"/>
        <w:jc w:val="both"/>
        <w:rPr>
          <w:rFonts w:cstheme="minorHAnsi"/>
          <w:i/>
        </w:rPr>
      </w:pPr>
      <w:r>
        <w:rPr>
          <w:rFonts w:cstheme="minorHAnsi"/>
          <w:i/>
        </w:rPr>
        <w:t xml:space="preserve">         </w:t>
      </w:r>
      <w:r w:rsidR="00B54FCC" w:rsidRPr="00713DC6">
        <w:rPr>
          <w:rFonts w:cstheme="minorHAnsi"/>
          <w:i/>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B54FCC" w:rsidRPr="00713DC6" w:rsidRDefault="00C62C56" w:rsidP="00C62C56">
      <w:pPr>
        <w:spacing w:line="276" w:lineRule="auto"/>
        <w:ind w:left="567" w:right="142"/>
        <w:jc w:val="both"/>
        <w:rPr>
          <w:rFonts w:cstheme="minorHAnsi"/>
          <w:i/>
        </w:rPr>
      </w:pPr>
      <w:r>
        <w:rPr>
          <w:rFonts w:cstheme="minorHAnsi"/>
          <w:i/>
        </w:rPr>
        <w:lastRenderedPageBreak/>
        <w:t xml:space="preserve">         </w:t>
      </w:r>
      <w:r w:rsidR="00B54FCC" w:rsidRPr="00713DC6">
        <w:rPr>
          <w:rFonts w:cstheme="minorHAnsi"/>
          <w:i/>
        </w:rPr>
        <w:t>De lo anterior, el artículo 1° de la Constitución Política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de manera expresa a los Juzgadores de cada Estado la obligación de actuar conforme a la misma Constitución, las Leyes y Tratados acordes a la misma.</w:t>
      </w:r>
    </w:p>
    <w:p w:rsidR="00B54FCC" w:rsidRPr="00713DC6" w:rsidRDefault="00C62C56" w:rsidP="00C62C56">
      <w:pPr>
        <w:spacing w:line="276" w:lineRule="auto"/>
        <w:ind w:left="567" w:right="142"/>
        <w:jc w:val="both"/>
        <w:rPr>
          <w:rFonts w:cstheme="minorHAnsi"/>
          <w:i/>
        </w:rPr>
      </w:pPr>
      <w:r>
        <w:rPr>
          <w:rFonts w:cstheme="minorHAnsi"/>
          <w:i/>
        </w:rPr>
        <w:t xml:space="preserve">        </w:t>
      </w:r>
      <w:r w:rsidR="00B54FCC" w:rsidRPr="00713DC6">
        <w:rPr>
          <w:rFonts w:cstheme="minorHAnsi"/>
          <w:i/>
        </w:rPr>
        <w:t xml:space="preserve">Conforme a lo transcrito, si bien en el asunto planteado, el ordenamiento aplicable no establece en forma expresa las prestaciones que reclama el </w:t>
      </w:r>
      <w:r w:rsidR="00B54FCC" w:rsidRPr="00713DC6">
        <w:rPr>
          <w:rFonts w:cstheme="minorHAnsi"/>
          <w:i/>
          <w:color w:val="000000"/>
        </w:rPr>
        <w:t xml:space="preserve">actor </w:t>
      </w:r>
      <w:r w:rsidR="00B54FCC" w:rsidRPr="00713DC6">
        <w:rPr>
          <w:rFonts w:cstheme="minorHAnsi"/>
          <w:i/>
        </w:rPr>
        <w:t xml:space="preserve">Adrián Ruíz Robles para los trabajadores jubilados de confianza, también lo es, que sí establece en forma expresa dichas prestaciones para los trabajadores jubilados de base, por lo que al ser pensionados por jubilación, se les deba cubrir respetando las prestaciones a que tienen derecho como trabajadores a fin de evitar un trato discriminatorio y atentar contra su dignidad humana, caso contrario, se les daría un trato distinto, que anula la igualdad de oportunidades y trato, derivado de su trabajo.  </w:t>
      </w:r>
    </w:p>
    <w:p w:rsidR="00B54FCC" w:rsidRPr="00713DC6" w:rsidRDefault="00B54FCC" w:rsidP="00C62C56">
      <w:pPr>
        <w:spacing w:line="276" w:lineRule="auto"/>
        <w:ind w:left="567" w:right="283" w:firstLine="426"/>
        <w:jc w:val="both"/>
        <w:rPr>
          <w:rFonts w:cstheme="minorHAnsi"/>
          <w:i/>
        </w:rPr>
      </w:pPr>
      <w:r w:rsidRPr="00713DC6">
        <w:rPr>
          <w:rFonts w:cstheme="minorHAnsi"/>
          <w:i/>
        </w:rPr>
        <w:t xml:space="preserve">Como así se encuentra establecida en el </w:t>
      </w:r>
      <w:r w:rsidRPr="00713DC6">
        <w:rPr>
          <w:rFonts w:cstheme="minorHAnsi"/>
          <w:b/>
          <w:i/>
        </w:rPr>
        <w:t xml:space="preserve">CONVENIO RELATIVO A LA DISCRIMINACIÓN EN MATERIA DE EMPLEO Y OCUPACIÓN, </w:t>
      </w:r>
      <w:r w:rsidRPr="00713DC6">
        <w:rPr>
          <w:rFonts w:cstheme="minorHAnsi"/>
          <w:i/>
        </w:rPr>
        <w:t>que dice:</w:t>
      </w:r>
    </w:p>
    <w:p w:rsidR="00B54FCC" w:rsidRPr="00713DC6" w:rsidRDefault="00B54FCC" w:rsidP="00B54FCC">
      <w:pPr>
        <w:spacing w:line="276" w:lineRule="auto"/>
        <w:ind w:left="567" w:right="191"/>
        <w:jc w:val="both"/>
        <w:rPr>
          <w:rFonts w:cstheme="minorHAnsi"/>
          <w:b/>
          <w:i/>
        </w:rPr>
      </w:pPr>
      <w:r w:rsidRPr="00713DC6">
        <w:rPr>
          <w:rFonts w:cstheme="minorHAnsi"/>
          <w:b/>
          <w:i/>
        </w:rPr>
        <w:t>“Artículo 1</w:t>
      </w:r>
    </w:p>
    <w:p w:rsidR="00B54FCC" w:rsidRPr="00713DC6" w:rsidRDefault="00B54FCC" w:rsidP="00B54FCC">
      <w:pPr>
        <w:pStyle w:val="Prrafodelista"/>
        <w:ind w:left="567" w:right="191"/>
        <w:jc w:val="both"/>
        <w:rPr>
          <w:rFonts w:cstheme="minorHAnsi"/>
          <w:i/>
        </w:rPr>
      </w:pPr>
      <w:r w:rsidRPr="00713DC6">
        <w:rPr>
          <w:rFonts w:cstheme="minorHAnsi"/>
          <w:i/>
        </w:rPr>
        <w:t>A los efectos de este Convenio el término discriminación comprende:</w:t>
      </w:r>
    </w:p>
    <w:p w:rsidR="00B54FCC" w:rsidRPr="00C62C56" w:rsidRDefault="00B54FCC" w:rsidP="00C62C56">
      <w:pPr>
        <w:pStyle w:val="Prrafodelista"/>
        <w:ind w:left="567" w:right="191"/>
        <w:jc w:val="both"/>
        <w:rPr>
          <w:rFonts w:cstheme="minorHAnsi"/>
          <w:i/>
        </w:rPr>
      </w:pPr>
      <w:r w:rsidRPr="00713DC6">
        <w:rPr>
          <w:rFonts w:cstheme="minorHAnsi"/>
          <w:i/>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B54FCC" w:rsidRPr="00C62C56" w:rsidRDefault="00B54FCC" w:rsidP="00C62C56">
      <w:pPr>
        <w:pStyle w:val="Prrafodelista"/>
        <w:spacing w:after="0"/>
        <w:ind w:left="567" w:right="191"/>
        <w:jc w:val="both"/>
        <w:rPr>
          <w:rFonts w:cstheme="minorHAnsi"/>
          <w:i/>
        </w:rPr>
      </w:pPr>
      <w:r w:rsidRPr="00713DC6">
        <w:rPr>
          <w:rFonts w:cstheme="minorHAnsi"/>
          <w:i/>
        </w:rPr>
        <w:t xml:space="preserve">“(b). cualquier otra distinción, exclusión (sic) o preferencia que tenga para efecto anular o alterar la igualdad de oportunidades o de trato en el empleo </w:t>
      </w:r>
      <w:proofErr w:type="spellStart"/>
      <w:r w:rsidRPr="00713DC6">
        <w:rPr>
          <w:rFonts w:cstheme="minorHAnsi"/>
          <w:i/>
        </w:rPr>
        <w:t>o</w:t>
      </w:r>
      <w:proofErr w:type="spellEnd"/>
      <w:r w:rsidRPr="00713DC6">
        <w:rPr>
          <w:rFonts w:cstheme="minorHAnsi"/>
          <w:i/>
        </w:rPr>
        <w:t xml:space="preserve"> ocupación…”</w:t>
      </w:r>
    </w:p>
    <w:p w:rsidR="00B54FCC" w:rsidRPr="00713DC6" w:rsidRDefault="00C62C56" w:rsidP="00C62C56">
      <w:pPr>
        <w:spacing w:line="276" w:lineRule="auto"/>
        <w:ind w:left="567" w:right="142"/>
        <w:jc w:val="both"/>
        <w:rPr>
          <w:rFonts w:cstheme="minorHAnsi"/>
          <w:i/>
        </w:rPr>
      </w:pPr>
      <w:r>
        <w:rPr>
          <w:rFonts w:cstheme="minorHAnsi"/>
          <w:i/>
        </w:rPr>
        <w:t xml:space="preserve">         </w:t>
      </w:r>
      <w:r w:rsidR="00B54FCC" w:rsidRPr="00713DC6">
        <w:rPr>
          <w:rFonts w:cstheme="minorHAnsi"/>
          <w:i/>
        </w:rPr>
        <w:t>Por tal razón, en estricta aplicación del artículo 1º de la Constitución Federal, a que se encuentra obligado este Juzgador observar,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w:t>
      </w:r>
      <w:bookmarkStart w:id="0" w:name="_GoBack"/>
      <w:bookmarkEnd w:id="0"/>
      <w:r w:rsidR="00B54FCC" w:rsidRPr="00713DC6">
        <w:rPr>
          <w:rFonts w:cstheme="minorHAnsi"/>
          <w:i/>
        </w:rPr>
        <w:t xml:space="preserve">ionales de la Materia. </w:t>
      </w:r>
    </w:p>
    <w:p w:rsidR="00B54FCC" w:rsidRPr="00713DC6" w:rsidRDefault="00C62C56" w:rsidP="00C62C56">
      <w:pPr>
        <w:spacing w:line="276" w:lineRule="auto"/>
        <w:ind w:left="567" w:right="142"/>
        <w:jc w:val="both"/>
        <w:rPr>
          <w:rFonts w:cstheme="minorHAnsi"/>
          <w:i/>
        </w:rPr>
      </w:pPr>
      <w:r>
        <w:rPr>
          <w:rFonts w:cstheme="minorHAnsi"/>
          <w:i/>
        </w:rPr>
        <w:t xml:space="preserve">         </w:t>
      </w:r>
      <w:r w:rsidR="00B54FCC" w:rsidRPr="00713DC6">
        <w:rPr>
          <w:rFonts w:cstheme="minorHAnsi"/>
          <w:i/>
        </w:rPr>
        <w:t xml:space="preserve">Al respecto, la Suprema Corte de Justicia de la Nación ha establecido que los jueces deben seguir los siguientes pasos tratándose de la interpretación de derechos humanos: </w:t>
      </w:r>
      <w:r w:rsidR="00B54FCC" w:rsidRPr="00713DC6">
        <w:rPr>
          <w:rFonts w:cstheme="minorHAnsi"/>
          <w:b/>
          <w:i/>
        </w:rPr>
        <w:t>1.</w:t>
      </w:r>
      <w:r w:rsidR="00B54FCC" w:rsidRPr="00713DC6">
        <w:rPr>
          <w:rFonts w:cstheme="minorHAnsi"/>
          <w:i/>
        </w:rPr>
        <w:t xml:space="preserve"> Interpretación conforme en sentido amplio (interpretar el orden jurídico a la luz y conforme a los derechos humanos establecidos en la Constitución y en los tratados internacionales, favoreciendo en todo tiempo a las personas la protección más amplia); </w:t>
      </w:r>
      <w:r w:rsidR="00B54FCC" w:rsidRPr="00713DC6">
        <w:rPr>
          <w:rFonts w:cstheme="minorHAnsi"/>
          <w:b/>
          <w:i/>
        </w:rPr>
        <w:t>2.</w:t>
      </w:r>
      <w:r w:rsidR="00B54FCC" w:rsidRPr="00713DC6">
        <w:rPr>
          <w:rFonts w:cstheme="minorHAnsi"/>
          <w:i/>
        </w:rPr>
        <w:t xml:space="preserve">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w:t>
      </w:r>
      <w:r w:rsidR="00B54FCC" w:rsidRPr="00713DC6">
        <w:rPr>
          <w:rFonts w:cstheme="minorHAnsi"/>
          <w:b/>
          <w:i/>
        </w:rPr>
        <w:t>3.</w:t>
      </w:r>
      <w:r w:rsidR="00B54FCC" w:rsidRPr="00713DC6">
        <w:rPr>
          <w:rFonts w:cstheme="minorHAnsi"/>
          <w:i/>
        </w:rPr>
        <w:t xml:space="preserve"> Inaplicación de la ley cuando las alternativas anteriores no son posibles, lo que leva al aseguramiento de la primacía y aplicación efectiva de los derechos humanos. Criterio sostenido en la tesis de número </w:t>
      </w:r>
      <w:r w:rsidR="00E87F6D" w:rsidRPr="00E87F6D">
        <w:rPr>
          <w:rFonts w:cstheme="minorHAnsi"/>
          <w:b/>
          <w:i/>
        </w:rPr>
        <w:t>**********</w:t>
      </w:r>
      <w:r w:rsidR="00B54FCC" w:rsidRPr="00E87F6D">
        <w:rPr>
          <w:rFonts w:cstheme="minorHAnsi"/>
          <w:b/>
          <w:i/>
        </w:rPr>
        <w:t>,</w:t>
      </w:r>
      <w:r w:rsidR="00B54FCC" w:rsidRPr="00713DC6">
        <w:rPr>
          <w:rFonts w:cstheme="minorHAnsi"/>
          <w:i/>
        </w:rPr>
        <w:t xml:space="preserve"> emitida por el Pleno de la Suprema corte de Justicia de la Nación, publicada en el Semanario Judicial de la Federación y su Gaceta, Décima Época, libro III, tomo 1, diciembre 2011, página 552, que a la letra dice:</w:t>
      </w:r>
    </w:p>
    <w:p w:rsidR="00B54FCC" w:rsidRPr="00713DC6" w:rsidRDefault="00B54FCC" w:rsidP="00C62C56">
      <w:pPr>
        <w:tabs>
          <w:tab w:val="left" w:pos="7513"/>
        </w:tabs>
        <w:ind w:left="567" w:right="191"/>
        <w:jc w:val="both"/>
        <w:rPr>
          <w:rFonts w:cstheme="minorHAnsi"/>
          <w:i/>
        </w:rPr>
      </w:pPr>
      <w:r w:rsidRPr="00713DC6">
        <w:rPr>
          <w:rFonts w:cstheme="minorHAnsi"/>
          <w:b/>
          <w:i/>
        </w:rPr>
        <w:t>“PASOS A SEGUIR EN EL CONTROL DE CONSTITUCIONALIDAD Y CONVENCIONALIDAD EX OFFICIO EN MATERIA DE DERECHOS HUMANOS.</w:t>
      </w:r>
      <w:r w:rsidRPr="00713DC6">
        <w:rPr>
          <w:rFonts w:cstheme="minorHAnsi"/>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713DC6">
        <w:rPr>
          <w:rFonts w:cstheme="minorHAnsi"/>
          <w:i/>
        </w:rPr>
        <w:t>officio</w:t>
      </w:r>
      <w:proofErr w:type="spellEnd"/>
      <w:r w:rsidRPr="00713DC6">
        <w:rPr>
          <w:rFonts w:cstheme="minorHAnsi"/>
          <w:i/>
        </w:rPr>
        <w:t xml:space="preserve"> en materia de derechos humanos, deberá realizar los siguientes pasos: a) Interpretación conforme en sentido amplio, lo que significa que los jueces del país -al igual que todas las demás autoridades del Estado Mexicano-, </w:t>
      </w:r>
      <w:r w:rsidRPr="00713DC6">
        <w:rPr>
          <w:rFonts w:cstheme="minorHAnsi"/>
          <w:i/>
        </w:rPr>
        <w:lastRenderedPageBreak/>
        <w:t xml:space="preserve">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B54FCC" w:rsidRPr="00713DC6" w:rsidRDefault="00B54FCC" w:rsidP="00C62C56">
      <w:pPr>
        <w:spacing w:line="276" w:lineRule="auto"/>
        <w:ind w:left="567" w:right="142" w:firstLine="567"/>
        <w:jc w:val="both"/>
        <w:rPr>
          <w:rFonts w:cstheme="minorHAnsi"/>
          <w:i/>
        </w:rPr>
      </w:pPr>
      <w:r w:rsidRPr="00713DC6">
        <w:rPr>
          <w:rFonts w:cstheme="minorHAnsi"/>
          <w:i/>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B54FCC" w:rsidRPr="00713DC6" w:rsidRDefault="00B54FCC" w:rsidP="00C62C56">
      <w:pPr>
        <w:ind w:left="567" w:right="191"/>
        <w:jc w:val="both"/>
        <w:rPr>
          <w:rFonts w:cstheme="minorHAnsi"/>
          <w:i/>
        </w:rPr>
      </w:pPr>
      <w:r w:rsidRPr="00713DC6">
        <w:rPr>
          <w:rFonts w:cstheme="minorHAnsi"/>
          <w:b/>
          <w:i/>
        </w:rPr>
        <w:t>“CONTROL DIFUSO DE CONSTITUCIONALIDAD EX OFFICIO. PASOS Y ASPECTOS SUSTANTIVOS E INSTRUMENTALES QUE DEBEN OBSERVARSE PARA REALIZARLO.</w:t>
      </w:r>
      <w:r w:rsidRPr="00713DC6">
        <w:rPr>
          <w:rFonts w:cstheme="minorHAnsi"/>
          <w:i/>
        </w:rPr>
        <w:t xml:space="preserve"> Para realizar el control difuso de constitucionalidad -connotación que incluye el control de convencionalidad- en la modalidad ex </w:t>
      </w:r>
      <w:r w:rsidR="0087426E" w:rsidRPr="00713DC6">
        <w:rPr>
          <w:rFonts w:cstheme="minorHAnsi"/>
          <w:i/>
        </w:rPr>
        <w:t>oficio</w:t>
      </w:r>
      <w:r w:rsidRPr="00713DC6">
        <w:rPr>
          <w:rFonts w:cstheme="minorHAnsi"/>
          <w:i/>
        </w:rPr>
        <w:t xml:space="preserve">, no sólo debe considerarse que se colmen sus requisitos de procedencia y admisibilidad, es decir, sus presupuestos de forma, adjetivos y sustantivos, ya que atento a su naturaleza, regida por el principio </w:t>
      </w:r>
      <w:proofErr w:type="spellStart"/>
      <w:r w:rsidRPr="00713DC6">
        <w:rPr>
          <w:rFonts w:cstheme="minorHAnsi"/>
          <w:i/>
        </w:rPr>
        <w:t>iura</w:t>
      </w:r>
      <w:proofErr w:type="spellEnd"/>
      <w:r w:rsidRPr="00713DC6">
        <w:rPr>
          <w:rFonts w:cstheme="minorHAnsi"/>
          <w:i/>
        </w:rPr>
        <w:t xml:space="preserve"> </w:t>
      </w:r>
      <w:proofErr w:type="spellStart"/>
      <w:r w:rsidRPr="00713DC6">
        <w:rPr>
          <w:rFonts w:cstheme="minorHAnsi"/>
          <w:i/>
        </w:rPr>
        <w:t>novit</w:t>
      </w:r>
      <w:proofErr w:type="spellEnd"/>
      <w:r w:rsidRPr="00713DC6">
        <w:rPr>
          <w:rFonts w:cstheme="minorHAnsi"/>
          <w:i/>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713DC6">
        <w:rPr>
          <w:rFonts w:cstheme="minorHAnsi"/>
          <w:i/>
        </w:rPr>
        <w:t>subderecho</w:t>
      </w:r>
      <w:proofErr w:type="spellEnd"/>
      <w:r w:rsidRPr="00713DC6">
        <w:rPr>
          <w:rFonts w:cstheme="minorHAnsi"/>
          <w:i/>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713DC6">
        <w:rPr>
          <w:rFonts w:cstheme="minorHAnsi"/>
          <w:i/>
        </w:rPr>
        <w:t>subderecho</w:t>
      </w:r>
      <w:proofErr w:type="spellEnd"/>
      <w:r w:rsidRPr="00713DC6">
        <w:rPr>
          <w:rFonts w:cstheme="minorHAnsi"/>
          <w:i/>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713DC6">
        <w:rPr>
          <w:rFonts w:cstheme="minorHAnsi"/>
          <w:i/>
        </w:rPr>
        <w:t>homine</w:t>
      </w:r>
      <w:proofErr w:type="spellEnd"/>
      <w:r w:rsidRPr="00713DC6">
        <w:rPr>
          <w:rFonts w:cstheme="minorHAnsi"/>
          <w:i/>
        </w:rPr>
        <w:t xml:space="preserve">; y, VII. Desaplicarla cuando resulte contradictoria con el derecho humano. Lo anterior sin dejar de observar que en el control difuso de constitucionalidad ex </w:t>
      </w:r>
      <w:proofErr w:type="spellStart"/>
      <w:r w:rsidRPr="00713DC6">
        <w:rPr>
          <w:rFonts w:cstheme="minorHAnsi"/>
          <w:i/>
        </w:rPr>
        <w:t>officio</w:t>
      </w:r>
      <w:proofErr w:type="spellEnd"/>
      <w:r w:rsidRPr="00713DC6">
        <w:rPr>
          <w:rFonts w:cstheme="minorHAnsi"/>
          <w:i/>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713DC6">
        <w:rPr>
          <w:rFonts w:cstheme="minorHAnsi"/>
          <w:i/>
        </w:rPr>
        <w:t>officio</w:t>
      </w:r>
      <w:proofErr w:type="spellEnd"/>
      <w:r w:rsidRPr="00713DC6">
        <w:rPr>
          <w:rFonts w:cstheme="minorHAnsi"/>
          <w:i/>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B54FCC" w:rsidRPr="00713DC6" w:rsidRDefault="00B54FCC" w:rsidP="00C62C56">
      <w:pPr>
        <w:spacing w:line="276" w:lineRule="auto"/>
        <w:ind w:left="567" w:right="142" w:firstLine="567"/>
        <w:jc w:val="both"/>
        <w:rPr>
          <w:rFonts w:cstheme="minorHAnsi"/>
          <w:i/>
        </w:rPr>
      </w:pPr>
      <w:r w:rsidRPr="00713DC6">
        <w:rPr>
          <w:rFonts w:cstheme="minorHAnsi"/>
          <w:i/>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número </w:t>
      </w:r>
      <w:r w:rsidR="00E87F6D" w:rsidRPr="00E87F6D">
        <w:rPr>
          <w:rFonts w:cstheme="minorHAnsi"/>
          <w:b/>
          <w:i/>
        </w:rPr>
        <w:t>**********</w:t>
      </w:r>
      <w:r w:rsidRPr="00E87F6D">
        <w:rPr>
          <w:rFonts w:cstheme="minorHAnsi"/>
          <w:b/>
          <w:i/>
        </w:rPr>
        <w:t>,</w:t>
      </w:r>
      <w:r w:rsidRPr="00713DC6">
        <w:rPr>
          <w:rFonts w:cstheme="minorHAnsi"/>
          <w:i/>
        </w:rPr>
        <w:t xml:space="preserve"> de fecha diecinueve de julio de dos mil dieciocho, emitida por el Director General de la Oficina </w:t>
      </w:r>
      <w:r w:rsidRPr="00713DC6">
        <w:rPr>
          <w:rFonts w:cstheme="minorHAnsi"/>
          <w:i/>
        </w:rPr>
        <w:lastRenderedPageBreak/>
        <w:t>de Pensiones del Gobierno del Estado, al ejecutar el acuerdo del Consejo Directivo de la Oficina de Pensiones, fundándose en el artículo 54, de la Ley de Pensiones, en el que no considera el pago de diversas prestaciones al actor por haber sido trabajadora de confianza, es violatorio de los derechos humanos contenidos en la Constitución Federal y en los Tratados Internacionales</w:t>
      </w:r>
      <w:r w:rsidRPr="00713DC6">
        <w:rPr>
          <w:rFonts w:cstheme="minorHAnsi"/>
          <w:b/>
          <w:i/>
        </w:rPr>
        <w:t xml:space="preserve">, </w:t>
      </w:r>
      <w:r w:rsidRPr="00713DC6">
        <w:rPr>
          <w:rFonts w:cstheme="minorHAnsi"/>
          <w:i/>
        </w:rPr>
        <w:t xml:space="preserve"> por ello, con la obligación de proteger y garantizar a los derechos humanos, procede aplicar el artículo 54, de la Ley de Pensiones para los Trabajadores del Gobierno del Estado, publicada en el Periódico Oficial del Estado de Oaxaca, el veintiocho de enero de dos mil doce, de </w:t>
      </w:r>
      <w:r w:rsidRPr="00713DC6">
        <w:rPr>
          <w:rFonts w:cstheme="minorHAnsi"/>
          <w:b/>
          <w:i/>
        </w:rPr>
        <w:t>manera extensiva a los trabajadores de confianza</w:t>
      </w:r>
      <w:r w:rsidRPr="00713DC6">
        <w:rPr>
          <w:rFonts w:cstheme="minorHAnsi"/>
          <w:i/>
        </w:rPr>
        <w:t>, es decir,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B54FCC" w:rsidRPr="007E0541" w:rsidRDefault="00B54FCC" w:rsidP="00C62C56">
      <w:pPr>
        <w:spacing w:line="276" w:lineRule="auto"/>
        <w:ind w:left="567" w:right="142" w:firstLine="567"/>
        <w:jc w:val="both"/>
        <w:rPr>
          <w:rFonts w:cstheme="minorHAnsi"/>
          <w:i/>
        </w:rPr>
      </w:pPr>
      <w:r w:rsidRPr="00713DC6">
        <w:rPr>
          <w:rFonts w:cstheme="minorHAnsi"/>
          <w:bCs/>
          <w:i/>
          <w:color w:val="000000"/>
        </w:rPr>
        <w:t xml:space="preserve">Por las consideraciones anteriormente precisadas, es procedente declarar </w:t>
      </w:r>
      <w:r w:rsidRPr="00713DC6">
        <w:rPr>
          <w:rFonts w:cstheme="minorHAnsi"/>
          <w:b/>
          <w:bCs/>
          <w:i/>
          <w:color w:val="000000"/>
        </w:rPr>
        <w:t>LA NULIDAD</w:t>
      </w:r>
      <w:r w:rsidRPr="00713DC6">
        <w:rPr>
          <w:rFonts w:cstheme="minorHAnsi"/>
          <w:bCs/>
          <w:i/>
          <w:color w:val="000000"/>
        </w:rPr>
        <w:t xml:space="preserve"> de la resolución contenida en el oficio</w:t>
      </w:r>
      <w:r w:rsidRPr="00713DC6">
        <w:rPr>
          <w:rFonts w:cstheme="minorHAnsi"/>
          <w:i/>
        </w:rPr>
        <w:t xml:space="preserve"> número </w:t>
      </w:r>
      <w:r w:rsidR="00E87F6D" w:rsidRPr="00E87F6D">
        <w:rPr>
          <w:rFonts w:cstheme="minorHAnsi"/>
          <w:b/>
          <w:i/>
        </w:rPr>
        <w:t>**********</w:t>
      </w:r>
      <w:r w:rsidRPr="00E87F6D">
        <w:rPr>
          <w:rFonts w:cstheme="minorHAnsi"/>
          <w:b/>
          <w:i/>
        </w:rPr>
        <w:t>,</w:t>
      </w:r>
      <w:r w:rsidRPr="00713DC6">
        <w:rPr>
          <w:rFonts w:cstheme="minorHAnsi"/>
          <w:i/>
        </w:rPr>
        <w:t xml:space="preserve"> de fecha diecinueve de julio de dos mil dieciocho, para el </w:t>
      </w:r>
      <w:r w:rsidRPr="00713DC6">
        <w:rPr>
          <w:rFonts w:cstheme="minorHAnsi"/>
          <w:b/>
          <w:i/>
        </w:rPr>
        <w:t>EFECTO</w:t>
      </w:r>
      <w:r w:rsidRPr="00713DC6">
        <w:rPr>
          <w:rFonts w:cstheme="minorHAnsi"/>
          <w:i/>
        </w:rPr>
        <w:t xml:space="preserve"> que el Director General de la Oficina de Pensiones del Gobierno del Estado, </w:t>
      </w:r>
      <w:r w:rsidRPr="00713DC6">
        <w:rPr>
          <w:rFonts w:cstheme="minorHAnsi"/>
          <w:bCs/>
          <w:i/>
          <w:color w:val="000000"/>
        </w:rPr>
        <w:t xml:space="preserve">dicte otra, en el que otorgue al actor </w:t>
      </w:r>
      <w:r w:rsidRPr="00713DC6">
        <w:rPr>
          <w:rFonts w:cstheme="minorHAnsi"/>
          <w:i/>
        </w:rPr>
        <w:t xml:space="preserve">Adrián Ruíz Robles, </w:t>
      </w:r>
      <w:r w:rsidRPr="00713DC6">
        <w:rPr>
          <w:rFonts w:cstheme="minorHAnsi"/>
          <w:bCs/>
          <w:i/>
          <w:color w:val="000000"/>
        </w:rPr>
        <w:t>la pensión por jubilación con las mismas prestaciones que percibe un trabajador de base, en términos del artículo 54 de la Ley de Pensiones para los Trabajadores del Gobierno del Estado</w:t>
      </w:r>
      <w:r w:rsidRPr="00A64A5D">
        <w:rPr>
          <w:rFonts w:ascii="Arial" w:hAnsi="Arial" w:cs="Arial"/>
          <w:color w:val="000000"/>
          <w:sz w:val="24"/>
          <w:szCs w:val="24"/>
        </w:rPr>
        <w:t>.</w:t>
      </w:r>
    </w:p>
    <w:p w:rsidR="00B54FCC" w:rsidRPr="00DA72A7" w:rsidRDefault="00B54FCC" w:rsidP="00A46EFD">
      <w:pPr>
        <w:ind w:left="567" w:right="142"/>
        <w:jc w:val="both"/>
        <w:rPr>
          <w:rFonts w:cs="Calibri"/>
          <w:bCs/>
          <w:i/>
        </w:rPr>
      </w:pPr>
      <w:r w:rsidRPr="00DA72A7">
        <w:rPr>
          <w:rFonts w:cs="Calibri"/>
          <w:bCs/>
          <w:i/>
        </w:rPr>
        <w:t>….</w:t>
      </w:r>
      <w:r w:rsidRPr="00DA72A7">
        <w:rPr>
          <w:rFonts w:cs="Calibri"/>
          <w:i/>
        </w:rPr>
        <w:t>”</w:t>
      </w:r>
    </w:p>
    <w:p w:rsidR="00A46EFD" w:rsidRPr="00A46EFD" w:rsidRDefault="00B54FCC" w:rsidP="00A46EFD">
      <w:pPr>
        <w:spacing w:line="360" w:lineRule="auto"/>
        <w:ind w:left="-426" w:firstLine="709"/>
        <w:jc w:val="both"/>
        <w:rPr>
          <w:rFonts w:ascii="Arial" w:hAnsi="Arial" w:cs="Arial"/>
          <w:sz w:val="26"/>
          <w:szCs w:val="26"/>
        </w:rPr>
      </w:pPr>
      <w:r>
        <w:rPr>
          <w:rFonts w:ascii="Arial" w:hAnsi="Arial" w:cs="Arial"/>
          <w:sz w:val="26"/>
          <w:szCs w:val="26"/>
        </w:rPr>
        <w:t xml:space="preserve">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 </w:t>
      </w:r>
    </w:p>
    <w:p w:rsidR="00B54FCC" w:rsidRPr="00A46EFD" w:rsidRDefault="00B54FCC" w:rsidP="00A46EFD">
      <w:pPr>
        <w:spacing w:after="240"/>
        <w:ind w:left="709" w:right="709"/>
        <w:jc w:val="both"/>
        <w:rPr>
          <w:rFonts w:ascii="Arial" w:hAnsi="Arial" w:cs="Arial"/>
        </w:rPr>
      </w:pPr>
      <w:r w:rsidRPr="00A46EFD">
        <w:rPr>
          <w:rFonts w:ascii="Arial" w:hAnsi="Arial" w:cs="Arial"/>
        </w:rPr>
        <w:t>“</w:t>
      </w:r>
      <w:r w:rsidRPr="00A46EFD">
        <w:rPr>
          <w:rFonts w:ascii="Arial" w:hAnsi="Arial" w:cs="Arial"/>
          <w:b/>
          <w:i/>
        </w:rPr>
        <w:t>AGRAVIOS. DEBEN DE IMPUGNAR LA ILEGALIDAD DEL FALLO RECURRIDO</w:t>
      </w:r>
      <w:r w:rsidRPr="00A46EFD">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A46EFD">
        <w:rPr>
          <w:rFonts w:ascii="Arial" w:hAnsi="Arial" w:cs="Arial"/>
        </w:rPr>
        <w:t xml:space="preserve">”. </w:t>
      </w:r>
    </w:p>
    <w:p w:rsidR="00B54FCC" w:rsidRDefault="00B54FCC" w:rsidP="0087426E">
      <w:pPr>
        <w:spacing w:line="360" w:lineRule="auto"/>
        <w:ind w:firstLine="708"/>
        <w:jc w:val="both"/>
        <w:rPr>
          <w:rFonts w:ascii="Arial" w:hAnsi="Arial" w:cs="Arial"/>
          <w:bCs/>
          <w:sz w:val="26"/>
          <w:szCs w:val="26"/>
        </w:rPr>
      </w:pPr>
      <w:r w:rsidRPr="00EF1C3E">
        <w:rPr>
          <w:rFonts w:ascii="Arial" w:hAnsi="Arial" w:cs="Arial"/>
          <w:bCs/>
          <w:sz w:val="26"/>
          <w:szCs w:val="26"/>
        </w:rPr>
        <w:t>Por tanto, al no controvertir</w:t>
      </w:r>
      <w:r>
        <w:rPr>
          <w:rFonts w:ascii="Arial" w:hAnsi="Arial" w:cs="Arial"/>
          <w:bCs/>
          <w:sz w:val="26"/>
          <w:szCs w:val="26"/>
        </w:rPr>
        <w:t>se</w:t>
      </w:r>
      <w:r w:rsidRPr="00EF1C3E">
        <w:rPr>
          <w:rFonts w:ascii="Arial" w:hAnsi="Arial" w:cs="Arial"/>
          <w:bCs/>
          <w:sz w:val="26"/>
          <w:szCs w:val="26"/>
        </w:rPr>
        <w:t xml:space="preserve"> la </w:t>
      </w:r>
      <w:r>
        <w:rPr>
          <w:rFonts w:ascii="Arial" w:hAnsi="Arial" w:cs="Arial"/>
          <w:sz w:val="26"/>
          <w:szCs w:val="26"/>
        </w:rPr>
        <w:t>resolución</w:t>
      </w:r>
      <w:r w:rsidR="0087426E">
        <w:rPr>
          <w:rFonts w:ascii="Arial" w:hAnsi="Arial" w:cs="Arial"/>
          <w:bCs/>
          <w:sz w:val="26"/>
          <w:szCs w:val="26"/>
        </w:rPr>
        <w:t xml:space="preserve"> recurrida es que </w:t>
      </w:r>
      <w:r w:rsidRPr="00EF1C3E">
        <w:rPr>
          <w:rFonts w:ascii="Arial" w:hAnsi="Arial" w:cs="Arial"/>
          <w:bCs/>
          <w:sz w:val="26"/>
          <w:szCs w:val="26"/>
        </w:rPr>
        <w:t xml:space="preserve">resultan </w:t>
      </w:r>
      <w:r w:rsidRPr="00787504">
        <w:rPr>
          <w:rFonts w:ascii="Arial" w:hAnsi="Arial" w:cs="Arial"/>
          <w:b/>
          <w:bCs/>
          <w:sz w:val="26"/>
          <w:szCs w:val="26"/>
        </w:rPr>
        <w:t>INOPERANTES</w:t>
      </w:r>
      <w:r>
        <w:rPr>
          <w:rFonts w:ascii="Arial" w:hAnsi="Arial" w:cs="Arial"/>
          <w:bCs/>
          <w:sz w:val="26"/>
          <w:szCs w:val="26"/>
        </w:rPr>
        <w:t xml:space="preserve"> los agravios expresados por el recurrente. </w:t>
      </w:r>
    </w:p>
    <w:p w:rsidR="00B54FCC" w:rsidRPr="00DD76F4" w:rsidRDefault="00B54FCC" w:rsidP="00A46EFD">
      <w:pPr>
        <w:spacing w:line="360" w:lineRule="auto"/>
        <w:ind w:right="-518" w:firstLine="708"/>
        <w:jc w:val="both"/>
        <w:rPr>
          <w:rFonts w:ascii="Arial" w:hAnsi="Arial" w:cs="Arial"/>
          <w:sz w:val="20"/>
          <w:szCs w:val="20"/>
        </w:rPr>
      </w:pPr>
      <w:r w:rsidRPr="00C503D7">
        <w:rPr>
          <w:rFonts w:ascii="Arial" w:hAnsi="Arial" w:cs="Arial"/>
          <w:sz w:val="26"/>
          <w:szCs w:val="26"/>
        </w:rPr>
        <w:t xml:space="preserve">Ante tal situación, </w:t>
      </w:r>
      <w:r>
        <w:rPr>
          <w:rFonts w:ascii="Arial" w:hAnsi="Arial" w:cs="Arial"/>
          <w:sz w:val="26"/>
          <w:szCs w:val="26"/>
        </w:rPr>
        <w:t>lo determinado por la Primera Instancia sigue rigiendo el sentido de la sentencia recurrida, porque la recurrente con sus manifestaciones no destruye esas consideraciones, lo que era menester que hiciera ya que fue precisamente en atención a ellas que el Magistrado de la Segunda Sala de Primera I</w:t>
      </w:r>
      <w:r w:rsidR="0087426E">
        <w:rPr>
          <w:rFonts w:ascii="Arial" w:hAnsi="Arial" w:cs="Arial"/>
          <w:sz w:val="26"/>
          <w:szCs w:val="26"/>
        </w:rPr>
        <w:t>nstancia declaró</w:t>
      </w:r>
      <w:r w:rsidRPr="00C503D7">
        <w:rPr>
          <w:rFonts w:ascii="Arial" w:hAnsi="Arial" w:cs="Arial"/>
          <w:sz w:val="26"/>
          <w:szCs w:val="26"/>
        </w:rPr>
        <w:t xml:space="preserve"> </w:t>
      </w:r>
      <w:r>
        <w:rPr>
          <w:rFonts w:ascii="Arial" w:hAnsi="Arial" w:cs="Arial"/>
          <w:sz w:val="26"/>
          <w:szCs w:val="26"/>
        </w:rPr>
        <w:t xml:space="preserve">la NULIDAD </w:t>
      </w:r>
      <w:r w:rsidRPr="00C503D7">
        <w:rPr>
          <w:rFonts w:ascii="Arial" w:hAnsi="Arial" w:cs="Arial"/>
          <w:sz w:val="26"/>
          <w:szCs w:val="26"/>
        </w:rPr>
        <w:t xml:space="preserve">del oficio </w:t>
      </w:r>
      <w:r w:rsidR="00E87F6D" w:rsidRPr="00E87F6D">
        <w:rPr>
          <w:rFonts w:ascii="Arial" w:hAnsi="Arial" w:cs="Arial"/>
          <w:b/>
          <w:sz w:val="26"/>
          <w:szCs w:val="26"/>
        </w:rPr>
        <w:t>**********</w:t>
      </w:r>
      <w:r w:rsidRPr="00E87F6D">
        <w:rPr>
          <w:rFonts w:ascii="Arial" w:hAnsi="Arial" w:cs="Arial"/>
          <w:b/>
          <w:sz w:val="26"/>
          <w:szCs w:val="26"/>
        </w:rPr>
        <w:t>,</w:t>
      </w:r>
      <w:r w:rsidRPr="00C503D7">
        <w:rPr>
          <w:rFonts w:ascii="Arial" w:hAnsi="Arial" w:cs="Arial"/>
          <w:sz w:val="26"/>
          <w:szCs w:val="26"/>
        </w:rPr>
        <w:t xml:space="preserve"> emitido por el Director General de la Oficina de Pensiones del Gobierno del Estado de Oaxaca, el dieci</w:t>
      </w:r>
      <w:r>
        <w:rPr>
          <w:rFonts w:ascii="Arial" w:hAnsi="Arial" w:cs="Arial"/>
          <w:sz w:val="26"/>
          <w:szCs w:val="26"/>
        </w:rPr>
        <w:t>nueve</w:t>
      </w:r>
      <w:r w:rsidRPr="00C503D7">
        <w:rPr>
          <w:rFonts w:ascii="Arial" w:hAnsi="Arial" w:cs="Arial"/>
          <w:sz w:val="26"/>
          <w:szCs w:val="26"/>
        </w:rPr>
        <w:t xml:space="preserve"> de </w:t>
      </w:r>
      <w:r>
        <w:rPr>
          <w:rFonts w:ascii="Arial" w:hAnsi="Arial" w:cs="Arial"/>
          <w:sz w:val="26"/>
          <w:szCs w:val="26"/>
        </w:rPr>
        <w:t>julio</w:t>
      </w:r>
      <w:r w:rsidRPr="00C503D7">
        <w:rPr>
          <w:rFonts w:ascii="Arial" w:hAnsi="Arial" w:cs="Arial"/>
          <w:sz w:val="26"/>
          <w:szCs w:val="26"/>
        </w:rPr>
        <w:t xml:space="preserve"> de dos mil dieciocho.</w:t>
      </w:r>
    </w:p>
    <w:p w:rsidR="00B54FCC" w:rsidRDefault="00B54FCC" w:rsidP="00A46EFD">
      <w:pPr>
        <w:spacing w:line="360" w:lineRule="auto"/>
        <w:ind w:right="-518" w:firstLine="708"/>
        <w:jc w:val="both"/>
        <w:rPr>
          <w:rFonts w:ascii="Arial" w:eastAsia="Times New Roman" w:hAnsi="Arial"/>
          <w:color w:val="000000"/>
          <w:sz w:val="26"/>
          <w:szCs w:val="26"/>
        </w:rPr>
      </w:pPr>
      <w:r>
        <w:rPr>
          <w:rFonts w:ascii="Arial" w:eastAsia="Times New Roman" w:hAnsi="Arial" w:cs="Arial"/>
          <w:color w:val="000000"/>
          <w:sz w:val="26"/>
          <w:szCs w:val="26"/>
        </w:rPr>
        <w:lastRenderedPageBreak/>
        <w:t xml:space="preserve">Sirve de sustento legal la Jurisprudencia de la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B54FCC" w:rsidRDefault="00B54FCC" w:rsidP="00B54FCC">
      <w:pPr>
        <w:ind w:left="709" w:right="709"/>
        <w:jc w:val="both"/>
        <w:rPr>
          <w:rFonts w:ascii="Arial" w:eastAsia="Times New Roman" w:hAnsi="Arial" w:cs="Arial"/>
          <w:b/>
          <w:color w:val="000000"/>
        </w:rPr>
      </w:pPr>
    </w:p>
    <w:p w:rsidR="00B54FCC" w:rsidRPr="003C6B4C" w:rsidRDefault="00B54FCC" w:rsidP="00A46EFD">
      <w:pPr>
        <w:spacing w:after="240" w:line="276" w:lineRule="auto"/>
        <w:ind w:left="709" w:right="709"/>
        <w:jc w:val="both"/>
        <w:rPr>
          <w:rFonts w:cstheme="minorHAnsi"/>
          <w:bCs/>
          <w:i/>
        </w:rPr>
      </w:pPr>
      <w:r w:rsidRPr="003C6B4C">
        <w:rPr>
          <w:rFonts w:eastAsia="Times New Roman" w:cstheme="minorHAnsi"/>
          <w:b/>
          <w:i/>
          <w:color w:val="000000"/>
        </w:rPr>
        <w:t xml:space="preserve">AGRAVIOS EN LA RECLAMACIÓN. SON INOPERANTES CUANDO NO CONTROVIERTEN LAS CONSIDERACIONES QUE RIGEN EL AUTO COMBATIDO. </w:t>
      </w:r>
      <w:r w:rsidRPr="003C6B4C">
        <w:rPr>
          <w:rFonts w:eastAsia="Times New Roman" w:cstheme="minorHAns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B54FCC" w:rsidRDefault="00B54FCC" w:rsidP="00A46EFD">
      <w:pPr>
        <w:spacing w:after="240" w:line="360" w:lineRule="auto"/>
        <w:ind w:firstLine="708"/>
        <w:jc w:val="both"/>
        <w:rPr>
          <w:rFonts w:ascii="Arial" w:hAnsi="Arial" w:cs="Arial"/>
          <w:bCs/>
          <w:sz w:val="26"/>
          <w:szCs w:val="26"/>
        </w:rPr>
      </w:pPr>
      <w:r>
        <w:rPr>
          <w:rFonts w:ascii="Arial" w:hAnsi="Arial" w:cs="Arial"/>
          <w:bCs/>
          <w:sz w:val="26"/>
          <w:szCs w:val="26"/>
        </w:rPr>
        <w:t xml:space="preserve">Por lo que, ante lo </w:t>
      </w:r>
      <w:r>
        <w:rPr>
          <w:rFonts w:ascii="Arial" w:hAnsi="Arial" w:cs="Arial"/>
          <w:b/>
          <w:bCs/>
          <w:sz w:val="26"/>
          <w:szCs w:val="26"/>
        </w:rPr>
        <w:t>I</w:t>
      </w:r>
      <w:r w:rsidRPr="00FA08E1">
        <w:rPr>
          <w:rFonts w:ascii="Arial" w:hAnsi="Arial" w:cs="Arial"/>
          <w:b/>
          <w:bCs/>
          <w:sz w:val="26"/>
          <w:szCs w:val="26"/>
        </w:rPr>
        <w:t>NOPERANTE</w:t>
      </w:r>
      <w:r>
        <w:rPr>
          <w:rFonts w:ascii="Arial" w:hAnsi="Arial" w:cs="Arial"/>
          <w:bCs/>
          <w:sz w:val="26"/>
          <w:szCs w:val="26"/>
        </w:rPr>
        <w:t xml:space="preserv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 recurrida.</w:t>
      </w:r>
    </w:p>
    <w:p w:rsidR="00B54FCC" w:rsidRDefault="00B54FCC" w:rsidP="00A46EFD">
      <w:pPr>
        <w:tabs>
          <w:tab w:val="left" w:pos="709"/>
        </w:tabs>
        <w:spacing w:after="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w:t>
      </w:r>
      <w:r>
        <w:rPr>
          <w:rFonts w:ascii="Arial" w:hAnsi="Arial" w:cs="Arial"/>
          <w:sz w:val="26"/>
          <w:szCs w:val="26"/>
        </w:rPr>
        <w:t>o, con apoyo en los artículos 23</w:t>
      </w:r>
      <w:r w:rsidRPr="008C1633">
        <w:rPr>
          <w:rFonts w:ascii="Arial" w:hAnsi="Arial" w:cs="Arial"/>
          <w:sz w:val="26"/>
          <w:szCs w:val="26"/>
        </w:rPr>
        <w:t>7 y 2</w:t>
      </w:r>
      <w:r>
        <w:rPr>
          <w:rFonts w:ascii="Arial" w:hAnsi="Arial" w:cs="Arial"/>
          <w:sz w:val="26"/>
          <w:szCs w:val="26"/>
        </w:rPr>
        <w:t>3</w:t>
      </w:r>
      <w:r w:rsidRPr="008C1633">
        <w:rPr>
          <w:rFonts w:ascii="Arial" w:hAnsi="Arial" w:cs="Arial"/>
          <w:sz w:val="26"/>
          <w:szCs w:val="26"/>
        </w:rPr>
        <w:t>8, de la Ley de</w:t>
      </w:r>
      <w:r>
        <w:rPr>
          <w:rFonts w:ascii="Arial" w:hAnsi="Arial" w:cs="Arial"/>
          <w:sz w:val="26"/>
          <w:szCs w:val="26"/>
        </w:rPr>
        <w:t xml:space="preserve"> Procedimiento y</w:t>
      </w:r>
      <w:r w:rsidRPr="008C1633">
        <w:rPr>
          <w:rFonts w:ascii="Arial" w:hAnsi="Arial" w:cs="Arial"/>
          <w:sz w:val="26"/>
          <w:szCs w:val="26"/>
        </w:rPr>
        <w:t xml:space="preserve"> Justicia Administrativa para el Estado, se:</w:t>
      </w:r>
    </w:p>
    <w:p w:rsidR="00B54FCC" w:rsidRPr="00423F1A" w:rsidRDefault="00B54FCC" w:rsidP="00A46EFD">
      <w:pPr>
        <w:tabs>
          <w:tab w:val="left" w:pos="1134"/>
        </w:tabs>
        <w:spacing w:after="240" w:line="360" w:lineRule="auto"/>
        <w:jc w:val="center"/>
        <w:rPr>
          <w:rFonts w:ascii="Arial" w:hAnsi="Arial" w:cs="Arial"/>
          <w:b/>
          <w:sz w:val="26"/>
          <w:szCs w:val="26"/>
        </w:rPr>
      </w:pPr>
      <w:r w:rsidRPr="00423F1A">
        <w:rPr>
          <w:rFonts w:ascii="Arial" w:hAnsi="Arial" w:cs="Arial"/>
          <w:b/>
          <w:sz w:val="26"/>
          <w:szCs w:val="26"/>
        </w:rPr>
        <w:t>R E S U E L V E</w:t>
      </w:r>
    </w:p>
    <w:p w:rsidR="00B54FCC" w:rsidRDefault="00B54FCC" w:rsidP="00A46EFD">
      <w:pPr>
        <w:spacing w:after="240" w:line="360" w:lineRule="auto"/>
        <w:ind w:left="-284"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w:t>
      </w:r>
      <w:r>
        <w:rPr>
          <w:rFonts w:ascii="Arial" w:hAnsi="Arial" w:cs="Arial"/>
          <w:sz w:val="26"/>
          <w:szCs w:val="26"/>
        </w:rPr>
        <w:t>-</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la sentencia recurrida, por las razones expuestas en el considerando que antecede.</w:t>
      </w:r>
    </w:p>
    <w:p w:rsidR="00B54FCC" w:rsidRDefault="00B54FCC" w:rsidP="00A46EFD">
      <w:pPr>
        <w:spacing w:before="240" w:line="360" w:lineRule="auto"/>
        <w:ind w:left="-284"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Pr>
          <w:rFonts w:ascii="Arial" w:hAnsi="Arial" w:cs="Arial"/>
          <w:sz w:val="26"/>
          <w:szCs w:val="26"/>
        </w:rPr>
        <w:t>.</w:t>
      </w:r>
    </w:p>
    <w:p w:rsidR="00B54FCC" w:rsidRPr="00745144" w:rsidRDefault="00B54FCC" w:rsidP="00B54FCC">
      <w:pPr>
        <w:pStyle w:val="corte4fondo"/>
        <w:spacing w:before="240"/>
        <w:ind w:left="-284" w:right="51" w:firstLine="710"/>
        <w:rPr>
          <w:rFonts w:eastAsia="Calibri"/>
          <w:sz w:val="26"/>
          <w:szCs w:val="26"/>
        </w:rPr>
      </w:pPr>
      <w:r w:rsidRPr="00745144">
        <w:rPr>
          <w:rFonts w:eastAsia="Calibri"/>
          <w:sz w:val="26"/>
          <w:szCs w:val="26"/>
        </w:rPr>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B54FCC" w:rsidRPr="00C10385" w:rsidRDefault="00B54FCC" w:rsidP="00B54FCC">
      <w:pPr>
        <w:spacing w:line="360" w:lineRule="auto"/>
        <w:rPr>
          <w:rFonts w:ascii="Arial" w:hAnsi="Arial" w:cs="Arial"/>
          <w:sz w:val="26"/>
          <w:szCs w:val="26"/>
          <w:lang w:val="es-ES_tradnl"/>
        </w:rPr>
      </w:pPr>
    </w:p>
    <w:p w:rsidR="00B54FCC" w:rsidRDefault="00B54FCC" w:rsidP="00B54FCC">
      <w:pPr>
        <w:spacing w:line="360" w:lineRule="auto"/>
        <w:rPr>
          <w:rFonts w:ascii="Arial" w:hAnsi="Arial" w:cs="Arial"/>
          <w:sz w:val="26"/>
          <w:szCs w:val="26"/>
        </w:rPr>
      </w:pPr>
    </w:p>
    <w:p w:rsidR="001F2F7E" w:rsidRDefault="001F2F7E" w:rsidP="00B54FCC">
      <w:pPr>
        <w:spacing w:line="360" w:lineRule="auto"/>
        <w:rPr>
          <w:rFonts w:ascii="Arial" w:hAnsi="Arial" w:cs="Arial"/>
          <w:sz w:val="26"/>
          <w:szCs w:val="26"/>
        </w:rPr>
      </w:pPr>
    </w:p>
    <w:p w:rsidR="00B54FCC" w:rsidRDefault="00B54FCC" w:rsidP="00B54FCC">
      <w:pPr>
        <w:spacing w:line="360" w:lineRule="auto"/>
        <w:rPr>
          <w:rFonts w:ascii="Arial" w:hAnsi="Arial" w:cs="Arial"/>
          <w:sz w:val="26"/>
          <w:szCs w:val="26"/>
        </w:rPr>
      </w:pPr>
    </w:p>
    <w:p w:rsidR="00B54FCC" w:rsidRDefault="00B54FCC" w:rsidP="00B54FCC">
      <w:pPr>
        <w:spacing w:line="360" w:lineRule="auto"/>
        <w:rPr>
          <w:rFonts w:ascii="Arial" w:hAnsi="Arial" w:cs="Arial"/>
          <w:sz w:val="26"/>
          <w:szCs w:val="26"/>
        </w:rPr>
      </w:pPr>
    </w:p>
    <w:p w:rsidR="00B54FCC" w:rsidRDefault="00B54FCC" w:rsidP="00B54FCC">
      <w:pPr>
        <w:jc w:val="center"/>
        <w:rPr>
          <w:rFonts w:ascii="Arial" w:eastAsia="Calibri" w:hAnsi="Arial" w:cs="Arial"/>
          <w:sz w:val="26"/>
          <w:szCs w:val="26"/>
        </w:rPr>
      </w:pPr>
      <w:r>
        <w:rPr>
          <w:rFonts w:ascii="Arial" w:eastAsia="Calibri" w:hAnsi="Arial" w:cs="Arial"/>
          <w:sz w:val="26"/>
          <w:szCs w:val="26"/>
        </w:rPr>
        <w:t>MAGISTRADA MARÍA ELENA VILLA DE JARQUÍN</w:t>
      </w:r>
    </w:p>
    <w:p w:rsidR="00B54FCC" w:rsidRDefault="00B54FCC" w:rsidP="00B54FCC">
      <w:pPr>
        <w:jc w:val="center"/>
        <w:rPr>
          <w:rFonts w:ascii="Arial" w:eastAsia="Calibri" w:hAnsi="Arial" w:cs="Arial"/>
          <w:sz w:val="26"/>
          <w:szCs w:val="26"/>
        </w:rPr>
      </w:pPr>
      <w:r>
        <w:rPr>
          <w:rFonts w:ascii="Arial" w:eastAsia="Calibri" w:hAnsi="Arial" w:cs="Arial"/>
          <w:sz w:val="26"/>
          <w:szCs w:val="26"/>
        </w:rPr>
        <w:t xml:space="preserve">PRESIDENTA </w:t>
      </w:r>
    </w:p>
    <w:p w:rsidR="00B54FCC" w:rsidRPr="009803CF" w:rsidRDefault="00B54FCC" w:rsidP="00B54FCC">
      <w:pPr>
        <w:spacing w:line="360" w:lineRule="auto"/>
        <w:rPr>
          <w:rFonts w:ascii="Arial" w:eastAsiaTheme="minorEastAsia" w:hAnsi="Arial" w:cs="Arial"/>
          <w:sz w:val="26"/>
          <w:szCs w:val="26"/>
          <w:lang w:eastAsia="es-MX"/>
        </w:rPr>
      </w:pPr>
    </w:p>
    <w:p w:rsidR="00B54FCC" w:rsidRDefault="00B54FCC" w:rsidP="00B54FCC">
      <w:pPr>
        <w:spacing w:line="360" w:lineRule="auto"/>
        <w:rPr>
          <w:rFonts w:ascii="Arial" w:eastAsiaTheme="minorEastAsia" w:hAnsi="Arial" w:cs="Arial"/>
          <w:sz w:val="26"/>
          <w:szCs w:val="26"/>
          <w:lang w:eastAsia="es-MX"/>
        </w:rPr>
      </w:pPr>
    </w:p>
    <w:p w:rsidR="00B54FCC" w:rsidRDefault="00B54FCC" w:rsidP="00B54FCC">
      <w:pPr>
        <w:spacing w:line="360" w:lineRule="auto"/>
        <w:rPr>
          <w:rFonts w:ascii="Arial" w:eastAsiaTheme="minorEastAsia" w:hAnsi="Arial" w:cs="Arial"/>
          <w:sz w:val="26"/>
          <w:szCs w:val="26"/>
          <w:lang w:eastAsia="es-MX"/>
        </w:rPr>
      </w:pPr>
    </w:p>
    <w:p w:rsidR="00B54FCC" w:rsidRDefault="00B54FCC" w:rsidP="00B54FCC">
      <w:pPr>
        <w:spacing w:line="360" w:lineRule="auto"/>
        <w:rPr>
          <w:rFonts w:ascii="Arial" w:eastAsiaTheme="minorEastAsia" w:hAnsi="Arial" w:cs="Arial"/>
          <w:sz w:val="26"/>
          <w:szCs w:val="26"/>
          <w:lang w:eastAsia="es-MX"/>
        </w:rPr>
      </w:pPr>
    </w:p>
    <w:p w:rsidR="00B54FCC" w:rsidRDefault="00B54FCC" w:rsidP="00B54FCC">
      <w:pPr>
        <w:spacing w:line="360" w:lineRule="auto"/>
        <w:rPr>
          <w:rFonts w:ascii="Arial" w:eastAsiaTheme="minorEastAsia" w:hAnsi="Arial" w:cs="Arial"/>
          <w:sz w:val="26"/>
          <w:szCs w:val="26"/>
          <w:lang w:eastAsia="es-MX"/>
        </w:rPr>
      </w:pPr>
    </w:p>
    <w:p w:rsidR="00B54FCC" w:rsidRPr="00B466B9" w:rsidRDefault="00B54FCC" w:rsidP="00B54FCC">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B54FCC" w:rsidRDefault="00B54FCC" w:rsidP="00B54FCC">
      <w:pPr>
        <w:spacing w:line="360" w:lineRule="auto"/>
        <w:rPr>
          <w:rFonts w:ascii="Arial" w:eastAsia="Calibri" w:hAnsi="Arial" w:cs="Arial"/>
          <w:sz w:val="26"/>
          <w:szCs w:val="26"/>
        </w:rPr>
      </w:pPr>
    </w:p>
    <w:p w:rsidR="00B54FCC" w:rsidRDefault="00B54FCC" w:rsidP="00B54FCC">
      <w:pPr>
        <w:spacing w:line="360" w:lineRule="auto"/>
        <w:rPr>
          <w:rFonts w:ascii="Arial" w:eastAsia="Calibri" w:hAnsi="Arial" w:cs="Arial"/>
          <w:sz w:val="26"/>
          <w:szCs w:val="26"/>
        </w:rPr>
      </w:pPr>
    </w:p>
    <w:p w:rsidR="00B54FCC" w:rsidRDefault="00B54FCC" w:rsidP="00B54FCC">
      <w:pPr>
        <w:spacing w:line="360" w:lineRule="auto"/>
        <w:rPr>
          <w:rFonts w:ascii="Arial" w:eastAsia="Calibri" w:hAnsi="Arial" w:cs="Arial"/>
          <w:sz w:val="26"/>
          <w:szCs w:val="26"/>
        </w:rPr>
      </w:pPr>
    </w:p>
    <w:p w:rsidR="00E729F9" w:rsidRDefault="00E729F9" w:rsidP="00B54FCC">
      <w:pPr>
        <w:spacing w:line="360" w:lineRule="auto"/>
        <w:rPr>
          <w:rFonts w:ascii="Arial" w:eastAsia="Calibri" w:hAnsi="Arial" w:cs="Arial"/>
          <w:sz w:val="26"/>
          <w:szCs w:val="26"/>
        </w:rPr>
      </w:pPr>
    </w:p>
    <w:p w:rsidR="001F2F7E" w:rsidRDefault="001F2F7E" w:rsidP="00B54FCC">
      <w:pPr>
        <w:spacing w:line="360" w:lineRule="auto"/>
        <w:rPr>
          <w:rFonts w:ascii="Arial" w:eastAsia="Calibri" w:hAnsi="Arial" w:cs="Arial"/>
          <w:sz w:val="26"/>
          <w:szCs w:val="26"/>
        </w:rPr>
      </w:pPr>
    </w:p>
    <w:p w:rsidR="00B54FCC" w:rsidRDefault="00B54FCC" w:rsidP="00B54FCC">
      <w:pPr>
        <w:tabs>
          <w:tab w:val="center" w:pos="4135"/>
          <w:tab w:val="left" w:pos="7515"/>
        </w:tabs>
        <w:spacing w:line="360" w:lineRule="auto"/>
        <w:jc w:val="center"/>
        <w:rPr>
          <w:rFonts w:ascii="Arial" w:hAnsi="Arial" w:cs="Arial"/>
          <w:sz w:val="26"/>
          <w:szCs w:val="26"/>
        </w:rPr>
      </w:pPr>
    </w:p>
    <w:p w:rsidR="00B54FCC" w:rsidRDefault="00B54FCC" w:rsidP="00B54FCC">
      <w:pPr>
        <w:jc w:val="center"/>
        <w:rPr>
          <w:rFonts w:ascii="Arial" w:hAnsi="Arial" w:cs="Arial"/>
          <w:sz w:val="26"/>
          <w:szCs w:val="26"/>
        </w:rPr>
      </w:pPr>
      <w:r>
        <w:rPr>
          <w:rFonts w:ascii="Arial" w:hAnsi="Arial" w:cs="Arial"/>
          <w:sz w:val="26"/>
          <w:szCs w:val="26"/>
        </w:rPr>
        <w:t>MAGISTRADO RAÚL PALOMARES PALOMINO</w:t>
      </w:r>
    </w:p>
    <w:p w:rsidR="00B54FCC" w:rsidRDefault="00B54FCC" w:rsidP="00B54FCC">
      <w:pPr>
        <w:jc w:val="center"/>
        <w:rPr>
          <w:rFonts w:ascii="Arial" w:hAnsi="Arial" w:cs="Arial"/>
          <w:sz w:val="26"/>
          <w:szCs w:val="26"/>
        </w:rPr>
      </w:pPr>
    </w:p>
    <w:p w:rsidR="00B54FCC" w:rsidRDefault="00B54FCC" w:rsidP="00B54FCC">
      <w:pPr>
        <w:jc w:val="center"/>
        <w:rPr>
          <w:rFonts w:ascii="Arial" w:hAnsi="Arial" w:cs="Arial"/>
          <w:sz w:val="26"/>
          <w:szCs w:val="26"/>
        </w:rPr>
      </w:pPr>
    </w:p>
    <w:p w:rsidR="00B54FCC" w:rsidRDefault="00B54FCC" w:rsidP="00B54FCC">
      <w:pPr>
        <w:jc w:val="center"/>
        <w:rPr>
          <w:rFonts w:ascii="Arial" w:hAnsi="Arial" w:cs="Arial"/>
          <w:sz w:val="26"/>
          <w:szCs w:val="26"/>
        </w:rPr>
      </w:pPr>
    </w:p>
    <w:p w:rsidR="00B54FCC" w:rsidRDefault="00B54FCC" w:rsidP="00B54FCC">
      <w:pPr>
        <w:jc w:val="center"/>
        <w:rPr>
          <w:rFonts w:ascii="Arial" w:hAnsi="Arial" w:cs="Arial"/>
          <w:sz w:val="26"/>
          <w:szCs w:val="26"/>
        </w:rPr>
      </w:pPr>
    </w:p>
    <w:p w:rsidR="00B54FCC" w:rsidRDefault="00B54FCC" w:rsidP="001F2F7E">
      <w:pPr>
        <w:rPr>
          <w:rFonts w:ascii="Arial" w:hAnsi="Arial" w:cs="Arial"/>
          <w:sz w:val="26"/>
          <w:szCs w:val="26"/>
        </w:rPr>
      </w:pPr>
    </w:p>
    <w:p w:rsidR="00E729F9" w:rsidRDefault="00E729F9" w:rsidP="00B54FCC">
      <w:pPr>
        <w:jc w:val="center"/>
        <w:rPr>
          <w:rFonts w:ascii="Arial" w:hAnsi="Arial" w:cs="Arial"/>
          <w:sz w:val="26"/>
          <w:szCs w:val="26"/>
        </w:rPr>
      </w:pPr>
    </w:p>
    <w:p w:rsidR="00B54FCC" w:rsidRDefault="00B54FCC" w:rsidP="00B54FCC">
      <w:pPr>
        <w:jc w:val="center"/>
        <w:rPr>
          <w:rFonts w:ascii="Arial" w:hAnsi="Arial" w:cs="Arial"/>
          <w:sz w:val="26"/>
          <w:szCs w:val="26"/>
        </w:rPr>
      </w:pPr>
    </w:p>
    <w:p w:rsidR="001F2F7E" w:rsidRDefault="001F2F7E" w:rsidP="00B54FCC">
      <w:pPr>
        <w:jc w:val="center"/>
        <w:rPr>
          <w:rFonts w:ascii="Arial" w:hAnsi="Arial" w:cs="Arial"/>
          <w:sz w:val="26"/>
          <w:szCs w:val="26"/>
        </w:rPr>
      </w:pPr>
    </w:p>
    <w:p w:rsidR="00B54FCC" w:rsidRDefault="00B54FCC" w:rsidP="00B54FCC">
      <w:pPr>
        <w:tabs>
          <w:tab w:val="center" w:pos="4135"/>
          <w:tab w:val="left" w:pos="7515"/>
        </w:tabs>
        <w:spacing w:line="360" w:lineRule="auto"/>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A46EFD" w:rsidRDefault="00A46EFD" w:rsidP="00A46EFD">
      <w:pPr>
        <w:ind w:left="1" w:hanging="3"/>
        <w:jc w:val="center"/>
        <w:rPr>
          <w:rFonts w:ascii="Arial" w:hAnsi="Arial" w:cs="Arial"/>
          <w:sz w:val="26"/>
          <w:szCs w:val="26"/>
        </w:rPr>
      </w:pPr>
    </w:p>
    <w:p w:rsidR="001F2F7E" w:rsidRDefault="001F2F7E" w:rsidP="00A46EFD">
      <w:pPr>
        <w:ind w:left="1" w:hanging="3"/>
        <w:jc w:val="center"/>
        <w:rPr>
          <w:rFonts w:ascii="Arial" w:hAnsi="Arial" w:cs="Arial"/>
          <w:b/>
          <w:sz w:val="14"/>
          <w:szCs w:val="26"/>
        </w:rPr>
      </w:pPr>
    </w:p>
    <w:p w:rsidR="00A46EFD" w:rsidRDefault="00A46EFD" w:rsidP="00A46EFD">
      <w:pPr>
        <w:ind w:left="1" w:hanging="3"/>
        <w:jc w:val="center"/>
        <w:rPr>
          <w:rFonts w:ascii="Arial" w:hAnsi="Arial" w:cs="Arial"/>
          <w:sz w:val="26"/>
          <w:szCs w:val="26"/>
        </w:rPr>
      </w:pPr>
      <w:r>
        <w:rPr>
          <w:rFonts w:ascii="Arial" w:hAnsi="Arial" w:cs="Arial"/>
          <w:b/>
          <w:sz w:val="14"/>
          <w:szCs w:val="26"/>
        </w:rPr>
        <w:t>LAS PRESENTES FIRMAS CORRESPONDEN AL RECURSO DE REVISIÓN 210/2019</w:t>
      </w:r>
    </w:p>
    <w:p w:rsidR="00B54FCC" w:rsidRDefault="00B54FCC" w:rsidP="00B54FCC">
      <w:pPr>
        <w:tabs>
          <w:tab w:val="left" w:pos="1680"/>
          <w:tab w:val="center" w:pos="4277"/>
        </w:tabs>
        <w:spacing w:line="360" w:lineRule="auto"/>
        <w:jc w:val="center"/>
        <w:rPr>
          <w:rFonts w:ascii="Arial" w:hAnsi="Arial" w:cs="Arial"/>
          <w:sz w:val="26"/>
          <w:szCs w:val="26"/>
        </w:rPr>
      </w:pPr>
    </w:p>
    <w:p w:rsidR="00A46EFD" w:rsidRDefault="00A46EFD" w:rsidP="00B54FCC">
      <w:pPr>
        <w:tabs>
          <w:tab w:val="left" w:pos="1680"/>
          <w:tab w:val="center" w:pos="4277"/>
        </w:tabs>
        <w:spacing w:line="360" w:lineRule="auto"/>
        <w:jc w:val="center"/>
        <w:rPr>
          <w:rFonts w:ascii="Arial" w:hAnsi="Arial" w:cs="Arial"/>
          <w:sz w:val="26"/>
          <w:szCs w:val="26"/>
        </w:rPr>
      </w:pPr>
    </w:p>
    <w:p w:rsidR="00A46EFD" w:rsidRDefault="00A46EFD" w:rsidP="00B54FCC">
      <w:pPr>
        <w:tabs>
          <w:tab w:val="left" w:pos="1680"/>
          <w:tab w:val="center" w:pos="4277"/>
        </w:tabs>
        <w:spacing w:line="360" w:lineRule="auto"/>
        <w:jc w:val="center"/>
        <w:rPr>
          <w:rFonts w:ascii="Arial" w:hAnsi="Arial" w:cs="Arial"/>
          <w:sz w:val="26"/>
          <w:szCs w:val="26"/>
        </w:rPr>
      </w:pPr>
    </w:p>
    <w:p w:rsidR="00A46EFD" w:rsidRDefault="00A46EFD" w:rsidP="00B54FCC">
      <w:pPr>
        <w:tabs>
          <w:tab w:val="left" w:pos="1680"/>
          <w:tab w:val="center" w:pos="4277"/>
        </w:tabs>
        <w:spacing w:line="360" w:lineRule="auto"/>
        <w:jc w:val="center"/>
        <w:rPr>
          <w:rFonts w:ascii="Arial" w:hAnsi="Arial" w:cs="Arial"/>
          <w:sz w:val="26"/>
          <w:szCs w:val="26"/>
        </w:rPr>
      </w:pPr>
    </w:p>
    <w:p w:rsidR="00A46EFD" w:rsidRDefault="00A46EFD"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tabs>
          <w:tab w:val="left" w:pos="1680"/>
          <w:tab w:val="center" w:pos="4277"/>
        </w:tabs>
        <w:spacing w:line="360" w:lineRule="auto"/>
        <w:jc w:val="center"/>
        <w:rPr>
          <w:rFonts w:ascii="Arial" w:hAnsi="Arial" w:cs="Arial"/>
          <w:sz w:val="26"/>
          <w:szCs w:val="26"/>
        </w:rPr>
      </w:pPr>
    </w:p>
    <w:p w:rsidR="00B54FCC" w:rsidRDefault="00B54FCC" w:rsidP="00B54FCC">
      <w:pPr>
        <w:jc w:val="center"/>
        <w:rPr>
          <w:rFonts w:ascii="Arial" w:hAnsi="Arial" w:cs="Arial"/>
          <w:sz w:val="26"/>
          <w:szCs w:val="26"/>
        </w:rPr>
      </w:pPr>
    </w:p>
    <w:p w:rsidR="00B54FCC" w:rsidRPr="00ED4360" w:rsidRDefault="00B54FCC" w:rsidP="00B54FCC">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B54FCC" w:rsidRPr="00ED4360" w:rsidRDefault="00B54FCC" w:rsidP="00B54FCC">
      <w:pPr>
        <w:pStyle w:val="Sinespaciado"/>
        <w:jc w:val="center"/>
        <w:rPr>
          <w:rFonts w:ascii="Arial" w:hAnsi="Arial" w:cs="Arial"/>
          <w:sz w:val="26"/>
          <w:szCs w:val="26"/>
        </w:rPr>
      </w:pPr>
      <w:r w:rsidRPr="00ED4360">
        <w:rPr>
          <w:rFonts w:ascii="Arial" w:hAnsi="Arial" w:cs="Arial"/>
          <w:sz w:val="26"/>
          <w:szCs w:val="26"/>
        </w:rPr>
        <w:t>SECRETARIA GENERAL DE ACUERDOS</w:t>
      </w:r>
    </w:p>
    <w:p w:rsidR="00B54FCC" w:rsidRDefault="00B54FCC" w:rsidP="00B54FCC">
      <w:pPr>
        <w:pStyle w:val="Sinespaciado"/>
        <w:jc w:val="center"/>
        <w:rPr>
          <w:rFonts w:ascii="Arial" w:hAnsi="Arial" w:cs="Arial"/>
          <w:sz w:val="26"/>
          <w:szCs w:val="26"/>
        </w:rPr>
      </w:pPr>
    </w:p>
    <w:p w:rsidR="00B54FCC" w:rsidRPr="00ED4360" w:rsidRDefault="00B54FCC" w:rsidP="00B54FCC">
      <w:pPr>
        <w:pStyle w:val="Sinespaciado"/>
        <w:jc w:val="center"/>
        <w:rPr>
          <w:rFonts w:ascii="Arial" w:hAnsi="Arial" w:cs="Arial"/>
          <w:sz w:val="26"/>
          <w:szCs w:val="26"/>
        </w:rPr>
      </w:pPr>
    </w:p>
    <w:p w:rsidR="00B54FCC" w:rsidRDefault="00B54FCC" w:rsidP="00B54FCC">
      <w:pPr>
        <w:jc w:val="center"/>
        <w:rPr>
          <w:sz w:val="26"/>
          <w:szCs w:val="26"/>
        </w:rPr>
      </w:pPr>
    </w:p>
    <w:p w:rsidR="00B54FCC" w:rsidRPr="002226BD" w:rsidRDefault="00B54FCC" w:rsidP="00B54FCC">
      <w:pPr>
        <w:spacing w:line="360" w:lineRule="auto"/>
        <w:ind w:left="-284" w:firstLine="708"/>
        <w:jc w:val="both"/>
        <w:rPr>
          <w:rFonts w:ascii="Arial" w:hAnsi="Arial" w:cs="Arial"/>
          <w:sz w:val="26"/>
          <w:szCs w:val="26"/>
        </w:rPr>
      </w:pPr>
    </w:p>
    <w:p w:rsidR="00B54FCC" w:rsidRDefault="00B54FCC" w:rsidP="00B54FCC">
      <w:pPr>
        <w:ind w:left="1" w:hanging="3"/>
        <w:jc w:val="center"/>
        <w:rPr>
          <w:rFonts w:ascii="Arial" w:hAnsi="Arial" w:cs="Arial"/>
          <w:b/>
          <w:sz w:val="14"/>
          <w:szCs w:val="26"/>
        </w:rPr>
      </w:pPr>
    </w:p>
    <w:p w:rsidR="006B5907" w:rsidRPr="00B54FCC" w:rsidRDefault="006B5907" w:rsidP="00B54FCC"/>
    <w:sectPr w:rsidR="006B5907" w:rsidRPr="00B54FCC" w:rsidSect="00AA66B6">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327" w:rsidRDefault="00310327" w:rsidP="0086324C">
      <w:r>
        <w:separator/>
      </w:r>
    </w:p>
  </w:endnote>
  <w:endnote w:type="continuationSeparator" w:id="0">
    <w:p w:rsidR="00310327" w:rsidRDefault="00310327"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327" w:rsidRDefault="00310327" w:rsidP="0086324C">
      <w:r>
        <w:separator/>
      </w:r>
    </w:p>
  </w:footnote>
  <w:footnote w:type="continuationSeparator" w:id="0">
    <w:p w:rsidR="00310327" w:rsidRDefault="00310327"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3380498"/>
      <w:docPartObj>
        <w:docPartGallery w:val="Page Numbers (Top of Page)"/>
        <w:docPartUnique/>
      </w:docPartObj>
    </w:sdtPr>
    <w:sdtEndPr/>
    <w:sdtContent>
      <w:p w:rsidR="005A0041" w:rsidRDefault="005A0041">
        <w:pPr>
          <w:pStyle w:val="Encabezado"/>
          <w:jc w:val="center"/>
        </w:pPr>
        <w:r>
          <w:fldChar w:fldCharType="begin"/>
        </w:r>
        <w:r>
          <w:instrText>PAGE   \* MERGEFORMAT</w:instrText>
        </w:r>
        <w:r>
          <w:fldChar w:fldCharType="separate"/>
        </w:r>
        <w:r w:rsidR="008804AC">
          <w:rPr>
            <w:noProof/>
          </w:rPr>
          <w:t>10</w:t>
        </w:r>
        <w:r>
          <w:fldChar w:fldCharType="end"/>
        </w:r>
      </w:p>
    </w:sdtContent>
  </w:sdt>
  <w:p w:rsidR="005A0041" w:rsidRDefault="005A004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248699"/>
      <w:docPartObj>
        <w:docPartGallery w:val="Page Numbers (Top of Page)"/>
        <w:docPartUnique/>
      </w:docPartObj>
    </w:sdtPr>
    <w:sdtEndPr/>
    <w:sdtContent>
      <w:p w:rsidR="005A0041" w:rsidRDefault="005A0041" w:rsidP="005A0041">
        <w:pPr>
          <w:pStyle w:val="Encabezado"/>
          <w:jc w:val="center"/>
          <w:rPr>
            <w:noProof/>
          </w:rPr>
        </w:pPr>
        <w:r>
          <w:fldChar w:fldCharType="begin"/>
        </w:r>
        <w:r>
          <w:instrText xml:space="preserve"> PAGE   \* MERGEFORMAT </w:instrText>
        </w:r>
        <w:r>
          <w:fldChar w:fldCharType="separate"/>
        </w:r>
        <w:r w:rsidR="008804AC">
          <w:rPr>
            <w:noProof/>
          </w:rPr>
          <w:t>9</w:t>
        </w:r>
        <w:r>
          <w:rPr>
            <w:noProof/>
          </w:rPr>
          <w:fldChar w:fldCharType="end"/>
        </w:r>
      </w:p>
      <w:p w:rsidR="005A0041" w:rsidRDefault="00310327" w:rsidP="005A0041">
        <w:pPr>
          <w:pStyle w:val="Encabezado"/>
          <w:jc w:val="center"/>
        </w:pPr>
      </w:p>
    </w:sdtContent>
  </w:sdt>
  <w:p w:rsidR="009D5178" w:rsidRDefault="00112FCD" w:rsidP="00112FCD">
    <w:pPr>
      <w:pStyle w:val="Encabezado"/>
      <w:tabs>
        <w:tab w:val="clear" w:pos="4252"/>
        <w:tab w:val="clear" w:pos="8504"/>
        <w:tab w:val="left" w:pos="142"/>
        <w:tab w:val="left" w:pos="6375"/>
      </w:tabs>
      <w:ind w:left="284"/>
      <w:rPr>
        <w:noProof/>
        <w:lang w:val="es-MX" w:eastAsia="es-MX"/>
      </w:rPr>
    </w:pPr>
    <w:r>
      <w:rPr>
        <w:noProof/>
        <w:lang w:val="es-MX" w:eastAsia="es-MX"/>
      </w:rPr>
      <w:tab/>
    </w:r>
  </w:p>
  <w:p w:rsidR="005A0041" w:rsidRDefault="00112FCD" w:rsidP="005A0041">
    <w:pPr>
      <w:pStyle w:val="Encabezado"/>
      <w:tabs>
        <w:tab w:val="left" w:pos="142"/>
      </w:tabs>
      <w:ind w:left="284"/>
    </w:pPr>
    <w:r w:rsidRPr="003E6AD7">
      <w:rPr>
        <w:noProof/>
        <w:lang w:val="es-MX" w:eastAsia="es-MX"/>
      </w:rPr>
      <w:drawing>
        <wp:anchor distT="0" distB="0" distL="114300" distR="114300" simplePos="0" relativeHeight="251657216" behindDoc="0" locked="0" layoutInCell="1" allowOverlap="1" wp14:anchorId="0B9564B8" wp14:editId="7D459692">
          <wp:simplePos x="0" y="0"/>
          <wp:positionH relativeFrom="page">
            <wp:posOffset>256540</wp:posOffset>
          </wp:positionH>
          <wp:positionV relativeFrom="paragraph">
            <wp:posOffset>2913380</wp:posOffset>
          </wp:positionV>
          <wp:extent cx="1133475" cy="987448"/>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5178">
      <w:rPr>
        <w:noProof/>
        <w:lang w:val="es-MX" w:eastAsia="es-MX"/>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261531AC"/>
    <w:multiLevelType w:val="hybridMultilevel"/>
    <w:tmpl w:val="0E008988"/>
    <w:lvl w:ilvl="0" w:tplc="B69AC1E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77792E11"/>
    <w:multiLevelType w:val="hybridMultilevel"/>
    <w:tmpl w:val="E766B0DA"/>
    <w:lvl w:ilvl="0" w:tplc="2F8C9BD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24C"/>
    <w:rsid w:val="0000291B"/>
    <w:rsid w:val="00002D1B"/>
    <w:rsid w:val="0000639F"/>
    <w:rsid w:val="00010E72"/>
    <w:rsid w:val="0001511C"/>
    <w:rsid w:val="00023AE0"/>
    <w:rsid w:val="000356B8"/>
    <w:rsid w:val="00036E58"/>
    <w:rsid w:val="0003721D"/>
    <w:rsid w:val="000403C3"/>
    <w:rsid w:val="00041685"/>
    <w:rsid w:val="000419E2"/>
    <w:rsid w:val="000435C3"/>
    <w:rsid w:val="00044986"/>
    <w:rsid w:val="00052F68"/>
    <w:rsid w:val="000634AD"/>
    <w:rsid w:val="00063ECC"/>
    <w:rsid w:val="00065139"/>
    <w:rsid w:val="00066584"/>
    <w:rsid w:val="000735CD"/>
    <w:rsid w:val="00073CE2"/>
    <w:rsid w:val="000761BA"/>
    <w:rsid w:val="00083430"/>
    <w:rsid w:val="0008646E"/>
    <w:rsid w:val="0009043C"/>
    <w:rsid w:val="000912F2"/>
    <w:rsid w:val="00093AD2"/>
    <w:rsid w:val="000A6001"/>
    <w:rsid w:val="000B0C12"/>
    <w:rsid w:val="000C2693"/>
    <w:rsid w:val="000C683C"/>
    <w:rsid w:val="000C6957"/>
    <w:rsid w:val="000D2E73"/>
    <w:rsid w:val="000D4AB5"/>
    <w:rsid w:val="000F7460"/>
    <w:rsid w:val="001008B4"/>
    <w:rsid w:val="00100A52"/>
    <w:rsid w:val="00103F85"/>
    <w:rsid w:val="0010570A"/>
    <w:rsid w:val="00110B0E"/>
    <w:rsid w:val="001117B6"/>
    <w:rsid w:val="00112FCD"/>
    <w:rsid w:val="0011471B"/>
    <w:rsid w:val="00120984"/>
    <w:rsid w:val="00123EC2"/>
    <w:rsid w:val="001314F2"/>
    <w:rsid w:val="00142B33"/>
    <w:rsid w:val="001437EF"/>
    <w:rsid w:val="00151011"/>
    <w:rsid w:val="00153114"/>
    <w:rsid w:val="00154A2A"/>
    <w:rsid w:val="001559BF"/>
    <w:rsid w:val="001617BC"/>
    <w:rsid w:val="00161C6A"/>
    <w:rsid w:val="0017342C"/>
    <w:rsid w:val="00176019"/>
    <w:rsid w:val="00176F42"/>
    <w:rsid w:val="001772E5"/>
    <w:rsid w:val="00195B00"/>
    <w:rsid w:val="001A0584"/>
    <w:rsid w:val="001A55C0"/>
    <w:rsid w:val="001B054F"/>
    <w:rsid w:val="001B3A16"/>
    <w:rsid w:val="001B6799"/>
    <w:rsid w:val="001B720E"/>
    <w:rsid w:val="001B72FC"/>
    <w:rsid w:val="001C7823"/>
    <w:rsid w:val="001D492F"/>
    <w:rsid w:val="001D7457"/>
    <w:rsid w:val="001E7EA9"/>
    <w:rsid w:val="001F2F7E"/>
    <w:rsid w:val="001F5A97"/>
    <w:rsid w:val="001F7789"/>
    <w:rsid w:val="0020469D"/>
    <w:rsid w:val="002226BD"/>
    <w:rsid w:val="00226DC2"/>
    <w:rsid w:val="00232E82"/>
    <w:rsid w:val="00233D05"/>
    <w:rsid w:val="002433FF"/>
    <w:rsid w:val="00244927"/>
    <w:rsid w:val="0024547A"/>
    <w:rsid w:val="00246FE5"/>
    <w:rsid w:val="00262CFF"/>
    <w:rsid w:val="00262DE6"/>
    <w:rsid w:val="00263CE0"/>
    <w:rsid w:val="00265C24"/>
    <w:rsid w:val="00265E96"/>
    <w:rsid w:val="00266BA6"/>
    <w:rsid w:val="00267AB6"/>
    <w:rsid w:val="00282A4C"/>
    <w:rsid w:val="00285A26"/>
    <w:rsid w:val="00286425"/>
    <w:rsid w:val="00293AC9"/>
    <w:rsid w:val="002946FD"/>
    <w:rsid w:val="002947C2"/>
    <w:rsid w:val="002A4A28"/>
    <w:rsid w:val="002A56E7"/>
    <w:rsid w:val="002A6E97"/>
    <w:rsid w:val="002B733C"/>
    <w:rsid w:val="002C05DE"/>
    <w:rsid w:val="002C106D"/>
    <w:rsid w:val="002C6022"/>
    <w:rsid w:val="002C6BD4"/>
    <w:rsid w:val="002D767A"/>
    <w:rsid w:val="002E09D5"/>
    <w:rsid w:val="002E3019"/>
    <w:rsid w:val="002E4046"/>
    <w:rsid w:val="002F76DA"/>
    <w:rsid w:val="003013F5"/>
    <w:rsid w:val="0030320B"/>
    <w:rsid w:val="003066B8"/>
    <w:rsid w:val="003074FB"/>
    <w:rsid w:val="00310327"/>
    <w:rsid w:val="00312807"/>
    <w:rsid w:val="00315FF5"/>
    <w:rsid w:val="00322F0A"/>
    <w:rsid w:val="00327112"/>
    <w:rsid w:val="003373D0"/>
    <w:rsid w:val="003453F7"/>
    <w:rsid w:val="00345682"/>
    <w:rsid w:val="00347458"/>
    <w:rsid w:val="00351FFD"/>
    <w:rsid w:val="00362548"/>
    <w:rsid w:val="00370DD3"/>
    <w:rsid w:val="003710F3"/>
    <w:rsid w:val="00374536"/>
    <w:rsid w:val="00374841"/>
    <w:rsid w:val="00375598"/>
    <w:rsid w:val="00375DD4"/>
    <w:rsid w:val="00387132"/>
    <w:rsid w:val="00390DBF"/>
    <w:rsid w:val="003A0B65"/>
    <w:rsid w:val="003A1BCF"/>
    <w:rsid w:val="003A7ED2"/>
    <w:rsid w:val="003C6B4C"/>
    <w:rsid w:val="003C7144"/>
    <w:rsid w:val="003D64A8"/>
    <w:rsid w:val="003E06D0"/>
    <w:rsid w:val="003E1C56"/>
    <w:rsid w:val="003F0D67"/>
    <w:rsid w:val="003F1B7F"/>
    <w:rsid w:val="003F2456"/>
    <w:rsid w:val="00401620"/>
    <w:rsid w:val="00406EB1"/>
    <w:rsid w:val="00410238"/>
    <w:rsid w:val="00413494"/>
    <w:rsid w:val="00430716"/>
    <w:rsid w:val="00441007"/>
    <w:rsid w:val="00442407"/>
    <w:rsid w:val="0045464F"/>
    <w:rsid w:val="00480326"/>
    <w:rsid w:val="004829E1"/>
    <w:rsid w:val="00483CD6"/>
    <w:rsid w:val="004A0926"/>
    <w:rsid w:val="004A3F5B"/>
    <w:rsid w:val="004A49C5"/>
    <w:rsid w:val="004B0C15"/>
    <w:rsid w:val="004B474C"/>
    <w:rsid w:val="004D2249"/>
    <w:rsid w:val="004D53E5"/>
    <w:rsid w:val="004E16D5"/>
    <w:rsid w:val="004E3ACA"/>
    <w:rsid w:val="004E49FA"/>
    <w:rsid w:val="004E671F"/>
    <w:rsid w:val="004E7B9E"/>
    <w:rsid w:val="004F2D4F"/>
    <w:rsid w:val="004F6EFE"/>
    <w:rsid w:val="005000B8"/>
    <w:rsid w:val="00500511"/>
    <w:rsid w:val="00504E43"/>
    <w:rsid w:val="00515919"/>
    <w:rsid w:val="00517AED"/>
    <w:rsid w:val="00520E4A"/>
    <w:rsid w:val="005273EC"/>
    <w:rsid w:val="0053322D"/>
    <w:rsid w:val="00534B12"/>
    <w:rsid w:val="005407FE"/>
    <w:rsid w:val="00543AC8"/>
    <w:rsid w:val="0054778D"/>
    <w:rsid w:val="0055003F"/>
    <w:rsid w:val="00554237"/>
    <w:rsid w:val="005634F0"/>
    <w:rsid w:val="00565066"/>
    <w:rsid w:val="00572100"/>
    <w:rsid w:val="00572312"/>
    <w:rsid w:val="00572CC1"/>
    <w:rsid w:val="005802E3"/>
    <w:rsid w:val="005805E6"/>
    <w:rsid w:val="00582A85"/>
    <w:rsid w:val="005842F9"/>
    <w:rsid w:val="0058561F"/>
    <w:rsid w:val="0059213A"/>
    <w:rsid w:val="005939FC"/>
    <w:rsid w:val="005A0041"/>
    <w:rsid w:val="005A145B"/>
    <w:rsid w:val="005A21F9"/>
    <w:rsid w:val="005A5118"/>
    <w:rsid w:val="005A6F11"/>
    <w:rsid w:val="005B7F94"/>
    <w:rsid w:val="005C1643"/>
    <w:rsid w:val="005C2FEE"/>
    <w:rsid w:val="005C49D1"/>
    <w:rsid w:val="005C5E2B"/>
    <w:rsid w:val="005C6D5A"/>
    <w:rsid w:val="005D0269"/>
    <w:rsid w:val="005E22F7"/>
    <w:rsid w:val="005E47D3"/>
    <w:rsid w:val="005F5F50"/>
    <w:rsid w:val="00602C4B"/>
    <w:rsid w:val="00603900"/>
    <w:rsid w:val="00605657"/>
    <w:rsid w:val="00610491"/>
    <w:rsid w:val="006119CB"/>
    <w:rsid w:val="00612491"/>
    <w:rsid w:val="00625AE1"/>
    <w:rsid w:val="00643BCF"/>
    <w:rsid w:val="00651C1E"/>
    <w:rsid w:val="00652127"/>
    <w:rsid w:val="00660973"/>
    <w:rsid w:val="00661E86"/>
    <w:rsid w:val="00667E58"/>
    <w:rsid w:val="00674146"/>
    <w:rsid w:val="006755ED"/>
    <w:rsid w:val="006801A6"/>
    <w:rsid w:val="00681A33"/>
    <w:rsid w:val="00683227"/>
    <w:rsid w:val="00684129"/>
    <w:rsid w:val="00687623"/>
    <w:rsid w:val="00696423"/>
    <w:rsid w:val="00696B58"/>
    <w:rsid w:val="00696CAB"/>
    <w:rsid w:val="006A4DD0"/>
    <w:rsid w:val="006A53B7"/>
    <w:rsid w:val="006A69B7"/>
    <w:rsid w:val="006A6C96"/>
    <w:rsid w:val="006B2B1F"/>
    <w:rsid w:val="006B5907"/>
    <w:rsid w:val="006B6E22"/>
    <w:rsid w:val="006C127A"/>
    <w:rsid w:val="006C7FF1"/>
    <w:rsid w:val="006D2350"/>
    <w:rsid w:val="006E1498"/>
    <w:rsid w:val="006F0C94"/>
    <w:rsid w:val="006F62A3"/>
    <w:rsid w:val="006F640D"/>
    <w:rsid w:val="006F700A"/>
    <w:rsid w:val="00702AE8"/>
    <w:rsid w:val="00704B8D"/>
    <w:rsid w:val="00710EF4"/>
    <w:rsid w:val="00713DC6"/>
    <w:rsid w:val="00721D5E"/>
    <w:rsid w:val="00724063"/>
    <w:rsid w:val="00725896"/>
    <w:rsid w:val="00736D95"/>
    <w:rsid w:val="007426A1"/>
    <w:rsid w:val="007467F9"/>
    <w:rsid w:val="00750C39"/>
    <w:rsid w:val="007638EA"/>
    <w:rsid w:val="00766EE1"/>
    <w:rsid w:val="00770C05"/>
    <w:rsid w:val="00771FA9"/>
    <w:rsid w:val="00772704"/>
    <w:rsid w:val="007744DB"/>
    <w:rsid w:val="00775208"/>
    <w:rsid w:val="007803F8"/>
    <w:rsid w:val="00784644"/>
    <w:rsid w:val="00787AC6"/>
    <w:rsid w:val="00792D97"/>
    <w:rsid w:val="007951F2"/>
    <w:rsid w:val="00796826"/>
    <w:rsid w:val="007B133E"/>
    <w:rsid w:val="007B24B6"/>
    <w:rsid w:val="007B31BD"/>
    <w:rsid w:val="007B35A3"/>
    <w:rsid w:val="007B5A59"/>
    <w:rsid w:val="007B74A1"/>
    <w:rsid w:val="007C27AD"/>
    <w:rsid w:val="007C2F0B"/>
    <w:rsid w:val="007D2C06"/>
    <w:rsid w:val="007D3714"/>
    <w:rsid w:val="007E0541"/>
    <w:rsid w:val="007E2B9E"/>
    <w:rsid w:val="007E5863"/>
    <w:rsid w:val="0080101B"/>
    <w:rsid w:val="00802211"/>
    <w:rsid w:val="008058B6"/>
    <w:rsid w:val="00805C7F"/>
    <w:rsid w:val="0080622E"/>
    <w:rsid w:val="008255FD"/>
    <w:rsid w:val="00841F85"/>
    <w:rsid w:val="0084294D"/>
    <w:rsid w:val="00844FB5"/>
    <w:rsid w:val="008477FF"/>
    <w:rsid w:val="00851A38"/>
    <w:rsid w:val="00853F7D"/>
    <w:rsid w:val="00855755"/>
    <w:rsid w:val="0085671A"/>
    <w:rsid w:val="00857C9C"/>
    <w:rsid w:val="00862906"/>
    <w:rsid w:val="0086295A"/>
    <w:rsid w:val="0086324C"/>
    <w:rsid w:val="00863795"/>
    <w:rsid w:val="00867DC7"/>
    <w:rsid w:val="00871E80"/>
    <w:rsid w:val="0087426E"/>
    <w:rsid w:val="008804AC"/>
    <w:rsid w:val="0088538D"/>
    <w:rsid w:val="0088680F"/>
    <w:rsid w:val="00886E7A"/>
    <w:rsid w:val="00892857"/>
    <w:rsid w:val="00895421"/>
    <w:rsid w:val="00895A3E"/>
    <w:rsid w:val="0089776E"/>
    <w:rsid w:val="008B0C94"/>
    <w:rsid w:val="008D1C33"/>
    <w:rsid w:val="008D32AA"/>
    <w:rsid w:val="008E08B9"/>
    <w:rsid w:val="008E25F2"/>
    <w:rsid w:val="008E773C"/>
    <w:rsid w:val="008F18D7"/>
    <w:rsid w:val="008F52A7"/>
    <w:rsid w:val="009041FC"/>
    <w:rsid w:val="0092244F"/>
    <w:rsid w:val="009239F3"/>
    <w:rsid w:val="00926745"/>
    <w:rsid w:val="00944265"/>
    <w:rsid w:val="009449E8"/>
    <w:rsid w:val="00944A5C"/>
    <w:rsid w:val="00952F1A"/>
    <w:rsid w:val="00961155"/>
    <w:rsid w:val="0096695A"/>
    <w:rsid w:val="00974CEB"/>
    <w:rsid w:val="00974E9B"/>
    <w:rsid w:val="009759AA"/>
    <w:rsid w:val="00981211"/>
    <w:rsid w:val="00982303"/>
    <w:rsid w:val="00983B89"/>
    <w:rsid w:val="00984A57"/>
    <w:rsid w:val="009872FE"/>
    <w:rsid w:val="009A29AE"/>
    <w:rsid w:val="009A3413"/>
    <w:rsid w:val="009B2EA7"/>
    <w:rsid w:val="009C0C04"/>
    <w:rsid w:val="009C4792"/>
    <w:rsid w:val="009C5367"/>
    <w:rsid w:val="009C5E4B"/>
    <w:rsid w:val="009D31CA"/>
    <w:rsid w:val="009D5178"/>
    <w:rsid w:val="009E04F1"/>
    <w:rsid w:val="009E42AE"/>
    <w:rsid w:val="009E4F41"/>
    <w:rsid w:val="009E55FA"/>
    <w:rsid w:val="009F1FD5"/>
    <w:rsid w:val="009F4D2B"/>
    <w:rsid w:val="00A0411B"/>
    <w:rsid w:val="00A10F98"/>
    <w:rsid w:val="00A20617"/>
    <w:rsid w:val="00A2733F"/>
    <w:rsid w:val="00A309B6"/>
    <w:rsid w:val="00A3345B"/>
    <w:rsid w:val="00A35447"/>
    <w:rsid w:val="00A40BBE"/>
    <w:rsid w:val="00A42893"/>
    <w:rsid w:val="00A46EFD"/>
    <w:rsid w:val="00A47102"/>
    <w:rsid w:val="00A476CA"/>
    <w:rsid w:val="00A47F7C"/>
    <w:rsid w:val="00A508D7"/>
    <w:rsid w:val="00A56232"/>
    <w:rsid w:val="00A57667"/>
    <w:rsid w:val="00A57AFD"/>
    <w:rsid w:val="00A600AF"/>
    <w:rsid w:val="00A732AB"/>
    <w:rsid w:val="00A847B1"/>
    <w:rsid w:val="00A92AD7"/>
    <w:rsid w:val="00A969C6"/>
    <w:rsid w:val="00A97C4D"/>
    <w:rsid w:val="00AA046D"/>
    <w:rsid w:val="00AA0E76"/>
    <w:rsid w:val="00AA66B6"/>
    <w:rsid w:val="00AB0241"/>
    <w:rsid w:val="00AB0D24"/>
    <w:rsid w:val="00AB3B51"/>
    <w:rsid w:val="00AC27E8"/>
    <w:rsid w:val="00AC6780"/>
    <w:rsid w:val="00AD3626"/>
    <w:rsid w:val="00AD3C9B"/>
    <w:rsid w:val="00AD4DB6"/>
    <w:rsid w:val="00AD73EA"/>
    <w:rsid w:val="00AE4B9A"/>
    <w:rsid w:val="00AE73F3"/>
    <w:rsid w:val="00AF574D"/>
    <w:rsid w:val="00B0177C"/>
    <w:rsid w:val="00B0618B"/>
    <w:rsid w:val="00B06594"/>
    <w:rsid w:val="00B06AC0"/>
    <w:rsid w:val="00B1093A"/>
    <w:rsid w:val="00B1170F"/>
    <w:rsid w:val="00B1605D"/>
    <w:rsid w:val="00B17C94"/>
    <w:rsid w:val="00B23ABF"/>
    <w:rsid w:val="00B274E8"/>
    <w:rsid w:val="00B27EB0"/>
    <w:rsid w:val="00B50462"/>
    <w:rsid w:val="00B525A9"/>
    <w:rsid w:val="00B540A0"/>
    <w:rsid w:val="00B54B17"/>
    <w:rsid w:val="00B54FCC"/>
    <w:rsid w:val="00B60D14"/>
    <w:rsid w:val="00B66AF4"/>
    <w:rsid w:val="00B675C8"/>
    <w:rsid w:val="00B73016"/>
    <w:rsid w:val="00B81ED2"/>
    <w:rsid w:val="00B8500D"/>
    <w:rsid w:val="00B87979"/>
    <w:rsid w:val="00B87D56"/>
    <w:rsid w:val="00B959DB"/>
    <w:rsid w:val="00BA67AE"/>
    <w:rsid w:val="00BB0AD8"/>
    <w:rsid w:val="00BB1547"/>
    <w:rsid w:val="00BB3360"/>
    <w:rsid w:val="00BD62B8"/>
    <w:rsid w:val="00BD7A43"/>
    <w:rsid w:val="00BE3B76"/>
    <w:rsid w:val="00BF31B1"/>
    <w:rsid w:val="00BF4270"/>
    <w:rsid w:val="00BF618B"/>
    <w:rsid w:val="00BF6517"/>
    <w:rsid w:val="00C01661"/>
    <w:rsid w:val="00C06F24"/>
    <w:rsid w:val="00C159A5"/>
    <w:rsid w:val="00C1660E"/>
    <w:rsid w:val="00C20538"/>
    <w:rsid w:val="00C26834"/>
    <w:rsid w:val="00C314D3"/>
    <w:rsid w:val="00C33757"/>
    <w:rsid w:val="00C47321"/>
    <w:rsid w:val="00C503D7"/>
    <w:rsid w:val="00C51772"/>
    <w:rsid w:val="00C531F0"/>
    <w:rsid w:val="00C62C56"/>
    <w:rsid w:val="00C64F74"/>
    <w:rsid w:val="00C73F16"/>
    <w:rsid w:val="00C74CA1"/>
    <w:rsid w:val="00C751E6"/>
    <w:rsid w:val="00C7755F"/>
    <w:rsid w:val="00C8038B"/>
    <w:rsid w:val="00C858C3"/>
    <w:rsid w:val="00C87533"/>
    <w:rsid w:val="00C9209A"/>
    <w:rsid w:val="00C94FF0"/>
    <w:rsid w:val="00C9502A"/>
    <w:rsid w:val="00C96AC8"/>
    <w:rsid w:val="00CA1F54"/>
    <w:rsid w:val="00CA4F40"/>
    <w:rsid w:val="00CB1630"/>
    <w:rsid w:val="00CB4F6B"/>
    <w:rsid w:val="00CB721C"/>
    <w:rsid w:val="00CD0972"/>
    <w:rsid w:val="00CD2F3D"/>
    <w:rsid w:val="00CD3A92"/>
    <w:rsid w:val="00CD66CA"/>
    <w:rsid w:val="00CE12E0"/>
    <w:rsid w:val="00CF1C55"/>
    <w:rsid w:val="00CF2E22"/>
    <w:rsid w:val="00CF6487"/>
    <w:rsid w:val="00CF75E3"/>
    <w:rsid w:val="00D0003E"/>
    <w:rsid w:val="00D0246B"/>
    <w:rsid w:val="00D026C4"/>
    <w:rsid w:val="00D07AA3"/>
    <w:rsid w:val="00D11093"/>
    <w:rsid w:val="00D12A30"/>
    <w:rsid w:val="00D23FC5"/>
    <w:rsid w:val="00D24801"/>
    <w:rsid w:val="00D31951"/>
    <w:rsid w:val="00D32014"/>
    <w:rsid w:val="00D32682"/>
    <w:rsid w:val="00D327B8"/>
    <w:rsid w:val="00D32DA3"/>
    <w:rsid w:val="00D33550"/>
    <w:rsid w:val="00D34394"/>
    <w:rsid w:val="00D35AB8"/>
    <w:rsid w:val="00D376AD"/>
    <w:rsid w:val="00D41B95"/>
    <w:rsid w:val="00D4265C"/>
    <w:rsid w:val="00D50AE6"/>
    <w:rsid w:val="00D5276D"/>
    <w:rsid w:val="00D63D8F"/>
    <w:rsid w:val="00D64493"/>
    <w:rsid w:val="00D7090D"/>
    <w:rsid w:val="00D91A99"/>
    <w:rsid w:val="00D92032"/>
    <w:rsid w:val="00DB0E12"/>
    <w:rsid w:val="00DB79FE"/>
    <w:rsid w:val="00DC2F6D"/>
    <w:rsid w:val="00DD117A"/>
    <w:rsid w:val="00DD7089"/>
    <w:rsid w:val="00DD76F4"/>
    <w:rsid w:val="00DF0936"/>
    <w:rsid w:val="00DF520D"/>
    <w:rsid w:val="00DF73BB"/>
    <w:rsid w:val="00E04A76"/>
    <w:rsid w:val="00E12938"/>
    <w:rsid w:val="00E23BEE"/>
    <w:rsid w:val="00E26C40"/>
    <w:rsid w:val="00E32781"/>
    <w:rsid w:val="00E32BCA"/>
    <w:rsid w:val="00E36E6C"/>
    <w:rsid w:val="00E43322"/>
    <w:rsid w:val="00E530A1"/>
    <w:rsid w:val="00E57E95"/>
    <w:rsid w:val="00E624E8"/>
    <w:rsid w:val="00E71DE5"/>
    <w:rsid w:val="00E729F9"/>
    <w:rsid w:val="00E76AE3"/>
    <w:rsid w:val="00E839C6"/>
    <w:rsid w:val="00E87D85"/>
    <w:rsid w:val="00E87F6D"/>
    <w:rsid w:val="00E92163"/>
    <w:rsid w:val="00EA3408"/>
    <w:rsid w:val="00EA7274"/>
    <w:rsid w:val="00EB3361"/>
    <w:rsid w:val="00EB442F"/>
    <w:rsid w:val="00EC316F"/>
    <w:rsid w:val="00EC5D12"/>
    <w:rsid w:val="00ED4373"/>
    <w:rsid w:val="00EE0ABE"/>
    <w:rsid w:val="00EE18C2"/>
    <w:rsid w:val="00EE28F2"/>
    <w:rsid w:val="00EE59F3"/>
    <w:rsid w:val="00EE6B93"/>
    <w:rsid w:val="00EE77F8"/>
    <w:rsid w:val="00F03673"/>
    <w:rsid w:val="00F03E94"/>
    <w:rsid w:val="00F07F94"/>
    <w:rsid w:val="00F12399"/>
    <w:rsid w:val="00F157C7"/>
    <w:rsid w:val="00F16F3C"/>
    <w:rsid w:val="00F21A20"/>
    <w:rsid w:val="00F22F9C"/>
    <w:rsid w:val="00F23B6E"/>
    <w:rsid w:val="00F24299"/>
    <w:rsid w:val="00F26FCD"/>
    <w:rsid w:val="00F37F5B"/>
    <w:rsid w:val="00F4677D"/>
    <w:rsid w:val="00F468ED"/>
    <w:rsid w:val="00F52FBC"/>
    <w:rsid w:val="00F575D8"/>
    <w:rsid w:val="00F674F7"/>
    <w:rsid w:val="00F67A1C"/>
    <w:rsid w:val="00F67E44"/>
    <w:rsid w:val="00F86C69"/>
    <w:rsid w:val="00F92FE2"/>
    <w:rsid w:val="00F95668"/>
    <w:rsid w:val="00F968CB"/>
    <w:rsid w:val="00F97248"/>
    <w:rsid w:val="00F97653"/>
    <w:rsid w:val="00F97D9A"/>
    <w:rsid w:val="00FA08E1"/>
    <w:rsid w:val="00FA6314"/>
    <w:rsid w:val="00FB0316"/>
    <w:rsid w:val="00FC13FE"/>
    <w:rsid w:val="00FC43DD"/>
    <w:rsid w:val="00FC7594"/>
    <w:rsid w:val="00FD089F"/>
    <w:rsid w:val="00FD1CC2"/>
    <w:rsid w:val="00FE7629"/>
    <w:rsid w:val="00FF06A7"/>
    <w:rsid w:val="00FF6E13"/>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5519FB-5F5F-47AC-8DB0-2C1444974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paragraph" w:styleId="Textodeglobo">
    <w:name w:val="Balloon Text"/>
    <w:basedOn w:val="Normal"/>
    <w:link w:val="TextodegloboCar"/>
    <w:uiPriority w:val="99"/>
    <w:semiHidden/>
    <w:unhideWhenUsed/>
    <w:rsid w:val="00500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00B8"/>
    <w:rPr>
      <w:rFonts w:ascii="Segoe UI" w:hAnsi="Segoe UI" w:cs="Segoe UI"/>
      <w:sz w:val="18"/>
      <w:szCs w:val="18"/>
    </w:rPr>
  </w:style>
  <w:style w:type="paragraph" w:customStyle="1" w:styleId="Pa1">
    <w:name w:val="Pa1"/>
    <w:basedOn w:val="Normal"/>
    <w:next w:val="Normal"/>
    <w:uiPriority w:val="99"/>
    <w:rsid w:val="00BD62B8"/>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BD62B8"/>
    <w:rPr>
      <w:i/>
      <w:iCs/>
      <w:color w:val="000000"/>
      <w:sz w:val="28"/>
      <w:szCs w:val="28"/>
    </w:rPr>
  </w:style>
  <w:style w:type="paragraph" w:styleId="NormalWeb">
    <w:name w:val="Normal (Web)"/>
    <w:basedOn w:val="Normal"/>
    <w:uiPriority w:val="99"/>
    <w:semiHidden/>
    <w:unhideWhenUsed/>
    <w:rsid w:val="003F1B7F"/>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9D5178"/>
    <w:pPr>
      <w:tabs>
        <w:tab w:val="center" w:pos="4419"/>
        <w:tab w:val="right" w:pos="8838"/>
      </w:tabs>
    </w:pPr>
  </w:style>
  <w:style w:type="character" w:customStyle="1" w:styleId="PiedepginaCar">
    <w:name w:val="Pie de página Car"/>
    <w:basedOn w:val="Fuentedeprrafopredeter"/>
    <w:link w:val="Piedepgina"/>
    <w:uiPriority w:val="99"/>
    <w:rsid w:val="009D5178"/>
  </w:style>
  <w:style w:type="character" w:customStyle="1" w:styleId="corte4fondoCar3">
    <w:name w:val="corte4 fondo Car3"/>
    <w:link w:val="corte4fondo"/>
    <w:locked/>
    <w:rsid w:val="00112FCD"/>
    <w:rPr>
      <w:rFonts w:ascii="Arial" w:hAnsi="Arial" w:cs="Arial"/>
      <w:sz w:val="30"/>
      <w:szCs w:val="30"/>
      <w:lang w:val="es-ES_tradnl"/>
    </w:rPr>
  </w:style>
  <w:style w:type="paragraph" w:customStyle="1" w:styleId="corte4fondo">
    <w:name w:val="corte4 fondo"/>
    <w:basedOn w:val="Normal"/>
    <w:link w:val="corte4fondoCar3"/>
    <w:qFormat/>
    <w:rsid w:val="00112FCD"/>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0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EDBF8-3067-490A-87A2-371B7871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4542</Words>
  <Characters>24987</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2020-02-14T22:20:00Z</cp:lastPrinted>
  <dcterms:created xsi:type="dcterms:W3CDTF">2020-09-22T18:53:00Z</dcterms:created>
  <dcterms:modified xsi:type="dcterms:W3CDTF">2020-09-24T16:23:00Z</dcterms:modified>
</cp:coreProperties>
</file>