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533DA">
        <w:rPr>
          <w:rFonts w:ascii="Arial" w:hAnsi="Arial" w:cs="Arial"/>
          <w:b/>
          <w:sz w:val="26"/>
          <w:szCs w:val="26"/>
        </w:rPr>
        <w:t>212</w:t>
      </w:r>
      <w:r w:rsidRPr="00CB6405">
        <w:rPr>
          <w:rFonts w:ascii="Arial" w:hAnsi="Arial" w:cs="Arial"/>
          <w:b/>
          <w:sz w:val="26"/>
          <w:szCs w:val="26"/>
        </w:rPr>
        <w:t>/201</w:t>
      </w:r>
      <w:r w:rsidR="00757401">
        <w:rPr>
          <w:rFonts w:ascii="Arial" w:hAnsi="Arial" w:cs="Arial"/>
          <w:b/>
          <w:sz w:val="26"/>
          <w:szCs w:val="26"/>
        </w:rPr>
        <w:t>9</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B65376">
        <w:rPr>
          <w:rFonts w:ascii="Arial" w:hAnsi="Arial" w:cs="Arial"/>
          <w:b/>
          <w:sz w:val="26"/>
          <w:szCs w:val="26"/>
        </w:rPr>
        <w:t>0</w:t>
      </w:r>
      <w:r w:rsidR="00C533DA">
        <w:rPr>
          <w:rFonts w:ascii="Arial" w:hAnsi="Arial" w:cs="Arial"/>
          <w:b/>
          <w:sz w:val="26"/>
          <w:szCs w:val="26"/>
        </w:rPr>
        <w:t>14</w:t>
      </w:r>
      <w:r>
        <w:rPr>
          <w:rFonts w:ascii="Arial" w:hAnsi="Arial" w:cs="Arial"/>
          <w:b/>
          <w:sz w:val="26"/>
          <w:szCs w:val="26"/>
        </w:rPr>
        <w:t>/</w:t>
      </w:r>
      <w:r w:rsidRPr="00CB6405">
        <w:rPr>
          <w:rFonts w:ascii="Arial" w:hAnsi="Arial" w:cs="Arial"/>
          <w:b/>
          <w:sz w:val="26"/>
          <w:szCs w:val="26"/>
        </w:rPr>
        <w:t>201</w:t>
      </w:r>
      <w:r w:rsidR="00C533DA">
        <w:rPr>
          <w:rFonts w:ascii="Arial" w:hAnsi="Arial" w:cs="Arial"/>
          <w:b/>
          <w:sz w:val="26"/>
          <w:szCs w:val="26"/>
        </w:rPr>
        <w:t>9</w:t>
      </w:r>
      <w:r w:rsidRPr="00CB6405">
        <w:rPr>
          <w:rFonts w:ascii="Arial" w:hAnsi="Arial" w:cs="Arial"/>
          <w:b/>
          <w:sz w:val="26"/>
          <w:szCs w:val="26"/>
        </w:rPr>
        <w:t xml:space="preserve"> </w:t>
      </w:r>
      <w:r w:rsidR="00C533DA">
        <w:rPr>
          <w:rFonts w:ascii="Arial" w:hAnsi="Arial" w:cs="Arial"/>
          <w:b/>
          <w:sz w:val="26"/>
          <w:szCs w:val="26"/>
        </w:rPr>
        <w:t xml:space="preserve">SEXTA </w:t>
      </w:r>
      <w:r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 xml:space="preserve">OAXACA DE JUÁREZ, OAXACA A </w:t>
      </w:r>
      <w:r w:rsidR="00245DBE">
        <w:rPr>
          <w:rFonts w:ascii="Arial" w:hAnsi="Arial" w:cs="Arial"/>
          <w:b/>
          <w:sz w:val="26"/>
          <w:szCs w:val="26"/>
        </w:rPr>
        <w:t>VEINTINUEVE</w:t>
      </w:r>
      <w:r>
        <w:rPr>
          <w:rFonts w:ascii="Arial" w:hAnsi="Arial" w:cs="Arial"/>
          <w:b/>
          <w:sz w:val="26"/>
          <w:szCs w:val="26"/>
        </w:rPr>
        <w:t xml:space="preserve"> </w:t>
      </w:r>
      <w:r w:rsidR="00C533DA" w:rsidRPr="00CB6405">
        <w:rPr>
          <w:rFonts w:ascii="Arial" w:hAnsi="Arial" w:cs="Arial"/>
          <w:b/>
          <w:sz w:val="26"/>
          <w:szCs w:val="26"/>
        </w:rPr>
        <w:t xml:space="preserve">DE </w:t>
      </w:r>
      <w:r w:rsidR="00BB1E1D">
        <w:rPr>
          <w:rFonts w:ascii="Arial" w:hAnsi="Arial" w:cs="Arial"/>
          <w:b/>
          <w:sz w:val="26"/>
          <w:szCs w:val="26"/>
        </w:rPr>
        <w:t xml:space="preserve">ENERO </w:t>
      </w:r>
      <w:r w:rsidRPr="00CB6405">
        <w:rPr>
          <w:rFonts w:ascii="Arial" w:hAnsi="Arial" w:cs="Arial"/>
          <w:b/>
          <w:sz w:val="26"/>
          <w:szCs w:val="26"/>
        </w:rPr>
        <w:t xml:space="preserve">DE DOS MIL </w:t>
      </w:r>
      <w:r w:rsidR="00BB1E1D">
        <w:rPr>
          <w:rFonts w:ascii="Arial" w:hAnsi="Arial" w:cs="Arial"/>
          <w:b/>
          <w:sz w:val="26"/>
          <w:szCs w:val="26"/>
        </w:rPr>
        <w:t>VEINTE</w:t>
      </w:r>
      <w:r w:rsidRPr="00CB6405">
        <w:rPr>
          <w:rFonts w:ascii="Arial" w:hAnsi="Arial" w:cs="Arial"/>
          <w:b/>
          <w:sz w:val="26"/>
          <w:szCs w:val="26"/>
        </w:rPr>
        <w:t>.- - - - - - - - - - - - - - - - - - - - - - - - - - - - -</w:t>
      </w:r>
      <w:r>
        <w:rPr>
          <w:rFonts w:ascii="Arial" w:hAnsi="Arial" w:cs="Arial"/>
          <w:b/>
          <w:sz w:val="26"/>
          <w:szCs w:val="26"/>
        </w:rPr>
        <w:t xml:space="preserve"> - - - - - - - - - - </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533DA">
        <w:rPr>
          <w:rFonts w:ascii="Arial" w:hAnsi="Arial" w:cs="Arial"/>
          <w:b/>
          <w:sz w:val="26"/>
          <w:szCs w:val="26"/>
        </w:rPr>
        <w:t>212</w:t>
      </w:r>
      <w:r w:rsidRPr="00CB6405">
        <w:rPr>
          <w:rFonts w:ascii="Arial" w:hAnsi="Arial" w:cs="Arial"/>
          <w:b/>
          <w:sz w:val="26"/>
          <w:szCs w:val="26"/>
        </w:rPr>
        <w:t>/201</w:t>
      </w:r>
      <w:r w:rsidR="00757401">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BB1E1D">
        <w:rPr>
          <w:rFonts w:ascii="Arial" w:hAnsi="Arial" w:cs="Arial"/>
          <w:b/>
          <w:sz w:val="26"/>
          <w:szCs w:val="26"/>
        </w:rPr>
        <w:t xml:space="preserve"> </w:t>
      </w:r>
      <w:r w:rsidR="00AC5F4B">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w:t>
      </w:r>
      <w:r w:rsidR="00757401">
        <w:rPr>
          <w:rFonts w:ascii="Arial" w:hAnsi="Arial" w:cs="Arial"/>
          <w:sz w:val="26"/>
          <w:szCs w:val="26"/>
        </w:rPr>
        <w:t xml:space="preserve"> </w:t>
      </w:r>
      <w:r w:rsidR="00BB1E1D">
        <w:rPr>
          <w:rFonts w:ascii="Arial" w:hAnsi="Arial" w:cs="Arial"/>
          <w:sz w:val="26"/>
          <w:szCs w:val="26"/>
        </w:rPr>
        <w:t xml:space="preserve">veintisiete de mayo </w:t>
      </w:r>
      <w:r w:rsidR="00757401">
        <w:rPr>
          <w:rFonts w:ascii="Arial" w:hAnsi="Arial" w:cs="Arial"/>
          <w:sz w:val="26"/>
          <w:szCs w:val="26"/>
        </w:rPr>
        <w:t>de dos mil diecinueve</w:t>
      </w:r>
      <w:r>
        <w:rPr>
          <w:rFonts w:ascii="Arial" w:hAnsi="Arial" w:cs="Arial"/>
          <w:sz w:val="26"/>
          <w:szCs w:val="26"/>
        </w:rPr>
        <w:t>, dictada</w:t>
      </w:r>
      <w:r w:rsidRPr="00CB6405">
        <w:rPr>
          <w:rFonts w:ascii="Arial" w:hAnsi="Arial" w:cs="Arial"/>
          <w:sz w:val="26"/>
          <w:szCs w:val="26"/>
        </w:rPr>
        <w:t xml:space="preserve"> en el expediente </w:t>
      </w:r>
      <w:r w:rsidR="00757401">
        <w:rPr>
          <w:rFonts w:ascii="Arial" w:hAnsi="Arial" w:cs="Arial"/>
          <w:b/>
          <w:sz w:val="26"/>
          <w:szCs w:val="26"/>
        </w:rPr>
        <w:t>0</w:t>
      </w:r>
      <w:r w:rsidR="00BB1E1D">
        <w:rPr>
          <w:rFonts w:ascii="Arial" w:hAnsi="Arial" w:cs="Arial"/>
          <w:b/>
          <w:sz w:val="26"/>
          <w:szCs w:val="26"/>
        </w:rPr>
        <w:t>14</w:t>
      </w:r>
      <w:r w:rsidRPr="00CB6405">
        <w:rPr>
          <w:rFonts w:ascii="Arial" w:hAnsi="Arial" w:cs="Arial"/>
          <w:b/>
          <w:sz w:val="26"/>
          <w:szCs w:val="26"/>
        </w:rPr>
        <w:t>/201</w:t>
      </w:r>
      <w:r w:rsidR="00BB1E1D">
        <w:rPr>
          <w:rFonts w:ascii="Arial" w:hAnsi="Arial" w:cs="Arial"/>
          <w:b/>
          <w:sz w:val="26"/>
          <w:szCs w:val="26"/>
        </w:rPr>
        <w:t>9</w:t>
      </w:r>
      <w:r w:rsidRPr="00CB6405">
        <w:rPr>
          <w:rFonts w:ascii="Arial" w:hAnsi="Arial" w:cs="Arial"/>
          <w:sz w:val="26"/>
          <w:szCs w:val="26"/>
        </w:rPr>
        <w:t xml:space="preserve"> de la </w:t>
      </w:r>
      <w:r w:rsidR="00854270">
        <w:rPr>
          <w:rFonts w:ascii="Arial" w:hAnsi="Arial" w:cs="Arial"/>
          <w:sz w:val="26"/>
          <w:szCs w:val="26"/>
        </w:rPr>
        <w:t>Sexta</w:t>
      </w:r>
      <w:r w:rsidR="00B65376">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w:t>
      </w:r>
      <w:r w:rsidR="00B65376">
        <w:rPr>
          <w:rFonts w:ascii="Arial" w:hAnsi="Arial" w:cs="Arial"/>
          <w:sz w:val="26"/>
          <w:szCs w:val="26"/>
        </w:rPr>
        <w:t xml:space="preserve"> </w:t>
      </w:r>
      <w:r w:rsidR="00AC5F4B">
        <w:rPr>
          <w:rFonts w:ascii="Arial" w:hAnsi="Arial" w:cs="Arial"/>
          <w:b/>
          <w:bCs/>
          <w:sz w:val="26"/>
          <w:szCs w:val="26"/>
        </w:rPr>
        <w:t>***********</w:t>
      </w:r>
      <w:r w:rsidR="00B65376">
        <w:rPr>
          <w:rFonts w:ascii="Arial" w:hAnsi="Arial" w:cs="Arial"/>
          <w:sz w:val="26"/>
          <w:szCs w:val="26"/>
        </w:rPr>
        <w:t xml:space="preserve">, en contra del </w:t>
      </w:r>
      <w:r w:rsidR="00854270">
        <w:rPr>
          <w:rFonts w:ascii="Arial" w:hAnsi="Arial" w:cs="Arial"/>
          <w:b/>
          <w:bCs/>
          <w:sz w:val="26"/>
          <w:szCs w:val="26"/>
        </w:rPr>
        <w:t xml:space="preserve">CONSEJO DIRECTIVO </w:t>
      </w:r>
      <w:r w:rsidR="00B65376">
        <w:rPr>
          <w:rFonts w:ascii="Arial" w:hAnsi="Arial" w:cs="Arial"/>
          <w:b/>
          <w:bCs/>
          <w:sz w:val="26"/>
          <w:szCs w:val="26"/>
        </w:rPr>
        <w:t>DE LA OFICINA DE PENSIONES</w:t>
      </w:r>
      <w:r w:rsidR="00D25915">
        <w:rPr>
          <w:rFonts w:ascii="Arial" w:hAnsi="Arial" w:cs="Arial"/>
          <w:b/>
          <w:bCs/>
          <w:sz w:val="26"/>
          <w:szCs w:val="26"/>
        </w:rPr>
        <w:t xml:space="preserve">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757401">
        <w:rPr>
          <w:rFonts w:ascii="Arial" w:hAnsi="Arial" w:cs="Arial"/>
          <w:sz w:val="26"/>
          <w:szCs w:val="26"/>
        </w:rPr>
        <w:t xml:space="preserve"> </w:t>
      </w:r>
      <w:r w:rsidR="00854270">
        <w:rPr>
          <w:rFonts w:ascii="Arial" w:hAnsi="Arial" w:cs="Arial"/>
          <w:sz w:val="26"/>
          <w:szCs w:val="26"/>
        </w:rPr>
        <w:t xml:space="preserve">veintisiete </w:t>
      </w:r>
      <w:r w:rsidR="00B65376">
        <w:rPr>
          <w:rFonts w:ascii="Arial" w:hAnsi="Arial" w:cs="Arial"/>
          <w:sz w:val="26"/>
          <w:szCs w:val="26"/>
        </w:rPr>
        <w:t xml:space="preserve">de </w:t>
      </w:r>
      <w:r w:rsidR="00854270">
        <w:rPr>
          <w:rFonts w:ascii="Arial" w:hAnsi="Arial" w:cs="Arial"/>
          <w:sz w:val="26"/>
          <w:szCs w:val="26"/>
        </w:rPr>
        <w:t xml:space="preserve">mayo </w:t>
      </w:r>
      <w:r w:rsidR="00757401">
        <w:rPr>
          <w:rFonts w:ascii="Arial" w:hAnsi="Arial" w:cs="Arial"/>
          <w:sz w:val="26"/>
          <w:szCs w:val="26"/>
        </w:rPr>
        <w:t>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854270">
        <w:rPr>
          <w:rFonts w:ascii="Arial" w:hAnsi="Arial" w:cs="Arial"/>
          <w:sz w:val="26"/>
          <w:szCs w:val="26"/>
        </w:rPr>
        <w:t xml:space="preserve">Sexta </w:t>
      </w:r>
      <w:r w:rsidRPr="00CB6405">
        <w:rPr>
          <w:rFonts w:ascii="Arial" w:hAnsi="Arial" w:cs="Arial"/>
          <w:sz w:val="26"/>
          <w:szCs w:val="26"/>
        </w:rPr>
        <w:t xml:space="preserve">Sala Unitaria de Primera Instancia, </w:t>
      </w:r>
      <w:r w:rsidR="00AC5F4B">
        <w:rPr>
          <w:rFonts w:ascii="Arial" w:hAnsi="Arial" w:cs="Arial"/>
          <w:b/>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rsidR="005770C1" w:rsidRDefault="005770C1" w:rsidP="00BB1E1D">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6C5C53" w:rsidRDefault="005770C1" w:rsidP="00BB1E1D">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854270">
        <w:rPr>
          <w:rFonts w:ascii="Arial" w:eastAsia="Times New Roman" w:hAnsi="Arial" w:cs="Arial"/>
          <w:bCs/>
          <w:i/>
          <w:iCs/>
          <w:sz w:val="24"/>
          <w:szCs w:val="24"/>
          <w:lang w:eastAsia="es-ES"/>
        </w:rPr>
        <w:t xml:space="preserve">Sexta </w:t>
      </w:r>
      <w:r w:rsidRPr="00C06661">
        <w:rPr>
          <w:rFonts w:ascii="Arial" w:eastAsia="Times New Roman" w:hAnsi="Arial" w:cs="Arial"/>
          <w:bCs/>
          <w:i/>
          <w:iCs/>
          <w:sz w:val="24"/>
          <w:szCs w:val="24"/>
          <w:lang w:eastAsia="es-ES"/>
        </w:rPr>
        <w:t>Sala</w:t>
      </w:r>
      <w:r w:rsidR="00B65376">
        <w:rPr>
          <w:rFonts w:ascii="Arial" w:eastAsia="Times New Roman" w:hAnsi="Arial" w:cs="Arial"/>
          <w:bCs/>
          <w:i/>
          <w:iCs/>
          <w:sz w:val="24"/>
          <w:szCs w:val="24"/>
          <w:lang w:eastAsia="es-ES"/>
        </w:rPr>
        <w:t xml:space="preserve"> </w:t>
      </w:r>
      <w:r w:rsidR="00BB1E1D">
        <w:rPr>
          <w:rFonts w:ascii="Arial" w:eastAsia="Times New Roman" w:hAnsi="Arial" w:cs="Arial"/>
          <w:bCs/>
          <w:i/>
          <w:iCs/>
          <w:sz w:val="24"/>
          <w:szCs w:val="24"/>
          <w:lang w:eastAsia="es-ES"/>
        </w:rPr>
        <w:t xml:space="preserve">Unitaria </w:t>
      </w:r>
      <w:r w:rsidR="00854270">
        <w:rPr>
          <w:rFonts w:ascii="Arial" w:eastAsia="Times New Roman" w:hAnsi="Arial" w:cs="Arial"/>
          <w:bCs/>
          <w:i/>
          <w:iCs/>
          <w:sz w:val="24"/>
          <w:szCs w:val="24"/>
          <w:lang w:eastAsia="es-ES"/>
        </w:rPr>
        <w:t xml:space="preserve">fue </w:t>
      </w:r>
      <w:r w:rsidRPr="00C06661">
        <w:rPr>
          <w:rFonts w:ascii="Arial" w:eastAsia="Times New Roman" w:hAnsi="Arial" w:cs="Arial"/>
          <w:bCs/>
          <w:i/>
          <w:iCs/>
          <w:sz w:val="24"/>
          <w:szCs w:val="24"/>
          <w:lang w:eastAsia="es-ES"/>
        </w:rPr>
        <w:t xml:space="preserve">competente para conocer y resolver </w:t>
      </w:r>
      <w:r w:rsidR="00B65376">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6C5C53">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w:t>
      </w:r>
      <w:r w:rsidR="00D46684">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 - -</w:t>
      </w:r>
      <w:r w:rsidR="00B65376">
        <w:rPr>
          <w:rFonts w:ascii="Arial" w:eastAsia="Times New Roman" w:hAnsi="Arial" w:cs="Arial"/>
          <w:bCs/>
          <w:i/>
          <w:iCs/>
          <w:sz w:val="24"/>
          <w:szCs w:val="24"/>
          <w:lang w:eastAsia="es-ES"/>
        </w:rPr>
        <w:t xml:space="preserve"> - - - - - - - - - - - - - </w:t>
      </w:r>
      <w:r w:rsidRPr="00C06661">
        <w:rPr>
          <w:rFonts w:ascii="Arial" w:eastAsia="Times New Roman" w:hAnsi="Arial" w:cs="Arial"/>
          <w:b/>
          <w:bCs/>
          <w:i/>
          <w:iCs/>
          <w:sz w:val="24"/>
          <w:szCs w:val="24"/>
          <w:lang w:eastAsia="es-ES"/>
        </w:rPr>
        <w:t>SEGUNDO.</w:t>
      </w:r>
      <w:r w:rsidR="00B65376">
        <w:rPr>
          <w:rFonts w:ascii="Arial" w:eastAsia="Times New Roman" w:hAnsi="Arial" w:cs="Arial"/>
          <w:bCs/>
          <w:i/>
          <w:iCs/>
          <w:sz w:val="24"/>
          <w:szCs w:val="24"/>
          <w:lang w:eastAsia="es-ES"/>
        </w:rPr>
        <w:t xml:space="preserve"> No se actualiz</w:t>
      </w:r>
      <w:r w:rsidR="006C5C53">
        <w:rPr>
          <w:rFonts w:ascii="Arial" w:eastAsia="Times New Roman" w:hAnsi="Arial" w:cs="Arial"/>
          <w:bCs/>
          <w:i/>
          <w:iCs/>
          <w:sz w:val="24"/>
          <w:szCs w:val="24"/>
          <w:lang w:eastAsia="es-ES"/>
        </w:rPr>
        <w:t>aron</w:t>
      </w:r>
      <w:r w:rsidR="00B65376">
        <w:rPr>
          <w:rFonts w:ascii="Arial" w:eastAsia="Times New Roman" w:hAnsi="Arial" w:cs="Arial"/>
          <w:bCs/>
          <w:i/>
          <w:iCs/>
          <w:sz w:val="24"/>
          <w:szCs w:val="24"/>
          <w:lang w:eastAsia="es-ES"/>
        </w:rPr>
        <w:t xml:space="preserve"> causal</w:t>
      </w:r>
      <w:r w:rsidR="006C5C53">
        <w:rPr>
          <w:rFonts w:ascii="Arial" w:eastAsia="Times New Roman" w:hAnsi="Arial" w:cs="Arial"/>
          <w:bCs/>
          <w:i/>
          <w:iCs/>
          <w:sz w:val="24"/>
          <w:szCs w:val="24"/>
          <w:lang w:eastAsia="es-ES"/>
        </w:rPr>
        <w:t>es</w:t>
      </w:r>
      <w:r w:rsidR="00B65376">
        <w:rPr>
          <w:rFonts w:ascii="Arial" w:eastAsia="Times New Roman" w:hAnsi="Arial" w:cs="Arial"/>
          <w:bCs/>
          <w:i/>
          <w:iCs/>
          <w:sz w:val="24"/>
          <w:szCs w:val="24"/>
          <w:lang w:eastAsia="es-ES"/>
        </w:rPr>
        <w:t xml:space="preserve"> de improcedencia por lo que </w:t>
      </w:r>
      <w:r w:rsidR="006C5C53" w:rsidRPr="006C5C53">
        <w:rPr>
          <w:rFonts w:ascii="Arial" w:eastAsia="Times New Roman" w:hAnsi="Arial" w:cs="Arial"/>
          <w:bCs/>
          <w:i/>
          <w:iCs/>
          <w:sz w:val="24"/>
          <w:szCs w:val="24"/>
          <w:lang w:eastAsia="es-ES"/>
        </w:rPr>
        <w:t>no se sobresee el juicio</w:t>
      </w:r>
      <w:r w:rsidR="006C5C53">
        <w:rPr>
          <w:rFonts w:ascii="Arial" w:eastAsia="Times New Roman" w:hAnsi="Arial" w:cs="Arial"/>
          <w:bCs/>
          <w:i/>
          <w:iCs/>
          <w:sz w:val="24"/>
          <w:szCs w:val="24"/>
          <w:lang w:eastAsia="es-ES"/>
        </w:rPr>
        <w:t xml:space="preserve">. - - - - - - - - - - - - - - - - - </w:t>
      </w:r>
      <w:r w:rsidR="00BB1E1D">
        <w:rPr>
          <w:rFonts w:ascii="Arial" w:eastAsia="Times New Roman" w:hAnsi="Arial" w:cs="Arial"/>
          <w:bCs/>
          <w:i/>
          <w:iCs/>
          <w:sz w:val="24"/>
          <w:szCs w:val="24"/>
          <w:lang w:eastAsia="es-ES"/>
        </w:rPr>
        <w:t xml:space="preserve">- - </w:t>
      </w:r>
    </w:p>
    <w:p w:rsidR="006C5C53" w:rsidRPr="006C5C53" w:rsidRDefault="005770C1" w:rsidP="00BB1E1D">
      <w:pPr>
        <w:widowControl w:val="0"/>
        <w:tabs>
          <w:tab w:val="left" w:pos="7938"/>
        </w:tabs>
        <w:spacing w:after="0" w:line="360" w:lineRule="auto"/>
        <w:ind w:left="1134" w:right="616"/>
        <w:jc w:val="both"/>
        <w:rPr>
          <w:rFonts w:ascii="Arial" w:eastAsia="Times New Roman" w:hAnsi="Arial" w:cs="Arial"/>
          <w:i/>
          <w:iCs/>
          <w:sz w:val="24"/>
          <w:szCs w:val="24"/>
          <w:lang w:eastAsia="es-ES"/>
        </w:rPr>
      </w:pPr>
      <w:r w:rsidRPr="00C06661">
        <w:rPr>
          <w:rFonts w:ascii="Arial" w:eastAsia="Times New Roman" w:hAnsi="Arial" w:cs="Arial"/>
          <w:b/>
          <w:bCs/>
          <w:i/>
          <w:iCs/>
          <w:sz w:val="24"/>
          <w:szCs w:val="24"/>
          <w:lang w:eastAsia="es-ES"/>
        </w:rPr>
        <w:t xml:space="preserve">TERCERO. </w:t>
      </w:r>
      <w:r w:rsidR="00B65376">
        <w:rPr>
          <w:rFonts w:ascii="Arial" w:eastAsia="Times New Roman" w:hAnsi="Arial" w:cs="Arial"/>
          <w:i/>
          <w:iCs/>
          <w:sz w:val="24"/>
          <w:szCs w:val="24"/>
          <w:lang w:eastAsia="es-ES"/>
        </w:rPr>
        <w:t xml:space="preserve">Se declara la </w:t>
      </w:r>
      <w:r w:rsidR="00D25915">
        <w:rPr>
          <w:rFonts w:ascii="Arial" w:eastAsia="Times New Roman" w:hAnsi="Arial" w:cs="Arial"/>
          <w:b/>
          <w:bCs/>
          <w:i/>
          <w:iCs/>
          <w:sz w:val="24"/>
          <w:szCs w:val="24"/>
          <w:lang w:eastAsia="es-ES"/>
        </w:rPr>
        <w:t>NULIDAD</w:t>
      </w:r>
      <w:r w:rsidR="006C5C53">
        <w:rPr>
          <w:rFonts w:ascii="Arial" w:eastAsia="Times New Roman" w:hAnsi="Arial" w:cs="Arial"/>
          <w:i/>
          <w:iCs/>
          <w:sz w:val="24"/>
          <w:szCs w:val="24"/>
          <w:lang w:eastAsia="es-ES"/>
        </w:rPr>
        <w:t>,</w:t>
      </w:r>
      <w:r w:rsidR="00D25915">
        <w:rPr>
          <w:rFonts w:ascii="Arial" w:eastAsia="Times New Roman" w:hAnsi="Arial" w:cs="Arial"/>
          <w:b/>
          <w:bCs/>
          <w:i/>
          <w:iCs/>
          <w:sz w:val="24"/>
          <w:szCs w:val="24"/>
          <w:lang w:eastAsia="es-ES"/>
        </w:rPr>
        <w:t xml:space="preserve"> </w:t>
      </w:r>
      <w:r w:rsidR="006C5C53">
        <w:rPr>
          <w:rFonts w:ascii="Arial" w:eastAsia="Times New Roman" w:hAnsi="Arial" w:cs="Arial"/>
          <w:i/>
          <w:iCs/>
          <w:sz w:val="24"/>
          <w:szCs w:val="24"/>
          <w:lang w:eastAsia="es-ES"/>
        </w:rPr>
        <w:t xml:space="preserve">del dictamen emitido por el </w:t>
      </w:r>
      <w:r w:rsidR="006C5C53">
        <w:rPr>
          <w:rFonts w:ascii="Arial" w:eastAsia="Times New Roman" w:hAnsi="Arial" w:cs="Arial"/>
          <w:b/>
          <w:bCs/>
          <w:i/>
          <w:iCs/>
          <w:sz w:val="24"/>
          <w:szCs w:val="24"/>
          <w:lang w:eastAsia="es-ES"/>
        </w:rPr>
        <w:t xml:space="preserve">Consejo Directivo de Pensiones del Gobierno del Estado de Oaxaca, </w:t>
      </w:r>
      <w:r w:rsidR="006C5C53">
        <w:rPr>
          <w:rFonts w:ascii="Arial" w:eastAsia="Times New Roman" w:hAnsi="Arial" w:cs="Arial"/>
          <w:i/>
          <w:iCs/>
          <w:sz w:val="24"/>
          <w:szCs w:val="24"/>
          <w:lang w:eastAsia="es-ES"/>
        </w:rPr>
        <w:t xml:space="preserve">contenido en el oficio </w:t>
      </w:r>
      <w:r w:rsidR="00F8766D" w:rsidRPr="00F8766D">
        <w:rPr>
          <w:rFonts w:ascii="Arial" w:eastAsia="Times New Roman" w:hAnsi="Arial" w:cs="Arial"/>
          <w:b/>
          <w:i/>
          <w:iCs/>
          <w:sz w:val="24"/>
          <w:szCs w:val="24"/>
          <w:lang w:eastAsia="es-ES"/>
        </w:rPr>
        <w:t>**********</w:t>
      </w:r>
      <w:r w:rsidR="00BB1E1D">
        <w:rPr>
          <w:rFonts w:ascii="Arial" w:eastAsia="Times New Roman" w:hAnsi="Arial" w:cs="Arial"/>
          <w:i/>
          <w:iCs/>
          <w:sz w:val="24"/>
          <w:szCs w:val="24"/>
          <w:lang w:eastAsia="es-ES"/>
        </w:rPr>
        <w:t xml:space="preserve"> de fecha dos de enero del</w:t>
      </w:r>
      <w:r w:rsidR="006C5C53">
        <w:rPr>
          <w:rFonts w:ascii="Arial" w:eastAsia="Times New Roman" w:hAnsi="Arial" w:cs="Arial"/>
          <w:i/>
          <w:iCs/>
          <w:sz w:val="24"/>
          <w:szCs w:val="24"/>
          <w:lang w:eastAsia="es-ES"/>
        </w:rPr>
        <w:t xml:space="preserve"> dos mil diecinueve, signado por el Director General de la Oficina de Pensiones del Gobierno del Estado de Oaxaca, para el </w:t>
      </w:r>
      <w:r w:rsidR="006C5C53">
        <w:rPr>
          <w:rFonts w:ascii="Arial" w:eastAsia="Times New Roman" w:hAnsi="Arial" w:cs="Arial"/>
          <w:b/>
          <w:bCs/>
          <w:i/>
          <w:iCs/>
          <w:sz w:val="24"/>
          <w:szCs w:val="24"/>
          <w:lang w:eastAsia="es-ES"/>
        </w:rPr>
        <w:t xml:space="preserve">EFECTO </w:t>
      </w:r>
      <w:r w:rsidR="006C5C53">
        <w:rPr>
          <w:rFonts w:ascii="Arial" w:eastAsia="Times New Roman" w:hAnsi="Arial" w:cs="Arial"/>
          <w:i/>
          <w:iCs/>
          <w:sz w:val="24"/>
          <w:szCs w:val="24"/>
          <w:lang w:eastAsia="es-ES"/>
        </w:rPr>
        <w:t xml:space="preserve">de que el Consejo Directivo de la Oficina de Pensiones del Estado de Oaxaca </w:t>
      </w:r>
      <w:r w:rsidR="006C5C53">
        <w:rPr>
          <w:rFonts w:ascii="Arial" w:eastAsia="Times New Roman" w:hAnsi="Arial" w:cs="Arial"/>
          <w:b/>
          <w:bCs/>
          <w:i/>
          <w:iCs/>
          <w:sz w:val="24"/>
          <w:szCs w:val="24"/>
          <w:lang w:eastAsia="es-ES"/>
        </w:rPr>
        <w:t>emi</w:t>
      </w:r>
      <w:bookmarkStart w:id="0" w:name="_GoBack"/>
      <w:bookmarkEnd w:id="0"/>
      <w:r w:rsidR="006C5C53">
        <w:rPr>
          <w:rFonts w:ascii="Arial" w:eastAsia="Times New Roman" w:hAnsi="Arial" w:cs="Arial"/>
          <w:b/>
          <w:bCs/>
          <w:i/>
          <w:iCs/>
          <w:sz w:val="24"/>
          <w:szCs w:val="24"/>
          <w:lang w:eastAsia="es-ES"/>
        </w:rPr>
        <w:t xml:space="preserve">ta otro en </w:t>
      </w:r>
      <w:r w:rsidR="006C5C53">
        <w:rPr>
          <w:rFonts w:ascii="Arial" w:eastAsia="Times New Roman" w:hAnsi="Arial" w:cs="Arial"/>
          <w:b/>
          <w:bCs/>
          <w:i/>
          <w:iCs/>
          <w:sz w:val="24"/>
          <w:szCs w:val="24"/>
          <w:lang w:eastAsia="es-ES"/>
        </w:rPr>
        <w:lastRenderedPageBreak/>
        <w:t xml:space="preserve">su lugar, donde considere una interpretación extensiva al artículo 54, de la Ley de Pensiones para los Trabajadores del Estado de Oaxaca, aplicando el principio pro-persona y el mayor beneficio a la parte actora, a fin de que se le otorgue una pensión incluyendo las mismas prestaciones otorgadas como trabajadores de base, a las que tiene derecho; así como se le haga el pago retroactivo desde el primero de enero del (sic) dos mil dieciséis fecha en que empezó a percibir su pensión y subsecuentes. </w:t>
      </w:r>
      <w:r w:rsidR="006C5C53">
        <w:rPr>
          <w:rFonts w:ascii="Arial" w:eastAsia="Times New Roman" w:hAnsi="Arial" w:cs="Arial"/>
          <w:i/>
          <w:iCs/>
          <w:sz w:val="24"/>
          <w:szCs w:val="24"/>
          <w:lang w:eastAsia="es-ES"/>
        </w:rPr>
        <w:t xml:space="preserve">Asimismo por ser </w:t>
      </w:r>
      <w:proofErr w:type="spellStart"/>
      <w:r w:rsidR="006C5C53">
        <w:rPr>
          <w:rFonts w:ascii="Arial" w:eastAsia="Times New Roman" w:hAnsi="Arial" w:cs="Arial"/>
          <w:i/>
          <w:iCs/>
          <w:sz w:val="24"/>
          <w:szCs w:val="24"/>
          <w:lang w:eastAsia="es-ES"/>
        </w:rPr>
        <w:t>inconvencional</w:t>
      </w:r>
      <w:proofErr w:type="spellEnd"/>
      <w:r w:rsidR="006C5C53">
        <w:rPr>
          <w:rFonts w:ascii="Arial" w:eastAsia="Times New Roman" w:hAnsi="Arial" w:cs="Arial"/>
          <w:i/>
          <w:iCs/>
          <w:sz w:val="24"/>
          <w:szCs w:val="24"/>
          <w:lang w:eastAsia="es-ES"/>
        </w:rPr>
        <w:t xml:space="preserve"> no se le aplique el descuento del 9% por concepto de cuota al Fondo de Pensiones del monto total de su pensión</w:t>
      </w:r>
      <w:r w:rsidR="00797154">
        <w:rPr>
          <w:rFonts w:ascii="Arial" w:eastAsia="Times New Roman" w:hAnsi="Arial" w:cs="Arial"/>
          <w:i/>
          <w:iCs/>
          <w:sz w:val="24"/>
          <w:szCs w:val="24"/>
          <w:lang w:eastAsia="es-ES"/>
        </w:rPr>
        <w:t xml:space="preserve"> y en todo caso se le devuelva a la parte actora las cantidades que en todo caso hayan sido descontadas por esos conceptos. - - - - - - - - - - - - - - - - - - </w:t>
      </w:r>
      <w:r w:rsidR="00BB1E1D">
        <w:rPr>
          <w:rFonts w:ascii="Arial" w:eastAsia="Times New Roman" w:hAnsi="Arial" w:cs="Arial"/>
          <w:i/>
          <w:iCs/>
          <w:sz w:val="24"/>
          <w:szCs w:val="24"/>
          <w:lang w:eastAsia="es-ES"/>
        </w:rPr>
        <w:t xml:space="preserve">- - - - - - - - - - - - - - </w:t>
      </w:r>
    </w:p>
    <w:p w:rsidR="005770C1" w:rsidRPr="00797154" w:rsidRDefault="004E7657" w:rsidP="00BB1E1D">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CUARTO.- </w:t>
      </w:r>
      <w:r w:rsidR="005770C1" w:rsidRPr="00C06661">
        <w:rPr>
          <w:rFonts w:ascii="Arial" w:eastAsia="Times New Roman" w:hAnsi="Arial" w:cs="Arial"/>
          <w:b/>
          <w:bCs/>
          <w:i/>
          <w:iCs/>
          <w:sz w:val="24"/>
          <w:szCs w:val="24"/>
          <w:lang w:eastAsia="es-ES"/>
        </w:rPr>
        <w:t xml:space="preserve">NOTIFÍQUESE </w:t>
      </w:r>
      <w:r w:rsidR="00EE4102">
        <w:rPr>
          <w:rFonts w:ascii="Arial" w:eastAsia="Times New Roman" w:hAnsi="Arial" w:cs="Arial"/>
          <w:b/>
          <w:i/>
          <w:iCs/>
          <w:sz w:val="24"/>
          <w:szCs w:val="24"/>
          <w:lang w:eastAsia="es-ES"/>
        </w:rPr>
        <w:t>PERSONALMENTE A</w:t>
      </w:r>
      <w:r w:rsidR="00797154">
        <w:rPr>
          <w:rFonts w:ascii="Arial" w:eastAsia="Times New Roman" w:hAnsi="Arial" w:cs="Arial"/>
          <w:b/>
          <w:i/>
          <w:iCs/>
          <w:sz w:val="24"/>
          <w:szCs w:val="24"/>
          <w:lang w:eastAsia="es-ES"/>
        </w:rPr>
        <w:t>L</w:t>
      </w:r>
      <w:r w:rsidR="00EE4102">
        <w:rPr>
          <w:rFonts w:ascii="Arial" w:eastAsia="Times New Roman" w:hAnsi="Arial" w:cs="Arial"/>
          <w:b/>
          <w:i/>
          <w:iCs/>
          <w:sz w:val="24"/>
          <w:szCs w:val="24"/>
          <w:lang w:eastAsia="es-ES"/>
        </w:rPr>
        <w:t xml:space="preserve"> ACTOR Y POR OFICIO A LA AUTORIDAD</w:t>
      </w:r>
      <w:r w:rsidR="00797154">
        <w:rPr>
          <w:rFonts w:ascii="Arial" w:eastAsia="Times New Roman" w:hAnsi="Arial" w:cs="Arial"/>
          <w:b/>
          <w:i/>
          <w:iCs/>
          <w:sz w:val="24"/>
          <w:szCs w:val="24"/>
          <w:lang w:eastAsia="es-ES"/>
        </w:rPr>
        <w:t xml:space="preserve"> </w:t>
      </w:r>
      <w:r w:rsidR="00EE4102">
        <w:rPr>
          <w:rFonts w:ascii="Arial" w:eastAsia="Times New Roman" w:hAnsi="Arial" w:cs="Arial"/>
          <w:b/>
          <w:i/>
          <w:iCs/>
          <w:sz w:val="24"/>
          <w:szCs w:val="24"/>
          <w:lang w:eastAsia="es-ES"/>
        </w:rPr>
        <w:t>DEMANDADA</w:t>
      </w:r>
      <w:r w:rsidR="00797154">
        <w:rPr>
          <w:rFonts w:ascii="Arial" w:eastAsia="Times New Roman" w:hAnsi="Arial" w:cs="Arial"/>
          <w:b/>
          <w:i/>
          <w:iCs/>
          <w:sz w:val="24"/>
          <w:szCs w:val="24"/>
          <w:lang w:eastAsia="es-ES"/>
        </w:rPr>
        <w:t xml:space="preserve">, </w:t>
      </w:r>
      <w:r w:rsidR="00797154">
        <w:rPr>
          <w:rFonts w:ascii="Arial" w:eastAsia="Times New Roman" w:hAnsi="Arial" w:cs="Arial"/>
          <w:bCs/>
          <w:i/>
          <w:iCs/>
          <w:sz w:val="24"/>
          <w:szCs w:val="24"/>
          <w:lang w:eastAsia="es-ES"/>
        </w:rPr>
        <w:t>con fundamento en los artículos 172 fracción I y 173 fracciones I y II, de la Ley de Procedimiento y Justicia Administrativa para el Estado de Oaxaca,-</w:t>
      </w:r>
      <w:r w:rsidR="00EE4102">
        <w:rPr>
          <w:rFonts w:ascii="Arial" w:eastAsia="Times New Roman" w:hAnsi="Arial" w:cs="Arial"/>
          <w:b/>
          <w:i/>
          <w:iCs/>
          <w:sz w:val="24"/>
          <w:szCs w:val="24"/>
          <w:lang w:eastAsia="es-ES"/>
        </w:rPr>
        <w:t xml:space="preserve"> </w:t>
      </w:r>
      <w:r w:rsidR="005770C1">
        <w:rPr>
          <w:rFonts w:ascii="Arial" w:eastAsia="Times New Roman" w:hAnsi="Arial" w:cs="Arial"/>
          <w:b/>
          <w:bCs/>
          <w:i/>
          <w:iCs/>
          <w:sz w:val="24"/>
          <w:szCs w:val="24"/>
          <w:lang w:eastAsia="es-ES"/>
        </w:rPr>
        <w:t>CÚMPLASE</w:t>
      </w:r>
      <w:r w:rsidR="00EE4102" w:rsidRPr="00EE4102">
        <w:rPr>
          <w:rFonts w:ascii="Arial" w:eastAsia="Times New Roman" w:hAnsi="Arial" w:cs="Arial"/>
          <w:bCs/>
          <w:i/>
          <w:iCs/>
          <w:sz w:val="24"/>
          <w:szCs w:val="24"/>
          <w:lang w:eastAsia="es-ES"/>
        </w:rPr>
        <w:t>.- - - - - - - - - - - - - - - - - -</w:t>
      </w:r>
      <w:r w:rsidR="00BB1E1D" w:rsidRPr="00BB1E1D">
        <w:rPr>
          <w:rFonts w:ascii="Arial" w:eastAsia="Times New Roman" w:hAnsi="Arial" w:cs="Arial"/>
          <w:bCs/>
          <w:iCs/>
          <w:sz w:val="26"/>
          <w:szCs w:val="26"/>
          <w:lang w:eastAsia="es-ES"/>
        </w:rPr>
        <w:t>”</w:t>
      </w:r>
    </w:p>
    <w:p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BB1E1D"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 </w:t>
      </w:r>
      <w:r w:rsidR="005770C1">
        <w:rPr>
          <w:rFonts w:ascii="Arial" w:hAnsi="Arial" w:cs="Arial"/>
          <w:bCs/>
          <w:iCs/>
          <w:sz w:val="26"/>
          <w:szCs w:val="26"/>
          <w:lang w:eastAsia="es-ES"/>
        </w:rPr>
        <w:t>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a sentencia de</w:t>
      </w:r>
      <w:r w:rsidR="00F426C1">
        <w:rPr>
          <w:rFonts w:ascii="Arial" w:hAnsi="Arial" w:cs="Arial"/>
          <w:bCs/>
          <w:iCs/>
          <w:sz w:val="26"/>
          <w:szCs w:val="26"/>
        </w:rPr>
        <w:t xml:space="preserve"> </w:t>
      </w:r>
      <w:r w:rsidR="00797154">
        <w:rPr>
          <w:rFonts w:ascii="Arial" w:hAnsi="Arial" w:cs="Arial"/>
          <w:bCs/>
          <w:iCs/>
          <w:sz w:val="26"/>
          <w:szCs w:val="26"/>
        </w:rPr>
        <w:t xml:space="preserve">veintisiete </w:t>
      </w:r>
      <w:r w:rsidR="00EE4102">
        <w:rPr>
          <w:rFonts w:ascii="Arial" w:hAnsi="Arial" w:cs="Arial"/>
          <w:bCs/>
          <w:iCs/>
          <w:sz w:val="26"/>
          <w:szCs w:val="26"/>
        </w:rPr>
        <w:t xml:space="preserve">de </w:t>
      </w:r>
      <w:r w:rsidR="00797154">
        <w:rPr>
          <w:rFonts w:ascii="Arial" w:hAnsi="Arial" w:cs="Arial"/>
          <w:bCs/>
          <w:iCs/>
          <w:sz w:val="26"/>
          <w:szCs w:val="26"/>
        </w:rPr>
        <w:t xml:space="preserve">mayo </w:t>
      </w:r>
      <w:r w:rsidR="009450FF">
        <w:rPr>
          <w:rFonts w:ascii="Arial" w:hAnsi="Arial" w:cs="Arial"/>
          <w:sz w:val="26"/>
          <w:szCs w:val="26"/>
        </w:rPr>
        <w:t>de dos mil diecinueve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797154">
        <w:rPr>
          <w:rFonts w:ascii="Arial" w:hAnsi="Arial" w:cs="Arial"/>
          <w:bCs/>
          <w:iCs/>
          <w:sz w:val="26"/>
          <w:szCs w:val="26"/>
        </w:rPr>
        <w:t xml:space="preserve">Sexta </w:t>
      </w:r>
      <w:r w:rsidR="005770C1"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w:t>
      </w:r>
      <w:r w:rsidR="00EE4102">
        <w:rPr>
          <w:rFonts w:ascii="Arial" w:hAnsi="Arial" w:cs="Arial"/>
          <w:b/>
          <w:bCs/>
          <w:iCs/>
          <w:sz w:val="26"/>
          <w:szCs w:val="26"/>
        </w:rPr>
        <w:t>0</w:t>
      </w:r>
      <w:r w:rsidR="00797154">
        <w:rPr>
          <w:rFonts w:ascii="Arial" w:hAnsi="Arial" w:cs="Arial"/>
          <w:b/>
          <w:bCs/>
          <w:iCs/>
          <w:sz w:val="26"/>
          <w:szCs w:val="26"/>
        </w:rPr>
        <w:t>14</w:t>
      </w:r>
      <w:r w:rsidR="005770C1">
        <w:rPr>
          <w:rFonts w:ascii="Arial" w:hAnsi="Arial" w:cs="Arial"/>
          <w:b/>
          <w:bCs/>
          <w:iCs/>
          <w:sz w:val="26"/>
          <w:szCs w:val="26"/>
        </w:rPr>
        <w:t>/201</w:t>
      </w:r>
      <w:r w:rsidR="00797154">
        <w:rPr>
          <w:rFonts w:ascii="Arial" w:hAnsi="Arial" w:cs="Arial"/>
          <w:b/>
          <w:bCs/>
          <w:iCs/>
          <w:sz w:val="26"/>
          <w:szCs w:val="26"/>
        </w:rPr>
        <w:t>9</w:t>
      </w:r>
      <w:r w:rsidR="005770C1" w:rsidRPr="00CB6405">
        <w:rPr>
          <w:rFonts w:ascii="Arial" w:hAnsi="Arial" w:cs="Arial"/>
          <w:sz w:val="26"/>
          <w:szCs w:val="26"/>
        </w:rPr>
        <w:t>.</w:t>
      </w:r>
    </w:p>
    <w:p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sidR="00797154">
        <w:rPr>
          <w:rFonts w:ascii="Arial" w:hAnsi="Arial" w:cs="Arial"/>
          <w:sz w:val="26"/>
          <w:szCs w:val="26"/>
        </w:rPr>
        <w:t xml:space="preserve">el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sidR="00EB0FE9">
        <w:rPr>
          <w:rFonts w:ascii="Arial" w:hAnsi="Arial" w:cs="Arial"/>
          <w:sz w:val="26"/>
          <w:szCs w:val="26"/>
        </w:rPr>
        <w:t xml:space="preserve">Sirve de apoyo a lo anterior la tesis aislada, emitida por el Tercer Tribunal Colegiado en Materia Administrativa del Primer Circuito, publicada en el Semanario </w:t>
      </w:r>
      <w:r w:rsidR="00EB0FE9">
        <w:rPr>
          <w:rFonts w:ascii="Arial" w:hAnsi="Arial" w:cs="Arial"/>
          <w:sz w:val="26"/>
          <w:szCs w:val="26"/>
        </w:rPr>
        <w:lastRenderedPageBreak/>
        <w:t>Judicial de la Federación y su Gaceta, en la séptima época, volumen 81, sexta parte, página 23, materia común, de rubro y texto siguientes:</w:t>
      </w:r>
    </w:p>
    <w:p w:rsidR="00EB0FE9" w:rsidRDefault="00EB0FE9" w:rsidP="00227A95">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023385"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sidR="00BB1E1D">
        <w:rPr>
          <w:rFonts w:ascii="Arial" w:eastAsia="Calibri" w:hAnsi="Arial" w:cs="Arial"/>
          <w:b/>
          <w:bCs/>
          <w:sz w:val="26"/>
          <w:szCs w:val="26"/>
        </w:rPr>
        <w:t xml:space="preserve"> </w:t>
      </w:r>
      <w:r w:rsidR="00B96729">
        <w:rPr>
          <w:rFonts w:ascii="Arial" w:hAnsi="Arial" w:cs="Arial"/>
          <w:bCs/>
          <w:color w:val="000000"/>
          <w:sz w:val="26"/>
          <w:szCs w:val="26"/>
        </w:rPr>
        <w:t xml:space="preserve">Inicia sus alegaciones </w:t>
      </w:r>
      <w:r w:rsidR="001B1578">
        <w:rPr>
          <w:rFonts w:ascii="Arial" w:hAnsi="Arial" w:cs="Arial"/>
          <w:bCs/>
          <w:color w:val="000000"/>
          <w:sz w:val="26"/>
          <w:szCs w:val="26"/>
        </w:rPr>
        <w:t xml:space="preserve">el recurrente </w:t>
      </w:r>
      <w:r w:rsidR="00B96729">
        <w:rPr>
          <w:rFonts w:ascii="Arial" w:hAnsi="Arial" w:cs="Arial"/>
          <w:bCs/>
          <w:color w:val="000000"/>
          <w:sz w:val="26"/>
          <w:szCs w:val="26"/>
        </w:rPr>
        <w:t>arguyendo</w:t>
      </w:r>
      <w:r w:rsidR="00805360">
        <w:rPr>
          <w:rFonts w:ascii="Arial" w:hAnsi="Arial" w:cs="Arial"/>
          <w:bCs/>
          <w:color w:val="000000"/>
          <w:sz w:val="26"/>
          <w:szCs w:val="26"/>
        </w:rPr>
        <w:t xml:space="preserve">, </w:t>
      </w:r>
      <w:r w:rsidR="00B96729">
        <w:rPr>
          <w:rFonts w:ascii="Arial" w:hAnsi="Arial" w:cs="Arial"/>
          <w:bCs/>
          <w:color w:val="000000"/>
          <w:sz w:val="26"/>
          <w:szCs w:val="26"/>
        </w:rPr>
        <w:t xml:space="preserve">que la </w:t>
      </w:r>
      <w:r w:rsidR="001B1578">
        <w:rPr>
          <w:rFonts w:ascii="Arial" w:hAnsi="Arial" w:cs="Arial"/>
          <w:bCs/>
          <w:color w:val="000000"/>
          <w:sz w:val="26"/>
          <w:szCs w:val="26"/>
        </w:rPr>
        <w:t xml:space="preserve">determinación contenida en la sentencia alzada, le causa agravios a su representada, porque </w:t>
      </w:r>
      <w:r w:rsidR="00E9728B">
        <w:rPr>
          <w:rFonts w:ascii="Arial" w:hAnsi="Arial" w:cs="Arial"/>
          <w:bCs/>
          <w:color w:val="000000"/>
          <w:sz w:val="26"/>
          <w:szCs w:val="26"/>
        </w:rPr>
        <w:t>los actos ya fueron consentidos por el administrado; adem</w:t>
      </w:r>
      <w:r w:rsidR="00023385">
        <w:rPr>
          <w:rFonts w:ascii="Arial" w:hAnsi="Arial" w:cs="Arial"/>
          <w:bCs/>
          <w:color w:val="000000"/>
          <w:sz w:val="26"/>
          <w:szCs w:val="26"/>
        </w:rPr>
        <w:t xml:space="preserve">ás de </w:t>
      </w:r>
      <w:r w:rsidR="00E9728B">
        <w:rPr>
          <w:rFonts w:ascii="Arial" w:hAnsi="Arial" w:cs="Arial"/>
          <w:bCs/>
          <w:color w:val="000000"/>
          <w:sz w:val="26"/>
          <w:szCs w:val="26"/>
        </w:rPr>
        <w:t>que la demandada aplicó lo dispuesto por los artículos 53 y 54</w:t>
      </w:r>
      <w:r w:rsidR="00023385">
        <w:rPr>
          <w:rFonts w:ascii="Arial" w:hAnsi="Arial" w:cs="Arial"/>
          <w:bCs/>
          <w:color w:val="000000"/>
          <w:sz w:val="26"/>
          <w:szCs w:val="26"/>
        </w:rPr>
        <w:t xml:space="preserve"> de la Ley de Pensiones del Estado, de lo que se puede deducir que no existe discriminación, puesto que los supuestos que menciona no son equivalentes, ya que el interesado no se encuentra en las mismas condiciones de la vigencia de la legislación actual, para volver aplicable “</w:t>
      </w:r>
      <w:proofErr w:type="spellStart"/>
      <w:r w:rsidR="00023385" w:rsidRPr="00023385">
        <w:rPr>
          <w:rFonts w:ascii="Arial" w:hAnsi="Arial" w:cs="Arial"/>
          <w:bCs/>
          <w:i/>
          <w:color w:val="000000"/>
          <w:sz w:val="24"/>
          <w:szCs w:val="24"/>
        </w:rPr>
        <w:t>ultractivamente</w:t>
      </w:r>
      <w:proofErr w:type="spellEnd"/>
      <w:r w:rsidR="00023385">
        <w:rPr>
          <w:rFonts w:ascii="Arial" w:hAnsi="Arial" w:cs="Arial"/>
          <w:bCs/>
          <w:color w:val="000000"/>
          <w:sz w:val="26"/>
          <w:szCs w:val="26"/>
        </w:rPr>
        <w:t>” una ley que quedo abrogada, por lo que no hay un trato desigual en lo relativo al otorgamiento de la pensión por invalidez; precisa que se debe comparar al peticionario desde un punto de vista determinado, este al momento de otorgarse la jubilación le fue concedida con el cargo que venía desempañando, por ello no existe desigualdad frente a los jubilados de base, porque estos desde su vida laboral generaron las prestaciones que establece la Ley de Pensiones, y que por ello el trato que se le da a uno y otro es diferente, pero no desigual, porque el artículo 54 sólo prevé a los jubilados. Cita los criterios de rubros: “</w:t>
      </w:r>
      <w:r w:rsidR="00023385" w:rsidRPr="00023385">
        <w:rPr>
          <w:rFonts w:ascii="Arial" w:hAnsi="Arial" w:cs="Arial"/>
          <w:bCs/>
          <w:i/>
          <w:color w:val="000000"/>
        </w:rPr>
        <w:t>IGUALDAD. CRITERIOS QUE DEBEN OBSERVARSE EN EL CONTROL DE LA CONSTITUCIONALIDAD DE NORMAS QUE SE ESTIMAN VIOLATORIAS DE DICHA GARANTÍA.</w:t>
      </w:r>
      <w:r w:rsidR="00023385">
        <w:rPr>
          <w:rFonts w:ascii="Arial" w:hAnsi="Arial" w:cs="Arial"/>
          <w:bCs/>
          <w:color w:val="000000"/>
          <w:sz w:val="26"/>
          <w:szCs w:val="26"/>
        </w:rPr>
        <w:t>” y “</w:t>
      </w:r>
      <w:r w:rsidR="00023385">
        <w:rPr>
          <w:rFonts w:ascii="Arial" w:hAnsi="Arial" w:cs="Arial"/>
          <w:bCs/>
          <w:i/>
          <w:color w:val="000000"/>
        </w:rPr>
        <w:t xml:space="preserve">SEGURIDAD SOCIAL PARA LOS SERVIDORES PÚBLICOS DEL ESTADO DE MÉXICO Y MUNICIPIOS. LOS ARTÍCULOS SEGUNDO Y CUARTO TRANSITORIOS DEL DECRETO NÚMERO 227, POR EL QUE SE REFORMAN, ADICIONAN Y DEROGAN DIVERSOS PRECEPTOS DE LA LEY RELATIVA, PUBLICADO EN LA GACETA DEL GOBIERNO LOCAL EL 2 DE ABRIL DE 2009, NO VIOLAN EL DERECHO A LA IGUALDAD, PREVISTO EN EL ARTÍCULO 1o., PRMER PÁRRAFO, DE LA </w:t>
      </w:r>
      <w:r w:rsidR="00023385">
        <w:rPr>
          <w:rFonts w:ascii="Arial" w:hAnsi="Arial" w:cs="Arial"/>
          <w:bCs/>
          <w:i/>
          <w:color w:val="000000"/>
        </w:rPr>
        <w:lastRenderedPageBreak/>
        <w:t>CONSTITUCIÓN FEDERAL</w:t>
      </w:r>
      <w:r w:rsidR="00023385" w:rsidRPr="00023385">
        <w:rPr>
          <w:rFonts w:ascii="Arial" w:hAnsi="Arial" w:cs="Arial"/>
          <w:bCs/>
          <w:i/>
          <w:color w:val="000000"/>
        </w:rPr>
        <w:t>.</w:t>
      </w:r>
      <w:r w:rsidR="00023385">
        <w:rPr>
          <w:rFonts w:ascii="Arial" w:hAnsi="Arial" w:cs="Arial"/>
          <w:bCs/>
          <w:color w:val="000000"/>
          <w:sz w:val="26"/>
          <w:szCs w:val="26"/>
        </w:rPr>
        <w:t>”</w:t>
      </w:r>
    </w:p>
    <w:p w:rsidR="00D073BC" w:rsidRDefault="00661E18"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Señala también, que para determinar la procedencia o improcedencia del pago de las prestaciones extralegales ya indicadas, debe estarse a lo estipulado sobre el particular en las condiciones generales del trabajo y considerar como se originaron estas condiciones, para poder aplicar lo dispuesto por el artículo 184 de la Ley Federal del Trabajo</w:t>
      </w:r>
      <w:r w:rsidR="00D073BC">
        <w:rPr>
          <w:rFonts w:ascii="Arial" w:hAnsi="Arial" w:cs="Arial"/>
          <w:bCs/>
          <w:color w:val="000000"/>
          <w:sz w:val="26"/>
          <w:szCs w:val="26"/>
        </w:rPr>
        <w:t>; precisando que las prestaciones indicadas se concederán a los jubilados, calidad, que no tiene el actor, al haber sido beneficiado con una pensión por invalidez, y que por ello no puede acceder al derecho de exigir el pago de esas prestaciones; sin que sean objeto de negociación las condiciones generales del trabajo, que son equivalentes al Reglamento Interior del Trabajo del Apartado A del artículo 123 de la Ley Federal del Trabajo.</w:t>
      </w:r>
    </w:p>
    <w:p w:rsidR="00D073BC" w:rsidRDefault="00D073BC"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Indica también que la Corte ha sustentado que la jubilación no encuentra dentro de la fundamento de la Constitución, ni en la Ley Federal del trabajo, al tratarse de una prestación de naturaleza extra legal, que se funda en el acuerdo de voluntades entre patrones y trabajadores. Cita el criterio de rubro: “</w:t>
      </w:r>
      <w:r w:rsidRPr="00D073BC">
        <w:rPr>
          <w:rFonts w:ascii="Arial" w:hAnsi="Arial" w:cs="Arial"/>
          <w:bCs/>
          <w:i/>
          <w:color w:val="000000"/>
        </w:rPr>
        <w:t>JUBILACIÓN. ES UN DERECHO EXTRA LEGAL.</w:t>
      </w:r>
      <w:r>
        <w:rPr>
          <w:rFonts w:ascii="Arial" w:hAnsi="Arial" w:cs="Arial"/>
          <w:bCs/>
          <w:color w:val="000000"/>
          <w:sz w:val="26"/>
          <w:szCs w:val="26"/>
        </w:rPr>
        <w:t>”</w:t>
      </w:r>
    </w:p>
    <w:p w:rsidR="00D57582" w:rsidRDefault="00D57582" w:rsidP="00D57582">
      <w:pPr>
        <w:widowControl w:val="0"/>
        <w:tabs>
          <w:tab w:val="left" w:pos="0"/>
        </w:tabs>
        <w:spacing w:before="240" w:after="0" w:line="360" w:lineRule="auto"/>
        <w:ind w:right="18"/>
        <w:jc w:val="both"/>
        <w:rPr>
          <w:rFonts w:ascii="Arial" w:hAnsi="Arial" w:cs="Arial"/>
          <w:bCs/>
          <w:color w:val="000000"/>
          <w:sz w:val="26"/>
          <w:szCs w:val="26"/>
          <w:lang w:val="es-MX"/>
        </w:rPr>
      </w:pPr>
      <w:r>
        <w:rPr>
          <w:rFonts w:ascii="Arial" w:hAnsi="Arial" w:cs="Arial"/>
          <w:bCs/>
          <w:color w:val="000000"/>
          <w:sz w:val="26"/>
          <w:szCs w:val="26"/>
          <w:lang w:val="es-MX"/>
        </w:rPr>
        <w:tab/>
        <w:t>Por otra parte en esencia aduce, que la Sala no tiene razón para integrar las prestaciones que señala el artículo 54 de la Ley de Pensiones para los Trabajadores del Gobierno del Estado de Oaxaca, porque el actor no genero un derecho de jubilado, sino es pensionado por invalidez; además que el principio pro persona no es absoluto, sino relativo, que no permite una aplicación lineal, por lo que la Sala debió buscar simetrías, para que el pronunciamiento a favor del actor fuera en detrimento del derecho de otros; toda vez que, el objeto de la Ley de Pensiones, es que todos los trabajadores puedan ser beneficiados con alguna de las pensiones, previstas en dicho ordenamiento legal, siempre que cumplan los requisitos correspondientes; que el artículo 6 de la citada Ley de Pensiones, establece que el financiamiento del régimen de seguridad social, se constituye con las aportaciones a cargo del Gobierno del Estado , del sueldo de los trabajadores y de las pensiones de jubilados y pensionados y cuotas a cargo de los trabajadores.</w:t>
      </w:r>
    </w:p>
    <w:p w:rsidR="00655E92" w:rsidRDefault="00AC32F1" w:rsidP="00655E92">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tab/>
        <w:t xml:space="preserve">Todas estas alegaciones son </w:t>
      </w:r>
      <w:r>
        <w:rPr>
          <w:rFonts w:ascii="Arial" w:hAnsi="Arial" w:cs="Arial"/>
          <w:b/>
          <w:bCs/>
          <w:color w:val="000000"/>
          <w:sz w:val="26"/>
          <w:szCs w:val="26"/>
        </w:rPr>
        <w:t>inoperantes</w:t>
      </w:r>
      <w:r w:rsidR="00655E92">
        <w:rPr>
          <w:rFonts w:ascii="Arial" w:hAnsi="Arial" w:cs="Arial"/>
          <w:b/>
          <w:bCs/>
          <w:color w:val="000000"/>
          <w:sz w:val="26"/>
          <w:szCs w:val="26"/>
        </w:rPr>
        <w:t xml:space="preserve"> </w:t>
      </w:r>
      <w:r w:rsidR="00655E92">
        <w:rPr>
          <w:rFonts w:ascii="Arial" w:eastAsia="Calibri" w:hAnsi="Arial" w:cs="Arial"/>
          <w:bCs/>
          <w:sz w:val="26"/>
          <w:szCs w:val="26"/>
        </w:rPr>
        <w:t xml:space="preserve">al no combatir de manera alguna la consideración toral emitida por la Primera Instancia para decretar la nulidad para el efecto del dictamen contenido en el oficio </w:t>
      </w:r>
      <w:r w:rsidR="00AC5F4B" w:rsidRPr="00AC5F4B">
        <w:rPr>
          <w:rFonts w:ascii="Arial" w:eastAsia="Calibri" w:hAnsi="Arial" w:cs="Arial"/>
          <w:b/>
          <w:bCs/>
          <w:sz w:val="26"/>
          <w:szCs w:val="26"/>
        </w:rPr>
        <w:t>**********</w:t>
      </w:r>
      <w:r w:rsidR="00655E92">
        <w:rPr>
          <w:rFonts w:ascii="Arial" w:eastAsia="Calibri" w:hAnsi="Arial" w:cs="Arial"/>
          <w:bCs/>
          <w:sz w:val="26"/>
          <w:szCs w:val="26"/>
        </w:rPr>
        <w:t xml:space="preserve"> impugnado; consistente en que la determinación contenida en </w:t>
      </w:r>
      <w:r w:rsidR="00655E92">
        <w:rPr>
          <w:rFonts w:ascii="Arial" w:eastAsia="Calibri" w:hAnsi="Arial" w:cs="Arial"/>
          <w:bCs/>
          <w:sz w:val="26"/>
          <w:szCs w:val="26"/>
        </w:rPr>
        <w:lastRenderedPageBreak/>
        <w:t xml:space="preserve">el oficio indicado, </w:t>
      </w:r>
      <w:r w:rsidR="00655E92">
        <w:rPr>
          <w:rFonts w:ascii="Arial" w:hAnsi="Arial" w:cs="Arial"/>
          <w:sz w:val="26"/>
          <w:szCs w:val="26"/>
        </w:rPr>
        <w:t>sin hacer una interpretación adecuada del artículo 54 de la Ley de Pensiones, es violatorio de los derechos humanos, contenidos en la Constitución Política de los Estados Unidos Mexicanos y Convención Americana, porque el actor tiene derecho a que se le dé un trato igualitario y no discriminatorio;</w:t>
      </w:r>
      <w:r w:rsidR="004875C3">
        <w:rPr>
          <w:rFonts w:ascii="Arial" w:hAnsi="Arial" w:cs="Arial"/>
          <w:sz w:val="26"/>
          <w:szCs w:val="26"/>
        </w:rPr>
        <w:t xml:space="preserve"> pues </w:t>
      </w:r>
      <w:r w:rsidR="00655E92">
        <w:rPr>
          <w:rFonts w:ascii="Arial" w:hAnsi="Arial" w:cs="Arial"/>
          <w:sz w:val="26"/>
          <w:szCs w:val="26"/>
        </w:rPr>
        <w:t>los trabajadores jubilados de base, tienen como prestaciones previsión social múltiple, despensa, vida cara, quinquenios, aguinaldo, estímulos del día del jubilado, día de las madres y canasta navideña; y al ser obligación de las autoridades promover, respetar, proteger y garantizar conforme los principios de universalidad, interdependencias, indivisi</w:t>
      </w:r>
      <w:r w:rsidR="004875C3">
        <w:rPr>
          <w:rFonts w:ascii="Arial" w:hAnsi="Arial" w:cs="Arial"/>
          <w:sz w:val="26"/>
          <w:szCs w:val="26"/>
        </w:rPr>
        <w:t xml:space="preserve">bilidad y progresividad, es que se debió aplicar el principio </w:t>
      </w:r>
      <w:proofErr w:type="spellStart"/>
      <w:r w:rsidR="004875C3">
        <w:rPr>
          <w:rFonts w:ascii="Arial" w:hAnsi="Arial" w:cs="Arial"/>
          <w:sz w:val="26"/>
          <w:szCs w:val="26"/>
        </w:rPr>
        <w:t>pro</w:t>
      </w:r>
      <w:proofErr w:type="spellEnd"/>
      <w:r w:rsidR="004875C3">
        <w:rPr>
          <w:rFonts w:ascii="Arial" w:hAnsi="Arial" w:cs="Arial"/>
          <w:sz w:val="26"/>
          <w:szCs w:val="26"/>
        </w:rPr>
        <w:t xml:space="preserve"> persona y dar la protección más amplia.</w:t>
      </w:r>
    </w:p>
    <w:p w:rsidR="00655E92" w:rsidRPr="002B506D" w:rsidRDefault="00655E92" w:rsidP="00661E18">
      <w:pPr>
        <w:spacing w:before="240"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655E92" w:rsidRPr="004A2FA8" w:rsidRDefault="00655E92" w:rsidP="00655E92">
      <w:pPr>
        <w:spacing w:line="360" w:lineRule="auto"/>
        <w:ind w:left="1134" w:right="709"/>
        <w:jc w:val="both"/>
        <w:rPr>
          <w:rFonts w:ascii="Arial" w:hAnsi="Arial" w:cs="Arial"/>
          <w:bCs/>
          <w:i/>
          <w:color w:val="000000" w:themeColor="text1"/>
          <w:sz w:val="24"/>
          <w:szCs w:val="24"/>
          <w:lang w:val="es-MX"/>
        </w:rPr>
      </w:pPr>
      <w:r w:rsidRPr="00041C7F">
        <w:rPr>
          <w:rFonts w:ascii="Arial" w:eastAsia="Times New Roman" w:hAnsi="Arial"/>
          <w:i/>
          <w:color w:val="000000" w:themeColor="text1"/>
          <w:sz w:val="24"/>
          <w:szCs w:val="24"/>
          <w:lang w:val="es-MX"/>
        </w:rPr>
        <w:t>“</w:t>
      </w: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5770C1" w:rsidRDefault="00D57582" w:rsidP="00D57582">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bCs/>
          <w:color w:val="000000"/>
          <w:sz w:val="26"/>
          <w:szCs w:val="26"/>
          <w:lang w:val="es-MX"/>
        </w:rPr>
        <w:tab/>
      </w:r>
      <w:r w:rsidR="005770C1">
        <w:rPr>
          <w:rFonts w:ascii="Arial" w:eastAsia="Calibri" w:hAnsi="Arial" w:cs="Arial"/>
          <w:bCs/>
          <w:sz w:val="26"/>
          <w:szCs w:val="26"/>
        </w:rPr>
        <w:t xml:space="preserve">En consecuencia, ante lo </w:t>
      </w:r>
      <w:r w:rsidR="005770C1">
        <w:rPr>
          <w:rFonts w:ascii="Arial" w:eastAsia="Calibri" w:hAnsi="Arial" w:cs="Arial"/>
          <w:b/>
          <w:bCs/>
          <w:sz w:val="26"/>
          <w:szCs w:val="26"/>
        </w:rPr>
        <w:t>in</w:t>
      </w:r>
      <w:r w:rsidR="003C5612">
        <w:rPr>
          <w:rFonts w:ascii="Arial" w:eastAsia="Calibri" w:hAnsi="Arial" w:cs="Arial"/>
          <w:b/>
          <w:bCs/>
          <w:sz w:val="26"/>
          <w:szCs w:val="26"/>
        </w:rPr>
        <w:t xml:space="preserve">operante </w:t>
      </w:r>
      <w:r w:rsidR="005770C1">
        <w:rPr>
          <w:rFonts w:ascii="Arial" w:eastAsia="Calibri" w:hAnsi="Arial" w:cs="Arial"/>
          <w:bCs/>
          <w:sz w:val="26"/>
          <w:szCs w:val="26"/>
        </w:rPr>
        <w:t xml:space="preserve">de los agravios planteados, lo procedente es </w:t>
      </w:r>
      <w:r w:rsidR="003C5612">
        <w:rPr>
          <w:rFonts w:ascii="Arial" w:eastAsia="Calibri" w:hAnsi="Arial" w:cs="Arial"/>
          <w:b/>
          <w:bCs/>
          <w:sz w:val="26"/>
          <w:szCs w:val="26"/>
        </w:rPr>
        <w:t xml:space="preserve">CONFIRMAR </w:t>
      </w:r>
      <w:r w:rsidR="005770C1">
        <w:rPr>
          <w:rFonts w:ascii="Arial" w:eastAsia="Calibri" w:hAnsi="Arial" w:cs="Arial"/>
          <w:bCs/>
          <w:sz w:val="26"/>
          <w:szCs w:val="26"/>
        </w:rPr>
        <w:t>la sentencia alzada.</w:t>
      </w:r>
    </w:p>
    <w:p w:rsidR="005770C1" w:rsidRDefault="005770C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3C5612">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antecede.- - - - - - - - - - - - - - - - - - - </w:t>
      </w:r>
    </w:p>
    <w:p w:rsidR="005770C1"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lastRenderedPageBreak/>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3C5612">
        <w:rPr>
          <w:rFonts w:ascii="Arial" w:hAnsi="Arial" w:cs="Arial"/>
          <w:sz w:val="26"/>
          <w:szCs w:val="26"/>
        </w:rPr>
        <w:t xml:space="preserve">Sexta </w:t>
      </w:r>
      <w:r>
        <w:rPr>
          <w:rFonts w:ascii="Arial" w:hAnsi="Arial" w:cs="Arial"/>
          <w:sz w:val="26"/>
          <w:szCs w:val="26"/>
        </w:rPr>
        <w:t xml:space="preserve">Sala Unitaria de Primera Instancia de este Tribunal y en su oportunidad archívese el presente cuaderno de revisión como asunto concluido.- - - - - - - - - - - - - </w:t>
      </w:r>
      <w:r w:rsidR="003C5612">
        <w:rPr>
          <w:rFonts w:ascii="Arial" w:hAnsi="Arial" w:cs="Arial"/>
          <w:sz w:val="26"/>
          <w:szCs w:val="26"/>
        </w:rPr>
        <w:t xml:space="preserve">- - - - - - - </w:t>
      </w:r>
    </w:p>
    <w:p w:rsidR="005770C1" w:rsidRPr="00CB6405" w:rsidRDefault="005770C1" w:rsidP="005770C1">
      <w:pPr>
        <w:spacing w:before="240"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w:t>
      </w:r>
      <w:proofErr w:type="spellStart"/>
      <w:r>
        <w:rPr>
          <w:rFonts w:ascii="Arial" w:hAnsi="Arial" w:cs="Arial"/>
          <w:sz w:val="26"/>
          <w:szCs w:val="26"/>
        </w:rPr>
        <w:t>Jarquín</w:t>
      </w:r>
      <w:proofErr w:type="spellEnd"/>
      <w:r w:rsidRPr="00CB6405">
        <w:rPr>
          <w:rFonts w:ascii="Arial" w:hAnsi="Arial" w:cs="Arial"/>
          <w:sz w:val="26"/>
          <w:szCs w:val="26"/>
        </w:rPr>
        <w:t>,</w:t>
      </w:r>
      <w:r>
        <w:rPr>
          <w:rFonts w:ascii="Arial" w:hAnsi="Arial" w:cs="Arial"/>
          <w:sz w:val="26"/>
          <w:szCs w:val="26"/>
        </w:rPr>
        <w:t xml:space="preserve"> (</w:t>
      </w:r>
      <w:r>
        <w:rPr>
          <w:rFonts w:ascii="Arial" w:hAnsi="Arial" w:cs="Arial"/>
          <w:b/>
          <w:sz w:val="26"/>
          <w:szCs w:val="26"/>
        </w:rPr>
        <w:t>ponente)</w:t>
      </w:r>
      <w:r w:rsidRPr="00027FE4">
        <w:rPr>
          <w:rFonts w:ascii="Arial" w:hAnsi="Arial" w:cs="Arial"/>
          <w:sz w:val="26"/>
          <w:szCs w:val="26"/>
        </w:rPr>
        <w:t>,</w:t>
      </w:r>
      <w:r w:rsidRPr="00CB6405">
        <w:rPr>
          <w:rFonts w:ascii="Arial" w:hAnsi="Arial" w:cs="Arial"/>
          <w:sz w:val="26"/>
          <w:szCs w:val="26"/>
        </w:rPr>
        <w:t xml:space="preserve"> </w:t>
      </w:r>
      <w:r>
        <w:rPr>
          <w:rFonts w:ascii="Arial" w:hAnsi="Arial" w:cs="Arial"/>
          <w:sz w:val="26"/>
          <w:szCs w:val="26"/>
        </w:rPr>
        <w:t xml:space="preserve">Manuel Velasco Alcántara, Raúl Palomares Palomino, Abraham Santiago Soriano y </w:t>
      </w:r>
      <w:r w:rsidRPr="00CB6405">
        <w:rPr>
          <w:rFonts w:ascii="Arial" w:hAnsi="Arial" w:cs="Arial"/>
          <w:sz w:val="26"/>
          <w:szCs w:val="26"/>
        </w:rPr>
        <w:t xml:space="preserve">Adrián Quiroga Avendaño; quienes actúan con la Licenciada </w:t>
      </w:r>
      <w:r>
        <w:rPr>
          <w:rFonts w:ascii="Arial" w:hAnsi="Arial" w:cs="Arial"/>
          <w:sz w:val="26"/>
          <w:szCs w:val="26"/>
        </w:rPr>
        <w:t xml:space="preserve">Felicitas Díaz </w:t>
      </w:r>
      <w:proofErr w:type="spellStart"/>
      <w:r>
        <w:rPr>
          <w:rFonts w:ascii="Arial" w:hAnsi="Arial" w:cs="Arial"/>
          <w:sz w:val="26"/>
          <w:szCs w:val="26"/>
        </w:rPr>
        <w:t>Vazquez</w:t>
      </w:r>
      <w:proofErr w:type="spellEnd"/>
      <w:r w:rsidRPr="00CB6405">
        <w:rPr>
          <w:rFonts w:ascii="Arial" w:hAnsi="Arial" w:cs="Arial"/>
          <w:sz w:val="26"/>
          <w:szCs w:val="26"/>
        </w:rPr>
        <w:t xml:space="preserve">, Secretaria General de Acuerdos de este Tribunal, que autoriza y da fe.- </w:t>
      </w:r>
    </w:p>
    <w:p w:rsidR="005770C1" w:rsidRDefault="005770C1" w:rsidP="005770C1">
      <w:pPr>
        <w:spacing w:line="360" w:lineRule="auto"/>
        <w:jc w:val="center"/>
        <w:rPr>
          <w:rFonts w:ascii="Arial" w:hAnsi="Arial" w:cs="Arial"/>
          <w:sz w:val="26"/>
          <w:szCs w:val="26"/>
        </w:rPr>
      </w:pPr>
    </w:p>
    <w:p w:rsidR="005770C1" w:rsidRDefault="005770C1" w:rsidP="005770C1">
      <w:pPr>
        <w:spacing w:line="360" w:lineRule="auto"/>
        <w:jc w:val="center"/>
        <w:rPr>
          <w:rFonts w:ascii="Arial" w:hAnsi="Arial" w:cs="Arial"/>
          <w:sz w:val="26"/>
          <w:szCs w:val="26"/>
        </w:rPr>
      </w:pPr>
      <w:r>
        <w:rPr>
          <w:rFonts w:ascii="Arial" w:hAnsi="Arial" w:cs="Arial"/>
          <w:sz w:val="26"/>
          <w:szCs w:val="26"/>
        </w:rPr>
        <w:t>MAGISTRADA MARÍA ELENA VILLA DE JARQUÍN</w:t>
      </w:r>
    </w:p>
    <w:p w:rsidR="005770C1" w:rsidRDefault="00F66E49" w:rsidP="005770C1">
      <w:pPr>
        <w:spacing w:line="360" w:lineRule="auto"/>
        <w:jc w:val="center"/>
        <w:rPr>
          <w:rFonts w:ascii="Arial" w:hAnsi="Arial" w:cs="Arial"/>
          <w:sz w:val="26"/>
          <w:szCs w:val="26"/>
        </w:rPr>
      </w:pPr>
      <w:r>
        <w:rPr>
          <w:rFonts w:ascii="Arial" w:hAnsi="Arial" w:cs="Arial"/>
          <w:sz w:val="26"/>
          <w:szCs w:val="26"/>
        </w:rPr>
        <w:t>PRESIDENTA</w:t>
      </w:r>
    </w:p>
    <w:p w:rsidR="005770C1" w:rsidRDefault="005770C1" w:rsidP="005770C1">
      <w:pPr>
        <w:tabs>
          <w:tab w:val="left" w:pos="1680"/>
          <w:tab w:val="center" w:pos="4277"/>
        </w:tabs>
        <w:spacing w:line="360" w:lineRule="auto"/>
        <w:jc w:val="center"/>
        <w:rPr>
          <w:rFonts w:ascii="Arial" w:hAnsi="Arial" w:cs="Arial"/>
          <w:sz w:val="26"/>
          <w:szCs w:val="26"/>
        </w:rPr>
      </w:pPr>
    </w:p>
    <w:p w:rsidR="005770C1" w:rsidRDefault="000B3B02" w:rsidP="005770C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MANUEL VELASCO ALCÁ</w:t>
      </w:r>
      <w:r w:rsidR="005770C1">
        <w:rPr>
          <w:rFonts w:ascii="Arial" w:hAnsi="Arial" w:cs="Arial"/>
          <w:sz w:val="26"/>
          <w:szCs w:val="26"/>
        </w:rPr>
        <w:t xml:space="preserve">NTARA </w:t>
      </w:r>
    </w:p>
    <w:p w:rsidR="000B3B02" w:rsidRDefault="000B3B02" w:rsidP="005770C1">
      <w:pPr>
        <w:spacing w:line="360" w:lineRule="auto"/>
        <w:jc w:val="center"/>
        <w:rPr>
          <w:rFonts w:ascii="Arial" w:hAnsi="Arial" w:cs="Arial"/>
          <w:sz w:val="26"/>
          <w:szCs w:val="26"/>
        </w:rPr>
      </w:pPr>
    </w:p>
    <w:p w:rsidR="005770C1" w:rsidRDefault="005770C1" w:rsidP="005770C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rsidR="005770C1" w:rsidRDefault="005770C1" w:rsidP="005770C1">
      <w:pPr>
        <w:tabs>
          <w:tab w:val="center" w:pos="4135"/>
          <w:tab w:val="left" w:pos="7515"/>
        </w:tabs>
        <w:spacing w:line="360" w:lineRule="auto"/>
        <w:jc w:val="center"/>
        <w:rPr>
          <w:rFonts w:ascii="Arial" w:hAnsi="Arial" w:cs="Arial"/>
          <w:sz w:val="26"/>
          <w:szCs w:val="26"/>
        </w:rPr>
      </w:pPr>
    </w:p>
    <w:p w:rsidR="005770C1" w:rsidRDefault="005770C1" w:rsidP="005770C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rsidR="005770C1" w:rsidRDefault="005770C1" w:rsidP="005770C1">
      <w:pPr>
        <w:tabs>
          <w:tab w:val="center" w:pos="4135"/>
          <w:tab w:val="left" w:pos="7515"/>
        </w:tabs>
        <w:spacing w:line="360" w:lineRule="auto"/>
        <w:jc w:val="center"/>
        <w:rPr>
          <w:rFonts w:ascii="Arial" w:hAnsi="Arial" w:cs="Arial"/>
          <w:sz w:val="26"/>
          <w:szCs w:val="26"/>
        </w:rPr>
      </w:pPr>
    </w:p>
    <w:p w:rsidR="005770C1" w:rsidRDefault="005770C1" w:rsidP="005770C1">
      <w:pPr>
        <w:spacing w:line="360" w:lineRule="auto"/>
        <w:jc w:val="center"/>
        <w:rPr>
          <w:rFonts w:ascii="Arial" w:hAnsi="Arial" w:cs="Arial"/>
          <w:sz w:val="26"/>
          <w:szCs w:val="26"/>
        </w:rPr>
      </w:pPr>
      <w:r>
        <w:rPr>
          <w:rFonts w:ascii="Arial" w:hAnsi="Arial" w:cs="Arial"/>
          <w:sz w:val="26"/>
          <w:szCs w:val="26"/>
        </w:rPr>
        <w:t>MAGISTRADO ADRIÁN QUIROGA AVENDAÑO</w:t>
      </w:r>
    </w:p>
    <w:p w:rsidR="005770C1" w:rsidRDefault="005770C1" w:rsidP="005770C1">
      <w:pPr>
        <w:jc w:val="center"/>
        <w:rPr>
          <w:rFonts w:ascii="Arial" w:hAnsi="Arial" w:cs="Arial"/>
          <w:sz w:val="26"/>
          <w:szCs w:val="26"/>
        </w:rPr>
      </w:pPr>
    </w:p>
    <w:p w:rsidR="005770C1" w:rsidRDefault="005770C1" w:rsidP="000B3B02">
      <w:pPr>
        <w:tabs>
          <w:tab w:val="left" w:pos="1925"/>
          <w:tab w:val="center" w:pos="4135"/>
        </w:tabs>
        <w:jc w:val="center"/>
        <w:rPr>
          <w:rFonts w:ascii="Arial" w:hAnsi="Arial" w:cs="Arial"/>
          <w:sz w:val="26"/>
          <w:szCs w:val="26"/>
        </w:rPr>
      </w:pPr>
      <w:r>
        <w:rPr>
          <w:rFonts w:ascii="Arial" w:hAnsi="Arial" w:cs="Arial"/>
          <w:sz w:val="26"/>
          <w:szCs w:val="26"/>
        </w:rPr>
        <w:t>LCDA. FELICITAS DÍAZ V</w:t>
      </w:r>
      <w:r w:rsidR="000B3B02">
        <w:rPr>
          <w:rFonts w:ascii="Arial" w:hAnsi="Arial" w:cs="Arial"/>
          <w:sz w:val="26"/>
          <w:szCs w:val="26"/>
        </w:rPr>
        <w:t>Á</w:t>
      </w:r>
      <w:r>
        <w:rPr>
          <w:rFonts w:ascii="Arial" w:hAnsi="Arial" w:cs="Arial"/>
          <w:sz w:val="26"/>
          <w:szCs w:val="26"/>
        </w:rPr>
        <w:t>ZQUEZ</w:t>
      </w:r>
    </w:p>
    <w:p w:rsidR="005770C1" w:rsidRDefault="005770C1" w:rsidP="005770C1">
      <w:pPr>
        <w:jc w:val="center"/>
        <w:rPr>
          <w:sz w:val="26"/>
          <w:szCs w:val="26"/>
        </w:rPr>
      </w:pPr>
      <w:r>
        <w:rPr>
          <w:rFonts w:ascii="Arial" w:hAnsi="Arial" w:cs="Arial"/>
          <w:sz w:val="26"/>
          <w:szCs w:val="26"/>
        </w:rPr>
        <w:t>SECRETARIA GENERAL DE ACUERDOS</w:t>
      </w:r>
    </w:p>
    <w:sectPr w:rsidR="005770C1"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53F" w:rsidRDefault="0086253F">
      <w:pPr>
        <w:spacing w:after="0" w:line="240" w:lineRule="auto"/>
      </w:pPr>
      <w:r>
        <w:separator/>
      </w:r>
    </w:p>
  </w:endnote>
  <w:endnote w:type="continuationSeparator" w:id="0">
    <w:p w:rsidR="0086253F" w:rsidRDefault="0086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53F" w:rsidRDefault="0086253F">
      <w:pPr>
        <w:spacing w:after="0" w:line="240" w:lineRule="auto"/>
      </w:pPr>
      <w:r>
        <w:separator/>
      </w:r>
    </w:p>
  </w:footnote>
  <w:footnote w:type="continuationSeparator" w:id="0">
    <w:p w:rsidR="0086253F" w:rsidRDefault="00862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20CBC" w:rsidRDefault="00120CBC" w:rsidP="00D25099">
        <w:pPr>
          <w:pStyle w:val="Encabezado"/>
          <w:jc w:val="center"/>
        </w:pPr>
        <w:r>
          <w:fldChar w:fldCharType="begin"/>
        </w:r>
        <w:r>
          <w:instrText>PAGE   \* MERGEFORMAT</w:instrText>
        </w:r>
        <w:r>
          <w:fldChar w:fldCharType="separate"/>
        </w:r>
        <w:r w:rsidR="00F8766D">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20CBC" w:rsidRDefault="00120CBC" w:rsidP="00206B99">
        <w:pPr>
          <w:pStyle w:val="Encabezado"/>
          <w:jc w:val="center"/>
          <w:rPr>
            <w:noProof/>
          </w:rPr>
        </w:pPr>
        <w:r>
          <w:fldChar w:fldCharType="begin"/>
        </w:r>
        <w:r>
          <w:instrText xml:space="preserve"> PAGE   \* MERGEFORMAT </w:instrText>
        </w:r>
        <w:r>
          <w:fldChar w:fldCharType="separate"/>
        </w:r>
        <w:r w:rsidR="00F8766D">
          <w:rPr>
            <w:noProof/>
          </w:rPr>
          <w:t>1</w:t>
        </w:r>
        <w:r>
          <w:rPr>
            <w:noProof/>
          </w:rPr>
          <w:fldChar w:fldCharType="end"/>
        </w:r>
      </w:p>
      <w:p w:rsidR="00120CBC" w:rsidRDefault="0086253F" w:rsidP="008C74CA">
        <w:pPr>
          <w:pStyle w:val="Encabezado"/>
          <w:jc w:val="center"/>
        </w:pPr>
      </w:p>
    </w:sdtContent>
  </w:sdt>
  <w:p w:rsidR="00120CBC" w:rsidRDefault="00120CBC" w:rsidP="00256B01">
    <w:pPr>
      <w:pStyle w:val="Encabezado"/>
      <w:jc w:val="center"/>
    </w:pPr>
  </w:p>
  <w:p w:rsidR="00120CBC" w:rsidRDefault="00120CBC" w:rsidP="00256B01">
    <w:pPr>
      <w:pStyle w:val="Encabezado"/>
      <w:jc w:val="center"/>
    </w:pPr>
    <w:r>
      <w:rPr>
        <w:noProof/>
        <w:lang w:val="es-MX" w:eastAsia="es-MX"/>
      </w:rPr>
      <w:drawing>
        <wp:anchor distT="0" distB="0" distL="114300" distR="114300" simplePos="0" relativeHeight="251661312" behindDoc="1" locked="0" layoutInCell="1" allowOverlap="1" wp14:anchorId="0393B5A8" wp14:editId="54ACA6D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813914C" wp14:editId="61B9F57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3A86"/>
    <w:rsid w:val="000169A3"/>
    <w:rsid w:val="00017C09"/>
    <w:rsid w:val="00021DF1"/>
    <w:rsid w:val="0002236D"/>
    <w:rsid w:val="00023385"/>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1578"/>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5DBE"/>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291C"/>
    <w:rsid w:val="002C6B6A"/>
    <w:rsid w:val="002C7363"/>
    <w:rsid w:val="002D1979"/>
    <w:rsid w:val="002D2BC6"/>
    <w:rsid w:val="002D3B49"/>
    <w:rsid w:val="002D4FC6"/>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1AB7"/>
    <w:rsid w:val="0037229A"/>
    <w:rsid w:val="003731F5"/>
    <w:rsid w:val="00375176"/>
    <w:rsid w:val="003779D8"/>
    <w:rsid w:val="00380776"/>
    <w:rsid w:val="00380BAC"/>
    <w:rsid w:val="003818BD"/>
    <w:rsid w:val="00381DC3"/>
    <w:rsid w:val="00382FD0"/>
    <w:rsid w:val="00383A19"/>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5612"/>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33FAD"/>
    <w:rsid w:val="00435B66"/>
    <w:rsid w:val="004365BF"/>
    <w:rsid w:val="004407BC"/>
    <w:rsid w:val="00441D6B"/>
    <w:rsid w:val="004426E6"/>
    <w:rsid w:val="00444733"/>
    <w:rsid w:val="004503A6"/>
    <w:rsid w:val="0045104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875C3"/>
    <w:rsid w:val="00491DA5"/>
    <w:rsid w:val="00493195"/>
    <w:rsid w:val="004961AD"/>
    <w:rsid w:val="004963BC"/>
    <w:rsid w:val="00496E71"/>
    <w:rsid w:val="00497AD8"/>
    <w:rsid w:val="00497E3B"/>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55E92"/>
    <w:rsid w:val="00661E08"/>
    <w:rsid w:val="00661E1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C5C53"/>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57401"/>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97154"/>
    <w:rsid w:val="007A0DD5"/>
    <w:rsid w:val="007A1ABA"/>
    <w:rsid w:val="007A25A8"/>
    <w:rsid w:val="007A2B3C"/>
    <w:rsid w:val="007A3ECB"/>
    <w:rsid w:val="007A452B"/>
    <w:rsid w:val="007A4CC0"/>
    <w:rsid w:val="007B0E0D"/>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7736"/>
    <w:rsid w:val="00807D70"/>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4270"/>
    <w:rsid w:val="008550F0"/>
    <w:rsid w:val="00855650"/>
    <w:rsid w:val="008561AA"/>
    <w:rsid w:val="00857BD3"/>
    <w:rsid w:val="00860037"/>
    <w:rsid w:val="00860FEF"/>
    <w:rsid w:val="008618D9"/>
    <w:rsid w:val="0086253F"/>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D15"/>
    <w:rsid w:val="009210A6"/>
    <w:rsid w:val="009233B3"/>
    <w:rsid w:val="00926FCD"/>
    <w:rsid w:val="00927607"/>
    <w:rsid w:val="00930FEF"/>
    <w:rsid w:val="00931E3D"/>
    <w:rsid w:val="00936EBE"/>
    <w:rsid w:val="0094005B"/>
    <w:rsid w:val="0094041C"/>
    <w:rsid w:val="00943709"/>
    <w:rsid w:val="00943B62"/>
    <w:rsid w:val="009443A6"/>
    <w:rsid w:val="009450FF"/>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230B"/>
    <w:rsid w:val="009F3F92"/>
    <w:rsid w:val="009F50FA"/>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A6A10"/>
    <w:rsid w:val="00AB00F1"/>
    <w:rsid w:val="00AB0764"/>
    <w:rsid w:val="00AB10A6"/>
    <w:rsid w:val="00AB19C6"/>
    <w:rsid w:val="00AB1E66"/>
    <w:rsid w:val="00AB1E7B"/>
    <w:rsid w:val="00AB4741"/>
    <w:rsid w:val="00AB628D"/>
    <w:rsid w:val="00AB641E"/>
    <w:rsid w:val="00AB6F46"/>
    <w:rsid w:val="00AC1530"/>
    <w:rsid w:val="00AC1D64"/>
    <w:rsid w:val="00AC2BA3"/>
    <w:rsid w:val="00AC32F1"/>
    <w:rsid w:val="00AC5F4B"/>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05FF"/>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5376"/>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1D"/>
    <w:rsid w:val="00BB1EC2"/>
    <w:rsid w:val="00BB2686"/>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3DA"/>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1C4"/>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8F6"/>
    <w:rsid w:val="00CC1DB1"/>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3BC"/>
    <w:rsid w:val="00D076E9"/>
    <w:rsid w:val="00D12214"/>
    <w:rsid w:val="00D12D3B"/>
    <w:rsid w:val="00D13225"/>
    <w:rsid w:val="00D1615A"/>
    <w:rsid w:val="00D16225"/>
    <w:rsid w:val="00D16547"/>
    <w:rsid w:val="00D20065"/>
    <w:rsid w:val="00D2010F"/>
    <w:rsid w:val="00D20368"/>
    <w:rsid w:val="00D21FC7"/>
    <w:rsid w:val="00D22035"/>
    <w:rsid w:val="00D224E2"/>
    <w:rsid w:val="00D24260"/>
    <w:rsid w:val="00D2489A"/>
    <w:rsid w:val="00D24BE6"/>
    <w:rsid w:val="00D25099"/>
    <w:rsid w:val="00D25915"/>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6684"/>
    <w:rsid w:val="00D47287"/>
    <w:rsid w:val="00D5482F"/>
    <w:rsid w:val="00D564D9"/>
    <w:rsid w:val="00D566F5"/>
    <w:rsid w:val="00D56752"/>
    <w:rsid w:val="00D56F54"/>
    <w:rsid w:val="00D5720A"/>
    <w:rsid w:val="00D57582"/>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9728B"/>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102"/>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26C1"/>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66E49"/>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8766D"/>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0A68"/>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361E7-A64F-4455-83F8-C0453DC0C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1897</Words>
  <Characters>10439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2020-01-13T19:40:00Z</cp:lastPrinted>
  <dcterms:created xsi:type="dcterms:W3CDTF">2020-09-22T15:57:00Z</dcterms:created>
  <dcterms:modified xsi:type="dcterms:W3CDTF">2020-09-24T17:12:00Z</dcterms:modified>
</cp:coreProperties>
</file>