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D27B2" w:rsidRPr="00195BF9" w:rsidTr="009834B1">
        <w:tc>
          <w:tcPr>
            <w:tcW w:w="2356" w:type="dxa"/>
          </w:tcPr>
          <w:p w:rsidR="005D27B2" w:rsidRPr="00195BF9" w:rsidRDefault="005D27B2" w:rsidP="009834B1">
            <w:pPr>
              <w:rPr>
                <w:rFonts w:ascii="Arial" w:hAnsi="Arial" w:cs="Arial"/>
                <w:b/>
                <w:sz w:val="24"/>
                <w:szCs w:val="24"/>
              </w:rPr>
            </w:pPr>
            <w:bookmarkStart w:id="0" w:name="_GoBack"/>
            <w:bookmarkEnd w:id="0"/>
            <w:r w:rsidRPr="00195BF9">
              <w:rPr>
                <w:rFonts w:ascii="Arial" w:hAnsi="Arial" w:cs="Arial"/>
                <w:b/>
                <w:sz w:val="24"/>
                <w:szCs w:val="24"/>
              </w:rPr>
              <w:t xml:space="preserve">     </w:t>
            </w:r>
          </w:p>
        </w:tc>
        <w:tc>
          <w:tcPr>
            <w:tcW w:w="7426" w:type="dxa"/>
          </w:tcPr>
          <w:p w:rsidR="005D27B2" w:rsidRPr="00195BF9" w:rsidRDefault="005D27B2" w:rsidP="009834B1">
            <w:pPr>
              <w:tabs>
                <w:tab w:val="left" w:pos="3103"/>
              </w:tabs>
              <w:ind w:left="2394"/>
              <w:jc w:val="both"/>
              <w:rPr>
                <w:rFonts w:ascii="Arial" w:hAnsi="Arial" w:cs="Arial"/>
                <w:b/>
                <w:i/>
                <w:iCs/>
                <w:caps/>
                <w:sz w:val="24"/>
                <w:szCs w:val="24"/>
              </w:rPr>
            </w:pPr>
            <w:r w:rsidRPr="00195BF9">
              <w:rPr>
                <w:rFonts w:ascii="Arial" w:hAnsi="Arial" w:cs="Arial"/>
                <w:b/>
                <w:i/>
                <w:iCs/>
                <w:caps/>
                <w:sz w:val="24"/>
                <w:szCs w:val="24"/>
              </w:rPr>
              <w:t xml:space="preserve">                       </w:t>
            </w:r>
          </w:p>
          <w:p w:rsidR="005D27B2" w:rsidRPr="00195BF9" w:rsidRDefault="005D27B2" w:rsidP="005D27B2">
            <w:pPr>
              <w:tabs>
                <w:tab w:val="left" w:pos="3103"/>
              </w:tabs>
              <w:ind w:left="1969" w:right="643"/>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rsidR="005D27B2" w:rsidRPr="00195BF9" w:rsidRDefault="005D27B2" w:rsidP="005D27B2">
            <w:pPr>
              <w:pStyle w:val="Encabezado"/>
              <w:tabs>
                <w:tab w:val="clear" w:pos="4252"/>
              </w:tabs>
              <w:ind w:left="1969" w:right="643"/>
              <w:jc w:val="both"/>
              <w:rPr>
                <w:rFonts w:ascii="Arial" w:hAnsi="Arial" w:cs="Arial"/>
                <w:b/>
                <w:iCs/>
                <w:caps/>
                <w:lang w:val="es-PE"/>
              </w:rPr>
            </w:pPr>
            <w:r w:rsidRPr="00195BF9">
              <w:rPr>
                <w:rFonts w:ascii="Arial" w:hAnsi="Arial" w:cs="Arial"/>
                <w:b/>
                <w:iCs/>
                <w:caps/>
                <w:lang w:val="es-PE"/>
              </w:rPr>
              <w:t xml:space="preserve">               </w:t>
            </w:r>
          </w:p>
          <w:p w:rsidR="005D27B2" w:rsidRDefault="005D27B2" w:rsidP="005D27B2">
            <w:pPr>
              <w:pStyle w:val="Encabezado"/>
              <w:tabs>
                <w:tab w:val="clear" w:pos="4252"/>
              </w:tabs>
              <w:ind w:left="1969" w:right="643"/>
              <w:jc w:val="both"/>
              <w:rPr>
                <w:rFonts w:ascii="Arial" w:hAnsi="Arial" w:cs="Arial"/>
                <w:b/>
                <w:iCs/>
                <w:caps/>
                <w:lang w:val="es-PE"/>
              </w:rPr>
            </w:pPr>
            <w:r>
              <w:rPr>
                <w:rFonts w:ascii="Arial" w:hAnsi="Arial" w:cs="Arial"/>
                <w:b/>
                <w:iCs/>
                <w:caps/>
                <w:lang w:val="es-PE"/>
              </w:rPr>
              <w:t>RECURSO DE REVISIÓN:   236/2018</w:t>
            </w:r>
            <w:r w:rsidRPr="00195BF9">
              <w:rPr>
                <w:rFonts w:ascii="Arial" w:hAnsi="Arial" w:cs="Arial"/>
                <w:b/>
                <w:iCs/>
                <w:caps/>
                <w:lang w:val="es-PE"/>
              </w:rPr>
              <w:t xml:space="preserve"> </w:t>
            </w:r>
          </w:p>
          <w:p w:rsidR="005D27B2" w:rsidRDefault="005D27B2" w:rsidP="005D27B2">
            <w:pPr>
              <w:pStyle w:val="Encabezado"/>
              <w:tabs>
                <w:tab w:val="clear" w:pos="4252"/>
              </w:tabs>
              <w:ind w:left="1969" w:right="643"/>
              <w:jc w:val="both"/>
              <w:rPr>
                <w:rFonts w:ascii="Arial" w:hAnsi="Arial" w:cs="Arial"/>
                <w:b/>
                <w:iCs/>
                <w:caps/>
                <w:lang w:val="es-PE"/>
              </w:rPr>
            </w:pPr>
          </w:p>
          <w:p w:rsidR="005D27B2" w:rsidRPr="00195BF9" w:rsidRDefault="005D27B2" w:rsidP="005D27B2">
            <w:pPr>
              <w:pStyle w:val="Encabezado"/>
              <w:tabs>
                <w:tab w:val="clear" w:pos="4252"/>
              </w:tabs>
              <w:ind w:left="1969" w:right="643"/>
              <w:jc w:val="both"/>
              <w:rPr>
                <w:rFonts w:ascii="Arial" w:hAnsi="Arial" w:cs="Arial"/>
                <w:b/>
                <w:iCs/>
                <w:caps/>
                <w:lang w:val="es-PE"/>
              </w:rPr>
            </w:pPr>
            <w:r>
              <w:rPr>
                <w:rFonts w:ascii="Arial" w:hAnsi="Arial" w:cs="Arial"/>
                <w:b/>
                <w:iCs/>
                <w:caps/>
                <w:lang w:val="es-PE"/>
              </w:rPr>
              <w:t>EXPEDIENTE: 279/2016</w:t>
            </w:r>
            <w:r w:rsidRPr="00195BF9">
              <w:rPr>
                <w:rFonts w:ascii="Arial" w:hAnsi="Arial" w:cs="Arial"/>
                <w:b/>
                <w:iCs/>
                <w:caps/>
                <w:lang w:val="es-PE"/>
              </w:rPr>
              <w:t xml:space="preserve"> DE LA </w:t>
            </w:r>
            <w:r>
              <w:rPr>
                <w:rFonts w:ascii="Arial" w:hAnsi="Arial" w:cs="Arial"/>
                <w:b/>
                <w:iCs/>
                <w:caps/>
                <w:lang w:val="es-PE"/>
              </w:rPr>
              <w:t xml:space="preserve">SÉPTIMA </w:t>
            </w:r>
            <w:r w:rsidRPr="00195BF9">
              <w:rPr>
                <w:rFonts w:ascii="Arial" w:hAnsi="Arial" w:cs="Arial"/>
                <w:b/>
                <w:iCs/>
                <w:caps/>
                <w:lang w:val="es-PE"/>
              </w:rPr>
              <w:t>SALA UNITARIA DE PRIMERA INSTANCIA</w:t>
            </w:r>
          </w:p>
          <w:p w:rsidR="005D27B2" w:rsidRPr="00195BF9" w:rsidRDefault="005D27B2" w:rsidP="005D27B2">
            <w:pPr>
              <w:pStyle w:val="Encabezado"/>
              <w:tabs>
                <w:tab w:val="clear" w:pos="4252"/>
              </w:tabs>
              <w:ind w:left="1969" w:right="643"/>
              <w:jc w:val="both"/>
              <w:rPr>
                <w:rFonts w:ascii="Arial" w:hAnsi="Arial" w:cs="Arial"/>
                <w:b/>
                <w:iCs/>
                <w:caps/>
                <w:lang w:val="es-PE"/>
              </w:rPr>
            </w:pPr>
            <w:r w:rsidRPr="00195BF9">
              <w:rPr>
                <w:rFonts w:ascii="Arial" w:hAnsi="Arial" w:cs="Arial"/>
                <w:b/>
                <w:iCs/>
                <w:caps/>
                <w:lang w:val="es-PE"/>
              </w:rPr>
              <w:t xml:space="preserve">       </w:t>
            </w:r>
          </w:p>
          <w:p w:rsidR="005D27B2" w:rsidRPr="00195BF9" w:rsidRDefault="005D27B2" w:rsidP="005D27B2">
            <w:pPr>
              <w:pStyle w:val="Encabezado"/>
              <w:tabs>
                <w:tab w:val="clear" w:pos="4252"/>
              </w:tabs>
              <w:ind w:left="1969" w:right="643"/>
              <w:jc w:val="both"/>
              <w:rPr>
                <w:rFonts w:ascii="Arial" w:hAnsi="Arial" w:cs="Arial"/>
                <w:b/>
                <w:iCs/>
                <w:caps/>
                <w:lang w:val="es-PE"/>
              </w:rPr>
            </w:pPr>
            <w:r w:rsidRPr="00195BF9">
              <w:rPr>
                <w:rFonts w:ascii="Arial" w:hAnsi="Arial" w:cs="Arial"/>
                <w:b/>
                <w:iCs/>
                <w:caps/>
                <w:lang w:val="es-PE"/>
              </w:rPr>
              <w:t>ponente:</w:t>
            </w:r>
            <w:r>
              <w:rPr>
                <w:rFonts w:ascii="Arial" w:hAnsi="Arial" w:cs="Arial"/>
                <w:b/>
                <w:iCs/>
                <w:caps/>
                <w:lang w:val="es-PE"/>
              </w:rPr>
              <w:t xml:space="preserve"> magistrado ABRAHAM SANTIAGO SORIANO.</w:t>
            </w:r>
          </w:p>
        </w:tc>
      </w:tr>
      <w:tr w:rsidR="005D27B2" w:rsidRPr="00195BF9" w:rsidTr="009834B1">
        <w:tc>
          <w:tcPr>
            <w:tcW w:w="2356" w:type="dxa"/>
          </w:tcPr>
          <w:p w:rsidR="005D27B2" w:rsidRPr="00195BF9" w:rsidRDefault="005D27B2" w:rsidP="009834B1">
            <w:pPr>
              <w:rPr>
                <w:rFonts w:ascii="Arial" w:hAnsi="Arial" w:cs="Arial"/>
                <w:b/>
                <w:sz w:val="24"/>
                <w:szCs w:val="24"/>
              </w:rPr>
            </w:pPr>
          </w:p>
        </w:tc>
        <w:tc>
          <w:tcPr>
            <w:tcW w:w="7426" w:type="dxa"/>
          </w:tcPr>
          <w:p w:rsidR="005D27B2" w:rsidRPr="00195BF9" w:rsidRDefault="005D27B2" w:rsidP="009834B1">
            <w:pPr>
              <w:tabs>
                <w:tab w:val="left" w:pos="3103"/>
              </w:tabs>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5D27B2" w:rsidRPr="00195BF9" w:rsidTr="009834B1">
        <w:tc>
          <w:tcPr>
            <w:tcW w:w="2356" w:type="dxa"/>
          </w:tcPr>
          <w:p w:rsidR="005D27B2" w:rsidRPr="00195BF9" w:rsidRDefault="005D27B2" w:rsidP="009834B1">
            <w:pPr>
              <w:rPr>
                <w:rFonts w:ascii="Arial" w:hAnsi="Arial" w:cs="Arial"/>
                <w:b/>
                <w:sz w:val="24"/>
                <w:szCs w:val="24"/>
              </w:rPr>
            </w:pPr>
          </w:p>
        </w:tc>
        <w:tc>
          <w:tcPr>
            <w:tcW w:w="7426" w:type="dxa"/>
          </w:tcPr>
          <w:p w:rsidR="005D27B2" w:rsidRPr="00195BF9" w:rsidRDefault="005D27B2" w:rsidP="009834B1">
            <w:pPr>
              <w:tabs>
                <w:tab w:val="left" w:pos="3103"/>
              </w:tabs>
              <w:ind w:left="2961" w:hanging="2961"/>
              <w:jc w:val="both"/>
              <w:rPr>
                <w:rFonts w:ascii="Arial" w:hAnsi="Arial" w:cs="Arial"/>
                <w:b/>
                <w:i/>
                <w:iCs/>
                <w:caps/>
                <w:sz w:val="24"/>
                <w:szCs w:val="24"/>
              </w:rPr>
            </w:pPr>
          </w:p>
        </w:tc>
      </w:tr>
    </w:tbl>
    <w:p w:rsidR="005D27B2" w:rsidRDefault="005D27B2" w:rsidP="005D27B2">
      <w:pPr>
        <w:spacing w:line="360" w:lineRule="auto"/>
        <w:jc w:val="both"/>
        <w:rPr>
          <w:rFonts w:ascii="Arial" w:hAnsi="Arial" w:cs="Arial"/>
          <w:b/>
          <w:sz w:val="26"/>
          <w:szCs w:val="26"/>
        </w:rPr>
      </w:pPr>
      <w:r w:rsidRPr="00985F01">
        <w:rPr>
          <w:rFonts w:ascii="Arial" w:hAnsi="Arial" w:cs="Arial"/>
          <w:b/>
          <w:sz w:val="26"/>
          <w:szCs w:val="26"/>
        </w:rPr>
        <w:t>O</w:t>
      </w:r>
      <w:r>
        <w:rPr>
          <w:rFonts w:ascii="Arial" w:hAnsi="Arial" w:cs="Arial"/>
          <w:b/>
          <w:sz w:val="26"/>
          <w:szCs w:val="26"/>
        </w:rPr>
        <w:t>AXACA DE JUÁREZ, OAXACA, A VEINTE</w:t>
      </w:r>
      <w:r w:rsidRPr="00985F01">
        <w:rPr>
          <w:rFonts w:ascii="Arial" w:hAnsi="Arial" w:cs="Arial"/>
          <w:b/>
          <w:sz w:val="26"/>
          <w:szCs w:val="26"/>
        </w:rPr>
        <w:t xml:space="preserve"> DE FEBRERO</w:t>
      </w:r>
      <w:r>
        <w:rPr>
          <w:rFonts w:ascii="Arial" w:hAnsi="Arial" w:cs="Arial"/>
          <w:b/>
          <w:sz w:val="26"/>
          <w:szCs w:val="26"/>
        </w:rPr>
        <w:t xml:space="preserve"> DE DOS MIL VEINTE. </w:t>
      </w:r>
    </w:p>
    <w:p w:rsidR="005D27B2" w:rsidRPr="00567AF2" w:rsidRDefault="005D27B2" w:rsidP="005D27B2">
      <w:pPr>
        <w:spacing w:line="360" w:lineRule="auto"/>
        <w:jc w:val="both"/>
        <w:rPr>
          <w:rFonts w:ascii="Arial" w:hAnsi="Arial" w:cs="Arial"/>
          <w:b/>
          <w:sz w:val="26"/>
          <w:szCs w:val="26"/>
        </w:rPr>
      </w:pPr>
      <w:r w:rsidRPr="00985F01">
        <w:rPr>
          <w:rFonts w:ascii="Arial" w:hAnsi="Arial" w:cs="Arial"/>
          <w:sz w:val="26"/>
          <w:szCs w:val="26"/>
        </w:rPr>
        <w:t xml:space="preserve">      Por recibido el Cuaderno de Revisión </w:t>
      </w:r>
      <w:r w:rsidRPr="00985F01">
        <w:rPr>
          <w:rFonts w:ascii="Arial" w:hAnsi="Arial" w:cs="Arial"/>
          <w:b/>
          <w:sz w:val="26"/>
          <w:szCs w:val="26"/>
        </w:rPr>
        <w:t>236/2018</w:t>
      </w:r>
      <w:r w:rsidRPr="00985F01">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los actores en el juico natural </w:t>
      </w:r>
      <w:r w:rsidR="00567AF2">
        <w:rPr>
          <w:rFonts w:ascii="Arial" w:hAnsi="Arial" w:cs="Arial"/>
          <w:b/>
          <w:bCs/>
          <w:sz w:val="26"/>
          <w:szCs w:val="26"/>
        </w:rPr>
        <w:t>**********</w:t>
      </w:r>
      <w:r w:rsidRPr="00985F01">
        <w:rPr>
          <w:rFonts w:ascii="Arial" w:hAnsi="Arial" w:cs="Arial"/>
          <w:sz w:val="26"/>
          <w:szCs w:val="26"/>
        </w:rPr>
        <w:t>, en contra de la sentencia de 15 quince de mayo de 2018 dos mil dieciocho</w:t>
      </w:r>
      <w:r>
        <w:rPr>
          <w:rFonts w:ascii="Arial" w:hAnsi="Arial" w:cs="Arial"/>
          <w:sz w:val="26"/>
          <w:szCs w:val="26"/>
        </w:rPr>
        <w:t>,</w:t>
      </w:r>
      <w:r w:rsidRPr="00985F01">
        <w:rPr>
          <w:rFonts w:ascii="Arial" w:hAnsi="Arial" w:cs="Arial"/>
          <w:sz w:val="26"/>
          <w:szCs w:val="26"/>
        </w:rPr>
        <w:t xml:space="preserve"> dictada por la Séptima Sala Unitaria del Tribunal de Justicia Administrativa del Estado de Oaxaca</w:t>
      </w:r>
      <w:r>
        <w:rPr>
          <w:rFonts w:ascii="Arial" w:hAnsi="Arial" w:cs="Arial"/>
          <w:sz w:val="26"/>
          <w:szCs w:val="26"/>
        </w:rPr>
        <w:t>,</w:t>
      </w:r>
      <w:r w:rsidRPr="00985F01">
        <w:rPr>
          <w:rFonts w:ascii="Arial" w:hAnsi="Arial" w:cs="Arial"/>
          <w:sz w:val="26"/>
          <w:szCs w:val="26"/>
        </w:rPr>
        <w:t xml:space="preserve"> en el expediente </w:t>
      </w:r>
      <w:r w:rsidRPr="00985F01">
        <w:rPr>
          <w:rFonts w:ascii="Arial" w:hAnsi="Arial" w:cs="Arial"/>
          <w:b/>
          <w:sz w:val="26"/>
          <w:szCs w:val="26"/>
        </w:rPr>
        <w:t>279/2016</w:t>
      </w:r>
      <w:r w:rsidRPr="00985F01">
        <w:rPr>
          <w:rFonts w:ascii="Arial" w:hAnsi="Arial" w:cs="Arial"/>
          <w:sz w:val="26"/>
          <w:szCs w:val="26"/>
        </w:rPr>
        <w:t xml:space="preserve"> de su índice, relativo al juicio de nulidad promovido inicialmente por</w:t>
      </w:r>
      <w:r w:rsidRPr="00985F01">
        <w:rPr>
          <w:rFonts w:ascii="Arial" w:hAnsi="Arial" w:cs="Arial"/>
          <w:b/>
          <w:sz w:val="26"/>
          <w:szCs w:val="26"/>
        </w:rPr>
        <w:t xml:space="preserve"> </w:t>
      </w:r>
      <w:r w:rsidR="00567AF2">
        <w:rPr>
          <w:rFonts w:ascii="Arial" w:hAnsi="Arial" w:cs="Arial"/>
          <w:b/>
          <w:sz w:val="26"/>
          <w:szCs w:val="26"/>
        </w:rPr>
        <w:t>**********</w:t>
      </w:r>
      <w:r w:rsidRPr="00985F01">
        <w:rPr>
          <w:rFonts w:ascii="Arial" w:hAnsi="Arial" w:cs="Arial"/>
          <w:b/>
          <w:sz w:val="26"/>
          <w:szCs w:val="26"/>
        </w:rPr>
        <w:t xml:space="preserve">, </w:t>
      </w:r>
      <w:r w:rsidRPr="00985F01">
        <w:rPr>
          <w:rFonts w:ascii="Arial" w:hAnsi="Arial" w:cs="Arial"/>
          <w:sz w:val="26"/>
          <w:szCs w:val="26"/>
        </w:rPr>
        <w:t xml:space="preserve">en contra del </w:t>
      </w:r>
      <w:r w:rsidRPr="00985F01">
        <w:rPr>
          <w:rFonts w:ascii="Arial" w:hAnsi="Arial" w:cs="Arial"/>
          <w:b/>
          <w:bCs/>
          <w:sz w:val="26"/>
          <w:szCs w:val="26"/>
        </w:rPr>
        <w:t>GOBERNADOR CONSTITUCIONAL DEL ESTADO DE OAXACA,</w:t>
      </w:r>
      <w:r w:rsidRPr="00985F01">
        <w:rPr>
          <w:rFonts w:ascii="Arial" w:hAnsi="Arial" w:cs="Arial"/>
          <w:sz w:val="26"/>
          <w:szCs w:val="26"/>
        </w:rPr>
        <w:t xml:space="preserve"> por lo que con fundamento en los artículos 206 y 207 de la Ley de Justicia Administrativa para el Estado de Oaxaca</w:t>
      </w:r>
      <w:r>
        <w:rPr>
          <w:rFonts w:ascii="Arial" w:hAnsi="Arial" w:cs="Arial"/>
          <w:sz w:val="26"/>
          <w:szCs w:val="26"/>
        </w:rPr>
        <w:t>, aplicable a este asunto al estar vigente al inicio del juicio de nulidad de origen</w:t>
      </w:r>
      <w:r w:rsidRPr="00985F01">
        <w:rPr>
          <w:rFonts w:ascii="Arial" w:hAnsi="Arial" w:cs="Arial"/>
          <w:sz w:val="26"/>
          <w:szCs w:val="26"/>
        </w:rPr>
        <w:t>, se procede a dictar resolución en los siguientes términos:</w:t>
      </w:r>
    </w:p>
    <w:p w:rsidR="005D27B2" w:rsidRPr="00985F01" w:rsidRDefault="005D27B2" w:rsidP="005D27B2">
      <w:pPr>
        <w:spacing w:line="360" w:lineRule="auto"/>
        <w:jc w:val="center"/>
        <w:rPr>
          <w:rFonts w:ascii="Arial" w:hAnsi="Arial" w:cs="Arial"/>
          <w:b/>
          <w:bCs/>
          <w:sz w:val="26"/>
          <w:szCs w:val="26"/>
        </w:rPr>
      </w:pPr>
      <w:r w:rsidRPr="00985F01">
        <w:rPr>
          <w:rFonts w:ascii="Arial" w:hAnsi="Arial" w:cs="Arial"/>
          <w:b/>
          <w:bCs/>
          <w:sz w:val="26"/>
          <w:szCs w:val="26"/>
        </w:rPr>
        <w:t>R E S U L T A N D O</w:t>
      </w:r>
    </w:p>
    <w:p w:rsidR="005D27B2" w:rsidRPr="00985F01" w:rsidRDefault="005D27B2" w:rsidP="005D27B2">
      <w:pPr>
        <w:spacing w:line="360" w:lineRule="auto"/>
        <w:ind w:firstLine="709"/>
        <w:jc w:val="both"/>
        <w:rPr>
          <w:rFonts w:ascii="Arial" w:hAnsi="Arial" w:cs="Arial"/>
          <w:sz w:val="26"/>
          <w:szCs w:val="26"/>
        </w:rPr>
      </w:pPr>
      <w:r w:rsidRPr="00985F01">
        <w:rPr>
          <w:rFonts w:ascii="Arial" w:hAnsi="Arial" w:cs="Arial"/>
          <w:b/>
          <w:bCs/>
          <w:sz w:val="26"/>
          <w:szCs w:val="26"/>
        </w:rPr>
        <w:t xml:space="preserve">PRIMERO. </w:t>
      </w:r>
      <w:r w:rsidRPr="00985F01">
        <w:rPr>
          <w:rFonts w:ascii="Arial" w:hAnsi="Arial" w:cs="Arial"/>
          <w:sz w:val="26"/>
          <w:szCs w:val="26"/>
        </w:rPr>
        <w:t>Inconforme</w:t>
      </w:r>
      <w:r>
        <w:rPr>
          <w:rFonts w:ascii="Arial" w:hAnsi="Arial" w:cs="Arial"/>
          <w:sz w:val="26"/>
          <w:szCs w:val="26"/>
        </w:rPr>
        <w:t>s</w:t>
      </w:r>
      <w:r w:rsidRPr="00985F01">
        <w:rPr>
          <w:rFonts w:ascii="Arial" w:hAnsi="Arial" w:cs="Arial"/>
          <w:sz w:val="26"/>
          <w:szCs w:val="26"/>
        </w:rPr>
        <w:t xml:space="preserve"> con la sentencia de 15 quince de mayo de 2018 dos mil dieciocho dictada por la Séptima Sala Unitaria de Primera Instancia, </w:t>
      </w:r>
      <w:r w:rsidR="00567AF2">
        <w:rPr>
          <w:rFonts w:ascii="Arial" w:hAnsi="Arial" w:cs="Arial"/>
          <w:b/>
          <w:bCs/>
          <w:sz w:val="26"/>
          <w:szCs w:val="26"/>
        </w:rPr>
        <w:t>**********</w:t>
      </w:r>
      <w:r w:rsidRPr="00985F01">
        <w:rPr>
          <w:rFonts w:ascii="Arial" w:hAnsi="Arial" w:cs="Arial"/>
          <w:b/>
          <w:bCs/>
          <w:sz w:val="26"/>
          <w:szCs w:val="26"/>
        </w:rPr>
        <w:t>,</w:t>
      </w:r>
      <w:r w:rsidRPr="00985F01">
        <w:rPr>
          <w:rFonts w:ascii="Arial" w:hAnsi="Arial" w:cs="Arial"/>
          <w:sz w:val="26"/>
          <w:szCs w:val="26"/>
        </w:rPr>
        <w:t xml:space="preserve"> interponen en su contra recurso de revisión. </w:t>
      </w:r>
    </w:p>
    <w:p w:rsidR="005D27B2" w:rsidRPr="00195BF9" w:rsidRDefault="005D27B2" w:rsidP="005D27B2">
      <w:pPr>
        <w:spacing w:line="360" w:lineRule="auto"/>
        <w:jc w:val="both"/>
        <w:rPr>
          <w:rFonts w:ascii="Arial" w:hAnsi="Arial" w:cs="Arial"/>
          <w:sz w:val="24"/>
          <w:szCs w:val="24"/>
        </w:rPr>
      </w:pPr>
      <w:r w:rsidRPr="00195BF9">
        <w:rPr>
          <w:rFonts w:ascii="Arial" w:hAnsi="Arial" w:cs="Arial"/>
          <w:b/>
          <w:bCs/>
          <w:sz w:val="24"/>
          <w:szCs w:val="24"/>
        </w:rPr>
        <w:tab/>
        <w:t xml:space="preserve">SEGUNDO.- </w:t>
      </w:r>
      <w:r>
        <w:rPr>
          <w:rFonts w:ascii="Arial" w:hAnsi="Arial" w:cs="Arial"/>
          <w:sz w:val="24"/>
          <w:szCs w:val="24"/>
        </w:rPr>
        <w:t xml:space="preserve">Los puntos resolutivos de la sentencia en revisión son como siguen: </w:t>
      </w:r>
      <w:r w:rsidRPr="00195BF9">
        <w:rPr>
          <w:rFonts w:ascii="Arial" w:hAnsi="Arial" w:cs="Arial"/>
          <w:sz w:val="24"/>
          <w:szCs w:val="24"/>
        </w:rPr>
        <w:t xml:space="preserve">               </w:t>
      </w:r>
    </w:p>
    <w:p w:rsidR="005D27B2" w:rsidRDefault="005D27B2" w:rsidP="005D27B2">
      <w:pPr>
        <w:spacing w:line="360" w:lineRule="auto"/>
        <w:ind w:left="1134" w:right="902"/>
        <w:jc w:val="both"/>
        <w:rPr>
          <w:rFonts w:ascii="Arial" w:hAnsi="Arial" w:cs="Arial"/>
          <w:bCs/>
          <w:i/>
          <w:iCs/>
        </w:rPr>
      </w:pPr>
      <w:r w:rsidRPr="00195BF9">
        <w:rPr>
          <w:rFonts w:ascii="Arial" w:hAnsi="Arial" w:cs="Arial"/>
          <w:b/>
          <w:bCs/>
          <w:i/>
          <w:iCs/>
        </w:rPr>
        <w:t>“</w:t>
      </w:r>
      <w:r>
        <w:rPr>
          <w:rFonts w:ascii="Arial" w:hAnsi="Arial" w:cs="Arial"/>
          <w:bCs/>
          <w:i/>
          <w:iCs/>
        </w:rPr>
        <w:t>(…)</w:t>
      </w:r>
      <w:r>
        <w:rPr>
          <w:rFonts w:ascii="Arial" w:hAnsi="Arial" w:cs="Arial"/>
          <w:b/>
          <w:i/>
          <w:iCs/>
        </w:rPr>
        <w:t xml:space="preserve"> PRIMERO.- </w:t>
      </w:r>
      <w:r>
        <w:rPr>
          <w:rFonts w:ascii="Arial" w:hAnsi="Arial" w:cs="Arial"/>
          <w:bCs/>
          <w:i/>
          <w:iCs/>
        </w:rPr>
        <w:t xml:space="preserve">Esta Séptima Sala de Primera Instancia del Tribunal de Justicia Administrativa del Estado de Oaxaca, es legalmente competente para conocer y resolver el presente Juicio de Nulidad. - - - - - - - - - - - - - - - - - - - - - - - - - - - - - - - - - </w:t>
      </w:r>
    </w:p>
    <w:p w:rsidR="005D27B2" w:rsidRDefault="005D27B2" w:rsidP="005D27B2">
      <w:pPr>
        <w:spacing w:line="360" w:lineRule="auto"/>
        <w:ind w:left="1134" w:right="902"/>
        <w:jc w:val="both"/>
        <w:rPr>
          <w:rFonts w:ascii="Arial" w:hAnsi="Arial" w:cs="Arial"/>
          <w:bCs/>
          <w:i/>
          <w:iCs/>
        </w:rPr>
      </w:pPr>
      <w:r>
        <w:rPr>
          <w:rFonts w:ascii="Arial" w:hAnsi="Arial" w:cs="Arial"/>
          <w:b/>
          <w:i/>
          <w:iCs/>
        </w:rPr>
        <w:t xml:space="preserve">SEGUNDO. </w:t>
      </w:r>
      <w:r>
        <w:rPr>
          <w:rFonts w:ascii="Arial" w:hAnsi="Arial" w:cs="Arial"/>
          <w:bCs/>
          <w:i/>
          <w:iCs/>
        </w:rPr>
        <w:t xml:space="preserve">No se actualizó causal de improcedencia alguna, por lo que NO SE SOBRESEE EL JUICIO, en términos del considerando QUINTO de esta resolución. - - - - - - - - - - - - - - - </w:t>
      </w:r>
    </w:p>
    <w:p w:rsidR="005D27B2" w:rsidRDefault="005D27B2" w:rsidP="005D27B2">
      <w:pPr>
        <w:spacing w:line="360" w:lineRule="auto"/>
        <w:ind w:left="1134" w:right="902"/>
        <w:jc w:val="both"/>
        <w:rPr>
          <w:rFonts w:ascii="Arial" w:hAnsi="Arial" w:cs="Arial"/>
          <w:bCs/>
          <w:i/>
          <w:iCs/>
        </w:rPr>
      </w:pPr>
      <w:r>
        <w:rPr>
          <w:rFonts w:ascii="Arial" w:hAnsi="Arial" w:cs="Arial"/>
          <w:b/>
          <w:i/>
          <w:iCs/>
        </w:rPr>
        <w:t>TERCERO.</w:t>
      </w:r>
      <w:r>
        <w:rPr>
          <w:rFonts w:ascii="Arial" w:hAnsi="Arial" w:cs="Arial"/>
          <w:bCs/>
          <w:i/>
          <w:iCs/>
        </w:rPr>
        <w:t xml:space="preserve"> Se declara la </w:t>
      </w:r>
      <w:r>
        <w:rPr>
          <w:rFonts w:ascii="Arial" w:hAnsi="Arial" w:cs="Arial"/>
          <w:b/>
          <w:i/>
          <w:iCs/>
        </w:rPr>
        <w:t xml:space="preserve">VALIDEZ </w:t>
      </w:r>
      <w:r>
        <w:rPr>
          <w:rFonts w:ascii="Arial" w:hAnsi="Arial" w:cs="Arial"/>
          <w:bCs/>
          <w:i/>
          <w:iCs/>
        </w:rPr>
        <w:t xml:space="preserve">de la resolución dictada con fecha diez de abril de dos mil quince (10/04/2015) por el Gobernador Constitucional del Estado de Oaxaca, dentro del </w:t>
      </w:r>
      <w:r>
        <w:rPr>
          <w:rFonts w:ascii="Arial" w:hAnsi="Arial" w:cs="Arial"/>
          <w:bCs/>
          <w:i/>
          <w:iCs/>
        </w:rPr>
        <w:lastRenderedPageBreak/>
        <w:t xml:space="preserve">expediente administrativo 06/2011; lo anterior en términos precisados en el considerando SEXTO de esta resolución. - - - </w:t>
      </w:r>
    </w:p>
    <w:p w:rsidR="005D27B2" w:rsidRPr="00985F01" w:rsidRDefault="005D27B2" w:rsidP="005D27B2">
      <w:pPr>
        <w:spacing w:line="360" w:lineRule="auto"/>
        <w:ind w:left="1134" w:right="902"/>
        <w:jc w:val="both"/>
        <w:rPr>
          <w:rFonts w:ascii="Arial" w:hAnsi="Arial" w:cs="Arial"/>
          <w:b/>
          <w:bCs/>
          <w:i/>
          <w:iCs/>
        </w:rPr>
      </w:pPr>
      <w:r>
        <w:rPr>
          <w:rFonts w:ascii="Arial" w:hAnsi="Arial" w:cs="Arial"/>
          <w:b/>
          <w:i/>
          <w:iCs/>
        </w:rPr>
        <w:t>CUARTO.</w:t>
      </w:r>
      <w:r>
        <w:rPr>
          <w:rFonts w:ascii="Arial" w:hAnsi="Arial" w:cs="Arial"/>
          <w:bCs/>
          <w:i/>
          <w:iCs/>
        </w:rPr>
        <w:t xml:space="preserve"> Conforme a lo dispuesto en el artículo 142 fracción I y 143 fracciones I  y II de la Ley de Justicia Administrativa para el Estado, </w:t>
      </w:r>
      <w:r>
        <w:rPr>
          <w:rFonts w:ascii="Arial" w:hAnsi="Arial" w:cs="Arial"/>
          <w:b/>
          <w:i/>
          <w:iCs/>
        </w:rPr>
        <w:t xml:space="preserve">NOTIFÍQUESE PERSONALMENTE A LA PARTE ACTORA Y POR OFICIO A LAS AUTORIDADES DEMANDADAS. CÚMPLASE. </w:t>
      </w:r>
      <w:r w:rsidRPr="00985F01">
        <w:rPr>
          <w:rFonts w:ascii="Arial" w:hAnsi="Arial" w:cs="Arial"/>
          <w:bCs/>
          <w:i/>
          <w:iCs/>
        </w:rPr>
        <w:t>(…)”</w:t>
      </w:r>
    </w:p>
    <w:p w:rsidR="005D27B2" w:rsidRPr="00985F01" w:rsidRDefault="005D27B2" w:rsidP="005D27B2">
      <w:pPr>
        <w:spacing w:before="240" w:line="360" w:lineRule="auto"/>
        <w:jc w:val="center"/>
        <w:rPr>
          <w:rFonts w:ascii="Arial" w:hAnsi="Arial" w:cs="Arial"/>
          <w:b/>
          <w:bCs/>
          <w:sz w:val="26"/>
          <w:szCs w:val="26"/>
        </w:rPr>
      </w:pPr>
      <w:r w:rsidRPr="00985F01">
        <w:rPr>
          <w:rFonts w:ascii="Arial" w:hAnsi="Arial" w:cs="Arial"/>
          <w:b/>
          <w:bCs/>
          <w:sz w:val="26"/>
          <w:szCs w:val="26"/>
        </w:rPr>
        <w:t>C O N S I D E R A N D O</w:t>
      </w:r>
    </w:p>
    <w:p w:rsidR="005D27B2" w:rsidRPr="005D27B2" w:rsidRDefault="005D27B2" w:rsidP="005D27B2">
      <w:pPr>
        <w:widowControl w:val="0"/>
        <w:tabs>
          <w:tab w:val="left" w:pos="7938"/>
        </w:tabs>
        <w:spacing w:line="360" w:lineRule="auto"/>
        <w:ind w:right="18" w:firstLine="709"/>
        <w:jc w:val="both"/>
        <w:rPr>
          <w:rFonts w:ascii="Arial" w:hAnsi="Arial" w:cs="Arial"/>
          <w:bCs/>
          <w:iCs/>
          <w:sz w:val="26"/>
          <w:szCs w:val="26"/>
          <w:lang w:eastAsia="es-ES"/>
        </w:rPr>
      </w:pPr>
      <w:r w:rsidRPr="00985F01">
        <w:rPr>
          <w:rFonts w:ascii="Arial" w:hAnsi="Arial" w:cs="Arial"/>
          <w:b/>
          <w:bCs/>
          <w:iCs/>
          <w:sz w:val="26"/>
          <w:szCs w:val="26"/>
        </w:rPr>
        <w:t>PRIMERO.</w:t>
      </w:r>
      <w:r w:rsidRPr="00985F01">
        <w:rPr>
          <w:rFonts w:ascii="Arial" w:hAnsi="Arial" w:cs="Arial"/>
          <w:bCs/>
          <w:iCs/>
          <w:sz w:val="26"/>
          <w:szCs w:val="26"/>
          <w:lang w:eastAsia="es-ES"/>
        </w:rPr>
        <w:t xml:space="preserve"> Esta Sala Superior es competente para conocer del presente asunto, de conformidad con lo dispuesto por los artículos 114 QUÁTER, tercer párrafo de la Constitución Política del Estado Libre y Soberano de Oaxaca; 1, 2, </w:t>
      </w:r>
      <w:r w:rsidRPr="00985F01">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Pr="00985F01">
        <w:rPr>
          <w:rFonts w:ascii="Arial" w:hAnsi="Arial" w:cs="Arial"/>
          <w:bCs/>
          <w:iCs/>
          <w:sz w:val="26"/>
          <w:szCs w:val="26"/>
          <w:lang w:eastAsia="es-ES"/>
        </w:rPr>
        <w:t xml:space="preserve"> 86, 88, 92, 93 fracción I, 94, 201, 206 y 208 de la Ley de Justicia Administrativa para el Estado de Oaxaca </w:t>
      </w:r>
      <w:r w:rsidRPr="00985F01">
        <w:rPr>
          <w:rFonts w:ascii="Arial" w:hAnsi="Arial" w:cs="Arial"/>
          <w:bCs/>
          <w:iCs/>
          <w:sz w:val="26"/>
          <w:szCs w:val="26"/>
        </w:rPr>
        <w:t>vigente al inicio del juicio natural</w:t>
      </w:r>
      <w:r w:rsidRPr="00985F01">
        <w:rPr>
          <w:rFonts w:ascii="Arial" w:hAnsi="Arial" w:cs="Arial"/>
          <w:bCs/>
          <w:iCs/>
          <w:sz w:val="26"/>
          <w:szCs w:val="26"/>
          <w:lang w:eastAsia="es-ES"/>
        </w:rPr>
        <w:t>,</w:t>
      </w:r>
      <w:r>
        <w:rPr>
          <w:rFonts w:ascii="Arial" w:hAnsi="Arial" w:cs="Arial"/>
          <w:bCs/>
          <w:iCs/>
          <w:sz w:val="26"/>
          <w:szCs w:val="26"/>
          <w:lang w:eastAsia="es-ES"/>
        </w:rPr>
        <w:t xml:space="preserve"> </w:t>
      </w:r>
      <w:r w:rsidRPr="00985F01">
        <w:rPr>
          <w:rFonts w:ascii="Arial" w:hAnsi="Arial" w:cs="Arial"/>
          <w:bCs/>
          <w:iCs/>
          <w:sz w:val="26"/>
          <w:szCs w:val="26"/>
          <w:lang w:eastAsia="es-ES"/>
        </w:rPr>
        <w:t xml:space="preserve">dado que se trata de la sentencia de 15 quince de mayo de 2018 dos mil dieciocho dictado por la Séptima Sala de Primera Instancia dentro del juicio </w:t>
      </w:r>
      <w:r w:rsidRPr="00985F01">
        <w:rPr>
          <w:rFonts w:ascii="Arial" w:hAnsi="Arial" w:cs="Arial"/>
          <w:b/>
          <w:bCs/>
          <w:iCs/>
          <w:sz w:val="26"/>
          <w:szCs w:val="26"/>
          <w:lang w:eastAsia="es-ES"/>
        </w:rPr>
        <w:t xml:space="preserve">279/2016 </w:t>
      </w:r>
      <w:r w:rsidRPr="00985F01">
        <w:rPr>
          <w:rFonts w:ascii="Arial" w:hAnsi="Arial" w:cs="Arial"/>
          <w:bCs/>
          <w:iCs/>
          <w:sz w:val="26"/>
          <w:szCs w:val="26"/>
          <w:lang w:eastAsia="es-ES"/>
        </w:rPr>
        <w:t xml:space="preserve">de su índice. </w:t>
      </w:r>
    </w:p>
    <w:p w:rsidR="005D27B2" w:rsidRDefault="005D27B2" w:rsidP="005D27B2">
      <w:pPr>
        <w:spacing w:line="360" w:lineRule="auto"/>
        <w:ind w:firstLine="567"/>
        <w:jc w:val="both"/>
        <w:rPr>
          <w:rFonts w:ascii="Arial" w:hAnsi="Arial" w:cs="Arial"/>
          <w:color w:val="000000"/>
          <w:sz w:val="26"/>
          <w:szCs w:val="26"/>
        </w:rPr>
      </w:pPr>
      <w:r w:rsidRPr="00985F01">
        <w:rPr>
          <w:rFonts w:ascii="Arial" w:hAnsi="Arial" w:cs="Arial"/>
          <w:b/>
          <w:bCs/>
          <w:sz w:val="26"/>
          <w:szCs w:val="26"/>
        </w:rPr>
        <w:t xml:space="preserve">SEGUNDO. </w:t>
      </w:r>
      <w:r w:rsidRPr="00985F01">
        <w:rPr>
          <w:rFonts w:ascii="Arial" w:hAnsi="Arial" w:cs="Arial"/>
          <w:bCs/>
          <w:color w:val="000000"/>
          <w:sz w:val="26"/>
          <w:szCs w:val="26"/>
        </w:rPr>
        <w:t>De las constancias que int</w:t>
      </w:r>
      <w:r>
        <w:rPr>
          <w:rFonts w:ascii="Arial" w:hAnsi="Arial" w:cs="Arial"/>
          <w:bCs/>
          <w:color w:val="000000"/>
          <w:sz w:val="26"/>
          <w:szCs w:val="26"/>
        </w:rPr>
        <w:t xml:space="preserve">egran el expediente principal, </w:t>
      </w:r>
      <w:r w:rsidRPr="00985F01">
        <w:rPr>
          <w:rFonts w:ascii="Arial" w:hAnsi="Arial" w:cs="Arial"/>
          <w:bCs/>
          <w:color w:val="000000"/>
          <w:sz w:val="26"/>
          <w:szCs w:val="26"/>
        </w:rPr>
        <w:t xml:space="preserve"> las que tienen pleno valor probatorio conforme lo dispuesto por el artículo 173, fracción I de la Ley de Justicia Administrativa para el Estado de Oaxaca, por tratarse de actuaciones contenidas en documentos públicos, se advierte que</w:t>
      </w:r>
      <w:r w:rsidRPr="00985F01">
        <w:rPr>
          <w:rFonts w:ascii="Arial" w:hAnsi="Arial" w:cs="Arial"/>
          <w:color w:val="000000"/>
          <w:sz w:val="26"/>
          <w:szCs w:val="26"/>
        </w:rPr>
        <w:t xml:space="preserve"> </w:t>
      </w:r>
      <w:r>
        <w:rPr>
          <w:rFonts w:ascii="Arial" w:hAnsi="Arial" w:cs="Arial"/>
          <w:color w:val="000000"/>
          <w:sz w:val="26"/>
          <w:szCs w:val="26"/>
        </w:rPr>
        <w:t>mediante proveído de fecha 10 diez de julio de 2018 dos mil dieciocho</w:t>
      </w:r>
      <w:r w:rsidR="00640D70">
        <w:rPr>
          <w:rFonts w:ascii="Arial" w:hAnsi="Arial" w:cs="Arial"/>
          <w:color w:val="000000"/>
          <w:sz w:val="26"/>
          <w:szCs w:val="26"/>
        </w:rPr>
        <w:t>,</w:t>
      </w:r>
      <w:r w:rsidRPr="00985F01">
        <w:rPr>
          <w:rFonts w:ascii="Arial" w:hAnsi="Arial" w:cs="Arial"/>
          <w:color w:val="000000"/>
          <w:sz w:val="26"/>
          <w:szCs w:val="26"/>
        </w:rPr>
        <w:t xml:space="preserve"> </w:t>
      </w:r>
      <w:r>
        <w:rPr>
          <w:rFonts w:ascii="Arial" w:hAnsi="Arial" w:cs="Arial"/>
          <w:color w:val="000000"/>
          <w:sz w:val="26"/>
          <w:szCs w:val="26"/>
        </w:rPr>
        <w:t xml:space="preserve">la Séptima Sala Unitaria de Primera Instancia tuvo a </w:t>
      </w:r>
      <w:r w:rsidR="00567AF2">
        <w:rPr>
          <w:rFonts w:ascii="Arial" w:hAnsi="Arial" w:cs="Arial"/>
          <w:b/>
          <w:bCs/>
          <w:sz w:val="26"/>
          <w:szCs w:val="26"/>
        </w:rPr>
        <w:t>**********</w:t>
      </w:r>
      <w:r>
        <w:rPr>
          <w:rFonts w:ascii="Arial" w:hAnsi="Arial" w:cs="Arial"/>
          <w:color w:val="000000"/>
          <w:sz w:val="26"/>
          <w:szCs w:val="26"/>
        </w:rPr>
        <w:t>,</w:t>
      </w:r>
      <w:r w:rsidRPr="00985F01">
        <w:rPr>
          <w:rFonts w:ascii="Arial" w:hAnsi="Arial" w:cs="Arial"/>
          <w:color w:val="000000"/>
          <w:sz w:val="26"/>
          <w:szCs w:val="26"/>
        </w:rPr>
        <w:t xml:space="preserve"> acreditando su carácter como actores en el juicio de nulidad</w:t>
      </w:r>
      <w:r>
        <w:rPr>
          <w:rFonts w:ascii="Arial" w:hAnsi="Arial" w:cs="Arial"/>
          <w:color w:val="000000"/>
          <w:sz w:val="26"/>
          <w:szCs w:val="26"/>
        </w:rPr>
        <w:t xml:space="preserve"> de origen,</w:t>
      </w:r>
      <w:r w:rsidRPr="00985F01">
        <w:rPr>
          <w:rFonts w:ascii="Arial" w:hAnsi="Arial" w:cs="Arial"/>
          <w:color w:val="000000"/>
          <w:sz w:val="26"/>
          <w:szCs w:val="26"/>
        </w:rPr>
        <w:t xml:space="preserve"> </w:t>
      </w:r>
      <w:r>
        <w:rPr>
          <w:rFonts w:ascii="Arial" w:hAnsi="Arial" w:cs="Arial"/>
          <w:color w:val="000000"/>
          <w:sz w:val="26"/>
          <w:szCs w:val="26"/>
        </w:rPr>
        <w:t>en sustitución de</w:t>
      </w:r>
      <w:r w:rsidRPr="00985F01">
        <w:rPr>
          <w:rFonts w:ascii="Arial" w:hAnsi="Arial" w:cs="Arial"/>
          <w:color w:val="000000"/>
          <w:sz w:val="26"/>
          <w:szCs w:val="26"/>
        </w:rPr>
        <w:t xml:space="preserve"> </w:t>
      </w:r>
      <w:r w:rsidR="00567AF2">
        <w:rPr>
          <w:rFonts w:ascii="Arial" w:hAnsi="Arial" w:cs="Arial"/>
          <w:b/>
          <w:bCs/>
          <w:sz w:val="26"/>
          <w:szCs w:val="26"/>
        </w:rPr>
        <w:t>**********</w:t>
      </w:r>
      <w:r w:rsidRPr="00985F01">
        <w:rPr>
          <w:rFonts w:ascii="Arial" w:hAnsi="Arial" w:cs="Arial"/>
          <w:color w:val="000000"/>
          <w:sz w:val="26"/>
          <w:szCs w:val="26"/>
        </w:rPr>
        <w:t>, quiene</w:t>
      </w:r>
      <w:r>
        <w:rPr>
          <w:rFonts w:ascii="Arial" w:hAnsi="Arial" w:cs="Arial"/>
          <w:color w:val="000000"/>
          <w:sz w:val="26"/>
          <w:szCs w:val="26"/>
        </w:rPr>
        <w:t>s fungían respectivamente como P</w:t>
      </w:r>
      <w:r w:rsidRPr="00985F01">
        <w:rPr>
          <w:rFonts w:ascii="Arial" w:hAnsi="Arial" w:cs="Arial"/>
          <w:color w:val="000000"/>
          <w:sz w:val="26"/>
          <w:szCs w:val="26"/>
        </w:rPr>
        <w:t>residentes de los sitios “Sitio Pochutla” Asociación Civil, “Sitio San Pedro Pochutla” Asociación Civil y, “ Sitio Costa Pacifico” Asociación Civil</w:t>
      </w:r>
      <w:r>
        <w:rPr>
          <w:rFonts w:ascii="Arial" w:hAnsi="Arial" w:cs="Arial"/>
          <w:sz w:val="26"/>
          <w:szCs w:val="26"/>
        </w:rPr>
        <w:t>;</w:t>
      </w:r>
      <w:r w:rsidRPr="00985F01">
        <w:rPr>
          <w:rFonts w:ascii="Arial" w:hAnsi="Arial" w:cs="Arial"/>
          <w:sz w:val="26"/>
          <w:szCs w:val="26"/>
        </w:rPr>
        <w:t xml:space="preserve"> </w:t>
      </w:r>
      <w:r>
        <w:rPr>
          <w:rFonts w:ascii="Arial" w:hAnsi="Arial" w:cs="Arial"/>
          <w:sz w:val="26"/>
          <w:szCs w:val="26"/>
        </w:rPr>
        <w:t>quienes con fecha 8 ocho de junio de 2018 dos mil dieciocho</w:t>
      </w:r>
      <w:r w:rsidRPr="00985F01">
        <w:rPr>
          <w:rFonts w:ascii="Arial" w:hAnsi="Arial" w:cs="Arial"/>
          <w:sz w:val="26"/>
          <w:szCs w:val="26"/>
        </w:rPr>
        <w:t xml:space="preserve"> </w:t>
      </w:r>
      <w:r>
        <w:rPr>
          <w:rFonts w:ascii="Arial" w:hAnsi="Arial" w:cs="Arial"/>
          <w:color w:val="000000"/>
          <w:sz w:val="26"/>
          <w:szCs w:val="26"/>
        </w:rPr>
        <w:t xml:space="preserve">presentaron ante </w:t>
      </w:r>
      <w:r w:rsidRPr="00985F01">
        <w:rPr>
          <w:rFonts w:ascii="Arial" w:hAnsi="Arial" w:cs="Arial"/>
          <w:color w:val="000000"/>
          <w:sz w:val="26"/>
          <w:szCs w:val="26"/>
        </w:rPr>
        <w:t>la Oficialía de Partes Común de este Tribunal de Justicia Administrativa del Estado de Oaxaca recurso de revisión en con</w:t>
      </w:r>
      <w:r>
        <w:rPr>
          <w:rFonts w:ascii="Arial" w:hAnsi="Arial" w:cs="Arial"/>
          <w:color w:val="000000"/>
          <w:sz w:val="26"/>
          <w:szCs w:val="26"/>
        </w:rPr>
        <w:t>tra de la sentencia de 15 quince de mayo de 2018 dos mil dieciocho dictada por la resolutora de la Séptima Sala Unitaria de Primera Instancia de este Órgano Jurisdiccional,</w:t>
      </w:r>
      <w:r w:rsidRPr="00985F01">
        <w:rPr>
          <w:rFonts w:ascii="Arial" w:hAnsi="Arial" w:cs="Arial"/>
          <w:color w:val="000000"/>
          <w:sz w:val="26"/>
          <w:szCs w:val="26"/>
        </w:rPr>
        <w:t xml:space="preserve"> por lo que es importante precisar lo</w:t>
      </w:r>
      <w:r>
        <w:rPr>
          <w:rFonts w:ascii="Arial" w:hAnsi="Arial" w:cs="Arial"/>
          <w:color w:val="000000"/>
          <w:sz w:val="26"/>
          <w:szCs w:val="26"/>
        </w:rPr>
        <w:t>s</w:t>
      </w:r>
      <w:r w:rsidRPr="00985F01">
        <w:rPr>
          <w:rFonts w:ascii="Arial" w:hAnsi="Arial" w:cs="Arial"/>
          <w:color w:val="000000"/>
          <w:sz w:val="26"/>
          <w:szCs w:val="26"/>
        </w:rPr>
        <w:t xml:space="preserve"> siguiente</w:t>
      </w:r>
      <w:r>
        <w:rPr>
          <w:rFonts w:ascii="Arial" w:hAnsi="Arial" w:cs="Arial"/>
          <w:color w:val="000000"/>
          <w:sz w:val="26"/>
          <w:szCs w:val="26"/>
        </w:rPr>
        <w:t>s antecedentes</w:t>
      </w:r>
      <w:r w:rsidRPr="00985F01">
        <w:rPr>
          <w:rFonts w:ascii="Arial" w:hAnsi="Arial" w:cs="Arial"/>
          <w:color w:val="000000"/>
          <w:sz w:val="26"/>
          <w:szCs w:val="26"/>
        </w:rPr>
        <w:t>:</w:t>
      </w:r>
    </w:p>
    <w:p w:rsidR="005D27B2" w:rsidRDefault="005D27B2" w:rsidP="005D27B2">
      <w:pPr>
        <w:pStyle w:val="Prrafodelista"/>
        <w:numPr>
          <w:ilvl w:val="0"/>
          <w:numId w:val="4"/>
        </w:numPr>
        <w:spacing w:line="360" w:lineRule="auto"/>
        <w:jc w:val="both"/>
        <w:rPr>
          <w:rFonts w:ascii="Arial" w:hAnsi="Arial" w:cs="Arial"/>
          <w:color w:val="000000"/>
          <w:sz w:val="26"/>
          <w:szCs w:val="26"/>
        </w:rPr>
      </w:pPr>
      <w:r>
        <w:rPr>
          <w:rFonts w:ascii="Arial" w:hAnsi="Arial" w:cs="Arial"/>
          <w:color w:val="000000"/>
          <w:sz w:val="26"/>
          <w:szCs w:val="26"/>
        </w:rPr>
        <w:t xml:space="preserve">Con fecha 29 veintinueve de mayo del 2015 dos mil quince, los actores iniciales en el juicio de nulidad </w:t>
      </w:r>
      <w:r w:rsidR="00567AF2">
        <w:rPr>
          <w:rFonts w:ascii="Arial" w:hAnsi="Arial" w:cs="Arial"/>
          <w:b/>
          <w:bCs/>
          <w:sz w:val="26"/>
          <w:szCs w:val="26"/>
        </w:rPr>
        <w:t>**********</w:t>
      </w:r>
      <w:r>
        <w:rPr>
          <w:rFonts w:ascii="Arial" w:hAnsi="Arial" w:cs="Arial"/>
          <w:color w:val="000000"/>
          <w:sz w:val="26"/>
          <w:szCs w:val="26"/>
        </w:rPr>
        <w:t xml:space="preserve">, presentaron ante la Oficialía de Partes Común del otrora Tribunal de lo </w:t>
      </w:r>
      <w:r>
        <w:rPr>
          <w:rFonts w:ascii="Arial" w:hAnsi="Arial" w:cs="Arial"/>
          <w:color w:val="000000"/>
          <w:sz w:val="26"/>
          <w:szCs w:val="26"/>
        </w:rPr>
        <w:lastRenderedPageBreak/>
        <w:t xml:space="preserve">Contencioso Administrativo del Poder Judicial del Estado de Oaxaca demanda en contra de la resolución de 10 diez de abril de 2015 dos mil quince emitida por el entonces Gobernador Constitucional del Estado de Oaxaca y, señalando domicilio para recibir notificaciones, ubicado en calle carbonera número 700, Colonia la Noria, en esta Ciudad de Oaxaca de Juárez, Oaxaca y como autorizados para recibir notificaciones a los </w:t>
      </w:r>
      <w:r w:rsidR="00567AF2">
        <w:rPr>
          <w:rFonts w:ascii="Arial" w:hAnsi="Arial" w:cs="Arial"/>
          <w:b/>
          <w:bCs/>
          <w:sz w:val="26"/>
          <w:szCs w:val="26"/>
        </w:rPr>
        <w:t>**********</w:t>
      </w:r>
      <w:r>
        <w:rPr>
          <w:rFonts w:ascii="Arial" w:hAnsi="Arial" w:cs="Arial"/>
          <w:color w:val="000000"/>
          <w:sz w:val="26"/>
          <w:szCs w:val="26"/>
        </w:rPr>
        <w:t>.</w:t>
      </w:r>
    </w:p>
    <w:p w:rsidR="005D27B2" w:rsidRDefault="005D27B2" w:rsidP="005D27B2">
      <w:pPr>
        <w:pStyle w:val="Prrafodelista"/>
        <w:numPr>
          <w:ilvl w:val="0"/>
          <w:numId w:val="4"/>
        </w:numPr>
        <w:spacing w:line="360" w:lineRule="auto"/>
        <w:jc w:val="both"/>
        <w:rPr>
          <w:rFonts w:ascii="Arial" w:hAnsi="Arial" w:cs="Arial"/>
          <w:color w:val="000000"/>
          <w:sz w:val="26"/>
          <w:szCs w:val="26"/>
        </w:rPr>
      </w:pPr>
      <w:r>
        <w:rPr>
          <w:rFonts w:ascii="Arial" w:hAnsi="Arial" w:cs="Arial"/>
          <w:color w:val="000000"/>
          <w:sz w:val="26"/>
          <w:szCs w:val="26"/>
        </w:rPr>
        <w:t xml:space="preserve">Mediante el proveído de fecha 28 veintiocho de noviembre de 2017 dos mil diecisiete la Séptima Sala Unitaria de Primera Instancia del otrora Tribunal de lo Contencioso Administrativo y de Cuentas del Estado, tuvo al ciudadano </w:t>
      </w:r>
      <w:r w:rsidR="00567AF2">
        <w:rPr>
          <w:rFonts w:ascii="Arial" w:hAnsi="Arial" w:cs="Arial"/>
          <w:b/>
          <w:bCs/>
          <w:sz w:val="26"/>
          <w:szCs w:val="26"/>
        </w:rPr>
        <w:t>**********</w:t>
      </w:r>
      <w:r>
        <w:rPr>
          <w:rFonts w:ascii="Arial" w:hAnsi="Arial" w:cs="Arial"/>
          <w:color w:val="000000"/>
          <w:sz w:val="26"/>
          <w:szCs w:val="26"/>
        </w:rPr>
        <w:t xml:space="preserve"> (uno de los actores iniciales del juicio de nulidad de origen) revocando de forma individual domicilio y autorizado para recibir notificaciones; señalando para tal efecto nuevo domicilio ubicado en la calle Puerto Escondido número 709, Colonia </w:t>
      </w:r>
      <w:r w:rsidR="00567AF2">
        <w:rPr>
          <w:rFonts w:ascii="Arial" w:hAnsi="Arial" w:cs="Arial"/>
          <w:b/>
          <w:bCs/>
          <w:sz w:val="26"/>
          <w:szCs w:val="26"/>
        </w:rPr>
        <w:t>**********</w:t>
      </w:r>
      <w:r>
        <w:rPr>
          <w:rFonts w:ascii="Arial" w:hAnsi="Arial" w:cs="Arial"/>
          <w:color w:val="000000"/>
          <w:sz w:val="26"/>
          <w:szCs w:val="26"/>
        </w:rPr>
        <w:t>, Oaxaca de Juárez, Oaxaca y, como aut</w:t>
      </w:r>
      <w:r w:rsidR="00567AF2">
        <w:rPr>
          <w:rFonts w:ascii="Arial" w:hAnsi="Arial" w:cs="Arial"/>
          <w:color w:val="000000"/>
          <w:sz w:val="26"/>
          <w:szCs w:val="26"/>
        </w:rPr>
        <w:t>orizados a los</w:t>
      </w:r>
      <w:r>
        <w:rPr>
          <w:rFonts w:ascii="Arial" w:hAnsi="Arial" w:cs="Arial"/>
          <w:color w:val="000000"/>
          <w:sz w:val="26"/>
          <w:szCs w:val="26"/>
        </w:rPr>
        <w:t xml:space="preserve"> </w:t>
      </w:r>
      <w:r w:rsidR="00567AF2">
        <w:rPr>
          <w:rFonts w:ascii="Arial" w:hAnsi="Arial" w:cs="Arial"/>
          <w:b/>
          <w:bCs/>
          <w:sz w:val="26"/>
          <w:szCs w:val="26"/>
        </w:rPr>
        <w:t>**********</w:t>
      </w:r>
      <w:r>
        <w:rPr>
          <w:rFonts w:ascii="Arial" w:hAnsi="Arial" w:cs="Arial"/>
          <w:color w:val="000000"/>
          <w:sz w:val="26"/>
          <w:szCs w:val="26"/>
        </w:rPr>
        <w:t>.</w:t>
      </w:r>
    </w:p>
    <w:p w:rsidR="005D27B2" w:rsidRDefault="005D27B2" w:rsidP="005D27B2">
      <w:pPr>
        <w:pStyle w:val="Prrafodelista"/>
        <w:numPr>
          <w:ilvl w:val="0"/>
          <w:numId w:val="4"/>
        </w:numPr>
        <w:spacing w:line="360" w:lineRule="auto"/>
        <w:jc w:val="both"/>
        <w:rPr>
          <w:rFonts w:ascii="Arial" w:hAnsi="Arial" w:cs="Arial"/>
          <w:color w:val="000000"/>
          <w:sz w:val="26"/>
          <w:szCs w:val="26"/>
        </w:rPr>
      </w:pPr>
      <w:r>
        <w:rPr>
          <w:rFonts w:ascii="Arial" w:hAnsi="Arial" w:cs="Arial"/>
          <w:color w:val="000000"/>
          <w:sz w:val="26"/>
          <w:szCs w:val="26"/>
        </w:rPr>
        <w:t xml:space="preserve">Con fecha 30 treinta de enero de 2018 dos mil dieciocho la Séptima Sala de Primera Instancia desahogó Audiencia Final, compareciendo los </w:t>
      </w:r>
      <w:r w:rsidR="00567AF2">
        <w:rPr>
          <w:rFonts w:ascii="Arial" w:hAnsi="Arial" w:cs="Arial"/>
          <w:b/>
          <w:bCs/>
          <w:sz w:val="26"/>
          <w:szCs w:val="26"/>
        </w:rPr>
        <w:t>**********</w:t>
      </w:r>
      <w:r w:rsidR="00567AF2">
        <w:rPr>
          <w:rFonts w:ascii="Arial" w:hAnsi="Arial" w:cs="Arial"/>
          <w:color w:val="000000"/>
          <w:sz w:val="26"/>
          <w:szCs w:val="26"/>
        </w:rPr>
        <w:t xml:space="preserve"> </w:t>
      </w:r>
      <w:r>
        <w:rPr>
          <w:rFonts w:ascii="Arial" w:hAnsi="Arial" w:cs="Arial"/>
          <w:color w:val="000000"/>
          <w:sz w:val="26"/>
          <w:szCs w:val="26"/>
        </w:rPr>
        <w:t>(parte de los actores del juicio de nulidad de origen).</w:t>
      </w:r>
    </w:p>
    <w:p w:rsidR="005D27B2" w:rsidRDefault="005D27B2" w:rsidP="005D27B2">
      <w:pPr>
        <w:pStyle w:val="Prrafodelista"/>
        <w:numPr>
          <w:ilvl w:val="0"/>
          <w:numId w:val="4"/>
        </w:numPr>
        <w:spacing w:line="360" w:lineRule="auto"/>
        <w:jc w:val="both"/>
        <w:rPr>
          <w:rFonts w:ascii="Arial" w:hAnsi="Arial" w:cs="Arial"/>
          <w:color w:val="000000"/>
          <w:sz w:val="26"/>
          <w:szCs w:val="26"/>
        </w:rPr>
      </w:pPr>
      <w:r>
        <w:rPr>
          <w:rFonts w:ascii="Arial" w:hAnsi="Arial" w:cs="Arial"/>
          <w:color w:val="000000"/>
          <w:sz w:val="26"/>
          <w:szCs w:val="26"/>
        </w:rPr>
        <w:t>Con fecha 15 quince de mayo de 2018 dos mil dieciocho la resolutora de la Séptima Sala Unitaria de Primera Instancia dictó sentencia en el juicio de nulidad de origen, ordenando la notificación a las partes.</w:t>
      </w:r>
    </w:p>
    <w:p w:rsidR="005D27B2" w:rsidRDefault="005D27B2" w:rsidP="005D27B2">
      <w:pPr>
        <w:pStyle w:val="Prrafodelista"/>
        <w:numPr>
          <w:ilvl w:val="0"/>
          <w:numId w:val="4"/>
        </w:numPr>
        <w:spacing w:line="360" w:lineRule="auto"/>
        <w:jc w:val="both"/>
        <w:rPr>
          <w:rFonts w:ascii="Arial" w:hAnsi="Arial" w:cs="Arial"/>
          <w:color w:val="000000"/>
          <w:sz w:val="26"/>
          <w:szCs w:val="26"/>
        </w:rPr>
      </w:pPr>
      <w:r w:rsidRPr="00B12D5B">
        <w:rPr>
          <w:rFonts w:ascii="Arial" w:hAnsi="Arial" w:cs="Arial"/>
          <w:color w:val="000000"/>
          <w:sz w:val="26"/>
          <w:szCs w:val="26"/>
        </w:rPr>
        <w:t xml:space="preserve">Mediante notificación por comparecencia efectuada con fecha 30 treinta de mayo de 2018 dos mil dieciocho por la Actuaria adscrita a la Séptima Sala Unitaria de Primera Instancia, notificó </w:t>
      </w:r>
      <w:r>
        <w:rPr>
          <w:rFonts w:ascii="Arial" w:hAnsi="Arial" w:cs="Arial"/>
          <w:color w:val="000000"/>
          <w:sz w:val="26"/>
          <w:szCs w:val="26"/>
        </w:rPr>
        <w:t xml:space="preserve">la sentencia de 15 quince de mayo de 2018 dos mil dieciocho </w:t>
      </w:r>
      <w:r w:rsidRPr="00B12D5B">
        <w:rPr>
          <w:rFonts w:ascii="Arial" w:hAnsi="Arial" w:cs="Arial"/>
          <w:color w:val="000000"/>
          <w:sz w:val="26"/>
          <w:szCs w:val="26"/>
        </w:rPr>
        <w:t xml:space="preserve">al ciudadano </w:t>
      </w:r>
      <w:r w:rsidR="00567AF2">
        <w:rPr>
          <w:rFonts w:ascii="Arial" w:hAnsi="Arial" w:cs="Arial"/>
          <w:b/>
          <w:bCs/>
          <w:sz w:val="26"/>
          <w:szCs w:val="26"/>
        </w:rPr>
        <w:t xml:space="preserve">********** </w:t>
      </w:r>
      <w:r w:rsidRPr="00B12D5B">
        <w:rPr>
          <w:rFonts w:ascii="Arial" w:hAnsi="Arial" w:cs="Arial"/>
          <w:color w:val="000000"/>
          <w:sz w:val="26"/>
          <w:szCs w:val="26"/>
        </w:rPr>
        <w:t>en su carácter de autorizado del</w:t>
      </w:r>
      <w:r>
        <w:rPr>
          <w:rFonts w:ascii="Arial" w:hAnsi="Arial" w:cs="Arial"/>
          <w:color w:val="000000"/>
          <w:sz w:val="26"/>
          <w:szCs w:val="26"/>
        </w:rPr>
        <w:t xml:space="preserve"> </w:t>
      </w:r>
      <w:r w:rsidRPr="00B12D5B">
        <w:rPr>
          <w:rFonts w:ascii="Arial" w:hAnsi="Arial" w:cs="Arial"/>
          <w:color w:val="000000"/>
          <w:sz w:val="26"/>
          <w:szCs w:val="26"/>
        </w:rPr>
        <w:t xml:space="preserve">actor de nombre </w:t>
      </w:r>
      <w:r w:rsidR="00567AF2">
        <w:rPr>
          <w:rFonts w:ascii="Arial" w:hAnsi="Arial" w:cs="Arial"/>
          <w:b/>
          <w:bCs/>
          <w:sz w:val="26"/>
          <w:szCs w:val="26"/>
        </w:rPr>
        <w:t>**********</w:t>
      </w:r>
      <w:r>
        <w:rPr>
          <w:rFonts w:ascii="Arial" w:hAnsi="Arial" w:cs="Arial"/>
          <w:color w:val="000000"/>
          <w:sz w:val="26"/>
          <w:szCs w:val="26"/>
        </w:rPr>
        <w:t xml:space="preserve">, entonces </w:t>
      </w:r>
      <w:r w:rsidR="00567AF2">
        <w:rPr>
          <w:rFonts w:ascii="Arial" w:hAnsi="Arial" w:cs="Arial"/>
          <w:b/>
          <w:bCs/>
          <w:sz w:val="26"/>
          <w:szCs w:val="26"/>
        </w:rPr>
        <w:t>**********</w:t>
      </w:r>
      <w:r>
        <w:rPr>
          <w:rFonts w:ascii="Arial" w:hAnsi="Arial" w:cs="Arial"/>
          <w:color w:val="000000"/>
          <w:sz w:val="26"/>
          <w:szCs w:val="26"/>
        </w:rPr>
        <w:t>.</w:t>
      </w:r>
    </w:p>
    <w:p w:rsidR="005D27B2" w:rsidRPr="00B12D5B" w:rsidRDefault="005D27B2" w:rsidP="005D27B2">
      <w:pPr>
        <w:pStyle w:val="Prrafodelista"/>
        <w:numPr>
          <w:ilvl w:val="0"/>
          <w:numId w:val="4"/>
        </w:numPr>
        <w:spacing w:line="360" w:lineRule="auto"/>
        <w:jc w:val="both"/>
        <w:rPr>
          <w:rFonts w:ascii="Arial" w:hAnsi="Arial" w:cs="Arial"/>
          <w:color w:val="000000"/>
          <w:sz w:val="26"/>
          <w:szCs w:val="26"/>
        </w:rPr>
      </w:pPr>
      <w:r w:rsidRPr="00B12D5B">
        <w:rPr>
          <w:rFonts w:ascii="Arial" w:hAnsi="Arial" w:cs="Arial"/>
          <w:color w:val="000000"/>
          <w:sz w:val="26"/>
          <w:szCs w:val="26"/>
        </w:rPr>
        <w:t>Con fecha 8 ocho de junio de 2018 d</w:t>
      </w:r>
      <w:r>
        <w:rPr>
          <w:rFonts w:ascii="Arial" w:hAnsi="Arial" w:cs="Arial"/>
          <w:color w:val="000000"/>
          <w:sz w:val="26"/>
          <w:szCs w:val="26"/>
        </w:rPr>
        <w:t xml:space="preserve">os mil dieciocho </w:t>
      </w:r>
      <w:r w:rsidR="00567AF2">
        <w:rPr>
          <w:rFonts w:ascii="Arial" w:hAnsi="Arial" w:cs="Arial"/>
          <w:b/>
          <w:bCs/>
          <w:sz w:val="26"/>
          <w:szCs w:val="26"/>
        </w:rPr>
        <w:t>**********</w:t>
      </w:r>
      <w:r w:rsidRPr="00B12D5B">
        <w:rPr>
          <w:rFonts w:ascii="Arial" w:hAnsi="Arial" w:cs="Arial"/>
          <w:color w:val="000000"/>
          <w:sz w:val="26"/>
          <w:szCs w:val="26"/>
        </w:rPr>
        <w:t>, interpusieron recurso de revisión en contra la sentencia de fecha 15 quince de mayo de 2018 dos mil dieciocho dictada por la resolutora de la Séptima Sala Unitaria de Primera Instancia.</w:t>
      </w:r>
    </w:p>
    <w:p w:rsidR="005D27B2" w:rsidRDefault="005D27B2" w:rsidP="005D27B2">
      <w:pPr>
        <w:pStyle w:val="Prrafodelista"/>
        <w:numPr>
          <w:ilvl w:val="0"/>
          <w:numId w:val="4"/>
        </w:numPr>
        <w:spacing w:line="360" w:lineRule="auto"/>
        <w:jc w:val="both"/>
        <w:rPr>
          <w:rFonts w:ascii="Arial" w:hAnsi="Arial" w:cs="Arial"/>
          <w:color w:val="000000"/>
          <w:sz w:val="26"/>
          <w:szCs w:val="26"/>
        </w:rPr>
      </w:pPr>
      <w:r>
        <w:rPr>
          <w:rFonts w:ascii="Arial" w:hAnsi="Arial" w:cs="Arial"/>
          <w:color w:val="000000"/>
          <w:sz w:val="26"/>
          <w:szCs w:val="26"/>
        </w:rPr>
        <w:t xml:space="preserve">Mediante notificación por comparecencia de fecha 29 veintinueve de junio de 2018 dos mil dieciocho efectuada por la Actuaria adscrita a la Séptima Sala Unitaria de Primera </w:t>
      </w:r>
      <w:r>
        <w:rPr>
          <w:rFonts w:ascii="Arial" w:hAnsi="Arial" w:cs="Arial"/>
          <w:color w:val="000000"/>
          <w:sz w:val="26"/>
          <w:szCs w:val="26"/>
        </w:rPr>
        <w:lastRenderedPageBreak/>
        <w:t xml:space="preserve">Instancia, notificó la sentencia de 15 quince de mayo de 2018 dos mil dieciocho al ciudadano </w:t>
      </w:r>
      <w:r w:rsidR="00567AF2">
        <w:rPr>
          <w:rFonts w:ascii="Arial" w:hAnsi="Arial" w:cs="Arial"/>
          <w:b/>
          <w:bCs/>
          <w:sz w:val="26"/>
          <w:szCs w:val="26"/>
        </w:rPr>
        <w:t xml:space="preserve">********** </w:t>
      </w:r>
      <w:r>
        <w:rPr>
          <w:rFonts w:ascii="Arial" w:hAnsi="Arial" w:cs="Arial"/>
          <w:color w:val="000000"/>
          <w:sz w:val="26"/>
          <w:szCs w:val="26"/>
        </w:rPr>
        <w:t xml:space="preserve">en su carácter de autorizado de los entonces actores </w:t>
      </w:r>
      <w:r w:rsidR="00567AF2">
        <w:rPr>
          <w:rFonts w:ascii="Arial" w:hAnsi="Arial" w:cs="Arial"/>
          <w:b/>
          <w:bCs/>
          <w:sz w:val="26"/>
          <w:szCs w:val="26"/>
        </w:rPr>
        <w:t>**********</w:t>
      </w:r>
      <w:r>
        <w:rPr>
          <w:rFonts w:ascii="Arial" w:hAnsi="Arial" w:cs="Arial"/>
          <w:color w:val="000000"/>
          <w:sz w:val="26"/>
          <w:szCs w:val="26"/>
        </w:rPr>
        <w:t xml:space="preserve">, entonces </w:t>
      </w:r>
      <w:r w:rsidR="00567AF2">
        <w:rPr>
          <w:rFonts w:ascii="Arial" w:hAnsi="Arial" w:cs="Arial"/>
          <w:b/>
          <w:bCs/>
          <w:sz w:val="26"/>
          <w:szCs w:val="26"/>
        </w:rPr>
        <w:t>**********</w:t>
      </w:r>
      <w:r>
        <w:rPr>
          <w:rFonts w:ascii="Arial" w:hAnsi="Arial" w:cs="Arial"/>
          <w:color w:val="000000"/>
          <w:sz w:val="26"/>
          <w:szCs w:val="26"/>
        </w:rPr>
        <w:t>.</w:t>
      </w:r>
    </w:p>
    <w:p w:rsidR="005D27B2" w:rsidRPr="00977E36" w:rsidRDefault="005D27B2" w:rsidP="005D27B2">
      <w:pPr>
        <w:pStyle w:val="Prrafodelista"/>
        <w:numPr>
          <w:ilvl w:val="0"/>
          <w:numId w:val="4"/>
        </w:numPr>
        <w:spacing w:line="360" w:lineRule="auto"/>
        <w:jc w:val="both"/>
        <w:rPr>
          <w:rFonts w:ascii="Arial" w:hAnsi="Arial" w:cs="Arial"/>
          <w:color w:val="000000"/>
          <w:sz w:val="26"/>
          <w:szCs w:val="26"/>
        </w:rPr>
      </w:pPr>
      <w:r>
        <w:rPr>
          <w:rFonts w:ascii="Arial" w:hAnsi="Arial" w:cs="Arial"/>
          <w:color w:val="000000"/>
          <w:sz w:val="26"/>
          <w:szCs w:val="26"/>
        </w:rPr>
        <w:t xml:space="preserve">Mediante proveído de fecha 10 diez de julio de 2018 dos mil dieciocho la Séptima Sala Unitaria de Primera Instancia acordó escrito recibido en la Oficialía Partes Común de este Tribunal de Justicia Administrativa el 24 veinticuatro de abril de 2018 dos mil dieciocho; proveído en el cual tuvo a los Ciudadanos </w:t>
      </w:r>
      <w:r w:rsidR="00567AF2">
        <w:rPr>
          <w:rFonts w:ascii="Arial" w:hAnsi="Arial" w:cs="Arial"/>
          <w:b/>
          <w:bCs/>
          <w:sz w:val="26"/>
          <w:szCs w:val="26"/>
        </w:rPr>
        <w:t>**********</w:t>
      </w:r>
      <w:r>
        <w:rPr>
          <w:rFonts w:ascii="Arial" w:hAnsi="Arial" w:cs="Arial"/>
          <w:color w:val="000000"/>
          <w:sz w:val="26"/>
          <w:szCs w:val="26"/>
        </w:rPr>
        <w:t xml:space="preserve">, acreditando su carácter de actores en el juicio de nulidad  de origen, como actuales </w:t>
      </w:r>
      <w:r w:rsidR="0044309E">
        <w:rPr>
          <w:rFonts w:ascii="Arial" w:hAnsi="Arial" w:cs="Arial"/>
          <w:b/>
          <w:bCs/>
          <w:sz w:val="26"/>
          <w:szCs w:val="26"/>
        </w:rPr>
        <w:t>**********</w:t>
      </w:r>
      <w:r>
        <w:rPr>
          <w:rFonts w:ascii="Arial" w:hAnsi="Arial" w:cs="Arial"/>
          <w:color w:val="000000"/>
          <w:sz w:val="26"/>
          <w:szCs w:val="26"/>
        </w:rPr>
        <w:t xml:space="preserve">; en sustitución de los acores que iniciaron el juicio de nulidad de origen de nombres </w:t>
      </w:r>
      <w:r w:rsidR="0044309E">
        <w:rPr>
          <w:rFonts w:ascii="Arial" w:hAnsi="Arial" w:cs="Arial"/>
          <w:b/>
          <w:bCs/>
          <w:sz w:val="26"/>
          <w:szCs w:val="26"/>
        </w:rPr>
        <w:t>**********</w:t>
      </w:r>
      <w:r>
        <w:rPr>
          <w:rFonts w:ascii="Arial" w:hAnsi="Arial" w:cs="Arial"/>
          <w:sz w:val="26"/>
          <w:szCs w:val="26"/>
          <w:lang w:val="es-MX"/>
        </w:rPr>
        <w:t>.</w:t>
      </w:r>
    </w:p>
    <w:p w:rsidR="005D27B2" w:rsidRDefault="005D27B2" w:rsidP="005D27B2">
      <w:pPr>
        <w:spacing w:line="360" w:lineRule="auto"/>
        <w:jc w:val="both"/>
        <w:rPr>
          <w:rFonts w:ascii="Arial" w:hAnsi="Arial" w:cs="Arial"/>
          <w:color w:val="000000"/>
          <w:sz w:val="26"/>
          <w:szCs w:val="26"/>
        </w:rPr>
      </w:pPr>
      <w:r>
        <w:rPr>
          <w:rFonts w:ascii="Arial" w:hAnsi="Arial" w:cs="Arial"/>
          <w:color w:val="000000"/>
          <w:sz w:val="26"/>
          <w:szCs w:val="26"/>
        </w:rPr>
        <w:t xml:space="preserve">     De los relatados antecedentes, se advierte que mediante proveído de 28 veintiocho de noviembre de 2017 dos mil diecisiete el ciudadano </w:t>
      </w:r>
      <w:r w:rsidR="0044309E">
        <w:rPr>
          <w:rFonts w:ascii="Arial" w:hAnsi="Arial" w:cs="Arial"/>
          <w:b/>
          <w:bCs/>
          <w:sz w:val="26"/>
          <w:szCs w:val="26"/>
        </w:rPr>
        <w:t>**********</w:t>
      </w:r>
      <w:r>
        <w:rPr>
          <w:rFonts w:ascii="Arial" w:hAnsi="Arial" w:cs="Arial"/>
          <w:color w:val="000000"/>
          <w:sz w:val="26"/>
          <w:szCs w:val="26"/>
        </w:rPr>
        <w:t xml:space="preserve">, entonces </w:t>
      </w:r>
      <w:r w:rsidR="0044309E">
        <w:rPr>
          <w:rFonts w:ascii="Arial" w:hAnsi="Arial" w:cs="Arial"/>
          <w:b/>
          <w:bCs/>
          <w:sz w:val="26"/>
          <w:szCs w:val="26"/>
        </w:rPr>
        <w:t>**********</w:t>
      </w:r>
      <w:r>
        <w:rPr>
          <w:rFonts w:ascii="Arial" w:hAnsi="Arial" w:cs="Arial"/>
          <w:color w:val="000000"/>
          <w:sz w:val="26"/>
          <w:szCs w:val="26"/>
        </w:rPr>
        <w:t xml:space="preserve">, de forma individual revocó domicilio y autorizados para recibir notificaciones, señalando nuevo domicilio y, como a uno de sus nuevos autorizados al ciudadano </w:t>
      </w:r>
      <w:r w:rsidR="0044309E">
        <w:rPr>
          <w:rFonts w:ascii="Arial" w:hAnsi="Arial" w:cs="Arial"/>
          <w:b/>
          <w:bCs/>
          <w:sz w:val="26"/>
          <w:szCs w:val="26"/>
        </w:rPr>
        <w:t>**********</w:t>
      </w:r>
      <w:r>
        <w:rPr>
          <w:rFonts w:ascii="Arial" w:hAnsi="Arial" w:cs="Arial"/>
          <w:color w:val="000000"/>
          <w:sz w:val="26"/>
          <w:szCs w:val="26"/>
        </w:rPr>
        <w:t>.</w:t>
      </w:r>
    </w:p>
    <w:p w:rsidR="005D27B2" w:rsidRDefault="005D27B2" w:rsidP="005D27B2">
      <w:pPr>
        <w:spacing w:line="360" w:lineRule="auto"/>
        <w:jc w:val="both"/>
        <w:rPr>
          <w:rFonts w:ascii="Arial" w:hAnsi="Arial" w:cs="Arial"/>
          <w:color w:val="000000"/>
          <w:sz w:val="26"/>
          <w:szCs w:val="26"/>
        </w:rPr>
      </w:pPr>
      <w:r>
        <w:rPr>
          <w:rFonts w:ascii="Arial" w:hAnsi="Arial" w:cs="Arial"/>
          <w:color w:val="000000"/>
          <w:sz w:val="26"/>
          <w:szCs w:val="26"/>
        </w:rPr>
        <w:t xml:space="preserve">     Asimismo, del escrito presentado en la Oficialía de Partes Común de este Tribunal con fecha 24 veinticuatro de abril de 2018 dos mil dieciocho, se advierte que los </w:t>
      </w:r>
      <w:r w:rsidR="0044309E">
        <w:rPr>
          <w:rFonts w:ascii="Arial" w:hAnsi="Arial" w:cs="Arial"/>
          <w:b/>
          <w:bCs/>
          <w:sz w:val="26"/>
          <w:szCs w:val="26"/>
        </w:rPr>
        <w:t>**********</w:t>
      </w:r>
      <w:r>
        <w:rPr>
          <w:rFonts w:ascii="Arial" w:hAnsi="Arial" w:cs="Arial"/>
          <w:color w:val="000000"/>
          <w:sz w:val="26"/>
          <w:szCs w:val="26"/>
        </w:rPr>
        <w:t xml:space="preserve">, Presidente del </w:t>
      </w:r>
      <w:r w:rsidR="0044309E">
        <w:rPr>
          <w:rFonts w:ascii="Arial" w:hAnsi="Arial" w:cs="Arial"/>
          <w:b/>
          <w:bCs/>
          <w:sz w:val="26"/>
          <w:szCs w:val="26"/>
        </w:rPr>
        <w:t>**********</w:t>
      </w:r>
      <w:r>
        <w:rPr>
          <w:rFonts w:ascii="Arial" w:hAnsi="Arial" w:cs="Arial"/>
          <w:color w:val="000000"/>
          <w:sz w:val="26"/>
          <w:szCs w:val="26"/>
        </w:rPr>
        <w:t xml:space="preserve">, quien sustituye al ciudadano </w:t>
      </w:r>
      <w:r w:rsidR="0044309E">
        <w:rPr>
          <w:rFonts w:ascii="Arial" w:hAnsi="Arial" w:cs="Arial"/>
          <w:b/>
          <w:bCs/>
          <w:sz w:val="26"/>
          <w:szCs w:val="26"/>
        </w:rPr>
        <w:t xml:space="preserve">********** </w:t>
      </w:r>
      <w:r>
        <w:rPr>
          <w:rFonts w:ascii="Arial" w:hAnsi="Arial" w:cs="Arial"/>
          <w:color w:val="000000"/>
          <w:sz w:val="26"/>
          <w:szCs w:val="26"/>
        </w:rPr>
        <w:t xml:space="preserve">como Presidente del citado sito, </w:t>
      </w:r>
      <w:r w:rsidR="0044309E">
        <w:rPr>
          <w:rFonts w:ascii="Arial" w:hAnsi="Arial" w:cs="Arial"/>
          <w:b/>
          <w:bCs/>
          <w:sz w:val="26"/>
          <w:szCs w:val="26"/>
        </w:rPr>
        <w:t>**********</w:t>
      </w:r>
      <w:r>
        <w:rPr>
          <w:rFonts w:ascii="Arial" w:hAnsi="Arial" w:cs="Arial"/>
          <w:color w:val="000000"/>
          <w:sz w:val="26"/>
          <w:szCs w:val="26"/>
        </w:rPr>
        <w:t xml:space="preserve"> Presidente del </w:t>
      </w:r>
      <w:r w:rsidR="0044309E">
        <w:rPr>
          <w:rFonts w:ascii="Arial" w:hAnsi="Arial" w:cs="Arial"/>
          <w:b/>
          <w:bCs/>
          <w:sz w:val="26"/>
          <w:szCs w:val="26"/>
        </w:rPr>
        <w:t>**********</w:t>
      </w:r>
      <w:r>
        <w:rPr>
          <w:rFonts w:ascii="Arial" w:hAnsi="Arial" w:cs="Arial"/>
          <w:color w:val="000000"/>
          <w:sz w:val="26"/>
          <w:szCs w:val="26"/>
        </w:rPr>
        <w:t xml:space="preserve">y, la ciudadana </w:t>
      </w:r>
      <w:r w:rsidR="0044309E">
        <w:rPr>
          <w:rFonts w:ascii="Arial" w:hAnsi="Arial" w:cs="Arial"/>
          <w:b/>
          <w:bCs/>
          <w:sz w:val="26"/>
          <w:szCs w:val="26"/>
        </w:rPr>
        <w:t>**********</w:t>
      </w:r>
      <w:r>
        <w:rPr>
          <w:rFonts w:ascii="Arial" w:hAnsi="Arial" w:cs="Arial"/>
          <w:color w:val="000000"/>
          <w:sz w:val="26"/>
          <w:szCs w:val="26"/>
        </w:rPr>
        <w:t xml:space="preserve">, Presidenta del </w:t>
      </w:r>
      <w:r w:rsidR="0044309E">
        <w:rPr>
          <w:rFonts w:ascii="Arial" w:hAnsi="Arial" w:cs="Arial"/>
          <w:b/>
          <w:bCs/>
          <w:sz w:val="26"/>
          <w:szCs w:val="26"/>
        </w:rPr>
        <w:t>**********</w:t>
      </w:r>
      <w:r>
        <w:rPr>
          <w:rFonts w:ascii="Arial" w:hAnsi="Arial" w:cs="Arial"/>
          <w:color w:val="000000"/>
          <w:sz w:val="26"/>
          <w:szCs w:val="26"/>
        </w:rPr>
        <w:t xml:space="preserve">, autorizaron también para recibir notificaciones al ciudadano </w:t>
      </w:r>
      <w:r w:rsidR="0044309E">
        <w:rPr>
          <w:rFonts w:ascii="Arial" w:hAnsi="Arial" w:cs="Arial"/>
          <w:b/>
          <w:bCs/>
          <w:sz w:val="26"/>
          <w:szCs w:val="26"/>
        </w:rPr>
        <w:t>**********</w:t>
      </w:r>
      <w:r>
        <w:rPr>
          <w:rFonts w:ascii="Arial" w:hAnsi="Arial" w:cs="Arial"/>
          <w:color w:val="000000"/>
          <w:sz w:val="26"/>
          <w:szCs w:val="26"/>
        </w:rPr>
        <w:t>.</w:t>
      </w:r>
    </w:p>
    <w:p w:rsidR="005D27B2" w:rsidRPr="00977E36" w:rsidRDefault="005D27B2" w:rsidP="005D27B2">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Pr="00684A40">
        <w:rPr>
          <w:rFonts w:ascii="Arial" w:hAnsi="Arial" w:cs="Arial"/>
          <w:b/>
          <w:color w:val="000000"/>
          <w:sz w:val="26"/>
          <w:szCs w:val="26"/>
        </w:rPr>
        <w:t>TERCERO.</w:t>
      </w:r>
      <w:r>
        <w:rPr>
          <w:rFonts w:ascii="Arial" w:hAnsi="Arial" w:cs="Arial"/>
          <w:color w:val="000000"/>
          <w:sz w:val="26"/>
          <w:szCs w:val="26"/>
        </w:rPr>
        <w:t xml:space="preserve"> Ahora bien, los ahora recurrentes señalaron en común como autorizado para recibir notificaciones al ciudadano </w:t>
      </w:r>
      <w:r w:rsidR="0044309E">
        <w:rPr>
          <w:rFonts w:ascii="Arial" w:hAnsi="Arial" w:cs="Arial"/>
          <w:b/>
          <w:bCs/>
          <w:sz w:val="26"/>
          <w:szCs w:val="26"/>
        </w:rPr>
        <w:t>**********</w:t>
      </w:r>
      <w:r>
        <w:rPr>
          <w:rFonts w:ascii="Arial" w:hAnsi="Arial" w:cs="Arial"/>
          <w:color w:val="000000"/>
          <w:sz w:val="26"/>
          <w:szCs w:val="26"/>
        </w:rPr>
        <w:t>; advirtiéndose de autos que fue legalmente notificado</w:t>
      </w:r>
      <w:r>
        <w:rPr>
          <w:rStyle w:val="Refdenotaalpie"/>
          <w:rFonts w:ascii="Arial" w:hAnsi="Arial" w:cs="Arial"/>
          <w:color w:val="000000"/>
          <w:sz w:val="26"/>
          <w:szCs w:val="26"/>
        </w:rPr>
        <w:footnoteReference w:id="1"/>
      </w:r>
      <w:r>
        <w:rPr>
          <w:rFonts w:ascii="Arial" w:hAnsi="Arial" w:cs="Arial"/>
          <w:color w:val="000000"/>
          <w:sz w:val="26"/>
          <w:szCs w:val="26"/>
        </w:rPr>
        <w:t xml:space="preserve"> el 30 treinta de mayo de 2018 dos mil dieciocho del contenido de la sentencia de 15 quince de mayo del mismo año, acta de notificación que hace prueba plena de conformidad en la fracción I, del artículo 173, de la Ley de Justicia Administrativa para el Estado de Oaxaca, generando convicción a esta Sala Superior que en esa fecha </w:t>
      </w:r>
      <w:r w:rsidRPr="00C90CE2">
        <w:rPr>
          <w:rFonts w:ascii="Arial" w:hAnsi="Arial" w:cs="Arial"/>
          <w:color w:val="000000"/>
          <w:sz w:val="26"/>
          <w:szCs w:val="26"/>
        </w:rPr>
        <w:t xml:space="preserve">los </w:t>
      </w:r>
      <w:r w:rsidRPr="00E76CE1">
        <w:rPr>
          <w:rFonts w:ascii="Arial" w:hAnsi="Arial" w:cs="Arial"/>
          <w:color w:val="000000"/>
          <w:sz w:val="26"/>
          <w:szCs w:val="26"/>
        </w:rPr>
        <w:t>recurrentes</w:t>
      </w:r>
      <w:r>
        <w:rPr>
          <w:rFonts w:ascii="Arial" w:hAnsi="Arial" w:cs="Arial"/>
          <w:color w:val="000000"/>
          <w:sz w:val="26"/>
          <w:szCs w:val="26"/>
        </w:rPr>
        <w:t xml:space="preserve"> tuvieron conocimiento del contenido de dicha sentencia.</w:t>
      </w:r>
    </w:p>
    <w:p w:rsidR="005D27B2" w:rsidRDefault="005D27B2" w:rsidP="005D27B2">
      <w:pPr>
        <w:spacing w:line="360" w:lineRule="auto"/>
        <w:jc w:val="both"/>
        <w:rPr>
          <w:rFonts w:ascii="Arial" w:hAnsi="Arial" w:cs="Arial"/>
          <w:color w:val="000000"/>
          <w:sz w:val="26"/>
          <w:szCs w:val="26"/>
        </w:rPr>
      </w:pPr>
      <w:r w:rsidRPr="00985F01">
        <w:rPr>
          <w:rFonts w:ascii="Arial" w:hAnsi="Arial" w:cs="Arial"/>
          <w:color w:val="000000"/>
          <w:sz w:val="26"/>
          <w:szCs w:val="26"/>
        </w:rPr>
        <w:t xml:space="preserve">     </w:t>
      </w:r>
      <w:r w:rsidRPr="00985F01">
        <w:rPr>
          <w:rFonts w:ascii="Arial" w:hAnsi="Arial" w:cs="Arial"/>
          <w:color w:val="000000"/>
          <w:sz w:val="26"/>
          <w:szCs w:val="26"/>
        </w:rPr>
        <w:tab/>
        <w:t>El artícu</w:t>
      </w:r>
      <w:r>
        <w:rPr>
          <w:rFonts w:ascii="Arial" w:hAnsi="Arial" w:cs="Arial"/>
          <w:color w:val="000000"/>
          <w:sz w:val="26"/>
          <w:szCs w:val="26"/>
        </w:rPr>
        <w:t>lo 207, primer párrafo, de la Ley de</w:t>
      </w:r>
      <w:r w:rsidRPr="00985F01">
        <w:rPr>
          <w:rFonts w:ascii="Arial" w:hAnsi="Arial" w:cs="Arial"/>
          <w:color w:val="000000"/>
          <w:sz w:val="26"/>
          <w:szCs w:val="26"/>
        </w:rPr>
        <w:t xml:space="preserve"> Justicia Administrativa para el Estado de Oaxaca</w:t>
      </w:r>
      <w:r>
        <w:rPr>
          <w:rFonts w:ascii="Arial" w:hAnsi="Arial" w:cs="Arial"/>
          <w:color w:val="000000"/>
          <w:sz w:val="26"/>
          <w:szCs w:val="26"/>
        </w:rPr>
        <w:t xml:space="preserve"> vigente al inicio del juicio de nulidad de origen</w:t>
      </w:r>
      <w:r w:rsidRPr="00985F01">
        <w:rPr>
          <w:rFonts w:ascii="Arial" w:hAnsi="Arial" w:cs="Arial"/>
          <w:color w:val="000000"/>
          <w:sz w:val="26"/>
          <w:szCs w:val="26"/>
        </w:rPr>
        <w:t xml:space="preserve">, establece: </w:t>
      </w:r>
    </w:p>
    <w:p w:rsidR="005D27B2" w:rsidRPr="00EE2440" w:rsidRDefault="005D27B2" w:rsidP="005D27B2">
      <w:pPr>
        <w:tabs>
          <w:tab w:val="left" w:pos="7371"/>
        </w:tabs>
        <w:spacing w:line="360" w:lineRule="auto"/>
        <w:ind w:left="851" w:right="1325"/>
        <w:jc w:val="both"/>
        <w:rPr>
          <w:rFonts w:ascii="Arial" w:hAnsi="Arial" w:cs="Arial"/>
          <w:i/>
          <w:color w:val="000000"/>
        </w:rPr>
      </w:pPr>
      <w:r w:rsidRPr="00EE2440">
        <w:rPr>
          <w:rFonts w:ascii="Arial" w:hAnsi="Arial" w:cs="Arial"/>
          <w:i/>
          <w:color w:val="000000"/>
        </w:rPr>
        <w:lastRenderedPageBreak/>
        <w:t xml:space="preserve"> “</w:t>
      </w:r>
      <w:r>
        <w:rPr>
          <w:rFonts w:ascii="Arial" w:hAnsi="Arial" w:cs="Arial"/>
          <w:b/>
          <w:i/>
          <w:color w:val="000000"/>
        </w:rPr>
        <w:t>ARTÍCULO 207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Pr>
          <w:rFonts w:ascii="Arial" w:hAnsi="Arial" w:cs="Arial"/>
          <w:i/>
          <w:color w:val="000000"/>
        </w:rPr>
        <w:t>n de la resolución recurrida…”</w:t>
      </w:r>
    </w:p>
    <w:p w:rsidR="005D27B2" w:rsidRDefault="005D27B2" w:rsidP="005D27B2">
      <w:pPr>
        <w:spacing w:line="360" w:lineRule="auto"/>
        <w:ind w:right="49"/>
        <w:jc w:val="both"/>
        <w:rPr>
          <w:rFonts w:ascii="Arial" w:hAnsi="Arial" w:cs="Arial"/>
          <w:color w:val="000000"/>
          <w:sz w:val="26"/>
          <w:szCs w:val="26"/>
        </w:rPr>
      </w:pPr>
      <w:r>
        <w:rPr>
          <w:rFonts w:ascii="Arial" w:hAnsi="Arial" w:cs="Arial"/>
          <w:color w:val="000000"/>
          <w:sz w:val="26"/>
          <w:szCs w:val="26"/>
        </w:rPr>
        <w:t xml:space="preserve">      Y, el diverso artículo 140, segundo párrafo, de la Ley invocada, señala:</w:t>
      </w:r>
    </w:p>
    <w:p w:rsidR="005D27B2" w:rsidRDefault="005D27B2" w:rsidP="005D27B2">
      <w:pPr>
        <w:tabs>
          <w:tab w:val="left" w:pos="7655"/>
        </w:tabs>
        <w:spacing w:line="360" w:lineRule="auto"/>
        <w:ind w:left="851" w:right="1325"/>
        <w:jc w:val="both"/>
        <w:rPr>
          <w:rFonts w:ascii="Arial" w:hAnsi="Arial" w:cs="Arial"/>
          <w:i/>
          <w:color w:val="000000"/>
        </w:rPr>
      </w:pPr>
      <w:r w:rsidRPr="00EE2440">
        <w:rPr>
          <w:rFonts w:ascii="Arial" w:hAnsi="Arial" w:cs="Arial"/>
          <w:i/>
          <w:color w:val="000000"/>
        </w:rPr>
        <w:t xml:space="preserve"> “</w:t>
      </w:r>
      <w:r>
        <w:rPr>
          <w:rFonts w:ascii="Arial" w:hAnsi="Arial" w:cs="Arial"/>
          <w:b/>
          <w:i/>
          <w:color w:val="000000"/>
        </w:rPr>
        <w:t>ARTÍCULO 14</w:t>
      </w:r>
      <w:r w:rsidRPr="00EE2440">
        <w:rPr>
          <w:rFonts w:ascii="Arial" w:hAnsi="Arial" w:cs="Arial"/>
          <w:b/>
          <w:i/>
          <w:color w:val="000000"/>
        </w:rPr>
        <w:t>0</w:t>
      </w:r>
      <w:r w:rsidRPr="00EE2440">
        <w:rPr>
          <w:rFonts w:ascii="Arial" w:hAnsi="Arial" w:cs="Arial"/>
          <w:i/>
          <w:color w:val="000000"/>
        </w:rPr>
        <w:t>.-…Las notificaciones surtirán sus efectos el día hábil siguiente d</w:t>
      </w:r>
      <w:r>
        <w:rPr>
          <w:rFonts w:ascii="Arial" w:hAnsi="Arial" w:cs="Arial"/>
          <w:i/>
          <w:color w:val="000000"/>
        </w:rPr>
        <w:t>e aquel en que se realicen.”</w:t>
      </w:r>
    </w:p>
    <w:p w:rsidR="00640D70" w:rsidRPr="00EE2440" w:rsidRDefault="00640D70" w:rsidP="005D27B2">
      <w:pPr>
        <w:tabs>
          <w:tab w:val="left" w:pos="7655"/>
        </w:tabs>
        <w:spacing w:line="360" w:lineRule="auto"/>
        <w:ind w:left="851" w:right="1325"/>
        <w:jc w:val="both"/>
        <w:rPr>
          <w:rFonts w:ascii="Arial" w:hAnsi="Arial" w:cs="Arial"/>
          <w:i/>
          <w:color w:val="000000"/>
        </w:rPr>
      </w:pPr>
    </w:p>
    <w:p w:rsidR="005D27B2" w:rsidRDefault="005D27B2" w:rsidP="005D27B2">
      <w:pPr>
        <w:spacing w:line="360" w:lineRule="auto"/>
        <w:jc w:val="both"/>
        <w:rPr>
          <w:rFonts w:ascii="Arial" w:hAnsi="Arial" w:cs="Arial"/>
          <w:color w:val="000000"/>
          <w:sz w:val="26"/>
          <w:szCs w:val="26"/>
        </w:rPr>
      </w:pPr>
      <w:r>
        <w:rPr>
          <w:rFonts w:ascii="Arial" w:hAnsi="Arial" w:cs="Arial"/>
          <w:color w:val="000000"/>
          <w:sz w:val="26"/>
          <w:szCs w:val="26"/>
        </w:rPr>
        <w:t xml:space="preserve">    Sin embargo, de la certificación</w:t>
      </w:r>
      <w:r>
        <w:rPr>
          <w:rStyle w:val="Refdenotaalpie"/>
          <w:rFonts w:ascii="Arial" w:hAnsi="Arial" w:cs="Arial"/>
          <w:color w:val="000000"/>
          <w:sz w:val="26"/>
          <w:szCs w:val="26"/>
        </w:rPr>
        <w:footnoteReference w:id="2"/>
      </w:r>
      <w:r>
        <w:rPr>
          <w:rFonts w:ascii="Arial" w:hAnsi="Arial" w:cs="Arial"/>
          <w:color w:val="000000"/>
          <w:sz w:val="26"/>
          <w:szCs w:val="26"/>
        </w:rPr>
        <w:t xml:space="preserve"> de término realizada por el Secretario de Acuerdos de la Séptima Sala de Primera Instancia al recepcionar el recurso de revisión y, del cómputo correspondiente que efectúa esta Sala Superior, se acredita fehacientemente que el recurso de revisión interpuesto por los ciudadanos </w:t>
      </w:r>
      <w:r w:rsidR="0044309E">
        <w:rPr>
          <w:rFonts w:ascii="Arial" w:hAnsi="Arial" w:cs="Arial"/>
          <w:b/>
          <w:bCs/>
          <w:sz w:val="26"/>
          <w:szCs w:val="26"/>
        </w:rPr>
        <w:t>**********</w:t>
      </w:r>
      <w:r>
        <w:rPr>
          <w:rFonts w:ascii="Arial" w:hAnsi="Arial" w:cs="Arial"/>
          <w:color w:val="000000"/>
          <w:sz w:val="26"/>
          <w:szCs w:val="26"/>
        </w:rPr>
        <w:t xml:space="preserve">, Presidente del </w:t>
      </w:r>
      <w:r w:rsidR="0044309E">
        <w:rPr>
          <w:rFonts w:ascii="Arial" w:hAnsi="Arial" w:cs="Arial"/>
          <w:b/>
          <w:bCs/>
          <w:sz w:val="26"/>
          <w:szCs w:val="26"/>
        </w:rPr>
        <w:t>**********</w:t>
      </w:r>
      <w:r>
        <w:rPr>
          <w:rFonts w:ascii="Arial" w:hAnsi="Arial" w:cs="Arial"/>
          <w:color w:val="000000"/>
          <w:sz w:val="26"/>
          <w:szCs w:val="26"/>
        </w:rPr>
        <w:t xml:space="preserve">, </w:t>
      </w:r>
      <w:r w:rsidR="0044309E">
        <w:rPr>
          <w:rFonts w:ascii="Arial" w:hAnsi="Arial" w:cs="Arial"/>
          <w:b/>
          <w:bCs/>
          <w:sz w:val="26"/>
          <w:szCs w:val="26"/>
        </w:rPr>
        <w:t>**********</w:t>
      </w:r>
      <w:r w:rsidR="0044309E">
        <w:rPr>
          <w:rFonts w:ascii="Arial" w:hAnsi="Arial" w:cs="Arial"/>
          <w:color w:val="000000"/>
          <w:sz w:val="26"/>
          <w:szCs w:val="26"/>
        </w:rPr>
        <w:t xml:space="preserve"> </w:t>
      </w:r>
      <w:r>
        <w:rPr>
          <w:rFonts w:ascii="Arial" w:hAnsi="Arial" w:cs="Arial"/>
          <w:color w:val="000000"/>
          <w:sz w:val="26"/>
          <w:szCs w:val="26"/>
        </w:rPr>
        <w:t xml:space="preserve">y, a la ciudadana </w:t>
      </w:r>
      <w:r w:rsidR="0044309E">
        <w:rPr>
          <w:rFonts w:ascii="Arial" w:hAnsi="Arial" w:cs="Arial"/>
          <w:b/>
          <w:bCs/>
          <w:sz w:val="26"/>
          <w:szCs w:val="26"/>
        </w:rPr>
        <w:t>**********</w:t>
      </w:r>
      <w:r>
        <w:rPr>
          <w:rFonts w:ascii="Arial" w:hAnsi="Arial" w:cs="Arial"/>
          <w:color w:val="000000"/>
          <w:sz w:val="26"/>
          <w:szCs w:val="26"/>
        </w:rPr>
        <w:t xml:space="preserve">, Presidenta del </w:t>
      </w:r>
      <w:r w:rsidR="0044309E">
        <w:rPr>
          <w:rFonts w:ascii="Arial" w:hAnsi="Arial" w:cs="Arial"/>
          <w:b/>
          <w:bCs/>
          <w:sz w:val="26"/>
          <w:szCs w:val="26"/>
        </w:rPr>
        <w:t>**********</w:t>
      </w:r>
      <w:r>
        <w:rPr>
          <w:rFonts w:ascii="Arial" w:hAnsi="Arial" w:cs="Arial"/>
          <w:color w:val="000000"/>
          <w:sz w:val="26"/>
          <w:szCs w:val="26"/>
        </w:rPr>
        <w:t xml:space="preserve">, fue presentado en la Oficialía de Partes Común de este Tribunal de forma </w:t>
      </w:r>
      <w:r w:rsidRPr="00E10A9D">
        <w:rPr>
          <w:rFonts w:ascii="Arial" w:hAnsi="Arial" w:cs="Arial"/>
          <w:b/>
          <w:color w:val="000000"/>
          <w:sz w:val="26"/>
          <w:szCs w:val="26"/>
        </w:rPr>
        <w:t>extemporánea</w:t>
      </w:r>
      <w:r>
        <w:rPr>
          <w:rFonts w:ascii="Arial" w:hAnsi="Arial" w:cs="Arial"/>
          <w:color w:val="000000"/>
          <w:sz w:val="26"/>
          <w:szCs w:val="26"/>
        </w:rPr>
        <w:t>; puesto que al haber tenido los recurrentes conocimiento del contenido de la sentencia recurrida el 30 treinta de mayo de 2018 dos mil dieciocho, surtió efectos el día hábil siguiente (el  31 treinta y uno del mismo mes y año), por lo que el plazo aludido transcurrió del 1 uno al 7 siete de junio de 2018 dos mil dieciocho, sin contar los días 2 y 3 del referido mes, al corresponder a sábado y domingo.</w:t>
      </w:r>
    </w:p>
    <w:p w:rsidR="005D27B2" w:rsidRDefault="005D27B2" w:rsidP="005D27B2">
      <w:pPr>
        <w:spacing w:line="360" w:lineRule="auto"/>
        <w:jc w:val="both"/>
        <w:rPr>
          <w:rFonts w:ascii="Arial" w:hAnsi="Arial" w:cs="Arial"/>
          <w:color w:val="000000"/>
          <w:sz w:val="26"/>
          <w:szCs w:val="26"/>
        </w:rPr>
      </w:pPr>
      <w:r>
        <w:rPr>
          <w:rFonts w:ascii="Arial" w:hAnsi="Arial" w:cs="Arial"/>
          <w:color w:val="000000"/>
          <w:sz w:val="26"/>
          <w:szCs w:val="26"/>
        </w:rPr>
        <w:t xml:space="preserve">     Lo anterior, de acuerdo a lo dispuesto en los artículos 135 y 138 de la Ley de Justicia Administrativa para el Estado de Oaxaca, los cuales establecen:</w:t>
      </w:r>
    </w:p>
    <w:p w:rsidR="005D27B2" w:rsidRPr="004642E9" w:rsidRDefault="005D27B2" w:rsidP="005D27B2">
      <w:pPr>
        <w:spacing w:line="360" w:lineRule="auto"/>
        <w:ind w:left="851" w:right="758"/>
        <w:jc w:val="both"/>
        <w:rPr>
          <w:rFonts w:ascii="Arial" w:hAnsi="Arial" w:cs="Arial"/>
          <w:i/>
          <w:color w:val="000000"/>
        </w:rPr>
      </w:pPr>
      <w:r w:rsidRPr="004642E9">
        <w:rPr>
          <w:rFonts w:ascii="Arial" w:hAnsi="Arial" w:cs="Arial"/>
          <w:i/>
          <w:color w:val="000000"/>
        </w:rPr>
        <w:t xml:space="preserve"> “</w:t>
      </w:r>
      <w:r>
        <w:rPr>
          <w:rFonts w:ascii="Arial" w:hAnsi="Arial" w:cs="Arial"/>
          <w:b/>
          <w:i/>
          <w:color w:val="000000"/>
        </w:rPr>
        <w:t>ARTICULO 13</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rsidR="005D27B2" w:rsidRDefault="005D27B2" w:rsidP="005D27B2">
      <w:pPr>
        <w:spacing w:line="360" w:lineRule="auto"/>
        <w:ind w:left="851" w:right="758"/>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Pr>
          <w:rFonts w:ascii="Arial" w:hAnsi="Arial" w:cs="Arial"/>
          <w:b/>
          <w:i/>
          <w:color w:val="000000"/>
        </w:rPr>
        <w:t>ICULO 13</w:t>
      </w:r>
      <w:r w:rsidRPr="004642E9">
        <w:rPr>
          <w:rFonts w:ascii="Arial" w:hAnsi="Arial" w:cs="Arial"/>
          <w:b/>
          <w:i/>
          <w:color w:val="000000"/>
        </w:rPr>
        <w:t>8</w:t>
      </w:r>
      <w:r w:rsidRPr="004642E9">
        <w:rPr>
          <w:rFonts w:ascii="Arial" w:hAnsi="Arial" w:cs="Arial"/>
          <w:i/>
          <w:color w:val="000000"/>
        </w:rPr>
        <w:t>.- Los plazos serán improrrogables y su cómputo se suj</w:t>
      </w:r>
      <w:r>
        <w:rPr>
          <w:rFonts w:ascii="Arial" w:hAnsi="Arial" w:cs="Arial"/>
          <w:i/>
          <w:color w:val="000000"/>
        </w:rPr>
        <w:t>etará a las reglas siguientes:</w:t>
      </w:r>
    </w:p>
    <w:p w:rsidR="005D27B2" w:rsidRPr="004642E9" w:rsidRDefault="005D27B2" w:rsidP="005D27B2">
      <w:pPr>
        <w:spacing w:line="360" w:lineRule="auto"/>
        <w:ind w:left="851" w:right="758"/>
        <w:jc w:val="both"/>
        <w:rPr>
          <w:rFonts w:ascii="Arial" w:hAnsi="Arial" w:cs="Arial"/>
          <w:i/>
          <w:color w:val="000000"/>
        </w:rPr>
      </w:pPr>
      <w:r w:rsidRPr="004642E9">
        <w:rPr>
          <w:rFonts w:ascii="Arial" w:hAnsi="Arial" w:cs="Arial"/>
          <w:i/>
          <w:color w:val="000000"/>
        </w:rPr>
        <w:t xml:space="preserve"> Empezarán a correr a partir del día siguiente a aquél en que surta efectos la notificación y se incluirá en ellos el día del vencimiento, y- </w:t>
      </w:r>
    </w:p>
    <w:p w:rsidR="005D27B2" w:rsidRPr="00D23DA7" w:rsidRDefault="005D27B2" w:rsidP="005D27B2">
      <w:pPr>
        <w:spacing w:after="120" w:line="360" w:lineRule="auto"/>
        <w:ind w:left="851" w:right="758"/>
        <w:jc w:val="both"/>
        <w:rPr>
          <w:rFonts w:ascii="Arial" w:hAnsi="Arial" w:cs="Arial"/>
          <w:i/>
          <w:color w:val="000000"/>
          <w:sz w:val="20"/>
          <w:szCs w:val="20"/>
        </w:rPr>
      </w:pPr>
      <w:r w:rsidRPr="004642E9">
        <w:rPr>
          <w:rFonts w:ascii="Arial" w:hAnsi="Arial" w:cs="Arial"/>
          <w:i/>
          <w:color w:val="000000"/>
        </w:rPr>
        <w:t xml:space="preserve">II. Los plazos </w:t>
      </w:r>
      <w:r>
        <w:rPr>
          <w:rFonts w:ascii="Arial" w:hAnsi="Arial" w:cs="Arial"/>
          <w:i/>
          <w:color w:val="000000"/>
        </w:rPr>
        <w:t>se contarán por días hábiles.”</w:t>
      </w:r>
    </w:p>
    <w:p w:rsidR="005D27B2" w:rsidRPr="004024F5" w:rsidRDefault="005D27B2" w:rsidP="005D27B2">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Por tanto, al haberse presentado el escrito del recurso de revisión a las 23 horas con 53 minutos del día 8 ocho de junio de 2018 dos mil dieciocho, como consta del sello de recepción de la Oficialía de Partes Común de este Tribunal de Justicia Administrativa del Estado de Oaxaca, es evidente que se efectuó fuera del plazo que dispone el </w:t>
      </w:r>
      <w:r>
        <w:rPr>
          <w:rFonts w:ascii="Arial" w:hAnsi="Arial" w:cs="Arial"/>
          <w:color w:val="000000"/>
          <w:sz w:val="26"/>
          <w:szCs w:val="26"/>
        </w:rPr>
        <w:lastRenderedPageBreak/>
        <w:t xml:space="preserve">artículo 207 de la Ley de la materia, lo que impone </w:t>
      </w:r>
      <w:r>
        <w:rPr>
          <w:rFonts w:ascii="Arial" w:hAnsi="Arial" w:cs="Arial"/>
          <w:b/>
          <w:color w:val="000000"/>
          <w:sz w:val="26"/>
          <w:szCs w:val="26"/>
        </w:rPr>
        <w:t>DESECHARLO</w:t>
      </w:r>
      <w:r>
        <w:rPr>
          <w:rFonts w:ascii="Arial" w:hAnsi="Arial" w:cs="Arial"/>
          <w:color w:val="000000"/>
          <w:sz w:val="26"/>
          <w:szCs w:val="26"/>
        </w:rPr>
        <w:t xml:space="preserve"> por </w:t>
      </w:r>
      <w:r>
        <w:rPr>
          <w:rFonts w:ascii="Arial" w:hAnsi="Arial" w:cs="Arial"/>
          <w:b/>
          <w:color w:val="000000"/>
          <w:sz w:val="26"/>
          <w:szCs w:val="26"/>
        </w:rPr>
        <w:t xml:space="preserve">EXTEMPORÁNEO; </w:t>
      </w:r>
      <w:r w:rsidRPr="004024F5">
        <w:rPr>
          <w:rFonts w:ascii="Arial" w:hAnsi="Arial" w:cs="Arial"/>
          <w:color w:val="000000"/>
          <w:sz w:val="26"/>
          <w:szCs w:val="26"/>
        </w:rPr>
        <w:t>sin que dicha determinación transgreda</w:t>
      </w:r>
      <w:r>
        <w:rPr>
          <w:rFonts w:ascii="Arial" w:hAnsi="Arial" w:cs="Arial"/>
          <w:color w:val="000000"/>
          <w:sz w:val="26"/>
          <w:szCs w:val="26"/>
        </w:rPr>
        <w:t xml:space="preserve"> el</w:t>
      </w:r>
      <w:r w:rsidRPr="004024F5">
        <w:rPr>
          <w:rFonts w:ascii="Arial" w:hAnsi="Arial" w:cs="Arial"/>
          <w:color w:val="000000"/>
          <w:sz w:val="26"/>
          <w:szCs w:val="26"/>
        </w:rPr>
        <w:t xml:space="preserve"> derecho de audiencia</w:t>
      </w:r>
      <w:r>
        <w:rPr>
          <w:rFonts w:ascii="Arial" w:hAnsi="Arial" w:cs="Arial"/>
          <w:color w:val="000000"/>
          <w:sz w:val="26"/>
          <w:szCs w:val="26"/>
        </w:rPr>
        <w:t xml:space="preserve"> de los recurrentes</w:t>
      </w:r>
      <w:r w:rsidRPr="004024F5">
        <w:rPr>
          <w:rFonts w:ascii="Arial" w:hAnsi="Arial" w:cs="Arial"/>
          <w:sz w:val="26"/>
          <w:szCs w:val="26"/>
        </w:rPr>
        <w:t>, el cual es limitado, pues para que pueda ser ejercido es necesario cumplir con los presupuestos formales y materiales de admisibilidad y procedencia para ese tipo de acciones, lo cual, además, brinda certeza jurídica.</w:t>
      </w:r>
    </w:p>
    <w:p w:rsidR="005D27B2" w:rsidRPr="005E6C83" w:rsidRDefault="005D27B2" w:rsidP="005D27B2">
      <w:pPr>
        <w:spacing w:line="360" w:lineRule="auto"/>
        <w:ind w:right="-234"/>
        <w:jc w:val="both"/>
        <w:rPr>
          <w:rFonts w:ascii="Arial" w:hAnsi="Arial" w:cs="Arial"/>
          <w:sz w:val="26"/>
          <w:szCs w:val="26"/>
        </w:rPr>
      </w:pPr>
      <w:r w:rsidRPr="005E6C83">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p>
    <w:p w:rsidR="005D27B2" w:rsidRPr="005E6C83" w:rsidRDefault="005D27B2" w:rsidP="005D27B2">
      <w:pPr>
        <w:ind w:left="284" w:right="49"/>
        <w:jc w:val="both"/>
        <w:rPr>
          <w:rFonts w:ascii="Arial" w:hAnsi="Arial" w:cs="Arial"/>
        </w:rPr>
      </w:pPr>
      <w:r w:rsidRPr="005E6C83">
        <w:rPr>
          <w:rFonts w:ascii="Arial" w:hAnsi="Arial" w:cs="Arial"/>
          <w:b/>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5E6C83">
        <w:rPr>
          <w:rFonts w:ascii="Arial" w:hAnsi="Arial" w:cs="Arial"/>
        </w:rPr>
        <w:t>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personae (previsto en el artículo 29 de la Convención Americana sobre Derechos Humanos conocida como Pacto de San José de Costa Rica), que implica, inter alia,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rsidR="005D27B2" w:rsidRDefault="005D27B2" w:rsidP="005D27B2">
      <w:pPr>
        <w:widowControl w:val="0"/>
        <w:tabs>
          <w:tab w:val="left" w:pos="7938"/>
          <w:tab w:val="left" w:pos="8222"/>
        </w:tabs>
        <w:spacing w:after="120" w:line="360" w:lineRule="auto"/>
        <w:ind w:right="49" w:firstLine="567"/>
        <w:jc w:val="both"/>
        <w:rPr>
          <w:rFonts w:ascii="Arial" w:hAnsi="Arial" w:cs="Arial"/>
          <w:color w:val="000000"/>
          <w:sz w:val="26"/>
          <w:szCs w:val="26"/>
        </w:rPr>
      </w:pPr>
    </w:p>
    <w:p w:rsidR="005D27B2" w:rsidRDefault="005D27B2" w:rsidP="005D27B2">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sz w:val="26"/>
          <w:szCs w:val="26"/>
        </w:rPr>
        <w:t xml:space="preserve">     En mérito de lo anterior, con fundamento en los artículos 207 y 208 de la Ley de Justicia Administrativa para el Estado, </w:t>
      </w:r>
      <w:r w:rsidR="00640D70">
        <w:rPr>
          <w:rFonts w:ascii="Arial" w:hAnsi="Arial" w:cs="Arial"/>
          <w:sz w:val="26"/>
          <w:szCs w:val="26"/>
        </w:rPr>
        <w:t xml:space="preserve">vigente l inicio del juicio principal, </w:t>
      </w:r>
      <w:r>
        <w:rPr>
          <w:rFonts w:ascii="Arial" w:hAnsi="Arial" w:cs="Arial"/>
          <w:sz w:val="26"/>
          <w:szCs w:val="26"/>
        </w:rPr>
        <w:t>se:</w:t>
      </w:r>
    </w:p>
    <w:p w:rsidR="005D27B2" w:rsidRDefault="005D27B2" w:rsidP="005D27B2">
      <w:pPr>
        <w:widowControl w:val="0"/>
        <w:tabs>
          <w:tab w:val="left" w:pos="7938"/>
          <w:tab w:val="left" w:pos="8222"/>
        </w:tabs>
        <w:spacing w:after="120" w:line="360" w:lineRule="auto"/>
        <w:ind w:right="49"/>
        <w:jc w:val="center"/>
        <w:rPr>
          <w:rFonts w:ascii="Arial" w:hAnsi="Arial" w:cs="Arial"/>
          <w:b/>
          <w:sz w:val="24"/>
          <w:szCs w:val="24"/>
        </w:rPr>
      </w:pPr>
      <w:r>
        <w:rPr>
          <w:rFonts w:ascii="Arial" w:hAnsi="Arial" w:cs="Arial"/>
          <w:b/>
          <w:sz w:val="24"/>
          <w:szCs w:val="24"/>
        </w:rPr>
        <w:lastRenderedPageBreak/>
        <w:t>R E S U E L V E:</w:t>
      </w:r>
    </w:p>
    <w:p w:rsidR="005D27B2" w:rsidRDefault="005D27B2" w:rsidP="005D27B2">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 la sentencia de 15 quince de mayo de 2018 dos mil dieciocho, dictada por </w:t>
      </w:r>
      <w:r>
        <w:rPr>
          <w:rFonts w:ascii="Arial" w:hAnsi="Arial" w:cs="Arial"/>
          <w:bCs/>
          <w:iCs/>
          <w:sz w:val="26"/>
          <w:szCs w:val="26"/>
        </w:rPr>
        <w:t>la</w:t>
      </w:r>
      <w:r>
        <w:rPr>
          <w:rFonts w:ascii="Arial" w:hAnsi="Arial" w:cs="Arial"/>
          <w:sz w:val="26"/>
          <w:szCs w:val="26"/>
        </w:rPr>
        <w:t xml:space="preserve"> resolutora de la Séptima Sala Unitaria de Primera Instancia, por las razones expuestas en el considerando Segundo y Tercero.</w:t>
      </w:r>
    </w:p>
    <w:p w:rsidR="005D27B2" w:rsidRPr="005D27B2" w:rsidRDefault="005D27B2" w:rsidP="005D27B2">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remítase copia certificada de la presente resolución a la Séptima Sala Unitaria de Primera Instancia de este Tribunal y en su oportunidad archívese el presente cuaderno de revisión como asunto concluido.</w:t>
      </w:r>
    </w:p>
    <w:p w:rsidR="005D27B2" w:rsidRDefault="005D27B2" w:rsidP="005D27B2"/>
    <w:p w:rsidR="0089184E" w:rsidRDefault="0089184E" w:rsidP="0089184E">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9184E" w:rsidRDefault="0089184E" w:rsidP="0089184E">
      <w:pPr>
        <w:spacing w:line="360" w:lineRule="auto"/>
        <w:rPr>
          <w:rFonts w:ascii="Arial" w:hAnsi="Arial" w:cs="Arial"/>
          <w:sz w:val="26"/>
          <w:szCs w:val="26"/>
        </w:rPr>
      </w:pPr>
    </w:p>
    <w:p w:rsidR="0089184E" w:rsidRDefault="0089184E" w:rsidP="0089184E">
      <w:pPr>
        <w:spacing w:line="360" w:lineRule="auto"/>
        <w:rPr>
          <w:rFonts w:ascii="Arial" w:hAnsi="Arial" w:cs="Arial"/>
          <w:sz w:val="26"/>
          <w:szCs w:val="26"/>
        </w:rPr>
      </w:pPr>
    </w:p>
    <w:p w:rsidR="0034208E" w:rsidRDefault="0034208E" w:rsidP="0089184E">
      <w:pPr>
        <w:spacing w:line="360" w:lineRule="auto"/>
        <w:rPr>
          <w:rFonts w:ascii="Arial" w:hAnsi="Arial" w:cs="Arial"/>
          <w:sz w:val="26"/>
          <w:szCs w:val="26"/>
        </w:rPr>
      </w:pPr>
    </w:p>
    <w:p w:rsidR="0034208E" w:rsidRDefault="0034208E" w:rsidP="0089184E">
      <w:pPr>
        <w:spacing w:line="360" w:lineRule="auto"/>
        <w:rPr>
          <w:rFonts w:ascii="Arial" w:hAnsi="Arial" w:cs="Arial"/>
          <w:sz w:val="26"/>
          <w:szCs w:val="26"/>
        </w:rPr>
      </w:pPr>
    </w:p>
    <w:p w:rsidR="0089184E" w:rsidRDefault="0089184E" w:rsidP="0089184E">
      <w:pPr>
        <w:jc w:val="center"/>
        <w:rPr>
          <w:rFonts w:ascii="Arial" w:hAnsi="Arial" w:cs="Arial"/>
          <w:sz w:val="26"/>
          <w:szCs w:val="26"/>
        </w:rPr>
      </w:pPr>
      <w:r>
        <w:rPr>
          <w:rFonts w:ascii="Arial" w:hAnsi="Arial" w:cs="Arial"/>
          <w:sz w:val="26"/>
          <w:szCs w:val="26"/>
        </w:rPr>
        <w:t>MAGISTRADA MARÍA ELENA VILLA DE JARQUÍN</w:t>
      </w:r>
    </w:p>
    <w:p w:rsidR="0089184E" w:rsidRDefault="0089184E" w:rsidP="0089184E">
      <w:pPr>
        <w:jc w:val="center"/>
        <w:rPr>
          <w:rFonts w:ascii="Arial" w:hAnsi="Arial" w:cs="Arial"/>
          <w:sz w:val="26"/>
          <w:szCs w:val="26"/>
        </w:rPr>
      </w:pPr>
      <w:r>
        <w:rPr>
          <w:rFonts w:ascii="Arial" w:hAnsi="Arial" w:cs="Arial"/>
          <w:sz w:val="26"/>
          <w:szCs w:val="26"/>
        </w:rPr>
        <w:t>PRESIDENTA</w:t>
      </w:r>
    </w:p>
    <w:p w:rsidR="0089184E" w:rsidRDefault="0089184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34208E" w:rsidRDefault="0034208E" w:rsidP="0089184E">
      <w:pPr>
        <w:spacing w:line="360" w:lineRule="auto"/>
        <w:rPr>
          <w:rFonts w:ascii="Arial" w:eastAsia="Times New Roman" w:hAnsi="Arial" w:cs="Arial"/>
          <w:sz w:val="26"/>
          <w:szCs w:val="26"/>
          <w:lang w:eastAsia="es-MX"/>
        </w:rPr>
      </w:pPr>
    </w:p>
    <w:p w:rsidR="0089184E" w:rsidRDefault="0089184E" w:rsidP="0089184E">
      <w:pPr>
        <w:spacing w:line="360" w:lineRule="auto"/>
        <w:rPr>
          <w:rFonts w:ascii="Arial" w:eastAsia="Times New Roman" w:hAnsi="Arial" w:cs="Arial"/>
          <w:sz w:val="26"/>
          <w:szCs w:val="26"/>
          <w:lang w:eastAsia="es-MX"/>
        </w:rPr>
      </w:pPr>
    </w:p>
    <w:p w:rsidR="0089184E" w:rsidRDefault="0089184E" w:rsidP="0089184E">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9184E" w:rsidRDefault="0089184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34208E" w:rsidRDefault="0034208E" w:rsidP="00B77442">
      <w:pPr>
        <w:spacing w:line="360" w:lineRule="auto"/>
        <w:rPr>
          <w:rFonts w:ascii="Arial" w:hAnsi="Arial" w:cs="Arial"/>
          <w:sz w:val="26"/>
          <w:szCs w:val="26"/>
        </w:rPr>
      </w:pPr>
    </w:p>
    <w:p w:rsidR="0089184E" w:rsidRDefault="0089184E" w:rsidP="0089184E">
      <w:pPr>
        <w:jc w:val="center"/>
        <w:rPr>
          <w:rFonts w:ascii="Arial" w:hAnsi="Arial" w:cs="Arial"/>
          <w:sz w:val="26"/>
          <w:szCs w:val="26"/>
        </w:rPr>
      </w:pPr>
      <w:r>
        <w:rPr>
          <w:rFonts w:ascii="Arial" w:hAnsi="Arial" w:cs="Arial"/>
          <w:sz w:val="26"/>
          <w:szCs w:val="26"/>
        </w:rPr>
        <w:t>MAGISTRADO RAÚL PALOMARES PALOMINO</w:t>
      </w:r>
    </w:p>
    <w:p w:rsidR="0089184E" w:rsidRDefault="0089184E" w:rsidP="0089184E">
      <w:pPr>
        <w:tabs>
          <w:tab w:val="center" w:pos="4135"/>
          <w:tab w:val="left" w:pos="7515"/>
        </w:tabs>
        <w:spacing w:line="360" w:lineRule="auto"/>
        <w:rPr>
          <w:rFonts w:ascii="Arial" w:hAnsi="Arial" w:cs="Arial"/>
          <w:sz w:val="26"/>
          <w:szCs w:val="26"/>
        </w:rPr>
      </w:pPr>
    </w:p>
    <w:p w:rsidR="0034208E" w:rsidRDefault="0034208E" w:rsidP="0089184E">
      <w:pPr>
        <w:tabs>
          <w:tab w:val="center" w:pos="4135"/>
          <w:tab w:val="left" w:pos="7515"/>
        </w:tabs>
        <w:spacing w:line="360" w:lineRule="auto"/>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89184E" w:rsidP="0034208E">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640D70" w:rsidRDefault="00640D70" w:rsidP="00640D70">
      <w:pPr>
        <w:tabs>
          <w:tab w:val="center" w:pos="4135"/>
          <w:tab w:val="left" w:pos="7515"/>
        </w:tabs>
        <w:spacing w:line="360" w:lineRule="auto"/>
        <w:jc w:val="center"/>
        <w:rPr>
          <w:rFonts w:ascii="Arial" w:hAnsi="Arial" w:cs="Arial"/>
          <w:sz w:val="14"/>
          <w:szCs w:val="26"/>
        </w:rPr>
      </w:pPr>
      <w:r w:rsidRPr="0034208E">
        <w:rPr>
          <w:rFonts w:ascii="Arial" w:hAnsi="Arial" w:cs="Arial"/>
          <w:sz w:val="14"/>
          <w:szCs w:val="26"/>
        </w:rPr>
        <w:t>LAS PRESENTES FIRMAS CORRES</w:t>
      </w:r>
      <w:r w:rsidR="002A3998">
        <w:rPr>
          <w:rFonts w:ascii="Arial" w:hAnsi="Arial" w:cs="Arial"/>
          <w:sz w:val="14"/>
          <w:szCs w:val="26"/>
        </w:rPr>
        <w:t>PONDEN AL RECURSO DE REISIÓN 236/2018</w:t>
      </w:r>
    </w:p>
    <w:p w:rsidR="00640D70" w:rsidRDefault="00640D70" w:rsidP="00640D70">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640D70" w:rsidRDefault="00640D70"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34208E" w:rsidP="0034208E">
      <w:pPr>
        <w:tabs>
          <w:tab w:val="center" w:pos="4135"/>
          <w:tab w:val="left" w:pos="7515"/>
        </w:tabs>
        <w:spacing w:line="360" w:lineRule="auto"/>
        <w:jc w:val="center"/>
        <w:rPr>
          <w:rFonts w:ascii="Arial" w:hAnsi="Arial" w:cs="Arial"/>
          <w:sz w:val="14"/>
          <w:szCs w:val="26"/>
        </w:rPr>
      </w:pPr>
    </w:p>
    <w:p w:rsidR="0034208E" w:rsidRDefault="0089184E" w:rsidP="0034208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34208E" w:rsidP="0034208E">
      <w:pPr>
        <w:tabs>
          <w:tab w:val="center" w:pos="4135"/>
          <w:tab w:val="left" w:pos="7515"/>
        </w:tabs>
        <w:spacing w:line="360" w:lineRule="auto"/>
        <w:jc w:val="center"/>
        <w:rPr>
          <w:rFonts w:ascii="Arial" w:hAnsi="Arial" w:cs="Arial"/>
          <w:sz w:val="26"/>
          <w:szCs w:val="26"/>
        </w:rPr>
      </w:pPr>
    </w:p>
    <w:p w:rsidR="0034208E" w:rsidRDefault="0089184E" w:rsidP="0034208E">
      <w:pPr>
        <w:tabs>
          <w:tab w:val="center" w:pos="4135"/>
          <w:tab w:val="left" w:pos="7515"/>
        </w:tabs>
        <w:jc w:val="center"/>
        <w:rPr>
          <w:rFonts w:ascii="Arial" w:hAnsi="Arial" w:cs="Arial"/>
          <w:sz w:val="26"/>
          <w:szCs w:val="26"/>
        </w:rPr>
      </w:pPr>
      <w:r>
        <w:rPr>
          <w:rFonts w:ascii="Arial" w:hAnsi="Arial" w:cs="Arial"/>
          <w:sz w:val="26"/>
          <w:szCs w:val="26"/>
        </w:rPr>
        <w:t>LICENCIADA FELICITAS DÍAZ VÁZQUEZ</w:t>
      </w:r>
    </w:p>
    <w:p w:rsidR="0089184E" w:rsidRPr="0034208E" w:rsidRDefault="0089184E" w:rsidP="0034208E">
      <w:pPr>
        <w:tabs>
          <w:tab w:val="center" w:pos="4135"/>
          <w:tab w:val="left" w:pos="7515"/>
        </w:tabs>
        <w:jc w:val="center"/>
        <w:rPr>
          <w:rFonts w:ascii="Arial" w:hAnsi="Arial" w:cs="Arial"/>
          <w:sz w:val="14"/>
          <w:szCs w:val="26"/>
        </w:rPr>
      </w:pPr>
      <w:r>
        <w:rPr>
          <w:rFonts w:ascii="Arial" w:hAnsi="Arial" w:cs="Arial"/>
          <w:sz w:val="26"/>
          <w:szCs w:val="26"/>
        </w:rPr>
        <w:t>SECRETARIA GENERAL DE ACUERDOS</w:t>
      </w:r>
    </w:p>
    <w:p w:rsidR="0089184E" w:rsidRPr="00DF1EBD" w:rsidRDefault="0089184E" w:rsidP="0034208E">
      <w:pPr>
        <w:spacing w:line="360" w:lineRule="auto"/>
        <w:ind w:firstLine="567"/>
        <w:jc w:val="center"/>
        <w:rPr>
          <w:rFonts w:ascii="Arial" w:hAnsi="Arial" w:cs="Arial"/>
          <w:bCs/>
          <w:sz w:val="24"/>
          <w:szCs w:val="24"/>
        </w:rPr>
      </w:pPr>
    </w:p>
    <w:p w:rsidR="0089184E" w:rsidRDefault="0089184E" w:rsidP="0034208E">
      <w:pPr>
        <w:spacing w:before="240" w:line="360" w:lineRule="auto"/>
        <w:ind w:firstLine="708"/>
        <w:jc w:val="center"/>
        <w:rPr>
          <w:rFonts w:ascii="Arial" w:hAnsi="Arial" w:cs="Arial"/>
          <w:sz w:val="26"/>
          <w:szCs w:val="26"/>
        </w:rPr>
      </w:pPr>
    </w:p>
    <w:p w:rsidR="0089184E" w:rsidRDefault="0089184E" w:rsidP="0034208E">
      <w:pPr>
        <w:spacing w:before="240" w:line="360" w:lineRule="auto"/>
        <w:ind w:firstLine="708"/>
        <w:jc w:val="center"/>
        <w:rPr>
          <w:rFonts w:ascii="Arial" w:hAnsi="Arial" w:cs="Arial"/>
          <w:sz w:val="26"/>
          <w:szCs w:val="26"/>
        </w:rPr>
      </w:pPr>
    </w:p>
    <w:p w:rsidR="0089184E" w:rsidRPr="00E5261F" w:rsidRDefault="0089184E" w:rsidP="0034208E">
      <w:pPr>
        <w:spacing w:before="240" w:line="360" w:lineRule="auto"/>
        <w:ind w:firstLine="708"/>
        <w:jc w:val="center"/>
        <w:rPr>
          <w:rFonts w:ascii="Arial" w:hAnsi="Arial" w:cs="Arial"/>
          <w:sz w:val="26"/>
          <w:szCs w:val="26"/>
        </w:rPr>
      </w:pPr>
    </w:p>
    <w:p w:rsidR="0089184E" w:rsidRPr="00D05224" w:rsidRDefault="0089184E" w:rsidP="0034208E">
      <w:pPr>
        <w:spacing w:before="240" w:line="360" w:lineRule="auto"/>
        <w:ind w:firstLine="708"/>
        <w:jc w:val="center"/>
        <w:rPr>
          <w:rFonts w:ascii="Arial" w:hAnsi="Arial" w:cs="Arial"/>
          <w:sz w:val="26"/>
          <w:szCs w:val="26"/>
        </w:rPr>
      </w:pPr>
    </w:p>
    <w:p w:rsidR="0089184E" w:rsidRPr="000C6331" w:rsidRDefault="0089184E" w:rsidP="0089184E">
      <w:pPr>
        <w:pStyle w:val="corte3centro"/>
        <w:spacing w:before="240"/>
        <w:ind w:firstLine="709"/>
        <w:jc w:val="both"/>
        <w:rPr>
          <w:rFonts w:cs="Arial"/>
          <w:sz w:val="26"/>
          <w:szCs w:val="26"/>
          <w:lang w:val="es-ES"/>
        </w:rPr>
      </w:pPr>
    </w:p>
    <w:p w:rsidR="00CD3F10" w:rsidRPr="00850BCF" w:rsidRDefault="00CD3F10" w:rsidP="0089184E">
      <w:pPr>
        <w:pStyle w:val="corte4fondo"/>
        <w:tabs>
          <w:tab w:val="left" w:pos="0"/>
        </w:tabs>
        <w:ind w:right="51" w:firstLine="0"/>
        <w:rPr>
          <w:b/>
          <w:sz w:val="26"/>
          <w:szCs w:val="26"/>
        </w:rPr>
      </w:pPr>
    </w:p>
    <w:sectPr w:rsidR="00CD3F10" w:rsidRPr="00850BCF" w:rsidSect="00411498">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279" w:rsidRDefault="00B76279">
      <w:r>
        <w:separator/>
      </w:r>
    </w:p>
  </w:endnote>
  <w:endnote w:type="continuationSeparator" w:id="0">
    <w:p w:rsidR="00B76279" w:rsidRDefault="00B7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279" w:rsidRDefault="00B76279">
      <w:r>
        <w:separator/>
      </w:r>
    </w:p>
  </w:footnote>
  <w:footnote w:type="continuationSeparator" w:id="0">
    <w:p w:rsidR="00B76279" w:rsidRDefault="00B76279">
      <w:r>
        <w:continuationSeparator/>
      </w:r>
    </w:p>
  </w:footnote>
  <w:footnote w:id="1">
    <w:p w:rsidR="005D27B2" w:rsidRPr="00F35DC1" w:rsidRDefault="005D27B2" w:rsidP="005D27B2">
      <w:pPr>
        <w:pStyle w:val="Textonotapie"/>
        <w:rPr>
          <w:lang w:val="es-MX"/>
        </w:rPr>
      </w:pPr>
      <w:r>
        <w:rPr>
          <w:rStyle w:val="Refdenotaalpie"/>
        </w:rPr>
        <w:footnoteRef/>
      </w:r>
      <w:r>
        <w:t xml:space="preserve"> </w:t>
      </w:r>
      <w:r>
        <w:rPr>
          <w:lang w:val="es-MX"/>
        </w:rPr>
        <w:t>Notificación vista a folio 264 del expediente de nulidad de origen.</w:t>
      </w:r>
    </w:p>
  </w:footnote>
  <w:footnote w:id="2">
    <w:p w:rsidR="005D27B2" w:rsidRPr="00FC799B" w:rsidRDefault="005D27B2" w:rsidP="005D27B2">
      <w:pPr>
        <w:pStyle w:val="Textonotapie"/>
        <w:rPr>
          <w:lang w:val="es-MX"/>
        </w:rPr>
      </w:pPr>
      <w:r>
        <w:rPr>
          <w:rStyle w:val="Refdenotaalpie"/>
        </w:rPr>
        <w:footnoteRef/>
      </w:r>
      <w:r>
        <w:t xml:space="preserve"> </w:t>
      </w:r>
      <w:r>
        <w:rPr>
          <w:lang w:val="es-MX"/>
        </w:rPr>
        <w:t>Visible a foja 6 del cuaderno de recurso de revisión.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F37" w:rsidRDefault="008F3F37">
    <w:pPr>
      <w:pStyle w:val="Encabezado"/>
      <w:jc w:val="center"/>
    </w:pPr>
    <w:r>
      <w:fldChar w:fldCharType="begin"/>
    </w:r>
    <w:r>
      <w:instrText>PAGE   \* MERGEFORMAT</w:instrText>
    </w:r>
    <w:r>
      <w:fldChar w:fldCharType="separate"/>
    </w:r>
    <w:r w:rsidR="00303E74">
      <w:rPr>
        <w:noProof/>
      </w:rPr>
      <w:t>8</w:t>
    </w:r>
    <w:r>
      <w:fldChar w:fldCharType="end"/>
    </w:r>
  </w:p>
  <w:p w:rsidR="008F3F37" w:rsidRDefault="008F3F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F37" w:rsidRDefault="008F3F37" w:rsidP="001309A3">
    <w:pPr>
      <w:pStyle w:val="Encabezado"/>
      <w:jc w:val="center"/>
      <w:rPr>
        <w:noProof/>
      </w:rPr>
    </w:pPr>
    <w:r>
      <w:fldChar w:fldCharType="begin"/>
    </w:r>
    <w:r>
      <w:instrText xml:space="preserve"> PAGE   \* MERGEFORMAT </w:instrText>
    </w:r>
    <w:r>
      <w:fldChar w:fldCharType="separate"/>
    </w:r>
    <w:r w:rsidR="00303E74">
      <w:rPr>
        <w:noProof/>
      </w:rPr>
      <w:t>1</w:t>
    </w:r>
    <w:r>
      <w:rPr>
        <w:noProof/>
      </w:rPr>
      <w:fldChar w:fldCharType="end"/>
    </w:r>
  </w:p>
  <w:p w:rsidR="008F3F37" w:rsidRDefault="00303E74" w:rsidP="001309A3">
    <w:pPr>
      <w:pStyle w:val="Encabezado"/>
      <w:jc w:val="center"/>
    </w:pPr>
    <w:r>
      <w:rPr>
        <w:noProof/>
        <w:lang w:val="es-MX" w:eastAsia="es-MX"/>
      </w:rPr>
      <mc:AlternateContent>
        <mc:Choice Requires="wps">
          <w:drawing>
            <wp:anchor distT="45720" distB="45720" distL="114300" distR="114300" simplePos="0" relativeHeight="251658240" behindDoc="0" locked="0" layoutInCell="1" allowOverlap="1">
              <wp:simplePos x="0" y="0"/>
              <wp:positionH relativeFrom="column">
                <wp:posOffset>-1520825</wp:posOffset>
              </wp:positionH>
              <wp:positionV relativeFrom="paragraph">
                <wp:posOffset>4105275</wp:posOffset>
              </wp:positionV>
              <wp:extent cx="1181100" cy="1200150"/>
              <wp:effectExtent l="0" t="0" r="19050"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200150"/>
                      </a:xfrm>
                      <a:prstGeom prst="rect">
                        <a:avLst/>
                      </a:prstGeom>
                      <a:solidFill>
                        <a:srgbClr val="FFFFFF"/>
                      </a:solidFill>
                      <a:ln w="9525">
                        <a:solidFill>
                          <a:srgbClr val="000000"/>
                        </a:solidFill>
                        <a:miter lim="800000"/>
                        <a:headEnd/>
                        <a:tailEnd/>
                      </a:ln>
                    </wps:spPr>
                    <wps:txbx>
                      <w:txbxContent>
                        <w:p w:rsidR="004F1B6C" w:rsidRPr="00A458C7" w:rsidRDefault="004F1B6C" w:rsidP="004F1B6C">
                          <w:pPr>
                            <w:jc w:val="both"/>
                            <w:rPr>
                              <w:sz w:val="18"/>
                              <w:szCs w:val="18"/>
                            </w:rPr>
                          </w:pPr>
                          <w:r w:rsidRPr="00A458C7">
                            <w:rPr>
                              <w:sz w:val="18"/>
                              <w:szCs w:val="18"/>
                            </w:rPr>
                            <w:t>DATOS PERSONALES PROTEGIDOS, DE CONFORMIDAD CON LO DISPUESTO POR LOS ARTICULOS 116 DE LA L.G.T.A.I.P Y 56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9.75pt;margin-top:323.25pt;width:93pt;height:9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">
              <v:textbox>
                <w:txbxContent>
                  <w:p w:rsidR="004F1B6C" w:rsidRPr="00A458C7" w:rsidRDefault="004F1B6C" w:rsidP="004F1B6C">
                    <w:pPr>
                      <w:jc w:val="both"/>
                      <w:rPr>
                        <w:sz w:val="18"/>
                        <w:szCs w:val="18"/>
                      </w:rPr>
                    </w:pPr>
                    <w:r w:rsidRPr="00A458C7">
                      <w:rPr>
                        <w:sz w:val="18"/>
                        <w:szCs w:val="18"/>
                      </w:rPr>
                      <w:t>DATOS PERSONALES PROTEGIDOS, DE CONFORMIDAD CON LO DISPUESTO POR LOS ARTICULOS 116 DE LA L.G.T.A.I.P Y 56 L.T.A.I.P.E.O</w:t>
                    </w:r>
                  </w:p>
                </w:txbxContent>
              </v:textbox>
              <w10:wrap type="square"/>
            </v:shape>
          </w:pict>
        </mc:Fallback>
      </mc:AlternateContent>
    </w:r>
    <w:r>
      <w:rPr>
        <w:noProof/>
        <w:lang w:val="es-MX" w:eastAsia="es-MX"/>
      </w:rPr>
      <w:drawing>
        <wp:anchor distT="0" distB="0" distL="114300" distR="114300" simplePos="0" relativeHeight="251657216" behindDoc="0" locked="0" layoutInCell="1" allowOverlap="1">
          <wp:simplePos x="0" y="0"/>
          <wp:positionH relativeFrom="page">
            <wp:posOffset>391795</wp:posOffset>
          </wp:positionH>
          <wp:positionV relativeFrom="paragraph">
            <wp:posOffset>5576570</wp:posOffset>
          </wp:positionV>
          <wp:extent cx="1118870" cy="974725"/>
          <wp:effectExtent l="0" t="0" r="5080" b="0"/>
          <wp:wrapNone/>
          <wp:docPr id="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5693A"/>
    <w:multiLevelType w:val="hybridMultilevel"/>
    <w:tmpl w:val="501CDAF0"/>
    <w:lvl w:ilvl="0" w:tplc="FE940F9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2">
    <w:nsid w:val="724A60C6"/>
    <w:multiLevelType w:val="hybridMultilevel"/>
    <w:tmpl w:val="B59A5646"/>
    <w:lvl w:ilvl="0" w:tplc="482416F2">
      <w:start w:val="1"/>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attachedTemplate r:id="rId1"/>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147"/>
    <w:rsid w:val="000005B9"/>
    <w:rsid w:val="00016D68"/>
    <w:rsid w:val="000173C0"/>
    <w:rsid w:val="0002582A"/>
    <w:rsid w:val="00026A69"/>
    <w:rsid w:val="00064E4C"/>
    <w:rsid w:val="000768F2"/>
    <w:rsid w:val="00094C59"/>
    <w:rsid w:val="000A4A60"/>
    <w:rsid w:val="000A516B"/>
    <w:rsid w:val="000B5340"/>
    <w:rsid w:val="000D1B57"/>
    <w:rsid w:val="000D3B03"/>
    <w:rsid w:val="0010536C"/>
    <w:rsid w:val="001309A3"/>
    <w:rsid w:val="001328F6"/>
    <w:rsid w:val="00137DEB"/>
    <w:rsid w:val="00146330"/>
    <w:rsid w:val="00146984"/>
    <w:rsid w:val="0016625C"/>
    <w:rsid w:val="0018403A"/>
    <w:rsid w:val="0018533B"/>
    <w:rsid w:val="00191C27"/>
    <w:rsid w:val="001B0F1F"/>
    <w:rsid w:val="001B148D"/>
    <w:rsid w:val="001C13A9"/>
    <w:rsid w:val="001C1D87"/>
    <w:rsid w:val="002235E5"/>
    <w:rsid w:val="00231907"/>
    <w:rsid w:val="00231B33"/>
    <w:rsid w:val="00263A14"/>
    <w:rsid w:val="00280404"/>
    <w:rsid w:val="00290164"/>
    <w:rsid w:val="0029046A"/>
    <w:rsid w:val="0029404C"/>
    <w:rsid w:val="00294963"/>
    <w:rsid w:val="002A1582"/>
    <w:rsid w:val="002A3998"/>
    <w:rsid w:val="002A6764"/>
    <w:rsid w:val="002D3A78"/>
    <w:rsid w:val="002D5F3C"/>
    <w:rsid w:val="002D6908"/>
    <w:rsid w:val="002F0F8C"/>
    <w:rsid w:val="00303E74"/>
    <w:rsid w:val="0034208E"/>
    <w:rsid w:val="00342852"/>
    <w:rsid w:val="00352E4C"/>
    <w:rsid w:val="00372762"/>
    <w:rsid w:val="00392B62"/>
    <w:rsid w:val="003971DB"/>
    <w:rsid w:val="003A6837"/>
    <w:rsid w:val="003B56AB"/>
    <w:rsid w:val="003E26EA"/>
    <w:rsid w:val="003E3256"/>
    <w:rsid w:val="00411498"/>
    <w:rsid w:val="00425F12"/>
    <w:rsid w:val="0043455F"/>
    <w:rsid w:val="0044309E"/>
    <w:rsid w:val="0044340E"/>
    <w:rsid w:val="00445282"/>
    <w:rsid w:val="0045631D"/>
    <w:rsid w:val="00463BEE"/>
    <w:rsid w:val="004726AE"/>
    <w:rsid w:val="00481870"/>
    <w:rsid w:val="00490433"/>
    <w:rsid w:val="00495962"/>
    <w:rsid w:val="004A3061"/>
    <w:rsid w:val="004D6836"/>
    <w:rsid w:val="004E3E97"/>
    <w:rsid w:val="004E6ED8"/>
    <w:rsid w:val="004F06C8"/>
    <w:rsid w:val="004F1B6C"/>
    <w:rsid w:val="005113FF"/>
    <w:rsid w:val="00512766"/>
    <w:rsid w:val="00524147"/>
    <w:rsid w:val="00527FDD"/>
    <w:rsid w:val="00541546"/>
    <w:rsid w:val="00552794"/>
    <w:rsid w:val="00552D9E"/>
    <w:rsid w:val="005543DC"/>
    <w:rsid w:val="00555281"/>
    <w:rsid w:val="005566CA"/>
    <w:rsid w:val="00556C09"/>
    <w:rsid w:val="00557AF4"/>
    <w:rsid w:val="00567AF2"/>
    <w:rsid w:val="005B270D"/>
    <w:rsid w:val="005C27C1"/>
    <w:rsid w:val="005D27B2"/>
    <w:rsid w:val="005D6781"/>
    <w:rsid w:val="005E02E3"/>
    <w:rsid w:val="005F6334"/>
    <w:rsid w:val="00640D70"/>
    <w:rsid w:val="00651FE5"/>
    <w:rsid w:val="00670144"/>
    <w:rsid w:val="006775F5"/>
    <w:rsid w:val="00696ACF"/>
    <w:rsid w:val="006A5214"/>
    <w:rsid w:val="006A54EA"/>
    <w:rsid w:val="006B6563"/>
    <w:rsid w:val="006C561C"/>
    <w:rsid w:val="006C788C"/>
    <w:rsid w:val="0070035E"/>
    <w:rsid w:val="00701711"/>
    <w:rsid w:val="007140AB"/>
    <w:rsid w:val="00714216"/>
    <w:rsid w:val="00720AAE"/>
    <w:rsid w:val="00723E67"/>
    <w:rsid w:val="0072570D"/>
    <w:rsid w:val="00726887"/>
    <w:rsid w:val="00741DB8"/>
    <w:rsid w:val="00752F32"/>
    <w:rsid w:val="00756201"/>
    <w:rsid w:val="0077063A"/>
    <w:rsid w:val="007A00D9"/>
    <w:rsid w:val="007A4453"/>
    <w:rsid w:val="007B1590"/>
    <w:rsid w:val="007C15A2"/>
    <w:rsid w:val="007C406A"/>
    <w:rsid w:val="00832F0D"/>
    <w:rsid w:val="008379BF"/>
    <w:rsid w:val="00850BCF"/>
    <w:rsid w:val="00853028"/>
    <w:rsid w:val="00860E5B"/>
    <w:rsid w:val="00885B05"/>
    <w:rsid w:val="0089184E"/>
    <w:rsid w:val="008945AC"/>
    <w:rsid w:val="008C2CDF"/>
    <w:rsid w:val="008D21C7"/>
    <w:rsid w:val="008D4B8B"/>
    <w:rsid w:val="008E1E9D"/>
    <w:rsid w:val="008F3F37"/>
    <w:rsid w:val="00906110"/>
    <w:rsid w:val="0093054C"/>
    <w:rsid w:val="0093058B"/>
    <w:rsid w:val="009375F8"/>
    <w:rsid w:val="00946EEB"/>
    <w:rsid w:val="00951C7F"/>
    <w:rsid w:val="0095380F"/>
    <w:rsid w:val="009834B1"/>
    <w:rsid w:val="009916F1"/>
    <w:rsid w:val="0099518C"/>
    <w:rsid w:val="009951ED"/>
    <w:rsid w:val="009A2DB0"/>
    <w:rsid w:val="009A7D88"/>
    <w:rsid w:val="009B2ED3"/>
    <w:rsid w:val="009B72A6"/>
    <w:rsid w:val="009C0AD0"/>
    <w:rsid w:val="009C2DB7"/>
    <w:rsid w:val="00A14860"/>
    <w:rsid w:val="00A4153F"/>
    <w:rsid w:val="00A5445C"/>
    <w:rsid w:val="00A65B11"/>
    <w:rsid w:val="00A77EA4"/>
    <w:rsid w:val="00A86A38"/>
    <w:rsid w:val="00A92764"/>
    <w:rsid w:val="00AC4FF0"/>
    <w:rsid w:val="00AE0FB1"/>
    <w:rsid w:val="00AE2F73"/>
    <w:rsid w:val="00AF3BB7"/>
    <w:rsid w:val="00B00AFC"/>
    <w:rsid w:val="00B05AC0"/>
    <w:rsid w:val="00B07C1D"/>
    <w:rsid w:val="00B3579F"/>
    <w:rsid w:val="00B359BD"/>
    <w:rsid w:val="00B40F27"/>
    <w:rsid w:val="00B64B48"/>
    <w:rsid w:val="00B65768"/>
    <w:rsid w:val="00B65C12"/>
    <w:rsid w:val="00B76279"/>
    <w:rsid w:val="00B77442"/>
    <w:rsid w:val="00B90EDE"/>
    <w:rsid w:val="00B91BF1"/>
    <w:rsid w:val="00BA554F"/>
    <w:rsid w:val="00BC3111"/>
    <w:rsid w:val="00BC503A"/>
    <w:rsid w:val="00BD1BBD"/>
    <w:rsid w:val="00BD2B22"/>
    <w:rsid w:val="00BD41D0"/>
    <w:rsid w:val="00BD6282"/>
    <w:rsid w:val="00BF2EDE"/>
    <w:rsid w:val="00C04792"/>
    <w:rsid w:val="00C05807"/>
    <w:rsid w:val="00C22CF5"/>
    <w:rsid w:val="00C24FFF"/>
    <w:rsid w:val="00C31D45"/>
    <w:rsid w:val="00C448A5"/>
    <w:rsid w:val="00C64FB6"/>
    <w:rsid w:val="00C727A1"/>
    <w:rsid w:val="00C80586"/>
    <w:rsid w:val="00CA093B"/>
    <w:rsid w:val="00CA6DA7"/>
    <w:rsid w:val="00CB3ED9"/>
    <w:rsid w:val="00CC2D3A"/>
    <w:rsid w:val="00CC4182"/>
    <w:rsid w:val="00CD27CA"/>
    <w:rsid w:val="00CD3F10"/>
    <w:rsid w:val="00CE2E34"/>
    <w:rsid w:val="00D056E4"/>
    <w:rsid w:val="00D35770"/>
    <w:rsid w:val="00D45BBA"/>
    <w:rsid w:val="00D5027C"/>
    <w:rsid w:val="00D6657D"/>
    <w:rsid w:val="00D71955"/>
    <w:rsid w:val="00D736D9"/>
    <w:rsid w:val="00D8363D"/>
    <w:rsid w:val="00D903E2"/>
    <w:rsid w:val="00D9145C"/>
    <w:rsid w:val="00D91722"/>
    <w:rsid w:val="00D948E8"/>
    <w:rsid w:val="00DA0585"/>
    <w:rsid w:val="00DB62C7"/>
    <w:rsid w:val="00DB6D3F"/>
    <w:rsid w:val="00DD054D"/>
    <w:rsid w:val="00E10360"/>
    <w:rsid w:val="00E333BB"/>
    <w:rsid w:val="00E349F3"/>
    <w:rsid w:val="00E35906"/>
    <w:rsid w:val="00E41B9A"/>
    <w:rsid w:val="00E5271C"/>
    <w:rsid w:val="00E57CFD"/>
    <w:rsid w:val="00E6139D"/>
    <w:rsid w:val="00E7214A"/>
    <w:rsid w:val="00E85971"/>
    <w:rsid w:val="00E8655A"/>
    <w:rsid w:val="00E923F3"/>
    <w:rsid w:val="00EC316D"/>
    <w:rsid w:val="00ED0415"/>
    <w:rsid w:val="00ED4754"/>
    <w:rsid w:val="00EE3417"/>
    <w:rsid w:val="00EF4B22"/>
    <w:rsid w:val="00F10CD4"/>
    <w:rsid w:val="00F17EAA"/>
    <w:rsid w:val="00F2334A"/>
    <w:rsid w:val="00F31E63"/>
    <w:rsid w:val="00F3393A"/>
    <w:rsid w:val="00F44007"/>
    <w:rsid w:val="00F54943"/>
    <w:rsid w:val="00F5501F"/>
    <w:rsid w:val="00F556DF"/>
    <w:rsid w:val="00F651B2"/>
    <w:rsid w:val="00F83E17"/>
    <w:rsid w:val="00FA62C8"/>
    <w:rsid w:val="00FB0CD5"/>
    <w:rsid w:val="00FC4AC1"/>
    <w:rsid w:val="00FD29ED"/>
    <w:rsid w:val="00FF66E9"/>
    <w:rsid w:val="00FF7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 w:type="paragraph" w:customStyle="1" w:styleId="corte3centro">
    <w:name w:val="corte3 centro"/>
    <w:basedOn w:val="Normal"/>
    <w:link w:val="corte3centroCar"/>
    <w:rsid w:val="0089184E"/>
    <w:pPr>
      <w:spacing w:line="360" w:lineRule="auto"/>
      <w:jc w:val="center"/>
    </w:pPr>
    <w:rPr>
      <w:rFonts w:ascii="Arial" w:eastAsia="Times New Roman" w:hAnsi="Arial"/>
      <w:b/>
      <w:sz w:val="30"/>
      <w:szCs w:val="20"/>
      <w:lang w:val="es-ES_tradnl" w:eastAsia="es-ES"/>
    </w:rPr>
  </w:style>
  <w:style w:type="character" w:customStyle="1" w:styleId="corte4fondoCar">
    <w:name w:val="corte4 fondo Car"/>
    <w:rsid w:val="0089184E"/>
    <w:rPr>
      <w:rFonts w:ascii="Arial" w:eastAsia="Times New Roman" w:hAnsi="Arial"/>
      <w:sz w:val="30"/>
      <w:lang w:val="es-ES_tradnl" w:eastAsia="es-ES"/>
    </w:rPr>
  </w:style>
  <w:style w:type="character" w:customStyle="1" w:styleId="corte3centroCar">
    <w:name w:val="corte3 centro Car"/>
    <w:link w:val="corte3centro"/>
    <w:rsid w:val="0089184E"/>
    <w:rPr>
      <w:rFonts w:ascii="Arial" w:eastAsia="Times New Roman" w:hAnsi="Arial"/>
      <w:b/>
      <w:sz w:val="30"/>
      <w:lang w:val="es-ES_tradnl" w:eastAsia="es-ES"/>
    </w:rPr>
  </w:style>
  <w:style w:type="paragraph" w:styleId="Prrafodelista">
    <w:name w:val="List Paragraph"/>
    <w:basedOn w:val="Normal"/>
    <w:uiPriority w:val="34"/>
    <w:qFormat/>
    <w:rsid w:val="005D27B2"/>
    <w:pPr>
      <w:spacing w:after="200" w:line="276" w:lineRule="auto"/>
      <w:ind w:left="720"/>
      <w:contextualSpacing/>
    </w:pPr>
    <w:rPr>
      <w:lang w:val="es-ES"/>
    </w:rPr>
  </w:style>
  <w:style w:type="paragraph" w:styleId="Textoindependiente">
    <w:name w:val="Body Text"/>
    <w:basedOn w:val="Normal"/>
    <w:link w:val="TextoindependienteCar"/>
    <w:uiPriority w:val="99"/>
    <w:unhideWhenUsed/>
    <w:rsid w:val="005D27B2"/>
    <w:pPr>
      <w:spacing w:after="120"/>
    </w:pPr>
  </w:style>
  <w:style w:type="character" w:customStyle="1" w:styleId="TextoindependienteCar">
    <w:name w:val="Texto independiente Car"/>
    <w:link w:val="Textoindependiente"/>
    <w:uiPriority w:val="99"/>
    <w:rsid w:val="005D27B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04C"/>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sz w:val="24"/>
      <w:szCs w:val="24"/>
      <w:lang w:val="es-ES" w:eastAsia="zh-TW"/>
    </w:rPr>
  </w:style>
  <w:style w:type="character" w:customStyle="1" w:styleId="EncabezadoCar">
    <w:name w:val="Encabezado Ca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556C09"/>
    <w:pPr>
      <w:tabs>
        <w:tab w:val="center" w:pos="4419"/>
        <w:tab w:val="right" w:pos="8838"/>
      </w:tabs>
    </w:pPr>
  </w:style>
  <w:style w:type="character" w:customStyle="1" w:styleId="PiedepginaCar">
    <w:name w:val="Pie de página Car"/>
    <w:link w:val="Piedepgina"/>
    <w:uiPriority w:val="99"/>
    <w:rsid w:val="00556C09"/>
    <w:rPr>
      <w:lang w:val="es-MX"/>
    </w:rPr>
  </w:style>
  <w:style w:type="paragraph" w:styleId="Textonotapie">
    <w:name w:val="footnote text"/>
    <w:basedOn w:val="Normal"/>
    <w:link w:val="TextonotapieCar"/>
    <w:uiPriority w:val="99"/>
    <w:semiHidden/>
    <w:unhideWhenUsed/>
    <w:rsid w:val="00B65C12"/>
    <w:rPr>
      <w:sz w:val="20"/>
      <w:szCs w:val="20"/>
      <w:lang w:val="es-ES"/>
    </w:rPr>
  </w:style>
  <w:style w:type="character" w:customStyle="1" w:styleId="TextonotapieCar">
    <w:name w:val="Texto nota pie Car"/>
    <w:link w:val="Textonotapie"/>
    <w:uiPriority w:val="99"/>
    <w:semiHidden/>
    <w:rsid w:val="00B65C12"/>
    <w:rPr>
      <w:sz w:val="20"/>
      <w:szCs w:val="20"/>
    </w:rPr>
  </w:style>
  <w:style w:type="character" w:styleId="Refdenotaalpie">
    <w:name w:val="footnote reference"/>
    <w:uiPriority w:val="99"/>
    <w:semiHidden/>
    <w:unhideWhenUsed/>
    <w:rsid w:val="00B65C12"/>
    <w:rPr>
      <w:vertAlign w:val="superscript"/>
    </w:rPr>
  </w:style>
  <w:style w:type="paragraph" w:customStyle="1" w:styleId="Default">
    <w:name w:val="Default"/>
    <w:rsid w:val="00BD2B22"/>
    <w:pPr>
      <w:autoSpaceDE w:val="0"/>
      <w:autoSpaceDN w:val="0"/>
      <w:adjustRightInd w:val="0"/>
    </w:pPr>
    <w:rPr>
      <w:rFonts w:ascii="Arial" w:eastAsia="Times New Roman" w:hAnsi="Arial" w:cs="Arial"/>
      <w:color w:val="000000"/>
      <w:sz w:val="24"/>
      <w:szCs w:val="24"/>
    </w:rPr>
  </w:style>
  <w:style w:type="paragraph" w:styleId="Sinespaciado">
    <w:name w:val="No Spacing"/>
    <w:uiPriority w:val="1"/>
    <w:qFormat/>
    <w:rsid w:val="00CD3F10"/>
    <w:rPr>
      <w:sz w:val="22"/>
      <w:szCs w:val="22"/>
      <w:lang w:val="es-ES" w:eastAsia="en-US"/>
    </w:rPr>
  </w:style>
  <w:style w:type="character" w:customStyle="1" w:styleId="corte4fondoCar3">
    <w:name w:val="corte4 fondo Car3"/>
    <w:link w:val="corte4fondo"/>
    <w:locked/>
    <w:rsid w:val="00CD3F10"/>
    <w:rPr>
      <w:rFonts w:ascii="Arial" w:hAnsi="Arial" w:cs="Arial"/>
      <w:sz w:val="30"/>
      <w:szCs w:val="30"/>
      <w:lang w:val="es-ES_tradnl"/>
    </w:rPr>
  </w:style>
  <w:style w:type="paragraph" w:customStyle="1" w:styleId="corte4fondo">
    <w:name w:val="corte4 fondo"/>
    <w:basedOn w:val="Normal"/>
    <w:link w:val="corte4fondoCar3"/>
    <w:qFormat/>
    <w:rsid w:val="00CD3F10"/>
    <w:pPr>
      <w:spacing w:line="360" w:lineRule="auto"/>
      <w:ind w:firstLine="709"/>
      <w:jc w:val="both"/>
    </w:pPr>
    <w:rPr>
      <w:rFonts w:ascii="Arial" w:hAnsi="Arial" w:cs="Arial"/>
      <w:sz w:val="30"/>
      <w:szCs w:val="30"/>
      <w:lang w:val="es-ES_tradnl" w:eastAsia="es-MX"/>
    </w:rPr>
  </w:style>
  <w:style w:type="paragraph" w:customStyle="1" w:styleId="corte3centro">
    <w:name w:val="corte3 centro"/>
    <w:basedOn w:val="Normal"/>
    <w:link w:val="corte3centroCar"/>
    <w:rsid w:val="0089184E"/>
    <w:pPr>
      <w:spacing w:line="360" w:lineRule="auto"/>
      <w:jc w:val="center"/>
    </w:pPr>
    <w:rPr>
      <w:rFonts w:ascii="Arial" w:eastAsia="Times New Roman" w:hAnsi="Arial"/>
      <w:b/>
      <w:sz w:val="30"/>
      <w:szCs w:val="20"/>
      <w:lang w:val="es-ES_tradnl" w:eastAsia="es-ES"/>
    </w:rPr>
  </w:style>
  <w:style w:type="character" w:customStyle="1" w:styleId="corte4fondoCar">
    <w:name w:val="corte4 fondo Car"/>
    <w:rsid w:val="0089184E"/>
    <w:rPr>
      <w:rFonts w:ascii="Arial" w:eastAsia="Times New Roman" w:hAnsi="Arial"/>
      <w:sz w:val="30"/>
      <w:lang w:val="es-ES_tradnl" w:eastAsia="es-ES"/>
    </w:rPr>
  </w:style>
  <w:style w:type="character" w:customStyle="1" w:styleId="corte3centroCar">
    <w:name w:val="corte3 centro Car"/>
    <w:link w:val="corte3centro"/>
    <w:rsid w:val="0089184E"/>
    <w:rPr>
      <w:rFonts w:ascii="Arial" w:eastAsia="Times New Roman" w:hAnsi="Arial"/>
      <w:b/>
      <w:sz w:val="30"/>
      <w:lang w:val="es-ES_tradnl" w:eastAsia="es-ES"/>
    </w:rPr>
  </w:style>
  <w:style w:type="paragraph" w:styleId="Prrafodelista">
    <w:name w:val="List Paragraph"/>
    <w:basedOn w:val="Normal"/>
    <w:uiPriority w:val="34"/>
    <w:qFormat/>
    <w:rsid w:val="005D27B2"/>
    <w:pPr>
      <w:spacing w:after="200" w:line="276" w:lineRule="auto"/>
      <w:ind w:left="720"/>
      <w:contextualSpacing/>
    </w:pPr>
    <w:rPr>
      <w:lang w:val="es-ES"/>
    </w:rPr>
  </w:style>
  <w:style w:type="paragraph" w:styleId="Textoindependiente">
    <w:name w:val="Body Text"/>
    <w:basedOn w:val="Normal"/>
    <w:link w:val="TextoindependienteCar"/>
    <w:uiPriority w:val="99"/>
    <w:unhideWhenUsed/>
    <w:rsid w:val="005D27B2"/>
    <w:pPr>
      <w:spacing w:after="120"/>
    </w:pPr>
  </w:style>
  <w:style w:type="character" w:customStyle="1" w:styleId="TextoindependienteCar">
    <w:name w:val="Texto independiente Car"/>
    <w:link w:val="Textoindependiente"/>
    <w:uiPriority w:val="99"/>
    <w:rsid w:val="005D27B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Desktop\RECURSOS%20REVISI&#211;N%202018%20SALA%20SUPERIOR\TURNADOS%20ENERO%202019\3%20MAYO%202019\0437-2018%20IMPROCEDENTE%20PRESI%20MUNP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EAE41-BC1F-434F-8FED-5EB7618DA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0437-2018 IMPROCEDENTE PRESI MUNPAL</Template>
  <TotalTime>0</TotalTime>
  <Pages>8</Pages>
  <Words>2557</Words>
  <Characters>14068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TCAC-Personal</cp:lastModifiedBy>
  <cp:revision>2</cp:revision>
  <cp:lastPrinted>2020-02-07T21:14:00Z</cp:lastPrinted>
  <dcterms:created xsi:type="dcterms:W3CDTF">2021-01-02T18:49:00Z</dcterms:created>
  <dcterms:modified xsi:type="dcterms:W3CDTF">2021-01-02T18:49:00Z</dcterms:modified>
</cp:coreProperties>
</file>