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61ED70" w14:textId="77777777" w:rsidR="00100594" w:rsidRDefault="00100594" w:rsidP="00100594">
      <w:pPr>
        <w:spacing w:after="0" w:line="240" w:lineRule="auto"/>
      </w:pPr>
      <w:r>
        <w:tab/>
      </w:r>
      <w:r>
        <w:tab/>
      </w:r>
    </w:p>
    <w:p w14:paraId="24DE9085" w14:textId="77777777" w:rsidR="00100594" w:rsidRDefault="00100594" w:rsidP="00100594">
      <w:pPr>
        <w:spacing w:after="0" w:line="240" w:lineRule="auto"/>
        <w:jc w:val="center"/>
        <w:rPr>
          <w:rFonts w:ascii="Arial" w:eastAsia="Calibri" w:hAnsi="Arial" w:cs="Arial"/>
          <w:sz w:val="26"/>
          <w:szCs w:val="26"/>
        </w:rPr>
      </w:pPr>
    </w:p>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100594" w14:paraId="4DFCEC81" w14:textId="77777777" w:rsidTr="00100594">
        <w:tc>
          <w:tcPr>
            <w:tcW w:w="2356" w:type="dxa"/>
          </w:tcPr>
          <w:p w14:paraId="095B05F4" w14:textId="77777777" w:rsidR="00100594" w:rsidRDefault="00100594">
            <w:pPr>
              <w:spacing w:after="0" w:line="240" w:lineRule="auto"/>
              <w:rPr>
                <w:rFonts w:ascii="Arial" w:eastAsiaTheme="minorHAnsi" w:hAnsi="Arial" w:cs="Arial"/>
                <w:b/>
                <w:sz w:val="26"/>
                <w:szCs w:val="26"/>
              </w:rPr>
            </w:pPr>
          </w:p>
        </w:tc>
        <w:tc>
          <w:tcPr>
            <w:tcW w:w="7426" w:type="dxa"/>
          </w:tcPr>
          <w:p w14:paraId="04001322" w14:textId="77777777" w:rsidR="00100594" w:rsidRDefault="00100594">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Cs/>
                <w:caps/>
                <w:sz w:val="26"/>
                <w:szCs w:val="26"/>
              </w:rPr>
              <w:t xml:space="preserve">               SALA SUPERIOR DEL TRIBUNAL DE JUSTiCIA ADMINISTRATIVA DEL ESTADO de oaxaca.</w:t>
            </w:r>
          </w:p>
          <w:p w14:paraId="11EAC500" w14:textId="77777777" w:rsidR="00100594" w:rsidRDefault="00100594">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14:paraId="76945153" w14:textId="77777777" w:rsidR="00100594" w:rsidRDefault="00100594">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RECURSO DE REVISIÓN:   0239/2019.</w:t>
            </w:r>
          </w:p>
          <w:p w14:paraId="3300C7D0" w14:textId="77777777" w:rsidR="00100594" w:rsidRDefault="00100594">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14:paraId="3FFE52F3" w14:textId="77777777" w:rsidR="00100594" w:rsidRDefault="00100594">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ES" w:eastAsia="zh-TW"/>
              </w:rPr>
              <w:t xml:space="preserve">                EXPEDIENTE: </w:t>
            </w:r>
            <w:r>
              <w:rPr>
                <w:rFonts w:ascii="Arial" w:eastAsia="PMingLiU" w:hAnsi="Arial" w:cs="Arial"/>
                <w:b/>
                <w:iCs/>
                <w:caps/>
                <w:sz w:val="26"/>
                <w:szCs w:val="26"/>
                <w:lang w:val="es-PE" w:eastAsia="zh-TW"/>
              </w:rPr>
              <w:t>0006/2019 de la TERCERA sala unitaria DE PRIMERA INSTANCIA.</w:t>
            </w:r>
          </w:p>
          <w:p w14:paraId="1AC10CB2" w14:textId="77777777" w:rsidR="00100594" w:rsidRDefault="00100594">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14:paraId="7B10C906" w14:textId="77777777" w:rsidR="00100594" w:rsidRDefault="00100594">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 magISTRADo </w:t>
            </w:r>
            <w:r>
              <w:rPr>
                <w:rFonts w:ascii="Arial" w:eastAsia="PMingLiU" w:hAnsi="Arial" w:cs="Arial"/>
                <w:b/>
                <w:iCs/>
                <w:sz w:val="26"/>
                <w:szCs w:val="26"/>
                <w:lang w:val="es-PE" w:eastAsia="zh-TW"/>
              </w:rPr>
              <w:t>MANUEL VELASCO ALCÁNTARA</w:t>
            </w:r>
            <w:r>
              <w:rPr>
                <w:rFonts w:ascii="Arial" w:eastAsia="PMingLiU" w:hAnsi="Arial" w:cs="Arial"/>
                <w:b/>
                <w:iCs/>
                <w:caps/>
                <w:sz w:val="26"/>
                <w:szCs w:val="26"/>
                <w:lang w:val="es-PE" w:eastAsia="zh-TW"/>
              </w:rPr>
              <w:t>.</w:t>
            </w:r>
          </w:p>
        </w:tc>
      </w:tr>
      <w:tr w:rsidR="00100594" w14:paraId="1BCDEB7D" w14:textId="77777777" w:rsidTr="00100594">
        <w:tc>
          <w:tcPr>
            <w:tcW w:w="2356" w:type="dxa"/>
          </w:tcPr>
          <w:p w14:paraId="7B09FE7B" w14:textId="77777777" w:rsidR="00100594" w:rsidRDefault="00100594">
            <w:pPr>
              <w:spacing w:after="0" w:line="240" w:lineRule="auto"/>
              <w:rPr>
                <w:rFonts w:ascii="Arial" w:eastAsiaTheme="minorHAnsi" w:hAnsi="Arial" w:cs="Arial"/>
                <w:b/>
                <w:sz w:val="26"/>
                <w:szCs w:val="26"/>
                <w:lang w:eastAsia="en-US"/>
              </w:rPr>
            </w:pPr>
          </w:p>
        </w:tc>
        <w:tc>
          <w:tcPr>
            <w:tcW w:w="7426" w:type="dxa"/>
          </w:tcPr>
          <w:p w14:paraId="4974AAEC" w14:textId="77777777" w:rsidR="00100594" w:rsidRDefault="00100594">
            <w:pPr>
              <w:tabs>
                <w:tab w:val="left" w:pos="3103"/>
              </w:tabs>
              <w:spacing w:after="0" w:line="240" w:lineRule="auto"/>
              <w:ind w:left="2961" w:hanging="2961"/>
              <w:jc w:val="both"/>
              <w:rPr>
                <w:rFonts w:ascii="Arial" w:hAnsi="Arial" w:cs="Arial"/>
                <w:b/>
                <w:iCs/>
                <w:caps/>
                <w:sz w:val="26"/>
                <w:szCs w:val="26"/>
              </w:rPr>
            </w:pPr>
          </w:p>
        </w:tc>
      </w:tr>
      <w:tr w:rsidR="00100594" w14:paraId="784C0D59" w14:textId="77777777" w:rsidTr="00100594">
        <w:tc>
          <w:tcPr>
            <w:tcW w:w="2356" w:type="dxa"/>
          </w:tcPr>
          <w:p w14:paraId="45CFE663" w14:textId="77777777" w:rsidR="00100594" w:rsidRDefault="00100594">
            <w:pPr>
              <w:spacing w:after="0" w:line="240" w:lineRule="auto"/>
              <w:rPr>
                <w:rFonts w:ascii="Arial" w:hAnsi="Arial" w:cs="Arial"/>
                <w:b/>
                <w:sz w:val="26"/>
                <w:szCs w:val="26"/>
              </w:rPr>
            </w:pPr>
          </w:p>
        </w:tc>
        <w:tc>
          <w:tcPr>
            <w:tcW w:w="7426" w:type="dxa"/>
          </w:tcPr>
          <w:p w14:paraId="53C644D9" w14:textId="77777777" w:rsidR="00100594" w:rsidRDefault="00100594">
            <w:pPr>
              <w:tabs>
                <w:tab w:val="left" w:pos="3103"/>
              </w:tabs>
              <w:spacing w:after="0" w:line="240" w:lineRule="auto"/>
              <w:ind w:left="2961" w:hanging="2961"/>
              <w:jc w:val="both"/>
              <w:rPr>
                <w:rFonts w:ascii="Arial" w:hAnsi="Arial" w:cs="Arial"/>
                <w:b/>
                <w:i/>
                <w:iCs/>
                <w:caps/>
                <w:sz w:val="26"/>
                <w:szCs w:val="26"/>
              </w:rPr>
            </w:pPr>
          </w:p>
        </w:tc>
      </w:tr>
    </w:tbl>
    <w:p w14:paraId="18A90B57" w14:textId="12B156AA" w:rsidR="00100594" w:rsidRDefault="00100594" w:rsidP="00100594">
      <w:pPr>
        <w:spacing w:after="0" w:line="360" w:lineRule="auto"/>
        <w:jc w:val="both"/>
        <w:rPr>
          <w:rFonts w:ascii="Arial" w:hAnsi="Arial" w:cs="Arial"/>
          <w:b/>
          <w:sz w:val="26"/>
          <w:szCs w:val="26"/>
          <w:lang w:eastAsia="en-US"/>
        </w:rPr>
      </w:pPr>
      <w:r>
        <w:rPr>
          <w:rFonts w:ascii="Arial" w:hAnsi="Arial" w:cs="Arial"/>
          <w:b/>
          <w:sz w:val="26"/>
          <w:szCs w:val="26"/>
        </w:rPr>
        <w:t>OAXACA DE JUÁREZ, OAXACA A VEINTE DE FEBRERO DE DOS MIL VEINTE.</w:t>
      </w:r>
    </w:p>
    <w:p w14:paraId="2824D3C3" w14:textId="5272A2C5" w:rsidR="00100594" w:rsidRDefault="00100594" w:rsidP="00100594">
      <w:pPr>
        <w:spacing w:after="0"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 xml:space="preserve">0239/2019 </w:t>
      </w:r>
      <w:r>
        <w:rPr>
          <w:rFonts w:ascii="Arial" w:hAnsi="Arial" w:cs="Arial"/>
          <w:sz w:val="26"/>
          <w:szCs w:val="26"/>
        </w:rPr>
        <w:t>que remite la Secretaría General de Acuerdos, con motivo del recurso de revisión interpuesto por</w:t>
      </w:r>
      <w:r>
        <w:rPr>
          <w:rFonts w:ascii="Arial" w:hAnsi="Arial" w:cs="Arial"/>
          <w:b/>
          <w:sz w:val="26"/>
          <w:szCs w:val="26"/>
        </w:rPr>
        <w:t xml:space="preserve"> </w:t>
      </w:r>
      <w:r w:rsidR="005152CA">
        <w:rPr>
          <w:rFonts w:ascii="Arial" w:hAnsi="Arial" w:cs="Arial"/>
          <w:b/>
          <w:bCs/>
          <w:sz w:val="26"/>
          <w:szCs w:val="26"/>
        </w:rPr>
        <w:t>**********</w:t>
      </w:r>
      <w:r>
        <w:rPr>
          <w:rFonts w:ascii="Arial" w:hAnsi="Arial" w:cs="Arial"/>
          <w:b/>
          <w:sz w:val="26"/>
          <w:szCs w:val="26"/>
        </w:rPr>
        <w:t xml:space="preserve">, </w:t>
      </w:r>
      <w:r>
        <w:rPr>
          <w:rFonts w:ascii="Arial" w:hAnsi="Arial" w:cs="Arial"/>
          <w:sz w:val="26"/>
          <w:szCs w:val="26"/>
        </w:rPr>
        <w:t xml:space="preserve">en contra de la sentencia de fecha tres de mayo de 2019 dos mil diecinueve, dictada en el expediente </w:t>
      </w:r>
      <w:r>
        <w:rPr>
          <w:rFonts w:ascii="Arial" w:hAnsi="Arial" w:cs="Arial"/>
          <w:b/>
          <w:sz w:val="26"/>
          <w:szCs w:val="26"/>
        </w:rPr>
        <w:t xml:space="preserve">0006/2019 </w:t>
      </w:r>
      <w:r>
        <w:rPr>
          <w:rFonts w:ascii="Arial" w:hAnsi="Arial" w:cs="Arial"/>
          <w:sz w:val="26"/>
          <w:szCs w:val="26"/>
        </w:rPr>
        <w:t xml:space="preserve">del índice de la Tercera Sala Unitaria de Primera Instancia, relativo al juicio de nulidad promovido por </w:t>
      </w:r>
      <w:r w:rsidR="005152CA">
        <w:rPr>
          <w:rFonts w:ascii="Arial" w:hAnsi="Arial" w:cs="Arial"/>
          <w:b/>
          <w:bCs/>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GENERAL DE LA OFICINA DE PENSIONES y del CONSEJO DIRECTIVO DE LA OFICINA DE PENSIONES DEL GOBIERNO DEL ESTADO DE OAXACA</w:t>
      </w:r>
      <w:r>
        <w:rPr>
          <w:rFonts w:ascii="Arial" w:hAnsi="Arial" w:cs="Arial"/>
          <w:sz w:val="26"/>
          <w:szCs w:val="26"/>
        </w:rPr>
        <w:t xml:space="preserve">, por lo que con fundamento en los artículos 237 y 238 de la Ley de Procedimiento y Justicia Administrativa para el Estado de Oaxaca, se admite. En consecuencia, se procede a dictar resolución en los siguientes términos: </w:t>
      </w:r>
    </w:p>
    <w:p w14:paraId="27DC9A70" w14:textId="77777777" w:rsidR="00100594" w:rsidRDefault="00100594" w:rsidP="00100594">
      <w:pPr>
        <w:spacing w:after="0" w:line="360" w:lineRule="auto"/>
        <w:jc w:val="center"/>
        <w:rPr>
          <w:rFonts w:ascii="Arial" w:hAnsi="Arial" w:cs="Arial"/>
          <w:b/>
          <w:bCs/>
          <w:sz w:val="26"/>
          <w:szCs w:val="26"/>
        </w:rPr>
      </w:pPr>
      <w:r>
        <w:rPr>
          <w:rFonts w:ascii="Arial" w:hAnsi="Arial" w:cs="Arial"/>
          <w:b/>
          <w:bCs/>
          <w:sz w:val="26"/>
          <w:szCs w:val="26"/>
        </w:rPr>
        <w:t>R E S U L T A N D O</w:t>
      </w:r>
    </w:p>
    <w:p w14:paraId="551D6FD0" w14:textId="139E1DF5" w:rsidR="00100594" w:rsidRDefault="00100594" w:rsidP="00100594">
      <w:pPr>
        <w:spacing w:before="240" w:after="0"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tres de mayo de dos mil diecinueve, dictada por la Magistrada de la Tercera Sala Unitaria de Primera Instancia, </w:t>
      </w:r>
      <w:r w:rsidR="005152CA">
        <w:rPr>
          <w:rFonts w:ascii="Arial" w:hAnsi="Arial" w:cs="Arial"/>
          <w:b/>
          <w:bCs/>
          <w:sz w:val="26"/>
          <w:szCs w:val="26"/>
        </w:rPr>
        <w:t>**********</w:t>
      </w:r>
      <w:r w:rsidR="005152CA">
        <w:rPr>
          <w:rFonts w:ascii="Arial" w:hAnsi="Arial" w:cs="Arial"/>
          <w:b/>
          <w:bCs/>
          <w:sz w:val="26"/>
          <w:szCs w:val="26"/>
        </w:rPr>
        <w:t xml:space="preserve"> </w:t>
      </w:r>
      <w:r>
        <w:rPr>
          <w:rFonts w:ascii="Arial" w:hAnsi="Arial" w:cs="Arial"/>
          <w:sz w:val="26"/>
          <w:szCs w:val="26"/>
        </w:rPr>
        <w:t>interpuso en su contra recurso de revisión.</w:t>
      </w:r>
    </w:p>
    <w:p w14:paraId="65575015" w14:textId="7D38E0FE" w:rsidR="00100594" w:rsidRDefault="00100594" w:rsidP="00100594">
      <w:pPr>
        <w:spacing w:before="240"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recurrida son los siguientes:</w:t>
      </w:r>
    </w:p>
    <w:p w14:paraId="61A82771" w14:textId="77777777" w:rsidR="00100594" w:rsidRDefault="00100594" w:rsidP="00100594">
      <w:pPr>
        <w:spacing w:after="0"/>
        <w:ind w:left="1134" w:right="900" w:firstLine="567"/>
        <w:jc w:val="both"/>
        <w:rPr>
          <w:rFonts w:ascii="Arial" w:eastAsia="Calibri" w:hAnsi="Arial" w:cs="Arial"/>
          <w:bCs/>
          <w:i/>
          <w:color w:val="000000" w:themeColor="text1"/>
        </w:rPr>
      </w:pPr>
      <w:r>
        <w:rPr>
          <w:rFonts w:ascii="Arial" w:eastAsia="Calibri" w:hAnsi="Arial" w:cs="Arial"/>
          <w:bCs/>
          <w:color w:val="000000" w:themeColor="text1"/>
        </w:rPr>
        <w:t>“</w:t>
      </w: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Tercera Sala Unitaria de Primera Instancia del Tribunal de Justicia Administrativa del Estado, fue competente para conocer y resolver del presente asunto. - - - - - </w:t>
      </w:r>
    </w:p>
    <w:p w14:paraId="0AFE16E3" w14:textId="77777777" w:rsidR="00100594" w:rsidRDefault="00100594" w:rsidP="00100594">
      <w:pPr>
        <w:spacing w:after="0"/>
        <w:ind w:left="1134" w:right="900" w:firstLine="567"/>
        <w:jc w:val="both"/>
        <w:rPr>
          <w:rFonts w:ascii="Arial" w:eastAsia="Calibri" w:hAnsi="Arial" w:cs="Arial"/>
          <w:bCs/>
          <w:i/>
          <w:color w:val="000000" w:themeColor="text1"/>
        </w:rPr>
      </w:pPr>
      <w:r>
        <w:rPr>
          <w:rFonts w:ascii="Arial" w:eastAsia="Calibri" w:hAnsi="Arial" w:cs="Arial"/>
          <w:bCs/>
          <w:i/>
          <w:color w:val="000000" w:themeColor="text1"/>
        </w:rPr>
        <w:t xml:space="preserve"> </w:t>
      </w:r>
      <w:r>
        <w:rPr>
          <w:rFonts w:ascii="Arial" w:eastAsia="Calibri" w:hAnsi="Arial" w:cs="Arial"/>
          <w:b/>
          <w:bCs/>
          <w:color w:val="000000" w:themeColor="text1"/>
        </w:rPr>
        <w:t>SEGUNDO.</w:t>
      </w:r>
      <w:r>
        <w:rPr>
          <w:rFonts w:ascii="Arial" w:eastAsia="Calibri" w:hAnsi="Arial" w:cs="Arial"/>
          <w:b/>
          <w:bCs/>
          <w:i/>
          <w:color w:val="000000" w:themeColor="text1"/>
        </w:rPr>
        <w:t>-</w:t>
      </w:r>
      <w:r>
        <w:rPr>
          <w:rFonts w:ascii="Arial" w:eastAsia="Calibri" w:hAnsi="Arial" w:cs="Arial"/>
          <w:bCs/>
          <w:i/>
          <w:color w:val="000000" w:themeColor="text1"/>
        </w:rPr>
        <w:t xml:space="preserve"> La personalidad de las partes quedó acreditada en autos. - - - - - - - - - - - - - - - - - - - - - - - - - - - - - - --</w:t>
      </w:r>
    </w:p>
    <w:p w14:paraId="50C0A71B" w14:textId="67878988" w:rsidR="00100594" w:rsidRDefault="00100594" w:rsidP="00100594">
      <w:pPr>
        <w:spacing w:after="0"/>
        <w:ind w:left="1134" w:right="900" w:firstLine="567"/>
        <w:jc w:val="both"/>
        <w:rPr>
          <w:rFonts w:ascii="Arial" w:eastAsia="Calibri" w:hAnsi="Arial" w:cs="Arial"/>
          <w:bCs/>
          <w:i/>
          <w:color w:val="000000" w:themeColor="text1"/>
        </w:rPr>
      </w:pPr>
      <w:r>
        <w:rPr>
          <w:rFonts w:ascii="Arial" w:eastAsia="Calibri" w:hAnsi="Arial" w:cs="Arial"/>
          <w:b/>
          <w:bCs/>
          <w:i/>
          <w:color w:val="000000" w:themeColor="text1"/>
        </w:rPr>
        <w:t>TERCERO.-</w:t>
      </w:r>
      <w:r>
        <w:rPr>
          <w:rFonts w:ascii="Arial" w:eastAsia="Calibri" w:hAnsi="Arial" w:cs="Arial"/>
          <w:bCs/>
          <w:i/>
          <w:color w:val="000000" w:themeColor="text1"/>
        </w:rPr>
        <w:t xml:space="preserve">. Se declara </w:t>
      </w:r>
      <w:r>
        <w:rPr>
          <w:rFonts w:ascii="Arial" w:eastAsia="Calibri" w:hAnsi="Arial" w:cs="Arial"/>
          <w:b/>
          <w:bCs/>
          <w:i/>
          <w:color w:val="000000" w:themeColor="text1"/>
        </w:rPr>
        <w:t xml:space="preserve">LA NULIDAD </w:t>
      </w:r>
      <w:r>
        <w:rPr>
          <w:rFonts w:ascii="Arial" w:eastAsia="Calibri" w:hAnsi="Arial" w:cs="Arial"/>
          <w:bCs/>
          <w:i/>
          <w:color w:val="000000" w:themeColor="text1"/>
        </w:rPr>
        <w:t xml:space="preserve">de la resolución contenida en el oficio </w:t>
      </w:r>
      <w:r w:rsidR="005152CA">
        <w:rPr>
          <w:rFonts w:ascii="Arial" w:hAnsi="Arial" w:cs="Arial"/>
          <w:b/>
          <w:bCs/>
          <w:sz w:val="26"/>
          <w:szCs w:val="26"/>
        </w:rPr>
        <w:t>**********</w:t>
      </w:r>
      <w:r>
        <w:rPr>
          <w:rFonts w:ascii="Arial" w:eastAsia="Calibri" w:hAnsi="Arial" w:cs="Arial"/>
          <w:bCs/>
          <w:i/>
          <w:color w:val="000000" w:themeColor="text1"/>
        </w:rPr>
        <w:t xml:space="preserve">, de veintiocho de septiembre de dos mil dieciocho, </w:t>
      </w:r>
      <w:r>
        <w:rPr>
          <w:rFonts w:ascii="Arial" w:eastAsia="Calibri" w:hAnsi="Arial" w:cs="Arial"/>
          <w:b/>
          <w:bCs/>
          <w:i/>
          <w:color w:val="000000" w:themeColor="text1"/>
        </w:rPr>
        <w:t xml:space="preserve">PARA EFECTO </w:t>
      </w:r>
      <w:r>
        <w:rPr>
          <w:rFonts w:ascii="Arial" w:eastAsia="Calibri" w:hAnsi="Arial" w:cs="Arial"/>
          <w:bCs/>
          <w:i/>
          <w:color w:val="000000" w:themeColor="text1"/>
        </w:rPr>
        <w:t xml:space="preserve">de que el </w:t>
      </w:r>
      <w:r w:rsidR="005152CA">
        <w:rPr>
          <w:rFonts w:ascii="Arial" w:hAnsi="Arial" w:cs="Arial"/>
          <w:b/>
          <w:bCs/>
          <w:sz w:val="26"/>
          <w:szCs w:val="26"/>
        </w:rPr>
        <w:t>**********</w:t>
      </w:r>
      <w:r>
        <w:rPr>
          <w:rFonts w:ascii="Arial" w:eastAsia="Calibri" w:hAnsi="Arial" w:cs="Arial"/>
          <w:bCs/>
          <w:i/>
          <w:color w:val="000000" w:themeColor="text1"/>
        </w:rPr>
        <w:t xml:space="preserve">, dicte otra, en la que otorgue al accionante la pensión por jubilación con las mismas prestaciones que percibe un trabajador de base, como son previsión social múltiple, despensa, vida cara, </w:t>
      </w:r>
      <w:r>
        <w:rPr>
          <w:rFonts w:ascii="Arial" w:eastAsia="Calibri" w:hAnsi="Arial" w:cs="Arial"/>
          <w:bCs/>
          <w:i/>
          <w:color w:val="000000" w:themeColor="text1"/>
        </w:rPr>
        <w:lastRenderedPageBreak/>
        <w:t>quinquenios, aguinaldo, estimulo del día del jubilado y canasta navideña. - - -</w:t>
      </w:r>
    </w:p>
    <w:p w14:paraId="2CCF6DBF" w14:textId="092F5C71" w:rsidR="00100594" w:rsidRPr="00100594" w:rsidRDefault="00100594" w:rsidP="00100594">
      <w:pPr>
        <w:spacing w:after="0"/>
        <w:ind w:left="1134" w:right="900" w:firstLine="567"/>
        <w:jc w:val="both"/>
        <w:rPr>
          <w:rFonts w:ascii="Arial" w:eastAsia="Calibri" w:hAnsi="Arial" w:cs="Arial"/>
          <w:b/>
          <w:bCs/>
          <w:i/>
          <w:color w:val="000000" w:themeColor="text1"/>
        </w:rPr>
      </w:pPr>
      <w:r>
        <w:rPr>
          <w:rFonts w:ascii="Arial" w:eastAsia="Calibri" w:hAnsi="Arial" w:cs="Arial"/>
          <w:b/>
          <w:bCs/>
          <w:i/>
          <w:color w:val="000000" w:themeColor="text1"/>
        </w:rPr>
        <w:t xml:space="preserve">CUARTO.- </w:t>
      </w:r>
      <w:r>
        <w:rPr>
          <w:rFonts w:ascii="Arial" w:eastAsia="Calibri" w:hAnsi="Arial" w:cs="Arial"/>
          <w:bCs/>
          <w:i/>
          <w:color w:val="000000" w:themeColor="text1"/>
        </w:rPr>
        <w:t xml:space="preserve">Conforme a lo dispuesto en los artículos 172, fracción I, y 173, fracciones I y II, de la Ley de Procedimiento y Justicia Administrativa para el Estado, </w:t>
      </w:r>
      <w:r>
        <w:rPr>
          <w:rFonts w:ascii="Arial" w:eastAsia="Calibri" w:hAnsi="Arial" w:cs="Arial"/>
          <w:b/>
          <w:bCs/>
          <w:i/>
          <w:color w:val="000000" w:themeColor="text1"/>
        </w:rPr>
        <w:t>NOTIFÍQUESE PERSONALMENTE A LA PARTE ACTORA, Y POR OFICIO A LA AUTORIDAD DEMANDADA, CÚMPLASE.…</w:t>
      </w:r>
      <w:r>
        <w:rPr>
          <w:rFonts w:ascii="Arial" w:eastAsia="Calibri" w:hAnsi="Arial" w:cs="Arial"/>
          <w:bCs/>
          <w:i/>
          <w:color w:val="000000" w:themeColor="text1"/>
        </w:rPr>
        <w:t xml:space="preserve">” </w:t>
      </w:r>
    </w:p>
    <w:p w14:paraId="2CB20929" w14:textId="77777777" w:rsidR="00100594" w:rsidRDefault="00100594" w:rsidP="00100594">
      <w:pPr>
        <w:spacing w:after="0"/>
        <w:ind w:left="1134" w:right="900" w:firstLine="567"/>
        <w:jc w:val="both"/>
        <w:rPr>
          <w:rFonts w:ascii="Arial" w:eastAsia="Calibri" w:hAnsi="Arial" w:cs="Arial"/>
          <w:bCs/>
          <w:i/>
          <w:color w:val="000000" w:themeColor="text1"/>
        </w:rPr>
      </w:pPr>
    </w:p>
    <w:p w14:paraId="45163C64" w14:textId="77777777" w:rsidR="00100594" w:rsidRDefault="00100594" w:rsidP="00100594">
      <w:pPr>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14:paraId="0117A1A6" w14:textId="77777777" w:rsidR="00100594" w:rsidRDefault="00100594" w:rsidP="00100594">
      <w:pPr>
        <w:pStyle w:val="Textoindependiente21"/>
        <w:spacing w:before="240" w:line="360" w:lineRule="auto"/>
        <w:ind w:right="18" w:firstLine="0"/>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segundo párrafo, 2 primero y cuarto párrafo, 4, 23, 24, 25, 26 y 27 de la Ley Orgánica del Tribunal de Justicia Administrativa del Estado de Oaxaca; 120, 125, 127, 129, 130 fracción I, 131, 231, 236 y 238 de la Ley de Procedimiento y Justicia Administrativa para el Estado de Oaxaca, dado que se trata de Recurso de Revisión interpuesto en contra de sentencia de tres de mayo de </w:t>
      </w:r>
      <w:r>
        <w:rPr>
          <w:rFonts w:ascii="Arial" w:hAnsi="Arial" w:cs="Arial"/>
          <w:sz w:val="26"/>
          <w:szCs w:val="26"/>
        </w:rPr>
        <w:t>dos mil diecinueve, dictada por la Tercera Sala Unitaria de Primera Instancia Tribunal de Justicia Administrativa del Estado,</w:t>
      </w:r>
      <w:r>
        <w:rPr>
          <w:rFonts w:ascii="Arial" w:hAnsi="Arial" w:cs="Arial"/>
          <w:bCs/>
          <w:iCs/>
          <w:sz w:val="26"/>
          <w:szCs w:val="26"/>
        </w:rPr>
        <w:t xml:space="preserve"> en el Juicio de nulidad </w:t>
      </w:r>
      <w:r>
        <w:rPr>
          <w:rFonts w:ascii="Arial" w:hAnsi="Arial" w:cs="Arial"/>
          <w:b/>
          <w:bCs/>
          <w:iCs/>
          <w:sz w:val="26"/>
          <w:szCs w:val="26"/>
        </w:rPr>
        <w:t>006</w:t>
      </w:r>
      <w:r>
        <w:rPr>
          <w:rFonts w:ascii="Arial" w:hAnsi="Arial" w:cs="Arial"/>
          <w:b/>
          <w:sz w:val="26"/>
          <w:szCs w:val="26"/>
        </w:rPr>
        <w:t>/2019</w:t>
      </w:r>
      <w:r>
        <w:rPr>
          <w:rFonts w:ascii="Arial" w:hAnsi="Arial" w:cs="Arial"/>
          <w:b/>
          <w:bCs/>
          <w:iCs/>
          <w:sz w:val="26"/>
          <w:szCs w:val="26"/>
        </w:rPr>
        <w:t>.</w:t>
      </w:r>
    </w:p>
    <w:p w14:paraId="02A0FE34" w14:textId="77777777" w:rsidR="00100594" w:rsidRDefault="00100594" w:rsidP="00100594">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r>
        <w:rPr>
          <w:rFonts w:ascii="Arial" w:hAnsi="Arial" w:cs="Arial"/>
          <w:bCs/>
          <w:color w:val="000000"/>
          <w:sz w:val="26"/>
          <w:szCs w:val="26"/>
        </w:rPr>
        <w:t xml:space="preserve">  </w:t>
      </w:r>
    </w:p>
    <w:p w14:paraId="7544BA66" w14:textId="77777777" w:rsidR="00100594" w:rsidRDefault="00100594" w:rsidP="00100594">
      <w:pPr>
        <w:spacing w:before="240"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14:paraId="68AFD885" w14:textId="3AB97311" w:rsidR="00100594" w:rsidRDefault="00100594" w:rsidP="00100594">
      <w:pPr>
        <w:widowControl w:val="0"/>
        <w:tabs>
          <w:tab w:val="left" w:pos="7938"/>
        </w:tabs>
        <w:spacing w:before="240"/>
        <w:ind w:left="709" w:right="758" w:firstLine="709"/>
        <w:jc w:val="both"/>
        <w:rPr>
          <w:rFonts w:ascii="Arial" w:hAnsi="Arial" w:cs="Arial"/>
          <w:sz w:val="26"/>
          <w:szCs w:val="26"/>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3D124267" w14:textId="77777777" w:rsidR="00100594" w:rsidRDefault="00100594" w:rsidP="00100594">
      <w:pPr>
        <w:spacing w:after="0" w:line="360" w:lineRule="auto"/>
        <w:ind w:right="49" w:firstLine="708"/>
        <w:jc w:val="both"/>
        <w:rPr>
          <w:rFonts w:ascii="Arial" w:hAnsi="Arial" w:cs="Arial"/>
          <w:bCs/>
          <w:color w:val="000000"/>
        </w:rPr>
      </w:pPr>
    </w:p>
    <w:p w14:paraId="008A4C54" w14:textId="749501E2" w:rsidR="00100594" w:rsidRDefault="00100594" w:rsidP="00100594">
      <w:pPr>
        <w:spacing w:after="0" w:line="360" w:lineRule="auto"/>
        <w:ind w:firstLine="708"/>
        <w:jc w:val="both"/>
        <w:rPr>
          <w:rFonts w:ascii="Arial" w:eastAsia="Arial Unicode MS" w:hAnsi="Arial" w:cs="Arial"/>
          <w:bCs/>
          <w:sz w:val="26"/>
          <w:szCs w:val="26"/>
          <w:lang w:eastAsia="es-ES"/>
        </w:rPr>
      </w:pPr>
      <w:r>
        <w:rPr>
          <w:rFonts w:ascii="Arial" w:hAnsi="Arial" w:cs="Arial"/>
          <w:b/>
          <w:bCs/>
          <w:sz w:val="26"/>
          <w:szCs w:val="26"/>
        </w:rPr>
        <w:t>TERCERO</w:t>
      </w:r>
      <w:r>
        <w:rPr>
          <w:rFonts w:ascii="Arial" w:hAnsi="Arial" w:cs="Arial"/>
          <w:bCs/>
          <w:sz w:val="26"/>
          <w:szCs w:val="26"/>
        </w:rPr>
        <w:t>.- Previo al análisis de los agravios expresados por el recurrente, es menester hacer la precisión, que m</w:t>
      </w:r>
      <w:r>
        <w:rPr>
          <w:rFonts w:ascii="Arial" w:eastAsia="Arial Unicode MS" w:hAnsi="Arial" w:cs="Arial"/>
          <w:bCs/>
          <w:sz w:val="26"/>
          <w:szCs w:val="26"/>
          <w:lang w:eastAsia="es-ES"/>
        </w:rPr>
        <w:t xml:space="preserve">ediante escrito presentado ante la Tercera Sala Unitaria de Primera Instancia el </w:t>
      </w:r>
      <w:r>
        <w:rPr>
          <w:rFonts w:ascii="Arial" w:eastAsia="Arial Unicode MS" w:hAnsi="Arial" w:cs="Arial"/>
          <w:bCs/>
          <w:sz w:val="26"/>
          <w:szCs w:val="26"/>
          <w:lang w:eastAsia="es-ES"/>
        </w:rPr>
        <w:lastRenderedPageBreak/>
        <w:t xml:space="preserve">diecisiete de mayo de dos mil diecinueve, la parte actora solicitó aclaración de sentencia en términos del artículo 210 de la Ley de Procedimiento y Justicia Administrativa para el Estado de Oaxaca, al considerar que la declaración de nulidad producirá efectos retroactivos, al considerar que entre sus reclamos se encuentra el pago de una pensión con todas las prestaciones que perciben los jubilados que fueron trabajadores de base, desde el momento del primer pago de dicha pensión y en lo subsecuente. </w:t>
      </w:r>
    </w:p>
    <w:p w14:paraId="549EDD00" w14:textId="6D959E0B" w:rsidR="00100594" w:rsidRDefault="00100594" w:rsidP="00100594">
      <w:pPr>
        <w:spacing w:before="240" w:after="0" w:line="360" w:lineRule="auto"/>
        <w:ind w:firstLine="708"/>
        <w:jc w:val="both"/>
        <w:rPr>
          <w:rFonts w:ascii="Arial" w:eastAsia="Arial Unicode MS" w:hAnsi="Arial" w:cs="Arial"/>
          <w:bCs/>
          <w:sz w:val="26"/>
          <w:szCs w:val="26"/>
          <w:lang w:eastAsia="es-ES"/>
        </w:rPr>
      </w:pPr>
      <w:r>
        <w:rPr>
          <w:rFonts w:ascii="Arial" w:eastAsia="Arial Unicode MS" w:hAnsi="Arial" w:cs="Arial"/>
          <w:bCs/>
          <w:sz w:val="26"/>
          <w:szCs w:val="26"/>
          <w:lang w:eastAsia="es-ES"/>
        </w:rPr>
        <w:t>En atención a dicha solicitud de aclaración de sentencia, mediante proveído de dieciocho de junio de dos mil diecinueve, la Magistrada de la Tercera Sala Unitaria de Primera Instancia, en la parte que interesa acordó lo siguiente:</w:t>
      </w:r>
    </w:p>
    <w:p w14:paraId="6D912277" w14:textId="1AB27FF2" w:rsidR="00100594" w:rsidRDefault="00100594" w:rsidP="00660DD1">
      <w:pPr>
        <w:spacing w:before="240" w:after="0"/>
        <w:ind w:left="851" w:right="900"/>
        <w:jc w:val="both"/>
        <w:rPr>
          <w:rFonts w:ascii="Arial" w:eastAsia="Arial Unicode MS" w:hAnsi="Arial" w:cs="Arial"/>
          <w:bCs/>
          <w:i/>
          <w:lang w:eastAsia="es-ES"/>
        </w:rPr>
      </w:pPr>
      <w:r>
        <w:rPr>
          <w:rFonts w:ascii="Arial" w:eastAsia="Arial Unicode MS" w:hAnsi="Arial" w:cs="Arial"/>
          <w:bCs/>
          <w:i/>
          <w:lang w:eastAsia="es-ES"/>
        </w:rPr>
        <w:t xml:space="preserve">“… se tiene a la parte actora promoviendo la aclaración de sentencia, </w:t>
      </w:r>
      <w:r>
        <w:rPr>
          <w:rFonts w:ascii="Arial" w:eastAsia="Arial Unicode MS" w:hAnsi="Arial" w:cs="Arial"/>
          <w:b/>
          <w:bCs/>
          <w:i/>
          <w:lang w:eastAsia="es-ES"/>
        </w:rPr>
        <w:t>petición que no es procedente,</w:t>
      </w:r>
      <w:r>
        <w:rPr>
          <w:rFonts w:ascii="Arial" w:eastAsia="Arial Unicode MS" w:hAnsi="Arial" w:cs="Arial"/>
          <w:bCs/>
          <w:i/>
          <w:lang w:eastAsia="es-ES"/>
        </w:rPr>
        <w:t xml:space="preserve"> esto es así, en virtud de que la aclaración únicamente procede por motivos de error material o de cálculo, situación que no acontece, se dice lo anterior en virtud de que la parte actora pretende que esta sala </w:t>
      </w:r>
      <w:r>
        <w:rPr>
          <w:rFonts w:ascii="Arial" w:eastAsia="Arial Unicode MS" w:hAnsi="Arial" w:cs="Arial"/>
          <w:b/>
          <w:bCs/>
          <w:i/>
          <w:lang w:eastAsia="es-ES"/>
        </w:rPr>
        <w:t>condene</w:t>
      </w:r>
      <w:r>
        <w:rPr>
          <w:rFonts w:ascii="Arial" w:eastAsia="Arial Unicode MS" w:hAnsi="Arial" w:cs="Arial"/>
          <w:bCs/>
          <w:i/>
          <w:lang w:eastAsia="es-ES"/>
        </w:rPr>
        <w:t xml:space="preserve"> a la autoridad demandada a que realice el pago de las prestaciones que cita de manera retroactiva, hipótesis que sería modificar el sentido de la sentencia de tres de mayo de dos mil diecinueve, determinación que esta autoridad no puede hacer, en virtud que esta juzgadora no puede revocar o modificar sus propias actuaciones”…</w:t>
      </w:r>
    </w:p>
    <w:p w14:paraId="73E40FE3" w14:textId="6BB44642" w:rsidR="00100594" w:rsidRDefault="00100594" w:rsidP="00100594">
      <w:pPr>
        <w:spacing w:before="240" w:after="0" w:line="360" w:lineRule="auto"/>
        <w:ind w:firstLine="708"/>
        <w:jc w:val="both"/>
        <w:rPr>
          <w:rFonts w:ascii="Arial" w:eastAsia="Arial Unicode MS" w:hAnsi="Arial" w:cs="Arial"/>
          <w:bCs/>
          <w:sz w:val="26"/>
          <w:szCs w:val="26"/>
          <w:lang w:eastAsia="es-ES"/>
        </w:rPr>
      </w:pPr>
      <w:r>
        <w:rPr>
          <w:rFonts w:ascii="Arial" w:eastAsia="Arial Unicode MS" w:hAnsi="Arial" w:cs="Arial"/>
          <w:bCs/>
          <w:sz w:val="26"/>
          <w:szCs w:val="26"/>
          <w:lang w:eastAsia="es-ES"/>
        </w:rPr>
        <w:t>Es de señalar que con la presentación del escrito de aclaración de sentencia, se interrumpió el plazo para interponer el recurso de revisión en primera instancia, acorde a lo dispuesto por el segundo párrafo del artículo 211 de la Ley de Procedimiento y Justicia Administrativa para el Estado de Oaxaca.</w:t>
      </w:r>
    </w:p>
    <w:p w14:paraId="0F425D98" w14:textId="0CA86253" w:rsidR="00100594" w:rsidRDefault="00100594" w:rsidP="00100594">
      <w:pPr>
        <w:spacing w:before="240" w:after="0" w:line="360" w:lineRule="auto"/>
        <w:ind w:firstLine="708"/>
        <w:jc w:val="both"/>
        <w:rPr>
          <w:rFonts w:ascii="Arial" w:eastAsiaTheme="minorHAnsi" w:hAnsi="Arial" w:cs="Arial"/>
          <w:bCs/>
          <w:color w:val="000000"/>
          <w:sz w:val="26"/>
          <w:szCs w:val="26"/>
          <w:lang w:eastAsia="en-US"/>
        </w:rPr>
      </w:pPr>
      <w:r>
        <w:rPr>
          <w:rFonts w:ascii="Arial" w:eastAsia="Arial Unicode MS" w:hAnsi="Arial" w:cs="Arial"/>
          <w:bCs/>
          <w:sz w:val="26"/>
          <w:szCs w:val="26"/>
          <w:lang w:eastAsia="es-ES"/>
        </w:rPr>
        <w:t xml:space="preserve">Que al no estar conforme la parte actora con la determinación emitida, el 27 veintisiete de junio de 2019 dos mil diecinueve, interpuso recurso de revisión en contra de la sentencia dictada el tres de mayo del mismo año, al considerar que le causa </w:t>
      </w:r>
      <w:r>
        <w:rPr>
          <w:rFonts w:ascii="Arial" w:hAnsi="Arial" w:cs="Arial"/>
          <w:bCs/>
          <w:color w:val="000000"/>
          <w:sz w:val="26"/>
          <w:szCs w:val="26"/>
        </w:rPr>
        <w:t xml:space="preserve">agravio lo determinado por la Magistrada de la Tercera  Sala Unitaria de Primera Instancia. </w:t>
      </w:r>
    </w:p>
    <w:p w14:paraId="000D59E1" w14:textId="16757FF7" w:rsidR="00100594" w:rsidRDefault="00100594" w:rsidP="00100594">
      <w:pPr>
        <w:spacing w:before="240"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Refiere el recurrente, le causa agravio la sentencia, porque en la misma se debió precisar que la declaración de nulidad de la resolución contenida en el oficio </w:t>
      </w:r>
      <w:r w:rsidR="005152CA">
        <w:rPr>
          <w:rFonts w:ascii="Arial" w:hAnsi="Arial" w:cs="Arial"/>
          <w:b/>
          <w:bCs/>
          <w:sz w:val="26"/>
          <w:szCs w:val="26"/>
        </w:rPr>
        <w:t>**********</w:t>
      </w:r>
      <w:r w:rsidR="005152CA">
        <w:rPr>
          <w:rFonts w:ascii="Arial" w:hAnsi="Arial" w:cs="Arial"/>
          <w:b/>
          <w:bCs/>
          <w:sz w:val="26"/>
          <w:szCs w:val="26"/>
        </w:rPr>
        <w:t xml:space="preserve"> </w:t>
      </w:r>
      <w:r>
        <w:rPr>
          <w:rFonts w:ascii="Arial" w:hAnsi="Arial" w:cs="Arial"/>
          <w:bCs/>
          <w:color w:val="000000"/>
          <w:sz w:val="26"/>
          <w:szCs w:val="26"/>
        </w:rPr>
        <w:t xml:space="preserve">de 28 veintiocho de septiembre de 2018 dos mil dieciocho, debió ser con efecto retroactivo desde el momento en que se le hizo el primer pago de la pensión por jubilación, sin el descuento del 9% por concepto de cuota al Fondo de Pensiones; por lo que refiere que la sentencia debe ser para el efecto de que la autoridad </w:t>
      </w:r>
      <w:r>
        <w:rPr>
          <w:rFonts w:ascii="Arial" w:hAnsi="Arial" w:cs="Arial"/>
          <w:bCs/>
          <w:color w:val="000000"/>
          <w:sz w:val="26"/>
          <w:szCs w:val="26"/>
        </w:rPr>
        <w:lastRenderedPageBreak/>
        <w:t>demandada una vez que dicte nueve resolución, le otorgue las prestaciones precisadas en la sentencia y se le haga el pago en forma retroactiva de las demás prestaciones que fue determinado integran la pensión por jubilación  a partir de la fecha que causó baja.</w:t>
      </w:r>
    </w:p>
    <w:p w14:paraId="1B3DAF0F" w14:textId="77777777" w:rsidR="00100594" w:rsidRDefault="00100594" w:rsidP="00100594">
      <w:pPr>
        <w:spacing w:before="240" w:after="0" w:line="360" w:lineRule="auto"/>
        <w:ind w:firstLine="708"/>
        <w:jc w:val="both"/>
        <w:rPr>
          <w:rFonts w:ascii="Arial" w:hAnsi="Arial" w:cs="Arial"/>
          <w:bCs/>
          <w:color w:val="000000"/>
          <w:sz w:val="26"/>
          <w:szCs w:val="26"/>
        </w:rPr>
      </w:pPr>
      <w:r>
        <w:rPr>
          <w:rFonts w:ascii="Arial" w:hAnsi="Arial" w:cs="Arial"/>
          <w:bCs/>
          <w:color w:val="000000"/>
          <w:sz w:val="26"/>
          <w:szCs w:val="26"/>
        </w:rPr>
        <w:t>Refiere que la primera instancia vulneró su derecho a una justicia completa, acorde a lo dispuesto por el artículo 17 Constitucional, al no pronunciarse respecto de todos y cada uno de los aspectos debatidos, sin dejar nada pendiente; pretendiendo sustentar su agravio en las jurisprudencias y tesis de rubros siguientes:</w:t>
      </w:r>
    </w:p>
    <w:p w14:paraId="28718D45" w14:textId="77777777" w:rsidR="00100594" w:rsidRPr="00660DD1" w:rsidRDefault="00100594" w:rsidP="00100594">
      <w:pPr>
        <w:spacing w:before="240" w:after="0"/>
        <w:ind w:firstLine="708"/>
        <w:jc w:val="both"/>
        <w:rPr>
          <w:rFonts w:ascii="Arial" w:hAnsi="Arial" w:cs="Arial"/>
          <w:b/>
          <w:bCs/>
          <w:color w:val="000000"/>
        </w:rPr>
      </w:pPr>
      <w:r w:rsidRPr="00660DD1">
        <w:rPr>
          <w:rFonts w:ascii="Arial" w:hAnsi="Arial" w:cs="Arial"/>
          <w:bCs/>
          <w:color w:val="000000"/>
        </w:rPr>
        <w:t>“</w:t>
      </w:r>
      <w:r w:rsidRPr="00660DD1">
        <w:rPr>
          <w:rFonts w:ascii="Arial" w:hAnsi="Arial" w:cs="Arial"/>
          <w:b/>
          <w:bCs/>
          <w:color w:val="000000"/>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 “PROCEDIMIENTO CONTENCIOSO ADMINISTRATIVO. CONFORME AL TERCER PÁRRAFO DEL ARTÍCULO 50 DE LA LEY FEDERAL RELATIVA, LA SALA DEL CONOCIMIENTO, AL EMITIR SU SENTENCIA DEBE EXAMINAR TODOS LOS ARGUMENTOS DE LAS PARTES, CON LAS SALVEDADES CORRESPONDIENTES.”, “EXHAUSTIVIDAD. SU EXIGENCIA IMPLICA LA MAYOR CALIDAD POSIBLE DE LAS SENTENCIAS, PARA CUMPLIR CON LA PLENITUD EXIGIDA POR EL ARTÍCULO 17 CONSTITUCIONAL” Y “PENSIONES PARA LOS TRABAJADORES DEL GOBIERNO D3L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274567BC" w14:textId="332424E6" w:rsidR="00100594" w:rsidRDefault="00100594" w:rsidP="00100594">
      <w:pPr>
        <w:spacing w:before="240" w:after="0" w:line="360" w:lineRule="auto"/>
        <w:ind w:left="709" w:firstLine="708"/>
        <w:jc w:val="both"/>
        <w:rPr>
          <w:rFonts w:ascii="Arial" w:hAnsi="Arial" w:cs="Arial"/>
          <w:bCs/>
          <w:color w:val="000000"/>
          <w:sz w:val="26"/>
          <w:szCs w:val="26"/>
        </w:rPr>
      </w:pPr>
      <w:r>
        <w:rPr>
          <w:rFonts w:ascii="Arial" w:hAnsi="Arial" w:cs="Arial"/>
          <w:bCs/>
          <w:sz w:val="26"/>
          <w:szCs w:val="26"/>
        </w:rPr>
        <w:t xml:space="preserve">De las constancia de autos </w:t>
      </w:r>
      <w:proofErr w:type="gramStart"/>
      <w:r>
        <w:rPr>
          <w:rFonts w:ascii="Arial" w:hAnsi="Arial" w:cs="Arial"/>
          <w:bCs/>
          <w:sz w:val="26"/>
          <w:szCs w:val="26"/>
        </w:rPr>
        <w:t>remitidas</w:t>
      </w:r>
      <w:proofErr w:type="gramEnd"/>
      <w:r>
        <w:rPr>
          <w:rFonts w:ascii="Arial" w:hAnsi="Arial" w:cs="Arial"/>
          <w:bCs/>
          <w:sz w:val="26"/>
          <w:szCs w:val="26"/>
        </w:rPr>
        <w:t xml:space="preserve"> para la resolución del presente asunto, con pleno valor probatorio en términos de la fracción I, del artículo 203, de la Ley de Procedimiento y Justicia Administrativa </w:t>
      </w:r>
      <w:r>
        <w:rPr>
          <w:rFonts w:ascii="Arial" w:hAnsi="Arial" w:cs="Arial"/>
          <w:bCs/>
          <w:color w:val="000000"/>
          <w:sz w:val="26"/>
          <w:szCs w:val="26"/>
        </w:rPr>
        <w:t>para el Estado de Oaxaca, se advierte de la sentencia alzada, lo siguiente:</w:t>
      </w:r>
    </w:p>
    <w:p w14:paraId="2CA95EB4" w14:textId="41D278AD" w:rsidR="00100594" w:rsidRDefault="00100594" w:rsidP="00100594">
      <w:pPr>
        <w:spacing w:before="240" w:after="0"/>
        <w:ind w:left="709" w:firstLine="708"/>
        <w:jc w:val="both"/>
        <w:rPr>
          <w:rFonts w:cstheme="minorHAnsi"/>
          <w:i/>
        </w:rPr>
      </w:pPr>
      <w:r>
        <w:rPr>
          <w:rFonts w:cstheme="minorHAnsi"/>
          <w:bCs/>
          <w:i/>
          <w:color w:val="000000"/>
        </w:rPr>
        <w:t>“</w:t>
      </w:r>
      <w:r>
        <w:rPr>
          <w:rFonts w:cstheme="minorHAnsi"/>
          <w:b/>
          <w:i/>
        </w:rPr>
        <w:t xml:space="preserve">CUARTO. ADÁN ANTONIO GARCÍA, </w:t>
      </w:r>
      <w:r>
        <w:rPr>
          <w:rFonts w:cstheme="minorHAnsi"/>
          <w:i/>
        </w:rPr>
        <w:t xml:space="preserve">demandó la nulidad lisa y llana de la resolución contenida en el oficio </w:t>
      </w:r>
      <w:r w:rsidR="005152CA">
        <w:rPr>
          <w:rFonts w:ascii="Arial" w:hAnsi="Arial" w:cs="Arial"/>
          <w:b/>
          <w:bCs/>
          <w:sz w:val="26"/>
          <w:szCs w:val="26"/>
        </w:rPr>
        <w:t>**********</w:t>
      </w:r>
      <w:r w:rsidR="005152CA">
        <w:rPr>
          <w:rFonts w:ascii="Arial" w:hAnsi="Arial" w:cs="Arial"/>
          <w:b/>
          <w:bCs/>
          <w:sz w:val="26"/>
          <w:szCs w:val="26"/>
        </w:rPr>
        <w:t xml:space="preserve"> </w:t>
      </w:r>
      <w:r>
        <w:rPr>
          <w:rFonts w:cstheme="minorHAnsi"/>
          <w:i/>
        </w:rPr>
        <w:t xml:space="preserve">de veintiocho de septiembre de dos mil dieciocho, emitido por el </w:t>
      </w:r>
      <w:r w:rsidR="005152CA">
        <w:rPr>
          <w:rFonts w:ascii="Arial" w:hAnsi="Arial" w:cs="Arial"/>
          <w:b/>
          <w:bCs/>
          <w:sz w:val="26"/>
          <w:szCs w:val="26"/>
        </w:rPr>
        <w:t>**********</w:t>
      </w:r>
      <w:r>
        <w:rPr>
          <w:rFonts w:cstheme="minorHAnsi"/>
          <w:i/>
        </w:rPr>
        <w:t xml:space="preserve">, en el que informó que el </w:t>
      </w:r>
      <w:r w:rsidR="005152CA">
        <w:rPr>
          <w:rFonts w:ascii="Arial" w:hAnsi="Arial" w:cs="Arial"/>
          <w:b/>
          <w:bCs/>
          <w:sz w:val="26"/>
          <w:szCs w:val="26"/>
        </w:rPr>
        <w:t>**********</w:t>
      </w:r>
      <w:r>
        <w:rPr>
          <w:rFonts w:cstheme="minorHAnsi"/>
          <w:i/>
        </w:rPr>
        <w:t xml:space="preserve">, en sesión ordinaria del veintiocho de septiembre de dos mil dieciocho, en respuesta a la petición de pensión por jubilación que fue formulada por el actor, se le concedió por concepto de pensión por jubilación, la cantidad de </w:t>
      </w:r>
      <w:r w:rsidR="005152CA">
        <w:rPr>
          <w:rFonts w:ascii="Arial" w:hAnsi="Arial" w:cs="Arial"/>
          <w:b/>
          <w:bCs/>
          <w:sz w:val="26"/>
          <w:szCs w:val="26"/>
        </w:rPr>
        <w:t>**********</w:t>
      </w:r>
      <w:r>
        <w:rPr>
          <w:rFonts w:cstheme="minorHAnsi"/>
          <w:i/>
        </w:rPr>
        <w:t xml:space="preserve">, conforme a lo establecido en los artículos 1º, 2º, 5º fracción I, inciso a); 29, 31, 50 fracción I, 53, 54, 79, 88 fracción I y IV y 89 fracción I y transitorio cuarto de la Ley de Pensiones para los Trabajadores del Gobierno del Estado de Oaxaca; sin considerar como sueldo el salario integrado con prestaciones, que señala la fracción I como previsión social múltiple, despensa, vida cara, quinquenios, aguinaldo, estimulo del día del jubilado, día de las madres y canasta navideña. </w:t>
      </w:r>
    </w:p>
    <w:p w14:paraId="78A2FD33" w14:textId="77777777" w:rsidR="00100594" w:rsidRDefault="00100594" w:rsidP="00100594">
      <w:pPr>
        <w:spacing w:after="0"/>
        <w:ind w:left="709" w:firstLine="708"/>
        <w:jc w:val="both"/>
        <w:rPr>
          <w:rFonts w:cstheme="minorHAnsi"/>
          <w:i/>
        </w:rPr>
      </w:pPr>
      <w:r>
        <w:rPr>
          <w:rFonts w:cstheme="minorHAnsi"/>
          <w:i/>
        </w:rPr>
        <w:lastRenderedPageBreak/>
        <w:t>Continúa señalando la accionante, que el no recibir las prestaciones antes citada, es un trato discriminatorio, virtud de que aun cuando la suscrita solicitó su jubilación como empleada de confianza y no como empleada de base, tiene derecho a que se le consideren los conceptos aludidos, no obstante lo estipulado en el artículo 54 de la Ley de Pensiones para los Trabajadores del Gobierno del Estado, ya que el cálculo de la pensión para la suscrita, debe ser el mismo que se hace a los trabajadores de base.</w:t>
      </w:r>
    </w:p>
    <w:p w14:paraId="1FD87741" w14:textId="77777777" w:rsidR="00100594" w:rsidRDefault="00100594" w:rsidP="00100594">
      <w:pPr>
        <w:spacing w:after="0"/>
        <w:ind w:left="709" w:firstLine="708"/>
        <w:jc w:val="both"/>
        <w:rPr>
          <w:rFonts w:cstheme="minorHAnsi"/>
          <w:i/>
        </w:rPr>
      </w:pPr>
      <w:r>
        <w:rPr>
          <w:rFonts w:cstheme="minorHAnsi"/>
          <w:i/>
        </w:rPr>
        <w:t>Al respecto, la autoridad enjuiciada, en su contestación de demanda, defendió la legalidad del acto impugnado, manifestando que se encuentra debidamente fundado y motivado, ya que para determinar la cantidad que por concepto de jubilación se le fijó a la actora, se le respetó el cien por ciento, de su sueldo base, porque su jubilación la adquirió bajo la vigencia de la nueva Ley de Pensiones para los Trabajadores del Gobierno del Estado, además porque sólo tiene meras expectativas del derecho y no derechos adquiridos.</w:t>
      </w:r>
    </w:p>
    <w:p w14:paraId="4E63B77A" w14:textId="4F9A1749" w:rsidR="00100594" w:rsidRDefault="00100594" w:rsidP="00100594">
      <w:pPr>
        <w:spacing w:after="0"/>
        <w:ind w:left="709" w:firstLine="708"/>
        <w:jc w:val="both"/>
        <w:rPr>
          <w:rFonts w:cstheme="minorHAnsi"/>
          <w:i/>
        </w:rPr>
      </w:pPr>
      <w:r>
        <w:rPr>
          <w:rFonts w:cstheme="minorHAnsi"/>
          <w:i/>
        </w:rPr>
        <w:t xml:space="preserve">Del análisis de la resolución impugnada, consistente en el dictamen de pensión por jubilación contenida en el oficio </w:t>
      </w:r>
      <w:r w:rsidR="005152CA">
        <w:rPr>
          <w:rFonts w:ascii="Arial" w:hAnsi="Arial" w:cs="Arial"/>
          <w:b/>
          <w:bCs/>
          <w:sz w:val="26"/>
          <w:szCs w:val="26"/>
        </w:rPr>
        <w:t>**********</w:t>
      </w:r>
      <w:r w:rsidR="005152CA">
        <w:rPr>
          <w:rFonts w:ascii="Arial" w:hAnsi="Arial" w:cs="Arial"/>
          <w:b/>
          <w:bCs/>
          <w:sz w:val="26"/>
          <w:szCs w:val="26"/>
        </w:rPr>
        <w:t xml:space="preserve"> </w:t>
      </w:r>
      <w:r>
        <w:rPr>
          <w:rFonts w:cstheme="minorHAnsi"/>
          <w:i/>
        </w:rPr>
        <w:t xml:space="preserve">de veintiocho de septiembre de 2018 dos mil dieciocho, se advierte que el Director General de la Oficina de Pensiones del Estado de Oaxaca, informa a </w:t>
      </w:r>
      <w:r w:rsidR="005152CA">
        <w:rPr>
          <w:rFonts w:ascii="Arial" w:hAnsi="Arial" w:cs="Arial"/>
          <w:b/>
          <w:bCs/>
          <w:sz w:val="26"/>
          <w:szCs w:val="26"/>
        </w:rPr>
        <w:t>**********</w:t>
      </w:r>
      <w:r w:rsidR="005152CA">
        <w:rPr>
          <w:rFonts w:ascii="Arial" w:hAnsi="Arial" w:cs="Arial"/>
          <w:b/>
          <w:bCs/>
          <w:sz w:val="26"/>
          <w:szCs w:val="26"/>
        </w:rPr>
        <w:t xml:space="preserve"> </w:t>
      </w:r>
      <w:r>
        <w:rPr>
          <w:rFonts w:cstheme="minorHAnsi"/>
          <w:i/>
        </w:rPr>
        <w:t xml:space="preserve">que en sesión ordinaria celebrada el veintiocho de septiembre del dos mil dieciocho, el Consejo Directivo de la Oficina de Pensiones del Estado, autorizó la petición por jubilación, con el cien por ciento de su sueldo base, que percibe un agente del ministerio público, que es de </w:t>
      </w:r>
      <w:r w:rsidR="005152CA">
        <w:rPr>
          <w:rFonts w:ascii="Arial" w:hAnsi="Arial" w:cs="Arial"/>
          <w:b/>
          <w:bCs/>
          <w:sz w:val="26"/>
          <w:szCs w:val="26"/>
        </w:rPr>
        <w:t>**********</w:t>
      </w:r>
      <w:r>
        <w:rPr>
          <w:rFonts w:cstheme="minorHAnsi"/>
          <w:i/>
        </w:rPr>
        <w:t xml:space="preserve">, citando como fundamento legal de dicha determinación entre otros, los artículos 53 de la Ley de Pensiones para los Trabajadores del Gobierno del Estado, sin incluir las prestaciones señaladas por el artículo 54 fracción I de la citada ley, como son previsión social múltiple, despensa, vida cara, quinquenios, aguinaldo, estimulo del día del jubilado, día de las madres y canasta navideña. </w:t>
      </w:r>
    </w:p>
    <w:p w14:paraId="6282AC5E" w14:textId="77777777" w:rsidR="00100594" w:rsidRDefault="00100594" w:rsidP="00100594">
      <w:pPr>
        <w:spacing w:after="0"/>
        <w:ind w:left="709" w:firstLine="708"/>
        <w:jc w:val="both"/>
        <w:rPr>
          <w:rFonts w:cstheme="minorHAnsi"/>
          <w:i/>
        </w:rPr>
      </w:pPr>
      <w:r>
        <w:rPr>
          <w:rFonts w:cstheme="minorHAnsi"/>
          <w:i/>
        </w:rPr>
        <w:t>Importa transcribir los artículos 53 y 54 de la Ley de Pensiones para los Trabajadores del Gobierno del Estado, aduciendo el actor que vulnera su derecho humano a la no discriminación:</w:t>
      </w:r>
    </w:p>
    <w:p w14:paraId="4A1B8550" w14:textId="77777777" w:rsidR="00100594" w:rsidRDefault="00100594" w:rsidP="00100594">
      <w:pPr>
        <w:spacing w:after="0"/>
        <w:ind w:left="709" w:firstLine="708"/>
        <w:jc w:val="both"/>
        <w:rPr>
          <w:rFonts w:cstheme="minorHAnsi"/>
          <w:i/>
        </w:rPr>
      </w:pPr>
      <w:r>
        <w:rPr>
          <w:rFonts w:cstheme="minorHAnsi"/>
          <w:i/>
        </w:rPr>
        <w:t xml:space="preserve">ARTÍCULO 53. El monto de la pensiones que se concedan, con excepción de las derivadas de riesgos de trabajo, se calculará promediando el sueldo base del último año cotizado como trabajador activo. Las pensiones derivadas de riesgos  de trabajo se calculan considerando el sueldo base registrado en la última cotización del trabajador. Todas las pensiones se incrementarán por acuerdo del Consejo Directivo; Dicho incremento será igual al incremento porcentual otorgado al salario base de los trabajadores activos en el año en que se trate”. </w:t>
      </w:r>
    </w:p>
    <w:p w14:paraId="1CD62EDF" w14:textId="77777777" w:rsidR="00100594" w:rsidRDefault="00100594" w:rsidP="00100594">
      <w:pPr>
        <w:spacing w:after="0"/>
        <w:ind w:left="709" w:firstLine="708"/>
        <w:jc w:val="both"/>
        <w:rPr>
          <w:rFonts w:cstheme="minorHAnsi"/>
          <w:i/>
        </w:rPr>
      </w:pPr>
      <w:r>
        <w:rPr>
          <w:rFonts w:cstheme="minorHAnsi"/>
          <w:i/>
        </w:rPr>
        <w:t>ARTÍCULO 54. Al monto resultante de la pensión señalada en el artículo anterior, se integrarán las prestaciones siguientes:</w:t>
      </w:r>
    </w:p>
    <w:p w14:paraId="5FD0EE90" w14:textId="77777777" w:rsidR="00100594" w:rsidRDefault="00100594" w:rsidP="00100594">
      <w:pPr>
        <w:spacing w:after="0"/>
        <w:ind w:left="709" w:firstLine="708"/>
        <w:jc w:val="both"/>
        <w:rPr>
          <w:rFonts w:cstheme="minorHAnsi"/>
          <w:b/>
          <w:i/>
        </w:rPr>
      </w:pPr>
      <w:r>
        <w:rPr>
          <w:rFonts w:cstheme="minorHAnsi"/>
          <w:i/>
        </w:rPr>
        <w:t xml:space="preserve">I.- Jubilados: tratándose </w:t>
      </w:r>
      <w:r>
        <w:rPr>
          <w:rFonts w:cstheme="minorHAnsi"/>
          <w:b/>
          <w:i/>
        </w:rPr>
        <w:t xml:space="preserve">solo de aquéllos que fueron trabajadores de base se integrarán la previsión social múltiple, despensa, vida cara, quinquenios, aguinaldo, estímulo del día del jubilado, día de las madres y canasta navideña. </w:t>
      </w:r>
    </w:p>
    <w:p w14:paraId="6D5CE413" w14:textId="77777777" w:rsidR="00100594" w:rsidRDefault="00100594" w:rsidP="00100594">
      <w:pPr>
        <w:spacing w:after="0"/>
        <w:ind w:left="709" w:firstLine="708"/>
        <w:jc w:val="both"/>
        <w:rPr>
          <w:rFonts w:cstheme="minorHAnsi"/>
          <w:b/>
          <w:i/>
        </w:rPr>
      </w:pPr>
      <w:r>
        <w:rPr>
          <w:rFonts w:cstheme="minorHAnsi"/>
          <w:b/>
          <w:i/>
        </w:rPr>
        <w:t>El aguinaldo para jubilados será equivalente a 70 días de la cuantía diaria; y</w:t>
      </w:r>
    </w:p>
    <w:p w14:paraId="1FA69DF9" w14:textId="77777777" w:rsidR="00100594" w:rsidRDefault="00100594" w:rsidP="00100594">
      <w:pPr>
        <w:spacing w:after="0"/>
        <w:ind w:left="709" w:firstLine="708"/>
        <w:jc w:val="both"/>
        <w:rPr>
          <w:rFonts w:cstheme="minorHAnsi"/>
          <w:i/>
        </w:rPr>
      </w:pPr>
      <w:r>
        <w:rPr>
          <w:rFonts w:cstheme="minorHAnsi"/>
          <w:i/>
        </w:rPr>
        <w:t>II. Pensionados y pensionistas: canasta navideña.</w:t>
      </w:r>
    </w:p>
    <w:p w14:paraId="560710AE" w14:textId="77777777" w:rsidR="00100594" w:rsidRDefault="00100594" w:rsidP="00100594">
      <w:pPr>
        <w:spacing w:after="0"/>
        <w:ind w:left="709" w:firstLine="708"/>
        <w:jc w:val="both"/>
        <w:rPr>
          <w:rFonts w:cstheme="minorHAnsi"/>
          <w:i/>
        </w:rPr>
      </w:pPr>
      <w:r>
        <w:rPr>
          <w:rFonts w:cstheme="minorHAnsi"/>
          <w:i/>
        </w:rPr>
        <w:t>Los montos de las prestaciones señaladas en las fracciones anteriores serán determinados por acuerdo del Consejo Directivo, mismos que no deberán ser superiores a los montos que se otorguen a los trabajadores activos.</w:t>
      </w:r>
    </w:p>
    <w:p w14:paraId="6817B807" w14:textId="77777777" w:rsidR="00100594" w:rsidRDefault="00100594" w:rsidP="00100594">
      <w:pPr>
        <w:spacing w:after="0"/>
        <w:ind w:left="709" w:firstLine="708"/>
        <w:jc w:val="both"/>
        <w:rPr>
          <w:rFonts w:cstheme="minorHAnsi"/>
          <w:i/>
        </w:rPr>
      </w:pPr>
      <w:r>
        <w:rPr>
          <w:rFonts w:cstheme="minorHAnsi"/>
          <w:i/>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(Énfasis añadido).</w:t>
      </w:r>
    </w:p>
    <w:p w14:paraId="70FBD60F" w14:textId="77777777" w:rsidR="00100594" w:rsidRDefault="00100594" w:rsidP="00100594">
      <w:pPr>
        <w:spacing w:after="0"/>
        <w:ind w:left="709" w:firstLine="708"/>
        <w:jc w:val="both"/>
        <w:rPr>
          <w:rFonts w:cstheme="minorHAnsi"/>
          <w:i/>
        </w:rPr>
      </w:pPr>
      <w:r>
        <w:rPr>
          <w:rFonts w:cstheme="minorHAnsi"/>
          <w:i/>
        </w:rPr>
        <w:t xml:space="preserve">Como se ve, el numeral 54 transcrito, es discriminatorio </w:t>
      </w:r>
      <w:r>
        <w:rPr>
          <w:rFonts w:cstheme="minorHAnsi"/>
          <w:b/>
          <w:i/>
        </w:rPr>
        <w:t>para los trabajadores jubilados de confianza,</w:t>
      </w:r>
      <w:r>
        <w:rPr>
          <w:rFonts w:cstheme="minorHAnsi"/>
          <w:i/>
        </w:rPr>
        <w:t xml:space="preserve"> ya que sólo se refiere a que los </w:t>
      </w:r>
      <w:r>
        <w:rPr>
          <w:rFonts w:cstheme="minorHAnsi"/>
          <w:b/>
          <w:i/>
        </w:rPr>
        <w:t>trabajadores jubilados de base,</w:t>
      </w:r>
      <w:r>
        <w:rPr>
          <w:rFonts w:cstheme="minorHAnsi"/>
          <w:i/>
        </w:rPr>
        <w:t xml:space="preserve"> tienen las siguientes prestaciones: previsión social múltiple, despensa, vida cara, quinquenios, aguinaldos, estímulos del día del jubilado y canasta navideña, el </w:t>
      </w:r>
      <w:r>
        <w:rPr>
          <w:rFonts w:cstheme="minorHAnsi"/>
          <w:i/>
        </w:rPr>
        <w:lastRenderedPageBreak/>
        <w:t>aguinaldo para jubilados será equivalente a setenta días de la cuantía diaria y la canasta navideña; por lo tanto, ante la existencia de un acto discriminatorio, por ende, resulta violario del artículo 1º de la Constitución Política de los Estados Unidos Mexicanos.</w:t>
      </w:r>
    </w:p>
    <w:p w14:paraId="084FDE69" w14:textId="77777777" w:rsidR="00100594" w:rsidRDefault="00100594" w:rsidP="00100594">
      <w:pPr>
        <w:spacing w:after="0"/>
        <w:ind w:left="709" w:firstLine="708"/>
        <w:jc w:val="both"/>
        <w:rPr>
          <w:rFonts w:cstheme="minorHAnsi"/>
          <w:i/>
        </w:rPr>
      </w:pPr>
      <w:r>
        <w:rPr>
          <w:rFonts w:cstheme="minorHAnsi"/>
          <w:i/>
        </w:rPr>
        <w:t>El concepto de discriminación, aunque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14:paraId="7B14176A" w14:textId="77777777" w:rsidR="00100594" w:rsidRDefault="00100594" w:rsidP="00100594">
      <w:pPr>
        <w:spacing w:after="0"/>
        <w:ind w:left="709" w:firstLine="708"/>
        <w:jc w:val="both"/>
        <w:rPr>
          <w:rFonts w:cstheme="minorHAnsi"/>
          <w:i/>
        </w:rPr>
      </w:pPr>
      <w:r>
        <w:rPr>
          <w:rFonts w:cstheme="minorHAnsi"/>
          <w:i/>
        </w:rPr>
        <w:t>En ese tenor, el artículo 1 de la Constitución Federal señala:</w:t>
      </w:r>
    </w:p>
    <w:p w14:paraId="4CD34354" w14:textId="77777777" w:rsidR="00100594" w:rsidRDefault="00100594" w:rsidP="00100594">
      <w:pPr>
        <w:spacing w:after="0"/>
        <w:ind w:left="709" w:firstLine="708"/>
        <w:jc w:val="both"/>
        <w:rPr>
          <w:rFonts w:cstheme="minorHAnsi"/>
          <w:i/>
        </w:rPr>
      </w:pPr>
      <w:r>
        <w:rPr>
          <w:rFonts w:cstheme="minorHAnsi"/>
          <w:i/>
        </w:rPr>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14:paraId="5FCAD73D" w14:textId="77777777" w:rsidR="00100594" w:rsidRDefault="00100594" w:rsidP="00100594">
      <w:pPr>
        <w:spacing w:after="0"/>
        <w:ind w:left="709" w:firstLine="708"/>
        <w:jc w:val="both"/>
        <w:rPr>
          <w:rFonts w:cstheme="minorHAnsi"/>
          <w:i/>
        </w:rPr>
      </w:pPr>
      <w:r>
        <w:rPr>
          <w:rFonts w:cstheme="minorHAnsi"/>
          <w:i/>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03B02451" w14:textId="77777777" w:rsidR="00100594" w:rsidRDefault="00100594" w:rsidP="00100594">
      <w:pPr>
        <w:spacing w:after="0"/>
        <w:ind w:left="709" w:firstLine="708"/>
        <w:jc w:val="both"/>
        <w:rPr>
          <w:rFonts w:cstheme="minorHAnsi"/>
          <w:i/>
        </w:rPr>
      </w:pPr>
      <w:r>
        <w:rPr>
          <w:rFonts w:cstheme="minorHAnsi"/>
          <w:i/>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176DF325" w14:textId="77777777" w:rsidR="00100594" w:rsidRDefault="00100594" w:rsidP="00100594">
      <w:pPr>
        <w:spacing w:after="0"/>
        <w:ind w:left="709" w:firstLine="708"/>
        <w:jc w:val="both"/>
        <w:rPr>
          <w:rFonts w:cstheme="minorHAnsi"/>
          <w:i/>
        </w:rPr>
      </w:pPr>
      <w:r>
        <w:rPr>
          <w:rFonts w:cstheme="minorHAnsi"/>
          <w:i/>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14:paraId="7015A35D" w14:textId="77777777" w:rsidR="00100594" w:rsidRDefault="00100594" w:rsidP="00100594">
      <w:pPr>
        <w:spacing w:after="0"/>
        <w:ind w:left="709" w:firstLine="708"/>
        <w:jc w:val="both"/>
        <w:rPr>
          <w:rFonts w:cstheme="minorHAnsi"/>
          <w:i/>
        </w:rPr>
      </w:pPr>
      <w:r>
        <w:rPr>
          <w:rFonts w:cstheme="minorHAnsi"/>
          <w:i/>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14:paraId="09290739" w14:textId="77777777" w:rsidR="00100594" w:rsidRDefault="00100594" w:rsidP="00100594">
      <w:pPr>
        <w:spacing w:after="0"/>
        <w:ind w:left="709" w:firstLine="708"/>
        <w:jc w:val="both"/>
        <w:rPr>
          <w:rFonts w:cstheme="minorHAnsi"/>
          <w:i/>
        </w:rPr>
      </w:pPr>
      <w:r>
        <w:rPr>
          <w:rFonts w:cstheme="minorHAnsi"/>
          <w:i/>
        </w:rPr>
        <w:t xml:space="preserve">Conforme a lo transcrito, si bien es el asunto, el ordenamiento aplicable no establece en forma expresa las prestaciones que reclama la parte actora para los trabajadores jubilados de confianza, también lo es, que sí establece en forma expresa dichas prestaciones para los trabajadores jubilados de base, por lo que al ser pensionados por jubilación, se les deba cubrir respetando las prestaciones a que tiene derecho como trabajadores a fin de evitar un trato discriminatorio y atentar contra su dignidad humana, caso contrario, se les daría un trato distinto, que anula la igualdad de oportunidades y trato, derivado de su trabajo. </w:t>
      </w:r>
    </w:p>
    <w:p w14:paraId="0606C07F" w14:textId="77777777" w:rsidR="00100594" w:rsidRDefault="00100594" w:rsidP="00100594">
      <w:pPr>
        <w:spacing w:after="0"/>
        <w:ind w:left="709" w:firstLine="708"/>
        <w:jc w:val="both"/>
        <w:rPr>
          <w:rFonts w:cstheme="minorHAnsi"/>
          <w:i/>
        </w:rPr>
      </w:pPr>
      <w:r>
        <w:rPr>
          <w:rFonts w:cstheme="minorHAnsi"/>
          <w:i/>
        </w:rPr>
        <w:t xml:space="preserve">Como así se encuentra establecida en el </w:t>
      </w:r>
      <w:r>
        <w:rPr>
          <w:rFonts w:cstheme="minorHAnsi"/>
          <w:b/>
          <w:i/>
        </w:rPr>
        <w:t xml:space="preserve">CONVENIO RELATIVO A LA DISCRIMINACIÓN EN MATERIA DE EMPLEO Y OCUPACIÓN </w:t>
      </w:r>
      <w:r>
        <w:rPr>
          <w:rFonts w:cstheme="minorHAnsi"/>
          <w:i/>
        </w:rPr>
        <w:t>que dice:</w:t>
      </w:r>
    </w:p>
    <w:p w14:paraId="4C1370BF" w14:textId="77777777" w:rsidR="00100594" w:rsidRDefault="00100594" w:rsidP="00100594">
      <w:pPr>
        <w:spacing w:after="0"/>
        <w:ind w:left="709" w:firstLine="708"/>
        <w:jc w:val="both"/>
        <w:rPr>
          <w:rFonts w:cstheme="minorHAnsi"/>
          <w:b/>
          <w:i/>
        </w:rPr>
      </w:pPr>
      <w:r>
        <w:rPr>
          <w:rFonts w:cstheme="minorHAnsi"/>
          <w:b/>
          <w:i/>
        </w:rPr>
        <w:t>Artículo 1</w:t>
      </w:r>
    </w:p>
    <w:p w14:paraId="20D93A76" w14:textId="77777777" w:rsidR="00100594" w:rsidRDefault="00100594" w:rsidP="00100594">
      <w:pPr>
        <w:spacing w:after="0"/>
        <w:ind w:left="709" w:firstLine="708"/>
        <w:jc w:val="both"/>
        <w:rPr>
          <w:rFonts w:cstheme="minorHAnsi"/>
          <w:i/>
        </w:rPr>
      </w:pPr>
      <w:r>
        <w:rPr>
          <w:rFonts w:cstheme="minorHAnsi"/>
          <w:i/>
        </w:rPr>
        <w:t>1 A los efectos de este Convenio el término discriminación comprende:</w:t>
      </w:r>
    </w:p>
    <w:p w14:paraId="48A489FF" w14:textId="77777777" w:rsidR="00100594" w:rsidRDefault="00100594" w:rsidP="00100594">
      <w:pPr>
        <w:spacing w:after="0"/>
        <w:ind w:left="709" w:firstLine="708"/>
        <w:jc w:val="both"/>
        <w:rPr>
          <w:rFonts w:cstheme="minorHAnsi"/>
          <w:i/>
        </w:rPr>
      </w:pPr>
      <w:r>
        <w:rPr>
          <w:rFonts w:cstheme="minorHAnsi"/>
          <w:i/>
        </w:rPr>
        <w:lastRenderedPageBreak/>
        <w:t>(a).-cualquier distinción, exclusión o preferencia basada en motivos de raza, color, sexo, religión, opinión pública, ascendencia nacional u origen social, que tenga por efecto anular o alterar la igualdad de oportunidades o de trato en el empleo y la ocupación. . .”</w:t>
      </w:r>
    </w:p>
    <w:p w14:paraId="6B4EE043" w14:textId="77777777" w:rsidR="00100594" w:rsidRDefault="00100594" w:rsidP="00100594">
      <w:pPr>
        <w:spacing w:after="0"/>
        <w:ind w:left="709" w:firstLine="708"/>
        <w:jc w:val="both"/>
        <w:rPr>
          <w:rFonts w:cstheme="minorHAnsi"/>
          <w:i/>
        </w:rPr>
      </w:pPr>
      <w:r>
        <w:rPr>
          <w:rFonts w:cstheme="minorHAnsi"/>
          <w:i/>
        </w:rPr>
        <w:t xml:space="preserve">(b). cualquier otra distinción, exclusión (sic) o preferencia que tenga para efecto anular o alterar la igualdad de oportunidades o de trato en el empleo </w:t>
      </w:r>
      <w:proofErr w:type="spellStart"/>
      <w:r>
        <w:rPr>
          <w:rFonts w:cstheme="minorHAnsi"/>
          <w:i/>
        </w:rPr>
        <w:t>o</w:t>
      </w:r>
      <w:proofErr w:type="spellEnd"/>
      <w:r>
        <w:rPr>
          <w:rFonts w:cstheme="minorHAnsi"/>
          <w:i/>
        </w:rPr>
        <w:t xml:space="preserve"> ocupación…”</w:t>
      </w:r>
    </w:p>
    <w:p w14:paraId="4BFE685E" w14:textId="77777777" w:rsidR="00100594" w:rsidRDefault="00100594" w:rsidP="00100594">
      <w:pPr>
        <w:spacing w:after="0"/>
        <w:ind w:left="709" w:firstLine="708"/>
        <w:jc w:val="both"/>
        <w:rPr>
          <w:rFonts w:cstheme="minorHAnsi"/>
          <w:i/>
        </w:rPr>
      </w:pPr>
      <w:r>
        <w:rPr>
          <w:rFonts w:cstheme="minorHAnsi"/>
          <w:i/>
        </w:rPr>
        <w:t>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w:t>
      </w:r>
    </w:p>
    <w:p w14:paraId="79F6CC11" w14:textId="77777777" w:rsidR="00100594" w:rsidRDefault="00100594" w:rsidP="00100594">
      <w:pPr>
        <w:spacing w:after="0"/>
        <w:ind w:left="709" w:firstLine="708"/>
        <w:jc w:val="both"/>
        <w:rPr>
          <w:rFonts w:cstheme="minorHAnsi"/>
          <w:i/>
        </w:rPr>
      </w:pPr>
      <w:r>
        <w:rPr>
          <w:rFonts w:cstheme="minorHAnsi"/>
          <w:i/>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14:paraId="0BFF93ED" w14:textId="77777777" w:rsidR="00100594" w:rsidRDefault="00100594" w:rsidP="00100594">
      <w:pPr>
        <w:spacing w:after="0"/>
        <w:ind w:left="709" w:firstLine="708"/>
        <w:jc w:val="both"/>
        <w:rPr>
          <w:rFonts w:cstheme="minorHAnsi"/>
          <w:i/>
        </w:rPr>
      </w:pPr>
      <w:r>
        <w:rPr>
          <w:rFonts w:cstheme="minorHAnsi"/>
          <w:b/>
          <w:i/>
        </w:rPr>
        <w:t>PASOS A SEGUIR EN EL CONTROL DE CONSTITUCIONALIDAD Y CONVENCIONALIDAD EX OFFICIO EN MATERIA DE DERECHOS HUMANOS.</w:t>
      </w:r>
      <w:r>
        <w:rPr>
          <w:rFonts w:cstheme="minorHAnsi"/>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Pr>
          <w:rFonts w:cstheme="minorHAnsi"/>
          <w:i/>
        </w:rPr>
        <w:t>officio</w:t>
      </w:r>
      <w:proofErr w:type="spellEnd"/>
      <w:r>
        <w:rPr>
          <w:rFonts w:cstheme="minorHAnsi"/>
          <w:i/>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66DAA65D" w14:textId="77777777" w:rsidR="00100594" w:rsidRDefault="00100594" w:rsidP="00100594">
      <w:pPr>
        <w:spacing w:after="0"/>
        <w:ind w:left="709" w:firstLine="708"/>
        <w:jc w:val="both"/>
        <w:rPr>
          <w:rFonts w:cstheme="minorHAnsi"/>
          <w:i/>
        </w:rPr>
      </w:pPr>
      <w:r>
        <w:rPr>
          <w:rFonts w:cstheme="minorHAnsi"/>
          <w:i/>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14:paraId="6D2D319F" w14:textId="77777777" w:rsidR="00100594" w:rsidRDefault="00100594" w:rsidP="00100594">
      <w:pPr>
        <w:spacing w:after="0"/>
        <w:ind w:left="709" w:firstLine="708"/>
        <w:jc w:val="both"/>
        <w:rPr>
          <w:rFonts w:cstheme="minorHAnsi"/>
          <w:i/>
        </w:rPr>
      </w:pPr>
      <w:r>
        <w:rPr>
          <w:rFonts w:cstheme="minorHAnsi"/>
          <w:b/>
          <w:i/>
        </w:rPr>
        <w:lastRenderedPageBreak/>
        <w:t>CONTROL DIFUSO DE CONSTITUCIONALIDAD EX OFFICIO. PASOS Y ASPECTOS SUSTANTIVOS E INSTRUMENTALES QUE DEBEN OBSERVARSE PARA REALIZARLO.</w:t>
      </w:r>
      <w:r>
        <w:rPr>
          <w:rFonts w:cstheme="minorHAnsi"/>
          <w:i/>
        </w:rPr>
        <w:t xml:space="preserve"> Para realizar el control difuso de constitucionalidad -connotación que incluye el control de convencionalidad- en la modalidad ex </w:t>
      </w:r>
      <w:proofErr w:type="spellStart"/>
      <w:r>
        <w:rPr>
          <w:rFonts w:cstheme="minorHAnsi"/>
          <w:i/>
        </w:rPr>
        <w:t>officio</w:t>
      </w:r>
      <w:proofErr w:type="spellEnd"/>
      <w:r>
        <w:rPr>
          <w:rFonts w:cstheme="minorHAnsi"/>
          <w:i/>
        </w:rPr>
        <w:t xml:space="preserve">, no sólo debe considerarse que se colmen sus requisitos de procedencia y admisibilidad, es decir, sus presupuestos de forma, adjetivos y sustantivos, ya que atento a su naturaleza, regida por el principio </w:t>
      </w:r>
      <w:proofErr w:type="spellStart"/>
      <w:r>
        <w:rPr>
          <w:rFonts w:cstheme="minorHAnsi"/>
          <w:i/>
        </w:rPr>
        <w:t>iura</w:t>
      </w:r>
      <w:proofErr w:type="spellEnd"/>
      <w:r>
        <w:rPr>
          <w:rFonts w:cstheme="minorHAnsi"/>
          <w:i/>
        </w:rPr>
        <w:t xml:space="preserve"> </w:t>
      </w:r>
      <w:proofErr w:type="spellStart"/>
      <w:r>
        <w:rPr>
          <w:rFonts w:cstheme="minorHAnsi"/>
          <w:i/>
        </w:rPr>
        <w:t>novit</w:t>
      </w:r>
      <w:proofErr w:type="spellEnd"/>
      <w:r>
        <w:rPr>
          <w:rFonts w:cstheme="minorHAnsi"/>
          <w:i/>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Pr>
          <w:rFonts w:cstheme="minorHAnsi"/>
          <w:i/>
        </w:rPr>
        <w:t>subderecho</w:t>
      </w:r>
      <w:proofErr w:type="spellEnd"/>
      <w:r>
        <w:rPr>
          <w:rFonts w:cstheme="minorHAnsi"/>
          <w:i/>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Pr>
          <w:rFonts w:cstheme="minorHAnsi"/>
          <w:i/>
        </w:rPr>
        <w:t>subderecho</w:t>
      </w:r>
      <w:proofErr w:type="spellEnd"/>
      <w:r>
        <w:rPr>
          <w:rFonts w:cstheme="minorHAnsi"/>
          <w:i/>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homine; y, VII. Desaplicarla cuando resulte contradictoria con el derecho humano. Lo anterior sin dejar de observar que en el control difuso de constitucionalidad ex </w:t>
      </w:r>
      <w:proofErr w:type="spellStart"/>
      <w:r>
        <w:rPr>
          <w:rFonts w:cstheme="minorHAnsi"/>
          <w:i/>
        </w:rPr>
        <w:t>officio</w:t>
      </w:r>
      <w:proofErr w:type="spellEnd"/>
      <w:r>
        <w:rPr>
          <w:rFonts w:cstheme="minorHAnsi"/>
          <w:i/>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Pr>
          <w:rFonts w:cstheme="minorHAnsi"/>
          <w:i/>
        </w:rPr>
        <w:t>officio</w:t>
      </w:r>
      <w:proofErr w:type="spellEnd"/>
      <w:r>
        <w:rPr>
          <w:rFonts w:cstheme="minorHAnsi"/>
          <w:i/>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14:paraId="79D599EB" w14:textId="4E82C799" w:rsidR="00100594" w:rsidRDefault="00100594" w:rsidP="00100594">
      <w:pPr>
        <w:spacing w:after="0"/>
        <w:ind w:left="709" w:firstLine="708"/>
        <w:jc w:val="both"/>
        <w:rPr>
          <w:rFonts w:cstheme="minorHAnsi"/>
          <w:i/>
        </w:rPr>
      </w:pPr>
      <w:r>
        <w:rPr>
          <w:rFonts w:cstheme="minorHAnsi"/>
          <w:i/>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5152CA">
        <w:rPr>
          <w:rFonts w:ascii="Arial" w:hAnsi="Arial" w:cs="Arial"/>
          <w:b/>
          <w:bCs/>
          <w:sz w:val="26"/>
          <w:szCs w:val="26"/>
        </w:rPr>
        <w:t>**********</w:t>
      </w:r>
      <w:r>
        <w:rPr>
          <w:rFonts w:cstheme="minorHAnsi"/>
          <w:i/>
        </w:rPr>
        <w:t xml:space="preserve"> de veintiocho de septiembre de dos mil dieciocho, emitido por el Director General de la Oficina de Pensiones del Gobierno del Estado, al ejecutar el acuerdo del Consejo Directivo de la Oficina de Pensiones, sin incluir al sueldo mensual el pago de diversas prestaciones al actor por haber sido trabajador de confianza, </w:t>
      </w:r>
      <w:r>
        <w:rPr>
          <w:rFonts w:cstheme="minorHAnsi"/>
          <w:b/>
          <w:i/>
        </w:rPr>
        <w:t xml:space="preserve">es violatorio de los derechos humanos contenidos en la Constitución Federal y en los Tratados Internacionales, </w:t>
      </w:r>
      <w:r>
        <w:rPr>
          <w:rFonts w:cstheme="minorHAnsi"/>
          <w:i/>
        </w:rPr>
        <w:t xml:space="preserve">por ello, con la obligación de proteger y garantizar a los derechos humanos, procede aplicar el artículo 54, de la Ley de Pensiones para los Trabajadores del Gobierno del Estado, publicada en el Periódico Oficial del Estado de Oaxaca, el 28 veintiocho de enero de 2012 dos mil doce, de manera extensiva a los trabajadores de confianza, esto es,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w:t>
      </w:r>
      <w:r>
        <w:rPr>
          <w:rFonts w:cstheme="minorHAnsi"/>
          <w:i/>
        </w:rPr>
        <w:lastRenderedPageBreak/>
        <w:t>social, religión u otra análoga que atente contra la dignidad humana y tenga por objeto anular o menoscabar los derechos y libertades de las personas.</w:t>
      </w:r>
    </w:p>
    <w:p w14:paraId="127EC1A3" w14:textId="650D2E6D" w:rsidR="00100594" w:rsidRDefault="00100594" w:rsidP="00100594">
      <w:pPr>
        <w:spacing w:after="0"/>
        <w:ind w:left="709" w:firstLine="708"/>
        <w:jc w:val="both"/>
        <w:rPr>
          <w:rFonts w:cstheme="minorHAnsi"/>
          <w:bCs/>
          <w:i/>
          <w:color w:val="000000"/>
        </w:rPr>
      </w:pPr>
      <w:r>
        <w:rPr>
          <w:rFonts w:cstheme="minorHAnsi"/>
          <w:bCs/>
          <w:i/>
          <w:color w:val="000000"/>
        </w:rPr>
        <w:t xml:space="preserve">Por las elaboradas anotaciones, procede declarar </w:t>
      </w:r>
      <w:r>
        <w:rPr>
          <w:rFonts w:cstheme="minorHAnsi"/>
          <w:b/>
          <w:bCs/>
          <w:i/>
          <w:color w:val="000000"/>
        </w:rPr>
        <w:t xml:space="preserve">LA NULIDAD </w:t>
      </w:r>
      <w:r>
        <w:rPr>
          <w:rFonts w:cstheme="minorHAnsi"/>
          <w:bCs/>
          <w:i/>
          <w:color w:val="000000"/>
        </w:rPr>
        <w:t xml:space="preserve">de la resolución contenida en el oficio </w:t>
      </w:r>
      <w:r w:rsidR="005152CA">
        <w:rPr>
          <w:rFonts w:ascii="Arial" w:hAnsi="Arial" w:cs="Arial"/>
          <w:b/>
          <w:bCs/>
          <w:sz w:val="26"/>
          <w:szCs w:val="26"/>
        </w:rPr>
        <w:t>**********</w:t>
      </w:r>
      <w:r w:rsidR="005152CA">
        <w:rPr>
          <w:rFonts w:ascii="Arial" w:hAnsi="Arial" w:cs="Arial"/>
          <w:b/>
          <w:bCs/>
          <w:sz w:val="26"/>
          <w:szCs w:val="26"/>
        </w:rPr>
        <w:t xml:space="preserve"> </w:t>
      </w:r>
      <w:r>
        <w:rPr>
          <w:rFonts w:cstheme="minorHAnsi"/>
          <w:bCs/>
          <w:i/>
          <w:color w:val="000000"/>
        </w:rPr>
        <w:t xml:space="preserve">de veintiocho de septiembre de dos mil dieciocho, </w:t>
      </w:r>
      <w:r>
        <w:rPr>
          <w:rFonts w:cstheme="minorHAnsi"/>
          <w:b/>
          <w:bCs/>
          <w:i/>
          <w:color w:val="000000"/>
        </w:rPr>
        <w:t xml:space="preserve">PARA EFECTO </w:t>
      </w:r>
      <w:r>
        <w:rPr>
          <w:rFonts w:cstheme="minorHAnsi"/>
          <w:bCs/>
          <w:i/>
          <w:color w:val="000000"/>
        </w:rPr>
        <w:t xml:space="preserve">de que el </w:t>
      </w:r>
      <w:r w:rsidR="005152CA">
        <w:rPr>
          <w:rFonts w:ascii="Arial" w:hAnsi="Arial" w:cs="Arial"/>
          <w:b/>
          <w:bCs/>
          <w:sz w:val="26"/>
          <w:szCs w:val="26"/>
        </w:rPr>
        <w:t>**********</w:t>
      </w:r>
      <w:r>
        <w:rPr>
          <w:rFonts w:cstheme="minorHAnsi"/>
          <w:bCs/>
          <w:i/>
          <w:color w:val="000000"/>
        </w:rPr>
        <w:t xml:space="preserve">, dicte otra, en la que otorgue a la accionante la pensión por jubilación con las mismas prestaciones que percibe un trabajador de base, en términos del artículo 54 de la Ley de Pensiones para los Trabajadores del Gobierno del Estado, al incumplir con el requisito de validez del acto administrativo obliga la fracción V del artículo 17 de la Ley de Procedimiento y Justicia Administrativa para el Estado de Oaxaca.”   </w:t>
      </w:r>
    </w:p>
    <w:p w14:paraId="23D74808" w14:textId="77777777" w:rsidR="00100594" w:rsidRDefault="00100594" w:rsidP="00100594">
      <w:pPr>
        <w:spacing w:before="240" w:after="0" w:line="360" w:lineRule="auto"/>
        <w:ind w:firstLine="708"/>
        <w:jc w:val="both"/>
        <w:rPr>
          <w:rFonts w:ascii="Arial" w:eastAsia="Arial Unicode MS" w:hAnsi="Arial" w:cs="Arial"/>
          <w:bCs/>
          <w:sz w:val="26"/>
          <w:szCs w:val="26"/>
          <w:lang w:eastAsia="es-ES"/>
        </w:rPr>
      </w:pPr>
      <w:r>
        <w:rPr>
          <w:rFonts w:ascii="Arial" w:eastAsia="Arial Unicode MS" w:hAnsi="Arial" w:cs="Arial"/>
          <w:bCs/>
          <w:sz w:val="26"/>
          <w:szCs w:val="26"/>
          <w:lang w:eastAsia="es-ES"/>
        </w:rPr>
        <w:t>Así mismo, del escrito inicial de demanda, precisamente en el concepto de impugnación SEGUNDO,  en la parte que interesa de su último párrafo, se advierte lo siguiente:</w:t>
      </w:r>
    </w:p>
    <w:p w14:paraId="14F32F21" w14:textId="42812D25" w:rsidR="00100594" w:rsidRDefault="00100594" w:rsidP="00100594">
      <w:pPr>
        <w:spacing w:before="240" w:after="0"/>
        <w:ind w:left="709" w:right="758" w:firstLine="708"/>
        <w:jc w:val="both"/>
        <w:rPr>
          <w:rFonts w:eastAsia="Arial Unicode MS" w:cstheme="minorHAnsi"/>
          <w:bCs/>
          <w:lang w:eastAsia="es-ES"/>
        </w:rPr>
      </w:pPr>
      <w:r>
        <w:rPr>
          <w:rFonts w:eastAsia="Arial Unicode MS" w:cstheme="minorHAnsi"/>
          <w:bCs/>
          <w:lang w:eastAsia="es-ES"/>
        </w:rPr>
        <w:t xml:space="preserve">“Como consecuencia de lo anterior expuesto, se reclama el pago de una pensión que deberá otorgárseme con todas las prestaciones que perciben los jubilados que fueron trabajadores de base, desde el momento del primer pago de dicha pensión y en lo subsecuente, sin el descuento del 9% por concepto de cuota al Fondo de Pensiones, que las autoridades demandadas establecen en el acuerdo CUARTO del dictamen de pensión por jubilación, contenido en el oficio </w:t>
      </w:r>
      <w:r w:rsidR="005152CA">
        <w:rPr>
          <w:rFonts w:ascii="Arial" w:hAnsi="Arial" w:cs="Arial"/>
          <w:b/>
          <w:bCs/>
          <w:sz w:val="26"/>
          <w:szCs w:val="26"/>
        </w:rPr>
        <w:t>**********</w:t>
      </w:r>
      <w:r>
        <w:rPr>
          <w:rFonts w:eastAsia="Arial Unicode MS" w:cstheme="minorHAnsi"/>
          <w:bCs/>
          <w:lang w:eastAsia="es-ES"/>
        </w:rPr>
        <w:t>, de fecha 28 de septiembre de 2018.”</w:t>
      </w:r>
    </w:p>
    <w:p w14:paraId="5063BEC2" w14:textId="77777777" w:rsidR="00100594" w:rsidRDefault="00100594" w:rsidP="00100594">
      <w:pPr>
        <w:spacing w:before="240" w:after="0" w:line="360" w:lineRule="auto"/>
        <w:ind w:firstLine="708"/>
        <w:jc w:val="both"/>
        <w:rPr>
          <w:rFonts w:ascii="Arial" w:eastAsia="Calibri" w:hAnsi="Arial" w:cs="Arial"/>
          <w:bCs/>
          <w:color w:val="000000"/>
          <w:sz w:val="26"/>
          <w:szCs w:val="26"/>
          <w:lang w:eastAsia="en-US"/>
        </w:rPr>
      </w:pPr>
      <w:r>
        <w:rPr>
          <w:rFonts w:ascii="Arial" w:eastAsia="Arial Unicode MS" w:hAnsi="Arial" w:cs="Arial"/>
          <w:bCs/>
          <w:sz w:val="26"/>
          <w:szCs w:val="26"/>
          <w:lang w:eastAsia="es-ES"/>
        </w:rPr>
        <w:t xml:space="preserve">De lo anteriormente transcrito, se advierte que </w:t>
      </w:r>
      <w:r>
        <w:rPr>
          <w:rFonts w:ascii="Arial" w:eastAsia="Arial Unicode MS" w:hAnsi="Arial" w:cs="Arial"/>
          <w:b/>
          <w:bCs/>
          <w:sz w:val="26"/>
          <w:szCs w:val="26"/>
          <w:lang w:eastAsia="es-ES"/>
        </w:rPr>
        <w:t xml:space="preserve">las manifestaciones de la recurrente son fundadas, </w:t>
      </w:r>
      <w:r>
        <w:rPr>
          <w:rFonts w:ascii="Arial" w:eastAsia="Arial Unicode MS" w:hAnsi="Arial" w:cs="Arial"/>
          <w:bCs/>
          <w:sz w:val="26"/>
          <w:szCs w:val="26"/>
          <w:lang w:eastAsia="es-ES"/>
        </w:rPr>
        <w:t xml:space="preserve">toda vez que </w:t>
      </w:r>
      <w:r>
        <w:rPr>
          <w:rFonts w:ascii="Arial" w:eastAsia="Arial Unicode MS" w:hAnsi="Arial" w:cs="Arial"/>
          <w:bCs/>
          <w:sz w:val="26"/>
          <w:szCs w:val="26"/>
        </w:rPr>
        <w:t xml:space="preserve">la primera instancia incumplió lo dispuesto por los artículos 236 y 237 fracción I, de la Ley de Procedimiento y Justicia Administrativa para el Estado de Oaxaca, los cuales </w:t>
      </w:r>
      <w:r>
        <w:rPr>
          <w:rFonts w:ascii="Arial" w:eastAsia="Calibri" w:hAnsi="Arial" w:cs="Arial"/>
          <w:bCs/>
          <w:color w:val="000000"/>
          <w:sz w:val="26"/>
          <w:szCs w:val="26"/>
        </w:rPr>
        <w:t>exigen a los juzgadores que al emitir sus determinaciones lo hagan de acuerdo a los puntos litigiosos, ello atendiendo a los principios de seguridad jurídica y congruencia que deben imperar en las sentencias, debiendo entenderse el principio de congruencia desde dos vertientes:</w:t>
      </w:r>
    </w:p>
    <w:p w14:paraId="1D99F40B" w14:textId="77777777" w:rsidR="00100594" w:rsidRDefault="00100594" w:rsidP="00100594">
      <w:pPr>
        <w:spacing w:before="240" w:after="0" w:line="360" w:lineRule="auto"/>
        <w:ind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La congruencia </w:t>
      </w:r>
      <w:r>
        <w:rPr>
          <w:rFonts w:ascii="Arial" w:eastAsia="Calibri" w:hAnsi="Arial" w:cs="Arial"/>
          <w:bCs/>
          <w:i/>
          <w:color w:val="000000"/>
          <w:sz w:val="26"/>
          <w:szCs w:val="26"/>
        </w:rPr>
        <w:t xml:space="preserve">interna: </w:t>
      </w:r>
      <w:r>
        <w:rPr>
          <w:rFonts w:ascii="Arial" w:eastAsia="Calibri" w:hAnsi="Arial" w:cs="Arial"/>
          <w:bCs/>
          <w:color w:val="000000"/>
          <w:sz w:val="26"/>
          <w:szCs w:val="26"/>
        </w:rPr>
        <w:t>la cual exige que dentro de la propia decisión no existan determinaciones contrarias entre sí,  y</w:t>
      </w:r>
    </w:p>
    <w:p w14:paraId="3633FC20" w14:textId="77777777" w:rsidR="00100594" w:rsidRDefault="00100594" w:rsidP="00100594">
      <w:pPr>
        <w:spacing w:before="240" w:after="0" w:line="360" w:lineRule="auto"/>
        <w:ind w:firstLine="708"/>
        <w:jc w:val="both"/>
        <w:rPr>
          <w:rFonts w:ascii="Arial" w:eastAsia="Calibri" w:hAnsi="Arial" w:cs="Arial"/>
          <w:bCs/>
          <w:color w:val="000000"/>
          <w:sz w:val="26"/>
          <w:szCs w:val="26"/>
        </w:rPr>
      </w:pPr>
      <w:r>
        <w:rPr>
          <w:rFonts w:ascii="Arial" w:eastAsia="Calibri" w:hAnsi="Arial" w:cs="Arial"/>
          <w:bCs/>
          <w:color w:val="000000"/>
          <w:sz w:val="26"/>
          <w:szCs w:val="26"/>
        </w:rPr>
        <w:t xml:space="preserve">La congruencia </w:t>
      </w:r>
      <w:r>
        <w:rPr>
          <w:rFonts w:ascii="Arial" w:eastAsia="Calibri" w:hAnsi="Arial" w:cs="Arial"/>
          <w:bCs/>
          <w:i/>
          <w:color w:val="000000"/>
          <w:sz w:val="26"/>
          <w:szCs w:val="26"/>
        </w:rPr>
        <w:t>externa:</w:t>
      </w:r>
      <w:r>
        <w:rPr>
          <w:rFonts w:ascii="Arial" w:eastAsia="Calibri" w:hAnsi="Arial" w:cs="Arial"/>
          <w:bCs/>
          <w:color w:val="000000"/>
          <w:sz w:val="26"/>
          <w:szCs w:val="26"/>
        </w:rPr>
        <w:t xml:space="preserve"> que implica que las sentencias sean proporcionales a la pretensión deducida, por lo que las juzgadoras deben resolver las controversias que conozcan atendiendo a todos los planteamientos de las partes, </w:t>
      </w:r>
      <w:r>
        <w:rPr>
          <w:rFonts w:ascii="Arial" w:eastAsia="Calibri" w:hAnsi="Arial" w:cs="Arial"/>
          <w:b/>
          <w:bCs/>
          <w:color w:val="000000"/>
          <w:sz w:val="26"/>
          <w:szCs w:val="26"/>
        </w:rPr>
        <w:t>sin omitir alguno</w:t>
      </w:r>
      <w:r>
        <w:rPr>
          <w:rFonts w:ascii="Arial" w:eastAsia="Calibri" w:hAnsi="Arial" w:cs="Arial"/>
          <w:bCs/>
          <w:color w:val="000000"/>
          <w:sz w:val="26"/>
          <w:szCs w:val="26"/>
        </w:rPr>
        <w:t xml:space="preserve"> ni añadir</w:t>
      </w:r>
      <w:r>
        <w:rPr>
          <w:rFonts w:ascii="Arial" w:eastAsia="Calibri" w:hAnsi="Arial" w:cs="Arial"/>
          <w:b/>
          <w:bCs/>
          <w:color w:val="000000"/>
          <w:sz w:val="26"/>
          <w:szCs w:val="26"/>
        </w:rPr>
        <w:t xml:space="preserve"> </w:t>
      </w:r>
      <w:r>
        <w:rPr>
          <w:rFonts w:ascii="Arial" w:eastAsia="Calibri" w:hAnsi="Arial" w:cs="Arial"/>
          <w:bCs/>
          <w:color w:val="000000"/>
          <w:sz w:val="26"/>
          <w:szCs w:val="26"/>
        </w:rPr>
        <w:t>cuestiones ajenas.</w:t>
      </w:r>
    </w:p>
    <w:p w14:paraId="035C1EF6" w14:textId="370FBA75" w:rsidR="00100594" w:rsidRDefault="00100594" w:rsidP="00100594">
      <w:pPr>
        <w:spacing w:before="240" w:after="0" w:line="360" w:lineRule="auto"/>
        <w:ind w:firstLine="708"/>
        <w:jc w:val="both"/>
        <w:rPr>
          <w:rFonts w:ascii="Arial" w:eastAsia="Calibri" w:hAnsi="Arial" w:cs="Arial"/>
          <w:sz w:val="26"/>
          <w:szCs w:val="26"/>
        </w:rPr>
      </w:pPr>
      <w:r>
        <w:rPr>
          <w:rFonts w:ascii="Arial" w:eastAsia="Calibri" w:hAnsi="Arial" w:cs="Arial"/>
          <w:bCs/>
          <w:color w:val="000000"/>
          <w:sz w:val="26"/>
          <w:szCs w:val="26"/>
        </w:rPr>
        <w:t xml:space="preserve">Estas consideraciones encuentran sustento en las jurisprudencias </w:t>
      </w:r>
      <w:r>
        <w:rPr>
          <w:rFonts w:ascii="Arial" w:eastAsia="Calibri" w:hAnsi="Arial" w:cs="Arial"/>
          <w:sz w:val="26"/>
          <w:szCs w:val="26"/>
        </w:rPr>
        <w:t xml:space="preserve">IV.2o.T. J/44  del Segundo Tribunal Colegiado en Materia del Trabajo del Cuarto Circuito, dictada en la Novena época, la cual fue publicada en el Semanario Judicial de la Federación y su Gaceta en el Tomo XI de </w:t>
      </w:r>
      <w:r>
        <w:rPr>
          <w:rFonts w:ascii="Arial" w:eastAsia="Calibri" w:hAnsi="Arial" w:cs="Arial"/>
          <w:sz w:val="26"/>
          <w:szCs w:val="26"/>
        </w:rPr>
        <w:lastRenderedPageBreak/>
        <w:t>Marzo de 2005, y que es consultable a página 959, bajo el rubro y texto siguientes:</w:t>
      </w:r>
    </w:p>
    <w:p w14:paraId="1DC2400D" w14:textId="77777777" w:rsidR="00100594" w:rsidRDefault="00100594" w:rsidP="00100594">
      <w:pPr>
        <w:spacing w:before="240" w:after="0"/>
        <w:ind w:left="851" w:right="900"/>
        <w:jc w:val="both"/>
        <w:rPr>
          <w:rFonts w:eastAsia="Calibri" w:cstheme="minorHAnsi"/>
          <w:i/>
        </w:rPr>
      </w:pPr>
      <w:r>
        <w:rPr>
          <w:rFonts w:eastAsia="Calibri" w:cstheme="minorHAnsi"/>
          <w:b/>
          <w:i/>
        </w:rPr>
        <w:t>“CONGRUENCIA Y EXHAUSTIVIDAD, PRINCIPIOS DE. SUS DIFERENCIAS Y CASO EN QUE EL LAUDO INCUMPLE EL SEGUNDO DE ELLOS.</w:t>
      </w:r>
      <w:r>
        <w:rPr>
          <w:rFonts w:eastAsia="Calibri" w:cstheme="minorHAnsi"/>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14:paraId="5E951350" w14:textId="30E2729F" w:rsidR="00100594" w:rsidRDefault="00100594" w:rsidP="00100594">
      <w:pPr>
        <w:widowControl w:val="0"/>
        <w:spacing w:before="240" w:line="360" w:lineRule="auto"/>
        <w:ind w:right="49"/>
        <w:jc w:val="both"/>
        <w:rPr>
          <w:rFonts w:ascii="Arial" w:eastAsia="Calibri" w:hAnsi="Arial" w:cs="Arial"/>
          <w:sz w:val="26"/>
          <w:szCs w:val="26"/>
        </w:rPr>
      </w:pPr>
      <w:r>
        <w:rPr>
          <w:rFonts w:ascii="Arial" w:eastAsia="Calibri" w:hAnsi="Arial" w:cs="Arial"/>
          <w:bCs/>
          <w:color w:val="000000"/>
          <w:sz w:val="26"/>
          <w:szCs w:val="26"/>
        </w:rPr>
        <w:t xml:space="preserve">Así como la jurisprudencia </w:t>
      </w:r>
      <w:r>
        <w:rPr>
          <w:rFonts w:ascii="Arial" w:eastAsia="Calibri" w:hAnsi="Arial" w:cs="Arial"/>
          <w:sz w:val="26"/>
          <w:szCs w:val="26"/>
        </w:rPr>
        <w:t>I.4o.A. J/31 de la novena época dictada por el Cuarto Tribunal Colegiado en Materia Administrativa del Primer Circuito, publicada en el Semanario Judicial de la Federación  y su Gaceta en el Tomo XXI, de marzo de 2005, visible a página 1047 con el título y texto siguientes:</w:t>
      </w:r>
    </w:p>
    <w:p w14:paraId="1812C8D8" w14:textId="2EC57AF9" w:rsidR="00100594" w:rsidRDefault="00100594" w:rsidP="00100594">
      <w:pPr>
        <w:widowControl w:val="0"/>
        <w:ind w:left="851" w:right="900"/>
        <w:jc w:val="both"/>
        <w:rPr>
          <w:rFonts w:eastAsia="Calibri" w:cstheme="minorHAnsi"/>
          <w:i/>
        </w:rPr>
      </w:pPr>
      <w:r>
        <w:rPr>
          <w:rFonts w:eastAsia="Calibri" w:cstheme="minorHAnsi"/>
          <w:i/>
        </w:rPr>
        <w:t>”</w:t>
      </w:r>
      <w:r>
        <w:rPr>
          <w:rFonts w:eastAsia="Calibri" w:cstheme="minorHAnsi"/>
          <w:b/>
          <w:i/>
        </w:rPr>
        <w:t>SENTENCIAS DEL TRIBUNAL FEDERAL DE JUSTICIA FISCAL Y ADMINISTRATIVA. PRINCIPIO DE CONGRUENCIA EXTERNA.</w:t>
      </w:r>
      <w:r>
        <w:rPr>
          <w:rFonts w:eastAsia="Calibri" w:cstheme="minorHAnsi"/>
          <w:i/>
        </w:rPr>
        <w:t xml:space="preserve"> De acuerdo con lo dispuesto en los artículos 237 del Código Fiscal de la Federación y 222 del Código Federal de Procedimientos Civiles -de aplicación supletoria </w:t>
      </w:r>
      <w:r>
        <w:rPr>
          <w:rFonts w:eastAsia="Calibri" w:cstheme="minorHAnsi"/>
          <w:i/>
        </w:rPr>
        <w:lastRenderedPageBreak/>
        <w:t xml:space="preserve">a la materia fiscal- la congruencia externa de las sentencias implica que la decisión sea correspondiente y proporcional a la pretensión deducida o </w:t>
      </w:r>
      <w:proofErr w:type="spellStart"/>
      <w:r>
        <w:rPr>
          <w:rFonts w:eastAsia="Calibri" w:cstheme="minorHAnsi"/>
          <w:i/>
        </w:rPr>
        <w:t>petitio</w:t>
      </w:r>
      <w:proofErr w:type="spellEnd"/>
      <w:r>
        <w:rPr>
          <w:rFonts w:eastAsia="Calibri" w:cstheme="minorHAnsi"/>
          <w:i/>
        </w:rPr>
        <w:t xml:space="preserve">; atento a lo cual, el Tribunal Federal de Justicia Fiscal y Administrativa no puede omitir analizar aspectos planteados por las partes ni rebasar el límite que la propia acción ejercitada le determina.” - </w:t>
      </w:r>
    </w:p>
    <w:p w14:paraId="23AFD419" w14:textId="721CAF0C" w:rsidR="00100594" w:rsidRDefault="00100594" w:rsidP="00100594">
      <w:pPr>
        <w:pStyle w:val="Sinespaciado"/>
        <w:tabs>
          <w:tab w:val="left" w:pos="709"/>
        </w:tabs>
        <w:spacing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t xml:space="preserve">En las consideraciones anteriores, es que se advierte que la primera instancia emitió un fallo </w:t>
      </w:r>
      <w:r>
        <w:rPr>
          <w:rFonts w:ascii="Arial" w:eastAsia="Calibri" w:hAnsi="Arial" w:cs="Arial"/>
          <w:b/>
          <w:bCs/>
          <w:color w:val="000000"/>
          <w:sz w:val="26"/>
          <w:szCs w:val="26"/>
          <w:lang w:val="es-MX"/>
        </w:rPr>
        <w:t>carente de congruencia externa y exhaustividad</w:t>
      </w:r>
      <w:r>
        <w:rPr>
          <w:rFonts w:ascii="Arial" w:eastAsia="Calibri" w:hAnsi="Arial" w:cs="Arial"/>
          <w:bCs/>
          <w:color w:val="000000"/>
          <w:sz w:val="26"/>
          <w:szCs w:val="26"/>
          <w:lang w:val="es-MX"/>
        </w:rPr>
        <w:t xml:space="preserve">, pues si bien declaró la </w:t>
      </w:r>
      <w:r>
        <w:rPr>
          <w:rFonts w:ascii="Arial" w:eastAsia="Calibri" w:hAnsi="Arial" w:cs="Arial"/>
          <w:b/>
          <w:bCs/>
          <w:color w:val="000000"/>
          <w:sz w:val="26"/>
          <w:szCs w:val="26"/>
          <w:lang w:val="es-MX"/>
        </w:rPr>
        <w:t xml:space="preserve">nulidad </w:t>
      </w:r>
      <w:r>
        <w:rPr>
          <w:rFonts w:ascii="Arial" w:eastAsia="Calibri" w:hAnsi="Arial" w:cs="Arial"/>
          <w:bCs/>
          <w:color w:val="000000"/>
          <w:sz w:val="26"/>
          <w:szCs w:val="26"/>
          <w:lang w:val="es-MX"/>
        </w:rPr>
        <w:t xml:space="preserve">de la resolución contenida en el oficio </w:t>
      </w:r>
      <w:r w:rsidR="005152CA">
        <w:rPr>
          <w:rFonts w:ascii="Arial" w:hAnsi="Arial" w:cs="Arial"/>
          <w:b/>
          <w:bCs/>
          <w:sz w:val="26"/>
          <w:szCs w:val="26"/>
        </w:rPr>
        <w:t>**********</w:t>
      </w:r>
      <w:r w:rsidR="005152CA">
        <w:rPr>
          <w:rFonts w:ascii="Arial" w:hAnsi="Arial" w:cs="Arial"/>
          <w:b/>
          <w:bCs/>
          <w:sz w:val="26"/>
          <w:szCs w:val="26"/>
        </w:rPr>
        <w:t xml:space="preserve"> </w:t>
      </w:r>
      <w:r>
        <w:rPr>
          <w:rFonts w:ascii="Arial" w:eastAsia="Calibri" w:hAnsi="Arial" w:cs="Arial"/>
          <w:bCs/>
          <w:color w:val="000000"/>
          <w:sz w:val="26"/>
          <w:szCs w:val="26"/>
          <w:lang w:val="es-MX"/>
        </w:rPr>
        <w:t xml:space="preserve">de fecha veintiocho de septiembre de dos mil dieciocho, </w:t>
      </w:r>
      <w:r>
        <w:rPr>
          <w:rFonts w:ascii="Arial" w:eastAsia="Calibri" w:hAnsi="Arial" w:cs="Arial"/>
          <w:b/>
          <w:bCs/>
          <w:color w:val="000000"/>
          <w:sz w:val="26"/>
          <w:szCs w:val="26"/>
          <w:lang w:val="es-MX"/>
        </w:rPr>
        <w:t>para el efecto</w:t>
      </w:r>
      <w:r>
        <w:rPr>
          <w:rFonts w:ascii="Arial" w:eastAsia="Calibri" w:hAnsi="Arial" w:cs="Arial"/>
          <w:bCs/>
          <w:color w:val="000000"/>
          <w:sz w:val="26"/>
          <w:szCs w:val="26"/>
          <w:lang w:val="es-MX"/>
        </w:rPr>
        <w:t xml:space="preserve"> de que el Director General de la Oficina de Pensiones del Gobierno del Estado, dicte otra en la que le otorgue a </w:t>
      </w:r>
      <w:r w:rsidR="005152CA">
        <w:rPr>
          <w:rFonts w:ascii="Arial" w:hAnsi="Arial" w:cs="Arial"/>
          <w:b/>
          <w:bCs/>
          <w:sz w:val="26"/>
          <w:szCs w:val="26"/>
        </w:rPr>
        <w:t>**********</w:t>
      </w:r>
      <w:r>
        <w:rPr>
          <w:rFonts w:ascii="Arial" w:eastAsia="Calibri" w:hAnsi="Arial" w:cs="Arial"/>
          <w:bCs/>
          <w:color w:val="000000"/>
          <w:sz w:val="26"/>
          <w:szCs w:val="26"/>
          <w:lang w:val="es-MX"/>
        </w:rPr>
        <w:t xml:space="preserve">, la pensión por jubilación con las mismas prestaciones que percibe un trabajador de base, como son previsión social múltiple, despensa, vida cara, quinquenios, aguinaldo, estimulo del día del jubilado y canasta navideña; sin embargo, </w:t>
      </w:r>
      <w:r>
        <w:rPr>
          <w:rFonts w:ascii="Arial" w:eastAsia="Calibri" w:hAnsi="Arial" w:cs="Arial"/>
          <w:b/>
          <w:bCs/>
          <w:i/>
          <w:color w:val="000000"/>
          <w:sz w:val="26"/>
          <w:szCs w:val="26"/>
          <w:lang w:val="es-MX"/>
        </w:rPr>
        <w:t xml:space="preserve">omitió </w:t>
      </w:r>
      <w:r>
        <w:rPr>
          <w:rFonts w:ascii="Arial" w:eastAsia="Calibri" w:hAnsi="Arial" w:cs="Arial"/>
          <w:bCs/>
          <w:color w:val="000000"/>
          <w:sz w:val="26"/>
          <w:szCs w:val="26"/>
          <w:lang w:val="es-MX"/>
        </w:rPr>
        <w:t>señalar a partir de qué fecha se efectuaría dicho pago.</w:t>
      </w:r>
    </w:p>
    <w:p w14:paraId="2B687D74" w14:textId="309EA78C" w:rsidR="00100594" w:rsidRDefault="00100594" w:rsidP="00100594">
      <w:pPr>
        <w:pStyle w:val="Sinespaciado"/>
        <w:tabs>
          <w:tab w:val="left" w:pos="709"/>
        </w:tabs>
        <w:spacing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t>Así mismo, al resolver la aclaración de sentencia promovida por la parte actora, la Magistrada de Primera Instancia declaró que esa autoridad no puede revocar o modificar sus propias determinaciones.</w:t>
      </w:r>
    </w:p>
    <w:p w14:paraId="62A191B9" w14:textId="77777777" w:rsidR="00100594" w:rsidRDefault="00100594" w:rsidP="00100594">
      <w:pPr>
        <w:pStyle w:val="Sinespaciado"/>
        <w:tabs>
          <w:tab w:val="left" w:pos="709"/>
        </w:tabs>
        <w:spacing w:before="240" w:line="360" w:lineRule="auto"/>
        <w:jc w:val="both"/>
        <w:rPr>
          <w:rFonts w:ascii="Arial" w:eastAsiaTheme="minorHAnsi" w:hAnsi="Arial" w:cs="Arial"/>
          <w:bCs/>
          <w:color w:val="000000"/>
          <w:sz w:val="26"/>
          <w:szCs w:val="26"/>
        </w:rPr>
      </w:pPr>
      <w:r>
        <w:rPr>
          <w:rFonts w:ascii="Arial" w:eastAsia="Calibri" w:hAnsi="Arial" w:cs="Arial"/>
          <w:bCs/>
          <w:color w:val="000000"/>
          <w:sz w:val="26"/>
          <w:szCs w:val="26"/>
          <w:lang w:val="es-MX"/>
        </w:rPr>
        <w:tab/>
        <w:t>De tal manera que si la Magistrada de la Tercera Sala Unitaria de Primera Instancia, únicamente determinó en la sentencia recurrida el pago de las prestaciones que perciben los trabajadores de base</w:t>
      </w:r>
      <w:r>
        <w:rPr>
          <w:rFonts w:ascii="Arial" w:hAnsi="Arial" w:cs="Arial"/>
          <w:bCs/>
          <w:i/>
          <w:color w:val="000000"/>
        </w:rPr>
        <w:t xml:space="preserve">, </w:t>
      </w:r>
      <w:r>
        <w:rPr>
          <w:rFonts w:ascii="Arial" w:hAnsi="Arial" w:cs="Arial"/>
          <w:bCs/>
          <w:color w:val="000000"/>
          <w:sz w:val="26"/>
          <w:szCs w:val="26"/>
        </w:rPr>
        <w:t>sin especificar a partir de cuándo, de ahí, que si la parte actora solicitó que el pago se efectuara con las prestaciones que perciben los jubilados que fueron trabajadores de base, desde el momento del primera pago. Era menester atender la petición en sus términos, de ahí lo sustancialmente fundado del agravio.</w:t>
      </w:r>
    </w:p>
    <w:p w14:paraId="14AAD3ED" w14:textId="10130E90" w:rsidR="00100594" w:rsidRDefault="00100594" w:rsidP="00100594">
      <w:pPr>
        <w:pStyle w:val="Sinespaciado"/>
        <w:tabs>
          <w:tab w:val="left" w:pos="709"/>
        </w:tabs>
        <w:spacing w:before="240" w:line="360" w:lineRule="auto"/>
        <w:jc w:val="both"/>
        <w:rPr>
          <w:rFonts w:ascii="Arial" w:hAnsi="Arial" w:cs="Arial"/>
          <w:sz w:val="26"/>
          <w:szCs w:val="26"/>
        </w:rPr>
      </w:pPr>
      <w:r>
        <w:rPr>
          <w:rFonts w:ascii="Arial" w:hAnsi="Arial" w:cs="Arial"/>
          <w:bCs/>
          <w:color w:val="000000"/>
          <w:sz w:val="26"/>
          <w:szCs w:val="26"/>
        </w:rPr>
        <w:tab/>
      </w:r>
      <w:r>
        <w:rPr>
          <w:rFonts w:ascii="Arial" w:hAnsi="Arial" w:cs="Arial"/>
          <w:sz w:val="26"/>
          <w:szCs w:val="26"/>
        </w:rPr>
        <w:t xml:space="preserve">Así las cosas, procede </w:t>
      </w:r>
      <w:r>
        <w:rPr>
          <w:rFonts w:ascii="Arial" w:hAnsi="Arial" w:cs="Arial"/>
          <w:b/>
          <w:sz w:val="26"/>
          <w:szCs w:val="26"/>
        </w:rPr>
        <w:t>MODIFICAR</w:t>
      </w:r>
      <w:r>
        <w:rPr>
          <w:rFonts w:ascii="Arial" w:hAnsi="Arial" w:cs="Arial"/>
          <w:sz w:val="26"/>
          <w:szCs w:val="26"/>
        </w:rPr>
        <w:t xml:space="preserve"> la sentencia de tres de mayo de dos mil diecinueve, misma en que se declaró la </w:t>
      </w:r>
      <w:r>
        <w:rPr>
          <w:rFonts w:ascii="Arial" w:hAnsi="Arial" w:cs="Arial"/>
          <w:b/>
          <w:sz w:val="26"/>
          <w:szCs w:val="26"/>
        </w:rPr>
        <w:t>nulidad</w:t>
      </w:r>
      <w:r>
        <w:rPr>
          <w:rFonts w:ascii="Arial" w:hAnsi="Arial" w:cs="Arial"/>
          <w:sz w:val="26"/>
          <w:szCs w:val="26"/>
        </w:rPr>
        <w:t xml:space="preserve"> de la resolución contenida en el oficio </w:t>
      </w:r>
      <w:r w:rsidR="005152CA">
        <w:rPr>
          <w:rFonts w:ascii="Arial" w:hAnsi="Arial" w:cs="Arial"/>
          <w:b/>
          <w:bCs/>
          <w:sz w:val="26"/>
          <w:szCs w:val="26"/>
        </w:rPr>
        <w:t>**********</w:t>
      </w:r>
      <w:r w:rsidR="005152CA">
        <w:rPr>
          <w:rFonts w:ascii="Arial" w:hAnsi="Arial" w:cs="Arial"/>
          <w:b/>
          <w:bCs/>
          <w:sz w:val="26"/>
          <w:szCs w:val="26"/>
        </w:rPr>
        <w:t xml:space="preserve"> </w:t>
      </w:r>
      <w:bookmarkStart w:id="0" w:name="_GoBack"/>
      <w:bookmarkEnd w:id="0"/>
      <w:r>
        <w:rPr>
          <w:rFonts w:ascii="Arial" w:hAnsi="Arial" w:cs="Arial"/>
          <w:sz w:val="26"/>
          <w:szCs w:val="26"/>
        </w:rPr>
        <w:t xml:space="preserve">de fecha veintiocho de septiembre de dos mil dieciocho, </w:t>
      </w:r>
      <w:r>
        <w:rPr>
          <w:rFonts w:ascii="Arial" w:hAnsi="Arial" w:cs="Arial"/>
          <w:b/>
          <w:sz w:val="26"/>
          <w:szCs w:val="26"/>
        </w:rPr>
        <w:t xml:space="preserve">para el efecto </w:t>
      </w:r>
      <w:r>
        <w:rPr>
          <w:rFonts w:ascii="Arial" w:hAnsi="Arial" w:cs="Arial"/>
          <w:sz w:val="26"/>
          <w:szCs w:val="26"/>
        </w:rPr>
        <w:t xml:space="preserve">de que el Director General de la Oficina de Pensiones del Gobierno del Estado de Oaxaca, dicte otra en la que otorgue a </w:t>
      </w:r>
      <w:r w:rsidR="005152CA">
        <w:rPr>
          <w:rFonts w:ascii="Arial" w:hAnsi="Arial" w:cs="Arial"/>
          <w:b/>
          <w:bCs/>
          <w:sz w:val="26"/>
          <w:szCs w:val="26"/>
        </w:rPr>
        <w:t>**********</w:t>
      </w:r>
      <w:r>
        <w:rPr>
          <w:rFonts w:ascii="Arial" w:hAnsi="Arial" w:cs="Arial"/>
          <w:sz w:val="26"/>
          <w:szCs w:val="26"/>
        </w:rPr>
        <w:t>, pensión por jubilación con las mismas prestaciones que percibe un trabajador de base en términos del artículo 54, de la Ley de Pensiones para los Trabajadores del Gobierno del Estado</w:t>
      </w:r>
      <w:r>
        <w:rPr>
          <w:rFonts w:ascii="Arial" w:hAnsi="Arial" w:cs="Arial"/>
          <w:b/>
          <w:sz w:val="26"/>
          <w:szCs w:val="26"/>
          <w:u w:val="single"/>
        </w:rPr>
        <w:t>; asimismo, se ordena a la autoridad demandada haga el pago de las prestaciones que dejó de percibir al actor, en forma retroactiva, desde la fecha en que se emitió el dictamen de jubilación impugnado,</w:t>
      </w:r>
      <w:r>
        <w:rPr>
          <w:rFonts w:ascii="Arial" w:hAnsi="Arial" w:cs="Arial"/>
          <w:sz w:val="26"/>
          <w:szCs w:val="26"/>
        </w:rPr>
        <w:t xml:space="preserve"> sin aplicar el descuento del 9% a que se refieren </w:t>
      </w:r>
      <w:r>
        <w:rPr>
          <w:rFonts w:ascii="Arial" w:hAnsi="Arial" w:cs="Arial"/>
          <w:sz w:val="26"/>
          <w:szCs w:val="26"/>
        </w:rPr>
        <w:lastRenderedPageBreak/>
        <w:t xml:space="preserve">los artículos 6 fracción III, 18 párrafo segundo y octavo transitorios de la ley relativa, por haber sido declarados </w:t>
      </w:r>
      <w:proofErr w:type="spellStart"/>
      <w:r>
        <w:rPr>
          <w:rFonts w:ascii="Arial" w:hAnsi="Arial" w:cs="Arial"/>
          <w:sz w:val="26"/>
          <w:szCs w:val="26"/>
        </w:rPr>
        <w:t>inconvencionales</w:t>
      </w:r>
      <w:proofErr w:type="spellEnd"/>
      <w:r>
        <w:rPr>
          <w:rFonts w:ascii="Arial" w:hAnsi="Arial" w:cs="Arial"/>
          <w:sz w:val="26"/>
          <w:szCs w:val="26"/>
        </w:rPr>
        <w:t xml:space="preserve"> e inconstitucionales en los términos apuntados, al incumplir con el requisito de validez del acto administrativo que obliga la fracción V, del artículo 17 de la Ley de Procedimiento y Justicia Administrativa para el Estado de Oaxaca; </w:t>
      </w:r>
      <w:r>
        <w:rPr>
          <w:rFonts w:ascii="Arial" w:hAnsi="Arial" w:cs="Arial"/>
          <w:b/>
          <w:sz w:val="26"/>
          <w:szCs w:val="26"/>
          <w:u w:val="single"/>
        </w:rPr>
        <w:t>asimismo, se ordena a la autoridad demandada realice el pago o devolución al actor, de las cantidades que le fueron indebidamente descontadas, desde la fecha que le fue emitido el dictamen de jubilación impugnado.</w:t>
      </w:r>
    </w:p>
    <w:p w14:paraId="7B7E0863" w14:textId="54319552" w:rsidR="00100594" w:rsidRPr="00100594" w:rsidRDefault="00100594" w:rsidP="00100594">
      <w:pPr>
        <w:pStyle w:val="Sinespaciado"/>
        <w:tabs>
          <w:tab w:val="left" w:pos="709"/>
        </w:tabs>
        <w:spacing w:before="240" w:line="360" w:lineRule="auto"/>
        <w:jc w:val="both"/>
        <w:rPr>
          <w:rFonts w:ascii="Arial" w:eastAsia="Arial Unicode MS" w:hAnsi="Arial" w:cs="Arial"/>
          <w:sz w:val="26"/>
          <w:szCs w:val="26"/>
        </w:rPr>
      </w:pPr>
      <w:r>
        <w:rPr>
          <w:rFonts w:ascii="Arial" w:hAnsi="Arial" w:cs="Arial"/>
          <w:sz w:val="26"/>
          <w:szCs w:val="26"/>
        </w:rPr>
        <w:tab/>
        <w:t>Por tanto, acorde a</w:t>
      </w:r>
      <w:r>
        <w:rPr>
          <w:rFonts w:ascii="Arial" w:eastAsia="Arial Unicode MS" w:hAnsi="Arial" w:cs="Arial"/>
          <w:sz w:val="26"/>
          <w:szCs w:val="26"/>
        </w:rPr>
        <w:t xml:space="preserve"> lo dispuesto por los artículos 237 y 238 de la Ley de Procedimiento y Justicia Administrativa para el Estado, se:</w:t>
      </w:r>
    </w:p>
    <w:p w14:paraId="2D14C6C9" w14:textId="77777777" w:rsidR="00100594" w:rsidRDefault="00100594" w:rsidP="00100594">
      <w:pPr>
        <w:pStyle w:val="Sinespaciado"/>
        <w:tabs>
          <w:tab w:val="left" w:pos="709"/>
        </w:tabs>
        <w:spacing w:before="240" w:line="360" w:lineRule="auto"/>
        <w:jc w:val="center"/>
        <w:rPr>
          <w:rFonts w:ascii="Arial" w:eastAsia="Arial Unicode MS" w:hAnsi="Arial" w:cs="Arial"/>
          <w:sz w:val="26"/>
          <w:szCs w:val="26"/>
        </w:rPr>
      </w:pPr>
      <w:r>
        <w:rPr>
          <w:rFonts w:ascii="Arial" w:eastAsia="Arial Unicode MS" w:hAnsi="Arial" w:cs="Arial"/>
          <w:b/>
          <w:sz w:val="26"/>
          <w:szCs w:val="26"/>
        </w:rPr>
        <w:t>R E S U E L V E</w:t>
      </w:r>
      <w:r>
        <w:rPr>
          <w:rFonts w:ascii="Arial" w:eastAsia="Arial Unicode MS" w:hAnsi="Arial" w:cs="Arial"/>
          <w:sz w:val="26"/>
          <w:szCs w:val="26"/>
        </w:rPr>
        <w:t>:</w:t>
      </w:r>
    </w:p>
    <w:p w14:paraId="111ADA93" w14:textId="5F76308E" w:rsidR="00100594" w:rsidRDefault="00100594" w:rsidP="00100594">
      <w:pPr>
        <w:pStyle w:val="Sinespaciado"/>
        <w:tabs>
          <w:tab w:val="left" w:pos="709"/>
        </w:tabs>
        <w:spacing w:before="240" w:line="360" w:lineRule="auto"/>
        <w:jc w:val="both"/>
        <w:rPr>
          <w:rFonts w:ascii="Arial" w:eastAsia="Arial Unicode MS" w:hAnsi="Arial" w:cs="Arial"/>
          <w:sz w:val="26"/>
          <w:szCs w:val="26"/>
          <w:lang w:val="es-MX"/>
        </w:rPr>
      </w:pPr>
      <w:r>
        <w:rPr>
          <w:rFonts w:ascii="Arial" w:eastAsia="Arial Unicode MS" w:hAnsi="Arial" w:cs="Arial"/>
          <w:b/>
          <w:sz w:val="26"/>
          <w:szCs w:val="26"/>
        </w:rPr>
        <w:tab/>
        <w:t xml:space="preserve">PRIMERO.- </w:t>
      </w:r>
      <w:r>
        <w:rPr>
          <w:rFonts w:ascii="Arial" w:eastAsia="Arial Unicode MS" w:hAnsi="Arial" w:cs="Arial"/>
          <w:sz w:val="26"/>
          <w:szCs w:val="26"/>
          <w:lang w:val="es-MX"/>
        </w:rPr>
        <w:t xml:space="preserve">Se </w:t>
      </w:r>
      <w:r>
        <w:rPr>
          <w:rFonts w:ascii="Arial" w:eastAsia="Arial Unicode MS" w:hAnsi="Arial" w:cs="Arial"/>
          <w:b/>
          <w:sz w:val="26"/>
          <w:szCs w:val="26"/>
          <w:lang w:val="es-MX"/>
        </w:rPr>
        <w:t xml:space="preserve">MODIFICA </w:t>
      </w:r>
      <w:r>
        <w:rPr>
          <w:rFonts w:ascii="Arial" w:eastAsia="Arial Unicode MS" w:hAnsi="Arial" w:cs="Arial"/>
          <w:sz w:val="26"/>
          <w:szCs w:val="26"/>
          <w:lang w:val="es-MX"/>
        </w:rPr>
        <w:t xml:space="preserve">la </w:t>
      </w:r>
      <w:r>
        <w:rPr>
          <w:rFonts w:ascii="Arial" w:eastAsia="Arial Unicode MS" w:hAnsi="Arial" w:cs="Arial"/>
          <w:sz w:val="26"/>
          <w:szCs w:val="26"/>
        </w:rPr>
        <w:t>sentencia de tres de mayo de dos mil diecinueve</w:t>
      </w:r>
      <w:r>
        <w:rPr>
          <w:rFonts w:ascii="Arial" w:eastAsia="Arial Unicode MS" w:hAnsi="Arial" w:cs="Arial"/>
          <w:sz w:val="26"/>
          <w:szCs w:val="26"/>
          <w:lang w:val="es-MX"/>
        </w:rPr>
        <w:t>, en los términos expuesto en el considerando que antecede.</w:t>
      </w:r>
    </w:p>
    <w:p w14:paraId="4E3FECCD" w14:textId="3E3BAAC2" w:rsidR="00100594" w:rsidRDefault="00100594" w:rsidP="00100594">
      <w:pPr>
        <w:spacing w:line="360" w:lineRule="auto"/>
        <w:ind w:firstLine="708"/>
        <w:jc w:val="both"/>
        <w:rPr>
          <w:rFonts w:ascii="Arial" w:eastAsiaTheme="minorHAnsi" w:hAnsi="Arial" w:cs="Arial"/>
          <w:sz w:val="26"/>
          <w:szCs w:val="26"/>
        </w:rPr>
      </w:pPr>
      <w:r>
        <w:rPr>
          <w:rFonts w:ascii="Arial" w:eastAsia="Arial Unicode MS" w:hAnsi="Arial" w:cs="Arial"/>
          <w:b/>
          <w:sz w:val="26"/>
          <w:szCs w:val="26"/>
        </w:rPr>
        <w:t>SEGUNDO</w:t>
      </w:r>
      <w:r>
        <w:rPr>
          <w:rFonts w:ascii="Arial" w:eastAsia="Arial Unicode MS" w:hAnsi="Arial" w:cs="Arial"/>
          <w:sz w:val="26"/>
          <w:szCs w:val="26"/>
        </w:rPr>
        <w:t xml:space="preserve">.- </w:t>
      </w:r>
      <w:r>
        <w:rPr>
          <w:rFonts w:ascii="Arial" w:hAnsi="Arial" w:cs="Arial"/>
          <w:b/>
          <w:sz w:val="26"/>
          <w:szCs w:val="26"/>
        </w:rPr>
        <w:t>NOTIFÍQUESE Y CÚMPLASE</w:t>
      </w:r>
      <w:r>
        <w:rPr>
          <w:rFonts w:ascii="Arial" w:hAnsi="Arial" w:cs="Arial"/>
          <w:sz w:val="26"/>
          <w:szCs w:val="26"/>
        </w:rPr>
        <w:t>, con copia certificada de la presente resolución, vuelvan las constancias remitidas a la Sala de origen, y en su oportunidad archívese el cuaderno de revisión como concluido.</w:t>
      </w:r>
    </w:p>
    <w:p w14:paraId="0217EB84" w14:textId="77777777" w:rsidR="008C2B7C" w:rsidRDefault="008C2B7C" w:rsidP="008C2B7C">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6AB2E01F" w14:textId="621E6EB6" w:rsidR="008C2B7C" w:rsidRDefault="008C2B7C" w:rsidP="008C2B7C">
      <w:pPr>
        <w:spacing w:line="360" w:lineRule="auto"/>
        <w:rPr>
          <w:rFonts w:ascii="Arial" w:hAnsi="Arial" w:cs="Arial"/>
          <w:sz w:val="26"/>
          <w:szCs w:val="26"/>
        </w:rPr>
      </w:pPr>
    </w:p>
    <w:p w14:paraId="448A22C5" w14:textId="77777777" w:rsidR="00660DD1" w:rsidRDefault="00660DD1" w:rsidP="008C2B7C">
      <w:pPr>
        <w:spacing w:line="360" w:lineRule="auto"/>
        <w:rPr>
          <w:rFonts w:ascii="Arial" w:hAnsi="Arial" w:cs="Arial"/>
          <w:sz w:val="26"/>
          <w:szCs w:val="26"/>
        </w:rPr>
      </w:pPr>
    </w:p>
    <w:p w14:paraId="63CEE418" w14:textId="07C58190" w:rsidR="008C2B7C" w:rsidRDefault="008C2B7C" w:rsidP="008C2B7C">
      <w:pPr>
        <w:spacing w:line="360" w:lineRule="auto"/>
        <w:rPr>
          <w:rFonts w:ascii="Arial" w:hAnsi="Arial" w:cs="Arial"/>
          <w:sz w:val="26"/>
          <w:szCs w:val="26"/>
        </w:rPr>
      </w:pPr>
    </w:p>
    <w:p w14:paraId="3F0828D6" w14:textId="77777777" w:rsidR="00660DD1" w:rsidRDefault="00660DD1" w:rsidP="008C2B7C">
      <w:pPr>
        <w:spacing w:line="360" w:lineRule="auto"/>
        <w:rPr>
          <w:rFonts w:ascii="Arial" w:hAnsi="Arial" w:cs="Arial"/>
          <w:sz w:val="26"/>
          <w:szCs w:val="26"/>
        </w:rPr>
      </w:pPr>
    </w:p>
    <w:p w14:paraId="3D2BD0FC"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54FD16FB"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PRESIDENTA</w:t>
      </w:r>
    </w:p>
    <w:p w14:paraId="484DA644" w14:textId="6CC04673" w:rsidR="008C2B7C" w:rsidRDefault="008C2B7C" w:rsidP="008C2B7C">
      <w:pPr>
        <w:spacing w:line="360" w:lineRule="auto"/>
        <w:rPr>
          <w:rFonts w:ascii="Arial" w:eastAsia="Times New Roman" w:hAnsi="Arial" w:cs="Arial"/>
          <w:sz w:val="26"/>
          <w:szCs w:val="26"/>
        </w:rPr>
      </w:pPr>
    </w:p>
    <w:p w14:paraId="050D65A8" w14:textId="69EEC341" w:rsidR="008C2B7C" w:rsidRPr="00660DD1" w:rsidRDefault="00660DD1" w:rsidP="008C2B7C">
      <w:pPr>
        <w:spacing w:line="360" w:lineRule="auto"/>
        <w:jc w:val="center"/>
        <w:rPr>
          <w:rFonts w:ascii="Arial" w:eastAsia="Times New Roman" w:hAnsi="Arial" w:cs="Arial"/>
          <w:b/>
          <w:bCs/>
          <w:sz w:val="14"/>
          <w:szCs w:val="14"/>
        </w:rPr>
      </w:pPr>
      <w:r w:rsidRPr="00660DD1">
        <w:rPr>
          <w:rFonts w:ascii="Arial" w:eastAsia="Times New Roman" w:hAnsi="Arial" w:cs="Arial"/>
          <w:b/>
          <w:bCs/>
          <w:sz w:val="14"/>
          <w:szCs w:val="14"/>
        </w:rPr>
        <w:t>LAS PRESENTES FIRMAS CORRESPONDEN AL RECURSO DE REVISIÓN 239/2019</w:t>
      </w:r>
    </w:p>
    <w:p w14:paraId="72769E2B" w14:textId="0264B391" w:rsidR="008C2B7C" w:rsidRDefault="008C2B7C" w:rsidP="00100594">
      <w:pPr>
        <w:spacing w:line="360" w:lineRule="auto"/>
        <w:rPr>
          <w:rFonts w:ascii="Arial" w:eastAsia="Times New Roman" w:hAnsi="Arial" w:cs="Arial"/>
          <w:sz w:val="26"/>
          <w:szCs w:val="26"/>
        </w:rPr>
      </w:pPr>
    </w:p>
    <w:p w14:paraId="4275C1D2" w14:textId="3A995E1F" w:rsidR="00660DD1" w:rsidRDefault="00660DD1" w:rsidP="00100594">
      <w:pPr>
        <w:spacing w:line="360" w:lineRule="auto"/>
        <w:rPr>
          <w:rFonts w:ascii="Arial" w:eastAsia="Times New Roman" w:hAnsi="Arial" w:cs="Arial"/>
          <w:sz w:val="26"/>
          <w:szCs w:val="26"/>
        </w:rPr>
      </w:pPr>
    </w:p>
    <w:p w14:paraId="28BC9405" w14:textId="6587459A" w:rsidR="00660DD1" w:rsidRDefault="00660DD1" w:rsidP="00100594">
      <w:pPr>
        <w:spacing w:line="360" w:lineRule="auto"/>
        <w:rPr>
          <w:rFonts w:ascii="Arial" w:eastAsia="Times New Roman" w:hAnsi="Arial" w:cs="Arial"/>
          <w:sz w:val="26"/>
          <w:szCs w:val="26"/>
        </w:rPr>
      </w:pPr>
    </w:p>
    <w:p w14:paraId="11861138" w14:textId="77777777" w:rsidR="00660DD1" w:rsidRDefault="00660DD1" w:rsidP="00100594">
      <w:pPr>
        <w:spacing w:line="360" w:lineRule="auto"/>
        <w:rPr>
          <w:rFonts w:ascii="Arial" w:eastAsia="Times New Roman" w:hAnsi="Arial" w:cs="Arial"/>
          <w:sz w:val="26"/>
          <w:szCs w:val="26"/>
        </w:rPr>
      </w:pPr>
    </w:p>
    <w:p w14:paraId="52E8C27E" w14:textId="68C1EB8E" w:rsidR="008C2B7C" w:rsidRDefault="008C2B7C" w:rsidP="008C2B7C">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67A359D" w14:textId="37136412" w:rsidR="008C2B7C" w:rsidRDefault="008C2B7C" w:rsidP="008C2B7C">
      <w:pPr>
        <w:spacing w:line="360" w:lineRule="auto"/>
        <w:rPr>
          <w:rFonts w:ascii="Arial" w:eastAsia="Calibri" w:hAnsi="Arial" w:cs="Arial"/>
          <w:sz w:val="26"/>
          <w:szCs w:val="26"/>
          <w:lang w:eastAsia="en-US"/>
        </w:rPr>
      </w:pPr>
    </w:p>
    <w:p w14:paraId="30F50BB0" w14:textId="43CE38B4" w:rsidR="00660DD1" w:rsidRDefault="00660DD1" w:rsidP="008C2B7C">
      <w:pPr>
        <w:spacing w:line="360" w:lineRule="auto"/>
        <w:rPr>
          <w:rFonts w:ascii="Arial" w:eastAsia="Calibri" w:hAnsi="Arial" w:cs="Arial"/>
          <w:sz w:val="26"/>
          <w:szCs w:val="26"/>
          <w:lang w:eastAsia="en-US"/>
        </w:rPr>
      </w:pPr>
    </w:p>
    <w:p w14:paraId="59621C18" w14:textId="77777777" w:rsidR="00660DD1" w:rsidRDefault="00660DD1" w:rsidP="008C2B7C">
      <w:pPr>
        <w:spacing w:line="360" w:lineRule="auto"/>
        <w:rPr>
          <w:rFonts w:ascii="Arial" w:eastAsia="Calibri" w:hAnsi="Arial" w:cs="Arial"/>
          <w:sz w:val="26"/>
          <w:szCs w:val="26"/>
          <w:lang w:eastAsia="en-US"/>
        </w:rPr>
      </w:pPr>
    </w:p>
    <w:p w14:paraId="0FCC3EE0" w14:textId="77777777" w:rsidR="008C2B7C" w:rsidRDefault="008C2B7C" w:rsidP="008C2B7C">
      <w:pPr>
        <w:spacing w:line="360" w:lineRule="auto"/>
        <w:rPr>
          <w:rFonts w:ascii="Arial" w:hAnsi="Arial" w:cs="Arial"/>
          <w:sz w:val="26"/>
          <w:szCs w:val="26"/>
        </w:rPr>
      </w:pPr>
    </w:p>
    <w:p w14:paraId="2994E35B" w14:textId="77777777" w:rsidR="008C2B7C" w:rsidRDefault="008C2B7C" w:rsidP="008C2B7C">
      <w:pPr>
        <w:jc w:val="center"/>
        <w:rPr>
          <w:rFonts w:ascii="Arial" w:hAnsi="Arial" w:cs="Arial"/>
          <w:sz w:val="26"/>
          <w:szCs w:val="26"/>
        </w:rPr>
      </w:pPr>
      <w:r>
        <w:rPr>
          <w:rFonts w:ascii="Arial" w:hAnsi="Arial" w:cs="Arial"/>
          <w:sz w:val="26"/>
          <w:szCs w:val="26"/>
        </w:rPr>
        <w:t>MAGISTRADO RAÚL PALOMARES PALOMINO</w:t>
      </w:r>
    </w:p>
    <w:p w14:paraId="4FE2D494" w14:textId="77777777" w:rsidR="008C2B7C" w:rsidRDefault="008C2B7C" w:rsidP="008C2B7C">
      <w:pPr>
        <w:tabs>
          <w:tab w:val="center" w:pos="4135"/>
          <w:tab w:val="left" w:pos="7515"/>
        </w:tabs>
        <w:spacing w:line="360" w:lineRule="auto"/>
        <w:rPr>
          <w:rFonts w:ascii="Arial" w:hAnsi="Arial" w:cs="Arial"/>
          <w:sz w:val="26"/>
          <w:szCs w:val="26"/>
        </w:rPr>
      </w:pPr>
    </w:p>
    <w:p w14:paraId="65C3F924" w14:textId="23DCA23B" w:rsidR="008C2B7C" w:rsidRDefault="008C2B7C" w:rsidP="008C2B7C">
      <w:pPr>
        <w:tabs>
          <w:tab w:val="center" w:pos="4135"/>
          <w:tab w:val="left" w:pos="7515"/>
        </w:tabs>
        <w:spacing w:line="360" w:lineRule="auto"/>
        <w:jc w:val="center"/>
        <w:rPr>
          <w:rFonts w:ascii="Arial" w:hAnsi="Arial" w:cs="Arial"/>
          <w:sz w:val="14"/>
          <w:szCs w:val="26"/>
        </w:rPr>
      </w:pPr>
    </w:p>
    <w:p w14:paraId="62487F48" w14:textId="77777777" w:rsidR="00660DD1" w:rsidRDefault="00660DD1" w:rsidP="008C2B7C">
      <w:pPr>
        <w:tabs>
          <w:tab w:val="center" w:pos="4135"/>
          <w:tab w:val="left" w:pos="7515"/>
        </w:tabs>
        <w:spacing w:line="360" w:lineRule="auto"/>
        <w:jc w:val="center"/>
        <w:rPr>
          <w:rFonts w:ascii="Arial" w:hAnsi="Arial" w:cs="Arial"/>
          <w:sz w:val="14"/>
          <w:szCs w:val="26"/>
        </w:rPr>
      </w:pPr>
    </w:p>
    <w:p w14:paraId="06D9E074" w14:textId="54714C67" w:rsidR="008C2B7C" w:rsidRDefault="008C2B7C" w:rsidP="008C2B7C">
      <w:pPr>
        <w:tabs>
          <w:tab w:val="center" w:pos="4135"/>
          <w:tab w:val="left" w:pos="7515"/>
        </w:tabs>
        <w:spacing w:line="360" w:lineRule="auto"/>
        <w:jc w:val="center"/>
        <w:rPr>
          <w:rFonts w:ascii="Arial" w:hAnsi="Arial" w:cs="Arial"/>
          <w:sz w:val="14"/>
          <w:szCs w:val="26"/>
        </w:rPr>
      </w:pPr>
    </w:p>
    <w:p w14:paraId="6F848726" w14:textId="77777777" w:rsidR="008C2B7C" w:rsidRDefault="008C2B7C" w:rsidP="008C2B7C">
      <w:pPr>
        <w:tabs>
          <w:tab w:val="center" w:pos="4135"/>
          <w:tab w:val="left" w:pos="7515"/>
        </w:tabs>
        <w:spacing w:line="360" w:lineRule="auto"/>
        <w:jc w:val="center"/>
        <w:rPr>
          <w:rFonts w:ascii="Arial" w:hAnsi="Arial" w:cs="Arial"/>
          <w:sz w:val="14"/>
          <w:szCs w:val="26"/>
        </w:rPr>
      </w:pPr>
    </w:p>
    <w:p w14:paraId="4A41A1CF" w14:textId="77777777" w:rsidR="008C2B7C" w:rsidRDefault="008C2B7C" w:rsidP="008C2B7C">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2230C6C5" w14:textId="0F9DD75A" w:rsidR="008C2B7C" w:rsidRDefault="008C2B7C" w:rsidP="008C2B7C">
      <w:pPr>
        <w:tabs>
          <w:tab w:val="center" w:pos="4135"/>
          <w:tab w:val="left" w:pos="7515"/>
        </w:tabs>
        <w:spacing w:line="360" w:lineRule="auto"/>
        <w:jc w:val="center"/>
        <w:rPr>
          <w:rFonts w:ascii="Arial" w:hAnsi="Arial" w:cs="Arial"/>
          <w:sz w:val="14"/>
          <w:szCs w:val="26"/>
        </w:rPr>
      </w:pPr>
    </w:p>
    <w:p w14:paraId="44463893" w14:textId="77777777" w:rsidR="008C2B7C" w:rsidRDefault="008C2B7C" w:rsidP="008C2B7C">
      <w:pPr>
        <w:tabs>
          <w:tab w:val="center" w:pos="4135"/>
          <w:tab w:val="left" w:pos="7515"/>
        </w:tabs>
        <w:spacing w:line="360" w:lineRule="auto"/>
        <w:jc w:val="center"/>
        <w:rPr>
          <w:rFonts w:ascii="Arial" w:hAnsi="Arial" w:cs="Arial"/>
          <w:sz w:val="14"/>
          <w:szCs w:val="26"/>
        </w:rPr>
      </w:pPr>
    </w:p>
    <w:p w14:paraId="2FDEE643" w14:textId="71668386" w:rsidR="008C2B7C" w:rsidRDefault="008C2B7C" w:rsidP="008C2B7C">
      <w:pPr>
        <w:tabs>
          <w:tab w:val="center" w:pos="4135"/>
          <w:tab w:val="left" w:pos="7515"/>
        </w:tabs>
        <w:spacing w:line="360" w:lineRule="auto"/>
        <w:jc w:val="center"/>
        <w:rPr>
          <w:rFonts w:ascii="Arial" w:hAnsi="Arial" w:cs="Arial"/>
          <w:sz w:val="14"/>
          <w:szCs w:val="26"/>
        </w:rPr>
      </w:pPr>
    </w:p>
    <w:p w14:paraId="04D091D0" w14:textId="77777777" w:rsidR="00660DD1" w:rsidRDefault="00660DD1" w:rsidP="008C2B7C">
      <w:pPr>
        <w:tabs>
          <w:tab w:val="center" w:pos="4135"/>
          <w:tab w:val="left" w:pos="7515"/>
        </w:tabs>
        <w:spacing w:line="360" w:lineRule="auto"/>
        <w:jc w:val="center"/>
        <w:rPr>
          <w:rFonts w:ascii="Arial" w:hAnsi="Arial" w:cs="Arial"/>
          <w:sz w:val="14"/>
          <w:szCs w:val="26"/>
        </w:rPr>
      </w:pPr>
    </w:p>
    <w:p w14:paraId="6AD46654" w14:textId="77777777" w:rsidR="00660DD1" w:rsidRDefault="00660DD1" w:rsidP="008C2B7C">
      <w:pPr>
        <w:tabs>
          <w:tab w:val="center" w:pos="4135"/>
          <w:tab w:val="left" w:pos="7515"/>
        </w:tabs>
        <w:spacing w:line="360" w:lineRule="auto"/>
        <w:jc w:val="center"/>
        <w:rPr>
          <w:rFonts w:ascii="Arial" w:hAnsi="Arial" w:cs="Arial"/>
          <w:sz w:val="14"/>
          <w:szCs w:val="26"/>
        </w:rPr>
      </w:pPr>
    </w:p>
    <w:p w14:paraId="15347807" w14:textId="77777777" w:rsidR="008C2B7C" w:rsidRDefault="008C2B7C" w:rsidP="008C2B7C">
      <w:pPr>
        <w:tabs>
          <w:tab w:val="center" w:pos="4135"/>
          <w:tab w:val="left" w:pos="7515"/>
        </w:tabs>
        <w:spacing w:line="360" w:lineRule="auto"/>
        <w:jc w:val="center"/>
        <w:rPr>
          <w:rFonts w:ascii="Arial" w:hAnsi="Arial" w:cs="Arial"/>
          <w:sz w:val="14"/>
          <w:szCs w:val="26"/>
        </w:rPr>
      </w:pPr>
    </w:p>
    <w:p w14:paraId="0886D713" w14:textId="107F53F9" w:rsidR="008C2B7C" w:rsidRDefault="008C2B7C" w:rsidP="008C2B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37F5B7CA" w14:textId="1898892F" w:rsidR="008C2B7C" w:rsidRDefault="008C2B7C" w:rsidP="008C2B7C">
      <w:pPr>
        <w:tabs>
          <w:tab w:val="center" w:pos="4135"/>
          <w:tab w:val="left" w:pos="7515"/>
        </w:tabs>
        <w:spacing w:line="360" w:lineRule="auto"/>
        <w:jc w:val="center"/>
        <w:rPr>
          <w:rFonts w:ascii="Arial" w:hAnsi="Arial" w:cs="Arial"/>
          <w:sz w:val="26"/>
          <w:szCs w:val="26"/>
        </w:rPr>
      </w:pPr>
    </w:p>
    <w:p w14:paraId="2ED39682" w14:textId="4FAE69DE" w:rsidR="008C2B7C" w:rsidRDefault="008C2B7C" w:rsidP="008C2B7C">
      <w:pPr>
        <w:tabs>
          <w:tab w:val="center" w:pos="4135"/>
          <w:tab w:val="left" w:pos="7515"/>
        </w:tabs>
        <w:spacing w:line="360" w:lineRule="auto"/>
        <w:jc w:val="center"/>
        <w:rPr>
          <w:rFonts w:ascii="Arial" w:hAnsi="Arial" w:cs="Arial"/>
          <w:sz w:val="26"/>
          <w:szCs w:val="26"/>
        </w:rPr>
      </w:pPr>
    </w:p>
    <w:p w14:paraId="799AF6F8" w14:textId="2FE0939E" w:rsidR="008C2B7C" w:rsidRDefault="008C2B7C" w:rsidP="008C2B7C">
      <w:pPr>
        <w:tabs>
          <w:tab w:val="center" w:pos="4135"/>
          <w:tab w:val="left" w:pos="7515"/>
        </w:tabs>
        <w:spacing w:line="360" w:lineRule="auto"/>
        <w:jc w:val="center"/>
        <w:rPr>
          <w:rFonts w:ascii="Arial" w:hAnsi="Arial" w:cs="Arial"/>
          <w:sz w:val="26"/>
          <w:szCs w:val="26"/>
        </w:rPr>
      </w:pPr>
    </w:p>
    <w:p w14:paraId="68988996" w14:textId="77777777" w:rsidR="008C2B7C" w:rsidRDefault="008C2B7C" w:rsidP="008C2B7C">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50453FE0" w14:textId="50767BDA" w:rsidR="00BA258A" w:rsidRPr="00660DD1" w:rsidRDefault="008C2B7C" w:rsidP="00660DD1">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sectPr w:rsidR="00BA258A" w:rsidRPr="00660DD1" w:rsidSect="00FE086E">
      <w:headerReference w:type="even" r:id="rId8"/>
      <w:headerReference w:type="default" r:id="rId9"/>
      <w:footerReference w:type="default" r:id="rId10"/>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4664A7" w14:textId="77777777" w:rsidR="001850CE" w:rsidRDefault="001850CE">
      <w:pPr>
        <w:spacing w:after="0" w:line="240" w:lineRule="auto"/>
      </w:pPr>
      <w:r>
        <w:separator/>
      </w:r>
    </w:p>
  </w:endnote>
  <w:endnote w:type="continuationSeparator" w:id="0">
    <w:p w14:paraId="48843E3C" w14:textId="77777777" w:rsidR="001850CE" w:rsidRDefault="00185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2B90E" w14:textId="77777777" w:rsidR="001850CE" w:rsidRDefault="001850CE">
      <w:pPr>
        <w:spacing w:after="0" w:line="240" w:lineRule="auto"/>
      </w:pPr>
      <w:r>
        <w:separator/>
      </w:r>
    </w:p>
  </w:footnote>
  <w:footnote w:type="continuationSeparator" w:id="0">
    <w:p w14:paraId="2E4717FE" w14:textId="77777777" w:rsidR="001850CE" w:rsidRDefault="001850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D9CBAB5" w:rsidR="000F5C41" w:rsidRDefault="000F5C41">
        <w:pPr>
          <w:pStyle w:val="Encabezado"/>
          <w:jc w:val="center"/>
        </w:pPr>
        <w:r>
          <w:fldChar w:fldCharType="begin"/>
        </w:r>
        <w:r>
          <w:instrText>PAGE   \* MERGEFORMAT</w:instrText>
        </w:r>
        <w:r>
          <w:fldChar w:fldCharType="separate"/>
        </w:r>
        <w:r w:rsidR="005152CA" w:rsidRPr="005152CA">
          <w:rPr>
            <w:noProof/>
            <w:lang w:val="es-ES"/>
          </w:rPr>
          <w:t>4</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296788D" w:rsidR="000F5C41" w:rsidRDefault="000F5C41">
        <w:pPr>
          <w:pStyle w:val="Encabezado"/>
          <w:jc w:val="center"/>
        </w:pPr>
        <w:r>
          <w:fldChar w:fldCharType="begin"/>
        </w:r>
        <w:r>
          <w:instrText>PAGE   \* MERGEFORMAT</w:instrText>
        </w:r>
        <w:r>
          <w:fldChar w:fldCharType="separate"/>
        </w:r>
        <w:r w:rsidR="005152CA" w:rsidRPr="005152CA">
          <w:rPr>
            <w:noProof/>
            <w:lang w:val="es-ES"/>
          </w:rPr>
          <w:t>3</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594"/>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2B8E"/>
    <w:rsid w:val="0018345B"/>
    <w:rsid w:val="0018356C"/>
    <w:rsid w:val="0018454F"/>
    <w:rsid w:val="001846BB"/>
    <w:rsid w:val="001850CE"/>
    <w:rsid w:val="001854BD"/>
    <w:rsid w:val="00185DC5"/>
    <w:rsid w:val="00186701"/>
    <w:rsid w:val="00186FB3"/>
    <w:rsid w:val="0018765B"/>
    <w:rsid w:val="00192287"/>
    <w:rsid w:val="001923AE"/>
    <w:rsid w:val="001924B2"/>
    <w:rsid w:val="00193379"/>
    <w:rsid w:val="001934AC"/>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1CC"/>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2CA"/>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0DD1"/>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3E63"/>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2975"/>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B7C"/>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81B"/>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3D39"/>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C2A"/>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2D8D"/>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AAA"/>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customStyle="1" w:styleId="corte3centroCar">
    <w:name w:val="corte3 centro Car"/>
    <w:link w:val="corte3centro"/>
    <w:locked/>
    <w:rsid w:val="008C2B7C"/>
    <w:rPr>
      <w:rFonts w:ascii="Arial" w:eastAsia="Times New Roman" w:hAnsi="Arial" w:cs="Arial"/>
      <w:b/>
      <w:sz w:val="30"/>
      <w:lang w:val="es-ES_tradnl" w:eastAsia="es-ES"/>
    </w:rPr>
  </w:style>
  <w:style w:type="paragraph" w:customStyle="1" w:styleId="corte3centro">
    <w:name w:val="corte3 centro"/>
    <w:basedOn w:val="Normal"/>
    <w:link w:val="corte3centroCar"/>
    <w:rsid w:val="008C2B7C"/>
    <w:pPr>
      <w:spacing w:after="0" w:line="360" w:lineRule="auto"/>
      <w:jc w:val="center"/>
    </w:pPr>
    <w:rPr>
      <w:rFonts w:ascii="Arial" w:eastAsia="Times New Roman" w:hAnsi="Arial" w:cs="Arial"/>
      <w:b/>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5318342">
      <w:bodyDiv w:val="1"/>
      <w:marLeft w:val="0"/>
      <w:marRight w:val="0"/>
      <w:marTop w:val="0"/>
      <w:marBottom w:val="0"/>
      <w:divBdr>
        <w:top w:val="none" w:sz="0" w:space="0" w:color="auto"/>
        <w:left w:val="none" w:sz="0" w:space="0" w:color="auto"/>
        <w:bottom w:val="none" w:sz="0" w:space="0" w:color="auto"/>
        <w:right w:val="none" w:sz="0" w:space="0" w:color="auto"/>
      </w:divBdr>
    </w:div>
    <w:div w:id="194329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BAC16-59CA-479D-8520-EB6D1393D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5782</Words>
  <Characters>31804</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2020-02-27T16:34:00Z</cp:lastPrinted>
  <dcterms:created xsi:type="dcterms:W3CDTF">2020-09-23T16:00:00Z</dcterms:created>
  <dcterms:modified xsi:type="dcterms:W3CDTF">2020-09-23T16:00:00Z</dcterms:modified>
</cp:coreProperties>
</file>