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3E2" w:rsidRDefault="00BB23E2" w:rsidP="00BB23E2">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B23E2" w:rsidRDefault="00BB23E2" w:rsidP="00BB23E2">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0248/2019</w:t>
      </w:r>
    </w:p>
    <w:p w:rsidR="00BB23E2" w:rsidRDefault="00BB23E2" w:rsidP="00BB23E2">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036/2019 TERCERA SALA UNITARIA DE PRIMERA INSTANCIA</w:t>
      </w:r>
    </w:p>
    <w:p w:rsidR="00BB23E2" w:rsidRDefault="00BB23E2" w:rsidP="00333C18">
      <w:pPr>
        <w:spacing w:after="0" w:line="240" w:lineRule="auto"/>
        <w:ind w:left="2124"/>
        <w:jc w:val="both"/>
        <w:rPr>
          <w:rFonts w:ascii="Arial" w:hAnsi="Arial" w:cs="Arial"/>
          <w:b/>
          <w:sz w:val="26"/>
          <w:szCs w:val="26"/>
        </w:rPr>
      </w:pPr>
      <w:r>
        <w:rPr>
          <w:rFonts w:ascii="Arial" w:hAnsi="Arial" w:cs="Arial"/>
          <w:b/>
          <w:sz w:val="26"/>
          <w:szCs w:val="26"/>
        </w:rPr>
        <w:t xml:space="preserve">PONENTE: MAGISTRADO RAÚL PALOMARES PALOMINO. </w:t>
      </w:r>
    </w:p>
    <w:p w:rsidR="00BB23E2" w:rsidRDefault="00BB23E2" w:rsidP="00333C18">
      <w:pPr>
        <w:spacing w:after="0" w:line="240" w:lineRule="auto"/>
        <w:ind w:left="2124"/>
        <w:jc w:val="both"/>
        <w:rPr>
          <w:rFonts w:ascii="Arial" w:hAnsi="Arial" w:cs="Arial"/>
          <w:b/>
          <w:sz w:val="26"/>
          <w:szCs w:val="26"/>
        </w:rPr>
      </w:pPr>
    </w:p>
    <w:p w:rsidR="00BB23E2" w:rsidRDefault="00BB23E2" w:rsidP="00333C18">
      <w:pPr>
        <w:spacing w:after="0" w:line="360" w:lineRule="auto"/>
        <w:jc w:val="both"/>
        <w:rPr>
          <w:rFonts w:ascii="Arial" w:hAnsi="Arial" w:cs="Arial"/>
          <w:b/>
          <w:sz w:val="26"/>
          <w:szCs w:val="26"/>
        </w:rPr>
      </w:pPr>
      <w:r w:rsidRPr="00BB23E2">
        <w:rPr>
          <w:rFonts w:ascii="Arial" w:hAnsi="Arial" w:cs="Arial"/>
          <w:b/>
          <w:sz w:val="26"/>
          <w:szCs w:val="26"/>
        </w:rPr>
        <w:t xml:space="preserve">OAXACA DE JUÁREZ, OAXACA, A SEIS DE FEBRERO DE DOS MIL VEINTE. </w:t>
      </w:r>
    </w:p>
    <w:p w:rsidR="00BB23E2" w:rsidRDefault="00BB23E2" w:rsidP="00333C18">
      <w:pPr>
        <w:spacing w:after="0" w:line="360" w:lineRule="auto"/>
        <w:jc w:val="both"/>
        <w:rPr>
          <w:rFonts w:ascii="Arial" w:hAnsi="Arial" w:cs="Arial"/>
          <w:sz w:val="26"/>
          <w:szCs w:val="26"/>
        </w:rPr>
      </w:pPr>
      <w:r>
        <w:rPr>
          <w:rFonts w:ascii="Arial" w:hAnsi="Arial" w:cs="Arial"/>
          <w:sz w:val="26"/>
          <w:szCs w:val="26"/>
        </w:rPr>
        <w:t xml:space="preserve">         Por recibido el Cuaderno de Revisión </w:t>
      </w:r>
      <w:r>
        <w:rPr>
          <w:rFonts w:ascii="Arial" w:hAnsi="Arial" w:cs="Arial"/>
          <w:b/>
          <w:sz w:val="26"/>
          <w:szCs w:val="26"/>
        </w:rPr>
        <w:t>0248/2019</w:t>
      </w:r>
      <w:r>
        <w:rPr>
          <w:rFonts w:ascii="Arial" w:hAnsi="Arial" w:cs="Arial"/>
          <w:sz w:val="26"/>
          <w:szCs w:val="26"/>
        </w:rPr>
        <w:t>, que remite la Secretaría General de Acuerdos, con motivo del recurso de revisión interpuesto por</w:t>
      </w:r>
      <w:r>
        <w:rPr>
          <w:rFonts w:ascii="Arial" w:hAnsi="Arial" w:cs="Arial"/>
          <w:b/>
          <w:bCs/>
          <w:sz w:val="26"/>
          <w:szCs w:val="26"/>
        </w:rPr>
        <w:t xml:space="preserve"> </w:t>
      </w:r>
      <w:r w:rsidR="00125A9C">
        <w:rPr>
          <w:rFonts w:ascii="Arial" w:hAnsi="Arial" w:cs="Arial"/>
          <w:b/>
          <w:bCs/>
          <w:sz w:val="26"/>
          <w:szCs w:val="26"/>
        </w:rPr>
        <w:t>************</w:t>
      </w:r>
      <w:r>
        <w:rPr>
          <w:rFonts w:ascii="Arial" w:hAnsi="Arial" w:cs="Arial"/>
          <w:b/>
          <w:bCs/>
          <w:sz w:val="26"/>
          <w:szCs w:val="26"/>
        </w:rPr>
        <w:t xml:space="preserve"> </w:t>
      </w:r>
      <w:r w:rsidRPr="00DB663E">
        <w:rPr>
          <w:rFonts w:ascii="Arial" w:hAnsi="Arial" w:cs="Arial"/>
          <w:bCs/>
          <w:sz w:val="26"/>
          <w:szCs w:val="26"/>
        </w:rPr>
        <w:t>en su carácter de</w:t>
      </w:r>
      <w:r>
        <w:rPr>
          <w:rFonts w:ascii="Arial" w:hAnsi="Arial" w:cs="Arial"/>
          <w:b/>
          <w:bCs/>
          <w:sz w:val="26"/>
          <w:szCs w:val="26"/>
        </w:rPr>
        <w:t xml:space="preserve"> </w:t>
      </w:r>
      <w:r w:rsidR="00125A9C">
        <w:rPr>
          <w:rFonts w:ascii="Arial" w:hAnsi="Arial" w:cs="Arial"/>
          <w:b/>
          <w:bCs/>
          <w:sz w:val="26"/>
          <w:szCs w:val="26"/>
        </w:rPr>
        <w:t>************</w:t>
      </w:r>
      <w:r>
        <w:rPr>
          <w:rFonts w:ascii="Arial" w:hAnsi="Arial" w:cs="Arial"/>
          <w:b/>
          <w:sz w:val="26"/>
          <w:szCs w:val="26"/>
        </w:rPr>
        <w:t xml:space="preserve">, </w:t>
      </w:r>
      <w:r>
        <w:rPr>
          <w:rFonts w:ascii="Arial" w:eastAsia="Calibri" w:hAnsi="Arial" w:cs="Arial"/>
          <w:sz w:val="26"/>
          <w:szCs w:val="26"/>
        </w:rPr>
        <w:t xml:space="preserve">en contra de la </w:t>
      </w:r>
      <w:proofErr w:type="gramStart"/>
      <w:r>
        <w:rPr>
          <w:rFonts w:ascii="Arial" w:eastAsia="Calibri" w:hAnsi="Arial" w:cs="Arial"/>
          <w:sz w:val="26"/>
          <w:szCs w:val="26"/>
        </w:rPr>
        <w:t>sentencia</w:t>
      </w:r>
      <w:proofErr w:type="gramEnd"/>
      <w:r>
        <w:rPr>
          <w:rFonts w:ascii="Arial" w:eastAsia="Calibri" w:hAnsi="Arial" w:cs="Arial"/>
          <w:sz w:val="26"/>
          <w:szCs w:val="26"/>
        </w:rPr>
        <w:t xml:space="preserve"> de diecinueve de junio de dos mil diecinueve, </w:t>
      </w:r>
      <w:r>
        <w:rPr>
          <w:rFonts w:ascii="Arial" w:hAnsi="Arial" w:cs="Arial"/>
          <w:sz w:val="26"/>
          <w:szCs w:val="26"/>
        </w:rPr>
        <w:t xml:space="preserve">dictada en el expediente </w:t>
      </w:r>
      <w:r w:rsidRPr="00A62B38">
        <w:rPr>
          <w:rFonts w:ascii="Arial" w:hAnsi="Arial" w:cs="Arial"/>
          <w:b/>
          <w:sz w:val="26"/>
          <w:szCs w:val="26"/>
        </w:rPr>
        <w:t>0</w:t>
      </w:r>
      <w:r>
        <w:rPr>
          <w:rFonts w:ascii="Arial" w:hAnsi="Arial" w:cs="Arial"/>
          <w:b/>
          <w:sz w:val="26"/>
          <w:szCs w:val="26"/>
        </w:rPr>
        <w:t>036/2019,</w:t>
      </w:r>
      <w:r>
        <w:rPr>
          <w:rFonts w:ascii="Arial" w:hAnsi="Arial" w:cs="Arial"/>
          <w:sz w:val="26"/>
          <w:szCs w:val="26"/>
        </w:rPr>
        <w:t xml:space="preserve"> de la Tercera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sidR="00125A9C">
        <w:rPr>
          <w:rFonts w:ascii="Arial" w:hAnsi="Arial" w:cs="Arial"/>
          <w:b/>
          <w:bCs/>
          <w:sz w:val="26"/>
          <w:szCs w:val="26"/>
        </w:rPr>
        <w:t>************</w:t>
      </w:r>
      <w:r w:rsidRPr="00CA3845">
        <w:rPr>
          <w:rFonts w:ascii="Arial" w:hAnsi="Arial" w:cs="Arial"/>
          <w:sz w:val="26"/>
          <w:szCs w:val="26"/>
        </w:rPr>
        <w:t>,</w:t>
      </w:r>
      <w:r>
        <w:rPr>
          <w:rFonts w:ascii="Arial" w:hAnsi="Arial" w:cs="Arial"/>
          <w:sz w:val="26"/>
          <w:szCs w:val="26"/>
        </w:rPr>
        <w:t xml:space="preserve"> </w:t>
      </w:r>
      <w:r>
        <w:rPr>
          <w:rFonts w:ascii="Arial" w:hAnsi="Arial" w:cs="Arial"/>
          <w:bCs/>
          <w:sz w:val="26"/>
          <w:szCs w:val="26"/>
        </w:rPr>
        <w:t>en contra del propio recurrente</w:t>
      </w:r>
      <w:r>
        <w:rPr>
          <w:rFonts w:ascii="Arial" w:eastAsia="Calibri" w:hAnsi="Arial" w:cs="Arial"/>
          <w:sz w:val="26"/>
          <w:szCs w:val="26"/>
        </w:rPr>
        <w:t>;</w:t>
      </w:r>
      <w:r w:rsidRPr="00117A92">
        <w:rPr>
          <w:rFonts w:ascii="Arial" w:eastAsia="Calibri" w:hAnsi="Arial" w:cs="Arial"/>
          <w:sz w:val="26"/>
          <w:szCs w:val="26"/>
        </w:rPr>
        <w:t xml:space="preserve"> </w:t>
      </w:r>
      <w:r>
        <w:rPr>
          <w:rFonts w:ascii="Arial" w:eastAsia="Calibri" w:hAnsi="Arial" w:cs="Arial"/>
          <w:sz w:val="26"/>
          <w:szCs w:val="26"/>
        </w:rPr>
        <w:t xml:space="preserve">por lo que con fundamento en </w:t>
      </w:r>
      <w:r>
        <w:rPr>
          <w:rFonts w:ascii="Arial" w:hAnsi="Arial" w:cs="Arial"/>
          <w:sz w:val="26"/>
          <w:szCs w:val="26"/>
        </w:rPr>
        <w:t>los artículos 236 y 237 de la Ley de Procedimiento y Justicia Administrativa para el Estado de Oaxaca vigente, se admite. Por consiguiente, se procede a dictar resolución en los siguientes términos:</w:t>
      </w:r>
    </w:p>
    <w:p w:rsidR="00BB23E2" w:rsidRDefault="00BB23E2" w:rsidP="00BB23E2">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B23E2" w:rsidRDefault="00333C18" w:rsidP="00333C18">
      <w:pPr>
        <w:spacing w:line="360" w:lineRule="auto"/>
        <w:jc w:val="both"/>
        <w:rPr>
          <w:rFonts w:ascii="Arial" w:hAnsi="Arial" w:cs="Arial"/>
          <w:sz w:val="26"/>
          <w:szCs w:val="26"/>
        </w:rPr>
      </w:pPr>
      <w:r>
        <w:rPr>
          <w:rFonts w:ascii="Arial" w:hAnsi="Arial" w:cs="Arial"/>
          <w:sz w:val="26"/>
          <w:szCs w:val="26"/>
        </w:rPr>
        <w:t xml:space="preserve">         </w:t>
      </w:r>
      <w:r w:rsidR="00BB23E2">
        <w:rPr>
          <w:rFonts w:ascii="Arial" w:hAnsi="Arial" w:cs="Arial"/>
          <w:b/>
          <w:bCs/>
          <w:sz w:val="26"/>
          <w:szCs w:val="26"/>
        </w:rPr>
        <w:t xml:space="preserve">PRIMERO. </w:t>
      </w:r>
      <w:r w:rsidR="00BB23E2">
        <w:rPr>
          <w:rFonts w:ascii="Arial" w:hAnsi="Arial" w:cs="Arial"/>
          <w:sz w:val="26"/>
          <w:szCs w:val="26"/>
        </w:rPr>
        <w:t>Inconforme con</w:t>
      </w:r>
      <w:r w:rsidR="00BB23E2" w:rsidRPr="009D3CFF">
        <w:rPr>
          <w:rFonts w:ascii="Arial" w:eastAsia="Calibri" w:hAnsi="Arial" w:cs="Arial"/>
          <w:sz w:val="26"/>
          <w:szCs w:val="26"/>
        </w:rPr>
        <w:t xml:space="preserve"> </w:t>
      </w:r>
      <w:r w:rsidR="00BB23E2">
        <w:rPr>
          <w:rFonts w:ascii="Arial" w:eastAsia="Calibri" w:hAnsi="Arial" w:cs="Arial"/>
          <w:sz w:val="26"/>
          <w:szCs w:val="26"/>
        </w:rPr>
        <w:t>la</w:t>
      </w:r>
      <w:r w:rsidR="00BB23E2" w:rsidRPr="00484564">
        <w:rPr>
          <w:rFonts w:ascii="Arial" w:eastAsia="Calibri" w:hAnsi="Arial" w:cs="Arial"/>
          <w:sz w:val="26"/>
          <w:szCs w:val="26"/>
        </w:rPr>
        <w:t xml:space="preserve"> </w:t>
      </w:r>
      <w:r w:rsidR="00BB23E2">
        <w:rPr>
          <w:rFonts w:ascii="Arial" w:eastAsia="Calibri" w:hAnsi="Arial" w:cs="Arial"/>
          <w:sz w:val="26"/>
          <w:szCs w:val="26"/>
        </w:rPr>
        <w:t>sentencia de diecinueve de junio de dos mil diecinueve</w:t>
      </w:r>
      <w:r w:rsidR="00BB23E2">
        <w:rPr>
          <w:rFonts w:ascii="Arial" w:hAnsi="Arial" w:cs="Arial"/>
          <w:sz w:val="26"/>
          <w:szCs w:val="26"/>
        </w:rPr>
        <w:t>, dictada por la Tercera Sala Unitaria de Primera Instancia</w:t>
      </w:r>
      <w:r w:rsidR="00BB23E2" w:rsidRPr="009D3CFF">
        <w:rPr>
          <w:rFonts w:ascii="Arial" w:hAnsi="Arial" w:cs="Arial"/>
          <w:sz w:val="26"/>
          <w:szCs w:val="26"/>
        </w:rPr>
        <w:t>,</w:t>
      </w:r>
      <w:r w:rsidR="00BB23E2">
        <w:rPr>
          <w:rFonts w:ascii="Arial" w:hAnsi="Arial" w:cs="Arial"/>
          <w:b/>
          <w:bCs/>
          <w:sz w:val="26"/>
          <w:szCs w:val="26"/>
        </w:rPr>
        <w:t xml:space="preserve"> </w:t>
      </w:r>
      <w:r w:rsidR="00125A9C" w:rsidRPr="00125A9C">
        <w:rPr>
          <w:rFonts w:ascii="Arial" w:hAnsi="Arial" w:cs="Arial"/>
          <w:b/>
          <w:bCs/>
          <w:sz w:val="26"/>
          <w:szCs w:val="26"/>
        </w:rPr>
        <w:t>**********</w:t>
      </w:r>
      <w:r w:rsidR="00BB23E2" w:rsidRPr="00125A9C">
        <w:rPr>
          <w:rFonts w:ascii="Arial" w:hAnsi="Arial" w:cs="Arial"/>
          <w:b/>
          <w:sz w:val="26"/>
          <w:szCs w:val="26"/>
        </w:rPr>
        <w:t>,</w:t>
      </w:r>
      <w:r w:rsidR="00BB23E2" w:rsidRPr="009D3CFF">
        <w:rPr>
          <w:rFonts w:ascii="Arial" w:hAnsi="Arial" w:cs="Arial"/>
          <w:sz w:val="26"/>
          <w:szCs w:val="26"/>
        </w:rPr>
        <w:t xml:space="preserve"> </w:t>
      </w:r>
      <w:r w:rsidR="00BB23E2" w:rsidRPr="00DB663E">
        <w:rPr>
          <w:rFonts w:ascii="Arial" w:hAnsi="Arial" w:cs="Arial"/>
          <w:bCs/>
          <w:sz w:val="26"/>
          <w:szCs w:val="26"/>
        </w:rPr>
        <w:t>en su carácter de</w:t>
      </w:r>
      <w:r w:rsidR="00BB23E2">
        <w:rPr>
          <w:rFonts w:ascii="Arial" w:hAnsi="Arial" w:cs="Arial"/>
          <w:b/>
          <w:bCs/>
          <w:sz w:val="26"/>
          <w:szCs w:val="26"/>
        </w:rPr>
        <w:t xml:space="preserve"> </w:t>
      </w:r>
      <w:r w:rsidR="00125A9C">
        <w:rPr>
          <w:rFonts w:ascii="Arial" w:hAnsi="Arial" w:cs="Arial"/>
          <w:b/>
          <w:bCs/>
          <w:sz w:val="26"/>
          <w:szCs w:val="26"/>
        </w:rPr>
        <w:t>**********</w:t>
      </w:r>
      <w:r w:rsidR="00BB23E2">
        <w:rPr>
          <w:rFonts w:ascii="Arial" w:hAnsi="Arial" w:cs="Arial"/>
          <w:sz w:val="26"/>
          <w:szCs w:val="26"/>
        </w:rPr>
        <w:t xml:space="preserve"> interpuso en su contra recurso de revisión. </w:t>
      </w:r>
    </w:p>
    <w:p w:rsidR="00BB23E2" w:rsidRDefault="00333C18" w:rsidP="00BB23E2">
      <w:pPr>
        <w:spacing w:after="0" w:line="360" w:lineRule="auto"/>
        <w:jc w:val="both"/>
        <w:rPr>
          <w:rFonts w:ascii="Arial" w:eastAsia="Calibri" w:hAnsi="Arial" w:cs="Arial"/>
          <w:sz w:val="26"/>
          <w:szCs w:val="26"/>
        </w:rPr>
      </w:pPr>
      <w:r>
        <w:rPr>
          <w:rFonts w:ascii="Arial" w:hAnsi="Arial" w:cs="Arial"/>
          <w:sz w:val="26"/>
          <w:szCs w:val="26"/>
        </w:rPr>
        <w:t xml:space="preserve">        </w:t>
      </w:r>
      <w:r w:rsidR="00BB23E2">
        <w:rPr>
          <w:rFonts w:ascii="Arial" w:eastAsia="Calibri" w:hAnsi="Arial" w:cs="Arial"/>
          <w:b/>
          <w:bCs/>
          <w:sz w:val="26"/>
          <w:szCs w:val="26"/>
        </w:rPr>
        <w:t xml:space="preserve">SEGUNDO. </w:t>
      </w:r>
      <w:r w:rsidR="00BB23E2">
        <w:rPr>
          <w:rFonts w:ascii="Arial" w:eastAsia="Calibri" w:hAnsi="Arial" w:cs="Arial"/>
          <w:sz w:val="26"/>
          <w:szCs w:val="26"/>
        </w:rPr>
        <w:t>Los puntos resolutivos de la resolución recurrida son los siguientes:</w:t>
      </w:r>
    </w:p>
    <w:p w:rsidR="00BB23E2" w:rsidRDefault="00BB23E2" w:rsidP="00333C18">
      <w:pPr>
        <w:pStyle w:val="Textoindependiente21"/>
        <w:tabs>
          <w:tab w:val="left" w:pos="7938"/>
        </w:tabs>
        <w:spacing w:line="240" w:lineRule="auto"/>
        <w:ind w:left="993" w:right="616" w:firstLine="0"/>
        <w:rPr>
          <w:rFonts w:ascii="Arial" w:hAnsi="Arial" w:cs="Arial"/>
          <w:bCs/>
          <w:i/>
          <w:iCs/>
          <w:sz w:val="22"/>
          <w:szCs w:val="22"/>
        </w:rPr>
      </w:pPr>
      <w:r w:rsidRPr="00BB23E2">
        <w:rPr>
          <w:rFonts w:ascii="Arial" w:hAnsi="Arial" w:cs="Arial"/>
          <w:bCs/>
          <w:iCs/>
          <w:sz w:val="22"/>
          <w:szCs w:val="22"/>
        </w:rPr>
        <w:t>“</w:t>
      </w:r>
      <w:r w:rsidRPr="00BB23E2">
        <w:rPr>
          <w:rFonts w:ascii="Arial" w:hAnsi="Arial" w:cs="Arial"/>
          <w:b/>
          <w:bCs/>
          <w:i/>
          <w:iCs/>
          <w:sz w:val="22"/>
          <w:szCs w:val="22"/>
        </w:rPr>
        <w:t>PRIMERO. -</w:t>
      </w:r>
      <w:r w:rsidRPr="00BB23E2">
        <w:rPr>
          <w:rFonts w:ascii="Arial" w:hAnsi="Arial" w:cs="Arial"/>
          <w:bCs/>
          <w:i/>
          <w:iCs/>
          <w:sz w:val="22"/>
          <w:szCs w:val="22"/>
        </w:rPr>
        <w:t xml:space="preserve"> Esta Tercera Sala Unitaria de Primera Instancia del Tribunal de Justicia Administrativa del Estado, fue competente para conocer y resolver del presente asunto. </w:t>
      </w:r>
    </w:p>
    <w:p w:rsidR="00BB23E2" w:rsidRDefault="00BB23E2" w:rsidP="00333C18">
      <w:pPr>
        <w:pStyle w:val="Textoindependiente21"/>
        <w:tabs>
          <w:tab w:val="left" w:pos="7938"/>
        </w:tabs>
        <w:spacing w:line="240" w:lineRule="auto"/>
        <w:ind w:left="993" w:right="616" w:firstLine="0"/>
        <w:rPr>
          <w:rFonts w:ascii="Arial" w:hAnsi="Arial" w:cs="Arial"/>
          <w:bCs/>
          <w:i/>
          <w:iCs/>
          <w:sz w:val="22"/>
          <w:szCs w:val="22"/>
        </w:rPr>
      </w:pPr>
      <w:r w:rsidRPr="00BB23E2">
        <w:rPr>
          <w:rFonts w:ascii="Arial" w:hAnsi="Arial" w:cs="Arial"/>
          <w:b/>
          <w:bCs/>
          <w:i/>
          <w:iCs/>
          <w:sz w:val="22"/>
          <w:szCs w:val="22"/>
        </w:rPr>
        <w:t>SEGUNDO</w:t>
      </w:r>
      <w:r w:rsidRPr="00BB23E2">
        <w:rPr>
          <w:rFonts w:ascii="Arial" w:hAnsi="Arial" w:cs="Arial"/>
          <w:bCs/>
          <w:i/>
          <w:iCs/>
          <w:sz w:val="22"/>
          <w:szCs w:val="22"/>
        </w:rPr>
        <w:t xml:space="preserve">. - La personalidad de las partes quedó acreditada en autos. </w:t>
      </w:r>
    </w:p>
    <w:p w:rsidR="00BB23E2" w:rsidRDefault="00BB23E2" w:rsidP="00333C18">
      <w:pPr>
        <w:pStyle w:val="Textoindependiente21"/>
        <w:tabs>
          <w:tab w:val="left" w:pos="7938"/>
        </w:tabs>
        <w:spacing w:line="240" w:lineRule="auto"/>
        <w:ind w:left="993" w:right="616" w:firstLine="0"/>
        <w:rPr>
          <w:rFonts w:ascii="Arial" w:hAnsi="Arial" w:cs="Arial"/>
          <w:bCs/>
          <w:i/>
          <w:iCs/>
          <w:sz w:val="22"/>
          <w:szCs w:val="22"/>
        </w:rPr>
      </w:pPr>
      <w:r w:rsidRPr="00BB23E2">
        <w:rPr>
          <w:rFonts w:ascii="Arial" w:hAnsi="Arial" w:cs="Arial"/>
          <w:b/>
          <w:bCs/>
          <w:i/>
          <w:iCs/>
          <w:sz w:val="22"/>
          <w:szCs w:val="22"/>
        </w:rPr>
        <w:t>TERCERO</w:t>
      </w:r>
      <w:r w:rsidRPr="00BB23E2">
        <w:rPr>
          <w:rFonts w:ascii="Arial" w:hAnsi="Arial" w:cs="Arial"/>
          <w:b/>
          <w:i/>
          <w:iCs/>
          <w:sz w:val="22"/>
          <w:szCs w:val="22"/>
        </w:rPr>
        <w:t xml:space="preserve">. </w:t>
      </w:r>
      <w:r w:rsidRPr="00BB23E2">
        <w:rPr>
          <w:rFonts w:ascii="Arial" w:hAnsi="Arial" w:cs="Arial"/>
          <w:bCs/>
          <w:i/>
          <w:iCs/>
          <w:sz w:val="22"/>
          <w:szCs w:val="22"/>
        </w:rPr>
        <w:t xml:space="preserve">Se declara la </w:t>
      </w:r>
      <w:r w:rsidRPr="00BB23E2">
        <w:rPr>
          <w:rFonts w:ascii="Arial" w:hAnsi="Arial" w:cs="Arial"/>
          <w:b/>
          <w:i/>
          <w:iCs/>
          <w:sz w:val="22"/>
          <w:szCs w:val="22"/>
        </w:rPr>
        <w:t xml:space="preserve">NULIDAD LISA Y LLANA </w:t>
      </w:r>
      <w:r w:rsidRPr="00BB23E2">
        <w:rPr>
          <w:rFonts w:ascii="Arial" w:hAnsi="Arial" w:cs="Arial"/>
          <w:bCs/>
          <w:i/>
          <w:iCs/>
          <w:sz w:val="22"/>
          <w:szCs w:val="22"/>
        </w:rPr>
        <w:t xml:space="preserve">del acta de infracción de folio </w:t>
      </w:r>
      <w:r w:rsidR="005B546D" w:rsidRPr="005B546D">
        <w:rPr>
          <w:rFonts w:ascii="Arial" w:hAnsi="Arial" w:cs="Arial"/>
          <w:b/>
          <w:bCs/>
          <w:i/>
          <w:iCs/>
          <w:sz w:val="22"/>
          <w:szCs w:val="22"/>
        </w:rPr>
        <w:t>*********</w:t>
      </w:r>
      <w:r w:rsidRPr="00BB23E2">
        <w:rPr>
          <w:rFonts w:ascii="Arial" w:hAnsi="Arial" w:cs="Arial"/>
          <w:bCs/>
          <w:i/>
          <w:iCs/>
          <w:sz w:val="22"/>
          <w:szCs w:val="22"/>
        </w:rPr>
        <w:t xml:space="preserve"> de tres de abril de dos mil diecinueve, levantad</w:t>
      </w:r>
      <w:r w:rsidR="005B546D">
        <w:rPr>
          <w:rFonts w:ascii="Arial" w:hAnsi="Arial" w:cs="Arial"/>
          <w:bCs/>
          <w:i/>
          <w:iCs/>
          <w:sz w:val="22"/>
          <w:szCs w:val="22"/>
        </w:rPr>
        <w:t xml:space="preserve">a por la Policía Vial Estatal, ************ </w:t>
      </w:r>
      <w:bookmarkStart w:id="0" w:name="_GoBack"/>
      <w:bookmarkEnd w:id="0"/>
      <w:r w:rsidRPr="00BB23E2">
        <w:rPr>
          <w:rFonts w:ascii="Arial" w:hAnsi="Arial" w:cs="Arial"/>
          <w:bCs/>
          <w:i/>
          <w:iCs/>
          <w:sz w:val="22"/>
          <w:szCs w:val="22"/>
        </w:rPr>
        <w:t xml:space="preserve">de la Dirección General de la Policía Vial Estatal. </w:t>
      </w:r>
    </w:p>
    <w:p w:rsidR="00BB23E2" w:rsidRPr="00BB23E2" w:rsidRDefault="00BB23E2" w:rsidP="00333C18">
      <w:pPr>
        <w:pStyle w:val="Textoindependiente21"/>
        <w:tabs>
          <w:tab w:val="left" w:pos="7938"/>
        </w:tabs>
        <w:spacing w:line="240" w:lineRule="auto"/>
        <w:ind w:left="993" w:right="616" w:firstLine="0"/>
        <w:rPr>
          <w:rFonts w:ascii="Arial" w:hAnsi="Arial" w:cs="Arial"/>
          <w:bCs/>
          <w:iCs/>
          <w:sz w:val="22"/>
          <w:szCs w:val="22"/>
        </w:rPr>
      </w:pPr>
      <w:r w:rsidRPr="00BB23E2">
        <w:rPr>
          <w:rFonts w:ascii="Arial" w:hAnsi="Arial" w:cs="Arial"/>
          <w:b/>
          <w:i/>
          <w:iCs/>
          <w:sz w:val="22"/>
          <w:szCs w:val="22"/>
        </w:rPr>
        <w:t xml:space="preserve">CUARTO. </w:t>
      </w:r>
      <w:r w:rsidRPr="00BB23E2">
        <w:rPr>
          <w:rFonts w:ascii="Arial" w:hAnsi="Arial" w:cs="Arial"/>
          <w:bCs/>
          <w:i/>
          <w:iCs/>
          <w:sz w:val="22"/>
          <w:szCs w:val="22"/>
        </w:rPr>
        <w:t xml:space="preserve">Conforme a lo dispuesto en los artículos 172, fracción I y 173, fracciones I y II, de la Ley de Procedimiento de Justicia Administrativa para el Estado, </w:t>
      </w:r>
      <w:r w:rsidRPr="00BB23E2">
        <w:rPr>
          <w:rFonts w:ascii="Arial" w:hAnsi="Arial" w:cs="Arial"/>
          <w:b/>
          <w:i/>
          <w:iCs/>
          <w:sz w:val="22"/>
          <w:szCs w:val="22"/>
        </w:rPr>
        <w:t>NOTIFÍQUESE PERSONALMENTE A LA PARTE ACTORA Y POR OFICIO A LAS AUTORIDADES DEMANDADAS. CÚMPLASE.</w:t>
      </w:r>
      <w:r w:rsidRPr="00BB23E2">
        <w:rPr>
          <w:rFonts w:ascii="Arial" w:hAnsi="Arial" w:cs="Arial"/>
          <w:bCs/>
          <w:i/>
          <w:iCs/>
          <w:sz w:val="22"/>
          <w:szCs w:val="22"/>
        </w:rPr>
        <w:t xml:space="preserve"> - - -  </w:t>
      </w:r>
      <w:r w:rsidRPr="00BB23E2">
        <w:rPr>
          <w:rFonts w:ascii="Arial" w:hAnsi="Arial" w:cs="Arial"/>
          <w:iCs/>
          <w:sz w:val="22"/>
          <w:szCs w:val="22"/>
        </w:rPr>
        <w:t>”</w:t>
      </w:r>
    </w:p>
    <w:p w:rsidR="00BB23E2" w:rsidRDefault="00BB23E2" w:rsidP="00BB23E2">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BB23E2" w:rsidRDefault="00BB23E2" w:rsidP="00BB23E2">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w:t>
      </w:r>
      <w:r w:rsidRPr="00403CFB">
        <w:rPr>
          <w:rFonts w:ascii="Arial" w:hAnsi="Arial" w:cs="Arial"/>
          <w:bCs/>
          <w:iCs/>
          <w:sz w:val="26"/>
          <w:szCs w:val="26"/>
        </w:rPr>
        <w:lastRenderedPageBreak/>
        <w:t>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 la sentencia de fecha </w:t>
      </w:r>
      <w:r w:rsidRPr="00CB6405">
        <w:rPr>
          <w:rFonts w:ascii="Arial" w:hAnsi="Arial" w:cs="Arial"/>
          <w:sz w:val="26"/>
          <w:szCs w:val="26"/>
        </w:rPr>
        <w:t>dieci</w:t>
      </w:r>
      <w:r>
        <w:rPr>
          <w:rFonts w:ascii="Arial" w:hAnsi="Arial" w:cs="Arial"/>
          <w:sz w:val="26"/>
          <w:szCs w:val="26"/>
        </w:rPr>
        <w:t>nueve de junio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sidRPr="007E033C">
        <w:rPr>
          <w:rFonts w:ascii="Arial" w:hAnsi="Arial" w:cs="Arial"/>
          <w:b/>
          <w:bCs/>
          <w:iCs/>
          <w:sz w:val="26"/>
          <w:szCs w:val="26"/>
        </w:rPr>
        <w:t>0</w:t>
      </w:r>
      <w:r>
        <w:rPr>
          <w:rFonts w:ascii="Arial" w:hAnsi="Arial" w:cs="Arial"/>
          <w:b/>
          <w:bCs/>
          <w:iCs/>
          <w:sz w:val="26"/>
          <w:szCs w:val="26"/>
        </w:rPr>
        <w:t>036/2019</w:t>
      </w:r>
      <w:r w:rsidRPr="00DD4D5B">
        <w:rPr>
          <w:rFonts w:ascii="Arial" w:hAnsi="Arial" w:cs="Arial"/>
          <w:b/>
          <w:bCs/>
          <w:iCs/>
          <w:sz w:val="26"/>
          <w:szCs w:val="26"/>
        </w:rPr>
        <w:t>.</w:t>
      </w:r>
    </w:p>
    <w:p w:rsidR="00BB23E2" w:rsidRDefault="00BB23E2" w:rsidP="00333C18">
      <w:pPr>
        <w:spacing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BB23E2" w:rsidRPr="00BB23E2" w:rsidRDefault="00BB23E2" w:rsidP="00333C18">
      <w:pPr>
        <w:spacing w:after="0" w:line="360" w:lineRule="auto"/>
        <w:ind w:left="1134" w:right="616"/>
        <w:jc w:val="both"/>
        <w:rPr>
          <w:rFonts w:ascii="Arial" w:hAnsi="Arial" w:cs="Arial"/>
        </w:rPr>
      </w:pPr>
      <w:r w:rsidRPr="00BB23E2">
        <w:rPr>
          <w:rFonts w:ascii="Arial" w:hAnsi="Arial" w:cs="Arial"/>
        </w:rPr>
        <w:t>“</w:t>
      </w:r>
      <w:r w:rsidRPr="00BB23E2">
        <w:rPr>
          <w:rFonts w:ascii="Arial" w:hAnsi="Arial" w:cs="Arial"/>
          <w:b/>
          <w:i/>
        </w:rPr>
        <w:t>CONCEPTOS DE VIOLACIÓN. NO ES OBLIGATORIO TRANSCRIBIRLOS EN LA SENTENCIA</w:t>
      </w:r>
      <w:r w:rsidRPr="00BB23E2">
        <w:rPr>
          <w:rFonts w:ascii="Arial" w:hAnsi="Arial" w:cs="Arial"/>
        </w:rPr>
        <w:t xml:space="preserve">. </w:t>
      </w:r>
      <w:r w:rsidRPr="00BB23E2">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BB23E2">
        <w:rPr>
          <w:rFonts w:ascii="Arial" w:hAnsi="Arial" w:cs="Arial"/>
        </w:rPr>
        <w:t>.”</w:t>
      </w:r>
    </w:p>
    <w:p w:rsidR="00BB23E2" w:rsidRDefault="00BB23E2" w:rsidP="00333C18">
      <w:pPr>
        <w:pStyle w:val="Sinespaciado"/>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 xml:space="preserve">La autoridad recurrente vierte en sus agravios el argumento consistente en que la sentencia que se impugna invade seriamente la esfera jurídica y la soberanía del Estado de Oaxaca, ya que contraviene disposiciones de orden público y de interés social, porque la A quo dejó de aplicar y observar lo dispuesto por los artículos 21 párrafo cuarto, 115 fracción III inciso i), segundo párrafo de la Constitución Política de los Estados Unidos Mexicanos, 113 fracción III inciso i), segundo párrafo de la Constitución Política del Estado Libre y Soberano de Oaxaca, 47 fracción XXXI, de la Ley del Sistema Estatal de Seguridad Pública de Oaxaca; 1, 2, 6, 15, 16, 17, 18, 84 y 85 de la Ley </w:t>
      </w:r>
      <w:r>
        <w:rPr>
          <w:rFonts w:ascii="Arial" w:eastAsia="Calibri" w:hAnsi="Arial" w:cs="Arial"/>
          <w:bCs/>
          <w:sz w:val="26"/>
          <w:szCs w:val="26"/>
        </w:rPr>
        <w:lastRenderedPageBreak/>
        <w:t xml:space="preserve">de Tránsito, Movilidad y Vialidad del Estado de Oaxaca; 1, 2, 137 fracción I, 158 del Reglamento de la Ley de Tránsito reformada del Estado de Oaxaca. </w:t>
      </w:r>
    </w:p>
    <w:p w:rsidR="00BB23E2" w:rsidRDefault="00BB23E2" w:rsidP="00333C18">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Sala Superior advierte que son </w:t>
      </w:r>
      <w:r w:rsidRPr="00FE1DC1">
        <w:rPr>
          <w:rFonts w:ascii="Arial" w:eastAsia="Calibri" w:hAnsi="Arial" w:cs="Arial"/>
          <w:b/>
          <w:bCs/>
          <w:sz w:val="26"/>
          <w:szCs w:val="26"/>
        </w:rPr>
        <w:t>inoperantes</w:t>
      </w:r>
      <w:r>
        <w:rPr>
          <w:rFonts w:ascii="Arial" w:eastAsia="Calibri" w:hAnsi="Arial" w:cs="Arial"/>
          <w:bCs/>
          <w:sz w:val="26"/>
          <w:szCs w:val="26"/>
        </w:rPr>
        <w:t xml:space="preserve"> los argumentos expresados en el recurso de revisión interpuesto, porque la autoridad inconforme no expone con argumentos lógico - jurídicos, el por qué a su entendimiento, la sentencia en revisión invade la esfera jurídica y la soberanía del Estado, tampoco señala la razón por la cual estima que la A quo dejó de observar lo dispuesto por los artículos que menciona; además, de que con la transcripción de esos preceptos legales, no impugna las consideraciones torales de la sentencia de fecha diecinueve de junio de dos mil diecinueve, en la que se declaró la nulidad lisa y llana del acta de infracción de folio </w:t>
      </w:r>
      <w:r w:rsidR="00125A9C" w:rsidRPr="00125A9C">
        <w:rPr>
          <w:rFonts w:ascii="Arial" w:eastAsia="Calibri" w:hAnsi="Arial" w:cs="Arial"/>
          <w:b/>
          <w:bCs/>
          <w:sz w:val="26"/>
          <w:szCs w:val="26"/>
        </w:rPr>
        <w:t>**********</w:t>
      </w:r>
      <w:r>
        <w:rPr>
          <w:rFonts w:ascii="Arial" w:eastAsia="Calibri" w:hAnsi="Arial" w:cs="Arial"/>
          <w:bCs/>
          <w:sz w:val="26"/>
          <w:szCs w:val="26"/>
        </w:rPr>
        <w:t xml:space="preserve"> de tres de abril de dos mil diecinueve, lo cual era indispensable que hiciera, y al no realizarlo, prevalece el sentido de la sentencia en revisión.</w:t>
      </w:r>
    </w:p>
    <w:p w:rsidR="00BB23E2" w:rsidRPr="002B506D" w:rsidRDefault="00BB23E2" w:rsidP="00333C18">
      <w:pPr>
        <w:spacing w:after="0" w:line="360" w:lineRule="auto"/>
        <w:ind w:firstLine="709"/>
        <w:jc w:val="both"/>
        <w:rPr>
          <w:rFonts w:ascii="Arial" w:eastAsia="Times New Roman" w:hAnsi="Arial"/>
          <w:color w:val="000000" w:themeColor="text1"/>
          <w:sz w:val="26"/>
          <w:szCs w:val="26"/>
          <w:lang w:val="es-MX"/>
        </w:rPr>
      </w:pPr>
      <w:r>
        <w:rPr>
          <w:rFonts w:ascii="Arial" w:hAnsi="Arial" w:cs="Arial"/>
          <w:bCs/>
          <w:color w:val="000000" w:themeColor="text1"/>
          <w:sz w:val="26"/>
          <w:szCs w:val="26"/>
          <w:lang w:val="es-MX"/>
        </w:rPr>
        <w:t xml:space="preserve">Es aplicable al presente caso, </w:t>
      </w:r>
      <w:r w:rsidRPr="002B506D">
        <w:rPr>
          <w:rFonts w:ascii="Arial" w:hAnsi="Arial" w:cs="Arial"/>
          <w:bCs/>
          <w:color w:val="000000" w:themeColor="text1"/>
          <w:sz w:val="26"/>
          <w:szCs w:val="26"/>
          <w:lang w:val="es-MX"/>
        </w:rPr>
        <w:t xml:space="preserve">la jurisprudencia </w:t>
      </w:r>
      <w:r>
        <w:rPr>
          <w:rFonts w:ascii="Arial" w:eastAsia="Times New Roman" w:hAnsi="Arial"/>
          <w:color w:val="000000" w:themeColor="text1"/>
          <w:sz w:val="26"/>
          <w:szCs w:val="26"/>
          <w:lang w:val="es-MX"/>
        </w:rPr>
        <w:t xml:space="preserve">IV.3o. J/12 emitida </w:t>
      </w:r>
      <w:r w:rsidRPr="002B506D">
        <w:rPr>
          <w:rFonts w:ascii="Arial" w:eastAsia="Times New Roman" w:hAnsi="Arial"/>
          <w:color w:val="000000" w:themeColor="text1"/>
          <w:sz w:val="26"/>
          <w:szCs w:val="26"/>
          <w:lang w:val="es-MX"/>
        </w:rPr>
        <w:t>por el Tercer Tribunal Colegiad</w:t>
      </w:r>
      <w:r>
        <w:rPr>
          <w:rFonts w:ascii="Arial" w:eastAsia="Times New Roman" w:hAnsi="Arial"/>
          <w:color w:val="000000" w:themeColor="text1"/>
          <w:sz w:val="26"/>
          <w:szCs w:val="26"/>
          <w:lang w:val="es-MX"/>
        </w:rPr>
        <w:t>o del Cuarto Circuito, visible</w:t>
      </w:r>
      <w:r w:rsidRPr="002B506D">
        <w:rPr>
          <w:rFonts w:ascii="Arial" w:eastAsia="Times New Roman" w:hAnsi="Arial"/>
          <w:color w:val="000000" w:themeColor="text1"/>
          <w:sz w:val="26"/>
          <w:szCs w:val="26"/>
          <w:lang w:val="es-MX"/>
        </w:rPr>
        <w:t xml:space="preserve"> en la Gaceta del Sema</w:t>
      </w:r>
      <w:r>
        <w:rPr>
          <w:rFonts w:ascii="Arial" w:eastAsia="Times New Roman" w:hAnsi="Arial"/>
          <w:color w:val="000000" w:themeColor="text1"/>
          <w:sz w:val="26"/>
          <w:szCs w:val="26"/>
          <w:lang w:val="es-MX"/>
        </w:rPr>
        <w:t xml:space="preserve">nario Judicial de la Federación, perteneciente a </w:t>
      </w:r>
      <w:r w:rsidRPr="002B506D">
        <w:rPr>
          <w:rFonts w:ascii="Arial" w:eastAsia="Times New Roman" w:hAnsi="Arial"/>
          <w:color w:val="000000" w:themeColor="text1"/>
          <w:sz w:val="26"/>
          <w:szCs w:val="26"/>
          <w:lang w:val="es-MX"/>
        </w:rPr>
        <w:t xml:space="preserve">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 xml:space="preserve">poca, Septiembre de </w:t>
      </w:r>
      <w:r>
        <w:rPr>
          <w:rFonts w:ascii="Arial" w:eastAsia="Times New Roman" w:hAnsi="Arial"/>
          <w:color w:val="000000" w:themeColor="text1"/>
          <w:sz w:val="26"/>
          <w:szCs w:val="26"/>
          <w:lang w:val="es-MX"/>
        </w:rPr>
        <w:t xml:space="preserve">1992, consultable a página 57, de rubro y texto </w:t>
      </w:r>
      <w:r w:rsidRPr="002B506D">
        <w:rPr>
          <w:rFonts w:ascii="Arial" w:eastAsia="Times New Roman" w:hAnsi="Arial"/>
          <w:color w:val="000000" w:themeColor="text1"/>
          <w:sz w:val="26"/>
          <w:szCs w:val="26"/>
          <w:lang w:val="es-MX"/>
        </w:rPr>
        <w:t>siguiente</w:t>
      </w:r>
      <w:r>
        <w:rPr>
          <w:rFonts w:ascii="Arial" w:eastAsia="Times New Roman" w:hAnsi="Arial"/>
          <w:color w:val="000000" w:themeColor="text1"/>
          <w:sz w:val="26"/>
          <w:szCs w:val="26"/>
          <w:lang w:val="es-MX"/>
        </w:rPr>
        <w:t>s</w:t>
      </w:r>
      <w:r w:rsidRPr="002B506D">
        <w:rPr>
          <w:rFonts w:ascii="Arial" w:eastAsia="Times New Roman" w:hAnsi="Arial"/>
          <w:color w:val="000000" w:themeColor="text1"/>
          <w:sz w:val="26"/>
          <w:szCs w:val="26"/>
          <w:lang w:val="es-MX"/>
        </w:rPr>
        <w:t>:</w:t>
      </w:r>
    </w:p>
    <w:p w:rsidR="00333C18" w:rsidRDefault="00BB23E2" w:rsidP="00333C18">
      <w:pPr>
        <w:spacing w:after="0" w:line="360" w:lineRule="auto"/>
        <w:ind w:left="1134" w:right="709"/>
        <w:jc w:val="both"/>
        <w:rPr>
          <w:rFonts w:ascii="Arial" w:hAnsi="Arial" w:cs="Arial"/>
          <w:bCs/>
          <w:i/>
          <w:color w:val="000000" w:themeColor="text1"/>
          <w:lang w:val="es-MX"/>
        </w:rPr>
      </w:pPr>
      <w:r w:rsidRPr="00BB23E2">
        <w:rPr>
          <w:rFonts w:ascii="Arial" w:eastAsia="Times New Roman" w:hAnsi="Arial"/>
          <w:i/>
          <w:color w:val="000000" w:themeColor="text1"/>
          <w:lang w:val="es-MX"/>
        </w:rPr>
        <w:t>“</w:t>
      </w:r>
      <w:r w:rsidRPr="00BB23E2">
        <w:rPr>
          <w:rFonts w:ascii="Arial" w:eastAsia="Times New Roman" w:hAnsi="Arial"/>
          <w:b/>
          <w:i/>
          <w:color w:val="000000" w:themeColor="text1"/>
          <w:lang w:val="es-MX"/>
        </w:rPr>
        <w:t xml:space="preserve">AGRAVIOS. DEBEN DE IMPUGNAR LA ILEGALIDAD DEL FALLO RECURRIDO. </w:t>
      </w:r>
      <w:r w:rsidRPr="00BB23E2">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B23E2" w:rsidRPr="00333C18" w:rsidRDefault="00333C18" w:rsidP="00333C18">
      <w:pPr>
        <w:spacing w:after="0" w:line="360" w:lineRule="auto"/>
        <w:ind w:right="709"/>
        <w:jc w:val="both"/>
        <w:rPr>
          <w:rFonts w:ascii="Arial" w:hAnsi="Arial" w:cs="Arial"/>
          <w:bCs/>
          <w:i/>
          <w:color w:val="000000" w:themeColor="text1"/>
          <w:lang w:val="es-MX"/>
        </w:rPr>
      </w:pPr>
      <w:r>
        <w:rPr>
          <w:rFonts w:ascii="Arial" w:hAnsi="Arial" w:cs="Arial"/>
          <w:sz w:val="26"/>
          <w:szCs w:val="26"/>
        </w:rPr>
        <w:t xml:space="preserve">        </w:t>
      </w:r>
      <w:r w:rsidR="00BB23E2">
        <w:rPr>
          <w:rFonts w:ascii="Arial" w:hAnsi="Arial" w:cs="Arial"/>
          <w:sz w:val="26"/>
          <w:szCs w:val="26"/>
        </w:rPr>
        <w:t>Por las consideraciones antes expuestas, con fundamento en los artículos 237 y 238 de la Ley de Procedimiento y Justicia Administrativa para el Estado de Oaxaca, se:</w:t>
      </w:r>
    </w:p>
    <w:p w:rsidR="00BB23E2" w:rsidRDefault="00BB23E2" w:rsidP="00BB23E2">
      <w:pPr>
        <w:tabs>
          <w:tab w:val="left" w:pos="1134"/>
        </w:tabs>
        <w:spacing w:before="240" w:line="360" w:lineRule="auto"/>
        <w:jc w:val="center"/>
        <w:rPr>
          <w:rFonts w:ascii="Arial" w:hAnsi="Arial" w:cs="Arial"/>
          <w:b/>
          <w:sz w:val="26"/>
          <w:szCs w:val="26"/>
        </w:rPr>
      </w:pPr>
    </w:p>
    <w:p w:rsidR="00BB23E2" w:rsidRDefault="00BB23E2" w:rsidP="00BB23E2">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B23E2" w:rsidRDefault="00BB23E2" w:rsidP="00BB23E2">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BB23E2" w:rsidRDefault="00BB23E2" w:rsidP="00BB23E2">
      <w:pPr>
        <w:spacing w:before="240" w:line="360" w:lineRule="auto"/>
        <w:ind w:firstLine="708"/>
        <w:jc w:val="both"/>
        <w:rPr>
          <w:rFonts w:ascii="Arial" w:hAnsi="Arial" w:cs="Arial"/>
          <w:sz w:val="26"/>
          <w:szCs w:val="26"/>
        </w:rPr>
      </w:pPr>
      <w:r>
        <w:rPr>
          <w:rFonts w:ascii="Arial" w:hAnsi="Arial" w:cs="Arial"/>
          <w:b/>
          <w:sz w:val="26"/>
          <w:szCs w:val="26"/>
          <w:lang w:val="es-MX"/>
        </w:rPr>
        <w:lastRenderedPageBreak/>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Tercera Sala Unitaria de Primera Instancia, </w:t>
      </w:r>
      <w:r w:rsidRPr="00D81DA7">
        <w:rPr>
          <w:rFonts w:ascii="Arial" w:hAnsi="Arial" w:cs="Arial"/>
          <w:sz w:val="26"/>
          <w:szCs w:val="26"/>
        </w:rPr>
        <w:t>y en su oportunidad archívese el cuaderno de revisión como concluido.</w:t>
      </w:r>
    </w:p>
    <w:p w:rsidR="00BB23E2" w:rsidRDefault="00333C18" w:rsidP="00333C18">
      <w:pPr>
        <w:spacing w:line="360" w:lineRule="auto"/>
        <w:ind w:firstLine="709"/>
        <w:jc w:val="both"/>
        <w:rPr>
          <w:rFonts w:ascii="Arial" w:hAnsi="Arial" w:cs="Arial"/>
          <w:sz w:val="26"/>
          <w:szCs w:val="26"/>
        </w:rPr>
      </w:pPr>
      <w:r w:rsidRPr="00333C18">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BB23E2" w:rsidRDefault="00BB23E2" w:rsidP="00BB23E2">
      <w:pPr>
        <w:spacing w:line="360" w:lineRule="auto"/>
        <w:jc w:val="center"/>
        <w:rPr>
          <w:rFonts w:ascii="Arial" w:hAnsi="Arial" w:cs="Arial"/>
          <w:sz w:val="26"/>
          <w:szCs w:val="26"/>
        </w:rPr>
      </w:pPr>
    </w:p>
    <w:p w:rsidR="00BB23E2" w:rsidRDefault="00BB23E2" w:rsidP="00BB23E2">
      <w:pPr>
        <w:spacing w:line="360" w:lineRule="auto"/>
        <w:jc w:val="center"/>
        <w:rPr>
          <w:rFonts w:ascii="Arial" w:hAnsi="Arial" w:cs="Arial"/>
          <w:sz w:val="26"/>
          <w:szCs w:val="26"/>
        </w:rPr>
      </w:pPr>
    </w:p>
    <w:p w:rsidR="00333C18" w:rsidRPr="00BB23E2" w:rsidRDefault="00333C18" w:rsidP="00BB23E2">
      <w:pPr>
        <w:spacing w:line="360" w:lineRule="auto"/>
        <w:jc w:val="center"/>
        <w:rPr>
          <w:rFonts w:ascii="Arial" w:hAnsi="Arial" w:cs="Arial"/>
          <w:sz w:val="26"/>
          <w:szCs w:val="26"/>
        </w:rPr>
      </w:pPr>
    </w:p>
    <w:p w:rsidR="00BB23E2" w:rsidRPr="00BB23E2" w:rsidRDefault="00BB23E2" w:rsidP="00BB23E2">
      <w:pPr>
        <w:spacing w:line="360" w:lineRule="auto"/>
        <w:jc w:val="center"/>
        <w:rPr>
          <w:rFonts w:ascii="Arial"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r w:rsidRPr="00BB23E2">
        <w:rPr>
          <w:rFonts w:ascii="Arial" w:eastAsia="Calibri" w:hAnsi="Arial" w:cs="Arial"/>
          <w:sz w:val="26"/>
          <w:szCs w:val="26"/>
        </w:rPr>
        <w:t>MAGISTRADA MARÍA ELENA VILLA DE JARQUÍN</w:t>
      </w:r>
    </w:p>
    <w:p w:rsidR="00BB23E2" w:rsidRPr="00BB23E2" w:rsidRDefault="00BB23E2" w:rsidP="00BB23E2">
      <w:pPr>
        <w:spacing w:after="0" w:line="240" w:lineRule="auto"/>
        <w:jc w:val="center"/>
        <w:rPr>
          <w:rFonts w:ascii="Arial" w:eastAsia="Calibri" w:hAnsi="Arial" w:cs="Arial"/>
          <w:sz w:val="26"/>
          <w:szCs w:val="26"/>
        </w:rPr>
      </w:pPr>
      <w:r w:rsidRPr="00BB23E2">
        <w:rPr>
          <w:rFonts w:ascii="Arial" w:eastAsia="Calibri" w:hAnsi="Arial" w:cs="Arial"/>
          <w:sz w:val="26"/>
          <w:szCs w:val="26"/>
        </w:rPr>
        <w:t>PRESIDENTA</w:t>
      </w: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r w:rsidRPr="00BB23E2">
        <w:rPr>
          <w:rFonts w:ascii="Arial" w:eastAsia="Calibri" w:hAnsi="Arial" w:cs="Arial"/>
          <w:sz w:val="26"/>
          <w:szCs w:val="26"/>
        </w:rPr>
        <w:t>MAGISTRADO MANUEL VELASCO ALCÁNTARA</w:t>
      </w: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r w:rsidRPr="00BB23E2">
        <w:rPr>
          <w:rFonts w:ascii="Arial" w:eastAsia="Calibri" w:hAnsi="Arial" w:cs="Arial"/>
          <w:sz w:val="26"/>
          <w:szCs w:val="26"/>
        </w:rPr>
        <w:t>MAGISTRADO RAÚL PALOMARES PALOMINO.</w:t>
      </w:r>
    </w:p>
    <w:p w:rsidR="00BB23E2" w:rsidRPr="00BB23E2" w:rsidRDefault="00BB23E2" w:rsidP="00BB23E2">
      <w:pPr>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b/>
          <w:sz w:val="26"/>
          <w:szCs w:val="26"/>
        </w:rPr>
      </w:pPr>
    </w:p>
    <w:p w:rsidR="00BB23E2" w:rsidRPr="00BB23E2" w:rsidRDefault="00BB23E2" w:rsidP="00BB23E2">
      <w:pPr>
        <w:spacing w:line="360" w:lineRule="auto"/>
        <w:jc w:val="center"/>
        <w:rPr>
          <w:rFonts w:ascii="Arial" w:eastAsia="Calibri" w:hAnsi="Arial" w:cs="Arial"/>
          <w:b/>
          <w:sz w:val="14"/>
          <w:szCs w:val="14"/>
        </w:rPr>
      </w:pPr>
      <w:r w:rsidRPr="00BB23E2">
        <w:rPr>
          <w:rFonts w:ascii="Arial" w:eastAsia="Calibri" w:hAnsi="Arial" w:cs="Arial"/>
          <w:b/>
          <w:sz w:val="14"/>
          <w:szCs w:val="14"/>
        </w:rPr>
        <w:t>LAS PRESENTES FIRMAS CORRESPONDEN AL RECURSO DE REVISI</w:t>
      </w:r>
      <w:r>
        <w:rPr>
          <w:rFonts w:ascii="Arial" w:eastAsia="Calibri" w:hAnsi="Arial" w:cs="Arial"/>
          <w:b/>
          <w:sz w:val="14"/>
          <w:szCs w:val="14"/>
        </w:rPr>
        <w:t>ÓN 248</w:t>
      </w:r>
      <w:r w:rsidRPr="00BB23E2">
        <w:rPr>
          <w:rFonts w:ascii="Arial" w:eastAsia="Calibri" w:hAnsi="Arial" w:cs="Arial"/>
          <w:b/>
          <w:sz w:val="14"/>
          <w:szCs w:val="14"/>
        </w:rPr>
        <w:t>/2019</w:t>
      </w:r>
    </w:p>
    <w:p w:rsidR="00BB23E2" w:rsidRPr="00BB23E2" w:rsidRDefault="00BB23E2" w:rsidP="00BB23E2">
      <w:pPr>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p>
    <w:p w:rsidR="00BB23E2" w:rsidRPr="00BB23E2" w:rsidRDefault="00BB23E2" w:rsidP="00BB23E2">
      <w:pP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r w:rsidRPr="00BB23E2">
        <w:rPr>
          <w:rFonts w:ascii="Arial" w:eastAsia="Calibri" w:hAnsi="Arial" w:cs="Arial"/>
          <w:sz w:val="26"/>
          <w:szCs w:val="26"/>
        </w:rPr>
        <w:t>MAGISTRADO ABRAHAM SANTIAGO SORIANO.</w:t>
      </w:r>
    </w:p>
    <w:p w:rsidR="00BB23E2" w:rsidRPr="00BB23E2" w:rsidRDefault="00BB23E2" w:rsidP="00BB23E2">
      <w:pPr>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spacing w:after="0" w:line="240" w:lineRule="auto"/>
        <w:jc w:val="center"/>
        <w:rPr>
          <w:rFonts w:ascii="Arial" w:eastAsia="Calibri" w:hAnsi="Arial" w:cs="Arial"/>
          <w:sz w:val="26"/>
          <w:szCs w:val="26"/>
        </w:rPr>
      </w:pPr>
    </w:p>
    <w:p w:rsidR="00BB23E2" w:rsidRPr="00BB23E2" w:rsidRDefault="00BB23E2" w:rsidP="00BB23E2">
      <w:pPr>
        <w:jc w:val="center"/>
        <w:rPr>
          <w:rFonts w:ascii="Arial" w:eastAsia="Calibri" w:hAnsi="Arial" w:cs="Arial"/>
          <w:sz w:val="26"/>
          <w:szCs w:val="26"/>
        </w:rPr>
      </w:pPr>
      <w:r w:rsidRPr="00BB23E2">
        <w:rPr>
          <w:rFonts w:ascii="Arial" w:eastAsia="Calibri" w:hAnsi="Arial" w:cs="Arial"/>
          <w:sz w:val="26"/>
          <w:szCs w:val="26"/>
        </w:rPr>
        <w:t>MAGISTRADO ADRIÁN QUIROGA AVENDAÑO</w:t>
      </w: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p>
    <w:p w:rsidR="00BB23E2" w:rsidRPr="00BB23E2" w:rsidRDefault="00BB23E2" w:rsidP="00BB23E2">
      <w:pPr>
        <w:spacing w:line="360" w:lineRule="auto"/>
        <w:jc w:val="center"/>
        <w:rPr>
          <w:rFonts w:ascii="Arial" w:eastAsia="Calibri" w:hAnsi="Arial" w:cs="Arial"/>
          <w:sz w:val="26"/>
          <w:szCs w:val="26"/>
        </w:rPr>
      </w:pPr>
    </w:p>
    <w:p w:rsidR="00BB23E2" w:rsidRPr="00BB23E2" w:rsidRDefault="00333C18" w:rsidP="00BB23E2">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w:t>
      </w:r>
      <w:r w:rsidR="00BB23E2" w:rsidRPr="00BB23E2">
        <w:rPr>
          <w:rFonts w:ascii="Arial" w:eastAsia="Calibri" w:hAnsi="Arial" w:cs="Arial"/>
          <w:sz w:val="26"/>
          <w:szCs w:val="26"/>
        </w:rPr>
        <w:t>QUEZ</w:t>
      </w:r>
    </w:p>
    <w:p w:rsidR="00BB23E2" w:rsidRPr="00BB23E2" w:rsidRDefault="00BB23E2" w:rsidP="00BB23E2">
      <w:pPr>
        <w:spacing w:after="0" w:line="240" w:lineRule="auto"/>
        <w:jc w:val="center"/>
        <w:rPr>
          <w:rFonts w:ascii="Arial" w:eastAsia="Calibri" w:hAnsi="Arial" w:cs="Arial"/>
          <w:bCs/>
          <w:sz w:val="26"/>
          <w:szCs w:val="26"/>
        </w:rPr>
      </w:pPr>
      <w:r w:rsidRPr="00BB23E2">
        <w:rPr>
          <w:rFonts w:ascii="Arial" w:eastAsia="Calibri" w:hAnsi="Arial" w:cs="Arial"/>
          <w:sz w:val="26"/>
          <w:szCs w:val="26"/>
        </w:rPr>
        <w:t>SECRETARIA GENERAL DE ACUERDOS.</w:t>
      </w:r>
    </w:p>
    <w:p w:rsidR="00BB23E2" w:rsidRDefault="00BB23E2" w:rsidP="00BB23E2">
      <w:pPr>
        <w:spacing w:line="360" w:lineRule="auto"/>
        <w:jc w:val="center"/>
        <w:rPr>
          <w:rFonts w:ascii="Arial" w:eastAsia="Calibri" w:hAnsi="Arial" w:cs="Arial"/>
          <w:sz w:val="28"/>
          <w:szCs w:val="28"/>
        </w:rPr>
      </w:pPr>
    </w:p>
    <w:p w:rsidR="00BB23E2" w:rsidRDefault="00BB23E2" w:rsidP="00BB23E2"/>
    <w:p w:rsidR="00BB23E2" w:rsidRPr="002916A9" w:rsidRDefault="00BB23E2" w:rsidP="00BB23E2"/>
    <w:p w:rsidR="00BB23E2" w:rsidRPr="00F86E9C" w:rsidRDefault="00BB23E2" w:rsidP="00BB23E2">
      <w:pPr>
        <w:spacing w:before="240" w:line="360" w:lineRule="auto"/>
        <w:ind w:firstLine="708"/>
        <w:jc w:val="both"/>
        <w:rPr>
          <w:rFonts w:ascii="Arial" w:hAnsi="Arial" w:cs="Arial"/>
          <w:sz w:val="26"/>
          <w:szCs w:val="26"/>
        </w:rPr>
      </w:pPr>
    </w:p>
    <w:p w:rsidR="008238CF" w:rsidRPr="00BB23E2" w:rsidRDefault="008238CF" w:rsidP="00BB23E2">
      <w:pPr>
        <w:spacing w:line="360" w:lineRule="auto"/>
        <w:jc w:val="center"/>
      </w:pPr>
    </w:p>
    <w:sectPr w:rsidR="008238CF" w:rsidRPr="00BB23E2" w:rsidSect="00333C18">
      <w:headerReference w:type="even" r:id="rId7"/>
      <w:headerReference w:type="default" r:id="rId8"/>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B47" w:rsidRDefault="003E6B47">
      <w:pPr>
        <w:spacing w:after="0" w:line="240" w:lineRule="auto"/>
      </w:pPr>
      <w:r>
        <w:separator/>
      </w:r>
    </w:p>
  </w:endnote>
  <w:endnote w:type="continuationSeparator" w:id="0">
    <w:p w:rsidR="003E6B47" w:rsidRDefault="003E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B47" w:rsidRDefault="003E6B47">
      <w:pPr>
        <w:spacing w:after="0" w:line="240" w:lineRule="auto"/>
      </w:pPr>
      <w:r>
        <w:separator/>
      </w:r>
    </w:p>
  </w:footnote>
  <w:footnote w:type="continuationSeparator" w:id="0">
    <w:p w:rsidR="003E6B47" w:rsidRDefault="003E6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5B546D">
          <w:rPr>
            <w:noProof/>
          </w:rPr>
          <w:t>4</w:t>
        </w:r>
        <w:r>
          <w:fldChar w:fldCharType="end"/>
        </w:r>
      </w:p>
    </w:sdtContent>
  </w:sdt>
  <w:p w:rsidR="00126798" w:rsidRDefault="003E6B4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5B546D">
          <w:rPr>
            <w:noProof/>
          </w:rPr>
          <w:t>3</w:t>
        </w:r>
        <w:r>
          <w:rPr>
            <w:noProof/>
          </w:rPr>
          <w:fldChar w:fldCharType="end"/>
        </w:r>
      </w:p>
    </w:sdtContent>
  </w:sdt>
  <w:p w:rsidR="00126798" w:rsidRDefault="00521FF6" w:rsidP="00927607">
    <w:pPr>
      <w:pStyle w:val="Encabezado"/>
      <w:tabs>
        <w:tab w:val="left" w:pos="142"/>
      </w:tabs>
      <w:ind w:left="284"/>
    </w:pPr>
    <w:r w:rsidRPr="003E6AD7">
      <w:rPr>
        <w:noProof/>
        <w:lang w:val="es-MX" w:eastAsia="es-MX"/>
      </w:rPr>
      <w:drawing>
        <wp:anchor distT="0" distB="0" distL="114300" distR="114300" simplePos="0" relativeHeight="251660288" behindDoc="0" locked="0" layoutInCell="1" allowOverlap="1" wp14:anchorId="7B52E81D" wp14:editId="369FA562">
          <wp:simplePos x="0" y="0"/>
          <wp:positionH relativeFrom="page">
            <wp:posOffset>349723</wp:posOffset>
          </wp:positionH>
          <wp:positionV relativeFrom="paragraph">
            <wp:posOffset>4625547</wp:posOffset>
          </wp:positionV>
          <wp:extent cx="1193298" cy="1039564"/>
          <wp:effectExtent l="0" t="0" r="6985" b="825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298" cy="10395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C18">
      <w:rPr>
        <w:noProof/>
        <w:lang w:val="es-MX" w:eastAsia="es-MX"/>
      </w:rPr>
      <w:drawing>
        <wp:anchor distT="0" distB="0" distL="114300" distR="114300" simplePos="0" relativeHeight="251659264" behindDoc="1" locked="0" layoutInCell="1" allowOverlap="1" wp14:anchorId="57853187" wp14:editId="2BC9E495">
          <wp:simplePos x="0" y="0"/>
          <wp:positionH relativeFrom="column">
            <wp:posOffset>-438785</wp:posOffset>
          </wp:positionH>
          <wp:positionV relativeFrom="paragraph">
            <wp:posOffset>4085590</wp:posOffset>
          </wp:positionV>
          <wp:extent cx="5850890" cy="36410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35D32"/>
    <w:multiLevelType w:val="hybridMultilevel"/>
    <w:tmpl w:val="AA08682C"/>
    <w:lvl w:ilvl="0" w:tplc="D2BCEDC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1136A1B"/>
    <w:multiLevelType w:val="hybridMultilevel"/>
    <w:tmpl w:val="C9F41436"/>
    <w:lvl w:ilvl="0" w:tplc="E6249328">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81"/>
    <w:rsid w:val="00002467"/>
    <w:rsid w:val="000049C0"/>
    <w:rsid w:val="00006A34"/>
    <w:rsid w:val="00010AC6"/>
    <w:rsid w:val="0001326A"/>
    <w:rsid w:val="000140EE"/>
    <w:rsid w:val="0002271B"/>
    <w:rsid w:val="000227B0"/>
    <w:rsid w:val="00022821"/>
    <w:rsid w:val="0002754E"/>
    <w:rsid w:val="000306E0"/>
    <w:rsid w:val="00034C27"/>
    <w:rsid w:val="00042CE9"/>
    <w:rsid w:val="00046E7C"/>
    <w:rsid w:val="000530EE"/>
    <w:rsid w:val="00053750"/>
    <w:rsid w:val="00056360"/>
    <w:rsid w:val="00057D1C"/>
    <w:rsid w:val="00060891"/>
    <w:rsid w:val="000627D6"/>
    <w:rsid w:val="00064C8C"/>
    <w:rsid w:val="0006602E"/>
    <w:rsid w:val="000731E9"/>
    <w:rsid w:val="00075C2F"/>
    <w:rsid w:val="00076358"/>
    <w:rsid w:val="000817FE"/>
    <w:rsid w:val="000917EA"/>
    <w:rsid w:val="0009251F"/>
    <w:rsid w:val="000965E4"/>
    <w:rsid w:val="000A036B"/>
    <w:rsid w:val="000A0A9E"/>
    <w:rsid w:val="000A4DAE"/>
    <w:rsid w:val="000B480C"/>
    <w:rsid w:val="000C72DD"/>
    <w:rsid w:val="000D65B8"/>
    <w:rsid w:val="000E0307"/>
    <w:rsid w:val="000E0544"/>
    <w:rsid w:val="000E270E"/>
    <w:rsid w:val="000E55A2"/>
    <w:rsid w:val="000F05D1"/>
    <w:rsid w:val="000F13CE"/>
    <w:rsid w:val="000F6B51"/>
    <w:rsid w:val="001035F6"/>
    <w:rsid w:val="00111765"/>
    <w:rsid w:val="001118E6"/>
    <w:rsid w:val="00112D96"/>
    <w:rsid w:val="00116C44"/>
    <w:rsid w:val="001175B0"/>
    <w:rsid w:val="001238F0"/>
    <w:rsid w:val="00124365"/>
    <w:rsid w:val="00125A9C"/>
    <w:rsid w:val="001265E6"/>
    <w:rsid w:val="00130C97"/>
    <w:rsid w:val="00132B09"/>
    <w:rsid w:val="00140704"/>
    <w:rsid w:val="00146F46"/>
    <w:rsid w:val="00170E13"/>
    <w:rsid w:val="00172594"/>
    <w:rsid w:val="00173C8B"/>
    <w:rsid w:val="001948E6"/>
    <w:rsid w:val="00196B13"/>
    <w:rsid w:val="001A067A"/>
    <w:rsid w:val="001A2569"/>
    <w:rsid w:val="001A363F"/>
    <w:rsid w:val="001B284D"/>
    <w:rsid w:val="001B2C2F"/>
    <w:rsid w:val="001B6DB5"/>
    <w:rsid w:val="001C15EA"/>
    <w:rsid w:val="001C1F62"/>
    <w:rsid w:val="001C45B9"/>
    <w:rsid w:val="001C4DF7"/>
    <w:rsid w:val="001C713B"/>
    <w:rsid w:val="001E1CA1"/>
    <w:rsid w:val="001E2CCD"/>
    <w:rsid w:val="001F380E"/>
    <w:rsid w:val="001F5A03"/>
    <w:rsid w:val="0020085C"/>
    <w:rsid w:val="00200D17"/>
    <w:rsid w:val="00204B8D"/>
    <w:rsid w:val="00207505"/>
    <w:rsid w:val="00207C00"/>
    <w:rsid w:val="00207E1E"/>
    <w:rsid w:val="00212606"/>
    <w:rsid w:val="00217F1A"/>
    <w:rsid w:val="00222E6F"/>
    <w:rsid w:val="0022324D"/>
    <w:rsid w:val="002241BA"/>
    <w:rsid w:val="00225950"/>
    <w:rsid w:val="00227D3D"/>
    <w:rsid w:val="00230BEE"/>
    <w:rsid w:val="00241ABD"/>
    <w:rsid w:val="00251DC1"/>
    <w:rsid w:val="00262A8F"/>
    <w:rsid w:val="00265F46"/>
    <w:rsid w:val="002761E3"/>
    <w:rsid w:val="00276F62"/>
    <w:rsid w:val="0028050B"/>
    <w:rsid w:val="002940EF"/>
    <w:rsid w:val="0029582A"/>
    <w:rsid w:val="002A28E5"/>
    <w:rsid w:val="002A633A"/>
    <w:rsid w:val="002B3FCF"/>
    <w:rsid w:val="002B7E00"/>
    <w:rsid w:val="002C06DC"/>
    <w:rsid w:val="002C3B3D"/>
    <w:rsid w:val="002C3F45"/>
    <w:rsid w:val="002C7264"/>
    <w:rsid w:val="002D24C4"/>
    <w:rsid w:val="002D7C52"/>
    <w:rsid w:val="002E50C7"/>
    <w:rsid w:val="002E6BFC"/>
    <w:rsid w:val="002E73FA"/>
    <w:rsid w:val="0030310B"/>
    <w:rsid w:val="0030333C"/>
    <w:rsid w:val="00312BE5"/>
    <w:rsid w:val="00315D68"/>
    <w:rsid w:val="00317431"/>
    <w:rsid w:val="0032484D"/>
    <w:rsid w:val="003279B7"/>
    <w:rsid w:val="00330B72"/>
    <w:rsid w:val="00333C18"/>
    <w:rsid w:val="00335DEC"/>
    <w:rsid w:val="003462E7"/>
    <w:rsid w:val="0035018A"/>
    <w:rsid w:val="003533F7"/>
    <w:rsid w:val="003638AD"/>
    <w:rsid w:val="00363FD0"/>
    <w:rsid w:val="00366DA1"/>
    <w:rsid w:val="0037738A"/>
    <w:rsid w:val="003777EB"/>
    <w:rsid w:val="003822FC"/>
    <w:rsid w:val="003839D7"/>
    <w:rsid w:val="0039258D"/>
    <w:rsid w:val="003959A9"/>
    <w:rsid w:val="003A3921"/>
    <w:rsid w:val="003B2D23"/>
    <w:rsid w:val="003B76B0"/>
    <w:rsid w:val="003B7AD1"/>
    <w:rsid w:val="003C56CB"/>
    <w:rsid w:val="003E0DD8"/>
    <w:rsid w:val="003E33AF"/>
    <w:rsid w:val="003E5067"/>
    <w:rsid w:val="003E6B47"/>
    <w:rsid w:val="003F14DC"/>
    <w:rsid w:val="003F40F8"/>
    <w:rsid w:val="0040218E"/>
    <w:rsid w:val="00402712"/>
    <w:rsid w:val="0040292F"/>
    <w:rsid w:val="004046B2"/>
    <w:rsid w:val="004200B9"/>
    <w:rsid w:val="00443842"/>
    <w:rsid w:val="00451E39"/>
    <w:rsid w:val="004546F1"/>
    <w:rsid w:val="00454891"/>
    <w:rsid w:val="00465EA7"/>
    <w:rsid w:val="0047251D"/>
    <w:rsid w:val="00483EB9"/>
    <w:rsid w:val="004840AD"/>
    <w:rsid w:val="004A434D"/>
    <w:rsid w:val="004A5B74"/>
    <w:rsid w:val="004A5C5B"/>
    <w:rsid w:val="004A764F"/>
    <w:rsid w:val="004B3BF7"/>
    <w:rsid w:val="004C7B31"/>
    <w:rsid w:val="004D3FD5"/>
    <w:rsid w:val="004F032D"/>
    <w:rsid w:val="004F1CF6"/>
    <w:rsid w:val="00501D58"/>
    <w:rsid w:val="00505E24"/>
    <w:rsid w:val="00507C46"/>
    <w:rsid w:val="00511C35"/>
    <w:rsid w:val="00513F02"/>
    <w:rsid w:val="005153E1"/>
    <w:rsid w:val="00515863"/>
    <w:rsid w:val="005170DC"/>
    <w:rsid w:val="005173F6"/>
    <w:rsid w:val="00521FF6"/>
    <w:rsid w:val="005245DE"/>
    <w:rsid w:val="0053444C"/>
    <w:rsid w:val="00534D0A"/>
    <w:rsid w:val="005427EA"/>
    <w:rsid w:val="00543D31"/>
    <w:rsid w:val="00545256"/>
    <w:rsid w:val="00547E2C"/>
    <w:rsid w:val="00573E18"/>
    <w:rsid w:val="00573E33"/>
    <w:rsid w:val="00573F2D"/>
    <w:rsid w:val="005756D5"/>
    <w:rsid w:val="00576978"/>
    <w:rsid w:val="00581C5B"/>
    <w:rsid w:val="00587A5E"/>
    <w:rsid w:val="00591A61"/>
    <w:rsid w:val="005930DA"/>
    <w:rsid w:val="00593E84"/>
    <w:rsid w:val="005A1C24"/>
    <w:rsid w:val="005A35B9"/>
    <w:rsid w:val="005A7540"/>
    <w:rsid w:val="005B546D"/>
    <w:rsid w:val="005C1ECE"/>
    <w:rsid w:val="005C202B"/>
    <w:rsid w:val="005C36CB"/>
    <w:rsid w:val="005C6512"/>
    <w:rsid w:val="005D1DED"/>
    <w:rsid w:val="005F13E7"/>
    <w:rsid w:val="005F194D"/>
    <w:rsid w:val="005F1F09"/>
    <w:rsid w:val="00606877"/>
    <w:rsid w:val="00611E05"/>
    <w:rsid w:val="00612720"/>
    <w:rsid w:val="00614BB3"/>
    <w:rsid w:val="00622719"/>
    <w:rsid w:val="00626712"/>
    <w:rsid w:val="0063013D"/>
    <w:rsid w:val="00630EA2"/>
    <w:rsid w:val="00637085"/>
    <w:rsid w:val="00637462"/>
    <w:rsid w:val="006448C9"/>
    <w:rsid w:val="00650342"/>
    <w:rsid w:val="00652E61"/>
    <w:rsid w:val="00653081"/>
    <w:rsid w:val="00656562"/>
    <w:rsid w:val="00657C11"/>
    <w:rsid w:val="006776B8"/>
    <w:rsid w:val="00684DD2"/>
    <w:rsid w:val="0068508F"/>
    <w:rsid w:val="00685F46"/>
    <w:rsid w:val="006938B1"/>
    <w:rsid w:val="00694FE2"/>
    <w:rsid w:val="006B0E02"/>
    <w:rsid w:val="006C5106"/>
    <w:rsid w:val="006D0D86"/>
    <w:rsid w:val="006D3860"/>
    <w:rsid w:val="006E29A5"/>
    <w:rsid w:val="006E7970"/>
    <w:rsid w:val="006F2458"/>
    <w:rsid w:val="006F2468"/>
    <w:rsid w:val="006F4A81"/>
    <w:rsid w:val="006F6823"/>
    <w:rsid w:val="006F74B5"/>
    <w:rsid w:val="00704597"/>
    <w:rsid w:val="007072B3"/>
    <w:rsid w:val="00710D6D"/>
    <w:rsid w:val="00721B7D"/>
    <w:rsid w:val="00721EF1"/>
    <w:rsid w:val="007313EF"/>
    <w:rsid w:val="007325BB"/>
    <w:rsid w:val="00733919"/>
    <w:rsid w:val="00735250"/>
    <w:rsid w:val="007355C0"/>
    <w:rsid w:val="00744977"/>
    <w:rsid w:val="007451B4"/>
    <w:rsid w:val="00751298"/>
    <w:rsid w:val="00761BFC"/>
    <w:rsid w:val="00771872"/>
    <w:rsid w:val="007825AD"/>
    <w:rsid w:val="00783E05"/>
    <w:rsid w:val="007875F6"/>
    <w:rsid w:val="00791B22"/>
    <w:rsid w:val="00796EDA"/>
    <w:rsid w:val="00797681"/>
    <w:rsid w:val="007A0847"/>
    <w:rsid w:val="007B2517"/>
    <w:rsid w:val="007B57DD"/>
    <w:rsid w:val="007D6535"/>
    <w:rsid w:val="007E5B25"/>
    <w:rsid w:val="007E5CAD"/>
    <w:rsid w:val="007F03F0"/>
    <w:rsid w:val="007F0D2C"/>
    <w:rsid w:val="00800A30"/>
    <w:rsid w:val="00805A6B"/>
    <w:rsid w:val="00812983"/>
    <w:rsid w:val="008132A5"/>
    <w:rsid w:val="00814B86"/>
    <w:rsid w:val="00815BAA"/>
    <w:rsid w:val="008238CF"/>
    <w:rsid w:val="00824771"/>
    <w:rsid w:val="00830A05"/>
    <w:rsid w:val="00831695"/>
    <w:rsid w:val="008333C4"/>
    <w:rsid w:val="00834174"/>
    <w:rsid w:val="00850959"/>
    <w:rsid w:val="0085284A"/>
    <w:rsid w:val="00854031"/>
    <w:rsid w:val="00865947"/>
    <w:rsid w:val="008905D5"/>
    <w:rsid w:val="00892EDC"/>
    <w:rsid w:val="008963C8"/>
    <w:rsid w:val="00896F10"/>
    <w:rsid w:val="008A0F27"/>
    <w:rsid w:val="008A1958"/>
    <w:rsid w:val="008A50D7"/>
    <w:rsid w:val="008B4464"/>
    <w:rsid w:val="008C6A10"/>
    <w:rsid w:val="008D01B6"/>
    <w:rsid w:val="008D3B78"/>
    <w:rsid w:val="008D75DE"/>
    <w:rsid w:val="008E0DC8"/>
    <w:rsid w:val="008F093B"/>
    <w:rsid w:val="008F5AA5"/>
    <w:rsid w:val="00903ED0"/>
    <w:rsid w:val="00906BD1"/>
    <w:rsid w:val="00912974"/>
    <w:rsid w:val="009344FB"/>
    <w:rsid w:val="00937993"/>
    <w:rsid w:val="00944038"/>
    <w:rsid w:val="00944FC4"/>
    <w:rsid w:val="0094646D"/>
    <w:rsid w:val="00952E02"/>
    <w:rsid w:val="009569A2"/>
    <w:rsid w:val="00960527"/>
    <w:rsid w:val="00967EC3"/>
    <w:rsid w:val="00974301"/>
    <w:rsid w:val="00974F93"/>
    <w:rsid w:val="00980077"/>
    <w:rsid w:val="00987479"/>
    <w:rsid w:val="009A0BAC"/>
    <w:rsid w:val="009B01CD"/>
    <w:rsid w:val="009B0E33"/>
    <w:rsid w:val="009B57EF"/>
    <w:rsid w:val="009C70AB"/>
    <w:rsid w:val="009C73AE"/>
    <w:rsid w:val="009D0511"/>
    <w:rsid w:val="009D1D1D"/>
    <w:rsid w:val="009E1250"/>
    <w:rsid w:val="009E1B3A"/>
    <w:rsid w:val="009E25C4"/>
    <w:rsid w:val="009F0158"/>
    <w:rsid w:val="00A043A0"/>
    <w:rsid w:val="00A0629B"/>
    <w:rsid w:val="00A07274"/>
    <w:rsid w:val="00A16F03"/>
    <w:rsid w:val="00A20FF0"/>
    <w:rsid w:val="00A24022"/>
    <w:rsid w:val="00A32374"/>
    <w:rsid w:val="00A34D49"/>
    <w:rsid w:val="00A35B57"/>
    <w:rsid w:val="00A429B2"/>
    <w:rsid w:val="00A471D5"/>
    <w:rsid w:val="00A47390"/>
    <w:rsid w:val="00A525B4"/>
    <w:rsid w:val="00A57F60"/>
    <w:rsid w:val="00A667A9"/>
    <w:rsid w:val="00A675C0"/>
    <w:rsid w:val="00A745E8"/>
    <w:rsid w:val="00A76042"/>
    <w:rsid w:val="00A77E76"/>
    <w:rsid w:val="00A819DA"/>
    <w:rsid w:val="00A8308E"/>
    <w:rsid w:val="00A86AB0"/>
    <w:rsid w:val="00A9079B"/>
    <w:rsid w:val="00A96025"/>
    <w:rsid w:val="00AA6230"/>
    <w:rsid w:val="00AB0555"/>
    <w:rsid w:val="00AB1944"/>
    <w:rsid w:val="00AB71BD"/>
    <w:rsid w:val="00AC2C97"/>
    <w:rsid w:val="00AC63EE"/>
    <w:rsid w:val="00AC69E9"/>
    <w:rsid w:val="00AC6BFF"/>
    <w:rsid w:val="00AD0B0A"/>
    <w:rsid w:val="00AD6561"/>
    <w:rsid w:val="00AE1AF8"/>
    <w:rsid w:val="00AE3A36"/>
    <w:rsid w:val="00AE4326"/>
    <w:rsid w:val="00AF0926"/>
    <w:rsid w:val="00AF36A2"/>
    <w:rsid w:val="00B13F19"/>
    <w:rsid w:val="00B212A6"/>
    <w:rsid w:val="00B27E60"/>
    <w:rsid w:val="00B33640"/>
    <w:rsid w:val="00B40427"/>
    <w:rsid w:val="00B42133"/>
    <w:rsid w:val="00B456BE"/>
    <w:rsid w:val="00B471B0"/>
    <w:rsid w:val="00B504C4"/>
    <w:rsid w:val="00B52093"/>
    <w:rsid w:val="00B539AC"/>
    <w:rsid w:val="00B53BB2"/>
    <w:rsid w:val="00B55539"/>
    <w:rsid w:val="00B602ED"/>
    <w:rsid w:val="00B61B46"/>
    <w:rsid w:val="00B62BAF"/>
    <w:rsid w:val="00B64581"/>
    <w:rsid w:val="00B66335"/>
    <w:rsid w:val="00B70619"/>
    <w:rsid w:val="00B70FAD"/>
    <w:rsid w:val="00B832EF"/>
    <w:rsid w:val="00B84736"/>
    <w:rsid w:val="00B856B0"/>
    <w:rsid w:val="00B86AE4"/>
    <w:rsid w:val="00B9529C"/>
    <w:rsid w:val="00BA12A5"/>
    <w:rsid w:val="00BB23E2"/>
    <w:rsid w:val="00BB2E43"/>
    <w:rsid w:val="00BB4206"/>
    <w:rsid w:val="00BD34D9"/>
    <w:rsid w:val="00BE677E"/>
    <w:rsid w:val="00BE7F8C"/>
    <w:rsid w:val="00BF0763"/>
    <w:rsid w:val="00BF49D0"/>
    <w:rsid w:val="00C020CE"/>
    <w:rsid w:val="00C131FA"/>
    <w:rsid w:val="00C14778"/>
    <w:rsid w:val="00C1665C"/>
    <w:rsid w:val="00C17F5F"/>
    <w:rsid w:val="00C22F69"/>
    <w:rsid w:val="00C30E20"/>
    <w:rsid w:val="00C32D5F"/>
    <w:rsid w:val="00C32FAF"/>
    <w:rsid w:val="00C34AD0"/>
    <w:rsid w:val="00C35AC5"/>
    <w:rsid w:val="00C36A0E"/>
    <w:rsid w:val="00C42D77"/>
    <w:rsid w:val="00C4480F"/>
    <w:rsid w:val="00C46598"/>
    <w:rsid w:val="00C52086"/>
    <w:rsid w:val="00C54F77"/>
    <w:rsid w:val="00C61FAA"/>
    <w:rsid w:val="00C63B71"/>
    <w:rsid w:val="00C72B25"/>
    <w:rsid w:val="00C7714A"/>
    <w:rsid w:val="00C80F34"/>
    <w:rsid w:val="00C80F44"/>
    <w:rsid w:val="00C81FDC"/>
    <w:rsid w:val="00C90297"/>
    <w:rsid w:val="00C96B0F"/>
    <w:rsid w:val="00CA02A5"/>
    <w:rsid w:val="00CA101B"/>
    <w:rsid w:val="00CA625D"/>
    <w:rsid w:val="00CB432E"/>
    <w:rsid w:val="00CC135A"/>
    <w:rsid w:val="00CD1415"/>
    <w:rsid w:val="00CE2134"/>
    <w:rsid w:val="00CE7CF6"/>
    <w:rsid w:val="00D02C4D"/>
    <w:rsid w:val="00D06D3B"/>
    <w:rsid w:val="00D10AB8"/>
    <w:rsid w:val="00D16C61"/>
    <w:rsid w:val="00D16F1E"/>
    <w:rsid w:val="00D17A65"/>
    <w:rsid w:val="00D20155"/>
    <w:rsid w:val="00D22E0D"/>
    <w:rsid w:val="00D25CA7"/>
    <w:rsid w:val="00D27F89"/>
    <w:rsid w:val="00D30F9E"/>
    <w:rsid w:val="00D3643A"/>
    <w:rsid w:val="00D4317E"/>
    <w:rsid w:val="00D437B0"/>
    <w:rsid w:val="00D4438A"/>
    <w:rsid w:val="00D56559"/>
    <w:rsid w:val="00D6774B"/>
    <w:rsid w:val="00D775A5"/>
    <w:rsid w:val="00D8265B"/>
    <w:rsid w:val="00D838B9"/>
    <w:rsid w:val="00D86D0B"/>
    <w:rsid w:val="00D91377"/>
    <w:rsid w:val="00D913C4"/>
    <w:rsid w:val="00D94092"/>
    <w:rsid w:val="00DA1729"/>
    <w:rsid w:val="00DA22A6"/>
    <w:rsid w:val="00DB42EB"/>
    <w:rsid w:val="00DC4D7A"/>
    <w:rsid w:val="00DC5A48"/>
    <w:rsid w:val="00DD1CFB"/>
    <w:rsid w:val="00DD1D26"/>
    <w:rsid w:val="00DD76A5"/>
    <w:rsid w:val="00DF6214"/>
    <w:rsid w:val="00DF6EF2"/>
    <w:rsid w:val="00E0324F"/>
    <w:rsid w:val="00E03F45"/>
    <w:rsid w:val="00E1657A"/>
    <w:rsid w:val="00E16D22"/>
    <w:rsid w:val="00E20E1C"/>
    <w:rsid w:val="00E249FF"/>
    <w:rsid w:val="00E32282"/>
    <w:rsid w:val="00E45EFE"/>
    <w:rsid w:val="00E521E8"/>
    <w:rsid w:val="00E53FB1"/>
    <w:rsid w:val="00E565F3"/>
    <w:rsid w:val="00E70AEC"/>
    <w:rsid w:val="00E83EA2"/>
    <w:rsid w:val="00E85F40"/>
    <w:rsid w:val="00E90F00"/>
    <w:rsid w:val="00EA181E"/>
    <w:rsid w:val="00EA34C2"/>
    <w:rsid w:val="00EB03C3"/>
    <w:rsid w:val="00EB17A6"/>
    <w:rsid w:val="00EC1535"/>
    <w:rsid w:val="00EC2C37"/>
    <w:rsid w:val="00EC41E7"/>
    <w:rsid w:val="00EE7540"/>
    <w:rsid w:val="00EF0F45"/>
    <w:rsid w:val="00F000FF"/>
    <w:rsid w:val="00F03067"/>
    <w:rsid w:val="00F11A03"/>
    <w:rsid w:val="00F14329"/>
    <w:rsid w:val="00F17CC3"/>
    <w:rsid w:val="00F20162"/>
    <w:rsid w:val="00F23422"/>
    <w:rsid w:val="00F25C95"/>
    <w:rsid w:val="00F2604C"/>
    <w:rsid w:val="00F30552"/>
    <w:rsid w:val="00F31E39"/>
    <w:rsid w:val="00F52AAC"/>
    <w:rsid w:val="00F645B8"/>
    <w:rsid w:val="00F706A2"/>
    <w:rsid w:val="00F70F37"/>
    <w:rsid w:val="00F762B5"/>
    <w:rsid w:val="00F76F0F"/>
    <w:rsid w:val="00F77823"/>
    <w:rsid w:val="00F86802"/>
    <w:rsid w:val="00F87C02"/>
    <w:rsid w:val="00F90277"/>
    <w:rsid w:val="00F91C14"/>
    <w:rsid w:val="00F92773"/>
    <w:rsid w:val="00FA788D"/>
    <w:rsid w:val="00FB0A78"/>
    <w:rsid w:val="00FB27D3"/>
    <w:rsid w:val="00FD2D6F"/>
    <w:rsid w:val="00FF0CCF"/>
    <w:rsid w:val="00FF12CC"/>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0542F1-48C0-45C6-A051-249EDE54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paragraph" w:styleId="Ttulo2">
    <w:name w:val="heading 2"/>
    <w:basedOn w:val="Normal"/>
    <w:next w:val="Normal"/>
    <w:link w:val="Ttulo2Car"/>
    <w:uiPriority w:val="9"/>
    <w:unhideWhenUsed/>
    <w:qFormat/>
    <w:rsid w:val="00DA2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character" w:customStyle="1" w:styleId="Ttulo2Car">
    <w:name w:val="Título 2 Car"/>
    <w:basedOn w:val="Fuentedeprrafopredeter"/>
    <w:link w:val="Ttulo2"/>
    <w:uiPriority w:val="9"/>
    <w:rsid w:val="00DA22A6"/>
    <w:rPr>
      <w:rFonts w:asciiTheme="majorHAnsi" w:eastAsiaTheme="majorEastAsia" w:hAnsiTheme="majorHAnsi" w:cstheme="majorBidi"/>
      <w:color w:val="2E74B5" w:themeColor="accent1" w:themeShade="BF"/>
      <w:sz w:val="26"/>
      <w:szCs w:val="26"/>
      <w:lang w:val="es-ES"/>
    </w:rPr>
  </w:style>
  <w:style w:type="character" w:styleId="Hipervnculo">
    <w:name w:val="Hyperlink"/>
    <w:basedOn w:val="Fuentedeprrafopredeter"/>
    <w:uiPriority w:val="99"/>
    <w:semiHidden/>
    <w:unhideWhenUsed/>
    <w:rsid w:val="002E73FA"/>
    <w:rPr>
      <w:color w:val="0000FF"/>
      <w:u w:val="single"/>
    </w:rPr>
  </w:style>
  <w:style w:type="character" w:customStyle="1" w:styleId="lbl-encabezado-negro">
    <w:name w:val="lbl-encabezado-negro"/>
    <w:basedOn w:val="Fuentedeprrafopredeter"/>
    <w:rsid w:val="00CE2134"/>
  </w:style>
  <w:style w:type="paragraph" w:customStyle="1" w:styleId="Textoindependiente21">
    <w:name w:val="Texto independiente 21"/>
    <w:basedOn w:val="Normal"/>
    <w:rsid w:val="000D65B8"/>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rrafodelista">
    <w:name w:val="List Paragraph"/>
    <w:basedOn w:val="Normal"/>
    <w:uiPriority w:val="34"/>
    <w:qFormat/>
    <w:rsid w:val="000D65B8"/>
    <w:pPr>
      <w:ind w:left="720"/>
      <w:contextualSpacing/>
    </w:pPr>
  </w:style>
  <w:style w:type="paragraph" w:styleId="Piedepgina">
    <w:name w:val="footer"/>
    <w:basedOn w:val="Normal"/>
    <w:link w:val="PiedepginaCar"/>
    <w:uiPriority w:val="99"/>
    <w:unhideWhenUsed/>
    <w:rsid w:val="008341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417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688793984">
      <w:bodyDiv w:val="1"/>
      <w:marLeft w:val="0"/>
      <w:marRight w:val="0"/>
      <w:marTop w:val="0"/>
      <w:marBottom w:val="0"/>
      <w:divBdr>
        <w:top w:val="none" w:sz="0" w:space="0" w:color="auto"/>
        <w:left w:val="none" w:sz="0" w:space="0" w:color="auto"/>
        <w:bottom w:val="none" w:sz="0" w:space="0" w:color="auto"/>
        <w:right w:val="none" w:sz="0" w:space="0" w:color="auto"/>
      </w:divBdr>
    </w:div>
    <w:div w:id="2059275298">
      <w:bodyDiv w:val="1"/>
      <w:marLeft w:val="0"/>
      <w:marRight w:val="0"/>
      <w:marTop w:val="0"/>
      <w:marBottom w:val="0"/>
      <w:divBdr>
        <w:top w:val="none" w:sz="0" w:space="0" w:color="auto"/>
        <w:left w:val="none" w:sz="0" w:space="0" w:color="auto"/>
        <w:bottom w:val="none" w:sz="0" w:space="0" w:color="auto"/>
        <w:right w:val="none" w:sz="0" w:space="0" w:color="auto"/>
      </w:divBdr>
      <w:divsChild>
        <w:div w:id="24348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1201</Words>
  <Characters>6608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JuanEdy</cp:lastModifiedBy>
  <cp:revision>4</cp:revision>
  <cp:lastPrinted>2020-02-10T16:06:00Z</cp:lastPrinted>
  <dcterms:created xsi:type="dcterms:W3CDTF">2020-09-22T16:43:00Z</dcterms:created>
  <dcterms:modified xsi:type="dcterms:W3CDTF">2020-09-24T16:45:00Z</dcterms:modified>
</cp:coreProperties>
</file>