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5D192"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2EC5A8EE"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5A4C18">
        <w:rPr>
          <w:rFonts w:ascii="Arial" w:hAnsi="Arial" w:cs="Arial"/>
          <w:b/>
          <w:sz w:val="26"/>
          <w:szCs w:val="26"/>
        </w:rPr>
        <w:t>0</w:t>
      </w:r>
      <w:r w:rsidR="00C01564">
        <w:rPr>
          <w:rFonts w:ascii="Arial" w:hAnsi="Arial" w:cs="Arial"/>
          <w:b/>
          <w:sz w:val="26"/>
          <w:szCs w:val="26"/>
        </w:rPr>
        <w:t>254</w:t>
      </w:r>
      <w:r w:rsidRPr="00CB6405">
        <w:rPr>
          <w:rFonts w:ascii="Arial" w:hAnsi="Arial" w:cs="Arial"/>
          <w:b/>
          <w:sz w:val="26"/>
          <w:szCs w:val="26"/>
        </w:rPr>
        <w:t>/201</w:t>
      </w:r>
      <w:r w:rsidR="005A4C18">
        <w:rPr>
          <w:rFonts w:ascii="Arial" w:hAnsi="Arial" w:cs="Arial"/>
          <w:b/>
          <w:sz w:val="26"/>
          <w:szCs w:val="26"/>
        </w:rPr>
        <w:t>9</w:t>
      </w:r>
    </w:p>
    <w:p w14:paraId="6FEE7299"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C01564">
        <w:rPr>
          <w:rFonts w:ascii="Arial" w:hAnsi="Arial" w:cs="Arial"/>
          <w:b/>
          <w:sz w:val="26"/>
          <w:szCs w:val="26"/>
        </w:rPr>
        <w:t>117</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sidR="00C01564">
        <w:rPr>
          <w:rFonts w:ascii="Arial" w:hAnsi="Arial" w:cs="Arial"/>
          <w:b/>
          <w:sz w:val="26"/>
          <w:szCs w:val="26"/>
        </w:rPr>
        <w:t xml:space="preserve">PRIMERA </w:t>
      </w:r>
      <w:r w:rsidRPr="00CB6405">
        <w:rPr>
          <w:rFonts w:ascii="Arial" w:hAnsi="Arial" w:cs="Arial"/>
          <w:b/>
          <w:sz w:val="26"/>
          <w:szCs w:val="26"/>
        </w:rPr>
        <w:t>SALA UNITARIA DE PRIMERA INSTANCIA</w:t>
      </w:r>
    </w:p>
    <w:p w14:paraId="29AF4401" w14:textId="77777777"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14:paraId="43D0ADE9" w14:textId="77777777" w:rsidR="005770C1" w:rsidRPr="00CB6405" w:rsidRDefault="005770C1" w:rsidP="005770C1">
      <w:pPr>
        <w:spacing w:line="240" w:lineRule="auto"/>
        <w:ind w:left="2124"/>
        <w:jc w:val="both"/>
        <w:rPr>
          <w:rFonts w:ascii="Arial" w:hAnsi="Arial" w:cs="Arial"/>
          <w:b/>
          <w:sz w:val="26"/>
          <w:szCs w:val="26"/>
        </w:rPr>
      </w:pPr>
    </w:p>
    <w:p w14:paraId="37AC8B6D" w14:textId="77777777" w:rsidR="005770C1" w:rsidRPr="00CB6405" w:rsidRDefault="005770C1" w:rsidP="0064739F">
      <w:pPr>
        <w:spacing w:after="0" w:line="360" w:lineRule="auto"/>
        <w:jc w:val="both"/>
        <w:rPr>
          <w:rFonts w:ascii="Arial" w:hAnsi="Arial" w:cs="Arial"/>
          <w:b/>
          <w:sz w:val="26"/>
          <w:szCs w:val="26"/>
        </w:rPr>
      </w:pPr>
      <w:r w:rsidRPr="00CB6405">
        <w:rPr>
          <w:rFonts w:ascii="Arial" w:hAnsi="Arial" w:cs="Arial"/>
          <w:b/>
          <w:sz w:val="26"/>
          <w:szCs w:val="26"/>
        </w:rPr>
        <w:t>OAXACA DE JUÁREZ, OAXACA</w:t>
      </w:r>
      <w:r w:rsidR="00C62F3D">
        <w:rPr>
          <w:rFonts w:ascii="Arial" w:hAnsi="Arial" w:cs="Arial"/>
          <w:b/>
          <w:sz w:val="26"/>
          <w:szCs w:val="26"/>
        </w:rPr>
        <w:t>,</w:t>
      </w:r>
      <w:r w:rsidRPr="00CB6405">
        <w:rPr>
          <w:rFonts w:ascii="Arial" w:hAnsi="Arial" w:cs="Arial"/>
          <w:b/>
          <w:sz w:val="26"/>
          <w:szCs w:val="26"/>
        </w:rPr>
        <w:t xml:space="preserve"> A </w:t>
      </w:r>
      <w:r w:rsidR="00A63716">
        <w:rPr>
          <w:rFonts w:ascii="Arial" w:hAnsi="Arial" w:cs="Arial"/>
          <w:b/>
          <w:sz w:val="26"/>
          <w:szCs w:val="26"/>
        </w:rPr>
        <w:t xml:space="preserve">VEINTE DE FEBRERO DE </w:t>
      </w:r>
      <w:r w:rsidRPr="00CB6405">
        <w:rPr>
          <w:rFonts w:ascii="Arial" w:hAnsi="Arial" w:cs="Arial"/>
          <w:b/>
          <w:sz w:val="26"/>
          <w:szCs w:val="26"/>
        </w:rPr>
        <w:t xml:space="preserve">DOS MIL </w:t>
      </w:r>
      <w:r w:rsidR="00ED2CA4">
        <w:rPr>
          <w:rFonts w:ascii="Arial" w:hAnsi="Arial" w:cs="Arial"/>
          <w:b/>
          <w:sz w:val="26"/>
          <w:szCs w:val="26"/>
        </w:rPr>
        <w:t>VEINTE</w:t>
      </w:r>
      <w:r w:rsidRPr="00CB6405">
        <w:rPr>
          <w:rFonts w:ascii="Arial" w:hAnsi="Arial" w:cs="Arial"/>
          <w:b/>
          <w:sz w:val="26"/>
          <w:szCs w:val="26"/>
        </w:rPr>
        <w:t>.</w:t>
      </w:r>
      <w:r w:rsidR="00C01564">
        <w:rPr>
          <w:rFonts w:ascii="Arial" w:hAnsi="Arial" w:cs="Arial"/>
          <w:b/>
          <w:sz w:val="26"/>
          <w:szCs w:val="26"/>
        </w:rPr>
        <w:t xml:space="preserve"> </w:t>
      </w:r>
    </w:p>
    <w:p w14:paraId="716DAEE2" w14:textId="273D14DA" w:rsidR="005770C1" w:rsidRPr="00CB6405" w:rsidRDefault="005770C1" w:rsidP="0064739F">
      <w:pPr>
        <w:spacing w:after="0"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C01564">
        <w:rPr>
          <w:rFonts w:ascii="Arial" w:hAnsi="Arial" w:cs="Arial"/>
          <w:b/>
          <w:sz w:val="26"/>
          <w:szCs w:val="26"/>
        </w:rPr>
        <w:t>254</w:t>
      </w:r>
      <w:r w:rsidRPr="00CB6405">
        <w:rPr>
          <w:rFonts w:ascii="Arial" w:hAnsi="Arial" w:cs="Arial"/>
          <w:b/>
          <w:sz w:val="26"/>
          <w:szCs w:val="26"/>
        </w:rPr>
        <w:t>/201</w:t>
      </w:r>
      <w:r w:rsidR="005A4C18">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C01564" w:rsidRPr="00C01564">
        <w:rPr>
          <w:rFonts w:ascii="Arial" w:hAnsi="Arial" w:cs="Arial"/>
          <w:b/>
          <w:sz w:val="26"/>
          <w:szCs w:val="26"/>
        </w:rPr>
        <w:t xml:space="preserve"> </w:t>
      </w:r>
      <w:r w:rsidR="004C4D84" w:rsidRPr="004C4D84">
        <w:rPr>
          <w:rFonts w:ascii="Arial" w:hAnsi="Arial" w:cs="Arial"/>
          <w:sz w:val="26"/>
          <w:szCs w:val="26"/>
        </w:rPr>
        <w:t xml:space="preserve">el </w:t>
      </w:r>
      <w:r w:rsidR="004340DB">
        <w:rPr>
          <w:rFonts w:ascii="Arial" w:hAnsi="Arial" w:cs="Arial"/>
          <w:b/>
          <w:bCs/>
          <w:sz w:val="26"/>
          <w:szCs w:val="26"/>
        </w:rPr>
        <w:t>**********</w:t>
      </w:r>
      <w:r w:rsidRPr="00CB6405">
        <w:rPr>
          <w:rFonts w:ascii="Arial" w:hAnsi="Arial" w:cs="Arial"/>
          <w:sz w:val="26"/>
          <w:szCs w:val="26"/>
        </w:rPr>
        <w:t>, en contra de</w:t>
      </w:r>
      <w:r>
        <w:rPr>
          <w:rFonts w:ascii="Arial" w:hAnsi="Arial" w:cs="Arial"/>
          <w:sz w:val="26"/>
          <w:szCs w:val="26"/>
        </w:rPr>
        <w:t xml:space="preserve"> la sentencia de</w:t>
      </w:r>
      <w:r w:rsidR="00E327ED">
        <w:rPr>
          <w:rFonts w:ascii="Arial" w:hAnsi="Arial" w:cs="Arial"/>
          <w:sz w:val="26"/>
          <w:szCs w:val="26"/>
        </w:rPr>
        <w:t xml:space="preserve"> </w:t>
      </w:r>
      <w:r w:rsidR="00C01564">
        <w:rPr>
          <w:rFonts w:ascii="Arial" w:hAnsi="Arial" w:cs="Arial"/>
          <w:sz w:val="26"/>
          <w:szCs w:val="26"/>
        </w:rPr>
        <w:t xml:space="preserve">veintisiete </w:t>
      </w:r>
      <w:r w:rsidR="005A4C18">
        <w:rPr>
          <w:rFonts w:ascii="Arial" w:hAnsi="Arial" w:cs="Arial"/>
          <w:sz w:val="26"/>
          <w:szCs w:val="26"/>
        </w:rPr>
        <w:t xml:space="preserve">de </w:t>
      </w:r>
      <w:r w:rsidR="00C01564">
        <w:rPr>
          <w:rFonts w:ascii="Arial" w:hAnsi="Arial" w:cs="Arial"/>
          <w:sz w:val="26"/>
          <w:szCs w:val="26"/>
        </w:rPr>
        <w:t>mayo de</w:t>
      </w:r>
      <w:r>
        <w:rPr>
          <w:rFonts w:ascii="Arial" w:hAnsi="Arial" w:cs="Arial"/>
          <w:sz w:val="26"/>
          <w:szCs w:val="26"/>
        </w:rPr>
        <w:t xml:space="preserve"> </w:t>
      </w:r>
      <w:r w:rsidRPr="00CB6405">
        <w:rPr>
          <w:rFonts w:ascii="Arial" w:hAnsi="Arial" w:cs="Arial"/>
          <w:sz w:val="26"/>
          <w:szCs w:val="26"/>
        </w:rPr>
        <w:t>dos mil diec</w:t>
      </w:r>
      <w:r w:rsidR="005A4C18">
        <w:rPr>
          <w:rFonts w:ascii="Arial" w:hAnsi="Arial" w:cs="Arial"/>
          <w:sz w:val="26"/>
          <w:szCs w:val="26"/>
        </w:rPr>
        <w:t>inueve</w:t>
      </w:r>
      <w:r>
        <w:rPr>
          <w:rFonts w:ascii="Arial" w:hAnsi="Arial" w:cs="Arial"/>
          <w:sz w:val="26"/>
          <w:szCs w:val="26"/>
        </w:rPr>
        <w:t>, dictada</w:t>
      </w:r>
      <w:r w:rsidRPr="00CB6405">
        <w:rPr>
          <w:rFonts w:ascii="Arial" w:hAnsi="Arial" w:cs="Arial"/>
          <w:sz w:val="26"/>
          <w:szCs w:val="26"/>
        </w:rPr>
        <w:t xml:space="preserve"> en el expediente </w:t>
      </w:r>
      <w:r w:rsidR="00DE569E">
        <w:rPr>
          <w:rFonts w:ascii="Arial" w:hAnsi="Arial" w:cs="Arial"/>
          <w:b/>
          <w:sz w:val="26"/>
          <w:szCs w:val="26"/>
        </w:rPr>
        <w:t>0</w:t>
      </w:r>
      <w:r w:rsidR="00C01564">
        <w:rPr>
          <w:rFonts w:ascii="Arial" w:hAnsi="Arial" w:cs="Arial"/>
          <w:b/>
          <w:sz w:val="26"/>
          <w:szCs w:val="26"/>
        </w:rPr>
        <w:t>117</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sidR="00C01564">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C01564">
        <w:rPr>
          <w:rFonts w:ascii="Arial" w:hAnsi="Arial" w:cs="Arial"/>
          <w:sz w:val="26"/>
          <w:szCs w:val="26"/>
        </w:rPr>
        <w:t xml:space="preserve"> </w:t>
      </w:r>
      <w:r w:rsidR="004340DB">
        <w:rPr>
          <w:rFonts w:ascii="Arial" w:hAnsi="Arial" w:cs="Arial"/>
          <w:b/>
          <w:bCs/>
          <w:sz w:val="26"/>
          <w:szCs w:val="26"/>
        </w:rPr>
        <w:t>**********</w:t>
      </w:r>
      <w:r w:rsidR="00A644EC">
        <w:rPr>
          <w:rFonts w:ascii="Arial" w:hAnsi="Arial" w:cs="Arial"/>
          <w:b/>
          <w:sz w:val="26"/>
          <w:szCs w:val="26"/>
        </w:rPr>
        <w:t xml:space="preserve">, </w:t>
      </w:r>
      <w:r w:rsidR="00A644EC">
        <w:rPr>
          <w:rFonts w:ascii="Arial" w:hAnsi="Arial" w:cs="Arial"/>
          <w:bCs/>
          <w:sz w:val="26"/>
          <w:szCs w:val="26"/>
        </w:rPr>
        <w:t>en contra del</w:t>
      </w:r>
      <w:r w:rsidR="00FC557E">
        <w:rPr>
          <w:rFonts w:ascii="Arial" w:hAnsi="Arial" w:cs="Arial"/>
          <w:b/>
          <w:sz w:val="26"/>
          <w:szCs w:val="26"/>
        </w:rPr>
        <w:t xml:space="preserve"> </w:t>
      </w:r>
      <w:r w:rsidR="004340DB">
        <w:rPr>
          <w:rFonts w:ascii="Arial" w:hAnsi="Arial" w:cs="Arial"/>
          <w:b/>
          <w:bCs/>
          <w:sz w:val="26"/>
          <w:szCs w:val="26"/>
        </w:rPr>
        <w:t>**********</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14:paraId="17DB0F96" w14:textId="77777777" w:rsidR="005770C1" w:rsidRPr="00CB6405" w:rsidRDefault="005770C1" w:rsidP="0064739F">
      <w:pPr>
        <w:spacing w:after="0" w:line="360" w:lineRule="auto"/>
        <w:jc w:val="center"/>
        <w:rPr>
          <w:rFonts w:ascii="Arial" w:hAnsi="Arial" w:cs="Arial"/>
          <w:b/>
          <w:bCs/>
          <w:sz w:val="26"/>
          <w:szCs w:val="26"/>
        </w:rPr>
      </w:pPr>
      <w:r w:rsidRPr="00CB6405">
        <w:rPr>
          <w:rFonts w:ascii="Arial" w:hAnsi="Arial" w:cs="Arial"/>
          <w:b/>
          <w:bCs/>
          <w:sz w:val="26"/>
          <w:szCs w:val="26"/>
        </w:rPr>
        <w:t>R E S U L T A N D O</w:t>
      </w:r>
    </w:p>
    <w:p w14:paraId="49F1AE28" w14:textId="6F4D6A9A" w:rsidR="005770C1" w:rsidRPr="00CB6405" w:rsidRDefault="005770C1" w:rsidP="0064739F">
      <w:pPr>
        <w:spacing w:after="0"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5A4C18">
        <w:rPr>
          <w:rFonts w:ascii="Arial" w:hAnsi="Arial" w:cs="Arial"/>
          <w:sz w:val="26"/>
          <w:szCs w:val="26"/>
        </w:rPr>
        <w:t xml:space="preserve"> </w:t>
      </w:r>
      <w:r w:rsidR="00FC557E">
        <w:rPr>
          <w:rFonts w:ascii="Arial" w:hAnsi="Arial" w:cs="Arial"/>
          <w:sz w:val="26"/>
          <w:szCs w:val="26"/>
        </w:rPr>
        <w:t xml:space="preserve">veintisiete </w:t>
      </w:r>
      <w:r w:rsidR="005A4C18">
        <w:rPr>
          <w:rFonts w:ascii="Arial" w:hAnsi="Arial" w:cs="Arial"/>
          <w:sz w:val="26"/>
          <w:szCs w:val="26"/>
        </w:rPr>
        <w:t xml:space="preserve">de </w:t>
      </w:r>
      <w:r w:rsidR="00FC557E">
        <w:rPr>
          <w:rFonts w:ascii="Arial" w:hAnsi="Arial" w:cs="Arial"/>
          <w:sz w:val="26"/>
          <w:szCs w:val="26"/>
        </w:rPr>
        <w:t xml:space="preserve">mayo </w:t>
      </w:r>
      <w:r w:rsidR="005A4C18">
        <w:rPr>
          <w:rFonts w:ascii="Arial" w:hAnsi="Arial" w:cs="Arial"/>
          <w:sz w:val="26"/>
          <w:szCs w:val="26"/>
        </w:rPr>
        <w:t xml:space="preserve">de </w:t>
      </w:r>
      <w:r w:rsidR="005A4C18" w:rsidRPr="00CB6405">
        <w:rPr>
          <w:rFonts w:ascii="Arial" w:hAnsi="Arial" w:cs="Arial"/>
          <w:sz w:val="26"/>
          <w:szCs w:val="26"/>
        </w:rPr>
        <w:t>dos mil diec</w:t>
      </w:r>
      <w:r w:rsidR="005A4C18">
        <w:rPr>
          <w:rFonts w:ascii="Arial" w:hAnsi="Arial" w:cs="Arial"/>
          <w:sz w:val="26"/>
          <w:szCs w:val="26"/>
        </w:rPr>
        <w:t>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FC557E">
        <w:rPr>
          <w:rFonts w:ascii="Arial" w:hAnsi="Arial" w:cs="Arial"/>
          <w:sz w:val="26"/>
          <w:szCs w:val="26"/>
        </w:rPr>
        <w:t xml:space="preserve">Primera </w:t>
      </w:r>
      <w:r w:rsidRPr="00CB6405">
        <w:rPr>
          <w:rFonts w:ascii="Arial" w:hAnsi="Arial" w:cs="Arial"/>
          <w:sz w:val="26"/>
          <w:szCs w:val="26"/>
        </w:rPr>
        <w:t>Sala Unitaria de Primera Instancia</w:t>
      </w:r>
      <w:r w:rsidR="009F5A0A">
        <w:rPr>
          <w:rFonts w:ascii="Arial" w:hAnsi="Arial" w:cs="Arial"/>
          <w:sz w:val="26"/>
          <w:szCs w:val="26"/>
        </w:rPr>
        <w:t xml:space="preserve">, el </w:t>
      </w:r>
      <w:r w:rsidR="004340DB">
        <w:rPr>
          <w:rFonts w:ascii="Arial" w:hAnsi="Arial" w:cs="Arial"/>
          <w:b/>
          <w:bCs/>
          <w:sz w:val="26"/>
          <w:szCs w:val="26"/>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14:paraId="57B30501" w14:textId="77777777" w:rsidR="005770C1" w:rsidRDefault="005770C1" w:rsidP="0064739F">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09D3D45A" w14:textId="77777777" w:rsidR="00D525AD" w:rsidRDefault="005770C1" w:rsidP="0064739F">
      <w:pPr>
        <w:widowControl w:val="0"/>
        <w:tabs>
          <w:tab w:val="left" w:pos="7938"/>
        </w:tabs>
        <w:spacing w:before="240" w:after="0" w:line="24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D525AD">
        <w:rPr>
          <w:rFonts w:ascii="Arial" w:eastAsia="Times New Roman" w:hAnsi="Arial" w:cs="Arial"/>
          <w:bCs/>
          <w:i/>
          <w:iCs/>
          <w:sz w:val="24"/>
          <w:szCs w:val="24"/>
          <w:lang w:eastAsia="es-ES"/>
        </w:rPr>
        <w:t xml:space="preserve">Primera </w:t>
      </w:r>
      <w:r w:rsidRPr="00C06661">
        <w:rPr>
          <w:rFonts w:ascii="Arial" w:eastAsia="Times New Roman" w:hAnsi="Arial" w:cs="Arial"/>
          <w:bCs/>
          <w:i/>
          <w:iCs/>
          <w:sz w:val="24"/>
          <w:szCs w:val="24"/>
          <w:lang w:eastAsia="es-ES"/>
        </w:rPr>
        <w:t xml:space="preserve">Sala Unitaria </w:t>
      </w:r>
      <w:r>
        <w:rPr>
          <w:rFonts w:ascii="Arial" w:eastAsia="Times New Roman" w:hAnsi="Arial" w:cs="Arial"/>
          <w:bCs/>
          <w:i/>
          <w:iCs/>
          <w:sz w:val="24"/>
          <w:szCs w:val="24"/>
          <w:lang w:eastAsia="es-ES"/>
        </w:rPr>
        <w:t xml:space="preserve">del Tribunal de Justicia Administrativa del Estado de Oaxaca, </w:t>
      </w:r>
      <w:r w:rsidRPr="00C06661">
        <w:rPr>
          <w:rFonts w:ascii="Arial" w:eastAsia="Times New Roman" w:hAnsi="Arial" w:cs="Arial"/>
          <w:bCs/>
          <w:i/>
          <w:iCs/>
          <w:sz w:val="24"/>
          <w:szCs w:val="24"/>
          <w:lang w:eastAsia="es-ES"/>
        </w:rPr>
        <w:t>e</w:t>
      </w:r>
      <w:r>
        <w:rPr>
          <w:rFonts w:ascii="Arial" w:eastAsia="Times New Roman" w:hAnsi="Arial" w:cs="Arial"/>
          <w:bCs/>
          <w:i/>
          <w:iCs/>
          <w:sz w:val="24"/>
          <w:szCs w:val="24"/>
          <w:lang w:eastAsia="es-ES"/>
        </w:rPr>
        <w:t>s</w:t>
      </w:r>
      <w:r w:rsidRPr="00C06661">
        <w:rPr>
          <w:rFonts w:ascii="Arial" w:eastAsia="Times New Roman" w:hAnsi="Arial" w:cs="Arial"/>
          <w:bCs/>
          <w:i/>
          <w:iCs/>
          <w:sz w:val="24"/>
          <w:szCs w:val="24"/>
          <w:lang w:eastAsia="es-ES"/>
        </w:rPr>
        <w:t xml:space="preserve"> competente para conocer y resolver el presente </w:t>
      </w:r>
      <w:r>
        <w:rPr>
          <w:rFonts w:ascii="Arial" w:eastAsia="Times New Roman" w:hAnsi="Arial" w:cs="Arial"/>
          <w:bCs/>
          <w:i/>
          <w:iCs/>
          <w:sz w:val="24"/>
          <w:szCs w:val="24"/>
          <w:lang w:eastAsia="es-ES"/>
        </w:rPr>
        <w:t>juicio</w:t>
      </w:r>
      <w:r w:rsidRPr="00C06661">
        <w:rPr>
          <w:rFonts w:ascii="Arial" w:eastAsia="Times New Roman" w:hAnsi="Arial" w:cs="Arial"/>
          <w:bCs/>
          <w:i/>
          <w:iCs/>
          <w:sz w:val="24"/>
          <w:szCs w:val="24"/>
          <w:lang w:eastAsia="es-ES"/>
        </w:rPr>
        <w:t>.</w:t>
      </w:r>
      <w:r w:rsidR="00D525AD">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 xml:space="preserve">- - - - - - - - - - - </w:t>
      </w:r>
      <w:r>
        <w:rPr>
          <w:rFonts w:ascii="Arial" w:eastAsia="Times New Roman" w:hAnsi="Arial" w:cs="Arial"/>
          <w:bCs/>
          <w:i/>
          <w:iCs/>
          <w:sz w:val="24"/>
          <w:szCs w:val="24"/>
          <w:lang w:eastAsia="es-ES"/>
        </w:rPr>
        <w:t xml:space="preserve">- - - </w:t>
      </w:r>
      <w:r w:rsidRPr="00C06661">
        <w:rPr>
          <w:rFonts w:ascii="Arial" w:eastAsia="Times New Roman" w:hAnsi="Arial" w:cs="Arial"/>
          <w:b/>
          <w:bCs/>
          <w:i/>
          <w:iCs/>
          <w:sz w:val="24"/>
          <w:szCs w:val="24"/>
          <w:lang w:eastAsia="es-ES"/>
        </w:rPr>
        <w:t xml:space="preserve">SEGUNDO. </w:t>
      </w:r>
      <w:r w:rsidR="004E7657">
        <w:rPr>
          <w:rFonts w:ascii="Arial" w:eastAsia="Times New Roman" w:hAnsi="Arial" w:cs="Arial"/>
          <w:bCs/>
          <w:i/>
          <w:iCs/>
          <w:sz w:val="24"/>
          <w:szCs w:val="24"/>
          <w:lang w:eastAsia="es-ES"/>
        </w:rPr>
        <w:t xml:space="preserve">La personalidad de las partes quedó </w:t>
      </w:r>
      <w:r w:rsidR="00DE569E">
        <w:rPr>
          <w:rFonts w:ascii="Arial" w:eastAsia="Times New Roman" w:hAnsi="Arial" w:cs="Arial"/>
          <w:bCs/>
          <w:i/>
          <w:iCs/>
          <w:sz w:val="24"/>
          <w:szCs w:val="24"/>
          <w:lang w:eastAsia="es-ES"/>
        </w:rPr>
        <w:t>a</w:t>
      </w:r>
      <w:r w:rsidR="00D525AD">
        <w:rPr>
          <w:rFonts w:ascii="Arial" w:eastAsia="Times New Roman" w:hAnsi="Arial" w:cs="Arial"/>
          <w:bCs/>
          <w:i/>
          <w:iCs/>
          <w:sz w:val="24"/>
          <w:szCs w:val="24"/>
          <w:lang w:eastAsia="es-ES"/>
        </w:rPr>
        <w:t>sentada dentro del considerando SEGUNDO de la presente sentencia</w:t>
      </w:r>
      <w:r w:rsidRPr="00C06661">
        <w:rPr>
          <w:rFonts w:ascii="Arial" w:eastAsia="Times New Roman" w:hAnsi="Arial" w:cs="Arial"/>
          <w:bCs/>
          <w:i/>
          <w:iCs/>
          <w:sz w:val="24"/>
          <w:szCs w:val="24"/>
          <w:lang w:eastAsia="es-ES"/>
        </w:rPr>
        <w:t>.</w:t>
      </w:r>
      <w:r w:rsidR="00D525AD">
        <w:rPr>
          <w:rFonts w:ascii="Arial" w:eastAsia="Times New Roman" w:hAnsi="Arial" w:cs="Arial"/>
          <w:bCs/>
          <w:i/>
          <w:iCs/>
          <w:sz w:val="24"/>
          <w:szCs w:val="24"/>
          <w:lang w:eastAsia="es-ES"/>
        </w:rPr>
        <w:t xml:space="preserve">- - - - - - - - - - - - - - - - - - - - - - - - - - - - - - - - - - - - - </w:t>
      </w:r>
    </w:p>
    <w:p w14:paraId="1E864422" w14:textId="7E4FA02F" w:rsidR="005770C1" w:rsidRPr="007B4B32" w:rsidRDefault="005770C1" w:rsidP="0064739F">
      <w:pPr>
        <w:widowControl w:val="0"/>
        <w:tabs>
          <w:tab w:val="left" w:pos="7938"/>
        </w:tabs>
        <w:spacing w:before="240" w:after="0" w:line="24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
          <w:bCs/>
          <w:i/>
          <w:iCs/>
          <w:sz w:val="24"/>
          <w:szCs w:val="24"/>
          <w:lang w:eastAsia="es-ES"/>
        </w:rPr>
        <w:t xml:space="preserve">TERCERO. </w:t>
      </w:r>
      <w:r w:rsidR="00D525AD">
        <w:rPr>
          <w:rFonts w:ascii="Arial" w:eastAsia="Times New Roman" w:hAnsi="Arial" w:cs="Arial"/>
          <w:i/>
          <w:iCs/>
          <w:sz w:val="24"/>
          <w:szCs w:val="24"/>
          <w:lang w:eastAsia="es-ES"/>
        </w:rPr>
        <w:t xml:space="preserve">Esta Sala advierte que, en el presente juicio no se configura alguna causal de improcedencia o sobreseimiento mencionada en el considerando TERCERO de la presente resolución, por lo tanto, </w:t>
      </w:r>
      <w:r w:rsidR="00D525AD">
        <w:rPr>
          <w:rFonts w:ascii="Arial" w:eastAsia="Times New Roman" w:hAnsi="Arial" w:cs="Arial"/>
          <w:b/>
          <w:bCs/>
          <w:i/>
          <w:iCs/>
          <w:sz w:val="24"/>
          <w:szCs w:val="24"/>
          <w:lang w:eastAsia="es-ES"/>
        </w:rPr>
        <w:t>NO SE SOBRESEE</w:t>
      </w:r>
      <w:r w:rsidR="00D525AD">
        <w:rPr>
          <w:rFonts w:ascii="Arial" w:eastAsia="Times New Roman" w:hAnsi="Arial" w:cs="Arial"/>
          <w:i/>
          <w:iCs/>
          <w:sz w:val="24"/>
          <w:szCs w:val="24"/>
          <w:lang w:eastAsia="es-ES"/>
        </w:rPr>
        <w:t xml:space="preserve">. - </w:t>
      </w:r>
      <w:r w:rsidR="004E7657">
        <w:rPr>
          <w:rFonts w:ascii="Arial" w:eastAsia="Times New Roman" w:hAnsi="Arial" w:cs="Arial"/>
          <w:b/>
          <w:bCs/>
          <w:i/>
          <w:iCs/>
          <w:sz w:val="24"/>
          <w:szCs w:val="24"/>
          <w:lang w:eastAsia="es-ES"/>
        </w:rPr>
        <w:t xml:space="preserve">CUARTO.- </w:t>
      </w:r>
      <w:r w:rsidR="00D525AD">
        <w:rPr>
          <w:rFonts w:ascii="Arial" w:eastAsia="Times New Roman" w:hAnsi="Arial" w:cs="Arial"/>
          <w:bCs/>
          <w:i/>
          <w:iCs/>
          <w:sz w:val="24"/>
          <w:szCs w:val="24"/>
          <w:lang w:eastAsia="es-ES"/>
        </w:rPr>
        <w:t xml:space="preserve">Se declara </w:t>
      </w:r>
      <w:r w:rsidR="00D525AD">
        <w:rPr>
          <w:rFonts w:ascii="Arial" w:eastAsia="Times New Roman" w:hAnsi="Arial" w:cs="Arial"/>
          <w:b/>
          <w:i/>
          <w:iCs/>
          <w:sz w:val="24"/>
          <w:szCs w:val="24"/>
          <w:lang w:eastAsia="es-ES"/>
        </w:rPr>
        <w:t xml:space="preserve">LA NULIDAD </w:t>
      </w:r>
      <w:r w:rsidR="00D525AD">
        <w:rPr>
          <w:rFonts w:ascii="Arial" w:eastAsia="Times New Roman" w:hAnsi="Arial" w:cs="Arial"/>
          <w:bCs/>
          <w:i/>
          <w:iCs/>
          <w:sz w:val="24"/>
          <w:szCs w:val="24"/>
          <w:lang w:eastAsia="es-ES"/>
        </w:rPr>
        <w:t xml:space="preserve">del oficio </w:t>
      </w:r>
      <w:r w:rsidR="004340DB">
        <w:rPr>
          <w:rFonts w:ascii="Arial" w:hAnsi="Arial" w:cs="Arial"/>
          <w:b/>
          <w:bCs/>
          <w:sz w:val="26"/>
          <w:szCs w:val="26"/>
        </w:rPr>
        <w:t>**********</w:t>
      </w:r>
      <w:r w:rsidR="004340DB">
        <w:rPr>
          <w:rFonts w:ascii="Arial" w:hAnsi="Arial" w:cs="Arial"/>
          <w:b/>
          <w:bCs/>
          <w:sz w:val="26"/>
          <w:szCs w:val="26"/>
        </w:rPr>
        <w:t xml:space="preserve"> </w:t>
      </w:r>
      <w:r w:rsidR="00D525AD">
        <w:rPr>
          <w:rFonts w:ascii="Arial" w:eastAsia="Times New Roman" w:hAnsi="Arial" w:cs="Arial"/>
          <w:bCs/>
          <w:i/>
          <w:iCs/>
          <w:sz w:val="24"/>
          <w:szCs w:val="24"/>
          <w:lang w:eastAsia="es-ES"/>
        </w:rPr>
        <w:t xml:space="preserve">de fecha quince de noviembre de dos mil dieciocho (15/11/2018), mediante el cual resolvió el recurso de revisión número 025/2018, emitido por el Jefe de la Unidad Jurídica del Instituto Catastral del Estado de Oaxaca, </w:t>
      </w:r>
      <w:r w:rsidR="00D525AD">
        <w:rPr>
          <w:rFonts w:ascii="Arial" w:eastAsia="Times New Roman" w:hAnsi="Arial" w:cs="Arial"/>
          <w:b/>
          <w:i/>
          <w:iCs/>
          <w:sz w:val="24"/>
          <w:szCs w:val="24"/>
          <w:lang w:eastAsia="es-ES"/>
        </w:rPr>
        <w:t>PARA EL EFECTO</w:t>
      </w:r>
      <w:r w:rsidR="007B4B32">
        <w:rPr>
          <w:rFonts w:ascii="Arial" w:eastAsia="Times New Roman" w:hAnsi="Arial" w:cs="Arial"/>
          <w:bCs/>
          <w:i/>
          <w:iCs/>
          <w:sz w:val="24"/>
          <w:szCs w:val="24"/>
          <w:lang w:eastAsia="es-ES"/>
        </w:rPr>
        <w:t xml:space="preserve">, precisado en el considerando QUINTO de esta sentencia. - - - - - - - - - - - - - - - - - - - - - - - - - - - - - - - - - - - - - </w:t>
      </w:r>
      <w:r w:rsidR="007F3025">
        <w:rPr>
          <w:rFonts w:ascii="Arial" w:eastAsia="Times New Roman" w:hAnsi="Arial" w:cs="Arial"/>
          <w:b/>
          <w:bCs/>
          <w:i/>
          <w:iCs/>
          <w:sz w:val="24"/>
          <w:szCs w:val="24"/>
          <w:lang w:eastAsia="es-ES"/>
        </w:rPr>
        <w:t xml:space="preserve">QUINTO.- </w:t>
      </w:r>
      <w:r w:rsidR="007F3025">
        <w:rPr>
          <w:rFonts w:ascii="Arial" w:eastAsia="Times New Roman" w:hAnsi="Arial" w:cs="Arial"/>
          <w:bCs/>
          <w:i/>
          <w:iCs/>
          <w:sz w:val="24"/>
          <w:szCs w:val="24"/>
          <w:lang w:eastAsia="es-ES"/>
        </w:rPr>
        <w:t>Con</w:t>
      </w:r>
      <w:r w:rsidR="00166BBF">
        <w:rPr>
          <w:rFonts w:ascii="Arial" w:eastAsia="Times New Roman" w:hAnsi="Arial" w:cs="Arial"/>
          <w:bCs/>
          <w:i/>
          <w:iCs/>
          <w:sz w:val="24"/>
          <w:szCs w:val="24"/>
          <w:lang w:eastAsia="es-ES"/>
        </w:rPr>
        <w:t>forme a lo dispuesto</w:t>
      </w:r>
      <w:r w:rsidR="00B17CE7">
        <w:rPr>
          <w:rFonts w:ascii="Arial" w:eastAsia="Times New Roman" w:hAnsi="Arial" w:cs="Arial"/>
          <w:bCs/>
          <w:i/>
          <w:iCs/>
          <w:sz w:val="24"/>
          <w:szCs w:val="24"/>
          <w:lang w:eastAsia="es-ES"/>
        </w:rPr>
        <w:t xml:space="preserve"> en</w:t>
      </w:r>
      <w:r w:rsidR="00166BBF">
        <w:rPr>
          <w:rFonts w:ascii="Arial" w:eastAsia="Times New Roman" w:hAnsi="Arial" w:cs="Arial"/>
          <w:bCs/>
          <w:i/>
          <w:iCs/>
          <w:sz w:val="24"/>
          <w:szCs w:val="24"/>
          <w:lang w:eastAsia="es-ES"/>
        </w:rPr>
        <w:t xml:space="preserve"> </w:t>
      </w:r>
      <w:r w:rsidR="007B4B32">
        <w:rPr>
          <w:rFonts w:ascii="Arial" w:eastAsia="Times New Roman" w:hAnsi="Arial" w:cs="Arial"/>
          <w:bCs/>
          <w:i/>
          <w:iCs/>
          <w:sz w:val="24"/>
          <w:szCs w:val="24"/>
          <w:lang w:eastAsia="es-ES"/>
        </w:rPr>
        <w:t>los</w:t>
      </w:r>
      <w:r w:rsidR="00166BBF">
        <w:rPr>
          <w:rFonts w:ascii="Arial" w:eastAsia="Times New Roman" w:hAnsi="Arial" w:cs="Arial"/>
          <w:bCs/>
          <w:i/>
          <w:iCs/>
          <w:sz w:val="24"/>
          <w:szCs w:val="24"/>
          <w:lang w:eastAsia="es-ES"/>
        </w:rPr>
        <w:t xml:space="preserve"> artículo</w:t>
      </w:r>
      <w:r w:rsidR="007B4B32">
        <w:rPr>
          <w:rFonts w:ascii="Arial" w:eastAsia="Times New Roman" w:hAnsi="Arial" w:cs="Arial"/>
          <w:bCs/>
          <w:i/>
          <w:iCs/>
          <w:sz w:val="24"/>
          <w:szCs w:val="24"/>
          <w:lang w:eastAsia="es-ES"/>
        </w:rPr>
        <w:t>s</w:t>
      </w:r>
      <w:r w:rsidR="00166BBF">
        <w:rPr>
          <w:rFonts w:ascii="Arial" w:eastAsia="Times New Roman" w:hAnsi="Arial" w:cs="Arial"/>
          <w:bCs/>
          <w:i/>
          <w:iCs/>
          <w:sz w:val="24"/>
          <w:szCs w:val="24"/>
          <w:lang w:eastAsia="es-ES"/>
        </w:rPr>
        <w:t xml:space="preserve"> 17</w:t>
      </w:r>
      <w:r w:rsidR="007B4B32">
        <w:rPr>
          <w:rFonts w:ascii="Arial" w:eastAsia="Times New Roman" w:hAnsi="Arial" w:cs="Arial"/>
          <w:bCs/>
          <w:i/>
          <w:iCs/>
          <w:sz w:val="24"/>
          <w:szCs w:val="24"/>
          <w:lang w:eastAsia="es-ES"/>
        </w:rPr>
        <w:t>2 y 173</w:t>
      </w:r>
      <w:r w:rsidR="00166BBF">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de la </w:t>
      </w:r>
      <w:r w:rsidRPr="00C06661">
        <w:rPr>
          <w:rFonts w:ascii="Arial" w:eastAsia="Times New Roman" w:hAnsi="Arial" w:cs="Arial"/>
          <w:bCs/>
          <w:i/>
          <w:iCs/>
          <w:sz w:val="24"/>
          <w:szCs w:val="24"/>
          <w:lang w:eastAsia="es-ES"/>
        </w:rPr>
        <w:t xml:space="preserve">Ley de </w:t>
      </w:r>
      <w:r w:rsidR="007F3025">
        <w:rPr>
          <w:rFonts w:ascii="Arial" w:eastAsia="Times New Roman" w:hAnsi="Arial" w:cs="Arial"/>
          <w:bCs/>
          <w:i/>
          <w:iCs/>
          <w:sz w:val="24"/>
          <w:szCs w:val="24"/>
          <w:lang w:eastAsia="es-ES"/>
        </w:rPr>
        <w:t xml:space="preserve">Procedimiento y </w:t>
      </w:r>
      <w:r w:rsidRPr="00C06661">
        <w:rPr>
          <w:rFonts w:ascii="Arial" w:eastAsia="Times New Roman" w:hAnsi="Arial" w:cs="Arial"/>
          <w:bCs/>
          <w:i/>
          <w:iCs/>
          <w:sz w:val="24"/>
          <w:szCs w:val="24"/>
          <w:lang w:eastAsia="es-ES"/>
        </w:rPr>
        <w:t>Justicia Administrativa para e</w:t>
      </w:r>
      <w:r>
        <w:rPr>
          <w:rFonts w:ascii="Arial" w:eastAsia="Times New Roman" w:hAnsi="Arial" w:cs="Arial"/>
          <w:bCs/>
          <w:i/>
          <w:iCs/>
          <w:sz w:val="24"/>
          <w:szCs w:val="24"/>
          <w:lang w:eastAsia="es-ES"/>
        </w:rPr>
        <w:t>l Estado</w:t>
      </w:r>
      <w:r w:rsidR="007F3025">
        <w:rPr>
          <w:rFonts w:ascii="Arial" w:eastAsia="Times New Roman" w:hAnsi="Arial" w:cs="Arial"/>
          <w:bCs/>
          <w:i/>
          <w:iCs/>
          <w:sz w:val="24"/>
          <w:szCs w:val="24"/>
          <w:lang w:eastAsia="es-ES"/>
        </w:rPr>
        <w:t xml:space="preserve"> de Oaxaca</w:t>
      </w:r>
      <w:r>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NOTIFÍQUESE </w:t>
      </w:r>
      <w:r w:rsidR="007F3025">
        <w:rPr>
          <w:rFonts w:ascii="Arial" w:eastAsia="Times New Roman" w:hAnsi="Arial" w:cs="Arial"/>
          <w:bCs/>
          <w:i/>
          <w:iCs/>
          <w:sz w:val="24"/>
          <w:szCs w:val="24"/>
          <w:lang w:eastAsia="es-ES"/>
        </w:rPr>
        <w:t xml:space="preserve">y </w:t>
      </w:r>
      <w:r>
        <w:rPr>
          <w:rFonts w:ascii="Arial" w:eastAsia="Times New Roman" w:hAnsi="Arial" w:cs="Arial"/>
          <w:b/>
          <w:bCs/>
          <w:i/>
          <w:iCs/>
          <w:sz w:val="24"/>
          <w:szCs w:val="24"/>
          <w:lang w:eastAsia="es-ES"/>
        </w:rPr>
        <w:t>CÚMPLASE</w:t>
      </w:r>
      <w:r w:rsidRPr="00C06661">
        <w:rPr>
          <w:rFonts w:ascii="Arial" w:eastAsia="Times New Roman" w:hAnsi="Arial" w:cs="Arial"/>
          <w:bCs/>
          <w:i/>
          <w:iCs/>
          <w:sz w:val="24"/>
          <w:szCs w:val="24"/>
          <w:lang w:eastAsia="es-ES"/>
        </w:rPr>
        <w:t>.</w:t>
      </w:r>
      <w:r w:rsidR="009F5A0A">
        <w:rPr>
          <w:rFonts w:ascii="Arial" w:eastAsia="Times New Roman" w:hAnsi="Arial" w:cs="Arial"/>
          <w:bCs/>
          <w:i/>
          <w:iCs/>
          <w:sz w:val="24"/>
          <w:szCs w:val="24"/>
          <w:lang w:eastAsia="es-ES"/>
        </w:rPr>
        <w:t xml:space="preserve">- - - - - - - </w:t>
      </w:r>
      <w:r w:rsidRPr="00C06661">
        <w:rPr>
          <w:rFonts w:ascii="Arial" w:eastAsia="Times New Roman" w:hAnsi="Arial" w:cs="Arial"/>
          <w:bCs/>
          <w:i/>
          <w:iCs/>
          <w:sz w:val="24"/>
          <w:szCs w:val="24"/>
          <w:lang w:eastAsia="es-ES"/>
        </w:rPr>
        <w:t>”</w:t>
      </w:r>
    </w:p>
    <w:p w14:paraId="1FF0921D" w14:textId="77777777" w:rsidR="005770C1" w:rsidRPr="00CB6405" w:rsidRDefault="005770C1" w:rsidP="0064739F">
      <w:pPr>
        <w:spacing w:before="240" w:after="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lastRenderedPageBreak/>
        <w:t>C O N S I D E R A N D O:</w:t>
      </w:r>
    </w:p>
    <w:p w14:paraId="6B221A21" w14:textId="77777777" w:rsidR="005770C1" w:rsidRPr="00CB6405" w:rsidRDefault="009C7A1D" w:rsidP="0064739F">
      <w:pPr>
        <w:spacing w:before="240" w:after="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7 siete de noviembre de 2019 dos mil diecinueve; así como los diversos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sidR="005770C1" w:rsidRPr="00CB6405">
        <w:rPr>
          <w:rFonts w:ascii="Arial" w:hAnsi="Arial" w:cs="Arial"/>
          <w:bCs/>
          <w:iCs/>
          <w:sz w:val="26"/>
          <w:szCs w:val="26"/>
        </w:rPr>
        <w:t>l</w:t>
      </w:r>
      <w:r w:rsidR="005770C1">
        <w:rPr>
          <w:rFonts w:ascii="Arial" w:hAnsi="Arial" w:cs="Arial"/>
          <w:bCs/>
          <w:iCs/>
          <w:sz w:val="26"/>
          <w:szCs w:val="26"/>
        </w:rPr>
        <w:t xml:space="preserve">a sentencia de </w:t>
      </w:r>
      <w:r w:rsidR="009142FD">
        <w:rPr>
          <w:rFonts w:ascii="Arial" w:hAnsi="Arial" w:cs="Arial"/>
          <w:bCs/>
          <w:iCs/>
          <w:sz w:val="26"/>
          <w:szCs w:val="26"/>
        </w:rPr>
        <w:t>veint</w:t>
      </w:r>
      <w:r w:rsidR="00263DCB">
        <w:rPr>
          <w:rFonts w:ascii="Arial" w:hAnsi="Arial" w:cs="Arial"/>
          <w:bCs/>
          <w:iCs/>
          <w:sz w:val="26"/>
          <w:szCs w:val="26"/>
        </w:rPr>
        <w:t>isiete</w:t>
      </w:r>
      <w:r w:rsidR="009142FD">
        <w:rPr>
          <w:rFonts w:ascii="Arial" w:hAnsi="Arial" w:cs="Arial"/>
          <w:bCs/>
          <w:iCs/>
          <w:sz w:val="26"/>
          <w:szCs w:val="26"/>
        </w:rPr>
        <w:t xml:space="preserve"> de </w:t>
      </w:r>
      <w:r w:rsidR="00263DCB">
        <w:rPr>
          <w:rFonts w:ascii="Arial" w:hAnsi="Arial" w:cs="Arial"/>
          <w:bCs/>
          <w:iCs/>
          <w:sz w:val="26"/>
          <w:szCs w:val="26"/>
        </w:rPr>
        <w:t xml:space="preserve">mayo </w:t>
      </w:r>
      <w:r w:rsidR="005770C1">
        <w:rPr>
          <w:rFonts w:ascii="Arial" w:hAnsi="Arial" w:cs="Arial"/>
          <w:bCs/>
          <w:iCs/>
          <w:sz w:val="26"/>
          <w:szCs w:val="26"/>
        </w:rPr>
        <w:t>de dos mil dieci</w:t>
      </w:r>
      <w:r w:rsidR="00263DCB">
        <w:rPr>
          <w:rFonts w:ascii="Arial" w:hAnsi="Arial" w:cs="Arial"/>
          <w:bCs/>
          <w:iCs/>
          <w:sz w:val="26"/>
          <w:szCs w:val="26"/>
        </w:rPr>
        <w:t>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263DCB">
        <w:rPr>
          <w:rFonts w:ascii="Arial" w:hAnsi="Arial" w:cs="Arial"/>
          <w:bCs/>
          <w:iCs/>
          <w:sz w:val="26"/>
          <w:szCs w:val="26"/>
        </w:rPr>
        <w:t xml:space="preserve">Primera </w:t>
      </w:r>
      <w:r w:rsidR="005770C1" w:rsidRPr="00CB6405">
        <w:rPr>
          <w:rFonts w:ascii="Arial" w:hAnsi="Arial" w:cs="Arial"/>
          <w:bCs/>
          <w:iCs/>
          <w:sz w:val="26"/>
          <w:szCs w:val="26"/>
        </w:rPr>
        <w:t xml:space="preserve">Sala Unitaria de Primera Instancia de este Tribunal, en el expediente </w:t>
      </w:r>
      <w:r w:rsidR="009142FD">
        <w:rPr>
          <w:rFonts w:ascii="Arial" w:hAnsi="Arial" w:cs="Arial"/>
          <w:b/>
          <w:bCs/>
          <w:iCs/>
          <w:sz w:val="26"/>
          <w:szCs w:val="26"/>
        </w:rPr>
        <w:t>0</w:t>
      </w:r>
      <w:r w:rsidR="00263DCB">
        <w:rPr>
          <w:rFonts w:ascii="Arial" w:hAnsi="Arial" w:cs="Arial"/>
          <w:b/>
          <w:bCs/>
          <w:iCs/>
          <w:sz w:val="26"/>
          <w:szCs w:val="26"/>
        </w:rPr>
        <w:t>117</w:t>
      </w:r>
      <w:r w:rsidR="005770C1">
        <w:rPr>
          <w:rFonts w:ascii="Arial" w:hAnsi="Arial" w:cs="Arial"/>
          <w:b/>
          <w:bCs/>
          <w:iCs/>
          <w:sz w:val="26"/>
          <w:szCs w:val="26"/>
        </w:rPr>
        <w:t>/2018</w:t>
      </w:r>
      <w:r w:rsidR="005770C1" w:rsidRPr="00CB6405">
        <w:rPr>
          <w:rFonts w:ascii="Arial" w:hAnsi="Arial" w:cs="Arial"/>
          <w:sz w:val="26"/>
          <w:szCs w:val="26"/>
        </w:rPr>
        <w:t>.</w:t>
      </w:r>
    </w:p>
    <w:p w14:paraId="16515BA7" w14:textId="77777777" w:rsidR="00227A95" w:rsidRDefault="005770C1" w:rsidP="0064739F">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263DCB">
        <w:rPr>
          <w:rFonts w:ascii="Arial" w:hAnsi="Arial" w:cs="Arial"/>
          <w:sz w:val="26"/>
          <w:szCs w:val="26"/>
        </w:rPr>
        <w:t xml:space="preserve">l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4A35CC4A" w14:textId="77777777" w:rsidR="00EB0FE9" w:rsidRDefault="00EB0FE9" w:rsidP="00C62F3D">
      <w:pPr>
        <w:spacing w:before="240" w:after="0" w:line="24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 xml:space="preserve">CONCEPTOS DE </w:t>
      </w:r>
      <w:r w:rsidR="009D79D7">
        <w:rPr>
          <w:rFonts w:ascii="Arial" w:hAnsi="Arial" w:cs="Arial"/>
          <w:b/>
          <w:i/>
        </w:rPr>
        <w:t>VIOLACIÓN</w:t>
      </w:r>
      <w:r>
        <w:rPr>
          <w:rFonts w:ascii="Arial" w:hAnsi="Arial" w:cs="Arial"/>
          <w:b/>
          <w:i/>
        </w:rPr>
        <w:t>.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0CEB1CAF" w14:textId="77777777" w:rsidR="005F3328" w:rsidRDefault="005770C1" w:rsidP="0064739F">
      <w:pPr>
        <w:widowControl w:val="0"/>
        <w:tabs>
          <w:tab w:val="left" w:pos="0"/>
        </w:tabs>
        <w:spacing w:after="0" w:line="360" w:lineRule="auto"/>
        <w:ind w:right="18"/>
        <w:jc w:val="both"/>
        <w:rPr>
          <w:rFonts w:ascii="Arial" w:eastAsia="Calibri" w:hAnsi="Arial" w:cs="Arial"/>
          <w:b/>
          <w:bCs/>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Pr>
          <w:rFonts w:ascii="Arial" w:eastAsia="Calibri" w:hAnsi="Arial" w:cs="Arial"/>
          <w:b/>
          <w:bCs/>
          <w:sz w:val="26"/>
          <w:szCs w:val="26"/>
        </w:rPr>
        <w:t xml:space="preserve"> </w:t>
      </w:r>
      <w:r w:rsidR="005F3328" w:rsidRPr="005F3328">
        <w:rPr>
          <w:rFonts w:ascii="Arial" w:eastAsia="Calibri" w:hAnsi="Arial" w:cs="Arial"/>
          <w:bCs/>
          <w:sz w:val="26"/>
          <w:szCs w:val="26"/>
        </w:rPr>
        <w:t xml:space="preserve">Todas </w:t>
      </w:r>
      <w:r w:rsidR="00EF143D">
        <w:rPr>
          <w:rFonts w:ascii="Arial" w:eastAsia="Calibri" w:hAnsi="Arial" w:cs="Arial"/>
          <w:bCs/>
          <w:sz w:val="26"/>
          <w:szCs w:val="26"/>
        </w:rPr>
        <w:t xml:space="preserve">las alegaciones del recurrente </w:t>
      </w:r>
      <w:r w:rsidR="005F3328" w:rsidRPr="005F3328">
        <w:rPr>
          <w:rFonts w:ascii="Arial" w:eastAsia="Calibri" w:hAnsi="Arial" w:cs="Arial"/>
          <w:bCs/>
          <w:sz w:val="26"/>
          <w:szCs w:val="26"/>
        </w:rPr>
        <w:t>son</w:t>
      </w:r>
      <w:r w:rsidR="005F3328">
        <w:rPr>
          <w:rFonts w:ascii="Arial" w:eastAsia="Calibri" w:hAnsi="Arial" w:cs="Arial"/>
          <w:b/>
          <w:bCs/>
          <w:sz w:val="26"/>
          <w:szCs w:val="26"/>
        </w:rPr>
        <w:t xml:space="preserve"> </w:t>
      </w:r>
      <w:r w:rsidR="00A63716">
        <w:rPr>
          <w:rFonts w:ascii="Arial" w:eastAsia="Calibri" w:hAnsi="Arial" w:cs="Arial"/>
          <w:b/>
          <w:bCs/>
          <w:sz w:val="26"/>
          <w:szCs w:val="26"/>
        </w:rPr>
        <w:t>in</w:t>
      </w:r>
      <w:r w:rsidR="002F2AF1">
        <w:rPr>
          <w:rFonts w:ascii="Arial" w:eastAsia="Calibri" w:hAnsi="Arial" w:cs="Arial"/>
          <w:b/>
          <w:bCs/>
          <w:sz w:val="26"/>
          <w:szCs w:val="26"/>
        </w:rPr>
        <w:t xml:space="preserve">fundadas </w:t>
      </w:r>
      <w:r w:rsidR="00A63716">
        <w:rPr>
          <w:rFonts w:ascii="Arial" w:eastAsia="Calibri" w:hAnsi="Arial" w:cs="Arial"/>
          <w:bCs/>
          <w:sz w:val="26"/>
          <w:szCs w:val="26"/>
        </w:rPr>
        <w:t xml:space="preserve">en una parte e </w:t>
      </w:r>
      <w:r w:rsidR="00A63716">
        <w:rPr>
          <w:rFonts w:ascii="Arial" w:eastAsia="Calibri" w:hAnsi="Arial" w:cs="Arial"/>
          <w:b/>
          <w:bCs/>
          <w:sz w:val="26"/>
          <w:szCs w:val="26"/>
        </w:rPr>
        <w:t>in</w:t>
      </w:r>
      <w:r w:rsidR="002F2AF1">
        <w:rPr>
          <w:rFonts w:ascii="Arial" w:eastAsia="Calibri" w:hAnsi="Arial" w:cs="Arial"/>
          <w:b/>
          <w:bCs/>
          <w:sz w:val="26"/>
          <w:szCs w:val="26"/>
        </w:rPr>
        <w:t xml:space="preserve">operantes </w:t>
      </w:r>
      <w:r w:rsidR="00A63716">
        <w:rPr>
          <w:rFonts w:ascii="Arial" w:eastAsia="Calibri" w:hAnsi="Arial" w:cs="Arial"/>
          <w:bCs/>
          <w:sz w:val="26"/>
          <w:szCs w:val="26"/>
        </w:rPr>
        <w:t>en otra</w:t>
      </w:r>
      <w:r w:rsidR="005F3328" w:rsidRPr="00EF143D">
        <w:rPr>
          <w:rFonts w:ascii="Arial" w:eastAsia="Calibri" w:hAnsi="Arial" w:cs="Arial"/>
          <w:bCs/>
          <w:sz w:val="26"/>
          <w:szCs w:val="26"/>
        </w:rPr>
        <w:t>.</w:t>
      </w:r>
    </w:p>
    <w:p w14:paraId="32B82B55" w14:textId="77777777" w:rsidR="00343A59" w:rsidRDefault="005F3328" w:rsidP="0064739F">
      <w:pPr>
        <w:widowControl w:val="0"/>
        <w:tabs>
          <w:tab w:val="left" w:pos="0"/>
        </w:tabs>
        <w:spacing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5770C1" w:rsidRPr="005F3328">
        <w:rPr>
          <w:rFonts w:ascii="Arial" w:hAnsi="Arial" w:cs="Arial"/>
          <w:b/>
          <w:bCs/>
          <w:color w:val="000000"/>
          <w:sz w:val="26"/>
          <w:szCs w:val="26"/>
        </w:rPr>
        <w:t>S</w:t>
      </w:r>
      <w:r w:rsidR="00ED2CA4" w:rsidRPr="005F3328">
        <w:rPr>
          <w:rFonts w:ascii="Arial" w:hAnsi="Arial" w:cs="Arial"/>
          <w:b/>
          <w:bCs/>
          <w:color w:val="000000"/>
          <w:sz w:val="26"/>
          <w:szCs w:val="26"/>
        </w:rPr>
        <w:t xml:space="preserve">e duele </w:t>
      </w:r>
      <w:r w:rsidR="00FE07DB" w:rsidRPr="005F3328">
        <w:rPr>
          <w:rFonts w:ascii="Arial" w:hAnsi="Arial" w:cs="Arial"/>
          <w:b/>
          <w:bCs/>
          <w:color w:val="000000"/>
          <w:sz w:val="26"/>
          <w:szCs w:val="26"/>
        </w:rPr>
        <w:t>en inicio</w:t>
      </w:r>
      <w:r w:rsidR="00FE07DB">
        <w:rPr>
          <w:rFonts w:ascii="Arial" w:hAnsi="Arial" w:cs="Arial"/>
          <w:bCs/>
          <w:color w:val="000000"/>
          <w:sz w:val="26"/>
          <w:szCs w:val="26"/>
        </w:rPr>
        <w:t xml:space="preserve"> </w:t>
      </w:r>
      <w:r w:rsidR="00ED2CA4">
        <w:rPr>
          <w:rFonts w:ascii="Arial" w:hAnsi="Arial" w:cs="Arial"/>
          <w:bCs/>
          <w:color w:val="000000"/>
          <w:sz w:val="26"/>
          <w:szCs w:val="26"/>
        </w:rPr>
        <w:t xml:space="preserve">de la consideración plasmada por la Primera Instancia, en el sentido de que </w:t>
      </w:r>
      <w:r w:rsidR="00343A59">
        <w:rPr>
          <w:rFonts w:ascii="Arial" w:hAnsi="Arial" w:cs="Arial"/>
          <w:bCs/>
          <w:color w:val="000000"/>
          <w:sz w:val="26"/>
          <w:szCs w:val="26"/>
        </w:rPr>
        <w:t>“</w:t>
      </w:r>
      <w:r w:rsidR="00343A59" w:rsidRPr="00343A59">
        <w:rPr>
          <w:rFonts w:ascii="Arial" w:hAnsi="Arial" w:cs="Arial"/>
          <w:bCs/>
          <w:i/>
          <w:color w:val="000000"/>
          <w:sz w:val="24"/>
          <w:szCs w:val="24"/>
        </w:rPr>
        <w:t>efectivamente, la autoridad demandada rebaso sus funciones como órgano revisor, ya que dicho acto no se encuentra debidamente fundado y motivado, toda vez que la autoridad demandada no cumple con su obligación legal, al no encuadrar su actuar a lo dispuesto por los artículos 6, 54 y 56 de la ley que rige al Instituto</w:t>
      </w:r>
      <w:r w:rsidR="00343A59">
        <w:rPr>
          <w:rFonts w:ascii="Arial" w:hAnsi="Arial" w:cs="Arial"/>
          <w:bCs/>
          <w:color w:val="000000"/>
          <w:sz w:val="26"/>
          <w:szCs w:val="26"/>
        </w:rPr>
        <w:t xml:space="preserve">” pues dice que dicha determinación carece de fundamentación y motivación, porque ninguno de los artículos citados tienen relación con su pronunciamiento; toda vez </w:t>
      </w:r>
      <w:r w:rsidR="00343A59">
        <w:rPr>
          <w:rFonts w:ascii="Arial" w:hAnsi="Arial" w:cs="Arial"/>
          <w:bCs/>
          <w:color w:val="000000"/>
          <w:sz w:val="26"/>
          <w:szCs w:val="26"/>
        </w:rPr>
        <w:lastRenderedPageBreak/>
        <w:t>que, por lo que hace a los artículo</w:t>
      </w:r>
      <w:r w:rsidR="002E3BA0">
        <w:rPr>
          <w:rFonts w:ascii="Arial" w:hAnsi="Arial" w:cs="Arial"/>
          <w:bCs/>
          <w:color w:val="000000"/>
          <w:sz w:val="26"/>
          <w:szCs w:val="26"/>
        </w:rPr>
        <w:t>s</w:t>
      </w:r>
      <w:r w:rsidR="00343A59">
        <w:rPr>
          <w:rFonts w:ascii="Arial" w:hAnsi="Arial" w:cs="Arial"/>
          <w:bCs/>
          <w:color w:val="000000"/>
          <w:sz w:val="26"/>
          <w:szCs w:val="26"/>
        </w:rPr>
        <w:t xml:space="preserve"> 6 y 54, dichos preceptos legales sólo establecen una obligación de hacer a los propietarios y/o poseedores, pero no obliga al Instituto Catastral a hacer y tampoco marca una obligación de no hacer; y, en cuanto al diverso 56, este impone obligaciones de hacer a las autoridades dependencias o instituciones que intervengan o den autorización para la celebración de actos jurídicos, que por cualquier motivo modifiquen las características de la propiedad; por lo que no resulta aplicable, porque no es una norma que </w:t>
      </w:r>
      <w:r w:rsidR="004B6175">
        <w:rPr>
          <w:rFonts w:ascii="Arial" w:hAnsi="Arial" w:cs="Arial"/>
          <w:bCs/>
          <w:color w:val="000000"/>
          <w:sz w:val="26"/>
          <w:szCs w:val="26"/>
        </w:rPr>
        <w:t>obligue al Instituto a hacer o dejar de hacer.</w:t>
      </w:r>
    </w:p>
    <w:p w14:paraId="5E6339D6" w14:textId="77777777" w:rsidR="00EE11B9" w:rsidRDefault="00DC2683" w:rsidP="0064739F">
      <w:pPr>
        <w:widowControl w:val="0"/>
        <w:tabs>
          <w:tab w:val="left" w:pos="0"/>
        </w:tabs>
        <w:spacing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Estas alegaciones son </w:t>
      </w:r>
      <w:r w:rsidRPr="00DC2683">
        <w:rPr>
          <w:rFonts w:ascii="Arial" w:hAnsi="Arial" w:cs="Arial"/>
          <w:b/>
          <w:bCs/>
          <w:color w:val="000000"/>
          <w:sz w:val="26"/>
          <w:szCs w:val="26"/>
        </w:rPr>
        <w:t>in</w:t>
      </w:r>
      <w:r w:rsidR="00A63716">
        <w:rPr>
          <w:rFonts w:ascii="Arial" w:hAnsi="Arial" w:cs="Arial"/>
          <w:b/>
          <w:bCs/>
          <w:color w:val="000000"/>
          <w:sz w:val="26"/>
          <w:szCs w:val="26"/>
        </w:rPr>
        <w:t>fundadas</w:t>
      </w:r>
      <w:r>
        <w:rPr>
          <w:rFonts w:ascii="Arial" w:hAnsi="Arial" w:cs="Arial"/>
          <w:bCs/>
          <w:color w:val="000000"/>
          <w:sz w:val="26"/>
          <w:szCs w:val="26"/>
        </w:rPr>
        <w:t>, porque lo qu</w:t>
      </w:r>
      <w:r w:rsidR="00EE11B9">
        <w:rPr>
          <w:rFonts w:ascii="Arial" w:hAnsi="Arial" w:cs="Arial"/>
          <w:bCs/>
          <w:color w:val="000000"/>
          <w:sz w:val="26"/>
          <w:szCs w:val="26"/>
        </w:rPr>
        <w:t>e la Primera Instancia determinó</w:t>
      </w:r>
      <w:r>
        <w:rPr>
          <w:rFonts w:ascii="Arial" w:hAnsi="Arial" w:cs="Arial"/>
          <w:bCs/>
          <w:color w:val="000000"/>
          <w:sz w:val="26"/>
          <w:szCs w:val="26"/>
        </w:rPr>
        <w:t xml:space="preserve"> es que el actuar de la autoridad demandada no encuadra en lo dispuesto por los artículos 6, 54 y 56 de la Ley de Catastro, porque ninguno de ellos lo faculta para determinar cuál es el origen</w:t>
      </w:r>
      <w:r w:rsidR="00EE11B9">
        <w:rPr>
          <w:rFonts w:ascii="Arial" w:hAnsi="Arial" w:cs="Arial"/>
          <w:bCs/>
          <w:color w:val="000000"/>
          <w:sz w:val="26"/>
          <w:szCs w:val="26"/>
        </w:rPr>
        <w:t xml:space="preserve"> de la cuenta predial objeto del movimiento de traslado de dominio; y no que tales preceptores legales establezcan obligaciones de hacer o dejar de hacer, que es lo que alega el recurrente; pues en todo caso, lo que debió precisar, es que dichos preceptos legales sí son aplicables, al concederle la facultad de determinar respecto del origen de la cuenta predial, que es lo </w:t>
      </w:r>
      <w:r w:rsidR="000F06F1">
        <w:rPr>
          <w:rFonts w:ascii="Arial" w:hAnsi="Arial" w:cs="Arial"/>
          <w:bCs/>
          <w:color w:val="000000"/>
          <w:sz w:val="26"/>
          <w:szCs w:val="26"/>
        </w:rPr>
        <w:t xml:space="preserve">que </w:t>
      </w:r>
      <w:r w:rsidR="00EE11B9">
        <w:rPr>
          <w:rFonts w:ascii="Arial" w:hAnsi="Arial" w:cs="Arial"/>
          <w:bCs/>
          <w:color w:val="000000"/>
          <w:sz w:val="26"/>
          <w:szCs w:val="26"/>
        </w:rPr>
        <w:t>puntualiz</w:t>
      </w:r>
      <w:r w:rsidR="000F06F1">
        <w:rPr>
          <w:rFonts w:ascii="Arial" w:hAnsi="Arial" w:cs="Arial"/>
          <w:bCs/>
          <w:color w:val="000000"/>
          <w:sz w:val="26"/>
          <w:szCs w:val="26"/>
        </w:rPr>
        <w:t>ó</w:t>
      </w:r>
      <w:r w:rsidR="00EE11B9">
        <w:rPr>
          <w:rFonts w:ascii="Arial" w:hAnsi="Arial" w:cs="Arial"/>
          <w:bCs/>
          <w:color w:val="000000"/>
          <w:sz w:val="26"/>
          <w:szCs w:val="26"/>
        </w:rPr>
        <w:t xml:space="preserve"> la Primera Instancia.</w:t>
      </w:r>
    </w:p>
    <w:p w14:paraId="1FAEBE68" w14:textId="77777777" w:rsidR="00FE07DB" w:rsidRDefault="00EE11B9" w:rsidP="0064739F">
      <w:pPr>
        <w:widowControl w:val="0"/>
        <w:tabs>
          <w:tab w:val="left" w:pos="0"/>
        </w:tabs>
        <w:spacing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Pr="005F3328">
        <w:rPr>
          <w:rFonts w:ascii="Arial" w:hAnsi="Arial" w:cs="Arial"/>
          <w:b/>
          <w:bCs/>
          <w:color w:val="000000"/>
          <w:sz w:val="26"/>
          <w:szCs w:val="26"/>
        </w:rPr>
        <w:t>Por otra parte arguye</w:t>
      </w:r>
      <w:r>
        <w:rPr>
          <w:rFonts w:ascii="Arial" w:hAnsi="Arial" w:cs="Arial"/>
          <w:bCs/>
          <w:color w:val="000000"/>
          <w:sz w:val="26"/>
          <w:szCs w:val="26"/>
        </w:rPr>
        <w:t xml:space="preserve">, que la determinación: </w:t>
      </w:r>
      <w:r w:rsidR="00FE07DB">
        <w:rPr>
          <w:rFonts w:ascii="Arial" w:hAnsi="Arial" w:cs="Arial"/>
          <w:bCs/>
          <w:color w:val="000000"/>
          <w:sz w:val="26"/>
          <w:szCs w:val="26"/>
        </w:rPr>
        <w:t>“</w:t>
      </w:r>
      <w:r w:rsidR="00FE07DB" w:rsidRPr="00FE07DB">
        <w:rPr>
          <w:rFonts w:ascii="Arial" w:hAnsi="Arial" w:cs="Arial"/>
          <w:bCs/>
          <w:i/>
          <w:color w:val="000000"/>
          <w:sz w:val="24"/>
          <w:szCs w:val="24"/>
        </w:rPr>
        <w:t>Y si bien es cierto que el Instituto Catastral del Estado de Oaxaca, podrá analizar y determinar la procedencia o improcedencia de las manifestaciones realizadas por los fedatarios y particulares, de ninguna manera significa que tendrá facultades para determinar, fuera del juicio, el origen de la propiedad objeto del trámite como lo hizo en el presente caso, al analizar la posesión  que detentó el propietario original, aplicando de manera incorrecta lo dispuesto por el artículo 47 del Reglamento de la Ley de Catastro</w:t>
      </w:r>
      <w:r w:rsidR="00FE07DB">
        <w:rPr>
          <w:rFonts w:ascii="Arial" w:hAnsi="Arial" w:cs="Arial"/>
          <w:bCs/>
          <w:color w:val="000000"/>
          <w:sz w:val="26"/>
          <w:szCs w:val="26"/>
        </w:rPr>
        <w:t>”, no tiene sustentó alguno, porque si bien no tiene facultades para dirimir las cuestiones de la propiedad y posesión de los terrenos, sí tiene facultades para no admitir el tramite catastral de traslado de dominio, cuando no se cumplan las formalidades especificadas en la Ley, como lo dispone el artículo 52 de la Ley de Catastro para el Estado de Oaxaca,</w:t>
      </w:r>
      <w:r w:rsidR="004A695A">
        <w:rPr>
          <w:rFonts w:ascii="Arial" w:hAnsi="Arial" w:cs="Arial"/>
          <w:bCs/>
          <w:color w:val="000000"/>
          <w:sz w:val="26"/>
          <w:szCs w:val="26"/>
        </w:rPr>
        <w:t xml:space="preserve"> por lo que contrario a lo señalado por la Primera Instancia, no se aplicó no forma incorrecta el artículo 47 del </w:t>
      </w:r>
      <w:r w:rsidR="00744792">
        <w:rPr>
          <w:rFonts w:ascii="Arial" w:hAnsi="Arial" w:cs="Arial"/>
          <w:bCs/>
          <w:color w:val="000000"/>
          <w:sz w:val="26"/>
          <w:szCs w:val="26"/>
        </w:rPr>
        <w:t>R</w:t>
      </w:r>
      <w:r w:rsidR="004A695A">
        <w:rPr>
          <w:rFonts w:ascii="Arial" w:hAnsi="Arial" w:cs="Arial"/>
          <w:bCs/>
          <w:color w:val="000000"/>
          <w:sz w:val="26"/>
          <w:szCs w:val="26"/>
        </w:rPr>
        <w:t>eglamento de la Ley de Catastro, ni se sobrepasaron las facultades para determinar fuera de juicio el origen de la propiedad.</w:t>
      </w:r>
    </w:p>
    <w:p w14:paraId="0DCB5255" w14:textId="77777777" w:rsidR="004A695A" w:rsidRDefault="004A695A" w:rsidP="0064739F">
      <w:pPr>
        <w:widowControl w:val="0"/>
        <w:tabs>
          <w:tab w:val="left" w:pos="0"/>
        </w:tabs>
        <w:spacing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A63716">
        <w:rPr>
          <w:rFonts w:ascii="Arial" w:hAnsi="Arial" w:cs="Arial"/>
          <w:bCs/>
          <w:color w:val="000000"/>
          <w:sz w:val="26"/>
          <w:szCs w:val="26"/>
        </w:rPr>
        <w:t>S</w:t>
      </w:r>
      <w:r>
        <w:rPr>
          <w:rFonts w:ascii="Arial" w:hAnsi="Arial" w:cs="Arial"/>
          <w:bCs/>
          <w:color w:val="000000"/>
          <w:sz w:val="26"/>
          <w:szCs w:val="26"/>
        </w:rPr>
        <w:t xml:space="preserve">on </w:t>
      </w:r>
      <w:r w:rsidRPr="004A695A">
        <w:rPr>
          <w:rFonts w:ascii="Arial" w:hAnsi="Arial" w:cs="Arial"/>
          <w:b/>
          <w:bCs/>
          <w:color w:val="000000"/>
          <w:sz w:val="26"/>
          <w:szCs w:val="26"/>
        </w:rPr>
        <w:t>in</w:t>
      </w:r>
      <w:r w:rsidR="005F3328">
        <w:rPr>
          <w:rFonts w:ascii="Arial" w:hAnsi="Arial" w:cs="Arial"/>
          <w:b/>
          <w:bCs/>
          <w:color w:val="000000"/>
          <w:sz w:val="26"/>
          <w:szCs w:val="26"/>
        </w:rPr>
        <w:t>operantes</w:t>
      </w:r>
      <w:r w:rsidR="00EF143D">
        <w:rPr>
          <w:rFonts w:ascii="Arial" w:hAnsi="Arial" w:cs="Arial"/>
          <w:b/>
          <w:bCs/>
          <w:color w:val="000000"/>
          <w:sz w:val="26"/>
          <w:szCs w:val="26"/>
        </w:rPr>
        <w:t xml:space="preserve"> </w:t>
      </w:r>
      <w:r w:rsidR="00EF143D">
        <w:rPr>
          <w:rFonts w:ascii="Arial" w:hAnsi="Arial" w:cs="Arial"/>
          <w:bCs/>
          <w:color w:val="000000"/>
          <w:sz w:val="26"/>
          <w:szCs w:val="26"/>
        </w:rPr>
        <w:t>esto</w:t>
      </w:r>
      <w:r w:rsidR="00EF143D" w:rsidRPr="00EF143D">
        <w:rPr>
          <w:rFonts w:ascii="Arial" w:hAnsi="Arial" w:cs="Arial"/>
          <w:bCs/>
          <w:color w:val="000000"/>
          <w:sz w:val="26"/>
          <w:szCs w:val="26"/>
        </w:rPr>
        <w:t>s alegatos</w:t>
      </w:r>
      <w:r>
        <w:rPr>
          <w:rFonts w:ascii="Arial" w:hAnsi="Arial" w:cs="Arial"/>
          <w:bCs/>
          <w:color w:val="000000"/>
          <w:sz w:val="26"/>
          <w:szCs w:val="26"/>
        </w:rPr>
        <w:t xml:space="preserve">, porque únicamente se concreta a señalar que sí tiene facultades para no admitir el trámite catastral de traslado de dominio, cuando no se cumplan las formalidades especificadas en la Ley, como lo dispone el artículo 52 de la Ley de </w:t>
      </w:r>
      <w:r>
        <w:rPr>
          <w:rFonts w:ascii="Arial" w:hAnsi="Arial" w:cs="Arial"/>
          <w:bCs/>
          <w:color w:val="000000"/>
          <w:sz w:val="26"/>
          <w:szCs w:val="26"/>
        </w:rPr>
        <w:lastRenderedPageBreak/>
        <w:t xml:space="preserve">Catastro; pero sin exponer que contrario a lo esgrimido por la Primera Instancia, </w:t>
      </w:r>
      <w:r w:rsidR="008F1284">
        <w:rPr>
          <w:rFonts w:ascii="Arial" w:hAnsi="Arial" w:cs="Arial"/>
          <w:bCs/>
          <w:color w:val="000000"/>
          <w:sz w:val="26"/>
          <w:szCs w:val="26"/>
        </w:rPr>
        <w:t xml:space="preserve">sí tiene </w:t>
      </w:r>
      <w:r w:rsidR="008F1284" w:rsidRPr="008F1284">
        <w:rPr>
          <w:rFonts w:ascii="Arial" w:hAnsi="Arial" w:cs="Arial"/>
          <w:bCs/>
          <w:color w:val="000000"/>
          <w:sz w:val="26"/>
          <w:szCs w:val="26"/>
        </w:rPr>
        <w:t>facultades para determinar, fuera del juicio, el origen de la propiedad objeto del trámite,</w:t>
      </w:r>
      <w:r w:rsidR="008F1284">
        <w:rPr>
          <w:rFonts w:ascii="Arial" w:hAnsi="Arial" w:cs="Arial"/>
          <w:bCs/>
          <w:color w:val="000000"/>
          <w:sz w:val="26"/>
          <w:szCs w:val="26"/>
        </w:rPr>
        <w:t xml:space="preserve"> consideración sustancial de la resolutora y que debió debatir el recurrente, pues por el contrario sin corrobora tal afirmación cuando dice: “</w:t>
      </w:r>
      <w:r w:rsidR="008F1284" w:rsidRPr="008F1284">
        <w:rPr>
          <w:rFonts w:ascii="Arial" w:hAnsi="Arial" w:cs="Arial"/>
          <w:bCs/>
          <w:i/>
          <w:color w:val="000000"/>
          <w:sz w:val="24"/>
          <w:szCs w:val="24"/>
        </w:rPr>
        <w:t>si bien es cierto que este Instituto Catastral no tiene facultades legales para dirimir las cuestiones de propiedad y posesión de los terrenos</w:t>
      </w:r>
      <w:r w:rsidR="008F1284">
        <w:rPr>
          <w:rFonts w:ascii="Arial" w:hAnsi="Arial" w:cs="Arial"/>
          <w:bCs/>
          <w:color w:val="000000"/>
          <w:sz w:val="26"/>
          <w:szCs w:val="26"/>
        </w:rPr>
        <w:t>”.</w:t>
      </w:r>
    </w:p>
    <w:p w14:paraId="4C224358" w14:textId="77777777" w:rsidR="005F3328" w:rsidRDefault="008F1284" w:rsidP="0064739F">
      <w:pPr>
        <w:widowControl w:val="0"/>
        <w:tabs>
          <w:tab w:val="left" w:pos="0"/>
        </w:tabs>
        <w:spacing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Pr="005F3328">
        <w:rPr>
          <w:rFonts w:ascii="Arial" w:hAnsi="Arial" w:cs="Arial"/>
          <w:b/>
          <w:bCs/>
          <w:color w:val="000000"/>
          <w:sz w:val="26"/>
          <w:szCs w:val="26"/>
        </w:rPr>
        <w:t>Continúa sus a</w:t>
      </w:r>
      <w:r w:rsidR="00EF143D">
        <w:rPr>
          <w:rFonts w:ascii="Arial" w:hAnsi="Arial" w:cs="Arial"/>
          <w:b/>
          <w:bCs/>
          <w:color w:val="000000"/>
          <w:sz w:val="26"/>
          <w:szCs w:val="26"/>
        </w:rPr>
        <w:t xml:space="preserve">rgumentaciones </w:t>
      </w:r>
      <w:r>
        <w:rPr>
          <w:rFonts w:ascii="Arial" w:hAnsi="Arial" w:cs="Arial"/>
          <w:bCs/>
          <w:color w:val="000000"/>
          <w:sz w:val="26"/>
          <w:szCs w:val="26"/>
        </w:rPr>
        <w:t>exponiendo que la determinación: “</w:t>
      </w:r>
      <w:r w:rsidRPr="008F1284">
        <w:rPr>
          <w:rFonts w:ascii="Arial" w:hAnsi="Arial" w:cs="Arial"/>
          <w:bCs/>
          <w:i/>
          <w:color w:val="000000"/>
          <w:sz w:val="24"/>
          <w:szCs w:val="24"/>
        </w:rPr>
        <w:t>soslayando el antecedente que le fue exhibido el cual fue debidamente inscrito en ese Instituto e inscrito en el Registro Público de la Propiedad, precisamente para cumplir con el principio de publicidad y su efecto erga omnes, dejando en estado de indefensión a los actores al determinar de manera unilateral la validez del antecedente exhibido y contenido en la documento ya analizada</w:t>
      </w:r>
      <w:r>
        <w:rPr>
          <w:rFonts w:ascii="Arial" w:hAnsi="Arial" w:cs="Arial"/>
          <w:bCs/>
          <w:color w:val="000000"/>
          <w:sz w:val="26"/>
          <w:szCs w:val="26"/>
        </w:rPr>
        <w:t>”, es ilegal, porque la autoridad no realizó tal acción</w:t>
      </w:r>
      <w:r w:rsidR="005F3328">
        <w:rPr>
          <w:rFonts w:ascii="Arial" w:hAnsi="Arial" w:cs="Arial"/>
          <w:bCs/>
          <w:color w:val="000000"/>
          <w:sz w:val="26"/>
          <w:szCs w:val="26"/>
        </w:rPr>
        <w:t>.</w:t>
      </w:r>
    </w:p>
    <w:p w14:paraId="597E7736" w14:textId="77777777" w:rsidR="005F3328" w:rsidRDefault="005F3328" w:rsidP="0064739F">
      <w:pPr>
        <w:widowControl w:val="0"/>
        <w:tabs>
          <w:tab w:val="left" w:pos="0"/>
        </w:tabs>
        <w:spacing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Del mismo </w:t>
      </w:r>
      <w:r w:rsidR="008F1284">
        <w:rPr>
          <w:rFonts w:ascii="Arial" w:hAnsi="Arial" w:cs="Arial"/>
          <w:bCs/>
          <w:color w:val="000000"/>
          <w:sz w:val="26"/>
          <w:szCs w:val="26"/>
        </w:rPr>
        <w:t xml:space="preserve">modo resulta </w:t>
      </w:r>
      <w:r>
        <w:rPr>
          <w:rFonts w:ascii="Arial" w:hAnsi="Arial" w:cs="Arial"/>
          <w:b/>
          <w:bCs/>
          <w:color w:val="000000"/>
          <w:sz w:val="26"/>
          <w:szCs w:val="26"/>
        </w:rPr>
        <w:t>inoperante</w:t>
      </w:r>
      <w:r w:rsidR="008F1284">
        <w:rPr>
          <w:rFonts w:ascii="Arial" w:hAnsi="Arial" w:cs="Arial"/>
          <w:bCs/>
          <w:color w:val="000000"/>
          <w:sz w:val="26"/>
          <w:szCs w:val="26"/>
        </w:rPr>
        <w:t xml:space="preserve"> dich</w:t>
      </w:r>
      <w:r w:rsidR="00EF143D">
        <w:rPr>
          <w:rFonts w:ascii="Arial" w:hAnsi="Arial" w:cs="Arial"/>
          <w:bCs/>
          <w:color w:val="000000"/>
          <w:sz w:val="26"/>
          <w:szCs w:val="26"/>
        </w:rPr>
        <w:t>o agravio</w:t>
      </w:r>
      <w:r w:rsidR="008F1284">
        <w:rPr>
          <w:rFonts w:ascii="Arial" w:hAnsi="Arial" w:cs="Arial"/>
          <w:bCs/>
          <w:color w:val="000000"/>
          <w:sz w:val="26"/>
          <w:szCs w:val="26"/>
        </w:rPr>
        <w:t xml:space="preserve">; porque sólo dice que no realizó tal acción, sin </w:t>
      </w:r>
      <w:r>
        <w:rPr>
          <w:rFonts w:ascii="Arial" w:hAnsi="Arial" w:cs="Arial"/>
          <w:bCs/>
          <w:color w:val="000000"/>
          <w:sz w:val="26"/>
          <w:szCs w:val="26"/>
        </w:rPr>
        <w:t>especificar</w:t>
      </w:r>
      <w:r w:rsidR="008F1284">
        <w:rPr>
          <w:rFonts w:ascii="Arial" w:hAnsi="Arial" w:cs="Arial"/>
          <w:bCs/>
          <w:color w:val="000000"/>
          <w:sz w:val="26"/>
          <w:szCs w:val="26"/>
        </w:rPr>
        <w:t xml:space="preserve"> a qu</w:t>
      </w:r>
      <w:r>
        <w:rPr>
          <w:rFonts w:ascii="Arial" w:hAnsi="Arial" w:cs="Arial"/>
          <w:bCs/>
          <w:color w:val="000000"/>
          <w:sz w:val="26"/>
          <w:szCs w:val="26"/>
        </w:rPr>
        <w:t>é</w:t>
      </w:r>
      <w:r w:rsidR="008F1284">
        <w:rPr>
          <w:rFonts w:ascii="Arial" w:hAnsi="Arial" w:cs="Arial"/>
          <w:bCs/>
          <w:color w:val="000000"/>
          <w:sz w:val="26"/>
          <w:szCs w:val="26"/>
        </w:rPr>
        <w:t xml:space="preserve"> acción se refiere, cuando lo que debió aducir es que no es verdad que dejó de analizar el antecedente </w:t>
      </w:r>
      <w:r>
        <w:rPr>
          <w:rFonts w:ascii="Arial" w:hAnsi="Arial" w:cs="Arial"/>
          <w:bCs/>
          <w:color w:val="000000"/>
          <w:sz w:val="26"/>
          <w:szCs w:val="26"/>
        </w:rPr>
        <w:t>o posesión de propiedad que fue exhibido, al realizarse el trámite de traslado de dominio.</w:t>
      </w:r>
    </w:p>
    <w:p w14:paraId="63B03033" w14:textId="6A92F57C" w:rsidR="005F3328" w:rsidRDefault="005F3328" w:rsidP="0064739F">
      <w:pPr>
        <w:widowControl w:val="0"/>
        <w:tabs>
          <w:tab w:val="left" w:pos="0"/>
        </w:tabs>
        <w:spacing w:after="0" w:line="360" w:lineRule="auto"/>
        <w:ind w:right="18"/>
        <w:jc w:val="both"/>
        <w:rPr>
          <w:rFonts w:ascii="Arial" w:hAnsi="Arial" w:cs="Arial"/>
          <w:bCs/>
          <w:color w:val="000000"/>
          <w:sz w:val="26"/>
          <w:szCs w:val="26"/>
        </w:rPr>
      </w:pPr>
      <w:r>
        <w:rPr>
          <w:rFonts w:ascii="Arial" w:hAnsi="Arial" w:cs="Arial"/>
          <w:b/>
          <w:bCs/>
          <w:color w:val="000000"/>
          <w:sz w:val="26"/>
          <w:szCs w:val="26"/>
        </w:rPr>
        <w:tab/>
      </w:r>
      <w:r w:rsidRPr="005F3328">
        <w:rPr>
          <w:rFonts w:ascii="Arial" w:hAnsi="Arial" w:cs="Arial"/>
          <w:b/>
          <w:bCs/>
          <w:color w:val="000000"/>
          <w:sz w:val="26"/>
          <w:szCs w:val="26"/>
        </w:rPr>
        <w:t>Por otra parte aduce</w:t>
      </w:r>
      <w:r>
        <w:rPr>
          <w:rFonts w:ascii="Arial" w:hAnsi="Arial" w:cs="Arial"/>
          <w:b/>
          <w:bCs/>
          <w:color w:val="000000"/>
          <w:sz w:val="26"/>
          <w:szCs w:val="26"/>
        </w:rPr>
        <w:t xml:space="preserve">, </w:t>
      </w:r>
      <w:r>
        <w:rPr>
          <w:rFonts w:ascii="Arial" w:hAnsi="Arial" w:cs="Arial"/>
          <w:bCs/>
          <w:color w:val="000000"/>
          <w:sz w:val="26"/>
          <w:szCs w:val="26"/>
        </w:rPr>
        <w:t>que también le causa agravio la siguiente determinación: “</w:t>
      </w:r>
      <w:r w:rsidRPr="005F3328">
        <w:rPr>
          <w:rFonts w:ascii="Arial" w:hAnsi="Arial" w:cs="Arial"/>
          <w:bCs/>
          <w:i/>
          <w:color w:val="000000"/>
          <w:sz w:val="24"/>
          <w:szCs w:val="24"/>
        </w:rPr>
        <w:t>en la resolución analizada no se advierte fundamentación y motivación alguna que dirima los puntos controvertidos por el accionante, por lo que omitió cumplir con el requisito de debida fundamentación y motivación exhaustiva, en los términos a que obliga la fracción V del artículo 17 de la Ley de Procedimiento y Justicia Administrativa para el Estado de Oaxaca</w:t>
      </w:r>
      <w:r>
        <w:rPr>
          <w:rFonts w:ascii="Arial" w:hAnsi="Arial" w:cs="Arial"/>
          <w:bCs/>
          <w:color w:val="000000"/>
          <w:sz w:val="26"/>
          <w:szCs w:val="26"/>
        </w:rPr>
        <w:t>”, así como al estipular que: “</w:t>
      </w:r>
      <w:r w:rsidRPr="005F3328">
        <w:rPr>
          <w:rFonts w:ascii="Arial" w:hAnsi="Arial" w:cs="Arial"/>
          <w:bCs/>
          <w:i/>
          <w:color w:val="000000"/>
          <w:sz w:val="24"/>
          <w:szCs w:val="24"/>
        </w:rPr>
        <w:t xml:space="preserve">esta Sala estima procedente declara </w:t>
      </w:r>
      <w:r w:rsidRPr="005F3328">
        <w:rPr>
          <w:rFonts w:ascii="Arial" w:hAnsi="Arial" w:cs="Arial"/>
          <w:b/>
          <w:bCs/>
          <w:i/>
          <w:color w:val="000000"/>
          <w:sz w:val="24"/>
          <w:szCs w:val="24"/>
        </w:rPr>
        <w:t xml:space="preserve">LA NULIDAD </w:t>
      </w:r>
      <w:r w:rsidRPr="005F3328">
        <w:rPr>
          <w:rFonts w:ascii="Arial" w:hAnsi="Arial" w:cs="Arial"/>
          <w:bCs/>
          <w:i/>
          <w:color w:val="000000"/>
          <w:sz w:val="24"/>
          <w:szCs w:val="24"/>
        </w:rPr>
        <w:t xml:space="preserve">del oficio </w:t>
      </w:r>
      <w:r w:rsidR="004340DB">
        <w:rPr>
          <w:rFonts w:ascii="Arial" w:hAnsi="Arial" w:cs="Arial"/>
          <w:b/>
          <w:bCs/>
          <w:sz w:val="26"/>
          <w:szCs w:val="26"/>
        </w:rPr>
        <w:t>**********</w:t>
      </w:r>
      <w:r w:rsidR="004340DB">
        <w:rPr>
          <w:rFonts w:ascii="Arial" w:hAnsi="Arial" w:cs="Arial"/>
          <w:b/>
          <w:bCs/>
          <w:sz w:val="26"/>
          <w:szCs w:val="26"/>
        </w:rPr>
        <w:t xml:space="preserve"> </w:t>
      </w:r>
      <w:r w:rsidRPr="005F3328">
        <w:rPr>
          <w:rFonts w:ascii="Arial" w:hAnsi="Arial" w:cs="Arial"/>
          <w:bCs/>
          <w:i/>
          <w:color w:val="000000"/>
          <w:sz w:val="24"/>
          <w:szCs w:val="24"/>
        </w:rPr>
        <w:t>de fecha quince de noviembre de dos mil dieciocho…</w:t>
      </w:r>
      <w:r w:rsidRPr="005F3328">
        <w:rPr>
          <w:rFonts w:ascii="Arial" w:hAnsi="Arial" w:cs="Arial"/>
          <w:b/>
          <w:bCs/>
          <w:i/>
          <w:color w:val="000000"/>
          <w:sz w:val="24"/>
          <w:szCs w:val="24"/>
        </w:rPr>
        <w:t xml:space="preserve">PARA EL EFECTO, </w:t>
      </w:r>
      <w:r w:rsidRPr="005F3328">
        <w:rPr>
          <w:rFonts w:ascii="Arial" w:hAnsi="Arial" w:cs="Arial"/>
          <w:bCs/>
          <w:i/>
          <w:color w:val="000000"/>
          <w:sz w:val="24"/>
          <w:szCs w:val="24"/>
        </w:rPr>
        <w:t>de que deje sin efectos dicha resolución y dicte otro, donde se aboque al estudio de los conceptos de impugnación hechos valer por la parte actora al momento de interponer el recurso de revisión, debiendo la autoridad en todo momento, citar las leyes y criterios aplicables, de modo que se cumpla con los requisitos de debida fundamentación y motivación en los términos de la fracción V del artículo 17 de la Ley de Procedimiento y Justicia Administrativa para el Estado de Oaxaca</w:t>
      </w:r>
      <w:r>
        <w:rPr>
          <w:rFonts w:ascii="Arial" w:hAnsi="Arial" w:cs="Arial"/>
          <w:bCs/>
          <w:color w:val="000000"/>
          <w:sz w:val="26"/>
          <w:szCs w:val="26"/>
        </w:rPr>
        <w:t>”; porque carece de fundamentación y motivación</w:t>
      </w:r>
      <w:r w:rsidR="00B40EC1">
        <w:rPr>
          <w:rFonts w:ascii="Arial" w:hAnsi="Arial" w:cs="Arial"/>
          <w:bCs/>
          <w:color w:val="000000"/>
          <w:sz w:val="26"/>
          <w:szCs w:val="26"/>
        </w:rPr>
        <w:t>, pues la autoridad catastral está en lo correcto, porque el acto impugnado contiene los requisitos de validez que establece el artículo 17 de la Ley de la materia; cita como apoyo el criterio de rubro: “</w:t>
      </w:r>
      <w:r w:rsidR="00B40EC1" w:rsidRPr="00B40EC1">
        <w:rPr>
          <w:rFonts w:ascii="Arial" w:hAnsi="Arial" w:cs="Arial"/>
          <w:bCs/>
          <w:i/>
          <w:color w:val="000000"/>
        </w:rPr>
        <w:t>FUNDAMENTACIÓN Y MOTIVACIÓN DE LOS ACTOS ADMINISTRATIVOS.</w:t>
      </w:r>
      <w:r w:rsidR="00B40EC1">
        <w:rPr>
          <w:rFonts w:ascii="Arial" w:hAnsi="Arial" w:cs="Arial"/>
          <w:bCs/>
          <w:color w:val="000000"/>
          <w:sz w:val="26"/>
          <w:szCs w:val="26"/>
        </w:rPr>
        <w:t>”.</w:t>
      </w:r>
    </w:p>
    <w:p w14:paraId="79360FB5" w14:textId="1F01EFAA" w:rsidR="00B40EC1" w:rsidRDefault="00B40EC1" w:rsidP="0064739F">
      <w:pPr>
        <w:widowControl w:val="0"/>
        <w:tabs>
          <w:tab w:val="left" w:pos="0"/>
        </w:tabs>
        <w:spacing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EF143D">
        <w:rPr>
          <w:rFonts w:ascii="Arial" w:hAnsi="Arial" w:cs="Arial"/>
          <w:bCs/>
          <w:color w:val="000000"/>
          <w:sz w:val="26"/>
          <w:szCs w:val="26"/>
        </w:rPr>
        <w:t xml:space="preserve">Estas manifestaciones </w:t>
      </w:r>
      <w:r>
        <w:rPr>
          <w:rFonts w:ascii="Arial" w:hAnsi="Arial" w:cs="Arial"/>
          <w:bCs/>
          <w:color w:val="000000"/>
          <w:sz w:val="26"/>
          <w:szCs w:val="26"/>
        </w:rPr>
        <w:t xml:space="preserve">son </w:t>
      </w:r>
      <w:r w:rsidRPr="00B40EC1">
        <w:rPr>
          <w:rFonts w:ascii="Arial" w:hAnsi="Arial" w:cs="Arial"/>
          <w:b/>
          <w:bCs/>
          <w:color w:val="000000"/>
          <w:sz w:val="26"/>
          <w:szCs w:val="26"/>
        </w:rPr>
        <w:t>infundados</w:t>
      </w:r>
      <w:r>
        <w:rPr>
          <w:rFonts w:ascii="Arial" w:hAnsi="Arial" w:cs="Arial"/>
          <w:bCs/>
          <w:color w:val="000000"/>
          <w:sz w:val="26"/>
          <w:szCs w:val="26"/>
        </w:rPr>
        <w:t xml:space="preserve">, porque contrario a su </w:t>
      </w:r>
      <w:r>
        <w:rPr>
          <w:rFonts w:ascii="Arial" w:hAnsi="Arial" w:cs="Arial"/>
          <w:bCs/>
          <w:color w:val="000000"/>
          <w:sz w:val="26"/>
          <w:szCs w:val="26"/>
        </w:rPr>
        <w:lastRenderedPageBreak/>
        <w:t xml:space="preserve">afirmación, la determinación de la Primera Instancia, para considerar procedente decretar la nulidad del oficio </w:t>
      </w:r>
      <w:r w:rsidR="004340DB">
        <w:rPr>
          <w:rFonts w:ascii="Arial" w:hAnsi="Arial" w:cs="Arial"/>
          <w:b/>
          <w:bCs/>
          <w:sz w:val="26"/>
          <w:szCs w:val="26"/>
        </w:rPr>
        <w:t>**********</w:t>
      </w:r>
      <w:r w:rsidR="004340DB">
        <w:rPr>
          <w:rFonts w:ascii="Arial" w:hAnsi="Arial" w:cs="Arial"/>
          <w:b/>
          <w:bCs/>
          <w:sz w:val="26"/>
          <w:szCs w:val="26"/>
        </w:rPr>
        <w:t xml:space="preserve"> </w:t>
      </w:r>
      <w:bookmarkStart w:id="0" w:name="_GoBack"/>
      <w:bookmarkEnd w:id="0"/>
      <w:r>
        <w:rPr>
          <w:rFonts w:ascii="Arial" w:hAnsi="Arial" w:cs="Arial"/>
          <w:bCs/>
          <w:color w:val="000000"/>
          <w:sz w:val="26"/>
          <w:szCs w:val="26"/>
        </w:rPr>
        <w:t>de quince de noviembre de dos mil dieciocho, para el efecto se dicte otro; no carece de fundamentación y motivación; pues en cuanto a la motivación plasmada por la resolutora, el aquí recurrente, pretendió debatir, mediante argumentos que resultaron inoperantes, y en cuanto a la fundamentación se advierte con claridad en la sentencia alzada, la cita de los preceptos legales que consideró actualizados la Primera Instancia, así como los criterios jurisprudenciales que indicó.</w:t>
      </w:r>
    </w:p>
    <w:p w14:paraId="2A058446" w14:textId="77777777" w:rsidR="005770C1" w:rsidRDefault="005770C1" w:rsidP="00C62F3D">
      <w:pPr>
        <w:tabs>
          <w:tab w:val="left" w:pos="1197"/>
        </w:tabs>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ante lo </w:t>
      </w:r>
      <w:r w:rsidR="00B40EC1" w:rsidRPr="00B40EC1">
        <w:rPr>
          <w:rFonts w:ascii="Arial" w:eastAsia="Calibri" w:hAnsi="Arial" w:cs="Arial"/>
          <w:b/>
          <w:bCs/>
          <w:sz w:val="26"/>
          <w:szCs w:val="26"/>
        </w:rPr>
        <w:t>inoperante</w:t>
      </w:r>
      <w:r w:rsidR="00B40EC1">
        <w:rPr>
          <w:rFonts w:ascii="Arial" w:eastAsia="Calibri" w:hAnsi="Arial" w:cs="Arial"/>
          <w:bCs/>
          <w:sz w:val="26"/>
          <w:szCs w:val="26"/>
        </w:rPr>
        <w:t xml:space="preserve"> e </w:t>
      </w:r>
      <w:r>
        <w:rPr>
          <w:rFonts w:ascii="Arial" w:eastAsia="Calibri" w:hAnsi="Arial" w:cs="Arial"/>
          <w:b/>
          <w:bCs/>
          <w:sz w:val="26"/>
          <w:szCs w:val="26"/>
        </w:rPr>
        <w:t>infundado</w:t>
      </w:r>
      <w:r w:rsidR="007D1DBD">
        <w:rPr>
          <w:rFonts w:ascii="Arial" w:eastAsia="Calibri" w:hAnsi="Arial" w:cs="Arial"/>
          <w:b/>
          <w:bCs/>
          <w:sz w:val="26"/>
          <w:szCs w:val="26"/>
        </w:rPr>
        <w:t xml:space="preserve"> </w:t>
      </w:r>
      <w:r>
        <w:rPr>
          <w:rFonts w:ascii="Arial" w:eastAsia="Calibri" w:hAnsi="Arial" w:cs="Arial"/>
          <w:bCs/>
          <w:sz w:val="26"/>
          <w:szCs w:val="26"/>
        </w:rPr>
        <w:t xml:space="preserve">de los agravios planteados, lo procedente es </w:t>
      </w:r>
      <w:r w:rsidR="00B40EC1">
        <w:rPr>
          <w:rFonts w:ascii="Arial" w:eastAsia="Calibri" w:hAnsi="Arial" w:cs="Arial"/>
          <w:b/>
          <w:bCs/>
          <w:sz w:val="26"/>
          <w:szCs w:val="26"/>
        </w:rPr>
        <w:t xml:space="preserve">CONFIRMAR </w:t>
      </w:r>
      <w:r>
        <w:rPr>
          <w:rFonts w:ascii="Arial" w:eastAsia="Calibri" w:hAnsi="Arial" w:cs="Arial"/>
          <w:bCs/>
          <w:sz w:val="26"/>
          <w:szCs w:val="26"/>
        </w:rPr>
        <w:t>la sentencia alzada.</w:t>
      </w:r>
    </w:p>
    <w:p w14:paraId="30B02C1A" w14:textId="77777777" w:rsidR="005770C1" w:rsidRDefault="005770C1" w:rsidP="00C62F3D">
      <w:pPr>
        <w:widowControl w:val="0"/>
        <w:tabs>
          <w:tab w:val="left" w:pos="0"/>
        </w:tabs>
        <w:spacing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237 y 238 de la Ley de Procedimiento y Justicia Administrativa para el Estado, se:</w:t>
      </w:r>
    </w:p>
    <w:p w14:paraId="06E0848A" w14:textId="644B5FBF" w:rsidR="00C62F3D" w:rsidRDefault="005770C1" w:rsidP="0064739F">
      <w:pPr>
        <w:pStyle w:val="Sinespaciado"/>
        <w:spacing w:line="360" w:lineRule="auto"/>
        <w:jc w:val="center"/>
        <w:rPr>
          <w:rFonts w:ascii="Arial" w:hAnsi="Arial" w:cs="Arial"/>
          <w:b/>
          <w:sz w:val="24"/>
          <w:szCs w:val="24"/>
        </w:rPr>
      </w:pPr>
      <w:r w:rsidRPr="00CB6E8A">
        <w:rPr>
          <w:rFonts w:ascii="Arial" w:hAnsi="Arial" w:cs="Arial"/>
          <w:b/>
          <w:sz w:val="24"/>
          <w:szCs w:val="24"/>
        </w:rPr>
        <w:t>R E S U E L V E</w:t>
      </w:r>
    </w:p>
    <w:p w14:paraId="0C4F6B67" w14:textId="3AA5061E" w:rsidR="00C62F3D" w:rsidRDefault="005770C1" w:rsidP="0064739F">
      <w:pPr>
        <w:pStyle w:val="Sinespaciado"/>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B40EC1">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w:t>
      </w:r>
      <w:r w:rsidR="00C62F3D">
        <w:rPr>
          <w:rFonts w:ascii="Arial" w:hAnsi="Arial" w:cs="Arial"/>
          <w:color w:val="000000"/>
          <w:sz w:val="26"/>
          <w:szCs w:val="26"/>
          <w:lang w:val="es-MX"/>
        </w:rPr>
        <w:t xml:space="preserve"> el considerando que antecede.</w:t>
      </w:r>
    </w:p>
    <w:p w14:paraId="429F81EF" w14:textId="61B09CC1" w:rsidR="00C62F3D" w:rsidRDefault="00C62F3D" w:rsidP="0064739F">
      <w:pPr>
        <w:pStyle w:val="Sinespaciado"/>
        <w:spacing w:line="360" w:lineRule="auto"/>
        <w:ind w:firstLine="708"/>
        <w:jc w:val="both"/>
        <w:rPr>
          <w:rFonts w:ascii="Arial" w:hAnsi="Arial" w:cs="Arial"/>
          <w:sz w:val="26"/>
          <w:szCs w:val="26"/>
        </w:rPr>
      </w:pPr>
      <w:r>
        <w:rPr>
          <w:rFonts w:ascii="Arial" w:hAnsi="Arial" w:cs="Arial"/>
          <w:b/>
          <w:sz w:val="26"/>
          <w:szCs w:val="26"/>
        </w:rPr>
        <w:t>SEGUNDO. -</w:t>
      </w:r>
      <w:r w:rsidR="005770C1">
        <w:rPr>
          <w:rFonts w:ascii="Arial" w:hAnsi="Arial" w:cs="Arial"/>
          <w:b/>
          <w:sz w:val="26"/>
          <w:szCs w:val="26"/>
        </w:rPr>
        <w:t xml:space="preserve"> </w:t>
      </w:r>
      <w:r w:rsidR="005770C1" w:rsidRPr="007B1E95">
        <w:rPr>
          <w:rFonts w:ascii="Arial" w:hAnsi="Arial" w:cs="Arial"/>
          <w:b/>
          <w:sz w:val="26"/>
          <w:szCs w:val="26"/>
        </w:rPr>
        <w:t>N</w:t>
      </w:r>
      <w:r w:rsidR="005770C1" w:rsidRPr="006E349D">
        <w:rPr>
          <w:rFonts w:ascii="Arial" w:hAnsi="Arial" w:cs="Arial"/>
          <w:b/>
          <w:sz w:val="26"/>
          <w:szCs w:val="26"/>
        </w:rPr>
        <w:t>OTIFÍQUESE</w:t>
      </w:r>
      <w:r w:rsidR="005770C1">
        <w:rPr>
          <w:rFonts w:ascii="Arial" w:hAnsi="Arial" w:cs="Arial"/>
          <w:b/>
          <w:sz w:val="26"/>
          <w:szCs w:val="26"/>
        </w:rPr>
        <w:t xml:space="preserve"> Y CÚMPLASE,</w:t>
      </w:r>
      <w:r w:rsidR="005770C1" w:rsidRPr="00986534">
        <w:rPr>
          <w:rFonts w:ascii="Arial" w:hAnsi="Arial" w:cs="Arial"/>
          <w:sz w:val="26"/>
          <w:szCs w:val="26"/>
        </w:rPr>
        <w:t xml:space="preserve"> </w:t>
      </w:r>
      <w:r w:rsidR="005770C1">
        <w:rPr>
          <w:rFonts w:ascii="Arial" w:hAnsi="Arial" w:cs="Arial"/>
          <w:sz w:val="26"/>
          <w:szCs w:val="26"/>
        </w:rPr>
        <w:t xml:space="preserve">remítase copia certificada de la presente resolución a la </w:t>
      </w:r>
      <w:r w:rsidR="00024019">
        <w:rPr>
          <w:rFonts w:ascii="Arial" w:hAnsi="Arial" w:cs="Arial"/>
          <w:sz w:val="26"/>
          <w:szCs w:val="26"/>
        </w:rPr>
        <w:t xml:space="preserve">Primera </w:t>
      </w:r>
      <w:r w:rsidR="005770C1">
        <w:rPr>
          <w:rFonts w:ascii="Arial" w:hAnsi="Arial" w:cs="Arial"/>
          <w:sz w:val="26"/>
          <w:szCs w:val="26"/>
        </w:rPr>
        <w:t>Sala Unitaria de Primera Instancia de este Tribunal y en su oportunidad archívese el presente cuaderno de r</w:t>
      </w:r>
      <w:r>
        <w:rPr>
          <w:rFonts w:ascii="Arial" w:hAnsi="Arial" w:cs="Arial"/>
          <w:sz w:val="26"/>
          <w:szCs w:val="26"/>
        </w:rPr>
        <w:t>evisión como asunto concluido.</w:t>
      </w:r>
    </w:p>
    <w:p w14:paraId="4F7A8E59" w14:textId="77777777" w:rsidR="0064739F" w:rsidRDefault="0064739F" w:rsidP="0064739F">
      <w:pPr>
        <w:pStyle w:val="Sinespaciado"/>
        <w:spacing w:line="360" w:lineRule="auto"/>
        <w:ind w:firstLine="708"/>
        <w:jc w:val="both"/>
        <w:rPr>
          <w:rFonts w:ascii="Arial" w:hAnsi="Arial" w:cs="Arial"/>
          <w:sz w:val="26"/>
          <w:szCs w:val="26"/>
        </w:rPr>
      </w:pPr>
    </w:p>
    <w:p w14:paraId="7C487C6C" w14:textId="77777777" w:rsidR="00C62F3D" w:rsidRDefault="00C62F3D" w:rsidP="00C62F3D">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14:paraId="2F9AD380" w14:textId="77777777" w:rsidR="0064739F" w:rsidRDefault="0064739F" w:rsidP="00C62F3D">
      <w:pPr>
        <w:spacing w:line="360" w:lineRule="auto"/>
        <w:rPr>
          <w:rFonts w:ascii="Arial" w:hAnsi="Arial" w:cs="Arial"/>
          <w:sz w:val="26"/>
          <w:szCs w:val="26"/>
        </w:rPr>
      </w:pPr>
    </w:p>
    <w:p w14:paraId="1E224524" w14:textId="77777777" w:rsidR="00C62F3D" w:rsidRDefault="00C62F3D" w:rsidP="00C62F3D">
      <w:pPr>
        <w:spacing w:line="360" w:lineRule="auto"/>
        <w:rPr>
          <w:rFonts w:ascii="Arial" w:hAnsi="Arial" w:cs="Arial"/>
          <w:sz w:val="26"/>
          <w:szCs w:val="26"/>
        </w:rPr>
      </w:pPr>
    </w:p>
    <w:p w14:paraId="23C3316C" w14:textId="77777777" w:rsidR="00C62F3D" w:rsidRDefault="00C62F3D" w:rsidP="00C62F3D">
      <w:pPr>
        <w:spacing w:after="0" w:line="240" w:lineRule="auto"/>
        <w:jc w:val="center"/>
        <w:rPr>
          <w:rFonts w:ascii="Arial" w:hAnsi="Arial" w:cs="Arial"/>
          <w:sz w:val="26"/>
          <w:szCs w:val="26"/>
        </w:rPr>
      </w:pPr>
      <w:r>
        <w:rPr>
          <w:rFonts w:ascii="Arial" w:hAnsi="Arial" w:cs="Arial"/>
          <w:sz w:val="26"/>
          <w:szCs w:val="26"/>
        </w:rPr>
        <w:t>MAGISTRADA MARÍA ELENA VILLA DE JARQUÍN</w:t>
      </w:r>
    </w:p>
    <w:p w14:paraId="124BD0AF" w14:textId="77777777" w:rsidR="00C62F3D" w:rsidRDefault="00C62F3D" w:rsidP="00C62F3D">
      <w:pPr>
        <w:spacing w:after="0" w:line="240" w:lineRule="auto"/>
        <w:jc w:val="center"/>
        <w:rPr>
          <w:rFonts w:ascii="Arial" w:hAnsi="Arial" w:cs="Arial"/>
          <w:sz w:val="26"/>
          <w:szCs w:val="26"/>
        </w:rPr>
      </w:pPr>
      <w:r>
        <w:rPr>
          <w:rFonts w:ascii="Arial" w:hAnsi="Arial" w:cs="Arial"/>
          <w:sz w:val="26"/>
          <w:szCs w:val="26"/>
        </w:rPr>
        <w:t>PRESIDENTA</w:t>
      </w:r>
    </w:p>
    <w:p w14:paraId="019171E4" w14:textId="77777777" w:rsidR="00C62F3D" w:rsidRDefault="00C62F3D" w:rsidP="00C62F3D">
      <w:pPr>
        <w:spacing w:line="360" w:lineRule="auto"/>
        <w:rPr>
          <w:rFonts w:ascii="Arial" w:eastAsia="Times New Roman" w:hAnsi="Arial" w:cs="Arial"/>
          <w:sz w:val="26"/>
          <w:szCs w:val="26"/>
        </w:rPr>
      </w:pPr>
    </w:p>
    <w:p w14:paraId="508FE7D7" w14:textId="77777777" w:rsidR="0064739F" w:rsidRDefault="0064739F" w:rsidP="00C62F3D">
      <w:pPr>
        <w:spacing w:line="360" w:lineRule="auto"/>
        <w:jc w:val="center"/>
        <w:rPr>
          <w:rFonts w:ascii="Arial" w:eastAsia="Times New Roman" w:hAnsi="Arial" w:cs="Arial"/>
          <w:b/>
          <w:bCs/>
          <w:sz w:val="14"/>
          <w:szCs w:val="14"/>
        </w:rPr>
      </w:pPr>
    </w:p>
    <w:p w14:paraId="43CAE0AA" w14:textId="085218D9" w:rsidR="00C62F3D" w:rsidRPr="0064739F" w:rsidRDefault="0064739F" w:rsidP="00C62F3D">
      <w:pPr>
        <w:spacing w:line="360" w:lineRule="auto"/>
        <w:jc w:val="center"/>
        <w:rPr>
          <w:rFonts w:ascii="Arial" w:eastAsia="Times New Roman" w:hAnsi="Arial" w:cs="Arial"/>
          <w:b/>
          <w:bCs/>
          <w:sz w:val="14"/>
          <w:szCs w:val="14"/>
        </w:rPr>
      </w:pPr>
      <w:r w:rsidRPr="0064739F">
        <w:rPr>
          <w:rFonts w:ascii="Arial" w:eastAsia="Times New Roman" w:hAnsi="Arial" w:cs="Arial"/>
          <w:b/>
          <w:bCs/>
          <w:sz w:val="14"/>
          <w:szCs w:val="14"/>
        </w:rPr>
        <w:t>LAS PRESENTES FIRMAS CORRESPONDEN AL RECURSO DE REVISIÓN 254/2019</w:t>
      </w:r>
    </w:p>
    <w:p w14:paraId="2E63EE04" w14:textId="4AAED237" w:rsidR="0064739F" w:rsidRPr="0064739F" w:rsidRDefault="0064739F" w:rsidP="00C62F3D">
      <w:pPr>
        <w:spacing w:line="360" w:lineRule="auto"/>
        <w:jc w:val="center"/>
        <w:rPr>
          <w:rFonts w:ascii="Arial" w:eastAsia="Times New Roman" w:hAnsi="Arial" w:cs="Arial"/>
          <w:b/>
          <w:bCs/>
          <w:sz w:val="14"/>
          <w:szCs w:val="14"/>
        </w:rPr>
      </w:pPr>
    </w:p>
    <w:p w14:paraId="2FC35BC0" w14:textId="74A3B16F" w:rsidR="0064739F" w:rsidRDefault="0064739F" w:rsidP="00C62F3D">
      <w:pPr>
        <w:spacing w:line="360" w:lineRule="auto"/>
        <w:jc w:val="center"/>
        <w:rPr>
          <w:rFonts w:ascii="Arial" w:eastAsia="Times New Roman" w:hAnsi="Arial" w:cs="Arial"/>
          <w:sz w:val="26"/>
          <w:szCs w:val="26"/>
        </w:rPr>
      </w:pPr>
    </w:p>
    <w:p w14:paraId="46DAE39D" w14:textId="77777777" w:rsidR="0064739F" w:rsidRDefault="0064739F" w:rsidP="00C62F3D">
      <w:pPr>
        <w:spacing w:line="360" w:lineRule="auto"/>
        <w:jc w:val="center"/>
        <w:rPr>
          <w:rFonts w:ascii="Arial" w:eastAsia="Times New Roman" w:hAnsi="Arial" w:cs="Arial"/>
          <w:sz w:val="26"/>
          <w:szCs w:val="26"/>
        </w:rPr>
      </w:pPr>
    </w:p>
    <w:p w14:paraId="5919B35F" w14:textId="77777777" w:rsidR="00C62F3D" w:rsidRDefault="00C62F3D" w:rsidP="00C62F3D">
      <w:pPr>
        <w:spacing w:line="360" w:lineRule="auto"/>
        <w:jc w:val="center"/>
        <w:rPr>
          <w:rFonts w:ascii="Arial" w:eastAsia="Times New Roman" w:hAnsi="Arial" w:cs="Arial"/>
          <w:sz w:val="26"/>
          <w:szCs w:val="26"/>
        </w:rPr>
      </w:pPr>
    </w:p>
    <w:p w14:paraId="4A03321B" w14:textId="77777777" w:rsidR="00C62F3D" w:rsidRDefault="00C62F3D" w:rsidP="00C62F3D">
      <w:pPr>
        <w:spacing w:line="36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7A6138A" w14:textId="77777777" w:rsidR="00C62F3D" w:rsidRDefault="00C62F3D" w:rsidP="00C62F3D">
      <w:pPr>
        <w:spacing w:line="360" w:lineRule="auto"/>
        <w:rPr>
          <w:rFonts w:ascii="Arial" w:hAnsi="Arial" w:cs="Arial"/>
          <w:sz w:val="26"/>
          <w:szCs w:val="26"/>
        </w:rPr>
      </w:pPr>
    </w:p>
    <w:p w14:paraId="39489E41" w14:textId="77777777" w:rsidR="00C62F3D" w:rsidRDefault="00C62F3D" w:rsidP="00C62F3D">
      <w:pPr>
        <w:spacing w:line="360" w:lineRule="auto"/>
        <w:rPr>
          <w:rFonts w:ascii="Arial" w:hAnsi="Arial" w:cs="Arial"/>
          <w:sz w:val="26"/>
          <w:szCs w:val="26"/>
        </w:rPr>
      </w:pPr>
    </w:p>
    <w:p w14:paraId="31EBE6AD" w14:textId="77777777" w:rsidR="00C62F3D" w:rsidRDefault="00C62F3D" w:rsidP="00C62F3D">
      <w:pPr>
        <w:spacing w:line="360" w:lineRule="auto"/>
        <w:rPr>
          <w:rFonts w:ascii="Arial" w:hAnsi="Arial" w:cs="Arial"/>
          <w:sz w:val="26"/>
          <w:szCs w:val="26"/>
        </w:rPr>
      </w:pPr>
    </w:p>
    <w:p w14:paraId="41FD4421" w14:textId="77777777" w:rsidR="00C62F3D" w:rsidRDefault="00C62F3D" w:rsidP="00C62F3D">
      <w:pPr>
        <w:jc w:val="center"/>
        <w:rPr>
          <w:rFonts w:ascii="Arial" w:hAnsi="Arial" w:cs="Arial"/>
          <w:sz w:val="26"/>
          <w:szCs w:val="26"/>
        </w:rPr>
      </w:pPr>
      <w:r>
        <w:rPr>
          <w:rFonts w:ascii="Arial" w:hAnsi="Arial" w:cs="Arial"/>
          <w:sz w:val="26"/>
          <w:szCs w:val="26"/>
        </w:rPr>
        <w:t>MAGISTRADO RAÚL PALOMARES PALOMINO</w:t>
      </w:r>
    </w:p>
    <w:p w14:paraId="2C2B7231" w14:textId="77777777" w:rsidR="00C62F3D" w:rsidRDefault="00C62F3D" w:rsidP="00C62F3D">
      <w:pPr>
        <w:tabs>
          <w:tab w:val="center" w:pos="4135"/>
          <w:tab w:val="left" w:pos="7515"/>
        </w:tabs>
        <w:spacing w:line="360" w:lineRule="auto"/>
        <w:rPr>
          <w:rFonts w:ascii="Arial" w:hAnsi="Arial" w:cs="Arial"/>
          <w:sz w:val="26"/>
          <w:szCs w:val="26"/>
        </w:rPr>
      </w:pPr>
    </w:p>
    <w:p w14:paraId="19C8913A" w14:textId="77777777" w:rsidR="00C62F3D" w:rsidRDefault="00C62F3D" w:rsidP="00C62F3D">
      <w:pPr>
        <w:tabs>
          <w:tab w:val="center" w:pos="4135"/>
          <w:tab w:val="left" w:pos="7515"/>
        </w:tabs>
        <w:spacing w:line="360" w:lineRule="auto"/>
        <w:jc w:val="center"/>
        <w:rPr>
          <w:rFonts w:ascii="Arial" w:hAnsi="Arial" w:cs="Arial"/>
          <w:sz w:val="14"/>
          <w:szCs w:val="26"/>
        </w:rPr>
      </w:pPr>
    </w:p>
    <w:p w14:paraId="3E78263A" w14:textId="77777777" w:rsidR="00C62F3D" w:rsidRDefault="00C62F3D" w:rsidP="00C62F3D">
      <w:pPr>
        <w:tabs>
          <w:tab w:val="center" w:pos="4135"/>
          <w:tab w:val="left" w:pos="7515"/>
        </w:tabs>
        <w:spacing w:line="360" w:lineRule="auto"/>
        <w:jc w:val="center"/>
        <w:rPr>
          <w:rFonts w:ascii="Arial" w:hAnsi="Arial" w:cs="Arial"/>
          <w:sz w:val="14"/>
          <w:szCs w:val="26"/>
        </w:rPr>
      </w:pPr>
    </w:p>
    <w:p w14:paraId="225F55D7" w14:textId="77777777" w:rsidR="00C62F3D" w:rsidRDefault="00C62F3D" w:rsidP="00C62F3D">
      <w:pPr>
        <w:tabs>
          <w:tab w:val="center" w:pos="4135"/>
          <w:tab w:val="left" w:pos="7515"/>
        </w:tabs>
        <w:spacing w:line="360" w:lineRule="auto"/>
        <w:jc w:val="center"/>
        <w:rPr>
          <w:rFonts w:ascii="Arial" w:hAnsi="Arial" w:cs="Arial"/>
          <w:sz w:val="14"/>
          <w:szCs w:val="26"/>
        </w:rPr>
      </w:pPr>
    </w:p>
    <w:p w14:paraId="3E6CD99F" w14:textId="77777777" w:rsidR="00C62F3D" w:rsidRDefault="00C62F3D" w:rsidP="00C62F3D">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14:paraId="70E56B4C" w14:textId="77777777" w:rsidR="00C62F3D" w:rsidRDefault="00C62F3D" w:rsidP="00C62F3D">
      <w:pPr>
        <w:tabs>
          <w:tab w:val="center" w:pos="4135"/>
          <w:tab w:val="left" w:pos="7515"/>
        </w:tabs>
        <w:spacing w:line="360" w:lineRule="auto"/>
        <w:jc w:val="center"/>
        <w:rPr>
          <w:rFonts w:ascii="Arial" w:hAnsi="Arial" w:cs="Arial"/>
          <w:sz w:val="14"/>
          <w:szCs w:val="26"/>
        </w:rPr>
      </w:pPr>
    </w:p>
    <w:p w14:paraId="2C5227D7" w14:textId="77777777" w:rsidR="00C62F3D" w:rsidRDefault="00C62F3D" w:rsidP="00C62F3D">
      <w:pPr>
        <w:tabs>
          <w:tab w:val="center" w:pos="4135"/>
          <w:tab w:val="left" w:pos="7515"/>
        </w:tabs>
        <w:spacing w:line="360" w:lineRule="auto"/>
        <w:jc w:val="center"/>
        <w:rPr>
          <w:rFonts w:ascii="Arial" w:hAnsi="Arial" w:cs="Arial"/>
          <w:sz w:val="14"/>
          <w:szCs w:val="26"/>
        </w:rPr>
      </w:pPr>
    </w:p>
    <w:p w14:paraId="66CF25DD" w14:textId="77777777" w:rsidR="00C62F3D" w:rsidRDefault="00C62F3D" w:rsidP="00C62F3D">
      <w:pPr>
        <w:tabs>
          <w:tab w:val="center" w:pos="4135"/>
          <w:tab w:val="left" w:pos="7515"/>
        </w:tabs>
        <w:spacing w:line="360" w:lineRule="auto"/>
        <w:jc w:val="center"/>
        <w:rPr>
          <w:rFonts w:ascii="Arial" w:hAnsi="Arial" w:cs="Arial"/>
          <w:sz w:val="14"/>
          <w:szCs w:val="26"/>
        </w:rPr>
      </w:pPr>
    </w:p>
    <w:p w14:paraId="33EC896B" w14:textId="77777777" w:rsidR="00C62F3D" w:rsidRDefault="00C62F3D" w:rsidP="00C62F3D">
      <w:pPr>
        <w:tabs>
          <w:tab w:val="center" w:pos="4135"/>
          <w:tab w:val="left" w:pos="7515"/>
        </w:tabs>
        <w:spacing w:line="360" w:lineRule="auto"/>
        <w:jc w:val="center"/>
        <w:rPr>
          <w:rFonts w:ascii="Arial" w:hAnsi="Arial" w:cs="Arial"/>
          <w:sz w:val="14"/>
          <w:szCs w:val="26"/>
        </w:rPr>
      </w:pPr>
    </w:p>
    <w:p w14:paraId="1460AA8F" w14:textId="77777777" w:rsidR="00C62F3D" w:rsidRDefault="00C62F3D" w:rsidP="00C62F3D">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14:paraId="5B7BFDE0" w14:textId="77777777" w:rsidR="00C62F3D" w:rsidRDefault="00C62F3D" w:rsidP="00C62F3D">
      <w:pPr>
        <w:tabs>
          <w:tab w:val="center" w:pos="4135"/>
          <w:tab w:val="left" w:pos="7515"/>
        </w:tabs>
        <w:spacing w:line="360" w:lineRule="auto"/>
        <w:jc w:val="center"/>
        <w:rPr>
          <w:rFonts w:ascii="Arial" w:hAnsi="Arial" w:cs="Arial"/>
          <w:sz w:val="26"/>
          <w:szCs w:val="26"/>
        </w:rPr>
      </w:pPr>
    </w:p>
    <w:p w14:paraId="3EC7509E" w14:textId="77777777" w:rsidR="00C62F3D" w:rsidRDefault="00C62F3D" w:rsidP="00C62F3D">
      <w:pPr>
        <w:tabs>
          <w:tab w:val="center" w:pos="4135"/>
          <w:tab w:val="left" w:pos="7515"/>
        </w:tabs>
        <w:spacing w:line="360" w:lineRule="auto"/>
        <w:jc w:val="center"/>
        <w:rPr>
          <w:rFonts w:ascii="Arial" w:hAnsi="Arial" w:cs="Arial"/>
          <w:sz w:val="26"/>
          <w:szCs w:val="26"/>
        </w:rPr>
      </w:pPr>
    </w:p>
    <w:p w14:paraId="7F6C99DB" w14:textId="77777777" w:rsidR="00C62F3D" w:rsidRDefault="00C62F3D" w:rsidP="00C62F3D">
      <w:pPr>
        <w:tabs>
          <w:tab w:val="center" w:pos="4135"/>
          <w:tab w:val="left" w:pos="7515"/>
        </w:tabs>
        <w:spacing w:line="360" w:lineRule="auto"/>
        <w:jc w:val="center"/>
        <w:rPr>
          <w:rFonts w:ascii="Arial" w:hAnsi="Arial" w:cs="Arial"/>
          <w:sz w:val="26"/>
          <w:szCs w:val="26"/>
        </w:rPr>
      </w:pPr>
    </w:p>
    <w:p w14:paraId="04576C4F" w14:textId="77777777" w:rsidR="00C62F3D" w:rsidRDefault="00C62F3D" w:rsidP="00C62F3D">
      <w:pPr>
        <w:tabs>
          <w:tab w:val="center" w:pos="4135"/>
          <w:tab w:val="left" w:pos="7515"/>
        </w:tabs>
        <w:spacing w:after="0"/>
        <w:jc w:val="center"/>
        <w:rPr>
          <w:rFonts w:ascii="Arial" w:hAnsi="Arial" w:cs="Arial"/>
          <w:sz w:val="26"/>
          <w:szCs w:val="26"/>
        </w:rPr>
      </w:pPr>
      <w:r>
        <w:rPr>
          <w:rFonts w:ascii="Arial" w:hAnsi="Arial" w:cs="Arial"/>
          <w:sz w:val="26"/>
          <w:szCs w:val="26"/>
        </w:rPr>
        <w:t>LICENCIADA FELICITAS DÍAZ VÁZQUEZ</w:t>
      </w:r>
    </w:p>
    <w:p w14:paraId="28E2CF05" w14:textId="77777777" w:rsidR="00C62F3D" w:rsidRDefault="00C62F3D" w:rsidP="00C62F3D">
      <w:pPr>
        <w:tabs>
          <w:tab w:val="center" w:pos="4135"/>
          <w:tab w:val="left" w:pos="7515"/>
        </w:tabs>
        <w:spacing w:after="0"/>
        <w:jc w:val="center"/>
        <w:rPr>
          <w:rFonts w:ascii="Arial" w:hAnsi="Arial" w:cs="Arial"/>
          <w:sz w:val="14"/>
          <w:szCs w:val="26"/>
        </w:rPr>
      </w:pPr>
      <w:r>
        <w:rPr>
          <w:rFonts w:ascii="Arial" w:hAnsi="Arial" w:cs="Arial"/>
          <w:sz w:val="26"/>
          <w:szCs w:val="26"/>
        </w:rPr>
        <w:t>SECRETARIA GENERAL DE ACUERDOS</w:t>
      </w:r>
    </w:p>
    <w:p w14:paraId="202CAEC3" w14:textId="77777777" w:rsidR="005770C1" w:rsidRDefault="005770C1" w:rsidP="00C62F3D">
      <w:pPr>
        <w:spacing w:before="240" w:line="360" w:lineRule="auto"/>
        <w:ind w:firstLine="708"/>
        <w:jc w:val="both"/>
        <w:rPr>
          <w:sz w:val="26"/>
          <w:szCs w:val="26"/>
        </w:rPr>
      </w:pPr>
    </w:p>
    <w:sectPr w:rsidR="005770C1"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EF3488" w14:textId="77777777" w:rsidR="007D277E" w:rsidRDefault="007D277E">
      <w:pPr>
        <w:spacing w:after="0" w:line="240" w:lineRule="auto"/>
      </w:pPr>
      <w:r>
        <w:separator/>
      </w:r>
    </w:p>
  </w:endnote>
  <w:endnote w:type="continuationSeparator" w:id="0">
    <w:p w14:paraId="6C393DF1" w14:textId="77777777" w:rsidR="007D277E" w:rsidRDefault="007D2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DE4277" w14:textId="77777777" w:rsidR="007D277E" w:rsidRDefault="007D277E">
      <w:pPr>
        <w:spacing w:after="0" w:line="240" w:lineRule="auto"/>
      </w:pPr>
      <w:r>
        <w:separator/>
      </w:r>
    </w:p>
  </w:footnote>
  <w:footnote w:type="continuationSeparator" w:id="0">
    <w:p w14:paraId="46F1D79F" w14:textId="77777777" w:rsidR="007D277E" w:rsidRDefault="007D27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414FD154" w14:textId="77777777" w:rsidR="00120CBC" w:rsidRDefault="00120CBC" w:rsidP="00D25099">
        <w:pPr>
          <w:pStyle w:val="Encabezado"/>
          <w:jc w:val="center"/>
        </w:pPr>
        <w:r>
          <w:fldChar w:fldCharType="begin"/>
        </w:r>
        <w:r>
          <w:instrText>PAGE   \* MERGEFORMAT</w:instrText>
        </w:r>
        <w:r>
          <w:fldChar w:fldCharType="separate"/>
        </w:r>
        <w:r w:rsidR="004340DB">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5C8EADA3" w14:textId="77777777" w:rsidR="00120CBC" w:rsidRDefault="00120CBC" w:rsidP="00206B99">
        <w:pPr>
          <w:pStyle w:val="Encabezado"/>
          <w:jc w:val="center"/>
          <w:rPr>
            <w:noProof/>
          </w:rPr>
        </w:pPr>
        <w:r>
          <w:fldChar w:fldCharType="begin"/>
        </w:r>
        <w:r>
          <w:instrText xml:space="preserve"> PAGE   \* MERGEFORMAT </w:instrText>
        </w:r>
        <w:r>
          <w:fldChar w:fldCharType="separate"/>
        </w:r>
        <w:r w:rsidR="004340DB">
          <w:rPr>
            <w:noProof/>
          </w:rPr>
          <w:t>1</w:t>
        </w:r>
        <w:r>
          <w:rPr>
            <w:noProof/>
          </w:rPr>
          <w:fldChar w:fldCharType="end"/>
        </w:r>
      </w:p>
      <w:p w14:paraId="68A827C5" w14:textId="77777777" w:rsidR="00120CBC" w:rsidRDefault="007D277E" w:rsidP="008C74CA">
        <w:pPr>
          <w:pStyle w:val="Encabezado"/>
          <w:jc w:val="center"/>
        </w:pPr>
      </w:p>
    </w:sdtContent>
  </w:sdt>
  <w:p w14:paraId="160A9D71" w14:textId="77777777" w:rsidR="00120CBC" w:rsidRDefault="00120CBC" w:rsidP="00256B01">
    <w:pPr>
      <w:pStyle w:val="Encabezado"/>
      <w:jc w:val="center"/>
    </w:pPr>
  </w:p>
  <w:p w14:paraId="3046A89B" w14:textId="77777777" w:rsidR="00120CBC" w:rsidRDefault="00120CBC" w:rsidP="00256B01">
    <w:pPr>
      <w:pStyle w:val="Encabezado"/>
      <w:jc w:val="center"/>
    </w:pPr>
    <w:r>
      <w:rPr>
        <w:noProof/>
        <w:lang w:val="es-MX" w:eastAsia="es-MX"/>
      </w:rPr>
      <w:drawing>
        <wp:anchor distT="0" distB="0" distL="114300" distR="114300" simplePos="0" relativeHeight="251661312" behindDoc="1" locked="0" layoutInCell="1" allowOverlap="1" wp14:anchorId="3134D555" wp14:editId="52E8D985">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49EDB3A2" wp14:editId="3F113268">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9EA"/>
    <w:rsid w:val="00057DB1"/>
    <w:rsid w:val="000612E4"/>
    <w:rsid w:val="000616B5"/>
    <w:rsid w:val="00061CE8"/>
    <w:rsid w:val="00062BDA"/>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02"/>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6F1"/>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03B3"/>
    <w:rsid w:val="00151D48"/>
    <w:rsid w:val="00152A17"/>
    <w:rsid w:val="00152D3F"/>
    <w:rsid w:val="00152EF4"/>
    <w:rsid w:val="0015351E"/>
    <w:rsid w:val="00154584"/>
    <w:rsid w:val="00154C09"/>
    <w:rsid w:val="00154CD8"/>
    <w:rsid w:val="0015751B"/>
    <w:rsid w:val="00161CC0"/>
    <w:rsid w:val="00164061"/>
    <w:rsid w:val="00164BAD"/>
    <w:rsid w:val="00166BBF"/>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6AC3"/>
    <w:rsid w:val="001D730F"/>
    <w:rsid w:val="001D7FCD"/>
    <w:rsid w:val="001E1758"/>
    <w:rsid w:val="001E3B11"/>
    <w:rsid w:val="001E503D"/>
    <w:rsid w:val="001E631B"/>
    <w:rsid w:val="001E680E"/>
    <w:rsid w:val="001E6A09"/>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3DCB"/>
    <w:rsid w:val="0026762A"/>
    <w:rsid w:val="00267A88"/>
    <w:rsid w:val="00271A24"/>
    <w:rsid w:val="00271C0E"/>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3B4"/>
    <w:rsid w:val="002C0C96"/>
    <w:rsid w:val="002C291C"/>
    <w:rsid w:val="002C6B6A"/>
    <w:rsid w:val="002C7363"/>
    <w:rsid w:val="002D1979"/>
    <w:rsid w:val="002D2BC6"/>
    <w:rsid w:val="002D3B49"/>
    <w:rsid w:val="002D7BCE"/>
    <w:rsid w:val="002E07CB"/>
    <w:rsid w:val="002E26EB"/>
    <w:rsid w:val="002E3BA0"/>
    <w:rsid w:val="002E796C"/>
    <w:rsid w:val="002F19AF"/>
    <w:rsid w:val="002F2487"/>
    <w:rsid w:val="002F2AF1"/>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3A59"/>
    <w:rsid w:val="003462AA"/>
    <w:rsid w:val="003505C2"/>
    <w:rsid w:val="00354A57"/>
    <w:rsid w:val="00355E72"/>
    <w:rsid w:val="0035772D"/>
    <w:rsid w:val="00360A0B"/>
    <w:rsid w:val="00362E0E"/>
    <w:rsid w:val="003633B9"/>
    <w:rsid w:val="003646B9"/>
    <w:rsid w:val="003708D3"/>
    <w:rsid w:val="0037176D"/>
    <w:rsid w:val="00371AB7"/>
    <w:rsid w:val="003731F5"/>
    <w:rsid w:val="00375176"/>
    <w:rsid w:val="003779D8"/>
    <w:rsid w:val="00380776"/>
    <w:rsid w:val="00380BAC"/>
    <w:rsid w:val="003818BD"/>
    <w:rsid w:val="00381DC3"/>
    <w:rsid w:val="00382FD0"/>
    <w:rsid w:val="00383A19"/>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7081"/>
    <w:rsid w:val="00433FAD"/>
    <w:rsid w:val="004340DB"/>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E71"/>
    <w:rsid w:val="00497AD8"/>
    <w:rsid w:val="00497E3B"/>
    <w:rsid w:val="004A2326"/>
    <w:rsid w:val="004A234C"/>
    <w:rsid w:val="004A319F"/>
    <w:rsid w:val="004A399A"/>
    <w:rsid w:val="004A4ECC"/>
    <w:rsid w:val="004A54A3"/>
    <w:rsid w:val="004A695A"/>
    <w:rsid w:val="004A7AC3"/>
    <w:rsid w:val="004B3512"/>
    <w:rsid w:val="004B3A33"/>
    <w:rsid w:val="004B3D2E"/>
    <w:rsid w:val="004B4161"/>
    <w:rsid w:val="004B483F"/>
    <w:rsid w:val="004B6175"/>
    <w:rsid w:val="004B6F87"/>
    <w:rsid w:val="004B748E"/>
    <w:rsid w:val="004B74CE"/>
    <w:rsid w:val="004B7A3D"/>
    <w:rsid w:val="004C10F3"/>
    <w:rsid w:val="004C20AC"/>
    <w:rsid w:val="004C3E7C"/>
    <w:rsid w:val="004C4306"/>
    <w:rsid w:val="004C456C"/>
    <w:rsid w:val="004C489E"/>
    <w:rsid w:val="004C4D84"/>
    <w:rsid w:val="004C57A9"/>
    <w:rsid w:val="004D29EE"/>
    <w:rsid w:val="004D316A"/>
    <w:rsid w:val="004D3AC9"/>
    <w:rsid w:val="004D3ADD"/>
    <w:rsid w:val="004D5713"/>
    <w:rsid w:val="004D5934"/>
    <w:rsid w:val="004D6FEE"/>
    <w:rsid w:val="004D7564"/>
    <w:rsid w:val="004E154D"/>
    <w:rsid w:val="004E16A4"/>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0FE5"/>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67FB"/>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869A4"/>
    <w:rsid w:val="005903F7"/>
    <w:rsid w:val="005913ED"/>
    <w:rsid w:val="00593333"/>
    <w:rsid w:val="00594670"/>
    <w:rsid w:val="00595186"/>
    <w:rsid w:val="00597C5A"/>
    <w:rsid w:val="005A0A32"/>
    <w:rsid w:val="005A0D5F"/>
    <w:rsid w:val="005A1C28"/>
    <w:rsid w:val="005A3800"/>
    <w:rsid w:val="005A415D"/>
    <w:rsid w:val="005A493F"/>
    <w:rsid w:val="005A4C18"/>
    <w:rsid w:val="005B093E"/>
    <w:rsid w:val="005B13A7"/>
    <w:rsid w:val="005B2365"/>
    <w:rsid w:val="005B74A1"/>
    <w:rsid w:val="005C0B46"/>
    <w:rsid w:val="005C28D7"/>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328"/>
    <w:rsid w:val="005F35AE"/>
    <w:rsid w:val="005F602F"/>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3A7A"/>
    <w:rsid w:val="00645439"/>
    <w:rsid w:val="00645E2A"/>
    <w:rsid w:val="0064739F"/>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80C"/>
    <w:rsid w:val="00687B92"/>
    <w:rsid w:val="00690AEC"/>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4792"/>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4B32"/>
    <w:rsid w:val="007B5135"/>
    <w:rsid w:val="007B6958"/>
    <w:rsid w:val="007C0D88"/>
    <w:rsid w:val="007C4D7C"/>
    <w:rsid w:val="007C4FC7"/>
    <w:rsid w:val="007C5134"/>
    <w:rsid w:val="007C65BA"/>
    <w:rsid w:val="007C6CD3"/>
    <w:rsid w:val="007C7AD1"/>
    <w:rsid w:val="007D1DBD"/>
    <w:rsid w:val="007D2543"/>
    <w:rsid w:val="007D277E"/>
    <w:rsid w:val="007D4645"/>
    <w:rsid w:val="007D4E0F"/>
    <w:rsid w:val="007D55DA"/>
    <w:rsid w:val="007D6D8D"/>
    <w:rsid w:val="007D7972"/>
    <w:rsid w:val="007E1BC3"/>
    <w:rsid w:val="007E32FC"/>
    <w:rsid w:val="007E394A"/>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C67"/>
    <w:rsid w:val="00807736"/>
    <w:rsid w:val="00807D70"/>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1284"/>
    <w:rsid w:val="008F203A"/>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59DA"/>
    <w:rsid w:val="00920D15"/>
    <w:rsid w:val="009210A6"/>
    <w:rsid w:val="009233B3"/>
    <w:rsid w:val="00926FCD"/>
    <w:rsid w:val="00927607"/>
    <w:rsid w:val="00930FEF"/>
    <w:rsid w:val="00931E3D"/>
    <w:rsid w:val="0094005B"/>
    <w:rsid w:val="0094041C"/>
    <w:rsid w:val="00943709"/>
    <w:rsid w:val="00943B62"/>
    <w:rsid w:val="009443A6"/>
    <w:rsid w:val="0094607A"/>
    <w:rsid w:val="00947785"/>
    <w:rsid w:val="00956CD1"/>
    <w:rsid w:val="00962084"/>
    <w:rsid w:val="009623FA"/>
    <w:rsid w:val="00962A6C"/>
    <w:rsid w:val="00963968"/>
    <w:rsid w:val="00964069"/>
    <w:rsid w:val="00964969"/>
    <w:rsid w:val="00964A87"/>
    <w:rsid w:val="00964EDF"/>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2394"/>
    <w:rsid w:val="009C4221"/>
    <w:rsid w:val="009C7A1D"/>
    <w:rsid w:val="009D0710"/>
    <w:rsid w:val="009D1ED8"/>
    <w:rsid w:val="009D4A0A"/>
    <w:rsid w:val="009D56DE"/>
    <w:rsid w:val="009D6659"/>
    <w:rsid w:val="009D7058"/>
    <w:rsid w:val="009D70CC"/>
    <w:rsid w:val="009D79D7"/>
    <w:rsid w:val="009E0336"/>
    <w:rsid w:val="009E10EC"/>
    <w:rsid w:val="009E3A9A"/>
    <w:rsid w:val="009E42B9"/>
    <w:rsid w:val="009E5841"/>
    <w:rsid w:val="009F230B"/>
    <w:rsid w:val="009F3F92"/>
    <w:rsid w:val="009F50FA"/>
    <w:rsid w:val="009F5A0A"/>
    <w:rsid w:val="00A022D9"/>
    <w:rsid w:val="00A033BB"/>
    <w:rsid w:val="00A0357E"/>
    <w:rsid w:val="00A045F4"/>
    <w:rsid w:val="00A05B4F"/>
    <w:rsid w:val="00A063DF"/>
    <w:rsid w:val="00A10387"/>
    <w:rsid w:val="00A14A52"/>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3716"/>
    <w:rsid w:val="00A644EC"/>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264"/>
    <w:rsid w:val="00A977D1"/>
    <w:rsid w:val="00AA0100"/>
    <w:rsid w:val="00AA0A4A"/>
    <w:rsid w:val="00AA27AB"/>
    <w:rsid w:val="00AA29E9"/>
    <w:rsid w:val="00AA38C5"/>
    <w:rsid w:val="00AA3DF2"/>
    <w:rsid w:val="00AA512C"/>
    <w:rsid w:val="00AB00F1"/>
    <w:rsid w:val="00AB0764"/>
    <w:rsid w:val="00AB10A6"/>
    <w:rsid w:val="00AB19C6"/>
    <w:rsid w:val="00AB1E66"/>
    <w:rsid w:val="00AB1E7B"/>
    <w:rsid w:val="00AB4741"/>
    <w:rsid w:val="00AB628D"/>
    <w:rsid w:val="00AB641E"/>
    <w:rsid w:val="00AB6F46"/>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4213"/>
    <w:rsid w:val="00B15800"/>
    <w:rsid w:val="00B173E2"/>
    <w:rsid w:val="00B177F2"/>
    <w:rsid w:val="00B17CE7"/>
    <w:rsid w:val="00B216FE"/>
    <w:rsid w:val="00B219F8"/>
    <w:rsid w:val="00B24390"/>
    <w:rsid w:val="00B244A4"/>
    <w:rsid w:val="00B26CCB"/>
    <w:rsid w:val="00B305FF"/>
    <w:rsid w:val="00B31114"/>
    <w:rsid w:val="00B31B5C"/>
    <w:rsid w:val="00B34D98"/>
    <w:rsid w:val="00B35503"/>
    <w:rsid w:val="00B37C1A"/>
    <w:rsid w:val="00B37E5F"/>
    <w:rsid w:val="00B40233"/>
    <w:rsid w:val="00B408F8"/>
    <w:rsid w:val="00B40EC1"/>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62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2BF5"/>
    <w:rsid w:val="00BC3F2F"/>
    <w:rsid w:val="00BC62A4"/>
    <w:rsid w:val="00BC6D43"/>
    <w:rsid w:val="00BC788B"/>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1564"/>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2F3D"/>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8F6"/>
    <w:rsid w:val="00CC1DB1"/>
    <w:rsid w:val="00CC7CEF"/>
    <w:rsid w:val="00CD0468"/>
    <w:rsid w:val="00CD1491"/>
    <w:rsid w:val="00CD3C6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25AD"/>
    <w:rsid w:val="00D5482F"/>
    <w:rsid w:val="00D564D9"/>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2683"/>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7ED"/>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7006D"/>
    <w:rsid w:val="00E7055E"/>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7B1"/>
    <w:rsid w:val="00EB4DFF"/>
    <w:rsid w:val="00EC2DA8"/>
    <w:rsid w:val="00EC45FC"/>
    <w:rsid w:val="00EC4A4E"/>
    <w:rsid w:val="00EC6A8E"/>
    <w:rsid w:val="00EC6BCB"/>
    <w:rsid w:val="00ED073E"/>
    <w:rsid w:val="00ED2CA4"/>
    <w:rsid w:val="00ED2E55"/>
    <w:rsid w:val="00ED54D9"/>
    <w:rsid w:val="00ED5DDA"/>
    <w:rsid w:val="00ED7D48"/>
    <w:rsid w:val="00EE0121"/>
    <w:rsid w:val="00EE11B9"/>
    <w:rsid w:val="00EE1352"/>
    <w:rsid w:val="00EE3E2A"/>
    <w:rsid w:val="00EE480B"/>
    <w:rsid w:val="00EE4C8D"/>
    <w:rsid w:val="00EE695C"/>
    <w:rsid w:val="00EF143D"/>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24B2"/>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557E"/>
    <w:rsid w:val="00FC7940"/>
    <w:rsid w:val="00FD0A86"/>
    <w:rsid w:val="00FD0C4D"/>
    <w:rsid w:val="00FD0CFA"/>
    <w:rsid w:val="00FD0F89"/>
    <w:rsid w:val="00FD41C0"/>
    <w:rsid w:val="00FD4382"/>
    <w:rsid w:val="00FD46BA"/>
    <w:rsid w:val="00FD5D4A"/>
    <w:rsid w:val="00FD7489"/>
    <w:rsid w:val="00FE07DB"/>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E8A36"/>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C62F3D"/>
    <w:rPr>
      <w:rFonts w:ascii="Arial" w:hAnsi="Arial" w:cs="Arial"/>
      <w:sz w:val="30"/>
      <w:szCs w:val="30"/>
      <w:lang w:val="es-ES_tradnl"/>
    </w:rPr>
  </w:style>
  <w:style w:type="paragraph" w:customStyle="1" w:styleId="corte4fondo">
    <w:name w:val="corte4 fondo"/>
    <w:basedOn w:val="Normal"/>
    <w:link w:val="corte4fondoCar3"/>
    <w:qFormat/>
    <w:rsid w:val="00C62F3D"/>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61E16-B581-4069-B6A0-D3EF8E792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1908</Words>
  <Characters>10494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2019-10-03T20:49:00Z</cp:lastPrinted>
  <dcterms:created xsi:type="dcterms:W3CDTF">2020-09-23T16:17:00Z</dcterms:created>
  <dcterms:modified xsi:type="dcterms:W3CDTF">2020-09-23T16:17:00Z</dcterms:modified>
</cp:coreProperties>
</file>