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052C6" w:rsidRDefault="008052C6" w:rsidP="008052C6">
      <w:pPr>
        <w:ind w:left="2124"/>
        <w:jc w:val="both"/>
        <w:rPr>
          <w:rFonts w:ascii="Arial" w:hAnsi="Arial" w:cs="Arial"/>
          <w:b/>
          <w:sz w:val="26"/>
          <w:szCs w:val="26"/>
        </w:rPr>
      </w:pPr>
      <w:bookmarkStart w:id="0" w:name="_Hlk30078419"/>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r>
        <w:rPr>
          <w:rFonts w:ascii="Arial" w:hAnsi="Arial" w:cs="Arial"/>
          <w:b/>
          <w:sz w:val="26"/>
          <w:szCs w:val="26"/>
        </w:rPr>
        <w:t>.</w:t>
      </w:r>
    </w:p>
    <w:p w:rsidR="009C144A" w:rsidRPr="00CB6405" w:rsidRDefault="009C144A" w:rsidP="008052C6">
      <w:pPr>
        <w:ind w:left="2124"/>
        <w:jc w:val="both"/>
        <w:rPr>
          <w:rFonts w:ascii="Arial" w:hAnsi="Arial" w:cs="Arial"/>
          <w:b/>
          <w:sz w:val="26"/>
          <w:szCs w:val="26"/>
        </w:rPr>
      </w:pPr>
    </w:p>
    <w:p w:rsidR="008052C6" w:rsidRDefault="008052C6" w:rsidP="008052C6">
      <w:pPr>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r>
      <w:r>
        <w:rPr>
          <w:rFonts w:ascii="Arial" w:hAnsi="Arial" w:cs="Arial"/>
          <w:b/>
          <w:sz w:val="26"/>
          <w:szCs w:val="26"/>
        </w:rPr>
        <w:t>256/2019</w:t>
      </w:r>
    </w:p>
    <w:p w:rsidR="009C144A" w:rsidRPr="00CB6405" w:rsidRDefault="009C144A" w:rsidP="008052C6">
      <w:pPr>
        <w:ind w:left="2124"/>
        <w:jc w:val="both"/>
        <w:rPr>
          <w:rFonts w:ascii="Arial" w:hAnsi="Arial" w:cs="Arial"/>
          <w:b/>
          <w:sz w:val="26"/>
          <w:szCs w:val="26"/>
        </w:rPr>
      </w:pPr>
    </w:p>
    <w:p w:rsidR="008052C6" w:rsidRDefault="008052C6" w:rsidP="008052C6">
      <w:pPr>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Pr>
          <w:rFonts w:ascii="Arial" w:hAnsi="Arial" w:cs="Arial"/>
          <w:b/>
          <w:sz w:val="26"/>
          <w:szCs w:val="26"/>
        </w:rPr>
        <w:t>015/2019</w:t>
      </w:r>
      <w:r w:rsidRPr="00CB6405">
        <w:rPr>
          <w:rFonts w:ascii="Arial" w:hAnsi="Arial" w:cs="Arial"/>
          <w:b/>
          <w:sz w:val="26"/>
          <w:szCs w:val="26"/>
        </w:rPr>
        <w:t xml:space="preserve"> </w:t>
      </w:r>
      <w:r>
        <w:rPr>
          <w:rFonts w:ascii="Arial" w:hAnsi="Arial" w:cs="Arial"/>
          <w:b/>
          <w:sz w:val="26"/>
          <w:szCs w:val="26"/>
        </w:rPr>
        <w:t xml:space="preserve">PRIMERA </w:t>
      </w:r>
      <w:r w:rsidRPr="00CB6405">
        <w:rPr>
          <w:rFonts w:ascii="Arial" w:hAnsi="Arial" w:cs="Arial"/>
          <w:b/>
          <w:sz w:val="26"/>
          <w:szCs w:val="26"/>
        </w:rPr>
        <w:t>SALA UNITARIA DE PRIMERA INSTANCIA</w:t>
      </w:r>
      <w:r>
        <w:rPr>
          <w:rFonts w:ascii="Arial" w:hAnsi="Arial" w:cs="Arial"/>
          <w:b/>
          <w:sz w:val="26"/>
          <w:szCs w:val="26"/>
        </w:rPr>
        <w:t>.</w:t>
      </w:r>
    </w:p>
    <w:p w:rsidR="009C144A" w:rsidRPr="00CB6405" w:rsidRDefault="009C144A" w:rsidP="008052C6">
      <w:pPr>
        <w:ind w:left="2124"/>
        <w:jc w:val="both"/>
        <w:rPr>
          <w:rFonts w:ascii="Arial" w:hAnsi="Arial" w:cs="Arial"/>
          <w:b/>
          <w:sz w:val="26"/>
          <w:szCs w:val="26"/>
        </w:rPr>
      </w:pPr>
    </w:p>
    <w:p w:rsidR="008052C6" w:rsidRDefault="008052C6" w:rsidP="008052C6">
      <w:pPr>
        <w:ind w:left="2124"/>
        <w:jc w:val="both"/>
        <w:rPr>
          <w:rFonts w:ascii="Arial" w:hAnsi="Arial" w:cs="Arial"/>
          <w:b/>
          <w:sz w:val="26"/>
          <w:szCs w:val="26"/>
        </w:rPr>
      </w:pPr>
      <w:r w:rsidRPr="00CB6405">
        <w:rPr>
          <w:rFonts w:ascii="Arial" w:hAnsi="Arial" w:cs="Arial"/>
          <w:b/>
          <w:sz w:val="26"/>
          <w:szCs w:val="26"/>
        </w:rPr>
        <w:t xml:space="preserve">PONENTE: </w:t>
      </w:r>
      <w:r>
        <w:rPr>
          <w:rFonts w:ascii="Arial" w:hAnsi="Arial" w:cs="Arial"/>
          <w:b/>
          <w:sz w:val="26"/>
          <w:szCs w:val="26"/>
        </w:rPr>
        <w:t>MAGISTRADO RAÚL PALOMARES PALOMINO.</w:t>
      </w:r>
    </w:p>
    <w:p w:rsidR="008052C6" w:rsidRPr="00CB6405" w:rsidRDefault="008052C6" w:rsidP="008052C6">
      <w:pPr>
        <w:ind w:left="2124"/>
        <w:jc w:val="both"/>
        <w:rPr>
          <w:rFonts w:ascii="Arial" w:hAnsi="Arial" w:cs="Arial"/>
          <w:b/>
          <w:sz w:val="26"/>
          <w:szCs w:val="26"/>
        </w:rPr>
      </w:pPr>
    </w:p>
    <w:p w:rsidR="009C144A" w:rsidRDefault="008052C6" w:rsidP="008052C6">
      <w:pPr>
        <w:spacing w:before="240" w:line="360" w:lineRule="auto"/>
        <w:jc w:val="both"/>
        <w:rPr>
          <w:rFonts w:ascii="Arial" w:hAnsi="Arial" w:cs="Arial"/>
          <w:b/>
          <w:sz w:val="26"/>
          <w:szCs w:val="26"/>
        </w:rPr>
      </w:pPr>
      <w:r>
        <w:rPr>
          <w:rFonts w:ascii="Arial" w:hAnsi="Arial" w:cs="Arial"/>
          <w:b/>
          <w:sz w:val="26"/>
          <w:szCs w:val="26"/>
        </w:rPr>
        <w:t>OAXACA DE JUÁREZ, OAXACA</w:t>
      </w:r>
      <w:r w:rsidR="009C144A">
        <w:rPr>
          <w:rFonts w:ascii="Arial" w:hAnsi="Arial" w:cs="Arial"/>
          <w:b/>
          <w:sz w:val="26"/>
          <w:szCs w:val="26"/>
        </w:rPr>
        <w:t xml:space="preserve">, A TRECE DE FEBRERO DE </w:t>
      </w:r>
      <w:r>
        <w:rPr>
          <w:rFonts w:ascii="Arial" w:hAnsi="Arial" w:cs="Arial"/>
          <w:b/>
          <w:sz w:val="26"/>
          <w:szCs w:val="26"/>
        </w:rPr>
        <w:t xml:space="preserve">DOS MIL VEINTE. </w:t>
      </w:r>
    </w:p>
    <w:p w:rsidR="008052C6" w:rsidRPr="00A85127" w:rsidRDefault="008052C6" w:rsidP="009C144A">
      <w:pPr>
        <w:spacing w:line="360" w:lineRule="auto"/>
        <w:ind w:firstLine="709"/>
        <w:jc w:val="both"/>
        <w:rPr>
          <w:rFonts w:ascii="Arial" w:hAnsi="Arial" w:cs="Arial"/>
          <w:b/>
          <w:sz w:val="26"/>
          <w:szCs w:val="26"/>
        </w:rPr>
      </w:pPr>
      <w:r>
        <w:rPr>
          <w:rFonts w:ascii="Arial" w:hAnsi="Arial" w:cs="Arial"/>
          <w:sz w:val="26"/>
          <w:szCs w:val="26"/>
        </w:rPr>
        <w:t>Se tiene por recibido el cuaderno de recurso de r</w:t>
      </w:r>
      <w:r w:rsidRPr="00CB6405">
        <w:rPr>
          <w:rFonts w:ascii="Arial" w:hAnsi="Arial" w:cs="Arial"/>
          <w:sz w:val="26"/>
          <w:szCs w:val="26"/>
        </w:rPr>
        <w:t xml:space="preserve">evisión </w:t>
      </w:r>
      <w:r>
        <w:rPr>
          <w:rFonts w:ascii="Arial" w:hAnsi="Arial" w:cs="Arial"/>
          <w:b/>
          <w:sz w:val="26"/>
          <w:szCs w:val="26"/>
        </w:rPr>
        <w:t>256/2019</w:t>
      </w:r>
      <w:r w:rsidRPr="00CB6405">
        <w:rPr>
          <w:rFonts w:ascii="Arial" w:hAnsi="Arial" w:cs="Arial"/>
          <w:sz w:val="26"/>
          <w:szCs w:val="26"/>
        </w:rPr>
        <w:t xml:space="preserve">, </w:t>
      </w:r>
      <w:r>
        <w:rPr>
          <w:rFonts w:ascii="Arial" w:hAnsi="Arial" w:cs="Arial"/>
          <w:sz w:val="26"/>
          <w:szCs w:val="26"/>
        </w:rPr>
        <w:t>remitido</w:t>
      </w:r>
      <w:r w:rsidRPr="00CB6405">
        <w:rPr>
          <w:rFonts w:ascii="Arial" w:hAnsi="Arial" w:cs="Arial"/>
          <w:sz w:val="26"/>
          <w:szCs w:val="26"/>
        </w:rPr>
        <w:t xml:space="preserve"> </w:t>
      </w:r>
      <w:r>
        <w:rPr>
          <w:rFonts w:ascii="Arial" w:hAnsi="Arial" w:cs="Arial"/>
          <w:sz w:val="26"/>
          <w:szCs w:val="26"/>
        </w:rPr>
        <w:t xml:space="preserve">por </w:t>
      </w:r>
      <w:r w:rsidRPr="00CB6405">
        <w:rPr>
          <w:rFonts w:ascii="Arial" w:hAnsi="Arial" w:cs="Arial"/>
          <w:sz w:val="26"/>
          <w:szCs w:val="26"/>
        </w:rPr>
        <w:t>la Secretaría General de Acuerdos, con motivo del recurso de revisión interpuesto por</w:t>
      </w:r>
      <w:r>
        <w:rPr>
          <w:rFonts w:ascii="Arial" w:hAnsi="Arial" w:cs="Arial"/>
          <w:sz w:val="26"/>
          <w:szCs w:val="26"/>
        </w:rPr>
        <w:t xml:space="preserve"> la</w:t>
      </w:r>
      <w:r>
        <w:rPr>
          <w:rFonts w:ascii="Arial" w:hAnsi="Arial" w:cs="Arial"/>
          <w:b/>
          <w:sz w:val="26"/>
          <w:szCs w:val="26"/>
        </w:rPr>
        <w:t xml:space="preserve"> </w:t>
      </w:r>
      <w:r w:rsidR="00C24355">
        <w:rPr>
          <w:rFonts w:ascii="Arial" w:hAnsi="Arial" w:cs="Arial"/>
          <w:b/>
          <w:sz w:val="24"/>
          <w:szCs w:val="24"/>
        </w:rPr>
        <w:t>************</w:t>
      </w:r>
      <w:r>
        <w:rPr>
          <w:rFonts w:ascii="Arial" w:hAnsi="Arial" w:cs="Arial"/>
          <w:b/>
          <w:sz w:val="26"/>
          <w:szCs w:val="26"/>
        </w:rPr>
        <w:t xml:space="preserve">, </w:t>
      </w:r>
      <w:r w:rsidRPr="00CB6405">
        <w:rPr>
          <w:rFonts w:ascii="Arial" w:hAnsi="Arial" w:cs="Arial"/>
          <w:sz w:val="26"/>
          <w:szCs w:val="26"/>
        </w:rPr>
        <w:t xml:space="preserve"> en contra </w:t>
      </w:r>
      <w:r>
        <w:rPr>
          <w:rFonts w:ascii="Arial" w:hAnsi="Arial" w:cs="Arial"/>
          <w:sz w:val="26"/>
          <w:szCs w:val="26"/>
        </w:rPr>
        <w:t>del acuerdo de veinticuatro de junio de dos mil diecinueve, dictada</w:t>
      </w:r>
      <w:r w:rsidRPr="00CB6405">
        <w:rPr>
          <w:rFonts w:ascii="Arial" w:hAnsi="Arial" w:cs="Arial"/>
          <w:sz w:val="26"/>
          <w:szCs w:val="26"/>
        </w:rPr>
        <w:t xml:space="preserve"> en el expediente </w:t>
      </w:r>
      <w:r>
        <w:rPr>
          <w:rFonts w:ascii="Arial" w:hAnsi="Arial" w:cs="Arial"/>
          <w:b/>
          <w:sz w:val="26"/>
          <w:szCs w:val="26"/>
        </w:rPr>
        <w:t>015/2019</w:t>
      </w:r>
      <w:r w:rsidRPr="00CB6405">
        <w:rPr>
          <w:rFonts w:ascii="Arial" w:hAnsi="Arial" w:cs="Arial"/>
          <w:b/>
          <w:sz w:val="26"/>
          <w:szCs w:val="26"/>
        </w:rPr>
        <w:t xml:space="preserve"> </w:t>
      </w:r>
      <w:r w:rsidRPr="00CB6405">
        <w:rPr>
          <w:rFonts w:ascii="Arial" w:hAnsi="Arial" w:cs="Arial"/>
          <w:sz w:val="26"/>
          <w:szCs w:val="26"/>
        </w:rPr>
        <w:t>de</w:t>
      </w:r>
      <w:r>
        <w:rPr>
          <w:rFonts w:ascii="Arial" w:hAnsi="Arial" w:cs="Arial"/>
          <w:sz w:val="26"/>
          <w:szCs w:val="26"/>
        </w:rPr>
        <w:t>l índice de</w:t>
      </w:r>
      <w:r w:rsidRPr="00CB6405">
        <w:rPr>
          <w:rFonts w:ascii="Arial" w:hAnsi="Arial" w:cs="Arial"/>
          <w:sz w:val="26"/>
          <w:szCs w:val="26"/>
        </w:rPr>
        <w:t xml:space="preserve"> la </w:t>
      </w:r>
      <w:r>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Pr>
          <w:rFonts w:ascii="Arial" w:hAnsi="Arial" w:cs="Arial"/>
          <w:b/>
          <w:sz w:val="26"/>
          <w:szCs w:val="26"/>
        </w:rPr>
        <w:t xml:space="preserve"> </w:t>
      </w:r>
      <w:r w:rsidR="00C24355">
        <w:rPr>
          <w:rFonts w:ascii="Arial" w:hAnsi="Arial" w:cs="Arial"/>
          <w:b/>
          <w:sz w:val="24"/>
          <w:szCs w:val="24"/>
        </w:rPr>
        <w:t>************</w:t>
      </w:r>
      <w:r>
        <w:rPr>
          <w:rFonts w:ascii="Arial" w:hAnsi="Arial" w:cs="Arial"/>
          <w:b/>
          <w:sz w:val="26"/>
          <w:szCs w:val="26"/>
        </w:rPr>
        <w:t xml:space="preserve">, </w:t>
      </w:r>
      <w:r w:rsidRPr="006B6D39">
        <w:rPr>
          <w:rFonts w:ascii="Arial" w:hAnsi="Arial" w:cs="Arial"/>
          <w:sz w:val="26"/>
          <w:szCs w:val="26"/>
        </w:rPr>
        <w:t>en contra del</w:t>
      </w:r>
      <w:r>
        <w:rPr>
          <w:rFonts w:ascii="Arial" w:hAnsi="Arial" w:cs="Arial"/>
          <w:b/>
          <w:sz w:val="26"/>
          <w:szCs w:val="26"/>
        </w:rPr>
        <w:t xml:space="preserve"> </w:t>
      </w:r>
      <w:r>
        <w:rPr>
          <w:rFonts w:ascii="Arial" w:hAnsi="Arial" w:cs="Arial"/>
          <w:b/>
          <w:bCs/>
          <w:sz w:val="26"/>
          <w:szCs w:val="26"/>
        </w:rPr>
        <w:t>POLICÍA VIAL DE LA COMISARIA DE VIALIDAD DEL MUNICIPIO DE SANTA LUCIA, OAXACA</w:t>
      </w:r>
      <w:r w:rsidRPr="006B3BEA">
        <w:rPr>
          <w:rFonts w:ascii="Arial" w:hAnsi="Arial" w:cs="Arial"/>
          <w:sz w:val="26"/>
          <w:szCs w:val="26"/>
        </w:rPr>
        <w:t>;</w:t>
      </w:r>
      <w:r w:rsidRPr="00CB6405">
        <w:rPr>
          <w:rFonts w:ascii="Arial" w:hAnsi="Arial" w:cs="Arial"/>
          <w:b/>
          <w:sz w:val="26"/>
          <w:szCs w:val="26"/>
        </w:rPr>
        <w:t xml:space="preserve"> </w:t>
      </w:r>
      <w:r>
        <w:rPr>
          <w:rFonts w:ascii="Arial" w:hAnsi="Arial" w:cs="Arial"/>
          <w:sz w:val="26"/>
          <w:szCs w:val="26"/>
        </w:rPr>
        <w:t>por lo que, con fundamento en los artículos 236 y 237 de la Ley de Procedimiento y Justicia Administrativa para el Estado de Oaxaca vigente, se admite. Por consiguiente, se procede a dictar resolución en los siguientes términos:</w:t>
      </w:r>
    </w:p>
    <w:p w:rsidR="008052C6" w:rsidRPr="00CB6405" w:rsidRDefault="008052C6" w:rsidP="008052C6">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8052C6" w:rsidRPr="00CB6405" w:rsidRDefault="008052C6" w:rsidP="008052C6">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el acuerdo de veinticuatro de junio de dos mil diecinueve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Sala Unitaria de Primera Instancia,</w:t>
      </w:r>
      <w:r>
        <w:rPr>
          <w:rFonts w:ascii="Arial" w:hAnsi="Arial" w:cs="Arial"/>
          <w:b/>
          <w:sz w:val="26"/>
          <w:szCs w:val="26"/>
        </w:rPr>
        <w:t xml:space="preserve"> </w:t>
      </w:r>
      <w:r w:rsidR="00C24355">
        <w:rPr>
          <w:rFonts w:ascii="Arial" w:hAnsi="Arial" w:cs="Arial"/>
          <w:b/>
          <w:sz w:val="24"/>
          <w:szCs w:val="24"/>
        </w:rPr>
        <w:t>************</w:t>
      </w:r>
      <w:r>
        <w:rPr>
          <w:rFonts w:ascii="Arial" w:hAnsi="Arial" w:cs="Arial"/>
          <w:b/>
          <w:sz w:val="26"/>
          <w:szCs w:val="26"/>
        </w:rPr>
        <w:t>,</w:t>
      </w:r>
      <w:r w:rsidRPr="00CB6405">
        <w:rPr>
          <w:rFonts w:ascii="Arial" w:hAnsi="Arial" w:cs="Arial"/>
          <w:sz w:val="26"/>
          <w:szCs w:val="26"/>
        </w:rPr>
        <w:t xml:space="preserve"> interpuso en su contra recurso de revisión.</w:t>
      </w:r>
    </w:p>
    <w:p w:rsidR="008052C6" w:rsidRDefault="008052C6" w:rsidP="008052C6">
      <w:pPr>
        <w:spacing w:line="360" w:lineRule="auto"/>
        <w:ind w:firstLine="708"/>
        <w:jc w:val="both"/>
        <w:rPr>
          <w:rFonts w:ascii="Arial" w:hAnsi="Arial" w:cs="Arial"/>
          <w:bCs/>
          <w:sz w:val="26"/>
          <w:szCs w:val="26"/>
        </w:rPr>
      </w:pPr>
      <w:r>
        <w:rPr>
          <w:rFonts w:ascii="Arial" w:hAnsi="Arial" w:cs="Arial"/>
          <w:b/>
          <w:bCs/>
          <w:sz w:val="26"/>
          <w:szCs w:val="26"/>
        </w:rPr>
        <w:t>SEGUNDO.</w:t>
      </w:r>
      <w:r w:rsidRPr="006E349D">
        <w:rPr>
          <w:rFonts w:ascii="Arial" w:hAnsi="Arial" w:cs="Arial"/>
          <w:b/>
          <w:bCs/>
          <w:sz w:val="26"/>
          <w:szCs w:val="26"/>
        </w:rPr>
        <w:t xml:space="preserve"> </w:t>
      </w:r>
      <w:r w:rsidRPr="00C37A09">
        <w:rPr>
          <w:rFonts w:ascii="Arial" w:hAnsi="Arial" w:cs="Arial"/>
          <w:bCs/>
          <w:sz w:val="26"/>
          <w:szCs w:val="26"/>
        </w:rPr>
        <w:t>Los puntos resolutivos d</w:t>
      </w:r>
      <w:r>
        <w:rPr>
          <w:rFonts w:ascii="Arial" w:hAnsi="Arial" w:cs="Arial"/>
          <w:bCs/>
          <w:sz w:val="26"/>
          <w:szCs w:val="26"/>
        </w:rPr>
        <w:t>el acuerdo</w:t>
      </w:r>
      <w:r w:rsidRPr="00C37A09">
        <w:rPr>
          <w:rFonts w:ascii="Arial" w:hAnsi="Arial" w:cs="Arial"/>
          <w:bCs/>
          <w:sz w:val="26"/>
          <w:szCs w:val="26"/>
        </w:rPr>
        <w:t xml:space="preserve"> recurrid</w:t>
      </w:r>
      <w:r>
        <w:rPr>
          <w:rFonts w:ascii="Arial" w:hAnsi="Arial" w:cs="Arial"/>
          <w:bCs/>
          <w:sz w:val="26"/>
          <w:szCs w:val="26"/>
        </w:rPr>
        <w:t>o</w:t>
      </w:r>
      <w:r w:rsidRPr="00C37A09">
        <w:rPr>
          <w:rFonts w:ascii="Arial" w:hAnsi="Arial" w:cs="Arial"/>
          <w:bCs/>
          <w:sz w:val="26"/>
          <w:szCs w:val="26"/>
        </w:rPr>
        <w:t xml:space="preserve"> son </w:t>
      </w:r>
      <w:r>
        <w:rPr>
          <w:rFonts w:ascii="Arial" w:hAnsi="Arial" w:cs="Arial"/>
          <w:bCs/>
          <w:sz w:val="26"/>
          <w:szCs w:val="26"/>
        </w:rPr>
        <w:t>los siguientes:</w:t>
      </w:r>
    </w:p>
    <w:p w:rsidR="008052C6" w:rsidRDefault="008052C6" w:rsidP="008052C6">
      <w:pPr>
        <w:widowControl w:val="0"/>
        <w:tabs>
          <w:tab w:val="left" w:pos="7938"/>
        </w:tabs>
        <w:spacing w:before="240" w:line="360" w:lineRule="auto"/>
        <w:ind w:left="1134" w:right="616"/>
        <w:jc w:val="both"/>
        <w:rPr>
          <w:rFonts w:ascii="Arial" w:eastAsia="Times New Roman" w:hAnsi="Arial" w:cs="Arial"/>
          <w:b/>
          <w:bCs/>
          <w:i/>
          <w:iCs/>
          <w:sz w:val="24"/>
          <w:szCs w:val="24"/>
          <w:lang w:eastAsia="es-ES"/>
        </w:rPr>
      </w:pPr>
      <w:r w:rsidRPr="0056327D">
        <w:rPr>
          <w:rFonts w:ascii="Arial" w:eastAsia="Times New Roman" w:hAnsi="Arial" w:cs="Arial"/>
          <w:bCs/>
          <w:i/>
          <w:iCs/>
          <w:sz w:val="24"/>
          <w:szCs w:val="24"/>
          <w:lang w:eastAsia="es-ES"/>
        </w:rPr>
        <w:t>“… Se recibió en la Oficialía de Partes Común de este Tribunal el día veinte de junio del año en curso, el escrito de Edgar Antonio García Guzmán. Visto su contenido,</w:t>
      </w:r>
      <w:r>
        <w:rPr>
          <w:rFonts w:ascii="Arial" w:eastAsia="Times New Roman" w:hAnsi="Arial" w:cs="Arial"/>
          <w:b/>
          <w:bCs/>
          <w:i/>
          <w:iCs/>
          <w:sz w:val="24"/>
          <w:szCs w:val="24"/>
          <w:lang w:eastAsia="es-ES"/>
        </w:rPr>
        <w:t xml:space="preserve"> </w:t>
      </w:r>
      <w:r w:rsidRPr="0056327D">
        <w:rPr>
          <w:rFonts w:ascii="Arial" w:eastAsia="Times New Roman" w:hAnsi="Arial" w:cs="Arial"/>
          <w:i/>
          <w:iCs/>
          <w:sz w:val="24"/>
          <w:szCs w:val="24"/>
          <w:lang w:eastAsia="es-ES"/>
        </w:rPr>
        <w:t xml:space="preserve">tomando en consideración la certificación secretarial que inmediatamente antecede, con fundamento en lo dispuesto por el </w:t>
      </w:r>
      <w:bookmarkStart w:id="1" w:name="_GoBack"/>
      <w:bookmarkEnd w:id="1"/>
      <w:r w:rsidR="00823F25" w:rsidRPr="0056327D">
        <w:rPr>
          <w:rFonts w:ascii="Arial" w:eastAsia="Times New Roman" w:hAnsi="Arial" w:cs="Arial"/>
          <w:i/>
          <w:iCs/>
          <w:sz w:val="24"/>
          <w:szCs w:val="24"/>
          <w:lang w:eastAsia="es-ES"/>
        </w:rPr>
        <w:t>artículo</w:t>
      </w:r>
      <w:r w:rsidRPr="0056327D">
        <w:rPr>
          <w:rFonts w:ascii="Arial" w:eastAsia="Times New Roman" w:hAnsi="Arial" w:cs="Arial"/>
          <w:i/>
          <w:iCs/>
          <w:sz w:val="24"/>
          <w:szCs w:val="24"/>
          <w:lang w:eastAsia="es-ES"/>
        </w:rPr>
        <w:t xml:space="preserve"> 180 de la Ley de Procedimiento y Justicia Administrativa para el Estado de Oaxaca, se tiene al actor cumpliendo su escrito inicial de demanda dentro del término concedido para ello, por lo que con copia del escrito de cuenta y anexos</w:t>
      </w:r>
      <w:r>
        <w:rPr>
          <w:rFonts w:ascii="Arial" w:eastAsia="Times New Roman" w:hAnsi="Arial" w:cs="Arial"/>
          <w:b/>
          <w:bCs/>
          <w:i/>
          <w:iCs/>
          <w:sz w:val="24"/>
          <w:szCs w:val="24"/>
          <w:lang w:eastAsia="es-ES"/>
        </w:rPr>
        <w:t xml:space="preserve">, córrase traslado </w:t>
      </w:r>
      <w:r w:rsidRPr="0056327D">
        <w:rPr>
          <w:rFonts w:ascii="Arial" w:eastAsia="Times New Roman" w:hAnsi="Arial" w:cs="Arial"/>
          <w:i/>
          <w:iCs/>
          <w:sz w:val="24"/>
          <w:szCs w:val="24"/>
          <w:lang w:eastAsia="es-ES"/>
        </w:rPr>
        <w:t>a la autoridad demandada, para que dentro del plazo de</w:t>
      </w:r>
      <w:r>
        <w:rPr>
          <w:rFonts w:ascii="Arial" w:eastAsia="Times New Roman" w:hAnsi="Arial" w:cs="Arial"/>
          <w:b/>
          <w:bCs/>
          <w:i/>
          <w:iCs/>
          <w:sz w:val="24"/>
          <w:szCs w:val="24"/>
          <w:lang w:eastAsia="es-ES"/>
        </w:rPr>
        <w:t xml:space="preserve"> CINCO DÍAS HÁBILES,  </w:t>
      </w:r>
      <w:r w:rsidRPr="0056327D">
        <w:rPr>
          <w:rFonts w:ascii="Arial" w:eastAsia="Times New Roman" w:hAnsi="Arial" w:cs="Arial"/>
          <w:i/>
          <w:iCs/>
          <w:sz w:val="24"/>
          <w:szCs w:val="24"/>
          <w:lang w:eastAsia="es-ES"/>
        </w:rPr>
        <w:t xml:space="preserve">contados a partir del siguiente al en que surta efectos la notificación del presente acuerdo, </w:t>
      </w:r>
      <w:r w:rsidRPr="0056327D">
        <w:rPr>
          <w:rFonts w:ascii="Arial" w:eastAsia="Times New Roman" w:hAnsi="Arial" w:cs="Arial"/>
          <w:i/>
          <w:iCs/>
          <w:sz w:val="24"/>
          <w:szCs w:val="24"/>
          <w:lang w:eastAsia="es-ES"/>
        </w:rPr>
        <w:lastRenderedPageBreak/>
        <w:t xml:space="preserve">formule su contestación a la ampliación de demanda, apercibido que de no hacerlo dentro del pazo concedido para ello de oficio se declarara precluido su derecho procesal y por contestada la ampliación de la demanda en sentido afirmativo, salvo prueba en contrario, en términos del </w:t>
      </w:r>
      <w:r w:rsidR="009C144A" w:rsidRPr="0056327D">
        <w:rPr>
          <w:rFonts w:ascii="Arial" w:eastAsia="Times New Roman" w:hAnsi="Arial" w:cs="Arial"/>
          <w:i/>
          <w:iCs/>
          <w:sz w:val="24"/>
          <w:szCs w:val="24"/>
          <w:lang w:eastAsia="es-ES"/>
        </w:rPr>
        <w:t>artículo</w:t>
      </w:r>
      <w:r w:rsidRPr="0056327D">
        <w:rPr>
          <w:rFonts w:ascii="Arial" w:eastAsia="Times New Roman" w:hAnsi="Arial" w:cs="Arial"/>
          <w:i/>
          <w:iCs/>
          <w:sz w:val="24"/>
          <w:szCs w:val="24"/>
          <w:lang w:eastAsia="es-ES"/>
        </w:rPr>
        <w:t xml:space="preserve"> 183 de la Ley invocada.</w:t>
      </w:r>
      <w:r>
        <w:rPr>
          <w:rFonts w:ascii="Arial" w:eastAsia="Times New Roman" w:hAnsi="Arial" w:cs="Arial"/>
          <w:b/>
          <w:bCs/>
          <w:i/>
          <w:iCs/>
          <w:sz w:val="24"/>
          <w:szCs w:val="24"/>
          <w:lang w:eastAsia="es-ES"/>
        </w:rPr>
        <w:t xml:space="preserve"> - - - - - - - - - - - - - - - - - - - - - - - - - - - - - - - - -</w:t>
      </w:r>
    </w:p>
    <w:p w:rsidR="008052C6" w:rsidRDefault="008052C6" w:rsidP="008052C6">
      <w:pPr>
        <w:widowControl w:val="0"/>
        <w:tabs>
          <w:tab w:val="left" w:pos="7938"/>
        </w:tabs>
        <w:spacing w:before="240" w:line="360" w:lineRule="auto"/>
        <w:ind w:left="1134" w:right="616"/>
        <w:jc w:val="both"/>
        <w:rPr>
          <w:rFonts w:ascii="Arial" w:eastAsia="Times New Roman" w:hAnsi="Arial" w:cs="Arial"/>
          <w:bCs/>
          <w:i/>
          <w:iCs/>
          <w:sz w:val="24"/>
          <w:szCs w:val="24"/>
          <w:lang w:eastAsia="es-ES"/>
        </w:rPr>
      </w:pPr>
      <w:r>
        <w:rPr>
          <w:rFonts w:ascii="Arial" w:eastAsia="Times New Roman" w:hAnsi="Arial" w:cs="Arial"/>
          <w:bCs/>
          <w:i/>
          <w:iCs/>
          <w:sz w:val="24"/>
          <w:szCs w:val="24"/>
          <w:lang w:eastAsia="es-ES"/>
        </w:rPr>
        <w:t xml:space="preserve">Conforme en el (sic) dispuesto en los artículos 172 fracción I y 173 fracciones I y II de la Ley de Procedimiento y Justicia Administrativa para el Estado de Oaxaca. NOTIFÍQUESE PERSONALMENTE AL ACTOR Y POR OFICIO A LAS AUTORIDADES DEMANDADAS. CÚMPLASE. - - - - - - - - - -  </w:t>
      </w:r>
    </w:p>
    <w:p w:rsidR="008052C6" w:rsidRPr="00CB6405" w:rsidRDefault="008052C6" w:rsidP="008052C6">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8052C6" w:rsidRDefault="008052C6" w:rsidP="008052C6">
      <w:pPr>
        <w:spacing w:before="240" w:line="360" w:lineRule="auto"/>
        <w:ind w:firstLine="708"/>
        <w:jc w:val="both"/>
        <w:rPr>
          <w:rFonts w:ascii="Arial" w:hAnsi="Arial" w:cs="Arial"/>
          <w:b/>
          <w:bCs/>
          <w:iCs/>
          <w:sz w:val="26"/>
          <w:szCs w:val="26"/>
        </w:rPr>
      </w:pPr>
      <w:r w:rsidRPr="006E349D">
        <w:rPr>
          <w:rFonts w:ascii="Arial" w:hAnsi="Arial" w:cs="Arial"/>
          <w:b/>
          <w:bCs/>
          <w:iCs/>
          <w:sz w:val="26"/>
          <w:szCs w:val="26"/>
        </w:rPr>
        <w:t xml:space="preserve">PRIMERO. </w:t>
      </w:r>
      <w:r w:rsidRPr="00403CFB">
        <w:rPr>
          <w:rFonts w:ascii="Arial" w:hAnsi="Arial" w:cs="Arial"/>
          <w:bCs/>
          <w:iCs/>
          <w:sz w:val="26"/>
          <w:szCs w:val="26"/>
        </w:rPr>
        <w:t xml:space="preserve">Esta Sala Superior es competente para conocer del presente asunto, </w:t>
      </w:r>
      <w:r>
        <w:rPr>
          <w:rFonts w:ascii="Arial" w:hAnsi="Arial" w:cs="Arial"/>
          <w:bCs/>
          <w:iCs/>
          <w:sz w:val="26"/>
          <w:szCs w:val="26"/>
        </w:rPr>
        <w:t>conforme a</w:t>
      </w:r>
      <w:r w:rsidRPr="00403CFB">
        <w:rPr>
          <w:rFonts w:ascii="Arial" w:hAnsi="Arial" w:cs="Arial"/>
          <w:bCs/>
          <w:iCs/>
          <w:sz w:val="26"/>
          <w:szCs w:val="26"/>
        </w:rPr>
        <w:t xml:space="preserve"> lo dispuesto por los artículos 114 QUÁTER de la Constitución Política del Estado Libre y Soberano de Oaxaca;</w:t>
      </w:r>
      <w:r>
        <w:rPr>
          <w:rFonts w:ascii="Arial" w:hAnsi="Arial" w:cs="Arial"/>
          <w:bCs/>
          <w:iCs/>
          <w:sz w:val="26"/>
          <w:szCs w:val="26"/>
        </w:rPr>
        <w:t xml:space="preserve"> </w:t>
      </w:r>
      <w:r w:rsidRPr="00455424">
        <w:rPr>
          <w:rFonts w:ascii="Arial" w:hAnsi="Arial" w:cs="Arial"/>
          <w:bCs/>
          <w:iCs/>
          <w:sz w:val="26"/>
          <w:szCs w:val="26"/>
        </w:rPr>
        <w:t>1 párrafo segundo, 2 párrafos primero y cuarto, 4 fracción VIII, 2</w:t>
      </w:r>
      <w:r>
        <w:rPr>
          <w:rFonts w:ascii="Arial" w:hAnsi="Arial" w:cs="Arial"/>
          <w:bCs/>
          <w:iCs/>
          <w:sz w:val="26"/>
          <w:szCs w:val="26"/>
        </w:rPr>
        <w:t>3, 24 fracción I, 25 fracción I y</w:t>
      </w:r>
      <w:r w:rsidRPr="00455424">
        <w:rPr>
          <w:rFonts w:ascii="Arial" w:hAnsi="Arial" w:cs="Arial"/>
          <w:bCs/>
          <w:iCs/>
          <w:sz w:val="26"/>
          <w:szCs w:val="26"/>
        </w:rPr>
        <w:t xml:space="preserve"> 27 de la Ley Orgánica del Tribunal de Justicia Administrativa del Estado de Oaxaca, publicada en el Periódico Oficial del Estado de Oaxaca el siete de noviembre de dos mil diecinueve;</w:t>
      </w:r>
      <w:r>
        <w:rPr>
          <w:rFonts w:ascii="Arial" w:hAnsi="Arial" w:cs="Arial"/>
          <w:bCs/>
          <w:iCs/>
          <w:sz w:val="26"/>
          <w:szCs w:val="26"/>
        </w:rPr>
        <w:t xml:space="preserve"> </w:t>
      </w:r>
      <w:r w:rsidRPr="00403CFB">
        <w:rPr>
          <w:rFonts w:ascii="Arial" w:hAnsi="Arial" w:cs="Arial"/>
          <w:bCs/>
          <w:iCs/>
          <w:sz w:val="26"/>
          <w:szCs w:val="26"/>
          <w:lang w:eastAsia="es-ES"/>
        </w:rPr>
        <w:t>125</w:t>
      </w:r>
      <w:r>
        <w:rPr>
          <w:rFonts w:ascii="Arial" w:hAnsi="Arial" w:cs="Arial"/>
          <w:bCs/>
          <w:iCs/>
          <w:sz w:val="26"/>
          <w:szCs w:val="26"/>
        </w:rPr>
        <w:t xml:space="preserve">, 127, 129, 130 </w:t>
      </w:r>
      <w:r w:rsidRPr="00403CFB">
        <w:rPr>
          <w:rFonts w:ascii="Arial" w:hAnsi="Arial" w:cs="Arial"/>
          <w:bCs/>
          <w:iCs/>
          <w:sz w:val="26"/>
          <w:szCs w:val="26"/>
        </w:rPr>
        <w:t xml:space="preserve">fracción I, 131, 231, 236 </w:t>
      </w:r>
      <w:r>
        <w:rPr>
          <w:rFonts w:ascii="Arial" w:hAnsi="Arial" w:cs="Arial"/>
          <w:bCs/>
          <w:iCs/>
          <w:sz w:val="26"/>
          <w:szCs w:val="26"/>
        </w:rPr>
        <w:t xml:space="preserve">fracción VII </w:t>
      </w:r>
      <w:r w:rsidRPr="00403CFB">
        <w:rPr>
          <w:rFonts w:ascii="Arial" w:hAnsi="Arial" w:cs="Arial"/>
          <w:bCs/>
          <w:iCs/>
          <w:sz w:val="26"/>
          <w:szCs w:val="26"/>
        </w:rPr>
        <w:t xml:space="preserve">y 238 de la Ley de Procedimiento y Justicia Administrativa para el Estado de </w:t>
      </w:r>
      <w:r>
        <w:rPr>
          <w:rFonts w:ascii="Arial" w:hAnsi="Arial" w:cs="Arial"/>
          <w:bCs/>
          <w:iCs/>
          <w:sz w:val="26"/>
          <w:szCs w:val="26"/>
        </w:rPr>
        <w:t>Oaxaca, dado que se trata de un r</w:t>
      </w:r>
      <w:r w:rsidRPr="00403CFB">
        <w:rPr>
          <w:rFonts w:ascii="Arial" w:hAnsi="Arial" w:cs="Arial"/>
          <w:bCs/>
          <w:iCs/>
          <w:sz w:val="26"/>
          <w:szCs w:val="26"/>
        </w:rPr>
        <w:t>ecurso</w:t>
      </w:r>
      <w:r>
        <w:rPr>
          <w:rFonts w:ascii="Arial" w:hAnsi="Arial" w:cs="Arial"/>
          <w:bCs/>
          <w:iCs/>
          <w:sz w:val="26"/>
          <w:szCs w:val="26"/>
        </w:rPr>
        <w:t xml:space="preserve"> de r</w:t>
      </w:r>
      <w:r w:rsidRPr="00403CFB">
        <w:rPr>
          <w:rFonts w:ascii="Arial" w:hAnsi="Arial" w:cs="Arial"/>
          <w:bCs/>
          <w:iCs/>
          <w:sz w:val="26"/>
          <w:szCs w:val="26"/>
        </w:rPr>
        <w:t>evisión interpuesto</w:t>
      </w:r>
      <w:r>
        <w:rPr>
          <w:rFonts w:ascii="Arial" w:hAnsi="Arial" w:cs="Arial"/>
          <w:bCs/>
          <w:iCs/>
          <w:sz w:val="26"/>
          <w:szCs w:val="26"/>
        </w:rPr>
        <w:t xml:space="preserve"> en contra del acuerdo de veinticuatro de junio de dos mil diecinueve</w:t>
      </w:r>
      <w:r w:rsidRPr="00CB6405">
        <w:rPr>
          <w:rFonts w:ascii="Arial" w:hAnsi="Arial" w:cs="Arial"/>
          <w:sz w:val="26"/>
          <w:szCs w:val="26"/>
        </w:rPr>
        <w:t>, dictad</w:t>
      </w:r>
      <w:r>
        <w:rPr>
          <w:rFonts w:ascii="Arial" w:hAnsi="Arial" w:cs="Arial"/>
          <w:sz w:val="26"/>
          <w:szCs w:val="26"/>
        </w:rPr>
        <w:t xml:space="preserve">o </w:t>
      </w:r>
      <w:r w:rsidRPr="00CB6405">
        <w:rPr>
          <w:rFonts w:ascii="Arial" w:hAnsi="Arial" w:cs="Arial"/>
          <w:sz w:val="26"/>
          <w:szCs w:val="26"/>
        </w:rPr>
        <w:t xml:space="preserve">por la </w:t>
      </w:r>
      <w:r>
        <w:rPr>
          <w:rFonts w:ascii="Arial" w:hAnsi="Arial" w:cs="Arial"/>
          <w:sz w:val="26"/>
          <w:szCs w:val="26"/>
        </w:rPr>
        <w:t xml:space="preserve">Primera </w:t>
      </w:r>
      <w:r w:rsidRPr="00CB6405">
        <w:rPr>
          <w:rFonts w:ascii="Arial" w:hAnsi="Arial" w:cs="Arial"/>
          <w:sz w:val="26"/>
          <w:szCs w:val="26"/>
        </w:rPr>
        <w:t>Sal</w:t>
      </w:r>
      <w:r>
        <w:rPr>
          <w:rFonts w:ascii="Arial" w:hAnsi="Arial" w:cs="Arial"/>
          <w:sz w:val="26"/>
          <w:szCs w:val="26"/>
        </w:rPr>
        <w:t xml:space="preserve">a Unitaria de Primera Instancia </w:t>
      </w:r>
      <w:r>
        <w:rPr>
          <w:rFonts w:ascii="Arial" w:hAnsi="Arial" w:cs="Arial"/>
          <w:bCs/>
          <w:iCs/>
          <w:sz w:val="26"/>
          <w:szCs w:val="26"/>
        </w:rPr>
        <w:t xml:space="preserve">de este Tribunal, en el juicio de nulidad </w:t>
      </w:r>
      <w:r>
        <w:rPr>
          <w:rFonts w:ascii="Arial" w:hAnsi="Arial" w:cs="Arial"/>
          <w:b/>
          <w:bCs/>
          <w:iCs/>
          <w:sz w:val="26"/>
          <w:szCs w:val="26"/>
        </w:rPr>
        <w:t>015/2019</w:t>
      </w:r>
      <w:r w:rsidRPr="00DD4D5B">
        <w:rPr>
          <w:rFonts w:ascii="Arial" w:hAnsi="Arial" w:cs="Arial"/>
          <w:b/>
          <w:bCs/>
          <w:iCs/>
          <w:sz w:val="26"/>
          <w:szCs w:val="26"/>
        </w:rPr>
        <w:t>.</w:t>
      </w:r>
    </w:p>
    <w:p w:rsidR="008052C6" w:rsidRDefault="008052C6" w:rsidP="008052C6">
      <w:pPr>
        <w:pStyle w:val="NormalWeb"/>
        <w:spacing w:line="360" w:lineRule="auto"/>
        <w:ind w:firstLine="708"/>
        <w:jc w:val="both"/>
        <w:rPr>
          <w:rFonts w:ascii="Arial" w:eastAsia="Calibri" w:hAnsi="Arial" w:cs="Arial"/>
          <w:bCs/>
          <w:sz w:val="26"/>
          <w:szCs w:val="26"/>
        </w:rPr>
      </w:pPr>
      <w:r w:rsidRPr="00CB6405">
        <w:rPr>
          <w:rFonts w:ascii="Arial" w:hAnsi="Arial" w:cs="Arial"/>
          <w:b/>
          <w:sz w:val="26"/>
          <w:szCs w:val="26"/>
        </w:rPr>
        <w:t>SEGUNDO</w:t>
      </w:r>
      <w:r w:rsidRPr="00CB6405">
        <w:rPr>
          <w:rFonts w:ascii="Arial" w:hAnsi="Arial" w:cs="Arial"/>
          <w:sz w:val="26"/>
          <w:szCs w:val="26"/>
        </w:rPr>
        <w:t>.</w:t>
      </w:r>
      <w:r w:rsidRPr="00372D3D">
        <w:rPr>
          <w:rFonts w:ascii="Arial" w:eastAsia="Calibri" w:hAnsi="Arial" w:cs="Arial"/>
          <w:b/>
          <w:bCs/>
          <w:sz w:val="26"/>
          <w:szCs w:val="26"/>
        </w:rPr>
        <w:t xml:space="preserve"> </w:t>
      </w:r>
      <w:r w:rsidRPr="00D75DC7">
        <w:rPr>
          <w:rFonts w:ascii="Arial" w:eastAsia="Calibri" w:hAnsi="Arial" w:cs="Arial"/>
          <w:bCs/>
          <w:sz w:val="26"/>
          <w:szCs w:val="26"/>
        </w:rPr>
        <w:t>E</w:t>
      </w:r>
      <w:r>
        <w:rPr>
          <w:rFonts w:ascii="Arial" w:eastAsia="Calibri" w:hAnsi="Arial" w:cs="Arial"/>
          <w:bCs/>
          <w:sz w:val="26"/>
          <w:szCs w:val="26"/>
        </w:rPr>
        <w:t>l artículo 206</w:t>
      </w:r>
      <w:r>
        <w:rPr>
          <w:rStyle w:val="Refdenotaalpie"/>
          <w:rFonts w:ascii="Arial" w:eastAsia="Calibri" w:hAnsi="Arial" w:cs="Arial"/>
          <w:bCs/>
          <w:sz w:val="26"/>
          <w:szCs w:val="26"/>
        </w:rPr>
        <w:footnoteReference w:id="1"/>
      </w:r>
      <w:r w:rsidRPr="00DC6CDC">
        <w:rPr>
          <w:rFonts w:ascii="Arial" w:eastAsia="Calibri" w:hAnsi="Arial" w:cs="Arial"/>
          <w:bCs/>
          <w:sz w:val="26"/>
          <w:szCs w:val="26"/>
        </w:rPr>
        <w:t xml:space="preserve"> </w:t>
      </w:r>
      <w:r>
        <w:rPr>
          <w:rFonts w:ascii="Arial" w:eastAsia="Calibri" w:hAnsi="Arial" w:cs="Arial"/>
          <w:bCs/>
          <w:sz w:val="26"/>
          <w:szCs w:val="26"/>
        </w:rPr>
        <w:t xml:space="preserve">de la Ley de Justicia Administrativa para el Estado de Oaxaca, establece que las partes podrán impugnar a través del recurso de revisión las resoluciones </w:t>
      </w:r>
      <w:r w:rsidRPr="00F73699">
        <w:rPr>
          <w:rFonts w:ascii="Arial" w:eastAsia="Calibri" w:hAnsi="Arial" w:cs="Arial"/>
          <w:bCs/>
          <w:sz w:val="26"/>
          <w:szCs w:val="26"/>
        </w:rPr>
        <w:t>que pongan fin al procedimiento de ejecución de la sentencia.</w:t>
      </w:r>
    </w:p>
    <w:p w:rsidR="008052C6" w:rsidRDefault="008052C6" w:rsidP="008052C6">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En ese orden de ideas, el artículo 163</w:t>
      </w:r>
      <w:r w:rsidRPr="00DC6CDC">
        <w:rPr>
          <w:rFonts w:ascii="Arial" w:eastAsia="Calibri" w:hAnsi="Arial" w:cs="Arial"/>
          <w:bCs/>
          <w:sz w:val="26"/>
          <w:szCs w:val="26"/>
        </w:rPr>
        <w:t xml:space="preserve"> </w:t>
      </w:r>
      <w:r>
        <w:rPr>
          <w:rFonts w:ascii="Arial" w:eastAsia="Calibri" w:hAnsi="Arial" w:cs="Arial"/>
          <w:bCs/>
          <w:sz w:val="26"/>
          <w:szCs w:val="26"/>
        </w:rPr>
        <w:t>de la Ley de la materia, establece:</w:t>
      </w:r>
    </w:p>
    <w:p w:rsidR="008052C6" w:rsidRPr="00BC1DA3" w:rsidRDefault="008052C6" w:rsidP="009C144A">
      <w:pPr>
        <w:pStyle w:val="Default"/>
        <w:ind w:left="567" w:right="900"/>
        <w:jc w:val="both"/>
        <w:rPr>
          <w:i/>
        </w:rPr>
      </w:pPr>
      <w:r>
        <w:rPr>
          <w:b/>
          <w:bCs/>
          <w:i/>
        </w:rPr>
        <w:t>“ARTÍCULO 16</w:t>
      </w:r>
      <w:r w:rsidRPr="00BC1DA3">
        <w:rPr>
          <w:b/>
          <w:bCs/>
          <w:i/>
        </w:rPr>
        <w:t xml:space="preserve">3.- </w:t>
      </w:r>
      <w:r w:rsidRPr="00BC1DA3">
        <w:rPr>
          <w:i/>
        </w:rPr>
        <w:t xml:space="preserve">Son partes en el juicio contencioso administrativo: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I. El actor. Tendrá ese carácter: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a) El Administrado, que será el particular que tenga interés jurídico o legítimo que funde su pretensión; y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b) La autoridad en el juicio de lesividad.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II. El demandado. Tendrá ese carácter: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a) La autoridad que dicte, ordene, ejecute o trate de ejecutar el acto impugnado, o que omita dar respuesta a las peticiones o instancias de los particulares;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b) La persona o institución que funja como autoridad administrativa o fiscal en el ámbito estatal o municipal o en los Organismos Públicos Descentralizados, que dicte, ordene, ejecute o trate de ejecutar el acto o resolución impugnados; y </w:t>
      </w:r>
    </w:p>
    <w:p w:rsidR="008052C6" w:rsidRPr="00BC1DA3" w:rsidRDefault="008052C6" w:rsidP="009C144A">
      <w:pPr>
        <w:pStyle w:val="Default"/>
        <w:ind w:left="567" w:right="900"/>
        <w:jc w:val="both"/>
        <w:rPr>
          <w:i/>
        </w:rPr>
      </w:pPr>
    </w:p>
    <w:p w:rsidR="008052C6" w:rsidRPr="00BC1DA3" w:rsidRDefault="008052C6" w:rsidP="009C144A">
      <w:pPr>
        <w:pStyle w:val="Default"/>
        <w:ind w:left="567" w:right="900"/>
        <w:jc w:val="both"/>
        <w:rPr>
          <w:i/>
        </w:rPr>
      </w:pPr>
      <w:r w:rsidRPr="00BC1DA3">
        <w:rPr>
          <w:i/>
        </w:rPr>
        <w:t xml:space="preserve">c) El particular a quien favorezca la resolución cuya modificación o nulidad demande la autoridad administrativa, estatal o municipal. </w:t>
      </w:r>
    </w:p>
    <w:p w:rsidR="008052C6" w:rsidRPr="00BC1DA3" w:rsidRDefault="008052C6" w:rsidP="009C144A">
      <w:pPr>
        <w:pStyle w:val="NormalWeb"/>
        <w:ind w:left="567" w:right="900"/>
        <w:jc w:val="both"/>
        <w:rPr>
          <w:rFonts w:ascii="Arial" w:eastAsia="Calibri" w:hAnsi="Arial" w:cs="Arial"/>
          <w:bCs/>
          <w:i/>
        </w:rPr>
      </w:pPr>
      <w:r w:rsidRPr="00BC1DA3">
        <w:rPr>
          <w:rFonts w:ascii="Arial" w:hAnsi="Arial" w:cs="Arial"/>
          <w:i/>
        </w:rPr>
        <w:t>III. El tercero afectado, pudiendo intervenir con ese carácter cualquier persona física o moral, cuyos intereses puedan resultar incompatibles con las pretensiones del actor y que demuestre interés en que subsista el acto administrativo combatido.”</w:t>
      </w:r>
    </w:p>
    <w:p w:rsidR="008052C6" w:rsidRDefault="008052C6" w:rsidP="008052C6">
      <w:pPr>
        <w:pStyle w:val="NormalWeb"/>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El precepto legal supra citado define claramente que las partes en el juicio contencioso administrativo son: </w:t>
      </w:r>
      <w:r w:rsidRPr="00D00BCA">
        <w:rPr>
          <w:rFonts w:ascii="Arial" w:eastAsia="Calibri" w:hAnsi="Arial" w:cs="Arial"/>
          <w:bCs/>
          <w:i/>
          <w:sz w:val="26"/>
          <w:szCs w:val="26"/>
        </w:rPr>
        <w:t>el actor, la autoridad demandada y el tercero afectado.</w:t>
      </w:r>
    </w:p>
    <w:p w:rsidR="008052C6" w:rsidRPr="00300BA7" w:rsidRDefault="008052C6" w:rsidP="008052C6">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En esa tesitura, de las constancias procesales que integran el expediente de primera instancia, a las que se les ha otorgado pleno valor probatorio conforme lo dispuesto por el artículo 203 fracción I</w:t>
      </w:r>
      <w:r>
        <w:rPr>
          <w:rStyle w:val="Refdenotaalpie"/>
          <w:rFonts w:ascii="Arial" w:eastAsia="Calibri" w:hAnsi="Arial" w:cs="Arial"/>
          <w:bCs/>
          <w:sz w:val="26"/>
          <w:szCs w:val="26"/>
        </w:rPr>
        <w:footnoteReference w:id="2"/>
      </w:r>
      <w:r>
        <w:rPr>
          <w:rFonts w:ascii="Arial" w:eastAsia="Calibri" w:hAnsi="Arial" w:cs="Arial"/>
          <w:bCs/>
          <w:sz w:val="26"/>
          <w:szCs w:val="26"/>
        </w:rPr>
        <w:t xml:space="preserve"> de la Ley de Procedimiento y Justicia Administrativa para el Estado de Oaxaca, por tratarse de actuaciones judiciales, se advierte que el acto impugnado en el juicio natural lo constituye el parte informativo número 038/2019 de fecha trece de enero de dos mil diecinueve, el cobro de la multa en cantidad de </w:t>
      </w:r>
      <w:r w:rsidR="00C24355">
        <w:rPr>
          <w:rFonts w:ascii="Arial" w:hAnsi="Arial" w:cs="Arial"/>
          <w:b/>
          <w:sz w:val="24"/>
          <w:szCs w:val="24"/>
        </w:rPr>
        <w:t>************</w:t>
      </w:r>
      <w:r>
        <w:rPr>
          <w:rFonts w:ascii="Arial" w:eastAsia="Calibri" w:hAnsi="Arial" w:cs="Arial"/>
          <w:bCs/>
          <w:sz w:val="26"/>
          <w:szCs w:val="26"/>
        </w:rPr>
        <w:t xml:space="preserve">, que pagó por concepto de traslado, actos que el demandante le reclamó al </w:t>
      </w:r>
      <w:r w:rsidRPr="00300BA7">
        <w:rPr>
          <w:rFonts w:ascii="Arial" w:eastAsia="Calibri" w:hAnsi="Arial" w:cs="Arial"/>
          <w:b/>
          <w:bCs/>
          <w:sz w:val="26"/>
          <w:szCs w:val="26"/>
        </w:rPr>
        <w:t>POLICÍA VIAL DE LA COMISARÍA DE VIALIDAD</w:t>
      </w:r>
      <w:r>
        <w:rPr>
          <w:rFonts w:ascii="Arial" w:eastAsia="Calibri" w:hAnsi="Arial" w:cs="Arial"/>
          <w:bCs/>
          <w:sz w:val="26"/>
          <w:szCs w:val="26"/>
        </w:rPr>
        <w:t xml:space="preserve"> y al </w:t>
      </w:r>
      <w:r w:rsidRPr="00300BA7">
        <w:rPr>
          <w:rFonts w:ascii="Arial" w:eastAsia="Calibri" w:hAnsi="Arial" w:cs="Arial"/>
          <w:b/>
          <w:bCs/>
          <w:sz w:val="26"/>
          <w:szCs w:val="26"/>
        </w:rPr>
        <w:t>JUEZ CALIFICADOR DEL SEGUNDO TURNO, AMBOS PERTENECIENTES AL M</w:t>
      </w:r>
      <w:r w:rsidRPr="00B33D77">
        <w:rPr>
          <w:rFonts w:ascii="Arial" w:eastAsia="Calibri" w:hAnsi="Arial" w:cs="Arial"/>
          <w:b/>
          <w:bCs/>
          <w:sz w:val="26"/>
          <w:szCs w:val="26"/>
        </w:rPr>
        <w:t>UNICIPIO DE SANTA LUCÍA DEL CAMINO, OAXACA</w:t>
      </w:r>
      <w:r>
        <w:rPr>
          <w:rFonts w:ascii="Arial" w:eastAsia="Calibri" w:hAnsi="Arial" w:cs="Arial"/>
          <w:b/>
          <w:bCs/>
          <w:sz w:val="26"/>
          <w:szCs w:val="26"/>
        </w:rPr>
        <w:t>.</w:t>
      </w:r>
    </w:p>
    <w:p w:rsidR="008052C6" w:rsidRPr="00FF03A2" w:rsidRDefault="008052C6" w:rsidP="008052C6">
      <w:pPr>
        <w:spacing w:line="360" w:lineRule="auto"/>
        <w:ind w:firstLine="708"/>
        <w:jc w:val="both"/>
        <w:rPr>
          <w:rFonts w:ascii="Arial" w:hAnsi="Arial" w:cs="Arial"/>
          <w:sz w:val="26"/>
          <w:szCs w:val="26"/>
        </w:rPr>
      </w:pPr>
      <w:r>
        <w:rPr>
          <w:rFonts w:ascii="Arial" w:eastAsia="Calibri" w:hAnsi="Arial" w:cs="Arial"/>
          <w:bCs/>
          <w:sz w:val="26"/>
          <w:szCs w:val="26"/>
        </w:rPr>
        <w:t xml:space="preserve">Como se observa, el acto impugnado en el juicio natural fue atribuido a autoridad diversa a la que hoy recurre, al haberlo indicado así el actor en su demanda, y además en el juicio natural </w:t>
      </w:r>
      <w:r>
        <w:rPr>
          <w:rFonts w:ascii="Arial" w:hAnsi="Arial" w:cs="Arial"/>
          <w:sz w:val="26"/>
          <w:szCs w:val="26"/>
        </w:rPr>
        <w:t xml:space="preserve">la Síndico </w:t>
      </w:r>
      <w:r>
        <w:rPr>
          <w:rFonts w:ascii="Arial" w:hAnsi="Arial" w:cs="Arial"/>
          <w:sz w:val="26"/>
          <w:szCs w:val="26"/>
        </w:rPr>
        <w:lastRenderedPageBreak/>
        <w:t xml:space="preserve">Procuradora y Representante Legal del Municipio de Santa Lucía del Camino, Oaxaca, </w:t>
      </w:r>
      <w:r>
        <w:rPr>
          <w:rFonts w:ascii="Arial" w:eastAsia="Calibri" w:hAnsi="Arial" w:cs="Arial"/>
          <w:bCs/>
          <w:sz w:val="26"/>
          <w:szCs w:val="26"/>
        </w:rPr>
        <w:t xml:space="preserve">ni siquiera fue señalada por el actor como autoridad demandada; por tanto, no cuenta con </w:t>
      </w:r>
      <w:r w:rsidRPr="00E85EF1">
        <w:rPr>
          <w:rFonts w:ascii="Arial" w:eastAsia="Calibri" w:hAnsi="Arial" w:cs="Arial"/>
          <w:bCs/>
          <w:i/>
          <w:sz w:val="26"/>
          <w:szCs w:val="26"/>
        </w:rPr>
        <w:t>legitimación</w:t>
      </w:r>
      <w:r>
        <w:rPr>
          <w:rFonts w:ascii="Arial" w:eastAsia="Calibri" w:hAnsi="Arial" w:cs="Arial"/>
          <w:bCs/>
          <w:i/>
          <w:sz w:val="26"/>
          <w:szCs w:val="26"/>
        </w:rPr>
        <w:t xml:space="preserve"> </w:t>
      </w:r>
      <w:r>
        <w:rPr>
          <w:rFonts w:ascii="Arial" w:eastAsia="Calibri" w:hAnsi="Arial" w:cs="Arial"/>
          <w:bCs/>
          <w:sz w:val="26"/>
          <w:szCs w:val="26"/>
        </w:rPr>
        <w:t xml:space="preserve">para impugnar la determinación de fecha veinticuatro de junio de dos mil diecinueve en la que la </w:t>
      </w:r>
      <w:r w:rsidRPr="00FF03A2">
        <w:rPr>
          <w:rFonts w:ascii="Arial" w:eastAsia="Calibri" w:hAnsi="Arial" w:cs="Arial"/>
          <w:bCs/>
          <w:i/>
          <w:sz w:val="26"/>
          <w:szCs w:val="26"/>
        </w:rPr>
        <w:t>A quo</w:t>
      </w:r>
      <w:r>
        <w:rPr>
          <w:rFonts w:ascii="Arial" w:eastAsia="Calibri" w:hAnsi="Arial" w:cs="Arial"/>
          <w:bCs/>
          <w:sz w:val="26"/>
          <w:szCs w:val="26"/>
        </w:rPr>
        <w:t xml:space="preserve"> tuvo al actor ampliando su escrito inicial de demanda.</w:t>
      </w:r>
    </w:p>
    <w:p w:rsidR="008052C6" w:rsidRDefault="008052C6" w:rsidP="008052C6">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ese sentido, debe entenderse a la </w:t>
      </w:r>
      <w:r w:rsidRPr="00FB3BC4">
        <w:rPr>
          <w:rFonts w:ascii="Arial" w:eastAsia="Calibri" w:hAnsi="Arial" w:cs="Arial"/>
          <w:bCs/>
          <w:i/>
          <w:sz w:val="26"/>
          <w:szCs w:val="26"/>
        </w:rPr>
        <w:t xml:space="preserve">legitimación </w:t>
      </w:r>
      <w:r>
        <w:rPr>
          <w:rFonts w:ascii="Arial" w:eastAsia="Calibri" w:hAnsi="Arial" w:cs="Arial"/>
          <w:bCs/>
          <w:sz w:val="26"/>
          <w:szCs w:val="26"/>
        </w:rPr>
        <w:t>en su aspecto general, como la aptitud de ser parte en un proceso concreto, pero únicamente la que se encuentra en determinada relación con la pretensión, que tratándose del recurso de revisión, sólo incumbe a quien pueda ocasionarle perjuicio jurídico la decisión; esto es, que el acuerdo impugnado le agravie directamente, para así, ver justificado su interés en que sea modificada o revocada esa decisión.</w:t>
      </w:r>
    </w:p>
    <w:p w:rsidR="008052C6" w:rsidRDefault="008052C6" w:rsidP="008052C6">
      <w:pPr>
        <w:widowControl w:val="0"/>
        <w:autoSpaceDE w:val="0"/>
        <w:autoSpaceDN w:val="0"/>
        <w:adjustRightInd w:val="0"/>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De tal forma, que si como acontece en este caso, los actos impugnados fueron atribuidos </w:t>
      </w:r>
      <w:r w:rsidRPr="00F76B7E">
        <w:rPr>
          <w:rFonts w:ascii="Arial" w:eastAsia="Calibri" w:hAnsi="Arial" w:cs="Arial"/>
          <w:bCs/>
          <w:sz w:val="26"/>
          <w:szCs w:val="26"/>
        </w:rPr>
        <w:t xml:space="preserve">al </w:t>
      </w:r>
      <w:r>
        <w:rPr>
          <w:rFonts w:ascii="Arial" w:eastAsia="Calibri" w:hAnsi="Arial" w:cs="Arial"/>
          <w:bCs/>
          <w:sz w:val="26"/>
          <w:szCs w:val="26"/>
        </w:rPr>
        <w:t>Policía Vial de la Comisaría de Vialidad y al Juez Calificador d</w:t>
      </w:r>
      <w:r w:rsidRPr="00F76B7E">
        <w:rPr>
          <w:rFonts w:ascii="Arial" w:eastAsia="Calibri" w:hAnsi="Arial" w:cs="Arial"/>
          <w:bCs/>
          <w:sz w:val="26"/>
          <w:szCs w:val="26"/>
        </w:rPr>
        <w:t xml:space="preserve">el Segundo Turno, </w:t>
      </w:r>
      <w:r>
        <w:rPr>
          <w:rFonts w:ascii="Arial" w:eastAsia="Calibri" w:hAnsi="Arial" w:cs="Arial"/>
          <w:bCs/>
          <w:sz w:val="26"/>
          <w:szCs w:val="26"/>
        </w:rPr>
        <w:t>ambos pertenecientes al Municipio de Santa Lucía d</w:t>
      </w:r>
      <w:r w:rsidRPr="00F76B7E">
        <w:rPr>
          <w:rFonts w:ascii="Arial" w:eastAsia="Calibri" w:hAnsi="Arial" w:cs="Arial"/>
          <w:bCs/>
          <w:sz w:val="26"/>
          <w:szCs w:val="26"/>
        </w:rPr>
        <w:t>el Cami</w:t>
      </w:r>
      <w:r>
        <w:rPr>
          <w:rFonts w:ascii="Arial" w:eastAsia="Calibri" w:hAnsi="Arial" w:cs="Arial"/>
          <w:bCs/>
          <w:sz w:val="26"/>
          <w:szCs w:val="26"/>
        </w:rPr>
        <w:t>no, Oaxaca, sólo a dichas autoridades les corresponde la legitimación para impugnar ese acuerdo en el que se tuvo por ampliada la demanda y sus efectos.</w:t>
      </w:r>
    </w:p>
    <w:p w:rsidR="008052C6" w:rsidRDefault="008052C6" w:rsidP="008052C6">
      <w:pPr>
        <w:spacing w:before="240" w:line="360" w:lineRule="auto"/>
        <w:ind w:firstLine="709"/>
        <w:jc w:val="both"/>
        <w:rPr>
          <w:rFonts w:ascii="Arial" w:eastAsia="Times New Roman" w:hAnsi="Arial"/>
          <w:color w:val="000000"/>
          <w:sz w:val="26"/>
          <w:szCs w:val="26"/>
        </w:rPr>
      </w:pPr>
      <w:r>
        <w:rPr>
          <w:rFonts w:ascii="Arial" w:eastAsia="Calibri" w:hAnsi="Arial" w:cs="Arial"/>
          <w:bCs/>
          <w:sz w:val="26"/>
          <w:szCs w:val="26"/>
        </w:rPr>
        <w:t>Al respecto, es resulta aplicable al caso que nos ocupa, el criterio emitido por el Octavo Tribunal Colegiado en materia Administrativa del Primer Circuito, novena</w:t>
      </w:r>
      <w:r>
        <w:rPr>
          <w:rFonts w:ascii="Arial" w:eastAsia="Times New Roman" w:hAnsi="Arial"/>
          <w:color w:val="000000"/>
          <w:sz w:val="26"/>
          <w:szCs w:val="26"/>
        </w:rPr>
        <w:t xml:space="preserve"> época, Tomo XXIX, en mayo de 2009, consultable a página 1119 en la Gaceta del Semanario Judicial de la Federación, cuyo rubro y texto son los siguientes:</w:t>
      </w:r>
    </w:p>
    <w:p w:rsidR="008052C6" w:rsidRDefault="008052C6" w:rsidP="008052C6">
      <w:pPr>
        <w:widowControl w:val="0"/>
        <w:autoSpaceDE w:val="0"/>
        <w:autoSpaceDN w:val="0"/>
        <w:adjustRightInd w:val="0"/>
        <w:spacing w:before="240" w:line="360" w:lineRule="auto"/>
        <w:ind w:left="1134" w:right="474"/>
        <w:jc w:val="both"/>
        <w:rPr>
          <w:rFonts w:ascii="Arial" w:eastAsia="Calibri" w:hAnsi="Arial" w:cs="Arial"/>
          <w:bCs/>
          <w:sz w:val="24"/>
          <w:szCs w:val="24"/>
        </w:rPr>
      </w:pPr>
      <w:r>
        <w:rPr>
          <w:rFonts w:ascii="Arial" w:eastAsia="Calibri" w:hAnsi="Arial" w:cs="Arial"/>
          <w:bCs/>
          <w:sz w:val="24"/>
          <w:szCs w:val="24"/>
        </w:rPr>
        <w:t>“</w:t>
      </w:r>
      <w:r w:rsidRPr="00DC6CDC">
        <w:rPr>
          <w:rFonts w:ascii="Arial" w:eastAsia="Calibri" w:hAnsi="Arial" w:cs="Arial"/>
          <w:b/>
          <w:bCs/>
          <w:i/>
          <w:sz w:val="24"/>
          <w:szCs w:val="24"/>
        </w:rPr>
        <w:t>REVISIÓN CONTENCIOSA ADMINISTRATIVA. LA LEGITIMACIÓN PARA INTERPONER DICHO RECURSO NO SÓLO IMPLICA QUE EL PROMOVENTE SEA AUTORIDAD, SINO TAMBIÉN QUE LA SENTENCIA IMPUGNADA LE AGRAVIE</w:t>
      </w:r>
      <w:r w:rsidRPr="00DC6CDC">
        <w:rPr>
          <w:rFonts w:ascii="Arial" w:eastAsia="Calibri" w:hAnsi="Arial" w:cs="Arial"/>
          <w:bCs/>
          <w:i/>
          <w:sz w:val="24"/>
          <w:szCs w:val="24"/>
        </w:rPr>
        <w:t xml:space="preserve">. De los artículos 87 y 88 de la Ley del Tribunal de lo Contencioso Administrativo del Distrito Federal se advierte que sólo las autoridades pueden interponer el recurso de revisión contenciosa administrativa contra las resoluciones dictadas por la Sala Superior del referido tribunal al resolver el diverso de apelación; sin embargo, aun cuando tales preceptos no establezcan como requisito de procedencia que la resolución controvertida cause perjuicio o agravio al recurrente, esto constituye un presupuesto procesal para todo medio de impugnación. En esa tesitura, la legitimación para interponer el </w:t>
      </w:r>
      <w:r w:rsidRPr="00DC6CDC">
        <w:rPr>
          <w:rFonts w:ascii="Arial" w:eastAsia="Calibri" w:hAnsi="Arial" w:cs="Arial"/>
          <w:bCs/>
          <w:i/>
          <w:sz w:val="24"/>
          <w:szCs w:val="24"/>
        </w:rPr>
        <w:lastRenderedPageBreak/>
        <w:t>aludido recurso de revisión no sólo implica que el promovente sea autoridad, sino también que la sentencia impugnada le agravie, con lo que se justifica su interés en que sea modificada o revocada.</w:t>
      </w:r>
      <w:r>
        <w:rPr>
          <w:rFonts w:ascii="Arial" w:eastAsia="Calibri" w:hAnsi="Arial" w:cs="Arial"/>
          <w:bCs/>
          <w:sz w:val="24"/>
          <w:szCs w:val="24"/>
        </w:rPr>
        <w:t>”</w:t>
      </w:r>
    </w:p>
    <w:p w:rsidR="008052C6" w:rsidRDefault="008052C6" w:rsidP="008052C6">
      <w:pPr>
        <w:spacing w:before="240" w:line="360" w:lineRule="auto"/>
        <w:jc w:val="both"/>
        <w:rPr>
          <w:rFonts w:ascii="Arial" w:eastAsia="Calibri" w:hAnsi="Arial" w:cs="Arial"/>
          <w:bCs/>
          <w:sz w:val="26"/>
          <w:szCs w:val="26"/>
        </w:rPr>
      </w:pPr>
      <w:r>
        <w:rPr>
          <w:rFonts w:ascii="Arial" w:eastAsia="Calibri" w:hAnsi="Arial" w:cs="Arial"/>
          <w:bCs/>
          <w:sz w:val="26"/>
          <w:szCs w:val="26"/>
        </w:rPr>
        <w:tab/>
      </w:r>
      <w:r w:rsidRPr="00087231">
        <w:rPr>
          <w:rFonts w:ascii="Arial" w:eastAsia="Calibri" w:hAnsi="Arial" w:cs="Arial"/>
          <w:bCs/>
          <w:sz w:val="26"/>
          <w:szCs w:val="26"/>
        </w:rPr>
        <w:t>En el presente caso, es pertinente puntualizar</w:t>
      </w:r>
      <w:r>
        <w:rPr>
          <w:rFonts w:ascii="Arial" w:eastAsia="Calibri" w:hAnsi="Arial" w:cs="Arial"/>
          <w:bCs/>
          <w:sz w:val="26"/>
          <w:szCs w:val="26"/>
        </w:rPr>
        <w:t xml:space="preserve"> que la legitimación respecto de las partes procesales, puede ser de dos tipos: </w:t>
      </w:r>
      <w:r w:rsidRPr="00BE08EF">
        <w:rPr>
          <w:rFonts w:ascii="Arial" w:eastAsia="Calibri" w:hAnsi="Arial" w:cs="Arial"/>
          <w:bCs/>
          <w:i/>
          <w:sz w:val="26"/>
          <w:szCs w:val="26"/>
        </w:rPr>
        <w:t xml:space="preserve">legitimación ad </w:t>
      </w:r>
      <w:proofErr w:type="spellStart"/>
      <w:r w:rsidRPr="00BE08EF">
        <w:rPr>
          <w:rFonts w:ascii="Arial" w:eastAsia="Calibri" w:hAnsi="Arial" w:cs="Arial"/>
          <w:bCs/>
          <w:i/>
          <w:sz w:val="26"/>
          <w:szCs w:val="26"/>
        </w:rPr>
        <w:t>causam</w:t>
      </w:r>
      <w:proofErr w:type="spellEnd"/>
      <w:r>
        <w:rPr>
          <w:rFonts w:ascii="Arial" w:eastAsia="Calibri" w:hAnsi="Arial" w:cs="Arial"/>
          <w:bCs/>
          <w:sz w:val="26"/>
          <w:szCs w:val="26"/>
        </w:rPr>
        <w:t xml:space="preserve"> (legitimación en la causa) y </w:t>
      </w:r>
      <w:r w:rsidRPr="00116292">
        <w:rPr>
          <w:rFonts w:ascii="Arial" w:eastAsia="Calibri" w:hAnsi="Arial" w:cs="Arial"/>
          <w:bCs/>
          <w:i/>
          <w:sz w:val="26"/>
          <w:szCs w:val="26"/>
        </w:rPr>
        <w:t xml:space="preserve">legitimación ad </w:t>
      </w:r>
      <w:proofErr w:type="spellStart"/>
      <w:r w:rsidRPr="00116292">
        <w:rPr>
          <w:rFonts w:ascii="Arial" w:eastAsia="Calibri" w:hAnsi="Arial" w:cs="Arial"/>
          <w:bCs/>
          <w:i/>
          <w:sz w:val="26"/>
          <w:szCs w:val="26"/>
        </w:rPr>
        <w:t>processum</w:t>
      </w:r>
      <w:proofErr w:type="spellEnd"/>
      <w:r>
        <w:rPr>
          <w:rFonts w:ascii="Arial" w:eastAsia="Calibri" w:hAnsi="Arial" w:cs="Arial"/>
          <w:bCs/>
          <w:sz w:val="26"/>
          <w:szCs w:val="26"/>
        </w:rPr>
        <w:t xml:space="preserve"> (legitimación procesal). La </w:t>
      </w:r>
      <w:r w:rsidRPr="00BE08EF">
        <w:rPr>
          <w:rFonts w:ascii="Arial" w:eastAsia="Calibri" w:hAnsi="Arial" w:cs="Arial"/>
          <w:bCs/>
          <w:i/>
          <w:sz w:val="26"/>
          <w:szCs w:val="26"/>
        </w:rPr>
        <w:t xml:space="preserve">legitimación ad </w:t>
      </w:r>
      <w:proofErr w:type="spellStart"/>
      <w:r w:rsidRPr="00BE08EF">
        <w:rPr>
          <w:rFonts w:ascii="Arial" w:eastAsia="Calibri" w:hAnsi="Arial" w:cs="Arial"/>
          <w:bCs/>
          <w:i/>
          <w:sz w:val="26"/>
          <w:szCs w:val="26"/>
        </w:rPr>
        <w:t>causam</w:t>
      </w:r>
      <w:proofErr w:type="spellEnd"/>
      <w:r>
        <w:rPr>
          <w:rFonts w:ascii="Arial" w:eastAsia="Calibri" w:hAnsi="Arial" w:cs="Arial"/>
          <w:bCs/>
          <w:i/>
          <w:sz w:val="26"/>
          <w:szCs w:val="26"/>
        </w:rPr>
        <w:t xml:space="preserve"> </w:t>
      </w:r>
      <w:r>
        <w:rPr>
          <w:rFonts w:ascii="Arial" w:eastAsia="Calibri" w:hAnsi="Arial" w:cs="Arial"/>
          <w:bCs/>
          <w:sz w:val="26"/>
          <w:szCs w:val="26"/>
        </w:rPr>
        <w:t xml:space="preserve">se refiere a la identidad del actor, así como a la identidad del demandado, o bien de los terceros, todos siempre en sentido material, en cuanto que ellos son titulares de un derecho subjetivo cuya aplicación y respeto piden al órgano jurisdiccional, </w:t>
      </w:r>
      <w:r w:rsidRPr="005F3137">
        <w:rPr>
          <w:rFonts w:ascii="Arial" w:eastAsia="Calibri" w:hAnsi="Arial" w:cs="Arial"/>
          <w:bCs/>
          <w:sz w:val="26"/>
          <w:szCs w:val="26"/>
        </w:rPr>
        <w:t>y dado que es una cuestión referente al fondo del asunto sólo puede analizarse al dictar sentencia.</w:t>
      </w:r>
    </w:p>
    <w:p w:rsidR="008052C6" w:rsidRDefault="008052C6" w:rsidP="008052C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su parte, la </w:t>
      </w:r>
      <w:r w:rsidRPr="005F3137">
        <w:rPr>
          <w:rFonts w:ascii="Arial" w:eastAsia="Calibri" w:hAnsi="Arial" w:cs="Arial"/>
          <w:bCs/>
          <w:i/>
          <w:sz w:val="26"/>
          <w:szCs w:val="26"/>
        </w:rPr>
        <w:t xml:space="preserve">legitimación ad </w:t>
      </w:r>
      <w:proofErr w:type="spellStart"/>
      <w:r w:rsidRPr="005F3137">
        <w:rPr>
          <w:rFonts w:ascii="Arial" w:eastAsia="Calibri" w:hAnsi="Arial" w:cs="Arial"/>
          <w:bCs/>
          <w:i/>
          <w:sz w:val="26"/>
          <w:szCs w:val="26"/>
        </w:rPr>
        <w:t>processum</w:t>
      </w:r>
      <w:proofErr w:type="spellEnd"/>
      <w:r w:rsidRPr="005F3137">
        <w:rPr>
          <w:rFonts w:ascii="Arial" w:eastAsia="Calibri" w:hAnsi="Arial" w:cs="Arial"/>
          <w:bCs/>
          <w:i/>
          <w:sz w:val="26"/>
          <w:szCs w:val="26"/>
        </w:rPr>
        <w:t xml:space="preserve"> </w:t>
      </w:r>
      <w:r>
        <w:rPr>
          <w:rFonts w:ascii="Arial" w:eastAsia="Calibri" w:hAnsi="Arial" w:cs="Arial"/>
          <w:bCs/>
          <w:sz w:val="26"/>
          <w:szCs w:val="26"/>
        </w:rPr>
        <w:t xml:space="preserve">o capacidad procesal, consiste en la capacidad que tiene un sujeto para realizar válidamente actos procesales, bien sea porque actúe por su propio derecho o en representación de otra persona </w:t>
      </w:r>
      <w:r w:rsidRPr="00116292">
        <w:rPr>
          <w:rFonts w:ascii="Arial" w:eastAsia="Calibri" w:hAnsi="Arial" w:cs="Arial"/>
          <w:bCs/>
          <w:sz w:val="26"/>
          <w:szCs w:val="26"/>
        </w:rPr>
        <w:t>titular del derecho violentado o bien de quien estima se ha transgredido su esfera objetiva de dere</w:t>
      </w:r>
      <w:r>
        <w:rPr>
          <w:rFonts w:ascii="Arial" w:eastAsia="Calibri" w:hAnsi="Arial" w:cs="Arial"/>
          <w:bCs/>
          <w:sz w:val="26"/>
          <w:szCs w:val="26"/>
        </w:rPr>
        <w:t xml:space="preserve">chos, por lo que su acreditamiento en el juicio implica un presupuesto procesal. </w:t>
      </w:r>
    </w:p>
    <w:p w:rsidR="008052C6" w:rsidRDefault="008052C6" w:rsidP="008052C6">
      <w:pPr>
        <w:spacing w:before="240" w:line="360" w:lineRule="auto"/>
        <w:ind w:right="49" w:firstLine="567"/>
        <w:jc w:val="both"/>
        <w:rPr>
          <w:rFonts w:ascii="Arial" w:hAnsi="Arial" w:cs="Arial"/>
          <w:sz w:val="26"/>
          <w:szCs w:val="26"/>
        </w:rPr>
      </w:pPr>
      <w:r>
        <w:rPr>
          <w:rFonts w:ascii="Arial" w:eastAsia="Calibri" w:hAnsi="Arial" w:cs="Arial"/>
          <w:bCs/>
          <w:sz w:val="26"/>
          <w:szCs w:val="26"/>
        </w:rPr>
        <w:t xml:space="preserve">Por otra parte, la recurrente señaló que su representado es el Municipio </w:t>
      </w:r>
      <w:r w:rsidRPr="00FE3BA0">
        <w:rPr>
          <w:rFonts w:ascii="Arial" w:eastAsia="Calibri" w:hAnsi="Arial" w:cs="Arial"/>
          <w:bCs/>
          <w:sz w:val="26"/>
          <w:szCs w:val="26"/>
        </w:rPr>
        <w:t>de Santa Lucía del Camino, Oaxaca</w:t>
      </w:r>
      <w:r>
        <w:rPr>
          <w:rFonts w:ascii="Arial" w:eastAsia="Calibri" w:hAnsi="Arial" w:cs="Arial"/>
          <w:bCs/>
          <w:sz w:val="26"/>
          <w:szCs w:val="26"/>
        </w:rPr>
        <w:t>, lo cual es incongruente en el caso que nos ocupa, porque esa autoridad  no fue demandada en el juicio de nulidad.</w:t>
      </w:r>
    </w:p>
    <w:p w:rsidR="008052C6" w:rsidRPr="005D3818" w:rsidRDefault="008052C6" w:rsidP="008052C6">
      <w:pPr>
        <w:spacing w:line="360" w:lineRule="auto"/>
        <w:ind w:firstLine="708"/>
        <w:jc w:val="both"/>
        <w:rPr>
          <w:rFonts w:ascii="Arial" w:eastAsia="Calibri" w:hAnsi="Arial" w:cs="Arial"/>
          <w:bCs/>
          <w:sz w:val="26"/>
          <w:szCs w:val="26"/>
        </w:rPr>
      </w:pPr>
      <w:r>
        <w:rPr>
          <w:rFonts w:ascii="Arial" w:eastAsia="Calibri" w:hAnsi="Arial" w:cs="Arial"/>
          <w:bCs/>
          <w:sz w:val="26"/>
          <w:szCs w:val="26"/>
        </w:rPr>
        <w:t xml:space="preserve">Por lo que en la especie, </w:t>
      </w:r>
      <w:r>
        <w:rPr>
          <w:rFonts w:ascii="Arial" w:hAnsi="Arial" w:cs="Arial"/>
          <w:sz w:val="26"/>
          <w:szCs w:val="26"/>
        </w:rPr>
        <w:t>la</w:t>
      </w:r>
      <w:r>
        <w:rPr>
          <w:rFonts w:ascii="Arial" w:hAnsi="Arial" w:cs="Arial"/>
          <w:b/>
          <w:sz w:val="26"/>
          <w:szCs w:val="26"/>
        </w:rPr>
        <w:t xml:space="preserve"> </w:t>
      </w:r>
      <w:r w:rsidR="00C24355">
        <w:rPr>
          <w:rFonts w:ascii="Arial" w:hAnsi="Arial" w:cs="Arial"/>
          <w:b/>
          <w:sz w:val="24"/>
          <w:szCs w:val="24"/>
        </w:rPr>
        <w:t>************</w:t>
      </w:r>
      <w:r>
        <w:rPr>
          <w:rFonts w:ascii="Arial" w:hAnsi="Arial" w:cs="Arial"/>
          <w:b/>
          <w:sz w:val="26"/>
          <w:szCs w:val="26"/>
        </w:rPr>
        <w:t>,</w:t>
      </w:r>
      <w:r>
        <w:rPr>
          <w:rFonts w:ascii="Arial" w:hAnsi="Arial" w:cs="Arial"/>
          <w:sz w:val="26"/>
          <w:szCs w:val="26"/>
        </w:rPr>
        <w:t xml:space="preserve"> </w:t>
      </w:r>
      <w:r>
        <w:rPr>
          <w:rFonts w:ascii="Arial" w:eastAsia="Calibri" w:hAnsi="Arial" w:cs="Arial"/>
          <w:bCs/>
          <w:sz w:val="26"/>
          <w:szCs w:val="26"/>
        </w:rPr>
        <w:t xml:space="preserve">carece de legitimación procesal para impugnar el auto de fecha de fecha veinticuatro de junio de dos mil diecinueve en el que la </w:t>
      </w:r>
      <w:r w:rsidRPr="00FF03A2">
        <w:rPr>
          <w:rFonts w:ascii="Arial" w:eastAsia="Calibri" w:hAnsi="Arial" w:cs="Arial"/>
          <w:bCs/>
          <w:i/>
          <w:sz w:val="26"/>
          <w:szCs w:val="26"/>
        </w:rPr>
        <w:t>A quo</w:t>
      </w:r>
      <w:r>
        <w:rPr>
          <w:rFonts w:ascii="Arial" w:eastAsia="Calibri" w:hAnsi="Arial" w:cs="Arial"/>
          <w:bCs/>
          <w:sz w:val="26"/>
          <w:szCs w:val="26"/>
        </w:rPr>
        <w:t xml:space="preserve"> tuvo al actor ampliando su escrito inicial de demanda en el juicio natural, esencialmente por dos razones: la primera, consistente en que el Municipio </w:t>
      </w:r>
      <w:r w:rsidRPr="00FE3BA0">
        <w:rPr>
          <w:rFonts w:ascii="Arial" w:eastAsia="Calibri" w:hAnsi="Arial" w:cs="Arial"/>
          <w:bCs/>
          <w:sz w:val="26"/>
          <w:szCs w:val="26"/>
        </w:rPr>
        <w:t>de Santa Lucía del Camino, Oaxaca</w:t>
      </w:r>
      <w:r>
        <w:rPr>
          <w:rFonts w:ascii="Arial" w:eastAsia="Calibri" w:hAnsi="Arial" w:cs="Arial"/>
          <w:bCs/>
          <w:sz w:val="26"/>
          <w:szCs w:val="26"/>
        </w:rPr>
        <w:t xml:space="preserve">, a quien la recurrente dice representar, no fue señalado como autoridad demandada en el juicio natural; y la segunda, porque si bien es cierto que el </w:t>
      </w:r>
      <w:r w:rsidRPr="00300BA7">
        <w:rPr>
          <w:rFonts w:ascii="Arial" w:eastAsia="Calibri" w:hAnsi="Arial" w:cs="Arial"/>
          <w:b/>
          <w:bCs/>
          <w:sz w:val="26"/>
          <w:szCs w:val="26"/>
        </w:rPr>
        <w:t>POLICÍA VIAL DE LA COMISARÍA DE VIALIDAD</w:t>
      </w:r>
      <w:r>
        <w:rPr>
          <w:rFonts w:ascii="Arial" w:eastAsia="Calibri" w:hAnsi="Arial" w:cs="Arial"/>
          <w:bCs/>
          <w:sz w:val="26"/>
          <w:szCs w:val="26"/>
        </w:rPr>
        <w:t xml:space="preserve"> y al </w:t>
      </w:r>
      <w:r w:rsidRPr="00300BA7">
        <w:rPr>
          <w:rFonts w:ascii="Arial" w:eastAsia="Calibri" w:hAnsi="Arial" w:cs="Arial"/>
          <w:b/>
          <w:bCs/>
          <w:sz w:val="26"/>
          <w:szCs w:val="26"/>
        </w:rPr>
        <w:t>JUEZ CALIFICADOR DEL SEGUNDO TURNO,</w:t>
      </w:r>
      <w:r>
        <w:rPr>
          <w:rFonts w:ascii="Arial" w:eastAsia="Calibri" w:hAnsi="Arial" w:cs="Arial"/>
          <w:bCs/>
          <w:sz w:val="26"/>
          <w:szCs w:val="26"/>
        </w:rPr>
        <w:t xml:space="preserve"> </w:t>
      </w:r>
      <w:r>
        <w:rPr>
          <w:rFonts w:ascii="Arial" w:hAnsi="Arial" w:cs="Arial"/>
          <w:sz w:val="26"/>
          <w:szCs w:val="26"/>
        </w:rPr>
        <w:t>que emitieron e</w:t>
      </w:r>
      <w:r>
        <w:rPr>
          <w:rFonts w:ascii="Arial" w:eastAsia="Calibri" w:hAnsi="Arial" w:cs="Arial"/>
          <w:bCs/>
          <w:sz w:val="26"/>
          <w:szCs w:val="26"/>
        </w:rPr>
        <w:t xml:space="preserve">l parte informativo número 038/2019 de fecha trece de enero de dos mil diecinueve, y el cobro de la multa en cantidad de </w:t>
      </w:r>
      <w:r w:rsidR="00C24355">
        <w:rPr>
          <w:rFonts w:ascii="Arial" w:hAnsi="Arial" w:cs="Arial"/>
          <w:b/>
          <w:sz w:val="24"/>
          <w:szCs w:val="24"/>
        </w:rPr>
        <w:t>************</w:t>
      </w:r>
      <w:r>
        <w:rPr>
          <w:rFonts w:ascii="Arial" w:eastAsia="Calibri" w:hAnsi="Arial" w:cs="Arial"/>
          <w:bCs/>
          <w:sz w:val="26"/>
          <w:szCs w:val="26"/>
        </w:rPr>
        <w:t xml:space="preserve">, respectivamente, </w:t>
      </w:r>
      <w:r>
        <w:rPr>
          <w:rFonts w:ascii="Arial" w:hAnsi="Arial" w:cs="Arial"/>
          <w:sz w:val="26"/>
          <w:szCs w:val="26"/>
        </w:rPr>
        <w:t xml:space="preserve">pertenece a la administración pública municipal del Ayuntamiento del que es representante legal la ahora la recurrente, también es cierto que ésta no acreditó tener la representación legal de </w:t>
      </w:r>
      <w:r>
        <w:rPr>
          <w:rFonts w:ascii="Arial" w:hAnsi="Arial" w:cs="Arial"/>
          <w:sz w:val="26"/>
          <w:szCs w:val="26"/>
        </w:rPr>
        <w:lastRenderedPageBreak/>
        <w:t>las autoridades demandadas para promover válidamente el recurso de revisión interpuesto.</w:t>
      </w:r>
    </w:p>
    <w:p w:rsidR="008052C6" w:rsidRDefault="008052C6" w:rsidP="008052C6">
      <w:pPr>
        <w:spacing w:before="240" w:line="360" w:lineRule="auto"/>
        <w:ind w:firstLine="708"/>
        <w:jc w:val="both"/>
        <w:rPr>
          <w:rFonts w:ascii="Arial" w:eastAsia="Calibri" w:hAnsi="Arial" w:cs="Arial"/>
          <w:bCs/>
          <w:sz w:val="26"/>
          <w:szCs w:val="26"/>
        </w:rPr>
      </w:pPr>
      <w:r>
        <w:rPr>
          <w:rFonts w:ascii="Arial" w:eastAsia="Calibri" w:hAnsi="Arial" w:cs="Arial"/>
          <w:bCs/>
          <w:sz w:val="26"/>
          <w:szCs w:val="26"/>
        </w:rPr>
        <w:t xml:space="preserve">En apoyo a lo anterior, se invoca el criterio sostenido por el Segundo Tribunal Colegiado del Décimo Tercer Circuito, en la tesis que aparece publicada en el Semanario Judicial de la Federación, perteneciente a la Octava Época, Tomo XI, febrero de 1993, página 275, que a la letra dice: </w:t>
      </w:r>
    </w:p>
    <w:p w:rsidR="008052C6" w:rsidRPr="00D810E4" w:rsidRDefault="008052C6" w:rsidP="008052C6">
      <w:pPr>
        <w:spacing w:before="240" w:line="360" w:lineRule="auto"/>
        <w:ind w:left="851" w:right="333"/>
        <w:jc w:val="both"/>
        <w:rPr>
          <w:rFonts w:ascii="Arial" w:eastAsia="Calibri" w:hAnsi="Arial" w:cs="Arial"/>
          <w:bCs/>
          <w:i/>
          <w:sz w:val="24"/>
          <w:szCs w:val="24"/>
        </w:rPr>
      </w:pPr>
      <w:r w:rsidRPr="00D810E4">
        <w:rPr>
          <w:rFonts w:ascii="Arial" w:eastAsia="Calibri" w:hAnsi="Arial" w:cs="Arial"/>
          <w:b/>
          <w:bCs/>
          <w:i/>
          <w:sz w:val="24"/>
          <w:szCs w:val="24"/>
        </w:rPr>
        <w:t>LEGITIMACION EN LA CAUSA Y LEGITIMACION EN EL PROCESO. DIFERENCIAS.</w:t>
      </w:r>
      <w:r>
        <w:rPr>
          <w:rFonts w:ascii="Arial" w:eastAsia="Calibri" w:hAnsi="Arial" w:cs="Arial"/>
          <w:b/>
          <w:bCs/>
          <w:i/>
          <w:sz w:val="24"/>
          <w:szCs w:val="24"/>
        </w:rPr>
        <w:t xml:space="preserve"> </w:t>
      </w:r>
      <w:r w:rsidRPr="00D810E4">
        <w:rPr>
          <w:rFonts w:ascii="Arial" w:eastAsia="Calibri" w:hAnsi="Arial" w:cs="Arial"/>
          <w:bCs/>
          <w:i/>
          <w:sz w:val="24"/>
          <w:szCs w:val="24"/>
        </w:rPr>
        <w:t xml:space="preserve">La </w:t>
      </w:r>
      <w:proofErr w:type="spellStart"/>
      <w:r w:rsidRPr="00D810E4">
        <w:rPr>
          <w:rFonts w:ascii="Arial" w:eastAsia="Calibri" w:hAnsi="Arial" w:cs="Arial"/>
          <w:bCs/>
          <w:i/>
          <w:sz w:val="24"/>
          <w:szCs w:val="24"/>
        </w:rPr>
        <w:t>legitimatio</w:t>
      </w:r>
      <w:proofErr w:type="spellEnd"/>
      <w:r w:rsidRPr="00D810E4">
        <w:rPr>
          <w:rFonts w:ascii="Arial" w:eastAsia="Calibri" w:hAnsi="Arial" w:cs="Arial"/>
          <w:bCs/>
          <w:i/>
          <w:sz w:val="24"/>
          <w:szCs w:val="24"/>
        </w:rPr>
        <w:t xml:space="preserve"> ad </w:t>
      </w:r>
      <w:proofErr w:type="spellStart"/>
      <w:r w:rsidRPr="00D810E4">
        <w:rPr>
          <w:rFonts w:ascii="Arial" w:eastAsia="Calibri" w:hAnsi="Arial" w:cs="Arial"/>
          <w:bCs/>
          <w:i/>
          <w:sz w:val="24"/>
          <w:szCs w:val="24"/>
        </w:rPr>
        <w:t>causam</w:t>
      </w:r>
      <w:proofErr w:type="spellEnd"/>
      <w:r w:rsidRPr="00D810E4">
        <w:rPr>
          <w:rFonts w:ascii="Arial" w:eastAsia="Calibri" w:hAnsi="Arial" w:cs="Arial"/>
          <w:bCs/>
          <w:i/>
          <w:sz w:val="24"/>
          <w:szCs w:val="24"/>
        </w:rPr>
        <w:t xml:space="preserve"> no es un presupuesto procesal como erróneamente lo expuso la responsable, porque lejos de referirse al procedimiento o al válido ejercicio de la acción, contempla la relación sustancial que debe existir entre el sujeto demandante o demandado y el interés perseguido en el juicio. Es entonces, una cuestión sustancial y no procesal o, mejor dicho, un presupuesto de la pretensión para la sentencia de fondo. En cambio, la </w:t>
      </w:r>
      <w:proofErr w:type="spellStart"/>
      <w:r w:rsidRPr="00D810E4">
        <w:rPr>
          <w:rFonts w:ascii="Arial" w:eastAsia="Calibri" w:hAnsi="Arial" w:cs="Arial"/>
          <w:bCs/>
          <w:i/>
          <w:sz w:val="24"/>
          <w:szCs w:val="24"/>
        </w:rPr>
        <w:t>legitimatio</w:t>
      </w:r>
      <w:proofErr w:type="spellEnd"/>
      <w:r w:rsidRPr="00D810E4">
        <w:rPr>
          <w:rFonts w:ascii="Arial" w:eastAsia="Calibri" w:hAnsi="Arial" w:cs="Arial"/>
          <w:bCs/>
          <w:i/>
          <w:sz w:val="24"/>
          <w:szCs w:val="24"/>
        </w:rPr>
        <w:t xml:space="preserve"> ad </w:t>
      </w:r>
      <w:proofErr w:type="spellStart"/>
      <w:r w:rsidRPr="00D810E4">
        <w:rPr>
          <w:rFonts w:ascii="Arial" w:eastAsia="Calibri" w:hAnsi="Arial" w:cs="Arial"/>
          <w:bCs/>
          <w:i/>
          <w:sz w:val="24"/>
          <w:szCs w:val="24"/>
        </w:rPr>
        <w:t>procesum</w:t>
      </w:r>
      <w:proofErr w:type="spellEnd"/>
      <w:r w:rsidRPr="00D810E4">
        <w:rPr>
          <w:rFonts w:ascii="Arial" w:eastAsia="Calibri" w:hAnsi="Arial" w:cs="Arial"/>
          <w:bCs/>
          <w:i/>
          <w:sz w:val="24"/>
          <w:szCs w:val="24"/>
        </w:rPr>
        <w:t xml:space="preserve"> sí es un presupuesto procesal pues refiere a la capacidad de las partes para ejecutar válidamente actos procesales y, por tanto, es condición para la validez formal del juicio.</w:t>
      </w:r>
    </w:p>
    <w:p w:rsidR="008052C6" w:rsidRPr="00D810E4" w:rsidRDefault="008052C6" w:rsidP="008052C6">
      <w:pPr>
        <w:spacing w:before="240" w:line="360" w:lineRule="auto"/>
        <w:ind w:left="851" w:right="333"/>
        <w:jc w:val="both"/>
        <w:rPr>
          <w:rFonts w:ascii="Arial" w:eastAsia="Calibri" w:hAnsi="Arial" w:cs="Arial"/>
          <w:bCs/>
          <w:i/>
          <w:sz w:val="24"/>
          <w:szCs w:val="24"/>
        </w:rPr>
      </w:pPr>
      <w:r w:rsidRPr="00D810E4">
        <w:rPr>
          <w:rFonts w:ascii="Arial" w:eastAsia="Calibri" w:hAnsi="Arial" w:cs="Arial"/>
          <w:bCs/>
          <w:i/>
          <w:sz w:val="24"/>
          <w:szCs w:val="24"/>
        </w:rPr>
        <w:t>SEGUNDO TRIBUNAL COLEGIADO DEL DECIMO SEXTO CIRCUITO.</w:t>
      </w:r>
    </w:p>
    <w:p w:rsidR="008052C6" w:rsidRPr="00D810E4" w:rsidRDefault="008052C6" w:rsidP="008052C6">
      <w:pPr>
        <w:spacing w:before="240" w:line="360" w:lineRule="auto"/>
        <w:ind w:left="851" w:right="333"/>
        <w:jc w:val="both"/>
        <w:rPr>
          <w:rFonts w:ascii="Arial" w:eastAsia="Calibri" w:hAnsi="Arial" w:cs="Arial"/>
          <w:bCs/>
          <w:i/>
          <w:sz w:val="24"/>
          <w:szCs w:val="24"/>
        </w:rPr>
      </w:pPr>
      <w:r w:rsidRPr="00D810E4">
        <w:rPr>
          <w:rFonts w:ascii="Arial" w:eastAsia="Calibri" w:hAnsi="Arial" w:cs="Arial"/>
          <w:bCs/>
          <w:i/>
          <w:sz w:val="24"/>
          <w:szCs w:val="24"/>
        </w:rPr>
        <w:t>Amparo directo 114/91. María Eneida Arguijo, como albacea de la sucesión a bienes de Benjamín Arguijo Avalos. 12 de junio de 1991. Unanimidad de votos. Ponente: Ignacio Patlán Romero. Secretario: Gildardo García Barrón.</w:t>
      </w:r>
    </w:p>
    <w:p w:rsidR="008052C6" w:rsidRDefault="008052C6" w:rsidP="008052C6">
      <w:pPr>
        <w:widowControl w:val="0"/>
        <w:tabs>
          <w:tab w:val="left" w:pos="0"/>
        </w:tabs>
        <w:spacing w:before="240" w:line="360" w:lineRule="auto"/>
        <w:ind w:right="18"/>
        <w:jc w:val="both"/>
        <w:rPr>
          <w:rFonts w:ascii="Arial" w:hAnsi="Arial" w:cs="Arial"/>
          <w:sz w:val="26"/>
          <w:szCs w:val="26"/>
        </w:rPr>
      </w:pPr>
      <w:r>
        <w:rPr>
          <w:rFonts w:ascii="Arial" w:eastAsia="Calibri" w:hAnsi="Arial" w:cs="Arial"/>
          <w:bCs/>
          <w:sz w:val="26"/>
          <w:szCs w:val="26"/>
        </w:rPr>
        <w:tab/>
        <w:t xml:space="preserve">En consecuencia, atendiendo a las consideraciones anteriormente expuestas, es procedente </w:t>
      </w:r>
      <w:r w:rsidRPr="0053094B">
        <w:rPr>
          <w:rFonts w:ascii="Arial" w:eastAsia="Calibri" w:hAnsi="Arial" w:cs="Arial"/>
          <w:b/>
          <w:bCs/>
          <w:sz w:val="26"/>
          <w:szCs w:val="26"/>
        </w:rPr>
        <w:t>DESECHAR</w:t>
      </w:r>
      <w:r>
        <w:rPr>
          <w:rFonts w:ascii="Arial" w:eastAsia="Calibri" w:hAnsi="Arial" w:cs="Arial"/>
          <w:bCs/>
          <w:sz w:val="26"/>
          <w:szCs w:val="26"/>
        </w:rPr>
        <w:t xml:space="preserve"> el presente recurso de revisión, al no estar legitimada la recurrente para impugnar el acuerdo de veinticuatro de junio de dos mil diecinueve en los términos planteados </w:t>
      </w:r>
      <w:r w:rsidRPr="006406CE">
        <w:rPr>
          <w:rFonts w:ascii="Arial" w:eastAsia="Calibri" w:hAnsi="Arial" w:cs="Arial"/>
          <w:sz w:val="26"/>
          <w:szCs w:val="26"/>
        </w:rPr>
        <w:t>y con fundamento en los artículos</w:t>
      </w:r>
      <w:r>
        <w:rPr>
          <w:rFonts w:ascii="Arial" w:eastAsia="Calibri" w:hAnsi="Arial" w:cs="Arial"/>
          <w:sz w:val="26"/>
          <w:szCs w:val="26"/>
        </w:rPr>
        <w:t xml:space="preserve"> </w:t>
      </w:r>
      <w:r>
        <w:rPr>
          <w:rFonts w:ascii="Arial" w:hAnsi="Arial" w:cs="Arial"/>
          <w:sz w:val="26"/>
          <w:szCs w:val="26"/>
        </w:rPr>
        <w:t xml:space="preserve">237 y 238 de la Ley de Procedimiento y Justicia Administrativa para el Estado de Oaxaca, </w:t>
      </w:r>
      <w:r w:rsidRPr="006406CE">
        <w:rPr>
          <w:rFonts w:ascii="Arial" w:eastAsia="Calibri" w:hAnsi="Arial" w:cs="Arial"/>
          <w:sz w:val="26"/>
          <w:szCs w:val="26"/>
        </w:rPr>
        <w:t>se</w:t>
      </w:r>
      <w:r>
        <w:rPr>
          <w:rFonts w:ascii="Arial" w:hAnsi="Arial" w:cs="Arial"/>
          <w:sz w:val="26"/>
          <w:szCs w:val="26"/>
        </w:rPr>
        <w:t>:</w:t>
      </w:r>
    </w:p>
    <w:p w:rsidR="008052C6" w:rsidRDefault="008052C6" w:rsidP="008052C6">
      <w:pPr>
        <w:widowControl w:val="0"/>
        <w:tabs>
          <w:tab w:val="left" w:pos="0"/>
        </w:tabs>
        <w:spacing w:before="240" w:line="360" w:lineRule="auto"/>
        <w:ind w:right="18"/>
        <w:jc w:val="both"/>
        <w:rPr>
          <w:rFonts w:ascii="Arial" w:hAnsi="Arial" w:cs="Arial"/>
          <w:sz w:val="26"/>
          <w:szCs w:val="26"/>
        </w:rPr>
      </w:pPr>
    </w:p>
    <w:p w:rsidR="008052C6" w:rsidRPr="002C15FF" w:rsidRDefault="008052C6" w:rsidP="008052C6">
      <w:pPr>
        <w:spacing w:line="360" w:lineRule="auto"/>
        <w:ind w:firstLine="708"/>
        <w:jc w:val="center"/>
        <w:rPr>
          <w:rFonts w:ascii="Arial" w:hAnsi="Arial" w:cs="Arial"/>
          <w:b/>
          <w:sz w:val="26"/>
          <w:szCs w:val="26"/>
        </w:rPr>
      </w:pPr>
      <w:r w:rsidRPr="002C15FF">
        <w:rPr>
          <w:rFonts w:ascii="Arial" w:hAnsi="Arial" w:cs="Arial"/>
          <w:b/>
          <w:sz w:val="26"/>
          <w:szCs w:val="26"/>
        </w:rPr>
        <w:t>R E S U E L V E</w:t>
      </w:r>
    </w:p>
    <w:p w:rsidR="008052C6" w:rsidRPr="002C15FF" w:rsidRDefault="008052C6" w:rsidP="008052C6">
      <w:pPr>
        <w:spacing w:line="360" w:lineRule="auto"/>
        <w:ind w:firstLine="708"/>
        <w:jc w:val="center"/>
        <w:rPr>
          <w:rFonts w:ascii="Arial" w:hAnsi="Arial" w:cs="Arial"/>
          <w:sz w:val="26"/>
          <w:szCs w:val="26"/>
        </w:rPr>
      </w:pPr>
    </w:p>
    <w:p w:rsidR="008052C6" w:rsidRDefault="008052C6" w:rsidP="008052C6">
      <w:pPr>
        <w:spacing w:line="360" w:lineRule="auto"/>
        <w:ind w:firstLine="708"/>
        <w:jc w:val="both"/>
        <w:rPr>
          <w:rFonts w:ascii="Arial" w:hAnsi="Arial" w:cs="Arial"/>
          <w:sz w:val="26"/>
          <w:szCs w:val="26"/>
        </w:rPr>
      </w:pPr>
      <w:r w:rsidRPr="002C15FF">
        <w:rPr>
          <w:rFonts w:ascii="Arial" w:hAnsi="Arial" w:cs="Arial"/>
          <w:b/>
          <w:sz w:val="26"/>
          <w:szCs w:val="26"/>
        </w:rPr>
        <w:t>PRIMERO.-</w:t>
      </w:r>
      <w:r w:rsidRPr="002C15FF">
        <w:rPr>
          <w:rFonts w:ascii="Arial" w:hAnsi="Arial" w:cs="Arial"/>
          <w:sz w:val="26"/>
          <w:szCs w:val="26"/>
        </w:rPr>
        <w:t xml:space="preserve"> Se </w:t>
      </w:r>
      <w:r w:rsidRPr="002C15FF">
        <w:rPr>
          <w:rFonts w:ascii="Arial" w:hAnsi="Arial" w:cs="Arial"/>
          <w:b/>
          <w:sz w:val="26"/>
          <w:szCs w:val="26"/>
        </w:rPr>
        <w:t>DESECHA</w:t>
      </w:r>
      <w:r w:rsidRPr="002C15FF">
        <w:rPr>
          <w:rFonts w:ascii="Arial" w:hAnsi="Arial" w:cs="Arial"/>
          <w:sz w:val="26"/>
          <w:szCs w:val="26"/>
        </w:rPr>
        <w:t xml:space="preserve"> el</w:t>
      </w:r>
      <w:r>
        <w:rPr>
          <w:rFonts w:ascii="Arial" w:hAnsi="Arial" w:cs="Arial"/>
          <w:sz w:val="26"/>
          <w:szCs w:val="26"/>
        </w:rPr>
        <w:t xml:space="preserve"> recurso de revisión interpuesto</w:t>
      </w:r>
      <w:r w:rsidRPr="002C15FF">
        <w:rPr>
          <w:rFonts w:ascii="Arial" w:hAnsi="Arial" w:cs="Arial"/>
          <w:sz w:val="26"/>
          <w:szCs w:val="26"/>
        </w:rPr>
        <w:t>, por las razones expuestas en el considerando que antecede.</w:t>
      </w:r>
    </w:p>
    <w:p w:rsidR="008052C6" w:rsidRPr="002C15FF" w:rsidRDefault="008052C6" w:rsidP="008052C6">
      <w:pPr>
        <w:spacing w:line="360" w:lineRule="auto"/>
        <w:ind w:firstLine="708"/>
        <w:jc w:val="both"/>
        <w:rPr>
          <w:rFonts w:ascii="Arial" w:hAnsi="Arial" w:cs="Arial"/>
          <w:sz w:val="26"/>
          <w:szCs w:val="26"/>
        </w:rPr>
      </w:pPr>
    </w:p>
    <w:p w:rsidR="008052C6" w:rsidRDefault="008052C6" w:rsidP="008052C6">
      <w:pPr>
        <w:spacing w:line="360" w:lineRule="auto"/>
        <w:ind w:firstLine="708"/>
        <w:jc w:val="both"/>
        <w:rPr>
          <w:rFonts w:ascii="Arial" w:hAnsi="Arial" w:cs="Arial"/>
          <w:sz w:val="26"/>
          <w:szCs w:val="26"/>
        </w:rPr>
      </w:pPr>
      <w:r w:rsidRPr="002C15FF">
        <w:rPr>
          <w:rFonts w:ascii="Arial" w:hAnsi="Arial" w:cs="Arial"/>
          <w:b/>
          <w:sz w:val="26"/>
          <w:szCs w:val="26"/>
        </w:rPr>
        <w:lastRenderedPageBreak/>
        <w:t>SEGUNDO.- NOTIFÍQUESE Y CÚMPLASE,</w:t>
      </w:r>
      <w:r w:rsidRPr="002C15FF">
        <w:rPr>
          <w:rFonts w:ascii="Arial" w:hAnsi="Arial" w:cs="Arial"/>
          <w:sz w:val="26"/>
          <w:szCs w:val="26"/>
        </w:rPr>
        <w:t xml:space="preserve"> remítase copia certificada de la presente resolución a la Primera Sala Unitaria de Primera Instancia de este Tribunal y en su oportunidad archívese el presente cuaderno de revisión como asunto concluido.</w:t>
      </w:r>
    </w:p>
    <w:p w:rsidR="008052C6" w:rsidRPr="002C15FF" w:rsidRDefault="008052C6" w:rsidP="008052C6">
      <w:pPr>
        <w:spacing w:line="360" w:lineRule="auto"/>
        <w:ind w:firstLine="708"/>
        <w:jc w:val="both"/>
        <w:rPr>
          <w:rFonts w:ascii="Arial" w:hAnsi="Arial" w:cs="Arial"/>
          <w:sz w:val="26"/>
          <w:szCs w:val="26"/>
        </w:rPr>
      </w:pPr>
    </w:p>
    <w:bookmarkEnd w:id="0"/>
    <w:p w:rsidR="008052C6" w:rsidRDefault="008052C6" w:rsidP="008052C6">
      <w:pPr>
        <w:pStyle w:val="corte4fondo"/>
        <w:spacing w:before="240"/>
        <w:ind w:left="-284" w:right="51" w:firstLine="710"/>
        <w:rPr>
          <w:rFonts w:eastAsia="Calibri"/>
          <w:sz w:val="26"/>
          <w:szCs w:val="26"/>
        </w:rPr>
      </w:pPr>
      <w:r>
        <w:rPr>
          <w:rFonts w:eastAsia="Calibri"/>
          <w:sz w:val="26"/>
          <w:szCs w:val="26"/>
        </w:rPr>
        <w:t>Así por unanimidad de votos, lo resolvieron y firmaron los Magistrados integrantes de la Sala Superior del Tribunal de Justicia Administrativa del Estado, quienes actúan con la Secretaria General de Acuerdos de este Tribunal, que autoriza y da fe.</w:t>
      </w:r>
    </w:p>
    <w:p w:rsidR="008052C6" w:rsidRDefault="008052C6" w:rsidP="008052C6">
      <w:pPr>
        <w:spacing w:line="360" w:lineRule="auto"/>
        <w:rPr>
          <w:rFonts w:ascii="Arial" w:hAnsi="Arial" w:cs="Arial"/>
          <w:sz w:val="26"/>
          <w:szCs w:val="26"/>
          <w:lang w:val="es-ES_tradnl"/>
        </w:rPr>
      </w:pPr>
    </w:p>
    <w:p w:rsidR="008052C6" w:rsidRDefault="008052C6" w:rsidP="008052C6">
      <w:pPr>
        <w:spacing w:line="360" w:lineRule="auto"/>
        <w:rPr>
          <w:rFonts w:ascii="Arial" w:hAnsi="Arial" w:cs="Arial"/>
          <w:sz w:val="26"/>
          <w:szCs w:val="26"/>
        </w:rPr>
      </w:pPr>
    </w:p>
    <w:p w:rsidR="008052C6" w:rsidRDefault="008052C6" w:rsidP="008052C6">
      <w:pPr>
        <w:spacing w:line="360" w:lineRule="auto"/>
        <w:rPr>
          <w:rFonts w:ascii="Arial" w:hAnsi="Arial" w:cs="Arial"/>
          <w:sz w:val="26"/>
          <w:szCs w:val="26"/>
        </w:rPr>
      </w:pPr>
    </w:p>
    <w:p w:rsidR="008052C6" w:rsidRDefault="008052C6" w:rsidP="008052C6">
      <w:pPr>
        <w:spacing w:line="360" w:lineRule="auto"/>
        <w:rPr>
          <w:rFonts w:ascii="Arial" w:hAnsi="Arial" w:cs="Arial"/>
          <w:sz w:val="26"/>
          <w:szCs w:val="26"/>
        </w:rPr>
      </w:pPr>
    </w:p>
    <w:p w:rsidR="008052C6" w:rsidRDefault="008052C6" w:rsidP="008052C6">
      <w:pPr>
        <w:spacing w:line="360" w:lineRule="auto"/>
        <w:rPr>
          <w:rFonts w:ascii="Arial" w:hAnsi="Arial" w:cs="Arial"/>
          <w:sz w:val="26"/>
          <w:szCs w:val="26"/>
        </w:rPr>
      </w:pPr>
    </w:p>
    <w:p w:rsidR="008052C6" w:rsidRDefault="008052C6" w:rsidP="008052C6">
      <w:pPr>
        <w:spacing w:line="360" w:lineRule="auto"/>
        <w:rPr>
          <w:rFonts w:ascii="Arial" w:hAnsi="Arial" w:cs="Arial"/>
          <w:sz w:val="26"/>
          <w:szCs w:val="26"/>
        </w:rPr>
      </w:pPr>
    </w:p>
    <w:p w:rsidR="008052C6" w:rsidRDefault="008052C6" w:rsidP="008052C6">
      <w:pPr>
        <w:jc w:val="center"/>
        <w:rPr>
          <w:rFonts w:ascii="Arial" w:eastAsia="Calibri" w:hAnsi="Arial" w:cs="Arial"/>
          <w:sz w:val="26"/>
          <w:szCs w:val="26"/>
        </w:rPr>
      </w:pPr>
      <w:r>
        <w:rPr>
          <w:rFonts w:ascii="Arial" w:eastAsia="Calibri" w:hAnsi="Arial" w:cs="Arial"/>
          <w:sz w:val="26"/>
          <w:szCs w:val="26"/>
        </w:rPr>
        <w:t>MAGISTRADA MARÍA ELENA VILLA DE JARQUÍN</w:t>
      </w:r>
    </w:p>
    <w:p w:rsidR="008052C6" w:rsidRDefault="008052C6" w:rsidP="008052C6">
      <w:pPr>
        <w:jc w:val="center"/>
        <w:rPr>
          <w:rFonts w:ascii="Arial" w:eastAsia="Calibri" w:hAnsi="Arial" w:cs="Arial"/>
          <w:sz w:val="26"/>
          <w:szCs w:val="26"/>
        </w:rPr>
      </w:pPr>
      <w:r>
        <w:rPr>
          <w:rFonts w:ascii="Arial" w:eastAsia="Calibri" w:hAnsi="Arial" w:cs="Arial"/>
          <w:sz w:val="26"/>
          <w:szCs w:val="26"/>
        </w:rPr>
        <w:t xml:space="preserve">PRESIDENTA </w:t>
      </w:r>
    </w:p>
    <w:p w:rsidR="008052C6" w:rsidRDefault="008052C6" w:rsidP="008052C6">
      <w:pPr>
        <w:spacing w:line="360" w:lineRule="auto"/>
        <w:rPr>
          <w:rFonts w:ascii="Arial" w:eastAsiaTheme="minorEastAsia" w:hAnsi="Arial" w:cs="Arial"/>
          <w:sz w:val="26"/>
          <w:szCs w:val="26"/>
          <w:lang w:eastAsia="es-MX"/>
        </w:rPr>
      </w:pPr>
    </w:p>
    <w:p w:rsidR="008052C6" w:rsidRDefault="008052C6" w:rsidP="008052C6">
      <w:pPr>
        <w:spacing w:line="360" w:lineRule="auto"/>
        <w:rPr>
          <w:rFonts w:ascii="Arial" w:eastAsiaTheme="minorEastAsia" w:hAnsi="Arial" w:cs="Arial"/>
          <w:sz w:val="26"/>
          <w:szCs w:val="26"/>
          <w:lang w:eastAsia="es-MX"/>
        </w:rPr>
      </w:pPr>
    </w:p>
    <w:p w:rsidR="008052C6" w:rsidRDefault="008052C6" w:rsidP="008052C6">
      <w:pPr>
        <w:spacing w:line="360" w:lineRule="auto"/>
        <w:rPr>
          <w:rFonts w:ascii="Arial" w:eastAsiaTheme="minorEastAsia" w:hAnsi="Arial" w:cs="Arial"/>
          <w:sz w:val="26"/>
          <w:szCs w:val="26"/>
          <w:lang w:eastAsia="es-MX"/>
        </w:rPr>
      </w:pPr>
    </w:p>
    <w:p w:rsidR="009C144A" w:rsidRDefault="009C144A" w:rsidP="008052C6">
      <w:pPr>
        <w:spacing w:line="360" w:lineRule="auto"/>
        <w:rPr>
          <w:rFonts w:ascii="Arial" w:eastAsiaTheme="minorEastAsia" w:hAnsi="Arial" w:cs="Arial"/>
          <w:sz w:val="26"/>
          <w:szCs w:val="26"/>
          <w:lang w:eastAsia="es-MX"/>
        </w:rPr>
      </w:pPr>
    </w:p>
    <w:p w:rsidR="008052C6" w:rsidRDefault="008052C6" w:rsidP="008052C6">
      <w:pPr>
        <w:spacing w:line="360" w:lineRule="auto"/>
        <w:rPr>
          <w:rFonts w:ascii="Arial" w:eastAsiaTheme="minorEastAsia" w:hAnsi="Arial" w:cs="Arial"/>
          <w:sz w:val="26"/>
          <w:szCs w:val="26"/>
          <w:lang w:eastAsia="es-MX"/>
        </w:rPr>
      </w:pPr>
    </w:p>
    <w:p w:rsidR="008052C6" w:rsidRDefault="008052C6" w:rsidP="008052C6">
      <w:pPr>
        <w:spacing w:line="360" w:lineRule="auto"/>
        <w:rPr>
          <w:rFonts w:ascii="Arial" w:eastAsiaTheme="minorEastAsia" w:hAnsi="Arial" w:cs="Arial"/>
          <w:sz w:val="26"/>
          <w:szCs w:val="26"/>
          <w:lang w:eastAsia="es-MX"/>
        </w:rPr>
      </w:pPr>
    </w:p>
    <w:p w:rsidR="008052C6" w:rsidRDefault="008052C6" w:rsidP="008052C6">
      <w:pPr>
        <w:spacing w:line="360" w:lineRule="auto"/>
        <w:jc w:val="center"/>
        <w:rPr>
          <w:rFonts w:ascii="Arial" w:eastAsiaTheme="minorEastAsia" w:hAnsi="Arial" w:cs="Arial"/>
          <w:sz w:val="26"/>
          <w:szCs w:val="26"/>
          <w:lang w:eastAsia="es-MX"/>
        </w:rPr>
      </w:pPr>
      <w:r>
        <w:rPr>
          <w:rFonts w:ascii="Arial" w:eastAsiaTheme="minorEastAsia" w:hAnsi="Arial" w:cs="Arial"/>
          <w:sz w:val="26"/>
          <w:szCs w:val="26"/>
          <w:lang w:eastAsia="es-MX"/>
        </w:rPr>
        <w:t>MAGISTRADO MANUEL VELASCO ALCÁNTARA</w:t>
      </w:r>
    </w:p>
    <w:p w:rsidR="008052C6" w:rsidRDefault="008052C6" w:rsidP="008052C6">
      <w:pPr>
        <w:spacing w:line="360" w:lineRule="auto"/>
        <w:jc w:val="center"/>
        <w:rPr>
          <w:rFonts w:ascii="Arial" w:eastAsia="Calibri" w:hAnsi="Arial" w:cs="Arial"/>
          <w:b/>
          <w:sz w:val="14"/>
          <w:szCs w:val="26"/>
        </w:rPr>
      </w:pPr>
    </w:p>
    <w:p w:rsidR="008052C6" w:rsidRDefault="008052C6" w:rsidP="008052C6">
      <w:pPr>
        <w:spacing w:line="360" w:lineRule="auto"/>
        <w:rPr>
          <w:rFonts w:ascii="Arial" w:eastAsia="Calibri" w:hAnsi="Arial" w:cs="Arial"/>
          <w:sz w:val="26"/>
          <w:szCs w:val="26"/>
        </w:rPr>
      </w:pPr>
    </w:p>
    <w:p w:rsidR="008052C6" w:rsidRDefault="008052C6" w:rsidP="008052C6">
      <w:pPr>
        <w:spacing w:line="360" w:lineRule="auto"/>
        <w:rPr>
          <w:rFonts w:ascii="Arial" w:eastAsia="Calibri" w:hAnsi="Arial" w:cs="Arial"/>
          <w:sz w:val="26"/>
          <w:szCs w:val="26"/>
        </w:rPr>
      </w:pPr>
    </w:p>
    <w:p w:rsidR="008052C6" w:rsidRDefault="008052C6" w:rsidP="008052C6">
      <w:pPr>
        <w:spacing w:line="360" w:lineRule="auto"/>
        <w:rPr>
          <w:rFonts w:ascii="Arial" w:eastAsia="Calibri" w:hAnsi="Arial" w:cs="Arial"/>
          <w:sz w:val="26"/>
          <w:szCs w:val="26"/>
        </w:rPr>
      </w:pPr>
    </w:p>
    <w:p w:rsidR="008052C6" w:rsidRDefault="008052C6" w:rsidP="008052C6">
      <w:pPr>
        <w:spacing w:line="360" w:lineRule="auto"/>
        <w:rPr>
          <w:rFonts w:ascii="Arial" w:eastAsia="Calibri" w:hAnsi="Arial" w:cs="Arial"/>
          <w:sz w:val="26"/>
          <w:szCs w:val="26"/>
        </w:rPr>
      </w:pPr>
    </w:p>
    <w:p w:rsidR="008052C6" w:rsidRDefault="008052C6" w:rsidP="009C144A">
      <w:pPr>
        <w:tabs>
          <w:tab w:val="center" w:pos="4135"/>
          <w:tab w:val="left" w:pos="7515"/>
        </w:tabs>
        <w:spacing w:line="360" w:lineRule="auto"/>
        <w:rPr>
          <w:rFonts w:ascii="Arial" w:hAnsi="Arial" w:cs="Arial"/>
          <w:sz w:val="26"/>
          <w:szCs w:val="26"/>
        </w:rPr>
      </w:pPr>
    </w:p>
    <w:p w:rsidR="008052C6" w:rsidRDefault="008052C6" w:rsidP="008052C6">
      <w:pPr>
        <w:jc w:val="center"/>
        <w:rPr>
          <w:rFonts w:ascii="Arial" w:hAnsi="Arial" w:cs="Arial"/>
          <w:sz w:val="26"/>
          <w:szCs w:val="26"/>
        </w:rPr>
      </w:pPr>
      <w:r>
        <w:rPr>
          <w:rFonts w:ascii="Arial" w:hAnsi="Arial" w:cs="Arial"/>
          <w:sz w:val="26"/>
          <w:szCs w:val="26"/>
        </w:rPr>
        <w:t>MAGISTRADO RAÚL PALOMARES PALOMINO</w:t>
      </w:r>
    </w:p>
    <w:p w:rsidR="008052C6" w:rsidRDefault="008052C6" w:rsidP="008052C6">
      <w:pPr>
        <w:jc w:val="center"/>
        <w:rPr>
          <w:rFonts w:ascii="Arial" w:hAnsi="Arial" w:cs="Arial"/>
          <w:sz w:val="26"/>
          <w:szCs w:val="26"/>
        </w:rPr>
      </w:pPr>
    </w:p>
    <w:p w:rsidR="008052C6" w:rsidRDefault="008052C6" w:rsidP="008052C6">
      <w:pPr>
        <w:jc w:val="center"/>
        <w:rPr>
          <w:rFonts w:ascii="Arial" w:hAnsi="Arial" w:cs="Arial"/>
          <w:sz w:val="26"/>
          <w:szCs w:val="26"/>
        </w:rPr>
      </w:pPr>
    </w:p>
    <w:p w:rsidR="009C144A" w:rsidRDefault="009C144A" w:rsidP="008052C6">
      <w:pPr>
        <w:jc w:val="center"/>
        <w:rPr>
          <w:rFonts w:ascii="Arial" w:hAnsi="Arial" w:cs="Arial"/>
          <w:sz w:val="26"/>
          <w:szCs w:val="26"/>
        </w:rPr>
      </w:pPr>
    </w:p>
    <w:p w:rsidR="008052C6" w:rsidRDefault="008052C6" w:rsidP="008052C6">
      <w:pPr>
        <w:jc w:val="center"/>
        <w:rPr>
          <w:rFonts w:ascii="Arial" w:hAnsi="Arial" w:cs="Arial"/>
          <w:sz w:val="26"/>
          <w:szCs w:val="26"/>
        </w:rPr>
      </w:pPr>
    </w:p>
    <w:p w:rsidR="009C144A" w:rsidRDefault="009C144A" w:rsidP="009C144A">
      <w:pPr>
        <w:spacing w:line="360" w:lineRule="auto"/>
        <w:jc w:val="center"/>
        <w:rPr>
          <w:rFonts w:ascii="Arial" w:eastAsia="Calibri" w:hAnsi="Arial" w:cs="Arial"/>
          <w:b/>
          <w:bCs/>
          <w:sz w:val="14"/>
          <w:szCs w:val="14"/>
        </w:rPr>
      </w:pPr>
      <w:r>
        <w:rPr>
          <w:rFonts w:ascii="Arial" w:eastAsia="Calibri" w:hAnsi="Arial" w:cs="Arial"/>
          <w:b/>
          <w:bCs/>
          <w:sz w:val="14"/>
          <w:szCs w:val="14"/>
        </w:rPr>
        <w:t>LAS PRESENTES FRIMAS CORRESPONDEN AL RECURSO DE REVISIÓN 256/2019</w:t>
      </w:r>
    </w:p>
    <w:p w:rsidR="008052C6" w:rsidRDefault="008052C6" w:rsidP="008052C6">
      <w:pPr>
        <w:jc w:val="center"/>
        <w:rPr>
          <w:rFonts w:ascii="Arial" w:hAnsi="Arial" w:cs="Arial"/>
          <w:sz w:val="26"/>
          <w:szCs w:val="26"/>
        </w:rPr>
      </w:pPr>
    </w:p>
    <w:p w:rsidR="008052C6" w:rsidRDefault="008052C6" w:rsidP="008052C6">
      <w:pPr>
        <w:jc w:val="center"/>
        <w:rPr>
          <w:rFonts w:ascii="Arial" w:hAnsi="Arial" w:cs="Arial"/>
          <w:sz w:val="26"/>
          <w:szCs w:val="26"/>
        </w:rPr>
      </w:pPr>
    </w:p>
    <w:p w:rsidR="008052C6" w:rsidRDefault="008052C6" w:rsidP="008052C6">
      <w:pPr>
        <w:jc w:val="center"/>
        <w:rPr>
          <w:rFonts w:ascii="Arial" w:hAnsi="Arial" w:cs="Arial"/>
          <w:sz w:val="26"/>
          <w:szCs w:val="26"/>
        </w:rPr>
      </w:pPr>
    </w:p>
    <w:p w:rsidR="008052C6" w:rsidRDefault="008052C6" w:rsidP="008052C6">
      <w:pPr>
        <w:jc w:val="center"/>
        <w:rPr>
          <w:rFonts w:ascii="Arial" w:hAnsi="Arial" w:cs="Arial"/>
          <w:sz w:val="26"/>
          <w:szCs w:val="26"/>
        </w:rPr>
      </w:pPr>
    </w:p>
    <w:p w:rsidR="009C144A" w:rsidRDefault="009C144A" w:rsidP="008052C6">
      <w:pPr>
        <w:jc w:val="center"/>
        <w:rPr>
          <w:rFonts w:ascii="Arial" w:hAnsi="Arial" w:cs="Arial"/>
          <w:sz w:val="26"/>
          <w:szCs w:val="26"/>
        </w:rPr>
      </w:pPr>
    </w:p>
    <w:p w:rsidR="009C144A" w:rsidRDefault="009C144A" w:rsidP="008052C6">
      <w:pPr>
        <w:jc w:val="center"/>
        <w:rPr>
          <w:rFonts w:ascii="Arial" w:hAnsi="Arial" w:cs="Arial"/>
          <w:sz w:val="26"/>
          <w:szCs w:val="26"/>
        </w:rPr>
      </w:pPr>
    </w:p>
    <w:p w:rsidR="009C144A" w:rsidRDefault="009C144A" w:rsidP="008052C6">
      <w:pPr>
        <w:jc w:val="center"/>
        <w:rPr>
          <w:rFonts w:ascii="Arial" w:hAnsi="Arial" w:cs="Arial"/>
          <w:sz w:val="26"/>
          <w:szCs w:val="26"/>
        </w:rPr>
      </w:pPr>
    </w:p>
    <w:p w:rsidR="009C144A" w:rsidRDefault="009C144A" w:rsidP="008052C6">
      <w:pPr>
        <w:jc w:val="center"/>
        <w:rPr>
          <w:rFonts w:ascii="Arial" w:hAnsi="Arial" w:cs="Arial"/>
          <w:sz w:val="26"/>
          <w:szCs w:val="26"/>
        </w:rPr>
      </w:pPr>
    </w:p>
    <w:p w:rsidR="008052C6" w:rsidRDefault="008052C6" w:rsidP="008052C6">
      <w:pPr>
        <w:tabs>
          <w:tab w:val="center" w:pos="4135"/>
          <w:tab w:val="left" w:pos="7515"/>
        </w:tabs>
        <w:spacing w:line="360" w:lineRule="auto"/>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ABRAHAM SANTIAGO SORIANO</w:t>
      </w: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9C144A" w:rsidRDefault="009C144A" w:rsidP="008052C6">
      <w:pPr>
        <w:tabs>
          <w:tab w:val="left" w:pos="1680"/>
          <w:tab w:val="center" w:pos="4277"/>
        </w:tabs>
        <w:spacing w:line="360" w:lineRule="auto"/>
        <w:jc w:val="center"/>
        <w:rPr>
          <w:rFonts w:ascii="Arial" w:hAnsi="Arial" w:cs="Arial"/>
          <w:sz w:val="26"/>
          <w:szCs w:val="26"/>
        </w:rPr>
      </w:pPr>
    </w:p>
    <w:p w:rsidR="009C144A" w:rsidRDefault="009C144A"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r>
        <w:rPr>
          <w:rFonts w:ascii="Arial" w:hAnsi="Arial" w:cs="Arial"/>
          <w:sz w:val="26"/>
          <w:szCs w:val="26"/>
        </w:rPr>
        <w:t>MAGISTRADO ADRIÁN QUIROGA AVENDAÑO</w:t>
      </w: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tabs>
          <w:tab w:val="left" w:pos="1680"/>
          <w:tab w:val="center" w:pos="4277"/>
        </w:tabs>
        <w:spacing w:line="360" w:lineRule="auto"/>
        <w:jc w:val="center"/>
        <w:rPr>
          <w:rFonts w:ascii="Arial" w:hAnsi="Arial" w:cs="Arial"/>
          <w:sz w:val="26"/>
          <w:szCs w:val="26"/>
        </w:rPr>
      </w:pPr>
    </w:p>
    <w:p w:rsidR="008052C6" w:rsidRDefault="008052C6" w:rsidP="008052C6">
      <w:pPr>
        <w:jc w:val="center"/>
        <w:rPr>
          <w:rFonts w:ascii="Arial" w:hAnsi="Arial" w:cs="Arial"/>
          <w:sz w:val="26"/>
          <w:szCs w:val="26"/>
        </w:rPr>
      </w:pPr>
    </w:p>
    <w:p w:rsidR="008052C6" w:rsidRDefault="008052C6" w:rsidP="008052C6">
      <w:pPr>
        <w:pStyle w:val="Sinespaciado"/>
        <w:jc w:val="center"/>
        <w:rPr>
          <w:rFonts w:ascii="Arial" w:hAnsi="Arial" w:cs="Arial"/>
          <w:sz w:val="26"/>
          <w:szCs w:val="26"/>
        </w:rPr>
      </w:pPr>
      <w:r>
        <w:rPr>
          <w:rFonts w:ascii="Arial" w:hAnsi="Arial" w:cs="Arial"/>
          <w:sz w:val="26"/>
          <w:szCs w:val="26"/>
        </w:rPr>
        <w:t>LICENCIADA FELICITAS DÍAZ VÁZQUEZ</w:t>
      </w:r>
    </w:p>
    <w:p w:rsidR="008052C6" w:rsidRDefault="008052C6" w:rsidP="008052C6">
      <w:pPr>
        <w:pStyle w:val="Sinespaciado"/>
        <w:jc w:val="center"/>
        <w:rPr>
          <w:rFonts w:ascii="Arial" w:hAnsi="Arial" w:cs="Arial"/>
          <w:sz w:val="26"/>
          <w:szCs w:val="26"/>
        </w:rPr>
      </w:pPr>
      <w:r>
        <w:rPr>
          <w:rFonts w:ascii="Arial" w:hAnsi="Arial" w:cs="Arial"/>
          <w:sz w:val="26"/>
          <w:szCs w:val="26"/>
        </w:rPr>
        <w:t>SECRETARIA GENERAL DE ACUERDOS</w:t>
      </w:r>
    </w:p>
    <w:p w:rsidR="008052C6" w:rsidRDefault="008052C6" w:rsidP="008052C6">
      <w:pPr>
        <w:pStyle w:val="Sinespaciado"/>
        <w:jc w:val="center"/>
        <w:rPr>
          <w:rFonts w:ascii="Arial" w:hAnsi="Arial" w:cs="Arial"/>
          <w:sz w:val="26"/>
          <w:szCs w:val="26"/>
        </w:rPr>
      </w:pPr>
    </w:p>
    <w:p w:rsidR="008052C6" w:rsidRDefault="008052C6" w:rsidP="008052C6">
      <w:pPr>
        <w:pStyle w:val="Sinespaciado"/>
        <w:jc w:val="center"/>
        <w:rPr>
          <w:rFonts w:ascii="Arial" w:hAnsi="Arial" w:cs="Arial"/>
          <w:sz w:val="26"/>
          <w:szCs w:val="26"/>
        </w:rPr>
      </w:pPr>
    </w:p>
    <w:p w:rsidR="008052C6" w:rsidRDefault="008052C6" w:rsidP="008052C6">
      <w:pPr>
        <w:jc w:val="center"/>
        <w:rPr>
          <w:sz w:val="26"/>
          <w:szCs w:val="26"/>
        </w:rPr>
      </w:pPr>
    </w:p>
    <w:p w:rsidR="008052C6" w:rsidRDefault="008052C6" w:rsidP="008052C6">
      <w:pPr>
        <w:spacing w:line="360" w:lineRule="auto"/>
        <w:ind w:left="-284" w:firstLine="708"/>
        <w:jc w:val="both"/>
        <w:rPr>
          <w:rFonts w:ascii="Arial" w:hAnsi="Arial" w:cs="Arial"/>
          <w:sz w:val="26"/>
          <w:szCs w:val="26"/>
        </w:rPr>
      </w:pPr>
    </w:p>
    <w:p w:rsidR="008052C6" w:rsidRDefault="008052C6" w:rsidP="008052C6">
      <w:pPr>
        <w:jc w:val="center"/>
        <w:rPr>
          <w:sz w:val="26"/>
          <w:szCs w:val="26"/>
        </w:rPr>
      </w:pPr>
    </w:p>
    <w:p w:rsidR="008052C6" w:rsidRDefault="008052C6" w:rsidP="008052C6"/>
    <w:p w:rsidR="008052C6" w:rsidRPr="002C15FF" w:rsidRDefault="008052C6" w:rsidP="008052C6">
      <w:pPr>
        <w:spacing w:line="360" w:lineRule="auto"/>
        <w:ind w:firstLine="708"/>
        <w:jc w:val="both"/>
        <w:rPr>
          <w:rFonts w:ascii="Arial" w:hAnsi="Arial" w:cs="Arial"/>
          <w:sz w:val="26"/>
          <w:szCs w:val="26"/>
        </w:rPr>
      </w:pPr>
    </w:p>
    <w:p w:rsidR="004D0EEB" w:rsidRPr="008052C6" w:rsidRDefault="004D0EEB" w:rsidP="008052C6"/>
    <w:sectPr w:rsidR="004D0EEB" w:rsidRPr="008052C6" w:rsidSect="00525044">
      <w:headerReference w:type="even" r:id="rId8"/>
      <w:headerReference w:type="default" r:id="rId9"/>
      <w:pgSz w:w="12240" w:h="20160" w:code="5"/>
      <w:pgMar w:top="1418" w:right="1134" w:bottom="1418"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F5DD5" w:rsidRDefault="005F5DD5">
      <w:r>
        <w:separator/>
      </w:r>
    </w:p>
  </w:endnote>
  <w:endnote w:type="continuationSeparator" w:id="0">
    <w:p w:rsidR="005F5DD5" w:rsidRDefault="005F5D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mbria">
    <w:panose1 w:val="02040503050406030204"/>
    <w:charset w:val="00"/>
    <w:family w:val="roman"/>
    <w:pitch w:val="variable"/>
    <w:sig w:usb0="A00002EF" w:usb1="4000004B" w:usb2="00000000"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F5DD5" w:rsidRDefault="005F5DD5">
      <w:r>
        <w:separator/>
      </w:r>
    </w:p>
  </w:footnote>
  <w:footnote w:type="continuationSeparator" w:id="0">
    <w:p w:rsidR="005F5DD5" w:rsidRDefault="005F5DD5">
      <w:r>
        <w:continuationSeparator/>
      </w:r>
    </w:p>
  </w:footnote>
  <w:footnote w:id="1">
    <w:p w:rsidR="008052C6" w:rsidRPr="00F73699" w:rsidRDefault="008052C6" w:rsidP="008052C6">
      <w:pPr>
        <w:pStyle w:val="Textonotapie"/>
        <w:jc w:val="both"/>
        <w:rPr>
          <w:rFonts w:ascii="Arial" w:hAnsi="Arial" w:cs="Arial"/>
          <w:i/>
        </w:rPr>
      </w:pPr>
      <w:r>
        <w:rPr>
          <w:rStyle w:val="Refdenotaalpie"/>
        </w:rPr>
        <w:footnoteRef/>
      </w:r>
      <w:r>
        <w:t xml:space="preserve"> </w:t>
      </w:r>
      <w:r w:rsidRPr="00F73699">
        <w:rPr>
          <w:rFonts w:ascii="Arial" w:hAnsi="Arial" w:cs="Arial"/>
          <w:b/>
          <w:i/>
        </w:rPr>
        <w:t>ARTÍCULO 206.-</w:t>
      </w:r>
      <w:r w:rsidRPr="00F73699">
        <w:rPr>
          <w:rFonts w:ascii="Arial" w:hAnsi="Arial" w:cs="Arial"/>
          <w:i/>
        </w:rPr>
        <w:t xml:space="preserve"> Contra los acuerdos y resoluciones dictados por las salas unitarias de primera</w:t>
      </w:r>
      <w:r>
        <w:rPr>
          <w:rFonts w:ascii="Arial" w:hAnsi="Arial" w:cs="Arial"/>
          <w:i/>
        </w:rPr>
        <w:t xml:space="preserve"> </w:t>
      </w:r>
      <w:r w:rsidRPr="00F73699">
        <w:rPr>
          <w:rFonts w:ascii="Arial" w:hAnsi="Arial" w:cs="Arial"/>
          <w:i/>
        </w:rPr>
        <w:t>instancia, procede el recurso de revisión, cuyo conocimiento y resolución corresponde a la Sala</w:t>
      </w:r>
      <w:r>
        <w:rPr>
          <w:rFonts w:ascii="Arial" w:hAnsi="Arial" w:cs="Arial"/>
          <w:i/>
        </w:rPr>
        <w:t xml:space="preserve"> </w:t>
      </w:r>
      <w:r w:rsidRPr="00F73699">
        <w:rPr>
          <w:rFonts w:ascii="Arial" w:hAnsi="Arial" w:cs="Arial"/>
          <w:i/>
        </w:rPr>
        <w:t>Superior.</w:t>
      </w:r>
    </w:p>
    <w:p w:rsidR="008052C6" w:rsidRPr="00F73699" w:rsidRDefault="008052C6" w:rsidP="008052C6">
      <w:pPr>
        <w:pStyle w:val="Textonotapie"/>
        <w:jc w:val="both"/>
        <w:rPr>
          <w:rFonts w:ascii="Arial" w:hAnsi="Arial" w:cs="Arial"/>
          <w:i/>
        </w:rPr>
      </w:pPr>
      <w:r w:rsidRPr="00F73699">
        <w:rPr>
          <w:rFonts w:ascii="Arial" w:hAnsi="Arial" w:cs="Arial"/>
          <w:i/>
        </w:rPr>
        <w:t>Podrán ser impugnadas por las partes, mediante recurso de revisión:</w:t>
      </w:r>
    </w:p>
    <w:p w:rsidR="008052C6" w:rsidRPr="00F73699" w:rsidRDefault="008052C6" w:rsidP="008052C6">
      <w:pPr>
        <w:pStyle w:val="Textonotapie"/>
        <w:jc w:val="both"/>
        <w:rPr>
          <w:rFonts w:ascii="Arial" w:hAnsi="Arial" w:cs="Arial"/>
          <w:i/>
        </w:rPr>
      </w:pPr>
      <w:r w:rsidRPr="00F73699">
        <w:rPr>
          <w:rFonts w:ascii="Arial" w:hAnsi="Arial" w:cs="Arial"/>
          <w:i/>
        </w:rPr>
        <w:t>VIII.- Las resoluciones que pongan fin al procedimiento de ejecución de la sentencia.</w:t>
      </w:r>
    </w:p>
  </w:footnote>
  <w:footnote w:id="2">
    <w:p w:rsidR="008052C6" w:rsidRPr="0095018D" w:rsidRDefault="008052C6" w:rsidP="008052C6">
      <w:pPr>
        <w:pStyle w:val="Textonotapie"/>
        <w:jc w:val="both"/>
        <w:rPr>
          <w:rFonts w:ascii="Arial" w:hAnsi="Arial" w:cs="Arial"/>
          <w:i/>
        </w:rPr>
      </w:pPr>
      <w:r>
        <w:rPr>
          <w:rStyle w:val="Refdenotaalpie"/>
        </w:rPr>
        <w:footnoteRef/>
      </w:r>
      <w:r>
        <w:t xml:space="preserve"> </w:t>
      </w:r>
      <w:r w:rsidRPr="0095018D">
        <w:rPr>
          <w:rFonts w:ascii="Arial" w:hAnsi="Arial" w:cs="Arial"/>
          <w:i/>
        </w:rPr>
        <w:t>“</w:t>
      </w:r>
      <w:r w:rsidRPr="0095018D">
        <w:rPr>
          <w:rFonts w:ascii="Arial" w:hAnsi="Arial" w:cs="Arial"/>
          <w:b/>
          <w:i/>
        </w:rPr>
        <w:t xml:space="preserve">ARTÍCULO </w:t>
      </w:r>
      <w:r>
        <w:rPr>
          <w:rFonts w:ascii="Arial" w:hAnsi="Arial" w:cs="Arial"/>
          <w:b/>
          <w:i/>
        </w:rPr>
        <w:t>20</w:t>
      </w:r>
      <w:r w:rsidRPr="0095018D">
        <w:rPr>
          <w:rFonts w:ascii="Arial" w:hAnsi="Arial" w:cs="Arial"/>
          <w:b/>
          <w:i/>
        </w:rPr>
        <w:t xml:space="preserve">3.- </w:t>
      </w:r>
      <w:r w:rsidRPr="0095018D">
        <w:rPr>
          <w:rFonts w:ascii="Arial" w:hAnsi="Arial" w:cs="Arial"/>
          <w:i/>
        </w:rPr>
        <w:t>La valoración de las pruebas se hará de acuerdo con las siguientes reglas:</w:t>
      </w:r>
    </w:p>
    <w:p w:rsidR="008052C6" w:rsidRPr="006C4EE7" w:rsidRDefault="008052C6" w:rsidP="008052C6">
      <w:pPr>
        <w:pStyle w:val="Textonotapie"/>
        <w:jc w:val="both"/>
        <w:rPr>
          <w:rFonts w:ascii="Arial" w:hAnsi="Arial" w:cs="Arial"/>
          <w:i/>
        </w:rPr>
      </w:pPr>
      <w:r w:rsidRPr="0095018D">
        <w:rPr>
          <w:rFonts w:ascii="Arial" w:hAnsi="Arial" w:cs="Arial"/>
          <w:i/>
        </w:rPr>
        <w:t xml:space="preserve">   I. Harán prueba plena la confesión expresa de las partes y los actos contenidos en documentos públicos, si en éstos últimos se contiene declaraciones de verdad o manifestacio</w:t>
      </w:r>
      <w:r>
        <w:rPr>
          <w:rFonts w:ascii="Arial" w:hAnsi="Arial" w:cs="Arial"/>
          <w:i/>
        </w:rPr>
        <w:t>nes de hechos de particulares,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96026526"/>
      <w:docPartObj>
        <w:docPartGallery w:val="Page Numbers (Top of Page)"/>
        <w:docPartUnique/>
      </w:docPartObj>
    </w:sdtPr>
    <w:sdtEndPr/>
    <w:sdtContent>
      <w:p w:rsidR="00F8331C" w:rsidRDefault="00F8331C">
        <w:pPr>
          <w:pStyle w:val="Encabezado"/>
          <w:jc w:val="center"/>
        </w:pPr>
        <w:r>
          <w:fldChar w:fldCharType="begin"/>
        </w:r>
        <w:r>
          <w:instrText>PAGE   \* MERGEFORMAT</w:instrText>
        </w:r>
        <w:r>
          <w:fldChar w:fldCharType="separate"/>
        </w:r>
        <w:r w:rsidR="00823F25">
          <w:rPr>
            <w:noProof/>
          </w:rPr>
          <w:t>8</w:t>
        </w:r>
        <w:r>
          <w:fldChar w:fldCharType="end"/>
        </w:r>
      </w:p>
    </w:sdtContent>
  </w:sdt>
  <w:p w:rsidR="00F8331C" w:rsidRDefault="00F8331C">
    <w:pPr>
      <w:pStyle w:val="Encabezado"/>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7828657"/>
      <w:docPartObj>
        <w:docPartGallery w:val="Page Numbers (Top of Page)"/>
        <w:docPartUnique/>
      </w:docPartObj>
    </w:sdtPr>
    <w:sdtEndPr/>
    <w:sdtContent>
      <w:p w:rsidR="00F8331C" w:rsidRDefault="00F8331C" w:rsidP="00F8331C">
        <w:pPr>
          <w:pStyle w:val="Encabezado"/>
          <w:jc w:val="center"/>
          <w:rPr>
            <w:noProof/>
          </w:rPr>
        </w:pPr>
        <w:r>
          <w:fldChar w:fldCharType="begin"/>
        </w:r>
        <w:r>
          <w:instrText xml:space="preserve"> PAGE   \* MERGEFORMAT </w:instrText>
        </w:r>
        <w:r>
          <w:fldChar w:fldCharType="separate"/>
        </w:r>
        <w:r w:rsidR="00823F25">
          <w:rPr>
            <w:noProof/>
          </w:rPr>
          <w:t>7</w:t>
        </w:r>
        <w:r>
          <w:rPr>
            <w:noProof/>
          </w:rPr>
          <w:fldChar w:fldCharType="end"/>
        </w:r>
      </w:p>
    </w:sdtContent>
  </w:sdt>
  <w:p w:rsidR="00F8331C" w:rsidRDefault="00F8331C" w:rsidP="00F8331C">
    <w:pPr>
      <w:pStyle w:val="Encabezado"/>
      <w:jc w:val="center"/>
    </w:pPr>
    <w:r>
      <w:rPr>
        <w:noProof/>
        <w:lang w:val="es-MX" w:eastAsia="es-MX"/>
      </w:rPr>
      <w:drawing>
        <wp:anchor distT="0" distB="0" distL="114300" distR="114300" simplePos="0" relativeHeight="251660288" behindDoc="1" locked="0" layoutInCell="1" allowOverlap="1" wp14:anchorId="12862FB2" wp14:editId="40E072C5">
          <wp:simplePos x="0" y="0"/>
          <wp:positionH relativeFrom="column">
            <wp:posOffset>-153619</wp:posOffset>
          </wp:positionH>
          <wp:positionV relativeFrom="paragraph">
            <wp:posOffset>4243095</wp:posOffset>
          </wp:positionV>
          <wp:extent cx="5850890" cy="3641220"/>
          <wp:effectExtent l="0" t="0" r="0" b="0"/>
          <wp:wrapNone/>
          <wp:docPr id="25" name="Imagen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850890" cy="3641220"/>
                  </a:xfrm>
                  <a:prstGeom prst="rect">
                    <a:avLst/>
                  </a:prstGeom>
                  <a:noFill/>
                  <a:ln>
                    <a:noFill/>
                  </a:ln>
                </pic:spPr>
              </pic:pic>
            </a:graphicData>
          </a:graphic>
        </wp:anchor>
      </w:drawing>
    </w:r>
    <w:r w:rsidRPr="003E6AD7">
      <w:rPr>
        <w:noProof/>
        <w:lang w:val="es-MX" w:eastAsia="es-MX"/>
      </w:rPr>
      <w:drawing>
        <wp:anchor distT="0" distB="0" distL="114300" distR="114300" simplePos="0" relativeHeight="251659264" behindDoc="0" locked="0" layoutInCell="1" allowOverlap="1" wp14:anchorId="7D9FB565" wp14:editId="72FEEEFB">
          <wp:simplePos x="0" y="0"/>
          <wp:positionH relativeFrom="page">
            <wp:posOffset>313639</wp:posOffset>
          </wp:positionH>
          <wp:positionV relativeFrom="paragraph">
            <wp:posOffset>4557344</wp:posOffset>
          </wp:positionV>
          <wp:extent cx="1118870" cy="974725"/>
          <wp:effectExtent l="0" t="0" r="508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0B51D75"/>
    <w:multiLevelType w:val="hybridMultilevel"/>
    <w:tmpl w:val="AD729E56"/>
    <w:lvl w:ilvl="0" w:tplc="0C0A000F">
      <w:start w:val="1"/>
      <w:numFmt w:val="decimal"/>
      <w:lvlText w:val="%1."/>
      <w:lvlJc w:val="left"/>
      <w:pPr>
        <w:ind w:left="840" w:hanging="360"/>
      </w:pPr>
    </w:lvl>
    <w:lvl w:ilvl="1" w:tplc="0C0A0019" w:tentative="1">
      <w:start w:val="1"/>
      <w:numFmt w:val="lowerLetter"/>
      <w:lvlText w:val="%2."/>
      <w:lvlJc w:val="left"/>
      <w:pPr>
        <w:ind w:left="1560" w:hanging="360"/>
      </w:pPr>
    </w:lvl>
    <w:lvl w:ilvl="2" w:tplc="0C0A001B" w:tentative="1">
      <w:start w:val="1"/>
      <w:numFmt w:val="lowerRoman"/>
      <w:lvlText w:val="%3."/>
      <w:lvlJc w:val="right"/>
      <w:pPr>
        <w:ind w:left="2280" w:hanging="180"/>
      </w:pPr>
    </w:lvl>
    <w:lvl w:ilvl="3" w:tplc="0C0A000F" w:tentative="1">
      <w:start w:val="1"/>
      <w:numFmt w:val="decimal"/>
      <w:lvlText w:val="%4."/>
      <w:lvlJc w:val="left"/>
      <w:pPr>
        <w:ind w:left="3000" w:hanging="360"/>
      </w:pPr>
    </w:lvl>
    <w:lvl w:ilvl="4" w:tplc="0C0A0019" w:tentative="1">
      <w:start w:val="1"/>
      <w:numFmt w:val="lowerLetter"/>
      <w:lvlText w:val="%5."/>
      <w:lvlJc w:val="left"/>
      <w:pPr>
        <w:ind w:left="3720" w:hanging="360"/>
      </w:pPr>
    </w:lvl>
    <w:lvl w:ilvl="5" w:tplc="0C0A001B" w:tentative="1">
      <w:start w:val="1"/>
      <w:numFmt w:val="lowerRoman"/>
      <w:lvlText w:val="%6."/>
      <w:lvlJc w:val="right"/>
      <w:pPr>
        <w:ind w:left="4440" w:hanging="180"/>
      </w:pPr>
    </w:lvl>
    <w:lvl w:ilvl="6" w:tplc="0C0A000F" w:tentative="1">
      <w:start w:val="1"/>
      <w:numFmt w:val="decimal"/>
      <w:lvlText w:val="%7."/>
      <w:lvlJc w:val="left"/>
      <w:pPr>
        <w:ind w:left="5160" w:hanging="360"/>
      </w:pPr>
    </w:lvl>
    <w:lvl w:ilvl="7" w:tplc="0C0A0019" w:tentative="1">
      <w:start w:val="1"/>
      <w:numFmt w:val="lowerLetter"/>
      <w:lvlText w:val="%8."/>
      <w:lvlJc w:val="left"/>
      <w:pPr>
        <w:ind w:left="5880" w:hanging="360"/>
      </w:pPr>
    </w:lvl>
    <w:lvl w:ilvl="8" w:tplc="0C0A001B" w:tentative="1">
      <w:start w:val="1"/>
      <w:numFmt w:val="lowerRoman"/>
      <w:lvlText w:val="%9."/>
      <w:lvlJc w:val="right"/>
      <w:pPr>
        <w:ind w:left="6600" w:hanging="180"/>
      </w:pPr>
    </w:lvl>
  </w:abstractNum>
  <w:abstractNum w:abstractNumId="1">
    <w:nsid w:val="2DFF4D5C"/>
    <w:multiLevelType w:val="hybridMultilevel"/>
    <w:tmpl w:val="3C642932"/>
    <w:lvl w:ilvl="0" w:tplc="9EDCDD74">
      <w:start w:val="1"/>
      <w:numFmt w:val="upperRoman"/>
      <w:lvlText w:val="%1."/>
      <w:lvlJc w:val="left"/>
      <w:pPr>
        <w:ind w:left="1080" w:hanging="720"/>
      </w:pPr>
      <w:rPr>
        <w:rFonts w:hint="default"/>
        <w:i w:val="0"/>
        <w:color w:val="000000"/>
        <w:sz w:val="24"/>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mirrorMargins/>
  <w:proofState w:spelling="clean" w:grammar="clean"/>
  <w:defaultTabStop w:val="709"/>
  <w:hyphenationZone w:val="425"/>
  <w:evenAndOddHeader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00CD5"/>
    <w:rsid w:val="00005271"/>
    <w:rsid w:val="00005CC2"/>
    <w:rsid w:val="00014852"/>
    <w:rsid w:val="000158D8"/>
    <w:rsid w:val="00017748"/>
    <w:rsid w:val="0002022E"/>
    <w:rsid w:val="00024B16"/>
    <w:rsid w:val="000264A2"/>
    <w:rsid w:val="00026EB9"/>
    <w:rsid w:val="00030CA4"/>
    <w:rsid w:val="000326CB"/>
    <w:rsid w:val="00032FAF"/>
    <w:rsid w:val="00037069"/>
    <w:rsid w:val="00043208"/>
    <w:rsid w:val="00043210"/>
    <w:rsid w:val="000447E8"/>
    <w:rsid w:val="00046DB2"/>
    <w:rsid w:val="00051E1B"/>
    <w:rsid w:val="00052012"/>
    <w:rsid w:val="000539FB"/>
    <w:rsid w:val="00053EE0"/>
    <w:rsid w:val="000552E8"/>
    <w:rsid w:val="00056275"/>
    <w:rsid w:val="00060178"/>
    <w:rsid w:val="00063364"/>
    <w:rsid w:val="00066FC3"/>
    <w:rsid w:val="00075672"/>
    <w:rsid w:val="00081719"/>
    <w:rsid w:val="00087B73"/>
    <w:rsid w:val="0009084D"/>
    <w:rsid w:val="00092DAC"/>
    <w:rsid w:val="00092F8B"/>
    <w:rsid w:val="00093D71"/>
    <w:rsid w:val="00096476"/>
    <w:rsid w:val="000A0A03"/>
    <w:rsid w:val="000B2991"/>
    <w:rsid w:val="000B42FF"/>
    <w:rsid w:val="000B48FB"/>
    <w:rsid w:val="000B61D7"/>
    <w:rsid w:val="000C172F"/>
    <w:rsid w:val="000C2E86"/>
    <w:rsid w:val="000C471B"/>
    <w:rsid w:val="000C60B8"/>
    <w:rsid w:val="000E1DA5"/>
    <w:rsid w:val="000E39F5"/>
    <w:rsid w:val="000F2C9A"/>
    <w:rsid w:val="00100CD5"/>
    <w:rsid w:val="00111CE4"/>
    <w:rsid w:val="0012504D"/>
    <w:rsid w:val="00136C3D"/>
    <w:rsid w:val="001460C3"/>
    <w:rsid w:val="00157F73"/>
    <w:rsid w:val="0016371A"/>
    <w:rsid w:val="001645F0"/>
    <w:rsid w:val="001649BB"/>
    <w:rsid w:val="00165626"/>
    <w:rsid w:val="00166889"/>
    <w:rsid w:val="001716BD"/>
    <w:rsid w:val="00174D64"/>
    <w:rsid w:val="001753C3"/>
    <w:rsid w:val="00182631"/>
    <w:rsid w:val="00183B12"/>
    <w:rsid w:val="00184B2E"/>
    <w:rsid w:val="001A0343"/>
    <w:rsid w:val="001A241C"/>
    <w:rsid w:val="001A42DD"/>
    <w:rsid w:val="001A573F"/>
    <w:rsid w:val="001A6C3E"/>
    <w:rsid w:val="001B3F98"/>
    <w:rsid w:val="001B4582"/>
    <w:rsid w:val="001C4679"/>
    <w:rsid w:val="001C563D"/>
    <w:rsid w:val="001C5DD6"/>
    <w:rsid w:val="001C6315"/>
    <w:rsid w:val="001D209E"/>
    <w:rsid w:val="001D2578"/>
    <w:rsid w:val="001E135A"/>
    <w:rsid w:val="001E39E6"/>
    <w:rsid w:val="001E5911"/>
    <w:rsid w:val="001E5F2C"/>
    <w:rsid w:val="001F05D6"/>
    <w:rsid w:val="001F6CA3"/>
    <w:rsid w:val="002019BD"/>
    <w:rsid w:val="002028E5"/>
    <w:rsid w:val="00204283"/>
    <w:rsid w:val="002046F5"/>
    <w:rsid w:val="00205426"/>
    <w:rsid w:val="00236BA0"/>
    <w:rsid w:val="002447DA"/>
    <w:rsid w:val="002460B2"/>
    <w:rsid w:val="00251707"/>
    <w:rsid w:val="00262348"/>
    <w:rsid w:val="002817FA"/>
    <w:rsid w:val="00283C60"/>
    <w:rsid w:val="00287A7C"/>
    <w:rsid w:val="00291577"/>
    <w:rsid w:val="002A3131"/>
    <w:rsid w:val="002A47AB"/>
    <w:rsid w:val="002A581C"/>
    <w:rsid w:val="002A6DF2"/>
    <w:rsid w:val="002C055F"/>
    <w:rsid w:val="002C0701"/>
    <w:rsid w:val="002C1660"/>
    <w:rsid w:val="002C1F9D"/>
    <w:rsid w:val="002D4E9F"/>
    <w:rsid w:val="002D4FA2"/>
    <w:rsid w:val="002D6A41"/>
    <w:rsid w:val="002D70FD"/>
    <w:rsid w:val="002E021A"/>
    <w:rsid w:val="002E0410"/>
    <w:rsid w:val="002E162B"/>
    <w:rsid w:val="002E2355"/>
    <w:rsid w:val="00301134"/>
    <w:rsid w:val="00305E71"/>
    <w:rsid w:val="00307C08"/>
    <w:rsid w:val="00312811"/>
    <w:rsid w:val="00312D62"/>
    <w:rsid w:val="00330DAC"/>
    <w:rsid w:val="0033158C"/>
    <w:rsid w:val="003471CB"/>
    <w:rsid w:val="0035144C"/>
    <w:rsid w:val="00355B9D"/>
    <w:rsid w:val="00357DFB"/>
    <w:rsid w:val="00360522"/>
    <w:rsid w:val="0036166D"/>
    <w:rsid w:val="003630E6"/>
    <w:rsid w:val="0036416E"/>
    <w:rsid w:val="003650B1"/>
    <w:rsid w:val="0036734F"/>
    <w:rsid w:val="00370805"/>
    <w:rsid w:val="0037351F"/>
    <w:rsid w:val="003757EA"/>
    <w:rsid w:val="00377950"/>
    <w:rsid w:val="00377D62"/>
    <w:rsid w:val="00383C2B"/>
    <w:rsid w:val="00392A5B"/>
    <w:rsid w:val="00394391"/>
    <w:rsid w:val="00395957"/>
    <w:rsid w:val="003A6808"/>
    <w:rsid w:val="003B11DE"/>
    <w:rsid w:val="003B282C"/>
    <w:rsid w:val="003B51D2"/>
    <w:rsid w:val="003C22D1"/>
    <w:rsid w:val="003C62C9"/>
    <w:rsid w:val="003D24E1"/>
    <w:rsid w:val="003D538C"/>
    <w:rsid w:val="003D6A6C"/>
    <w:rsid w:val="003E143A"/>
    <w:rsid w:val="003E29BB"/>
    <w:rsid w:val="003E6718"/>
    <w:rsid w:val="003F0EF0"/>
    <w:rsid w:val="003F58A2"/>
    <w:rsid w:val="003F5EAD"/>
    <w:rsid w:val="00400F18"/>
    <w:rsid w:val="00402847"/>
    <w:rsid w:val="004037C6"/>
    <w:rsid w:val="00413F3E"/>
    <w:rsid w:val="00424090"/>
    <w:rsid w:val="0042599F"/>
    <w:rsid w:val="00433798"/>
    <w:rsid w:val="004404F7"/>
    <w:rsid w:val="00450644"/>
    <w:rsid w:val="00450D7E"/>
    <w:rsid w:val="00455903"/>
    <w:rsid w:val="00460197"/>
    <w:rsid w:val="00463A96"/>
    <w:rsid w:val="004642E9"/>
    <w:rsid w:val="00470E02"/>
    <w:rsid w:val="00472D17"/>
    <w:rsid w:val="00480437"/>
    <w:rsid w:val="00481143"/>
    <w:rsid w:val="00483A3A"/>
    <w:rsid w:val="00486C2F"/>
    <w:rsid w:val="00487C14"/>
    <w:rsid w:val="0049045A"/>
    <w:rsid w:val="0049252D"/>
    <w:rsid w:val="004A3E0F"/>
    <w:rsid w:val="004A4E73"/>
    <w:rsid w:val="004B3593"/>
    <w:rsid w:val="004C3EE0"/>
    <w:rsid w:val="004D0EEB"/>
    <w:rsid w:val="004D14A6"/>
    <w:rsid w:val="004D2B95"/>
    <w:rsid w:val="004D5D36"/>
    <w:rsid w:val="004D7CAE"/>
    <w:rsid w:val="004E0E04"/>
    <w:rsid w:val="004E1000"/>
    <w:rsid w:val="004E55B0"/>
    <w:rsid w:val="004E7EF1"/>
    <w:rsid w:val="004F2864"/>
    <w:rsid w:val="004F53BA"/>
    <w:rsid w:val="004F67AD"/>
    <w:rsid w:val="0050047B"/>
    <w:rsid w:val="00503E71"/>
    <w:rsid w:val="005143BA"/>
    <w:rsid w:val="00523841"/>
    <w:rsid w:val="00525044"/>
    <w:rsid w:val="00526007"/>
    <w:rsid w:val="00530B56"/>
    <w:rsid w:val="00531EF8"/>
    <w:rsid w:val="00534589"/>
    <w:rsid w:val="00534DD5"/>
    <w:rsid w:val="005374DD"/>
    <w:rsid w:val="00544A09"/>
    <w:rsid w:val="00550806"/>
    <w:rsid w:val="00550BE5"/>
    <w:rsid w:val="0055117F"/>
    <w:rsid w:val="005620AD"/>
    <w:rsid w:val="00562633"/>
    <w:rsid w:val="0056433E"/>
    <w:rsid w:val="0056440A"/>
    <w:rsid w:val="005724C0"/>
    <w:rsid w:val="00572D7C"/>
    <w:rsid w:val="00573345"/>
    <w:rsid w:val="00582300"/>
    <w:rsid w:val="00582621"/>
    <w:rsid w:val="00593DCC"/>
    <w:rsid w:val="0059699E"/>
    <w:rsid w:val="005B7F4A"/>
    <w:rsid w:val="005C187D"/>
    <w:rsid w:val="005C1F11"/>
    <w:rsid w:val="005C4D8D"/>
    <w:rsid w:val="005C7DBF"/>
    <w:rsid w:val="005D6B9D"/>
    <w:rsid w:val="005D77A5"/>
    <w:rsid w:val="005E142B"/>
    <w:rsid w:val="005E3952"/>
    <w:rsid w:val="005E4200"/>
    <w:rsid w:val="005F1B91"/>
    <w:rsid w:val="005F243D"/>
    <w:rsid w:val="005F247B"/>
    <w:rsid w:val="005F5DD5"/>
    <w:rsid w:val="00605597"/>
    <w:rsid w:val="00605770"/>
    <w:rsid w:val="0061790B"/>
    <w:rsid w:val="00622918"/>
    <w:rsid w:val="00624F4F"/>
    <w:rsid w:val="00625D27"/>
    <w:rsid w:val="00627374"/>
    <w:rsid w:val="00627612"/>
    <w:rsid w:val="00630543"/>
    <w:rsid w:val="006500B3"/>
    <w:rsid w:val="006531B3"/>
    <w:rsid w:val="0065779E"/>
    <w:rsid w:val="00666DEE"/>
    <w:rsid w:val="00670355"/>
    <w:rsid w:val="00680A8F"/>
    <w:rsid w:val="00680F41"/>
    <w:rsid w:val="00682333"/>
    <w:rsid w:val="0068257B"/>
    <w:rsid w:val="0068420B"/>
    <w:rsid w:val="006941EC"/>
    <w:rsid w:val="006A0AAF"/>
    <w:rsid w:val="006A2F65"/>
    <w:rsid w:val="006B1F74"/>
    <w:rsid w:val="006B247D"/>
    <w:rsid w:val="006B7F3F"/>
    <w:rsid w:val="006C03F0"/>
    <w:rsid w:val="006C44F0"/>
    <w:rsid w:val="006C4A34"/>
    <w:rsid w:val="006D5A3D"/>
    <w:rsid w:val="006E179A"/>
    <w:rsid w:val="006E2C55"/>
    <w:rsid w:val="006E7E8E"/>
    <w:rsid w:val="006F2460"/>
    <w:rsid w:val="006F2A31"/>
    <w:rsid w:val="006F2A57"/>
    <w:rsid w:val="006F371D"/>
    <w:rsid w:val="006F55F8"/>
    <w:rsid w:val="006F70B3"/>
    <w:rsid w:val="007020A0"/>
    <w:rsid w:val="007078E1"/>
    <w:rsid w:val="00713048"/>
    <w:rsid w:val="00715171"/>
    <w:rsid w:val="00716DD7"/>
    <w:rsid w:val="007239F6"/>
    <w:rsid w:val="0072550C"/>
    <w:rsid w:val="00726039"/>
    <w:rsid w:val="00734AB8"/>
    <w:rsid w:val="007454C6"/>
    <w:rsid w:val="00746374"/>
    <w:rsid w:val="007600AB"/>
    <w:rsid w:val="007662B4"/>
    <w:rsid w:val="00772F96"/>
    <w:rsid w:val="00773F05"/>
    <w:rsid w:val="00774734"/>
    <w:rsid w:val="0077517E"/>
    <w:rsid w:val="00777E9A"/>
    <w:rsid w:val="00796F05"/>
    <w:rsid w:val="007A36C5"/>
    <w:rsid w:val="007B0DC8"/>
    <w:rsid w:val="007B7FC9"/>
    <w:rsid w:val="007C1294"/>
    <w:rsid w:val="007C56BC"/>
    <w:rsid w:val="007C7FF4"/>
    <w:rsid w:val="007D0D9F"/>
    <w:rsid w:val="007D10C8"/>
    <w:rsid w:val="007D4233"/>
    <w:rsid w:val="007E0EC6"/>
    <w:rsid w:val="007E125D"/>
    <w:rsid w:val="007F2B8B"/>
    <w:rsid w:val="007F3692"/>
    <w:rsid w:val="008052C6"/>
    <w:rsid w:val="0081017E"/>
    <w:rsid w:val="0081252A"/>
    <w:rsid w:val="00812654"/>
    <w:rsid w:val="00823F25"/>
    <w:rsid w:val="00824791"/>
    <w:rsid w:val="0082533A"/>
    <w:rsid w:val="00827566"/>
    <w:rsid w:val="00834749"/>
    <w:rsid w:val="00840504"/>
    <w:rsid w:val="00840D49"/>
    <w:rsid w:val="00841AC0"/>
    <w:rsid w:val="0084551C"/>
    <w:rsid w:val="0084759B"/>
    <w:rsid w:val="00847D7C"/>
    <w:rsid w:val="00863B53"/>
    <w:rsid w:val="00864323"/>
    <w:rsid w:val="008701CD"/>
    <w:rsid w:val="00873CBF"/>
    <w:rsid w:val="008766E2"/>
    <w:rsid w:val="00877622"/>
    <w:rsid w:val="008834EE"/>
    <w:rsid w:val="00885642"/>
    <w:rsid w:val="008950CA"/>
    <w:rsid w:val="00896BDC"/>
    <w:rsid w:val="008A6642"/>
    <w:rsid w:val="008B787D"/>
    <w:rsid w:val="008C5F64"/>
    <w:rsid w:val="008C7955"/>
    <w:rsid w:val="008D1672"/>
    <w:rsid w:val="008D6399"/>
    <w:rsid w:val="008E322E"/>
    <w:rsid w:val="008F2235"/>
    <w:rsid w:val="008F2EEC"/>
    <w:rsid w:val="00902424"/>
    <w:rsid w:val="0090315F"/>
    <w:rsid w:val="00903ACD"/>
    <w:rsid w:val="009045B6"/>
    <w:rsid w:val="009104D0"/>
    <w:rsid w:val="00911E97"/>
    <w:rsid w:val="00912B32"/>
    <w:rsid w:val="009143CC"/>
    <w:rsid w:val="009162D6"/>
    <w:rsid w:val="00920B4D"/>
    <w:rsid w:val="009265DF"/>
    <w:rsid w:val="00926B1B"/>
    <w:rsid w:val="00932A50"/>
    <w:rsid w:val="00936B59"/>
    <w:rsid w:val="009376CF"/>
    <w:rsid w:val="00940027"/>
    <w:rsid w:val="009438CE"/>
    <w:rsid w:val="009551FB"/>
    <w:rsid w:val="009612B0"/>
    <w:rsid w:val="00961D13"/>
    <w:rsid w:val="00965B48"/>
    <w:rsid w:val="00966B60"/>
    <w:rsid w:val="00966F29"/>
    <w:rsid w:val="00976313"/>
    <w:rsid w:val="00976F7D"/>
    <w:rsid w:val="00980412"/>
    <w:rsid w:val="00981A89"/>
    <w:rsid w:val="009821B0"/>
    <w:rsid w:val="00986023"/>
    <w:rsid w:val="00986881"/>
    <w:rsid w:val="00987373"/>
    <w:rsid w:val="00991BDD"/>
    <w:rsid w:val="00994C0E"/>
    <w:rsid w:val="009A3E5A"/>
    <w:rsid w:val="009A56CB"/>
    <w:rsid w:val="009C144A"/>
    <w:rsid w:val="009C6252"/>
    <w:rsid w:val="009C7483"/>
    <w:rsid w:val="009D197E"/>
    <w:rsid w:val="009D216E"/>
    <w:rsid w:val="009D7320"/>
    <w:rsid w:val="009D77D0"/>
    <w:rsid w:val="009E4A94"/>
    <w:rsid w:val="009E54D1"/>
    <w:rsid w:val="009E59DE"/>
    <w:rsid w:val="009F08A1"/>
    <w:rsid w:val="00A043CE"/>
    <w:rsid w:val="00A05A49"/>
    <w:rsid w:val="00A11843"/>
    <w:rsid w:val="00A11936"/>
    <w:rsid w:val="00A1416F"/>
    <w:rsid w:val="00A166A2"/>
    <w:rsid w:val="00A17291"/>
    <w:rsid w:val="00A2026B"/>
    <w:rsid w:val="00A22B2A"/>
    <w:rsid w:val="00A26C72"/>
    <w:rsid w:val="00A55A28"/>
    <w:rsid w:val="00A5708A"/>
    <w:rsid w:val="00A72237"/>
    <w:rsid w:val="00A76142"/>
    <w:rsid w:val="00A77FA7"/>
    <w:rsid w:val="00A90A93"/>
    <w:rsid w:val="00AA0D9C"/>
    <w:rsid w:val="00AA1F68"/>
    <w:rsid w:val="00AA25E5"/>
    <w:rsid w:val="00AA3044"/>
    <w:rsid w:val="00AA3393"/>
    <w:rsid w:val="00AA4BB8"/>
    <w:rsid w:val="00AC4D70"/>
    <w:rsid w:val="00AC5599"/>
    <w:rsid w:val="00AC646D"/>
    <w:rsid w:val="00AC78DA"/>
    <w:rsid w:val="00AD51B5"/>
    <w:rsid w:val="00AD5458"/>
    <w:rsid w:val="00AD74E8"/>
    <w:rsid w:val="00AE464E"/>
    <w:rsid w:val="00AE4C26"/>
    <w:rsid w:val="00AE779E"/>
    <w:rsid w:val="00AF5813"/>
    <w:rsid w:val="00B0385C"/>
    <w:rsid w:val="00B04CC6"/>
    <w:rsid w:val="00B062B2"/>
    <w:rsid w:val="00B1184C"/>
    <w:rsid w:val="00B11A07"/>
    <w:rsid w:val="00B20864"/>
    <w:rsid w:val="00B271D5"/>
    <w:rsid w:val="00B3004A"/>
    <w:rsid w:val="00B35260"/>
    <w:rsid w:val="00B44103"/>
    <w:rsid w:val="00B46027"/>
    <w:rsid w:val="00B5740A"/>
    <w:rsid w:val="00B61AD7"/>
    <w:rsid w:val="00B71EFC"/>
    <w:rsid w:val="00B7485D"/>
    <w:rsid w:val="00B756E3"/>
    <w:rsid w:val="00B802E8"/>
    <w:rsid w:val="00B86DCC"/>
    <w:rsid w:val="00B9151A"/>
    <w:rsid w:val="00B9348D"/>
    <w:rsid w:val="00B94281"/>
    <w:rsid w:val="00B969A5"/>
    <w:rsid w:val="00BB50ED"/>
    <w:rsid w:val="00BB5F72"/>
    <w:rsid w:val="00BC02D5"/>
    <w:rsid w:val="00BC4782"/>
    <w:rsid w:val="00BD06F2"/>
    <w:rsid w:val="00BE0066"/>
    <w:rsid w:val="00BE301E"/>
    <w:rsid w:val="00BE3D53"/>
    <w:rsid w:val="00BE40D1"/>
    <w:rsid w:val="00BE421C"/>
    <w:rsid w:val="00BE5737"/>
    <w:rsid w:val="00BF6F52"/>
    <w:rsid w:val="00C06B32"/>
    <w:rsid w:val="00C10CDF"/>
    <w:rsid w:val="00C1125A"/>
    <w:rsid w:val="00C12EBA"/>
    <w:rsid w:val="00C1749D"/>
    <w:rsid w:val="00C21FDD"/>
    <w:rsid w:val="00C22BEF"/>
    <w:rsid w:val="00C24355"/>
    <w:rsid w:val="00C30C38"/>
    <w:rsid w:val="00C3427A"/>
    <w:rsid w:val="00C35C4A"/>
    <w:rsid w:val="00C4290B"/>
    <w:rsid w:val="00C5180E"/>
    <w:rsid w:val="00C533F9"/>
    <w:rsid w:val="00C5366B"/>
    <w:rsid w:val="00C565E1"/>
    <w:rsid w:val="00C63AEF"/>
    <w:rsid w:val="00C66996"/>
    <w:rsid w:val="00C771DE"/>
    <w:rsid w:val="00C83070"/>
    <w:rsid w:val="00C831DC"/>
    <w:rsid w:val="00C848A0"/>
    <w:rsid w:val="00CB04F4"/>
    <w:rsid w:val="00CB55DB"/>
    <w:rsid w:val="00CC1D10"/>
    <w:rsid w:val="00CC2FF8"/>
    <w:rsid w:val="00CC4976"/>
    <w:rsid w:val="00CD168A"/>
    <w:rsid w:val="00CD7550"/>
    <w:rsid w:val="00CE343F"/>
    <w:rsid w:val="00CE3C82"/>
    <w:rsid w:val="00CE56BD"/>
    <w:rsid w:val="00CF38EF"/>
    <w:rsid w:val="00CF6080"/>
    <w:rsid w:val="00D00CDE"/>
    <w:rsid w:val="00D03A69"/>
    <w:rsid w:val="00D058D0"/>
    <w:rsid w:val="00D2445A"/>
    <w:rsid w:val="00D362FF"/>
    <w:rsid w:val="00D40152"/>
    <w:rsid w:val="00D41DB3"/>
    <w:rsid w:val="00D41DF4"/>
    <w:rsid w:val="00D44245"/>
    <w:rsid w:val="00D506AA"/>
    <w:rsid w:val="00D54968"/>
    <w:rsid w:val="00D60E49"/>
    <w:rsid w:val="00D631BC"/>
    <w:rsid w:val="00D64DFE"/>
    <w:rsid w:val="00D70020"/>
    <w:rsid w:val="00D7163E"/>
    <w:rsid w:val="00D73FE5"/>
    <w:rsid w:val="00D76BAE"/>
    <w:rsid w:val="00D92AA2"/>
    <w:rsid w:val="00D933C9"/>
    <w:rsid w:val="00D960CC"/>
    <w:rsid w:val="00D96196"/>
    <w:rsid w:val="00DA2457"/>
    <w:rsid w:val="00DB27F5"/>
    <w:rsid w:val="00DB558F"/>
    <w:rsid w:val="00DB5FF3"/>
    <w:rsid w:val="00DC2F7D"/>
    <w:rsid w:val="00DC5ED1"/>
    <w:rsid w:val="00DD0025"/>
    <w:rsid w:val="00DD2F6A"/>
    <w:rsid w:val="00DD515D"/>
    <w:rsid w:val="00DE0851"/>
    <w:rsid w:val="00DE0FA7"/>
    <w:rsid w:val="00DE2037"/>
    <w:rsid w:val="00DF160B"/>
    <w:rsid w:val="00DF425B"/>
    <w:rsid w:val="00E01AE6"/>
    <w:rsid w:val="00E10479"/>
    <w:rsid w:val="00E106DA"/>
    <w:rsid w:val="00E109B8"/>
    <w:rsid w:val="00E174BC"/>
    <w:rsid w:val="00E2475A"/>
    <w:rsid w:val="00E26870"/>
    <w:rsid w:val="00E34AA1"/>
    <w:rsid w:val="00E3732A"/>
    <w:rsid w:val="00E37F10"/>
    <w:rsid w:val="00E401F6"/>
    <w:rsid w:val="00E41C52"/>
    <w:rsid w:val="00E47BC3"/>
    <w:rsid w:val="00E50A97"/>
    <w:rsid w:val="00E5261F"/>
    <w:rsid w:val="00E607D8"/>
    <w:rsid w:val="00E75382"/>
    <w:rsid w:val="00E77D8A"/>
    <w:rsid w:val="00E83993"/>
    <w:rsid w:val="00E867CA"/>
    <w:rsid w:val="00E86A07"/>
    <w:rsid w:val="00E908B9"/>
    <w:rsid w:val="00E90BCD"/>
    <w:rsid w:val="00E92155"/>
    <w:rsid w:val="00E9292A"/>
    <w:rsid w:val="00E9467B"/>
    <w:rsid w:val="00E95B5E"/>
    <w:rsid w:val="00EA0C06"/>
    <w:rsid w:val="00EB1F3A"/>
    <w:rsid w:val="00EB233B"/>
    <w:rsid w:val="00EC41DA"/>
    <w:rsid w:val="00ED2DA6"/>
    <w:rsid w:val="00ED340D"/>
    <w:rsid w:val="00ED4DD5"/>
    <w:rsid w:val="00ED677B"/>
    <w:rsid w:val="00EE2177"/>
    <w:rsid w:val="00EE2440"/>
    <w:rsid w:val="00EF7EC9"/>
    <w:rsid w:val="00F02E8B"/>
    <w:rsid w:val="00F06ECE"/>
    <w:rsid w:val="00F11AFB"/>
    <w:rsid w:val="00F22E35"/>
    <w:rsid w:val="00F26161"/>
    <w:rsid w:val="00F35D67"/>
    <w:rsid w:val="00F532D8"/>
    <w:rsid w:val="00F55898"/>
    <w:rsid w:val="00F57CED"/>
    <w:rsid w:val="00F674B9"/>
    <w:rsid w:val="00F67503"/>
    <w:rsid w:val="00F7051C"/>
    <w:rsid w:val="00F8331C"/>
    <w:rsid w:val="00F845ED"/>
    <w:rsid w:val="00F878CE"/>
    <w:rsid w:val="00F92BF7"/>
    <w:rsid w:val="00F9653F"/>
    <w:rsid w:val="00FA099C"/>
    <w:rsid w:val="00FB62E8"/>
    <w:rsid w:val="00FC5B41"/>
    <w:rsid w:val="00FD4EAE"/>
    <w:rsid w:val="00FE364E"/>
    <w:rsid w:val="00FF2859"/>
    <w:rsid w:val="00FF3753"/>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FFF6199-9E8E-43DA-A1D0-27384FBB27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00CD5"/>
    <w:pPr>
      <w:spacing w:after="0" w:line="240" w:lineRule="auto"/>
    </w:pPr>
  </w:style>
  <w:style w:type="paragraph" w:styleId="Ttulo1">
    <w:name w:val="heading 1"/>
    <w:basedOn w:val="Normal"/>
    <w:next w:val="Normal"/>
    <w:link w:val="Ttulo1Car"/>
    <w:uiPriority w:val="9"/>
    <w:qFormat/>
    <w:rsid w:val="00EA0C06"/>
    <w:pPr>
      <w:keepNext/>
      <w:keepLines/>
      <w:spacing w:before="240"/>
      <w:outlineLvl w:val="0"/>
    </w:pPr>
    <w:rPr>
      <w:rFonts w:asciiTheme="majorHAnsi" w:eastAsiaTheme="majorEastAsia" w:hAnsiTheme="majorHAnsi" w:cstheme="majorBidi"/>
      <w:color w:val="365F91" w:themeColor="accent1" w:themeShade="BF"/>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100CD5"/>
    <w:pPr>
      <w:tabs>
        <w:tab w:val="center" w:pos="4252"/>
        <w:tab w:val="right" w:pos="8504"/>
      </w:tabs>
    </w:pPr>
    <w:rPr>
      <w:rFonts w:ascii="Times New Roman" w:eastAsia="PMingLiU" w:hAnsi="Times New Roman" w:cs="Times New Roman"/>
      <w:sz w:val="24"/>
      <w:szCs w:val="24"/>
      <w:lang w:val="es-ES" w:eastAsia="zh-TW"/>
    </w:rPr>
  </w:style>
  <w:style w:type="character" w:customStyle="1" w:styleId="EncabezadoCar">
    <w:name w:val="Encabezado Car"/>
    <w:basedOn w:val="Fuentedeprrafopredeter"/>
    <w:link w:val="Encabezado"/>
    <w:uiPriority w:val="99"/>
    <w:rsid w:val="00100CD5"/>
    <w:rPr>
      <w:rFonts w:ascii="Times New Roman" w:eastAsia="PMingLiU" w:hAnsi="Times New Roman" w:cs="Times New Roman"/>
      <w:sz w:val="24"/>
      <w:szCs w:val="24"/>
      <w:lang w:val="es-ES" w:eastAsia="zh-TW"/>
    </w:rPr>
  </w:style>
  <w:style w:type="paragraph" w:styleId="Sinespaciado">
    <w:name w:val="No Spacing"/>
    <w:uiPriority w:val="1"/>
    <w:qFormat/>
    <w:rsid w:val="00100CD5"/>
    <w:pPr>
      <w:spacing w:after="0" w:line="240" w:lineRule="auto"/>
    </w:pPr>
    <w:rPr>
      <w:lang w:val="es-ES"/>
    </w:rPr>
  </w:style>
  <w:style w:type="paragraph" w:styleId="Textodeglobo">
    <w:name w:val="Balloon Text"/>
    <w:basedOn w:val="Normal"/>
    <w:link w:val="TextodegloboCar"/>
    <w:uiPriority w:val="99"/>
    <w:semiHidden/>
    <w:unhideWhenUsed/>
    <w:rsid w:val="00305E71"/>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305E71"/>
    <w:rPr>
      <w:rFonts w:ascii="Segoe UI" w:hAnsi="Segoe UI" w:cs="Segoe UI"/>
      <w:sz w:val="18"/>
      <w:szCs w:val="18"/>
    </w:rPr>
  </w:style>
  <w:style w:type="character" w:customStyle="1" w:styleId="Ttulo1Car">
    <w:name w:val="Título 1 Car"/>
    <w:basedOn w:val="Fuentedeprrafopredeter"/>
    <w:link w:val="Ttulo1"/>
    <w:uiPriority w:val="9"/>
    <w:rsid w:val="00EA0C06"/>
    <w:rPr>
      <w:rFonts w:asciiTheme="majorHAnsi" w:eastAsiaTheme="majorEastAsia" w:hAnsiTheme="majorHAnsi" w:cstheme="majorBidi"/>
      <w:color w:val="365F91" w:themeColor="accent1" w:themeShade="BF"/>
      <w:sz w:val="32"/>
      <w:szCs w:val="32"/>
    </w:rPr>
  </w:style>
  <w:style w:type="paragraph" w:styleId="Piedepgina">
    <w:name w:val="footer"/>
    <w:basedOn w:val="Normal"/>
    <w:link w:val="PiedepginaCar"/>
    <w:uiPriority w:val="99"/>
    <w:unhideWhenUsed/>
    <w:rsid w:val="00EA0C06"/>
    <w:pPr>
      <w:tabs>
        <w:tab w:val="center" w:pos="4419"/>
        <w:tab w:val="right" w:pos="8838"/>
      </w:tabs>
    </w:pPr>
  </w:style>
  <w:style w:type="character" w:customStyle="1" w:styleId="PiedepginaCar">
    <w:name w:val="Pie de página Car"/>
    <w:basedOn w:val="Fuentedeprrafopredeter"/>
    <w:link w:val="Piedepgina"/>
    <w:uiPriority w:val="99"/>
    <w:rsid w:val="00EA0C06"/>
  </w:style>
  <w:style w:type="paragraph" w:customStyle="1" w:styleId="Default">
    <w:name w:val="Default"/>
    <w:rsid w:val="002447DA"/>
    <w:pPr>
      <w:autoSpaceDE w:val="0"/>
      <w:autoSpaceDN w:val="0"/>
      <w:adjustRightInd w:val="0"/>
      <w:spacing w:after="0" w:line="240" w:lineRule="auto"/>
    </w:pPr>
    <w:rPr>
      <w:rFonts w:ascii="Arial" w:hAnsi="Arial" w:cs="Arial"/>
      <w:color w:val="000000"/>
      <w:sz w:val="24"/>
      <w:szCs w:val="24"/>
      <w:lang w:val="es-ES"/>
    </w:rPr>
  </w:style>
  <w:style w:type="paragraph" w:styleId="Textonotapie">
    <w:name w:val="footnote text"/>
    <w:basedOn w:val="Normal"/>
    <w:link w:val="TextonotapieCar"/>
    <w:uiPriority w:val="99"/>
    <w:unhideWhenUsed/>
    <w:rsid w:val="007D0D9F"/>
    <w:rPr>
      <w:sz w:val="20"/>
      <w:szCs w:val="20"/>
    </w:rPr>
  </w:style>
  <w:style w:type="character" w:customStyle="1" w:styleId="TextonotapieCar">
    <w:name w:val="Texto nota pie Car"/>
    <w:basedOn w:val="Fuentedeprrafopredeter"/>
    <w:link w:val="Textonotapie"/>
    <w:uiPriority w:val="99"/>
    <w:rsid w:val="007D0D9F"/>
    <w:rPr>
      <w:sz w:val="20"/>
      <w:szCs w:val="20"/>
    </w:rPr>
  </w:style>
  <w:style w:type="character" w:styleId="Refdenotaalpie">
    <w:name w:val="footnote reference"/>
    <w:basedOn w:val="Fuentedeprrafopredeter"/>
    <w:uiPriority w:val="99"/>
    <w:semiHidden/>
    <w:unhideWhenUsed/>
    <w:rsid w:val="007D0D9F"/>
    <w:rPr>
      <w:vertAlign w:val="superscript"/>
    </w:rPr>
  </w:style>
  <w:style w:type="character" w:styleId="Hipervnculo">
    <w:name w:val="Hyperlink"/>
    <w:basedOn w:val="Fuentedeprrafopredeter"/>
    <w:uiPriority w:val="99"/>
    <w:semiHidden/>
    <w:unhideWhenUsed/>
    <w:rsid w:val="007D0D9F"/>
    <w:rPr>
      <w:color w:val="0000FF"/>
      <w:u w:val="single"/>
    </w:rPr>
  </w:style>
  <w:style w:type="paragraph" w:customStyle="1" w:styleId="corte3centro">
    <w:name w:val="corte3 centro"/>
    <w:basedOn w:val="Normal"/>
    <w:link w:val="corte3centroCar"/>
    <w:rsid w:val="005143BA"/>
    <w:pPr>
      <w:spacing w:line="360" w:lineRule="auto"/>
      <w:jc w:val="center"/>
    </w:pPr>
    <w:rPr>
      <w:rFonts w:ascii="Arial" w:eastAsia="Times New Roman" w:hAnsi="Arial" w:cs="Times New Roman"/>
      <w:b/>
      <w:sz w:val="30"/>
      <w:szCs w:val="20"/>
      <w:lang w:val="es-ES_tradnl" w:eastAsia="es-ES"/>
    </w:rPr>
  </w:style>
  <w:style w:type="character" w:customStyle="1" w:styleId="corte3centroCar">
    <w:name w:val="corte3 centro Car"/>
    <w:link w:val="corte3centro"/>
    <w:rsid w:val="005143BA"/>
    <w:rPr>
      <w:rFonts w:ascii="Arial" w:eastAsia="Times New Roman" w:hAnsi="Arial" w:cs="Times New Roman"/>
      <w:b/>
      <w:sz w:val="30"/>
      <w:szCs w:val="20"/>
      <w:lang w:val="es-ES_tradnl" w:eastAsia="es-ES"/>
    </w:rPr>
  </w:style>
  <w:style w:type="paragraph" w:styleId="NormalWeb">
    <w:name w:val="Normal (Web)"/>
    <w:basedOn w:val="Normal"/>
    <w:uiPriority w:val="99"/>
    <w:unhideWhenUsed/>
    <w:rsid w:val="00605770"/>
    <w:pPr>
      <w:spacing w:before="100" w:beforeAutospacing="1" w:after="100" w:afterAutospacing="1"/>
    </w:pPr>
    <w:rPr>
      <w:rFonts w:ascii="Times New Roman" w:eastAsia="Times New Roman" w:hAnsi="Times New Roman" w:cs="Times New Roman"/>
      <w:sz w:val="24"/>
      <w:szCs w:val="24"/>
      <w:lang w:eastAsia="es-MX"/>
    </w:rPr>
  </w:style>
  <w:style w:type="paragraph" w:customStyle="1" w:styleId="Normal0">
    <w:name w:val="[Normal]"/>
    <w:link w:val="NormalCar"/>
    <w:rsid w:val="00605770"/>
    <w:pPr>
      <w:widowControl w:val="0"/>
      <w:autoSpaceDE w:val="0"/>
      <w:autoSpaceDN w:val="0"/>
      <w:adjustRightInd w:val="0"/>
      <w:spacing w:after="0" w:line="240" w:lineRule="auto"/>
    </w:pPr>
    <w:rPr>
      <w:rFonts w:ascii="Arial" w:eastAsia="Times New Roman" w:hAnsi="Arial" w:cs="Arial"/>
      <w:sz w:val="24"/>
      <w:szCs w:val="24"/>
      <w:lang w:val="es-ES" w:eastAsia="es-ES"/>
    </w:rPr>
  </w:style>
  <w:style w:type="character" w:customStyle="1" w:styleId="NormalCar">
    <w:name w:val="[Normal] Car"/>
    <w:link w:val="Normal0"/>
    <w:rsid w:val="00605770"/>
    <w:rPr>
      <w:rFonts w:ascii="Arial" w:eastAsia="Times New Roman" w:hAnsi="Arial" w:cs="Arial"/>
      <w:sz w:val="24"/>
      <w:szCs w:val="24"/>
      <w:lang w:val="es-ES" w:eastAsia="es-ES"/>
    </w:rPr>
  </w:style>
  <w:style w:type="character" w:customStyle="1" w:styleId="corte4fondoCar3">
    <w:name w:val="corte4 fondo Car3"/>
    <w:link w:val="corte4fondo"/>
    <w:locked/>
    <w:rsid w:val="009376CF"/>
    <w:rPr>
      <w:rFonts w:ascii="Arial" w:hAnsi="Arial" w:cs="Arial"/>
      <w:sz w:val="30"/>
      <w:szCs w:val="30"/>
      <w:lang w:val="es-ES_tradnl"/>
    </w:rPr>
  </w:style>
  <w:style w:type="paragraph" w:customStyle="1" w:styleId="corte4fondo">
    <w:name w:val="corte4 fondo"/>
    <w:basedOn w:val="Normal"/>
    <w:link w:val="corte4fondoCar3"/>
    <w:qFormat/>
    <w:rsid w:val="009376CF"/>
    <w:pPr>
      <w:spacing w:line="360" w:lineRule="auto"/>
      <w:ind w:firstLine="709"/>
      <w:jc w:val="both"/>
    </w:pPr>
    <w:rPr>
      <w:rFonts w:ascii="Arial" w:hAnsi="Arial" w:cs="Arial"/>
      <w:sz w:val="30"/>
      <w:szCs w:val="30"/>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5780251">
      <w:bodyDiv w:val="1"/>
      <w:marLeft w:val="0"/>
      <w:marRight w:val="0"/>
      <w:marTop w:val="0"/>
      <w:marBottom w:val="0"/>
      <w:divBdr>
        <w:top w:val="none" w:sz="0" w:space="0" w:color="auto"/>
        <w:left w:val="none" w:sz="0" w:space="0" w:color="auto"/>
        <w:bottom w:val="none" w:sz="0" w:space="0" w:color="auto"/>
        <w:right w:val="none" w:sz="0" w:space="0" w:color="auto"/>
      </w:divBdr>
    </w:div>
    <w:div w:id="18536480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982A97D-37ED-4A67-A773-FD7479CD7E8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2082</Words>
  <Characters>11452</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13507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TCAC-Personal</dc:creator>
  <cp:lastModifiedBy>JuanEdy</cp:lastModifiedBy>
  <cp:revision>4</cp:revision>
  <cp:lastPrinted>2020-02-12T19:45:00Z</cp:lastPrinted>
  <dcterms:created xsi:type="dcterms:W3CDTF">2020-09-22T21:04:00Z</dcterms:created>
  <dcterms:modified xsi:type="dcterms:W3CDTF">2020-09-24T15:59:00Z</dcterms:modified>
</cp:coreProperties>
</file>