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FF045B" w14:textId="77777777" w:rsidR="00426B77" w:rsidRDefault="00426B77" w:rsidP="00426B77">
      <w:pPr>
        <w:spacing w:line="240" w:lineRule="auto"/>
        <w:ind w:left="2124"/>
        <w:jc w:val="both"/>
        <w:rPr>
          <w:rFonts w:ascii="Arial" w:hAnsi="Arial" w:cs="Arial"/>
          <w:b/>
          <w:sz w:val="26"/>
          <w:szCs w:val="26"/>
        </w:rPr>
      </w:pPr>
      <w:r>
        <w:rPr>
          <w:rFonts w:ascii="Arial" w:hAnsi="Arial" w:cs="Arial"/>
          <w:b/>
          <w:sz w:val="26"/>
          <w:szCs w:val="26"/>
        </w:rPr>
        <w:t>SALA SUPERIOR DEL TRIBUNAL DE JUSTICIA ADMINISTRATIVA DEL ESTADO DE OAXACA</w:t>
      </w:r>
    </w:p>
    <w:p w14:paraId="6256F1CC" w14:textId="77777777" w:rsidR="00426B77" w:rsidRDefault="00426B77" w:rsidP="00426B77">
      <w:pPr>
        <w:spacing w:line="240" w:lineRule="auto"/>
        <w:ind w:left="2124"/>
        <w:jc w:val="both"/>
        <w:rPr>
          <w:rFonts w:ascii="Arial" w:hAnsi="Arial" w:cs="Arial"/>
          <w:b/>
          <w:sz w:val="26"/>
          <w:szCs w:val="26"/>
        </w:rPr>
      </w:pPr>
      <w:r>
        <w:rPr>
          <w:rFonts w:ascii="Arial" w:hAnsi="Arial" w:cs="Arial"/>
          <w:b/>
          <w:sz w:val="26"/>
          <w:szCs w:val="26"/>
        </w:rPr>
        <w:t>RECURSO DE REVISIÓN:</w:t>
      </w:r>
      <w:r>
        <w:rPr>
          <w:rFonts w:ascii="Arial" w:hAnsi="Arial" w:cs="Arial"/>
          <w:b/>
          <w:sz w:val="26"/>
          <w:szCs w:val="26"/>
        </w:rPr>
        <w:tab/>
        <w:t>0264/2019</w:t>
      </w:r>
    </w:p>
    <w:p w14:paraId="3C86F7AD" w14:textId="77777777" w:rsidR="00426B77" w:rsidRDefault="00426B77" w:rsidP="00426B77">
      <w:pPr>
        <w:spacing w:line="240" w:lineRule="auto"/>
        <w:ind w:left="2124"/>
        <w:jc w:val="both"/>
        <w:rPr>
          <w:rFonts w:ascii="Arial" w:hAnsi="Arial" w:cs="Arial"/>
          <w:b/>
          <w:sz w:val="26"/>
          <w:szCs w:val="26"/>
        </w:rPr>
      </w:pPr>
      <w:r>
        <w:rPr>
          <w:rFonts w:ascii="Arial" w:hAnsi="Arial" w:cs="Arial"/>
          <w:b/>
          <w:sz w:val="26"/>
          <w:szCs w:val="26"/>
        </w:rPr>
        <w:t>EXPEDIENTE:</w:t>
      </w:r>
      <w:r>
        <w:rPr>
          <w:rFonts w:ascii="Arial" w:hAnsi="Arial" w:cs="Arial"/>
          <w:b/>
          <w:sz w:val="26"/>
          <w:szCs w:val="26"/>
        </w:rPr>
        <w:tab/>
        <w:t>055/2017 DE LA PRIMERA SALA UNITARIA DE PRIMERA INSTANCIA</w:t>
      </w:r>
    </w:p>
    <w:p w14:paraId="20D87626" w14:textId="77777777" w:rsidR="00426B77" w:rsidRDefault="00426B77" w:rsidP="00426B77">
      <w:pPr>
        <w:spacing w:line="240" w:lineRule="auto"/>
        <w:ind w:left="2124"/>
        <w:jc w:val="both"/>
        <w:rPr>
          <w:rFonts w:ascii="Arial" w:hAnsi="Arial" w:cs="Arial"/>
          <w:b/>
          <w:sz w:val="26"/>
          <w:szCs w:val="26"/>
        </w:rPr>
      </w:pPr>
      <w:r>
        <w:rPr>
          <w:rFonts w:ascii="Arial" w:hAnsi="Arial" w:cs="Arial"/>
          <w:b/>
          <w:sz w:val="26"/>
          <w:szCs w:val="26"/>
        </w:rPr>
        <w:t>PONENTE: MAGISTRADA MARÍA ELENA VILLA DE JARQUÍN</w:t>
      </w:r>
    </w:p>
    <w:p w14:paraId="2B396287" w14:textId="77777777" w:rsidR="00426B77" w:rsidRDefault="00426B77" w:rsidP="00426B77">
      <w:pPr>
        <w:spacing w:before="240" w:after="0" w:line="360" w:lineRule="auto"/>
        <w:jc w:val="both"/>
        <w:rPr>
          <w:rFonts w:ascii="Arial" w:hAnsi="Arial" w:cs="Arial"/>
          <w:b/>
          <w:sz w:val="26"/>
          <w:szCs w:val="26"/>
        </w:rPr>
      </w:pPr>
      <w:r>
        <w:rPr>
          <w:rFonts w:ascii="Arial" w:hAnsi="Arial" w:cs="Arial"/>
          <w:b/>
          <w:sz w:val="26"/>
          <w:szCs w:val="26"/>
        </w:rPr>
        <w:t xml:space="preserve">OAXACA DE JUÁREZ, OAXACA A SEIS DE FEBRERO DE DOS MIL VEINTE. </w:t>
      </w:r>
    </w:p>
    <w:p w14:paraId="53859CE6" w14:textId="48F77B49" w:rsidR="00426B77" w:rsidRDefault="00426B77" w:rsidP="00426B77">
      <w:pPr>
        <w:spacing w:after="0" w:line="360" w:lineRule="auto"/>
        <w:ind w:firstLine="708"/>
        <w:jc w:val="both"/>
        <w:rPr>
          <w:rFonts w:ascii="Arial" w:hAnsi="Arial" w:cs="Arial"/>
          <w:sz w:val="26"/>
          <w:szCs w:val="26"/>
        </w:rPr>
      </w:pPr>
      <w:r>
        <w:rPr>
          <w:rFonts w:ascii="Arial" w:hAnsi="Arial" w:cs="Arial"/>
          <w:sz w:val="26"/>
          <w:szCs w:val="26"/>
        </w:rPr>
        <w:t xml:space="preserve">Por recibido el Cuaderno de Revisión </w:t>
      </w:r>
      <w:r>
        <w:rPr>
          <w:rFonts w:ascii="Arial" w:hAnsi="Arial" w:cs="Arial"/>
          <w:b/>
          <w:sz w:val="26"/>
          <w:szCs w:val="26"/>
        </w:rPr>
        <w:t>0264/2019</w:t>
      </w:r>
      <w:r>
        <w:rPr>
          <w:rFonts w:ascii="Arial" w:hAnsi="Arial" w:cs="Arial"/>
          <w:sz w:val="26"/>
          <w:szCs w:val="26"/>
        </w:rPr>
        <w:t xml:space="preserve">, que remite la Secretaría General de Acuerdos, con motivo del recurso de revisión interpuesto por </w:t>
      </w:r>
      <w:r w:rsidR="004A02E4">
        <w:rPr>
          <w:rFonts w:ascii="Arial" w:hAnsi="Arial" w:cs="Arial"/>
          <w:b/>
          <w:sz w:val="26"/>
          <w:szCs w:val="26"/>
        </w:rPr>
        <w:t>**********</w:t>
      </w:r>
      <w:r>
        <w:rPr>
          <w:rFonts w:ascii="Arial" w:hAnsi="Arial" w:cs="Arial"/>
          <w:sz w:val="26"/>
          <w:szCs w:val="26"/>
        </w:rPr>
        <w:t xml:space="preserve">, en contra del acuerdo de 27 veintiséis de junio de 2019 dos mil diecinueve, dictado en el expediente </w:t>
      </w:r>
      <w:r>
        <w:rPr>
          <w:rFonts w:ascii="Arial" w:hAnsi="Arial" w:cs="Arial"/>
          <w:b/>
          <w:sz w:val="26"/>
          <w:szCs w:val="26"/>
        </w:rPr>
        <w:t xml:space="preserve">055/2017 </w:t>
      </w:r>
      <w:r>
        <w:rPr>
          <w:rFonts w:ascii="Arial" w:hAnsi="Arial" w:cs="Arial"/>
          <w:sz w:val="26"/>
          <w:szCs w:val="26"/>
        </w:rPr>
        <w:t xml:space="preserve">de la Primera Sala Unitaria de Primera Instancia, relativo al juicio de nulidad promovido por el </w:t>
      </w:r>
      <w:r w:rsidR="004A02E4">
        <w:rPr>
          <w:rFonts w:ascii="Arial" w:hAnsi="Arial" w:cs="Arial"/>
          <w:b/>
          <w:sz w:val="26"/>
          <w:szCs w:val="26"/>
        </w:rPr>
        <w:t>***********</w:t>
      </w:r>
      <w:r>
        <w:rPr>
          <w:rFonts w:ascii="Arial" w:hAnsi="Arial" w:cs="Arial"/>
          <w:b/>
          <w:sz w:val="26"/>
          <w:szCs w:val="26"/>
        </w:rPr>
        <w:t xml:space="preserve"> </w:t>
      </w:r>
      <w:r>
        <w:rPr>
          <w:rFonts w:ascii="Arial" w:hAnsi="Arial" w:cs="Arial"/>
          <w:sz w:val="26"/>
          <w:szCs w:val="26"/>
        </w:rPr>
        <w:t xml:space="preserve">en contra de la </w:t>
      </w:r>
      <w:r>
        <w:rPr>
          <w:rFonts w:ascii="Arial" w:hAnsi="Arial" w:cs="Arial"/>
          <w:b/>
          <w:sz w:val="26"/>
          <w:szCs w:val="26"/>
        </w:rPr>
        <w:t xml:space="preserve">SECRETARÍA DE LA CONTRALORÍA Y TRANSPARENCIA GUBERNAMENTAL DEL ESTADO DE OAXACA; </w:t>
      </w:r>
      <w:r>
        <w:rPr>
          <w:rFonts w:ascii="Arial" w:hAnsi="Arial" w:cs="Arial"/>
          <w:sz w:val="26"/>
          <w:szCs w:val="26"/>
        </w:rPr>
        <w:t>por lo que con fundamento en los artículos 207 y 208 de la Ley de Justicia Administrativa para el Estado de Oaxaca, aplicable por ser la que estaba vigente al presentarse la demanda en el mes de junio de 2017 dos mil diecisiete, admite. En consecuencia, se procede a dictar resolución en los siguientes términos:</w:t>
      </w:r>
    </w:p>
    <w:p w14:paraId="47E104D0" w14:textId="77777777" w:rsidR="00426B77" w:rsidRDefault="00426B77" w:rsidP="00426B77">
      <w:pPr>
        <w:spacing w:line="360" w:lineRule="auto"/>
        <w:jc w:val="center"/>
        <w:rPr>
          <w:rFonts w:ascii="Arial" w:hAnsi="Arial" w:cs="Arial"/>
          <w:b/>
          <w:bCs/>
          <w:sz w:val="26"/>
          <w:szCs w:val="26"/>
        </w:rPr>
      </w:pPr>
      <w:r>
        <w:rPr>
          <w:rFonts w:ascii="Arial" w:hAnsi="Arial" w:cs="Arial"/>
          <w:b/>
          <w:bCs/>
          <w:sz w:val="26"/>
          <w:szCs w:val="26"/>
        </w:rPr>
        <w:t>R E S U L T A N D O</w:t>
      </w:r>
    </w:p>
    <w:p w14:paraId="1E827090" w14:textId="40EAA3CF" w:rsidR="00426B77" w:rsidRDefault="00426B77" w:rsidP="00426B77">
      <w:pPr>
        <w:spacing w:line="360" w:lineRule="auto"/>
        <w:ind w:firstLine="708"/>
        <w:jc w:val="both"/>
        <w:rPr>
          <w:rFonts w:ascii="Arial" w:hAnsi="Arial" w:cs="Arial"/>
          <w:sz w:val="26"/>
          <w:szCs w:val="26"/>
        </w:rPr>
      </w:pPr>
      <w:r>
        <w:rPr>
          <w:rFonts w:ascii="Arial" w:hAnsi="Arial" w:cs="Arial"/>
          <w:b/>
          <w:bCs/>
          <w:sz w:val="26"/>
          <w:szCs w:val="26"/>
        </w:rPr>
        <w:t xml:space="preserve">PRIMERO. </w:t>
      </w:r>
      <w:r>
        <w:rPr>
          <w:rFonts w:ascii="Arial" w:hAnsi="Arial" w:cs="Arial"/>
          <w:sz w:val="26"/>
          <w:szCs w:val="26"/>
        </w:rPr>
        <w:t xml:space="preserve">Inconforme con el acuerdo de 26 veintiséis de junio de 2019 dos mil diecinueve, dictado por la Primera Sala Unitaria de Primera Instancia, </w:t>
      </w:r>
      <w:r w:rsidR="004A02E4">
        <w:rPr>
          <w:rFonts w:ascii="Arial" w:hAnsi="Arial" w:cs="Arial"/>
          <w:b/>
          <w:sz w:val="26"/>
          <w:szCs w:val="26"/>
        </w:rPr>
        <w:t>************</w:t>
      </w:r>
      <w:r>
        <w:rPr>
          <w:rFonts w:ascii="Arial" w:hAnsi="Arial" w:cs="Arial"/>
          <w:b/>
          <w:sz w:val="26"/>
          <w:szCs w:val="26"/>
        </w:rPr>
        <w:t>,</w:t>
      </w:r>
      <w:r>
        <w:rPr>
          <w:rFonts w:ascii="Arial" w:hAnsi="Arial" w:cs="Arial"/>
          <w:sz w:val="26"/>
          <w:szCs w:val="26"/>
        </w:rPr>
        <w:t xml:space="preserve"> interpuso en su contra recurso de revisión.</w:t>
      </w:r>
    </w:p>
    <w:p w14:paraId="0D25055B" w14:textId="77777777" w:rsidR="00426B77" w:rsidRDefault="00426B77" w:rsidP="00426B77">
      <w:pPr>
        <w:spacing w:after="0" w:line="360" w:lineRule="auto"/>
        <w:ind w:firstLine="708"/>
        <w:jc w:val="both"/>
        <w:rPr>
          <w:rFonts w:ascii="Arial" w:hAnsi="Arial" w:cs="Arial"/>
          <w:sz w:val="26"/>
          <w:szCs w:val="26"/>
        </w:rPr>
      </w:pPr>
      <w:r>
        <w:rPr>
          <w:rFonts w:ascii="Arial" w:hAnsi="Arial" w:cs="Arial"/>
          <w:b/>
          <w:bCs/>
          <w:sz w:val="26"/>
          <w:szCs w:val="26"/>
        </w:rPr>
        <w:t xml:space="preserve">SEGUNDO. </w:t>
      </w:r>
      <w:r>
        <w:rPr>
          <w:rFonts w:ascii="Arial" w:hAnsi="Arial" w:cs="Arial"/>
          <w:bCs/>
          <w:sz w:val="26"/>
          <w:szCs w:val="26"/>
        </w:rPr>
        <w:t xml:space="preserve">El acuerdo </w:t>
      </w:r>
      <w:r>
        <w:rPr>
          <w:rFonts w:ascii="Arial" w:hAnsi="Arial" w:cs="Arial"/>
          <w:sz w:val="26"/>
          <w:szCs w:val="26"/>
        </w:rPr>
        <w:t>recurrido es el siguiente:</w:t>
      </w:r>
    </w:p>
    <w:p w14:paraId="604B1AA5" w14:textId="5EAEB092" w:rsidR="00426B77" w:rsidRDefault="00426B77" w:rsidP="00426B77">
      <w:pPr>
        <w:spacing w:line="360" w:lineRule="auto"/>
        <w:ind w:left="1134" w:right="566"/>
        <w:jc w:val="both"/>
        <w:rPr>
          <w:rFonts w:ascii="Arial" w:eastAsia="Calibri" w:hAnsi="Arial" w:cs="Arial"/>
          <w:bCs/>
          <w:color w:val="000000" w:themeColor="text1"/>
          <w:sz w:val="24"/>
          <w:szCs w:val="24"/>
        </w:rPr>
      </w:pPr>
      <w:r>
        <w:rPr>
          <w:rFonts w:ascii="Arial" w:eastAsia="Calibri" w:hAnsi="Arial" w:cs="Arial"/>
          <w:bCs/>
          <w:color w:val="000000" w:themeColor="text1"/>
          <w:sz w:val="24"/>
          <w:szCs w:val="24"/>
        </w:rPr>
        <w:t>“</w:t>
      </w:r>
      <w:r>
        <w:rPr>
          <w:rFonts w:ascii="Arial" w:eastAsia="Calibri" w:hAnsi="Arial" w:cs="Arial"/>
          <w:bCs/>
          <w:i/>
          <w:color w:val="000000" w:themeColor="text1"/>
          <w:sz w:val="24"/>
          <w:szCs w:val="24"/>
        </w:rPr>
        <w:t xml:space="preserve">Se da cuenta con el oficio </w:t>
      </w:r>
      <w:r w:rsidR="004B5DD1" w:rsidRPr="004B5DD1">
        <w:rPr>
          <w:rFonts w:ascii="Arial" w:eastAsia="Calibri" w:hAnsi="Arial" w:cs="Arial"/>
          <w:b/>
          <w:bCs/>
          <w:i/>
          <w:color w:val="000000" w:themeColor="text1"/>
          <w:sz w:val="24"/>
          <w:szCs w:val="24"/>
        </w:rPr>
        <w:t>**********</w:t>
      </w:r>
      <w:r>
        <w:rPr>
          <w:rFonts w:ascii="Arial" w:eastAsia="Calibri" w:hAnsi="Arial" w:cs="Arial"/>
          <w:bCs/>
          <w:i/>
          <w:color w:val="000000" w:themeColor="text1"/>
          <w:sz w:val="24"/>
          <w:szCs w:val="24"/>
        </w:rPr>
        <w:t xml:space="preserve"> de cuatro del actual y recibido el seis del actual, signado por el licenciado </w:t>
      </w:r>
      <w:r w:rsidR="004B5DD1" w:rsidRPr="004B5DD1">
        <w:rPr>
          <w:rFonts w:ascii="Arial" w:eastAsia="Calibri" w:hAnsi="Arial" w:cs="Arial"/>
          <w:b/>
          <w:bCs/>
          <w:i/>
          <w:color w:val="000000" w:themeColor="text1"/>
          <w:sz w:val="24"/>
          <w:szCs w:val="24"/>
        </w:rPr>
        <w:t>**********</w:t>
      </w:r>
      <w:r w:rsidRPr="004B5DD1">
        <w:rPr>
          <w:rFonts w:ascii="Arial" w:eastAsia="Calibri" w:hAnsi="Arial" w:cs="Arial"/>
          <w:b/>
          <w:bCs/>
          <w:i/>
          <w:color w:val="000000" w:themeColor="text1"/>
          <w:sz w:val="24"/>
          <w:szCs w:val="24"/>
        </w:rPr>
        <w:t>,</w:t>
      </w:r>
      <w:r>
        <w:rPr>
          <w:rFonts w:ascii="Arial" w:eastAsia="Calibri" w:hAnsi="Arial" w:cs="Arial"/>
          <w:bCs/>
          <w:i/>
          <w:color w:val="000000" w:themeColor="text1"/>
          <w:sz w:val="24"/>
          <w:szCs w:val="24"/>
        </w:rPr>
        <w:t xml:space="preserve"> Presidente de la Junta Local de Conciliación y Arbitraje y con el escrito del actor </w:t>
      </w:r>
      <w:r w:rsidR="004B5DD1" w:rsidRPr="004B5DD1">
        <w:rPr>
          <w:rFonts w:ascii="Arial" w:eastAsia="Calibri" w:hAnsi="Arial" w:cs="Arial"/>
          <w:b/>
          <w:bCs/>
          <w:i/>
          <w:color w:val="000000" w:themeColor="text1"/>
          <w:sz w:val="24"/>
          <w:szCs w:val="24"/>
        </w:rPr>
        <w:t>***********</w:t>
      </w:r>
      <w:r w:rsidRPr="004B5DD1">
        <w:rPr>
          <w:rFonts w:ascii="Arial" w:eastAsia="Calibri" w:hAnsi="Arial" w:cs="Arial"/>
          <w:b/>
          <w:bCs/>
          <w:i/>
          <w:color w:val="000000" w:themeColor="text1"/>
          <w:sz w:val="24"/>
          <w:szCs w:val="24"/>
        </w:rPr>
        <w:t>,</w:t>
      </w:r>
      <w:r>
        <w:rPr>
          <w:rFonts w:ascii="Arial" w:eastAsia="Calibri" w:hAnsi="Arial" w:cs="Arial"/>
          <w:bCs/>
          <w:i/>
          <w:color w:val="000000" w:themeColor="text1"/>
          <w:sz w:val="24"/>
          <w:szCs w:val="24"/>
        </w:rPr>
        <w:t xml:space="preserve"> fechado y recibido el tres de junio, </w:t>
      </w:r>
      <w:r>
        <w:rPr>
          <w:rFonts w:ascii="Arial" w:eastAsia="Calibri" w:hAnsi="Arial" w:cs="Arial"/>
          <w:b/>
          <w:bCs/>
          <w:i/>
          <w:color w:val="000000" w:themeColor="text1"/>
          <w:sz w:val="24"/>
          <w:szCs w:val="24"/>
          <w:u w:val="single"/>
        </w:rPr>
        <w:t>visto el primero de cuenta</w:t>
      </w:r>
      <w:r>
        <w:rPr>
          <w:rFonts w:ascii="Arial" w:eastAsia="Calibri" w:hAnsi="Arial" w:cs="Arial"/>
          <w:bCs/>
          <w:i/>
          <w:color w:val="000000" w:themeColor="text1"/>
          <w:sz w:val="24"/>
          <w:szCs w:val="24"/>
        </w:rPr>
        <w:t xml:space="preserve">, se le tiene a la mencionada autoridad rindiendo su informe </w:t>
      </w:r>
      <w:bookmarkStart w:id="0" w:name="_GoBack"/>
      <w:bookmarkEnd w:id="0"/>
      <w:r>
        <w:rPr>
          <w:rFonts w:ascii="Arial" w:eastAsia="Calibri" w:hAnsi="Arial" w:cs="Arial"/>
          <w:bCs/>
          <w:i/>
          <w:color w:val="000000" w:themeColor="text1"/>
          <w:sz w:val="24"/>
          <w:szCs w:val="24"/>
        </w:rPr>
        <w:t xml:space="preserve">que le fue solicitado en la forma y términos en que lo hace, mismo que se manda agregar a los autos para los efectos legales conducentes, en consecuencia, en términos del numeral 127 del Código de Procedimientos Civiles en vigor, </w:t>
      </w:r>
      <w:r>
        <w:rPr>
          <w:rFonts w:ascii="Arial" w:eastAsia="Calibri" w:hAnsi="Arial" w:cs="Arial"/>
          <w:bCs/>
          <w:i/>
          <w:color w:val="000000" w:themeColor="text1"/>
          <w:sz w:val="24"/>
          <w:szCs w:val="24"/>
          <w:u w:val="single"/>
        </w:rPr>
        <w:t>se ordena dar vista con el de cuenta las partes por el plazo de tres días hábiles para que manifiesten lo que a sus intereses convenga</w:t>
      </w:r>
      <w:r>
        <w:rPr>
          <w:rFonts w:ascii="Arial" w:eastAsia="Calibri" w:hAnsi="Arial" w:cs="Arial"/>
          <w:bCs/>
          <w:i/>
          <w:color w:val="000000" w:themeColor="text1"/>
          <w:sz w:val="24"/>
          <w:szCs w:val="24"/>
        </w:rPr>
        <w:t xml:space="preserve">, bajo apercibimiento que de no hacerlo como s ele indica, se les tendrá </w:t>
      </w:r>
      <w:proofErr w:type="spellStart"/>
      <w:r>
        <w:rPr>
          <w:rFonts w:ascii="Arial" w:eastAsia="Calibri" w:hAnsi="Arial" w:cs="Arial"/>
          <w:bCs/>
          <w:i/>
          <w:color w:val="000000" w:themeColor="text1"/>
          <w:sz w:val="24"/>
          <w:szCs w:val="24"/>
        </w:rPr>
        <w:t>precluído</w:t>
      </w:r>
      <w:proofErr w:type="spellEnd"/>
      <w:r>
        <w:rPr>
          <w:rFonts w:ascii="Arial" w:eastAsia="Calibri" w:hAnsi="Arial" w:cs="Arial"/>
          <w:bCs/>
          <w:i/>
          <w:color w:val="000000" w:themeColor="text1"/>
          <w:sz w:val="24"/>
          <w:szCs w:val="24"/>
        </w:rPr>
        <w:t xml:space="preserve"> su derecho. </w:t>
      </w:r>
      <w:r>
        <w:rPr>
          <w:rFonts w:ascii="Arial" w:eastAsia="Calibri" w:hAnsi="Arial" w:cs="Arial"/>
          <w:bCs/>
          <w:i/>
          <w:color w:val="000000" w:themeColor="text1"/>
          <w:sz w:val="24"/>
          <w:szCs w:val="24"/>
        </w:rPr>
        <w:lastRenderedPageBreak/>
        <w:t xml:space="preserve">Ahora bien, </w:t>
      </w:r>
      <w:r>
        <w:rPr>
          <w:rFonts w:ascii="Arial" w:eastAsia="Calibri" w:hAnsi="Arial" w:cs="Arial"/>
          <w:b/>
          <w:bCs/>
          <w:i/>
          <w:color w:val="000000" w:themeColor="text1"/>
          <w:sz w:val="24"/>
          <w:szCs w:val="24"/>
          <w:u w:val="single"/>
        </w:rPr>
        <w:t>visto el segundo de cuenta</w:t>
      </w:r>
      <w:r>
        <w:rPr>
          <w:rFonts w:ascii="Arial" w:eastAsia="Calibri" w:hAnsi="Arial" w:cs="Arial"/>
          <w:bCs/>
          <w:i/>
          <w:color w:val="000000" w:themeColor="text1"/>
          <w:sz w:val="24"/>
          <w:szCs w:val="24"/>
        </w:rPr>
        <w:t xml:space="preserve"> y en atención al primer párrafo del escrito, se le tiene proporcionando el domicilio de la Comisión nacional Bancaria y de Valores, el cual se ubica en Avenida Insurgentes sur 1971, colonia Guadalupe </w:t>
      </w:r>
      <w:proofErr w:type="spellStart"/>
      <w:r>
        <w:rPr>
          <w:rFonts w:ascii="Arial" w:eastAsia="Calibri" w:hAnsi="Arial" w:cs="Arial"/>
          <w:bCs/>
          <w:i/>
          <w:color w:val="000000" w:themeColor="text1"/>
          <w:sz w:val="24"/>
          <w:szCs w:val="24"/>
        </w:rPr>
        <w:t>Inn</w:t>
      </w:r>
      <w:proofErr w:type="spellEnd"/>
      <w:r>
        <w:rPr>
          <w:rFonts w:ascii="Arial" w:eastAsia="Calibri" w:hAnsi="Arial" w:cs="Arial"/>
          <w:bCs/>
          <w:i/>
          <w:color w:val="000000" w:themeColor="text1"/>
          <w:sz w:val="24"/>
          <w:szCs w:val="24"/>
        </w:rPr>
        <w:t xml:space="preserve">, ciudad de México, por ello, </w:t>
      </w:r>
      <w:r>
        <w:rPr>
          <w:rFonts w:ascii="Arial" w:eastAsia="Calibri" w:hAnsi="Arial" w:cs="Arial"/>
          <w:bCs/>
          <w:i/>
          <w:color w:val="000000" w:themeColor="text1"/>
          <w:sz w:val="24"/>
          <w:szCs w:val="24"/>
          <w:u w:val="single"/>
        </w:rPr>
        <w:t>se ordena girar atento oficio por medio de correo registrado con acuse de recibo al titular de la referida dependencia, para que en el plazo de tres días hábiles contados a partir del día siguiente a aquel en que surta efectos la notificación, se sirva informar los puntos que se especifican en la demanda del actor, para lo cual deberá anexarse copia de dichos puntos</w:t>
      </w:r>
      <w:r>
        <w:rPr>
          <w:rFonts w:ascii="Arial" w:eastAsia="Calibri" w:hAnsi="Arial" w:cs="Arial"/>
          <w:bCs/>
          <w:i/>
          <w:color w:val="000000" w:themeColor="text1"/>
          <w:sz w:val="24"/>
          <w:szCs w:val="24"/>
        </w:rPr>
        <w:t>, bajo apercibimiento que de no hacerlo como se le indica, se le impondrá una multa de veinte unidades de medida y actualización en términos del numeral 155 fracción I de la Ley de Procedimiento y Justicia Administrativa para el Estado de Oaxaca. Por otra parte, en relación al segundo párrafo de su escrito, se ordena expedirle copia de los informes rendidos por la Junta Local de Conciliación y Arbitraje del Estado y de la Fiscalía General del Estado, a efecto de que se imponga del contenido de los mismos como se encuentra ordenado por auto que antecede. Ahora bien, por lo que respecta a la parte final de su escrito, dígasele que no ha lugar a lo que solicita, tomando en consideración que su petición ya fue acordada por auto que antecede…</w:t>
      </w:r>
      <w:r>
        <w:rPr>
          <w:rFonts w:ascii="Arial" w:eastAsia="Calibri" w:hAnsi="Arial" w:cs="Arial"/>
          <w:bCs/>
          <w:color w:val="000000" w:themeColor="text1"/>
          <w:sz w:val="24"/>
          <w:szCs w:val="24"/>
        </w:rPr>
        <w:t>”</w:t>
      </w:r>
    </w:p>
    <w:p w14:paraId="3C4A1AB0" w14:textId="77777777" w:rsidR="00426B77" w:rsidRDefault="00426B77" w:rsidP="00426B77">
      <w:pPr>
        <w:spacing w:line="360" w:lineRule="auto"/>
        <w:ind w:left="1134" w:right="566"/>
        <w:jc w:val="center"/>
        <w:rPr>
          <w:rFonts w:ascii="Arial" w:eastAsia="Calibri" w:hAnsi="Arial" w:cs="Arial"/>
          <w:b/>
          <w:bCs/>
          <w:sz w:val="26"/>
          <w:szCs w:val="26"/>
        </w:rPr>
      </w:pPr>
      <w:r>
        <w:rPr>
          <w:rFonts w:ascii="Arial" w:eastAsia="Calibri" w:hAnsi="Arial" w:cs="Arial"/>
          <w:b/>
          <w:bCs/>
          <w:sz w:val="26"/>
          <w:szCs w:val="26"/>
        </w:rPr>
        <w:t>C O N S I D E R A N D O:</w:t>
      </w:r>
    </w:p>
    <w:p w14:paraId="01EE9740" w14:textId="77777777" w:rsidR="00426B77" w:rsidRDefault="00426B77" w:rsidP="00426B77">
      <w:pPr>
        <w:spacing w:line="360" w:lineRule="auto"/>
        <w:ind w:firstLine="708"/>
        <w:jc w:val="both"/>
        <w:rPr>
          <w:rFonts w:ascii="Arial" w:hAnsi="Arial" w:cs="Arial"/>
          <w:b/>
          <w:bCs/>
          <w:iCs/>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Pr>
          <w:rFonts w:ascii="Arial" w:hAnsi="Arial" w:cs="Arial"/>
          <w:bCs/>
          <w:iCs/>
          <w:sz w:val="26"/>
          <w:szCs w:val="26"/>
        </w:rPr>
        <w:t xml:space="preserve">Esta Sala Superior es competente para conocer del presente asunto, de conformidad con lo dispuesto por los artículos 114 </w:t>
      </w:r>
      <w:proofErr w:type="spellStart"/>
      <w:r>
        <w:rPr>
          <w:rFonts w:ascii="Arial" w:hAnsi="Arial" w:cs="Arial"/>
          <w:bCs/>
          <w:iCs/>
          <w:sz w:val="26"/>
          <w:szCs w:val="26"/>
        </w:rPr>
        <w:t>Quáter</w:t>
      </w:r>
      <w:proofErr w:type="spellEnd"/>
      <w:r>
        <w:rPr>
          <w:rFonts w:ascii="Arial" w:hAnsi="Arial" w:cs="Arial"/>
          <w:bCs/>
          <w:iCs/>
          <w:sz w:val="26"/>
          <w:szCs w:val="26"/>
        </w:rPr>
        <w:t xml:space="preserve"> de la Constitución Política del Estado Libre y Soberano de Oaxaca; 1 párrafo segundo, 2 párrafos primero y cuarto, 4 fracción VIII, 23, 24 fracción I, 25 fracción I y 27 de la Ley Orgánica del Tribunal de Justicia Administrativa del Estado de Oaxaca, publicada en el Periódico Oficial del Estado de Oaxaca, el 7 siete de noviembre de 2019 dos mil diecinueve; así como los diversos 86, 88, 92, 93 fracción I, 94, 201, 206 y 208, de la Ley de Justicia Administrativa para el Estado de Oaxaca, </w:t>
      </w:r>
      <w:r>
        <w:rPr>
          <w:rFonts w:ascii="Arial" w:hAnsi="Arial" w:cs="Arial"/>
          <w:sz w:val="26"/>
          <w:szCs w:val="26"/>
        </w:rPr>
        <w:t xml:space="preserve">aplicable por ser la que estaba vigente al presentarse la demanda en el mes de junio de 2017 dos mil diecisiete, </w:t>
      </w:r>
      <w:r>
        <w:rPr>
          <w:rFonts w:ascii="Arial" w:hAnsi="Arial" w:cs="Arial"/>
          <w:bCs/>
          <w:iCs/>
          <w:sz w:val="26"/>
          <w:szCs w:val="26"/>
        </w:rPr>
        <w:t xml:space="preserve">dado que se trata de un recurso de revisión interpuesto en contra del acuerdo de 26 veintiséis de junio de 2019 dos mil diecinueve, dictado por la Primera Sala Unitaria de Primera Instancia de este Tribunal, en el expediente </w:t>
      </w:r>
      <w:r>
        <w:rPr>
          <w:rFonts w:ascii="Arial" w:hAnsi="Arial" w:cs="Arial"/>
          <w:b/>
          <w:bCs/>
          <w:iCs/>
          <w:sz w:val="26"/>
          <w:szCs w:val="26"/>
        </w:rPr>
        <w:t>055/2017</w:t>
      </w:r>
      <w:r>
        <w:rPr>
          <w:rFonts w:ascii="Arial" w:hAnsi="Arial" w:cs="Arial"/>
          <w:sz w:val="26"/>
          <w:szCs w:val="26"/>
        </w:rPr>
        <w:t>.</w:t>
      </w:r>
    </w:p>
    <w:p w14:paraId="392D2667" w14:textId="77777777" w:rsidR="00426B77" w:rsidRDefault="00426B77" w:rsidP="00426B77">
      <w:pPr>
        <w:spacing w:before="240" w:after="0" w:line="360" w:lineRule="auto"/>
        <w:ind w:firstLine="708"/>
        <w:jc w:val="both"/>
        <w:rPr>
          <w:rFonts w:ascii="Arial" w:hAnsi="Arial" w:cs="Arial"/>
          <w:color w:val="000000"/>
          <w:sz w:val="26"/>
          <w:szCs w:val="26"/>
        </w:rPr>
      </w:pPr>
      <w:r>
        <w:rPr>
          <w:rFonts w:ascii="Arial" w:hAnsi="Arial" w:cs="Arial"/>
          <w:b/>
          <w:bCs/>
          <w:sz w:val="26"/>
          <w:szCs w:val="26"/>
        </w:rPr>
        <w:lastRenderedPageBreak/>
        <w:t>SEGUNDO.</w:t>
      </w:r>
      <w:r>
        <w:rPr>
          <w:rFonts w:ascii="Arial" w:hAnsi="Arial" w:cs="Arial"/>
          <w:bCs/>
          <w:sz w:val="26"/>
          <w:szCs w:val="26"/>
        </w:rPr>
        <w:t xml:space="preserve"> </w:t>
      </w:r>
      <w:r>
        <w:rPr>
          <w:rFonts w:ascii="Arial" w:hAnsi="Arial" w:cs="Arial"/>
          <w:color w:val="000000"/>
          <w:sz w:val="26"/>
          <w:szCs w:val="26"/>
        </w:rPr>
        <w:t>El recurrente se inconforma del acuerdo de 26 veintiséis de junio de 2019 dos mil diecinueve, por el que la Primera Instancia determinó:</w:t>
      </w:r>
    </w:p>
    <w:p w14:paraId="14270115" w14:textId="77777777" w:rsidR="00426B77" w:rsidRDefault="00426B77" w:rsidP="00426B77">
      <w:pPr>
        <w:spacing w:after="0" w:line="360" w:lineRule="auto"/>
        <w:ind w:right="566" w:firstLine="708"/>
        <w:jc w:val="both"/>
        <w:rPr>
          <w:rFonts w:ascii="Arial" w:eastAsia="Calibri" w:hAnsi="Arial" w:cs="Arial"/>
          <w:bCs/>
          <w:color w:val="000000" w:themeColor="text1"/>
          <w:sz w:val="26"/>
          <w:szCs w:val="26"/>
        </w:rPr>
      </w:pPr>
      <w:r>
        <w:rPr>
          <w:rFonts w:ascii="Arial" w:eastAsia="Calibri" w:hAnsi="Arial" w:cs="Arial"/>
          <w:b/>
          <w:bCs/>
          <w:color w:val="000000" w:themeColor="text1"/>
          <w:sz w:val="26"/>
          <w:szCs w:val="26"/>
        </w:rPr>
        <w:t>1</w:t>
      </w:r>
      <w:r>
        <w:rPr>
          <w:rFonts w:ascii="Arial" w:eastAsia="Calibri" w:hAnsi="Arial" w:cs="Arial"/>
          <w:bCs/>
          <w:color w:val="000000" w:themeColor="text1"/>
          <w:sz w:val="26"/>
          <w:szCs w:val="26"/>
        </w:rPr>
        <w:t>. Tener rindiendo informe al Presidente de la Junta Local de Conciliación y Arbitraje.</w:t>
      </w:r>
    </w:p>
    <w:p w14:paraId="37614DEF" w14:textId="77777777" w:rsidR="00426B77" w:rsidRDefault="00426B77" w:rsidP="00426B77">
      <w:pPr>
        <w:spacing w:after="0" w:line="360" w:lineRule="auto"/>
        <w:ind w:right="566" w:firstLine="708"/>
        <w:jc w:val="both"/>
        <w:rPr>
          <w:rFonts w:ascii="Arial" w:eastAsia="Calibri" w:hAnsi="Arial" w:cs="Arial"/>
          <w:bCs/>
          <w:color w:val="000000" w:themeColor="text1"/>
          <w:sz w:val="26"/>
          <w:szCs w:val="26"/>
        </w:rPr>
      </w:pPr>
      <w:r>
        <w:rPr>
          <w:rFonts w:ascii="Arial" w:eastAsia="Calibri" w:hAnsi="Arial" w:cs="Arial"/>
          <w:b/>
          <w:bCs/>
          <w:color w:val="000000" w:themeColor="text1"/>
          <w:sz w:val="26"/>
          <w:szCs w:val="26"/>
        </w:rPr>
        <w:t>2</w:t>
      </w:r>
      <w:r>
        <w:rPr>
          <w:rFonts w:ascii="Arial" w:eastAsia="Calibri" w:hAnsi="Arial" w:cs="Arial"/>
          <w:bCs/>
          <w:color w:val="000000" w:themeColor="text1"/>
          <w:sz w:val="26"/>
          <w:szCs w:val="26"/>
        </w:rPr>
        <w:t xml:space="preserve">. Dar vista a las partes con dicho informe, para que manifestaran lo que a sus intereses convenga, con apercibimiento que de no hacerlo, se les tendría por </w:t>
      </w:r>
      <w:proofErr w:type="spellStart"/>
      <w:r>
        <w:rPr>
          <w:rFonts w:ascii="Arial" w:eastAsia="Calibri" w:hAnsi="Arial" w:cs="Arial"/>
          <w:bCs/>
          <w:color w:val="000000" w:themeColor="text1"/>
          <w:sz w:val="26"/>
          <w:szCs w:val="26"/>
        </w:rPr>
        <w:t>precluído</w:t>
      </w:r>
      <w:proofErr w:type="spellEnd"/>
      <w:r>
        <w:rPr>
          <w:rFonts w:ascii="Arial" w:eastAsia="Calibri" w:hAnsi="Arial" w:cs="Arial"/>
          <w:bCs/>
          <w:color w:val="000000" w:themeColor="text1"/>
          <w:sz w:val="26"/>
          <w:szCs w:val="26"/>
        </w:rPr>
        <w:t xml:space="preserve"> su derecho.</w:t>
      </w:r>
    </w:p>
    <w:p w14:paraId="2AF7925B" w14:textId="77777777" w:rsidR="00426B77" w:rsidRDefault="00426B77" w:rsidP="00426B77">
      <w:pPr>
        <w:spacing w:after="0" w:line="360" w:lineRule="auto"/>
        <w:ind w:right="566" w:firstLine="708"/>
        <w:jc w:val="both"/>
        <w:rPr>
          <w:rFonts w:ascii="Arial" w:eastAsia="Calibri" w:hAnsi="Arial" w:cs="Arial"/>
          <w:bCs/>
          <w:color w:val="000000" w:themeColor="text1"/>
          <w:sz w:val="26"/>
          <w:szCs w:val="26"/>
        </w:rPr>
      </w:pPr>
      <w:r>
        <w:rPr>
          <w:rFonts w:ascii="Arial" w:eastAsia="Calibri" w:hAnsi="Arial" w:cs="Arial"/>
          <w:b/>
          <w:bCs/>
          <w:color w:val="000000" w:themeColor="text1"/>
          <w:sz w:val="26"/>
          <w:szCs w:val="26"/>
        </w:rPr>
        <w:t>3</w:t>
      </w:r>
      <w:r>
        <w:rPr>
          <w:rFonts w:ascii="Arial" w:eastAsia="Calibri" w:hAnsi="Arial" w:cs="Arial"/>
          <w:bCs/>
          <w:color w:val="000000" w:themeColor="text1"/>
          <w:sz w:val="26"/>
          <w:szCs w:val="26"/>
        </w:rPr>
        <w:t>. Se tuvo a la parte actora, proporcionando domicilio de la Comisión nacional Bancaria y de Valores.</w:t>
      </w:r>
    </w:p>
    <w:p w14:paraId="76B6804D" w14:textId="77777777" w:rsidR="00426B77" w:rsidRDefault="00426B77" w:rsidP="00426B77">
      <w:pPr>
        <w:spacing w:after="0" w:line="360" w:lineRule="auto"/>
        <w:ind w:right="566" w:firstLine="708"/>
        <w:jc w:val="both"/>
        <w:rPr>
          <w:rFonts w:ascii="Arial" w:eastAsia="Calibri" w:hAnsi="Arial" w:cs="Arial"/>
          <w:bCs/>
          <w:color w:val="000000" w:themeColor="text1"/>
          <w:sz w:val="26"/>
          <w:szCs w:val="26"/>
        </w:rPr>
      </w:pPr>
      <w:r>
        <w:rPr>
          <w:rFonts w:ascii="Arial" w:eastAsia="Calibri" w:hAnsi="Arial" w:cs="Arial"/>
          <w:b/>
          <w:bCs/>
          <w:color w:val="000000" w:themeColor="text1"/>
          <w:sz w:val="26"/>
          <w:szCs w:val="26"/>
        </w:rPr>
        <w:t>4</w:t>
      </w:r>
      <w:r>
        <w:rPr>
          <w:rFonts w:ascii="Arial" w:eastAsia="Calibri" w:hAnsi="Arial" w:cs="Arial"/>
          <w:bCs/>
          <w:color w:val="000000" w:themeColor="text1"/>
          <w:sz w:val="26"/>
          <w:szCs w:val="26"/>
        </w:rPr>
        <w:t>. Se ordenó girar oficio al titular de la referida dependencia, para que informara los puntos especificados en la demanda del actor, con apercibimiento que de no hacerlo, se impondrá multa.</w:t>
      </w:r>
    </w:p>
    <w:p w14:paraId="5265029B" w14:textId="77777777" w:rsidR="00426B77" w:rsidRDefault="00426B77" w:rsidP="00426B77">
      <w:pPr>
        <w:spacing w:after="0" w:line="360" w:lineRule="auto"/>
        <w:ind w:right="566" w:firstLine="708"/>
        <w:jc w:val="both"/>
        <w:rPr>
          <w:rFonts w:ascii="Arial" w:eastAsia="Calibri" w:hAnsi="Arial" w:cs="Arial"/>
          <w:bCs/>
          <w:color w:val="000000" w:themeColor="text1"/>
          <w:sz w:val="26"/>
          <w:szCs w:val="26"/>
        </w:rPr>
      </w:pPr>
      <w:r>
        <w:rPr>
          <w:rFonts w:ascii="Arial" w:eastAsia="Calibri" w:hAnsi="Arial" w:cs="Arial"/>
          <w:b/>
          <w:bCs/>
          <w:color w:val="000000" w:themeColor="text1"/>
          <w:sz w:val="26"/>
          <w:szCs w:val="26"/>
        </w:rPr>
        <w:t>5</w:t>
      </w:r>
      <w:r>
        <w:rPr>
          <w:rFonts w:ascii="Arial" w:eastAsia="Calibri" w:hAnsi="Arial" w:cs="Arial"/>
          <w:bCs/>
          <w:color w:val="000000" w:themeColor="text1"/>
          <w:sz w:val="26"/>
          <w:szCs w:val="26"/>
        </w:rPr>
        <w:t>. Se ordenó expedir copia de los informes rendidos por la Junta Local de Conciliación y Arbitraje del Estado y de la Fiscalía General del Estado.</w:t>
      </w:r>
    </w:p>
    <w:p w14:paraId="0821DF3C" w14:textId="77777777" w:rsidR="00426B77" w:rsidRDefault="00426B77" w:rsidP="00426B77">
      <w:pPr>
        <w:spacing w:after="0" w:line="360" w:lineRule="auto"/>
        <w:ind w:right="566" w:firstLine="708"/>
        <w:jc w:val="both"/>
        <w:rPr>
          <w:rFonts w:ascii="Arial" w:eastAsia="Calibri" w:hAnsi="Arial" w:cs="Arial"/>
          <w:bCs/>
          <w:color w:val="000000" w:themeColor="text1"/>
          <w:sz w:val="26"/>
          <w:szCs w:val="26"/>
        </w:rPr>
      </w:pPr>
      <w:r>
        <w:rPr>
          <w:rFonts w:ascii="Arial" w:eastAsia="Calibri" w:hAnsi="Arial" w:cs="Arial"/>
          <w:b/>
          <w:bCs/>
          <w:color w:val="000000" w:themeColor="text1"/>
          <w:sz w:val="26"/>
          <w:szCs w:val="26"/>
        </w:rPr>
        <w:t>6</w:t>
      </w:r>
      <w:r>
        <w:rPr>
          <w:rFonts w:ascii="Arial" w:eastAsia="Calibri" w:hAnsi="Arial" w:cs="Arial"/>
          <w:bCs/>
          <w:color w:val="000000" w:themeColor="text1"/>
          <w:sz w:val="26"/>
          <w:szCs w:val="26"/>
        </w:rPr>
        <w:t xml:space="preserve">. Se le dijo al actor que debía estarse a lo acordado en diverso auto, respecto a su petición de que se tomen las medidas legales conducentes para que el Rector y Representante Legal de la Universidad </w:t>
      </w:r>
      <w:proofErr w:type="spellStart"/>
      <w:r>
        <w:rPr>
          <w:rFonts w:ascii="Arial" w:eastAsia="Calibri" w:hAnsi="Arial" w:cs="Arial"/>
          <w:bCs/>
          <w:color w:val="000000" w:themeColor="text1"/>
          <w:sz w:val="26"/>
          <w:szCs w:val="26"/>
        </w:rPr>
        <w:t>Novauniversitas</w:t>
      </w:r>
      <w:proofErr w:type="spellEnd"/>
      <w:r>
        <w:rPr>
          <w:rFonts w:ascii="Arial" w:eastAsia="Calibri" w:hAnsi="Arial" w:cs="Arial"/>
          <w:bCs/>
          <w:color w:val="000000" w:themeColor="text1"/>
          <w:sz w:val="26"/>
          <w:szCs w:val="26"/>
        </w:rPr>
        <w:t>, de cumplimiento a lo que le fue ordenado.</w:t>
      </w:r>
    </w:p>
    <w:p w14:paraId="167DBBFE" w14:textId="77777777" w:rsidR="00426B77" w:rsidRPr="00426B77" w:rsidRDefault="00426B77" w:rsidP="00426B77">
      <w:pPr>
        <w:spacing w:after="0" w:line="360" w:lineRule="auto"/>
        <w:ind w:right="566" w:firstLine="708"/>
        <w:jc w:val="both"/>
        <w:rPr>
          <w:rFonts w:ascii="Arial" w:eastAsia="Calibri" w:hAnsi="Arial" w:cs="Arial"/>
          <w:bCs/>
          <w:color w:val="000000" w:themeColor="text1"/>
          <w:sz w:val="26"/>
          <w:szCs w:val="26"/>
        </w:rPr>
      </w:pPr>
      <w:r>
        <w:rPr>
          <w:rFonts w:ascii="Arial" w:hAnsi="Arial" w:cs="Arial"/>
          <w:sz w:val="26"/>
          <w:szCs w:val="26"/>
        </w:rPr>
        <w:t>El artículo 206 de la Ley de Justicia Administrativa para el Estado de Oaxaca, establece:</w:t>
      </w:r>
    </w:p>
    <w:p w14:paraId="70A1C5C7" w14:textId="77777777" w:rsidR="00426B77" w:rsidRDefault="00426B77" w:rsidP="00426B77">
      <w:pPr>
        <w:spacing w:line="360" w:lineRule="auto"/>
        <w:ind w:left="851" w:right="778"/>
        <w:jc w:val="both"/>
        <w:rPr>
          <w:rFonts w:ascii="Arial" w:hAnsi="Arial" w:cs="Arial"/>
          <w:i/>
          <w:sz w:val="24"/>
          <w:szCs w:val="24"/>
        </w:rPr>
      </w:pPr>
      <w:r>
        <w:rPr>
          <w:rFonts w:ascii="Arial" w:hAnsi="Arial" w:cs="Arial"/>
          <w:sz w:val="24"/>
          <w:szCs w:val="24"/>
        </w:rPr>
        <w:t>“</w:t>
      </w:r>
      <w:r>
        <w:rPr>
          <w:rFonts w:ascii="Arial" w:hAnsi="Arial" w:cs="Arial"/>
          <w:b/>
          <w:i/>
          <w:sz w:val="24"/>
          <w:szCs w:val="24"/>
        </w:rPr>
        <w:t>Artículo 206</w:t>
      </w:r>
      <w:r>
        <w:rPr>
          <w:rFonts w:ascii="Arial" w:hAnsi="Arial" w:cs="Arial"/>
          <w:i/>
          <w:sz w:val="24"/>
          <w:szCs w:val="24"/>
        </w:rPr>
        <w:t xml:space="preserve">.- Contra los acuerdos y resoluciones dictados por las salas unitarias de primera instancia, procede el recurso de revisión, cuyo conocimiento y resolución corresponde a la Sala Superior. </w:t>
      </w:r>
    </w:p>
    <w:p w14:paraId="092D6094" w14:textId="77777777" w:rsidR="00426B77" w:rsidRDefault="00426B77" w:rsidP="00426B77">
      <w:pPr>
        <w:spacing w:line="360" w:lineRule="auto"/>
        <w:ind w:left="851" w:right="778"/>
        <w:jc w:val="both"/>
        <w:rPr>
          <w:rFonts w:ascii="Arial" w:hAnsi="Arial" w:cs="Arial"/>
          <w:i/>
          <w:sz w:val="24"/>
          <w:szCs w:val="24"/>
        </w:rPr>
      </w:pPr>
      <w:r>
        <w:rPr>
          <w:rFonts w:ascii="Arial" w:hAnsi="Arial" w:cs="Arial"/>
          <w:i/>
          <w:sz w:val="24"/>
          <w:szCs w:val="24"/>
        </w:rPr>
        <w:t>Podrán ser impugnados por las partes, mediante recurso de revisión:</w:t>
      </w:r>
    </w:p>
    <w:p w14:paraId="2CDEB5DB" w14:textId="77777777" w:rsidR="00426B77" w:rsidRDefault="00426B77" w:rsidP="00426B77">
      <w:pPr>
        <w:spacing w:line="360" w:lineRule="auto"/>
        <w:ind w:left="851" w:right="778"/>
        <w:jc w:val="both"/>
        <w:rPr>
          <w:rFonts w:ascii="Arial" w:hAnsi="Arial" w:cs="Arial"/>
          <w:i/>
          <w:sz w:val="24"/>
          <w:szCs w:val="24"/>
          <w:lang w:val="es-MX"/>
        </w:rPr>
      </w:pPr>
      <w:r>
        <w:rPr>
          <w:rFonts w:ascii="Arial" w:hAnsi="Arial" w:cs="Arial"/>
          <w:i/>
          <w:sz w:val="24"/>
          <w:szCs w:val="24"/>
        </w:rPr>
        <w:t xml:space="preserve">I. </w:t>
      </w:r>
      <w:r>
        <w:rPr>
          <w:rFonts w:ascii="Arial" w:hAnsi="Arial" w:cs="Arial"/>
          <w:i/>
          <w:sz w:val="24"/>
          <w:szCs w:val="24"/>
          <w:lang w:val="es-MX"/>
        </w:rPr>
        <w:t>Los acuerdos que admitan o desechen la demanda, su contestación o ampliación;</w:t>
      </w:r>
    </w:p>
    <w:p w14:paraId="76F34CDA" w14:textId="77777777" w:rsidR="00426B77" w:rsidRDefault="00426B77" w:rsidP="00426B77">
      <w:pPr>
        <w:tabs>
          <w:tab w:val="right" w:pos="7493"/>
        </w:tabs>
        <w:spacing w:line="360" w:lineRule="auto"/>
        <w:ind w:left="851" w:right="778"/>
        <w:jc w:val="both"/>
        <w:rPr>
          <w:rFonts w:ascii="Arial" w:hAnsi="Arial" w:cs="Arial"/>
          <w:i/>
          <w:sz w:val="24"/>
          <w:szCs w:val="24"/>
          <w:lang w:val="es-MX"/>
        </w:rPr>
      </w:pPr>
      <w:r>
        <w:rPr>
          <w:rFonts w:ascii="Arial" w:hAnsi="Arial" w:cs="Arial"/>
          <w:i/>
          <w:sz w:val="24"/>
          <w:szCs w:val="24"/>
          <w:lang w:val="es-MX"/>
        </w:rPr>
        <w:t>II. El acuerdo que deseche pruebas;</w:t>
      </w:r>
      <w:r>
        <w:rPr>
          <w:rFonts w:ascii="Arial" w:hAnsi="Arial" w:cs="Arial"/>
          <w:i/>
          <w:sz w:val="24"/>
          <w:szCs w:val="24"/>
          <w:lang w:val="es-MX"/>
        </w:rPr>
        <w:tab/>
      </w:r>
    </w:p>
    <w:p w14:paraId="6ED82D2C" w14:textId="77777777" w:rsidR="00426B77" w:rsidRDefault="00426B77" w:rsidP="00426B77">
      <w:pPr>
        <w:spacing w:line="360" w:lineRule="auto"/>
        <w:ind w:left="851" w:right="778"/>
        <w:jc w:val="both"/>
        <w:rPr>
          <w:rFonts w:ascii="Arial" w:hAnsi="Arial" w:cs="Arial"/>
          <w:i/>
          <w:sz w:val="24"/>
          <w:szCs w:val="24"/>
          <w:lang w:val="es-MX"/>
        </w:rPr>
      </w:pPr>
      <w:r>
        <w:rPr>
          <w:rFonts w:ascii="Arial" w:hAnsi="Arial" w:cs="Arial"/>
          <w:i/>
          <w:sz w:val="24"/>
          <w:szCs w:val="24"/>
          <w:lang w:val="es-MX"/>
        </w:rPr>
        <w:t>III. El acuerdo que rechace la intervención del tercero;</w:t>
      </w:r>
    </w:p>
    <w:p w14:paraId="7649D310" w14:textId="77777777" w:rsidR="00426B77" w:rsidRDefault="00426B77" w:rsidP="00426B77">
      <w:pPr>
        <w:spacing w:line="360" w:lineRule="auto"/>
        <w:ind w:left="851" w:right="778"/>
        <w:jc w:val="both"/>
        <w:rPr>
          <w:rFonts w:ascii="Arial" w:hAnsi="Arial" w:cs="Arial"/>
          <w:i/>
          <w:sz w:val="24"/>
          <w:szCs w:val="24"/>
          <w:lang w:val="es-MX"/>
        </w:rPr>
      </w:pPr>
      <w:r>
        <w:rPr>
          <w:rFonts w:ascii="Arial" w:hAnsi="Arial" w:cs="Arial"/>
          <w:i/>
          <w:sz w:val="24"/>
          <w:szCs w:val="24"/>
          <w:lang w:val="es-MX"/>
        </w:rPr>
        <w:t>IV. Los acuerdos que decreten, nieguen o revoquen la suspensión;</w:t>
      </w:r>
    </w:p>
    <w:p w14:paraId="0933042D" w14:textId="77777777" w:rsidR="00426B77" w:rsidRDefault="00426B77" w:rsidP="00426B77">
      <w:pPr>
        <w:spacing w:line="360" w:lineRule="auto"/>
        <w:ind w:left="851" w:right="778"/>
        <w:jc w:val="both"/>
        <w:rPr>
          <w:rFonts w:ascii="Arial" w:hAnsi="Arial" w:cs="Arial"/>
          <w:i/>
          <w:sz w:val="24"/>
          <w:szCs w:val="24"/>
          <w:lang w:val="es-MX"/>
        </w:rPr>
      </w:pPr>
      <w:r>
        <w:rPr>
          <w:rFonts w:ascii="Arial" w:hAnsi="Arial" w:cs="Arial"/>
          <w:i/>
          <w:sz w:val="24"/>
          <w:szCs w:val="24"/>
          <w:lang w:val="es-MX"/>
        </w:rPr>
        <w:t>V. Las resoluciones que decidan los incidentes a que se refiere el artículo 224 de esta Ley;</w:t>
      </w:r>
    </w:p>
    <w:p w14:paraId="0533F377" w14:textId="77777777" w:rsidR="00426B77" w:rsidRDefault="00426B77" w:rsidP="00426B77">
      <w:pPr>
        <w:spacing w:line="360" w:lineRule="auto"/>
        <w:ind w:left="851" w:right="778"/>
        <w:jc w:val="both"/>
        <w:rPr>
          <w:rFonts w:ascii="Arial" w:hAnsi="Arial" w:cs="Arial"/>
          <w:i/>
          <w:sz w:val="24"/>
          <w:szCs w:val="24"/>
          <w:lang w:val="es-MX"/>
        </w:rPr>
      </w:pPr>
      <w:r>
        <w:rPr>
          <w:rFonts w:ascii="Arial" w:hAnsi="Arial" w:cs="Arial"/>
          <w:i/>
          <w:sz w:val="24"/>
          <w:szCs w:val="24"/>
          <w:lang w:val="es-MX"/>
        </w:rPr>
        <w:lastRenderedPageBreak/>
        <w:t>VI. Las resoluciones que decreten o nieguen el sobreseimiento;</w:t>
      </w:r>
    </w:p>
    <w:p w14:paraId="350FC9CA" w14:textId="77777777" w:rsidR="00426B77" w:rsidRDefault="00426B77" w:rsidP="00426B77">
      <w:pPr>
        <w:spacing w:line="360" w:lineRule="auto"/>
        <w:ind w:left="851" w:right="778"/>
        <w:jc w:val="both"/>
        <w:rPr>
          <w:rFonts w:ascii="Arial" w:hAnsi="Arial" w:cs="Arial"/>
          <w:i/>
          <w:sz w:val="24"/>
          <w:szCs w:val="24"/>
          <w:lang w:val="es-MX"/>
        </w:rPr>
      </w:pPr>
      <w:r>
        <w:rPr>
          <w:rFonts w:ascii="Arial" w:hAnsi="Arial" w:cs="Arial"/>
          <w:i/>
          <w:sz w:val="24"/>
          <w:szCs w:val="24"/>
          <w:lang w:val="es-MX"/>
        </w:rPr>
        <w:t>VII. Las sentencias que decidan la cuestión planteada:</w:t>
      </w:r>
    </w:p>
    <w:p w14:paraId="39BD0EA5" w14:textId="77777777" w:rsidR="00426B77" w:rsidRDefault="00426B77" w:rsidP="00426B77">
      <w:pPr>
        <w:spacing w:line="360" w:lineRule="auto"/>
        <w:ind w:left="851" w:right="778"/>
        <w:jc w:val="both"/>
        <w:rPr>
          <w:rFonts w:ascii="Arial" w:hAnsi="Arial" w:cs="Arial"/>
          <w:i/>
          <w:sz w:val="24"/>
          <w:szCs w:val="24"/>
          <w:lang w:val="es-MX"/>
        </w:rPr>
      </w:pPr>
      <w:r>
        <w:rPr>
          <w:rFonts w:ascii="Arial" w:hAnsi="Arial" w:cs="Arial"/>
          <w:i/>
          <w:sz w:val="24"/>
          <w:szCs w:val="24"/>
          <w:lang w:val="es-MX"/>
        </w:rPr>
        <w:t>VIII. Por violaciones cometidas durante el procedimiento del juicio, cuando hayan dejado sin defensa al recurrente y trasciendan al sentido de la sentencia; y</w:t>
      </w:r>
    </w:p>
    <w:p w14:paraId="24E795A0" w14:textId="77777777" w:rsidR="00426B77" w:rsidRDefault="00426B77" w:rsidP="00426B77">
      <w:pPr>
        <w:spacing w:line="360" w:lineRule="auto"/>
        <w:ind w:left="851" w:right="778"/>
        <w:jc w:val="both"/>
        <w:rPr>
          <w:rFonts w:ascii="Arial" w:hAnsi="Arial" w:cs="Arial"/>
          <w:sz w:val="24"/>
          <w:szCs w:val="24"/>
          <w:lang w:val="es-MX"/>
        </w:rPr>
      </w:pPr>
      <w:r>
        <w:rPr>
          <w:rFonts w:ascii="Arial" w:hAnsi="Arial" w:cs="Arial"/>
          <w:i/>
          <w:sz w:val="24"/>
          <w:szCs w:val="24"/>
          <w:lang w:val="es-MX"/>
        </w:rPr>
        <w:t>IX. Las resoluciones que pongan fin al procedimiento de ejecución de la sentencia.</w:t>
      </w:r>
      <w:r>
        <w:rPr>
          <w:rFonts w:ascii="Arial" w:hAnsi="Arial" w:cs="Arial"/>
          <w:sz w:val="24"/>
          <w:szCs w:val="24"/>
          <w:lang w:val="es-MX"/>
        </w:rPr>
        <w:t>”</w:t>
      </w:r>
    </w:p>
    <w:p w14:paraId="6363F21D" w14:textId="77777777" w:rsidR="00426B77" w:rsidRDefault="00426B77" w:rsidP="00426B77">
      <w:pPr>
        <w:spacing w:after="0" w:line="360" w:lineRule="auto"/>
        <w:ind w:firstLine="709"/>
        <w:jc w:val="both"/>
        <w:rPr>
          <w:rFonts w:ascii="Arial" w:hAnsi="Arial" w:cs="Arial"/>
          <w:color w:val="000000"/>
          <w:sz w:val="26"/>
          <w:szCs w:val="26"/>
        </w:rPr>
      </w:pPr>
      <w:r>
        <w:rPr>
          <w:rFonts w:ascii="Arial" w:hAnsi="Arial" w:cs="Arial"/>
          <w:bCs/>
          <w:sz w:val="26"/>
          <w:szCs w:val="26"/>
        </w:rPr>
        <w:t xml:space="preserve">Como se ve de la transcripción anterior, el presente medio de impugnación resulta </w:t>
      </w:r>
      <w:r>
        <w:rPr>
          <w:rFonts w:ascii="Arial" w:hAnsi="Arial" w:cs="Arial"/>
          <w:b/>
          <w:bCs/>
          <w:sz w:val="26"/>
          <w:szCs w:val="26"/>
        </w:rPr>
        <w:t>improcedente</w:t>
      </w:r>
      <w:r>
        <w:rPr>
          <w:rFonts w:ascii="Arial" w:hAnsi="Arial" w:cs="Arial"/>
          <w:bCs/>
          <w:sz w:val="26"/>
          <w:szCs w:val="26"/>
        </w:rPr>
        <w:t>, pues las determinaciones contenidas en el acuerdo del que se duele el recurrente, no encuadran en ninguna de los supuestos mencionados en dicho artículo para su revisión en esta instancia.</w:t>
      </w:r>
    </w:p>
    <w:p w14:paraId="0C4C3E52" w14:textId="4B6A3DA9" w:rsidR="00426B77" w:rsidRDefault="00426B77" w:rsidP="00426B77">
      <w:pPr>
        <w:spacing w:after="0" w:line="360" w:lineRule="auto"/>
        <w:ind w:firstLine="709"/>
        <w:jc w:val="both"/>
        <w:rPr>
          <w:rFonts w:ascii="Arial" w:hAnsi="Arial" w:cs="Arial"/>
          <w:sz w:val="26"/>
          <w:szCs w:val="26"/>
        </w:rPr>
      </w:pPr>
      <w:r>
        <w:rPr>
          <w:rFonts w:ascii="Arial" w:hAnsi="Arial" w:cs="Arial"/>
          <w:color w:val="000000"/>
          <w:sz w:val="26"/>
          <w:szCs w:val="26"/>
        </w:rPr>
        <w:t xml:space="preserve">Por </w:t>
      </w:r>
      <w:r>
        <w:rPr>
          <w:rFonts w:ascii="Arial" w:hAnsi="Arial" w:cs="Arial"/>
          <w:bCs/>
          <w:sz w:val="26"/>
          <w:szCs w:val="26"/>
        </w:rPr>
        <w:t xml:space="preserve">lo que, en atención a lo expuesto, </w:t>
      </w:r>
      <w:r>
        <w:rPr>
          <w:rFonts w:ascii="Arial" w:hAnsi="Arial" w:cs="Arial"/>
          <w:sz w:val="26"/>
          <w:szCs w:val="26"/>
        </w:rPr>
        <w:t xml:space="preserve">con fundamento en el aludido artículo 206 y diverso 208 de la Ley de la materia, se </w:t>
      </w:r>
      <w:r>
        <w:rPr>
          <w:rFonts w:ascii="Arial" w:hAnsi="Arial" w:cs="Arial"/>
          <w:b/>
          <w:sz w:val="26"/>
          <w:szCs w:val="26"/>
        </w:rPr>
        <w:t xml:space="preserve">DESECHA </w:t>
      </w:r>
      <w:r>
        <w:rPr>
          <w:rFonts w:ascii="Arial" w:hAnsi="Arial" w:cs="Arial"/>
          <w:sz w:val="26"/>
          <w:szCs w:val="26"/>
        </w:rPr>
        <w:t xml:space="preserve">por </w:t>
      </w:r>
      <w:r>
        <w:rPr>
          <w:rFonts w:ascii="Arial" w:hAnsi="Arial" w:cs="Arial"/>
          <w:b/>
          <w:sz w:val="26"/>
          <w:szCs w:val="26"/>
        </w:rPr>
        <w:t xml:space="preserve">IMPROCEDENTE </w:t>
      </w:r>
      <w:r>
        <w:rPr>
          <w:rFonts w:ascii="Arial" w:hAnsi="Arial" w:cs="Arial"/>
          <w:sz w:val="26"/>
          <w:szCs w:val="26"/>
        </w:rPr>
        <w:t xml:space="preserve">el recurso de revisión interpuesto por </w:t>
      </w:r>
      <w:r w:rsidR="004A02E4">
        <w:rPr>
          <w:rFonts w:ascii="Arial" w:hAnsi="Arial" w:cs="Arial"/>
          <w:b/>
          <w:sz w:val="26"/>
          <w:szCs w:val="26"/>
        </w:rPr>
        <w:t>**********</w:t>
      </w:r>
      <w:r>
        <w:rPr>
          <w:rFonts w:ascii="Arial" w:hAnsi="Arial" w:cs="Arial"/>
          <w:b/>
          <w:sz w:val="26"/>
          <w:szCs w:val="26"/>
        </w:rPr>
        <w:t xml:space="preserve">, </w:t>
      </w:r>
      <w:r>
        <w:rPr>
          <w:rFonts w:ascii="Arial" w:hAnsi="Arial" w:cs="Arial"/>
          <w:sz w:val="26"/>
          <w:szCs w:val="26"/>
        </w:rPr>
        <w:t>en contra el acuerdo de veintiséis de junio de dos mil diecinueve.</w:t>
      </w:r>
    </w:p>
    <w:p w14:paraId="63FF85F6" w14:textId="77777777" w:rsidR="00426B77" w:rsidRDefault="00426B77" w:rsidP="00426B77">
      <w:pPr>
        <w:spacing w:line="360" w:lineRule="auto"/>
        <w:ind w:firstLine="708"/>
        <w:jc w:val="both"/>
        <w:rPr>
          <w:rFonts w:ascii="Arial" w:hAnsi="Arial" w:cs="Arial"/>
          <w:sz w:val="26"/>
          <w:szCs w:val="26"/>
        </w:rPr>
      </w:pPr>
      <w:r>
        <w:rPr>
          <w:rFonts w:ascii="Arial" w:hAnsi="Arial" w:cs="Arial"/>
          <w:sz w:val="26"/>
          <w:szCs w:val="26"/>
        </w:rPr>
        <w:t>En mérito de lo anterior, con fundamento en los artículos 207 y 208 de la Ley de Justicia Administrativa para el Estado, se:</w:t>
      </w:r>
    </w:p>
    <w:p w14:paraId="5CC314B8" w14:textId="77777777" w:rsidR="00426B77" w:rsidRDefault="00426B77" w:rsidP="00426B77">
      <w:pPr>
        <w:tabs>
          <w:tab w:val="left" w:pos="1134"/>
        </w:tabs>
        <w:spacing w:line="360" w:lineRule="auto"/>
        <w:jc w:val="center"/>
        <w:rPr>
          <w:rFonts w:ascii="Arial" w:hAnsi="Arial" w:cs="Arial"/>
          <w:b/>
          <w:sz w:val="26"/>
          <w:szCs w:val="26"/>
        </w:rPr>
      </w:pPr>
      <w:r>
        <w:rPr>
          <w:rFonts w:ascii="Arial" w:hAnsi="Arial" w:cs="Arial"/>
          <w:b/>
          <w:sz w:val="26"/>
          <w:szCs w:val="26"/>
        </w:rPr>
        <w:t>R E S U E L V E</w:t>
      </w:r>
    </w:p>
    <w:p w14:paraId="42FEB554" w14:textId="77777777" w:rsidR="00426B77" w:rsidRDefault="00426B77" w:rsidP="00426B77">
      <w:pPr>
        <w:pStyle w:val="Textoindependiente21"/>
        <w:tabs>
          <w:tab w:val="left" w:pos="7938"/>
        </w:tabs>
        <w:spacing w:line="360" w:lineRule="auto"/>
        <w:ind w:right="17" w:firstLine="709"/>
        <w:rPr>
          <w:rFonts w:ascii="Arial" w:hAnsi="Arial" w:cs="Arial"/>
          <w:b/>
          <w:sz w:val="26"/>
          <w:szCs w:val="26"/>
        </w:rPr>
      </w:pPr>
      <w:r>
        <w:rPr>
          <w:rFonts w:ascii="Arial" w:hAnsi="Arial" w:cs="Arial"/>
          <w:b/>
          <w:sz w:val="26"/>
          <w:szCs w:val="26"/>
        </w:rPr>
        <w:t>PRIMERO</w:t>
      </w:r>
      <w:r>
        <w:rPr>
          <w:rFonts w:ascii="Arial" w:hAnsi="Arial" w:cs="Arial"/>
          <w:sz w:val="26"/>
          <w:szCs w:val="26"/>
        </w:rPr>
        <w:t xml:space="preserve">. Se </w:t>
      </w:r>
      <w:r>
        <w:rPr>
          <w:rFonts w:ascii="Arial" w:hAnsi="Arial" w:cs="Arial"/>
          <w:b/>
          <w:sz w:val="26"/>
          <w:szCs w:val="26"/>
        </w:rPr>
        <w:t>DESECHA</w:t>
      </w:r>
      <w:r>
        <w:rPr>
          <w:rFonts w:ascii="Arial" w:hAnsi="Arial" w:cs="Arial"/>
          <w:sz w:val="26"/>
          <w:szCs w:val="26"/>
        </w:rPr>
        <w:t xml:space="preserve"> por </w:t>
      </w:r>
      <w:r>
        <w:rPr>
          <w:rFonts w:ascii="Arial" w:hAnsi="Arial" w:cs="Arial"/>
          <w:b/>
          <w:sz w:val="26"/>
          <w:szCs w:val="26"/>
        </w:rPr>
        <w:t xml:space="preserve">IMPROCEDENTE </w:t>
      </w:r>
      <w:r>
        <w:rPr>
          <w:rFonts w:ascii="Arial" w:hAnsi="Arial" w:cs="Arial"/>
          <w:sz w:val="26"/>
          <w:szCs w:val="26"/>
        </w:rPr>
        <w:t>el recurso de revisión interpuesto, por las razones expuestas en el considerando que antecede.</w:t>
      </w:r>
    </w:p>
    <w:p w14:paraId="407F333A" w14:textId="77777777" w:rsidR="00426B77" w:rsidRDefault="00426B77" w:rsidP="00426B77">
      <w:pPr>
        <w:spacing w:before="240" w:line="360" w:lineRule="auto"/>
        <w:ind w:firstLine="708"/>
        <w:jc w:val="both"/>
        <w:rPr>
          <w:rFonts w:ascii="Arial" w:hAnsi="Arial" w:cs="Arial"/>
          <w:sz w:val="26"/>
          <w:szCs w:val="26"/>
        </w:rPr>
      </w:pPr>
      <w:r>
        <w:rPr>
          <w:rFonts w:ascii="Arial" w:hAnsi="Arial" w:cs="Arial"/>
          <w:b/>
          <w:sz w:val="26"/>
          <w:szCs w:val="26"/>
          <w:lang w:val="es-MX"/>
        </w:rPr>
        <w:t>SEGUNDO</w:t>
      </w:r>
      <w:r>
        <w:rPr>
          <w:rFonts w:ascii="Arial" w:hAnsi="Arial" w:cs="Arial"/>
          <w:sz w:val="26"/>
          <w:szCs w:val="26"/>
          <w:lang w:val="es-MX"/>
        </w:rPr>
        <w:t>.</w:t>
      </w:r>
      <w:r>
        <w:rPr>
          <w:rFonts w:ascii="Arial" w:hAnsi="Arial" w:cs="Arial"/>
          <w:b/>
          <w:sz w:val="26"/>
          <w:szCs w:val="26"/>
        </w:rPr>
        <w:t xml:space="preserve"> NOTIFÍQUESE Y CÚMPLASE,</w:t>
      </w:r>
      <w:r>
        <w:rPr>
          <w:rFonts w:ascii="Arial" w:hAnsi="Arial" w:cs="Arial"/>
          <w:sz w:val="26"/>
          <w:szCs w:val="26"/>
        </w:rPr>
        <w:t xml:space="preserve"> con copia certificada de la presente resolución, vuelvan las constancias remitidas a la Primera Sala Unitaria de Primera Instancia, y en su oportunidad archívese el cuaderno de revisión como concluido.</w:t>
      </w:r>
    </w:p>
    <w:p w14:paraId="6ADD1E7F" w14:textId="77777777" w:rsidR="00426B77" w:rsidRDefault="00426B77" w:rsidP="00426B77">
      <w:pPr>
        <w:spacing w:line="360" w:lineRule="auto"/>
        <w:ind w:firstLine="709"/>
        <w:jc w:val="both"/>
        <w:rPr>
          <w:rFonts w:ascii="Arial" w:hAnsi="Arial" w:cs="Arial"/>
          <w:sz w:val="26"/>
          <w:szCs w:val="26"/>
        </w:rPr>
      </w:pPr>
      <w:bookmarkStart w:id="1" w:name="_Hlk34041269"/>
      <w:r w:rsidRPr="00426B77">
        <w:rPr>
          <w:rFonts w:ascii="Arial" w:hAnsi="Arial" w:cs="Arial"/>
          <w:sz w:val="26"/>
          <w:szCs w:val="26"/>
        </w:rPr>
        <w:t>Por unanimidad de votos, lo resolvieron y firmaron los Magistrados María Elena Villa de Jarquín, Presidenta, Magist</w:t>
      </w:r>
      <w:r>
        <w:rPr>
          <w:rFonts w:ascii="Arial" w:hAnsi="Arial" w:cs="Arial"/>
          <w:sz w:val="26"/>
          <w:szCs w:val="26"/>
        </w:rPr>
        <w:t>rados Manuel Velasco Alcántara,</w:t>
      </w:r>
      <w:r w:rsidRPr="00426B77">
        <w:rPr>
          <w:rFonts w:ascii="Arial" w:hAnsi="Arial" w:cs="Arial"/>
          <w:sz w:val="26"/>
          <w:szCs w:val="26"/>
        </w:rPr>
        <w:t xml:space="preserve"> Abraham Santiago Soriano</w:t>
      </w:r>
      <w:r>
        <w:rPr>
          <w:rFonts w:ascii="Arial" w:hAnsi="Arial" w:cs="Arial"/>
          <w:sz w:val="26"/>
          <w:szCs w:val="26"/>
        </w:rPr>
        <w:t xml:space="preserve">, y </w:t>
      </w:r>
      <w:r w:rsidRPr="00426B77">
        <w:rPr>
          <w:rFonts w:ascii="Arial" w:hAnsi="Arial" w:cs="Arial"/>
          <w:sz w:val="26"/>
          <w:szCs w:val="26"/>
        </w:rPr>
        <w:t>Adrián Quiroga Avendaño; con Excusa aprobada del Magistrado Raúl Palomares Palomino, para conocer, discutir y resolver en la presente Resolución; quienes actúan con la Licenciada Felicitas Díaz Vázquez, Secretaria General de Acuerdos de este Tribunal, que autoriza y da fe.</w:t>
      </w:r>
    </w:p>
    <w:p w14:paraId="3FE7D397" w14:textId="77777777" w:rsidR="00426B77" w:rsidRDefault="00426B77" w:rsidP="00426B77">
      <w:pPr>
        <w:spacing w:line="360" w:lineRule="auto"/>
        <w:jc w:val="center"/>
        <w:rPr>
          <w:rFonts w:ascii="Arial" w:hAnsi="Arial" w:cs="Arial"/>
          <w:sz w:val="26"/>
          <w:szCs w:val="26"/>
        </w:rPr>
      </w:pPr>
    </w:p>
    <w:p w14:paraId="3BAD1F99" w14:textId="77777777" w:rsidR="00426B77" w:rsidRDefault="00426B77" w:rsidP="00426B77">
      <w:pPr>
        <w:spacing w:line="360" w:lineRule="auto"/>
        <w:jc w:val="center"/>
        <w:rPr>
          <w:rFonts w:ascii="Arial" w:hAnsi="Arial" w:cs="Arial"/>
          <w:sz w:val="26"/>
          <w:szCs w:val="26"/>
        </w:rPr>
      </w:pPr>
    </w:p>
    <w:p w14:paraId="7BA1FEF4" w14:textId="77777777" w:rsidR="00426B77" w:rsidRDefault="00426B77" w:rsidP="00426B77">
      <w:pPr>
        <w:spacing w:line="360" w:lineRule="auto"/>
        <w:jc w:val="center"/>
        <w:rPr>
          <w:rFonts w:ascii="Arial" w:hAnsi="Arial" w:cs="Arial"/>
          <w:sz w:val="26"/>
          <w:szCs w:val="26"/>
        </w:rPr>
      </w:pPr>
    </w:p>
    <w:p w14:paraId="10BED6B2" w14:textId="77777777" w:rsidR="00426B77" w:rsidRDefault="00426B77" w:rsidP="00426B77">
      <w:pPr>
        <w:spacing w:after="0" w:line="360" w:lineRule="auto"/>
        <w:jc w:val="center"/>
        <w:rPr>
          <w:rFonts w:ascii="Arial" w:hAnsi="Arial" w:cs="Arial"/>
          <w:sz w:val="26"/>
          <w:szCs w:val="26"/>
        </w:rPr>
      </w:pPr>
    </w:p>
    <w:p w14:paraId="043F2E7A" w14:textId="77777777" w:rsidR="00426B77" w:rsidRDefault="00426B77" w:rsidP="00426B77">
      <w:pPr>
        <w:spacing w:after="0" w:line="360" w:lineRule="auto"/>
        <w:jc w:val="center"/>
        <w:rPr>
          <w:rFonts w:ascii="Arial" w:hAnsi="Arial" w:cs="Arial"/>
          <w:sz w:val="26"/>
          <w:szCs w:val="26"/>
        </w:rPr>
      </w:pPr>
      <w:r>
        <w:rPr>
          <w:rFonts w:ascii="Arial" w:hAnsi="Arial" w:cs="Arial"/>
          <w:sz w:val="26"/>
          <w:szCs w:val="26"/>
        </w:rPr>
        <w:t>MAGISTRADA MARÍA ELENA VILLA DE JARQUÍN</w:t>
      </w:r>
    </w:p>
    <w:p w14:paraId="06E6C090" w14:textId="77777777" w:rsidR="00426B77" w:rsidRDefault="00426B77" w:rsidP="00426B77">
      <w:pPr>
        <w:spacing w:after="0" w:line="360" w:lineRule="auto"/>
        <w:jc w:val="center"/>
        <w:rPr>
          <w:rFonts w:ascii="Arial" w:hAnsi="Arial" w:cs="Arial"/>
          <w:sz w:val="26"/>
          <w:szCs w:val="26"/>
        </w:rPr>
      </w:pPr>
      <w:r>
        <w:rPr>
          <w:rFonts w:ascii="Arial" w:hAnsi="Arial" w:cs="Arial"/>
          <w:sz w:val="26"/>
          <w:szCs w:val="26"/>
        </w:rPr>
        <w:t>PRESIDENTA</w:t>
      </w:r>
    </w:p>
    <w:p w14:paraId="5D75F74D" w14:textId="77777777" w:rsidR="00426B77" w:rsidRDefault="00426B77" w:rsidP="00426B77">
      <w:pPr>
        <w:tabs>
          <w:tab w:val="left" w:pos="1680"/>
          <w:tab w:val="center" w:pos="4277"/>
        </w:tabs>
        <w:spacing w:line="360" w:lineRule="auto"/>
        <w:jc w:val="center"/>
        <w:rPr>
          <w:rFonts w:ascii="Arial" w:hAnsi="Arial" w:cs="Arial"/>
          <w:sz w:val="26"/>
          <w:szCs w:val="26"/>
        </w:rPr>
      </w:pPr>
    </w:p>
    <w:p w14:paraId="119D3E82" w14:textId="77777777" w:rsidR="00426B77" w:rsidRDefault="00426B77" w:rsidP="00426B77">
      <w:pPr>
        <w:tabs>
          <w:tab w:val="left" w:pos="1680"/>
          <w:tab w:val="center" w:pos="4277"/>
        </w:tabs>
        <w:spacing w:line="360" w:lineRule="auto"/>
        <w:jc w:val="center"/>
        <w:rPr>
          <w:rFonts w:ascii="Arial" w:hAnsi="Arial" w:cs="Arial"/>
          <w:sz w:val="26"/>
          <w:szCs w:val="26"/>
        </w:rPr>
      </w:pPr>
    </w:p>
    <w:p w14:paraId="5873CC87" w14:textId="77777777" w:rsidR="00426B77" w:rsidRDefault="00426B77" w:rsidP="00426B77">
      <w:pPr>
        <w:tabs>
          <w:tab w:val="left" w:pos="1680"/>
          <w:tab w:val="center" w:pos="4277"/>
        </w:tabs>
        <w:spacing w:line="360" w:lineRule="auto"/>
        <w:jc w:val="center"/>
        <w:rPr>
          <w:rFonts w:ascii="Arial" w:hAnsi="Arial" w:cs="Arial"/>
          <w:sz w:val="26"/>
          <w:szCs w:val="26"/>
        </w:rPr>
      </w:pPr>
    </w:p>
    <w:p w14:paraId="6D7A45EF" w14:textId="77777777" w:rsidR="00426B77" w:rsidRDefault="00426B77" w:rsidP="00426B77">
      <w:pPr>
        <w:tabs>
          <w:tab w:val="left" w:pos="1680"/>
          <w:tab w:val="center" w:pos="4277"/>
        </w:tabs>
        <w:spacing w:line="360" w:lineRule="auto"/>
        <w:jc w:val="center"/>
        <w:rPr>
          <w:rFonts w:ascii="Arial" w:hAnsi="Arial" w:cs="Arial"/>
          <w:sz w:val="26"/>
          <w:szCs w:val="26"/>
        </w:rPr>
      </w:pPr>
      <w:r>
        <w:rPr>
          <w:rFonts w:ascii="Arial" w:hAnsi="Arial" w:cs="Arial"/>
          <w:sz w:val="26"/>
          <w:szCs w:val="26"/>
        </w:rPr>
        <w:t xml:space="preserve">MAGISTRADO MANUEL VELASCO ALCANTARA </w:t>
      </w:r>
    </w:p>
    <w:p w14:paraId="06D9DB70" w14:textId="77777777" w:rsidR="00426B77" w:rsidRDefault="00426B77" w:rsidP="00426B77">
      <w:pPr>
        <w:tabs>
          <w:tab w:val="center" w:pos="4135"/>
          <w:tab w:val="left" w:pos="7515"/>
        </w:tabs>
        <w:spacing w:line="360" w:lineRule="auto"/>
        <w:jc w:val="center"/>
        <w:rPr>
          <w:rFonts w:ascii="Arial" w:hAnsi="Arial" w:cs="Arial"/>
          <w:sz w:val="26"/>
          <w:szCs w:val="26"/>
        </w:rPr>
      </w:pPr>
    </w:p>
    <w:p w14:paraId="6EC403AB" w14:textId="77777777" w:rsidR="00426B77" w:rsidRDefault="00426B77" w:rsidP="00426B77">
      <w:pPr>
        <w:tabs>
          <w:tab w:val="center" w:pos="4135"/>
          <w:tab w:val="left" w:pos="7515"/>
        </w:tabs>
        <w:spacing w:line="360" w:lineRule="auto"/>
        <w:jc w:val="center"/>
        <w:rPr>
          <w:rFonts w:ascii="Arial" w:hAnsi="Arial" w:cs="Arial"/>
          <w:sz w:val="26"/>
          <w:szCs w:val="26"/>
        </w:rPr>
      </w:pPr>
    </w:p>
    <w:p w14:paraId="70CDA8DC" w14:textId="77777777" w:rsidR="00426B77" w:rsidRDefault="00426B77" w:rsidP="00426B77">
      <w:pPr>
        <w:tabs>
          <w:tab w:val="center" w:pos="4135"/>
          <w:tab w:val="left" w:pos="7515"/>
        </w:tabs>
        <w:spacing w:line="360" w:lineRule="auto"/>
        <w:jc w:val="center"/>
        <w:rPr>
          <w:rFonts w:ascii="Arial" w:hAnsi="Arial" w:cs="Arial"/>
          <w:sz w:val="26"/>
          <w:szCs w:val="26"/>
        </w:rPr>
      </w:pPr>
    </w:p>
    <w:p w14:paraId="1CD3F5F0" w14:textId="77777777" w:rsidR="00426B77" w:rsidRDefault="00426B77" w:rsidP="00426B77">
      <w:pPr>
        <w:tabs>
          <w:tab w:val="center" w:pos="4135"/>
          <w:tab w:val="left" w:pos="7515"/>
        </w:tabs>
        <w:spacing w:line="360" w:lineRule="auto"/>
        <w:jc w:val="center"/>
        <w:rPr>
          <w:rFonts w:ascii="Arial" w:hAnsi="Arial" w:cs="Arial"/>
          <w:sz w:val="26"/>
          <w:szCs w:val="26"/>
        </w:rPr>
      </w:pPr>
    </w:p>
    <w:p w14:paraId="0A8EAEF7" w14:textId="77777777" w:rsidR="00426B77" w:rsidRDefault="00426B77" w:rsidP="00426B77">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ABRAHAM SANTIAGO SORIANO</w:t>
      </w:r>
    </w:p>
    <w:p w14:paraId="1EDAE4BE" w14:textId="77777777" w:rsidR="00426B77" w:rsidRDefault="00426B77" w:rsidP="00426B77">
      <w:pPr>
        <w:tabs>
          <w:tab w:val="center" w:pos="4135"/>
          <w:tab w:val="left" w:pos="7515"/>
        </w:tabs>
        <w:spacing w:line="360" w:lineRule="auto"/>
        <w:jc w:val="center"/>
        <w:rPr>
          <w:rFonts w:ascii="Arial" w:hAnsi="Arial" w:cs="Arial"/>
          <w:sz w:val="26"/>
          <w:szCs w:val="26"/>
        </w:rPr>
      </w:pPr>
    </w:p>
    <w:p w14:paraId="4E860A8A" w14:textId="77777777" w:rsidR="00426B77" w:rsidRDefault="00426B77" w:rsidP="00426B77">
      <w:pPr>
        <w:tabs>
          <w:tab w:val="center" w:pos="4135"/>
          <w:tab w:val="left" w:pos="7515"/>
        </w:tabs>
        <w:spacing w:line="360" w:lineRule="auto"/>
        <w:rPr>
          <w:rFonts w:ascii="Arial" w:hAnsi="Arial" w:cs="Arial"/>
          <w:sz w:val="26"/>
          <w:szCs w:val="26"/>
        </w:rPr>
      </w:pPr>
    </w:p>
    <w:p w14:paraId="074F2ED9" w14:textId="77777777" w:rsidR="00426B77" w:rsidRDefault="00426B77" w:rsidP="00426B77">
      <w:pPr>
        <w:tabs>
          <w:tab w:val="center" w:pos="4135"/>
          <w:tab w:val="left" w:pos="7515"/>
        </w:tabs>
        <w:spacing w:line="360" w:lineRule="auto"/>
        <w:jc w:val="center"/>
        <w:rPr>
          <w:rFonts w:ascii="Arial" w:hAnsi="Arial" w:cs="Arial"/>
          <w:sz w:val="26"/>
          <w:szCs w:val="26"/>
        </w:rPr>
      </w:pPr>
    </w:p>
    <w:p w14:paraId="03C4DEBA" w14:textId="77777777" w:rsidR="00426B77" w:rsidRDefault="00426B77" w:rsidP="00426B77">
      <w:pPr>
        <w:tabs>
          <w:tab w:val="center" w:pos="4135"/>
          <w:tab w:val="left" w:pos="7515"/>
        </w:tabs>
        <w:spacing w:line="360" w:lineRule="auto"/>
        <w:jc w:val="center"/>
        <w:rPr>
          <w:rFonts w:ascii="Arial" w:hAnsi="Arial" w:cs="Arial"/>
          <w:sz w:val="26"/>
          <w:szCs w:val="26"/>
        </w:rPr>
      </w:pPr>
    </w:p>
    <w:p w14:paraId="32A13946" w14:textId="77777777" w:rsidR="00426B77" w:rsidRDefault="00426B77" w:rsidP="00426B77">
      <w:pPr>
        <w:spacing w:line="360" w:lineRule="auto"/>
        <w:jc w:val="center"/>
        <w:rPr>
          <w:rFonts w:ascii="Arial" w:hAnsi="Arial" w:cs="Arial"/>
          <w:sz w:val="26"/>
          <w:szCs w:val="26"/>
        </w:rPr>
      </w:pPr>
      <w:r>
        <w:rPr>
          <w:rFonts w:ascii="Arial" w:hAnsi="Arial" w:cs="Arial"/>
          <w:sz w:val="26"/>
          <w:szCs w:val="26"/>
        </w:rPr>
        <w:t>MAGISTRADO ADRIÁN QUIROGA AVENDAÑO</w:t>
      </w:r>
    </w:p>
    <w:p w14:paraId="6E1EF2A4" w14:textId="77777777" w:rsidR="00426B77" w:rsidRDefault="00426B77" w:rsidP="00426B77">
      <w:pPr>
        <w:tabs>
          <w:tab w:val="center" w:pos="4135"/>
          <w:tab w:val="left" w:pos="7515"/>
        </w:tabs>
        <w:spacing w:line="360" w:lineRule="auto"/>
        <w:jc w:val="center"/>
        <w:rPr>
          <w:rFonts w:ascii="Arial" w:hAnsi="Arial" w:cs="Arial"/>
          <w:sz w:val="26"/>
          <w:szCs w:val="26"/>
        </w:rPr>
      </w:pPr>
    </w:p>
    <w:p w14:paraId="344F70F8" w14:textId="77777777" w:rsidR="00426B77" w:rsidRDefault="00426B77" w:rsidP="00426B77">
      <w:pPr>
        <w:tabs>
          <w:tab w:val="center" w:pos="4135"/>
          <w:tab w:val="left" w:pos="7515"/>
        </w:tabs>
        <w:spacing w:line="360" w:lineRule="auto"/>
        <w:jc w:val="center"/>
        <w:rPr>
          <w:rFonts w:ascii="Arial" w:hAnsi="Arial" w:cs="Arial"/>
          <w:sz w:val="26"/>
          <w:szCs w:val="26"/>
        </w:rPr>
      </w:pPr>
    </w:p>
    <w:p w14:paraId="66ADA971" w14:textId="77777777" w:rsidR="00426B77" w:rsidRDefault="00426B77" w:rsidP="00426B77">
      <w:pPr>
        <w:tabs>
          <w:tab w:val="center" w:pos="4135"/>
          <w:tab w:val="left" w:pos="7515"/>
        </w:tabs>
        <w:spacing w:line="360" w:lineRule="auto"/>
        <w:jc w:val="center"/>
        <w:rPr>
          <w:rFonts w:ascii="Arial" w:hAnsi="Arial" w:cs="Arial"/>
          <w:sz w:val="26"/>
          <w:szCs w:val="26"/>
        </w:rPr>
      </w:pPr>
    </w:p>
    <w:p w14:paraId="2F4A3B9A" w14:textId="77777777" w:rsidR="00426B77" w:rsidRDefault="00426B77" w:rsidP="00426B77">
      <w:pPr>
        <w:tabs>
          <w:tab w:val="center" w:pos="4135"/>
          <w:tab w:val="left" w:pos="7515"/>
        </w:tabs>
        <w:spacing w:line="360" w:lineRule="auto"/>
        <w:jc w:val="center"/>
        <w:rPr>
          <w:rFonts w:ascii="Arial" w:hAnsi="Arial" w:cs="Arial"/>
          <w:sz w:val="26"/>
          <w:szCs w:val="26"/>
        </w:rPr>
      </w:pPr>
    </w:p>
    <w:p w14:paraId="4DDD5DD5" w14:textId="77777777" w:rsidR="00426B77" w:rsidRDefault="00426B77" w:rsidP="00426B77">
      <w:pPr>
        <w:tabs>
          <w:tab w:val="left" w:pos="1925"/>
          <w:tab w:val="center" w:pos="4135"/>
        </w:tabs>
        <w:spacing w:after="0"/>
        <w:jc w:val="center"/>
        <w:rPr>
          <w:rFonts w:ascii="Arial" w:hAnsi="Arial" w:cs="Arial"/>
          <w:sz w:val="26"/>
          <w:szCs w:val="26"/>
        </w:rPr>
      </w:pPr>
      <w:r>
        <w:rPr>
          <w:rFonts w:ascii="Arial" w:hAnsi="Arial" w:cs="Arial"/>
          <w:sz w:val="26"/>
          <w:szCs w:val="26"/>
        </w:rPr>
        <w:t>LICENCIADA FELICITAS DÍAZ VÁZQUEZ</w:t>
      </w:r>
    </w:p>
    <w:p w14:paraId="40659AE2" w14:textId="77777777" w:rsidR="00426B77" w:rsidRDefault="00426B77" w:rsidP="00426B77">
      <w:pPr>
        <w:spacing w:after="0"/>
        <w:jc w:val="center"/>
        <w:rPr>
          <w:sz w:val="26"/>
          <w:szCs w:val="26"/>
        </w:rPr>
      </w:pPr>
      <w:r>
        <w:rPr>
          <w:rFonts w:ascii="Arial" w:hAnsi="Arial" w:cs="Arial"/>
          <w:sz w:val="26"/>
          <w:szCs w:val="26"/>
        </w:rPr>
        <w:t>SECRETARIA GENERAL DE ACUERDOS</w:t>
      </w:r>
    </w:p>
    <w:p w14:paraId="14F3962A" w14:textId="77777777" w:rsidR="008238CF" w:rsidRPr="00426B77" w:rsidRDefault="008238CF" w:rsidP="00426B77"/>
    <w:bookmarkEnd w:id="1"/>
    <w:p w14:paraId="0A1D6E6A" w14:textId="77777777" w:rsidR="00A7784C" w:rsidRPr="00426B77" w:rsidRDefault="00A7784C"/>
    <w:sectPr w:rsidR="00A7784C" w:rsidRPr="00426B77" w:rsidSect="00426B77">
      <w:headerReference w:type="even" r:id="rId7"/>
      <w:headerReference w:type="default" r:id="rId8"/>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DD16DAD" w14:textId="77777777" w:rsidR="00661369" w:rsidRDefault="00661369">
      <w:pPr>
        <w:spacing w:after="0" w:line="240" w:lineRule="auto"/>
      </w:pPr>
      <w:r>
        <w:separator/>
      </w:r>
    </w:p>
  </w:endnote>
  <w:endnote w:type="continuationSeparator" w:id="0">
    <w:p w14:paraId="7E4A5100" w14:textId="77777777" w:rsidR="00661369" w:rsidRDefault="006613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D1F3421" w14:textId="77777777" w:rsidR="00661369" w:rsidRDefault="00661369">
      <w:pPr>
        <w:spacing w:after="0" w:line="240" w:lineRule="auto"/>
      </w:pPr>
      <w:r>
        <w:separator/>
      </w:r>
    </w:p>
  </w:footnote>
  <w:footnote w:type="continuationSeparator" w:id="0">
    <w:p w14:paraId="0C40D4CC" w14:textId="77777777" w:rsidR="00661369" w:rsidRDefault="0066136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14:paraId="066F89EC" w14:textId="77777777" w:rsidR="00126798" w:rsidRDefault="00C32D5F">
        <w:pPr>
          <w:pStyle w:val="Encabezado"/>
          <w:jc w:val="center"/>
        </w:pPr>
        <w:r>
          <w:fldChar w:fldCharType="begin"/>
        </w:r>
        <w:r>
          <w:instrText>PAGE   \* MERGEFORMAT</w:instrText>
        </w:r>
        <w:r>
          <w:fldChar w:fldCharType="separate"/>
        </w:r>
        <w:r w:rsidR="004B5DD1">
          <w:rPr>
            <w:noProof/>
          </w:rPr>
          <w:t>4</w:t>
        </w:r>
        <w:r>
          <w:fldChar w:fldCharType="end"/>
        </w:r>
      </w:p>
    </w:sdtContent>
  </w:sdt>
  <w:p w14:paraId="000AD7F0" w14:textId="77777777" w:rsidR="00126798" w:rsidRDefault="00661369">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14:paraId="271A1EC3" w14:textId="77777777" w:rsidR="00126798" w:rsidRDefault="00C32D5F" w:rsidP="00271CB4">
        <w:pPr>
          <w:pStyle w:val="Encabezado"/>
          <w:jc w:val="center"/>
          <w:rPr>
            <w:noProof/>
          </w:rPr>
        </w:pPr>
        <w:r>
          <w:fldChar w:fldCharType="begin"/>
        </w:r>
        <w:r>
          <w:instrText xml:space="preserve"> PAGE   \* MERGEFORMAT </w:instrText>
        </w:r>
        <w:r>
          <w:fldChar w:fldCharType="separate"/>
        </w:r>
        <w:r w:rsidR="004B5DD1">
          <w:rPr>
            <w:noProof/>
          </w:rPr>
          <w:t>5</w:t>
        </w:r>
        <w:r>
          <w:rPr>
            <w:noProof/>
          </w:rPr>
          <w:fldChar w:fldCharType="end"/>
        </w:r>
      </w:p>
    </w:sdtContent>
  </w:sdt>
  <w:p w14:paraId="301ADCF5" w14:textId="77777777" w:rsidR="00126798" w:rsidRDefault="00C32D5F" w:rsidP="00927607">
    <w:pPr>
      <w:pStyle w:val="Encabezado"/>
      <w:tabs>
        <w:tab w:val="left" w:pos="142"/>
      </w:tabs>
      <w:ind w:left="284"/>
    </w:pPr>
    <w:r w:rsidRPr="003E6AD7">
      <w:rPr>
        <w:noProof/>
        <w:lang w:val="es-MX" w:eastAsia="es-MX"/>
      </w:rPr>
      <w:drawing>
        <wp:anchor distT="0" distB="0" distL="114300" distR="114300" simplePos="0" relativeHeight="251660288" behindDoc="0" locked="0" layoutInCell="1" allowOverlap="1" wp14:anchorId="341A1BFA" wp14:editId="68B01039">
          <wp:simplePos x="0" y="0"/>
          <wp:positionH relativeFrom="page">
            <wp:posOffset>426909</wp:posOffset>
          </wp:positionH>
          <wp:positionV relativeFrom="paragraph">
            <wp:posOffset>4848918</wp:posOffset>
          </wp:positionV>
          <wp:extent cx="1211283" cy="1055232"/>
          <wp:effectExtent l="0" t="0" r="8255"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1283" cy="1055232"/>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s-MX" w:eastAsia="es-MX"/>
      </w:rPr>
      <w:drawing>
        <wp:anchor distT="0" distB="0" distL="114300" distR="114300" simplePos="0" relativeHeight="251659264" behindDoc="1" locked="0" layoutInCell="1" allowOverlap="1" wp14:anchorId="456B42B5" wp14:editId="3EEAF817">
          <wp:simplePos x="0" y="0"/>
          <wp:positionH relativeFrom="column">
            <wp:posOffset>-438912</wp:posOffset>
          </wp:positionH>
          <wp:positionV relativeFrom="paragraph">
            <wp:posOffset>4118432</wp:posOffset>
          </wp:positionV>
          <wp:extent cx="5850890" cy="364122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C35D32"/>
    <w:multiLevelType w:val="hybridMultilevel"/>
    <w:tmpl w:val="AA08682C"/>
    <w:lvl w:ilvl="0" w:tplc="D2BCEDC8">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
    <w:nsid w:val="31136A1B"/>
    <w:multiLevelType w:val="hybridMultilevel"/>
    <w:tmpl w:val="C9F41436"/>
    <w:lvl w:ilvl="0" w:tplc="E6249328">
      <w:start w:val="1"/>
      <w:numFmt w:val="decimal"/>
      <w:lvlText w:val="%1)"/>
      <w:lvlJc w:val="left"/>
      <w:pPr>
        <w:ind w:left="1770" w:hanging="360"/>
      </w:pPr>
      <w:rPr>
        <w:rFonts w:hint="default"/>
      </w:rPr>
    </w:lvl>
    <w:lvl w:ilvl="1" w:tplc="080A0019" w:tentative="1">
      <w:start w:val="1"/>
      <w:numFmt w:val="lowerLetter"/>
      <w:lvlText w:val="%2."/>
      <w:lvlJc w:val="left"/>
      <w:pPr>
        <w:ind w:left="2490" w:hanging="360"/>
      </w:pPr>
    </w:lvl>
    <w:lvl w:ilvl="2" w:tplc="080A001B" w:tentative="1">
      <w:start w:val="1"/>
      <w:numFmt w:val="lowerRoman"/>
      <w:lvlText w:val="%3."/>
      <w:lvlJc w:val="right"/>
      <w:pPr>
        <w:ind w:left="3210" w:hanging="180"/>
      </w:pPr>
    </w:lvl>
    <w:lvl w:ilvl="3" w:tplc="080A000F" w:tentative="1">
      <w:start w:val="1"/>
      <w:numFmt w:val="decimal"/>
      <w:lvlText w:val="%4."/>
      <w:lvlJc w:val="left"/>
      <w:pPr>
        <w:ind w:left="3930" w:hanging="360"/>
      </w:pPr>
    </w:lvl>
    <w:lvl w:ilvl="4" w:tplc="080A0019" w:tentative="1">
      <w:start w:val="1"/>
      <w:numFmt w:val="lowerLetter"/>
      <w:lvlText w:val="%5."/>
      <w:lvlJc w:val="left"/>
      <w:pPr>
        <w:ind w:left="4650" w:hanging="360"/>
      </w:pPr>
    </w:lvl>
    <w:lvl w:ilvl="5" w:tplc="080A001B" w:tentative="1">
      <w:start w:val="1"/>
      <w:numFmt w:val="lowerRoman"/>
      <w:lvlText w:val="%6."/>
      <w:lvlJc w:val="right"/>
      <w:pPr>
        <w:ind w:left="5370" w:hanging="180"/>
      </w:pPr>
    </w:lvl>
    <w:lvl w:ilvl="6" w:tplc="080A000F" w:tentative="1">
      <w:start w:val="1"/>
      <w:numFmt w:val="decimal"/>
      <w:lvlText w:val="%7."/>
      <w:lvlJc w:val="left"/>
      <w:pPr>
        <w:ind w:left="6090" w:hanging="360"/>
      </w:pPr>
    </w:lvl>
    <w:lvl w:ilvl="7" w:tplc="080A0019" w:tentative="1">
      <w:start w:val="1"/>
      <w:numFmt w:val="lowerLetter"/>
      <w:lvlText w:val="%8."/>
      <w:lvlJc w:val="left"/>
      <w:pPr>
        <w:ind w:left="6810" w:hanging="360"/>
      </w:pPr>
    </w:lvl>
    <w:lvl w:ilvl="8" w:tplc="080A001B" w:tentative="1">
      <w:start w:val="1"/>
      <w:numFmt w:val="lowerRoman"/>
      <w:lvlText w:val="%9."/>
      <w:lvlJc w:val="right"/>
      <w:pPr>
        <w:ind w:left="753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mirrorMargins/>
  <w:proofState w:spelling="clean" w:grammar="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3081"/>
    <w:rsid w:val="00002467"/>
    <w:rsid w:val="000049C0"/>
    <w:rsid w:val="00006A34"/>
    <w:rsid w:val="00010AC6"/>
    <w:rsid w:val="000116F8"/>
    <w:rsid w:val="0001326A"/>
    <w:rsid w:val="000140EE"/>
    <w:rsid w:val="0002271B"/>
    <w:rsid w:val="000227B0"/>
    <w:rsid w:val="00022821"/>
    <w:rsid w:val="0002754E"/>
    <w:rsid w:val="000306E0"/>
    <w:rsid w:val="00034C27"/>
    <w:rsid w:val="00042CE9"/>
    <w:rsid w:val="00046E7C"/>
    <w:rsid w:val="000530EE"/>
    <w:rsid w:val="00053750"/>
    <w:rsid w:val="00056360"/>
    <w:rsid w:val="00057D1C"/>
    <w:rsid w:val="00060891"/>
    <w:rsid w:val="000627D6"/>
    <w:rsid w:val="00064C8C"/>
    <w:rsid w:val="0006602E"/>
    <w:rsid w:val="000731E9"/>
    <w:rsid w:val="00075C2F"/>
    <w:rsid w:val="00076358"/>
    <w:rsid w:val="000817FE"/>
    <w:rsid w:val="000917EA"/>
    <w:rsid w:val="0009251F"/>
    <w:rsid w:val="000965E4"/>
    <w:rsid w:val="000A036B"/>
    <w:rsid w:val="000A0A9E"/>
    <w:rsid w:val="000A4DAE"/>
    <w:rsid w:val="000B480C"/>
    <w:rsid w:val="000C72DD"/>
    <w:rsid w:val="000D65B8"/>
    <w:rsid w:val="000E0307"/>
    <w:rsid w:val="000E0544"/>
    <w:rsid w:val="000E270E"/>
    <w:rsid w:val="000E55A2"/>
    <w:rsid w:val="000F05D1"/>
    <w:rsid w:val="000F13CE"/>
    <w:rsid w:val="000F6B51"/>
    <w:rsid w:val="001035F6"/>
    <w:rsid w:val="00111765"/>
    <w:rsid w:val="001118E6"/>
    <w:rsid w:val="00112D96"/>
    <w:rsid w:val="00116C44"/>
    <w:rsid w:val="001175B0"/>
    <w:rsid w:val="001229A9"/>
    <w:rsid w:val="001238F0"/>
    <w:rsid w:val="00124365"/>
    <w:rsid w:val="001265E6"/>
    <w:rsid w:val="00130C97"/>
    <w:rsid w:val="00132B09"/>
    <w:rsid w:val="00140704"/>
    <w:rsid w:val="00146F46"/>
    <w:rsid w:val="00170E13"/>
    <w:rsid w:val="00172594"/>
    <w:rsid w:val="00173C8B"/>
    <w:rsid w:val="001948E6"/>
    <w:rsid w:val="00196B13"/>
    <w:rsid w:val="001A067A"/>
    <w:rsid w:val="001A2569"/>
    <w:rsid w:val="001A363F"/>
    <w:rsid w:val="001B284D"/>
    <w:rsid w:val="001B2C2F"/>
    <w:rsid w:val="001B422D"/>
    <w:rsid w:val="001B6DB5"/>
    <w:rsid w:val="001C15EA"/>
    <w:rsid w:val="001C1F62"/>
    <w:rsid w:val="001C45B9"/>
    <w:rsid w:val="001C4DF7"/>
    <w:rsid w:val="001C713B"/>
    <w:rsid w:val="001E1CA1"/>
    <w:rsid w:val="001E2CCD"/>
    <w:rsid w:val="001F380E"/>
    <w:rsid w:val="001F5A03"/>
    <w:rsid w:val="0020085C"/>
    <w:rsid w:val="00200D17"/>
    <w:rsid w:val="00204B8D"/>
    <w:rsid w:val="00207505"/>
    <w:rsid w:val="00207C00"/>
    <w:rsid w:val="00207E1E"/>
    <w:rsid w:val="00212606"/>
    <w:rsid w:val="00217F1A"/>
    <w:rsid w:val="00222E6F"/>
    <w:rsid w:val="0022324D"/>
    <w:rsid w:val="002241BA"/>
    <w:rsid w:val="00225950"/>
    <w:rsid w:val="00227D3D"/>
    <w:rsid w:val="00230BEE"/>
    <w:rsid w:val="00241ABD"/>
    <w:rsid w:val="00251DC1"/>
    <w:rsid w:val="00262A8F"/>
    <w:rsid w:val="00265F46"/>
    <w:rsid w:val="002761E3"/>
    <w:rsid w:val="00276F62"/>
    <w:rsid w:val="0028050B"/>
    <w:rsid w:val="002940EF"/>
    <w:rsid w:val="0029582A"/>
    <w:rsid w:val="002A28E5"/>
    <w:rsid w:val="002A633A"/>
    <w:rsid w:val="002B3FCF"/>
    <w:rsid w:val="002B7E00"/>
    <w:rsid w:val="002C06DC"/>
    <w:rsid w:val="002C3B3D"/>
    <w:rsid w:val="002C3F45"/>
    <w:rsid w:val="002C7264"/>
    <w:rsid w:val="002D24C4"/>
    <w:rsid w:val="002D7C52"/>
    <w:rsid w:val="002E50C7"/>
    <w:rsid w:val="002E6BFC"/>
    <w:rsid w:val="002E73FA"/>
    <w:rsid w:val="0030310B"/>
    <w:rsid w:val="0030333C"/>
    <w:rsid w:val="00312BE5"/>
    <w:rsid w:val="00315D68"/>
    <w:rsid w:val="00317431"/>
    <w:rsid w:val="0032484D"/>
    <w:rsid w:val="00330B72"/>
    <w:rsid w:val="00335DEC"/>
    <w:rsid w:val="003462E7"/>
    <w:rsid w:val="0035018A"/>
    <w:rsid w:val="003533F7"/>
    <w:rsid w:val="003638AD"/>
    <w:rsid w:val="00363FD0"/>
    <w:rsid w:val="00366DA1"/>
    <w:rsid w:val="0037738A"/>
    <w:rsid w:val="003777EB"/>
    <w:rsid w:val="003822FC"/>
    <w:rsid w:val="003839D7"/>
    <w:rsid w:val="0039258D"/>
    <w:rsid w:val="003959A9"/>
    <w:rsid w:val="003A3921"/>
    <w:rsid w:val="003B2D23"/>
    <w:rsid w:val="003B76B0"/>
    <w:rsid w:val="003B7AD1"/>
    <w:rsid w:val="003C56CB"/>
    <w:rsid w:val="003E0DD8"/>
    <w:rsid w:val="003E33AF"/>
    <w:rsid w:val="003E5067"/>
    <w:rsid w:val="003F14DC"/>
    <w:rsid w:val="003F40F8"/>
    <w:rsid w:val="0040218E"/>
    <w:rsid w:val="00402712"/>
    <w:rsid w:val="0040292F"/>
    <w:rsid w:val="004046B2"/>
    <w:rsid w:val="004200B9"/>
    <w:rsid w:val="00426B77"/>
    <w:rsid w:val="00443842"/>
    <w:rsid w:val="00451E39"/>
    <w:rsid w:val="004546F1"/>
    <w:rsid w:val="00454891"/>
    <w:rsid w:val="00465EA7"/>
    <w:rsid w:val="0047251D"/>
    <w:rsid w:val="00483EB9"/>
    <w:rsid w:val="004840AD"/>
    <w:rsid w:val="004A02E4"/>
    <w:rsid w:val="004A434D"/>
    <w:rsid w:val="004A5B74"/>
    <w:rsid w:val="004A5C5B"/>
    <w:rsid w:val="004A764F"/>
    <w:rsid w:val="004B3BF7"/>
    <w:rsid w:val="004B5DD1"/>
    <w:rsid w:val="004C7B31"/>
    <w:rsid w:val="004D3FD5"/>
    <w:rsid w:val="004F032D"/>
    <w:rsid w:val="004F1CF6"/>
    <w:rsid w:val="00501D58"/>
    <w:rsid w:val="00505E24"/>
    <w:rsid w:val="00507C46"/>
    <w:rsid w:val="00511C35"/>
    <w:rsid w:val="00513F02"/>
    <w:rsid w:val="005153E1"/>
    <w:rsid w:val="00515863"/>
    <w:rsid w:val="005170DC"/>
    <w:rsid w:val="005245DE"/>
    <w:rsid w:val="0053444C"/>
    <w:rsid w:val="00534D0A"/>
    <w:rsid w:val="005427EA"/>
    <w:rsid w:val="00543D31"/>
    <w:rsid w:val="00545256"/>
    <w:rsid w:val="00547E2C"/>
    <w:rsid w:val="00573E18"/>
    <w:rsid w:val="00573E33"/>
    <w:rsid w:val="00573F2D"/>
    <w:rsid w:val="005756D5"/>
    <w:rsid w:val="00576978"/>
    <w:rsid w:val="00581C5B"/>
    <w:rsid w:val="00587A5E"/>
    <w:rsid w:val="00591A61"/>
    <w:rsid w:val="005930DA"/>
    <w:rsid w:val="00593E84"/>
    <w:rsid w:val="005A1C24"/>
    <w:rsid w:val="005A35B9"/>
    <w:rsid w:val="005A7540"/>
    <w:rsid w:val="005C1ECE"/>
    <w:rsid w:val="005C202B"/>
    <w:rsid w:val="005C36CB"/>
    <w:rsid w:val="005C6512"/>
    <w:rsid w:val="005D1DED"/>
    <w:rsid w:val="005F13E7"/>
    <w:rsid w:val="005F194D"/>
    <w:rsid w:val="005F1F09"/>
    <w:rsid w:val="00606877"/>
    <w:rsid w:val="00611E05"/>
    <w:rsid w:val="00612720"/>
    <w:rsid w:val="00614BB3"/>
    <w:rsid w:val="00622719"/>
    <w:rsid w:val="00626712"/>
    <w:rsid w:val="0063013D"/>
    <w:rsid w:val="00630EA2"/>
    <w:rsid w:val="00637085"/>
    <w:rsid w:val="00637462"/>
    <w:rsid w:val="006448C9"/>
    <w:rsid w:val="00650342"/>
    <w:rsid w:val="00652E61"/>
    <w:rsid w:val="00653081"/>
    <w:rsid w:val="00656562"/>
    <w:rsid w:val="00657C11"/>
    <w:rsid w:val="00661369"/>
    <w:rsid w:val="006776B8"/>
    <w:rsid w:val="00684DD2"/>
    <w:rsid w:val="0068508F"/>
    <w:rsid w:val="00685F46"/>
    <w:rsid w:val="006938B1"/>
    <w:rsid w:val="00694FE2"/>
    <w:rsid w:val="006B0E02"/>
    <w:rsid w:val="006C5106"/>
    <w:rsid w:val="006D0D86"/>
    <w:rsid w:val="006D3860"/>
    <w:rsid w:val="006E29A5"/>
    <w:rsid w:val="006E7970"/>
    <w:rsid w:val="006F2458"/>
    <w:rsid w:val="006F2468"/>
    <w:rsid w:val="006F4A81"/>
    <w:rsid w:val="006F6823"/>
    <w:rsid w:val="006F74B5"/>
    <w:rsid w:val="00704597"/>
    <w:rsid w:val="007072B3"/>
    <w:rsid w:val="00710D6D"/>
    <w:rsid w:val="00721B7D"/>
    <w:rsid w:val="00721EF1"/>
    <w:rsid w:val="007313EF"/>
    <w:rsid w:val="007325BB"/>
    <w:rsid w:val="00733919"/>
    <w:rsid w:val="00735250"/>
    <w:rsid w:val="007355C0"/>
    <w:rsid w:val="00744977"/>
    <w:rsid w:val="007451B4"/>
    <w:rsid w:val="00751298"/>
    <w:rsid w:val="00761BFC"/>
    <w:rsid w:val="00771872"/>
    <w:rsid w:val="007825AD"/>
    <w:rsid w:val="00783E05"/>
    <w:rsid w:val="007875F6"/>
    <w:rsid w:val="00791B22"/>
    <w:rsid w:val="00796EDA"/>
    <w:rsid w:val="00797681"/>
    <w:rsid w:val="007A0847"/>
    <w:rsid w:val="007B2517"/>
    <w:rsid w:val="007B57DD"/>
    <w:rsid w:val="007D6535"/>
    <w:rsid w:val="007E5B25"/>
    <w:rsid w:val="007E5CAD"/>
    <w:rsid w:val="007F03F0"/>
    <w:rsid w:val="007F0D2C"/>
    <w:rsid w:val="00800A30"/>
    <w:rsid w:val="00805A6B"/>
    <w:rsid w:val="0080637E"/>
    <w:rsid w:val="00812983"/>
    <w:rsid w:val="008132A5"/>
    <w:rsid w:val="00814B86"/>
    <w:rsid w:val="00815BAA"/>
    <w:rsid w:val="008238CF"/>
    <w:rsid w:val="00824771"/>
    <w:rsid w:val="00830A05"/>
    <w:rsid w:val="00831695"/>
    <w:rsid w:val="008333C4"/>
    <w:rsid w:val="00834174"/>
    <w:rsid w:val="00850959"/>
    <w:rsid w:val="0085284A"/>
    <w:rsid w:val="00854031"/>
    <w:rsid w:val="00865947"/>
    <w:rsid w:val="008905D5"/>
    <w:rsid w:val="00892EDC"/>
    <w:rsid w:val="008963C8"/>
    <w:rsid w:val="00896F10"/>
    <w:rsid w:val="008A0F27"/>
    <w:rsid w:val="008A1958"/>
    <w:rsid w:val="008A50D7"/>
    <w:rsid w:val="008B4464"/>
    <w:rsid w:val="008C6A10"/>
    <w:rsid w:val="008D01B6"/>
    <w:rsid w:val="008D3B78"/>
    <w:rsid w:val="008D75DE"/>
    <w:rsid w:val="008E0DC8"/>
    <w:rsid w:val="008F093B"/>
    <w:rsid w:val="008F5AA5"/>
    <w:rsid w:val="00903ED0"/>
    <w:rsid w:val="00906BD1"/>
    <w:rsid w:val="00912974"/>
    <w:rsid w:val="009344FB"/>
    <w:rsid w:val="00937993"/>
    <w:rsid w:val="00944038"/>
    <w:rsid w:val="00944FC4"/>
    <w:rsid w:val="0094646D"/>
    <w:rsid w:val="00952E02"/>
    <w:rsid w:val="009569A2"/>
    <w:rsid w:val="00960527"/>
    <w:rsid w:val="00967EC3"/>
    <w:rsid w:val="00974301"/>
    <w:rsid w:val="00974F93"/>
    <w:rsid w:val="00980077"/>
    <w:rsid w:val="00987479"/>
    <w:rsid w:val="009A0BAC"/>
    <w:rsid w:val="009B01CD"/>
    <w:rsid w:val="009B0E33"/>
    <w:rsid w:val="009B57EF"/>
    <w:rsid w:val="009C70AB"/>
    <w:rsid w:val="009C73AE"/>
    <w:rsid w:val="009D0511"/>
    <w:rsid w:val="009D1D1D"/>
    <w:rsid w:val="009E1250"/>
    <w:rsid w:val="009E1B3A"/>
    <w:rsid w:val="009E25C4"/>
    <w:rsid w:val="009F0158"/>
    <w:rsid w:val="00A043A0"/>
    <w:rsid w:val="00A0629B"/>
    <w:rsid w:val="00A07274"/>
    <w:rsid w:val="00A16F03"/>
    <w:rsid w:val="00A20FF0"/>
    <w:rsid w:val="00A24022"/>
    <w:rsid w:val="00A32374"/>
    <w:rsid w:val="00A34D49"/>
    <w:rsid w:val="00A35B57"/>
    <w:rsid w:val="00A429B2"/>
    <w:rsid w:val="00A471D5"/>
    <w:rsid w:val="00A47390"/>
    <w:rsid w:val="00A525B4"/>
    <w:rsid w:val="00A57F60"/>
    <w:rsid w:val="00A667A9"/>
    <w:rsid w:val="00A675C0"/>
    <w:rsid w:val="00A745E8"/>
    <w:rsid w:val="00A76042"/>
    <w:rsid w:val="00A7784C"/>
    <w:rsid w:val="00A77E76"/>
    <w:rsid w:val="00A819DA"/>
    <w:rsid w:val="00A8308E"/>
    <w:rsid w:val="00A86AB0"/>
    <w:rsid w:val="00A9079B"/>
    <w:rsid w:val="00A96025"/>
    <w:rsid w:val="00AA6230"/>
    <w:rsid w:val="00AB0555"/>
    <w:rsid w:val="00AB1944"/>
    <w:rsid w:val="00AB71BD"/>
    <w:rsid w:val="00AC2C97"/>
    <w:rsid w:val="00AC63EE"/>
    <w:rsid w:val="00AC69E9"/>
    <w:rsid w:val="00AC6BFF"/>
    <w:rsid w:val="00AD0B0A"/>
    <w:rsid w:val="00AD6561"/>
    <w:rsid w:val="00AE1AF8"/>
    <w:rsid w:val="00AE3A36"/>
    <w:rsid w:val="00AE4326"/>
    <w:rsid w:val="00AF0926"/>
    <w:rsid w:val="00AF36A2"/>
    <w:rsid w:val="00B13F19"/>
    <w:rsid w:val="00B212A6"/>
    <w:rsid w:val="00B27E60"/>
    <w:rsid w:val="00B33640"/>
    <w:rsid w:val="00B40427"/>
    <w:rsid w:val="00B42133"/>
    <w:rsid w:val="00B456BE"/>
    <w:rsid w:val="00B471B0"/>
    <w:rsid w:val="00B504C4"/>
    <w:rsid w:val="00B52093"/>
    <w:rsid w:val="00B539AC"/>
    <w:rsid w:val="00B53BB2"/>
    <w:rsid w:val="00B55539"/>
    <w:rsid w:val="00B602ED"/>
    <w:rsid w:val="00B61B46"/>
    <w:rsid w:val="00B62BAF"/>
    <w:rsid w:val="00B64581"/>
    <w:rsid w:val="00B66335"/>
    <w:rsid w:val="00B70619"/>
    <w:rsid w:val="00B70FAD"/>
    <w:rsid w:val="00B832EF"/>
    <w:rsid w:val="00B84736"/>
    <w:rsid w:val="00B856B0"/>
    <w:rsid w:val="00B86AE4"/>
    <w:rsid w:val="00B9529C"/>
    <w:rsid w:val="00BA12A5"/>
    <w:rsid w:val="00BB2E43"/>
    <w:rsid w:val="00BB4206"/>
    <w:rsid w:val="00BD34D9"/>
    <w:rsid w:val="00BE677E"/>
    <w:rsid w:val="00BE7F8C"/>
    <w:rsid w:val="00BF0763"/>
    <w:rsid w:val="00BF49D0"/>
    <w:rsid w:val="00C020CE"/>
    <w:rsid w:val="00C131FA"/>
    <w:rsid w:val="00C14778"/>
    <w:rsid w:val="00C1665C"/>
    <w:rsid w:val="00C17F5F"/>
    <w:rsid w:val="00C22F69"/>
    <w:rsid w:val="00C30E20"/>
    <w:rsid w:val="00C32D5F"/>
    <w:rsid w:val="00C32FAF"/>
    <w:rsid w:val="00C34AD0"/>
    <w:rsid w:val="00C35AC5"/>
    <w:rsid w:val="00C36A0E"/>
    <w:rsid w:val="00C42D77"/>
    <w:rsid w:val="00C4480F"/>
    <w:rsid w:val="00C46598"/>
    <w:rsid w:val="00C52086"/>
    <w:rsid w:val="00C54F77"/>
    <w:rsid w:val="00C61FAA"/>
    <w:rsid w:val="00C63B71"/>
    <w:rsid w:val="00C72B25"/>
    <w:rsid w:val="00C7714A"/>
    <w:rsid w:val="00C80F34"/>
    <w:rsid w:val="00C80F44"/>
    <w:rsid w:val="00C81FDC"/>
    <w:rsid w:val="00C90297"/>
    <w:rsid w:val="00C96B0F"/>
    <w:rsid w:val="00CA02A5"/>
    <w:rsid w:val="00CA101B"/>
    <w:rsid w:val="00CA625D"/>
    <w:rsid w:val="00CB432E"/>
    <w:rsid w:val="00CB43DE"/>
    <w:rsid w:val="00CC135A"/>
    <w:rsid w:val="00CD1415"/>
    <w:rsid w:val="00CE2134"/>
    <w:rsid w:val="00CE7CF6"/>
    <w:rsid w:val="00D02C4D"/>
    <w:rsid w:val="00D06D3B"/>
    <w:rsid w:val="00D10AB8"/>
    <w:rsid w:val="00D16C61"/>
    <w:rsid w:val="00D16F1E"/>
    <w:rsid w:val="00D17A65"/>
    <w:rsid w:val="00D20155"/>
    <w:rsid w:val="00D22E0D"/>
    <w:rsid w:val="00D25CA7"/>
    <w:rsid w:val="00D27F89"/>
    <w:rsid w:val="00D30F9E"/>
    <w:rsid w:val="00D4317E"/>
    <w:rsid w:val="00D437B0"/>
    <w:rsid w:val="00D4438A"/>
    <w:rsid w:val="00D56559"/>
    <w:rsid w:val="00D6774B"/>
    <w:rsid w:val="00D775A5"/>
    <w:rsid w:val="00D8265B"/>
    <w:rsid w:val="00D838B9"/>
    <w:rsid w:val="00D86D0B"/>
    <w:rsid w:val="00D91377"/>
    <w:rsid w:val="00D913C4"/>
    <w:rsid w:val="00D94092"/>
    <w:rsid w:val="00DA1729"/>
    <w:rsid w:val="00DA22A6"/>
    <w:rsid w:val="00DB42EB"/>
    <w:rsid w:val="00DC4D7A"/>
    <w:rsid w:val="00DC5A48"/>
    <w:rsid w:val="00DD1CFB"/>
    <w:rsid w:val="00DD1D26"/>
    <w:rsid w:val="00DD76A5"/>
    <w:rsid w:val="00DF6214"/>
    <w:rsid w:val="00DF6EF2"/>
    <w:rsid w:val="00E0324F"/>
    <w:rsid w:val="00E03F45"/>
    <w:rsid w:val="00E1657A"/>
    <w:rsid w:val="00E16D22"/>
    <w:rsid w:val="00E20E1C"/>
    <w:rsid w:val="00E249FF"/>
    <w:rsid w:val="00E32282"/>
    <w:rsid w:val="00E45EFE"/>
    <w:rsid w:val="00E521E8"/>
    <w:rsid w:val="00E53FB1"/>
    <w:rsid w:val="00E565F3"/>
    <w:rsid w:val="00E70AEC"/>
    <w:rsid w:val="00E83EA2"/>
    <w:rsid w:val="00E85F40"/>
    <w:rsid w:val="00E90F00"/>
    <w:rsid w:val="00EA181E"/>
    <w:rsid w:val="00EA34C2"/>
    <w:rsid w:val="00EB03C3"/>
    <w:rsid w:val="00EB17A6"/>
    <w:rsid w:val="00EC1535"/>
    <w:rsid w:val="00EC2C37"/>
    <w:rsid w:val="00EC41E7"/>
    <w:rsid w:val="00EE7540"/>
    <w:rsid w:val="00EF0F45"/>
    <w:rsid w:val="00F000FF"/>
    <w:rsid w:val="00F03067"/>
    <w:rsid w:val="00F11A03"/>
    <w:rsid w:val="00F14329"/>
    <w:rsid w:val="00F17CC3"/>
    <w:rsid w:val="00F20162"/>
    <w:rsid w:val="00F23422"/>
    <w:rsid w:val="00F25C95"/>
    <w:rsid w:val="00F2604C"/>
    <w:rsid w:val="00F30552"/>
    <w:rsid w:val="00F52AAC"/>
    <w:rsid w:val="00F645B8"/>
    <w:rsid w:val="00F706A2"/>
    <w:rsid w:val="00F70F37"/>
    <w:rsid w:val="00F762B5"/>
    <w:rsid w:val="00F76F0F"/>
    <w:rsid w:val="00F77823"/>
    <w:rsid w:val="00F86802"/>
    <w:rsid w:val="00F87C02"/>
    <w:rsid w:val="00F90277"/>
    <w:rsid w:val="00F91C14"/>
    <w:rsid w:val="00F92773"/>
    <w:rsid w:val="00FA788D"/>
    <w:rsid w:val="00FB0A78"/>
    <w:rsid w:val="00FB27D3"/>
    <w:rsid w:val="00FD2D6F"/>
    <w:rsid w:val="00FF0CCF"/>
    <w:rsid w:val="00FF12CC"/>
    <w:rsid w:val="00FF5628"/>
    <w:rsid w:val="00FF575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0DD8A8"/>
  <w15:chartTrackingRefBased/>
  <w15:docId w15:val="{3C0542F1-48C0-45C6-A051-249EDE5400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3081"/>
    <w:pPr>
      <w:spacing w:after="200" w:line="276" w:lineRule="auto"/>
    </w:pPr>
    <w:rPr>
      <w:lang w:val="es-ES"/>
    </w:rPr>
  </w:style>
  <w:style w:type="paragraph" w:styleId="Ttulo2">
    <w:name w:val="heading 2"/>
    <w:basedOn w:val="Normal"/>
    <w:next w:val="Normal"/>
    <w:link w:val="Ttulo2Car"/>
    <w:uiPriority w:val="9"/>
    <w:unhideWhenUsed/>
    <w:qFormat/>
    <w:rsid w:val="00DA22A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5308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653081"/>
    <w:rPr>
      <w:rFonts w:ascii="Times New Roman" w:eastAsia="PMingLiU" w:hAnsi="Times New Roman" w:cs="Times New Roman"/>
      <w:sz w:val="24"/>
      <w:szCs w:val="24"/>
      <w:lang w:val="es-ES" w:eastAsia="zh-TW"/>
    </w:rPr>
  </w:style>
  <w:style w:type="paragraph" w:styleId="Sinespaciado">
    <w:name w:val="No Spacing"/>
    <w:uiPriority w:val="1"/>
    <w:qFormat/>
    <w:rsid w:val="00653081"/>
    <w:pPr>
      <w:spacing w:after="0" w:line="240" w:lineRule="auto"/>
    </w:pPr>
    <w:rPr>
      <w:lang w:val="es-ES"/>
    </w:rPr>
  </w:style>
  <w:style w:type="paragraph" w:styleId="Sangradetextonormal">
    <w:name w:val="Body Text Indent"/>
    <w:basedOn w:val="Normal"/>
    <w:link w:val="SangradetextonormalCar"/>
    <w:uiPriority w:val="99"/>
    <w:unhideWhenUsed/>
    <w:rsid w:val="00650342"/>
    <w:pPr>
      <w:spacing w:after="120" w:line="240" w:lineRule="auto"/>
      <w:ind w:left="283"/>
    </w:pPr>
    <w:rPr>
      <w:lang w:val="es-MX"/>
    </w:rPr>
  </w:style>
  <w:style w:type="character" w:customStyle="1" w:styleId="SangradetextonormalCar">
    <w:name w:val="Sangría de texto normal Car"/>
    <w:basedOn w:val="Fuentedeprrafopredeter"/>
    <w:link w:val="Sangradetextonormal"/>
    <w:uiPriority w:val="99"/>
    <w:rsid w:val="00650342"/>
  </w:style>
  <w:style w:type="paragraph" w:styleId="Textoindependienteprimerasangra2">
    <w:name w:val="Body Text First Indent 2"/>
    <w:basedOn w:val="Sangradetextonormal"/>
    <w:link w:val="Textoindependienteprimerasangra2Car"/>
    <w:uiPriority w:val="99"/>
    <w:unhideWhenUsed/>
    <w:rsid w:val="00650342"/>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650342"/>
  </w:style>
  <w:style w:type="paragraph" w:styleId="Textoindependiente">
    <w:name w:val="Body Text"/>
    <w:basedOn w:val="Normal"/>
    <w:link w:val="TextoindependienteCar"/>
    <w:uiPriority w:val="99"/>
    <w:unhideWhenUsed/>
    <w:rsid w:val="00650342"/>
    <w:pPr>
      <w:spacing w:after="120" w:line="240" w:lineRule="auto"/>
    </w:pPr>
    <w:rPr>
      <w:lang w:val="es-MX"/>
    </w:rPr>
  </w:style>
  <w:style w:type="character" w:customStyle="1" w:styleId="TextoindependienteCar">
    <w:name w:val="Texto independiente Car"/>
    <w:basedOn w:val="Fuentedeprrafopredeter"/>
    <w:link w:val="Textoindependiente"/>
    <w:uiPriority w:val="99"/>
    <w:rsid w:val="00650342"/>
  </w:style>
  <w:style w:type="paragraph" w:customStyle="1" w:styleId="Normal0">
    <w:name w:val="[Normal]"/>
    <w:rsid w:val="00132B09"/>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styleId="Textodeglobo">
    <w:name w:val="Balloon Text"/>
    <w:basedOn w:val="Normal"/>
    <w:link w:val="TextodegloboCar"/>
    <w:uiPriority w:val="99"/>
    <w:semiHidden/>
    <w:unhideWhenUsed/>
    <w:rsid w:val="0053444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3444C"/>
    <w:rPr>
      <w:rFonts w:ascii="Segoe UI" w:hAnsi="Segoe UI" w:cs="Segoe UI"/>
      <w:sz w:val="18"/>
      <w:szCs w:val="18"/>
      <w:lang w:val="es-ES"/>
    </w:rPr>
  </w:style>
  <w:style w:type="character" w:customStyle="1" w:styleId="Ttulo2Car">
    <w:name w:val="Título 2 Car"/>
    <w:basedOn w:val="Fuentedeprrafopredeter"/>
    <w:link w:val="Ttulo2"/>
    <w:uiPriority w:val="9"/>
    <w:rsid w:val="00DA22A6"/>
    <w:rPr>
      <w:rFonts w:asciiTheme="majorHAnsi" w:eastAsiaTheme="majorEastAsia" w:hAnsiTheme="majorHAnsi" w:cstheme="majorBidi"/>
      <w:color w:val="2E74B5" w:themeColor="accent1" w:themeShade="BF"/>
      <w:sz w:val="26"/>
      <w:szCs w:val="26"/>
      <w:lang w:val="es-ES"/>
    </w:rPr>
  </w:style>
  <w:style w:type="character" w:styleId="Hipervnculo">
    <w:name w:val="Hyperlink"/>
    <w:basedOn w:val="Fuentedeprrafopredeter"/>
    <w:uiPriority w:val="99"/>
    <w:semiHidden/>
    <w:unhideWhenUsed/>
    <w:rsid w:val="002E73FA"/>
    <w:rPr>
      <w:color w:val="0000FF"/>
      <w:u w:val="single"/>
    </w:rPr>
  </w:style>
  <w:style w:type="character" w:customStyle="1" w:styleId="lbl-encabezado-negro">
    <w:name w:val="lbl-encabezado-negro"/>
    <w:basedOn w:val="Fuentedeprrafopredeter"/>
    <w:rsid w:val="00CE2134"/>
  </w:style>
  <w:style w:type="paragraph" w:customStyle="1" w:styleId="Textoindependiente21">
    <w:name w:val="Texto independiente 21"/>
    <w:basedOn w:val="Normal"/>
    <w:rsid w:val="000D65B8"/>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Prrafodelista">
    <w:name w:val="List Paragraph"/>
    <w:basedOn w:val="Normal"/>
    <w:uiPriority w:val="34"/>
    <w:qFormat/>
    <w:rsid w:val="000D65B8"/>
    <w:pPr>
      <w:ind w:left="720"/>
      <w:contextualSpacing/>
    </w:pPr>
  </w:style>
  <w:style w:type="paragraph" w:styleId="Piedepgina">
    <w:name w:val="footer"/>
    <w:basedOn w:val="Normal"/>
    <w:link w:val="PiedepginaCar"/>
    <w:uiPriority w:val="99"/>
    <w:unhideWhenUsed/>
    <w:rsid w:val="0083417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34174"/>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8464082">
      <w:bodyDiv w:val="1"/>
      <w:marLeft w:val="0"/>
      <w:marRight w:val="0"/>
      <w:marTop w:val="0"/>
      <w:marBottom w:val="0"/>
      <w:divBdr>
        <w:top w:val="none" w:sz="0" w:space="0" w:color="auto"/>
        <w:left w:val="none" w:sz="0" w:space="0" w:color="auto"/>
        <w:bottom w:val="none" w:sz="0" w:space="0" w:color="auto"/>
        <w:right w:val="none" w:sz="0" w:space="0" w:color="auto"/>
      </w:divBdr>
    </w:div>
    <w:div w:id="688793984">
      <w:bodyDiv w:val="1"/>
      <w:marLeft w:val="0"/>
      <w:marRight w:val="0"/>
      <w:marTop w:val="0"/>
      <w:marBottom w:val="0"/>
      <w:divBdr>
        <w:top w:val="none" w:sz="0" w:space="0" w:color="auto"/>
        <w:left w:val="none" w:sz="0" w:space="0" w:color="auto"/>
        <w:bottom w:val="none" w:sz="0" w:space="0" w:color="auto"/>
        <w:right w:val="none" w:sz="0" w:space="0" w:color="auto"/>
      </w:divBdr>
    </w:div>
    <w:div w:id="1844005549">
      <w:bodyDiv w:val="1"/>
      <w:marLeft w:val="0"/>
      <w:marRight w:val="0"/>
      <w:marTop w:val="0"/>
      <w:marBottom w:val="0"/>
      <w:divBdr>
        <w:top w:val="none" w:sz="0" w:space="0" w:color="auto"/>
        <w:left w:val="none" w:sz="0" w:space="0" w:color="auto"/>
        <w:bottom w:val="none" w:sz="0" w:space="0" w:color="auto"/>
        <w:right w:val="none" w:sz="0" w:space="0" w:color="auto"/>
      </w:divBdr>
    </w:div>
    <w:div w:id="2059275298">
      <w:bodyDiv w:val="1"/>
      <w:marLeft w:val="0"/>
      <w:marRight w:val="0"/>
      <w:marTop w:val="0"/>
      <w:marBottom w:val="0"/>
      <w:divBdr>
        <w:top w:val="none" w:sz="0" w:space="0" w:color="auto"/>
        <w:left w:val="none" w:sz="0" w:space="0" w:color="auto"/>
        <w:bottom w:val="none" w:sz="0" w:space="0" w:color="auto"/>
        <w:right w:val="none" w:sz="0" w:space="0" w:color="auto"/>
      </w:divBdr>
      <w:divsChild>
        <w:div w:id="2434897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1302</Words>
  <Characters>7165</Characters>
  <Application>Microsoft Office Word</Application>
  <DocSecurity>0</DocSecurity>
  <Lines>59</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8451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Sandro</dc:creator>
  <cp:keywords/>
  <dc:description/>
  <cp:lastModifiedBy>JuanEdy</cp:lastModifiedBy>
  <cp:revision>4</cp:revision>
  <cp:lastPrinted>2020-02-10T17:45:00Z</cp:lastPrinted>
  <dcterms:created xsi:type="dcterms:W3CDTF">2020-09-22T16:40:00Z</dcterms:created>
  <dcterms:modified xsi:type="dcterms:W3CDTF">2020-09-24T16:46:00Z</dcterms:modified>
</cp:coreProperties>
</file>