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w:t>
      </w:r>
      <w:r w:rsidR="008F6475">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sidR="00070B95">
        <w:rPr>
          <w:rFonts w:ascii="Arial" w:hAnsi="Arial" w:cs="Arial"/>
          <w:b/>
          <w:sz w:val="26"/>
          <w:szCs w:val="26"/>
        </w:rPr>
        <w:t>26</w:t>
      </w:r>
      <w:r w:rsidR="00931BBD">
        <w:rPr>
          <w:rFonts w:ascii="Arial" w:hAnsi="Arial" w:cs="Arial"/>
          <w:b/>
          <w:sz w:val="26"/>
          <w:szCs w:val="26"/>
        </w:rPr>
        <w:t>8</w:t>
      </w:r>
      <w:r w:rsidRPr="00CB6405">
        <w:rPr>
          <w:rFonts w:ascii="Arial" w:hAnsi="Arial" w:cs="Arial"/>
          <w:b/>
          <w:sz w:val="26"/>
          <w:szCs w:val="26"/>
        </w:rPr>
        <w:t>/201</w:t>
      </w:r>
      <w:r w:rsidR="00805D28">
        <w:rPr>
          <w:rFonts w:ascii="Arial" w:hAnsi="Arial" w:cs="Arial"/>
          <w:b/>
          <w:sz w:val="26"/>
          <w:szCs w:val="26"/>
        </w:rPr>
        <w:t>9</w:t>
      </w:r>
      <w:r w:rsidR="00A1489B">
        <w:rPr>
          <w:rFonts w:ascii="Arial" w:hAnsi="Arial" w:cs="Arial"/>
          <w:b/>
          <w:sz w:val="26"/>
          <w:szCs w:val="26"/>
        </w:rPr>
        <w:t xml:space="preserve"> y</w:t>
      </w:r>
      <w:r w:rsidR="008F6475">
        <w:rPr>
          <w:rFonts w:ascii="Arial" w:hAnsi="Arial" w:cs="Arial"/>
          <w:b/>
          <w:sz w:val="26"/>
          <w:szCs w:val="26"/>
        </w:rPr>
        <w:t xml:space="preserve"> 273/2019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4958FA">
        <w:rPr>
          <w:rFonts w:ascii="Arial" w:hAnsi="Arial" w:cs="Arial"/>
          <w:b/>
          <w:sz w:val="26"/>
          <w:szCs w:val="26"/>
        </w:rPr>
        <w:t>0</w:t>
      </w:r>
      <w:r w:rsidR="00070B95">
        <w:rPr>
          <w:rFonts w:ascii="Arial" w:hAnsi="Arial" w:cs="Arial"/>
          <w:b/>
          <w:sz w:val="26"/>
          <w:szCs w:val="26"/>
        </w:rPr>
        <w:t>41</w:t>
      </w:r>
      <w:r w:rsidR="00805D28">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931BBD">
        <w:rPr>
          <w:rFonts w:ascii="Arial" w:hAnsi="Arial" w:cs="Arial"/>
          <w:b/>
          <w:sz w:val="26"/>
          <w:szCs w:val="26"/>
        </w:rPr>
        <w:t xml:space="preserve">PRIMERA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sidR="00780857">
        <w:rPr>
          <w:rFonts w:ascii="Arial" w:hAnsi="Arial" w:cs="Arial"/>
          <w:b/>
          <w:sz w:val="26"/>
          <w:szCs w:val="26"/>
        </w:rPr>
        <w:t>VEINTINUEVE</w:t>
      </w:r>
      <w:r>
        <w:rPr>
          <w:rFonts w:ascii="Arial" w:hAnsi="Arial" w:cs="Arial"/>
          <w:b/>
          <w:sz w:val="26"/>
          <w:szCs w:val="26"/>
        </w:rPr>
        <w:t xml:space="preserve"> </w:t>
      </w:r>
      <w:r w:rsidRPr="00CB6405">
        <w:rPr>
          <w:rFonts w:ascii="Arial" w:hAnsi="Arial" w:cs="Arial"/>
          <w:b/>
          <w:sz w:val="26"/>
          <w:szCs w:val="26"/>
        </w:rPr>
        <w:t xml:space="preserve">DE </w:t>
      </w:r>
      <w:r w:rsidR="007754F3">
        <w:rPr>
          <w:rFonts w:ascii="Arial" w:hAnsi="Arial" w:cs="Arial"/>
          <w:b/>
          <w:sz w:val="26"/>
          <w:szCs w:val="26"/>
        </w:rPr>
        <w:t xml:space="preserve">ENERO </w:t>
      </w:r>
      <w:r w:rsidRPr="00CB6405">
        <w:rPr>
          <w:rFonts w:ascii="Arial" w:hAnsi="Arial" w:cs="Arial"/>
          <w:b/>
          <w:sz w:val="26"/>
          <w:szCs w:val="26"/>
        </w:rPr>
        <w:t xml:space="preserve">DE DOS MIL </w:t>
      </w:r>
      <w:r w:rsidR="007754F3">
        <w:rPr>
          <w:rFonts w:ascii="Arial" w:hAnsi="Arial" w:cs="Arial"/>
          <w:b/>
          <w:sz w:val="26"/>
          <w:szCs w:val="26"/>
        </w:rPr>
        <w:t>VEINTE</w:t>
      </w:r>
      <w:r w:rsidR="00515939" w:rsidRPr="00CB6405">
        <w:rPr>
          <w:rFonts w:ascii="Arial" w:hAnsi="Arial" w:cs="Arial"/>
          <w:b/>
          <w:sz w:val="26"/>
          <w:szCs w:val="26"/>
        </w:rPr>
        <w:t>. -</w:t>
      </w:r>
      <w:r w:rsidRPr="00CB6405">
        <w:rPr>
          <w:rFonts w:ascii="Arial" w:hAnsi="Arial" w:cs="Arial"/>
          <w:b/>
          <w:sz w:val="26"/>
          <w:szCs w:val="26"/>
        </w:rPr>
        <w:t xml:space="preserve"> - - - - - - - - - - - - - - - - - - - - - - - - - - - -</w:t>
      </w:r>
      <w:r w:rsidR="00780857">
        <w:rPr>
          <w:rFonts w:ascii="Arial" w:hAnsi="Arial" w:cs="Arial"/>
          <w:b/>
          <w:sz w:val="26"/>
          <w:szCs w:val="26"/>
        </w:rPr>
        <w:t xml:space="preserve"> - - - - - - - - - </w:t>
      </w:r>
    </w:p>
    <w:p w:rsidR="005770C1" w:rsidRPr="00070B95" w:rsidRDefault="005770C1" w:rsidP="00070B95">
      <w:pPr>
        <w:spacing w:line="360" w:lineRule="auto"/>
        <w:ind w:firstLine="708"/>
        <w:jc w:val="both"/>
        <w:rPr>
          <w:rFonts w:ascii="Arial" w:hAnsi="Arial" w:cs="Arial"/>
          <w:b/>
          <w:bCs/>
          <w:sz w:val="26"/>
          <w:szCs w:val="26"/>
        </w:rPr>
      </w:pPr>
      <w:r w:rsidRPr="00CB6405">
        <w:rPr>
          <w:rFonts w:ascii="Arial" w:hAnsi="Arial" w:cs="Arial"/>
          <w:sz w:val="26"/>
          <w:szCs w:val="26"/>
        </w:rPr>
        <w:t>Por recibido l</w:t>
      </w:r>
      <w:r w:rsidR="008F6475">
        <w:rPr>
          <w:rFonts w:ascii="Arial" w:hAnsi="Arial" w:cs="Arial"/>
          <w:sz w:val="26"/>
          <w:szCs w:val="26"/>
        </w:rPr>
        <w:t>os</w:t>
      </w:r>
      <w:r w:rsidRPr="00CB6405">
        <w:rPr>
          <w:rFonts w:ascii="Arial" w:hAnsi="Arial" w:cs="Arial"/>
          <w:sz w:val="26"/>
          <w:szCs w:val="26"/>
        </w:rPr>
        <w:t xml:space="preserve"> Cuaderno</w:t>
      </w:r>
      <w:r w:rsidR="008F6475">
        <w:rPr>
          <w:rFonts w:ascii="Arial" w:hAnsi="Arial" w:cs="Arial"/>
          <w:sz w:val="26"/>
          <w:szCs w:val="26"/>
        </w:rPr>
        <w:t>s</w:t>
      </w:r>
      <w:r w:rsidRPr="00CB6405">
        <w:rPr>
          <w:rFonts w:ascii="Arial" w:hAnsi="Arial" w:cs="Arial"/>
          <w:sz w:val="26"/>
          <w:szCs w:val="26"/>
        </w:rPr>
        <w:t xml:space="preserve"> de Revisión </w:t>
      </w:r>
      <w:r w:rsidRPr="00CB6405">
        <w:rPr>
          <w:rFonts w:ascii="Arial" w:hAnsi="Arial" w:cs="Arial"/>
          <w:b/>
          <w:sz w:val="26"/>
          <w:szCs w:val="26"/>
        </w:rPr>
        <w:t>0</w:t>
      </w:r>
      <w:r w:rsidR="00070B95">
        <w:rPr>
          <w:rFonts w:ascii="Arial" w:hAnsi="Arial" w:cs="Arial"/>
          <w:b/>
          <w:sz w:val="26"/>
          <w:szCs w:val="26"/>
        </w:rPr>
        <w:t>26</w:t>
      </w:r>
      <w:r w:rsidR="00931BBD">
        <w:rPr>
          <w:rFonts w:ascii="Arial" w:hAnsi="Arial" w:cs="Arial"/>
          <w:b/>
          <w:sz w:val="26"/>
          <w:szCs w:val="26"/>
        </w:rPr>
        <w:t>8</w:t>
      </w:r>
      <w:r w:rsidRPr="00CB6405">
        <w:rPr>
          <w:rFonts w:ascii="Arial" w:hAnsi="Arial" w:cs="Arial"/>
          <w:b/>
          <w:sz w:val="26"/>
          <w:szCs w:val="26"/>
        </w:rPr>
        <w:t>/201</w:t>
      </w:r>
      <w:r w:rsidR="004958FA">
        <w:rPr>
          <w:rFonts w:ascii="Arial" w:hAnsi="Arial" w:cs="Arial"/>
          <w:b/>
          <w:sz w:val="26"/>
          <w:szCs w:val="26"/>
        </w:rPr>
        <w:t>9</w:t>
      </w:r>
      <w:r w:rsidR="008F6475">
        <w:rPr>
          <w:rFonts w:ascii="Arial" w:hAnsi="Arial" w:cs="Arial"/>
          <w:b/>
          <w:sz w:val="26"/>
          <w:szCs w:val="26"/>
        </w:rPr>
        <w:t xml:space="preserve"> y 0273/2019</w:t>
      </w:r>
      <w:r w:rsidRPr="00CB6405">
        <w:rPr>
          <w:rFonts w:ascii="Arial" w:hAnsi="Arial" w:cs="Arial"/>
          <w:sz w:val="26"/>
          <w:szCs w:val="26"/>
        </w:rPr>
        <w:t xml:space="preserve">, que remite la Secretaría General </w:t>
      </w:r>
      <w:r w:rsidR="00A05A17" w:rsidRPr="00A05A17">
        <w:rPr>
          <w:rFonts w:ascii="Arial" w:hAnsi="Arial" w:cs="Arial"/>
          <w:b/>
          <w:sz w:val="26"/>
          <w:szCs w:val="26"/>
        </w:rPr>
        <w:t>***********</w:t>
      </w:r>
      <w:r w:rsidRPr="00A05A17">
        <w:rPr>
          <w:rFonts w:ascii="Arial" w:hAnsi="Arial" w:cs="Arial"/>
          <w:b/>
          <w:sz w:val="26"/>
          <w:szCs w:val="26"/>
        </w:rPr>
        <w:t>,</w:t>
      </w:r>
      <w:r w:rsidRPr="00CB6405">
        <w:rPr>
          <w:rFonts w:ascii="Arial" w:hAnsi="Arial" w:cs="Arial"/>
          <w:sz w:val="26"/>
          <w:szCs w:val="26"/>
        </w:rPr>
        <w:t xml:space="preserve"> en contra de</w:t>
      </w:r>
      <w:r w:rsidR="00805D28">
        <w:rPr>
          <w:rFonts w:ascii="Arial" w:hAnsi="Arial" w:cs="Arial"/>
          <w:sz w:val="26"/>
          <w:szCs w:val="26"/>
        </w:rPr>
        <w:t xml:space="preserve"> </w:t>
      </w:r>
      <w:r w:rsidR="004958FA">
        <w:rPr>
          <w:rFonts w:ascii="Arial" w:hAnsi="Arial" w:cs="Arial"/>
          <w:sz w:val="26"/>
          <w:szCs w:val="26"/>
        </w:rPr>
        <w:t xml:space="preserve">la </w:t>
      </w:r>
      <w:r w:rsidR="006E74BE">
        <w:rPr>
          <w:rFonts w:ascii="Arial" w:hAnsi="Arial" w:cs="Arial"/>
          <w:sz w:val="26"/>
          <w:szCs w:val="26"/>
        </w:rPr>
        <w:t xml:space="preserve">sentencia </w:t>
      </w:r>
      <w:r w:rsidR="004958FA">
        <w:rPr>
          <w:rFonts w:ascii="Arial" w:hAnsi="Arial" w:cs="Arial"/>
          <w:sz w:val="26"/>
          <w:szCs w:val="26"/>
        </w:rPr>
        <w:t xml:space="preserve">de </w:t>
      </w:r>
      <w:r w:rsidR="00070B95">
        <w:rPr>
          <w:rFonts w:ascii="Arial" w:hAnsi="Arial" w:cs="Arial"/>
          <w:sz w:val="26"/>
          <w:szCs w:val="26"/>
        </w:rPr>
        <w:t>tres</w:t>
      </w:r>
      <w:r w:rsidR="00931BBD">
        <w:rPr>
          <w:rFonts w:ascii="Arial" w:hAnsi="Arial" w:cs="Arial"/>
          <w:sz w:val="26"/>
          <w:szCs w:val="26"/>
        </w:rPr>
        <w:t xml:space="preserve"> </w:t>
      </w:r>
      <w:r w:rsidR="004958FA">
        <w:rPr>
          <w:rFonts w:ascii="Arial" w:hAnsi="Arial" w:cs="Arial"/>
          <w:sz w:val="26"/>
          <w:szCs w:val="26"/>
        </w:rPr>
        <w:t xml:space="preserve">de </w:t>
      </w:r>
      <w:r w:rsidR="00070B95">
        <w:rPr>
          <w:rFonts w:ascii="Arial" w:hAnsi="Arial" w:cs="Arial"/>
          <w:sz w:val="26"/>
          <w:szCs w:val="26"/>
        </w:rPr>
        <w:t>julio</w:t>
      </w:r>
      <w:r w:rsidR="00931BBD">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805D2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4958FA">
        <w:rPr>
          <w:rFonts w:ascii="Arial" w:hAnsi="Arial" w:cs="Arial"/>
          <w:b/>
          <w:sz w:val="26"/>
          <w:szCs w:val="26"/>
        </w:rPr>
        <w:t>0</w:t>
      </w:r>
      <w:r w:rsidR="00070B95">
        <w:rPr>
          <w:rFonts w:ascii="Arial" w:hAnsi="Arial" w:cs="Arial"/>
          <w:b/>
          <w:sz w:val="26"/>
          <w:szCs w:val="26"/>
        </w:rPr>
        <w:t>41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931BBD">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070B95">
        <w:rPr>
          <w:rFonts w:ascii="Arial" w:hAnsi="Arial" w:cs="Arial"/>
          <w:b/>
          <w:bCs/>
          <w:sz w:val="26"/>
          <w:szCs w:val="26"/>
        </w:rPr>
        <w:t xml:space="preserve"> </w:t>
      </w:r>
      <w:r w:rsidR="00A05A17">
        <w:rPr>
          <w:rFonts w:ascii="Arial" w:hAnsi="Arial" w:cs="Arial"/>
          <w:b/>
          <w:bCs/>
          <w:sz w:val="26"/>
          <w:szCs w:val="26"/>
        </w:rPr>
        <w:t>************</w:t>
      </w:r>
      <w:r w:rsidR="008E50F0">
        <w:rPr>
          <w:rFonts w:ascii="Arial" w:hAnsi="Arial" w:cs="Arial"/>
          <w:b/>
          <w:sz w:val="26"/>
          <w:szCs w:val="26"/>
        </w:rPr>
        <w:t xml:space="preserve">, </w:t>
      </w:r>
      <w:r w:rsidR="008E50F0">
        <w:rPr>
          <w:rFonts w:ascii="Arial" w:hAnsi="Arial" w:cs="Arial"/>
          <w:bCs/>
          <w:sz w:val="26"/>
          <w:szCs w:val="26"/>
        </w:rPr>
        <w:t>en contra</w:t>
      </w:r>
      <w:r w:rsidR="00AF7A58">
        <w:rPr>
          <w:rFonts w:ascii="Arial" w:hAnsi="Arial" w:cs="Arial"/>
          <w:bCs/>
          <w:sz w:val="26"/>
          <w:szCs w:val="26"/>
        </w:rPr>
        <w:t xml:space="preserve"> </w:t>
      </w:r>
      <w:r w:rsidR="006E74BE">
        <w:rPr>
          <w:rFonts w:ascii="Arial" w:hAnsi="Arial" w:cs="Arial"/>
          <w:bCs/>
          <w:sz w:val="26"/>
          <w:szCs w:val="26"/>
        </w:rPr>
        <w:t>de</w:t>
      </w:r>
      <w:r w:rsidR="00E2774A">
        <w:rPr>
          <w:rFonts w:ascii="Arial" w:hAnsi="Arial" w:cs="Arial"/>
          <w:bCs/>
          <w:sz w:val="26"/>
          <w:szCs w:val="26"/>
        </w:rPr>
        <w:t xml:space="preserve"> </w:t>
      </w:r>
      <w:r w:rsidR="006E74BE">
        <w:rPr>
          <w:rFonts w:ascii="Arial" w:hAnsi="Arial" w:cs="Arial"/>
          <w:bCs/>
          <w:sz w:val="26"/>
          <w:szCs w:val="26"/>
        </w:rPr>
        <w:t>l</w:t>
      </w:r>
      <w:r w:rsidR="00E2774A">
        <w:rPr>
          <w:rFonts w:ascii="Arial" w:hAnsi="Arial" w:cs="Arial"/>
          <w:bCs/>
          <w:sz w:val="26"/>
          <w:szCs w:val="26"/>
        </w:rPr>
        <w:t>a</w:t>
      </w:r>
      <w:r w:rsidR="006E74BE">
        <w:rPr>
          <w:rFonts w:ascii="Arial" w:hAnsi="Arial" w:cs="Arial"/>
          <w:bCs/>
          <w:sz w:val="26"/>
          <w:szCs w:val="26"/>
        </w:rPr>
        <w:t xml:space="preserve"> </w:t>
      </w:r>
      <w:r w:rsidR="00E2774A" w:rsidRPr="00E2774A">
        <w:rPr>
          <w:rFonts w:ascii="Arial" w:hAnsi="Arial" w:cs="Arial"/>
          <w:b/>
          <w:bCs/>
          <w:sz w:val="26"/>
          <w:szCs w:val="26"/>
        </w:rPr>
        <w:t>COMISIÓN DE MERCADOS Y VÍA PÚBLICA DEL AYUNTAMIENTO DEL MUNICIPIO DE OAXACA DE JUÁREZ, OAXACA</w:t>
      </w:r>
      <w:r w:rsidR="00E2774A">
        <w:rPr>
          <w:rFonts w:ascii="Arial" w:hAnsi="Arial" w:cs="Arial"/>
          <w:bCs/>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PRIMERO.</w:t>
      </w:r>
      <w:r w:rsidR="00FA5B4C">
        <w:rPr>
          <w:rFonts w:ascii="Arial" w:hAnsi="Arial" w:cs="Arial"/>
          <w:b/>
          <w:bCs/>
          <w:sz w:val="26"/>
          <w:szCs w:val="26"/>
        </w:rPr>
        <w:t xml:space="preserve"> </w:t>
      </w:r>
      <w:r w:rsidRPr="00CB6405">
        <w:rPr>
          <w:rFonts w:ascii="Arial" w:hAnsi="Arial" w:cs="Arial"/>
          <w:sz w:val="26"/>
          <w:szCs w:val="26"/>
        </w:rPr>
        <w:t>Inconforme</w:t>
      </w:r>
      <w:r w:rsidR="004958FA">
        <w:rPr>
          <w:rFonts w:ascii="Arial" w:hAnsi="Arial" w:cs="Arial"/>
          <w:sz w:val="26"/>
          <w:szCs w:val="26"/>
        </w:rPr>
        <w:t xml:space="preserve"> con la </w:t>
      </w:r>
      <w:r w:rsidR="006E74BE">
        <w:rPr>
          <w:rFonts w:ascii="Arial" w:hAnsi="Arial" w:cs="Arial"/>
          <w:sz w:val="26"/>
          <w:szCs w:val="26"/>
        </w:rPr>
        <w:t xml:space="preserve">sentencia </w:t>
      </w:r>
      <w:r w:rsidR="004958FA">
        <w:rPr>
          <w:rFonts w:ascii="Arial" w:hAnsi="Arial" w:cs="Arial"/>
          <w:sz w:val="26"/>
          <w:szCs w:val="26"/>
        </w:rPr>
        <w:t>de</w:t>
      </w:r>
      <w:r w:rsidR="00070B95" w:rsidRPr="00070B95">
        <w:rPr>
          <w:rFonts w:ascii="Arial" w:hAnsi="Arial" w:cs="Arial"/>
          <w:sz w:val="26"/>
          <w:szCs w:val="26"/>
        </w:rPr>
        <w:t xml:space="preserve"> </w:t>
      </w:r>
      <w:r w:rsidR="00070B95">
        <w:rPr>
          <w:rFonts w:ascii="Arial" w:hAnsi="Arial" w:cs="Arial"/>
          <w:sz w:val="26"/>
          <w:szCs w:val="26"/>
        </w:rPr>
        <w:t xml:space="preserve">tres de julio de </w:t>
      </w:r>
      <w:r w:rsidR="00070B95" w:rsidRPr="00CB6405">
        <w:rPr>
          <w:rFonts w:ascii="Arial" w:hAnsi="Arial" w:cs="Arial"/>
          <w:sz w:val="26"/>
          <w:szCs w:val="26"/>
        </w:rPr>
        <w:t>dos mil dieci</w:t>
      </w:r>
      <w:r w:rsidR="00070B95">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AF7A58">
        <w:rPr>
          <w:rFonts w:ascii="Arial" w:hAnsi="Arial" w:cs="Arial"/>
          <w:sz w:val="26"/>
          <w:szCs w:val="26"/>
        </w:rPr>
        <w:t xml:space="preserve">Primera </w:t>
      </w:r>
      <w:r w:rsidRPr="00CB6405">
        <w:rPr>
          <w:rFonts w:ascii="Arial" w:hAnsi="Arial" w:cs="Arial"/>
          <w:sz w:val="26"/>
          <w:szCs w:val="26"/>
        </w:rPr>
        <w:t xml:space="preserve">Sala Unitaria de Primera Instancia, </w:t>
      </w:r>
      <w:r w:rsidR="00A05A17">
        <w:rPr>
          <w:rFonts w:ascii="Arial" w:hAnsi="Arial" w:cs="Arial"/>
          <w:b/>
          <w:sz w:val="26"/>
          <w:szCs w:val="26"/>
        </w:rPr>
        <w:t>*************</w:t>
      </w:r>
      <w:r w:rsidR="008F6475" w:rsidRPr="00CB6405">
        <w:rPr>
          <w:rFonts w:ascii="Arial" w:hAnsi="Arial" w:cs="Arial"/>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4958FA" w:rsidRDefault="005770C1" w:rsidP="004958FA">
      <w:pPr>
        <w:spacing w:after="0" w:line="360" w:lineRule="auto"/>
        <w:ind w:firstLine="708"/>
        <w:jc w:val="both"/>
        <w:rPr>
          <w:rFonts w:ascii="Arial" w:hAnsi="Arial" w:cs="Arial"/>
          <w:bCs/>
          <w:sz w:val="26"/>
          <w:szCs w:val="26"/>
        </w:rPr>
      </w:pPr>
      <w:r>
        <w:rPr>
          <w:rFonts w:ascii="Arial" w:hAnsi="Arial" w:cs="Arial"/>
          <w:b/>
          <w:bCs/>
          <w:sz w:val="26"/>
          <w:szCs w:val="26"/>
          <w:lang w:val="es-MX"/>
        </w:rPr>
        <w:t>SEGUND</w:t>
      </w:r>
      <w:r w:rsidR="006309F3">
        <w:rPr>
          <w:rFonts w:ascii="Arial" w:hAnsi="Arial" w:cs="Arial"/>
          <w:b/>
          <w:bCs/>
          <w:sz w:val="26"/>
          <w:szCs w:val="26"/>
          <w:lang w:val="es-MX"/>
        </w:rPr>
        <w:t xml:space="preserve">O. </w:t>
      </w:r>
      <w:r w:rsidR="004958FA" w:rsidRPr="00C37A09">
        <w:rPr>
          <w:rFonts w:ascii="Arial" w:hAnsi="Arial" w:cs="Arial"/>
          <w:bCs/>
          <w:sz w:val="26"/>
          <w:szCs w:val="26"/>
        </w:rPr>
        <w:t xml:space="preserve">Los puntos resolutivos de la </w:t>
      </w:r>
      <w:r w:rsidR="003B3888">
        <w:rPr>
          <w:rFonts w:ascii="Arial" w:hAnsi="Arial" w:cs="Arial"/>
          <w:bCs/>
          <w:sz w:val="26"/>
          <w:szCs w:val="26"/>
        </w:rPr>
        <w:t xml:space="preserve">resolución </w:t>
      </w:r>
      <w:r w:rsidR="004958FA" w:rsidRPr="00C37A09">
        <w:rPr>
          <w:rFonts w:ascii="Arial" w:hAnsi="Arial" w:cs="Arial"/>
          <w:bCs/>
          <w:sz w:val="26"/>
          <w:szCs w:val="26"/>
        </w:rPr>
        <w:t xml:space="preserve">recurrida son </w:t>
      </w:r>
      <w:r w:rsidR="004958FA">
        <w:rPr>
          <w:rFonts w:ascii="Arial" w:hAnsi="Arial" w:cs="Arial"/>
          <w:bCs/>
          <w:sz w:val="26"/>
          <w:szCs w:val="26"/>
        </w:rPr>
        <w:t>los siguientes:</w:t>
      </w:r>
    </w:p>
    <w:p w:rsidR="00DC6767" w:rsidRPr="00DC6767" w:rsidRDefault="004958FA" w:rsidP="00A1489B">
      <w:pPr>
        <w:spacing w:before="240" w:after="0" w:line="360" w:lineRule="auto"/>
        <w:ind w:left="1134" w:right="616"/>
        <w:jc w:val="both"/>
        <w:rPr>
          <w:rFonts w:ascii="Arial" w:eastAsia="Times New Roman" w:hAnsi="Arial" w:cs="Arial"/>
          <w:i/>
          <w:iCs/>
          <w:sz w:val="24"/>
          <w:szCs w:val="24"/>
          <w:u w:val="single"/>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FA5B4C">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070B95">
        <w:rPr>
          <w:rFonts w:ascii="Arial" w:eastAsia="Times New Roman" w:hAnsi="Arial" w:cs="Arial"/>
          <w:bCs/>
          <w:i/>
          <w:iCs/>
          <w:sz w:val="24"/>
          <w:szCs w:val="24"/>
          <w:lang w:eastAsia="es-ES"/>
        </w:rPr>
        <w:t>Esta</w:t>
      </w:r>
      <w:r w:rsidR="00AF7A58">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Sala</w:t>
      </w:r>
      <w:r w:rsidR="00070B95">
        <w:rPr>
          <w:rFonts w:ascii="Arial" w:eastAsia="Times New Roman" w:hAnsi="Arial" w:cs="Arial"/>
          <w:bCs/>
          <w:i/>
          <w:iCs/>
          <w:sz w:val="24"/>
          <w:szCs w:val="24"/>
          <w:lang w:eastAsia="es-ES"/>
        </w:rPr>
        <w:t xml:space="preserve"> de Primera Instancia</w:t>
      </w:r>
      <w:r w:rsidRPr="00C06661">
        <w:rPr>
          <w:rFonts w:ascii="Arial" w:eastAsia="Times New Roman" w:hAnsi="Arial" w:cs="Arial"/>
          <w:bCs/>
          <w:i/>
          <w:iCs/>
          <w:sz w:val="24"/>
          <w:szCs w:val="24"/>
          <w:lang w:eastAsia="es-ES"/>
        </w:rPr>
        <w:t xml:space="preserve"> </w:t>
      </w:r>
      <w:r w:rsidR="00AF7A58">
        <w:rPr>
          <w:rFonts w:ascii="Arial" w:eastAsia="Times New Roman" w:hAnsi="Arial" w:cs="Arial"/>
          <w:bCs/>
          <w:i/>
          <w:iCs/>
          <w:sz w:val="24"/>
          <w:szCs w:val="24"/>
          <w:lang w:eastAsia="es-ES"/>
        </w:rPr>
        <w:t>es</w:t>
      </w:r>
      <w:r w:rsidR="00FA5B4C">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 xml:space="preserve">competente para conocer y resolver </w:t>
      </w:r>
      <w:r w:rsidR="00FA5B4C">
        <w:rPr>
          <w:rFonts w:ascii="Arial" w:eastAsia="Times New Roman" w:hAnsi="Arial" w:cs="Arial"/>
          <w:bCs/>
          <w:i/>
          <w:iCs/>
          <w:sz w:val="24"/>
          <w:szCs w:val="24"/>
          <w:lang w:eastAsia="es-ES"/>
        </w:rPr>
        <w:t>d</w:t>
      </w:r>
      <w:r w:rsidR="00070B95">
        <w:rPr>
          <w:rFonts w:ascii="Arial" w:eastAsia="Times New Roman" w:hAnsi="Arial" w:cs="Arial"/>
          <w:bCs/>
          <w:i/>
          <w:iCs/>
          <w:sz w:val="24"/>
          <w:szCs w:val="24"/>
          <w:lang w:eastAsia="es-ES"/>
        </w:rPr>
        <w:t>e la</w:t>
      </w:r>
      <w:r w:rsidRPr="00C06661">
        <w:rPr>
          <w:rFonts w:ascii="Arial" w:eastAsia="Times New Roman" w:hAnsi="Arial" w:cs="Arial"/>
          <w:bCs/>
          <w:i/>
          <w:iCs/>
          <w:sz w:val="24"/>
          <w:szCs w:val="24"/>
          <w:lang w:eastAsia="es-ES"/>
        </w:rPr>
        <w:t xml:space="preserve"> presente </w:t>
      </w:r>
      <w:r w:rsidR="00070B95">
        <w:rPr>
          <w:rFonts w:ascii="Arial" w:eastAsia="Times New Roman" w:hAnsi="Arial" w:cs="Arial"/>
          <w:bCs/>
          <w:i/>
          <w:iCs/>
          <w:sz w:val="24"/>
          <w:szCs w:val="24"/>
          <w:lang w:eastAsia="es-ES"/>
        </w:rPr>
        <w:t>causa</w:t>
      </w:r>
      <w:r w:rsidRPr="00C06661">
        <w:rPr>
          <w:rFonts w:ascii="Arial" w:eastAsia="Times New Roman" w:hAnsi="Arial" w:cs="Arial"/>
          <w:bCs/>
          <w:i/>
          <w:iCs/>
          <w:sz w:val="24"/>
          <w:szCs w:val="24"/>
          <w:lang w:eastAsia="es-ES"/>
        </w:rPr>
        <w:t>.</w:t>
      </w:r>
      <w:r w:rsidR="00FA5B4C">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 xml:space="preserve">- - - - - - - - - - - </w:t>
      </w:r>
      <w:r w:rsidRPr="00C06661">
        <w:rPr>
          <w:rFonts w:ascii="Arial" w:eastAsia="Times New Roman" w:hAnsi="Arial" w:cs="Arial"/>
          <w:b/>
          <w:bCs/>
          <w:i/>
          <w:iCs/>
          <w:sz w:val="24"/>
          <w:szCs w:val="24"/>
          <w:lang w:eastAsia="es-ES"/>
        </w:rPr>
        <w:t>SEGUNDO.</w:t>
      </w:r>
      <w:r w:rsidR="00FA5B4C">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personalidad de las partes qued</w:t>
      </w:r>
      <w:r w:rsidR="00070B95">
        <w:rPr>
          <w:rFonts w:ascii="Arial" w:eastAsia="Times New Roman" w:hAnsi="Arial" w:cs="Arial"/>
          <w:bCs/>
          <w:i/>
          <w:iCs/>
          <w:sz w:val="24"/>
          <w:szCs w:val="24"/>
          <w:lang w:eastAsia="es-ES"/>
        </w:rPr>
        <w:t>ó acreditada</w:t>
      </w:r>
      <w:r w:rsidR="00AF7A58">
        <w:rPr>
          <w:rFonts w:ascii="Arial" w:eastAsia="Times New Roman" w:hAnsi="Arial" w:cs="Arial"/>
          <w:bCs/>
          <w:i/>
          <w:iCs/>
          <w:sz w:val="24"/>
          <w:szCs w:val="24"/>
          <w:lang w:eastAsia="es-ES"/>
        </w:rPr>
        <w:t xml:space="preserve"> dentro del considerando S</w:t>
      </w:r>
      <w:r w:rsidR="00070B95">
        <w:rPr>
          <w:rFonts w:ascii="Arial" w:eastAsia="Times New Roman" w:hAnsi="Arial" w:cs="Arial"/>
          <w:bCs/>
          <w:i/>
          <w:iCs/>
          <w:sz w:val="24"/>
          <w:szCs w:val="24"/>
          <w:lang w:eastAsia="es-ES"/>
        </w:rPr>
        <w:t>EGUNDO de la presente sentencia</w:t>
      </w:r>
      <w:r w:rsidR="00FA5B4C" w:rsidRPr="00C06661">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TERCERO</w:t>
      </w:r>
      <w:r w:rsidR="00FA5B4C">
        <w:rPr>
          <w:rFonts w:ascii="Arial" w:eastAsia="Times New Roman" w:hAnsi="Arial" w:cs="Arial"/>
          <w:b/>
          <w:bCs/>
          <w:i/>
          <w:iCs/>
          <w:sz w:val="24"/>
          <w:szCs w:val="24"/>
          <w:lang w:eastAsia="es-ES"/>
        </w:rPr>
        <w:t xml:space="preserve">.- </w:t>
      </w:r>
      <w:r w:rsidR="00DC6767">
        <w:rPr>
          <w:rFonts w:ascii="Arial" w:eastAsia="Times New Roman" w:hAnsi="Arial" w:cs="Arial"/>
          <w:i/>
          <w:iCs/>
          <w:sz w:val="24"/>
          <w:szCs w:val="24"/>
          <w:lang w:eastAsia="es-ES"/>
        </w:rPr>
        <w:t xml:space="preserve">Esta Sala advierte que, en el presente juicio no se configura alguna causal de improcedencia o sobreseimiento expuesta en el considerando TERCERO, por lo tanto, </w:t>
      </w:r>
      <w:r w:rsidR="00DC6767">
        <w:rPr>
          <w:rFonts w:ascii="Arial" w:eastAsia="Times New Roman" w:hAnsi="Arial" w:cs="Arial"/>
          <w:b/>
          <w:i/>
          <w:iCs/>
          <w:sz w:val="24"/>
          <w:szCs w:val="24"/>
          <w:lang w:eastAsia="es-ES"/>
        </w:rPr>
        <w:t>NO SE SOBRESEE</w:t>
      </w:r>
      <w:r w:rsidR="00A1489B">
        <w:rPr>
          <w:rFonts w:ascii="Arial" w:eastAsia="Times New Roman" w:hAnsi="Arial" w:cs="Arial"/>
          <w:i/>
          <w:iCs/>
          <w:sz w:val="24"/>
          <w:szCs w:val="24"/>
          <w:lang w:eastAsia="es-ES"/>
        </w:rPr>
        <w:t>.</w:t>
      </w:r>
      <w:r w:rsidR="00DC6767">
        <w:rPr>
          <w:rFonts w:ascii="Arial" w:eastAsia="Times New Roman" w:hAnsi="Arial" w:cs="Arial"/>
          <w:bCs/>
          <w:i/>
          <w:iCs/>
          <w:sz w:val="24"/>
          <w:szCs w:val="24"/>
          <w:lang w:eastAsia="es-ES"/>
        </w:rPr>
        <w:t xml:space="preserve">- - - - </w:t>
      </w:r>
      <w:r w:rsidR="00A1489B">
        <w:rPr>
          <w:rFonts w:ascii="Arial" w:eastAsia="Times New Roman" w:hAnsi="Arial" w:cs="Arial"/>
          <w:bCs/>
          <w:i/>
          <w:iCs/>
          <w:sz w:val="24"/>
          <w:szCs w:val="24"/>
          <w:lang w:eastAsia="es-ES"/>
        </w:rPr>
        <w:t>- - - - - - - - - - - - - - - - - - -</w:t>
      </w:r>
      <w:r w:rsidR="00FA5B4C">
        <w:rPr>
          <w:rFonts w:ascii="Arial" w:eastAsia="Times New Roman" w:hAnsi="Arial" w:cs="Arial"/>
          <w:b/>
          <w:bCs/>
          <w:i/>
          <w:iCs/>
          <w:sz w:val="24"/>
          <w:szCs w:val="24"/>
          <w:lang w:eastAsia="es-ES"/>
        </w:rPr>
        <w:t>CUAR</w:t>
      </w:r>
      <w:r>
        <w:rPr>
          <w:rFonts w:ascii="Arial" w:eastAsia="Times New Roman" w:hAnsi="Arial" w:cs="Arial"/>
          <w:b/>
          <w:bCs/>
          <w:i/>
          <w:iCs/>
          <w:sz w:val="24"/>
          <w:szCs w:val="24"/>
          <w:lang w:eastAsia="es-ES"/>
        </w:rPr>
        <w:t>TO.-</w:t>
      </w:r>
      <w:r>
        <w:rPr>
          <w:rFonts w:ascii="Arial" w:eastAsia="Times New Roman" w:hAnsi="Arial" w:cs="Arial"/>
          <w:bCs/>
          <w:i/>
          <w:iCs/>
          <w:sz w:val="24"/>
          <w:szCs w:val="24"/>
          <w:lang w:eastAsia="es-ES"/>
        </w:rPr>
        <w:t xml:space="preserve"> </w:t>
      </w:r>
      <w:r w:rsidR="00AF7A58">
        <w:rPr>
          <w:rFonts w:ascii="Arial" w:eastAsia="Times New Roman" w:hAnsi="Arial" w:cs="Arial"/>
          <w:bCs/>
          <w:i/>
          <w:iCs/>
          <w:sz w:val="24"/>
          <w:szCs w:val="24"/>
          <w:lang w:eastAsia="es-ES"/>
        </w:rPr>
        <w:t xml:space="preserve">Se declara la </w:t>
      </w:r>
      <w:r w:rsidR="00AF7A58">
        <w:rPr>
          <w:rFonts w:ascii="Arial" w:eastAsia="Times New Roman" w:hAnsi="Arial" w:cs="Arial"/>
          <w:b/>
          <w:i/>
          <w:iCs/>
          <w:sz w:val="24"/>
          <w:szCs w:val="24"/>
          <w:lang w:eastAsia="es-ES"/>
        </w:rPr>
        <w:t xml:space="preserve">NULIDAD </w:t>
      </w:r>
      <w:r w:rsidR="00DC6767">
        <w:rPr>
          <w:rFonts w:ascii="Arial" w:eastAsia="Times New Roman" w:hAnsi="Arial" w:cs="Arial"/>
          <w:i/>
          <w:iCs/>
          <w:sz w:val="24"/>
          <w:szCs w:val="24"/>
          <w:lang w:eastAsia="es-ES"/>
        </w:rPr>
        <w:t xml:space="preserve">del dictamen número </w:t>
      </w:r>
      <w:r w:rsidR="002C7EDA" w:rsidRPr="002C7EDA">
        <w:rPr>
          <w:rFonts w:ascii="Arial" w:eastAsia="Times New Roman" w:hAnsi="Arial" w:cs="Arial"/>
          <w:b/>
          <w:i/>
          <w:iCs/>
          <w:sz w:val="24"/>
          <w:szCs w:val="24"/>
          <w:lang w:eastAsia="es-ES"/>
        </w:rPr>
        <w:t>*********</w:t>
      </w:r>
      <w:r w:rsidR="00DC6767">
        <w:rPr>
          <w:rFonts w:ascii="Arial" w:eastAsia="Times New Roman" w:hAnsi="Arial" w:cs="Arial"/>
          <w:i/>
          <w:iCs/>
          <w:sz w:val="24"/>
          <w:szCs w:val="24"/>
          <w:lang w:eastAsia="es-ES"/>
        </w:rPr>
        <w:t xml:space="preserve"> de fecha doce de diciembre de dos mil diecisiete, emitido por la Comisión de Mercados y Vía Pública del </w:t>
      </w:r>
      <w:r w:rsidR="00DC6767">
        <w:rPr>
          <w:rFonts w:ascii="Arial" w:eastAsia="Times New Roman" w:hAnsi="Arial" w:cs="Arial"/>
          <w:i/>
          <w:iCs/>
          <w:sz w:val="24"/>
          <w:szCs w:val="24"/>
          <w:lang w:eastAsia="es-ES"/>
        </w:rPr>
        <w:lastRenderedPageBreak/>
        <w:t xml:space="preserve">Municipio de Oaxaca de Juárez, Oaxaca, </w:t>
      </w:r>
      <w:r w:rsidR="00DC6767">
        <w:rPr>
          <w:rFonts w:ascii="Arial" w:eastAsia="Times New Roman" w:hAnsi="Arial" w:cs="Arial"/>
          <w:b/>
          <w:i/>
          <w:iCs/>
          <w:sz w:val="24"/>
          <w:szCs w:val="24"/>
          <w:lang w:eastAsia="es-ES"/>
        </w:rPr>
        <w:t xml:space="preserve">PARA EL EFECTO </w:t>
      </w:r>
      <w:r w:rsidR="00DC6767">
        <w:rPr>
          <w:rFonts w:ascii="Arial" w:eastAsia="Times New Roman" w:hAnsi="Arial" w:cs="Arial"/>
          <w:i/>
          <w:iCs/>
          <w:sz w:val="24"/>
          <w:szCs w:val="24"/>
          <w:u w:val="single"/>
          <w:lang w:eastAsia="es-ES"/>
        </w:rPr>
        <w:t>de que la autoridad demandada emita un nuevo dictamen, mediante el debido proceso, debidamente fundado y motivado en el cual enuncie claramente las razones por las cuales es factible o no otorgar la cesión de derechos</w:t>
      </w:r>
      <w:r w:rsidR="0020723D">
        <w:rPr>
          <w:rFonts w:ascii="Arial" w:eastAsia="Times New Roman" w:hAnsi="Arial" w:cs="Arial"/>
          <w:i/>
          <w:iCs/>
          <w:sz w:val="24"/>
          <w:szCs w:val="24"/>
          <w:u w:val="single"/>
          <w:lang w:eastAsia="es-ES"/>
        </w:rPr>
        <w:t xml:space="preserve"> de las casetas números 257 con número de cuenta </w:t>
      </w:r>
      <w:r w:rsidR="002C7EDA" w:rsidRPr="002C7EDA">
        <w:rPr>
          <w:rFonts w:ascii="Arial" w:eastAsia="Times New Roman" w:hAnsi="Arial" w:cs="Arial"/>
          <w:b/>
          <w:i/>
          <w:iCs/>
          <w:sz w:val="24"/>
          <w:szCs w:val="24"/>
          <w:u w:val="single"/>
          <w:lang w:eastAsia="es-ES"/>
        </w:rPr>
        <w:t>**********</w:t>
      </w:r>
      <w:r w:rsidR="002C7EDA">
        <w:rPr>
          <w:rFonts w:ascii="Arial" w:eastAsia="Times New Roman" w:hAnsi="Arial" w:cs="Arial"/>
          <w:i/>
          <w:iCs/>
          <w:sz w:val="24"/>
          <w:szCs w:val="24"/>
          <w:u w:val="single"/>
          <w:lang w:eastAsia="es-ES"/>
        </w:rPr>
        <w:t xml:space="preserve"> </w:t>
      </w:r>
      <w:r w:rsidR="0020723D">
        <w:rPr>
          <w:rFonts w:ascii="Arial" w:eastAsia="Times New Roman" w:hAnsi="Arial" w:cs="Arial"/>
          <w:i/>
          <w:iCs/>
          <w:sz w:val="24"/>
          <w:szCs w:val="24"/>
          <w:u w:val="single"/>
          <w:lang w:eastAsia="es-ES"/>
        </w:rPr>
        <w:t xml:space="preserve">con número de cuenta </w:t>
      </w:r>
      <w:r w:rsidR="002C7EDA" w:rsidRPr="002C7EDA">
        <w:rPr>
          <w:rFonts w:ascii="Arial" w:eastAsia="Times New Roman" w:hAnsi="Arial" w:cs="Arial"/>
          <w:b/>
          <w:i/>
          <w:iCs/>
          <w:sz w:val="24"/>
          <w:szCs w:val="24"/>
          <w:u w:val="single"/>
          <w:lang w:eastAsia="es-ES"/>
        </w:rPr>
        <w:t>**********</w:t>
      </w:r>
      <w:r w:rsidR="002C7EDA">
        <w:rPr>
          <w:rFonts w:ascii="Arial" w:eastAsia="Times New Roman" w:hAnsi="Arial" w:cs="Arial"/>
          <w:i/>
          <w:iCs/>
          <w:sz w:val="24"/>
          <w:szCs w:val="24"/>
          <w:u w:val="single"/>
          <w:lang w:eastAsia="es-ES"/>
        </w:rPr>
        <w:t xml:space="preserve"> </w:t>
      </w:r>
      <w:r w:rsidR="0020723D">
        <w:rPr>
          <w:rFonts w:ascii="Arial" w:eastAsia="Times New Roman" w:hAnsi="Arial" w:cs="Arial"/>
          <w:i/>
          <w:iCs/>
          <w:sz w:val="24"/>
          <w:szCs w:val="24"/>
          <w:u w:val="single"/>
          <w:lang w:eastAsia="es-ES"/>
        </w:rPr>
        <w:t xml:space="preserve">, debiendo hacer una relación holística de las pruebas documentales y antecedentes aportados por los </w:t>
      </w:r>
      <w:r w:rsidR="002C7EDA" w:rsidRPr="002C7EDA">
        <w:rPr>
          <w:rFonts w:ascii="Arial" w:eastAsia="Times New Roman" w:hAnsi="Arial" w:cs="Arial"/>
          <w:b/>
          <w:i/>
          <w:iCs/>
          <w:sz w:val="24"/>
          <w:szCs w:val="24"/>
          <w:u w:val="single"/>
          <w:lang w:eastAsia="es-ES"/>
        </w:rPr>
        <w:t>***********</w:t>
      </w:r>
      <w:r w:rsidR="0020723D" w:rsidRPr="002C7EDA">
        <w:rPr>
          <w:rFonts w:ascii="Arial" w:eastAsia="Times New Roman" w:hAnsi="Arial" w:cs="Arial"/>
          <w:b/>
          <w:i/>
          <w:iCs/>
          <w:sz w:val="24"/>
          <w:szCs w:val="24"/>
          <w:u w:val="single"/>
          <w:lang w:eastAsia="es-ES"/>
        </w:rPr>
        <w:t>;</w:t>
      </w:r>
      <w:r w:rsidR="0020723D">
        <w:rPr>
          <w:rFonts w:ascii="Arial" w:eastAsia="Times New Roman" w:hAnsi="Arial" w:cs="Arial"/>
          <w:i/>
          <w:iCs/>
          <w:sz w:val="24"/>
          <w:szCs w:val="24"/>
          <w:u w:val="single"/>
          <w:lang w:eastAsia="es-ES"/>
        </w:rPr>
        <w:t xml:space="preserve"> y para cumplir el requisito de debida fundamentación y motivación, debe citar los fundamentos</w:t>
      </w:r>
      <w:r w:rsidR="001F4AED">
        <w:rPr>
          <w:rFonts w:ascii="Arial" w:eastAsia="Times New Roman" w:hAnsi="Arial" w:cs="Arial"/>
          <w:i/>
          <w:iCs/>
          <w:sz w:val="24"/>
          <w:szCs w:val="24"/>
          <w:u w:val="single"/>
          <w:lang w:eastAsia="es-ES"/>
        </w:rPr>
        <w:t xml:space="preserve"> legales aplicables en lo que sustente su determinación y con la finalidad de v</w:t>
      </w:r>
      <w:bookmarkStart w:id="0" w:name="_GoBack"/>
      <w:bookmarkEnd w:id="0"/>
      <w:r w:rsidR="001F4AED">
        <w:rPr>
          <w:rFonts w:ascii="Arial" w:eastAsia="Times New Roman" w:hAnsi="Arial" w:cs="Arial"/>
          <w:i/>
          <w:iCs/>
          <w:sz w:val="24"/>
          <w:szCs w:val="24"/>
          <w:u w:val="single"/>
          <w:lang w:eastAsia="es-ES"/>
        </w:rPr>
        <w:t>erificar el cumplimiento a lo ordenado, la autoridad demandada deberá enviar informes del cumplimiento de lo aquí lo ordenado, (sic) no obstante lo anterior, es pertinente precisarle a la autoridad demandada que de ser contumaz, esta Sala le impondrá uno de los medios de apremio a que se refiere el artículo 155 de la Ley de Procedimiento y Justicia Administrativa para el Estado de Oaxaca,</w:t>
      </w:r>
      <w:r w:rsidR="001F4AED">
        <w:rPr>
          <w:rFonts w:ascii="Arial" w:eastAsia="Times New Roman" w:hAnsi="Arial" w:cs="Arial"/>
          <w:i/>
          <w:iCs/>
          <w:sz w:val="24"/>
          <w:szCs w:val="24"/>
          <w:lang w:eastAsia="es-ES"/>
        </w:rPr>
        <w:t xml:space="preserve"> por lo ya expuesto en el considerando QUINTO de la presente resolución.- - - - - - - - - - - - - </w:t>
      </w:r>
      <w:r w:rsidR="00A1489B">
        <w:rPr>
          <w:rFonts w:ascii="Arial" w:eastAsia="Times New Roman" w:hAnsi="Arial" w:cs="Arial"/>
          <w:i/>
          <w:iCs/>
          <w:sz w:val="24"/>
          <w:szCs w:val="24"/>
          <w:lang w:eastAsia="es-ES"/>
        </w:rPr>
        <w:t xml:space="preserve">- - - - - - - - - - - - - - - - </w:t>
      </w:r>
    </w:p>
    <w:p w:rsidR="0099624C" w:rsidRDefault="00B35224" w:rsidP="00A1489B">
      <w:pPr>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i/>
          <w:iCs/>
          <w:sz w:val="24"/>
          <w:szCs w:val="24"/>
          <w:lang w:eastAsia="es-ES"/>
        </w:rPr>
        <w:t xml:space="preserve">QUINTO.- </w:t>
      </w:r>
      <w:r>
        <w:rPr>
          <w:rFonts w:ascii="Arial" w:eastAsia="Times New Roman" w:hAnsi="Arial" w:cs="Arial"/>
          <w:bCs/>
          <w:i/>
          <w:iCs/>
          <w:sz w:val="24"/>
          <w:szCs w:val="24"/>
          <w:lang w:eastAsia="es-ES"/>
        </w:rPr>
        <w:t>Conforme a lo dispuesto en los artículos 172 y 173 de la Ley de Procedimiento y Justicia Administrativa para el Estado de Oaxaca,</w:t>
      </w:r>
      <w:r w:rsidR="00A1489B">
        <w:rPr>
          <w:rFonts w:ascii="Arial" w:eastAsia="Times New Roman" w:hAnsi="Arial" w:cs="Arial"/>
          <w:bCs/>
          <w:i/>
          <w:iCs/>
          <w:sz w:val="24"/>
          <w:szCs w:val="24"/>
          <w:lang w:eastAsia="es-ES"/>
        </w:rPr>
        <w:t xml:space="preserve"> </w:t>
      </w:r>
      <w:r w:rsidR="004958FA" w:rsidRPr="00C06661">
        <w:rPr>
          <w:rFonts w:ascii="Arial" w:eastAsia="Times New Roman" w:hAnsi="Arial" w:cs="Arial"/>
          <w:b/>
          <w:bCs/>
          <w:i/>
          <w:iCs/>
          <w:sz w:val="24"/>
          <w:szCs w:val="24"/>
          <w:lang w:eastAsia="es-ES"/>
        </w:rPr>
        <w:t xml:space="preserve">NOTIFÍQUESE </w:t>
      </w:r>
      <w:r>
        <w:rPr>
          <w:rFonts w:ascii="Arial" w:eastAsia="Times New Roman" w:hAnsi="Arial" w:cs="Arial"/>
          <w:bCs/>
          <w:i/>
          <w:iCs/>
          <w:sz w:val="24"/>
          <w:szCs w:val="24"/>
          <w:lang w:eastAsia="es-ES"/>
        </w:rPr>
        <w:t xml:space="preserve">y </w:t>
      </w:r>
      <w:r w:rsidR="004958FA">
        <w:rPr>
          <w:rFonts w:ascii="Arial" w:eastAsia="Times New Roman" w:hAnsi="Arial" w:cs="Arial"/>
          <w:b/>
          <w:bCs/>
          <w:i/>
          <w:iCs/>
          <w:sz w:val="24"/>
          <w:szCs w:val="24"/>
          <w:lang w:eastAsia="es-ES"/>
        </w:rPr>
        <w:t>CÚMPLASE</w:t>
      </w:r>
      <w:r w:rsidR="004958FA" w:rsidRPr="00C06661">
        <w:rPr>
          <w:rFonts w:ascii="Arial" w:eastAsia="Times New Roman" w:hAnsi="Arial" w:cs="Arial"/>
          <w:bCs/>
          <w:i/>
          <w:iCs/>
          <w:sz w:val="24"/>
          <w:szCs w:val="24"/>
          <w:lang w:eastAsia="es-ES"/>
        </w:rPr>
        <w:t>.</w:t>
      </w:r>
      <w:r w:rsidR="00F60CD1">
        <w:rPr>
          <w:rFonts w:ascii="Arial" w:eastAsia="Times New Roman" w:hAnsi="Arial" w:cs="Arial"/>
          <w:bCs/>
          <w:i/>
          <w:iCs/>
          <w:sz w:val="24"/>
          <w:szCs w:val="24"/>
          <w:lang w:eastAsia="es-ES"/>
        </w:rPr>
        <w:t xml:space="preserve"> </w:t>
      </w:r>
      <w:r w:rsidR="004958FA">
        <w:rPr>
          <w:rFonts w:ascii="Arial" w:eastAsia="Times New Roman" w:hAnsi="Arial" w:cs="Arial"/>
          <w:bCs/>
          <w:i/>
          <w:iCs/>
          <w:sz w:val="24"/>
          <w:szCs w:val="24"/>
          <w:lang w:eastAsia="es-ES"/>
        </w:rPr>
        <w:t>- - -</w:t>
      </w:r>
      <w:r w:rsidR="009B4A4B">
        <w:rPr>
          <w:rFonts w:ascii="Arial" w:eastAsia="Times New Roman" w:hAnsi="Arial" w:cs="Arial"/>
          <w:bCs/>
          <w:i/>
          <w:iCs/>
          <w:sz w:val="24"/>
          <w:szCs w:val="24"/>
          <w:lang w:eastAsia="es-ES"/>
        </w:rPr>
        <w:t xml:space="preserve"> - - - -</w:t>
      </w:r>
      <w:r w:rsidR="004958FA" w:rsidRPr="00C06661">
        <w:rPr>
          <w:rFonts w:ascii="Arial" w:eastAsia="Times New Roman" w:hAnsi="Arial" w:cs="Arial"/>
          <w:bCs/>
          <w:i/>
          <w:iCs/>
          <w:sz w:val="24"/>
          <w:szCs w:val="24"/>
          <w:lang w:eastAsia="es-ES"/>
        </w:rPr>
        <w:t>”</w:t>
      </w:r>
    </w:p>
    <w:p w:rsidR="005770C1" w:rsidRPr="00CB6405" w:rsidRDefault="005770C1" w:rsidP="006E74BE">
      <w:pPr>
        <w:spacing w:before="240" w:after="0" w:line="360" w:lineRule="auto"/>
        <w:ind w:left="708"/>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6E74BE" w:rsidP="003B3888">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Pr>
          <w:rFonts w:ascii="Arial" w:hAnsi="Arial" w:cs="Arial"/>
          <w:bCs/>
          <w:iCs/>
          <w:sz w:val="26"/>
          <w:szCs w:val="26"/>
        </w:rPr>
        <w:t xml:space="preserve">la sentencia de </w:t>
      </w:r>
      <w:r w:rsidR="001F4AED">
        <w:rPr>
          <w:rFonts w:ascii="Arial" w:hAnsi="Arial" w:cs="Arial"/>
          <w:bCs/>
          <w:iCs/>
          <w:sz w:val="26"/>
          <w:szCs w:val="26"/>
        </w:rPr>
        <w:t xml:space="preserve">tres de julio </w:t>
      </w:r>
      <w:r>
        <w:rPr>
          <w:rFonts w:ascii="Arial" w:hAnsi="Arial" w:cs="Arial"/>
          <w:bCs/>
          <w:iCs/>
          <w:sz w:val="26"/>
          <w:szCs w:val="26"/>
        </w:rPr>
        <w:t xml:space="preserve">de </w:t>
      </w:r>
      <w:r w:rsidR="00AF7A58" w:rsidRPr="00CB6405">
        <w:rPr>
          <w:rFonts w:ascii="Arial" w:hAnsi="Arial" w:cs="Arial"/>
          <w:sz w:val="26"/>
          <w:szCs w:val="26"/>
        </w:rPr>
        <w:t>dos mil dieci</w:t>
      </w:r>
      <w:r w:rsidR="00AF7A58">
        <w:rPr>
          <w:rFonts w:ascii="Arial" w:hAnsi="Arial" w:cs="Arial"/>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Pr>
          <w:rFonts w:ascii="Arial" w:hAnsi="Arial" w:cs="Arial"/>
          <w:bCs/>
          <w:iCs/>
          <w:sz w:val="26"/>
          <w:szCs w:val="26"/>
        </w:rPr>
        <w:t xml:space="preserve">Primera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1F4AED">
        <w:rPr>
          <w:rFonts w:ascii="Arial" w:hAnsi="Arial" w:cs="Arial"/>
          <w:b/>
          <w:bCs/>
          <w:iCs/>
          <w:sz w:val="26"/>
          <w:szCs w:val="26"/>
        </w:rPr>
        <w:t>41</w:t>
      </w:r>
      <w:r w:rsidR="005770C1">
        <w:rPr>
          <w:rFonts w:ascii="Arial" w:hAnsi="Arial" w:cs="Arial"/>
          <w:b/>
          <w:bCs/>
          <w:iCs/>
          <w:sz w:val="26"/>
          <w:szCs w:val="26"/>
        </w:rPr>
        <w:t>/2018</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A1489B">
        <w:rPr>
          <w:rFonts w:ascii="Arial" w:hAnsi="Arial" w:cs="Arial"/>
          <w:sz w:val="26"/>
          <w:szCs w:val="26"/>
        </w:rPr>
        <w:t xml:space="preserve"> </w:t>
      </w:r>
      <w:r w:rsidR="00443CBD">
        <w:rPr>
          <w:rFonts w:ascii="Arial" w:hAnsi="Arial" w:cs="Arial"/>
          <w:sz w:val="26"/>
          <w:szCs w:val="26"/>
        </w:rPr>
        <w:t>l</w:t>
      </w:r>
      <w:r w:rsidR="00A1489B">
        <w:rPr>
          <w:rFonts w:ascii="Arial" w:hAnsi="Arial" w:cs="Arial"/>
          <w:sz w:val="26"/>
          <w:szCs w:val="26"/>
        </w:rPr>
        <w:t>os</w:t>
      </w:r>
      <w:r w:rsidR="00443CBD">
        <w:rPr>
          <w:rFonts w:ascii="Arial" w:hAnsi="Arial" w:cs="Arial"/>
          <w:sz w:val="26"/>
          <w:szCs w:val="26"/>
        </w:rPr>
        <w:t xml:space="preserve"> </w:t>
      </w:r>
      <w:r w:rsidRPr="00CB6405">
        <w:rPr>
          <w:rFonts w:ascii="Arial" w:hAnsi="Arial" w:cs="Arial"/>
          <w:sz w:val="26"/>
          <w:szCs w:val="26"/>
        </w:rPr>
        <w:t>recurrente</w:t>
      </w:r>
      <w:r w:rsidR="00A1489B">
        <w:rPr>
          <w:rFonts w:ascii="Arial" w:hAnsi="Arial" w:cs="Arial"/>
          <w:sz w:val="26"/>
          <w:szCs w:val="26"/>
        </w:rPr>
        <w:t>s</w:t>
      </w:r>
      <w:r w:rsidRPr="00CB6405">
        <w:rPr>
          <w:rFonts w:ascii="Arial" w:hAnsi="Arial" w:cs="Arial"/>
          <w:sz w:val="26"/>
          <w:szCs w:val="26"/>
        </w:rPr>
        <w:t>, por lo que no existe necesidad de transcribirlos, al no transgredírsele</w:t>
      </w:r>
      <w:r w:rsidR="00A1489B">
        <w:rPr>
          <w:rFonts w:ascii="Arial" w:hAnsi="Arial" w:cs="Arial"/>
          <w:sz w:val="26"/>
          <w:szCs w:val="26"/>
        </w:rPr>
        <w:t>s</w:t>
      </w:r>
      <w:r w:rsidRPr="00CB6405">
        <w:rPr>
          <w:rFonts w:ascii="Arial" w:hAnsi="Arial" w:cs="Arial"/>
          <w:sz w:val="26"/>
          <w:szCs w:val="26"/>
        </w:rPr>
        <w:t xml:space="preserve"> derecho alguno, como tampoco </w:t>
      </w:r>
      <w:r w:rsidRPr="00CB6405">
        <w:rPr>
          <w:rFonts w:ascii="Arial" w:hAnsi="Arial" w:cs="Arial"/>
          <w:sz w:val="26"/>
          <w:szCs w:val="26"/>
        </w:rPr>
        <w:lastRenderedPageBreak/>
        <w:t xml:space="preserve">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515939">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8F6475" w:rsidRDefault="008F6475" w:rsidP="008F6475">
      <w:pPr>
        <w:spacing w:before="240"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 xml:space="preserve">Toda vez que la demandada y los terceros afectados de manera concomitante interpusieron el presente medio de impugnación </w:t>
      </w:r>
      <w:r w:rsidRPr="007A4009">
        <w:rPr>
          <w:rFonts w:ascii="Arial" w:hAnsi="Arial" w:cs="Arial"/>
          <w:sz w:val="26"/>
          <w:szCs w:val="26"/>
        </w:rPr>
        <w:t>e</w:t>
      </w:r>
      <w:r>
        <w:rPr>
          <w:rFonts w:ascii="Arial" w:hAnsi="Arial" w:cs="Arial"/>
          <w:bCs/>
          <w:sz w:val="26"/>
          <w:szCs w:val="26"/>
        </w:rPr>
        <w:t xml:space="preserve">n contra de la sentencia tres de julio de dos mil diecinueve; </w:t>
      </w:r>
      <w:r>
        <w:rPr>
          <w:rFonts w:ascii="Arial" w:hAnsi="Arial" w:cs="Arial"/>
          <w:sz w:val="26"/>
          <w:szCs w:val="26"/>
        </w:rPr>
        <w:t xml:space="preserve">conviene emitir una resolución común </w:t>
      </w:r>
      <w:r>
        <w:rPr>
          <w:rFonts w:ascii="Arial" w:hAnsi="Arial" w:cs="Arial"/>
          <w:bCs/>
          <w:sz w:val="26"/>
          <w:szCs w:val="26"/>
        </w:rPr>
        <w:t xml:space="preserve">a ambos medios de impugnación, esto con la finalidad de evitar </w:t>
      </w:r>
      <w:r w:rsidR="0080137D">
        <w:rPr>
          <w:rFonts w:ascii="Arial" w:hAnsi="Arial" w:cs="Arial"/>
          <w:bCs/>
          <w:sz w:val="26"/>
          <w:szCs w:val="26"/>
        </w:rPr>
        <w:t>e</w:t>
      </w:r>
      <w:r>
        <w:rPr>
          <w:rFonts w:ascii="Arial" w:hAnsi="Arial" w:cs="Arial"/>
          <w:bCs/>
          <w:sz w:val="26"/>
          <w:szCs w:val="26"/>
        </w:rPr>
        <w:t xml:space="preserve">l </w:t>
      </w:r>
      <w:r w:rsidR="0080137D">
        <w:rPr>
          <w:rFonts w:ascii="Arial" w:hAnsi="Arial" w:cs="Arial"/>
          <w:bCs/>
          <w:sz w:val="26"/>
          <w:szCs w:val="26"/>
        </w:rPr>
        <w:t>pronunciamiento</w:t>
      </w:r>
      <w:r>
        <w:rPr>
          <w:rFonts w:ascii="Arial" w:hAnsi="Arial" w:cs="Arial"/>
          <w:bCs/>
          <w:sz w:val="26"/>
          <w:szCs w:val="26"/>
        </w:rPr>
        <w:t xml:space="preserve"> de resoluciones </w:t>
      </w:r>
      <w:r w:rsidR="0080137D">
        <w:rPr>
          <w:rFonts w:ascii="Arial" w:hAnsi="Arial" w:cs="Arial"/>
          <w:bCs/>
          <w:sz w:val="26"/>
          <w:szCs w:val="26"/>
        </w:rPr>
        <w:t>opuestas</w:t>
      </w:r>
      <w:r>
        <w:rPr>
          <w:rFonts w:ascii="Arial" w:hAnsi="Arial" w:cs="Arial"/>
          <w:bCs/>
          <w:sz w:val="26"/>
          <w:szCs w:val="26"/>
        </w:rPr>
        <w:t>.</w:t>
      </w:r>
    </w:p>
    <w:p w:rsidR="006A5E19" w:rsidRDefault="008F6475" w:rsidP="006A5E19">
      <w:pPr>
        <w:tabs>
          <w:tab w:val="left" w:pos="1197"/>
        </w:tabs>
        <w:spacing w:before="240" w:line="360" w:lineRule="auto"/>
        <w:ind w:firstLine="708"/>
        <w:jc w:val="both"/>
        <w:rPr>
          <w:rFonts w:ascii="Arial" w:hAnsi="Arial" w:cs="Arial"/>
          <w:sz w:val="26"/>
          <w:szCs w:val="26"/>
        </w:rPr>
      </w:pPr>
      <w:r>
        <w:rPr>
          <w:rFonts w:ascii="Arial" w:hAnsi="Arial" w:cs="Arial"/>
          <w:b/>
          <w:bCs/>
          <w:sz w:val="26"/>
          <w:szCs w:val="26"/>
        </w:rPr>
        <w:t xml:space="preserve">CUARTO. </w:t>
      </w:r>
      <w:r w:rsidR="006A5E19">
        <w:rPr>
          <w:rFonts w:ascii="Arial" w:hAnsi="Arial" w:cs="Arial"/>
          <w:bCs/>
          <w:sz w:val="26"/>
          <w:szCs w:val="26"/>
        </w:rPr>
        <w:t>S</w:t>
      </w:r>
      <w:r w:rsidR="00A1489B">
        <w:rPr>
          <w:rFonts w:ascii="Arial" w:hAnsi="Arial" w:cs="Arial"/>
          <w:bCs/>
          <w:sz w:val="26"/>
          <w:szCs w:val="26"/>
        </w:rPr>
        <w:t>e inicia con</w:t>
      </w:r>
      <w:r w:rsidR="005922C8" w:rsidRPr="005922C8">
        <w:rPr>
          <w:rFonts w:ascii="Arial" w:eastAsia="Calibri" w:hAnsi="Arial" w:cs="Arial"/>
          <w:bCs/>
          <w:sz w:val="26"/>
          <w:szCs w:val="26"/>
        </w:rPr>
        <w:t xml:space="preserve"> </w:t>
      </w:r>
      <w:r w:rsidR="005922C8">
        <w:rPr>
          <w:rFonts w:ascii="Arial" w:eastAsia="Calibri" w:hAnsi="Arial" w:cs="Arial"/>
          <w:bCs/>
          <w:sz w:val="26"/>
          <w:szCs w:val="26"/>
        </w:rPr>
        <w:t xml:space="preserve">el </w:t>
      </w:r>
      <w:r w:rsidR="00C95EFF">
        <w:rPr>
          <w:rFonts w:ascii="Arial" w:eastAsia="Calibri" w:hAnsi="Arial" w:cs="Arial"/>
          <w:bCs/>
          <w:sz w:val="26"/>
          <w:szCs w:val="26"/>
        </w:rPr>
        <w:t>estudio</w:t>
      </w:r>
      <w:r w:rsidR="005922C8">
        <w:rPr>
          <w:rFonts w:ascii="Arial" w:eastAsia="Calibri" w:hAnsi="Arial" w:cs="Arial"/>
          <w:bCs/>
          <w:sz w:val="26"/>
          <w:szCs w:val="26"/>
        </w:rPr>
        <w:t xml:space="preserve"> de los agravios expuestos por </w:t>
      </w:r>
      <w:r w:rsidR="00A05A17">
        <w:rPr>
          <w:rFonts w:ascii="Arial" w:hAnsi="Arial" w:cs="Arial"/>
          <w:b/>
          <w:sz w:val="26"/>
          <w:szCs w:val="26"/>
        </w:rPr>
        <w:t>************</w:t>
      </w:r>
      <w:r w:rsidR="006A5E19" w:rsidRPr="00A1489B">
        <w:rPr>
          <w:rFonts w:ascii="Arial" w:hAnsi="Arial" w:cs="Arial"/>
          <w:b/>
          <w:sz w:val="26"/>
          <w:szCs w:val="26"/>
        </w:rPr>
        <w:t>;</w:t>
      </w:r>
      <w:r w:rsidR="006A5E19">
        <w:rPr>
          <w:rFonts w:ascii="Arial" w:hAnsi="Arial" w:cs="Arial"/>
          <w:b/>
          <w:sz w:val="26"/>
          <w:szCs w:val="26"/>
        </w:rPr>
        <w:t xml:space="preserve"> </w:t>
      </w:r>
      <w:r w:rsidR="006A5E19">
        <w:rPr>
          <w:rFonts w:ascii="Arial" w:hAnsi="Arial" w:cs="Arial"/>
          <w:sz w:val="26"/>
          <w:szCs w:val="26"/>
        </w:rPr>
        <w:t>en los que alega que la determinación contenida en la sentencia alzada, le causa perjuicio a la autoridad que representa, al transgredir lo dispuesto por los artículos 14 y 16 de la Const</w:t>
      </w:r>
      <w:r w:rsidR="002574D5">
        <w:rPr>
          <w:rFonts w:ascii="Arial" w:hAnsi="Arial" w:cs="Arial"/>
          <w:sz w:val="26"/>
          <w:szCs w:val="26"/>
        </w:rPr>
        <w:t>itución Política de los E</w:t>
      </w:r>
      <w:r w:rsidR="006A5E19">
        <w:rPr>
          <w:rFonts w:ascii="Arial" w:hAnsi="Arial" w:cs="Arial"/>
          <w:sz w:val="26"/>
          <w:szCs w:val="26"/>
        </w:rPr>
        <w:t xml:space="preserve">stados Unidos Mexicanos; toda vez que, la Primera Instancia no tomó en consideración las manifestaciones de los terceros afectados, ni las pruebas aportadas en el juicio, pues mediante dictámenes </w:t>
      </w:r>
      <w:r w:rsidR="00A05A17" w:rsidRPr="00A05A17">
        <w:rPr>
          <w:rFonts w:ascii="Arial" w:hAnsi="Arial" w:cs="Arial"/>
          <w:b/>
          <w:sz w:val="26"/>
          <w:szCs w:val="26"/>
        </w:rPr>
        <w:t>***********</w:t>
      </w:r>
      <w:r w:rsidR="006A5E19">
        <w:rPr>
          <w:rFonts w:ascii="Arial" w:hAnsi="Arial" w:cs="Arial"/>
          <w:sz w:val="26"/>
          <w:szCs w:val="26"/>
        </w:rPr>
        <w:t xml:space="preserve"> de veintitrés de agosto y veintitrés de septiembre, ambos de dos mil dieciséis respectivamente, la autoridad municipal de Oaxaca de Juárez, autorizó a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la regularización de la case</w:t>
      </w:r>
      <w:r w:rsidR="002574D5">
        <w:rPr>
          <w:rFonts w:ascii="Arial" w:hAnsi="Arial" w:cs="Arial"/>
          <w:sz w:val="26"/>
          <w:szCs w:val="26"/>
        </w:rPr>
        <w:t>ta</w:t>
      </w:r>
      <w:r w:rsidR="00A05A17">
        <w:rPr>
          <w:rFonts w:ascii="Arial" w:hAnsi="Arial" w:cs="Arial"/>
          <w:sz w:val="26"/>
          <w:szCs w:val="26"/>
        </w:rPr>
        <w:t xml:space="preserve"> fija (****</w:t>
      </w:r>
      <w:r w:rsidR="006A5E19">
        <w:rPr>
          <w:rFonts w:ascii="Arial" w:hAnsi="Arial" w:cs="Arial"/>
          <w:sz w:val="26"/>
          <w:szCs w:val="26"/>
        </w:rPr>
        <w:t xml:space="preserve">), número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ubicado en </w:t>
      </w:r>
      <w:r w:rsidR="00A05A17" w:rsidRPr="00A05A17">
        <w:rPr>
          <w:rFonts w:ascii="Arial" w:hAnsi="Arial" w:cs="Arial"/>
          <w:b/>
          <w:sz w:val="26"/>
          <w:szCs w:val="26"/>
        </w:rPr>
        <w:t>**********</w:t>
      </w:r>
      <w:r w:rsidR="00A05A17">
        <w:rPr>
          <w:rFonts w:ascii="Arial" w:hAnsi="Arial" w:cs="Arial"/>
          <w:sz w:val="26"/>
          <w:szCs w:val="26"/>
        </w:rPr>
        <w:t xml:space="preserve"> </w:t>
      </w:r>
      <w:r w:rsidR="006A5E19">
        <w:rPr>
          <w:rFonts w:ascii="Arial" w:hAnsi="Arial" w:cs="Arial"/>
          <w:sz w:val="26"/>
          <w:szCs w:val="26"/>
        </w:rPr>
        <w:t xml:space="preserve">”, con el giro de ropa, novedades y perfumería, con número de cuenta </w:t>
      </w:r>
      <w:r w:rsidR="00A05A17" w:rsidRPr="00A05A17">
        <w:rPr>
          <w:rFonts w:ascii="Arial" w:hAnsi="Arial" w:cs="Arial"/>
          <w:b/>
          <w:sz w:val="26"/>
          <w:szCs w:val="26"/>
        </w:rPr>
        <w:t>**********</w:t>
      </w:r>
      <w:r w:rsidR="006A5E19">
        <w:rPr>
          <w:rFonts w:ascii="Arial" w:hAnsi="Arial" w:cs="Arial"/>
          <w:sz w:val="26"/>
          <w:szCs w:val="26"/>
        </w:rPr>
        <w:t xml:space="preserve"> y a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le autorizó la regularización de l</w:t>
      </w:r>
      <w:r w:rsidR="00A05A17">
        <w:rPr>
          <w:rFonts w:ascii="Arial" w:hAnsi="Arial" w:cs="Arial"/>
          <w:sz w:val="26"/>
          <w:szCs w:val="26"/>
        </w:rPr>
        <w:t xml:space="preserve">a concesión de la caseta fija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número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ubicado en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con el giro de ropa, novedades </w:t>
      </w:r>
      <w:r w:rsidR="006A5E19">
        <w:rPr>
          <w:rFonts w:ascii="Arial" w:hAnsi="Arial" w:cs="Arial"/>
          <w:sz w:val="26"/>
          <w:szCs w:val="26"/>
        </w:rPr>
        <w:lastRenderedPageBreak/>
        <w:t xml:space="preserve">y perfumería, con número de cuenta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dictamen que dice el recurrente no fueron controvertidos y que por ello resultan ser válidos, y que fue ignorado por la resolutora.</w:t>
      </w:r>
    </w:p>
    <w:p w:rsidR="006A5E19" w:rsidRDefault="006A5E19" w:rsidP="006A5E19">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Estas alegaciones son </w:t>
      </w:r>
      <w:r w:rsidRPr="00912D81">
        <w:rPr>
          <w:rFonts w:ascii="Arial" w:hAnsi="Arial" w:cs="Arial"/>
          <w:b/>
          <w:sz w:val="26"/>
          <w:szCs w:val="26"/>
        </w:rPr>
        <w:t>ineficaces</w:t>
      </w:r>
      <w:r>
        <w:rPr>
          <w:rFonts w:ascii="Arial" w:hAnsi="Arial" w:cs="Arial"/>
          <w:sz w:val="26"/>
          <w:szCs w:val="26"/>
        </w:rPr>
        <w:t>, toda vez que, en forma alguna combaten la consideración toral de la Primera Instancia, para decretar la nulidad del dictamen impugnado, para el efecto de que se emita uno nuevo; consistente en que este carece de motivación y fundamentación, porque la demandada no realizó una motivación, al haberse limitado únicamente a citar que otras personas ostentaban ya la caseta, pero sin hacer una valoración correcta de las pruebas; además de haber soslayado exponer como fue que arribó a la conclusión de que los dictámenes realizados a favor de los terceros tenían validez plena y la solicitud hecha por la actora resultaba improcedente; pues el recurrente, fue omiso en relacionar que contrario a lo afirmado por la Primera Instancia el referido dictamen si contiene la debida fundamentación y motivación, si se realizó la valoración de las pruebas, y se expusieron las razones del porqué se arribó a la conclusión de que los dictámenes realizados a favor de los terceros tenían validez plena y porqué la solicitud del actor fue improcedente.</w:t>
      </w:r>
    </w:p>
    <w:p w:rsidR="006A5E19" w:rsidRDefault="006A5E19" w:rsidP="006A5E19">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sz w:val="26"/>
          <w:szCs w:val="26"/>
        </w:rPr>
        <w:tab/>
        <w:t>Aunado a esto, debe señalarse que si bien el recurrente arguye la falta de pronunciamiento por parte la Primera Instancia de manifestaciones expuestas por los terceros afectados, así como de las pruebas aportadas, haciendo referencia a los dictámenes</w:t>
      </w:r>
      <w:r w:rsidRPr="001E0EAE">
        <w:rPr>
          <w:rFonts w:ascii="Arial" w:hAnsi="Arial" w:cs="Arial"/>
          <w:sz w:val="26"/>
          <w:szCs w:val="26"/>
        </w:rPr>
        <w:t xml:space="preserve"> </w:t>
      </w:r>
      <w:r w:rsidR="00A05A17" w:rsidRPr="00A05A17">
        <w:rPr>
          <w:rFonts w:ascii="Arial" w:hAnsi="Arial" w:cs="Arial"/>
          <w:b/>
          <w:sz w:val="26"/>
          <w:szCs w:val="26"/>
        </w:rPr>
        <w:t>***********</w:t>
      </w:r>
      <w:r w:rsidRPr="00A05A17">
        <w:rPr>
          <w:rFonts w:ascii="Arial" w:hAnsi="Arial" w:cs="Arial"/>
          <w:b/>
          <w:sz w:val="26"/>
          <w:szCs w:val="26"/>
        </w:rPr>
        <w:t>;</w:t>
      </w:r>
      <w:r>
        <w:rPr>
          <w:rFonts w:ascii="Arial" w:hAnsi="Arial" w:cs="Arial"/>
          <w:sz w:val="26"/>
          <w:szCs w:val="26"/>
        </w:rPr>
        <w:t xml:space="preserve"> al respecto del análisis a las constancias que integran el expediente natural a las que ya se les ha otorgado pleno valor probatorio,</w:t>
      </w:r>
      <w:r>
        <w:rPr>
          <w:rFonts w:ascii="Arial" w:hAnsi="Arial" w:cs="Arial"/>
          <w:bCs/>
          <w:sz w:val="26"/>
          <w:szCs w:val="26"/>
          <w:lang w:val="es-MX"/>
        </w:rPr>
        <w:t xml:space="preserve"> se advierte que las manifestaciones realizadas por los terceros afecta</w:t>
      </w:r>
      <w:r w:rsidR="00DB78EB">
        <w:rPr>
          <w:rFonts w:ascii="Arial" w:hAnsi="Arial" w:cs="Arial"/>
          <w:bCs/>
          <w:sz w:val="26"/>
          <w:szCs w:val="26"/>
          <w:lang w:val="es-MX"/>
        </w:rPr>
        <w:t>do</w:t>
      </w:r>
      <w:r>
        <w:rPr>
          <w:rFonts w:ascii="Arial" w:hAnsi="Arial" w:cs="Arial"/>
          <w:bCs/>
          <w:sz w:val="26"/>
          <w:szCs w:val="26"/>
          <w:lang w:val="es-MX"/>
        </w:rPr>
        <w:t>s se dirigieron esencialmente a pretender demostrar la improcedencia del juicio, sin emitir alegación alguna encaminada a controvertir la legalidad del dictamen impugnado por el actor; además que los dictámenes indicado</w:t>
      </w:r>
      <w:r w:rsidR="005F1A85">
        <w:rPr>
          <w:rFonts w:ascii="Arial" w:hAnsi="Arial" w:cs="Arial"/>
          <w:bCs/>
          <w:sz w:val="26"/>
          <w:szCs w:val="26"/>
          <w:lang w:val="es-MX"/>
        </w:rPr>
        <w:t>s</w:t>
      </w:r>
      <w:r>
        <w:rPr>
          <w:rFonts w:ascii="Arial" w:hAnsi="Arial" w:cs="Arial"/>
          <w:bCs/>
          <w:sz w:val="26"/>
          <w:szCs w:val="26"/>
          <w:lang w:val="es-MX"/>
        </w:rPr>
        <w:t>, no fueron ofrecidos como pruebas y menos exhibidos por alguna de las partes, para que en su caso hubiesen sido analizados.</w:t>
      </w:r>
    </w:p>
    <w:p w:rsidR="006A5E19" w:rsidRDefault="006A5E19" w:rsidP="006A5E19">
      <w:pPr>
        <w:widowControl w:val="0"/>
        <w:tabs>
          <w:tab w:val="left" w:pos="0"/>
        </w:tabs>
        <w:spacing w:before="240" w:after="0" w:line="360" w:lineRule="auto"/>
        <w:ind w:right="18"/>
        <w:jc w:val="both"/>
        <w:rPr>
          <w:rFonts w:ascii="Arial" w:eastAsia="Times New Roman" w:hAnsi="Arial"/>
          <w:color w:val="000000" w:themeColor="text1"/>
          <w:sz w:val="26"/>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rsidR="006A5E19" w:rsidRDefault="006A5E19" w:rsidP="006A5E19">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 xml:space="preserve">Si el recurrente no formula ninguna objeción contra el considerando que rige el sentido </w:t>
      </w:r>
      <w:r>
        <w:rPr>
          <w:rFonts w:ascii="Arial" w:eastAsia="Times New Roman" w:hAnsi="Arial"/>
          <w:i/>
          <w:color w:val="000000" w:themeColor="text1"/>
          <w:sz w:val="24"/>
          <w:szCs w:val="24"/>
          <w:lang w:val="es-MX"/>
        </w:rPr>
        <w:lastRenderedPageBreak/>
        <w:t>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6A5E19" w:rsidRDefault="005922C8" w:rsidP="006A5E19">
      <w:pPr>
        <w:tabs>
          <w:tab w:val="left" w:pos="1197"/>
        </w:tabs>
        <w:spacing w:before="240" w:line="360" w:lineRule="auto"/>
        <w:ind w:firstLine="708"/>
        <w:jc w:val="both"/>
        <w:rPr>
          <w:rFonts w:ascii="Arial" w:hAnsi="Arial" w:cs="Arial"/>
          <w:sz w:val="26"/>
          <w:szCs w:val="26"/>
        </w:rPr>
      </w:pPr>
      <w:r>
        <w:rPr>
          <w:rFonts w:ascii="Arial" w:eastAsia="Calibri" w:hAnsi="Arial" w:cs="Arial"/>
          <w:b/>
          <w:bCs/>
          <w:sz w:val="26"/>
          <w:szCs w:val="26"/>
        </w:rPr>
        <w:t xml:space="preserve">QUINTO. </w:t>
      </w:r>
      <w:r w:rsidR="00891F87">
        <w:rPr>
          <w:rFonts w:ascii="Arial" w:eastAsia="Calibri" w:hAnsi="Arial" w:cs="Arial"/>
          <w:bCs/>
          <w:sz w:val="26"/>
          <w:szCs w:val="26"/>
        </w:rPr>
        <w:t xml:space="preserve">Se </w:t>
      </w:r>
      <w:r w:rsidR="00B220BE">
        <w:rPr>
          <w:rFonts w:ascii="Arial" w:eastAsia="Calibri" w:hAnsi="Arial" w:cs="Arial"/>
          <w:bCs/>
          <w:sz w:val="26"/>
          <w:szCs w:val="26"/>
        </w:rPr>
        <w:t>continúa</w:t>
      </w:r>
      <w:r w:rsidR="00891F87">
        <w:rPr>
          <w:rFonts w:ascii="Arial" w:eastAsia="Calibri" w:hAnsi="Arial" w:cs="Arial"/>
          <w:bCs/>
          <w:sz w:val="26"/>
          <w:szCs w:val="26"/>
        </w:rPr>
        <w:t xml:space="preserve"> </w:t>
      </w:r>
      <w:r>
        <w:rPr>
          <w:rFonts w:ascii="Arial" w:eastAsia="Calibri" w:hAnsi="Arial" w:cs="Arial"/>
          <w:bCs/>
          <w:sz w:val="26"/>
          <w:szCs w:val="26"/>
        </w:rPr>
        <w:t xml:space="preserve">con el análisis </w:t>
      </w:r>
      <w:r>
        <w:rPr>
          <w:rFonts w:ascii="Arial" w:hAnsi="Arial" w:cs="Arial"/>
          <w:bCs/>
          <w:sz w:val="26"/>
          <w:szCs w:val="26"/>
        </w:rPr>
        <w:t xml:space="preserve">de los agravios planteados por </w:t>
      </w:r>
      <w:r w:rsidR="006A5E19">
        <w:rPr>
          <w:rFonts w:ascii="Arial" w:eastAsia="Calibri" w:hAnsi="Arial" w:cs="Arial"/>
          <w:bCs/>
          <w:sz w:val="26"/>
          <w:szCs w:val="26"/>
        </w:rPr>
        <w:t xml:space="preserve">los terceros afectados </w:t>
      </w:r>
      <w:r w:rsidR="00A05A17" w:rsidRPr="00A05A17">
        <w:rPr>
          <w:rFonts w:ascii="Arial" w:hAnsi="Arial" w:cs="Arial"/>
          <w:b/>
          <w:sz w:val="26"/>
          <w:szCs w:val="26"/>
        </w:rPr>
        <w:t>**********</w:t>
      </w:r>
      <w:r w:rsidR="006A5E19" w:rsidRPr="00A05A17">
        <w:rPr>
          <w:rFonts w:ascii="Arial" w:hAnsi="Arial" w:cs="Arial"/>
          <w:b/>
          <w:sz w:val="26"/>
          <w:szCs w:val="26"/>
        </w:rPr>
        <w:t>,</w:t>
      </w:r>
      <w:r w:rsidR="006A5E19">
        <w:rPr>
          <w:rFonts w:ascii="Arial" w:hAnsi="Arial" w:cs="Arial"/>
          <w:sz w:val="26"/>
          <w:szCs w:val="26"/>
        </w:rPr>
        <w:t xml:space="preserve"> quienes arguyen la falta de análisis de la Primera Instancia de las causales de improcedencia que fueron planteadas en sus escritos de contestación a la demanda, consistentes en la falta de interés jurídico y legítimo de la actora para accionar en el asunto.</w:t>
      </w:r>
    </w:p>
    <w:p w:rsidR="006A5E19" w:rsidRDefault="006A5E19" w:rsidP="006A5E19">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Asiste razón a los recurrentes en sus alegaciones, pues del </w:t>
      </w:r>
      <w:r>
        <w:rPr>
          <w:rFonts w:ascii="Arial" w:hAnsi="Arial" w:cs="Arial"/>
          <w:sz w:val="26"/>
          <w:szCs w:val="26"/>
        </w:rPr>
        <w:t xml:space="preserve">análisis a las constancias que integran el expediente natural a las que por tratarse de actuaciones judiciales, tiene pleno valor probatorio de conformidad con lo dispuesto por </w:t>
      </w:r>
      <w:r w:rsidRPr="00403CFB">
        <w:rPr>
          <w:rFonts w:ascii="Arial" w:hAnsi="Arial" w:cs="Arial"/>
          <w:bCs/>
          <w:sz w:val="26"/>
          <w:szCs w:val="26"/>
          <w:lang w:val="es-MX"/>
        </w:rPr>
        <w:t>el artículo 203 fracción I</w:t>
      </w:r>
      <w:r>
        <w:rPr>
          <w:rStyle w:val="Refdenotaalpie"/>
          <w:rFonts w:ascii="Arial" w:hAnsi="Arial" w:cs="Arial"/>
          <w:bCs/>
          <w:sz w:val="26"/>
          <w:szCs w:val="26"/>
          <w:lang w:val="es-MX"/>
        </w:rPr>
        <w:footnoteReference w:id="1"/>
      </w:r>
      <w:r w:rsidRPr="00403CFB">
        <w:rPr>
          <w:rFonts w:ascii="Arial" w:hAnsi="Arial" w:cs="Arial"/>
          <w:bCs/>
          <w:sz w:val="26"/>
          <w:szCs w:val="26"/>
          <w:lang w:val="es-MX"/>
        </w:rPr>
        <w:t xml:space="preserve"> de la Ley de Procedimiento y Justicia Administ</w:t>
      </w:r>
      <w:r>
        <w:rPr>
          <w:rFonts w:ascii="Arial" w:hAnsi="Arial" w:cs="Arial"/>
          <w:bCs/>
          <w:sz w:val="26"/>
          <w:szCs w:val="26"/>
          <w:lang w:val="es-MX"/>
        </w:rPr>
        <w:t>rativa para el Estado de Oaxaca;</w:t>
      </w:r>
      <w:r>
        <w:rPr>
          <w:rFonts w:ascii="Arial" w:eastAsia="Calibri" w:hAnsi="Arial" w:cs="Arial"/>
          <w:bCs/>
          <w:sz w:val="26"/>
          <w:szCs w:val="26"/>
        </w:rPr>
        <w:t xml:space="preserve"> se advierte:</w:t>
      </w:r>
    </w:p>
    <w:p w:rsidR="006A5E19" w:rsidRDefault="006A5E19" w:rsidP="006A5E19">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Que los aquí recurrentes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por escritos de veintiséis de noviembre de dos mil diecisiete, (agregados a folios 99 a 109 y 133 a 143 del expediente natural) se apersonaron al juicio con el carácter de terceros afectados, dando contestación a la demandada interpuesta por la actora, y en la que realizaron diversas alegaciones al respecto de la improcedencia del juicio, al considerar que se actualiza la causal prevista por el artículo 161 fracción I de la Ley de Procedimiento y Justicia Administrativa, porque la actora carece de interés jurídico y legítimo.</w:t>
      </w:r>
    </w:p>
    <w:p w:rsidR="006A5E19" w:rsidRDefault="006A5E19" w:rsidP="006A5E19">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Las alegaciones que realizaron los terceros afectados, para sostener su consideración de la causal de improcedencia que dicen se actualiza, fueron ignoradas por la Primera Instancian al realizar el estudios de las causales de improcedencia y sobreseimiento, pues </w:t>
      </w:r>
      <w:r>
        <w:rPr>
          <w:rFonts w:ascii="Arial" w:eastAsia="Calibri" w:hAnsi="Arial" w:cs="Arial"/>
          <w:bCs/>
          <w:sz w:val="26"/>
          <w:szCs w:val="26"/>
        </w:rPr>
        <w:lastRenderedPageBreak/>
        <w:t>únicamente se concretó a señalar que “</w:t>
      </w:r>
      <w:r w:rsidRPr="00C95EFF">
        <w:rPr>
          <w:rFonts w:ascii="Arial" w:eastAsia="Calibri" w:hAnsi="Arial" w:cs="Arial"/>
          <w:bCs/>
          <w:i/>
          <w:sz w:val="24"/>
          <w:szCs w:val="24"/>
        </w:rPr>
        <w:t>al estudio integral de la demanda y a los artículos de referencia, esta Primera Sala de Primera Instancia del Tribunal de Justicia Administrativa para el Estado de Oaxaca, advierte que no se configura alguna causal de improcedencia o sobreseimiento…</w:t>
      </w:r>
      <w:r>
        <w:rPr>
          <w:rFonts w:ascii="Arial" w:eastAsia="Calibri" w:hAnsi="Arial" w:cs="Arial"/>
          <w:bCs/>
          <w:sz w:val="26"/>
          <w:szCs w:val="26"/>
        </w:rPr>
        <w:t>”, ello sin realizar pronunciamiento alguno de las alegaciones planteadas por los terceros afectados.</w:t>
      </w:r>
    </w:p>
    <w:p w:rsidR="006A5E19" w:rsidRDefault="006A5E19" w:rsidP="006A5E19">
      <w:pPr>
        <w:spacing w:line="360" w:lineRule="auto"/>
        <w:ind w:firstLine="708"/>
        <w:jc w:val="both"/>
        <w:rPr>
          <w:rFonts w:ascii="Arial" w:hAnsi="Arial" w:cs="Arial"/>
          <w:sz w:val="26"/>
          <w:szCs w:val="26"/>
        </w:rPr>
      </w:pPr>
      <w:r>
        <w:rPr>
          <w:rFonts w:ascii="Arial" w:eastAsia="Calibri" w:hAnsi="Arial" w:cs="Arial"/>
          <w:bCs/>
          <w:sz w:val="26"/>
          <w:szCs w:val="26"/>
        </w:rPr>
        <w:t xml:space="preserve">Razón por la cual, ante la omisión de la Primera Instancia y con la finalidad de reparar el agravio </w:t>
      </w:r>
      <w:r>
        <w:rPr>
          <w:rFonts w:ascii="Arial" w:hAnsi="Arial" w:cs="Arial"/>
          <w:sz w:val="26"/>
          <w:szCs w:val="26"/>
        </w:rPr>
        <w:t xml:space="preserve">causado, esta Sala Superior </w:t>
      </w:r>
      <w:r w:rsidRPr="007E1BE6">
        <w:rPr>
          <w:rFonts w:ascii="Arial" w:hAnsi="Arial" w:cs="Arial"/>
          <w:b/>
          <w:sz w:val="26"/>
          <w:szCs w:val="26"/>
        </w:rPr>
        <w:t>reasume jurisdicción</w:t>
      </w:r>
      <w:r>
        <w:rPr>
          <w:rFonts w:ascii="Arial" w:hAnsi="Arial" w:cs="Arial"/>
          <w:sz w:val="26"/>
          <w:szCs w:val="26"/>
        </w:rPr>
        <w:t xml:space="preserve"> y procede al análisis de la cuestión omitida por la resolutora. Sirve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el Décimo Circuito, que aparece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 xml:space="preserve">octubre </w:t>
      </w:r>
      <w:r w:rsidRPr="008E7581">
        <w:rPr>
          <w:rFonts w:ascii="Arial" w:hAnsi="Arial" w:cs="Arial"/>
          <w:sz w:val="26"/>
          <w:szCs w:val="26"/>
        </w:rPr>
        <w:t xml:space="preserve">de </w:t>
      </w:r>
      <w:r>
        <w:rPr>
          <w:rFonts w:ascii="Arial" w:hAnsi="Arial" w:cs="Arial"/>
          <w:sz w:val="26"/>
          <w:szCs w:val="26"/>
        </w:rPr>
        <w:t>2005, materia Civil, novena época, (registro 177094) de rubro y texto siguientes:</w:t>
      </w:r>
    </w:p>
    <w:p w:rsidR="006A5E19" w:rsidRPr="009C0F2E" w:rsidRDefault="006A5E19" w:rsidP="006A5E19">
      <w:pPr>
        <w:spacing w:line="360" w:lineRule="auto"/>
        <w:ind w:left="1134" w:right="495"/>
        <w:jc w:val="both"/>
        <w:rPr>
          <w:rFonts w:ascii="Arial" w:hAnsi="Arial" w:cs="Arial"/>
          <w:sz w:val="24"/>
          <w:szCs w:val="24"/>
        </w:rPr>
      </w:pPr>
      <w:r>
        <w:rPr>
          <w:rFonts w:ascii="Arial" w:hAnsi="Arial" w:cs="Arial"/>
          <w:sz w:val="24"/>
          <w:szCs w:val="24"/>
        </w:rPr>
        <w:t>“</w:t>
      </w:r>
      <w:r w:rsidRPr="00B479EB">
        <w:rPr>
          <w:rFonts w:ascii="Arial" w:hAnsi="Arial" w:cs="Arial"/>
          <w:b/>
          <w:i/>
          <w:sz w:val="24"/>
          <w:szCs w:val="24"/>
        </w:rPr>
        <w:t xml:space="preserve">AGRAVIOS EN LA APELACIÓN. AL NO EXISTIR REENVÍO EL AD QUEM DEBE REASUMIR JURISDICCIÓN Y ABORDAR OFICIOSAMENTE SU ANÁLISIS, SIN QUE ELLO IMPLIQUE SUPLENCIA DE AQUÉLLOS. </w:t>
      </w:r>
      <w:r w:rsidRPr="00B479EB">
        <w:rPr>
          <w:rFonts w:ascii="Arial" w:hAnsi="Arial" w:cs="Arial"/>
          <w:i/>
          <w:sz w:val="24"/>
          <w:szCs w:val="24"/>
        </w:rPr>
        <w:t>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sidRPr="009C0F2E">
        <w:rPr>
          <w:rFonts w:ascii="Arial" w:hAnsi="Arial" w:cs="Arial"/>
          <w:sz w:val="24"/>
          <w:szCs w:val="24"/>
        </w:rPr>
        <w:t>.</w:t>
      </w:r>
      <w:r>
        <w:rPr>
          <w:rFonts w:ascii="Arial" w:hAnsi="Arial" w:cs="Arial"/>
          <w:sz w:val="24"/>
          <w:szCs w:val="24"/>
        </w:rPr>
        <w:t>”</w:t>
      </w:r>
    </w:p>
    <w:p w:rsidR="006A5E19" w:rsidRDefault="00A05A17" w:rsidP="006A5E19">
      <w:pPr>
        <w:spacing w:before="240" w:line="360" w:lineRule="auto"/>
        <w:ind w:firstLine="708"/>
        <w:jc w:val="both"/>
        <w:rPr>
          <w:rFonts w:ascii="Arial" w:eastAsia="Calibri" w:hAnsi="Arial" w:cs="Arial"/>
          <w:bCs/>
          <w:sz w:val="26"/>
          <w:szCs w:val="26"/>
        </w:rPr>
      </w:pPr>
      <w:r w:rsidRPr="00A05A17">
        <w:rPr>
          <w:rFonts w:ascii="Arial" w:hAnsi="Arial" w:cs="Arial"/>
          <w:b/>
          <w:bCs/>
          <w:sz w:val="26"/>
          <w:szCs w:val="26"/>
        </w:rPr>
        <w:t>***********</w:t>
      </w:r>
      <w:r w:rsidR="006A5E19" w:rsidRPr="00A05A17">
        <w:rPr>
          <w:rFonts w:ascii="Arial" w:eastAsia="Calibri" w:hAnsi="Arial" w:cs="Arial"/>
          <w:b/>
          <w:bCs/>
          <w:sz w:val="26"/>
          <w:szCs w:val="26"/>
        </w:rPr>
        <w:t>,</w:t>
      </w:r>
      <w:r w:rsidR="006A5E19">
        <w:rPr>
          <w:rFonts w:ascii="Arial" w:eastAsia="Calibri" w:hAnsi="Arial" w:cs="Arial"/>
          <w:bCs/>
          <w:sz w:val="26"/>
          <w:szCs w:val="26"/>
        </w:rPr>
        <w:t xml:space="preserve"> terceros afectados en el juicio natural, mediante escritos de veintiséis de noviembre de dos mil diecisiete, con el que se apersonaron al juicio, alegaron la actualización de la causal de improcedencia prevista por el artículo 161 fracción II de la Ley de Procedimiento y Justicia Administrativa para el Estado de Oaxaca, al estimar que la actora </w:t>
      </w:r>
      <w:r w:rsidRPr="00A05A17">
        <w:rPr>
          <w:rFonts w:ascii="Arial" w:eastAsia="Calibri" w:hAnsi="Arial" w:cs="Arial"/>
          <w:b/>
          <w:bCs/>
          <w:sz w:val="26"/>
          <w:szCs w:val="26"/>
        </w:rPr>
        <w:t>**********</w:t>
      </w:r>
      <w:r w:rsidR="006A5E19" w:rsidRPr="00A05A17">
        <w:rPr>
          <w:rFonts w:ascii="Arial" w:eastAsia="Calibri" w:hAnsi="Arial" w:cs="Arial"/>
          <w:b/>
          <w:bCs/>
          <w:sz w:val="26"/>
          <w:szCs w:val="26"/>
        </w:rPr>
        <w:t>,</w:t>
      </w:r>
      <w:r w:rsidR="006A5E19">
        <w:rPr>
          <w:rFonts w:ascii="Arial" w:eastAsia="Calibri" w:hAnsi="Arial" w:cs="Arial"/>
          <w:bCs/>
          <w:sz w:val="26"/>
          <w:szCs w:val="26"/>
        </w:rPr>
        <w:t xml:space="preserve"> carece de interés jurídico y legítimo; ello porque, demandó la nulidad del dictamen número </w:t>
      </w:r>
      <w:r w:rsidRPr="00A05A17">
        <w:rPr>
          <w:rFonts w:ascii="Arial" w:eastAsia="Calibri" w:hAnsi="Arial" w:cs="Arial"/>
          <w:b/>
          <w:bCs/>
          <w:sz w:val="26"/>
          <w:szCs w:val="26"/>
        </w:rPr>
        <w:t>**********</w:t>
      </w:r>
      <w:r w:rsidR="006A5E19">
        <w:rPr>
          <w:rFonts w:ascii="Arial" w:eastAsia="Calibri" w:hAnsi="Arial" w:cs="Arial"/>
          <w:bCs/>
          <w:sz w:val="26"/>
          <w:szCs w:val="26"/>
        </w:rPr>
        <w:t xml:space="preserve"> de doce de diciembre de dos mil diecisiete, dictado por la Comisión de Mercados y </w:t>
      </w:r>
      <w:r w:rsidR="006A5E19">
        <w:rPr>
          <w:rFonts w:ascii="Arial" w:eastAsia="Calibri" w:hAnsi="Arial" w:cs="Arial"/>
          <w:bCs/>
          <w:sz w:val="26"/>
          <w:szCs w:val="26"/>
        </w:rPr>
        <w:lastRenderedPageBreak/>
        <w:t xml:space="preserve">Vía Pública del Municipio de Oaxaca de Juárez, Oaxaca, en virtud de ser heredera de la señora </w:t>
      </w:r>
      <w:r w:rsidRPr="00A05A17">
        <w:rPr>
          <w:rFonts w:ascii="Arial" w:eastAsia="Calibri" w:hAnsi="Arial" w:cs="Arial"/>
          <w:b/>
          <w:bCs/>
          <w:sz w:val="26"/>
          <w:szCs w:val="26"/>
        </w:rPr>
        <w:t>**********</w:t>
      </w:r>
      <w:r w:rsidR="006A5E19" w:rsidRPr="00A05A17">
        <w:rPr>
          <w:rFonts w:ascii="Arial" w:eastAsia="Calibri" w:hAnsi="Arial" w:cs="Arial"/>
          <w:b/>
          <w:bCs/>
          <w:sz w:val="26"/>
          <w:szCs w:val="26"/>
        </w:rPr>
        <w:t>;</w:t>
      </w:r>
      <w:r w:rsidR="006A5E19">
        <w:rPr>
          <w:rFonts w:ascii="Arial" w:eastAsia="Calibri" w:hAnsi="Arial" w:cs="Arial"/>
          <w:bCs/>
          <w:sz w:val="26"/>
          <w:szCs w:val="26"/>
        </w:rPr>
        <w:t xml:space="preserve"> sin embargo, ello no le da el interés jurídico y legitimo para demanda</w:t>
      </w:r>
      <w:r w:rsidR="003D7321">
        <w:rPr>
          <w:rFonts w:ascii="Arial" w:eastAsia="Calibri" w:hAnsi="Arial" w:cs="Arial"/>
          <w:bCs/>
          <w:sz w:val="26"/>
          <w:szCs w:val="26"/>
        </w:rPr>
        <w:t>r</w:t>
      </w:r>
      <w:r w:rsidR="006A5E19">
        <w:rPr>
          <w:rFonts w:ascii="Arial" w:eastAsia="Calibri" w:hAnsi="Arial" w:cs="Arial"/>
          <w:bCs/>
          <w:sz w:val="26"/>
          <w:szCs w:val="26"/>
        </w:rPr>
        <w:t>; porque el dictamen impugnado, se resolvió porque la actora, no tiene derecho</w:t>
      </w:r>
      <w:r w:rsidR="003D7321">
        <w:rPr>
          <w:rFonts w:ascii="Arial" w:eastAsia="Calibri" w:hAnsi="Arial" w:cs="Arial"/>
          <w:bCs/>
          <w:sz w:val="26"/>
          <w:szCs w:val="26"/>
        </w:rPr>
        <w:t xml:space="preserve"> a adquirir mediante sucesión</w:t>
      </w:r>
      <w:r w:rsidR="006A5E19">
        <w:rPr>
          <w:rFonts w:ascii="Arial" w:eastAsia="Calibri" w:hAnsi="Arial" w:cs="Arial"/>
          <w:bCs/>
          <w:sz w:val="26"/>
          <w:szCs w:val="26"/>
        </w:rPr>
        <w:t xml:space="preserve"> las casetas, toda vez que, de conformidad con los artículos 86 fracción V del Bando de Policía y Gobierno del Municipio de Oaxaca, 41, 42, 43 y 44 del Reglamento de los Mercados Públicos de la ciudad de Oaxaca de Juárez, el derecho a suceder, le asiste a las personas que el concesionario designe para tal efecto, siendo la esposa e hijos y a la falta de ellos a la persona que haga vida marital, siempre que dependa económicamente de él y ante la falta de los anteriores, el concesionario debe formular una lista de cinco personas para sucederlo, quienes también deben de depender económicamente de él; lo anterior hace evidente la improcedencia del procedimiento administrativo, porque la actora refiere ser sobrina del </w:t>
      </w:r>
      <w:r w:rsidRPr="00A05A17">
        <w:rPr>
          <w:rFonts w:ascii="Arial" w:eastAsia="Calibri" w:hAnsi="Arial" w:cs="Arial"/>
          <w:b/>
          <w:bCs/>
          <w:sz w:val="26"/>
          <w:szCs w:val="26"/>
        </w:rPr>
        <w:t>************</w:t>
      </w:r>
      <w:r w:rsidR="006A5E19" w:rsidRPr="00A05A17">
        <w:rPr>
          <w:rFonts w:ascii="Arial" w:eastAsia="Calibri" w:hAnsi="Arial" w:cs="Arial"/>
          <w:b/>
          <w:bCs/>
          <w:sz w:val="26"/>
          <w:szCs w:val="26"/>
        </w:rPr>
        <w:t>,</w:t>
      </w:r>
      <w:r w:rsidR="006A5E19">
        <w:rPr>
          <w:rFonts w:ascii="Arial" w:eastAsia="Calibri" w:hAnsi="Arial" w:cs="Arial"/>
          <w:bCs/>
          <w:sz w:val="26"/>
          <w:szCs w:val="26"/>
        </w:rPr>
        <w:t xml:space="preserve"> por lo que de acuerdo a lo antes indicado, a ella no le asiste el derecho para suceder a su tío, máxime que lleva más de veinte años viviendo en la ciudad de México; que por ello carece de interés jurídico para demandar la nulidad del acto administrativo.</w:t>
      </w:r>
    </w:p>
    <w:p w:rsidR="006A5E19" w:rsidRDefault="006A5E19" w:rsidP="006A5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otra parte indican, que l</w:t>
      </w:r>
      <w:r w:rsidR="00946848">
        <w:rPr>
          <w:rFonts w:ascii="Arial" w:eastAsia="Calibri" w:hAnsi="Arial" w:cs="Arial"/>
          <w:bCs/>
          <w:sz w:val="26"/>
          <w:szCs w:val="26"/>
        </w:rPr>
        <w:t xml:space="preserve">a señora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hermana del señor Juan Francisco Moreno Cuevas, y madre de la accionante, tampoco tiene derecho a suceder al referido señor Francisco, porque dentro de las personas señaladas para suceder no se encuentran los hermanos, y sólo si hubiera dependido económicamente de él hubiese podido heredarlo y así haber entrado a su patrimonio los derechos de la concesión sobre las casetas, lo cual no sucede, porque nunca tuvo dentro su patrimonio las concesiones, y es por ello que la señora Elba del Rosario Paramo Morano, no justifica su derecho a suceder a su madre, al no haber estado las concesiones en poder de su madre.</w:t>
      </w:r>
    </w:p>
    <w:p w:rsidR="006A5E19" w:rsidRDefault="006A5E19" w:rsidP="006A5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Afirman también, que ellos mediante dictámenes </w:t>
      </w:r>
      <w:r w:rsidR="00A05A17" w:rsidRPr="00A05A17">
        <w:rPr>
          <w:rFonts w:ascii="Arial" w:hAnsi="Arial" w:cs="Arial"/>
          <w:b/>
          <w:sz w:val="26"/>
          <w:szCs w:val="26"/>
        </w:rPr>
        <w:t>***********</w:t>
      </w:r>
      <w:r w:rsidR="00073596">
        <w:rPr>
          <w:rFonts w:ascii="Arial" w:hAnsi="Arial" w:cs="Arial"/>
          <w:sz w:val="26"/>
          <w:szCs w:val="26"/>
        </w:rPr>
        <w:t xml:space="preserve"> de veintitrés de agosto y veintitrés de septiembre </w:t>
      </w:r>
      <w:r>
        <w:rPr>
          <w:rFonts w:ascii="Arial" w:eastAsia="Calibri" w:hAnsi="Arial" w:cs="Arial"/>
          <w:bCs/>
          <w:sz w:val="26"/>
          <w:szCs w:val="26"/>
        </w:rPr>
        <w:t xml:space="preserve">de 2016 dos mil dieciséis, respectivamente, se aprobó la regularización de las concesiones a </w:t>
      </w:r>
      <w:r w:rsidR="00A05A17">
        <w:rPr>
          <w:rFonts w:ascii="Arial" w:eastAsia="Calibri" w:hAnsi="Arial" w:cs="Arial"/>
          <w:bCs/>
          <w:sz w:val="26"/>
          <w:szCs w:val="26"/>
        </w:rPr>
        <w:t xml:space="preserve">su favor de las casetas fijas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número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ubicadas en el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con giro de ropa, novedades y perfumería, con números de cuenta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y que es por ello que la actora carece de interés jurídico para demandar la nulidad del dictamen número </w:t>
      </w:r>
      <w:r w:rsidR="00A05A17" w:rsidRPr="00A05A17">
        <w:rPr>
          <w:rFonts w:ascii="Arial" w:eastAsia="Calibri" w:hAnsi="Arial" w:cs="Arial"/>
          <w:b/>
          <w:bCs/>
          <w:sz w:val="26"/>
          <w:szCs w:val="26"/>
        </w:rPr>
        <w:t>**********</w:t>
      </w:r>
      <w:r w:rsidRPr="00A05A17">
        <w:rPr>
          <w:rFonts w:ascii="Arial" w:eastAsia="Calibri" w:hAnsi="Arial" w:cs="Arial"/>
          <w:b/>
          <w:bCs/>
          <w:sz w:val="26"/>
          <w:szCs w:val="26"/>
        </w:rPr>
        <w:t>.</w:t>
      </w:r>
    </w:p>
    <w:p w:rsidR="006A5E19" w:rsidRDefault="006A5E19" w:rsidP="006A5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Todas estas alegaciones son </w:t>
      </w:r>
      <w:r w:rsidRPr="005D7CD0">
        <w:rPr>
          <w:rFonts w:ascii="Arial" w:eastAsia="Calibri" w:hAnsi="Arial" w:cs="Arial"/>
          <w:b/>
          <w:bCs/>
          <w:sz w:val="26"/>
          <w:szCs w:val="26"/>
        </w:rPr>
        <w:t>ineficaces</w:t>
      </w:r>
      <w:r>
        <w:rPr>
          <w:rFonts w:ascii="Arial" w:eastAsia="Calibri" w:hAnsi="Arial" w:cs="Arial"/>
          <w:bCs/>
          <w:sz w:val="26"/>
          <w:szCs w:val="26"/>
        </w:rPr>
        <w:t xml:space="preserve"> para demostrar la falta de interés jurídico y legítimo de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para demandar la nulidad de dictamen número </w:t>
      </w:r>
      <w:r w:rsidR="00A05A17" w:rsidRPr="00A05A17">
        <w:rPr>
          <w:rFonts w:ascii="Arial" w:eastAsia="Calibri" w:hAnsi="Arial" w:cs="Arial"/>
          <w:b/>
          <w:bCs/>
          <w:sz w:val="26"/>
          <w:szCs w:val="26"/>
        </w:rPr>
        <w:t>**********</w:t>
      </w:r>
      <w:r>
        <w:rPr>
          <w:rFonts w:ascii="Arial" w:eastAsia="Calibri" w:hAnsi="Arial" w:cs="Arial"/>
          <w:bCs/>
          <w:sz w:val="26"/>
          <w:szCs w:val="26"/>
        </w:rPr>
        <w:t xml:space="preserve"> de doce de diciembre de dos mil diecisiete; porque sus manifestaciones se encamina a precisar que dicha accionante, no tiene derecho para obtener la concesión de las casetas fijas</w:t>
      </w:r>
      <w:r w:rsidR="00A05A17">
        <w:rPr>
          <w:rFonts w:ascii="Arial" w:eastAsia="Calibri" w:hAnsi="Arial" w:cs="Arial"/>
          <w:bCs/>
          <w:sz w:val="26"/>
          <w:szCs w:val="26"/>
        </w:rPr>
        <w:t xml:space="preserve">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número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ubicadas en el </w:t>
      </w:r>
      <w:r w:rsidR="00A05A17" w:rsidRPr="00A05A17">
        <w:rPr>
          <w:rFonts w:ascii="Arial" w:eastAsia="Calibri" w:hAnsi="Arial" w:cs="Arial"/>
          <w:b/>
          <w:bCs/>
          <w:sz w:val="26"/>
          <w:szCs w:val="26"/>
        </w:rPr>
        <w:t>*********</w:t>
      </w:r>
      <w:r w:rsidR="00A05A17">
        <w:rPr>
          <w:rFonts w:ascii="Arial" w:eastAsia="Calibri" w:hAnsi="Arial" w:cs="Arial"/>
          <w:bCs/>
          <w:sz w:val="26"/>
          <w:szCs w:val="26"/>
        </w:rPr>
        <w:t>”</w:t>
      </w:r>
      <w:r>
        <w:rPr>
          <w:rFonts w:ascii="Arial" w:eastAsia="Calibri" w:hAnsi="Arial" w:cs="Arial"/>
          <w:bCs/>
          <w:sz w:val="26"/>
          <w:szCs w:val="26"/>
        </w:rPr>
        <w:t xml:space="preserve">, con giro de ropa, novedades y perfumería, con números de cuenta </w:t>
      </w:r>
      <w:r w:rsidR="00A05A17" w:rsidRPr="00A05A17">
        <w:rPr>
          <w:rFonts w:ascii="Arial" w:eastAsia="Calibri" w:hAnsi="Arial" w:cs="Arial"/>
          <w:b/>
          <w:bCs/>
          <w:sz w:val="26"/>
          <w:szCs w:val="26"/>
        </w:rPr>
        <w:t>**********</w:t>
      </w:r>
      <w:r w:rsidRPr="00A05A17">
        <w:rPr>
          <w:rFonts w:ascii="Arial" w:eastAsia="Calibri" w:hAnsi="Arial" w:cs="Arial"/>
          <w:b/>
          <w:bCs/>
          <w:sz w:val="26"/>
          <w:szCs w:val="26"/>
        </w:rPr>
        <w:t>.</w:t>
      </w:r>
    </w:p>
    <w:p w:rsidR="006A5E19" w:rsidRDefault="006A5E19" w:rsidP="006A5E19">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 xml:space="preserve">En cuanto a la falta de interés jurídico y legítimo, se establece que del análisis al dictamen número </w:t>
      </w:r>
      <w:r w:rsidR="00A05A17" w:rsidRPr="00A05A17">
        <w:rPr>
          <w:rFonts w:ascii="Arial" w:eastAsia="Calibri" w:hAnsi="Arial" w:cs="Arial"/>
          <w:b/>
          <w:bCs/>
          <w:sz w:val="26"/>
          <w:szCs w:val="26"/>
        </w:rPr>
        <w:t>**********</w:t>
      </w:r>
      <w:r>
        <w:rPr>
          <w:rFonts w:ascii="Arial" w:eastAsia="Calibri" w:hAnsi="Arial" w:cs="Arial"/>
          <w:bCs/>
          <w:sz w:val="26"/>
          <w:szCs w:val="26"/>
        </w:rPr>
        <w:t xml:space="preserve"> impugnado, se advierte que este fue emitido en base al procedimiento administrativo, que se inició ante la solicitud de </w:t>
      </w:r>
      <w:r w:rsidR="00A05A17" w:rsidRPr="00A05A17">
        <w:rPr>
          <w:rFonts w:ascii="Arial" w:eastAsia="Calibri" w:hAnsi="Arial" w:cs="Arial"/>
          <w:b/>
          <w:bCs/>
          <w:sz w:val="26"/>
          <w:szCs w:val="26"/>
        </w:rPr>
        <w:t>**********</w:t>
      </w:r>
      <w:r w:rsidRPr="00A05A17">
        <w:rPr>
          <w:rFonts w:ascii="Arial" w:eastAsia="Calibri" w:hAnsi="Arial" w:cs="Arial"/>
          <w:b/>
          <w:bCs/>
          <w:sz w:val="26"/>
          <w:szCs w:val="26"/>
        </w:rPr>
        <w:t>,</w:t>
      </w:r>
      <w:r>
        <w:rPr>
          <w:rFonts w:ascii="Arial" w:eastAsia="Calibri" w:hAnsi="Arial" w:cs="Arial"/>
          <w:bCs/>
          <w:sz w:val="26"/>
          <w:szCs w:val="26"/>
        </w:rPr>
        <w:t xml:space="preserve"> para que se le otorgará la sucesión de derechos de las casetas marcadas con los números doscientos cincuenta y siete y doscientos veintitrés en comento; dictamen en el</w:t>
      </w:r>
      <w:r w:rsidR="00AF6400">
        <w:rPr>
          <w:rFonts w:ascii="Arial" w:eastAsia="Calibri" w:hAnsi="Arial" w:cs="Arial"/>
          <w:bCs/>
          <w:sz w:val="26"/>
          <w:szCs w:val="26"/>
        </w:rPr>
        <w:t xml:space="preserve"> que se determinó improcedente </w:t>
      </w:r>
      <w:r>
        <w:rPr>
          <w:rFonts w:ascii="Arial" w:eastAsia="Calibri" w:hAnsi="Arial" w:cs="Arial"/>
          <w:bCs/>
          <w:sz w:val="26"/>
          <w:szCs w:val="26"/>
        </w:rPr>
        <w:t>l</w:t>
      </w:r>
      <w:r w:rsidR="00AF6400">
        <w:rPr>
          <w:rFonts w:ascii="Arial" w:eastAsia="Calibri" w:hAnsi="Arial" w:cs="Arial"/>
          <w:bCs/>
          <w:sz w:val="26"/>
          <w:szCs w:val="26"/>
        </w:rPr>
        <w:t>a</w:t>
      </w:r>
      <w:r>
        <w:rPr>
          <w:rFonts w:ascii="Arial" w:eastAsia="Calibri" w:hAnsi="Arial" w:cs="Arial"/>
          <w:bCs/>
          <w:sz w:val="26"/>
          <w:szCs w:val="26"/>
        </w:rPr>
        <w:t xml:space="preserve"> sucesión de derechos solicitada, por las razones ahí asentadas; por lo que, contrario a lo indicado por los terceros afectados, la actora, sí cuenta con el interés jurídico y legítimo para accionar en contra de dicho dictamen, pues este afecta su esfera jurídica, toda vez que, ella considera ti</w:t>
      </w:r>
      <w:r w:rsidR="006A1FC4">
        <w:rPr>
          <w:rFonts w:ascii="Arial" w:eastAsia="Calibri" w:hAnsi="Arial" w:cs="Arial"/>
          <w:bCs/>
          <w:sz w:val="26"/>
          <w:szCs w:val="26"/>
        </w:rPr>
        <w:t xml:space="preserve">ene el derecho a que le otorguen </w:t>
      </w:r>
      <w:r>
        <w:rPr>
          <w:rFonts w:ascii="Arial" w:eastAsia="Calibri" w:hAnsi="Arial" w:cs="Arial"/>
          <w:bCs/>
          <w:sz w:val="26"/>
          <w:szCs w:val="26"/>
        </w:rPr>
        <w:t xml:space="preserve">la sucesión que solicitó y al haberse determinado improcedente su petición, se le causó una afectación, que hoy demanda sea atendida, mediante el juicio de nulidad, cumpliendo así, lo estipulado por el </w:t>
      </w:r>
      <w:r>
        <w:rPr>
          <w:rFonts w:ascii="Arial" w:hAnsi="Arial" w:cs="Arial"/>
          <w:color w:val="000000"/>
          <w:sz w:val="26"/>
          <w:szCs w:val="26"/>
        </w:rPr>
        <w:t>artículo 164</w:t>
      </w:r>
      <w:r>
        <w:rPr>
          <w:rStyle w:val="Refdenotaalpie"/>
          <w:rFonts w:ascii="Arial" w:hAnsi="Arial" w:cs="Arial"/>
          <w:color w:val="000000"/>
          <w:sz w:val="26"/>
          <w:szCs w:val="26"/>
        </w:rPr>
        <w:footnoteReference w:id="2"/>
      </w:r>
      <w:r>
        <w:rPr>
          <w:rFonts w:ascii="Arial" w:hAnsi="Arial" w:cs="Arial"/>
          <w:color w:val="000000"/>
          <w:sz w:val="26"/>
          <w:szCs w:val="26"/>
        </w:rPr>
        <w:t xml:space="preserve"> de la Ley de Procedimiento y Justicia Administrativa, que puntualmente precisa que en el juicio podrán intervenir las personas que tenga un interés jurídico o legítimo; siendo que en el caso la actora acredita dicho interés, con la emisión del acto que le negó su petición; siendo así incorrecto que se actualice la causal de improcedencia prevista por el artículo 161 fracción II</w:t>
      </w:r>
      <w:r>
        <w:rPr>
          <w:rStyle w:val="Refdenotaalpie"/>
          <w:rFonts w:ascii="Arial" w:hAnsi="Arial" w:cs="Arial"/>
          <w:color w:val="000000"/>
          <w:sz w:val="26"/>
          <w:szCs w:val="26"/>
        </w:rPr>
        <w:footnoteReference w:id="3"/>
      </w:r>
      <w:r>
        <w:rPr>
          <w:rFonts w:ascii="Arial" w:hAnsi="Arial" w:cs="Arial"/>
          <w:color w:val="000000"/>
          <w:sz w:val="26"/>
          <w:szCs w:val="26"/>
        </w:rPr>
        <w:t xml:space="preserve"> de la Ley citada; y por ello desacertado de sobresea el juicio como lo considerando los aquí recurrentes.</w:t>
      </w:r>
    </w:p>
    <w:p w:rsidR="006A5E19" w:rsidRPr="000D288E" w:rsidRDefault="006A5E19" w:rsidP="006A5E19">
      <w:pPr>
        <w:spacing w:before="240" w:line="360" w:lineRule="auto"/>
        <w:ind w:firstLine="709"/>
        <w:jc w:val="both"/>
        <w:rPr>
          <w:rFonts w:ascii="Arial" w:hAnsi="Arial" w:cs="Arial"/>
          <w:color w:val="000000"/>
          <w:sz w:val="26"/>
          <w:szCs w:val="26"/>
        </w:rPr>
      </w:pPr>
      <w:r>
        <w:rPr>
          <w:rFonts w:ascii="Arial" w:hAnsi="Arial" w:cs="Arial"/>
          <w:bCs/>
          <w:color w:val="000000" w:themeColor="text1"/>
          <w:sz w:val="26"/>
          <w:szCs w:val="26"/>
          <w:lang w:val="es-MX"/>
        </w:rPr>
        <w:t xml:space="preserve">Sirve de apoyo a lo anterior el criterio jurisprudencial, </w:t>
      </w:r>
      <w:r>
        <w:rPr>
          <w:rFonts w:ascii="Arial" w:eastAsia="Times New Roman" w:hAnsi="Arial"/>
          <w:color w:val="000000" w:themeColor="text1"/>
          <w:sz w:val="26"/>
          <w:szCs w:val="26"/>
          <w:lang w:val="es-MX"/>
        </w:rPr>
        <w:t xml:space="preserve">dictado por la Segunda Sala de la Suprema Corte de Justicia de la Nación, publicada en la Gaceta del Semanario Judicial de la Federación, en la Décima Época, </w:t>
      </w:r>
      <w:r w:rsidRPr="000D288E">
        <w:rPr>
          <w:rFonts w:ascii="Arial" w:hAnsi="Arial" w:cs="Arial"/>
          <w:color w:val="000000"/>
          <w:sz w:val="26"/>
          <w:szCs w:val="26"/>
        </w:rPr>
        <w:t>L</w:t>
      </w:r>
      <w:r>
        <w:rPr>
          <w:rFonts w:ascii="Arial" w:hAnsi="Arial" w:cs="Arial"/>
          <w:color w:val="000000"/>
          <w:sz w:val="26"/>
          <w:szCs w:val="26"/>
        </w:rPr>
        <w:t>ibro 64, Marzo de 2019, Tomo II, Página: 1598, materias común, de rubro y texto siguientes:</w:t>
      </w:r>
    </w:p>
    <w:p w:rsidR="006A5E19" w:rsidRPr="000D288E" w:rsidRDefault="006A5E19" w:rsidP="006A5E19">
      <w:pPr>
        <w:spacing w:before="240" w:line="360" w:lineRule="auto"/>
        <w:ind w:left="1134" w:right="616"/>
        <w:jc w:val="both"/>
        <w:rPr>
          <w:rFonts w:ascii="Arial" w:hAnsi="Arial" w:cs="Arial"/>
          <w:color w:val="000000"/>
          <w:sz w:val="26"/>
          <w:szCs w:val="26"/>
        </w:rPr>
      </w:pPr>
      <w:r>
        <w:rPr>
          <w:rFonts w:ascii="Arial" w:hAnsi="Arial" w:cs="Arial"/>
          <w:color w:val="000000"/>
          <w:sz w:val="26"/>
          <w:szCs w:val="26"/>
        </w:rPr>
        <w:lastRenderedPageBreak/>
        <w:t>“</w:t>
      </w:r>
      <w:r w:rsidRPr="000D288E">
        <w:rPr>
          <w:rFonts w:ascii="Arial" w:hAnsi="Arial" w:cs="Arial"/>
          <w:b/>
          <w:i/>
          <w:color w:val="000000"/>
        </w:rPr>
        <w:t>INTERÉS LEGÍTIMO E INTERÉS JURÍDICO. SUS ELEMENTOS CONSTITUTIVOS COMO REQUISITOS PARA PROMOVER EL JUICIO DE AMPARO INDIRECTO, CONFORME AL ARTÍCULO 107, FRACCIÓN I, DE LA CONSTITUCIÓN POLÍTICA DE LOS ESTADOS UNIDOS MEXICANOS</w:t>
      </w:r>
      <w:r w:rsidRPr="000D288E">
        <w:rPr>
          <w:rFonts w:ascii="Arial" w:hAnsi="Arial" w:cs="Arial"/>
          <w:i/>
          <w:color w:val="000000"/>
          <w:sz w:val="26"/>
          <w:szCs w:val="26"/>
        </w:rPr>
        <w:t xml:space="preserve">. </w:t>
      </w:r>
      <w:r w:rsidRPr="000D288E">
        <w:rPr>
          <w:rFonts w:ascii="Arial" w:hAnsi="Arial" w:cs="Arial"/>
          <w:i/>
          <w:color w:val="000000"/>
          <w:sz w:val="24"/>
          <w:szCs w:val="24"/>
        </w:rPr>
        <w:t>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w:t>
      </w:r>
      <w:r>
        <w:rPr>
          <w:rFonts w:ascii="Arial" w:hAnsi="Arial" w:cs="Arial"/>
          <w:color w:val="000000"/>
          <w:sz w:val="26"/>
          <w:szCs w:val="26"/>
        </w:rPr>
        <w:t>”</w:t>
      </w:r>
    </w:p>
    <w:p w:rsidR="006A5E19" w:rsidRDefault="006A5E19" w:rsidP="006A5E19">
      <w:pPr>
        <w:spacing w:before="240" w:line="360" w:lineRule="auto"/>
        <w:ind w:firstLine="708"/>
        <w:jc w:val="both"/>
        <w:rPr>
          <w:rFonts w:ascii="Arial" w:eastAsia="Calibri" w:hAnsi="Arial" w:cs="Arial"/>
          <w:bCs/>
          <w:sz w:val="26"/>
          <w:szCs w:val="26"/>
        </w:rPr>
      </w:pPr>
      <w:r>
        <w:rPr>
          <w:rFonts w:ascii="Arial" w:hAnsi="Arial" w:cs="Arial"/>
          <w:bCs/>
          <w:sz w:val="26"/>
          <w:szCs w:val="26"/>
        </w:rPr>
        <w:t xml:space="preserve">Por otra parte en sus restantes agravios, en esencia alegan que en los procedimientos administrativos que concluyó con los dictámenes </w:t>
      </w:r>
      <w:r w:rsidR="00B020E9" w:rsidRPr="00B020E9">
        <w:rPr>
          <w:rFonts w:ascii="Arial" w:hAnsi="Arial" w:cs="Arial"/>
          <w:b/>
          <w:sz w:val="26"/>
          <w:szCs w:val="26"/>
        </w:rPr>
        <w:t>***********</w:t>
      </w:r>
      <w:r w:rsidRPr="00B020E9">
        <w:rPr>
          <w:rFonts w:ascii="Arial" w:eastAsia="Calibri" w:hAnsi="Arial" w:cs="Arial"/>
          <w:b/>
          <w:bCs/>
          <w:sz w:val="26"/>
          <w:szCs w:val="26"/>
        </w:rPr>
        <w:t>,</w:t>
      </w:r>
      <w:r>
        <w:rPr>
          <w:rFonts w:ascii="Arial" w:eastAsia="Calibri" w:hAnsi="Arial" w:cs="Arial"/>
          <w:bCs/>
          <w:sz w:val="26"/>
          <w:szCs w:val="26"/>
        </w:rPr>
        <w:t xml:space="preserve"> fue un trámite de regularización de concesionarios, en los que </w:t>
      </w:r>
      <w:r w:rsidR="00B020E9" w:rsidRPr="00B020E9">
        <w:rPr>
          <w:rFonts w:ascii="Arial" w:eastAsia="Calibri" w:hAnsi="Arial" w:cs="Arial"/>
          <w:b/>
          <w:bCs/>
          <w:sz w:val="26"/>
          <w:szCs w:val="26"/>
        </w:rPr>
        <w:t>***********</w:t>
      </w:r>
      <w:r w:rsidRPr="00B020E9">
        <w:rPr>
          <w:rFonts w:ascii="Arial" w:eastAsia="Calibri" w:hAnsi="Arial" w:cs="Arial"/>
          <w:b/>
          <w:bCs/>
          <w:sz w:val="26"/>
          <w:szCs w:val="26"/>
        </w:rPr>
        <w:t>,</w:t>
      </w:r>
      <w:r>
        <w:rPr>
          <w:rFonts w:ascii="Arial" w:eastAsia="Calibri" w:hAnsi="Arial" w:cs="Arial"/>
          <w:bCs/>
          <w:sz w:val="26"/>
          <w:szCs w:val="26"/>
        </w:rPr>
        <w:t xml:space="preserve"> obtuvieron su concesión, cumpliendo todos los requisitos, siendo el procedimiento, un trámite administrativo que permite que una </w:t>
      </w:r>
      <w:r>
        <w:rPr>
          <w:rFonts w:ascii="Arial" w:eastAsia="Calibri" w:hAnsi="Arial" w:cs="Arial"/>
          <w:bCs/>
          <w:sz w:val="26"/>
          <w:szCs w:val="26"/>
        </w:rPr>
        <w:lastRenderedPageBreak/>
        <w:t xml:space="preserve">concesión se pueda otorgar a las personas que justifique tener la posesión; que los dictámenes indicados ya quedaron firmes al no haber sido impugnados por la actora; y que la determinación de nulidad emitida hacía el diverso dictamen </w:t>
      </w:r>
      <w:r w:rsidR="00B020E9" w:rsidRPr="00B020E9">
        <w:rPr>
          <w:rFonts w:ascii="Arial" w:eastAsia="Calibri" w:hAnsi="Arial" w:cs="Arial"/>
          <w:b/>
          <w:bCs/>
          <w:sz w:val="26"/>
          <w:szCs w:val="26"/>
        </w:rPr>
        <w:t>***********</w:t>
      </w:r>
      <w:r w:rsidRPr="00B020E9">
        <w:rPr>
          <w:rFonts w:ascii="Arial" w:eastAsia="Calibri" w:hAnsi="Arial" w:cs="Arial"/>
          <w:b/>
          <w:bCs/>
          <w:sz w:val="26"/>
          <w:szCs w:val="26"/>
        </w:rPr>
        <w:t>,</w:t>
      </w:r>
      <w:r>
        <w:rPr>
          <w:rFonts w:ascii="Arial" w:eastAsia="Calibri" w:hAnsi="Arial" w:cs="Arial"/>
          <w:bCs/>
          <w:sz w:val="26"/>
          <w:szCs w:val="26"/>
        </w:rPr>
        <w:t xml:space="preserve"> afecta a los referidos dictámenes </w:t>
      </w:r>
      <w:r w:rsidR="00B020E9" w:rsidRPr="00B020E9">
        <w:rPr>
          <w:rFonts w:ascii="Arial" w:hAnsi="Arial" w:cs="Arial"/>
          <w:b/>
          <w:sz w:val="26"/>
          <w:szCs w:val="26"/>
        </w:rPr>
        <w:t>************</w:t>
      </w:r>
      <w:r w:rsidRPr="00B020E9">
        <w:rPr>
          <w:rFonts w:ascii="Arial" w:eastAsia="Calibri" w:hAnsi="Arial" w:cs="Arial"/>
          <w:b/>
          <w:bCs/>
          <w:sz w:val="26"/>
          <w:szCs w:val="26"/>
        </w:rPr>
        <w:t>.</w:t>
      </w:r>
    </w:p>
    <w:p w:rsidR="006A5E19" w:rsidRDefault="006A5E19" w:rsidP="006A5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Precisa que el hecho de que la demandante sea sobri</w:t>
      </w:r>
      <w:r w:rsidR="00C57AB3">
        <w:rPr>
          <w:rFonts w:ascii="Arial" w:eastAsia="Calibri" w:hAnsi="Arial" w:cs="Arial"/>
          <w:bCs/>
          <w:sz w:val="26"/>
          <w:szCs w:val="26"/>
        </w:rPr>
        <w:t>n</w:t>
      </w:r>
      <w:r>
        <w:rPr>
          <w:rFonts w:ascii="Arial" w:eastAsia="Calibri" w:hAnsi="Arial" w:cs="Arial"/>
          <w:bCs/>
          <w:sz w:val="26"/>
          <w:szCs w:val="26"/>
        </w:rPr>
        <w:t xml:space="preserve">a del señor </w:t>
      </w:r>
      <w:r w:rsidR="00B020E9" w:rsidRPr="00B020E9">
        <w:rPr>
          <w:rFonts w:ascii="Arial" w:eastAsia="Calibri" w:hAnsi="Arial" w:cs="Arial"/>
          <w:b/>
          <w:bCs/>
          <w:sz w:val="26"/>
          <w:szCs w:val="26"/>
        </w:rPr>
        <w:t>***********</w:t>
      </w:r>
      <w:r w:rsidRPr="00B020E9">
        <w:rPr>
          <w:rFonts w:ascii="Arial" w:eastAsia="Calibri" w:hAnsi="Arial" w:cs="Arial"/>
          <w:b/>
          <w:bCs/>
          <w:sz w:val="26"/>
          <w:szCs w:val="26"/>
        </w:rPr>
        <w:t>,</w:t>
      </w:r>
      <w:r>
        <w:rPr>
          <w:rFonts w:ascii="Arial" w:eastAsia="Calibri" w:hAnsi="Arial" w:cs="Arial"/>
          <w:bCs/>
          <w:sz w:val="26"/>
          <w:szCs w:val="26"/>
        </w:rPr>
        <w:t xml:space="preserve"> no le da derecho a reclamar la sucesión de su tío, porque de la lista de sucesores que establece el reglamento de los Mercados Públicos de la ciudad de Oaxaca, Oaxaca, no indica que tengan derecho los sobrinos o parientes colaterales dentro d</w:t>
      </w:r>
      <w:r w:rsidR="00CB75C0">
        <w:rPr>
          <w:rFonts w:ascii="Arial" w:eastAsia="Calibri" w:hAnsi="Arial" w:cs="Arial"/>
          <w:bCs/>
          <w:sz w:val="26"/>
          <w:szCs w:val="26"/>
        </w:rPr>
        <w:t>e</w:t>
      </w:r>
      <w:r>
        <w:rPr>
          <w:rFonts w:ascii="Arial" w:eastAsia="Calibri" w:hAnsi="Arial" w:cs="Arial"/>
          <w:bCs/>
          <w:sz w:val="26"/>
          <w:szCs w:val="26"/>
        </w:rPr>
        <w:t xml:space="preserve">l tercer grado, aunado a que dicha señora no dependió económicamente del señor Juan </w:t>
      </w:r>
      <w:r w:rsidR="00B020E9" w:rsidRPr="00B020E9">
        <w:rPr>
          <w:rFonts w:ascii="Arial" w:eastAsia="Calibri" w:hAnsi="Arial" w:cs="Arial"/>
          <w:b/>
          <w:bCs/>
          <w:sz w:val="26"/>
          <w:szCs w:val="26"/>
        </w:rPr>
        <w:t>**********</w:t>
      </w:r>
      <w:r w:rsidRPr="00B020E9">
        <w:rPr>
          <w:rFonts w:ascii="Arial" w:eastAsia="Calibri" w:hAnsi="Arial" w:cs="Arial"/>
          <w:b/>
          <w:bCs/>
          <w:sz w:val="26"/>
          <w:szCs w:val="26"/>
        </w:rPr>
        <w:t>,</w:t>
      </w:r>
      <w:r>
        <w:rPr>
          <w:rFonts w:ascii="Arial" w:eastAsia="Calibri" w:hAnsi="Arial" w:cs="Arial"/>
          <w:bCs/>
          <w:sz w:val="26"/>
          <w:szCs w:val="26"/>
        </w:rPr>
        <w:t xml:space="preserve"> careciendo por ello de interés jurídico y legítimo para accionar.</w:t>
      </w:r>
    </w:p>
    <w:p w:rsidR="006A5E19" w:rsidRDefault="006A5E19" w:rsidP="006A5E19">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Estas alegaciones son </w:t>
      </w:r>
      <w:r w:rsidRPr="00912D81">
        <w:rPr>
          <w:rFonts w:ascii="Arial" w:hAnsi="Arial" w:cs="Arial"/>
          <w:b/>
          <w:sz w:val="26"/>
          <w:szCs w:val="26"/>
        </w:rPr>
        <w:t>in</w:t>
      </w:r>
      <w:r>
        <w:rPr>
          <w:rFonts w:ascii="Arial" w:hAnsi="Arial" w:cs="Arial"/>
          <w:b/>
          <w:sz w:val="26"/>
          <w:szCs w:val="26"/>
        </w:rPr>
        <w:t>operantes</w:t>
      </w:r>
      <w:r>
        <w:rPr>
          <w:rFonts w:ascii="Arial" w:hAnsi="Arial" w:cs="Arial"/>
          <w:sz w:val="26"/>
          <w:szCs w:val="26"/>
        </w:rPr>
        <w:t xml:space="preserve">, al no controvertir la consideración toral de la Primera Instancia, para decretar la nulidad del dictamen impugnado, para el efecto de que se emita uno nuevo; consistente en que este carece de motivación y fundamentación, porque la demandada no realizó una motivación, al haberse limitado únicamente a citar que otras personas ostentaban ya la caseta, pero sin hacer una valoración correcta de las pruebas; además de haber soslayado exponer como fue que arribó a la conclusión de que los dictámenes realizados a favor de los terceros tenían validez plena y la solicitud hecha por la actora resultaba improcedente; pues el recurrente, fue omiso en relacionar que contrario a lo afirmado por la Primera Instancia el referido dictamen si contiene la debida fundamentación y motivación, si se realizó la valoración de las pruebas, y se expusieron las razones del porqué se arribó a la conclusión de que los dictámenes realizados a favor de los terceros tenían validez plena y porqué la solicitud del actor fue improcedente; concretándose únicamente a realizar diversas manifestaciones relacionadas con la legalidad de los dictámenes </w:t>
      </w:r>
      <w:r w:rsidR="00B020E9">
        <w:rPr>
          <w:rFonts w:ascii="Arial" w:hAnsi="Arial" w:cs="Arial"/>
          <w:sz w:val="26"/>
          <w:szCs w:val="26"/>
        </w:rPr>
        <w:t>***********</w:t>
      </w:r>
      <w:r>
        <w:rPr>
          <w:rFonts w:ascii="Arial" w:eastAsia="Calibri" w:hAnsi="Arial" w:cs="Arial"/>
          <w:bCs/>
          <w:sz w:val="26"/>
          <w:szCs w:val="26"/>
        </w:rPr>
        <w:t>.</w:t>
      </w:r>
    </w:p>
    <w:p w:rsidR="006A5E19" w:rsidRDefault="006A5E19" w:rsidP="006A5E19">
      <w:pPr>
        <w:widowControl w:val="0"/>
        <w:tabs>
          <w:tab w:val="left" w:pos="0"/>
        </w:tabs>
        <w:spacing w:before="240" w:after="0" w:line="360" w:lineRule="auto"/>
        <w:ind w:right="18"/>
        <w:jc w:val="both"/>
        <w:rPr>
          <w:rFonts w:ascii="Arial" w:eastAsia="Times New Roman" w:hAnsi="Arial"/>
          <w:color w:val="000000" w:themeColor="text1"/>
          <w:sz w:val="26"/>
          <w:szCs w:val="26"/>
          <w:lang w:val="es-MX"/>
        </w:rPr>
      </w:pPr>
      <w:r>
        <w:rPr>
          <w:rFonts w:ascii="Arial" w:hAnsi="Arial" w:cs="Arial"/>
          <w:sz w:val="26"/>
          <w:szCs w:val="26"/>
        </w:rPr>
        <w:tab/>
      </w: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rsidR="006A5E19" w:rsidRDefault="006A5E19" w:rsidP="006A5E19">
      <w:pPr>
        <w:spacing w:line="360" w:lineRule="auto"/>
        <w:ind w:left="1134" w:right="709"/>
        <w:jc w:val="both"/>
        <w:rPr>
          <w:rFonts w:ascii="Arial" w:hAnsi="Arial" w:cs="Arial"/>
          <w:bCs/>
          <w:i/>
          <w:color w:val="000000" w:themeColor="text1"/>
          <w:sz w:val="24"/>
          <w:szCs w:val="24"/>
          <w:lang w:val="es-MX"/>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 xml:space="preserve">Si el recurrente no formula ninguna objeción contra el considerando que rige el sentido del fallo y sólo hace el señalamiento de las disposiciones </w:t>
      </w:r>
      <w:r>
        <w:rPr>
          <w:rFonts w:ascii="Arial" w:eastAsia="Times New Roman" w:hAnsi="Arial"/>
          <w:i/>
          <w:color w:val="000000" w:themeColor="text1"/>
          <w:sz w:val="24"/>
          <w:szCs w:val="24"/>
          <w:lang w:val="es-MX"/>
        </w:rPr>
        <w:lastRenderedPageBreak/>
        <w:t>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AB2373" w:rsidRDefault="00AB2373" w:rsidP="006A5E19">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sidR="006A5E19" w:rsidRPr="006A5E19">
        <w:rPr>
          <w:rFonts w:ascii="Arial" w:eastAsia="Calibri" w:hAnsi="Arial" w:cs="Arial"/>
          <w:b/>
          <w:bCs/>
          <w:sz w:val="26"/>
          <w:szCs w:val="26"/>
        </w:rPr>
        <w:t>inoperante</w:t>
      </w:r>
      <w:r w:rsidR="006A5E19">
        <w:rPr>
          <w:rFonts w:ascii="Arial" w:eastAsia="Calibri" w:hAnsi="Arial" w:cs="Arial"/>
          <w:bCs/>
          <w:sz w:val="26"/>
          <w:szCs w:val="26"/>
        </w:rPr>
        <w:t xml:space="preserve"> e </w:t>
      </w:r>
      <w:r>
        <w:rPr>
          <w:rFonts w:ascii="Arial" w:eastAsia="Calibri" w:hAnsi="Arial" w:cs="Arial"/>
          <w:b/>
          <w:bCs/>
          <w:sz w:val="26"/>
          <w:szCs w:val="26"/>
        </w:rPr>
        <w:t>in</w:t>
      </w:r>
      <w:r w:rsidR="00891F87">
        <w:rPr>
          <w:rFonts w:ascii="Arial" w:eastAsia="Calibri" w:hAnsi="Arial" w:cs="Arial"/>
          <w:b/>
          <w:bCs/>
          <w:sz w:val="26"/>
          <w:szCs w:val="26"/>
        </w:rPr>
        <w:t xml:space="preserve">eficaz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y </w:t>
      </w:r>
      <w:r>
        <w:rPr>
          <w:rFonts w:ascii="Arial" w:hAnsi="Arial" w:cs="Arial"/>
          <w:sz w:val="26"/>
          <w:szCs w:val="26"/>
        </w:rPr>
        <w:t>con fundamento en los artículos 237 y 238 de la Ley de Procedimiento y Justicia Administrativa para el Estado, se:</w:t>
      </w:r>
    </w:p>
    <w:p w:rsidR="00AB2373" w:rsidRDefault="00AB2373" w:rsidP="00AB2373">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AB2373" w:rsidRDefault="00AB2373" w:rsidP="00AB2373">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antecede.- - - - - - - - - - - - - - - - - - - </w:t>
      </w:r>
    </w:p>
    <w:p w:rsidR="00A1489B" w:rsidRDefault="00AB2373" w:rsidP="00A1489B">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00A1489B" w:rsidRPr="007B1E95">
        <w:rPr>
          <w:rFonts w:ascii="Arial" w:hAnsi="Arial" w:cs="Arial"/>
          <w:b/>
          <w:sz w:val="26"/>
          <w:szCs w:val="26"/>
        </w:rPr>
        <w:t>N</w:t>
      </w:r>
      <w:r w:rsidR="00A1489B" w:rsidRPr="006E349D">
        <w:rPr>
          <w:rFonts w:ascii="Arial" w:hAnsi="Arial" w:cs="Arial"/>
          <w:b/>
          <w:sz w:val="26"/>
          <w:szCs w:val="26"/>
        </w:rPr>
        <w:t>OTIFÍQUESE</w:t>
      </w:r>
      <w:r w:rsidR="00A1489B">
        <w:rPr>
          <w:rFonts w:ascii="Arial" w:hAnsi="Arial" w:cs="Arial"/>
          <w:b/>
          <w:sz w:val="26"/>
          <w:szCs w:val="26"/>
        </w:rPr>
        <w:t xml:space="preserve"> Y CÚMPLASE</w:t>
      </w:r>
      <w:r w:rsidR="00A1489B" w:rsidRPr="006E349D">
        <w:rPr>
          <w:rFonts w:ascii="Arial" w:hAnsi="Arial" w:cs="Arial"/>
          <w:b/>
          <w:sz w:val="26"/>
          <w:szCs w:val="26"/>
        </w:rPr>
        <w:t>,</w:t>
      </w:r>
      <w:r w:rsidR="00A1489B" w:rsidRPr="006E349D">
        <w:rPr>
          <w:rFonts w:ascii="Arial" w:hAnsi="Arial" w:cs="Arial"/>
          <w:sz w:val="26"/>
          <w:szCs w:val="26"/>
        </w:rPr>
        <w:t xml:space="preserve"> </w:t>
      </w:r>
      <w:r w:rsidR="00A1489B">
        <w:rPr>
          <w:rFonts w:ascii="Arial" w:hAnsi="Arial" w:cs="Arial"/>
          <w:sz w:val="26"/>
          <w:szCs w:val="26"/>
        </w:rPr>
        <w:t>glósese copia certificada de la presente resolución al cuaderno de revisión 0</w:t>
      </w:r>
      <w:r w:rsidR="00891F87">
        <w:rPr>
          <w:rFonts w:ascii="Arial" w:hAnsi="Arial" w:cs="Arial"/>
          <w:sz w:val="26"/>
          <w:szCs w:val="26"/>
        </w:rPr>
        <w:t>273</w:t>
      </w:r>
      <w:r w:rsidR="00A1489B">
        <w:rPr>
          <w:rFonts w:ascii="Arial" w:hAnsi="Arial" w:cs="Arial"/>
          <w:sz w:val="26"/>
          <w:szCs w:val="26"/>
        </w:rPr>
        <w:t>/201</w:t>
      </w:r>
      <w:r w:rsidR="00891F87">
        <w:rPr>
          <w:rFonts w:ascii="Arial" w:hAnsi="Arial" w:cs="Arial"/>
          <w:sz w:val="26"/>
          <w:szCs w:val="26"/>
        </w:rPr>
        <w:t>9</w:t>
      </w:r>
      <w:r w:rsidR="00A1489B">
        <w:rPr>
          <w:rFonts w:ascii="Arial" w:hAnsi="Arial" w:cs="Arial"/>
          <w:sz w:val="26"/>
          <w:szCs w:val="26"/>
        </w:rPr>
        <w:t xml:space="preserve">, para los efectos legales a que haya lugar, y con copia certificada de la misma, vuelvan las constancias remitidas a la </w:t>
      </w:r>
      <w:r w:rsidR="00891F87">
        <w:rPr>
          <w:rFonts w:ascii="Arial" w:hAnsi="Arial" w:cs="Arial"/>
          <w:sz w:val="26"/>
          <w:szCs w:val="26"/>
        </w:rPr>
        <w:t xml:space="preserve">Primera </w:t>
      </w:r>
      <w:r w:rsidR="00A1489B">
        <w:rPr>
          <w:rFonts w:ascii="Arial" w:hAnsi="Arial" w:cs="Arial"/>
          <w:sz w:val="26"/>
          <w:szCs w:val="26"/>
        </w:rPr>
        <w:t xml:space="preserve">Sala Unitaria de Primera Instancia, </w:t>
      </w:r>
      <w:r w:rsidR="00A1489B" w:rsidRPr="00D81DA7">
        <w:rPr>
          <w:rFonts w:ascii="Arial" w:hAnsi="Arial" w:cs="Arial"/>
          <w:sz w:val="26"/>
          <w:szCs w:val="26"/>
        </w:rPr>
        <w:t>y en su oportunidad archívese el cuaderno de revisión como concluido.</w:t>
      </w:r>
    </w:p>
    <w:p w:rsidR="00AB2373" w:rsidRPr="00CB6405" w:rsidRDefault="00AB2373" w:rsidP="00A1489B">
      <w:pPr>
        <w:pStyle w:val="Sinespaciado"/>
        <w:spacing w:before="240"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w:t>
      </w:r>
      <w:r>
        <w:rPr>
          <w:rFonts w:ascii="Arial" w:hAnsi="Arial" w:cs="Arial"/>
          <w:b/>
          <w:sz w:val="26"/>
          <w:szCs w:val="26"/>
        </w:rPr>
        <w:t>ponente)</w:t>
      </w:r>
      <w:r w:rsidRPr="00027FE4">
        <w:rPr>
          <w:rFonts w:ascii="Arial" w:hAnsi="Arial" w:cs="Arial"/>
          <w:sz w:val="26"/>
          <w:szCs w:val="26"/>
        </w:rPr>
        <w:t>,</w:t>
      </w:r>
      <w:r w:rsidRPr="00CB6405">
        <w:rPr>
          <w:rFonts w:ascii="Arial" w:hAnsi="Arial" w:cs="Arial"/>
          <w:sz w:val="26"/>
          <w:szCs w:val="26"/>
        </w:rPr>
        <w:t xml:space="preserve"> </w:t>
      </w:r>
      <w:r>
        <w:rPr>
          <w:rFonts w:ascii="Arial" w:hAnsi="Arial" w:cs="Arial"/>
          <w:sz w:val="26"/>
          <w:szCs w:val="26"/>
        </w:rPr>
        <w:t xml:space="preserve">Manuel Velasco Alcántara, Raúl Palomares Palomino, Abraham Santiago Soriano y </w:t>
      </w:r>
      <w:r w:rsidRPr="00CB6405">
        <w:rPr>
          <w:rFonts w:ascii="Arial" w:hAnsi="Arial" w:cs="Arial"/>
          <w:sz w:val="26"/>
          <w:szCs w:val="26"/>
        </w:rPr>
        <w:t xml:space="preserve">Adrián Quiroga Avendaño; quienes actúan con la Licenciada </w:t>
      </w:r>
      <w:r>
        <w:rPr>
          <w:rFonts w:ascii="Arial" w:hAnsi="Arial" w:cs="Arial"/>
          <w:sz w:val="26"/>
          <w:szCs w:val="26"/>
        </w:rPr>
        <w:t>Felicitas Díaz Vazquez</w:t>
      </w:r>
      <w:r w:rsidRPr="00CB6405">
        <w:rPr>
          <w:rFonts w:ascii="Arial" w:hAnsi="Arial" w:cs="Arial"/>
          <w:sz w:val="26"/>
          <w:szCs w:val="26"/>
        </w:rPr>
        <w:t xml:space="preserve">, Secretaria General de Acuerdos de este Tribunal, que autoriza y da fe.- </w:t>
      </w:r>
    </w:p>
    <w:p w:rsidR="00AB2373" w:rsidRDefault="00AB2373" w:rsidP="00AB2373">
      <w:pPr>
        <w:spacing w:line="360" w:lineRule="auto"/>
        <w:jc w:val="center"/>
        <w:rPr>
          <w:rFonts w:ascii="Arial" w:hAnsi="Arial" w:cs="Arial"/>
          <w:sz w:val="26"/>
          <w:szCs w:val="26"/>
        </w:rPr>
      </w:pPr>
    </w:p>
    <w:p w:rsidR="00AB2373" w:rsidRDefault="00AB2373" w:rsidP="00AB2373">
      <w:pPr>
        <w:spacing w:line="360" w:lineRule="auto"/>
        <w:jc w:val="center"/>
        <w:rPr>
          <w:rFonts w:ascii="Arial" w:hAnsi="Arial" w:cs="Arial"/>
          <w:sz w:val="26"/>
          <w:szCs w:val="26"/>
        </w:rPr>
      </w:pPr>
      <w:r>
        <w:rPr>
          <w:rFonts w:ascii="Arial" w:hAnsi="Arial" w:cs="Arial"/>
          <w:sz w:val="26"/>
          <w:szCs w:val="26"/>
        </w:rPr>
        <w:t>MAGISTRADA MARÍA ELENA VILLA DE JARQUÍN</w:t>
      </w:r>
    </w:p>
    <w:p w:rsidR="00AB2373" w:rsidRDefault="00AB2373" w:rsidP="00AB2373">
      <w:pPr>
        <w:spacing w:line="360" w:lineRule="auto"/>
        <w:jc w:val="center"/>
        <w:rPr>
          <w:rFonts w:ascii="Arial" w:hAnsi="Arial" w:cs="Arial"/>
          <w:sz w:val="26"/>
          <w:szCs w:val="26"/>
        </w:rPr>
      </w:pPr>
      <w:r>
        <w:rPr>
          <w:rFonts w:ascii="Arial" w:hAnsi="Arial" w:cs="Arial"/>
          <w:sz w:val="26"/>
          <w:szCs w:val="26"/>
        </w:rPr>
        <w:t>PRESIDENTA</w:t>
      </w:r>
    </w:p>
    <w:p w:rsidR="00AB2373" w:rsidRDefault="00AB2373" w:rsidP="00AB2373">
      <w:pPr>
        <w:tabs>
          <w:tab w:val="left" w:pos="1680"/>
          <w:tab w:val="center" w:pos="4277"/>
        </w:tabs>
        <w:spacing w:line="360" w:lineRule="auto"/>
        <w:jc w:val="center"/>
        <w:rPr>
          <w:rFonts w:ascii="Arial" w:hAnsi="Arial" w:cs="Arial"/>
          <w:sz w:val="26"/>
          <w:szCs w:val="26"/>
        </w:rPr>
      </w:pPr>
    </w:p>
    <w:p w:rsidR="00AB2373" w:rsidRDefault="00AB2373" w:rsidP="00AB2373">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AB2373" w:rsidRDefault="00AB2373" w:rsidP="00AB2373">
      <w:pPr>
        <w:spacing w:line="360" w:lineRule="auto"/>
        <w:jc w:val="center"/>
        <w:rPr>
          <w:rFonts w:ascii="Arial" w:hAnsi="Arial" w:cs="Arial"/>
          <w:sz w:val="26"/>
          <w:szCs w:val="26"/>
        </w:rPr>
      </w:pPr>
    </w:p>
    <w:p w:rsidR="00AB2373" w:rsidRDefault="00AB2373" w:rsidP="00AB237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rsidR="00AB2373" w:rsidRDefault="00AB2373" w:rsidP="00AB2373">
      <w:pPr>
        <w:tabs>
          <w:tab w:val="center" w:pos="4135"/>
          <w:tab w:val="left" w:pos="7515"/>
        </w:tabs>
        <w:spacing w:line="360" w:lineRule="auto"/>
        <w:jc w:val="center"/>
        <w:rPr>
          <w:rFonts w:ascii="Arial" w:hAnsi="Arial" w:cs="Arial"/>
          <w:sz w:val="26"/>
          <w:szCs w:val="26"/>
        </w:rPr>
      </w:pPr>
    </w:p>
    <w:p w:rsidR="00AB2373" w:rsidRDefault="00AB2373" w:rsidP="00AB237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rsidR="00AB2373" w:rsidRDefault="00AB2373" w:rsidP="00AB2373">
      <w:pPr>
        <w:tabs>
          <w:tab w:val="center" w:pos="4135"/>
          <w:tab w:val="left" w:pos="7515"/>
        </w:tabs>
        <w:spacing w:line="360" w:lineRule="auto"/>
        <w:jc w:val="center"/>
        <w:rPr>
          <w:rFonts w:ascii="Arial" w:hAnsi="Arial" w:cs="Arial"/>
          <w:sz w:val="26"/>
          <w:szCs w:val="26"/>
        </w:rPr>
      </w:pPr>
    </w:p>
    <w:p w:rsidR="00AB2373" w:rsidRDefault="00AB2373" w:rsidP="00AB2373">
      <w:pPr>
        <w:spacing w:line="360" w:lineRule="auto"/>
        <w:jc w:val="center"/>
        <w:rPr>
          <w:rFonts w:ascii="Arial" w:hAnsi="Arial" w:cs="Arial"/>
          <w:sz w:val="26"/>
          <w:szCs w:val="26"/>
        </w:rPr>
      </w:pPr>
      <w:r>
        <w:rPr>
          <w:rFonts w:ascii="Arial" w:hAnsi="Arial" w:cs="Arial"/>
          <w:sz w:val="26"/>
          <w:szCs w:val="26"/>
        </w:rPr>
        <w:t>MAGISTRADO ADRIÁN QUIROGA AVENDAÑO</w:t>
      </w:r>
    </w:p>
    <w:p w:rsidR="00AB2373" w:rsidRDefault="00AB2373" w:rsidP="00AB2373">
      <w:pPr>
        <w:tabs>
          <w:tab w:val="center" w:pos="4135"/>
          <w:tab w:val="left" w:pos="7515"/>
        </w:tabs>
        <w:spacing w:line="360" w:lineRule="auto"/>
        <w:jc w:val="center"/>
        <w:rPr>
          <w:rFonts w:ascii="Arial" w:hAnsi="Arial" w:cs="Arial"/>
          <w:sz w:val="26"/>
          <w:szCs w:val="26"/>
        </w:rPr>
      </w:pPr>
    </w:p>
    <w:p w:rsidR="00AB2373" w:rsidRDefault="00AB2373" w:rsidP="00AB2373">
      <w:pPr>
        <w:tabs>
          <w:tab w:val="left" w:pos="1925"/>
          <w:tab w:val="center" w:pos="4135"/>
        </w:tabs>
        <w:jc w:val="center"/>
        <w:rPr>
          <w:rFonts w:ascii="Arial" w:hAnsi="Arial" w:cs="Arial"/>
          <w:sz w:val="26"/>
          <w:szCs w:val="26"/>
        </w:rPr>
      </w:pPr>
      <w:r>
        <w:rPr>
          <w:rFonts w:ascii="Arial" w:hAnsi="Arial" w:cs="Arial"/>
          <w:sz w:val="26"/>
          <w:szCs w:val="26"/>
        </w:rPr>
        <w:t>LCDA. FELICITAS DÍAZ VÁZQUEZ</w:t>
      </w:r>
    </w:p>
    <w:p w:rsidR="00AB2373" w:rsidRDefault="00AB2373" w:rsidP="00AB2373">
      <w:pPr>
        <w:jc w:val="center"/>
        <w:rPr>
          <w:sz w:val="26"/>
          <w:szCs w:val="26"/>
        </w:rPr>
      </w:pPr>
      <w:r>
        <w:rPr>
          <w:rFonts w:ascii="Arial" w:hAnsi="Arial" w:cs="Arial"/>
          <w:sz w:val="26"/>
          <w:szCs w:val="26"/>
        </w:rPr>
        <w:t>SECRETARIA GENERAL DE ACUERDOS</w:t>
      </w:r>
    </w:p>
    <w:sectPr w:rsidR="00AB2373"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B55" w:rsidRDefault="00B31B55">
      <w:pPr>
        <w:spacing w:after="0" w:line="240" w:lineRule="auto"/>
      </w:pPr>
      <w:r>
        <w:separator/>
      </w:r>
    </w:p>
  </w:endnote>
  <w:endnote w:type="continuationSeparator" w:id="0">
    <w:p w:rsidR="00B31B55" w:rsidRDefault="00B31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B55" w:rsidRDefault="00B31B55">
      <w:pPr>
        <w:spacing w:after="0" w:line="240" w:lineRule="auto"/>
      </w:pPr>
      <w:r>
        <w:separator/>
      </w:r>
    </w:p>
  </w:footnote>
  <w:footnote w:type="continuationSeparator" w:id="0">
    <w:p w:rsidR="00B31B55" w:rsidRDefault="00B31B55">
      <w:pPr>
        <w:spacing w:after="0" w:line="240" w:lineRule="auto"/>
      </w:pPr>
      <w:r>
        <w:continuationSeparator/>
      </w:r>
    </w:p>
  </w:footnote>
  <w:footnote w:id="1">
    <w:p w:rsidR="006A5E19" w:rsidRDefault="006A5E19" w:rsidP="006A5E19">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6A5E19" w:rsidRDefault="006A5E19" w:rsidP="006A5E19">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6A5E19" w:rsidRPr="00CE4666" w:rsidRDefault="006A5E19" w:rsidP="006A5E19">
      <w:pPr>
        <w:pStyle w:val="Textonotapie"/>
        <w:jc w:val="both"/>
        <w:rPr>
          <w:lang w:val="es-MX"/>
        </w:rPr>
      </w:pPr>
      <w:r>
        <w:rPr>
          <w:lang w:val="es-MX"/>
        </w:rPr>
        <w:t xml:space="preserve">   …”</w:t>
      </w:r>
    </w:p>
  </w:footnote>
  <w:footnote w:id="2">
    <w:p w:rsidR="006A5E19" w:rsidRPr="00B3025A" w:rsidRDefault="006A5E19" w:rsidP="006A5E19">
      <w:pPr>
        <w:pStyle w:val="Textonotapie"/>
        <w:jc w:val="both"/>
        <w:rPr>
          <w:lang w:val="es-MX"/>
        </w:rPr>
      </w:pPr>
      <w:r>
        <w:rPr>
          <w:rStyle w:val="Refdenotaalpie"/>
        </w:rPr>
        <w:footnoteRef/>
      </w:r>
      <w:r>
        <w:t xml:space="preserve"> </w:t>
      </w:r>
      <w:r>
        <w:rPr>
          <w:lang w:val="es-MX"/>
        </w:rPr>
        <w:t>“</w:t>
      </w:r>
      <w:r>
        <w:rPr>
          <w:b/>
          <w:lang w:val="es-MX"/>
        </w:rPr>
        <w:t xml:space="preserve">ARTÍCULO 164.- </w:t>
      </w:r>
      <w:r>
        <w:rPr>
          <w:lang w:val="es-MX"/>
        </w:rPr>
        <w:t>Sólo podrán demandar o intervenir en el juicio, las personas que tengan un interés jurídico o legítimo que funde su pretensión.”</w:t>
      </w:r>
    </w:p>
  </w:footnote>
  <w:footnote w:id="3">
    <w:p w:rsidR="006A5E19" w:rsidRDefault="006A5E19" w:rsidP="006A5E19">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Es improcedente el juicio ante el Tribunal contra actos:</w:t>
      </w:r>
    </w:p>
    <w:p w:rsidR="006A5E19" w:rsidRDefault="006A5E19" w:rsidP="006A5E19">
      <w:pPr>
        <w:pStyle w:val="Textonotapie"/>
        <w:rPr>
          <w:lang w:val="es-MX"/>
        </w:rPr>
      </w:pPr>
      <w:r>
        <w:rPr>
          <w:lang w:val="es-MX"/>
        </w:rPr>
        <w:t xml:space="preserve">   …</w:t>
      </w:r>
    </w:p>
    <w:p w:rsidR="006A5E19" w:rsidRDefault="006A5E19" w:rsidP="006A5E19">
      <w:pPr>
        <w:pStyle w:val="Textonotapie"/>
        <w:rPr>
          <w:lang w:val="es-MX"/>
        </w:rPr>
      </w:pPr>
      <w:r>
        <w:rPr>
          <w:lang w:val="es-MX"/>
        </w:rPr>
        <w:t xml:space="preserve">   II. Que no afecten los intereses jurídico o legítimos del actor;</w:t>
      </w:r>
    </w:p>
    <w:p w:rsidR="006A5E19" w:rsidRPr="00F241C3" w:rsidRDefault="006A5E19" w:rsidP="006A5E19">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120CBC" w:rsidP="00D25099">
        <w:pPr>
          <w:pStyle w:val="Encabezado"/>
          <w:jc w:val="center"/>
        </w:pPr>
        <w:r>
          <w:fldChar w:fldCharType="begin"/>
        </w:r>
        <w:r>
          <w:instrText>PAGE   \* MERGEFORMAT</w:instrText>
        </w:r>
        <w:r>
          <w:fldChar w:fldCharType="separate"/>
        </w:r>
        <w:r w:rsidR="002C7EDA">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2C7EDA">
          <w:rPr>
            <w:noProof/>
          </w:rPr>
          <w:t>9</w:t>
        </w:r>
        <w:r>
          <w:rPr>
            <w:noProof/>
          </w:rPr>
          <w:fldChar w:fldCharType="end"/>
        </w:r>
      </w:p>
      <w:p w:rsidR="00120CBC" w:rsidRDefault="00B31B55" w:rsidP="008C74CA">
        <w:pPr>
          <w:pStyle w:val="Encabezado"/>
          <w:jc w:val="center"/>
        </w:pPr>
      </w:p>
    </w:sdtContent>
  </w:sdt>
  <w:p w:rsidR="00120CBC" w:rsidRDefault="00120CBC" w:rsidP="00256B01">
    <w:pPr>
      <w:pStyle w:val="Encabezado"/>
      <w:jc w:val="center"/>
    </w:pPr>
  </w:p>
  <w:p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3A38"/>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5E98"/>
    <w:rsid w:val="0005701D"/>
    <w:rsid w:val="00057174"/>
    <w:rsid w:val="00057817"/>
    <w:rsid w:val="000579EA"/>
    <w:rsid w:val="00057DB1"/>
    <w:rsid w:val="000612E4"/>
    <w:rsid w:val="000616B5"/>
    <w:rsid w:val="00061CE8"/>
    <w:rsid w:val="0006431E"/>
    <w:rsid w:val="00067E31"/>
    <w:rsid w:val="00070777"/>
    <w:rsid w:val="00070B95"/>
    <w:rsid w:val="00073596"/>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97AFD"/>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88E"/>
    <w:rsid w:val="000D29A1"/>
    <w:rsid w:val="000D2FDE"/>
    <w:rsid w:val="000D595D"/>
    <w:rsid w:val="000E0AB1"/>
    <w:rsid w:val="000E12D3"/>
    <w:rsid w:val="000E218B"/>
    <w:rsid w:val="000E2E24"/>
    <w:rsid w:val="000E322A"/>
    <w:rsid w:val="000E3C08"/>
    <w:rsid w:val="000F00A6"/>
    <w:rsid w:val="000F018A"/>
    <w:rsid w:val="000F0F6A"/>
    <w:rsid w:val="000F3FF9"/>
    <w:rsid w:val="000F4134"/>
    <w:rsid w:val="000F54B0"/>
    <w:rsid w:val="000F5D12"/>
    <w:rsid w:val="000F61E2"/>
    <w:rsid w:val="000F62C3"/>
    <w:rsid w:val="000F7CF6"/>
    <w:rsid w:val="000F7D0F"/>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A3E"/>
    <w:rsid w:val="00126BA8"/>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0D8"/>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3E85"/>
    <w:rsid w:val="00194A88"/>
    <w:rsid w:val="00194C5C"/>
    <w:rsid w:val="0019600D"/>
    <w:rsid w:val="00197ACA"/>
    <w:rsid w:val="001A0089"/>
    <w:rsid w:val="001A14DC"/>
    <w:rsid w:val="001A2DD1"/>
    <w:rsid w:val="001A3755"/>
    <w:rsid w:val="001A5951"/>
    <w:rsid w:val="001A595A"/>
    <w:rsid w:val="001A5B4D"/>
    <w:rsid w:val="001A608E"/>
    <w:rsid w:val="001A626D"/>
    <w:rsid w:val="001A7299"/>
    <w:rsid w:val="001A7D56"/>
    <w:rsid w:val="001B1297"/>
    <w:rsid w:val="001B40F8"/>
    <w:rsid w:val="001B469D"/>
    <w:rsid w:val="001B59DA"/>
    <w:rsid w:val="001B6227"/>
    <w:rsid w:val="001C0740"/>
    <w:rsid w:val="001C085D"/>
    <w:rsid w:val="001C0F44"/>
    <w:rsid w:val="001C1FCF"/>
    <w:rsid w:val="001C3488"/>
    <w:rsid w:val="001C4AAC"/>
    <w:rsid w:val="001C6A1B"/>
    <w:rsid w:val="001D0A5A"/>
    <w:rsid w:val="001D2397"/>
    <w:rsid w:val="001D27A6"/>
    <w:rsid w:val="001D3995"/>
    <w:rsid w:val="001D3B81"/>
    <w:rsid w:val="001D68F4"/>
    <w:rsid w:val="001D694C"/>
    <w:rsid w:val="001D730F"/>
    <w:rsid w:val="001D7FCD"/>
    <w:rsid w:val="001E0EAE"/>
    <w:rsid w:val="001E1758"/>
    <w:rsid w:val="001E3B11"/>
    <w:rsid w:val="001E503D"/>
    <w:rsid w:val="001E631B"/>
    <w:rsid w:val="001E680E"/>
    <w:rsid w:val="001E6F05"/>
    <w:rsid w:val="001F03C6"/>
    <w:rsid w:val="001F4AED"/>
    <w:rsid w:val="001F72DF"/>
    <w:rsid w:val="00200843"/>
    <w:rsid w:val="00200BE6"/>
    <w:rsid w:val="0020247E"/>
    <w:rsid w:val="00203FD3"/>
    <w:rsid w:val="00206222"/>
    <w:rsid w:val="00206B99"/>
    <w:rsid w:val="0020723D"/>
    <w:rsid w:val="002075B6"/>
    <w:rsid w:val="002113FA"/>
    <w:rsid w:val="00211AEE"/>
    <w:rsid w:val="00211DEF"/>
    <w:rsid w:val="00212937"/>
    <w:rsid w:val="00212CDB"/>
    <w:rsid w:val="00212D0A"/>
    <w:rsid w:val="002142F8"/>
    <w:rsid w:val="00214B69"/>
    <w:rsid w:val="00215836"/>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74D5"/>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0F37"/>
    <w:rsid w:val="002C291C"/>
    <w:rsid w:val="002C2958"/>
    <w:rsid w:val="002C6B6A"/>
    <w:rsid w:val="002C7363"/>
    <w:rsid w:val="002C7EDA"/>
    <w:rsid w:val="002D1979"/>
    <w:rsid w:val="002D2BC6"/>
    <w:rsid w:val="002D3B49"/>
    <w:rsid w:val="002D7BCE"/>
    <w:rsid w:val="002E07CB"/>
    <w:rsid w:val="002E26EB"/>
    <w:rsid w:val="002E796C"/>
    <w:rsid w:val="002E7B29"/>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20A1"/>
    <w:rsid w:val="003253CA"/>
    <w:rsid w:val="0032745F"/>
    <w:rsid w:val="003312FD"/>
    <w:rsid w:val="003313AD"/>
    <w:rsid w:val="00331836"/>
    <w:rsid w:val="00333481"/>
    <w:rsid w:val="0033426E"/>
    <w:rsid w:val="00335EF4"/>
    <w:rsid w:val="00336B9C"/>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3A19"/>
    <w:rsid w:val="00386D6B"/>
    <w:rsid w:val="003873E7"/>
    <w:rsid w:val="00387C97"/>
    <w:rsid w:val="0039239F"/>
    <w:rsid w:val="00395802"/>
    <w:rsid w:val="003965ED"/>
    <w:rsid w:val="003A0ACC"/>
    <w:rsid w:val="003A1F55"/>
    <w:rsid w:val="003A3A38"/>
    <w:rsid w:val="003A7001"/>
    <w:rsid w:val="003B1512"/>
    <w:rsid w:val="003B20F0"/>
    <w:rsid w:val="003B26C0"/>
    <w:rsid w:val="003B2E9F"/>
    <w:rsid w:val="003B2FF4"/>
    <w:rsid w:val="003B373B"/>
    <w:rsid w:val="003B3888"/>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B33"/>
    <w:rsid w:val="003D6C41"/>
    <w:rsid w:val="003D707F"/>
    <w:rsid w:val="003D7321"/>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042"/>
    <w:rsid w:val="004426E6"/>
    <w:rsid w:val="00443CBD"/>
    <w:rsid w:val="00444733"/>
    <w:rsid w:val="004503A6"/>
    <w:rsid w:val="00454494"/>
    <w:rsid w:val="004547D3"/>
    <w:rsid w:val="004567C7"/>
    <w:rsid w:val="00457CC7"/>
    <w:rsid w:val="004610B7"/>
    <w:rsid w:val="004633DC"/>
    <w:rsid w:val="004647A3"/>
    <w:rsid w:val="00467A8D"/>
    <w:rsid w:val="004715AF"/>
    <w:rsid w:val="00472E19"/>
    <w:rsid w:val="00474E30"/>
    <w:rsid w:val="00475F7F"/>
    <w:rsid w:val="004774DD"/>
    <w:rsid w:val="0047763B"/>
    <w:rsid w:val="00480037"/>
    <w:rsid w:val="00485388"/>
    <w:rsid w:val="004870D8"/>
    <w:rsid w:val="004914ED"/>
    <w:rsid w:val="00491DA5"/>
    <w:rsid w:val="00493195"/>
    <w:rsid w:val="00493BAB"/>
    <w:rsid w:val="004958FA"/>
    <w:rsid w:val="004961AD"/>
    <w:rsid w:val="004963BC"/>
    <w:rsid w:val="00496E71"/>
    <w:rsid w:val="00497AD8"/>
    <w:rsid w:val="00497E3B"/>
    <w:rsid w:val="004A2326"/>
    <w:rsid w:val="004A234C"/>
    <w:rsid w:val="004A319F"/>
    <w:rsid w:val="004A399A"/>
    <w:rsid w:val="004A4ECC"/>
    <w:rsid w:val="004A54A3"/>
    <w:rsid w:val="004A7AC3"/>
    <w:rsid w:val="004B34A0"/>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939"/>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2150"/>
    <w:rsid w:val="005922C8"/>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D7CD0"/>
    <w:rsid w:val="005E18B0"/>
    <w:rsid w:val="005E3275"/>
    <w:rsid w:val="005E3DA5"/>
    <w:rsid w:val="005E40A8"/>
    <w:rsid w:val="005E499E"/>
    <w:rsid w:val="005E5273"/>
    <w:rsid w:val="005E76E1"/>
    <w:rsid w:val="005F0B76"/>
    <w:rsid w:val="005F1575"/>
    <w:rsid w:val="005F1A85"/>
    <w:rsid w:val="005F23E0"/>
    <w:rsid w:val="005F3523"/>
    <w:rsid w:val="005F35AE"/>
    <w:rsid w:val="005F602F"/>
    <w:rsid w:val="006012BD"/>
    <w:rsid w:val="006016B6"/>
    <w:rsid w:val="00602086"/>
    <w:rsid w:val="006031D7"/>
    <w:rsid w:val="006031E8"/>
    <w:rsid w:val="0060326D"/>
    <w:rsid w:val="0060423E"/>
    <w:rsid w:val="00604EE6"/>
    <w:rsid w:val="00605D2B"/>
    <w:rsid w:val="006062DA"/>
    <w:rsid w:val="00607309"/>
    <w:rsid w:val="00607F3D"/>
    <w:rsid w:val="00610529"/>
    <w:rsid w:val="006105BC"/>
    <w:rsid w:val="00610C46"/>
    <w:rsid w:val="00611349"/>
    <w:rsid w:val="00611746"/>
    <w:rsid w:val="00611DD6"/>
    <w:rsid w:val="006150FB"/>
    <w:rsid w:val="00620844"/>
    <w:rsid w:val="00621035"/>
    <w:rsid w:val="00621070"/>
    <w:rsid w:val="00621BDD"/>
    <w:rsid w:val="00622BE5"/>
    <w:rsid w:val="006243E9"/>
    <w:rsid w:val="006300E6"/>
    <w:rsid w:val="006309F3"/>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1FC4"/>
    <w:rsid w:val="006A3A20"/>
    <w:rsid w:val="006A4C24"/>
    <w:rsid w:val="006A5E19"/>
    <w:rsid w:val="006A5F24"/>
    <w:rsid w:val="006A6FE7"/>
    <w:rsid w:val="006B0915"/>
    <w:rsid w:val="006B0B08"/>
    <w:rsid w:val="006B10A8"/>
    <w:rsid w:val="006B119B"/>
    <w:rsid w:val="006B26D3"/>
    <w:rsid w:val="006B3BEA"/>
    <w:rsid w:val="006B4FD6"/>
    <w:rsid w:val="006B52CD"/>
    <w:rsid w:val="006B6374"/>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E74BE"/>
    <w:rsid w:val="006F0897"/>
    <w:rsid w:val="006F0D29"/>
    <w:rsid w:val="006F1164"/>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4011"/>
    <w:rsid w:val="007754F3"/>
    <w:rsid w:val="007758EE"/>
    <w:rsid w:val="00776E5E"/>
    <w:rsid w:val="0077739D"/>
    <w:rsid w:val="007806D4"/>
    <w:rsid w:val="00780857"/>
    <w:rsid w:val="0078132A"/>
    <w:rsid w:val="00782019"/>
    <w:rsid w:val="0078202A"/>
    <w:rsid w:val="00782CE9"/>
    <w:rsid w:val="00784F0C"/>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3DBC"/>
    <w:rsid w:val="007C4D7C"/>
    <w:rsid w:val="007C4FC7"/>
    <w:rsid w:val="007C5134"/>
    <w:rsid w:val="007C65BA"/>
    <w:rsid w:val="007C6CD3"/>
    <w:rsid w:val="007C7AD1"/>
    <w:rsid w:val="007D1DBD"/>
    <w:rsid w:val="007D2543"/>
    <w:rsid w:val="007D3A7D"/>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37D"/>
    <w:rsid w:val="00801F35"/>
    <w:rsid w:val="0080399F"/>
    <w:rsid w:val="00805360"/>
    <w:rsid w:val="00805C67"/>
    <w:rsid w:val="00805D28"/>
    <w:rsid w:val="00807514"/>
    <w:rsid w:val="00807736"/>
    <w:rsid w:val="00807D70"/>
    <w:rsid w:val="00815878"/>
    <w:rsid w:val="00816BA3"/>
    <w:rsid w:val="0082010D"/>
    <w:rsid w:val="00821C04"/>
    <w:rsid w:val="008270FA"/>
    <w:rsid w:val="0083002A"/>
    <w:rsid w:val="00830884"/>
    <w:rsid w:val="00831537"/>
    <w:rsid w:val="00832757"/>
    <w:rsid w:val="00832BFA"/>
    <w:rsid w:val="00832FE5"/>
    <w:rsid w:val="008352A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2B8D"/>
    <w:rsid w:val="00883E64"/>
    <w:rsid w:val="0088403D"/>
    <w:rsid w:val="008850E5"/>
    <w:rsid w:val="00885C97"/>
    <w:rsid w:val="00885CDE"/>
    <w:rsid w:val="00891F87"/>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0F0"/>
    <w:rsid w:val="008E586E"/>
    <w:rsid w:val="008E5A8E"/>
    <w:rsid w:val="008F05C2"/>
    <w:rsid w:val="008F203A"/>
    <w:rsid w:val="008F52F4"/>
    <w:rsid w:val="008F6475"/>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2D81"/>
    <w:rsid w:val="0091304F"/>
    <w:rsid w:val="009133A9"/>
    <w:rsid w:val="009142FD"/>
    <w:rsid w:val="009159DA"/>
    <w:rsid w:val="00920D15"/>
    <w:rsid w:val="009210A6"/>
    <w:rsid w:val="009233B3"/>
    <w:rsid w:val="00926FCD"/>
    <w:rsid w:val="00927607"/>
    <w:rsid w:val="00930FEF"/>
    <w:rsid w:val="009319D5"/>
    <w:rsid w:val="00931BBD"/>
    <w:rsid w:val="00931E3D"/>
    <w:rsid w:val="00934CC6"/>
    <w:rsid w:val="0094005B"/>
    <w:rsid w:val="0094041C"/>
    <w:rsid w:val="00943709"/>
    <w:rsid w:val="00943B62"/>
    <w:rsid w:val="009443A6"/>
    <w:rsid w:val="0094586E"/>
    <w:rsid w:val="0094607A"/>
    <w:rsid w:val="00946848"/>
    <w:rsid w:val="00947785"/>
    <w:rsid w:val="00956CD1"/>
    <w:rsid w:val="00956EE5"/>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7795D"/>
    <w:rsid w:val="00983201"/>
    <w:rsid w:val="009837FD"/>
    <w:rsid w:val="00984197"/>
    <w:rsid w:val="00986534"/>
    <w:rsid w:val="00991B75"/>
    <w:rsid w:val="00991F69"/>
    <w:rsid w:val="00993688"/>
    <w:rsid w:val="00995692"/>
    <w:rsid w:val="0099624C"/>
    <w:rsid w:val="00996B6C"/>
    <w:rsid w:val="00997217"/>
    <w:rsid w:val="00997F96"/>
    <w:rsid w:val="009A33AC"/>
    <w:rsid w:val="009A33BE"/>
    <w:rsid w:val="009A3714"/>
    <w:rsid w:val="009A5AE2"/>
    <w:rsid w:val="009A5D8D"/>
    <w:rsid w:val="009A6537"/>
    <w:rsid w:val="009B1106"/>
    <w:rsid w:val="009B1EAF"/>
    <w:rsid w:val="009B38C8"/>
    <w:rsid w:val="009B3FAA"/>
    <w:rsid w:val="009B4A4B"/>
    <w:rsid w:val="009B4DEF"/>
    <w:rsid w:val="009C00E3"/>
    <w:rsid w:val="009C2394"/>
    <w:rsid w:val="009C4221"/>
    <w:rsid w:val="009D0710"/>
    <w:rsid w:val="009D1ED8"/>
    <w:rsid w:val="009D4A0A"/>
    <w:rsid w:val="009D56DE"/>
    <w:rsid w:val="009D6659"/>
    <w:rsid w:val="009D7058"/>
    <w:rsid w:val="009D70CC"/>
    <w:rsid w:val="009E0336"/>
    <w:rsid w:val="009E10EC"/>
    <w:rsid w:val="009E27E8"/>
    <w:rsid w:val="009E3A9A"/>
    <w:rsid w:val="009E42B9"/>
    <w:rsid w:val="009E5841"/>
    <w:rsid w:val="009F041F"/>
    <w:rsid w:val="009F0EEA"/>
    <w:rsid w:val="009F230B"/>
    <w:rsid w:val="009F3F92"/>
    <w:rsid w:val="009F50FA"/>
    <w:rsid w:val="00A022D9"/>
    <w:rsid w:val="00A033BB"/>
    <w:rsid w:val="00A0357E"/>
    <w:rsid w:val="00A045F4"/>
    <w:rsid w:val="00A05A17"/>
    <w:rsid w:val="00A05B4F"/>
    <w:rsid w:val="00A063DF"/>
    <w:rsid w:val="00A10387"/>
    <w:rsid w:val="00A1489B"/>
    <w:rsid w:val="00A14A52"/>
    <w:rsid w:val="00A21B13"/>
    <w:rsid w:val="00A22AAD"/>
    <w:rsid w:val="00A23A1B"/>
    <w:rsid w:val="00A2508C"/>
    <w:rsid w:val="00A2572E"/>
    <w:rsid w:val="00A25FC0"/>
    <w:rsid w:val="00A262B6"/>
    <w:rsid w:val="00A26D41"/>
    <w:rsid w:val="00A27138"/>
    <w:rsid w:val="00A30517"/>
    <w:rsid w:val="00A30F61"/>
    <w:rsid w:val="00A3359F"/>
    <w:rsid w:val="00A33A89"/>
    <w:rsid w:val="00A3709C"/>
    <w:rsid w:val="00A3728F"/>
    <w:rsid w:val="00A3744D"/>
    <w:rsid w:val="00A4105D"/>
    <w:rsid w:val="00A442A4"/>
    <w:rsid w:val="00A4466C"/>
    <w:rsid w:val="00A450A9"/>
    <w:rsid w:val="00A4628E"/>
    <w:rsid w:val="00A51216"/>
    <w:rsid w:val="00A512CA"/>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6EB0"/>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2373"/>
    <w:rsid w:val="00AB4741"/>
    <w:rsid w:val="00AB628D"/>
    <w:rsid w:val="00AB641E"/>
    <w:rsid w:val="00AB6F46"/>
    <w:rsid w:val="00AB7AF3"/>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400"/>
    <w:rsid w:val="00AF6667"/>
    <w:rsid w:val="00AF6B54"/>
    <w:rsid w:val="00AF6F6A"/>
    <w:rsid w:val="00AF75DD"/>
    <w:rsid w:val="00AF7A58"/>
    <w:rsid w:val="00AF7C5B"/>
    <w:rsid w:val="00B02093"/>
    <w:rsid w:val="00B020E9"/>
    <w:rsid w:val="00B049EC"/>
    <w:rsid w:val="00B04DD6"/>
    <w:rsid w:val="00B078A6"/>
    <w:rsid w:val="00B10264"/>
    <w:rsid w:val="00B10FF6"/>
    <w:rsid w:val="00B1153A"/>
    <w:rsid w:val="00B1212B"/>
    <w:rsid w:val="00B14213"/>
    <w:rsid w:val="00B15800"/>
    <w:rsid w:val="00B173E2"/>
    <w:rsid w:val="00B177F2"/>
    <w:rsid w:val="00B216FE"/>
    <w:rsid w:val="00B219F8"/>
    <w:rsid w:val="00B220BE"/>
    <w:rsid w:val="00B244A4"/>
    <w:rsid w:val="00B26CCB"/>
    <w:rsid w:val="00B305FF"/>
    <w:rsid w:val="00B31114"/>
    <w:rsid w:val="00B31B55"/>
    <w:rsid w:val="00B31B5C"/>
    <w:rsid w:val="00B3219A"/>
    <w:rsid w:val="00B34D98"/>
    <w:rsid w:val="00B35224"/>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3A8F"/>
    <w:rsid w:val="00B860B7"/>
    <w:rsid w:val="00B865EB"/>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4667"/>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E6BCB"/>
    <w:rsid w:val="00BF0163"/>
    <w:rsid w:val="00BF01B4"/>
    <w:rsid w:val="00BF0DCB"/>
    <w:rsid w:val="00BF1EC0"/>
    <w:rsid w:val="00BF298F"/>
    <w:rsid w:val="00BF2AD9"/>
    <w:rsid w:val="00BF2F98"/>
    <w:rsid w:val="00BF399D"/>
    <w:rsid w:val="00C00D17"/>
    <w:rsid w:val="00C021E6"/>
    <w:rsid w:val="00C02A64"/>
    <w:rsid w:val="00C02B83"/>
    <w:rsid w:val="00C04E08"/>
    <w:rsid w:val="00C06278"/>
    <w:rsid w:val="00C06502"/>
    <w:rsid w:val="00C06661"/>
    <w:rsid w:val="00C1120B"/>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089"/>
    <w:rsid w:val="00C47777"/>
    <w:rsid w:val="00C5010B"/>
    <w:rsid w:val="00C52510"/>
    <w:rsid w:val="00C539E3"/>
    <w:rsid w:val="00C55168"/>
    <w:rsid w:val="00C56885"/>
    <w:rsid w:val="00C57680"/>
    <w:rsid w:val="00C57997"/>
    <w:rsid w:val="00C57AB3"/>
    <w:rsid w:val="00C57C9F"/>
    <w:rsid w:val="00C57DE8"/>
    <w:rsid w:val="00C607C9"/>
    <w:rsid w:val="00C60EB1"/>
    <w:rsid w:val="00C60F1C"/>
    <w:rsid w:val="00C6230B"/>
    <w:rsid w:val="00C625C8"/>
    <w:rsid w:val="00C644BE"/>
    <w:rsid w:val="00C669B9"/>
    <w:rsid w:val="00C70285"/>
    <w:rsid w:val="00C70AD4"/>
    <w:rsid w:val="00C70C56"/>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4ECD"/>
    <w:rsid w:val="00C95207"/>
    <w:rsid w:val="00C95EFF"/>
    <w:rsid w:val="00C962CF"/>
    <w:rsid w:val="00CA1B76"/>
    <w:rsid w:val="00CA4E8C"/>
    <w:rsid w:val="00CA6573"/>
    <w:rsid w:val="00CA7887"/>
    <w:rsid w:val="00CB27A4"/>
    <w:rsid w:val="00CB2B9D"/>
    <w:rsid w:val="00CB2C52"/>
    <w:rsid w:val="00CB621B"/>
    <w:rsid w:val="00CB65EC"/>
    <w:rsid w:val="00CB6E8A"/>
    <w:rsid w:val="00CB7070"/>
    <w:rsid w:val="00CB75C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09FA"/>
    <w:rsid w:val="00D5482F"/>
    <w:rsid w:val="00D564D9"/>
    <w:rsid w:val="00D566F5"/>
    <w:rsid w:val="00D56752"/>
    <w:rsid w:val="00D56F54"/>
    <w:rsid w:val="00D5720A"/>
    <w:rsid w:val="00D62375"/>
    <w:rsid w:val="00D63A6F"/>
    <w:rsid w:val="00D65FB7"/>
    <w:rsid w:val="00D70AB6"/>
    <w:rsid w:val="00D70AB8"/>
    <w:rsid w:val="00D7104A"/>
    <w:rsid w:val="00D718E2"/>
    <w:rsid w:val="00D73B5B"/>
    <w:rsid w:val="00D74FDC"/>
    <w:rsid w:val="00D77684"/>
    <w:rsid w:val="00D81429"/>
    <w:rsid w:val="00D82506"/>
    <w:rsid w:val="00D831CE"/>
    <w:rsid w:val="00D83AC7"/>
    <w:rsid w:val="00D871A9"/>
    <w:rsid w:val="00D9122C"/>
    <w:rsid w:val="00D9154A"/>
    <w:rsid w:val="00D91AF2"/>
    <w:rsid w:val="00D927CA"/>
    <w:rsid w:val="00D93271"/>
    <w:rsid w:val="00D96319"/>
    <w:rsid w:val="00DA0CA2"/>
    <w:rsid w:val="00DA158D"/>
    <w:rsid w:val="00DA17EE"/>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B78EB"/>
    <w:rsid w:val="00DC0207"/>
    <w:rsid w:val="00DC1DD2"/>
    <w:rsid w:val="00DC3137"/>
    <w:rsid w:val="00DC3F3A"/>
    <w:rsid w:val="00DC638A"/>
    <w:rsid w:val="00DC6767"/>
    <w:rsid w:val="00DC68E2"/>
    <w:rsid w:val="00DC691A"/>
    <w:rsid w:val="00DC6A6C"/>
    <w:rsid w:val="00DC6CDC"/>
    <w:rsid w:val="00DC6D72"/>
    <w:rsid w:val="00DC71EE"/>
    <w:rsid w:val="00DC76BD"/>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E7FB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774A"/>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23C"/>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6C1"/>
    <w:rsid w:val="00EA379C"/>
    <w:rsid w:val="00EA37E1"/>
    <w:rsid w:val="00EA4780"/>
    <w:rsid w:val="00EA4997"/>
    <w:rsid w:val="00EA4DC3"/>
    <w:rsid w:val="00EA4F63"/>
    <w:rsid w:val="00EA5167"/>
    <w:rsid w:val="00EA7123"/>
    <w:rsid w:val="00EB02A1"/>
    <w:rsid w:val="00EB0FE9"/>
    <w:rsid w:val="00EB37B1"/>
    <w:rsid w:val="00EB4DFF"/>
    <w:rsid w:val="00EB5646"/>
    <w:rsid w:val="00EB7750"/>
    <w:rsid w:val="00EC2DA8"/>
    <w:rsid w:val="00EC45FC"/>
    <w:rsid w:val="00EC4A4E"/>
    <w:rsid w:val="00EC4D26"/>
    <w:rsid w:val="00EC6A8E"/>
    <w:rsid w:val="00EC6BCB"/>
    <w:rsid w:val="00ED073E"/>
    <w:rsid w:val="00ED1F46"/>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1C3"/>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29D6"/>
    <w:rsid w:val="00F530D1"/>
    <w:rsid w:val="00F54415"/>
    <w:rsid w:val="00F54463"/>
    <w:rsid w:val="00F54E38"/>
    <w:rsid w:val="00F551B0"/>
    <w:rsid w:val="00F5742E"/>
    <w:rsid w:val="00F57E57"/>
    <w:rsid w:val="00F60BA4"/>
    <w:rsid w:val="00F60CD1"/>
    <w:rsid w:val="00F62D24"/>
    <w:rsid w:val="00F6398A"/>
    <w:rsid w:val="00F66785"/>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872A8"/>
    <w:rsid w:val="00F90B7E"/>
    <w:rsid w:val="00F90CCF"/>
    <w:rsid w:val="00F92334"/>
    <w:rsid w:val="00F93506"/>
    <w:rsid w:val="00F95634"/>
    <w:rsid w:val="00F972BF"/>
    <w:rsid w:val="00FA0211"/>
    <w:rsid w:val="00FA0F1F"/>
    <w:rsid w:val="00FA17DB"/>
    <w:rsid w:val="00FA26F7"/>
    <w:rsid w:val="00FA3C84"/>
    <w:rsid w:val="00FA4E53"/>
    <w:rsid w:val="00FA5B4C"/>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29888-2D08-4B8D-87A0-B199325A9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3839</Words>
  <Characters>21120</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2019-10-03T20:49:00Z</cp:lastPrinted>
  <dcterms:created xsi:type="dcterms:W3CDTF">2020-09-22T16:10:00Z</dcterms:created>
  <dcterms:modified xsi:type="dcterms:W3CDTF">2020-09-24T17:14:00Z</dcterms:modified>
</cp:coreProperties>
</file>